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10.png"/>
  <Override ContentType="image/png" PartName="/word/media/document_image_rId100.png"/>
  <Override ContentType="image/png" PartName="/word/media/document_image_rId101.png"/>
  <Override ContentType="image/png" PartName="/word/media/document_image_rId102.png"/>
  <Override ContentType="image/png" PartName="/word/media/document_image_rId103.png"/>
  <Override ContentType="image/png" PartName="/word/media/document_image_rId104.png"/>
  <Override ContentType="image/png" PartName="/word/media/document_image_rId105.png"/>
  <Override ContentType="image/png" PartName="/word/media/document_image_rId106.png"/>
  <Override ContentType="image/png" PartName="/word/media/document_image_rId107.png"/>
  <Override ContentType="image/png" PartName="/word/media/document_image_rId108.png"/>
  <Override ContentType="image/png" PartName="/word/media/document_image_rId109.png"/>
  <Override ContentType="image/png" PartName="/word/media/document_image_rId11.png"/>
  <Override ContentType="image/png" PartName="/word/media/document_image_rId110.png"/>
  <Override ContentType="image/png" PartName="/word/media/document_image_rId111.png"/>
  <Override ContentType="image/png" PartName="/word/media/document_image_rId112.png"/>
  <Override ContentType="image/png" PartName="/word/media/document_image_rId113.png"/>
  <Override ContentType="image/png" PartName="/word/media/document_image_rId114.png"/>
  <Override ContentType="image/png" PartName="/word/media/document_image_rId115.png"/>
  <Override ContentType="image/png" PartName="/word/media/document_image_rId116.png"/>
  <Override ContentType="image/png" PartName="/word/media/document_image_rId117.png"/>
  <Override ContentType="image/png" PartName="/word/media/document_image_rId118.png"/>
  <Override ContentType="image/png" PartName="/word/media/document_image_rId119.png"/>
  <Override ContentType="image/png" PartName="/word/media/document_image_rId12.png"/>
  <Override ContentType="image/png" PartName="/word/media/document_image_rId120.png"/>
  <Override ContentType="image/png" PartName="/word/media/document_image_rId121.png"/>
  <Override ContentType="image/png" PartName="/word/media/document_image_rId122.png"/>
  <Override ContentType="image/png" PartName="/word/media/document_image_rId123.png"/>
  <Override ContentType="image/png" PartName="/word/media/document_image_rId124.png"/>
  <Override ContentType="image/png" PartName="/word/media/document_image_rId125.png"/>
  <Override ContentType="image/png" PartName="/word/media/document_image_rId126.png"/>
  <Override ContentType="image/png" PartName="/word/media/document_image_rId127.png"/>
  <Override ContentType="image/png" PartName="/word/media/document_image_rId128.png"/>
  <Override ContentType="image/png" PartName="/word/media/document_image_rId129.png"/>
  <Override ContentType="image/png" PartName="/word/media/document_image_rId13.png"/>
  <Override ContentType="image/png" PartName="/word/media/document_image_rId130.png"/>
  <Override ContentType="image/png" PartName="/word/media/document_image_rId131.png"/>
  <Override ContentType="image/png" PartName="/word/media/document_image_rId132.png"/>
  <Override ContentType="image/png" PartName="/word/media/document_image_rId133.png"/>
  <Override ContentType="image/png" PartName="/word/media/document_image_rId134.png"/>
  <Override ContentType="image/png" PartName="/word/media/document_image_rId135.png"/>
  <Override ContentType="image/png" PartName="/word/media/document_image_rId136.png"/>
  <Override ContentType="image/png" PartName="/word/media/document_image_rId137.png"/>
  <Override ContentType="image/png" PartName="/word/media/document_image_rId138.png"/>
  <Override ContentType="image/png" PartName="/word/media/document_image_rId139.png"/>
  <Override ContentType="image/png" PartName="/word/media/document_image_rId14.png"/>
  <Override ContentType="image/png" PartName="/word/media/document_image_rId140.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8.png"/>
  <Override ContentType="image/png" PartName="/word/media/document_image_rId39.png"/>
  <Override ContentType="image/png" PartName="/word/media/document_image_rId4.png"/>
  <Override ContentType="image/png" PartName="/word/media/document_image_rId40.png"/>
  <Override ContentType="image/png" PartName="/word/media/document_image_rId41.png"/>
  <Override ContentType="image/png" PartName="/word/media/document_image_rId42.png"/>
  <Override ContentType="image/png" PartName="/word/media/document_image_rId43.png"/>
  <Override ContentType="image/png" PartName="/word/media/document_image_rId44.png"/>
  <Override ContentType="image/png" PartName="/word/media/document_image_rId45.png"/>
  <Override ContentType="image/png" PartName="/word/media/document_image_rId46.png"/>
  <Override ContentType="image/png" PartName="/word/media/document_image_rId47.png"/>
  <Override ContentType="image/png" PartName="/word/media/document_image_rId48.png"/>
  <Override ContentType="image/png" PartName="/word/media/document_image_rId49.png"/>
  <Override ContentType="image/png" PartName="/word/media/document_image_rId50.png"/>
  <Override ContentType="image/png" PartName="/word/media/document_image_rId51.png"/>
  <Override ContentType="image/png" PartName="/word/media/document_image_rId52.png"/>
  <Override ContentType="image/png" PartName="/word/media/document_image_rId53.png"/>
  <Override ContentType="image/png" PartName="/word/media/document_image_rId54.png"/>
  <Override ContentType="image/png" PartName="/word/media/document_image_rId55.png"/>
  <Override ContentType="image/png" PartName="/word/media/document_image_rId56.png"/>
  <Override ContentType="image/png" PartName="/word/media/document_image_rId58.png"/>
  <Override ContentType="image/png" PartName="/word/media/document_image_rId59.png"/>
  <Override ContentType="image/png" PartName="/word/media/document_image_rId6.png"/>
  <Override ContentType="image/png" PartName="/word/media/document_image_rId60.png"/>
  <Override ContentType="image/png" PartName="/word/media/document_image_rId61.png"/>
  <Override ContentType="image/png" PartName="/word/media/document_image_rId62.png"/>
  <Override ContentType="image/png" PartName="/word/media/document_image_rId63.png"/>
  <Override ContentType="image/png" PartName="/word/media/document_image_rId64.png"/>
  <Override ContentType="image/png" PartName="/word/media/document_image_rId65.png"/>
  <Override ContentType="image/png" PartName="/word/media/document_image_rId66.png"/>
  <Override ContentType="image/png" PartName="/word/media/document_image_rId67.png"/>
  <Override ContentType="image/png" PartName="/word/media/document_image_rId68.png"/>
  <Override ContentType="image/png" PartName="/word/media/document_image_rId69.png"/>
  <Override ContentType="image/png" PartName="/word/media/document_image_rId7.png"/>
  <Override ContentType="image/png" PartName="/word/media/document_image_rId70.png"/>
  <Override ContentType="image/png" PartName="/word/media/document_image_rId71.png"/>
  <Override ContentType="image/png" PartName="/word/media/document_image_rId72.png"/>
  <Override ContentType="image/png" PartName="/word/media/document_image_rId73.png"/>
  <Override ContentType="image/png" PartName="/word/media/document_image_rId74.png"/>
  <Override ContentType="image/png" PartName="/word/media/document_image_rId75.png"/>
  <Override ContentType="image/png" PartName="/word/media/document_image_rId76.png"/>
  <Override ContentType="image/png" PartName="/word/media/document_image_rId77.png"/>
  <Override ContentType="image/png" PartName="/word/media/document_image_rId78.png"/>
  <Override ContentType="image/png" PartName="/word/media/document_image_rId79.png"/>
  <Override ContentType="image/png" PartName="/word/media/document_image_rId8.png"/>
  <Override ContentType="image/png" PartName="/word/media/document_image_rId80.png"/>
  <Override ContentType="image/png" PartName="/word/media/document_image_rId81.png"/>
  <Override ContentType="image/png" PartName="/word/media/document_image_rId82.png"/>
  <Override ContentType="image/png" PartName="/word/media/document_image_rId83.png"/>
  <Override ContentType="image/png" PartName="/word/media/document_image_rId84.png"/>
  <Override ContentType="image/png" PartName="/word/media/document_image_rId85.png"/>
  <Override ContentType="image/png" PartName="/word/media/document_image_rId86.png"/>
  <Override ContentType="image/png" PartName="/word/media/document_image_rId87.png"/>
  <Override ContentType="image/png" PartName="/word/media/document_image_rId88.png"/>
  <Override ContentType="image/png" PartName="/word/media/document_image_rId89.png"/>
  <Override ContentType="image/png" PartName="/word/media/document_image_rId9.png"/>
  <Override ContentType="image/png" PartName="/word/media/document_image_rId90.png"/>
  <Override ContentType="image/png" PartName="/word/media/document_image_rId91.png"/>
  <Override ContentType="image/png" PartName="/word/media/document_image_rId92.png"/>
  <Override ContentType="image/png" PartName="/word/media/document_image_rId93.png"/>
  <Override ContentType="image/png" PartName="/word/media/document_image_rId94.png"/>
  <Override ContentType="image/png" PartName="/word/media/document_image_rId95.png"/>
  <Override ContentType="image/png" PartName="/word/media/document_image_rId96.png"/>
  <Override ContentType="image/png" PartName="/word/media/document_image_rId97.png"/>
  <Override ContentType="image/png" PartName="/word/media/document_image_rId98.png"/>
  <Override ContentType="image/png" PartName="/word/media/document_image_rId99.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Relationships xmlns="http://schemas.openxmlformats.org/package/2006/relationships"><Relationship Target="word/document.xml" Type="http://schemas.openxmlformats.org/officeDocument/2006/relationships/officeDocument" Id="rId1"></Relationship><Relationship Target="docProps/core.xml" Type="http://schemas.openxmlformats.org/package/2006/relationships/metadata/core-properties" Id="rId2"></Relationship><Relationship Target="docProps/app.xml" Type="http://schemas.openxmlformats.org/officeDocument/2006/relationships/extended-properties" Id="rId3"></Relationship><Relationship Target="word/theme/theme1.xml" Type="http://schemas.openxmlformats.org/officeDocument/2006/relationships/theme" Id="rId4"></Relationship></Relationships>
</file>

<file path=word/document.xml><?xml version="1.0" encoding="utf-8"?>
<w:document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xvml="urn:schemas-microsoft-com:office:excel" xmlns:o="urn:schemas-microsoft-com:office:office" xmlns:v="urn:schemas-microsoft-com:vm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wp14="http://schemas.microsoft.com/office/word/2010/wordprocessingDrawing" xmlns:a="http://schemas.openxmlformats.org/drawingml/2006/main" xmlns:wp="http://schemas.openxmlformats.org/drawingml/2006/wordprocessingDrawing" xmlns:m="http://schemas.openxmlformats.org/officeDocument/2006/math" xmlns:r="http://schemas.openxmlformats.org/officeDocument/2006/relationships" xmlns:w14="http://schemas.microsoft.com/office/word/2010/wordml" xmlns:w15="http://schemas.microsoft.com/office/word/2012/wordml" xmlns:w="http://schemas.openxmlformats.org/wordprocessingml/2006/main">
  <!--Powered by docx4j 6.0.1 (Apache licensed)-->
  <w:body>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3060700</wp:posOffset>
            </wp:positionH>
            <wp:positionV relativeFrom="page">
              <wp:posOffset>1727200</wp:posOffset>
            </wp:positionV>
            <wp:extent cx="1422400" cy="1549400"/>
            <wp:effectExtent l="0" t="0" r="0" b="0"/>
            <wp:wrapNone/>
            <wp:docPr id="2" name="image2" descr=""/>
            <wp:cNvGraphicFramePr>
              <a:graphicFrameLocks noChangeAspect="true"/>
            </wp:cNvGraphicFramePr>
            <a:graphic>
              <a:graphicData uri="http://schemas.openxmlformats.org/drawingml/2006/picture">
                <pic:pic>
                  <pic:nvPicPr>
                    <pic:cNvPr id="2" name="image2"/>
                    <pic:cNvPicPr/>
                  </pic:nvPicPr>
                  <pic:blipFill>
                    <a:blip r:embed="rId3"/>
                    <a:stretch>
                      <a:fillRect/>
                    </a:stretch>
                  </pic:blipFill>
                  <pic:spPr>
                    <a:xfrm>
                      <a:off x="0" y="0"/>
                      <a:ext cx="1422400" cy="1549400"/>
                    </a:xfrm>
                    <a:prstGeom prst="rect">
                      <a:avLst/>
                    </a:prstGeom>
                  </pic:spPr>
                </pic:pic>
              </a:graphicData>
            </a:graphic>
          </wp:anchor>
        </w:drawing>
      </w:r>
      <w:r>
        <w:drawing>
          <wp:anchor distT="0" distB="0" distL="114300" distR="114300" simplePos="false" relativeHeight="10253072" behindDoc="false" locked="false" layoutInCell="true" allowOverlap="true">
            <wp:simplePos x="0" y="0"/>
            <wp:positionH relativeFrom="page">
              <wp:posOffset>2806700</wp:posOffset>
            </wp:positionH>
            <wp:positionV relativeFrom="page">
              <wp:posOffset>7505700</wp:posOffset>
            </wp:positionV>
            <wp:extent cx="1917700" cy="889000"/>
            <wp:effectExtent l="0" t="0" r="0" b="0"/>
            <wp:wrapNone/>
            <wp:docPr id="3" name="image3" descr=""/>
            <wp:cNvGraphicFramePr>
              <a:graphicFrameLocks noChangeAspect="true"/>
            </wp:cNvGraphicFramePr>
            <a:graphic>
              <a:graphicData uri="http://schemas.openxmlformats.org/drawingml/2006/picture">
                <pic:pic>
                  <pic:nvPicPr>
                    <pic:cNvPr id="3" name="image3"/>
                    <pic:cNvPicPr/>
                  </pic:nvPicPr>
                  <pic:blipFill>
                    <a:blip r:embed="rId4"/>
                    <a:stretch>
                      <a:fillRect/>
                    </a:stretch>
                  </pic:blipFill>
                  <pic:spPr>
                    <a:xfrm>
                      <a:off x="0" y="0"/>
                      <a:ext cx="1917700" cy="889000"/>
                    </a:xfrm>
                    <a:prstGeom prst="rect">
                      <a:avLst/>
                    </a:prstGeom>
                  </pic:spPr>
                </pic:pic>
              </a:graphicData>
            </a:graphic>
          </wp:anchor>
        </w:drawing>
      </w:r>
      <w:r>
        <w:drawing>
          <wp:anchor distT="0" distB="0" distL="114300" distR="114300" simplePos="false" relativeHeight="10254096" behindDoc="true" locked="false" layoutInCell="true" allowOverlap="true">
            <wp:simplePos x="0" y="0"/>
            <wp:positionH relativeFrom="page">
              <wp:posOffset>127000</wp:posOffset>
            </wp:positionH>
            <wp:positionV relativeFrom="page">
              <wp:posOffset>152400</wp:posOffset>
            </wp:positionV>
            <wp:extent cx="7302500" cy="10325100"/>
            <wp:effectExtent l="0" t="0" r="0" b="0"/>
            <wp:wrapNone/>
            <wp:docPr id="4" name="image4" descr=""/>
            <wp:cNvGraphicFramePr>
              <a:graphicFrameLocks noChangeAspect="true"/>
            </wp:cNvGraphicFramePr>
            <a:graphic>
              <a:graphicData uri="http://schemas.openxmlformats.org/drawingml/2006/picture">
                <pic:pic>
                  <pic:nvPicPr>
                    <pic:cNvPr id="4" name="image4"/>
                    <pic:cNvPicPr/>
                  </pic:nvPicPr>
                  <pic:blipFill>
                    <a:blip r:embed="rId5"/>
                    <a:stretch>
                      <a:fillRect/>
                    </a:stretch>
                  </pic:blipFill>
                  <pic:spPr>
                    <a:xfrm>
                      <a:off x="0" y="0"/>
                      <a:ext cx="7302500" cy="103251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40" w:lineRule="exact"/>
        <w:ind w:left="3060"/>
        <w:jc w:val="both"/>
      </w:pPr>
      <w:r>
        <w:rPr>
          <w:rFonts w:hint="eastAsia" w:ascii="宋体" w:hAnsi="宋体" w:eastAsia="宋体" w:cs="宋体"/>
          <w:b/>
          <w:sz w:val="48"/>
        </w:rPr>
        <w:t>福建顶点软件股份有限公司</w:t>
      </w:r>
    </w:p>
    <w:p>
      <w:pPr>
        <w:autoSpaceDE w:val="false"/>
        <w:autoSpaceDN w:val="false"/>
        <w:spacing w:line="380" w:lineRule="exact"/>
        <w:ind w:left="2040"/>
        <w:jc w:val="both"/>
      </w:pPr>
      <w:r>
        <w:rPr>
          <w:rFonts w:hint="eastAsia" w:ascii="宋体" w:hAnsi="宋体" w:eastAsia="宋体" w:cs="宋体"/>
          <w:sz w:val="48"/>
        </w:rPr>
        <w:t>（</w:t>
      </w:r>
      <w:r>
        <w:rPr>
          <w:rFonts w:hint="eastAsia" w:ascii="宋体" w:hAnsi="宋体" w:eastAsia="宋体" w:cs="宋体"/>
          <w:sz w:val="24"/>
        </w:rPr>
        <w:t>福州市台江区新港街道五一中路</w:t>
      </w:r>
      <w:r>
        <w:rPr>
          <w:rFonts w:hint="eastAsia" w:ascii="Times New Roman" w:hAnsi="Times New Roman" w:eastAsia="Times New Roman" w:cs="Times New Roman"/>
          <w:sz w:val="24"/>
        </w:rPr>
        <w:t xml:space="preserve"> 169</w:t>
      </w:r>
      <w:r>
        <w:rPr>
          <w:rFonts w:hint="eastAsia" w:ascii="宋体" w:hAnsi="宋体" w:eastAsia="宋体" w:cs="宋体"/>
          <w:sz w:val="24"/>
        </w:rPr>
        <w:t xml:space="preserve"> 号利嘉城二期</w:t>
      </w:r>
      <w:r>
        <w:rPr>
          <w:rFonts w:hint="eastAsia" w:ascii="Times New Roman" w:hAnsi="Times New Roman" w:eastAsia="Times New Roman" w:cs="Times New Roman"/>
          <w:sz w:val="24"/>
        </w:rPr>
        <w:t xml:space="preserve"> 16</w:t>
      </w:r>
      <w:r>
        <w:rPr>
          <w:rFonts w:hint="eastAsia" w:ascii="宋体" w:hAnsi="宋体" w:eastAsia="宋体" w:cs="宋体"/>
          <w:sz w:val="24"/>
        </w:rPr>
        <w:t xml:space="preserve"> 号楼</w:t>
      </w:r>
      <w:r>
        <w:rPr>
          <w:rFonts w:hint="eastAsia" w:ascii="Times New Roman" w:hAnsi="Times New Roman" w:eastAsia="Times New Roman" w:cs="Times New Roman"/>
          <w:sz w:val="24"/>
        </w:rPr>
        <w:t xml:space="preserve"> 24</w:t>
      </w:r>
      <w:r>
        <w:rPr>
          <w:rFonts w:hint="eastAsia" w:ascii="宋体" w:hAnsi="宋体" w:eastAsia="宋体" w:cs="宋体"/>
          <w:sz w:val="24"/>
        </w:rPr>
        <w:t xml:space="preserve"> 层</w:t>
      </w:r>
      <w:r>
        <w:rPr>
          <w:rFonts w:hint="eastAsia" w:ascii="Times New Roman" w:hAnsi="Times New Roman" w:eastAsia="Times New Roman" w:cs="Times New Roman"/>
          <w:sz w:val="24"/>
        </w:rPr>
        <w:t xml:space="preserve"> 07</w:t>
      </w:r>
      <w:r>
        <w:rPr>
          <w:rFonts w:hint="eastAsia" w:ascii="宋体" w:hAnsi="宋体" w:eastAsia="宋体" w:cs="宋体"/>
          <w:sz w:val="24"/>
        </w:rPr>
        <w:t xml:space="preserve"> 室）</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20" w:lineRule="exact"/>
        <w:ind w:left="2820"/>
        <w:jc w:val="both"/>
      </w:pPr>
      <w:r>
        <w:rPr>
          <w:rFonts w:hint="eastAsia" w:ascii="宋体" w:hAnsi="宋体" w:eastAsia="宋体" w:cs="宋体"/>
          <w:b/>
          <w:sz w:val="48"/>
        </w:rPr>
        <w:t>首次公开发行股票招股说明书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4500"/>
        <w:jc w:val="both"/>
      </w:pPr>
      <w:r>
        <w:rPr>
          <w:rFonts w:hint="eastAsia" w:ascii="宋体" w:hAnsi="宋体" w:eastAsia="宋体" w:cs="宋体"/>
          <w:sz w:val="31"/>
        </w:rPr>
        <w:t>保荐人</w:t>
      </w:r>
      <w:r>
        <w:rPr>
          <w:rFonts w:hint="eastAsia" w:ascii="宋体" w:hAnsi="宋体" w:eastAsia="宋体" w:cs="宋体"/>
          <w:sz w:val="30"/>
        </w:rPr>
        <w:t>（</w:t>
      </w:r>
      <w:r>
        <w:rPr>
          <w:rFonts w:hint="eastAsia" w:ascii="宋体" w:hAnsi="宋体" w:eastAsia="宋体" w:cs="宋体"/>
          <w:sz w:val="31"/>
        </w:rPr>
        <w:t>主承销商</w:t>
      </w:r>
      <w:r>
        <w:rPr>
          <w:rFonts w:hint="eastAsia" w:ascii="宋体" w:hAnsi="宋体" w:eastAsia="宋体" w:cs="宋体"/>
          <w:sz w:val="3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3240"/>
        <w:jc w:val="both"/>
      </w:pPr>
      <w:r>
        <w:rPr>
          <w:rFonts w:hint="eastAsia" w:ascii="宋体" w:hAnsi="宋体" w:eastAsia="宋体" w:cs="宋体"/>
          <w:sz w:val="30"/>
        </w:rPr>
        <w:t>（</w:t>
      </w:r>
      <w:r>
        <w:rPr>
          <w:rFonts w:hint="eastAsia" w:ascii="宋体" w:hAnsi="宋体" w:eastAsia="宋体" w:cs="宋体"/>
          <w:sz w:val="24"/>
        </w:rPr>
        <w:t>上海市中山南路</w:t>
      </w:r>
      <w:r>
        <w:rPr>
          <w:rFonts w:hint="eastAsia" w:ascii="Times New Roman" w:hAnsi="Times New Roman" w:eastAsia="Times New Roman" w:cs="Times New Roman"/>
          <w:sz w:val="24"/>
        </w:rPr>
        <w:t xml:space="preserve"> 318</w:t>
      </w:r>
      <w:r>
        <w:rPr>
          <w:rFonts w:hint="eastAsia" w:ascii="宋体" w:hAnsi="宋体" w:eastAsia="宋体" w:cs="宋体"/>
          <w:sz w:val="24"/>
        </w:rPr>
        <w:t xml:space="preserve"> 号东方国际金融广场</w:t>
      </w:r>
      <w:r>
        <w:rPr>
          <w:rFonts w:hint="eastAsia" w:ascii="Times New Roman" w:hAnsi="Times New Roman" w:eastAsia="Times New Roman" w:cs="Times New Roman"/>
          <w:sz w:val="24"/>
        </w:rPr>
        <w:t xml:space="preserve"> 24</w:t>
      </w:r>
      <w:r>
        <w:rPr>
          <w:rFonts w:hint="eastAsia" w:ascii="宋体" w:hAnsi="宋体" w:eastAsia="宋体" w:cs="宋体"/>
          <w:sz w:val="24"/>
        </w:rPr>
        <w:t xml:space="preserve"> 层）</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3780"/>
        <w:jc w:val="both"/>
      </w:pPr>
      <w:r>
        <w:rPr>
          <w:rFonts w:hint="eastAsia" w:ascii="ºÚÌå" w:hAnsi="ºÚÌå" w:eastAsia="ºÚÌå" w:cs="ºÚÌå"/>
          <w:sz w:val="36"/>
        </w:rPr>
        <w:t>福建顶点软件股份有限公司</w:t>
      </w:r>
    </w:p>
    <w:p>
      <w:pPr>
        <w:spacing w:line="200" w:lineRule="exact"/>
        <w:rPr>
          <w:rFonts w:hint="eastAsia" w:ascii="宋体" w:hAnsi="宋体" w:eastAsia="宋体" w:cs="宋体"/>
          <w:sz w:val="20"/>
        </w:rPr>
      </w:pPr>
    </w:p>
    <w:p>
      <w:pPr>
        <w:autoSpaceDE w:val="false"/>
        <w:autoSpaceDN w:val="false"/>
        <w:spacing w:line="420" w:lineRule="exact"/>
        <w:ind w:left="3600"/>
        <w:jc w:val="both"/>
      </w:pPr>
      <w:r>
        <w:rPr>
          <w:rFonts w:hint="eastAsia" w:ascii="ºÚÌå" w:hAnsi="ºÚÌå" w:eastAsia="ºÚÌå" w:cs="ºÚÌå"/>
          <w:sz w:val="36"/>
        </w:rPr>
        <w:t>首次公开发行股票招股说明书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660"/>
        <w:gridCol w:w="5860"/>
      </w:tblGrid>
      <w:tr>
        <w:trPr>
          <w:trHeight w:val="540" w:hRule="exact"/>
        </w:trPr>
        <w:tc>
          <w:tcPr>
            <w:tcW w:w="2660" w:type="dxa"/>
            <w:tcMar>
              <w:top w:w="0" w:type="dxa"/>
              <w:left w:w="0" w:type="dxa"/>
              <w:bottom w:w="0" w:type="dxa"/>
              <w:right w:w="0" w:type="dxa"/>
            </w:tcMar>
          </w:tcPr>
          <w:p>
            <w:pPr>
              <w:spacing w:before="120"/>
            </w:pPr>
            <w:r>
              <w:rPr>
                <w:rFonts w:hint="eastAsia" w:ascii="宋体" w:hAnsi="宋体" w:eastAsia="宋体" w:cs="宋体"/>
                <w:sz w:val="24"/>
              </w:rPr>
              <w:t>发行股票类型</w:t>
            </w:r>
          </w:p>
        </w:tc>
        <w:tc>
          <w:tcPr>
            <w:tcW w:w="5860" w:type="dxa"/>
            <w:tcMar>
              <w:top w:w="0" w:type="dxa"/>
              <w:left w:w="0" w:type="dxa"/>
              <w:bottom w:w="0" w:type="dxa"/>
              <w:right w:w="0" w:type="dxa"/>
            </w:tcMar>
          </w:tcPr>
          <w:p>
            <w:pPr>
              <w:spacing w:before="120"/>
            </w:pPr>
            <w:r>
              <w:rPr>
                <w:rFonts w:hint="eastAsia" w:ascii="宋体" w:hAnsi="宋体" w:eastAsia="宋体" w:cs="宋体"/>
                <w:sz w:val="24"/>
              </w:rPr>
              <w:t>人民币普通股（</w:t>
            </w:r>
            <w:r>
              <w:rPr>
                <w:rFonts w:hint="eastAsia" w:ascii="Times New Roman" w:hAnsi="Times New Roman" w:eastAsia="Times New Roman" w:cs="Times New Roman"/>
                <w:sz w:val="24"/>
              </w:rPr>
              <w:t>A</w:t>
            </w:r>
            <w:r>
              <w:rPr>
                <w:rFonts w:hint="eastAsia" w:ascii="宋体" w:hAnsi="宋体" w:eastAsia="宋体" w:cs="宋体"/>
                <w:sz w:val="24"/>
              </w:rPr>
              <w:t xml:space="preserve"> 股）</w:t>
            </w:r>
          </w:p>
        </w:tc>
      </w:tr>
      <w:tr>
        <w:trPr>
          <w:trHeight w:val="540" w:hRule="exact"/>
        </w:trPr>
        <w:tc>
          <w:tcPr>
            <w:tcW w:w="2660" w:type="dxa"/>
            <w:tcMar>
              <w:top w:w="0" w:type="dxa"/>
              <w:left w:w="0" w:type="dxa"/>
              <w:bottom w:w="0" w:type="dxa"/>
              <w:right w:w="0" w:type="dxa"/>
            </w:tcMar>
          </w:tcPr>
          <w:p>
            <w:pPr>
              <w:spacing w:before="120"/>
            </w:pPr>
            <w:r>
              <w:rPr>
                <w:rFonts w:hint="eastAsia" w:ascii="宋体" w:hAnsi="宋体" w:eastAsia="宋体" w:cs="宋体"/>
                <w:sz w:val="24"/>
              </w:rPr>
              <w:t>本次拟发行股数</w:t>
            </w:r>
          </w:p>
        </w:tc>
        <w:tc>
          <w:tcPr>
            <w:tcW w:w="5860" w:type="dxa"/>
            <w:tcMar>
              <w:top w:w="0" w:type="dxa"/>
              <w:left w:w="0" w:type="dxa"/>
              <w:bottom w:w="0" w:type="dxa"/>
              <w:right w:w="0" w:type="dxa"/>
            </w:tcMar>
          </w:tcPr>
          <w:p>
            <w:pPr>
              <w:spacing w:before="120"/>
            </w:pPr>
            <w:r>
              <w:rPr>
                <w:rFonts w:hint="eastAsia" w:ascii="宋体" w:hAnsi="宋体" w:eastAsia="宋体" w:cs="宋体"/>
                <w:sz w:val="24"/>
              </w:rPr>
              <w:t>不超过</w:t>
            </w:r>
            <w:r>
              <w:rPr>
                <w:rFonts w:hint="eastAsia" w:ascii="Times New Roman" w:hAnsi="Times New Roman" w:eastAsia="Times New Roman" w:cs="Times New Roman"/>
                <w:sz w:val="24"/>
              </w:rPr>
              <w:t xml:space="preserve"> 2,105</w:t>
            </w:r>
            <w:r>
              <w:rPr>
                <w:rFonts w:hint="eastAsia" w:ascii="宋体" w:hAnsi="宋体" w:eastAsia="宋体" w:cs="宋体"/>
                <w:sz w:val="24"/>
              </w:rPr>
              <w:t xml:space="preserve"> 万股</w:t>
            </w:r>
          </w:p>
        </w:tc>
      </w:tr>
      <w:tr>
        <w:trPr>
          <w:trHeight w:val="540" w:hRule="exact"/>
        </w:trPr>
        <w:tc>
          <w:tcPr>
            <w:tcW w:w="2660" w:type="dxa"/>
            <w:tcMar>
              <w:top w:w="0" w:type="dxa"/>
              <w:left w:w="0" w:type="dxa"/>
              <w:bottom w:w="0" w:type="dxa"/>
              <w:right w:w="0" w:type="dxa"/>
            </w:tcMar>
          </w:tcPr>
          <w:p>
            <w:pPr>
              <w:spacing w:before="120"/>
            </w:pPr>
            <w:r>
              <w:rPr>
                <w:rFonts w:hint="eastAsia" w:ascii="宋体" w:hAnsi="宋体" w:eastAsia="宋体" w:cs="宋体"/>
                <w:sz w:val="24"/>
              </w:rPr>
              <w:t>每股面值</w:t>
            </w:r>
          </w:p>
        </w:tc>
        <w:tc>
          <w:tcPr>
            <w:tcW w:w="5860" w:type="dxa"/>
            <w:tcMar>
              <w:top w:w="0" w:type="dxa"/>
              <w:left w:w="0" w:type="dxa"/>
              <w:bottom w:w="0" w:type="dxa"/>
              <w:right w:w="0" w:type="dxa"/>
            </w:tcMar>
          </w:tcPr>
          <w:p>
            <w:pPr>
              <w:spacing w:before="140"/>
            </w:pPr>
            <w:r>
              <w:rPr>
                <w:rFonts w:hint="eastAsia" w:ascii="Times New Roman" w:hAnsi="Times New Roman" w:eastAsia="Times New Roman" w:cs="Times New Roman"/>
                <w:sz w:val="24"/>
              </w:rPr>
              <w:t>1.00</w:t>
            </w:r>
            <w:r>
              <w:rPr>
                <w:rFonts w:hint="eastAsia" w:ascii="宋体" w:hAnsi="宋体" w:eastAsia="宋体" w:cs="宋体"/>
                <w:sz w:val="24"/>
              </w:rPr>
              <w:t xml:space="preserve"> 元</w:t>
            </w:r>
          </w:p>
        </w:tc>
      </w:tr>
      <w:tr>
        <w:trPr>
          <w:trHeight w:val="540" w:hRule="exact"/>
        </w:trPr>
        <w:tc>
          <w:tcPr>
            <w:tcW w:w="2660" w:type="dxa"/>
            <w:tcMar>
              <w:top w:w="0" w:type="dxa"/>
              <w:left w:w="0" w:type="dxa"/>
              <w:bottom w:w="0" w:type="dxa"/>
              <w:right w:w="0" w:type="dxa"/>
            </w:tcMar>
          </w:tcPr>
          <w:p>
            <w:pPr>
              <w:spacing w:before="100"/>
            </w:pPr>
            <w:r>
              <w:rPr>
                <w:rFonts w:hint="eastAsia" w:ascii="宋体" w:hAnsi="宋体" w:eastAsia="宋体" w:cs="宋体"/>
                <w:sz w:val="24"/>
              </w:rPr>
              <w:t>每股发行价</w:t>
            </w:r>
          </w:p>
        </w:tc>
        <w:tc>
          <w:tcPr>
            <w:tcW w:w="5860" w:type="dxa"/>
            <w:tcMar>
              <w:top w:w="0" w:type="dxa"/>
              <w:left w:w="0" w:type="dxa"/>
              <w:bottom w:w="0" w:type="dxa"/>
              <w:right w:w="0" w:type="dxa"/>
            </w:tcMar>
          </w:tcPr>
          <w:p>
            <w:pPr>
              <w:spacing w:before="140"/>
            </w:pPr>
            <w:r>
              <w:rPr>
                <w:rFonts w:hint="eastAsia" w:ascii="Times New Roman" w:hAnsi="Times New Roman" w:eastAsia="Times New Roman" w:cs="Times New Roman"/>
                <w:sz w:val="24"/>
              </w:rPr>
              <w:t>19.05</w:t>
            </w:r>
            <w:r>
              <w:rPr>
                <w:rFonts w:hint="eastAsia" w:ascii="宋体" w:hAnsi="宋体" w:eastAsia="宋体" w:cs="宋体"/>
                <w:sz w:val="24"/>
              </w:rPr>
              <w:t xml:space="preserve"> 元</w:t>
            </w:r>
            <w:r>
              <w:rPr>
                <w:rFonts w:hint="eastAsia" w:ascii="Times New Roman" w:hAnsi="Times New Roman" w:eastAsia="Times New Roman" w:cs="Times New Roman"/>
                <w:sz w:val="24"/>
              </w:rPr>
              <w:t>/</w:t>
            </w:r>
            <w:r>
              <w:rPr>
                <w:rFonts w:hint="eastAsia" w:ascii="宋体" w:hAnsi="宋体" w:eastAsia="宋体" w:cs="宋体"/>
                <w:sz w:val="24"/>
              </w:rPr>
              <w:t>股</w:t>
            </w:r>
          </w:p>
        </w:tc>
      </w:tr>
      <w:tr>
        <w:trPr>
          <w:trHeight w:val="540" w:hRule="exact"/>
        </w:trPr>
        <w:tc>
          <w:tcPr>
            <w:tcW w:w="2660" w:type="dxa"/>
            <w:tcMar>
              <w:top w:w="0" w:type="dxa"/>
              <w:left w:w="0" w:type="dxa"/>
              <w:bottom w:w="0" w:type="dxa"/>
              <w:right w:w="0" w:type="dxa"/>
            </w:tcMar>
          </w:tcPr>
          <w:p>
            <w:pPr>
              <w:spacing w:before="120"/>
            </w:pPr>
            <w:r>
              <w:rPr>
                <w:rFonts w:hint="eastAsia" w:ascii="宋体" w:hAnsi="宋体" w:eastAsia="宋体" w:cs="宋体"/>
                <w:sz w:val="24"/>
              </w:rPr>
              <w:t>预计发行日期</w:t>
            </w:r>
          </w:p>
        </w:tc>
        <w:tc>
          <w:tcPr>
            <w:tcW w:w="5860" w:type="dxa"/>
            <w:tcMar>
              <w:top w:w="0" w:type="dxa"/>
              <w:left w:w="0" w:type="dxa"/>
              <w:bottom w:w="0" w:type="dxa"/>
              <w:right w:w="0" w:type="dxa"/>
            </w:tcMar>
          </w:tcPr>
          <w:p>
            <w:pPr>
              <w:spacing w:before="120"/>
            </w:pP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w:t>
            </w:r>
          </w:p>
        </w:tc>
      </w:tr>
      <w:tr>
        <w:trPr>
          <w:trHeight w:val="540" w:hRule="exact"/>
        </w:trPr>
        <w:tc>
          <w:tcPr>
            <w:tcW w:w="2660" w:type="dxa"/>
            <w:tcMar>
              <w:top w:w="0" w:type="dxa"/>
              <w:left w:w="0" w:type="dxa"/>
              <w:bottom w:w="0" w:type="dxa"/>
              <w:right w:w="0" w:type="dxa"/>
            </w:tcMar>
          </w:tcPr>
          <w:p>
            <w:pPr>
              <w:spacing w:before="120"/>
            </w:pPr>
            <w:r>
              <w:rPr>
                <w:rFonts w:hint="eastAsia" w:ascii="宋体" w:hAnsi="宋体" w:eastAsia="宋体" w:cs="宋体"/>
                <w:sz w:val="24"/>
              </w:rPr>
              <w:t>预计上市的证券交易所</w:t>
            </w:r>
          </w:p>
        </w:tc>
        <w:tc>
          <w:tcPr>
            <w:tcW w:w="5860" w:type="dxa"/>
            <w:tcMar>
              <w:top w:w="0" w:type="dxa"/>
              <w:left w:w="0" w:type="dxa"/>
              <w:bottom w:w="0" w:type="dxa"/>
              <w:right w:w="0" w:type="dxa"/>
            </w:tcMar>
          </w:tcPr>
          <w:p>
            <w:pPr>
              <w:spacing w:before="120"/>
            </w:pPr>
            <w:r>
              <w:rPr>
                <w:rFonts w:hint="eastAsia" w:ascii="宋体" w:hAnsi="宋体" w:eastAsia="宋体" w:cs="宋体"/>
                <w:sz w:val="24"/>
              </w:rPr>
              <w:t>上海证券交易所</w:t>
            </w:r>
          </w:p>
        </w:tc>
      </w:tr>
      <w:tr>
        <w:trPr>
          <w:trHeight w:val="540" w:hRule="exact"/>
        </w:trPr>
        <w:tc>
          <w:tcPr>
            <w:tcW w:w="2660" w:type="dxa"/>
            <w:tcMar>
              <w:top w:w="0" w:type="dxa"/>
              <w:left w:w="0" w:type="dxa"/>
              <w:bottom w:w="0" w:type="dxa"/>
              <w:right w:w="0" w:type="dxa"/>
            </w:tcMar>
          </w:tcPr>
          <w:p>
            <w:pPr>
              <w:spacing w:before="120"/>
            </w:pPr>
            <w:r>
              <w:rPr>
                <w:rFonts w:hint="eastAsia" w:ascii="宋体" w:hAnsi="宋体" w:eastAsia="宋体" w:cs="宋体"/>
                <w:sz w:val="24"/>
              </w:rPr>
              <w:t>发行后总股本</w:t>
            </w:r>
          </w:p>
        </w:tc>
        <w:tc>
          <w:tcPr>
            <w:tcW w:w="5860" w:type="dxa"/>
            <w:tcMar>
              <w:top w:w="0" w:type="dxa"/>
              <w:left w:w="0" w:type="dxa"/>
              <w:bottom w:w="0" w:type="dxa"/>
              <w:right w:w="0" w:type="dxa"/>
            </w:tcMar>
          </w:tcPr>
          <w:p>
            <w:pPr>
              <w:spacing w:before="120"/>
            </w:pPr>
            <w:r>
              <w:rPr>
                <w:rFonts w:hint="eastAsia" w:ascii="宋体" w:hAnsi="宋体" w:eastAsia="宋体" w:cs="宋体"/>
                <w:sz w:val="24"/>
              </w:rPr>
              <w:t>不超过</w:t>
            </w:r>
            <w:r>
              <w:rPr>
                <w:rFonts w:hint="eastAsia" w:ascii="Times New Roman" w:hAnsi="Times New Roman" w:eastAsia="Times New Roman" w:cs="Times New Roman"/>
                <w:sz w:val="24"/>
              </w:rPr>
              <w:t xml:space="preserve"> 8,419</w:t>
            </w:r>
            <w:r>
              <w:rPr>
                <w:rFonts w:hint="eastAsia" w:ascii="宋体" w:hAnsi="宋体" w:eastAsia="宋体" w:cs="宋体"/>
                <w:sz w:val="24"/>
              </w:rPr>
              <w:t xml:space="preserve"> 万股</w:t>
            </w:r>
          </w:p>
        </w:tc>
      </w:tr>
      <w:tr>
        <w:trPr>
          <w:trHeight w:val="480" w:hRule="exact"/>
        </w:trPr>
        <w:tc>
          <w:tcPr>
            <w:tcW w:w="8520" w:type="dxa"/>
            <w:gridSpan w:val="2"/>
            <w:tcMar>
              <w:top w:w="0" w:type="dxa"/>
              <w:left w:w="0" w:type="dxa"/>
              <w:bottom w:w="0" w:type="dxa"/>
              <w:right w:w="0" w:type="dxa"/>
            </w:tcMar>
          </w:tcPr>
          <w:p>
            <w:pPr>
              <w:spacing w:before="100"/>
              <w:ind w:left="500"/>
            </w:pPr>
            <w:r>
              <w:rPr>
                <w:rFonts w:hint="eastAsia" w:ascii="宋体" w:hAnsi="宋体" w:eastAsia="宋体" w:cs="宋体"/>
                <w:b/>
                <w:sz w:val="24"/>
              </w:rPr>
              <w:t>本次发行前股东所持股份的流通限制和股东对所持股份自愿锁定的承诺</w:t>
            </w:r>
          </w:p>
        </w:tc>
      </w:tr>
      <w:tr>
        <w:trPr>
          <w:trHeight w:val="7480" w:hRule="exact"/>
        </w:trPr>
        <w:tc>
          <w:tcPr>
            <w:tcW w:w="8520" w:type="dxa"/>
            <w:gridSpan w:val="2"/>
            <w:tcMar>
              <w:top w:w="0" w:type="dxa"/>
              <w:left w:w="0" w:type="dxa"/>
              <w:bottom w:w="0" w:type="dxa"/>
              <w:right w:w="0" w:type="dxa"/>
            </w:tcMar>
          </w:tcPr>
          <w:p>
            <w:pPr>
              <w:spacing w:before="80"/>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公司控股股东及实际控制人严孟宇</w:t>
            </w:r>
            <w:r>
              <w:rPr>
                <w:rFonts w:hint="eastAsia" w:ascii="宋体" w:hAnsi="宋体" w:eastAsia="宋体" w:cs="宋体"/>
                <w:sz w:val="10"/>
              </w:rPr>
              <w:t>、</w:t>
            </w:r>
            <w:r>
              <w:rPr>
                <w:rFonts w:hint="eastAsia" w:ascii="宋体" w:hAnsi="宋体" w:eastAsia="宋体" w:cs="宋体"/>
                <w:sz w:val="24"/>
              </w:rPr>
              <w:t>法人股东爱派克承诺</w:t>
            </w:r>
            <w:r>
              <w:rPr>
                <w:rFonts w:hint="eastAsia" w:ascii="宋体" w:hAnsi="宋体" w:eastAsia="宋体" w:cs="宋体"/>
                <w:sz w:val="12"/>
              </w:rPr>
              <w:t>：</w:t>
            </w:r>
            <w:r>
              <w:rPr>
                <w:rFonts w:hint="eastAsia" w:ascii="宋体" w:hAnsi="宋体" w:eastAsia="宋体" w:cs="宋体"/>
                <w:sz w:val="24"/>
              </w:rPr>
              <w:t>自公司股票在上</w:t>
            </w:r>
          </w:p>
          <w:p>
            <w:pPr>
              <w:spacing w:before="240"/>
            </w:pPr>
            <w:r>
              <w:rPr>
                <w:rFonts w:hint="eastAsia" w:ascii="宋体" w:hAnsi="宋体" w:eastAsia="宋体" w:cs="宋体"/>
                <w:sz w:val="24"/>
              </w:rPr>
              <w:t>海证券交易所上市交易之日起三十六个月内</w:t>
            </w:r>
            <w:r>
              <w:rPr>
                <w:rFonts w:hint="eastAsia" w:ascii="宋体" w:hAnsi="宋体" w:eastAsia="宋体" w:cs="宋体"/>
                <w:sz w:val="10"/>
              </w:rPr>
              <w:t>，</w:t>
            </w:r>
            <w:r>
              <w:rPr>
                <w:rFonts w:hint="eastAsia" w:ascii="宋体" w:hAnsi="宋体" w:eastAsia="宋体" w:cs="宋体"/>
                <w:sz w:val="24"/>
              </w:rPr>
              <w:t>不转让或委托他人管理其在顶点软</w:t>
            </w:r>
          </w:p>
          <w:p>
            <w:pPr>
              <w:spacing w:before="220"/>
            </w:pPr>
            <w:r>
              <w:rPr>
                <w:rFonts w:hint="eastAsia" w:ascii="宋体" w:hAnsi="宋体" w:eastAsia="宋体" w:cs="宋体"/>
                <w:sz w:val="24"/>
              </w:rPr>
              <w:t>件本次发行前持有的顶点软件的股份</w:t>
            </w:r>
            <w:r>
              <w:rPr>
                <w:rFonts w:hint="eastAsia" w:ascii="宋体" w:hAnsi="宋体" w:eastAsia="宋体" w:cs="宋体"/>
                <w:sz w:val="10"/>
              </w:rPr>
              <w:t>，</w:t>
            </w:r>
            <w:r>
              <w:rPr>
                <w:rFonts w:hint="eastAsia" w:ascii="宋体" w:hAnsi="宋体" w:eastAsia="宋体" w:cs="宋体"/>
                <w:sz w:val="24"/>
              </w:rPr>
              <w:t>也不由顶点软件回购该股份</w:t>
            </w:r>
            <w:r>
              <w:rPr>
                <w:rFonts w:hint="eastAsia" w:ascii="宋体" w:hAnsi="宋体" w:eastAsia="宋体" w:cs="宋体"/>
                <w:sz w:val="10"/>
              </w:rPr>
              <w:t>。</w:t>
            </w:r>
          </w:p>
          <w:p>
            <w:pPr>
              <w:spacing w:before="240"/>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公司法人股东金石投资承诺</w:t>
            </w:r>
            <w:r>
              <w:rPr>
                <w:rFonts w:hint="eastAsia" w:ascii="宋体" w:hAnsi="宋体" w:eastAsia="宋体" w:cs="宋体"/>
                <w:sz w:val="12"/>
              </w:rPr>
              <w:t>：</w:t>
            </w:r>
            <w:r>
              <w:rPr>
                <w:rFonts w:hint="eastAsia" w:ascii="宋体" w:hAnsi="宋体" w:eastAsia="宋体" w:cs="宋体"/>
                <w:sz w:val="24"/>
              </w:rPr>
              <w:t>自顶点软件股票在上海证券交易所上市交易之</w:t>
            </w:r>
          </w:p>
          <w:p>
            <w:pPr>
              <w:spacing w:before="200"/>
            </w:pPr>
            <w:r>
              <w:rPr>
                <w:rFonts w:hint="eastAsia" w:ascii="宋体" w:hAnsi="宋体" w:eastAsia="宋体" w:cs="宋体"/>
                <w:sz w:val="24"/>
              </w:rPr>
              <w:t>日起三十六个月内</w:t>
            </w:r>
            <w:r>
              <w:rPr>
                <w:rFonts w:hint="eastAsia" w:ascii="宋体" w:hAnsi="宋体" w:eastAsia="宋体" w:cs="宋体"/>
                <w:sz w:val="10"/>
              </w:rPr>
              <w:t>，</w:t>
            </w:r>
            <w:r>
              <w:rPr>
                <w:rFonts w:hint="eastAsia" w:ascii="宋体" w:hAnsi="宋体" w:eastAsia="宋体" w:cs="宋体"/>
                <w:sz w:val="24"/>
              </w:rPr>
              <w:t>不转让或者委托他人管理本公司直接持有的顶点软件公开发</w:t>
            </w:r>
          </w:p>
          <w:p>
            <w:pPr>
              <w:spacing w:before="220"/>
            </w:pPr>
            <w:r>
              <w:rPr>
                <w:rFonts w:hint="eastAsia" w:ascii="宋体" w:hAnsi="宋体" w:eastAsia="宋体" w:cs="宋体"/>
                <w:sz w:val="24"/>
              </w:rPr>
              <w:t>行股票前已发行的股份</w:t>
            </w:r>
            <w:r>
              <w:rPr>
                <w:rFonts w:hint="eastAsia" w:ascii="宋体" w:hAnsi="宋体" w:eastAsia="宋体" w:cs="宋体"/>
                <w:sz w:val="10"/>
              </w:rPr>
              <w:t>，</w:t>
            </w:r>
            <w:r>
              <w:rPr>
                <w:rFonts w:hint="eastAsia" w:ascii="宋体" w:hAnsi="宋体" w:eastAsia="宋体" w:cs="宋体"/>
                <w:sz w:val="24"/>
              </w:rPr>
              <w:t>也不由顶点软件回购本公司直接持有的顶点软件公开发</w:t>
            </w:r>
          </w:p>
          <w:p>
            <w:pPr>
              <w:spacing w:before="240"/>
            </w:pPr>
            <w:r>
              <w:rPr>
                <w:rFonts w:hint="eastAsia" w:ascii="宋体" w:hAnsi="宋体" w:eastAsia="宋体" w:cs="宋体"/>
                <w:sz w:val="24"/>
              </w:rPr>
              <w:t>行股票前已发行的股份</w:t>
            </w:r>
            <w:r>
              <w:rPr>
                <w:rFonts w:hint="eastAsia" w:ascii="宋体" w:hAnsi="宋体" w:eastAsia="宋体" w:cs="宋体"/>
                <w:sz w:val="10"/>
              </w:rPr>
              <w:t>。</w:t>
            </w:r>
          </w:p>
          <w:p>
            <w:pPr>
              <w:spacing w:before="200"/>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公司自然人股东赵伟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戴小戈</w:t>
            </w:r>
            <w:r>
              <w:rPr>
                <w:rFonts w:hint="eastAsia" w:ascii="宋体" w:hAnsi="宋体" w:eastAsia="宋体" w:cs="宋体"/>
                <w:sz w:val="10"/>
              </w:rPr>
              <w:t>、</w:t>
            </w:r>
            <w:r>
              <w:rPr>
                <w:rFonts w:hint="eastAsia" w:ascii="宋体" w:hAnsi="宋体" w:eastAsia="宋体" w:cs="宋体"/>
                <w:sz w:val="24"/>
              </w:rPr>
              <w:t>欧永</w:t>
            </w:r>
            <w:r>
              <w:rPr>
                <w:rFonts w:hint="eastAsia" w:ascii="宋体" w:hAnsi="宋体" w:eastAsia="宋体" w:cs="宋体"/>
                <w:sz w:val="10"/>
              </w:rPr>
              <w:t>、</w:t>
            </w:r>
            <w:r>
              <w:rPr>
                <w:rFonts w:hint="eastAsia" w:ascii="宋体" w:hAnsi="宋体" w:eastAsia="宋体" w:cs="宋体"/>
                <w:sz w:val="24"/>
              </w:rPr>
              <w:t>林秀红</w:t>
            </w:r>
            <w:r>
              <w:rPr>
                <w:rFonts w:hint="eastAsia" w:ascii="宋体" w:hAnsi="宋体" w:eastAsia="宋体" w:cs="宋体"/>
                <w:sz w:val="10"/>
              </w:rPr>
              <w:t>、</w:t>
            </w:r>
            <w:r>
              <w:rPr>
                <w:rFonts w:hint="eastAsia" w:ascii="宋体" w:hAnsi="宋体" w:eastAsia="宋体" w:cs="宋体"/>
                <w:sz w:val="24"/>
              </w:rPr>
              <w:t>郑元通</w:t>
            </w:r>
            <w:r>
              <w:rPr>
                <w:rFonts w:hint="eastAsia" w:ascii="宋体" w:hAnsi="宋体" w:eastAsia="宋体" w:cs="宋体"/>
                <w:sz w:val="10"/>
              </w:rPr>
              <w:t>、</w:t>
            </w:r>
            <w:r>
              <w:rPr>
                <w:rFonts w:hint="eastAsia" w:ascii="宋体" w:hAnsi="宋体" w:eastAsia="宋体" w:cs="宋体"/>
                <w:sz w:val="24"/>
              </w:rPr>
              <w:t>赵莹</w:t>
            </w:r>
            <w:r>
              <w:rPr>
                <w:rFonts w:hint="eastAsia" w:ascii="宋体" w:hAnsi="宋体" w:eastAsia="宋体" w:cs="宋体"/>
                <w:sz w:val="10"/>
              </w:rPr>
              <w:t>、</w:t>
            </w:r>
            <w:r>
              <w:rPr>
                <w:rFonts w:hint="eastAsia" w:ascii="宋体" w:hAnsi="宋体" w:eastAsia="宋体" w:cs="宋体"/>
                <w:sz w:val="24"/>
              </w:rPr>
              <w:t>余</w:t>
            </w:r>
          </w:p>
          <w:p>
            <w:pPr>
              <w:spacing w:before="240"/>
            </w:pPr>
            <w:r>
              <w:rPr>
                <w:rFonts w:hint="eastAsia" w:ascii="宋体" w:hAnsi="宋体" w:eastAsia="宋体" w:cs="宋体"/>
                <w:sz w:val="24"/>
              </w:rPr>
              <w:t>养成</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张玉</w:t>
            </w:r>
            <w:r>
              <w:rPr>
                <w:rFonts w:hint="eastAsia" w:ascii="宋体" w:hAnsi="宋体" w:eastAsia="宋体" w:cs="宋体"/>
                <w:sz w:val="10"/>
              </w:rPr>
              <w:t>、</w:t>
            </w:r>
            <w:r>
              <w:rPr>
                <w:rFonts w:hint="eastAsia" w:ascii="宋体" w:hAnsi="宋体" w:eastAsia="宋体" w:cs="宋体"/>
                <w:sz w:val="24"/>
              </w:rPr>
              <w:t>刘法先</w:t>
            </w:r>
            <w:r>
              <w:rPr>
                <w:rFonts w:hint="eastAsia" w:ascii="宋体" w:hAnsi="宋体" w:eastAsia="宋体" w:cs="宋体"/>
                <w:sz w:val="10"/>
              </w:rPr>
              <w:t>、</w:t>
            </w:r>
            <w:r>
              <w:rPr>
                <w:rFonts w:hint="eastAsia" w:ascii="宋体" w:hAnsi="宋体" w:eastAsia="宋体" w:cs="宋体"/>
                <w:sz w:val="24"/>
              </w:rPr>
              <w:t>徐传秋</w:t>
            </w:r>
            <w:r>
              <w:rPr>
                <w:rFonts w:hint="eastAsia" w:ascii="宋体" w:hAnsi="宋体" w:eastAsia="宋体" w:cs="宋体"/>
                <w:sz w:val="10"/>
              </w:rPr>
              <w:t>、</w:t>
            </w:r>
            <w:r>
              <w:rPr>
                <w:rFonts w:hint="eastAsia" w:ascii="宋体" w:hAnsi="宋体" w:eastAsia="宋体" w:cs="宋体"/>
                <w:sz w:val="24"/>
              </w:rPr>
              <w:t>邓志强</w:t>
            </w:r>
            <w:r>
              <w:rPr>
                <w:rFonts w:hint="eastAsia" w:ascii="宋体" w:hAnsi="宋体" w:eastAsia="宋体" w:cs="宋体"/>
                <w:sz w:val="10"/>
              </w:rPr>
              <w:t>、</w:t>
            </w:r>
            <w:r>
              <w:rPr>
                <w:rFonts w:hint="eastAsia" w:ascii="宋体" w:hAnsi="宋体" w:eastAsia="宋体" w:cs="宋体"/>
                <w:sz w:val="24"/>
              </w:rPr>
              <w:t>王敏航</w:t>
            </w:r>
            <w:r>
              <w:rPr>
                <w:rFonts w:hint="eastAsia" w:ascii="宋体" w:hAnsi="宋体" w:eastAsia="宋体" w:cs="宋体"/>
                <w:sz w:val="10"/>
              </w:rPr>
              <w:t>、</w:t>
            </w:r>
            <w:r>
              <w:rPr>
                <w:rFonts w:hint="eastAsia" w:ascii="宋体" w:hAnsi="宋体" w:eastAsia="宋体" w:cs="宋体"/>
                <w:sz w:val="24"/>
              </w:rPr>
              <w:t>张雄金</w:t>
            </w:r>
            <w:r>
              <w:rPr>
                <w:rFonts w:hint="eastAsia" w:ascii="宋体" w:hAnsi="宋体" w:eastAsia="宋体" w:cs="宋体"/>
                <w:sz w:val="10"/>
              </w:rPr>
              <w:t>、</w:t>
            </w:r>
            <w:r>
              <w:rPr>
                <w:rFonts w:hint="eastAsia" w:ascii="宋体" w:hAnsi="宋体" w:eastAsia="宋体" w:cs="宋体"/>
                <w:sz w:val="24"/>
              </w:rPr>
              <w:t>鄢继华</w:t>
            </w:r>
            <w:r>
              <w:rPr>
                <w:rFonts w:hint="eastAsia" w:ascii="宋体" w:hAnsi="宋体" w:eastAsia="宋体" w:cs="宋体"/>
                <w:sz w:val="10"/>
              </w:rPr>
              <w:t>、</w:t>
            </w:r>
            <w:r>
              <w:rPr>
                <w:rFonts w:hint="eastAsia" w:ascii="宋体" w:hAnsi="宋体" w:eastAsia="宋体" w:cs="宋体"/>
                <w:sz w:val="24"/>
              </w:rPr>
              <w:t>谢</w:t>
            </w:r>
          </w:p>
          <w:p>
            <w:pPr>
              <w:spacing w:before="220"/>
            </w:pPr>
            <w:r>
              <w:rPr>
                <w:rFonts w:hint="eastAsia" w:ascii="宋体" w:hAnsi="宋体" w:eastAsia="宋体" w:cs="宋体"/>
                <w:sz w:val="24"/>
              </w:rPr>
              <w:t>淑仁</w:t>
            </w:r>
            <w:r>
              <w:rPr>
                <w:rFonts w:hint="eastAsia" w:ascii="宋体" w:hAnsi="宋体" w:eastAsia="宋体" w:cs="宋体"/>
                <w:sz w:val="10"/>
              </w:rPr>
              <w:t>、</w:t>
            </w:r>
            <w:r>
              <w:rPr>
                <w:rFonts w:hint="eastAsia" w:ascii="宋体" w:hAnsi="宋体" w:eastAsia="宋体" w:cs="宋体"/>
                <w:sz w:val="24"/>
              </w:rPr>
              <w:t>陈瑞德</w:t>
            </w:r>
            <w:r>
              <w:rPr>
                <w:rFonts w:hint="eastAsia" w:ascii="宋体" w:hAnsi="宋体" w:eastAsia="宋体" w:cs="宋体"/>
                <w:sz w:val="10"/>
              </w:rPr>
              <w:t>、</w:t>
            </w:r>
            <w:r>
              <w:rPr>
                <w:rFonts w:hint="eastAsia" w:ascii="宋体" w:hAnsi="宋体" w:eastAsia="宋体" w:cs="宋体"/>
                <w:sz w:val="24"/>
              </w:rPr>
              <w:t>陈建国承诺</w:t>
            </w:r>
            <w:r>
              <w:rPr>
                <w:rFonts w:hint="eastAsia" w:ascii="宋体" w:hAnsi="宋体" w:eastAsia="宋体" w:cs="宋体"/>
                <w:sz w:val="10"/>
              </w:rPr>
              <w:t>：</w:t>
            </w:r>
            <w:r>
              <w:rPr>
                <w:rFonts w:hint="eastAsia" w:ascii="宋体" w:hAnsi="宋体" w:eastAsia="宋体" w:cs="宋体"/>
                <w:sz w:val="24"/>
              </w:rPr>
              <w:t>自公司股票在上海证券交易所上市交易之日起十二</w:t>
            </w:r>
          </w:p>
          <w:p>
            <w:pPr>
              <w:spacing w:before="240"/>
            </w:pPr>
            <w:r>
              <w:rPr>
                <w:rFonts w:hint="eastAsia" w:ascii="宋体" w:hAnsi="宋体" w:eastAsia="宋体" w:cs="宋体"/>
                <w:sz w:val="24"/>
              </w:rPr>
              <w:t>个月内</w:t>
            </w:r>
            <w:r>
              <w:rPr>
                <w:rFonts w:hint="eastAsia" w:ascii="宋体" w:hAnsi="宋体" w:eastAsia="宋体" w:cs="宋体"/>
                <w:sz w:val="10"/>
              </w:rPr>
              <w:t>，</w:t>
            </w:r>
            <w:r>
              <w:rPr>
                <w:rFonts w:hint="eastAsia" w:ascii="宋体" w:hAnsi="宋体" w:eastAsia="宋体" w:cs="宋体"/>
                <w:sz w:val="24"/>
              </w:rPr>
              <w:t>不转让或委托他人管理其在顶点软件本次发行前持有的顶点软件的股</w:t>
            </w:r>
          </w:p>
          <w:p>
            <w:pPr>
              <w:spacing w:before="220"/>
            </w:pPr>
            <w:r>
              <w:rPr>
                <w:rFonts w:hint="eastAsia" w:ascii="宋体" w:hAnsi="宋体" w:eastAsia="宋体" w:cs="宋体"/>
                <w:sz w:val="24"/>
              </w:rPr>
              <w:t>份</w:t>
            </w:r>
            <w:r>
              <w:rPr>
                <w:rFonts w:hint="eastAsia" w:ascii="宋体" w:hAnsi="宋体" w:eastAsia="宋体" w:cs="宋体"/>
                <w:sz w:val="10"/>
              </w:rPr>
              <w:t>，</w:t>
            </w:r>
            <w:r>
              <w:rPr>
                <w:rFonts w:hint="eastAsia" w:ascii="宋体" w:hAnsi="宋体" w:eastAsia="宋体" w:cs="宋体"/>
                <w:sz w:val="24"/>
              </w:rPr>
              <w:t>也不由顶点软件回购该股份</w:t>
            </w:r>
            <w:r>
              <w:rPr>
                <w:rFonts w:hint="eastAsia" w:ascii="宋体" w:hAnsi="宋体" w:eastAsia="宋体" w:cs="宋体"/>
                <w:sz w:val="10"/>
              </w:rPr>
              <w:t>。</w:t>
            </w:r>
          </w:p>
          <w:p>
            <w:pPr>
              <w:spacing w:before="220"/>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直接持有公司股份的董事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高级管理人员严孟宇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欧</w:t>
            </w:r>
          </w:p>
          <w:p>
            <w:pPr>
              <w:spacing w:before="240"/>
            </w:pPr>
            <w:r>
              <w:rPr>
                <w:rFonts w:hint="eastAsia" w:ascii="宋体" w:hAnsi="宋体" w:eastAsia="宋体" w:cs="宋体"/>
                <w:sz w:val="24"/>
              </w:rPr>
              <w:t>永</w:t>
            </w:r>
            <w:r>
              <w:rPr>
                <w:rFonts w:hint="eastAsia" w:ascii="宋体" w:hAnsi="宋体" w:eastAsia="宋体" w:cs="宋体"/>
                <w:sz w:val="10"/>
              </w:rPr>
              <w:t>、</w:t>
            </w:r>
            <w:r>
              <w:rPr>
                <w:rFonts w:hint="eastAsia" w:ascii="宋体" w:hAnsi="宋体" w:eastAsia="宋体" w:cs="宋体"/>
                <w:sz w:val="24"/>
              </w:rPr>
              <w:t>郑元通承诺</w:t>
            </w:r>
            <w:r>
              <w:rPr>
                <w:rFonts w:hint="eastAsia" w:ascii="宋体" w:hAnsi="宋体" w:eastAsia="宋体" w:cs="宋体"/>
                <w:sz w:val="12"/>
              </w:rPr>
              <w:t>：</w:t>
            </w:r>
            <w:r>
              <w:rPr>
                <w:rFonts w:hint="eastAsia" w:ascii="宋体" w:hAnsi="宋体" w:eastAsia="宋体" w:cs="宋体"/>
                <w:sz w:val="24"/>
              </w:rPr>
              <w:t>除前述锁定期外</w:t>
            </w:r>
            <w:r>
              <w:rPr>
                <w:rFonts w:hint="eastAsia" w:ascii="宋体" w:hAnsi="宋体" w:eastAsia="宋体" w:cs="宋体"/>
                <w:sz w:val="10"/>
              </w:rPr>
              <w:t>，</w:t>
            </w:r>
            <w:r>
              <w:rPr>
                <w:rFonts w:hint="eastAsia" w:ascii="宋体" w:hAnsi="宋体" w:eastAsia="宋体" w:cs="宋体"/>
                <w:sz w:val="24"/>
              </w:rPr>
              <w:t>在其任职期间每年转让的股份不超过其持有</w:t>
            </w:r>
          </w:p>
          <w:p>
            <w:pPr>
              <w:spacing w:before="200"/>
            </w:pPr>
            <w:r>
              <w:rPr>
                <w:rFonts w:hint="eastAsia" w:ascii="宋体" w:hAnsi="宋体" w:eastAsia="宋体" w:cs="宋体"/>
                <w:sz w:val="24"/>
              </w:rPr>
              <w:t>的公司股份总数的百分之二十五</w:t>
            </w:r>
            <w:r>
              <w:rPr>
                <w:rFonts w:hint="eastAsia" w:ascii="宋体" w:hAnsi="宋体" w:eastAsia="宋体" w:cs="宋体"/>
                <w:sz w:val="12"/>
              </w:rPr>
              <w:t>；</w:t>
            </w:r>
            <w:r>
              <w:rPr>
                <w:rFonts w:hint="eastAsia" w:ascii="宋体" w:hAnsi="宋体" w:eastAsia="宋体" w:cs="宋体"/>
                <w:sz w:val="24"/>
              </w:rPr>
              <w:t>在离职后半年内</w:t>
            </w:r>
            <w:r>
              <w:rPr>
                <w:rFonts w:hint="eastAsia" w:ascii="宋体" w:hAnsi="宋体" w:eastAsia="宋体" w:cs="宋体"/>
                <w:sz w:val="10"/>
              </w:rPr>
              <w:t>，</w:t>
            </w:r>
            <w:r>
              <w:rPr>
                <w:rFonts w:hint="eastAsia" w:ascii="宋体" w:hAnsi="宋体" w:eastAsia="宋体" w:cs="宋体"/>
                <w:sz w:val="24"/>
              </w:rPr>
              <w:t>不转让其持有的公司股份</w:t>
            </w:r>
            <w:r>
              <w:rPr>
                <w:rFonts w:hint="eastAsia" w:ascii="宋体" w:hAnsi="宋体" w:eastAsia="宋体" w:cs="宋体"/>
                <w:sz w:val="10"/>
              </w:rPr>
              <w:t>。</w:t>
            </w:r>
          </w:p>
          <w:p>
            <w:pPr>
              <w:spacing w:before="240"/>
            </w:pPr>
            <w:r>
              <w:rPr>
                <w:rFonts w:hint="eastAsia" w:ascii="Times New Roman" w:hAnsi="Times New Roman" w:eastAsia="Times New Roman" w:cs="Times New Roman"/>
                <w:sz w:val="24"/>
              </w:rPr>
              <w:t>5</w:t>
            </w:r>
            <w:r>
              <w:rPr>
                <w:rFonts w:hint="eastAsia" w:ascii="宋体" w:hAnsi="宋体" w:eastAsia="宋体" w:cs="宋体"/>
                <w:sz w:val="10"/>
              </w:rPr>
              <w:t>、</w:t>
            </w:r>
            <w:r>
              <w:rPr>
                <w:rFonts w:hint="eastAsia" w:ascii="宋体" w:hAnsi="宋体" w:eastAsia="宋体" w:cs="宋体"/>
                <w:sz w:val="24"/>
              </w:rPr>
              <w:t>通过爱派克间接持有公司股份的董事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高级管理人员黄义青</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720"/>
        <w:jc w:val="both"/>
      </w:pPr>
      <w:r>
        <w:rPr>
          <w:rFonts w:hint="eastAsia" w:ascii="Times New Roman" w:hAnsi="Times New Roman" w:eastAsia="Times New Roman" w:cs="Times New Roman"/>
          <w:sz w:val="21"/>
        </w:rPr>
        <w:t>1-1-1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660"/>
        <w:gridCol w:w="5860"/>
      </w:tblGrid>
      <w:tr>
        <w:trPr>
          <w:trHeight w:val="7040" w:hRule="exact"/>
        </w:trPr>
        <w:tc>
          <w:tcPr>
            <w:tcW w:w="8520" w:type="dxa"/>
            <w:gridSpan w:val="2"/>
            <w:tcMar>
              <w:top w:w="0" w:type="dxa"/>
              <w:left w:w="0" w:type="dxa"/>
              <w:bottom w:w="0" w:type="dxa"/>
              <w:right w:w="0" w:type="dxa"/>
            </w:tcMar>
          </w:tcPr>
          <w:p>
            <w:pPr>
              <w:spacing w:before="100"/>
            </w:pPr>
            <w:r>
              <w:rPr>
                <w:rFonts w:hint="eastAsia" w:ascii="宋体" w:hAnsi="宋体" w:eastAsia="宋体" w:cs="宋体"/>
                <w:sz w:val="24"/>
              </w:rPr>
              <w:t>欧永</w:t>
            </w:r>
            <w:r>
              <w:rPr>
                <w:rFonts w:hint="eastAsia" w:ascii="宋体" w:hAnsi="宋体" w:eastAsia="宋体" w:cs="宋体"/>
                <w:sz w:val="10"/>
              </w:rPr>
              <w:t>、</w:t>
            </w:r>
            <w:r>
              <w:rPr>
                <w:rFonts w:hint="eastAsia" w:ascii="宋体" w:hAnsi="宋体" w:eastAsia="宋体" w:cs="宋体"/>
                <w:sz w:val="24"/>
              </w:rPr>
              <w:t>雷世潘承诺</w:t>
            </w:r>
            <w:r>
              <w:rPr>
                <w:rFonts w:hint="eastAsia" w:ascii="宋体" w:hAnsi="宋体" w:eastAsia="宋体" w:cs="宋体"/>
                <w:sz w:val="10"/>
              </w:rPr>
              <w:t>：</w:t>
            </w:r>
            <w:r>
              <w:rPr>
                <w:rFonts w:hint="eastAsia" w:ascii="宋体" w:hAnsi="宋体" w:eastAsia="宋体" w:cs="宋体"/>
                <w:sz w:val="24"/>
              </w:rPr>
              <w:t>自公司股票上市之日起三十六个月内</w:t>
            </w:r>
            <w:r>
              <w:rPr>
                <w:rFonts w:hint="eastAsia" w:ascii="宋体" w:hAnsi="宋体" w:eastAsia="宋体" w:cs="宋体"/>
                <w:sz w:val="10"/>
              </w:rPr>
              <w:t>，</w:t>
            </w:r>
            <w:r>
              <w:rPr>
                <w:rFonts w:hint="eastAsia" w:ascii="宋体" w:hAnsi="宋体" w:eastAsia="宋体" w:cs="宋体"/>
                <w:sz w:val="24"/>
              </w:rPr>
              <w:t>不转让或者委托他人</w:t>
            </w:r>
          </w:p>
          <w:p>
            <w:pPr>
              <w:spacing w:before="220"/>
            </w:pPr>
            <w:r>
              <w:rPr>
                <w:rFonts w:hint="eastAsia" w:ascii="宋体" w:hAnsi="宋体" w:eastAsia="宋体" w:cs="宋体"/>
                <w:sz w:val="24"/>
              </w:rPr>
              <w:t>管理其所持有的爱派克股权</w:t>
            </w:r>
            <w:r>
              <w:rPr>
                <w:rFonts w:hint="eastAsia" w:ascii="宋体" w:hAnsi="宋体" w:eastAsia="宋体" w:cs="宋体"/>
                <w:sz w:val="14"/>
              </w:rPr>
              <w:t>；</w:t>
            </w:r>
            <w:r>
              <w:rPr>
                <w:rFonts w:hint="eastAsia" w:ascii="宋体" w:hAnsi="宋体" w:eastAsia="宋体" w:cs="宋体"/>
                <w:sz w:val="24"/>
              </w:rPr>
              <w:t>在前述限售期满后</w:t>
            </w:r>
            <w:r>
              <w:rPr>
                <w:rFonts w:hint="eastAsia" w:ascii="宋体" w:hAnsi="宋体" w:eastAsia="宋体" w:cs="宋体"/>
                <w:sz w:val="10"/>
              </w:rPr>
              <w:t>，</w:t>
            </w:r>
            <w:r>
              <w:rPr>
                <w:rFonts w:hint="eastAsia" w:ascii="宋体" w:hAnsi="宋体" w:eastAsia="宋体" w:cs="宋体"/>
                <w:sz w:val="24"/>
              </w:rPr>
              <w:t>其通过爱派克间接持有的公司</w:t>
            </w:r>
          </w:p>
          <w:p>
            <w:pPr>
              <w:spacing w:before="240"/>
            </w:pPr>
            <w:r>
              <w:rPr>
                <w:rFonts w:hint="eastAsia" w:ascii="宋体" w:hAnsi="宋体" w:eastAsia="宋体" w:cs="宋体"/>
                <w:sz w:val="24"/>
              </w:rPr>
              <w:t>股份在任职期间每年转让的比例不超过所持股份总数的百分之二十五</w:t>
            </w:r>
            <w:r>
              <w:rPr>
                <w:rFonts w:hint="eastAsia" w:ascii="宋体" w:hAnsi="宋体" w:eastAsia="宋体" w:cs="宋体"/>
                <w:sz w:val="12"/>
              </w:rPr>
              <w:t>；</w:t>
            </w:r>
            <w:r>
              <w:rPr>
                <w:rFonts w:hint="eastAsia" w:ascii="宋体" w:hAnsi="宋体" w:eastAsia="宋体" w:cs="宋体"/>
                <w:sz w:val="24"/>
              </w:rPr>
              <w:t>在离职后</w:t>
            </w:r>
          </w:p>
          <w:p>
            <w:pPr>
              <w:spacing w:before="200"/>
            </w:pPr>
            <w:r>
              <w:rPr>
                <w:rFonts w:hint="eastAsia" w:ascii="宋体" w:hAnsi="宋体" w:eastAsia="宋体" w:cs="宋体"/>
                <w:sz w:val="24"/>
              </w:rPr>
              <w:t>半年内</w:t>
            </w:r>
            <w:r>
              <w:rPr>
                <w:rFonts w:hint="eastAsia" w:ascii="宋体" w:hAnsi="宋体" w:eastAsia="宋体" w:cs="宋体"/>
                <w:sz w:val="10"/>
              </w:rPr>
              <w:t>，</w:t>
            </w:r>
            <w:r>
              <w:rPr>
                <w:rFonts w:hint="eastAsia" w:ascii="宋体" w:hAnsi="宋体" w:eastAsia="宋体" w:cs="宋体"/>
                <w:sz w:val="24"/>
              </w:rPr>
              <w:t>不转让通过爱派克间接持有的公司股份</w:t>
            </w:r>
            <w:r>
              <w:rPr>
                <w:rFonts w:hint="eastAsia" w:ascii="宋体" w:hAnsi="宋体" w:eastAsia="宋体" w:cs="宋体"/>
                <w:sz w:val="10"/>
              </w:rPr>
              <w:t>。</w:t>
            </w:r>
          </w:p>
          <w:p>
            <w:pPr>
              <w:spacing w:before="240"/>
            </w:pPr>
            <w:r>
              <w:rPr>
                <w:rFonts w:hint="eastAsia" w:ascii="Times New Roman" w:hAnsi="Times New Roman" w:eastAsia="Times New Roman" w:cs="Times New Roman"/>
                <w:sz w:val="24"/>
              </w:rPr>
              <w:t>6</w:t>
            </w:r>
            <w:r>
              <w:rPr>
                <w:rFonts w:hint="eastAsia" w:ascii="宋体" w:hAnsi="宋体" w:eastAsia="宋体" w:cs="宋体"/>
                <w:sz w:val="10"/>
              </w:rPr>
              <w:t>、</w:t>
            </w:r>
            <w:r>
              <w:rPr>
                <w:rFonts w:hint="eastAsia" w:ascii="宋体" w:hAnsi="宋体" w:eastAsia="宋体" w:cs="宋体"/>
                <w:sz w:val="24"/>
              </w:rPr>
              <w:t>公司实际控制人严孟宇先生之岳父</w:t>
            </w:r>
            <w:r>
              <w:rPr>
                <w:rFonts w:hint="eastAsia" w:ascii="宋体" w:hAnsi="宋体" w:eastAsia="宋体" w:cs="宋体"/>
                <w:sz w:val="10"/>
              </w:rPr>
              <w:t>、</w:t>
            </w:r>
            <w:r>
              <w:rPr>
                <w:rFonts w:hint="eastAsia" w:ascii="宋体" w:hAnsi="宋体" w:eastAsia="宋体" w:cs="宋体"/>
                <w:sz w:val="24"/>
              </w:rPr>
              <w:t>爱派克之股东林永正先生承诺</w:t>
            </w:r>
            <w:r>
              <w:rPr>
                <w:rFonts w:hint="eastAsia" w:ascii="宋体" w:hAnsi="宋体" w:eastAsia="宋体" w:cs="宋体"/>
                <w:sz w:val="12"/>
              </w:rPr>
              <w:t>：</w:t>
            </w:r>
            <w:r>
              <w:rPr>
                <w:rFonts w:hint="eastAsia" w:ascii="宋体" w:hAnsi="宋体" w:eastAsia="宋体" w:cs="宋体"/>
                <w:sz w:val="24"/>
              </w:rPr>
              <w:t>自公司</w:t>
            </w:r>
          </w:p>
          <w:p>
            <w:pPr>
              <w:spacing w:before="220"/>
            </w:pPr>
            <w:r>
              <w:rPr>
                <w:rFonts w:hint="eastAsia" w:ascii="宋体" w:hAnsi="宋体" w:eastAsia="宋体" w:cs="宋体"/>
                <w:sz w:val="24"/>
              </w:rPr>
              <w:t>股票在上海证券交易所上市交易之日起三十六个月内</w:t>
            </w:r>
            <w:r>
              <w:rPr>
                <w:rFonts w:hint="eastAsia" w:ascii="宋体" w:hAnsi="宋体" w:eastAsia="宋体" w:cs="宋体"/>
                <w:sz w:val="10"/>
              </w:rPr>
              <w:t>，</w:t>
            </w:r>
            <w:r>
              <w:rPr>
                <w:rFonts w:hint="eastAsia" w:ascii="宋体" w:hAnsi="宋体" w:eastAsia="宋体" w:cs="宋体"/>
                <w:sz w:val="24"/>
              </w:rPr>
              <w:t>不转让或者委托他人管理</w:t>
            </w:r>
          </w:p>
          <w:p>
            <w:pPr>
              <w:spacing w:before="220"/>
            </w:pPr>
            <w:r>
              <w:rPr>
                <w:rFonts w:hint="eastAsia" w:ascii="宋体" w:hAnsi="宋体" w:eastAsia="宋体" w:cs="宋体"/>
                <w:sz w:val="24"/>
              </w:rPr>
              <w:t>其通过爱派克间接持有的公司股份</w:t>
            </w:r>
            <w:r>
              <w:rPr>
                <w:rFonts w:hint="eastAsia" w:ascii="宋体" w:hAnsi="宋体" w:eastAsia="宋体" w:cs="宋体"/>
                <w:sz w:val="10"/>
              </w:rPr>
              <w:t>，</w:t>
            </w:r>
            <w:r>
              <w:rPr>
                <w:rFonts w:hint="eastAsia" w:ascii="宋体" w:hAnsi="宋体" w:eastAsia="宋体" w:cs="宋体"/>
                <w:sz w:val="24"/>
              </w:rPr>
              <w:t>并且不转让或委托他人管理其所持有的爱派</w:t>
            </w:r>
          </w:p>
          <w:p>
            <w:pPr>
              <w:spacing w:before="240"/>
            </w:pPr>
            <w:r>
              <w:rPr>
                <w:rFonts w:hint="eastAsia" w:ascii="宋体" w:hAnsi="宋体" w:eastAsia="宋体" w:cs="宋体"/>
                <w:sz w:val="24"/>
              </w:rPr>
              <w:t>克股权</w:t>
            </w:r>
            <w:r>
              <w:rPr>
                <w:rFonts w:hint="eastAsia" w:ascii="宋体" w:hAnsi="宋体" w:eastAsia="宋体" w:cs="宋体"/>
                <w:sz w:val="10"/>
              </w:rPr>
              <w:t>。</w:t>
            </w:r>
          </w:p>
          <w:p>
            <w:pPr>
              <w:spacing w:before="200"/>
            </w:pPr>
            <w:r>
              <w:rPr>
                <w:rFonts w:hint="eastAsia" w:ascii="Times New Roman" w:hAnsi="Times New Roman" w:eastAsia="Times New Roman" w:cs="Times New Roman"/>
                <w:sz w:val="24"/>
              </w:rPr>
              <w:t>7</w:t>
            </w:r>
            <w:r>
              <w:rPr>
                <w:rFonts w:hint="eastAsia" w:ascii="宋体" w:hAnsi="宋体" w:eastAsia="宋体" w:cs="宋体"/>
                <w:sz w:val="10"/>
              </w:rPr>
              <w:t>、</w:t>
            </w:r>
            <w:r>
              <w:rPr>
                <w:rFonts w:hint="eastAsia" w:ascii="宋体" w:hAnsi="宋体" w:eastAsia="宋体" w:cs="宋体"/>
                <w:sz w:val="24"/>
              </w:rPr>
              <w:t>本公司控股股东严孟宇先生</w:t>
            </w:r>
            <w:r>
              <w:rPr>
                <w:rFonts w:hint="eastAsia" w:ascii="宋体" w:hAnsi="宋体" w:eastAsia="宋体" w:cs="宋体"/>
                <w:sz w:val="10"/>
              </w:rPr>
              <w:t>、</w:t>
            </w:r>
            <w:r>
              <w:rPr>
                <w:rFonts w:hint="eastAsia" w:ascii="宋体" w:hAnsi="宋体" w:eastAsia="宋体" w:cs="宋体"/>
                <w:sz w:val="24"/>
              </w:rPr>
              <w:t>法人股东爱派克及持有发行人股份的公司董事</w:t>
            </w:r>
            <w:r>
              <w:rPr>
                <w:rFonts w:hint="eastAsia" w:ascii="宋体" w:hAnsi="宋体" w:eastAsia="宋体" w:cs="宋体"/>
                <w:sz w:val="10"/>
              </w:rPr>
              <w:t>、</w:t>
            </w:r>
          </w:p>
          <w:p>
            <w:pPr>
              <w:spacing w:before="240"/>
            </w:pPr>
            <w:r>
              <w:rPr>
                <w:rFonts w:hint="eastAsia" w:ascii="宋体" w:hAnsi="宋体" w:eastAsia="宋体" w:cs="宋体"/>
                <w:sz w:val="24"/>
              </w:rPr>
              <w:t>高级管理人员同时承诺</w:t>
            </w:r>
            <w:r>
              <w:rPr>
                <w:rFonts w:hint="eastAsia" w:ascii="宋体" w:hAnsi="宋体" w:eastAsia="宋体" w:cs="宋体"/>
                <w:sz w:val="12"/>
              </w:rPr>
              <w:t>：</w:t>
            </w:r>
            <w:r>
              <w:rPr>
                <w:rFonts w:hint="eastAsia" w:ascii="宋体" w:hAnsi="宋体" w:eastAsia="宋体" w:cs="宋体"/>
                <w:sz w:val="24"/>
              </w:rPr>
              <w:t>所持股票在锁定期满后两年内减持的</w:t>
            </w:r>
            <w:r>
              <w:rPr>
                <w:rFonts w:hint="eastAsia" w:ascii="宋体" w:hAnsi="宋体" w:eastAsia="宋体" w:cs="宋体"/>
                <w:sz w:val="10"/>
              </w:rPr>
              <w:t>，</w:t>
            </w:r>
            <w:r>
              <w:rPr>
                <w:rFonts w:hint="eastAsia" w:ascii="宋体" w:hAnsi="宋体" w:eastAsia="宋体" w:cs="宋体"/>
                <w:sz w:val="24"/>
              </w:rPr>
              <w:t>其减持价格不低</w:t>
            </w:r>
          </w:p>
          <w:p>
            <w:pPr>
              <w:spacing w:before="220"/>
            </w:pPr>
            <w:r>
              <w:rPr>
                <w:rFonts w:hint="eastAsia" w:ascii="宋体" w:hAnsi="宋体" w:eastAsia="宋体" w:cs="宋体"/>
                <w:sz w:val="24"/>
              </w:rPr>
              <w:t>于发行价</w:t>
            </w:r>
            <w:r>
              <w:rPr>
                <w:rFonts w:hint="eastAsia" w:ascii="宋体" w:hAnsi="宋体" w:eastAsia="宋体" w:cs="宋体"/>
                <w:sz w:val="12"/>
              </w:rPr>
              <w:t>；</w:t>
            </w:r>
            <w:r>
              <w:rPr>
                <w:rFonts w:hint="eastAsia" w:ascii="宋体" w:hAnsi="宋体" w:eastAsia="宋体" w:cs="宋体"/>
                <w:sz w:val="24"/>
              </w:rPr>
              <w:t>公司上市之日起</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个月内如公司股票连续</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个交易日的收盘价均低</w:t>
            </w:r>
          </w:p>
          <w:p>
            <w:pPr>
              <w:spacing w:before="220"/>
            </w:pPr>
            <w:r>
              <w:rPr>
                <w:rFonts w:hint="eastAsia" w:ascii="宋体" w:hAnsi="宋体" w:eastAsia="宋体" w:cs="宋体"/>
                <w:sz w:val="24"/>
              </w:rPr>
              <w:t>于发行价</w:t>
            </w:r>
            <w:r>
              <w:rPr>
                <w:rFonts w:hint="eastAsia" w:ascii="宋体" w:hAnsi="宋体" w:eastAsia="宋体" w:cs="宋体"/>
                <w:sz w:val="10"/>
              </w:rPr>
              <w:t>，</w:t>
            </w:r>
            <w:r>
              <w:rPr>
                <w:rFonts w:hint="eastAsia" w:ascii="宋体" w:hAnsi="宋体" w:eastAsia="宋体" w:cs="宋体"/>
                <w:sz w:val="24"/>
              </w:rPr>
              <w:t>或者上市后</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个月期末收盘价低于发行价</w:t>
            </w:r>
            <w:r>
              <w:rPr>
                <w:rFonts w:hint="eastAsia" w:ascii="宋体" w:hAnsi="宋体" w:eastAsia="宋体" w:cs="宋体"/>
                <w:sz w:val="10"/>
              </w:rPr>
              <w:t>，</w:t>
            </w:r>
            <w:r>
              <w:rPr>
                <w:rFonts w:hint="eastAsia" w:ascii="宋体" w:hAnsi="宋体" w:eastAsia="宋体" w:cs="宋体"/>
                <w:sz w:val="24"/>
              </w:rPr>
              <w:t>其持有公司股票的锁定期</w:t>
            </w:r>
          </w:p>
          <w:p>
            <w:pPr>
              <w:spacing w:before="240"/>
            </w:pPr>
            <w:r>
              <w:rPr>
                <w:rFonts w:hint="eastAsia" w:ascii="宋体" w:hAnsi="宋体" w:eastAsia="宋体" w:cs="宋体"/>
                <w:sz w:val="24"/>
              </w:rPr>
              <w:t>限在原有锁定期限基础上自动延长</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自公司股票上市至其减持期间</w:t>
            </w:r>
            <w:r>
              <w:rPr>
                <w:rFonts w:hint="eastAsia" w:ascii="宋体" w:hAnsi="宋体" w:eastAsia="宋体" w:cs="宋体"/>
                <w:sz w:val="10"/>
              </w:rPr>
              <w:t>，</w:t>
            </w:r>
            <w:r>
              <w:rPr>
                <w:rFonts w:hint="eastAsia" w:ascii="宋体" w:hAnsi="宋体" w:eastAsia="宋体" w:cs="宋体"/>
                <w:sz w:val="24"/>
              </w:rPr>
              <w:t>公司</w:t>
            </w:r>
          </w:p>
          <w:p>
            <w:pPr>
              <w:spacing w:before="200"/>
            </w:pPr>
            <w:r>
              <w:rPr>
                <w:rFonts w:hint="eastAsia" w:ascii="宋体" w:hAnsi="宋体" w:eastAsia="宋体" w:cs="宋体"/>
                <w:sz w:val="24"/>
              </w:rPr>
              <w:t>如有派息</w:t>
            </w:r>
            <w:r>
              <w:rPr>
                <w:rFonts w:hint="eastAsia" w:ascii="宋体" w:hAnsi="宋体" w:eastAsia="宋体" w:cs="宋体"/>
                <w:sz w:val="10"/>
              </w:rPr>
              <w:t>、</w:t>
            </w:r>
            <w:r>
              <w:rPr>
                <w:rFonts w:hint="eastAsia" w:ascii="宋体" w:hAnsi="宋体" w:eastAsia="宋体" w:cs="宋体"/>
                <w:sz w:val="24"/>
              </w:rPr>
              <w:t>送股</w:t>
            </w:r>
            <w:r>
              <w:rPr>
                <w:rFonts w:hint="eastAsia" w:ascii="宋体" w:hAnsi="宋体" w:eastAsia="宋体" w:cs="宋体"/>
                <w:sz w:val="10"/>
              </w:rPr>
              <w:t>、</w:t>
            </w:r>
            <w:r>
              <w:rPr>
                <w:rFonts w:hint="eastAsia" w:ascii="宋体" w:hAnsi="宋体" w:eastAsia="宋体" w:cs="宋体"/>
                <w:sz w:val="24"/>
              </w:rPr>
              <w:t>资本公积金转增股本</w:t>
            </w:r>
            <w:r>
              <w:rPr>
                <w:rFonts w:hint="eastAsia" w:ascii="宋体" w:hAnsi="宋体" w:eastAsia="宋体" w:cs="宋体"/>
                <w:sz w:val="10"/>
              </w:rPr>
              <w:t>、</w:t>
            </w:r>
            <w:r>
              <w:rPr>
                <w:rFonts w:hint="eastAsia" w:ascii="宋体" w:hAnsi="宋体" w:eastAsia="宋体" w:cs="宋体"/>
                <w:sz w:val="24"/>
              </w:rPr>
              <w:t>配股</w:t>
            </w:r>
            <w:r>
              <w:rPr>
                <w:rFonts w:hint="eastAsia" w:ascii="宋体" w:hAnsi="宋体" w:eastAsia="宋体" w:cs="宋体"/>
                <w:sz w:val="10"/>
              </w:rPr>
              <w:t>、</w:t>
            </w:r>
            <w:r>
              <w:rPr>
                <w:rFonts w:hint="eastAsia" w:ascii="宋体" w:hAnsi="宋体" w:eastAsia="宋体" w:cs="宋体"/>
                <w:sz w:val="24"/>
              </w:rPr>
              <w:t>增发等除权除息事项</w:t>
            </w:r>
            <w:r>
              <w:rPr>
                <w:rFonts w:hint="eastAsia" w:ascii="宋体" w:hAnsi="宋体" w:eastAsia="宋体" w:cs="宋体"/>
                <w:sz w:val="10"/>
              </w:rPr>
              <w:t>，</w:t>
            </w:r>
            <w:r>
              <w:rPr>
                <w:rFonts w:hint="eastAsia" w:ascii="宋体" w:hAnsi="宋体" w:eastAsia="宋体" w:cs="宋体"/>
                <w:sz w:val="24"/>
              </w:rPr>
              <w:t>上述减持</w:t>
            </w:r>
          </w:p>
          <w:p>
            <w:pPr>
              <w:spacing w:before="240"/>
            </w:pPr>
            <w:r>
              <w:rPr>
                <w:rFonts w:hint="eastAsia" w:ascii="宋体" w:hAnsi="宋体" w:eastAsia="宋体" w:cs="宋体"/>
                <w:sz w:val="24"/>
              </w:rPr>
              <w:t>价格及收盘价等将相应进行调整</w:t>
            </w:r>
            <w:r>
              <w:rPr>
                <w:rFonts w:hint="eastAsia" w:ascii="宋体" w:hAnsi="宋体" w:eastAsia="宋体" w:cs="宋体"/>
                <w:sz w:val="10"/>
              </w:rPr>
              <w:t>。</w:t>
            </w:r>
            <w:r>
              <w:rPr>
                <w:rFonts w:hint="eastAsia" w:ascii="宋体" w:hAnsi="宋体" w:eastAsia="宋体" w:cs="宋体"/>
                <w:sz w:val="24"/>
              </w:rPr>
              <w:t>上述承诺不因其职务变更</w:t>
            </w:r>
            <w:r>
              <w:rPr>
                <w:rFonts w:hint="eastAsia" w:ascii="宋体" w:hAnsi="宋体" w:eastAsia="宋体" w:cs="宋体"/>
                <w:sz w:val="10"/>
              </w:rPr>
              <w:t>、</w:t>
            </w:r>
            <w:r>
              <w:rPr>
                <w:rFonts w:hint="eastAsia" w:ascii="宋体" w:hAnsi="宋体" w:eastAsia="宋体" w:cs="宋体"/>
                <w:sz w:val="24"/>
              </w:rPr>
              <w:t>离职等原因而失效</w:t>
            </w:r>
            <w:r>
              <w:rPr>
                <w:rFonts w:hint="eastAsia" w:ascii="宋体" w:hAnsi="宋体" w:eastAsia="宋体" w:cs="宋体"/>
                <w:sz w:val="10"/>
              </w:rPr>
              <w:t>。</w:t>
            </w:r>
          </w:p>
        </w:tc>
      </w:tr>
      <w:tr>
        <w:trPr>
          <w:trHeight w:val="440" w:hRule="exact"/>
        </w:trPr>
        <w:tc>
          <w:tcPr>
            <w:tcW w:w="2660" w:type="dxa"/>
            <w:tcMar>
              <w:top w:w="0" w:type="dxa"/>
              <w:left w:w="0" w:type="dxa"/>
              <w:bottom w:w="0" w:type="dxa"/>
              <w:right w:w="0" w:type="dxa"/>
            </w:tcMar>
          </w:tcPr>
          <w:p>
            <w:pPr>
              <w:spacing w:before="120"/>
            </w:pPr>
            <w:r>
              <w:rPr>
                <w:rFonts w:hint="eastAsia" w:ascii="宋体" w:hAnsi="宋体" w:eastAsia="宋体" w:cs="宋体"/>
                <w:sz w:val="24"/>
              </w:rPr>
              <w:t>保荐机构</w:t>
            </w:r>
            <w:r>
              <w:rPr>
                <w:rFonts w:hint="eastAsia" w:ascii="宋体" w:hAnsi="宋体" w:eastAsia="宋体" w:cs="宋体"/>
                <w:sz w:val="10"/>
              </w:rPr>
              <w:t>、</w:t>
            </w:r>
            <w:r>
              <w:rPr>
                <w:rFonts w:hint="eastAsia" w:ascii="宋体" w:hAnsi="宋体" w:eastAsia="宋体" w:cs="宋体"/>
                <w:sz w:val="24"/>
              </w:rPr>
              <w:t>主承销商</w:t>
            </w:r>
          </w:p>
        </w:tc>
        <w:tc>
          <w:tcPr>
            <w:tcW w:w="5860" w:type="dxa"/>
            <w:tcMar>
              <w:top w:w="0" w:type="dxa"/>
              <w:left w:w="0" w:type="dxa"/>
              <w:bottom w:w="0" w:type="dxa"/>
              <w:right w:w="0" w:type="dxa"/>
            </w:tcMar>
          </w:tcPr>
          <w:p>
            <w:pPr>
              <w:spacing w:before="80"/>
            </w:pPr>
            <w:r>
              <w:rPr>
                <w:rFonts w:hint="eastAsia" w:ascii="宋体" w:hAnsi="宋体" w:eastAsia="宋体" w:cs="宋体"/>
                <w:sz w:val="24"/>
              </w:rPr>
              <w:t>东方花旗证券有限公司</w:t>
            </w:r>
          </w:p>
        </w:tc>
      </w:tr>
      <w:tr>
        <w:trPr>
          <w:trHeight w:val="460" w:hRule="exact"/>
        </w:trPr>
        <w:tc>
          <w:tcPr>
            <w:tcW w:w="2660" w:type="dxa"/>
            <w:tcMar>
              <w:top w:w="0" w:type="dxa"/>
              <w:left w:w="0" w:type="dxa"/>
              <w:bottom w:w="0" w:type="dxa"/>
              <w:right w:w="0" w:type="dxa"/>
            </w:tcMar>
          </w:tcPr>
          <w:p>
            <w:pPr>
              <w:spacing w:before="140"/>
            </w:pPr>
            <w:r>
              <w:rPr>
                <w:rFonts w:hint="eastAsia" w:ascii="宋体" w:hAnsi="宋体" w:eastAsia="宋体" w:cs="宋体"/>
                <w:sz w:val="24"/>
              </w:rPr>
              <w:t>招股说明书签署日期</w:t>
            </w:r>
          </w:p>
        </w:tc>
        <w:tc>
          <w:tcPr>
            <w:tcW w:w="5860" w:type="dxa"/>
            <w:tcMar>
              <w:top w:w="0" w:type="dxa"/>
              <w:left w:w="0" w:type="dxa"/>
              <w:bottom w:w="0" w:type="dxa"/>
              <w:right w:w="0" w:type="dxa"/>
            </w:tcMar>
          </w:tcPr>
          <w:p>
            <w:pPr>
              <w:spacing w:before="100"/>
            </w:pP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日</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720"/>
        <w:jc w:val="both"/>
      </w:pPr>
      <w:r>
        <w:rPr>
          <w:rFonts w:hint="eastAsia" w:ascii="Times New Roman" w:hAnsi="Times New Roman" w:eastAsia="Times New Roman" w:cs="Times New Roman"/>
          <w:sz w:val="21"/>
        </w:rPr>
        <w:t>1-1-2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5220"/>
        <w:jc w:val="both"/>
      </w:pPr>
      <w:r>
        <w:rPr>
          <w:rFonts w:hint="eastAsia" w:ascii="ºÚÌå" w:hAnsi="ºÚÌå" w:eastAsia="ºÚÌå" w:cs="ºÚÌå"/>
          <w:sz w:val="36"/>
        </w:rPr>
        <w:t>重要声明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发行人及全体董事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高级管理人员承诺招股说明书及其摘要不存在虚假记载</w:t>
      </w:r>
      <w:r>
        <w:rPr>
          <w:rFonts w:hint="eastAsia" w:ascii="宋体" w:hAnsi="宋体" w:eastAsia="宋体" w:cs="宋体"/>
          <w:sz w:val="10"/>
        </w:rPr>
        <w:t>、</w:t>
      </w:r>
      <w:r>
        <w:rPr>
          <w:rFonts w:hint="eastAsia" w:ascii="宋体" w:hAnsi="宋体" w:eastAsia="宋体" w:cs="宋体"/>
          <w:sz w:val="24"/>
        </w:rPr>
        <w:t>误导性陈述或重大遗漏</w:t>
      </w:r>
      <w:r>
        <w:rPr>
          <w:rFonts w:hint="eastAsia" w:ascii="宋体" w:hAnsi="宋体" w:eastAsia="宋体" w:cs="宋体"/>
          <w:sz w:val="10"/>
        </w:rPr>
        <w:t>，</w:t>
      </w:r>
      <w:r>
        <w:rPr>
          <w:rFonts w:hint="eastAsia" w:ascii="宋体" w:hAnsi="宋体" w:eastAsia="宋体" w:cs="宋体"/>
          <w:sz w:val="24"/>
        </w:rPr>
        <w:t>并对其真实性</w:t>
      </w:r>
      <w:r>
        <w:rPr>
          <w:rFonts w:hint="eastAsia" w:ascii="宋体" w:hAnsi="宋体" w:eastAsia="宋体" w:cs="宋体"/>
          <w:sz w:val="10"/>
        </w:rPr>
        <w:t>、</w:t>
      </w:r>
      <w:r>
        <w:rPr>
          <w:rFonts w:hint="eastAsia" w:ascii="宋体" w:hAnsi="宋体" w:eastAsia="宋体" w:cs="宋体"/>
          <w:sz w:val="24"/>
        </w:rPr>
        <w:t>准确性</w:t>
      </w:r>
      <w:r>
        <w:rPr>
          <w:rFonts w:hint="eastAsia" w:ascii="宋体" w:hAnsi="宋体" w:eastAsia="宋体" w:cs="宋体"/>
          <w:sz w:val="10"/>
        </w:rPr>
        <w:t>、</w:t>
      </w:r>
      <w:r>
        <w:rPr>
          <w:rFonts w:hint="eastAsia" w:ascii="宋体" w:hAnsi="宋体" w:eastAsia="宋体" w:cs="宋体"/>
          <w:sz w:val="24"/>
        </w:rPr>
        <w:t>完整性承担个别和连带的法律责任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公司负责人和主管会计工作的负责人</w:t>
      </w:r>
      <w:r>
        <w:rPr>
          <w:rFonts w:hint="eastAsia" w:ascii="宋体" w:hAnsi="宋体" w:eastAsia="宋体" w:cs="宋体"/>
          <w:sz w:val="10"/>
        </w:rPr>
        <w:t>、</w:t>
      </w:r>
      <w:r>
        <w:rPr>
          <w:rFonts w:hint="eastAsia" w:ascii="宋体" w:hAnsi="宋体" w:eastAsia="宋体" w:cs="宋体"/>
          <w:sz w:val="24"/>
        </w:rPr>
        <w:t>会计机构负责人保证招股说明书及其摘要中财务会计资料真实</w:t>
      </w:r>
      <w:r>
        <w:rPr>
          <w:rFonts w:hint="eastAsia" w:ascii="宋体" w:hAnsi="宋体" w:eastAsia="宋体" w:cs="宋体"/>
          <w:sz w:val="10"/>
        </w:rPr>
        <w:t>、</w:t>
      </w:r>
      <w:r>
        <w:rPr>
          <w:rFonts w:hint="eastAsia" w:ascii="宋体" w:hAnsi="宋体" w:eastAsia="宋体" w:cs="宋体"/>
          <w:sz w:val="24"/>
        </w:rPr>
        <w:t>完整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80" w:firstLine="480"/>
        <w:jc w:val="both"/>
      </w:pPr>
      <w:r>
        <w:rPr>
          <w:rFonts w:hint="eastAsia" w:ascii="宋体" w:hAnsi="宋体" w:eastAsia="宋体" w:cs="宋体"/>
          <w:sz w:val="24"/>
        </w:rPr>
        <w:t>保荐人承诺因其为发行人首次公开发行股票制作</w:t>
      </w:r>
      <w:r>
        <w:rPr>
          <w:rFonts w:hint="eastAsia" w:ascii="宋体" w:hAnsi="宋体" w:eastAsia="宋体" w:cs="宋体"/>
          <w:sz w:val="10"/>
        </w:rPr>
        <w:t>、</w:t>
      </w:r>
      <w:r>
        <w:rPr>
          <w:rFonts w:hint="eastAsia" w:ascii="宋体" w:hAnsi="宋体" w:eastAsia="宋体" w:cs="宋体"/>
          <w:sz w:val="24"/>
        </w:rPr>
        <w:t>出具的文件有虚假记载</w:t>
      </w:r>
      <w:r>
        <w:rPr>
          <w:rFonts w:hint="eastAsia" w:ascii="宋体" w:hAnsi="宋体" w:eastAsia="宋体" w:cs="宋体"/>
          <w:sz w:val="10"/>
        </w:rPr>
        <w:t>、</w:t>
      </w:r>
      <w:r>
        <w:rPr>
          <w:rFonts w:hint="eastAsia" w:ascii="宋体" w:hAnsi="宋体" w:eastAsia="宋体" w:cs="宋体"/>
          <w:sz w:val="24"/>
        </w:rPr>
        <w:t>误导性陈述或者重大遗漏</w:t>
      </w:r>
      <w:r>
        <w:rPr>
          <w:rFonts w:hint="eastAsia" w:ascii="宋体" w:hAnsi="宋体" w:eastAsia="宋体" w:cs="宋体"/>
          <w:sz w:val="10"/>
        </w:rPr>
        <w:t>，</w:t>
      </w:r>
      <w:r>
        <w:rPr>
          <w:rFonts w:hint="eastAsia" w:ascii="宋体" w:hAnsi="宋体" w:eastAsia="宋体" w:cs="宋体"/>
          <w:sz w:val="24"/>
        </w:rPr>
        <w:t>给投资者造成损失的</w:t>
      </w:r>
      <w:r>
        <w:rPr>
          <w:rFonts w:hint="eastAsia" w:ascii="宋体" w:hAnsi="宋体" w:eastAsia="宋体" w:cs="宋体"/>
          <w:sz w:val="10"/>
        </w:rPr>
        <w:t>，</w:t>
      </w:r>
      <w:r>
        <w:rPr>
          <w:rFonts w:hint="eastAsia" w:ascii="宋体" w:hAnsi="宋体" w:eastAsia="宋体" w:cs="宋体"/>
          <w:sz w:val="24"/>
        </w:rPr>
        <w:t>将先行赔偿投资者损失</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中国证监会</w:t>
      </w:r>
      <w:r>
        <w:rPr>
          <w:rFonts w:hint="eastAsia" w:ascii="宋体" w:hAnsi="宋体" w:eastAsia="宋体" w:cs="宋体"/>
          <w:sz w:val="10"/>
        </w:rPr>
        <w:t>、</w:t>
      </w:r>
      <w:r>
        <w:rPr>
          <w:rFonts w:hint="eastAsia" w:ascii="宋体" w:hAnsi="宋体" w:eastAsia="宋体" w:cs="宋体"/>
          <w:sz w:val="24"/>
        </w:rPr>
        <w:t>其他政府部门对本次发行所做的任何决定或意见</w:t>
      </w:r>
      <w:r>
        <w:rPr>
          <w:rFonts w:hint="eastAsia" w:ascii="宋体" w:hAnsi="宋体" w:eastAsia="宋体" w:cs="宋体"/>
          <w:sz w:val="10"/>
        </w:rPr>
        <w:t>，</w:t>
      </w:r>
      <w:r>
        <w:rPr>
          <w:rFonts w:hint="eastAsia" w:ascii="宋体" w:hAnsi="宋体" w:eastAsia="宋体" w:cs="宋体"/>
          <w:sz w:val="24"/>
        </w:rPr>
        <w:t>均不表明其对发行人股票的价值或投资者的收益作出实质性判断或者保证</w:t>
      </w:r>
      <w:r>
        <w:rPr>
          <w:rFonts w:hint="eastAsia" w:ascii="宋体" w:hAnsi="宋体" w:eastAsia="宋体" w:cs="宋体"/>
          <w:sz w:val="10"/>
        </w:rPr>
        <w:t>。</w:t>
      </w:r>
      <w:r>
        <w:rPr>
          <w:rFonts w:hint="eastAsia" w:ascii="宋体" w:hAnsi="宋体" w:eastAsia="宋体" w:cs="宋体"/>
          <w:sz w:val="24"/>
        </w:rPr>
        <w:t>任何与之相反的声明均属虚假不实陈述</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根据《证券法》的规定</w:t>
      </w:r>
      <w:r>
        <w:rPr>
          <w:rFonts w:hint="eastAsia" w:ascii="宋体" w:hAnsi="宋体" w:eastAsia="宋体" w:cs="宋体"/>
          <w:sz w:val="10"/>
        </w:rPr>
        <w:t>，</w:t>
      </w:r>
      <w:r>
        <w:rPr>
          <w:rFonts w:hint="eastAsia" w:ascii="宋体" w:hAnsi="宋体" w:eastAsia="宋体" w:cs="宋体"/>
          <w:sz w:val="24"/>
        </w:rPr>
        <w:t>股票依法发行后</w:t>
      </w:r>
      <w:r>
        <w:rPr>
          <w:rFonts w:hint="eastAsia" w:ascii="宋体" w:hAnsi="宋体" w:eastAsia="宋体" w:cs="宋体"/>
          <w:sz w:val="10"/>
        </w:rPr>
        <w:t>，</w:t>
      </w:r>
      <w:r>
        <w:rPr>
          <w:rFonts w:hint="eastAsia" w:ascii="宋体" w:hAnsi="宋体" w:eastAsia="宋体" w:cs="宋体"/>
          <w:sz w:val="24"/>
        </w:rPr>
        <w:t>发行人经营与收益的变化</w:t>
      </w:r>
      <w:r>
        <w:rPr>
          <w:rFonts w:hint="eastAsia" w:ascii="宋体" w:hAnsi="宋体" w:eastAsia="宋体" w:cs="宋体"/>
          <w:sz w:val="10"/>
        </w:rPr>
        <w:t>，</w:t>
      </w:r>
      <w:r>
        <w:rPr>
          <w:rFonts w:hint="eastAsia" w:ascii="宋体" w:hAnsi="宋体" w:eastAsia="宋体" w:cs="宋体"/>
          <w:sz w:val="24"/>
        </w:rPr>
        <w:t>由发行人自行负责</w:t>
      </w:r>
      <w:r>
        <w:rPr>
          <w:rFonts w:hint="eastAsia" w:ascii="宋体" w:hAnsi="宋体" w:eastAsia="宋体" w:cs="宋体"/>
          <w:sz w:val="10"/>
        </w:rPr>
        <w:t>，</w:t>
      </w:r>
      <w:r>
        <w:rPr>
          <w:rFonts w:hint="eastAsia" w:ascii="宋体" w:hAnsi="宋体" w:eastAsia="宋体" w:cs="宋体"/>
          <w:sz w:val="24"/>
        </w:rPr>
        <w:t>由此变化引致的投资风险</w:t>
      </w:r>
      <w:r>
        <w:rPr>
          <w:rFonts w:hint="eastAsia" w:ascii="宋体" w:hAnsi="宋体" w:eastAsia="宋体" w:cs="宋体"/>
          <w:sz w:val="10"/>
        </w:rPr>
        <w:t>，</w:t>
      </w:r>
      <w:r>
        <w:rPr>
          <w:rFonts w:hint="eastAsia" w:ascii="宋体" w:hAnsi="宋体" w:eastAsia="宋体" w:cs="宋体"/>
          <w:sz w:val="24"/>
        </w:rPr>
        <w:t>由投资者自行负责</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780" w:right="1620" w:firstLine="480"/>
        <w:jc w:val="both"/>
      </w:pPr>
      <w:r>
        <w:rPr>
          <w:rFonts w:hint="eastAsia" w:ascii="宋体" w:hAnsi="宋体" w:eastAsia="宋体" w:cs="宋体"/>
          <w:sz w:val="24"/>
        </w:rPr>
        <w:t>投资者若对本招股说明书及其摘要存在任何疑问</w:t>
      </w:r>
      <w:r>
        <w:rPr>
          <w:rFonts w:hint="eastAsia" w:ascii="宋体" w:hAnsi="宋体" w:eastAsia="宋体" w:cs="宋体"/>
          <w:sz w:val="10"/>
        </w:rPr>
        <w:t>，</w:t>
      </w:r>
      <w:r>
        <w:rPr>
          <w:rFonts w:hint="eastAsia" w:ascii="宋体" w:hAnsi="宋体" w:eastAsia="宋体" w:cs="宋体"/>
          <w:sz w:val="24"/>
        </w:rPr>
        <w:t>应咨询自己的股票经纪人</w:t>
      </w:r>
      <w:r>
        <w:rPr>
          <w:rFonts w:hint="eastAsia" w:ascii="宋体" w:hAnsi="宋体" w:eastAsia="宋体" w:cs="宋体"/>
          <w:sz w:val="10"/>
        </w:rPr>
        <w:t>、</w:t>
      </w:r>
      <w:r>
        <w:rPr>
          <w:rFonts w:hint="eastAsia" w:ascii="宋体" w:hAnsi="宋体" w:eastAsia="宋体" w:cs="宋体"/>
          <w:sz w:val="24"/>
        </w:rPr>
        <w:t>律师</w:t>
      </w:r>
      <w:r>
        <w:rPr>
          <w:rFonts w:hint="eastAsia" w:ascii="宋体" w:hAnsi="宋体" w:eastAsia="宋体" w:cs="宋体"/>
          <w:sz w:val="10"/>
        </w:rPr>
        <w:t>、</w:t>
      </w:r>
      <w:r>
        <w:rPr>
          <w:rFonts w:hint="eastAsia" w:ascii="宋体" w:hAnsi="宋体" w:eastAsia="宋体" w:cs="宋体"/>
          <w:sz w:val="24"/>
        </w:rPr>
        <w:t>会计师或其他专业顾问</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720"/>
        <w:jc w:val="both"/>
      </w:pPr>
      <w:r>
        <w:rPr>
          <w:rFonts w:hint="eastAsia" w:ascii="Times New Roman" w:hAnsi="Times New Roman" w:eastAsia="Times New Roman" w:cs="Times New Roman"/>
          <w:sz w:val="21"/>
        </w:rPr>
        <w:t>1-1-3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4860"/>
        <w:jc w:val="both"/>
      </w:pPr>
      <w:r>
        <w:rPr>
          <w:rFonts w:hint="eastAsia" w:ascii="ºÚÌå" w:hAnsi="ºÚÌå" w:eastAsia="ºÚÌå" w:cs="ºÚÌå"/>
          <w:b/>
          <w:sz w:val="36"/>
        </w:rPr>
        <w:t>重大事项提示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2260"/>
        <w:jc w:val="both"/>
      </w:pPr>
      <w:r>
        <w:rPr>
          <w:rFonts w:hint="eastAsia" w:ascii="宋体" w:hAnsi="宋体" w:eastAsia="宋体" w:cs="宋体"/>
          <w:sz w:val="24"/>
        </w:rPr>
        <w:t>本公司特别提醒投资者应特别注意下列重大事项</w:t>
      </w:r>
      <w:r>
        <w:rPr>
          <w:rFonts w:hint="eastAsia" w:ascii="宋体" w:hAnsi="宋体" w:eastAsia="宋体" w:cs="宋体"/>
          <w:sz w:val="10"/>
        </w:rPr>
        <w:t>，</w:t>
      </w:r>
      <w:r>
        <w:rPr>
          <w:rFonts w:hint="eastAsia" w:ascii="宋体" w:hAnsi="宋体" w:eastAsia="宋体" w:cs="宋体"/>
          <w:sz w:val="24"/>
        </w:rPr>
        <w:t>并认真阅读本招股说明书</w:t>
      </w:r>
    </w:p>
    <w:p>
      <w:pPr>
        <w:spacing w:line="200" w:lineRule="exact"/>
        <w:rPr>
          <w:rFonts w:hint="eastAsia" w:ascii="宋体" w:hAnsi="宋体" w:eastAsia="宋体" w:cs="宋体"/>
          <w:sz w:val="20"/>
        </w:rPr>
      </w:pPr>
    </w:p>
    <w:p>
      <w:pPr>
        <w:autoSpaceDE w:val="false"/>
        <w:autoSpaceDN w:val="false"/>
        <w:spacing w:line="260" w:lineRule="exact"/>
        <w:ind w:left="1780"/>
        <w:jc w:val="both"/>
      </w:pPr>
      <w:r>
        <w:rPr>
          <w:rFonts w:hint="eastAsia" w:ascii="宋体" w:hAnsi="宋体" w:eastAsia="宋体" w:cs="宋体"/>
          <w:sz w:val="10"/>
        </w:rPr>
        <w:t>“</w:t>
      </w:r>
      <w:r>
        <w:rPr>
          <w:rFonts w:hint="eastAsia" w:ascii="宋体" w:hAnsi="宋体" w:eastAsia="宋体" w:cs="宋体"/>
          <w:sz w:val="24"/>
        </w:rPr>
        <w:t>风险因素</w:t>
      </w:r>
      <w:r>
        <w:rPr>
          <w:rFonts w:hint="eastAsia" w:ascii="宋体" w:hAnsi="宋体" w:eastAsia="宋体" w:cs="宋体"/>
          <w:sz w:val="10"/>
        </w:rPr>
        <w:t>”一</w:t>
      </w:r>
      <w:r>
        <w:rPr>
          <w:rFonts w:hint="eastAsia" w:ascii="宋体" w:hAnsi="宋体" w:eastAsia="宋体" w:cs="宋体"/>
          <w:sz w:val="24"/>
        </w:rPr>
        <w:t>节的全部内容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780"/>
        <w:jc w:val="both"/>
      </w:pPr>
      <w:r>
        <w:rPr>
          <w:rFonts w:hint="eastAsia" w:ascii="ºÚÌå" w:hAnsi="ºÚÌå" w:eastAsia="ºÚÌå" w:cs="ºÚÌå"/>
          <w:sz w:val="24"/>
        </w:rPr>
        <w:t>一、</w:t>
      </w:r>
      <w:r>
        <w:rPr>
          <w:rFonts w:hint="eastAsia" w:ascii="ºÚÌå" w:hAnsi="ºÚÌå" w:eastAsia="ºÚÌå" w:cs="ºÚÌå"/>
          <w:sz w:val="30"/>
        </w:rPr>
        <w:t>股东关于股份锁定的承诺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780" w:right="160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公司控股股东及实际控制人严孟宇先生承诺</w:t>
      </w:r>
      <w:r>
        <w:rPr>
          <w:rFonts w:hint="eastAsia" w:ascii="宋体" w:hAnsi="宋体" w:eastAsia="宋体" w:cs="宋体"/>
          <w:sz w:val="12"/>
        </w:rPr>
        <w:t>：</w:t>
      </w:r>
      <w:r>
        <w:rPr>
          <w:rFonts w:hint="eastAsia" w:ascii="宋体" w:hAnsi="宋体" w:eastAsia="宋体" w:cs="宋体"/>
          <w:sz w:val="24"/>
        </w:rPr>
        <w:t>自公司股票在上海证券交易所上市交易之日起三十六个月内</w:t>
      </w:r>
      <w:r>
        <w:rPr>
          <w:rFonts w:hint="eastAsia" w:ascii="宋体" w:hAnsi="宋体" w:eastAsia="宋体" w:cs="宋体"/>
          <w:sz w:val="10"/>
        </w:rPr>
        <w:t>，</w:t>
      </w:r>
      <w:r>
        <w:rPr>
          <w:rFonts w:hint="eastAsia" w:ascii="宋体" w:hAnsi="宋体" w:eastAsia="宋体" w:cs="宋体"/>
          <w:sz w:val="24"/>
        </w:rPr>
        <w:t>不转让或委托他人管理其在顶点软件本次发行前持有的顶点软件的股份</w:t>
      </w:r>
      <w:r>
        <w:rPr>
          <w:rFonts w:hint="eastAsia" w:ascii="宋体" w:hAnsi="宋体" w:eastAsia="宋体" w:cs="宋体"/>
          <w:sz w:val="10"/>
        </w:rPr>
        <w:t>，</w:t>
      </w:r>
      <w:r>
        <w:rPr>
          <w:rFonts w:hint="eastAsia" w:ascii="宋体" w:hAnsi="宋体" w:eastAsia="宋体" w:cs="宋体"/>
          <w:sz w:val="24"/>
        </w:rPr>
        <w:t>也不由顶点软件回购该股份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公司法人股东金石投资承诺</w:t>
      </w:r>
      <w:r>
        <w:rPr>
          <w:rFonts w:hint="eastAsia" w:ascii="宋体" w:hAnsi="宋体" w:eastAsia="宋体" w:cs="宋体"/>
          <w:sz w:val="12"/>
        </w:rPr>
        <w:t>：</w:t>
      </w:r>
      <w:r>
        <w:rPr>
          <w:rFonts w:hint="eastAsia" w:ascii="宋体" w:hAnsi="宋体" w:eastAsia="宋体" w:cs="宋体"/>
          <w:sz w:val="24"/>
        </w:rPr>
        <w:t>自顶点软件股票在上海证券交易所上市交易之日起三十六个月内</w:t>
      </w:r>
      <w:r>
        <w:rPr>
          <w:rFonts w:hint="eastAsia" w:ascii="宋体" w:hAnsi="宋体" w:eastAsia="宋体" w:cs="宋体"/>
          <w:sz w:val="10"/>
        </w:rPr>
        <w:t>，</w:t>
      </w:r>
      <w:r>
        <w:rPr>
          <w:rFonts w:hint="eastAsia" w:ascii="宋体" w:hAnsi="宋体" w:eastAsia="宋体" w:cs="宋体"/>
          <w:sz w:val="24"/>
        </w:rPr>
        <w:t>不转让或者委托他人管理本公司直接持有的顶点软件公开发行股票前已发行的股份</w:t>
      </w:r>
      <w:r>
        <w:rPr>
          <w:rFonts w:hint="eastAsia" w:ascii="宋体" w:hAnsi="宋体" w:eastAsia="宋体" w:cs="宋体"/>
          <w:sz w:val="10"/>
        </w:rPr>
        <w:t>，</w:t>
      </w:r>
      <w:r>
        <w:rPr>
          <w:rFonts w:hint="eastAsia" w:ascii="宋体" w:hAnsi="宋体" w:eastAsia="宋体" w:cs="宋体"/>
          <w:sz w:val="24"/>
        </w:rPr>
        <w:t>也不由顶点软件回购本公司直接持有的顶点软件公开发行股票前已发行的股份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公司法人股东爱派克承诺</w:t>
      </w:r>
      <w:r>
        <w:rPr>
          <w:rFonts w:hint="eastAsia" w:ascii="宋体" w:hAnsi="宋体" w:eastAsia="宋体" w:cs="宋体"/>
          <w:sz w:val="12"/>
        </w:rPr>
        <w:t>：</w:t>
      </w:r>
      <w:r>
        <w:rPr>
          <w:rFonts w:hint="eastAsia" w:ascii="宋体" w:hAnsi="宋体" w:eastAsia="宋体" w:cs="宋体"/>
          <w:sz w:val="24"/>
        </w:rPr>
        <w:t>自公司股票在上海证券交易所上市交易之日起三十六个月内</w:t>
      </w:r>
      <w:r>
        <w:rPr>
          <w:rFonts w:hint="eastAsia" w:ascii="宋体" w:hAnsi="宋体" w:eastAsia="宋体" w:cs="宋体"/>
          <w:sz w:val="10"/>
        </w:rPr>
        <w:t>，</w:t>
      </w:r>
      <w:r>
        <w:rPr>
          <w:rFonts w:hint="eastAsia" w:ascii="宋体" w:hAnsi="宋体" w:eastAsia="宋体" w:cs="宋体"/>
          <w:sz w:val="24"/>
        </w:rPr>
        <w:t>不转让或委托他人管理其在顶点软件本次发行前所持有的顶点软件的股份</w:t>
      </w:r>
      <w:r>
        <w:rPr>
          <w:rFonts w:hint="eastAsia" w:ascii="宋体" w:hAnsi="宋体" w:eastAsia="宋体" w:cs="宋体"/>
          <w:sz w:val="10"/>
        </w:rPr>
        <w:t>，</w:t>
      </w:r>
      <w:r>
        <w:rPr>
          <w:rFonts w:hint="eastAsia" w:ascii="宋体" w:hAnsi="宋体" w:eastAsia="宋体" w:cs="宋体"/>
          <w:sz w:val="24"/>
        </w:rPr>
        <w:t>也不由顶点软件回购该股份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公司自然人股东赵伟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戴小戈</w:t>
      </w:r>
      <w:r>
        <w:rPr>
          <w:rFonts w:hint="eastAsia" w:ascii="宋体" w:hAnsi="宋体" w:eastAsia="宋体" w:cs="宋体"/>
          <w:sz w:val="10"/>
        </w:rPr>
        <w:t>、</w:t>
      </w:r>
      <w:r>
        <w:rPr>
          <w:rFonts w:hint="eastAsia" w:ascii="宋体" w:hAnsi="宋体" w:eastAsia="宋体" w:cs="宋体"/>
          <w:sz w:val="24"/>
        </w:rPr>
        <w:t>欧永</w:t>
      </w:r>
      <w:r>
        <w:rPr>
          <w:rFonts w:hint="eastAsia" w:ascii="宋体" w:hAnsi="宋体" w:eastAsia="宋体" w:cs="宋体"/>
          <w:sz w:val="10"/>
        </w:rPr>
        <w:t>、</w:t>
      </w:r>
      <w:r>
        <w:rPr>
          <w:rFonts w:hint="eastAsia" w:ascii="宋体" w:hAnsi="宋体" w:eastAsia="宋体" w:cs="宋体"/>
          <w:sz w:val="24"/>
        </w:rPr>
        <w:t>林秀红</w:t>
      </w:r>
      <w:r>
        <w:rPr>
          <w:rFonts w:hint="eastAsia" w:ascii="宋体" w:hAnsi="宋体" w:eastAsia="宋体" w:cs="宋体"/>
          <w:sz w:val="10"/>
        </w:rPr>
        <w:t>、</w:t>
      </w:r>
      <w:r>
        <w:rPr>
          <w:rFonts w:hint="eastAsia" w:ascii="宋体" w:hAnsi="宋体" w:eastAsia="宋体" w:cs="宋体"/>
          <w:sz w:val="24"/>
        </w:rPr>
        <w:t>郑元通</w:t>
      </w:r>
      <w:r>
        <w:rPr>
          <w:rFonts w:hint="eastAsia" w:ascii="宋体" w:hAnsi="宋体" w:eastAsia="宋体" w:cs="宋体"/>
          <w:sz w:val="10"/>
        </w:rPr>
        <w:t>、</w:t>
      </w:r>
      <w:r>
        <w:rPr>
          <w:rFonts w:hint="eastAsia" w:ascii="宋体" w:hAnsi="宋体" w:eastAsia="宋体" w:cs="宋体"/>
          <w:sz w:val="24"/>
        </w:rPr>
        <w:t>赵莹</w:t>
      </w:r>
      <w:r>
        <w:rPr>
          <w:rFonts w:hint="eastAsia" w:ascii="宋体" w:hAnsi="宋体" w:eastAsia="宋体" w:cs="宋体"/>
          <w:sz w:val="10"/>
        </w:rPr>
        <w:t>、</w:t>
      </w:r>
      <w:r>
        <w:rPr>
          <w:rFonts w:hint="eastAsia" w:ascii="宋体" w:hAnsi="宋体" w:eastAsia="宋体" w:cs="宋体"/>
          <w:sz w:val="24"/>
        </w:rPr>
        <w:t>余养成</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张玉</w:t>
      </w:r>
      <w:r>
        <w:rPr>
          <w:rFonts w:hint="eastAsia" w:ascii="宋体" w:hAnsi="宋体" w:eastAsia="宋体" w:cs="宋体"/>
          <w:sz w:val="10"/>
        </w:rPr>
        <w:t>、</w:t>
      </w:r>
      <w:r>
        <w:rPr>
          <w:rFonts w:hint="eastAsia" w:ascii="宋体" w:hAnsi="宋体" w:eastAsia="宋体" w:cs="宋体"/>
          <w:sz w:val="24"/>
        </w:rPr>
        <w:t>刘法先</w:t>
      </w:r>
      <w:r>
        <w:rPr>
          <w:rFonts w:hint="eastAsia" w:ascii="宋体" w:hAnsi="宋体" w:eastAsia="宋体" w:cs="宋体"/>
          <w:sz w:val="10"/>
        </w:rPr>
        <w:t>、</w:t>
      </w:r>
      <w:r>
        <w:rPr>
          <w:rFonts w:hint="eastAsia" w:ascii="宋体" w:hAnsi="宋体" w:eastAsia="宋体" w:cs="宋体"/>
          <w:sz w:val="24"/>
        </w:rPr>
        <w:t>徐传秋</w:t>
      </w:r>
      <w:r>
        <w:rPr>
          <w:rFonts w:hint="eastAsia" w:ascii="宋体" w:hAnsi="宋体" w:eastAsia="宋体" w:cs="宋体"/>
          <w:sz w:val="10"/>
        </w:rPr>
        <w:t>、</w:t>
      </w:r>
      <w:r>
        <w:rPr>
          <w:rFonts w:hint="eastAsia" w:ascii="宋体" w:hAnsi="宋体" w:eastAsia="宋体" w:cs="宋体"/>
          <w:sz w:val="24"/>
        </w:rPr>
        <w:t>邓志强</w:t>
      </w:r>
      <w:r>
        <w:rPr>
          <w:rFonts w:hint="eastAsia" w:ascii="宋体" w:hAnsi="宋体" w:eastAsia="宋体" w:cs="宋体"/>
          <w:sz w:val="10"/>
        </w:rPr>
        <w:t>、</w:t>
      </w:r>
      <w:r>
        <w:rPr>
          <w:rFonts w:hint="eastAsia" w:ascii="宋体" w:hAnsi="宋体" w:eastAsia="宋体" w:cs="宋体"/>
          <w:sz w:val="24"/>
        </w:rPr>
        <w:t>王敏航</w:t>
      </w:r>
      <w:r>
        <w:rPr>
          <w:rFonts w:hint="eastAsia" w:ascii="宋体" w:hAnsi="宋体" w:eastAsia="宋体" w:cs="宋体"/>
          <w:sz w:val="10"/>
        </w:rPr>
        <w:t>、</w:t>
      </w:r>
      <w:r>
        <w:rPr>
          <w:rFonts w:hint="eastAsia" w:ascii="宋体" w:hAnsi="宋体" w:eastAsia="宋体" w:cs="宋体"/>
          <w:sz w:val="24"/>
        </w:rPr>
        <w:t>张雄金</w:t>
      </w:r>
      <w:r>
        <w:rPr>
          <w:rFonts w:hint="eastAsia" w:ascii="宋体" w:hAnsi="宋体" w:eastAsia="宋体" w:cs="宋体"/>
          <w:sz w:val="10"/>
        </w:rPr>
        <w:t>、</w:t>
      </w:r>
      <w:r>
        <w:rPr>
          <w:rFonts w:hint="eastAsia" w:ascii="宋体" w:hAnsi="宋体" w:eastAsia="宋体" w:cs="宋体"/>
          <w:sz w:val="24"/>
        </w:rPr>
        <w:t>鄢继华</w:t>
      </w:r>
      <w:r>
        <w:rPr>
          <w:rFonts w:hint="eastAsia" w:ascii="宋体" w:hAnsi="宋体" w:eastAsia="宋体" w:cs="宋体"/>
          <w:sz w:val="10"/>
        </w:rPr>
        <w:t>、</w:t>
      </w:r>
      <w:r>
        <w:rPr>
          <w:rFonts w:hint="eastAsia" w:ascii="宋体" w:hAnsi="宋体" w:eastAsia="宋体" w:cs="宋体"/>
          <w:sz w:val="24"/>
        </w:rPr>
        <w:t>谢淑仁</w:t>
      </w:r>
      <w:r>
        <w:rPr>
          <w:rFonts w:hint="eastAsia" w:ascii="宋体" w:hAnsi="宋体" w:eastAsia="宋体" w:cs="宋体"/>
          <w:sz w:val="10"/>
        </w:rPr>
        <w:t>、</w:t>
      </w:r>
      <w:r>
        <w:rPr>
          <w:rFonts w:hint="eastAsia" w:ascii="宋体" w:hAnsi="宋体" w:eastAsia="宋体" w:cs="宋体"/>
          <w:sz w:val="24"/>
        </w:rPr>
        <w:t>陈瑞德</w:t>
      </w:r>
      <w:r>
        <w:rPr>
          <w:rFonts w:hint="eastAsia" w:ascii="宋体" w:hAnsi="宋体" w:eastAsia="宋体" w:cs="宋体"/>
          <w:sz w:val="10"/>
        </w:rPr>
        <w:t>、</w:t>
      </w:r>
      <w:r>
        <w:rPr>
          <w:rFonts w:hint="eastAsia" w:ascii="宋体" w:hAnsi="宋体" w:eastAsia="宋体" w:cs="宋体"/>
          <w:sz w:val="24"/>
        </w:rPr>
        <w:t>陈建国承诺</w:t>
      </w:r>
      <w:r>
        <w:rPr>
          <w:rFonts w:hint="eastAsia" w:ascii="宋体" w:hAnsi="宋体" w:eastAsia="宋体" w:cs="宋体"/>
          <w:sz w:val="12"/>
        </w:rPr>
        <w:t>：</w:t>
      </w:r>
      <w:r>
        <w:rPr>
          <w:rFonts w:hint="eastAsia" w:ascii="宋体" w:hAnsi="宋体" w:eastAsia="宋体" w:cs="宋体"/>
          <w:sz w:val="24"/>
        </w:rPr>
        <w:t>自公司股票在上海证券交易所上市交易之日起十二个月内</w:t>
      </w:r>
      <w:r>
        <w:rPr>
          <w:rFonts w:hint="eastAsia" w:ascii="宋体" w:hAnsi="宋体" w:eastAsia="宋体" w:cs="宋体"/>
          <w:sz w:val="10"/>
        </w:rPr>
        <w:t>，</w:t>
      </w:r>
      <w:r>
        <w:rPr>
          <w:rFonts w:hint="eastAsia" w:ascii="宋体" w:hAnsi="宋体" w:eastAsia="宋体" w:cs="宋体"/>
          <w:sz w:val="24"/>
        </w:rPr>
        <w:t>不转让或委托他人管理其在顶点软件本次发行前持有的顶点软件的股份</w:t>
      </w:r>
      <w:r>
        <w:rPr>
          <w:rFonts w:hint="eastAsia" w:ascii="宋体" w:hAnsi="宋体" w:eastAsia="宋体" w:cs="宋体"/>
          <w:sz w:val="10"/>
        </w:rPr>
        <w:t>，</w:t>
      </w:r>
      <w:r>
        <w:rPr>
          <w:rFonts w:hint="eastAsia" w:ascii="宋体" w:hAnsi="宋体" w:eastAsia="宋体" w:cs="宋体"/>
          <w:sz w:val="24"/>
        </w:rPr>
        <w:t>也不由顶点软件回购该股份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780" w:right="1600" w:firstLine="480"/>
        <w:jc w:val="both"/>
      </w:pPr>
      <w:r>
        <w:rPr>
          <w:rFonts w:hint="eastAsia" w:ascii="Times New Roman" w:hAnsi="Times New Roman" w:eastAsia="Times New Roman" w:cs="Times New Roman"/>
          <w:sz w:val="24"/>
        </w:rPr>
        <w:t>5</w:t>
      </w:r>
      <w:r>
        <w:rPr>
          <w:rFonts w:hint="eastAsia" w:ascii="宋体" w:hAnsi="宋体" w:eastAsia="宋体" w:cs="宋体"/>
          <w:sz w:val="10"/>
        </w:rPr>
        <w:t>、</w:t>
      </w:r>
      <w:r>
        <w:rPr>
          <w:rFonts w:hint="eastAsia" w:ascii="宋体" w:hAnsi="宋体" w:eastAsia="宋体" w:cs="宋体"/>
          <w:sz w:val="24"/>
        </w:rPr>
        <w:t>直接持有公司股份的董事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高级管理人员严孟宇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欧永</w:t>
      </w:r>
      <w:r>
        <w:rPr>
          <w:rFonts w:hint="eastAsia" w:ascii="宋体" w:hAnsi="宋体" w:eastAsia="宋体" w:cs="宋体"/>
          <w:sz w:val="10"/>
        </w:rPr>
        <w:t>、</w:t>
      </w:r>
      <w:r>
        <w:rPr>
          <w:rFonts w:hint="eastAsia" w:ascii="宋体" w:hAnsi="宋体" w:eastAsia="宋体" w:cs="宋体"/>
          <w:sz w:val="24"/>
        </w:rPr>
        <w:t>郑元通承诺</w:t>
      </w:r>
      <w:r>
        <w:rPr>
          <w:rFonts w:hint="eastAsia" w:ascii="宋体" w:hAnsi="宋体" w:eastAsia="宋体" w:cs="宋体"/>
          <w:sz w:val="10"/>
        </w:rPr>
        <w:t>：</w:t>
      </w:r>
      <w:r>
        <w:rPr>
          <w:rFonts w:hint="eastAsia" w:ascii="宋体" w:hAnsi="宋体" w:eastAsia="宋体" w:cs="宋体"/>
          <w:sz w:val="24"/>
        </w:rPr>
        <w:t>除前述锁定期外</w:t>
      </w:r>
      <w:r>
        <w:rPr>
          <w:rFonts w:hint="eastAsia" w:ascii="宋体" w:hAnsi="宋体" w:eastAsia="宋体" w:cs="宋体"/>
          <w:sz w:val="10"/>
        </w:rPr>
        <w:t>，</w:t>
      </w:r>
      <w:r>
        <w:rPr>
          <w:rFonts w:hint="eastAsia" w:ascii="宋体" w:hAnsi="宋体" w:eastAsia="宋体" w:cs="宋体"/>
          <w:sz w:val="24"/>
        </w:rPr>
        <w:t>在其任职期间每年转让的股份不超过其持有的公司股份总数的百分之二十五</w:t>
      </w:r>
      <w:r>
        <w:rPr>
          <w:rFonts w:hint="eastAsia" w:ascii="宋体" w:hAnsi="宋体" w:eastAsia="宋体" w:cs="宋体"/>
          <w:sz w:val="14"/>
        </w:rPr>
        <w:t>；</w:t>
      </w:r>
      <w:r>
        <w:rPr>
          <w:rFonts w:hint="eastAsia" w:ascii="宋体" w:hAnsi="宋体" w:eastAsia="宋体" w:cs="宋体"/>
          <w:sz w:val="24"/>
        </w:rPr>
        <w:t>在离职后半年内</w:t>
      </w:r>
      <w:r>
        <w:rPr>
          <w:rFonts w:hint="eastAsia" w:ascii="宋体" w:hAnsi="宋体" w:eastAsia="宋体" w:cs="宋体"/>
          <w:sz w:val="10"/>
        </w:rPr>
        <w:t>，</w:t>
      </w:r>
      <w:r>
        <w:rPr>
          <w:rFonts w:hint="eastAsia" w:ascii="宋体" w:hAnsi="宋体" w:eastAsia="宋体" w:cs="宋体"/>
          <w:sz w:val="24"/>
        </w:rPr>
        <w:t>不转让其持有的公司股份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780" w:right="1600" w:firstLine="480"/>
        <w:jc w:val="both"/>
      </w:pPr>
      <w:r>
        <w:rPr>
          <w:rFonts w:hint="eastAsia" w:ascii="Times New Roman" w:hAnsi="Times New Roman" w:eastAsia="Times New Roman" w:cs="Times New Roman"/>
          <w:sz w:val="24"/>
        </w:rPr>
        <w:t>6</w:t>
      </w:r>
      <w:r>
        <w:rPr>
          <w:rFonts w:hint="eastAsia" w:ascii="宋体" w:hAnsi="宋体" w:eastAsia="宋体" w:cs="宋体"/>
          <w:sz w:val="10"/>
        </w:rPr>
        <w:t>、</w:t>
      </w:r>
      <w:r>
        <w:rPr>
          <w:rFonts w:hint="eastAsia" w:ascii="宋体" w:hAnsi="宋体" w:eastAsia="宋体" w:cs="宋体"/>
          <w:sz w:val="24"/>
        </w:rPr>
        <w:t>通过爱派克间接持有公司股份的董事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高级管理人员黄义青</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欧永</w:t>
      </w:r>
      <w:r>
        <w:rPr>
          <w:rFonts w:hint="eastAsia" w:ascii="宋体" w:hAnsi="宋体" w:eastAsia="宋体" w:cs="宋体"/>
          <w:sz w:val="10"/>
        </w:rPr>
        <w:t>、</w:t>
      </w:r>
      <w:r>
        <w:rPr>
          <w:rFonts w:hint="eastAsia" w:ascii="宋体" w:hAnsi="宋体" w:eastAsia="宋体" w:cs="宋体"/>
          <w:sz w:val="24"/>
        </w:rPr>
        <w:t>雷世潘承诺</w:t>
      </w:r>
      <w:r>
        <w:rPr>
          <w:rFonts w:hint="eastAsia" w:ascii="宋体" w:hAnsi="宋体" w:eastAsia="宋体" w:cs="宋体"/>
          <w:sz w:val="10"/>
        </w:rPr>
        <w:t>：</w:t>
      </w:r>
      <w:r>
        <w:rPr>
          <w:rFonts w:hint="eastAsia" w:ascii="宋体" w:hAnsi="宋体" w:eastAsia="宋体" w:cs="宋体"/>
          <w:sz w:val="24"/>
        </w:rPr>
        <w:t>自公司股票上市之日起三十六个月内</w:t>
      </w:r>
      <w:r>
        <w:rPr>
          <w:rFonts w:hint="eastAsia" w:ascii="宋体" w:hAnsi="宋体" w:eastAsia="宋体" w:cs="宋体"/>
          <w:sz w:val="10"/>
        </w:rPr>
        <w:t>，</w:t>
      </w:r>
      <w:r>
        <w:rPr>
          <w:rFonts w:hint="eastAsia" w:ascii="宋体" w:hAnsi="宋体" w:eastAsia="宋体" w:cs="宋体"/>
          <w:sz w:val="24"/>
        </w:rPr>
        <w:t>不转让或者委托他人管理其所持有的爱派克股权</w:t>
      </w:r>
      <w:r>
        <w:rPr>
          <w:rFonts w:hint="eastAsia" w:ascii="宋体" w:hAnsi="宋体" w:eastAsia="宋体" w:cs="宋体"/>
          <w:sz w:val="14"/>
        </w:rPr>
        <w:t>；</w:t>
      </w:r>
      <w:r>
        <w:rPr>
          <w:rFonts w:hint="eastAsia" w:ascii="宋体" w:hAnsi="宋体" w:eastAsia="宋体" w:cs="宋体"/>
          <w:sz w:val="24"/>
        </w:rPr>
        <w:t>在前述限售期满后</w:t>
      </w:r>
      <w:r>
        <w:rPr>
          <w:rFonts w:hint="eastAsia" w:ascii="宋体" w:hAnsi="宋体" w:eastAsia="宋体" w:cs="宋体"/>
          <w:sz w:val="10"/>
        </w:rPr>
        <w:t>，</w:t>
      </w:r>
      <w:r>
        <w:rPr>
          <w:rFonts w:hint="eastAsia" w:ascii="宋体" w:hAnsi="宋体" w:eastAsia="宋体" w:cs="宋体"/>
          <w:sz w:val="24"/>
        </w:rPr>
        <w:t>其通过爱派克间接持有的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720"/>
        <w:jc w:val="both"/>
      </w:pPr>
      <w:r>
        <w:rPr>
          <w:rFonts w:hint="eastAsia" w:ascii="Times New Roman" w:hAnsi="Times New Roman" w:eastAsia="Times New Roman" w:cs="Times New Roman"/>
          <w:sz w:val="21"/>
        </w:rPr>
        <w:t>1-1-4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780" w:right="1620"/>
        <w:jc w:val="both"/>
      </w:pPr>
      <w:r>
        <w:rPr>
          <w:rFonts w:hint="eastAsia" w:ascii="宋体" w:hAnsi="宋体" w:eastAsia="宋体" w:cs="宋体"/>
          <w:sz w:val="24"/>
        </w:rPr>
        <w:t>公司股份在任职期间每年转让的比例不超过所持股份总数的百分之二十五</w:t>
      </w:r>
      <w:r>
        <w:rPr>
          <w:rFonts w:hint="eastAsia" w:ascii="宋体" w:hAnsi="宋体" w:eastAsia="宋体" w:cs="宋体"/>
          <w:sz w:val="14"/>
        </w:rPr>
        <w:t>；</w:t>
      </w:r>
      <w:r>
        <w:rPr>
          <w:rFonts w:hint="eastAsia" w:ascii="宋体" w:hAnsi="宋体" w:eastAsia="宋体" w:cs="宋体"/>
          <w:sz w:val="24"/>
        </w:rPr>
        <w:t>在离职后半年内</w:t>
      </w:r>
      <w:r>
        <w:rPr>
          <w:rFonts w:hint="eastAsia" w:ascii="宋体" w:hAnsi="宋体" w:eastAsia="宋体" w:cs="宋体"/>
          <w:sz w:val="10"/>
        </w:rPr>
        <w:t>，</w:t>
      </w:r>
      <w:r>
        <w:rPr>
          <w:rFonts w:hint="eastAsia" w:ascii="宋体" w:hAnsi="宋体" w:eastAsia="宋体" w:cs="宋体"/>
          <w:sz w:val="24"/>
        </w:rPr>
        <w:t>不转让通过爱派克间接持有的公司股份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Times New Roman" w:hAnsi="Times New Roman" w:eastAsia="Times New Roman" w:cs="Times New Roman"/>
          <w:sz w:val="24"/>
        </w:rPr>
        <w:t>7</w:t>
      </w:r>
      <w:r>
        <w:rPr>
          <w:rFonts w:hint="eastAsia" w:ascii="宋体" w:hAnsi="宋体" w:eastAsia="宋体" w:cs="宋体"/>
          <w:sz w:val="10"/>
        </w:rPr>
        <w:t>、</w:t>
      </w:r>
      <w:r>
        <w:rPr>
          <w:rFonts w:hint="eastAsia" w:ascii="宋体" w:hAnsi="宋体" w:eastAsia="宋体" w:cs="宋体"/>
          <w:sz w:val="24"/>
        </w:rPr>
        <w:t>公司实际控制人严孟宇先生之岳父</w:t>
      </w:r>
      <w:r>
        <w:rPr>
          <w:rFonts w:hint="eastAsia" w:ascii="宋体" w:hAnsi="宋体" w:eastAsia="宋体" w:cs="宋体"/>
          <w:sz w:val="10"/>
        </w:rPr>
        <w:t>、</w:t>
      </w:r>
      <w:r>
        <w:rPr>
          <w:rFonts w:hint="eastAsia" w:ascii="宋体" w:hAnsi="宋体" w:eastAsia="宋体" w:cs="宋体"/>
          <w:sz w:val="24"/>
        </w:rPr>
        <w:t>爱派克之股东林永正先生承诺</w:t>
      </w:r>
      <w:r>
        <w:rPr>
          <w:rFonts w:hint="eastAsia" w:ascii="宋体" w:hAnsi="宋体" w:eastAsia="宋体" w:cs="宋体"/>
          <w:sz w:val="10"/>
        </w:rPr>
        <w:t>：</w:t>
      </w:r>
      <w:r>
        <w:rPr>
          <w:rFonts w:hint="eastAsia" w:ascii="宋体" w:hAnsi="宋体" w:eastAsia="宋体" w:cs="宋体"/>
          <w:sz w:val="24"/>
        </w:rPr>
        <w:t>自公司股票在上海证券交易所上市交易之日起三十六个月内</w:t>
      </w:r>
      <w:r>
        <w:rPr>
          <w:rFonts w:hint="eastAsia" w:ascii="宋体" w:hAnsi="宋体" w:eastAsia="宋体" w:cs="宋体"/>
          <w:sz w:val="10"/>
        </w:rPr>
        <w:t>，</w:t>
      </w:r>
      <w:r>
        <w:rPr>
          <w:rFonts w:hint="eastAsia" w:ascii="宋体" w:hAnsi="宋体" w:eastAsia="宋体" w:cs="宋体"/>
          <w:sz w:val="24"/>
        </w:rPr>
        <w:t>不转让或者委托他人管理其通过爱派克间接持有的公司股份</w:t>
      </w:r>
      <w:r>
        <w:rPr>
          <w:rFonts w:hint="eastAsia" w:ascii="宋体" w:hAnsi="宋体" w:eastAsia="宋体" w:cs="宋体"/>
          <w:sz w:val="10"/>
        </w:rPr>
        <w:t>，</w:t>
      </w:r>
      <w:r>
        <w:rPr>
          <w:rFonts w:hint="eastAsia" w:ascii="宋体" w:hAnsi="宋体" w:eastAsia="宋体" w:cs="宋体"/>
          <w:sz w:val="24"/>
        </w:rPr>
        <w:t>并且不转让或委托他人管理其所持有的爱派克股权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Times New Roman" w:hAnsi="Times New Roman" w:eastAsia="Times New Roman" w:cs="Times New Roman"/>
          <w:sz w:val="24"/>
        </w:rPr>
        <w:t>8</w:t>
      </w:r>
      <w:r>
        <w:rPr>
          <w:rFonts w:hint="eastAsia" w:ascii="宋体" w:hAnsi="宋体" w:eastAsia="宋体" w:cs="宋体"/>
          <w:sz w:val="10"/>
        </w:rPr>
        <w:t>、</w:t>
      </w:r>
      <w:r>
        <w:rPr>
          <w:rFonts w:hint="eastAsia" w:ascii="宋体" w:hAnsi="宋体" w:eastAsia="宋体" w:cs="宋体"/>
          <w:sz w:val="24"/>
        </w:rPr>
        <w:t>本公司控股股东严孟宇先生</w:t>
      </w:r>
      <w:r>
        <w:rPr>
          <w:rFonts w:hint="eastAsia" w:ascii="宋体" w:hAnsi="宋体" w:eastAsia="宋体" w:cs="宋体"/>
          <w:sz w:val="10"/>
        </w:rPr>
        <w:t>、</w:t>
      </w:r>
      <w:r>
        <w:rPr>
          <w:rFonts w:hint="eastAsia" w:ascii="宋体" w:hAnsi="宋体" w:eastAsia="宋体" w:cs="宋体"/>
          <w:sz w:val="24"/>
        </w:rPr>
        <w:t>法人股东爱派克及持有发行人股份的公司董事</w:t>
      </w:r>
      <w:r>
        <w:rPr>
          <w:rFonts w:hint="eastAsia" w:ascii="宋体" w:hAnsi="宋体" w:eastAsia="宋体" w:cs="宋体"/>
          <w:sz w:val="10"/>
        </w:rPr>
        <w:t>、</w:t>
      </w:r>
      <w:r>
        <w:rPr>
          <w:rFonts w:hint="eastAsia" w:ascii="宋体" w:hAnsi="宋体" w:eastAsia="宋体" w:cs="宋体"/>
          <w:sz w:val="24"/>
        </w:rPr>
        <w:t>高级管理人员同时承诺</w:t>
      </w:r>
      <w:r>
        <w:rPr>
          <w:rFonts w:hint="eastAsia" w:ascii="宋体" w:hAnsi="宋体" w:eastAsia="宋体" w:cs="宋体"/>
          <w:sz w:val="10"/>
        </w:rPr>
        <w:t>：</w:t>
      </w:r>
      <w:r>
        <w:rPr>
          <w:rFonts w:hint="eastAsia" w:ascii="宋体" w:hAnsi="宋体" w:eastAsia="宋体" w:cs="宋体"/>
          <w:sz w:val="24"/>
        </w:rPr>
        <w:t>所持股票在锁定期满后两年内减持的</w:t>
      </w:r>
      <w:r>
        <w:rPr>
          <w:rFonts w:hint="eastAsia" w:ascii="宋体" w:hAnsi="宋体" w:eastAsia="宋体" w:cs="宋体"/>
          <w:sz w:val="10"/>
        </w:rPr>
        <w:t>，</w:t>
      </w:r>
      <w:r>
        <w:rPr>
          <w:rFonts w:hint="eastAsia" w:ascii="宋体" w:hAnsi="宋体" w:eastAsia="宋体" w:cs="宋体"/>
          <w:sz w:val="24"/>
        </w:rPr>
        <w:t>其减持价格不低于发行价</w:t>
      </w:r>
      <w:r>
        <w:rPr>
          <w:rFonts w:hint="eastAsia" w:ascii="宋体" w:hAnsi="宋体" w:eastAsia="宋体" w:cs="宋体"/>
          <w:sz w:val="12"/>
        </w:rPr>
        <w:t>；</w:t>
      </w:r>
      <w:r>
        <w:rPr>
          <w:rFonts w:hint="eastAsia" w:ascii="宋体" w:hAnsi="宋体" w:eastAsia="宋体" w:cs="宋体"/>
          <w:sz w:val="24"/>
        </w:rPr>
        <w:t>公司上市之日起</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个月内如公司股票连续</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个交易日的收盘价均低于发行价</w:t>
      </w:r>
      <w:r>
        <w:rPr>
          <w:rFonts w:hint="eastAsia" w:ascii="宋体" w:hAnsi="宋体" w:eastAsia="宋体" w:cs="宋体"/>
          <w:sz w:val="10"/>
        </w:rPr>
        <w:t>，</w:t>
      </w:r>
      <w:r>
        <w:rPr>
          <w:rFonts w:hint="eastAsia" w:ascii="宋体" w:hAnsi="宋体" w:eastAsia="宋体" w:cs="宋体"/>
          <w:sz w:val="24"/>
        </w:rPr>
        <w:t>或者上市后</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个月期末收盘价低于发行价</w:t>
      </w:r>
      <w:r>
        <w:rPr>
          <w:rFonts w:hint="eastAsia" w:ascii="宋体" w:hAnsi="宋体" w:eastAsia="宋体" w:cs="宋体"/>
          <w:sz w:val="10"/>
        </w:rPr>
        <w:t>，</w:t>
      </w:r>
      <w:r>
        <w:rPr>
          <w:rFonts w:hint="eastAsia" w:ascii="宋体" w:hAnsi="宋体" w:eastAsia="宋体" w:cs="宋体"/>
          <w:sz w:val="24"/>
        </w:rPr>
        <w:t>其持有公司股票的锁定期限在原有锁定期限基础上自动延长</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自公司股票上市至其减持期间</w:t>
      </w:r>
      <w:r>
        <w:rPr>
          <w:rFonts w:hint="eastAsia" w:ascii="宋体" w:hAnsi="宋体" w:eastAsia="宋体" w:cs="宋体"/>
          <w:sz w:val="10"/>
        </w:rPr>
        <w:t>，</w:t>
      </w:r>
      <w:r>
        <w:rPr>
          <w:rFonts w:hint="eastAsia" w:ascii="宋体" w:hAnsi="宋体" w:eastAsia="宋体" w:cs="宋体"/>
          <w:sz w:val="24"/>
        </w:rPr>
        <w:t>公司如有派息</w:t>
      </w:r>
      <w:r>
        <w:rPr>
          <w:rFonts w:hint="eastAsia" w:ascii="宋体" w:hAnsi="宋体" w:eastAsia="宋体" w:cs="宋体"/>
          <w:sz w:val="10"/>
        </w:rPr>
        <w:t>、</w:t>
      </w:r>
      <w:r>
        <w:rPr>
          <w:rFonts w:hint="eastAsia" w:ascii="宋体" w:hAnsi="宋体" w:eastAsia="宋体" w:cs="宋体"/>
          <w:sz w:val="24"/>
        </w:rPr>
        <w:t>送股</w:t>
      </w:r>
      <w:r>
        <w:rPr>
          <w:rFonts w:hint="eastAsia" w:ascii="宋体" w:hAnsi="宋体" w:eastAsia="宋体" w:cs="宋体"/>
          <w:sz w:val="10"/>
        </w:rPr>
        <w:t>、</w:t>
      </w:r>
      <w:r>
        <w:rPr>
          <w:rFonts w:hint="eastAsia" w:ascii="宋体" w:hAnsi="宋体" w:eastAsia="宋体" w:cs="宋体"/>
          <w:sz w:val="24"/>
        </w:rPr>
        <w:t>资本公积金转增股本</w:t>
      </w:r>
      <w:r>
        <w:rPr>
          <w:rFonts w:hint="eastAsia" w:ascii="宋体" w:hAnsi="宋体" w:eastAsia="宋体" w:cs="宋体"/>
          <w:sz w:val="10"/>
        </w:rPr>
        <w:t>、</w:t>
      </w:r>
      <w:r>
        <w:rPr>
          <w:rFonts w:hint="eastAsia" w:ascii="宋体" w:hAnsi="宋体" w:eastAsia="宋体" w:cs="宋体"/>
          <w:sz w:val="24"/>
        </w:rPr>
        <w:t>配股</w:t>
      </w:r>
      <w:r>
        <w:rPr>
          <w:rFonts w:hint="eastAsia" w:ascii="宋体" w:hAnsi="宋体" w:eastAsia="宋体" w:cs="宋体"/>
          <w:sz w:val="10"/>
        </w:rPr>
        <w:t>、</w:t>
      </w:r>
      <w:r>
        <w:rPr>
          <w:rFonts w:hint="eastAsia" w:ascii="宋体" w:hAnsi="宋体" w:eastAsia="宋体" w:cs="宋体"/>
          <w:sz w:val="24"/>
        </w:rPr>
        <w:t>增发等除权除息事项</w:t>
      </w:r>
      <w:r>
        <w:rPr>
          <w:rFonts w:hint="eastAsia" w:ascii="宋体" w:hAnsi="宋体" w:eastAsia="宋体" w:cs="宋体"/>
          <w:sz w:val="10"/>
        </w:rPr>
        <w:t>，</w:t>
      </w:r>
      <w:r>
        <w:rPr>
          <w:rFonts w:hint="eastAsia" w:ascii="宋体" w:hAnsi="宋体" w:eastAsia="宋体" w:cs="宋体"/>
          <w:sz w:val="24"/>
        </w:rPr>
        <w:t>上述减持价格及收盘价等将相应进行调整</w:t>
      </w:r>
      <w:r>
        <w:rPr>
          <w:rFonts w:hint="eastAsia" w:ascii="宋体" w:hAnsi="宋体" w:eastAsia="宋体" w:cs="宋体"/>
          <w:sz w:val="10"/>
        </w:rPr>
        <w:t>。</w:t>
      </w:r>
      <w:r>
        <w:rPr>
          <w:rFonts w:hint="eastAsia" w:ascii="宋体" w:hAnsi="宋体" w:eastAsia="宋体" w:cs="宋体"/>
          <w:sz w:val="24"/>
        </w:rPr>
        <w:t>上述承诺不因其职务变更</w:t>
      </w:r>
      <w:r>
        <w:rPr>
          <w:rFonts w:hint="eastAsia" w:ascii="宋体" w:hAnsi="宋体" w:eastAsia="宋体" w:cs="宋体"/>
          <w:sz w:val="10"/>
        </w:rPr>
        <w:t>、</w:t>
      </w:r>
      <w:r>
        <w:rPr>
          <w:rFonts w:hint="eastAsia" w:ascii="宋体" w:hAnsi="宋体" w:eastAsia="宋体" w:cs="宋体"/>
          <w:sz w:val="24"/>
        </w:rPr>
        <w:t>离职等原因而失效</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780"/>
        <w:jc w:val="both"/>
      </w:pPr>
      <w:r>
        <w:rPr>
          <w:rFonts w:hint="eastAsia" w:ascii="ºÚÌå" w:hAnsi="ºÚÌå" w:eastAsia="ºÚÌå" w:cs="ºÚÌå"/>
          <w:sz w:val="24"/>
        </w:rPr>
        <w:t>二、</w:t>
      </w:r>
      <w:r>
        <w:rPr>
          <w:rFonts w:hint="eastAsia" w:ascii="ºÚÌå" w:hAnsi="ºÚÌå" w:eastAsia="ºÚÌå" w:cs="ºÚÌå"/>
          <w:sz w:val="30"/>
        </w:rPr>
        <w:t>股价稳定计划</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780" w:right="1600" w:firstLine="480"/>
        <w:jc w:val="both"/>
      </w:pPr>
      <w:r>
        <w:rPr>
          <w:rFonts w:hint="eastAsia" w:ascii="宋体" w:hAnsi="宋体" w:eastAsia="宋体" w:cs="宋体"/>
          <w:sz w:val="24"/>
        </w:rPr>
        <w:t>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日召开的第六届董事会第七次会议和</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日召开的</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年第五次临时股东大会</w:t>
      </w:r>
      <w:r>
        <w:rPr>
          <w:rFonts w:hint="eastAsia" w:ascii="宋体" w:hAnsi="宋体" w:eastAsia="宋体" w:cs="宋体"/>
          <w:sz w:val="10"/>
        </w:rPr>
        <w:t>，</w:t>
      </w:r>
      <w:r>
        <w:rPr>
          <w:rFonts w:hint="eastAsia" w:ascii="宋体" w:hAnsi="宋体" w:eastAsia="宋体" w:cs="宋体"/>
          <w:sz w:val="24"/>
        </w:rPr>
        <w:t>审议并通过了《关于公司首次公开发行股票并上市后三年内股价稳定预案的议案》，</w:t>
      </w:r>
      <w:r>
        <w:rPr>
          <w:rFonts w:hint="eastAsia" w:ascii="宋体" w:hAnsi="宋体" w:eastAsia="宋体" w:cs="宋体"/>
          <w:sz w:val="24"/>
        </w:rPr>
        <w:t>主要内容如下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780"/>
        <w:jc w:val="both"/>
      </w:pPr>
      <w:r>
        <w:rPr>
          <w:rFonts w:hint="eastAsia" w:ascii="宋体" w:hAnsi="宋体" w:eastAsia="宋体" w:cs="宋体"/>
          <w:b/>
          <w:sz w:val="24"/>
        </w:rPr>
        <w:t>（一）启动股价稳定措施的条件</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自公司股票正式挂牌上市之日起三年内</w:t>
      </w:r>
      <w:r>
        <w:rPr>
          <w:rFonts w:hint="eastAsia" w:ascii="宋体" w:hAnsi="宋体" w:eastAsia="宋体" w:cs="宋体"/>
          <w:sz w:val="10"/>
        </w:rPr>
        <w:t>，</w:t>
      </w:r>
      <w:r>
        <w:rPr>
          <w:rFonts w:hint="eastAsia" w:ascii="宋体" w:hAnsi="宋体" w:eastAsia="宋体" w:cs="宋体"/>
          <w:sz w:val="24"/>
        </w:rPr>
        <w:t>若公司股票连续</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个交易日（本公司股票全天停牌的交易日除外</w:t>
      </w:r>
      <w:r>
        <w:rPr>
          <w:rFonts w:hint="eastAsia" w:ascii="宋体" w:hAnsi="宋体" w:eastAsia="宋体" w:cs="宋体"/>
          <w:sz w:val="10"/>
        </w:rPr>
        <w:t>，</w:t>
      </w:r>
      <w:r>
        <w:rPr>
          <w:rFonts w:hint="eastAsia" w:ascii="宋体" w:hAnsi="宋体" w:eastAsia="宋体" w:cs="宋体"/>
          <w:sz w:val="24"/>
        </w:rPr>
        <w:t>下同）的收盘价均低于本公司最近</w:t>
      </w:r>
      <w:r>
        <w:rPr>
          <w:rFonts w:hint="eastAsia" w:ascii="宋体" w:hAnsi="宋体" w:eastAsia="宋体" w:cs="宋体"/>
          <w:sz w:val="10"/>
        </w:rPr>
        <w:t>一</w:t>
      </w:r>
      <w:r>
        <w:rPr>
          <w:rFonts w:hint="eastAsia" w:ascii="宋体" w:hAnsi="宋体" w:eastAsia="宋体" w:cs="宋体"/>
          <w:sz w:val="24"/>
        </w:rPr>
        <w:t>期经审计的每股净资产时</w:t>
      </w:r>
      <w:r>
        <w:rPr>
          <w:rFonts w:hint="eastAsia" w:ascii="宋体" w:hAnsi="宋体" w:eastAsia="宋体" w:cs="宋体"/>
          <w:sz w:val="10"/>
        </w:rPr>
        <w:t>，</w:t>
      </w:r>
      <w:r>
        <w:rPr>
          <w:rFonts w:hint="eastAsia" w:ascii="宋体" w:hAnsi="宋体" w:eastAsia="宋体" w:cs="宋体"/>
          <w:sz w:val="24"/>
        </w:rPr>
        <w:t>为维护广大股东利益</w:t>
      </w:r>
      <w:r>
        <w:rPr>
          <w:rFonts w:hint="eastAsia" w:ascii="宋体" w:hAnsi="宋体" w:eastAsia="宋体" w:cs="宋体"/>
          <w:sz w:val="10"/>
        </w:rPr>
        <w:t>，</w:t>
      </w:r>
      <w:r>
        <w:rPr>
          <w:rFonts w:hint="eastAsia" w:ascii="宋体" w:hAnsi="宋体" w:eastAsia="宋体" w:cs="宋体"/>
          <w:sz w:val="24"/>
        </w:rPr>
        <w:t>增强投资者信心</w:t>
      </w:r>
      <w:r>
        <w:rPr>
          <w:rFonts w:hint="eastAsia" w:ascii="宋体" w:hAnsi="宋体" w:eastAsia="宋体" w:cs="宋体"/>
          <w:sz w:val="10"/>
        </w:rPr>
        <w:t>，</w:t>
      </w:r>
      <w:r>
        <w:rPr>
          <w:rFonts w:hint="eastAsia" w:ascii="宋体" w:hAnsi="宋体" w:eastAsia="宋体" w:cs="宋体"/>
          <w:sz w:val="24"/>
        </w:rPr>
        <w:t>维护公司股价稳定</w:t>
      </w:r>
      <w:r>
        <w:rPr>
          <w:rFonts w:hint="eastAsia" w:ascii="宋体" w:hAnsi="宋体" w:eastAsia="宋体" w:cs="宋体"/>
          <w:sz w:val="10"/>
        </w:rPr>
        <w:t>，</w:t>
      </w:r>
      <w:r>
        <w:rPr>
          <w:rFonts w:hint="eastAsia" w:ascii="宋体" w:hAnsi="宋体" w:eastAsia="宋体" w:cs="宋体"/>
          <w:sz w:val="24"/>
        </w:rPr>
        <w:t>本公司将启动股价稳定措施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780"/>
        <w:jc w:val="both"/>
      </w:pPr>
      <w:r>
        <w:rPr>
          <w:rFonts w:hint="eastAsia" w:ascii="宋体" w:hAnsi="宋体" w:eastAsia="宋体" w:cs="宋体"/>
          <w:b/>
          <w:sz w:val="24"/>
        </w:rPr>
        <w:t>（二）股价稳定的具体措施及实施程序</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在启动股价稳定措施的前提条件满足时</w:t>
      </w:r>
      <w:r>
        <w:rPr>
          <w:rFonts w:hint="eastAsia" w:ascii="宋体" w:hAnsi="宋体" w:eastAsia="宋体" w:cs="宋体"/>
          <w:sz w:val="10"/>
        </w:rPr>
        <w:t>，</w:t>
      </w:r>
      <w:r>
        <w:rPr>
          <w:rFonts w:hint="eastAsia" w:ascii="宋体" w:hAnsi="宋体" w:eastAsia="宋体" w:cs="宋体"/>
          <w:sz w:val="24"/>
        </w:rPr>
        <w:t>公司应在</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个工作日内</w:t>
      </w:r>
      <w:r>
        <w:rPr>
          <w:rFonts w:hint="eastAsia" w:ascii="宋体" w:hAnsi="宋体" w:eastAsia="宋体" w:cs="宋体"/>
          <w:sz w:val="10"/>
        </w:rPr>
        <w:t>，</w:t>
      </w:r>
      <w:r>
        <w:rPr>
          <w:rFonts w:hint="eastAsia" w:ascii="宋体" w:hAnsi="宋体" w:eastAsia="宋体" w:cs="宋体"/>
          <w:sz w:val="24"/>
        </w:rPr>
        <w:t>根据当时有效的法律法规和本股价稳定预案</w:t>
      </w:r>
      <w:r>
        <w:rPr>
          <w:rFonts w:hint="eastAsia" w:ascii="宋体" w:hAnsi="宋体" w:eastAsia="宋体" w:cs="宋体"/>
          <w:sz w:val="10"/>
        </w:rPr>
        <w:t>，</w:t>
      </w:r>
      <w:r>
        <w:rPr>
          <w:rFonts w:hint="eastAsia" w:ascii="宋体" w:hAnsi="宋体" w:eastAsia="宋体" w:cs="宋体"/>
          <w:sz w:val="24"/>
        </w:rPr>
        <w:t>提出稳定公司股价的具体方案</w:t>
      </w:r>
      <w:r>
        <w:rPr>
          <w:rFonts w:hint="eastAsia" w:ascii="宋体" w:hAnsi="宋体" w:eastAsia="宋体" w:cs="宋体"/>
          <w:sz w:val="10"/>
        </w:rPr>
        <w:t>，</w:t>
      </w:r>
      <w:r>
        <w:rPr>
          <w:rFonts w:hint="eastAsia" w:ascii="宋体" w:hAnsi="宋体" w:eastAsia="宋体" w:cs="宋体"/>
          <w:sz w:val="24"/>
        </w:rPr>
        <w:t>履行相应的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720"/>
        <w:jc w:val="both"/>
      </w:pPr>
      <w:r>
        <w:rPr>
          <w:rFonts w:hint="eastAsia" w:ascii="Times New Roman" w:hAnsi="Times New Roman" w:eastAsia="Times New Roman" w:cs="Times New Roman"/>
          <w:sz w:val="21"/>
        </w:rPr>
        <w:t>1-1-5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780" w:right="1620"/>
        <w:jc w:val="both"/>
      </w:pPr>
      <w:r>
        <w:rPr>
          <w:rFonts w:hint="eastAsia" w:ascii="宋体" w:hAnsi="宋体" w:eastAsia="宋体" w:cs="宋体"/>
          <w:sz w:val="24"/>
        </w:rPr>
        <w:t>审批程序和信息披露义务</w:t>
      </w:r>
      <w:r>
        <w:rPr>
          <w:rFonts w:hint="eastAsia" w:ascii="宋体" w:hAnsi="宋体" w:eastAsia="宋体" w:cs="宋体"/>
          <w:sz w:val="10"/>
        </w:rPr>
        <w:t>。</w:t>
      </w:r>
      <w:r>
        <w:rPr>
          <w:rFonts w:hint="eastAsia" w:ascii="宋体" w:hAnsi="宋体" w:eastAsia="宋体" w:cs="宋体"/>
          <w:sz w:val="24"/>
        </w:rPr>
        <w:t>股价稳定措施实施后</w:t>
      </w:r>
      <w:r>
        <w:rPr>
          <w:rFonts w:hint="eastAsia" w:ascii="宋体" w:hAnsi="宋体" w:eastAsia="宋体" w:cs="宋体"/>
          <w:sz w:val="10"/>
        </w:rPr>
        <w:t>，</w:t>
      </w:r>
      <w:r>
        <w:rPr>
          <w:rFonts w:hint="eastAsia" w:ascii="宋体" w:hAnsi="宋体" w:eastAsia="宋体" w:cs="宋体"/>
          <w:sz w:val="24"/>
        </w:rPr>
        <w:t>公司的股权分布应当符合上市条件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当公司需要采取股价稳定措施时</w:t>
      </w:r>
      <w:r>
        <w:rPr>
          <w:rFonts w:hint="eastAsia" w:ascii="宋体" w:hAnsi="宋体" w:eastAsia="宋体" w:cs="宋体"/>
          <w:sz w:val="10"/>
        </w:rPr>
        <w:t>，</w:t>
      </w:r>
      <w:r>
        <w:rPr>
          <w:rFonts w:hint="eastAsia" w:ascii="宋体" w:hAnsi="宋体" w:eastAsia="宋体" w:cs="宋体"/>
          <w:sz w:val="24"/>
        </w:rPr>
        <w:t>可以视公司实际情况</w:t>
      </w:r>
      <w:r>
        <w:rPr>
          <w:rFonts w:hint="eastAsia" w:ascii="宋体" w:hAnsi="宋体" w:eastAsia="宋体" w:cs="宋体"/>
          <w:sz w:val="10"/>
        </w:rPr>
        <w:t>、</w:t>
      </w:r>
      <w:r>
        <w:rPr>
          <w:rFonts w:hint="eastAsia" w:ascii="宋体" w:hAnsi="宋体" w:eastAsia="宋体" w:cs="宋体"/>
          <w:sz w:val="24"/>
        </w:rPr>
        <w:t>股票市场情况</w:t>
      </w:r>
      <w:r>
        <w:rPr>
          <w:rFonts w:hint="eastAsia" w:ascii="宋体" w:hAnsi="宋体" w:eastAsia="宋体" w:cs="宋体"/>
          <w:sz w:val="10"/>
        </w:rPr>
        <w:t>，</w:t>
      </w:r>
      <w:r>
        <w:rPr>
          <w:rFonts w:hint="eastAsia" w:ascii="宋体" w:hAnsi="宋体" w:eastAsia="宋体" w:cs="宋体"/>
          <w:sz w:val="24"/>
        </w:rPr>
        <w:t>按以下顺序实施股价稳定措施</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公司董事会拟采取的措施</w:t>
      </w:r>
    </w:p>
    <w:p>
      <w:pPr>
        <w:spacing w:line="200" w:lineRule="exact"/>
        <w:rPr>
          <w:rFonts w:hint="eastAsia" w:ascii="宋体" w:hAnsi="宋体" w:eastAsia="宋体" w:cs="宋体"/>
          <w:sz w:val="20"/>
        </w:rPr>
      </w:pPr>
    </w:p>
    <w:p>
      <w:pPr>
        <w:autoSpaceDE w:val="false"/>
        <w:autoSpaceDN w:val="false"/>
        <w:spacing w:line="440" w:lineRule="exact"/>
        <w:ind w:left="1780" w:right="1640" w:firstLine="480"/>
        <w:jc w:val="both"/>
      </w:pPr>
      <w:r>
        <w:rPr>
          <w:rFonts w:hint="eastAsia" w:ascii="宋体" w:hAnsi="宋体" w:eastAsia="宋体" w:cs="宋体"/>
          <w:sz w:val="24"/>
        </w:rPr>
        <w:t>达到启动股价稳定措施的时点起</w:t>
      </w:r>
      <w:r>
        <w:rPr>
          <w:rFonts w:hint="eastAsia" w:ascii="宋体" w:hAnsi="宋体" w:eastAsia="宋体" w:cs="宋体"/>
          <w:sz w:val="10"/>
        </w:rPr>
        <w:t>，</w:t>
      </w:r>
      <w:r>
        <w:rPr>
          <w:rFonts w:hint="eastAsia" w:ascii="宋体" w:hAnsi="宋体" w:eastAsia="宋体" w:cs="宋体"/>
          <w:sz w:val="24"/>
        </w:rPr>
        <w:t>公司应在</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日内召开董事会</w:t>
      </w:r>
      <w:r>
        <w:rPr>
          <w:rFonts w:hint="eastAsia" w:ascii="宋体" w:hAnsi="宋体" w:eastAsia="宋体" w:cs="宋体"/>
          <w:sz w:val="10"/>
        </w:rPr>
        <w:t>，</w:t>
      </w:r>
      <w:r>
        <w:rPr>
          <w:rFonts w:hint="eastAsia" w:ascii="宋体" w:hAnsi="宋体" w:eastAsia="宋体" w:cs="宋体"/>
          <w:sz w:val="24"/>
        </w:rPr>
        <w:t>讨论公司向社会公众股东回购公司股份的方案</w:t>
      </w:r>
      <w:r>
        <w:rPr>
          <w:rFonts w:hint="eastAsia" w:ascii="宋体" w:hAnsi="宋体" w:eastAsia="宋体" w:cs="宋体"/>
          <w:sz w:val="10"/>
        </w:rPr>
        <w:t>，</w:t>
      </w:r>
      <w:r>
        <w:rPr>
          <w:rFonts w:hint="eastAsia" w:ascii="宋体" w:hAnsi="宋体" w:eastAsia="宋体" w:cs="宋体"/>
          <w:sz w:val="24"/>
        </w:rPr>
        <w:t>提交股东大会审议</w:t>
      </w:r>
      <w:r>
        <w:rPr>
          <w:rFonts w:hint="eastAsia" w:ascii="宋体" w:hAnsi="宋体" w:eastAsia="宋体" w:cs="宋体"/>
          <w:sz w:val="10"/>
        </w:rPr>
        <w:t>，</w:t>
      </w:r>
      <w:r>
        <w:rPr>
          <w:rFonts w:hint="eastAsia" w:ascii="宋体" w:hAnsi="宋体" w:eastAsia="宋体" w:cs="宋体"/>
          <w:sz w:val="24"/>
        </w:rPr>
        <w:t>并依法公告具体股份回购计划</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公司回购股份的资金为自有资金</w:t>
      </w:r>
      <w:r>
        <w:rPr>
          <w:rFonts w:hint="eastAsia" w:ascii="宋体" w:hAnsi="宋体" w:eastAsia="宋体" w:cs="宋体"/>
          <w:sz w:val="10"/>
        </w:rPr>
        <w:t>，</w:t>
      </w:r>
      <w:r>
        <w:rPr>
          <w:rFonts w:hint="eastAsia" w:ascii="宋体" w:hAnsi="宋体" w:eastAsia="宋体" w:cs="宋体"/>
          <w:sz w:val="24"/>
        </w:rPr>
        <w:t>回购股份的价格不高于最近一期经审计的每股净资产</w:t>
      </w:r>
      <w:r>
        <w:rPr>
          <w:rFonts w:hint="eastAsia" w:ascii="宋体" w:hAnsi="宋体" w:eastAsia="宋体" w:cs="宋体"/>
          <w:sz w:val="10"/>
        </w:rPr>
        <w:t>，</w:t>
      </w:r>
      <w:r>
        <w:rPr>
          <w:rFonts w:hint="eastAsia" w:ascii="宋体" w:hAnsi="宋体" w:eastAsia="宋体" w:cs="宋体"/>
          <w:sz w:val="24"/>
        </w:rPr>
        <w:t>回购股份的方式为以集中竞价交易方式向社会公众股东回购股份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780" w:right="1600"/>
        <w:jc w:val="both"/>
      </w:pPr>
      <w:r>
        <w:rPr>
          <w:rFonts w:hint="eastAsia" w:ascii="宋体" w:hAnsi="宋体" w:eastAsia="宋体" w:cs="宋体"/>
          <w:sz w:val="24"/>
        </w:rPr>
        <w:t>本公司每年度用于回购股份的资金不超过回购股份事项发生时上年度经审计的归属于母公司股东净利润的</w:t>
      </w:r>
      <w:r>
        <w:rPr>
          <w:rFonts w:hint="eastAsia" w:ascii="Times New Roman" w:hAnsi="Times New Roman" w:eastAsia="Times New Roman" w:cs="Times New Roman"/>
          <w:sz w:val="24"/>
        </w:rPr>
        <w:t xml:space="preserve"> 20%</w:t>
      </w:r>
      <w:r>
        <w:rPr>
          <w:rFonts w:hint="eastAsia" w:ascii="宋体" w:hAnsi="宋体" w:eastAsia="宋体" w:cs="宋体"/>
          <w:sz w:val="10"/>
        </w:rPr>
        <w:t>。</w:t>
      </w:r>
      <w:r>
        <w:rPr>
          <w:rFonts w:hint="eastAsia" w:ascii="宋体" w:hAnsi="宋体" w:eastAsia="宋体" w:cs="宋体"/>
          <w:sz w:val="24"/>
        </w:rPr>
        <w:t>如果公司股价已经不满足启动稳定公司股价措施的条件的</w:t>
      </w:r>
      <w:r>
        <w:rPr>
          <w:rFonts w:hint="eastAsia" w:ascii="宋体" w:hAnsi="宋体" w:eastAsia="宋体" w:cs="宋体"/>
          <w:sz w:val="10"/>
        </w:rPr>
        <w:t>，</w:t>
      </w:r>
      <w:r>
        <w:rPr>
          <w:rFonts w:hint="eastAsia" w:ascii="宋体" w:hAnsi="宋体" w:eastAsia="宋体" w:cs="宋体"/>
          <w:sz w:val="24"/>
        </w:rPr>
        <w:t>公司可不再实施向社会公众股东回购股份</w:t>
      </w:r>
      <w:r>
        <w:rPr>
          <w:rFonts w:hint="eastAsia" w:ascii="宋体" w:hAnsi="宋体" w:eastAsia="宋体" w:cs="宋体"/>
          <w:sz w:val="10"/>
        </w:rPr>
        <w:t>。</w:t>
      </w:r>
      <w:r>
        <w:rPr>
          <w:rFonts w:hint="eastAsia" w:ascii="宋体" w:hAnsi="宋体" w:eastAsia="宋体" w:cs="宋体"/>
          <w:sz w:val="24"/>
        </w:rPr>
        <w:t>回购股份后</w:t>
      </w:r>
      <w:r>
        <w:rPr>
          <w:rFonts w:hint="eastAsia" w:ascii="宋体" w:hAnsi="宋体" w:eastAsia="宋体" w:cs="宋体"/>
          <w:sz w:val="10"/>
        </w:rPr>
        <w:t>，</w:t>
      </w:r>
      <w:r>
        <w:rPr>
          <w:rFonts w:hint="eastAsia" w:ascii="宋体" w:hAnsi="宋体" w:eastAsia="宋体" w:cs="宋体"/>
          <w:sz w:val="24"/>
        </w:rPr>
        <w:t>公司的股权分布应当符合上市条件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公司回购股份应符合《公司法》、《</w:t>
      </w:r>
      <w:r>
        <w:rPr>
          <w:rFonts w:hint="eastAsia" w:ascii="宋体" w:hAnsi="宋体" w:eastAsia="宋体" w:cs="宋体"/>
          <w:sz w:val="24"/>
        </w:rPr>
        <w:t>证券法》、《</w:t>
      </w:r>
      <w:r>
        <w:rPr>
          <w:rFonts w:hint="eastAsia" w:ascii="宋体" w:hAnsi="宋体" w:eastAsia="宋体" w:cs="宋体"/>
          <w:sz w:val="24"/>
        </w:rPr>
        <w:t>上市公司回购社会公众股份管理办法（试行）》、《</w:t>
      </w:r>
      <w:r>
        <w:rPr>
          <w:rFonts w:hint="eastAsia" w:ascii="宋体" w:hAnsi="宋体" w:eastAsia="宋体" w:cs="宋体"/>
          <w:sz w:val="24"/>
        </w:rPr>
        <w:t>关于上市公司以集中竞价交易方式回购股份的补充规定》等法律</w:t>
      </w:r>
      <w:r>
        <w:rPr>
          <w:rFonts w:hint="eastAsia" w:ascii="宋体" w:hAnsi="宋体" w:eastAsia="宋体" w:cs="宋体"/>
          <w:sz w:val="10"/>
        </w:rPr>
        <w:t>、</w:t>
      </w:r>
      <w:r>
        <w:rPr>
          <w:rFonts w:hint="eastAsia" w:ascii="宋体" w:hAnsi="宋体" w:eastAsia="宋体" w:cs="宋体"/>
          <w:sz w:val="24"/>
        </w:rPr>
        <w:t>法规</w:t>
      </w:r>
      <w:r>
        <w:rPr>
          <w:rFonts w:hint="eastAsia" w:ascii="宋体" w:hAnsi="宋体" w:eastAsia="宋体" w:cs="宋体"/>
          <w:sz w:val="10"/>
        </w:rPr>
        <w:t>、</w:t>
      </w:r>
      <w:r>
        <w:rPr>
          <w:rFonts w:hint="eastAsia" w:ascii="宋体" w:hAnsi="宋体" w:eastAsia="宋体" w:cs="宋体"/>
          <w:sz w:val="24"/>
        </w:rPr>
        <w:t>规范性文件的规定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控股股东拟采取的措施</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公司启动股价稳定措施后</w:t>
      </w:r>
      <w:r>
        <w:rPr>
          <w:rFonts w:hint="eastAsia" w:ascii="宋体" w:hAnsi="宋体" w:eastAsia="宋体" w:cs="宋体"/>
          <w:sz w:val="10"/>
        </w:rPr>
        <w:t>，</w:t>
      </w:r>
      <w:r>
        <w:rPr>
          <w:rFonts w:hint="eastAsia" w:ascii="宋体" w:hAnsi="宋体" w:eastAsia="宋体" w:cs="宋体"/>
          <w:sz w:val="24"/>
        </w:rPr>
        <w:t>当公司根据股价稳定措施</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完成公司回购股份后</w:t>
      </w:r>
      <w:r>
        <w:rPr>
          <w:rFonts w:hint="eastAsia" w:ascii="宋体" w:hAnsi="宋体" w:eastAsia="宋体" w:cs="宋体"/>
          <w:sz w:val="10"/>
        </w:rPr>
        <w:t>，</w:t>
      </w:r>
      <w:r>
        <w:rPr>
          <w:rFonts w:hint="eastAsia" w:ascii="宋体" w:hAnsi="宋体" w:eastAsia="宋体" w:cs="宋体"/>
          <w:sz w:val="24"/>
        </w:rPr>
        <w:t>公司股票连续</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个交易日的收盘价仍低于公司最近一期经审计的每股净资产时</w:t>
      </w:r>
      <w:r>
        <w:rPr>
          <w:rFonts w:hint="eastAsia" w:ascii="宋体" w:hAnsi="宋体" w:eastAsia="宋体" w:cs="宋体"/>
          <w:sz w:val="10"/>
        </w:rPr>
        <w:t>，</w:t>
      </w:r>
      <w:r>
        <w:rPr>
          <w:rFonts w:hint="eastAsia" w:ascii="宋体" w:hAnsi="宋体" w:eastAsia="宋体" w:cs="宋体"/>
          <w:sz w:val="24"/>
        </w:rPr>
        <w:t>或无法实施股价稳定措施</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时</w:t>
      </w:r>
      <w:r>
        <w:rPr>
          <w:rFonts w:hint="eastAsia" w:ascii="宋体" w:hAnsi="宋体" w:eastAsia="宋体" w:cs="宋体"/>
          <w:sz w:val="10"/>
        </w:rPr>
        <w:t>，</w:t>
      </w:r>
      <w:r>
        <w:rPr>
          <w:rFonts w:hint="eastAsia" w:ascii="宋体" w:hAnsi="宋体" w:eastAsia="宋体" w:cs="宋体"/>
          <w:sz w:val="24"/>
        </w:rPr>
        <w:t>公司控股股东应在</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日内</w:t>
      </w:r>
      <w:r>
        <w:rPr>
          <w:rFonts w:hint="eastAsia" w:ascii="宋体" w:hAnsi="宋体" w:eastAsia="宋体" w:cs="宋体"/>
          <w:sz w:val="10"/>
        </w:rPr>
        <w:t>，</w:t>
      </w:r>
      <w:r>
        <w:rPr>
          <w:rFonts w:hint="eastAsia" w:ascii="宋体" w:hAnsi="宋体" w:eastAsia="宋体" w:cs="宋体"/>
          <w:sz w:val="24"/>
        </w:rPr>
        <w:t>提出增持公司股份的方案（包括拟增持公司股份的数量</w:t>
      </w:r>
      <w:r>
        <w:rPr>
          <w:rFonts w:hint="eastAsia" w:ascii="宋体" w:hAnsi="宋体" w:eastAsia="宋体" w:cs="宋体"/>
          <w:sz w:val="10"/>
        </w:rPr>
        <w:t>、</w:t>
      </w:r>
      <w:r>
        <w:rPr>
          <w:rFonts w:hint="eastAsia" w:ascii="宋体" w:hAnsi="宋体" w:eastAsia="宋体" w:cs="宋体"/>
          <w:sz w:val="24"/>
        </w:rPr>
        <w:t>价格区间</w:t>
      </w:r>
      <w:r>
        <w:rPr>
          <w:rFonts w:hint="eastAsia" w:ascii="宋体" w:hAnsi="宋体" w:eastAsia="宋体" w:cs="宋体"/>
          <w:sz w:val="10"/>
        </w:rPr>
        <w:t>、</w:t>
      </w:r>
      <w:r>
        <w:rPr>
          <w:rFonts w:hint="eastAsia" w:ascii="宋体" w:hAnsi="宋体" w:eastAsia="宋体" w:cs="宋体"/>
          <w:sz w:val="24"/>
        </w:rPr>
        <w:t>时间等），</w:t>
      </w:r>
      <w:r>
        <w:rPr>
          <w:rFonts w:hint="eastAsia" w:ascii="宋体" w:hAnsi="宋体" w:eastAsia="宋体" w:cs="宋体"/>
          <w:sz w:val="24"/>
        </w:rPr>
        <w:t>控股股东按照市场价格增持</w:t>
      </w:r>
      <w:r>
        <w:rPr>
          <w:rFonts w:hint="eastAsia" w:ascii="宋体" w:hAnsi="宋体" w:eastAsia="宋体" w:cs="宋体"/>
          <w:sz w:val="10"/>
        </w:rPr>
        <w:t>，</w:t>
      </w:r>
      <w:r>
        <w:rPr>
          <w:rFonts w:hint="eastAsia" w:ascii="宋体" w:hAnsi="宋体" w:eastAsia="宋体" w:cs="宋体"/>
          <w:sz w:val="24"/>
        </w:rPr>
        <w:t>每年度增持的股份不超过总股本的</w:t>
      </w:r>
      <w:r>
        <w:rPr>
          <w:rFonts w:hint="eastAsia" w:ascii="Times New Roman" w:hAnsi="Times New Roman" w:eastAsia="Times New Roman" w:cs="Times New Roman"/>
          <w:sz w:val="24"/>
        </w:rPr>
        <w:t xml:space="preserve"> 2%</w:t>
      </w:r>
      <w:r>
        <w:rPr>
          <w:rFonts w:hint="eastAsia" w:ascii="宋体" w:hAnsi="宋体" w:eastAsia="宋体" w:cs="宋体"/>
          <w:sz w:val="10"/>
        </w:rPr>
        <w:t>。</w:t>
      </w:r>
      <w:r>
        <w:rPr>
          <w:rFonts w:hint="eastAsia" w:ascii="宋体" w:hAnsi="宋体" w:eastAsia="宋体" w:cs="宋体"/>
          <w:sz w:val="24"/>
        </w:rPr>
        <w:t>如果公司股价已经不满足启动稳定公司股价措施的条件的</w:t>
      </w:r>
      <w:r>
        <w:rPr>
          <w:rFonts w:hint="eastAsia" w:ascii="宋体" w:hAnsi="宋体" w:eastAsia="宋体" w:cs="宋体"/>
          <w:sz w:val="10"/>
        </w:rPr>
        <w:t>，</w:t>
      </w:r>
      <w:r>
        <w:rPr>
          <w:rFonts w:hint="eastAsia" w:ascii="宋体" w:hAnsi="宋体" w:eastAsia="宋体" w:cs="宋体"/>
          <w:sz w:val="24"/>
        </w:rPr>
        <w:t>控股股东可不再实施增持公司股份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60"/>
        <w:jc w:val="both"/>
      </w:pPr>
      <w:r>
        <w:rPr>
          <w:rFonts w:hint="eastAsia" w:ascii="宋体" w:hAnsi="宋体" w:eastAsia="宋体" w:cs="宋体"/>
          <w:sz w:val="24"/>
        </w:rPr>
        <w:t>公司控股股东增持公司股份应符合相关法律</w:t>
      </w:r>
      <w:r>
        <w:rPr>
          <w:rFonts w:hint="eastAsia" w:ascii="宋体" w:hAnsi="宋体" w:eastAsia="宋体" w:cs="宋体"/>
          <w:sz w:val="10"/>
        </w:rPr>
        <w:t>、</w:t>
      </w:r>
      <w:r>
        <w:rPr>
          <w:rFonts w:hint="eastAsia" w:ascii="宋体" w:hAnsi="宋体" w:eastAsia="宋体" w:cs="宋体"/>
          <w:sz w:val="24"/>
        </w:rPr>
        <w:t>法规</w:t>
      </w:r>
      <w:r>
        <w:rPr>
          <w:rFonts w:hint="eastAsia" w:ascii="宋体" w:hAnsi="宋体" w:eastAsia="宋体" w:cs="宋体"/>
          <w:sz w:val="10"/>
        </w:rPr>
        <w:t>、</w:t>
      </w:r>
      <w:r>
        <w:rPr>
          <w:rFonts w:hint="eastAsia" w:ascii="宋体" w:hAnsi="宋体" w:eastAsia="宋体" w:cs="宋体"/>
          <w:sz w:val="24"/>
        </w:rPr>
        <w:t>规范性文件的规定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全体董事</w:t>
      </w:r>
      <w:r>
        <w:rPr>
          <w:rFonts w:hint="eastAsia" w:ascii="宋体" w:hAnsi="宋体" w:eastAsia="宋体" w:cs="宋体"/>
          <w:b/>
          <w:sz w:val="10"/>
        </w:rPr>
        <w:t>、</w:t>
      </w:r>
      <w:r>
        <w:rPr>
          <w:rFonts w:hint="eastAsia" w:ascii="宋体" w:hAnsi="宋体" w:eastAsia="宋体" w:cs="宋体"/>
          <w:b/>
          <w:sz w:val="24"/>
        </w:rPr>
        <w:t>高级管理人员拟采取的措施</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720"/>
        <w:jc w:val="both"/>
      </w:pPr>
      <w:r>
        <w:rPr>
          <w:rFonts w:hint="eastAsia" w:ascii="Times New Roman" w:hAnsi="Times New Roman" w:eastAsia="Times New Roman" w:cs="Times New Roman"/>
          <w:sz w:val="21"/>
        </w:rPr>
        <w:t>1-1-6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公司启动股价稳定措施后</w:t>
      </w:r>
      <w:r>
        <w:rPr>
          <w:rFonts w:hint="eastAsia" w:ascii="宋体" w:hAnsi="宋体" w:eastAsia="宋体" w:cs="宋体"/>
          <w:sz w:val="10"/>
        </w:rPr>
        <w:t>，</w:t>
      </w:r>
      <w:r>
        <w:rPr>
          <w:rFonts w:hint="eastAsia" w:ascii="宋体" w:hAnsi="宋体" w:eastAsia="宋体" w:cs="宋体"/>
          <w:sz w:val="24"/>
        </w:rPr>
        <w:t>当公司根据股价稳定措施</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完成股东增持公司股份后</w:t>
      </w:r>
      <w:r>
        <w:rPr>
          <w:rFonts w:hint="eastAsia" w:ascii="宋体" w:hAnsi="宋体" w:eastAsia="宋体" w:cs="宋体"/>
          <w:sz w:val="10"/>
        </w:rPr>
        <w:t>，</w:t>
      </w:r>
      <w:r>
        <w:rPr>
          <w:rFonts w:hint="eastAsia" w:ascii="宋体" w:hAnsi="宋体" w:eastAsia="宋体" w:cs="宋体"/>
          <w:sz w:val="24"/>
        </w:rPr>
        <w:t>公司股票连续</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个交易日的收盘价仍低于公司最近一期经审计的每股净资产时</w:t>
      </w:r>
      <w:r>
        <w:rPr>
          <w:rFonts w:hint="eastAsia" w:ascii="宋体" w:hAnsi="宋体" w:eastAsia="宋体" w:cs="宋体"/>
          <w:sz w:val="10"/>
        </w:rPr>
        <w:t>，</w:t>
      </w:r>
      <w:r>
        <w:rPr>
          <w:rFonts w:hint="eastAsia" w:ascii="宋体" w:hAnsi="宋体" w:eastAsia="宋体" w:cs="宋体"/>
          <w:sz w:val="24"/>
        </w:rPr>
        <w:t>或无法实施股价稳定措施</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时</w:t>
      </w:r>
      <w:r>
        <w:rPr>
          <w:rFonts w:hint="eastAsia" w:ascii="宋体" w:hAnsi="宋体" w:eastAsia="宋体" w:cs="宋体"/>
          <w:sz w:val="10"/>
        </w:rPr>
        <w:t>，</w:t>
      </w:r>
      <w:r>
        <w:rPr>
          <w:rFonts w:hint="eastAsia" w:ascii="宋体" w:hAnsi="宋体" w:eastAsia="宋体" w:cs="宋体"/>
          <w:sz w:val="24"/>
        </w:rPr>
        <w:t>公司时任董事（不含独立董事及不在公司领薪的董事</w:t>
      </w:r>
      <w:r>
        <w:rPr>
          <w:rFonts w:hint="eastAsia" w:ascii="宋体" w:hAnsi="宋体" w:eastAsia="宋体" w:cs="宋体"/>
          <w:sz w:val="10"/>
        </w:rPr>
        <w:t>，</w:t>
      </w:r>
      <w:r>
        <w:rPr>
          <w:rFonts w:hint="eastAsia" w:ascii="宋体" w:hAnsi="宋体" w:eastAsia="宋体" w:cs="宋体"/>
          <w:sz w:val="24"/>
        </w:rPr>
        <w:t>下同）、</w:t>
      </w:r>
      <w:r>
        <w:rPr>
          <w:rFonts w:hint="eastAsia" w:ascii="宋体" w:hAnsi="宋体" w:eastAsia="宋体" w:cs="宋体"/>
          <w:sz w:val="24"/>
        </w:rPr>
        <w:t>高级管理人员（包括本预案承诺签署时尚未担任公司董事</w:t>
      </w:r>
      <w:r>
        <w:rPr>
          <w:rFonts w:hint="eastAsia" w:ascii="宋体" w:hAnsi="宋体" w:eastAsia="宋体" w:cs="宋体"/>
          <w:sz w:val="10"/>
        </w:rPr>
        <w:t>、</w:t>
      </w:r>
      <w:r>
        <w:rPr>
          <w:rFonts w:hint="eastAsia" w:ascii="宋体" w:hAnsi="宋体" w:eastAsia="宋体" w:cs="宋体"/>
          <w:sz w:val="24"/>
        </w:rPr>
        <w:t>高级管理人员职务的人士）应在</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个交易日内通过二级市场以竞价交易方式买入公司股票以稳定公司股价</w:t>
      </w:r>
      <w:r>
        <w:rPr>
          <w:rFonts w:hint="eastAsia" w:ascii="宋体" w:hAnsi="宋体" w:eastAsia="宋体" w:cs="宋体"/>
          <w:sz w:val="10"/>
        </w:rPr>
        <w:t>，</w:t>
      </w:r>
      <w:r>
        <w:rPr>
          <w:rFonts w:hint="eastAsia" w:ascii="宋体" w:hAnsi="宋体" w:eastAsia="宋体" w:cs="宋体"/>
          <w:sz w:val="24"/>
        </w:rPr>
        <w:t>每年度用于增持股份的货币资金不超过该董事</w:t>
      </w:r>
      <w:r>
        <w:rPr>
          <w:rFonts w:hint="eastAsia" w:ascii="宋体" w:hAnsi="宋体" w:eastAsia="宋体" w:cs="宋体"/>
          <w:sz w:val="10"/>
        </w:rPr>
        <w:t>、</w:t>
      </w:r>
      <w:r>
        <w:rPr>
          <w:rFonts w:hint="eastAsia" w:ascii="宋体" w:hAnsi="宋体" w:eastAsia="宋体" w:cs="宋体"/>
          <w:sz w:val="24"/>
        </w:rPr>
        <w:t>高级管理人员上年度于公司取得的薪酬总和的</w:t>
      </w:r>
      <w:r>
        <w:rPr>
          <w:rFonts w:hint="eastAsia" w:ascii="Times New Roman" w:hAnsi="Times New Roman" w:eastAsia="Times New Roman" w:cs="Times New Roman"/>
          <w:sz w:val="24"/>
        </w:rPr>
        <w:t xml:space="preserve"> 30%</w:t>
      </w:r>
      <w:r>
        <w:rPr>
          <w:rFonts w:hint="eastAsia" w:ascii="宋体" w:hAnsi="宋体" w:eastAsia="宋体" w:cs="宋体"/>
          <w:sz w:val="10"/>
        </w:rPr>
        <w:t>。</w:t>
      </w:r>
      <w:r>
        <w:rPr>
          <w:rFonts w:hint="eastAsia" w:ascii="宋体" w:hAnsi="宋体" w:eastAsia="宋体" w:cs="宋体"/>
          <w:sz w:val="24"/>
        </w:rPr>
        <w:t>如果公司股价已经不满足启动稳定公司股价措施的条件的</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高级管理人员可不再买入公司股份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780" w:right="1600" w:firstLine="480"/>
        <w:jc w:val="both"/>
      </w:pP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高级管理人员买入公司股份应符合相关法律</w:t>
      </w:r>
      <w:r>
        <w:rPr>
          <w:rFonts w:hint="eastAsia" w:ascii="宋体" w:hAnsi="宋体" w:eastAsia="宋体" w:cs="宋体"/>
          <w:sz w:val="10"/>
        </w:rPr>
        <w:t>、</w:t>
      </w:r>
      <w:r>
        <w:rPr>
          <w:rFonts w:hint="eastAsia" w:ascii="宋体" w:hAnsi="宋体" w:eastAsia="宋体" w:cs="宋体"/>
          <w:sz w:val="24"/>
        </w:rPr>
        <w:t>法规</w:t>
      </w:r>
      <w:r>
        <w:rPr>
          <w:rFonts w:hint="eastAsia" w:ascii="宋体" w:hAnsi="宋体" w:eastAsia="宋体" w:cs="宋体"/>
          <w:sz w:val="10"/>
        </w:rPr>
        <w:t>、</w:t>
      </w:r>
      <w:r>
        <w:rPr>
          <w:rFonts w:hint="eastAsia" w:ascii="宋体" w:hAnsi="宋体" w:eastAsia="宋体" w:cs="宋体"/>
          <w:sz w:val="24"/>
        </w:rPr>
        <w:t>规范性文件的规定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780"/>
        <w:jc w:val="both"/>
      </w:pPr>
      <w:r>
        <w:rPr>
          <w:rFonts w:hint="eastAsia" w:ascii="宋体" w:hAnsi="宋体" w:eastAsia="宋体" w:cs="宋体"/>
          <w:b/>
          <w:sz w:val="24"/>
        </w:rPr>
        <w:t>（三）应启动而未启动股价稳定措施的约束措施</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在启动股价稳定措施的前提条件满足时</w:t>
      </w:r>
      <w:r>
        <w:rPr>
          <w:rFonts w:hint="eastAsia" w:ascii="宋体" w:hAnsi="宋体" w:eastAsia="宋体" w:cs="宋体"/>
          <w:sz w:val="10"/>
        </w:rPr>
        <w:t>，</w:t>
      </w:r>
      <w:r>
        <w:rPr>
          <w:rFonts w:hint="eastAsia" w:ascii="宋体" w:hAnsi="宋体" w:eastAsia="宋体" w:cs="宋体"/>
          <w:sz w:val="24"/>
        </w:rPr>
        <w:t>如公司</w:t>
      </w:r>
      <w:r>
        <w:rPr>
          <w:rFonts w:hint="eastAsia" w:ascii="宋体" w:hAnsi="宋体" w:eastAsia="宋体" w:cs="宋体"/>
          <w:sz w:val="10"/>
        </w:rPr>
        <w:t>、</w:t>
      </w:r>
      <w:r>
        <w:rPr>
          <w:rFonts w:hint="eastAsia" w:ascii="宋体" w:hAnsi="宋体" w:eastAsia="宋体" w:cs="宋体"/>
          <w:sz w:val="24"/>
        </w:rPr>
        <w:t>控股股东</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高级管理人员未采取上述稳定股价的具体措施</w:t>
      </w:r>
      <w:r>
        <w:rPr>
          <w:rFonts w:hint="eastAsia" w:ascii="宋体" w:hAnsi="宋体" w:eastAsia="宋体" w:cs="宋体"/>
          <w:sz w:val="10"/>
        </w:rPr>
        <w:t>，</w:t>
      </w:r>
      <w:r>
        <w:rPr>
          <w:rFonts w:hint="eastAsia" w:ascii="宋体" w:hAnsi="宋体" w:eastAsia="宋体" w:cs="宋体"/>
          <w:sz w:val="24"/>
        </w:rPr>
        <w:t>公司</w:t>
      </w:r>
      <w:r>
        <w:rPr>
          <w:rFonts w:hint="eastAsia" w:ascii="宋体" w:hAnsi="宋体" w:eastAsia="宋体" w:cs="宋体"/>
          <w:sz w:val="10"/>
        </w:rPr>
        <w:t>、</w:t>
      </w:r>
      <w:r>
        <w:rPr>
          <w:rFonts w:hint="eastAsia" w:ascii="宋体" w:hAnsi="宋体" w:eastAsia="宋体" w:cs="宋体"/>
          <w:sz w:val="24"/>
        </w:rPr>
        <w:t>控股股东</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高级管理人员承诺接受以下约束措施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公司</w:t>
      </w:r>
      <w:r>
        <w:rPr>
          <w:rFonts w:hint="eastAsia" w:ascii="宋体" w:hAnsi="宋体" w:eastAsia="宋体" w:cs="宋体"/>
          <w:sz w:val="10"/>
        </w:rPr>
        <w:t>、</w:t>
      </w:r>
      <w:r>
        <w:rPr>
          <w:rFonts w:hint="eastAsia" w:ascii="宋体" w:hAnsi="宋体" w:eastAsia="宋体" w:cs="宋体"/>
          <w:sz w:val="24"/>
        </w:rPr>
        <w:t>控股股东</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高级管理人员将在公司股东大会及中国证监会指定报刊上公告未采取上述稳定股价措施的具体原因并向公司股东和社会公众投资者道歉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700" w:firstLine="480"/>
        <w:jc w:val="both"/>
      </w:pPr>
      <w:r>
        <w:rPr>
          <w:rFonts w:hint="eastAsia" w:ascii="宋体" w:hAnsi="宋体" w:eastAsia="宋体" w:cs="宋体"/>
          <w:sz w:val="24"/>
        </w:rPr>
        <w:t>如果公司未采取上述稳定股价具体措施的或已公告回购计划但未实际履行</w:t>
      </w:r>
      <w:r>
        <w:rPr>
          <w:rFonts w:hint="eastAsia" w:ascii="宋体" w:hAnsi="宋体" w:eastAsia="宋体" w:cs="宋体"/>
          <w:sz w:val="10"/>
        </w:rPr>
        <w:t>，</w:t>
      </w:r>
      <w:r>
        <w:rPr>
          <w:rFonts w:hint="eastAsia" w:ascii="宋体" w:hAnsi="宋体" w:eastAsia="宋体" w:cs="宋体"/>
          <w:sz w:val="24"/>
        </w:rPr>
        <w:t>则公司以其承诺的最大回购金额为限对股东承担赔偿责任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如果控股股东未采取上述稳定股价具体措施的或已公告增持具体计划但未实际履行</w:t>
      </w:r>
      <w:r>
        <w:rPr>
          <w:rFonts w:hint="eastAsia" w:ascii="宋体" w:hAnsi="宋体" w:eastAsia="宋体" w:cs="宋体"/>
          <w:sz w:val="10"/>
        </w:rPr>
        <w:t>，</w:t>
      </w:r>
      <w:r>
        <w:rPr>
          <w:rFonts w:hint="eastAsia" w:ascii="宋体" w:hAnsi="宋体" w:eastAsia="宋体" w:cs="宋体"/>
          <w:sz w:val="24"/>
        </w:rPr>
        <w:t>则公司应将与控股股东履行其增持义务相等金额的应付控股股东现金分红予以冻结</w:t>
      </w:r>
      <w:r>
        <w:rPr>
          <w:rFonts w:hint="eastAsia" w:ascii="宋体" w:hAnsi="宋体" w:eastAsia="宋体" w:cs="宋体"/>
          <w:sz w:val="10"/>
        </w:rPr>
        <w:t>，</w:t>
      </w:r>
      <w:r>
        <w:rPr>
          <w:rFonts w:hint="eastAsia" w:ascii="宋体" w:hAnsi="宋体" w:eastAsia="宋体" w:cs="宋体"/>
          <w:sz w:val="24"/>
        </w:rPr>
        <w:t>直至控股股东履行其增持义务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高级管理人员应主动履行其增持义务</w:t>
      </w:r>
      <w:r>
        <w:rPr>
          <w:rFonts w:hint="eastAsia" w:ascii="宋体" w:hAnsi="宋体" w:eastAsia="宋体" w:cs="宋体"/>
          <w:sz w:val="10"/>
        </w:rPr>
        <w:t>，</w:t>
      </w:r>
      <w:r>
        <w:rPr>
          <w:rFonts w:hint="eastAsia" w:ascii="宋体" w:hAnsi="宋体" w:eastAsia="宋体" w:cs="宋体"/>
          <w:sz w:val="24"/>
        </w:rPr>
        <w:t>如果董事</w:t>
      </w:r>
      <w:r>
        <w:rPr>
          <w:rFonts w:hint="eastAsia" w:ascii="宋体" w:hAnsi="宋体" w:eastAsia="宋体" w:cs="宋体"/>
          <w:sz w:val="10"/>
        </w:rPr>
        <w:t>、</w:t>
      </w:r>
      <w:r>
        <w:rPr>
          <w:rFonts w:hint="eastAsia" w:ascii="宋体" w:hAnsi="宋体" w:eastAsia="宋体" w:cs="宋体"/>
          <w:sz w:val="24"/>
        </w:rPr>
        <w:t>高级管理人员未采取上述稳定股价具体措施的</w:t>
      </w:r>
      <w:r>
        <w:rPr>
          <w:rFonts w:hint="eastAsia" w:ascii="宋体" w:hAnsi="宋体" w:eastAsia="宋体" w:cs="宋体"/>
          <w:sz w:val="10"/>
        </w:rPr>
        <w:t>，</w:t>
      </w:r>
      <w:r>
        <w:rPr>
          <w:rFonts w:hint="eastAsia" w:ascii="宋体" w:hAnsi="宋体" w:eastAsia="宋体" w:cs="宋体"/>
          <w:sz w:val="24"/>
        </w:rPr>
        <w:t>则公司应扣留与其履行增持义务相等金额的工资薪酬归公司所有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上述承诺为本公司</w:t>
      </w:r>
      <w:r>
        <w:rPr>
          <w:rFonts w:hint="eastAsia" w:ascii="宋体" w:hAnsi="宋体" w:eastAsia="宋体" w:cs="宋体"/>
          <w:sz w:val="10"/>
        </w:rPr>
        <w:t>、</w:t>
      </w:r>
      <w:r>
        <w:rPr>
          <w:rFonts w:hint="eastAsia" w:ascii="宋体" w:hAnsi="宋体" w:eastAsia="宋体" w:cs="宋体"/>
          <w:sz w:val="24"/>
        </w:rPr>
        <w:t>控股股东</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高级管理人员真实意思表示</w:t>
      </w:r>
      <w:r>
        <w:rPr>
          <w:rFonts w:hint="eastAsia" w:ascii="宋体" w:hAnsi="宋体" w:eastAsia="宋体" w:cs="宋体"/>
          <w:sz w:val="10"/>
        </w:rPr>
        <w:t>，</w:t>
      </w:r>
      <w:r>
        <w:rPr>
          <w:rFonts w:hint="eastAsia" w:ascii="宋体" w:hAnsi="宋体" w:eastAsia="宋体" w:cs="宋体"/>
          <w:sz w:val="24"/>
        </w:rPr>
        <w:t>相关责任主体自愿接受监管机构</w:t>
      </w:r>
      <w:r>
        <w:rPr>
          <w:rFonts w:hint="eastAsia" w:ascii="宋体" w:hAnsi="宋体" w:eastAsia="宋体" w:cs="宋体"/>
          <w:sz w:val="10"/>
        </w:rPr>
        <w:t>、</w:t>
      </w:r>
      <w:r>
        <w:rPr>
          <w:rFonts w:hint="eastAsia" w:ascii="宋体" w:hAnsi="宋体" w:eastAsia="宋体" w:cs="宋体"/>
          <w:sz w:val="24"/>
        </w:rPr>
        <w:t>自律组织及社会公众的监督</w:t>
      </w:r>
      <w:r>
        <w:rPr>
          <w:rFonts w:hint="eastAsia" w:ascii="宋体" w:hAnsi="宋体" w:eastAsia="宋体" w:cs="宋体"/>
          <w:sz w:val="10"/>
        </w:rPr>
        <w:t>，</w:t>
      </w:r>
      <w:r>
        <w:rPr>
          <w:rFonts w:hint="eastAsia" w:ascii="宋体" w:hAnsi="宋体" w:eastAsia="宋体" w:cs="宋体"/>
          <w:sz w:val="24"/>
        </w:rPr>
        <w:t>若违反上述承诺相关责</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720"/>
        <w:jc w:val="both"/>
      </w:pPr>
      <w:r>
        <w:rPr>
          <w:rFonts w:hint="eastAsia" w:ascii="Times New Roman" w:hAnsi="Times New Roman" w:eastAsia="Times New Roman" w:cs="Times New Roman"/>
          <w:sz w:val="21"/>
        </w:rPr>
        <w:t>1-1-7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780"/>
        <w:jc w:val="both"/>
      </w:pPr>
      <w:r>
        <w:rPr>
          <w:rFonts w:hint="eastAsia" w:ascii="宋体" w:hAnsi="宋体" w:eastAsia="宋体" w:cs="宋体"/>
          <w:sz w:val="24"/>
        </w:rPr>
        <w:t>任主体将依法承担相应责任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78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股东持股及减持意向</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780" w:right="1600" w:firstLine="480"/>
        <w:jc w:val="both"/>
      </w:pPr>
      <w:r>
        <w:rPr>
          <w:rFonts w:hint="eastAsia" w:ascii="宋体" w:hAnsi="宋体" w:eastAsia="宋体" w:cs="宋体"/>
          <w:sz w:val="24"/>
        </w:rPr>
        <w:t>公司发行前持股</w:t>
      </w:r>
      <w:r>
        <w:rPr>
          <w:rFonts w:hint="eastAsia" w:ascii="Times New Roman" w:hAnsi="Times New Roman" w:eastAsia="Times New Roman" w:cs="Times New Roman"/>
          <w:sz w:val="24"/>
        </w:rPr>
        <w:t xml:space="preserve"> 5%</w:t>
      </w:r>
      <w:r>
        <w:rPr>
          <w:rFonts w:hint="eastAsia" w:ascii="宋体" w:hAnsi="宋体" w:eastAsia="宋体" w:cs="宋体"/>
          <w:sz w:val="24"/>
        </w:rPr>
        <w:t>以上股东严孟宇</w:t>
      </w:r>
      <w:r>
        <w:rPr>
          <w:rFonts w:hint="eastAsia" w:ascii="宋体" w:hAnsi="宋体" w:eastAsia="宋体" w:cs="宋体"/>
          <w:sz w:val="10"/>
        </w:rPr>
        <w:t>、</w:t>
      </w:r>
      <w:r>
        <w:rPr>
          <w:rFonts w:hint="eastAsia" w:ascii="宋体" w:hAnsi="宋体" w:eastAsia="宋体" w:cs="宋体"/>
          <w:sz w:val="24"/>
        </w:rPr>
        <w:t>爱派克</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雷世潘承诺</w:t>
      </w:r>
      <w:r>
        <w:rPr>
          <w:rFonts w:hint="eastAsia" w:ascii="宋体" w:hAnsi="宋体" w:eastAsia="宋体" w:cs="宋体"/>
          <w:sz w:val="12"/>
        </w:rPr>
        <w:t>：</w:t>
      </w:r>
      <w:r>
        <w:rPr>
          <w:rFonts w:hint="eastAsia" w:ascii="宋体" w:hAnsi="宋体" w:eastAsia="宋体" w:cs="宋体"/>
          <w:sz w:val="24"/>
        </w:rPr>
        <w:t>在锁定期满后的</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个月内</w:t>
      </w:r>
      <w:r>
        <w:rPr>
          <w:rFonts w:hint="eastAsia" w:ascii="宋体" w:hAnsi="宋体" w:eastAsia="宋体" w:cs="宋体"/>
          <w:sz w:val="10"/>
        </w:rPr>
        <w:t>，</w:t>
      </w:r>
      <w:r>
        <w:rPr>
          <w:rFonts w:hint="eastAsia" w:ascii="宋体" w:hAnsi="宋体" w:eastAsia="宋体" w:cs="宋体"/>
          <w:sz w:val="24"/>
        </w:rPr>
        <w:t>其减持数量不超过上市时所持顶点软件股份数量的</w:t>
      </w:r>
      <w:r>
        <w:rPr>
          <w:rFonts w:hint="eastAsia" w:ascii="Times New Roman" w:hAnsi="Times New Roman" w:eastAsia="Times New Roman" w:cs="Times New Roman"/>
          <w:sz w:val="24"/>
        </w:rPr>
        <w:t xml:space="preserve"> 10%</w:t>
      </w:r>
      <w:r>
        <w:rPr>
          <w:rFonts w:hint="eastAsia" w:ascii="宋体" w:hAnsi="宋体" w:eastAsia="宋体" w:cs="宋体"/>
          <w:sz w:val="12"/>
        </w:rPr>
        <w:t>；</w:t>
      </w:r>
      <w:r>
        <w:rPr>
          <w:rFonts w:hint="eastAsia" w:ascii="宋体" w:hAnsi="宋体" w:eastAsia="宋体" w:cs="宋体"/>
          <w:sz w:val="24"/>
        </w:rPr>
        <w:t>在锁定期满后的</w:t>
      </w:r>
      <w:r>
        <w:rPr>
          <w:rFonts w:hint="eastAsia" w:ascii="Times New Roman" w:hAnsi="Times New Roman" w:eastAsia="Times New Roman" w:cs="Times New Roman"/>
          <w:sz w:val="24"/>
        </w:rPr>
        <w:t xml:space="preserve"> 24</w:t>
      </w:r>
      <w:r>
        <w:rPr>
          <w:rFonts w:hint="eastAsia" w:ascii="宋体" w:hAnsi="宋体" w:eastAsia="宋体" w:cs="宋体"/>
          <w:sz w:val="24"/>
        </w:rPr>
        <w:t xml:space="preserve"> 个月内</w:t>
      </w:r>
      <w:r>
        <w:rPr>
          <w:rFonts w:hint="eastAsia" w:ascii="宋体" w:hAnsi="宋体" w:eastAsia="宋体" w:cs="宋体"/>
          <w:sz w:val="10"/>
        </w:rPr>
        <w:t>，</w:t>
      </w:r>
      <w:r>
        <w:rPr>
          <w:rFonts w:hint="eastAsia" w:ascii="宋体" w:hAnsi="宋体" w:eastAsia="宋体" w:cs="宋体"/>
          <w:sz w:val="24"/>
        </w:rPr>
        <w:t>其减持数量不超过上市时持有顶点软件股份数量的</w:t>
      </w:r>
      <w:r>
        <w:rPr>
          <w:rFonts w:hint="eastAsia" w:ascii="Times New Roman" w:hAnsi="Times New Roman" w:eastAsia="Times New Roman" w:cs="Times New Roman"/>
          <w:sz w:val="24"/>
        </w:rPr>
        <w:t>20%</w:t>
      </w:r>
      <w:r>
        <w:rPr>
          <w:rFonts w:hint="eastAsia" w:ascii="宋体" w:hAnsi="宋体" w:eastAsia="宋体" w:cs="宋体"/>
          <w:sz w:val="12"/>
        </w:rPr>
        <w:t>；</w:t>
      </w:r>
      <w:r>
        <w:rPr>
          <w:rFonts w:hint="eastAsia" w:ascii="宋体" w:hAnsi="宋体" w:eastAsia="宋体" w:cs="宋体"/>
          <w:sz w:val="24"/>
        </w:rPr>
        <w:t>在锁定期满后</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年内减持的</w:t>
      </w:r>
      <w:r>
        <w:rPr>
          <w:rFonts w:hint="eastAsia" w:ascii="宋体" w:hAnsi="宋体" w:eastAsia="宋体" w:cs="宋体"/>
          <w:sz w:val="10"/>
        </w:rPr>
        <w:t>，</w:t>
      </w:r>
      <w:r>
        <w:rPr>
          <w:rFonts w:hint="eastAsia" w:ascii="宋体" w:hAnsi="宋体" w:eastAsia="宋体" w:cs="宋体"/>
          <w:sz w:val="24"/>
        </w:rPr>
        <w:t>其减持价格（如果因顶点软件派发现金红利</w:t>
      </w:r>
      <w:r>
        <w:rPr>
          <w:rFonts w:hint="eastAsia" w:ascii="宋体" w:hAnsi="宋体" w:eastAsia="宋体" w:cs="宋体"/>
          <w:sz w:val="10"/>
        </w:rPr>
        <w:t>、</w:t>
      </w:r>
      <w:r>
        <w:rPr>
          <w:rFonts w:hint="eastAsia" w:ascii="宋体" w:hAnsi="宋体" w:eastAsia="宋体" w:cs="宋体"/>
          <w:sz w:val="24"/>
        </w:rPr>
        <w:t>送股</w:t>
      </w:r>
      <w:r>
        <w:rPr>
          <w:rFonts w:hint="eastAsia" w:ascii="宋体" w:hAnsi="宋体" w:eastAsia="宋体" w:cs="宋体"/>
          <w:sz w:val="10"/>
        </w:rPr>
        <w:t>、</w:t>
      </w:r>
      <w:r>
        <w:rPr>
          <w:rFonts w:hint="eastAsia" w:ascii="宋体" w:hAnsi="宋体" w:eastAsia="宋体" w:cs="宋体"/>
          <w:sz w:val="24"/>
        </w:rPr>
        <w:t>转增股本</w:t>
      </w:r>
      <w:r>
        <w:rPr>
          <w:rFonts w:hint="eastAsia" w:ascii="宋体" w:hAnsi="宋体" w:eastAsia="宋体" w:cs="宋体"/>
          <w:sz w:val="10"/>
        </w:rPr>
        <w:t>、</w:t>
      </w:r>
      <w:r>
        <w:rPr>
          <w:rFonts w:hint="eastAsia" w:ascii="宋体" w:hAnsi="宋体" w:eastAsia="宋体" w:cs="宋体"/>
          <w:sz w:val="24"/>
        </w:rPr>
        <w:t>增发新股等原因进行除权</w:t>
      </w:r>
      <w:r>
        <w:rPr>
          <w:rFonts w:hint="eastAsia" w:ascii="宋体" w:hAnsi="宋体" w:eastAsia="宋体" w:cs="宋体"/>
          <w:sz w:val="10"/>
        </w:rPr>
        <w:t>、</w:t>
      </w:r>
      <w:r>
        <w:rPr>
          <w:rFonts w:hint="eastAsia" w:ascii="宋体" w:hAnsi="宋体" w:eastAsia="宋体" w:cs="宋体"/>
          <w:sz w:val="24"/>
        </w:rPr>
        <w:t>除息的</w:t>
      </w:r>
      <w:r>
        <w:rPr>
          <w:rFonts w:hint="eastAsia" w:ascii="宋体" w:hAnsi="宋体" w:eastAsia="宋体" w:cs="宋体"/>
          <w:sz w:val="10"/>
        </w:rPr>
        <w:t>，</w:t>
      </w:r>
      <w:r>
        <w:rPr>
          <w:rFonts w:hint="eastAsia" w:ascii="宋体" w:hAnsi="宋体" w:eastAsia="宋体" w:cs="宋体"/>
          <w:sz w:val="24"/>
        </w:rPr>
        <w:t>按照证券监管部门</w:t>
      </w:r>
      <w:r>
        <w:rPr>
          <w:rFonts w:hint="eastAsia" w:ascii="宋体" w:hAnsi="宋体" w:eastAsia="宋体" w:cs="宋体"/>
          <w:sz w:val="10"/>
        </w:rPr>
        <w:t>、</w:t>
      </w:r>
      <w:r>
        <w:rPr>
          <w:rFonts w:hint="eastAsia" w:ascii="宋体" w:hAnsi="宋体" w:eastAsia="宋体" w:cs="宋体"/>
          <w:sz w:val="24"/>
        </w:rPr>
        <w:t>上海证券交易所相关规则做相应调整）不低于发行价格</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本公司发行前持股</w:t>
      </w:r>
      <w:r>
        <w:rPr>
          <w:rFonts w:hint="eastAsia" w:ascii="Times New Roman" w:hAnsi="Times New Roman" w:eastAsia="Times New Roman" w:cs="Times New Roman"/>
          <w:sz w:val="24"/>
        </w:rPr>
        <w:t xml:space="preserve"> 5%</w:t>
      </w:r>
      <w:r>
        <w:rPr>
          <w:rFonts w:hint="eastAsia" w:ascii="宋体" w:hAnsi="宋体" w:eastAsia="宋体" w:cs="宋体"/>
          <w:sz w:val="24"/>
        </w:rPr>
        <w:t>以上股东金石投资承诺</w:t>
      </w:r>
      <w:r>
        <w:rPr>
          <w:rFonts w:hint="eastAsia" w:ascii="宋体" w:hAnsi="宋体" w:eastAsia="宋体" w:cs="宋体"/>
          <w:sz w:val="10"/>
        </w:rPr>
        <w:t>：</w:t>
      </w:r>
      <w:r>
        <w:rPr>
          <w:rFonts w:hint="eastAsia" w:ascii="宋体" w:hAnsi="宋体" w:eastAsia="宋体" w:cs="宋体"/>
          <w:sz w:val="24"/>
        </w:rPr>
        <w:t>如果在锁定期（本次发行股票上市之日起三十六个月内</w:t>
      </w:r>
      <w:r>
        <w:rPr>
          <w:rFonts w:hint="eastAsia" w:ascii="宋体" w:hAnsi="宋体" w:eastAsia="宋体" w:cs="宋体"/>
          <w:sz w:val="10"/>
        </w:rPr>
        <w:t>，</w:t>
      </w:r>
      <w:r>
        <w:rPr>
          <w:rFonts w:hint="eastAsia" w:ascii="宋体" w:hAnsi="宋体" w:eastAsia="宋体" w:cs="宋体"/>
          <w:sz w:val="24"/>
        </w:rPr>
        <w:t>下同）满后</w:t>
      </w:r>
      <w:r>
        <w:rPr>
          <w:rFonts w:hint="eastAsia" w:ascii="宋体" w:hAnsi="宋体" w:eastAsia="宋体" w:cs="宋体"/>
          <w:sz w:val="10"/>
        </w:rPr>
        <w:t>，</w:t>
      </w:r>
      <w:r>
        <w:rPr>
          <w:rFonts w:hint="eastAsia" w:ascii="宋体" w:hAnsi="宋体" w:eastAsia="宋体" w:cs="宋体"/>
          <w:sz w:val="24"/>
        </w:rPr>
        <w:t>本公司拟减持股票的</w:t>
      </w:r>
      <w:r>
        <w:rPr>
          <w:rFonts w:hint="eastAsia" w:ascii="宋体" w:hAnsi="宋体" w:eastAsia="宋体" w:cs="宋体"/>
          <w:sz w:val="10"/>
        </w:rPr>
        <w:t>，</w:t>
      </w:r>
      <w:r>
        <w:rPr>
          <w:rFonts w:hint="eastAsia" w:ascii="宋体" w:hAnsi="宋体" w:eastAsia="宋体" w:cs="宋体"/>
          <w:sz w:val="24"/>
        </w:rPr>
        <w:t>将认真遵守证监会</w:t>
      </w:r>
      <w:r>
        <w:rPr>
          <w:rFonts w:hint="eastAsia" w:ascii="宋体" w:hAnsi="宋体" w:eastAsia="宋体" w:cs="宋体"/>
          <w:sz w:val="10"/>
        </w:rPr>
        <w:t>、</w:t>
      </w:r>
      <w:r>
        <w:rPr>
          <w:rFonts w:hint="eastAsia" w:ascii="宋体" w:hAnsi="宋体" w:eastAsia="宋体" w:cs="宋体"/>
          <w:sz w:val="24"/>
        </w:rPr>
        <w:t>交易所关于股东减持的相关规定</w:t>
      </w:r>
      <w:r>
        <w:rPr>
          <w:rFonts w:hint="eastAsia" w:ascii="宋体" w:hAnsi="宋体" w:eastAsia="宋体" w:cs="宋体"/>
          <w:sz w:val="10"/>
        </w:rPr>
        <w:t>，</w:t>
      </w:r>
      <w:r>
        <w:rPr>
          <w:rFonts w:hint="eastAsia" w:ascii="宋体" w:hAnsi="宋体" w:eastAsia="宋体" w:cs="宋体"/>
          <w:sz w:val="24"/>
        </w:rPr>
        <w:t>结合公司稳定股价</w:t>
      </w:r>
      <w:r>
        <w:rPr>
          <w:rFonts w:hint="eastAsia" w:ascii="宋体" w:hAnsi="宋体" w:eastAsia="宋体" w:cs="宋体"/>
          <w:sz w:val="10"/>
        </w:rPr>
        <w:t>、</w:t>
      </w:r>
      <w:r>
        <w:rPr>
          <w:rFonts w:hint="eastAsia" w:ascii="宋体" w:hAnsi="宋体" w:eastAsia="宋体" w:cs="宋体"/>
          <w:sz w:val="24"/>
        </w:rPr>
        <w:t>开展经营等多方面需要</w:t>
      </w:r>
      <w:r>
        <w:rPr>
          <w:rFonts w:hint="eastAsia" w:ascii="宋体" w:hAnsi="宋体" w:eastAsia="宋体" w:cs="宋体"/>
          <w:sz w:val="10"/>
        </w:rPr>
        <w:t>，</w:t>
      </w:r>
      <w:r>
        <w:rPr>
          <w:rFonts w:hint="eastAsia" w:ascii="宋体" w:hAnsi="宋体" w:eastAsia="宋体" w:cs="宋体"/>
          <w:sz w:val="24"/>
        </w:rPr>
        <w:t>审慎制定股票减持计划</w:t>
      </w:r>
      <w:r>
        <w:rPr>
          <w:rFonts w:hint="eastAsia" w:ascii="宋体" w:hAnsi="宋体" w:eastAsia="宋体" w:cs="宋体"/>
          <w:sz w:val="10"/>
        </w:rPr>
        <w:t>，</w:t>
      </w:r>
      <w:r>
        <w:rPr>
          <w:rFonts w:hint="eastAsia" w:ascii="宋体" w:hAnsi="宋体" w:eastAsia="宋体" w:cs="宋体"/>
          <w:sz w:val="24"/>
        </w:rPr>
        <w:t>在股票锁定期满后逐步减持</w:t>
      </w:r>
      <w:r>
        <w:rPr>
          <w:rFonts w:hint="eastAsia" w:ascii="宋体" w:hAnsi="宋体" w:eastAsia="宋体" w:cs="宋体"/>
          <w:sz w:val="12"/>
        </w:rPr>
        <w:t>；</w:t>
      </w:r>
      <w:r>
        <w:rPr>
          <w:rFonts w:hint="eastAsia" w:ascii="宋体" w:hAnsi="宋体" w:eastAsia="宋体" w:cs="宋体"/>
          <w:sz w:val="24"/>
        </w:rPr>
        <w:t>本公司在锁定期届满之日起减持公司股份的</w:t>
      </w:r>
      <w:r>
        <w:rPr>
          <w:rFonts w:hint="eastAsia" w:ascii="宋体" w:hAnsi="宋体" w:eastAsia="宋体" w:cs="宋体"/>
          <w:sz w:val="10"/>
        </w:rPr>
        <w:t>，</w:t>
      </w:r>
      <w:r>
        <w:rPr>
          <w:rFonts w:hint="eastAsia" w:ascii="宋体" w:hAnsi="宋体" w:eastAsia="宋体" w:cs="宋体"/>
          <w:sz w:val="24"/>
        </w:rPr>
        <w:t>应符合相关法律</w:t>
      </w:r>
      <w:r>
        <w:rPr>
          <w:rFonts w:hint="eastAsia" w:ascii="宋体" w:hAnsi="宋体" w:eastAsia="宋体" w:cs="宋体"/>
          <w:sz w:val="10"/>
        </w:rPr>
        <w:t>、</w:t>
      </w:r>
      <w:r>
        <w:rPr>
          <w:rFonts w:hint="eastAsia" w:ascii="宋体" w:hAnsi="宋体" w:eastAsia="宋体" w:cs="宋体"/>
          <w:sz w:val="24"/>
        </w:rPr>
        <w:t>法规</w:t>
      </w:r>
      <w:r>
        <w:rPr>
          <w:rFonts w:hint="eastAsia" w:ascii="宋体" w:hAnsi="宋体" w:eastAsia="宋体" w:cs="宋体"/>
          <w:sz w:val="10"/>
        </w:rPr>
        <w:t>、</w:t>
      </w:r>
      <w:r>
        <w:rPr>
          <w:rFonts w:hint="eastAsia" w:ascii="宋体" w:hAnsi="宋体" w:eastAsia="宋体" w:cs="宋体"/>
          <w:sz w:val="24"/>
        </w:rPr>
        <w:t>规章的规定</w:t>
      </w:r>
      <w:r>
        <w:rPr>
          <w:rFonts w:hint="eastAsia" w:ascii="宋体" w:hAnsi="宋体" w:eastAsia="宋体" w:cs="宋体"/>
          <w:sz w:val="10"/>
        </w:rPr>
        <w:t>，</w:t>
      </w:r>
      <w:r>
        <w:rPr>
          <w:rFonts w:hint="eastAsia" w:ascii="宋体" w:hAnsi="宋体" w:eastAsia="宋体" w:cs="宋体"/>
          <w:sz w:val="24"/>
        </w:rPr>
        <w:t>通过大宗交易方式</w:t>
      </w:r>
      <w:r>
        <w:rPr>
          <w:rFonts w:hint="eastAsia" w:ascii="宋体" w:hAnsi="宋体" w:eastAsia="宋体" w:cs="宋体"/>
          <w:sz w:val="10"/>
        </w:rPr>
        <w:t>、</w:t>
      </w:r>
      <w:r>
        <w:rPr>
          <w:rFonts w:hint="eastAsia" w:ascii="宋体" w:hAnsi="宋体" w:eastAsia="宋体" w:cs="宋体"/>
          <w:sz w:val="24"/>
        </w:rPr>
        <w:t>证券交易所集中竞价交易方式</w:t>
      </w:r>
      <w:r>
        <w:rPr>
          <w:rFonts w:hint="eastAsia" w:ascii="宋体" w:hAnsi="宋体" w:eastAsia="宋体" w:cs="宋体"/>
          <w:sz w:val="10"/>
        </w:rPr>
        <w:t>、</w:t>
      </w:r>
      <w:r>
        <w:rPr>
          <w:rFonts w:hint="eastAsia" w:ascii="宋体" w:hAnsi="宋体" w:eastAsia="宋体" w:cs="宋体"/>
          <w:sz w:val="24"/>
        </w:rPr>
        <w:t>协议转让或者其他合法方式按照届时市场价格或者大宗交易双方确定的价格减持本公司所持有的公司股票</w:t>
      </w:r>
      <w:r>
        <w:rPr>
          <w:rFonts w:hint="eastAsia" w:ascii="宋体" w:hAnsi="宋体" w:eastAsia="宋体" w:cs="宋体"/>
          <w:sz w:val="12"/>
        </w:rPr>
        <w:t>；</w:t>
      </w:r>
      <w:r>
        <w:rPr>
          <w:rFonts w:hint="eastAsia" w:ascii="宋体" w:hAnsi="宋体" w:eastAsia="宋体" w:cs="宋体"/>
          <w:sz w:val="24"/>
        </w:rPr>
        <w:t>本公司减持公司股份前</w:t>
      </w:r>
      <w:r>
        <w:rPr>
          <w:rFonts w:hint="eastAsia" w:ascii="宋体" w:hAnsi="宋体" w:eastAsia="宋体" w:cs="宋体"/>
          <w:sz w:val="10"/>
        </w:rPr>
        <w:t>，</w:t>
      </w:r>
      <w:r>
        <w:rPr>
          <w:rFonts w:hint="eastAsia" w:ascii="宋体" w:hAnsi="宋体" w:eastAsia="宋体" w:cs="宋体"/>
          <w:sz w:val="24"/>
        </w:rPr>
        <w:t>将提前三个交易日予以公告</w:t>
      </w:r>
      <w:r>
        <w:rPr>
          <w:rFonts w:hint="eastAsia" w:ascii="宋体" w:hAnsi="宋体" w:eastAsia="宋体" w:cs="宋体"/>
          <w:sz w:val="10"/>
        </w:rPr>
        <w:t>，</w:t>
      </w:r>
      <w:r>
        <w:rPr>
          <w:rFonts w:hint="eastAsia" w:ascii="宋体" w:hAnsi="宋体" w:eastAsia="宋体" w:cs="宋体"/>
          <w:sz w:val="24"/>
        </w:rPr>
        <w:t>并按照证券交易所的规则及时</w:t>
      </w:r>
      <w:r>
        <w:rPr>
          <w:rFonts w:hint="eastAsia" w:ascii="宋体" w:hAnsi="宋体" w:eastAsia="宋体" w:cs="宋体"/>
          <w:sz w:val="10"/>
        </w:rPr>
        <w:t>、</w:t>
      </w:r>
      <w:r>
        <w:rPr>
          <w:rFonts w:hint="eastAsia" w:ascii="宋体" w:hAnsi="宋体" w:eastAsia="宋体" w:cs="宋体"/>
          <w:sz w:val="24"/>
        </w:rPr>
        <w:t>准确地履行信息披露义务</w:t>
      </w:r>
      <w:r>
        <w:rPr>
          <w:rFonts w:hint="eastAsia" w:ascii="宋体" w:hAnsi="宋体" w:eastAsia="宋体" w:cs="宋体"/>
          <w:sz w:val="10"/>
        </w:rPr>
        <w:t>，</w:t>
      </w:r>
      <w:r>
        <w:rPr>
          <w:rFonts w:hint="eastAsia" w:ascii="宋体" w:hAnsi="宋体" w:eastAsia="宋体" w:cs="宋体"/>
          <w:sz w:val="24"/>
        </w:rPr>
        <w:t>公告拟减持的数量</w:t>
      </w:r>
      <w:r>
        <w:rPr>
          <w:rFonts w:hint="eastAsia" w:ascii="宋体" w:hAnsi="宋体" w:eastAsia="宋体" w:cs="宋体"/>
          <w:sz w:val="10"/>
        </w:rPr>
        <w:t>、</w:t>
      </w:r>
      <w:r>
        <w:rPr>
          <w:rFonts w:hint="eastAsia" w:ascii="宋体" w:hAnsi="宋体" w:eastAsia="宋体" w:cs="宋体"/>
          <w:sz w:val="24"/>
        </w:rPr>
        <w:t>减持方式</w:t>
      </w:r>
      <w:r>
        <w:rPr>
          <w:rFonts w:hint="eastAsia" w:ascii="宋体" w:hAnsi="宋体" w:eastAsia="宋体" w:cs="宋体"/>
          <w:sz w:val="10"/>
        </w:rPr>
        <w:t>、</w:t>
      </w:r>
      <w:r>
        <w:rPr>
          <w:rFonts w:hint="eastAsia" w:ascii="宋体" w:hAnsi="宋体" w:eastAsia="宋体" w:cs="宋体"/>
          <w:sz w:val="24"/>
        </w:rPr>
        <w:t>期限等</w:t>
      </w:r>
      <w:r>
        <w:rPr>
          <w:rFonts w:hint="eastAsia" w:ascii="宋体" w:hAnsi="宋体" w:eastAsia="宋体" w:cs="宋体"/>
          <w:sz w:val="12"/>
        </w:rPr>
        <w:t>；</w:t>
      </w:r>
      <w:r>
        <w:rPr>
          <w:rFonts w:hint="eastAsia" w:ascii="宋体" w:hAnsi="宋体" w:eastAsia="宋体" w:cs="宋体"/>
          <w:sz w:val="24"/>
        </w:rPr>
        <w:t>本公司持有公司股份低于</w:t>
      </w:r>
      <w:r>
        <w:rPr>
          <w:rFonts w:hint="eastAsia" w:ascii="Times New Roman" w:hAnsi="Times New Roman" w:eastAsia="Times New Roman" w:cs="Times New Roman"/>
          <w:sz w:val="24"/>
        </w:rPr>
        <w:t xml:space="preserve"> 5%</w:t>
      </w:r>
      <w:r>
        <w:rPr>
          <w:rFonts w:hint="eastAsia" w:ascii="宋体" w:hAnsi="宋体" w:eastAsia="宋体" w:cs="宋体"/>
          <w:sz w:val="24"/>
        </w:rPr>
        <w:t>以下时除外</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78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有关招股说明书所载内容真实</w:t>
      </w:r>
      <w:r>
        <w:rPr>
          <w:rFonts w:hint="eastAsia" w:ascii="ºÚÌå" w:hAnsi="ºÚÌå" w:eastAsia="ºÚÌå" w:cs="ºÚÌå"/>
          <w:sz w:val="10"/>
        </w:rPr>
        <w:t>、</w:t>
      </w:r>
      <w:r>
        <w:rPr>
          <w:rFonts w:hint="eastAsia" w:ascii="ºÚÌå" w:hAnsi="ºÚÌå" w:eastAsia="ºÚÌå" w:cs="ºÚÌå"/>
          <w:sz w:val="30"/>
        </w:rPr>
        <w:t>准确</w:t>
      </w:r>
      <w:r>
        <w:rPr>
          <w:rFonts w:hint="eastAsia" w:ascii="ºÚÌå" w:hAnsi="ºÚÌå" w:eastAsia="ºÚÌå" w:cs="ºÚÌå"/>
          <w:sz w:val="10"/>
        </w:rPr>
        <w:t>、</w:t>
      </w:r>
      <w:r>
        <w:rPr>
          <w:rFonts w:hint="eastAsia" w:ascii="ºÚÌå" w:hAnsi="ºÚÌå" w:eastAsia="ºÚÌå" w:cs="ºÚÌå"/>
          <w:sz w:val="30"/>
        </w:rPr>
        <w:t>完整的承诺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780" w:right="1600" w:firstLine="480"/>
        <w:jc w:val="both"/>
      </w:pPr>
      <w:r>
        <w:rPr>
          <w:rFonts w:hint="eastAsia" w:ascii="宋体" w:hAnsi="宋体" w:eastAsia="宋体" w:cs="宋体"/>
          <w:sz w:val="24"/>
        </w:rPr>
        <w:t>本公司承诺</w:t>
      </w:r>
      <w:r>
        <w:rPr>
          <w:rFonts w:hint="eastAsia" w:ascii="宋体" w:hAnsi="宋体" w:eastAsia="宋体" w:cs="宋体"/>
          <w:sz w:val="12"/>
        </w:rPr>
        <w:t>：</w:t>
      </w:r>
      <w:r>
        <w:rPr>
          <w:rFonts w:hint="eastAsia" w:ascii="宋体" w:hAnsi="宋体" w:eastAsia="宋体" w:cs="宋体"/>
          <w:sz w:val="24"/>
        </w:rPr>
        <w:t>如公司本次公开发行股票的招股说明书有虚假记载</w:t>
      </w:r>
      <w:r>
        <w:rPr>
          <w:rFonts w:hint="eastAsia" w:ascii="宋体" w:hAnsi="宋体" w:eastAsia="宋体" w:cs="宋体"/>
          <w:sz w:val="10"/>
        </w:rPr>
        <w:t>、</w:t>
      </w:r>
      <w:r>
        <w:rPr>
          <w:rFonts w:hint="eastAsia" w:ascii="宋体" w:hAnsi="宋体" w:eastAsia="宋体" w:cs="宋体"/>
          <w:sz w:val="24"/>
        </w:rPr>
        <w:t>误导性陈述或者重大遗漏</w:t>
      </w:r>
      <w:r>
        <w:rPr>
          <w:rFonts w:hint="eastAsia" w:ascii="宋体" w:hAnsi="宋体" w:eastAsia="宋体" w:cs="宋体"/>
          <w:sz w:val="10"/>
        </w:rPr>
        <w:t>，</w:t>
      </w:r>
      <w:r>
        <w:rPr>
          <w:rFonts w:hint="eastAsia" w:ascii="宋体" w:hAnsi="宋体" w:eastAsia="宋体" w:cs="宋体"/>
          <w:sz w:val="24"/>
        </w:rPr>
        <w:t>对判断公司是否符合法律规定的发行条件构成重大</w:t>
      </w:r>
      <w:r>
        <w:rPr>
          <w:rFonts w:hint="eastAsia" w:ascii="宋体" w:hAnsi="宋体" w:eastAsia="宋体" w:cs="宋体"/>
          <w:sz w:val="10"/>
        </w:rPr>
        <w:t>、</w:t>
      </w:r>
      <w:r>
        <w:rPr>
          <w:rFonts w:hint="eastAsia" w:ascii="宋体" w:hAnsi="宋体" w:eastAsia="宋体" w:cs="宋体"/>
          <w:sz w:val="24"/>
        </w:rPr>
        <w:t>实质影响的</w:t>
      </w:r>
      <w:r>
        <w:rPr>
          <w:rFonts w:hint="eastAsia" w:ascii="宋体" w:hAnsi="宋体" w:eastAsia="宋体" w:cs="宋体"/>
          <w:sz w:val="10"/>
        </w:rPr>
        <w:t>，</w:t>
      </w:r>
      <w:r>
        <w:rPr>
          <w:rFonts w:hint="eastAsia" w:ascii="宋体" w:hAnsi="宋体" w:eastAsia="宋体" w:cs="宋体"/>
          <w:sz w:val="24"/>
        </w:rPr>
        <w:t>公司将依法回购首次公开发行的全部新股</w:t>
      </w:r>
      <w:r>
        <w:rPr>
          <w:rFonts w:hint="eastAsia" w:ascii="宋体" w:hAnsi="宋体" w:eastAsia="宋体" w:cs="宋体"/>
          <w:sz w:val="10"/>
        </w:rPr>
        <w:t>。</w:t>
      </w:r>
      <w:r>
        <w:rPr>
          <w:rFonts w:hint="eastAsia" w:ascii="宋体" w:hAnsi="宋体" w:eastAsia="宋体" w:cs="宋体"/>
          <w:sz w:val="24"/>
        </w:rPr>
        <w:t>公司将在上述违法事实被中国证监会认定后的当日进行公告</w:t>
      </w:r>
      <w:r>
        <w:rPr>
          <w:rFonts w:hint="eastAsia" w:ascii="宋体" w:hAnsi="宋体" w:eastAsia="宋体" w:cs="宋体"/>
          <w:sz w:val="10"/>
        </w:rPr>
        <w:t>，</w:t>
      </w:r>
      <w:r>
        <w:rPr>
          <w:rFonts w:hint="eastAsia" w:ascii="宋体" w:hAnsi="宋体" w:eastAsia="宋体" w:cs="宋体"/>
          <w:sz w:val="24"/>
        </w:rPr>
        <w:t>并及时提出股份回购预案</w:t>
      </w:r>
      <w:r>
        <w:rPr>
          <w:rFonts w:hint="eastAsia" w:ascii="宋体" w:hAnsi="宋体" w:eastAsia="宋体" w:cs="宋体"/>
          <w:sz w:val="10"/>
        </w:rPr>
        <w:t>，</w:t>
      </w:r>
      <w:r>
        <w:rPr>
          <w:rFonts w:hint="eastAsia" w:ascii="宋体" w:hAnsi="宋体" w:eastAsia="宋体" w:cs="宋体"/>
          <w:sz w:val="24"/>
        </w:rPr>
        <w:t>提交董事会</w:t>
      </w:r>
      <w:r>
        <w:rPr>
          <w:rFonts w:hint="eastAsia" w:ascii="宋体" w:hAnsi="宋体" w:eastAsia="宋体" w:cs="宋体"/>
          <w:sz w:val="10"/>
        </w:rPr>
        <w:t>、</w:t>
      </w:r>
      <w:r>
        <w:rPr>
          <w:rFonts w:hint="eastAsia" w:ascii="宋体" w:hAnsi="宋体" w:eastAsia="宋体" w:cs="宋体"/>
          <w:sz w:val="24"/>
        </w:rPr>
        <w:t>股东大会讨论</w:t>
      </w:r>
      <w:r>
        <w:rPr>
          <w:rFonts w:hint="eastAsia" w:ascii="宋体" w:hAnsi="宋体" w:eastAsia="宋体" w:cs="宋体"/>
          <w:sz w:val="10"/>
        </w:rPr>
        <w:t>，</w:t>
      </w:r>
      <w:r>
        <w:rPr>
          <w:rFonts w:hint="eastAsia" w:ascii="宋体" w:hAnsi="宋体" w:eastAsia="宋体" w:cs="宋体"/>
          <w:sz w:val="24"/>
        </w:rPr>
        <w:t>在经相关主管部门批准</w:t>
      </w:r>
      <w:r>
        <w:rPr>
          <w:rFonts w:hint="eastAsia" w:ascii="Times New Roman" w:hAnsi="Times New Roman" w:eastAsia="Times New Roman" w:cs="Times New Roman"/>
          <w:sz w:val="24"/>
        </w:rPr>
        <w:t>/</w:t>
      </w:r>
      <w:r>
        <w:rPr>
          <w:rFonts w:hint="eastAsia" w:ascii="宋体" w:hAnsi="宋体" w:eastAsia="宋体" w:cs="宋体"/>
          <w:sz w:val="24"/>
        </w:rPr>
        <w:t>核准</w:t>
      </w:r>
      <w:r>
        <w:rPr>
          <w:rFonts w:hint="eastAsia" w:ascii="Times New Roman" w:hAnsi="Times New Roman" w:eastAsia="Times New Roman" w:cs="Times New Roman"/>
          <w:sz w:val="24"/>
        </w:rPr>
        <w:t>/</w:t>
      </w:r>
      <w:r>
        <w:rPr>
          <w:rFonts w:hint="eastAsia" w:ascii="宋体" w:hAnsi="宋体" w:eastAsia="宋体" w:cs="宋体"/>
          <w:sz w:val="24"/>
        </w:rPr>
        <w:t>备案后启动股份回购措施</w:t>
      </w:r>
      <w:r>
        <w:rPr>
          <w:rFonts w:hint="eastAsia" w:ascii="宋体" w:hAnsi="宋体" w:eastAsia="宋体" w:cs="宋体"/>
          <w:sz w:val="10"/>
        </w:rPr>
        <w:t>，</w:t>
      </w:r>
      <w:r>
        <w:rPr>
          <w:rFonts w:hint="eastAsia" w:ascii="宋体" w:hAnsi="宋体" w:eastAsia="宋体" w:cs="宋体"/>
          <w:sz w:val="24"/>
        </w:rPr>
        <w:t>回购价格依据市场价或相关主管部门认定的价格确定</w:t>
      </w:r>
      <w:r>
        <w:rPr>
          <w:rFonts w:hint="eastAsia" w:ascii="宋体" w:hAnsi="宋体" w:eastAsia="宋体" w:cs="宋体"/>
          <w:sz w:val="10"/>
        </w:rPr>
        <w:t>，</w:t>
      </w:r>
      <w:r>
        <w:rPr>
          <w:rFonts w:hint="eastAsia" w:ascii="宋体" w:hAnsi="宋体" w:eastAsia="宋体" w:cs="宋体"/>
          <w:sz w:val="24"/>
        </w:rPr>
        <w:t>并根据相关法律</w:t>
      </w:r>
      <w:r>
        <w:rPr>
          <w:rFonts w:hint="eastAsia" w:ascii="宋体" w:hAnsi="宋体" w:eastAsia="宋体" w:cs="宋体"/>
          <w:sz w:val="10"/>
        </w:rPr>
        <w:t>、</w:t>
      </w:r>
      <w:r>
        <w:rPr>
          <w:rFonts w:hint="eastAsia" w:ascii="宋体" w:hAnsi="宋体" w:eastAsia="宋体" w:cs="宋体"/>
          <w:sz w:val="24"/>
        </w:rPr>
        <w:t>法规规定的程序实施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780"/>
        <w:jc w:val="both"/>
      </w:pPr>
      <w:r>
        <w:rPr>
          <w:rFonts w:hint="eastAsia" w:ascii="宋体" w:hAnsi="宋体" w:eastAsia="宋体" w:cs="宋体"/>
          <w:sz w:val="24"/>
        </w:rPr>
        <w:t>在实施上述股份回购时</w:t>
      </w:r>
      <w:r>
        <w:rPr>
          <w:rFonts w:hint="eastAsia" w:ascii="宋体" w:hAnsi="宋体" w:eastAsia="宋体" w:cs="宋体"/>
          <w:sz w:val="10"/>
        </w:rPr>
        <w:t>，</w:t>
      </w:r>
      <w:r>
        <w:rPr>
          <w:rFonts w:hint="eastAsia" w:ascii="宋体" w:hAnsi="宋体" w:eastAsia="宋体" w:cs="宋体"/>
          <w:sz w:val="24"/>
        </w:rPr>
        <w:t>如法律</w:t>
      </w:r>
      <w:r>
        <w:rPr>
          <w:rFonts w:hint="eastAsia" w:ascii="宋体" w:hAnsi="宋体" w:eastAsia="宋体" w:cs="宋体"/>
          <w:sz w:val="10"/>
        </w:rPr>
        <w:t>、</w:t>
      </w:r>
      <w:r>
        <w:rPr>
          <w:rFonts w:hint="eastAsia" w:ascii="宋体" w:hAnsi="宋体" w:eastAsia="宋体" w:cs="宋体"/>
          <w:sz w:val="24"/>
        </w:rPr>
        <w:t>法规</w:t>
      </w:r>
      <w:r>
        <w:rPr>
          <w:rFonts w:hint="eastAsia" w:ascii="宋体" w:hAnsi="宋体" w:eastAsia="宋体" w:cs="宋体"/>
          <w:sz w:val="10"/>
        </w:rPr>
        <w:t>、</w:t>
      </w:r>
      <w:r>
        <w:rPr>
          <w:rFonts w:hint="eastAsia" w:ascii="宋体" w:hAnsi="宋体" w:eastAsia="宋体" w:cs="宋体"/>
          <w:sz w:val="24"/>
        </w:rPr>
        <w:t>公司章程等另有规定的从其规定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60"/>
        <w:jc w:val="both"/>
      </w:pPr>
      <w:r>
        <w:rPr>
          <w:rFonts w:hint="eastAsia" w:ascii="宋体" w:hAnsi="宋体" w:eastAsia="宋体" w:cs="宋体"/>
          <w:sz w:val="24"/>
        </w:rPr>
        <w:t>本公司控股股东严孟宇承诺</w:t>
      </w:r>
      <w:r>
        <w:rPr>
          <w:rFonts w:hint="eastAsia" w:ascii="宋体" w:hAnsi="宋体" w:eastAsia="宋体" w:cs="宋体"/>
          <w:sz w:val="12"/>
        </w:rPr>
        <w:t>：</w:t>
      </w:r>
      <w:r>
        <w:rPr>
          <w:rFonts w:hint="eastAsia" w:ascii="宋体" w:hAnsi="宋体" w:eastAsia="宋体" w:cs="宋体"/>
          <w:sz w:val="24"/>
        </w:rPr>
        <w:t>公司招股说明书若存在虚假记载</w:t>
      </w:r>
      <w:r>
        <w:rPr>
          <w:rFonts w:hint="eastAsia" w:ascii="宋体" w:hAnsi="宋体" w:eastAsia="宋体" w:cs="宋体"/>
          <w:sz w:val="10"/>
        </w:rPr>
        <w:t>、</w:t>
      </w:r>
      <w:r>
        <w:rPr>
          <w:rFonts w:hint="eastAsia" w:ascii="宋体" w:hAnsi="宋体" w:eastAsia="宋体" w:cs="宋体"/>
          <w:sz w:val="24"/>
        </w:rPr>
        <w:t>误导性陈述</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720"/>
        <w:jc w:val="both"/>
      </w:pPr>
      <w:r>
        <w:rPr>
          <w:rFonts w:hint="eastAsia" w:ascii="Times New Roman" w:hAnsi="Times New Roman" w:eastAsia="Times New Roman" w:cs="Times New Roman"/>
          <w:sz w:val="21"/>
        </w:rPr>
        <w:t>1-1-8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780" w:right="1600"/>
        <w:jc w:val="both"/>
      </w:pPr>
      <w:r>
        <w:rPr>
          <w:rFonts w:hint="eastAsia" w:ascii="宋体" w:hAnsi="宋体" w:eastAsia="宋体" w:cs="宋体"/>
          <w:sz w:val="24"/>
        </w:rPr>
        <w:t>或者重大遗漏</w:t>
      </w:r>
      <w:r>
        <w:rPr>
          <w:rFonts w:hint="eastAsia" w:ascii="宋体" w:hAnsi="宋体" w:eastAsia="宋体" w:cs="宋体"/>
          <w:sz w:val="10"/>
        </w:rPr>
        <w:t>，</w:t>
      </w:r>
      <w:r>
        <w:rPr>
          <w:rFonts w:hint="eastAsia" w:ascii="宋体" w:hAnsi="宋体" w:eastAsia="宋体" w:cs="宋体"/>
          <w:sz w:val="24"/>
        </w:rPr>
        <w:t>对判断发行人是否符合法律规定的发行条件构成重大</w:t>
      </w:r>
      <w:r>
        <w:rPr>
          <w:rFonts w:hint="eastAsia" w:ascii="宋体" w:hAnsi="宋体" w:eastAsia="宋体" w:cs="宋体"/>
          <w:sz w:val="10"/>
        </w:rPr>
        <w:t>、</w:t>
      </w:r>
      <w:r>
        <w:rPr>
          <w:rFonts w:hint="eastAsia" w:ascii="宋体" w:hAnsi="宋体" w:eastAsia="宋体" w:cs="宋体"/>
          <w:sz w:val="24"/>
        </w:rPr>
        <w:t>实质影响的</w:t>
      </w:r>
      <w:r>
        <w:rPr>
          <w:rFonts w:hint="eastAsia" w:ascii="宋体" w:hAnsi="宋体" w:eastAsia="宋体" w:cs="宋体"/>
          <w:sz w:val="10"/>
        </w:rPr>
        <w:t>，</w:t>
      </w:r>
      <w:r>
        <w:rPr>
          <w:rFonts w:hint="eastAsia" w:ascii="宋体" w:hAnsi="宋体" w:eastAsia="宋体" w:cs="宋体"/>
          <w:sz w:val="24"/>
        </w:rPr>
        <w:t>将以二级市场价格购回已转让的原限售股份</w:t>
      </w:r>
      <w:r>
        <w:rPr>
          <w:rFonts w:hint="eastAsia" w:ascii="宋体" w:hAnsi="宋体" w:eastAsia="宋体" w:cs="宋体"/>
          <w:sz w:val="10"/>
        </w:rPr>
        <w:t>。</w:t>
      </w:r>
      <w:r>
        <w:rPr>
          <w:rFonts w:hint="eastAsia" w:ascii="宋体" w:hAnsi="宋体" w:eastAsia="宋体" w:cs="宋体"/>
          <w:sz w:val="24"/>
        </w:rPr>
        <w:t>购回价格以公司股票发行价格和有关违法事实被中国证监会认定之日前</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个交易日公司股票交易均价的孰高者确定</w:t>
      </w:r>
      <w:r>
        <w:rPr>
          <w:rFonts w:hint="eastAsia" w:ascii="宋体" w:hAnsi="宋体" w:eastAsia="宋体" w:cs="宋体"/>
          <w:sz w:val="14"/>
        </w:rPr>
        <w:t>；</w:t>
      </w:r>
      <w:r>
        <w:rPr>
          <w:rFonts w:hint="eastAsia" w:ascii="宋体" w:hAnsi="宋体" w:eastAsia="宋体" w:cs="宋体"/>
          <w:sz w:val="24"/>
        </w:rPr>
        <w:t>公司上市后发生除权除息事项的</w:t>
      </w:r>
      <w:r>
        <w:rPr>
          <w:rFonts w:hint="eastAsia" w:ascii="宋体" w:hAnsi="宋体" w:eastAsia="宋体" w:cs="宋体"/>
          <w:sz w:val="10"/>
        </w:rPr>
        <w:t>，</w:t>
      </w:r>
      <w:r>
        <w:rPr>
          <w:rFonts w:hint="eastAsia" w:ascii="宋体" w:hAnsi="宋体" w:eastAsia="宋体" w:cs="宋体"/>
          <w:sz w:val="24"/>
        </w:rPr>
        <w:t>上述发行价格及购回股份数量做相应调整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本公司及本公司控股股东</w:t>
      </w:r>
      <w:r>
        <w:rPr>
          <w:rFonts w:hint="eastAsia" w:ascii="宋体" w:hAnsi="宋体" w:eastAsia="宋体" w:cs="宋体"/>
          <w:sz w:val="10"/>
        </w:rPr>
        <w:t>、</w:t>
      </w:r>
      <w:r>
        <w:rPr>
          <w:rFonts w:hint="eastAsia" w:ascii="宋体" w:hAnsi="宋体" w:eastAsia="宋体" w:cs="宋体"/>
          <w:sz w:val="24"/>
        </w:rPr>
        <w:t>实际控制人</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高级管理人员承诺</w:t>
      </w:r>
      <w:r>
        <w:rPr>
          <w:rFonts w:hint="eastAsia" w:ascii="宋体" w:hAnsi="宋体" w:eastAsia="宋体" w:cs="宋体"/>
          <w:sz w:val="12"/>
        </w:rPr>
        <w:t>：</w:t>
      </w:r>
      <w:r>
        <w:rPr>
          <w:rFonts w:hint="eastAsia" w:ascii="宋体" w:hAnsi="宋体" w:eastAsia="宋体" w:cs="宋体"/>
          <w:sz w:val="24"/>
        </w:rPr>
        <w:t>发行人招股说明书有虚假记载</w:t>
      </w:r>
      <w:r>
        <w:rPr>
          <w:rFonts w:hint="eastAsia" w:ascii="宋体" w:hAnsi="宋体" w:eastAsia="宋体" w:cs="宋体"/>
          <w:sz w:val="10"/>
        </w:rPr>
        <w:t>、</w:t>
      </w:r>
      <w:r>
        <w:rPr>
          <w:rFonts w:hint="eastAsia" w:ascii="宋体" w:hAnsi="宋体" w:eastAsia="宋体" w:cs="宋体"/>
          <w:sz w:val="24"/>
        </w:rPr>
        <w:t>误导性陈述或者重大遗漏</w:t>
      </w:r>
      <w:r>
        <w:rPr>
          <w:rFonts w:hint="eastAsia" w:ascii="宋体" w:hAnsi="宋体" w:eastAsia="宋体" w:cs="宋体"/>
          <w:sz w:val="10"/>
        </w:rPr>
        <w:t>，</w:t>
      </w:r>
      <w:r>
        <w:rPr>
          <w:rFonts w:hint="eastAsia" w:ascii="宋体" w:hAnsi="宋体" w:eastAsia="宋体" w:cs="宋体"/>
          <w:sz w:val="24"/>
        </w:rPr>
        <w:t>致使投资者在证券交易中遭受损失的</w:t>
      </w:r>
      <w:r>
        <w:rPr>
          <w:rFonts w:hint="eastAsia" w:ascii="宋体" w:hAnsi="宋体" w:eastAsia="宋体" w:cs="宋体"/>
          <w:sz w:val="10"/>
        </w:rPr>
        <w:t>，</w:t>
      </w:r>
      <w:r>
        <w:rPr>
          <w:rFonts w:hint="eastAsia" w:ascii="宋体" w:hAnsi="宋体" w:eastAsia="宋体" w:cs="宋体"/>
          <w:sz w:val="24"/>
        </w:rPr>
        <w:t>将依法赔偿投资者损失</w:t>
      </w:r>
      <w:r>
        <w:rPr>
          <w:rFonts w:hint="eastAsia" w:ascii="宋体" w:hAnsi="宋体" w:eastAsia="宋体" w:cs="宋体"/>
          <w:sz w:val="10"/>
        </w:rPr>
        <w:t>。</w:t>
      </w:r>
      <w:r>
        <w:rPr>
          <w:rFonts w:hint="eastAsia" w:ascii="宋体" w:hAnsi="宋体" w:eastAsia="宋体" w:cs="宋体"/>
          <w:sz w:val="24"/>
        </w:rPr>
        <w:t>公司将在上述违法事实被中国证监会</w:t>
      </w:r>
      <w:r>
        <w:rPr>
          <w:rFonts w:hint="eastAsia" w:ascii="宋体" w:hAnsi="宋体" w:eastAsia="宋体" w:cs="宋体"/>
          <w:sz w:val="10"/>
        </w:rPr>
        <w:t>、</w:t>
      </w:r>
      <w:r>
        <w:rPr>
          <w:rFonts w:hint="eastAsia" w:ascii="宋体" w:hAnsi="宋体" w:eastAsia="宋体" w:cs="宋体"/>
          <w:sz w:val="24"/>
        </w:rPr>
        <w:t>证券交易所或司法机关认定后</w:t>
      </w:r>
      <w:r>
        <w:rPr>
          <w:rFonts w:hint="eastAsia" w:ascii="宋体" w:hAnsi="宋体" w:eastAsia="宋体" w:cs="宋体"/>
          <w:sz w:val="10"/>
        </w:rPr>
        <w:t>，</w:t>
      </w:r>
      <w:r>
        <w:rPr>
          <w:rFonts w:hint="eastAsia" w:ascii="宋体" w:hAnsi="宋体" w:eastAsia="宋体" w:cs="宋体"/>
          <w:sz w:val="24"/>
        </w:rPr>
        <w:t>本着简化程序</w:t>
      </w:r>
      <w:r>
        <w:rPr>
          <w:rFonts w:hint="eastAsia" w:ascii="宋体" w:hAnsi="宋体" w:eastAsia="宋体" w:cs="宋体"/>
          <w:sz w:val="10"/>
        </w:rPr>
        <w:t>、</w:t>
      </w:r>
      <w:r>
        <w:rPr>
          <w:rFonts w:hint="eastAsia" w:ascii="宋体" w:hAnsi="宋体" w:eastAsia="宋体" w:cs="宋体"/>
          <w:sz w:val="24"/>
        </w:rPr>
        <w:t>积极协商</w:t>
      </w:r>
      <w:r>
        <w:rPr>
          <w:rFonts w:hint="eastAsia" w:ascii="宋体" w:hAnsi="宋体" w:eastAsia="宋体" w:cs="宋体"/>
          <w:sz w:val="10"/>
        </w:rPr>
        <w:t>、</w:t>
      </w:r>
      <w:r>
        <w:rPr>
          <w:rFonts w:hint="eastAsia" w:ascii="宋体" w:hAnsi="宋体" w:eastAsia="宋体" w:cs="宋体"/>
          <w:sz w:val="24"/>
        </w:rPr>
        <w:t>先行赔付</w:t>
      </w:r>
      <w:r>
        <w:rPr>
          <w:rFonts w:hint="eastAsia" w:ascii="宋体" w:hAnsi="宋体" w:eastAsia="宋体" w:cs="宋体"/>
          <w:sz w:val="10"/>
        </w:rPr>
        <w:t>、</w:t>
      </w:r>
      <w:r>
        <w:rPr>
          <w:rFonts w:hint="eastAsia" w:ascii="宋体" w:hAnsi="宋体" w:eastAsia="宋体" w:cs="宋体"/>
          <w:sz w:val="24"/>
        </w:rPr>
        <w:t>切实保障投资者特别是中小投资者利益的原则</w:t>
      </w:r>
      <w:r>
        <w:rPr>
          <w:rFonts w:hint="eastAsia" w:ascii="宋体" w:hAnsi="宋体" w:eastAsia="宋体" w:cs="宋体"/>
          <w:sz w:val="10"/>
        </w:rPr>
        <w:t>，</w:t>
      </w:r>
      <w:r>
        <w:rPr>
          <w:rFonts w:hint="eastAsia" w:ascii="宋体" w:hAnsi="宋体" w:eastAsia="宋体" w:cs="宋体"/>
          <w:sz w:val="24"/>
        </w:rPr>
        <w:t>按照投资者直接遭受的可测算的经济损失选择与投资者和解</w:t>
      </w:r>
      <w:r>
        <w:rPr>
          <w:rFonts w:hint="eastAsia" w:ascii="宋体" w:hAnsi="宋体" w:eastAsia="宋体" w:cs="宋体"/>
          <w:sz w:val="10"/>
        </w:rPr>
        <w:t>、</w:t>
      </w:r>
      <w:r>
        <w:rPr>
          <w:rFonts w:hint="eastAsia" w:ascii="宋体" w:hAnsi="宋体" w:eastAsia="宋体" w:cs="宋体"/>
          <w:sz w:val="24"/>
        </w:rPr>
        <w:t>通过第三方与投资者调解及设立投资者赔偿基金等方式积极赔偿投资者由此遭受的直接经济损失</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20" w:firstLine="480"/>
        <w:jc w:val="both"/>
      </w:pPr>
      <w:r>
        <w:rPr>
          <w:rFonts w:hint="eastAsia" w:ascii="宋体" w:hAnsi="宋体" w:eastAsia="宋体" w:cs="宋体"/>
          <w:sz w:val="24"/>
        </w:rPr>
        <w:t>本公司本次</w:t>
      </w:r>
      <w:r>
        <w:rPr>
          <w:rFonts w:hint="eastAsia" w:ascii="Times New Roman" w:hAnsi="Times New Roman" w:eastAsia="Times New Roman" w:cs="Times New Roman"/>
          <w:sz w:val="24"/>
        </w:rPr>
        <w:t xml:space="preserve"> IPO</w:t>
      </w:r>
      <w:r>
        <w:rPr>
          <w:rFonts w:hint="eastAsia" w:ascii="宋体" w:hAnsi="宋体" w:eastAsia="宋体" w:cs="宋体"/>
          <w:sz w:val="24"/>
        </w:rPr>
        <w:t xml:space="preserve"> 聘请的保荐机构东方花旗证券有限公司承诺</w:t>
      </w:r>
      <w:r>
        <w:rPr>
          <w:rFonts w:hint="eastAsia" w:ascii="宋体" w:hAnsi="宋体" w:eastAsia="宋体" w:cs="宋体"/>
          <w:sz w:val="10"/>
        </w:rPr>
        <w:t>：</w:t>
      </w:r>
      <w:r>
        <w:rPr>
          <w:rFonts w:hint="eastAsia" w:ascii="宋体" w:hAnsi="宋体" w:eastAsia="宋体" w:cs="宋体"/>
          <w:sz w:val="24"/>
        </w:rPr>
        <w:t>因东方花旗为发行人首次公开发行制作</w:t>
      </w:r>
      <w:r>
        <w:rPr>
          <w:rFonts w:hint="eastAsia" w:ascii="宋体" w:hAnsi="宋体" w:eastAsia="宋体" w:cs="宋体"/>
          <w:sz w:val="10"/>
        </w:rPr>
        <w:t>、</w:t>
      </w:r>
      <w:r>
        <w:rPr>
          <w:rFonts w:hint="eastAsia" w:ascii="宋体" w:hAnsi="宋体" w:eastAsia="宋体" w:cs="宋体"/>
          <w:sz w:val="24"/>
        </w:rPr>
        <w:t>出具的文件有虚假记载</w:t>
      </w:r>
      <w:r>
        <w:rPr>
          <w:rFonts w:hint="eastAsia" w:ascii="宋体" w:hAnsi="宋体" w:eastAsia="宋体" w:cs="宋体"/>
          <w:sz w:val="10"/>
        </w:rPr>
        <w:t>、</w:t>
      </w:r>
      <w:r>
        <w:rPr>
          <w:rFonts w:hint="eastAsia" w:ascii="宋体" w:hAnsi="宋体" w:eastAsia="宋体" w:cs="宋体"/>
          <w:sz w:val="24"/>
        </w:rPr>
        <w:t>误导性陈述或者重大遗漏</w:t>
      </w:r>
      <w:r>
        <w:rPr>
          <w:rFonts w:hint="eastAsia" w:ascii="宋体" w:hAnsi="宋体" w:eastAsia="宋体" w:cs="宋体"/>
          <w:sz w:val="10"/>
        </w:rPr>
        <w:t>，</w:t>
      </w:r>
      <w:r>
        <w:rPr>
          <w:rFonts w:hint="eastAsia" w:ascii="宋体" w:hAnsi="宋体" w:eastAsia="宋体" w:cs="宋体"/>
          <w:sz w:val="24"/>
        </w:rPr>
        <w:t>给投资者造成损失的</w:t>
      </w:r>
      <w:r>
        <w:rPr>
          <w:rFonts w:hint="eastAsia" w:ascii="宋体" w:hAnsi="宋体" w:eastAsia="宋体" w:cs="宋体"/>
          <w:sz w:val="10"/>
        </w:rPr>
        <w:t>，</w:t>
      </w:r>
      <w:r>
        <w:rPr>
          <w:rFonts w:hint="eastAsia" w:ascii="宋体" w:hAnsi="宋体" w:eastAsia="宋体" w:cs="宋体"/>
          <w:sz w:val="24"/>
        </w:rPr>
        <w:t>本公司将依法赔偿投资者损失</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本公司本次</w:t>
      </w:r>
      <w:r>
        <w:rPr>
          <w:rFonts w:hint="eastAsia" w:ascii="Times New Roman" w:hAnsi="Times New Roman" w:eastAsia="Times New Roman" w:cs="Times New Roman"/>
          <w:sz w:val="24"/>
        </w:rPr>
        <w:t xml:space="preserve"> IPO</w:t>
      </w:r>
      <w:r>
        <w:rPr>
          <w:rFonts w:hint="eastAsia" w:ascii="宋体" w:hAnsi="宋体" w:eastAsia="宋体" w:cs="宋体"/>
          <w:sz w:val="24"/>
        </w:rPr>
        <w:t xml:space="preserve"> 聘请的会计师事务所致同会计师事务所（特殊普通合伙）承诺</w:t>
      </w:r>
      <w:r>
        <w:rPr>
          <w:rFonts w:hint="eastAsia" w:ascii="宋体" w:hAnsi="宋体" w:eastAsia="宋体" w:cs="宋体"/>
          <w:sz w:val="12"/>
        </w:rPr>
        <w:t>：</w:t>
      </w:r>
      <w:r>
        <w:rPr>
          <w:rFonts w:hint="eastAsia" w:ascii="宋体" w:hAnsi="宋体" w:eastAsia="宋体" w:cs="宋体"/>
          <w:sz w:val="24"/>
        </w:rPr>
        <w:t>根据《证券法》等法律</w:t>
      </w:r>
      <w:r>
        <w:rPr>
          <w:rFonts w:hint="eastAsia" w:ascii="宋体" w:hAnsi="宋体" w:eastAsia="宋体" w:cs="宋体"/>
          <w:sz w:val="10"/>
        </w:rPr>
        <w:t>、</w:t>
      </w:r>
      <w:r>
        <w:rPr>
          <w:rFonts w:hint="eastAsia" w:ascii="宋体" w:hAnsi="宋体" w:eastAsia="宋体" w:cs="宋体"/>
          <w:sz w:val="24"/>
        </w:rPr>
        <w:t>法规和中国证监会的有关规定</w:t>
      </w:r>
      <w:r>
        <w:rPr>
          <w:rFonts w:hint="eastAsia" w:ascii="宋体" w:hAnsi="宋体" w:eastAsia="宋体" w:cs="宋体"/>
          <w:sz w:val="10"/>
        </w:rPr>
        <w:t>，</w:t>
      </w:r>
      <w:r>
        <w:rPr>
          <w:rFonts w:hint="eastAsia" w:ascii="宋体" w:hAnsi="宋体" w:eastAsia="宋体" w:cs="宋体"/>
          <w:sz w:val="24"/>
        </w:rPr>
        <w:t>按照中国注册会计师执业准则和中国注册会计师职业道德守则的要求</w:t>
      </w:r>
      <w:r>
        <w:rPr>
          <w:rFonts w:hint="eastAsia" w:ascii="宋体" w:hAnsi="宋体" w:eastAsia="宋体" w:cs="宋体"/>
          <w:sz w:val="10"/>
        </w:rPr>
        <w:t>，</w:t>
      </w:r>
      <w:r>
        <w:rPr>
          <w:rFonts w:hint="eastAsia" w:ascii="宋体" w:hAnsi="宋体" w:eastAsia="宋体" w:cs="宋体"/>
          <w:sz w:val="24"/>
        </w:rPr>
        <w:t>致同会计师事务所（特殊普通合伙）（以下简称</w:t>
      </w:r>
      <w:r>
        <w:rPr>
          <w:rFonts w:hint="eastAsia" w:ascii="宋体" w:hAnsi="宋体" w:eastAsia="宋体" w:cs="宋体"/>
          <w:sz w:val="10"/>
        </w:rPr>
        <w:t>“</w:t>
      </w:r>
      <w:r>
        <w:rPr>
          <w:rFonts w:hint="eastAsia" w:ascii="宋体" w:hAnsi="宋体" w:eastAsia="宋体" w:cs="宋体"/>
          <w:sz w:val="24"/>
        </w:rPr>
        <w:t>致同</w:t>
      </w:r>
      <w:r>
        <w:rPr>
          <w:rFonts w:hint="eastAsia" w:ascii="宋体" w:hAnsi="宋体" w:eastAsia="宋体" w:cs="宋体"/>
          <w:sz w:val="10"/>
        </w:rPr>
        <w:t>”）</w:t>
      </w:r>
      <w:r>
        <w:rPr>
          <w:rFonts w:hint="eastAsia" w:ascii="宋体" w:hAnsi="宋体" w:eastAsia="宋体" w:cs="宋体"/>
          <w:sz w:val="24"/>
        </w:rPr>
        <w:t>为福建顶点软件股份有限公司（以下简称</w:t>
      </w:r>
      <w:r>
        <w:rPr>
          <w:rFonts w:hint="eastAsia" w:ascii="宋体" w:hAnsi="宋体" w:eastAsia="宋体" w:cs="宋体"/>
          <w:sz w:val="10"/>
        </w:rPr>
        <w:t>“</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申请首次公开发行股票并上市依法出具相关文件</w:t>
      </w:r>
      <w:r>
        <w:rPr>
          <w:rFonts w:hint="eastAsia" w:ascii="宋体" w:hAnsi="宋体" w:eastAsia="宋体" w:cs="宋体"/>
          <w:sz w:val="10"/>
        </w:rPr>
        <w:t>，</w:t>
      </w:r>
      <w:r>
        <w:rPr>
          <w:rFonts w:hint="eastAsia" w:ascii="宋体" w:hAnsi="宋体" w:eastAsia="宋体" w:cs="宋体"/>
          <w:sz w:val="24"/>
        </w:rPr>
        <w:t>致同保证所出具文件的真实性</w:t>
      </w:r>
      <w:r>
        <w:rPr>
          <w:rFonts w:hint="eastAsia" w:ascii="宋体" w:hAnsi="宋体" w:eastAsia="宋体" w:cs="宋体"/>
          <w:sz w:val="10"/>
        </w:rPr>
        <w:t>、</w:t>
      </w:r>
      <w:r>
        <w:rPr>
          <w:rFonts w:hint="eastAsia" w:ascii="宋体" w:hAnsi="宋体" w:eastAsia="宋体" w:cs="宋体"/>
          <w:sz w:val="24"/>
        </w:rPr>
        <w:t>准确性和完整性</w:t>
      </w:r>
      <w:r>
        <w:rPr>
          <w:rFonts w:hint="eastAsia" w:ascii="宋体" w:hAnsi="宋体" w:eastAsia="宋体" w:cs="宋体"/>
          <w:sz w:val="10"/>
        </w:rPr>
        <w:t>。</w:t>
      </w:r>
      <w:r>
        <w:rPr>
          <w:rFonts w:hint="eastAsia" w:ascii="宋体" w:hAnsi="宋体" w:eastAsia="宋体" w:cs="宋体"/>
          <w:sz w:val="24"/>
        </w:rPr>
        <w:t>因致同为发行人首次公开发行制作</w:t>
      </w:r>
      <w:r>
        <w:rPr>
          <w:rFonts w:hint="eastAsia" w:ascii="宋体" w:hAnsi="宋体" w:eastAsia="宋体" w:cs="宋体"/>
          <w:sz w:val="10"/>
        </w:rPr>
        <w:t>、</w:t>
      </w:r>
      <w:r>
        <w:rPr>
          <w:rFonts w:hint="eastAsia" w:ascii="宋体" w:hAnsi="宋体" w:eastAsia="宋体" w:cs="宋体"/>
          <w:sz w:val="24"/>
        </w:rPr>
        <w:t>出具的文件有虚假记载</w:t>
      </w:r>
      <w:r>
        <w:rPr>
          <w:rFonts w:hint="eastAsia" w:ascii="宋体" w:hAnsi="宋体" w:eastAsia="宋体" w:cs="宋体"/>
          <w:sz w:val="10"/>
        </w:rPr>
        <w:t>、</w:t>
      </w:r>
      <w:r>
        <w:rPr>
          <w:rFonts w:hint="eastAsia" w:ascii="宋体" w:hAnsi="宋体" w:eastAsia="宋体" w:cs="宋体"/>
          <w:sz w:val="24"/>
        </w:rPr>
        <w:t>误导性陈述或者重大遗漏</w:t>
      </w:r>
      <w:r>
        <w:rPr>
          <w:rFonts w:hint="eastAsia" w:ascii="宋体" w:hAnsi="宋体" w:eastAsia="宋体" w:cs="宋体"/>
          <w:sz w:val="10"/>
        </w:rPr>
        <w:t>，</w:t>
      </w:r>
      <w:r>
        <w:rPr>
          <w:rFonts w:hint="eastAsia" w:ascii="宋体" w:hAnsi="宋体" w:eastAsia="宋体" w:cs="宋体"/>
          <w:sz w:val="24"/>
        </w:rPr>
        <w:t>给投资者造成损失的</w:t>
      </w:r>
      <w:r>
        <w:rPr>
          <w:rFonts w:hint="eastAsia" w:ascii="宋体" w:hAnsi="宋体" w:eastAsia="宋体" w:cs="宋体"/>
          <w:sz w:val="10"/>
        </w:rPr>
        <w:t>，</w:t>
      </w:r>
      <w:r>
        <w:rPr>
          <w:rFonts w:hint="eastAsia" w:ascii="宋体" w:hAnsi="宋体" w:eastAsia="宋体" w:cs="宋体"/>
          <w:sz w:val="24"/>
        </w:rPr>
        <w:t>在该等违法事实被认定后</w:t>
      </w:r>
      <w:r>
        <w:rPr>
          <w:rFonts w:hint="eastAsia" w:ascii="宋体" w:hAnsi="宋体" w:eastAsia="宋体" w:cs="宋体"/>
          <w:sz w:val="10"/>
        </w:rPr>
        <w:t>，</w:t>
      </w:r>
      <w:r>
        <w:rPr>
          <w:rFonts w:hint="eastAsia" w:ascii="宋体" w:hAnsi="宋体" w:eastAsia="宋体" w:cs="宋体"/>
          <w:sz w:val="24"/>
        </w:rPr>
        <w:t>将依法赔偿投资者损失</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本公司本次</w:t>
      </w:r>
      <w:r>
        <w:rPr>
          <w:rFonts w:hint="eastAsia" w:ascii="Times New Roman" w:hAnsi="Times New Roman" w:eastAsia="Times New Roman" w:cs="Times New Roman"/>
          <w:sz w:val="24"/>
        </w:rPr>
        <w:t xml:space="preserve"> IPO</w:t>
      </w:r>
      <w:r>
        <w:rPr>
          <w:rFonts w:hint="eastAsia" w:ascii="宋体" w:hAnsi="宋体" w:eastAsia="宋体" w:cs="宋体"/>
          <w:sz w:val="24"/>
        </w:rPr>
        <w:t xml:space="preserve"> 聘请的律师事务所国浩律师（上海）事务所承诺</w:t>
      </w:r>
      <w:r>
        <w:rPr>
          <w:rFonts w:hint="eastAsia" w:ascii="宋体" w:hAnsi="宋体" w:eastAsia="宋体" w:cs="宋体"/>
          <w:sz w:val="10"/>
        </w:rPr>
        <w:t>：</w:t>
      </w:r>
      <w:r>
        <w:rPr>
          <w:rFonts w:hint="eastAsia" w:ascii="宋体" w:hAnsi="宋体" w:eastAsia="宋体" w:cs="宋体"/>
          <w:sz w:val="24"/>
        </w:rPr>
        <w:t>国浩律师（上海）事务所作为福建顶点软件股份有限公司首次公开发行并上市聘请的律师事务所</w:t>
      </w:r>
      <w:r>
        <w:rPr>
          <w:rFonts w:hint="eastAsia" w:ascii="宋体" w:hAnsi="宋体" w:eastAsia="宋体" w:cs="宋体"/>
          <w:sz w:val="10"/>
        </w:rPr>
        <w:t>，</w:t>
      </w:r>
      <w:r>
        <w:rPr>
          <w:rFonts w:hint="eastAsia" w:ascii="宋体" w:hAnsi="宋体" w:eastAsia="宋体" w:cs="宋体"/>
          <w:sz w:val="24"/>
        </w:rPr>
        <w:t>在本次发行工作期间如因未勤勉尽责</w:t>
      </w:r>
      <w:r>
        <w:rPr>
          <w:rFonts w:hint="eastAsia" w:ascii="宋体" w:hAnsi="宋体" w:eastAsia="宋体" w:cs="宋体"/>
          <w:sz w:val="10"/>
        </w:rPr>
        <w:t>，</w:t>
      </w:r>
      <w:r>
        <w:rPr>
          <w:rFonts w:hint="eastAsia" w:ascii="宋体" w:hAnsi="宋体" w:eastAsia="宋体" w:cs="宋体"/>
          <w:sz w:val="24"/>
        </w:rPr>
        <w:t>导致制作</w:t>
      </w:r>
      <w:r>
        <w:rPr>
          <w:rFonts w:hint="eastAsia" w:ascii="宋体" w:hAnsi="宋体" w:eastAsia="宋体" w:cs="宋体"/>
          <w:sz w:val="10"/>
        </w:rPr>
        <w:t>、</w:t>
      </w:r>
      <w:r>
        <w:rPr>
          <w:rFonts w:hint="eastAsia" w:ascii="宋体" w:hAnsi="宋体" w:eastAsia="宋体" w:cs="宋体"/>
          <w:sz w:val="24"/>
        </w:rPr>
        <w:t>出具的文件对重大事件作出违背事实真相的虚假记载</w:t>
      </w:r>
      <w:r>
        <w:rPr>
          <w:rFonts w:hint="eastAsia" w:ascii="宋体" w:hAnsi="宋体" w:eastAsia="宋体" w:cs="宋体"/>
          <w:sz w:val="10"/>
        </w:rPr>
        <w:t>、</w:t>
      </w:r>
      <w:r>
        <w:rPr>
          <w:rFonts w:hint="eastAsia" w:ascii="宋体" w:hAnsi="宋体" w:eastAsia="宋体" w:cs="宋体"/>
          <w:sz w:val="24"/>
        </w:rPr>
        <w:t>误导性陈述</w:t>
      </w:r>
      <w:r>
        <w:rPr>
          <w:rFonts w:hint="eastAsia" w:ascii="宋体" w:hAnsi="宋体" w:eastAsia="宋体" w:cs="宋体"/>
          <w:sz w:val="10"/>
        </w:rPr>
        <w:t>，</w:t>
      </w:r>
      <w:r>
        <w:rPr>
          <w:rFonts w:hint="eastAsia" w:ascii="宋体" w:hAnsi="宋体" w:eastAsia="宋体" w:cs="宋体"/>
          <w:sz w:val="24"/>
        </w:rPr>
        <w:t>或在披露信息时发生重大遗漏</w:t>
      </w:r>
      <w:r>
        <w:rPr>
          <w:rFonts w:hint="eastAsia" w:ascii="宋体" w:hAnsi="宋体" w:eastAsia="宋体" w:cs="宋体"/>
          <w:sz w:val="10"/>
        </w:rPr>
        <w:t>，</w:t>
      </w:r>
      <w:r>
        <w:rPr>
          <w:rFonts w:hint="eastAsia" w:ascii="宋体" w:hAnsi="宋体" w:eastAsia="宋体" w:cs="宋体"/>
          <w:sz w:val="24"/>
        </w:rPr>
        <w:t>导致发行人不符合法律规定的发行条件</w:t>
      </w:r>
      <w:r>
        <w:rPr>
          <w:rFonts w:hint="eastAsia" w:ascii="宋体" w:hAnsi="宋体" w:eastAsia="宋体" w:cs="宋体"/>
          <w:sz w:val="10"/>
        </w:rPr>
        <w:t>，</w:t>
      </w:r>
      <w:r>
        <w:rPr>
          <w:rFonts w:hint="eastAsia" w:ascii="宋体" w:hAnsi="宋体" w:eastAsia="宋体" w:cs="宋体"/>
          <w:sz w:val="24"/>
        </w:rPr>
        <w:t>造成投资者直接经济损失的</w:t>
      </w:r>
      <w:r>
        <w:rPr>
          <w:rFonts w:hint="eastAsia" w:ascii="宋体" w:hAnsi="宋体" w:eastAsia="宋体" w:cs="宋体"/>
          <w:sz w:val="10"/>
        </w:rPr>
        <w:t>，</w:t>
      </w:r>
      <w:r>
        <w:rPr>
          <w:rFonts w:hint="eastAsia" w:ascii="宋体" w:hAnsi="宋体" w:eastAsia="宋体" w:cs="宋体"/>
          <w:sz w:val="24"/>
        </w:rPr>
        <w:t>在该等违</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720"/>
        <w:jc w:val="both"/>
      </w:pPr>
      <w:r>
        <w:rPr>
          <w:rFonts w:hint="eastAsia" w:ascii="Times New Roman" w:hAnsi="Times New Roman" w:eastAsia="Times New Roman" w:cs="Times New Roman"/>
          <w:sz w:val="21"/>
        </w:rPr>
        <w:t>1-1-9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780" w:right="1600"/>
        <w:jc w:val="both"/>
      </w:pPr>
      <w:r>
        <w:rPr>
          <w:rFonts w:hint="eastAsia" w:ascii="宋体" w:hAnsi="宋体" w:eastAsia="宋体" w:cs="宋体"/>
          <w:sz w:val="24"/>
        </w:rPr>
        <w:t>法事实被中国证监会</w:t>
      </w:r>
      <w:r>
        <w:rPr>
          <w:rFonts w:hint="eastAsia" w:ascii="宋体" w:hAnsi="宋体" w:eastAsia="宋体" w:cs="宋体"/>
          <w:sz w:val="10"/>
        </w:rPr>
        <w:t>、</w:t>
      </w:r>
      <w:r>
        <w:rPr>
          <w:rFonts w:hint="eastAsia" w:ascii="宋体" w:hAnsi="宋体" w:eastAsia="宋体" w:cs="宋体"/>
          <w:sz w:val="24"/>
        </w:rPr>
        <w:t>证券交易所或司法机关认定后</w:t>
      </w:r>
      <w:r>
        <w:rPr>
          <w:rFonts w:hint="eastAsia" w:ascii="宋体" w:hAnsi="宋体" w:eastAsia="宋体" w:cs="宋体"/>
          <w:sz w:val="10"/>
        </w:rPr>
        <w:t>，</w:t>
      </w:r>
      <w:r>
        <w:rPr>
          <w:rFonts w:hint="eastAsia" w:ascii="宋体" w:hAnsi="宋体" w:eastAsia="宋体" w:cs="宋体"/>
          <w:sz w:val="24"/>
        </w:rPr>
        <w:t>国浩律师（上海）事务所将本着积极协商</w:t>
      </w:r>
      <w:r>
        <w:rPr>
          <w:rFonts w:hint="eastAsia" w:ascii="宋体" w:hAnsi="宋体" w:eastAsia="宋体" w:cs="宋体"/>
          <w:sz w:val="10"/>
        </w:rPr>
        <w:t>、</w:t>
      </w:r>
      <w:r>
        <w:rPr>
          <w:rFonts w:hint="eastAsia" w:ascii="宋体" w:hAnsi="宋体" w:eastAsia="宋体" w:cs="宋体"/>
          <w:sz w:val="24"/>
        </w:rPr>
        <w:t>切实保障投资者特别是中小投资者利益的原则</w:t>
      </w:r>
      <w:r>
        <w:rPr>
          <w:rFonts w:hint="eastAsia" w:ascii="宋体" w:hAnsi="宋体" w:eastAsia="宋体" w:cs="宋体"/>
          <w:sz w:val="10"/>
        </w:rPr>
        <w:t>，</w:t>
      </w:r>
      <w:r>
        <w:rPr>
          <w:rFonts w:hint="eastAsia" w:ascii="宋体" w:hAnsi="宋体" w:eastAsia="宋体" w:cs="宋体"/>
          <w:sz w:val="24"/>
        </w:rPr>
        <w:t>与发行人及其他过错方一起对投资者直接遭受的</w:t>
      </w:r>
      <w:r>
        <w:rPr>
          <w:rFonts w:hint="eastAsia" w:ascii="宋体" w:hAnsi="宋体" w:eastAsia="宋体" w:cs="宋体"/>
          <w:sz w:val="10"/>
        </w:rPr>
        <w:t>、</w:t>
      </w:r>
      <w:r>
        <w:rPr>
          <w:rFonts w:hint="eastAsia" w:ascii="宋体" w:hAnsi="宋体" w:eastAsia="宋体" w:cs="宋体"/>
          <w:sz w:val="24"/>
        </w:rPr>
        <w:t>可测算的经济损失</w:t>
      </w:r>
      <w:r>
        <w:rPr>
          <w:rFonts w:hint="eastAsia" w:ascii="宋体" w:hAnsi="宋体" w:eastAsia="宋体" w:cs="宋体"/>
          <w:sz w:val="10"/>
        </w:rPr>
        <w:t>，</w:t>
      </w:r>
      <w:r>
        <w:rPr>
          <w:rFonts w:hint="eastAsia" w:ascii="宋体" w:hAnsi="宋体" w:eastAsia="宋体" w:cs="宋体"/>
          <w:sz w:val="24"/>
        </w:rPr>
        <w:t>选择与投资者和解</w:t>
      </w:r>
      <w:r>
        <w:rPr>
          <w:rFonts w:hint="eastAsia" w:ascii="宋体" w:hAnsi="宋体" w:eastAsia="宋体" w:cs="宋体"/>
          <w:sz w:val="10"/>
        </w:rPr>
        <w:t>、</w:t>
      </w:r>
      <w:r>
        <w:rPr>
          <w:rFonts w:hint="eastAsia" w:ascii="宋体" w:hAnsi="宋体" w:eastAsia="宋体" w:cs="宋体"/>
          <w:sz w:val="24"/>
        </w:rPr>
        <w:t>通过第三方与投资者调解及设立投资者赔偿基金等方式进行赔偿</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780"/>
        <w:jc w:val="both"/>
      </w:pPr>
      <w:r>
        <w:rPr>
          <w:rFonts w:hint="eastAsia" w:ascii="ºÚÌå" w:hAnsi="ºÚÌå" w:eastAsia="ºÚÌå" w:cs="ºÚÌå"/>
          <w:sz w:val="30"/>
        </w:rPr>
        <w:t>五</w:t>
      </w:r>
      <w:r>
        <w:rPr>
          <w:rFonts w:hint="eastAsia" w:ascii="ºÚÌå" w:hAnsi="ºÚÌå" w:eastAsia="ºÚÌå" w:cs="ºÚÌå"/>
          <w:sz w:val="10"/>
        </w:rPr>
        <w:t>、</w:t>
      </w:r>
      <w:r>
        <w:rPr>
          <w:rFonts w:hint="eastAsia" w:ascii="ºÚÌå" w:hAnsi="ºÚÌå" w:eastAsia="ºÚÌå" w:cs="ºÚÌå"/>
          <w:sz w:val="30"/>
        </w:rPr>
        <w:t>承诺主体未能履行承诺的约束措施</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780" w:right="1600" w:firstLine="480"/>
        <w:jc w:val="both"/>
      </w:pPr>
      <w:r>
        <w:rPr>
          <w:rFonts w:hint="eastAsia" w:ascii="宋体" w:hAnsi="宋体" w:eastAsia="宋体" w:cs="宋体"/>
          <w:sz w:val="24"/>
        </w:rPr>
        <w:t>若本公司及本公司控股股东等承诺责任主体未能履行上述承诺及其他涉及本次首次公开发行有关承诺</w:t>
      </w:r>
      <w:r>
        <w:rPr>
          <w:rFonts w:hint="eastAsia" w:ascii="宋体" w:hAnsi="宋体" w:eastAsia="宋体" w:cs="宋体"/>
          <w:sz w:val="10"/>
        </w:rPr>
        <w:t>，</w:t>
      </w:r>
      <w:r>
        <w:rPr>
          <w:rFonts w:hint="eastAsia" w:ascii="宋体" w:hAnsi="宋体" w:eastAsia="宋体" w:cs="宋体"/>
          <w:sz w:val="24"/>
        </w:rPr>
        <w:t>则其应按有关法律</w:t>
      </w:r>
      <w:r>
        <w:rPr>
          <w:rFonts w:hint="eastAsia" w:ascii="宋体" w:hAnsi="宋体" w:eastAsia="宋体" w:cs="宋体"/>
          <w:sz w:val="10"/>
        </w:rPr>
        <w:t>、</w:t>
      </w:r>
      <w:r>
        <w:rPr>
          <w:rFonts w:hint="eastAsia" w:ascii="宋体" w:hAnsi="宋体" w:eastAsia="宋体" w:cs="宋体"/>
          <w:sz w:val="24"/>
        </w:rPr>
        <w:t>法规的规定及监管部门的要求承担相应的责任</w:t>
      </w:r>
      <w:r>
        <w:rPr>
          <w:rFonts w:hint="eastAsia" w:ascii="宋体" w:hAnsi="宋体" w:eastAsia="宋体" w:cs="宋体"/>
          <w:sz w:val="10"/>
        </w:rPr>
        <w:t>。</w:t>
      </w:r>
      <w:r>
        <w:rPr>
          <w:rFonts w:hint="eastAsia" w:ascii="宋体" w:hAnsi="宋体" w:eastAsia="宋体" w:cs="宋体"/>
          <w:sz w:val="24"/>
        </w:rPr>
        <w:t>为保证承诺主体严格履行其承诺事项</w:t>
      </w:r>
      <w:r>
        <w:rPr>
          <w:rFonts w:hint="eastAsia" w:ascii="宋体" w:hAnsi="宋体" w:eastAsia="宋体" w:cs="宋体"/>
          <w:sz w:val="10"/>
        </w:rPr>
        <w:t>，</w:t>
      </w:r>
      <w:r>
        <w:rPr>
          <w:rFonts w:hint="eastAsia" w:ascii="宋体" w:hAnsi="宋体" w:eastAsia="宋体" w:cs="宋体"/>
          <w:sz w:val="24"/>
        </w:rPr>
        <w:t>相关约束措施如下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1780"/>
        <w:jc w:val="both"/>
      </w:pPr>
      <w:r>
        <w:rPr>
          <w:rFonts w:hint="eastAsia" w:ascii="宋体" w:hAnsi="宋体" w:eastAsia="宋体" w:cs="宋体"/>
          <w:b/>
          <w:sz w:val="24"/>
        </w:rPr>
        <w:t>（一）本公司的保障措施</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如若未能履行招股说明书中列明的承诺</w:t>
      </w:r>
      <w:r>
        <w:rPr>
          <w:rFonts w:hint="eastAsia" w:ascii="宋体" w:hAnsi="宋体" w:eastAsia="宋体" w:cs="宋体"/>
          <w:sz w:val="10"/>
        </w:rPr>
        <w:t>，</w:t>
      </w:r>
      <w:r>
        <w:rPr>
          <w:rFonts w:hint="eastAsia" w:ascii="宋体" w:hAnsi="宋体" w:eastAsia="宋体" w:cs="宋体"/>
          <w:sz w:val="24"/>
        </w:rPr>
        <w:t>本公司应立即采取措施消除违反承诺事项</w:t>
      </w:r>
      <w:r>
        <w:rPr>
          <w:rFonts w:hint="eastAsia" w:ascii="宋体" w:hAnsi="宋体" w:eastAsia="宋体" w:cs="宋体"/>
          <w:sz w:val="10"/>
        </w:rPr>
        <w:t>，</w:t>
      </w:r>
      <w:r>
        <w:rPr>
          <w:rFonts w:hint="eastAsia" w:ascii="宋体" w:hAnsi="宋体" w:eastAsia="宋体" w:cs="宋体"/>
          <w:sz w:val="24"/>
        </w:rPr>
        <w:t>并严格执行本公司董事会决定采取的其他措施</w:t>
      </w:r>
      <w:r>
        <w:rPr>
          <w:rFonts w:hint="eastAsia" w:ascii="宋体" w:hAnsi="宋体" w:eastAsia="宋体" w:cs="宋体"/>
          <w:sz w:val="14"/>
        </w:rPr>
        <w:t>；</w:t>
      </w:r>
      <w:r>
        <w:rPr>
          <w:rFonts w:hint="eastAsia" w:ascii="宋体" w:hAnsi="宋体" w:eastAsia="宋体" w:cs="宋体"/>
          <w:sz w:val="24"/>
        </w:rPr>
        <w:t>因未能履行承诺致使投资者遭受损失的</w:t>
      </w:r>
      <w:r>
        <w:rPr>
          <w:rFonts w:hint="eastAsia" w:ascii="宋体" w:hAnsi="宋体" w:eastAsia="宋体" w:cs="宋体"/>
          <w:sz w:val="10"/>
        </w:rPr>
        <w:t>，</w:t>
      </w:r>
      <w:r>
        <w:rPr>
          <w:rFonts w:hint="eastAsia" w:ascii="宋体" w:hAnsi="宋体" w:eastAsia="宋体" w:cs="宋体"/>
          <w:sz w:val="24"/>
        </w:rPr>
        <w:t>本公司将依法赔偿投资者损失</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780"/>
        <w:jc w:val="both"/>
      </w:pPr>
      <w:r>
        <w:rPr>
          <w:rFonts w:hint="eastAsia" w:ascii="宋体" w:hAnsi="宋体" w:eastAsia="宋体" w:cs="宋体"/>
          <w:b/>
          <w:sz w:val="24"/>
        </w:rPr>
        <w:t>（二）本公司股东的保障措施</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如若未能履行招股说明书中列明的承诺</w:t>
      </w:r>
      <w:r>
        <w:rPr>
          <w:rFonts w:hint="eastAsia" w:ascii="宋体" w:hAnsi="宋体" w:eastAsia="宋体" w:cs="宋体"/>
          <w:sz w:val="10"/>
        </w:rPr>
        <w:t>，</w:t>
      </w:r>
      <w:r>
        <w:rPr>
          <w:rFonts w:hint="eastAsia" w:ascii="宋体" w:hAnsi="宋体" w:eastAsia="宋体" w:cs="宋体"/>
          <w:sz w:val="24"/>
        </w:rPr>
        <w:t>相关股东应立即采取措施消除违反承诺事项</w:t>
      </w:r>
      <w:r>
        <w:rPr>
          <w:rFonts w:hint="eastAsia" w:ascii="宋体" w:hAnsi="宋体" w:eastAsia="宋体" w:cs="宋体"/>
          <w:sz w:val="10"/>
        </w:rPr>
        <w:t>，</w:t>
      </w:r>
      <w:r>
        <w:rPr>
          <w:rFonts w:hint="eastAsia" w:ascii="宋体" w:hAnsi="宋体" w:eastAsia="宋体" w:cs="宋体"/>
          <w:sz w:val="24"/>
        </w:rPr>
        <w:t>并严格执行发行人董事会决定采取的其他措施</w:t>
      </w:r>
      <w:r>
        <w:rPr>
          <w:rFonts w:hint="eastAsia" w:ascii="宋体" w:hAnsi="宋体" w:eastAsia="宋体" w:cs="宋体"/>
          <w:sz w:val="14"/>
        </w:rPr>
        <w:t>；</w:t>
      </w:r>
      <w:r>
        <w:rPr>
          <w:rFonts w:hint="eastAsia" w:ascii="宋体" w:hAnsi="宋体" w:eastAsia="宋体" w:cs="宋体"/>
          <w:sz w:val="24"/>
        </w:rPr>
        <w:t>在消除相关违反承诺事项前</w:t>
      </w:r>
      <w:r>
        <w:rPr>
          <w:rFonts w:hint="eastAsia" w:ascii="宋体" w:hAnsi="宋体" w:eastAsia="宋体" w:cs="宋体"/>
          <w:sz w:val="10"/>
        </w:rPr>
        <w:t>，</w:t>
      </w:r>
      <w:r>
        <w:rPr>
          <w:rFonts w:hint="eastAsia" w:ascii="宋体" w:hAnsi="宋体" w:eastAsia="宋体" w:cs="宋体"/>
          <w:sz w:val="24"/>
        </w:rPr>
        <w:t>其持有的发行人尚未转让股份不申请解锁和转让</w:t>
      </w:r>
      <w:r>
        <w:rPr>
          <w:rFonts w:hint="eastAsia" w:ascii="宋体" w:hAnsi="宋体" w:eastAsia="宋体" w:cs="宋体"/>
          <w:sz w:val="12"/>
        </w:rPr>
        <w:t>；</w:t>
      </w:r>
      <w:r>
        <w:rPr>
          <w:rFonts w:hint="eastAsia" w:ascii="宋体" w:hAnsi="宋体" w:eastAsia="宋体" w:cs="宋体"/>
          <w:sz w:val="24"/>
        </w:rPr>
        <w:t>发行人足额截留其应分得的现金分红履行相关承诺</w:t>
      </w:r>
      <w:r>
        <w:rPr>
          <w:rFonts w:hint="eastAsia" w:ascii="宋体" w:hAnsi="宋体" w:eastAsia="宋体" w:cs="宋体"/>
          <w:sz w:val="14"/>
        </w:rPr>
        <w:t>；</w:t>
      </w:r>
      <w:r>
        <w:rPr>
          <w:rFonts w:hint="eastAsia" w:ascii="宋体" w:hAnsi="宋体" w:eastAsia="宋体" w:cs="宋体"/>
          <w:sz w:val="24"/>
        </w:rPr>
        <w:t>因未能履行承诺而获取的收益</w:t>
      </w:r>
      <w:r>
        <w:rPr>
          <w:rFonts w:hint="eastAsia" w:ascii="宋体" w:hAnsi="宋体" w:eastAsia="宋体" w:cs="宋体"/>
          <w:sz w:val="10"/>
        </w:rPr>
        <w:t>，</w:t>
      </w:r>
      <w:r>
        <w:rPr>
          <w:rFonts w:hint="eastAsia" w:ascii="宋体" w:hAnsi="宋体" w:eastAsia="宋体" w:cs="宋体"/>
          <w:sz w:val="24"/>
        </w:rPr>
        <w:t>将全部无条件上缴给发行人</w:t>
      </w:r>
      <w:r>
        <w:rPr>
          <w:rFonts w:hint="eastAsia" w:ascii="宋体" w:hAnsi="宋体" w:eastAsia="宋体" w:cs="宋体"/>
          <w:sz w:val="12"/>
        </w:rPr>
        <w:t>；</w:t>
      </w:r>
      <w:r>
        <w:rPr>
          <w:rFonts w:hint="eastAsia" w:ascii="宋体" w:hAnsi="宋体" w:eastAsia="宋体" w:cs="宋体"/>
          <w:sz w:val="24"/>
        </w:rPr>
        <w:t>因未能履行承诺致使投资者造成损失的</w:t>
      </w:r>
      <w:r>
        <w:rPr>
          <w:rFonts w:hint="eastAsia" w:ascii="宋体" w:hAnsi="宋体" w:eastAsia="宋体" w:cs="宋体"/>
          <w:sz w:val="10"/>
        </w:rPr>
        <w:t>，</w:t>
      </w:r>
      <w:r>
        <w:rPr>
          <w:rFonts w:hint="eastAsia" w:ascii="宋体" w:hAnsi="宋体" w:eastAsia="宋体" w:cs="宋体"/>
          <w:sz w:val="24"/>
        </w:rPr>
        <w:t>相关股东应依法赔偿投资者损失</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780"/>
        <w:jc w:val="both"/>
      </w:pPr>
      <w:r>
        <w:rPr>
          <w:rFonts w:hint="eastAsia" w:ascii="宋体" w:hAnsi="宋体" w:eastAsia="宋体" w:cs="宋体"/>
          <w:b/>
          <w:sz w:val="24"/>
        </w:rPr>
        <w:t>（三）林永正先生的保障措施</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如若未能履行招股说明书中列明的承诺</w:t>
      </w:r>
      <w:r>
        <w:rPr>
          <w:rFonts w:hint="eastAsia" w:ascii="宋体" w:hAnsi="宋体" w:eastAsia="宋体" w:cs="宋体"/>
          <w:sz w:val="10"/>
        </w:rPr>
        <w:t>，</w:t>
      </w:r>
      <w:r>
        <w:rPr>
          <w:rFonts w:hint="eastAsia" w:ascii="宋体" w:hAnsi="宋体" w:eastAsia="宋体" w:cs="宋体"/>
          <w:sz w:val="24"/>
        </w:rPr>
        <w:t>林永正先生应立即采取措施消除违反承诺事项</w:t>
      </w:r>
      <w:r>
        <w:rPr>
          <w:rFonts w:hint="eastAsia" w:ascii="宋体" w:hAnsi="宋体" w:eastAsia="宋体" w:cs="宋体"/>
          <w:sz w:val="10"/>
        </w:rPr>
        <w:t>，</w:t>
      </w:r>
      <w:r>
        <w:rPr>
          <w:rFonts w:hint="eastAsia" w:ascii="宋体" w:hAnsi="宋体" w:eastAsia="宋体" w:cs="宋体"/>
          <w:sz w:val="24"/>
        </w:rPr>
        <w:t>并严格执行发行人董事会决定采取的其他措施</w:t>
      </w:r>
      <w:r>
        <w:rPr>
          <w:rFonts w:hint="eastAsia" w:ascii="宋体" w:hAnsi="宋体" w:eastAsia="宋体" w:cs="宋体"/>
          <w:sz w:val="12"/>
        </w:rPr>
        <w:t>；</w:t>
      </w:r>
      <w:r>
        <w:rPr>
          <w:rFonts w:hint="eastAsia" w:ascii="宋体" w:hAnsi="宋体" w:eastAsia="宋体" w:cs="宋体"/>
          <w:sz w:val="24"/>
        </w:rPr>
        <w:t>在消除相关违反承诺事项前</w:t>
      </w:r>
      <w:r>
        <w:rPr>
          <w:rFonts w:hint="eastAsia" w:ascii="宋体" w:hAnsi="宋体" w:eastAsia="宋体" w:cs="宋体"/>
          <w:sz w:val="10"/>
        </w:rPr>
        <w:t>，</w:t>
      </w:r>
      <w:r>
        <w:rPr>
          <w:rFonts w:hint="eastAsia" w:ascii="宋体" w:hAnsi="宋体" w:eastAsia="宋体" w:cs="宋体"/>
          <w:sz w:val="24"/>
        </w:rPr>
        <w:t>其通过福州爱派克电子有限公司间接持有的尚未转让的发行人股份不申请解锁和转让</w:t>
      </w:r>
      <w:r>
        <w:rPr>
          <w:rFonts w:hint="eastAsia" w:ascii="宋体" w:hAnsi="宋体" w:eastAsia="宋体" w:cs="宋体"/>
          <w:sz w:val="12"/>
        </w:rPr>
        <w:t>；</w:t>
      </w:r>
      <w:r>
        <w:rPr>
          <w:rFonts w:hint="eastAsia" w:ascii="宋体" w:hAnsi="宋体" w:eastAsia="宋体" w:cs="宋体"/>
          <w:sz w:val="24"/>
        </w:rPr>
        <w:t>因未能履行承诺而获取的收益</w:t>
      </w:r>
      <w:r>
        <w:rPr>
          <w:rFonts w:hint="eastAsia" w:ascii="宋体" w:hAnsi="宋体" w:eastAsia="宋体" w:cs="宋体"/>
          <w:sz w:val="10"/>
        </w:rPr>
        <w:t>，</w:t>
      </w:r>
      <w:r>
        <w:rPr>
          <w:rFonts w:hint="eastAsia" w:ascii="宋体" w:hAnsi="宋体" w:eastAsia="宋体" w:cs="宋体"/>
          <w:sz w:val="24"/>
        </w:rPr>
        <w:t>将全部无条件上缴给发行人</w:t>
      </w:r>
      <w:r>
        <w:rPr>
          <w:rFonts w:hint="eastAsia" w:ascii="宋体" w:hAnsi="宋体" w:eastAsia="宋体" w:cs="宋体"/>
          <w:sz w:val="12"/>
        </w:rPr>
        <w:t>；</w:t>
      </w:r>
      <w:r>
        <w:rPr>
          <w:rFonts w:hint="eastAsia" w:ascii="宋体" w:hAnsi="宋体" w:eastAsia="宋体" w:cs="宋体"/>
          <w:sz w:val="24"/>
        </w:rPr>
        <w:t>因未能履行承诺致使投资者造成损失的</w:t>
      </w:r>
      <w:r>
        <w:rPr>
          <w:rFonts w:hint="eastAsia" w:ascii="宋体" w:hAnsi="宋体" w:eastAsia="宋体" w:cs="宋体"/>
          <w:sz w:val="10"/>
        </w:rPr>
        <w:t>，</w:t>
      </w:r>
      <w:r>
        <w:rPr>
          <w:rFonts w:hint="eastAsia" w:ascii="宋体" w:hAnsi="宋体" w:eastAsia="宋体" w:cs="宋体"/>
          <w:sz w:val="24"/>
        </w:rPr>
        <w:t>将依法赔偿投资者损失</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780"/>
        <w:jc w:val="both"/>
      </w:pPr>
      <w:r>
        <w:rPr>
          <w:rFonts w:hint="eastAsia" w:ascii="宋体" w:hAnsi="宋体" w:eastAsia="宋体" w:cs="宋体"/>
          <w:b/>
          <w:sz w:val="24"/>
        </w:rPr>
        <w:t>（四）本公司董事</w:t>
      </w:r>
      <w:r>
        <w:rPr>
          <w:rFonts w:hint="eastAsia" w:ascii="宋体" w:hAnsi="宋体" w:eastAsia="宋体" w:cs="宋体"/>
          <w:b/>
          <w:sz w:val="10"/>
        </w:rPr>
        <w:t>、</w:t>
      </w:r>
      <w:r>
        <w:rPr>
          <w:rFonts w:hint="eastAsia" w:ascii="宋体" w:hAnsi="宋体" w:eastAsia="宋体" w:cs="宋体"/>
          <w:b/>
          <w:sz w:val="24"/>
        </w:rPr>
        <w:t>监事</w:t>
      </w:r>
      <w:r>
        <w:rPr>
          <w:rFonts w:hint="eastAsia" w:ascii="宋体" w:hAnsi="宋体" w:eastAsia="宋体" w:cs="宋体"/>
          <w:b/>
          <w:sz w:val="10"/>
        </w:rPr>
        <w:t>、</w:t>
      </w:r>
      <w:r>
        <w:rPr>
          <w:rFonts w:hint="eastAsia" w:ascii="宋体" w:hAnsi="宋体" w:eastAsia="宋体" w:cs="宋体"/>
          <w:b/>
          <w:sz w:val="24"/>
        </w:rPr>
        <w:t>高级管理人员的保障措施</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60"/>
        <w:jc w:val="both"/>
      </w:pPr>
      <w:r>
        <w:rPr>
          <w:rFonts w:hint="eastAsia" w:ascii="Times New Roman" w:hAnsi="Times New Roman" w:eastAsia="Times New Roman" w:cs="Times New Roman"/>
          <w:sz w:val="21"/>
        </w:rPr>
        <w:t>1-1-10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780" w:right="1600" w:firstLine="480"/>
        <w:jc w:val="both"/>
      </w:pPr>
      <w:r>
        <w:rPr>
          <w:rFonts w:hint="eastAsia" w:ascii="宋体" w:hAnsi="宋体" w:eastAsia="宋体" w:cs="宋体"/>
          <w:sz w:val="24"/>
        </w:rPr>
        <w:t>如若未能履行招股说明书中列明的承诺</w:t>
      </w:r>
      <w:r>
        <w:rPr>
          <w:rFonts w:hint="eastAsia" w:ascii="宋体" w:hAnsi="宋体" w:eastAsia="宋体" w:cs="宋体"/>
          <w:sz w:val="10"/>
        </w:rPr>
        <w:t>，</w:t>
      </w:r>
      <w:r>
        <w:rPr>
          <w:rFonts w:hint="eastAsia" w:ascii="宋体" w:hAnsi="宋体" w:eastAsia="宋体" w:cs="宋体"/>
          <w:sz w:val="24"/>
        </w:rPr>
        <w:t>相关人员则应立即采取措施消除违反承诺事项</w:t>
      </w:r>
      <w:r>
        <w:rPr>
          <w:rFonts w:hint="eastAsia" w:ascii="宋体" w:hAnsi="宋体" w:eastAsia="宋体" w:cs="宋体"/>
          <w:sz w:val="10"/>
        </w:rPr>
        <w:t>，</w:t>
      </w:r>
      <w:r>
        <w:rPr>
          <w:rFonts w:hint="eastAsia" w:ascii="宋体" w:hAnsi="宋体" w:eastAsia="宋体" w:cs="宋体"/>
          <w:sz w:val="24"/>
        </w:rPr>
        <w:t>并严格执行发行人董事会决定采取的其他措施</w:t>
      </w:r>
      <w:r>
        <w:rPr>
          <w:rFonts w:hint="eastAsia" w:ascii="宋体" w:hAnsi="宋体" w:eastAsia="宋体" w:cs="宋体"/>
          <w:sz w:val="12"/>
        </w:rPr>
        <w:t>；</w:t>
      </w:r>
      <w:r>
        <w:rPr>
          <w:rFonts w:hint="eastAsia" w:ascii="宋体" w:hAnsi="宋体" w:eastAsia="宋体" w:cs="宋体"/>
          <w:sz w:val="24"/>
        </w:rPr>
        <w:t>因未能履行承诺而获取的收益</w:t>
      </w:r>
      <w:r>
        <w:rPr>
          <w:rFonts w:hint="eastAsia" w:ascii="宋体" w:hAnsi="宋体" w:eastAsia="宋体" w:cs="宋体"/>
          <w:sz w:val="10"/>
        </w:rPr>
        <w:t>，</w:t>
      </w:r>
      <w:r>
        <w:rPr>
          <w:rFonts w:hint="eastAsia" w:ascii="宋体" w:hAnsi="宋体" w:eastAsia="宋体" w:cs="宋体"/>
          <w:sz w:val="24"/>
        </w:rPr>
        <w:t>将全部无条件上缴给发行人</w:t>
      </w:r>
      <w:r>
        <w:rPr>
          <w:rFonts w:hint="eastAsia" w:ascii="宋体" w:hAnsi="宋体" w:eastAsia="宋体" w:cs="宋体"/>
          <w:sz w:val="12"/>
        </w:rPr>
        <w:t>；</w:t>
      </w:r>
      <w:r>
        <w:rPr>
          <w:rFonts w:hint="eastAsia" w:ascii="宋体" w:hAnsi="宋体" w:eastAsia="宋体" w:cs="宋体"/>
          <w:sz w:val="24"/>
        </w:rPr>
        <w:t>因未能履行承诺致使投资者遭受损失的</w:t>
      </w:r>
      <w:r>
        <w:rPr>
          <w:rFonts w:hint="eastAsia" w:ascii="宋体" w:hAnsi="宋体" w:eastAsia="宋体" w:cs="宋体"/>
          <w:sz w:val="10"/>
        </w:rPr>
        <w:t>，</w:t>
      </w:r>
      <w:r>
        <w:rPr>
          <w:rFonts w:hint="eastAsia" w:ascii="宋体" w:hAnsi="宋体" w:eastAsia="宋体" w:cs="宋体"/>
          <w:sz w:val="24"/>
        </w:rPr>
        <w:t>将依法赔偿投资者损失</w:t>
      </w:r>
      <w:r>
        <w:rPr>
          <w:rFonts w:hint="eastAsia" w:ascii="宋体" w:hAnsi="宋体" w:eastAsia="宋体" w:cs="宋体"/>
          <w:sz w:val="10"/>
        </w:rPr>
        <w:t>。</w:t>
      </w:r>
      <w:r>
        <w:rPr>
          <w:rFonts w:hint="eastAsia" w:ascii="宋体" w:hAnsi="宋体" w:eastAsia="宋体" w:cs="宋体"/>
          <w:sz w:val="24"/>
        </w:rPr>
        <w:t>相关人员不因辞职或其他原因不担任董事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高级管理人员而放弃上述有关保障措施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780"/>
        <w:jc w:val="both"/>
      </w:pPr>
      <w:r>
        <w:rPr>
          <w:rFonts w:hint="eastAsia" w:ascii="ºÚÌå" w:hAnsi="ºÚÌå" w:eastAsia="ºÚÌå" w:cs="ºÚÌå"/>
          <w:sz w:val="30"/>
        </w:rPr>
        <w:t>六</w:t>
      </w:r>
      <w:r>
        <w:rPr>
          <w:rFonts w:hint="eastAsia" w:ascii="ºÚÌå" w:hAnsi="ºÚÌå" w:eastAsia="ºÚÌå" w:cs="ºÚÌå"/>
          <w:sz w:val="10"/>
        </w:rPr>
        <w:t>、</w:t>
      </w:r>
      <w:r>
        <w:rPr>
          <w:rFonts w:hint="eastAsia" w:ascii="ºÚÌå" w:hAnsi="ºÚÌå" w:eastAsia="ºÚÌå" w:cs="ºÚÌå"/>
          <w:sz w:val="30"/>
        </w:rPr>
        <w:t>本次发行前股东公开发售股份的具体方案</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60"/>
        <w:jc w:val="both"/>
      </w:pPr>
      <w:r>
        <w:rPr>
          <w:rFonts w:hint="eastAsia" w:ascii="宋体" w:hAnsi="宋体" w:eastAsia="宋体" w:cs="宋体"/>
          <w:sz w:val="24"/>
        </w:rPr>
        <w:t>本次发行不存在公司股东公开发售股份的情形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780"/>
        <w:jc w:val="both"/>
      </w:pPr>
      <w:r>
        <w:rPr>
          <w:rFonts w:hint="eastAsia" w:ascii="ºÚÌå" w:hAnsi="ºÚÌå" w:eastAsia="ºÚÌå" w:cs="ºÚÌå"/>
          <w:sz w:val="30"/>
        </w:rPr>
        <w:t>七</w:t>
      </w:r>
      <w:r>
        <w:rPr>
          <w:rFonts w:hint="eastAsia" w:ascii="ºÚÌå" w:hAnsi="ºÚÌå" w:eastAsia="ºÚÌå" w:cs="ºÚÌå"/>
          <w:sz w:val="10"/>
        </w:rPr>
        <w:t>、</w:t>
      </w:r>
      <w:r>
        <w:rPr>
          <w:rFonts w:hint="eastAsia" w:ascii="ºÚÌå" w:hAnsi="ºÚÌå" w:eastAsia="ºÚÌå" w:cs="ºÚÌå"/>
          <w:sz w:val="30"/>
        </w:rPr>
        <w:t>有关利润分配的安排</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780"/>
        <w:jc w:val="both"/>
      </w:pPr>
      <w:r>
        <w:rPr>
          <w:rFonts w:hint="eastAsia" w:ascii="宋体" w:hAnsi="宋体" w:eastAsia="宋体" w:cs="宋体"/>
          <w:b/>
          <w:sz w:val="30"/>
        </w:rPr>
        <w:t>（一）</w:t>
      </w:r>
      <w:r>
        <w:rPr>
          <w:rFonts w:hint="eastAsia" w:ascii="宋体" w:hAnsi="宋体" w:eastAsia="宋体" w:cs="宋体"/>
          <w:b/>
          <w:sz w:val="24"/>
        </w:rPr>
        <w:t>发行人上市后的股利分配政策</w:t>
      </w:r>
    </w:p>
    <w:p>
      <w:pPr>
        <w:spacing w:line="200" w:lineRule="exact"/>
        <w:rPr>
          <w:rFonts w:hint="eastAsia" w:ascii="宋体" w:hAnsi="宋体" w:eastAsia="宋体" w:cs="宋体"/>
          <w:sz w:val="20"/>
        </w:rPr>
      </w:pPr>
    </w:p>
    <w:p>
      <w:pPr>
        <w:autoSpaceDE w:val="false"/>
        <w:autoSpaceDN w:val="false"/>
        <w:spacing w:line="420" w:lineRule="exact"/>
        <w:ind w:left="2260"/>
        <w:jc w:val="both"/>
      </w:pPr>
      <w:r>
        <w:rPr>
          <w:rFonts w:hint="eastAsia" w:ascii="宋体" w:hAnsi="宋体" w:eastAsia="宋体" w:cs="宋体"/>
          <w:sz w:val="24"/>
        </w:rPr>
        <w:t>根据发行人《公司章程（草案）》，</w:t>
      </w:r>
      <w:r>
        <w:rPr>
          <w:rFonts w:hint="eastAsia" w:ascii="宋体" w:hAnsi="宋体" w:eastAsia="宋体" w:cs="宋体"/>
          <w:sz w:val="24"/>
        </w:rPr>
        <w:t>有关股利分配政策的主要内容如下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公司实施积极的利润分配政策</w:t>
      </w:r>
      <w:r>
        <w:rPr>
          <w:rFonts w:hint="eastAsia" w:ascii="宋体" w:hAnsi="宋体" w:eastAsia="宋体" w:cs="宋体"/>
          <w:sz w:val="10"/>
        </w:rPr>
        <w:t>，</w:t>
      </w:r>
      <w:r>
        <w:rPr>
          <w:rFonts w:hint="eastAsia" w:ascii="宋体" w:hAnsi="宋体" w:eastAsia="宋体" w:cs="宋体"/>
          <w:sz w:val="24"/>
        </w:rPr>
        <w:t>重视对投资者的合理投资回报</w:t>
      </w:r>
      <w:r>
        <w:rPr>
          <w:rFonts w:hint="eastAsia" w:ascii="宋体" w:hAnsi="宋体" w:eastAsia="宋体" w:cs="宋体"/>
          <w:sz w:val="10"/>
        </w:rPr>
        <w:t>，</w:t>
      </w:r>
      <w:r>
        <w:rPr>
          <w:rFonts w:hint="eastAsia" w:ascii="宋体" w:hAnsi="宋体" w:eastAsia="宋体" w:cs="宋体"/>
          <w:sz w:val="24"/>
        </w:rPr>
        <w:t>并保持连续性和稳定性</w:t>
      </w:r>
      <w:r>
        <w:rPr>
          <w:rFonts w:hint="eastAsia" w:ascii="宋体" w:hAnsi="宋体" w:eastAsia="宋体" w:cs="宋体"/>
          <w:sz w:val="10"/>
        </w:rPr>
        <w:t>。</w:t>
      </w:r>
      <w:r>
        <w:rPr>
          <w:rFonts w:hint="eastAsia" w:ascii="宋体" w:hAnsi="宋体" w:eastAsia="宋体" w:cs="宋体"/>
          <w:sz w:val="24"/>
        </w:rPr>
        <w:t>公司采取现金或者股票等方式分配利润</w:t>
      </w:r>
      <w:r>
        <w:rPr>
          <w:rFonts w:hint="eastAsia" w:ascii="宋体" w:hAnsi="宋体" w:eastAsia="宋体" w:cs="宋体"/>
          <w:sz w:val="10"/>
        </w:rPr>
        <w:t>，</w:t>
      </w:r>
      <w:r>
        <w:rPr>
          <w:rFonts w:hint="eastAsia" w:ascii="宋体" w:hAnsi="宋体" w:eastAsia="宋体" w:cs="宋体"/>
          <w:sz w:val="24"/>
        </w:rPr>
        <w:t>利润分配不得超过累计可分配利润的范围</w:t>
      </w:r>
      <w:r>
        <w:rPr>
          <w:rFonts w:hint="eastAsia" w:ascii="宋体" w:hAnsi="宋体" w:eastAsia="宋体" w:cs="宋体"/>
          <w:sz w:val="10"/>
        </w:rPr>
        <w:t>，</w:t>
      </w:r>
      <w:r>
        <w:rPr>
          <w:rFonts w:hint="eastAsia" w:ascii="宋体" w:hAnsi="宋体" w:eastAsia="宋体" w:cs="宋体"/>
          <w:sz w:val="24"/>
        </w:rPr>
        <w:t>不得损害公司持续经营能力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公司采取现金</w:t>
      </w:r>
      <w:r>
        <w:rPr>
          <w:rFonts w:hint="eastAsia" w:ascii="宋体" w:hAnsi="宋体" w:eastAsia="宋体" w:cs="宋体"/>
          <w:sz w:val="10"/>
        </w:rPr>
        <w:t>、</w:t>
      </w:r>
      <w:r>
        <w:rPr>
          <w:rFonts w:hint="eastAsia" w:ascii="宋体" w:hAnsi="宋体" w:eastAsia="宋体" w:cs="宋体"/>
          <w:sz w:val="24"/>
        </w:rPr>
        <w:t>股票或二者相结合的方式分配股利</w:t>
      </w:r>
      <w:r>
        <w:rPr>
          <w:rFonts w:hint="eastAsia" w:ascii="宋体" w:hAnsi="宋体" w:eastAsia="宋体" w:cs="宋体"/>
          <w:sz w:val="10"/>
        </w:rPr>
        <w:t>，</w:t>
      </w:r>
      <w:r>
        <w:rPr>
          <w:rFonts w:hint="eastAsia" w:ascii="宋体" w:hAnsi="宋体" w:eastAsia="宋体" w:cs="宋体"/>
          <w:sz w:val="24"/>
        </w:rPr>
        <w:t>并优先以现金方式分配利润</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780" w:right="1600" w:firstLine="4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公司主要采取现金分红的利润分配政策</w:t>
      </w:r>
      <w:r>
        <w:rPr>
          <w:rFonts w:hint="eastAsia" w:ascii="宋体" w:hAnsi="宋体" w:eastAsia="宋体" w:cs="宋体"/>
          <w:sz w:val="10"/>
        </w:rPr>
        <w:t>，</w:t>
      </w:r>
      <w:r>
        <w:rPr>
          <w:rFonts w:hint="eastAsia" w:ascii="宋体" w:hAnsi="宋体" w:eastAsia="宋体" w:cs="宋体"/>
          <w:sz w:val="24"/>
        </w:rPr>
        <w:t>即公司当年度实现盈利</w:t>
      </w:r>
      <w:r>
        <w:rPr>
          <w:rFonts w:hint="eastAsia" w:ascii="宋体" w:hAnsi="宋体" w:eastAsia="宋体" w:cs="宋体"/>
          <w:sz w:val="10"/>
        </w:rPr>
        <w:t>，</w:t>
      </w:r>
      <w:r>
        <w:rPr>
          <w:rFonts w:hint="eastAsia" w:ascii="宋体" w:hAnsi="宋体" w:eastAsia="宋体" w:cs="宋体"/>
          <w:sz w:val="24"/>
        </w:rPr>
        <w:t>在依法弥补亏损</w:t>
      </w:r>
      <w:r>
        <w:rPr>
          <w:rFonts w:hint="eastAsia" w:ascii="宋体" w:hAnsi="宋体" w:eastAsia="宋体" w:cs="宋体"/>
          <w:sz w:val="10"/>
        </w:rPr>
        <w:t>、</w:t>
      </w:r>
      <w:r>
        <w:rPr>
          <w:rFonts w:hint="eastAsia" w:ascii="宋体" w:hAnsi="宋体" w:eastAsia="宋体" w:cs="宋体"/>
          <w:sz w:val="24"/>
        </w:rPr>
        <w:t>提取法定公积金后有可分配利润的</w:t>
      </w:r>
      <w:r>
        <w:rPr>
          <w:rFonts w:hint="eastAsia" w:ascii="宋体" w:hAnsi="宋体" w:eastAsia="宋体" w:cs="宋体"/>
          <w:sz w:val="10"/>
        </w:rPr>
        <w:t>，</w:t>
      </w:r>
      <w:r>
        <w:rPr>
          <w:rFonts w:hint="eastAsia" w:ascii="宋体" w:hAnsi="宋体" w:eastAsia="宋体" w:cs="宋体"/>
          <w:sz w:val="24"/>
        </w:rPr>
        <w:t>则公司应当进行现金分红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60"/>
        <w:jc w:val="both"/>
      </w:pPr>
      <w:r>
        <w:rPr>
          <w:rFonts w:hint="eastAsia" w:ascii="宋体" w:hAnsi="宋体" w:eastAsia="宋体" w:cs="宋体"/>
          <w:sz w:val="24"/>
        </w:rPr>
        <w:t>公司利润分配不得超过累计可分配利润的范围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公司如无重大投资计划或重大现金支出发生</w:t>
      </w:r>
      <w:r>
        <w:rPr>
          <w:rFonts w:hint="eastAsia" w:ascii="宋体" w:hAnsi="宋体" w:eastAsia="宋体" w:cs="宋体"/>
          <w:sz w:val="10"/>
        </w:rPr>
        <w:t>，</w:t>
      </w:r>
      <w:r>
        <w:rPr>
          <w:rFonts w:hint="eastAsia" w:ascii="宋体" w:hAnsi="宋体" w:eastAsia="宋体" w:cs="宋体"/>
          <w:sz w:val="24"/>
        </w:rPr>
        <w:t>单一年度以现金方式分配的利润不少于当年度实现的可分配利润的</w:t>
      </w:r>
      <w:r>
        <w:rPr>
          <w:rFonts w:hint="eastAsia" w:ascii="Times New Roman" w:hAnsi="Times New Roman" w:eastAsia="Times New Roman" w:cs="Times New Roman"/>
          <w:sz w:val="24"/>
        </w:rPr>
        <w:t xml:space="preserve"> 10%</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除此之外</w:t>
      </w:r>
      <w:r>
        <w:rPr>
          <w:rFonts w:hint="eastAsia" w:ascii="宋体" w:hAnsi="宋体" w:eastAsia="宋体" w:cs="宋体"/>
          <w:sz w:val="10"/>
        </w:rPr>
        <w:t>，</w:t>
      </w:r>
      <w:r>
        <w:rPr>
          <w:rFonts w:hint="eastAsia" w:ascii="宋体" w:hAnsi="宋体" w:eastAsia="宋体" w:cs="宋体"/>
          <w:sz w:val="24"/>
        </w:rPr>
        <w:t>公司还制定了《上市后三年股东分红回报规划》，</w:t>
      </w:r>
      <w:r>
        <w:rPr>
          <w:rFonts w:hint="eastAsia" w:ascii="宋体" w:hAnsi="宋体" w:eastAsia="宋体" w:cs="宋体"/>
          <w:sz w:val="24"/>
        </w:rPr>
        <w:t>对上市后三年内的股利分配进行了具体规划</w:t>
      </w:r>
      <w:r>
        <w:rPr>
          <w:rFonts w:hint="eastAsia" w:ascii="宋体" w:hAnsi="宋体" w:eastAsia="宋体" w:cs="宋体"/>
          <w:sz w:val="10"/>
        </w:rPr>
        <w:t>。</w:t>
      </w:r>
      <w:r>
        <w:rPr>
          <w:rFonts w:hint="eastAsia" w:ascii="宋体" w:hAnsi="宋体" w:eastAsia="宋体" w:cs="宋体"/>
          <w:sz w:val="24"/>
        </w:rPr>
        <w:t>上市后三年</w:t>
      </w:r>
      <w:r>
        <w:rPr>
          <w:rFonts w:hint="eastAsia" w:ascii="宋体" w:hAnsi="宋体" w:eastAsia="宋体" w:cs="宋体"/>
          <w:sz w:val="10"/>
        </w:rPr>
        <w:t>，</w:t>
      </w:r>
      <w:r>
        <w:rPr>
          <w:rFonts w:hint="eastAsia" w:ascii="宋体" w:hAnsi="宋体" w:eastAsia="宋体" w:cs="宋体"/>
          <w:sz w:val="24"/>
        </w:rPr>
        <w:t>公司将主要采取现金分红的股利分配政策</w:t>
      </w:r>
      <w:r>
        <w:rPr>
          <w:rFonts w:hint="eastAsia" w:ascii="宋体" w:hAnsi="宋体" w:eastAsia="宋体" w:cs="宋体"/>
          <w:sz w:val="10"/>
        </w:rPr>
        <w:t>，</w:t>
      </w:r>
      <w:r>
        <w:rPr>
          <w:rFonts w:hint="eastAsia" w:ascii="宋体" w:hAnsi="宋体" w:eastAsia="宋体" w:cs="宋体"/>
          <w:sz w:val="24"/>
        </w:rPr>
        <w:t>单一年度以现金方式分配的利润不少于当年度实现的可分配利润的</w:t>
      </w:r>
      <w:r>
        <w:rPr>
          <w:rFonts w:hint="eastAsia" w:ascii="Times New Roman" w:hAnsi="Times New Roman" w:eastAsia="Times New Roman" w:cs="Times New Roman"/>
          <w:sz w:val="24"/>
        </w:rPr>
        <w:t>10%</w:t>
      </w:r>
      <w:r>
        <w:rPr>
          <w:rFonts w:hint="eastAsia" w:ascii="宋体" w:hAnsi="宋体" w:eastAsia="宋体" w:cs="宋体"/>
          <w:sz w:val="10"/>
        </w:rPr>
        <w:t>。</w:t>
      </w:r>
      <w:r>
        <w:rPr>
          <w:rFonts w:hint="eastAsia" w:ascii="宋体" w:hAnsi="宋体" w:eastAsia="宋体" w:cs="宋体"/>
          <w:sz w:val="24"/>
        </w:rPr>
        <w:t>在确保足额现金股利分配的前提下</w:t>
      </w:r>
      <w:r>
        <w:rPr>
          <w:rFonts w:hint="eastAsia" w:ascii="宋体" w:hAnsi="宋体" w:eastAsia="宋体" w:cs="宋体"/>
          <w:sz w:val="10"/>
        </w:rPr>
        <w:t>，</w:t>
      </w:r>
      <w:r>
        <w:rPr>
          <w:rFonts w:hint="eastAsia" w:ascii="宋体" w:hAnsi="宋体" w:eastAsia="宋体" w:cs="宋体"/>
          <w:sz w:val="24"/>
        </w:rPr>
        <w:t>公司可以另行增加股票股利分配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60"/>
        <w:jc w:val="both"/>
      </w:pPr>
      <w:r>
        <w:rPr>
          <w:rFonts w:hint="eastAsia" w:ascii="宋体" w:hAnsi="宋体" w:eastAsia="宋体" w:cs="宋体"/>
          <w:sz w:val="24"/>
        </w:rPr>
        <w:t>有关股利分配政策详细情况请参阅本招股说明书</w:t>
      </w:r>
      <w:r>
        <w:rPr>
          <w:rFonts w:hint="eastAsia" w:ascii="宋体" w:hAnsi="宋体" w:eastAsia="宋体" w:cs="宋体"/>
          <w:sz w:val="10"/>
        </w:rPr>
        <w:t>“</w:t>
      </w:r>
      <w:r>
        <w:rPr>
          <w:rFonts w:hint="eastAsia" w:ascii="宋体" w:hAnsi="宋体" w:eastAsia="宋体" w:cs="宋体"/>
          <w:sz w:val="24"/>
        </w:rPr>
        <w:t>第十四节</w:t>
      </w:r>
      <w:r>
        <w:rPr>
          <w:rFonts w:hint="eastAsia" w:ascii="Times New Roman" w:hAnsi="Times New Roman" w:eastAsia="Times New Roman" w:cs="Times New Roman"/>
          <w:sz w:val="24"/>
        </w:rPr>
        <w:t xml:space="preserve"> </w:t>
      </w:r>
      <w:r>
        <w:rPr>
          <w:rFonts w:hint="eastAsia" w:ascii="宋体" w:hAnsi="宋体" w:eastAsia="宋体" w:cs="宋体"/>
          <w:sz w:val="24"/>
        </w:rPr>
        <w:t>股利分配政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60"/>
        <w:jc w:val="both"/>
      </w:pPr>
      <w:r>
        <w:rPr>
          <w:rFonts w:hint="eastAsia" w:ascii="Times New Roman" w:hAnsi="Times New Roman" w:eastAsia="Times New Roman" w:cs="Times New Roman"/>
          <w:sz w:val="21"/>
        </w:rPr>
        <w:t>1-1-11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780"/>
        <w:jc w:val="both"/>
      </w:pPr>
      <w:r>
        <w:rPr>
          <w:rFonts w:hint="eastAsia" w:ascii="宋体" w:hAnsi="宋体" w:eastAsia="宋体" w:cs="宋体"/>
          <w:sz w:val="24"/>
        </w:rPr>
        <w:t>策</w:t>
      </w:r>
      <w:r>
        <w:rPr>
          <w:rFonts w:hint="eastAsia" w:ascii="宋体" w:hAnsi="宋体" w:eastAsia="宋体" w:cs="宋体"/>
          <w:sz w:val="10"/>
        </w:rPr>
        <w:t>”</w:t>
      </w:r>
      <w:r>
        <w:rPr>
          <w:rFonts w:hint="eastAsia" w:ascii="宋体" w:hAnsi="宋体" w:eastAsia="宋体" w:cs="宋体"/>
          <w:sz w:val="24"/>
        </w:rPr>
        <w:t>的内容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780"/>
        <w:jc w:val="both"/>
      </w:pPr>
      <w:r>
        <w:rPr>
          <w:rFonts w:hint="eastAsia" w:ascii="宋体" w:hAnsi="宋体" w:eastAsia="宋体" w:cs="宋体"/>
          <w:b/>
          <w:sz w:val="24"/>
        </w:rPr>
        <w:t>（二）滚存利润分配方案</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日召开的</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年第五次临时股东大会表决通过</w:t>
      </w:r>
      <w:r>
        <w:rPr>
          <w:rFonts w:hint="eastAsia" w:ascii="宋体" w:hAnsi="宋体" w:eastAsia="宋体" w:cs="宋体"/>
          <w:sz w:val="10"/>
        </w:rPr>
        <w:t>，</w:t>
      </w:r>
      <w:r>
        <w:rPr>
          <w:rFonts w:hint="eastAsia" w:ascii="宋体" w:hAnsi="宋体" w:eastAsia="宋体" w:cs="宋体"/>
          <w:sz w:val="24"/>
        </w:rPr>
        <w:t>公司发行前滚存利润的分配方案为</w:t>
      </w:r>
      <w:r>
        <w:rPr>
          <w:rFonts w:hint="eastAsia" w:ascii="宋体" w:hAnsi="宋体" w:eastAsia="宋体" w:cs="宋体"/>
          <w:sz w:val="12"/>
        </w:rPr>
        <w:t>：</w:t>
      </w:r>
      <w:r>
        <w:rPr>
          <w:rFonts w:hint="eastAsia" w:ascii="宋体" w:hAnsi="宋体" w:eastAsia="宋体" w:cs="宋体"/>
          <w:sz w:val="24"/>
        </w:rPr>
        <w:t>在本次发行完成后</w:t>
      </w:r>
      <w:r>
        <w:rPr>
          <w:rFonts w:hint="eastAsia" w:ascii="宋体" w:hAnsi="宋体" w:eastAsia="宋体" w:cs="宋体"/>
          <w:sz w:val="10"/>
        </w:rPr>
        <w:t>，</w:t>
      </w:r>
      <w:r>
        <w:rPr>
          <w:rFonts w:hint="eastAsia" w:ascii="宋体" w:hAnsi="宋体" w:eastAsia="宋体" w:cs="宋体"/>
          <w:sz w:val="24"/>
        </w:rPr>
        <w:t>由公司本次发行股票后登记在册的所有股东共享公司在本次发行当年实现的利润以及以前年度利润分配完成后滚存的未分配利润</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780"/>
        <w:jc w:val="both"/>
      </w:pPr>
      <w:r>
        <w:rPr>
          <w:rFonts w:hint="eastAsia" w:ascii="ºÚÌå" w:hAnsi="ºÚÌå" w:eastAsia="ºÚÌå" w:cs="ºÚÌå"/>
          <w:sz w:val="30"/>
        </w:rPr>
        <w:t>八</w:t>
      </w:r>
      <w:r>
        <w:rPr>
          <w:rFonts w:hint="eastAsia" w:ascii="ºÚÌå" w:hAnsi="ºÚÌå" w:eastAsia="ºÚÌå" w:cs="ºÚÌå"/>
          <w:sz w:val="10"/>
        </w:rPr>
        <w:t>、</w:t>
      </w:r>
      <w:r>
        <w:rPr>
          <w:rFonts w:hint="eastAsia" w:ascii="ºÚÌå" w:hAnsi="ºÚÌå" w:eastAsia="ºÚÌå" w:cs="ºÚÌå"/>
          <w:sz w:val="30"/>
        </w:rPr>
        <w:t>填补被摊薄即期回报的措施及承诺</w:t>
      </w:r>
    </w:p>
    <w:p>
      <w:pPr>
        <w:spacing w:line="200" w:lineRule="exact"/>
        <w:rPr>
          <w:rFonts w:hint="eastAsia" w:ascii="宋体" w:hAnsi="宋体" w:eastAsia="宋体" w:cs="宋体"/>
          <w:sz w:val="20"/>
        </w:rPr>
      </w:pPr>
    </w:p>
    <w:p>
      <w:pPr>
        <w:autoSpaceDE w:val="false"/>
        <w:autoSpaceDN w:val="false"/>
        <w:spacing w:line="480" w:lineRule="exact"/>
        <w:ind w:left="1780"/>
        <w:jc w:val="both"/>
      </w:pPr>
      <w:r>
        <w:rPr>
          <w:rFonts w:hint="eastAsia" w:ascii="宋体" w:hAnsi="宋体" w:eastAsia="宋体" w:cs="宋体"/>
          <w:b/>
          <w:sz w:val="30"/>
        </w:rPr>
        <w:t>（一）</w:t>
      </w:r>
      <w:r>
        <w:rPr>
          <w:rFonts w:hint="eastAsia" w:ascii="宋体" w:hAnsi="宋体" w:eastAsia="宋体" w:cs="宋体"/>
          <w:b/>
          <w:sz w:val="24"/>
        </w:rPr>
        <w:t>本次募集资金到位当年发行人每股收益相对上年度每股收益的变动趋势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78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发行人业绩保持稳定增长态势</w:t>
      </w:r>
      <w:r>
        <w:rPr>
          <w:rFonts w:hint="eastAsia" w:ascii="宋体" w:hAnsi="宋体" w:eastAsia="宋体" w:cs="宋体"/>
          <w:sz w:val="10"/>
        </w:rPr>
        <w:t>。</w:t>
      </w:r>
      <w:r>
        <w:rPr>
          <w:rFonts w:hint="eastAsia" w:ascii="宋体" w:hAnsi="宋体" w:eastAsia="宋体" w:cs="宋体"/>
          <w:sz w:val="24"/>
        </w:rPr>
        <w:t>发行人本次拟公开发行股票不超过</w:t>
      </w:r>
      <w:r>
        <w:rPr>
          <w:rFonts w:hint="eastAsia" w:ascii="Times New Roman" w:hAnsi="Times New Roman" w:eastAsia="Times New Roman" w:cs="Times New Roman"/>
          <w:sz w:val="24"/>
        </w:rPr>
        <w:t>2,105</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发行后公司资本实力将得到增强</w:t>
      </w:r>
      <w:r>
        <w:rPr>
          <w:rFonts w:hint="eastAsia" w:ascii="宋体" w:hAnsi="宋体" w:eastAsia="宋体" w:cs="宋体"/>
          <w:sz w:val="10"/>
        </w:rPr>
        <w:t>，</w:t>
      </w:r>
      <w:r>
        <w:rPr>
          <w:rFonts w:hint="eastAsia" w:ascii="宋体" w:hAnsi="宋体" w:eastAsia="宋体" w:cs="宋体"/>
          <w:sz w:val="24"/>
        </w:rPr>
        <w:t>但由于募集资金投资项目具有一定的投入周期</w:t>
      </w:r>
      <w:r>
        <w:rPr>
          <w:rFonts w:hint="eastAsia" w:ascii="宋体" w:hAnsi="宋体" w:eastAsia="宋体" w:cs="宋体"/>
          <w:sz w:val="10"/>
        </w:rPr>
        <w:t>，</w:t>
      </w:r>
      <w:r>
        <w:rPr>
          <w:rFonts w:hint="eastAsia" w:ascii="宋体" w:hAnsi="宋体" w:eastAsia="宋体" w:cs="宋体"/>
          <w:sz w:val="24"/>
        </w:rPr>
        <w:t>在短期内难以完全产生效益</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发行人在发行当年每股收益较上一会计年度将有所下降</w:t>
      </w:r>
      <w:r>
        <w:rPr>
          <w:rFonts w:hint="eastAsia" w:ascii="宋体" w:hAnsi="宋体" w:eastAsia="宋体" w:cs="宋体"/>
          <w:sz w:val="10"/>
        </w:rPr>
        <w:t>，</w:t>
      </w:r>
      <w:r>
        <w:rPr>
          <w:rFonts w:hint="eastAsia" w:ascii="宋体" w:hAnsi="宋体" w:eastAsia="宋体" w:cs="宋体"/>
          <w:sz w:val="24"/>
        </w:rPr>
        <w:t>进而摊薄即期回报</w:t>
      </w:r>
      <w:r>
        <w:rPr>
          <w:rFonts w:hint="eastAsia" w:ascii="宋体" w:hAnsi="宋体" w:eastAsia="宋体" w:cs="宋体"/>
          <w:sz w:val="10"/>
        </w:rPr>
        <w:t>，</w:t>
      </w:r>
      <w:r>
        <w:rPr>
          <w:rFonts w:hint="eastAsia" w:ascii="宋体" w:hAnsi="宋体" w:eastAsia="宋体" w:cs="宋体"/>
          <w:sz w:val="24"/>
        </w:rPr>
        <w:t>但公司的整体盈利长期来看将有进</w:t>
      </w:r>
      <w:r>
        <w:rPr>
          <w:rFonts w:hint="eastAsia" w:ascii="宋体" w:hAnsi="宋体" w:eastAsia="宋体" w:cs="宋体"/>
          <w:sz w:val="10"/>
        </w:rPr>
        <w:t>一</w:t>
      </w:r>
      <w:r>
        <w:rPr>
          <w:rFonts w:hint="eastAsia" w:ascii="宋体" w:hAnsi="宋体" w:eastAsia="宋体" w:cs="宋体"/>
          <w:sz w:val="24"/>
        </w:rPr>
        <w:t>步提升</w:t>
      </w:r>
      <w:r>
        <w:rPr>
          <w:rFonts w:hint="eastAsia" w:ascii="宋体" w:hAnsi="宋体" w:eastAsia="宋体" w:cs="宋体"/>
          <w:sz w:val="10"/>
        </w:rPr>
        <w:t>。</w:t>
      </w:r>
      <w:r>
        <w:rPr>
          <w:rFonts w:hint="eastAsia" w:ascii="宋体" w:hAnsi="宋体" w:eastAsia="宋体" w:cs="宋体"/>
          <w:sz w:val="24"/>
        </w:rPr>
        <w:t>公司已就因本次发行可能引起的即期利润摊薄制定了相应的应对措施</w:t>
      </w:r>
      <w:r>
        <w:rPr>
          <w:rFonts w:hint="eastAsia" w:ascii="宋体" w:hAnsi="宋体" w:eastAsia="宋体" w:cs="宋体"/>
          <w:sz w:val="10"/>
        </w:rPr>
        <w:t>，</w:t>
      </w:r>
      <w:r>
        <w:rPr>
          <w:rFonts w:hint="eastAsia" w:ascii="宋体" w:hAnsi="宋体" w:eastAsia="宋体" w:cs="宋体"/>
          <w:sz w:val="24"/>
        </w:rPr>
        <w:t>并将严格执行</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上述信息涉及的财务预测不作为盈利预测和业绩承诺</w:t>
      </w:r>
      <w:r>
        <w:rPr>
          <w:rFonts w:hint="eastAsia" w:ascii="宋体" w:hAnsi="宋体" w:eastAsia="宋体" w:cs="宋体"/>
          <w:sz w:val="10"/>
        </w:rPr>
        <w:t>，</w:t>
      </w:r>
      <w:r>
        <w:rPr>
          <w:rFonts w:hint="eastAsia" w:ascii="宋体" w:hAnsi="宋体" w:eastAsia="宋体" w:cs="宋体"/>
          <w:sz w:val="24"/>
        </w:rPr>
        <w:t>系公司根据经营规划作出的合理测算</w:t>
      </w:r>
      <w:r>
        <w:rPr>
          <w:rFonts w:hint="eastAsia" w:ascii="宋体" w:hAnsi="宋体" w:eastAsia="宋体" w:cs="宋体"/>
          <w:sz w:val="10"/>
        </w:rPr>
        <w:t>，</w:t>
      </w:r>
      <w:r>
        <w:rPr>
          <w:rFonts w:hint="eastAsia" w:ascii="宋体" w:hAnsi="宋体" w:eastAsia="宋体" w:cs="宋体"/>
          <w:sz w:val="24"/>
        </w:rPr>
        <w:t>可能因市场环境</w:t>
      </w:r>
      <w:r>
        <w:rPr>
          <w:rFonts w:hint="eastAsia" w:ascii="宋体" w:hAnsi="宋体" w:eastAsia="宋体" w:cs="宋体"/>
          <w:sz w:val="10"/>
        </w:rPr>
        <w:t>、</w:t>
      </w:r>
      <w:r>
        <w:rPr>
          <w:rFonts w:hint="eastAsia" w:ascii="宋体" w:hAnsi="宋体" w:eastAsia="宋体" w:cs="宋体"/>
          <w:sz w:val="24"/>
        </w:rPr>
        <w:t>公司发展状况等主客观原因与公司实际经营成果发生偏差</w:t>
      </w:r>
      <w:r>
        <w:rPr>
          <w:rFonts w:hint="eastAsia" w:ascii="宋体" w:hAnsi="宋体" w:eastAsia="宋体" w:cs="宋体"/>
          <w:sz w:val="10"/>
        </w:rPr>
        <w:t>，</w:t>
      </w:r>
      <w:r>
        <w:rPr>
          <w:rFonts w:hint="eastAsia" w:ascii="宋体" w:hAnsi="宋体" w:eastAsia="宋体" w:cs="宋体"/>
          <w:sz w:val="24"/>
        </w:rPr>
        <w:t>进而影响到公司本次发行完成后每股收益的变动趋势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780"/>
        <w:jc w:val="both"/>
      </w:pPr>
      <w:r>
        <w:rPr>
          <w:rFonts w:hint="eastAsia" w:ascii="宋体" w:hAnsi="宋体" w:eastAsia="宋体" w:cs="宋体"/>
          <w:b/>
          <w:sz w:val="24"/>
        </w:rPr>
        <w:t>（二）发行人填补即期回报的具体措施及相关主体的承诺</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为降低本次发行摊薄公司即期回报的风险</w:t>
      </w:r>
      <w:r>
        <w:rPr>
          <w:rFonts w:hint="eastAsia" w:ascii="宋体" w:hAnsi="宋体" w:eastAsia="宋体" w:cs="宋体"/>
          <w:sz w:val="10"/>
        </w:rPr>
        <w:t>，</w:t>
      </w:r>
      <w:r>
        <w:rPr>
          <w:rFonts w:hint="eastAsia" w:ascii="宋体" w:hAnsi="宋体" w:eastAsia="宋体" w:cs="宋体"/>
          <w:sz w:val="24"/>
        </w:rPr>
        <w:t>公司拟通过强化募集资金管理</w:t>
      </w:r>
      <w:r>
        <w:rPr>
          <w:rFonts w:hint="eastAsia" w:ascii="宋体" w:hAnsi="宋体" w:eastAsia="宋体" w:cs="宋体"/>
          <w:sz w:val="10"/>
        </w:rPr>
        <w:t>、</w:t>
      </w:r>
      <w:r>
        <w:rPr>
          <w:rFonts w:hint="eastAsia" w:ascii="宋体" w:hAnsi="宋体" w:eastAsia="宋体" w:cs="宋体"/>
          <w:sz w:val="24"/>
        </w:rPr>
        <w:t>加快募投项目投资进度</w:t>
      </w:r>
      <w:r>
        <w:rPr>
          <w:rFonts w:hint="eastAsia" w:ascii="宋体" w:hAnsi="宋体" w:eastAsia="宋体" w:cs="宋体"/>
          <w:sz w:val="10"/>
        </w:rPr>
        <w:t>、</w:t>
      </w:r>
      <w:r>
        <w:rPr>
          <w:rFonts w:hint="eastAsia" w:ascii="宋体" w:hAnsi="宋体" w:eastAsia="宋体" w:cs="宋体"/>
          <w:sz w:val="24"/>
        </w:rPr>
        <w:t>加大技术创新和产品开发及优化投资回报机制等方式</w:t>
      </w:r>
      <w:r>
        <w:rPr>
          <w:rFonts w:hint="eastAsia" w:ascii="宋体" w:hAnsi="宋体" w:eastAsia="宋体" w:cs="宋体"/>
          <w:sz w:val="10"/>
        </w:rPr>
        <w:t>，</w:t>
      </w:r>
      <w:r>
        <w:rPr>
          <w:rFonts w:hint="eastAsia" w:ascii="宋体" w:hAnsi="宋体" w:eastAsia="宋体" w:cs="宋体"/>
          <w:sz w:val="24"/>
        </w:rPr>
        <w:t>提升股东回报以填补本次公开发行对即期回报的摊薄</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相关主体针对公司填补回报措施能够得到切实履行作出承诺</w:t>
      </w:r>
      <w:r>
        <w:rPr>
          <w:rFonts w:hint="eastAsia" w:ascii="宋体" w:hAnsi="宋体" w:eastAsia="宋体" w:cs="宋体"/>
          <w:sz w:val="10"/>
        </w:rPr>
        <w:t>。</w:t>
      </w:r>
      <w:r>
        <w:rPr>
          <w:rFonts w:hint="eastAsia" w:ascii="宋体" w:hAnsi="宋体" w:eastAsia="宋体" w:cs="宋体"/>
          <w:sz w:val="24"/>
        </w:rPr>
        <w:t>具体情况参见本招股说明书</w:t>
      </w:r>
      <w:r>
        <w:rPr>
          <w:rFonts w:hint="eastAsia" w:ascii="宋体" w:hAnsi="宋体" w:eastAsia="宋体" w:cs="宋体"/>
          <w:sz w:val="10"/>
        </w:rPr>
        <w:t>“</w:t>
      </w:r>
      <w:r>
        <w:rPr>
          <w:rFonts w:hint="eastAsia" w:ascii="宋体" w:hAnsi="宋体" w:eastAsia="宋体" w:cs="宋体"/>
          <w:sz w:val="24"/>
        </w:rPr>
        <w:t>第十一节</w:t>
      </w:r>
      <w:r>
        <w:rPr>
          <w:rFonts w:hint="eastAsia" w:ascii="Times New Roman" w:hAnsi="Times New Roman" w:eastAsia="Times New Roman" w:cs="Times New Roman"/>
          <w:sz w:val="24"/>
        </w:rPr>
        <w:t xml:space="preserve"> </w:t>
      </w:r>
      <w:r>
        <w:rPr>
          <w:rFonts w:hint="eastAsia" w:ascii="宋体" w:hAnsi="宋体" w:eastAsia="宋体" w:cs="宋体"/>
          <w:sz w:val="24"/>
        </w:rPr>
        <w:t>管理层讨论与分析</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九</w:t>
      </w:r>
      <w:r>
        <w:rPr>
          <w:rFonts w:hint="eastAsia" w:ascii="宋体" w:hAnsi="宋体" w:eastAsia="宋体" w:cs="宋体"/>
          <w:sz w:val="10"/>
        </w:rPr>
        <w:t>、</w:t>
      </w:r>
      <w:r>
        <w:rPr>
          <w:rFonts w:hint="eastAsia" w:ascii="宋体" w:hAnsi="宋体" w:eastAsia="宋体" w:cs="宋体"/>
          <w:sz w:val="24"/>
        </w:rPr>
        <w:t>填补被摊薄即期回报的措施及承诺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780"/>
        <w:jc w:val="both"/>
      </w:pPr>
      <w:r>
        <w:rPr>
          <w:rFonts w:hint="eastAsia" w:ascii="ºÚÌå" w:hAnsi="ºÚÌå" w:eastAsia="ºÚÌå" w:cs="ºÚÌå"/>
          <w:sz w:val="30"/>
        </w:rPr>
        <w:t>九</w:t>
      </w:r>
      <w:r>
        <w:rPr>
          <w:rFonts w:hint="eastAsia" w:ascii="ºÚÌå" w:hAnsi="ºÚÌå" w:eastAsia="ºÚÌå" w:cs="ºÚÌå"/>
          <w:sz w:val="10"/>
        </w:rPr>
        <w:t>、</w:t>
      </w:r>
      <w:r>
        <w:rPr>
          <w:rFonts w:hint="eastAsia" w:ascii="ºÚÌå" w:hAnsi="ºÚÌå" w:eastAsia="ºÚÌå" w:cs="ºÚÌå"/>
          <w:sz w:val="30"/>
        </w:rPr>
        <w:t>需要特别关注的风险因素</w:t>
      </w:r>
    </w:p>
    <w:p>
      <w:pPr>
        <w:spacing w:line="200" w:lineRule="exact"/>
        <w:rPr>
          <w:rFonts w:hint="eastAsia" w:ascii="宋体" w:hAnsi="宋体" w:eastAsia="宋体" w:cs="宋体"/>
          <w:sz w:val="20"/>
        </w:rPr>
      </w:pPr>
    </w:p>
    <w:p>
      <w:pPr>
        <w:autoSpaceDE w:val="false"/>
        <w:autoSpaceDN w:val="false"/>
        <w:spacing w:line="480" w:lineRule="exact"/>
        <w:ind w:left="1780"/>
        <w:jc w:val="both"/>
      </w:pPr>
      <w:r>
        <w:rPr>
          <w:rFonts w:hint="eastAsia" w:ascii="宋体" w:hAnsi="宋体" w:eastAsia="宋体" w:cs="宋体"/>
          <w:b/>
          <w:sz w:val="30"/>
        </w:rPr>
        <w:t>（一）</w:t>
      </w:r>
      <w:r>
        <w:rPr>
          <w:rFonts w:hint="eastAsia" w:ascii="宋体" w:hAnsi="宋体" w:eastAsia="宋体" w:cs="宋体"/>
          <w:b/>
          <w:sz w:val="24"/>
        </w:rPr>
        <w:t>行业竞争加剧的风险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1-1-12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经过多年发展</w:t>
      </w:r>
      <w:r>
        <w:rPr>
          <w:rFonts w:hint="eastAsia" w:ascii="宋体" w:hAnsi="宋体" w:eastAsia="宋体" w:cs="宋体"/>
          <w:sz w:val="10"/>
        </w:rPr>
        <w:t>，</w:t>
      </w:r>
      <w:r>
        <w:rPr>
          <w:rFonts w:hint="eastAsia" w:ascii="宋体" w:hAnsi="宋体" w:eastAsia="宋体" w:cs="宋体"/>
          <w:sz w:val="24"/>
        </w:rPr>
        <w:t>公司在金融行业信息化领域已经储备了一定的行业经验</w:t>
      </w:r>
      <w:r>
        <w:rPr>
          <w:rFonts w:hint="eastAsia" w:ascii="宋体" w:hAnsi="宋体" w:eastAsia="宋体" w:cs="宋体"/>
          <w:sz w:val="10"/>
        </w:rPr>
        <w:t>，</w:t>
      </w:r>
      <w:r>
        <w:rPr>
          <w:rFonts w:hint="eastAsia" w:ascii="宋体" w:hAnsi="宋体" w:eastAsia="宋体" w:cs="宋体"/>
          <w:sz w:val="24"/>
        </w:rPr>
        <w:t>市场份额稳中有升</w:t>
      </w:r>
      <w:r>
        <w:rPr>
          <w:rFonts w:hint="eastAsia" w:ascii="宋体" w:hAnsi="宋体" w:eastAsia="宋体" w:cs="宋体"/>
          <w:sz w:val="10"/>
        </w:rPr>
        <w:t>，</w:t>
      </w:r>
      <w:r>
        <w:rPr>
          <w:rFonts w:hint="eastAsia" w:ascii="宋体" w:hAnsi="宋体" w:eastAsia="宋体" w:cs="宋体"/>
          <w:sz w:val="24"/>
        </w:rPr>
        <w:t>并树立了良好的品牌形象</w:t>
      </w:r>
      <w:r>
        <w:rPr>
          <w:rFonts w:hint="eastAsia" w:ascii="宋体" w:hAnsi="宋体" w:eastAsia="宋体" w:cs="宋体"/>
          <w:sz w:val="10"/>
        </w:rPr>
        <w:t>。</w:t>
      </w:r>
      <w:r>
        <w:rPr>
          <w:rFonts w:hint="eastAsia" w:ascii="宋体" w:hAnsi="宋体" w:eastAsia="宋体" w:cs="宋体"/>
          <w:sz w:val="24"/>
        </w:rPr>
        <w:t>但随着互联网技术的不断发展</w:t>
      </w:r>
      <w:r>
        <w:rPr>
          <w:rFonts w:hint="eastAsia" w:ascii="宋体" w:hAnsi="宋体" w:eastAsia="宋体" w:cs="宋体"/>
          <w:sz w:val="10"/>
        </w:rPr>
        <w:t>，</w:t>
      </w:r>
      <w:r>
        <w:rPr>
          <w:rFonts w:hint="eastAsia" w:ascii="宋体" w:hAnsi="宋体" w:eastAsia="宋体" w:cs="宋体"/>
          <w:sz w:val="24"/>
        </w:rPr>
        <w:t>以及用户对</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服务的需求不断增长</w:t>
      </w:r>
      <w:r>
        <w:rPr>
          <w:rFonts w:hint="eastAsia" w:ascii="宋体" w:hAnsi="宋体" w:eastAsia="宋体" w:cs="宋体"/>
          <w:sz w:val="10"/>
        </w:rPr>
        <w:t>，</w:t>
      </w:r>
      <w:r>
        <w:rPr>
          <w:rFonts w:hint="eastAsia" w:ascii="宋体" w:hAnsi="宋体" w:eastAsia="宋体" w:cs="宋体"/>
          <w:sz w:val="24"/>
        </w:rPr>
        <w:t>行业内原有竞争对手规模和竞争力不断提高</w:t>
      </w:r>
      <w:r>
        <w:rPr>
          <w:rFonts w:hint="eastAsia" w:ascii="宋体" w:hAnsi="宋体" w:eastAsia="宋体" w:cs="宋体"/>
          <w:sz w:val="10"/>
        </w:rPr>
        <w:t>，</w:t>
      </w:r>
      <w:r>
        <w:rPr>
          <w:rFonts w:hint="eastAsia" w:ascii="宋体" w:hAnsi="宋体" w:eastAsia="宋体" w:cs="宋体"/>
          <w:sz w:val="24"/>
        </w:rPr>
        <w:t>加之存在潜在竞争者进入行业的可能性</w:t>
      </w:r>
      <w:r>
        <w:rPr>
          <w:rFonts w:hint="eastAsia" w:ascii="宋体" w:hAnsi="宋体" w:eastAsia="宋体" w:cs="宋体"/>
          <w:sz w:val="10"/>
        </w:rPr>
        <w:t>，</w:t>
      </w:r>
      <w:r>
        <w:rPr>
          <w:rFonts w:hint="eastAsia" w:ascii="宋体" w:hAnsi="宋体" w:eastAsia="宋体" w:cs="宋体"/>
          <w:sz w:val="24"/>
        </w:rPr>
        <w:t>因此公司所处行业的竞争面临加剧的局面</w:t>
      </w:r>
      <w:r>
        <w:rPr>
          <w:rFonts w:hint="eastAsia" w:ascii="宋体" w:hAnsi="宋体" w:eastAsia="宋体" w:cs="宋体"/>
          <w:sz w:val="10"/>
        </w:rPr>
        <w:t>。</w:t>
      </w:r>
      <w:r>
        <w:rPr>
          <w:rFonts w:hint="eastAsia" w:ascii="宋体" w:hAnsi="宋体" w:eastAsia="宋体" w:cs="宋体"/>
          <w:sz w:val="24"/>
        </w:rPr>
        <w:t>虽然市场总体规模在未来相当长</w:t>
      </w:r>
      <w:r>
        <w:rPr>
          <w:rFonts w:hint="eastAsia" w:ascii="宋体" w:hAnsi="宋体" w:eastAsia="宋体" w:cs="宋体"/>
          <w:sz w:val="10"/>
        </w:rPr>
        <w:t>一</w:t>
      </w:r>
      <w:r>
        <w:rPr>
          <w:rFonts w:hint="eastAsia" w:ascii="宋体" w:hAnsi="宋体" w:eastAsia="宋体" w:cs="宋体"/>
          <w:sz w:val="24"/>
        </w:rPr>
        <w:t>段时间内仍将以较快的速度扩大</w:t>
      </w:r>
      <w:r>
        <w:rPr>
          <w:rFonts w:hint="eastAsia" w:ascii="宋体" w:hAnsi="宋体" w:eastAsia="宋体" w:cs="宋体"/>
          <w:sz w:val="10"/>
        </w:rPr>
        <w:t>，</w:t>
      </w:r>
      <w:r>
        <w:rPr>
          <w:rFonts w:hint="eastAsia" w:ascii="宋体" w:hAnsi="宋体" w:eastAsia="宋体" w:cs="宋体"/>
          <w:sz w:val="24"/>
        </w:rPr>
        <w:t>为公司提供了获取更大市场份额的机会</w:t>
      </w:r>
      <w:r>
        <w:rPr>
          <w:rFonts w:hint="eastAsia" w:ascii="宋体" w:hAnsi="宋体" w:eastAsia="宋体" w:cs="宋体"/>
          <w:sz w:val="10"/>
        </w:rPr>
        <w:t>，</w:t>
      </w:r>
      <w:r>
        <w:rPr>
          <w:rFonts w:hint="eastAsia" w:ascii="宋体" w:hAnsi="宋体" w:eastAsia="宋体" w:cs="宋体"/>
          <w:sz w:val="24"/>
        </w:rPr>
        <w:t>但如果公司在市场竞争中不能有效提升专业技术水平</w:t>
      </w:r>
      <w:r>
        <w:rPr>
          <w:rFonts w:hint="eastAsia" w:ascii="宋体" w:hAnsi="宋体" w:eastAsia="宋体" w:cs="宋体"/>
          <w:sz w:val="10"/>
        </w:rPr>
        <w:t>，</w:t>
      </w:r>
      <w:r>
        <w:rPr>
          <w:rFonts w:hint="eastAsia" w:ascii="宋体" w:hAnsi="宋体" w:eastAsia="宋体" w:cs="宋体"/>
          <w:sz w:val="24"/>
        </w:rPr>
        <w:t>不能充分利用现有的市场影响力</w:t>
      </w:r>
      <w:r>
        <w:rPr>
          <w:rFonts w:hint="eastAsia" w:ascii="宋体" w:hAnsi="宋体" w:eastAsia="宋体" w:cs="宋体"/>
          <w:sz w:val="10"/>
        </w:rPr>
        <w:t>，</w:t>
      </w:r>
      <w:r>
        <w:rPr>
          <w:rFonts w:hint="eastAsia" w:ascii="宋体" w:hAnsi="宋体" w:eastAsia="宋体" w:cs="宋体"/>
          <w:sz w:val="24"/>
        </w:rPr>
        <w:t>无法在当前市场高速发展的态势下迅速扩大自身规模并增强资金实力</w:t>
      </w:r>
      <w:r>
        <w:rPr>
          <w:rFonts w:hint="eastAsia" w:ascii="宋体" w:hAnsi="宋体" w:eastAsia="宋体" w:cs="宋体"/>
          <w:sz w:val="10"/>
        </w:rPr>
        <w:t>，</w:t>
      </w:r>
      <w:r>
        <w:rPr>
          <w:rFonts w:hint="eastAsia" w:ascii="宋体" w:hAnsi="宋体" w:eastAsia="宋体" w:cs="宋体"/>
          <w:sz w:val="24"/>
        </w:rPr>
        <w:t>公司将面临较大的市场竞争风险</w:t>
      </w:r>
      <w:r>
        <w:rPr>
          <w:rFonts w:hint="eastAsia" w:ascii="宋体" w:hAnsi="宋体" w:eastAsia="宋体" w:cs="宋体"/>
          <w:sz w:val="10"/>
        </w:rPr>
        <w:t>，</w:t>
      </w:r>
      <w:r>
        <w:rPr>
          <w:rFonts w:hint="eastAsia" w:ascii="宋体" w:hAnsi="宋体" w:eastAsia="宋体" w:cs="宋体"/>
          <w:sz w:val="24"/>
        </w:rPr>
        <w:t>有可能导致公司的市场地位出现下滑</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780"/>
        <w:jc w:val="both"/>
      </w:pPr>
      <w:r>
        <w:rPr>
          <w:rFonts w:hint="eastAsia" w:ascii="宋体" w:hAnsi="宋体" w:eastAsia="宋体" w:cs="宋体"/>
          <w:b/>
          <w:sz w:val="24"/>
        </w:rPr>
        <w:t>（二）收入和毛利贡献差异的风险</w:t>
      </w:r>
    </w:p>
    <w:p>
      <w:pPr>
        <w:spacing w:line="200" w:lineRule="exact"/>
        <w:rPr>
          <w:rFonts w:hint="eastAsia" w:ascii="宋体" w:hAnsi="宋体" w:eastAsia="宋体" w:cs="宋体"/>
          <w:sz w:val="20"/>
        </w:rPr>
      </w:pPr>
    </w:p>
    <w:p>
      <w:pPr>
        <w:autoSpaceDE w:val="false"/>
        <w:autoSpaceDN w:val="false"/>
        <w:spacing w:line="460" w:lineRule="exact"/>
        <w:ind w:left="1780" w:right="158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公司系统集成业务的毛利率为</w:t>
      </w:r>
      <w:r>
        <w:rPr>
          <w:rFonts w:hint="eastAsia" w:ascii="Times New Roman" w:hAnsi="Times New Roman" w:eastAsia="Times New Roman" w:cs="Times New Roman"/>
          <w:sz w:val="24"/>
        </w:rPr>
        <w:t xml:space="preserve"> 19.37%</w:t>
      </w:r>
      <w:r>
        <w:rPr>
          <w:rFonts w:hint="eastAsia" w:ascii="宋体" w:hAnsi="宋体" w:eastAsia="宋体" w:cs="宋体"/>
          <w:sz w:val="10"/>
        </w:rPr>
        <w:t>、</w:t>
      </w:r>
      <w:r>
        <w:rPr>
          <w:rFonts w:hint="eastAsia" w:ascii="Times New Roman" w:hAnsi="Times New Roman" w:eastAsia="Times New Roman" w:cs="Times New Roman"/>
          <w:sz w:val="24"/>
        </w:rPr>
        <w:t>23.13%</w:t>
      </w:r>
      <w:r>
        <w:rPr>
          <w:rFonts w:hint="eastAsia" w:ascii="宋体" w:hAnsi="宋体" w:eastAsia="宋体" w:cs="宋体"/>
          <w:sz w:val="24"/>
        </w:rPr>
        <w:t>和</w:t>
      </w:r>
      <w:r>
        <w:rPr>
          <w:rFonts w:hint="eastAsia" w:ascii="Times New Roman" w:hAnsi="Times New Roman" w:eastAsia="Times New Roman" w:cs="Times New Roman"/>
          <w:sz w:val="24"/>
        </w:rPr>
        <w:t xml:space="preserve"> 14.00%</w:t>
      </w:r>
      <w:r>
        <w:rPr>
          <w:rFonts w:hint="eastAsia" w:ascii="宋体" w:hAnsi="宋体" w:eastAsia="宋体" w:cs="宋体"/>
          <w:sz w:val="10"/>
        </w:rPr>
        <w:t>，</w:t>
      </w:r>
      <w:r>
        <w:rPr>
          <w:rFonts w:hint="eastAsia" w:ascii="宋体" w:hAnsi="宋体" w:eastAsia="宋体" w:cs="宋体"/>
          <w:sz w:val="24"/>
        </w:rPr>
        <w:t>综合毛利率分别为</w:t>
      </w:r>
      <w:r>
        <w:rPr>
          <w:rFonts w:hint="eastAsia" w:ascii="Times New Roman" w:hAnsi="Times New Roman" w:eastAsia="Times New Roman" w:cs="Times New Roman"/>
          <w:sz w:val="24"/>
        </w:rPr>
        <w:t xml:space="preserve"> 78.98%</w:t>
      </w:r>
      <w:r>
        <w:rPr>
          <w:rFonts w:hint="eastAsia" w:ascii="宋体" w:hAnsi="宋体" w:eastAsia="宋体" w:cs="宋体"/>
          <w:sz w:val="10"/>
        </w:rPr>
        <w:t>、</w:t>
      </w:r>
      <w:r>
        <w:rPr>
          <w:rFonts w:hint="eastAsia" w:ascii="Times New Roman" w:hAnsi="Times New Roman" w:eastAsia="Times New Roman" w:cs="Times New Roman"/>
          <w:sz w:val="24"/>
        </w:rPr>
        <w:t>76.81%</w:t>
      </w:r>
      <w:r>
        <w:rPr>
          <w:rFonts w:hint="eastAsia" w:ascii="宋体" w:hAnsi="宋体" w:eastAsia="宋体" w:cs="宋体"/>
          <w:sz w:val="24"/>
        </w:rPr>
        <w:t>和</w:t>
      </w:r>
      <w:r>
        <w:rPr>
          <w:rFonts w:hint="eastAsia" w:ascii="Times New Roman" w:hAnsi="Times New Roman" w:eastAsia="Times New Roman" w:cs="Times New Roman"/>
          <w:sz w:val="24"/>
        </w:rPr>
        <w:t xml:space="preserve"> 79.47%</w:t>
      </w:r>
      <w:r>
        <w:rPr>
          <w:rFonts w:hint="eastAsia" w:ascii="宋体" w:hAnsi="宋体" w:eastAsia="宋体" w:cs="宋体"/>
          <w:sz w:val="10"/>
        </w:rPr>
        <w:t>，</w:t>
      </w:r>
      <w:r>
        <w:rPr>
          <w:rFonts w:hint="eastAsia" w:ascii="宋体" w:hAnsi="宋体" w:eastAsia="宋体" w:cs="宋体"/>
          <w:sz w:val="24"/>
        </w:rPr>
        <w:t>两者之间存在一定差异</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系统集成业务收入在各会计年度的比重对当年综合毛利率会产生一定影响</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公司系统集成业务收入占主营业务收入比例分别为</w:t>
      </w:r>
      <w:r>
        <w:rPr>
          <w:rFonts w:hint="eastAsia" w:ascii="Times New Roman" w:hAnsi="Times New Roman" w:eastAsia="Times New Roman" w:cs="Times New Roman"/>
          <w:sz w:val="24"/>
        </w:rPr>
        <w:t>5.99%</w:t>
      </w:r>
      <w:r>
        <w:rPr>
          <w:rFonts w:hint="eastAsia" w:ascii="宋体" w:hAnsi="宋体" w:eastAsia="宋体" w:cs="宋体"/>
          <w:sz w:val="10"/>
        </w:rPr>
        <w:t>、</w:t>
      </w:r>
      <w:r>
        <w:rPr>
          <w:rFonts w:hint="eastAsia" w:ascii="Times New Roman" w:hAnsi="Times New Roman" w:eastAsia="Times New Roman" w:cs="Times New Roman"/>
          <w:sz w:val="24"/>
        </w:rPr>
        <w:t>12.13%</w:t>
      </w:r>
      <w:r>
        <w:rPr>
          <w:rFonts w:hint="eastAsia" w:ascii="宋体" w:hAnsi="宋体" w:eastAsia="宋体" w:cs="宋体"/>
          <w:sz w:val="24"/>
        </w:rPr>
        <w:t>和</w:t>
      </w:r>
      <w:r>
        <w:rPr>
          <w:rFonts w:hint="eastAsia" w:ascii="Times New Roman" w:hAnsi="Times New Roman" w:eastAsia="Times New Roman" w:cs="Times New Roman"/>
          <w:sz w:val="24"/>
        </w:rPr>
        <w:t xml:space="preserve"> 3.24%</w:t>
      </w:r>
      <w:r>
        <w:rPr>
          <w:rFonts w:hint="eastAsia" w:ascii="宋体" w:hAnsi="宋体" w:eastAsia="宋体" w:cs="宋体"/>
          <w:sz w:val="10"/>
        </w:rPr>
        <w:t>。</w:t>
      </w:r>
      <w:r>
        <w:rPr>
          <w:rFonts w:hint="eastAsia" w:ascii="宋体" w:hAnsi="宋体" w:eastAsia="宋体" w:cs="宋体"/>
          <w:sz w:val="24"/>
        </w:rPr>
        <w:t>如果公司系统集成业务收入占比出现变化</w:t>
      </w:r>
      <w:r>
        <w:rPr>
          <w:rFonts w:hint="eastAsia" w:ascii="宋体" w:hAnsi="宋体" w:eastAsia="宋体" w:cs="宋体"/>
          <w:sz w:val="10"/>
        </w:rPr>
        <w:t>，</w:t>
      </w:r>
      <w:r>
        <w:rPr>
          <w:rFonts w:hint="eastAsia" w:ascii="宋体" w:hAnsi="宋体" w:eastAsia="宋体" w:cs="宋体"/>
          <w:sz w:val="24"/>
        </w:rPr>
        <w:t>将导致公司综合毛利率产生波动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780"/>
        <w:jc w:val="both"/>
      </w:pPr>
      <w:r>
        <w:rPr>
          <w:rFonts w:hint="eastAsia" w:ascii="宋体" w:hAnsi="宋体" w:eastAsia="宋体" w:cs="宋体"/>
          <w:b/>
          <w:sz w:val="24"/>
        </w:rPr>
        <w:t>（三）募集资金投资项目相关风险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募集资金项目未能实现预期效益的风险</w:t>
      </w:r>
    </w:p>
    <w:p>
      <w:pPr>
        <w:spacing w:line="200" w:lineRule="exact"/>
        <w:rPr>
          <w:rFonts w:hint="eastAsia" w:ascii="宋体" w:hAnsi="宋体" w:eastAsia="宋体" w:cs="宋体"/>
          <w:sz w:val="20"/>
        </w:rPr>
      </w:pPr>
    </w:p>
    <w:p>
      <w:pPr>
        <w:autoSpaceDE w:val="false"/>
        <w:autoSpaceDN w:val="false"/>
        <w:spacing w:line="460" w:lineRule="exact"/>
        <w:ind w:left="1780" w:right="1580" w:firstLine="480"/>
        <w:jc w:val="both"/>
      </w:pPr>
      <w:r>
        <w:rPr>
          <w:rFonts w:hint="eastAsia" w:ascii="宋体" w:hAnsi="宋体" w:eastAsia="宋体" w:cs="宋体"/>
          <w:sz w:val="24"/>
        </w:rPr>
        <w:t>本次募集资金投资项目总投资额为</w:t>
      </w:r>
      <w:r>
        <w:rPr>
          <w:rFonts w:hint="eastAsia" w:ascii="Times New Roman" w:hAnsi="Times New Roman" w:eastAsia="Times New Roman" w:cs="Times New Roman"/>
          <w:sz w:val="24"/>
        </w:rPr>
        <w:t xml:space="preserve"> 44,151.10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使用募集资金投入</w:t>
      </w:r>
      <w:r>
        <w:rPr>
          <w:rFonts w:hint="eastAsia" w:ascii="Times New Roman" w:hAnsi="Times New Roman" w:eastAsia="Times New Roman" w:cs="Times New Roman"/>
          <w:sz w:val="24"/>
        </w:rPr>
        <w:t>36,243.44</w:t>
      </w:r>
      <w:r>
        <w:rPr>
          <w:rFonts w:hint="eastAsia" w:ascii="宋体" w:hAnsi="宋体" w:eastAsia="宋体" w:cs="宋体"/>
          <w:sz w:val="24"/>
        </w:rPr>
        <w:t xml:space="preserve"> 万元分别用于基于新</w:t>
      </w:r>
      <w:r>
        <w:rPr>
          <w:rFonts w:hint="eastAsia" w:ascii="宋体" w:hAnsi="宋体" w:eastAsia="宋体" w:cs="宋体"/>
          <w:sz w:val="10"/>
        </w:rPr>
        <w:t>一</w:t>
      </w:r>
      <w:r>
        <w:rPr>
          <w:rFonts w:hint="eastAsia" w:ascii="宋体" w:hAnsi="宋体" w:eastAsia="宋体" w:cs="宋体"/>
          <w:sz w:val="24"/>
        </w:rPr>
        <w:t>代</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的平台及产品升级项目</w:t>
      </w:r>
      <w:r>
        <w:rPr>
          <w:rFonts w:hint="eastAsia" w:ascii="宋体" w:hAnsi="宋体" w:eastAsia="宋体" w:cs="宋体"/>
          <w:sz w:val="10"/>
        </w:rPr>
        <w:t>、</w:t>
      </w:r>
      <w:r>
        <w:rPr>
          <w:rFonts w:hint="eastAsia" w:ascii="宋体" w:hAnsi="宋体" w:eastAsia="宋体" w:cs="宋体"/>
          <w:sz w:val="24"/>
        </w:rPr>
        <w:t>金融行业互联网化应用解决方案项目</w:t>
      </w:r>
      <w:r>
        <w:rPr>
          <w:rFonts w:hint="eastAsia" w:ascii="宋体" w:hAnsi="宋体" w:eastAsia="宋体" w:cs="宋体"/>
          <w:sz w:val="10"/>
        </w:rPr>
        <w:t>、</w:t>
      </w:r>
      <w:r>
        <w:rPr>
          <w:rFonts w:hint="eastAsia" w:ascii="宋体" w:hAnsi="宋体" w:eastAsia="宋体" w:cs="宋体"/>
          <w:sz w:val="24"/>
        </w:rPr>
        <w:t>流程券商（含期货）解决方案项目</w:t>
      </w:r>
      <w:r>
        <w:rPr>
          <w:rFonts w:hint="eastAsia" w:ascii="宋体" w:hAnsi="宋体" w:eastAsia="宋体" w:cs="宋体"/>
          <w:sz w:val="10"/>
        </w:rPr>
        <w:t>、</w:t>
      </w:r>
      <w:r>
        <w:rPr>
          <w:rFonts w:hint="eastAsia" w:ascii="宋体" w:hAnsi="宋体" w:eastAsia="宋体" w:cs="宋体"/>
          <w:sz w:val="24"/>
        </w:rPr>
        <w:t>新一代电子交易市场业务支撑系统项目</w:t>
      </w:r>
      <w:r>
        <w:rPr>
          <w:rFonts w:hint="eastAsia" w:ascii="宋体" w:hAnsi="宋体" w:eastAsia="宋体" w:cs="宋体"/>
          <w:sz w:val="10"/>
        </w:rPr>
        <w:t>、</w:t>
      </w:r>
      <w:r>
        <w:rPr>
          <w:rFonts w:hint="eastAsia" w:ascii="宋体" w:hAnsi="宋体" w:eastAsia="宋体" w:cs="宋体"/>
          <w:sz w:val="24"/>
        </w:rPr>
        <w:t>研发中心建设项目</w:t>
      </w:r>
      <w:r>
        <w:rPr>
          <w:rFonts w:hint="eastAsia" w:ascii="宋体" w:hAnsi="宋体" w:eastAsia="宋体" w:cs="宋体"/>
          <w:sz w:val="10"/>
        </w:rPr>
        <w:t>。</w:t>
      </w:r>
      <w:r>
        <w:rPr>
          <w:rFonts w:hint="eastAsia" w:ascii="宋体" w:hAnsi="宋体" w:eastAsia="宋体" w:cs="宋体"/>
          <w:sz w:val="24"/>
        </w:rPr>
        <w:t>上述项目均属于公司主营业务</w:t>
      </w:r>
      <w:r>
        <w:rPr>
          <w:rFonts w:hint="eastAsia" w:ascii="宋体" w:hAnsi="宋体" w:eastAsia="宋体" w:cs="宋体"/>
          <w:sz w:val="10"/>
        </w:rPr>
        <w:t>，</w:t>
      </w:r>
      <w:r>
        <w:rPr>
          <w:rFonts w:hint="eastAsia" w:ascii="宋体" w:hAnsi="宋体" w:eastAsia="宋体" w:cs="宋体"/>
          <w:sz w:val="24"/>
        </w:rPr>
        <w:t>符合公司发展战略</w:t>
      </w:r>
      <w:r>
        <w:rPr>
          <w:rFonts w:hint="eastAsia" w:ascii="宋体" w:hAnsi="宋体" w:eastAsia="宋体" w:cs="宋体"/>
          <w:sz w:val="10"/>
        </w:rPr>
        <w:t>。</w:t>
      </w:r>
      <w:r>
        <w:rPr>
          <w:rFonts w:hint="eastAsia" w:ascii="宋体" w:hAnsi="宋体" w:eastAsia="宋体" w:cs="宋体"/>
          <w:sz w:val="24"/>
        </w:rPr>
        <w:t>虽然公司对募集资金投资项目进行了充分的可行性论证</w:t>
      </w:r>
      <w:r>
        <w:rPr>
          <w:rFonts w:hint="eastAsia" w:ascii="宋体" w:hAnsi="宋体" w:eastAsia="宋体" w:cs="宋体"/>
          <w:sz w:val="10"/>
        </w:rPr>
        <w:t>，</w:t>
      </w:r>
      <w:r>
        <w:rPr>
          <w:rFonts w:hint="eastAsia" w:ascii="宋体" w:hAnsi="宋体" w:eastAsia="宋体" w:cs="宋体"/>
          <w:sz w:val="24"/>
        </w:rPr>
        <w:t>但由于该等项目投资金额较大</w:t>
      </w:r>
      <w:r>
        <w:rPr>
          <w:rFonts w:hint="eastAsia" w:ascii="宋体" w:hAnsi="宋体" w:eastAsia="宋体" w:cs="宋体"/>
          <w:sz w:val="10"/>
        </w:rPr>
        <w:t>，</w:t>
      </w:r>
      <w:r>
        <w:rPr>
          <w:rFonts w:hint="eastAsia" w:ascii="宋体" w:hAnsi="宋体" w:eastAsia="宋体" w:cs="宋体"/>
          <w:sz w:val="24"/>
        </w:rPr>
        <w:t>如果出现募集资金投资项目实施组织管理不力</w:t>
      </w:r>
      <w:r>
        <w:rPr>
          <w:rFonts w:hint="eastAsia" w:ascii="宋体" w:hAnsi="宋体" w:eastAsia="宋体" w:cs="宋体"/>
          <w:sz w:val="10"/>
        </w:rPr>
        <w:t>、</w:t>
      </w:r>
      <w:r>
        <w:rPr>
          <w:rFonts w:hint="eastAsia" w:ascii="宋体" w:hAnsi="宋体" w:eastAsia="宋体" w:cs="宋体"/>
          <w:sz w:val="24"/>
        </w:rPr>
        <w:t>募集资金投资项目不能按计划进展</w:t>
      </w:r>
      <w:r>
        <w:rPr>
          <w:rFonts w:hint="eastAsia" w:ascii="宋体" w:hAnsi="宋体" w:eastAsia="宋体" w:cs="宋体"/>
          <w:sz w:val="10"/>
        </w:rPr>
        <w:t>、</w:t>
      </w:r>
      <w:r>
        <w:rPr>
          <w:rFonts w:hint="eastAsia" w:ascii="宋体" w:hAnsi="宋体" w:eastAsia="宋体" w:cs="宋体"/>
          <w:sz w:val="24"/>
        </w:rPr>
        <w:t>募集资金投资项目实施过程中市场环境发生重大变化或市场拓展不理想等情况</w:t>
      </w:r>
      <w:r>
        <w:rPr>
          <w:rFonts w:hint="eastAsia" w:ascii="宋体" w:hAnsi="宋体" w:eastAsia="宋体" w:cs="宋体"/>
          <w:sz w:val="10"/>
        </w:rPr>
        <w:t>，</w:t>
      </w:r>
      <w:r>
        <w:rPr>
          <w:rFonts w:hint="eastAsia" w:ascii="宋体" w:hAnsi="宋体" w:eastAsia="宋体" w:cs="宋体"/>
          <w:sz w:val="24"/>
        </w:rPr>
        <w:t>募集资金将难以给公司带来预期的效益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费用支出</w:t>
      </w:r>
      <w:r>
        <w:rPr>
          <w:rFonts w:hint="eastAsia" w:ascii="宋体" w:hAnsi="宋体" w:eastAsia="宋体" w:cs="宋体"/>
          <w:b/>
          <w:sz w:val="10"/>
        </w:rPr>
        <w:t>、</w:t>
      </w:r>
      <w:r>
        <w:rPr>
          <w:rFonts w:hint="eastAsia" w:ascii="宋体" w:hAnsi="宋体" w:eastAsia="宋体" w:cs="宋体"/>
          <w:b/>
          <w:sz w:val="24"/>
        </w:rPr>
        <w:t>折旧及摊销增加可能影响公司盈利水平的风险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1-1-13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780" w:right="1600" w:firstLine="480"/>
        <w:jc w:val="both"/>
      </w:pPr>
      <w:r>
        <w:rPr>
          <w:rFonts w:hint="eastAsia" w:ascii="宋体" w:hAnsi="宋体" w:eastAsia="宋体" w:cs="宋体"/>
          <w:sz w:val="24"/>
        </w:rPr>
        <w:t>本次发行募集资金投资项目投资期限均在</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个月以内</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固定资产及无形资产投资金额为</w:t>
      </w:r>
      <w:r>
        <w:rPr>
          <w:rFonts w:hint="eastAsia" w:ascii="Times New Roman" w:hAnsi="Times New Roman" w:eastAsia="Times New Roman" w:cs="Times New Roman"/>
          <w:sz w:val="24"/>
        </w:rPr>
        <w:t xml:space="preserve"> 25,392.82</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技术开发支出总计</w:t>
      </w:r>
      <w:r>
        <w:rPr>
          <w:rFonts w:hint="eastAsia" w:ascii="Times New Roman" w:hAnsi="Times New Roman" w:eastAsia="Times New Roman" w:cs="Times New Roman"/>
          <w:sz w:val="24"/>
        </w:rPr>
        <w:t xml:space="preserve"> 12,421.60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固定资产及无形资产按照公司折旧及摊销政策进行折旧和摊销</w:t>
      </w:r>
      <w:r>
        <w:rPr>
          <w:rFonts w:hint="eastAsia" w:ascii="宋体" w:hAnsi="宋体" w:eastAsia="宋体" w:cs="宋体"/>
          <w:sz w:val="10"/>
        </w:rPr>
        <w:t>，</w:t>
      </w:r>
      <w:r>
        <w:rPr>
          <w:rFonts w:hint="eastAsia" w:ascii="宋体" w:hAnsi="宋体" w:eastAsia="宋体" w:cs="宋体"/>
          <w:sz w:val="24"/>
        </w:rPr>
        <w:t>技术开发支出于发生当年计入当期的成本费用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根据项目预计安排</w:t>
      </w:r>
      <w:r>
        <w:rPr>
          <w:rFonts w:hint="eastAsia" w:ascii="宋体" w:hAnsi="宋体" w:eastAsia="宋体" w:cs="宋体"/>
          <w:sz w:val="10"/>
        </w:rPr>
        <w:t>，</w:t>
      </w:r>
      <w:r>
        <w:rPr>
          <w:rFonts w:hint="eastAsia" w:ascii="宋体" w:hAnsi="宋体" w:eastAsia="宋体" w:cs="宋体"/>
          <w:sz w:val="24"/>
        </w:rPr>
        <w:t>募集资金投资项目投资的第一年和第二年的折旧</w:t>
      </w:r>
      <w:r>
        <w:rPr>
          <w:rFonts w:hint="eastAsia" w:ascii="宋体" w:hAnsi="宋体" w:eastAsia="宋体" w:cs="宋体"/>
          <w:sz w:val="10"/>
        </w:rPr>
        <w:t>、</w:t>
      </w:r>
      <w:r>
        <w:rPr>
          <w:rFonts w:hint="eastAsia" w:ascii="宋体" w:hAnsi="宋体" w:eastAsia="宋体" w:cs="宋体"/>
          <w:sz w:val="24"/>
        </w:rPr>
        <w:t>摊销及技术开发支出总计分别达到</w:t>
      </w:r>
      <w:r>
        <w:rPr>
          <w:rFonts w:hint="eastAsia" w:ascii="Times New Roman" w:hAnsi="Times New Roman" w:eastAsia="Times New Roman" w:cs="Times New Roman"/>
          <w:sz w:val="24"/>
        </w:rPr>
        <w:t xml:space="preserve"> 11,149.05</w:t>
      </w:r>
      <w:r>
        <w:rPr>
          <w:rFonts w:hint="eastAsia" w:ascii="宋体" w:hAnsi="宋体" w:eastAsia="宋体" w:cs="宋体"/>
          <w:sz w:val="24"/>
        </w:rPr>
        <w:t xml:space="preserve"> 万元和</w:t>
      </w:r>
      <w:r>
        <w:rPr>
          <w:rFonts w:hint="eastAsia" w:ascii="Times New Roman" w:hAnsi="Times New Roman" w:eastAsia="Times New Roman" w:cs="Times New Roman"/>
          <w:sz w:val="24"/>
        </w:rPr>
        <w:t xml:space="preserve"> 8,252.83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第三年开始募集资金投资项目无技术开发支出</w:t>
      </w:r>
      <w:r>
        <w:rPr>
          <w:rFonts w:hint="eastAsia" w:ascii="宋体" w:hAnsi="宋体" w:eastAsia="宋体" w:cs="宋体"/>
          <w:sz w:val="10"/>
        </w:rPr>
        <w:t>，</w:t>
      </w:r>
      <w:r>
        <w:rPr>
          <w:rFonts w:hint="eastAsia" w:ascii="宋体" w:hAnsi="宋体" w:eastAsia="宋体" w:cs="宋体"/>
          <w:sz w:val="24"/>
        </w:rPr>
        <w:t>每年新增固定资产折旧和无形资产摊销约</w:t>
      </w:r>
      <w:r>
        <w:rPr>
          <w:rFonts w:hint="eastAsia" w:ascii="Times New Roman" w:hAnsi="Times New Roman" w:eastAsia="Times New Roman" w:cs="Times New Roman"/>
          <w:sz w:val="24"/>
        </w:rPr>
        <w:t>2,551.13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上述折旧</w:t>
      </w:r>
      <w:r>
        <w:rPr>
          <w:rFonts w:hint="eastAsia" w:ascii="宋体" w:hAnsi="宋体" w:eastAsia="宋体" w:cs="宋体"/>
          <w:sz w:val="10"/>
        </w:rPr>
        <w:t>、</w:t>
      </w:r>
      <w:r>
        <w:rPr>
          <w:rFonts w:hint="eastAsia" w:ascii="宋体" w:hAnsi="宋体" w:eastAsia="宋体" w:cs="宋体"/>
          <w:sz w:val="24"/>
        </w:rPr>
        <w:t>摊销及技术开发支出将使相应年度的成本费用有</w:t>
      </w:r>
      <w:r>
        <w:rPr>
          <w:rFonts w:hint="eastAsia" w:ascii="宋体" w:hAnsi="宋体" w:eastAsia="宋体" w:cs="宋体"/>
          <w:sz w:val="10"/>
        </w:rPr>
        <w:t>一</w:t>
      </w:r>
      <w:r>
        <w:rPr>
          <w:rFonts w:hint="eastAsia" w:ascii="宋体" w:hAnsi="宋体" w:eastAsia="宋体" w:cs="宋体"/>
          <w:sz w:val="24"/>
        </w:rPr>
        <w:t>定程度的增加</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580" w:firstLine="480"/>
        <w:jc w:val="both"/>
      </w:pPr>
      <w:r>
        <w:rPr>
          <w:rFonts w:hint="eastAsia" w:ascii="宋体" w:hAnsi="宋体" w:eastAsia="宋体" w:cs="宋体"/>
          <w:sz w:val="24"/>
        </w:rPr>
        <w:t>由于募投项目均围绕公司主营业务进一步提升公司竞争能力</w:t>
      </w:r>
      <w:r>
        <w:rPr>
          <w:rFonts w:hint="eastAsia" w:ascii="宋体" w:hAnsi="宋体" w:eastAsia="宋体" w:cs="宋体"/>
          <w:sz w:val="10"/>
        </w:rPr>
        <w:t>，</w:t>
      </w:r>
      <w:r>
        <w:rPr>
          <w:rFonts w:hint="eastAsia" w:ascii="宋体" w:hAnsi="宋体" w:eastAsia="宋体" w:cs="宋体"/>
          <w:sz w:val="24"/>
        </w:rPr>
        <w:t>项目实施后将产生良好的经济效益</w:t>
      </w:r>
      <w:r>
        <w:rPr>
          <w:rFonts w:hint="eastAsia" w:ascii="宋体" w:hAnsi="宋体" w:eastAsia="宋体" w:cs="宋体"/>
          <w:sz w:val="10"/>
        </w:rPr>
        <w:t>，</w:t>
      </w:r>
      <w:r>
        <w:rPr>
          <w:rFonts w:hint="eastAsia" w:ascii="宋体" w:hAnsi="宋体" w:eastAsia="宋体" w:cs="宋体"/>
          <w:sz w:val="24"/>
        </w:rPr>
        <w:t>新增固定资产折旧及研发支出对公司经营成果的影响将逐步减小</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包括证券行业信息化在内的金融行业信息化领域</w:t>
      </w:r>
      <w:r>
        <w:rPr>
          <w:rFonts w:hint="eastAsia" w:ascii="宋体" w:hAnsi="宋体" w:eastAsia="宋体" w:cs="宋体"/>
          <w:sz w:val="10"/>
        </w:rPr>
        <w:t>，</w:t>
      </w:r>
      <w:r>
        <w:rPr>
          <w:rFonts w:hint="eastAsia" w:ascii="宋体" w:hAnsi="宋体" w:eastAsia="宋体" w:cs="宋体"/>
          <w:sz w:val="24"/>
        </w:rPr>
        <w:t>正面临一个快速发展的阶段</w:t>
      </w:r>
      <w:r>
        <w:rPr>
          <w:rFonts w:hint="eastAsia" w:ascii="宋体" w:hAnsi="宋体" w:eastAsia="宋体" w:cs="宋体"/>
          <w:sz w:val="10"/>
        </w:rPr>
        <w:t>，</w:t>
      </w:r>
      <w:r>
        <w:rPr>
          <w:rFonts w:hint="eastAsia" w:ascii="宋体" w:hAnsi="宋体" w:eastAsia="宋体" w:cs="宋体"/>
          <w:sz w:val="24"/>
        </w:rPr>
        <w:t>本公司预计未来几年营业收入将保持稳步增长</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募集资金投资项目中</w:t>
      </w:r>
      <w:r>
        <w:rPr>
          <w:rFonts w:hint="eastAsia" w:ascii="宋体" w:hAnsi="宋体" w:eastAsia="宋体" w:cs="宋体"/>
          <w:sz w:val="10"/>
        </w:rPr>
        <w:t>，</w:t>
      </w:r>
      <w:r>
        <w:rPr>
          <w:rFonts w:hint="eastAsia" w:ascii="宋体" w:hAnsi="宋体" w:eastAsia="宋体" w:cs="宋体"/>
          <w:sz w:val="24"/>
        </w:rPr>
        <w:t>除研发中心建设项目外的其他四个投资项目</w:t>
      </w:r>
      <w:r>
        <w:rPr>
          <w:rFonts w:hint="eastAsia" w:ascii="宋体" w:hAnsi="宋体" w:eastAsia="宋体" w:cs="宋体"/>
          <w:sz w:val="10"/>
        </w:rPr>
        <w:t>，</w:t>
      </w:r>
      <w:r>
        <w:rPr>
          <w:rFonts w:hint="eastAsia" w:ascii="宋体" w:hAnsi="宋体" w:eastAsia="宋体" w:cs="宋体"/>
          <w:sz w:val="24"/>
        </w:rPr>
        <w:t>投资第一年即可产生效益</w:t>
      </w:r>
      <w:r>
        <w:rPr>
          <w:rFonts w:hint="eastAsia" w:ascii="宋体" w:hAnsi="宋体" w:eastAsia="宋体" w:cs="宋体"/>
          <w:sz w:val="10"/>
        </w:rPr>
        <w:t>，</w:t>
      </w:r>
      <w:r>
        <w:rPr>
          <w:rFonts w:hint="eastAsia" w:ascii="宋体" w:hAnsi="宋体" w:eastAsia="宋体" w:cs="宋体"/>
          <w:sz w:val="24"/>
        </w:rPr>
        <w:t>上述四个项目在募集资金投资第一年和第二年的预计收入合计分别为</w:t>
      </w:r>
      <w:r>
        <w:rPr>
          <w:rFonts w:hint="eastAsia" w:ascii="Times New Roman" w:hAnsi="Times New Roman" w:eastAsia="Times New Roman" w:cs="Times New Roman"/>
          <w:sz w:val="24"/>
        </w:rPr>
        <w:t xml:space="preserve"> 2.44</w:t>
      </w:r>
      <w:r>
        <w:rPr>
          <w:rFonts w:hint="eastAsia" w:ascii="宋体" w:hAnsi="宋体" w:eastAsia="宋体" w:cs="宋体"/>
          <w:sz w:val="24"/>
        </w:rPr>
        <w:t>亿元和</w:t>
      </w:r>
      <w:r>
        <w:rPr>
          <w:rFonts w:hint="eastAsia" w:ascii="Times New Roman" w:hAnsi="Times New Roman" w:eastAsia="Times New Roman" w:cs="Times New Roman"/>
          <w:sz w:val="24"/>
        </w:rPr>
        <w:t xml:space="preserve"> 3.52</w:t>
      </w:r>
      <w:r>
        <w:rPr>
          <w:rFonts w:hint="eastAsia" w:ascii="宋体" w:hAnsi="宋体" w:eastAsia="宋体" w:cs="宋体"/>
          <w:sz w:val="24"/>
        </w:rPr>
        <w:t xml:space="preserve"> 亿元</w:t>
      </w:r>
      <w:r>
        <w:rPr>
          <w:rFonts w:hint="eastAsia" w:ascii="宋体" w:hAnsi="宋体" w:eastAsia="宋体" w:cs="宋体"/>
          <w:sz w:val="10"/>
        </w:rPr>
        <w:t>，</w:t>
      </w:r>
      <w:r>
        <w:rPr>
          <w:rFonts w:hint="eastAsia" w:ascii="宋体" w:hAnsi="宋体" w:eastAsia="宋体" w:cs="宋体"/>
          <w:sz w:val="24"/>
        </w:rPr>
        <w:t>扣除折旧</w:t>
      </w:r>
      <w:r>
        <w:rPr>
          <w:rFonts w:hint="eastAsia" w:ascii="宋体" w:hAnsi="宋体" w:eastAsia="宋体" w:cs="宋体"/>
          <w:sz w:val="10"/>
        </w:rPr>
        <w:t>、</w:t>
      </w:r>
      <w:r>
        <w:rPr>
          <w:rFonts w:hint="eastAsia" w:ascii="宋体" w:hAnsi="宋体" w:eastAsia="宋体" w:cs="宋体"/>
          <w:sz w:val="24"/>
        </w:rPr>
        <w:t>摊销</w:t>
      </w:r>
      <w:r>
        <w:rPr>
          <w:rFonts w:hint="eastAsia" w:ascii="宋体" w:hAnsi="宋体" w:eastAsia="宋体" w:cs="宋体"/>
          <w:sz w:val="10"/>
        </w:rPr>
        <w:t>、</w:t>
      </w:r>
      <w:r>
        <w:rPr>
          <w:rFonts w:hint="eastAsia" w:ascii="宋体" w:hAnsi="宋体" w:eastAsia="宋体" w:cs="宋体"/>
          <w:sz w:val="24"/>
        </w:rPr>
        <w:t>技术开发支出及其他费用</w:t>
      </w:r>
      <w:r>
        <w:rPr>
          <w:rFonts w:hint="eastAsia" w:ascii="宋体" w:hAnsi="宋体" w:eastAsia="宋体" w:cs="宋体"/>
          <w:sz w:val="10"/>
        </w:rPr>
        <w:t>、</w:t>
      </w:r>
      <w:r>
        <w:rPr>
          <w:rFonts w:hint="eastAsia" w:ascii="宋体" w:hAnsi="宋体" w:eastAsia="宋体" w:cs="宋体"/>
          <w:sz w:val="24"/>
        </w:rPr>
        <w:t>税收等项目后</w:t>
      </w:r>
      <w:r>
        <w:rPr>
          <w:rFonts w:hint="eastAsia" w:ascii="宋体" w:hAnsi="宋体" w:eastAsia="宋体" w:cs="宋体"/>
          <w:sz w:val="10"/>
        </w:rPr>
        <w:t>，</w:t>
      </w:r>
      <w:r>
        <w:rPr>
          <w:rFonts w:hint="eastAsia" w:ascii="宋体" w:hAnsi="宋体" w:eastAsia="宋体" w:cs="宋体"/>
          <w:sz w:val="24"/>
        </w:rPr>
        <w:t>预计可实现净利润合计为</w:t>
      </w:r>
      <w:r>
        <w:rPr>
          <w:rFonts w:hint="eastAsia" w:ascii="Times New Roman" w:hAnsi="Times New Roman" w:eastAsia="Times New Roman" w:cs="Times New Roman"/>
          <w:sz w:val="24"/>
        </w:rPr>
        <w:t xml:space="preserve"> 7,163</w:t>
      </w:r>
      <w:r>
        <w:rPr>
          <w:rFonts w:hint="eastAsia" w:ascii="宋体" w:hAnsi="宋体" w:eastAsia="宋体" w:cs="宋体"/>
          <w:sz w:val="24"/>
        </w:rPr>
        <w:t xml:space="preserve"> 万元和</w:t>
      </w:r>
      <w:r>
        <w:rPr>
          <w:rFonts w:hint="eastAsia" w:ascii="Times New Roman" w:hAnsi="Times New Roman" w:eastAsia="Times New Roman" w:cs="Times New Roman"/>
          <w:sz w:val="24"/>
        </w:rPr>
        <w:t xml:space="preserve"> 13,653</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募集资金投资项目实施过程中的风险</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本次募集资金投资项目建成投产后</w:t>
      </w:r>
      <w:r>
        <w:rPr>
          <w:rFonts w:hint="eastAsia" w:ascii="宋体" w:hAnsi="宋体" w:eastAsia="宋体" w:cs="宋体"/>
          <w:sz w:val="10"/>
        </w:rPr>
        <w:t>，</w:t>
      </w:r>
      <w:r>
        <w:rPr>
          <w:rFonts w:hint="eastAsia" w:ascii="宋体" w:hAnsi="宋体" w:eastAsia="宋体" w:cs="宋体"/>
          <w:sz w:val="24"/>
        </w:rPr>
        <w:t>将对本公司发展战略的实现</w:t>
      </w:r>
      <w:r>
        <w:rPr>
          <w:rFonts w:hint="eastAsia" w:ascii="宋体" w:hAnsi="宋体" w:eastAsia="宋体" w:cs="宋体"/>
          <w:sz w:val="10"/>
        </w:rPr>
        <w:t>、</w:t>
      </w:r>
      <w:r>
        <w:rPr>
          <w:rFonts w:hint="eastAsia" w:ascii="宋体" w:hAnsi="宋体" w:eastAsia="宋体" w:cs="宋体"/>
          <w:sz w:val="24"/>
        </w:rPr>
        <w:t>经营规模的扩大和业绩水平的提高产生重大影响</w:t>
      </w:r>
      <w:r>
        <w:rPr>
          <w:rFonts w:hint="eastAsia" w:ascii="宋体" w:hAnsi="宋体" w:eastAsia="宋体" w:cs="宋体"/>
          <w:sz w:val="10"/>
        </w:rPr>
        <w:t>。</w:t>
      </w:r>
      <w:r>
        <w:rPr>
          <w:rFonts w:hint="eastAsia" w:ascii="宋体" w:hAnsi="宋体" w:eastAsia="宋体" w:cs="宋体"/>
          <w:sz w:val="24"/>
        </w:rPr>
        <w:t>但是</w:t>
      </w:r>
      <w:r>
        <w:rPr>
          <w:rFonts w:hint="eastAsia" w:ascii="宋体" w:hAnsi="宋体" w:eastAsia="宋体" w:cs="宋体"/>
          <w:sz w:val="10"/>
        </w:rPr>
        <w:t>，</w:t>
      </w:r>
      <w:r>
        <w:rPr>
          <w:rFonts w:hint="eastAsia" w:ascii="宋体" w:hAnsi="宋体" w:eastAsia="宋体" w:cs="宋体"/>
          <w:sz w:val="24"/>
        </w:rPr>
        <w:t>本次募集资金投资项目的建设计划能否按时完成</w:t>
      </w:r>
      <w:r>
        <w:rPr>
          <w:rFonts w:hint="eastAsia" w:ascii="宋体" w:hAnsi="宋体" w:eastAsia="宋体" w:cs="宋体"/>
          <w:sz w:val="10"/>
        </w:rPr>
        <w:t>、</w:t>
      </w:r>
      <w:r>
        <w:rPr>
          <w:rFonts w:hint="eastAsia" w:ascii="宋体" w:hAnsi="宋体" w:eastAsia="宋体" w:cs="宋体"/>
          <w:sz w:val="24"/>
        </w:rPr>
        <w:t>项目的实施过程和实施效果等存在一定不确定性</w:t>
      </w:r>
      <w:r>
        <w:rPr>
          <w:rFonts w:hint="eastAsia" w:ascii="宋体" w:hAnsi="宋体" w:eastAsia="宋体" w:cs="宋体"/>
          <w:sz w:val="10"/>
        </w:rPr>
        <w:t>。</w:t>
      </w:r>
      <w:r>
        <w:rPr>
          <w:rFonts w:hint="eastAsia" w:ascii="宋体" w:hAnsi="宋体" w:eastAsia="宋体" w:cs="宋体"/>
          <w:sz w:val="24"/>
        </w:rPr>
        <w:t>虽然本公司对募集资金投资项目在战略选择</w:t>
      </w:r>
      <w:r>
        <w:rPr>
          <w:rFonts w:hint="eastAsia" w:ascii="宋体" w:hAnsi="宋体" w:eastAsia="宋体" w:cs="宋体"/>
          <w:sz w:val="10"/>
        </w:rPr>
        <w:t>、</w:t>
      </w:r>
      <w:r>
        <w:rPr>
          <w:rFonts w:hint="eastAsia" w:ascii="宋体" w:hAnsi="宋体" w:eastAsia="宋体" w:cs="宋体"/>
          <w:sz w:val="24"/>
        </w:rPr>
        <w:t>研发设计</w:t>
      </w:r>
      <w:r>
        <w:rPr>
          <w:rFonts w:hint="eastAsia" w:ascii="宋体" w:hAnsi="宋体" w:eastAsia="宋体" w:cs="宋体"/>
          <w:sz w:val="10"/>
        </w:rPr>
        <w:t>、</w:t>
      </w:r>
      <w:r>
        <w:rPr>
          <w:rFonts w:hint="eastAsia" w:ascii="宋体" w:hAnsi="宋体" w:eastAsia="宋体" w:cs="宋体"/>
          <w:sz w:val="24"/>
        </w:rPr>
        <w:t>硬件设备采购等方面已制订了周密的计划</w:t>
      </w:r>
      <w:r>
        <w:rPr>
          <w:rFonts w:hint="eastAsia" w:ascii="宋体" w:hAnsi="宋体" w:eastAsia="宋体" w:cs="宋体"/>
          <w:sz w:val="10"/>
        </w:rPr>
        <w:t>，</w:t>
      </w:r>
      <w:r>
        <w:rPr>
          <w:rFonts w:hint="eastAsia" w:ascii="宋体" w:hAnsi="宋体" w:eastAsia="宋体" w:cs="宋体"/>
          <w:sz w:val="24"/>
        </w:rPr>
        <w:t>但在项目实施过程中</w:t>
      </w:r>
      <w:r>
        <w:rPr>
          <w:rFonts w:hint="eastAsia" w:ascii="宋体" w:hAnsi="宋体" w:eastAsia="宋体" w:cs="宋体"/>
          <w:sz w:val="10"/>
        </w:rPr>
        <w:t>，</w:t>
      </w:r>
      <w:r>
        <w:rPr>
          <w:rFonts w:hint="eastAsia" w:ascii="宋体" w:hAnsi="宋体" w:eastAsia="宋体" w:cs="宋体"/>
          <w:sz w:val="24"/>
        </w:rPr>
        <w:t>可能存在因实施方案调整</w:t>
      </w:r>
      <w:r>
        <w:rPr>
          <w:rFonts w:hint="eastAsia" w:ascii="宋体" w:hAnsi="宋体" w:eastAsia="宋体" w:cs="宋体"/>
          <w:sz w:val="10"/>
        </w:rPr>
        <w:t>、</w:t>
      </w:r>
      <w:r>
        <w:rPr>
          <w:rFonts w:hint="eastAsia" w:ascii="宋体" w:hAnsi="宋体" w:eastAsia="宋体" w:cs="宋体"/>
          <w:sz w:val="24"/>
        </w:rPr>
        <w:t>实施周期延长</w:t>
      </w:r>
      <w:r>
        <w:rPr>
          <w:rFonts w:hint="eastAsia" w:ascii="宋体" w:hAnsi="宋体" w:eastAsia="宋体" w:cs="宋体"/>
          <w:sz w:val="10"/>
        </w:rPr>
        <w:t>、</w:t>
      </w:r>
      <w:r>
        <w:rPr>
          <w:rFonts w:hint="eastAsia" w:ascii="宋体" w:hAnsi="宋体" w:eastAsia="宋体" w:cs="宋体"/>
          <w:sz w:val="24"/>
        </w:rPr>
        <w:t>人力资源成本变动而引致的风险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募集资金投资项目跨省实施带来的风险</w:t>
      </w:r>
    </w:p>
    <w:p>
      <w:pPr>
        <w:spacing w:line="200" w:lineRule="exact"/>
        <w:rPr>
          <w:rFonts w:hint="eastAsia" w:ascii="宋体" w:hAnsi="宋体" w:eastAsia="宋体" w:cs="宋体"/>
          <w:sz w:val="20"/>
        </w:rPr>
      </w:pPr>
    </w:p>
    <w:p>
      <w:pPr>
        <w:autoSpaceDE w:val="false"/>
        <w:autoSpaceDN w:val="false"/>
        <w:spacing w:line="420" w:lineRule="exact"/>
        <w:ind w:left="1780" w:right="1620" w:firstLine="480"/>
        <w:jc w:val="both"/>
      </w:pPr>
      <w:r>
        <w:rPr>
          <w:rFonts w:hint="eastAsia" w:ascii="宋体" w:hAnsi="宋体" w:eastAsia="宋体" w:cs="宋体"/>
          <w:sz w:val="24"/>
        </w:rPr>
        <w:t>本次募集资金投资项目中的</w:t>
      </w:r>
      <w:r>
        <w:rPr>
          <w:rFonts w:hint="eastAsia" w:ascii="宋体" w:hAnsi="宋体" w:eastAsia="宋体" w:cs="宋体"/>
          <w:sz w:val="10"/>
        </w:rPr>
        <w:t>“</w:t>
      </w:r>
      <w:r>
        <w:rPr>
          <w:rFonts w:hint="eastAsia" w:ascii="宋体" w:hAnsi="宋体" w:eastAsia="宋体" w:cs="宋体"/>
          <w:sz w:val="24"/>
        </w:rPr>
        <w:t>研发中心建设项目</w:t>
      </w:r>
      <w:r>
        <w:rPr>
          <w:rFonts w:hint="eastAsia" w:ascii="宋体" w:hAnsi="宋体" w:eastAsia="宋体" w:cs="宋体"/>
          <w:sz w:val="10"/>
        </w:rPr>
        <w:t>”</w:t>
      </w:r>
      <w:r>
        <w:rPr>
          <w:rFonts w:hint="eastAsia" w:ascii="宋体" w:hAnsi="宋体" w:eastAsia="宋体" w:cs="宋体"/>
          <w:sz w:val="24"/>
        </w:rPr>
        <w:t>计划在武汉市实施</w:t>
      </w:r>
      <w:r>
        <w:rPr>
          <w:rFonts w:hint="eastAsia" w:ascii="宋体" w:hAnsi="宋体" w:eastAsia="宋体" w:cs="宋体"/>
          <w:sz w:val="10"/>
        </w:rPr>
        <w:t>，</w:t>
      </w:r>
      <w:r>
        <w:rPr>
          <w:rFonts w:hint="eastAsia" w:ascii="宋体" w:hAnsi="宋体" w:eastAsia="宋体" w:cs="宋体"/>
          <w:sz w:val="24"/>
        </w:rPr>
        <w:t>本公司已设立子公司武汉顶点</w:t>
      </w:r>
      <w:r>
        <w:rPr>
          <w:rFonts w:hint="eastAsia" w:ascii="宋体" w:hAnsi="宋体" w:eastAsia="宋体" w:cs="宋体"/>
          <w:sz w:val="10"/>
        </w:rPr>
        <w:t>，</w:t>
      </w:r>
      <w:r>
        <w:rPr>
          <w:rFonts w:hint="eastAsia" w:ascii="宋体" w:hAnsi="宋体" w:eastAsia="宋体" w:cs="宋体"/>
          <w:sz w:val="24"/>
        </w:rPr>
        <w:t>且已通过武汉顶点进行了包括办公场地购置</w:t>
      </w:r>
      <w:r>
        <w:rPr>
          <w:rFonts w:hint="eastAsia" w:ascii="宋体" w:hAnsi="宋体" w:eastAsia="宋体" w:cs="宋体"/>
          <w:sz w:val="10"/>
        </w:rPr>
        <w:t>、</w:t>
      </w:r>
      <w:r>
        <w:rPr>
          <w:rFonts w:hint="eastAsia" w:ascii="宋体" w:hAnsi="宋体" w:eastAsia="宋体" w:cs="宋体"/>
          <w:sz w:val="24"/>
        </w:rPr>
        <w:t>人才招募等先期措施</w:t>
      </w:r>
      <w:r>
        <w:rPr>
          <w:rFonts w:hint="eastAsia" w:ascii="宋体" w:hAnsi="宋体" w:eastAsia="宋体" w:cs="宋体"/>
          <w:sz w:val="10"/>
        </w:rPr>
        <w:t>。</w:t>
      </w:r>
      <w:r>
        <w:rPr>
          <w:rFonts w:hint="eastAsia" w:ascii="宋体" w:hAnsi="宋体" w:eastAsia="宋体" w:cs="宋体"/>
          <w:sz w:val="24"/>
        </w:rPr>
        <w:t>发行人总部位于福州</w:t>
      </w:r>
      <w:r>
        <w:rPr>
          <w:rFonts w:hint="eastAsia" w:ascii="宋体" w:hAnsi="宋体" w:eastAsia="宋体" w:cs="宋体"/>
          <w:sz w:val="10"/>
        </w:rPr>
        <w:t>，</w:t>
      </w:r>
      <w:r>
        <w:rPr>
          <w:rFonts w:hint="eastAsia" w:ascii="宋体" w:hAnsi="宋体" w:eastAsia="宋体" w:cs="宋体"/>
          <w:sz w:val="24"/>
        </w:rPr>
        <w:t>虽然发行人在上海</w:t>
      </w:r>
      <w:r>
        <w:rPr>
          <w:rFonts w:hint="eastAsia" w:ascii="宋体" w:hAnsi="宋体" w:eastAsia="宋体" w:cs="宋体"/>
          <w:sz w:val="10"/>
        </w:rPr>
        <w:t>、</w:t>
      </w:r>
      <w:r>
        <w:rPr>
          <w:rFonts w:hint="eastAsia" w:ascii="宋体" w:hAnsi="宋体" w:eastAsia="宋体" w:cs="宋体"/>
          <w:sz w:val="24"/>
        </w:rPr>
        <w:t>北京等地设立子公司</w:t>
      </w:r>
    </w:p>
    <w:p>
      <w:pPr>
        <w:spacing w:line="200" w:lineRule="exact"/>
        <w:rPr>
          <w:rFonts w:hint="eastAsia" w:ascii="宋体" w:hAnsi="宋体" w:eastAsia="宋体" w:cs="宋体"/>
          <w:sz w:val="20"/>
        </w:rPr>
      </w:pPr>
    </w:p>
    <w:p>
      <w:pPr>
        <w:autoSpaceDE w:val="false"/>
        <w:autoSpaceDN w:val="false"/>
        <w:spacing w:line="380" w:lineRule="exact"/>
        <w:ind w:left="5660"/>
        <w:jc w:val="both"/>
      </w:pPr>
      <w:r>
        <w:rPr>
          <w:rFonts w:hint="eastAsia" w:ascii="Times New Roman" w:hAnsi="Times New Roman" w:eastAsia="Times New Roman" w:cs="Times New Roman"/>
          <w:sz w:val="21"/>
        </w:rPr>
        <w:t>1-1-14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40" w:lineRule="exact"/>
        <w:ind w:left="1780" w:right="1580"/>
        <w:jc w:val="both"/>
      </w:pPr>
      <w:r>
        <w:rPr>
          <w:rFonts w:hint="eastAsia" w:ascii="宋体" w:hAnsi="宋体" w:eastAsia="宋体" w:cs="宋体"/>
          <w:sz w:val="24"/>
        </w:rPr>
        <w:t>并具有跨省管理子公司的经验</w:t>
      </w:r>
      <w:r>
        <w:rPr>
          <w:rFonts w:hint="eastAsia" w:ascii="宋体" w:hAnsi="宋体" w:eastAsia="宋体" w:cs="宋体"/>
          <w:sz w:val="10"/>
        </w:rPr>
        <w:t>，</w:t>
      </w:r>
      <w:r>
        <w:rPr>
          <w:rFonts w:hint="eastAsia" w:ascii="宋体" w:hAnsi="宋体" w:eastAsia="宋体" w:cs="宋体"/>
          <w:sz w:val="24"/>
        </w:rPr>
        <w:t>但考虑到发行人未来募集资金投资项目涉及行业前沿技术的开发</w:t>
      </w:r>
      <w:r>
        <w:rPr>
          <w:rFonts w:hint="eastAsia" w:ascii="宋体" w:hAnsi="宋体" w:eastAsia="宋体" w:cs="宋体"/>
          <w:sz w:val="10"/>
        </w:rPr>
        <w:t>，</w:t>
      </w:r>
      <w:r>
        <w:rPr>
          <w:rFonts w:hint="eastAsia" w:ascii="宋体" w:hAnsi="宋体" w:eastAsia="宋体" w:cs="宋体"/>
          <w:sz w:val="24"/>
        </w:rPr>
        <w:t>对发行人未来经营发展作用重大</w:t>
      </w:r>
      <w:r>
        <w:rPr>
          <w:rFonts w:hint="eastAsia" w:ascii="宋体" w:hAnsi="宋体" w:eastAsia="宋体" w:cs="宋体"/>
          <w:sz w:val="10"/>
        </w:rPr>
        <w:t>，</w:t>
      </w:r>
      <w:r>
        <w:rPr>
          <w:rFonts w:hint="eastAsia" w:ascii="宋体" w:hAnsi="宋体" w:eastAsia="宋体" w:cs="宋体"/>
          <w:sz w:val="24"/>
        </w:rPr>
        <w:t>并且无法产生直接收益</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发行人仍然存在跨省经营导致管理低效</w:t>
      </w:r>
      <w:r>
        <w:rPr>
          <w:rFonts w:hint="eastAsia" w:ascii="宋体" w:hAnsi="宋体" w:eastAsia="宋体" w:cs="宋体"/>
          <w:sz w:val="10"/>
        </w:rPr>
        <w:t>、</w:t>
      </w:r>
      <w:r>
        <w:rPr>
          <w:rFonts w:hint="eastAsia" w:ascii="宋体" w:hAnsi="宋体" w:eastAsia="宋体" w:cs="宋体"/>
          <w:sz w:val="24"/>
        </w:rPr>
        <w:t>研发不力等问题带来的风险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780"/>
        <w:jc w:val="both"/>
      </w:pPr>
      <w:r>
        <w:rPr>
          <w:rFonts w:hint="eastAsia" w:ascii="宋体" w:hAnsi="宋体" w:eastAsia="宋体" w:cs="宋体"/>
          <w:b/>
          <w:sz w:val="24"/>
        </w:rPr>
        <w:t>（四）实际控制人丧失公司控制权的风险</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本次发行前</w:t>
      </w:r>
      <w:r>
        <w:rPr>
          <w:rFonts w:hint="eastAsia" w:ascii="宋体" w:hAnsi="宋体" w:eastAsia="宋体" w:cs="宋体"/>
          <w:sz w:val="10"/>
        </w:rPr>
        <w:t>，</w:t>
      </w:r>
      <w:r>
        <w:rPr>
          <w:rFonts w:hint="eastAsia" w:ascii="宋体" w:hAnsi="宋体" w:eastAsia="宋体" w:cs="宋体"/>
          <w:sz w:val="24"/>
        </w:rPr>
        <w:t>公司控股股东</w:t>
      </w:r>
      <w:r>
        <w:rPr>
          <w:rFonts w:hint="eastAsia" w:ascii="宋体" w:hAnsi="宋体" w:eastAsia="宋体" w:cs="宋体"/>
          <w:sz w:val="10"/>
        </w:rPr>
        <w:t>、</w:t>
      </w:r>
      <w:r>
        <w:rPr>
          <w:rFonts w:hint="eastAsia" w:ascii="宋体" w:hAnsi="宋体" w:eastAsia="宋体" w:cs="宋体"/>
          <w:sz w:val="24"/>
        </w:rPr>
        <w:t>实际控制人严孟宇先生持有发行人的股份比例为</w:t>
      </w:r>
      <w:r>
        <w:rPr>
          <w:rFonts w:hint="eastAsia" w:ascii="Times New Roman" w:hAnsi="Times New Roman" w:eastAsia="Times New Roman" w:cs="Times New Roman"/>
          <w:sz w:val="24"/>
        </w:rPr>
        <w:t>28.57%</w:t>
      </w:r>
      <w:r>
        <w:rPr>
          <w:rFonts w:hint="eastAsia" w:ascii="宋体" w:hAnsi="宋体" w:eastAsia="宋体" w:cs="宋体"/>
          <w:sz w:val="10"/>
        </w:rPr>
        <w:t>，</w:t>
      </w:r>
      <w:r>
        <w:rPr>
          <w:rFonts w:hint="eastAsia" w:ascii="宋体" w:hAnsi="宋体" w:eastAsia="宋体" w:cs="宋体"/>
          <w:sz w:val="24"/>
        </w:rPr>
        <w:t>本次发行完成后严孟宇先生的持股比例将下降到</w:t>
      </w:r>
      <w:r>
        <w:rPr>
          <w:rFonts w:hint="eastAsia" w:ascii="Times New Roman" w:hAnsi="Times New Roman" w:eastAsia="Times New Roman" w:cs="Times New Roman"/>
          <w:sz w:val="24"/>
        </w:rPr>
        <w:t xml:space="preserve"> 21.43%</w:t>
      </w:r>
      <w:r>
        <w:rPr>
          <w:rFonts w:hint="eastAsia" w:ascii="宋体" w:hAnsi="宋体" w:eastAsia="宋体" w:cs="宋体"/>
          <w:sz w:val="10"/>
        </w:rPr>
        <w:t>。</w:t>
      </w:r>
      <w:r>
        <w:rPr>
          <w:rFonts w:hint="eastAsia" w:ascii="宋体" w:hAnsi="宋体" w:eastAsia="宋体" w:cs="宋体"/>
          <w:sz w:val="24"/>
        </w:rPr>
        <w:t>虽然实际控制人严孟宇自公司成立以来始终担任公司负责人</w:t>
      </w:r>
      <w:r>
        <w:rPr>
          <w:rFonts w:hint="eastAsia" w:ascii="宋体" w:hAnsi="宋体" w:eastAsia="宋体" w:cs="宋体"/>
          <w:sz w:val="10"/>
        </w:rPr>
        <w:t>，</w:t>
      </w:r>
      <w:r>
        <w:rPr>
          <w:rFonts w:hint="eastAsia" w:ascii="宋体" w:hAnsi="宋体" w:eastAsia="宋体" w:cs="宋体"/>
          <w:sz w:val="24"/>
        </w:rPr>
        <w:t>始终掌握公司控制权</w:t>
      </w:r>
      <w:r>
        <w:rPr>
          <w:rFonts w:hint="eastAsia" w:ascii="宋体" w:hAnsi="宋体" w:eastAsia="宋体" w:cs="宋体"/>
          <w:sz w:val="10"/>
        </w:rPr>
        <w:t>，</w:t>
      </w:r>
      <w:r>
        <w:rPr>
          <w:rFonts w:hint="eastAsia" w:ascii="宋体" w:hAnsi="宋体" w:eastAsia="宋体" w:cs="宋体"/>
          <w:sz w:val="24"/>
        </w:rPr>
        <w:t>对公司发展战略</w:t>
      </w:r>
      <w:r>
        <w:rPr>
          <w:rFonts w:hint="eastAsia" w:ascii="宋体" w:hAnsi="宋体" w:eastAsia="宋体" w:cs="宋体"/>
          <w:sz w:val="10"/>
        </w:rPr>
        <w:t>、</w:t>
      </w:r>
      <w:r>
        <w:rPr>
          <w:rFonts w:hint="eastAsia" w:ascii="宋体" w:hAnsi="宋体" w:eastAsia="宋体" w:cs="宋体"/>
          <w:sz w:val="24"/>
        </w:rPr>
        <w:t>生产经营等方面具有重大影响</w:t>
      </w:r>
      <w:r>
        <w:rPr>
          <w:rFonts w:hint="eastAsia" w:ascii="宋体" w:hAnsi="宋体" w:eastAsia="宋体" w:cs="宋体"/>
          <w:sz w:val="10"/>
        </w:rPr>
        <w:t>，</w:t>
      </w:r>
      <w:r>
        <w:rPr>
          <w:rFonts w:hint="eastAsia" w:ascii="宋体" w:hAnsi="宋体" w:eastAsia="宋体" w:cs="宋体"/>
          <w:sz w:val="24"/>
        </w:rPr>
        <w:t>且第二大股东金石投资出具了不谋求公司控制权的承诺</w:t>
      </w:r>
      <w:r>
        <w:rPr>
          <w:rFonts w:hint="eastAsia" w:ascii="宋体" w:hAnsi="宋体" w:eastAsia="宋体" w:cs="宋体"/>
          <w:sz w:val="10"/>
        </w:rPr>
        <w:t>，</w:t>
      </w:r>
      <w:r>
        <w:rPr>
          <w:rFonts w:hint="eastAsia" w:ascii="宋体" w:hAnsi="宋体" w:eastAsia="宋体" w:cs="宋体"/>
          <w:sz w:val="24"/>
        </w:rPr>
        <w:t>但如果公司上市后</w:t>
      </w:r>
      <w:r>
        <w:rPr>
          <w:rFonts w:hint="eastAsia" w:ascii="宋体" w:hAnsi="宋体" w:eastAsia="宋体" w:cs="宋体"/>
          <w:sz w:val="10"/>
        </w:rPr>
        <w:t>，</w:t>
      </w:r>
      <w:r>
        <w:rPr>
          <w:rFonts w:hint="eastAsia" w:ascii="宋体" w:hAnsi="宋体" w:eastAsia="宋体" w:cs="宋体"/>
          <w:sz w:val="24"/>
        </w:rPr>
        <w:t>公司遭遇敌意收购或公司股权结构发生重大变化</w:t>
      </w:r>
      <w:r>
        <w:rPr>
          <w:rFonts w:hint="eastAsia" w:ascii="宋体" w:hAnsi="宋体" w:eastAsia="宋体" w:cs="宋体"/>
          <w:sz w:val="10"/>
        </w:rPr>
        <w:t>，</w:t>
      </w:r>
      <w:r>
        <w:rPr>
          <w:rFonts w:hint="eastAsia" w:ascii="宋体" w:hAnsi="宋体" w:eastAsia="宋体" w:cs="宋体"/>
          <w:sz w:val="24"/>
        </w:rPr>
        <w:t>且公司应对不当</w:t>
      </w:r>
      <w:r>
        <w:rPr>
          <w:rFonts w:hint="eastAsia" w:ascii="宋体" w:hAnsi="宋体" w:eastAsia="宋体" w:cs="宋体"/>
          <w:sz w:val="10"/>
        </w:rPr>
        <w:t>，</w:t>
      </w:r>
      <w:r>
        <w:rPr>
          <w:rFonts w:hint="eastAsia" w:ascii="宋体" w:hAnsi="宋体" w:eastAsia="宋体" w:cs="宋体"/>
          <w:sz w:val="24"/>
        </w:rPr>
        <w:t>实际控制人严孟宇将可能丧失公司控制权</w:t>
      </w:r>
      <w:r>
        <w:rPr>
          <w:rFonts w:hint="eastAsia" w:ascii="宋体" w:hAnsi="宋体" w:eastAsia="宋体" w:cs="宋体"/>
          <w:sz w:val="10"/>
        </w:rPr>
        <w:t>，</w:t>
      </w:r>
      <w:r>
        <w:rPr>
          <w:rFonts w:hint="eastAsia" w:ascii="宋体" w:hAnsi="宋体" w:eastAsia="宋体" w:cs="宋体"/>
          <w:sz w:val="24"/>
        </w:rPr>
        <w:t>影响公司控制权的稳定性</w:t>
      </w:r>
      <w:r>
        <w:rPr>
          <w:rFonts w:hint="eastAsia" w:ascii="宋体" w:hAnsi="宋体" w:eastAsia="宋体" w:cs="宋体"/>
          <w:sz w:val="10"/>
        </w:rPr>
        <w:t>，</w:t>
      </w:r>
      <w:r>
        <w:rPr>
          <w:rFonts w:hint="eastAsia" w:ascii="宋体" w:hAnsi="宋体" w:eastAsia="宋体" w:cs="宋体"/>
          <w:sz w:val="24"/>
        </w:rPr>
        <w:t>并对公司未来发展带来不确定性</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780"/>
        <w:jc w:val="both"/>
      </w:pPr>
      <w:r>
        <w:rPr>
          <w:rFonts w:hint="eastAsia" w:ascii="宋体" w:hAnsi="宋体" w:eastAsia="宋体" w:cs="宋体"/>
          <w:b/>
          <w:sz w:val="24"/>
        </w:rPr>
        <w:t>（五）净资产收益率下降的风险</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公司</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以扣除非经常性损益后归属于普通股股东的净利润为计算基准的加权平均净资产收益率分别为</w:t>
      </w:r>
      <w:r>
        <w:rPr>
          <w:rFonts w:hint="eastAsia" w:ascii="Times New Roman" w:hAnsi="Times New Roman" w:eastAsia="Times New Roman" w:cs="Times New Roman"/>
          <w:sz w:val="24"/>
        </w:rPr>
        <w:t xml:space="preserve"> 24.58%</w:t>
      </w:r>
      <w:r>
        <w:rPr>
          <w:rFonts w:hint="eastAsia" w:ascii="宋体" w:hAnsi="宋体" w:eastAsia="宋体" w:cs="宋体"/>
          <w:sz w:val="10"/>
        </w:rPr>
        <w:t>、</w:t>
      </w:r>
      <w:r>
        <w:rPr>
          <w:rFonts w:hint="eastAsia" w:ascii="Times New Roman" w:hAnsi="Times New Roman" w:eastAsia="Times New Roman" w:cs="Times New Roman"/>
          <w:sz w:val="24"/>
        </w:rPr>
        <w:t>22.73%</w:t>
      </w:r>
      <w:r>
        <w:rPr>
          <w:rFonts w:hint="eastAsia" w:ascii="宋体" w:hAnsi="宋体" w:eastAsia="宋体" w:cs="宋体"/>
          <w:sz w:val="24"/>
        </w:rPr>
        <w:t>和</w:t>
      </w:r>
      <w:r>
        <w:rPr>
          <w:rFonts w:hint="eastAsia" w:ascii="Times New Roman" w:hAnsi="Times New Roman" w:eastAsia="Times New Roman" w:cs="Times New Roman"/>
          <w:sz w:val="24"/>
        </w:rPr>
        <w:t>15.98%</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尽管公司经营业绩持续稳定增长</w:t>
      </w:r>
      <w:r>
        <w:rPr>
          <w:rFonts w:hint="eastAsia" w:ascii="宋体" w:hAnsi="宋体" w:eastAsia="宋体" w:cs="宋体"/>
          <w:sz w:val="10"/>
        </w:rPr>
        <w:t>，</w:t>
      </w:r>
      <w:r>
        <w:rPr>
          <w:rFonts w:hint="eastAsia" w:ascii="宋体" w:hAnsi="宋体" w:eastAsia="宋体" w:cs="宋体"/>
          <w:sz w:val="24"/>
        </w:rPr>
        <w:t>但受外部投资者向发行人增资影响</w:t>
      </w:r>
      <w:r>
        <w:rPr>
          <w:rFonts w:hint="eastAsia" w:ascii="宋体" w:hAnsi="宋体" w:eastAsia="宋体" w:cs="宋体"/>
          <w:sz w:val="10"/>
        </w:rPr>
        <w:t>，</w:t>
      </w:r>
      <w:r>
        <w:rPr>
          <w:rFonts w:hint="eastAsia" w:ascii="宋体" w:hAnsi="宋体" w:eastAsia="宋体" w:cs="宋体"/>
          <w:sz w:val="24"/>
        </w:rPr>
        <w:t>净资产收益率呈下降趋势</w:t>
      </w:r>
      <w:r>
        <w:rPr>
          <w:rFonts w:hint="eastAsia" w:ascii="宋体" w:hAnsi="宋体" w:eastAsia="宋体" w:cs="宋体"/>
          <w:sz w:val="10"/>
        </w:rPr>
        <w:t>。</w:t>
      </w:r>
      <w:r>
        <w:rPr>
          <w:rFonts w:hint="eastAsia" w:ascii="宋体" w:hAnsi="宋体" w:eastAsia="宋体" w:cs="宋体"/>
          <w:sz w:val="24"/>
        </w:rPr>
        <w:t>本次发行完成后</w:t>
      </w:r>
      <w:r>
        <w:rPr>
          <w:rFonts w:hint="eastAsia" w:ascii="宋体" w:hAnsi="宋体" w:eastAsia="宋体" w:cs="宋体"/>
          <w:sz w:val="10"/>
        </w:rPr>
        <w:t>，</w:t>
      </w:r>
      <w:r>
        <w:rPr>
          <w:rFonts w:hint="eastAsia" w:ascii="宋体" w:hAnsi="宋体" w:eastAsia="宋体" w:cs="宋体"/>
          <w:sz w:val="24"/>
        </w:rPr>
        <w:t>公司的净资产规模将大幅度提高</w:t>
      </w:r>
      <w:r>
        <w:rPr>
          <w:rFonts w:hint="eastAsia" w:ascii="宋体" w:hAnsi="宋体" w:eastAsia="宋体" w:cs="宋体"/>
          <w:sz w:val="10"/>
        </w:rPr>
        <w:t>，</w:t>
      </w:r>
      <w:r>
        <w:rPr>
          <w:rFonts w:hint="eastAsia" w:ascii="宋体" w:hAnsi="宋体" w:eastAsia="宋体" w:cs="宋体"/>
          <w:sz w:val="24"/>
        </w:rPr>
        <w:t>而募集资金投资项目从实施到发挥效益需要一定周期</w:t>
      </w:r>
      <w:r>
        <w:rPr>
          <w:rFonts w:hint="eastAsia" w:ascii="宋体" w:hAnsi="宋体" w:eastAsia="宋体" w:cs="宋体"/>
          <w:sz w:val="10"/>
        </w:rPr>
        <w:t>，</w:t>
      </w:r>
      <w:r>
        <w:rPr>
          <w:rFonts w:hint="eastAsia" w:ascii="宋体" w:hAnsi="宋体" w:eastAsia="宋体" w:cs="宋体"/>
          <w:sz w:val="24"/>
        </w:rPr>
        <w:t>因此公司存在因短期内净资产规模迅速扩大而导致净资产收益率下降的风险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780"/>
        <w:jc w:val="both"/>
      </w:pPr>
      <w:r>
        <w:rPr>
          <w:rFonts w:hint="eastAsia" w:ascii="宋体" w:hAnsi="宋体" w:eastAsia="宋体" w:cs="宋体"/>
          <w:b/>
          <w:sz w:val="24"/>
        </w:rPr>
        <w:t>（六）发行人证券行业业务丧失持续性的风险</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发行人是</w:t>
      </w:r>
      <w:r>
        <w:rPr>
          <w:rFonts w:hint="eastAsia" w:ascii="宋体" w:hAnsi="宋体" w:eastAsia="宋体" w:cs="宋体"/>
          <w:sz w:val="10"/>
        </w:rPr>
        <w:t>一</w:t>
      </w:r>
      <w:r>
        <w:rPr>
          <w:rFonts w:hint="eastAsia" w:ascii="宋体" w:hAnsi="宋体" w:eastAsia="宋体" w:cs="宋体"/>
          <w:sz w:val="24"/>
        </w:rPr>
        <w:t>家专业化平台型软件及信息化服务提供商</w:t>
      </w:r>
      <w:r>
        <w:rPr>
          <w:rFonts w:hint="eastAsia" w:ascii="宋体" w:hAnsi="宋体" w:eastAsia="宋体" w:cs="宋体"/>
          <w:sz w:val="10"/>
        </w:rPr>
        <w:t>，</w:t>
      </w:r>
      <w:r>
        <w:rPr>
          <w:rFonts w:hint="eastAsia" w:ascii="宋体" w:hAnsi="宋体" w:eastAsia="宋体" w:cs="宋体"/>
          <w:sz w:val="24"/>
        </w:rPr>
        <w:t>主要为包括证券公司在内的金融行业企业提供信息化解决方案</w:t>
      </w:r>
      <w:r>
        <w:rPr>
          <w:rFonts w:hint="eastAsia" w:ascii="宋体" w:hAnsi="宋体" w:eastAsia="宋体" w:cs="宋体"/>
          <w:sz w:val="10"/>
        </w:rPr>
        <w:t>。</w:t>
      </w:r>
      <w:r>
        <w:rPr>
          <w:rFonts w:hint="eastAsia" w:ascii="宋体" w:hAnsi="宋体" w:eastAsia="宋体" w:cs="宋体"/>
          <w:sz w:val="24"/>
        </w:rPr>
        <w:t>发行人证券行业业务的持续性主要来自证券公司原有软件产品及服务的持续升级</w:t>
      </w:r>
      <w:r>
        <w:rPr>
          <w:rFonts w:hint="eastAsia" w:ascii="宋体" w:hAnsi="宋体" w:eastAsia="宋体" w:cs="宋体"/>
          <w:sz w:val="10"/>
        </w:rPr>
        <w:t>，</w:t>
      </w:r>
      <w:r>
        <w:rPr>
          <w:rFonts w:hint="eastAsia" w:ascii="宋体" w:hAnsi="宋体" w:eastAsia="宋体" w:cs="宋体"/>
          <w:sz w:val="24"/>
        </w:rPr>
        <w:t>以及证券行业新业务</w:t>
      </w:r>
      <w:r>
        <w:rPr>
          <w:rFonts w:hint="eastAsia" w:ascii="宋体" w:hAnsi="宋体" w:eastAsia="宋体" w:cs="宋体"/>
          <w:sz w:val="10"/>
        </w:rPr>
        <w:t>、</w:t>
      </w:r>
      <w:r>
        <w:rPr>
          <w:rFonts w:hint="eastAsia" w:ascii="宋体" w:hAnsi="宋体" w:eastAsia="宋体" w:cs="宋体"/>
          <w:sz w:val="24"/>
        </w:rPr>
        <w:t>新技术</w:t>
      </w:r>
      <w:r>
        <w:rPr>
          <w:rFonts w:hint="eastAsia" w:ascii="宋体" w:hAnsi="宋体" w:eastAsia="宋体" w:cs="宋体"/>
          <w:sz w:val="10"/>
        </w:rPr>
        <w:t>、</w:t>
      </w:r>
      <w:r>
        <w:rPr>
          <w:rFonts w:hint="eastAsia" w:ascii="宋体" w:hAnsi="宋体" w:eastAsia="宋体" w:cs="宋体"/>
          <w:sz w:val="24"/>
        </w:rPr>
        <w:t>新产品的不断推出</w:t>
      </w:r>
      <w:r>
        <w:rPr>
          <w:rFonts w:hint="eastAsia" w:ascii="宋体" w:hAnsi="宋体" w:eastAsia="宋体" w:cs="宋体"/>
          <w:sz w:val="10"/>
        </w:rPr>
        <w:t>。</w:t>
      </w:r>
      <w:r>
        <w:rPr>
          <w:rFonts w:hint="eastAsia" w:ascii="宋体" w:hAnsi="宋体" w:eastAsia="宋体" w:cs="宋体"/>
          <w:sz w:val="24"/>
        </w:rPr>
        <w:t>尽管发行人在持续不断巩固竞争优势</w:t>
      </w:r>
      <w:r>
        <w:rPr>
          <w:rFonts w:hint="eastAsia" w:ascii="宋体" w:hAnsi="宋体" w:eastAsia="宋体" w:cs="宋体"/>
          <w:sz w:val="10"/>
        </w:rPr>
        <w:t>、</w:t>
      </w:r>
      <w:r>
        <w:rPr>
          <w:rFonts w:hint="eastAsia" w:ascii="宋体" w:hAnsi="宋体" w:eastAsia="宋体" w:cs="宋体"/>
          <w:sz w:val="24"/>
        </w:rPr>
        <w:t>提高自身实力</w:t>
      </w:r>
      <w:r>
        <w:rPr>
          <w:rFonts w:hint="eastAsia" w:ascii="宋体" w:hAnsi="宋体" w:eastAsia="宋体" w:cs="宋体"/>
          <w:sz w:val="10"/>
        </w:rPr>
        <w:t>，</w:t>
      </w:r>
      <w:r>
        <w:rPr>
          <w:rFonts w:hint="eastAsia" w:ascii="宋体" w:hAnsi="宋体" w:eastAsia="宋体" w:cs="宋体"/>
          <w:sz w:val="24"/>
        </w:rPr>
        <w:t>但如果不能紧跟下游行业发展及客户需求</w:t>
      </w:r>
      <w:r>
        <w:rPr>
          <w:rFonts w:hint="eastAsia" w:ascii="宋体" w:hAnsi="宋体" w:eastAsia="宋体" w:cs="宋体"/>
          <w:sz w:val="10"/>
        </w:rPr>
        <w:t>，</w:t>
      </w:r>
      <w:r>
        <w:rPr>
          <w:rFonts w:hint="eastAsia" w:ascii="宋体" w:hAnsi="宋体" w:eastAsia="宋体" w:cs="宋体"/>
          <w:sz w:val="24"/>
        </w:rPr>
        <w:t>不能在激烈的市场竞争中保持市场地位</w:t>
      </w:r>
      <w:r>
        <w:rPr>
          <w:rFonts w:hint="eastAsia" w:ascii="宋体" w:hAnsi="宋体" w:eastAsia="宋体" w:cs="宋体"/>
          <w:sz w:val="10"/>
        </w:rPr>
        <w:t>，</w:t>
      </w:r>
      <w:r>
        <w:rPr>
          <w:rFonts w:hint="eastAsia" w:ascii="宋体" w:hAnsi="宋体" w:eastAsia="宋体" w:cs="宋体"/>
          <w:sz w:val="24"/>
        </w:rPr>
        <w:t>不能保持对客户的服务质量</w:t>
      </w:r>
      <w:r>
        <w:rPr>
          <w:rFonts w:hint="eastAsia" w:ascii="宋体" w:hAnsi="宋体" w:eastAsia="宋体" w:cs="宋体"/>
          <w:sz w:val="10"/>
        </w:rPr>
        <w:t>，</w:t>
      </w:r>
      <w:r>
        <w:rPr>
          <w:rFonts w:hint="eastAsia" w:ascii="宋体" w:hAnsi="宋体" w:eastAsia="宋体" w:cs="宋体"/>
          <w:sz w:val="24"/>
        </w:rPr>
        <w:t>发行人将面临丧失业务持续性的风险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780"/>
        <w:jc w:val="both"/>
      </w:pPr>
      <w:r>
        <w:rPr>
          <w:rFonts w:hint="eastAsia" w:ascii="宋体" w:hAnsi="宋体" w:eastAsia="宋体" w:cs="宋体"/>
          <w:b/>
          <w:sz w:val="24"/>
        </w:rPr>
        <w:t>（七）公司客户及业务的合规性风险</w:t>
      </w:r>
    </w:p>
    <w:p>
      <w:pPr>
        <w:spacing w:line="200" w:lineRule="exact"/>
        <w:rPr>
          <w:rFonts w:hint="eastAsia" w:ascii="宋体" w:hAnsi="宋体" w:eastAsia="宋体" w:cs="宋体"/>
          <w:sz w:val="20"/>
        </w:rPr>
      </w:pPr>
    </w:p>
    <w:p>
      <w:pPr>
        <w:autoSpaceDE w:val="false"/>
        <w:autoSpaceDN w:val="false"/>
        <w:spacing w:line="340" w:lineRule="exact"/>
        <w:ind w:left="2260"/>
        <w:jc w:val="both"/>
      </w:pPr>
      <w:r>
        <w:rPr>
          <w:rFonts w:hint="eastAsia" w:ascii="宋体" w:hAnsi="宋体" w:eastAsia="宋体" w:cs="宋体"/>
          <w:sz w:val="24"/>
        </w:rPr>
        <w:t>发行人在金融行业信息化领域耕耘多年</w:t>
      </w:r>
      <w:r>
        <w:rPr>
          <w:rFonts w:hint="eastAsia" w:ascii="宋体" w:hAnsi="宋体" w:eastAsia="宋体" w:cs="宋体"/>
          <w:sz w:val="10"/>
        </w:rPr>
        <w:t>，</w:t>
      </w:r>
      <w:r>
        <w:rPr>
          <w:rFonts w:hint="eastAsia" w:ascii="宋体" w:hAnsi="宋体" w:eastAsia="宋体" w:cs="宋体"/>
          <w:sz w:val="24"/>
        </w:rPr>
        <w:t>在进行客户开发和项目执行过程</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1-1-15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40" w:lineRule="exact"/>
        <w:ind w:left="1780" w:right="1600"/>
        <w:jc w:val="both"/>
      </w:pPr>
      <w:r>
        <w:rPr>
          <w:rFonts w:hint="eastAsia" w:ascii="宋体" w:hAnsi="宋体" w:eastAsia="宋体" w:cs="宋体"/>
          <w:sz w:val="24"/>
        </w:rPr>
        <w:t>中</w:t>
      </w:r>
      <w:r>
        <w:rPr>
          <w:rFonts w:hint="eastAsia" w:ascii="宋体" w:hAnsi="宋体" w:eastAsia="宋体" w:cs="宋体"/>
          <w:sz w:val="10"/>
        </w:rPr>
        <w:t>，</w:t>
      </w:r>
      <w:r>
        <w:rPr>
          <w:rFonts w:hint="eastAsia" w:ascii="宋体" w:hAnsi="宋体" w:eastAsia="宋体" w:cs="宋体"/>
          <w:sz w:val="24"/>
        </w:rPr>
        <w:t>时刻关注金融监管法规的动态</w:t>
      </w:r>
      <w:r>
        <w:rPr>
          <w:rFonts w:hint="eastAsia" w:ascii="宋体" w:hAnsi="宋体" w:eastAsia="宋体" w:cs="宋体"/>
          <w:sz w:val="10"/>
        </w:rPr>
        <w:t>，</w:t>
      </w:r>
      <w:r>
        <w:rPr>
          <w:rFonts w:hint="eastAsia" w:ascii="宋体" w:hAnsi="宋体" w:eastAsia="宋体" w:cs="宋体"/>
          <w:sz w:val="24"/>
        </w:rPr>
        <w:t>充分了解客户背景及信息</w:t>
      </w:r>
      <w:r>
        <w:rPr>
          <w:rFonts w:hint="eastAsia" w:ascii="宋体" w:hAnsi="宋体" w:eastAsia="宋体" w:cs="宋体"/>
          <w:sz w:val="10"/>
        </w:rPr>
        <w:t>，</w:t>
      </w:r>
      <w:r>
        <w:rPr>
          <w:rFonts w:hint="eastAsia" w:ascii="宋体" w:hAnsi="宋体" w:eastAsia="宋体" w:cs="宋体"/>
          <w:sz w:val="24"/>
        </w:rPr>
        <w:t>在合规的前提下</w:t>
      </w:r>
      <w:r>
        <w:rPr>
          <w:rFonts w:hint="eastAsia" w:ascii="宋体" w:hAnsi="宋体" w:eastAsia="宋体" w:cs="宋体"/>
          <w:sz w:val="10"/>
        </w:rPr>
        <w:t>，</w:t>
      </w:r>
      <w:r>
        <w:rPr>
          <w:rFonts w:hint="eastAsia" w:ascii="宋体" w:hAnsi="宋体" w:eastAsia="宋体" w:cs="宋体"/>
          <w:sz w:val="24"/>
        </w:rPr>
        <w:t>针对客户的定制化需求为其提供信息化解决方案</w:t>
      </w:r>
      <w:r>
        <w:rPr>
          <w:rFonts w:hint="eastAsia" w:ascii="宋体" w:hAnsi="宋体" w:eastAsia="宋体" w:cs="宋体"/>
          <w:sz w:val="10"/>
        </w:rPr>
        <w:t>。</w:t>
      </w:r>
      <w:r>
        <w:rPr>
          <w:rFonts w:hint="eastAsia" w:ascii="宋体" w:hAnsi="宋体" w:eastAsia="宋体" w:cs="宋体"/>
          <w:sz w:val="24"/>
        </w:rPr>
        <w:t>尽管发行人对合规性问题高度重视</w:t>
      </w:r>
      <w:r>
        <w:rPr>
          <w:rFonts w:hint="eastAsia" w:ascii="宋体" w:hAnsi="宋体" w:eastAsia="宋体" w:cs="宋体"/>
          <w:sz w:val="10"/>
        </w:rPr>
        <w:t>，</w:t>
      </w:r>
      <w:r>
        <w:rPr>
          <w:rFonts w:hint="eastAsia" w:ascii="宋体" w:hAnsi="宋体" w:eastAsia="宋体" w:cs="宋体"/>
          <w:sz w:val="24"/>
        </w:rPr>
        <w:t>但如果已进行业务合作的客户受到处罚</w:t>
      </w:r>
      <w:r>
        <w:rPr>
          <w:rFonts w:hint="eastAsia" w:ascii="宋体" w:hAnsi="宋体" w:eastAsia="宋体" w:cs="宋体"/>
          <w:sz w:val="10"/>
        </w:rPr>
        <w:t>，</w:t>
      </w:r>
      <w:r>
        <w:rPr>
          <w:rFonts w:hint="eastAsia" w:ascii="宋体" w:hAnsi="宋体" w:eastAsia="宋体" w:cs="宋体"/>
          <w:sz w:val="24"/>
        </w:rPr>
        <w:t>或公司软件服务的相关业务被暂停或终止开展</w:t>
      </w:r>
      <w:r>
        <w:rPr>
          <w:rFonts w:hint="eastAsia" w:ascii="宋体" w:hAnsi="宋体" w:eastAsia="宋体" w:cs="宋体"/>
          <w:sz w:val="10"/>
        </w:rPr>
        <w:t>，</w:t>
      </w:r>
      <w:r>
        <w:rPr>
          <w:rFonts w:hint="eastAsia" w:ascii="宋体" w:hAnsi="宋体" w:eastAsia="宋体" w:cs="宋体"/>
          <w:sz w:val="24"/>
        </w:rPr>
        <w:t>将对公司的经营产生不利影响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780"/>
        <w:jc w:val="both"/>
      </w:pPr>
      <w:r>
        <w:rPr>
          <w:rFonts w:hint="eastAsia" w:ascii="宋体" w:hAnsi="宋体" w:eastAsia="宋体" w:cs="宋体"/>
          <w:b/>
          <w:sz w:val="24"/>
        </w:rPr>
        <w:t>（八）公司无法持续享受税收优惠或无法获得财政补贴的风险</w:t>
      </w:r>
    </w:p>
    <w:p>
      <w:pPr>
        <w:spacing w:line="200" w:lineRule="exact"/>
        <w:rPr>
          <w:rFonts w:hint="eastAsia" w:ascii="宋体" w:hAnsi="宋体" w:eastAsia="宋体" w:cs="宋体"/>
          <w:sz w:val="20"/>
        </w:rPr>
      </w:pPr>
    </w:p>
    <w:p>
      <w:pPr>
        <w:autoSpaceDE w:val="false"/>
        <w:autoSpaceDN w:val="false"/>
        <w:spacing w:line="440" w:lineRule="exact"/>
        <w:ind w:left="1780" w:right="158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发行人收到的政府补助主要包括增值税返还和财政补贴</w:t>
      </w:r>
      <w:r>
        <w:rPr>
          <w:rFonts w:hint="eastAsia" w:ascii="宋体" w:hAnsi="宋体" w:eastAsia="宋体" w:cs="宋体"/>
          <w:sz w:val="10"/>
        </w:rPr>
        <w:t>。</w:t>
      </w:r>
      <w:r>
        <w:rPr>
          <w:rFonts w:hint="eastAsia" w:ascii="宋体" w:hAnsi="宋体" w:eastAsia="宋体" w:cs="宋体"/>
          <w:sz w:val="24"/>
        </w:rPr>
        <w:t>除</w:t>
      </w:r>
      <w:r>
        <w:rPr>
          <w:rFonts w:hint="eastAsia" w:ascii="Times New Roman" w:hAnsi="Times New Roman" w:eastAsia="Times New Roman" w:cs="Times New Roman"/>
          <w:sz w:val="24"/>
        </w:rPr>
        <w:t xml:space="preserve"> 2015</w:t>
      </w:r>
      <w:r>
        <w:rPr>
          <w:rFonts w:hint="eastAsia" w:ascii="宋体" w:hAnsi="宋体" w:eastAsia="宋体" w:cs="宋体"/>
          <w:sz w:val="24"/>
        </w:rPr>
        <w:t>年收到的奖励扶持资金外</w:t>
      </w:r>
      <w:r>
        <w:rPr>
          <w:rFonts w:hint="eastAsia" w:ascii="宋体" w:hAnsi="宋体" w:eastAsia="宋体" w:cs="宋体"/>
          <w:sz w:val="10"/>
        </w:rPr>
        <w:t>，</w:t>
      </w:r>
      <w:r>
        <w:rPr>
          <w:rFonts w:hint="eastAsia" w:ascii="宋体" w:hAnsi="宋体" w:eastAsia="宋体" w:cs="宋体"/>
          <w:sz w:val="24"/>
        </w:rPr>
        <w:t>发行人各期政府补助主要为增值税返还</w:t>
      </w:r>
      <w:r>
        <w:rPr>
          <w:rFonts w:hint="eastAsia" w:ascii="宋体" w:hAnsi="宋体" w:eastAsia="宋体" w:cs="宋体"/>
          <w:sz w:val="10"/>
        </w:rPr>
        <w:t>，</w:t>
      </w:r>
      <w:r>
        <w:rPr>
          <w:rFonts w:hint="eastAsia" w:ascii="宋体" w:hAnsi="宋体" w:eastAsia="宋体" w:cs="宋体"/>
          <w:sz w:val="24"/>
        </w:rPr>
        <w:t>增值税返还税收优惠具备一定可持续性</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发行人利润总额分别为</w:t>
      </w:r>
      <w:r>
        <w:rPr>
          <w:rFonts w:hint="eastAsia" w:ascii="Times New Roman" w:hAnsi="Times New Roman" w:eastAsia="Times New Roman" w:cs="Times New Roman"/>
          <w:sz w:val="24"/>
        </w:rPr>
        <w:t>5,249.46</w:t>
      </w:r>
      <w:r>
        <w:rPr>
          <w:rFonts w:hint="eastAsia" w:ascii="宋体" w:hAnsi="宋体" w:eastAsia="宋体" w:cs="宋体"/>
          <w:sz w:val="24"/>
        </w:rPr>
        <w:t xml:space="preserve"> 万元</w:t>
      </w:r>
      <w:r>
        <w:rPr>
          <w:rFonts w:hint="eastAsia" w:ascii="宋体" w:hAnsi="宋体" w:eastAsia="宋体" w:cs="宋体"/>
          <w:sz w:val="10"/>
        </w:rPr>
        <w:t>、</w:t>
      </w:r>
      <w:r>
        <w:rPr>
          <w:rFonts w:hint="eastAsia" w:ascii="Times New Roman" w:hAnsi="Times New Roman" w:eastAsia="Times New Roman" w:cs="Times New Roman"/>
          <w:sz w:val="24"/>
        </w:rPr>
        <w:t>9,163.62</w:t>
      </w:r>
      <w:r>
        <w:rPr>
          <w:rFonts w:hint="eastAsia" w:ascii="宋体" w:hAnsi="宋体" w:eastAsia="宋体" w:cs="宋体"/>
          <w:sz w:val="24"/>
        </w:rPr>
        <w:t xml:space="preserve"> 万元和</w:t>
      </w:r>
      <w:r>
        <w:rPr>
          <w:rFonts w:hint="eastAsia" w:ascii="Times New Roman" w:hAnsi="Times New Roman" w:eastAsia="Times New Roman" w:cs="Times New Roman"/>
          <w:sz w:val="24"/>
        </w:rPr>
        <w:t xml:space="preserve"> 8,152.74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税收优惠金额占当期利润总额的比例为</w:t>
      </w:r>
      <w:r>
        <w:rPr>
          <w:rFonts w:hint="eastAsia" w:ascii="Times New Roman" w:hAnsi="Times New Roman" w:eastAsia="Times New Roman" w:cs="Times New Roman"/>
          <w:sz w:val="24"/>
        </w:rPr>
        <w:t xml:space="preserve"> 27.38%</w:t>
      </w:r>
      <w:r>
        <w:rPr>
          <w:rFonts w:hint="eastAsia" w:ascii="宋体" w:hAnsi="宋体" w:eastAsia="宋体" w:cs="宋体"/>
          <w:sz w:val="10"/>
        </w:rPr>
        <w:t>、</w:t>
      </w:r>
      <w:r>
        <w:rPr>
          <w:rFonts w:hint="eastAsia" w:ascii="Times New Roman" w:hAnsi="Times New Roman" w:eastAsia="Times New Roman" w:cs="Times New Roman"/>
          <w:sz w:val="24"/>
        </w:rPr>
        <w:t>33.90%</w:t>
      </w:r>
      <w:r>
        <w:rPr>
          <w:rFonts w:hint="eastAsia" w:ascii="宋体" w:hAnsi="宋体" w:eastAsia="宋体" w:cs="宋体"/>
          <w:sz w:val="24"/>
        </w:rPr>
        <w:t>和</w:t>
      </w:r>
      <w:r>
        <w:rPr>
          <w:rFonts w:hint="eastAsia" w:ascii="Times New Roman" w:hAnsi="Times New Roman" w:eastAsia="Times New Roman" w:cs="Times New Roman"/>
          <w:sz w:val="24"/>
        </w:rPr>
        <w:t xml:space="preserve"> 30.27%</w:t>
      </w:r>
      <w:r>
        <w:rPr>
          <w:rFonts w:hint="eastAsia" w:ascii="宋体" w:hAnsi="宋体" w:eastAsia="宋体" w:cs="宋体"/>
          <w:sz w:val="10"/>
        </w:rPr>
        <w:t>，</w:t>
      </w:r>
      <w:r>
        <w:rPr>
          <w:rFonts w:hint="eastAsia" w:ascii="宋体" w:hAnsi="宋体" w:eastAsia="宋体" w:cs="宋体"/>
          <w:sz w:val="24"/>
        </w:rPr>
        <w:t>政府补助占当期利润总额的比例为</w:t>
      </w:r>
      <w:r>
        <w:rPr>
          <w:rFonts w:hint="eastAsia" w:ascii="Times New Roman" w:hAnsi="Times New Roman" w:eastAsia="Times New Roman" w:cs="Times New Roman"/>
          <w:sz w:val="24"/>
        </w:rPr>
        <w:t xml:space="preserve"> 12.79%</w:t>
      </w:r>
      <w:r>
        <w:rPr>
          <w:rFonts w:hint="eastAsia" w:ascii="宋体" w:hAnsi="宋体" w:eastAsia="宋体" w:cs="宋体"/>
          <w:sz w:val="10"/>
        </w:rPr>
        <w:t>、</w:t>
      </w:r>
      <w:r>
        <w:rPr>
          <w:rFonts w:hint="eastAsia" w:ascii="Times New Roman" w:hAnsi="Times New Roman" w:eastAsia="Times New Roman" w:cs="Times New Roman"/>
          <w:sz w:val="24"/>
        </w:rPr>
        <w:t>33.78%</w:t>
      </w:r>
      <w:r>
        <w:rPr>
          <w:rFonts w:hint="eastAsia" w:ascii="宋体" w:hAnsi="宋体" w:eastAsia="宋体" w:cs="宋体"/>
          <w:sz w:val="24"/>
        </w:rPr>
        <w:t>和</w:t>
      </w:r>
      <w:r>
        <w:rPr>
          <w:rFonts w:hint="eastAsia" w:ascii="Times New Roman" w:hAnsi="Times New Roman" w:eastAsia="Times New Roman" w:cs="Times New Roman"/>
          <w:sz w:val="24"/>
        </w:rPr>
        <w:t xml:space="preserve"> 16.12%</w:t>
      </w:r>
      <w:r>
        <w:rPr>
          <w:rFonts w:hint="eastAsia" w:ascii="宋体" w:hAnsi="宋体" w:eastAsia="宋体" w:cs="宋体"/>
          <w:sz w:val="10"/>
        </w:rPr>
        <w:t>，</w:t>
      </w:r>
      <w:r>
        <w:rPr>
          <w:rFonts w:hint="eastAsia" w:ascii="宋体" w:hAnsi="宋体" w:eastAsia="宋体" w:cs="宋体"/>
          <w:sz w:val="24"/>
        </w:rPr>
        <w:t>扣除</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年台江区人民政府</w:t>
      </w:r>
      <w:r>
        <w:rPr>
          <w:rFonts w:hint="eastAsia" w:ascii="Times New Roman" w:hAnsi="Times New Roman" w:eastAsia="Times New Roman" w:cs="Times New Roman"/>
          <w:sz w:val="24"/>
        </w:rPr>
        <w:t xml:space="preserve"> 1,650</w:t>
      </w:r>
      <w:r>
        <w:rPr>
          <w:rFonts w:hint="eastAsia" w:ascii="宋体" w:hAnsi="宋体" w:eastAsia="宋体" w:cs="宋体"/>
          <w:sz w:val="24"/>
        </w:rPr>
        <w:t xml:space="preserve"> 万元奖励扶持资金后政府补助占当期利润总额的比例为</w:t>
      </w:r>
      <w:r>
        <w:rPr>
          <w:rFonts w:hint="eastAsia" w:ascii="Times New Roman" w:hAnsi="Times New Roman" w:eastAsia="Times New Roman" w:cs="Times New Roman"/>
          <w:sz w:val="24"/>
        </w:rPr>
        <w:t xml:space="preserve"> 12.79%</w:t>
      </w:r>
      <w:r>
        <w:rPr>
          <w:rFonts w:hint="eastAsia" w:ascii="宋体" w:hAnsi="宋体" w:eastAsia="宋体" w:cs="宋体"/>
          <w:sz w:val="10"/>
        </w:rPr>
        <w:t>、</w:t>
      </w:r>
      <w:r>
        <w:rPr>
          <w:rFonts w:hint="eastAsia" w:ascii="Times New Roman" w:hAnsi="Times New Roman" w:eastAsia="Times New Roman" w:cs="Times New Roman"/>
          <w:sz w:val="24"/>
        </w:rPr>
        <w:t>19.23%</w:t>
      </w:r>
      <w:r>
        <w:rPr>
          <w:rFonts w:hint="eastAsia" w:ascii="宋体" w:hAnsi="宋体" w:eastAsia="宋体" w:cs="宋体"/>
          <w:sz w:val="24"/>
        </w:rPr>
        <w:t>和</w:t>
      </w:r>
      <w:r>
        <w:rPr>
          <w:rFonts w:hint="eastAsia" w:ascii="Times New Roman" w:hAnsi="Times New Roman" w:eastAsia="Times New Roman" w:cs="Times New Roman"/>
          <w:sz w:val="24"/>
        </w:rPr>
        <w:t xml:space="preserve"> 16.12%</w:t>
      </w:r>
      <w:r>
        <w:rPr>
          <w:rFonts w:hint="eastAsia" w:ascii="宋体" w:hAnsi="宋体" w:eastAsia="宋体" w:cs="宋体"/>
          <w:sz w:val="10"/>
        </w:rPr>
        <w:t>。</w:t>
      </w:r>
      <w:r>
        <w:rPr>
          <w:rFonts w:hint="eastAsia" w:ascii="宋体" w:hAnsi="宋体" w:eastAsia="宋体" w:cs="宋体"/>
          <w:sz w:val="24"/>
        </w:rPr>
        <w:t>尽管发行人报告期内持续享受税收优惠及财政补贴</w:t>
      </w:r>
      <w:r>
        <w:rPr>
          <w:rFonts w:hint="eastAsia" w:ascii="宋体" w:hAnsi="宋体" w:eastAsia="宋体" w:cs="宋体"/>
          <w:sz w:val="10"/>
        </w:rPr>
        <w:t>，</w:t>
      </w:r>
      <w:r>
        <w:rPr>
          <w:rFonts w:hint="eastAsia" w:ascii="宋体" w:hAnsi="宋体" w:eastAsia="宋体" w:cs="宋体"/>
          <w:sz w:val="24"/>
        </w:rPr>
        <w:t>但如果未来不满足税收优惠条件或无法获得财政补贴</w:t>
      </w:r>
      <w:r>
        <w:rPr>
          <w:rFonts w:hint="eastAsia" w:ascii="宋体" w:hAnsi="宋体" w:eastAsia="宋体" w:cs="宋体"/>
          <w:sz w:val="10"/>
        </w:rPr>
        <w:t>，</w:t>
      </w:r>
      <w:r>
        <w:rPr>
          <w:rFonts w:hint="eastAsia" w:ascii="宋体" w:hAnsi="宋体" w:eastAsia="宋体" w:cs="宋体"/>
          <w:sz w:val="24"/>
        </w:rPr>
        <w:t>将对发行人的业绩产生不利影响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780"/>
        <w:jc w:val="both"/>
      </w:pPr>
      <w:r>
        <w:rPr>
          <w:rFonts w:hint="eastAsia" w:ascii="宋体" w:hAnsi="宋体" w:eastAsia="宋体" w:cs="宋体"/>
          <w:b/>
          <w:sz w:val="24"/>
        </w:rPr>
        <w:t>（九）发行人涉税事项对其经营产生不利影响的风险</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宋体" w:hAnsi="宋体" w:eastAsia="宋体" w:cs="宋体"/>
          <w:sz w:val="24"/>
        </w:rPr>
        <w:t>发行人前身顶点有限于</w:t>
      </w:r>
      <w:r>
        <w:rPr>
          <w:rFonts w:hint="eastAsia" w:ascii="Times New Roman" w:hAnsi="Times New Roman" w:eastAsia="Times New Roman" w:cs="Times New Roman"/>
          <w:sz w:val="24"/>
        </w:rPr>
        <w:t xml:space="preserve"> 2000</w:t>
      </w:r>
      <w:r>
        <w:rPr>
          <w:rFonts w:hint="eastAsia" w:ascii="宋体" w:hAnsi="宋体" w:eastAsia="宋体" w:cs="宋体"/>
          <w:sz w:val="24"/>
        </w:rPr>
        <w:t>年</w:t>
      </w:r>
      <w:r>
        <w:rPr>
          <w:rFonts w:hint="eastAsia" w:ascii="Times New Roman" w:hAnsi="Times New Roman" w:eastAsia="Times New Roman" w:cs="Times New Roman"/>
          <w:sz w:val="24"/>
        </w:rPr>
        <w:t xml:space="preserve"> 7</w:t>
      </w:r>
      <w:r>
        <w:rPr>
          <w:rFonts w:hint="eastAsia" w:ascii="宋体" w:hAnsi="宋体" w:eastAsia="宋体" w:cs="宋体"/>
          <w:sz w:val="24"/>
        </w:rPr>
        <w:t>月以未分配利润和盈余公积转增注册资本</w:t>
      </w:r>
      <w:r>
        <w:rPr>
          <w:rFonts w:hint="eastAsia" w:ascii="宋体" w:hAnsi="宋体" w:eastAsia="宋体" w:cs="宋体"/>
          <w:sz w:val="10"/>
        </w:rPr>
        <w:t>，</w:t>
      </w:r>
      <w:r>
        <w:rPr>
          <w:rFonts w:hint="eastAsia" w:ascii="宋体" w:hAnsi="宋体" w:eastAsia="宋体" w:cs="宋体"/>
          <w:sz w:val="24"/>
        </w:rPr>
        <w:t>并于</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月整体变更设立股份公司</w:t>
      </w:r>
      <w:r>
        <w:rPr>
          <w:rFonts w:hint="eastAsia" w:ascii="宋体" w:hAnsi="宋体" w:eastAsia="宋体" w:cs="宋体"/>
          <w:sz w:val="10"/>
        </w:rPr>
        <w:t>。</w:t>
      </w:r>
      <w:r>
        <w:rPr>
          <w:rFonts w:hint="eastAsia" w:ascii="宋体" w:hAnsi="宋体" w:eastAsia="宋体" w:cs="宋体"/>
          <w:sz w:val="24"/>
        </w:rPr>
        <w:t>上述事项中</w:t>
      </w:r>
      <w:r>
        <w:rPr>
          <w:rFonts w:hint="eastAsia" w:ascii="宋体" w:hAnsi="宋体" w:eastAsia="宋体" w:cs="宋体"/>
          <w:sz w:val="10"/>
        </w:rPr>
        <w:t>，</w:t>
      </w:r>
      <w:r>
        <w:rPr>
          <w:rFonts w:hint="eastAsia" w:ascii="宋体" w:hAnsi="宋体" w:eastAsia="宋体" w:cs="宋体"/>
          <w:sz w:val="24"/>
        </w:rPr>
        <w:t>相关股东未缴纳个人所得税</w:t>
      </w:r>
      <w:r>
        <w:rPr>
          <w:rFonts w:hint="eastAsia" w:ascii="宋体" w:hAnsi="宋体" w:eastAsia="宋体" w:cs="宋体"/>
          <w:sz w:val="10"/>
        </w:rPr>
        <w:t>，</w:t>
      </w:r>
      <w:r>
        <w:rPr>
          <w:rFonts w:hint="eastAsia" w:ascii="宋体" w:hAnsi="宋体" w:eastAsia="宋体" w:cs="宋体"/>
          <w:sz w:val="24"/>
        </w:rPr>
        <w:t>金额合计</w:t>
      </w:r>
      <w:r>
        <w:rPr>
          <w:rFonts w:hint="eastAsia" w:ascii="Times New Roman" w:hAnsi="Times New Roman" w:eastAsia="Times New Roman" w:cs="Times New Roman"/>
          <w:sz w:val="24"/>
        </w:rPr>
        <w:t xml:space="preserve"> 173.35</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尽管上述行为发生距今时间较长</w:t>
      </w:r>
      <w:r>
        <w:rPr>
          <w:rFonts w:hint="eastAsia" w:ascii="宋体" w:hAnsi="宋体" w:eastAsia="宋体" w:cs="宋体"/>
          <w:sz w:val="10"/>
        </w:rPr>
        <w:t>，</w:t>
      </w:r>
      <w:r>
        <w:rPr>
          <w:rFonts w:hint="eastAsia" w:ascii="宋体" w:hAnsi="宋体" w:eastAsia="宋体" w:cs="宋体"/>
          <w:sz w:val="24"/>
        </w:rPr>
        <w:t>且税务主管部门出具了合规证明以及同意发行人延期至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年末代扣代缴相关个人所得税的文件</w:t>
      </w:r>
      <w:r>
        <w:rPr>
          <w:rFonts w:hint="eastAsia" w:ascii="宋体" w:hAnsi="宋体" w:eastAsia="宋体" w:cs="宋体"/>
          <w:sz w:val="10"/>
        </w:rPr>
        <w:t>，</w:t>
      </w:r>
      <w:r>
        <w:rPr>
          <w:rFonts w:hint="eastAsia" w:ascii="宋体" w:hAnsi="宋体" w:eastAsia="宋体" w:cs="宋体"/>
          <w:sz w:val="24"/>
        </w:rPr>
        <w:t>税务机关对纳税人给予行政处罚的可能性较小</w:t>
      </w:r>
      <w:r>
        <w:rPr>
          <w:rFonts w:hint="eastAsia" w:ascii="宋体" w:hAnsi="宋体" w:eastAsia="宋体" w:cs="宋体"/>
          <w:sz w:val="10"/>
        </w:rPr>
        <w:t>，</w:t>
      </w:r>
      <w:r>
        <w:rPr>
          <w:rFonts w:hint="eastAsia" w:ascii="宋体" w:hAnsi="宋体" w:eastAsia="宋体" w:cs="宋体"/>
          <w:sz w:val="24"/>
        </w:rPr>
        <w:t>但如果发行人及其股东受到有关部门的行政处罚</w:t>
      </w:r>
      <w:r>
        <w:rPr>
          <w:rFonts w:hint="eastAsia" w:ascii="宋体" w:hAnsi="宋体" w:eastAsia="宋体" w:cs="宋体"/>
          <w:sz w:val="10"/>
        </w:rPr>
        <w:t>，</w:t>
      </w:r>
      <w:r>
        <w:rPr>
          <w:rFonts w:hint="eastAsia" w:ascii="宋体" w:hAnsi="宋体" w:eastAsia="宋体" w:cs="宋体"/>
          <w:sz w:val="24"/>
        </w:rPr>
        <w:t>将对发行人未来的经营产生不利影响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520" w:lineRule="exact"/>
        <w:ind w:left="1780" w:right="1620"/>
        <w:jc w:val="both"/>
      </w:pPr>
      <w:r>
        <w:rPr>
          <w:rFonts w:hint="eastAsia" w:ascii="ºÚÌå" w:hAnsi="ºÚÌå" w:eastAsia="ºÚÌå" w:cs="ºÚÌå"/>
          <w:sz w:val="30"/>
        </w:rPr>
        <w:t>十</w:t>
      </w:r>
      <w:r>
        <w:rPr>
          <w:rFonts w:hint="eastAsia" w:ascii="ºÚÌå" w:hAnsi="ºÚÌå" w:eastAsia="ºÚÌå" w:cs="ºÚÌå"/>
          <w:sz w:val="10"/>
        </w:rPr>
        <w:t>、</w:t>
      </w:r>
      <w:r>
        <w:rPr>
          <w:rFonts w:hint="eastAsia" w:ascii="ºÚÌå" w:hAnsi="ºÚÌå" w:eastAsia="ºÚÌå" w:cs="ºÚÌå"/>
          <w:sz w:val="30"/>
        </w:rPr>
        <w:t>对公司持续盈利能力产生重大不利影响的因素及保荐机构对公司持续盈利能力的核查结论意见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780" w:right="1600" w:firstLine="480"/>
        <w:jc w:val="both"/>
      </w:pPr>
      <w:r>
        <w:rPr>
          <w:rFonts w:hint="eastAsia" w:ascii="宋体" w:hAnsi="宋体" w:eastAsia="宋体" w:cs="宋体"/>
          <w:sz w:val="24"/>
        </w:rPr>
        <w:t>对本公司持续盈利能力产生重大不利影响的因素包括</w:t>
      </w:r>
      <w:r>
        <w:rPr>
          <w:rFonts w:hint="eastAsia" w:ascii="宋体" w:hAnsi="宋体" w:eastAsia="宋体" w:cs="宋体"/>
          <w:sz w:val="10"/>
        </w:rPr>
        <w:t>：</w:t>
      </w:r>
      <w:r>
        <w:rPr>
          <w:rFonts w:hint="eastAsia" w:ascii="宋体" w:hAnsi="宋体" w:eastAsia="宋体" w:cs="宋体"/>
          <w:sz w:val="24"/>
        </w:rPr>
        <w:t>行业竞争加剧的风险</w:t>
      </w:r>
      <w:r>
        <w:rPr>
          <w:rFonts w:hint="eastAsia" w:ascii="宋体" w:hAnsi="宋体" w:eastAsia="宋体" w:cs="宋体"/>
          <w:sz w:val="10"/>
        </w:rPr>
        <w:t>、</w:t>
      </w:r>
      <w:r>
        <w:rPr>
          <w:rFonts w:hint="eastAsia" w:ascii="宋体" w:hAnsi="宋体" w:eastAsia="宋体" w:cs="宋体"/>
          <w:sz w:val="24"/>
        </w:rPr>
        <w:t>技术与产品开发质量的风险</w:t>
      </w:r>
      <w:r>
        <w:rPr>
          <w:rFonts w:hint="eastAsia" w:ascii="宋体" w:hAnsi="宋体" w:eastAsia="宋体" w:cs="宋体"/>
          <w:sz w:val="10"/>
        </w:rPr>
        <w:t>、</w:t>
      </w:r>
      <w:r>
        <w:rPr>
          <w:rFonts w:hint="eastAsia" w:ascii="宋体" w:hAnsi="宋体" w:eastAsia="宋体" w:cs="宋体"/>
          <w:sz w:val="24"/>
        </w:rPr>
        <w:t>人力成本上涨的风险</w:t>
      </w:r>
      <w:r>
        <w:rPr>
          <w:rFonts w:hint="eastAsia" w:ascii="宋体" w:hAnsi="宋体" w:eastAsia="宋体" w:cs="宋体"/>
          <w:sz w:val="10"/>
        </w:rPr>
        <w:t>、</w:t>
      </w:r>
      <w:r>
        <w:rPr>
          <w:rFonts w:hint="eastAsia" w:ascii="宋体" w:hAnsi="宋体" w:eastAsia="宋体" w:cs="宋体"/>
          <w:sz w:val="24"/>
        </w:rPr>
        <w:t>核心技术泄密风险等</w:t>
      </w:r>
      <w:r>
        <w:rPr>
          <w:rFonts w:hint="eastAsia" w:ascii="宋体" w:hAnsi="宋体" w:eastAsia="宋体" w:cs="宋体"/>
          <w:sz w:val="10"/>
        </w:rPr>
        <w:t>，</w:t>
      </w:r>
      <w:r>
        <w:rPr>
          <w:rFonts w:hint="eastAsia" w:ascii="宋体" w:hAnsi="宋体" w:eastAsia="宋体" w:cs="宋体"/>
          <w:sz w:val="24"/>
        </w:rPr>
        <w:t>公司已经在招股说明书</w:t>
      </w:r>
      <w:r>
        <w:rPr>
          <w:rFonts w:hint="eastAsia" w:ascii="宋体" w:hAnsi="宋体" w:eastAsia="宋体" w:cs="宋体"/>
          <w:sz w:val="10"/>
        </w:rPr>
        <w:t>“</w:t>
      </w:r>
      <w:r>
        <w:rPr>
          <w:rFonts w:hint="eastAsia" w:ascii="宋体" w:hAnsi="宋体" w:eastAsia="宋体" w:cs="宋体"/>
          <w:sz w:val="24"/>
        </w:rPr>
        <w:t>第四节</w:t>
      </w:r>
      <w:r>
        <w:rPr>
          <w:rFonts w:hint="eastAsia" w:ascii="Times New Roman" w:hAnsi="Times New Roman" w:eastAsia="Times New Roman" w:cs="Times New Roman"/>
          <w:sz w:val="24"/>
        </w:rPr>
        <w:t xml:space="preserve"> </w:t>
      </w:r>
      <w:r>
        <w:rPr>
          <w:rFonts w:hint="eastAsia" w:ascii="宋体" w:hAnsi="宋体" w:eastAsia="宋体" w:cs="宋体"/>
          <w:sz w:val="24"/>
        </w:rPr>
        <w:t>风险因素</w:t>
      </w:r>
      <w:r>
        <w:rPr>
          <w:rFonts w:hint="eastAsia" w:ascii="宋体" w:hAnsi="宋体" w:eastAsia="宋体" w:cs="宋体"/>
          <w:sz w:val="10"/>
        </w:rPr>
        <w:t>”</w:t>
      </w:r>
      <w:r>
        <w:rPr>
          <w:rFonts w:hint="eastAsia" w:ascii="宋体" w:hAnsi="宋体" w:eastAsia="宋体" w:cs="宋体"/>
          <w:sz w:val="24"/>
        </w:rPr>
        <w:t>中进行了分析及披露</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60"/>
        <w:jc w:val="both"/>
      </w:pPr>
      <w:r>
        <w:rPr>
          <w:rFonts w:hint="eastAsia" w:ascii="宋体" w:hAnsi="宋体" w:eastAsia="宋体" w:cs="宋体"/>
          <w:sz w:val="24"/>
        </w:rPr>
        <w:t>经核查</w:t>
      </w:r>
      <w:r>
        <w:rPr>
          <w:rFonts w:hint="eastAsia" w:ascii="宋体" w:hAnsi="宋体" w:eastAsia="宋体" w:cs="宋体"/>
          <w:sz w:val="10"/>
        </w:rPr>
        <w:t>，</w:t>
      </w:r>
      <w:r>
        <w:rPr>
          <w:rFonts w:hint="eastAsia" w:ascii="宋体" w:hAnsi="宋体" w:eastAsia="宋体" w:cs="宋体"/>
          <w:sz w:val="24"/>
        </w:rPr>
        <w:t>保荐机构认为公司虽然在发展过程中面临一些不确定性因素</w:t>
      </w:r>
      <w:r>
        <w:rPr>
          <w:rFonts w:hint="eastAsia" w:ascii="宋体" w:hAnsi="宋体" w:eastAsia="宋体" w:cs="宋体"/>
          <w:sz w:val="10"/>
        </w:rPr>
        <w:t>，</w:t>
      </w:r>
      <w:r>
        <w:rPr>
          <w:rFonts w:hint="eastAsia" w:ascii="宋体" w:hAnsi="宋体" w:eastAsia="宋体" w:cs="宋体"/>
          <w:sz w:val="24"/>
        </w:rPr>
        <w:t>但这</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60"/>
        <w:jc w:val="both"/>
      </w:pPr>
      <w:r>
        <w:rPr>
          <w:rFonts w:hint="eastAsia" w:ascii="Times New Roman" w:hAnsi="Times New Roman" w:eastAsia="Times New Roman" w:cs="Times New Roman"/>
          <w:sz w:val="21"/>
        </w:rPr>
        <w:t>1-1-16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20" w:lineRule="exact"/>
        <w:ind w:left="1780"/>
        <w:jc w:val="both"/>
      </w:pPr>
      <w:r>
        <w:rPr>
          <w:rFonts w:hint="eastAsia" w:ascii="宋体" w:hAnsi="宋体" w:eastAsia="宋体" w:cs="宋体"/>
          <w:sz w:val="24"/>
        </w:rPr>
        <w:t>些因素不会对公司的持续盈利能力产生重大的不利影响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80" w:lineRule="exact"/>
        <w:ind w:left="1780"/>
        <w:jc w:val="both"/>
      </w:pPr>
      <w:r>
        <w:rPr>
          <w:rFonts w:hint="eastAsia" w:ascii="ºÚÌå" w:hAnsi="ºÚÌå" w:eastAsia="ºÚÌå" w:cs="ºÚÌå"/>
          <w:sz w:val="30"/>
        </w:rPr>
        <w:t>十一、</w:t>
      </w:r>
      <w:r>
        <w:rPr>
          <w:rFonts w:hint="eastAsia" w:ascii="ºÚÌå" w:hAnsi="ºÚÌå" w:eastAsia="ºÚÌå" w:cs="ºÚÌå"/>
          <w:sz w:val="30"/>
        </w:rPr>
        <w:t>财务报告审计截止日后主要经营情况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780" w:right="1620" w:firstLine="480"/>
        <w:jc w:val="both"/>
      </w:pPr>
      <w:r>
        <w:rPr>
          <w:rFonts w:hint="eastAsia" w:ascii="宋体" w:hAnsi="宋体" w:eastAsia="宋体" w:cs="宋体"/>
          <w:sz w:val="24"/>
        </w:rPr>
        <w:t>本公司最近一期审计报告的审计截止日为</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本公司提示投资者关注本招股说明书已披露财务报告审计截止日后的主要财务信息及经营情况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公司主要财务数据较去年同期表现良好</w:t>
      </w:r>
      <w:r>
        <w:rPr>
          <w:rFonts w:hint="eastAsia" w:ascii="宋体" w:hAnsi="宋体" w:eastAsia="宋体" w:cs="宋体"/>
          <w:sz w:val="10"/>
        </w:rPr>
        <w:t>。</w:t>
      </w:r>
      <w:r>
        <w:rPr>
          <w:rFonts w:hint="eastAsia" w:ascii="宋体" w:hAnsi="宋体" w:eastAsia="宋体" w:cs="宋体"/>
          <w:sz w:val="24"/>
        </w:rPr>
        <w:t>公司营业收入为</w:t>
      </w:r>
      <w:r>
        <w:rPr>
          <w:rFonts w:hint="eastAsia" w:ascii="Times New Roman" w:hAnsi="Times New Roman" w:eastAsia="Times New Roman" w:cs="Times New Roman"/>
          <w:sz w:val="24"/>
        </w:rPr>
        <w:t>2,754.40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月增加</w:t>
      </w:r>
      <w:r>
        <w:rPr>
          <w:rFonts w:hint="eastAsia" w:ascii="Times New Roman" w:hAnsi="Times New Roman" w:eastAsia="Times New Roman" w:cs="Times New Roman"/>
          <w:sz w:val="24"/>
        </w:rPr>
        <w:t xml:space="preserve"> 1,062.22</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增长比率为</w:t>
      </w:r>
      <w:r>
        <w:rPr>
          <w:rFonts w:hint="eastAsia" w:ascii="Times New Roman" w:hAnsi="Times New Roman" w:eastAsia="Times New Roman" w:cs="Times New Roman"/>
          <w:sz w:val="24"/>
        </w:rPr>
        <w:t xml:space="preserve"> 62.77%</w:t>
      </w:r>
      <w:r>
        <w:rPr>
          <w:rFonts w:hint="eastAsia" w:ascii="宋体" w:hAnsi="宋体" w:eastAsia="宋体" w:cs="宋体"/>
          <w:sz w:val="12"/>
        </w:rPr>
        <w:t>；</w:t>
      </w:r>
      <w:r>
        <w:rPr>
          <w:rFonts w:hint="eastAsia" w:ascii="宋体" w:hAnsi="宋体" w:eastAsia="宋体" w:cs="宋体"/>
          <w:sz w:val="24"/>
        </w:rPr>
        <w:t>归属于母公司股东的净利润为</w:t>
      </w:r>
      <w:r>
        <w:rPr>
          <w:rFonts w:hint="eastAsia" w:ascii="Times New Roman" w:hAnsi="Times New Roman" w:eastAsia="Times New Roman" w:cs="Times New Roman"/>
          <w:sz w:val="24"/>
        </w:rPr>
        <w:t xml:space="preserve"> 132.20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月增加</w:t>
      </w:r>
      <w:r>
        <w:rPr>
          <w:rFonts w:hint="eastAsia" w:ascii="Times New Roman" w:hAnsi="Times New Roman" w:eastAsia="Times New Roman" w:cs="Times New Roman"/>
          <w:sz w:val="24"/>
        </w:rPr>
        <w:t xml:space="preserve"> 998.04</w:t>
      </w:r>
      <w:r>
        <w:rPr>
          <w:rFonts w:hint="eastAsia" w:ascii="宋体" w:hAnsi="宋体" w:eastAsia="宋体" w:cs="宋体"/>
          <w:sz w:val="24"/>
        </w:rPr>
        <w:t xml:space="preserve"> 万元</w:t>
      </w:r>
      <w:r>
        <w:rPr>
          <w:rFonts w:hint="eastAsia" w:ascii="宋体" w:hAnsi="宋体" w:eastAsia="宋体" w:cs="宋体"/>
          <w:sz w:val="12"/>
        </w:rPr>
        <w:t>；</w:t>
      </w:r>
      <w:r>
        <w:rPr>
          <w:rFonts w:hint="eastAsia" w:ascii="宋体" w:hAnsi="宋体" w:eastAsia="宋体" w:cs="宋体"/>
          <w:sz w:val="24"/>
        </w:rPr>
        <w:t>扣除非经常性损益后归属于母公司股东的净利润为</w:t>
      </w:r>
      <w:r>
        <w:rPr>
          <w:rFonts w:hint="eastAsia" w:ascii="Times New Roman" w:hAnsi="Times New Roman" w:eastAsia="Times New Roman" w:cs="Times New Roman"/>
          <w:sz w:val="24"/>
        </w:rPr>
        <w:t xml:space="preserve"> 82.51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月增加</w:t>
      </w:r>
      <w:r>
        <w:rPr>
          <w:rFonts w:hint="eastAsia" w:ascii="Times New Roman" w:hAnsi="Times New Roman" w:eastAsia="Times New Roman" w:cs="Times New Roman"/>
          <w:sz w:val="24"/>
        </w:rPr>
        <w:t>948.35</w:t>
      </w:r>
      <w:r>
        <w:rPr>
          <w:rFonts w:hint="eastAsia" w:ascii="宋体" w:hAnsi="宋体" w:eastAsia="宋体" w:cs="宋体"/>
          <w:sz w:val="24"/>
        </w:rPr>
        <w:t xml:space="preserve"> 万元</w:t>
      </w:r>
      <w:r>
        <w:rPr>
          <w:rFonts w:hint="eastAsia" w:ascii="宋体" w:hAnsi="宋体" w:eastAsia="宋体" w:cs="宋体"/>
          <w:sz w:val="12"/>
        </w:rPr>
        <w:t>；</w:t>
      </w:r>
      <w:r>
        <w:rPr>
          <w:rFonts w:hint="eastAsia" w:ascii="宋体" w:hAnsi="宋体" w:eastAsia="宋体" w:cs="宋体"/>
          <w:sz w:val="24"/>
        </w:rPr>
        <w:t>扣除非经常性损益合计数前后的利润总额分别为</w:t>
      </w:r>
      <w:r>
        <w:rPr>
          <w:rFonts w:hint="eastAsia" w:ascii="Times New Roman" w:hAnsi="Times New Roman" w:eastAsia="Times New Roman" w:cs="Times New Roman"/>
          <w:sz w:val="24"/>
        </w:rPr>
        <w:t xml:space="preserve"> 128.02</w:t>
      </w:r>
      <w:r>
        <w:rPr>
          <w:rFonts w:hint="eastAsia" w:ascii="宋体" w:hAnsi="宋体" w:eastAsia="宋体" w:cs="宋体"/>
          <w:sz w:val="24"/>
        </w:rPr>
        <w:t xml:space="preserve"> 万元和</w:t>
      </w:r>
      <w:r>
        <w:rPr>
          <w:rFonts w:hint="eastAsia" w:ascii="Times New Roman" w:hAnsi="Times New Roman" w:eastAsia="Times New Roman" w:cs="Times New Roman"/>
          <w:sz w:val="24"/>
        </w:rPr>
        <w:t>71.54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较上一年度不存在下降的情形</w:t>
      </w:r>
      <w:r>
        <w:rPr>
          <w:rFonts w:hint="eastAsia" w:ascii="宋体" w:hAnsi="宋体" w:eastAsia="宋体" w:cs="宋体"/>
          <w:sz w:val="10"/>
        </w:rPr>
        <w:t>。</w:t>
      </w:r>
      <w:r>
        <w:rPr>
          <w:rFonts w:hint="eastAsia" w:ascii="宋体" w:hAnsi="宋体" w:eastAsia="宋体" w:cs="宋体"/>
          <w:sz w:val="24"/>
        </w:rPr>
        <w:t>由于所处行业情况</w:t>
      </w:r>
      <w:r>
        <w:rPr>
          <w:rFonts w:hint="eastAsia" w:ascii="宋体" w:hAnsi="宋体" w:eastAsia="宋体" w:cs="宋体"/>
          <w:sz w:val="10"/>
        </w:rPr>
        <w:t>，</w:t>
      </w:r>
      <w:r>
        <w:rPr>
          <w:rFonts w:hint="eastAsia" w:ascii="宋体" w:hAnsi="宋体" w:eastAsia="宋体" w:cs="宋体"/>
          <w:sz w:val="24"/>
        </w:rPr>
        <w:t>公司的营业收入会根据客户的预算实施情况呈现季节性波动</w:t>
      </w:r>
      <w:r>
        <w:rPr>
          <w:rFonts w:hint="eastAsia" w:ascii="宋体" w:hAnsi="宋体" w:eastAsia="宋体" w:cs="宋体"/>
          <w:sz w:val="10"/>
        </w:rPr>
        <w:t>，</w:t>
      </w:r>
      <w:r>
        <w:rPr>
          <w:rFonts w:hint="eastAsia" w:ascii="宋体" w:hAnsi="宋体" w:eastAsia="宋体" w:cs="宋体"/>
          <w:sz w:val="24"/>
        </w:rPr>
        <w:t>即收入较为集中在第四季度</w:t>
      </w:r>
      <w:r>
        <w:rPr>
          <w:rFonts w:hint="eastAsia" w:ascii="宋体" w:hAnsi="宋体" w:eastAsia="宋体" w:cs="宋体"/>
          <w:sz w:val="10"/>
        </w:rPr>
        <w:t>，</w:t>
      </w:r>
      <w:r>
        <w:rPr>
          <w:rFonts w:hint="eastAsia" w:ascii="宋体" w:hAnsi="宋体" w:eastAsia="宋体" w:cs="宋体"/>
          <w:sz w:val="24"/>
        </w:rPr>
        <w:t>全年呈上升趋势</w:t>
      </w:r>
      <w:r>
        <w:rPr>
          <w:rFonts w:hint="eastAsia" w:ascii="宋体" w:hAnsi="宋体" w:eastAsia="宋体" w:cs="宋体"/>
          <w:sz w:val="10"/>
        </w:rPr>
        <w:t>。</w:t>
      </w:r>
      <w:r>
        <w:rPr>
          <w:rFonts w:hint="eastAsia" w:ascii="Times New Roman" w:hAnsi="Times New Roman" w:eastAsia="Times New Roman" w:cs="Times New Roman"/>
          <w:sz w:val="24"/>
        </w:rPr>
        <w:t>2017</w:t>
      </w:r>
      <w:r>
        <w:rPr>
          <w:rFonts w:hint="eastAsia" w:ascii="宋体" w:hAnsi="宋体" w:eastAsia="宋体" w:cs="宋体"/>
          <w:sz w:val="24"/>
        </w:rPr>
        <w:t xml:space="preserve"> 年第一季度公司营业收入及净利润指标较去年同期增长较多</w:t>
      </w:r>
      <w:r>
        <w:rPr>
          <w:rFonts w:hint="eastAsia" w:ascii="宋体" w:hAnsi="宋体" w:eastAsia="宋体" w:cs="宋体"/>
          <w:sz w:val="10"/>
        </w:rPr>
        <w:t>，</w:t>
      </w:r>
      <w:r>
        <w:rPr>
          <w:rFonts w:hint="eastAsia" w:ascii="宋体" w:hAnsi="宋体" w:eastAsia="宋体" w:cs="宋体"/>
          <w:sz w:val="24"/>
        </w:rPr>
        <w:t>主要由定制软件业务收入增长较快所致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Times New Roman" w:hAnsi="Times New Roman" w:eastAsia="Times New Roman" w:cs="Times New Roman"/>
          <w:sz w:val="24"/>
        </w:rPr>
        <w:t>2017</w:t>
      </w:r>
      <w:r>
        <w:rPr>
          <w:rFonts w:hint="eastAsia" w:ascii="宋体" w:hAnsi="宋体" w:eastAsia="宋体" w:cs="宋体"/>
          <w:sz w:val="24"/>
        </w:rPr>
        <w:t xml:space="preserve"> 年第一季度财务报告未经审计</w:t>
      </w:r>
      <w:r>
        <w:rPr>
          <w:rFonts w:hint="eastAsia" w:ascii="宋体" w:hAnsi="宋体" w:eastAsia="宋体" w:cs="宋体"/>
          <w:sz w:val="10"/>
        </w:rPr>
        <w:t>，</w:t>
      </w:r>
      <w:r>
        <w:rPr>
          <w:rFonts w:hint="eastAsia" w:ascii="宋体" w:hAnsi="宋体" w:eastAsia="宋体" w:cs="宋体"/>
          <w:sz w:val="24"/>
        </w:rPr>
        <w:t>已经致同所审阅</w:t>
      </w:r>
      <w:r>
        <w:rPr>
          <w:rFonts w:hint="eastAsia" w:ascii="宋体" w:hAnsi="宋体" w:eastAsia="宋体" w:cs="宋体"/>
          <w:sz w:val="10"/>
        </w:rPr>
        <w:t>，</w:t>
      </w:r>
      <w:r>
        <w:rPr>
          <w:rFonts w:hint="eastAsia" w:ascii="宋体" w:hAnsi="宋体" w:eastAsia="宋体" w:cs="宋体"/>
          <w:sz w:val="24"/>
        </w:rPr>
        <w:t>并出具了</w:t>
      </w:r>
      <w:r>
        <w:rPr>
          <w:rFonts w:hint="eastAsia" w:ascii="宋体" w:hAnsi="宋体" w:eastAsia="宋体" w:cs="宋体"/>
          <w:sz w:val="10"/>
        </w:rPr>
        <w:t>“</w:t>
      </w:r>
      <w:r>
        <w:rPr>
          <w:rFonts w:hint="eastAsia" w:ascii="宋体" w:hAnsi="宋体" w:eastAsia="宋体" w:cs="宋体"/>
          <w:sz w:val="24"/>
        </w:rPr>
        <w:t>致同专字（</w:t>
      </w:r>
      <w:r>
        <w:rPr>
          <w:rFonts w:hint="eastAsia" w:ascii="Times New Roman" w:hAnsi="Times New Roman" w:eastAsia="Times New Roman" w:cs="Times New Roman"/>
          <w:sz w:val="24"/>
        </w:rPr>
        <w:t>2017</w:t>
      </w:r>
      <w:r>
        <w:rPr>
          <w:rFonts w:hint="eastAsia" w:ascii="宋体" w:hAnsi="宋体" w:eastAsia="宋体" w:cs="宋体"/>
          <w:sz w:val="24"/>
        </w:rPr>
        <w:t>）第</w:t>
      </w:r>
      <w:r>
        <w:rPr>
          <w:rFonts w:hint="eastAsia" w:ascii="Times New Roman" w:hAnsi="Times New Roman" w:eastAsia="Times New Roman" w:cs="Times New Roman"/>
          <w:sz w:val="24"/>
        </w:rPr>
        <w:t xml:space="preserve"> 350ZA0227</w:t>
      </w:r>
      <w:r>
        <w:rPr>
          <w:rFonts w:hint="eastAsia" w:ascii="宋体" w:hAnsi="宋体" w:eastAsia="宋体" w:cs="宋体"/>
          <w:sz w:val="24"/>
        </w:rPr>
        <w:t xml:space="preserve"> 号</w:t>
      </w:r>
      <w:r>
        <w:rPr>
          <w:rFonts w:hint="eastAsia" w:ascii="宋体" w:hAnsi="宋体" w:eastAsia="宋体" w:cs="宋体"/>
          <w:sz w:val="10"/>
        </w:rPr>
        <w:t>”</w:t>
      </w:r>
      <w:r>
        <w:rPr>
          <w:rFonts w:hint="eastAsia" w:ascii="宋体" w:hAnsi="宋体" w:eastAsia="宋体" w:cs="宋体"/>
          <w:sz w:val="24"/>
        </w:rPr>
        <w:t>审阅报告</w:t>
      </w:r>
      <w:r>
        <w:rPr>
          <w:rFonts w:hint="eastAsia" w:ascii="宋体" w:hAnsi="宋体" w:eastAsia="宋体" w:cs="宋体"/>
          <w:sz w:val="10"/>
        </w:rPr>
        <w:t>。</w:t>
      </w:r>
      <w:r>
        <w:rPr>
          <w:rFonts w:hint="eastAsia" w:ascii="宋体" w:hAnsi="宋体" w:eastAsia="宋体" w:cs="宋体"/>
          <w:sz w:val="24"/>
        </w:rPr>
        <w:t>审阅意见如下</w:t>
      </w:r>
      <w:r>
        <w:rPr>
          <w:rFonts w:hint="eastAsia" w:ascii="宋体" w:hAnsi="宋体" w:eastAsia="宋体" w:cs="宋体"/>
          <w:sz w:val="10"/>
        </w:rPr>
        <w:t>：“</w:t>
      </w:r>
      <w:r>
        <w:rPr>
          <w:rFonts w:hint="eastAsia" w:ascii="宋体" w:hAnsi="宋体" w:eastAsia="宋体" w:cs="宋体"/>
          <w:sz w:val="24"/>
        </w:rPr>
        <w:t>根据我们的审阅</w:t>
      </w:r>
      <w:r>
        <w:rPr>
          <w:rFonts w:hint="eastAsia" w:ascii="宋体" w:hAnsi="宋体" w:eastAsia="宋体" w:cs="宋体"/>
          <w:sz w:val="10"/>
        </w:rPr>
        <w:t>，</w:t>
      </w:r>
      <w:r>
        <w:rPr>
          <w:rFonts w:hint="eastAsia" w:ascii="宋体" w:hAnsi="宋体" w:eastAsia="宋体" w:cs="宋体"/>
          <w:sz w:val="24"/>
        </w:rPr>
        <w:t>我们没有注意到任何事项使我们相信财务报表没有按照企业会计准则的规定编制</w:t>
      </w:r>
      <w:r>
        <w:rPr>
          <w:rFonts w:hint="eastAsia" w:ascii="宋体" w:hAnsi="宋体" w:eastAsia="宋体" w:cs="宋体"/>
          <w:sz w:val="10"/>
        </w:rPr>
        <w:t>，</w:t>
      </w:r>
      <w:r>
        <w:rPr>
          <w:rFonts w:hint="eastAsia" w:ascii="宋体" w:hAnsi="宋体" w:eastAsia="宋体" w:cs="宋体"/>
          <w:sz w:val="24"/>
        </w:rPr>
        <w:t>未能在所有重大方面公允反映顶点软件公司的财务状况</w:t>
      </w:r>
      <w:r>
        <w:rPr>
          <w:rFonts w:hint="eastAsia" w:ascii="宋体" w:hAnsi="宋体" w:eastAsia="宋体" w:cs="宋体"/>
          <w:sz w:val="10"/>
        </w:rPr>
        <w:t>、</w:t>
      </w:r>
      <w:r>
        <w:rPr>
          <w:rFonts w:hint="eastAsia" w:ascii="宋体" w:hAnsi="宋体" w:eastAsia="宋体" w:cs="宋体"/>
          <w:sz w:val="24"/>
        </w:rPr>
        <w:t>经营成果和现金流量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780" w:right="1640"/>
        <w:jc w:val="both"/>
      </w:pPr>
      <w:r>
        <w:rPr>
          <w:rFonts w:hint="eastAsia" w:ascii="宋体" w:hAnsi="宋体" w:eastAsia="宋体" w:cs="宋体"/>
          <w:sz w:val="24"/>
        </w:rPr>
        <w:t>经审阅的主要财务信息参见本招股说明书</w:t>
      </w:r>
      <w:r>
        <w:rPr>
          <w:rFonts w:hint="eastAsia" w:ascii="宋体" w:hAnsi="宋体" w:eastAsia="宋体" w:cs="宋体"/>
          <w:sz w:val="10"/>
        </w:rPr>
        <w:t>“</w:t>
      </w:r>
      <w:r>
        <w:rPr>
          <w:rFonts w:hint="eastAsia" w:ascii="宋体" w:hAnsi="宋体" w:eastAsia="宋体" w:cs="宋体"/>
          <w:sz w:val="24"/>
        </w:rPr>
        <w:t>第十一节</w:t>
      </w:r>
      <w:r>
        <w:rPr>
          <w:rFonts w:hint="eastAsia" w:ascii="Times New Roman" w:hAnsi="Times New Roman" w:eastAsia="Times New Roman" w:cs="Times New Roman"/>
          <w:sz w:val="24"/>
        </w:rPr>
        <w:t xml:space="preserve"> </w:t>
      </w:r>
      <w:r>
        <w:rPr>
          <w:rFonts w:hint="eastAsia" w:ascii="宋体" w:hAnsi="宋体" w:eastAsia="宋体" w:cs="宋体"/>
          <w:sz w:val="24"/>
        </w:rPr>
        <w:t>管理层讨论与分析</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十</w:t>
      </w:r>
      <w:r>
        <w:rPr>
          <w:rFonts w:hint="eastAsia" w:ascii="宋体" w:hAnsi="宋体" w:eastAsia="宋体" w:cs="宋体"/>
          <w:sz w:val="10"/>
        </w:rPr>
        <w:t>、</w:t>
      </w:r>
      <w:r>
        <w:rPr>
          <w:rFonts w:hint="eastAsia" w:ascii="宋体" w:hAnsi="宋体" w:eastAsia="宋体" w:cs="宋体"/>
          <w:sz w:val="24"/>
        </w:rPr>
        <w:t>财务报告审计截止日后主要经营状况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公司全体董事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高级管理人员已认真审阅了本公司上述财务报告</w:t>
      </w:r>
      <w:r>
        <w:rPr>
          <w:rFonts w:hint="eastAsia" w:ascii="宋体" w:hAnsi="宋体" w:eastAsia="宋体" w:cs="宋体"/>
          <w:sz w:val="10"/>
        </w:rPr>
        <w:t>，</w:t>
      </w:r>
      <w:r>
        <w:rPr>
          <w:rFonts w:hint="eastAsia" w:ascii="宋体" w:hAnsi="宋体" w:eastAsia="宋体" w:cs="宋体"/>
          <w:sz w:val="24"/>
        </w:rPr>
        <w:t>保证该等财务报告所载资料不存在虚假记载</w:t>
      </w:r>
      <w:r>
        <w:rPr>
          <w:rFonts w:hint="eastAsia" w:ascii="宋体" w:hAnsi="宋体" w:eastAsia="宋体" w:cs="宋体"/>
          <w:sz w:val="10"/>
        </w:rPr>
        <w:t>、</w:t>
      </w:r>
      <w:r>
        <w:rPr>
          <w:rFonts w:hint="eastAsia" w:ascii="宋体" w:hAnsi="宋体" w:eastAsia="宋体" w:cs="宋体"/>
          <w:sz w:val="24"/>
        </w:rPr>
        <w:t>误导性陈述或者重大遗漏</w:t>
      </w:r>
      <w:r>
        <w:rPr>
          <w:rFonts w:hint="eastAsia" w:ascii="宋体" w:hAnsi="宋体" w:eastAsia="宋体" w:cs="宋体"/>
          <w:sz w:val="10"/>
        </w:rPr>
        <w:t>，</w:t>
      </w:r>
      <w:r>
        <w:rPr>
          <w:rFonts w:hint="eastAsia" w:ascii="宋体" w:hAnsi="宋体" w:eastAsia="宋体" w:cs="宋体"/>
          <w:sz w:val="24"/>
        </w:rPr>
        <w:t>并对其内容的真实性</w:t>
      </w:r>
      <w:r>
        <w:rPr>
          <w:rFonts w:hint="eastAsia" w:ascii="宋体" w:hAnsi="宋体" w:eastAsia="宋体" w:cs="宋体"/>
          <w:sz w:val="10"/>
        </w:rPr>
        <w:t>、</w:t>
      </w:r>
      <w:r>
        <w:rPr>
          <w:rFonts w:hint="eastAsia" w:ascii="宋体" w:hAnsi="宋体" w:eastAsia="宋体" w:cs="宋体"/>
          <w:sz w:val="24"/>
        </w:rPr>
        <w:t>准确性及完整性承担个别及连带责任</w:t>
      </w:r>
      <w:r>
        <w:rPr>
          <w:rFonts w:hint="eastAsia" w:ascii="宋体" w:hAnsi="宋体" w:eastAsia="宋体" w:cs="宋体"/>
          <w:sz w:val="10"/>
        </w:rPr>
        <w:t>。</w:t>
      </w:r>
      <w:r>
        <w:rPr>
          <w:rFonts w:hint="eastAsia" w:ascii="宋体" w:hAnsi="宋体" w:eastAsia="宋体" w:cs="宋体"/>
          <w:sz w:val="24"/>
        </w:rPr>
        <w:t>公司负责人</w:t>
      </w:r>
      <w:r>
        <w:rPr>
          <w:rFonts w:hint="eastAsia" w:ascii="宋体" w:hAnsi="宋体" w:eastAsia="宋体" w:cs="宋体"/>
          <w:sz w:val="10"/>
        </w:rPr>
        <w:t>、</w:t>
      </w:r>
      <w:r>
        <w:rPr>
          <w:rFonts w:hint="eastAsia" w:ascii="宋体" w:hAnsi="宋体" w:eastAsia="宋体" w:cs="宋体"/>
          <w:sz w:val="24"/>
        </w:rPr>
        <w:t>主管会计工作负责人及会计机构负责人已认真审阅了本公司上述财务报告</w:t>
      </w:r>
      <w:r>
        <w:rPr>
          <w:rFonts w:hint="eastAsia" w:ascii="宋体" w:hAnsi="宋体" w:eastAsia="宋体" w:cs="宋体"/>
          <w:sz w:val="10"/>
        </w:rPr>
        <w:t>，</w:t>
      </w:r>
      <w:r>
        <w:rPr>
          <w:rFonts w:hint="eastAsia" w:ascii="宋体" w:hAnsi="宋体" w:eastAsia="宋体" w:cs="宋体"/>
          <w:sz w:val="24"/>
        </w:rPr>
        <w:t>保证该等财务报告内容真实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完整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600" w:firstLine="480"/>
        <w:jc w:val="both"/>
      </w:pPr>
      <w:r>
        <w:rPr>
          <w:rFonts w:hint="eastAsia" w:ascii="Times New Roman" w:hAnsi="Times New Roman" w:eastAsia="Times New Roman" w:cs="Times New Roman"/>
          <w:sz w:val="24"/>
        </w:rPr>
        <w:t>2017</w:t>
      </w:r>
      <w:r>
        <w:rPr>
          <w:rFonts w:hint="eastAsia" w:ascii="宋体" w:hAnsi="宋体" w:eastAsia="宋体" w:cs="宋体"/>
          <w:sz w:val="24"/>
        </w:rPr>
        <w:t xml:space="preserve"> 年第一季度</w:t>
      </w:r>
      <w:r>
        <w:rPr>
          <w:rFonts w:hint="eastAsia" w:ascii="宋体" w:hAnsi="宋体" w:eastAsia="宋体" w:cs="宋体"/>
          <w:sz w:val="10"/>
        </w:rPr>
        <w:t>，</w:t>
      </w:r>
      <w:r>
        <w:rPr>
          <w:rFonts w:hint="eastAsia" w:ascii="宋体" w:hAnsi="宋体" w:eastAsia="宋体" w:cs="宋体"/>
          <w:sz w:val="24"/>
        </w:rPr>
        <w:t>公司经营情况良好</w:t>
      </w:r>
      <w:r>
        <w:rPr>
          <w:rFonts w:hint="eastAsia" w:ascii="宋体" w:hAnsi="宋体" w:eastAsia="宋体" w:cs="宋体"/>
          <w:sz w:val="10"/>
        </w:rPr>
        <w:t>。</w:t>
      </w:r>
      <w:r>
        <w:rPr>
          <w:rFonts w:hint="eastAsia" w:ascii="宋体" w:hAnsi="宋体" w:eastAsia="宋体" w:cs="宋体"/>
          <w:sz w:val="24"/>
        </w:rPr>
        <w:t>公司经营模式</w:t>
      </w:r>
      <w:r>
        <w:rPr>
          <w:rFonts w:hint="eastAsia" w:ascii="宋体" w:hAnsi="宋体" w:eastAsia="宋体" w:cs="宋体"/>
          <w:sz w:val="10"/>
        </w:rPr>
        <w:t>、</w:t>
      </w:r>
      <w:r>
        <w:rPr>
          <w:rFonts w:hint="eastAsia" w:ascii="宋体" w:hAnsi="宋体" w:eastAsia="宋体" w:cs="宋体"/>
          <w:sz w:val="24"/>
        </w:rPr>
        <w:t>主要原材料的采购规模及采购价格</w:t>
      </w:r>
      <w:r>
        <w:rPr>
          <w:rFonts w:hint="eastAsia" w:ascii="宋体" w:hAnsi="宋体" w:eastAsia="宋体" w:cs="宋体"/>
          <w:sz w:val="10"/>
        </w:rPr>
        <w:t>、</w:t>
      </w:r>
      <w:r>
        <w:rPr>
          <w:rFonts w:hint="eastAsia" w:ascii="宋体" w:hAnsi="宋体" w:eastAsia="宋体" w:cs="宋体"/>
          <w:sz w:val="24"/>
        </w:rPr>
        <w:t>主要项目的执行情况</w:t>
      </w:r>
      <w:r>
        <w:rPr>
          <w:rFonts w:hint="eastAsia" w:ascii="宋体" w:hAnsi="宋体" w:eastAsia="宋体" w:cs="宋体"/>
          <w:sz w:val="10"/>
        </w:rPr>
        <w:t>、</w:t>
      </w:r>
      <w:r>
        <w:rPr>
          <w:rFonts w:hint="eastAsia" w:ascii="宋体" w:hAnsi="宋体" w:eastAsia="宋体" w:cs="宋体"/>
          <w:sz w:val="24"/>
        </w:rPr>
        <w:t>主要产品及服务的提供</w:t>
      </w:r>
      <w:r>
        <w:rPr>
          <w:rFonts w:hint="eastAsia" w:ascii="宋体" w:hAnsi="宋体" w:eastAsia="宋体" w:cs="宋体"/>
          <w:sz w:val="10"/>
        </w:rPr>
        <w:t>、</w:t>
      </w:r>
      <w:r>
        <w:rPr>
          <w:rFonts w:hint="eastAsia" w:ascii="宋体" w:hAnsi="宋体" w:eastAsia="宋体" w:cs="宋体"/>
          <w:sz w:val="24"/>
        </w:rPr>
        <w:t>销售规模及销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1-1-17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40" w:lineRule="exact"/>
        <w:ind w:left="1780" w:right="1600"/>
        <w:jc w:val="both"/>
      </w:pPr>
      <w:r>
        <w:rPr>
          <w:rFonts w:hint="eastAsia" w:ascii="宋体" w:hAnsi="宋体" w:eastAsia="宋体" w:cs="宋体"/>
          <w:sz w:val="24"/>
        </w:rPr>
        <w:t>售价格</w:t>
      </w:r>
      <w:r>
        <w:rPr>
          <w:rFonts w:hint="eastAsia" w:ascii="宋体" w:hAnsi="宋体" w:eastAsia="宋体" w:cs="宋体"/>
          <w:sz w:val="10"/>
        </w:rPr>
        <w:t>、</w:t>
      </w:r>
      <w:r>
        <w:rPr>
          <w:rFonts w:hint="eastAsia" w:ascii="宋体" w:hAnsi="宋体" w:eastAsia="宋体" w:cs="宋体"/>
          <w:sz w:val="24"/>
        </w:rPr>
        <w:t>主要客户及供应商的构成</w:t>
      </w:r>
      <w:r>
        <w:rPr>
          <w:rFonts w:hint="eastAsia" w:ascii="宋体" w:hAnsi="宋体" w:eastAsia="宋体" w:cs="宋体"/>
          <w:sz w:val="10"/>
        </w:rPr>
        <w:t>、</w:t>
      </w:r>
      <w:r>
        <w:rPr>
          <w:rFonts w:hint="eastAsia" w:ascii="宋体" w:hAnsi="宋体" w:eastAsia="宋体" w:cs="宋体"/>
          <w:sz w:val="24"/>
        </w:rPr>
        <w:t>税收政策及其他可能影响投资者判断的重大事项方面未发生重大变化</w:t>
      </w:r>
      <w:r>
        <w:rPr>
          <w:rFonts w:hint="eastAsia" w:ascii="宋体" w:hAnsi="宋体" w:eastAsia="宋体" w:cs="宋体"/>
          <w:sz w:val="10"/>
        </w:rPr>
        <w:t>，</w:t>
      </w:r>
      <w:r>
        <w:rPr>
          <w:rFonts w:hint="eastAsia" w:ascii="宋体" w:hAnsi="宋体" w:eastAsia="宋体" w:cs="宋体"/>
          <w:sz w:val="24"/>
        </w:rPr>
        <w:t>不存在可能影响投资者判断的重大事项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780" w:right="1580" w:firstLine="480"/>
        <w:jc w:val="both"/>
      </w:pPr>
      <w:r>
        <w:rPr>
          <w:rFonts w:hint="eastAsia" w:ascii="宋体" w:hAnsi="宋体" w:eastAsia="宋体" w:cs="宋体"/>
          <w:sz w:val="24"/>
        </w:rPr>
        <w:t>公司根据报告期内及审计截止日后的实际经营情况</w:t>
      </w:r>
      <w:r>
        <w:rPr>
          <w:rFonts w:hint="eastAsia" w:ascii="宋体" w:hAnsi="宋体" w:eastAsia="宋体" w:cs="宋体"/>
          <w:sz w:val="10"/>
        </w:rPr>
        <w:t>、</w:t>
      </w:r>
      <w:r>
        <w:rPr>
          <w:rFonts w:hint="eastAsia" w:ascii="宋体" w:hAnsi="宋体" w:eastAsia="宋体" w:cs="宋体"/>
          <w:sz w:val="24"/>
        </w:rPr>
        <w:t>在手订单等相关信息</w:t>
      </w:r>
      <w:r>
        <w:rPr>
          <w:rFonts w:hint="eastAsia" w:ascii="宋体" w:hAnsi="宋体" w:eastAsia="宋体" w:cs="宋体"/>
          <w:sz w:val="10"/>
        </w:rPr>
        <w:t>，</w:t>
      </w:r>
      <w:r>
        <w:rPr>
          <w:rFonts w:hint="eastAsia" w:ascii="宋体" w:hAnsi="宋体" w:eastAsia="宋体" w:cs="宋体"/>
          <w:sz w:val="24"/>
        </w:rPr>
        <w:t>对</w:t>
      </w: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1-6</w:t>
      </w:r>
      <w:r>
        <w:rPr>
          <w:rFonts w:hint="eastAsia" w:ascii="宋体" w:hAnsi="宋体" w:eastAsia="宋体" w:cs="宋体"/>
          <w:sz w:val="24"/>
        </w:rPr>
        <w:t xml:space="preserve"> 月的业绩进行预测</w:t>
      </w:r>
      <w:r>
        <w:rPr>
          <w:rFonts w:hint="eastAsia" w:ascii="宋体" w:hAnsi="宋体" w:eastAsia="宋体" w:cs="宋体"/>
          <w:sz w:val="10"/>
        </w:rPr>
        <w:t>。</w:t>
      </w:r>
      <w:r>
        <w:rPr>
          <w:rFonts w:hint="eastAsia" w:ascii="宋体" w:hAnsi="宋体" w:eastAsia="宋体" w:cs="宋体"/>
          <w:sz w:val="24"/>
        </w:rPr>
        <w:t>业绩预测基于软件及证券行业发展情况不存在重大变化</w:t>
      </w:r>
      <w:r>
        <w:rPr>
          <w:rFonts w:hint="eastAsia" w:ascii="宋体" w:hAnsi="宋体" w:eastAsia="宋体" w:cs="宋体"/>
          <w:sz w:val="10"/>
        </w:rPr>
        <w:t>、</w:t>
      </w:r>
      <w:r>
        <w:rPr>
          <w:rFonts w:hint="eastAsia" w:ascii="宋体" w:hAnsi="宋体" w:eastAsia="宋体" w:cs="宋体"/>
          <w:sz w:val="24"/>
        </w:rPr>
        <w:t>行业及财税政策不存在重大变化且公司生产经营情况相对稳定的假设开展</w:t>
      </w:r>
      <w:r>
        <w:rPr>
          <w:rFonts w:hint="eastAsia" w:ascii="宋体" w:hAnsi="宋体" w:eastAsia="宋体" w:cs="宋体"/>
          <w:sz w:val="10"/>
        </w:rPr>
        <w:t>，</w:t>
      </w:r>
      <w:r>
        <w:rPr>
          <w:rFonts w:hint="eastAsia" w:ascii="宋体" w:hAnsi="宋体" w:eastAsia="宋体" w:cs="宋体"/>
          <w:sz w:val="24"/>
        </w:rPr>
        <w:t>预计</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1-6</w:t>
      </w:r>
      <w:r>
        <w:rPr>
          <w:rFonts w:hint="eastAsia" w:ascii="宋体" w:hAnsi="宋体" w:eastAsia="宋体" w:cs="宋体"/>
          <w:sz w:val="24"/>
        </w:rPr>
        <w:t xml:space="preserve"> 月的财务数据情况如下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780" w:right="1600" w:firstLine="480"/>
        <w:jc w:val="both"/>
      </w:pPr>
      <w:r>
        <w:rPr>
          <w:rFonts w:hint="eastAsia" w:ascii="宋体" w:hAnsi="宋体" w:eastAsia="宋体" w:cs="宋体"/>
          <w:sz w:val="24"/>
        </w:rPr>
        <w:t>公司预计</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1-6</w:t>
      </w:r>
      <w:r>
        <w:rPr>
          <w:rFonts w:hint="eastAsia" w:ascii="宋体" w:hAnsi="宋体" w:eastAsia="宋体" w:cs="宋体"/>
          <w:sz w:val="24"/>
        </w:rPr>
        <w:t xml:space="preserve"> 月经营情况稳定</w:t>
      </w:r>
      <w:r>
        <w:rPr>
          <w:rFonts w:hint="eastAsia" w:ascii="宋体" w:hAnsi="宋体" w:eastAsia="宋体" w:cs="宋体"/>
          <w:sz w:val="10"/>
        </w:rPr>
        <w:t>，</w:t>
      </w:r>
      <w:r>
        <w:rPr>
          <w:rFonts w:hint="eastAsia" w:ascii="宋体" w:hAnsi="宋体" w:eastAsia="宋体" w:cs="宋体"/>
          <w:sz w:val="24"/>
        </w:rPr>
        <w:t>营业收入预计为</w:t>
      </w:r>
      <w:r>
        <w:rPr>
          <w:rFonts w:hint="eastAsia" w:ascii="Times New Roman" w:hAnsi="Times New Roman" w:eastAsia="Times New Roman" w:cs="Times New Roman"/>
          <w:sz w:val="24"/>
        </w:rPr>
        <w:t xml:space="preserve"> 8,686.02</w:t>
      </w:r>
      <w:r>
        <w:rPr>
          <w:rFonts w:hint="eastAsia" w:ascii="宋体" w:hAnsi="宋体" w:eastAsia="宋体" w:cs="宋体"/>
          <w:sz w:val="24"/>
        </w:rPr>
        <w:t xml:space="preserve"> 万元至</w:t>
      </w:r>
      <w:r>
        <w:rPr>
          <w:rFonts w:hint="eastAsia" w:ascii="Times New Roman" w:hAnsi="Times New Roman" w:eastAsia="Times New Roman" w:cs="Times New Roman"/>
          <w:sz w:val="24"/>
        </w:rPr>
        <w:t>10,265.29</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较去年同期增长</w:t>
      </w:r>
      <w:r>
        <w:rPr>
          <w:rFonts w:hint="eastAsia" w:ascii="Times New Roman" w:hAnsi="Times New Roman" w:eastAsia="Times New Roman" w:cs="Times New Roman"/>
          <w:sz w:val="24"/>
        </w:rPr>
        <w:t xml:space="preserve"> 10%</w:t>
      </w:r>
      <w:r>
        <w:rPr>
          <w:rFonts w:hint="eastAsia" w:ascii="宋体" w:hAnsi="宋体" w:eastAsia="宋体" w:cs="宋体"/>
          <w:sz w:val="24"/>
        </w:rPr>
        <w:t>至</w:t>
      </w:r>
      <w:r>
        <w:rPr>
          <w:rFonts w:hint="eastAsia" w:ascii="Times New Roman" w:hAnsi="Times New Roman" w:eastAsia="Times New Roman" w:cs="Times New Roman"/>
          <w:sz w:val="24"/>
        </w:rPr>
        <w:t xml:space="preserve"> 30%</w:t>
      </w:r>
      <w:r>
        <w:rPr>
          <w:rFonts w:hint="eastAsia" w:ascii="宋体" w:hAnsi="宋体" w:eastAsia="宋体" w:cs="宋体"/>
          <w:sz w:val="14"/>
        </w:rPr>
        <w:t>；</w:t>
      </w:r>
      <w:r>
        <w:rPr>
          <w:rFonts w:hint="eastAsia" w:ascii="宋体" w:hAnsi="宋体" w:eastAsia="宋体" w:cs="宋体"/>
          <w:sz w:val="24"/>
        </w:rPr>
        <w:t>净利润预计为</w:t>
      </w:r>
      <w:r>
        <w:rPr>
          <w:rFonts w:hint="eastAsia" w:ascii="Times New Roman" w:hAnsi="Times New Roman" w:eastAsia="Times New Roman" w:cs="Times New Roman"/>
          <w:sz w:val="24"/>
        </w:rPr>
        <w:t xml:space="preserve"> 2,168.21</w:t>
      </w:r>
      <w:r>
        <w:rPr>
          <w:rFonts w:hint="eastAsia" w:ascii="宋体" w:hAnsi="宋体" w:eastAsia="宋体" w:cs="宋体"/>
          <w:sz w:val="24"/>
        </w:rPr>
        <w:t xml:space="preserve"> 万元至</w:t>
      </w:r>
      <w:r>
        <w:rPr>
          <w:rFonts w:hint="eastAsia" w:ascii="Times New Roman" w:hAnsi="Times New Roman" w:eastAsia="Times New Roman" w:cs="Times New Roman"/>
          <w:sz w:val="24"/>
        </w:rPr>
        <w:t>2,759.54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较去年同期增长</w:t>
      </w:r>
      <w:r>
        <w:rPr>
          <w:rFonts w:hint="eastAsia" w:ascii="Times New Roman" w:hAnsi="Times New Roman" w:eastAsia="Times New Roman" w:cs="Times New Roman"/>
          <w:sz w:val="24"/>
        </w:rPr>
        <w:t xml:space="preserve"> 10%</w:t>
      </w:r>
      <w:r>
        <w:rPr>
          <w:rFonts w:hint="eastAsia" w:ascii="宋体" w:hAnsi="宋体" w:eastAsia="宋体" w:cs="宋体"/>
          <w:sz w:val="24"/>
        </w:rPr>
        <w:t>至</w:t>
      </w:r>
      <w:r>
        <w:rPr>
          <w:rFonts w:hint="eastAsia" w:ascii="Times New Roman" w:hAnsi="Times New Roman" w:eastAsia="Times New Roman" w:cs="Times New Roman"/>
          <w:sz w:val="24"/>
        </w:rPr>
        <w:t xml:space="preserve"> 40%</w:t>
      </w:r>
      <w:r>
        <w:rPr>
          <w:rFonts w:hint="eastAsia" w:ascii="宋体" w:hAnsi="宋体" w:eastAsia="宋体" w:cs="宋体"/>
          <w:sz w:val="10"/>
        </w:rPr>
        <w:t>。</w:t>
      </w:r>
      <w:r>
        <w:rPr>
          <w:rFonts w:hint="eastAsia" w:ascii="宋体" w:hAnsi="宋体" w:eastAsia="宋体" w:cs="宋体"/>
          <w:sz w:val="24"/>
        </w:rPr>
        <w:t>公司预计</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1-6</w:t>
      </w:r>
      <w:r>
        <w:rPr>
          <w:rFonts w:hint="eastAsia" w:ascii="宋体" w:hAnsi="宋体" w:eastAsia="宋体" w:cs="宋体"/>
          <w:sz w:val="24"/>
        </w:rPr>
        <w:t xml:space="preserve"> 月经营业绩不存在同比大幅下降的情形</w:t>
      </w:r>
      <w:r>
        <w:rPr>
          <w:rFonts w:hint="eastAsia" w:ascii="宋体" w:hAnsi="宋体" w:eastAsia="宋体" w:cs="宋体"/>
          <w:sz w:val="10"/>
        </w:rPr>
        <w:t>，</w:t>
      </w:r>
      <w:r>
        <w:rPr>
          <w:rFonts w:hint="eastAsia" w:ascii="宋体" w:hAnsi="宋体" w:eastAsia="宋体" w:cs="宋体"/>
          <w:sz w:val="24"/>
        </w:rPr>
        <w:t>净利润以及扣除非经常性损益后孰低的净利润不会发生重大变动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1-1-18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5500"/>
        <w:jc w:val="both"/>
      </w:pPr>
      <w:r>
        <w:rPr>
          <w:rFonts w:hint="eastAsia" w:ascii="宋体" w:hAnsi="宋体" w:eastAsia="宋体" w:cs="宋体"/>
          <w:b/>
          <w:sz w:val="36"/>
        </w:rPr>
        <w:t>目</w:t>
      </w:r>
      <w:r>
        <w:rPr>
          <w:rFonts w:hint="eastAsia" w:ascii="Times New Roman Bold" w:hAnsi="Times New Roman Bold" w:eastAsia="Times New Roman Bold" w:cs="Times New Roman Bold"/>
          <w:b/>
          <w:sz w:val="36"/>
        </w:rPr>
        <w:t xml:space="preserve"> </w:t>
      </w:r>
      <w:r>
        <w:rPr>
          <w:rFonts w:hint="eastAsia" w:ascii="宋体" w:hAnsi="宋体" w:eastAsia="宋体" w:cs="宋体"/>
          <w:b/>
          <w:sz w:val="36"/>
        </w:rPr>
        <w:t>录</w:t>
      </w:r>
    </w:p>
    <w:p>
      <w:pPr>
        <w:spacing w:line="200" w:lineRule="exact"/>
        <w:rPr>
          <w:rFonts w:hint="eastAsia" w:ascii="宋体" w:hAnsi="宋体" w:eastAsia="宋体" w:cs="宋体"/>
          <w:sz w:val="20"/>
        </w:rPr>
      </w:pPr>
    </w:p>
    <w:p>
      <w:pPr>
        <w:tabs>
          <w:tab w:val="left" w:leader="dot" w:pos="9980"/>
        </w:tabs>
        <w:autoSpaceDE w:val="false"/>
        <w:autoSpaceDN w:val="false"/>
        <w:spacing w:line="320" w:lineRule="exact"/>
        <w:ind w:left="1780"/>
        <w:jc w:val="both"/>
      </w:pPr>
      <w:r>
        <w:rPr>
          <w:rFonts w:hint="eastAsia" w:ascii="ºÚÌå" w:hAnsi="ºÚÌå" w:eastAsia="ºÚÌå" w:cs="ºÚÌå"/>
          <w:b/>
          <w:sz w:val="21"/>
        </w:rPr>
        <w:t>重大事项提示</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4</w:t>
      </w:r>
    </w:p>
    <w:p>
      <w:pPr>
        <w:spacing w:line="200" w:lineRule="exact"/>
        <w:rPr>
          <w:rFonts w:hint="eastAsia" w:ascii="宋体" w:hAnsi="宋体" w:eastAsia="宋体" w:cs="宋体"/>
          <w:sz w:val="20"/>
        </w:rPr>
      </w:pPr>
    </w:p>
    <w:p>
      <w:pPr>
        <w:tabs>
          <w:tab w:val="left" w:leader="dot" w:pos="9960"/>
        </w:tabs>
        <w:autoSpaceDE w:val="false"/>
        <w:autoSpaceDN w:val="false"/>
        <w:spacing w:line="240" w:lineRule="exact"/>
        <w:ind w:left="2000"/>
        <w:jc w:val="both"/>
      </w:pPr>
      <w:r>
        <w:rPr>
          <w:rFonts w:hint="eastAsia" w:ascii="ºÚÌå" w:hAnsi="ºÚÌå" w:eastAsia="ºÚÌå" w:cs="ºÚÌå"/>
          <w:sz w:val="20"/>
        </w:rPr>
        <w:t>一、</w:t>
      </w:r>
      <w:r>
        <w:rPr>
          <w:rFonts w:hint="eastAsia" w:ascii="ºÚÌå" w:hAnsi="ºÚÌå" w:eastAsia="ºÚÌå" w:cs="ºÚÌå"/>
          <w:sz w:val="21"/>
        </w:rPr>
        <w:t>股东关于股份锁定的承诺</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4</w:t>
      </w:r>
    </w:p>
    <w:p>
      <w:pPr>
        <w:tabs>
          <w:tab w:val="left" w:leader="dot" w:pos="996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股价稳定计划</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5</w:t>
      </w:r>
    </w:p>
    <w:p>
      <w:pPr>
        <w:tabs>
          <w:tab w:val="left" w:leader="dot" w:pos="9960"/>
        </w:tabs>
        <w:autoSpaceDE w:val="false"/>
        <w:autoSpaceDN w:val="false"/>
        <w:spacing w:line="30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股东持股及减持意向</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8</w:t>
      </w:r>
    </w:p>
    <w:p>
      <w:pPr>
        <w:tabs>
          <w:tab w:val="left" w:leader="dot" w:pos="9960"/>
        </w:tabs>
        <w:autoSpaceDE w:val="false"/>
        <w:autoSpaceDN w:val="false"/>
        <w:spacing w:line="32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有关招股说明书所载内容真实</w:t>
      </w:r>
      <w:r>
        <w:rPr>
          <w:rFonts w:hint="eastAsia" w:ascii="ºÚÌå" w:hAnsi="ºÚÌå" w:eastAsia="ºÚÌå" w:cs="ºÚÌå"/>
          <w:sz w:val="10"/>
        </w:rPr>
        <w:t>、</w:t>
      </w:r>
      <w:r>
        <w:rPr>
          <w:rFonts w:hint="eastAsia" w:ascii="ºÚÌå" w:hAnsi="ºÚÌå" w:eastAsia="ºÚÌå" w:cs="ºÚÌå"/>
          <w:sz w:val="21"/>
        </w:rPr>
        <w:t>准确</w:t>
      </w:r>
      <w:r>
        <w:rPr>
          <w:rFonts w:hint="eastAsia" w:ascii="ºÚÌå" w:hAnsi="ºÚÌå" w:eastAsia="ºÚÌå" w:cs="ºÚÌå"/>
          <w:sz w:val="10"/>
        </w:rPr>
        <w:t>、</w:t>
      </w:r>
      <w:r>
        <w:rPr>
          <w:rFonts w:hint="eastAsia" w:ascii="ºÚÌå" w:hAnsi="ºÚÌå" w:eastAsia="ºÚÌå" w:cs="ºÚÌå"/>
          <w:sz w:val="21"/>
        </w:rPr>
        <w:t>完整的承诺</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8</w:t>
      </w:r>
    </w:p>
    <w:p>
      <w:pPr>
        <w:tabs>
          <w:tab w:val="left" w:leader="dot" w:pos="9880"/>
        </w:tabs>
        <w:autoSpaceDE w:val="false"/>
        <w:autoSpaceDN w:val="false"/>
        <w:spacing w:line="300" w:lineRule="exact"/>
        <w:ind w:left="2000"/>
        <w:jc w:val="both"/>
      </w:pPr>
      <w:r>
        <w:rPr>
          <w:rFonts w:hint="eastAsia" w:ascii="ºÚÌå" w:hAnsi="ºÚÌå" w:eastAsia="ºÚÌå" w:cs="ºÚÌå"/>
          <w:sz w:val="21"/>
        </w:rPr>
        <w:t>五</w:t>
      </w:r>
      <w:r>
        <w:rPr>
          <w:rFonts w:hint="eastAsia" w:ascii="ºÚÌå" w:hAnsi="ºÚÌå" w:eastAsia="ºÚÌå" w:cs="ºÚÌå"/>
          <w:sz w:val="10"/>
        </w:rPr>
        <w:t>、</w:t>
      </w:r>
      <w:r>
        <w:rPr>
          <w:rFonts w:hint="eastAsia" w:ascii="ºÚÌå" w:hAnsi="ºÚÌå" w:eastAsia="ºÚÌå" w:cs="ºÚÌå"/>
          <w:sz w:val="21"/>
        </w:rPr>
        <w:t>承诺主体未能履行承诺的约束措施</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10</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六</w:t>
      </w:r>
      <w:r>
        <w:rPr>
          <w:rFonts w:hint="eastAsia" w:ascii="ºÚÌå" w:hAnsi="ºÚÌå" w:eastAsia="ºÚÌå" w:cs="ºÚÌå"/>
          <w:sz w:val="10"/>
        </w:rPr>
        <w:t>、</w:t>
      </w:r>
      <w:r>
        <w:rPr>
          <w:rFonts w:hint="eastAsia" w:ascii="ºÚÌå" w:hAnsi="ºÚÌå" w:eastAsia="ºÚÌå" w:cs="ºÚÌå"/>
          <w:sz w:val="21"/>
        </w:rPr>
        <w:t>本次发行前股东公开发售股份的具体方案</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11</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七</w:t>
      </w:r>
      <w:r>
        <w:rPr>
          <w:rFonts w:hint="eastAsia" w:ascii="ºÚÌå" w:hAnsi="ºÚÌå" w:eastAsia="ºÚÌå" w:cs="ºÚÌå"/>
          <w:sz w:val="10"/>
        </w:rPr>
        <w:t>、</w:t>
      </w:r>
      <w:r>
        <w:rPr>
          <w:rFonts w:hint="eastAsia" w:ascii="ºÚÌå" w:hAnsi="ºÚÌå" w:eastAsia="ºÚÌå" w:cs="ºÚÌå"/>
          <w:sz w:val="21"/>
        </w:rPr>
        <w:t>有关利润分配的安排</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11</w:t>
      </w:r>
    </w:p>
    <w:p>
      <w:pPr>
        <w:tabs>
          <w:tab w:val="left" w:leader="dot" w:pos="9880"/>
        </w:tabs>
        <w:autoSpaceDE w:val="false"/>
        <w:autoSpaceDN w:val="false"/>
        <w:spacing w:line="300" w:lineRule="exact"/>
        <w:ind w:left="2000"/>
        <w:jc w:val="both"/>
      </w:pPr>
      <w:r>
        <w:rPr>
          <w:rFonts w:hint="eastAsia" w:ascii="ºÚÌå" w:hAnsi="ºÚÌå" w:eastAsia="ºÚÌå" w:cs="ºÚÌå"/>
          <w:sz w:val="21"/>
        </w:rPr>
        <w:t>八</w:t>
      </w:r>
      <w:r>
        <w:rPr>
          <w:rFonts w:hint="eastAsia" w:ascii="ºÚÌå" w:hAnsi="ºÚÌå" w:eastAsia="ºÚÌå" w:cs="ºÚÌå"/>
          <w:sz w:val="10"/>
        </w:rPr>
        <w:t>、</w:t>
      </w:r>
      <w:r>
        <w:rPr>
          <w:rFonts w:hint="eastAsia" w:ascii="ºÚÌå" w:hAnsi="ºÚÌå" w:eastAsia="ºÚÌå" w:cs="ºÚÌå"/>
          <w:sz w:val="21"/>
        </w:rPr>
        <w:t>填补被摊薄即期回报的措施及承诺</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12</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九</w:t>
      </w:r>
      <w:r>
        <w:rPr>
          <w:rFonts w:hint="eastAsia" w:ascii="ºÚÌå" w:hAnsi="ºÚÌå" w:eastAsia="ºÚÌå" w:cs="ºÚÌå"/>
          <w:sz w:val="10"/>
        </w:rPr>
        <w:t>、</w:t>
      </w:r>
      <w:r>
        <w:rPr>
          <w:rFonts w:hint="eastAsia" w:ascii="ºÚÌå" w:hAnsi="ºÚÌå" w:eastAsia="ºÚÌå" w:cs="ºÚÌå"/>
          <w:sz w:val="21"/>
        </w:rPr>
        <w:t>需要特别关注的风险因素</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12</w:t>
      </w:r>
    </w:p>
    <w:p>
      <w:pPr>
        <w:autoSpaceDE w:val="false"/>
        <w:autoSpaceDN w:val="false"/>
        <w:spacing w:line="340" w:lineRule="exact"/>
        <w:ind w:left="1780" w:right="1580"/>
        <w:jc w:val="both"/>
      </w:pPr>
      <w:r>
        <w:rPr>
          <w:rFonts w:hint="eastAsia" w:ascii="ºÚÌå" w:hAnsi="ºÚÌå" w:eastAsia="ºÚÌå" w:cs="ºÚÌå"/>
          <w:sz w:val="21"/>
        </w:rPr>
        <w:t>十</w:t>
      </w:r>
      <w:r>
        <w:rPr>
          <w:rFonts w:hint="eastAsia" w:ascii="ºÚÌå" w:hAnsi="ºÚÌå" w:eastAsia="ºÚÌå" w:cs="ºÚÌå"/>
          <w:sz w:val="10"/>
        </w:rPr>
        <w:t>、</w:t>
      </w:r>
      <w:r>
        <w:rPr>
          <w:rFonts w:hint="eastAsia" w:ascii="ºÚÌå" w:hAnsi="ºÚÌå" w:eastAsia="ºÚÌå" w:cs="ºÚÌå"/>
          <w:sz w:val="21"/>
        </w:rPr>
        <w:t>对公司持续盈利能力产生重大不利影响的因素及保荐机构对公司持续盈利能力的核查结论意见</w:t>
      </w:r>
      <w:r>
        <w:rPr>
          <w:rFonts w:hint="eastAsia" w:ascii="Times New Roman" w:hAnsi="Times New Roman" w:eastAsia="Times New Roman" w:cs="Times New Roman"/>
          <w:sz w:val="21"/>
        </w:rPr>
        <w:t xml:space="preserve"> </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 xml:space="preserve"> 16</w:t>
      </w:r>
      <w:r>
        <w:rPr>
          <w:rFonts w:hint="eastAsia" w:ascii="ºÚÌå" w:hAnsi="ºÚÌå" w:eastAsia="ºÚÌå" w:cs="ºÚÌå"/>
          <w:sz w:val="21"/>
        </w:rPr>
        <w:t>十</w:t>
      </w:r>
      <w:r>
        <w:rPr>
          <w:rFonts w:hint="eastAsia" w:ascii="ºÚÌå" w:hAnsi="ºÚÌå" w:eastAsia="ºÚÌå" w:cs="ºÚÌå"/>
          <w:sz w:val="20"/>
        </w:rPr>
        <w:t>一、</w:t>
      </w:r>
      <w:r>
        <w:rPr>
          <w:rFonts w:hint="eastAsia" w:ascii="ºÚÌå" w:hAnsi="ºÚÌå" w:eastAsia="ºÚÌå" w:cs="ºÚÌå"/>
          <w:sz w:val="21"/>
        </w:rPr>
        <w:t>财务报告审计截止日后主要经营情况</w:t>
      </w:r>
      <w:r>
        <w:rPr>
          <w:rFonts w:hint="eastAsia" w:ascii="Times New Roman" w:hAnsi="Times New Roman" w:eastAsia="Times New Roman" w:cs="Times New Roman"/>
          <w:sz w:val="21"/>
        </w:rPr>
        <w:t xml:space="preserve"> </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 xml:space="preserve"> 17</w:t>
      </w:r>
      <w:r>
        <w:rPr>
          <w:rFonts w:hint="eastAsia" w:ascii="ºÚÌå" w:hAnsi="ºÚÌå" w:eastAsia="ºÚÌå" w:cs="ºÚÌå"/>
          <w:b/>
          <w:sz w:val="21"/>
        </w:rPr>
        <w:t>第</w:t>
      </w:r>
      <w:r>
        <w:rPr>
          <w:rFonts w:hint="eastAsia" w:ascii="ºÚÌå" w:hAnsi="ºÚÌå" w:eastAsia="ºÚÌå" w:cs="ºÚÌå"/>
          <w:b/>
          <w:sz w:val="20"/>
        </w:rPr>
        <w:t>一</w:t>
      </w:r>
      <w:r>
        <w:rPr>
          <w:rFonts w:hint="eastAsia" w:ascii="ºÚÌå" w:hAnsi="ºÚÌå" w:eastAsia="ºÚÌå" w:cs="ºÚÌå"/>
          <w:b/>
          <w:sz w:val="21"/>
        </w:rPr>
        <w:t>节</w:t>
      </w:r>
      <w:r>
        <w:rPr>
          <w:rFonts w:hint="eastAsia" w:ascii="ºÚÌå" w:hAnsi="ºÚÌå" w:eastAsia="ºÚÌå" w:cs="ºÚÌå"/>
          <w:b/>
          <w:sz w:val="21"/>
        </w:rPr>
        <w:t xml:space="preserve"> </w:t>
      </w:r>
      <w:r>
        <w:rPr>
          <w:rFonts w:hint="eastAsia" w:ascii="ºÚÌå" w:hAnsi="ºÚÌå" w:eastAsia="ºÚÌå" w:cs="ºÚÌå"/>
          <w:b/>
          <w:sz w:val="21"/>
        </w:rPr>
        <w:t>释义</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 xml:space="preserve"> 23</w:t>
      </w:r>
    </w:p>
    <w:p>
      <w:pPr>
        <w:spacing w:line="200" w:lineRule="exact"/>
        <w:rPr>
          <w:rFonts w:hint="eastAsia" w:ascii="宋体" w:hAnsi="宋体" w:eastAsia="宋体" w:cs="宋体"/>
          <w:sz w:val="20"/>
        </w:rPr>
      </w:pPr>
    </w:p>
    <w:p>
      <w:pPr>
        <w:tabs>
          <w:tab w:val="left" w:leader="dot" w:pos="9880"/>
        </w:tabs>
        <w:autoSpaceDE w:val="false"/>
        <w:autoSpaceDN w:val="false"/>
        <w:spacing w:line="240" w:lineRule="exact"/>
        <w:ind w:left="2000"/>
        <w:jc w:val="both"/>
      </w:pPr>
      <w:r>
        <w:rPr>
          <w:rFonts w:hint="eastAsia" w:ascii="ºÚÌå" w:hAnsi="ºÚÌå" w:eastAsia="ºÚÌå" w:cs="ºÚÌå"/>
          <w:sz w:val="10"/>
        </w:rPr>
        <w:t>一、</w:t>
      </w:r>
      <w:r>
        <w:rPr>
          <w:rFonts w:hint="eastAsia" w:ascii="ºÚÌå" w:hAnsi="ºÚÌå" w:eastAsia="ºÚÌå" w:cs="ºÚÌå"/>
          <w:sz w:val="21"/>
        </w:rPr>
        <w:t>缩略语</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23</w:t>
      </w:r>
    </w:p>
    <w:p>
      <w:pPr>
        <w:tabs>
          <w:tab w:val="left" w:leader="dot" w:pos="9880"/>
        </w:tabs>
        <w:autoSpaceDE w:val="false"/>
        <w:autoSpaceDN w:val="false"/>
        <w:spacing w:line="300" w:lineRule="exact"/>
        <w:ind w:left="2000"/>
        <w:jc w:val="both"/>
      </w:pPr>
      <w:r>
        <w:rPr>
          <w:rFonts w:hint="eastAsia" w:ascii="ºÚÌå" w:hAnsi="ºÚÌå" w:eastAsia="ºÚÌå" w:cs="ºÚÌå"/>
          <w:sz w:val="20"/>
        </w:rPr>
        <w:t>二、</w:t>
      </w:r>
      <w:r>
        <w:rPr>
          <w:rFonts w:hint="eastAsia" w:ascii="ºÚÌå" w:hAnsi="ºÚÌå" w:eastAsia="ºÚÌå" w:cs="ºÚÌå"/>
          <w:sz w:val="21"/>
        </w:rPr>
        <w:t>专业词汇</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24</w:t>
      </w:r>
    </w:p>
    <w:p>
      <w:pPr>
        <w:spacing w:line="200" w:lineRule="exact"/>
        <w:rPr>
          <w:rFonts w:hint="eastAsia" w:ascii="宋体" w:hAnsi="宋体" w:eastAsia="宋体" w:cs="宋体"/>
          <w:sz w:val="20"/>
        </w:rPr>
      </w:pPr>
    </w:p>
    <w:p>
      <w:pPr>
        <w:tabs>
          <w:tab w:val="left" w:leader="dot" w:pos="9880"/>
        </w:tabs>
        <w:autoSpaceDE w:val="false"/>
        <w:autoSpaceDN w:val="false"/>
        <w:spacing w:line="240" w:lineRule="exact"/>
        <w:ind w:left="1780"/>
        <w:jc w:val="both"/>
      </w:pPr>
      <w:r>
        <w:rPr>
          <w:rFonts w:hint="eastAsia" w:ascii="ºÚÌå" w:hAnsi="ºÚÌå" w:eastAsia="ºÚÌå" w:cs="ºÚÌå"/>
          <w:b/>
          <w:sz w:val="21"/>
        </w:rPr>
        <w:t>第</w:t>
      </w:r>
      <w:r>
        <w:rPr>
          <w:rFonts w:hint="eastAsia" w:ascii="ºÚÌå" w:hAnsi="ºÚÌå" w:eastAsia="ºÚÌå" w:cs="ºÚÌå"/>
          <w:b/>
          <w:sz w:val="20"/>
        </w:rPr>
        <w:t>二</w:t>
      </w:r>
      <w:r>
        <w:rPr>
          <w:rFonts w:hint="eastAsia" w:ascii="ºÚÌå" w:hAnsi="ºÚÌå" w:eastAsia="ºÚÌå" w:cs="ºÚÌå"/>
          <w:b/>
          <w:sz w:val="21"/>
        </w:rPr>
        <w:t>节</w:t>
      </w:r>
      <w:r>
        <w:rPr>
          <w:rFonts w:hint="eastAsia" w:ascii="ºÚÌå" w:hAnsi="ºÚÌå" w:eastAsia="ºÚÌå" w:cs="ºÚÌå"/>
          <w:b/>
          <w:sz w:val="21"/>
        </w:rPr>
        <w:t xml:space="preserve"> </w:t>
      </w:r>
      <w:r>
        <w:rPr>
          <w:rFonts w:hint="eastAsia" w:ascii="ºÚÌå" w:hAnsi="ºÚÌå" w:eastAsia="ºÚÌå" w:cs="ºÚÌå"/>
          <w:b/>
          <w:sz w:val="21"/>
        </w:rPr>
        <w:t>概览</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27</w:t>
      </w:r>
    </w:p>
    <w:p>
      <w:pPr>
        <w:spacing w:line="200" w:lineRule="exact"/>
        <w:rPr>
          <w:rFonts w:hint="eastAsia" w:ascii="宋体" w:hAnsi="宋体" w:eastAsia="宋体" w:cs="宋体"/>
          <w:sz w:val="20"/>
        </w:rPr>
      </w:pPr>
    </w:p>
    <w:p>
      <w:pPr>
        <w:tabs>
          <w:tab w:val="left" w:leader="dot" w:pos="9880"/>
        </w:tabs>
        <w:autoSpaceDE w:val="false"/>
        <w:autoSpaceDN w:val="false"/>
        <w:spacing w:line="240" w:lineRule="exact"/>
        <w:ind w:left="2000"/>
        <w:jc w:val="both"/>
      </w:pPr>
      <w:r>
        <w:rPr>
          <w:rFonts w:hint="eastAsia" w:ascii="ºÚÌå" w:hAnsi="ºÚÌå" w:eastAsia="ºÚÌå" w:cs="ºÚÌå"/>
          <w:sz w:val="20"/>
        </w:rPr>
        <w:t>一、</w:t>
      </w:r>
      <w:r>
        <w:rPr>
          <w:rFonts w:hint="eastAsia" w:ascii="ºÚÌå" w:hAnsi="ºÚÌå" w:eastAsia="ºÚÌå" w:cs="ºÚÌå"/>
          <w:sz w:val="21"/>
        </w:rPr>
        <w:t>公司简介</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27</w:t>
      </w:r>
    </w:p>
    <w:p>
      <w:pPr>
        <w:tabs>
          <w:tab w:val="left" w:leader="dot" w:pos="9880"/>
        </w:tabs>
        <w:autoSpaceDE w:val="false"/>
        <w:autoSpaceDN w:val="false"/>
        <w:spacing w:line="300" w:lineRule="exact"/>
        <w:ind w:left="2000"/>
        <w:jc w:val="both"/>
      </w:pPr>
      <w:r>
        <w:rPr>
          <w:rFonts w:hint="eastAsia" w:ascii="ºÚÌå" w:hAnsi="ºÚÌå" w:eastAsia="ºÚÌå" w:cs="ºÚÌå"/>
          <w:sz w:val="20"/>
        </w:rPr>
        <w:t>二、</w:t>
      </w:r>
      <w:r>
        <w:rPr>
          <w:rFonts w:hint="eastAsia" w:ascii="ºÚÌå" w:hAnsi="ºÚÌå" w:eastAsia="ºÚÌå" w:cs="ºÚÌå"/>
          <w:sz w:val="21"/>
        </w:rPr>
        <w:t>控股股东及实际控制人情况简介</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28</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发行人主要财务资料</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28</w:t>
      </w:r>
    </w:p>
    <w:p>
      <w:pPr>
        <w:tabs>
          <w:tab w:val="left" w:leader="dot" w:pos="9880"/>
        </w:tabs>
        <w:autoSpaceDE w:val="false"/>
        <w:autoSpaceDN w:val="false"/>
        <w:spacing w:line="30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本次发行概况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30</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五</w:t>
      </w:r>
      <w:r>
        <w:rPr>
          <w:rFonts w:hint="eastAsia" w:ascii="ºÚÌå" w:hAnsi="ºÚÌå" w:eastAsia="ºÚÌå" w:cs="ºÚÌå"/>
          <w:sz w:val="10"/>
        </w:rPr>
        <w:t>、</w:t>
      </w:r>
      <w:r>
        <w:rPr>
          <w:rFonts w:hint="eastAsia" w:ascii="ºÚÌå" w:hAnsi="ºÚÌå" w:eastAsia="ºÚÌå" w:cs="ºÚÌå"/>
          <w:sz w:val="21"/>
        </w:rPr>
        <w:t>本次募集资金主要用途</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30</w:t>
      </w:r>
    </w:p>
    <w:p>
      <w:pPr>
        <w:spacing w:line="200" w:lineRule="exact"/>
        <w:rPr>
          <w:rFonts w:hint="eastAsia" w:ascii="宋体" w:hAnsi="宋体" w:eastAsia="宋体" w:cs="宋体"/>
          <w:sz w:val="20"/>
        </w:rPr>
      </w:pPr>
    </w:p>
    <w:p>
      <w:pPr>
        <w:tabs>
          <w:tab w:val="left" w:leader="dot" w:pos="9880"/>
        </w:tabs>
        <w:autoSpaceDE w:val="false"/>
        <w:autoSpaceDN w:val="false"/>
        <w:spacing w:line="240" w:lineRule="exact"/>
        <w:ind w:left="1780"/>
        <w:jc w:val="both"/>
      </w:pPr>
      <w:r>
        <w:rPr>
          <w:rFonts w:hint="eastAsia" w:ascii="ºÚÌå" w:hAnsi="ºÚÌå" w:eastAsia="ºÚÌå" w:cs="ºÚÌå"/>
          <w:b/>
          <w:sz w:val="21"/>
        </w:rPr>
        <w:t>第三节</w:t>
      </w:r>
      <w:r>
        <w:rPr>
          <w:rFonts w:hint="eastAsia" w:ascii="ºÚÌå" w:hAnsi="ºÚÌå" w:eastAsia="ºÚÌå" w:cs="ºÚÌå"/>
          <w:b/>
          <w:sz w:val="21"/>
        </w:rPr>
        <w:t xml:space="preserve"> </w:t>
      </w:r>
      <w:r>
        <w:rPr>
          <w:rFonts w:hint="eastAsia" w:ascii="ºÚÌå" w:hAnsi="ºÚÌå" w:eastAsia="ºÚÌå" w:cs="ºÚÌå"/>
          <w:b/>
          <w:sz w:val="21"/>
        </w:rPr>
        <w:t>本次发行概况</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32</w:t>
      </w:r>
    </w:p>
    <w:p>
      <w:pPr>
        <w:spacing w:line="200" w:lineRule="exact"/>
        <w:rPr>
          <w:rFonts w:hint="eastAsia" w:ascii="宋体" w:hAnsi="宋体" w:eastAsia="宋体" w:cs="宋体"/>
          <w:sz w:val="20"/>
        </w:rPr>
      </w:pPr>
    </w:p>
    <w:p>
      <w:pPr>
        <w:tabs>
          <w:tab w:val="left" w:leader="dot" w:pos="9880"/>
        </w:tabs>
        <w:autoSpaceDE w:val="false"/>
        <w:autoSpaceDN w:val="false"/>
        <w:spacing w:line="220" w:lineRule="exact"/>
        <w:ind w:left="2000"/>
        <w:jc w:val="both"/>
      </w:pPr>
      <w:r>
        <w:rPr>
          <w:rFonts w:hint="eastAsia" w:ascii="ºÚÌå" w:hAnsi="ºÚÌå" w:eastAsia="ºÚÌå" w:cs="ºÚÌå"/>
          <w:sz w:val="20"/>
        </w:rPr>
        <w:t>一、</w:t>
      </w:r>
      <w:r>
        <w:rPr>
          <w:rFonts w:hint="eastAsia" w:ascii="ºÚÌå" w:hAnsi="ºÚÌå" w:eastAsia="ºÚÌå" w:cs="ºÚÌå"/>
          <w:sz w:val="21"/>
        </w:rPr>
        <w:t>本次发行的基本情况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w:t>
      </w:r>
    </w:p>
    <w:p>
      <w:pPr>
        <w:tabs>
          <w:tab w:val="left" w:leader="dot" w:pos="988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本次发行有关机构的情况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33</w:t>
      </w:r>
    </w:p>
    <w:p>
      <w:pPr>
        <w:tabs>
          <w:tab w:val="left" w:leader="dot" w:pos="9880"/>
        </w:tabs>
        <w:autoSpaceDE w:val="false"/>
        <w:autoSpaceDN w:val="false"/>
        <w:spacing w:line="30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与本次发行有关中介机构及人员的权益关系</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35</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与本次发行上市有关的重要日期</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35</w:t>
      </w:r>
    </w:p>
    <w:p>
      <w:pPr>
        <w:spacing w:line="200" w:lineRule="exact"/>
        <w:rPr>
          <w:rFonts w:hint="eastAsia" w:ascii="宋体" w:hAnsi="宋体" w:eastAsia="宋体" w:cs="宋体"/>
          <w:sz w:val="20"/>
        </w:rPr>
      </w:pPr>
    </w:p>
    <w:p>
      <w:pPr>
        <w:tabs>
          <w:tab w:val="left" w:leader="dot" w:pos="9880"/>
        </w:tabs>
        <w:autoSpaceDE w:val="false"/>
        <w:autoSpaceDN w:val="false"/>
        <w:spacing w:line="240" w:lineRule="exact"/>
        <w:ind w:left="1780"/>
        <w:jc w:val="both"/>
      </w:pPr>
      <w:r>
        <w:rPr>
          <w:rFonts w:hint="eastAsia" w:ascii="ºÚÌå" w:hAnsi="ºÚÌå" w:eastAsia="ºÚÌå" w:cs="ºÚÌå"/>
          <w:b/>
          <w:sz w:val="21"/>
        </w:rPr>
        <w:t>第四节</w:t>
      </w:r>
      <w:r>
        <w:rPr>
          <w:rFonts w:hint="eastAsia" w:ascii="ºÚÌå" w:hAnsi="ºÚÌå" w:eastAsia="ºÚÌå" w:cs="ºÚÌå"/>
          <w:b/>
          <w:sz w:val="21"/>
        </w:rPr>
        <w:t xml:space="preserve"> </w:t>
      </w:r>
      <w:r>
        <w:rPr>
          <w:rFonts w:hint="eastAsia" w:ascii="ºÚÌå" w:hAnsi="ºÚÌå" w:eastAsia="ºÚÌå" w:cs="ºÚÌå"/>
          <w:b/>
          <w:sz w:val="21"/>
        </w:rPr>
        <w:t>风险因素</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36</w:t>
      </w:r>
    </w:p>
    <w:p>
      <w:pPr>
        <w:spacing w:line="200" w:lineRule="exact"/>
        <w:rPr>
          <w:rFonts w:hint="eastAsia" w:ascii="宋体" w:hAnsi="宋体" w:eastAsia="宋体" w:cs="宋体"/>
          <w:sz w:val="20"/>
        </w:rPr>
      </w:pPr>
    </w:p>
    <w:p>
      <w:pPr>
        <w:tabs>
          <w:tab w:val="left" w:leader="dot" w:pos="9880"/>
        </w:tabs>
        <w:autoSpaceDE w:val="false"/>
        <w:autoSpaceDN w:val="false"/>
        <w:spacing w:line="220" w:lineRule="exact"/>
        <w:ind w:left="2000"/>
        <w:jc w:val="both"/>
      </w:pPr>
      <w:r>
        <w:rPr>
          <w:rFonts w:hint="eastAsia" w:ascii="ºÚÌå" w:hAnsi="ºÚÌå" w:eastAsia="ºÚÌå" w:cs="ºÚÌå"/>
          <w:sz w:val="20"/>
        </w:rPr>
        <w:t>一、</w:t>
      </w:r>
      <w:r>
        <w:rPr>
          <w:rFonts w:hint="eastAsia" w:ascii="ºÚÌå" w:hAnsi="ºÚÌå" w:eastAsia="ºÚÌå" w:cs="ºÚÌå"/>
          <w:sz w:val="21"/>
        </w:rPr>
        <w:t>行业风险</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36</w:t>
      </w:r>
    </w:p>
    <w:p>
      <w:pPr>
        <w:tabs>
          <w:tab w:val="left" w:leader="dot" w:pos="988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技术风险</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36</w:t>
      </w:r>
    </w:p>
    <w:p>
      <w:pPr>
        <w:tabs>
          <w:tab w:val="left" w:leader="dot" w:pos="9880"/>
        </w:tabs>
        <w:autoSpaceDE w:val="false"/>
        <w:autoSpaceDN w:val="false"/>
        <w:spacing w:line="30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财务与税收风险</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37</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经营及管理风险</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41</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五</w:t>
      </w:r>
      <w:r>
        <w:rPr>
          <w:rFonts w:hint="eastAsia" w:ascii="ºÚÌå" w:hAnsi="ºÚÌå" w:eastAsia="ºÚÌå" w:cs="ºÚÌå"/>
          <w:sz w:val="10"/>
        </w:rPr>
        <w:t>、</w:t>
      </w:r>
      <w:r>
        <w:rPr>
          <w:rFonts w:hint="eastAsia" w:ascii="ºÚÌå" w:hAnsi="ºÚÌå" w:eastAsia="ºÚÌå" w:cs="ºÚÌå"/>
          <w:sz w:val="21"/>
        </w:rPr>
        <w:t>募集资金投资项目相关风险</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42</w:t>
      </w:r>
    </w:p>
    <w:p>
      <w:pPr>
        <w:tabs>
          <w:tab w:val="left" w:leader="dot" w:pos="9880"/>
        </w:tabs>
        <w:autoSpaceDE w:val="false"/>
        <w:autoSpaceDN w:val="false"/>
        <w:spacing w:line="300" w:lineRule="exact"/>
        <w:ind w:left="2000"/>
        <w:jc w:val="both"/>
      </w:pPr>
      <w:r>
        <w:rPr>
          <w:rFonts w:hint="eastAsia" w:ascii="ºÚÌå" w:hAnsi="ºÚÌå" w:eastAsia="ºÚÌå" w:cs="ºÚÌå"/>
          <w:sz w:val="21"/>
        </w:rPr>
        <w:t>六</w:t>
      </w:r>
      <w:r>
        <w:rPr>
          <w:rFonts w:hint="eastAsia" w:ascii="ºÚÌå" w:hAnsi="ºÚÌå" w:eastAsia="ºÚÌå" w:cs="ºÚÌå"/>
          <w:sz w:val="10"/>
        </w:rPr>
        <w:t>、</w:t>
      </w:r>
      <w:r>
        <w:rPr>
          <w:rFonts w:hint="eastAsia" w:ascii="ºÚÌå" w:hAnsi="ºÚÌå" w:eastAsia="ºÚÌå" w:cs="ºÚÌå"/>
          <w:sz w:val="21"/>
        </w:rPr>
        <w:t>其他风险</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44</w:t>
      </w:r>
    </w:p>
    <w:p>
      <w:pPr>
        <w:spacing w:line="200" w:lineRule="exact"/>
        <w:rPr>
          <w:rFonts w:hint="eastAsia" w:ascii="宋体" w:hAnsi="宋体" w:eastAsia="宋体" w:cs="宋体"/>
          <w:sz w:val="20"/>
        </w:rPr>
      </w:pPr>
    </w:p>
    <w:p>
      <w:pPr>
        <w:tabs>
          <w:tab w:val="left" w:leader="dot" w:pos="9880"/>
        </w:tabs>
        <w:autoSpaceDE w:val="false"/>
        <w:autoSpaceDN w:val="false"/>
        <w:spacing w:line="240" w:lineRule="exact"/>
        <w:ind w:left="1780"/>
        <w:jc w:val="both"/>
      </w:pPr>
      <w:r>
        <w:rPr>
          <w:rFonts w:hint="eastAsia" w:ascii="ºÚÌå" w:hAnsi="ºÚÌå" w:eastAsia="ºÚÌå" w:cs="ºÚÌå"/>
          <w:b/>
          <w:sz w:val="21"/>
        </w:rPr>
        <w:t>第五节</w:t>
      </w:r>
      <w:r>
        <w:rPr>
          <w:rFonts w:hint="eastAsia" w:ascii="ºÚÌå" w:hAnsi="ºÚÌå" w:eastAsia="ºÚÌå" w:cs="ºÚÌå"/>
          <w:b/>
          <w:sz w:val="21"/>
        </w:rPr>
        <w:t xml:space="preserve"> </w:t>
      </w:r>
      <w:r>
        <w:rPr>
          <w:rFonts w:hint="eastAsia" w:ascii="ºÚÌå" w:hAnsi="ºÚÌå" w:eastAsia="ºÚÌå" w:cs="ºÚÌå"/>
          <w:b/>
          <w:sz w:val="21"/>
        </w:rPr>
        <w:t>发行人基本情况</w:t>
      </w:r>
      <w:r>
        <w:rPr>
          <w:rFonts w:hint="eastAsia" w:ascii="Times New Roman Bold" w:hAnsi="Times New Roman Bold" w:eastAsia="Times New Roman Bold" w:cs="Times New Roman Bold"/>
          <w:b/>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46</w:t>
      </w:r>
    </w:p>
    <w:p>
      <w:pPr>
        <w:spacing w:line="200" w:lineRule="exact"/>
        <w:rPr>
          <w:rFonts w:hint="eastAsia" w:ascii="宋体" w:hAnsi="宋体" w:eastAsia="宋体" w:cs="宋体"/>
          <w:sz w:val="20"/>
        </w:rPr>
      </w:pPr>
    </w:p>
    <w:p>
      <w:pPr>
        <w:tabs>
          <w:tab w:val="left" w:leader="dot" w:pos="9880"/>
        </w:tabs>
        <w:autoSpaceDE w:val="false"/>
        <w:autoSpaceDN w:val="false"/>
        <w:spacing w:line="220" w:lineRule="exact"/>
        <w:ind w:left="2000"/>
        <w:jc w:val="both"/>
      </w:pPr>
      <w:r>
        <w:rPr>
          <w:rFonts w:hint="eastAsia" w:ascii="ºÚÌå" w:hAnsi="ºÚÌå" w:eastAsia="ºÚÌå" w:cs="ºÚÌå"/>
          <w:sz w:val="20"/>
        </w:rPr>
        <w:t>一、</w:t>
      </w:r>
      <w:r>
        <w:rPr>
          <w:rFonts w:hint="eastAsia" w:ascii="ºÚÌå" w:hAnsi="ºÚÌå" w:eastAsia="ºÚÌå" w:cs="ºÚÌå"/>
          <w:sz w:val="21"/>
        </w:rPr>
        <w:t>公司基本情况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46</w:t>
      </w:r>
    </w:p>
    <w:p>
      <w:pPr>
        <w:tabs>
          <w:tab w:val="left" w:leader="dot" w:pos="988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公司改制重组及设立情况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46</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发行人股本形成及其变化和重大资产重组情况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49</w:t>
      </w:r>
    </w:p>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1-1-19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dot" w:pos="9880"/>
        </w:tabs>
        <w:autoSpaceDE w:val="false"/>
        <w:autoSpaceDN w:val="false"/>
        <w:spacing w:line="20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发行人设立时发起人出资及设立后历次股本变化的验资情况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67</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五</w:t>
      </w:r>
      <w:r>
        <w:rPr>
          <w:rFonts w:hint="eastAsia" w:ascii="ºÚÌå" w:hAnsi="ºÚÌå" w:eastAsia="ºÚÌå" w:cs="ºÚÌå"/>
          <w:sz w:val="10"/>
        </w:rPr>
        <w:t>、</w:t>
      </w:r>
      <w:r>
        <w:rPr>
          <w:rFonts w:hint="eastAsia" w:ascii="ºÚÌå" w:hAnsi="ºÚÌå" w:eastAsia="ºÚÌå" w:cs="ºÚÌå"/>
          <w:sz w:val="21"/>
        </w:rPr>
        <w:t>公司股权结构和组织机构</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67</w:t>
      </w:r>
    </w:p>
    <w:p>
      <w:pPr>
        <w:tabs>
          <w:tab w:val="left" w:leader="dot" w:pos="9880"/>
        </w:tabs>
        <w:autoSpaceDE w:val="false"/>
        <w:autoSpaceDN w:val="false"/>
        <w:spacing w:line="300" w:lineRule="exact"/>
        <w:ind w:left="2000"/>
        <w:jc w:val="both"/>
      </w:pPr>
      <w:r>
        <w:rPr>
          <w:rFonts w:hint="eastAsia" w:ascii="ºÚÌå" w:hAnsi="ºÚÌå" w:eastAsia="ºÚÌå" w:cs="ºÚÌå"/>
          <w:sz w:val="21"/>
        </w:rPr>
        <w:t>六</w:t>
      </w:r>
      <w:r>
        <w:rPr>
          <w:rFonts w:hint="eastAsia" w:ascii="ºÚÌå" w:hAnsi="ºÚÌå" w:eastAsia="ºÚÌå" w:cs="ºÚÌå"/>
          <w:sz w:val="10"/>
        </w:rPr>
        <w:t>、</w:t>
      </w:r>
      <w:r>
        <w:rPr>
          <w:rFonts w:hint="eastAsia" w:ascii="ºÚÌå" w:hAnsi="ºÚÌå" w:eastAsia="ºÚÌå" w:cs="ºÚÌå"/>
          <w:sz w:val="21"/>
        </w:rPr>
        <w:t>公司控股及参股公司情况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70</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七</w:t>
      </w:r>
      <w:r>
        <w:rPr>
          <w:rFonts w:hint="eastAsia" w:ascii="ºÚÌå" w:hAnsi="ºÚÌå" w:eastAsia="ºÚÌå" w:cs="ºÚÌå"/>
          <w:sz w:val="10"/>
        </w:rPr>
        <w:t>、</w:t>
      </w:r>
      <w:r>
        <w:rPr>
          <w:rFonts w:hint="eastAsia" w:ascii="ºÚÌå" w:hAnsi="ºÚÌå" w:eastAsia="ºÚÌå" w:cs="ºÚÌå"/>
          <w:sz w:val="21"/>
        </w:rPr>
        <w:t>持有公司</w:t>
      </w:r>
      <w:r>
        <w:rPr>
          <w:rFonts w:hint="eastAsia" w:ascii="ºÚÌå" w:hAnsi="ºÚÌå" w:eastAsia="ºÚÌå" w:cs="ºÚÌå"/>
          <w:sz w:val="21"/>
        </w:rPr>
        <w:t xml:space="preserve"> 5</w:t>
      </w:r>
      <w:r>
        <w:rPr>
          <w:rFonts w:hint="eastAsia" w:ascii="ºÚÌå" w:hAnsi="ºÚÌå" w:eastAsia="ºÚÌå" w:cs="ºÚÌå"/>
          <w:sz w:val="20"/>
        </w:rPr>
        <w:t>%</w:t>
      </w:r>
      <w:r>
        <w:rPr>
          <w:rFonts w:hint="eastAsia" w:ascii="ºÚÌå" w:hAnsi="ºÚÌå" w:eastAsia="ºÚÌå" w:cs="ºÚÌå"/>
          <w:sz w:val="21"/>
        </w:rPr>
        <w:t>以上股份的主要股东及实际控制人的基本情况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77</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八</w:t>
      </w:r>
      <w:r>
        <w:rPr>
          <w:rFonts w:hint="eastAsia" w:ascii="ºÚÌå" w:hAnsi="ºÚÌå" w:eastAsia="ºÚÌå" w:cs="ºÚÌå"/>
          <w:sz w:val="10"/>
        </w:rPr>
        <w:t>、</w:t>
      </w:r>
      <w:r>
        <w:rPr>
          <w:rFonts w:hint="eastAsia" w:ascii="ºÚÌå" w:hAnsi="ºÚÌå" w:eastAsia="ºÚÌå" w:cs="ºÚÌå"/>
          <w:sz w:val="21"/>
        </w:rPr>
        <w:t>公司股本情况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80</w:t>
      </w:r>
    </w:p>
    <w:p>
      <w:pPr>
        <w:tabs>
          <w:tab w:val="left" w:leader="dot" w:pos="9880"/>
        </w:tabs>
        <w:autoSpaceDE w:val="false"/>
        <w:autoSpaceDN w:val="false"/>
        <w:spacing w:line="300" w:lineRule="exact"/>
        <w:ind w:left="2000"/>
        <w:jc w:val="both"/>
      </w:pPr>
      <w:r>
        <w:rPr>
          <w:rFonts w:hint="eastAsia" w:ascii="ºÚÌå" w:hAnsi="ºÚÌå" w:eastAsia="ºÚÌå" w:cs="ºÚÌå"/>
          <w:sz w:val="21"/>
        </w:rPr>
        <w:t>九</w:t>
      </w:r>
      <w:r>
        <w:rPr>
          <w:rFonts w:hint="eastAsia" w:ascii="ºÚÌå" w:hAnsi="ºÚÌå" w:eastAsia="ºÚÌå" w:cs="ºÚÌå"/>
          <w:sz w:val="10"/>
        </w:rPr>
        <w:t>、</w:t>
      </w:r>
      <w:r>
        <w:rPr>
          <w:rFonts w:hint="eastAsia" w:ascii="ºÚÌå" w:hAnsi="ºÚÌå" w:eastAsia="ºÚÌå" w:cs="ºÚÌå"/>
          <w:sz w:val="21"/>
        </w:rPr>
        <w:t>发行人内部职工股的情况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83</w:t>
      </w:r>
    </w:p>
    <w:p>
      <w:pPr>
        <w:tabs>
          <w:tab w:val="left" w:leader="dot" w:pos="9880"/>
        </w:tabs>
        <w:autoSpaceDE w:val="false"/>
        <w:autoSpaceDN w:val="false"/>
        <w:spacing w:line="320" w:lineRule="exact"/>
        <w:ind w:left="2000"/>
        <w:jc w:val="both"/>
      </w:pPr>
      <w:r>
        <w:rPr>
          <w:rFonts w:hint="eastAsia" w:ascii="ºÚÌå" w:hAnsi="ºÚÌå" w:eastAsia="ºÚÌå" w:cs="ºÚÌå"/>
          <w:sz w:val="21"/>
        </w:rPr>
        <w:t>十</w:t>
      </w:r>
      <w:r>
        <w:rPr>
          <w:rFonts w:hint="eastAsia" w:ascii="ºÚÌå" w:hAnsi="ºÚÌå" w:eastAsia="ºÚÌå" w:cs="ºÚÌå"/>
          <w:sz w:val="10"/>
        </w:rPr>
        <w:t>、</w:t>
      </w:r>
      <w:r>
        <w:rPr>
          <w:rFonts w:hint="eastAsia" w:ascii="ºÚÌå" w:hAnsi="ºÚÌå" w:eastAsia="ºÚÌå" w:cs="ºÚÌå"/>
          <w:sz w:val="21"/>
        </w:rPr>
        <w:t>工会持股</w:t>
      </w:r>
      <w:r>
        <w:rPr>
          <w:rFonts w:hint="eastAsia" w:ascii="ºÚÌå" w:hAnsi="ºÚÌå" w:eastAsia="ºÚÌå" w:cs="ºÚÌå"/>
          <w:sz w:val="10"/>
        </w:rPr>
        <w:t>、</w:t>
      </w:r>
      <w:r>
        <w:rPr>
          <w:rFonts w:hint="eastAsia" w:ascii="ºÚÌå" w:hAnsi="ºÚÌå" w:eastAsia="ºÚÌå" w:cs="ºÚÌå"/>
          <w:sz w:val="21"/>
        </w:rPr>
        <w:t>职工持股会持股</w:t>
      </w:r>
      <w:r>
        <w:rPr>
          <w:rFonts w:hint="eastAsia" w:ascii="ºÚÌå" w:hAnsi="ºÚÌå" w:eastAsia="ºÚÌå" w:cs="ºÚÌå"/>
          <w:sz w:val="10"/>
        </w:rPr>
        <w:t>、</w:t>
      </w:r>
      <w:r>
        <w:rPr>
          <w:rFonts w:hint="eastAsia" w:ascii="ºÚÌå" w:hAnsi="ºÚÌå" w:eastAsia="ºÚÌå" w:cs="ºÚÌå"/>
          <w:sz w:val="21"/>
        </w:rPr>
        <w:t>信托持股</w:t>
      </w:r>
      <w:r>
        <w:rPr>
          <w:rFonts w:hint="eastAsia" w:ascii="ºÚÌå" w:hAnsi="ºÚÌå" w:eastAsia="ºÚÌå" w:cs="ºÚÌå"/>
          <w:sz w:val="10"/>
        </w:rPr>
        <w:t>、</w:t>
      </w:r>
      <w:r>
        <w:rPr>
          <w:rFonts w:hint="eastAsia" w:ascii="ºÚÌå" w:hAnsi="ºÚÌå" w:eastAsia="ºÚÌå" w:cs="ºÚÌå"/>
          <w:sz w:val="21"/>
        </w:rPr>
        <w:t>委托持股等情况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83</w:t>
      </w:r>
    </w:p>
    <w:p>
      <w:pPr>
        <w:tabs>
          <w:tab w:val="left" w:leader="dot" w:pos="9880"/>
        </w:tabs>
        <w:autoSpaceDE w:val="false"/>
        <w:autoSpaceDN w:val="false"/>
        <w:spacing w:line="300" w:lineRule="exact"/>
        <w:ind w:left="2000"/>
        <w:jc w:val="both"/>
      </w:pPr>
      <w:r>
        <w:rPr>
          <w:rFonts w:hint="eastAsia" w:ascii="ºÚÌå" w:hAnsi="ºÚÌå" w:eastAsia="ºÚÌå" w:cs="ºÚÌå"/>
          <w:sz w:val="21"/>
        </w:rPr>
        <w:t>十</w:t>
      </w:r>
      <w:r>
        <w:rPr>
          <w:rFonts w:hint="eastAsia" w:ascii="ºÚÌå" w:hAnsi="ºÚÌå" w:eastAsia="ºÚÌå" w:cs="ºÚÌå"/>
          <w:sz w:val="20"/>
        </w:rPr>
        <w:t>一、</w:t>
      </w:r>
      <w:r>
        <w:rPr>
          <w:rFonts w:hint="eastAsia" w:ascii="ºÚÌå" w:hAnsi="ºÚÌå" w:eastAsia="ºÚÌå" w:cs="ºÚÌå"/>
          <w:sz w:val="21"/>
        </w:rPr>
        <w:t>发行人员工及其社会保障情况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84</w:t>
      </w:r>
    </w:p>
    <w:p>
      <w:pPr>
        <w:autoSpaceDE w:val="false"/>
        <w:autoSpaceDN w:val="false"/>
        <w:spacing w:line="340" w:lineRule="exact"/>
        <w:ind w:left="1780" w:right="1580"/>
        <w:jc w:val="both"/>
      </w:pPr>
      <w:r>
        <w:rPr>
          <w:rFonts w:hint="eastAsia" w:ascii="ºÚÌå" w:hAnsi="ºÚÌå" w:eastAsia="ºÚÌå" w:cs="ºÚÌå"/>
          <w:sz w:val="21"/>
        </w:rPr>
        <w:t>十</w:t>
      </w:r>
      <w:r>
        <w:rPr>
          <w:rFonts w:hint="eastAsia" w:ascii="ºÚÌå" w:hAnsi="ºÚÌå" w:eastAsia="ºÚÌå" w:cs="ºÚÌå"/>
          <w:sz w:val="20"/>
        </w:rPr>
        <w:t>二、</w:t>
      </w:r>
      <w:r>
        <w:rPr>
          <w:rFonts w:hint="eastAsia" w:ascii="ºÚÌå" w:hAnsi="ºÚÌå" w:eastAsia="ºÚÌå" w:cs="ºÚÌå"/>
          <w:sz w:val="21"/>
        </w:rPr>
        <w:t>发行人</w:t>
      </w:r>
      <w:r>
        <w:rPr>
          <w:rFonts w:hint="eastAsia" w:ascii="ºÚÌå" w:hAnsi="ºÚÌå" w:eastAsia="ºÚÌå" w:cs="ºÚÌå"/>
          <w:sz w:val="10"/>
        </w:rPr>
        <w:t>、</w:t>
      </w:r>
      <w:r>
        <w:rPr>
          <w:rFonts w:hint="eastAsia" w:ascii="ºÚÌå" w:hAnsi="ºÚÌå" w:eastAsia="ºÚÌå" w:cs="ºÚÌå"/>
          <w:sz w:val="21"/>
        </w:rPr>
        <w:t>发行人的股东</w:t>
      </w:r>
      <w:r>
        <w:rPr>
          <w:rFonts w:hint="eastAsia" w:ascii="ºÚÌå" w:hAnsi="ºÚÌå" w:eastAsia="ºÚÌå" w:cs="ºÚÌå"/>
          <w:sz w:val="10"/>
        </w:rPr>
        <w:t>、</w:t>
      </w:r>
      <w:r>
        <w:rPr>
          <w:rFonts w:hint="eastAsia" w:ascii="ºÚÌå" w:hAnsi="ºÚÌå" w:eastAsia="ºÚÌå" w:cs="ºÚÌå"/>
          <w:sz w:val="21"/>
        </w:rPr>
        <w:t>实际控制人以及发行人之董事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高级管理人员及其他核心技术人员以及证券服务机构作出的承诺及履行情况</w:t>
      </w:r>
      <w:r>
        <w:rPr>
          <w:rFonts w:hint="eastAsia" w:ascii="Times New Roman" w:hAnsi="Times New Roman" w:eastAsia="Times New Roman" w:cs="Times New Roman"/>
          <w:sz w:val="21"/>
        </w:rPr>
        <w:t xml:space="preserve"> </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 xml:space="preserve"> 89</w:t>
      </w:r>
      <w:r>
        <w:rPr>
          <w:rFonts w:hint="eastAsia" w:ascii="宋体" w:hAnsi="宋体" w:eastAsia="宋体" w:cs="宋体"/>
          <w:b/>
          <w:sz w:val="21"/>
        </w:rPr>
        <w:t>第六节</w:t>
      </w:r>
      <w:r>
        <w:rPr>
          <w:rFonts w:hint="eastAsia" w:ascii="ºÚÌå" w:hAnsi="ºÚÌå" w:eastAsia="ºÚÌå" w:cs="ºÚÌå"/>
          <w:b/>
          <w:sz w:val="21"/>
        </w:rPr>
        <w:t xml:space="preserve"> </w:t>
      </w:r>
      <w:r>
        <w:rPr>
          <w:rFonts w:hint="eastAsia" w:ascii="宋体" w:hAnsi="宋体" w:eastAsia="宋体" w:cs="宋体"/>
          <w:b/>
          <w:sz w:val="21"/>
        </w:rPr>
        <w:t>业务和技术</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 xml:space="preserve"> 93</w:t>
      </w:r>
    </w:p>
    <w:p>
      <w:pPr>
        <w:spacing w:line="200" w:lineRule="exact"/>
        <w:rPr>
          <w:rFonts w:hint="eastAsia" w:ascii="宋体" w:hAnsi="宋体" w:eastAsia="宋体" w:cs="宋体"/>
          <w:sz w:val="20"/>
        </w:rPr>
      </w:pPr>
    </w:p>
    <w:p>
      <w:pPr>
        <w:tabs>
          <w:tab w:val="left" w:leader="dot" w:pos="9880"/>
        </w:tabs>
        <w:autoSpaceDE w:val="false"/>
        <w:autoSpaceDN w:val="false"/>
        <w:spacing w:line="240" w:lineRule="exact"/>
        <w:ind w:left="2000"/>
        <w:jc w:val="both"/>
      </w:pPr>
      <w:r>
        <w:rPr>
          <w:rFonts w:hint="eastAsia" w:ascii="ºÚÌå" w:hAnsi="ºÚÌå" w:eastAsia="ºÚÌå" w:cs="ºÚÌå"/>
          <w:sz w:val="20"/>
        </w:rPr>
        <w:t>一、</w:t>
      </w:r>
      <w:r>
        <w:rPr>
          <w:rFonts w:hint="eastAsia" w:ascii="ºÚÌå" w:hAnsi="ºÚÌå" w:eastAsia="ºÚÌå" w:cs="ºÚÌå"/>
          <w:sz w:val="21"/>
        </w:rPr>
        <w:t>发行人主营业务经营概况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93</w:t>
      </w:r>
    </w:p>
    <w:p>
      <w:pPr>
        <w:tabs>
          <w:tab w:val="left" w:leader="dot" w:pos="9880"/>
        </w:tabs>
        <w:autoSpaceDE w:val="false"/>
        <w:autoSpaceDN w:val="false"/>
        <w:spacing w:line="300" w:lineRule="exact"/>
        <w:ind w:left="2000"/>
        <w:jc w:val="both"/>
      </w:pPr>
      <w:r>
        <w:rPr>
          <w:rFonts w:hint="eastAsia" w:ascii="ºÚÌå" w:hAnsi="ºÚÌå" w:eastAsia="ºÚÌå" w:cs="ºÚÌå"/>
          <w:sz w:val="20"/>
        </w:rPr>
        <w:t>二、</w:t>
      </w:r>
      <w:r>
        <w:rPr>
          <w:rFonts w:hint="eastAsia" w:ascii="ºÚÌå" w:hAnsi="ºÚÌå" w:eastAsia="ºÚÌå" w:cs="ºÚÌå"/>
          <w:sz w:val="21"/>
        </w:rPr>
        <w:t>发行人所处行业的基本情况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94</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发行人在行业中的竞争地位</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130</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发行人的主营业务情况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136</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五</w:t>
      </w:r>
      <w:r>
        <w:rPr>
          <w:rFonts w:hint="eastAsia" w:ascii="ºÚÌå" w:hAnsi="ºÚÌå" w:eastAsia="ºÚÌå" w:cs="ºÚÌå"/>
          <w:sz w:val="10"/>
        </w:rPr>
        <w:t>、</w:t>
      </w:r>
      <w:r>
        <w:rPr>
          <w:rFonts w:hint="eastAsia" w:ascii="ºÚÌå" w:hAnsi="ºÚÌå" w:eastAsia="ºÚÌå" w:cs="ºÚÌå"/>
          <w:sz w:val="21"/>
        </w:rPr>
        <w:t>发行人主要资产情况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165</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六</w:t>
      </w:r>
      <w:r>
        <w:rPr>
          <w:rFonts w:hint="eastAsia" w:ascii="ºÚÌå" w:hAnsi="ºÚÌå" w:eastAsia="ºÚÌå" w:cs="ºÚÌå"/>
          <w:sz w:val="10"/>
        </w:rPr>
        <w:t>、</w:t>
      </w:r>
      <w:r>
        <w:rPr>
          <w:rFonts w:hint="eastAsia" w:ascii="ºÚÌå" w:hAnsi="ºÚÌå" w:eastAsia="ºÚÌå" w:cs="ºÚÌå"/>
          <w:sz w:val="21"/>
        </w:rPr>
        <w:t>主要产品或服务的核心技术情况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172</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七</w:t>
      </w:r>
      <w:r>
        <w:rPr>
          <w:rFonts w:hint="eastAsia" w:ascii="ºÚÌå" w:hAnsi="ºÚÌå" w:eastAsia="ºÚÌå" w:cs="ºÚÌå"/>
          <w:sz w:val="10"/>
        </w:rPr>
        <w:t>、</w:t>
      </w:r>
      <w:r>
        <w:rPr>
          <w:rFonts w:hint="eastAsia" w:ascii="ºÚÌå" w:hAnsi="ºÚÌå" w:eastAsia="ºÚÌå" w:cs="ºÚÌå"/>
          <w:sz w:val="21"/>
        </w:rPr>
        <w:t>境外经营情况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176</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八</w:t>
      </w:r>
      <w:r>
        <w:rPr>
          <w:rFonts w:hint="eastAsia" w:ascii="ºÚÌå" w:hAnsi="ºÚÌå" w:eastAsia="ºÚÌå" w:cs="ºÚÌå"/>
          <w:sz w:val="10"/>
        </w:rPr>
        <w:t>、</w:t>
      </w:r>
      <w:r>
        <w:rPr>
          <w:rFonts w:hint="eastAsia" w:ascii="ºÚÌå" w:hAnsi="ºÚÌå" w:eastAsia="ºÚÌå" w:cs="ºÚÌå"/>
          <w:sz w:val="21"/>
        </w:rPr>
        <w:t>质量控制情况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177</w:t>
      </w:r>
    </w:p>
    <w:p>
      <w:pPr>
        <w:spacing w:line="200" w:lineRule="exact"/>
        <w:rPr>
          <w:rFonts w:hint="eastAsia" w:ascii="宋体" w:hAnsi="宋体" w:eastAsia="宋体" w:cs="宋体"/>
          <w:sz w:val="20"/>
        </w:rPr>
      </w:pPr>
    </w:p>
    <w:p>
      <w:pPr>
        <w:tabs>
          <w:tab w:val="left" w:leader="dot" w:pos="9760"/>
        </w:tabs>
        <w:autoSpaceDE w:val="false"/>
        <w:autoSpaceDN w:val="false"/>
        <w:spacing w:line="240" w:lineRule="exact"/>
        <w:ind w:left="1780"/>
        <w:jc w:val="both"/>
      </w:pPr>
      <w:r>
        <w:rPr>
          <w:rFonts w:hint="eastAsia" w:ascii="ºÚÌå" w:hAnsi="ºÚÌå" w:eastAsia="ºÚÌå" w:cs="ºÚÌå"/>
          <w:b/>
          <w:sz w:val="21"/>
        </w:rPr>
        <w:t>第七节</w:t>
      </w:r>
      <w:r>
        <w:rPr>
          <w:rFonts w:hint="eastAsia" w:ascii="ºÚÌå" w:hAnsi="ºÚÌå" w:eastAsia="ºÚÌå" w:cs="ºÚÌå"/>
          <w:b/>
          <w:sz w:val="21"/>
        </w:rPr>
        <w:t xml:space="preserve"> </w:t>
      </w:r>
      <w:r>
        <w:rPr>
          <w:rFonts w:hint="eastAsia" w:ascii="ºÚÌå" w:hAnsi="ºÚÌå" w:eastAsia="ºÚÌå" w:cs="ºÚÌå"/>
          <w:b/>
          <w:sz w:val="21"/>
        </w:rPr>
        <w:t>同业竞争与关联交易</w:t>
      </w:r>
      <w:r>
        <w:rPr>
          <w:rFonts w:hint="eastAsia" w:ascii="Times New Roman Bold" w:hAnsi="Times New Roman Bold" w:eastAsia="Times New Roman Bold" w:cs="Times New Roman Bold"/>
          <w:b/>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178</w:t>
      </w:r>
    </w:p>
    <w:p>
      <w:pPr>
        <w:spacing w:line="200" w:lineRule="exact"/>
        <w:rPr>
          <w:rFonts w:hint="eastAsia" w:ascii="宋体" w:hAnsi="宋体" w:eastAsia="宋体" w:cs="宋体"/>
          <w:sz w:val="20"/>
        </w:rPr>
      </w:pPr>
    </w:p>
    <w:p>
      <w:pPr>
        <w:tabs>
          <w:tab w:val="left" w:leader="dot" w:pos="9740"/>
        </w:tabs>
        <w:autoSpaceDE w:val="false"/>
        <w:autoSpaceDN w:val="false"/>
        <w:spacing w:line="220" w:lineRule="exact"/>
        <w:ind w:left="2000"/>
        <w:jc w:val="both"/>
      </w:pPr>
      <w:r>
        <w:rPr>
          <w:rFonts w:hint="eastAsia" w:ascii="ºÚÌå" w:hAnsi="ºÚÌå" w:eastAsia="ºÚÌå" w:cs="ºÚÌå"/>
          <w:sz w:val="20"/>
        </w:rPr>
        <w:t>一、</w:t>
      </w:r>
      <w:r>
        <w:rPr>
          <w:rFonts w:hint="eastAsia" w:ascii="ºÚÌå" w:hAnsi="ºÚÌå" w:eastAsia="ºÚÌå" w:cs="ºÚÌå"/>
          <w:sz w:val="21"/>
        </w:rPr>
        <w:t>发行人独立经营情况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178</w:t>
      </w:r>
    </w:p>
    <w:p>
      <w:pPr>
        <w:tabs>
          <w:tab w:val="left" w:leader="dot" w:pos="974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同业竞争</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179</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关联交易</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181</w:t>
      </w:r>
    </w:p>
    <w:p>
      <w:pPr>
        <w:spacing w:line="200" w:lineRule="exact"/>
        <w:rPr>
          <w:rFonts w:hint="eastAsia" w:ascii="宋体" w:hAnsi="宋体" w:eastAsia="宋体" w:cs="宋体"/>
          <w:sz w:val="20"/>
        </w:rPr>
      </w:pPr>
    </w:p>
    <w:p>
      <w:pPr>
        <w:tabs>
          <w:tab w:val="left" w:leader="dot" w:pos="9760"/>
        </w:tabs>
        <w:autoSpaceDE w:val="false"/>
        <w:autoSpaceDN w:val="false"/>
        <w:spacing w:line="240" w:lineRule="exact"/>
        <w:ind w:left="1780"/>
        <w:jc w:val="both"/>
      </w:pPr>
      <w:r>
        <w:rPr>
          <w:rFonts w:hint="eastAsia" w:ascii="ºÚÌå" w:hAnsi="ºÚÌå" w:eastAsia="ºÚÌå" w:cs="ºÚÌå"/>
          <w:b/>
          <w:sz w:val="21"/>
        </w:rPr>
        <w:t>第八节</w:t>
      </w:r>
      <w:r>
        <w:rPr>
          <w:rFonts w:hint="eastAsia" w:ascii="ºÚÌå" w:hAnsi="ºÚÌå" w:eastAsia="ºÚÌå" w:cs="ºÚÌå"/>
          <w:b/>
          <w:sz w:val="21"/>
        </w:rPr>
        <w:t xml:space="preserve"> </w:t>
      </w:r>
      <w:r>
        <w:rPr>
          <w:rFonts w:hint="eastAsia" w:ascii="ºÚÌå" w:hAnsi="ºÚÌå" w:eastAsia="ºÚÌå" w:cs="ºÚÌå"/>
          <w:b/>
          <w:sz w:val="21"/>
        </w:rPr>
        <w:t>董事</w:t>
      </w:r>
      <w:r>
        <w:rPr>
          <w:rFonts w:hint="eastAsia" w:ascii="ºÚÌå" w:hAnsi="ºÚÌå" w:eastAsia="ºÚÌå" w:cs="ºÚÌå"/>
          <w:b/>
          <w:sz w:val="10"/>
        </w:rPr>
        <w:t>、</w:t>
      </w:r>
      <w:r>
        <w:rPr>
          <w:rFonts w:hint="eastAsia" w:ascii="ºÚÌå" w:hAnsi="ºÚÌå" w:eastAsia="ºÚÌå" w:cs="ºÚÌå"/>
          <w:b/>
          <w:sz w:val="21"/>
        </w:rPr>
        <w:t>监事</w:t>
      </w:r>
      <w:r>
        <w:rPr>
          <w:rFonts w:hint="eastAsia" w:ascii="ºÚÌå" w:hAnsi="ºÚÌå" w:eastAsia="ºÚÌå" w:cs="ºÚÌå"/>
          <w:b/>
          <w:sz w:val="10"/>
        </w:rPr>
        <w:t>、</w:t>
      </w:r>
      <w:r>
        <w:rPr>
          <w:rFonts w:hint="eastAsia" w:ascii="ºÚÌå" w:hAnsi="ºÚÌå" w:eastAsia="ºÚÌå" w:cs="ºÚÌå"/>
          <w:b/>
          <w:sz w:val="21"/>
        </w:rPr>
        <w:t>高级管理人员与核心技术人员</w:t>
      </w:r>
      <w:r>
        <w:rPr>
          <w:rFonts w:hint="eastAsia" w:ascii="Times New Roman Bold" w:hAnsi="Times New Roman Bold" w:eastAsia="Times New Roman Bold" w:cs="Times New Roman Bold"/>
          <w:b/>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186</w:t>
      </w:r>
    </w:p>
    <w:p>
      <w:pPr>
        <w:spacing w:line="200" w:lineRule="exact"/>
        <w:rPr>
          <w:rFonts w:hint="eastAsia" w:ascii="宋体" w:hAnsi="宋体" w:eastAsia="宋体" w:cs="宋体"/>
          <w:sz w:val="20"/>
        </w:rPr>
      </w:pPr>
    </w:p>
    <w:p>
      <w:pPr>
        <w:tabs>
          <w:tab w:val="left" w:leader="dot" w:pos="9740"/>
        </w:tabs>
        <w:autoSpaceDE w:val="false"/>
        <w:autoSpaceDN w:val="false"/>
        <w:spacing w:line="240" w:lineRule="exact"/>
        <w:ind w:left="2000"/>
        <w:jc w:val="both"/>
      </w:pPr>
      <w:r>
        <w:rPr>
          <w:rFonts w:hint="eastAsia" w:ascii="ºÚÌå" w:hAnsi="ºÚÌå" w:eastAsia="ºÚÌå" w:cs="ºÚÌå"/>
          <w:sz w:val="20"/>
        </w:rPr>
        <w:t>一、</w:t>
      </w:r>
      <w:r>
        <w:rPr>
          <w:rFonts w:hint="eastAsia" w:ascii="ºÚÌå" w:hAnsi="ºÚÌå" w:eastAsia="ºÚÌå" w:cs="ºÚÌå"/>
          <w:sz w:val="21"/>
        </w:rPr>
        <w:t>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高级管理人员及核心技术人员的简要情况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186</w:t>
      </w:r>
    </w:p>
    <w:p>
      <w:pPr>
        <w:tabs>
          <w:tab w:val="left" w:leader="dot" w:pos="9740"/>
        </w:tabs>
        <w:autoSpaceDE w:val="false"/>
        <w:autoSpaceDN w:val="false"/>
        <w:spacing w:line="300" w:lineRule="exact"/>
        <w:ind w:left="2000"/>
        <w:jc w:val="both"/>
      </w:pPr>
      <w:r>
        <w:rPr>
          <w:rFonts w:hint="eastAsia" w:ascii="ºÚÌå" w:hAnsi="ºÚÌå" w:eastAsia="ºÚÌå" w:cs="ºÚÌå"/>
          <w:sz w:val="20"/>
        </w:rPr>
        <w:t>二、</w:t>
      </w:r>
      <w:r>
        <w:rPr>
          <w:rFonts w:hint="eastAsia" w:ascii="ºÚÌå" w:hAnsi="ºÚÌå" w:eastAsia="ºÚÌå" w:cs="ºÚÌå"/>
          <w:sz w:val="21"/>
        </w:rPr>
        <w:t>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高级管理人员及核心技术人员及其近亲属持有本公司股份情况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191</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高级管理人员及核心技术人员的对外投资情况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193</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高级管理人员及核心技术人员的薪酬情况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193</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五</w:t>
      </w:r>
      <w:r>
        <w:rPr>
          <w:rFonts w:hint="eastAsia" w:ascii="ºÚÌå" w:hAnsi="ºÚÌå" w:eastAsia="ºÚÌå" w:cs="ºÚÌå"/>
          <w:sz w:val="10"/>
        </w:rPr>
        <w:t>、</w:t>
      </w:r>
      <w:r>
        <w:rPr>
          <w:rFonts w:hint="eastAsia" w:ascii="ºÚÌå" w:hAnsi="ºÚÌå" w:eastAsia="ºÚÌå" w:cs="ºÚÌå"/>
          <w:sz w:val="21"/>
        </w:rPr>
        <w:t>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高级管理人员及核心技术人员的兼职情况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194</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六</w:t>
      </w:r>
      <w:r>
        <w:rPr>
          <w:rFonts w:hint="eastAsia" w:ascii="ºÚÌå" w:hAnsi="ºÚÌå" w:eastAsia="ºÚÌå" w:cs="ºÚÌå"/>
          <w:sz w:val="10"/>
        </w:rPr>
        <w:t>、</w:t>
      </w:r>
      <w:r>
        <w:rPr>
          <w:rFonts w:hint="eastAsia" w:ascii="ºÚÌå" w:hAnsi="ºÚÌå" w:eastAsia="ºÚÌå" w:cs="ºÚÌå"/>
          <w:sz w:val="21"/>
        </w:rPr>
        <w:t>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高级管理人员及核心技术人员相互之间的亲属关系</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195</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七</w:t>
      </w:r>
      <w:r>
        <w:rPr>
          <w:rFonts w:hint="eastAsia" w:ascii="ºÚÌå" w:hAnsi="ºÚÌå" w:eastAsia="ºÚÌå" w:cs="ºÚÌå"/>
          <w:sz w:val="10"/>
        </w:rPr>
        <w:t>、</w:t>
      </w:r>
      <w:r>
        <w:rPr>
          <w:rFonts w:hint="eastAsia" w:ascii="ºÚÌå" w:hAnsi="ºÚÌå" w:eastAsia="ºÚÌå" w:cs="ºÚÌå"/>
          <w:sz w:val="21"/>
        </w:rPr>
        <w:t>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高级管理人员及核心技术人员与本公司签署的协议及承诺</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195</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八</w:t>
      </w:r>
      <w:r>
        <w:rPr>
          <w:rFonts w:hint="eastAsia" w:ascii="ºÚÌå" w:hAnsi="ºÚÌå" w:eastAsia="ºÚÌå" w:cs="ºÚÌå"/>
          <w:sz w:val="10"/>
        </w:rPr>
        <w:t>、</w:t>
      </w:r>
      <w:r>
        <w:rPr>
          <w:rFonts w:hint="eastAsia" w:ascii="ºÚÌå" w:hAnsi="ºÚÌå" w:eastAsia="ºÚÌå" w:cs="ºÚÌå"/>
          <w:sz w:val="21"/>
        </w:rPr>
        <w:t>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高级管理人员及核心技术人员的承诺及履行情况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195</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九</w:t>
      </w:r>
      <w:r>
        <w:rPr>
          <w:rFonts w:hint="eastAsia" w:ascii="ºÚÌå" w:hAnsi="ºÚÌå" w:eastAsia="ºÚÌå" w:cs="ºÚÌå"/>
          <w:sz w:val="10"/>
        </w:rPr>
        <w:t>、</w:t>
      </w:r>
      <w:r>
        <w:rPr>
          <w:rFonts w:hint="eastAsia" w:ascii="ºÚÌå" w:hAnsi="ºÚÌå" w:eastAsia="ºÚÌå" w:cs="ºÚÌå"/>
          <w:sz w:val="21"/>
        </w:rPr>
        <w:t>董事</w:t>
      </w:r>
      <w:r>
        <w:rPr>
          <w:rFonts w:hint="eastAsia" w:ascii="ºÚÌå" w:hAnsi="ºÚÌå" w:eastAsia="ºÚÌå" w:cs="ºÚÌå"/>
          <w:sz w:val="10"/>
        </w:rPr>
        <w:t>、</w:t>
      </w:r>
      <w:r>
        <w:rPr>
          <w:rFonts w:hint="eastAsia" w:ascii="ºÚÌå" w:hAnsi="ºÚÌå" w:eastAsia="ºÚÌå" w:cs="ºÚÌå"/>
          <w:sz w:val="21"/>
        </w:rPr>
        <w:t>监事</w:t>
      </w:r>
      <w:r>
        <w:rPr>
          <w:rFonts w:hint="eastAsia" w:ascii="ºÚÌå" w:hAnsi="ºÚÌå" w:eastAsia="ºÚÌå" w:cs="ºÚÌå"/>
          <w:sz w:val="10"/>
        </w:rPr>
        <w:t>、</w:t>
      </w:r>
      <w:r>
        <w:rPr>
          <w:rFonts w:hint="eastAsia" w:ascii="ºÚÌå" w:hAnsi="ºÚÌå" w:eastAsia="ºÚÌå" w:cs="ºÚÌå"/>
          <w:sz w:val="21"/>
        </w:rPr>
        <w:t>高级管理人员是否符合法律法规规定的任职资格</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196</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十</w:t>
      </w:r>
      <w:r>
        <w:rPr>
          <w:rFonts w:hint="eastAsia" w:ascii="ºÚÌå" w:hAnsi="ºÚÌå" w:eastAsia="ºÚÌå" w:cs="ºÚÌå"/>
          <w:sz w:val="10"/>
        </w:rPr>
        <w:t>、</w:t>
      </w:r>
      <w:r>
        <w:rPr>
          <w:rFonts w:hint="eastAsia" w:ascii="ºÚÌå" w:hAnsi="ºÚÌå" w:eastAsia="ºÚÌå" w:cs="ºÚÌå"/>
          <w:sz w:val="21"/>
        </w:rPr>
        <w:t>近三年内董事</w:t>
      </w:r>
      <w:r>
        <w:rPr>
          <w:rFonts w:hint="eastAsia" w:ascii="ºÚÌå" w:hAnsi="ºÚÌå" w:eastAsia="ºÚÌå" w:cs="ºÚÌå"/>
          <w:sz w:val="10"/>
        </w:rPr>
        <w:t>、</w:t>
      </w:r>
      <w:r>
        <w:rPr>
          <w:rFonts w:hint="eastAsia" w:ascii="ºÚÌå" w:hAnsi="ºÚÌå" w:eastAsia="ºÚÌå" w:cs="ºÚÌå"/>
          <w:sz w:val="21"/>
        </w:rPr>
        <w:t>监事及高级管理人员变动情况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196</w:t>
      </w:r>
    </w:p>
    <w:p>
      <w:pPr>
        <w:spacing w:line="200" w:lineRule="exact"/>
        <w:rPr>
          <w:rFonts w:hint="eastAsia" w:ascii="宋体" w:hAnsi="宋体" w:eastAsia="宋体" w:cs="宋体"/>
          <w:sz w:val="20"/>
        </w:rPr>
      </w:pPr>
    </w:p>
    <w:p>
      <w:pPr>
        <w:tabs>
          <w:tab w:val="left" w:leader="dot" w:pos="9760"/>
        </w:tabs>
        <w:autoSpaceDE w:val="false"/>
        <w:autoSpaceDN w:val="false"/>
        <w:spacing w:line="240" w:lineRule="exact"/>
        <w:ind w:left="1780"/>
        <w:jc w:val="both"/>
      </w:pPr>
      <w:r>
        <w:rPr>
          <w:rFonts w:hint="eastAsia" w:ascii="ºÚÌå" w:hAnsi="ºÚÌå" w:eastAsia="ºÚÌå" w:cs="ºÚÌå"/>
          <w:b/>
          <w:sz w:val="21"/>
        </w:rPr>
        <w:t>第九节</w:t>
      </w:r>
      <w:r>
        <w:rPr>
          <w:rFonts w:hint="eastAsia" w:ascii="ºÚÌå" w:hAnsi="ºÚÌå" w:eastAsia="ºÚÌå" w:cs="ºÚÌå"/>
          <w:b/>
          <w:sz w:val="21"/>
        </w:rPr>
        <w:t xml:space="preserve"> </w:t>
      </w:r>
      <w:r>
        <w:rPr>
          <w:rFonts w:hint="eastAsia" w:ascii="ºÚÌå" w:hAnsi="ºÚÌå" w:eastAsia="ºÚÌå" w:cs="ºÚÌå"/>
          <w:b/>
          <w:sz w:val="21"/>
        </w:rPr>
        <w:t>公司治理</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198</w:t>
      </w:r>
    </w:p>
    <w:p>
      <w:pPr>
        <w:spacing w:line="200" w:lineRule="exact"/>
        <w:rPr>
          <w:rFonts w:hint="eastAsia" w:ascii="宋体" w:hAnsi="宋体" w:eastAsia="宋体" w:cs="宋体"/>
          <w:sz w:val="20"/>
        </w:rPr>
      </w:pPr>
    </w:p>
    <w:p>
      <w:pPr>
        <w:tabs>
          <w:tab w:val="left" w:leader="dot" w:pos="9740"/>
        </w:tabs>
        <w:autoSpaceDE w:val="false"/>
        <w:autoSpaceDN w:val="false"/>
        <w:spacing w:line="220" w:lineRule="exact"/>
        <w:ind w:left="2000"/>
        <w:jc w:val="both"/>
      </w:pPr>
      <w:r>
        <w:rPr>
          <w:rFonts w:hint="eastAsia" w:ascii="ºÚÌå" w:hAnsi="ºÚÌå" w:eastAsia="ºÚÌå" w:cs="ºÚÌå"/>
          <w:sz w:val="20"/>
        </w:rPr>
        <w:t>一、</w:t>
      </w:r>
      <w:r>
        <w:rPr>
          <w:rFonts w:hint="eastAsia" w:ascii="ºÚÌå" w:hAnsi="ºÚÌå" w:eastAsia="ºÚÌå" w:cs="ºÚÌå"/>
          <w:sz w:val="21"/>
        </w:rPr>
        <w:t>公司法人治理结构建立</w:t>
      </w:r>
      <w:r>
        <w:rPr>
          <w:rFonts w:hint="eastAsia" w:ascii="ºÚÌå" w:hAnsi="ºÚÌå" w:eastAsia="ºÚÌå" w:cs="ºÚÌå"/>
          <w:sz w:val="10"/>
        </w:rPr>
        <w:t>、</w:t>
      </w:r>
      <w:r>
        <w:rPr>
          <w:rFonts w:hint="eastAsia" w:ascii="ºÚÌå" w:hAnsi="ºÚÌå" w:eastAsia="ºÚÌå" w:cs="ºÚÌå"/>
          <w:sz w:val="21"/>
        </w:rPr>
        <w:t>健全及运行情况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198</w:t>
      </w:r>
    </w:p>
    <w:p>
      <w:pPr>
        <w:tabs>
          <w:tab w:val="left" w:leader="dot" w:pos="974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公司违法违规情况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208</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公司控股股东资金占用及为控股股东担保的情况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208</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公司内部控制制度评估意见</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209</w:t>
      </w:r>
    </w:p>
    <w:p>
      <w:pPr>
        <w:spacing w:line="200" w:lineRule="exact"/>
        <w:rPr>
          <w:rFonts w:hint="eastAsia" w:ascii="宋体" w:hAnsi="宋体" w:eastAsia="宋体" w:cs="宋体"/>
          <w:sz w:val="20"/>
        </w:rPr>
      </w:pPr>
    </w:p>
    <w:p>
      <w:pPr>
        <w:tabs>
          <w:tab w:val="left" w:leader="dot" w:pos="9760"/>
        </w:tabs>
        <w:autoSpaceDE w:val="false"/>
        <w:autoSpaceDN w:val="false"/>
        <w:spacing w:line="240" w:lineRule="exact"/>
        <w:ind w:left="1780"/>
        <w:jc w:val="both"/>
      </w:pPr>
      <w:r>
        <w:rPr>
          <w:rFonts w:hint="eastAsia" w:ascii="ºÚÌå" w:hAnsi="ºÚÌå" w:eastAsia="ºÚÌå" w:cs="ºÚÌå"/>
          <w:b/>
          <w:sz w:val="21"/>
        </w:rPr>
        <w:t>第十节</w:t>
      </w:r>
      <w:r>
        <w:rPr>
          <w:rFonts w:hint="eastAsia" w:ascii="ºÚÌå" w:hAnsi="ºÚÌå" w:eastAsia="ºÚÌå" w:cs="ºÚÌå"/>
          <w:b/>
          <w:sz w:val="21"/>
        </w:rPr>
        <w:t xml:space="preserve"> </w:t>
      </w:r>
      <w:r>
        <w:rPr>
          <w:rFonts w:hint="eastAsia" w:ascii="ºÚÌå" w:hAnsi="ºÚÌå" w:eastAsia="ºÚÌå" w:cs="ºÚÌå"/>
          <w:b/>
          <w:sz w:val="21"/>
        </w:rPr>
        <w:t>财务会计信息</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210</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1-1-20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dot" w:pos="9740"/>
        </w:tabs>
        <w:autoSpaceDE w:val="false"/>
        <w:autoSpaceDN w:val="false"/>
        <w:spacing w:line="200" w:lineRule="exact"/>
        <w:ind w:left="2000"/>
        <w:jc w:val="both"/>
      </w:pPr>
      <w:r>
        <w:rPr>
          <w:rFonts w:hint="eastAsia" w:ascii="ºÚÌå" w:hAnsi="ºÚÌå" w:eastAsia="ºÚÌå" w:cs="ºÚÌå"/>
          <w:sz w:val="20"/>
        </w:rPr>
        <w:t>一、</w:t>
      </w:r>
      <w:r>
        <w:rPr>
          <w:rFonts w:hint="eastAsia" w:ascii="ºÚÌå" w:hAnsi="ºÚÌå" w:eastAsia="ºÚÌå" w:cs="ºÚÌå"/>
          <w:sz w:val="21"/>
        </w:rPr>
        <w:t>会计师事务所的审计意见类型</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210</w:t>
      </w:r>
    </w:p>
    <w:p>
      <w:pPr>
        <w:tabs>
          <w:tab w:val="left" w:leader="dot" w:pos="974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财务报表</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210</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会计报表编制基础和合并财务报表范围及变化情况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222</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报告期内采用的主要会计政策和会计估计</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223</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五</w:t>
      </w:r>
      <w:r>
        <w:rPr>
          <w:rFonts w:hint="eastAsia" w:ascii="ºÚÌå" w:hAnsi="ºÚÌå" w:eastAsia="ºÚÌå" w:cs="ºÚÌå"/>
          <w:sz w:val="10"/>
        </w:rPr>
        <w:t>、</w:t>
      </w:r>
      <w:r>
        <w:rPr>
          <w:rFonts w:hint="eastAsia" w:ascii="ºÚÌå" w:hAnsi="ºÚÌå" w:eastAsia="ºÚÌå" w:cs="ºÚÌå"/>
          <w:sz w:val="21"/>
        </w:rPr>
        <w:t>主要税项</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239</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六</w:t>
      </w:r>
      <w:r>
        <w:rPr>
          <w:rFonts w:hint="eastAsia" w:ascii="ºÚÌå" w:hAnsi="ºÚÌå" w:eastAsia="ºÚÌå" w:cs="ºÚÌå"/>
          <w:sz w:val="10"/>
        </w:rPr>
        <w:t>、</w:t>
      </w:r>
      <w:r>
        <w:rPr>
          <w:rFonts w:hint="eastAsia" w:ascii="ºÚÌå" w:hAnsi="ºÚÌå" w:eastAsia="ºÚÌå" w:cs="ºÚÌå"/>
          <w:sz w:val="21"/>
        </w:rPr>
        <w:t>分部信息</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241</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七</w:t>
      </w:r>
      <w:r>
        <w:rPr>
          <w:rFonts w:hint="eastAsia" w:ascii="ºÚÌå" w:hAnsi="ºÚÌå" w:eastAsia="ºÚÌå" w:cs="ºÚÌå"/>
          <w:sz w:val="10"/>
        </w:rPr>
        <w:t>、</w:t>
      </w:r>
      <w:r>
        <w:rPr>
          <w:rFonts w:hint="eastAsia" w:ascii="ºÚÌå" w:hAnsi="ºÚÌå" w:eastAsia="ºÚÌå" w:cs="ºÚÌå"/>
          <w:sz w:val="21"/>
        </w:rPr>
        <w:t>经注册会计师鉴证的非经常性损益明细表</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243</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八</w:t>
      </w:r>
      <w:r>
        <w:rPr>
          <w:rFonts w:hint="eastAsia" w:ascii="ºÚÌå" w:hAnsi="ºÚÌå" w:eastAsia="ºÚÌå" w:cs="ºÚÌå"/>
          <w:sz w:val="10"/>
        </w:rPr>
        <w:t>、</w:t>
      </w:r>
      <w:r>
        <w:rPr>
          <w:rFonts w:hint="eastAsia" w:ascii="ºÚÌå" w:hAnsi="ºÚÌå" w:eastAsia="ºÚÌå" w:cs="ºÚÌå"/>
          <w:sz w:val="21"/>
        </w:rPr>
        <w:t>主要资产情况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244</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九</w:t>
      </w:r>
      <w:r>
        <w:rPr>
          <w:rFonts w:hint="eastAsia" w:ascii="ºÚÌå" w:hAnsi="ºÚÌå" w:eastAsia="ºÚÌå" w:cs="ºÚÌå"/>
          <w:sz w:val="10"/>
        </w:rPr>
        <w:t>、</w:t>
      </w:r>
      <w:r>
        <w:rPr>
          <w:rFonts w:hint="eastAsia" w:ascii="ºÚÌå" w:hAnsi="ºÚÌå" w:eastAsia="ºÚÌå" w:cs="ºÚÌå"/>
          <w:sz w:val="21"/>
        </w:rPr>
        <w:t>最近</w:t>
      </w:r>
      <w:r>
        <w:rPr>
          <w:rFonts w:hint="eastAsia" w:ascii="ºÚÌå" w:hAnsi="ºÚÌå" w:eastAsia="ºÚÌå" w:cs="ºÚÌå"/>
          <w:sz w:val="20"/>
        </w:rPr>
        <w:t>一</w:t>
      </w:r>
      <w:r>
        <w:rPr>
          <w:rFonts w:hint="eastAsia" w:ascii="ºÚÌå" w:hAnsi="ºÚÌå" w:eastAsia="ºÚÌå" w:cs="ºÚÌå"/>
          <w:sz w:val="21"/>
        </w:rPr>
        <w:t>期期末的主要债项</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245</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十</w:t>
      </w:r>
      <w:r>
        <w:rPr>
          <w:rFonts w:hint="eastAsia" w:ascii="ºÚÌå" w:hAnsi="ºÚÌå" w:eastAsia="ºÚÌå" w:cs="ºÚÌå"/>
          <w:sz w:val="10"/>
        </w:rPr>
        <w:t>、</w:t>
      </w:r>
      <w:r>
        <w:rPr>
          <w:rFonts w:hint="eastAsia" w:ascii="ºÚÌå" w:hAnsi="ºÚÌå" w:eastAsia="ºÚÌå" w:cs="ºÚÌå"/>
          <w:sz w:val="21"/>
        </w:rPr>
        <w:t>所有者权益变动情况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246</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十</w:t>
      </w:r>
      <w:r>
        <w:rPr>
          <w:rFonts w:hint="eastAsia" w:ascii="ºÚÌå" w:hAnsi="ºÚÌå" w:eastAsia="ºÚÌå" w:cs="ºÚÌå"/>
          <w:sz w:val="20"/>
        </w:rPr>
        <w:t>一、</w:t>
      </w:r>
      <w:r>
        <w:rPr>
          <w:rFonts w:hint="eastAsia" w:ascii="ºÚÌå" w:hAnsi="ºÚÌå" w:eastAsia="ºÚÌå" w:cs="ºÚÌå"/>
          <w:sz w:val="21"/>
        </w:rPr>
        <w:t>现金流量分析</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249</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十</w:t>
      </w:r>
      <w:r>
        <w:rPr>
          <w:rFonts w:hint="eastAsia" w:ascii="ºÚÌå" w:hAnsi="ºÚÌå" w:eastAsia="ºÚÌå" w:cs="ºÚÌå"/>
          <w:sz w:val="20"/>
        </w:rPr>
        <w:t>二、</w:t>
      </w:r>
      <w:r>
        <w:rPr>
          <w:rFonts w:hint="eastAsia" w:ascii="ºÚÌå" w:hAnsi="ºÚÌå" w:eastAsia="ºÚÌå" w:cs="ºÚÌå"/>
          <w:sz w:val="21"/>
        </w:rPr>
        <w:t>会计报表附注中的期后事项</w:t>
      </w:r>
      <w:r>
        <w:rPr>
          <w:rFonts w:hint="eastAsia" w:ascii="ºÚÌå" w:hAnsi="ºÚÌå" w:eastAsia="ºÚÌå" w:cs="ºÚÌå"/>
          <w:sz w:val="10"/>
        </w:rPr>
        <w:t>、</w:t>
      </w:r>
      <w:r>
        <w:rPr>
          <w:rFonts w:hint="eastAsia" w:ascii="ºÚÌå" w:hAnsi="ºÚÌå" w:eastAsia="ºÚÌå" w:cs="ºÚÌå"/>
          <w:sz w:val="21"/>
        </w:rPr>
        <w:t>或有事项及其他重要事项</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249</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十三</w:t>
      </w:r>
      <w:r>
        <w:rPr>
          <w:rFonts w:hint="eastAsia" w:ascii="ºÚÌå" w:hAnsi="ºÚÌå" w:eastAsia="ºÚÌå" w:cs="ºÚÌå"/>
          <w:sz w:val="10"/>
        </w:rPr>
        <w:t>、</w:t>
      </w:r>
      <w:r>
        <w:rPr>
          <w:rFonts w:hint="eastAsia" w:ascii="ºÚÌå" w:hAnsi="ºÚÌå" w:eastAsia="ºÚÌå" w:cs="ºÚÌå"/>
          <w:sz w:val="21"/>
        </w:rPr>
        <w:t>主要财务指标</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250</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十四</w:t>
      </w:r>
      <w:r>
        <w:rPr>
          <w:rFonts w:hint="eastAsia" w:ascii="ºÚÌå" w:hAnsi="ºÚÌå" w:eastAsia="ºÚÌå" w:cs="ºÚÌå"/>
          <w:sz w:val="10"/>
        </w:rPr>
        <w:t>、</w:t>
      </w:r>
      <w:r>
        <w:rPr>
          <w:rFonts w:hint="eastAsia" w:ascii="ºÚÌå" w:hAnsi="ºÚÌå" w:eastAsia="ºÚÌå" w:cs="ºÚÌå"/>
          <w:sz w:val="21"/>
        </w:rPr>
        <w:t>资产评估与验资情况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252</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十五</w:t>
      </w:r>
      <w:r>
        <w:rPr>
          <w:rFonts w:hint="eastAsia" w:ascii="ºÚÌå" w:hAnsi="ºÚÌå" w:eastAsia="ºÚÌå" w:cs="ºÚÌå"/>
          <w:sz w:val="10"/>
        </w:rPr>
        <w:t>、</w:t>
      </w:r>
      <w:r>
        <w:rPr>
          <w:rFonts w:hint="eastAsia" w:ascii="ºÚÌå" w:hAnsi="ºÚÌå" w:eastAsia="ºÚÌå" w:cs="ºÚÌå"/>
          <w:sz w:val="21"/>
        </w:rPr>
        <w:t>盈利预测</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253</w:t>
      </w:r>
    </w:p>
    <w:p>
      <w:pPr>
        <w:spacing w:line="200" w:lineRule="exact"/>
        <w:rPr>
          <w:rFonts w:hint="eastAsia" w:ascii="宋体" w:hAnsi="宋体" w:eastAsia="宋体" w:cs="宋体"/>
          <w:sz w:val="20"/>
        </w:rPr>
      </w:pPr>
    </w:p>
    <w:p>
      <w:pPr>
        <w:tabs>
          <w:tab w:val="left" w:leader="dot" w:pos="9760"/>
        </w:tabs>
        <w:autoSpaceDE w:val="false"/>
        <w:autoSpaceDN w:val="false"/>
        <w:spacing w:line="220" w:lineRule="exact"/>
        <w:ind w:left="1780"/>
        <w:jc w:val="both"/>
      </w:pPr>
      <w:r>
        <w:rPr>
          <w:rFonts w:hint="eastAsia" w:ascii="ºÚÌå" w:hAnsi="ºÚÌå" w:eastAsia="ºÚÌå" w:cs="ºÚÌå"/>
          <w:b/>
          <w:sz w:val="21"/>
        </w:rPr>
        <w:t>第十</w:t>
      </w:r>
      <w:r>
        <w:rPr>
          <w:rFonts w:hint="eastAsia" w:ascii="ºÚÌå" w:hAnsi="ºÚÌå" w:eastAsia="ºÚÌå" w:cs="ºÚÌå"/>
          <w:b/>
          <w:sz w:val="20"/>
        </w:rPr>
        <w:t>一</w:t>
      </w:r>
      <w:r>
        <w:rPr>
          <w:rFonts w:hint="eastAsia" w:ascii="ºÚÌå" w:hAnsi="ºÚÌå" w:eastAsia="ºÚÌå" w:cs="ºÚÌå"/>
          <w:b/>
          <w:sz w:val="21"/>
        </w:rPr>
        <w:t>节</w:t>
      </w:r>
      <w:r>
        <w:rPr>
          <w:rFonts w:hint="eastAsia" w:ascii="ºÚÌå" w:hAnsi="ºÚÌå" w:eastAsia="ºÚÌå" w:cs="ºÚÌå"/>
          <w:b/>
          <w:sz w:val="21"/>
        </w:rPr>
        <w:t xml:space="preserve"> </w:t>
      </w:r>
      <w:r>
        <w:rPr>
          <w:rFonts w:hint="eastAsia" w:ascii="ºÚÌå" w:hAnsi="ºÚÌå" w:eastAsia="ºÚÌå" w:cs="ºÚÌå"/>
          <w:b/>
          <w:sz w:val="21"/>
        </w:rPr>
        <w:t>管理层讨论与分析</w:t>
      </w:r>
      <w:r>
        <w:rPr>
          <w:rFonts w:hint="eastAsia" w:ascii="Times New Roman Bold" w:hAnsi="Times New Roman Bold" w:eastAsia="Times New Roman Bold" w:cs="Times New Roman Bold"/>
          <w:b/>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254</w:t>
      </w:r>
    </w:p>
    <w:p>
      <w:pPr>
        <w:spacing w:line="200" w:lineRule="exact"/>
        <w:rPr>
          <w:rFonts w:hint="eastAsia" w:ascii="宋体" w:hAnsi="宋体" w:eastAsia="宋体" w:cs="宋体"/>
          <w:sz w:val="20"/>
        </w:rPr>
      </w:pPr>
    </w:p>
    <w:p>
      <w:pPr>
        <w:tabs>
          <w:tab w:val="left" w:leader="dot" w:pos="9740"/>
        </w:tabs>
        <w:autoSpaceDE w:val="false"/>
        <w:autoSpaceDN w:val="false"/>
        <w:spacing w:line="240" w:lineRule="exact"/>
        <w:ind w:left="2000"/>
        <w:jc w:val="both"/>
      </w:pPr>
      <w:r>
        <w:rPr>
          <w:rFonts w:hint="eastAsia" w:ascii="ºÚÌå" w:hAnsi="ºÚÌå" w:eastAsia="ºÚÌå" w:cs="ºÚÌå"/>
          <w:sz w:val="10"/>
        </w:rPr>
        <w:t>一、</w:t>
      </w:r>
      <w:r>
        <w:rPr>
          <w:rFonts w:hint="eastAsia" w:ascii="ºÚÌå" w:hAnsi="ºÚÌå" w:eastAsia="ºÚÌå" w:cs="ºÚÌå"/>
          <w:sz w:val="21"/>
        </w:rPr>
        <w:t>财务状况分析</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254</w:t>
      </w:r>
    </w:p>
    <w:p>
      <w:pPr>
        <w:tabs>
          <w:tab w:val="left" w:leader="dot" w:pos="9740"/>
        </w:tabs>
        <w:autoSpaceDE w:val="false"/>
        <w:autoSpaceDN w:val="false"/>
        <w:spacing w:line="300" w:lineRule="exact"/>
        <w:ind w:left="2000"/>
        <w:jc w:val="both"/>
      </w:pPr>
      <w:r>
        <w:rPr>
          <w:rFonts w:hint="eastAsia" w:ascii="ºÚÌå" w:hAnsi="ºÚÌå" w:eastAsia="ºÚÌå" w:cs="ºÚÌå"/>
          <w:sz w:val="20"/>
        </w:rPr>
        <w:t>二、</w:t>
      </w:r>
      <w:r>
        <w:rPr>
          <w:rFonts w:hint="eastAsia" w:ascii="ºÚÌå" w:hAnsi="ºÚÌå" w:eastAsia="ºÚÌå" w:cs="ºÚÌå"/>
          <w:sz w:val="21"/>
        </w:rPr>
        <w:t>盈利能力分析</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269</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现金流量分析</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289</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资本性支出分析</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290</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五</w:t>
      </w:r>
      <w:r>
        <w:rPr>
          <w:rFonts w:hint="eastAsia" w:ascii="ºÚÌå" w:hAnsi="ºÚÌå" w:eastAsia="ºÚÌå" w:cs="ºÚÌå"/>
          <w:sz w:val="10"/>
        </w:rPr>
        <w:t>、</w:t>
      </w:r>
      <w:r>
        <w:rPr>
          <w:rFonts w:hint="eastAsia" w:ascii="ºÚÌå" w:hAnsi="ºÚÌå" w:eastAsia="ºÚÌå" w:cs="ºÚÌå"/>
          <w:sz w:val="21"/>
        </w:rPr>
        <w:t>担保</w:t>
      </w:r>
      <w:r>
        <w:rPr>
          <w:rFonts w:hint="eastAsia" w:ascii="ºÚÌå" w:hAnsi="ºÚÌå" w:eastAsia="ºÚÌå" w:cs="ºÚÌå"/>
          <w:sz w:val="10"/>
        </w:rPr>
        <w:t>、</w:t>
      </w:r>
      <w:r>
        <w:rPr>
          <w:rFonts w:hint="eastAsia" w:ascii="ºÚÌå" w:hAnsi="ºÚÌå" w:eastAsia="ºÚÌå" w:cs="ºÚÌå"/>
          <w:sz w:val="21"/>
        </w:rPr>
        <w:t>诉讼</w:t>
      </w:r>
      <w:r>
        <w:rPr>
          <w:rFonts w:hint="eastAsia" w:ascii="ºÚÌå" w:hAnsi="ºÚÌå" w:eastAsia="ºÚÌå" w:cs="ºÚÌå"/>
          <w:sz w:val="10"/>
        </w:rPr>
        <w:t>、</w:t>
      </w:r>
      <w:r>
        <w:rPr>
          <w:rFonts w:hint="eastAsia" w:ascii="ºÚÌå" w:hAnsi="ºÚÌå" w:eastAsia="ºÚÌå" w:cs="ºÚÌå"/>
          <w:sz w:val="21"/>
        </w:rPr>
        <w:t>其他或有事项和重大期后事项</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291</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六</w:t>
      </w:r>
      <w:r>
        <w:rPr>
          <w:rFonts w:hint="eastAsia" w:ascii="ºÚÌå" w:hAnsi="ºÚÌå" w:eastAsia="ºÚÌå" w:cs="ºÚÌå"/>
          <w:sz w:val="10"/>
        </w:rPr>
        <w:t>、</w:t>
      </w:r>
      <w:r>
        <w:rPr>
          <w:rFonts w:hint="eastAsia" w:ascii="ºÚÌå" w:hAnsi="ºÚÌå" w:eastAsia="ºÚÌå" w:cs="ºÚÌå"/>
          <w:sz w:val="21"/>
        </w:rPr>
        <w:t>财务状况和盈利能力未来趋势分析</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291</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七</w:t>
      </w:r>
      <w:r>
        <w:rPr>
          <w:rFonts w:hint="eastAsia" w:ascii="ºÚÌå" w:hAnsi="ºÚÌå" w:eastAsia="ºÚÌå" w:cs="ºÚÌå"/>
          <w:sz w:val="10"/>
        </w:rPr>
        <w:t>、</w:t>
      </w:r>
      <w:r>
        <w:rPr>
          <w:rFonts w:hint="eastAsia" w:ascii="ºÚÌå" w:hAnsi="ºÚÌå" w:eastAsia="ºÚÌå" w:cs="ºÚÌå"/>
          <w:sz w:val="21"/>
        </w:rPr>
        <w:t>股东未来分红回报分析</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292</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八</w:t>
      </w:r>
      <w:r>
        <w:rPr>
          <w:rFonts w:hint="eastAsia" w:ascii="ºÚÌå" w:hAnsi="ºÚÌå" w:eastAsia="ºÚÌå" w:cs="ºÚÌå"/>
          <w:sz w:val="10"/>
        </w:rPr>
        <w:t>、</w:t>
      </w:r>
      <w:r>
        <w:rPr>
          <w:rFonts w:hint="eastAsia" w:ascii="ºÚÌå" w:hAnsi="ºÚÌå" w:eastAsia="ºÚÌå" w:cs="ºÚÌå"/>
          <w:sz w:val="21"/>
        </w:rPr>
        <w:t>本次募集资金到位当年发行人每股收益相对上年度每股收益的变动趋势</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292</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九</w:t>
      </w:r>
      <w:r>
        <w:rPr>
          <w:rFonts w:hint="eastAsia" w:ascii="ºÚÌå" w:hAnsi="ºÚÌå" w:eastAsia="ºÚÌå" w:cs="ºÚÌå"/>
          <w:sz w:val="10"/>
        </w:rPr>
        <w:t>、</w:t>
      </w:r>
      <w:r>
        <w:rPr>
          <w:rFonts w:hint="eastAsia" w:ascii="ºÚÌå" w:hAnsi="ºÚÌå" w:eastAsia="ºÚÌå" w:cs="ºÚÌå"/>
          <w:sz w:val="21"/>
        </w:rPr>
        <w:t>填补被摊薄即期回报的措施及承诺</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294</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十</w:t>
      </w:r>
      <w:r>
        <w:rPr>
          <w:rFonts w:hint="eastAsia" w:ascii="ºÚÌå" w:hAnsi="ºÚÌå" w:eastAsia="ºÚÌå" w:cs="ºÚÌå"/>
          <w:sz w:val="10"/>
        </w:rPr>
        <w:t>、</w:t>
      </w:r>
      <w:r>
        <w:rPr>
          <w:rFonts w:hint="eastAsia" w:ascii="ºÚÌå" w:hAnsi="ºÚÌå" w:eastAsia="ºÚÌå" w:cs="ºÚÌå"/>
          <w:sz w:val="21"/>
        </w:rPr>
        <w:t>财务报告审计截止日后主要经营情况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296</w:t>
      </w:r>
    </w:p>
    <w:p>
      <w:pPr>
        <w:spacing w:line="200" w:lineRule="exact"/>
        <w:rPr>
          <w:rFonts w:hint="eastAsia" w:ascii="宋体" w:hAnsi="宋体" w:eastAsia="宋体" w:cs="宋体"/>
          <w:sz w:val="20"/>
        </w:rPr>
      </w:pPr>
    </w:p>
    <w:p>
      <w:pPr>
        <w:tabs>
          <w:tab w:val="left" w:leader="dot" w:pos="9760"/>
        </w:tabs>
        <w:autoSpaceDE w:val="false"/>
        <w:autoSpaceDN w:val="false"/>
        <w:spacing w:line="240" w:lineRule="exact"/>
        <w:ind w:left="1780"/>
        <w:jc w:val="both"/>
      </w:pPr>
      <w:r>
        <w:rPr>
          <w:rFonts w:hint="eastAsia" w:ascii="ºÚÌå" w:hAnsi="ºÚÌå" w:eastAsia="ºÚÌå" w:cs="ºÚÌå"/>
          <w:b/>
          <w:sz w:val="21"/>
        </w:rPr>
        <w:t>第十</w:t>
      </w:r>
      <w:r>
        <w:rPr>
          <w:rFonts w:hint="eastAsia" w:ascii="ºÚÌå" w:hAnsi="ºÚÌå" w:eastAsia="ºÚÌå" w:cs="ºÚÌå"/>
          <w:b/>
          <w:sz w:val="20"/>
        </w:rPr>
        <w:t>二</w:t>
      </w:r>
      <w:r>
        <w:rPr>
          <w:rFonts w:hint="eastAsia" w:ascii="ºÚÌå" w:hAnsi="ºÚÌå" w:eastAsia="ºÚÌå" w:cs="ºÚÌå"/>
          <w:b/>
          <w:sz w:val="21"/>
        </w:rPr>
        <w:t>节</w:t>
      </w:r>
      <w:r>
        <w:rPr>
          <w:rFonts w:hint="eastAsia" w:ascii="ºÚÌå" w:hAnsi="ºÚÌå" w:eastAsia="ºÚÌå" w:cs="ºÚÌå"/>
          <w:b/>
          <w:sz w:val="21"/>
        </w:rPr>
        <w:t xml:space="preserve"> </w:t>
      </w:r>
      <w:r>
        <w:rPr>
          <w:rFonts w:hint="eastAsia" w:ascii="ºÚÌå" w:hAnsi="ºÚÌå" w:eastAsia="ºÚÌå" w:cs="ºÚÌå"/>
          <w:b/>
          <w:sz w:val="21"/>
        </w:rPr>
        <w:t>业务发展目标</w:t>
      </w:r>
      <w:r>
        <w:rPr>
          <w:rFonts w:hint="eastAsia" w:ascii="Times New Roman Bold" w:hAnsi="Times New Roman Bold" w:eastAsia="Times New Roman Bold" w:cs="Times New Roman Bold"/>
          <w:b/>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300</w:t>
      </w:r>
    </w:p>
    <w:p>
      <w:pPr>
        <w:spacing w:line="200" w:lineRule="exact"/>
        <w:rPr>
          <w:rFonts w:hint="eastAsia" w:ascii="宋体" w:hAnsi="宋体" w:eastAsia="宋体" w:cs="宋体"/>
          <w:sz w:val="20"/>
        </w:rPr>
      </w:pPr>
    </w:p>
    <w:p>
      <w:pPr>
        <w:tabs>
          <w:tab w:val="left" w:leader="dot" w:pos="9740"/>
        </w:tabs>
        <w:autoSpaceDE w:val="false"/>
        <w:autoSpaceDN w:val="false"/>
        <w:spacing w:line="220" w:lineRule="exact"/>
        <w:ind w:left="2000"/>
        <w:jc w:val="both"/>
      </w:pPr>
      <w:r>
        <w:rPr>
          <w:rFonts w:hint="eastAsia" w:ascii="ºÚÌå" w:hAnsi="ºÚÌå" w:eastAsia="ºÚÌå" w:cs="ºÚÌå"/>
          <w:sz w:val="20"/>
        </w:rPr>
        <w:t>一、</w:t>
      </w:r>
      <w:r>
        <w:rPr>
          <w:rFonts w:hint="eastAsia" w:ascii="ºÚÌå" w:hAnsi="ºÚÌå" w:eastAsia="ºÚÌå" w:cs="ºÚÌå"/>
          <w:sz w:val="21"/>
        </w:rPr>
        <w:t>公司发展规划及目标</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300</w:t>
      </w:r>
    </w:p>
    <w:p>
      <w:pPr>
        <w:tabs>
          <w:tab w:val="left" w:leader="dot" w:pos="974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拟定上述计划依据的条件和面临的主要困难</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303</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上述发展计划与现有业务的关系</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304</w:t>
      </w:r>
    </w:p>
    <w:p>
      <w:pPr>
        <w:spacing w:line="200" w:lineRule="exact"/>
        <w:rPr>
          <w:rFonts w:hint="eastAsia" w:ascii="宋体" w:hAnsi="宋体" w:eastAsia="宋体" w:cs="宋体"/>
          <w:sz w:val="20"/>
        </w:rPr>
      </w:pPr>
    </w:p>
    <w:p>
      <w:pPr>
        <w:tabs>
          <w:tab w:val="left" w:leader="dot" w:pos="9760"/>
        </w:tabs>
        <w:autoSpaceDE w:val="false"/>
        <w:autoSpaceDN w:val="false"/>
        <w:spacing w:line="220" w:lineRule="exact"/>
        <w:ind w:left="1780"/>
        <w:jc w:val="both"/>
      </w:pPr>
      <w:r>
        <w:rPr>
          <w:rFonts w:hint="eastAsia" w:ascii="ºÚÌå" w:hAnsi="ºÚÌå" w:eastAsia="ºÚÌå" w:cs="ºÚÌå"/>
          <w:b/>
          <w:sz w:val="21"/>
        </w:rPr>
        <w:t>第十三节</w:t>
      </w:r>
      <w:r>
        <w:rPr>
          <w:rFonts w:hint="eastAsia" w:ascii="ºÚÌå" w:hAnsi="ºÚÌå" w:eastAsia="ºÚÌå" w:cs="ºÚÌå"/>
          <w:b/>
          <w:sz w:val="21"/>
        </w:rPr>
        <w:t xml:space="preserve"> </w:t>
      </w:r>
      <w:r>
        <w:rPr>
          <w:rFonts w:hint="eastAsia" w:ascii="ºÚÌå" w:hAnsi="ºÚÌå" w:eastAsia="ºÚÌå" w:cs="ºÚÌå"/>
          <w:b/>
          <w:sz w:val="21"/>
        </w:rPr>
        <w:t>募集资金运用</w:t>
      </w:r>
      <w:r>
        <w:rPr>
          <w:rFonts w:hint="eastAsia" w:ascii="Times New Roman Bold" w:hAnsi="Times New Roman Bold" w:eastAsia="Times New Roman Bold" w:cs="Times New Roman Bold"/>
          <w:b/>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305</w:t>
      </w:r>
    </w:p>
    <w:p>
      <w:pPr>
        <w:spacing w:line="200" w:lineRule="exact"/>
        <w:rPr>
          <w:rFonts w:hint="eastAsia" w:ascii="宋体" w:hAnsi="宋体" w:eastAsia="宋体" w:cs="宋体"/>
          <w:sz w:val="20"/>
        </w:rPr>
      </w:pPr>
    </w:p>
    <w:p>
      <w:pPr>
        <w:tabs>
          <w:tab w:val="left" w:leader="dot" w:pos="9740"/>
        </w:tabs>
        <w:autoSpaceDE w:val="false"/>
        <w:autoSpaceDN w:val="false"/>
        <w:spacing w:line="240" w:lineRule="exact"/>
        <w:ind w:left="2000"/>
        <w:jc w:val="both"/>
      </w:pPr>
      <w:r>
        <w:rPr>
          <w:rFonts w:hint="eastAsia" w:ascii="ºÚÌå" w:hAnsi="ºÚÌå" w:eastAsia="ºÚÌå" w:cs="ºÚÌå"/>
          <w:sz w:val="20"/>
        </w:rPr>
        <w:t>一、</w:t>
      </w:r>
      <w:r>
        <w:rPr>
          <w:rFonts w:hint="eastAsia" w:ascii="ºÚÌå" w:hAnsi="ºÚÌå" w:eastAsia="ºÚÌå" w:cs="ºÚÌå"/>
          <w:sz w:val="21"/>
        </w:rPr>
        <w:t>募集资金投资项目概况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305</w:t>
      </w:r>
    </w:p>
    <w:p>
      <w:pPr>
        <w:tabs>
          <w:tab w:val="left" w:leader="dot" w:pos="9740"/>
        </w:tabs>
        <w:autoSpaceDE w:val="false"/>
        <w:autoSpaceDN w:val="false"/>
        <w:spacing w:line="300" w:lineRule="exact"/>
        <w:ind w:left="2000"/>
        <w:jc w:val="both"/>
      </w:pPr>
      <w:r>
        <w:rPr>
          <w:rFonts w:hint="eastAsia" w:ascii="ºÚÌå" w:hAnsi="ºÚÌå" w:eastAsia="ºÚÌå" w:cs="ºÚÌå"/>
          <w:sz w:val="20"/>
        </w:rPr>
        <w:t>二、</w:t>
      </w:r>
      <w:r>
        <w:rPr>
          <w:rFonts w:hint="eastAsia" w:ascii="ºÚÌå" w:hAnsi="ºÚÌå" w:eastAsia="ºÚÌå" w:cs="ºÚÌå"/>
          <w:sz w:val="21"/>
        </w:rPr>
        <w:t>募集资金投资项目的可行性</w:t>
      </w:r>
      <w:r>
        <w:rPr>
          <w:rFonts w:hint="eastAsia" w:ascii="ºÚÌå" w:hAnsi="ºÚÌå" w:eastAsia="ºÚÌå" w:cs="ºÚÌå"/>
          <w:sz w:val="10"/>
        </w:rPr>
        <w:t>、</w:t>
      </w:r>
      <w:r>
        <w:rPr>
          <w:rFonts w:hint="eastAsia" w:ascii="ºÚÌå" w:hAnsi="ºÚÌå" w:eastAsia="ºÚÌå" w:cs="ºÚÌå"/>
          <w:sz w:val="21"/>
        </w:rPr>
        <w:t>必要性和市场前景分析</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306</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募集资金投资项目具体情况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311</w:t>
      </w:r>
    </w:p>
    <w:p>
      <w:pPr>
        <w:spacing w:line="200" w:lineRule="exact"/>
        <w:rPr>
          <w:rFonts w:hint="eastAsia" w:ascii="宋体" w:hAnsi="宋体" w:eastAsia="宋体" w:cs="宋体"/>
          <w:sz w:val="20"/>
        </w:rPr>
      </w:pPr>
    </w:p>
    <w:p>
      <w:pPr>
        <w:tabs>
          <w:tab w:val="left" w:leader="dot" w:pos="9760"/>
        </w:tabs>
        <w:autoSpaceDE w:val="false"/>
        <w:autoSpaceDN w:val="false"/>
        <w:spacing w:line="240" w:lineRule="exact"/>
        <w:ind w:left="1780"/>
        <w:jc w:val="both"/>
      </w:pPr>
      <w:r>
        <w:rPr>
          <w:rFonts w:hint="eastAsia" w:ascii="ºÚÌå" w:hAnsi="ºÚÌå" w:eastAsia="ºÚÌå" w:cs="ºÚÌå"/>
          <w:b/>
          <w:sz w:val="21"/>
        </w:rPr>
        <w:t>第十四节</w:t>
      </w:r>
      <w:r>
        <w:rPr>
          <w:rFonts w:hint="eastAsia" w:ascii="ºÚÌå" w:hAnsi="ºÚÌå" w:eastAsia="ºÚÌå" w:cs="ºÚÌå"/>
          <w:b/>
          <w:sz w:val="21"/>
        </w:rPr>
        <w:t xml:space="preserve">  </w:t>
      </w:r>
      <w:r>
        <w:rPr>
          <w:rFonts w:hint="eastAsia" w:ascii="ºÚÌå" w:hAnsi="ºÚÌå" w:eastAsia="ºÚÌå" w:cs="ºÚÌå"/>
          <w:b/>
          <w:sz w:val="21"/>
        </w:rPr>
        <w:t>股利分配政策</w:t>
      </w:r>
      <w:r>
        <w:rPr>
          <w:rFonts w:hint="eastAsia" w:ascii="Times New Roman Bold" w:hAnsi="Times New Roman Bold" w:eastAsia="Times New Roman Bold" w:cs="Times New Roman Bold"/>
          <w:b/>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321</w:t>
      </w:r>
    </w:p>
    <w:p>
      <w:pPr>
        <w:spacing w:line="200" w:lineRule="exact"/>
        <w:rPr>
          <w:rFonts w:hint="eastAsia" w:ascii="宋体" w:hAnsi="宋体" w:eastAsia="宋体" w:cs="宋体"/>
          <w:sz w:val="20"/>
        </w:rPr>
      </w:pPr>
    </w:p>
    <w:p>
      <w:pPr>
        <w:tabs>
          <w:tab w:val="left" w:leader="dot" w:pos="9740"/>
        </w:tabs>
        <w:autoSpaceDE w:val="false"/>
        <w:autoSpaceDN w:val="false"/>
        <w:spacing w:line="220" w:lineRule="exact"/>
        <w:ind w:left="2000"/>
        <w:jc w:val="both"/>
      </w:pPr>
      <w:r>
        <w:rPr>
          <w:rFonts w:hint="eastAsia" w:ascii="ºÚÌå" w:hAnsi="ºÚÌå" w:eastAsia="ºÚÌå" w:cs="ºÚÌå"/>
          <w:sz w:val="20"/>
        </w:rPr>
        <w:t>一、</w:t>
      </w:r>
      <w:r>
        <w:rPr>
          <w:rFonts w:hint="eastAsia" w:ascii="ºÚÌå" w:hAnsi="ºÚÌå" w:eastAsia="ºÚÌå" w:cs="ºÚÌå"/>
          <w:sz w:val="21"/>
        </w:rPr>
        <w:t>报告期内股利分配政策</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321</w:t>
      </w:r>
    </w:p>
    <w:p>
      <w:pPr>
        <w:tabs>
          <w:tab w:val="left" w:leader="dot" w:pos="974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报告期内实际股利分配情况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321</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本次发行后的股利分配政策</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321</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本次发行前滚存利润的分配</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324</w:t>
      </w:r>
    </w:p>
    <w:p>
      <w:pPr>
        <w:spacing w:line="200" w:lineRule="exact"/>
        <w:rPr>
          <w:rFonts w:hint="eastAsia" w:ascii="宋体" w:hAnsi="宋体" w:eastAsia="宋体" w:cs="宋体"/>
          <w:sz w:val="20"/>
        </w:rPr>
      </w:pPr>
    </w:p>
    <w:p>
      <w:pPr>
        <w:tabs>
          <w:tab w:val="left" w:leader="dot" w:pos="9760"/>
        </w:tabs>
        <w:autoSpaceDE w:val="false"/>
        <w:autoSpaceDN w:val="false"/>
        <w:spacing w:line="240" w:lineRule="exact"/>
        <w:ind w:left="1780"/>
        <w:jc w:val="both"/>
      </w:pPr>
      <w:r>
        <w:rPr>
          <w:rFonts w:hint="eastAsia" w:ascii="ºÚÌå" w:hAnsi="ºÚÌå" w:eastAsia="ºÚÌå" w:cs="ºÚÌå"/>
          <w:b/>
          <w:sz w:val="21"/>
        </w:rPr>
        <w:t>第十五节</w:t>
      </w:r>
      <w:r>
        <w:rPr>
          <w:rFonts w:hint="eastAsia" w:ascii="ºÚÌå" w:hAnsi="ºÚÌå" w:eastAsia="ºÚÌå" w:cs="ºÚÌå"/>
          <w:b/>
          <w:sz w:val="21"/>
        </w:rPr>
        <w:t xml:space="preserve"> </w:t>
      </w:r>
      <w:r>
        <w:rPr>
          <w:rFonts w:hint="eastAsia" w:ascii="ºÚÌå" w:hAnsi="ºÚÌå" w:eastAsia="ºÚÌå" w:cs="ºÚÌå"/>
          <w:b/>
          <w:sz w:val="21"/>
        </w:rPr>
        <w:t>其他重要事项</w:t>
      </w:r>
      <w:r>
        <w:rPr>
          <w:rFonts w:hint="eastAsia" w:ascii="Times New Roman Bold" w:hAnsi="Times New Roman Bold" w:eastAsia="Times New Roman Bold" w:cs="Times New Roman Bold"/>
          <w:b/>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325</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1-1-21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dot" w:pos="9740"/>
        </w:tabs>
        <w:autoSpaceDE w:val="false"/>
        <w:autoSpaceDN w:val="false"/>
        <w:spacing w:line="200" w:lineRule="exact"/>
        <w:ind w:left="2000"/>
        <w:jc w:val="both"/>
      </w:pPr>
      <w:r>
        <w:rPr>
          <w:rFonts w:hint="eastAsia" w:ascii="ºÚÌå" w:hAnsi="ºÚÌå" w:eastAsia="ºÚÌå" w:cs="ºÚÌå"/>
          <w:sz w:val="20"/>
        </w:rPr>
        <w:t>一、</w:t>
      </w:r>
      <w:r>
        <w:rPr>
          <w:rFonts w:hint="eastAsia" w:ascii="ºÚÌå" w:hAnsi="ºÚÌå" w:eastAsia="ºÚÌå" w:cs="ºÚÌå"/>
          <w:sz w:val="21"/>
        </w:rPr>
        <w:t>信息披露制度及投资者服务计划</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325</w:t>
      </w:r>
    </w:p>
    <w:p>
      <w:pPr>
        <w:tabs>
          <w:tab w:val="left" w:leader="dot" w:pos="974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重要合同</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326</w:t>
      </w:r>
    </w:p>
    <w:p>
      <w:pPr>
        <w:tabs>
          <w:tab w:val="left" w:leader="dot" w:pos="9740"/>
        </w:tabs>
        <w:autoSpaceDE w:val="false"/>
        <w:autoSpaceDN w:val="false"/>
        <w:spacing w:line="30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对外担保</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326</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四</w:t>
      </w:r>
      <w:r>
        <w:rPr>
          <w:rFonts w:hint="eastAsia" w:ascii="ºÚÌå" w:hAnsi="ºÚÌå" w:eastAsia="ºÚÌå" w:cs="ºÚÌå"/>
          <w:sz w:val="10"/>
        </w:rPr>
        <w:t>、</w:t>
      </w:r>
      <w:r>
        <w:rPr>
          <w:rFonts w:hint="eastAsia" w:ascii="ºÚÌå" w:hAnsi="ºÚÌå" w:eastAsia="ºÚÌå" w:cs="ºÚÌå"/>
          <w:sz w:val="21"/>
        </w:rPr>
        <w:t>重大诉讼或仲裁事项</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326</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五</w:t>
      </w:r>
      <w:r>
        <w:rPr>
          <w:rFonts w:hint="eastAsia" w:ascii="ºÚÌå" w:hAnsi="ºÚÌå" w:eastAsia="ºÚÌå" w:cs="ºÚÌå"/>
          <w:sz w:val="10"/>
        </w:rPr>
        <w:t>、</w:t>
      </w:r>
      <w:r>
        <w:rPr>
          <w:rFonts w:hint="eastAsia" w:ascii="ºÚÌå" w:hAnsi="ºÚÌå" w:eastAsia="ºÚÌå" w:cs="ºÚÌå"/>
          <w:sz w:val="21"/>
        </w:rPr>
        <w:t>发行人及其子公司的合规情况</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327</w:t>
      </w:r>
    </w:p>
    <w:p>
      <w:pPr>
        <w:spacing w:line="200" w:lineRule="exact"/>
        <w:rPr>
          <w:rFonts w:hint="eastAsia" w:ascii="宋体" w:hAnsi="宋体" w:eastAsia="宋体" w:cs="宋体"/>
          <w:sz w:val="20"/>
        </w:rPr>
      </w:pPr>
    </w:p>
    <w:p>
      <w:pPr>
        <w:tabs>
          <w:tab w:val="left" w:leader="dot" w:pos="9760"/>
        </w:tabs>
        <w:autoSpaceDE w:val="false"/>
        <w:autoSpaceDN w:val="false"/>
        <w:spacing w:line="220" w:lineRule="exact"/>
        <w:ind w:left="1780"/>
        <w:jc w:val="both"/>
      </w:pPr>
      <w:r>
        <w:rPr>
          <w:rFonts w:hint="eastAsia" w:ascii="ºÚÌå" w:hAnsi="ºÚÌå" w:eastAsia="ºÚÌå" w:cs="ºÚÌå"/>
          <w:b/>
          <w:sz w:val="21"/>
        </w:rPr>
        <w:t>第十六节</w:t>
      </w:r>
      <w:r>
        <w:rPr>
          <w:rFonts w:hint="eastAsia" w:ascii="ºÚÌå" w:hAnsi="ºÚÌå" w:eastAsia="ºÚÌå" w:cs="ºÚÌå"/>
          <w:b/>
          <w:sz w:val="21"/>
        </w:rPr>
        <w:t xml:space="preserve"> </w:t>
      </w:r>
      <w:r>
        <w:rPr>
          <w:rFonts w:hint="eastAsia" w:ascii="ºÚÌå" w:hAnsi="ºÚÌå" w:eastAsia="ºÚÌå" w:cs="ºÚÌå"/>
          <w:b/>
          <w:sz w:val="21"/>
        </w:rPr>
        <w:t>董事</w:t>
      </w:r>
      <w:r>
        <w:rPr>
          <w:rFonts w:hint="eastAsia" w:ascii="ºÚÌå" w:hAnsi="ºÚÌå" w:eastAsia="ºÚÌå" w:cs="ºÚÌå"/>
          <w:b/>
          <w:sz w:val="10"/>
        </w:rPr>
        <w:t>、</w:t>
      </w:r>
      <w:r>
        <w:rPr>
          <w:rFonts w:hint="eastAsia" w:ascii="ºÚÌå" w:hAnsi="ºÚÌå" w:eastAsia="ºÚÌå" w:cs="ºÚÌå"/>
          <w:b/>
          <w:sz w:val="21"/>
        </w:rPr>
        <w:t>监事</w:t>
      </w:r>
      <w:r>
        <w:rPr>
          <w:rFonts w:hint="eastAsia" w:ascii="ºÚÌå" w:hAnsi="ºÚÌå" w:eastAsia="ºÚÌå" w:cs="ºÚÌå"/>
          <w:b/>
          <w:sz w:val="10"/>
        </w:rPr>
        <w:t>、</w:t>
      </w:r>
      <w:r>
        <w:rPr>
          <w:rFonts w:hint="eastAsia" w:ascii="ºÚÌå" w:hAnsi="ºÚÌå" w:eastAsia="ºÚÌå" w:cs="ºÚÌå"/>
          <w:b/>
          <w:sz w:val="21"/>
        </w:rPr>
        <w:t>高级管理人员及有关中介机构声明</w:t>
      </w:r>
      <w:r>
        <w:rPr>
          <w:rFonts w:hint="eastAsia" w:ascii="Times New Roman Bold" w:hAnsi="Times New Roman Bold" w:eastAsia="Times New Roman Bold" w:cs="Times New Roman Bold"/>
          <w:b/>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328</w:t>
      </w:r>
    </w:p>
    <w:p>
      <w:pPr>
        <w:spacing w:line="200" w:lineRule="exact"/>
        <w:rPr>
          <w:rFonts w:hint="eastAsia" w:ascii="宋体" w:hAnsi="宋体" w:eastAsia="宋体" w:cs="宋体"/>
          <w:sz w:val="20"/>
        </w:rPr>
      </w:pPr>
    </w:p>
    <w:p>
      <w:pPr>
        <w:tabs>
          <w:tab w:val="left" w:leader="dot" w:pos="9760"/>
        </w:tabs>
        <w:autoSpaceDE w:val="false"/>
        <w:autoSpaceDN w:val="false"/>
        <w:spacing w:line="240" w:lineRule="exact"/>
        <w:ind w:left="1780"/>
        <w:jc w:val="both"/>
      </w:pPr>
      <w:r>
        <w:rPr>
          <w:rFonts w:hint="eastAsia" w:ascii="ºÚÌå" w:hAnsi="ºÚÌå" w:eastAsia="ºÚÌå" w:cs="ºÚÌå"/>
          <w:b/>
          <w:sz w:val="21"/>
        </w:rPr>
        <w:t>第十七节</w:t>
      </w:r>
      <w:r>
        <w:rPr>
          <w:rFonts w:hint="eastAsia" w:ascii="ºÚÌå" w:hAnsi="ºÚÌå" w:eastAsia="ºÚÌå" w:cs="ºÚÌå"/>
          <w:b/>
          <w:sz w:val="21"/>
        </w:rPr>
        <w:t xml:space="preserve"> </w:t>
      </w:r>
      <w:r>
        <w:rPr>
          <w:rFonts w:hint="eastAsia" w:ascii="ºÚÌå" w:hAnsi="ºÚÌå" w:eastAsia="ºÚÌå" w:cs="ºÚÌå"/>
          <w:b/>
          <w:sz w:val="21"/>
        </w:rPr>
        <w:t>备查文件</w:t>
      </w:r>
      <w:r>
        <w:tab/>
      </w:r>
      <w:r>
        <w:rPr>
          <w:color w:val="ffffff"/>
          <w:sz w:val="0"/>
          <w14:textFill>
            <w14:solidFill>
              <w14:srgbClr w14:val="FFFFFF">
                <w14:alpha w14:val="100000"/>
              </w14:srgbClr>
            </w14:solidFill>
          </w14:textFill>
        </w:rPr>
        <w:t xml:space="preserve"> </w:t>
      </w:r>
      <w:r>
        <w:rPr>
          <w:rFonts w:hint="eastAsia" w:ascii="Times New Roman Bold" w:hAnsi="Times New Roman Bold" w:eastAsia="Times New Roman Bold" w:cs="Times New Roman Bold"/>
          <w:b/>
          <w:sz w:val="21"/>
        </w:rPr>
        <w:t xml:space="preserve"> 335</w:t>
      </w:r>
    </w:p>
    <w:p>
      <w:pPr>
        <w:spacing w:line="200" w:lineRule="exact"/>
        <w:rPr>
          <w:rFonts w:hint="eastAsia" w:ascii="宋体" w:hAnsi="宋体" w:eastAsia="宋体" w:cs="宋体"/>
          <w:sz w:val="20"/>
        </w:rPr>
      </w:pPr>
    </w:p>
    <w:p>
      <w:pPr>
        <w:tabs>
          <w:tab w:val="left" w:leader="dot" w:pos="9740"/>
        </w:tabs>
        <w:autoSpaceDE w:val="false"/>
        <w:autoSpaceDN w:val="false"/>
        <w:spacing w:line="220" w:lineRule="exact"/>
        <w:ind w:left="2000"/>
        <w:jc w:val="both"/>
      </w:pPr>
      <w:r>
        <w:rPr>
          <w:rFonts w:hint="eastAsia" w:ascii="ºÚÌå" w:hAnsi="ºÚÌå" w:eastAsia="ºÚÌå" w:cs="ºÚÌå"/>
          <w:sz w:val="20"/>
        </w:rPr>
        <w:t>一、</w:t>
      </w:r>
      <w:r>
        <w:rPr>
          <w:rFonts w:hint="eastAsia" w:ascii="ºÚÌå" w:hAnsi="ºÚÌå" w:eastAsia="ºÚÌå" w:cs="ºÚÌå"/>
          <w:sz w:val="21"/>
        </w:rPr>
        <w:t>备查文件</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335</w:t>
      </w:r>
    </w:p>
    <w:p>
      <w:pPr>
        <w:tabs>
          <w:tab w:val="left" w:leader="dot" w:pos="9740"/>
        </w:tabs>
        <w:autoSpaceDE w:val="false"/>
        <w:autoSpaceDN w:val="false"/>
        <w:spacing w:line="320" w:lineRule="exact"/>
        <w:ind w:left="2000"/>
        <w:jc w:val="both"/>
      </w:pPr>
      <w:r>
        <w:rPr>
          <w:rFonts w:hint="eastAsia" w:ascii="ºÚÌå" w:hAnsi="ºÚÌå" w:eastAsia="ºÚÌå" w:cs="ºÚÌå"/>
          <w:sz w:val="20"/>
        </w:rPr>
        <w:t>二、</w:t>
      </w:r>
      <w:r>
        <w:rPr>
          <w:rFonts w:hint="eastAsia" w:ascii="ºÚÌå" w:hAnsi="ºÚÌå" w:eastAsia="ºÚÌå" w:cs="ºÚÌå"/>
          <w:sz w:val="21"/>
        </w:rPr>
        <w:t>查阅时间</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335</w:t>
      </w:r>
    </w:p>
    <w:p>
      <w:pPr>
        <w:tabs>
          <w:tab w:val="left" w:leader="dot" w:pos="9740"/>
        </w:tabs>
        <w:autoSpaceDE w:val="false"/>
        <w:autoSpaceDN w:val="false"/>
        <w:spacing w:line="320" w:lineRule="exact"/>
        <w:ind w:left="2000"/>
        <w:jc w:val="both"/>
      </w:pPr>
      <w:r>
        <w:rPr>
          <w:rFonts w:hint="eastAsia" w:ascii="ºÚÌå" w:hAnsi="ºÚÌå" w:eastAsia="ºÚÌå" w:cs="ºÚÌå"/>
          <w:sz w:val="21"/>
        </w:rPr>
        <w:t>三</w:t>
      </w:r>
      <w:r>
        <w:rPr>
          <w:rFonts w:hint="eastAsia" w:ascii="ºÚÌå" w:hAnsi="ºÚÌå" w:eastAsia="ºÚÌå" w:cs="ºÚÌå"/>
          <w:sz w:val="10"/>
        </w:rPr>
        <w:t>、</w:t>
      </w:r>
      <w:r>
        <w:rPr>
          <w:rFonts w:hint="eastAsia" w:ascii="ºÚÌå" w:hAnsi="ºÚÌå" w:eastAsia="ºÚÌå" w:cs="ºÚÌå"/>
          <w:sz w:val="21"/>
        </w:rPr>
        <w:t>查阅地点</w:t>
      </w:r>
      <w:r>
        <w:rPr>
          <w:rFonts w:hint="eastAsia" w:ascii="Times New Roman" w:hAnsi="Times New Roman" w:eastAsia="Times New Roman" w:cs="Times New Roman"/>
          <w:sz w:val="21"/>
        </w:rPr>
        <w:t xml:space="preserve"> </w:t>
      </w:r>
      <w:r>
        <w:tab/>
      </w:r>
      <w:r>
        <w:rPr>
          <w:color w:val="ffffff"/>
          <w:sz w:val="0"/>
          <w14:textFill>
            <w14:solidFill>
              <w14:srgbClr w14:val="FFFFFF">
                <w14:alpha w14:val="100000"/>
              </w14:srgbClr>
            </w14:solidFill>
          </w14:textFill>
        </w:rPr>
        <w:t xml:space="preserve"> </w:t>
      </w:r>
      <w:r>
        <w:rPr>
          <w:rFonts w:hint="eastAsia" w:ascii="Times New Roman" w:hAnsi="Times New Roman" w:eastAsia="Times New Roman" w:cs="Times New Roman"/>
          <w:sz w:val="21"/>
        </w:rPr>
        <w:t xml:space="preserve"> 335</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60"/>
        <w:jc w:val="both"/>
      </w:pPr>
      <w:r>
        <w:rPr>
          <w:rFonts w:hint="eastAsia" w:ascii="Times New Roman" w:hAnsi="Times New Roman" w:eastAsia="Times New Roman" w:cs="Times New Roman"/>
          <w:sz w:val="21"/>
        </w:rPr>
        <w:t>1-1-22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40" w:lineRule="exact"/>
        <w:ind w:left="4940"/>
        <w:jc w:val="both"/>
      </w:pPr>
      <w:r>
        <w:rPr>
          <w:rFonts w:hint="eastAsia" w:ascii="ºÚÌå" w:hAnsi="ºÚÌå" w:eastAsia="ºÚÌå" w:cs="ºÚÌå"/>
          <w:b/>
          <w:sz w:val="36"/>
        </w:rPr>
        <w:t>第一节</w:t>
      </w:r>
      <w:r>
        <w:rPr>
          <w:rFonts w:hint="eastAsia" w:ascii="ºÚÌå" w:hAnsi="ºÚÌå" w:eastAsia="ºÚÌå" w:cs="ºÚÌå"/>
          <w:b/>
          <w:sz w:val="36"/>
        </w:rPr>
        <w:t xml:space="preserve"> </w:t>
      </w:r>
      <w:r>
        <w:rPr>
          <w:rFonts w:hint="eastAsia" w:ascii="ºÚÌå" w:hAnsi="ºÚÌå" w:eastAsia="ºÚÌå" w:cs="ºÚÌå"/>
          <w:b/>
          <w:sz w:val="36"/>
        </w:rPr>
        <w:t>释义</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60"/>
        <w:jc w:val="both"/>
      </w:pPr>
      <w:r>
        <w:rPr>
          <w:rFonts w:hint="eastAsia" w:ascii="宋体" w:hAnsi="宋体" w:eastAsia="宋体" w:cs="宋体"/>
          <w:sz w:val="24"/>
        </w:rPr>
        <w:t>在本招股说明书中</w:t>
      </w:r>
      <w:r>
        <w:rPr>
          <w:rFonts w:hint="eastAsia" w:ascii="宋体" w:hAnsi="宋体" w:eastAsia="宋体" w:cs="宋体"/>
          <w:sz w:val="10"/>
        </w:rPr>
        <w:t>，</w:t>
      </w:r>
      <w:r>
        <w:rPr>
          <w:rFonts w:hint="eastAsia" w:ascii="宋体" w:hAnsi="宋体" w:eastAsia="宋体" w:cs="宋体"/>
          <w:sz w:val="24"/>
        </w:rPr>
        <w:t>除上下文另有所指</w:t>
      </w:r>
      <w:r>
        <w:rPr>
          <w:rFonts w:hint="eastAsia" w:ascii="宋体" w:hAnsi="宋体" w:eastAsia="宋体" w:cs="宋体"/>
          <w:sz w:val="10"/>
        </w:rPr>
        <w:t>，</w:t>
      </w:r>
      <w:r>
        <w:rPr>
          <w:rFonts w:hint="eastAsia" w:ascii="宋体" w:hAnsi="宋体" w:eastAsia="宋体" w:cs="宋体"/>
          <w:sz w:val="24"/>
        </w:rPr>
        <w:t>下列简称具有如下含义</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780"/>
        <w:jc w:val="both"/>
      </w:pPr>
      <w:r>
        <w:rPr>
          <w:rFonts w:hint="eastAsia" w:ascii="ºÚÌå" w:hAnsi="ºÚÌå" w:eastAsia="ºÚÌå" w:cs="ºÚÌå"/>
          <w:sz w:val="24"/>
        </w:rPr>
        <w:t>一、</w:t>
      </w:r>
      <w:r>
        <w:rPr>
          <w:rFonts w:hint="eastAsia" w:ascii="ºÚÌå" w:hAnsi="ºÚÌå" w:eastAsia="ºÚÌå" w:cs="ºÚÌå"/>
          <w:sz w:val="24"/>
        </w:rPr>
        <w:t>缩略语</w:t>
      </w:r>
    </w:p>
    <w:p>
      <w:pPr>
        <w:sectPr>
          <w:type w:val="nextPage"/>
          <w:pgSz w:w="11900" w:h="16820"/>
          <w:pgMar w:top="0" w:right="0" w:bottom="0" w:left="0"/>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720" w:right="0"/>
        <w:jc w:val="both"/>
      </w:pPr>
      <w:r>
        <w:rPr>
          <w:rFonts w:hint="eastAsia" w:ascii="宋体" w:hAnsi="宋体" w:eastAsia="宋体" w:cs="宋体"/>
          <w:sz w:val="21"/>
        </w:rPr>
        <w:t>发行人</w:t>
      </w:r>
      <w:r>
        <w:rPr>
          <w:rFonts w:hint="eastAsia" w:ascii="宋体" w:hAnsi="宋体" w:eastAsia="宋体" w:cs="宋体"/>
          <w:sz w:val="10"/>
        </w:rPr>
        <w:t>、</w:t>
      </w:r>
      <w:r>
        <w:rPr>
          <w:rFonts w:hint="eastAsia" w:ascii="宋体" w:hAnsi="宋体" w:eastAsia="宋体" w:cs="宋体"/>
          <w:sz w:val="21"/>
        </w:rPr>
        <w:t>公司</w:t>
      </w:r>
      <w:r>
        <w:rPr>
          <w:rFonts w:hint="eastAsia" w:ascii="宋体" w:hAnsi="宋体" w:eastAsia="宋体" w:cs="宋体"/>
          <w:sz w:val="10"/>
        </w:rPr>
        <w:t>、</w:t>
      </w:r>
      <w:r>
        <w:rPr>
          <w:rFonts w:hint="eastAsia" w:ascii="宋体" w:hAnsi="宋体" w:eastAsia="宋体" w:cs="宋体"/>
          <w:sz w:val="21"/>
        </w:rPr>
        <w:t>本公司</w:t>
      </w:r>
      <w:r>
        <w:rPr>
          <w:rFonts w:hint="eastAsia" w:ascii="宋体" w:hAnsi="宋体" w:eastAsia="宋体" w:cs="宋体"/>
          <w:sz w:val="10"/>
        </w:rPr>
        <w:t>、</w:t>
      </w:r>
      <w:r>
        <w:rPr>
          <w:rFonts w:hint="eastAsia" w:ascii="宋体" w:hAnsi="宋体" w:eastAsia="宋体" w:cs="宋体"/>
          <w:sz w:val="21"/>
        </w:rPr>
        <w:t>顶点软件</w:t>
      </w:r>
    </w:p>
    <w:p>
      <w:pPr>
        <w:spacing w:line="200" w:lineRule="exact"/>
        <w:rPr>
          <w:rFonts w:hint="eastAsia" w:ascii="宋体" w:hAnsi="宋体" w:eastAsia="宋体" w:cs="宋体"/>
          <w:sz w:val="20"/>
        </w:rPr>
      </w:pPr>
      <w:r>
        <w:br w:type="column"/>
      </w:r>
    </w:p>
    <w:p>
      <w:pPr>
        <w:spacing w:line="200" w:lineRule="exact"/>
        <w:rPr>
          <w:rFonts w:hint="eastAsia" w:ascii="宋体" w:hAnsi="宋体" w:eastAsia="宋体" w:cs="宋体"/>
          <w:sz w:val="20"/>
        </w:rPr>
      </w:pPr>
    </w:p>
    <w:p>
      <w:pPr>
        <w:autoSpaceDE w:val="false"/>
        <w:autoSpaceDN w:val="false"/>
        <w:spacing w:line="340" w:lineRule="exact"/>
        <w:ind w:left="0"/>
        <w:jc w:val="both"/>
      </w:pPr>
      <w:r>
        <w:rPr>
          <w:rFonts w:hint="eastAsia" w:ascii="宋体" w:hAnsi="宋体" w:eastAsia="宋体" w:cs="宋体"/>
          <w:sz w:val="21"/>
        </w:rPr>
        <w:t>指 福建顶点软件股份有限公司</w:t>
      </w:r>
      <w:r>
        <w:rPr>
          <w:rFonts w:hint="eastAsia" w:ascii="宋体" w:hAnsi="宋体" w:eastAsia="宋体" w:cs="宋体"/>
          <w:sz w:val="10"/>
        </w:rPr>
        <w:t>，</w:t>
      </w:r>
      <w:r>
        <w:rPr>
          <w:rFonts w:hint="eastAsia" w:ascii="宋体" w:hAnsi="宋体" w:eastAsia="宋体" w:cs="宋体"/>
          <w:sz w:val="21"/>
        </w:rPr>
        <w:t>其前身为福州顶点计算机软件有</w:t>
      </w:r>
    </w:p>
    <w:p>
      <w:pPr>
        <w:autoSpaceDE w:val="false"/>
        <w:autoSpaceDN w:val="false"/>
        <w:spacing w:line="280" w:lineRule="exact"/>
        <w:ind w:left="440"/>
        <w:jc w:val="both"/>
      </w:pPr>
      <w:r>
        <w:rPr>
          <w:rFonts w:hint="eastAsia" w:ascii="宋体" w:hAnsi="宋体" w:eastAsia="宋体" w:cs="宋体"/>
          <w:sz w:val="21"/>
        </w:rPr>
        <w:t>限公司</w:t>
      </w:r>
    </w:p>
    <w:p>
      <w:pPr>
        <w:sectPr>
          <w:type w:val="continuous"/>
          <w:pgSz w:w="11900" w:h="16820"/>
          <w:pgMar w:top="0" w:right="0" w:bottom="0" w:left="0"/>
          <w:cols w:equalWidth="false" w:num="2" w:sep="false">
            <w:col w:w="3860" w:space="180"/>
            <w:col w:w="6300"/>
          </w:cols>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60" w:lineRule="exact"/>
        <w:ind w:left="1720"/>
        <w:jc w:val="both"/>
      </w:pPr>
      <w:r>
        <w:rPr>
          <w:rFonts w:hint="eastAsia" w:ascii="宋体" w:hAnsi="宋体" w:eastAsia="宋体" w:cs="宋体"/>
          <w:sz w:val="21"/>
        </w:rPr>
        <w:t>本次发行</w:t>
      </w:r>
      <w:r>
        <w:tab/>
      </w:r>
      <w:r>
        <w:rPr>
          <w:rFonts w:hint="eastAsia" w:ascii="宋体" w:hAnsi="宋体" w:eastAsia="宋体" w:cs="宋体"/>
          <w:sz w:val="21"/>
        </w:rPr>
        <w:t>指 本公司首次公开发行不超过</w:t>
      </w:r>
      <w:r>
        <w:rPr>
          <w:rFonts w:hint="eastAsia" w:ascii="Times New Roman" w:hAnsi="Times New Roman" w:eastAsia="Times New Roman" w:cs="Times New Roman"/>
          <w:sz w:val="21"/>
        </w:rPr>
        <w:t xml:space="preserve"> 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105</w:t>
      </w:r>
      <w:r>
        <w:rPr>
          <w:rFonts w:hint="eastAsia" w:ascii="宋体" w:hAnsi="宋体" w:eastAsia="宋体" w:cs="宋体"/>
          <w:sz w:val="21"/>
        </w:rPr>
        <w:t xml:space="preserve"> 万股社会公众股</w:t>
      </w:r>
      <w:r>
        <w:rPr>
          <w:rFonts w:hint="eastAsia" w:ascii="Times New Roman" w:hAnsi="Times New Roman" w:eastAsia="Times New Roman" w:cs="Times New Roman"/>
          <w:sz w:val="21"/>
        </w:rPr>
        <w:t xml:space="preserve"> A</w:t>
      </w:r>
      <w:r>
        <w:rPr>
          <w:rFonts w:hint="eastAsia" w:ascii="宋体" w:hAnsi="宋体" w:eastAsia="宋体" w:cs="宋体"/>
          <w:sz w:val="21"/>
        </w:rPr>
        <w:t xml:space="preserve"> 股的行为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Times New Roman" w:hAnsi="Times New Roman" w:eastAsia="Times New Roman" w:cs="Times New Roman"/>
          <w:sz w:val="21"/>
        </w:rPr>
        <w:t>A</w:t>
      </w:r>
      <w:r>
        <w:rPr>
          <w:rFonts w:hint="eastAsia" w:ascii="宋体" w:hAnsi="宋体" w:eastAsia="宋体" w:cs="宋体"/>
          <w:sz w:val="21"/>
        </w:rPr>
        <w:t xml:space="preserve"> 股</w:t>
      </w:r>
      <w:r>
        <w:tab/>
      </w:r>
      <w:r>
        <w:rPr>
          <w:rFonts w:hint="eastAsia" w:ascii="宋体" w:hAnsi="宋体" w:eastAsia="宋体" w:cs="宋体"/>
          <w:sz w:val="21"/>
        </w:rPr>
        <w:t>指 每股面值为人民币</w:t>
      </w:r>
      <w:r>
        <w:rPr>
          <w:rFonts w:hint="eastAsia" w:ascii="Times New Roman" w:hAnsi="Times New Roman" w:eastAsia="Times New Roman" w:cs="Times New Roman"/>
          <w:sz w:val="21"/>
        </w:rPr>
        <w:t xml:space="preserve"> 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宋体" w:hAnsi="宋体" w:eastAsia="宋体" w:cs="宋体"/>
          <w:sz w:val="21"/>
        </w:rPr>
        <w:t xml:space="preserve"> 元的普通股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顶点有限</w:t>
      </w:r>
      <w:r>
        <w:tab/>
      </w:r>
      <w:r>
        <w:rPr>
          <w:rFonts w:hint="eastAsia" w:ascii="宋体" w:hAnsi="宋体" w:eastAsia="宋体" w:cs="宋体"/>
          <w:sz w:val="21"/>
        </w:rPr>
        <w:t>指 福州顶点计算机软件有限公司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20" w:lineRule="exact"/>
        <w:ind w:left="1720"/>
        <w:jc w:val="both"/>
      </w:pPr>
      <w:r>
        <w:rPr>
          <w:rFonts w:hint="eastAsia" w:ascii="宋体" w:hAnsi="宋体" w:eastAsia="宋体" w:cs="宋体"/>
          <w:sz w:val="21"/>
        </w:rPr>
        <w:t>爱派克</w:t>
      </w:r>
      <w:r>
        <w:tab/>
      </w:r>
      <w:r>
        <w:rPr>
          <w:rFonts w:hint="eastAsia" w:ascii="宋体" w:hAnsi="宋体" w:eastAsia="宋体" w:cs="宋体"/>
          <w:sz w:val="21"/>
        </w:rPr>
        <w:t>指 福州爱派克电子有限公司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顶点数码</w:t>
      </w:r>
      <w:r>
        <w:tab/>
      </w:r>
      <w:r>
        <w:rPr>
          <w:rFonts w:hint="eastAsia" w:ascii="宋体" w:hAnsi="宋体" w:eastAsia="宋体" w:cs="宋体"/>
          <w:sz w:val="21"/>
        </w:rPr>
        <w:t>指 福州顶点数码科技有限公司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顶点信息</w:t>
      </w:r>
      <w:r>
        <w:tab/>
      </w:r>
      <w:r>
        <w:rPr>
          <w:rFonts w:hint="eastAsia" w:ascii="宋体" w:hAnsi="宋体" w:eastAsia="宋体" w:cs="宋体"/>
          <w:sz w:val="21"/>
        </w:rPr>
        <w:t>指 福州顶点信息管理有限公司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20" w:lineRule="exact"/>
        <w:ind w:left="1720"/>
        <w:jc w:val="both"/>
      </w:pPr>
      <w:r>
        <w:rPr>
          <w:rFonts w:hint="eastAsia" w:ascii="宋体" w:hAnsi="宋体" w:eastAsia="宋体" w:cs="宋体"/>
          <w:sz w:val="21"/>
        </w:rPr>
        <w:t>北京顶点</w:t>
      </w:r>
      <w:r>
        <w:tab/>
      </w:r>
      <w:r>
        <w:rPr>
          <w:rFonts w:hint="eastAsia" w:ascii="宋体" w:hAnsi="宋体" w:eastAsia="宋体" w:cs="宋体"/>
          <w:sz w:val="21"/>
        </w:rPr>
        <w:t>指 北京顶点时代软件技术有限公司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上海顶点</w:t>
      </w:r>
      <w:r>
        <w:tab/>
      </w:r>
      <w:r>
        <w:rPr>
          <w:rFonts w:hint="eastAsia" w:ascii="宋体" w:hAnsi="宋体" w:eastAsia="宋体" w:cs="宋体"/>
          <w:sz w:val="21"/>
        </w:rPr>
        <w:t>指 上海顶点软件有限公司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武汉顶点</w:t>
      </w:r>
      <w:r>
        <w:tab/>
      </w:r>
      <w:r>
        <w:rPr>
          <w:rFonts w:hint="eastAsia" w:ascii="宋体" w:hAnsi="宋体" w:eastAsia="宋体" w:cs="宋体"/>
          <w:sz w:val="21"/>
        </w:rPr>
        <w:t>指 武汉顶点软件有限公司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亿维航软件</w:t>
      </w:r>
      <w:r>
        <w:tab/>
      </w:r>
      <w:r>
        <w:rPr>
          <w:rFonts w:hint="eastAsia" w:ascii="宋体" w:hAnsi="宋体" w:eastAsia="宋体" w:cs="宋体"/>
          <w:sz w:val="21"/>
        </w:rPr>
        <w:t>指 上海亿维航软件有限公司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软件园产业公司</w:t>
      </w:r>
      <w:r>
        <w:tab/>
      </w:r>
      <w:r>
        <w:rPr>
          <w:rFonts w:hint="eastAsia" w:ascii="宋体" w:hAnsi="宋体" w:eastAsia="宋体" w:cs="宋体"/>
          <w:sz w:val="21"/>
        </w:rPr>
        <w:t>指 福州软件园产业服务有限公司</w:t>
      </w:r>
    </w:p>
    <w:p>
      <w:pPr>
        <w:spacing w:line="200" w:lineRule="exact"/>
        <w:rPr>
          <w:rFonts w:hint="eastAsia" w:ascii="宋体" w:hAnsi="宋体" w:eastAsia="宋体" w:cs="宋体"/>
          <w:sz w:val="20"/>
        </w:rPr>
      </w:pPr>
    </w:p>
    <w:p>
      <w:pPr>
        <w:tabs>
          <w:tab w:val="left" w:pos="4040"/>
        </w:tabs>
        <w:autoSpaceDE w:val="false"/>
        <w:autoSpaceDN w:val="false"/>
        <w:spacing w:line="400" w:lineRule="exact"/>
        <w:ind w:left="1720"/>
        <w:jc w:val="both"/>
      </w:pPr>
      <w:r>
        <w:rPr>
          <w:rFonts w:hint="eastAsia" w:ascii="Times New Roman" w:hAnsi="Times New Roman" w:eastAsia="Times New Roman" w:cs="Times New Roman"/>
          <w:sz w:val="21"/>
        </w:rPr>
        <w:t>Oracle</w:t>
      </w:r>
      <w:r>
        <w:tab/>
      </w:r>
      <w:r>
        <w:rPr>
          <w:rFonts w:hint="eastAsia" w:ascii="宋体" w:hAnsi="宋体" w:eastAsia="宋体" w:cs="宋体"/>
          <w:sz w:val="21"/>
        </w:rPr>
        <w:t>指 甲骨文公司</w:t>
      </w:r>
      <w:r>
        <w:rPr>
          <w:rFonts w:hint="eastAsia" w:ascii="宋体" w:hAnsi="宋体" w:eastAsia="宋体" w:cs="宋体"/>
          <w:sz w:val="10"/>
        </w:rPr>
        <w:t>，</w:t>
      </w:r>
      <w:r>
        <w:rPr>
          <w:rFonts w:hint="eastAsia" w:ascii="宋体" w:hAnsi="宋体" w:eastAsia="宋体" w:cs="宋体"/>
          <w:sz w:val="21"/>
        </w:rPr>
        <w:t>是美国</w:t>
      </w:r>
      <w:r>
        <w:rPr>
          <w:rFonts w:hint="eastAsia" w:ascii="宋体" w:hAnsi="宋体" w:eastAsia="宋体" w:cs="宋体"/>
          <w:sz w:val="20"/>
        </w:rPr>
        <w:t>一</w:t>
      </w:r>
      <w:r>
        <w:rPr>
          <w:rFonts w:hint="eastAsia" w:ascii="宋体" w:hAnsi="宋体" w:eastAsia="宋体" w:cs="宋体"/>
          <w:sz w:val="21"/>
        </w:rPr>
        <w:t>家企业级软件公司</w:t>
      </w:r>
      <w:r>
        <w:rPr>
          <w:rFonts w:hint="eastAsia" w:ascii="宋体" w:hAnsi="宋体" w:eastAsia="宋体" w:cs="宋体"/>
          <w:sz w:val="10"/>
        </w:rPr>
        <w:t>，</w:t>
      </w:r>
      <w:r>
        <w:rPr>
          <w:rFonts w:hint="eastAsia" w:ascii="宋体" w:hAnsi="宋体" w:eastAsia="宋体" w:cs="宋体"/>
          <w:sz w:val="21"/>
        </w:rPr>
        <w:t>总部位于美国加利</w:t>
      </w:r>
    </w:p>
    <w:p>
      <w:pPr>
        <w:autoSpaceDE w:val="false"/>
        <w:autoSpaceDN w:val="false"/>
        <w:spacing w:line="280" w:lineRule="exact"/>
        <w:ind w:left="4480"/>
        <w:jc w:val="both"/>
      </w:pPr>
      <w:r>
        <w:rPr>
          <w:rFonts w:hint="eastAsia" w:ascii="宋体" w:hAnsi="宋体" w:eastAsia="宋体" w:cs="宋体"/>
          <w:sz w:val="21"/>
        </w:rPr>
        <w:t>福尼亚州的红木滩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20" w:lineRule="exact"/>
        <w:ind w:left="1720"/>
        <w:jc w:val="both"/>
      </w:pPr>
      <w:r>
        <w:rPr>
          <w:rFonts w:hint="eastAsia" w:ascii="宋体" w:hAnsi="宋体" w:eastAsia="宋体" w:cs="宋体"/>
          <w:sz w:val="21"/>
        </w:rPr>
        <w:t>金石投资</w:t>
      </w:r>
      <w:r>
        <w:tab/>
      </w:r>
      <w:r>
        <w:rPr>
          <w:rFonts w:hint="eastAsia" w:ascii="宋体" w:hAnsi="宋体" w:eastAsia="宋体" w:cs="宋体"/>
          <w:sz w:val="21"/>
        </w:rPr>
        <w:t>指 金石投资有限公司</w:t>
      </w:r>
    </w:p>
    <w:p>
      <w:pPr>
        <w:sectPr>
          <w:type w:val="continuous"/>
          <w:pgSz w:w="11900" w:h="16820"/>
          <w:pgMar w:top="0" w:right="0" w:bottom="0" w:left="0"/>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1720" w:right="0"/>
        <w:jc w:val="both"/>
      </w:pPr>
      <w:r>
        <w:rPr>
          <w:rFonts w:hint="eastAsia" w:ascii="宋体" w:hAnsi="宋体" w:eastAsia="宋体" w:cs="宋体"/>
          <w:sz w:val="21"/>
        </w:rPr>
        <w:t>中信证券及其控股子公司</w:t>
      </w:r>
    </w:p>
    <w:p>
      <w:pPr>
        <w:spacing w:line="200" w:lineRule="exact"/>
        <w:rPr>
          <w:rFonts w:hint="eastAsia" w:ascii="宋体" w:hAnsi="宋体" w:eastAsia="宋体" w:cs="宋体"/>
          <w:sz w:val="20"/>
        </w:rPr>
      </w:pPr>
      <w:r>
        <w:br w:type="column"/>
      </w:r>
    </w:p>
    <w:p>
      <w:pPr>
        <w:spacing w:line="200" w:lineRule="exact"/>
        <w:rPr>
          <w:rFonts w:hint="eastAsia" w:ascii="宋体" w:hAnsi="宋体" w:eastAsia="宋体" w:cs="宋体"/>
          <w:sz w:val="20"/>
        </w:rPr>
      </w:pPr>
    </w:p>
    <w:p>
      <w:pPr>
        <w:autoSpaceDE w:val="false"/>
        <w:autoSpaceDN w:val="false"/>
        <w:spacing w:line="220" w:lineRule="exact"/>
        <w:ind w:left="0"/>
        <w:jc w:val="both"/>
      </w:pPr>
      <w:r>
        <w:rPr>
          <w:rFonts w:hint="eastAsia" w:ascii="宋体" w:hAnsi="宋体" w:eastAsia="宋体" w:cs="宋体"/>
          <w:sz w:val="21"/>
        </w:rPr>
        <w:t>指 中信证券股份有限公司及其定期财务报告中包含的全资及控股</w:t>
      </w:r>
    </w:p>
    <w:p>
      <w:pPr>
        <w:autoSpaceDE w:val="false"/>
        <w:autoSpaceDN w:val="false"/>
        <w:spacing w:line="260" w:lineRule="exact"/>
        <w:ind w:left="440"/>
        <w:jc w:val="both"/>
      </w:pPr>
      <w:r>
        <w:rPr>
          <w:rFonts w:hint="eastAsia" w:ascii="宋体" w:hAnsi="宋体" w:eastAsia="宋体" w:cs="宋体"/>
          <w:sz w:val="21"/>
        </w:rPr>
        <w:t>子公司</w:t>
      </w:r>
    </w:p>
    <w:p>
      <w:pPr>
        <w:sectPr>
          <w:type w:val="continuous"/>
          <w:pgSz w:w="11900" w:h="16820"/>
          <w:pgMar w:top="0" w:right="0" w:bottom="0" w:left="0"/>
          <w:cols w:equalWidth="false" w:num="2" w:sep="false">
            <w:col w:w="3880" w:space="160"/>
            <w:col w:w="6320"/>
          </w:cols>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60" w:lineRule="exact"/>
        <w:ind w:left="1720"/>
        <w:jc w:val="both"/>
      </w:pPr>
      <w:r>
        <w:rPr>
          <w:rFonts w:hint="eastAsia" w:ascii="Times New Roman" w:hAnsi="Times New Roman" w:eastAsia="Times New Roman" w:cs="Times New Roman"/>
          <w:sz w:val="21"/>
        </w:rPr>
        <w:t>Monex</w:t>
      </w:r>
      <w:r>
        <w:rPr>
          <w:rFonts w:hint="eastAsia" w:ascii="宋体" w:hAnsi="宋体" w:eastAsia="宋体" w:cs="宋体"/>
          <w:sz w:val="21"/>
        </w:rPr>
        <w:t xml:space="preserve"> 证券</w:t>
      </w:r>
      <w:r>
        <w:tab/>
      </w:r>
      <w:r>
        <w:rPr>
          <w:rFonts w:hint="eastAsia" w:ascii="宋体" w:hAnsi="宋体" w:eastAsia="宋体" w:cs="宋体"/>
          <w:sz w:val="21"/>
        </w:rPr>
        <w:t>指 创立于</w:t>
      </w:r>
      <w:r>
        <w:rPr>
          <w:rFonts w:hint="eastAsia" w:ascii="Times New Roman" w:hAnsi="Times New Roman" w:eastAsia="Times New Roman" w:cs="Times New Roman"/>
          <w:sz w:val="21"/>
        </w:rPr>
        <w:t xml:space="preserve"> 1999</w:t>
      </w:r>
      <w:r>
        <w:rPr>
          <w:rFonts w:hint="eastAsia" w:ascii="宋体" w:hAnsi="宋体" w:eastAsia="宋体" w:cs="宋体"/>
          <w:sz w:val="21"/>
        </w:rPr>
        <w:t xml:space="preserve"> 年的日本证券公司</w:t>
      </w:r>
      <w:r>
        <w:rPr>
          <w:rFonts w:hint="eastAsia" w:ascii="宋体" w:hAnsi="宋体" w:eastAsia="宋体" w:cs="宋体"/>
          <w:sz w:val="10"/>
        </w:rPr>
        <w:t>，</w:t>
      </w:r>
      <w:r>
        <w:rPr>
          <w:rFonts w:hint="eastAsia" w:ascii="宋体" w:hAnsi="宋体" w:eastAsia="宋体" w:cs="宋体"/>
          <w:sz w:val="21"/>
        </w:rPr>
        <w:t>其主要业务是在线证券销售</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20" w:lineRule="exact"/>
        <w:ind w:left="1720"/>
        <w:jc w:val="both"/>
      </w:pPr>
      <w:r>
        <w:rPr>
          <w:rFonts w:hint="eastAsia" w:ascii="Times New Roman" w:hAnsi="Times New Roman" w:eastAsia="Times New Roman" w:cs="Times New Roman"/>
          <w:sz w:val="21"/>
        </w:rPr>
        <w:t>SBI</w:t>
      </w:r>
      <w:r>
        <w:rPr>
          <w:rFonts w:hint="eastAsia" w:ascii="宋体" w:hAnsi="宋体" w:eastAsia="宋体" w:cs="宋体"/>
          <w:sz w:val="21"/>
        </w:rPr>
        <w:t xml:space="preserve"> 集团</w:t>
      </w:r>
      <w:r>
        <w:tab/>
      </w:r>
      <w:r>
        <w:rPr>
          <w:rFonts w:hint="eastAsia" w:ascii="宋体" w:hAnsi="宋体" w:eastAsia="宋体" w:cs="宋体"/>
          <w:sz w:val="21"/>
        </w:rPr>
        <w:t>指 前身为软银集团的金融投资部</w:t>
      </w:r>
      <w:r>
        <w:rPr>
          <w:rFonts w:hint="eastAsia" w:ascii="宋体" w:hAnsi="宋体" w:eastAsia="宋体" w:cs="宋体"/>
          <w:sz w:val="10"/>
        </w:rPr>
        <w:t>，</w:t>
      </w:r>
      <w:r>
        <w:rPr>
          <w:rFonts w:hint="eastAsia" w:ascii="宋体" w:hAnsi="宋体" w:eastAsia="宋体" w:cs="宋体"/>
          <w:sz w:val="21"/>
        </w:rPr>
        <w:t>成立于</w:t>
      </w:r>
      <w:r>
        <w:rPr>
          <w:rFonts w:hint="eastAsia" w:ascii="Times New Roman" w:hAnsi="Times New Roman" w:eastAsia="Times New Roman" w:cs="Times New Roman"/>
          <w:sz w:val="21"/>
        </w:rPr>
        <w:t xml:space="preserve"> 1999</w:t>
      </w:r>
      <w:r>
        <w:rPr>
          <w:rFonts w:hint="eastAsia" w:ascii="宋体" w:hAnsi="宋体" w:eastAsia="宋体" w:cs="宋体"/>
          <w:sz w:val="21"/>
        </w:rPr>
        <w:t xml:space="preserve"> 年</w:t>
      </w:r>
      <w:r>
        <w:rPr>
          <w:rFonts w:hint="eastAsia" w:ascii="宋体" w:hAnsi="宋体" w:eastAsia="宋体" w:cs="宋体"/>
          <w:sz w:val="10"/>
        </w:rPr>
        <w:t>，</w:t>
      </w:r>
      <w:r>
        <w:rPr>
          <w:rFonts w:hint="eastAsia" w:ascii="宋体" w:hAnsi="宋体" w:eastAsia="宋体" w:cs="宋体"/>
          <w:sz w:val="21"/>
        </w:rPr>
        <w:t>是以投资和互</w:t>
      </w:r>
    </w:p>
    <w:p>
      <w:pPr>
        <w:autoSpaceDE w:val="false"/>
        <w:autoSpaceDN w:val="false"/>
        <w:spacing w:line="280" w:lineRule="exact"/>
        <w:ind w:left="4480"/>
        <w:jc w:val="both"/>
      </w:pPr>
      <w:r>
        <w:rPr>
          <w:rFonts w:hint="eastAsia" w:ascii="宋体" w:hAnsi="宋体" w:eastAsia="宋体" w:cs="宋体"/>
          <w:sz w:val="21"/>
        </w:rPr>
        <w:t>联网为平台在全球展开业务的大型综合金融集团</w:t>
      </w:r>
      <w:r>
        <w:rPr>
          <w:rFonts w:hint="eastAsia" w:ascii="宋体" w:hAnsi="宋体" w:eastAsia="宋体" w:cs="宋体"/>
          <w:sz w:val="10"/>
        </w:rPr>
        <w:t>，</w:t>
      </w:r>
      <w:r>
        <w:rPr>
          <w:rFonts w:hint="eastAsia" w:ascii="宋体" w:hAnsi="宋体" w:eastAsia="宋体" w:cs="宋体"/>
          <w:sz w:val="21"/>
        </w:rPr>
        <w:t>在香港联交</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60"/>
        <w:jc w:val="both"/>
      </w:pPr>
      <w:r>
        <w:rPr>
          <w:rFonts w:hint="eastAsia" w:ascii="Times New Roman" w:hAnsi="Times New Roman" w:eastAsia="Times New Roman" w:cs="Times New Roman"/>
          <w:sz w:val="21"/>
        </w:rPr>
        <w:t>1-1-23</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4480"/>
        <w:jc w:val="both"/>
      </w:pPr>
      <w:r>
        <w:rPr>
          <w:rFonts w:hint="eastAsia" w:ascii="宋体" w:hAnsi="宋体" w:eastAsia="宋体" w:cs="宋体"/>
          <w:sz w:val="21"/>
        </w:rPr>
        <w:t>所和东京证交所同时挂牌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20" w:lineRule="exact"/>
        <w:ind w:left="1720"/>
        <w:jc w:val="both"/>
      </w:pPr>
      <w:r>
        <w:rPr>
          <w:rFonts w:hint="eastAsia" w:ascii="宋体" w:hAnsi="宋体" w:eastAsia="宋体" w:cs="宋体"/>
          <w:sz w:val="21"/>
        </w:rPr>
        <w:t>美银美林</w:t>
      </w:r>
      <w:r>
        <w:tab/>
      </w:r>
      <w:r>
        <w:rPr>
          <w:rFonts w:hint="eastAsia" w:ascii="宋体" w:hAnsi="宋体" w:eastAsia="宋体" w:cs="宋体"/>
          <w:sz w:val="21"/>
        </w:rPr>
        <w:t>指 美银美林集团</w:t>
      </w:r>
      <w:r>
        <w:rPr>
          <w:rFonts w:hint="eastAsia" w:ascii="宋体" w:hAnsi="宋体" w:eastAsia="宋体" w:cs="宋体"/>
          <w:sz w:val="10"/>
        </w:rPr>
        <w:t>，</w:t>
      </w:r>
      <w:r>
        <w:rPr>
          <w:rFonts w:hint="eastAsia" w:ascii="Times New Roman" w:hAnsi="Times New Roman" w:eastAsia="Times New Roman" w:cs="Times New Roman"/>
          <w:sz w:val="21"/>
        </w:rPr>
        <w:t>2008</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9</w:t>
      </w:r>
      <w:r>
        <w:rPr>
          <w:rFonts w:hint="eastAsia" w:ascii="宋体" w:hAnsi="宋体" w:eastAsia="宋体" w:cs="宋体"/>
          <w:sz w:val="21"/>
        </w:rPr>
        <w:t xml:space="preserve"> 月由美国银行收购美林证券合并而成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720"/>
        <w:jc w:val="both"/>
      </w:pPr>
      <w:r>
        <w:rPr>
          <w:rFonts w:hint="eastAsia" w:ascii="宋体" w:hAnsi="宋体" w:eastAsia="宋体" w:cs="宋体"/>
          <w:sz w:val="21"/>
        </w:rPr>
        <w:t>保荐机构</w:t>
      </w:r>
      <w:r>
        <w:rPr>
          <w:rFonts w:hint="eastAsia" w:ascii="宋体" w:hAnsi="宋体" w:eastAsia="宋体" w:cs="宋体"/>
          <w:sz w:val="10"/>
        </w:rPr>
        <w:t>、</w:t>
      </w:r>
      <w:r>
        <w:rPr>
          <w:rFonts w:hint="eastAsia" w:ascii="宋体" w:hAnsi="宋体" w:eastAsia="宋体" w:cs="宋体"/>
          <w:sz w:val="21"/>
        </w:rPr>
        <w:t>主承销商 指 东方花旗证券有限公司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1720"/>
        <w:jc w:val="both"/>
      </w:pPr>
      <w:r>
        <w:rPr>
          <w:rFonts w:hint="eastAsia" w:ascii="宋体" w:hAnsi="宋体" w:eastAsia="宋体" w:cs="宋体"/>
          <w:sz w:val="21"/>
        </w:rPr>
        <w:t>致同所</w:t>
      </w:r>
      <w:r>
        <w:rPr>
          <w:rFonts w:hint="eastAsia" w:ascii="宋体" w:hAnsi="宋体" w:eastAsia="宋体" w:cs="宋体"/>
          <w:sz w:val="10"/>
        </w:rPr>
        <w:t>、</w:t>
      </w:r>
      <w:r>
        <w:rPr>
          <w:rFonts w:hint="eastAsia" w:ascii="宋体" w:hAnsi="宋体" w:eastAsia="宋体" w:cs="宋体"/>
          <w:sz w:val="21"/>
        </w:rPr>
        <w:t>申报会计师 指 致同会计师事务所</w:t>
      </w:r>
      <w:r>
        <w:rPr>
          <w:rFonts w:hint="eastAsia" w:ascii="宋体" w:hAnsi="宋体" w:eastAsia="宋体" w:cs="宋体"/>
          <w:sz w:val="20"/>
        </w:rPr>
        <w:t>（</w:t>
      </w:r>
      <w:r>
        <w:rPr>
          <w:rFonts w:hint="eastAsia" w:ascii="宋体" w:hAnsi="宋体" w:eastAsia="宋体" w:cs="宋体"/>
          <w:sz w:val="21"/>
        </w:rPr>
        <w:t>特殊普通合伙</w:t>
      </w:r>
      <w:r>
        <w:rPr>
          <w:rFonts w:hint="eastAsia" w:ascii="宋体" w:hAnsi="宋体" w:eastAsia="宋体" w:cs="宋体"/>
          <w:sz w:val="2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720"/>
        <w:jc w:val="both"/>
      </w:pPr>
      <w:r>
        <w:rPr>
          <w:rFonts w:hint="eastAsia" w:ascii="宋体" w:hAnsi="宋体" w:eastAsia="宋体" w:cs="宋体"/>
          <w:sz w:val="21"/>
        </w:rPr>
        <w:t>国浩所</w:t>
      </w:r>
      <w:r>
        <w:rPr>
          <w:rFonts w:hint="eastAsia" w:ascii="宋体" w:hAnsi="宋体" w:eastAsia="宋体" w:cs="宋体"/>
          <w:sz w:val="10"/>
        </w:rPr>
        <w:t>、</w:t>
      </w:r>
      <w:r>
        <w:rPr>
          <w:rFonts w:hint="eastAsia" w:ascii="宋体" w:hAnsi="宋体" w:eastAsia="宋体" w:cs="宋体"/>
          <w:sz w:val="21"/>
        </w:rPr>
        <w:t>发行人律师 指 国浩律师</w:t>
      </w:r>
      <w:r>
        <w:rPr>
          <w:rFonts w:hint="eastAsia" w:ascii="宋体" w:hAnsi="宋体" w:eastAsia="宋体" w:cs="宋体"/>
          <w:sz w:val="20"/>
        </w:rPr>
        <w:t>（</w:t>
      </w:r>
      <w:r>
        <w:rPr>
          <w:rFonts w:hint="eastAsia" w:ascii="宋体" w:hAnsi="宋体" w:eastAsia="宋体" w:cs="宋体"/>
          <w:sz w:val="21"/>
        </w:rPr>
        <w:t>上海</w:t>
      </w:r>
      <w:r>
        <w:rPr>
          <w:rFonts w:hint="eastAsia" w:ascii="宋体" w:hAnsi="宋体" w:eastAsia="宋体" w:cs="宋体"/>
          <w:sz w:val="20"/>
        </w:rPr>
        <w:t>）</w:t>
      </w:r>
      <w:r>
        <w:rPr>
          <w:rFonts w:hint="eastAsia" w:ascii="宋体" w:hAnsi="宋体" w:eastAsia="宋体" w:cs="宋体"/>
          <w:sz w:val="21"/>
        </w:rPr>
        <w:t>事务所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上交所</w:t>
      </w:r>
      <w:r>
        <w:tab/>
      </w:r>
      <w:r>
        <w:rPr>
          <w:rFonts w:hint="eastAsia" w:ascii="宋体" w:hAnsi="宋体" w:eastAsia="宋体" w:cs="宋体"/>
          <w:sz w:val="21"/>
        </w:rPr>
        <w:t>指 上海证券交易所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20" w:lineRule="exact"/>
        <w:ind w:left="1720"/>
        <w:jc w:val="both"/>
      </w:pPr>
      <w:r>
        <w:rPr>
          <w:rFonts w:hint="eastAsia" w:ascii="宋体" w:hAnsi="宋体" w:eastAsia="宋体" w:cs="宋体"/>
          <w:sz w:val="21"/>
        </w:rPr>
        <w:t>中泰证券</w:t>
      </w:r>
      <w:r>
        <w:tab/>
      </w:r>
      <w:r>
        <w:rPr>
          <w:rFonts w:hint="eastAsia" w:ascii="宋体" w:hAnsi="宋体" w:eastAsia="宋体" w:cs="宋体"/>
          <w:sz w:val="21"/>
        </w:rPr>
        <w:t>指 中泰证券股份有限公司</w:t>
      </w:r>
      <w:r>
        <w:rPr>
          <w:rFonts w:hint="eastAsia" w:ascii="宋体" w:hAnsi="宋体" w:eastAsia="宋体" w:cs="宋体"/>
          <w:sz w:val="10"/>
        </w:rPr>
        <w:t>，</w:t>
      </w:r>
      <w:r>
        <w:rPr>
          <w:rFonts w:hint="eastAsia" w:ascii="宋体" w:hAnsi="宋体" w:eastAsia="宋体" w:cs="宋体"/>
          <w:sz w:val="21"/>
        </w:rPr>
        <w:t>由齐鲁证券有限公司于</w:t>
      </w:r>
      <w:r>
        <w:rPr>
          <w:rFonts w:hint="eastAsia" w:ascii="Times New Roman" w:hAnsi="Times New Roman" w:eastAsia="Times New Roman" w:cs="Times New Roman"/>
          <w:sz w:val="21"/>
        </w:rPr>
        <w:t xml:space="preserve"> 2015</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9</w:t>
      </w:r>
      <w:r>
        <w:rPr>
          <w:rFonts w:hint="eastAsia" w:ascii="宋体" w:hAnsi="宋体" w:eastAsia="宋体" w:cs="宋体"/>
          <w:sz w:val="21"/>
        </w:rPr>
        <w:t xml:space="preserve"> 月更</w:t>
      </w:r>
    </w:p>
    <w:p>
      <w:pPr>
        <w:autoSpaceDE w:val="false"/>
        <w:autoSpaceDN w:val="false"/>
        <w:spacing w:line="260" w:lineRule="exact"/>
        <w:ind w:left="4480"/>
        <w:jc w:val="both"/>
      </w:pPr>
      <w:r>
        <w:rPr>
          <w:rFonts w:hint="eastAsia" w:ascii="宋体" w:hAnsi="宋体" w:eastAsia="宋体" w:cs="宋体"/>
          <w:sz w:val="21"/>
        </w:rPr>
        <w:t>名而来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20" w:lineRule="exact"/>
        <w:ind w:left="1720"/>
        <w:jc w:val="both"/>
      </w:pPr>
      <w:r>
        <w:rPr>
          <w:rFonts w:hint="eastAsia" w:ascii="宋体" w:hAnsi="宋体" w:eastAsia="宋体" w:cs="宋体"/>
          <w:sz w:val="21"/>
        </w:rPr>
        <w:t>报告期</w:t>
      </w:r>
      <w:r>
        <w:tab/>
      </w:r>
      <w:r>
        <w:rPr>
          <w:rFonts w:hint="eastAsia" w:ascii="宋体" w:hAnsi="宋体" w:eastAsia="宋体" w:cs="宋体"/>
          <w:sz w:val="21"/>
        </w:rPr>
        <w:t>指</w:t>
      </w:r>
      <w:r>
        <w:rPr>
          <w:rFonts w:hint="eastAsia" w:ascii="Times New Roman" w:hAnsi="Times New Roman" w:eastAsia="Times New Roman" w:cs="Times New Roman"/>
          <w:sz w:val="21"/>
        </w:rPr>
        <w:t xml:space="preserve"> 2014</w:t>
      </w:r>
      <w:r>
        <w:rPr>
          <w:rFonts w:hint="eastAsia" w:ascii="宋体" w:hAnsi="宋体" w:eastAsia="宋体" w:cs="宋体"/>
          <w:sz w:val="21"/>
        </w:rPr>
        <w:t xml:space="preserve"> 年度</w:t>
      </w:r>
      <w:r>
        <w:rPr>
          <w:rFonts w:hint="eastAsia" w:ascii="宋体" w:hAnsi="宋体" w:eastAsia="宋体" w:cs="宋体"/>
          <w:sz w:val="10"/>
        </w:rPr>
        <w:t>、</w:t>
      </w:r>
      <w:r>
        <w:rPr>
          <w:rFonts w:hint="eastAsia" w:ascii="Times New Roman" w:hAnsi="Times New Roman" w:eastAsia="Times New Roman" w:cs="Times New Roman"/>
          <w:sz w:val="21"/>
        </w:rPr>
        <w:t>2015</w:t>
      </w:r>
      <w:r>
        <w:rPr>
          <w:rFonts w:hint="eastAsia" w:ascii="宋体" w:hAnsi="宋体" w:eastAsia="宋体" w:cs="宋体"/>
          <w:sz w:val="21"/>
        </w:rPr>
        <w:t xml:space="preserve"> 年度和</w:t>
      </w:r>
      <w:r>
        <w:rPr>
          <w:rFonts w:hint="eastAsia" w:ascii="Times New Roman" w:hAnsi="Times New Roman" w:eastAsia="Times New Roman" w:cs="Times New Roman"/>
          <w:sz w:val="21"/>
        </w:rPr>
        <w:t xml:space="preserve"> 2016</w:t>
      </w:r>
      <w:r>
        <w:rPr>
          <w:rFonts w:hint="eastAsia" w:ascii="宋体" w:hAnsi="宋体" w:eastAsia="宋体" w:cs="宋体"/>
          <w:sz w:val="21"/>
        </w:rPr>
        <w:t xml:space="preserve"> 年度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中国证监会</w:t>
      </w:r>
      <w:r>
        <w:tab/>
      </w:r>
      <w:r>
        <w:rPr>
          <w:rFonts w:hint="eastAsia" w:ascii="宋体" w:hAnsi="宋体" w:eastAsia="宋体" w:cs="宋体"/>
          <w:sz w:val="21"/>
        </w:rPr>
        <w:t>指 中国证券监督管理委员会</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1"/>
        </w:rPr>
        <w:t>国家工商总局</w:t>
      </w:r>
      <w:r>
        <w:tab/>
      </w:r>
      <w:r>
        <w:rPr>
          <w:rFonts w:hint="eastAsia" w:ascii="宋体" w:hAnsi="宋体" w:eastAsia="宋体" w:cs="宋体"/>
          <w:sz w:val="21"/>
        </w:rPr>
        <w:t>指 中华人民共和国国家工商行政管理总局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20" w:lineRule="exact"/>
        <w:ind w:left="1720"/>
        <w:jc w:val="both"/>
      </w:pPr>
      <w:r>
        <w:rPr>
          <w:rFonts w:hint="eastAsia" w:ascii="宋体" w:hAnsi="宋体" w:eastAsia="宋体" w:cs="宋体"/>
          <w:sz w:val="21"/>
        </w:rPr>
        <w:t>国家知识产权局</w:t>
      </w:r>
      <w:r>
        <w:tab/>
      </w:r>
      <w:r>
        <w:rPr>
          <w:rFonts w:hint="eastAsia" w:ascii="宋体" w:hAnsi="宋体" w:eastAsia="宋体" w:cs="宋体"/>
          <w:sz w:val="21"/>
        </w:rPr>
        <w:t>指 中华人民共和国国家知识产权局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0"/>
        </w:rPr>
        <w:t>《</w:t>
      </w:r>
      <w:r>
        <w:rPr>
          <w:rFonts w:hint="eastAsia" w:ascii="宋体" w:hAnsi="宋体" w:eastAsia="宋体" w:cs="宋体"/>
          <w:sz w:val="21"/>
        </w:rPr>
        <w:t>公司法</w:t>
      </w:r>
      <w:r>
        <w:rPr>
          <w:rFonts w:hint="eastAsia" w:ascii="宋体" w:hAnsi="宋体" w:eastAsia="宋体" w:cs="宋体"/>
          <w:sz w:val="20"/>
        </w:rPr>
        <w:t>》</w:t>
      </w:r>
      <w:r>
        <w:tab/>
      </w:r>
      <w:r>
        <w:rPr>
          <w:rFonts w:hint="eastAsia" w:ascii="宋体" w:hAnsi="宋体" w:eastAsia="宋体" w:cs="宋体"/>
          <w:sz w:val="21"/>
        </w:rPr>
        <w:t>指</w:t>
      </w:r>
      <w:r>
        <w:rPr>
          <w:rFonts w:hint="eastAsia" w:ascii="宋体" w:hAnsi="宋体" w:eastAsia="宋体" w:cs="宋体"/>
          <w:sz w:val="20"/>
        </w:rPr>
        <w:t xml:space="preserve"> 《</w:t>
      </w:r>
      <w:r>
        <w:rPr>
          <w:rFonts w:hint="eastAsia" w:ascii="宋体" w:hAnsi="宋体" w:eastAsia="宋体" w:cs="宋体"/>
          <w:sz w:val="21"/>
        </w:rPr>
        <w:t>中华人民共和国公司法</w:t>
      </w:r>
      <w:r>
        <w:rPr>
          <w:rFonts w:hint="eastAsia" w:ascii="宋体" w:hAnsi="宋体" w:eastAsia="宋体" w:cs="宋体"/>
          <w:sz w:val="20"/>
        </w:rPr>
        <w:t>》（</w:t>
      </w:r>
      <w:r>
        <w:rPr>
          <w:rFonts w:hint="eastAsia" w:ascii="Times New Roman" w:hAnsi="Times New Roman" w:eastAsia="Times New Roman" w:cs="Times New Roman"/>
          <w:sz w:val="21"/>
        </w:rPr>
        <w:t>2013</w:t>
      </w:r>
      <w:r>
        <w:rPr>
          <w:rFonts w:hint="eastAsia" w:ascii="宋体" w:hAnsi="宋体" w:eastAsia="宋体" w:cs="宋体"/>
          <w:sz w:val="21"/>
        </w:rPr>
        <w:t xml:space="preserve"> 年修订</w:t>
      </w:r>
      <w:r>
        <w:rPr>
          <w:rFonts w:hint="eastAsia" w:ascii="宋体" w:hAnsi="宋体" w:eastAsia="宋体" w:cs="宋体"/>
          <w:sz w:val="2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0"/>
        </w:rPr>
        <w:t>《</w:t>
      </w:r>
      <w:r>
        <w:rPr>
          <w:rFonts w:hint="eastAsia" w:ascii="宋体" w:hAnsi="宋体" w:eastAsia="宋体" w:cs="宋体"/>
          <w:sz w:val="21"/>
        </w:rPr>
        <w:t>证券法</w:t>
      </w:r>
      <w:r>
        <w:rPr>
          <w:rFonts w:hint="eastAsia" w:ascii="宋体" w:hAnsi="宋体" w:eastAsia="宋体" w:cs="宋体"/>
          <w:sz w:val="20"/>
        </w:rPr>
        <w:t>》</w:t>
      </w:r>
      <w:r>
        <w:tab/>
      </w:r>
      <w:r>
        <w:rPr>
          <w:rFonts w:hint="eastAsia" w:ascii="宋体" w:hAnsi="宋体" w:eastAsia="宋体" w:cs="宋体"/>
          <w:sz w:val="21"/>
        </w:rPr>
        <w:t>指</w:t>
      </w:r>
      <w:r>
        <w:rPr>
          <w:rFonts w:hint="eastAsia" w:ascii="宋体" w:hAnsi="宋体" w:eastAsia="宋体" w:cs="宋体"/>
          <w:sz w:val="20"/>
        </w:rPr>
        <w:t xml:space="preserve"> 《</w:t>
      </w:r>
      <w:r>
        <w:rPr>
          <w:rFonts w:hint="eastAsia" w:ascii="宋体" w:hAnsi="宋体" w:eastAsia="宋体" w:cs="宋体"/>
          <w:sz w:val="21"/>
        </w:rPr>
        <w:t>中华人民共和国证券法</w:t>
      </w:r>
      <w:r>
        <w:rPr>
          <w:rFonts w:hint="eastAsia" w:ascii="宋体" w:hAnsi="宋体" w:eastAsia="宋体" w:cs="宋体"/>
          <w:sz w:val="20"/>
        </w:rPr>
        <w:t>》（</w:t>
      </w:r>
      <w:r>
        <w:rPr>
          <w:rFonts w:hint="eastAsia" w:ascii="Times New Roman" w:hAnsi="Times New Roman" w:eastAsia="Times New Roman" w:cs="Times New Roman"/>
          <w:sz w:val="21"/>
        </w:rPr>
        <w:t>2013</w:t>
      </w:r>
      <w:r>
        <w:rPr>
          <w:rFonts w:hint="eastAsia" w:ascii="宋体" w:hAnsi="宋体" w:eastAsia="宋体" w:cs="宋体"/>
          <w:sz w:val="21"/>
        </w:rPr>
        <w:t xml:space="preserve"> 年修订</w:t>
      </w:r>
      <w:r>
        <w:rPr>
          <w:rFonts w:hint="eastAsia" w:ascii="宋体" w:hAnsi="宋体" w:eastAsia="宋体" w:cs="宋体"/>
          <w:sz w:val="2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40" w:lineRule="exact"/>
        <w:ind w:left="1720"/>
        <w:jc w:val="both"/>
      </w:pPr>
      <w:r>
        <w:rPr>
          <w:rFonts w:hint="eastAsia" w:ascii="宋体" w:hAnsi="宋体" w:eastAsia="宋体" w:cs="宋体"/>
          <w:sz w:val="20"/>
        </w:rPr>
        <w:t>《</w:t>
      </w:r>
      <w:r>
        <w:rPr>
          <w:rFonts w:hint="eastAsia" w:ascii="宋体" w:hAnsi="宋体" w:eastAsia="宋体" w:cs="宋体"/>
          <w:sz w:val="21"/>
        </w:rPr>
        <w:t>公司章程</w:t>
      </w:r>
      <w:r>
        <w:rPr>
          <w:rFonts w:hint="eastAsia" w:ascii="宋体" w:hAnsi="宋体" w:eastAsia="宋体" w:cs="宋体"/>
          <w:sz w:val="20"/>
        </w:rPr>
        <w:t>》</w:t>
      </w:r>
      <w:r>
        <w:tab/>
      </w:r>
      <w:r>
        <w:rPr>
          <w:rFonts w:hint="eastAsia" w:ascii="宋体" w:hAnsi="宋体" w:eastAsia="宋体" w:cs="宋体"/>
          <w:sz w:val="21"/>
        </w:rPr>
        <w:t>指</w:t>
      </w:r>
      <w:r>
        <w:rPr>
          <w:rFonts w:hint="eastAsia" w:ascii="宋体" w:hAnsi="宋体" w:eastAsia="宋体" w:cs="宋体"/>
          <w:sz w:val="20"/>
        </w:rPr>
        <w:t xml:space="preserve"> 《</w:t>
      </w:r>
      <w:r>
        <w:rPr>
          <w:rFonts w:hint="eastAsia" w:ascii="宋体" w:hAnsi="宋体" w:eastAsia="宋体" w:cs="宋体"/>
          <w:sz w:val="21"/>
        </w:rPr>
        <w:t>福建顶点软件股份有限公司章程</w:t>
      </w:r>
      <w:r>
        <w:rPr>
          <w:rFonts w:hint="eastAsia" w:ascii="宋体" w:hAnsi="宋体" w:eastAsia="宋体" w:cs="宋体"/>
          <w:sz w:val="2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040"/>
        </w:tabs>
        <w:autoSpaceDE w:val="false"/>
        <w:autoSpaceDN w:val="false"/>
        <w:spacing w:line="220" w:lineRule="exact"/>
        <w:ind w:left="1720"/>
        <w:jc w:val="both"/>
      </w:pPr>
      <w:r>
        <w:rPr>
          <w:rFonts w:hint="eastAsia" w:ascii="宋体" w:hAnsi="宋体" w:eastAsia="宋体" w:cs="宋体"/>
          <w:sz w:val="21"/>
        </w:rPr>
        <w:t>元</w:t>
      </w:r>
      <w:r>
        <w:tab/>
      </w:r>
      <w:r>
        <w:rPr>
          <w:rFonts w:hint="eastAsia" w:ascii="宋体" w:hAnsi="宋体" w:eastAsia="宋体" w:cs="宋体"/>
          <w:sz w:val="21"/>
        </w:rPr>
        <w:t>指 人民币元</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780"/>
        <w:jc w:val="both"/>
      </w:pPr>
      <w:r>
        <w:rPr>
          <w:rFonts w:hint="eastAsia" w:ascii="ºÚÌå" w:hAnsi="ºÚÌå" w:eastAsia="ºÚÌå" w:cs="ºÚÌå"/>
          <w:sz w:val="20"/>
        </w:rPr>
        <w:t>二、</w:t>
      </w:r>
      <w:r>
        <w:rPr>
          <w:rFonts w:hint="eastAsia" w:ascii="ºÚÌå" w:hAnsi="ºÚÌå" w:eastAsia="ºÚÌå" w:cs="ºÚÌå"/>
          <w:sz w:val="24"/>
        </w:rPr>
        <w:t>专业词汇</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3680"/>
          <w:tab w:val="left" w:pos="4380"/>
        </w:tabs>
        <w:autoSpaceDE w:val="false"/>
        <w:autoSpaceDN w:val="false"/>
        <w:spacing w:line="280" w:lineRule="exact"/>
        <w:ind w:left="1780"/>
        <w:jc w:val="both"/>
      </w:pPr>
      <w:r>
        <w:rPr>
          <w:rFonts w:hint="eastAsia" w:ascii="Times New Roman" w:hAnsi="Times New Roman" w:eastAsia="Times New Roman" w:cs="Times New Roman"/>
          <w:sz w:val="21"/>
        </w:rPr>
        <w:t>JAVA</w:t>
      </w:r>
      <w:r>
        <w:tab/>
      </w:r>
      <w:r>
        <w:rPr>
          <w:rFonts w:hint="eastAsia" w:ascii="宋体" w:hAnsi="宋体" w:eastAsia="宋体" w:cs="宋体"/>
          <w:sz w:val="21"/>
        </w:rPr>
        <w:t>指</w:t>
      </w:r>
      <w:r>
        <w:tab/>
      </w:r>
      <w:r>
        <w:rPr>
          <w:rFonts w:hint="eastAsia" w:ascii="宋体" w:hAnsi="宋体" w:eastAsia="宋体" w:cs="宋体"/>
          <w:sz w:val="21"/>
        </w:rPr>
        <w:t>由原太阳微系统公司开发的</w:t>
      </w:r>
      <w:r>
        <w:rPr>
          <w:rFonts w:hint="eastAsia" w:ascii="宋体" w:hAnsi="宋体" w:eastAsia="宋体" w:cs="宋体"/>
          <w:sz w:val="20"/>
        </w:rPr>
        <w:t>一</w:t>
      </w:r>
      <w:r>
        <w:rPr>
          <w:rFonts w:hint="eastAsia" w:ascii="宋体" w:hAnsi="宋体" w:eastAsia="宋体" w:cs="宋体"/>
          <w:sz w:val="21"/>
        </w:rPr>
        <w:t>种跨平台</w:t>
      </w:r>
      <w:r>
        <w:rPr>
          <w:rFonts w:hint="eastAsia" w:ascii="宋体" w:hAnsi="宋体" w:eastAsia="宋体" w:cs="宋体"/>
          <w:sz w:val="10"/>
        </w:rPr>
        <w:t>、</w:t>
      </w:r>
      <w:r>
        <w:rPr>
          <w:rFonts w:hint="eastAsia" w:ascii="宋体" w:hAnsi="宋体" w:eastAsia="宋体" w:cs="宋体"/>
          <w:sz w:val="21"/>
        </w:rPr>
        <w:t>面向对象的编程语言</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20" w:lineRule="exact"/>
        <w:ind w:left="1780"/>
        <w:jc w:val="both"/>
      </w:pPr>
      <w:r>
        <w:rPr>
          <w:rFonts w:hint="eastAsia" w:ascii="Times New Roman" w:hAnsi="Times New Roman" w:eastAsia="Times New Roman" w:cs="Times New Roman"/>
          <w:sz w:val="21"/>
        </w:rPr>
        <w:t>SNS</w:t>
      </w:r>
      <w:r>
        <w:tab/>
      </w:r>
      <w:r>
        <w:rPr>
          <w:rFonts w:hint="eastAsia" w:ascii="宋体" w:hAnsi="宋体" w:eastAsia="宋体" w:cs="宋体"/>
          <w:sz w:val="21"/>
        </w:rPr>
        <w:t>指</w:t>
      </w:r>
      <w:r>
        <w:tab/>
      </w:r>
      <w:r>
        <w:rPr>
          <w:rFonts w:hint="eastAsia" w:ascii="Times New Roman" w:hAnsi="Times New Roman" w:eastAsia="Times New Roman" w:cs="Times New Roman"/>
          <w:sz w:val="21"/>
        </w:rPr>
        <w:t>Social Networking Services</w:t>
      </w:r>
      <w:r>
        <w:rPr>
          <w:rFonts w:hint="eastAsia" w:ascii="宋体" w:hAnsi="宋体" w:eastAsia="宋体" w:cs="宋体"/>
          <w:sz w:val="10"/>
        </w:rPr>
        <w:t>，</w:t>
      </w:r>
      <w:r>
        <w:rPr>
          <w:rFonts w:hint="eastAsia" w:ascii="宋体" w:hAnsi="宋体" w:eastAsia="宋体" w:cs="宋体"/>
          <w:sz w:val="21"/>
        </w:rPr>
        <w:t>即社会性网络服务</w:t>
      </w:r>
      <w:r>
        <w:rPr>
          <w:rFonts w:hint="eastAsia" w:ascii="宋体" w:hAnsi="宋体" w:eastAsia="宋体" w:cs="宋体"/>
          <w:sz w:val="10"/>
        </w:rPr>
        <w:t>，</w:t>
      </w:r>
      <w:r>
        <w:rPr>
          <w:rFonts w:hint="eastAsia" w:ascii="宋体" w:hAnsi="宋体" w:eastAsia="宋体" w:cs="宋体"/>
          <w:sz w:val="21"/>
        </w:rPr>
        <w:t>专指旨在帮助</w:t>
      </w:r>
    </w:p>
    <w:p>
      <w:pPr>
        <w:autoSpaceDE w:val="false"/>
        <w:autoSpaceDN w:val="false"/>
        <w:spacing w:line="280" w:lineRule="exact"/>
        <w:ind w:left="4380"/>
        <w:jc w:val="both"/>
      </w:pPr>
      <w:r>
        <w:rPr>
          <w:rFonts w:hint="eastAsia" w:ascii="宋体" w:hAnsi="宋体" w:eastAsia="宋体" w:cs="宋体"/>
          <w:sz w:val="21"/>
        </w:rPr>
        <w:t>人们建立社会性网络的互联网应用服务</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20" w:lineRule="exact"/>
        <w:ind w:left="1780"/>
        <w:jc w:val="both"/>
      </w:pPr>
      <w:r>
        <w:rPr>
          <w:rFonts w:hint="eastAsia" w:ascii="Times New Roman" w:hAnsi="Times New Roman" w:eastAsia="Times New Roman" w:cs="Times New Roman"/>
          <w:sz w:val="21"/>
        </w:rPr>
        <w:t>C/S</w:t>
      </w:r>
      <w:r>
        <w:tab/>
      </w:r>
      <w:r>
        <w:rPr>
          <w:rFonts w:hint="eastAsia" w:ascii="宋体" w:hAnsi="宋体" w:eastAsia="宋体" w:cs="宋体"/>
          <w:sz w:val="21"/>
        </w:rPr>
        <w:t>指</w:t>
      </w:r>
      <w:r>
        <w:tab/>
      </w:r>
      <w:r>
        <w:rPr>
          <w:rFonts w:hint="eastAsia" w:ascii="Times New Roman" w:hAnsi="Times New Roman" w:eastAsia="Times New Roman" w:cs="Times New Roman"/>
          <w:sz w:val="21"/>
        </w:rPr>
        <w:t>Client/Server</w:t>
      </w:r>
      <w:r>
        <w:rPr>
          <w:rFonts w:hint="eastAsia" w:ascii="宋体" w:hAnsi="宋体" w:eastAsia="宋体" w:cs="宋体"/>
          <w:sz w:val="10"/>
        </w:rPr>
        <w:t>：</w:t>
      </w:r>
      <w:r>
        <w:rPr>
          <w:rFonts w:hint="eastAsia" w:ascii="宋体" w:hAnsi="宋体" w:eastAsia="宋体" w:cs="宋体"/>
          <w:sz w:val="21"/>
        </w:rPr>
        <w:t>客户机</w:t>
      </w:r>
      <w:r>
        <w:rPr>
          <w:rFonts w:hint="eastAsia" w:ascii="Times New Roman" w:hAnsi="Times New Roman" w:eastAsia="Times New Roman" w:cs="Times New Roman"/>
          <w:sz w:val="21"/>
        </w:rPr>
        <w:t>/</w:t>
      </w:r>
      <w:r>
        <w:rPr>
          <w:rFonts w:hint="eastAsia" w:ascii="宋体" w:hAnsi="宋体" w:eastAsia="宋体" w:cs="宋体"/>
          <w:sz w:val="21"/>
        </w:rPr>
        <w:t>服务器模式</w:t>
      </w:r>
      <w:r>
        <w:rPr>
          <w:rFonts w:hint="eastAsia" w:ascii="宋体" w:hAnsi="宋体" w:eastAsia="宋体" w:cs="宋体"/>
          <w:sz w:val="10"/>
        </w:rPr>
        <w:t>；</w:t>
      </w:r>
      <w:r>
        <w:rPr>
          <w:rFonts w:hint="eastAsia" w:ascii="宋体" w:hAnsi="宋体" w:eastAsia="宋体" w:cs="宋体"/>
          <w:sz w:val="21"/>
        </w:rPr>
        <w:t>在客户端机器上实现软件的</w:t>
      </w:r>
    </w:p>
    <w:p>
      <w:pPr>
        <w:autoSpaceDE w:val="false"/>
        <w:autoSpaceDN w:val="false"/>
        <w:spacing w:line="280" w:lineRule="exact"/>
        <w:ind w:left="4380"/>
        <w:jc w:val="both"/>
      </w:pPr>
      <w:r>
        <w:rPr>
          <w:rFonts w:hint="eastAsia" w:ascii="宋体" w:hAnsi="宋体" w:eastAsia="宋体" w:cs="宋体"/>
          <w:sz w:val="21"/>
        </w:rPr>
        <w:t>应用</w:t>
      </w:r>
      <w:r>
        <w:rPr>
          <w:rFonts w:hint="eastAsia" w:ascii="宋体" w:hAnsi="宋体" w:eastAsia="宋体" w:cs="宋体"/>
          <w:sz w:val="10"/>
        </w:rPr>
        <w:t>，</w:t>
      </w:r>
      <w:r>
        <w:rPr>
          <w:rFonts w:hint="eastAsia" w:ascii="宋体" w:hAnsi="宋体" w:eastAsia="宋体" w:cs="宋体"/>
          <w:sz w:val="21"/>
        </w:rPr>
        <w:t>是信息系统体系架构的</w:t>
      </w:r>
      <w:r>
        <w:rPr>
          <w:rFonts w:hint="eastAsia" w:ascii="宋体" w:hAnsi="宋体" w:eastAsia="宋体" w:cs="宋体"/>
          <w:sz w:val="20"/>
        </w:rPr>
        <w:t>一</w:t>
      </w:r>
      <w:r>
        <w:rPr>
          <w:rFonts w:hint="eastAsia" w:ascii="宋体" w:hAnsi="宋体" w:eastAsia="宋体" w:cs="宋体"/>
          <w:sz w:val="21"/>
        </w:rPr>
        <w:t>种</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20" w:lineRule="exact"/>
        <w:ind w:left="1780"/>
        <w:jc w:val="both"/>
      </w:pPr>
      <w:r>
        <w:rPr>
          <w:rFonts w:hint="eastAsia" w:ascii="Times New Roman" w:hAnsi="Times New Roman" w:eastAsia="Times New Roman" w:cs="Times New Roman"/>
          <w:sz w:val="21"/>
        </w:rPr>
        <w:t>NovMATE</w:t>
      </w:r>
      <w:r>
        <w:tab/>
      </w:r>
      <w:r>
        <w:rPr>
          <w:rFonts w:hint="eastAsia" w:ascii="宋体" w:hAnsi="宋体" w:eastAsia="宋体" w:cs="宋体"/>
          <w:sz w:val="21"/>
        </w:rPr>
        <w:t>指</w:t>
      </w:r>
      <w:r>
        <w:tab/>
      </w:r>
      <w:r>
        <w:rPr>
          <w:rFonts w:hint="eastAsia" w:ascii="宋体" w:hAnsi="宋体" w:eastAsia="宋体" w:cs="宋体"/>
          <w:sz w:val="21"/>
        </w:rPr>
        <w:t>公司推出的热备份与安全监控系统</w:t>
      </w:r>
    </w:p>
    <w:p>
      <w:pPr>
        <w:spacing w:line="200" w:lineRule="exact"/>
        <w:rPr>
          <w:rFonts w:hint="eastAsia" w:ascii="宋体" w:hAnsi="宋体" w:eastAsia="宋体" w:cs="宋体"/>
          <w:sz w:val="20"/>
        </w:rPr>
      </w:pPr>
    </w:p>
    <w:p>
      <w:pPr>
        <w:autoSpaceDE w:val="false"/>
        <w:autoSpaceDN w:val="false"/>
        <w:spacing w:line="240" w:lineRule="exact"/>
        <w:ind w:left="4380"/>
        <w:jc w:val="both"/>
      </w:pPr>
      <w:r>
        <w:rPr>
          <w:rFonts w:hint="eastAsia" w:ascii="Times New Roman" w:hAnsi="Times New Roman" w:eastAsia="Times New Roman" w:cs="Times New Roman"/>
          <w:sz w:val="21"/>
        </w:rPr>
        <w:t>Enterprise Service Bus</w:t>
      </w:r>
      <w:r>
        <w:rPr>
          <w:rFonts w:hint="eastAsia" w:ascii="宋体" w:hAnsi="宋体" w:eastAsia="宋体" w:cs="宋体"/>
          <w:sz w:val="10"/>
        </w:rPr>
        <w:t>，</w:t>
      </w:r>
      <w:r>
        <w:rPr>
          <w:rFonts w:hint="eastAsia" w:ascii="宋体" w:hAnsi="宋体" w:eastAsia="宋体" w:cs="宋体"/>
          <w:sz w:val="21"/>
        </w:rPr>
        <w:t>即企业服务总线</w:t>
      </w:r>
      <w:r>
        <w:rPr>
          <w:rFonts w:hint="eastAsia" w:ascii="宋体" w:hAnsi="宋体" w:eastAsia="宋体" w:cs="宋体"/>
          <w:sz w:val="10"/>
        </w:rPr>
        <w:t>。</w:t>
      </w:r>
      <w:r>
        <w:rPr>
          <w:rFonts w:hint="eastAsia" w:ascii="宋体" w:hAnsi="宋体" w:eastAsia="宋体" w:cs="宋体"/>
          <w:sz w:val="21"/>
        </w:rPr>
        <w:t>是实现不同</w:t>
      </w:r>
      <w:r>
        <w:rPr>
          <w:rFonts w:hint="eastAsia" w:ascii="Times New Roman" w:hAnsi="Times New Roman" w:eastAsia="Times New Roman" w:cs="Times New Roman"/>
          <w:sz w:val="21"/>
        </w:rPr>
        <w:t xml:space="preserve"> IT</w:t>
      </w:r>
      <w:r>
        <w:rPr>
          <w:rFonts w:hint="eastAsia" w:ascii="宋体" w:hAnsi="宋体" w:eastAsia="宋体" w:cs="宋体"/>
          <w:sz w:val="21"/>
        </w:rPr>
        <w:t xml:space="preserve"> 系统和</w:t>
      </w:r>
    </w:p>
    <w:p>
      <w:pPr>
        <w:sectPr>
          <w:type w:val="nextPage"/>
          <w:pgSz w:w="11900" w:h="16820"/>
          <w:pgMar w:top="0" w:right="0" w:bottom="0" w:left="0"/>
        </w:sectPr>
      </w:pPr>
    </w:p>
    <w:p>
      <w:pPr>
        <w:tabs>
          <w:tab w:val="left" w:pos="3680"/>
        </w:tabs>
        <w:autoSpaceDE w:val="false"/>
        <w:autoSpaceDN w:val="false"/>
        <w:spacing w:line="300" w:lineRule="exact"/>
        <w:ind w:left="1780"/>
        <w:jc w:val="both"/>
      </w:pPr>
      <w:r>
        <w:rPr>
          <w:rFonts w:hint="eastAsia" w:ascii="Times New Roman" w:hAnsi="Times New Roman" w:eastAsia="Times New Roman" w:cs="Times New Roman"/>
          <w:sz w:val="21"/>
        </w:rPr>
        <w:t>ESB</w:t>
      </w:r>
      <w:r>
        <w:tab/>
      </w:r>
      <w:r>
        <w:rPr>
          <w:rFonts w:hint="eastAsia" w:ascii="宋体" w:hAnsi="宋体" w:eastAsia="宋体" w:cs="宋体"/>
          <w:sz w:val="21"/>
        </w:rPr>
        <w:t>指</w:t>
      </w:r>
    </w:p>
    <w:p>
      <w:pPr>
        <w:autoSpaceDE w:val="false"/>
        <w:autoSpaceDN w:val="false"/>
        <w:spacing w:line="260" w:lineRule="exact"/>
        <w:ind w:left="0" w:right="0"/>
        <w:jc w:val="both"/>
      </w:pPr>
      <w:r>
        <w:br w:type="column"/>
      </w:r>
      <w:r>
        <w:rPr>
          <w:rFonts w:hint="eastAsia" w:ascii="宋体" w:hAnsi="宋体" w:eastAsia="宋体" w:cs="宋体"/>
          <w:sz w:val="21"/>
        </w:rPr>
        <w:t>服务之间通信和整合</w:t>
      </w:r>
      <w:r>
        <w:rPr>
          <w:rFonts w:hint="eastAsia" w:ascii="宋体" w:hAnsi="宋体" w:eastAsia="宋体" w:cs="宋体"/>
          <w:sz w:val="20"/>
        </w:rPr>
        <w:t>一</w:t>
      </w:r>
      <w:r>
        <w:rPr>
          <w:rFonts w:hint="eastAsia" w:ascii="宋体" w:hAnsi="宋体" w:eastAsia="宋体" w:cs="宋体"/>
          <w:sz w:val="21"/>
        </w:rPr>
        <w:t>种基础工具</w:t>
      </w:r>
      <w:r>
        <w:rPr>
          <w:rFonts w:hint="eastAsia" w:ascii="宋体" w:hAnsi="宋体" w:eastAsia="宋体" w:cs="宋体"/>
          <w:sz w:val="10"/>
        </w:rPr>
        <w:t>。</w:t>
      </w:r>
      <w:r>
        <w:rPr>
          <w:rFonts w:hint="eastAsia" w:ascii="宋体" w:hAnsi="宋体" w:eastAsia="宋体" w:cs="宋体"/>
          <w:sz w:val="21"/>
        </w:rPr>
        <w:t>从功能上看</w:t>
      </w:r>
      <w:r>
        <w:rPr>
          <w:rFonts w:hint="eastAsia" w:ascii="宋体" w:hAnsi="宋体" w:eastAsia="宋体" w:cs="宋体"/>
          <w:sz w:val="10"/>
        </w:rPr>
        <w:t>，</w:t>
      </w:r>
      <w:r>
        <w:rPr>
          <w:rFonts w:hint="eastAsia" w:ascii="Times New Roman" w:hAnsi="Times New Roman" w:eastAsia="Times New Roman" w:cs="Times New Roman"/>
          <w:sz w:val="21"/>
        </w:rPr>
        <w:t>ESB</w:t>
      </w:r>
      <w:r>
        <w:rPr>
          <w:rFonts w:hint="eastAsia" w:ascii="宋体" w:hAnsi="宋体" w:eastAsia="宋体" w:cs="宋体"/>
          <w:sz w:val="21"/>
        </w:rPr>
        <w:t xml:space="preserve"> 提供了事件驱动和文档导向的处理模式</w:t>
      </w:r>
      <w:r>
        <w:rPr>
          <w:rFonts w:hint="eastAsia" w:ascii="宋体" w:hAnsi="宋体" w:eastAsia="宋体" w:cs="宋体"/>
          <w:sz w:val="10"/>
        </w:rPr>
        <w:t>，</w:t>
      </w:r>
      <w:r>
        <w:rPr>
          <w:rFonts w:hint="eastAsia" w:ascii="宋体" w:hAnsi="宋体" w:eastAsia="宋体" w:cs="宋体"/>
          <w:sz w:val="21"/>
        </w:rPr>
        <w:t>以及分布式的运行管理机制</w:t>
      </w:r>
      <w:r>
        <w:rPr>
          <w:rFonts w:hint="eastAsia" w:ascii="宋体" w:hAnsi="宋体" w:eastAsia="宋体" w:cs="宋体"/>
          <w:sz w:val="10"/>
        </w:rPr>
        <w:t>，</w:t>
      </w:r>
    </w:p>
    <w:p>
      <w:pPr>
        <w:sectPr>
          <w:type w:val="continuous"/>
          <w:pgSz w:w="11900" w:h="16820"/>
          <w:pgMar w:top="0" w:right="0" w:bottom="0" w:left="0"/>
          <w:cols w:equalWidth="false" w:num="2" w:sep="false">
            <w:col w:w="3960" w:space="420"/>
            <w:col w:w="5880"/>
          </w:cols>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1-1-24</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3072" behindDoc="false" locked="false" layoutInCell="true" allowOverlap="true">
                <wp:simplePos x="0" y="0"/>
                <wp:positionH relativeFrom="page">
                  <wp:posOffset>1066800</wp:posOffset>
                </wp:positionH>
                <wp:positionV relativeFrom="page">
                  <wp:posOffset>1511300</wp:posOffset>
                </wp:positionV>
                <wp:extent cx="1460500" cy="203200"/>
                <wp:effectExtent l="0" t="0" r="22225" b="31115"/>
                <wp:wrapNone/>
                <wp:docPr id="96" name="shape96"/>
                <wp:cNvGraphicFramePr/>
                <a:graphic>
                  <a:graphicData uri="http://schemas.microsoft.com/office/word/2010/wordprocessingShape">
                    <wps:wsp>
                      <wps:cNvSpPr/>
                      <wps:spPr>
                        <a:xfrm>
                          <a:off x="0" y="0"/>
                          <a:ext cx="1460500" cy="203200"/>
                        </a:xfrm>
                        <a:prstGeom prst="rect">
                          <a:avLst/>
                        </a:prstGeom>
                      </wps:spPr>
                      <wps:txbx>
                        <w:txbxContent>
                          <w:p>
                            <w:pPr>
                              <w:tabs>
                                <w:tab w:val="left" w:pos="2000"/>
                              </w:tabs>
                              <w:spacing w:line="-220" w:lineRule="exact"/>
                              <w:ind w:left="0"/>
                              <w:jc w:val="both"/>
                            </w:pPr>
                            <w:r>
                              <w:rPr>
                                <w:rFonts w:hint="eastAsia" w:ascii="Times New Roman" w:hAnsi="Times New Roman" w:eastAsia="Times New Roman" w:cs="Times New Roman"/>
                                <w:sz w:val="21"/>
                              </w:rPr>
                              <w:t>SOA</w:t>
                            </w:r>
                            <w:r>
                              <w:tab/>
                            </w:r>
                            <w:r>
                              <w:rPr>
                                <w:rFonts w:hint="eastAsia" w:ascii="宋体" w:hAnsi="宋体" w:eastAsia="宋体" w:cs="宋体"/>
                                <w:sz w:val="21"/>
                              </w:rPr>
                              <w:t>指</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5pt;height:16pt;margin-left:84pt;margin-top:119pt;mso-wrap-style:none;z-index:10253072;mso-wrap-distance-left:9pt;mso-wrap-distance-top:0pt;mso-wrap-distance-right:9pt;mso-wrap-distance-bottom:0pt" id="shape96" o:spid="1618382345379" stroked="f">
                <v:textbox>
                  <w:txbxContent>
                    <w:p>
                      <w:pPr>
                        <w:tabs>
                          <w:tab w:val="left" w:pos="2000"/>
                        </w:tabs>
                        <w:spacing w:line="-220" w:lineRule="exact"/>
                        <w:ind w:left="0"/>
                        <w:jc w:val="both"/>
                      </w:pPr>
                      <w:r>
                        <w:rPr>
                          <w:rFonts w:hint="eastAsia" w:ascii="Times New Roman" w:hAnsi="Times New Roman" w:eastAsia="Times New Roman" w:cs="Times New Roman"/>
                          <w:sz w:val="21"/>
                        </w:rPr>
                        <w:t>SOA</w:t>
                      </w:r>
                      <w:r>
                        <w:tab/>
                      </w:r>
                      <w:r>
                        <w:rPr>
                          <w:rFonts w:hint="eastAsia" w:ascii="宋体" w:hAnsi="宋体" w:eastAsia="宋体" w:cs="宋体"/>
                          <w:sz w:val="21"/>
                        </w:rPr>
                        <w:t>指</w:t>
                      </w:r>
                    </w:p>
                  </w:txbxContent>
                </v:textbox>
              </v:rect>
            </w:pict>
          </mc:Fallback>
        </mc:AlternateContent>
      </w:r>
      <w:r>
        <mc:AlternateContent>
          <mc:Choice Requires="wps">
            <w:drawing>
              <wp:anchor distT="0" distB="0" distL="114300" distR="114300" simplePos="false" relativeHeight="10254096" behindDoc="false" locked="false" layoutInCell="true" allowOverlap="true">
                <wp:simplePos x="0" y="0"/>
                <wp:positionH relativeFrom="page">
                  <wp:posOffset>1066800</wp:posOffset>
                </wp:positionH>
                <wp:positionV relativeFrom="page">
                  <wp:posOffset>3822700</wp:posOffset>
                </wp:positionV>
                <wp:extent cx="1460500" cy="203200"/>
                <wp:effectExtent l="0" t="0" r="22225" b="31115"/>
                <wp:wrapNone/>
                <wp:docPr id="97" name="shape97"/>
                <wp:cNvGraphicFramePr/>
                <a:graphic>
                  <a:graphicData uri="http://schemas.microsoft.com/office/word/2010/wordprocessingShape">
                    <wps:wsp>
                      <wps:cNvSpPr/>
                      <wps:spPr>
                        <a:xfrm>
                          <a:off x="0" y="0"/>
                          <a:ext cx="1460500" cy="203200"/>
                        </a:xfrm>
                        <a:prstGeom prst="rect">
                          <a:avLst/>
                        </a:prstGeom>
                      </wps:spPr>
                      <wps:txbx>
                        <w:txbxContent>
                          <w:p>
                            <w:pPr>
                              <w:tabs>
                                <w:tab w:val="left" w:pos="2000"/>
                              </w:tabs>
                              <w:spacing w:line="-220" w:lineRule="exact"/>
                              <w:ind w:left="0"/>
                              <w:jc w:val="both"/>
                            </w:pPr>
                            <w:r>
                              <w:rPr>
                                <w:rFonts w:hint="eastAsia" w:ascii="Times New Roman" w:hAnsi="Times New Roman" w:eastAsia="Times New Roman" w:cs="Times New Roman"/>
                                <w:sz w:val="21"/>
                              </w:rPr>
                              <w:t>CEP</w:t>
                            </w:r>
                            <w:r>
                              <w:rPr>
                                <w:rFonts w:hint="eastAsia" w:ascii="宋体" w:hAnsi="宋体" w:eastAsia="宋体" w:cs="宋体"/>
                                <w:sz w:val="21"/>
                              </w:rPr>
                              <w:t xml:space="preserve"> 平台</w:t>
                            </w:r>
                            <w:r>
                              <w:tab/>
                            </w:r>
                            <w:r>
                              <w:rPr>
                                <w:rFonts w:hint="eastAsia" w:ascii="宋体" w:hAnsi="宋体" w:eastAsia="宋体" w:cs="宋体"/>
                                <w:sz w:val="21"/>
                              </w:rPr>
                              <w:t>指</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5pt;height:16pt;margin-left:84pt;margin-top:301pt;mso-wrap-style:none;z-index:10254096;mso-wrap-distance-left:9pt;mso-wrap-distance-top:0pt;mso-wrap-distance-right:9pt;mso-wrap-distance-bottom:0pt" id="shape97" o:spid="1618382345381" stroked="f">
                <v:textbox>
                  <w:txbxContent>
                    <w:p>
                      <w:pPr>
                        <w:tabs>
                          <w:tab w:val="left" w:pos="2000"/>
                        </w:tabs>
                        <w:spacing w:line="-220" w:lineRule="exact"/>
                        <w:ind w:left="0"/>
                        <w:jc w:val="both"/>
                      </w:pPr>
                      <w:r>
                        <w:rPr>
                          <w:rFonts w:hint="eastAsia" w:ascii="Times New Roman" w:hAnsi="Times New Roman" w:eastAsia="Times New Roman" w:cs="Times New Roman"/>
                          <w:sz w:val="21"/>
                        </w:rPr>
                        <w:t>CEP</w:t>
                      </w:r>
                      <w:r>
                        <w:rPr>
                          <w:rFonts w:hint="eastAsia" w:ascii="宋体" w:hAnsi="宋体" w:eastAsia="宋体" w:cs="宋体"/>
                          <w:sz w:val="21"/>
                        </w:rPr>
                        <w:t xml:space="preserve"> 平台</w:t>
                      </w:r>
                      <w:r>
                        <w:tab/>
                      </w:r>
                      <w:r>
                        <w:rPr>
                          <w:rFonts w:hint="eastAsia" w:ascii="宋体" w:hAnsi="宋体" w:eastAsia="宋体" w:cs="宋体"/>
                          <w:sz w:val="21"/>
                        </w:rPr>
                        <w:t>指</w:t>
                      </w:r>
                    </w:p>
                  </w:txbxContent>
                </v:textbox>
              </v:rect>
            </w:pict>
          </mc:Fallback>
        </mc:AlternateContent>
      </w:r>
      <w:r>
        <mc:AlternateContent>
          <mc:Choice Requires="wps">
            <w:drawing>
              <wp:anchor distT="0" distB="0" distL="114300" distR="114300" simplePos="false" relativeHeight="10255120" behindDoc="false" locked="false" layoutInCell="true" allowOverlap="true">
                <wp:simplePos x="0" y="0"/>
                <wp:positionH relativeFrom="page">
                  <wp:posOffset>1066800</wp:posOffset>
                </wp:positionH>
                <wp:positionV relativeFrom="page">
                  <wp:posOffset>5778500</wp:posOffset>
                </wp:positionV>
                <wp:extent cx="1460500" cy="203200"/>
                <wp:effectExtent l="0" t="0" r="22225" b="31115"/>
                <wp:wrapNone/>
                <wp:docPr id="98" name="shape98"/>
                <wp:cNvGraphicFramePr/>
                <a:graphic>
                  <a:graphicData uri="http://schemas.microsoft.com/office/word/2010/wordprocessingShape">
                    <wps:wsp>
                      <wps:cNvSpPr/>
                      <wps:spPr>
                        <a:xfrm>
                          <a:off x="0" y="0"/>
                          <a:ext cx="1460500" cy="203200"/>
                        </a:xfrm>
                        <a:prstGeom prst="rect">
                          <a:avLst/>
                        </a:prstGeom>
                      </wps:spPr>
                      <wps:txbx>
                        <w:txbxContent>
                          <w:p>
                            <w:pPr>
                              <w:tabs>
                                <w:tab w:val="left" w:pos="2000"/>
                              </w:tabs>
                              <w:spacing w:line="-220" w:lineRule="exact"/>
                              <w:ind w:left="0"/>
                              <w:jc w:val="both"/>
                            </w:pPr>
                            <w:r>
                              <w:rPr>
                                <w:rFonts w:hint="eastAsia" w:ascii="宋体" w:hAnsi="宋体" w:eastAsia="宋体" w:cs="宋体"/>
                                <w:sz w:val="21"/>
                              </w:rPr>
                              <w:t>互联网</w:t>
                            </w:r>
                            <w:r>
                              <w:rPr>
                                <w:rFonts w:hint="eastAsia" w:ascii="Times New Roman" w:hAnsi="Times New Roman" w:eastAsia="Times New Roman" w:cs="Times New Roman"/>
                                <w:sz w:val="21"/>
                              </w:rPr>
                              <w:t>+</w:t>
                            </w:r>
                            <w:r>
                              <w:tab/>
                            </w:r>
                            <w:r>
                              <w:rPr>
                                <w:rFonts w:hint="eastAsia" w:ascii="宋体" w:hAnsi="宋体" w:eastAsia="宋体" w:cs="宋体"/>
                                <w:sz w:val="21"/>
                              </w:rPr>
                              <w:t>指</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5pt;height:16pt;margin-left:84pt;margin-top:455pt;mso-wrap-style:none;z-index:10255120;mso-wrap-distance-left:9pt;mso-wrap-distance-top:0pt;mso-wrap-distance-right:9pt;mso-wrap-distance-bottom:0pt" id="shape98" o:spid="1618382345382" stroked="f">
                <v:textbox>
                  <w:txbxContent>
                    <w:p>
                      <w:pPr>
                        <w:tabs>
                          <w:tab w:val="left" w:pos="2000"/>
                        </w:tabs>
                        <w:spacing w:line="-220" w:lineRule="exact"/>
                        <w:ind w:left="0"/>
                        <w:jc w:val="both"/>
                      </w:pPr>
                      <w:r>
                        <w:rPr>
                          <w:rFonts w:hint="eastAsia" w:ascii="宋体" w:hAnsi="宋体" w:eastAsia="宋体" w:cs="宋体"/>
                          <w:sz w:val="21"/>
                        </w:rPr>
                        <w:t>互联网</w:t>
                      </w:r>
                      <w:r>
                        <w:rPr>
                          <w:rFonts w:hint="eastAsia" w:ascii="Times New Roman" w:hAnsi="Times New Roman" w:eastAsia="Times New Roman" w:cs="Times New Roman"/>
                          <w:sz w:val="21"/>
                        </w:rPr>
                        <w:t>+</w:t>
                      </w:r>
                      <w:r>
                        <w:tab/>
                      </w:r>
                      <w:r>
                        <w:rPr>
                          <w:rFonts w:hint="eastAsia" w:ascii="宋体" w:hAnsi="宋体" w:eastAsia="宋体" w:cs="宋体"/>
                          <w:sz w:val="21"/>
                        </w:rPr>
                        <w:t>指</w:t>
                      </w:r>
                    </w:p>
                  </w:txbxContent>
                </v:textbox>
              </v:rect>
            </w:pict>
          </mc:Fallback>
        </mc:AlternateContent>
      </w:r>
      <w:r>
        <mc:AlternateContent>
          <mc:Choice Requires="wps">
            <w:drawing>
              <wp:anchor distT="0" distB="0" distL="114300" distR="114300" simplePos="false" relativeHeight="10256144" behindDoc="false" locked="false" layoutInCell="true" allowOverlap="true">
                <wp:simplePos x="0" y="0"/>
                <wp:positionH relativeFrom="page">
                  <wp:posOffset>2273300</wp:posOffset>
                </wp:positionH>
                <wp:positionV relativeFrom="page">
                  <wp:posOffset>6769100</wp:posOffset>
                </wp:positionV>
                <wp:extent cx="254000" cy="190500"/>
                <wp:effectExtent l="0" t="0" r="22225" b="31115"/>
                <wp:wrapNone/>
                <wp:docPr id="99" name="shape99"/>
                <wp:cNvGraphicFramePr/>
                <a:graphic>
                  <a:graphicData uri="http://schemas.microsoft.com/office/word/2010/wordprocessingShape">
                    <wps:wsp>
                      <wps:cNvSpPr/>
                      <wps:spPr>
                        <a:xfrm>
                          <a:off x="0" y="0"/>
                          <a:ext cx="254000" cy="190500"/>
                        </a:xfrm>
                        <a:prstGeom prst="rect">
                          <a:avLst/>
                        </a:prstGeom>
                      </wps:spPr>
                      <wps:txbx>
                        <w:txbxContent>
                          <w:p>
                            <w:pPr>
                              <w:spacing w:line="-200" w:lineRule="exact"/>
                              <w:ind w:left="0"/>
                              <w:jc w:val="both"/>
                            </w:pPr>
                            <w:r>
                              <w:rPr>
                                <w:rFonts w:hint="eastAsia" w:ascii="宋体" w:hAnsi="宋体" w:eastAsia="宋体" w:cs="宋体"/>
                                <w:sz w:val="21"/>
                              </w:rPr>
                              <w:t>指</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0pt;height:15pt;margin-left:179pt;margin-top:533pt;mso-wrap-style:none;z-index:10256144;mso-wrap-distance-left:9pt;mso-wrap-distance-top:0pt;mso-wrap-distance-right:9pt;mso-wrap-distance-bottom:0pt" id="shape99" o:spid="1618382345382" stroked="f">
                <v:textbox>
                  <w:txbxContent>
                    <w:p>
                      <w:pPr>
                        <w:spacing w:line="-200" w:lineRule="exact"/>
                        <w:ind w:left="0"/>
                        <w:jc w:val="both"/>
                      </w:pPr>
                      <w:r>
                        <w:rPr>
                          <w:rFonts w:hint="eastAsia" w:ascii="宋体" w:hAnsi="宋体" w:eastAsia="宋体" w:cs="宋体"/>
                          <w:sz w:val="21"/>
                        </w:rPr>
                        <w:t>指</w:t>
                      </w:r>
                    </w:p>
                  </w:txbxContent>
                </v:textbox>
              </v:rect>
            </w:pict>
          </mc:Fallback>
        </mc:AlternateContent>
      </w:r>
    </w:p>
    <w:p>
      <w:pPr>
        <w:spacing w:line="200" w:lineRule="exact"/>
        <w:rPr>
          <w:rFonts w:hint="eastAsia" w:ascii="宋体" w:hAnsi="宋体" w:eastAsia="宋体" w:cs="宋体"/>
          <w:sz w:val="20"/>
        </w:rPr>
      </w:pPr>
    </w:p>
    <w:p>
      <w:pPr>
        <w:autoSpaceDE w:val="false"/>
        <w:autoSpaceDN w:val="false"/>
        <w:spacing w:line="320" w:lineRule="exact"/>
        <w:ind w:left="4380" w:right="1760"/>
        <w:jc w:val="both"/>
      </w:pPr>
      <w:r>
        <w:rPr>
          <w:rFonts w:hint="eastAsia" w:ascii="宋体" w:hAnsi="宋体" w:eastAsia="宋体" w:cs="宋体"/>
          <w:sz w:val="21"/>
        </w:rPr>
        <w:t>它支持基于内容的路由和过滤</w:t>
      </w:r>
      <w:r>
        <w:rPr>
          <w:rFonts w:hint="eastAsia" w:ascii="宋体" w:hAnsi="宋体" w:eastAsia="宋体" w:cs="宋体"/>
          <w:sz w:val="10"/>
        </w:rPr>
        <w:t>，</w:t>
      </w:r>
      <w:r>
        <w:rPr>
          <w:rFonts w:hint="eastAsia" w:ascii="宋体" w:hAnsi="宋体" w:eastAsia="宋体" w:cs="宋体"/>
          <w:sz w:val="21"/>
        </w:rPr>
        <w:t>具备了复杂数据的传输能力</w:t>
      </w:r>
      <w:r>
        <w:rPr>
          <w:rFonts w:hint="eastAsia" w:ascii="宋体" w:hAnsi="宋体" w:eastAsia="宋体" w:cs="宋体"/>
          <w:sz w:val="10"/>
        </w:rPr>
        <w:t>，</w:t>
      </w:r>
      <w:r>
        <w:rPr>
          <w:rFonts w:hint="eastAsia" w:ascii="宋体" w:hAnsi="宋体" w:eastAsia="宋体" w:cs="宋体"/>
          <w:sz w:val="21"/>
        </w:rPr>
        <w:t>并可以提供</w:t>
      </w:r>
      <w:r>
        <w:rPr>
          <w:rFonts w:hint="eastAsia" w:ascii="宋体" w:hAnsi="宋体" w:eastAsia="宋体" w:cs="宋体"/>
          <w:sz w:val="20"/>
        </w:rPr>
        <w:t>一</w:t>
      </w:r>
      <w:r>
        <w:rPr>
          <w:rFonts w:hint="eastAsia" w:ascii="宋体" w:hAnsi="宋体" w:eastAsia="宋体" w:cs="宋体"/>
          <w:sz w:val="21"/>
        </w:rPr>
        <w:t>系列的标准接口</w:t>
      </w:r>
    </w:p>
    <w:p>
      <w:pPr>
        <w:spacing w:line="200" w:lineRule="exact"/>
        <w:rPr>
          <w:rFonts w:hint="eastAsia" w:ascii="宋体" w:hAnsi="宋体" w:eastAsia="宋体" w:cs="宋体"/>
          <w:sz w:val="20"/>
        </w:rPr>
      </w:pPr>
    </w:p>
    <w:p>
      <w:pPr>
        <w:autoSpaceDE w:val="false"/>
        <w:autoSpaceDN w:val="false"/>
        <w:spacing w:line="240" w:lineRule="exact"/>
        <w:ind w:left="4380" w:right="1600"/>
        <w:jc w:val="both"/>
      </w:pPr>
      <w:r>
        <w:rPr>
          <w:rFonts w:hint="eastAsia" w:ascii="宋体" w:hAnsi="宋体" w:eastAsia="宋体" w:cs="宋体"/>
          <w:sz w:val="21"/>
        </w:rPr>
        <w:t>面向服务的体系结构</w:t>
      </w:r>
      <w:r>
        <w:rPr>
          <w:rFonts w:hint="eastAsia" w:ascii="宋体" w:hAnsi="宋体" w:eastAsia="宋体" w:cs="宋体"/>
          <w:sz w:val="20"/>
        </w:rPr>
        <w:t>（</w:t>
      </w:r>
      <w:r>
        <w:rPr>
          <w:rFonts w:hint="eastAsia" w:ascii="Times New Roman" w:hAnsi="Times New Roman" w:eastAsia="Times New Roman" w:cs="Times New Roman"/>
          <w:sz w:val="21"/>
        </w:rPr>
        <w:t>Service-Oriented Architecture</w:t>
      </w:r>
      <w:r>
        <w:rPr>
          <w:rFonts w:hint="eastAsia" w:ascii="宋体" w:hAnsi="宋体" w:eastAsia="宋体" w:cs="宋体"/>
          <w:sz w:val="10"/>
        </w:rPr>
        <w:t>，</w:t>
      </w:r>
      <w:r>
        <w:rPr>
          <w:rFonts w:hint="eastAsia" w:ascii="Times New Roman" w:hAnsi="Times New Roman" w:eastAsia="Times New Roman" w:cs="Times New Roman"/>
          <w:sz w:val="21"/>
        </w:rPr>
        <w:t>SOA</w:t>
      </w:r>
      <w:r>
        <w:rPr>
          <w:rFonts w:hint="eastAsia" w:ascii="宋体" w:hAnsi="宋体" w:eastAsia="宋体" w:cs="宋体"/>
          <w:sz w:val="10"/>
        </w:rPr>
        <w:t>。</w:t>
      </w:r>
      <w:r>
        <w:rPr>
          <w:rFonts w:hint="eastAsia" w:ascii="宋体" w:hAnsi="宋体" w:eastAsia="宋体" w:cs="宋体"/>
          <w:sz w:val="21"/>
        </w:rPr>
        <w:t>它是</w:t>
      </w:r>
      <w:r>
        <w:rPr>
          <w:rFonts w:hint="eastAsia" w:ascii="宋体" w:hAnsi="宋体" w:eastAsia="宋体" w:cs="宋体"/>
          <w:sz w:val="20"/>
        </w:rPr>
        <w:t>一</w:t>
      </w:r>
      <w:r>
        <w:rPr>
          <w:rFonts w:hint="eastAsia" w:ascii="宋体" w:hAnsi="宋体" w:eastAsia="宋体" w:cs="宋体"/>
          <w:sz w:val="21"/>
        </w:rPr>
        <w:t>个组件模型</w:t>
      </w:r>
      <w:r>
        <w:rPr>
          <w:rFonts w:hint="eastAsia" w:ascii="宋体" w:hAnsi="宋体" w:eastAsia="宋体" w:cs="宋体"/>
          <w:sz w:val="10"/>
        </w:rPr>
        <w:t>，</w:t>
      </w:r>
      <w:r>
        <w:rPr>
          <w:rFonts w:hint="eastAsia" w:ascii="宋体" w:hAnsi="宋体" w:eastAsia="宋体" w:cs="宋体"/>
          <w:sz w:val="21"/>
        </w:rPr>
        <w:t>将应用程序的不同功能单元</w:t>
      </w:r>
      <w:r>
        <w:rPr>
          <w:rFonts w:hint="eastAsia" w:ascii="宋体" w:hAnsi="宋体" w:eastAsia="宋体" w:cs="宋体"/>
          <w:sz w:val="20"/>
        </w:rPr>
        <w:t>（</w:t>
      </w:r>
      <w:r>
        <w:rPr>
          <w:rFonts w:hint="eastAsia" w:ascii="宋体" w:hAnsi="宋体" w:eastAsia="宋体" w:cs="宋体"/>
          <w:sz w:val="21"/>
        </w:rPr>
        <w:t>称为服务</w:t>
      </w:r>
      <w:r>
        <w:rPr>
          <w:rFonts w:hint="eastAsia" w:ascii="宋体" w:hAnsi="宋体" w:eastAsia="宋体" w:cs="宋体"/>
          <w:sz w:val="20"/>
        </w:rPr>
        <w:t>）</w:t>
      </w:r>
      <w:r>
        <w:rPr>
          <w:rFonts w:hint="eastAsia" w:ascii="宋体" w:hAnsi="宋体" w:eastAsia="宋体" w:cs="宋体"/>
          <w:sz w:val="21"/>
        </w:rPr>
        <w:t>通</w:t>
      </w:r>
    </w:p>
    <w:p>
      <w:pPr>
        <w:autoSpaceDE w:val="false"/>
        <w:autoSpaceDN w:val="false"/>
        <w:spacing w:line="260" w:lineRule="exact"/>
        <w:ind w:left="4380"/>
        <w:jc w:val="both"/>
      </w:pPr>
      <w:r>
        <w:rPr>
          <w:rFonts w:hint="eastAsia" w:ascii="宋体" w:hAnsi="宋体" w:eastAsia="宋体" w:cs="宋体"/>
          <w:sz w:val="21"/>
        </w:rPr>
        <w:t>过这些服务之间定义良好的接口和契约联系起来</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40" w:lineRule="exact"/>
        <w:ind w:left="1780"/>
        <w:jc w:val="both"/>
      </w:pPr>
      <w:r>
        <w:rPr>
          <w:rFonts w:hint="eastAsia" w:ascii="Times New Roman" w:hAnsi="Times New Roman" w:eastAsia="Times New Roman" w:cs="Times New Roman"/>
          <w:sz w:val="21"/>
        </w:rPr>
        <w:t>CRM</w:t>
      </w:r>
      <w:r>
        <w:tab/>
      </w:r>
      <w:r>
        <w:rPr>
          <w:rFonts w:hint="eastAsia" w:ascii="宋体" w:hAnsi="宋体" w:eastAsia="宋体" w:cs="宋体"/>
          <w:sz w:val="21"/>
        </w:rPr>
        <w:t>指</w:t>
      </w:r>
      <w:r>
        <w:tab/>
      </w:r>
      <w:r>
        <w:rPr>
          <w:rFonts w:hint="eastAsia" w:ascii="Times New Roman" w:hAnsi="Times New Roman" w:eastAsia="Times New Roman" w:cs="Times New Roman"/>
          <w:sz w:val="21"/>
        </w:rPr>
        <w:t>Customer Relationship Management</w:t>
      </w:r>
      <w:r>
        <w:rPr>
          <w:rFonts w:hint="eastAsia" w:ascii="宋体" w:hAnsi="宋体" w:eastAsia="宋体" w:cs="宋体"/>
          <w:sz w:val="10"/>
        </w:rPr>
        <w:t>，</w:t>
      </w:r>
      <w:r>
        <w:rPr>
          <w:rFonts w:hint="eastAsia" w:ascii="宋体" w:hAnsi="宋体" w:eastAsia="宋体" w:cs="宋体"/>
          <w:sz w:val="21"/>
        </w:rPr>
        <w:t>客户关系管理</w:t>
      </w:r>
    </w:p>
    <w:p>
      <w:pPr>
        <w:spacing w:line="200" w:lineRule="exact"/>
        <w:rPr>
          <w:rFonts w:hint="eastAsia" w:ascii="宋体" w:hAnsi="宋体" w:eastAsia="宋体" w:cs="宋体"/>
          <w:sz w:val="20"/>
        </w:rPr>
      </w:pPr>
    </w:p>
    <w:p>
      <w:pPr>
        <w:autoSpaceDE w:val="false"/>
        <w:autoSpaceDN w:val="false"/>
        <w:spacing w:line="220" w:lineRule="exact"/>
        <w:ind w:left="4380"/>
        <w:jc w:val="both"/>
      </w:pPr>
      <w:r>
        <w:rPr>
          <w:rFonts w:hint="eastAsia" w:ascii="Times New Roman" w:hAnsi="Times New Roman" w:eastAsia="Times New Roman" w:cs="Times New Roman"/>
          <w:sz w:val="21"/>
        </w:rPr>
        <w:t>Customer Information File</w:t>
      </w:r>
      <w:r>
        <w:rPr>
          <w:rFonts w:hint="eastAsia" w:ascii="宋体" w:hAnsi="宋体" w:eastAsia="宋体" w:cs="宋体"/>
          <w:sz w:val="10"/>
        </w:rPr>
        <w:t>，</w:t>
      </w:r>
      <w:r>
        <w:rPr>
          <w:rFonts w:hint="eastAsia" w:ascii="宋体" w:hAnsi="宋体" w:eastAsia="宋体" w:cs="宋体"/>
          <w:sz w:val="21"/>
        </w:rPr>
        <w:t>客户信息文件</w:t>
      </w:r>
      <w:r>
        <w:rPr>
          <w:rFonts w:hint="eastAsia" w:ascii="宋体" w:hAnsi="宋体" w:eastAsia="宋体" w:cs="宋体"/>
          <w:sz w:val="10"/>
        </w:rPr>
        <w:t>。</w:t>
      </w:r>
      <w:r>
        <w:rPr>
          <w:rFonts w:hint="eastAsia" w:ascii="宋体" w:hAnsi="宋体" w:eastAsia="宋体" w:cs="宋体"/>
          <w:sz w:val="21"/>
        </w:rPr>
        <w:t>是客户资源管理系统</w:t>
      </w:r>
    </w:p>
    <w:p>
      <w:pPr>
        <w:sectPr>
          <w:type w:val="nextPage"/>
          <w:pgSz w:w="11900" w:h="16820"/>
          <w:pgMar w:top="0" w:right="0" w:bottom="0" w:left="0"/>
        </w:sectPr>
      </w:pPr>
    </w:p>
    <w:p>
      <w:pPr>
        <w:tabs>
          <w:tab w:val="left" w:pos="3680"/>
        </w:tabs>
        <w:autoSpaceDE w:val="false"/>
        <w:autoSpaceDN w:val="false"/>
        <w:spacing w:line="320" w:lineRule="exact"/>
        <w:ind w:left="1780"/>
        <w:jc w:val="both"/>
      </w:pPr>
      <w:r>
        <w:rPr>
          <w:rFonts w:hint="eastAsia" w:ascii="Times New Roman" w:hAnsi="Times New Roman" w:eastAsia="Times New Roman" w:cs="Times New Roman"/>
          <w:sz w:val="21"/>
        </w:rPr>
        <w:t>CIF</w:t>
      </w:r>
      <w:r>
        <w:tab/>
      </w:r>
      <w:r>
        <w:rPr>
          <w:rFonts w:hint="eastAsia" w:ascii="宋体" w:hAnsi="宋体" w:eastAsia="宋体" w:cs="宋体"/>
          <w:sz w:val="21"/>
        </w:rPr>
        <w:t>指</w:t>
      </w:r>
    </w:p>
    <w:p>
      <w:pPr>
        <w:autoSpaceDE w:val="false"/>
        <w:autoSpaceDN w:val="false"/>
        <w:spacing w:line="260" w:lineRule="exact"/>
        <w:ind w:left="0" w:right="0"/>
        <w:jc w:val="both"/>
      </w:pPr>
      <w:r>
        <w:br w:type="column"/>
      </w:r>
      <w:r>
        <w:rPr>
          <w:rFonts w:hint="eastAsia" w:ascii="宋体" w:hAnsi="宋体" w:eastAsia="宋体" w:cs="宋体"/>
          <w:sz w:val="21"/>
        </w:rPr>
        <w:t>中重要的组成部分</w:t>
      </w:r>
      <w:r>
        <w:rPr>
          <w:rFonts w:hint="eastAsia" w:ascii="宋体" w:hAnsi="宋体" w:eastAsia="宋体" w:cs="宋体"/>
          <w:sz w:val="10"/>
        </w:rPr>
        <w:t>，</w:t>
      </w:r>
      <w:r>
        <w:rPr>
          <w:rFonts w:hint="eastAsia" w:ascii="宋体" w:hAnsi="宋体" w:eastAsia="宋体" w:cs="宋体"/>
          <w:sz w:val="21"/>
        </w:rPr>
        <w:t>它为客户资源管理提供集合的</w:t>
      </w:r>
      <w:r>
        <w:rPr>
          <w:rFonts w:hint="eastAsia" w:ascii="宋体" w:hAnsi="宋体" w:eastAsia="宋体" w:cs="宋体"/>
          <w:sz w:val="10"/>
        </w:rPr>
        <w:t>、</w:t>
      </w:r>
      <w:r>
        <w:rPr>
          <w:rFonts w:hint="eastAsia" w:ascii="宋体" w:hAnsi="宋体" w:eastAsia="宋体" w:cs="宋体"/>
          <w:sz w:val="21"/>
        </w:rPr>
        <w:t>最基础的信息数据库</w:t>
      </w:r>
    </w:p>
    <w:p>
      <w:pPr>
        <w:sectPr>
          <w:type w:val="continuous"/>
          <w:pgSz w:w="11900" w:h="16820"/>
          <w:pgMar w:top="0" w:right="0" w:bottom="0" w:left="0"/>
          <w:cols w:equalWidth="false" w:num="2" w:sep="false">
            <w:col w:w="3960" w:space="420"/>
            <w:col w:w="5860"/>
          </w:cols>
        </w:sectPr>
      </w:pPr>
    </w:p>
    <w:p>
      <w:pPr>
        <w:spacing w:line="200" w:lineRule="exact"/>
        <w:rPr>
          <w:rFonts w:hint="eastAsia" w:ascii="宋体" w:hAnsi="宋体" w:eastAsia="宋体" w:cs="宋体"/>
          <w:sz w:val="20"/>
        </w:rPr>
      </w:pPr>
    </w:p>
    <w:p>
      <w:pPr>
        <w:autoSpaceDE w:val="false"/>
        <w:autoSpaceDN w:val="false"/>
        <w:spacing w:line="280" w:lineRule="exact"/>
        <w:ind w:left="4380"/>
        <w:jc w:val="both"/>
      </w:pPr>
      <w:r>
        <w:rPr>
          <w:rFonts w:hint="eastAsia" w:ascii="宋体" w:hAnsi="宋体" w:eastAsia="宋体" w:cs="宋体"/>
          <w:sz w:val="21"/>
        </w:rPr>
        <w:t>工作流</w:t>
      </w:r>
      <w:r>
        <w:rPr>
          <w:rFonts w:hint="eastAsia" w:ascii="宋体" w:hAnsi="宋体" w:eastAsia="宋体" w:cs="宋体"/>
          <w:sz w:val="20"/>
        </w:rPr>
        <w:t>（</w:t>
      </w:r>
      <w:r>
        <w:rPr>
          <w:rFonts w:hint="eastAsia" w:ascii="Times New Roman" w:hAnsi="Times New Roman" w:eastAsia="Times New Roman" w:cs="Times New Roman"/>
          <w:sz w:val="21"/>
        </w:rPr>
        <w:t>Workflow</w:t>
      </w:r>
      <w:r>
        <w:rPr>
          <w:rFonts w:hint="eastAsia" w:ascii="宋体" w:hAnsi="宋体" w:eastAsia="宋体" w:cs="宋体"/>
          <w:sz w:val="20"/>
        </w:rPr>
        <w:t>），</w:t>
      </w:r>
      <w:r>
        <w:rPr>
          <w:rFonts w:hint="eastAsia" w:ascii="宋体" w:hAnsi="宋体" w:eastAsia="宋体" w:cs="宋体"/>
          <w:sz w:val="21"/>
        </w:rPr>
        <w:t>就是</w:t>
      </w:r>
      <w:r>
        <w:rPr>
          <w:rFonts w:hint="eastAsia" w:ascii="宋体" w:hAnsi="宋体" w:eastAsia="宋体" w:cs="宋体"/>
          <w:sz w:val="10"/>
        </w:rPr>
        <w:t>“</w:t>
      </w:r>
      <w:r>
        <w:rPr>
          <w:rFonts w:hint="eastAsia" w:ascii="宋体" w:hAnsi="宋体" w:eastAsia="宋体" w:cs="宋体"/>
          <w:sz w:val="21"/>
        </w:rPr>
        <w:t>业务过程的部分或整体在计算机</w:t>
      </w:r>
    </w:p>
    <w:p>
      <w:pPr>
        <w:sectPr>
          <w:type w:val="continuous"/>
          <w:pgSz w:w="11900" w:h="16820"/>
          <w:pgMar w:top="0" w:right="0" w:bottom="0" w:left="0"/>
        </w:sectPr>
      </w:pPr>
    </w:p>
    <w:p>
      <w:pPr>
        <w:spacing w:line="200" w:lineRule="exact"/>
        <w:rPr>
          <w:rFonts w:hint="eastAsia" w:ascii="宋体" w:hAnsi="宋体" w:eastAsia="宋体" w:cs="宋体"/>
          <w:sz w:val="20"/>
        </w:rPr>
      </w:pPr>
    </w:p>
    <w:p>
      <w:pPr>
        <w:tabs>
          <w:tab w:val="left" w:pos="3680"/>
        </w:tabs>
        <w:autoSpaceDE w:val="false"/>
        <w:autoSpaceDN w:val="false"/>
        <w:spacing w:line="240" w:lineRule="exact"/>
        <w:ind w:left="1780"/>
        <w:jc w:val="both"/>
      </w:pPr>
      <w:r>
        <w:rPr>
          <w:rFonts w:hint="eastAsia" w:ascii="宋体" w:hAnsi="宋体" w:eastAsia="宋体" w:cs="宋体"/>
          <w:sz w:val="21"/>
        </w:rPr>
        <w:t>工作流</w:t>
      </w:r>
      <w:r>
        <w:tab/>
      </w:r>
      <w:r>
        <w:rPr>
          <w:rFonts w:hint="eastAsia" w:ascii="宋体" w:hAnsi="宋体" w:eastAsia="宋体" w:cs="宋体"/>
          <w:sz w:val="21"/>
        </w:rPr>
        <w:t>指</w:t>
      </w:r>
    </w:p>
    <w:p>
      <w:pPr>
        <w:autoSpaceDE w:val="false"/>
        <w:autoSpaceDN w:val="false"/>
        <w:spacing w:line="260" w:lineRule="exact"/>
        <w:ind w:left="0" w:right="0"/>
        <w:jc w:val="both"/>
      </w:pPr>
      <w:r>
        <w:br w:type="column"/>
      </w:r>
      <w:r>
        <w:rPr>
          <w:rFonts w:hint="eastAsia" w:ascii="宋体" w:hAnsi="宋体" w:eastAsia="宋体" w:cs="宋体"/>
          <w:sz w:val="21"/>
        </w:rPr>
        <w:t>应用环境下的自动化</w:t>
      </w:r>
      <w:r>
        <w:rPr>
          <w:rFonts w:hint="eastAsia" w:ascii="宋体" w:hAnsi="宋体" w:eastAsia="宋体" w:cs="宋体"/>
          <w:sz w:val="10"/>
        </w:rPr>
        <w:t>”，</w:t>
      </w:r>
      <w:r>
        <w:rPr>
          <w:rFonts w:hint="eastAsia" w:ascii="宋体" w:hAnsi="宋体" w:eastAsia="宋体" w:cs="宋体"/>
          <w:sz w:val="21"/>
        </w:rPr>
        <w:t>主要解决的是</w:t>
      </w:r>
      <w:r>
        <w:rPr>
          <w:rFonts w:hint="eastAsia" w:ascii="宋体" w:hAnsi="宋体" w:eastAsia="宋体" w:cs="宋体"/>
          <w:sz w:val="10"/>
        </w:rPr>
        <w:t>“</w:t>
      </w:r>
      <w:r>
        <w:rPr>
          <w:rFonts w:hint="eastAsia" w:ascii="宋体" w:hAnsi="宋体" w:eastAsia="宋体" w:cs="宋体"/>
          <w:sz w:val="21"/>
        </w:rPr>
        <w:t>使在多个参与者之间按照某种预定义的规则传递文档</w:t>
      </w:r>
      <w:r>
        <w:rPr>
          <w:rFonts w:hint="eastAsia" w:ascii="宋体" w:hAnsi="宋体" w:eastAsia="宋体" w:cs="宋体"/>
          <w:sz w:val="10"/>
        </w:rPr>
        <w:t>、</w:t>
      </w:r>
      <w:r>
        <w:rPr>
          <w:rFonts w:hint="eastAsia" w:ascii="宋体" w:hAnsi="宋体" w:eastAsia="宋体" w:cs="宋体"/>
          <w:sz w:val="21"/>
        </w:rPr>
        <w:t>信息或任务的过程自动进行</w:t>
      </w:r>
      <w:r>
        <w:rPr>
          <w:rFonts w:hint="eastAsia" w:ascii="宋体" w:hAnsi="宋体" w:eastAsia="宋体" w:cs="宋体"/>
          <w:sz w:val="10"/>
        </w:rPr>
        <w:t>，</w:t>
      </w:r>
      <w:r>
        <w:rPr>
          <w:rFonts w:hint="eastAsia" w:ascii="宋体" w:hAnsi="宋体" w:eastAsia="宋体" w:cs="宋体"/>
          <w:sz w:val="21"/>
        </w:rPr>
        <w:t>从而实现某个预期的业务目标</w:t>
      </w:r>
      <w:r>
        <w:rPr>
          <w:rFonts w:hint="eastAsia" w:ascii="宋体" w:hAnsi="宋体" w:eastAsia="宋体" w:cs="宋体"/>
          <w:sz w:val="10"/>
        </w:rPr>
        <w:t>，</w:t>
      </w:r>
      <w:r>
        <w:rPr>
          <w:rFonts w:hint="eastAsia" w:ascii="宋体" w:hAnsi="宋体" w:eastAsia="宋体" w:cs="宋体"/>
          <w:sz w:val="21"/>
        </w:rPr>
        <w:t>或者促使此目标的实现</w:t>
      </w:r>
      <w:r>
        <w:rPr>
          <w:rFonts w:hint="eastAsia" w:ascii="宋体" w:hAnsi="宋体" w:eastAsia="宋体" w:cs="宋体"/>
          <w:sz w:val="10"/>
        </w:rPr>
        <w:t>”</w:t>
      </w:r>
    </w:p>
    <w:p>
      <w:pPr>
        <w:sectPr>
          <w:type w:val="continuous"/>
          <w:pgSz w:w="11900" w:h="16820"/>
          <w:pgMar w:top="0" w:right="0" w:bottom="0" w:left="0"/>
          <w:cols w:equalWidth="false" w:num="2" w:sep="false">
            <w:col w:w="3960" w:space="420"/>
            <w:col w:w="5880"/>
          </w:cols>
        </w:sectPr>
      </w:pPr>
    </w:p>
    <w:p>
      <w:pPr>
        <w:spacing w:line="200" w:lineRule="exact"/>
        <w:rPr>
          <w:rFonts w:hint="eastAsia" w:ascii="宋体" w:hAnsi="宋体" w:eastAsia="宋体" w:cs="宋体"/>
          <w:sz w:val="20"/>
        </w:rPr>
      </w:pPr>
    </w:p>
    <w:p>
      <w:pPr>
        <w:autoSpaceDE w:val="false"/>
        <w:autoSpaceDN w:val="false"/>
        <w:spacing w:line="260" w:lineRule="exact"/>
        <w:ind w:left="4380"/>
        <w:jc w:val="both"/>
      </w:pPr>
      <w:r>
        <w:rPr>
          <w:rFonts w:hint="eastAsia" w:ascii="Times New Roman" w:hAnsi="Times New Roman" w:eastAsia="Times New Roman" w:cs="Times New Roman"/>
          <w:sz w:val="21"/>
        </w:rPr>
        <w:t>Complex Event Processing</w:t>
      </w:r>
      <w:r>
        <w:rPr>
          <w:rFonts w:hint="eastAsia" w:ascii="宋体" w:hAnsi="宋体" w:eastAsia="宋体" w:cs="宋体"/>
          <w:sz w:val="10"/>
        </w:rPr>
        <w:t>，</w:t>
      </w:r>
      <w:r>
        <w:rPr>
          <w:rFonts w:hint="eastAsia" w:ascii="宋体" w:hAnsi="宋体" w:eastAsia="宋体" w:cs="宋体"/>
          <w:sz w:val="21"/>
        </w:rPr>
        <w:t>复杂事件处理平台</w:t>
      </w:r>
      <w:r>
        <w:rPr>
          <w:rFonts w:hint="eastAsia" w:ascii="宋体" w:hAnsi="宋体" w:eastAsia="宋体" w:cs="宋体"/>
          <w:sz w:val="10"/>
        </w:rPr>
        <w:t>，</w:t>
      </w:r>
      <w:r>
        <w:rPr>
          <w:rFonts w:hint="eastAsia" w:ascii="宋体" w:hAnsi="宋体" w:eastAsia="宋体" w:cs="宋体"/>
          <w:sz w:val="21"/>
        </w:rPr>
        <w:t>即对于来自多</w:t>
      </w:r>
    </w:p>
    <w:p>
      <w:pPr>
        <w:autoSpaceDE w:val="false"/>
        <w:autoSpaceDN w:val="false"/>
        <w:spacing w:line="280" w:lineRule="exact"/>
        <w:ind w:left="4380" w:right="1600"/>
        <w:jc w:val="both"/>
      </w:pPr>
      <w:r>
        <w:rPr>
          <w:rFonts w:hint="eastAsia" w:ascii="宋体" w:hAnsi="宋体" w:eastAsia="宋体" w:cs="宋体"/>
          <w:sz w:val="21"/>
        </w:rPr>
        <w:t>数据源的事件序列进行探测</w:t>
      </w:r>
      <w:r>
        <w:rPr>
          <w:rFonts w:hint="eastAsia" w:ascii="宋体" w:hAnsi="宋体" w:eastAsia="宋体" w:cs="宋体"/>
          <w:sz w:val="10"/>
        </w:rPr>
        <w:t>、</w:t>
      </w:r>
      <w:r>
        <w:rPr>
          <w:rFonts w:hint="eastAsia" w:ascii="宋体" w:hAnsi="宋体" w:eastAsia="宋体" w:cs="宋体"/>
          <w:sz w:val="21"/>
        </w:rPr>
        <w:t>分析</w:t>
      </w:r>
      <w:r>
        <w:rPr>
          <w:rFonts w:hint="eastAsia" w:ascii="宋体" w:hAnsi="宋体" w:eastAsia="宋体" w:cs="宋体"/>
          <w:sz w:val="10"/>
        </w:rPr>
        <w:t>，</w:t>
      </w:r>
      <w:r>
        <w:rPr>
          <w:rFonts w:hint="eastAsia" w:ascii="宋体" w:hAnsi="宋体" w:eastAsia="宋体" w:cs="宋体"/>
          <w:sz w:val="21"/>
        </w:rPr>
        <w:t>提供近乎零延时连续处理的平台</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40" w:lineRule="exact"/>
        <w:ind w:left="1780"/>
        <w:jc w:val="both"/>
      </w:pPr>
      <w:r>
        <w:rPr>
          <w:rFonts w:hint="eastAsia" w:ascii="Times New Roman" w:hAnsi="Times New Roman" w:eastAsia="Times New Roman" w:cs="Times New Roman"/>
          <w:sz w:val="21"/>
        </w:rPr>
        <w:t>StreamBase</w:t>
      </w:r>
      <w:r>
        <w:tab/>
      </w:r>
      <w:r>
        <w:rPr>
          <w:rFonts w:hint="eastAsia" w:ascii="宋体" w:hAnsi="宋体" w:eastAsia="宋体" w:cs="宋体"/>
          <w:sz w:val="21"/>
        </w:rPr>
        <w:t>指</w:t>
      </w:r>
      <w:r>
        <w:tab/>
      </w:r>
      <w:r>
        <w:rPr>
          <w:rFonts w:hint="eastAsia" w:ascii="Times New Roman" w:hAnsi="Times New Roman" w:eastAsia="Times New Roman" w:cs="Times New Roman"/>
          <w:sz w:val="21"/>
        </w:rPr>
        <w:t>StreamBase</w:t>
      </w:r>
      <w:r>
        <w:rPr>
          <w:rFonts w:hint="eastAsia" w:ascii="宋体" w:hAnsi="宋体" w:eastAsia="宋体" w:cs="宋体"/>
          <w:sz w:val="10"/>
        </w:rPr>
        <w:t>，</w:t>
      </w:r>
      <w:r>
        <w:rPr>
          <w:rFonts w:hint="eastAsia" w:ascii="宋体" w:hAnsi="宋体" w:eastAsia="宋体" w:cs="宋体"/>
          <w:sz w:val="21"/>
        </w:rPr>
        <w:t>由</w:t>
      </w:r>
      <w:r>
        <w:rPr>
          <w:rFonts w:hint="eastAsia" w:ascii="Times New Roman" w:hAnsi="Times New Roman" w:eastAsia="Times New Roman" w:cs="Times New Roman"/>
          <w:sz w:val="21"/>
        </w:rPr>
        <w:t xml:space="preserve"> IBM</w:t>
      </w:r>
      <w:r>
        <w:rPr>
          <w:rFonts w:hint="eastAsia" w:ascii="宋体" w:hAnsi="宋体" w:eastAsia="宋体" w:cs="宋体"/>
          <w:sz w:val="21"/>
        </w:rPr>
        <w:t xml:space="preserve"> 公司提供的</w:t>
      </w:r>
      <w:r>
        <w:rPr>
          <w:rFonts w:hint="eastAsia" w:ascii="宋体" w:hAnsi="宋体" w:eastAsia="宋体" w:cs="宋体"/>
          <w:sz w:val="20"/>
        </w:rPr>
        <w:t>一</w:t>
      </w:r>
      <w:r>
        <w:rPr>
          <w:rFonts w:hint="eastAsia" w:ascii="宋体" w:hAnsi="宋体" w:eastAsia="宋体" w:cs="宋体"/>
          <w:sz w:val="21"/>
        </w:rPr>
        <w:t>款商业化</w:t>
      </w:r>
      <w:r>
        <w:rPr>
          <w:rFonts w:hint="eastAsia" w:ascii="Times New Roman" w:hAnsi="Times New Roman" w:eastAsia="Times New Roman" w:cs="Times New Roman"/>
          <w:sz w:val="21"/>
        </w:rPr>
        <w:t xml:space="preserve"> CEP</w:t>
      </w:r>
      <w:r>
        <w:rPr>
          <w:rFonts w:hint="eastAsia" w:ascii="宋体" w:hAnsi="宋体" w:eastAsia="宋体" w:cs="宋体"/>
          <w:sz w:val="21"/>
        </w:rPr>
        <w:t xml:space="preserve"> 平台</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20" w:lineRule="exact"/>
        <w:ind w:left="1780"/>
        <w:jc w:val="both"/>
      </w:pPr>
      <w:r>
        <w:rPr>
          <w:rFonts w:hint="eastAsia" w:ascii="Times New Roman" w:hAnsi="Times New Roman" w:eastAsia="Times New Roman" w:cs="Times New Roman"/>
          <w:sz w:val="21"/>
        </w:rPr>
        <w:t>Apama</w:t>
      </w:r>
      <w:r>
        <w:tab/>
      </w:r>
      <w:r>
        <w:rPr>
          <w:rFonts w:hint="eastAsia" w:ascii="宋体" w:hAnsi="宋体" w:eastAsia="宋体" w:cs="宋体"/>
          <w:sz w:val="21"/>
        </w:rPr>
        <w:t>指</w:t>
      </w:r>
      <w:r>
        <w:tab/>
      </w:r>
      <w:r>
        <w:rPr>
          <w:rFonts w:hint="eastAsia" w:ascii="Times New Roman" w:hAnsi="Times New Roman" w:eastAsia="Times New Roman" w:cs="Times New Roman"/>
          <w:sz w:val="21"/>
        </w:rPr>
        <w:t>Progress Apama</w:t>
      </w:r>
      <w:r>
        <w:rPr>
          <w:rFonts w:hint="eastAsia" w:ascii="宋体" w:hAnsi="宋体" w:eastAsia="宋体" w:cs="宋体"/>
          <w:sz w:val="10"/>
        </w:rPr>
        <w:t>，</w:t>
      </w:r>
      <w:r>
        <w:rPr>
          <w:rFonts w:hint="eastAsia" w:ascii="宋体" w:hAnsi="宋体" w:eastAsia="宋体" w:cs="宋体"/>
          <w:sz w:val="21"/>
        </w:rPr>
        <w:t>由</w:t>
      </w:r>
      <w:r>
        <w:rPr>
          <w:rFonts w:hint="eastAsia" w:ascii="Times New Roman" w:hAnsi="Times New Roman" w:eastAsia="Times New Roman" w:cs="Times New Roman"/>
          <w:sz w:val="21"/>
        </w:rPr>
        <w:t xml:space="preserve"> Pregress</w:t>
      </w:r>
      <w:r>
        <w:rPr>
          <w:rFonts w:hint="eastAsia" w:ascii="宋体" w:hAnsi="宋体" w:eastAsia="宋体" w:cs="宋体"/>
          <w:sz w:val="21"/>
        </w:rPr>
        <w:t xml:space="preserve"> 公司提供的</w:t>
      </w:r>
      <w:r>
        <w:rPr>
          <w:rFonts w:hint="eastAsia" w:ascii="宋体" w:hAnsi="宋体" w:eastAsia="宋体" w:cs="宋体"/>
          <w:sz w:val="20"/>
        </w:rPr>
        <w:t>一</w:t>
      </w:r>
      <w:r>
        <w:rPr>
          <w:rFonts w:hint="eastAsia" w:ascii="宋体" w:hAnsi="宋体" w:eastAsia="宋体" w:cs="宋体"/>
          <w:sz w:val="21"/>
        </w:rPr>
        <w:t>款商业化</w:t>
      </w:r>
      <w:r>
        <w:rPr>
          <w:rFonts w:hint="eastAsia" w:ascii="Times New Roman" w:hAnsi="Times New Roman" w:eastAsia="Times New Roman" w:cs="Times New Roman"/>
          <w:sz w:val="21"/>
        </w:rPr>
        <w:t xml:space="preserve"> CEP</w:t>
      </w:r>
      <w:r>
        <w:rPr>
          <w:rFonts w:hint="eastAsia" w:ascii="宋体" w:hAnsi="宋体" w:eastAsia="宋体" w:cs="宋体"/>
          <w:sz w:val="21"/>
        </w:rPr>
        <w:t xml:space="preserve"> 平台</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40" w:lineRule="exact"/>
        <w:ind w:left="1780"/>
        <w:jc w:val="both"/>
      </w:pPr>
      <w:r>
        <w:rPr>
          <w:rFonts w:hint="eastAsia" w:ascii="Times New Roman" w:hAnsi="Times New Roman" w:eastAsia="Times New Roman" w:cs="Times New Roman"/>
          <w:sz w:val="21"/>
        </w:rPr>
        <w:t>Sybase Aleri</w:t>
      </w:r>
      <w:r>
        <w:tab/>
      </w:r>
      <w:r>
        <w:rPr>
          <w:rFonts w:hint="eastAsia" w:ascii="宋体" w:hAnsi="宋体" w:eastAsia="宋体" w:cs="宋体"/>
          <w:sz w:val="21"/>
        </w:rPr>
        <w:t>指</w:t>
      </w:r>
      <w:r>
        <w:tab/>
      </w:r>
      <w:r>
        <w:rPr>
          <w:rFonts w:hint="eastAsia" w:ascii="Times New Roman" w:hAnsi="Times New Roman" w:eastAsia="Times New Roman" w:cs="Times New Roman"/>
          <w:sz w:val="21"/>
        </w:rPr>
        <w:t>Sybase Aleri</w:t>
      </w:r>
      <w:r>
        <w:rPr>
          <w:rFonts w:hint="eastAsia" w:ascii="宋体" w:hAnsi="宋体" w:eastAsia="宋体" w:cs="宋体"/>
          <w:sz w:val="10"/>
        </w:rPr>
        <w:t>，</w:t>
      </w:r>
      <w:r>
        <w:rPr>
          <w:rFonts w:hint="eastAsia" w:ascii="宋体" w:hAnsi="宋体" w:eastAsia="宋体" w:cs="宋体"/>
          <w:sz w:val="21"/>
        </w:rPr>
        <w:t>由</w:t>
      </w:r>
      <w:r>
        <w:rPr>
          <w:rFonts w:hint="eastAsia" w:ascii="Times New Roman" w:hAnsi="Times New Roman" w:eastAsia="Times New Roman" w:cs="Times New Roman"/>
          <w:sz w:val="21"/>
        </w:rPr>
        <w:t xml:space="preserve"> Sybase</w:t>
      </w:r>
      <w:r>
        <w:rPr>
          <w:rFonts w:hint="eastAsia" w:ascii="宋体" w:hAnsi="宋体" w:eastAsia="宋体" w:cs="宋体"/>
          <w:sz w:val="21"/>
        </w:rPr>
        <w:t xml:space="preserve"> 公司提供的</w:t>
      </w:r>
      <w:r>
        <w:rPr>
          <w:rFonts w:hint="eastAsia" w:ascii="宋体" w:hAnsi="宋体" w:eastAsia="宋体" w:cs="宋体"/>
          <w:sz w:val="20"/>
        </w:rPr>
        <w:t>一</w:t>
      </w:r>
      <w:r>
        <w:rPr>
          <w:rFonts w:hint="eastAsia" w:ascii="宋体" w:hAnsi="宋体" w:eastAsia="宋体" w:cs="宋体"/>
          <w:sz w:val="21"/>
        </w:rPr>
        <w:t>款商业化</w:t>
      </w:r>
      <w:r>
        <w:rPr>
          <w:rFonts w:hint="eastAsia" w:ascii="Times New Roman" w:hAnsi="Times New Roman" w:eastAsia="Times New Roman" w:cs="Times New Roman"/>
          <w:sz w:val="21"/>
        </w:rPr>
        <w:t xml:space="preserve"> CEP</w:t>
      </w:r>
      <w:r>
        <w:rPr>
          <w:rFonts w:hint="eastAsia" w:ascii="宋体" w:hAnsi="宋体" w:eastAsia="宋体" w:cs="宋体"/>
          <w:sz w:val="21"/>
        </w:rPr>
        <w:t xml:space="preserve"> 平台</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20" w:lineRule="exact"/>
        <w:ind w:left="1780"/>
        <w:jc w:val="both"/>
      </w:pPr>
      <w:r>
        <w:rPr>
          <w:rFonts w:hint="eastAsia" w:ascii="Times New Roman" w:hAnsi="Times New Roman" w:eastAsia="Times New Roman" w:cs="Times New Roman"/>
          <w:sz w:val="21"/>
        </w:rPr>
        <w:t>BPM</w:t>
      </w:r>
      <w:r>
        <w:tab/>
      </w:r>
      <w:r>
        <w:rPr>
          <w:rFonts w:hint="eastAsia" w:ascii="宋体" w:hAnsi="宋体" w:eastAsia="宋体" w:cs="宋体"/>
          <w:sz w:val="21"/>
        </w:rPr>
        <w:t>指</w:t>
      </w:r>
      <w:r>
        <w:tab/>
      </w:r>
      <w:r>
        <w:rPr>
          <w:rFonts w:hint="eastAsia" w:ascii="Times New Roman" w:hAnsi="Times New Roman" w:eastAsia="Times New Roman" w:cs="Times New Roman"/>
          <w:sz w:val="21"/>
        </w:rPr>
        <w:t>Business Process Management</w:t>
      </w:r>
      <w:r>
        <w:rPr>
          <w:rFonts w:hint="eastAsia" w:ascii="宋体" w:hAnsi="宋体" w:eastAsia="宋体" w:cs="宋体"/>
          <w:sz w:val="10"/>
        </w:rPr>
        <w:t>，</w:t>
      </w:r>
      <w:r>
        <w:rPr>
          <w:rFonts w:hint="eastAsia" w:ascii="宋体" w:hAnsi="宋体" w:eastAsia="宋体" w:cs="宋体"/>
          <w:sz w:val="21"/>
        </w:rPr>
        <w:t>业务流程管理</w:t>
      </w:r>
      <w:r>
        <w:rPr>
          <w:rFonts w:hint="eastAsia" w:ascii="宋体" w:hAnsi="宋体" w:eastAsia="宋体" w:cs="宋体"/>
          <w:sz w:val="10"/>
        </w:rPr>
        <w:t>，</w:t>
      </w:r>
      <w:r>
        <w:rPr>
          <w:rFonts w:hint="eastAsia" w:ascii="宋体" w:hAnsi="宋体" w:eastAsia="宋体" w:cs="宋体"/>
          <w:sz w:val="21"/>
        </w:rPr>
        <w:t>是</w:t>
      </w:r>
      <w:r>
        <w:rPr>
          <w:rFonts w:hint="eastAsia" w:ascii="宋体" w:hAnsi="宋体" w:eastAsia="宋体" w:cs="宋体"/>
          <w:sz w:val="20"/>
        </w:rPr>
        <w:t>一</w:t>
      </w:r>
      <w:r>
        <w:rPr>
          <w:rFonts w:hint="eastAsia" w:ascii="宋体" w:hAnsi="宋体" w:eastAsia="宋体" w:cs="宋体"/>
          <w:sz w:val="21"/>
        </w:rPr>
        <w:t>套达成企业</w:t>
      </w:r>
    </w:p>
    <w:p>
      <w:pPr>
        <w:autoSpaceDE w:val="false"/>
        <w:autoSpaceDN w:val="false"/>
        <w:spacing w:line="280" w:lineRule="exact"/>
        <w:ind w:left="4380"/>
        <w:jc w:val="both"/>
      </w:pPr>
      <w:r>
        <w:rPr>
          <w:rFonts w:hint="eastAsia" w:ascii="宋体" w:hAnsi="宋体" w:eastAsia="宋体" w:cs="宋体"/>
          <w:sz w:val="21"/>
        </w:rPr>
        <w:t>各种业务环节整合的全面管理模式</w:t>
      </w:r>
    </w:p>
    <w:p>
      <w:pPr>
        <w:spacing w:line="200" w:lineRule="exact"/>
        <w:rPr>
          <w:rFonts w:hint="eastAsia" w:ascii="宋体" w:hAnsi="宋体" w:eastAsia="宋体" w:cs="宋体"/>
          <w:sz w:val="20"/>
        </w:rPr>
      </w:pPr>
    </w:p>
    <w:p>
      <w:pPr>
        <w:autoSpaceDE w:val="false"/>
        <w:autoSpaceDN w:val="false"/>
        <w:spacing w:line="220" w:lineRule="exact"/>
        <w:ind w:left="4380"/>
        <w:jc w:val="both"/>
      </w:pPr>
      <w:r>
        <w:rPr>
          <w:rFonts w:hint="eastAsia" w:ascii="宋体" w:hAnsi="宋体" w:eastAsia="宋体" w:cs="宋体"/>
          <w:sz w:val="10"/>
        </w:rPr>
        <w:t>“</w:t>
      </w:r>
      <w:r>
        <w:rPr>
          <w:rFonts w:hint="eastAsia" w:ascii="宋体" w:hAnsi="宋体" w:eastAsia="宋体" w:cs="宋体"/>
          <w:sz w:val="21"/>
        </w:rPr>
        <w:t>互联网</w:t>
      </w:r>
      <w:r>
        <w:rPr>
          <w:rFonts w:hint="eastAsia" w:ascii="Times New Roman" w:hAnsi="Times New Roman" w:eastAsia="Times New Roman" w:cs="Times New Roman"/>
          <w:sz w:val="21"/>
        </w:rPr>
        <w:t>+</w:t>
      </w:r>
      <w:r>
        <w:rPr>
          <w:rFonts w:hint="eastAsia" w:ascii="宋体" w:hAnsi="宋体" w:eastAsia="宋体" w:cs="宋体"/>
          <w:sz w:val="10"/>
        </w:rPr>
        <w:t>”</w:t>
      </w:r>
      <w:r>
        <w:rPr>
          <w:rFonts w:hint="eastAsia" w:ascii="宋体" w:hAnsi="宋体" w:eastAsia="宋体" w:cs="宋体"/>
          <w:sz w:val="21"/>
        </w:rPr>
        <w:t>是把互联网的创新成果与经济社会各领域深度融</w:t>
      </w:r>
    </w:p>
    <w:p>
      <w:pPr>
        <w:autoSpaceDE w:val="false"/>
        <w:autoSpaceDN w:val="false"/>
        <w:spacing w:line="260" w:lineRule="exact"/>
        <w:ind w:left="4380" w:right="1600"/>
        <w:jc w:val="both"/>
      </w:pPr>
      <w:r>
        <w:rPr>
          <w:rFonts w:hint="eastAsia" w:ascii="宋体" w:hAnsi="宋体" w:eastAsia="宋体" w:cs="宋体"/>
          <w:sz w:val="21"/>
        </w:rPr>
        <w:t>合</w:t>
      </w:r>
      <w:r>
        <w:rPr>
          <w:rFonts w:hint="eastAsia" w:ascii="宋体" w:hAnsi="宋体" w:eastAsia="宋体" w:cs="宋体"/>
          <w:sz w:val="10"/>
        </w:rPr>
        <w:t>，</w:t>
      </w:r>
      <w:r>
        <w:rPr>
          <w:rFonts w:hint="eastAsia" w:ascii="宋体" w:hAnsi="宋体" w:eastAsia="宋体" w:cs="宋体"/>
          <w:sz w:val="21"/>
        </w:rPr>
        <w:t>推动技术进步</w:t>
      </w:r>
      <w:r>
        <w:rPr>
          <w:rFonts w:hint="eastAsia" w:ascii="宋体" w:hAnsi="宋体" w:eastAsia="宋体" w:cs="宋体"/>
          <w:sz w:val="10"/>
        </w:rPr>
        <w:t>、</w:t>
      </w:r>
      <w:r>
        <w:rPr>
          <w:rFonts w:hint="eastAsia" w:ascii="宋体" w:hAnsi="宋体" w:eastAsia="宋体" w:cs="宋体"/>
          <w:sz w:val="21"/>
        </w:rPr>
        <w:t>效率提升和组织变革</w:t>
      </w:r>
      <w:r>
        <w:rPr>
          <w:rFonts w:hint="eastAsia" w:ascii="宋体" w:hAnsi="宋体" w:eastAsia="宋体" w:cs="宋体"/>
          <w:sz w:val="10"/>
        </w:rPr>
        <w:t>，</w:t>
      </w:r>
      <w:r>
        <w:rPr>
          <w:rFonts w:hint="eastAsia" w:ascii="宋体" w:hAnsi="宋体" w:eastAsia="宋体" w:cs="宋体"/>
          <w:sz w:val="21"/>
        </w:rPr>
        <w:t>提升实体经济创新力和生产力</w:t>
      </w:r>
      <w:r>
        <w:rPr>
          <w:rFonts w:hint="eastAsia" w:ascii="宋体" w:hAnsi="宋体" w:eastAsia="宋体" w:cs="宋体"/>
          <w:sz w:val="10"/>
        </w:rPr>
        <w:t>，</w:t>
      </w:r>
      <w:r>
        <w:rPr>
          <w:rFonts w:hint="eastAsia" w:ascii="宋体" w:hAnsi="宋体" w:eastAsia="宋体" w:cs="宋体"/>
          <w:sz w:val="21"/>
        </w:rPr>
        <w:t>形成更广泛的以互联网为基础设施和创新要素的</w:t>
      </w:r>
    </w:p>
    <w:p>
      <w:pPr>
        <w:autoSpaceDE w:val="false"/>
        <w:autoSpaceDN w:val="false"/>
        <w:spacing w:line="280" w:lineRule="exact"/>
        <w:ind w:left="4380"/>
        <w:jc w:val="both"/>
      </w:pPr>
      <w:r>
        <w:rPr>
          <w:rFonts w:hint="eastAsia" w:ascii="宋体" w:hAnsi="宋体" w:eastAsia="宋体" w:cs="宋体"/>
          <w:sz w:val="21"/>
        </w:rPr>
        <w:t>经济社会发展新形态</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20" w:lineRule="exact"/>
        <w:ind w:left="1780"/>
        <w:jc w:val="both"/>
      </w:pPr>
      <w:r>
        <w:rPr>
          <w:rFonts w:hint="eastAsia" w:ascii="宋体" w:hAnsi="宋体" w:eastAsia="宋体" w:cs="宋体"/>
          <w:sz w:val="21"/>
        </w:rPr>
        <w:t>众筹</w:t>
      </w:r>
      <w:r>
        <w:tab/>
      </w:r>
      <w:r>
        <w:rPr>
          <w:rFonts w:hint="eastAsia" w:ascii="宋体" w:hAnsi="宋体" w:eastAsia="宋体" w:cs="宋体"/>
          <w:sz w:val="21"/>
        </w:rPr>
        <w:t>指</w:t>
      </w:r>
      <w:r>
        <w:tab/>
      </w:r>
      <w:r>
        <w:rPr>
          <w:rFonts w:hint="eastAsia" w:ascii="宋体" w:hAnsi="宋体" w:eastAsia="宋体" w:cs="宋体"/>
          <w:sz w:val="21"/>
        </w:rPr>
        <w:t>指通过互联网等方式发布项目并募集资金的</w:t>
      </w:r>
      <w:r>
        <w:rPr>
          <w:rFonts w:hint="eastAsia" w:ascii="宋体" w:hAnsi="宋体" w:eastAsia="宋体" w:cs="宋体"/>
          <w:sz w:val="20"/>
        </w:rPr>
        <w:t>一</w:t>
      </w:r>
      <w:r>
        <w:rPr>
          <w:rFonts w:hint="eastAsia" w:ascii="宋体" w:hAnsi="宋体" w:eastAsia="宋体" w:cs="宋体"/>
          <w:sz w:val="21"/>
        </w:rPr>
        <w:t>种形式</w:t>
      </w:r>
    </w:p>
    <w:p>
      <w:pPr>
        <w:spacing w:line="200" w:lineRule="exact"/>
        <w:rPr>
          <w:rFonts w:hint="eastAsia" w:ascii="宋体" w:hAnsi="宋体" w:eastAsia="宋体" w:cs="宋体"/>
          <w:sz w:val="20"/>
        </w:rPr>
      </w:pPr>
    </w:p>
    <w:p>
      <w:pPr>
        <w:autoSpaceDE w:val="false"/>
        <w:autoSpaceDN w:val="false"/>
        <w:spacing w:line="240" w:lineRule="exact"/>
        <w:ind w:left="4380"/>
        <w:jc w:val="both"/>
      </w:pPr>
      <w:r>
        <w:rPr>
          <w:rFonts w:hint="eastAsia" w:ascii="宋体" w:hAnsi="宋体" w:eastAsia="宋体" w:cs="宋体"/>
          <w:sz w:val="21"/>
        </w:rPr>
        <w:t>灵动业务架构平台</w:t>
      </w:r>
      <w:r>
        <w:rPr>
          <w:rFonts w:hint="eastAsia" w:ascii="宋体" w:hAnsi="宋体" w:eastAsia="宋体" w:cs="宋体"/>
          <w:sz w:val="10"/>
        </w:rPr>
        <w:t>，</w:t>
      </w:r>
      <w:r>
        <w:rPr>
          <w:rFonts w:hint="eastAsia" w:ascii="宋体" w:hAnsi="宋体" w:eastAsia="宋体" w:cs="宋体"/>
          <w:sz w:val="21"/>
        </w:rPr>
        <w:t>是公司自主研发的基于</w:t>
      </w:r>
      <w:r>
        <w:rPr>
          <w:rFonts w:hint="eastAsia" w:ascii="Times New Roman" w:hAnsi="Times New Roman" w:eastAsia="Times New Roman" w:cs="Times New Roman"/>
          <w:sz w:val="21"/>
        </w:rPr>
        <w:t xml:space="preserve"> J2EE</w:t>
      </w:r>
      <w:r>
        <w:rPr>
          <w:rFonts w:hint="eastAsia" w:ascii="宋体" w:hAnsi="宋体" w:eastAsia="宋体" w:cs="宋体"/>
          <w:sz w:val="21"/>
        </w:rPr>
        <w:t xml:space="preserve"> 体系实现的业</w:t>
      </w:r>
    </w:p>
    <w:p>
      <w:pPr>
        <w:sectPr>
          <w:type w:val="continuous"/>
          <w:pgSz w:w="11900" w:h="16820"/>
          <w:pgMar w:top="0" w:right="0" w:bottom="0" w:left="0"/>
        </w:sectPr>
      </w:pPr>
    </w:p>
    <w:p>
      <w:pPr>
        <w:autoSpaceDE w:val="false"/>
        <w:autoSpaceDN w:val="false"/>
        <w:spacing w:line="220" w:lineRule="exact"/>
        <w:ind w:left="1780" w:right="0"/>
        <w:jc w:val="both"/>
      </w:pPr>
      <w:r>
        <w:rPr>
          <w:rFonts w:hint="eastAsia" w:ascii="Times New Roman" w:hAnsi="Times New Roman" w:eastAsia="Times New Roman" w:cs="Times New Roman"/>
          <w:sz w:val="21"/>
        </w:rPr>
        <w:t>LiveBOS</w:t>
      </w:r>
      <w:r>
        <w:rPr>
          <w:rFonts w:hint="eastAsia" w:ascii="宋体" w:hAnsi="宋体" w:eastAsia="宋体" w:cs="宋体"/>
          <w:sz w:val="10"/>
        </w:rPr>
        <w:t>、</w:t>
      </w:r>
      <w:r>
        <w:rPr>
          <w:rFonts w:hint="eastAsia" w:ascii="Times New Roman" w:hAnsi="Times New Roman" w:eastAsia="Times New Roman" w:cs="Times New Roman"/>
          <w:sz w:val="21"/>
        </w:rPr>
        <w:t>LiveBOS</w:t>
      </w:r>
      <w:r>
        <w:rPr>
          <w:rFonts w:hint="eastAsia" w:ascii="宋体" w:hAnsi="宋体" w:eastAsia="宋体" w:cs="宋体"/>
          <w:sz w:val="21"/>
        </w:rPr>
        <w:t>平台</w:t>
      </w:r>
    </w:p>
    <w:p>
      <w:pPr>
        <w:autoSpaceDE w:val="false"/>
        <w:autoSpaceDN w:val="false"/>
        <w:spacing w:line="260" w:lineRule="exact"/>
        <w:ind w:left="0" w:right="0"/>
        <w:jc w:val="both"/>
      </w:pPr>
      <w:r>
        <w:br w:type="column"/>
      </w:r>
      <w:r>
        <w:rPr>
          <w:rFonts w:hint="eastAsia" w:ascii="宋体" w:hAnsi="宋体" w:eastAsia="宋体" w:cs="宋体"/>
          <w:sz w:val="21"/>
        </w:rPr>
        <w:t>务架构开发平台</w:t>
      </w:r>
      <w:r>
        <w:rPr>
          <w:rFonts w:hint="eastAsia" w:ascii="宋体" w:hAnsi="宋体" w:eastAsia="宋体" w:cs="宋体"/>
          <w:sz w:val="10"/>
        </w:rPr>
        <w:t>，</w:t>
      </w:r>
      <w:r>
        <w:rPr>
          <w:rFonts w:hint="eastAsia" w:ascii="宋体" w:hAnsi="宋体" w:eastAsia="宋体" w:cs="宋体"/>
          <w:sz w:val="21"/>
        </w:rPr>
        <w:t>由软件集成开发环境</w:t>
      </w:r>
      <w:r>
        <w:rPr>
          <w:rFonts w:hint="eastAsia" w:ascii="宋体" w:hAnsi="宋体" w:eastAsia="宋体" w:cs="宋体"/>
          <w:sz w:val="10"/>
        </w:rPr>
        <w:t>、</w:t>
      </w:r>
      <w:r>
        <w:rPr>
          <w:rFonts w:hint="eastAsia" w:ascii="宋体" w:hAnsi="宋体" w:eastAsia="宋体" w:cs="宋体"/>
          <w:sz w:val="21"/>
        </w:rPr>
        <w:t>运行支持环境与业务运维管理工具三部分组成</w:t>
      </w:r>
    </w:p>
    <w:p>
      <w:pPr>
        <w:sectPr>
          <w:type w:val="continuous"/>
          <w:pgSz w:w="11900" w:h="16820"/>
          <w:pgMar w:top="0" w:right="0" w:bottom="0" w:left="0"/>
          <w:cols w:equalWidth="false" w:num="2" w:sep="false">
            <w:col w:w="3680" w:space="700"/>
            <w:col w:w="5880"/>
          </w:cols>
        </w:sectPr>
      </w:pPr>
    </w:p>
    <w:p>
      <w:pPr>
        <w:spacing w:line="200" w:lineRule="exact"/>
        <w:rPr>
          <w:rFonts w:hint="eastAsia" w:ascii="宋体" w:hAnsi="宋体" w:eastAsia="宋体" w:cs="宋体"/>
          <w:sz w:val="20"/>
        </w:rPr>
      </w:pPr>
    </w:p>
    <w:p>
      <w:pPr>
        <w:autoSpaceDE w:val="false"/>
        <w:autoSpaceDN w:val="false"/>
        <w:spacing w:line="260" w:lineRule="exact"/>
        <w:ind w:left="4380"/>
        <w:jc w:val="both"/>
      </w:pPr>
      <w:r>
        <w:rPr>
          <w:rFonts w:hint="eastAsia" w:ascii="Times New Roman" w:hAnsi="Times New Roman" w:eastAsia="Times New Roman" w:cs="Times New Roman"/>
          <w:sz w:val="21"/>
        </w:rPr>
        <w:t>LiveBOS</w:t>
      </w:r>
      <w:r>
        <w:rPr>
          <w:rFonts w:hint="eastAsia" w:ascii="宋体" w:hAnsi="宋体" w:eastAsia="宋体" w:cs="宋体"/>
          <w:sz w:val="21"/>
        </w:rPr>
        <w:t xml:space="preserve"> 软件集成开发环境</w:t>
      </w:r>
      <w:r>
        <w:rPr>
          <w:rFonts w:hint="eastAsia" w:ascii="宋体" w:hAnsi="宋体" w:eastAsia="宋体" w:cs="宋体"/>
          <w:sz w:val="10"/>
        </w:rPr>
        <w:t>，</w:t>
      </w:r>
      <w:r>
        <w:rPr>
          <w:rFonts w:hint="eastAsia" w:ascii="宋体" w:hAnsi="宋体" w:eastAsia="宋体" w:cs="宋体"/>
          <w:sz w:val="21"/>
        </w:rPr>
        <w:t>通常也称为业务建模开发平台</w:t>
      </w:r>
      <w:r>
        <w:rPr>
          <w:rFonts w:hint="eastAsia" w:ascii="宋体" w:hAnsi="宋体" w:eastAsia="宋体" w:cs="宋体"/>
          <w:sz w:val="10"/>
        </w:rPr>
        <w:t>。</w:t>
      </w:r>
    </w:p>
    <w:p>
      <w:pPr>
        <w:sectPr>
          <w:type w:val="continuous"/>
          <w:pgSz w:w="11900" w:h="16820"/>
          <w:pgMar w:top="0" w:right="0" w:bottom="0" w:left="0"/>
        </w:sectPr>
      </w:pPr>
    </w:p>
    <w:p>
      <w:pPr>
        <w:tabs>
          <w:tab w:val="left" w:pos="3680"/>
        </w:tabs>
        <w:autoSpaceDE w:val="false"/>
        <w:autoSpaceDN w:val="false"/>
        <w:spacing w:line="440" w:lineRule="exact"/>
        <w:ind w:left="1780"/>
        <w:jc w:val="both"/>
      </w:pPr>
      <w:r>
        <w:rPr>
          <w:rFonts w:hint="eastAsia" w:ascii="Times New Roman" w:hAnsi="Times New Roman" w:eastAsia="Times New Roman" w:cs="Times New Roman"/>
          <w:sz w:val="21"/>
        </w:rPr>
        <w:t>LiveBOS Studio</w:t>
      </w:r>
      <w:r>
        <w:tab/>
      </w:r>
      <w:r>
        <w:rPr>
          <w:rFonts w:hint="eastAsia" w:ascii="宋体" w:hAnsi="宋体" w:eastAsia="宋体" w:cs="宋体"/>
          <w:sz w:val="21"/>
        </w:rPr>
        <w:t>指</w:t>
      </w:r>
    </w:p>
    <w:p>
      <w:pPr>
        <w:autoSpaceDE w:val="false"/>
        <w:autoSpaceDN w:val="false"/>
        <w:spacing w:line="260" w:lineRule="exact"/>
        <w:ind w:left="0" w:right="0"/>
        <w:jc w:val="both"/>
      </w:pPr>
      <w:r>
        <w:br w:type="column"/>
      </w:r>
      <w:r>
        <w:rPr>
          <w:rFonts w:hint="eastAsia" w:ascii="宋体" w:hAnsi="宋体" w:eastAsia="宋体" w:cs="宋体"/>
          <w:sz w:val="21"/>
        </w:rPr>
        <w:t>开发者在该平台上完成业务对象模型的设计工作</w:t>
      </w:r>
      <w:r>
        <w:rPr>
          <w:rFonts w:hint="eastAsia" w:ascii="宋体" w:hAnsi="宋体" w:eastAsia="宋体" w:cs="宋体"/>
          <w:sz w:val="10"/>
        </w:rPr>
        <w:t>，</w:t>
      </w:r>
      <w:r>
        <w:rPr>
          <w:rFonts w:hint="eastAsia" w:ascii="宋体" w:hAnsi="宋体" w:eastAsia="宋体" w:cs="宋体"/>
          <w:sz w:val="21"/>
        </w:rPr>
        <w:t>具体包括业务对象</w:t>
      </w:r>
      <w:r>
        <w:rPr>
          <w:rFonts w:hint="eastAsia" w:ascii="宋体" w:hAnsi="宋体" w:eastAsia="宋体" w:cs="宋体"/>
          <w:sz w:val="10"/>
        </w:rPr>
        <w:t>、</w:t>
      </w:r>
      <w:r>
        <w:rPr>
          <w:rFonts w:hint="eastAsia" w:ascii="宋体" w:hAnsi="宋体" w:eastAsia="宋体" w:cs="宋体"/>
          <w:sz w:val="21"/>
        </w:rPr>
        <w:t>流程</w:t>
      </w:r>
      <w:r>
        <w:rPr>
          <w:rFonts w:hint="eastAsia" w:ascii="宋体" w:hAnsi="宋体" w:eastAsia="宋体" w:cs="宋体"/>
          <w:sz w:val="10"/>
        </w:rPr>
        <w:t>、</w:t>
      </w:r>
      <w:r>
        <w:rPr>
          <w:rFonts w:hint="eastAsia" w:ascii="宋体" w:hAnsi="宋体" w:eastAsia="宋体" w:cs="宋体"/>
          <w:sz w:val="21"/>
        </w:rPr>
        <w:t>报表等的设计</w:t>
      </w:r>
      <w:r>
        <w:rPr>
          <w:rFonts w:hint="eastAsia" w:ascii="宋体" w:hAnsi="宋体" w:eastAsia="宋体" w:cs="宋体"/>
          <w:sz w:val="10"/>
        </w:rPr>
        <w:t>，</w:t>
      </w:r>
      <w:r>
        <w:rPr>
          <w:rFonts w:hint="eastAsia" w:ascii="宋体" w:hAnsi="宋体" w:eastAsia="宋体" w:cs="宋体"/>
          <w:sz w:val="21"/>
        </w:rPr>
        <w:t>生成相应的</w:t>
      </w:r>
      <w:r>
        <w:rPr>
          <w:rFonts w:hint="eastAsia" w:ascii="Times New Roman" w:hAnsi="Times New Roman" w:eastAsia="Times New Roman" w:cs="Times New Roman"/>
          <w:sz w:val="21"/>
        </w:rPr>
        <w:t xml:space="preserve"> XML</w:t>
      </w:r>
      <w:r>
        <w:rPr>
          <w:rFonts w:hint="eastAsia" w:ascii="宋体" w:hAnsi="宋体" w:eastAsia="宋体" w:cs="宋体"/>
          <w:sz w:val="21"/>
        </w:rPr>
        <w:t xml:space="preserve"> 格式模型描述文件等等</w:t>
      </w:r>
    </w:p>
    <w:p>
      <w:pPr>
        <w:sectPr>
          <w:type w:val="continuous"/>
          <w:pgSz w:w="11900" w:h="16820"/>
          <w:pgMar w:top="0" w:right="0" w:bottom="0" w:left="0"/>
          <w:cols w:equalWidth="false" w:num="2" w:sep="false">
            <w:col w:w="3960" w:space="420"/>
            <w:col w:w="5920"/>
          </w:cols>
        </w:sectPr>
      </w:pPr>
    </w:p>
    <w:p>
      <w:pPr>
        <w:spacing w:line="200" w:lineRule="exact"/>
        <w:rPr>
          <w:rFonts w:hint="eastAsia" w:ascii="宋体" w:hAnsi="宋体" w:eastAsia="宋体" w:cs="宋体"/>
          <w:sz w:val="20"/>
        </w:rPr>
      </w:pPr>
    </w:p>
    <w:p>
      <w:pPr>
        <w:autoSpaceDE w:val="false"/>
        <w:autoSpaceDN w:val="false"/>
        <w:spacing w:line="280" w:lineRule="exact"/>
        <w:ind w:left="4380"/>
        <w:jc w:val="both"/>
      </w:pPr>
      <w:r>
        <w:rPr>
          <w:rFonts w:hint="eastAsia" w:ascii="Times New Roman" w:hAnsi="Times New Roman" w:eastAsia="Times New Roman" w:cs="Times New Roman"/>
          <w:sz w:val="21"/>
        </w:rPr>
        <w:t>LiveBOS</w:t>
      </w:r>
      <w:r>
        <w:rPr>
          <w:rFonts w:hint="eastAsia" w:ascii="宋体" w:hAnsi="宋体" w:eastAsia="宋体" w:cs="宋体"/>
          <w:sz w:val="21"/>
        </w:rPr>
        <w:t xml:space="preserve"> 运行支持环境</w:t>
      </w:r>
      <w:r>
        <w:rPr>
          <w:rFonts w:hint="eastAsia" w:ascii="宋体" w:hAnsi="宋体" w:eastAsia="宋体" w:cs="宋体"/>
          <w:sz w:val="10"/>
        </w:rPr>
        <w:t>，</w:t>
      </w:r>
      <w:r>
        <w:rPr>
          <w:rFonts w:hint="eastAsia" w:ascii="宋体" w:hAnsi="宋体" w:eastAsia="宋体" w:cs="宋体"/>
          <w:sz w:val="21"/>
        </w:rPr>
        <w:t>通常也被称为业务模型运行平台</w:t>
      </w:r>
      <w:r>
        <w:rPr>
          <w:rFonts w:hint="eastAsia" w:ascii="宋体" w:hAnsi="宋体" w:eastAsia="宋体" w:cs="宋体"/>
          <w:sz w:val="10"/>
        </w:rPr>
        <w:t>。</w:t>
      </w:r>
      <w:r>
        <w:rPr>
          <w:rFonts w:hint="eastAsia" w:ascii="宋体" w:hAnsi="宋体" w:eastAsia="宋体" w:cs="宋体"/>
          <w:sz w:val="21"/>
        </w:rPr>
        <w:t>前</w:t>
      </w:r>
    </w:p>
    <w:p>
      <w:pPr>
        <w:sectPr>
          <w:type w:val="continuous"/>
          <w:pgSz w:w="11900" w:h="16820"/>
          <w:pgMar w:top="0" w:right="0" w:bottom="0" w:left="0"/>
        </w:sectPr>
      </w:pPr>
    </w:p>
    <w:p>
      <w:pPr>
        <w:tabs>
          <w:tab w:val="left" w:pos="3680"/>
        </w:tabs>
        <w:autoSpaceDE w:val="false"/>
        <w:autoSpaceDN w:val="false"/>
        <w:spacing w:line="300" w:lineRule="exact"/>
        <w:ind w:left="1780"/>
        <w:jc w:val="both"/>
      </w:pPr>
      <w:r>
        <w:rPr>
          <w:rFonts w:hint="eastAsia" w:ascii="Times New Roman" w:hAnsi="Times New Roman" w:eastAsia="Times New Roman" w:cs="Times New Roman"/>
          <w:sz w:val="21"/>
        </w:rPr>
        <w:t>LiveBOS Server</w:t>
      </w:r>
      <w:r>
        <w:tab/>
      </w:r>
      <w:r>
        <w:rPr>
          <w:rFonts w:hint="eastAsia" w:ascii="宋体" w:hAnsi="宋体" w:eastAsia="宋体" w:cs="宋体"/>
          <w:sz w:val="21"/>
        </w:rPr>
        <w:t>指</w:t>
      </w:r>
    </w:p>
    <w:p>
      <w:pPr>
        <w:autoSpaceDE w:val="false"/>
        <w:autoSpaceDN w:val="false"/>
        <w:spacing w:line="260" w:lineRule="exact"/>
        <w:ind w:left="0" w:right="0"/>
        <w:jc w:val="both"/>
      </w:pPr>
      <w:r>
        <w:br w:type="column"/>
      </w:r>
      <w:r>
        <w:rPr>
          <w:rFonts w:hint="eastAsia" w:ascii="宋体" w:hAnsi="宋体" w:eastAsia="宋体" w:cs="宋体"/>
          <w:sz w:val="21"/>
        </w:rPr>
        <w:t>期建立的业务对象模型在该平台上运行</w:t>
      </w:r>
      <w:r>
        <w:rPr>
          <w:rFonts w:hint="eastAsia" w:ascii="宋体" w:hAnsi="宋体" w:eastAsia="宋体" w:cs="宋体"/>
          <w:sz w:val="10"/>
        </w:rPr>
        <w:t>，</w:t>
      </w:r>
      <w:r>
        <w:rPr>
          <w:rFonts w:hint="eastAsia" w:ascii="宋体" w:hAnsi="宋体" w:eastAsia="宋体" w:cs="宋体"/>
          <w:sz w:val="21"/>
        </w:rPr>
        <w:t>生成符合设计预期的软件应用</w:t>
      </w:r>
    </w:p>
    <w:p>
      <w:pPr>
        <w:sectPr>
          <w:type w:val="continuous"/>
          <w:pgSz w:w="11900" w:h="16820"/>
          <w:pgMar w:top="0" w:right="0" w:bottom="0" w:left="0"/>
          <w:cols w:equalWidth="false" w:num="2" w:sep="false">
            <w:col w:w="3960" w:space="420"/>
            <w:col w:w="5860"/>
          </w:cols>
        </w:sectPr>
      </w:pPr>
    </w:p>
    <w:p>
      <w:pPr>
        <w:spacing w:line="200" w:lineRule="exact"/>
        <w:rPr>
          <w:rFonts w:hint="eastAsia" w:ascii="宋体" w:hAnsi="宋体" w:eastAsia="宋体" w:cs="宋体"/>
          <w:sz w:val="20"/>
        </w:rPr>
      </w:pPr>
    </w:p>
    <w:p>
      <w:pPr>
        <w:autoSpaceDE w:val="false"/>
        <w:autoSpaceDN w:val="false"/>
        <w:spacing w:line="260" w:lineRule="exact"/>
        <w:ind w:left="4380"/>
        <w:jc w:val="both"/>
      </w:pPr>
      <w:r>
        <w:rPr>
          <w:rFonts w:hint="eastAsia" w:ascii="Times New Roman" w:hAnsi="Times New Roman" w:eastAsia="Times New Roman" w:cs="Times New Roman"/>
          <w:sz w:val="21"/>
        </w:rPr>
        <w:t>LiveBOS</w:t>
      </w:r>
      <w:r>
        <w:rPr>
          <w:rFonts w:hint="eastAsia" w:ascii="宋体" w:hAnsi="宋体" w:eastAsia="宋体" w:cs="宋体"/>
          <w:sz w:val="21"/>
        </w:rPr>
        <w:t xml:space="preserve"> 业务运维管理工具</w:t>
      </w:r>
      <w:r>
        <w:rPr>
          <w:rFonts w:hint="eastAsia" w:ascii="宋体" w:hAnsi="宋体" w:eastAsia="宋体" w:cs="宋体"/>
          <w:sz w:val="10"/>
        </w:rPr>
        <w:t>，</w:t>
      </w:r>
      <w:r>
        <w:rPr>
          <w:rFonts w:hint="eastAsia" w:ascii="宋体" w:hAnsi="宋体" w:eastAsia="宋体" w:cs="宋体"/>
          <w:sz w:val="21"/>
        </w:rPr>
        <w:t>通常称为运维管理平台</w:t>
      </w:r>
      <w:r>
        <w:rPr>
          <w:rFonts w:hint="eastAsia" w:ascii="宋体" w:hAnsi="宋体" w:eastAsia="宋体" w:cs="宋体"/>
          <w:sz w:val="10"/>
        </w:rPr>
        <w:t>，</w:t>
      </w:r>
      <w:r>
        <w:rPr>
          <w:rFonts w:hint="eastAsia" w:ascii="宋体" w:hAnsi="宋体" w:eastAsia="宋体" w:cs="宋体"/>
          <w:sz w:val="21"/>
        </w:rPr>
        <w:t>主要提</w:t>
      </w:r>
    </w:p>
    <w:p>
      <w:pPr>
        <w:sectPr>
          <w:type w:val="continuous"/>
          <w:pgSz w:w="11900" w:h="16820"/>
          <w:pgMar w:top="0" w:right="0" w:bottom="0" w:left="0"/>
        </w:sectPr>
      </w:pPr>
    </w:p>
    <w:p>
      <w:pPr>
        <w:autoSpaceDE w:val="false"/>
        <w:autoSpaceDN w:val="false"/>
        <w:spacing w:line="320" w:lineRule="exact"/>
        <w:ind w:left="1780"/>
        <w:jc w:val="both"/>
      </w:pPr>
      <w:r>
        <w:rPr>
          <w:rFonts w:hint="eastAsia" w:ascii="Times New Roman" w:hAnsi="Times New Roman" w:eastAsia="Times New Roman" w:cs="Times New Roman"/>
          <w:sz w:val="21"/>
        </w:rPr>
        <w:t>LiveBOS Manager</w:t>
      </w:r>
      <w:r>
        <w:rPr>
          <w:rFonts w:hint="eastAsia" w:ascii="宋体" w:hAnsi="宋体" w:eastAsia="宋体" w:cs="宋体"/>
          <w:sz w:val="21"/>
        </w:rPr>
        <w:t xml:space="preserve"> 指</w:t>
      </w:r>
    </w:p>
    <w:p>
      <w:pPr>
        <w:autoSpaceDE w:val="false"/>
        <w:autoSpaceDN w:val="false"/>
        <w:spacing w:line="280" w:lineRule="exact"/>
        <w:ind w:left="0" w:right="0"/>
        <w:jc w:val="both"/>
      </w:pPr>
      <w:r>
        <w:br w:type="column"/>
      </w:r>
      <w:r>
        <w:rPr>
          <w:rFonts w:hint="eastAsia" w:ascii="宋体" w:hAnsi="宋体" w:eastAsia="宋体" w:cs="宋体"/>
          <w:sz w:val="21"/>
        </w:rPr>
        <w:t>供给客户的</w:t>
      </w:r>
      <w:r>
        <w:rPr>
          <w:rFonts w:hint="eastAsia" w:ascii="Times New Roman" w:hAnsi="Times New Roman" w:eastAsia="Times New Roman" w:cs="Times New Roman"/>
          <w:sz w:val="21"/>
        </w:rPr>
        <w:t xml:space="preserve"> IT</w:t>
      </w:r>
      <w:r>
        <w:rPr>
          <w:rFonts w:hint="eastAsia" w:ascii="宋体" w:hAnsi="宋体" w:eastAsia="宋体" w:cs="宋体"/>
          <w:sz w:val="21"/>
        </w:rPr>
        <w:t xml:space="preserve"> 管理人员使用</w:t>
      </w:r>
      <w:r>
        <w:rPr>
          <w:rFonts w:hint="eastAsia" w:ascii="宋体" w:hAnsi="宋体" w:eastAsia="宋体" w:cs="宋体"/>
          <w:sz w:val="10"/>
        </w:rPr>
        <w:t>，</w:t>
      </w:r>
      <w:r>
        <w:rPr>
          <w:rFonts w:hint="eastAsia" w:ascii="宋体" w:hAnsi="宋体" w:eastAsia="宋体" w:cs="宋体"/>
          <w:sz w:val="21"/>
        </w:rPr>
        <w:t>能够实现对软件产品的运行情况进行监控</w:t>
      </w:r>
      <w:r>
        <w:rPr>
          <w:rFonts w:hint="eastAsia" w:ascii="宋体" w:hAnsi="宋体" w:eastAsia="宋体" w:cs="宋体"/>
          <w:sz w:val="10"/>
        </w:rPr>
        <w:t>、</w:t>
      </w:r>
      <w:r>
        <w:rPr>
          <w:rFonts w:hint="eastAsia" w:ascii="宋体" w:hAnsi="宋体" w:eastAsia="宋体" w:cs="宋体"/>
          <w:sz w:val="21"/>
        </w:rPr>
        <w:t>维护和性能优化等功能</w:t>
      </w:r>
    </w:p>
    <w:p>
      <w:pPr>
        <w:sectPr>
          <w:type w:val="continuous"/>
          <w:pgSz w:w="11900" w:h="16820"/>
          <w:pgMar w:top="0" w:right="0" w:bottom="0" w:left="0"/>
          <w:cols w:equalWidth="false" w:num="2" w:sep="false">
            <w:col w:w="3960" w:space="420"/>
            <w:col w:w="5920"/>
          </w:cols>
        </w:sectPr>
      </w:pPr>
    </w:p>
    <w:p>
      <w:pPr>
        <w:spacing w:line="200" w:lineRule="exact"/>
        <w:rPr>
          <w:rFonts w:hint="eastAsia" w:ascii="宋体" w:hAnsi="宋体" w:eastAsia="宋体" w:cs="宋体"/>
          <w:sz w:val="20"/>
        </w:rPr>
      </w:pPr>
    </w:p>
    <w:p>
      <w:pPr>
        <w:autoSpaceDE w:val="false"/>
        <w:autoSpaceDN w:val="false"/>
        <w:spacing w:line="260" w:lineRule="exact"/>
        <w:ind w:left="4380"/>
        <w:jc w:val="both"/>
      </w:pPr>
      <w:r>
        <w:rPr>
          <w:rFonts w:hint="eastAsia" w:ascii="宋体" w:hAnsi="宋体" w:eastAsia="宋体" w:cs="宋体"/>
          <w:sz w:val="10"/>
        </w:rPr>
        <w:t>“</w:t>
      </w:r>
      <w:r>
        <w:rPr>
          <w:rFonts w:hint="eastAsia" w:ascii="Times New Roman" w:hAnsi="Times New Roman" w:eastAsia="Times New Roman" w:cs="Times New Roman"/>
          <w:sz w:val="21"/>
        </w:rPr>
        <w:t>Software-as-a-Service</w:t>
      </w:r>
      <w:r>
        <w:rPr>
          <w:rFonts w:hint="eastAsia" w:ascii="宋体" w:hAnsi="宋体" w:eastAsia="宋体" w:cs="宋体"/>
          <w:sz w:val="10"/>
        </w:rPr>
        <w:t>”</w:t>
      </w:r>
      <w:r>
        <w:rPr>
          <w:rFonts w:hint="eastAsia" w:ascii="宋体" w:hAnsi="宋体" w:eastAsia="宋体" w:cs="宋体"/>
          <w:sz w:val="21"/>
        </w:rPr>
        <w:t>的简称</w:t>
      </w:r>
      <w:r>
        <w:rPr>
          <w:rFonts w:hint="eastAsia" w:ascii="宋体" w:hAnsi="宋体" w:eastAsia="宋体" w:cs="宋体"/>
          <w:sz w:val="10"/>
        </w:rPr>
        <w:t>，</w:t>
      </w:r>
      <w:r>
        <w:rPr>
          <w:rFonts w:hint="eastAsia" w:ascii="宋体" w:hAnsi="宋体" w:eastAsia="宋体" w:cs="宋体"/>
          <w:sz w:val="21"/>
        </w:rPr>
        <w:t>软件即服务</w:t>
      </w:r>
      <w:r>
        <w:rPr>
          <w:rFonts w:hint="eastAsia" w:ascii="宋体" w:hAnsi="宋体" w:eastAsia="宋体" w:cs="宋体"/>
          <w:sz w:val="10"/>
        </w:rPr>
        <w:t>。</w:t>
      </w:r>
      <w:r>
        <w:rPr>
          <w:rFonts w:hint="eastAsia" w:ascii="宋体" w:hAnsi="宋体" w:eastAsia="宋体" w:cs="宋体"/>
          <w:sz w:val="21"/>
        </w:rPr>
        <w:t>是随着互联网</w:t>
      </w:r>
    </w:p>
    <w:p>
      <w:pPr>
        <w:sectPr>
          <w:type w:val="continuous"/>
          <w:pgSz w:w="11900" w:h="16820"/>
          <w:pgMar w:top="0" w:right="0" w:bottom="0" w:left="0"/>
        </w:sectPr>
      </w:pPr>
    </w:p>
    <w:p>
      <w:pPr>
        <w:tabs>
          <w:tab w:val="left" w:pos="3680"/>
        </w:tabs>
        <w:autoSpaceDE w:val="false"/>
        <w:autoSpaceDN w:val="false"/>
        <w:spacing w:line="300" w:lineRule="exact"/>
        <w:ind w:left="1780"/>
        <w:jc w:val="both"/>
      </w:pPr>
      <w:r>
        <w:rPr>
          <w:rFonts w:hint="eastAsia" w:ascii="Times New Roman" w:hAnsi="Times New Roman" w:eastAsia="Times New Roman" w:cs="Times New Roman"/>
          <w:sz w:val="21"/>
        </w:rPr>
        <w:t>SaaS</w:t>
      </w:r>
      <w:r>
        <w:tab/>
      </w:r>
      <w:r>
        <w:rPr>
          <w:rFonts w:hint="eastAsia" w:ascii="宋体" w:hAnsi="宋体" w:eastAsia="宋体" w:cs="宋体"/>
          <w:sz w:val="21"/>
        </w:rPr>
        <w:t>指</w:t>
      </w:r>
    </w:p>
    <w:p>
      <w:pPr>
        <w:autoSpaceDE w:val="false"/>
        <w:autoSpaceDN w:val="false"/>
        <w:spacing w:line="280" w:lineRule="exact"/>
        <w:ind w:left="0"/>
        <w:jc w:val="both"/>
      </w:pPr>
      <w:r>
        <w:br w:type="column"/>
      </w:r>
      <w:r>
        <w:rPr>
          <w:rFonts w:hint="eastAsia" w:ascii="宋体" w:hAnsi="宋体" w:eastAsia="宋体" w:cs="宋体"/>
          <w:sz w:val="21"/>
        </w:rPr>
        <w:t>的发展和应用软件的成熟</w:t>
      </w:r>
      <w:r>
        <w:rPr>
          <w:rFonts w:hint="eastAsia" w:ascii="宋体" w:hAnsi="宋体" w:eastAsia="宋体" w:cs="宋体"/>
          <w:sz w:val="10"/>
        </w:rPr>
        <w:t>，</w:t>
      </w:r>
      <w:r>
        <w:rPr>
          <w:rFonts w:hint="eastAsia" w:ascii="宋体" w:hAnsi="宋体" w:eastAsia="宋体" w:cs="宋体"/>
          <w:sz w:val="21"/>
        </w:rPr>
        <w:t>而兴起的</w:t>
      </w:r>
      <w:r>
        <w:rPr>
          <w:rFonts w:hint="eastAsia" w:ascii="宋体" w:hAnsi="宋体" w:eastAsia="宋体" w:cs="宋体"/>
          <w:sz w:val="20"/>
        </w:rPr>
        <w:t>一</w:t>
      </w:r>
      <w:r>
        <w:rPr>
          <w:rFonts w:hint="eastAsia" w:ascii="宋体" w:hAnsi="宋体" w:eastAsia="宋体" w:cs="宋体"/>
          <w:sz w:val="21"/>
        </w:rPr>
        <w:t>种软件应用及服务模式</w:t>
      </w:r>
      <w:r>
        <w:rPr>
          <w:rFonts w:hint="eastAsia" w:ascii="宋体" w:hAnsi="宋体" w:eastAsia="宋体" w:cs="宋体"/>
          <w:sz w:val="10"/>
        </w:rPr>
        <w:t>。</w:t>
      </w:r>
    </w:p>
    <w:p>
      <w:pPr>
        <w:autoSpaceDE w:val="false"/>
        <w:autoSpaceDN w:val="false"/>
        <w:spacing w:line="260" w:lineRule="exact"/>
        <w:ind w:left="0"/>
        <w:jc w:val="both"/>
      </w:pPr>
      <w:r>
        <w:rPr>
          <w:rFonts w:hint="eastAsia" w:ascii="宋体" w:hAnsi="宋体" w:eastAsia="宋体" w:cs="宋体"/>
          <w:sz w:val="21"/>
        </w:rPr>
        <w:t>在这种模式下</w:t>
      </w:r>
      <w:r>
        <w:rPr>
          <w:rFonts w:hint="eastAsia" w:ascii="宋体" w:hAnsi="宋体" w:eastAsia="宋体" w:cs="宋体"/>
          <w:sz w:val="10"/>
        </w:rPr>
        <w:t>，</w:t>
      </w:r>
      <w:r>
        <w:rPr>
          <w:rFonts w:hint="eastAsia" w:ascii="宋体" w:hAnsi="宋体" w:eastAsia="宋体" w:cs="宋体"/>
          <w:sz w:val="21"/>
        </w:rPr>
        <w:t>提供商将应用软件统</w:t>
      </w:r>
      <w:r>
        <w:rPr>
          <w:rFonts w:hint="eastAsia" w:ascii="宋体" w:hAnsi="宋体" w:eastAsia="宋体" w:cs="宋体"/>
          <w:sz w:val="20"/>
        </w:rPr>
        <w:t>一</w:t>
      </w:r>
      <w:r>
        <w:rPr>
          <w:rFonts w:hint="eastAsia" w:ascii="宋体" w:hAnsi="宋体" w:eastAsia="宋体" w:cs="宋体"/>
          <w:sz w:val="21"/>
        </w:rPr>
        <w:t>部署在服务器上</w:t>
      </w:r>
      <w:r>
        <w:rPr>
          <w:rFonts w:hint="eastAsia" w:ascii="宋体" w:hAnsi="宋体" w:eastAsia="宋体" w:cs="宋体"/>
          <w:sz w:val="10"/>
        </w:rPr>
        <w:t>，</w:t>
      </w:r>
      <w:r>
        <w:rPr>
          <w:rFonts w:hint="eastAsia" w:ascii="宋体" w:hAnsi="宋体" w:eastAsia="宋体" w:cs="宋体"/>
          <w:sz w:val="21"/>
        </w:rPr>
        <w:t>用户</w:t>
      </w:r>
    </w:p>
    <w:p>
      <w:pPr>
        <w:sectPr>
          <w:type w:val="continuous"/>
          <w:pgSz w:w="11900" w:h="16820"/>
          <w:pgMar w:top="0" w:right="0" w:bottom="0" w:left="0"/>
          <w:cols w:equalWidth="false" w:num="2" w:sep="false">
            <w:col w:w="3960" w:space="420"/>
            <w:col w:w="5880"/>
          </w:cols>
        </w:sect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1-1-25</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20"/>
        </w:tabs>
        <w:autoSpaceDE w:val="false"/>
        <w:autoSpaceDN w:val="false"/>
        <w:spacing w:line="300" w:lineRule="exact"/>
        <w:ind w:left="178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3072" behindDoc="false" locked="false" layoutInCell="true" allowOverlap="true">
                <wp:simplePos x="0" y="0"/>
                <wp:positionH relativeFrom="page">
                  <wp:posOffset>1066800</wp:posOffset>
                </wp:positionH>
                <wp:positionV relativeFrom="page">
                  <wp:posOffset>3111500</wp:posOffset>
                </wp:positionV>
                <wp:extent cx="1460500" cy="190500"/>
                <wp:effectExtent l="0" t="0" r="22225" b="31115"/>
                <wp:wrapNone/>
                <wp:docPr id="101" name="shape101"/>
                <wp:cNvGraphicFramePr/>
                <a:graphic>
                  <a:graphicData uri="http://schemas.microsoft.com/office/word/2010/wordprocessingShape">
                    <wps:wsp>
                      <wps:cNvSpPr/>
                      <wps:spPr>
                        <a:xfrm>
                          <a:off x="0" y="0"/>
                          <a:ext cx="1460500" cy="190500"/>
                        </a:xfrm>
                        <a:prstGeom prst="rect">
                          <a:avLst/>
                        </a:prstGeom>
                      </wps:spPr>
                      <wps:txbx>
                        <w:txbxContent>
                          <w:p>
                            <w:pPr>
                              <w:tabs>
                                <w:tab w:val="left" w:pos="2000"/>
                              </w:tabs>
                              <w:spacing w:line="-200" w:lineRule="exact"/>
                              <w:ind w:left="0"/>
                              <w:jc w:val="both"/>
                            </w:pPr>
                            <w:r>
                              <w:rPr>
                                <w:rFonts w:hint="eastAsia" w:ascii="宋体" w:hAnsi="宋体" w:eastAsia="宋体" w:cs="宋体"/>
                                <w:sz w:val="21"/>
                              </w:rPr>
                              <w:t>呼叫中心</w:t>
                            </w:r>
                            <w:r>
                              <w:tab/>
                            </w:r>
                            <w:r>
                              <w:rPr>
                                <w:rFonts w:hint="eastAsia" w:ascii="宋体" w:hAnsi="宋体" w:eastAsia="宋体" w:cs="宋体"/>
                                <w:sz w:val="21"/>
                              </w:rPr>
                              <w:t>指</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5pt;height:15pt;margin-left:84pt;margin-top:245pt;mso-wrap-style:none;z-index:10253072;mso-wrap-distance-left:9pt;mso-wrap-distance-top:0pt;mso-wrap-distance-right:9pt;mso-wrap-distance-bottom:0pt" id="shape101" o:spid="1618382345395" stroked="f">
                <v:textbox>
                  <w:txbxContent>
                    <w:p>
                      <w:pPr>
                        <w:tabs>
                          <w:tab w:val="left" w:pos="2000"/>
                        </w:tabs>
                        <w:spacing w:line="-200" w:lineRule="exact"/>
                        <w:ind w:left="0"/>
                        <w:jc w:val="both"/>
                      </w:pPr>
                      <w:r>
                        <w:rPr>
                          <w:rFonts w:hint="eastAsia" w:ascii="宋体" w:hAnsi="宋体" w:eastAsia="宋体" w:cs="宋体"/>
                          <w:sz w:val="21"/>
                        </w:rPr>
                        <w:t>呼叫中心</w:t>
                      </w:r>
                      <w:r>
                        <w:tab/>
                      </w:r>
                      <w:r>
                        <w:rPr>
                          <w:rFonts w:hint="eastAsia" w:ascii="宋体" w:hAnsi="宋体" w:eastAsia="宋体" w:cs="宋体"/>
                          <w:sz w:val="21"/>
                        </w:rPr>
                        <w:t>指</w:t>
                      </w:r>
                    </w:p>
                  </w:txbxContent>
                </v:textbox>
              </v:rect>
            </w:pict>
          </mc:Fallback>
        </mc:AlternateContent>
      </w:r>
      <w:r>
        <mc:AlternateContent>
          <mc:Choice Requires="wps">
            <w:drawing>
              <wp:anchor distT="0" distB="0" distL="114300" distR="114300" simplePos="false" relativeHeight="10254096" behindDoc="false" locked="false" layoutInCell="true" allowOverlap="true">
                <wp:simplePos x="0" y="0"/>
                <wp:positionH relativeFrom="page">
                  <wp:posOffset>1066800</wp:posOffset>
                </wp:positionH>
                <wp:positionV relativeFrom="page">
                  <wp:posOffset>4787900</wp:posOffset>
                </wp:positionV>
                <wp:extent cx="1333500" cy="368300"/>
                <wp:effectExtent l="0" t="0" r="22225" b="31115"/>
                <wp:wrapNone/>
                <wp:docPr id="102" name="shape102"/>
                <wp:cNvGraphicFramePr/>
                <a:graphic>
                  <a:graphicData uri="http://schemas.microsoft.com/office/word/2010/wordprocessingShape">
                    <wps:wsp>
                      <wps:cNvSpPr/>
                      <wps:spPr>
                        <a:xfrm>
                          <a:off x="0" y="0"/>
                          <a:ext cx="1333500" cy="368300"/>
                        </a:xfrm>
                        <a:prstGeom prst="rect">
                          <a:avLst/>
                        </a:prstGeom>
                      </wps:spPr>
                      <wps:txbx>
                        <w:txbxContent>
                          <w:p>
                            <w:pPr>
                              <w:spacing w:line="-220" w:lineRule="exact"/>
                              <w:ind w:left="0"/>
                              <w:jc w:val="both"/>
                            </w:pPr>
                            <w:r>
                              <w:rPr>
                                <w:rFonts w:hint="eastAsia" w:ascii="宋体" w:hAnsi="宋体" w:eastAsia="宋体" w:cs="宋体"/>
                                <w:sz w:val="21"/>
                              </w:rPr>
                              <w:t>基于业务对象的开发</w:t>
                            </w:r>
                          </w:p>
                          <w:p>
                            <w:pPr>
                              <w:spacing w:line="260" w:lineRule="exact"/>
                              <w:ind w:left="0"/>
                              <w:jc w:val="both"/>
                            </w:pPr>
                            <w:r>
                              <w:rPr>
                                <w:rFonts w:hint="eastAsia" w:ascii="宋体" w:hAnsi="宋体" w:eastAsia="宋体" w:cs="宋体"/>
                                <w:sz w:val="21"/>
                              </w:rPr>
                              <w:t>方式</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5pt;height:29pt;margin-left:84pt;margin-top:377pt;mso-wrap-style:none;z-index:10254096;mso-wrap-distance-left:9pt;mso-wrap-distance-top:0pt;mso-wrap-distance-right:9pt;mso-wrap-distance-bottom:0pt" id="shape102" o:spid="1618382345396" stroked="f">
                <v:textbox>
                  <w:txbxContent>
                    <w:p>
                      <w:pPr>
                        <w:spacing w:line="-220" w:lineRule="exact"/>
                        <w:ind w:left="0"/>
                        <w:jc w:val="both"/>
                      </w:pPr>
                      <w:r>
                        <w:rPr>
                          <w:rFonts w:hint="eastAsia" w:ascii="宋体" w:hAnsi="宋体" w:eastAsia="宋体" w:cs="宋体"/>
                          <w:sz w:val="21"/>
                        </w:rPr>
                        <w:t>基于业务对象的开发</w:t>
                      </w:r>
                    </w:p>
                    <w:p>
                      <w:pPr>
                        <w:spacing w:line="260" w:lineRule="exact"/>
                        <w:ind w:left="0"/>
                        <w:jc w:val="both"/>
                      </w:pPr>
                      <w:r>
                        <w:rPr>
                          <w:rFonts w:hint="eastAsia" w:ascii="宋体" w:hAnsi="宋体" w:eastAsia="宋体" w:cs="宋体"/>
                          <w:sz w:val="21"/>
                        </w:rPr>
                        <w:t>方式</w:t>
                      </w:r>
                    </w:p>
                  </w:txbxContent>
                </v:textbox>
              </v:rect>
            </w:pict>
          </mc:Fallback>
        </mc:AlternateContent>
      </w:r>
      <w:r>
        <mc:AlternateContent>
          <mc:Choice Requires="wps">
            <w:drawing>
              <wp:anchor distT="0" distB="0" distL="114300" distR="114300" simplePos="false" relativeHeight="10255120" behindDoc="false" locked="false" layoutInCell="true" allowOverlap="true">
                <wp:simplePos x="0" y="0"/>
                <wp:positionH relativeFrom="page">
                  <wp:posOffset>2273300</wp:posOffset>
                </wp:positionH>
                <wp:positionV relativeFrom="page">
                  <wp:posOffset>4864100</wp:posOffset>
                </wp:positionV>
                <wp:extent cx="254000" cy="203200"/>
                <wp:effectExtent l="0" t="0" r="22225" b="31115"/>
                <wp:wrapNone/>
                <wp:docPr id="103" name="shape103"/>
                <wp:cNvGraphicFramePr/>
                <a:graphic>
                  <a:graphicData uri="http://schemas.microsoft.com/office/word/2010/wordprocessingShape">
                    <wps:wsp>
                      <wps:cNvSpPr/>
                      <wps:spPr>
                        <a:xfrm>
                          <a:off x="0" y="0"/>
                          <a:ext cx="254000" cy="203200"/>
                        </a:xfrm>
                        <a:prstGeom prst="rect">
                          <a:avLst/>
                        </a:prstGeom>
                      </wps:spPr>
                      <wps:txbx>
                        <w:txbxContent>
                          <w:p>
                            <w:pPr>
                              <w:spacing w:line="-220" w:lineRule="exact"/>
                              <w:ind w:left="0"/>
                              <w:jc w:val="both"/>
                            </w:pPr>
                            <w:r>
                              <w:rPr>
                                <w:rFonts w:hint="eastAsia" w:ascii="宋体" w:hAnsi="宋体" w:eastAsia="宋体" w:cs="宋体"/>
                                <w:sz w:val="21"/>
                              </w:rPr>
                              <w:t>指</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0pt;height:16pt;margin-left:179pt;margin-top:383pt;mso-wrap-style:none;z-index:10255120;mso-wrap-distance-left:9pt;mso-wrap-distance-top:0pt;mso-wrap-distance-right:9pt;mso-wrap-distance-bottom:0pt" id="shape103" o:spid="1618382345397" stroked="f">
                <v:textbox>
                  <w:txbxContent>
                    <w:p>
                      <w:pPr>
                        <w:spacing w:line="-220" w:lineRule="exact"/>
                        <w:ind w:left="0"/>
                        <w:jc w:val="both"/>
                      </w:pPr>
                      <w:r>
                        <w:rPr>
                          <w:rFonts w:hint="eastAsia" w:ascii="宋体" w:hAnsi="宋体" w:eastAsia="宋体" w:cs="宋体"/>
                          <w:sz w:val="21"/>
                        </w:rPr>
                        <w:t>指</w:t>
                      </w:r>
                    </w:p>
                  </w:txbxContent>
                </v:textbox>
              </v:rect>
            </w:pict>
          </mc:Fallback>
        </mc:AlternateContent>
      </w:r>
      <w:r>
        <mc:AlternateContent>
          <mc:Choice Requires="wps">
            <w:drawing>
              <wp:anchor distT="0" distB="0" distL="114300" distR="114300" simplePos="false" relativeHeight="10256144" behindDoc="false" locked="false" layoutInCell="true" allowOverlap="true">
                <wp:simplePos x="0" y="0"/>
                <wp:positionH relativeFrom="page">
                  <wp:posOffset>1066800</wp:posOffset>
                </wp:positionH>
                <wp:positionV relativeFrom="page">
                  <wp:posOffset>6629400</wp:posOffset>
                </wp:positionV>
                <wp:extent cx="1460500" cy="203200"/>
                <wp:effectExtent l="0" t="0" r="22225" b="31115"/>
                <wp:wrapNone/>
                <wp:docPr id="104" name="shape104"/>
                <wp:cNvGraphicFramePr/>
                <a:graphic>
                  <a:graphicData uri="http://schemas.microsoft.com/office/word/2010/wordprocessingShape">
                    <wps:wsp>
                      <wps:cNvSpPr/>
                      <wps:spPr>
                        <a:xfrm>
                          <a:off x="0" y="0"/>
                          <a:ext cx="1460500" cy="203200"/>
                        </a:xfrm>
                        <a:prstGeom prst="rect">
                          <a:avLst/>
                        </a:prstGeom>
                      </wps:spPr>
                      <wps:txbx>
                        <w:txbxContent>
                          <w:p>
                            <w:pPr>
                              <w:tabs>
                                <w:tab w:val="left" w:pos="2000"/>
                              </w:tabs>
                              <w:spacing w:line="-220" w:lineRule="exact"/>
                              <w:ind w:left="0"/>
                              <w:jc w:val="both"/>
                            </w:pPr>
                            <w:r>
                              <w:rPr>
                                <w:rFonts w:hint="eastAsia" w:ascii="Times New Roman" w:hAnsi="Times New Roman" w:eastAsia="Times New Roman" w:cs="Times New Roman"/>
                                <w:sz w:val="21"/>
                              </w:rPr>
                              <w:t>Losap</w:t>
                            </w:r>
                            <w:r>
                              <w:tab/>
                            </w:r>
                            <w:r>
                              <w:rPr>
                                <w:rFonts w:hint="eastAsia" w:ascii="宋体" w:hAnsi="宋体" w:eastAsia="宋体" w:cs="宋体"/>
                                <w:sz w:val="21"/>
                              </w:rPr>
                              <w:t>指</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5pt;height:16pt;margin-left:84pt;margin-top:522pt;mso-wrap-style:none;z-index:10256144;mso-wrap-distance-left:9pt;mso-wrap-distance-top:0pt;mso-wrap-distance-right:9pt;mso-wrap-distance-bottom:0pt" id="shape104" o:spid="1618382345398" stroked="f">
                <v:textbox>
                  <w:txbxContent>
                    <w:p>
                      <w:pPr>
                        <w:tabs>
                          <w:tab w:val="left" w:pos="2000"/>
                        </w:tabs>
                        <w:spacing w:line="-220" w:lineRule="exact"/>
                        <w:ind w:left="0"/>
                        <w:jc w:val="both"/>
                      </w:pPr>
                      <w:r>
                        <w:rPr>
                          <w:rFonts w:hint="eastAsia" w:ascii="Times New Roman" w:hAnsi="Times New Roman" w:eastAsia="Times New Roman" w:cs="Times New Roman"/>
                          <w:sz w:val="21"/>
                        </w:rPr>
                        <w:t>Losap</w:t>
                      </w:r>
                      <w:r>
                        <w:tab/>
                      </w:r>
                      <w:r>
                        <w:rPr>
                          <w:rFonts w:hint="eastAsia" w:ascii="宋体" w:hAnsi="宋体" w:eastAsia="宋体" w:cs="宋体"/>
                          <w:sz w:val="21"/>
                        </w:rPr>
                        <w:t>指</w:t>
                      </w:r>
                    </w:p>
                  </w:txbxContent>
                </v:textbox>
              </v:rect>
            </w:pict>
          </mc:Fallback>
        </mc:AlternateContent>
      </w:r>
      <w:r>
        <mc:AlternateContent>
          <mc:Choice Requires="wps">
            <w:drawing>
              <wp:anchor distT="0" distB="0" distL="114300" distR="114300" simplePos="false" relativeHeight="10257168" behindDoc="false" locked="false" layoutInCell="true" allowOverlap="true">
                <wp:simplePos x="0" y="0"/>
                <wp:positionH relativeFrom="page">
                  <wp:posOffset>1066800</wp:posOffset>
                </wp:positionH>
                <wp:positionV relativeFrom="page">
                  <wp:posOffset>7531100</wp:posOffset>
                </wp:positionV>
                <wp:extent cx="1460500" cy="203200"/>
                <wp:effectExtent l="0" t="0" r="22225" b="31115"/>
                <wp:wrapNone/>
                <wp:docPr id="105" name="shape105"/>
                <wp:cNvGraphicFramePr/>
                <a:graphic>
                  <a:graphicData uri="http://schemas.microsoft.com/office/word/2010/wordprocessingShape">
                    <wps:wsp>
                      <wps:cNvSpPr/>
                      <wps:spPr>
                        <a:xfrm>
                          <a:off x="0" y="0"/>
                          <a:ext cx="1460500" cy="203200"/>
                        </a:xfrm>
                        <a:prstGeom prst="rect">
                          <a:avLst/>
                        </a:prstGeom>
                      </wps:spPr>
                      <wps:txbx>
                        <w:txbxContent>
                          <w:p>
                            <w:pPr>
                              <w:tabs>
                                <w:tab w:val="left" w:pos="2000"/>
                              </w:tabs>
                              <w:spacing w:line="-220" w:lineRule="exact"/>
                              <w:ind w:left="0"/>
                              <w:jc w:val="both"/>
                            </w:pPr>
                            <w:r>
                              <w:rPr>
                                <w:rFonts w:hint="eastAsia" w:ascii="宋体" w:hAnsi="宋体" w:eastAsia="宋体" w:cs="宋体"/>
                                <w:sz w:val="21"/>
                              </w:rPr>
                              <w:t>内存交易系统</w:t>
                            </w:r>
                            <w:r>
                              <w:tab/>
                            </w:r>
                            <w:r>
                              <w:rPr>
                                <w:rFonts w:hint="eastAsia" w:ascii="宋体" w:hAnsi="宋体" w:eastAsia="宋体" w:cs="宋体"/>
                                <w:sz w:val="21"/>
                              </w:rPr>
                              <w:t>指</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5pt;height:16pt;margin-left:84pt;margin-top:593pt;mso-wrap-style:none;z-index:10257168;mso-wrap-distance-left:9pt;mso-wrap-distance-top:0pt;mso-wrap-distance-right:9pt;mso-wrap-distance-bottom:0pt" id="shape105" o:spid="1618382345399" stroked="f">
                <v:textbox>
                  <w:txbxContent>
                    <w:p>
                      <w:pPr>
                        <w:tabs>
                          <w:tab w:val="left" w:pos="2000"/>
                        </w:tabs>
                        <w:spacing w:line="-220" w:lineRule="exact"/>
                        <w:ind w:left="0"/>
                        <w:jc w:val="both"/>
                      </w:pPr>
                      <w:r>
                        <w:rPr>
                          <w:rFonts w:hint="eastAsia" w:ascii="宋体" w:hAnsi="宋体" w:eastAsia="宋体" w:cs="宋体"/>
                          <w:sz w:val="21"/>
                        </w:rPr>
                        <w:t>内存交易系统</w:t>
                      </w:r>
                      <w:r>
                        <w:tab/>
                      </w:r>
                      <w:r>
                        <w:rPr>
                          <w:rFonts w:hint="eastAsia" w:ascii="宋体" w:hAnsi="宋体" w:eastAsia="宋体" w:cs="宋体"/>
                          <w:sz w:val="21"/>
                        </w:rPr>
                        <w:t>指</w:t>
                      </w:r>
                    </w:p>
                  </w:txbxContent>
                </v:textbox>
              </v:rect>
            </w:pict>
          </mc:Fallback>
        </mc:AlternateContent>
      </w:r>
    </w:p>
    <w:p>
      <w:pPr>
        <w:spacing w:line="200" w:lineRule="exact"/>
        <w:rPr>
          <w:rFonts w:hint="eastAsia" w:ascii="宋体" w:hAnsi="宋体" w:eastAsia="宋体" w:cs="宋体"/>
          <w:sz w:val="20"/>
        </w:rPr>
      </w:pPr>
    </w:p>
    <w:p>
      <w:pPr>
        <w:autoSpaceDE w:val="false"/>
        <w:autoSpaceDN w:val="false"/>
        <w:spacing w:line="320" w:lineRule="exact"/>
        <w:ind w:left="4380" w:right="1620"/>
        <w:jc w:val="both"/>
      </w:pPr>
      <w:r>
        <w:rPr>
          <w:rFonts w:hint="eastAsia" w:ascii="宋体" w:hAnsi="宋体" w:eastAsia="宋体" w:cs="宋体"/>
          <w:sz w:val="21"/>
        </w:rPr>
        <w:t>根据实际需求向提供商订购所需的软件应用及服务</w:t>
      </w:r>
      <w:r>
        <w:rPr>
          <w:rFonts w:hint="eastAsia" w:ascii="宋体" w:hAnsi="宋体" w:eastAsia="宋体" w:cs="宋体"/>
          <w:sz w:val="10"/>
        </w:rPr>
        <w:t>，</w:t>
      </w:r>
      <w:r>
        <w:rPr>
          <w:rFonts w:hint="eastAsia" w:ascii="宋体" w:hAnsi="宋体" w:eastAsia="宋体" w:cs="宋体"/>
          <w:sz w:val="21"/>
        </w:rPr>
        <w:t>按其所订购的产品类型及期限向提供商支付费用</w:t>
      </w:r>
      <w:r>
        <w:rPr>
          <w:rFonts w:hint="eastAsia" w:ascii="宋体" w:hAnsi="宋体" w:eastAsia="宋体" w:cs="宋体"/>
          <w:sz w:val="10"/>
        </w:rPr>
        <w:t>，</w:t>
      </w:r>
      <w:r>
        <w:rPr>
          <w:rFonts w:hint="eastAsia" w:ascii="宋体" w:hAnsi="宋体" w:eastAsia="宋体" w:cs="宋体"/>
          <w:sz w:val="21"/>
        </w:rPr>
        <w:t>并通过互联网获得相</w:t>
      </w:r>
    </w:p>
    <w:p>
      <w:pPr>
        <w:autoSpaceDE w:val="false"/>
        <w:autoSpaceDN w:val="false"/>
        <w:spacing w:line="260" w:lineRule="exact"/>
        <w:ind w:left="4380"/>
        <w:jc w:val="both"/>
      </w:pPr>
      <w:r>
        <w:rPr>
          <w:rFonts w:hint="eastAsia" w:ascii="宋体" w:hAnsi="宋体" w:eastAsia="宋体" w:cs="宋体"/>
          <w:sz w:val="21"/>
        </w:rPr>
        <w:t>应的软件应用及服务</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40" w:lineRule="exact"/>
        <w:ind w:left="1780"/>
        <w:jc w:val="both"/>
      </w:pPr>
      <w:r>
        <w:rPr>
          <w:rFonts w:hint="eastAsia" w:ascii="Times New Roman" w:hAnsi="Times New Roman" w:eastAsia="Times New Roman" w:cs="Times New Roman"/>
          <w:sz w:val="21"/>
        </w:rPr>
        <w:t>PaaS</w:t>
      </w:r>
      <w:r>
        <w:tab/>
      </w:r>
      <w:r>
        <w:rPr>
          <w:rFonts w:hint="eastAsia" w:ascii="宋体" w:hAnsi="宋体" w:eastAsia="宋体" w:cs="宋体"/>
          <w:sz w:val="21"/>
        </w:rPr>
        <w:t>指</w:t>
      </w:r>
      <w:r>
        <w:tab/>
      </w:r>
      <w:r>
        <w:rPr>
          <w:rFonts w:hint="eastAsia" w:ascii="宋体" w:hAnsi="宋体" w:eastAsia="宋体" w:cs="宋体"/>
          <w:sz w:val="21"/>
        </w:rPr>
        <w:t>平台即服务</w:t>
      </w:r>
      <w:r>
        <w:rPr>
          <w:rFonts w:hint="eastAsia" w:ascii="宋体" w:hAnsi="宋体" w:eastAsia="宋体" w:cs="宋体"/>
          <w:sz w:val="10"/>
        </w:rPr>
        <w:t>，</w:t>
      </w:r>
      <w:r>
        <w:rPr>
          <w:rFonts w:hint="eastAsia" w:ascii="Times New Roman" w:hAnsi="Times New Roman" w:eastAsia="Times New Roman" w:cs="Times New Roman"/>
          <w:sz w:val="21"/>
        </w:rPr>
        <w:t>Platform-as-a-Service</w:t>
      </w:r>
      <w:r>
        <w:rPr>
          <w:rFonts w:hint="eastAsia" w:ascii="宋体" w:hAnsi="宋体" w:eastAsia="宋体" w:cs="宋体"/>
          <w:sz w:val="10"/>
        </w:rPr>
        <w:t>。</w:t>
      </w:r>
      <w:r>
        <w:rPr>
          <w:rFonts w:hint="eastAsia" w:ascii="宋体" w:hAnsi="宋体" w:eastAsia="宋体" w:cs="宋体"/>
          <w:sz w:val="21"/>
        </w:rPr>
        <w:t>实际上是指将软件研发的</w:t>
      </w:r>
    </w:p>
    <w:p>
      <w:pPr>
        <w:autoSpaceDE w:val="false"/>
        <w:autoSpaceDN w:val="false"/>
        <w:spacing w:line="260" w:lineRule="exact"/>
        <w:ind w:left="4380"/>
        <w:jc w:val="both"/>
      </w:pPr>
      <w:r>
        <w:rPr>
          <w:rFonts w:hint="eastAsia" w:ascii="宋体" w:hAnsi="宋体" w:eastAsia="宋体" w:cs="宋体"/>
          <w:sz w:val="21"/>
        </w:rPr>
        <w:t>平台作为</w:t>
      </w:r>
      <w:r>
        <w:rPr>
          <w:rFonts w:hint="eastAsia" w:ascii="宋体" w:hAnsi="宋体" w:eastAsia="宋体" w:cs="宋体"/>
          <w:sz w:val="20"/>
        </w:rPr>
        <w:t>一</w:t>
      </w:r>
      <w:r>
        <w:rPr>
          <w:rFonts w:hint="eastAsia" w:ascii="宋体" w:hAnsi="宋体" w:eastAsia="宋体" w:cs="宋体"/>
          <w:sz w:val="21"/>
        </w:rPr>
        <w:t>种服务</w:t>
      </w:r>
      <w:r>
        <w:rPr>
          <w:rFonts w:hint="eastAsia" w:ascii="宋体" w:hAnsi="宋体" w:eastAsia="宋体" w:cs="宋体"/>
          <w:sz w:val="10"/>
        </w:rPr>
        <w:t>，</w:t>
      </w:r>
      <w:r>
        <w:rPr>
          <w:rFonts w:hint="eastAsia" w:ascii="宋体" w:hAnsi="宋体" w:eastAsia="宋体" w:cs="宋体"/>
          <w:sz w:val="21"/>
        </w:rPr>
        <w:t>以</w:t>
      </w:r>
      <w:r>
        <w:rPr>
          <w:rFonts w:hint="eastAsia" w:ascii="Times New Roman" w:hAnsi="Times New Roman" w:eastAsia="Times New Roman" w:cs="Times New Roman"/>
          <w:sz w:val="21"/>
        </w:rPr>
        <w:t xml:space="preserve"> SaaS</w:t>
      </w:r>
      <w:r>
        <w:rPr>
          <w:rFonts w:hint="eastAsia" w:ascii="宋体" w:hAnsi="宋体" w:eastAsia="宋体" w:cs="宋体"/>
          <w:sz w:val="21"/>
        </w:rPr>
        <w:t xml:space="preserve"> 的模式提交给客户</w:t>
      </w:r>
    </w:p>
    <w:p>
      <w:pPr>
        <w:spacing w:line="200" w:lineRule="exact"/>
        <w:rPr>
          <w:rFonts w:hint="eastAsia" w:ascii="宋体" w:hAnsi="宋体" w:eastAsia="宋体" w:cs="宋体"/>
          <w:sz w:val="20"/>
        </w:rPr>
      </w:pPr>
    </w:p>
    <w:p>
      <w:pPr>
        <w:autoSpaceDE w:val="false"/>
        <w:autoSpaceDN w:val="false"/>
        <w:spacing w:line="240" w:lineRule="exact"/>
        <w:ind w:left="4380" w:right="1600"/>
        <w:jc w:val="both"/>
      </w:pPr>
      <w:r>
        <w:rPr>
          <w:rFonts w:hint="eastAsia" w:ascii="宋体" w:hAnsi="宋体" w:eastAsia="宋体" w:cs="宋体"/>
          <w:sz w:val="21"/>
        </w:rPr>
        <w:t>以业务为导向和驱动的</w:t>
      </w:r>
      <w:r>
        <w:rPr>
          <w:rFonts w:hint="eastAsia" w:ascii="宋体" w:hAnsi="宋体" w:eastAsia="宋体" w:cs="宋体"/>
          <w:sz w:val="10"/>
        </w:rPr>
        <w:t>，</w:t>
      </w:r>
      <w:r>
        <w:rPr>
          <w:rFonts w:hint="eastAsia" w:ascii="宋体" w:hAnsi="宋体" w:eastAsia="宋体" w:cs="宋体"/>
          <w:sz w:val="21"/>
        </w:rPr>
        <w:t>可快速构建应用软件的平台包括集成应用平台</w:t>
      </w:r>
      <w:r>
        <w:rPr>
          <w:rFonts w:hint="eastAsia" w:ascii="宋体" w:hAnsi="宋体" w:eastAsia="宋体" w:cs="宋体"/>
          <w:sz w:val="10"/>
        </w:rPr>
        <w:t>、</w:t>
      </w:r>
      <w:r>
        <w:rPr>
          <w:rFonts w:hint="eastAsia" w:ascii="宋体" w:hAnsi="宋体" w:eastAsia="宋体" w:cs="宋体"/>
          <w:sz w:val="21"/>
        </w:rPr>
        <w:t>开发体系两个部分</w:t>
      </w:r>
      <w:r>
        <w:rPr>
          <w:rFonts w:hint="eastAsia" w:ascii="宋体" w:hAnsi="宋体" w:eastAsia="宋体" w:cs="宋体"/>
          <w:sz w:val="10"/>
        </w:rPr>
        <w:t>；</w:t>
      </w:r>
      <w:r>
        <w:rPr>
          <w:rFonts w:hint="eastAsia" w:ascii="宋体" w:hAnsi="宋体" w:eastAsia="宋体" w:cs="宋体"/>
          <w:sz w:val="21"/>
        </w:rPr>
        <w:t>是</w:t>
      </w:r>
      <w:r>
        <w:rPr>
          <w:rFonts w:hint="eastAsia" w:ascii="宋体" w:hAnsi="宋体" w:eastAsia="宋体" w:cs="宋体"/>
          <w:sz w:val="20"/>
        </w:rPr>
        <w:t>一</w:t>
      </w:r>
      <w:r>
        <w:rPr>
          <w:rFonts w:hint="eastAsia" w:ascii="宋体" w:hAnsi="宋体" w:eastAsia="宋体" w:cs="宋体"/>
          <w:sz w:val="21"/>
        </w:rPr>
        <w:t>种技术创新</w:t>
      </w:r>
      <w:r>
        <w:rPr>
          <w:rFonts w:hint="eastAsia" w:ascii="宋体" w:hAnsi="宋体" w:eastAsia="宋体" w:cs="宋体"/>
          <w:sz w:val="10"/>
        </w:rPr>
        <w:t>，</w:t>
      </w:r>
      <w:r>
        <w:rPr>
          <w:rFonts w:hint="eastAsia" w:ascii="宋体" w:hAnsi="宋体" w:eastAsia="宋体" w:cs="宋体"/>
          <w:sz w:val="21"/>
        </w:rPr>
        <w:t>使软件平台</w:t>
      </w:r>
    </w:p>
    <w:p>
      <w:pPr>
        <w:sectPr>
          <w:type w:val="nextPage"/>
          <w:pgSz w:w="11900" w:h="16820"/>
          <w:pgMar w:top="0" w:right="0" w:bottom="0" w:left="0"/>
        </w:sectPr>
      </w:pPr>
    </w:p>
    <w:p>
      <w:pPr>
        <w:tabs>
          <w:tab w:val="left" w:pos="3680"/>
        </w:tabs>
        <w:autoSpaceDE w:val="false"/>
        <w:autoSpaceDN w:val="false"/>
        <w:spacing w:line="320" w:lineRule="exact"/>
        <w:ind w:left="1780"/>
        <w:jc w:val="both"/>
      </w:pPr>
      <w:r>
        <w:rPr>
          <w:rFonts w:hint="eastAsia" w:ascii="宋体" w:hAnsi="宋体" w:eastAsia="宋体" w:cs="宋体"/>
          <w:sz w:val="21"/>
        </w:rPr>
        <w:t>业务架构平台</w:t>
      </w:r>
      <w:r>
        <w:tab/>
      </w:r>
      <w:r>
        <w:rPr>
          <w:rFonts w:hint="eastAsia" w:ascii="宋体" w:hAnsi="宋体" w:eastAsia="宋体" w:cs="宋体"/>
          <w:sz w:val="21"/>
        </w:rPr>
        <w:t>指</w:t>
      </w:r>
    </w:p>
    <w:p>
      <w:pPr>
        <w:autoSpaceDE w:val="false"/>
        <w:autoSpaceDN w:val="false"/>
        <w:spacing w:line="260" w:lineRule="exact"/>
        <w:ind w:left="0" w:right="0"/>
        <w:jc w:val="both"/>
      </w:pPr>
      <w:r>
        <w:br w:type="column"/>
      </w:r>
      <w:r>
        <w:rPr>
          <w:rFonts w:hint="eastAsia" w:ascii="宋体" w:hAnsi="宋体" w:eastAsia="宋体" w:cs="宋体"/>
          <w:sz w:val="21"/>
        </w:rPr>
        <w:t>又多了</w:t>
      </w:r>
      <w:r>
        <w:rPr>
          <w:rFonts w:hint="eastAsia" w:ascii="宋体" w:hAnsi="宋体" w:eastAsia="宋体" w:cs="宋体"/>
          <w:sz w:val="20"/>
        </w:rPr>
        <w:t>一</w:t>
      </w:r>
      <w:r>
        <w:rPr>
          <w:rFonts w:hint="eastAsia" w:ascii="宋体" w:hAnsi="宋体" w:eastAsia="宋体" w:cs="宋体"/>
          <w:sz w:val="21"/>
        </w:rPr>
        <w:t>个层次</w:t>
      </w:r>
      <w:r>
        <w:rPr>
          <w:rFonts w:hint="eastAsia" w:ascii="宋体" w:hAnsi="宋体" w:eastAsia="宋体" w:cs="宋体"/>
          <w:sz w:val="10"/>
        </w:rPr>
        <w:t>，</w:t>
      </w:r>
      <w:r>
        <w:rPr>
          <w:rFonts w:hint="eastAsia" w:ascii="宋体" w:hAnsi="宋体" w:eastAsia="宋体" w:cs="宋体"/>
          <w:sz w:val="21"/>
        </w:rPr>
        <w:t>使得应用软件开发者可以仅关注应用的业务任务</w:t>
      </w:r>
      <w:r>
        <w:rPr>
          <w:rFonts w:hint="eastAsia" w:ascii="宋体" w:hAnsi="宋体" w:eastAsia="宋体" w:cs="宋体"/>
          <w:sz w:val="10"/>
        </w:rPr>
        <w:t>，</w:t>
      </w:r>
      <w:r>
        <w:rPr>
          <w:rFonts w:hint="eastAsia" w:ascii="宋体" w:hAnsi="宋体" w:eastAsia="宋体" w:cs="宋体"/>
          <w:sz w:val="21"/>
        </w:rPr>
        <w:t>而不必专注其技术的实现</w:t>
      </w:r>
      <w:r>
        <w:rPr>
          <w:rFonts w:hint="eastAsia" w:ascii="宋体" w:hAnsi="宋体" w:eastAsia="宋体" w:cs="宋体"/>
          <w:sz w:val="10"/>
        </w:rPr>
        <w:t>，</w:t>
      </w:r>
      <w:r>
        <w:rPr>
          <w:rFonts w:hint="eastAsia" w:ascii="宋体" w:hAnsi="宋体" w:eastAsia="宋体" w:cs="宋体"/>
          <w:sz w:val="21"/>
        </w:rPr>
        <w:t>这使管理与业务人员参与应用软件的开发成为可能</w:t>
      </w:r>
    </w:p>
    <w:p>
      <w:pPr>
        <w:sectPr>
          <w:type w:val="continuous"/>
          <w:pgSz w:w="11900" w:h="16820"/>
          <w:pgMar w:top="0" w:right="0" w:bottom="0" w:left="0"/>
          <w:cols w:equalWidth="false" w:num="2" w:sep="false">
            <w:col w:w="3960" w:space="420"/>
            <w:col w:w="5900"/>
          </w:cols>
        </w:sectPr>
      </w:pPr>
    </w:p>
    <w:p>
      <w:pPr>
        <w:spacing w:line="200" w:lineRule="exact"/>
        <w:rPr>
          <w:rFonts w:hint="eastAsia" w:ascii="宋体" w:hAnsi="宋体" w:eastAsia="宋体" w:cs="宋体"/>
          <w:sz w:val="20"/>
        </w:rPr>
      </w:pPr>
    </w:p>
    <w:p>
      <w:pPr>
        <w:autoSpaceDE w:val="false"/>
        <w:autoSpaceDN w:val="false"/>
        <w:spacing w:line="280" w:lineRule="exact"/>
        <w:ind w:left="4380"/>
        <w:jc w:val="both"/>
      </w:pPr>
      <w:r>
        <w:rPr>
          <w:rFonts w:hint="eastAsia" w:ascii="Times New Roman" w:hAnsi="Times New Roman" w:eastAsia="Times New Roman" w:cs="Times New Roman"/>
          <w:sz w:val="21"/>
        </w:rPr>
        <w:t>Call Center</w:t>
      </w:r>
      <w:r>
        <w:rPr>
          <w:rFonts w:hint="eastAsia" w:ascii="宋体" w:hAnsi="宋体" w:eastAsia="宋体" w:cs="宋体"/>
          <w:sz w:val="10"/>
        </w:rPr>
        <w:t>，</w:t>
      </w:r>
      <w:r>
        <w:rPr>
          <w:rFonts w:hint="eastAsia" w:ascii="宋体" w:hAnsi="宋体" w:eastAsia="宋体" w:cs="宋体"/>
          <w:sz w:val="21"/>
        </w:rPr>
        <w:t>整合了客户关系管理</w:t>
      </w:r>
      <w:r>
        <w:rPr>
          <w:rFonts w:hint="eastAsia" w:ascii="宋体" w:hAnsi="宋体" w:eastAsia="宋体" w:cs="宋体"/>
          <w:sz w:val="20"/>
        </w:rPr>
        <w:t>（</w:t>
      </w:r>
      <w:r>
        <w:rPr>
          <w:rFonts w:hint="eastAsia" w:ascii="Times New Roman" w:hAnsi="Times New Roman" w:eastAsia="Times New Roman" w:cs="Times New Roman"/>
          <w:sz w:val="21"/>
        </w:rPr>
        <w:t>CRM</w:t>
      </w:r>
      <w:r>
        <w:rPr>
          <w:rFonts w:hint="eastAsia" w:ascii="宋体" w:hAnsi="宋体" w:eastAsia="宋体" w:cs="宋体"/>
          <w:sz w:val="20"/>
        </w:rPr>
        <w:t>）、</w:t>
      </w:r>
      <w:r>
        <w:rPr>
          <w:rFonts w:hint="eastAsia" w:ascii="宋体" w:hAnsi="宋体" w:eastAsia="宋体" w:cs="宋体"/>
          <w:sz w:val="21"/>
        </w:rPr>
        <w:t>交换机</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PBX</w:t>
      </w:r>
      <w:r>
        <w:rPr>
          <w:rFonts w:hint="eastAsia" w:ascii="Times New Roman" w:hAnsi="Times New Roman" w:eastAsia="Times New Roman" w:cs="Times New Roman"/>
          <w:sz w:val="20"/>
        </w:rPr>
        <w:t>)</w:t>
      </w:r>
      <w:r>
        <w:rPr>
          <w:rFonts w:hint="eastAsia" w:ascii="宋体" w:hAnsi="宋体" w:eastAsia="宋体" w:cs="宋体"/>
          <w:sz w:val="21"/>
        </w:rPr>
        <w:t>通讯</w:t>
      </w:r>
      <w:r>
        <w:rPr>
          <w:rFonts w:hint="eastAsia" w:ascii="宋体" w:hAnsi="宋体" w:eastAsia="宋体" w:cs="宋体"/>
          <w:sz w:val="10"/>
        </w:rPr>
        <w:t>、</w:t>
      </w:r>
    </w:p>
    <w:p>
      <w:pPr>
        <w:autoSpaceDE w:val="false"/>
        <w:autoSpaceDN w:val="false"/>
        <w:spacing w:line="280" w:lineRule="exact"/>
        <w:ind w:left="4380" w:right="1580"/>
        <w:jc w:val="both"/>
      </w:pPr>
      <w:r>
        <w:rPr>
          <w:rFonts w:hint="eastAsia" w:ascii="宋体" w:hAnsi="宋体" w:eastAsia="宋体" w:cs="宋体"/>
          <w:sz w:val="21"/>
        </w:rPr>
        <w:t>计算机电话集成</w:t>
      </w:r>
      <w:r>
        <w:rPr>
          <w:rFonts w:hint="eastAsia" w:ascii="宋体" w:hAnsi="宋体" w:eastAsia="宋体" w:cs="宋体"/>
          <w:sz w:val="20"/>
        </w:rPr>
        <w:t>（</w:t>
      </w:r>
      <w:r>
        <w:rPr>
          <w:rFonts w:hint="eastAsia" w:ascii="Times New Roman" w:hAnsi="Times New Roman" w:eastAsia="Times New Roman" w:cs="Times New Roman"/>
          <w:sz w:val="21"/>
        </w:rPr>
        <w:t>CTI</w:t>
      </w:r>
      <w:r>
        <w:rPr>
          <w:rFonts w:hint="eastAsia" w:ascii="宋体" w:hAnsi="宋体" w:eastAsia="宋体" w:cs="宋体"/>
          <w:sz w:val="20"/>
        </w:rPr>
        <w:t>）</w:t>
      </w:r>
      <w:r>
        <w:rPr>
          <w:rFonts w:hint="eastAsia" w:ascii="宋体" w:hAnsi="宋体" w:eastAsia="宋体" w:cs="宋体"/>
          <w:sz w:val="21"/>
        </w:rPr>
        <w:t>等技术</w:t>
      </w:r>
      <w:r>
        <w:rPr>
          <w:rFonts w:hint="eastAsia" w:ascii="宋体" w:hAnsi="宋体" w:eastAsia="宋体" w:cs="宋体"/>
          <w:sz w:val="10"/>
        </w:rPr>
        <w:t>，</w:t>
      </w:r>
      <w:r>
        <w:rPr>
          <w:rFonts w:hint="eastAsia" w:ascii="宋体" w:hAnsi="宋体" w:eastAsia="宋体" w:cs="宋体"/>
          <w:sz w:val="21"/>
        </w:rPr>
        <w:t>提供多媒体客户服务支持的应用软件系统</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20" w:lineRule="exact"/>
        <w:ind w:left="1780"/>
        <w:jc w:val="both"/>
      </w:pPr>
      <w:r>
        <w:rPr>
          <w:rFonts w:hint="eastAsia" w:ascii="宋体" w:hAnsi="宋体" w:eastAsia="宋体" w:cs="宋体"/>
          <w:sz w:val="21"/>
        </w:rPr>
        <w:t>中间件</w:t>
      </w:r>
      <w:r>
        <w:tab/>
      </w:r>
      <w:r>
        <w:rPr>
          <w:rFonts w:hint="eastAsia" w:ascii="宋体" w:hAnsi="宋体" w:eastAsia="宋体" w:cs="宋体"/>
          <w:sz w:val="21"/>
        </w:rPr>
        <w:t>指</w:t>
      </w:r>
      <w:r>
        <w:tab/>
      </w:r>
      <w:r>
        <w:rPr>
          <w:rFonts w:hint="eastAsia" w:ascii="宋体" w:hAnsi="宋体" w:eastAsia="宋体" w:cs="宋体"/>
          <w:sz w:val="20"/>
        </w:rPr>
        <w:t>一</w:t>
      </w:r>
      <w:r>
        <w:rPr>
          <w:rFonts w:hint="eastAsia" w:ascii="宋体" w:hAnsi="宋体" w:eastAsia="宋体" w:cs="宋体"/>
          <w:sz w:val="21"/>
        </w:rPr>
        <w:t>种独立的系统软件或服务程序</w:t>
      </w:r>
      <w:r>
        <w:rPr>
          <w:rFonts w:hint="eastAsia" w:ascii="宋体" w:hAnsi="宋体" w:eastAsia="宋体" w:cs="宋体"/>
          <w:sz w:val="10"/>
        </w:rPr>
        <w:t>，</w:t>
      </w:r>
      <w:r>
        <w:rPr>
          <w:rFonts w:hint="eastAsia" w:ascii="宋体" w:hAnsi="宋体" w:eastAsia="宋体" w:cs="宋体"/>
          <w:sz w:val="21"/>
        </w:rPr>
        <w:t>位于操作系统之上</w:t>
      </w:r>
      <w:r>
        <w:rPr>
          <w:rFonts w:hint="eastAsia" w:ascii="宋体" w:hAnsi="宋体" w:eastAsia="宋体" w:cs="宋体"/>
          <w:sz w:val="10"/>
        </w:rPr>
        <w:t>，</w:t>
      </w:r>
      <w:r>
        <w:rPr>
          <w:rFonts w:hint="eastAsia" w:ascii="宋体" w:hAnsi="宋体" w:eastAsia="宋体" w:cs="宋体"/>
          <w:sz w:val="21"/>
        </w:rPr>
        <w:t>被分布</w:t>
      </w:r>
    </w:p>
    <w:p>
      <w:pPr>
        <w:autoSpaceDE w:val="false"/>
        <w:autoSpaceDN w:val="false"/>
        <w:spacing w:line="280" w:lineRule="exact"/>
        <w:ind w:left="4380"/>
        <w:jc w:val="both"/>
      </w:pPr>
      <w:r>
        <w:rPr>
          <w:rFonts w:hint="eastAsia" w:ascii="宋体" w:hAnsi="宋体" w:eastAsia="宋体" w:cs="宋体"/>
          <w:sz w:val="21"/>
        </w:rPr>
        <w:t>式应用软件用于不同的技术之间共享资源</w:t>
      </w:r>
    </w:p>
    <w:p>
      <w:pPr>
        <w:spacing w:line="200" w:lineRule="exact"/>
        <w:rPr>
          <w:rFonts w:hint="eastAsia" w:ascii="宋体" w:hAnsi="宋体" w:eastAsia="宋体" w:cs="宋体"/>
          <w:sz w:val="20"/>
        </w:rPr>
      </w:pPr>
    </w:p>
    <w:p>
      <w:pPr>
        <w:autoSpaceDE w:val="false"/>
        <w:autoSpaceDN w:val="false"/>
        <w:spacing w:line="220" w:lineRule="exact"/>
        <w:ind w:left="4380"/>
        <w:jc w:val="both"/>
      </w:pPr>
      <w:r>
        <w:rPr>
          <w:rFonts w:hint="eastAsia" w:ascii="宋体" w:hAnsi="宋体" w:eastAsia="宋体" w:cs="宋体"/>
          <w:sz w:val="21"/>
        </w:rPr>
        <w:t>工作流表单</w:t>
      </w:r>
      <w:r>
        <w:rPr>
          <w:rFonts w:hint="eastAsia" w:ascii="宋体" w:hAnsi="宋体" w:eastAsia="宋体" w:cs="宋体"/>
          <w:sz w:val="10"/>
        </w:rPr>
        <w:t>、</w:t>
      </w:r>
      <w:r>
        <w:rPr>
          <w:rFonts w:hint="eastAsia" w:ascii="宋体" w:hAnsi="宋体" w:eastAsia="宋体" w:cs="宋体"/>
          <w:sz w:val="21"/>
        </w:rPr>
        <w:t>实体</w:t>
      </w:r>
      <w:r>
        <w:rPr>
          <w:rFonts w:hint="eastAsia" w:ascii="宋体" w:hAnsi="宋体" w:eastAsia="宋体" w:cs="宋体"/>
          <w:sz w:val="10"/>
        </w:rPr>
        <w:t>、</w:t>
      </w:r>
      <w:r>
        <w:rPr>
          <w:rFonts w:hint="eastAsia" w:ascii="宋体" w:hAnsi="宋体" w:eastAsia="宋体" w:cs="宋体"/>
          <w:sz w:val="21"/>
        </w:rPr>
        <w:t>图表</w:t>
      </w:r>
      <w:r>
        <w:rPr>
          <w:rFonts w:hint="eastAsia" w:ascii="宋体" w:hAnsi="宋体" w:eastAsia="宋体" w:cs="宋体"/>
          <w:sz w:val="10"/>
        </w:rPr>
        <w:t>、</w:t>
      </w:r>
      <w:r>
        <w:rPr>
          <w:rFonts w:hint="eastAsia" w:ascii="宋体" w:hAnsi="宋体" w:eastAsia="宋体" w:cs="宋体"/>
          <w:sz w:val="21"/>
        </w:rPr>
        <w:t>报表等客户现实需求在业务架构开</w:t>
      </w:r>
    </w:p>
    <w:p>
      <w:pPr>
        <w:sectPr>
          <w:type w:val="continuous"/>
          <w:pgSz w:w="11900" w:h="16820"/>
          <w:pgMar w:top="0" w:right="0" w:bottom="0" w:left="0"/>
        </w:sectPr>
      </w:pPr>
    </w:p>
    <w:p>
      <w:pPr>
        <w:tabs>
          <w:tab w:val="left" w:pos="3680"/>
        </w:tabs>
        <w:autoSpaceDE w:val="false"/>
        <w:autoSpaceDN w:val="false"/>
        <w:spacing w:line="320" w:lineRule="exact"/>
        <w:ind w:left="1780"/>
        <w:jc w:val="both"/>
      </w:pPr>
      <w:r>
        <w:rPr>
          <w:rFonts w:hint="eastAsia" w:ascii="宋体" w:hAnsi="宋体" w:eastAsia="宋体" w:cs="宋体"/>
          <w:sz w:val="21"/>
        </w:rPr>
        <w:t>业务对象</w:t>
      </w:r>
      <w:r>
        <w:tab/>
      </w:r>
      <w:r>
        <w:rPr>
          <w:rFonts w:hint="eastAsia" w:ascii="宋体" w:hAnsi="宋体" w:eastAsia="宋体" w:cs="宋体"/>
          <w:sz w:val="21"/>
        </w:rPr>
        <w:t>指</w:t>
      </w:r>
    </w:p>
    <w:p>
      <w:pPr>
        <w:autoSpaceDE w:val="false"/>
        <w:autoSpaceDN w:val="false"/>
        <w:spacing w:line="280" w:lineRule="exact"/>
        <w:ind w:left="0" w:right="0"/>
        <w:jc w:val="both"/>
      </w:pPr>
      <w:r>
        <w:br w:type="column"/>
      </w:r>
      <w:r>
        <w:rPr>
          <w:rFonts w:hint="eastAsia" w:ascii="宋体" w:hAnsi="宋体" w:eastAsia="宋体" w:cs="宋体"/>
          <w:sz w:val="21"/>
        </w:rPr>
        <w:t>发工具上的软件表现形式</w:t>
      </w:r>
      <w:r>
        <w:rPr>
          <w:rFonts w:hint="eastAsia" w:ascii="宋体" w:hAnsi="宋体" w:eastAsia="宋体" w:cs="宋体"/>
          <w:sz w:val="12"/>
        </w:rPr>
        <w:t>；</w:t>
      </w:r>
      <w:r>
        <w:rPr>
          <w:rFonts w:hint="eastAsia" w:ascii="宋体" w:hAnsi="宋体" w:eastAsia="宋体" w:cs="宋体"/>
          <w:sz w:val="21"/>
        </w:rPr>
        <w:t>以图形</w:t>
      </w:r>
      <w:r>
        <w:rPr>
          <w:rFonts w:hint="eastAsia" w:ascii="宋体" w:hAnsi="宋体" w:eastAsia="宋体" w:cs="宋体"/>
          <w:sz w:val="10"/>
        </w:rPr>
        <w:t>、</w:t>
      </w:r>
      <w:r>
        <w:rPr>
          <w:rFonts w:hint="eastAsia" w:ascii="宋体" w:hAnsi="宋体" w:eastAsia="宋体" w:cs="宋体"/>
          <w:sz w:val="21"/>
        </w:rPr>
        <w:t>线条</w:t>
      </w:r>
      <w:r>
        <w:rPr>
          <w:rFonts w:hint="eastAsia" w:ascii="宋体" w:hAnsi="宋体" w:eastAsia="宋体" w:cs="宋体"/>
          <w:sz w:val="10"/>
        </w:rPr>
        <w:t>、</w:t>
      </w:r>
      <w:r>
        <w:rPr>
          <w:rFonts w:hint="eastAsia" w:ascii="宋体" w:hAnsi="宋体" w:eastAsia="宋体" w:cs="宋体"/>
          <w:sz w:val="21"/>
        </w:rPr>
        <w:t>业务对象等便于理解的界面为主</w:t>
      </w:r>
    </w:p>
    <w:p>
      <w:pPr>
        <w:sectPr>
          <w:type w:val="continuous"/>
          <w:pgSz w:w="11900" w:h="16820"/>
          <w:pgMar w:top="0" w:right="0" w:bottom="0" w:left="0"/>
          <w:cols w:equalWidth="false" w:num="2" w:sep="false">
            <w:col w:w="3960" w:space="420"/>
            <w:col w:w="5900"/>
          </w:cols>
        </w:sectPr>
      </w:pPr>
    </w:p>
    <w:p>
      <w:pPr>
        <w:spacing w:line="200" w:lineRule="exact"/>
        <w:rPr>
          <w:rFonts w:hint="eastAsia" w:ascii="宋体" w:hAnsi="宋体" w:eastAsia="宋体" w:cs="宋体"/>
          <w:sz w:val="20"/>
        </w:rPr>
      </w:pPr>
    </w:p>
    <w:p>
      <w:pPr>
        <w:autoSpaceDE w:val="false"/>
        <w:autoSpaceDN w:val="false"/>
        <w:spacing w:line="260" w:lineRule="exact"/>
        <w:ind w:left="4380"/>
        <w:jc w:val="both"/>
      </w:pPr>
      <w:r>
        <w:rPr>
          <w:rFonts w:hint="eastAsia" w:ascii="宋体" w:hAnsi="宋体" w:eastAsia="宋体" w:cs="宋体"/>
          <w:sz w:val="21"/>
        </w:rPr>
        <w:t>创建业务对象</w:t>
      </w:r>
      <w:r>
        <w:rPr>
          <w:rFonts w:hint="eastAsia" w:ascii="宋体" w:hAnsi="宋体" w:eastAsia="宋体" w:cs="宋体"/>
          <w:sz w:val="10"/>
        </w:rPr>
        <w:t>，</w:t>
      </w:r>
      <w:r>
        <w:rPr>
          <w:rFonts w:hint="eastAsia" w:ascii="宋体" w:hAnsi="宋体" w:eastAsia="宋体" w:cs="宋体"/>
          <w:sz w:val="21"/>
        </w:rPr>
        <w:t>在业务对象上进行表单及流程设计</w:t>
      </w:r>
      <w:r>
        <w:rPr>
          <w:rFonts w:hint="eastAsia" w:ascii="宋体" w:hAnsi="宋体" w:eastAsia="宋体" w:cs="宋体"/>
          <w:sz w:val="10"/>
        </w:rPr>
        <w:t>，</w:t>
      </w:r>
      <w:r>
        <w:rPr>
          <w:rFonts w:hint="eastAsia" w:ascii="宋体" w:hAnsi="宋体" w:eastAsia="宋体" w:cs="宋体"/>
          <w:sz w:val="21"/>
        </w:rPr>
        <w:t>主要以图</w:t>
      </w:r>
    </w:p>
    <w:p>
      <w:pPr>
        <w:autoSpaceDE w:val="false"/>
        <w:autoSpaceDN w:val="false"/>
        <w:spacing w:line="280" w:lineRule="exact"/>
        <w:ind w:left="4380" w:right="1600"/>
        <w:jc w:val="both"/>
      </w:pPr>
      <w:r>
        <w:rPr>
          <w:rFonts w:hint="eastAsia" w:ascii="宋体" w:hAnsi="宋体" w:eastAsia="宋体" w:cs="宋体"/>
          <w:sz w:val="21"/>
        </w:rPr>
        <w:t>形化界面定制工作流程</w:t>
      </w:r>
      <w:r>
        <w:rPr>
          <w:rFonts w:hint="eastAsia" w:ascii="宋体" w:hAnsi="宋体" w:eastAsia="宋体" w:cs="宋体"/>
          <w:sz w:val="10"/>
        </w:rPr>
        <w:t>，</w:t>
      </w:r>
      <w:r>
        <w:rPr>
          <w:rFonts w:hint="eastAsia" w:ascii="宋体" w:hAnsi="宋体" w:eastAsia="宋体" w:cs="宋体"/>
          <w:sz w:val="21"/>
        </w:rPr>
        <w:t>并使用对象流程来处理业务逻辑</w:t>
      </w:r>
      <w:r>
        <w:rPr>
          <w:rFonts w:hint="eastAsia" w:ascii="宋体" w:hAnsi="宋体" w:eastAsia="宋体" w:cs="宋体"/>
          <w:sz w:val="10"/>
        </w:rPr>
        <w:t>，</w:t>
      </w:r>
      <w:r>
        <w:rPr>
          <w:rFonts w:hint="eastAsia" w:ascii="宋体" w:hAnsi="宋体" w:eastAsia="宋体" w:cs="宋体"/>
          <w:sz w:val="21"/>
        </w:rPr>
        <w:t>业务设计完成后直接提交部署</w:t>
      </w:r>
      <w:r>
        <w:rPr>
          <w:rFonts w:hint="eastAsia" w:ascii="宋体" w:hAnsi="宋体" w:eastAsia="宋体" w:cs="宋体"/>
          <w:sz w:val="10"/>
        </w:rPr>
        <w:t>，</w:t>
      </w:r>
      <w:r>
        <w:rPr>
          <w:rFonts w:hint="eastAsia" w:ascii="宋体" w:hAnsi="宋体" w:eastAsia="宋体" w:cs="宋体"/>
          <w:sz w:val="21"/>
        </w:rPr>
        <w:t>即可完成软件</w:t>
      </w:r>
      <w:r>
        <w:rPr>
          <w:rFonts w:hint="eastAsia" w:ascii="宋体" w:hAnsi="宋体" w:eastAsia="宋体" w:cs="宋体"/>
          <w:sz w:val="10"/>
        </w:rPr>
        <w:t>，</w:t>
      </w:r>
      <w:r>
        <w:rPr>
          <w:rFonts w:hint="eastAsia" w:ascii="宋体" w:hAnsi="宋体" w:eastAsia="宋体" w:cs="宋体"/>
          <w:sz w:val="21"/>
        </w:rPr>
        <w:t>并在浏览器中查</w:t>
      </w:r>
    </w:p>
    <w:p>
      <w:pPr>
        <w:autoSpaceDE w:val="false"/>
        <w:autoSpaceDN w:val="false"/>
        <w:spacing w:line="280" w:lineRule="exact"/>
        <w:ind w:left="4380"/>
        <w:jc w:val="both"/>
      </w:pPr>
      <w:r>
        <w:rPr>
          <w:rFonts w:hint="eastAsia" w:ascii="宋体" w:hAnsi="宋体" w:eastAsia="宋体" w:cs="宋体"/>
          <w:sz w:val="21"/>
        </w:rPr>
        <w:t>看结果</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20" w:lineRule="exact"/>
        <w:ind w:left="1780"/>
        <w:jc w:val="both"/>
      </w:pPr>
      <w:r>
        <w:rPr>
          <w:rFonts w:hint="eastAsia" w:ascii="宋体" w:hAnsi="宋体" w:eastAsia="宋体" w:cs="宋体"/>
          <w:sz w:val="21"/>
        </w:rPr>
        <w:t>电子交易市场</w:t>
      </w:r>
      <w:r>
        <w:tab/>
      </w:r>
      <w:r>
        <w:rPr>
          <w:rFonts w:hint="eastAsia" w:ascii="宋体" w:hAnsi="宋体" w:eastAsia="宋体" w:cs="宋体"/>
          <w:sz w:val="21"/>
        </w:rPr>
        <w:t>指</w:t>
      </w:r>
      <w:r>
        <w:tab/>
      </w:r>
      <w:r>
        <w:rPr>
          <w:rFonts w:hint="eastAsia" w:ascii="宋体" w:hAnsi="宋体" w:eastAsia="宋体" w:cs="宋体"/>
          <w:sz w:val="21"/>
        </w:rPr>
        <w:t>采用电子化交易手段的各类要素市场</w:t>
      </w:r>
      <w:r>
        <w:rPr>
          <w:rFonts w:hint="eastAsia" w:ascii="宋体" w:hAnsi="宋体" w:eastAsia="宋体" w:cs="宋体"/>
          <w:sz w:val="10"/>
        </w:rPr>
        <w:t>，</w:t>
      </w:r>
      <w:r>
        <w:rPr>
          <w:rFonts w:hint="eastAsia" w:ascii="宋体" w:hAnsi="宋体" w:eastAsia="宋体" w:cs="宋体"/>
          <w:sz w:val="21"/>
        </w:rPr>
        <w:t>包含股权</w:t>
      </w:r>
      <w:r>
        <w:rPr>
          <w:rFonts w:hint="eastAsia" w:ascii="宋体" w:hAnsi="宋体" w:eastAsia="宋体" w:cs="宋体"/>
          <w:sz w:val="10"/>
        </w:rPr>
        <w:t>、</w:t>
      </w:r>
      <w:r>
        <w:rPr>
          <w:rFonts w:hint="eastAsia" w:ascii="宋体" w:hAnsi="宋体" w:eastAsia="宋体" w:cs="宋体"/>
          <w:sz w:val="21"/>
        </w:rPr>
        <w:t>金融资产</w:t>
      </w:r>
      <w:r>
        <w:rPr>
          <w:rFonts w:hint="eastAsia" w:ascii="宋体" w:hAnsi="宋体" w:eastAsia="宋体" w:cs="宋体"/>
          <w:sz w:val="10"/>
        </w:rPr>
        <w:t>、</w:t>
      </w:r>
    </w:p>
    <w:p>
      <w:pPr>
        <w:autoSpaceDE w:val="false"/>
        <w:autoSpaceDN w:val="false"/>
        <w:spacing w:line="280" w:lineRule="exact"/>
        <w:ind w:left="4380"/>
        <w:jc w:val="both"/>
      </w:pPr>
      <w:r>
        <w:rPr>
          <w:rFonts w:hint="eastAsia" w:ascii="宋体" w:hAnsi="宋体" w:eastAsia="宋体" w:cs="宋体"/>
          <w:sz w:val="21"/>
        </w:rPr>
        <w:t>产权</w:t>
      </w:r>
      <w:r>
        <w:rPr>
          <w:rFonts w:hint="eastAsia" w:ascii="宋体" w:hAnsi="宋体" w:eastAsia="宋体" w:cs="宋体"/>
          <w:sz w:val="10"/>
        </w:rPr>
        <w:t>、</w:t>
      </w:r>
      <w:r>
        <w:rPr>
          <w:rFonts w:hint="eastAsia" w:ascii="宋体" w:hAnsi="宋体" w:eastAsia="宋体" w:cs="宋体"/>
          <w:sz w:val="21"/>
        </w:rPr>
        <w:t>现货及大宗商品等各类交易中心或交易所</w:t>
      </w:r>
    </w:p>
    <w:p>
      <w:pPr>
        <w:spacing w:line="200" w:lineRule="exact"/>
        <w:rPr>
          <w:rFonts w:hint="eastAsia" w:ascii="宋体" w:hAnsi="宋体" w:eastAsia="宋体" w:cs="宋体"/>
          <w:sz w:val="20"/>
        </w:rPr>
      </w:pPr>
    </w:p>
    <w:p>
      <w:pPr>
        <w:autoSpaceDE w:val="false"/>
        <w:autoSpaceDN w:val="false"/>
        <w:spacing w:line="220" w:lineRule="exact"/>
        <w:ind w:left="4380"/>
        <w:jc w:val="both"/>
      </w:pPr>
      <w:r>
        <w:rPr>
          <w:rFonts w:hint="eastAsia" w:ascii="宋体" w:hAnsi="宋体" w:eastAsia="宋体" w:cs="宋体"/>
          <w:sz w:val="21"/>
        </w:rPr>
        <w:t>通过重新构造以客户为中心的经营理念</w:t>
      </w:r>
      <w:r>
        <w:rPr>
          <w:rFonts w:hint="eastAsia" w:ascii="宋体" w:hAnsi="宋体" w:eastAsia="宋体" w:cs="宋体"/>
          <w:sz w:val="10"/>
        </w:rPr>
        <w:t>、</w:t>
      </w:r>
      <w:r>
        <w:rPr>
          <w:rFonts w:hint="eastAsia" w:ascii="宋体" w:hAnsi="宋体" w:eastAsia="宋体" w:cs="宋体"/>
          <w:sz w:val="21"/>
        </w:rPr>
        <w:t>扁平化的组织架构</w:t>
      </w:r>
      <w:r>
        <w:rPr>
          <w:rFonts w:hint="eastAsia" w:ascii="宋体" w:hAnsi="宋体" w:eastAsia="宋体" w:cs="宋体"/>
          <w:sz w:val="10"/>
        </w:rPr>
        <w:t>、</w:t>
      </w:r>
    </w:p>
    <w:p>
      <w:pPr>
        <w:sectPr>
          <w:type w:val="continuous"/>
          <w:pgSz w:w="11900" w:h="16820"/>
          <w:pgMar w:top="0" w:right="0" w:bottom="0" w:left="0"/>
        </w:sectPr>
      </w:pPr>
    </w:p>
    <w:p>
      <w:pPr>
        <w:tabs>
          <w:tab w:val="left" w:pos="3680"/>
        </w:tabs>
        <w:autoSpaceDE w:val="false"/>
        <w:autoSpaceDN w:val="false"/>
        <w:spacing w:line="320" w:lineRule="exact"/>
        <w:ind w:left="1780"/>
        <w:jc w:val="both"/>
      </w:pPr>
      <w:r>
        <w:rPr>
          <w:rFonts w:hint="eastAsia" w:ascii="宋体" w:hAnsi="宋体" w:eastAsia="宋体" w:cs="宋体"/>
          <w:sz w:val="21"/>
        </w:rPr>
        <w:t>流程券商</w:t>
      </w:r>
      <w:r>
        <w:tab/>
      </w:r>
      <w:r>
        <w:rPr>
          <w:rFonts w:hint="eastAsia" w:ascii="宋体" w:hAnsi="宋体" w:eastAsia="宋体" w:cs="宋体"/>
          <w:sz w:val="21"/>
        </w:rPr>
        <w:t>指</w:t>
      </w:r>
    </w:p>
    <w:p>
      <w:pPr>
        <w:autoSpaceDE w:val="false"/>
        <w:autoSpaceDN w:val="false"/>
        <w:spacing w:line="280" w:lineRule="exact"/>
        <w:ind w:left="0" w:right="0"/>
        <w:jc w:val="both"/>
      </w:pPr>
      <w:r>
        <w:br w:type="column"/>
      </w:r>
      <w:r>
        <w:rPr>
          <w:rFonts w:hint="eastAsia" w:ascii="宋体" w:hAnsi="宋体" w:eastAsia="宋体" w:cs="宋体"/>
          <w:sz w:val="21"/>
        </w:rPr>
        <w:t>工序化的作业模式</w:t>
      </w:r>
      <w:r>
        <w:rPr>
          <w:rFonts w:hint="eastAsia" w:ascii="宋体" w:hAnsi="宋体" w:eastAsia="宋体" w:cs="宋体"/>
          <w:sz w:val="10"/>
        </w:rPr>
        <w:t>，</w:t>
      </w:r>
      <w:r>
        <w:rPr>
          <w:rFonts w:hint="eastAsia" w:ascii="宋体" w:hAnsi="宋体" w:eastAsia="宋体" w:cs="宋体"/>
          <w:sz w:val="21"/>
        </w:rPr>
        <w:t>改造券商传统以业务为中心的经营模式</w:t>
      </w:r>
      <w:r>
        <w:rPr>
          <w:rFonts w:hint="eastAsia" w:ascii="宋体" w:hAnsi="宋体" w:eastAsia="宋体" w:cs="宋体"/>
          <w:sz w:val="10"/>
        </w:rPr>
        <w:t>，</w:t>
      </w:r>
      <w:r>
        <w:rPr>
          <w:rFonts w:hint="eastAsia" w:ascii="宋体" w:hAnsi="宋体" w:eastAsia="宋体" w:cs="宋体"/>
          <w:sz w:val="21"/>
        </w:rPr>
        <w:t>形成以客户为导向</w:t>
      </w:r>
      <w:r>
        <w:rPr>
          <w:rFonts w:hint="eastAsia" w:ascii="宋体" w:hAnsi="宋体" w:eastAsia="宋体" w:cs="宋体"/>
          <w:sz w:val="10"/>
        </w:rPr>
        <w:t>、</w:t>
      </w:r>
      <w:r>
        <w:rPr>
          <w:rFonts w:hint="eastAsia" w:ascii="宋体" w:hAnsi="宋体" w:eastAsia="宋体" w:cs="宋体"/>
          <w:sz w:val="21"/>
        </w:rPr>
        <w:t>以业务流程管理为核心的新型证券公司</w:t>
      </w:r>
    </w:p>
    <w:p>
      <w:pPr>
        <w:sectPr>
          <w:type w:val="continuous"/>
          <w:pgSz w:w="11900" w:h="16820"/>
          <w:pgMar w:top="0" w:right="0" w:bottom="0" w:left="0"/>
          <w:cols w:equalWidth="false" w:num="2" w:sep="false">
            <w:col w:w="3960" w:space="420"/>
            <w:col w:w="5720"/>
          </w:cols>
        </w:sectPr>
      </w:pPr>
    </w:p>
    <w:p>
      <w:pPr>
        <w:spacing w:line="200" w:lineRule="exact"/>
        <w:rPr>
          <w:rFonts w:hint="eastAsia" w:ascii="宋体" w:hAnsi="宋体" w:eastAsia="宋体" w:cs="宋体"/>
          <w:sz w:val="20"/>
        </w:rPr>
      </w:pPr>
    </w:p>
    <w:p>
      <w:pPr>
        <w:autoSpaceDE w:val="false"/>
        <w:autoSpaceDN w:val="false"/>
        <w:spacing w:line="260" w:lineRule="exact"/>
        <w:ind w:left="4380" w:right="1620"/>
        <w:jc w:val="both"/>
      </w:pPr>
      <w:r>
        <w:rPr>
          <w:rFonts w:hint="eastAsia" w:ascii="宋体" w:hAnsi="宋体" w:eastAsia="宋体" w:cs="宋体"/>
          <w:sz w:val="21"/>
        </w:rPr>
        <w:t>业务操作服务架构平台</w:t>
      </w:r>
      <w:r>
        <w:rPr>
          <w:rFonts w:hint="eastAsia" w:ascii="宋体" w:hAnsi="宋体" w:eastAsia="宋体" w:cs="宋体"/>
          <w:sz w:val="10"/>
        </w:rPr>
        <w:t>，</w:t>
      </w:r>
      <w:r>
        <w:rPr>
          <w:rFonts w:hint="eastAsia" w:ascii="宋体" w:hAnsi="宋体" w:eastAsia="宋体" w:cs="宋体"/>
          <w:sz w:val="21"/>
        </w:rPr>
        <w:t>是公司开发的面向大规模集中交易系统应用的中间件系统</w:t>
      </w:r>
      <w:r>
        <w:rPr>
          <w:rFonts w:hint="eastAsia" w:ascii="宋体" w:hAnsi="宋体" w:eastAsia="宋体" w:cs="宋体"/>
          <w:sz w:val="10"/>
        </w:rPr>
        <w:t>，</w:t>
      </w:r>
      <w:r>
        <w:rPr>
          <w:rFonts w:hint="eastAsia" w:ascii="宋体" w:hAnsi="宋体" w:eastAsia="宋体" w:cs="宋体"/>
          <w:sz w:val="21"/>
        </w:rPr>
        <w:t>它为分布式计算架构提供基础平台</w:t>
      </w:r>
      <w:r>
        <w:rPr>
          <w:rFonts w:hint="eastAsia" w:ascii="宋体" w:hAnsi="宋体" w:eastAsia="宋体" w:cs="宋体"/>
          <w:sz w:val="10"/>
        </w:rPr>
        <w:t>，</w:t>
      </w:r>
      <w:r>
        <w:rPr>
          <w:rFonts w:hint="eastAsia" w:ascii="宋体" w:hAnsi="宋体" w:eastAsia="宋体" w:cs="宋体"/>
          <w:sz w:val="21"/>
        </w:rPr>
        <w:t>以</w:t>
      </w:r>
    </w:p>
    <w:p>
      <w:pPr>
        <w:autoSpaceDE w:val="false"/>
        <w:autoSpaceDN w:val="false"/>
        <w:spacing w:line="260" w:lineRule="exact"/>
        <w:ind w:left="4380"/>
        <w:jc w:val="both"/>
      </w:pPr>
      <w:r>
        <w:rPr>
          <w:rFonts w:hint="eastAsia" w:ascii="宋体" w:hAnsi="宋体" w:eastAsia="宋体" w:cs="宋体"/>
          <w:sz w:val="21"/>
        </w:rPr>
        <w:t>构建面向服务的</w:t>
      </w:r>
      <w:r>
        <w:rPr>
          <w:rFonts w:hint="eastAsia" w:ascii="宋体" w:hAnsi="宋体" w:eastAsia="宋体" w:cs="宋体"/>
          <w:sz w:val="10"/>
        </w:rPr>
        <w:t>、</w:t>
      </w:r>
      <w:r>
        <w:rPr>
          <w:rFonts w:hint="eastAsia" w:ascii="宋体" w:hAnsi="宋体" w:eastAsia="宋体" w:cs="宋体"/>
          <w:sz w:val="21"/>
        </w:rPr>
        <w:t>高性能</w:t>
      </w:r>
      <w:r>
        <w:rPr>
          <w:rFonts w:hint="eastAsia" w:ascii="宋体" w:hAnsi="宋体" w:eastAsia="宋体" w:cs="宋体"/>
          <w:sz w:val="10"/>
        </w:rPr>
        <w:t>、</w:t>
      </w:r>
      <w:r>
        <w:rPr>
          <w:rFonts w:hint="eastAsia" w:ascii="宋体" w:hAnsi="宋体" w:eastAsia="宋体" w:cs="宋体"/>
          <w:sz w:val="21"/>
        </w:rPr>
        <w:t>高可靠的实时联机交易系统</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40" w:lineRule="exact"/>
        <w:ind w:left="1780"/>
        <w:jc w:val="both"/>
      </w:pPr>
      <w:r>
        <w:rPr>
          <w:rFonts w:hint="eastAsia" w:ascii="Times New Roman" w:hAnsi="Times New Roman" w:eastAsia="Times New Roman" w:cs="Times New Roman"/>
          <w:sz w:val="21"/>
        </w:rPr>
        <w:t>OSGi</w:t>
      </w:r>
      <w:r>
        <w:tab/>
      </w:r>
      <w:r>
        <w:rPr>
          <w:rFonts w:hint="eastAsia" w:ascii="宋体" w:hAnsi="宋体" w:eastAsia="宋体" w:cs="宋体"/>
          <w:sz w:val="21"/>
        </w:rPr>
        <w:t>指</w:t>
      </w:r>
      <w:r>
        <w:tab/>
      </w:r>
      <w:r>
        <w:rPr>
          <w:rFonts w:hint="eastAsia" w:ascii="宋体" w:hAnsi="宋体" w:eastAsia="宋体" w:cs="宋体"/>
          <w:sz w:val="20"/>
        </w:rPr>
        <w:t>一</w:t>
      </w:r>
      <w:r>
        <w:rPr>
          <w:rFonts w:hint="eastAsia" w:ascii="宋体" w:hAnsi="宋体" w:eastAsia="宋体" w:cs="宋体"/>
          <w:sz w:val="21"/>
        </w:rPr>
        <w:t>个基于</w:t>
      </w:r>
      <w:r>
        <w:rPr>
          <w:rFonts w:hint="eastAsia" w:ascii="Times New Roman" w:hAnsi="Times New Roman" w:eastAsia="Times New Roman" w:cs="Times New Roman"/>
          <w:sz w:val="21"/>
        </w:rPr>
        <w:t xml:space="preserve"> Java</w:t>
      </w:r>
      <w:r>
        <w:rPr>
          <w:rFonts w:hint="eastAsia" w:ascii="宋体" w:hAnsi="宋体" w:eastAsia="宋体" w:cs="宋体"/>
          <w:sz w:val="21"/>
        </w:rPr>
        <w:t xml:space="preserve"> 的服务</w:t>
      </w:r>
      <w:r>
        <w:rPr>
          <w:rFonts w:hint="eastAsia" w:ascii="宋体" w:hAnsi="宋体" w:eastAsia="宋体" w:cs="宋体"/>
          <w:sz w:val="20"/>
        </w:rPr>
        <w:t>（</w:t>
      </w:r>
      <w:r>
        <w:rPr>
          <w:rFonts w:hint="eastAsia" w:ascii="宋体" w:hAnsi="宋体" w:eastAsia="宋体" w:cs="宋体"/>
          <w:sz w:val="21"/>
        </w:rPr>
        <w:t>业务</w:t>
      </w:r>
      <w:r>
        <w:rPr>
          <w:rFonts w:hint="eastAsia" w:ascii="宋体" w:hAnsi="宋体" w:eastAsia="宋体" w:cs="宋体"/>
          <w:sz w:val="20"/>
        </w:rPr>
        <w:t>）</w:t>
      </w:r>
      <w:r>
        <w:rPr>
          <w:rFonts w:hint="eastAsia" w:ascii="宋体" w:hAnsi="宋体" w:eastAsia="宋体" w:cs="宋体"/>
          <w:sz w:val="21"/>
        </w:rPr>
        <w:t>规范</w:t>
      </w:r>
    </w:p>
    <w:p>
      <w:pPr>
        <w:spacing w:line="200" w:lineRule="exact"/>
        <w:rPr>
          <w:rFonts w:hint="eastAsia" w:ascii="宋体" w:hAnsi="宋体" w:eastAsia="宋体" w:cs="宋体"/>
          <w:sz w:val="20"/>
        </w:rPr>
      </w:pPr>
    </w:p>
    <w:p>
      <w:pPr>
        <w:autoSpaceDE w:val="false"/>
        <w:autoSpaceDN w:val="false"/>
        <w:spacing w:line="240" w:lineRule="exact"/>
        <w:ind w:left="4380" w:right="1600"/>
        <w:jc w:val="both"/>
      </w:pPr>
      <w:r>
        <w:rPr>
          <w:rFonts w:hint="eastAsia" w:ascii="宋体" w:hAnsi="宋体" w:eastAsia="宋体" w:cs="宋体"/>
          <w:sz w:val="20"/>
        </w:rPr>
        <w:t>一</w:t>
      </w:r>
      <w:r>
        <w:rPr>
          <w:rFonts w:hint="eastAsia" w:ascii="宋体" w:hAnsi="宋体" w:eastAsia="宋体" w:cs="宋体"/>
          <w:sz w:val="21"/>
        </w:rPr>
        <w:t>种采用分布式计算及内存数据库存储架构</w:t>
      </w:r>
      <w:r>
        <w:rPr>
          <w:rFonts w:hint="eastAsia" w:ascii="宋体" w:hAnsi="宋体" w:eastAsia="宋体" w:cs="宋体"/>
          <w:sz w:val="10"/>
        </w:rPr>
        <w:t>，</w:t>
      </w:r>
      <w:r>
        <w:rPr>
          <w:rFonts w:hint="eastAsia" w:ascii="宋体" w:hAnsi="宋体" w:eastAsia="宋体" w:cs="宋体"/>
          <w:sz w:val="21"/>
        </w:rPr>
        <w:t>可多节点部署</w:t>
      </w:r>
      <w:r>
        <w:rPr>
          <w:rFonts w:hint="eastAsia" w:ascii="宋体" w:hAnsi="宋体" w:eastAsia="宋体" w:cs="宋体"/>
          <w:sz w:val="10"/>
        </w:rPr>
        <w:t>、</w:t>
      </w:r>
      <w:r>
        <w:rPr>
          <w:rFonts w:hint="eastAsia" w:ascii="宋体" w:hAnsi="宋体" w:eastAsia="宋体" w:cs="宋体"/>
          <w:sz w:val="21"/>
        </w:rPr>
        <w:t>对外提供快速交易执行服务的轻量交易系统</w:t>
      </w:r>
      <w:r>
        <w:rPr>
          <w:rFonts w:hint="eastAsia" w:ascii="宋体" w:hAnsi="宋体" w:eastAsia="宋体" w:cs="宋体"/>
          <w:sz w:val="10"/>
        </w:rPr>
        <w:t>，</w:t>
      </w:r>
      <w:r>
        <w:rPr>
          <w:rFonts w:hint="eastAsia" w:ascii="宋体" w:hAnsi="宋体" w:eastAsia="宋体" w:cs="宋体"/>
          <w:sz w:val="21"/>
        </w:rPr>
        <w:t>又名快速内存交</w:t>
      </w:r>
    </w:p>
    <w:p>
      <w:pPr>
        <w:autoSpaceDE w:val="false"/>
        <w:autoSpaceDN w:val="false"/>
        <w:spacing w:line="260" w:lineRule="exact"/>
        <w:ind w:left="4380"/>
        <w:jc w:val="both"/>
      </w:pPr>
      <w:r>
        <w:rPr>
          <w:rFonts w:hint="eastAsia" w:ascii="宋体" w:hAnsi="宋体" w:eastAsia="宋体" w:cs="宋体"/>
          <w:sz w:val="21"/>
        </w:rPr>
        <w:t>易系统</w:t>
      </w:r>
    </w:p>
    <w:p>
      <w:pPr>
        <w:spacing w:line="200" w:lineRule="exact"/>
        <w:rPr>
          <w:rFonts w:hint="eastAsia" w:ascii="宋体" w:hAnsi="宋体" w:eastAsia="宋体" w:cs="宋体"/>
          <w:sz w:val="20"/>
        </w:rPr>
      </w:pPr>
    </w:p>
    <w:p>
      <w:pPr>
        <w:tabs>
          <w:tab w:val="left" w:pos="3680"/>
          <w:tab w:val="left" w:pos="4380"/>
        </w:tabs>
        <w:autoSpaceDE w:val="false"/>
        <w:autoSpaceDN w:val="false"/>
        <w:spacing w:line="240" w:lineRule="exact"/>
        <w:ind w:left="1780"/>
        <w:jc w:val="both"/>
      </w:pPr>
      <w:r>
        <w:rPr>
          <w:rFonts w:hint="eastAsia" w:ascii="Times New Roman" w:hAnsi="Times New Roman" w:eastAsia="Times New Roman" w:cs="Times New Roman"/>
          <w:sz w:val="21"/>
        </w:rPr>
        <w:t>Fintech</w:t>
      </w:r>
      <w:r>
        <w:tab/>
      </w:r>
      <w:r>
        <w:rPr>
          <w:rFonts w:hint="eastAsia" w:ascii="宋体" w:hAnsi="宋体" w:eastAsia="宋体" w:cs="宋体"/>
          <w:sz w:val="21"/>
        </w:rPr>
        <w:t>指</w:t>
      </w:r>
      <w:r>
        <w:tab/>
      </w:r>
      <w:r>
        <w:rPr>
          <w:rFonts w:hint="eastAsia" w:ascii="宋体" w:hAnsi="宋体" w:eastAsia="宋体" w:cs="宋体"/>
          <w:sz w:val="21"/>
        </w:rPr>
        <w:t>即金融科技</w:t>
      </w:r>
      <w:r>
        <w:rPr>
          <w:rFonts w:hint="eastAsia" w:ascii="宋体" w:hAnsi="宋体" w:eastAsia="宋体" w:cs="宋体"/>
          <w:sz w:val="10"/>
        </w:rPr>
        <w:t>，</w:t>
      </w:r>
      <w:r>
        <w:rPr>
          <w:rFonts w:hint="eastAsia" w:ascii="宋体" w:hAnsi="宋体" w:eastAsia="宋体" w:cs="宋体"/>
          <w:sz w:val="21"/>
        </w:rPr>
        <w:t>指技术带来的金融创新</w:t>
      </w:r>
      <w:r>
        <w:rPr>
          <w:rFonts w:hint="eastAsia" w:ascii="宋体" w:hAnsi="宋体" w:eastAsia="宋体" w:cs="宋体"/>
          <w:sz w:val="10"/>
        </w:rPr>
        <w:t>，</w:t>
      </w:r>
      <w:r>
        <w:rPr>
          <w:rFonts w:hint="eastAsia" w:ascii="宋体" w:hAnsi="宋体" w:eastAsia="宋体" w:cs="宋体"/>
          <w:sz w:val="21"/>
        </w:rPr>
        <w:t>能创造新的模式</w:t>
      </w:r>
      <w:r>
        <w:rPr>
          <w:rFonts w:hint="eastAsia" w:ascii="宋体" w:hAnsi="宋体" w:eastAsia="宋体" w:cs="宋体"/>
          <w:sz w:val="10"/>
        </w:rPr>
        <w:t>、</w:t>
      </w:r>
      <w:r>
        <w:rPr>
          <w:rFonts w:hint="eastAsia" w:ascii="宋体" w:hAnsi="宋体" w:eastAsia="宋体" w:cs="宋体"/>
          <w:sz w:val="21"/>
        </w:rPr>
        <w:t>业务</w:t>
      </w:r>
      <w:r>
        <w:rPr>
          <w:rFonts w:hint="eastAsia" w:ascii="宋体" w:hAnsi="宋体" w:eastAsia="宋体" w:cs="宋体"/>
          <w:sz w:val="10"/>
        </w:rPr>
        <w:t>、</w:t>
      </w:r>
    </w:p>
    <w:p>
      <w:pPr>
        <w:autoSpaceDE w:val="false"/>
        <w:autoSpaceDN w:val="false"/>
        <w:spacing w:line="260" w:lineRule="exact"/>
        <w:ind w:left="4380"/>
        <w:jc w:val="both"/>
      </w:pPr>
      <w:r>
        <w:rPr>
          <w:rFonts w:hint="eastAsia" w:ascii="宋体" w:hAnsi="宋体" w:eastAsia="宋体" w:cs="宋体"/>
          <w:sz w:val="21"/>
        </w:rPr>
        <w:t>流程与产品</w:t>
      </w:r>
      <w:r>
        <w:rPr>
          <w:rFonts w:hint="eastAsia" w:ascii="宋体" w:hAnsi="宋体" w:eastAsia="宋体" w:cs="宋体"/>
          <w:sz w:val="10"/>
        </w:rPr>
        <w:t>，</w:t>
      </w:r>
      <w:r>
        <w:rPr>
          <w:rFonts w:hint="eastAsia" w:ascii="宋体" w:hAnsi="宋体" w:eastAsia="宋体" w:cs="宋体"/>
          <w:sz w:val="21"/>
        </w:rPr>
        <w:t>从而对金融市场提供的服务和模式产生影响</w:t>
      </w:r>
    </w:p>
    <w:p>
      <w:pPr>
        <w:spacing w:line="200" w:lineRule="exact"/>
        <w:rPr>
          <w:rFonts w:hint="eastAsia" w:ascii="宋体" w:hAnsi="宋体" w:eastAsia="宋体" w:cs="宋体"/>
          <w:sz w:val="20"/>
        </w:rPr>
      </w:pPr>
    </w:p>
    <w:p>
      <w:pPr>
        <w:autoSpaceDE w:val="false"/>
        <w:autoSpaceDN w:val="false"/>
        <w:spacing w:line="340" w:lineRule="exact"/>
        <w:ind w:left="1780" w:right="1620"/>
        <w:jc w:val="both"/>
      </w:pPr>
      <w:r>
        <w:rPr>
          <w:rFonts w:hint="eastAsia" w:ascii="宋体" w:hAnsi="宋体" w:eastAsia="宋体" w:cs="宋体"/>
          <w:sz w:val="18"/>
        </w:rPr>
        <w:t>特别说明</w:t>
      </w:r>
      <w:r>
        <w:rPr>
          <w:rFonts w:hint="eastAsia" w:ascii="宋体" w:hAnsi="宋体" w:eastAsia="宋体" w:cs="宋体"/>
          <w:sz w:val="10"/>
        </w:rPr>
        <w:t>：</w:t>
      </w:r>
      <w:r>
        <w:rPr>
          <w:rFonts w:hint="eastAsia" w:ascii="宋体" w:hAnsi="宋体" w:eastAsia="宋体" w:cs="宋体"/>
          <w:sz w:val="18"/>
        </w:rPr>
        <w:t>本招股说明书部分表格中单项数据加总数与表格合计数可能存在微小差异</w:t>
      </w:r>
      <w:r>
        <w:rPr>
          <w:rFonts w:hint="eastAsia" w:ascii="宋体" w:hAnsi="宋体" w:eastAsia="宋体" w:cs="宋体"/>
          <w:sz w:val="10"/>
        </w:rPr>
        <w:t>，</w:t>
      </w:r>
      <w:r>
        <w:rPr>
          <w:rFonts w:hint="eastAsia" w:ascii="宋体" w:hAnsi="宋体" w:eastAsia="宋体" w:cs="宋体"/>
          <w:sz w:val="18"/>
        </w:rPr>
        <w:t>均因计算过程中的四舍五入所形成</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60"/>
        <w:jc w:val="both"/>
      </w:pPr>
      <w:r>
        <w:rPr>
          <w:rFonts w:hint="eastAsia" w:ascii="Times New Roman" w:hAnsi="Times New Roman" w:eastAsia="Times New Roman" w:cs="Times New Roman"/>
          <w:sz w:val="21"/>
        </w:rPr>
        <w:t>1-1-26</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40" w:lineRule="exact"/>
        <w:ind w:left="4940"/>
        <w:jc w:val="both"/>
      </w:pPr>
      <w:r>
        <w:rPr>
          <w:rFonts w:hint="eastAsia" w:ascii="ºÚÌå" w:hAnsi="ºÚÌå" w:eastAsia="ºÚÌå" w:cs="ºÚÌå"/>
          <w:b/>
          <w:sz w:val="36"/>
        </w:rPr>
        <w:t>第二节</w:t>
      </w:r>
      <w:r>
        <w:rPr>
          <w:rFonts w:hint="eastAsia" w:ascii="ºÚÌå" w:hAnsi="ºÚÌå" w:eastAsia="ºÚÌå" w:cs="ºÚÌå"/>
          <w:b/>
          <w:sz w:val="36"/>
        </w:rPr>
        <w:t xml:space="preserve"> </w:t>
      </w:r>
      <w:r>
        <w:rPr>
          <w:rFonts w:hint="eastAsia" w:ascii="ºÚÌå" w:hAnsi="ºÚÌå" w:eastAsia="ºÚÌå" w:cs="ºÚÌå"/>
          <w:b/>
          <w:sz w:val="36"/>
        </w:rPr>
        <w:t>概览</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b/>
          <w:sz w:val="24"/>
        </w:rPr>
        <w:t>本概览仅对招股说明书全文作扼要提示</w:t>
      </w:r>
      <w:r>
        <w:rPr>
          <w:rFonts w:hint="eastAsia" w:ascii="宋体" w:hAnsi="宋体" w:eastAsia="宋体" w:cs="宋体"/>
          <w:b/>
          <w:sz w:val="10"/>
        </w:rPr>
        <w:t>。</w:t>
      </w:r>
      <w:r>
        <w:rPr>
          <w:rFonts w:hint="eastAsia" w:ascii="宋体" w:hAnsi="宋体" w:eastAsia="宋体" w:cs="宋体"/>
          <w:b/>
          <w:sz w:val="24"/>
        </w:rPr>
        <w:t>投资者作出投资决策前</w:t>
      </w:r>
      <w:r>
        <w:rPr>
          <w:rFonts w:hint="eastAsia" w:ascii="宋体" w:hAnsi="宋体" w:eastAsia="宋体" w:cs="宋体"/>
          <w:b/>
          <w:sz w:val="10"/>
        </w:rPr>
        <w:t>，</w:t>
      </w:r>
      <w:r>
        <w:rPr>
          <w:rFonts w:hint="eastAsia" w:ascii="宋体" w:hAnsi="宋体" w:eastAsia="宋体" w:cs="宋体"/>
          <w:b/>
          <w:sz w:val="24"/>
        </w:rPr>
        <w:t>应认真阅读招股说明书全文</w:t>
      </w:r>
      <w:r>
        <w:rPr>
          <w:rFonts w:hint="eastAsia" w:ascii="宋体" w:hAnsi="宋体" w:eastAsia="宋体" w:cs="宋体"/>
          <w:b/>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24"/>
        </w:rPr>
        <w:t>一、</w:t>
      </w:r>
      <w:r>
        <w:rPr>
          <w:rFonts w:hint="eastAsia" w:ascii="ºÚÌå" w:hAnsi="ºÚÌå" w:eastAsia="ºÚÌå" w:cs="ºÚÌå"/>
          <w:sz w:val="30"/>
        </w:rPr>
        <w:t>公司简介</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20" w:firstLine="480"/>
        <w:jc w:val="both"/>
      </w:pPr>
      <w:r>
        <w:rPr>
          <w:rFonts w:hint="eastAsia" w:ascii="宋体" w:hAnsi="宋体" w:eastAsia="宋体" w:cs="宋体"/>
          <w:sz w:val="24"/>
        </w:rPr>
        <w:t>公司是一家国内领先的专业化平台型软件及信息化服务提供商</w:t>
      </w:r>
      <w:r>
        <w:rPr>
          <w:rFonts w:hint="eastAsia" w:ascii="宋体" w:hAnsi="宋体" w:eastAsia="宋体" w:cs="宋体"/>
          <w:sz w:val="10"/>
        </w:rPr>
        <w:t>，</w:t>
      </w:r>
      <w:r>
        <w:rPr>
          <w:rFonts w:hint="eastAsia" w:ascii="宋体" w:hAnsi="宋体" w:eastAsia="宋体" w:cs="宋体"/>
          <w:sz w:val="24"/>
        </w:rPr>
        <w:t>致力于利用自主研发的</w:t>
      </w:r>
      <w:r>
        <w:rPr>
          <w:rFonts w:hint="eastAsia" w:ascii="宋体" w:hAnsi="宋体" w:eastAsia="宋体" w:cs="宋体"/>
          <w:sz w:val="10"/>
        </w:rPr>
        <w:t>“</w:t>
      </w:r>
      <w:r>
        <w:rPr>
          <w:rFonts w:hint="eastAsia" w:ascii="宋体" w:hAnsi="宋体" w:eastAsia="宋体" w:cs="宋体"/>
          <w:sz w:val="24"/>
        </w:rPr>
        <w:t>灵动业务架构平台（</w:t>
      </w:r>
      <w:r>
        <w:rPr>
          <w:rFonts w:hint="eastAsia" w:ascii="Times New Roman" w:hAnsi="Times New Roman" w:eastAsia="Times New Roman" w:cs="Times New Roman"/>
          <w:sz w:val="24"/>
        </w:rPr>
        <w:t>LiveBOS</w:t>
      </w:r>
      <w:r>
        <w:rPr>
          <w:rFonts w:hint="eastAsia" w:ascii="宋体" w:hAnsi="宋体" w:eastAsia="宋体" w:cs="宋体"/>
          <w:sz w:val="24"/>
        </w:rPr>
        <w:t>）”，</w:t>
      </w:r>
      <w:r>
        <w:rPr>
          <w:rFonts w:hint="eastAsia" w:ascii="宋体" w:hAnsi="宋体" w:eastAsia="宋体" w:cs="宋体"/>
          <w:sz w:val="24"/>
        </w:rPr>
        <w:t>为包括证券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电子交易市场等在内的金融行业及其他行业提供以业务流程管理（</w:t>
      </w:r>
      <w:r>
        <w:rPr>
          <w:rFonts w:hint="eastAsia" w:ascii="Times New Roman" w:hAnsi="Times New Roman" w:eastAsia="Times New Roman" w:cs="Times New Roman"/>
          <w:sz w:val="24"/>
        </w:rPr>
        <w:t>BPM</w:t>
      </w:r>
      <w:r>
        <w:rPr>
          <w:rFonts w:hint="eastAsia" w:ascii="宋体" w:hAnsi="宋体" w:eastAsia="宋体" w:cs="宋体"/>
          <w:sz w:val="24"/>
        </w:rPr>
        <w:t>）为核心</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应用为重点方向的信息化解决方案</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公司处于国内金融企业信息化产业的前沿</w:t>
      </w:r>
      <w:r>
        <w:rPr>
          <w:rFonts w:hint="eastAsia" w:ascii="宋体" w:hAnsi="宋体" w:eastAsia="宋体" w:cs="宋体"/>
          <w:sz w:val="10"/>
        </w:rPr>
        <w:t>。</w:t>
      </w:r>
      <w:r>
        <w:rPr>
          <w:rFonts w:hint="eastAsia" w:ascii="宋体" w:hAnsi="宋体" w:eastAsia="宋体" w:cs="宋体"/>
          <w:sz w:val="24"/>
        </w:rPr>
        <w:t>金融企业信息化是高端软件和新兴信息服务产业的分支</w:t>
      </w:r>
      <w:r>
        <w:rPr>
          <w:rFonts w:hint="eastAsia" w:ascii="宋体" w:hAnsi="宋体" w:eastAsia="宋体" w:cs="宋体"/>
          <w:sz w:val="10"/>
        </w:rPr>
        <w:t>，</w:t>
      </w:r>
      <w:r>
        <w:rPr>
          <w:rFonts w:hint="eastAsia" w:ascii="宋体" w:hAnsi="宋体" w:eastAsia="宋体" w:cs="宋体"/>
          <w:sz w:val="24"/>
        </w:rPr>
        <w:t>是战略性新兴产业的重要组成部分</w:t>
      </w:r>
      <w:r>
        <w:rPr>
          <w:rFonts w:hint="eastAsia" w:ascii="宋体" w:hAnsi="宋体" w:eastAsia="宋体" w:cs="宋体"/>
          <w:sz w:val="10"/>
        </w:rPr>
        <w:t>。</w:t>
      </w:r>
      <w:r>
        <w:rPr>
          <w:rFonts w:hint="eastAsia" w:ascii="宋体" w:hAnsi="宋体" w:eastAsia="宋体" w:cs="宋体"/>
          <w:sz w:val="24"/>
        </w:rPr>
        <w:t>公司积极投身于</w:t>
      </w:r>
      <w:r>
        <w:rPr>
          <w:rFonts w:hint="eastAsia" w:ascii="Times New Roman" w:hAnsi="Times New Roman" w:eastAsia="Times New Roman" w:cs="Times New Roman"/>
          <w:sz w:val="24"/>
        </w:rPr>
        <w:t>Fintech</w:t>
      </w:r>
      <w:r>
        <w:rPr>
          <w:rFonts w:hint="eastAsia" w:ascii="宋体" w:hAnsi="宋体" w:eastAsia="宋体" w:cs="宋体"/>
          <w:sz w:val="24"/>
        </w:rPr>
        <w:t xml:space="preserve"> 领域的研发</w:t>
      </w:r>
      <w:r>
        <w:rPr>
          <w:rFonts w:hint="eastAsia" w:ascii="宋体" w:hAnsi="宋体" w:eastAsia="宋体" w:cs="宋体"/>
          <w:sz w:val="10"/>
        </w:rPr>
        <w:t>，</w:t>
      </w:r>
      <w:r>
        <w:rPr>
          <w:rFonts w:hint="eastAsia" w:ascii="宋体" w:hAnsi="宋体" w:eastAsia="宋体" w:cs="宋体"/>
          <w:sz w:val="24"/>
        </w:rPr>
        <w:t>不断探索兼顾合规性</w:t>
      </w:r>
      <w:r>
        <w:rPr>
          <w:rFonts w:hint="eastAsia" w:ascii="宋体" w:hAnsi="宋体" w:eastAsia="宋体" w:cs="宋体"/>
          <w:sz w:val="10"/>
        </w:rPr>
        <w:t>、</w:t>
      </w:r>
      <w:r>
        <w:rPr>
          <w:rFonts w:hint="eastAsia" w:ascii="宋体" w:hAnsi="宋体" w:eastAsia="宋体" w:cs="宋体"/>
          <w:sz w:val="24"/>
        </w:rPr>
        <w:t>安全性</w:t>
      </w:r>
      <w:r>
        <w:rPr>
          <w:rFonts w:hint="eastAsia" w:ascii="宋体" w:hAnsi="宋体" w:eastAsia="宋体" w:cs="宋体"/>
          <w:sz w:val="10"/>
        </w:rPr>
        <w:t>、</w:t>
      </w:r>
      <w:r>
        <w:rPr>
          <w:rFonts w:hint="eastAsia" w:ascii="宋体" w:hAnsi="宋体" w:eastAsia="宋体" w:cs="宋体"/>
          <w:sz w:val="24"/>
        </w:rPr>
        <w:t>创新性</w:t>
      </w:r>
      <w:r>
        <w:rPr>
          <w:rFonts w:hint="eastAsia" w:ascii="宋体" w:hAnsi="宋体" w:eastAsia="宋体" w:cs="宋体"/>
          <w:sz w:val="10"/>
        </w:rPr>
        <w:t>、</w:t>
      </w:r>
      <w:r>
        <w:rPr>
          <w:rFonts w:hint="eastAsia" w:ascii="宋体" w:hAnsi="宋体" w:eastAsia="宋体" w:cs="宋体"/>
          <w:sz w:val="24"/>
        </w:rPr>
        <w:t>符合下游行业需求的产品及应用</w:t>
      </w:r>
      <w:r>
        <w:rPr>
          <w:rFonts w:hint="eastAsia" w:ascii="宋体" w:hAnsi="宋体" w:eastAsia="宋体" w:cs="宋体"/>
          <w:sz w:val="10"/>
        </w:rPr>
        <w:t>。</w:t>
      </w:r>
      <w:r>
        <w:rPr>
          <w:rFonts w:hint="eastAsia" w:ascii="宋体" w:hAnsi="宋体" w:eastAsia="宋体" w:cs="宋体"/>
          <w:sz w:val="24"/>
        </w:rPr>
        <w:t>公司的主营业务主要涉及证券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信托</w:t>
      </w:r>
      <w:r>
        <w:rPr>
          <w:rFonts w:hint="eastAsia" w:ascii="宋体" w:hAnsi="宋体" w:eastAsia="宋体" w:cs="宋体"/>
          <w:sz w:val="10"/>
        </w:rPr>
        <w:t>、</w:t>
      </w:r>
      <w:r>
        <w:rPr>
          <w:rFonts w:hint="eastAsia" w:ascii="宋体" w:hAnsi="宋体" w:eastAsia="宋体" w:cs="宋体"/>
          <w:sz w:val="24"/>
        </w:rPr>
        <w:t>电子交易市场等多个行业和领域</w:t>
      </w:r>
      <w:r>
        <w:rPr>
          <w:rFonts w:hint="eastAsia" w:ascii="宋体" w:hAnsi="宋体" w:eastAsia="宋体" w:cs="宋体"/>
          <w:sz w:val="10"/>
        </w:rPr>
        <w:t>，</w:t>
      </w:r>
      <w:r>
        <w:rPr>
          <w:rFonts w:hint="eastAsia" w:ascii="宋体" w:hAnsi="宋体" w:eastAsia="宋体" w:cs="宋体"/>
          <w:sz w:val="24"/>
        </w:rPr>
        <w:t>业务范围涵盖前</w:t>
      </w:r>
      <w:r>
        <w:rPr>
          <w:rFonts w:hint="eastAsia" w:ascii="宋体" w:hAnsi="宋体" w:eastAsia="宋体" w:cs="宋体"/>
          <w:sz w:val="10"/>
        </w:rPr>
        <w:t>、</w:t>
      </w:r>
      <w:r>
        <w:rPr>
          <w:rFonts w:hint="eastAsia" w:ascii="宋体" w:hAnsi="宋体" w:eastAsia="宋体" w:cs="宋体"/>
          <w:sz w:val="24"/>
        </w:rPr>
        <w:t>中</w:t>
      </w:r>
      <w:r>
        <w:rPr>
          <w:rFonts w:hint="eastAsia" w:ascii="宋体" w:hAnsi="宋体" w:eastAsia="宋体" w:cs="宋体"/>
          <w:sz w:val="10"/>
        </w:rPr>
        <w:t>、</w:t>
      </w:r>
      <w:r>
        <w:rPr>
          <w:rFonts w:hint="eastAsia" w:ascii="宋体" w:hAnsi="宋体" w:eastAsia="宋体" w:cs="宋体"/>
          <w:sz w:val="24"/>
        </w:rPr>
        <w:t>后台等多个层次</w:t>
      </w:r>
      <w:r>
        <w:rPr>
          <w:rFonts w:hint="eastAsia" w:ascii="宋体" w:hAnsi="宋体" w:eastAsia="宋体" w:cs="宋体"/>
          <w:sz w:val="10"/>
        </w:rPr>
        <w:t>。</w:t>
      </w:r>
      <w:r>
        <w:rPr>
          <w:rFonts w:hint="eastAsia" w:ascii="宋体" w:hAnsi="宋体" w:eastAsia="宋体" w:cs="宋体"/>
          <w:sz w:val="24"/>
        </w:rPr>
        <w:t>公司敏锐把握金融行业发展趋势及行业动向</w:t>
      </w:r>
      <w:r>
        <w:rPr>
          <w:rFonts w:hint="eastAsia" w:ascii="宋体" w:hAnsi="宋体" w:eastAsia="宋体" w:cs="宋体"/>
          <w:sz w:val="10"/>
        </w:rPr>
        <w:t>，</w:t>
      </w:r>
      <w:r>
        <w:rPr>
          <w:rFonts w:hint="eastAsia" w:ascii="宋体" w:hAnsi="宋体" w:eastAsia="宋体" w:cs="宋体"/>
          <w:sz w:val="24"/>
        </w:rPr>
        <w:t>针对客户</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业务发展的需要</w:t>
      </w:r>
      <w:r>
        <w:rPr>
          <w:rFonts w:hint="eastAsia" w:ascii="宋体" w:hAnsi="宋体" w:eastAsia="宋体" w:cs="宋体"/>
          <w:sz w:val="10"/>
        </w:rPr>
        <w:t>，</w:t>
      </w:r>
      <w:r>
        <w:rPr>
          <w:rFonts w:hint="eastAsia" w:ascii="宋体" w:hAnsi="宋体" w:eastAsia="宋体" w:cs="宋体"/>
          <w:sz w:val="24"/>
        </w:rPr>
        <w:t>基于金融行业业务互联网化趋势的快速演进及新业务</w:t>
      </w:r>
      <w:r>
        <w:rPr>
          <w:rFonts w:hint="eastAsia" w:ascii="宋体" w:hAnsi="宋体" w:eastAsia="宋体" w:cs="宋体"/>
          <w:sz w:val="10"/>
        </w:rPr>
        <w:t>、</w:t>
      </w:r>
      <w:r>
        <w:rPr>
          <w:rFonts w:hint="eastAsia" w:ascii="宋体" w:hAnsi="宋体" w:eastAsia="宋体" w:cs="宋体"/>
          <w:sz w:val="24"/>
        </w:rPr>
        <w:t>新产品的不断推出</w:t>
      </w:r>
      <w:r>
        <w:rPr>
          <w:rFonts w:hint="eastAsia" w:ascii="宋体" w:hAnsi="宋体" w:eastAsia="宋体" w:cs="宋体"/>
          <w:sz w:val="10"/>
        </w:rPr>
        <w:t>，</w:t>
      </w:r>
      <w:r>
        <w:rPr>
          <w:rFonts w:hint="eastAsia" w:ascii="宋体" w:hAnsi="宋体" w:eastAsia="宋体" w:cs="宋体"/>
          <w:sz w:val="24"/>
        </w:rPr>
        <w:t>持续深耕前沿市场</w:t>
      </w:r>
      <w:r>
        <w:rPr>
          <w:rFonts w:hint="eastAsia" w:ascii="宋体" w:hAnsi="宋体" w:eastAsia="宋体" w:cs="宋体"/>
          <w:sz w:val="10"/>
        </w:rPr>
        <w:t>，</w:t>
      </w:r>
      <w:r>
        <w:rPr>
          <w:rFonts w:hint="eastAsia" w:ascii="宋体" w:hAnsi="宋体" w:eastAsia="宋体" w:cs="宋体"/>
          <w:sz w:val="24"/>
        </w:rPr>
        <w:t>提供针对互联网化应用支持</w:t>
      </w:r>
      <w:r>
        <w:rPr>
          <w:rFonts w:hint="eastAsia" w:ascii="宋体" w:hAnsi="宋体" w:eastAsia="宋体" w:cs="宋体"/>
          <w:sz w:val="10"/>
        </w:rPr>
        <w:t>、</w:t>
      </w:r>
      <w:r>
        <w:rPr>
          <w:rFonts w:hint="eastAsia" w:ascii="宋体" w:hAnsi="宋体" w:eastAsia="宋体" w:cs="宋体"/>
          <w:sz w:val="24"/>
        </w:rPr>
        <w:t>集中交易</w:t>
      </w:r>
      <w:r>
        <w:rPr>
          <w:rFonts w:hint="eastAsia" w:ascii="宋体" w:hAnsi="宋体" w:eastAsia="宋体" w:cs="宋体"/>
          <w:sz w:val="10"/>
        </w:rPr>
        <w:t>、</w:t>
      </w:r>
      <w:r>
        <w:rPr>
          <w:rFonts w:hint="eastAsia" w:ascii="宋体" w:hAnsi="宋体" w:eastAsia="宋体" w:cs="宋体"/>
          <w:sz w:val="24"/>
        </w:rPr>
        <w:t>高端客户交易</w:t>
      </w:r>
      <w:r>
        <w:rPr>
          <w:rFonts w:hint="eastAsia" w:ascii="宋体" w:hAnsi="宋体" w:eastAsia="宋体" w:cs="宋体"/>
          <w:sz w:val="10"/>
        </w:rPr>
        <w:t>、</w:t>
      </w:r>
      <w:r>
        <w:rPr>
          <w:rFonts w:hint="eastAsia" w:ascii="宋体" w:hAnsi="宋体" w:eastAsia="宋体" w:cs="宋体"/>
          <w:sz w:val="24"/>
        </w:rPr>
        <w:t>业务运营中台</w:t>
      </w:r>
      <w:r>
        <w:rPr>
          <w:rFonts w:hint="eastAsia" w:ascii="宋体" w:hAnsi="宋体" w:eastAsia="宋体" w:cs="宋体"/>
          <w:sz w:val="10"/>
        </w:rPr>
        <w:t>、</w:t>
      </w:r>
      <w:r>
        <w:rPr>
          <w:rFonts w:hint="eastAsia" w:ascii="宋体" w:hAnsi="宋体" w:eastAsia="宋体" w:cs="宋体"/>
          <w:sz w:val="24"/>
        </w:rPr>
        <w:t>柜台市场</w:t>
      </w:r>
      <w:r>
        <w:rPr>
          <w:rFonts w:hint="eastAsia" w:ascii="宋体" w:hAnsi="宋体" w:eastAsia="宋体" w:cs="宋体"/>
          <w:sz w:val="10"/>
        </w:rPr>
        <w:t>、</w:t>
      </w:r>
      <w:r>
        <w:rPr>
          <w:rFonts w:hint="eastAsia" w:ascii="宋体" w:hAnsi="宋体" w:eastAsia="宋体" w:cs="宋体"/>
          <w:sz w:val="24"/>
        </w:rPr>
        <w:t>区域市场</w:t>
      </w:r>
      <w:r>
        <w:rPr>
          <w:rFonts w:hint="eastAsia" w:ascii="宋体" w:hAnsi="宋体" w:eastAsia="宋体" w:cs="宋体"/>
          <w:sz w:val="10"/>
        </w:rPr>
        <w:t>、</w:t>
      </w:r>
      <w:r>
        <w:rPr>
          <w:rFonts w:hint="eastAsia" w:ascii="宋体" w:hAnsi="宋体" w:eastAsia="宋体" w:cs="宋体"/>
          <w:sz w:val="24"/>
        </w:rPr>
        <w:t>投融资业务</w:t>
      </w:r>
      <w:r>
        <w:rPr>
          <w:rFonts w:hint="eastAsia" w:ascii="宋体" w:hAnsi="宋体" w:eastAsia="宋体" w:cs="宋体"/>
          <w:sz w:val="10"/>
        </w:rPr>
        <w:t>、</w:t>
      </w:r>
      <w:r>
        <w:rPr>
          <w:rFonts w:hint="eastAsia" w:ascii="宋体" w:hAnsi="宋体" w:eastAsia="宋体" w:cs="宋体"/>
          <w:sz w:val="24"/>
        </w:rPr>
        <w:t>财富管理等多种业务领域的软件产品及服务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公司主要产品应用于国内</w:t>
      </w:r>
      <w:r>
        <w:rPr>
          <w:rFonts w:hint="eastAsia" w:ascii="Times New Roman" w:hAnsi="Times New Roman" w:eastAsia="Times New Roman" w:cs="Times New Roman"/>
          <w:sz w:val="24"/>
        </w:rPr>
        <w:t xml:space="preserve"> 78</w:t>
      </w:r>
      <w:r>
        <w:rPr>
          <w:rFonts w:hint="eastAsia" w:ascii="宋体" w:hAnsi="宋体" w:eastAsia="宋体" w:cs="宋体"/>
          <w:sz w:val="24"/>
        </w:rPr>
        <w:t xml:space="preserve"> 家证券公司</w:t>
      </w:r>
      <w:r>
        <w:rPr>
          <w:rFonts w:hint="eastAsia" w:ascii="宋体" w:hAnsi="宋体" w:eastAsia="宋体" w:cs="宋体"/>
          <w:sz w:val="10"/>
        </w:rPr>
        <w:t>，</w:t>
      </w:r>
      <w:r>
        <w:rPr>
          <w:rFonts w:hint="eastAsia" w:ascii="宋体" w:hAnsi="宋体" w:eastAsia="宋体" w:cs="宋体"/>
          <w:sz w:val="24"/>
        </w:rPr>
        <w:t>用户数量占证券公司总家数的</w:t>
      </w:r>
      <w:r>
        <w:rPr>
          <w:rFonts w:hint="eastAsia" w:ascii="Times New Roman" w:hAnsi="Times New Roman" w:eastAsia="Times New Roman" w:cs="Times New Roman"/>
          <w:sz w:val="24"/>
        </w:rPr>
        <w:t xml:space="preserve"> 60.47%</w:t>
      </w:r>
      <w:r>
        <w:rPr>
          <w:rFonts w:hint="eastAsia" w:ascii="Times New Roman" w:hAnsi="Times New Roman" w:eastAsia="Times New Roman" w:cs="Times New Roman"/>
          <w:sz w:val="16"/>
        </w:rPr>
        <w:t>1</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公司的营销服务流程管理系统应用于国内</w:t>
      </w:r>
      <w:r>
        <w:rPr>
          <w:rFonts w:hint="eastAsia" w:ascii="Times New Roman" w:hAnsi="Times New Roman" w:eastAsia="Times New Roman" w:cs="Times New Roman"/>
          <w:sz w:val="24"/>
        </w:rPr>
        <w:t xml:space="preserve"> 71</w:t>
      </w:r>
      <w:r>
        <w:rPr>
          <w:rFonts w:hint="eastAsia" w:ascii="宋体" w:hAnsi="宋体" w:eastAsia="宋体" w:cs="宋体"/>
          <w:sz w:val="24"/>
        </w:rPr>
        <w:t xml:space="preserve"> 家证券公司</w:t>
      </w:r>
      <w:r>
        <w:rPr>
          <w:rFonts w:hint="eastAsia" w:ascii="宋体" w:hAnsi="宋体" w:eastAsia="宋体" w:cs="宋体"/>
          <w:sz w:val="12"/>
        </w:rPr>
        <w:t>；</w:t>
      </w:r>
      <w:r>
        <w:rPr>
          <w:rFonts w:hint="eastAsia" w:ascii="宋体" w:hAnsi="宋体" w:eastAsia="宋体" w:cs="宋体"/>
          <w:sz w:val="24"/>
        </w:rPr>
        <w:t>公司的基础运营支持系统（即大规模集中交易</w:t>
      </w:r>
      <w:r>
        <w:rPr>
          <w:rFonts w:hint="eastAsia" w:ascii="宋体" w:hAnsi="宋体" w:eastAsia="宋体" w:cs="宋体"/>
          <w:sz w:val="10"/>
        </w:rPr>
        <w:t>、</w:t>
      </w:r>
      <w:r>
        <w:rPr>
          <w:rFonts w:hint="eastAsia" w:ascii="宋体" w:hAnsi="宋体" w:eastAsia="宋体" w:cs="宋体"/>
          <w:sz w:val="24"/>
        </w:rPr>
        <w:t>快速内存交易及配套系统）应用于国内</w:t>
      </w:r>
      <w:r>
        <w:rPr>
          <w:rFonts w:hint="eastAsia" w:ascii="Times New Roman" w:hAnsi="Times New Roman" w:eastAsia="Times New Roman" w:cs="Times New Roman"/>
          <w:sz w:val="24"/>
        </w:rPr>
        <w:t xml:space="preserve"> 38</w:t>
      </w:r>
      <w:r>
        <w:rPr>
          <w:rFonts w:hint="eastAsia" w:ascii="宋体" w:hAnsi="宋体" w:eastAsia="宋体" w:cs="宋体"/>
          <w:sz w:val="24"/>
        </w:rPr>
        <w:t xml:space="preserve"> 家证券公司</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公司近年来在企业流程管理及教育行业信息化方面持续开展业务</w:t>
      </w:r>
      <w:r>
        <w:rPr>
          <w:rFonts w:hint="eastAsia" w:ascii="宋体" w:hAnsi="宋体" w:eastAsia="宋体" w:cs="宋体"/>
          <w:sz w:val="10"/>
        </w:rPr>
        <w:t>，</w:t>
      </w:r>
      <w:r>
        <w:rPr>
          <w:rFonts w:hint="eastAsia" w:ascii="宋体" w:hAnsi="宋体" w:eastAsia="宋体" w:cs="宋体"/>
          <w:sz w:val="24"/>
        </w:rPr>
        <w:t>利用行业经验及研发协同效应</w:t>
      </w:r>
      <w:r>
        <w:rPr>
          <w:rFonts w:hint="eastAsia" w:ascii="宋体" w:hAnsi="宋体" w:eastAsia="宋体" w:cs="宋体"/>
          <w:sz w:val="10"/>
        </w:rPr>
        <w:t>，</w:t>
      </w:r>
      <w:r>
        <w:rPr>
          <w:rFonts w:hint="eastAsia" w:ascii="宋体" w:hAnsi="宋体" w:eastAsia="宋体" w:cs="宋体"/>
          <w:sz w:val="24"/>
        </w:rPr>
        <w:t>为客户提供针对行业特点的管理系统及信息化服务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Arial" w:hAnsi="Arial" w:eastAsia="Arial" w:cs="Arial"/>
          <w:sz w:val="12"/>
        </w:rPr>
        <w:t>1</w:t>
      </w:r>
      <w:r>
        <w:rPr>
          <w:rFonts w:hint="eastAsia" w:ascii="Arial" w:hAnsi="Arial" w:eastAsia="Arial" w:cs="Arial"/>
          <w:sz w:val="18"/>
        </w:rPr>
        <w:t xml:space="preserve"> </w:t>
      </w:r>
      <w:r>
        <w:rPr>
          <w:rFonts w:hint="eastAsia" w:ascii="·ÂËÎ_GB2312" w:hAnsi="·ÂËÎ_GB2312" w:eastAsia="·ÂËÎ_GB2312" w:cs="·ÂËÎ_GB2312"/>
          <w:sz w:val="18"/>
        </w:rPr>
        <w:t>截至</w:t>
      </w:r>
      <w:r>
        <w:rPr>
          <w:rFonts w:hint="eastAsia" w:ascii="Times New Roman" w:hAnsi="Times New Roman" w:eastAsia="Times New Roman" w:cs="Times New Roman"/>
          <w:sz w:val="18"/>
        </w:rPr>
        <w:t xml:space="preserve"> 2016</w:t>
      </w:r>
      <w:r>
        <w:rPr>
          <w:rFonts w:hint="eastAsia" w:ascii="·ÂËÎ_GB2312" w:hAnsi="·ÂËÎ_GB2312" w:eastAsia="·ÂËÎ_GB2312" w:cs="·ÂËÎ_GB2312"/>
          <w:sz w:val="18"/>
        </w:rPr>
        <w:t xml:space="preserve"> 年末</w:t>
      </w:r>
      <w:r>
        <w:rPr>
          <w:rFonts w:hint="eastAsia" w:ascii="·ÂËÎ_GB2312" w:hAnsi="·ÂËÎ_GB2312" w:eastAsia="·ÂËÎ_GB2312" w:cs="·ÂËÎ_GB2312"/>
          <w:sz w:val="10"/>
        </w:rPr>
        <w:t>，</w:t>
      </w:r>
      <w:r>
        <w:rPr>
          <w:rFonts w:hint="eastAsia" w:ascii="·ÂËÎ_GB2312" w:hAnsi="·ÂËÎ_GB2312" w:eastAsia="·ÂËÎ_GB2312" w:cs="·ÂËÎ_GB2312"/>
          <w:sz w:val="18"/>
        </w:rPr>
        <w:t>证券公司总家数为</w:t>
      </w:r>
      <w:r>
        <w:rPr>
          <w:rFonts w:hint="eastAsia" w:ascii="Times New Roman" w:hAnsi="Times New Roman" w:eastAsia="Times New Roman" w:cs="Times New Roman"/>
          <w:sz w:val="18"/>
        </w:rPr>
        <w:t xml:space="preserve"> 129</w:t>
      </w:r>
      <w:r>
        <w:rPr>
          <w:rFonts w:hint="eastAsia" w:ascii="·ÂËÎ_GB2312" w:hAnsi="·ÂËÎ_GB2312" w:eastAsia="·ÂËÎ_GB2312" w:cs="·ÂËÎ_GB2312"/>
          <w:sz w:val="18"/>
        </w:rPr>
        <w:t xml:space="preserve"> 家</w:t>
      </w:r>
      <w:r>
        <w:rPr>
          <w:rFonts w:hint="eastAsia" w:ascii="·ÂËÎ_GB2312" w:hAnsi="·ÂËÎ_GB2312" w:eastAsia="·ÂËÎ_GB2312" w:cs="·ÂËÎ_GB2312"/>
          <w:sz w:val="10"/>
        </w:rPr>
        <w:t>，</w:t>
      </w:r>
      <w:r>
        <w:rPr>
          <w:rFonts w:hint="eastAsia" w:ascii="·ÂËÎ_GB2312" w:hAnsi="·ÂËÎ_GB2312" w:eastAsia="·ÂËÎ_GB2312" w:cs="·ÂËÎ_GB2312"/>
          <w:sz w:val="18"/>
        </w:rPr>
        <w:t>数据来源为中国证券业协会</w:t>
      </w:r>
      <w:r>
        <w:rPr>
          <w:rFonts w:hint="eastAsia" w:ascii="·ÂËÎ_GB2312" w:hAnsi="·ÂËÎ_GB2312" w:eastAsia="·ÂËÎ_GB2312" w:cs="·ÂËÎ_GB2312"/>
          <w:sz w:val="10"/>
        </w:rPr>
        <w:t>。</w:t>
      </w:r>
      <w:r>
        <w:rPr>
          <w:rFonts w:hint="eastAsia" w:ascii="·ÂËÎ_GB2312" w:hAnsi="·ÂËÎ_GB2312" w:eastAsia="·ÂËÎ_GB2312" w:cs="·ÂËÎ_GB2312"/>
          <w:sz w:val="18"/>
        </w:rPr>
        <w:t>下同</w:t>
      </w:r>
      <w:r>
        <w:rPr>
          <w:rFonts w:hint="eastAsia" w:ascii="·ÂËÎ_GB2312" w:hAnsi="·ÂËÎ_GB2312" w:eastAsia="·ÂËÎ_GB2312" w:cs="·ÂËÎ_GB2312"/>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1-1-27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580" w:firstLine="480"/>
        <w:jc w:val="both"/>
      </w:pPr>
      <w:r>
        <w:rPr>
          <w:rFonts w:hint="eastAsia" w:ascii="宋体" w:hAnsi="宋体" w:eastAsia="宋体" w:cs="宋体"/>
          <w:sz w:val="24"/>
        </w:rPr>
        <w:t>截至目前</w:t>
      </w:r>
      <w:r>
        <w:rPr>
          <w:rFonts w:hint="eastAsia" w:ascii="宋体" w:hAnsi="宋体" w:eastAsia="宋体" w:cs="宋体"/>
          <w:sz w:val="10"/>
        </w:rPr>
        <w:t>，</w:t>
      </w:r>
      <w:r>
        <w:rPr>
          <w:rFonts w:hint="eastAsia" w:ascii="宋体" w:hAnsi="宋体" w:eastAsia="宋体" w:cs="宋体"/>
          <w:sz w:val="24"/>
        </w:rPr>
        <w:t>公司及其主营业务</w:t>
      </w:r>
      <w:r>
        <w:rPr>
          <w:rFonts w:hint="eastAsia" w:ascii="宋体" w:hAnsi="宋体" w:eastAsia="宋体" w:cs="宋体"/>
          <w:sz w:val="10"/>
        </w:rPr>
        <w:t>、</w:t>
      </w:r>
      <w:r>
        <w:rPr>
          <w:rFonts w:hint="eastAsia" w:ascii="宋体" w:hAnsi="宋体" w:eastAsia="宋体" w:cs="宋体"/>
          <w:sz w:val="24"/>
        </w:rPr>
        <w:t>产品获得多项荣誉</w:t>
      </w:r>
      <w:r>
        <w:rPr>
          <w:rFonts w:hint="eastAsia" w:ascii="宋体" w:hAnsi="宋体" w:eastAsia="宋体" w:cs="宋体"/>
          <w:sz w:val="10"/>
        </w:rPr>
        <w:t>。</w:t>
      </w:r>
      <w:r>
        <w:rPr>
          <w:rFonts w:hint="eastAsia" w:ascii="宋体" w:hAnsi="宋体" w:eastAsia="宋体" w:cs="宋体"/>
          <w:sz w:val="24"/>
        </w:rPr>
        <w:t>公司的</w:t>
      </w:r>
      <w:r>
        <w:rPr>
          <w:rFonts w:hint="eastAsia" w:ascii="宋体" w:hAnsi="宋体" w:eastAsia="宋体" w:cs="宋体"/>
          <w:sz w:val="10"/>
        </w:rPr>
        <w:t>“</w:t>
      </w:r>
      <w:r>
        <w:rPr>
          <w:rFonts w:hint="eastAsia" w:ascii="宋体" w:hAnsi="宋体" w:eastAsia="宋体" w:cs="宋体"/>
          <w:sz w:val="24"/>
        </w:rPr>
        <w:t>基于</w:t>
      </w:r>
      <w:r>
        <w:rPr>
          <w:rFonts w:hint="eastAsia" w:ascii="Times New Roman" w:hAnsi="Times New Roman" w:eastAsia="Times New Roman" w:cs="Times New Roman"/>
          <w:sz w:val="24"/>
        </w:rPr>
        <w:t xml:space="preserve"> SOA&amp;BPM</w:t>
      </w:r>
      <w:r>
        <w:rPr>
          <w:rFonts w:hint="eastAsia" w:ascii="宋体" w:hAnsi="宋体" w:eastAsia="宋体" w:cs="宋体"/>
          <w:sz w:val="24"/>
        </w:rPr>
        <w:t>的证劵金融投资者营销与服务平台</w:t>
      </w:r>
      <w:r>
        <w:rPr>
          <w:rFonts w:hint="eastAsia" w:ascii="Times New Roman" w:hAnsi="Times New Roman" w:eastAsia="Times New Roman" w:cs="Times New Roman"/>
          <w:sz w:val="24"/>
        </w:rPr>
        <w:t>——</w:t>
      </w:r>
      <w:r>
        <w:rPr>
          <w:rFonts w:hint="eastAsia" w:ascii="Times New Roman" w:hAnsi="Times New Roman" w:eastAsia="Times New Roman" w:cs="Times New Roman"/>
          <w:sz w:val="24"/>
        </w:rPr>
        <w:t>FCRM</w:t>
      </w:r>
      <w:r>
        <w:rPr>
          <w:rFonts w:hint="eastAsia" w:ascii="宋体" w:hAnsi="宋体" w:eastAsia="宋体" w:cs="宋体"/>
          <w:sz w:val="10"/>
        </w:rPr>
        <w:t>”</w:t>
      </w:r>
      <w:r>
        <w:rPr>
          <w:rFonts w:hint="eastAsia" w:ascii="宋体" w:hAnsi="宋体" w:eastAsia="宋体" w:cs="宋体"/>
          <w:sz w:val="24"/>
        </w:rPr>
        <w:t>获</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年福建省科技进步三等奖</w:t>
      </w:r>
      <w:r>
        <w:rPr>
          <w:rFonts w:hint="eastAsia" w:ascii="宋体" w:hAnsi="宋体" w:eastAsia="宋体" w:cs="宋体"/>
          <w:sz w:val="10"/>
        </w:rPr>
        <w:t>。</w:t>
      </w:r>
      <w:r>
        <w:rPr>
          <w:rFonts w:hint="eastAsia" w:ascii="Times New Roman" w:hAnsi="Times New Roman" w:eastAsia="Times New Roman" w:cs="Times New Roman"/>
          <w:sz w:val="24"/>
        </w:rPr>
        <w:t>2013</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公司被国家发展和改革委员会</w:t>
      </w:r>
      <w:r>
        <w:rPr>
          <w:rFonts w:hint="eastAsia" w:ascii="宋体" w:hAnsi="宋体" w:eastAsia="宋体" w:cs="宋体"/>
          <w:sz w:val="10"/>
        </w:rPr>
        <w:t>、</w:t>
      </w:r>
      <w:r>
        <w:rPr>
          <w:rFonts w:hint="eastAsia" w:ascii="宋体" w:hAnsi="宋体" w:eastAsia="宋体" w:cs="宋体"/>
          <w:sz w:val="24"/>
        </w:rPr>
        <w:t>工业和信息化部</w:t>
      </w:r>
      <w:r>
        <w:rPr>
          <w:rFonts w:hint="eastAsia" w:ascii="宋体" w:hAnsi="宋体" w:eastAsia="宋体" w:cs="宋体"/>
          <w:sz w:val="10"/>
        </w:rPr>
        <w:t>、</w:t>
      </w:r>
      <w:r>
        <w:rPr>
          <w:rFonts w:hint="eastAsia" w:ascii="宋体" w:hAnsi="宋体" w:eastAsia="宋体" w:cs="宋体"/>
          <w:sz w:val="24"/>
        </w:rPr>
        <w:t>财政部</w:t>
      </w:r>
      <w:r>
        <w:rPr>
          <w:rFonts w:hint="eastAsia" w:ascii="宋体" w:hAnsi="宋体" w:eastAsia="宋体" w:cs="宋体"/>
          <w:sz w:val="10"/>
        </w:rPr>
        <w:t>、</w:t>
      </w:r>
      <w:r>
        <w:rPr>
          <w:rFonts w:hint="eastAsia" w:ascii="宋体" w:hAnsi="宋体" w:eastAsia="宋体" w:cs="宋体"/>
          <w:sz w:val="24"/>
        </w:rPr>
        <w:t>商务部</w:t>
      </w:r>
      <w:r>
        <w:rPr>
          <w:rFonts w:hint="eastAsia" w:ascii="宋体" w:hAnsi="宋体" w:eastAsia="宋体" w:cs="宋体"/>
          <w:sz w:val="10"/>
        </w:rPr>
        <w:t>、</w:t>
      </w:r>
      <w:r>
        <w:rPr>
          <w:rFonts w:hint="eastAsia" w:ascii="宋体" w:hAnsi="宋体" w:eastAsia="宋体" w:cs="宋体"/>
          <w:sz w:val="24"/>
        </w:rPr>
        <w:t>国家税务总局联合认定为</w:t>
      </w:r>
      <w:r>
        <w:rPr>
          <w:rFonts w:hint="eastAsia" w:ascii="宋体" w:hAnsi="宋体" w:eastAsia="宋体" w:cs="宋体"/>
          <w:sz w:val="10"/>
        </w:rPr>
        <w:t>“</w:t>
      </w:r>
      <w:r>
        <w:rPr>
          <w:rFonts w:hint="eastAsia" w:ascii="Times New Roman" w:hAnsi="Times New Roman" w:eastAsia="Times New Roman" w:cs="Times New Roman"/>
          <w:sz w:val="24"/>
        </w:rPr>
        <w:t>2013-2014</w:t>
      </w:r>
      <w:r>
        <w:rPr>
          <w:rFonts w:hint="eastAsia" w:ascii="宋体" w:hAnsi="宋体" w:eastAsia="宋体" w:cs="宋体"/>
          <w:sz w:val="24"/>
        </w:rPr>
        <w:t xml:space="preserve"> 年度国家规划布局内重点软件企业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24"/>
        </w:rPr>
        <w:t>二、</w:t>
      </w:r>
      <w:r>
        <w:rPr>
          <w:rFonts w:hint="eastAsia" w:ascii="ºÚÌå" w:hAnsi="ºÚÌå" w:eastAsia="ºÚÌå" w:cs="ºÚÌå"/>
          <w:sz w:val="30"/>
        </w:rPr>
        <w:t>控股股东及实际控制人情况简介</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顶点软件的控股股东和实际控制人为严孟宇</w:t>
      </w:r>
      <w:r>
        <w:rPr>
          <w:rFonts w:hint="eastAsia" w:ascii="宋体" w:hAnsi="宋体" w:eastAsia="宋体" w:cs="宋体"/>
          <w:sz w:val="10"/>
        </w:rPr>
        <w:t>，</w:t>
      </w:r>
      <w:r>
        <w:rPr>
          <w:rFonts w:hint="eastAsia" w:ascii="宋体" w:hAnsi="宋体" w:eastAsia="宋体" w:cs="宋体"/>
          <w:sz w:val="24"/>
        </w:rPr>
        <w:t>对发行人实施实际控制</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截至本招股说明书签署日</w:t>
      </w:r>
      <w:r>
        <w:rPr>
          <w:rFonts w:hint="eastAsia" w:ascii="宋体" w:hAnsi="宋体" w:eastAsia="宋体" w:cs="宋体"/>
          <w:sz w:val="10"/>
        </w:rPr>
        <w:t>，</w:t>
      </w:r>
      <w:r>
        <w:rPr>
          <w:rFonts w:hint="eastAsia" w:ascii="宋体" w:hAnsi="宋体" w:eastAsia="宋体" w:cs="宋体"/>
          <w:sz w:val="24"/>
        </w:rPr>
        <w:t>严孟宇持有公司</w:t>
      </w:r>
      <w:r>
        <w:rPr>
          <w:rFonts w:hint="eastAsia" w:ascii="Times New Roman" w:hAnsi="Times New Roman" w:eastAsia="Times New Roman" w:cs="Times New Roman"/>
          <w:sz w:val="24"/>
        </w:rPr>
        <w:t xml:space="preserve"> 28.57%</w:t>
      </w:r>
      <w:r>
        <w:rPr>
          <w:rFonts w:hint="eastAsia" w:ascii="宋体" w:hAnsi="宋体" w:eastAsia="宋体" w:cs="宋体"/>
          <w:sz w:val="24"/>
        </w:rPr>
        <w:t>的股份</w:t>
      </w:r>
      <w:r>
        <w:rPr>
          <w:rFonts w:hint="eastAsia" w:ascii="宋体" w:hAnsi="宋体" w:eastAsia="宋体" w:cs="宋体"/>
          <w:sz w:val="10"/>
        </w:rPr>
        <w:t>，</w:t>
      </w:r>
      <w:r>
        <w:rPr>
          <w:rFonts w:hint="eastAsia" w:ascii="宋体" w:hAnsi="宋体" w:eastAsia="宋体" w:cs="宋体"/>
          <w:sz w:val="24"/>
        </w:rPr>
        <w:t>担任发行人董事长</w:t>
      </w:r>
      <w:r>
        <w:rPr>
          <w:rFonts w:hint="eastAsia" w:ascii="宋体" w:hAnsi="宋体" w:eastAsia="宋体" w:cs="宋体"/>
          <w:sz w:val="10"/>
        </w:rPr>
        <w:t>、</w:t>
      </w:r>
      <w:r>
        <w:rPr>
          <w:rFonts w:hint="eastAsia" w:ascii="宋体" w:hAnsi="宋体" w:eastAsia="宋体" w:cs="宋体"/>
          <w:sz w:val="24"/>
        </w:rPr>
        <w:t>总经理</w:t>
      </w:r>
      <w:r>
        <w:rPr>
          <w:rFonts w:hint="eastAsia" w:ascii="宋体" w:hAnsi="宋体" w:eastAsia="宋体" w:cs="宋体"/>
          <w:sz w:val="10"/>
        </w:rPr>
        <w:t>，</w:t>
      </w:r>
      <w:r>
        <w:rPr>
          <w:rFonts w:hint="eastAsia" w:ascii="宋体" w:hAnsi="宋体" w:eastAsia="宋体" w:cs="宋体"/>
          <w:sz w:val="24"/>
        </w:rPr>
        <w:t>具体简历情况可参见本招股说明书</w:t>
      </w:r>
      <w:r>
        <w:rPr>
          <w:rFonts w:hint="eastAsia" w:ascii="宋体" w:hAnsi="宋体" w:eastAsia="宋体" w:cs="宋体"/>
          <w:sz w:val="10"/>
        </w:rPr>
        <w:t>“</w:t>
      </w:r>
      <w:r>
        <w:rPr>
          <w:rFonts w:hint="eastAsia" w:ascii="宋体" w:hAnsi="宋体" w:eastAsia="宋体" w:cs="宋体"/>
          <w:sz w:val="24"/>
        </w:rPr>
        <w:t>第八节</w:t>
      </w:r>
      <w:r>
        <w:rPr>
          <w:rFonts w:hint="eastAsia" w:ascii="Times New Roman" w:hAnsi="Times New Roman" w:eastAsia="Times New Roman" w:cs="Times New Roman"/>
          <w:sz w:val="24"/>
        </w:rPr>
        <w:t xml:space="preserve"> </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高级管理人员与核心技术人员</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发行人主要财务资料</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本公司报告期内经审计主要财务数据及主要财务指标如下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（一）合并资产负债表主要数据</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8340" w:type="auto"/>
        <w:tblInd w:w="1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460"/>
        <w:gridCol w:w="1620"/>
        <w:gridCol w:w="1620"/>
        <w:gridCol w:w="1620"/>
      </w:tblGrid>
      <w:tr>
        <w:trPr>
          <w:trHeight w:val="480" w:hRule="exact"/>
        </w:trPr>
        <w:tc>
          <w:tcPr>
            <w:tcW w:w="3460" w:type="dxa"/>
            <w:tcMar>
              <w:top w:w="0" w:type="dxa"/>
              <w:left w:w="0" w:type="dxa"/>
              <w:bottom w:w="0" w:type="dxa"/>
              <w:right w:w="0" w:type="dxa"/>
            </w:tcMar>
          </w:tcPr>
          <w:p>
            <w:pPr>
              <w:spacing w:before="120"/>
              <w:ind w:left="1500"/>
            </w:pPr>
            <w:r>
              <w:rPr>
                <w:rFonts w:hint="eastAsia" w:ascii="宋体" w:hAnsi="宋体" w:eastAsia="宋体" w:cs="宋体"/>
                <w:b/>
                <w:sz w:val="21"/>
              </w:rPr>
              <w:t>项目</w:t>
            </w:r>
          </w:p>
        </w:tc>
        <w:tc>
          <w:tcPr>
            <w:tcW w:w="1620" w:type="dxa"/>
            <w:tcMar>
              <w:top w:w="0" w:type="dxa"/>
              <w:left w:w="0" w:type="dxa"/>
              <w:bottom w:w="0" w:type="dxa"/>
              <w:right w:w="0" w:type="dxa"/>
            </w:tcMar>
          </w:tcPr>
          <w:p>
            <w:pPr>
              <w:spacing w:before="180"/>
              <w:ind w:left="300"/>
            </w:pPr>
            <w:r>
              <w:rPr>
                <w:rFonts w:hint="eastAsia" w:ascii="Times New Roman Bold" w:hAnsi="Times New Roman Bold" w:eastAsia="Times New Roman Bold" w:cs="Times New Roman Bold"/>
                <w:b/>
                <w:sz w:val="21"/>
              </w:rPr>
              <w:t>2016-12-31</w:t>
            </w:r>
          </w:p>
        </w:tc>
        <w:tc>
          <w:tcPr>
            <w:tcW w:w="1620" w:type="dxa"/>
            <w:tcMar>
              <w:top w:w="0" w:type="dxa"/>
              <w:left w:w="0" w:type="dxa"/>
              <w:bottom w:w="0" w:type="dxa"/>
              <w:right w:w="0" w:type="dxa"/>
            </w:tcMar>
          </w:tcPr>
          <w:p>
            <w:pPr>
              <w:spacing w:before="180"/>
              <w:ind w:left="300"/>
            </w:pPr>
            <w:r>
              <w:rPr>
                <w:rFonts w:hint="eastAsia" w:ascii="Times New Roman Bold" w:hAnsi="Times New Roman Bold" w:eastAsia="Times New Roman Bold" w:cs="Times New Roman Bold"/>
                <w:b/>
                <w:sz w:val="21"/>
              </w:rPr>
              <w:t>2015-12-31</w:t>
            </w:r>
          </w:p>
        </w:tc>
        <w:tc>
          <w:tcPr>
            <w:tcW w:w="1620" w:type="dxa"/>
            <w:tcMar>
              <w:top w:w="0" w:type="dxa"/>
              <w:left w:w="0" w:type="dxa"/>
              <w:bottom w:w="0" w:type="dxa"/>
              <w:right w:w="0" w:type="dxa"/>
            </w:tcMar>
          </w:tcPr>
          <w:p>
            <w:pPr>
              <w:spacing w:before="180"/>
              <w:ind w:left="300"/>
            </w:pPr>
            <w:r>
              <w:rPr>
                <w:rFonts w:hint="eastAsia" w:ascii="Times New Roman Bold" w:hAnsi="Times New Roman Bold" w:eastAsia="Times New Roman Bold" w:cs="Times New Roman Bold"/>
                <w:b/>
                <w:sz w:val="21"/>
              </w:rPr>
              <w:t>2014-12-31</w:t>
            </w:r>
          </w:p>
        </w:tc>
      </w:tr>
      <w:tr>
        <w:trPr>
          <w:trHeight w:val="480" w:hRule="exact"/>
        </w:trPr>
        <w:tc>
          <w:tcPr>
            <w:tcW w:w="3460" w:type="dxa"/>
            <w:tcMar>
              <w:top w:w="0" w:type="dxa"/>
              <w:left w:w="0" w:type="dxa"/>
              <w:bottom w:w="0" w:type="dxa"/>
              <w:right w:w="0" w:type="dxa"/>
            </w:tcMar>
          </w:tcPr>
          <w:p>
            <w:pPr>
              <w:spacing w:before="100"/>
            </w:pPr>
            <w:r>
              <w:rPr>
                <w:rFonts w:hint="eastAsia" w:ascii="宋体" w:hAnsi="宋体" w:eastAsia="宋体" w:cs="宋体"/>
                <w:sz w:val="21"/>
              </w:rPr>
              <w:t>资产总计</w:t>
            </w:r>
          </w:p>
        </w:tc>
        <w:tc>
          <w:tcPr>
            <w:tcW w:w="1620" w:type="dxa"/>
            <w:tcMar>
              <w:top w:w="0" w:type="dxa"/>
              <w:left w:w="0" w:type="dxa"/>
              <w:bottom w:w="0" w:type="dxa"/>
              <w:right w:w="0" w:type="dxa"/>
            </w:tcMar>
          </w:tcPr>
          <w:p>
            <w:pPr>
              <w:spacing w:before="140"/>
              <w:ind w:left="62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c>
          <w:tcPr>
            <w:tcW w:w="162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1620" w:type="dxa"/>
            <w:tcMar>
              <w:top w:w="0" w:type="dxa"/>
              <w:left w:w="0" w:type="dxa"/>
              <w:bottom w:w="0" w:type="dxa"/>
              <w:right w:w="0" w:type="dxa"/>
            </w:tcMar>
          </w:tcPr>
          <w:p>
            <w:pPr>
              <w:spacing w:before="140"/>
              <w:ind w:left="62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r>
      <w:tr>
        <w:trPr>
          <w:trHeight w:val="480" w:hRule="exact"/>
        </w:trPr>
        <w:tc>
          <w:tcPr>
            <w:tcW w:w="3460" w:type="dxa"/>
            <w:tcMar>
              <w:top w:w="0" w:type="dxa"/>
              <w:left w:w="0" w:type="dxa"/>
              <w:bottom w:w="0" w:type="dxa"/>
              <w:right w:w="0" w:type="dxa"/>
            </w:tcMar>
          </w:tcPr>
          <w:p>
            <w:pPr>
              <w:spacing w:before="100"/>
            </w:pPr>
            <w:r>
              <w:rPr>
                <w:rFonts w:hint="eastAsia" w:ascii="宋体" w:hAnsi="宋体" w:eastAsia="宋体" w:cs="宋体"/>
                <w:sz w:val="21"/>
              </w:rPr>
              <w:t>负债合计</w:t>
            </w:r>
          </w:p>
        </w:tc>
        <w:tc>
          <w:tcPr>
            <w:tcW w:w="162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62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162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r>
      <w:tr>
        <w:trPr>
          <w:trHeight w:val="480" w:hRule="exact"/>
        </w:trPr>
        <w:tc>
          <w:tcPr>
            <w:tcW w:w="3460" w:type="dxa"/>
            <w:tcMar>
              <w:top w:w="0" w:type="dxa"/>
              <w:left w:w="0" w:type="dxa"/>
              <w:bottom w:w="0" w:type="dxa"/>
              <w:right w:w="0" w:type="dxa"/>
            </w:tcMar>
          </w:tcPr>
          <w:p>
            <w:pPr>
              <w:spacing w:before="120"/>
            </w:pPr>
            <w:r>
              <w:rPr>
                <w:rFonts w:hint="eastAsia" w:ascii="宋体" w:hAnsi="宋体" w:eastAsia="宋体" w:cs="宋体"/>
                <w:sz w:val="21"/>
              </w:rPr>
              <w:t>少数股东权益</w:t>
            </w:r>
          </w:p>
        </w:tc>
        <w:tc>
          <w:tcPr>
            <w:tcW w:w="1620" w:type="dxa"/>
            <w:tcMar>
              <w:top w:w="0" w:type="dxa"/>
              <w:left w:w="0" w:type="dxa"/>
              <w:bottom w:w="0" w:type="dxa"/>
              <w:right w:w="0" w:type="dxa"/>
            </w:tcMar>
          </w:tcPr>
          <w:p>
            <w:pPr>
              <w:spacing w:before="160"/>
              <w:ind w:left="880"/>
            </w:pPr>
            <w:r>
              <w:rPr>
                <w:rFonts w:hint="eastAsia" w:ascii="Times New Roman" w:hAnsi="Times New Roman" w:eastAsia="Times New Roman" w:cs="Times New Roman"/>
                <w:sz w:val="21"/>
              </w:rPr>
              <w:t>448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1620" w:type="dxa"/>
            <w:tcMar>
              <w:top w:w="0" w:type="dxa"/>
              <w:left w:w="0" w:type="dxa"/>
              <w:bottom w:w="0" w:type="dxa"/>
              <w:right w:w="0" w:type="dxa"/>
            </w:tcMar>
          </w:tcPr>
          <w:p>
            <w:pPr>
              <w:spacing w:before="160"/>
              <w:ind w:left="880"/>
            </w:pPr>
            <w:r>
              <w:rPr>
                <w:rFonts w:hint="eastAsia" w:ascii="Times New Roman" w:hAnsi="Times New Roman" w:eastAsia="Times New Roman" w:cs="Times New Roman"/>
                <w:sz w:val="21"/>
              </w:rPr>
              <w:t>523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1620" w:type="dxa"/>
            <w:tcMar>
              <w:top w:w="0" w:type="dxa"/>
              <w:left w:w="0" w:type="dxa"/>
              <w:bottom w:w="0" w:type="dxa"/>
              <w:right w:w="0" w:type="dxa"/>
            </w:tcMar>
          </w:tcPr>
          <w:p>
            <w:pPr>
              <w:spacing w:before="160"/>
              <w:ind w:left="880"/>
            </w:pPr>
            <w:r>
              <w:rPr>
                <w:rFonts w:hint="eastAsia" w:ascii="Times New Roman" w:hAnsi="Times New Roman" w:eastAsia="Times New Roman" w:cs="Times New Roman"/>
                <w:sz w:val="21"/>
              </w:rPr>
              <w:t>161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r>
      <w:tr>
        <w:trPr>
          <w:trHeight w:val="460" w:hRule="exact"/>
        </w:trPr>
        <w:tc>
          <w:tcPr>
            <w:tcW w:w="3460" w:type="dxa"/>
            <w:tcMar>
              <w:top w:w="0" w:type="dxa"/>
              <w:left w:w="0" w:type="dxa"/>
              <w:bottom w:w="0" w:type="dxa"/>
              <w:right w:w="0" w:type="dxa"/>
            </w:tcMar>
          </w:tcPr>
          <w:p>
            <w:pPr>
              <w:spacing w:before="120"/>
            </w:pPr>
            <w:r>
              <w:rPr>
                <w:rFonts w:hint="eastAsia" w:ascii="宋体" w:hAnsi="宋体" w:eastAsia="宋体" w:cs="宋体"/>
                <w:sz w:val="21"/>
              </w:rPr>
              <w:t>归属于母公司股东的权益</w:t>
            </w:r>
          </w:p>
        </w:tc>
        <w:tc>
          <w:tcPr>
            <w:tcW w:w="162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p>
        </w:tc>
        <w:tc>
          <w:tcPr>
            <w:tcW w:w="162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c>
          <w:tcPr>
            <w:tcW w:w="162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r>
    </w:tbl>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宋体" w:hAnsi="宋体" w:eastAsia="宋体" w:cs="宋体"/>
          <w:b/>
          <w:sz w:val="20"/>
        </w:rPr>
        <w:t>（二）</w:t>
      </w:r>
      <w:r>
        <w:rPr>
          <w:rFonts w:hint="eastAsia" w:ascii="宋体" w:hAnsi="宋体" w:eastAsia="宋体" w:cs="宋体"/>
          <w:b/>
          <w:sz w:val="24"/>
        </w:rPr>
        <w:t>合并利润表主要数据</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2"/>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8340" w:type="auto"/>
        <w:tblInd w:w="1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480"/>
        <w:gridCol w:w="1600"/>
        <w:gridCol w:w="1620"/>
        <w:gridCol w:w="1620"/>
      </w:tblGrid>
      <w:tr>
        <w:trPr>
          <w:trHeight w:val="480" w:hRule="exact"/>
        </w:trPr>
        <w:tc>
          <w:tcPr>
            <w:tcW w:w="3480" w:type="dxa"/>
            <w:tcMar>
              <w:top w:w="0" w:type="dxa"/>
              <w:left w:w="0" w:type="dxa"/>
              <w:bottom w:w="0" w:type="dxa"/>
              <w:right w:w="0" w:type="dxa"/>
            </w:tcMar>
          </w:tcPr>
          <w:p>
            <w:pPr>
              <w:spacing w:before="120"/>
              <w:ind w:left="1500"/>
            </w:pPr>
            <w:r>
              <w:rPr>
                <w:rFonts w:hint="eastAsia" w:ascii="宋体" w:hAnsi="宋体" w:eastAsia="宋体" w:cs="宋体"/>
                <w:b/>
                <w:sz w:val="21"/>
              </w:rPr>
              <w:t>项目</w:t>
            </w:r>
          </w:p>
        </w:tc>
        <w:tc>
          <w:tcPr>
            <w:tcW w:w="1600" w:type="dxa"/>
            <w:tcMar>
              <w:top w:w="0" w:type="dxa"/>
              <w:left w:w="0" w:type="dxa"/>
              <w:bottom w:w="0" w:type="dxa"/>
              <w:right w:w="0" w:type="dxa"/>
            </w:tcMar>
          </w:tcPr>
          <w:p>
            <w:pPr>
              <w:spacing w:before="120"/>
              <w:ind w:left="4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tc>
        <w:tc>
          <w:tcPr>
            <w:tcW w:w="1620" w:type="dxa"/>
            <w:tcMar>
              <w:top w:w="0" w:type="dxa"/>
              <w:left w:w="0" w:type="dxa"/>
              <w:bottom w:w="0" w:type="dxa"/>
              <w:right w:w="0" w:type="dxa"/>
            </w:tcMar>
          </w:tcPr>
          <w:p>
            <w:pPr>
              <w:spacing w:before="120"/>
              <w:ind w:left="4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tc>
        <w:tc>
          <w:tcPr>
            <w:tcW w:w="1620" w:type="dxa"/>
            <w:tcMar>
              <w:top w:w="0" w:type="dxa"/>
              <w:left w:w="0" w:type="dxa"/>
              <w:bottom w:w="0" w:type="dxa"/>
              <w:right w:w="0" w:type="dxa"/>
            </w:tcMar>
          </w:tcPr>
          <w:p>
            <w:pPr>
              <w:spacing w:before="120"/>
              <w:ind w:left="4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tc>
      </w:tr>
      <w:tr>
        <w:trPr>
          <w:trHeight w:val="480" w:hRule="exact"/>
        </w:trPr>
        <w:tc>
          <w:tcPr>
            <w:tcW w:w="3480" w:type="dxa"/>
            <w:tcMar>
              <w:top w:w="0" w:type="dxa"/>
              <w:left w:w="0" w:type="dxa"/>
              <w:bottom w:w="0" w:type="dxa"/>
              <w:right w:w="0" w:type="dxa"/>
            </w:tcMar>
          </w:tcPr>
          <w:p>
            <w:pPr>
              <w:spacing w:before="100"/>
            </w:pPr>
            <w:r>
              <w:rPr>
                <w:rFonts w:hint="eastAsia" w:ascii="宋体" w:hAnsi="宋体" w:eastAsia="宋体" w:cs="宋体"/>
                <w:sz w:val="21"/>
              </w:rPr>
              <w:t>营业收入</w:t>
            </w:r>
          </w:p>
        </w:tc>
        <w:tc>
          <w:tcPr>
            <w:tcW w:w="160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1620" w:type="dxa"/>
            <w:tcMar>
              <w:top w:w="0" w:type="dxa"/>
              <w:left w:w="0" w:type="dxa"/>
              <w:bottom w:w="0" w:type="dxa"/>
              <w:right w:w="0" w:type="dxa"/>
            </w:tcMar>
          </w:tcPr>
          <w:p>
            <w:pPr>
              <w:spacing w:before="160"/>
              <w:ind w:left="70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162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r>
        <w:trPr>
          <w:trHeight w:val="460" w:hRule="exact"/>
        </w:trPr>
        <w:tc>
          <w:tcPr>
            <w:tcW w:w="3480" w:type="dxa"/>
            <w:tcMar>
              <w:top w:w="0" w:type="dxa"/>
              <w:left w:w="0" w:type="dxa"/>
              <w:bottom w:w="0" w:type="dxa"/>
              <w:right w:w="0" w:type="dxa"/>
            </w:tcMar>
          </w:tcPr>
          <w:p>
            <w:pPr>
              <w:spacing w:before="100"/>
            </w:pPr>
            <w:r>
              <w:rPr>
                <w:rFonts w:hint="eastAsia" w:ascii="宋体" w:hAnsi="宋体" w:eastAsia="宋体" w:cs="宋体"/>
                <w:sz w:val="21"/>
              </w:rPr>
              <w:t>营业利润</w:t>
            </w:r>
          </w:p>
        </w:tc>
        <w:tc>
          <w:tcPr>
            <w:tcW w:w="1600" w:type="dxa"/>
            <w:tcMar>
              <w:top w:w="0" w:type="dxa"/>
              <w:left w:w="0" w:type="dxa"/>
              <w:bottom w:w="0" w:type="dxa"/>
              <w:right w:w="0" w:type="dxa"/>
            </w:tcMar>
          </w:tcPr>
          <w:p>
            <w:pPr>
              <w:spacing w:before="160"/>
              <w:ind w:left="7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p>
        </w:tc>
        <w:tc>
          <w:tcPr>
            <w:tcW w:w="1620" w:type="dxa"/>
            <w:tcMar>
              <w:top w:w="0" w:type="dxa"/>
              <w:left w:w="0" w:type="dxa"/>
              <w:bottom w:w="0" w:type="dxa"/>
              <w:right w:w="0" w:type="dxa"/>
            </w:tcMar>
          </w:tcPr>
          <w:p>
            <w:pPr>
              <w:spacing w:before="160"/>
              <w:ind w:left="8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p>
        </w:tc>
        <w:tc>
          <w:tcPr>
            <w:tcW w:w="1620" w:type="dxa"/>
            <w:tcMar>
              <w:top w:w="0" w:type="dxa"/>
              <w:left w:w="0" w:type="dxa"/>
              <w:bottom w:w="0" w:type="dxa"/>
              <w:right w:w="0" w:type="dxa"/>
            </w:tcMar>
          </w:tcPr>
          <w:p>
            <w:pPr>
              <w:spacing w:before="160"/>
              <w:ind w:left="8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r>
      <w:tr>
        <w:trPr>
          <w:trHeight w:val="480" w:hRule="exact"/>
        </w:trPr>
        <w:tc>
          <w:tcPr>
            <w:tcW w:w="3480" w:type="dxa"/>
            <w:tcMar>
              <w:top w:w="0" w:type="dxa"/>
              <w:left w:w="0" w:type="dxa"/>
              <w:bottom w:w="0" w:type="dxa"/>
              <w:right w:w="0" w:type="dxa"/>
            </w:tcMar>
          </w:tcPr>
          <w:p>
            <w:pPr>
              <w:spacing w:before="120"/>
            </w:pPr>
            <w:r>
              <w:rPr>
                <w:rFonts w:hint="eastAsia" w:ascii="宋体" w:hAnsi="宋体" w:eastAsia="宋体" w:cs="宋体"/>
                <w:sz w:val="21"/>
              </w:rPr>
              <w:t>利润总额</w:t>
            </w:r>
          </w:p>
        </w:tc>
        <w:tc>
          <w:tcPr>
            <w:tcW w:w="1600" w:type="dxa"/>
            <w:tcMar>
              <w:top w:w="0" w:type="dxa"/>
              <w:left w:w="0" w:type="dxa"/>
              <w:bottom w:w="0" w:type="dxa"/>
              <w:right w:w="0" w:type="dxa"/>
            </w:tcMar>
          </w:tcPr>
          <w:p>
            <w:pPr>
              <w:spacing w:before="180"/>
              <w:ind w:left="78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p>
        </w:tc>
        <w:tc>
          <w:tcPr>
            <w:tcW w:w="1620" w:type="dxa"/>
            <w:tcMar>
              <w:top w:w="0" w:type="dxa"/>
              <w:left w:w="0" w:type="dxa"/>
              <w:bottom w:w="0" w:type="dxa"/>
              <w:right w:w="0" w:type="dxa"/>
            </w:tcMar>
          </w:tcPr>
          <w:p>
            <w:pPr>
              <w:spacing w:before="180"/>
              <w:ind w:left="80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p>
        </w:tc>
        <w:tc>
          <w:tcPr>
            <w:tcW w:w="1620" w:type="dxa"/>
            <w:tcMar>
              <w:top w:w="0" w:type="dxa"/>
              <w:left w:w="0" w:type="dxa"/>
              <w:bottom w:w="0" w:type="dxa"/>
              <w:right w:w="0" w:type="dxa"/>
            </w:tcMar>
          </w:tcPr>
          <w:p>
            <w:pPr>
              <w:spacing w:before="180"/>
              <w:ind w:left="8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r>
      <w:tr>
        <w:trPr>
          <w:trHeight w:val="480" w:hRule="exact"/>
        </w:trPr>
        <w:tc>
          <w:tcPr>
            <w:tcW w:w="3480" w:type="dxa"/>
            <w:tcMar>
              <w:top w:w="0" w:type="dxa"/>
              <w:left w:w="0" w:type="dxa"/>
              <w:bottom w:w="0" w:type="dxa"/>
              <w:right w:w="0" w:type="dxa"/>
            </w:tcMar>
          </w:tcPr>
          <w:p>
            <w:pPr>
              <w:spacing w:before="120"/>
            </w:pPr>
            <w:r>
              <w:rPr>
                <w:rFonts w:hint="eastAsia" w:ascii="宋体" w:hAnsi="宋体" w:eastAsia="宋体" w:cs="宋体"/>
                <w:sz w:val="21"/>
              </w:rPr>
              <w:t>净利润</w:t>
            </w:r>
            <w:r>
              <w:rPr>
                <w:rFonts w:hint="eastAsia" w:ascii="宋体" w:hAnsi="宋体" w:eastAsia="宋体" w:cs="宋体"/>
                <w:sz w:val="20"/>
              </w:rPr>
              <w:t>（</w:t>
            </w:r>
            <w:r>
              <w:rPr>
                <w:rFonts w:hint="eastAsia" w:ascii="宋体" w:hAnsi="宋体" w:eastAsia="宋体" w:cs="宋体"/>
                <w:sz w:val="21"/>
              </w:rPr>
              <w:t>归属于母公司</w:t>
            </w:r>
            <w:r>
              <w:rPr>
                <w:rFonts w:hint="eastAsia" w:ascii="宋体" w:hAnsi="宋体" w:eastAsia="宋体" w:cs="宋体"/>
                <w:sz w:val="20"/>
              </w:rPr>
              <w:t>）</w:t>
            </w:r>
          </w:p>
        </w:tc>
        <w:tc>
          <w:tcPr>
            <w:tcW w:w="1600" w:type="dxa"/>
            <w:tcMar>
              <w:top w:w="0" w:type="dxa"/>
              <w:left w:w="0" w:type="dxa"/>
              <w:bottom w:w="0" w:type="dxa"/>
              <w:right w:w="0" w:type="dxa"/>
            </w:tcMar>
          </w:tcPr>
          <w:p>
            <w:pPr>
              <w:spacing w:before="180"/>
              <w:ind w:left="78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1620" w:type="dxa"/>
            <w:tcMar>
              <w:top w:w="0" w:type="dxa"/>
              <w:left w:w="0" w:type="dxa"/>
              <w:bottom w:w="0" w:type="dxa"/>
              <w:right w:w="0" w:type="dxa"/>
            </w:tcMar>
          </w:tcPr>
          <w:p>
            <w:pPr>
              <w:spacing w:before="180"/>
              <w:ind w:left="8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c>
          <w:tcPr>
            <w:tcW w:w="1620" w:type="dxa"/>
            <w:tcMar>
              <w:top w:w="0" w:type="dxa"/>
              <w:left w:w="0" w:type="dxa"/>
              <w:bottom w:w="0" w:type="dxa"/>
              <w:right w:w="0" w:type="dxa"/>
            </w:tcMar>
          </w:tcPr>
          <w:p>
            <w:pPr>
              <w:spacing w:before="180"/>
              <w:ind w:left="8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1-1-28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340" w:type="auto"/>
        <w:tblInd w:w="1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480"/>
        <w:gridCol w:w="1600"/>
        <w:gridCol w:w="1620"/>
        <w:gridCol w:w="1620"/>
      </w:tblGrid>
      <w:tr>
        <w:trPr>
          <w:trHeight w:val="480" w:hRule="exact"/>
        </w:trPr>
        <w:tc>
          <w:tcPr>
            <w:tcW w:w="3480" w:type="dxa"/>
            <w:tcMar>
              <w:top w:w="0" w:type="dxa"/>
              <w:left w:w="0" w:type="dxa"/>
              <w:bottom w:w="0" w:type="dxa"/>
              <w:right w:w="0" w:type="dxa"/>
            </w:tcMar>
          </w:tcPr>
          <w:p>
            <w:pPr>
              <w:spacing w:before="100"/>
              <w:ind w:left="1500"/>
            </w:pPr>
            <w:r>
              <w:rPr>
                <w:rFonts w:hint="eastAsia" w:ascii="宋体" w:hAnsi="宋体" w:eastAsia="宋体" w:cs="宋体"/>
                <w:b/>
                <w:sz w:val="21"/>
              </w:rPr>
              <w:t>项目</w:t>
            </w:r>
          </w:p>
        </w:tc>
        <w:tc>
          <w:tcPr>
            <w:tcW w:w="1600" w:type="dxa"/>
            <w:tcMar>
              <w:top w:w="0" w:type="dxa"/>
              <w:left w:w="0" w:type="dxa"/>
              <w:bottom w:w="0" w:type="dxa"/>
              <w:right w:w="0" w:type="dxa"/>
            </w:tcMar>
          </w:tcPr>
          <w:p>
            <w:pPr>
              <w:spacing w:before="100"/>
              <w:ind w:left="4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tc>
        <w:tc>
          <w:tcPr>
            <w:tcW w:w="1620" w:type="dxa"/>
            <w:tcMar>
              <w:top w:w="0" w:type="dxa"/>
              <w:left w:w="0" w:type="dxa"/>
              <w:bottom w:w="0" w:type="dxa"/>
              <w:right w:w="0" w:type="dxa"/>
            </w:tcMar>
          </w:tcPr>
          <w:p>
            <w:pPr>
              <w:spacing w:before="100"/>
              <w:ind w:left="4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tc>
        <w:tc>
          <w:tcPr>
            <w:tcW w:w="1620" w:type="dxa"/>
            <w:tcMar>
              <w:top w:w="0" w:type="dxa"/>
              <w:left w:w="0" w:type="dxa"/>
              <w:bottom w:w="0" w:type="dxa"/>
              <w:right w:w="0" w:type="dxa"/>
            </w:tcMar>
          </w:tcPr>
          <w:p>
            <w:pPr>
              <w:spacing w:before="100"/>
              <w:ind w:left="4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tc>
      </w:tr>
      <w:tr>
        <w:trPr>
          <w:trHeight w:val="940" w:hRule="exact"/>
        </w:trPr>
        <w:tc>
          <w:tcPr>
            <w:tcW w:w="3480" w:type="dxa"/>
            <w:tcMar>
              <w:top w:w="0" w:type="dxa"/>
              <w:left w:w="0" w:type="dxa"/>
              <w:bottom w:w="0" w:type="dxa"/>
              <w:right w:w="0" w:type="dxa"/>
            </w:tcMar>
          </w:tcPr>
          <w:p>
            <w:pPr>
              <w:spacing w:before="100"/>
            </w:pPr>
            <w:r>
              <w:rPr>
                <w:rFonts w:hint="eastAsia" w:ascii="宋体" w:hAnsi="宋体" w:eastAsia="宋体" w:cs="宋体"/>
                <w:sz w:val="21"/>
              </w:rPr>
              <w:t>扣除非经常性损益后的净利润</w:t>
            </w:r>
            <w:r>
              <w:rPr>
                <w:rFonts w:hint="eastAsia" w:ascii="宋体" w:hAnsi="宋体" w:eastAsia="宋体" w:cs="宋体"/>
                <w:sz w:val="20"/>
              </w:rPr>
              <w:t>（</w:t>
            </w:r>
            <w:r>
              <w:rPr>
                <w:rFonts w:hint="eastAsia" w:ascii="宋体" w:hAnsi="宋体" w:eastAsia="宋体" w:cs="宋体"/>
                <w:sz w:val="21"/>
              </w:rPr>
              <w:t>归属</w:t>
            </w:r>
          </w:p>
          <w:p>
            <w:pPr>
              <w:spacing w:before="260"/>
            </w:pPr>
            <w:r>
              <w:rPr>
                <w:rFonts w:hint="eastAsia" w:ascii="宋体" w:hAnsi="宋体" w:eastAsia="宋体" w:cs="宋体"/>
                <w:sz w:val="21"/>
              </w:rPr>
              <w:t>于母公司</w:t>
            </w:r>
            <w:r>
              <w:rPr>
                <w:rFonts w:hint="eastAsia" w:ascii="宋体" w:hAnsi="宋体" w:eastAsia="宋体" w:cs="宋体"/>
                <w:sz w:val="20"/>
              </w:rPr>
              <w:t>）</w:t>
            </w:r>
          </w:p>
        </w:tc>
        <w:tc>
          <w:tcPr>
            <w:tcW w:w="1600" w:type="dxa"/>
            <w:tcMar>
              <w:top w:w="0" w:type="dxa"/>
              <w:left w:w="0" w:type="dxa"/>
              <w:bottom w:w="0" w:type="dxa"/>
              <w:right w:w="0" w:type="dxa"/>
            </w:tcMar>
          </w:tcPr>
          <w:p>
            <w:pPr>
              <w:spacing w:before="400"/>
              <w:ind w:left="7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1620" w:type="dxa"/>
            <w:tcMar>
              <w:top w:w="0" w:type="dxa"/>
              <w:left w:w="0" w:type="dxa"/>
              <w:bottom w:w="0" w:type="dxa"/>
              <w:right w:w="0" w:type="dxa"/>
            </w:tcMar>
          </w:tcPr>
          <w:p>
            <w:pPr>
              <w:spacing w:before="400"/>
              <w:ind w:left="8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1620" w:type="dxa"/>
            <w:tcMar>
              <w:top w:w="0" w:type="dxa"/>
              <w:left w:w="0" w:type="dxa"/>
              <w:bottom w:w="0" w:type="dxa"/>
              <w:right w:w="0" w:type="dxa"/>
            </w:tcMar>
          </w:tcPr>
          <w:p>
            <w:pPr>
              <w:spacing w:before="400"/>
              <w:ind w:left="8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bl>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宋体" w:hAnsi="宋体" w:eastAsia="宋体" w:cs="宋体"/>
          <w:b/>
          <w:sz w:val="20"/>
        </w:rPr>
        <w:t>（</w:t>
      </w:r>
      <w:r>
        <w:rPr>
          <w:rFonts w:hint="eastAsia" w:ascii="宋体" w:hAnsi="宋体" w:eastAsia="宋体" w:cs="宋体"/>
          <w:b/>
          <w:sz w:val="24"/>
        </w:rPr>
        <w:t>三）合并现金流量表主要数据</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8340" w:type="auto"/>
        <w:tblInd w:w="1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480"/>
        <w:gridCol w:w="1600"/>
        <w:gridCol w:w="1620"/>
        <w:gridCol w:w="1620"/>
      </w:tblGrid>
      <w:tr>
        <w:trPr>
          <w:trHeight w:val="480" w:hRule="exact"/>
        </w:trPr>
        <w:tc>
          <w:tcPr>
            <w:tcW w:w="3480" w:type="dxa"/>
            <w:tcMar>
              <w:top w:w="0" w:type="dxa"/>
              <w:left w:w="0" w:type="dxa"/>
              <w:bottom w:w="0" w:type="dxa"/>
              <w:right w:w="0" w:type="dxa"/>
            </w:tcMar>
          </w:tcPr>
          <w:p>
            <w:pPr>
              <w:spacing w:before="120"/>
              <w:ind w:left="1500"/>
            </w:pPr>
            <w:r>
              <w:rPr>
                <w:rFonts w:hint="eastAsia" w:ascii="宋体" w:hAnsi="宋体" w:eastAsia="宋体" w:cs="宋体"/>
                <w:b/>
                <w:sz w:val="21"/>
              </w:rPr>
              <w:t>项目</w:t>
            </w:r>
          </w:p>
        </w:tc>
        <w:tc>
          <w:tcPr>
            <w:tcW w:w="1600" w:type="dxa"/>
            <w:tcMar>
              <w:top w:w="0" w:type="dxa"/>
              <w:left w:w="0" w:type="dxa"/>
              <w:bottom w:w="0" w:type="dxa"/>
              <w:right w:w="0" w:type="dxa"/>
            </w:tcMar>
          </w:tcPr>
          <w:p>
            <w:pPr>
              <w:spacing w:before="120"/>
              <w:ind w:left="4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tc>
        <w:tc>
          <w:tcPr>
            <w:tcW w:w="1620" w:type="dxa"/>
            <w:tcMar>
              <w:top w:w="0" w:type="dxa"/>
              <w:left w:w="0" w:type="dxa"/>
              <w:bottom w:w="0" w:type="dxa"/>
              <w:right w:w="0" w:type="dxa"/>
            </w:tcMar>
          </w:tcPr>
          <w:p>
            <w:pPr>
              <w:spacing w:before="120"/>
              <w:ind w:left="4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tc>
        <w:tc>
          <w:tcPr>
            <w:tcW w:w="1620" w:type="dxa"/>
            <w:tcMar>
              <w:top w:w="0" w:type="dxa"/>
              <w:left w:w="0" w:type="dxa"/>
              <w:bottom w:w="0" w:type="dxa"/>
              <w:right w:w="0" w:type="dxa"/>
            </w:tcMar>
          </w:tcPr>
          <w:p>
            <w:pPr>
              <w:spacing w:before="120"/>
              <w:ind w:left="4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tc>
      </w:tr>
      <w:tr>
        <w:trPr>
          <w:trHeight w:val="480" w:hRule="exact"/>
        </w:trPr>
        <w:tc>
          <w:tcPr>
            <w:tcW w:w="3480" w:type="dxa"/>
            <w:tcMar>
              <w:top w:w="0" w:type="dxa"/>
              <w:left w:w="0" w:type="dxa"/>
              <w:bottom w:w="0" w:type="dxa"/>
              <w:right w:w="0" w:type="dxa"/>
            </w:tcMar>
          </w:tcPr>
          <w:p>
            <w:pPr>
              <w:spacing w:before="120"/>
            </w:pPr>
            <w:r>
              <w:rPr>
                <w:rFonts w:hint="eastAsia" w:ascii="宋体" w:hAnsi="宋体" w:eastAsia="宋体" w:cs="宋体"/>
                <w:sz w:val="21"/>
              </w:rPr>
              <w:t>经营活动产生的现金流量净额</w:t>
            </w:r>
          </w:p>
        </w:tc>
        <w:tc>
          <w:tcPr>
            <w:tcW w:w="1600" w:type="dxa"/>
            <w:tcMar>
              <w:top w:w="0" w:type="dxa"/>
              <w:left w:w="0" w:type="dxa"/>
              <w:bottom w:w="0" w:type="dxa"/>
              <w:right w:w="0" w:type="dxa"/>
            </w:tcMar>
          </w:tcPr>
          <w:p>
            <w:pPr>
              <w:spacing w:before="180"/>
              <w:ind w:left="7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c>
          <w:tcPr>
            <w:tcW w:w="1620" w:type="dxa"/>
            <w:tcMar>
              <w:top w:w="0" w:type="dxa"/>
              <w:left w:w="0" w:type="dxa"/>
              <w:bottom w:w="0" w:type="dxa"/>
              <w:right w:w="0" w:type="dxa"/>
            </w:tcMar>
          </w:tcPr>
          <w:p>
            <w:pPr>
              <w:spacing w:before="180"/>
              <w:ind w:left="6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w:t>
            </w:r>
          </w:p>
        </w:tc>
        <w:tc>
          <w:tcPr>
            <w:tcW w:w="1620" w:type="dxa"/>
            <w:tcMar>
              <w:top w:w="0" w:type="dxa"/>
              <w:left w:w="0" w:type="dxa"/>
              <w:bottom w:w="0" w:type="dxa"/>
              <w:right w:w="0" w:type="dxa"/>
            </w:tcMar>
          </w:tcPr>
          <w:p>
            <w:pPr>
              <w:spacing w:before="180"/>
              <w:ind w:left="76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r>
      <w:tr>
        <w:trPr>
          <w:trHeight w:val="480" w:hRule="exact"/>
        </w:trPr>
        <w:tc>
          <w:tcPr>
            <w:tcW w:w="3480" w:type="dxa"/>
            <w:tcMar>
              <w:top w:w="0" w:type="dxa"/>
              <w:left w:w="0" w:type="dxa"/>
              <w:bottom w:w="0" w:type="dxa"/>
              <w:right w:w="0" w:type="dxa"/>
            </w:tcMar>
          </w:tcPr>
          <w:p>
            <w:pPr>
              <w:spacing w:before="120"/>
            </w:pPr>
            <w:r>
              <w:rPr>
                <w:rFonts w:hint="eastAsia" w:ascii="宋体" w:hAnsi="宋体" w:eastAsia="宋体" w:cs="宋体"/>
                <w:sz w:val="21"/>
              </w:rPr>
              <w:t>投资活动产生的现金流量净额</w:t>
            </w:r>
          </w:p>
        </w:tc>
        <w:tc>
          <w:tcPr>
            <w:tcW w:w="1600" w:type="dxa"/>
            <w:tcMar>
              <w:top w:w="0" w:type="dxa"/>
              <w:left w:w="0" w:type="dxa"/>
              <w:bottom w:w="0" w:type="dxa"/>
              <w:right w:w="0" w:type="dxa"/>
            </w:tcMar>
          </w:tcPr>
          <w:p>
            <w:pPr>
              <w:spacing w:before="140"/>
              <w:ind w:left="820"/>
            </w:pPr>
            <w:r>
              <w:rPr>
                <w:rFonts w:hint="eastAsia" w:ascii="Times New Roman" w:hAnsi="Times New Roman" w:eastAsia="Times New Roman" w:cs="Times New Roman"/>
                <w:sz w:val="21"/>
              </w:rPr>
              <w:t>-344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1620" w:type="dxa"/>
            <w:tcMar>
              <w:top w:w="0" w:type="dxa"/>
              <w:left w:w="0" w:type="dxa"/>
              <w:bottom w:w="0" w:type="dxa"/>
              <w:right w:w="0" w:type="dxa"/>
            </w:tcMar>
          </w:tcPr>
          <w:p>
            <w:pPr>
              <w:spacing w:before="140"/>
              <w:ind w:left="840"/>
            </w:pPr>
            <w:r>
              <w:rPr>
                <w:rFonts w:hint="eastAsia" w:ascii="Times New Roman" w:hAnsi="Times New Roman" w:eastAsia="Times New Roman" w:cs="Times New Roman"/>
                <w:sz w:val="21"/>
              </w:rPr>
              <w:t>-438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p>
        </w:tc>
        <w:tc>
          <w:tcPr>
            <w:tcW w:w="162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r>
      <w:tr>
        <w:trPr>
          <w:trHeight w:val="480" w:hRule="exact"/>
        </w:trPr>
        <w:tc>
          <w:tcPr>
            <w:tcW w:w="3480" w:type="dxa"/>
            <w:tcMar>
              <w:top w:w="0" w:type="dxa"/>
              <w:left w:w="0" w:type="dxa"/>
              <w:bottom w:w="0" w:type="dxa"/>
              <w:right w:w="0" w:type="dxa"/>
            </w:tcMar>
          </w:tcPr>
          <w:p>
            <w:pPr>
              <w:spacing w:before="120"/>
            </w:pPr>
            <w:r>
              <w:rPr>
                <w:rFonts w:hint="eastAsia" w:ascii="宋体" w:hAnsi="宋体" w:eastAsia="宋体" w:cs="宋体"/>
                <w:sz w:val="21"/>
              </w:rPr>
              <w:t>筹资活动产生的现金流量净额</w:t>
            </w:r>
          </w:p>
        </w:tc>
        <w:tc>
          <w:tcPr>
            <w:tcW w:w="1600" w:type="dxa"/>
            <w:tcMar>
              <w:top w:w="0" w:type="dxa"/>
              <w:left w:w="0" w:type="dxa"/>
              <w:bottom w:w="0" w:type="dxa"/>
              <w:right w:w="0" w:type="dxa"/>
            </w:tcMar>
          </w:tcPr>
          <w:p>
            <w:pPr>
              <w:spacing w:before="140"/>
              <w:ind w:left="92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62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162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r>
        <w:trPr>
          <w:trHeight w:val="480" w:hRule="exact"/>
        </w:trPr>
        <w:tc>
          <w:tcPr>
            <w:tcW w:w="3480" w:type="dxa"/>
            <w:tcMar>
              <w:top w:w="0" w:type="dxa"/>
              <w:left w:w="0" w:type="dxa"/>
              <w:bottom w:w="0" w:type="dxa"/>
              <w:right w:w="0" w:type="dxa"/>
            </w:tcMar>
          </w:tcPr>
          <w:p>
            <w:pPr>
              <w:spacing w:before="100"/>
            </w:pPr>
            <w:r>
              <w:rPr>
                <w:rFonts w:hint="eastAsia" w:ascii="宋体" w:hAnsi="宋体" w:eastAsia="宋体" w:cs="宋体"/>
                <w:sz w:val="21"/>
              </w:rPr>
              <w:t>汇率变动对现金的影响额</w:t>
            </w:r>
          </w:p>
        </w:tc>
        <w:tc>
          <w:tcPr>
            <w:tcW w:w="1600" w:type="dxa"/>
            <w:tcMar>
              <w:top w:w="0" w:type="dxa"/>
              <w:left w:w="0" w:type="dxa"/>
              <w:bottom w:w="0" w:type="dxa"/>
              <w:right w:w="0" w:type="dxa"/>
            </w:tcMar>
          </w:tcPr>
          <w:p>
            <w:pPr>
              <w:spacing w:before="300"/>
              <w:ind w:left="1400"/>
            </w:pPr>
            <w:r>
              <w:rPr>
                <w:rFonts w:hint="eastAsia" w:ascii="Times New Roman" w:hAnsi="Times New Roman" w:eastAsia="Times New Roman" w:cs="Times New Roman"/>
                <w:sz w:val="21"/>
              </w:rPr>
              <w:t>-</w:t>
            </w:r>
          </w:p>
        </w:tc>
        <w:tc>
          <w:tcPr>
            <w:tcW w:w="1620" w:type="dxa"/>
            <w:tcMar>
              <w:top w:w="0" w:type="dxa"/>
              <w:left w:w="0" w:type="dxa"/>
              <w:bottom w:w="0" w:type="dxa"/>
              <w:right w:w="0" w:type="dxa"/>
            </w:tcMar>
          </w:tcPr>
          <w:p>
            <w:pPr>
              <w:spacing w:before="300"/>
              <w:ind w:left="1420"/>
            </w:pPr>
            <w:r>
              <w:rPr>
                <w:rFonts w:hint="eastAsia" w:ascii="Times New Roman" w:hAnsi="Times New Roman" w:eastAsia="Times New Roman" w:cs="Times New Roman"/>
                <w:sz w:val="21"/>
              </w:rPr>
              <w:t>-</w:t>
            </w:r>
          </w:p>
        </w:tc>
        <w:tc>
          <w:tcPr>
            <w:tcW w:w="1620" w:type="dxa"/>
            <w:tcMar>
              <w:top w:w="0" w:type="dxa"/>
              <w:left w:w="0" w:type="dxa"/>
              <w:bottom w:w="0" w:type="dxa"/>
              <w:right w:w="0" w:type="dxa"/>
            </w:tcMar>
          </w:tcPr>
          <w:p>
            <w:pPr>
              <w:spacing w:before="300"/>
              <w:ind w:left="1400"/>
            </w:pPr>
            <w:r>
              <w:rPr>
                <w:rFonts w:hint="eastAsia" w:ascii="Times New Roman" w:hAnsi="Times New Roman" w:eastAsia="Times New Roman" w:cs="Times New Roman"/>
                <w:sz w:val="21"/>
              </w:rPr>
              <w:t>-</w:t>
            </w:r>
          </w:p>
        </w:tc>
      </w:tr>
      <w:tr>
        <w:trPr>
          <w:trHeight w:val="460" w:hRule="exact"/>
        </w:trPr>
        <w:tc>
          <w:tcPr>
            <w:tcW w:w="3480" w:type="dxa"/>
            <w:tcMar>
              <w:top w:w="0" w:type="dxa"/>
              <w:left w:w="0" w:type="dxa"/>
              <w:bottom w:w="0" w:type="dxa"/>
              <w:right w:w="0" w:type="dxa"/>
            </w:tcMar>
          </w:tcPr>
          <w:p>
            <w:pPr>
              <w:spacing w:before="100"/>
            </w:pPr>
            <w:r>
              <w:rPr>
                <w:rFonts w:hint="eastAsia" w:ascii="宋体" w:hAnsi="宋体" w:eastAsia="宋体" w:cs="宋体"/>
                <w:sz w:val="21"/>
              </w:rPr>
              <w:t>现金及现金等价物净增加额</w:t>
            </w:r>
          </w:p>
        </w:tc>
        <w:tc>
          <w:tcPr>
            <w:tcW w:w="160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c>
          <w:tcPr>
            <w:tcW w:w="162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w:t>
            </w:r>
          </w:p>
        </w:tc>
        <w:tc>
          <w:tcPr>
            <w:tcW w:w="162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r>
    </w:tbl>
    <w:p>
      <w:pPr>
        <w:spacing w:line="200" w:lineRule="exact"/>
        <w:rPr>
          <w:rFonts w:hint="eastAsia" w:ascii="宋体" w:hAnsi="宋体" w:eastAsia="宋体" w:cs="宋体"/>
          <w:sz w:val="20"/>
        </w:rPr>
      </w:pPr>
    </w:p>
    <w:p>
      <w:pPr>
        <w:autoSpaceDE w:val="false"/>
        <w:autoSpaceDN w:val="false"/>
        <w:spacing w:line="340" w:lineRule="exact"/>
        <w:ind w:left="1800"/>
        <w:jc w:val="both"/>
      </w:pPr>
      <w:r>
        <w:rPr>
          <w:rFonts w:hint="eastAsia" w:ascii="宋体" w:hAnsi="宋体" w:eastAsia="宋体" w:cs="宋体"/>
          <w:b/>
          <w:sz w:val="20"/>
        </w:rPr>
        <w:t>（</w:t>
      </w:r>
      <w:r>
        <w:rPr>
          <w:rFonts w:hint="eastAsia" w:ascii="宋体" w:hAnsi="宋体" w:eastAsia="宋体" w:cs="宋体"/>
          <w:b/>
          <w:sz w:val="24"/>
        </w:rPr>
        <w:t>四）主要财务指标</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340" w:type="auto"/>
        <w:tblInd w:w="1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380"/>
        <w:gridCol w:w="1640"/>
        <w:gridCol w:w="1660"/>
        <w:gridCol w:w="1640"/>
      </w:tblGrid>
      <w:tr>
        <w:trPr>
          <w:trHeight w:val="480" w:hRule="exact"/>
        </w:trPr>
        <w:tc>
          <w:tcPr>
            <w:tcW w:w="3380" w:type="dxa"/>
            <w:tcMar>
              <w:top w:w="0" w:type="dxa"/>
              <w:left w:w="0" w:type="dxa"/>
              <w:bottom w:w="0" w:type="dxa"/>
              <w:right w:w="0" w:type="dxa"/>
            </w:tcMar>
          </w:tcPr>
          <w:p>
            <w:pPr>
              <w:spacing w:before="120"/>
              <w:ind w:left="1460"/>
            </w:pPr>
            <w:r>
              <w:rPr>
                <w:rFonts w:hint="eastAsia" w:ascii="宋体" w:hAnsi="宋体" w:eastAsia="宋体" w:cs="宋体"/>
                <w:b/>
                <w:sz w:val="21"/>
              </w:rPr>
              <w:t>项目</w:t>
            </w:r>
          </w:p>
        </w:tc>
        <w:tc>
          <w:tcPr>
            <w:tcW w:w="1640" w:type="dxa"/>
            <w:tcMar>
              <w:top w:w="0" w:type="dxa"/>
              <w:left w:w="0" w:type="dxa"/>
              <w:bottom w:w="0" w:type="dxa"/>
              <w:right w:w="0" w:type="dxa"/>
            </w:tcMar>
          </w:tcPr>
          <w:p>
            <w:pPr>
              <w:spacing w:before="180"/>
              <w:ind w:left="320"/>
            </w:pPr>
            <w:r>
              <w:rPr>
                <w:rFonts w:hint="eastAsia" w:ascii="Times New Roman Bold" w:hAnsi="Times New Roman Bold" w:eastAsia="Times New Roman Bold" w:cs="Times New Roman Bold"/>
                <w:b/>
                <w:sz w:val="21"/>
              </w:rPr>
              <w:t>2016-12-31</w:t>
            </w:r>
          </w:p>
        </w:tc>
        <w:tc>
          <w:tcPr>
            <w:tcW w:w="1660" w:type="dxa"/>
            <w:tcMar>
              <w:top w:w="0" w:type="dxa"/>
              <w:left w:w="0" w:type="dxa"/>
              <w:bottom w:w="0" w:type="dxa"/>
              <w:right w:w="0" w:type="dxa"/>
            </w:tcMar>
          </w:tcPr>
          <w:p>
            <w:pPr>
              <w:spacing w:before="180"/>
              <w:ind w:left="320"/>
            </w:pPr>
            <w:r>
              <w:rPr>
                <w:rFonts w:hint="eastAsia" w:ascii="Times New Roman Bold" w:hAnsi="Times New Roman Bold" w:eastAsia="Times New Roman Bold" w:cs="Times New Roman Bold"/>
                <w:b/>
                <w:sz w:val="21"/>
              </w:rPr>
              <w:t>2015-12-31</w:t>
            </w:r>
          </w:p>
        </w:tc>
        <w:tc>
          <w:tcPr>
            <w:tcW w:w="1640" w:type="dxa"/>
            <w:tcMar>
              <w:top w:w="0" w:type="dxa"/>
              <w:left w:w="0" w:type="dxa"/>
              <w:bottom w:w="0" w:type="dxa"/>
              <w:right w:w="0" w:type="dxa"/>
            </w:tcMar>
          </w:tcPr>
          <w:p>
            <w:pPr>
              <w:spacing w:before="180"/>
              <w:ind w:left="320"/>
            </w:pPr>
            <w:r>
              <w:rPr>
                <w:rFonts w:hint="eastAsia" w:ascii="Times New Roman Bold" w:hAnsi="Times New Roman Bold" w:eastAsia="Times New Roman Bold" w:cs="Times New Roman Bold"/>
                <w:b/>
                <w:sz w:val="21"/>
              </w:rPr>
              <w:t>2014-12-31</w:t>
            </w:r>
          </w:p>
        </w:tc>
      </w:tr>
      <w:tr>
        <w:trPr>
          <w:trHeight w:val="480" w:hRule="exact"/>
        </w:trPr>
        <w:tc>
          <w:tcPr>
            <w:tcW w:w="3380" w:type="dxa"/>
            <w:tcMar>
              <w:top w:w="0" w:type="dxa"/>
              <w:left w:w="0" w:type="dxa"/>
              <w:bottom w:w="0" w:type="dxa"/>
              <w:right w:w="0" w:type="dxa"/>
            </w:tcMar>
          </w:tcPr>
          <w:p>
            <w:pPr>
              <w:spacing w:before="120"/>
            </w:pPr>
            <w:r>
              <w:rPr>
                <w:rFonts w:hint="eastAsia" w:ascii="宋体" w:hAnsi="宋体" w:eastAsia="宋体" w:cs="宋体"/>
                <w:sz w:val="21"/>
              </w:rPr>
              <w:t>流动比率</w:t>
            </w:r>
          </w:p>
        </w:tc>
        <w:tc>
          <w:tcPr>
            <w:tcW w:w="164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166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164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r>
      <w:tr>
        <w:trPr>
          <w:trHeight w:val="480" w:hRule="exact"/>
        </w:trPr>
        <w:tc>
          <w:tcPr>
            <w:tcW w:w="3380" w:type="dxa"/>
            <w:tcMar>
              <w:top w:w="0" w:type="dxa"/>
              <w:left w:w="0" w:type="dxa"/>
              <w:bottom w:w="0" w:type="dxa"/>
              <w:right w:w="0" w:type="dxa"/>
            </w:tcMar>
          </w:tcPr>
          <w:p>
            <w:pPr>
              <w:spacing w:before="120"/>
            </w:pPr>
            <w:r>
              <w:rPr>
                <w:rFonts w:hint="eastAsia" w:ascii="宋体" w:hAnsi="宋体" w:eastAsia="宋体" w:cs="宋体"/>
                <w:sz w:val="21"/>
              </w:rPr>
              <w:t>速动比率</w:t>
            </w:r>
          </w:p>
        </w:tc>
        <w:tc>
          <w:tcPr>
            <w:tcW w:w="1640" w:type="dxa"/>
            <w:tcMar>
              <w:top w:w="0" w:type="dxa"/>
              <w:left w:w="0" w:type="dxa"/>
              <w:bottom w:w="0" w:type="dxa"/>
              <w:right w:w="0" w:type="dxa"/>
            </w:tcMar>
          </w:tcPr>
          <w:p>
            <w:pPr>
              <w:spacing w:before="140"/>
              <w:ind w:left="11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660" w:type="dxa"/>
            <w:tcMar>
              <w:top w:w="0" w:type="dxa"/>
              <w:left w:w="0" w:type="dxa"/>
              <w:bottom w:w="0" w:type="dxa"/>
              <w:right w:w="0" w:type="dxa"/>
            </w:tcMar>
          </w:tcPr>
          <w:p>
            <w:pPr>
              <w:spacing w:before="140"/>
              <w:ind w:left="11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164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r>
      <w:tr>
        <w:trPr>
          <w:trHeight w:val="480" w:hRule="exact"/>
        </w:trPr>
        <w:tc>
          <w:tcPr>
            <w:tcW w:w="3380" w:type="dxa"/>
            <w:tcMar>
              <w:top w:w="0" w:type="dxa"/>
              <w:left w:w="0" w:type="dxa"/>
              <w:bottom w:w="0" w:type="dxa"/>
              <w:right w:w="0" w:type="dxa"/>
            </w:tcMar>
          </w:tcPr>
          <w:p>
            <w:pPr>
              <w:spacing w:before="100"/>
            </w:pPr>
            <w:r>
              <w:rPr>
                <w:rFonts w:hint="eastAsia" w:ascii="宋体" w:hAnsi="宋体" w:eastAsia="宋体" w:cs="宋体"/>
                <w:sz w:val="21"/>
              </w:rPr>
              <w:t>资产负债率</w:t>
            </w:r>
            <w:r>
              <w:rPr>
                <w:rFonts w:hint="eastAsia" w:ascii="宋体" w:hAnsi="宋体" w:eastAsia="宋体" w:cs="宋体"/>
                <w:sz w:val="20"/>
              </w:rPr>
              <w:t>（</w:t>
            </w:r>
            <w:r>
              <w:rPr>
                <w:rFonts w:hint="eastAsia" w:ascii="宋体" w:hAnsi="宋体" w:eastAsia="宋体" w:cs="宋体"/>
                <w:sz w:val="21"/>
              </w:rPr>
              <w:t>母公司</w:t>
            </w:r>
            <w:r>
              <w:rPr>
                <w:rFonts w:hint="eastAsia" w:ascii="宋体" w:hAnsi="宋体" w:eastAsia="宋体" w:cs="宋体"/>
                <w:sz w:val="20"/>
              </w:rPr>
              <w:t>）</w:t>
            </w:r>
          </w:p>
        </w:tc>
        <w:tc>
          <w:tcPr>
            <w:tcW w:w="164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c>
          <w:tcPr>
            <w:tcW w:w="166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164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r>
              <w:rPr>
                <w:rFonts w:hint="eastAsia" w:ascii="Times New Roman" w:hAnsi="Times New Roman" w:eastAsia="Times New Roman" w:cs="Times New Roman"/>
                <w:sz w:val="20"/>
              </w:rPr>
              <w:t>%</w:t>
            </w:r>
          </w:p>
        </w:tc>
      </w:tr>
      <w:tr>
        <w:trPr>
          <w:trHeight w:val="480" w:hRule="exact"/>
        </w:trPr>
        <w:tc>
          <w:tcPr>
            <w:tcW w:w="3380" w:type="dxa"/>
            <w:tcMar>
              <w:top w:w="0" w:type="dxa"/>
              <w:left w:w="0" w:type="dxa"/>
              <w:bottom w:w="0" w:type="dxa"/>
              <w:right w:w="0" w:type="dxa"/>
            </w:tcMar>
          </w:tcPr>
          <w:p>
            <w:pPr>
              <w:spacing w:before="100"/>
            </w:pPr>
            <w:r>
              <w:rPr>
                <w:rFonts w:hint="eastAsia" w:ascii="宋体" w:hAnsi="宋体" w:eastAsia="宋体" w:cs="宋体"/>
                <w:sz w:val="21"/>
              </w:rPr>
              <w:t>归属于公司股东的每股净资产</w:t>
            </w:r>
            <w:r>
              <w:rPr>
                <w:rFonts w:hint="eastAsia" w:ascii="宋体" w:hAnsi="宋体" w:eastAsia="宋体" w:cs="宋体"/>
                <w:sz w:val="20"/>
              </w:rPr>
              <w:t>（</w:t>
            </w:r>
            <w:r>
              <w:rPr>
                <w:rFonts w:hint="eastAsia" w:ascii="宋体" w:hAnsi="宋体" w:eastAsia="宋体" w:cs="宋体"/>
                <w:sz w:val="21"/>
              </w:rPr>
              <w:t>元</w:t>
            </w:r>
            <w:r>
              <w:rPr>
                <w:rFonts w:hint="eastAsia" w:ascii="宋体" w:hAnsi="宋体" w:eastAsia="宋体" w:cs="宋体"/>
                <w:sz w:val="20"/>
              </w:rPr>
              <w:t>）</w:t>
            </w:r>
          </w:p>
        </w:tc>
        <w:tc>
          <w:tcPr>
            <w:tcW w:w="164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66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w:t>
            </w:r>
          </w:p>
        </w:tc>
        <w:tc>
          <w:tcPr>
            <w:tcW w:w="164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p>
        </w:tc>
      </w:tr>
      <w:tr>
        <w:trPr>
          <w:trHeight w:val="1400" w:hRule="exact"/>
        </w:trPr>
        <w:tc>
          <w:tcPr>
            <w:tcW w:w="3380" w:type="dxa"/>
            <w:tcMar>
              <w:top w:w="0" w:type="dxa"/>
              <w:left w:w="0" w:type="dxa"/>
              <w:bottom w:w="0" w:type="dxa"/>
              <w:right w:w="0" w:type="dxa"/>
            </w:tcMar>
          </w:tcPr>
          <w:p>
            <w:pPr>
              <w:spacing w:before="100"/>
            </w:pPr>
            <w:r>
              <w:rPr>
                <w:rFonts w:hint="eastAsia" w:ascii="宋体" w:hAnsi="宋体" w:eastAsia="宋体" w:cs="宋体"/>
                <w:sz w:val="21"/>
              </w:rPr>
              <w:t>无形资产</w:t>
            </w:r>
            <w:r>
              <w:rPr>
                <w:rFonts w:hint="eastAsia" w:ascii="宋体" w:hAnsi="宋体" w:eastAsia="宋体" w:cs="宋体"/>
                <w:sz w:val="20"/>
              </w:rPr>
              <w:t>（</w:t>
            </w:r>
            <w:r>
              <w:rPr>
                <w:rFonts w:hint="eastAsia" w:ascii="宋体" w:hAnsi="宋体" w:eastAsia="宋体" w:cs="宋体"/>
                <w:sz w:val="21"/>
              </w:rPr>
              <w:t>扣除土地使用权</w:t>
            </w:r>
            <w:r>
              <w:rPr>
                <w:rFonts w:hint="eastAsia" w:ascii="宋体" w:hAnsi="宋体" w:eastAsia="宋体" w:cs="宋体"/>
                <w:sz w:val="10"/>
              </w:rPr>
              <w:t>、</w:t>
            </w:r>
            <w:r>
              <w:rPr>
                <w:rFonts w:hint="eastAsia" w:ascii="宋体" w:hAnsi="宋体" w:eastAsia="宋体" w:cs="宋体"/>
                <w:sz w:val="21"/>
              </w:rPr>
              <w:t>水面</w:t>
            </w:r>
          </w:p>
          <w:p>
            <w:pPr>
              <w:spacing w:before="260"/>
            </w:pPr>
            <w:r>
              <w:rPr>
                <w:rFonts w:hint="eastAsia" w:ascii="宋体" w:hAnsi="宋体" w:eastAsia="宋体" w:cs="宋体"/>
                <w:sz w:val="21"/>
              </w:rPr>
              <w:t>养殖权和采矿权等后</w:t>
            </w:r>
            <w:r>
              <w:rPr>
                <w:rFonts w:hint="eastAsia" w:ascii="宋体" w:hAnsi="宋体" w:eastAsia="宋体" w:cs="宋体"/>
                <w:sz w:val="20"/>
              </w:rPr>
              <w:t>）</w:t>
            </w:r>
            <w:r>
              <w:rPr>
                <w:rFonts w:hint="eastAsia" w:ascii="宋体" w:hAnsi="宋体" w:eastAsia="宋体" w:cs="宋体"/>
                <w:sz w:val="21"/>
              </w:rPr>
              <w:t>占净资产的</w:t>
            </w:r>
          </w:p>
          <w:p>
            <w:pPr>
              <w:spacing w:before="260"/>
            </w:pPr>
            <w:r>
              <w:rPr>
                <w:rFonts w:hint="eastAsia" w:ascii="宋体" w:hAnsi="宋体" w:eastAsia="宋体" w:cs="宋体"/>
                <w:sz w:val="21"/>
              </w:rPr>
              <w:t>比例</w:t>
            </w:r>
          </w:p>
        </w:tc>
        <w:tc>
          <w:tcPr>
            <w:tcW w:w="1640" w:type="dxa"/>
            <w:tcMar>
              <w:top w:w="0" w:type="dxa"/>
              <w:left w:w="0" w:type="dxa"/>
              <w:bottom w:w="0" w:type="dxa"/>
              <w:right w:w="0" w:type="dxa"/>
            </w:tcMar>
          </w:tcPr>
          <w:p>
            <w:pPr>
              <w:spacing w:before="620"/>
              <w:ind w:left="9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c>
          <w:tcPr>
            <w:tcW w:w="1660" w:type="dxa"/>
            <w:tcMar>
              <w:top w:w="0" w:type="dxa"/>
              <w:left w:w="0" w:type="dxa"/>
              <w:bottom w:w="0" w:type="dxa"/>
              <w:right w:w="0" w:type="dxa"/>
            </w:tcMar>
          </w:tcPr>
          <w:p>
            <w:pPr>
              <w:spacing w:before="62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640" w:type="dxa"/>
            <w:tcMar>
              <w:top w:w="0" w:type="dxa"/>
              <w:left w:w="0" w:type="dxa"/>
              <w:bottom w:w="0" w:type="dxa"/>
              <w:right w:w="0" w:type="dxa"/>
            </w:tcMar>
          </w:tcPr>
          <w:p>
            <w:pPr>
              <w:spacing w:before="620"/>
              <w:ind w:left="9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60" w:lineRule="exact"/>
        <w:rPr>
          <w:rFonts w:hint="eastAsia" w:ascii="宋体" w:hAnsi="宋体" w:eastAsia="宋体" w:cs="宋体"/>
          <w:sz w:val="20"/>
        </w:rPr>
      </w:pPr>
    </w:p>
    <w:tbl>
      <w:tblPr>
        <w:tblW w:w="8380" w:type="auto"/>
        <w:tblInd w:w="17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420"/>
        <w:gridCol w:w="1640"/>
        <w:gridCol w:w="1660"/>
        <w:gridCol w:w="1640"/>
      </w:tblGrid>
      <w:tr>
        <w:trPr>
          <w:trHeight w:val="480" w:hRule="exact"/>
        </w:trPr>
        <w:tc>
          <w:tcPr>
            <w:tcW w:w="3420" w:type="dxa"/>
            <w:tcMar>
              <w:top w:w="0" w:type="dxa"/>
              <w:left w:w="0" w:type="dxa"/>
              <w:bottom w:w="0" w:type="dxa"/>
              <w:right w:w="0" w:type="dxa"/>
            </w:tcMar>
          </w:tcPr>
          <w:p>
            <w:pPr>
              <w:spacing w:before="40"/>
              <w:ind w:left="1480"/>
            </w:pPr>
            <w:r>
              <w:rPr>
                <w:rFonts w:hint="eastAsia" w:ascii="宋体" w:hAnsi="宋体" w:eastAsia="宋体" w:cs="宋体"/>
                <w:b/>
                <w:sz w:val="21"/>
              </w:rPr>
              <w:t>项目</w:t>
            </w:r>
          </w:p>
        </w:tc>
        <w:tc>
          <w:tcPr>
            <w:tcW w:w="1640" w:type="dxa"/>
            <w:tcMar>
              <w:top w:w="0" w:type="dxa"/>
              <w:left w:w="0" w:type="dxa"/>
              <w:bottom w:w="0" w:type="dxa"/>
              <w:right w:w="0" w:type="dxa"/>
            </w:tcMar>
          </w:tcPr>
          <w:p>
            <w:pPr>
              <w:spacing w:before="120"/>
              <w:ind w:left="46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tc>
        <w:tc>
          <w:tcPr>
            <w:tcW w:w="1660" w:type="dxa"/>
            <w:tcMar>
              <w:top w:w="0" w:type="dxa"/>
              <w:left w:w="0" w:type="dxa"/>
              <w:bottom w:w="0" w:type="dxa"/>
              <w:right w:w="0" w:type="dxa"/>
            </w:tcMar>
          </w:tcPr>
          <w:p>
            <w:pPr>
              <w:spacing w:before="120"/>
              <w:ind w:left="4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tc>
        <w:tc>
          <w:tcPr>
            <w:tcW w:w="1640" w:type="dxa"/>
            <w:tcMar>
              <w:top w:w="0" w:type="dxa"/>
              <w:left w:w="0" w:type="dxa"/>
              <w:bottom w:w="0" w:type="dxa"/>
              <w:right w:w="0" w:type="dxa"/>
            </w:tcMar>
          </w:tcPr>
          <w:p>
            <w:pPr>
              <w:spacing w:before="120"/>
              <w:ind w:left="4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tc>
      </w:tr>
      <w:tr>
        <w:trPr>
          <w:trHeight w:val="480" w:hRule="exact"/>
        </w:trPr>
        <w:tc>
          <w:tcPr>
            <w:tcW w:w="3420" w:type="dxa"/>
            <w:tcMar>
              <w:top w:w="0" w:type="dxa"/>
              <w:left w:w="0" w:type="dxa"/>
              <w:bottom w:w="0" w:type="dxa"/>
              <w:right w:w="0" w:type="dxa"/>
            </w:tcMar>
          </w:tcPr>
          <w:p>
            <w:pPr>
              <w:spacing w:before="40"/>
              <w:ind w:left="100"/>
            </w:pPr>
            <w:r>
              <w:rPr>
                <w:rFonts w:hint="eastAsia" w:ascii="宋体" w:hAnsi="宋体" w:eastAsia="宋体" w:cs="宋体"/>
                <w:sz w:val="21"/>
              </w:rPr>
              <w:t>应收账款周转率</w:t>
            </w:r>
            <w:r>
              <w:rPr>
                <w:rFonts w:hint="eastAsia" w:ascii="宋体" w:hAnsi="宋体" w:eastAsia="宋体" w:cs="宋体"/>
                <w:sz w:val="20"/>
              </w:rPr>
              <w:t>（</w:t>
            </w:r>
            <w:r>
              <w:rPr>
                <w:rFonts w:hint="eastAsia" w:ascii="宋体" w:hAnsi="宋体" w:eastAsia="宋体" w:cs="宋体"/>
                <w:sz w:val="21"/>
              </w:rPr>
              <w:t>次</w:t>
            </w:r>
            <w:r>
              <w:rPr>
                <w:rFonts w:hint="eastAsia" w:ascii="宋体" w:hAnsi="宋体" w:eastAsia="宋体" w:cs="宋体"/>
                <w:sz w:val="20"/>
              </w:rPr>
              <w:t>）</w:t>
            </w:r>
          </w:p>
        </w:tc>
        <w:tc>
          <w:tcPr>
            <w:tcW w:w="1640" w:type="dxa"/>
            <w:tcMar>
              <w:top w:w="0" w:type="dxa"/>
              <w:left w:w="0" w:type="dxa"/>
              <w:bottom w:w="0" w:type="dxa"/>
              <w:right w:w="0" w:type="dxa"/>
            </w:tcMar>
          </w:tcPr>
          <w:p>
            <w:pPr>
              <w:spacing w:before="180"/>
              <w:ind w:left="11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1660" w:type="dxa"/>
            <w:tcMar>
              <w:top w:w="0" w:type="dxa"/>
              <w:left w:w="0" w:type="dxa"/>
              <w:bottom w:w="0" w:type="dxa"/>
              <w:right w:w="0" w:type="dxa"/>
            </w:tcMar>
          </w:tcPr>
          <w:p>
            <w:pPr>
              <w:spacing w:before="180"/>
              <w:ind w:left="116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1640" w:type="dxa"/>
            <w:tcMar>
              <w:top w:w="0" w:type="dxa"/>
              <w:left w:w="0" w:type="dxa"/>
              <w:bottom w:w="0" w:type="dxa"/>
              <w:right w:w="0" w:type="dxa"/>
            </w:tcMar>
          </w:tcPr>
          <w:p>
            <w:pPr>
              <w:spacing w:before="180"/>
              <w:ind w:left="114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r>
      <w:tr>
        <w:trPr>
          <w:trHeight w:val="480" w:hRule="exact"/>
        </w:trPr>
        <w:tc>
          <w:tcPr>
            <w:tcW w:w="3420" w:type="dxa"/>
            <w:tcMar>
              <w:top w:w="0" w:type="dxa"/>
              <w:left w:w="0" w:type="dxa"/>
              <w:bottom w:w="0" w:type="dxa"/>
              <w:right w:w="0" w:type="dxa"/>
            </w:tcMar>
          </w:tcPr>
          <w:p>
            <w:pPr>
              <w:spacing w:before="40"/>
              <w:ind w:left="100"/>
            </w:pPr>
            <w:r>
              <w:rPr>
                <w:rFonts w:hint="eastAsia" w:ascii="宋体" w:hAnsi="宋体" w:eastAsia="宋体" w:cs="宋体"/>
                <w:sz w:val="21"/>
              </w:rPr>
              <w:t>存货周转率</w:t>
            </w:r>
            <w:r>
              <w:rPr>
                <w:rFonts w:hint="eastAsia" w:ascii="宋体" w:hAnsi="宋体" w:eastAsia="宋体" w:cs="宋体"/>
                <w:sz w:val="20"/>
              </w:rPr>
              <w:t>（</w:t>
            </w:r>
            <w:r>
              <w:rPr>
                <w:rFonts w:hint="eastAsia" w:ascii="宋体" w:hAnsi="宋体" w:eastAsia="宋体" w:cs="宋体"/>
                <w:sz w:val="21"/>
              </w:rPr>
              <w:t>次</w:t>
            </w:r>
            <w:r>
              <w:rPr>
                <w:rFonts w:hint="eastAsia" w:ascii="宋体" w:hAnsi="宋体" w:eastAsia="宋体" w:cs="宋体"/>
                <w:sz w:val="20"/>
              </w:rPr>
              <w:t>）</w:t>
            </w:r>
          </w:p>
        </w:tc>
        <w:tc>
          <w:tcPr>
            <w:tcW w:w="164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166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p>
        </w:tc>
        <w:tc>
          <w:tcPr>
            <w:tcW w:w="1640" w:type="dxa"/>
            <w:tcMar>
              <w:top w:w="0" w:type="dxa"/>
              <w:left w:w="0" w:type="dxa"/>
              <w:bottom w:w="0" w:type="dxa"/>
              <w:right w:w="0" w:type="dxa"/>
            </w:tcMar>
          </w:tcPr>
          <w:p>
            <w:pPr>
              <w:spacing w:before="160"/>
              <w:ind w:left="11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r>
      <w:tr>
        <w:trPr>
          <w:trHeight w:val="480" w:hRule="exact"/>
        </w:trPr>
        <w:tc>
          <w:tcPr>
            <w:tcW w:w="3420" w:type="dxa"/>
            <w:tcMar>
              <w:top w:w="0" w:type="dxa"/>
              <w:left w:w="0" w:type="dxa"/>
              <w:bottom w:w="0" w:type="dxa"/>
              <w:right w:w="0" w:type="dxa"/>
            </w:tcMar>
          </w:tcPr>
          <w:p>
            <w:pPr>
              <w:spacing w:before="60"/>
              <w:ind w:left="100"/>
            </w:pPr>
            <w:r>
              <w:rPr>
                <w:rFonts w:hint="eastAsia" w:ascii="宋体" w:hAnsi="宋体" w:eastAsia="宋体" w:cs="宋体"/>
                <w:sz w:val="21"/>
              </w:rPr>
              <w:t>息税折旧摊销前利润</w:t>
            </w:r>
            <w:r>
              <w:rPr>
                <w:rFonts w:hint="eastAsia" w:ascii="宋体" w:hAnsi="宋体" w:eastAsia="宋体" w:cs="宋体"/>
                <w:sz w:val="20"/>
              </w:rPr>
              <w:t>（</w:t>
            </w:r>
            <w:r>
              <w:rPr>
                <w:rFonts w:hint="eastAsia" w:ascii="宋体" w:hAnsi="宋体" w:eastAsia="宋体" w:cs="宋体"/>
                <w:sz w:val="21"/>
              </w:rPr>
              <w:t>万元</w:t>
            </w:r>
            <w:r>
              <w:rPr>
                <w:rFonts w:hint="eastAsia" w:ascii="宋体" w:hAnsi="宋体" w:eastAsia="宋体" w:cs="宋体"/>
                <w:sz w:val="20"/>
              </w:rPr>
              <w:t>）</w:t>
            </w:r>
          </w:p>
        </w:tc>
        <w:tc>
          <w:tcPr>
            <w:tcW w:w="164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1660" w:type="dxa"/>
            <w:tcMar>
              <w:top w:w="0" w:type="dxa"/>
              <w:left w:w="0" w:type="dxa"/>
              <w:bottom w:w="0" w:type="dxa"/>
              <w:right w:w="0" w:type="dxa"/>
            </w:tcMar>
          </w:tcPr>
          <w:p>
            <w:pPr>
              <w:spacing w:before="140"/>
              <w:ind w:left="80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164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r>
        <w:trPr>
          <w:trHeight w:val="480" w:hRule="exact"/>
        </w:trPr>
        <w:tc>
          <w:tcPr>
            <w:tcW w:w="3420" w:type="dxa"/>
            <w:tcMar>
              <w:top w:w="0" w:type="dxa"/>
              <w:left w:w="0" w:type="dxa"/>
              <w:bottom w:w="0" w:type="dxa"/>
              <w:right w:w="0" w:type="dxa"/>
            </w:tcMar>
          </w:tcPr>
          <w:p>
            <w:pPr>
              <w:spacing w:before="40"/>
              <w:ind w:left="100"/>
            </w:pPr>
            <w:r>
              <w:rPr>
                <w:rFonts w:hint="eastAsia" w:ascii="宋体" w:hAnsi="宋体" w:eastAsia="宋体" w:cs="宋体"/>
                <w:sz w:val="21"/>
              </w:rPr>
              <w:t>归属于母公司股东的净利润</w:t>
            </w:r>
            <w:r>
              <w:rPr>
                <w:rFonts w:hint="eastAsia" w:ascii="宋体" w:hAnsi="宋体" w:eastAsia="宋体" w:cs="宋体"/>
                <w:sz w:val="20"/>
              </w:rPr>
              <w:t>（</w:t>
            </w:r>
            <w:r>
              <w:rPr>
                <w:rFonts w:hint="eastAsia" w:ascii="宋体" w:hAnsi="宋体" w:eastAsia="宋体" w:cs="宋体"/>
                <w:sz w:val="21"/>
              </w:rPr>
              <w:t>万元</w:t>
            </w:r>
            <w:r>
              <w:rPr>
                <w:rFonts w:hint="eastAsia" w:ascii="宋体" w:hAnsi="宋体" w:eastAsia="宋体" w:cs="宋体"/>
                <w:sz w:val="20"/>
              </w:rPr>
              <w:t>）</w:t>
            </w:r>
          </w:p>
        </w:tc>
        <w:tc>
          <w:tcPr>
            <w:tcW w:w="16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2"/>
              </w:rPr>
              <w:t>7,048.16</w:t>
            </w:r>
          </w:p>
        </w:tc>
        <w:tc>
          <w:tcPr>
            <w:tcW w:w="166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2"/>
              </w:rPr>
              <w:t>8,388.09</w:t>
            </w:r>
          </w:p>
        </w:tc>
        <w:tc>
          <w:tcPr>
            <w:tcW w:w="164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p>
        </w:tc>
      </w:tr>
      <w:tr>
        <w:trPr>
          <w:trHeight w:val="820" w:hRule="exact"/>
        </w:trPr>
        <w:tc>
          <w:tcPr>
            <w:tcW w:w="3420" w:type="dxa"/>
            <w:tcMar>
              <w:top w:w="0" w:type="dxa"/>
              <w:left w:w="0" w:type="dxa"/>
              <w:bottom w:w="0" w:type="dxa"/>
              <w:right w:w="0" w:type="dxa"/>
            </w:tcMar>
          </w:tcPr>
          <w:p>
            <w:pPr>
              <w:spacing w:before="0"/>
              <w:ind w:left="100"/>
            </w:pPr>
            <w:r>
              <w:rPr>
                <w:rFonts w:hint="eastAsia" w:ascii="宋体" w:hAnsi="宋体" w:eastAsia="宋体" w:cs="宋体"/>
                <w:sz w:val="21"/>
              </w:rPr>
              <w:t>归属于母公司股东扣除非经常性损</w:t>
            </w:r>
          </w:p>
          <w:p>
            <w:pPr>
              <w:spacing w:before="200"/>
              <w:ind w:left="100"/>
            </w:pPr>
            <w:r>
              <w:rPr>
                <w:rFonts w:hint="eastAsia" w:ascii="宋体" w:hAnsi="宋体" w:eastAsia="宋体" w:cs="宋体"/>
                <w:sz w:val="21"/>
              </w:rPr>
              <w:t>益后的净利润</w:t>
            </w:r>
            <w:r>
              <w:rPr>
                <w:rFonts w:hint="eastAsia" w:ascii="宋体" w:hAnsi="宋体" w:eastAsia="宋体" w:cs="宋体"/>
                <w:sz w:val="20"/>
              </w:rPr>
              <w:t>（</w:t>
            </w:r>
            <w:r>
              <w:rPr>
                <w:rFonts w:hint="eastAsia" w:ascii="宋体" w:hAnsi="宋体" w:eastAsia="宋体" w:cs="宋体"/>
                <w:sz w:val="21"/>
              </w:rPr>
              <w:t>万元</w:t>
            </w:r>
            <w:r>
              <w:rPr>
                <w:rFonts w:hint="eastAsia" w:ascii="宋体" w:hAnsi="宋体" w:eastAsia="宋体" w:cs="宋体"/>
                <w:sz w:val="20"/>
              </w:rPr>
              <w:t>）</w:t>
            </w:r>
          </w:p>
        </w:tc>
        <w:tc>
          <w:tcPr>
            <w:tcW w:w="1640" w:type="dxa"/>
            <w:tcMar>
              <w:top w:w="0" w:type="dxa"/>
              <w:left w:w="0" w:type="dxa"/>
              <w:bottom w:w="0" w:type="dxa"/>
              <w:right w:w="0" w:type="dxa"/>
            </w:tcMar>
          </w:tcPr>
          <w:p>
            <w:pPr>
              <w:spacing w:before="340"/>
              <w:ind w:left="740"/>
            </w:pPr>
            <w:r>
              <w:rPr>
                <w:rFonts w:hint="eastAsia" w:ascii="Times New Roman" w:hAnsi="Times New Roman" w:eastAsia="Times New Roman" w:cs="Times New Roman"/>
                <w:sz w:val="22"/>
              </w:rPr>
              <w:t>6,978.94</w:t>
            </w:r>
          </w:p>
        </w:tc>
        <w:tc>
          <w:tcPr>
            <w:tcW w:w="1660" w:type="dxa"/>
            <w:tcMar>
              <w:top w:w="0" w:type="dxa"/>
              <w:left w:w="0" w:type="dxa"/>
              <w:bottom w:w="0" w:type="dxa"/>
              <w:right w:w="0" w:type="dxa"/>
            </w:tcMar>
          </w:tcPr>
          <w:p>
            <w:pPr>
              <w:spacing w:before="340"/>
              <w:ind w:left="760"/>
            </w:pPr>
            <w:r>
              <w:rPr>
                <w:rFonts w:hint="eastAsia" w:ascii="Times New Roman" w:hAnsi="Times New Roman" w:eastAsia="Times New Roman" w:cs="Times New Roman"/>
                <w:sz w:val="22"/>
              </w:rPr>
              <w:t>6,816.48</w:t>
            </w:r>
          </w:p>
        </w:tc>
        <w:tc>
          <w:tcPr>
            <w:tcW w:w="1640" w:type="dxa"/>
            <w:tcMar>
              <w:top w:w="0" w:type="dxa"/>
              <w:left w:w="0" w:type="dxa"/>
              <w:bottom w:w="0" w:type="dxa"/>
              <w:right w:w="0" w:type="dxa"/>
            </w:tcMar>
          </w:tcPr>
          <w:p>
            <w:pPr>
              <w:spacing w:before="340"/>
              <w:ind w:left="7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1-1-29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380" w:type="auto"/>
        <w:tblInd w:w="17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420"/>
        <w:gridCol w:w="1640"/>
        <w:gridCol w:w="1660"/>
        <w:gridCol w:w="1640"/>
      </w:tblGrid>
      <w:tr>
        <w:trPr>
          <w:trHeight w:val="480" w:hRule="exact"/>
        </w:trPr>
        <w:tc>
          <w:tcPr>
            <w:tcW w:w="3420" w:type="dxa"/>
            <w:tcMar>
              <w:top w:w="0" w:type="dxa"/>
              <w:left w:w="0" w:type="dxa"/>
              <w:bottom w:w="0" w:type="dxa"/>
              <w:right w:w="0" w:type="dxa"/>
            </w:tcMar>
          </w:tcPr>
          <w:p>
            <w:pPr>
              <w:spacing w:before="40"/>
              <w:ind w:left="100"/>
            </w:pPr>
            <w:r>
              <w:rPr>
                <w:rFonts w:hint="eastAsia" w:ascii="宋体" w:hAnsi="宋体" w:eastAsia="宋体" w:cs="宋体"/>
                <w:sz w:val="21"/>
              </w:rPr>
              <w:t>利息保障倍数</w:t>
            </w:r>
          </w:p>
        </w:tc>
        <w:tc>
          <w:tcPr>
            <w:tcW w:w="1640" w:type="dxa"/>
            <w:tcMar>
              <w:top w:w="0" w:type="dxa"/>
              <w:left w:w="0" w:type="dxa"/>
              <w:bottom w:w="0" w:type="dxa"/>
              <w:right w:w="0" w:type="dxa"/>
            </w:tcMar>
          </w:tcPr>
          <w:p>
            <w:pPr>
              <w:spacing w:before="300"/>
              <w:ind w:left="1460"/>
            </w:pPr>
            <w:r>
              <w:rPr>
                <w:rFonts w:hint="eastAsia" w:ascii="Times New Roman" w:hAnsi="Times New Roman" w:eastAsia="Times New Roman" w:cs="Times New Roman"/>
                <w:sz w:val="21"/>
              </w:rPr>
              <w:t>-</w:t>
            </w:r>
          </w:p>
        </w:tc>
        <w:tc>
          <w:tcPr>
            <w:tcW w:w="1660" w:type="dxa"/>
            <w:tcMar>
              <w:top w:w="0" w:type="dxa"/>
              <w:left w:w="0" w:type="dxa"/>
              <w:bottom w:w="0" w:type="dxa"/>
              <w:right w:w="0" w:type="dxa"/>
            </w:tcMar>
          </w:tcPr>
          <w:p>
            <w:pPr>
              <w:spacing w:before="300"/>
              <w:ind w:left="1460"/>
            </w:pPr>
            <w:r>
              <w:rPr>
                <w:rFonts w:hint="eastAsia" w:ascii="Times New Roman" w:hAnsi="Times New Roman" w:eastAsia="Times New Roman" w:cs="Times New Roman"/>
                <w:sz w:val="21"/>
              </w:rPr>
              <w:t>-</w:t>
            </w:r>
          </w:p>
        </w:tc>
        <w:tc>
          <w:tcPr>
            <w:tcW w:w="1640" w:type="dxa"/>
            <w:tcMar>
              <w:top w:w="0" w:type="dxa"/>
              <w:left w:w="0" w:type="dxa"/>
              <w:bottom w:w="0" w:type="dxa"/>
              <w:right w:w="0" w:type="dxa"/>
            </w:tcMar>
          </w:tcPr>
          <w:p>
            <w:pPr>
              <w:spacing w:before="300"/>
              <w:ind w:left="1440"/>
            </w:pPr>
            <w:r>
              <w:rPr>
                <w:rFonts w:hint="eastAsia" w:ascii="Times New Roman Bold" w:hAnsi="Times New Roman Bold" w:eastAsia="Times New Roman Bold" w:cs="Times New Roman Bold"/>
                <w:b/>
                <w:sz w:val="21"/>
              </w:rPr>
              <w:t>-</w:t>
            </w:r>
          </w:p>
        </w:tc>
      </w:tr>
      <w:tr>
        <w:trPr>
          <w:trHeight w:val="480" w:hRule="exact"/>
        </w:trPr>
        <w:tc>
          <w:tcPr>
            <w:tcW w:w="3420" w:type="dxa"/>
            <w:tcMar>
              <w:top w:w="0" w:type="dxa"/>
              <w:left w:w="0" w:type="dxa"/>
              <w:bottom w:w="0" w:type="dxa"/>
              <w:right w:w="0" w:type="dxa"/>
            </w:tcMar>
          </w:tcPr>
          <w:p>
            <w:pPr>
              <w:spacing w:before="40"/>
              <w:ind w:left="100"/>
            </w:pPr>
            <w:r>
              <w:rPr>
                <w:rFonts w:hint="eastAsia" w:ascii="宋体" w:hAnsi="宋体" w:eastAsia="宋体" w:cs="宋体"/>
                <w:sz w:val="21"/>
              </w:rPr>
              <w:t>每股经营活动现金流量</w:t>
            </w:r>
            <w:r>
              <w:rPr>
                <w:rFonts w:hint="eastAsia" w:ascii="宋体" w:hAnsi="宋体" w:eastAsia="宋体" w:cs="宋体"/>
                <w:sz w:val="20"/>
              </w:rPr>
              <w:t>（</w:t>
            </w:r>
            <w:r>
              <w:rPr>
                <w:rFonts w:hint="eastAsia" w:ascii="宋体" w:hAnsi="宋体" w:eastAsia="宋体" w:cs="宋体"/>
                <w:sz w:val="21"/>
              </w:rPr>
              <w:t>元</w:t>
            </w:r>
            <w:r>
              <w:rPr>
                <w:rFonts w:hint="eastAsia" w:ascii="宋体" w:hAnsi="宋体" w:eastAsia="宋体" w:cs="宋体"/>
                <w:sz w:val="20"/>
              </w:rPr>
              <w:t>）</w:t>
            </w:r>
          </w:p>
        </w:tc>
        <w:tc>
          <w:tcPr>
            <w:tcW w:w="164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p>
        </w:tc>
        <w:tc>
          <w:tcPr>
            <w:tcW w:w="166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640" w:type="dxa"/>
            <w:tcMar>
              <w:top w:w="0" w:type="dxa"/>
              <w:left w:w="0" w:type="dxa"/>
              <w:bottom w:w="0" w:type="dxa"/>
              <w:right w:w="0" w:type="dxa"/>
            </w:tcMar>
          </w:tcPr>
          <w:p>
            <w:pPr>
              <w:spacing w:before="160"/>
              <w:ind w:left="11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3420" w:type="dxa"/>
            <w:tcMar>
              <w:top w:w="0" w:type="dxa"/>
              <w:left w:w="0" w:type="dxa"/>
              <w:bottom w:w="0" w:type="dxa"/>
              <w:right w:w="0" w:type="dxa"/>
            </w:tcMar>
          </w:tcPr>
          <w:p>
            <w:pPr>
              <w:spacing w:before="40"/>
              <w:ind w:left="100"/>
            </w:pPr>
            <w:r>
              <w:rPr>
                <w:rFonts w:hint="eastAsia" w:ascii="宋体" w:hAnsi="宋体" w:eastAsia="宋体" w:cs="宋体"/>
                <w:sz w:val="21"/>
              </w:rPr>
              <w:t>每股净现金流量</w:t>
            </w:r>
            <w:r>
              <w:rPr>
                <w:rFonts w:hint="eastAsia" w:ascii="宋体" w:hAnsi="宋体" w:eastAsia="宋体" w:cs="宋体"/>
                <w:sz w:val="20"/>
              </w:rPr>
              <w:t>（</w:t>
            </w:r>
            <w:r>
              <w:rPr>
                <w:rFonts w:hint="eastAsia" w:ascii="宋体" w:hAnsi="宋体" w:eastAsia="宋体" w:cs="宋体"/>
                <w:sz w:val="21"/>
              </w:rPr>
              <w:t>元</w:t>
            </w:r>
            <w:r>
              <w:rPr>
                <w:rFonts w:hint="eastAsia" w:ascii="宋体" w:hAnsi="宋体" w:eastAsia="宋体" w:cs="宋体"/>
                <w:sz w:val="20"/>
              </w:rPr>
              <w:t>）</w:t>
            </w:r>
          </w:p>
        </w:tc>
        <w:tc>
          <w:tcPr>
            <w:tcW w:w="164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166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640" w:type="dxa"/>
            <w:tcMar>
              <w:top w:w="0" w:type="dxa"/>
              <w:left w:w="0" w:type="dxa"/>
              <w:bottom w:w="0" w:type="dxa"/>
              <w:right w:w="0" w:type="dxa"/>
            </w:tcMar>
          </w:tcPr>
          <w:p>
            <w:pPr>
              <w:spacing w:before="160"/>
              <w:ind w:left="11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r>
      <w:tr>
        <w:trPr>
          <w:trHeight w:val="480" w:hRule="exact"/>
        </w:trPr>
        <w:tc>
          <w:tcPr>
            <w:tcW w:w="3420" w:type="dxa"/>
            <w:tcMar>
              <w:top w:w="0" w:type="dxa"/>
              <w:left w:w="0" w:type="dxa"/>
              <w:bottom w:w="0" w:type="dxa"/>
              <w:right w:w="0" w:type="dxa"/>
            </w:tcMar>
          </w:tcPr>
          <w:p>
            <w:pPr>
              <w:spacing w:before="40"/>
              <w:ind w:left="100"/>
            </w:pPr>
            <w:r>
              <w:rPr>
                <w:rFonts w:hint="eastAsia" w:ascii="宋体" w:hAnsi="宋体" w:eastAsia="宋体" w:cs="宋体"/>
                <w:sz w:val="21"/>
              </w:rPr>
              <w:t>基本每股收益</w:t>
            </w:r>
            <w:r>
              <w:rPr>
                <w:rFonts w:hint="eastAsia" w:ascii="宋体" w:hAnsi="宋体" w:eastAsia="宋体" w:cs="宋体"/>
                <w:sz w:val="20"/>
              </w:rPr>
              <w:t>（</w:t>
            </w:r>
            <w:r>
              <w:rPr>
                <w:rFonts w:hint="eastAsia" w:ascii="宋体" w:hAnsi="宋体" w:eastAsia="宋体" w:cs="宋体"/>
                <w:sz w:val="21"/>
              </w:rPr>
              <w:t>元</w:t>
            </w:r>
            <w:r>
              <w:rPr>
                <w:rFonts w:hint="eastAsia" w:ascii="宋体" w:hAnsi="宋体" w:eastAsia="宋体" w:cs="宋体"/>
                <w:sz w:val="20"/>
              </w:rPr>
              <w:t>）</w:t>
            </w:r>
          </w:p>
        </w:tc>
        <w:tc>
          <w:tcPr>
            <w:tcW w:w="164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166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c>
          <w:tcPr>
            <w:tcW w:w="1640" w:type="dxa"/>
            <w:tcMar>
              <w:top w:w="0" w:type="dxa"/>
              <w:left w:w="0" w:type="dxa"/>
              <w:bottom w:w="0" w:type="dxa"/>
              <w:right w:w="0" w:type="dxa"/>
            </w:tcMar>
          </w:tcPr>
          <w:p>
            <w:pPr>
              <w:spacing w:before="160"/>
              <w:ind w:left="11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r>
      <w:tr>
        <w:trPr>
          <w:trHeight w:val="820" w:hRule="exact"/>
        </w:trPr>
        <w:tc>
          <w:tcPr>
            <w:tcW w:w="3420" w:type="dxa"/>
            <w:tcMar>
              <w:top w:w="0" w:type="dxa"/>
              <w:left w:w="0" w:type="dxa"/>
              <w:bottom w:w="0" w:type="dxa"/>
              <w:right w:w="0" w:type="dxa"/>
            </w:tcMar>
          </w:tcPr>
          <w:p>
            <w:pPr>
              <w:spacing w:before="20"/>
              <w:ind w:left="100"/>
            </w:pPr>
            <w:r>
              <w:rPr>
                <w:rFonts w:hint="eastAsia" w:ascii="宋体" w:hAnsi="宋体" w:eastAsia="宋体" w:cs="宋体"/>
                <w:sz w:val="21"/>
              </w:rPr>
              <w:t>基本每股收益</w:t>
            </w:r>
            <w:r>
              <w:rPr>
                <w:rFonts w:hint="eastAsia" w:ascii="宋体" w:hAnsi="宋体" w:eastAsia="宋体" w:cs="宋体"/>
                <w:sz w:val="20"/>
              </w:rPr>
              <w:t>（</w:t>
            </w:r>
            <w:r>
              <w:rPr>
                <w:rFonts w:hint="eastAsia" w:ascii="宋体" w:hAnsi="宋体" w:eastAsia="宋体" w:cs="宋体"/>
                <w:sz w:val="21"/>
              </w:rPr>
              <w:t>扣除非经常性损益</w:t>
            </w:r>
            <w:r>
              <w:rPr>
                <w:rFonts w:hint="eastAsia" w:ascii="宋体" w:hAnsi="宋体" w:eastAsia="宋体" w:cs="宋体"/>
                <w:sz w:val="20"/>
              </w:rPr>
              <w:t>）</w:t>
            </w:r>
          </w:p>
          <w:p>
            <w:pPr>
              <w:spacing w:before="200"/>
              <w:ind w:left="100"/>
            </w:pPr>
            <w:r>
              <w:rPr>
                <w:rFonts w:hint="eastAsia" w:ascii="宋体" w:hAnsi="宋体" w:eastAsia="宋体" w:cs="宋体"/>
                <w:sz w:val="20"/>
              </w:rPr>
              <w:t>（</w:t>
            </w:r>
            <w:r>
              <w:rPr>
                <w:rFonts w:hint="eastAsia" w:ascii="宋体" w:hAnsi="宋体" w:eastAsia="宋体" w:cs="宋体"/>
                <w:sz w:val="21"/>
              </w:rPr>
              <w:t>元</w:t>
            </w:r>
            <w:r>
              <w:rPr>
                <w:rFonts w:hint="eastAsia" w:ascii="宋体" w:hAnsi="宋体" w:eastAsia="宋体" w:cs="宋体"/>
                <w:sz w:val="20"/>
              </w:rPr>
              <w:t>）</w:t>
            </w:r>
          </w:p>
        </w:tc>
        <w:tc>
          <w:tcPr>
            <w:tcW w:w="1640" w:type="dxa"/>
            <w:tcMar>
              <w:top w:w="0" w:type="dxa"/>
              <w:left w:w="0" w:type="dxa"/>
              <w:bottom w:w="0" w:type="dxa"/>
              <w:right w:w="0" w:type="dxa"/>
            </w:tcMar>
          </w:tcPr>
          <w:p>
            <w:pPr>
              <w:spacing w:before="340"/>
              <w:ind w:left="1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c>
          <w:tcPr>
            <w:tcW w:w="1660" w:type="dxa"/>
            <w:tcMar>
              <w:top w:w="0" w:type="dxa"/>
              <w:left w:w="0" w:type="dxa"/>
              <w:bottom w:w="0" w:type="dxa"/>
              <w:right w:w="0" w:type="dxa"/>
            </w:tcMar>
          </w:tcPr>
          <w:p>
            <w:pPr>
              <w:spacing w:before="340"/>
              <w:ind w:left="1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c>
          <w:tcPr>
            <w:tcW w:w="1640" w:type="dxa"/>
            <w:tcMar>
              <w:top w:w="0" w:type="dxa"/>
              <w:left w:w="0" w:type="dxa"/>
              <w:bottom w:w="0" w:type="dxa"/>
              <w:right w:w="0" w:type="dxa"/>
            </w:tcMar>
          </w:tcPr>
          <w:p>
            <w:pPr>
              <w:spacing w:before="340"/>
              <w:ind w:left="11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r>
      <w:tr>
        <w:trPr>
          <w:trHeight w:val="480" w:hRule="exact"/>
        </w:trPr>
        <w:tc>
          <w:tcPr>
            <w:tcW w:w="3420" w:type="dxa"/>
            <w:tcMar>
              <w:top w:w="0" w:type="dxa"/>
              <w:left w:w="0" w:type="dxa"/>
              <w:bottom w:w="0" w:type="dxa"/>
              <w:right w:w="0" w:type="dxa"/>
            </w:tcMar>
          </w:tcPr>
          <w:p>
            <w:pPr>
              <w:spacing w:before="40"/>
              <w:ind w:left="100"/>
            </w:pPr>
            <w:r>
              <w:rPr>
                <w:rFonts w:hint="eastAsia" w:ascii="宋体" w:hAnsi="宋体" w:eastAsia="宋体" w:cs="宋体"/>
                <w:sz w:val="21"/>
              </w:rPr>
              <w:t>加权平均净资产收益率</w:t>
            </w:r>
          </w:p>
        </w:tc>
        <w:tc>
          <w:tcPr>
            <w:tcW w:w="164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p>
        </w:tc>
        <w:tc>
          <w:tcPr>
            <w:tcW w:w="166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r>
              <w:rPr>
                <w:rFonts w:hint="eastAsia" w:ascii="Times New Roman" w:hAnsi="Times New Roman" w:eastAsia="Times New Roman" w:cs="Times New Roman"/>
                <w:sz w:val="20"/>
              </w:rPr>
              <w:t>%</w:t>
            </w:r>
          </w:p>
        </w:tc>
        <w:tc>
          <w:tcPr>
            <w:tcW w:w="1640" w:type="dxa"/>
            <w:tcMar>
              <w:top w:w="0" w:type="dxa"/>
              <w:left w:w="0" w:type="dxa"/>
              <w:bottom w:w="0" w:type="dxa"/>
              <w:right w:w="0" w:type="dxa"/>
            </w:tcMar>
          </w:tcPr>
          <w:p>
            <w:pPr>
              <w:spacing w:before="140"/>
              <w:ind w:left="86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r>
      <w:tr>
        <w:trPr>
          <w:trHeight w:val="820" w:hRule="exact"/>
        </w:trPr>
        <w:tc>
          <w:tcPr>
            <w:tcW w:w="3420" w:type="dxa"/>
            <w:tcMar>
              <w:top w:w="0" w:type="dxa"/>
              <w:left w:w="0" w:type="dxa"/>
              <w:bottom w:w="0" w:type="dxa"/>
              <w:right w:w="0" w:type="dxa"/>
            </w:tcMar>
          </w:tcPr>
          <w:p>
            <w:pPr>
              <w:spacing w:before="0"/>
              <w:ind w:left="100"/>
            </w:pPr>
            <w:r>
              <w:rPr>
                <w:rFonts w:hint="eastAsia" w:ascii="宋体" w:hAnsi="宋体" w:eastAsia="宋体" w:cs="宋体"/>
                <w:sz w:val="21"/>
              </w:rPr>
              <w:t>加权平均净资产收益率</w:t>
            </w:r>
            <w:r>
              <w:rPr>
                <w:rFonts w:hint="eastAsia" w:ascii="宋体" w:hAnsi="宋体" w:eastAsia="宋体" w:cs="宋体"/>
                <w:sz w:val="20"/>
              </w:rPr>
              <w:t>（</w:t>
            </w:r>
            <w:r>
              <w:rPr>
                <w:rFonts w:hint="eastAsia" w:ascii="宋体" w:hAnsi="宋体" w:eastAsia="宋体" w:cs="宋体"/>
                <w:sz w:val="21"/>
              </w:rPr>
              <w:t>扣除非经</w:t>
            </w:r>
          </w:p>
          <w:p>
            <w:pPr>
              <w:spacing w:before="200"/>
              <w:ind w:left="100"/>
            </w:pPr>
            <w:r>
              <w:rPr>
                <w:rFonts w:hint="eastAsia" w:ascii="宋体" w:hAnsi="宋体" w:eastAsia="宋体" w:cs="宋体"/>
                <w:sz w:val="21"/>
              </w:rPr>
              <w:t>常性损益后</w:t>
            </w:r>
            <w:r>
              <w:rPr>
                <w:rFonts w:hint="eastAsia" w:ascii="宋体" w:hAnsi="宋体" w:eastAsia="宋体" w:cs="宋体"/>
                <w:sz w:val="20"/>
              </w:rPr>
              <w:t>）</w:t>
            </w:r>
          </w:p>
        </w:tc>
        <w:tc>
          <w:tcPr>
            <w:tcW w:w="1640" w:type="dxa"/>
            <w:tcMar>
              <w:top w:w="0" w:type="dxa"/>
              <w:left w:w="0" w:type="dxa"/>
              <w:bottom w:w="0" w:type="dxa"/>
              <w:right w:w="0" w:type="dxa"/>
            </w:tcMar>
          </w:tcPr>
          <w:p>
            <w:pPr>
              <w:spacing w:before="340"/>
              <w:ind w:left="8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p>
        </w:tc>
        <w:tc>
          <w:tcPr>
            <w:tcW w:w="1660" w:type="dxa"/>
            <w:tcMar>
              <w:top w:w="0" w:type="dxa"/>
              <w:left w:w="0" w:type="dxa"/>
              <w:bottom w:w="0" w:type="dxa"/>
              <w:right w:w="0" w:type="dxa"/>
            </w:tcMar>
          </w:tcPr>
          <w:p>
            <w:pPr>
              <w:spacing w:before="340"/>
              <w:ind w:left="88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p>
        </w:tc>
        <w:tc>
          <w:tcPr>
            <w:tcW w:w="1640" w:type="dxa"/>
            <w:tcMar>
              <w:top w:w="0" w:type="dxa"/>
              <w:left w:w="0" w:type="dxa"/>
              <w:bottom w:w="0" w:type="dxa"/>
              <w:right w:w="0" w:type="dxa"/>
            </w:tcMar>
          </w:tcPr>
          <w:p>
            <w:pPr>
              <w:spacing w:before="340"/>
              <w:ind w:left="86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r>
              <w:rPr>
                <w:rFonts w:hint="eastAsia" w:ascii="Times New Roman" w:hAnsi="Times New Roman" w:eastAsia="Times New Roman" w:cs="Times New Roman"/>
                <w:sz w:val="20"/>
              </w:rPr>
              <w:t>%</w:t>
            </w:r>
          </w:p>
        </w:tc>
      </w:tr>
    </w:tbl>
    <w:p>
      <w:pPr>
        <w:autoSpaceDE w:val="false"/>
        <w:autoSpaceDN w:val="false"/>
        <w:spacing w:line="280" w:lineRule="exact"/>
        <w:ind w:left="1800" w:right="1600" w:firstLine="420"/>
        <w:jc w:val="both"/>
      </w:pPr>
      <w:r>
        <w:rPr>
          <w:rFonts w:hint="eastAsia" w:ascii="宋体" w:hAnsi="宋体" w:eastAsia="宋体" w:cs="宋体"/>
          <w:sz w:val="18"/>
        </w:rPr>
        <w:t>注</w:t>
      </w:r>
      <w:r>
        <w:rPr>
          <w:rFonts w:hint="eastAsia" w:ascii="宋体" w:hAnsi="宋体" w:eastAsia="宋体" w:cs="宋体"/>
          <w:sz w:val="10"/>
        </w:rPr>
        <w:t>：</w:t>
      </w:r>
      <w:r>
        <w:rPr>
          <w:rFonts w:hint="eastAsia" w:ascii="宋体" w:hAnsi="宋体" w:eastAsia="宋体" w:cs="宋体"/>
          <w:sz w:val="18"/>
        </w:rPr>
        <w:t>上述财务指标的计算方法详见本招股说明书</w:t>
      </w:r>
      <w:r>
        <w:rPr>
          <w:rFonts w:hint="eastAsia" w:ascii="宋体" w:hAnsi="宋体" w:eastAsia="宋体" w:cs="宋体"/>
          <w:sz w:val="10"/>
        </w:rPr>
        <w:t>“</w:t>
      </w:r>
      <w:r>
        <w:rPr>
          <w:rFonts w:hint="eastAsia" w:ascii="宋体" w:hAnsi="宋体" w:eastAsia="宋体" w:cs="宋体"/>
          <w:sz w:val="18"/>
        </w:rPr>
        <w:t>第十节</w:t>
      </w:r>
      <w:r>
        <w:rPr>
          <w:rFonts w:hint="eastAsia" w:ascii="Times New Roman" w:hAnsi="Times New Roman" w:eastAsia="Times New Roman" w:cs="Times New Roman"/>
          <w:sz w:val="18"/>
        </w:rPr>
        <w:t xml:space="preserve"> </w:t>
      </w:r>
      <w:r>
        <w:rPr>
          <w:rFonts w:hint="eastAsia" w:ascii="宋体" w:hAnsi="宋体" w:eastAsia="宋体" w:cs="宋体"/>
          <w:sz w:val="18"/>
        </w:rPr>
        <w:t>财务会计信息</w:t>
      </w:r>
      <w:r>
        <w:rPr>
          <w:rFonts w:hint="eastAsia" w:ascii="宋体" w:hAnsi="宋体" w:eastAsia="宋体" w:cs="宋体"/>
          <w:sz w:val="10"/>
        </w:rPr>
        <w:t>”</w:t>
      </w:r>
      <w:r>
        <w:rPr>
          <w:rFonts w:hint="eastAsia" w:ascii="宋体" w:hAnsi="宋体" w:eastAsia="宋体" w:cs="宋体"/>
          <w:sz w:val="18"/>
        </w:rPr>
        <w:t>之</w:t>
      </w:r>
      <w:r>
        <w:rPr>
          <w:rFonts w:hint="eastAsia" w:ascii="宋体" w:hAnsi="宋体" w:eastAsia="宋体" w:cs="宋体"/>
          <w:sz w:val="10"/>
        </w:rPr>
        <w:t>“</w:t>
      </w:r>
      <w:r>
        <w:rPr>
          <w:rFonts w:hint="eastAsia" w:ascii="宋体" w:hAnsi="宋体" w:eastAsia="宋体" w:cs="宋体"/>
          <w:sz w:val="18"/>
        </w:rPr>
        <w:t>十三</w:t>
      </w:r>
      <w:r>
        <w:rPr>
          <w:rFonts w:hint="eastAsia" w:ascii="宋体" w:hAnsi="宋体" w:eastAsia="宋体" w:cs="宋体"/>
          <w:sz w:val="10"/>
        </w:rPr>
        <w:t>、</w:t>
      </w:r>
      <w:r>
        <w:rPr>
          <w:rFonts w:hint="eastAsia" w:ascii="宋体" w:hAnsi="宋体" w:eastAsia="宋体" w:cs="宋体"/>
          <w:sz w:val="18"/>
        </w:rPr>
        <w:t>主要财务指标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本次发行概况</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240"/>
        <w:gridCol w:w="6280"/>
      </w:tblGrid>
      <w:tr>
        <w:trPr>
          <w:trHeight w:val="480" w:hRule="exact"/>
        </w:trPr>
        <w:tc>
          <w:tcPr>
            <w:tcW w:w="2240" w:type="dxa"/>
            <w:tcMar>
              <w:top w:w="0" w:type="dxa"/>
              <w:left w:w="0" w:type="dxa"/>
              <w:bottom w:w="0" w:type="dxa"/>
              <w:right w:w="0" w:type="dxa"/>
            </w:tcMar>
          </w:tcPr>
          <w:p>
            <w:pPr>
              <w:spacing w:before="120"/>
              <w:ind w:left="100"/>
            </w:pPr>
            <w:r>
              <w:rPr>
                <w:rFonts w:hint="eastAsia" w:ascii="宋体" w:hAnsi="宋体" w:eastAsia="宋体" w:cs="宋体"/>
                <w:sz w:val="21"/>
              </w:rPr>
              <w:t>发行股票类型</w:t>
            </w:r>
            <w:r>
              <w:rPr>
                <w:rFonts w:hint="eastAsia" w:ascii="宋体" w:hAnsi="宋体" w:eastAsia="宋体" w:cs="宋体"/>
                <w:sz w:val="12"/>
              </w:rPr>
              <w:t>：</w:t>
            </w:r>
          </w:p>
        </w:tc>
        <w:tc>
          <w:tcPr>
            <w:tcW w:w="6280" w:type="dxa"/>
            <w:tcMar>
              <w:top w:w="0" w:type="dxa"/>
              <w:left w:w="0" w:type="dxa"/>
              <w:bottom w:w="0" w:type="dxa"/>
              <w:right w:w="0" w:type="dxa"/>
            </w:tcMar>
          </w:tcPr>
          <w:p>
            <w:pPr>
              <w:spacing w:before="120"/>
            </w:pPr>
            <w:r>
              <w:rPr>
                <w:rFonts w:hint="eastAsia" w:ascii="宋体" w:hAnsi="宋体" w:eastAsia="宋体" w:cs="宋体"/>
                <w:sz w:val="21"/>
              </w:rPr>
              <w:t>人民币普通股</w:t>
            </w:r>
            <w:r>
              <w:rPr>
                <w:rFonts w:hint="eastAsia" w:ascii="宋体" w:hAnsi="宋体" w:eastAsia="宋体" w:cs="宋体"/>
                <w:sz w:val="20"/>
              </w:rPr>
              <w:t>（</w:t>
            </w:r>
            <w:r>
              <w:rPr>
                <w:rFonts w:hint="eastAsia" w:ascii="Times New Roman" w:hAnsi="Times New Roman" w:eastAsia="Times New Roman" w:cs="Times New Roman"/>
                <w:sz w:val="21"/>
              </w:rPr>
              <w:t>A</w:t>
            </w:r>
            <w:r>
              <w:rPr>
                <w:rFonts w:hint="eastAsia" w:ascii="宋体" w:hAnsi="宋体" w:eastAsia="宋体" w:cs="宋体"/>
                <w:sz w:val="21"/>
              </w:rPr>
              <w:t xml:space="preserve"> 股</w:t>
            </w:r>
            <w:r>
              <w:rPr>
                <w:rFonts w:hint="eastAsia" w:ascii="宋体" w:hAnsi="宋体" w:eastAsia="宋体" w:cs="宋体"/>
                <w:sz w:val="20"/>
              </w:rPr>
              <w:t>）</w:t>
            </w:r>
          </w:p>
        </w:tc>
      </w:tr>
      <w:tr>
        <w:trPr>
          <w:trHeight w:val="480" w:hRule="exact"/>
        </w:trPr>
        <w:tc>
          <w:tcPr>
            <w:tcW w:w="2240" w:type="dxa"/>
            <w:tcMar>
              <w:top w:w="0" w:type="dxa"/>
              <w:left w:w="0" w:type="dxa"/>
              <w:bottom w:w="0" w:type="dxa"/>
              <w:right w:w="0" w:type="dxa"/>
            </w:tcMar>
          </w:tcPr>
          <w:p>
            <w:pPr>
              <w:spacing w:before="120"/>
              <w:ind w:left="100"/>
            </w:pPr>
            <w:r>
              <w:rPr>
                <w:rFonts w:hint="eastAsia" w:ascii="宋体" w:hAnsi="宋体" w:eastAsia="宋体" w:cs="宋体"/>
                <w:sz w:val="21"/>
              </w:rPr>
              <w:t>本次拟发行股数</w:t>
            </w:r>
            <w:r>
              <w:rPr>
                <w:rFonts w:hint="eastAsia" w:ascii="宋体" w:hAnsi="宋体" w:eastAsia="宋体" w:cs="宋体"/>
                <w:sz w:val="12"/>
              </w:rPr>
              <w:t>：</w:t>
            </w:r>
          </w:p>
        </w:tc>
        <w:tc>
          <w:tcPr>
            <w:tcW w:w="6280" w:type="dxa"/>
            <w:tcMar>
              <w:top w:w="0" w:type="dxa"/>
              <w:left w:w="0" w:type="dxa"/>
              <w:bottom w:w="0" w:type="dxa"/>
              <w:right w:w="0" w:type="dxa"/>
            </w:tcMar>
          </w:tcPr>
          <w:p>
            <w:pPr>
              <w:spacing w:before="120"/>
            </w:pPr>
            <w:r>
              <w:rPr>
                <w:rFonts w:hint="eastAsia" w:ascii="宋体" w:hAnsi="宋体" w:eastAsia="宋体" w:cs="宋体"/>
                <w:sz w:val="21"/>
              </w:rPr>
              <w:t>不超过</w:t>
            </w:r>
            <w:r>
              <w:rPr>
                <w:rFonts w:hint="eastAsia" w:ascii="Times New Roman" w:hAnsi="Times New Roman" w:eastAsia="Times New Roman" w:cs="Times New Roman"/>
                <w:sz w:val="21"/>
              </w:rPr>
              <w:t xml:space="preserve"> 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105</w:t>
            </w:r>
            <w:r>
              <w:rPr>
                <w:rFonts w:hint="eastAsia" w:ascii="宋体" w:hAnsi="宋体" w:eastAsia="宋体" w:cs="宋体"/>
                <w:sz w:val="21"/>
              </w:rPr>
              <w:t xml:space="preserve"> 万股</w:t>
            </w:r>
          </w:p>
        </w:tc>
      </w:tr>
      <w:tr>
        <w:trPr>
          <w:trHeight w:val="480" w:hRule="exact"/>
        </w:trPr>
        <w:tc>
          <w:tcPr>
            <w:tcW w:w="2240" w:type="dxa"/>
            <w:tcMar>
              <w:top w:w="0" w:type="dxa"/>
              <w:left w:w="0" w:type="dxa"/>
              <w:bottom w:w="0" w:type="dxa"/>
              <w:right w:w="0" w:type="dxa"/>
            </w:tcMar>
          </w:tcPr>
          <w:p>
            <w:pPr>
              <w:spacing w:before="100"/>
              <w:ind w:left="100"/>
            </w:pPr>
            <w:r>
              <w:rPr>
                <w:rFonts w:hint="eastAsia" w:ascii="宋体" w:hAnsi="宋体" w:eastAsia="宋体" w:cs="宋体"/>
                <w:sz w:val="21"/>
              </w:rPr>
              <w:t>每股面值</w:t>
            </w:r>
            <w:r>
              <w:rPr>
                <w:rFonts w:hint="eastAsia" w:ascii="宋体" w:hAnsi="宋体" w:eastAsia="宋体" w:cs="宋体"/>
                <w:sz w:val="10"/>
              </w:rPr>
              <w:t>：</w:t>
            </w:r>
          </w:p>
        </w:tc>
        <w:tc>
          <w:tcPr>
            <w:tcW w:w="6280" w:type="dxa"/>
            <w:tcMar>
              <w:top w:w="0" w:type="dxa"/>
              <w:left w:w="0" w:type="dxa"/>
              <w:bottom w:w="0" w:type="dxa"/>
              <w:right w:w="0" w:type="dxa"/>
            </w:tcMar>
          </w:tcPr>
          <w:p>
            <w:pPr>
              <w:spacing w:before="120"/>
            </w:pPr>
            <w:r>
              <w:rPr>
                <w:rFonts w:hint="eastAsia" w:ascii="宋体" w:hAnsi="宋体" w:eastAsia="宋体" w:cs="宋体"/>
                <w:sz w:val="21"/>
              </w:rPr>
              <w:t>人民币</w:t>
            </w:r>
            <w:r>
              <w:rPr>
                <w:rFonts w:hint="eastAsia" w:ascii="Times New Roman" w:hAnsi="Times New Roman" w:eastAsia="Times New Roman" w:cs="Times New Roman"/>
                <w:sz w:val="21"/>
              </w:rPr>
              <w:t xml:space="preserve"> 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宋体" w:hAnsi="宋体" w:eastAsia="宋体" w:cs="宋体"/>
                <w:sz w:val="21"/>
              </w:rPr>
              <w:t xml:space="preserve"> 元</w:t>
            </w:r>
          </w:p>
        </w:tc>
      </w:tr>
      <w:tr>
        <w:trPr>
          <w:trHeight w:val="460" w:hRule="exact"/>
        </w:trPr>
        <w:tc>
          <w:tcPr>
            <w:tcW w:w="2240" w:type="dxa"/>
            <w:tcMar>
              <w:top w:w="0" w:type="dxa"/>
              <w:left w:w="0" w:type="dxa"/>
              <w:bottom w:w="0" w:type="dxa"/>
              <w:right w:w="0" w:type="dxa"/>
            </w:tcMar>
          </w:tcPr>
          <w:p>
            <w:pPr>
              <w:spacing w:before="100"/>
              <w:ind w:left="100"/>
            </w:pPr>
            <w:r>
              <w:rPr>
                <w:rFonts w:hint="eastAsia" w:ascii="宋体" w:hAnsi="宋体" w:eastAsia="宋体" w:cs="宋体"/>
                <w:sz w:val="21"/>
              </w:rPr>
              <w:t>每股发行价格</w:t>
            </w:r>
            <w:r>
              <w:rPr>
                <w:rFonts w:hint="eastAsia" w:ascii="宋体" w:hAnsi="宋体" w:eastAsia="宋体" w:cs="宋体"/>
                <w:sz w:val="10"/>
              </w:rPr>
              <w:t>：</w:t>
            </w:r>
          </w:p>
        </w:tc>
        <w:tc>
          <w:tcPr>
            <w:tcW w:w="6280" w:type="dxa"/>
            <w:tcMar>
              <w:top w:w="0" w:type="dxa"/>
              <w:left w:w="0" w:type="dxa"/>
              <w:bottom w:w="0" w:type="dxa"/>
              <w:right w:w="0" w:type="dxa"/>
            </w:tcMar>
          </w:tcPr>
          <w:p>
            <w:pPr>
              <w:spacing w:before="1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宋体" w:hAnsi="宋体" w:eastAsia="宋体" w:cs="宋体"/>
                <w:sz w:val="21"/>
              </w:rPr>
              <w:t xml:space="preserve"> 元</w:t>
            </w:r>
            <w:r>
              <w:rPr>
                <w:rFonts w:hint="eastAsia" w:ascii="Times New Roman" w:hAnsi="Times New Roman" w:eastAsia="Times New Roman" w:cs="Times New Roman"/>
                <w:sz w:val="21"/>
              </w:rPr>
              <w:t>/</w:t>
            </w:r>
            <w:r>
              <w:rPr>
                <w:rFonts w:hint="eastAsia" w:ascii="宋体" w:hAnsi="宋体" w:eastAsia="宋体" w:cs="宋体"/>
                <w:sz w:val="21"/>
              </w:rPr>
              <w:t>股</w:t>
            </w:r>
          </w:p>
        </w:tc>
      </w:tr>
      <w:tr>
        <w:trPr>
          <w:trHeight w:val="480" w:hRule="exact"/>
        </w:trPr>
        <w:tc>
          <w:tcPr>
            <w:tcW w:w="2240" w:type="dxa"/>
            <w:tcMar>
              <w:top w:w="0" w:type="dxa"/>
              <w:left w:w="0" w:type="dxa"/>
              <w:bottom w:w="0" w:type="dxa"/>
              <w:right w:w="0" w:type="dxa"/>
            </w:tcMar>
          </w:tcPr>
          <w:p>
            <w:pPr>
              <w:spacing w:before="120"/>
              <w:ind w:left="100"/>
            </w:pPr>
            <w:r>
              <w:rPr>
                <w:rFonts w:hint="eastAsia" w:ascii="宋体" w:hAnsi="宋体" w:eastAsia="宋体" w:cs="宋体"/>
                <w:sz w:val="21"/>
              </w:rPr>
              <w:t>发行方式</w:t>
            </w:r>
            <w:r>
              <w:rPr>
                <w:rFonts w:hint="eastAsia" w:ascii="宋体" w:hAnsi="宋体" w:eastAsia="宋体" w:cs="宋体"/>
                <w:sz w:val="10"/>
              </w:rPr>
              <w:t>：</w:t>
            </w:r>
          </w:p>
        </w:tc>
        <w:tc>
          <w:tcPr>
            <w:tcW w:w="6280" w:type="dxa"/>
            <w:tcMar>
              <w:top w:w="0" w:type="dxa"/>
              <w:left w:w="0" w:type="dxa"/>
              <w:bottom w:w="0" w:type="dxa"/>
              <w:right w:w="0" w:type="dxa"/>
            </w:tcMar>
          </w:tcPr>
          <w:p>
            <w:pPr>
              <w:spacing w:before="120"/>
            </w:pPr>
            <w:r>
              <w:rPr>
                <w:rFonts w:hint="eastAsia" w:ascii="宋体" w:hAnsi="宋体" w:eastAsia="宋体" w:cs="宋体"/>
                <w:sz w:val="21"/>
              </w:rPr>
              <w:t>采用网下向询价对象配售和网上资金申购定价发行相结合的方式</w:t>
            </w:r>
          </w:p>
        </w:tc>
      </w:tr>
      <w:tr>
        <w:trPr>
          <w:trHeight w:val="960" w:hRule="exact"/>
        </w:trPr>
        <w:tc>
          <w:tcPr>
            <w:tcW w:w="2240" w:type="dxa"/>
            <w:tcMar>
              <w:top w:w="0" w:type="dxa"/>
              <w:left w:w="0" w:type="dxa"/>
              <w:bottom w:w="0" w:type="dxa"/>
              <w:right w:w="0" w:type="dxa"/>
            </w:tcMar>
          </w:tcPr>
          <w:p>
            <w:pPr>
              <w:spacing w:before="340"/>
              <w:ind w:left="100"/>
            </w:pPr>
            <w:r>
              <w:rPr>
                <w:rFonts w:hint="eastAsia" w:ascii="宋体" w:hAnsi="宋体" w:eastAsia="宋体" w:cs="宋体"/>
                <w:sz w:val="21"/>
              </w:rPr>
              <w:t>发行对象</w:t>
            </w:r>
            <w:r>
              <w:rPr>
                <w:rFonts w:hint="eastAsia" w:ascii="宋体" w:hAnsi="宋体" w:eastAsia="宋体" w:cs="宋体"/>
                <w:sz w:val="10"/>
              </w:rPr>
              <w:t>：</w:t>
            </w:r>
          </w:p>
        </w:tc>
        <w:tc>
          <w:tcPr>
            <w:tcW w:w="6280" w:type="dxa"/>
            <w:tcMar>
              <w:top w:w="0" w:type="dxa"/>
              <w:left w:w="0" w:type="dxa"/>
              <w:bottom w:w="0" w:type="dxa"/>
              <w:right w:w="0" w:type="dxa"/>
            </w:tcMar>
          </w:tcPr>
          <w:p>
            <w:pPr>
              <w:spacing w:before="120"/>
            </w:pPr>
            <w:r>
              <w:rPr>
                <w:rFonts w:hint="eastAsia" w:ascii="宋体" w:hAnsi="宋体" w:eastAsia="宋体" w:cs="宋体"/>
                <w:sz w:val="21"/>
              </w:rPr>
              <w:t>符合资格的询价对象和在上海证券交易所开户的境内自然人</w:t>
            </w:r>
            <w:r>
              <w:rPr>
                <w:rFonts w:hint="eastAsia" w:ascii="宋体" w:hAnsi="宋体" w:eastAsia="宋体" w:cs="宋体"/>
                <w:sz w:val="10"/>
              </w:rPr>
              <w:t>、</w:t>
            </w:r>
            <w:r>
              <w:rPr>
                <w:rFonts w:hint="eastAsia" w:ascii="宋体" w:hAnsi="宋体" w:eastAsia="宋体" w:cs="宋体"/>
                <w:sz w:val="21"/>
              </w:rPr>
              <w:t>法人</w:t>
            </w:r>
          </w:p>
          <w:p>
            <w:pPr>
              <w:spacing w:before="260"/>
            </w:pPr>
            <w:r>
              <w:rPr>
                <w:rFonts w:hint="eastAsia" w:ascii="宋体" w:hAnsi="宋体" w:eastAsia="宋体" w:cs="宋体"/>
                <w:sz w:val="21"/>
              </w:rPr>
              <w:t>等投资者</w:t>
            </w:r>
            <w:r>
              <w:rPr>
                <w:rFonts w:hint="eastAsia" w:ascii="宋体" w:hAnsi="宋体" w:eastAsia="宋体" w:cs="宋体"/>
                <w:sz w:val="20"/>
              </w:rPr>
              <w:t>（</w:t>
            </w:r>
            <w:r>
              <w:rPr>
                <w:rFonts w:hint="eastAsia" w:ascii="宋体" w:hAnsi="宋体" w:eastAsia="宋体" w:cs="宋体"/>
                <w:sz w:val="21"/>
              </w:rPr>
              <w:t>国家法律法规禁止购买者除外</w:t>
            </w:r>
            <w:r>
              <w:rPr>
                <w:rFonts w:hint="eastAsia" w:ascii="宋体" w:hAnsi="宋体" w:eastAsia="宋体" w:cs="宋体"/>
                <w:sz w:val="20"/>
              </w:rPr>
              <w:t>）</w:t>
            </w:r>
          </w:p>
        </w:tc>
      </w:tr>
      <w:tr>
        <w:trPr>
          <w:trHeight w:val="460" w:hRule="exact"/>
        </w:trPr>
        <w:tc>
          <w:tcPr>
            <w:tcW w:w="2240" w:type="dxa"/>
            <w:tcMar>
              <w:top w:w="0" w:type="dxa"/>
              <w:left w:w="0" w:type="dxa"/>
              <w:bottom w:w="0" w:type="dxa"/>
              <w:right w:w="0" w:type="dxa"/>
            </w:tcMar>
          </w:tcPr>
          <w:p>
            <w:pPr>
              <w:spacing w:before="100"/>
              <w:ind w:left="100"/>
            </w:pPr>
            <w:r>
              <w:rPr>
                <w:rFonts w:hint="eastAsia" w:ascii="宋体" w:hAnsi="宋体" w:eastAsia="宋体" w:cs="宋体"/>
                <w:sz w:val="21"/>
              </w:rPr>
              <w:t>承销方式</w:t>
            </w:r>
            <w:r>
              <w:rPr>
                <w:rFonts w:hint="eastAsia" w:ascii="宋体" w:hAnsi="宋体" w:eastAsia="宋体" w:cs="宋体"/>
                <w:sz w:val="10"/>
              </w:rPr>
              <w:t>：</w:t>
            </w:r>
          </w:p>
        </w:tc>
        <w:tc>
          <w:tcPr>
            <w:tcW w:w="6280" w:type="dxa"/>
            <w:tcMar>
              <w:top w:w="0" w:type="dxa"/>
              <w:left w:w="0" w:type="dxa"/>
              <w:bottom w:w="0" w:type="dxa"/>
              <w:right w:w="0" w:type="dxa"/>
            </w:tcMar>
          </w:tcPr>
          <w:p>
            <w:pPr>
              <w:spacing w:before="100"/>
            </w:pPr>
            <w:r>
              <w:rPr>
                <w:rFonts w:hint="eastAsia" w:ascii="宋体" w:hAnsi="宋体" w:eastAsia="宋体" w:cs="宋体"/>
                <w:sz w:val="21"/>
              </w:rPr>
              <w:t>由保荐人</w:t>
            </w:r>
            <w:r>
              <w:rPr>
                <w:rFonts w:hint="eastAsia" w:ascii="宋体" w:hAnsi="宋体" w:eastAsia="宋体" w:cs="宋体"/>
                <w:sz w:val="20"/>
              </w:rPr>
              <w:t>（</w:t>
            </w:r>
            <w:r>
              <w:rPr>
                <w:rFonts w:hint="eastAsia" w:ascii="宋体" w:hAnsi="宋体" w:eastAsia="宋体" w:cs="宋体"/>
                <w:sz w:val="21"/>
              </w:rPr>
              <w:t>主承销商</w:t>
            </w:r>
            <w:r>
              <w:rPr>
                <w:rFonts w:hint="eastAsia" w:ascii="宋体" w:hAnsi="宋体" w:eastAsia="宋体" w:cs="宋体"/>
                <w:sz w:val="20"/>
              </w:rPr>
              <w:t>）</w:t>
            </w:r>
            <w:r>
              <w:rPr>
                <w:rFonts w:hint="eastAsia" w:ascii="宋体" w:hAnsi="宋体" w:eastAsia="宋体" w:cs="宋体"/>
                <w:sz w:val="21"/>
              </w:rPr>
              <w:t>包销或者组织的承销团以包销方式承销</w:t>
            </w:r>
          </w:p>
        </w:tc>
      </w:tr>
      <w:tr>
        <w:trPr>
          <w:trHeight w:val="480" w:hRule="exact"/>
        </w:trPr>
        <w:tc>
          <w:tcPr>
            <w:tcW w:w="2240" w:type="dxa"/>
            <w:tcMar>
              <w:top w:w="0" w:type="dxa"/>
              <w:left w:w="0" w:type="dxa"/>
              <w:bottom w:w="0" w:type="dxa"/>
              <w:right w:w="0" w:type="dxa"/>
            </w:tcMar>
          </w:tcPr>
          <w:p>
            <w:pPr>
              <w:spacing w:before="120"/>
              <w:ind w:left="100"/>
            </w:pPr>
            <w:r>
              <w:rPr>
                <w:rFonts w:hint="eastAsia" w:ascii="宋体" w:hAnsi="宋体" w:eastAsia="宋体" w:cs="宋体"/>
                <w:sz w:val="21"/>
              </w:rPr>
              <w:t>申请上市交易所</w:t>
            </w:r>
            <w:r>
              <w:rPr>
                <w:rFonts w:hint="eastAsia" w:ascii="宋体" w:hAnsi="宋体" w:eastAsia="宋体" w:cs="宋体"/>
                <w:sz w:val="10"/>
              </w:rPr>
              <w:t>：</w:t>
            </w:r>
          </w:p>
        </w:tc>
        <w:tc>
          <w:tcPr>
            <w:tcW w:w="6280" w:type="dxa"/>
            <w:tcMar>
              <w:top w:w="0" w:type="dxa"/>
              <w:left w:w="0" w:type="dxa"/>
              <w:bottom w:w="0" w:type="dxa"/>
              <w:right w:w="0" w:type="dxa"/>
            </w:tcMar>
          </w:tcPr>
          <w:p>
            <w:pPr>
              <w:spacing w:before="120"/>
            </w:pPr>
            <w:r>
              <w:rPr>
                <w:rFonts w:hint="eastAsia" w:ascii="宋体" w:hAnsi="宋体" w:eastAsia="宋体" w:cs="宋体"/>
                <w:sz w:val="21"/>
              </w:rPr>
              <w:t>上海证券交易所</w:t>
            </w:r>
          </w:p>
        </w:tc>
      </w:tr>
    </w:tbl>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ºÚÌå" w:hAnsi="ºÚÌå" w:eastAsia="ºÚÌå" w:cs="ºÚÌå"/>
          <w:sz w:val="30"/>
        </w:rPr>
        <w:t>五</w:t>
      </w:r>
      <w:r>
        <w:rPr>
          <w:rFonts w:hint="eastAsia" w:ascii="ºÚÌå" w:hAnsi="ºÚÌå" w:eastAsia="ºÚÌå" w:cs="ºÚÌå"/>
          <w:sz w:val="10"/>
        </w:rPr>
        <w:t>、</w:t>
      </w:r>
      <w:r>
        <w:rPr>
          <w:rFonts w:hint="eastAsia" w:ascii="ºÚÌå" w:hAnsi="ºÚÌå" w:eastAsia="ºÚÌå" w:cs="ºÚÌå"/>
          <w:sz w:val="30"/>
        </w:rPr>
        <w:t>本次募集资金主要用途</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20" w:firstLine="480"/>
        <w:jc w:val="both"/>
      </w:pPr>
      <w:r>
        <w:rPr>
          <w:rFonts w:hint="eastAsia" w:ascii="宋体" w:hAnsi="宋体" w:eastAsia="宋体" w:cs="宋体"/>
          <w:sz w:val="24"/>
        </w:rPr>
        <w:t>公司本次拟向社会公众公开发行人民币普通股不超过</w:t>
      </w:r>
      <w:r>
        <w:rPr>
          <w:rFonts w:hint="eastAsia" w:ascii="Times New Roman" w:hAnsi="Times New Roman" w:eastAsia="Times New Roman" w:cs="Times New Roman"/>
          <w:sz w:val="24"/>
        </w:rPr>
        <w:t xml:space="preserve"> 2,105</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无原股东公开发售股份</w:t>
      </w:r>
      <w:r>
        <w:rPr>
          <w:rFonts w:hint="eastAsia" w:ascii="宋体" w:hAnsi="宋体" w:eastAsia="宋体" w:cs="宋体"/>
          <w:sz w:val="10"/>
        </w:rPr>
        <w:t>，</w:t>
      </w:r>
      <w:r>
        <w:rPr>
          <w:rFonts w:hint="eastAsia" w:ascii="宋体" w:hAnsi="宋体" w:eastAsia="宋体" w:cs="宋体"/>
          <w:sz w:val="24"/>
        </w:rPr>
        <w:t>公开发行数量不低于发行后总股本的</w:t>
      </w:r>
      <w:r>
        <w:rPr>
          <w:rFonts w:hint="eastAsia" w:ascii="Times New Roman" w:hAnsi="Times New Roman" w:eastAsia="Times New Roman" w:cs="Times New Roman"/>
          <w:sz w:val="24"/>
        </w:rPr>
        <w:t xml:space="preserve"> 25.00%</w:t>
      </w:r>
      <w:r>
        <w:rPr>
          <w:rFonts w:hint="eastAsia" w:ascii="宋体" w:hAnsi="宋体" w:eastAsia="宋体" w:cs="宋体"/>
          <w:sz w:val="10"/>
        </w:rPr>
        <w:t>，</w:t>
      </w:r>
      <w:r>
        <w:rPr>
          <w:rFonts w:hint="eastAsia" w:ascii="宋体" w:hAnsi="宋体" w:eastAsia="宋体" w:cs="宋体"/>
          <w:sz w:val="24"/>
        </w:rPr>
        <w:t>公司实际募集资金扣除发行费用后净额为</w:t>
      </w:r>
      <w:r>
        <w:rPr>
          <w:rFonts w:hint="eastAsia" w:ascii="Times New Roman" w:hAnsi="Times New Roman" w:eastAsia="Times New Roman" w:cs="Times New Roman"/>
          <w:sz w:val="24"/>
        </w:rPr>
        <w:t xml:space="preserve"> 36,243.44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全部用于公司主营业务相关的项目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本次首次公开发行股票募集资金项目经公司股东大会审议通过</w:t>
      </w:r>
      <w:r>
        <w:rPr>
          <w:rFonts w:hint="eastAsia" w:ascii="宋体" w:hAnsi="宋体" w:eastAsia="宋体" w:cs="宋体"/>
          <w:sz w:val="10"/>
        </w:rPr>
        <w:t>。</w:t>
      </w:r>
      <w:r>
        <w:rPr>
          <w:rFonts w:hint="eastAsia" w:ascii="宋体" w:hAnsi="宋体" w:eastAsia="宋体" w:cs="宋体"/>
          <w:sz w:val="24"/>
        </w:rPr>
        <w:t>公司募集资金存放于董事会指定的专户集中管理</w:t>
      </w:r>
      <w:r>
        <w:rPr>
          <w:rFonts w:hint="eastAsia" w:ascii="宋体" w:hAnsi="宋体" w:eastAsia="宋体" w:cs="宋体"/>
          <w:sz w:val="10"/>
        </w:rPr>
        <w:t>，</w:t>
      </w:r>
      <w:r>
        <w:rPr>
          <w:rFonts w:hint="eastAsia" w:ascii="宋体" w:hAnsi="宋体" w:eastAsia="宋体" w:cs="宋体"/>
          <w:sz w:val="24"/>
        </w:rPr>
        <w:t>做到专款专用</w:t>
      </w:r>
      <w:r>
        <w:rPr>
          <w:rFonts w:hint="eastAsia" w:ascii="宋体" w:hAnsi="宋体" w:eastAsia="宋体" w:cs="宋体"/>
          <w:sz w:val="10"/>
        </w:rPr>
        <w:t>，</w:t>
      </w:r>
      <w:r>
        <w:rPr>
          <w:rFonts w:hint="eastAsia" w:ascii="宋体" w:hAnsi="宋体" w:eastAsia="宋体" w:cs="宋体"/>
          <w:sz w:val="24"/>
        </w:rPr>
        <w:t>开户银行为【】，</w:t>
      </w:r>
      <w:r>
        <w:rPr>
          <w:rFonts w:hint="eastAsia" w:ascii="宋体" w:hAnsi="宋体" w:eastAsia="宋体" w:cs="宋体"/>
          <w:sz w:val="24"/>
        </w:rPr>
        <w:t>账号为【】。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1-1-30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本次募集资金投向经公司股东大会审议确定</w:t>
      </w:r>
      <w:r>
        <w:rPr>
          <w:rFonts w:hint="eastAsia" w:ascii="宋体" w:hAnsi="宋体" w:eastAsia="宋体" w:cs="宋体"/>
          <w:sz w:val="10"/>
        </w:rPr>
        <w:t>，</w:t>
      </w:r>
      <w:r>
        <w:rPr>
          <w:rFonts w:hint="eastAsia" w:ascii="宋体" w:hAnsi="宋体" w:eastAsia="宋体" w:cs="宋体"/>
          <w:sz w:val="24"/>
        </w:rPr>
        <w:t>由董事会负责实施</w:t>
      </w:r>
      <w:r>
        <w:rPr>
          <w:rFonts w:hint="eastAsia" w:ascii="宋体" w:hAnsi="宋体" w:eastAsia="宋体" w:cs="宋体"/>
          <w:sz w:val="10"/>
        </w:rPr>
        <w:t>，</w:t>
      </w:r>
      <w:r>
        <w:rPr>
          <w:rFonts w:hint="eastAsia" w:ascii="宋体" w:hAnsi="宋体" w:eastAsia="宋体" w:cs="宋体"/>
          <w:sz w:val="24"/>
        </w:rPr>
        <w:t>用于</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基于新一代</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的平台及产品升级项目</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金融行业互联网化应用解决方案项目</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流程券商（含期货）解决方案项目</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新一代电子交易市场业务支撑系统项目</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5</w:t>
      </w:r>
      <w:r>
        <w:rPr>
          <w:rFonts w:hint="eastAsia" w:ascii="宋体" w:hAnsi="宋体" w:eastAsia="宋体" w:cs="宋体"/>
          <w:sz w:val="10"/>
        </w:rPr>
        <w:t>、</w:t>
      </w:r>
      <w:r>
        <w:rPr>
          <w:rFonts w:hint="eastAsia" w:ascii="宋体" w:hAnsi="宋体" w:eastAsia="宋体" w:cs="宋体"/>
          <w:sz w:val="24"/>
        </w:rPr>
        <w:t>研发中心建设项目</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如募集资金到位时间与项目进度不一致</w:t>
      </w:r>
      <w:r>
        <w:rPr>
          <w:rFonts w:hint="eastAsia" w:ascii="宋体" w:hAnsi="宋体" w:eastAsia="宋体" w:cs="宋体"/>
          <w:sz w:val="10"/>
        </w:rPr>
        <w:t>，</w:t>
      </w:r>
      <w:r>
        <w:rPr>
          <w:rFonts w:hint="eastAsia" w:ascii="宋体" w:hAnsi="宋体" w:eastAsia="宋体" w:cs="宋体"/>
          <w:sz w:val="24"/>
        </w:rPr>
        <w:t>公司将根据项目的实际需要以及公司实际情况以其他资金先行投入</w:t>
      </w:r>
      <w:r>
        <w:rPr>
          <w:rFonts w:hint="eastAsia" w:ascii="宋体" w:hAnsi="宋体" w:eastAsia="宋体" w:cs="宋体"/>
          <w:sz w:val="10"/>
        </w:rPr>
        <w:t>，</w:t>
      </w:r>
      <w:r>
        <w:rPr>
          <w:rFonts w:hint="eastAsia" w:ascii="宋体" w:hAnsi="宋体" w:eastAsia="宋体" w:cs="宋体"/>
          <w:sz w:val="24"/>
        </w:rPr>
        <w:t>募集资金到位后予以置换</w:t>
      </w:r>
      <w:r>
        <w:rPr>
          <w:rFonts w:hint="eastAsia" w:ascii="宋体" w:hAnsi="宋体" w:eastAsia="宋体" w:cs="宋体"/>
          <w:sz w:val="10"/>
        </w:rPr>
        <w:t>。</w:t>
      </w:r>
      <w:r>
        <w:rPr>
          <w:rFonts w:hint="eastAsia" w:ascii="宋体" w:hAnsi="宋体" w:eastAsia="宋体" w:cs="宋体"/>
          <w:sz w:val="24"/>
        </w:rPr>
        <w:t>本次募集资金到位后</w:t>
      </w:r>
      <w:r>
        <w:rPr>
          <w:rFonts w:hint="eastAsia" w:ascii="宋体" w:hAnsi="宋体" w:eastAsia="宋体" w:cs="宋体"/>
          <w:sz w:val="10"/>
        </w:rPr>
        <w:t>，</w:t>
      </w:r>
      <w:r>
        <w:rPr>
          <w:rFonts w:hint="eastAsia" w:ascii="宋体" w:hAnsi="宋体" w:eastAsia="宋体" w:cs="宋体"/>
          <w:sz w:val="24"/>
        </w:rPr>
        <w:t>公司将按上述用途资金需求的轻重缓急安排使用</w:t>
      </w:r>
      <w:r>
        <w:rPr>
          <w:rFonts w:hint="eastAsia" w:ascii="宋体" w:hAnsi="宋体" w:eastAsia="宋体" w:cs="宋体"/>
          <w:sz w:val="10"/>
        </w:rPr>
        <w:t>。</w:t>
      </w:r>
      <w:r>
        <w:rPr>
          <w:rFonts w:hint="eastAsia" w:ascii="宋体" w:hAnsi="宋体" w:eastAsia="宋体" w:cs="宋体"/>
          <w:sz w:val="24"/>
        </w:rPr>
        <w:t>募集资金投资上述项目如有剩余</w:t>
      </w:r>
      <w:r>
        <w:rPr>
          <w:rFonts w:hint="eastAsia" w:ascii="宋体" w:hAnsi="宋体" w:eastAsia="宋体" w:cs="宋体"/>
          <w:sz w:val="10"/>
        </w:rPr>
        <w:t>，</w:t>
      </w:r>
      <w:r>
        <w:rPr>
          <w:rFonts w:hint="eastAsia" w:ascii="宋体" w:hAnsi="宋体" w:eastAsia="宋体" w:cs="宋体"/>
          <w:sz w:val="24"/>
        </w:rPr>
        <w:t>将根据中国证监会及上交所的有关规定用于公司的主营业务或补充流动资金</w:t>
      </w:r>
      <w:r>
        <w:rPr>
          <w:rFonts w:hint="eastAsia" w:ascii="宋体" w:hAnsi="宋体" w:eastAsia="宋体" w:cs="宋体"/>
          <w:sz w:val="10"/>
        </w:rPr>
        <w:t>。</w:t>
      </w:r>
      <w:r>
        <w:rPr>
          <w:rFonts w:hint="eastAsia" w:ascii="宋体" w:hAnsi="宋体" w:eastAsia="宋体" w:cs="宋体"/>
          <w:sz w:val="24"/>
        </w:rPr>
        <w:t>募集资金投资上述项目如有不足</w:t>
      </w:r>
      <w:r>
        <w:rPr>
          <w:rFonts w:hint="eastAsia" w:ascii="宋体" w:hAnsi="宋体" w:eastAsia="宋体" w:cs="宋体"/>
          <w:sz w:val="10"/>
        </w:rPr>
        <w:t>，</w:t>
      </w:r>
      <w:r>
        <w:rPr>
          <w:rFonts w:hint="eastAsia" w:ascii="宋体" w:hAnsi="宋体" w:eastAsia="宋体" w:cs="宋体"/>
          <w:sz w:val="24"/>
        </w:rPr>
        <w:t>公司将以自有资金</w:t>
      </w:r>
      <w:r>
        <w:rPr>
          <w:rFonts w:hint="eastAsia" w:ascii="宋体" w:hAnsi="宋体" w:eastAsia="宋体" w:cs="宋体"/>
          <w:sz w:val="10"/>
        </w:rPr>
        <w:t>、</w:t>
      </w:r>
      <w:r>
        <w:rPr>
          <w:rFonts w:hint="eastAsia" w:ascii="宋体" w:hAnsi="宋体" w:eastAsia="宋体" w:cs="宋体"/>
          <w:sz w:val="24"/>
        </w:rPr>
        <w:t>银行贷款或其他债务融资方式完成项目投资</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60"/>
        <w:jc w:val="both"/>
      </w:pPr>
      <w:r>
        <w:rPr>
          <w:rFonts w:hint="eastAsia" w:ascii="Times New Roman" w:hAnsi="Times New Roman" w:eastAsia="Times New Roman" w:cs="Times New Roman"/>
          <w:sz w:val="21"/>
        </w:rPr>
        <w:t>1-1-31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4220"/>
        <w:jc w:val="both"/>
      </w:pPr>
      <w:r>
        <w:rPr>
          <w:rFonts w:hint="eastAsia" w:ascii="ºÚÌå" w:hAnsi="ºÚÌå" w:eastAsia="ºÚÌå" w:cs="ºÚÌå"/>
          <w:b/>
          <w:sz w:val="36"/>
        </w:rPr>
        <w:t>第三节</w:t>
      </w:r>
      <w:r>
        <w:rPr>
          <w:rFonts w:hint="eastAsia" w:ascii="ºÚÌå" w:hAnsi="ºÚÌå" w:eastAsia="ºÚÌå" w:cs="ºÚÌå"/>
          <w:b/>
          <w:sz w:val="36"/>
        </w:rPr>
        <w:t xml:space="preserve"> </w:t>
      </w:r>
      <w:r>
        <w:rPr>
          <w:rFonts w:hint="eastAsia" w:ascii="ºÚÌå" w:hAnsi="ºÚÌå" w:eastAsia="ºÚÌå" w:cs="ºÚÌå"/>
          <w:b/>
          <w:sz w:val="36"/>
        </w:rPr>
        <w:t>本次发行概况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36"/>
        </w:rPr>
        <w:t>一、</w:t>
      </w:r>
      <w:r>
        <w:rPr>
          <w:rFonts w:hint="eastAsia" w:ascii="ºÚÌå" w:hAnsi="ºÚÌå" w:eastAsia="ºÚÌå" w:cs="ºÚÌå"/>
          <w:sz w:val="30"/>
        </w:rPr>
        <w:t>本次发行的基本情况</w:t>
      </w:r>
    </w:p>
    <w:p>
      <w:pPr>
        <w:spacing w:line="200" w:lineRule="exact"/>
        <w:rPr>
          <w:rFonts w:hint="eastAsia" w:ascii="宋体" w:hAnsi="宋体" w:eastAsia="宋体" w:cs="宋体"/>
          <w:sz w:val="20"/>
        </w:rPr>
      </w:pPr>
    </w:p>
    <w:p>
      <w:pPr>
        <w:tabs>
          <w:tab w:val="left" w:pos="2980"/>
          <w:tab w:val="left" w:pos="6020"/>
        </w:tabs>
        <w:autoSpaceDE w:val="false"/>
        <w:autoSpaceDN w:val="false"/>
        <w:spacing w:line="400" w:lineRule="exact"/>
        <w:ind w:left="1800"/>
        <w:jc w:val="both"/>
      </w:pPr>
      <w:r>
        <w:rPr>
          <w:rFonts w:hint="eastAsia" w:ascii="宋体" w:hAnsi="宋体" w:eastAsia="宋体" w:cs="宋体"/>
          <w:sz w:val="30"/>
        </w:rPr>
        <w:t>（一）</w:t>
      </w:r>
      <w:r>
        <w:tab/>
      </w:r>
      <w:r>
        <w:rPr>
          <w:rFonts w:hint="eastAsia" w:ascii="宋体" w:hAnsi="宋体" w:eastAsia="宋体" w:cs="宋体"/>
          <w:sz w:val="24"/>
        </w:rPr>
        <w:t>股票种类</w:t>
      </w:r>
      <w:r>
        <w:rPr>
          <w:rFonts w:hint="eastAsia" w:ascii="宋体" w:hAnsi="宋体" w:eastAsia="宋体" w:cs="宋体"/>
          <w:sz w:val="12"/>
        </w:rPr>
        <w:t>：</w:t>
      </w:r>
      <w:r>
        <w:tab/>
      </w:r>
      <w:r>
        <w:rPr>
          <w:rFonts w:hint="eastAsia" w:ascii="宋体" w:hAnsi="宋体" w:eastAsia="宋体" w:cs="宋体"/>
          <w:sz w:val="24"/>
        </w:rPr>
        <w:t>人民币普通股（</w:t>
      </w:r>
      <w:r>
        <w:rPr>
          <w:rFonts w:hint="eastAsia" w:ascii="Times New Roman" w:hAnsi="Times New Roman" w:eastAsia="Times New Roman" w:cs="Times New Roman"/>
          <w:sz w:val="24"/>
        </w:rPr>
        <w:t>A</w:t>
      </w:r>
      <w:r>
        <w:rPr>
          <w:rFonts w:hint="eastAsia" w:ascii="宋体" w:hAnsi="宋体" w:eastAsia="宋体" w:cs="宋体"/>
          <w:sz w:val="24"/>
        </w:rPr>
        <w:t xml:space="preserve"> 股）</w:t>
      </w:r>
    </w:p>
    <w:p>
      <w:pPr>
        <w:spacing w:line="200" w:lineRule="exact"/>
        <w:rPr>
          <w:rFonts w:hint="eastAsia" w:ascii="宋体" w:hAnsi="宋体" w:eastAsia="宋体" w:cs="宋体"/>
          <w:sz w:val="20"/>
        </w:rPr>
      </w:pPr>
    </w:p>
    <w:p>
      <w:pPr>
        <w:tabs>
          <w:tab w:val="left" w:pos="2980"/>
          <w:tab w:val="left" w:pos="6020"/>
        </w:tabs>
        <w:autoSpaceDE w:val="false"/>
        <w:autoSpaceDN w:val="false"/>
        <w:spacing w:line="420" w:lineRule="exact"/>
        <w:ind w:left="1800"/>
        <w:jc w:val="both"/>
      </w:pPr>
      <w:r>
        <w:rPr>
          <w:rFonts w:hint="eastAsia" w:ascii="宋体" w:hAnsi="宋体" w:eastAsia="宋体" w:cs="宋体"/>
          <w:sz w:val="24"/>
        </w:rPr>
        <w:t>（二）</w:t>
      </w:r>
      <w:r>
        <w:tab/>
      </w:r>
      <w:r>
        <w:rPr>
          <w:rFonts w:hint="eastAsia" w:ascii="宋体" w:hAnsi="宋体" w:eastAsia="宋体" w:cs="宋体"/>
          <w:sz w:val="24"/>
        </w:rPr>
        <w:t>每股面值</w:t>
      </w:r>
      <w:r>
        <w:rPr>
          <w:rFonts w:hint="eastAsia" w:ascii="宋体" w:hAnsi="宋体" w:eastAsia="宋体" w:cs="宋体"/>
          <w:sz w:val="10"/>
        </w:rPr>
        <w:t>：</w:t>
      </w:r>
      <w:r>
        <w:tab/>
      </w:r>
      <w:r>
        <w:rPr>
          <w:rFonts w:hint="eastAsia" w:ascii="Times New Roman" w:hAnsi="Times New Roman" w:eastAsia="Times New Roman" w:cs="Times New Roman"/>
          <w:sz w:val="24"/>
        </w:rPr>
        <w:t>1.00</w:t>
      </w:r>
      <w:r>
        <w:rPr>
          <w:rFonts w:hint="eastAsia" w:ascii="宋体" w:hAnsi="宋体" w:eastAsia="宋体" w:cs="宋体"/>
          <w:sz w:val="24"/>
        </w:rPr>
        <w:t xml:space="preserve"> 元人民币</w:t>
      </w:r>
    </w:p>
    <w:p>
      <w:pPr>
        <w:spacing w:line="200" w:lineRule="exact"/>
        <w:rPr>
          <w:rFonts w:hint="eastAsia" w:ascii="宋体" w:hAnsi="宋体" w:eastAsia="宋体" w:cs="宋体"/>
          <w:sz w:val="20"/>
        </w:rPr>
      </w:pPr>
    </w:p>
    <w:p>
      <w:pPr>
        <w:tabs>
          <w:tab w:val="left" w:pos="2980"/>
          <w:tab w:val="left" w:pos="6020"/>
        </w:tabs>
        <w:autoSpaceDE w:val="false"/>
        <w:autoSpaceDN w:val="false"/>
        <w:spacing w:line="420" w:lineRule="exact"/>
        <w:ind w:left="1800"/>
        <w:jc w:val="both"/>
      </w:pPr>
      <w:r>
        <w:rPr>
          <w:rFonts w:hint="eastAsia" w:ascii="宋体" w:hAnsi="宋体" w:eastAsia="宋体" w:cs="宋体"/>
          <w:sz w:val="24"/>
        </w:rPr>
        <w:t>（三）</w:t>
      </w:r>
      <w:r>
        <w:tab/>
      </w:r>
      <w:r>
        <w:rPr>
          <w:rFonts w:hint="eastAsia" w:ascii="宋体" w:hAnsi="宋体" w:eastAsia="宋体" w:cs="宋体"/>
          <w:sz w:val="24"/>
        </w:rPr>
        <w:t>发行股数</w:t>
      </w:r>
      <w:r>
        <w:rPr>
          <w:rFonts w:hint="eastAsia" w:ascii="宋体" w:hAnsi="宋体" w:eastAsia="宋体" w:cs="宋体"/>
          <w:sz w:val="10"/>
        </w:rPr>
        <w:t>：</w:t>
      </w:r>
      <w:r>
        <w:tab/>
      </w:r>
      <w:r>
        <w:rPr>
          <w:rFonts w:hint="eastAsia" w:ascii="宋体" w:hAnsi="宋体" w:eastAsia="宋体" w:cs="宋体"/>
          <w:sz w:val="24"/>
        </w:rPr>
        <w:t>不超过</w:t>
      </w:r>
      <w:r>
        <w:rPr>
          <w:rFonts w:hint="eastAsia" w:ascii="Times New Roman" w:hAnsi="Times New Roman" w:eastAsia="Times New Roman" w:cs="Times New Roman"/>
          <w:sz w:val="24"/>
        </w:rPr>
        <w:t xml:space="preserve"> 2,105</w:t>
      </w:r>
      <w:r>
        <w:rPr>
          <w:rFonts w:hint="eastAsia" w:ascii="宋体" w:hAnsi="宋体" w:eastAsia="宋体" w:cs="宋体"/>
          <w:sz w:val="24"/>
        </w:rPr>
        <w:t xml:space="preserve"> 万股</w:t>
      </w:r>
    </w:p>
    <w:p>
      <w:pPr>
        <w:sectPr>
          <w:type w:val="nextPage"/>
          <w:pgSz w:w="11900" w:h="16820"/>
          <w:pgMar w:top="0" w:right="0" w:bottom="0" w:left="0"/>
        </w:sectPr>
      </w:pPr>
    </w:p>
    <w:p>
      <w:pPr>
        <w:spacing w:line="200" w:lineRule="exact"/>
        <w:rPr>
          <w:rFonts w:hint="eastAsia" w:ascii="宋体" w:hAnsi="宋体" w:eastAsia="宋体" w:cs="宋体"/>
          <w:sz w:val="20"/>
        </w:rPr>
      </w:pPr>
    </w:p>
    <w:p>
      <w:pPr>
        <w:autoSpaceDE w:val="false"/>
        <w:autoSpaceDN w:val="false"/>
        <w:spacing w:line="540" w:lineRule="exact"/>
        <w:ind w:left="2980" w:right="0"/>
        <w:jc w:val="both"/>
      </w:pPr>
      <w:r>
        <w:rPr>
          <w:rFonts w:hint="eastAsia" w:ascii="宋体" w:hAnsi="宋体" w:eastAsia="宋体" w:cs="宋体"/>
          <w:sz w:val="24"/>
        </w:rPr>
        <w:t>本次发行后社会公众股占发行后总股本的比例</w:t>
      </w:r>
      <w:r>
        <w:rPr>
          <w:rFonts w:hint="eastAsia" w:ascii="宋体" w:hAnsi="宋体" w:eastAsia="宋体" w:cs="宋体"/>
          <w:sz w:val="12"/>
        </w:rPr>
        <w:t>：</w:t>
      </w:r>
    </w:p>
    <w:p>
      <w:pPr>
        <w:spacing w:line="200" w:lineRule="exact"/>
        <w:rPr>
          <w:rFonts w:hint="eastAsia" w:ascii="宋体" w:hAnsi="宋体" w:eastAsia="宋体" w:cs="宋体"/>
          <w:sz w:val="20"/>
        </w:rPr>
      </w:pPr>
      <w:r>
        <w:br w:type="column"/>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0"/>
        <w:jc w:val="both"/>
      </w:pPr>
      <w:r>
        <w:rPr>
          <w:rFonts w:hint="eastAsia" w:ascii="宋体" w:hAnsi="宋体" w:eastAsia="宋体" w:cs="宋体"/>
          <w:sz w:val="24"/>
        </w:rPr>
        <w:t>不低于</w:t>
      </w:r>
      <w:r>
        <w:rPr>
          <w:rFonts w:hint="eastAsia" w:ascii="Times New Roman" w:hAnsi="Times New Roman" w:eastAsia="Times New Roman" w:cs="Times New Roman"/>
          <w:sz w:val="24"/>
        </w:rPr>
        <w:t xml:space="preserve"> 25.00%</w:t>
      </w:r>
    </w:p>
    <w:p>
      <w:pPr>
        <w:sectPr>
          <w:type w:val="continuous"/>
          <w:pgSz w:w="11900" w:h="16820"/>
          <w:pgMar w:top="0" w:right="0" w:bottom="0" w:left="0"/>
          <w:cols w:equalWidth="false" w:num="2" w:sep="false">
            <w:col w:w="5840" w:space="180"/>
            <w:col w:w="1700"/>
          </w:cols>
        </w:sectPr>
      </w:pPr>
    </w:p>
    <w:p>
      <w:pPr>
        <w:spacing w:line="200" w:lineRule="exact"/>
        <w:rPr>
          <w:rFonts w:hint="eastAsia" w:ascii="宋体" w:hAnsi="宋体" w:eastAsia="宋体" w:cs="宋体"/>
          <w:sz w:val="20"/>
        </w:rPr>
      </w:pPr>
    </w:p>
    <w:p>
      <w:pPr>
        <w:tabs>
          <w:tab w:val="left" w:pos="2980"/>
          <w:tab w:val="left" w:pos="6020"/>
        </w:tabs>
        <w:autoSpaceDE w:val="false"/>
        <w:autoSpaceDN w:val="false"/>
        <w:spacing w:line="460" w:lineRule="exact"/>
        <w:ind w:left="1800"/>
        <w:jc w:val="both"/>
      </w:pPr>
      <w:r>
        <w:rPr>
          <w:rFonts w:hint="eastAsia" w:ascii="宋体" w:hAnsi="宋体" w:eastAsia="宋体" w:cs="宋体"/>
          <w:sz w:val="24"/>
        </w:rPr>
        <w:t>（四）</w:t>
      </w:r>
      <w:r>
        <w:tab/>
      </w:r>
      <w:r>
        <w:rPr>
          <w:rFonts w:hint="eastAsia" w:ascii="宋体" w:hAnsi="宋体" w:eastAsia="宋体" w:cs="宋体"/>
          <w:sz w:val="24"/>
        </w:rPr>
        <w:t>每股发行价格</w:t>
      </w:r>
      <w:r>
        <w:rPr>
          <w:rFonts w:hint="eastAsia" w:ascii="宋体" w:hAnsi="宋体" w:eastAsia="宋体" w:cs="宋体"/>
          <w:sz w:val="12"/>
        </w:rPr>
        <w:t>：</w:t>
      </w:r>
      <w:r>
        <w:tab/>
      </w:r>
      <w:r>
        <w:rPr>
          <w:rFonts w:hint="eastAsia" w:ascii="Times New Roman" w:hAnsi="Times New Roman" w:eastAsia="Times New Roman" w:cs="Times New Roman"/>
          <w:sz w:val="24"/>
        </w:rPr>
        <w:t>19.05</w:t>
      </w:r>
      <w:r>
        <w:rPr>
          <w:rFonts w:hint="eastAsia" w:ascii="宋体" w:hAnsi="宋体" w:eastAsia="宋体" w:cs="宋体"/>
          <w:sz w:val="24"/>
        </w:rPr>
        <w:t xml:space="preserve"> 元</w:t>
      </w:r>
    </w:p>
    <w:p>
      <w:pPr>
        <w:spacing w:line="200" w:lineRule="exact"/>
        <w:rPr>
          <w:rFonts w:hint="eastAsia" w:ascii="宋体" w:hAnsi="宋体" w:eastAsia="宋体" w:cs="宋体"/>
          <w:sz w:val="20"/>
        </w:rPr>
      </w:pPr>
    </w:p>
    <w:p>
      <w:pPr>
        <w:tabs>
          <w:tab w:val="left" w:pos="2980"/>
          <w:tab w:val="left" w:pos="6020"/>
        </w:tabs>
        <w:autoSpaceDE w:val="false"/>
        <w:autoSpaceDN w:val="false"/>
        <w:spacing w:line="420" w:lineRule="exact"/>
        <w:ind w:left="1800"/>
        <w:jc w:val="both"/>
      </w:pPr>
      <w:r>
        <w:rPr>
          <w:rFonts w:hint="eastAsia" w:ascii="宋体" w:hAnsi="宋体" w:eastAsia="宋体" w:cs="宋体"/>
          <w:sz w:val="24"/>
        </w:rPr>
        <w:t>（五）</w:t>
      </w:r>
      <w:r>
        <w:tab/>
      </w:r>
      <w:r>
        <w:rPr>
          <w:rFonts w:hint="eastAsia" w:ascii="宋体" w:hAnsi="宋体" w:eastAsia="宋体" w:cs="宋体"/>
          <w:sz w:val="24"/>
        </w:rPr>
        <w:t>发行市盈率</w:t>
      </w:r>
      <w:r>
        <w:tab/>
      </w:r>
      <w:r>
        <w:rPr>
          <w:rFonts w:hint="eastAsia" w:ascii="Times New Roman" w:hAnsi="Times New Roman" w:eastAsia="Times New Roman" w:cs="Times New Roman"/>
          <w:sz w:val="24"/>
        </w:rPr>
        <w:t>22.98</w:t>
      </w:r>
      <w:r>
        <w:rPr>
          <w:rFonts w:hint="eastAsia" w:ascii="宋体" w:hAnsi="宋体" w:eastAsia="宋体" w:cs="宋体"/>
          <w:sz w:val="24"/>
        </w:rPr>
        <w:t>（按发行后全面摊薄每股收益测算）</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2980"/>
        </w:tabs>
        <w:autoSpaceDE w:val="false"/>
        <w:autoSpaceDN w:val="false"/>
        <w:spacing w:line="240" w:lineRule="exact"/>
        <w:ind w:left="1800"/>
        <w:jc w:val="both"/>
      </w:pPr>
      <w:r>
        <w:rPr>
          <w:rFonts w:hint="eastAsia" w:ascii="宋体" w:hAnsi="宋体" w:eastAsia="宋体" w:cs="宋体"/>
          <w:sz w:val="24"/>
        </w:rPr>
        <w:t>（六）</w:t>
      </w:r>
      <w:r>
        <w:tab/>
      </w:r>
      <w:r>
        <w:rPr>
          <w:rFonts w:hint="eastAsia" w:ascii="宋体" w:hAnsi="宋体" w:eastAsia="宋体" w:cs="宋体"/>
          <w:sz w:val="24"/>
        </w:rPr>
        <w:t>每股净资产</w:t>
      </w:r>
    </w:p>
    <w:p>
      <w:pPr>
        <w:spacing w:line="200" w:lineRule="exact"/>
        <w:rPr>
          <w:rFonts w:hint="eastAsia" w:ascii="宋体" w:hAnsi="宋体" w:eastAsia="宋体" w:cs="宋体"/>
          <w:sz w:val="20"/>
        </w:rPr>
      </w:pPr>
    </w:p>
    <w:p>
      <w:pPr>
        <w:tabs>
          <w:tab w:val="left" w:pos="6020"/>
        </w:tabs>
        <w:autoSpaceDE w:val="false"/>
        <w:autoSpaceDN w:val="false"/>
        <w:spacing w:line="420" w:lineRule="exact"/>
        <w:ind w:left="2980"/>
        <w:jc w:val="both"/>
      </w:pPr>
      <w:r>
        <w:rPr>
          <w:rFonts w:hint="eastAsia" w:ascii="宋体" w:hAnsi="宋体" w:eastAsia="宋体" w:cs="宋体"/>
          <w:sz w:val="24"/>
        </w:rPr>
        <w:t>发行前</w:t>
      </w:r>
      <w:r>
        <w:rPr>
          <w:rFonts w:hint="eastAsia" w:ascii="宋体" w:hAnsi="宋体" w:eastAsia="宋体" w:cs="宋体"/>
          <w:sz w:val="12"/>
        </w:rPr>
        <w:t>：</w:t>
      </w:r>
      <w:r>
        <w:tab/>
      </w:r>
      <w:r>
        <w:rPr>
          <w:rFonts w:hint="eastAsia" w:ascii="Times New Roman" w:hAnsi="Times New Roman" w:eastAsia="Times New Roman" w:cs="Times New Roman"/>
          <w:sz w:val="24"/>
        </w:rPr>
        <w:t>7.55</w:t>
      </w:r>
      <w:r>
        <w:rPr>
          <w:rFonts w:hint="eastAsia" w:ascii="宋体" w:hAnsi="宋体" w:eastAsia="宋体" w:cs="宋体"/>
          <w:sz w:val="24"/>
        </w:rPr>
        <w:t xml:space="preserve"> 元（按公司截至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p>
    <w:p>
      <w:pPr>
        <w:spacing w:line="200" w:lineRule="exact"/>
        <w:rPr>
          <w:rFonts w:hint="eastAsia" w:ascii="宋体" w:hAnsi="宋体" w:eastAsia="宋体" w:cs="宋体"/>
          <w:sz w:val="20"/>
        </w:rPr>
      </w:pPr>
    </w:p>
    <w:p>
      <w:pPr>
        <w:autoSpaceDE w:val="false"/>
        <w:autoSpaceDN w:val="false"/>
        <w:spacing w:line="420" w:lineRule="exact"/>
        <w:ind w:left="6020"/>
        <w:jc w:val="both"/>
      </w:pPr>
      <w:r>
        <w:rPr>
          <w:rFonts w:hint="eastAsia" w:ascii="宋体" w:hAnsi="宋体" w:eastAsia="宋体" w:cs="宋体"/>
          <w:sz w:val="24"/>
        </w:rPr>
        <w:t>经审计的净资产除以发行前总股本计算）</w:t>
      </w:r>
    </w:p>
    <w:p>
      <w:pPr>
        <w:spacing w:line="200" w:lineRule="exact"/>
        <w:rPr>
          <w:rFonts w:hint="eastAsia" w:ascii="宋体" w:hAnsi="宋体" w:eastAsia="宋体" w:cs="宋体"/>
          <w:sz w:val="20"/>
        </w:rPr>
      </w:pPr>
    </w:p>
    <w:p>
      <w:pPr>
        <w:tabs>
          <w:tab w:val="left" w:pos="6020"/>
        </w:tabs>
        <w:autoSpaceDE w:val="false"/>
        <w:autoSpaceDN w:val="false"/>
        <w:spacing w:line="420" w:lineRule="exact"/>
        <w:ind w:left="2980"/>
        <w:jc w:val="both"/>
      </w:pPr>
      <w:r>
        <w:rPr>
          <w:rFonts w:hint="eastAsia" w:ascii="宋体" w:hAnsi="宋体" w:eastAsia="宋体" w:cs="宋体"/>
          <w:sz w:val="24"/>
        </w:rPr>
        <w:t>发行后</w:t>
      </w:r>
      <w:r>
        <w:rPr>
          <w:rFonts w:hint="eastAsia" w:ascii="宋体" w:hAnsi="宋体" w:eastAsia="宋体" w:cs="宋体"/>
          <w:sz w:val="10"/>
        </w:rPr>
        <w:t>：</w:t>
      </w:r>
      <w:r>
        <w:tab/>
      </w:r>
      <w:r>
        <w:rPr>
          <w:rFonts w:hint="eastAsia" w:ascii="Times New Roman" w:hAnsi="Times New Roman" w:eastAsia="Times New Roman" w:cs="Times New Roman"/>
          <w:sz w:val="24"/>
        </w:rPr>
        <w:t>9.96</w:t>
      </w:r>
      <w:r>
        <w:rPr>
          <w:rFonts w:hint="eastAsia" w:ascii="宋体" w:hAnsi="宋体" w:eastAsia="宋体" w:cs="宋体"/>
          <w:sz w:val="24"/>
        </w:rPr>
        <w:t xml:space="preserve"> 元（按公司截至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p>
    <w:p>
      <w:pPr>
        <w:spacing w:line="200" w:lineRule="exact"/>
        <w:rPr>
          <w:rFonts w:hint="eastAsia" w:ascii="宋体" w:hAnsi="宋体" w:eastAsia="宋体" w:cs="宋体"/>
          <w:sz w:val="20"/>
        </w:rPr>
      </w:pPr>
    </w:p>
    <w:p>
      <w:pPr>
        <w:autoSpaceDE w:val="false"/>
        <w:autoSpaceDN w:val="false"/>
        <w:spacing w:line="520" w:lineRule="exact"/>
        <w:ind w:left="6020" w:right="1380"/>
        <w:jc w:val="both"/>
      </w:pPr>
      <w:r>
        <w:rPr>
          <w:rFonts w:hint="eastAsia" w:ascii="宋体" w:hAnsi="宋体" w:eastAsia="宋体" w:cs="宋体"/>
          <w:sz w:val="24"/>
        </w:rPr>
        <w:t>经审计的净资产与本次募集资金净额之和除以发行后总股本计算）</w:t>
      </w:r>
    </w:p>
    <w:p>
      <w:pPr>
        <w:spacing w:line="200" w:lineRule="exact"/>
        <w:rPr>
          <w:rFonts w:hint="eastAsia" w:ascii="宋体" w:hAnsi="宋体" w:eastAsia="宋体" w:cs="宋体"/>
          <w:sz w:val="20"/>
        </w:rPr>
      </w:pPr>
    </w:p>
    <w:p>
      <w:pPr>
        <w:tabs>
          <w:tab w:val="left" w:pos="2980"/>
          <w:tab w:val="left" w:pos="6020"/>
        </w:tabs>
        <w:autoSpaceDE w:val="false"/>
        <w:autoSpaceDN w:val="false"/>
        <w:spacing w:line="420" w:lineRule="exact"/>
        <w:ind w:left="1800"/>
        <w:jc w:val="both"/>
      </w:pPr>
      <w:r>
        <w:rPr>
          <w:rFonts w:hint="eastAsia" w:ascii="宋体" w:hAnsi="宋体" w:eastAsia="宋体" w:cs="宋体"/>
          <w:sz w:val="24"/>
        </w:rPr>
        <w:t>（七）</w:t>
      </w:r>
      <w:r>
        <w:tab/>
      </w:r>
      <w:r>
        <w:rPr>
          <w:rFonts w:hint="eastAsia" w:ascii="宋体" w:hAnsi="宋体" w:eastAsia="宋体" w:cs="宋体"/>
          <w:sz w:val="24"/>
        </w:rPr>
        <w:t>发行市净率</w:t>
      </w:r>
      <w:r>
        <w:rPr>
          <w:rFonts w:hint="eastAsia" w:ascii="宋体" w:hAnsi="宋体" w:eastAsia="宋体" w:cs="宋体"/>
          <w:sz w:val="12"/>
        </w:rPr>
        <w:t>：</w:t>
      </w:r>
      <w:r>
        <w:tab/>
      </w:r>
      <w:r>
        <w:rPr>
          <w:rFonts w:hint="eastAsia" w:ascii="Times New Roman" w:hAnsi="Times New Roman" w:eastAsia="Times New Roman" w:cs="Times New Roman"/>
          <w:sz w:val="24"/>
        </w:rPr>
        <w:t>1.91</w:t>
      </w:r>
      <w:r>
        <w:rPr>
          <w:rFonts w:hint="eastAsia" w:ascii="宋体" w:hAnsi="宋体" w:eastAsia="宋体" w:cs="宋体"/>
          <w:sz w:val="24"/>
        </w:rPr>
        <w:t>（按发行后全面摊薄每股净资产测算）</w:t>
      </w:r>
    </w:p>
    <w:p>
      <w:pPr>
        <w:spacing w:line="200" w:lineRule="exact"/>
        <w:rPr>
          <w:rFonts w:hint="eastAsia" w:ascii="宋体" w:hAnsi="宋体" w:eastAsia="宋体" w:cs="宋体"/>
          <w:sz w:val="20"/>
        </w:rPr>
      </w:pPr>
    </w:p>
    <w:p>
      <w:pPr>
        <w:tabs>
          <w:tab w:val="left" w:pos="2980"/>
          <w:tab w:val="left" w:pos="6020"/>
        </w:tabs>
        <w:autoSpaceDE w:val="false"/>
        <w:autoSpaceDN w:val="false"/>
        <w:spacing w:line="420" w:lineRule="exact"/>
        <w:ind w:left="1800"/>
        <w:jc w:val="both"/>
      </w:pPr>
      <w:r>
        <w:rPr>
          <w:rFonts w:hint="eastAsia" w:ascii="宋体" w:hAnsi="宋体" w:eastAsia="宋体" w:cs="宋体"/>
          <w:sz w:val="24"/>
        </w:rPr>
        <w:t>（八）</w:t>
      </w:r>
      <w:r>
        <w:tab/>
      </w:r>
      <w:r>
        <w:rPr>
          <w:rFonts w:hint="eastAsia" w:ascii="宋体" w:hAnsi="宋体" w:eastAsia="宋体" w:cs="宋体"/>
          <w:sz w:val="24"/>
        </w:rPr>
        <w:t>发行方式</w:t>
      </w:r>
      <w:r>
        <w:rPr>
          <w:rFonts w:hint="eastAsia" w:ascii="宋体" w:hAnsi="宋体" w:eastAsia="宋体" w:cs="宋体"/>
          <w:sz w:val="12"/>
        </w:rPr>
        <w:t>：</w:t>
      </w:r>
      <w:r>
        <w:tab/>
      </w:r>
      <w:r>
        <w:rPr>
          <w:rFonts w:hint="eastAsia" w:ascii="宋体" w:hAnsi="宋体" w:eastAsia="宋体" w:cs="宋体"/>
          <w:sz w:val="24"/>
        </w:rPr>
        <w:t>采用网下向询价对象询价配售发行与网</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6020"/>
        <w:jc w:val="both"/>
      </w:pPr>
      <w:r>
        <w:rPr>
          <w:rFonts w:hint="eastAsia" w:ascii="宋体" w:hAnsi="宋体" w:eastAsia="宋体" w:cs="宋体"/>
          <w:sz w:val="24"/>
        </w:rPr>
        <w:t>上资金申购定价发行相结合的方式</w:t>
      </w:r>
    </w:p>
    <w:p>
      <w:pPr>
        <w:spacing w:line="200" w:lineRule="exact"/>
        <w:rPr>
          <w:rFonts w:hint="eastAsia" w:ascii="宋体" w:hAnsi="宋体" w:eastAsia="宋体" w:cs="宋体"/>
          <w:sz w:val="20"/>
        </w:rPr>
      </w:pPr>
    </w:p>
    <w:p>
      <w:pPr>
        <w:tabs>
          <w:tab w:val="left" w:pos="2980"/>
          <w:tab w:val="left" w:pos="6020"/>
        </w:tabs>
        <w:autoSpaceDE w:val="false"/>
        <w:autoSpaceDN w:val="false"/>
        <w:spacing w:line="420" w:lineRule="exact"/>
        <w:ind w:left="1800"/>
        <w:jc w:val="both"/>
      </w:pPr>
      <w:r>
        <w:rPr>
          <w:rFonts w:hint="eastAsia" w:ascii="宋体" w:hAnsi="宋体" w:eastAsia="宋体" w:cs="宋体"/>
          <w:sz w:val="24"/>
        </w:rPr>
        <w:t>（九）</w:t>
      </w:r>
      <w:r>
        <w:tab/>
      </w:r>
      <w:r>
        <w:rPr>
          <w:rFonts w:hint="eastAsia" w:ascii="宋体" w:hAnsi="宋体" w:eastAsia="宋体" w:cs="宋体"/>
          <w:sz w:val="24"/>
        </w:rPr>
        <w:t>发行对象</w:t>
      </w:r>
      <w:r>
        <w:rPr>
          <w:rFonts w:hint="eastAsia" w:ascii="宋体" w:hAnsi="宋体" w:eastAsia="宋体" w:cs="宋体"/>
          <w:sz w:val="10"/>
        </w:rPr>
        <w:t>：</w:t>
      </w:r>
      <w:r>
        <w:tab/>
      </w:r>
      <w:r>
        <w:rPr>
          <w:rFonts w:hint="eastAsia" w:ascii="宋体" w:hAnsi="宋体" w:eastAsia="宋体" w:cs="宋体"/>
          <w:sz w:val="24"/>
        </w:rPr>
        <w:t>符合资格的询价对象和在上海证券交易</w:t>
      </w:r>
    </w:p>
    <w:p>
      <w:pPr>
        <w:spacing w:line="200" w:lineRule="exact"/>
        <w:rPr>
          <w:rFonts w:hint="eastAsia" w:ascii="宋体" w:hAnsi="宋体" w:eastAsia="宋体" w:cs="宋体"/>
          <w:sz w:val="20"/>
        </w:rPr>
      </w:pPr>
    </w:p>
    <w:p>
      <w:pPr>
        <w:autoSpaceDE w:val="false"/>
        <w:autoSpaceDN w:val="false"/>
        <w:spacing w:line="420" w:lineRule="exact"/>
        <w:ind w:left="6020"/>
        <w:jc w:val="both"/>
      </w:pPr>
      <w:r>
        <w:rPr>
          <w:rFonts w:hint="eastAsia" w:ascii="宋体" w:hAnsi="宋体" w:eastAsia="宋体" w:cs="宋体"/>
          <w:sz w:val="24"/>
        </w:rPr>
        <w:t>所开户的境内自然人</w:t>
      </w:r>
      <w:r>
        <w:rPr>
          <w:rFonts w:hint="eastAsia" w:ascii="宋体" w:hAnsi="宋体" w:eastAsia="宋体" w:cs="宋体"/>
          <w:sz w:val="10"/>
        </w:rPr>
        <w:t>、</w:t>
      </w:r>
      <w:r>
        <w:rPr>
          <w:rFonts w:hint="eastAsia" w:ascii="宋体" w:hAnsi="宋体" w:eastAsia="宋体" w:cs="宋体"/>
          <w:sz w:val="24"/>
        </w:rPr>
        <w:t>法人等投资者（国</w:t>
      </w:r>
    </w:p>
    <w:p>
      <w:pPr>
        <w:spacing w:line="200" w:lineRule="exact"/>
        <w:rPr>
          <w:rFonts w:hint="eastAsia" w:ascii="宋体" w:hAnsi="宋体" w:eastAsia="宋体" w:cs="宋体"/>
          <w:sz w:val="20"/>
        </w:rPr>
      </w:pPr>
    </w:p>
    <w:p>
      <w:pPr>
        <w:autoSpaceDE w:val="false"/>
        <w:autoSpaceDN w:val="false"/>
        <w:spacing w:line="420" w:lineRule="exact"/>
        <w:ind w:left="6020"/>
        <w:jc w:val="both"/>
      </w:pPr>
      <w:r>
        <w:rPr>
          <w:rFonts w:hint="eastAsia" w:ascii="宋体" w:hAnsi="宋体" w:eastAsia="宋体" w:cs="宋体"/>
          <w:sz w:val="24"/>
        </w:rPr>
        <w:t>家法律法规禁止购买者除外）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60"/>
        <w:jc w:val="both"/>
      </w:pPr>
      <w:r>
        <w:rPr>
          <w:rFonts w:hint="eastAsia" w:ascii="Times New Roman" w:hAnsi="Times New Roman" w:eastAsia="Times New Roman" w:cs="Times New Roman"/>
          <w:sz w:val="21"/>
        </w:rPr>
        <w:t>1-1-32</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3072" behindDoc="false" locked="false" layoutInCell="true" allowOverlap="true">
                <wp:simplePos x="0" y="0"/>
                <wp:positionH relativeFrom="page">
                  <wp:posOffset>1079500</wp:posOffset>
                </wp:positionH>
                <wp:positionV relativeFrom="page">
                  <wp:posOffset>5016500</wp:posOffset>
                </wp:positionV>
                <wp:extent cx="431800" cy="215900"/>
                <wp:effectExtent l="0" t="0" r="22225" b="31115"/>
                <wp:wrapNone/>
                <wp:docPr id="517" name="shape517"/>
                <wp:cNvGraphicFramePr/>
                <a:graphic>
                  <a:graphicData uri="http://schemas.microsoft.com/office/word/2010/wordprocessingShape">
                    <wps:wsp>
                      <wps:cNvSpPr/>
                      <wps:spPr>
                        <a:xfrm>
                          <a:off x="0" y="0"/>
                          <a:ext cx="431800" cy="215900"/>
                        </a:xfrm>
                        <a:prstGeom prst="rect">
                          <a:avLst/>
                        </a:prstGeom>
                      </wps:spPr>
                      <wps:txbx>
                        <w:txbxContent>
                          <w:p>
                            <w:pPr>
                              <w:spacing w:line="-240" w:lineRule="exact"/>
                              <w:ind w:left="0"/>
                              <w:jc w:val="both"/>
                            </w:pPr>
                            <w:r>
                              <w:rPr>
                                <w:rFonts w:hint="eastAsia" w:ascii="宋体" w:hAnsi="宋体" w:eastAsia="宋体" w:cs="宋体"/>
                                <w:sz w:val="24"/>
                              </w:rPr>
                              <w:t>室</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4pt;height:17pt;margin-left:85pt;margin-top:395pt;mso-wrap-style:none;z-index:10253072;mso-wrap-distance-left:9pt;mso-wrap-distance-top:0pt;mso-wrap-distance-right:9pt;mso-wrap-distance-bottom:0pt" id="shape517" o:spid="1618382345500" stroked="f">
                <v:textbox>
                  <w:txbxContent>
                    <w:p>
                      <w:pPr>
                        <w:spacing w:line="-240" w:lineRule="exact"/>
                        <w:ind w:left="0"/>
                        <w:jc w:val="both"/>
                      </w:pPr>
                      <w:r>
                        <w:rPr>
                          <w:rFonts w:hint="eastAsia" w:ascii="宋体" w:hAnsi="宋体" w:eastAsia="宋体" w:cs="宋体"/>
                          <w:sz w:val="24"/>
                        </w:rPr>
                        <w:t>室</w:t>
                      </w:r>
                    </w:p>
                  </w:txbxContent>
                </v:textbox>
              </v:rect>
            </w:pict>
          </mc:Fallback>
        </mc:AlternateContent>
      </w:r>
    </w:p>
    <w:p>
      <w:pPr>
        <w:spacing w:line="200" w:lineRule="exact"/>
        <w:rPr>
          <w:rFonts w:hint="eastAsia" w:ascii="宋体" w:hAnsi="宋体" w:eastAsia="宋体" w:cs="宋体"/>
          <w:sz w:val="20"/>
        </w:rPr>
      </w:pPr>
    </w:p>
    <w:p>
      <w:pPr>
        <w:tabs>
          <w:tab w:val="left" w:pos="2980"/>
          <w:tab w:val="left" w:pos="6020"/>
        </w:tabs>
        <w:autoSpaceDE w:val="false"/>
        <w:autoSpaceDN w:val="false"/>
        <w:spacing w:line="420" w:lineRule="exact"/>
        <w:ind w:left="1800"/>
        <w:jc w:val="both"/>
      </w:pPr>
      <w:r>
        <w:rPr>
          <w:rFonts w:hint="eastAsia" w:ascii="宋体" w:hAnsi="宋体" w:eastAsia="宋体" w:cs="宋体"/>
          <w:sz w:val="20"/>
        </w:rPr>
        <w:t>（</w:t>
      </w:r>
      <w:r>
        <w:rPr>
          <w:rFonts w:hint="eastAsia" w:ascii="宋体" w:hAnsi="宋体" w:eastAsia="宋体" w:cs="宋体"/>
          <w:sz w:val="24"/>
        </w:rPr>
        <w:t>十）</w:t>
      </w:r>
      <w:r>
        <w:tab/>
      </w:r>
      <w:r>
        <w:rPr>
          <w:rFonts w:hint="eastAsia" w:ascii="宋体" w:hAnsi="宋体" w:eastAsia="宋体" w:cs="宋体"/>
          <w:sz w:val="24"/>
        </w:rPr>
        <w:t>承销方式</w:t>
      </w:r>
      <w:r>
        <w:rPr>
          <w:rFonts w:hint="eastAsia" w:ascii="宋体" w:hAnsi="宋体" w:eastAsia="宋体" w:cs="宋体"/>
          <w:sz w:val="12"/>
        </w:rPr>
        <w:t>：</w:t>
      </w:r>
      <w:r>
        <w:tab/>
      </w:r>
      <w:r>
        <w:rPr>
          <w:rFonts w:hint="eastAsia" w:ascii="宋体" w:hAnsi="宋体" w:eastAsia="宋体" w:cs="宋体"/>
          <w:sz w:val="24"/>
        </w:rPr>
        <w:t>主承销商余额包销方式</w:t>
      </w:r>
    </w:p>
    <w:p>
      <w:pPr>
        <w:spacing w:line="200" w:lineRule="exact"/>
        <w:rPr>
          <w:rFonts w:hint="eastAsia" w:ascii="宋体" w:hAnsi="宋体" w:eastAsia="宋体" w:cs="宋体"/>
          <w:sz w:val="20"/>
        </w:rPr>
      </w:pPr>
    </w:p>
    <w:p>
      <w:pPr>
        <w:tabs>
          <w:tab w:val="left" w:pos="6020"/>
        </w:tabs>
        <w:autoSpaceDE w:val="false"/>
        <w:autoSpaceDN w:val="false"/>
        <w:spacing w:line="420" w:lineRule="exact"/>
        <w:ind w:left="1800"/>
        <w:jc w:val="both"/>
      </w:pPr>
      <w:r>
        <w:rPr>
          <w:rFonts w:hint="eastAsia" w:ascii="宋体" w:hAnsi="宋体" w:eastAsia="宋体" w:cs="宋体"/>
          <w:sz w:val="24"/>
        </w:rPr>
        <w:t>（十一）募集资金总额和净额</w:t>
      </w:r>
      <w:r>
        <w:rPr>
          <w:rFonts w:hint="eastAsia" w:ascii="宋体" w:hAnsi="宋体" w:eastAsia="宋体" w:cs="宋体"/>
          <w:sz w:val="12"/>
        </w:rPr>
        <w:t>：</w:t>
      </w:r>
      <w:r>
        <w:tab/>
      </w:r>
      <w:r>
        <w:rPr>
          <w:rFonts w:hint="eastAsia" w:ascii="Times New Roman" w:hAnsi="Times New Roman" w:eastAsia="Times New Roman" w:cs="Times New Roman"/>
          <w:sz w:val="24"/>
        </w:rPr>
        <w:t>40,100.25</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扣除发行费用后</w:t>
      </w:r>
      <w:r>
        <w:rPr>
          <w:rFonts w:hint="eastAsia" w:ascii="宋体" w:hAnsi="宋体" w:eastAsia="宋体" w:cs="宋体"/>
          <w:sz w:val="10"/>
        </w:rPr>
        <w:t>，</w:t>
      </w:r>
      <w:r>
        <w:rPr>
          <w:rFonts w:hint="eastAsia" w:ascii="宋体" w:hAnsi="宋体" w:eastAsia="宋体" w:cs="宋体"/>
          <w:sz w:val="24"/>
        </w:rPr>
        <w:t>募集资</w:t>
      </w:r>
    </w:p>
    <w:p>
      <w:pPr>
        <w:spacing w:line="200" w:lineRule="exact"/>
        <w:rPr>
          <w:rFonts w:hint="eastAsia" w:ascii="宋体" w:hAnsi="宋体" w:eastAsia="宋体" w:cs="宋体"/>
          <w:sz w:val="20"/>
        </w:rPr>
      </w:pPr>
    </w:p>
    <w:p>
      <w:pPr>
        <w:autoSpaceDE w:val="false"/>
        <w:autoSpaceDN w:val="false"/>
        <w:spacing w:line="420" w:lineRule="exact"/>
        <w:ind w:left="6020"/>
        <w:jc w:val="both"/>
      </w:pPr>
      <w:r>
        <w:rPr>
          <w:rFonts w:hint="eastAsia" w:ascii="宋体" w:hAnsi="宋体" w:eastAsia="宋体" w:cs="宋体"/>
          <w:sz w:val="24"/>
        </w:rPr>
        <w:t>金净额</w:t>
      </w:r>
      <w:r>
        <w:rPr>
          <w:rFonts w:hint="eastAsia" w:ascii="Times New Roman" w:hAnsi="Times New Roman" w:eastAsia="Times New Roman" w:cs="Times New Roman"/>
          <w:sz w:val="24"/>
        </w:rPr>
        <w:t xml:space="preserve"> 36,243.44</w:t>
      </w:r>
      <w:r>
        <w:rPr>
          <w:rFonts w:hint="eastAsia" w:ascii="宋体" w:hAnsi="宋体" w:eastAsia="宋体" w:cs="宋体"/>
          <w:sz w:val="24"/>
        </w:rPr>
        <w:t xml:space="preserve"> 万元</w:t>
      </w:r>
    </w:p>
    <w:p>
      <w:pPr>
        <w:spacing w:line="200" w:lineRule="exact"/>
        <w:rPr>
          <w:rFonts w:hint="eastAsia" w:ascii="宋体" w:hAnsi="宋体" w:eastAsia="宋体" w:cs="宋体"/>
          <w:sz w:val="20"/>
        </w:rPr>
      </w:pPr>
    </w:p>
    <w:p>
      <w:pPr>
        <w:tabs>
          <w:tab w:val="left" w:pos="6020"/>
        </w:tabs>
        <w:autoSpaceDE w:val="false"/>
        <w:autoSpaceDN w:val="false"/>
        <w:spacing w:line="420" w:lineRule="exact"/>
        <w:ind w:left="1800"/>
        <w:jc w:val="both"/>
      </w:pPr>
      <w:r>
        <w:rPr>
          <w:rFonts w:hint="eastAsia" w:ascii="宋体" w:hAnsi="宋体" w:eastAsia="宋体" w:cs="宋体"/>
          <w:sz w:val="24"/>
        </w:rPr>
        <w:t>（十二）发行费用概算</w:t>
      </w:r>
      <w:r>
        <w:rPr>
          <w:rFonts w:hint="eastAsia" w:ascii="宋体" w:hAnsi="宋体" w:eastAsia="宋体" w:cs="宋体"/>
          <w:sz w:val="10"/>
        </w:rPr>
        <w:t>：</w:t>
      </w:r>
      <w:r>
        <w:tab/>
      </w:r>
      <w:r>
        <w:rPr>
          <w:rFonts w:hint="eastAsia" w:ascii="宋体" w:hAnsi="宋体" w:eastAsia="宋体" w:cs="宋体"/>
          <w:sz w:val="24"/>
        </w:rPr>
        <w:t>本次发行费用总额为</w:t>
      </w:r>
      <w:r>
        <w:rPr>
          <w:rFonts w:hint="eastAsia" w:ascii="Times New Roman" w:hAnsi="Times New Roman" w:eastAsia="Times New Roman" w:cs="Times New Roman"/>
          <w:sz w:val="24"/>
        </w:rPr>
        <w:t xml:space="preserve"> 3,856.81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w:t>
      </w:r>
    </w:p>
    <w:p>
      <w:pPr>
        <w:spacing w:line="200" w:lineRule="exact"/>
        <w:rPr>
          <w:rFonts w:hint="eastAsia" w:ascii="宋体" w:hAnsi="宋体" w:eastAsia="宋体" w:cs="宋体"/>
          <w:sz w:val="20"/>
        </w:rPr>
      </w:pPr>
    </w:p>
    <w:p>
      <w:pPr>
        <w:autoSpaceDE w:val="false"/>
        <w:autoSpaceDN w:val="false"/>
        <w:spacing w:line="360" w:lineRule="exact"/>
        <w:ind w:left="6020" w:right="1380"/>
        <w:jc w:val="both"/>
      </w:pPr>
      <w:r>
        <w:rPr>
          <w:rFonts w:hint="eastAsia" w:ascii="宋体" w:hAnsi="宋体" w:eastAsia="宋体" w:cs="宋体"/>
          <w:sz w:val="24"/>
        </w:rPr>
        <w:t>承销保荐费</w:t>
      </w:r>
      <w:r>
        <w:rPr>
          <w:rFonts w:hint="eastAsia" w:ascii="Times New Roman" w:hAnsi="Times New Roman" w:eastAsia="Times New Roman" w:cs="Times New Roman"/>
          <w:sz w:val="24"/>
        </w:rPr>
        <w:t xml:space="preserve"> 2,968.70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审计费</w:t>
      </w:r>
      <w:r>
        <w:rPr>
          <w:rFonts w:hint="eastAsia" w:ascii="Times New Roman" w:hAnsi="Times New Roman" w:eastAsia="Times New Roman" w:cs="Times New Roman"/>
          <w:sz w:val="24"/>
        </w:rPr>
        <w:t xml:space="preserve"> 320.75</w:t>
      </w:r>
      <w:r>
        <w:rPr>
          <w:rFonts w:hint="eastAsia" w:ascii="宋体" w:hAnsi="宋体" w:eastAsia="宋体" w:cs="宋体"/>
          <w:sz w:val="24"/>
        </w:rPr>
        <w:t>万元</w:t>
      </w:r>
      <w:r>
        <w:rPr>
          <w:rFonts w:hint="eastAsia" w:ascii="宋体" w:hAnsi="宋体" w:eastAsia="宋体" w:cs="宋体"/>
          <w:sz w:val="10"/>
        </w:rPr>
        <w:t>、</w:t>
      </w:r>
      <w:r>
        <w:rPr>
          <w:rFonts w:hint="eastAsia" w:ascii="宋体" w:hAnsi="宋体" w:eastAsia="宋体" w:cs="宋体"/>
          <w:sz w:val="24"/>
        </w:rPr>
        <w:t>律师费</w:t>
      </w:r>
      <w:r>
        <w:rPr>
          <w:rFonts w:hint="eastAsia" w:ascii="Times New Roman" w:hAnsi="Times New Roman" w:eastAsia="Times New Roman" w:cs="Times New Roman"/>
          <w:sz w:val="24"/>
        </w:rPr>
        <w:t xml:space="preserve"> 127.36</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用于本次发行</w:t>
      </w:r>
    </w:p>
    <w:p>
      <w:pPr>
        <w:spacing w:line="200" w:lineRule="exact"/>
        <w:rPr>
          <w:rFonts w:hint="eastAsia" w:ascii="宋体" w:hAnsi="宋体" w:eastAsia="宋体" w:cs="宋体"/>
          <w:sz w:val="20"/>
        </w:rPr>
      </w:pPr>
    </w:p>
    <w:p>
      <w:pPr>
        <w:autoSpaceDE w:val="false"/>
        <w:autoSpaceDN w:val="false"/>
        <w:spacing w:line="260" w:lineRule="exact"/>
        <w:ind w:left="6020"/>
        <w:jc w:val="both"/>
      </w:pPr>
      <w:r>
        <w:rPr>
          <w:rFonts w:hint="eastAsia" w:ascii="宋体" w:hAnsi="宋体" w:eastAsia="宋体" w:cs="宋体"/>
          <w:sz w:val="24"/>
        </w:rPr>
        <w:t>的手续费及信息披露费</w:t>
      </w:r>
      <w:r>
        <w:rPr>
          <w:rFonts w:hint="eastAsia" w:ascii="Times New Roman" w:hAnsi="Times New Roman" w:eastAsia="Times New Roman" w:cs="Times New Roman"/>
          <w:sz w:val="24"/>
        </w:rPr>
        <w:t xml:space="preserve"> 440.00</w:t>
      </w:r>
      <w:r>
        <w:rPr>
          <w:rFonts w:hint="eastAsia" w:ascii="宋体" w:hAnsi="宋体" w:eastAsia="宋体" w:cs="宋体"/>
          <w:sz w:val="24"/>
        </w:rPr>
        <w:t xml:space="preserve"> 万元</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jc w:val="both"/>
      </w:pPr>
      <w:r>
        <w:rPr>
          <w:rFonts w:hint="eastAsia" w:ascii="ºÚÌå" w:hAnsi="ºÚÌå" w:eastAsia="ºÚÌå" w:cs="ºÚÌå"/>
          <w:sz w:val="24"/>
        </w:rPr>
        <w:t>二、</w:t>
      </w:r>
      <w:r>
        <w:rPr>
          <w:rFonts w:hint="eastAsia" w:ascii="ºÚÌå" w:hAnsi="ºÚÌå" w:eastAsia="ºÚÌå" w:cs="ºÚÌå"/>
          <w:sz w:val="30"/>
        </w:rPr>
        <w:t>本次发行有关机构的情况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发行人</w:t>
      </w:r>
      <w:r>
        <w:rPr>
          <w:rFonts w:hint="eastAsia" w:ascii="宋体" w:hAnsi="宋体" w:eastAsia="宋体" w:cs="宋体"/>
          <w:b/>
          <w:sz w:val="10"/>
        </w:rPr>
        <w:t>：</w:t>
      </w:r>
      <w:r>
        <w:rPr>
          <w:rFonts w:hint="eastAsia" w:ascii="宋体" w:hAnsi="宋体" w:eastAsia="宋体" w:cs="宋体"/>
          <w:b/>
          <w:sz w:val="24"/>
        </w:rPr>
        <w:t>福建顶点软件股份有限公司</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法定代表人</w:t>
      </w:r>
      <w:r>
        <w:rPr>
          <w:rFonts w:hint="eastAsia" w:ascii="宋体" w:hAnsi="宋体" w:eastAsia="宋体" w:cs="宋体"/>
          <w:sz w:val="12"/>
        </w:rPr>
        <w:t>：</w:t>
      </w:r>
      <w:r>
        <w:rPr>
          <w:rFonts w:hint="eastAsia" w:ascii="宋体" w:hAnsi="宋体" w:eastAsia="宋体" w:cs="宋体"/>
          <w:sz w:val="24"/>
        </w:rPr>
        <w:t>严孟宇</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住所</w:t>
      </w:r>
      <w:r>
        <w:rPr>
          <w:rFonts w:hint="eastAsia" w:ascii="宋体" w:hAnsi="宋体" w:eastAsia="宋体" w:cs="宋体"/>
          <w:sz w:val="12"/>
        </w:rPr>
        <w:t>：</w:t>
      </w:r>
      <w:r>
        <w:rPr>
          <w:rFonts w:hint="eastAsia" w:ascii="宋体" w:hAnsi="宋体" w:eastAsia="宋体" w:cs="宋体"/>
          <w:sz w:val="24"/>
        </w:rPr>
        <w:t>福州市台江区新港街道五一中路</w:t>
      </w:r>
      <w:r>
        <w:rPr>
          <w:rFonts w:hint="eastAsia" w:ascii="Times New Roman" w:hAnsi="Times New Roman" w:eastAsia="Times New Roman" w:cs="Times New Roman"/>
          <w:sz w:val="24"/>
        </w:rPr>
        <w:t xml:space="preserve"> 169</w:t>
      </w:r>
      <w:r>
        <w:rPr>
          <w:rFonts w:hint="eastAsia" w:ascii="宋体" w:hAnsi="宋体" w:eastAsia="宋体" w:cs="宋体"/>
          <w:sz w:val="24"/>
        </w:rPr>
        <w:t xml:space="preserve"> 号利嘉城二期</w:t>
      </w:r>
      <w:r>
        <w:rPr>
          <w:rFonts w:hint="eastAsia" w:ascii="Times New Roman" w:hAnsi="Times New Roman" w:eastAsia="Times New Roman" w:cs="Times New Roman"/>
          <w:sz w:val="24"/>
        </w:rPr>
        <w:t xml:space="preserve"> 16</w:t>
      </w:r>
      <w:r>
        <w:rPr>
          <w:rFonts w:hint="eastAsia" w:ascii="宋体" w:hAnsi="宋体" w:eastAsia="宋体" w:cs="宋体"/>
          <w:sz w:val="24"/>
        </w:rPr>
        <w:t xml:space="preserve"> 号楼</w:t>
      </w:r>
      <w:r>
        <w:rPr>
          <w:rFonts w:hint="eastAsia" w:ascii="Times New Roman" w:hAnsi="Times New Roman" w:eastAsia="Times New Roman" w:cs="Times New Roman"/>
          <w:sz w:val="24"/>
        </w:rPr>
        <w:t xml:space="preserve"> 24</w:t>
      </w:r>
      <w:r>
        <w:rPr>
          <w:rFonts w:hint="eastAsia" w:ascii="宋体" w:hAnsi="宋体" w:eastAsia="宋体" w:cs="宋体"/>
          <w:sz w:val="24"/>
        </w:rPr>
        <w:t xml:space="preserve"> 层</w:t>
      </w:r>
      <w:r>
        <w:rPr>
          <w:rFonts w:hint="eastAsia" w:ascii="Times New Roman" w:hAnsi="Times New Roman" w:eastAsia="Times New Roman" w:cs="Times New Roman"/>
          <w:sz w:val="24"/>
        </w:rPr>
        <w:t xml:space="preserve"> 07</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电话</w:t>
      </w:r>
      <w:r>
        <w:rPr>
          <w:rFonts w:hint="eastAsia" w:ascii="宋体" w:hAnsi="宋体" w:eastAsia="宋体" w:cs="宋体"/>
          <w:sz w:val="10"/>
        </w:rPr>
        <w:t>：</w:t>
      </w:r>
      <w:r>
        <w:rPr>
          <w:rFonts w:hint="eastAsia" w:ascii="Times New Roman" w:hAnsi="Times New Roman" w:eastAsia="Times New Roman" w:cs="Times New Roman"/>
          <w:sz w:val="24"/>
        </w:rPr>
        <w:t>0591-8826 7679</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传真</w:t>
      </w:r>
      <w:r>
        <w:rPr>
          <w:rFonts w:hint="eastAsia" w:ascii="宋体" w:hAnsi="宋体" w:eastAsia="宋体" w:cs="宋体"/>
          <w:sz w:val="12"/>
        </w:rPr>
        <w:t>：</w:t>
      </w:r>
      <w:r>
        <w:rPr>
          <w:rFonts w:hint="eastAsia" w:ascii="Times New Roman" w:hAnsi="Times New Roman" w:eastAsia="Times New Roman" w:cs="Times New Roman"/>
          <w:sz w:val="24"/>
        </w:rPr>
        <w:t>0591-8786 1155</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董事会秘书</w:t>
      </w:r>
      <w:r>
        <w:rPr>
          <w:rFonts w:hint="eastAsia" w:ascii="宋体" w:hAnsi="宋体" w:eastAsia="宋体" w:cs="宋体"/>
          <w:sz w:val="12"/>
        </w:rPr>
        <w:t>：</w:t>
      </w:r>
      <w:r>
        <w:rPr>
          <w:rFonts w:hint="eastAsia" w:ascii="宋体" w:hAnsi="宋体" w:eastAsia="宋体" w:cs="宋体"/>
          <w:sz w:val="24"/>
        </w:rPr>
        <w:t>赵伟</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联系人</w:t>
      </w:r>
      <w:r>
        <w:rPr>
          <w:rFonts w:hint="eastAsia" w:ascii="宋体" w:hAnsi="宋体" w:eastAsia="宋体" w:cs="宋体"/>
          <w:sz w:val="12"/>
        </w:rPr>
        <w:t>：</w:t>
      </w:r>
      <w:r>
        <w:rPr>
          <w:rFonts w:hint="eastAsia" w:ascii="宋体" w:hAnsi="宋体" w:eastAsia="宋体" w:cs="宋体"/>
          <w:sz w:val="24"/>
        </w:rPr>
        <w:t>赵伟</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（二）保荐机构（主承销商）：</w:t>
      </w:r>
      <w:r>
        <w:rPr>
          <w:rFonts w:hint="eastAsia" w:ascii="宋体" w:hAnsi="宋体" w:eastAsia="宋体" w:cs="宋体"/>
          <w:b/>
          <w:sz w:val="24"/>
        </w:rPr>
        <w:t>东方花旗证券有限公司</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法定代表人</w:t>
      </w:r>
      <w:r>
        <w:rPr>
          <w:rFonts w:hint="eastAsia" w:ascii="宋体" w:hAnsi="宋体" w:eastAsia="宋体" w:cs="宋体"/>
          <w:sz w:val="10"/>
        </w:rPr>
        <w:t>：</w:t>
      </w:r>
      <w:r>
        <w:rPr>
          <w:rFonts w:hint="eastAsia" w:ascii="宋体" w:hAnsi="宋体" w:eastAsia="宋体" w:cs="宋体"/>
          <w:sz w:val="24"/>
        </w:rPr>
        <w:t>马骥</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住所</w:t>
      </w:r>
      <w:r>
        <w:rPr>
          <w:rFonts w:hint="eastAsia" w:ascii="宋体" w:hAnsi="宋体" w:eastAsia="宋体" w:cs="宋体"/>
          <w:sz w:val="12"/>
        </w:rPr>
        <w:t>：</w:t>
      </w:r>
      <w:r>
        <w:rPr>
          <w:rFonts w:hint="eastAsia" w:ascii="宋体" w:hAnsi="宋体" w:eastAsia="宋体" w:cs="宋体"/>
          <w:sz w:val="24"/>
        </w:rPr>
        <w:t>上海市中山南路</w:t>
      </w:r>
      <w:r>
        <w:rPr>
          <w:rFonts w:hint="eastAsia" w:ascii="Times New Roman" w:hAnsi="Times New Roman" w:eastAsia="Times New Roman" w:cs="Times New Roman"/>
          <w:sz w:val="24"/>
        </w:rPr>
        <w:t xml:space="preserve"> 318</w:t>
      </w:r>
      <w:r>
        <w:rPr>
          <w:rFonts w:hint="eastAsia" w:ascii="宋体" w:hAnsi="宋体" w:eastAsia="宋体" w:cs="宋体"/>
          <w:sz w:val="24"/>
        </w:rPr>
        <w:t xml:space="preserve"> 号东方国际金融广场</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号楼</w:t>
      </w:r>
      <w:r>
        <w:rPr>
          <w:rFonts w:hint="eastAsia" w:ascii="Times New Roman" w:hAnsi="Times New Roman" w:eastAsia="Times New Roman" w:cs="Times New Roman"/>
          <w:sz w:val="24"/>
        </w:rPr>
        <w:t xml:space="preserve"> 24</w:t>
      </w:r>
      <w:r>
        <w:rPr>
          <w:rFonts w:hint="eastAsia" w:ascii="宋体" w:hAnsi="宋体" w:eastAsia="宋体" w:cs="宋体"/>
          <w:sz w:val="24"/>
        </w:rPr>
        <w:t xml:space="preserve"> 层</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电话</w:t>
      </w:r>
      <w:r>
        <w:rPr>
          <w:rFonts w:hint="eastAsia" w:ascii="宋体" w:hAnsi="宋体" w:eastAsia="宋体" w:cs="宋体"/>
          <w:sz w:val="12"/>
        </w:rPr>
        <w:t>：（</w:t>
      </w:r>
      <w:r>
        <w:rPr>
          <w:rFonts w:hint="eastAsia" w:ascii="Times New Roman" w:hAnsi="Times New Roman" w:eastAsia="Times New Roman" w:cs="Times New Roman"/>
          <w:sz w:val="24"/>
        </w:rPr>
        <w:t>021</w:t>
      </w:r>
      <w:r>
        <w:rPr>
          <w:rFonts w:hint="eastAsia" w:ascii="宋体" w:hAnsi="宋体" w:eastAsia="宋体" w:cs="宋体"/>
          <w:sz w:val="24"/>
        </w:rPr>
        <w:t>）</w:t>
      </w:r>
      <w:r>
        <w:rPr>
          <w:rFonts w:hint="eastAsia" w:ascii="Times New Roman" w:hAnsi="Times New Roman" w:eastAsia="Times New Roman" w:cs="Times New Roman"/>
          <w:sz w:val="24"/>
        </w:rPr>
        <w:t>2315 3888</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传真</w:t>
      </w:r>
      <w:r>
        <w:rPr>
          <w:rFonts w:hint="eastAsia" w:ascii="宋体" w:hAnsi="宋体" w:eastAsia="宋体" w:cs="宋体"/>
          <w:sz w:val="12"/>
        </w:rPr>
        <w:t>：（</w:t>
      </w:r>
      <w:r>
        <w:rPr>
          <w:rFonts w:hint="eastAsia" w:ascii="Times New Roman" w:hAnsi="Times New Roman" w:eastAsia="Times New Roman" w:cs="Times New Roman"/>
          <w:sz w:val="24"/>
        </w:rPr>
        <w:t>021</w:t>
      </w:r>
      <w:r>
        <w:rPr>
          <w:rFonts w:hint="eastAsia" w:ascii="宋体" w:hAnsi="宋体" w:eastAsia="宋体" w:cs="宋体"/>
          <w:sz w:val="24"/>
        </w:rPr>
        <w:t>）</w:t>
      </w:r>
      <w:r>
        <w:rPr>
          <w:rFonts w:hint="eastAsia" w:ascii="Times New Roman" w:hAnsi="Times New Roman" w:eastAsia="Times New Roman" w:cs="Times New Roman"/>
          <w:sz w:val="24"/>
        </w:rPr>
        <w:t>2315 3500</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保荐代表人</w:t>
      </w:r>
      <w:r>
        <w:rPr>
          <w:rFonts w:hint="eastAsia" w:ascii="宋体" w:hAnsi="宋体" w:eastAsia="宋体" w:cs="宋体"/>
          <w:sz w:val="10"/>
        </w:rPr>
        <w:t>：</w:t>
      </w:r>
      <w:r>
        <w:rPr>
          <w:rFonts w:hint="eastAsia" w:ascii="宋体" w:hAnsi="宋体" w:eastAsia="宋体" w:cs="宋体"/>
          <w:sz w:val="24"/>
        </w:rPr>
        <w:t>郑睿</w:t>
      </w:r>
      <w:r>
        <w:rPr>
          <w:rFonts w:hint="eastAsia" w:ascii="宋体" w:hAnsi="宋体" w:eastAsia="宋体" w:cs="宋体"/>
          <w:sz w:val="10"/>
        </w:rPr>
        <w:t>、</w:t>
      </w:r>
      <w:r>
        <w:rPr>
          <w:rFonts w:hint="eastAsia" w:ascii="宋体" w:hAnsi="宋体" w:eastAsia="宋体" w:cs="宋体"/>
          <w:sz w:val="24"/>
        </w:rPr>
        <w:t>郝智明</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项目协办人</w:t>
      </w:r>
      <w:r>
        <w:rPr>
          <w:rFonts w:hint="eastAsia" w:ascii="宋体" w:hAnsi="宋体" w:eastAsia="宋体" w:cs="宋体"/>
          <w:sz w:val="10"/>
        </w:rPr>
        <w:t>：</w:t>
      </w:r>
      <w:r>
        <w:rPr>
          <w:rFonts w:hint="eastAsia" w:ascii="宋体" w:hAnsi="宋体" w:eastAsia="宋体" w:cs="宋体"/>
          <w:sz w:val="24"/>
        </w:rPr>
        <w:t>周天宇</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60"/>
        <w:jc w:val="both"/>
      </w:pPr>
      <w:r>
        <w:rPr>
          <w:rFonts w:hint="eastAsia" w:ascii="Times New Roman" w:hAnsi="Times New Roman" w:eastAsia="Times New Roman" w:cs="Times New Roman"/>
          <w:sz w:val="21"/>
        </w:rPr>
        <w:t>1-1-33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联系人</w:t>
      </w:r>
      <w:r>
        <w:rPr>
          <w:rFonts w:hint="eastAsia" w:ascii="宋体" w:hAnsi="宋体" w:eastAsia="宋体" w:cs="宋体"/>
          <w:sz w:val="12"/>
        </w:rPr>
        <w:t>：</w:t>
      </w:r>
      <w:r>
        <w:rPr>
          <w:rFonts w:hint="eastAsia" w:ascii="宋体" w:hAnsi="宋体" w:eastAsia="宋体" w:cs="宋体"/>
          <w:sz w:val="24"/>
        </w:rPr>
        <w:t>郝智明</w:t>
      </w:r>
      <w:r>
        <w:rPr>
          <w:rFonts w:hint="eastAsia" w:ascii="宋体" w:hAnsi="宋体" w:eastAsia="宋体" w:cs="宋体"/>
          <w:sz w:val="10"/>
        </w:rPr>
        <w:t>、</w:t>
      </w:r>
      <w:r>
        <w:rPr>
          <w:rFonts w:hint="eastAsia" w:ascii="宋体" w:hAnsi="宋体" w:eastAsia="宋体" w:cs="宋体"/>
          <w:sz w:val="24"/>
        </w:rPr>
        <w:t>郑睿</w:t>
      </w:r>
      <w:r>
        <w:rPr>
          <w:rFonts w:hint="eastAsia" w:ascii="宋体" w:hAnsi="宋体" w:eastAsia="宋体" w:cs="宋体"/>
          <w:sz w:val="10"/>
        </w:rPr>
        <w:t>、</w:t>
      </w:r>
      <w:r>
        <w:rPr>
          <w:rFonts w:hint="eastAsia" w:ascii="宋体" w:hAnsi="宋体" w:eastAsia="宋体" w:cs="宋体"/>
          <w:sz w:val="24"/>
        </w:rPr>
        <w:t>周天宇</w:t>
      </w:r>
      <w:r>
        <w:rPr>
          <w:rFonts w:hint="eastAsia" w:ascii="宋体" w:hAnsi="宋体" w:eastAsia="宋体" w:cs="宋体"/>
          <w:sz w:val="10"/>
        </w:rPr>
        <w:t>、</w:t>
      </w:r>
      <w:r>
        <w:rPr>
          <w:rFonts w:hint="eastAsia" w:ascii="宋体" w:hAnsi="宋体" w:eastAsia="宋体" w:cs="宋体"/>
          <w:sz w:val="24"/>
        </w:rPr>
        <w:t>张莉</w:t>
      </w:r>
      <w:r>
        <w:rPr>
          <w:rFonts w:hint="eastAsia" w:ascii="宋体" w:hAnsi="宋体" w:eastAsia="宋体" w:cs="宋体"/>
          <w:sz w:val="10"/>
        </w:rPr>
        <w:t>、</w:t>
      </w:r>
      <w:r>
        <w:rPr>
          <w:rFonts w:hint="eastAsia" w:ascii="宋体" w:hAnsi="宋体" w:eastAsia="宋体" w:cs="宋体"/>
          <w:sz w:val="24"/>
        </w:rPr>
        <w:t>杨凯北</w:t>
      </w:r>
      <w:r>
        <w:rPr>
          <w:rFonts w:hint="eastAsia" w:ascii="宋体" w:hAnsi="宋体" w:eastAsia="宋体" w:cs="宋体"/>
          <w:sz w:val="10"/>
        </w:rPr>
        <w:t>、</w:t>
      </w:r>
      <w:r>
        <w:rPr>
          <w:rFonts w:hint="eastAsia" w:ascii="宋体" w:hAnsi="宋体" w:eastAsia="宋体" w:cs="宋体"/>
          <w:sz w:val="24"/>
        </w:rPr>
        <w:t>孙帅鲲</w:t>
      </w:r>
      <w:r>
        <w:rPr>
          <w:rFonts w:hint="eastAsia" w:ascii="宋体" w:hAnsi="宋体" w:eastAsia="宋体" w:cs="宋体"/>
          <w:sz w:val="10"/>
        </w:rPr>
        <w:t>、</w:t>
      </w:r>
      <w:r>
        <w:rPr>
          <w:rFonts w:hint="eastAsia" w:ascii="宋体" w:hAnsi="宋体" w:eastAsia="宋体" w:cs="宋体"/>
          <w:sz w:val="24"/>
        </w:rPr>
        <w:t>张亦驰</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（三）发行人律师</w:t>
      </w:r>
      <w:r>
        <w:rPr>
          <w:rFonts w:hint="eastAsia" w:ascii="宋体" w:hAnsi="宋体" w:eastAsia="宋体" w:cs="宋体"/>
          <w:b/>
          <w:sz w:val="12"/>
        </w:rPr>
        <w:t>：</w:t>
      </w:r>
      <w:r>
        <w:rPr>
          <w:rFonts w:hint="eastAsia" w:ascii="宋体" w:hAnsi="宋体" w:eastAsia="宋体" w:cs="宋体"/>
          <w:b/>
          <w:sz w:val="24"/>
        </w:rPr>
        <w:t>国浩律师（上海）事务所</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负责人</w:t>
      </w:r>
      <w:r>
        <w:rPr>
          <w:rFonts w:hint="eastAsia" w:ascii="宋体" w:hAnsi="宋体" w:eastAsia="宋体" w:cs="宋体"/>
          <w:sz w:val="10"/>
        </w:rPr>
        <w:t>：</w:t>
      </w:r>
      <w:r>
        <w:rPr>
          <w:rFonts w:hint="eastAsia" w:ascii="宋体" w:hAnsi="宋体" w:eastAsia="宋体" w:cs="宋体"/>
          <w:sz w:val="24"/>
        </w:rPr>
        <w:t>黄宁宁</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住所</w:t>
      </w:r>
      <w:r>
        <w:rPr>
          <w:rFonts w:hint="eastAsia" w:ascii="宋体" w:hAnsi="宋体" w:eastAsia="宋体" w:cs="宋体"/>
          <w:sz w:val="10"/>
        </w:rPr>
        <w:t>：</w:t>
      </w:r>
      <w:r>
        <w:rPr>
          <w:rFonts w:hint="eastAsia" w:ascii="宋体" w:hAnsi="宋体" w:eastAsia="宋体" w:cs="宋体"/>
          <w:sz w:val="24"/>
        </w:rPr>
        <w:t>上海市北京西路</w:t>
      </w:r>
      <w:r>
        <w:rPr>
          <w:rFonts w:hint="eastAsia" w:ascii="Times New Roman" w:hAnsi="Times New Roman" w:eastAsia="Times New Roman" w:cs="Times New Roman"/>
          <w:sz w:val="24"/>
        </w:rPr>
        <w:t xml:space="preserve"> 968</w:t>
      </w:r>
      <w:r>
        <w:rPr>
          <w:rFonts w:hint="eastAsia" w:ascii="宋体" w:hAnsi="宋体" w:eastAsia="宋体" w:cs="宋体"/>
          <w:sz w:val="24"/>
        </w:rPr>
        <w:t xml:space="preserve"> 号嘉地中心</w:t>
      </w:r>
      <w:r>
        <w:rPr>
          <w:rFonts w:hint="eastAsia" w:ascii="Times New Roman" w:hAnsi="Times New Roman" w:eastAsia="Times New Roman" w:cs="Times New Roman"/>
          <w:sz w:val="24"/>
        </w:rPr>
        <w:t xml:space="preserve"> 23-25</w:t>
      </w:r>
      <w:r>
        <w:rPr>
          <w:rFonts w:hint="eastAsia" w:ascii="宋体" w:hAnsi="宋体" w:eastAsia="宋体" w:cs="宋体"/>
          <w:sz w:val="24"/>
        </w:rPr>
        <w:t xml:space="preserve"> 层</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电话</w:t>
      </w:r>
      <w:r>
        <w:rPr>
          <w:rFonts w:hint="eastAsia" w:ascii="宋体" w:hAnsi="宋体" w:eastAsia="宋体" w:cs="宋体"/>
          <w:sz w:val="12"/>
        </w:rPr>
        <w:t>：</w:t>
      </w:r>
      <w:r>
        <w:rPr>
          <w:rFonts w:hint="eastAsia" w:ascii="Times New Roman" w:hAnsi="Times New Roman" w:eastAsia="Times New Roman" w:cs="Times New Roman"/>
          <w:sz w:val="24"/>
        </w:rPr>
        <w:t>021-5234 1668</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传真</w:t>
      </w:r>
      <w:r>
        <w:rPr>
          <w:rFonts w:hint="eastAsia" w:ascii="宋体" w:hAnsi="宋体" w:eastAsia="宋体" w:cs="宋体"/>
          <w:sz w:val="12"/>
        </w:rPr>
        <w:t>：</w:t>
      </w:r>
      <w:r>
        <w:rPr>
          <w:rFonts w:hint="eastAsia" w:ascii="Times New Roman" w:hAnsi="Times New Roman" w:eastAsia="Times New Roman" w:cs="Times New Roman"/>
          <w:sz w:val="24"/>
        </w:rPr>
        <w:t>021-5234 1670</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经办律师</w:t>
      </w:r>
      <w:r>
        <w:rPr>
          <w:rFonts w:hint="eastAsia" w:ascii="宋体" w:hAnsi="宋体" w:eastAsia="宋体" w:cs="宋体"/>
          <w:sz w:val="12"/>
        </w:rPr>
        <w:t>：</w:t>
      </w:r>
      <w:r>
        <w:rPr>
          <w:rFonts w:hint="eastAsia" w:ascii="宋体" w:hAnsi="宋体" w:eastAsia="宋体" w:cs="宋体"/>
          <w:sz w:val="24"/>
        </w:rPr>
        <w:t>吴越</w:t>
      </w:r>
      <w:r>
        <w:rPr>
          <w:rFonts w:hint="eastAsia" w:ascii="宋体" w:hAnsi="宋体" w:eastAsia="宋体" w:cs="宋体"/>
          <w:sz w:val="10"/>
        </w:rPr>
        <w:t>、</w:t>
      </w:r>
      <w:r>
        <w:rPr>
          <w:rFonts w:hint="eastAsia" w:ascii="宋体" w:hAnsi="宋体" w:eastAsia="宋体" w:cs="宋体"/>
          <w:sz w:val="24"/>
        </w:rPr>
        <w:t>唐银锋</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（四）会计师事务所</w:t>
      </w:r>
      <w:r>
        <w:rPr>
          <w:rFonts w:hint="eastAsia" w:ascii="宋体" w:hAnsi="宋体" w:eastAsia="宋体" w:cs="宋体"/>
          <w:b/>
          <w:sz w:val="10"/>
        </w:rPr>
        <w:t>：</w:t>
      </w:r>
      <w:r>
        <w:rPr>
          <w:rFonts w:hint="eastAsia" w:ascii="宋体" w:hAnsi="宋体" w:eastAsia="宋体" w:cs="宋体"/>
          <w:b/>
          <w:sz w:val="24"/>
        </w:rPr>
        <w:t>致同会计师事务所（特殊普通合伙）</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单位负责人</w:t>
      </w:r>
      <w:r>
        <w:rPr>
          <w:rFonts w:hint="eastAsia" w:ascii="宋体" w:hAnsi="宋体" w:eastAsia="宋体" w:cs="宋体"/>
          <w:sz w:val="10"/>
        </w:rPr>
        <w:t>：</w:t>
      </w:r>
      <w:r>
        <w:rPr>
          <w:rFonts w:hint="eastAsia" w:ascii="宋体" w:hAnsi="宋体" w:eastAsia="宋体" w:cs="宋体"/>
          <w:sz w:val="24"/>
        </w:rPr>
        <w:t>徐华</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住所</w:t>
      </w:r>
      <w:r>
        <w:rPr>
          <w:rFonts w:hint="eastAsia" w:ascii="宋体" w:hAnsi="宋体" w:eastAsia="宋体" w:cs="宋体"/>
          <w:sz w:val="12"/>
        </w:rPr>
        <w:t>：</w:t>
      </w:r>
      <w:r>
        <w:rPr>
          <w:rFonts w:hint="eastAsia" w:ascii="宋体" w:hAnsi="宋体" w:eastAsia="宋体" w:cs="宋体"/>
          <w:sz w:val="24"/>
        </w:rPr>
        <w:t>北京市朝阳区建国门外大街</w:t>
      </w:r>
      <w:r>
        <w:rPr>
          <w:rFonts w:hint="eastAsia" w:ascii="Times New Roman" w:hAnsi="Times New Roman" w:eastAsia="Times New Roman" w:cs="Times New Roman"/>
          <w:sz w:val="24"/>
        </w:rPr>
        <w:t xml:space="preserve"> 22</w:t>
      </w:r>
      <w:r>
        <w:rPr>
          <w:rFonts w:hint="eastAsia" w:ascii="宋体" w:hAnsi="宋体" w:eastAsia="宋体" w:cs="宋体"/>
          <w:sz w:val="24"/>
        </w:rPr>
        <w:t xml:space="preserve"> 号赛特广场</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层</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电话</w:t>
      </w:r>
      <w:r>
        <w:rPr>
          <w:rFonts w:hint="eastAsia" w:ascii="宋体" w:hAnsi="宋体" w:eastAsia="宋体" w:cs="宋体"/>
          <w:sz w:val="12"/>
        </w:rPr>
        <w:t>：</w:t>
      </w:r>
      <w:r>
        <w:rPr>
          <w:rFonts w:hint="eastAsia" w:ascii="Times New Roman" w:hAnsi="Times New Roman" w:eastAsia="Times New Roman" w:cs="Times New Roman"/>
          <w:sz w:val="24"/>
        </w:rPr>
        <w:t>010-8566 5588</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传真</w:t>
      </w:r>
      <w:r>
        <w:rPr>
          <w:rFonts w:hint="eastAsia" w:ascii="宋体" w:hAnsi="宋体" w:eastAsia="宋体" w:cs="宋体"/>
          <w:sz w:val="12"/>
        </w:rPr>
        <w:t>：</w:t>
      </w:r>
      <w:r>
        <w:rPr>
          <w:rFonts w:hint="eastAsia" w:ascii="Times New Roman" w:hAnsi="Times New Roman" w:eastAsia="Times New Roman" w:cs="Times New Roman"/>
          <w:sz w:val="24"/>
        </w:rPr>
        <w:t>010-8566 5520</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经办会计师</w:t>
      </w:r>
      <w:r>
        <w:rPr>
          <w:rFonts w:hint="eastAsia" w:ascii="宋体" w:hAnsi="宋体" w:eastAsia="宋体" w:cs="宋体"/>
          <w:sz w:val="10"/>
        </w:rPr>
        <w:t>：</w:t>
      </w:r>
      <w:r>
        <w:rPr>
          <w:rFonts w:hint="eastAsia" w:ascii="宋体" w:hAnsi="宋体" w:eastAsia="宋体" w:cs="宋体"/>
          <w:sz w:val="24"/>
        </w:rPr>
        <w:t>刘维</w:t>
      </w:r>
      <w:r>
        <w:rPr>
          <w:rFonts w:hint="eastAsia" w:ascii="宋体" w:hAnsi="宋体" w:eastAsia="宋体" w:cs="宋体"/>
          <w:sz w:val="10"/>
        </w:rPr>
        <w:t>、</w:t>
      </w:r>
      <w:r>
        <w:rPr>
          <w:rFonts w:hint="eastAsia" w:ascii="宋体" w:hAnsi="宋体" w:eastAsia="宋体" w:cs="宋体"/>
          <w:sz w:val="24"/>
        </w:rPr>
        <w:t>廖金辉</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（五）资产评估机构</w:t>
      </w:r>
      <w:r>
        <w:rPr>
          <w:rFonts w:hint="eastAsia" w:ascii="宋体" w:hAnsi="宋体" w:eastAsia="宋体" w:cs="宋体"/>
          <w:b/>
          <w:sz w:val="10"/>
        </w:rPr>
        <w:t>：</w:t>
      </w:r>
      <w:r>
        <w:rPr>
          <w:rFonts w:hint="eastAsia" w:ascii="宋体" w:hAnsi="宋体" w:eastAsia="宋体" w:cs="宋体"/>
          <w:b/>
          <w:sz w:val="24"/>
        </w:rPr>
        <w:t>福建联合中和资产评估土地房地产估价有限公司</w:t>
      </w:r>
      <w:r>
        <w:rPr>
          <w:rFonts w:hint="eastAsia" w:ascii="Times New Roman Bold" w:hAnsi="Times New Roman Bold" w:eastAsia="Times New Roman Bold" w:cs="Times New Roman Bold"/>
          <w:b/>
          <w:sz w:val="16"/>
        </w:rPr>
        <w:t>2</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法定代表人</w:t>
      </w:r>
      <w:r>
        <w:rPr>
          <w:rFonts w:hint="eastAsia" w:ascii="宋体" w:hAnsi="宋体" w:eastAsia="宋体" w:cs="宋体"/>
          <w:sz w:val="12"/>
        </w:rPr>
        <w:t>：</w:t>
      </w:r>
      <w:r>
        <w:rPr>
          <w:rFonts w:hint="eastAsia" w:ascii="宋体" w:hAnsi="宋体" w:eastAsia="宋体" w:cs="宋体"/>
          <w:sz w:val="24"/>
        </w:rPr>
        <w:t>商光太</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住所</w:t>
      </w:r>
      <w:r>
        <w:rPr>
          <w:rFonts w:hint="eastAsia" w:ascii="宋体" w:hAnsi="宋体" w:eastAsia="宋体" w:cs="宋体"/>
          <w:sz w:val="12"/>
        </w:rPr>
        <w:t>：</w:t>
      </w:r>
      <w:r>
        <w:rPr>
          <w:rFonts w:hint="eastAsia" w:ascii="宋体" w:hAnsi="宋体" w:eastAsia="宋体" w:cs="宋体"/>
          <w:sz w:val="24"/>
        </w:rPr>
        <w:t>福州市鼓楼区湖东路</w:t>
      </w:r>
      <w:r>
        <w:rPr>
          <w:rFonts w:hint="eastAsia" w:ascii="Times New Roman" w:hAnsi="Times New Roman" w:eastAsia="Times New Roman" w:cs="Times New Roman"/>
          <w:sz w:val="24"/>
        </w:rPr>
        <w:t xml:space="preserve"> 168</w:t>
      </w:r>
      <w:r>
        <w:rPr>
          <w:rFonts w:hint="eastAsia" w:ascii="宋体" w:hAnsi="宋体" w:eastAsia="宋体" w:cs="宋体"/>
          <w:sz w:val="24"/>
        </w:rPr>
        <w:t xml:space="preserve"> 号宏利大厦写字楼</w:t>
      </w:r>
      <w:r>
        <w:rPr>
          <w:rFonts w:hint="eastAsia" w:ascii="Times New Roman" w:hAnsi="Times New Roman" w:eastAsia="Times New Roman" w:cs="Times New Roman"/>
          <w:sz w:val="24"/>
        </w:rPr>
        <w:t xml:space="preserve"> 27D</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电话</w:t>
      </w:r>
      <w:r>
        <w:rPr>
          <w:rFonts w:hint="eastAsia" w:ascii="宋体" w:hAnsi="宋体" w:eastAsia="宋体" w:cs="宋体"/>
          <w:sz w:val="12"/>
        </w:rPr>
        <w:t>：</w:t>
      </w:r>
      <w:r>
        <w:rPr>
          <w:rFonts w:hint="eastAsia" w:ascii="Times New Roman" w:hAnsi="Times New Roman" w:eastAsia="Times New Roman" w:cs="Times New Roman"/>
          <w:sz w:val="24"/>
        </w:rPr>
        <w:t>0591-87818242</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传真</w:t>
      </w:r>
      <w:r>
        <w:rPr>
          <w:rFonts w:hint="eastAsia" w:ascii="宋体" w:hAnsi="宋体" w:eastAsia="宋体" w:cs="宋体"/>
          <w:sz w:val="10"/>
        </w:rPr>
        <w:t>：</w:t>
      </w:r>
      <w:r>
        <w:rPr>
          <w:rFonts w:hint="eastAsia" w:ascii="Times New Roman" w:hAnsi="Times New Roman" w:eastAsia="Times New Roman" w:cs="Times New Roman"/>
          <w:sz w:val="24"/>
        </w:rPr>
        <w:t>0591-87814517</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经办评估师</w:t>
      </w:r>
      <w:r>
        <w:rPr>
          <w:rFonts w:hint="eastAsia" w:ascii="宋体" w:hAnsi="宋体" w:eastAsia="宋体" w:cs="宋体"/>
          <w:sz w:val="12"/>
        </w:rPr>
        <w:t>：</w:t>
      </w:r>
      <w:r>
        <w:rPr>
          <w:rFonts w:hint="eastAsia" w:ascii="宋体" w:hAnsi="宋体" w:eastAsia="宋体" w:cs="宋体"/>
          <w:sz w:val="24"/>
        </w:rPr>
        <w:t>陈航</w:t>
      </w:r>
      <w:r>
        <w:rPr>
          <w:rFonts w:hint="eastAsia" w:ascii="宋体" w:hAnsi="宋体" w:eastAsia="宋体" w:cs="宋体"/>
          <w:sz w:val="10"/>
        </w:rPr>
        <w:t>、</w:t>
      </w:r>
      <w:r>
        <w:rPr>
          <w:rFonts w:hint="eastAsia" w:ascii="宋体" w:hAnsi="宋体" w:eastAsia="宋体" w:cs="宋体"/>
          <w:sz w:val="24"/>
        </w:rPr>
        <w:t>商光太</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（六）收款银行</w:t>
      </w:r>
      <w:r>
        <w:rPr>
          <w:rFonts w:hint="eastAsia" w:ascii="宋体" w:hAnsi="宋体" w:eastAsia="宋体" w:cs="宋体"/>
          <w:b/>
          <w:sz w:val="12"/>
        </w:rPr>
        <w:t>：</w:t>
      </w:r>
      <w:r>
        <w:rPr>
          <w:rFonts w:hint="eastAsia" w:ascii="宋体" w:hAnsi="宋体" w:eastAsia="宋体" w:cs="宋体"/>
          <w:b/>
          <w:sz w:val="24"/>
        </w:rPr>
        <w:t>中国工商银行上海市分行第二营业部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银行</w:t>
      </w:r>
      <w:r>
        <w:rPr>
          <w:rFonts w:hint="eastAsia" w:ascii="宋体" w:hAnsi="宋体" w:eastAsia="宋体" w:cs="宋体"/>
          <w:sz w:val="12"/>
        </w:rPr>
        <w:t>：</w:t>
      </w:r>
      <w:r>
        <w:rPr>
          <w:rFonts w:hint="eastAsia" w:ascii="宋体" w:hAnsi="宋体" w:eastAsia="宋体" w:cs="宋体"/>
          <w:sz w:val="24"/>
        </w:rPr>
        <w:t>中国工商银行上海市分行第二营业部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Arial" w:hAnsi="Arial" w:eastAsia="Arial" w:cs="Arial"/>
          <w:sz w:val="12"/>
        </w:rPr>
        <w:t>2</w:t>
      </w:r>
      <w:r>
        <w:rPr>
          <w:rFonts w:hint="eastAsia" w:ascii="Arial" w:hAnsi="Arial" w:eastAsia="Arial" w:cs="Arial"/>
          <w:sz w:val="18"/>
        </w:rPr>
        <w:t xml:space="preserve"> </w:t>
      </w:r>
      <w:r>
        <w:rPr>
          <w:rFonts w:hint="eastAsia" w:ascii="·ÂËÎ_GB2312" w:hAnsi="·ÂËÎ_GB2312" w:eastAsia="·ÂËÎ_GB2312" w:cs="·ÂËÎ_GB2312"/>
          <w:sz w:val="18"/>
        </w:rPr>
        <w:t>福建联合中和资产评估土地房地产估价有限公司</w:t>
      </w:r>
      <w:r>
        <w:rPr>
          <w:rFonts w:hint="eastAsia" w:ascii="·ÂËÎ_GB2312" w:hAnsi="·ÂËÎ_GB2312" w:eastAsia="·ÂËÎ_GB2312" w:cs="·ÂËÎ_GB2312"/>
          <w:sz w:val="10"/>
        </w:rPr>
        <w:t>，</w:t>
      </w:r>
      <w:r>
        <w:rPr>
          <w:rFonts w:hint="eastAsia" w:ascii="·ÂËÎ_GB2312" w:hAnsi="·ÂËÎ_GB2312" w:eastAsia="·ÂËÎ_GB2312" w:cs="·ÂËÎ_GB2312"/>
          <w:sz w:val="18"/>
        </w:rPr>
        <w:t>原名</w:t>
      </w:r>
      <w:r>
        <w:rPr>
          <w:rFonts w:hint="eastAsia" w:ascii="·ÂËÎ_GB2312" w:hAnsi="·ÂËÎ_GB2312" w:eastAsia="·ÂËÎ_GB2312" w:cs="·ÂËÎ_GB2312"/>
          <w:sz w:val="10"/>
        </w:rPr>
        <w:t>“</w:t>
      </w:r>
      <w:r>
        <w:rPr>
          <w:rFonts w:hint="eastAsia" w:ascii="·ÂËÎ_GB2312" w:hAnsi="·ÂËÎ_GB2312" w:eastAsia="·ÂËÎ_GB2312" w:cs="·ÂËÎ_GB2312"/>
          <w:sz w:val="18"/>
        </w:rPr>
        <w:t>福建联合中和资产评估有限公司</w:t>
      </w:r>
      <w:r>
        <w:rPr>
          <w:rFonts w:hint="eastAsia" w:ascii="·ÂËÎ_GB2312" w:hAnsi="·ÂËÎ_GB2312" w:eastAsia="·ÂËÎ_GB2312" w:cs="·ÂËÎ_GB2312"/>
          <w:sz w:val="10"/>
        </w:rPr>
        <w:t>”，</w:t>
      </w:r>
      <w:r>
        <w:rPr>
          <w:rFonts w:hint="eastAsia" w:ascii="·ÂËÎ_GB2312" w:hAnsi="·ÂËÎ_GB2312" w:eastAsia="·ÂËÎ_GB2312" w:cs="·ÂËÎ_GB2312"/>
          <w:sz w:val="18"/>
        </w:rPr>
        <w:t>于</w:t>
      </w:r>
      <w:r>
        <w:rPr>
          <w:rFonts w:hint="eastAsia" w:ascii="Times New Roman" w:hAnsi="Times New Roman" w:eastAsia="Times New Roman" w:cs="Times New Roman"/>
          <w:sz w:val="18"/>
        </w:rPr>
        <w:t xml:space="preserve"> 2014</w:t>
      </w:r>
      <w:r>
        <w:rPr>
          <w:rFonts w:hint="eastAsia" w:ascii="·ÂËÎ_GB2312" w:hAnsi="·ÂËÎ_GB2312" w:eastAsia="·ÂËÎ_GB2312" w:cs="·ÂËÎ_GB2312"/>
          <w:sz w:val="18"/>
        </w:rPr>
        <w:t xml:space="preserve"> 年</w:t>
      </w:r>
      <w:r>
        <w:rPr>
          <w:rFonts w:hint="eastAsia" w:ascii="Times New Roman" w:hAnsi="Times New Roman" w:eastAsia="Times New Roman" w:cs="Times New Roman"/>
          <w:sz w:val="18"/>
        </w:rPr>
        <w:t xml:space="preserve"> 9</w:t>
      </w:r>
    </w:p>
    <w:p>
      <w:pPr>
        <w:autoSpaceDE w:val="false"/>
        <w:autoSpaceDN w:val="false"/>
        <w:spacing w:line="240" w:lineRule="exact"/>
        <w:ind w:left="1800"/>
        <w:jc w:val="both"/>
      </w:pPr>
      <w:r>
        <w:rPr>
          <w:rFonts w:hint="eastAsia" w:ascii="·ÂËÎ_GB2312" w:hAnsi="·ÂËÎ_GB2312" w:eastAsia="·ÂËÎ_GB2312" w:cs="·ÂËÎ_GB2312"/>
          <w:sz w:val="18"/>
        </w:rPr>
        <w:t>月更名</w:t>
      </w:r>
      <w:r>
        <w:rPr>
          <w:rFonts w:hint="eastAsia" w:ascii="·ÂËÎ_GB2312" w:hAnsi="·ÂËÎ_GB2312" w:eastAsia="·ÂËÎ_GB2312" w:cs="·ÂËÎ_GB2312"/>
          <w:sz w:val="10"/>
        </w:rPr>
        <w:t>。</w:t>
      </w:r>
    </w:p>
    <w:p>
      <w:pPr>
        <w:spacing w:line="200" w:lineRule="exact"/>
        <w:rPr>
          <w:rFonts w:hint="eastAsia" w:ascii="宋体" w:hAnsi="宋体" w:eastAsia="宋体" w:cs="宋体"/>
          <w:sz w:val="20"/>
        </w:rPr>
      </w:pPr>
    </w:p>
    <w:p>
      <w:pPr>
        <w:autoSpaceDE w:val="false"/>
        <w:autoSpaceDN w:val="false"/>
        <w:spacing w:line="280" w:lineRule="exact"/>
        <w:ind w:left="5660"/>
        <w:jc w:val="both"/>
      </w:pPr>
      <w:r>
        <w:rPr>
          <w:rFonts w:hint="eastAsia" w:ascii="Times New Roman" w:hAnsi="Times New Roman" w:eastAsia="Times New Roman" w:cs="Times New Roman"/>
          <w:sz w:val="21"/>
        </w:rPr>
        <w:t>1-1-34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户名</w:t>
      </w:r>
      <w:r>
        <w:rPr>
          <w:rFonts w:hint="eastAsia" w:ascii="宋体" w:hAnsi="宋体" w:eastAsia="宋体" w:cs="宋体"/>
          <w:sz w:val="12"/>
        </w:rPr>
        <w:t>：</w:t>
      </w:r>
      <w:r>
        <w:rPr>
          <w:rFonts w:hint="eastAsia" w:ascii="宋体" w:hAnsi="宋体" w:eastAsia="宋体" w:cs="宋体"/>
          <w:sz w:val="24"/>
        </w:rPr>
        <w:t>东方花旗证券有限公司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账号</w:t>
      </w:r>
      <w:r>
        <w:rPr>
          <w:rFonts w:hint="eastAsia" w:ascii="宋体" w:hAnsi="宋体" w:eastAsia="宋体" w:cs="宋体"/>
          <w:sz w:val="12"/>
        </w:rPr>
        <w:t>：</w:t>
      </w:r>
      <w:r>
        <w:rPr>
          <w:rFonts w:hint="eastAsia" w:ascii="Times New Roman" w:hAnsi="Times New Roman" w:eastAsia="Times New Roman" w:cs="Times New Roman"/>
          <w:sz w:val="24"/>
        </w:rPr>
        <w:t>1001190729013330090</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（七）股票登记机构</w:t>
      </w:r>
      <w:r>
        <w:rPr>
          <w:rFonts w:hint="eastAsia" w:ascii="宋体" w:hAnsi="宋体" w:eastAsia="宋体" w:cs="宋体"/>
          <w:b/>
          <w:sz w:val="10"/>
        </w:rPr>
        <w:t>：</w:t>
      </w:r>
      <w:r>
        <w:rPr>
          <w:rFonts w:hint="eastAsia" w:ascii="宋体" w:hAnsi="宋体" w:eastAsia="宋体" w:cs="宋体"/>
          <w:b/>
          <w:sz w:val="24"/>
        </w:rPr>
        <w:t>中国证券登记结算有限责任公司上海分公司</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地址</w:t>
      </w:r>
      <w:r>
        <w:rPr>
          <w:rFonts w:hint="eastAsia" w:ascii="宋体" w:hAnsi="宋体" w:eastAsia="宋体" w:cs="宋体"/>
          <w:sz w:val="10"/>
        </w:rPr>
        <w:t>：</w:t>
      </w:r>
      <w:r>
        <w:rPr>
          <w:rFonts w:hint="eastAsia" w:ascii="宋体" w:hAnsi="宋体" w:eastAsia="宋体" w:cs="宋体"/>
          <w:sz w:val="24"/>
        </w:rPr>
        <w:t>上海市浦东新区陆家嘴东路</w:t>
      </w:r>
      <w:r>
        <w:rPr>
          <w:rFonts w:hint="eastAsia" w:ascii="Times New Roman" w:hAnsi="Times New Roman" w:eastAsia="Times New Roman" w:cs="Times New Roman"/>
          <w:sz w:val="24"/>
        </w:rPr>
        <w:t xml:space="preserve"> 166</w:t>
      </w:r>
      <w:r>
        <w:rPr>
          <w:rFonts w:hint="eastAsia" w:ascii="宋体" w:hAnsi="宋体" w:eastAsia="宋体" w:cs="宋体"/>
          <w:sz w:val="24"/>
        </w:rPr>
        <w:t xml:space="preserve"> 号中国保险大厦</w:t>
      </w:r>
      <w:r>
        <w:rPr>
          <w:rFonts w:hint="eastAsia" w:ascii="Times New Roman" w:hAnsi="Times New Roman" w:eastAsia="Times New Roman" w:cs="Times New Roman"/>
          <w:sz w:val="24"/>
        </w:rPr>
        <w:t xml:space="preserve"> 36</w:t>
      </w:r>
      <w:r>
        <w:rPr>
          <w:rFonts w:hint="eastAsia" w:ascii="宋体" w:hAnsi="宋体" w:eastAsia="宋体" w:cs="宋体"/>
          <w:sz w:val="24"/>
        </w:rPr>
        <w:t xml:space="preserve"> 楼</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电话</w:t>
      </w:r>
      <w:r>
        <w:rPr>
          <w:rFonts w:hint="eastAsia" w:ascii="宋体" w:hAnsi="宋体" w:eastAsia="宋体" w:cs="宋体"/>
          <w:sz w:val="12"/>
        </w:rPr>
        <w:t>：</w:t>
      </w:r>
      <w:r>
        <w:rPr>
          <w:rFonts w:hint="eastAsia" w:ascii="Times New Roman" w:hAnsi="Times New Roman" w:eastAsia="Times New Roman" w:cs="Times New Roman"/>
          <w:sz w:val="24"/>
        </w:rPr>
        <w:t>021-6887 3878</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传真</w:t>
      </w:r>
      <w:r>
        <w:rPr>
          <w:rFonts w:hint="eastAsia" w:ascii="宋体" w:hAnsi="宋体" w:eastAsia="宋体" w:cs="宋体"/>
          <w:sz w:val="12"/>
        </w:rPr>
        <w:t>：</w:t>
      </w:r>
      <w:r>
        <w:rPr>
          <w:rFonts w:hint="eastAsia" w:ascii="Times New Roman" w:hAnsi="Times New Roman" w:eastAsia="Times New Roman" w:cs="Times New Roman"/>
          <w:sz w:val="24"/>
        </w:rPr>
        <w:t>021-6887 0064</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（八）申请上市交易所</w:t>
      </w:r>
      <w:r>
        <w:rPr>
          <w:rFonts w:hint="eastAsia" w:ascii="宋体" w:hAnsi="宋体" w:eastAsia="宋体" w:cs="宋体"/>
          <w:b/>
          <w:sz w:val="12"/>
        </w:rPr>
        <w:t>：</w:t>
      </w:r>
      <w:r>
        <w:rPr>
          <w:rFonts w:hint="eastAsia" w:ascii="宋体" w:hAnsi="宋体" w:eastAsia="宋体" w:cs="宋体"/>
          <w:b/>
          <w:sz w:val="24"/>
        </w:rPr>
        <w:t>上海证券交易所</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地址</w:t>
      </w:r>
      <w:r>
        <w:rPr>
          <w:rFonts w:hint="eastAsia" w:ascii="宋体" w:hAnsi="宋体" w:eastAsia="宋体" w:cs="宋体"/>
          <w:sz w:val="10"/>
        </w:rPr>
        <w:t>：</w:t>
      </w:r>
      <w:r>
        <w:rPr>
          <w:rFonts w:hint="eastAsia" w:ascii="宋体" w:hAnsi="宋体" w:eastAsia="宋体" w:cs="宋体"/>
          <w:sz w:val="24"/>
        </w:rPr>
        <w:t>上海市浦东南路</w:t>
      </w:r>
      <w:r>
        <w:rPr>
          <w:rFonts w:hint="eastAsia" w:ascii="Times New Roman" w:hAnsi="Times New Roman" w:eastAsia="Times New Roman" w:cs="Times New Roman"/>
          <w:sz w:val="24"/>
        </w:rPr>
        <w:t xml:space="preserve"> 528</w:t>
      </w:r>
      <w:r>
        <w:rPr>
          <w:rFonts w:hint="eastAsia" w:ascii="宋体" w:hAnsi="宋体" w:eastAsia="宋体" w:cs="宋体"/>
          <w:sz w:val="24"/>
        </w:rPr>
        <w:t xml:space="preserve"> 号证券大厦</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电话</w:t>
      </w:r>
      <w:r>
        <w:rPr>
          <w:rFonts w:hint="eastAsia" w:ascii="宋体" w:hAnsi="宋体" w:eastAsia="宋体" w:cs="宋体"/>
          <w:sz w:val="10"/>
        </w:rPr>
        <w:t>：</w:t>
      </w:r>
      <w:r>
        <w:rPr>
          <w:rFonts w:hint="eastAsia" w:ascii="Times New Roman" w:hAnsi="Times New Roman" w:eastAsia="Times New Roman" w:cs="Times New Roman"/>
          <w:sz w:val="24"/>
        </w:rPr>
        <w:t>021-6880 8888</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传真</w:t>
      </w:r>
      <w:r>
        <w:rPr>
          <w:rFonts w:hint="eastAsia" w:ascii="宋体" w:hAnsi="宋体" w:eastAsia="宋体" w:cs="宋体"/>
          <w:sz w:val="12"/>
        </w:rPr>
        <w:t>：</w:t>
      </w:r>
      <w:r>
        <w:rPr>
          <w:rFonts w:hint="eastAsia" w:ascii="Times New Roman" w:hAnsi="Times New Roman" w:eastAsia="Times New Roman" w:cs="Times New Roman"/>
          <w:sz w:val="24"/>
        </w:rPr>
        <w:t>021-6880 4868</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与本次发行有关中介机构及人员的权益关系</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firstLine="480"/>
        <w:jc w:val="both"/>
      </w:pPr>
      <w:r>
        <w:rPr>
          <w:rFonts w:hint="eastAsia" w:ascii="宋体" w:hAnsi="宋体" w:eastAsia="宋体" w:cs="宋体"/>
          <w:sz w:val="24"/>
        </w:rPr>
        <w:t>本公司与本次发行有关中介机构及其负责人</w:t>
      </w:r>
      <w:r>
        <w:rPr>
          <w:rFonts w:hint="eastAsia" w:ascii="宋体" w:hAnsi="宋体" w:eastAsia="宋体" w:cs="宋体"/>
          <w:sz w:val="10"/>
        </w:rPr>
        <w:t>、</w:t>
      </w:r>
      <w:r>
        <w:rPr>
          <w:rFonts w:hint="eastAsia" w:ascii="宋体" w:hAnsi="宋体" w:eastAsia="宋体" w:cs="宋体"/>
          <w:sz w:val="24"/>
        </w:rPr>
        <w:t>高级管理人员</w:t>
      </w:r>
      <w:r>
        <w:rPr>
          <w:rFonts w:hint="eastAsia" w:ascii="宋体" w:hAnsi="宋体" w:eastAsia="宋体" w:cs="宋体"/>
          <w:sz w:val="10"/>
        </w:rPr>
        <w:t>、</w:t>
      </w:r>
      <w:r>
        <w:rPr>
          <w:rFonts w:hint="eastAsia" w:ascii="宋体" w:hAnsi="宋体" w:eastAsia="宋体" w:cs="宋体"/>
          <w:sz w:val="24"/>
        </w:rPr>
        <w:t>经办人员之间不存在直接或间接的股权关系或其他权益关系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与本次发行上市有关的重要日期</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1800"/>
        <w:jc w:val="both"/>
      </w:pPr>
      <w:r>
        <w:rPr>
          <w:rFonts w:hint="eastAsia" w:ascii="宋体" w:hAnsi="宋体" w:eastAsia="宋体" w:cs="宋体"/>
          <w:sz w:val="24"/>
        </w:rPr>
        <w:t>刊登初步询价公告日期</w:t>
      </w:r>
      <w:r>
        <w:rPr>
          <w:rFonts w:hint="eastAsia" w:ascii="宋体" w:hAnsi="宋体" w:eastAsia="宋体" w:cs="宋体"/>
          <w:sz w:val="10"/>
        </w:rPr>
        <w:t>：</w:t>
      </w: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860"/>
        </w:tabs>
        <w:autoSpaceDE w:val="false"/>
        <w:autoSpaceDN w:val="false"/>
        <w:spacing w:line="380" w:lineRule="exact"/>
        <w:ind w:left="1800"/>
        <w:jc w:val="both"/>
      </w:pPr>
      <w:r>
        <w:rPr>
          <w:rFonts w:hint="eastAsia" w:ascii="宋体" w:hAnsi="宋体" w:eastAsia="宋体" w:cs="宋体"/>
          <w:sz w:val="24"/>
        </w:rPr>
        <w:t>询价及推介日期</w:t>
      </w:r>
      <w:r>
        <w:rPr>
          <w:rFonts w:hint="eastAsia" w:ascii="宋体" w:hAnsi="宋体" w:eastAsia="宋体" w:cs="宋体"/>
          <w:sz w:val="10"/>
        </w:rPr>
        <w:t>：</w:t>
      </w:r>
      <w:r>
        <w:tab/>
      </w: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860"/>
        </w:tabs>
        <w:autoSpaceDE w:val="false"/>
        <w:autoSpaceDN w:val="false"/>
        <w:spacing w:line="380" w:lineRule="exact"/>
        <w:ind w:left="1800"/>
        <w:jc w:val="both"/>
      </w:pPr>
      <w:r>
        <w:rPr>
          <w:rFonts w:hint="eastAsia" w:ascii="宋体" w:hAnsi="宋体" w:eastAsia="宋体" w:cs="宋体"/>
          <w:sz w:val="24"/>
        </w:rPr>
        <w:t>发行公告刊登日期</w:t>
      </w:r>
      <w:r>
        <w:rPr>
          <w:rFonts w:hint="eastAsia" w:ascii="宋体" w:hAnsi="宋体" w:eastAsia="宋体" w:cs="宋体"/>
          <w:sz w:val="10"/>
        </w:rPr>
        <w:t>：</w:t>
      </w:r>
      <w:r>
        <w:tab/>
      </w: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860"/>
        </w:tabs>
        <w:autoSpaceDE w:val="false"/>
        <w:autoSpaceDN w:val="false"/>
        <w:spacing w:line="380" w:lineRule="exact"/>
        <w:ind w:left="1800"/>
        <w:jc w:val="both"/>
      </w:pPr>
      <w:r>
        <w:rPr>
          <w:rFonts w:hint="eastAsia" w:ascii="宋体" w:hAnsi="宋体" w:eastAsia="宋体" w:cs="宋体"/>
          <w:sz w:val="24"/>
        </w:rPr>
        <w:t>缴款日期</w:t>
      </w:r>
      <w:r>
        <w:rPr>
          <w:rFonts w:hint="eastAsia" w:ascii="宋体" w:hAnsi="宋体" w:eastAsia="宋体" w:cs="宋体"/>
          <w:sz w:val="10"/>
        </w:rPr>
        <w:t>：</w:t>
      </w:r>
      <w:r>
        <w:tab/>
      </w: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日</w:t>
      </w:r>
    </w:p>
    <w:p>
      <w:pPr>
        <w:sectPr>
          <w:type w:val="nextPage"/>
          <w:pgSz w:w="11900" w:h="16820"/>
          <w:pgMar w:top="0" w:right="0" w:bottom="0" w:left="0"/>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jc w:val="both"/>
      </w:pPr>
      <w:r>
        <w:rPr>
          <w:rFonts w:hint="eastAsia" w:ascii="宋体" w:hAnsi="宋体" w:eastAsia="宋体" w:cs="宋体"/>
          <w:sz w:val="24"/>
        </w:rPr>
        <w:t>股票上市日期</w:t>
      </w:r>
      <w:r>
        <w:rPr>
          <w:rFonts w:hint="eastAsia" w:ascii="宋体" w:hAnsi="宋体" w:eastAsia="宋体" w:cs="宋体"/>
          <w:sz w:val="12"/>
        </w:rPr>
        <w:t>：</w:t>
      </w:r>
    </w:p>
    <w:p>
      <w:pPr>
        <w:spacing w:line="200" w:lineRule="exact"/>
        <w:rPr>
          <w:rFonts w:hint="eastAsia" w:ascii="宋体" w:hAnsi="宋体" w:eastAsia="宋体" w:cs="宋体"/>
          <w:sz w:val="20"/>
        </w:rPr>
      </w:pPr>
      <w:r>
        <w:br w:type="column"/>
      </w:r>
    </w:p>
    <w:p>
      <w:pPr>
        <w:spacing w:line="200" w:lineRule="exact"/>
        <w:rPr>
          <w:rFonts w:hint="eastAsia" w:ascii="宋体" w:hAnsi="宋体" w:eastAsia="宋体" w:cs="宋体"/>
          <w:sz w:val="20"/>
        </w:rPr>
      </w:pPr>
    </w:p>
    <w:p>
      <w:pPr>
        <w:autoSpaceDE w:val="false"/>
        <w:autoSpaceDN w:val="false"/>
        <w:spacing w:line="420" w:lineRule="exact"/>
        <w:ind w:left="0" w:right="0"/>
        <w:jc w:val="both"/>
      </w:pPr>
      <w:r>
        <w:rPr>
          <w:rFonts w:hint="eastAsia" w:ascii="宋体" w:hAnsi="宋体" w:eastAsia="宋体" w:cs="宋体"/>
          <w:sz w:val="24"/>
        </w:rPr>
        <w:t>本次股票发行结束后将尽快申请在上海证券交易所挂牌交易</w:t>
      </w:r>
    </w:p>
    <w:p>
      <w:pPr>
        <w:sectPr>
          <w:type w:val="continuous"/>
          <w:pgSz w:w="11900" w:h="16820"/>
          <w:pgMar w:top="0" w:right="0" w:bottom="0" w:left="0"/>
          <w:cols w:equalWidth="false" w:num="2" w:sep="false">
            <w:col w:w="3380" w:space="1480"/>
            <w:col w:w="5380"/>
          </w:cols>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1-1-35</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40" w:lineRule="exact"/>
        <w:ind w:left="4580"/>
        <w:jc w:val="both"/>
      </w:pPr>
      <w:r>
        <w:rPr>
          <w:rFonts w:hint="eastAsia" w:ascii="ºÚÌå" w:hAnsi="ºÚÌå" w:eastAsia="ºÚÌå" w:cs="ºÚÌå"/>
          <w:b/>
          <w:sz w:val="36"/>
        </w:rPr>
        <w:t>第四节</w:t>
      </w:r>
      <w:r>
        <w:rPr>
          <w:rFonts w:hint="eastAsia" w:ascii="ºÚÌå" w:hAnsi="ºÚÌå" w:eastAsia="ºÚÌå" w:cs="ºÚÌå"/>
          <w:b/>
          <w:sz w:val="36"/>
        </w:rPr>
        <w:t xml:space="preserve"> </w:t>
      </w:r>
      <w:r>
        <w:rPr>
          <w:rFonts w:hint="eastAsia" w:ascii="ºÚÌå" w:hAnsi="ºÚÌå" w:eastAsia="ºÚÌå" w:cs="ºÚÌå"/>
          <w:b/>
          <w:sz w:val="36"/>
        </w:rPr>
        <w:t>风险因素</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20" w:firstLine="480"/>
        <w:jc w:val="both"/>
      </w:pPr>
      <w:r>
        <w:rPr>
          <w:rFonts w:hint="eastAsia" w:ascii="宋体" w:hAnsi="宋体" w:eastAsia="宋体" w:cs="宋体"/>
          <w:sz w:val="24"/>
        </w:rPr>
        <w:t>投资者在评价本公司本次公开发行的股票时</w:t>
      </w:r>
      <w:r>
        <w:rPr>
          <w:rFonts w:hint="eastAsia" w:ascii="宋体" w:hAnsi="宋体" w:eastAsia="宋体" w:cs="宋体"/>
          <w:sz w:val="10"/>
        </w:rPr>
        <w:t>，</w:t>
      </w:r>
      <w:r>
        <w:rPr>
          <w:rFonts w:hint="eastAsia" w:ascii="宋体" w:hAnsi="宋体" w:eastAsia="宋体" w:cs="宋体"/>
          <w:sz w:val="24"/>
        </w:rPr>
        <w:t>除本招股说明书提供的各项资料外</w:t>
      </w:r>
      <w:r>
        <w:rPr>
          <w:rFonts w:hint="eastAsia" w:ascii="宋体" w:hAnsi="宋体" w:eastAsia="宋体" w:cs="宋体"/>
          <w:sz w:val="10"/>
        </w:rPr>
        <w:t>，</w:t>
      </w:r>
      <w:r>
        <w:rPr>
          <w:rFonts w:hint="eastAsia" w:ascii="宋体" w:hAnsi="宋体" w:eastAsia="宋体" w:cs="宋体"/>
          <w:sz w:val="24"/>
        </w:rPr>
        <w:t>应特别认真地考虑下述各项风险因素</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24"/>
        </w:rPr>
        <w:t>一、</w:t>
      </w:r>
      <w:r>
        <w:rPr>
          <w:rFonts w:hint="eastAsia" w:ascii="ºÚÌå" w:hAnsi="ºÚÌå" w:eastAsia="ºÚÌå" w:cs="ºÚÌå"/>
          <w:sz w:val="30"/>
        </w:rPr>
        <w:t>行业风险</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行业竞争加剧的风险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经过多年发展</w:t>
      </w:r>
      <w:r>
        <w:rPr>
          <w:rFonts w:hint="eastAsia" w:ascii="宋体" w:hAnsi="宋体" w:eastAsia="宋体" w:cs="宋体"/>
          <w:sz w:val="10"/>
        </w:rPr>
        <w:t>，</w:t>
      </w:r>
      <w:r>
        <w:rPr>
          <w:rFonts w:hint="eastAsia" w:ascii="宋体" w:hAnsi="宋体" w:eastAsia="宋体" w:cs="宋体"/>
          <w:sz w:val="24"/>
        </w:rPr>
        <w:t>公司在金融行业信息化领域已经储备了一定的行业经验</w:t>
      </w:r>
      <w:r>
        <w:rPr>
          <w:rFonts w:hint="eastAsia" w:ascii="宋体" w:hAnsi="宋体" w:eastAsia="宋体" w:cs="宋体"/>
          <w:sz w:val="10"/>
        </w:rPr>
        <w:t>，</w:t>
      </w:r>
      <w:r>
        <w:rPr>
          <w:rFonts w:hint="eastAsia" w:ascii="宋体" w:hAnsi="宋体" w:eastAsia="宋体" w:cs="宋体"/>
          <w:sz w:val="24"/>
        </w:rPr>
        <w:t>市场份额稳中有升</w:t>
      </w:r>
      <w:r>
        <w:rPr>
          <w:rFonts w:hint="eastAsia" w:ascii="宋体" w:hAnsi="宋体" w:eastAsia="宋体" w:cs="宋体"/>
          <w:sz w:val="10"/>
        </w:rPr>
        <w:t>，</w:t>
      </w:r>
      <w:r>
        <w:rPr>
          <w:rFonts w:hint="eastAsia" w:ascii="宋体" w:hAnsi="宋体" w:eastAsia="宋体" w:cs="宋体"/>
          <w:sz w:val="24"/>
        </w:rPr>
        <w:t>并树立了良好的品牌形象</w:t>
      </w:r>
      <w:r>
        <w:rPr>
          <w:rFonts w:hint="eastAsia" w:ascii="宋体" w:hAnsi="宋体" w:eastAsia="宋体" w:cs="宋体"/>
          <w:sz w:val="10"/>
        </w:rPr>
        <w:t>。</w:t>
      </w:r>
      <w:r>
        <w:rPr>
          <w:rFonts w:hint="eastAsia" w:ascii="宋体" w:hAnsi="宋体" w:eastAsia="宋体" w:cs="宋体"/>
          <w:sz w:val="24"/>
        </w:rPr>
        <w:t>但随着互联网技术的不断发展</w:t>
      </w:r>
      <w:r>
        <w:rPr>
          <w:rFonts w:hint="eastAsia" w:ascii="宋体" w:hAnsi="宋体" w:eastAsia="宋体" w:cs="宋体"/>
          <w:sz w:val="10"/>
        </w:rPr>
        <w:t>，</w:t>
      </w:r>
      <w:r>
        <w:rPr>
          <w:rFonts w:hint="eastAsia" w:ascii="宋体" w:hAnsi="宋体" w:eastAsia="宋体" w:cs="宋体"/>
          <w:sz w:val="24"/>
        </w:rPr>
        <w:t>以及用户对</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服务的需求不断增长</w:t>
      </w:r>
      <w:r>
        <w:rPr>
          <w:rFonts w:hint="eastAsia" w:ascii="宋体" w:hAnsi="宋体" w:eastAsia="宋体" w:cs="宋体"/>
          <w:sz w:val="10"/>
        </w:rPr>
        <w:t>，</w:t>
      </w:r>
      <w:r>
        <w:rPr>
          <w:rFonts w:hint="eastAsia" w:ascii="宋体" w:hAnsi="宋体" w:eastAsia="宋体" w:cs="宋体"/>
          <w:sz w:val="24"/>
        </w:rPr>
        <w:t>行业内原有竞争对手规模和竞争力不断提高</w:t>
      </w:r>
      <w:r>
        <w:rPr>
          <w:rFonts w:hint="eastAsia" w:ascii="宋体" w:hAnsi="宋体" w:eastAsia="宋体" w:cs="宋体"/>
          <w:sz w:val="10"/>
        </w:rPr>
        <w:t>，</w:t>
      </w:r>
      <w:r>
        <w:rPr>
          <w:rFonts w:hint="eastAsia" w:ascii="宋体" w:hAnsi="宋体" w:eastAsia="宋体" w:cs="宋体"/>
          <w:sz w:val="24"/>
        </w:rPr>
        <w:t>加之存在潜在竞争者进入行业的可能性</w:t>
      </w:r>
      <w:r>
        <w:rPr>
          <w:rFonts w:hint="eastAsia" w:ascii="宋体" w:hAnsi="宋体" w:eastAsia="宋体" w:cs="宋体"/>
          <w:sz w:val="10"/>
        </w:rPr>
        <w:t>，</w:t>
      </w:r>
      <w:r>
        <w:rPr>
          <w:rFonts w:hint="eastAsia" w:ascii="宋体" w:hAnsi="宋体" w:eastAsia="宋体" w:cs="宋体"/>
          <w:sz w:val="24"/>
        </w:rPr>
        <w:t>因此公司所处行业的竞争面临加剧的局面</w:t>
      </w:r>
      <w:r>
        <w:rPr>
          <w:rFonts w:hint="eastAsia" w:ascii="宋体" w:hAnsi="宋体" w:eastAsia="宋体" w:cs="宋体"/>
          <w:sz w:val="10"/>
        </w:rPr>
        <w:t>。</w:t>
      </w:r>
      <w:r>
        <w:rPr>
          <w:rFonts w:hint="eastAsia" w:ascii="宋体" w:hAnsi="宋体" w:eastAsia="宋体" w:cs="宋体"/>
          <w:sz w:val="24"/>
        </w:rPr>
        <w:t>虽然市场总体规模在未来相当长</w:t>
      </w:r>
      <w:r>
        <w:rPr>
          <w:rFonts w:hint="eastAsia" w:ascii="宋体" w:hAnsi="宋体" w:eastAsia="宋体" w:cs="宋体"/>
          <w:sz w:val="10"/>
        </w:rPr>
        <w:t>一</w:t>
      </w:r>
      <w:r>
        <w:rPr>
          <w:rFonts w:hint="eastAsia" w:ascii="宋体" w:hAnsi="宋体" w:eastAsia="宋体" w:cs="宋体"/>
          <w:sz w:val="24"/>
        </w:rPr>
        <w:t>段时间内仍将以较快的速度扩大</w:t>
      </w:r>
      <w:r>
        <w:rPr>
          <w:rFonts w:hint="eastAsia" w:ascii="宋体" w:hAnsi="宋体" w:eastAsia="宋体" w:cs="宋体"/>
          <w:sz w:val="10"/>
        </w:rPr>
        <w:t>，</w:t>
      </w:r>
      <w:r>
        <w:rPr>
          <w:rFonts w:hint="eastAsia" w:ascii="宋体" w:hAnsi="宋体" w:eastAsia="宋体" w:cs="宋体"/>
          <w:sz w:val="24"/>
        </w:rPr>
        <w:t>为公司提供了获取更大市场份额的机会</w:t>
      </w:r>
      <w:r>
        <w:rPr>
          <w:rFonts w:hint="eastAsia" w:ascii="宋体" w:hAnsi="宋体" w:eastAsia="宋体" w:cs="宋体"/>
          <w:sz w:val="10"/>
        </w:rPr>
        <w:t>，</w:t>
      </w:r>
      <w:r>
        <w:rPr>
          <w:rFonts w:hint="eastAsia" w:ascii="宋体" w:hAnsi="宋体" w:eastAsia="宋体" w:cs="宋体"/>
          <w:sz w:val="24"/>
        </w:rPr>
        <w:t>但如果公司在市场竞争中不能有效提升专业技术水平</w:t>
      </w:r>
      <w:r>
        <w:rPr>
          <w:rFonts w:hint="eastAsia" w:ascii="宋体" w:hAnsi="宋体" w:eastAsia="宋体" w:cs="宋体"/>
          <w:sz w:val="10"/>
        </w:rPr>
        <w:t>，</w:t>
      </w:r>
      <w:r>
        <w:rPr>
          <w:rFonts w:hint="eastAsia" w:ascii="宋体" w:hAnsi="宋体" w:eastAsia="宋体" w:cs="宋体"/>
          <w:sz w:val="24"/>
        </w:rPr>
        <w:t>不能充分利用现有的市场影响力</w:t>
      </w:r>
      <w:r>
        <w:rPr>
          <w:rFonts w:hint="eastAsia" w:ascii="宋体" w:hAnsi="宋体" w:eastAsia="宋体" w:cs="宋体"/>
          <w:sz w:val="10"/>
        </w:rPr>
        <w:t>，</w:t>
      </w:r>
      <w:r>
        <w:rPr>
          <w:rFonts w:hint="eastAsia" w:ascii="宋体" w:hAnsi="宋体" w:eastAsia="宋体" w:cs="宋体"/>
          <w:sz w:val="24"/>
        </w:rPr>
        <w:t>无法在当前市场高速发展的态势下迅速扩大自身规模并增强资金实力</w:t>
      </w:r>
      <w:r>
        <w:rPr>
          <w:rFonts w:hint="eastAsia" w:ascii="宋体" w:hAnsi="宋体" w:eastAsia="宋体" w:cs="宋体"/>
          <w:sz w:val="10"/>
        </w:rPr>
        <w:t>，</w:t>
      </w:r>
      <w:r>
        <w:rPr>
          <w:rFonts w:hint="eastAsia" w:ascii="宋体" w:hAnsi="宋体" w:eastAsia="宋体" w:cs="宋体"/>
          <w:sz w:val="24"/>
        </w:rPr>
        <w:t>公司将面临较大的市场竞争风险</w:t>
      </w:r>
      <w:r>
        <w:rPr>
          <w:rFonts w:hint="eastAsia" w:ascii="宋体" w:hAnsi="宋体" w:eastAsia="宋体" w:cs="宋体"/>
          <w:sz w:val="10"/>
        </w:rPr>
        <w:t>，</w:t>
      </w:r>
      <w:r>
        <w:rPr>
          <w:rFonts w:hint="eastAsia" w:ascii="宋体" w:hAnsi="宋体" w:eastAsia="宋体" w:cs="宋体"/>
          <w:sz w:val="24"/>
        </w:rPr>
        <w:t>有可能导致公司的市场地位出现下滑</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（二）技术与产品开发质量的风险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软件开发属于技术密集型产业</w:t>
      </w:r>
      <w:r>
        <w:rPr>
          <w:rFonts w:hint="eastAsia" w:ascii="宋体" w:hAnsi="宋体" w:eastAsia="宋体" w:cs="宋体"/>
          <w:sz w:val="10"/>
        </w:rPr>
        <w:t>，</w:t>
      </w:r>
      <w:r>
        <w:rPr>
          <w:rFonts w:hint="eastAsia" w:ascii="宋体" w:hAnsi="宋体" w:eastAsia="宋体" w:cs="宋体"/>
          <w:sz w:val="24"/>
        </w:rPr>
        <w:t>如果相关技术发生重大变革</w:t>
      </w:r>
      <w:r>
        <w:rPr>
          <w:rFonts w:hint="eastAsia" w:ascii="宋体" w:hAnsi="宋体" w:eastAsia="宋体" w:cs="宋体"/>
          <w:sz w:val="10"/>
        </w:rPr>
        <w:t>，</w:t>
      </w:r>
      <w:r>
        <w:rPr>
          <w:rFonts w:hint="eastAsia" w:ascii="宋体" w:hAnsi="宋体" w:eastAsia="宋体" w:cs="宋体"/>
          <w:sz w:val="24"/>
        </w:rPr>
        <w:t>将影响公司产品技术开发</w:t>
      </w:r>
      <w:r>
        <w:rPr>
          <w:rFonts w:hint="eastAsia" w:ascii="宋体" w:hAnsi="宋体" w:eastAsia="宋体" w:cs="宋体"/>
          <w:sz w:val="10"/>
        </w:rPr>
        <w:t>。</w:t>
      </w:r>
      <w:r>
        <w:rPr>
          <w:rFonts w:hint="eastAsia" w:ascii="宋体" w:hAnsi="宋体" w:eastAsia="宋体" w:cs="宋体"/>
          <w:sz w:val="24"/>
        </w:rPr>
        <w:t>公司产品主要应用于金融行业</w:t>
      </w:r>
      <w:r>
        <w:rPr>
          <w:rFonts w:hint="eastAsia" w:ascii="宋体" w:hAnsi="宋体" w:eastAsia="宋体" w:cs="宋体"/>
          <w:sz w:val="10"/>
        </w:rPr>
        <w:t>，</w:t>
      </w:r>
      <w:r>
        <w:rPr>
          <w:rFonts w:hint="eastAsia" w:ascii="宋体" w:hAnsi="宋体" w:eastAsia="宋体" w:cs="宋体"/>
          <w:sz w:val="24"/>
        </w:rPr>
        <w:t>该行业信息化程度高</w:t>
      </w:r>
      <w:r>
        <w:rPr>
          <w:rFonts w:hint="eastAsia" w:ascii="宋体" w:hAnsi="宋体" w:eastAsia="宋体" w:cs="宋体"/>
          <w:sz w:val="10"/>
        </w:rPr>
        <w:t>、</w:t>
      </w:r>
      <w:r>
        <w:rPr>
          <w:rFonts w:hint="eastAsia" w:ascii="宋体" w:hAnsi="宋体" w:eastAsia="宋体" w:cs="宋体"/>
          <w:sz w:val="24"/>
        </w:rPr>
        <w:t>数据处理量大</w:t>
      </w:r>
      <w:r>
        <w:rPr>
          <w:rFonts w:hint="eastAsia" w:ascii="宋体" w:hAnsi="宋体" w:eastAsia="宋体" w:cs="宋体"/>
          <w:sz w:val="10"/>
        </w:rPr>
        <w:t>，</w:t>
      </w:r>
      <w:r>
        <w:rPr>
          <w:rFonts w:hint="eastAsia" w:ascii="宋体" w:hAnsi="宋体" w:eastAsia="宋体" w:cs="宋体"/>
          <w:sz w:val="24"/>
        </w:rPr>
        <w:t>随着整个行业信息化的快速发展</w:t>
      </w:r>
      <w:r>
        <w:rPr>
          <w:rFonts w:hint="eastAsia" w:ascii="宋体" w:hAnsi="宋体" w:eastAsia="宋体" w:cs="宋体"/>
          <w:sz w:val="10"/>
        </w:rPr>
        <w:t>，</w:t>
      </w:r>
      <w:r>
        <w:rPr>
          <w:rFonts w:hint="eastAsia" w:ascii="宋体" w:hAnsi="宋体" w:eastAsia="宋体" w:cs="宋体"/>
          <w:sz w:val="24"/>
        </w:rPr>
        <w:t>对应用软件不断提出更高</w:t>
      </w:r>
      <w:r>
        <w:rPr>
          <w:rFonts w:hint="eastAsia" w:ascii="宋体" w:hAnsi="宋体" w:eastAsia="宋体" w:cs="宋体"/>
          <w:sz w:val="10"/>
        </w:rPr>
        <w:t>、</w:t>
      </w:r>
      <w:r>
        <w:rPr>
          <w:rFonts w:hint="eastAsia" w:ascii="宋体" w:hAnsi="宋体" w:eastAsia="宋体" w:cs="宋体"/>
          <w:sz w:val="24"/>
        </w:rPr>
        <w:t>更新的要求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20"/>
        <w:jc w:val="both"/>
      </w:pPr>
      <w:r>
        <w:rPr>
          <w:rFonts w:hint="eastAsia" w:ascii="宋体" w:hAnsi="宋体" w:eastAsia="宋体" w:cs="宋体"/>
          <w:sz w:val="24"/>
        </w:rPr>
        <w:t>如果公司产品不能按要求进行更新换代或产品升级</w:t>
      </w:r>
      <w:r>
        <w:rPr>
          <w:rFonts w:hint="eastAsia" w:ascii="宋体" w:hAnsi="宋体" w:eastAsia="宋体" w:cs="宋体"/>
          <w:sz w:val="10"/>
        </w:rPr>
        <w:t>，</w:t>
      </w:r>
      <w:r>
        <w:rPr>
          <w:rFonts w:hint="eastAsia" w:ascii="宋体" w:hAnsi="宋体" w:eastAsia="宋体" w:cs="宋体"/>
          <w:sz w:val="24"/>
        </w:rPr>
        <w:t>将可能使公司丧失技术和市场的相关优势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软件产品较为复杂</w:t>
      </w:r>
      <w:r>
        <w:rPr>
          <w:rFonts w:hint="eastAsia" w:ascii="宋体" w:hAnsi="宋体" w:eastAsia="宋体" w:cs="宋体"/>
          <w:sz w:val="10"/>
        </w:rPr>
        <w:t>，</w:t>
      </w:r>
      <w:r>
        <w:rPr>
          <w:rFonts w:hint="eastAsia" w:ascii="宋体" w:hAnsi="宋体" w:eastAsia="宋体" w:cs="宋体"/>
          <w:sz w:val="24"/>
        </w:rPr>
        <w:t>软件开发者无法完全杜绝所开发软件的错误和缺陷</w:t>
      </w:r>
      <w:r>
        <w:rPr>
          <w:rFonts w:hint="eastAsia" w:ascii="宋体" w:hAnsi="宋体" w:eastAsia="宋体" w:cs="宋体"/>
          <w:sz w:val="10"/>
        </w:rPr>
        <w:t>。一</w:t>
      </w:r>
      <w:r>
        <w:rPr>
          <w:rFonts w:hint="eastAsia" w:ascii="宋体" w:hAnsi="宋体" w:eastAsia="宋体" w:cs="宋体"/>
          <w:sz w:val="24"/>
        </w:rPr>
        <w:t>旦错误或缺陷在相关产品中产生消极后果</w:t>
      </w:r>
      <w:r>
        <w:rPr>
          <w:rFonts w:hint="eastAsia" w:ascii="宋体" w:hAnsi="宋体" w:eastAsia="宋体" w:cs="宋体"/>
          <w:sz w:val="10"/>
        </w:rPr>
        <w:t>，</w:t>
      </w:r>
      <w:r>
        <w:rPr>
          <w:rFonts w:hint="eastAsia" w:ascii="宋体" w:hAnsi="宋体" w:eastAsia="宋体" w:cs="宋体"/>
          <w:sz w:val="24"/>
        </w:rPr>
        <w:t>将导致客户业务运作受到不利影响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20"/>
        <w:jc w:val="both"/>
      </w:pPr>
      <w:r>
        <w:rPr>
          <w:rFonts w:hint="eastAsia" w:ascii="宋体" w:hAnsi="宋体" w:eastAsia="宋体" w:cs="宋体"/>
          <w:sz w:val="24"/>
        </w:rPr>
        <w:t>为此可能需要应对的监管措施和可能收到的索赔请求</w:t>
      </w:r>
      <w:r>
        <w:rPr>
          <w:rFonts w:hint="eastAsia" w:ascii="宋体" w:hAnsi="宋体" w:eastAsia="宋体" w:cs="宋体"/>
          <w:sz w:val="10"/>
        </w:rPr>
        <w:t>，</w:t>
      </w:r>
      <w:r>
        <w:rPr>
          <w:rFonts w:hint="eastAsia" w:ascii="宋体" w:hAnsi="宋体" w:eastAsia="宋体" w:cs="宋体"/>
          <w:sz w:val="24"/>
        </w:rPr>
        <w:t>将额外增加公司成本费用</w:t>
      </w:r>
      <w:r>
        <w:rPr>
          <w:rFonts w:hint="eastAsia" w:ascii="宋体" w:hAnsi="宋体" w:eastAsia="宋体" w:cs="宋体"/>
          <w:sz w:val="10"/>
        </w:rPr>
        <w:t>，</w:t>
      </w:r>
      <w:r>
        <w:rPr>
          <w:rFonts w:hint="eastAsia" w:ascii="宋体" w:hAnsi="宋体" w:eastAsia="宋体" w:cs="宋体"/>
          <w:sz w:val="24"/>
        </w:rPr>
        <w:t>并影响公司市场信誉或市场地位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24"/>
        </w:rPr>
        <w:t>二、</w:t>
      </w:r>
      <w:r>
        <w:rPr>
          <w:rFonts w:hint="eastAsia" w:ascii="ºÚÌå" w:hAnsi="ºÚÌå" w:eastAsia="ºÚÌå" w:cs="ºÚÌå"/>
          <w:sz w:val="30"/>
        </w:rPr>
        <w:t>技术风险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1-1-36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b/>
          <w:sz w:val="20"/>
        </w:rPr>
        <w:t>（一）</w:t>
      </w:r>
      <w:r>
        <w:rPr>
          <w:rFonts w:hint="eastAsia" w:ascii="宋体" w:hAnsi="宋体" w:eastAsia="宋体" w:cs="宋体"/>
          <w:b/>
          <w:sz w:val="24"/>
        </w:rPr>
        <w:t>核心技术人员和管理人员流失风险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本公司在行业内领先优势的建立得益于本公司优秀的研发团队和管理团队</w:t>
      </w:r>
      <w:r>
        <w:rPr>
          <w:rFonts w:hint="eastAsia" w:ascii="宋体" w:hAnsi="宋体" w:eastAsia="宋体" w:cs="宋体"/>
          <w:sz w:val="10"/>
        </w:rPr>
        <w:t>，</w:t>
      </w:r>
      <w:r>
        <w:rPr>
          <w:rFonts w:hint="eastAsia" w:ascii="宋体" w:hAnsi="宋体" w:eastAsia="宋体" w:cs="宋体"/>
          <w:sz w:val="24"/>
        </w:rPr>
        <w:t>其中研发团队可以不断探索并引导市场领先技术趋势</w:t>
      </w:r>
      <w:r>
        <w:rPr>
          <w:rFonts w:hint="eastAsia" w:ascii="宋体" w:hAnsi="宋体" w:eastAsia="宋体" w:cs="宋体"/>
          <w:sz w:val="10"/>
        </w:rPr>
        <w:t>，</w:t>
      </w:r>
      <w:r>
        <w:rPr>
          <w:rFonts w:hint="eastAsia" w:ascii="宋体" w:hAnsi="宋体" w:eastAsia="宋体" w:cs="宋体"/>
          <w:sz w:val="24"/>
        </w:rPr>
        <w:t>管理团队可以为公司的运营</w:t>
      </w:r>
      <w:r>
        <w:rPr>
          <w:rFonts w:hint="eastAsia" w:ascii="宋体" w:hAnsi="宋体" w:eastAsia="宋体" w:cs="宋体"/>
          <w:sz w:val="10"/>
        </w:rPr>
        <w:t>、</w:t>
      </w:r>
      <w:r>
        <w:rPr>
          <w:rFonts w:hint="eastAsia" w:ascii="宋体" w:hAnsi="宋体" w:eastAsia="宋体" w:cs="宋体"/>
          <w:sz w:val="24"/>
        </w:rPr>
        <w:t>人员的调配</w:t>
      </w:r>
      <w:r>
        <w:rPr>
          <w:rFonts w:hint="eastAsia" w:ascii="宋体" w:hAnsi="宋体" w:eastAsia="宋体" w:cs="宋体"/>
          <w:sz w:val="10"/>
        </w:rPr>
        <w:t>、</w:t>
      </w:r>
      <w:r>
        <w:rPr>
          <w:rFonts w:hint="eastAsia" w:ascii="宋体" w:hAnsi="宋体" w:eastAsia="宋体" w:cs="宋体"/>
          <w:sz w:val="24"/>
        </w:rPr>
        <w:t>服务的改进以及战略的选择带来积极的影响</w:t>
      </w:r>
      <w:r>
        <w:rPr>
          <w:rFonts w:hint="eastAsia" w:ascii="宋体" w:hAnsi="宋体" w:eastAsia="宋体" w:cs="宋体"/>
          <w:sz w:val="10"/>
        </w:rPr>
        <w:t>，</w:t>
      </w:r>
      <w:r>
        <w:rPr>
          <w:rFonts w:hint="eastAsia" w:ascii="宋体" w:hAnsi="宋体" w:eastAsia="宋体" w:cs="宋体"/>
          <w:sz w:val="24"/>
        </w:rPr>
        <w:t>从而使公司持续保持行业先进地位</w:t>
      </w:r>
      <w:r>
        <w:rPr>
          <w:rFonts w:hint="eastAsia" w:ascii="宋体" w:hAnsi="宋体" w:eastAsia="宋体" w:cs="宋体"/>
          <w:sz w:val="10"/>
        </w:rPr>
        <w:t>。一</w:t>
      </w:r>
      <w:r>
        <w:rPr>
          <w:rFonts w:hint="eastAsia" w:ascii="宋体" w:hAnsi="宋体" w:eastAsia="宋体" w:cs="宋体"/>
          <w:sz w:val="24"/>
        </w:rPr>
        <w:t>般来讲</w:t>
      </w:r>
      <w:r>
        <w:rPr>
          <w:rFonts w:hint="eastAsia" w:ascii="宋体" w:hAnsi="宋体" w:eastAsia="宋体" w:cs="宋体"/>
          <w:sz w:val="10"/>
        </w:rPr>
        <w:t>，</w:t>
      </w:r>
      <w:r>
        <w:rPr>
          <w:rFonts w:hint="eastAsia" w:ascii="宋体" w:hAnsi="宋体" w:eastAsia="宋体" w:cs="宋体"/>
          <w:sz w:val="24"/>
        </w:rPr>
        <w:t>正常的人才流动不会对公司的经营造成重大不利影响</w:t>
      </w:r>
      <w:r>
        <w:rPr>
          <w:rFonts w:hint="eastAsia" w:ascii="宋体" w:hAnsi="宋体" w:eastAsia="宋体" w:cs="宋体"/>
          <w:sz w:val="12"/>
        </w:rPr>
        <w:t>；</w:t>
      </w:r>
      <w:r>
        <w:rPr>
          <w:rFonts w:hint="eastAsia" w:ascii="宋体" w:hAnsi="宋体" w:eastAsia="宋体" w:cs="宋体"/>
          <w:sz w:val="24"/>
        </w:rPr>
        <w:t>但如果主要技术人员和管理人员大规模流失</w:t>
      </w:r>
      <w:r>
        <w:rPr>
          <w:rFonts w:hint="eastAsia" w:ascii="宋体" w:hAnsi="宋体" w:eastAsia="宋体" w:cs="宋体"/>
          <w:sz w:val="10"/>
        </w:rPr>
        <w:t>，</w:t>
      </w:r>
      <w:r>
        <w:rPr>
          <w:rFonts w:hint="eastAsia" w:ascii="宋体" w:hAnsi="宋体" w:eastAsia="宋体" w:cs="宋体"/>
          <w:sz w:val="24"/>
        </w:rPr>
        <w:t>则可能造成公司核心技术的泄露和管理水平的下降</w:t>
      </w:r>
      <w:r>
        <w:rPr>
          <w:rFonts w:hint="eastAsia" w:ascii="宋体" w:hAnsi="宋体" w:eastAsia="宋体" w:cs="宋体"/>
          <w:sz w:val="10"/>
        </w:rPr>
        <w:t>，</w:t>
      </w:r>
      <w:r>
        <w:rPr>
          <w:rFonts w:hint="eastAsia" w:ascii="宋体" w:hAnsi="宋体" w:eastAsia="宋体" w:cs="宋体"/>
          <w:sz w:val="24"/>
        </w:rPr>
        <w:t>从而对公司经营业绩造成重大影响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（二）核心技术泄密的风险</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核心技术是本公司在行业中保持竞争优势最重要的因素之</w:t>
      </w:r>
      <w:r>
        <w:rPr>
          <w:rFonts w:hint="eastAsia" w:ascii="宋体" w:hAnsi="宋体" w:eastAsia="宋体" w:cs="宋体"/>
          <w:sz w:val="10"/>
        </w:rPr>
        <w:t>一。</w:t>
      </w:r>
      <w:r>
        <w:rPr>
          <w:rFonts w:hint="eastAsia" w:ascii="宋体" w:hAnsi="宋体" w:eastAsia="宋体" w:cs="宋体"/>
          <w:sz w:val="24"/>
        </w:rPr>
        <w:t>经过多年的潜心研究和自主开发</w:t>
      </w:r>
      <w:r>
        <w:rPr>
          <w:rFonts w:hint="eastAsia" w:ascii="宋体" w:hAnsi="宋体" w:eastAsia="宋体" w:cs="宋体"/>
          <w:sz w:val="10"/>
        </w:rPr>
        <w:t>，</w:t>
      </w:r>
      <w:r>
        <w:rPr>
          <w:rFonts w:hint="eastAsia" w:ascii="宋体" w:hAnsi="宋体" w:eastAsia="宋体" w:cs="宋体"/>
          <w:sz w:val="24"/>
        </w:rPr>
        <w:t>本公司已经打造出成熟的软件开发平台</w:t>
      </w:r>
      <w:r>
        <w:rPr>
          <w:rFonts w:hint="eastAsia" w:ascii="宋体" w:hAnsi="宋体" w:eastAsia="宋体" w:cs="宋体"/>
          <w:sz w:val="10"/>
        </w:rPr>
        <w:t>，</w:t>
      </w:r>
      <w:r>
        <w:rPr>
          <w:rFonts w:hint="eastAsia" w:ascii="宋体" w:hAnsi="宋体" w:eastAsia="宋体" w:cs="宋体"/>
          <w:sz w:val="24"/>
        </w:rPr>
        <w:t>将公司升级成专业化平台型软件及信息化服务提供商</w:t>
      </w:r>
      <w:r>
        <w:rPr>
          <w:rFonts w:hint="eastAsia" w:ascii="宋体" w:hAnsi="宋体" w:eastAsia="宋体" w:cs="宋体"/>
          <w:sz w:val="10"/>
        </w:rPr>
        <w:t>。</w:t>
      </w:r>
      <w:r>
        <w:rPr>
          <w:rFonts w:hint="eastAsia" w:ascii="宋体" w:hAnsi="宋体" w:eastAsia="宋体" w:cs="宋体"/>
          <w:sz w:val="24"/>
        </w:rPr>
        <w:t>本公司产品为自主研发并拥有自主知识产权</w:t>
      </w:r>
      <w:r>
        <w:rPr>
          <w:rFonts w:hint="eastAsia" w:ascii="宋体" w:hAnsi="宋体" w:eastAsia="宋体" w:cs="宋体"/>
          <w:sz w:val="10"/>
        </w:rPr>
        <w:t>，</w:t>
      </w:r>
      <w:r>
        <w:rPr>
          <w:rFonts w:hint="eastAsia" w:ascii="宋体" w:hAnsi="宋体" w:eastAsia="宋体" w:cs="宋体"/>
          <w:sz w:val="24"/>
        </w:rPr>
        <w:t>核心技术均处于国内领先水平</w:t>
      </w:r>
      <w:r>
        <w:rPr>
          <w:rFonts w:hint="eastAsia" w:ascii="宋体" w:hAnsi="宋体" w:eastAsia="宋体" w:cs="宋体"/>
          <w:sz w:val="10"/>
        </w:rPr>
        <w:t>。</w:t>
      </w:r>
      <w:r>
        <w:rPr>
          <w:rFonts w:hint="eastAsia" w:ascii="宋体" w:hAnsi="宋体" w:eastAsia="宋体" w:cs="宋体"/>
          <w:sz w:val="24"/>
        </w:rPr>
        <w:t>虽然公司已与核心技术人员签订了《保密合同》，</w:t>
      </w:r>
      <w:r>
        <w:rPr>
          <w:rFonts w:hint="eastAsia" w:ascii="宋体" w:hAnsi="宋体" w:eastAsia="宋体" w:cs="宋体"/>
          <w:sz w:val="24"/>
        </w:rPr>
        <w:t>并且大部分高级管理人员及核心技术人员均持有公司股份</w:t>
      </w:r>
      <w:r>
        <w:rPr>
          <w:rFonts w:hint="eastAsia" w:ascii="宋体" w:hAnsi="宋体" w:eastAsia="宋体" w:cs="宋体"/>
          <w:sz w:val="10"/>
        </w:rPr>
        <w:t>，</w:t>
      </w:r>
      <w:r>
        <w:rPr>
          <w:rFonts w:hint="eastAsia" w:ascii="宋体" w:hAnsi="宋体" w:eastAsia="宋体" w:cs="宋体"/>
          <w:sz w:val="24"/>
        </w:rPr>
        <w:t>有利于公司核心技术的保密</w:t>
      </w:r>
      <w:r>
        <w:rPr>
          <w:rFonts w:hint="eastAsia" w:ascii="宋体" w:hAnsi="宋体" w:eastAsia="宋体" w:cs="宋体"/>
          <w:sz w:val="10"/>
        </w:rPr>
        <w:t>。</w:t>
      </w:r>
      <w:r>
        <w:rPr>
          <w:rFonts w:hint="eastAsia" w:ascii="宋体" w:hAnsi="宋体" w:eastAsia="宋体" w:cs="宋体"/>
          <w:sz w:val="24"/>
        </w:rPr>
        <w:t>但如果公司的核心技术泄密</w:t>
      </w:r>
      <w:r>
        <w:rPr>
          <w:rFonts w:hint="eastAsia" w:ascii="宋体" w:hAnsi="宋体" w:eastAsia="宋体" w:cs="宋体"/>
          <w:sz w:val="10"/>
        </w:rPr>
        <w:t>，</w:t>
      </w:r>
      <w:r>
        <w:rPr>
          <w:rFonts w:hint="eastAsia" w:ascii="宋体" w:hAnsi="宋体" w:eastAsia="宋体" w:cs="宋体"/>
          <w:sz w:val="24"/>
        </w:rPr>
        <w:t>将失去行业内的领先优势</w:t>
      </w:r>
      <w:r>
        <w:rPr>
          <w:rFonts w:hint="eastAsia" w:ascii="宋体" w:hAnsi="宋体" w:eastAsia="宋体" w:cs="宋体"/>
          <w:sz w:val="10"/>
        </w:rPr>
        <w:t>，</w:t>
      </w:r>
      <w:r>
        <w:rPr>
          <w:rFonts w:hint="eastAsia" w:ascii="宋体" w:hAnsi="宋体" w:eastAsia="宋体" w:cs="宋体"/>
          <w:sz w:val="24"/>
        </w:rPr>
        <w:t>会对公司竞争优势的延续造成一定的影响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财务与税收风险</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人力成本上涨的风险</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作为一家知识密集型企业</w:t>
      </w:r>
      <w:r>
        <w:rPr>
          <w:rFonts w:hint="eastAsia" w:ascii="宋体" w:hAnsi="宋体" w:eastAsia="宋体" w:cs="宋体"/>
          <w:sz w:val="10"/>
        </w:rPr>
        <w:t>，</w:t>
      </w:r>
      <w:r>
        <w:rPr>
          <w:rFonts w:hint="eastAsia" w:ascii="宋体" w:hAnsi="宋体" w:eastAsia="宋体" w:cs="宋体"/>
          <w:sz w:val="24"/>
        </w:rPr>
        <w:t>人才是公司最主要的资源</w:t>
      </w:r>
      <w:r>
        <w:rPr>
          <w:rFonts w:hint="eastAsia" w:ascii="宋体" w:hAnsi="宋体" w:eastAsia="宋体" w:cs="宋体"/>
          <w:sz w:val="10"/>
        </w:rPr>
        <w:t>，</w:t>
      </w:r>
      <w:r>
        <w:rPr>
          <w:rFonts w:hint="eastAsia" w:ascii="宋体" w:hAnsi="宋体" w:eastAsia="宋体" w:cs="宋体"/>
          <w:sz w:val="24"/>
        </w:rPr>
        <w:t>同时也是公司营业成本的主要构成来源</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公司员工工资及福利支出是软件开发业务成本和各项费用的主要部分</w:t>
      </w:r>
      <w:r>
        <w:rPr>
          <w:rFonts w:hint="eastAsia" w:ascii="宋体" w:hAnsi="宋体" w:eastAsia="宋体" w:cs="宋体"/>
          <w:sz w:val="10"/>
        </w:rPr>
        <w:t>，</w:t>
      </w:r>
      <w:r>
        <w:rPr>
          <w:rFonts w:hint="eastAsia" w:ascii="宋体" w:hAnsi="宋体" w:eastAsia="宋体" w:cs="宋体"/>
          <w:sz w:val="24"/>
        </w:rPr>
        <w:t>并逐年上升</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随着公司业务规模的持续扩张</w:t>
      </w:r>
      <w:r>
        <w:rPr>
          <w:rFonts w:hint="eastAsia" w:ascii="宋体" w:hAnsi="宋体" w:eastAsia="宋体" w:cs="宋体"/>
          <w:sz w:val="10"/>
        </w:rPr>
        <w:t>，</w:t>
      </w:r>
      <w:r>
        <w:rPr>
          <w:rFonts w:hint="eastAsia" w:ascii="宋体" w:hAnsi="宋体" w:eastAsia="宋体" w:cs="宋体"/>
          <w:sz w:val="24"/>
        </w:rPr>
        <w:t>公司员工数量由</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年末的</w:t>
      </w:r>
      <w:r>
        <w:rPr>
          <w:rFonts w:hint="eastAsia" w:ascii="Times New Roman" w:hAnsi="Times New Roman" w:eastAsia="Times New Roman" w:cs="Times New Roman"/>
          <w:sz w:val="24"/>
        </w:rPr>
        <w:t xml:space="preserve"> 642</w:t>
      </w:r>
      <w:r>
        <w:rPr>
          <w:rFonts w:hint="eastAsia" w:ascii="宋体" w:hAnsi="宋体" w:eastAsia="宋体" w:cs="宋体"/>
          <w:sz w:val="24"/>
        </w:rPr>
        <w:t xml:space="preserve"> 人增加到</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月末的</w:t>
      </w:r>
      <w:r>
        <w:rPr>
          <w:rFonts w:hint="eastAsia" w:ascii="Times New Roman" w:hAnsi="Times New Roman" w:eastAsia="Times New Roman" w:cs="Times New Roman"/>
          <w:sz w:val="24"/>
        </w:rPr>
        <w:t xml:space="preserve"> 699</w:t>
      </w:r>
      <w:r>
        <w:rPr>
          <w:rFonts w:hint="eastAsia" w:ascii="宋体" w:hAnsi="宋体" w:eastAsia="宋体" w:cs="宋体"/>
          <w:sz w:val="24"/>
        </w:rPr>
        <w:t xml:space="preserve"> 人</w:t>
      </w:r>
      <w:r>
        <w:rPr>
          <w:rFonts w:hint="eastAsia" w:ascii="宋体" w:hAnsi="宋体" w:eastAsia="宋体" w:cs="宋体"/>
          <w:sz w:val="10"/>
        </w:rPr>
        <w:t>。</w:t>
      </w:r>
      <w:r>
        <w:rPr>
          <w:rFonts w:hint="eastAsia" w:ascii="宋体" w:hAnsi="宋体" w:eastAsia="宋体" w:cs="宋体"/>
          <w:sz w:val="24"/>
        </w:rPr>
        <w:t>而且随着我国劳动力素质和经济水平的逐步提高</w:t>
      </w:r>
      <w:r>
        <w:rPr>
          <w:rFonts w:hint="eastAsia" w:ascii="宋体" w:hAnsi="宋体" w:eastAsia="宋体" w:cs="宋体"/>
          <w:sz w:val="10"/>
        </w:rPr>
        <w:t>，</w:t>
      </w:r>
      <w:r>
        <w:rPr>
          <w:rFonts w:hint="eastAsia" w:ascii="宋体" w:hAnsi="宋体" w:eastAsia="宋体" w:cs="宋体"/>
          <w:sz w:val="24"/>
        </w:rPr>
        <w:t>员工工资水平持续增长已成为必然趋势</w:t>
      </w:r>
      <w:r>
        <w:rPr>
          <w:rFonts w:hint="eastAsia" w:ascii="宋体" w:hAnsi="宋体" w:eastAsia="宋体" w:cs="宋体"/>
          <w:sz w:val="10"/>
        </w:rPr>
        <w:t>。</w:t>
      </w:r>
      <w:r>
        <w:rPr>
          <w:rFonts w:hint="eastAsia" w:ascii="宋体" w:hAnsi="宋体" w:eastAsia="宋体" w:cs="宋体"/>
          <w:sz w:val="24"/>
        </w:rPr>
        <w:t>如果公司未能有效控制人力成本</w:t>
      </w:r>
      <w:r>
        <w:rPr>
          <w:rFonts w:hint="eastAsia" w:ascii="宋体" w:hAnsi="宋体" w:eastAsia="宋体" w:cs="宋体"/>
          <w:sz w:val="10"/>
        </w:rPr>
        <w:t>、</w:t>
      </w:r>
      <w:r>
        <w:rPr>
          <w:rFonts w:hint="eastAsia" w:ascii="宋体" w:hAnsi="宋体" w:eastAsia="宋体" w:cs="宋体"/>
          <w:sz w:val="24"/>
        </w:rPr>
        <w:t>提高主营业务收入</w:t>
      </w:r>
      <w:r>
        <w:rPr>
          <w:rFonts w:hint="eastAsia" w:ascii="宋体" w:hAnsi="宋体" w:eastAsia="宋体" w:cs="宋体"/>
          <w:sz w:val="10"/>
        </w:rPr>
        <w:t>，</w:t>
      </w:r>
      <w:r>
        <w:rPr>
          <w:rFonts w:hint="eastAsia" w:ascii="宋体" w:hAnsi="宋体" w:eastAsia="宋体" w:cs="宋体"/>
          <w:sz w:val="24"/>
        </w:rPr>
        <w:t>则存在盈利能力下降的风险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（二）收入和毛利贡献差异的风险</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公司系统集成业务的毛利率为</w:t>
      </w:r>
      <w:r>
        <w:rPr>
          <w:rFonts w:hint="eastAsia" w:ascii="Times New Roman" w:hAnsi="Times New Roman" w:eastAsia="Times New Roman" w:cs="Times New Roman"/>
          <w:sz w:val="24"/>
        </w:rPr>
        <w:t xml:space="preserve"> 19.37%</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1-1-37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Times New Roman" w:hAnsi="Times New Roman" w:eastAsia="Times New Roman" w:cs="Times New Roman"/>
          <w:sz w:val="24"/>
        </w:rPr>
        <w:t>23.13%</w:t>
      </w:r>
      <w:r>
        <w:rPr>
          <w:rFonts w:hint="eastAsia" w:ascii="宋体" w:hAnsi="宋体" w:eastAsia="宋体" w:cs="宋体"/>
          <w:sz w:val="24"/>
        </w:rPr>
        <w:t>和</w:t>
      </w:r>
      <w:r>
        <w:rPr>
          <w:rFonts w:hint="eastAsia" w:ascii="Times New Roman" w:hAnsi="Times New Roman" w:eastAsia="Times New Roman" w:cs="Times New Roman"/>
          <w:sz w:val="24"/>
        </w:rPr>
        <w:t xml:space="preserve"> 14.00%</w:t>
      </w:r>
      <w:r>
        <w:rPr>
          <w:rFonts w:hint="eastAsia" w:ascii="宋体" w:hAnsi="宋体" w:eastAsia="宋体" w:cs="宋体"/>
          <w:sz w:val="10"/>
        </w:rPr>
        <w:t>，</w:t>
      </w:r>
      <w:r>
        <w:rPr>
          <w:rFonts w:hint="eastAsia" w:ascii="宋体" w:hAnsi="宋体" w:eastAsia="宋体" w:cs="宋体"/>
          <w:sz w:val="24"/>
        </w:rPr>
        <w:t>综合毛利率分别为</w:t>
      </w:r>
      <w:r>
        <w:rPr>
          <w:rFonts w:hint="eastAsia" w:ascii="Times New Roman" w:hAnsi="Times New Roman" w:eastAsia="Times New Roman" w:cs="Times New Roman"/>
          <w:sz w:val="24"/>
        </w:rPr>
        <w:t xml:space="preserve"> 78.98%</w:t>
      </w:r>
      <w:r>
        <w:rPr>
          <w:rFonts w:hint="eastAsia" w:ascii="宋体" w:hAnsi="宋体" w:eastAsia="宋体" w:cs="宋体"/>
          <w:sz w:val="10"/>
        </w:rPr>
        <w:t>、</w:t>
      </w:r>
      <w:r>
        <w:rPr>
          <w:rFonts w:hint="eastAsia" w:ascii="Times New Roman" w:hAnsi="Times New Roman" w:eastAsia="Times New Roman" w:cs="Times New Roman"/>
          <w:sz w:val="24"/>
        </w:rPr>
        <w:t>76.81%</w:t>
      </w:r>
      <w:r>
        <w:rPr>
          <w:rFonts w:hint="eastAsia" w:ascii="宋体" w:hAnsi="宋体" w:eastAsia="宋体" w:cs="宋体"/>
          <w:sz w:val="24"/>
        </w:rPr>
        <w:t>和</w:t>
      </w:r>
      <w:r>
        <w:rPr>
          <w:rFonts w:hint="eastAsia" w:ascii="Times New Roman" w:hAnsi="Times New Roman" w:eastAsia="Times New Roman" w:cs="Times New Roman"/>
          <w:sz w:val="24"/>
        </w:rPr>
        <w:t xml:space="preserve"> 79.47%</w:t>
      </w:r>
      <w:r>
        <w:rPr>
          <w:rFonts w:hint="eastAsia" w:ascii="宋体" w:hAnsi="宋体" w:eastAsia="宋体" w:cs="宋体"/>
          <w:sz w:val="10"/>
        </w:rPr>
        <w:t>，</w:t>
      </w:r>
      <w:r>
        <w:rPr>
          <w:rFonts w:hint="eastAsia" w:ascii="宋体" w:hAnsi="宋体" w:eastAsia="宋体" w:cs="宋体"/>
          <w:sz w:val="24"/>
        </w:rPr>
        <w:t>两者之间存在一定差异</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系统集成业务收入在各会计年度的比重对当年综合毛利率会产生一定影响</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公司系统集成业务收入占主营业务收入比例分别为</w:t>
      </w:r>
      <w:r>
        <w:rPr>
          <w:rFonts w:hint="eastAsia" w:ascii="Times New Roman" w:hAnsi="Times New Roman" w:eastAsia="Times New Roman" w:cs="Times New Roman"/>
          <w:sz w:val="24"/>
        </w:rPr>
        <w:t>5.99%</w:t>
      </w:r>
      <w:r>
        <w:rPr>
          <w:rFonts w:hint="eastAsia" w:ascii="宋体" w:hAnsi="宋体" w:eastAsia="宋体" w:cs="宋体"/>
          <w:sz w:val="10"/>
        </w:rPr>
        <w:t>、</w:t>
      </w:r>
      <w:r>
        <w:rPr>
          <w:rFonts w:hint="eastAsia" w:ascii="Times New Roman" w:hAnsi="Times New Roman" w:eastAsia="Times New Roman" w:cs="Times New Roman"/>
          <w:sz w:val="24"/>
        </w:rPr>
        <w:t>12.13%</w:t>
      </w:r>
      <w:r>
        <w:rPr>
          <w:rFonts w:hint="eastAsia" w:ascii="宋体" w:hAnsi="宋体" w:eastAsia="宋体" w:cs="宋体"/>
          <w:sz w:val="24"/>
        </w:rPr>
        <w:t>和</w:t>
      </w:r>
      <w:r>
        <w:rPr>
          <w:rFonts w:hint="eastAsia" w:ascii="Times New Roman" w:hAnsi="Times New Roman" w:eastAsia="Times New Roman" w:cs="Times New Roman"/>
          <w:sz w:val="24"/>
        </w:rPr>
        <w:t xml:space="preserve"> 3.24%</w:t>
      </w:r>
      <w:r>
        <w:rPr>
          <w:rFonts w:hint="eastAsia" w:ascii="宋体" w:hAnsi="宋体" w:eastAsia="宋体" w:cs="宋体"/>
          <w:sz w:val="10"/>
        </w:rPr>
        <w:t>。</w:t>
      </w:r>
      <w:r>
        <w:rPr>
          <w:rFonts w:hint="eastAsia" w:ascii="宋体" w:hAnsi="宋体" w:eastAsia="宋体" w:cs="宋体"/>
          <w:sz w:val="24"/>
        </w:rPr>
        <w:t>如果公司系统集成业务收入占比出现变化</w:t>
      </w:r>
      <w:r>
        <w:rPr>
          <w:rFonts w:hint="eastAsia" w:ascii="宋体" w:hAnsi="宋体" w:eastAsia="宋体" w:cs="宋体"/>
          <w:sz w:val="10"/>
        </w:rPr>
        <w:t>，</w:t>
      </w:r>
      <w:r>
        <w:rPr>
          <w:rFonts w:hint="eastAsia" w:ascii="宋体" w:hAnsi="宋体" w:eastAsia="宋体" w:cs="宋体"/>
          <w:sz w:val="24"/>
        </w:rPr>
        <w:t>将导致公司综合毛利率产生波动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（三）净资产收益率下降的风险</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以扣除非经常性损益后归属于普通股股东的净利润为计算基准的加权平均净资产收益率分别为</w:t>
      </w:r>
      <w:r>
        <w:rPr>
          <w:rFonts w:hint="eastAsia" w:ascii="Times New Roman" w:hAnsi="Times New Roman" w:eastAsia="Times New Roman" w:cs="Times New Roman"/>
          <w:sz w:val="24"/>
        </w:rPr>
        <w:t xml:space="preserve"> 24.58%</w:t>
      </w:r>
      <w:r>
        <w:rPr>
          <w:rFonts w:hint="eastAsia" w:ascii="宋体" w:hAnsi="宋体" w:eastAsia="宋体" w:cs="宋体"/>
          <w:sz w:val="10"/>
        </w:rPr>
        <w:t>、</w:t>
      </w:r>
      <w:r>
        <w:rPr>
          <w:rFonts w:hint="eastAsia" w:ascii="Times New Roman" w:hAnsi="Times New Roman" w:eastAsia="Times New Roman" w:cs="Times New Roman"/>
          <w:sz w:val="24"/>
        </w:rPr>
        <w:t>22.73%</w:t>
      </w:r>
      <w:r>
        <w:rPr>
          <w:rFonts w:hint="eastAsia" w:ascii="宋体" w:hAnsi="宋体" w:eastAsia="宋体" w:cs="宋体"/>
          <w:sz w:val="24"/>
        </w:rPr>
        <w:t>和</w:t>
      </w:r>
      <w:r>
        <w:rPr>
          <w:rFonts w:hint="eastAsia" w:ascii="Times New Roman" w:hAnsi="Times New Roman" w:eastAsia="Times New Roman" w:cs="Times New Roman"/>
          <w:sz w:val="24"/>
        </w:rPr>
        <w:t>15.98%</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尽管公司经营业绩持续稳定增长</w:t>
      </w:r>
      <w:r>
        <w:rPr>
          <w:rFonts w:hint="eastAsia" w:ascii="宋体" w:hAnsi="宋体" w:eastAsia="宋体" w:cs="宋体"/>
          <w:sz w:val="10"/>
        </w:rPr>
        <w:t>，</w:t>
      </w:r>
      <w:r>
        <w:rPr>
          <w:rFonts w:hint="eastAsia" w:ascii="宋体" w:hAnsi="宋体" w:eastAsia="宋体" w:cs="宋体"/>
          <w:sz w:val="24"/>
        </w:rPr>
        <w:t>但受外部投资者向发行人增资影响</w:t>
      </w:r>
      <w:r>
        <w:rPr>
          <w:rFonts w:hint="eastAsia" w:ascii="宋体" w:hAnsi="宋体" w:eastAsia="宋体" w:cs="宋体"/>
          <w:sz w:val="10"/>
        </w:rPr>
        <w:t>，</w:t>
      </w:r>
      <w:r>
        <w:rPr>
          <w:rFonts w:hint="eastAsia" w:ascii="宋体" w:hAnsi="宋体" w:eastAsia="宋体" w:cs="宋体"/>
          <w:sz w:val="24"/>
        </w:rPr>
        <w:t>净资产收益率呈下降趋势</w:t>
      </w:r>
      <w:r>
        <w:rPr>
          <w:rFonts w:hint="eastAsia" w:ascii="宋体" w:hAnsi="宋体" w:eastAsia="宋体" w:cs="宋体"/>
          <w:sz w:val="10"/>
        </w:rPr>
        <w:t>。</w:t>
      </w:r>
      <w:r>
        <w:rPr>
          <w:rFonts w:hint="eastAsia" w:ascii="宋体" w:hAnsi="宋体" w:eastAsia="宋体" w:cs="宋体"/>
          <w:sz w:val="24"/>
        </w:rPr>
        <w:t>本次发行完成后</w:t>
      </w:r>
      <w:r>
        <w:rPr>
          <w:rFonts w:hint="eastAsia" w:ascii="宋体" w:hAnsi="宋体" w:eastAsia="宋体" w:cs="宋体"/>
          <w:sz w:val="10"/>
        </w:rPr>
        <w:t>，</w:t>
      </w:r>
      <w:r>
        <w:rPr>
          <w:rFonts w:hint="eastAsia" w:ascii="宋体" w:hAnsi="宋体" w:eastAsia="宋体" w:cs="宋体"/>
          <w:sz w:val="24"/>
        </w:rPr>
        <w:t>公司的净资产规模将大幅度提高</w:t>
      </w:r>
      <w:r>
        <w:rPr>
          <w:rFonts w:hint="eastAsia" w:ascii="宋体" w:hAnsi="宋体" w:eastAsia="宋体" w:cs="宋体"/>
          <w:sz w:val="10"/>
        </w:rPr>
        <w:t>，</w:t>
      </w:r>
      <w:r>
        <w:rPr>
          <w:rFonts w:hint="eastAsia" w:ascii="宋体" w:hAnsi="宋体" w:eastAsia="宋体" w:cs="宋体"/>
          <w:sz w:val="24"/>
        </w:rPr>
        <w:t>而募集资金投资项目从实施到发挥效益需要</w:t>
      </w:r>
      <w:r>
        <w:rPr>
          <w:rFonts w:hint="eastAsia" w:ascii="宋体" w:hAnsi="宋体" w:eastAsia="宋体" w:cs="宋体"/>
          <w:sz w:val="10"/>
        </w:rPr>
        <w:t>一</w:t>
      </w:r>
      <w:r>
        <w:rPr>
          <w:rFonts w:hint="eastAsia" w:ascii="宋体" w:hAnsi="宋体" w:eastAsia="宋体" w:cs="宋体"/>
          <w:sz w:val="24"/>
        </w:rPr>
        <w:t>定周期</w:t>
      </w:r>
      <w:r>
        <w:rPr>
          <w:rFonts w:hint="eastAsia" w:ascii="宋体" w:hAnsi="宋体" w:eastAsia="宋体" w:cs="宋体"/>
          <w:sz w:val="10"/>
        </w:rPr>
        <w:t>，</w:t>
      </w:r>
      <w:r>
        <w:rPr>
          <w:rFonts w:hint="eastAsia" w:ascii="宋体" w:hAnsi="宋体" w:eastAsia="宋体" w:cs="宋体"/>
          <w:sz w:val="24"/>
        </w:rPr>
        <w:t>因此公司存在因短期内净资产规模迅速扩大而导致净资产收益率下降的风险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（四）应收账款余额增加及应收账款发生坏账的风险</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公司积极拓展下游市场</w:t>
      </w:r>
      <w:r>
        <w:rPr>
          <w:rFonts w:hint="eastAsia" w:ascii="宋体" w:hAnsi="宋体" w:eastAsia="宋体" w:cs="宋体"/>
          <w:sz w:val="10"/>
        </w:rPr>
        <w:t>，</w:t>
      </w:r>
      <w:r>
        <w:rPr>
          <w:rFonts w:hint="eastAsia" w:ascii="宋体" w:hAnsi="宋体" w:eastAsia="宋体" w:cs="宋体"/>
          <w:sz w:val="24"/>
        </w:rPr>
        <w:t>业务规模不断扩大</w:t>
      </w:r>
      <w:r>
        <w:rPr>
          <w:rFonts w:hint="eastAsia" w:ascii="宋体" w:hAnsi="宋体" w:eastAsia="宋体" w:cs="宋体"/>
          <w:sz w:val="10"/>
        </w:rPr>
        <w:t>，</w:t>
      </w:r>
      <w:r>
        <w:rPr>
          <w:rFonts w:hint="eastAsia" w:ascii="宋体" w:hAnsi="宋体" w:eastAsia="宋体" w:cs="宋体"/>
          <w:sz w:val="24"/>
        </w:rPr>
        <w:t>同时应收账款期末金额呈逐步增加的趋势</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公司应收账款账面价值分别为</w:t>
      </w:r>
      <w:r>
        <w:rPr>
          <w:rFonts w:hint="eastAsia" w:ascii="Times New Roman" w:hAnsi="Times New Roman" w:eastAsia="Times New Roman" w:cs="Times New Roman"/>
          <w:sz w:val="24"/>
        </w:rPr>
        <w:t xml:space="preserve"> 2,308.21</w:t>
      </w:r>
      <w:r>
        <w:rPr>
          <w:rFonts w:hint="eastAsia" w:ascii="宋体" w:hAnsi="宋体" w:eastAsia="宋体" w:cs="宋体"/>
          <w:sz w:val="24"/>
        </w:rPr>
        <w:t xml:space="preserve"> 万元</w:t>
      </w:r>
      <w:r>
        <w:rPr>
          <w:rFonts w:hint="eastAsia" w:ascii="宋体" w:hAnsi="宋体" w:eastAsia="宋体" w:cs="宋体"/>
          <w:sz w:val="10"/>
        </w:rPr>
        <w:t>、</w:t>
      </w:r>
      <w:r>
        <w:rPr>
          <w:rFonts w:hint="eastAsia" w:ascii="Times New Roman" w:hAnsi="Times New Roman" w:eastAsia="Times New Roman" w:cs="Times New Roman"/>
          <w:sz w:val="24"/>
        </w:rPr>
        <w:t>1,749.42</w:t>
      </w:r>
      <w:r>
        <w:rPr>
          <w:rFonts w:hint="eastAsia" w:ascii="宋体" w:hAnsi="宋体" w:eastAsia="宋体" w:cs="宋体"/>
          <w:sz w:val="24"/>
        </w:rPr>
        <w:t xml:space="preserve"> 万元和</w:t>
      </w:r>
      <w:r>
        <w:rPr>
          <w:rFonts w:hint="eastAsia" w:ascii="Times New Roman" w:hAnsi="Times New Roman" w:eastAsia="Times New Roman" w:cs="Times New Roman"/>
          <w:sz w:val="24"/>
        </w:rPr>
        <w:t xml:space="preserve"> 1,777.82</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占资产总额的比重分别为</w:t>
      </w:r>
      <w:r>
        <w:rPr>
          <w:rFonts w:hint="eastAsia" w:ascii="Times New Roman" w:hAnsi="Times New Roman" w:eastAsia="Times New Roman" w:cs="Times New Roman"/>
          <w:sz w:val="24"/>
        </w:rPr>
        <w:t xml:space="preserve"> 7.69%</w:t>
      </w:r>
      <w:r>
        <w:rPr>
          <w:rFonts w:hint="eastAsia" w:ascii="宋体" w:hAnsi="宋体" w:eastAsia="宋体" w:cs="宋体"/>
          <w:sz w:val="10"/>
        </w:rPr>
        <w:t>、</w:t>
      </w:r>
      <w:r>
        <w:rPr>
          <w:rFonts w:hint="eastAsia" w:ascii="Times New Roman" w:hAnsi="Times New Roman" w:eastAsia="Times New Roman" w:cs="Times New Roman"/>
          <w:sz w:val="24"/>
        </w:rPr>
        <w:t>3.27%</w:t>
      </w:r>
      <w:r>
        <w:rPr>
          <w:rFonts w:hint="eastAsia" w:ascii="宋体" w:hAnsi="宋体" w:eastAsia="宋体" w:cs="宋体"/>
          <w:sz w:val="24"/>
        </w:rPr>
        <w:t>和</w:t>
      </w:r>
      <w:r>
        <w:rPr>
          <w:rFonts w:hint="eastAsia" w:ascii="Times New Roman" w:hAnsi="Times New Roman" w:eastAsia="Times New Roman" w:cs="Times New Roman"/>
          <w:sz w:val="24"/>
        </w:rPr>
        <w:t xml:space="preserve"> 2.82%</w:t>
      </w:r>
      <w:r>
        <w:rPr>
          <w:rFonts w:hint="eastAsia" w:ascii="宋体" w:hAnsi="宋体" w:eastAsia="宋体" w:cs="宋体"/>
          <w:sz w:val="12"/>
        </w:rPr>
        <w:t>；</w:t>
      </w:r>
      <w:r>
        <w:rPr>
          <w:rFonts w:hint="eastAsia" w:ascii="宋体" w:hAnsi="宋体" w:eastAsia="宋体" w:cs="宋体"/>
          <w:sz w:val="24"/>
        </w:rPr>
        <w:t>公司应收账款坏账准备分别为</w:t>
      </w:r>
      <w:r>
        <w:rPr>
          <w:rFonts w:hint="eastAsia" w:ascii="Times New Roman" w:hAnsi="Times New Roman" w:eastAsia="Times New Roman" w:cs="Times New Roman"/>
          <w:sz w:val="24"/>
        </w:rPr>
        <w:t xml:space="preserve"> 292.11</w:t>
      </w:r>
      <w:r>
        <w:rPr>
          <w:rFonts w:hint="eastAsia" w:ascii="宋体" w:hAnsi="宋体" w:eastAsia="宋体" w:cs="宋体"/>
          <w:sz w:val="24"/>
        </w:rPr>
        <w:t xml:space="preserve"> 万元</w:t>
      </w:r>
      <w:r>
        <w:rPr>
          <w:rFonts w:hint="eastAsia" w:ascii="宋体" w:hAnsi="宋体" w:eastAsia="宋体" w:cs="宋体"/>
          <w:sz w:val="10"/>
        </w:rPr>
        <w:t>、</w:t>
      </w:r>
      <w:r>
        <w:rPr>
          <w:rFonts w:hint="eastAsia" w:ascii="Times New Roman" w:hAnsi="Times New Roman" w:eastAsia="Times New Roman" w:cs="Times New Roman"/>
          <w:sz w:val="24"/>
        </w:rPr>
        <w:t>358.50</w:t>
      </w:r>
      <w:r>
        <w:rPr>
          <w:rFonts w:hint="eastAsia" w:ascii="宋体" w:hAnsi="宋体" w:eastAsia="宋体" w:cs="宋体"/>
          <w:sz w:val="24"/>
        </w:rPr>
        <w:t>万元和</w:t>
      </w:r>
      <w:r>
        <w:rPr>
          <w:rFonts w:hint="eastAsia" w:ascii="Times New Roman" w:hAnsi="Times New Roman" w:eastAsia="Times New Roman" w:cs="Times New Roman"/>
          <w:sz w:val="24"/>
        </w:rPr>
        <w:t xml:space="preserve"> 337.07</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占应收账款余额的比例分别为</w:t>
      </w:r>
      <w:r>
        <w:rPr>
          <w:rFonts w:hint="eastAsia" w:ascii="Times New Roman" w:hAnsi="Times New Roman" w:eastAsia="Times New Roman" w:cs="Times New Roman"/>
          <w:sz w:val="24"/>
        </w:rPr>
        <w:t xml:space="preserve"> 11.23%</w:t>
      </w:r>
      <w:r>
        <w:rPr>
          <w:rFonts w:hint="eastAsia" w:ascii="宋体" w:hAnsi="宋体" w:eastAsia="宋体" w:cs="宋体"/>
          <w:sz w:val="10"/>
        </w:rPr>
        <w:t>、</w:t>
      </w:r>
      <w:r>
        <w:rPr>
          <w:rFonts w:hint="eastAsia" w:ascii="Times New Roman" w:hAnsi="Times New Roman" w:eastAsia="Times New Roman" w:cs="Times New Roman"/>
          <w:sz w:val="24"/>
        </w:rPr>
        <w:t>17.01%</w:t>
      </w:r>
      <w:r>
        <w:rPr>
          <w:rFonts w:hint="eastAsia" w:ascii="宋体" w:hAnsi="宋体" w:eastAsia="宋体" w:cs="宋体"/>
          <w:sz w:val="24"/>
        </w:rPr>
        <w:t>和</w:t>
      </w:r>
      <w:r>
        <w:rPr>
          <w:rFonts w:hint="eastAsia" w:ascii="Times New Roman" w:hAnsi="Times New Roman" w:eastAsia="Times New Roman" w:cs="Times New Roman"/>
          <w:sz w:val="24"/>
        </w:rPr>
        <w:t xml:space="preserve"> 15.94%</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尽管公司已对应收账款风险进行了有效防范</w:t>
      </w:r>
      <w:r>
        <w:rPr>
          <w:rFonts w:hint="eastAsia" w:ascii="宋体" w:hAnsi="宋体" w:eastAsia="宋体" w:cs="宋体"/>
          <w:sz w:val="10"/>
        </w:rPr>
        <w:t>，</w:t>
      </w:r>
      <w:r>
        <w:rPr>
          <w:rFonts w:hint="eastAsia" w:ascii="宋体" w:hAnsi="宋体" w:eastAsia="宋体" w:cs="宋体"/>
          <w:sz w:val="24"/>
        </w:rPr>
        <w:t>并已按照谨慎性原则计提了坏账准备</w:t>
      </w:r>
      <w:r>
        <w:rPr>
          <w:rFonts w:hint="eastAsia" w:ascii="宋体" w:hAnsi="宋体" w:eastAsia="宋体" w:cs="宋体"/>
          <w:sz w:val="10"/>
        </w:rPr>
        <w:t>，</w:t>
      </w:r>
      <w:r>
        <w:rPr>
          <w:rFonts w:hint="eastAsia" w:ascii="宋体" w:hAnsi="宋体" w:eastAsia="宋体" w:cs="宋体"/>
          <w:sz w:val="24"/>
        </w:rPr>
        <w:t>且报告期内账龄在</w:t>
      </w:r>
      <w:r>
        <w:rPr>
          <w:rFonts w:hint="eastAsia" w:ascii="宋体" w:hAnsi="宋体" w:eastAsia="宋体" w:cs="宋体"/>
          <w:sz w:val="10"/>
        </w:rPr>
        <w:t>一</w:t>
      </w:r>
      <w:r>
        <w:rPr>
          <w:rFonts w:hint="eastAsia" w:ascii="宋体" w:hAnsi="宋体" w:eastAsia="宋体" w:cs="宋体"/>
          <w:sz w:val="24"/>
        </w:rPr>
        <w:t>年以内的应收账款占比均在</w:t>
      </w:r>
      <w:r>
        <w:rPr>
          <w:rFonts w:hint="eastAsia" w:ascii="Times New Roman" w:hAnsi="Times New Roman" w:eastAsia="Times New Roman" w:cs="Times New Roman"/>
          <w:sz w:val="24"/>
        </w:rPr>
        <w:t xml:space="preserve"> 69%</w:t>
      </w:r>
      <w:r>
        <w:rPr>
          <w:rFonts w:hint="eastAsia" w:ascii="宋体" w:hAnsi="宋体" w:eastAsia="宋体" w:cs="宋体"/>
          <w:sz w:val="24"/>
        </w:rPr>
        <w:t>以上</w:t>
      </w:r>
      <w:r>
        <w:rPr>
          <w:rFonts w:hint="eastAsia" w:ascii="宋体" w:hAnsi="宋体" w:eastAsia="宋体" w:cs="宋体"/>
          <w:sz w:val="10"/>
        </w:rPr>
        <w:t>，</w:t>
      </w:r>
      <w:r>
        <w:rPr>
          <w:rFonts w:hint="eastAsia" w:ascii="宋体" w:hAnsi="宋体" w:eastAsia="宋体" w:cs="宋体"/>
          <w:sz w:val="24"/>
        </w:rPr>
        <w:t>但若短期内公司较大量客户出现财务状况恶化</w:t>
      </w:r>
      <w:r>
        <w:rPr>
          <w:rFonts w:hint="eastAsia" w:ascii="宋体" w:hAnsi="宋体" w:eastAsia="宋体" w:cs="宋体"/>
          <w:sz w:val="10"/>
        </w:rPr>
        <w:t>、</w:t>
      </w:r>
      <w:r>
        <w:rPr>
          <w:rFonts w:hint="eastAsia" w:ascii="宋体" w:hAnsi="宋体" w:eastAsia="宋体" w:cs="宋体"/>
          <w:sz w:val="24"/>
        </w:rPr>
        <w:t>无法按期付款的情况</w:t>
      </w:r>
      <w:r>
        <w:rPr>
          <w:rFonts w:hint="eastAsia" w:ascii="宋体" w:hAnsi="宋体" w:eastAsia="宋体" w:cs="宋体"/>
          <w:sz w:val="10"/>
        </w:rPr>
        <w:t>，</w:t>
      </w:r>
      <w:r>
        <w:rPr>
          <w:rFonts w:hint="eastAsia" w:ascii="宋体" w:hAnsi="宋体" w:eastAsia="宋体" w:cs="宋体"/>
          <w:sz w:val="24"/>
        </w:rPr>
        <w:t>则将会加大公司的资金压力甚至产生坏账</w:t>
      </w:r>
      <w:r>
        <w:rPr>
          <w:rFonts w:hint="eastAsia" w:ascii="宋体" w:hAnsi="宋体" w:eastAsia="宋体" w:cs="宋体"/>
          <w:sz w:val="10"/>
        </w:rPr>
        <w:t>，</w:t>
      </w:r>
      <w:r>
        <w:rPr>
          <w:rFonts w:hint="eastAsia" w:ascii="宋体" w:hAnsi="宋体" w:eastAsia="宋体" w:cs="宋体"/>
          <w:sz w:val="24"/>
        </w:rPr>
        <w:t>从而对公司的经营稳定性</w:t>
      </w:r>
      <w:r>
        <w:rPr>
          <w:rFonts w:hint="eastAsia" w:ascii="宋体" w:hAnsi="宋体" w:eastAsia="宋体" w:cs="宋体"/>
          <w:sz w:val="10"/>
        </w:rPr>
        <w:t>、</w:t>
      </w:r>
      <w:r>
        <w:rPr>
          <w:rFonts w:hint="eastAsia" w:ascii="宋体" w:hAnsi="宋体" w:eastAsia="宋体" w:cs="宋体"/>
          <w:sz w:val="24"/>
        </w:rPr>
        <w:t>资金状况和盈利能力产生一定的不利影响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（五）存货管理的风险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本公司存货账面价值分别为</w:t>
      </w:r>
      <w:r>
        <w:rPr>
          <w:rFonts w:hint="eastAsia" w:ascii="Times New Roman" w:hAnsi="Times New Roman" w:eastAsia="Times New Roman" w:cs="Times New Roman"/>
          <w:sz w:val="24"/>
        </w:rPr>
        <w:t xml:space="preserve"> 2,085.84</w:t>
      </w:r>
      <w:r>
        <w:rPr>
          <w:rFonts w:hint="eastAsia" w:ascii="宋体" w:hAnsi="宋体" w:eastAsia="宋体" w:cs="宋体"/>
          <w:sz w:val="24"/>
        </w:rPr>
        <w:t>万元</w:t>
      </w:r>
      <w:r>
        <w:rPr>
          <w:rFonts w:hint="eastAsia" w:ascii="宋体" w:hAnsi="宋体" w:eastAsia="宋体" w:cs="宋体"/>
          <w:sz w:val="10"/>
        </w:rPr>
        <w:t>、</w:t>
      </w:r>
      <w:r>
        <w:rPr>
          <w:rFonts w:hint="eastAsia" w:ascii="Times New Roman" w:hAnsi="Times New Roman" w:eastAsia="Times New Roman" w:cs="Times New Roman"/>
          <w:sz w:val="24"/>
        </w:rPr>
        <w:t>2,694.47</w:t>
      </w:r>
      <w:r>
        <w:rPr>
          <w:rFonts w:hint="eastAsia" w:ascii="宋体" w:hAnsi="宋体" w:eastAsia="宋体" w:cs="宋体"/>
          <w:sz w:val="24"/>
        </w:rPr>
        <w:t xml:space="preserve"> 万元和</w:t>
      </w:r>
      <w:r>
        <w:rPr>
          <w:rFonts w:hint="eastAsia" w:ascii="Times New Roman" w:hAnsi="Times New Roman" w:eastAsia="Times New Roman" w:cs="Times New Roman"/>
          <w:sz w:val="24"/>
        </w:rPr>
        <w:t xml:space="preserve"> 3,626.86</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占总资产的比重分别为</w:t>
      </w:r>
      <w:r>
        <w:rPr>
          <w:rFonts w:hint="eastAsia" w:ascii="Times New Roman" w:hAnsi="Times New Roman" w:eastAsia="Times New Roman" w:cs="Times New Roman"/>
          <w:sz w:val="24"/>
        </w:rPr>
        <w:t xml:space="preserve"> 6.95%</w:t>
      </w:r>
      <w:r>
        <w:rPr>
          <w:rFonts w:hint="eastAsia" w:ascii="宋体" w:hAnsi="宋体" w:eastAsia="宋体" w:cs="宋体"/>
          <w:sz w:val="10"/>
        </w:rPr>
        <w:t>、</w:t>
      </w:r>
      <w:r>
        <w:rPr>
          <w:rFonts w:hint="eastAsia" w:ascii="Times New Roman" w:hAnsi="Times New Roman" w:eastAsia="Times New Roman" w:cs="Times New Roman"/>
          <w:sz w:val="24"/>
        </w:rPr>
        <w:t>5.04%</w:t>
      </w:r>
      <w:r>
        <w:rPr>
          <w:rFonts w:hint="eastAsia" w:ascii="宋体" w:hAnsi="宋体" w:eastAsia="宋体" w:cs="宋体"/>
          <w:sz w:val="24"/>
        </w:rPr>
        <w:t>和</w:t>
      </w:r>
      <w:r>
        <w:rPr>
          <w:rFonts w:hint="eastAsia" w:ascii="Times New Roman" w:hAnsi="Times New Roman" w:eastAsia="Times New Roman" w:cs="Times New Roman"/>
          <w:sz w:val="24"/>
        </w:rPr>
        <w:t>5.74%</w:t>
      </w:r>
      <w:r>
        <w:rPr>
          <w:rFonts w:hint="eastAsia" w:ascii="宋体" w:hAnsi="宋体" w:eastAsia="宋体" w:cs="宋体"/>
          <w:sz w:val="10"/>
        </w:rPr>
        <w:t>，</w:t>
      </w:r>
      <w:r>
        <w:rPr>
          <w:rFonts w:hint="eastAsia" w:ascii="宋体" w:hAnsi="宋体" w:eastAsia="宋体" w:cs="宋体"/>
          <w:sz w:val="24"/>
        </w:rPr>
        <w:t>存货账面价值在报告期内稳步增加</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60"/>
        <w:jc w:val="both"/>
      </w:pPr>
      <w:r>
        <w:rPr>
          <w:rFonts w:hint="eastAsia" w:ascii="Times New Roman" w:hAnsi="Times New Roman" w:eastAsia="Times New Roman" w:cs="Times New Roman"/>
          <w:sz w:val="21"/>
        </w:rPr>
        <w:t>1-1-38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上述情况出现的原因是公司经营规模不断扩大</w:t>
      </w:r>
      <w:r>
        <w:rPr>
          <w:rFonts w:hint="eastAsia" w:ascii="宋体" w:hAnsi="宋体" w:eastAsia="宋体" w:cs="宋体"/>
          <w:sz w:val="10"/>
        </w:rPr>
        <w:t>，</w:t>
      </w:r>
      <w:r>
        <w:rPr>
          <w:rFonts w:hint="eastAsia" w:ascii="宋体" w:hAnsi="宋体" w:eastAsia="宋体" w:cs="宋体"/>
          <w:sz w:val="24"/>
        </w:rPr>
        <w:t>以及截至报告期期末部分项目尚未收到客户出具的项目验收证明</w:t>
      </w:r>
      <w:r>
        <w:rPr>
          <w:rFonts w:hint="eastAsia" w:ascii="宋体" w:hAnsi="宋体" w:eastAsia="宋体" w:cs="宋体"/>
          <w:sz w:val="10"/>
        </w:rPr>
        <w:t>，</w:t>
      </w:r>
      <w:r>
        <w:rPr>
          <w:rFonts w:hint="eastAsia" w:ascii="宋体" w:hAnsi="宋体" w:eastAsia="宋体" w:cs="宋体"/>
          <w:sz w:val="24"/>
        </w:rPr>
        <w:t>无法确认收入</w:t>
      </w:r>
      <w:r>
        <w:rPr>
          <w:rFonts w:hint="eastAsia" w:ascii="宋体" w:hAnsi="宋体" w:eastAsia="宋体" w:cs="宋体"/>
          <w:sz w:val="10"/>
        </w:rPr>
        <w:t>。</w:t>
      </w:r>
      <w:r>
        <w:rPr>
          <w:rFonts w:hint="eastAsia" w:ascii="宋体" w:hAnsi="宋体" w:eastAsia="宋体" w:cs="宋体"/>
          <w:sz w:val="24"/>
        </w:rPr>
        <w:t>本公司存货的主要构成是劳务成本</w:t>
      </w:r>
      <w:r>
        <w:rPr>
          <w:rFonts w:hint="eastAsia" w:ascii="宋体" w:hAnsi="宋体" w:eastAsia="宋体" w:cs="宋体"/>
          <w:sz w:val="10"/>
        </w:rPr>
        <w:t>，</w:t>
      </w:r>
      <w:r>
        <w:rPr>
          <w:rFonts w:hint="eastAsia" w:ascii="宋体" w:hAnsi="宋体" w:eastAsia="宋体" w:cs="宋体"/>
          <w:sz w:val="24"/>
        </w:rPr>
        <w:t>虽然公司对项目执行进行严格管理并不断提高对客户的服务质量</w:t>
      </w:r>
      <w:r>
        <w:rPr>
          <w:rFonts w:hint="eastAsia" w:ascii="宋体" w:hAnsi="宋体" w:eastAsia="宋体" w:cs="宋体"/>
          <w:sz w:val="10"/>
        </w:rPr>
        <w:t>，</w:t>
      </w:r>
      <w:r>
        <w:rPr>
          <w:rFonts w:hint="eastAsia" w:ascii="宋体" w:hAnsi="宋体" w:eastAsia="宋体" w:cs="宋体"/>
          <w:sz w:val="24"/>
        </w:rPr>
        <w:t>但如果在执行项目无法满足客户的需求并取得客户的验收证明文件</w:t>
      </w:r>
      <w:r>
        <w:rPr>
          <w:rFonts w:hint="eastAsia" w:ascii="宋体" w:hAnsi="宋体" w:eastAsia="宋体" w:cs="宋体"/>
          <w:sz w:val="10"/>
        </w:rPr>
        <w:t>，</w:t>
      </w:r>
      <w:r>
        <w:rPr>
          <w:rFonts w:hint="eastAsia" w:ascii="宋体" w:hAnsi="宋体" w:eastAsia="宋体" w:cs="宋体"/>
          <w:sz w:val="24"/>
        </w:rPr>
        <w:t>则会导致存货大规模增加</w:t>
      </w:r>
      <w:r>
        <w:rPr>
          <w:rFonts w:hint="eastAsia" w:ascii="宋体" w:hAnsi="宋体" w:eastAsia="宋体" w:cs="宋体"/>
          <w:sz w:val="10"/>
        </w:rPr>
        <w:t>，</w:t>
      </w:r>
      <w:r>
        <w:rPr>
          <w:rFonts w:hint="eastAsia" w:ascii="宋体" w:hAnsi="宋体" w:eastAsia="宋体" w:cs="宋体"/>
          <w:sz w:val="24"/>
        </w:rPr>
        <w:t>进而影响收入的确认</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（六）税收优惠政策变化的风险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无法继续享受国家规划布局内重点软件企业及高新技术企业资格等所得税税收优惠政策的风险</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）国家规划布局内重点软件企业认定的税收优惠</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2013</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本公司经国家发展和改革委员会</w:t>
      </w:r>
      <w:r>
        <w:rPr>
          <w:rFonts w:hint="eastAsia" w:ascii="宋体" w:hAnsi="宋体" w:eastAsia="宋体" w:cs="宋体"/>
          <w:sz w:val="10"/>
        </w:rPr>
        <w:t>、</w:t>
      </w:r>
      <w:r>
        <w:rPr>
          <w:rFonts w:hint="eastAsia" w:ascii="宋体" w:hAnsi="宋体" w:eastAsia="宋体" w:cs="宋体"/>
          <w:sz w:val="24"/>
        </w:rPr>
        <w:t>工业和信息化部</w:t>
      </w:r>
      <w:r>
        <w:rPr>
          <w:rFonts w:hint="eastAsia" w:ascii="宋体" w:hAnsi="宋体" w:eastAsia="宋体" w:cs="宋体"/>
          <w:sz w:val="10"/>
        </w:rPr>
        <w:t>、</w:t>
      </w:r>
      <w:r>
        <w:rPr>
          <w:rFonts w:hint="eastAsia" w:ascii="宋体" w:hAnsi="宋体" w:eastAsia="宋体" w:cs="宋体"/>
          <w:sz w:val="24"/>
        </w:rPr>
        <w:t>财政部</w:t>
      </w:r>
      <w:r>
        <w:rPr>
          <w:rFonts w:hint="eastAsia" w:ascii="宋体" w:hAnsi="宋体" w:eastAsia="宋体" w:cs="宋体"/>
          <w:sz w:val="10"/>
        </w:rPr>
        <w:t>、</w:t>
      </w:r>
      <w:r>
        <w:rPr>
          <w:rFonts w:hint="eastAsia" w:ascii="宋体" w:hAnsi="宋体" w:eastAsia="宋体" w:cs="宋体"/>
          <w:sz w:val="24"/>
        </w:rPr>
        <w:t>商务部</w:t>
      </w:r>
      <w:r>
        <w:rPr>
          <w:rFonts w:hint="eastAsia" w:ascii="宋体" w:hAnsi="宋体" w:eastAsia="宋体" w:cs="宋体"/>
          <w:sz w:val="10"/>
        </w:rPr>
        <w:t>、</w:t>
      </w:r>
      <w:r>
        <w:rPr>
          <w:rFonts w:hint="eastAsia" w:ascii="宋体" w:hAnsi="宋体" w:eastAsia="宋体" w:cs="宋体"/>
          <w:sz w:val="24"/>
        </w:rPr>
        <w:t>国家税务总局联合认定为</w:t>
      </w:r>
      <w:r>
        <w:rPr>
          <w:rFonts w:hint="eastAsia" w:ascii="宋体" w:hAnsi="宋体" w:eastAsia="宋体" w:cs="宋体"/>
          <w:sz w:val="10"/>
        </w:rPr>
        <w:t>“</w:t>
      </w:r>
      <w:r>
        <w:rPr>
          <w:rFonts w:hint="eastAsia" w:ascii="Times New Roman" w:hAnsi="Times New Roman" w:eastAsia="Times New Roman" w:cs="Times New Roman"/>
          <w:sz w:val="24"/>
        </w:rPr>
        <w:t>2013-2014</w:t>
      </w:r>
      <w:r>
        <w:rPr>
          <w:rFonts w:hint="eastAsia" w:ascii="宋体" w:hAnsi="宋体" w:eastAsia="宋体" w:cs="宋体"/>
          <w:sz w:val="24"/>
        </w:rPr>
        <w:t xml:space="preserve"> 年度国家规划布局内重点软件企业</w:t>
      </w:r>
      <w:r>
        <w:rPr>
          <w:rFonts w:hint="eastAsia" w:ascii="宋体" w:hAnsi="宋体" w:eastAsia="宋体" w:cs="宋体"/>
          <w:sz w:val="10"/>
        </w:rPr>
        <w:t>”（</w:t>
      </w:r>
      <w:r>
        <w:rPr>
          <w:rFonts w:hint="eastAsia" w:ascii="宋体" w:hAnsi="宋体" w:eastAsia="宋体" w:cs="宋体"/>
          <w:sz w:val="24"/>
        </w:rPr>
        <w:t>证书编号为</w:t>
      </w:r>
      <w:r>
        <w:rPr>
          <w:rFonts w:hint="eastAsia" w:ascii="Times New Roman" w:hAnsi="Times New Roman" w:eastAsia="Times New Roman" w:cs="Times New Roman"/>
          <w:sz w:val="24"/>
        </w:rPr>
        <w:t xml:space="preserve"> R-2013-091</w:t>
      </w:r>
      <w:r>
        <w:rPr>
          <w:rFonts w:hint="eastAsia" w:ascii="宋体" w:hAnsi="宋体" w:eastAsia="宋体" w:cs="宋体"/>
          <w:sz w:val="24"/>
        </w:rPr>
        <w:t>），</w:t>
      </w:r>
      <w:r>
        <w:rPr>
          <w:rFonts w:hint="eastAsia" w:ascii="宋体" w:hAnsi="宋体" w:eastAsia="宋体" w:cs="宋体"/>
          <w:sz w:val="24"/>
        </w:rPr>
        <w:t>根据《关于进</w:t>
      </w:r>
      <w:r>
        <w:rPr>
          <w:rFonts w:hint="eastAsia" w:ascii="宋体" w:hAnsi="宋体" w:eastAsia="宋体" w:cs="宋体"/>
          <w:sz w:val="10"/>
        </w:rPr>
        <w:t>一</w:t>
      </w:r>
      <w:r>
        <w:rPr>
          <w:rFonts w:hint="eastAsia" w:ascii="宋体" w:hAnsi="宋体" w:eastAsia="宋体" w:cs="宋体"/>
          <w:sz w:val="24"/>
        </w:rPr>
        <w:t>步鼓励软件产业和集成电路产业发展企业所得税政策的通知》（财税</w:t>
      </w:r>
      <w:r>
        <w:rPr>
          <w:rFonts w:hint="eastAsia" w:ascii="Times New Roman" w:hAnsi="Times New Roman" w:eastAsia="Times New Roman" w:cs="Times New Roman"/>
          <w:sz w:val="24"/>
        </w:rPr>
        <w:t>[2012]27</w:t>
      </w:r>
      <w:r>
        <w:rPr>
          <w:rFonts w:hint="eastAsia" w:ascii="宋体" w:hAnsi="宋体" w:eastAsia="宋体" w:cs="宋体"/>
          <w:sz w:val="24"/>
        </w:rPr>
        <w:t xml:space="preserve"> 号）的有关规定</w:t>
      </w:r>
      <w:r>
        <w:rPr>
          <w:rFonts w:hint="eastAsia" w:ascii="宋体" w:hAnsi="宋体" w:eastAsia="宋体" w:cs="宋体"/>
          <w:sz w:val="10"/>
        </w:rPr>
        <w:t>，</w:t>
      </w:r>
      <w:r>
        <w:rPr>
          <w:rFonts w:hint="eastAsia" w:ascii="宋体" w:hAnsi="宋体" w:eastAsia="宋体" w:cs="宋体"/>
          <w:sz w:val="24"/>
        </w:rPr>
        <w:t>国家规划布局内的重点软件企业</w:t>
      </w:r>
      <w:r>
        <w:rPr>
          <w:rFonts w:hint="eastAsia" w:ascii="宋体" w:hAnsi="宋体" w:eastAsia="宋体" w:cs="宋体"/>
          <w:sz w:val="10"/>
        </w:rPr>
        <w:t>，</w:t>
      </w:r>
      <w:r>
        <w:rPr>
          <w:rFonts w:hint="eastAsia" w:ascii="宋体" w:hAnsi="宋体" w:eastAsia="宋体" w:cs="宋体"/>
          <w:sz w:val="24"/>
        </w:rPr>
        <w:t>如当年未享受免税优惠的</w:t>
      </w:r>
      <w:r>
        <w:rPr>
          <w:rFonts w:hint="eastAsia" w:ascii="宋体" w:hAnsi="宋体" w:eastAsia="宋体" w:cs="宋体"/>
          <w:sz w:val="10"/>
        </w:rPr>
        <w:t>，</w:t>
      </w:r>
      <w:r>
        <w:rPr>
          <w:rFonts w:hint="eastAsia" w:ascii="宋体" w:hAnsi="宋体" w:eastAsia="宋体" w:cs="宋体"/>
          <w:sz w:val="24"/>
        </w:rPr>
        <w:t>可减按</w:t>
      </w:r>
      <w:r>
        <w:rPr>
          <w:rFonts w:hint="eastAsia" w:ascii="Times New Roman" w:hAnsi="Times New Roman" w:eastAsia="Times New Roman" w:cs="Times New Roman"/>
          <w:sz w:val="24"/>
        </w:rPr>
        <w:t xml:space="preserve"> 10%</w:t>
      </w:r>
      <w:r>
        <w:rPr>
          <w:rFonts w:hint="eastAsia" w:ascii="宋体" w:hAnsi="宋体" w:eastAsia="宋体" w:cs="宋体"/>
          <w:sz w:val="24"/>
        </w:rPr>
        <w:t>的税率征收企业所得税</w:t>
      </w:r>
      <w:r>
        <w:rPr>
          <w:rFonts w:hint="eastAsia" w:ascii="宋体" w:hAnsi="宋体" w:eastAsia="宋体" w:cs="宋体"/>
          <w:sz w:val="10"/>
        </w:rPr>
        <w:t>，</w:t>
      </w:r>
      <w:r>
        <w:rPr>
          <w:rFonts w:hint="eastAsia" w:ascii="宋体" w:hAnsi="宋体" w:eastAsia="宋体" w:cs="宋体"/>
          <w:sz w:val="24"/>
        </w:rPr>
        <w:t>本公司在</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年度按</w:t>
      </w:r>
      <w:r>
        <w:rPr>
          <w:rFonts w:hint="eastAsia" w:ascii="Times New Roman" w:hAnsi="Times New Roman" w:eastAsia="Times New Roman" w:cs="Times New Roman"/>
          <w:sz w:val="24"/>
        </w:rPr>
        <w:t xml:space="preserve"> 10%</w:t>
      </w:r>
      <w:r>
        <w:rPr>
          <w:rFonts w:hint="eastAsia" w:ascii="宋体" w:hAnsi="宋体" w:eastAsia="宋体" w:cs="宋体"/>
          <w:sz w:val="24"/>
        </w:rPr>
        <w:t>缴纳企业所得税</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有关部门取消了关于国家规划布局内的重点软件企业税收优惠资格认定等的非行政许可审批</w:t>
      </w:r>
      <w:r>
        <w:rPr>
          <w:rFonts w:hint="eastAsia" w:ascii="宋体" w:hAnsi="宋体" w:eastAsia="宋体" w:cs="宋体"/>
          <w:sz w:val="10"/>
        </w:rPr>
        <w:t>。</w:t>
      </w:r>
      <w:r>
        <w:rPr>
          <w:rFonts w:hint="eastAsia" w:ascii="宋体" w:hAnsi="宋体" w:eastAsia="宋体" w:cs="宋体"/>
          <w:sz w:val="24"/>
        </w:rPr>
        <w:t>根据有关法规</w:t>
      </w:r>
      <w:r>
        <w:rPr>
          <w:rFonts w:hint="eastAsia" w:ascii="宋体" w:hAnsi="宋体" w:eastAsia="宋体" w:cs="宋体"/>
          <w:sz w:val="10"/>
        </w:rPr>
        <w:t>，</w:t>
      </w:r>
      <w:r>
        <w:rPr>
          <w:rFonts w:hint="eastAsia" w:ascii="宋体" w:hAnsi="宋体" w:eastAsia="宋体" w:cs="宋体"/>
          <w:sz w:val="24"/>
        </w:rPr>
        <w:t>发行人</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年度符合国家规划布局内的重点软件企业的条件</w:t>
      </w:r>
      <w:r>
        <w:rPr>
          <w:rFonts w:hint="eastAsia" w:ascii="宋体" w:hAnsi="宋体" w:eastAsia="宋体" w:cs="宋体"/>
          <w:sz w:val="10"/>
        </w:rPr>
        <w:t>，</w:t>
      </w:r>
      <w:r>
        <w:rPr>
          <w:rFonts w:hint="eastAsia" w:ascii="宋体" w:hAnsi="宋体" w:eastAsia="宋体" w:cs="宋体"/>
          <w:sz w:val="24"/>
        </w:rPr>
        <w:t>可减按</w:t>
      </w:r>
      <w:r>
        <w:rPr>
          <w:rFonts w:hint="eastAsia" w:ascii="Times New Roman" w:hAnsi="Times New Roman" w:eastAsia="Times New Roman" w:cs="Times New Roman"/>
          <w:sz w:val="24"/>
        </w:rPr>
        <w:t xml:space="preserve"> 10%</w:t>
      </w:r>
      <w:r>
        <w:rPr>
          <w:rFonts w:hint="eastAsia" w:ascii="宋体" w:hAnsi="宋体" w:eastAsia="宋体" w:cs="宋体"/>
          <w:sz w:val="24"/>
        </w:rPr>
        <w:t>缴纳企业所得税</w:t>
      </w:r>
      <w:r>
        <w:rPr>
          <w:rFonts w:hint="eastAsia" w:ascii="宋体" w:hAnsi="宋体" w:eastAsia="宋体" w:cs="宋体"/>
          <w:sz w:val="10"/>
        </w:rPr>
        <w:t>。</w:t>
      </w:r>
      <w:r>
        <w:rPr>
          <w:rFonts w:hint="eastAsia" w:ascii="宋体" w:hAnsi="宋体" w:eastAsia="宋体" w:cs="宋体"/>
          <w:sz w:val="24"/>
        </w:rPr>
        <w:t>如果公司不能继续享受国家规划布局内的重点软件企业的相关税收优惠</w:t>
      </w:r>
      <w:r>
        <w:rPr>
          <w:rFonts w:hint="eastAsia" w:ascii="宋体" w:hAnsi="宋体" w:eastAsia="宋体" w:cs="宋体"/>
          <w:sz w:val="10"/>
        </w:rPr>
        <w:t>，</w:t>
      </w:r>
      <w:r>
        <w:rPr>
          <w:rFonts w:hint="eastAsia" w:ascii="宋体" w:hAnsi="宋体" w:eastAsia="宋体" w:cs="宋体"/>
          <w:sz w:val="24"/>
        </w:rPr>
        <w:t>则公司企业所得税法定税率将上升至</w:t>
      </w:r>
      <w:r>
        <w:rPr>
          <w:rFonts w:hint="eastAsia" w:ascii="Times New Roman" w:hAnsi="Times New Roman" w:eastAsia="Times New Roman" w:cs="Times New Roman"/>
          <w:sz w:val="24"/>
        </w:rPr>
        <w:t xml:space="preserve"> 15%</w:t>
      </w:r>
      <w:r>
        <w:rPr>
          <w:rFonts w:hint="eastAsia" w:ascii="宋体" w:hAnsi="宋体" w:eastAsia="宋体" w:cs="宋体"/>
          <w:sz w:val="10"/>
        </w:rPr>
        <w:t>，</w:t>
      </w:r>
      <w:r>
        <w:rPr>
          <w:rFonts w:hint="eastAsia" w:ascii="宋体" w:hAnsi="宋体" w:eastAsia="宋体" w:cs="宋体"/>
          <w:sz w:val="24"/>
        </w:rPr>
        <w:t>从而对公司税后净利润水平造成不利影响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）高新技术企业资格认证相关的税收优惠</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80" w:firstLine="480"/>
        <w:jc w:val="both"/>
      </w:pPr>
      <w:r>
        <w:rPr>
          <w:rFonts w:hint="eastAsia" w:ascii="宋体" w:hAnsi="宋体" w:eastAsia="宋体" w:cs="宋体"/>
          <w:sz w:val="24"/>
        </w:rPr>
        <w:t>本公司及子公司顶点数码</w:t>
      </w:r>
      <w:r>
        <w:rPr>
          <w:rFonts w:hint="eastAsia" w:ascii="宋体" w:hAnsi="宋体" w:eastAsia="宋体" w:cs="宋体"/>
          <w:sz w:val="10"/>
        </w:rPr>
        <w:t>、</w:t>
      </w:r>
      <w:r>
        <w:rPr>
          <w:rFonts w:hint="eastAsia" w:ascii="宋体" w:hAnsi="宋体" w:eastAsia="宋体" w:cs="宋体"/>
          <w:sz w:val="24"/>
        </w:rPr>
        <w:t>北京顶点于</w:t>
      </w:r>
      <w:r>
        <w:rPr>
          <w:rFonts w:hint="eastAsia" w:ascii="Times New Roman" w:hAnsi="Times New Roman" w:eastAsia="Times New Roman" w:cs="Times New Roman"/>
          <w:sz w:val="24"/>
        </w:rPr>
        <w:t xml:space="preserve"> 2008</w:t>
      </w:r>
      <w:r>
        <w:rPr>
          <w:rFonts w:hint="eastAsia" w:ascii="宋体" w:hAnsi="宋体" w:eastAsia="宋体" w:cs="宋体"/>
          <w:sz w:val="24"/>
        </w:rPr>
        <w:t xml:space="preserve"> 年获得《高新技术企业证书》，</w:t>
      </w:r>
      <w:r>
        <w:rPr>
          <w:rFonts w:hint="eastAsia" w:ascii="宋体" w:hAnsi="宋体" w:eastAsia="宋体" w:cs="宋体"/>
          <w:sz w:val="24"/>
        </w:rPr>
        <w:t>并于</w:t>
      </w:r>
      <w:r>
        <w:rPr>
          <w:rFonts w:hint="eastAsia" w:ascii="Times New Roman" w:hAnsi="Times New Roman" w:eastAsia="Times New Roman" w:cs="Times New Roman"/>
          <w:sz w:val="24"/>
        </w:rPr>
        <w:t xml:space="preserve"> 2011</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年通过高新技术企业复审并取得了《高新技术企业证书》。</w:t>
      </w: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上述公司在有效认定期（</w:t>
      </w:r>
      <w:r>
        <w:rPr>
          <w:rFonts w:hint="eastAsia" w:ascii="Times New Roman" w:hAnsi="Times New Roman" w:eastAsia="Times New Roman" w:cs="Times New Roman"/>
          <w:sz w:val="24"/>
        </w:rPr>
        <w:t>2008</w:t>
      </w:r>
      <w:r>
        <w:rPr>
          <w:rFonts w:hint="eastAsia" w:ascii="宋体" w:hAnsi="宋体" w:eastAsia="宋体" w:cs="宋体"/>
          <w:sz w:val="24"/>
        </w:rPr>
        <w:t xml:space="preserve"> 年</w:t>
      </w:r>
      <w:r>
        <w:rPr>
          <w:rFonts w:hint="eastAsia" w:ascii="Times New Roman" w:hAnsi="Times New Roman" w:eastAsia="Times New Roman" w:cs="Times New Roman"/>
          <w:sz w:val="24"/>
        </w:rPr>
        <w:t>-2016</w:t>
      </w:r>
      <w:r>
        <w:rPr>
          <w:rFonts w:hint="eastAsia" w:ascii="宋体" w:hAnsi="宋体" w:eastAsia="宋体" w:cs="宋体"/>
          <w:sz w:val="24"/>
        </w:rPr>
        <w:t xml:space="preserve"> 年）内享受高新技术企业</w:t>
      </w:r>
      <w:r>
        <w:rPr>
          <w:rFonts w:hint="eastAsia" w:ascii="Times New Roman" w:hAnsi="Times New Roman" w:eastAsia="Times New Roman" w:cs="Times New Roman"/>
          <w:sz w:val="24"/>
        </w:rPr>
        <w:t xml:space="preserve"> 15%</w:t>
      </w:r>
      <w:r>
        <w:rPr>
          <w:rFonts w:hint="eastAsia" w:ascii="宋体" w:hAnsi="宋体" w:eastAsia="宋体" w:cs="宋体"/>
          <w:sz w:val="24"/>
        </w:rPr>
        <w:t>的企业所得税优惠税率</w:t>
      </w:r>
      <w:r>
        <w:rPr>
          <w:rFonts w:hint="eastAsia" w:ascii="宋体" w:hAnsi="宋体" w:eastAsia="宋体" w:cs="宋体"/>
          <w:sz w:val="10"/>
        </w:rPr>
        <w:t>。</w:t>
      </w:r>
      <w:r>
        <w:rPr>
          <w:rFonts w:hint="eastAsia" w:ascii="宋体" w:hAnsi="宋体" w:eastAsia="宋体" w:cs="宋体"/>
          <w:sz w:val="24"/>
        </w:rPr>
        <w:t>本公司子公司顶点信息于</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年获得《高新技术企业证书》，</w:t>
      </w:r>
      <w:r>
        <w:rPr>
          <w:rFonts w:hint="eastAsia" w:ascii="宋体" w:hAnsi="宋体" w:eastAsia="宋体" w:cs="宋体"/>
          <w:sz w:val="24"/>
        </w:rPr>
        <w:t>在有效认定期（</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-2016</w:t>
      </w:r>
      <w:r>
        <w:rPr>
          <w:rFonts w:hint="eastAsia" w:ascii="宋体" w:hAnsi="宋体" w:eastAsia="宋体" w:cs="宋体"/>
          <w:sz w:val="24"/>
        </w:rPr>
        <w:t xml:space="preserve"> 年）内享受高新技术企业</w:t>
      </w:r>
      <w:r>
        <w:rPr>
          <w:rFonts w:hint="eastAsia" w:ascii="Times New Roman" w:hAnsi="Times New Roman" w:eastAsia="Times New Roman" w:cs="Times New Roman"/>
          <w:sz w:val="24"/>
        </w:rPr>
        <w:t xml:space="preserve"> 15%</w:t>
      </w:r>
      <w:r>
        <w:rPr>
          <w:rFonts w:hint="eastAsia" w:ascii="宋体" w:hAnsi="宋体" w:eastAsia="宋体" w:cs="宋体"/>
          <w:sz w:val="24"/>
        </w:rPr>
        <w:t>的企业所得税优惠税率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本公司子公司武汉顶点于</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年获得《高新技术企业证书》，</w:t>
      </w:r>
      <w:r>
        <w:rPr>
          <w:rFonts w:hint="eastAsia" w:ascii="宋体" w:hAnsi="宋体" w:eastAsia="宋体" w:cs="宋体"/>
          <w:sz w:val="24"/>
        </w:rPr>
        <w:t>在有效认定期（</w:t>
      </w:r>
      <w:r>
        <w:rPr>
          <w:rFonts w:hint="eastAsia" w:ascii="Times New Roman" w:hAnsi="Times New Roman" w:eastAsia="Times New Roman" w:cs="Times New Roman"/>
          <w:sz w:val="24"/>
        </w:rPr>
        <w:t>2016</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60"/>
        <w:jc w:val="both"/>
      </w:pPr>
      <w:r>
        <w:rPr>
          <w:rFonts w:hint="eastAsia" w:ascii="Times New Roman" w:hAnsi="Times New Roman" w:eastAsia="Times New Roman" w:cs="Times New Roman"/>
          <w:sz w:val="21"/>
        </w:rPr>
        <w:t>1-1-39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年</w:t>
      </w:r>
      <w:r>
        <w:rPr>
          <w:rFonts w:hint="eastAsia" w:ascii="Times New Roman" w:hAnsi="Times New Roman" w:eastAsia="Times New Roman" w:cs="Times New Roman"/>
          <w:sz w:val="24"/>
        </w:rPr>
        <w:t>-2018</w:t>
      </w:r>
      <w:r>
        <w:rPr>
          <w:rFonts w:hint="eastAsia" w:ascii="宋体" w:hAnsi="宋体" w:eastAsia="宋体" w:cs="宋体"/>
          <w:sz w:val="24"/>
        </w:rPr>
        <w:t xml:space="preserve"> 年）内享受高新技术企业</w:t>
      </w:r>
      <w:r>
        <w:rPr>
          <w:rFonts w:hint="eastAsia" w:ascii="Times New Roman" w:hAnsi="Times New Roman" w:eastAsia="Times New Roman" w:cs="Times New Roman"/>
          <w:sz w:val="24"/>
        </w:rPr>
        <w:t xml:space="preserve"> 15%</w:t>
      </w:r>
      <w:r>
        <w:rPr>
          <w:rFonts w:hint="eastAsia" w:ascii="宋体" w:hAnsi="宋体" w:eastAsia="宋体" w:cs="宋体"/>
          <w:sz w:val="24"/>
        </w:rPr>
        <w:t>的企业所得税优惠税率</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上述公司《高新技术企业证书》到期后</w:t>
      </w:r>
      <w:r>
        <w:rPr>
          <w:rFonts w:hint="eastAsia" w:ascii="宋体" w:hAnsi="宋体" w:eastAsia="宋体" w:cs="宋体"/>
          <w:sz w:val="10"/>
        </w:rPr>
        <w:t>，</w:t>
      </w:r>
      <w:r>
        <w:rPr>
          <w:rFonts w:hint="eastAsia" w:ascii="宋体" w:hAnsi="宋体" w:eastAsia="宋体" w:cs="宋体"/>
          <w:sz w:val="24"/>
        </w:rPr>
        <w:t>能否继续获得该项认证</w:t>
      </w:r>
      <w:r>
        <w:rPr>
          <w:rFonts w:hint="eastAsia" w:ascii="宋体" w:hAnsi="宋体" w:eastAsia="宋体" w:cs="宋体"/>
          <w:sz w:val="10"/>
        </w:rPr>
        <w:t>，</w:t>
      </w:r>
      <w:r>
        <w:rPr>
          <w:rFonts w:hint="eastAsia" w:ascii="宋体" w:hAnsi="宋体" w:eastAsia="宋体" w:cs="宋体"/>
          <w:sz w:val="24"/>
        </w:rPr>
        <w:t>取决于其是否仍然满足《高新技术企业认定管理办法》规定的有关条件</w:t>
      </w:r>
      <w:r>
        <w:rPr>
          <w:rFonts w:hint="eastAsia" w:ascii="宋体" w:hAnsi="宋体" w:eastAsia="宋体" w:cs="宋体"/>
          <w:sz w:val="10"/>
        </w:rPr>
        <w:t>。</w:t>
      </w:r>
      <w:r>
        <w:rPr>
          <w:rFonts w:hint="eastAsia" w:ascii="宋体" w:hAnsi="宋体" w:eastAsia="宋体" w:cs="宋体"/>
          <w:sz w:val="24"/>
        </w:rPr>
        <w:t>在目前及可预见的未来</w:t>
      </w:r>
      <w:r>
        <w:rPr>
          <w:rFonts w:hint="eastAsia" w:ascii="宋体" w:hAnsi="宋体" w:eastAsia="宋体" w:cs="宋体"/>
          <w:sz w:val="10"/>
        </w:rPr>
        <w:t>，</w:t>
      </w:r>
      <w:r>
        <w:rPr>
          <w:rFonts w:hint="eastAsia" w:ascii="宋体" w:hAnsi="宋体" w:eastAsia="宋体" w:cs="宋体"/>
          <w:sz w:val="24"/>
        </w:rPr>
        <w:t>上述公司仍将满足《高新技术企业认定管理办法》中所规定的研发费用</w:t>
      </w:r>
      <w:r>
        <w:rPr>
          <w:rFonts w:hint="eastAsia" w:ascii="宋体" w:hAnsi="宋体" w:eastAsia="宋体" w:cs="宋体"/>
          <w:sz w:val="10"/>
        </w:rPr>
        <w:t>、</w:t>
      </w:r>
      <w:r>
        <w:rPr>
          <w:rFonts w:hint="eastAsia" w:ascii="宋体" w:hAnsi="宋体" w:eastAsia="宋体" w:cs="宋体"/>
          <w:sz w:val="24"/>
        </w:rPr>
        <w:t>投入规模</w:t>
      </w:r>
      <w:r>
        <w:rPr>
          <w:rFonts w:hint="eastAsia" w:ascii="宋体" w:hAnsi="宋体" w:eastAsia="宋体" w:cs="宋体"/>
          <w:sz w:val="10"/>
        </w:rPr>
        <w:t>、</w:t>
      </w:r>
      <w:r>
        <w:rPr>
          <w:rFonts w:hint="eastAsia" w:ascii="宋体" w:hAnsi="宋体" w:eastAsia="宋体" w:cs="宋体"/>
          <w:sz w:val="24"/>
        </w:rPr>
        <w:t>高新技术产品收入比例及员工结构等条件</w:t>
      </w:r>
      <w:r>
        <w:rPr>
          <w:rFonts w:hint="eastAsia" w:ascii="宋体" w:hAnsi="宋体" w:eastAsia="宋体" w:cs="宋体"/>
          <w:sz w:val="10"/>
        </w:rPr>
        <w:t>。</w:t>
      </w:r>
      <w:r>
        <w:rPr>
          <w:rFonts w:hint="eastAsia" w:ascii="宋体" w:hAnsi="宋体" w:eastAsia="宋体" w:cs="宋体"/>
          <w:sz w:val="24"/>
        </w:rPr>
        <w:t>除非发生公司无法控制的政策及市场等环境变化</w:t>
      </w:r>
      <w:r>
        <w:rPr>
          <w:rFonts w:hint="eastAsia" w:ascii="宋体" w:hAnsi="宋体" w:eastAsia="宋体" w:cs="宋体"/>
          <w:sz w:val="10"/>
        </w:rPr>
        <w:t>，</w:t>
      </w:r>
      <w:r>
        <w:rPr>
          <w:rFonts w:hint="eastAsia" w:ascii="宋体" w:hAnsi="宋体" w:eastAsia="宋体" w:cs="宋体"/>
          <w:sz w:val="24"/>
        </w:rPr>
        <w:t>公司通过复评</w:t>
      </w:r>
      <w:r>
        <w:rPr>
          <w:rFonts w:hint="eastAsia" w:ascii="宋体" w:hAnsi="宋体" w:eastAsia="宋体" w:cs="宋体"/>
          <w:sz w:val="10"/>
        </w:rPr>
        <w:t>、</w:t>
      </w:r>
      <w:r>
        <w:rPr>
          <w:rFonts w:hint="eastAsia" w:ascii="宋体" w:hAnsi="宋体" w:eastAsia="宋体" w:cs="宋体"/>
          <w:sz w:val="24"/>
        </w:rPr>
        <w:t>未来继续获得高新技术企业资格的可能性较大</w:t>
      </w:r>
      <w:r>
        <w:rPr>
          <w:rFonts w:hint="eastAsia" w:ascii="宋体" w:hAnsi="宋体" w:eastAsia="宋体" w:cs="宋体"/>
          <w:sz w:val="10"/>
        </w:rPr>
        <w:t>。</w:t>
      </w:r>
      <w:r>
        <w:rPr>
          <w:rFonts w:hint="eastAsia" w:ascii="宋体" w:hAnsi="宋体" w:eastAsia="宋体" w:cs="宋体"/>
          <w:sz w:val="24"/>
        </w:rPr>
        <w:t>但如果公司不能继续获得《高新技术企业证书》认证</w:t>
      </w:r>
      <w:r>
        <w:rPr>
          <w:rFonts w:hint="eastAsia" w:ascii="宋体" w:hAnsi="宋体" w:eastAsia="宋体" w:cs="宋体"/>
          <w:sz w:val="10"/>
        </w:rPr>
        <w:t>，</w:t>
      </w:r>
      <w:r>
        <w:rPr>
          <w:rFonts w:hint="eastAsia" w:ascii="宋体" w:hAnsi="宋体" w:eastAsia="宋体" w:cs="宋体"/>
          <w:sz w:val="24"/>
        </w:rPr>
        <w:t>则公司企业所得税法定税率将上升至</w:t>
      </w:r>
      <w:r>
        <w:rPr>
          <w:rFonts w:hint="eastAsia" w:ascii="Times New Roman" w:hAnsi="Times New Roman" w:eastAsia="Times New Roman" w:cs="Times New Roman"/>
          <w:sz w:val="24"/>
        </w:rPr>
        <w:t xml:space="preserve"> 25%</w:t>
      </w:r>
      <w:r>
        <w:rPr>
          <w:rFonts w:hint="eastAsia" w:ascii="宋体" w:hAnsi="宋体" w:eastAsia="宋体" w:cs="宋体"/>
          <w:sz w:val="10"/>
        </w:rPr>
        <w:t>，</w:t>
      </w:r>
      <w:r>
        <w:rPr>
          <w:rFonts w:hint="eastAsia" w:ascii="宋体" w:hAnsi="宋体" w:eastAsia="宋体" w:cs="宋体"/>
          <w:sz w:val="24"/>
        </w:rPr>
        <w:t>从而对公司税后净利润水平造成不利影响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）其他所得税税收优惠</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根据</w:t>
      </w:r>
      <w:r>
        <w:rPr>
          <w:rFonts w:hint="eastAsia" w:ascii="Times New Roman" w:hAnsi="Times New Roman" w:eastAsia="Times New Roman" w:cs="Times New Roman"/>
          <w:sz w:val="24"/>
        </w:rPr>
        <w:t xml:space="preserve"> 2008</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22</w:t>
      </w:r>
      <w:r>
        <w:rPr>
          <w:rFonts w:hint="eastAsia" w:ascii="宋体" w:hAnsi="宋体" w:eastAsia="宋体" w:cs="宋体"/>
          <w:sz w:val="24"/>
        </w:rPr>
        <w:t xml:space="preserve"> 日财政部</w:t>
      </w:r>
      <w:r>
        <w:rPr>
          <w:rFonts w:hint="eastAsia" w:ascii="宋体" w:hAnsi="宋体" w:eastAsia="宋体" w:cs="宋体"/>
          <w:sz w:val="10"/>
        </w:rPr>
        <w:t>、</w:t>
      </w:r>
      <w:r>
        <w:rPr>
          <w:rFonts w:hint="eastAsia" w:ascii="宋体" w:hAnsi="宋体" w:eastAsia="宋体" w:cs="宋体"/>
          <w:sz w:val="24"/>
        </w:rPr>
        <w:t>国家税务总局《关于企业所得税若干优惠政策的通知》（财税</w:t>
      </w:r>
      <w:r>
        <w:rPr>
          <w:rFonts w:hint="eastAsia" w:ascii="Times New Roman" w:hAnsi="Times New Roman" w:eastAsia="Times New Roman" w:cs="Times New Roman"/>
          <w:sz w:val="24"/>
        </w:rPr>
        <w:t>[2008]1</w:t>
      </w:r>
      <w:r>
        <w:rPr>
          <w:rFonts w:hint="eastAsia" w:ascii="宋体" w:hAnsi="宋体" w:eastAsia="宋体" w:cs="宋体"/>
          <w:sz w:val="24"/>
        </w:rPr>
        <w:t xml:space="preserve"> 号）和</w:t>
      </w:r>
      <w:r>
        <w:rPr>
          <w:rFonts w:hint="eastAsia" w:ascii="Times New Roman" w:hAnsi="Times New Roman" w:eastAsia="Times New Roman" w:cs="Times New Roman"/>
          <w:sz w:val="24"/>
        </w:rPr>
        <w:t xml:space="preserve"> 2012</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日财政部</w:t>
      </w:r>
      <w:r>
        <w:rPr>
          <w:rFonts w:hint="eastAsia" w:ascii="宋体" w:hAnsi="宋体" w:eastAsia="宋体" w:cs="宋体"/>
          <w:sz w:val="10"/>
        </w:rPr>
        <w:t>、</w:t>
      </w:r>
      <w:r>
        <w:rPr>
          <w:rFonts w:hint="eastAsia" w:ascii="宋体" w:hAnsi="宋体" w:eastAsia="宋体" w:cs="宋体"/>
          <w:sz w:val="24"/>
        </w:rPr>
        <w:t>国家税务总局《关于进一步鼓励软件产业和集成电路产业发展企业所得税政策的通知》（财税</w:t>
      </w:r>
      <w:r>
        <w:rPr>
          <w:rFonts w:hint="eastAsia" w:ascii="Times New Roman" w:hAnsi="Times New Roman" w:eastAsia="Times New Roman" w:cs="Times New Roman"/>
          <w:sz w:val="24"/>
        </w:rPr>
        <w:t>[2012]27</w:t>
      </w:r>
      <w:r>
        <w:rPr>
          <w:rFonts w:hint="eastAsia" w:ascii="宋体" w:hAnsi="宋体" w:eastAsia="宋体" w:cs="宋体"/>
          <w:sz w:val="24"/>
        </w:rPr>
        <w:t xml:space="preserve"> 号），</w:t>
      </w:r>
      <w:r>
        <w:rPr>
          <w:rFonts w:hint="eastAsia" w:ascii="宋体" w:hAnsi="宋体" w:eastAsia="宋体" w:cs="宋体"/>
          <w:sz w:val="24"/>
        </w:rPr>
        <w:t>我国境内新办软件生产企业经认定后</w:t>
      </w:r>
      <w:r>
        <w:rPr>
          <w:rFonts w:hint="eastAsia" w:ascii="宋体" w:hAnsi="宋体" w:eastAsia="宋体" w:cs="宋体"/>
          <w:sz w:val="10"/>
        </w:rPr>
        <w:t>，</w:t>
      </w:r>
      <w:r>
        <w:rPr>
          <w:rFonts w:hint="eastAsia" w:ascii="宋体" w:hAnsi="宋体" w:eastAsia="宋体" w:cs="宋体"/>
          <w:sz w:val="24"/>
        </w:rPr>
        <w:t>自获利年度起</w:t>
      </w:r>
      <w:r>
        <w:rPr>
          <w:rFonts w:hint="eastAsia" w:ascii="宋体" w:hAnsi="宋体" w:eastAsia="宋体" w:cs="宋体"/>
          <w:sz w:val="10"/>
        </w:rPr>
        <w:t>，</w:t>
      </w:r>
      <w:r>
        <w:rPr>
          <w:rFonts w:hint="eastAsia" w:ascii="宋体" w:hAnsi="宋体" w:eastAsia="宋体" w:cs="宋体"/>
          <w:sz w:val="24"/>
        </w:rPr>
        <w:t>第一年和第二年免征企业所得税</w:t>
      </w:r>
      <w:r>
        <w:rPr>
          <w:rFonts w:hint="eastAsia" w:ascii="宋体" w:hAnsi="宋体" w:eastAsia="宋体" w:cs="宋体"/>
          <w:sz w:val="10"/>
        </w:rPr>
        <w:t>，</w:t>
      </w:r>
      <w:r>
        <w:rPr>
          <w:rFonts w:hint="eastAsia" w:ascii="宋体" w:hAnsi="宋体" w:eastAsia="宋体" w:cs="宋体"/>
          <w:sz w:val="24"/>
        </w:rPr>
        <w:t>第三年至第五年减半征收企业所得税</w:t>
      </w:r>
      <w:r>
        <w:rPr>
          <w:rFonts w:hint="eastAsia" w:ascii="宋体" w:hAnsi="宋体" w:eastAsia="宋体" w:cs="宋体"/>
          <w:sz w:val="10"/>
        </w:rPr>
        <w:t>。</w:t>
      </w:r>
      <w:r>
        <w:rPr>
          <w:rFonts w:hint="eastAsia" w:ascii="宋体" w:hAnsi="宋体" w:eastAsia="宋体" w:cs="宋体"/>
          <w:sz w:val="24"/>
        </w:rPr>
        <w:t>控股子公司顶点信息（证书编号为闽</w:t>
      </w:r>
      <w:r>
        <w:rPr>
          <w:rFonts w:hint="eastAsia" w:ascii="Times New Roman" w:hAnsi="Times New Roman" w:eastAsia="Times New Roman" w:cs="Times New Roman"/>
          <w:sz w:val="24"/>
        </w:rPr>
        <w:t xml:space="preserve"> R-2008-0010</w:t>
      </w:r>
      <w:r>
        <w:rPr>
          <w:rFonts w:hint="eastAsia" w:ascii="宋体" w:hAnsi="宋体" w:eastAsia="宋体" w:cs="宋体"/>
          <w:sz w:val="10"/>
        </w:rPr>
        <w:t>，</w:t>
      </w:r>
      <w:r>
        <w:rPr>
          <w:rFonts w:hint="eastAsia" w:ascii="宋体" w:hAnsi="宋体" w:eastAsia="宋体" w:cs="宋体"/>
          <w:sz w:val="24"/>
        </w:rPr>
        <w:t>发证时间为</w:t>
      </w:r>
      <w:r>
        <w:rPr>
          <w:rFonts w:hint="eastAsia" w:ascii="Times New Roman" w:hAnsi="Times New Roman" w:eastAsia="Times New Roman" w:cs="Times New Roman"/>
          <w:sz w:val="24"/>
        </w:rPr>
        <w:t xml:space="preserve"> 2008</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28</w:t>
      </w:r>
      <w:r>
        <w:rPr>
          <w:rFonts w:hint="eastAsia" w:ascii="宋体" w:hAnsi="宋体" w:eastAsia="宋体" w:cs="宋体"/>
          <w:sz w:val="24"/>
        </w:rPr>
        <w:t xml:space="preserve"> 日）享受</w:t>
      </w:r>
      <w:r>
        <w:rPr>
          <w:rFonts w:hint="eastAsia" w:ascii="宋体" w:hAnsi="宋体" w:eastAsia="宋体" w:cs="宋体"/>
          <w:sz w:val="10"/>
        </w:rPr>
        <w:t>“</w:t>
      </w:r>
      <w:r>
        <w:rPr>
          <w:rFonts w:hint="eastAsia" w:ascii="宋体" w:hAnsi="宋体" w:eastAsia="宋体" w:cs="宋体"/>
          <w:sz w:val="24"/>
        </w:rPr>
        <w:t>两免三减半</w:t>
      </w:r>
      <w:r>
        <w:rPr>
          <w:rFonts w:hint="eastAsia" w:ascii="宋体" w:hAnsi="宋体" w:eastAsia="宋体" w:cs="宋体"/>
          <w:sz w:val="10"/>
        </w:rPr>
        <w:t>”</w:t>
      </w:r>
      <w:r>
        <w:rPr>
          <w:rFonts w:hint="eastAsia" w:ascii="宋体" w:hAnsi="宋体" w:eastAsia="宋体" w:cs="宋体"/>
          <w:sz w:val="24"/>
        </w:rPr>
        <w:t>的企业所得税税收优惠</w:t>
      </w:r>
      <w:r>
        <w:rPr>
          <w:rFonts w:hint="eastAsia" w:ascii="宋体" w:hAnsi="宋体" w:eastAsia="宋体" w:cs="宋体"/>
          <w:sz w:val="10"/>
        </w:rPr>
        <w:t>。</w:t>
      </w:r>
      <w:r>
        <w:rPr>
          <w:rFonts w:hint="eastAsia" w:ascii="Times New Roman" w:hAnsi="Times New Roman" w:eastAsia="Times New Roman" w:cs="Times New Roman"/>
          <w:sz w:val="24"/>
        </w:rPr>
        <w:t>2010</w:t>
      </w:r>
      <w:r>
        <w:rPr>
          <w:rFonts w:hint="eastAsia" w:ascii="宋体" w:hAnsi="宋体" w:eastAsia="宋体" w:cs="宋体"/>
          <w:sz w:val="24"/>
        </w:rPr>
        <w:t xml:space="preserve"> 年度弥补以前年度亏损并盈利</w:t>
      </w:r>
      <w:r>
        <w:rPr>
          <w:rFonts w:hint="eastAsia" w:ascii="宋体" w:hAnsi="宋体" w:eastAsia="宋体" w:cs="宋体"/>
          <w:sz w:val="10"/>
        </w:rPr>
        <w:t>，</w:t>
      </w:r>
      <w:r>
        <w:rPr>
          <w:rFonts w:hint="eastAsia" w:ascii="Times New Roman" w:hAnsi="Times New Roman" w:eastAsia="Times New Roman" w:cs="Times New Roman"/>
          <w:sz w:val="24"/>
        </w:rPr>
        <w:t>2010</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2011</w:t>
      </w:r>
      <w:r>
        <w:rPr>
          <w:rFonts w:hint="eastAsia" w:ascii="宋体" w:hAnsi="宋体" w:eastAsia="宋体" w:cs="宋体"/>
          <w:sz w:val="24"/>
        </w:rPr>
        <w:t xml:space="preserve"> 年度为免税期</w:t>
      </w:r>
      <w:r>
        <w:rPr>
          <w:rFonts w:hint="eastAsia" w:ascii="宋体" w:hAnsi="宋体" w:eastAsia="宋体" w:cs="宋体"/>
          <w:sz w:val="12"/>
        </w:rPr>
        <w:t>；</w:t>
      </w:r>
      <w:r>
        <w:rPr>
          <w:rFonts w:hint="eastAsia" w:ascii="Times New Roman" w:hAnsi="Times New Roman" w:eastAsia="Times New Roman" w:cs="Times New Roman"/>
          <w:sz w:val="24"/>
        </w:rPr>
        <w:t>2012-2014</w:t>
      </w:r>
      <w:r>
        <w:rPr>
          <w:rFonts w:hint="eastAsia" w:ascii="宋体" w:hAnsi="宋体" w:eastAsia="宋体" w:cs="宋体"/>
          <w:sz w:val="24"/>
        </w:rPr>
        <w:t xml:space="preserve"> 年度适用企业所得税率为</w:t>
      </w:r>
      <w:r>
        <w:rPr>
          <w:rFonts w:hint="eastAsia" w:ascii="Times New Roman" w:hAnsi="Times New Roman" w:eastAsia="Times New Roman" w:cs="Times New Roman"/>
          <w:sz w:val="24"/>
        </w:rPr>
        <w:t xml:space="preserve"> 12.50%</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尽管发行人经营态势良好</w:t>
      </w:r>
      <w:r>
        <w:rPr>
          <w:rFonts w:hint="eastAsia" w:ascii="宋体" w:hAnsi="宋体" w:eastAsia="宋体" w:cs="宋体"/>
          <w:sz w:val="10"/>
        </w:rPr>
        <w:t>，</w:t>
      </w:r>
      <w:r>
        <w:rPr>
          <w:rFonts w:hint="eastAsia" w:ascii="宋体" w:hAnsi="宋体" w:eastAsia="宋体" w:cs="宋体"/>
          <w:sz w:val="24"/>
        </w:rPr>
        <w:t>主营业务收入持续增长</w:t>
      </w:r>
      <w:r>
        <w:rPr>
          <w:rFonts w:hint="eastAsia" w:ascii="宋体" w:hAnsi="宋体" w:eastAsia="宋体" w:cs="宋体"/>
          <w:sz w:val="10"/>
        </w:rPr>
        <w:t>，</w:t>
      </w:r>
      <w:r>
        <w:rPr>
          <w:rFonts w:hint="eastAsia" w:ascii="宋体" w:hAnsi="宋体" w:eastAsia="宋体" w:cs="宋体"/>
          <w:sz w:val="24"/>
        </w:rPr>
        <w:t>但若上述税收优惠政策调整或变化以及税收优惠期满</w:t>
      </w:r>
      <w:r>
        <w:rPr>
          <w:rFonts w:hint="eastAsia" w:ascii="宋体" w:hAnsi="宋体" w:eastAsia="宋体" w:cs="宋体"/>
          <w:sz w:val="10"/>
        </w:rPr>
        <w:t>，</w:t>
      </w:r>
      <w:r>
        <w:rPr>
          <w:rFonts w:hint="eastAsia" w:ascii="宋体" w:hAnsi="宋体" w:eastAsia="宋体" w:cs="宋体"/>
          <w:sz w:val="24"/>
        </w:rPr>
        <w:t>仍将对公司的盈利水平产生一定影响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）公司无法持续享受税收优惠或无法获得财政补贴的风险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发行人收到的政府补助主要包括增值税返还和财政补贴</w:t>
      </w:r>
      <w:r>
        <w:rPr>
          <w:rFonts w:hint="eastAsia" w:ascii="宋体" w:hAnsi="宋体" w:eastAsia="宋体" w:cs="宋体"/>
          <w:sz w:val="10"/>
        </w:rPr>
        <w:t>。</w:t>
      </w:r>
      <w:r>
        <w:rPr>
          <w:rFonts w:hint="eastAsia" w:ascii="宋体" w:hAnsi="宋体" w:eastAsia="宋体" w:cs="宋体"/>
          <w:sz w:val="24"/>
        </w:rPr>
        <w:t>除</w:t>
      </w:r>
      <w:r>
        <w:rPr>
          <w:rFonts w:hint="eastAsia" w:ascii="Times New Roman" w:hAnsi="Times New Roman" w:eastAsia="Times New Roman" w:cs="Times New Roman"/>
          <w:sz w:val="24"/>
        </w:rPr>
        <w:t xml:space="preserve"> 2015</w:t>
      </w:r>
      <w:r>
        <w:rPr>
          <w:rFonts w:hint="eastAsia" w:ascii="宋体" w:hAnsi="宋体" w:eastAsia="宋体" w:cs="宋体"/>
          <w:sz w:val="24"/>
        </w:rPr>
        <w:t>年收到的奖励扶持资金外</w:t>
      </w:r>
      <w:r>
        <w:rPr>
          <w:rFonts w:hint="eastAsia" w:ascii="宋体" w:hAnsi="宋体" w:eastAsia="宋体" w:cs="宋体"/>
          <w:sz w:val="10"/>
        </w:rPr>
        <w:t>，</w:t>
      </w:r>
      <w:r>
        <w:rPr>
          <w:rFonts w:hint="eastAsia" w:ascii="宋体" w:hAnsi="宋体" w:eastAsia="宋体" w:cs="宋体"/>
          <w:sz w:val="24"/>
        </w:rPr>
        <w:t>发行人各期政府补助主要为增值税返还</w:t>
      </w:r>
      <w:r>
        <w:rPr>
          <w:rFonts w:hint="eastAsia" w:ascii="宋体" w:hAnsi="宋体" w:eastAsia="宋体" w:cs="宋体"/>
          <w:sz w:val="10"/>
        </w:rPr>
        <w:t>，</w:t>
      </w:r>
      <w:r>
        <w:rPr>
          <w:rFonts w:hint="eastAsia" w:ascii="宋体" w:hAnsi="宋体" w:eastAsia="宋体" w:cs="宋体"/>
          <w:sz w:val="24"/>
        </w:rPr>
        <w:t>增值税返还税收优惠具备</w:t>
      </w:r>
      <w:r>
        <w:rPr>
          <w:rFonts w:hint="eastAsia" w:ascii="宋体" w:hAnsi="宋体" w:eastAsia="宋体" w:cs="宋体"/>
          <w:sz w:val="10"/>
        </w:rPr>
        <w:t>一</w:t>
      </w:r>
      <w:r>
        <w:rPr>
          <w:rFonts w:hint="eastAsia" w:ascii="宋体" w:hAnsi="宋体" w:eastAsia="宋体" w:cs="宋体"/>
          <w:sz w:val="24"/>
        </w:rPr>
        <w:t>定可持续性</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发行人利润总额分别为</w:t>
      </w:r>
      <w:r>
        <w:rPr>
          <w:rFonts w:hint="eastAsia" w:ascii="Times New Roman" w:hAnsi="Times New Roman" w:eastAsia="Times New Roman" w:cs="Times New Roman"/>
          <w:sz w:val="24"/>
        </w:rPr>
        <w:t>5,249.46</w:t>
      </w:r>
      <w:r>
        <w:rPr>
          <w:rFonts w:hint="eastAsia" w:ascii="宋体" w:hAnsi="宋体" w:eastAsia="宋体" w:cs="宋体"/>
          <w:sz w:val="24"/>
        </w:rPr>
        <w:t xml:space="preserve"> 万元</w:t>
      </w:r>
      <w:r>
        <w:rPr>
          <w:rFonts w:hint="eastAsia" w:ascii="宋体" w:hAnsi="宋体" w:eastAsia="宋体" w:cs="宋体"/>
          <w:sz w:val="10"/>
        </w:rPr>
        <w:t>、</w:t>
      </w:r>
      <w:r>
        <w:rPr>
          <w:rFonts w:hint="eastAsia" w:ascii="Times New Roman" w:hAnsi="Times New Roman" w:eastAsia="Times New Roman" w:cs="Times New Roman"/>
          <w:sz w:val="24"/>
        </w:rPr>
        <w:t>9,163.62</w:t>
      </w:r>
      <w:r>
        <w:rPr>
          <w:rFonts w:hint="eastAsia" w:ascii="宋体" w:hAnsi="宋体" w:eastAsia="宋体" w:cs="宋体"/>
          <w:sz w:val="24"/>
        </w:rPr>
        <w:t xml:space="preserve"> 万元和</w:t>
      </w:r>
      <w:r>
        <w:rPr>
          <w:rFonts w:hint="eastAsia" w:ascii="Times New Roman" w:hAnsi="Times New Roman" w:eastAsia="Times New Roman" w:cs="Times New Roman"/>
          <w:sz w:val="24"/>
        </w:rPr>
        <w:t xml:space="preserve"> 8,152.74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税收优惠金额占当期利润总额的比例为</w:t>
      </w:r>
      <w:r>
        <w:rPr>
          <w:rFonts w:hint="eastAsia" w:ascii="Times New Roman" w:hAnsi="Times New Roman" w:eastAsia="Times New Roman" w:cs="Times New Roman"/>
          <w:sz w:val="24"/>
        </w:rPr>
        <w:t xml:space="preserve"> 27.38%</w:t>
      </w:r>
      <w:r>
        <w:rPr>
          <w:rFonts w:hint="eastAsia" w:ascii="宋体" w:hAnsi="宋体" w:eastAsia="宋体" w:cs="宋体"/>
          <w:sz w:val="10"/>
        </w:rPr>
        <w:t>、</w:t>
      </w:r>
      <w:r>
        <w:rPr>
          <w:rFonts w:hint="eastAsia" w:ascii="Times New Roman" w:hAnsi="Times New Roman" w:eastAsia="Times New Roman" w:cs="Times New Roman"/>
          <w:sz w:val="24"/>
        </w:rPr>
        <w:t>33.90%</w:t>
      </w:r>
      <w:r>
        <w:rPr>
          <w:rFonts w:hint="eastAsia" w:ascii="宋体" w:hAnsi="宋体" w:eastAsia="宋体" w:cs="宋体"/>
          <w:sz w:val="24"/>
        </w:rPr>
        <w:t>和</w:t>
      </w:r>
      <w:r>
        <w:rPr>
          <w:rFonts w:hint="eastAsia" w:ascii="Times New Roman" w:hAnsi="Times New Roman" w:eastAsia="Times New Roman" w:cs="Times New Roman"/>
          <w:sz w:val="24"/>
        </w:rPr>
        <w:t xml:space="preserve"> 30.27%</w:t>
      </w:r>
      <w:r>
        <w:rPr>
          <w:rFonts w:hint="eastAsia" w:ascii="宋体" w:hAnsi="宋体" w:eastAsia="宋体" w:cs="宋体"/>
          <w:sz w:val="10"/>
        </w:rPr>
        <w:t>，</w:t>
      </w:r>
      <w:r>
        <w:rPr>
          <w:rFonts w:hint="eastAsia" w:ascii="宋体" w:hAnsi="宋体" w:eastAsia="宋体" w:cs="宋体"/>
          <w:sz w:val="24"/>
        </w:rPr>
        <w:t>政府补助占当期利润总额的比例为</w:t>
      </w:r>
      <w:r>
        <w:rPr>
          <w:rFonts w:hint="eastAsia" w:ascii="Times New Roman" w:hAnsi="Times New Roman" w:eastAsia="Times New Roman" w:cs="Times New Roman"/>
          <w:sz w:val="24"/>
        </w:rPr>
        <w:t xml:space="preserve"> 12.79%</w:t>
      </w:r>
      <w:r>
        <w:rPr>
          <w:rFonts w:hint="eastAsia" w:ascii="宋体" w:hAnsi="宋体" w:eastAsia="宋体" w:cs="宋体"/>
          <w:sz w:val="10"/>
        </w:rPr>
        <w:t>、</w:t>
      </w:r>
      <w:r>
        <w:rPr>
          <w:rFonts w:hint="eastAsia" w:ascii="Times New Roman" w:hAnsi="Times New Roman" w:eastAsia="Times New Roman" w:cs="Times New Roman"/>
          <w:sz w:val="24"/>
        </w:rPr>
        <w:t>33.78%</w:t>
      </w:r>
      <w:r>
        <w:rPr>
          <w:rFonts w:hint="eastAsia" w:ascii="宋体" w:hAnsi="宋体" w:eastAsia="宋体" w:cs="宋体"/>
          <w:sz w:val="24"/>
        </w:rPr>
        <w:t>和</w:t>
      </w:r>
      <w:r>
        <w:rPr>
          <w:rFonts w:hint="eastAsia" w:ascii="Times New Roman" w:hAnsi="Times New Roman" w:eastAsia="Times New Roman" w:cs="Times New Roman"/>
          <w:sz w:val="24"/>
        </w:rPr>
        <w:t xml:space="preserve"> 16.12%</w:t>
      </w:r>
      <w:r>
        <w:rPr>
          <w:rFonts w:hint="eastAsia" w:ascii="宋体" w:hAnsi="宋体" w:eastAsia="宋体" w:cs="宋体"/>
          <w:sz w:val="10"/>
        </w:rPr>
        <w:t>，</w:t>
      </w:r>
      <w:r>
        <w:rPr>
          <w:rFonts w:hint="eastAsia" w:ascii="宋体" w:hAnsi="宋体" w:eastAsia="宋体" w:cs="宋体"/>
          <w:sz w:val="24"/>
        </w:rPr>
        <w:t>扣除</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年台江区人民政府</w:t>
      </w:r>
      <w:r>
        <w:rPr>
          <w:rFonts w:hint="eastAsia" w:ascii="Times New Roman" w:hAnsi="Times New Roman" w:eastAsia="Times New Roman" w:cs="Times New Roman"/>
          <w:sz w:val="24"/>
        </w:rPr>
        <w:t xml:space="preserve"> 1,650</w:t>
      </w:r>
      <w:r>
        <w:rPr>
          <w:rFonts w:hint="eastAsia" w:ascii="宋体" w:hAnsi="宋体" w:eastAsia="宋体" w:cs="宋体"/>
          <w:sz w:val="24"/>
        </w:rPr>
        <w:t xml:space="preserve"> 万元奖励扶持资金后政府补助占当期利润总额的比例为</w:t>
      </w:r>
      <w:r>
        <w:rPr>
          <w:rFonts w:hint="eastAsia" w:ascii="Times New Roman" w:hAnsi="Times New Roman" w:eastAsia="Times New Roman" w:cs="Times New Roman"/>
          <w:sz w:val="24"/>
        </w:rPr>
        <w:t xml:space="preserve"> 12.79%</w:t>
      </w:r>
      <w:r>
        <w:rPr>
          <w:rFonts w:hint="eastAsia" w:ascii="宋体" w:hAnsi="宋体" w:eastAsia="宋体" w:cs="宋体"/>
          <w:sz w:val="10"/>
        </w:rPr>
        <w:t>、</w:t>
      </w:r>
      <w:r>
        <w:rPr>
          <w:rFonts w:hint="eastAsia" w:ascii="Times New Roman" w:hAnsi="Times New Roman" w:eastAsia="Times New Roman" w:cs="Times New Roman"/>
          <w:sz w:val="24"/>
        </w:rPr>
        <w:t>19.23%</w:t>
      </w:r>
      <w:r>
        <w:rPr>
          <w:rFonts w:hint="eastAsia" w:ascii="宋体" w:hAnsi="宋体" w:eastAsia="宋体" w:cs="宋体"/>
          <w:sz w:val="24"/>
        </w:rPr>
        <w:t>和</w:t>
      </w:r>
      <w:r>
        <w:rPr>
          <w:rFonts w:hint="eastAsia" w:ascii="Times New Roman" w:hAnsi="Times New Roman" w:eastAsia="Times New Roman" w:cs="Times New Roman"/>
          <w:sz w:val="24"/>
        </w:rPr>
        <w:t xml:space="preserve"> 16.12%</w:t>
      </w:r>
      <w:r>
        <w:rPr>
          <w:rFonts w:hint="eastAsia" w:ascii="宋体" w:hAnsi="宋体" w:eastAsia="宋体" w:cs="宋体"/>
          <w:sz w:val="10"/>
        </w:rPr>
        <w:t>。</w:t>
      </w:r>
      <w:r>
        <w:rPr>
          <w:rFonts w:hint="eastAsia" w:ascii="宋体" w:hAnsi="宋体" w:eastAsia="宋体" w:cs="宋体"/>
          <w:sz w:val="24"/>
        </w:rPr>
        <w:t>尽管发行人报告期内持续享受税收优惠及财政补贴</w:t>
      </w:r>
      <w:r>
        <w:rPr>
          <w:rFonts w:hint="eastAsia" w:ascii="宋体" w:hAnsi="宋体" w:eastAsia="宋体" w:cs="宋体"/>
          <w:sz w:val="10"/>
        </w:rPr>
        <w:t>，</w:t>
      </w:r>
      <w:r>
        <w:rPr>
          <w:rFonts w:hint="eastAsia" w:ascii="宋体" w:hAnsi="宋体" w:eastAsia="宋体" w:cs="宋体"/>
          <w:sz w:val="24"/>
        </w:rPr>
        <w:t>但如果未来不满足税收优惠条件或无法获得财政</w:t>
      </w:r>
    </w:p>
    <w:p>
      <w:pPr>
        <w:spacing w:line="200" w:lineRule="exact"/>
        <w:rPr>
          <w:rFonts w:hint="eastAsia" w:ascii="宋体" w:hAnsi="宋体" w:eastAsia="宋体" w:cs="宋体"/>
          <w:sz w:val="20"/>
        </w:rPr>
      </w:pPr>
    </w:p>
    <w:p>
      <w:pPr>
        <w:autoSpaceDE w:val="false"/>
        <w:autoSpaceDN w:val="false"/>
        <w:spacing w:line="380" w:lineRule="exact"/>
        <w:ind w:left="5660"/>
        <w:jc w:val="both"/>
      </w:pPr>
      <w:r>
        <w:rPr>
          <w:rFonts w:hint="eastAsia" w:ascii="Times New Roman" w:hAnsi="Times New Roman" w:eastAsia="Times New Roman" w:cs="Times New Roman"/>
          <w:sz w:val="21"/>
        </w:rPr>
        <w:t>1-1-40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sz w:val="24"/>
        </w:rPr>
        <w:t>补贴</w:t>
      </w:r>
      <w:r>
        <w:rPr>
          <w:rFonts w:hint="eastAsia" w:ascii="宋体" w:hAnsi="宋体" w:eastAsia="宋体" w:cs="宋体"/>
          <w:sz w:val="10"/>
        </w:rPr>
        <w:t>，</w:t>
      </w:r>
      <w:r>
        <w:rPr>
          <w:rFonts w:hint="eastAsia" w:ascii="宋体" w:hAnsi="宋体" w:eastAsia="宋体" w:cs="宋体"/>
          <w:sz w:val="24"/>
        </w:rPr>
        <w:t>将对发行人的业绩产生不利影响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增值税税收优惠政策变化的风险</w:t>
      </w:r>
    </w:p>
    <w:p>
      <w:pPr>
        <w:spacing w:line="200" w:lineRule="exact"/>
        <w:rPr>
          <w:rFonts w:hint="eastAsia" w:ascii="宋体" w:hAnsi="宋体" w:eastAsia="宋体" w:cs="宋体"/>
          <w:sz w:val="20"/>
        </w:rPr>
      </w:pPr>
    </w:p>
    <w:p>
      <w:pPr>
        <w:autoSpaceDE w:val="false"/>
        <w:autoSpaceDN w:val="false"/>
        <w:spacing w:line="440" w:lineRule="exact"/>
        <w:ind w:left="1800" w:right="1580" w:firstLine="480"/>
        <w:jc w:val="both"/>
      </w:pPr>
      <w:r>
        <w:rPr>
          <w:rFonts w:hint="eastAsia" w:ascii="宋体" w:hAnsi="宋体" w:eastAsia="宋体" w:cs="宋体"/>
          <w:sz w:val="24"/>
        </w:rPr>
        <w:t>根据《财政部</w:t>
      </w:r>
      <w:r>
        <w:rPr>
          <w:rFonts w:hint="eastAsia" w:ascii="宋体" w:hAnsi="宋体" w:eastAsia="宋体" w:cs="宋体"/>
          <w:sz w:val="10"/>
        </w:rPr>
        <w:t>、</w:t>
      </w:r>
      <w:r>
        <w:rPr>
          <w:rFonts w:hint="eastAsia" w:ascii="宋体" w:hAnsi="宋体" w:eastAsia="宋体" w:cs="宋体"/>
          <w:sz w:val="24"/>
        </w:rPr>
        <w:t>国家税务总局关于软件产品增值税政策的通知》（</w:t>
      </w:r>
      <w:r>
        <w:rPr>
          <w:rFonts w:hint="eastAsia" w:ascii="Times New Roman" w:hAnsi="Times New Roman" w:eastAsia="Times New Roman" w:cs="Times New Roman"/>
          <w:sz w:val="24"/>
        </w:rPr>
        <w:t>[2011]100</w:t>
      </w:r>
      <w:r>
        <w:rPr>
          <w:rFonts w:hint="eastAsia" w:ascii="宋体" w:hAnsi="宋体" w:eastAsia="宋体" w:cs="宋体"/>
          <w:sz w:val="24"/>
        </w:rPr>
        <w:t>号），</w:t>
      </w:r>
      <w:r>
        <w:rPr>
          <w:rFonts w:hint="eastAsia" w:ascii="宋体" w:hAnsi="宋体" w:eastAsia="宋体" w:cs="宋体"/>
          <w:sz w:val="24"/>
        </w:rPr>
        <w:t>增值税一般纳税人销售其自行开发生产的软件产品</w:t>
      </w:r>
      <w:r>
        <w:rPr>
          <w:rFonts w:hint="eastAsia" w:ascii="宋体" w:hAnsi="宋体" w:eastAsia="宋体" w:cs="宋体"/>
          <w:sz w:val="10"/>
        </w:rPr>
        <w:t>，</w:t>
      </w:r>
      <w:r>
        <w:rPr>
          <w:rFonts w:hint="eastAsia" w:ascii="宋体" w:hAnsi="宋体" w:eastAsia="宋体" w:cs="宋体"/>
          <w:sz w:val="24"/>
        </w:rPr>
        <w:t>按</w:t>
      </w:r>
      <w:r>
        <w:rPr>
          <w:rFonts w:hint="eastAsia" w:ascii="Times New Roman" w:hAnsi="Times New Roman" w:eastAsia="Times New Roman" w:cs="Times New Roman"/>
          <w:sz w:val="24"/>
        </w:rPr>
        <w:t xml:space="preserve"> 17</w:t>
      </w:r>
      <w:r>
        <w:rPr>
          <w:rFonts w:hint="eastAsia" w:ascii="宋体" w:hAnsi="宋体" w:eastAsia="宋体" w:cs="宋体"/>
          <w:sz w:val="24"/>
        </w:rPr>
        <w:t>％的法定税率征收增值税后</w:t>
      </w:r>
      <w:r>
        <w:rPr>
          <w:rFonts w:hint="eastAsia" w:ascii="宋体" w:hAnsi="宋体" w:eastAsia="宋体" w:cs="宋体"/>
          <w:sz w:val="10"/>
        </w:rPr>
        <w:t>，</w:t>
      </w:r>
      <w:r>
        <w:rPr>
          <w:rFonts w:hint="eastAsia" w:ascii="宋体" w:hAnsi="宋体" w:eastAsia="宋体" w:cs="宋体"/>
          <w:sz w:val="24"/>
        </w:rPr>
        <w:t>对其增值税实际税负超过</w:t>
      </w:r>
      <w:r>
        <w:rPr>
          <w:rFonts w:hint="eastAsia" w:ascii="Times New Roman" w:hAnsi="Times New Roman" w:eastAsia="Times New Roman" w:cs="Times New Roman"/>
          <w:sz w:val="24"/>
        </w:rPr>
        <w:t xml:space="preserve"> 3</w:t>
      </w:r>
      <w:r>
        <w:rPr>
          <w:rFonts w:hint="eastAsia" w:ascii="宋体" w:hAnsi="宋体" w:eastAsia="宋体" w:cs="宋体"/>
          <w:sz w:val="24"/>
        </w:rPr>
        <w:t>％的部分实行即征即退政策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虽然本公司目前经营态势良好</w:t>
      </w:r>
      <w:r>
        <w:rPr>
          <w:rFonts w:hint="eastAsia" w:ascii="宋体" w:hAnsi="宋体" w:eastAsia="宋体" w:cs="宋体"/>
          <w:sz w:val="10"/>
        </w:rPr>
        <w:t>，</w:t>
      </w:r>
      <w:r>
        <w:rPr>
          <w:rFonts w:hint="eastAsia" w:ascii="宋体" w:hAnsi="宋体" w:eastAsia="宋体" w:cs="宋体"/>
          <w:sz w:val="24"/>
        </w:rPr>
        <w:t>但是如果未来国家增值税优惠政策出现不可预测的不利变化</w:t>
      </w:r>
      <w:r>
        <w:rPr>
          <w:rFonts w:hint="eastAsia" w:ascii="宋体" w:hAnsi="宋体" w:eastAsia="宋体" w:cs="宋体"/>
          <w:sz w:val="10"/>
        </w:rPr>
        <w:t>，</w:t>
      </w:r>
      <w:r>
        <w:rPr>
          <w:rFonts w:hint="eastAsia" w:ascii="宋体" w:hAnsi="宋体" w:eastAsia="宋体" w:cs="宋体"/>
          <w:sz w:val="24"/>
        </w:rPr>
        <w:t>将对公司的盈利能力产生一定的不利影响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经营及管理风险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800"/>
        <w:jc w:val="both"/>
      </w:pPr>
      <w:r>
        <w:rPr>
          <w:rFonts w:hint="eastAsia" w:ascii="宋体" w:hAnsi="宋体" w:eastAsia="宋体" w:cs="宋体"/>
          <w:b/>
          <w:sz w:val="30"/>
        </w:rPr>
        <w:t>（一）</w:t>
      </w:r>
      <w:r>
        <w:rPr>
          <w:rFonts w:hint="eastAsia" w:ascii="宋体" w:hAnsi="宋体" w:eastAsia="宋体" w:cs="宋体"/>
          <w:b/>
          <w:sz w:val="24"/>
        </w:rPr>
        <w:t>规模扩张的风险</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公司营业收入增长较快</w:t>
      </w:r>
      <w:r>
        <w:rPr>
          <w:rFonts w:hint="eastAsia" w:ascii="宋体" w:hAnsi="宋体" w:eastAsia="宋体" w:cs="宋体"/>
          <w:sz w:val="10"/>
        </w:rPr>
        <w:t>，</w:t>
      </w:r>
      <w:r>
        <w:rPr>
          <w:rFonts w:hint="eastAsia" w:ascii="宋体" w:hAnsi="宋体" w:eastAsia="宋体" w:cs="宋体"/>
          <w:sz w:val="24"/>
        </w:rPr>
        <w:t>规模快速扩张</w:t>
      </w:r>
      <w:r>
        <w:rPr>
          <w:rFonts w:hint="eastAsia" w:ascii="宋体" w:hAnsi="宋体" w:eastAsia="宋体" w:cs="宋体"/>
          <w:sz w:val="10"/>
        </w:rPr>
        <w:t>，</w:t>
      </w:r>
      <w:r>
        <w:rPr>
          <w:rFonts w:hint="eastAsia" w:ascii="宋体" w:hAnsi="宋体" w:eastAsia="宋体" w:cs="宋体"/>
          <w:sz w:val="24"/>
        </w:rPr>
        <w:t>并逐步设立了</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家全资或控股子公司</w:t>
      </w:r>
      <w:r>
        <w:rPr>
          <w:rFonts w:hint="eastAsia" w:ascii="宋体" w:hAnsi="宋体" w:eastAsia="宋体" w:cs="宋体"/>
          <w:sz w:val="10"/>
        </w:rPr>
        <w:t>。</w:t>
      </w:r>
      <w:r>
        <w:rPr>
          <w:rFonts w:hint="eastAsia" w:ascii="宋体" w:hAnsi="宋体" w:eastAsia="宋体" w:cs="宋体"/>
          <w:sz w:val="24"/>
        </w:rPr>
        <w:t>快速的发展态势在扩大公司业务覆盖区域</w:t>
      </w:r>
      <w:r>
        <w:rPr>
          <w:rFonts w:hint="eastAsia" w:ascii="宋体" w:hAnsi="宋体" w:eastAsia="宋体" w:cs="宋体"/>
          <w:sz w:val="10"/>
        </w:rPr>
        <w:t>、</w:t>
      </w:r>
      <w:r>
        <w:rPr>
          <w:rFonts w:hint="eastAsia" w:ascii="宋体" w:hAnsi="宋体" w:eastAsia="宋体" w:cs="宋体"/>
          <w:sz w:val="24"/>
        </w:rPr>
        <w:t>提高客户服务质量的同时</w:t>
      </w:r>
      <w:r>
        <w:rPr>
          <w:rFonts w:hint="eastAsia" w:ascii="宋体" w:hAnsi="宋体" w:eastAsia="宋体" w:cs="宋体"/>
          <w:sz w:val="10"/>
        </w:rPr>
        <w:t>，</w:t>
      </w:r>
      <w:r>
        <w:rPr>
          <w:rFonts w:hint="eastAsia" w:ascii="宋体" w:hAnsi="宋体" w:eastAsia="宋体" w:cs="宋体"/>
          <w:sz w:val="24"/>
        </w:rPr>
        <w:t>也对公司管理层的管理与协调能力</w:t>
      </w:r>
      <w:r>
        <w:rPr>
          <w:rFonts w:hint="eastAsia" w:ascii="宋体" w:hAnsi="宋体" w:eastAsia="宋体" w:cs="宋体"/>
          <w:sz w:val="10"/>
        </w:rPr>
        <w:t>，</w:t>
      </w:r>
      <w:r>
        <w:rPr>
          <w:rFonts w:hint="eastAsia" w:ascii="宋体" w:hAnsi="宋体" w:eastAsia="宋体" w:cs="宋体"/>
          <w:sz w:val="24"/>
        </w:rPr>
        <w:t>以及公司在资源整合</w:t>
      </w:r>
      <w:r>
        <w:rPr>
          <w:rFonts w:hint="eastAsia" w:ascii="宋体" w:hAnsi="宋体" w:eastAsia="宋体" w:cs="宋体"/>
          <w:sz w:val="10"/>
        </w:rPr>
        <w:t>、</w:t>
      </w:r>
      <w:r>
        <w:rPr>
          <w:rFonts w:hint="eastAsia" w:ascii="宋体" w:hAnsi="宋体" w:eastAsia="宋体" w:cs="宋体"/>
          <w:sz w:val="24"/>
        </w:rPr>
        <w:t>市场开拓</w:t>
      </w:r>
      <w:r>
        <w:rPr>
          <w:rFonts w:hint="eastAsia" w:ascii="宋体" w:hAnsi="宋体" w:eastAsia="宋体" w:cs="宋体"/>
          <w:sz w:val="10"/>
        </w:rPr>
        <w:t>、</w:t>
      </w:r>
      <w:r>
        <w:rPr>
          <w:rFonts w:hint="eastAsia" w:ascii="宋体" w:hAnsi="宋体" w:eastAsia="宋体" w:cs="宋体"/>
          <w:sz w:val="24"/>
        </w:rPr>
        <w:t>质量管理</w:t>
      </w:r>
      <w:r>
        <w:rPr>
          <w:rFonts w:hint="eastAsia" w:ascii="宋体" w:hAnsi="宋体" w:eastAsia="宋体" w:cs="宋体"/>
          <w:sz w:val="10"/>
        </w:rPr>
        <w:t>、</w:t>
      </w:r>
      <w:r>
        <w:rPr>
          <w:rFonts w:hint="eastAsia" w:ascii="宋体" w:hAnsi="宋体" w:eastAsia="宋体" w:cs="宋体"/>
          <w:sz w:val="24"/>
        </w:rPr>
        <w:t>内部控制等方面的能力提出更高要求</w:t>
      </w:r>
      <w:r>
        <w:rPr>
          <w:rFonts w:hint="eastAsia" w:ascii="宋体" w:hAnsi="宋体" w:eastAsia="宋体" w:cs="宋体"/>
          <w:sz w:val="10"/>
        </w:rPr>
        <w:t>。</w:t>
      </w:r>
      <w:r>
        <w:rPr>
          <w:rFonts w:hint="eastAsia" w:ascii="宋体" w:hAnsi="宋体" w:eastAsia="宋体" w:cs="宋体"/>
          <w:sz w:val="24"/>
        </w:rPr>
        <w:t>如果公司的高级管理人员对市场发展判断不准确</w:t>
      </w:r>
      <w:r>
        <w:rPr>
          <w:rFonts w:hint="eastAsia" w:ascii="宋体" w:hAnsi="宋体" w:eastAsia="宋体" w:cs="宋体"/>
          <w:sz w:val="10"/>
        </w:rPr>
        <w:t>，</w:t>
      </w:r>
      <w:r>
        <w:rPr>
          <w:rFonts w:hint="eastAsia" w:ascii="宋体" w:hAnsi="宋体" w:eastAsia="宋体" w:cs="宋体"/>
          <w:sz w:val="24"/>
        </w:rPr>
        <w:t>不能在现有基础上有效应对在规模扩张过程中出现的问题</w:t>
      </w:r>
      <w:r>
        <w:rPr>
          <w:rFonts w:hint="eastAsia" w:ascii="宋体" w:hAnsi="宋体" w:eastAsia="宋体" w:cs="宋体"/>
          <w:sz w:val="10"/>
        </w:rPr>
        <w:t>，</w:t>
      </w:r>
      <w:r>
        <w:rPr>
          <w:rFonts w:hint="eastAsia" w:ascii="宋体" w:hAnsi="宋体" w:eastAsia="宋体" w:cs="宋体"/>
          <w:sz w:val="24"/>
        </w:rPr>
        <w:t>不能在人力资源及财务管理上进一步完善和改善现有模式</w:t>
      </w:r>
      <w:r>
        <w:rPr>
          <w:rFonts w:hint="eastAsia" w:ascii="宋体" w:hAnsi="宋体" w:eastAsia="宋体" w:cs="宋体"/>
          <w:sz w:val="10"/>
        </w:rPr>
        <w:t>，</w:t>
      </w:r>
      <w:r>
        <w:rPr>
          <w:rFonts w:hint="eastAsia" w:ascii="宋体" w:hAnsi="宋体" w:eastAsia="宋体" w:cs="宋体"/>
          <w:sz w:val="24"/>
        </w:rPr>
        <w:t>公司的管理体系将无法适应经营规模的快速增长</w:t>
      </w:r>
      <w:r>
        <w:rPr>
          <w:rFonts w:hint="eastAsia" w:ascii="宋体" w:hAnsi="宋体" w:eastAsia="宋体" w:cs="宋体"/>
          <w:sz w:val="10"/>
        </w:rPr>
        <w:t>，</w:t>
      </w:r>
      <w:r>
        <w:rPr>
          <w:rFonts w:hint="eastAsia" w:ascii="宋体" w:hAnsi="宋体" w:eastAsia="宋体" w:cs="宋体"/>
          <w:sz w:val="24"/>
        </w:rPr>
        <w:t>这将对公司的未来经营产生不利影响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（二）项目管理的风险</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包括证券公司在内的金融企业客户</w:t>
      </w:r>
      <w:r>
        <w:rPr>
          <w:rFonts w:hint="eastAsia" w:ascii="宋体" w:hAnsi="宋体" w:eastAsia="宋体" w:cs="宋体"/>
          <w:sz w:val="10"/>
        </w:rPr>
        <w:t>，</w:t>
      </w:r>
      <w:r>
        <w:rPr>
          <w:rFonts w:hint="eastAsia" w:ascii="宋体" w:hAnsi="宋体" w:eastAsia="宋体" w:cs="宋体"/>
          <w:sz w:val="24"/>
        </w:rPr>
        <w:t>其各种信息应用系统的开发和实施</w:t>
      </w:r>
      <w:r>
        <w:rPr>
          <w:rFonts w:hint="eastAsia" w:ascii="宋体" w:hAnsi="宋体" w:eastAsia="宋体" w:cs="宋体"/>
          <w:sz w:val="10"/>
        </w:rPr>
        <w:t>，</w:t>
      </w:r>
      <w:r>
        <w:rPr>
          <w:rFonts w:hint="eastAsia" w:ascii="宋体" w:hAnsi="宋体" w:eastAsia="宋体" w:cs="宋体"/>
          <w:sz w:val="24"/>
        </w:rPr>
        <w:t>尤其涉及证券交易的顺利</w:t>
      </w:r>
      <w:r>
        <w:rPr>
          <w:rFonts w:hint="eastAsia" w:ascii="宋体" w:hAnsi="宋体" w:eastAsia="宋体" w:cs="宋体"/>
          <w:sz w:val="10"/>
        </w:rPr>
        <w:t>、</w:t>
      </w:r>
      <w:r>
        <w:rPr>
          <w:rFonts w:hint="eastAsia" w:ascii="宋体" w:hAnsi="宋体" w:eastAsia="宋体" w:cs="宋体"/>
          <w:sz w:val="24"/>
        </w:rPr>
        <w:t>平稳运行</w:t>
      </w:r>
      <w:r>
        <w:rPr>
          <w:rFonts w:hint="eastAsia" w:ascii="宋体" w:hAnsi="宋体" w:eastAsia="宋体" w:cs="宋体"/>
          <w:sz w:val="10"/>
        </w:rPr>
        <w:t>，</w:t>
      </w:r>
      <w:r>
        <w:rPr>
          <w:rFonts w:hint="eastAsia" w:ascii="宋体" w:hAnsi="宋体" w:eastAsia="宋体" w:cs="宋体"/>
          <w:sz w:val="24"/>
        </w:rPr>
        <w:t>是一项复杂的项目管理活动</w:t>
      </w:r>
      <w:r>
        <w:rPr>
          <w:rFonts w:hint="eastAsia" w:ascii="宋体" w:hAnsi="宋体" w:eastAsia="宋体" w:cs="宋体"/>
          <w:sz w:val="10"/>
        </w:rPr>
        <w:t>，</w:t>
      </w:r>
      <w:r>
        <w:rPr>
          <w:rFonts w:hint="eastAsia" w:ascii="宋体" w:hAnsi="宋体" w:eastAsia="宋体" w:cs="宋体"/>
          <w:sz w:val="24"/>
        </w:rPr>
        <w:t>要求有明确的阶段划分</w:t>
      </w:r>
      <w:r>
        <w:rPr>
          <w:rFonts w:hint="eastAsia" w:ascii="宋体" w:hAnsi="宋体" w:eastAsia="宋体" w:cs="宋体"/>
          <w:sz w:val="10"/>
        </w:rPr>
        <w:t>，</w:t>
      </w:r>
      <w:r>
        <w:rPr>
          <w:rFonts w:hint="eastAsia" w:ascii="宋体" w:hAnsi="宋体" w:eastAsia="宋体" w:cs="宋体"/>
          <w:sz w:val="24"/>
        </w:rPr>
        <w:t>并由专职的项目经理和专业的项目团队来完成</w:t>
      </w:r>
      <w:r>
        <w:rPr>
          <w:rFonts w:hint="eastAsia" w:ascii="宋体" w:hAnsi="宋体" w:eastAsia="宋体" w:cs="宋体"/>
          <w:sz w:val="10"/>
        </w:rPr>
        <w:t>。</w:t>
      </w:r>
      <w:r>
        <w:rPr>
          <w:rFonts w:hint="eastAsia" w:ascii="宋体" w:hAnsi="宋体" w:eastAsia="宋体" w:cs="宋体"/>
          <w:sz w:val="24"/>
        </w:rPr>
        <w:t>公司不断探索把握金融行业信息化的发展方向</w:t>
      </w:r>
      <w:r>
        <w:rPr>
          <w:rFonts w:hint="eastAsia" w:ascii="宋体" w:hAnsi="宋体" w:eastAsia="宋体" w:cs="宋体"/>
          <w:sz w:val="10"/>
        </w:rPr>
        <w:t>，</w:t>
      </w:r>
      <w:r>
        <w:rPr>
          <w:rFonts w:hint="eastAsia" w:ascii="宋体" w:hAnsi="宋体" w:eastAsia="宋体" w:cs="宋体"/>
          <w:sz w:val="24"/>
        </w:rPr>
        <w:t>及时进行前瞻性的研究</w:t>
      </w:r>
      <w:r>
        <w:rPr>
          <w:rFonts w:hint="eastAsia" w:ascii="宋体" w:hAnsi="宋体" w:eastAsia="宋体" w:cs="宋体"/>
          <w:sz w:val="10"/>
        </w:rPr>
        <w:t>，</w:t>
      </w:r>
      <w:r>
        <w:rPr>
          <w:rFonts w:hint="eastAsia" w:ascii="宋体" w:hAnsi="宋体" w:eastAsia="宋体" w:cs="宋体"/>
          <w:sz w:val="24"/>
        </w:rPr>
        <w:t>将成熟</w:t>
      </w:r>
      <w:r>
        <w:rPr>
          <w:rFonts w:hint="eastAsia" w:ascii="宋体" w:hAnsi="宋体" w:eastAsia="宋体" w:cs="宋体"/>
          <w:sz w:val="10"/>
        </w:rPr>
        <w:t>、</w:t>
      </w:r>
      <w:r>
        <w:rPr>
          <w:rFonts w:hint="eastAsia" w:ascii="宋体" w:hAnsi="宋体" w:eastAsia="宋体" w:cs="宋体"/>
          <w:sz w:val="24"/>
        </w:rPr>
        <w:t>实用</w:t>
      </w:r>
      <w:r>
        <w:rPr>
          <w:rFonts w:hint="eastAsia" w:ascii="宋体" w:hAnsi="宋体" w:eastAsia="宋体" w:cs="宋体"/>
          <w:sz w:val="10"/>
        </w:rPr>
        <w:t>、</w:t>
      </w:r>
      <w:r>
        <w:rPr>
          <w:rFonts w:hint="eastAsia" w:ascii="宋体" w:hAnsi="宋体" w:eastAsia="宋体" w:cs="宋体"/>
          <w:sz w:val="24"/>
        </w:rPr>
        <w:t>先进的技术应用于自身的设计和研发工作中</w:t>
      </w:r>
      <w:r>
        <w:rPr>
          <w:rFonts w:hint="eastAsia" w:ascii="宋体" w:hAnsi="宋体" w:eastAsia="宋体" w:cs="宋体"/>
          <w:sz w:val="10"/>
        </w:rPr>
        <w:t>，</w:t>
      </w:r>
      <w:r>
        <w:rPr>
          <w:rFonts w:hint="eastAsia" w:ascii="宋体" w:hAnsi="宋体" w:eastAsia="宋体" w:cs="宋体"/>
          <w:sz w:val="24"/>
        </w:rPr>
        <w:t>并将积累的研发成果通过项目的顺利实施转化为一个个成熟的软件产品</w:t>
      </w:r>
      <w:r>
        <w:rPr>
          <w:rFonts w:hint="eastAsia" w:ascii="宋体" w:hAnsi="宋体" w:eastAsia="宋体" w:cs="宋体"/>
          <w:sz w:val="10"/>
        </w:rPr>
        <w:t>。</w:t>
      </w:r>
      <w:r>
        <w:rPr>
          <w:rFonts w:hint="eastAsia" w:ascii="宋体" w:hAnsi="宋体" w:eastAsia="宋体" w:cs="宋体"/>
          <w:sz w:val="24"/>
        </w:rPr>
        <w:t>如果不能有效地开展项目规划</w:t>
      </w:r>
      <w:r>
        <w:rPr>
          <w:rFonts w:hint="eastAsia" w:ascii="宋体" w:hAnsi="宋体" w:eastAsia="宋体" w:cs="宋体"/>
          <w:sz w:val="10"/>
        </w:rPr>
        <w:t>，</w:t>
      </w:r>
      <w:r>
        <w:rPr>
          <w:rFonts w:hint="eastAsia" w:ascii="宋体" w:hAnsi="宋体" w:eastAsia="宋体" w:cs="宋体"/>
          <w:sz w:val="24"/>
        </w:rPr>
        <w:t>组织适当的项目团队进行上述开发和实施活动</w:t>
      </w:r>
      <w:r>
        <w:rPr>
          <w:rFonts w:hint="eastAsia" w:ascii="宋体" w:hAnsi="宋体" w:eastAsia="宋体" w:cs="宋体"/>
          <w:sz w:val="10"/>
        </w:rPr>
        <w:t>，</w:t>
      </w:r>
      <w:r>
        <w:rPr>
          <w:rFonts w:hint="eastAsia" w:ascii="宋体" w:hAnsi="宋体" w:eastAsia="宋体" w:cs="宋体"/>
          <w:sz w:val="24"/>
        </w:rPr>
        <w:t>公司将面临项目失败的风险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（三）人才短缺的风险</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本公司所处的行业处于快速发展的阶段</w:t>
      </w:r>
      <w:r>
        <w:rPr>
          <w:rFonts w:hint="eastAsia" w:ascii="宋体" w:hAnsi="宋体" w:eastAsia="宋体" w:cs="宋体"/>
          <w:sz w:val="10"/>
        </w:rPr>
        <w:t>，</w:t>
      </w:r>
      <w:r>
        <w:rPr>
          <w:rFonts w:hint="eastAsia" w:ascii="宋体" w:hAnsi="宋体" w:eastAsia="宋体" w:cs="宋体"/>
          <w:sz w:val="24"/>
        </w:rPr>
        <w:t>对技术人才和管理人员的需求较</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60"/>
        <w:jc w:val="both"/>
      </w:pPr>
      <w:r>
        <w:rPr>
          <w:rFonts w:hint="eastAsia" w:ascii="Times New Roman" w:hAnsi="Times New Roman" w:eastAsia="Times New Roman" w:cs="Times New Roman"/>
          <w:sz w:val="21"/>
        </w:rPr>
        <w:t>1-1-41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大</w:t>
      </w:r>
      <w:r>
        <w:rPr>
          <w:rFonts w:hint="eastAsia" w:ascii="宋体" w:hAnsi="宋体" w:eastAsia="宋体" w:cs="宋体"/>
          <w:sz w:val="10"/>
        </w:rPr>
        <w:t>，</w:t>
      </w:r>
      <w:r>
        <w:rPr>
          <w:rFonts w:hint="eastAsia" w:ascii="宋体" w:hAnsi="宋体" w:eastAsia="宋体" w:cs="宋体"/>
          <w:sz w:val="24"/>
        </w:rPr>
        <w:t>因此核心技术人才和关键管理人员对本公司的发展至关重要</w:t>
      </w:r>
      <w:r>
        <w:rPr>
          <w:rFonts w:hint="eastAsia" w:ascii="宋体" w:hAnsi="宋体" w:eastAsia="宋体" w:cs="宋体"/>
          <w:sz w:val="10"/>
        </w:rPr>
        <w:t>。</w:t>
      </w:r>
      <w:r>
        <w:rPr>
          <w:rFonts w:hint="eastAsia" w:ascii="宋体" w:hAnsi="宋体" w:eastAsia="宋体" w:cs="宋体"/>
          <w:sz w:val="24"/>
        </w:rPr>
        <w:t>本公司已拥有一支较强的管理和技术团队</w:t>
      </w:r>
      <w:r>
        <w:rPr>
          <w:rFonts w:hint="eastAsia" w:ascii="宋体" w:hAnsi="宋体" w:eastAsia="宋体" w:cs="宋体"/>
          <w:sz w:val="10"/>
        </w:rPr>
        <w:t>，</w:t>
      </w:r>
      <w:r>
        <w:rPr>
          <w:rFonts w:hint="eastAsia" w:ascii="宋体" w:hAnsi="宋体" w:eastAsia="宋体" w:cs="宋体"/>
          <w:sz w:val="24"/>
        </w:rPr>
        <w:t>在产品研究</w:t>
      </w:r>
      <w:r>
        <w:rPr>
          <w:rFonts w:hint="eastAsia" w:ascii="宋体" w:hAnsi="宋体" w:eastAsia="宋体" w:cs="宋体"/>
          <w:sz w:val="10"/>
        </w:rPr>
        <w:t>、</w:t>
      </w:r>
      <w:r>
        <w:rPr>
          <w:rFonts w:hint="eastAsia" w:ascii="宋体" w:hAnsi="宋体" w:eastAsia="宋体" w:cs="宋体"/>
          <w:sz w:val="24"/>
        </w:rPr>
        <w:t>市场拓展和客户维护等方面拥有较强的管理能力</w:t>
      </w:r>
      <w:r>
        <w:rPr>
          <w:rFonts w:hint="eastAsia" w:ascii="宋体" w:hAnsi="宋体" w:eastAsia="宋体" w:cs="宋体"/>
          <w:sz w:val="10"/>
        </w:rPr>
        <w:t>，</w:t>
      </w:r>
      <w:r>
        <w:rPr>
          <w:rFonts w:hint="eastAsia" w:ascii="宋体" w:hAnsi="宋体" w:eastAsia="宋体" w:cs="宋体"/>
          <w:sz w:val="24"/>
        </w:rPr>
        <w:t>但如果公司不能持续吸引优秀的技术和管理人才或者核心人才大量流失</w:t>
      </w:r>
      <w:r>
        <w:rPr>
          <w:rFonts w:hint="eastAsia" w:ascii="宋体" w:hAnsi="宋体" w:eastAsia="宋体" w:cs="宋体"/>
          <w:sz w:val="10"/>
        </w:rPr>
        <w:t>，</w:t>
      </w:r>
      <w:r>
        <w:rPr>
          <w:rFonts w:hint="eastAsia" w:ascii="宋体" w:hAnsi="宋体" w:eastAsia="宋体" w:cs="宋体"/>
          <w:sz w:val="24"/>
        </w:rPr>
        <w:t>则将会对公司未来发展造成不利影响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（四）公司经营业绩存在季节性波动的风险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公司客户主要分布于证券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电子交易市场</w:t>
      </w:r>
      <w:r>
        <w:rPr>
          <w:rFonts w:hint="eastAsia" w:ascii="宋体" w:hAnsi="宋体" w:eastAsia="宋体" w:cs="宋体"/>
          <w:sz w:val="10"/>
        </w:rPr>
        <w:t>、</w:t>
      </w:r>
      <w:r>
        <w:rPr>
          <w:rFonts w:hint="eastAsia" w:ascii="宋体" w:hAnsi="宋体" w:eastAsia="宋体" w:cs="宋体"/>
          <w:sz w:val="24"/>
        </w:rPr>
        <w:t>银行等多个行业</w:t>
      </w:r>
      <w:r>
        <w:rPr>
          <w:rFonts w:hint="eastAsia" w:ascii="宋体" w:hAnsi="宋体" w:eastAsia="宋体" w:cs="宋体"/>
          <w:sz w:val="10"/>
        </w:rPr>
        <w:t>，</w:t>
      </w:r>
      <w:r>
        <w:rPr>
          <w:rFonts w:hint="eastAsia" w:ascii="宋体" w:hAnsi="宋体" w:eastAsia="宋体" w:cs="宋体"/>
          <w:sz w:val="24"/>
        </w:rPr>
        <w:t>基于其预算管理制度的特点</w:t>
      </w:r>
      <w:r>
        <w:rPr>
          <w:rFonts w:hint="eastAsia" w:ascii="宋体" w:hAnsi="宋体" w:eastAsia="宋体" w:cs="宋体"/>
          <w:sz w:val="10"/>
        </w:rPr>
        <w:t>，</w:t>
      </w:r>
      <w:r>
        <w:rPr>
          <w:rFonts w:hint="eastAsia" w:ascii="宋体" w:hAnsi="宋体" w:eastAsia="宋体" w:cs="宋体"/>
          <w:sz w:val="24"/>
        </w:rPr>
        <w:t>通常在每年年底编制下一年</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预算</w:t>
      </w:r>
      <w:r>
        <w:rPr>
          <w:rFonts w:hint="eastAsia" w:ascii="宋体" w:hAnsi="宋体" w:eastAsia="宋体" w:cs="宋体"/>
          <w:sz w:val="10"/>
        </w:rPr>
        <w:t>，</w:t>
      </w:r>
      <w:r>
        <w:rPr>
          <w:rFonts w:hint="eastAsia" w:ascii="宋体" w:hAnsi="宋体" w:eastAsia="宋体" w:cs="宋体"/>
          <w:sz w:val="24"/>
        </w:rPr>
        <w:t>次年上半年启动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right="1620"/>
        <w:jc w:val="both"/>
      </w:pPr>
      <w:r>
        <w:rPr>
          <w:rFonts w:hint="eastAsia" w:ascii="宋体" w:hAnsi="宋体" w:eastAsia="宋体" w:cs="宋体"/>
          <w:sz w:val="24"/>
        </w:rPr>
        <w:t>公司的营业收入也会根据客户的预算实施情况呈现季节性波动</w:t>
      </w:r>
      <w:r>
        <w:rPr>
          <w:rFonts w:hint="eastAsia" w:ascii="宋体" w:hAnsi="宋体" w:eastAsia="宋体" w:cs="宋体"/>
          <w:sz w:val="10"/>
        </w:rPr>
        <w:t>，</w:t>
      </w:r>
      <w:r>
        <w:rPr>
          <w:rFonts w:hint="eastAsia" w:ascii="宋体" w:hAnsi="宋体" w:eastAsia="宋体" w:cs="宋体"/>
          <w:sz w:val="24"/>
        </w:rPr>
        <w:t>即收入较为集中在第四季度</w:t>
      </w:r>
      <w:r>
        <w:rPr>
          <w:rFonts w:hint="eastAsia" w:ascii="宋体" w:hAnsi="宋体" w:eastAsia="宋体" w:cs="宋体"/>
          <w:sz w:val="10"/>
        </w:rPr>
        <w:t>，</w:t>
      </w:r>
      <w:r>
        <w:rPr>
          <w:rFonts w:hint="eastAsia" w:ascii="宋体" w:hAnsi="宋体" w:eastAsia="宋体" w:cs="宋体"/>
          <w:sz w:val="24"/>
        </w:rPr>
        <w:t>全年呈上升趋势</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发行人第四季度销售收入占全年营业收入的比重分别为</w:t>
      </w:r>
      <w:r>
        <w:rPr>
          <w:rFonts w:hint="eastAsia" w:ascii="Times New Roman" w:hAnsi="Times New Roman" w:eastAsia="Times New Roman" w:cs="Times New Roman"/>
          <w:sz w:val="24"/>
        </w:rPr>
        <w:t xml:space="preserve"> 56.71%</w:t>
      </w:r>
      <w:r>
        <w:rPr>
          <w:rFonts w:hint="eastAsia" w:ascii="宋体" w:hAnsi="宋体" w:eastAsia="宋体" w:cs="宋体"/>
          <w:sz w:val="10"/>
        </w:rPr>
        <w:t>、</w:t>
      </w:r>
      <w:r>
        <w:rPr>
          <w:rFonts w:hint="eastAsia" w:ascii="Times New Roman" w:hAnsi="Times New Roman" w:eastAsia="Times New Roman" w:cs="Times New Roman"/>
          <w:sz w:val="24"/>
        </w:rPr>
        <w:t>48.54%</w:t>
      </w:r>
      <w:r>
        <w:rPr>
          <w:rFonts w:hint="eastAsia" w:ascii="宋体" w:hAnsi="宋体" w:eastAsia="宋体" w:cs="宋体"/>
          <w:sz w:val="24"/>
        </w:rPr>
        <w:t>及</w:t>
      </w:r>
      <w:r>
        <w:rPr>
          <w:rFonts w:hint="eastAsia" w:ascii="Times New Roman" w:hAnsi="Times New Roman" w:eastAsia="Times New Roman" w:cs="Times New Roman"/>
          <w:sz w:val="24"/>
        </w:rPr>
        <w:t xml:space="preserve"> 53.02%</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公司的销售在年度内不均衡</w:t>
      </w:r>
      <w:r>
        <w:rPr>
          <w:rFonts w:hint="eastAsia" w:ascii="宋体" w:hAnsi="宋体" w:eastAsia="宋体" w:cs="宋体"/>
          <w:sz w:val="10"/>
        </w:rPr>
        <w:t>，</w:t>
      </w:r>
      <w:r>
        <w:rPr>
          <w:rFonts w:hint="eastAsia" w:ascii="宋体" w:hAnsi="宋体" w:eastAsia="宋体" w:cs="宋体"/>
          <w:sz w:val="24"/>
        </w:rPr>
        <w:t>公司的经营业绩存在</w:t>
      </w:r>
      <w:r>
        <w:rPr>
          <w:rFonts w:hint="eastAsia" w:ascii="宋体" w:hAnsi="宋体" w:eastAsia="宋体" w:cs="宋体"/>
          <w:sz w:val="10"/>
        </w:rPr>
        <w:t>一</w:t>
      </w:r>
      <w:r>
        <w:rPr>
          <w:rFonts w:hint="eastAsia" w:ascii="宋体" w:hAnsi="宋体" w:eastAsia="宋体" w:cs="宋体"/>
          <w:sz w:val="24"/>
        </w:rPr>
        <w:t>定的季节性波动风险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五</w:t>
      </w:r>
      <w:r>
        <w:rPr>
          <w:rFonts w:hint="eastAsia" w:ascii="ºÚÌå" w:hAnsi="ºÚÌå" w:eastAsia="ºÚÌå" w:cs="ºÚÌå"/>
          <w:sz w:val="10"/>
        </w:rPr>
        <w:t>、</w:t>
      </w:r>
      <w:r>
        <w:rPr>
          <w:rFonts w:hint="eastAsia" w:ascii="ºÚÌå" w:hAnsi="ºÚÌå" w:eastAsia="ºÚÌå" w:cs="ºÚÌå"/>
          <w:sz w:val="30"/>
        </w:rPr>
        <w:t>募集资金投资项目相关风险</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募集资金项目未能实现预期效益的风险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本次募集资金投资项目总投资额为</w:t>
      </w:r>
      <w:r>
        <w:rPr>
          <w:rFonts w:hint="eastAsia" w:ascii="Times New Roman" w:hAnsi="Times New Roman" w:eastAsia="Times New Roman" w:cs="Times New Roman"/>
          <w:sz w:val="24"/>
        </w:rPr>
        <w:t xml:space="preserve"> 44,151.10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使用募集资金投入</w:t>
      </w:r>
      <w:r>
        <w:rPr>
          <w:rFonts w:hint="eastAsia" w:ascii="Times New Roman" w:hAnsi="Times New Roman" w:eastAsia="Times New Roman" w:cs="Times New Roman"/>
          <w:sz w:val="24"/>
        </w:rPr>
        <w:t>36,243.44</w:t>
      </w:r>
      <w:r>
        <w:rPr>
          <w:rFonts w:hint="eastAsia" w:ascii="宋体" w:hAnsi="宋体" w:eastAsia="宋体" w:cs="宋体"/>
          <w:sz w:val="24"/>
        </w:rPr>
        <w:t xml:space="preserve"> 万元分别用于基于新一代</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的平台及产品升级项目</w:t>
      </w:r>
      <w:r>
        <w:rPr>
          <w:rFonts w:hint="eastAsia" w:ascii="宋体" w:hAnsi="宋体" w:eastAsia="宋体" w:cs="宋体"/>
          <w:sz w:val="10"/>
        </w:rPr>
        <w:t>、</w:t>
      </w:r>
      <w:r>
        <w:rPr>
          <w:rFonts w:hint="eastAsia" w:ascii="宋体" w:hAnsi="宋体" w:eastAsia="宋体" w:cs="宋体"/>
          <w:sz w:val="24"/>
        </w:rPr>
        <w:t>金融行业互联网化应用解决方案项目</w:t>
      </w:r>
      <w:r>
        <w:rPr>
          <w:rFonts w:hint="eastAsia" w:ascii="宋体" w:hAnsi="宋体" w:eastAsia="宋体" w:cs="宋体"/>
          <w:sz w:val="10"/>
        </w:rPr>
        <w:t>、</w:t>
      </w:r>
      <w:r>
        <w:rPr>
          <w:rFonts w:hint="eastAsia" w:ascii="宋体" w:hAnsi="宋体" w:eastAsia="宋体" w:cs="宋体"/>
          <w:sz w:val="24"/>
        </w:rPr>
        <w:t>流程券商（含期货）解决方案项目</w:t>
      </w:r>
      <w:r>
        <w:rPr>
          <w:rFonts w:hint="eastAsia" w:ascii="宋体" w:hAnsi="宋体" w:eastAsia="宋体" w:cs="宋体"/>
          <w:sz w:val="10"/>
        </w:rPr>
        <w:t>、</w:t>
      </w:r>
      <w:r>
        <w:rPr>
          <w:rFonts w:hint="eastAsia" w:ascii="宋体" w:hAnsi="宋体" w:eastAsia="宋体" w:cs="宋体"/>
          <w:sz w:val="24"/>
        </w:rPr>
        <w:t>新一代电子交易市场业务支撑系统项目</w:t>
      </w:r>
      <w:r>
        <w:rPr>
          <w:rFonts w:hint="eastAsia" w:ascii="宋体" w:hAnsi="宋体" w:eastAsia="宋体" w:cs="宋体"/>
          <w:sz w:val="10"/>
        </w:rPr>
        <w:t>、</w:t>
      </w:r>
      <w:r>
        <w:rPr>
          <w:rFonts w:hint="eastAsia" w:ascii="宋体" w:hAnsi="宋体" w:eastAsia="宋体" w:cs="宋体"/>
          <w:sz w:val="24"/>
        </w:rPr>
        <w:t>研发中心建设项目</w:t>
      </w:r>
      <w:r>
        <w:rPr>
          <w:rFonts w:hint="eastAsia" w:ascii="宋体" w:hAnsi="宋体" w:eastAsia="宋体" w:cs="宋体"/>
          <w:sz w:val="10"/>
        </w:rPr>
        <w:t>。</w:t>
      </w:r>
      <w:r>
        <w:rPr>
          <w:rFonts w:hint="eastAsia" w:ascii="宋体" w:hAnsi="宋体" w:eastAsia="宋体" w:cs="宋体"/>
          <w:sz w:val="24"/>
        </w:rPr>
        <w:t>上述项目均属于公司主营业务</w:t>
      </w:r>
      <w:r>
        <w:rPr>
          <w:rFonts w:hint="eastAsia" w:ascii="宋体" w:hAnsi="宋体" w:eastAsia="宋体" w:cs="宋体"/>
          <w:sz w:val="10"/>
        </w:rPr>
        <w:t>，</w:t>
      </w:r>
      <w:r>
        <w:rPr>
          <w:rFonts w:hint="eastAsia" w:ascii="宋体" w:hAnsi="宋体" w:eastAsia="宋体" w:cs="宋体"/>
          <w:sz w:val="24"/>
        </w:rPr>
        <w:t>符合公司发展战略</w:t>
      </w:r>
      <w:r>
        <w:rPr>
          <w:rFonts w:hint="eastAsia" w:ascii="宋体" w:hAnsi="宋体" w:eastAsia="宋体" w:cs="宋体"/>
          <w:sz w:val="10"/>
        </w:rPr>
        <w:t>。</w:t>
      </w:r>
      <w:r>
        <w:rPr>
          <w:rFonts w:hint="eastAsia" w:ascii="宋体" w:hAnsi="宋体" w:eastAsia="宋体" w:cs="宋体"/>
          <w:sz w:val="24"/>
        </w:rPr>
        <w:t>虽然公司对募集资金投资项目进行了充分的可行性论证</w:t>
      </w:r>
      <w:r>
        <w:rPr>
          <w:rFonts w:hint="eastAsia" w:ascii="宋体" w:hAnsi="宋体" w:eastAsia="宋体" w:cs="宋体"/>
          <w:sz w:val="10"/>
        </w:rPr>
        <w:t>，</w:t>
      </w:r>
      <w:r>
        <w:rPr>
          <w:rFonts w:hint="eastAsia" w:ascii="宋体" w:hAnsi="宋体" w:eastAsia="宋体" w:cs="宋体"/>
          <w:sz w:val="24"/>
        </w:rPr>
        <w:t>但由于该等项目投资金额较大</w:t>
      </w:r>
      <w:r>
        <w:rPr>
          <w:rFonts w:hint="eastAsia" w:ascii="宋体" w:hAnsi="宋体" w:eastAsia="宋体" w:cs="宋体"/>
          <w:sz w:val="10"/>
        </w:rPr>
        <w:t>，</w:t>
      </w:r>
      <w:r>
        <w:rPr>
          <w:rFonts w:hint="eastAsia" w:ascii="宋体" w:hAnsi="宋体" w:eastAsia="宋体" w:cs="宋体"/>
          <w:sz w:val="24"/>
        </w:rPr>
        <w:t>如果出现募集资金投资项目实施组织管理不力</w:t>
      </w:r>
      <w:r>
        <w:rPr>
          <w:rFonts w:hint="eastAsia" w:ascii="宋体" w:hAnsi="宋体" w:eastAsia="宋体" w:cs="宋体"/>
          <w:sz w:val="10"/>
        </w:rPr>
        <w:t>、</w:t>
      </w:r>
      <w:r>
        <w:rPr>
          <w:rFonts w:hint="eastAsia" w:ascii="宋体" w:hAnsi="宋体" w:eastAsia="宋体" w:cs="宋体"/>
          <w:sz w:val="24"/>
        </w:rPr>
        <w:t>募集资金投资项目不能按计划进展</w:t>
      </w:r>
      <w:r>
        <w:rPr>
          <w:rFonts w:hint="eastAsia" w:ascii="宋体" w:hAnsi="宋体" w:eastAsia="宋体" w:cs="宋体"/>
          <w:sz w:val="10"/>
        </w:rPr>
        <w:t>、</w:t>
      </w:r>
      <w:r>
        <w:rPr>
          <w:rFonts w:hint="eastAsia" w:ascii="宋体" w:hAnsi="宋体" w:eastAsia="宋体" w:cs="宋体"/>
          <w:sz w:val="24"/>
        </w:rPr>
        <w:t>募集资金投资项目实施过程中市场环境发生重大变化或市场拓展不理想等情况</w:t>
      </w:r>
      <w:r>
        <w:rPr>
          <w:rFonts w:hint="eastAsia" w:ascii="宋体" w:hAnsi="宋体" w:eastAsia="宋体" w:cs="宋体"/>
          <w:sz w:val="10"/>
        </w:rPr>
        <w:t>，</w:t>
      </w:r>
      <w:r>
        <w:rPr>
          <w:rFonts w:hint="eastAsia" w:ascii="宋体" w:hAnsi="宋体" w:eastAsia="宋体" w:cs="宋体"/>
          <w:sz w:val="24"/>
        </w:rPr>
        <w:t>募集资金将难以给公司带来预期的效益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（二）费用支出</w:t>
      </w:r>
      <w:r>
        <w:rPr>
          <w:rFonts w:hint="eastAsia" w:ascii="宋体" w:hAnsi="宋体" w:eastAsia="宋体" w:cs="宋体"/>
          <w:b/>
          <w:sz w:val="10"/>
        </w:rPr>
        <w:t>、</w:t>
      </w:r>
      <w:r>
        <w:rPr>
          <w:rFonts w:hint="eastAsia" w:ascii="宋体" w:hAnsi="宋体" w:eastAsia="宋体" w:cs="宋体"/>
          <w:b/>
          <w:sz w:val="24"/>
        </w:rPr>
        <w:t>折旧及摊销增加可能影响公司盈利水平的风险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本次发行募集资金投资项目投资期限均在</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个月以内</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固定资产及无形资产投资金额为</w:t>
      </w:r>
      <w:r>
        <w:rPr>
          <w:rFonts w:hint="eastAsia" w:ascii="Times New Roman" w:hAnsi="Times New Roman" w:eastAsia="Times New Roman" w:cs="Times New Roman"/>
          <w:sz w:val="24"/>
        </w:rPr>
        <w:t xml:space="preserve"> 25,392.82</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技术开发支出总计</w:t>
      </w:r>
      <w:r>
        <w:rPr>
          <w:rFonts w:hint="eastAsia" w:ascii="Times New Roman" w:hAnsi="Times New Roman" w:eastAsia="Times New Roman" w:cs="Times New Roman"/>
          <w:sz w:val="24"/>
        </w:rPr>
        <w:t xml:space="preserve"> 12,421.60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固定资产及无形资产按照公司折旧及摊销政策进行折旧和摊销</w:t>
      </w:r>
      <w:r>
        <w:rPr>
          <w:rFonts w:hint="eastAsia" w:ascii="宋体" w:hAnsi="宋体" w:eastAsia="宋体" w:cs="宋体"/>
          <w:sz w:val="10"/>
        </w:rPr>
        <w:t>，</w:t>
      </w:r>
      <w:r>
        <w:rPr>
          <w:rFonts w:hint="eastAsia" w:ascii="宋体" w:hAnsi="宋体" w:eastAsia="宋体" w:cs="宋体"/>
          <w:sz w:val="24"/>
        </w:rPr>
        <w:t>技术开发支出于发生当年计入当期的成本费用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1-1-42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根据项目预计安排</w:t>
      </w:r>
      <w:r>
        <w:rPr>
          <w:rFonts w:hint="eastAsia" w:ascii="宋体" w:hAnsi="宋体" w:eastAsia="宋体" w:cs="宋体"/>
          <w:sz w:val="10"/>
        </w:rPr>
        <w:t>，</w:t>
      </w:r>
      <w:r>
        <w:rPr>
          <w:rFonts w:hint="eastAsia" w:ascii="宋体" w:hAnsi="宋体" w:eastAsia="宋体" w:cs="宋体"/>
          <w:sz w:val="24"/>
        </w:rPr>
        <w:t>募集资金投资项目投资的第一年和第二年的折旧</w:t>
      </w:r>
      <w:r>
        <w:rPr>
          <w:rFonts w:hint="eastAsia" w:ascii="宋体" w:hAnsi="宋体" w:eastAsia="宋体" w:cs="宋体"/>
          <w:sz w:val="10"/>
        </w:rPr>
        <w:t>、</w:t>
      </w:r>
      <w:r>
        <w:rPr>
          <w:rFonts w:hint="eastAsia" w:ascii="宋体" w:hAnsi="宋体" w:eastAsia="宋体" w:cs="宋体"/>
          <w:sz w:val="24"/>
        </w:rPr>
        <w:t>摊销及技术开发支出总计分别达到</w:t>
      </w:r>
      <w:r>
        <w:rPr>
          <w:rFonts w:hint="eastAsia" w:ascii="Times New Roman" w:hAnsi="Times New Roman" w:eastAsia="Times New Roman" w:cs="Times New Roman"/>
          <w:sz w:val="24"/>
        </w:rPr>
        <w:t xml:space="preserve"> 11,149.05</w:t>
      </w:r>
      <w:r>
        <w:rPr>
          <w:rFonts w:hint="eastAsia" w:ascii="宋体" w:hAnsi="宋体" w:eastAsia="宋体" w:cs="宋体"/>
          <w:sz w:val="24"/>
        </w:rPr>
        <w:t xml:space="preserve"> 万元和</w:t>
      </w:r>
      <w:r>
        <w:rPr>
          <w:rFonts w:hint="eastAsia" w:ascii="Times New Roman" w:hAnsi="Times New Roman" w:eastAsia="Times New Roman" w:cs="Times New Roman"/>
          <w:sz w:val="24"/>
        </w:rPr>
        <w:t xml:space="preserve"> 8,252.83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第三年开始募集资金投资项目无技术开发支出</w:t>
      </w:r>
      <w:r>
        <w:rPr>
          <w:rFonts w:hint="eastAsia" w:ascii="宋体" w:hAnsi="宋体" w:eastAsia="宋体" w:cs="宋体"/>
          <w:sz w:val="10"/>
        </w:rPr>
        <w:t>，</w:t>
      </w:r>
      <w:r>
        <w:rPr>
          <w:rFonts w:hint="eastAsia" w:ascii="宋体" w:hAnsi="宋体" w:eastAsia="宋体" w:cs="宋体"/>
          <w:sz w:val="24"/>
        </w:rPr>
        <w:t>每年新增固定资产折旧和无形资产摊销约</w:t>
      </w:r>
      <w:r>
        <w:rPr>
          <w:rFonts w:hint="eastAsia" w:ascii="Times New Roman" w:hAnsi="Times New Roman" w:eastAsia="Times New Roman" w:cs="Times New Roman"/>
          <w:sz w:val="24"/>
        </w:rPr>
        <w:t>2,551.13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上述折旧</w:t>
      </w:r>
      <w:r>
        <w:rPr>
          <w:rFonts w:hint="eastAsia" w:ascii="宋体" w:hAnsi="宋体" w:eastAsia="宋体" w:cs="宋体"/>
          <w:sz w:val="10"/>
        </w:rPr>
        <w:t>、</w:t>
      </w:r>
      <w:r>
        <w:rPr>
          <w:rFonts w:hint="eastAsia" w:ascii="宋体" w:hAnsi="宋体" w:eastAsia="宋体" w:cs="宋体"/>
          <w:sz w:val="24"/>
        </w:rPr>
        <w:t>摊销及技术开发支出将使相应年度的成本费用有一定程度的增加</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580" w:firstLine="480"/>
        <w:jc w:val="both"/>
      </w:pPr>
      <w:r>
        <w:rPr>
          <w:rFonts w:hint="eastAsia" w:ascii="宋体" w:hAnsi="宋体" w:eastAsia="宋体" w:cs="宋体"/>
          <w:sz w:val="24"/>
        </w:rPr>
        <w:t>由于募投项目均围绕公司主营业务进一步提升公司竞争能力</w:t>
      </w:r>
      <w:r>
        <w:rPr>
          <w:rFonts w:hint="eastAsia" w:ascii="宋体" w:hAnsi="宋体" w:eastAsia="宋体" w:cs="宋体"/>
          <w:sz w:val="10"/>
        </w:rPr>
        <w:t>，</w:t>
      </w:r>
      <w:r>
        <w:rPr>
          <w:rFonts w:hint="eastAsia" w:ascii="宋体" w:hAnsi="宋体" w:eastAsia="宋体" w:cs="宋体"/>
          <w:sz w:val="24"/>
        </w:rPr>
        <w:t>项目实施后将产生良好的经济效益</w:t>
      </w:r>
      <w:r>
        <w:rPr>
          <w:rFonts w:hint="eastAsia" w:ascii="宋体" w:hAnsi="宋体" w:eastAsia="宋体" w:cs="宋体"/>
          <w:sz w:val="10"/>
        </w:rPr>
        <w:t>，</w:t>
      </w:r>
      <w:r>
        <w:rPr>
          <w:rFonts w:hint="eastAsia" w:ascii="宋体" w:hAnsi="宋体" w:eastAsia="宋体" w:cs="宋体"/>
          <w:sz w:val="24"/>
        </w:rPr>
        <w:t>新增固定资产折旧及研发支出对公司经营成果的影响将逐步减小</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包括证券行业信息化在内的金融行业信息化领域</w:t>
      </w:r>
      <w:r>
        <w:rPr>
          <w:rFonts w:hint="eastAsia" w:ascii="宋体" w:hAnsi="宋体" w:eastAsia="宋体" w:cs="宋体"/>
          <w:sz w:val="10"/>
        </w:rPr>
        <w:t>，</w:t>
      </w:r>
      <w:r>
        <w:rPr>
          <w:rFonts w:hint="eastAsia" w:ascii="宋体" w:hAnsi="宋体" w:eastAsia="宋体" w:cs="宋体"/>
          <w:sz w:val="24"/>
        </w:rPr>
        <w:t>正面临</w:t>
      </w:r>
      <w:r>
        <w:rPr>
          <w:rFonts w:hint="eastAsia" w:ascii="宋体" w:hAnsi="宋体" w:eastAsia="宋体" w:cs="宋体"/>
          <w:sz w:val="10"/>
        </w:rPr>
        <w:t>一</w:t>
      </w:r>
      <w:r>
        <w:rPr>
          <w:rFonts w:hint="eastAsia" w:ascii="宋体" w:hAnsi="宋体" w:eastAsia="宋体" w:cs="宋体"/>
          <w:sz w:val="24"/>
        </w:rPr>
        <w:t>个快速发展的阶段</w:t>
      </w:r>
      <w:r>
        <w:rPr>
          <w:rFonts w:hint="eastAsia" w:ascii="宋体" w:hAnsi="宋体" w:eastAsia="宋体" w:cs="宋体"/>
          <w:sz w:val="10"/>
        </w:rPr>
        <w:t>，</w:t>
      </w:r>
      <w:r>
        <w:rPr>
          <w:rFonts w:hint="eastAsia" w:ascii="宋体" w:hAnsi="宋体" w:eastAsia="宋体" w:cs="宋体"/>
          <w:sz w:val="24"/>
        </w:rPr>
        <w:t>本公司预计未来几年营业收入将保持稳步增长</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募集资金投资项目中</w:t>
      </w:r>
      <w:r>
        <w:rPr>
          <w:rFonts w:hint="eastAsia" w:ascii="宋体" w:hAnsi="宋体" w:eastAsia="宋体" w:cs="宋体"/>
          <w:sz w:val="10"/>
        </w:rPr>
        <w:t>，</w:t>
      </w:r>
      <w:r>
        <w:rPr>
          <w:rFonts w:hint="eastAsia" w:ascii="宋体" w:hAnsi="宋体" w:eastAsia="宋体" w:cs="宋体"/>
          <w:sz w:val="24"/>
        </w:rPr>
        <w:t>除研发中心建设项目外的其他四个投资项目</w:t>
      </w:r>
      <w:r>
        <w:rPr>
          <w:rFonts w:hint="eastAsia" w:ascii="宋体" w:hAnsi="宋体" w:eastAsia="宋体" w:cs="宋体"/>
          <w:sz w:val="10"/>
        </w:rPr>
        <w:t>，</w:t>
      </w:r>
      <w:r>
        <w:rPr>
          <w:rFonts w:hint="eastAsia" w:ascii="宋体" w:hAnsi="宋体" w:eastAsia="宋体" w:cs="宋体"/>
          <w:sz w:val="24"/>
        </w:rPr>
        <w:t>投资第一年即可产生效益</w:t>
      </w:r>
      <w:r>
        <w:rPr>
          <w:rFonts w:hint="eastAsia" w:ascii="宋体" w:hAnsi="宋体" w:eastAsia="宋体" w:cs="宋体"/>
          <w:sz w:val="10"/>
        </w:rPr>
        <w:t>，</w:t>
      </w:r>
      <w:r>
        <w:rPr>
          <w:rFonts w:hint="eastAsia" w:ascii="宋体" w:hAnsi="宋体" w:eastAsia="宋体" w:cs="宋体"/>
          <w:sz w:val="24"/>
        </w:rPr>
        <w:t>上述四个项目在募集资金投资第一年和第二年的预计收入合计分别为</w:t>
      </w:r>
      <w:r>
        <w:rPr>
          <w:rFonts w:hint="eastAsia" w:ascii="Times New Roman" w:hAnsi="Times New Roman" w:eastAsia="Times New Roman" w:cs="Times New Roman"/>
          <w:sz w:val="24"/>
        </w:rPr>
        <w:t xml:space="preserve"> 2.44</w:t>
      </w:r>
      <w:r>
        <w:rPr>
          <w:rFonts w:hint="eastAsia" w:ascii="宋体" w:hAnsi="宋体" w:eastAsia="宋体" w:cs="宋体"/>
          <w:sz w:val="24"/>
        </w:rPr>
        <w:t>亿元和</w:t>
      </w:r>
      <w:r>
        <w:rPr>
          <w:rFonts w:hint="eastAsia" w:ascii="Times New Roman" w:hAnsi="Times New Roman" w:eastAsia="Times New Roman" w:cs="Times New Roman"/>
          <w:sz w:val="24"/>
        </w:rPr>
        <w:t xml:space="preserve"> 3.52</w:t>
      </w:r>
      <w:r>
        <w:rPr>
          <w:rFonts w:hint="eastAsia" w:ascii="宋体" w:hAnsi="宋体" w:eastAsia="宋体" w:cs="宋体"/>
          <w:sz w:val="24"/>
        </w:rPr>
        <w:t xml:space="preserve"> 亿元</w:t>
      </w:r>
      <w:r>
        <w:rPr>
          <w:rFonts w:hint="eastAsia" w:ascii="宋体" w:hAnsi="宋体" w:eastAsia="宋体" w:cs="宋体"/>
          <w:sz w:val="10"/>
        </w:rPr>
        <w:t>，</w:t>
      </w:r>
      <w:r>
        <w:rPr>
          <w:rFonts w:hint="eastAsia" w:ascii="宋体" w:hAnsi="宋体" w:eastAsia="宋体" w:cs="宋体"/>
          <w:sz w:val="24"/>
        </w:rPr>
        <w:t>扣除折旧</w:t>
      </w:r>
      <w:r>
        <w:rPr>
          <w:rFonts w:hint="eastAsia" w:ascii="宋体" w:hAnsi="宋体" w:eastAsia="宋体" w:cs="宋体"/>
          <w:sz w:val="10"/>
        </w:rPr>
        <w:t>、</w:t>
      </w:r>
      <w:r>
        <w:rPr>
          <w:rFonts w:hint="eastAsia" w:ascii="宋体" w:hAnsi="宋体" w:eastAsia="宋体" w:cs="宋体"/>
          <w:sz w:val="24"/>
        </w:rPr>
        <w:t>摊销</w:t>
      </w:r>
      <w:r>
        <w:rPr>
          <w:rFonts w:hint="eastAsia" w:ascii="宋体" w:hAnsi="宋体" w:eastAsia="宋体" w:cs="宋体"/>
          <w:sz w:val="10"/>
        </w:rPr>
        <w:t>、</w:t>
      </w:r>
      <w:r>
        <w:rPr>
          <w:rFonts w:hint="eastAsia" w:ascii="宋体" w:hAnsi="宋体" w:eastAsia="宋体" w:cs="宋体"/>
          <w:sz w:val="24"/>
        </w:rPr>
        <w:t>技术开发支出及其他费用</w:t>
      </w:r>
      <w:r>
        <w:rPr>
          <w:rFonts w:hint="eastAsia" w:ascii="宋体" w:hAnsi="宋体" w:eastAsia="宋体" w:cs="宋体"/>
          <w:sz w:val="10"/>
        </w:rPr>
        <w:t>、</w:t>
      </w:r>
      <w:r>
        <w:rPr>
          <w:rFonts w:hint="eastAsia" w:ascii="宋体" w:hAnsi="宋体" w:eastAsia="宋体" w:cs="宋体"/>
          <w:sz w:val="24"/>
        </w:rPr>
        <w:t>税收等项目后</w:t>
      </w:r>
      <w:r>
        <w:rPr>
          <w:rFonts w:hint="eastAsia" w:ascii="宋体" w:hAnsi="宋体" w:eastAsia="宋体" w:cs="宋体"/>
          <w:sz w:val="10"/>
        </w:rPr>
        <w:t>，</w:t>
      </w:r>
      <w:r>
        <w:rPr>
          <w:rFonts w:hint="eastAsia" w:ascii="宋体" w:hAnsi="宋体" w:eastAsia="宋体" w:cs="宋体"/>
          <w:sz w:val="24"/>
        </w:rPr>
        <w:t>预计可实现净利润合计为</w:t>
      </w:r>
      <w:r>
        <w:rPr>
          <w:rFonts w:hint="eastAsia" w:ascii="Times New Roman" w:hAnsi="Times New Roman" w:eastAsia="Times New Roman" w:cs="Times New Roman"/>
          <w:sz w:val="24"/>
        </w:rPr>
        <w:t xml:space="preserve"> 7,163</w:t>
      </w:r>
      <w:r>
        <w:rPr>
          <w:rFonts w:hint="eastAsia" w:ascii="宋体" w:hAnsi="宋体" w:eastAsia="宋体" w:cs="宋体"/>
          <w:sz w:val="24"/>
        </w:rPr>
        <w:t xml:space="preserve"> 万元和</w:t>
      </w:r>
      <w:r>
        <w:rPr>
          <w:rFonts w:hint="eastAsia" w:ascii="Times New Roman" w:hAnsi="Times New Roman" w:eastAsia="Times New Roman" w:cs="Times New Roman"/>
          <w:sz w:val="24"/>
        </w:rPr>
        <w:t xml:space="preserve"> 13,653</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（三）募集资金投资项目实施过程中的风险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本次募集资金投资项目建成投产后</w:t>
      </w:r>
      <w:r>
        <w:rPr>
          <w:rFonts w:hint="eastAsia" w:ascii="宋体" w:hAnsi="宋体" w:eastAsia="宋体" w:cs="宋体"/>
          <w:sz w:val="10"/>
        </w:rPr>
        <w:t>，</w:t>
      </w:r>
      <w:r>
        <w:rPr>
          <w:rFonts w:hint="eastAsia" w:ascii="宋体" w:hAnsi="宋体" w:eastAsia="宋体" w:cs="宋体"/>
          <w:sz w:val="24"/>
        </w:rPr>
        <w:t>将对本公司发展战略的实现</w:t>
      </w:r>
      <w:r>
        <w:rPr>
          <w:rFonts w:hint="eastAsia" w:ascii="宋体" w:hAnsi="宋体" w:eastAsia="宋体" w:cs="宋体"/>
          <w:sz w:val="10"/>
        </w:rPr>
        <w:t>、</w:t>
      </w:r>
      <w:r>
        <w:rPr>
          <w:rFonts w:hint="eastAsia" w:ascii="宋体" w:hAnsi="宋体" w:eastAsia="宋体" w:cs="宋体"/>
          <w:sz w:val="24"/>
        </w:rPr>
        <w:t>经营规模的扩大和业绩水平的提高产生重大影响</w:t>
      </w:r>
      <w:r>
        <w:rPr>
          <w:rFonts w:hint="eastAsia" w:ascii="宋体" w:hAnsi="宋体" w:eastAsia="宋体" w:cs="宋体"/>
          <w:sz w:val="10"/>
        </w:rPr>
        <w:t>。</w:t>
      </w:r>
      <w:r>
        <w:rPr>
          <w:rFonts w:hint="eastAsia" w:ascii="宋体" w:hAnsi="宋体" w:eastAsia="宋体" w:cs="宋体"/>
          <w:sz w:val="24"/>
        </w:rPr>
        <w:t>但是</w:t>
      </w:r>
      <w:r>
        <w:rPr>
          <w:rFonts w:hint="eastAsia" w:ascii="宋体" w:hAnsi="宋体" w:eastAsia="宋体" w:cs="宋体"/>
          <w:sz w:val="10"/>
        </w:rPr>
        <w:t>，</w:t>
      </w:r>
      <w:r>
        <w:rPr>
          <w:rFonts w:hint="eastAsia" w:ascii="宋体" w:hAnsi="宋体" w:eastAsia="宋体" w:cs="宋体"/>
          <w:sz w:val="24"/>
        </w:rPr>
        <w:t>本次募集资金投资项目的建设计划能否按时完成</w:t>
      </w:r>
      <w:r>
        <w:rPr>
          <w:rFonts w:hint="eastAsia" w:ascii="宋体" w:hAnsi="宋体" w:eastAsia="宋体" w:cs="宋体"/>
          <w:sz w:val="10"/>
        </w:rPr>
        <w:t>、</w:t>
      </w:r>
      <w:r>
        <w:rPr>
          <w:rFonts w:hint="eastAsia" w:ascii="宋体" w:hAnsi="宋体" w:eastAsia="宋体" w:cs="宋体"/>
          <w:sz w:val="24"/>
        </w:rPr>
        <w:t>项目的实施过程和实施效果等存在一定不确定性</w:t>
      </w:r>
      <w:r>
        <w:rPr>
          <w:rFonts w:hint="eastAsia" w:ascii="宋体" w:hAnsi="宋体" w:eastAsia="宋体" w:cs="宋体"/>
          <w:sz w:val="10"/>
        </w:rPr>
        <w:t>。</w:t>
      </w:r>
      <w:r>
        <w:rPr>
          <w:rFonts w:hint="eastAsia" w:ascii="宋体" w:hAnsi="宋体" w:eastAsia="宋体" w:cs="宋体"/>
          <w:sz w:val="24"/>
        </w:rPr>
        <w:t>虽然本公司对募集资金投资项目在战略选择</w:t>
      </w:r>
      <w:r>
        <w:rPr>
          <w:rFonts w:hint="eastAsia" w:ascii="宋体" w:hAnsi="宋体" w:eastAsia="宋体" w:cs="宋体"/>
          <w:sz w:val="10"/>
        </w:rPr>
        <w:t>、</w:t>
      </w:r>
      <w:r>
        <w:rPr>
          <w:rFonts w:hint="eastAsia" w:ascii="宋体" w:hAnsi="宋体" w:eastAsia="宋体" w:cs="宋体"/>
          <w:sz w:val="24"/>
        </w:rPr>
        <w:t>研发设计</w:t>
      </w:r>
      <w:r>
        <w:rPr>
          <w:rFonts w:hint="eastAsia" w:ascii="宋体" w:hAnsi="宋体" w:eastAsia="宋体" w:cs="宋体"/>
          <w:sz w:val="10"/>
        </w:rPr>
        <w:t>、</w:t>
      </w:r>
      <w:r>
        <w:rPr>
          <w:rFonts w:hint="eastAsia" w:ascii="宋体" w:hAnsi="宋体" w:eastAsia="宋体" w:cs="宋体"/>
          <w:sz w:val="24"/>
        </w:rPr>
        <w:t>硬件设备采购等方面已制订了周密的计划</w:t>
      </w:r>
      <w:r>
        <w:rPr>
          <w:rFonts w:hint="eastAsia" w:ascii="宋体" w:hAnsi="宋体" w:eastAsia="宋体" w:cs="宋体"/>
          <w:sz w:val="10"/>
        </w:rPr>
        <w:t>，</w:t>
      </w:r>
      <w:r>
        <w:rPr>
          <w:rFonts w:hint="eastAsia" w:ascii="宋体" w:hAnsi="宋体" w:eastAsia="宋体" w:cs="宋体"/>
          <w:sz w:val="24"/>
        </w:rPr>
        <w:t>但在项目实施过程中</w:t>
      </w:r>
      <w:r>
        <w:rPr>
          <w:rFonts w:hint="eastAsia" w:ascii="宋体" w:hAnsi="宋体" w:eastAsia="宋体" w:cs="宋体"/>
          <w:sz w:val="10"/>
        </w:rPr>
        <w:t>，</w:t>
      </w:r>
      <w:r>
        <w:rPr>
          <w:rFonts w:hint="eastAsia" w:ascii="宋体" w:hAnsi="宋体" w:eastAsia="宋体" w:cs="宋体"/>
          <w:sz w:val="24"/>
        </w:rPr>
        <w:t>可能存在因实施方案调整</w:t>
      </w:r>
      <w:r>
        <w:rPr>
          <w:rFonts w:hint="eastAsia" w:ascii="宋体" w:hAnsi="宋体" w:eastAsia="宋体" w:cs="宋体"/>
          <w:sz w:val="10"/>
        </w:rPr>
        <w:t>、</w:t>
      </w:r>
      <w:r>
        <w:rPr>
          <w:rFonts w:hint="eastAsia" w:ascii="宋体" w:hAnsi="宋体" w:eastAsia="宋体" w:cs="宋体"/>
          <w:sz w:val="24"/>
        </w:rPr>
        <w:t>实施周期延长</w:t>
      </w:r>
      <w:r>
        <w:rPr>
          <w:rFonts w:hint="eastAsia" w:ascii="宋体" w:hAnsi="宋体" w:eastAsia="宋体" w:cs="宋体"/>
          <w:sz w:val="10"/>
        </w:rPr>
        <w:t>、</w:t>
      </w:r>
      <w:r>
        <w:rPr>
          <w:rFonts w:hint="eastAsia" w:ascii="宋体" w:hAnsi="宋体" w:eastAsia="宋体" w:cs="宋体"/>
          <w:sz w:val="24"/>
        </w:rPr>
        <w:t>人力资源成本变动而引致的风险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（四）募集资金投资项目跨省实施带来的风险</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本次募集资金投资项目中的</w:t>
      </w:r>
      <w:r>
        <w:rPr>
          <w:rFonts w:hint="eastAsia" w:ascii="宋体" w:hAnsi="宋体" w:eastAsia="宋体" w:cs="宋体"/>
          <w:sz w:val="10"/>
        </w:rPr>
        <w:t>“</w:t>
      </w:r>
      <w:r>
        <w:rPr>
          <w:rFonts w:hint="eastAsia" w:ascii="宋体" w:hAnsi="宋体" w:eastAsia="宋体" w:cs="宋体"/>
          <w:sz w:val="24"/>
        </w:rPr>
        <w:t>研发中心建设项目</w:t>
      </w:r>
      <w:r>
        <w:rPr>
          <w:rFonts w:hint="eastAsia" w:ascii="宋体" w:hAnsi="宋体" w:eastAsia="宋体" w:cs="宋体"/>
          <w:sz w:val="10"/>
        </w:rPr>
        <w:t>”</w:t>
      </w:r>
      <w:r>
        <w:rPr>
          <w:rFonts w:hint="eastAsia" w:ascii="宋体" w:hAnsi="宋体" w:eastAsia="宋体" w:cs="宋体"/>
          <w:sz w:val="24"/>
        </w:rPr>
        <w:t>计划在武汉市实施</w:t>
      </w:r>
      <w:r>
        <w:rPr>
          <w:rFonts w:hint="eastAsia" w:ascii="宋体" w:hAnsi="宋体" w:eastAsia="宋体" w:cs="宋体"/>
          <w:sz w:val="10"/>
        </w:rPr>
        <w:t>，</w:t>
      </w:r>
      <w:r>
        <w:rPr>
          <w:rFonts w:hint="eastAsia" w:ascii="宋体" w:hAnsi="宋体" w:eastAsia="宋体" w:cs="宋体"/>
          <w:sz w:val="24"/>
        </w:rPr>
        <w:t>本公司已设立子公司武汉顶点</w:t>
      </w:r>
      <w:r>
        <w:rPr>
          <w:rFonts w:hint="eastAsia" w:ascii="宋体" w:hAnsi="宋体" w:eastAsia="宋体" w:cs="宋体"/>
          <w:sz w:val="10"/>
        </w:rPr>
        <w:t>，</w:t>
      </w:r>
      <w:r>
        <w:rPr>
          <w:rFonts w:hint="eastAsia" w:ascii="宋体" w:hAnsi="宋体" w:eastAsia="宋体" w:cs="宋体"/>
          <w:sz w:val="24"/>
        </w:rPr>
        <w:t>且已通过武汉顶点进行了包括办公场地购置</w:t>
      </w:r>
      <w:r>
        <w:rPr>
          <w:rFonts w:hint="eastAsia" w:ascii="宋体" w:hAnsi="宋体" w:eastAsia="宋体" w:cs="宋体"/>
          <w:sz w:val="10"/>
        </w:rPr>
        <w:t>、</w:t>
      </w:r>
      <w:r>
        <w:rPr>
          <w:rFonts w:hint="eastAsia" w:ascii="宋体" w:hAnsi="宋体" w:eastAsia="宋体" w:cs="宋体"/>
          <w:sz w:val="24"/>
        </w:rPr>
        <w:t>人才招募等先期措施</w:t>
      </w:r>
      <w:r>
        <w:rPr>
          <w:rFonts w:hint="eastAsia" w:ascii="宋体" w:hAnsi="宋体" w:eastAsia="宋体" w:cs="宋体"/>
          <w:sz w:val="10"/>
        </w:rPr>
        <w:t>。</w:t>
      </w:r>
      <w:r>
        <w:rPr>
          <w:rFonts w:hint="eastAsia" w:ascii="宋体" w:hAnsi="宋体" w:eastAsia="宋体" w:cs="宋体"/>
          <w:sz w:val="24"/>
        </w:rPr>
        <w:t>发行人总部位于福州</w:t>
      </w:r>
      <w:r>
        <w:rPr>
          <w:rFonts w:hint="eastAsia" w:ascii="宋体" w:hAnsi="宋体" w:eastAsia="宋体" w:cs="宋体"/>
          <w:sz w:val="10"/>
        </w:rPr>
        <w:t>，</w:t>
      </w:r>
      <w:r>
        <w:rPr>
          <w:rFonts w:hint="eastAsia" w:ascii="宋体" w:hAnsi="宋体" w:eastAsia="宋体" w:cs="宋体"/>
          <w:sz w:val="24"/>
        </w:rPr>
        <w:t>虽然发行人在上海</w:t>
      </w:r>
      <w:r>
        <w:rPr>
          <w:rFonts w:hint="eastAsia" w:ascii="宋体" w:hAnsi="宋体" w:eastAsia="宋体" w:cs="宋体"/>
          <w:sz w:val="10"/>
        </w:rPr>
        <w:t>、</w:t>
      </w:r>
      <w:r>
        <w:rPr>
          <w:rFonts w:hint="eastAsia" w:ascii="宋体" w:hAnsi="宋体" w:eastAsia="宋体" w:cs="宋体"/>
          <w:sz w:val="24"/>
        </w:rPr>
        <w:t>北京等地设立子公司并具有跨省管理子公司的经验</w:t>
      </w:r>
      <w:r>
        <w:rPr>
          <w:rFonts w:hint="eastAsia" w:ascii="宋体" w:hAnsi="宋体" w:eastAsia="宋体" w:cs="宋体"/>
          <w:sz w:val="10"/>
        </w:rPr>
        <w:t>，</w:t>
      </w:r>
      <w:r>
        <w:rPr>
          <w:rFonts w:hint="eastAsia" w:ascii="宋体" w:hAnsi="宋体" w:eastAsia="宋体" w:cs="宋体"/>
          <w:sz w:val="24"/>
        </w:rPr>
        <w:t>但考虑到发行人未来募集资金投资项目涉及行业前沿技术的开发</w:t>
      </w:r>
      <w:r>
        <w:rPr>
          <w:rFonts w:hint="eastAsia" w:ascii="宋体" w:hAnsi="宋体" w:eastAsia="宋体" w:cs="宋体"/>
          <w:sz w:val="10"/>
        </w:rPr>
        <w:t>，</w:t>
      </w:r>
      <w:r>
        <w:rPr>
          <w:rFonts w:hint="eastAsia" w:ascii="宋体" w:hAnsi="宋体" w:eastAsia="宋体" w:cs="宋体"/>
          <w:sz w:val="24"/>
        </w:rPr>
        <w:t>对发行人未来经营发展作用重大</w:t>
      </w:r>
      <w:r>
        <w:rPr>
          <w:rFonts w:hint="eastAsia" w:ascii="宋体" w:hAnsi="宋体" w:eastAsia="宋体" w:cs="宋体"/>
          <w:sz w:val="10"/>
        </w:rPr>
        <w:t>，</w:t>
      </w:r>
      <w:r>
        <w:rPr>
          <w:rFonts w:hint="eastAsia" w:ascii="宋体" w:hAnsi="宋体" w:eastAsia="宋体" w:cs="宋体"/>
          <w:sz w:val="24"/>
        </w:rPr>
        <w:t>并且无法产生直接收益</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发行人仍然存在跨省经营导致管理低效</w:t>
      </w:r>
      <w:r>
        <w:rPr>
          <w:rFonts w:hint="eastAsia" w:ascii="宋体" w:hAnsi="宋体" w:eastAsia="宋体" w:cs="宋体"/>
          <w:sz w:val="10"/>
        </w:rPr>
        <w:t>、</w:t>
      </w:r>
      <w:r>
        <w:rPr>
          <w:rFonts w:hint="eastAsia" w:ascii="宋体" w:hAnsi="宋体" w:eastAsia="宋体" w:cs="宋体"/>
          <w:sz w:val="24"/>
        </w:rPr>
        <w:t>研发不力等问题带来的风险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1-1-43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jc w:val="both"/>
      </w:pPr>
      <w:r>
        <w:rPr>
          <w:rFonts w:hint="eastAsia" w:ascii="ºÚÌå" w:hAnsi="ºÚÌå" w:eastAsia="ºÚÌå" w:cs="ºÚÌå"/>
          <w:sz w:val="30"/>
        </w:rPr>
        <w:t>六</w:t>
      </w:r>
      <w:r>
        <w:rPr>
          <w:rFonts w:hint="eastAsia" w:ascii="ºÚÌå" w:hAnsi="ºÚÌå" w:eastAsia="ºÚÌå" w:cs="ºÚÌå"/>
          <w:sz w:val="10"/>
        </w:rPr>
        <w:t>、</w:t>
      </w:r>
      <w:r>
        <w:rPr>
          <w:rFonts w:hint="eastAsia" w:ascii="ºÚÌå" w:hAnsi="ºÚÌå" w:eastAsia="ºÚÌå" w:cs="ºÚÌå"/>
          <w:sz w:val="30"/>
        </w:rPr>
        <w:t>其他风险</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实际控制人丧失公司控制权的风险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本次发行前</w:t>
      </w:r>
      <w:r>
        <w:rPr>
          <w:rFonts w:hint="eastAsia" w:ascii="宋体" w:hAnsi="宋体" w:eastAsia="宋体" w:cs="宋体"/>
          <w:sz w:val="10"/>
        </w:rPr>
        <w:t>，</w:t>
      </w:r>
      <w:r>
        <w:rPr>
          <w:rFonts w:hint="eastAsia" w:ascii="宋体" w:hAnsi="宋体" w:eastAsia="宋体" w:cs="宋体"/>
          <w:sz w:val="24"/>
        </w:rPr>
        <w:t>公司控股股东</w:t>
      </w:r>
      <w:r>
        <w:rPr>
          <w:rFonts w:hint="eastAsia" w:ascii="宋体" w:hAnsi="宋体" w:eastAsia="宋体" w:cs="宋体"/>
          <w:sz w:val="10"/>
        </w:rPr>
        <w:t>、</w:t>
      </w:r>
      <w:r>
        <w:rPr>
          <w:rFonts w:hint="eastAsia" w:ascii="宋体" w:hAnsi="宋体" w:eastAsia="宋体" w:cs="宋体"/>
          <w:sz w:val="24"/>
        </w:rPr>
        <w:t>实际控制人严孟宇先生持有发行人的股份比例为</w:t>
      </w:r>
      <w:r>
        <w:rPr>
          <w:rFonts w:hint="eastAsia" w:ascii="Times New Roman" w:hAnsi="Times New Roman" w:eastAsia="Times New Roman" w:cs="Times New Roman"/>
          <w:sz w:val="24"/>
        </w:rPr>
        <w:t>28.57%</w:t>
      </w:r>
      <w:r>
        <w:rPr>
          <w:rFonts w:hint="eastAsia" w:ascii="宋体" w:hAnsi="宋体" w:eastAsia="宋体" w:cs="宋体"/>
          <w:sz w:val="10"/>
        </w:rPr>
        <w:t>，</w:t>
      </w:r>
      <w:r>
        <w:rPr>
          <w:rFonts w:hint="eastAsia" w:ascii="宋体" w:hAnsi="宋体" w:eastAsia="宋体" w:cs="宋体"/>
          <w:sz w:val="24"/>
        </w:rPr>
        <w:t>本次发行完成后严孟宇先生的持股比例将下降到</w:t>
      </w:r>
      <w:r>
        <w:rPr>
          <w:rFonts w:hint="eastAsia" w:ascii="Times New Roman" w:hAnsi="Times New Roman" w:eastAsia="Times New Roman" w:cs="Times New Roman"/>
          <w:sz w:val="24"/>
        </w:rPr>
        <w:t xml:space="preserve"> 21.43%</w:t>
      </w:r>
      <w:r>
        <w:rPr>
          <w:rFonts w:hint="eastAsia" w:ascii="宋体" w:hAnsi="宋体" w:eastAsia="宋体" w:cs="宋体"/>
          <w:sz w:val="10"/>
        </w:rPr>
        <w:t>。</w:t>
      </w:r>
      <w:r>
        <w:rPr>
          <w:rFonts w:hint="eastAsia" w:ascii="宋体" w:hAnsi="宋体" w:eastAsia="宋体" w:cs="宋体"/>
          <w:sz w:val="24"/>
        </w:rPr>
        <w:t>虽然实际控制人严孟宇自公司成立以来始终担任公司负责人</w:t>
      </w:r>
      <w:r>
        <w:rPr>
          <w:rFonts w:hint="eastAsia" w:ascii="宋体" w:hAnsi="宋体" w:eastAsia="宋体" w:cs="宋体"/>
          <w:sz w:val="10"/>
        </w:rPr>
        <w:t>，</w:t>
      </w:r>
      <w:r>
        <w:rPr>
          <w:rFonts w:hint="eastAsia" w:ascii="宋体" w:hAnsi="宋体" w:eastAsia="宋体" w:cs="宋体"/>
          <w:sz w:val="24"/>
        </w:rPr>
        <w:t>始终掌握公司控制权</w:t>
      </w:r>
      <w:r>
        <w:rPr>
          <w:rFonts w:hint="eastAsia" w:ascii="宋体" w:hAnsi="宋体" w:eastAsia="宋体" w:cs="宋体"/>
          <w:sz w:val="10"/>
        </w:rPr>
        <w:t>，</w:t>
      </w:r>
      <w:r>
        <w:rPr>
          <w:rFonts w:hint="eastAsia" w:ascii="宋体" w:hAnsi="宋体" w:eastAsia="宋体" w:cs="宋体"/>
          <w:sz w:val="24"/>
        </w:rPr>
        <w:t>对公司发展战略</w:t>
      </w:r>
      <w:r>
        <w:rPr>
          <w:rFonts w:hint="eastAsia" w:ascii="宋体" w:hAnsi="宋体" w:eastAsia="宋体" w:cs="宋体"/>
          <w:sz w:val="10"/>
        </w:rPr>
        <w:t>、</w:t>
      </w:r>
      <w:r>
        <w:rPr>
          <w:rFonts w:hint="eastAsia" w:ascii="宋体" w:hAnsi="宋体" w:eastAsia="宋体" w:cs="宋体"/>
          <w:sz w:val="24"/>
        </w:rPr>
        <w:t>生产经营等方面具有重大影响</w:t>
      </w:r>
      <w:r>
        <w:rPr>
          <w:rFonts w:hint="eastAsia" w:ascii="宋体" w:hAnsi="宋体" w:eastAsia="宋体" w:cs="宋体"/>
          <w:sz w:val="10"/>
        </w:rPr>
        <w:t>，</w:t>
      </w:r>
      <w:r>
        <w:rPr>
          <w:rFonts w:hint="eastAsia" w:ascii="宋体" w:hAnsi="宋体" w:eastAsia="宋体" w:cs="宋体"/>
          <w:sz w:val="24"/>
        </w:rPr>
        <w:t>且第二大股东金石投资出具了不谋求公司控制权的承诺</w:t>
      </w:r>
      <w:r>
        <w:rPr>
          <w:rFonts w:hint="eastAsia" w:ascii="宋体" w:hAnsi="宋体" w:eastAsia="宋体" w:cs="宋体"/>
          <w:sz w:val="10"/>
        </w:rPr>
        <w:t>，</w:t>
      </w:r>
      <w:r>
        <w:rPr>
          <w:rFonts w:hint="eastAsia" w:ascii="宋体" w:hAnsi="宋体" w:eastAsia="宋体" w:cs="宋体"/>
          <w:sz w:val="24"/>
        </w:rPr>
        <w:t>但如果公司上市后</w:t>
      </w:r>
      <w:r>
        <w:rPr>
          <w:rFonts w:hint="eastAsia" w:ascii="宋体" w:hAnsi="宋体" w:eastAsia="宋体" w:cs="宋体"/>
          <w:sz w:val="10"/>
        </w:rPr>
        <w:t>，</w:t>
      </w:r>
      <w:r>
        <w:rPr>
          <w:rFonts w:hint="eastAsia" w:ascii="宋体" w:hAnsi="宋体" w:eastAsia="宋体" w:cs="宋体"/>
          <w:sz w:val="24"/>
        </w:rPr>
        <w:t>公司遭遇敌意收购或公司股权结构发生重大变化</w:t>
      </w:r>
      <w:r>
        <w:rPr>
          <w:rFonts w:hint="eastAsia" w:ascii="宋体" w:hAnsi="宋体" w:eastAsia="宋体" w:cs="宋体"/>
          <w:sz w:val="10"/>
        </w:rPr>
        <w:t>，</w:t>
      </w:r>
      <w:r>
        <w:rPr>
          <w:rFonts w:hint="eastAsia" w:ascii="宋体" w:hAnsi="宋体" w:eastAsia="宋体" w:cs="宋体"/>
          <w:sz w:val="24"/>
        </w:rPr>
        <w:t>且公司应对不当</w:t>
      </w:r>
      <w:r>
        <w:rPr>
          <w:rFonts w:hint="eastAsia" w:ascii="宋体" w:hAnsi="宋体" w:eastAsia="宋体" w:cs="宋体"/>
          <w:sz w:val="10"/>
        </w:rPr>
        <w:t>，</w:t>
      </w:r>
      <w:r>
        <w:rPr>
          <w:rFonts w:hint="eastAsia" w:ascii="宋体" w:hAnsi="宋体" w:eastAsia="宋体" w:cs="宋体"/>
          <w:sz w:val="24"/>
        </w:rPr>
        <w:t>实际控制人严孟宇将可能丧失公司控制权</w:t>
      </w:r>
      <w:r>
        <w:rPr>
          <w:rFonts w:hint="eastAsia" w:ascii="宋体" w:hAnsi="宋体" w:eastAsia="宋体" w:cs="宋体"/>
          <w:sz w:val="10"/>
        </w:rPr>
        <w:t>，</w:t>
      </w:r>
      <w:r>
        <w:rPr>
          <w:rFonts w:hint="eastAsia" w:ascii="宋体" w:hAnsi="宋体" w:eastAsia="宋体" w:cs="宋体"/>
          <w:sz w:val="24"/>
        </w:rPr>
        <w:t>影响公司控制权的稳定性</w:t>
      </w:r>
      <w:r>
        <w:rPr>
          <w:rFonts w:hint="eastAsia" w:ascii="宋体" w:hAnsi="宋体" w:eastAsia="宋体" w:cs="宋体"/>
          <w:sz w:val="10"/>
        </w:rPr>
        <w:t>，</w:t>
      </w:r>
      <w:r>
        <w:rPr>
          <w:rFonts w:hint="eastAsia" w:ascii="宋体" w:hAnsi="宋体" w:eastAsia="宋体" w:cs="宋体"/>
          <w:sz w:val="24"/>
        </w:rPr>
        <w:t>并对公司未来发展带来不确定性</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800"/>
        <w:jc w:val="both"/>
      </w:pPr>
      <w:r>
        <w:rPr>
          <w:rFonts w:hint="eastAsia" w:ascii="宋体" w:hAnsi="宋体" w:eastAsia="宋体" w:cs="宋体"/>
          <w:b/>
          <w:sz w:val="24"/>
        </w:rPr>
        <w:t>（二）发行人证券行业业务丧失持续性的风险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发行人是一家专业化平台型软件及信息化服务提供商</w:t>
      </w:r>
      <w:r>
        <w:rPr>
          <w:rFonts w:hint="eastAsia" w:ascii="宋体" w:hAnsi="宋体" w:eastAsia="宋体" w:cs="宋体"/>
          <w:sz w:val="10"/>
        </w:rPr>
        <w:t>，</w:t>
      </w:r>
      <w:r>
        <w:rPr>
          <w:rFonts w:hint="eastAsia" w:ascii="宋体" w:hAnsi="宋体" w:eastAsia="宋体" w:cs="宋体"/>
          <w:sz w:val="24"/>
        </w:rPr>
        <w:t>主要为包括证券公司在内的金融行业企业提供信息化解决方案</w:t>
      </w:r>
      <w:r>
        <w:rPr>
          <w:rFonts w:hint="eastAsia" w:ascii="宋体" w:hAnsi="宋体" w:eastAsia="宋体" w:cs="宋体"/>
          <w:sz w:val="10"/>
        </w:rPr>
        <w:t>。</w:t>
      </w:r>
      <w:r>
        <w:rPr>
          <w:rFonts w:hint="eastAsia" w:ascii="宋体" w:hAnsi="宋体" w:eastAsia="宋体" w:cs="宋体"/>
          <w:sz w:val="24"/>
        </w:rPr>
        <w:t>发行人证券行业业务的持续性主要来自证券公司原有软件产品及服务的持续升级</w:t>
      </w:r>
      <w:r>
        <w:rPr>
          <w:rFonts w:hint="eastAsia" w:ascii="宋体" w:hAnsi="宋体" w:eastAsia="宋体" w:cs="宋体"/>
          <w:sz w:val="10"/>
        </w:rPr>
        <w:t>，</w:t>
      </w:r>
      <w:r>
        <w:rPr>
          <w:rFonts w:hint="eastAsia" w:ascii="宋体" w:hAnsi="宋体" w:eastAsia="宋体" w:cs="宋体"/>
          <w:sz w:val="24"/>
        </w:rPr>
        <w:t>以及证券行业新业务</w:t>
      </w:r>
      <w:r>
        <w:rPr>
          <w:rFonts w:hint="eastAsia" w:ascii="宋体" w:hAnsi="宋体" w:eastAsia="宋体" w:cs="宋体"/>
          <w:sz w:val="10"/>
        </w:rPr>
        <w:t>、</w:t>
      </w:r>
      <w:r>
        <w:rPr>
          <w:rFonts w:hint="eastAsia" w:ascii="宋体" w:hAnsi="宋体" w:eastAsia="宋体" w:cs="宋体"/>
          <w:sz w:val="24"/>
        </w:rPr>
        <w:t>新技术</w:t>
      </w:r>
      <w:r>
        <w:rPr>
          <w:rFonts w:hint="eastAsia" w:ascii="宋体" w:hAnsi="宋体" w:eastAsia="宋体" w:cs="宋体"/>
          <w:sz w:val="10"/>
        </w:rPr>
        <w:t>、</w:t>
      </w:r>
      <w:r>
        <w:rPr>
          <w:rFonts w:hint="eastAsia" w:ascii="宋体" w:hAnsi="宋体" w:eastAsia="宋体" w:cs="宋体"/>
          <w:sz w:val="24"/>
        </w:rPr>
        <w:t>新产品的不断推出</w:t>
      </w:r>
      <w:r>
        <w:rPr>
          <w:rFonts w:hint="eastAsia" w:ascii="宋体" w:hAnsi="宋体" w:eastAsia="宋体" w:cs="宋体"/>
          <w:sz w:val="10"/>
        </w:rPr>
        <w:t>。</w:t>
      </w:r>
      <w:r>
        <w:rPr>
          <w:rFonts w:hint="eastAsia" w:ascii="宋体" w:hAnsi="宋体" w:eastAsia="宋体" w:cs="宋体"/>
          <w:sz w:val="24"/>
        </w:rPr>
        <w:t>尽管发行人在持续不断巩固竞争优势</w:t>
      </w:r>
      <w:r>
        <w:rPr>
          <w:rFonts w:hint="eastAsia" w:ascii="宋体" w:hAnsi="宋体" w:eastAsia="宋体" w:cs="宋体"/>
          <w:sz w:val="10"/>
        </w:rPr>
        <w:t>、</w:t>
      </w:r>
      <w:r>
        <w:rPr>
          <w:rFonts w:hint="eastAsia" w:ascii="宋体" w:hAnsi="宋体" w:eastAsia="宋体" w:cs="宋体"/>
          <w:sz w:val="24"/>
        </w:rPr>
        <w:t>提高自身实力</w:t>
      </w:r>
      <w:r>
        <w:rPr>
          <w:rFonts w:hint="eastAsia" w:ascii="宋体" w:hAnsi="宋体" w:eastAsia="宋体" w:cs="宋体"/>
          <w:sz w:val="10"/>
        </w:rPr>
        <w:t>，</w:t>
      </w:r>
      <w:r>
        <w:rPr>
          <w:rFonts w:hint="eastAsia" w:ascii="宋体" w:hAnsi="宋体" w:eastAsia="宋体" w:cs="宋体"/>
          <w:sz w:val="24"/>
        </w:rPr>
        <w:t>但如果不能紧跟下游行业发展及客户需求</w:t>
      </w:r>
      <w:r>
        <w:rPr>
          <w:rFonts w:hint="eastAsia" w:ascii="宋体" w:hAnsi="宋体" w:eastAsia="宋体" w:cs="宋体"/>
          <w:sz w:val="10"/>
        </w:rPr>
        <w:t>，</w:t>
      </w:r>
      <w:r>
        <w:rPr>
          <w:rFonts w:hint="eastAsia" w:ascii="宋体" w:hAnsi="宋体" w:eastAsia="宋体" w:cs="宋体"/>
          <w:sz w:val="24"/>
        </w:rPr>
        <w:t>不能在激烈的市场竞争中保持市场地位</w:t>
      </w:r>
      <w:r>
        <w:rPr>
          <w:rFonts w:hint="eastAsia" w:ascii="宋体" w:hAnsi="宋体" w:eastAsia="宋体" w:cs="宋体"/>
          <w:sz w:val="10"/>
        </w:rPr>
        <w:t>，</w:t>
      </w:r>
      <w:r>
        <w:rPr>
          <w:rFonts w:hint="eastAsia" w:ascii="宋体" w:hAnsi="宋体" w:eastAsia="宋体" w:cs="宋体"/>
          <w:sz w:val="24"/>
        </w:rPr>
        <w:t>不能保持对客户的服务质量</w:t>
      </w:r>
      <w:r>
        <w:rPr>
          <w:rFonts w:hint="eastAsia" w:ascii="宋体" w:hAnsi="宋体" w:eastAsia="宋体" w:cs="宋体"/>
          <w:sz w:val="10"/>
        </w:rPr>
        <w:t>，</w:t>
      </w:r>
      <w:r>
        <w:rPr>
          <w:rFonts w:hint="eastAsia" w:ascii="宋体" w:hAnsi="宋体" w:eastAsia="宋体" w:cs="宋体"/>
          <w:sz w:val="24"/>
        </w:rPr>
        <w:t>发行人将面临丧失业务持续性的风险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800"/>
        <w:jc w:val="both"/>
      </w:pPr>
      <w:r>
        <w:rPr>
          <w:rFonts w:hint="eastAsia" w:ascii="宋体" w:hAnsi="宋体" w:eastAsia="宋体" w:cs="宋体"/>
          <w:b/>
          <w:sz w:val="24"/>
        </w:rPr>
        <w:t>（三）公司客户及业务的合规性风险</w:t>
      </w:r>
    </w:p>
    <w:p>
      <w:pPr>
        <w:spacing w:line="200" w:lineRule="exact"/>
        <w:rPr>
          <w:rFonts w:hint="eastAsia" w:ascii="宋体" w:hAnsi="宋体" w:eastAsia="宋体" w:cs="宋体"/>
          <w:sz w:val="20"/>
        </w:rPr>
      </w:pPr>
    </w:p>
    <w:p>
      <w:pPr>
        <w:autoSpaceDE w:val="false"/>
        <w:autoSpaceDN w:val="false"/>
        <w:spacing w:line="440" w:lineRule="exact"/>
        <w:ind w:left="1800" w:right="1580" w:firstLine="480"/>
        <w:jc w:val="both"/>
      </w:pPr>
      <w:r>
        <w:rPr>
          <w:rFonts w:hint="eastAsia" w:ascii="宋体" w:hAnsi="宋体" w:eastAsia="宋体" w:cs="宋体"/>
          <w:sz w:val="24"/>
        </w:rPr>
        <w:t>发行人在金融行业信息化领域耕耘多年</w:t>
      </w:r>
      <w:r>
        <w:rPr>
          <w:rFonts w:hint="eastAsia" w:ascii="宋体" w:hAnsi="宋体" w:eastAsia="宋体" w:cs="宋体"/>
          <w:sz w:val="10"/>
        </w:rPr>
        <w:t>，</w:t>
      </w:r>
      <w:r>
        <w:rPr>
          <w:rFonts w:hint="eastAsia" w:ascii="宋体" w:hAnsi="宋体" w:eastAsia="宋体" w:cs="宋体"/>
          <w:sz w:val="24"/>
        </w:rPr>
        <w:t>在进行客户开发和项目执行过程中</w:t>
      </w:r>
      <w:r>
        <w:rPr>
          <w:rFonts w:hint="eastAsia" w:ascii="宋体" w:hAnsi="宋体" w:eastAsia="宋体" w:cs="宋体"/>
          <w:sz w:val="10"/>
        </w:rPr>
        <w:t>，</w:t>
      </w:r>
      <w:r>
        <w:rPr>
          <w:rFonts w:hint="eastAsia" w:ascii="宋体" w:hAnsi="宋体" w:eastAsia="宋体" w:cs="宋体"/>
          <w:sz w:val="24"/>
        </w:rPr>
        <w:t>时刻关注金融监管法规的动态</w:t>
      </w:r>
      <w:r>
        <w:rPr>
          <w:rFonts w:hint="eastAsia" w:ascii="宋体" w:hAnsi="宋体" w:eastAsia="宋体" w:cs="宋体"/>
          <w:sz w:val="10"/>
        </w:rPr>
        <w:t>，</w:t>
      </w:r>
      <w:r>
        <w:rPr>
          <w:rFonts w:hint="eastAsia" w:ascii="宋体" w:hAnsi="宋体" w:eastAsia="宋体" w:cs="宋体"/>
          <w:sz w:val="24"/>
        </w:rPr>
        <w:t>充分了解客户背景及信息</w:t>
      </w:r>
      <w:r>
        <w:rPr>
          <w:rFonts w:hint="eastAsia" w:ascii="宋体" w:hAnsi="宋体" w:eastAsia="宋体" w:cs="宋体"/>
          <w:sz w:val="10"/>
        </w:rPr>
        <w:t>，</w:t>
      </w:r>
      <w:r>
        <w:rPr>
          <w:rFonts w:hint="eastAsia" w:ascii="宋体" w:hAnsi="宋体" w:eastAsia="宋体" w:cs="宋体"/>
          <w:sz w:val="24"/>
        </w:rPr>
        <w:t>在合规的前提下</w:t>
      </w:r>
      <w:r>
        <w:rPr>
          <w:rFonts w:hint="eastAsia" w:ascii="宋体" w:hAnsi="宋体" w:eastAsia="宋体" w:cs="宋体"/>
          <w:sz w:val="10"/>
        </w:rPr>
        <w:t>，</w:t>
      </w:r>
      <w:r>
        <w:rPr>
          <w:rFonts w:hint="eastAsia" w:ascii="宋体" w:hAnsi="宋体" w:eastAsia="宋体" w:cs="宋体"/>
          <w:sz w:val="24"/>
        </w:rPr>
        <w:t>针对客户的定制化需求为其提供信息化解决方案</w:t>
      </w:r>
      <w:r>
        <w:rPr>
          <w:rFonts w:hint="eastAsia" w:ascii="宋体" w:hAnsi="宋体" w:eastAsia="宋体" w:cs="宋体"/>
          <w:sz w:val="10"/>
        </w:rPr>
        <w:t>。</w:t>
      </w:r>
      <w:r>
        <w:rPr>
          <w:rFonts w:hint="eastAsia" w:ascii="宋体" w:hAnsi="宋体" w:eastAsia="宋体" w:cs="宋体"/>
          <w:sz w:val="24"/>
        </w:rPr>
        <w:t>尽管发行人对合规性问题高度重视</w:t>
      </w:r>
      <w:r>
        <w:rPr>
          <w:rFonts w:hint="eastAsia" w:ascii="宋体" w:hAnsi="宋体" w:eastAsia="宋体" w:cs="宋体"/>
          <w:sz w:val="10"/>
        </w:rPr>
        <w:t>，</w:t>
      </w:r>
      <w:r>
        <w:rPr>
          <w:rFonts w:hint="eastAsia" w:ascii="宋体" w:hAnsi="宋体" w:eastAsia="宋体" w:cs="宋体"/>
          <w:sz w:val="24"/>
        </w:rPr>
        <w:t>但如果已进行业务合作的客户受到处罚</w:t>
      </w:r>
      <w:r>
        <w:rPr>
          <w:rFonts w:hint="eastAsia" w:ascii="宋体" w:hAnsi="宋体" w:eastAsia="宋体" w:cs="宋体"/>
          <w:sz w:val="10"/>
        </w:rPr>
        <w:t>，</w:t>
      </w:r>
      <w:r>
        <w:rPr>
          <w:rFonts w:hint="eastAsia" w:ascii="宋体" w:hAnsi="宋体" w:eastAsia="宋体" w:cs="宋体"/>
          <w:sz w:val="24"/>
        </w:rPr>
        <w:t>或公司软件服务的相关业务被暂停或终止开展</w:t>
      </w:r>
      <w:r>
        <w:rPr>
          <w:rFonts w:hint="eastAsia" w:ascii="宋体" w:hAnsi="宋体" w:eastAsia="宋体" w:cs="宋体"/>
          <w:sz w:val="10"/>
        </w:rPr>
        <w:t>，</w:t>
      </w:r>
      <w:r>
        <w:rPr>
          <w:rFonts w:hint="eastAsia" w:ascii="宋体" w:hAnsi="宋体" w:eastAsia="宋体" w:cs="宋体"/>
          <w:sz w:val="24"/>
        </w:rPr>
        <w:t>将对公司的经营产生不利影响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800"/>
        <w:jc w:val="both"/>
      </w:pPr>
      <w:r>
        <w:rPr>
          <w:rFonts w:hint="eastAsia" w:ascii="宋体" w:hAnsi="宋体" w:eastAsia="宋体" w:cs="宋体"/>
          <w:b/>
          <w:sz w:val="24"/>
        </w:rPr>
        <w:t>（四）发行人涉税事项对其经营产生不利影响的风险</w:t>
      </w: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发行人前身顶点有限于</w:t>
      </w:r>
      <w:r>
        <w:rPr>
          <w:rFonts w:hint="eastAsia" w:ascii="Times New Roman" w:hAnsi="Times New Roman" w:eastAsia="Times New Roman" w:cs="Times New Roman"/>
          <w:sz w:val="24"/>
        </w:rPr>
        <w:t>2000</w:t>
      </w:r>
      <w:r>
        <w:rPr>
          <w:rFonts w:hint="eastAsia" w:ascii="宋体" w:hAnsi="宋体" w:eastAsia="宋体" w:cs="宋体"/>
          <w:sz w:val="24"/>
        </w:rPr>
        <w:t>年</w:t>
      </w:r>
      <w:r>
        <w:rPr>
          <w:rFonts w:hint="eastAsia" w:ascii="Times New Roman" w:hAnsi="Times New Roman" w:eastAsia="Times New Roman" w:cs="Times New Roman"/>
          <w:sz w:val="24"/>
        </w:rPr>
        <w:t xml:space="preserve"> 7</w:t>
      </w:r>
      <w:r>
        <w:rPr>
          <w:rFonts w:hint="eastAsia" w:ascii="宋体" w:hAnsi="宋体" w:eastAsia="宋体" w:cs="宋体"/>
          <w:sz w:val="24"/>
        </w:rPr>
        <w:t>月以未分配利润和盈余公积转增注册资本</w:t>
      </w:r>
      <w:r>
        <w:rPr>
          <w:rFonts w:hint="eastAsia" w:ascii="宋体" w:hAnsi="宋体" w:eastAsia="宋体" w:cs="宋体"/>
          <w:sz w:val="10"/>
        </w:rPr>
        <w:t>，</w:t>
      </w:r>
      <w:r>
        <w:rPr>
          <w:rFonts w:hint="eastAsia" w:ascii="宋体" w:hAnsi="宋体" w:eastAsia="宋体" w:cs="宋体"/>
          <w:sz w:val="24"/>
        </w:rPr>
        <w:t>并于</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月整体变更设立股份公司</w:t>
      </w:r>
      <w:r>
        <w:rPr>
          <w:rFonts w:hint="eastAsia" w:ascii="宋体" w:hAnsi="宋体" w:eastAsia="宋体" w:cs="宋体"/>
          <w:sz w:val="10"/>
        </w:rPr>
        <w:t>。</w:t>
      </w:r>
      <w:r>
        <w:rPr>
          <w:rFonts w:hint="eastAsia" w:ascii="宋体" w:hAnsi="宋体" w:eastAsia="宋体" w:cs="宋体"/>
          <w:sz w:val="24"/>
        </w:rPr>
        <w:t>上述事项中</w:t>
      </w:r>
      <w:r>
        <w:rPr>
          <w:rFonts w:hint="eastAsia" w:ascii="宋体" w:hAnsi="宋体" w:eastAsia="宋体" w:cs="宋体"/>
          <w:sz w:val="10"/>
        </w:rPr>
        <w:t>，</w:t>
      </w:r>
      <w:r>
        <w:rPr>
          <w:rFonts w:hint="eastAsia" w:ascii="宋体" w:hAnsi="宋体" w:eastAsia="宋体" w:cs="宋体"/>
          <w:sz w:val="24"/>
        </w:rPr>
        <w:t>相关股东未缴纳个人所得税</w:t>
      </w:r>
      <w:r>
        <w:rPr>
          <w:rFonts w:hint="eastAsia" w:ascii="宋体" w:hAnsi="宋体" w:eastAsia="宋体" w:cs="宋体"/>
          <w:sz w:val="10"/>
        </w:rPr>
        <w:t>，</w:t>
      </w:r>
      <w:r>
        <w:rPr>
          <w:rFonts w:hint="eastAsia" w:ascii="宋体" w:hAnsi="宋体" w:eastAsia="宋体" w:cs="宋体"/>
          <w:sz w:val="24"/>
        </w:rPr>
        <w:t>金额合计</w:t>
      </w:r>
      <w:r>
        <w:rPr>
          <w:rFonts w:hint="eastAsia" w:ascii="Times New Roman" w:hAnsi="Times New Roman" w:eastAsia="Times New Roman" w:cs="Times New Roman"/>
          <w:sz w:val="24"/>
        </w:rPr>
        <w:t xml:space="preserve"> 173.35</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尽管上述行为发生距今时间较长</w:t>
      </w:r>
      <w:r>
        <w:rPr>
          <w:rFonts w:hint="eastAsia" w:ascii="宋体" w:hAnsi="宋体" w:eastAsia="宋体" w:cs="宋体"/>
          <w:sz w:val="10"/>
        </w:rPr>
        <w:t>，</w:t>
      </w:r>
      <w:r>
        <w:rPr>
          <w:rFonts w:hint="eastAsia" w:ascii="宋体" w:hAnsi="宋体" w:eastAsia="宋体" w:cs="宋体"/>
          <w:sz w:val="24"/>
        </w:rPr>
        <w:t>且税务主管部门出具了合规证明以及同意发行人延期至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年末扣代缴相关个人所得税的文</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60"/>
        <w:jc w:val="both"/>
      </w:pPr>
      <w:r>
        <w:rPr>
          <w:rFonts w:hint="eastAsia" w:ascii="Times New Roman" w:hAnsi="Times New Roman" w:eastAsia="Times New Roman" w:cs="Times New Roman"/>
          <w:sz w:val="21"/>
        </w:rPr>
        <w:t>1-1-44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40" w:lineRule="exact"/>
        <w:ind w:left="1800" w:right="1620"/>
        <w:jc w:val="both"/>
      </w:pPr>
      <w:r>
        <w:rPr>
          <w:rFonts w:hint="eastAsia" w:ascii="宋体" w:hAnsi="宋体" w:eastAsia="宋体" w:cs="宋体"/>
          <w:sz w:val="24"/>
        </w:rPr>
        <w:t>件</w:t>
      </w:r>
      <w:r>
        <w:rPr>
          <w:rFonts w:hint="eastAsia" w:ascii="宋体" w:hAnsi="宋体" w:eastAsia="宋体" w:cs="宋体"/>
          <w:sz w:val="10"/>
        </w:rPr>
        <w:t>，</w:t>
      </w:r>
      <w:r>
        <w:rPr>
          <w:rFonts w:hint="eastAsia" w:ascii="宋体" w:hAnsi="宋体" w:eastAsia="宋体" w:cs="宋体"/>
          <w:sz w:val="24"/>
        </w:rPr>
        <w:t>税务机关对纳税人给予行政处罚的可能性较小</w:t>
      </w:r>
      <w:r>
        <w:rPr>
          <w:rFonts w:hint="eastAsia" w:ascii="宋体" w:hAnsi="宋体" w:eastAsia="宋体" w:cs="宋体"/>
          <w:sz w:val="10"/>
        </w:rPr>
        <w:t>，</w:t>
      </w:r>
      <w:r>
        <w:rPr>
          <w:rFonts w:hint="eastAsia" w:ascii="宋体" w:hAnsi="宋体" w:eastAsia="宋体" w:cs="宋体"/>
          <w:sz w:val="24"/>
        </w:rPr>
        <w:t>但如果发行人及其股东受到有关部门的行政处罚</w:t>
      </w:r>
      <w:r>
        <w:rPr>
          <w:rFonts w:hint="eastAsia" w:ascii="宋体" w:hAnsi="宋体" w:eastAsia="宋体" w:cs="宋体"/>
          <w:sz w:val="10"/>
        </w:rPr>
        <w:t>，</w:t>
      </w:r>
      <w:r>
        <w:rPr>
          <w:rFonts w:hint="eastAsia" w:ascii="宋体" w:hAnsi="宋体" w:eastAsia="宋体" w:cs="宋体"/>
          <w:sz w:val="24"/>
        </w:rPr>
        <w:t>将对发行人未来的经营产生不利影响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60"/>
        <w:jc w:val="both"/>
      </w:pPr>
      <w:r>
        <w:rPr>
          <w:rFonts w:hint="eastAsia" w:ascii="Times New Roman" w:hAnsi="Times New Roman" w:eastAsia="Times New Roman" w:cs="Times New Roman"/>
          <w:sz w:val="21"/>
        </w:rPr>
        <w:t>1-1-45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3072" behindDoc="false" locked="false" layoutInCell="true" allowOverlap="true">
                <wp:simplePos x="0" y="0"/>
                <wp:positionH relativeFrom="page">
                  <wp:posOffset>1079500</wp:posOffset>
                </wp:positionH>
                <wp:positionV relativeFrom="page">
                  <wp:posOffset>3733800</wp:posOffset>
                </wp:positionV>
                <wp:extent cx="774700" cy="215900"/>
                <wp:effectExtent l="0" t="0" r="22225" b="31115"/>
                <wp:wrapNone/>
                <wp:docPr id="532" name="shape532"/>
                <wp:cNvGraphicFramePr/>
                <a:graphic>
                  <a:graphicData uri="http://schemas.microsoft.com/office/word/2010/wordprocessingShape">
                    <wps:wsp>
                      <wps:cNvSpPr/>
                      <wps:spPr>
                        <a:xfrm>
                          <a:off x="0" y="0"/>
                          <a:ext cx="774700" cy="215900"/>
                        </a:xfrm>
                        <a:prstGeom prst="rect">
                          <a:avLst/>
                        </a:prstGeom>
                      </wps:spPr>
                      <wps:txbx>
                        <w:txbxContent>
                          <w:p>
                            <w:pPr>
                              <w:spacing w:line="-240" w:lineRule="exact"/>
                              <w:ind w:left="0"/>
                              <w:jc w:val="both"/>
                            </w:pPr>
                            <w:r>
                              <w:rPr>
                                <w:rFonts w:hint="eastAsia" w:ascii="宋体" w:hAnsi="宋体" w:eastAsia="宋体" w:cs="宋体"/>
                                <w:sz w:val="24"/>
                              </w:rPr>
                              <w:t>注册地址</w:t>
                            </w:r>
                            <w:r>
                              <w:rPr>
                                <w:rFonts w:hint="eastAsia" w:ascii="宋体" w:hAnsi="宋体" w:eastAsia="宋体" w:cs="宋体"/>
                                <w:sz w:val="12"/>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1pt;height:17pt;margin-left:85pt;margin-top:294pt;mso-wrap-style:none;z-index:10253072;mso-wrap-distance-left:9pt;mso-wrap-distance-top:0pt;mso-wrap-distance-right:9pt;mso-wrap-distance-bottom:0pt" id="shape532" o:spid="1618382345598" stroked="f">
                <v:textbox>
                  <w:txbxContent>
                    <w:p>
                      <w:pPr>
                        <w:spacing w:line="-240" w:lineRule="exact"/>
                        <w:ind w:left="0"/>
                        <w:jc w:val="both"/>
                      </w:pPr>
                      <w:r>
                        <w:rPr>
                          <w:rFonts w:hint="eastAsia" w:ascii="宋体" w:hAnsi="宋体" w:eastAsia="宋体" w:cs="宋体"/>
                          <w:sz w:val="24"/>
                        </w:rPr>
                        <w:t>注册地址</w:t>
                      </w:r>
                      <w:r>
                        <w:rPr>
                          <w:rFonts w:hint="eastAsia" w:ascii="宋体" w:hAnsi="宋体" w:eastAsia="宋体" w:cs="宋体"/>
                          <w:sz w:val="12"/>
                        </w:rPr>
                        <w:t>：</w:t>
                      </w:r>
                    </w:p>
                  </w:txbxContent>
                </v:textbox>
              </v:rect>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4040"/>
        <w:jc w:val="both"/>
      </w:pPr>
      <w:r>
        <w:rPr>
          <w:rFonts w:hint="eastAsia" w:ascii="ºÚÌå" w:hAnsi="ºÚÌå" w:eastAsia="ºÚÌå" w:cs="ºÚÌå"/>
          <w:b/>
          <w:sz w:val="36"/>
        </w:rPr>
        <w:t>第五节</w:t>
      </w:r>
      <w:r>
        <w:rPr>
          <w:rFonts w:hint="eastAsia" w:ascii="ºÚÌå" w:hAnsi="ºÚÌå" w:eastAsia="ºÚÌå" w:cs="ºÚÌå"/>
          <w:b/>
          <w:sz w:val="36"/>
        </w:rPr>
        <w:t xml:space="preserve"> </w:t>
      </w:r>
      <w:r>
        <w:rPr>
          <w:rFonts w:hint="eastAsia" w:ascii="ºÚÌå" w:hAnsi="ºÚÌå" w:eastAsia="ºÚÌå" w:cs="ºÚÌå"/>
          <w:b/>
          <w:sz w:val="36"/>
        </w:rPr>
        <w:t>发行人基本情况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36"/>
        </w:rPr>
        <w:t>一、</w:t>
      </w:r>
      <w:r>
        <w:rPr>
          <w:rFonts w:hint="eastAsia" w:ascii="ºÚÌå" w:hAnsi="ºÚÌå" w:eastAsia="ºÚÌå" w:cs="ºÚÌå"/>
          <w:sz w:val="30"/>
        </w:rPr>
        <w:t>公司基本情况</w:t>
      </w:r>
    </w:p>
    <w:p>
      <w:pPr>
        <w:spacing w:line="200" w:lineRule="exact"/>
        <w:rPr>
          <w:rFonts w:hint="eastAsia" w:ascii="宋体" w:hAnsi="宋体" w:eastAsia="宋体" w:cs="宋体"/>
          <w:sz w:val="20"/>
        </w:rPr>
      </w:pPr>
    </w:p>
    <w:p>
      <w:pPr>
        <w:tabs>
          <w:tab w:val="left" w:pos="4080"/>
        </w:tabs>
        <w:autoSpaceDE w:val="false"/>
        <w:autoSpaceDN w:val="false"/>
        <w:spacing w:line="400" w:lineRule="exact"/>
        <w:ind w:left="1800"/>
        <w:jc w:val="both"/>
      </w:pPr>
      <w:r>
        <w:rPr>
          <w:rFonts w:hint="eastAsia" w:ascii="宋体" w:hAnsi="宋体" w:eastAsia="宋体" w:cs="宋体"/>
          <w:sz w:val="24"/>
        </w:rPr>
        <w:t>中文名称</w:t>
      </w:r>
      <w:r>
        <w:rPr>
          <w:rFonts w:hint="eastAsia" w:ascii="宋体" w:hAnsi="宋体" w:eastAsia="宋体" w:cs="宋体"/>
          <w:sz w:val="12"/>
        </w:rPr>
        <w:t>：</w:t>
      </w:r>
      <w:r>
        <w:tab/>
      </w:r>
      <w:r>
        <w:rPr>
          <w:rFonts w:hint="eastAsia" w:ascii="宋体" w:hAnsi="宋体" w:eastAsia="宋体" w:cs="宋体"/>
          <w:sz w:val="24"/>
        </w:rPr>
        <w:t>福建顶点软件股份有限公司</w:t>
      </w:r>
    </w:p>
    <w:p>
      <w:pPr>
        <w:spacing w:line="200" w:lineRule="exact"/>
        <w:rPr>
          <w:rFonts w:hint="eastAsia" w:ascii="宋体" w:hAnsi="宋体" w:eastAsia="宋体" w:cs="宋体"/>
          <w:sz w:val="20"/>
        </w:rPr>
      </w:pPr>
    </w:p>
    <w:p>
      <w:pPr>
        <w:tabs>
          <w:tab w:val="left" w:pos="4080"/>
        </w:tabs>
        <w:autoSpaceDE w:val="false"/>
        <w:autoSpaceDN w:val="false"/>
        <w:spacing w:line="260" w:lineRule="exact"/>
        <w:ind w:left="1800"/>
        <w:jc w:val="both"/>
      </w:pPr>
      <w:r>
        <w:rPr>
          <w:rFonts w:hint="eastAsia" w:ascii="宋体" w:hAnsi="宋体" w:eastAsia="宋体" w:cs="宋体"/>
          <w:sz w:val="24"/>
        </w:rPr>
        <w:t>英文名称</w:t>
      </w:r>
      <w:r>
        <w:rPr>
          <w:rFonts w:hint="eastAsia" w:ascii="宋体" w:hAnsi="宋体" w:eastAsia="宋体" w:cs="宋体"/>
          <w:sz w:val="10"/>
        </w:rPr>
        <w:t>：</w:t>
      </w:r>
      <w:r>
        <w:tab/>
      </w:r>
      <w:r>
        <w:rPr>
          <w:rFonts w:hint="eastAsia" w:ascii="Times New Roman" w:hAnsi="Times New Roman" w:eastAsia="Times New Roman" w:cs="Times New Roman"/>
          <w:sz w:val="24"/>
        </w:rPr>
        <w:t>Fujian Apex Software Co.,LTD</w:t>
      </w:r>
    </w:p>
    <w:p>
      <w:pPr>
        <w:spacing w:line="200" w:lineRule="exact"/>
        <w:rPr>
          <w:rFonts w:hint="eastAsia" w:ascii="宋体" w:hAnsi="宋体" w:eastAsia="宋体" w:cs="宋体"/>
          <w:sz w:val="20"/>
        </w:rPr>
      </w:pPr>
    </w:p>
    <w:p>
      <w:pPr>
        <w:tabs>
          <w:tab w:val="left" w:pos="4080"/>
        </w:tabs>
        <w:autoSpaceDE w:val="false"/>
        <w:autoSpaceDN w:val="false"/>
        <w:spacing w:line="260" w:lineRule="exact"/>
        <w:ind w:left="1800"/>
        <w:jc w:val="both"/>
      </w:pPr>
      <w:r>
        <w:rPr>
          <w:rFonts w:hint="eastAsia" w:ascii="宋体" w:hAnsi="宋体" w:eastAsia="宋体" w:cs="宋体"/>
          <w:sz w:val="24"/>
        </w:rPr>
        <w:t>注册资本</w:t>
      </w:r>
      <w:r>
        <w:rPr>
          <w:rFonts w:hint="eastAsia" w:ascii="宋体" w:hAnsi="宋体" w:eastAsia="宋体" w:cs="宋体"/>
          <w:sz w:val="12"/>
        </w:rPr>
        <w:t>：</w:t>
      </w:r>
      <w:r>
        <w:tab/>
      </w:r>
      <w:r>
        <w:rPr>
          <w:rFonts w:hint="eastAsia" w:ascii="宋体" w:hAnsi="宋体" w:eastAsia="宋体" w:cs="宋体"/>
          <w:sz w:val="24"/>
        </w:rPr>
        <w:t>人民币</w:t>
      </w:r>
      <w:r>
        <w:rPr>
          <w:rFonts w:hint="eastAsia" w:ascii="Times New Roman" w:hAnsi="Times New Roman" w:eastAsia="Times New Roman" w:cs="Times New Roman"/>
          <w:sz w:val="24"/>
        </w:rPr>
        <w:t xml:space="preserve"> 6,314</w:t>
      </w:r>
      <w:r>
        <w:rPr>
          <w:rFonts w:hint="eastAsia" w:ascii="宋体" w:hAnsi="宋体" w:eastAsia="宋体" w:cs="宋体"/>
          <w:sz w:val="24"/>
        </w:rPr>
        <w:t xml:space="preserve"> 万元</w:t>
      </w:r>
    </w:p>
    <w:p>
      <w:pPr>
        <w:spacing w:line="200" w:lineRule="exact"/>
        <w:rPr>
          <w:rFonts w:hint="eastAsia" w:ascii="宋体" w:hAnsi="宋体" w:eastAsia="宋体" w:cs="宋体"/>
          <w:sz w:val="20"/>
        </w:rPr>
      </w:pPr>
    </w:p>
    <w:p>
      <w:pPr>
        <w:tabs>
          <w:tab w:val="left" w:pos="4080"/>
        </w:tabs>
        <w:autoSpaceDE w:val="false"/>
        <w:autoSpaceDN w:val="false"/>
        <w:spacing w:line="280" w:lineRule="exact"/>
        <w:ind w:left="1800"/>
        <w:jc w:val="both"/>
      </w:pPr>
      <w:r>
        <w:rPr>
          <w:rFonts w:hint="eastAsia" w:ascii="宋体" w:hAnsi="宋体" w:eastAsia="宋体" w:cs="宋体"/>
          <w:sz w:val="24"/>
        </w:rPr>
        <w:t>法定代表人</w:t>
      </w:r>
      <w:r>
        <w:rPr>
          <w:rFonts w:hint="eastAsia" w:ascii="宋体" w:hAnsi="宋体" w:eastAsia="宋体" w:cs="宋体"/>
          <w:sz w:val="10"/>
        </w:rPr>
        <w:t>：</w:t>
      </w:r>
      <w:r>
        <w:tab/>
      </w:r>
      <w:r>
        <w:rPr>
          <w:rFonts w:hint="eastAsia" w:ascii="宋体" w:hAnsi="宋体" w:eastAsia="宋体" w:cs="宋体"/>
          <w:sz w:val="24"/>
        </w:rPr>
        <w:t>严孟宇</w:t>
      </w:r>
    </w:p>
    <w:p>
      <w:pPr>
        <w:spacing w:line="200" w:lineRule="exact"/>
        <w:rPr>
          <w:rFonts w:hint="eastAsia" w:ascii="宋体" w:hAnsi="宋体" w:eastAsia="宋体" w:cs="宋体"/>
          <w:sz w:val="20"/>
        </w:rPr>
      </w:pPr>
    </w:p>
    <w:p>
      <w:pPr>
        <w:tabs>
          <w:tab w:val="left" w:pos="4080"/>
        </w:tabs>
        <w:autoSpaceDE w:val="false"/>
        <w:autoSpaceDN w:val="false"/>
        <w:spacing w:line="260" w:lineRule="exact"/>
        <w:ind w:left="1800"/>
        <w:jc w:val="both"/>
      </w:pPr>
      <w:r>
        <w:rPr>
          <w:rFonts w:hint="eastAsia" w:ascii="宋体" w:hAnsi="宋体" w:eastAsia="宋体" w:cs="宋体"/>
          <w:sz w:val="24"/>
        </w:rPr>
        <w:t>成立日期</w:t>
      </w:r>
      <w:r>
        <w:rPr>
          <w:rFonts w:hint="eastAsia" w:ascii="宋体" w:hAnsi="宋体" w:eastAsia="宋体" w:cs="宋体"/>
          <w:sz w:val="10"/>
        </w:rPr>
        <w:t>：</w:t>
      </w:r>
      <w:r>
        <w:tab/>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w:t>
      </w:r>
    </w:p>
    <w:p>
      <w:pPr>
        <w:spacing w:line="200" w:lineRule="exact"/>
        <w:rPr>
          <w:rFonts w:hint="eastAsia" w:ascii="宋体" w:hAnsi="宋体" w:eastAsia="宋体" w:cs="宋体"/>
          <w:sz w:val="20"/>
        </w:rPr>
      </w:pPr>
    </w:p>
    <w:p>
      <w:pPr>
        <w:autoSpaceDE w:val="false"/>
        <w:autoSpaceDN w:val="false"/>
        <w:spacing w:line="360" w:lineRule="exact"/>
        <w:ind w:left="4080" w:right="1600"/>
        <w:jc w:val="both"/>
      </w:pPr>
      <w:r>
        <w:rPr>
          <w:rFonts w:hint="eastAsia" w:ascii="宋体" w:hAnsi="宋体" w:eastAsia="宋体" w:cs="宋体"/>
          <w:sz w:val="24"/>
        </w:rPr>
        <w:t>福州市台江区新港街道五一中路</w:t>
      </w:r>
      <w:r>
        <w:rPr>
          <w:rFonts w:hint="eastAsia" w:ascii="Times New Roman" w:hAnsi="Times New Roman" w:eastAsia="Times New Roman" w:cs="Times New Roman"/>
          <w:sz w:val="24"/>
        </w:rPr>
        <w:t xml:space="preserve"> 169</w:t>
      </w:r>
      <w:r>
        <w:rPr>
          <w:rFonts w:hint="eastAsia" w:ascii="宋体" w:hAnsi="宋体" w:eastAsia="宋体" w:cs="宋体"/>
          <w:sz w:val="24"/>
        </w:rPr>
        <w:t>号利嘉城二期</w:t>
      </w:r>
      <w:r>
        <w:rPr>
          <w:rFonts w:hint="eastAsia" w:ascii="Times New Roman" w:hAnsi="Times New Roman" w:eastAsia="Times New Roman" w:cs="Times New Roman"/>
          <w:sz w:val="24"/>
        </w:rPr>
        <w:t xml:space="preserve"> 16</w:t>
      </w:r>
      <w:r>
        <w:rPr>
          <w:rFonts w:hint="eastAsia" w:ascii="宋体" w:hAnsi="宋体" w:eastAsia="宋体" w:cs="宋体"/>
          <w:sz w:val="24"/>
        </w:rPr>
        <w:t>号楼</w:t>
      </w:r>
      <w:r>
        <w:rPr>
          <w:rFonts w:hint="eastAsia" w:ascii="Times New Roman" w:hAnsi="Times New Roman" w:eastAsia="Times New Roman" w:cs="Times New Roman"/>
          <w:sz w:val="24"/>
        </w:rPr>
        <w:t>24</w:t>
      </w:r>
      <w:r>
        <w:rPr>
          <w:rFonts w:hint="eastAsia" w:ascii="宋体" w:hAnsi="宋体" w:eastAsia="宋体" w:cs="宋体"/>
          <w:sz w:val="24"/>
        </w:rPr>
        <w:t xml:space="preserve"> 层</w:t>
      </w:r>
      <w:r>
        <w:rPr>
          <w:rFonts w:hint="eastAsia" w:ascii="Times New Roman" w:hAnsi="Times New Roman" w:eastAsia="Times New Roman" w:cs="Times New Roman"/>
          <w:sz w:val="24"/>
        </w:rPr>
        <w:t xml:space="preserve"> 07</w:t>
      </w:r>
      <w:r>
        <w:rPr>
          <w:rFonts w:hint="eastAsia" w:ascii="宋体" w:hAnsi="宋体" w:eastAsia="宋体" w:cs="宋体"/>
          <w:sz w:val="24"/>
        </w:rPr>
        <w:t xml:space="preserve"> 室</w:t>
      </w:r>
    </w:p>
    <w:p>
      <w:pPr>
        <w:spacing w:line="200" w:lineRule="exact"/>
        <w:rPr>
          <w:rFonts w:hint="eastAsia" w:ascii="宋体" w:hAnsi="宋体" w:eastAsia="宋体" w:cs="宋体"/>
          <w:sz w:val="20"/>
        </w:rPr>
      </w:pPr>
    </w:p>
    <w:p>
      <w:pPr>
        <w:tabs>
          <w:tab w:val="left" w:pos="4080"/>
        </w:tabs>
        <w:autoSpaceDE w:val="false"/>
        <w:autoSpaceDN w:val="false"/>
        <w:spacing w:line="260" w:lineRule="exact"/>
        <w:ind w:left="1800"/>
        <w:jc w:val="both"/>
      </w:pPr>
      <w:r>
        <w:rPr>
          <w:rFonts w:hint="eastAsia" w:ascii="宋体" w:hAnsi="宋体" w:eastAsia="宋体" w:cs="宋体"/>
          <w:sz w:val="24"/>
        </w:rPr>
        <w:t>主要办公场所</w:t>
      </w:r>
      <w:r>
        <w:tab/>
      </w:r>
      <w:r>
        <w:rPr>
          <w:rFonts w:hint="eastAsia" w:ascii="宋体" w:hAnsi="宋体" w:eastAsia="宋体" w:cs="宋体"/>
          <w:sz w:val="24"/>
        </w:rPr>
        <w:t>福州市铜盘路软件大道</w:t>
      </w:r>
      <w:r>
        <w:rPr>
          <w:rFonts w:hint="eastAsia" w:ascii="Times New Roman" w:hAnsi="Times New Roman" w:eastAsia="Times New Roman" w:cs="Times New Roman"/>
          <w:sz w:val="24"/>
        </w:rPr>
        <w:t xml:space="preserve"> 89</w:t>
      </w:r>
      <w:r>
        <w:rPr>
          <w:rFonts w:hint="eastAsia" w:ascii="宋体" w:hAnsi="宋体" w:eastAsia="宋体" w:cs="宋体"/>
          <w:sz w:val="24"/>
        </w:rPr>
        <w:t xml:space="preserve"> 号</w:t>
      </w:r>
      <w:r>
        <w:rPr>
          <w:rFonts w:hint="eastAsia" w:ascii="Times New Roman" w:hAnsi="Times New Roman" w:eastAsia="Times New Roman" w:cs="Times New Roman"/>
          <w:sz w:val="24"/>
        </w:rPr>
        <w:t xml:space="preserve"> A</w:t>
      </w:r>
      <w:r>
        <w:rPr>
          <w:rFonts w:hint="eastAsia" w:ascii="宋体" w:hAnsi="宋体" w:eastAsia="宋体" w:cs="宋体"/>
          <w:sz w:val="24"/>
        </w:rPr>
        <w:t xml:space="preserve"> 区</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号楼</w:t>
      </w:r>
    </w:p>
    <w:p>
      <w:pPr>
        <w:spacing w:line="200" w:lineRule="exact"/>
        <w:rPr>
          <w:rFonts w:hint="eastAsia" w:ascii="宋体" w:hAnsi="宋体" w:eastAsia="宋体" w:cs="宋体"/>
          <w:sz w:val="20"/>
        </w:rPr>
      </w:pPr>
    </w:p>
    <w:p>
      <w:pPr>
        <w:tabs>
          <w:tab w:val="left" w:pos="4080"/>
        </w:tabs>
        <w:autoSpaceDE w:val="false"/>
        <w:autoSpaceDN w:val="false"/>
        <w:spacing w:line="280" w:lineRule="exact"/>
        <w:ind w:left="1800"/>
        <w:jc w:val="both"/>
      </w:pPr>
      <w:r>
        <w:rPr>
          <w:rFonts w:hint="eastAsia" w:ascii="宋体" w:hAnsi="宋体" w:eastAsia="宋体" w:cs="宋体"/>
          <w:sz w:val="24"/>
        </w:rPr>
        <w:t>邮政编码</w:t>
      </w:r>
      <w:r>
        <w:rPr>
          <w:rFonts w:hint="eastAsia" w:ascii="宋体" w:hAnsi="宋体" w:eastAsia="宋体" w:cs="宋体"/>
          <w:sz w:val="12"/>
        </w:rPr>
        <w:t>：</w:t>
      </w:r>
      <w:r>
        <w:tab/>
      </w:r>
      <w:r>
        <w:rPr>
          <w:rFonts w:hint="eastAsia" w:ascii="Times New Roman" w:hAnsi="Times New Roman" w:eastAsia="Times New Roman" w:cs="Times New Roman"/>
          <w:sz w:val="24"/>
        </w:rPr>
        <w:t>350003</w:t>
      </w:r>
    </w:p>
    <w:p>
      <w:pPr>
        <w:spacing w:line="200" w:lineRule="exact"/>
        <w:rPr>
          <w:rFonts w:hint="eastAsia" w:ascii="宋体" w:hAnsi="宋体" w:eastAsia="宋体" w:cs="宋体"/>
          <w:sz w:val="20"/>
        </w:rPr>
      </w:pPr>
    </w:p>
    <w:p>
      <w:pPr>
        <w:tabs>
          <w:tab w:val="left" w:pos="4080"/>
        </w:tabs>
        <w:autoSpaceDE w:val="false"/>
        <w:autoSpaceDN w:val="false"/>
        <w:spacing w:line="260" w:lineRule="exact"/>
        <w:ind w:left="1800"/>
        <w:jc w:val="both"/>
      </w:pPr>
      <w:r>
        <w:rPr>
          <w:rFonts w:hint="eastAsia" w:ascii="宋体" w:hAnsi="宋体" w:eastAsia="宋体" w:cs="宋体"/>
          <w:sz w:val="24"/>
        </w:rPr>
        <w:t>电话</w:t>
      </w:r>
      <w:r>
        <w:rPr>
          <w:rFonts w:hint="eastAsia" w:ascii="宋体" w:hAnsi="宋体" w:eastAsia="宋体" w:cs="宋体"/>
          <w:sz w:val="10"/>
        </w:rPr>
        <w:t>：</w:t>
      </w:r>
      <w:r>
        <w:tab/>
      </w:r>
      <w:r>
        <w:rPr>
          <w:rFonts w:hint="eastAsia" w:ascii="Times New Roman" w:hAnsi="Times New Roman" w:eastAsia="Times New Roman" w:cs="Times New Roman"/>
          <w:sz w:val="24"/>
        </w:rPr>
        <w:t>0591-8826 7679</w:t>
      </w:r>
    </w:p>
    <w:p>
      <w:pPr>
        <w:spacing w:line="200" w:lineRule="exact"/>
        <w:rPr>
          <w:rFonts w:hint="eastAsia" w:ascii="宋体" w:hAnsi="宋体" w:eastAsia="宋体" w:cs="宋体"/>
          <w:sz w:val="20"/>
        </w:rPr>
      </w:pPr>
    </w:p>
    <w:p>
      <w:pPr>
        <w:tabs>
          <w:tab w:val="left" w:pos="4080"/>
        </w:tabs>
        <w:autoSpaceDE w:val="false"/>
        <w:autoSpaceDN w:val="false"/>
        <w:spacing w:line="260" w:lineRule="exact"/>
        <w:ind w:left="1800"/>
        <w:jc w:val="both"/>
      </w:pPr>
      <w:r>
        <w:rPr>
          <w:rFonts w:hint="eastAsia" w:ascii="宋体" w:hAnsi="宋体" w:eastAsia="宋体" w:cs="宋体"/>
          <w:sz w:val="24"/>
        </w:rPr>
        <w:t>传真</w:t>
      </w:r>
      <w:r>
        <w:rPr>
          <w:rFonts w:hint="eastAsia" w:ascii="宋体" w:hAnsi="宋体" w:eastAsia="宋体" w:cs="宋体"/>
          <w:sz w:val="12"/>
        </w:rPr>
        <w:t>：</w:t>
      </w:r>
      <w:r>
        <w:tab/>
      </w:r>
      <w:r>
        <w:rPr>
          <w:rFonts w:hint="eastAsia" w:ascii="Times New Roman" w:hAnsi="Times New Roman" w:eastAsia="Times New Roman" w:cs="Times New Roman"/>
          <w:sz w:val="24"/>
        </w:rPr>
        <w:t>0591-8786 1155</w:t>
      </w:r>
    </w:p>
    <w:p>
      <w:pPr>
        <w:spacing w:line="200" w:lineRule="exact"/>
        <w:rPr>
          <w:rFonts w:hint="eastAsia" w:ascii="宋体" w:hAnsi="宋体" w:eastAsia="宋体" w:cs="宋体"/>
          <w:sz w:val="20"/>
        </w:rPr>
      </w:pPr>
    </w:p>
    <w:p>
      <w:pPr>
        <w:tabs>
          <w:tab w:val="left" w:pos="4080"/>
        </w:tabs>
        <w:autoSpaceDE w:val="false"/>
        <w:autoSpaceDN w:val="false"/>
        <w:spacing w:line="280" w:lineRule="exact"/>
        <w:ind w:left="1800"/>
        <w:jc w:val="both"/>
      </w:pPr>
      <w:r>
        <w:rPr>
          <w:rFonts w:hint="eastAsia" w:ascii="宋体" w:hAnsi="宋体" w:eastAsia="宋体" w:cs="宋体"/>
          <w:sz w:val="24"/>
        </w:rPr>
        <w:t>互联网址</w:t>
      </w:r>
      <w:r>
        <w:rPr>
          <w:rFonts w:hint="eastAsia" w:ascii="宋体" w:hAnsi="宋体" w:eastAsia="宋体" w:cs="宋体"/>
          <w:sz w:val="12"/>
        </w:rPr>
        <w:t>：</w:t>
      </w:r>
      <w:r>
        <w:tab/>
      </w:r>
      <w:r>
        <w:rPr>
          <w:rFonts w:hint="eastAsia" w:ascii="Times New Roman" w:hAnsi="Times New Roman" w:eastAsia="Times New Roman" w:cs="Times New Roman"/>
          <w:sz w:val="24"/>
        </w:rPr>
        <w:t>www.apexsoft.com.cn</w:t>
      </w:r>
    </w:p>
    <w:p>
      <w:pPr>
        <w:spacing w:line="200" w:lineRule="exact"/>
        <w:rPr>
          <w:rFonts w:hint="eastAsia" w:ascii="宋体" w:hAnsi="宋体" w:eastAsia="宋体" w:cs="宋体"/>
          <w:sz w:val="20"/>
        </w:rPr>
      </w:pPr>
    </w:p>
    <w:p>
      <w:pPr>
        <w:tabs>
          <w:tab w:val="left" w:pos="4080"/>
        </w:tabs>
        <w:autoSpaceDE w:val="false"/>
        <w:autoSpaceDN w:val="false"/>
        <w:spacing w:line="260" w:lineRule="exact"/>
        <w:ind w:left="1800"/>
        <w:jc w:val="both"/>
      </w:pPr>
      <w:r>
        <w:rPr>
          <w:rFonts w:hint="eastAsia" w:ascii="宋体" w:hAnsi="宋体" w:eastAsia="宋体" w:cs="宋体"/>
          <w:sz w:val="24"/>
        </w:rPr>
        <w:t>电子信箱</w:t>
      </w:r>
      <w:r>
        <w:rPr>
          <w:rFonts w:hint="eastAsia" w:ascii="宋体" w:hAnsi="宋体" w:eastAsia="宋体" w:cs="宋体"/>
          <w:sz w:val="10"/>
        </w:rPr>
        <w:t>：</w:t>
      </w:r>
      <w:r>
        <w:tab/>
      </w:r>
      <w:r>
        <w:rPr>
          <w:rFonts w:hint="eastAsia" w:ascii="Times New Roman" w:hAnsi="Times New Roman" w:eastAsia="Times New Roman" w:cs="Times New Roman"/>
          <w:sz w:val="24"/>
        </w:rPr>
        <w:t>apex@apexsoft.com.cn</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jc w:val="both"/>
      </w:pPr>
      <w:r>
        <w:rPr>
          <w:rFonts w:hint="eastAsia" w:ascii="ºÚÌå" w:hAnsi="ºÚÌå" w:eastAsia="ºÚÌå" w:cs="ºÚÌå"/>
          <w:sz w:val="24"/>
        </w:rPr>
        <w:t>二、</w:t>
      </w:r>
      <w:r>
        <w:rPr>
          <w:rFonts w:hint="eastAsia" w:ascii="ºÚÌå" w:hAnsi="ºÚÌå" w:eastAsia="ºÚÌå" w:cs="ºÚÌå"/>
          <w:sz w:val="30"/>
        </w:rPr>
        <w:t>公司改制重组及设立情况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设立方式</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公司由顶点有限整体变更设立</w:t>
      </w:r>
      <w:r>
        <w:rPr>
          <w:rFonts w:hint="eastAsia" w:ascii="宋体" w:hAnsi="宋体" w:eastAsia="宋体" w:cs="宋体"/>
          <w:sz w:val="10"/>
        </w:rPr>
        <w:t>。</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15</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经顶点有限股东会决议通过</w:t>
      </w:r>
      <w:r>
        <w:rPr>
          <w:rFonts w:hint="eastAsia" w:ascii="宋体" w:hAnsi="宋体" w:eastAsia="宋体" w:cs="宋体"/>
          <w:sz w:val="10"/>
        </w:rPr>
        <w:t>，</w:t>
      </w:r>
      <w:r>
        <w:rPr>
          <w:rFonts w:hint="eastAsia" w:ascii="宋体" w:hAnsi="宋体" w:eastAsia="宋体" w:cs="宋体"/>
          <w:sz w:val="24"/>
        </w:rPr>
        <w:t>由顶点有限全体股东作为发起人</w:t>
      </w:r>
      <w:r>
        <w:rPr>
          <w:rFonts w:hint="eastAsia" w:ascii="宋体" w:hAnsi="宋体" w:eastAsia="宋体" w:cs="宋体"/>
          <w:sz w:val="10"/>
        </w:rPr>
        <w:t>，</w:t>
      </w:r>
      <w:r>
        <w:rPr>
          <w:rFonts w:hint="eastAsia" w:ascii="宋体" w:hAnsi="宋体" w:eastAsia="宋体" w:cs="宋体"/>
          <w:sz w:val="24"/>
        </w:rPr>
        <w:t>以顶点有限经深圳华鹏会计师事务所《审计报告》（华鹏股改字</w:t>
      </w:r>
      <w:r>
        <w:rPr>
          <w:rFonts w:hint="eastAsia" w:ascii="Times New Roman" w:hAnsi="Times New Roman" w:eastAsia="Times New Roman" w:cs="Times New Roman"/>
          <w:sz w:val="24"/>
        </w:rPr>
        <w:t>[2000]</w:t>
      </w:r>
      <w:r>
        <w:rPr>
          <w:rFonts w:hint="eastAsia" w:ascii="宋体" w:hAnsi="宋体" w:eastAsia="宋体" w:cs="宋体"/>
          <w:sz w:val="24"/>
        </w:rPr>
        <w:t>第</w:t>
      </w:r>
      <w:r>
        <w:rPr>
          <w:rFonts w:hint="eastAsia" w:ascii="Times New Roman" w:hAnsi="Times New Roman" w:eastAsia="Times New Roman" w:cs="Times New Roman"/>
          <w:sz w:val="24"/>
        </w:rPr>
        <w:t xml:space="preserve"> 010</w:t>
      </w: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 xml:space="preserve"> 号）审计的截至</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日净资产</w:t>
      </w:r>
      <w:r>
        <w:rPr>
          <w:rFonts w:hint="eastAsia" w:ascii="Times New Roman" w:hAnsi="Times New Roman" w:eastAsia="Times New Roman" w:cs="Times New Roman"/>
          <w:sz w:val="24"/>
        </w:rPr>
        <w:t>2,571.73</w:t>
      </w:r>
      <w:r>
        <w:rPr>
          <w:rFonts w:hint="eastAsia" w:ascii="宋体" w:hAnsi="宋体" w:eastAsia="宋体" w:cs="宋体"/>
          <w:sz w:val="24"/>
        </w:rPr>
        <w:t xml:space="preserve"> 万元为基数折为</w:t>
      </w:r>
      <w:r>
        <w:rPr>
          <w:rFonts w:hint="eastAsia" w:ascii="Times New Roman" w:hAnsi="Times New Roman" w:eastAsia="Times New Roman" w:cs="Times New Roman"/>
          <w:sz w:val="24"/>
        </w:rPr>
        <w:t xml:space="preserve"> 2,500</w:t>
      </w:r>
      <w:r>
        <w:rPr>
          <w:rFonts w:hint="eastAsia" w:ascii="宋体" w:hAnsi="宋体" w:eastAsia="宋体" w:cs="宋体"/>
          <w:sz w:val="24"/>
        </w:rPr>
        <w:t xml:space="preserve"> 万股（各股东所持有的股权比例不变），</w:t>
      </w:r>
      <w:r>
        <w:rPr>
          <w:rFonts w:hint="eastAsia" w:ascii="宋体" w:hAnsi="宋体" w:eastAsia="宋体" w:cs="宋体"/>
          <w:sz w:val="24"/>
        </w:rPr>
        <w:t>其余</w:t>
      </w:r>
      <w:r>
        <w:rPr>
          <w:rFonts w:hint="eastAsia" w:ascii="Times New Roman" w:hAnsi="Times New Roman" w:eastAsia="Times New Roman" w:cs="Times New Roman"/>
          <w:sz w:val="24"/>
        </w:rPr>
        <w:t xml:space="preserve"> 71.73</w:t>
      </w:r>
      <w:r>
        <w:rPr>
          <w:rFonts w:hint="eastAsia" w:ascii="宋体" w:hAnsi="宋体" w:eastAsia="宋体" w:cs="宋体"/>
          <w:sz w:val="24"/>
        </w:rPr>
        <w:t>万元转为资本公积</w:t>
      </w:r>
      <w:r>
        <w:rPr>
          <w:rFonts w:hint="eastAsia" w:ascii="宋体" w:hAnsi="宋体" w:eastAsia="宋体" w:cs="宋体"/>
          <w:sz w:val="10"/>
        </w:rPr>
        <w:t>，</w:t>
      </w:r>
      <w:r>
        <w:rPr>
          <w:rFonts w:hint="eastAsia" w:ascii="宋体" w:hAnsi="宋体" w:eastAsia="宋体" w:cs="宋体"/>
          <w:sz w:val="24"/>
        </w:rPr>
        <w:t>整体变更为福建顶点软件股份有限公司</w:t>
      </w:r>
      <w:r>
        <w:rPr>
          <w:rFonts w:hint="eastAsia" w:ascii="宋体" w:hAnsi="宋体" w:eastAsia="宋体" w:cs="宋体"/>
          <w:sz w:val="10"/>
        </w:rPr>
        <w:t>。</w:t>
      </w:r>
      <w:r>
        <w:rPr>
          <w:rFonts w:hint="eastAsia" w:ascii="宋体" w:hAnsi="宋体" w:eastAsia="宋体" w:cs="宋体"/>
          <w:sz w:val="24"/>
        </w:rPr>
        <w:t>深圳华鹏会计师事务所出具了</w:t>
      </w:r>
      <w:r>
        <w:rPr>
          <w:rFonts w:hint="eastAsia" w:ascii="宋体" w:hAnsi="宋体" w:eastAsia="宋体" w:cs="宋体"/>
          <w:sz w:val="10"/>
        </w:rPr>
        <w:t>“</w:t>
      </w:r>
      <w:r>
        <w:rPr>
          <w:rFonts w:hint="eastAsia" w:ascii="宋体" w:hAnsi="宋体" w:eastAsia="宋体" w:cs="宋体"/>
          <w:sz w:val="24"/>
        </w:rPr>
        <w:t>华鹏股改字</w:t>
      </w:r>
      <w:r>
        <w:rPr>
          <w:rFonts w:hint="eastAsia" w:ascii="Times New Roman" w:hAnsi="Times New Roman" w:eastAsia="Times New Roman" w:cs="Times New Roman"/>
          <w:sz w:val="24"/>
        </w:rPr>
        <w:t>[2000]010-3</w:t>
      </w:r>
      <w:r>
        <w:rPr>
          <w:rFonts w:hint="eastAsia" w:ascii="宋体" w:hAnsi="宋体" w:eastAsia="宋体" w:cs="宋体"/>
          <w:sz w:val="24"/>
        </w:rPr>
        <w:t xml:space="preserve"> 号</w:t>
      </w:r>
      <w:r>
        <w:rPr>
          <w:rFonts w:hint="eastAsia" w:ascii="宋体" w:hAnsi="宋体" w:eastAsia="宋体" w:cs="宋体"/>
          <w:sz w:val="10"/>
        </w:rPr>
        <w:t>”</w:t>
      </w:r>
      <w:r>
        <w:rPr>
          <w:rFonts w:hint="eastAsia" w:ascii="宋体" w:hAnsi="宋体" w:eastAsia="宋体" w:cs="宋体"/>
          <w:sz w:val="24"/>
        </w:rPr>
        <w:t>验资报告对整体变更进行了审验</w:t>
      </w:r>
      <w:r>
        <w:rPr>
          <w:rFonts w:hint="eastAsia" w:ascii="宋体" w:hAnsi="宋体" w:eastAsia="宋体" w:cs="宋体"/>
          <w:sz w:val="10"/>
        </w:rPr>
        <w:t>。</w:t>
      </w:r>
      <w:r>
        <w:rPr>
          <w:rFonts w:hint="eastAsia" w:ascii="宋体" w:hAnsi="宋体" w:eastAsia="宋体" w:cs="宋体"/>
          <w:sz w:val="24"/>
        </w:rPr>
        <w:t>致同所出具了</w:t>
      </w:r>
      <w:r>
        <w:rPr>
          <w:rFonts w:hint="eastAsia" w:ascii="宋体" w:hAnsi="宋体" w:eastAsia="宋体" w:cs="宋体"/>
          <w:sz w:val="10"/>
        </w:rPr>
        <w:t>“</w:t>
      </w:r>
      <w:r>
        <w:rPr>
          <w:rFonts w:hint="eastAsia" w:ascii="宋体" w:hAnsi="宋体" w:eastAsia="宋体" w:cs="宋体"/>
          <w:sz w:val="24"/>
        </w:rPr>
        <w:t>致同专字</w:t>
      </w:r>
      <w:r>
        <w:rPr>
          <w:rFonts w:hint="eastAsia" w:ascii="Times New Roman" w:hAnsi="Times New Roman" w:eastAsia="Times New Roman" w:cs="Times New Roman"/>
          <w:sz w:val="24"/>
        </w:rPr>
        <w:t>(2015)</w:t>
      </w:r>
      <w:r>
        <w:rPr>
          <w:rFonts w:hint="eastAsia" w:ascii="宋体" w:hAnsi="宋体" w:eastAsia="宋体" w:cs="宋体"/>
          <w:sz w:val="24"/>
        </w:rPr>
        <w:t>第</w:t>
      </w:r>
      <w:r>
        <w:rPr>
          <w:rFonts w:hint="eastAsia" w:ascii="Times New Roman" w:hAnsi="Times New Roman" w:eastAsia="Times New Roman" w:cs="Times New Roman"/>
          <w:sz w:val="24"/>
        </w:rPr>
        <w:t xml:space="preserve"> 350ZA0216</w:t>
      </w:r>
      <w:r>
        <w:rPr>
          <w:rFonts w:hint="eastAsia" w:ascii="宋体" w:hAnsi="宋体" w:eastAsia="宋体" w:cs="宋体"/>
          <w:sz w:val="24"/>
        </w:rPr>
        <w:t xml:space="preserve"> 号</w:t>
      </w:r>
      <w:r>
        <w:rPr>
          <w:rFonts w:hint="eastAsia" w:ascii="宋体" w:hAnsi="宋体" w:eastAsia="宋体" w:cs="宋体"/>
          <w:sz w:val="10"/>
        </w:rPr>
        <w:t>”《</w:t>
      </w:r>
      <w:r>
        <w:rPr>
          <w:rFonts w:hint="eastAsia" w:ascii="宋体" w:hAnsi="宋体" w:eastAsia="宋体" w:cs="宋体"/>
          <w:sz w:val="24"/>
        </w:rPr>
        <w:t>验资复核报告》对上述验资进行了复核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27</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福建省人民政府出具《关于同意福州顶点计算机软件有</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60"/>
        <w:jc w:val="both"/>
      </w:pPr>
      <w:r>
        <w:rPr>
          <w:rFonts w:hint="eastAsia" w:ascii="Times New Roman" w:hAnsi="Times New Roman" w:eastAsia="Times New Roman" w:cs="Times New Roman"/>
          <w:sz w:val="21"/>
        </w:rPr>
        <w:t>1-1-46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20"/>
        <w:jc w:val="both"/>
      </w:pPr>
      <w:r>
        <w:rPr>
          <w:rFonts w:hint="eastAsia" w:ascii="宋体" w:hAnsi="宋体" w:eastAsia="宋体" w:cs="宋体"/>
          <w:sz w:val="24"/>
        </w:rPr>
        <w:t>限公司变更为福建顶点软件股份有限公司的批复》（闽政体股</w:t>
      </w:r>
      <w:r>
        <w:rPr>
          <w:rFonts w:hint="eastAsia" w:ascii="Times New Roman" w:hAnsi="Times New Roman" w:eastAsia="Times New Roman" w:cs="Times New Roman"/>
          <w:sz w:val="24"/>
        </w:rPr>
        <w:t>[2000]25</w:t>
      </w:r>
      <w:r>
        <w:rPr>
          <w:rFonts w:hint="eastAsia" w:ascii="宋体" w:hAnsi="宋体" w:eastAsia="宋体" w:cs="宋体"/>
          <w:sz w:val="24"/>
        </w:rPr>
        <w:t xml:space="preserve"> 号），</w:t>
      </w:r>
      <w:r>
        <w:rPr>
          <w:rFonts w:hint="eastAsia" w:ascii="宋体" w:hAnsi="宋体" w:eastAsia="宋体" w:cs="宋体"/>
          <w:sz w:val="24"/>
        </w:rPr>
        <w:t>同意顶点有限整体变更为股份有限公司</w:t>
      </w:r>
      <w:r>
        <w:rPr>
          <w:rFonts w:hint="eastAsia" w:ascii="宋体" w:hAnsi="宋体" w:eastAsia="宋体" w:cs="宋体"/>
          <w:sz w:val="10"/>
        </w:rPr>
        <w:t>。</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公司领取了由福建省工商行政管理局颁发的注册号为</w:t>
      </w:r>
      <w:r>
        <w:rPr>
          <w:rFonts w:hint="eastAsia" w:ascii="Times New Roman" w:hAnsi="Times New Roman" w:eastAsia="Times New Roman" w:cs="Times New Roman"/>
          <w:sz w:val="24"/>
        </w:rPr>
        <w:t xml:space="preserve"> 3500002001100</w:t>
      </w:r>
      <w:r>
        <w:rPr>
          <w:rFonts w:hint="eastAsia" w:ascii="宋体" w:hAnsi="宋体" w:eastAsia="宋体" w:cs="宋体"/>
          <w:sz w:val="24"/>
        </w:rPr>
        <w:t xml:space="preserve"> 的《企业法人营业执照》。</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（二）发起人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公司整体变更设立时共有</w:t>
      </w:r>
      <w:r>
        <w:rPr>
          <w:rFonts w:hint="eastAsia" w:ascii="Times New Roman" w:hAnsi="Times New Roman" w:eastAsia="Times New Roman" w:cs="Times New Roman"/>
          <w:sz w:val="24"/>
        </w:rPr>
        <w:t xml:space="preserve"> 23</w:t>
      </w:r>
      <w:r>
        <w:rPr>
          <w:rFonts w:hint="eastAsia" w:ascii="宋体" w:hAnsi="宋体" w:eastAsia="宋体" w:cs="宋体"/>
          <w:sz w:val="24"/>
        </w:rPr>
        <w:t xml:space="preserve"> 名发起人</w:t>
      </w:r>
      <w:r>
        <w:rPr>
          <w:rFonts w:hint="eastAsia" w:ascii="宋体" w:hAnsi="宋体" w:eastAsia="宋体" w:cs="宋体"/>
          <w:sz w:val="10"/>
        </w:rPr>
        <w:t>，</w:t>
      </w:r>
      <w:r>
        <w:rPr>
          <w:rFonts w:hint="eastAsia" w:ascii="宋体" w:hAnsi="宋体" w:eastAsia="宋体" w:cs="宋体"/>
          <w:sz w:val="24"/>
        </w:rPr>
        <w:t>具体情况如下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180"/>
        <w:gridCol w:w="2600"/>
        <w:gridCol w:w="2560"/>
      </w:tblGrid>
      <w:tr>
        <w:trPr>
          <w:trHeight w:val="480" w:hRule="exact"/>
        </w:trPr>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序号</w:t>
            </w:r>
          </w:p>
        </w:tc>
        <w:tc>
          <w:tcPr>
            <w:tcW w:w="2180" w:type="dxa"/>
            <w:tcMar>
              <w:top w:w="0" w:type="dxa"/>
              <w:left w:w="0" w:type="dxa"/>
              <w:bottom w:w="0" w:type="dxa"/>
              <w:right w:w="0" w:type="dxa"/>
            </w:tcMar>
          </w:tcPr>
          <w:p>
            <w:pPr>
              <w:spacing w:before="120"/>
              <w:ind w:left="660"/>
            </w:pPr>
            <w:r>
              <w:rPr>
                <w:rFonts w:hint="eastAsia" w:ascii="宋体" w:hAnsi="宋体" w:eastAsia="宋体" w:cs="宋体"/>
                <w:b/>
                <w:sz w:val="21"/>
              </w:rPr>
              <w:t>股东姓名</w:t>
            </w:r>
          </w:p>
        </w:tc>
        <w:tc>
          <w:tcPr>
            <w:tcW w:w="2600" w:type="dxa"/>
            <w:tcMar>
              <w:top w:w="0" w:type="dxa"/>
              <w:left w:w="0" w:type="dxa"/>
              <w:bottom w:w="0" w:type="dxa"/>
              <w:right w:w="0" w:type="dxa"/>
            </w:tcMar>
          </w:tcPr>
          <w:p>
            <w:pPr>
              <w:spacing w:before="120"/>
              <w:ind w:left="440"/>
            </w:pPr>
            <w:r>
              <w:rPr>
                <w:rFonts w:hint="eastAsia" w:ascii="宋体" w:hAnsi="宋体" w:eastAsia="宋体" w:cs="宋体"/>
                <w:b/>
                <w:sz w:val="21"/>
              </w:rPr>
              <w:t>股份数量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560" w:type="dxa"/>
            <w:tcMar>
              <w:top w:w="0" w:type="dxa"/>
              <w:left w:w="0" w:type="dxa"/>
              <w:bottom w:w="0" w:type="dxa"/>
              <w:right w:w="0" w:type="dxa"/>
            </w:tcMar>
          </w:tcPr>
          <w:p>
            <w:pPr>
              <w:spacing w:before="120"/>
              <w:ind w:left="840"/>
            </w:pPr>
            <w:r>
              <w:rPr>
                <w:rFonts w:hint="eastAsia" w:ascii="宋体" w:hAnsi="宋体" w:eastAsia="宋体" w:cs="宋体"/>
                <w:b/>
                <w:sz w:val="21"/>
              </w:rPr>
              <w:t>股权比例</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1</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严孟宇</w:t>
            </w:r>
          </w:p>
        </w:tc>
        <w:tc>
          <w:tcPr>
            <w:tcW w:w="260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933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60"/>
              <w:ind w:left="94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董南勇</w:t>
            </w:r>
          </w:p>
        </w:tc>
        <w:tc>
          <w:tcPr>
            <w:tcW w:w="260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367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60" w:type="dxa"/>
            <w:tcMar>
              <w:top w:w="0" w:type="dxa"/>
              <w:left w:w="0" w:type="dxa"/>
              <w:bottom w:w="0" w:type="dxa"/>
              <w:right w:w="0" w:type="dxa"/>
            </w:tcMar>
          </w:tcPr>
          <w:p>
            <w:pPr>
              <w:spacing w:before="140"/>
              <w:ind w:left="94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3</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赵伟</w:t>
            </w:r>
          </w:p>
        </w:tc>
        <w:tc>
          <w:tcPr>
            <w:tcW w:w="260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302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60" w:type="dxa"/>
            <w:tcMar>
              <w:top w:w="0" w:type="dxa"/>
              <w:left w:w="0" w:type="dxa"/>
              <w:bottom w:w="0" w:type="dxa"/>
              <w:right w:w="0" w:type="dxa"/>
            </w:tcMar>
          </w:tcPr>
          <w:p>
            <w:pPr>
              <w:spacing w:before="160"/>
              <w:ind w:left="94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4</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雷世潘</w:t>
            </w:r>
          </w:p>
        </w:tc>
        <w:tc>
          <w:tcPr>
            <w:tcW w:w="260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136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5</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赵莹</w:t>
            </w:r>
          </w:p>
        </w:tc>
        <w:tc>
          <w:tcPr>
            <w:tcW w:w="2600" w:type="dxa"/>
            <w:tcMar>
              <w:top w:w="0" w:type="dxa"/>
              <w:left w:w="0" w:type="dxa"/>
              <w:bottom w:w="0" w:type="dxa"/>
              <w:right w:w="0" w:type="dxa"/>
            </w:tcMar>
          </w:tcPr>
          <w:p>
            <w:pPr>
              <w:spacing w:before="180"/>
              <w:ind w:left="1000"/>
            </w:pPr>
            <w:r>
              <w:rPr>
                <w:rFonts w:hint="eastAsia" w:ascii="Times New Roman" w:hAnsi="Times New Roman" w:eastAsia="Times New Roman" w:cs="Times New Roman"/>
                <w:sz w:val="21"/>
              </w:rPr>
              <w:t>135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80"/>
              <w:ind w:left="10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6</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余养成</w:t>
            </w:r>
          </w:p>
        </w:tc>
        <w:tc>
          <w:tcPr>
            <w:tcW w:w="260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114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7</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陈建</w:t>
            </w:r>
          </w:p>
        </w:tc>
        <w:tc>
          <w:tcPr>
            <w:tcW w:w="260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101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8</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张玉</w:t>
            </w:r>
          </w:p>
        </w:tc>
        <w:tc>
          <w:tcPr>
            <w:tcW w:w="2600" w:type="dxa"/>
            <w:tcMar>
              <w:top w:w="0" w:type="dxa"/>
              <w:left w:w="0" w:type="dxa"/>
              <w:bottom w:w="0" w:type="dxa"/>
              <w:right w:w="0" w:type="dxa"/>
            </w:tcMar>
          </w:tcPr>
          <w:p>
            <w:pPr>
              <w:spacing w:before="180"/>
              <w:ind w:left="1040"/>
            </w:pP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60" w:type="dxa"/>
            <w:tcMar>
              <w:top w:w="0" w:type="dxa"/>
              <w:left w:w="0" w:type="dxa"/>
              <w:bottom w:w="0" w:type="dxa"/>
              <w:right w:w="0" w:type="dxa"/>
            </w:tcMar>
          </w:tcPr>
          <w:p>
            <w:pPr>
              <w:spacing w:before="180"/>
              <w:ind w:left="10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9</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欧永</w:t>
            </w:r>
          </w:p>
        </w:tc>
        <w:tc>
          <w:tcPr>
            <w:tcW w:w="2600" w:type="dxa"/>
            <w:tcMar>
              <w:top w:w="0" w:type="dxa"/>
              <w:left w:w="0" w:type="dxa"/>
              <w:bottom w:w="0" w:type="dxa"/>
              <w:right w:w="0" w:type="dxa"/>
            </w:tcMar>
          </w:tcPr>
          <w:p>
            <w:pPr>
              <w:spacing w:before="160"/>
              <w:ind w:left="104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10</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曹永强</w:t>
            </w:r>
          </w:p>
        </w:tc>
        <w:tc>
          <w:tcPr>
            <w:tcW w:w="2600" w:type="dxa"/>
            <w:tcMar>
              <w:top w:w="0" w:type="dxa"/>
              <w:left w:w="0" w:type="dxa"/>
              <w:bottom w:w="0" w:type="dxa"/>
              <w:right w:w="0" w:type="dxa"/>
            </w:tcMar>
          </w:tcPr>
          <w:p>
            <w:pPr>
              <w:spacing w:before="160"/>
              <w:ind w:left="104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11</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戴小戈</w:t>
            </w:r>
          </w:p>
        </w:tc>
        <w:tc>
          <w:tcPr>
            <w:tcW w:w="2600" w:type="dxa"/>
            <w:tcMar>
              <w:top w:w="0" w:type="dxa"/>
              <w:left w:w="0" w:type="dxa"/>
              <w:bottom w:w="0" w:type="dxa"/>
              <w:right w:w="0" w:type="dxa"/>
            </w:tcMar>
          </w:tcPr>
          <w:p>
            <w:pPr>
              <w:spacing w:before="160"/>
              <w:ind w:left="104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12</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刘法先</w:t>
            </w:r>
          </w:p>
        </w:tc>
        <w:tc>
          <w:tcPr>
            <w:tcW w:w="2600" w:type="dxa"/>
            <w:tcMar>
              <w:top w:w="0" w:type="dxa"/>
              <w:left w:w="0" w:type="dxa"/>
              <w:bottom w:w="0" w:type="dxa"/>
              <w:right w:w="0" w:type="dxa"/>
            </w:tcMar>
          </w:tcPr>
          <w:p>
            <w:pPr>
              <w:spacing w:before="160"/>
              <w:ind w:left="10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13</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林秀红</w:t>
            </w:r>
          </w:p>
        </w:tc>
        <w:tc>
          <w:tcPr>
            <w:tcW w:w="2600" w:type="dxa"/>
            <w:tcMar>
              <w:top w:w="0" w:type="dxa"/>
              <w:left w:w="0" w:type="dxa"/>
              <w:bottom w:w="0" w:type="dxa"/>
              <w:right w:w="0" w:type="dxa"/>
            </w:tcMar>
          </w:tcPr>
          <w:p>
            <w:pPr>
              <w:spacing w:before="180"/>
              <w:ind w:left="1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14</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徐传秋</w:t>
            </w:r>
          </w:p>
        </w:tc>
        <w:tc>
          <w:tcPr>
            <w:tcW w:w="2600" w:type="dxa"/>
            <w:tcMar>
              <w:top w:w="0" w:type="dxa"/>
              <w:left w:w="0" w:type="dxa"/>
              <w:bottom w:w="0" w:type="dxa"/>
              <w:right w:w="0" w:type="dxa"/>
            </w:tcMar>
          </w:tcPr>
          <w:p>
            <w:pPr>
              <w:spacing w:before="140"/>
              <w:ind w:left="1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15</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邓志强</w:t>
            </w:r>
          </w:p>
        </w:tc>
        <w:tc>
          <w:tcPr>
            <w:tcW w:w="2600" w:type="dxa"/>
            <w:tcMar>
              <w:top w:w="0" w:type="dxa"/>
              <w:left w:w="0" w:type="dxa"/>
              <w:bottom w:w="0" w:type="dxa"/>
              <w:right w:w="0" w:type="dxa"/>
            </w:tcMar>
          </w:tcPr>
          <w:p>
            <w:pPr>
              <w:spacing w:before="160"/>
              <w:ind w:left="1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16</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王敏航</w:t>
            </w:r>
          </w:p>
        </w:tc>
        <w:tc>
          <w:tcPr>
            <w:tcW w:w="2600" w:type="dxa"/>
            <w:tcMar>
              <w:top w:w="0" w:type="dxa"/>
              <w:left w:w="0" w:type="dxa"/>
              <w:bottom w:w="0" w:type="dxa"/>
              <w:right w:w="0" w:type="dxa"/>
            </w:tcMar>
          </w:tcPr>
          <w:p>
            <w:pPr>
              <w:spacing w:before="160"/>
              <w:ind w:left="1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17</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郑元通</w:t>
            </w:r>
          </w:p>
        </w:tc>
        <w:tc>
          <w:tcPr>
            <w:tcW w:w="2600" w:type="dxa"/>
            <w:tcMar>
              <w:top w:w="0" w:type="dxa"/>
              <w:left w:w="0" w:type="dxa"/>
              <w:bottom w:w="0" w:type="dxa"/>
              <w:right w:w="0" w:type="dxa"/>
            </w:tcMar>
          </w:tcPr>
          <w:p>
            <w:pPr>
              <w:spacing w:before="180"/>
              <w:ind w:left="10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8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18</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张雄金</w:t>
            </w:r>
          </w:p>
        </w:tc>
        <w:tc>
          <w:tcPr>
            <w:tcW w:w="2600" w:type="dxa"/>
            <w:tcMar>
              <w:top w:w="0" w:type="dxa"/>
              <w:left w:w="0" w:type="dxa"/>
              <w:bottom w:w="0" w:type="dxa"/>
              <w:right w:w="0" w:type="dxa"/>
            </w:tcMar>
          </w:tcPr>
          <w:p>
            <w:pPr>
              <w:spacing w:before="140"/>
              <w:ind w:left="10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19</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鄢继华</w:t>
            </w:r>
          </w:p>
        </w:tc>
        <w:tc>
          <w:tcPr>
            <w:tcW w:w="2600" w:type="dxa"/>
            <w:tcMar>
              <w:top w:w="0" w:type="dxa"/>
              <w:left w:w="0" w:type="dxa"/>
              <w:bottom w:w="0" w:type="dxa"/>
              <w:right w:w="0" w:type="dxa"/>
            </w:tcMar>
          </w:tcPr>
          <w:p>
            <w:pPr>
              <w:spacing w:before="160"/>
              <w:ind w:left="10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20</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谢淑仁</w:t>
            </w:r>
          </w:p>
        </w:tc>
        <w:tc>
          <w:tcPr>
            <w:tcW w:w="2600" w:type="dxa"/>
            <w:tcMar>
              <w:top w:w="0" w:type="dxa"/>
              <w:left w:w="0" w:type="dxa"/>
              <w:bottom w:w="0" w:type="dxa"/>
              <w:right w:w="0" w:type="dxa"/>
            </w:tcMar>
          </w:tcPr>
          <w:p>
            <w:pPr>
              <w:spacing w:before="160"/>
              <w:ind w:left="10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21</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杜建强</w:t>
            </w:r>
          </w:p>
        </w:tc>
        <w:tc>
          <w:tcPr>
            <w:tcW w:w="2600" w:type="dxa"/>
            <w:tcMar>
              <w:top w:w="0" w:type="dxa"/>
              <w:left w:w="0" w:type="dxa"/>
              <w:bottom w:w="0" w:type="dxa"/>
              <w:right w:w="0" w:type="dxa"/>
            </w:tcMar>
          </w:tcPr>
          <w:p>
            <w:pPr>
              <w:spacing w:before="180"/>
              <w:ind w:left="10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22</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陈瑞德</w:t>
            </w:r>
          </w:p>
        </w:tc>
        <w:tc>
          <w:tcPr>
            <w:tcW w:w="2600" w:type="dxa"/>
            <w:tcMar>
              <w:top w:w="0" w:type="dxa"/>
              <w:left w:w="0" w:type="dxa"/>
              <w:bottom w:w="0" w:type="dxa"/>
              <w:right w:w="0" w:type="dxa"/>
            </w:tcMar>
          </w:tcPr>
          <w:p>
            <w:pPr>
              <w:spacing w:before="140"/>
              <w:ind w:left="10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1-1-47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180"/>
        <w:gridCol w:w="2600"/>
        <w:gridCol w:w="2560"/>
      </w:tblGrid>
      <w:tr>
        <w:trPr>
          <w:trHeight w:val="480" w:hRule="exact"/>
        </w:trPr>
        <w:tc>
          <w:tcPr>
            <w:tcW w:w="118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23</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陈建国</w:t>
            </w:r>
          </w:p>
        </w:tc>
        <w:tc>
          <w:tcPr>
            <w:tcW w:w="2600" w:type="dxa"/>
            <w:tcMar>
              <w:top w:w="0" w:type="dxa"/>
              <w:left w:w="0" w:type="dxa"/>
              <w:bottom w:w="0" w:type="dxa"/>
              <w:right w:w="0" w:type="dxa"/>
            </w:tcMar>
          </w:tcPr>
          <w:p>
            <w:pPr>
              <w:spacing w:before="140"/>
              <w:ind w:left="10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3360" w:type="dxa"/>
            <w:gridSpan w:val="2"/>
            <w:tcMar>
              <w:top w:w="0" w:type="dxa"/>
              <w:left w:w="0" w:type="dxa"/>
              <w:bottom w:w="0" w:type="dxa"/>
              <w:right w:w="0" w:type="dxa"/>
            </w:tcMar>
          </w:tcPr>
          <w:p>
            <w:pPr>
              <w:spacing w:before="120"/>
              <w:ind w:left="1460"/>
            </w:pPr>
            <w:r>
              <w:rPr>
                <w:rFonts w:hint="eastAsia" w:ascii="宋体" w:hAnsi="宋体" w:eastAsia="宋体" w:cs="宋体"/>
                <w:b/>
                <w:sz w:val="21"/>
              </w:rPr>
              <w:t>合计</w:t>
            </w:r>
          </w:p>
        </w:tc>
        <w:tc>
          <w:tcPr>
            <w:tcW w:w="2600" w:type="dxa"/>
            <w:tcMar>
              <w:top w:w="0" w:type="dxa"/>
              <w:left w:w="0" w:type="dxa"/>
              <w:bottom w:w="0" w:type="dxa"/>
              <w:right w:w="0" w:type="dxa"/>
            </w:tcMar>
          </w:tcPr>
          <w:p>
            <w:pPr>
              <w:spacing w:before="160"/>
              <w:ind w:left="920"/>
            </w:pP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560" w:type="dxa"/>
            <w:tcMar>
              <w:top w:w="0" w:type="dxa"/>
              <w:left w:w="0" w:type="dxa"/>
              <w:bottom w:w="0" w:type="dxa"/>
              <w:right w:w="0" w:type="dxa"/>
            </w:tcMar>
          </w:tcPr>
          <w:p>
            <w:pPr>
              <w:spacing w:before="140"/>
              <w:ind w:left="8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宋体" w:hAnsi="宋体" w:eastAsia="宋体" w:cs="宋体"/>
          <w:b/>
          <w:sz w:val="20"/>
        </w:rPr>
        <w:t>（</w:t>
      </w:r>
      <w:r>
        <w:rPr>
          <w:rFonts w:hint="eastAsia" w:ascii="宋体" w:hAnsi="宋体" w:eastAsia="宋体" w:cs="宋体"/>
          <w:b/>
          <w:sz w:val="24"/>
        </w:rPr>
        <w:t>三）主要发起人在发行人设立前后拥有的资产和实际从事的主要业务</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公司主要发起人为严孟宇</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赵莹</w:t>
      </w:r>
      <w:r>
        <w:rPr>
          <w:rFonts w:hint="eastAsia" w:ascii="宋体" w:hAnsi="宋体" w:eastAsia="宋体" w:cs="宋体"/>
          <w:sz w:val="10"/>
        </w:rPr>
        <w:t>。</w:t>
      </w:r>
      <w:r>
        <w:rPr>
          <w:rFonts w:hint="eastAsia" w:ascii="宋体" w:hAnsi="宋体" w:eastAsia="宋体" w:cs="宋体"/>
          <w:sz w:val="24"/>
        </w:rPr>
        <w:t>在发行人改制设立之前</w:t>
      </w:r>
      <w:r>
        <w:rPr>
          <w:rFonts w:hint="eastAsia" w:ascii="宋体" w:hAnsi="宋体" w:eastAsia="宋体" w:cs="宋体"/>
          <w:sz w:val="10"/>
        </w:rPr>
        <w:t>，</w:t>
      </w:r>
      <w:r>
        <w:rPr>
          <w:rFonts w:hint="eastAsia" w:ascii="宋体" w:hAnsi="宋体" w:eastAsia="宋体" w:cs="宋体"/>
          <w:sz w:val="24"/>
        </w:rPr>
        <w:t>严孟宇拥有的主要资产为持有顶点有限</w:t>
      </w:r>
      <w:r>
        <w:rPr>
          <w:rFonts w:hint="eastAsia" w:ascii="Times New Roman" w:hAnsi="Times New Roman" w:eastAsia="Times New Roman" w:cs="Times New Roman"/>
          <w:sz w:val="24"/>
        </w:rPr>
        <w:t xml:space="preserve"> 37.32%</w:t>
      </w:r>
      <w:r>
        <w:rPr>
          <w:rFonts w:hint="eastAsia" w:ascii="宋体" w:hAnsi="宋体" w:eastAsia="宋体" w:cs="宋体"/>
          <w:sz w:val="24"/>
        </w:rPr>
        <w:t>的股权</w:t>
      </w:r>
      <w:r>
        <w:rPr>
          <w:rFonts w:hint="eastAsia" w:ascii="宋体" w:hAnsi="宋体" w:eastAsia="宋体" w:cs="宋体"/>
          <w:sz w:val="10"/>
        </w:rPr>
        <w:t>，</w:t>
      </w:r>
      <w:r>
        <w:rPr>
          <w:rFonts w:hint="eastAsia" w:ascii="宋体" w:hAnsi="宋体" w:eastAsia="宋体" w:cs="宋体"/>
          <w:sz w:val="24"/>
        </w:rPr>
        <w:t>并任顶点有限董事长兼总经理</w:t>
      </w:r>
      <w:r>
        <w:rPr>
          <w:rFonts w:hint="eastAsia" w:ascii="宋体" w:hAnsi="宋体" w:eastAsia="宋体" w:cs="宋体"/>
          <w:sz w:val="12"/>
        </w:rPr>
        <w:t>；</w:t>
      </w:r>
      <w:r>
        <w:rPr>
          <w:rFonts w:hint="eastAsia" w:ascii="宋体" w:hAnsi="宋体" w:eastAsia="宋体" w:cs="宋体"/>
          <w:sz w:val="24"/>
        </w:rPr>
        <w:t>董南勇拥有的主要资产为持有顶点有限</w:t>
      </w:r>
      <w:r>
        <w:rPr>
          <w:rFonts w:hint="eastAsia" w:ascii="Times New Roman" w:hAnsi="Times New Roman" w:eastAsia="Times New Roman" w:cs="Times New Roman"/>
          <w:sz w:val="24"/>
        </w:rPr>
        <w:t xml:space="preserve"> 14.71%</w:t>
      </w:r>
      <w:r>
        <w:rPr>
          <w:rFonts w:hint="eastAsia" w:ascii="宋体" w:hAnsi="宋体" w:eastAsia="宋体" w:cs="宋体"/>
          <w:sz w:val="24"/>
        </w:rPr>
        <w:t>的股权</w:t>
      </w:r>
      <w:r>
        <w:rPr>
          <w:rFonts w:hint="eastAsia" w:ascii="宋体" w:hAnsi="宋体" w:eastAsia="宋体" w:cs="宋体"/>
          <w:sz w:val="10"/>
        </w:rPr>
        <w:t>，</w:t>
      </w:r>
      <w:r>
        <w:rPr>
          <w:rFonts w:hint="eastAsia" w:ascii="宋体" w:hAnsi="宋体" w:eastAsia="宋体" w:cs="宋体"/>
          <w:sz w:val="24"/>
        </w:rPr>
        <w:t>并任顶点有限副董事长兼副总经理</w:t>
      </w:r>
      <w:r>
        <w:rPr>
          <w:rFonts w:hint="eastAsia" w:ascii="宋体" w:hAnsi="宋体" w:eastAsia="宋体" w:cs="宋体"/>
          <w:sz w:val="14"/>
        </w:rPr>
        <w:t>；</w:t>
      </w:r>
      <w:r>
        <w:rPr>
          <w:rFonts w:hint="eastAsia" w:ascii="宋体" w:hAnsi="宋体" w:eastAsia="宋体" w:cs="宋体"/>
          <w:sz w:val="24"/>
        </w:rPr>
        <w:t>赵伟拥有的主要资产为持有顶点有限</w:t>
      </w:r>
      <w:r>
        <w:rPr>
          <w:rFonts w:hint="eastAsia" w:ascii="Times New Roman" w:hAnsi="Times New Roman" w:eastAsia="Times New Roman" w:cs="Times New Roman"/>
          <w:sz w:val="24"/>
        </w:rPr>
        <w:t xml:space="preserve"> 12.11%</w:t>
      </w:r>
      <w:r>
        <w:rPr>
          <w:rFonts w:hint="eastAsia" w:ascii="宋体" w:hAnsi="宋体" w:eastAsia="宋体" w:cs="宋体"/>
          <w:sz w:val="24"/>
        </w:rPr>
        <w:t>的股权</w:t>
      </w:r>
      <w:r>
        <w:rPr>
          <w:rFonts w:hint="eastAsia" w:ascii="宋体" w:hAnsi="宋体" w:eastAsia="宋体" w:cs="宋体"/>
          <w:sz w:val="10"/>
        </w:rPr>
        <w:t>，</w:t>
      </w:r>
      <w:r>
        <w:rPr>
          <w:rFonts w:hint="eastAsia" w:ascii="宋体" w:hAnsi="宋体" w:eastAsia="宋体" w:cs="宋体"/>
          <w:sz w:val="24"/>
        </w:rPr>
        <w:t>并任顶点有限董事兼副总经理</w:t>
      </w:r>
      <w:r>
        <w:rPr>
          <w:rFonts w:hint="eastAsia" w:ascii="宋体" w:hAnsi="宋体" w:eastAsia="宋体" w:cs="宋体"/>
          <w:sz w:val="12"/>
        </w:rPr>
        <w:t>；</w:t>
      </w:r>
      <w:r>
        <w:rPr>
          <w:rFonts w:hint="eastAsia" w:ascii="宋体" w:hAnsi="宋体" w:eastAsia="宋体" w:cs="宋体"/>
          <w:sz w:val="24"/>
        </w:rPr>
        <w:t>雷世潘拥有的主要资产为持有顶点有限</w:t>
      </w:r>
      <w:r>
        <w:rPr>
          <w:rFonts w:hint="eastAsia" w:ascii="Times New Roman" w:hAnsi="Times New Roman" w:eastAsia="Times New Roman" w:cs="Times New Roman"/>
          <w:sz w:val="24"/>
        </w:rPr>
        <w:t>5.45%</w:t>
      </w:r>
      <w:r>
        <w:rPr>
          <w:rFonts w:hint="eastAsia" w:ascii="宋体" w:hAnsi="宋体" w:eastAsia="宋体" w:cs="宋体"/>
          <w:sz w:val="24"/>
        </w:rPr>
        <w:t>的股权</w:t>
      </w:r>
      <w:r>
        <w:rPr>
          <w:rFonts w:hint="eastAsia" w:ascii="宋体" w:hAnsi="宋体" w:eastAsia="宋体" w:cs="宋体"/>
          <w:sz w:val="10"/>
        </w:rPr>
        <w:t>，</w:t>
      </w:r>
      <w:r>
        <w:rPr>
          <w:rFonts w:hint="eastAsia" w:ascii="宋体" w:hAnsi="宋体" w:eastAsia="宋体" w:cs="宋体"/>
          <w:sz w:val="24"/>
        </w:rPr>
        <w:t>并任顶点有限董事</w:t>
      </w:r>
      <w:r>
        <w:rPr>
          <w:rFonts w:hint="eastAsia" w:ascii="宋体" w:hAnsi="宋体" w:eastAsia="宋体" w:cs="宋体"/>
          <w:sz w:val="14"/>
        </w:rPr>
        <w:t>；</w:t>
      </w:r>
      <w:r>
        <w:rPr>
          <w:rFonts w:hint="eastAsia" w:ascii="宋体" w:hAnsi="宋体" w:eastAsia="宋体" w:cs="宋体"/>
          <w:sz w:val="24"/>
        </w:rPr>
        <w:t>赵莹拥有的主要资产为持有顶点有限</w:t>
      </w:r>
      <w:r>
        <w:rPr>
          <w:rFonts w:hint="eastAsia" w:ascii="Times New Roman" w:hAnsi="Times New Roman" w:eastAsia="Times New Roman" w:cs="Times New Roman"/>
          <w:sz w:val="24"/>
        </w:rPr>
        <w:t xml:space="preserve"> 5.41%</w:t>
      </w:r>
      <w:r>
        <w:rPr>
          <w:rFonts w:hint="eastAsia" w:ascii="宋体" w:hAnsi="宋体" w:eastAsia="宋体" w:cs="宋体"/>
          <w:sz w:val="24"/>
        </w:rPr>
        <w:t>的股权</w:t>
      </w:r>
      <w:r>
        <w:rPr>
          <w:rFonts w:hint="eastAsia" w:ascii="宋体" w:hAnsi="宋体" w:eastAsia="宋体" w:cs="宋体"/>
          <w:sz w:val="10"/>
        </w:rPr>
        <w:t>，</w:t>
      </w:r>
      <w:r>
        <w:rPr>
          <w:rFonts w:hint="eastAsia" w:ascii="宋体" w:hAnsi="宋体" w:eastAsia="宋体" w:cs="宋体"/>
          <w:sz w:val="24"/>
        </w:rPr>
        <w:t>并任顶点有限华南区销售经理</w:t>
      </w:r>
      <w:r>
        <w:rPr>
          <w:rFonts w:hint="eastAsia" w:ascii="宋体" w:hAnsi="宋体" w:eastAsia="宋体" w:cs="宋体"/>
          <w:sz w:val="10"/>
        </w:rPr>
        <w:t>。</w:t>
      </w:r>
      <w:r>
        <w:rPr>
          <w:rFonts w:hint="eastAsia" w:ascii="宋体" w:hAnsi="宋体" w:eastAsia="宋体" w:cs="宋体"/>
          <w:sz w:val="24"/>
        </w:rPr>
        <w:t>公司主要发起人除在本公司任职外</w:t>
      </w:r>
      <w:r>
        <w:rPr>
          <w:rFonts w:hint="eastAsia" w:ascii="宋体" w:hAnsi="宋体" w:eastAsia="宋体" w:cs="宋体"/>
          <w:sz w:val="10"/>
        </w:rPr>
        <w:t>，</w:t>
      </w:r>
      <w:r>
        <w:rPr>
          <w:rFonts w:hint="eastAsia" w:ascii="宋体" w:hAnsi="宋体" w:eastAsia="宋体" w:cs="宋体"/>
          <w:sz w:val="24"/>
        </w:rPr>
        <w:t>未从事其他业务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（四）发行人成立时拥有的主要资产和实际从事的主要业务</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本公司系由有限责任公司整体变更设立</w:t>
      </w:r>
      <w:r>
        <w:rPr>
          <w:rFonts w:hint="eastAsia" w:ascii="宋体" w:hAnsi="宋体" w:eastAsia="宋体" w:cs="宋体"/>
          <w:sz w:val="10"/>
        </w:rPr>
        <w:t>，</w:t>
      </w:r>
      <w:r>
        <w:rPr>
          <w:rFonts w:hint="eastAsia" w:ascii="宋体" w:hAnsi="宋体" w:eastAsia="宋体" w:cs="宋体"/>
          <w:sz w:val="24"/>
        </w:rPr>
        <w:t>依法承继了顶点有限的全部资产</w:t>
      </w:r>
      <w:r>
        <w:rPr>
          <w:rFonts w:hint="eastAsia" w:ascii="宋体" w:hAnsi="宋体" w:eastAsia="宋体" w:cs="宋体"/>
          <w:sz w:val="10"/>
        </w:rPr>
        <w:t>、</w:t>
      </w:r>
      <w:r>
        <w:rPr>
          <w:rFonts w:hint="eastAsia" w:ascii="宋体" w:hAnsi="宋体" w:eastAsia="宋体" w:cs="宋体"/>
          <w:sz w:val="24"/>
        </w:rPr>
        <w:t>负债及业务</w:t>
      </w:r>
      <w:r>
        <w:rPr>
          <w:rFonts w:hint="eastAsia" w:ascii="宋体" w:hAnsi="宋体" w:eastAsia="宋体" w:cs="宋体"/>
          <w:sz w:val="10"/>
        </w:rPr>
        <w:t>。</w:t>
      </w:r>
      <w:r>
        <w:rPr>
          <w:rFonts w:hint="eastAsia" w:ascii="宋体" w:hAnsi="宋体" w:eastAsia="宋体" w:cs="宋体"/>
          <w:sz w:val="24"/>
        </w:rPr>
        <w:t>本公司成立时主营业务为计算机软件的开发销售</w:t>
      </w:r>
      <w:r>
        <w:rPr>
          <w:rFonts w:hint="eastAsia" w:ascii="宋体" w:hAnsi="宋体" w:eastAsia="宋体" w:cs="宋体"/>
          <w:sz w:val="10"/>
        </w:rPr>
        <w:t>、</w:t>
      </w:r>
      <w:r>
        <w:rPr>
          <w:rFonts w:hint="eastAsia" w:ascii="宋体" w:hAnsi="宋体" w:eastAsia="宋体" w:cs="宋体"/>
          <w:sz w:val="24"/>
        </w:rPr>
        <w:t>计算机网络工程的设计及安装服务</w:t>
      </w:r>
      <w:r>
        <w:rPr>
          <w:rFonts w:hint="eastAsia" w:ascii="宋体" w:hAnsi="宋体" w:eastAsia="宋体" w:cs="宋体"/>
          <w:sz w:val="10"/>
        </w:rPr>
        <w:t>、</w:t>
      </w:r>
      <w:r>
        <w:rPr>
          <w:rFonts w:hint="eastAsia" w:ascii="宋体" w:hAnsi="宋体" w:eastAsia="宋体" w:cs="宋体"/>
          <w:sz w:val="24"/>
        </w:rPr>
        <w:t>计算机技术服务</w:t>
      </w:r>
      <w:r>
        <w:rPr>
          <w:rFonts w:hint="eastAsia" w:ascii="宋体" w:hAnsi="宋体" w:eastAsia="宋体" w:cs="宋体"/>
          <w:sz w:val="10"/>
        </w:rPr>
        <w:t>、</w:t>
      </w:r>
      <w:r>
        <w:rPr>
          <w:rFonts w:hint="eastAsia" w:ascii="宋体" w:hAnsi="宋体" w:eastAsia="宋体" w:cs="宋体"/>
          <w:sz w:val="24"/>
        </w:rPr>
        <w:t>技术咨询等</w:t>
      </w:r>
      <w:r>
        <w:rPr>
          <w:rFonts w:hint="eastAsia" w:ascii="宋体" w:hAnsi="宋体" w:eastAsia="宋体" w:cs="宋体"/>
          <w:sz w:val="14"/>
        </w:rPr>
        <w:t>；</w:t>
      </w:r>
      <w:r>
        <w:rPr>
          <w:rFonts w:hint="eastAsia" w:ascii="宋体" w:hAnsi="宋体" w:eastAsia="宋体" w:cs="宋体"/>
          <w:sz w:val="24"/>
        </w:rPr>
        <w:t>主要资产为与金融信息化相关的研发</w:t>
      </w:r>
      <w:r>
        <w:rPr>
          <w:rFonts w:hint="eastAsia" w:ascii="宋体" w:hAnsi="宋体" w:eastAsia="宋体" w:cs="宋体"/>
          <w:sz w:val="10"/>
        </w:rPr>
        <w:t>、</w:t>
      </w:r>
      <w:r>
        <w:rPr>
          <w:rFonts w:hint="eastAsia" w:ascii="宋体" w:hAnsi="宋体" w:eastAsia="宋体" w:cs="宋体"/>
          <w:sz w:val="24"/>
        </w:rPr>
        <w:t>管理</w:t>
      </w:r>
      <w:r>
        <w:rPr>
          <w:rFonts w:hint="eastAsia" w:ascii="宋体" w:hAnsi="宋体" w:eastAsia="宋体" w:cs="宋体"/>
          <w:sz w:val="10"/>
        </w:rPr>
        <w:t>、</w:t>
      </w:r>
      <w:r>
        <w:rPr>
          <w:rFonts w:hint="eastAsia" w:ascii="宋体" w:hAnsi="宋体" w:eastAsia="宋体" w:cs="宋体"/>
          <w:sz w:val="24"/>
        </w:rPr>
        <w:t>销售所使用的房屋及建筑物</w:t>
      </w:r>
      <w:r>
        <w:rPr>
          <w:rFonts w:hint="eastAsia" w:ascii="宋体" w:hAnsi="宋体" w:eastAsia="宋体" w:cs="宋体"/>
          <w:sz w:val="10"/>
        </w:rPr>
        <w:t>、</w:t>
      </w:r>
      <w:r>
        <w:rPr>
          <w:rFonts w:hint="eastAsia" w:ascii="宋体" w:hAnsi="宋体" w:eastAsia="宋体" w:cs="宋体"/>
          <w:sz w:val="24"/>
        </w:rPr>
        <w:t>运输工具</w:t>
      </w:r>
      <w:r>
        <w:rPr>
          <w:rFonts w:hint="eastAsia" w:ascii="宋体" w:hAnsi="宋体" w:eastAsia="宋体" w:cs="宋体"/>
          <w:sz w:val="10"/>
        </w:rPr>
        <w:t>、</w:t>
      </w:r>
      <w:r>
        <w:rPr>
          <w:rFonts w:hint="eastAsia" w:ascii="宋体" w:hAnsi="宋体" w:eastAsia="宋体" w:cs="宋体"/>
          <w:sz w:val="24"/>
        </w:rPr>
        <w:t>电子设备</w:t>
      </w:r>
      <w:r>
        <w:rPr>
          <w:rFonts w:hint="eastAsia" w:ascii="宋体" w:hAnsi="宋体" w:eastAsia="宋体" w:cs="宋体"/>
          <w:sz w:val="10"/>
        </w:rPr>
        <w:t>、</w:t>
      </w:r>
      <w:r>
        <w:rPr>
          <w:rFonts w:hint="eastAsia" w:ascii="宋体" w:hAnsi="宋体" w:eastAsia="宋体" w:cs="宋体"/>
          <w:sz w:val="24"/>
        </w:rPr>
        <w:t>土地使用权</w:t>
      </w:r>
      <w:r>
        <w:rPr>
          <w:rFonts w:hint="eastAsia" w:ascii="宋体" w:hAnsi="宋体" w:eastAsia="宋体" w:cs="宋体"/>
          <w:sz w:val="10"/>
        </w:rPr>
        <w:t>、</w:t>
      </w:r>
      <w:r>
        <w:rPr>
          <w:rFonts w:hint="eastAsia" w:ascii="宋体" w:hAnsi="宋体" w:eastAsia="宋体" w:cs="宋体"/>
          <w:sz w:val="24"/>
        </w:rPr>
        <w:t>知识产权等</w:t>
      </w:r>
      <w:r>
        <w:rPr>
          <w:rFonts w:hint="eastAsia" w:ascii="宋体" w:hAnsi="宋体" w:eastAsia="宋体" w:cs="宋体"/>
          <w:sz w:val="10"/>
        </w:rPr>
        <w:t>。</w:t>
      </w:r>
      <w:r>
        <w:rPr>
          <w:rFonts w:hint="eastAsia" w:ascii="宋体" w:hAnsi="宋体" w:eastAsia="宋体" w:cs="宋体"/>
          <w:sz w:val="24"/>
        </w:rPr>
        <w:t>本公司成立以来实际从事的主要业务及经营模式均未发生变化</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（五）发行人成立后</w:t>
      </w:r>
      <w:r>
        <w:rPr>
          <w:rFonts w:hint="eastAsia" w:ascii="宋体" w:hAnsi="宋体" w:eastAsia="宋体" w:cs="宋体"/>
          <w:b/>
          <w:sz w:val="10"/>
        </w:rPr>
        <w:t>，</w:t>
      </w:r>
      <w:r>
        <w:rPr>
          <w:rFonts w:hint="eastAsia" w:ascii="宋体" w:hAnsi="宋体" w:eastAsia="宋体" w:cs="宋体"/>
          <w:b/>
          <w:sz w:val="24"/>
        </w:rPr>
        <w:t>主要发起人拥有的主要资产和实际从事的主要业务</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本公司成立后</w:t>
      </w:r>
      <w:r>
        <w:rPr>
          <w:rFonts w:hint="eastAsia" w:ascii="宋体" w:hAnsi="宋体" w:eastAsia="宋体" w:cs="宋体"/>
          <w:sz w:val="10"/>
        </w:rPr>
        <w:t>，</w:t>
      </w:r>
      <w:r>
        <w:rPr>
          <w:rFonts w:hint="eastAsia" w:ascii="宋体" w:hAnsi="宋体" w:eastAsia="宋体" w:cs="宋体"/>
          <w:sz w:val="24"/>
        </w:rPr>
        <w:t>主要发起人持有的公司股份比例发生了一定变化</w:t>
      </w:r>
      <w:r>
        <w:rPr>
          <w:rFonts w:hint="eastAsia" w:ascii="宋体" w:hAnsi="宋体" w:eastAsia="宋体" w:cs="宋体"/>
          <w:sz w:val="10"/>
        </w:rPr>
        <w:t>。</w:t>
      </w:r>
      <w:r>
        <w:rPr>
          <w:rFonts w:hint="eastAsia" w:ascii="宋体" w:hAnsi="宋体" w:eastAsia="宋体" w:cs="宋体"/>
          <w:sz w:val="24"/>
        </w:rPr>
        <w:t>具体情况参见本节</w:t>
      </w:r>
      <w:r>
        <w:rPr>
          <w:rFonts w:hint="eastAsia" w:ascii="宋体" w:hAnsi="宋体" w:eastAsia="宋体" w:cs="宋体"/>
          <w:sz w:val="10"/>
        </w:rPr>
        <w:t>“</w:t>
      </w:r>
      <w:r>
        <w:rPr>
          <w:rFonts w:hint="eastAsia" w:ascii="宋体" w:hAnsi="宋体" w:eastAsia="宋体" w:cs="宋体"/>
          <w:sz w:val="24"/>
        </w:rPr>
        <w:t>三</w:t>
      </w:r>
      <w:r>
        <w:rPr>
          <w:rFonts w:hint="eastAsia" w:ascii="宋体" w:hAnsi="宋体" w:eastAsia="宋体" w:cs="宋体"/>
          <w:sz w:val="10"/>
        </w:rPr>
        <w:t>、</w:t>
      </w:r>
      <w:r>
        <w:rPr>
          <w:rFonts w:hint="eastAsia" w:ascii="宋体" w:hAnsi="宋体" w:eastAsia="宋体" w:cs="宋体"/>
          <w:sz w:val="24"/>
        </w:rPr>
        <w:t>发行人股本形成及其变化和重大资产重组情况</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“（一）</w:t>
      </w:r>
      <w:r>
        <w:rPr>
          <w:rFonts w:hint="eastAsia" w:ascii="宋体" w:hAnsi="宋体" w:eastAsia="宋体" w:cs="宋体"/>
          <w:sz w:val="24"/>
        </w:rPr>
        <w:t>发行人的股本形成及其变化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（六）改制前后发行人的业务流程及与原企业业务流程间的联系</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本公司系由有限责任公司整体变更设立</w:t>
      </w:r>
      <w:r>
        <w:rPr>
          <w:rFonts w:hint="eastAsia" w:ascii="宋体" w:hAnsi="宋体" w:eastAsia="宋体" w:cs="宋体"/>
          <w:sz w:val="10"/>
        </w:rPr>
        <w:t>，</w:t>
      </w:r>
      <w:r>
        <w:rPr>
          <w:rFonts w:hint="eastAsia" w:ascii="宋体" w:hAnsi="宋体" w:eastAsia="宋体" w:cs="宋体"/>
          <w:sz w:val="24"/>
        </w:rPr>
        <w:t>整体变更设立前后本公司的业务流程没有发生变化</w:t>
      </w:r>
      <w:r>
        <w:rPr>
          <w:rFonts w:hint="eastAsia" w:ascii="宋体" w:hAnsi="宋体" w:eastAsia="宋体" w:cs="宋体"/>
          <w:sz w:val="10"/>
        </w:rPr>
        <w:t>。</w:t>
      </w:r>
      <w:r>
        <w:rPr>
          <w:rFonts w:hint="eastAsia" w:ascii="宋体" w:hAnsi="宋体" w:eastAsia="宋体" w:cs="宋体"/>
          <w:sz w:val="24"/>
        </w:rPr>
        <w:t>本公司具体业务流程请参见本招股说明书</w:t>
      </w:r>
      <w:r>
        <w:rPr>
          <w:rFonts w:hint="eastAsia" w:ascii="宋体" w:hAnsi="宋体" w:eastAsia="宋体" w:cs="宋体"/>
          <w:sz w:val="10"/>
        </w:rPr>
        <w:t>“</w:t>
      </w:r>
      <w:r>
        <w:rPr>
          <w:rFonts w:hint="eastAsia" w:ascii="宋体" w:hAnsi="宋体" w:eastAsia="宋体" w:cs="宋体"/>
          <w:sz w:val="24"/>
        </w:rPr>
        <w:t>第六节</w:t>
      </w:r>
      <w:r>
        <w:rPr>
          <w:rFonts w:hint="eastAsia" w:ascii="Times New Roman" w:hAnsi="Times New Roman" w:eastAsia="Times New Roman" w:cs="Times New Roman"/>
          <w:sz w:val="24"/>
        </w:rPr>
        <w:t xml:space="preserve"> </w:t>
      </w:r>
      <w:r>
        <w:rPr>
          <w:rFonts w:hint="eastAsia" w:ascii="宋体" w:hAnsi="宋体" w:eastAsia="宋体" w:cs="宋体"/>
          <w:sz w:val="24"/>
        </w:rPr>
        <w:t>业务和技术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（七）发行人成立以来</w:t>
      </w:r>
      <w:r>
        <w:rPr>
          <w:rFonts w:hint="eastAsia" w:ascii="宋体" w:hAnsi="宋体" w:eastAsia="宋体" w:cs="宋体"/>
          <w:b/>
          <w:sz w:val="10"/>
        </w:rPr>
        <w:t>，</w:t>
      </w:r>
      <w:r>
        <w:rPr>
          <w:rFonts w:hint="eastAsia" w:ascii="宋体" w:hAnsi="宋体" w:eastAsia="宋体" w:cs="宋体"/>
          <w:b/>
          <w:sz w:val="24"/>
        </w:rPr>
        <w:t>在生产经营方面与主要发起人的关联关系及演变情况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1-1-48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公司成立以来</w:t>
      </w:r>
      <w:r>
        <w:rPr>
          <w:rFonts w:hint="eastAsia" w:ascii="宋体" w:hAnsi="宋体" w:eastAsia="宋体" w:cs="宋体"/>
          <w:sz w:val="10"/>
        </w:rPr>
        <w:t>，</w:t>
      </w:r>
      <w:r>
        <w:rPr>
          <w:rFonts w:hint="eastAsia" w:ascii="宋体" w:hAnsi="宋体" w:eastAsia="宋体" w:cs="宋体"/>
          <w:sz w:val="24"/>
        </w:rPr>
        <w:t>主营业务完全独立于控股股东及其他发起人股东</w:t>
      </w:r>
      <w:r>
        <w:rPr>
          <w:rFonts w:hint="eastAsia" w:ascii="宋体" w:hAnsi="宋体" w:eastAsia="宋体" w:cs="宋体"/>
          <w:sz w:val="10"/>
        </w:rPr>
        <w:t>，</w:t>
      </w:r>
      <w:r>
        <w:rPr>
          <w:rFonts w:hint="eastAsia" w:ascii="宋体" w:hAnsi="宋体" w:eastAsia="宋体" w:cs="宋体"/>
          <w:sz w:val="24"/>
        </w:rPr>
        <w:t>在生产经营方面不存在依赖发起人股东的情形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（八）发起人出资资产的产权变更手续办理情况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本公司系由有限责任公司整体变更设立</w:t>
      </w:r>
      <w:r>
        <w:rPr>
          <w:rFonts w:hint="eastAsia" w:ascii="宋体" w:hAnsi="宋体" w:eastAsia="宋体" w:cs="宋体"/>
          <w:sz w:val="10"/>
        </w:rPr>
        <w:t>，</w:t>
      </w:r>
      <w:r>
        <w:rPr>
          <w:rFonts w:hint="eastAsia" w:ascii="宋体" w:hAnsi="宋体" w:eastAsia="宋体" w:cs="宋体"/>
          <w:sz w:val="24"/>
        </w:rPr>
        <w:t>顶点有限所有的资产</w:t>
      </w:r>
      <w:r>
        <w:rPr>
          <w:rFonts w:hint="eastAsia" w:ascii="宋体" w:hAnsi="宋体" w:eastAsia="宋体" w:cs="宋体"/>
          <w:sz w:val="10"/>
        </w:rPr>
        <w:t>、</w:t>
      </w:r>
      <w:r>
        <w:rPr>
          <w:rFonts w:hint="eastAsia" w:ascii="宋体" w:hAnsi="宋体" w:eastAsia="宋体" w:cs="宋体"/>
          <w:sz w:val="24"/>
        </w:rPr>
        <w:t>负债均由本公司依法承继</w:t>
      </w:r>
      <w:r>
        <w:rPr>
          <w:rFonts w:hint="eastAsia" w:ascii="宋体" w:hAnsi="宋体" w:eastAsia="宋体" w:cs="宋体"/>
          <w:sz w:val="10"/>
        </w:rPr>
        <w:t>，</w:t>
      </w:r>
      <w:r>
        <w:rPr>
          <w:rFonts w:hint="eastAsia" w:ascii="宋体" w:hAnsi="宋体" w:eastAsia="宋体" w:cs="宋体"/>
          <w:sz w:val="24"/>
        </w:rPr>
        <w:t>相关资产的产权变更手续已办理完毕</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发行人股本形成及其变化和重大资产重组情况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发行人的股本形成及其变化</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顶点软件系由顶点有限于</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日整体变更而来</w:t>
      </w:r>
      <w:r>
        <w:rPr>
          <w:rFonts w:hint="eastAsia" w:ascii="宋体" w:hAnsi="宋体" w:eastAsia="宋体" w:cs="宋体"/>
          <w:sz w:val="10"/>
        </w:rPr>
        <w:t>。</w:t>
      </w:r>
      <w:r>
        <w:rPr>
          <w:rFonts w:hint="eastAsia" w:ascii="宋体" w:hAnsi="宋体" w:eastAsia="宋体" w:cs="宋体"/>
          <w:sz w:val="24"/>
        </w:rPr>
        <w:t>自顶点有限设立以来</w:t>
      </w:r>
      <w:r>
        <w:rPr>
          <w:rFonts w:hint="eastAsia" w:ascii="宋体" w:hAnsi="宋体" w:eastAsia="宋体" w:cs="宋体"/>
          <w:sz w:val="10"/>
        </w:rPr>
        <w:t>，</w:t>
      </w:r>
      <w:r>
        <w:rPr>
          <w:rFonts w:hint="eastAsia" w:ascii="宋体" w:hAnsi="宋体" w:eastAsia="宋体" w:cs="宋体"/>
          <w:sz w:val="24"/>
        </w:rPr>
        <w:t>公司的股本演变情况如下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Times New Roman Bold" w:hAnsi="Times New Roman Bold" w:eastAsia="Times New Roman Bold" w:cs="Times New Roman Bold"/>
          <w:b/>
          <w:sz w:val="24"/>
        </w:rPr>
        <w:t>1996</w:t>
      </w:r>
      <w:r>
        <w:rPr>
          <w:rFonts w:hint="eastAsia" w:ascii="宋体" w:hAnsi="宋体" w:eastAsia="宋体" w:cs="宋体"/>
          <w:b/>
          <w:sz w:val="24"/>
        </w:rPr>
        <w:t xml:space="preserve"> 年顶点有限的设立</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顶点有限成立于</w:t>
      </w:r>
      <w:r>
        <w:rPr>
          <w:rFonts w:hint="eastAsia" w:ascii="Times New Roman" w:hAnsi="Times New Roman" w:eastAsia="Times New Roman" w:cs="Times New Roman"/>
          <w:sz w:val="24"/>
        </w:rPr>
        <w:t xml:space="preserve"> 1996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系由自然人严孟宇</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赵伟和高照华四人共同投资设立的有限责任公司</w:t>
      </w:r>
      <w:r>
        <w:rPr>
          <w:rFonts w:hint="eastAsia" w:ascii="宋体" w:hAnsi="宋体" w:eastAsia="宋体" w:cs="宋体"/>
          <w:sz w:val="10"/>
        </w:rPr>
        <w:t>，</w:t>
      </w:r>
      <w:r>
        <w:rPr>
          <w:rFonts w:hint="eastAsia" w:ascii="宋体" w:hAnsi="宋体" w:eastAsia="宋体" w:cs="宋体"/>
          <w:sz w:val="24"/>
        </w:rPr>
        <w:t>注册资本为人民币</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注册地址位于福州市鼓楼区光荣路荣侨新村</w:t>
      </w:r>
      <w:r>
        <w:rPr>
          <w:rFonts w:hint="eastAsia" w:ascii="Times New Roman" w:hAnsi="Times New Roman" w:eastAsia="Times New Roman" w:cs="Times New Roman"/>
          <w:sz w:val="24"/>
        </w:rPr>
        <w:t xml:space="preserve"> b-104</w:t>
      </w:r>
      <w:r>
        <w:rPr>
          <w:rFonts w:hint="eastAsia" w:ascii="宋体" w:hAnsi="宋体" w:eastAsia="宋体" w:cs="宋体"/>
          <w:sz w:val="24"/>
        </w:rPr>
        <w:t xml:space="preserve"> 室</w:t>
      </w:r>
      <w:r>
        <w:rPr>
          <w:rFonts w:hint="eastAsia" w:ascii="宋体" w:hAnsi="宋体" w:eastAsia="宋体" w:cs="宋体"/>
          <w:sz w:val="10"/>
        </w:rPr>
        <w:t>，</w:t>
      </w:r>
      <w:r>
        <w:rPr>
          <w:rFonts w:hint="eastAsia" w:ascii="宋体" w:hAnsi="宋体" w:eastAsia="宋体" w:cs="宋体"/>
          <w:sz w:val="24"/>
        </w:rPr>
        <w:t>法定代表人为严孟宇</w:t>
      </w:r>
      <w:r>
        <w:rPr>
          <w:rFonts w:hint="eastAsia" w:ascii="宋体" w:hAnsi="宋体" w:eastAsia="宋体" w:cs="宋体"/>
          <w:sz w:val="10"/>
        </w:rPr>
        <w:t>，</w:t>
      </w:r>
      <w:r>
        <w:rPr>
          <w:rFonts w:hint="eastAsia" w:ascii="宋体" w:hAnsi="宋体" w:eastAsia="宋体" w:cs="宋体"/>
          <w:sz w:val="24"/>
        </w:rPr>
        <w:t>经营范围为电子计算机及配件零售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580" w:firstLine="480"/>
        <w:jc w:val="both"/>
      </w:pPr>
      <w:r>
        <w:rPr>
          <w:rFonts w:hint="eastAsia" w:ascii="宋体" w:hAnsi="宋体" w:eastAsia="宋体" w:cs="宋体"/>
          <w:sz w:val="24"/>
        </w:rPr>
        <w:t>福州建联会计师事务所对顶点有限设立时的注册资本到位情况进行了审验</w:t>
      </w:r>
      <w:r>
        <w:rPr>
          <w:rFonts w:hint="eastAsia" w:ascii="宋体" w:hAnsi="宋体" w:eastAsia="宋体" w:cs="宋体"/>
          <w:sz w:val="10"/>
        </w:rPr>
        <w:t>，</w:t>
      </w:r>
      <w:r>
        <w:rPr>
          <w:rFonts w:hint="eastAsia" w:ascii="宋体" w:hAnsi="宋体" w:eastAsia="宋体" w:cs="宋体"/>
          <w:sz w:val="24"/>
        </w:rPr>
        <w:t>并于</w:t>
      </w:r>
      <w:r>
        <w:rPr>
          <w:rFonts w:hint="eastAsia" w:ascii="Times New Roman" w:hAnsi="Times New Roman" w:eastAsia="Times New Roman" w:cs="Times New Roman"/>
          <w:sz w:val="24"/>
        </w:rPr>
        <w:t xml:space="preserve"> 1996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日出具了《验资报告》（建联</w:t>
      </w:r>
      <w:r>
        <w:rPr>
          <w:rFonts w:hint="eastAsia" w:ascii="Times New Roman" w:hAnsi="Times New Roman" w:eastAsia="Times New Roman" w:cs="Times New Roman"/>
          <w:sz w:val="24"/>
        </w:rPr>
        <w:t xml:space="preserve"> CPA[96]</w:t>
      </w:r>
      <w:r>
        <w:rPr>
          <w:rFonts w:hint="eastAsia" w:ascii="宋体" w:hAnsi="宋体" w:eastAsia="宋体" w:cs="宋体"/>
          <w:sz w:val="24"/>
        </w:rPr>
        <w:t>内验字第</w:t>
      </w:r>
      <w:r>
        <w:rPr>
          <w:rFonts w:hint="eastAsia" w:ascii="Times New Roman" w:hAnsi="Times New Roman" w:eastAsia="Times New Roman" w:cs="Times New Roman"/>
          <w:sz w:val="24"/>
        </w:rPr>
        <w:t xml:space="preserve"> 038</w:t>
      </w:r>
      <w:r>
        <w:rPr>
          <w:rFonts w:hint="eastAsia" w:ascii="宋体" w:hAnsi="宋体" w:eastAsia="宋体" w:cs="宋体"/>
          <w:sz w:val="24"/>
        </w:rPr>
        <w:t xml:space="preserve"> 号），</w:t>
      </w:r>
      <w:r>
        <w:rPr>
          <w:rFonts w:hint="eastAsia" w:ascii="宋体" w:hAnsi="宋体" w:eastAsia="宋体" w:cs="宋体"/>
          <w:sz w:val="24"/>
        </w:rPr>
        <w:t>验明各股东的出资均已到位</w:t>
      </w:r>
      <w:r>
        <w:rPr>
          <w:rFonts w:hint="eastAsia" w:ascii="宋体" w:hAnsi="宋体" w:eastAsia="宋体" w:cs="宋体"/>
          <w:sz w:val="10"/>
        </w:rPr>
        <w:t>，</w:t>
      </w:r>
      <w:r>
        <w:rPr>
          <w:rFonts w:hint="eastAsia" w:ascii="宋体" w:hAnsi="宋体" w:eastAsia="宋体" w:cs="宋体"/>
          <w:sz w:val="24"/>
        </w:rPr>
        <w:t>其中货币出资</w:t>
      </w:r>
      <w:r>
        <w:rPr>
          <w:rFonts w:hint="eastAsia" w:ascii="Times New Roman" w:hAnsi="Times New Roman" w:eastAsia="Times New Roman" w:cs="Times New Roman"/>
          <w:sz w:val="24"/>
        </w:rPr>
        <w:t xml:space="preserve"> 26.10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实物出资</w:t>
      </w:r>
      <w:r>
        <w:rPr>
          <w:rFonts w:hint="eastAsia" w:ascii="Times New Roman" w:hAnsi="Times New Roman" w:eastAsia="Times New Roman" w:cs="Times New Roman"/>
          <w:sz w:val="24"/>
        </w:rPr>
        <w:t xml:space="preserve"> 3.90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公司的股权结构如下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852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640"/>
        <w:gridCol w:w="1880"/>
        <w:gridCol w:w="2800"/>
      </w:tblGrid>
      <w:tr>
        <w:trPr>
          <w:trHeight w:val="480" w:hRule="exact"/>
        </w:trPr>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序号</w:t>
            </w:r>
          </w:p>
        </w:tc>
        <w:tc>
          <w:tcPr>
            <w:tcW w:w="2640" w:type="dxa"/>
            <w:tcMar>
              <w:top w:w="0" w:type="dxa"/>
              <w:left w:w="0" w:type="dxa"/>
              <w:bottom w:w="0" w:type="dxa"/>
              <w:right w:w="0" w:type="dxa"/>
            </w:tcMar>
          </w:tcPr>
          <w:p>
            <w:pPr>
              <w:spacing w:before="120"/>
              <w:ind w:left="880"/>
            </w:pPr>
            <w:r>
              <w:rPr>
                <w:rFonts w:hint="eastAsia" w:ascii="宋体" w:hAnsi="宋体" w:eastAsia="宋体" w:cs="宋体"/>
                <w:b/>
                <w:sz w:val="21"/>
              </w:rPr>
              <w:t>股东姓名</w:t>
            </w:r>
          </w:p>
        </w:tc>
        <w:tc>
          <w:tcPr>
            <w:tcW w:w="1880" w:type="dxa"/>
            <w:tcMar>
              <w:top w:w="0" w:type="dxa"/>
              <w:left w:w="0" w:type="dxa"/>
              <w:bottom w:w="0" w:type="dxa"/>
              <w:right w:w="0" w:type="dxa"/>
            </w:tcMar>
          </w:tcPr>
          <w:p>
            <w:pPr>
              <w:spacing w:before="100"/>
              <w:ind w:left="600"/>
            </w:pPr>
            <w:r>
              <w:rPr>
                <w:rFonts w:hint="eastAsia" w:ascii="宋体" w:hAnsi="宋体" w:eastAsia="宋体" w:cs="宋体"/>
                <w:b/>
                <w:sz w:val="21"/>
              </w:rPr>
              <w:t>出资额</w:t>
            </w:r>
          </w:p>
        </w:tc>
        <w:tc>
          <w:tcPr>
            <w:tcW w:w="2800" w:type="dxa"/>
            <w:tcMar>
              <w:top w:w="0" w:type="dxa"/>
              <w:left w:w="0" w:type="dxa"/>
              <w:bottom w:w="0" w:type="dxa"/>
              <w:right w:w="0" w:type="dxa"/>
            </w:tcMar>
          </w:tcPr>
          <w:p>
            <w:pPr>
              <w:spacing w:before="120"/>
              <w:ind w:left="960"/>
            </w:pPr>
            <w:r>
              <w:rPr>
                <w:rFonts w:hint="eastAsia" w:ascii="宋体" w:hAnsi="宋体" w:eastAsia="宋体" w:cs="宋体"/>
                <w:b/>
                <w:sz w:val="21"/>
              </w:rPr>
              <w:t>股权比例</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1</w:t>
            </w:r>
          </w:p>
        </w:tc>
        <w:tc>
          <w:tcPr>
            <w:tcW w:w="2640" w:type="dxa"/>
            <w:tcMar>
              <w:top w:w="0" w:type="dxa"/>
              <w:left w:w="0" w:type="dxa"/>
              <w:bottom w:w="0" w:type="dxa"/>
              <w:right w:w="0" w:type="dxa"/>
            </w:tcMar>
          </w:tcPr>
          <w:p>
            <w:pPr>
              <w:spacing w:before="120"/>
              <w:ind w:left="980"/>
            </w:pPr>
            <w:r>
              <w:rPr>
                <w:rFonts w:hint="eastAsia" w:ascii="宋体" w:hAnsi="宋体" w:eastAsia="宋体" w:cs="宋体"/>
                <w:sz w:val="21"/>
              </w:rPr>
              <w:t>严孟宇</w:t>
            </w:r>
          </w:p>
        </w:tc>
        <w:tc>
          <w:tcPr>
            <w:tcW w:w="1880" w:type="dxa"/>
            <w:tcMar>
              <w:top w:w="0" w:type="dxa"/>
              <w:left w:w="0" w:type="dxa"/>
              <w:bottom w:w="0" w:type="dxa"/>
              <w:right w:w="0" w:type="dxa"/>
            </w:tcMar>
          </w:tcPr>
          <w:p>
            <w:pPr>
              <w:spacing w:before="160"/>
              <w:ind w:left="13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80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2</w:t>
            </w:r>
          </w:p>
        </w:tc>
        <w:tc>
          <w:tcPr>
            <w:tcW w:w="2640" w:type="dxa"/>
            <w:tcMar>
              <w:top w:w="0" w:type="dxa"/>
              <w:left w:w="0" w:type="dxa"/>
              <w:bottom w:w="0" w:type="dxa"/>
              <w:right w:w="0" w:type="dxa"/>
            </w:tcMar>
          </w:tcPr>
          <w:p>
            <w:pPr>
              <w:spacing w:before="120"/>
              <w:ind w:left="980"/>
            </w:pPr>
            <w:r>
              <w:rPr>
                <w:rFonts w:hint="eastAsia" w:ascii="宋体" w:hAnsi="宋体" w:eastAsia="宋体" w:cs="宋体"/>
                <w:sz w:val="21"/>
              </w:rPr>
              <w:t>董南勇</w:t>
            </w:r>
          </w:p>
        </w:tc>
        <w:tc>
          <w:tcPr>
            <w:tcW w:w="1880" w:type="dxa"/>
            <w:tcMar>
              <w:top w:w="0" w:type="dxa"/>
              <w:left w:w="0" w:type="dxa"/>
              <w:bottom w:w="0" w:type="dxa"/>
              <w:right w:w="0" w:type="dxa"/>
            </w:tcMar>
          </w:tcPr>
          <w:p>
            <w:pPr>
              <w:spacing w:before="180"/>
              <w:ind w:left="13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800" w:type="dxa"/>
            <w:tcMar>
              <w:top w:w="0" w:type="dxa"/>
              <w:left w:w="0" w:type="dxa"/>
              <w:bottom w:w="0" w:type="dxa"/>
              <w:right w:w="0" w:type="dxa"/>
            </w:tcMar>
          </w:tcPr>
          <w:p>
            <w:pPr>
              <w:spacing w:before="180"/>
              <w:ind w:left="20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3</w:t>
            </w:r>
          </w:p>
        </w:tc>
        <w:tc>
          <w:tcPr>
            <w:tcW w:w="2640" w:type="dxa"/>
            <w:tcMar>
              <w:top w:w="0" w:type="dxa"/>
              <w:left w:w="0" w:type="dxa"/>
              <w:bottom w:w="0" w:type="dxa"/>
              <w:right w:w="0" w:type="dxa"/>
            </w:tcMar>
          </w:tcPr>
          <w:p>
            <w:pPr>
              <w:spacing w:before="120"/>
              <w:ind w:left="1100"/>
            </w:pPr>
            <w:r>
              <w:rPr>
                <w:rFonts w:hint="eastAsia" w:ascii="宋体" w:hAnsi="宋体" w:eastAsia="宋体" w:cs="宋体"/>
                <w:sz w:val="21"/>
              </w:rPr>
              <w:t>赵伟</w:t>
            </w:r>
          </w:p>
        </w:tc>
        <w:tc>
          <w:tcPr>
            <w:tcW w:w="1880" w:type="dxa"/>
            <w:tcMar>
              <w:top w:w="0" w:type="dxa"/>
              <w:left w:w="0" w:type="dxa"/>
              <w:bottom w:w="0" w:type="dxa"/>
              <w:right w:w="0" w:type="dxa"/>
            </w:tcMar>
          </w:tcPr>
          <w:p>
            <w:pPr>
              <w:spacing w:before="160"/>
              <w:ind w:left="13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80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4</w:t>
            </w:r>
          </w:p>
        </w:tc>
        <w:tc>
          <w:tcPr>
            <w:tcW w:w="2640" w:type="dxa"/>
            <w:tcMar>
              <w:top w:w="0" w:type="dxa"/>
              <w:left w:w="0" w:type="dxa"/>
              <w:bottom w:w="0" w:type="dxa"/>
              <w:right w:w="0" w:type="dxa"/>
            </w:tcMar>
          </w:tcPr>
          <w:p>
            <w:pPr>
              <w:spacing w:before="100"/>
              <w:ind w:left="980"/>
            </w:pPr>
            <w:r>
              <w:rPr>
                <w:rFonts w:hint="eastAsia" w:ascii="宋体" w:hAnsi="宋体" w:eastAsia="宋体" w:cs="宋体"/>
                <w:sz w:val="21"/>
              </w:rPr>
              <w:t>高照华</w:t>
            </w:r>
          </w:p>
        </w:tc>
        <w:tc>
          <w:tcPr>
            <w:tcW w:w="1880" w:type="dxa"/>
            <w:tcMar>
              <w:top w:w="0" w:type="dxa"/>
              <w:left w:w="0" w:type="dxa"/>
              <w:bottom w:w="0" w:type="dxa"/>
              <w:right w:w="0" w:type="dxa"/>
            </w:tcMar>
          </w:tcPr>
          <w:p>
            <w:pPr>
              <w:spacing w:before="160"/>
              <w:ind w:left="13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80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3820" w:type="dxa"/>
            <w:gridSpan w:val="2"/>
            <w:tcMar>
              <w:top w:w="0" w:type="dxa"/>
              <w:left w:w="0" w:type="dxa"/>
              <w:bottom w:w="0" w:type="dxa"/>
              <w:right w:w="0" w:type="dxa"/>
            </w:tcMar>
          </w:tcPr>
          <w:p>
            <w:pPr>
              <w:spacing w:before="120"/>
              <w:ind w:left="1680"/>
            </w:pPr>
            <w:r>
              <w:rPr>
                <w:rFonts w:hint="eastAsia" w:ascii="宋体" w:hAnsi="宋体" w:eastAsia="宋体" w:cs="宋体"/>
                <w:b/>
                <w:sz w:val="21"/>
              </w:rPr>
              <w:t>合计</w:t>
            </w:r>
          </w:p>
        </w:tc>
        <w:tc>
          <w:tcPr>
            <w:tcW w:w="1880" w:type="dxa"/>
            <w:tcMar>
              <w:top w:w="0" w:type="dxa"/>
              <w:left w:w="0" w:type="dxa"/>
              <w:bottom w:w="0" w:type="dxa"/>
              <w:right w:w="0" w:type="dxa"/>
            </w:tcMar>
          </w:tcPr>
          <w:p>
            <w:pPr>
              <w:spacing w:before="160"/>
              <w:ind w:left="1280"/>
            </w:pPr>
            <w:r>
              <w:rPr>
                <w:rFonts w:hint="eastAsia" w:ascii="Times New Roman Bold" w:hAnsi="Times New Roman Bold" w:eastAsia="Times New Roman Bold" w:cs="Times New Roman Bold"/>
                <w:b/>
                <w:sz w:val="21"/>
              </w:rPr>
              <w:t>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800" w:type="dxa"/>
            <w:tcMar>
              <w:top w:w="0" w:type="dxa"/>
              <w:left w:w="0" w:type="dxa"/>
              <w:bottom w:w="0" w:type="dxa"/>
              <w:right w:w="0" w:type="dxa"/>
            </w:tcMar>
          </w:tcPr>
          <w:p>
            <w:pPr>
              <w:spacing w:before="140"/>
              <w:ind w:left="19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宋体" w:hAnsi="宋体" w:eastAsia="宋体" w:cs="宋体"/>
          <w:sz w:val="24"/>
        </w:rPr>
        <w:t>严孟宇在顶点有限设立时以空调</w:t>
      </w:r>
      <w:r>
        <w:rPr>
          <w:rFonts w:hint="eastAsia" w:ascii="宋体" w:hAnsi="宋体" w:eastAsia="宋体" w:cs="宋体"/>
          <w:sz w:val="10"/>
        </w:rPr>
        <w:t>、</w:t>
      </w:r>
      <w:r>
        <w:rPr>
          <w:rFonts w:hint="eastAsia" w:ascii="宋体" w:hAnsi="宋体" w:eastAsia="宋体" w:cs="宋体"/>
          <w:sz w:val="24"/>
        </w:rPr>
        <w:t>传真机和服务器等实物出资</w:t>
      </w:r>
      <w:r>
        <w:rPr>
          <w:rFonts w:hint="eastAsia" w:ascii="宋体" w:hAnsi="宋体" w:eastAsia="宋体" w:cs="宋体"/>
          <w:sz w:val="10"/>
        </w:rPr>
        <w:t>，</w:t>
      </w:r>
      <w:r>
        <w:rPr>
          <w:rFonts w:hint="eastAsia" w:ascii="宋体" w:hAnsi="宋体" w:eastAsia="宋体" w:cs="宋体"/>
          <w:sz w:val="24"/>
        </w:rPr>
        <w:t>该等实物由</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1-1-49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严孟宇在顶点有限成立前以顶点有限名义购买</w:t>
      </w:r>
      <w:r>
        <w:rPr>
          <w:rFonts w:hint="eastAsia" w:ascii="宋体" w:hAnsi="宋体" w:eastAsia="宋体" w:cs="宋体"/>
          <w:sz w:val="10"/>
        </w:rPr>
        <w:t>，</w:t>
      </w:r>
      <w:r>
        <w:rPr>
          <w:rFonts w:hint="eastAsia" w:ascii="宋体" w:hAnsi="宋体" w:eastAsia="宋体" w:cs="宋体"/>
          <w:sz w:val="24"/>
        </w:rPr>
        <w:t>购买价格合计为</w:t>
      </w:r>
      <w:r>
        <w:rPr>
          <w:rFonts w:hint="eastAsia" w:ascii="Times New Roman" w:hAnsi="Times New Roman" w:eastAsia="Times New Roman" w:cs="Times New Roman"/>
          <w:sz w:val="24"/>
        </w:rPr>
        <w:t xml:space="preserve"> 39,350.00</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严孟宇按购买价格扣除尾数</w:t>
      </w:r>
      <w:r>
        <w:rPr>
          <w:rFonts w:hint="eastAsia" w:ascii="Times New Roman" w:hAnsi="Times New Roman" w:eastAsia="Times New Roman" w:cs="Times New Roman"/>
          <w:sz w:val="24"/>
        </w:rPr>
        <w:t xml:space="preserve"> 350.00</w:t>
      </w:r>
      <w:r>
        <w:rPr>
          <w:rFonts w:hint="eastAsia" w:ascii="宋体" w:hAnsi="宋体" w:eastAsia="宋体" w:cs="宋体"/>
          <w:sz w:val="24"/>
        </w:rPr>
        <w:t xml:space="preserve"> 元后作价</w:t>
      </w:r>
      <w:r>
        <w:rPr>
          <w:rFonts w:hint="eastAsia" w:ascii="Times New Roman" w:hAnsi="Times New Roman" w:eastAsia="Times New Roman" w:cs="Times New Roman"/>
          <w:sz w:val="24"/>
        </w:rPr>
        <w:t xml:space="preserve"> 39,000.00</w:t>
      </w:r>
      <w:r>
        <w:rPr>
          <w:rFonts w:hint="eastAsia" w:ascii="宋体" w:hAnsi="宋体" w:eastAsia="宋体" w:cs="宋体"/>
          <w:sz w:val="24"/>
        </w:rPr>
        <w:t xml:space="preserve"> 元出资</w:t>
      </w:r>
      <w:r>
        <w:rPr>
          <w:rFonts w:hint="eastAsia" w:ascii="宋体" w:hAnsi="宋体" w:eastAsia="宋体" w:cs="宋体"/>
          <w:sz w:val="10"/>
        </w:rPr>
        <w:t>，</w:t>
      </w:r>
      <w:r>
        <w:rPr>
          <w:rFonts w:hint="eastAsia" w:ascii="宋体" w:hAnsi="宋体" w:eastAsia="宋体" w:cs="宋体"/>
          <w:sz w:val="24"/>
        </w:rPr>
        <w:t>但未对该等实物进行评估</w:t>
      </w:r>
      <w:r>
        <w:rPr>
          <w:rFonts w:hint="eastAsia" w:ascii="宋体" w:hAnsi="宋体" w:eastAsia="宋体" w:cs="宋体"/>
          <w:sz w:val="10"/>
        </w:rPr>
        <w:t>，</w:t>
      </w:r>
      <w:r>
        <w:rPr>
          <w:rFonts w:hint="eastAsia" w:ascii="宋体" w:hAnsi="宋体" w:eastAsia="宋体" w:cs="宋体"/>
          <w:sz w:val="24"/>
        </w:rPr>
        <w:t>不符合当时有效《公司法》关于实物出资应进行评估作价的相关规定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严孟宇于</w:t>
      </w:r>
      <w:r>
        <w:rPr>
          <w:rFonts w:hint="eastAsia" w:ascii="Times New Roman" w:hAnsi="Times New Roman" w:eastAsia="Times New Roman" w:cs="Times New Roman"/>
          <w:sz w:val="24"/>
        </w:rPr>
        <w:t xml:space="preserve"> 1996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23</w:t>
      </w:r>
      <w:r>
        <w:rPr>
          <w:rFonts w:hint="eastAsia" w:ascii="宋体" w:hAnsi="宋体" w:eastAsia="宋体" w:cs="宋体"/>
          <w:sz w:val="24"/>
        </w:rPr>
        <w:t xml:space="preserve"> 日购买用以出资的实物资产</w:t>
      </w:r>
      <w:r>
        <w:rPr>
          <w:rFonts w:hint="eastAsia" w:ascii="宋体" w:hAnsi="宋体" w:eastAsia="宋体" w:cs="宋体"/>
          <w:sz w:val="10"/>
        </w:rPr>
        <w:t>，</w:t>
      </w:r>
      <w:r>
        <w:rPr>
          <w:rFonts w:hint="eastAsia" w:ascii="宋体" w:hAnsi="宋体" w:eastAsia="宋体" w:cs="宋体"/>
          <w:sz w:val="24"/>
        </w:rPr>
        <w:t>其购买时间与将其作为出资投入顶点有限的时间相隔较短</w:t>
      </w:r>
      <w:r>
        <w:rPr>
          <w:rFonts w:hint="eastAsia" w:ascii="宋体" w:hAnsi="宋体" w:eastAsia="宋体" w:cs="宋体"/>
          <w:sz w:val="10"/>
        </w:rPr>
        <w:t>，</w:t>
      </w:r>
      <w:r>
        <w:rPr>
          <w:rFonts w:hint="eastAsia" w:ascii="宋体" w:hAnsi="宋体" w:eastAsia="宋体" w:cs="宋体"/>
          <w:sz w:val="24"/>
        </w:rPr>
        <w:t>价值并未发生损耗</w:t>
      </w:r>
      <w:r>
        <w:rPr>
          <w:rFonts w:hint="eastAsia" w:ascii="宋体" w:hAnsi="宋体" w:eastAsia="宋体" w:cs="宋体"/>
          <w:sz w:val="10"/>
        </w:rPr>
        <w:t>，</w:t>
      </w:r>
      <w:r>
        <w:rPr>
          <w:rFonts w:hint="eastAsia" w:ascii="宋体" w:hAnsi="宋体" w:eastAsia="宋体" w:cs="宋体"/>
          <w:sz w:val="24"/>
        </w:rPr>
        <w:t>投入的实物资产价值已经其他全体股东确认</w:t>
      </w:r>
      <w:r>
        <w:rPr>
          <w:rFonts w:hint="eastAsia" w:ascii="宋体" w:hAnsi="宋体" w:eastAsia="宋体" w:cs="宋体"/>
          <w:sz w:val="12"/>
        </w:rPr>
        <w:t>；</w:t>
      </w:r>
      <w:r>
        <w:rPr>
          <w:rFonts w:hint="eastAsia" w:ascii="宋体" w:hAnsi="宋体" w:eastAsia="宋体" w:cs="宋体"/>
          <w:sz w:val="24"/>
        </w:rPr>
        <w:t>该等实物资产已交付顶点有限使用并办理了移交手续</w:t>
      </w:r>
      <w:r>
        <w:rPr>
          <w:rFonts w:hint="eastAsia" w:ascii="宋体" w:hAnsi="宋体" w:eastAsia="宋体" w:cs="宋体"/>
          <w:sz w:val="12"/>
        </w:rPr>
        <w:t>；</w:t>
      </w:r>
      <w:r>
        <w:rPr>
          <w:rFonts w:hint="eastAsia" w:ascii="宋体" w:hAnsi="宋体" w:eastAsia="宋体" w:cs="宋体"/>
          <w:sz w:val="24"/>
        </w:rPr>
        <w:t>该等实物资产的出资已依法经致同所验资并复核</w:t>
      </w:r>
      <w:r>
        <w:rPr>
          <w:rFonts w:hint="eastAsia" w:ascii="宋体" w:hAnsi="宋体" w:eastAsia="宋体" w:cs="宋体"/>
          <w:sz w:val="10"/>
        </w:rPr>
        <w:t>，</w:t>
      </w:r>
      <w:r>
        <w:rPr>
          <w:rFonts w:hint="eastAsia" w:ascii="宋体" w:hAnsi="宋体" w:eastAsia="宋体" w:cs="宋体"/>
          <w:sz w:val="24"/>
        </w:rPr>
        <w:t>实物价值经具有证券从业资格的评估师事务所评估复核</w:t>
      </w:r>
      <w:r>
        <w:rPr>
          <w:rFonts w:hint="eastAsia" w:ascii="宋体" w:hAnsi="宋体" w:eastAsia="宋体" w:cs="宋体"/>
          <w:sz w:val="12"/>
        </w:rPr>
        <w:t>；</w:t>
      </w:r>
      <w:r>
        <w:rPr>
          <w:rFonts w:hint="eastAsia" w:ascii="宋体" w:hAnsi="宋体" w:eastAsia="宋体" w:cs="宋体"/>
          <w:sz w:val="24"/>
        </w:rPr>
        <w:t>该出资行为发生时间距今已十多年</w:t>
      </w:r>
      <w:r>
        <w:rPr>
          <w:rFonts w:hint="eastAsia" w:ascii="宋体" w:hAnsi="宋体" w:eastAsia="宋体" w:cs="宋体"/>
          <w:sz w:val="10"/>
        </w:rPr>
        <w:t>，</w:t>
      </w:r>
      <w:r>
        <w:rPr>
          <w:rFonts w:hint="eastAsia" w:ascii="宋体" w:hAnsi="宋体" w:eastAsia="宋体" w:cs="宋体"/>
          <w:sz w:val="24"/>
        </w:rPr>
        <w:t>且所涉金额小及出资比例较小</w:t>
      </w:r>
      <w:r>
        <w:rPr>
          <w:rFonts w:hint="eastAsia" w:ascii="宋体" w:hAnsi="宋体" w:eastAsia="宋体" w:cs="宋体"/>
          <w:sz w:val="10"/>
        </w:rPr>
        <w:t>。</w:t>
      </w:r>
      <w:r>
        <w:rPr>
          <w:rFonts w:hint="eastAsia" w:ascii="宋体" w:hAnsi="宋体" w:eastAsia="宋体" w:cs="宋体"/>
          <w:sz w:val="24"/>
        </w:rPr>
        <w:t>综上</w:t>
      </w:r>
      <w:r>
        <w:rPr>
          <w:rFonts w:hint="eastAsia" w:ascii="宋体" w:hAnsi="宋体" w:eastAsia="宋体" w:cs="宋体"/>
          <w:sz w:val="10"/>
        </w:rPr>
        <w:t>，</w:t>
      </w:r>
      <w:r>
        <w:rPr>
          <w:rFonts w:hint="eastAsia" w:ascii="宋体" w:hAnsi="宋体" w:eastAsia="宋体" w:cs="宋体"/>
          <w:sz w:val="24"/>
        </w:rPr>
        <w:t>顶点有限设立时涉及的实物资产未经评估事项</w:t>
      </w:r>
      <w:r>
        <w:rPr>
          <w:rFonts w:hint="eastAsia" w:ascii="宋体" w:hAnsi="宋体" w:eastAsia="宋体" w:cs="宋体"/>
          <w:sz w:val="10"/>
        </w:rPr>
        <w:t>，</w:t>
      </w:r>
      <w:r>
        <w:rPr>
          <w:rFonts w:hint="eastAsia" w:ascii="宋体" w:hAnsi="宋体" w:eastAsia="宋体" w:cs="宋体"/>
          <w:sz w:val="24"/>
        </w:rPr>
        <w:t>不构成虚假出资</w:t>
      </w:r>
      <w:r>
        <w:rPr>
          <w:rFonts w:hint="eastAsia" w:ascii="宋体" w:hAnsi="宋体" w:eastAsia="宋体" w:cs="宋体"/>
          <w:sz w:val="10"/>
        </w:rPr>
        <w:t>，</w:t>
      </w:r>
      <w:r>
        <w:rPr>
          <w:rFonts w:hint="eastAsia" w:ascii="宋体" w:hAnsi="宋体" w:eastAsia="宋体" w:cs="宋体"/>
          <w:sz w:val="24"/>
        </w:rPr>
        <w:t>不会导致发行人出资不实</w:t>
      </w:r>
      <w:r>
        <w:rPr>
          <w:rFonts w:hint="eastAsia" w:ascii="宋体" w:hAnsi="宋体" w:eastAsia="宋体" w:cs="宋体"/>
          <w:sz w:val="10"/>
        </w:rPr>
        <w:t>，</w:t>
      </w:r>
      <w:r>
        <w:rPr>
          <w:rFonts w:hint="eastAsia" w:ascii="宋体" w:hAnsi="宋体" w:eastAsia="宋体" w:cs="宋体"/>
          <w:sz w:val="24"/>
        </w:rPr>
        <w:t>发行人或其实际控制人受到处罚的风险较小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Times New Roman Bold" w:hAnsi="Times New Roman Bold" w:eastAsia="Times New Roman Bold" w:cs="Times New Roman Bold"/>
          <w:b/>
          <w:sz w:val="24"/>
        </w:rPr>
        <w:t>1996</w:t>
      </w:r>
      <w:r>
        <w:rPr>
          <w:rFonts w:hint="eastAsia" w:ascii="宋体" w:hAnsi="宋体" w:eastAsia="宋体" w:cs="宋体"/>
          <w:b/>
          <w:sz w:val="24"/>
        </w:rPr>
        <w:t xml:space="preserve"> 年股权转让</w:t>
      </w:r>
    </w:p>
    <w:p>
      <w:pPr>
        <w:spacing w:line="200" w:lineRule="exact"/>
        <w:rPr>
          <w:rFonts w:hint="eastAsia" w:ascii="宋体" w:hAnsi="宋体" w:eastAsia="宋体" w:cs="宋体"/>
          <w:sz w:val="20"/>
        </w:rPr>
      </w:pPr>
    </w:p>
    <w:p>
      <w:pPr>
        <w:autoSpaceDE w:val="false"/>
        <w:autoSpaceDN w:val="false"/>
        <w:spacing w:line="440" w:lineRule="exact"/>
        <w:ind w:left="1800" w:right="1580" w:firstLine="480"/>
        <w:jc w:val="both"/>
      </w:pPr>
      <w:r>
        <w:rPr>
          <w:rFonts w:hint="eastAsia" w:ascii="Times New Roman" w:hAnsi="Times New Roman" w:eastAsia="Times New Roman" w:cs="Times New Roman"/>
          <w:sz w:val="24"/>
        </w:rPr>
        <w:t>1996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股东高照华将其持有的公司</w:t>
      </w:r>
      <w:r>
        <w:rPr>
          <w:rFonts w:hint="eastAsia" w:ascii="Times New Roman" w:hAnsi="Times New Roman" w:eastAsia="Times New Roman" w:cs="Times New Roman"/>
          <w:sz w:val="24"/>
        </w:rPr>
        <w:t xml:space="preserve"> 5.33%</w:t>
      </w:r>
      <w:r>
        <w:rPr>
          <w:rFonts w:hint="eastAsia" w:ascii="宋体" w:hAnsi="宋体" w:eastAsia="宋体" w:cs="宋体"/>
          <w:sz w:val="24"/>
        </w:rPr>
        <w:t>的股权（对应</w:t>
      </w:r>
      <w:r>
        <w:rPr>
          <w:rFonts w:hint="eastAsia" w:ascii="Times New Roman" w:hAnsi="Times New Roman" w:eastAsia="Times New Roman" w:cs="Times New Roman"/>
          <w:sz w:val="24"/>
        </w:rPr>
        <w:t xml:space="preserve"> 1.60</w:t>
      </w:r>
      <w:r>
        <w:rPr>
          <w:rFonts w:hint="eastAsia" w:ascii="宋体" w:hAnsi="宋体" w:eastAsia="宋体" w:cs="宋体"/>
          <w:sz w:val="24"/>
        </w:rPr>
        <w:t>万元注册资本）转让给股东严孟宇</w:t>
      </w:r>
      <w:r>
        <w:rPr>
          <w:rFonts w:hint="eastAsia" w:ascii="宋体" w:hAnsi="宋体" w:eastAsia="宋体" w:cs="宋体"/>
          <w:sz w:val="10"/>
        </w:rPr>
        <w:t>，</w:t>
      </w:r>
      <w:r>
        <w:rPr>
          <w:rFonts w:hint="eastAsia" w:ascii="宋体" w:hAnsi="宋体" w:eastAsia="宋体" w:cs="宋体"/>
          <w:sz w:val="24"/>
        </w:rPr>
        <w:t>严孟宇以现金方式完成了转让款的支付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转让完成后</w:t>
      </w:r>
      <w:r>
        <w:rPr>
          <w:rFonts w:hint="eastAsia" w:ascii="宋体" w:hAnsi="宋体" w:eastAsia="宋体" w:cs="宋体"/>
          <w:sz w:val="10"/>
        </w:rPr>
        <w:t>，</w:t>
      </w:r>
      <w:r>
        <w:rPr>
          <w:rFonts w:hint="eastAsia" w:ascii="宋体" w:hAnsi="宋体" w:eastAsia="宋体" w:cs="宋体"/>
          <w:sz w:val="24"/>
        </w:rPr>
        <w:t>公司的股权结构如下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852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640"/>
        <w:gridCol w:w="1880"/>
        <w:gridCol w:w="2800"/>
      </w:tblGrid>
      <w:tr>
        <w:trPr>
          <w:trHeight w:val="480" w:hRule="exact"/>
        </w:trPr>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序号</w:t>
            </w:r>
          </w:p>
        </w:tc>
        <w:tc>
          <w:tcPr>
            <w:tcW w:w="2640" w:type="dxa"/>
            <w:tcMar>
              <w:top w:w="0" w:type="dxa"/>
              <w:left w:w="0" w:type="dxa"/>
              <w:bottom w:w="0" w:type="dxa"/>
              <w:right w:w="0" w:type="dxa"/>
            </w:tcMar>
          </w:tcPr>
          <w:p>
            <w:pPr>
              <w:spacing w:before="120"/>
              <w:ind w:left="880"/>
            </w:pPr>
            <w:r>
              <w:rPr>
                <w:rFonts w:hint="eastAsia" w:ascii="宋体" w:hAnsi="宋体" w:eastAsia="宋体" w:cs="宋体"/>
                <w:b/>
                <w:sz w:val="21"/>
              </w:rPr>
              <w:t>股东姓名</w:t>
            </w:r>
          </w:p>
        </w:tc>
        <w:tc>
          <w:tcPr>
            <w:tcW w:w="1880" w:type="dxa"/>
            <w:tcMar>
              <w:top w:w="0" w:type="dxa"/>
              <w:left w:w="0" w:type="dxa"/>
              <w:bottom w:w="0" w:type="dxa"/>
              <w:right w:w="0" w:type="dxa"/>
            </w:tcMar>
          </w:tcPr>
          <w:p>
            <w:pPr>
              <w:spacing w:before="120"/>
              <w:ind w:left="600"/>
            </w:pPr>
            <w:r>
              <w:rPr>
                <w:rFonts w:hint="eastAsia" w:ascii="宋体" w:hAnsi="宋体" w:eastAsia="宋体" w:cs="宋体"/>
                <w:b/>
                <w:sz w:val="21"/>
              </w:rPr>
              <w:t>出资额</w:t>
            </w:r>
          </w:p>
        </w:tc>
        <w:tc>
          <w:tcPr>
            <w:tcW w:w="2800" w:type="dxa"/>
            <w:tcMar>
              <w:top w:w="0" w:type="dxa"/>
              <w:left w:w="0" w:type="dxa"/>
              <w:bottom w:w="0" w:type="dxa"/>
              <w:right w:w="0" w:type="dxa"/>
            </w:tcMar>
          </w:tcPr>
          <w:p>
            <w:pPr>
              <w:spacing w:before="120"/>
              <w:ind w:left="960"/>
            </w:pPr>
            <w:r>
              <w:rPr>
                <w:rFonts w:hint="eastAsia" w:ascii="宋体" w:hAnsi="宋体" w:eastAsia="宋体" w:cs="宋体"/>
                <w:b/>
                <w:sz w:val="21"/>
              </w:rPr>
              <w:t>股权比例</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1</w:t>
            </w:r>
          </w:p>
        </w:tc>
        <w:tc>
          <w:tcPr>
            <w:tcW w:w="2640" w:type="dxa"/>
            <w:tcMar>
              <w:top w:w="0" w:type="dxa"/>
              <w:left w:w="0" w:type="dxa"/>
              <w:bottom w:w="0" w:type="dxa"/>
              <w:right w:w="0" w:type="dxa"/>
            </w:tcMar>
          </w:tcPr>
          <w:p>
            <w:pPr>
              <w:spacing w:before="100"/>
              <w:ind w:left="980"/>
            </w:pPr>
            <w:r>
              <w:rPr>
                <w:rFonts w:hint="eastAsia" w:ascii="宋体" w:hAnsi="宋体" w:eastAsia="宋体" w:cs="宋体"/>
                <w:sz w:val="21"/>
              </w:rPr>
              <w:t>严孟宇</w:t>
            </w:r>
          </w:p>
        </w:tc>
        <w:tc>
          <w:tcPr>
            <w:tcW w:w="1880" w:type="dxa"/>
            <w:tcMar>
              <w:top w:w="0" w:type="dxa"/>
              <w:left w:w="0" w:type="dxa"/>
              <w:bottom w:w="0" w:type="dxa"/>
              <w:right w:w="0" w:type="dxa"/>
            </w:tcMar>
          </w:tcPr>
          <w:p>
            <w:pPr>
              <w:spacing w:before="140"/>
              <w:ind w:left="128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80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w:t>
            </w:r>
          </w:p>
        </w:tc>
        <w:tc>
          <w:tcPr>
            <w:tcW w:w="2640" w:type="dxa"/>
            <w:tcMar>
              <w:top w:w="0" w:type="dxa"/>
              <w:left w:w="0" w:type="dxa"/>
              <w:bottom w:w="0" w:type="dxa"/>
              <w:right w:w="0" w:type="dxa"/>
            </w:tcMar>
          </w:tcPr>
          <w:p>
            <w:pPr>
              <w:spacing w:before="120"/>
              <w:ind w:left="980"/>
            </w:pPr>
            <w:r>
              <w:rPr>
                <w:rFonts w:hint="eastAsia" w:ascii="宋体" w:hAnsi="宋体" w:eastAsia="宋体" w:cs="宋体"/>
                <w:sz w:val="21"/>
              </w:rPr>
              <w:t>董南勇</w:t>
            </w:r>
          </w:p>
        </w:tc>
        <w:tc>
          <w:tcPr>
            <w:tcW w:w="1880" w:type="dxa"/>
            <w:tcMar>
              <w:top w:w="0" w:type="dxa"/>
              <w:left w:w="0" w:type="dxa"/>
              <w:bottom w:w="0" w:type="dxa"/>
              <w:right w:w="0" w:type="dxa"/>
            </w:tcMar>
          </w:tcPr>
          <w:p>
            <w:pPr>
              <w:spacing w:before="160"/>
              <w:ind w:left="13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80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3</w:t>
            </w:r>
          </w:p>
        </w:tc>
        <w:tc>
          <w:tcPr>
            <w:tcW w:w="2640" w:type="dxa"/>
            <w:tcMar>
              <w:top w:w="0" w:type="dxa"/>
              <w:left w:w="0" w:type="dxa"/>
              <w:bottom w:w="0" w:type="dxa"/>
              <w:right w:w="0" w:type="dxa"/>
            </w:tcMar>
          </w:tcPr>
          <w:p>
            <w:pPr>
              <w:spacing w:before="100"/>
              <w:ind w:left="1100"/>
            </w:pPr>
            <w:r>
              <w:rPr>
                <w:rFonts w:hint="eastAsia" w:ascii="宋体" w:hAnsi="宋体" w:eastAsia="宋体" w:cs="宋体"/>
                <w:sz w:val="21"/>
              </w:rPr>
              <w:t>赵伟</w:t>
            </w:r>
          </w:p>
        </w:tc>
        <w:tc>
          <w:tcPr>
            <w:tcW w:w="1880" w:type="dxa"/>
            <w:tcMar>
              <w:top w:w="0" w:type="dxa"/>
              <w:left w:w="0" w:type="dxa"/>
              <w:bottom w:w="0" w:type="dxa"/>
              <w:right w:w="0" w:type="dxa"/>
            </w:tcMar>
          </w:tcPr>
          <w:p>
            <w:pPr>
              <w:spacing w:before="160"/>
              <w:ind w:left="13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80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4</w:t>
            </w:r>
          </w:p>
        </w:tc>
        <w:tc>
          <w:tcPr>
            <w:tcW w:w="2640" w:type="dxa"/>
            <w:tcMar>
              <w:top w:w="0" w:type="dxa"/>
              <w:left w:w="0" w:type="dxa"/>
              <w:bottom w:w="0" w:type="dxa"/>
              <w:right w:w="0" w:type="dxa"/>
            </w:tcMar>
          </w:tcPr>
          <w:p>
            <w:pPr>
              <w:spacing w:before="120"/>
              <w:ind w:left="980"/>
            </w:pPr>
            <w:r>
              <w:rPr>
                <w:rFonts w:hint="eastAsia" w:ascii="宋体" w:hAnsi="宋体" w:eastAsia="宋体" w:cs="宋体"/>
                <w:sz w:val="21"/>
              </w:rPr>
              <w:t>高照华</w:t>
            </w:r>
          </w:p>
        </w:tc>
        <w:tc>
          <w:tcPr>
            <w:tcW w:w="1880" w:type="dxa"/>
            <w:tcMar>
              <w:top w:w="0" w:type="dxa"/>
              <w:left w:w="0" w:type="dxa"/>
              <w:bottom w:w="0" w:type="dxa"/>
              <w:right w:w="0" w:type="dxa"/>
            </w:tcMar>
          </w:tcPr>
          <w:p>
            <w:pPr>
              <w:spacing w:before="180"/>
              <w:ind w:left="13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800" w:type="dxa"/>
            <w:tcMar>
              <w:top w:w="0" w:type="dxa"/>
              <w:left w:w="0" w:type="dxa"/>
              <w:bottom w:w="0" w:type="dxa"/>
              <w:right w:w="0" w:type="dxa"/>
            </w:tcMar>
          </w:tcPr>
          <w:p>
            <w:pPr>
              <w:spacing w:before="180"/>
              <w:ind w:left="204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r>
      <w:tr>
        <w:trPr>
          <w:trHeight w:val="460" w:hRule="exact"/>
        </w:trPr>
        <w:tc>
          <w:tcPr>
            <w:tcW w:w="3820" w:type="dxa"/>
            <w:gridSpan w:val="2"/>
            <w:tcMar>
              <w:top w:w="0" w:type="dxa"/>
              <w:left w:w="0" w:type="dxa"/>
              <w:bottom w:w="0" w:type="dxa"/>
              <w:right w:w="0" w:type="dxa"/>
            </w:tcMar>
          </w:tcPr>
          <w:p>
            <w:pPr>
              <w:spacing w:before="120"/>
              <w:ind w:left="1680"/>
            </w:pPr>
            <w:r>
              <w:rPr>
                <w:rFonts w:hint="eastAsia" w:ascii="宋体" w:hAnsi="宋体" w:eastAsia="宋体" w:cs="宋体"/>
                <w:b/>
                <w:sz w:val="21"/>
              </w:rPr>
              <w:t>合计</w:t>
            </w:r>
          </w:p>
        </w:tc>
        <w:tc>
          <w:tcPr>
            <w:tcW w:w="1880" w:type="dxa"/>
            <w:tcMar>
              <w:top w:w="0" w:type="dxa"/>
              <w:left w:w="0" w:type="dxa"/>
              <w:bottom w:w="0" w:type="dxa"/>
              <w:right w:w="0" w:type="dxa"/>
            </w:tcMar>
          </w:tcPr>
          <w:p>
            <w:pPr>
              <w:spacing w:before="160"/>
              <w:ind w:left="1280"/>
            </w:pPr>
            <w:r>
              <w:rPr>
                <w:rFonts w:hint="eastAsia" w:ascii="Times New Roman Bold" w:hAnsi="Times New Roman Bold" w:eastAsia="Times New Roman Bold" w:cs="Times New Roman Bold"/>
                <w:b/>
                <w:sz w:val="21"/>
              </w:rPr>
              <w:t>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800" w:type="dxa"/>
            <w:tcMar>
              <w:top w:w="0" w:type="dxa"/>
              <w:left w:w="0" w:type="dxa"/>
              <w:bottom w:w="0" w:type="dxa"/>
              <w:right w:w="0" w:type="dxa"/>
            </w:tcMar>
          </w:tcPr>
          <w:p>
            <w:pPr>
              <w:spacing w:before="160"/>
              <w:ind w:left="19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Times New Roman Bold" w:hAnsi="Times New Roman Bold" w:eastAsia="Times New Roman Bold" w:cs="Times New Roman Bold"/>
          <w:b/>
          <w:sz w:val="24"/>
        </w:rPr>
        <w:t>1997</w:t>
      </w:r>
      <w:r>
        <w:rPr>
          <w:rFonts w:hint="eastAsia" w:ascii="宋体" w:hAnsi="宋体" w:eastAsia="宋体" w:cs="宋体"/>
          <w:b/>
          <w:sz w:val="24"/>
        </w:rPr>
        <w:t xml:space="preserve"> 年增资</w:t>
      </w:r>
    </w:p>
    <w:p>
      <w:pPr>
        <w:spacing w:line="200" w:lineRule="exact"/>
        <w:rPr>
          <w:rFonts w:hint="eastAsia" w:ascii="宋体" w:hAnsi="宋体" w:eastAsia="宋体" w:cs="宋体"/>
          <w:sz w:val="20"/>
        </w:rPr>
      </w:pPr>
    </w:p>
    <w:p>
      <w:pPr>
        <w:autoSpaceDE w:val="false"/>
        <w:autoSpaceDN w:val="false"/>
        <w:spacing w:line="440" w:lineRule="exact"/>
        <w:ind w:left="1800" w:right="1600" w:firstLine="420"/>
        <w:jc w:val="both"/>
      </w:pPr>
      <w:r>
        <w:rPr>
          <w:rFonts w:hint="eastAsia" w:ascii="Times New Roman" w:hAnsi="Times New Roman" w:eastAsia="Times New Roman" w:cs="Times New Roman"/>
          <w:sz w:val="24"/>
        </w:rPr>
        <w:t>1997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经顶点有限股东会决议通过</w:t>
      </w:r>
      <w:r>
        <w:rPr>
          <w:rFonts w:hint="eastAsia" w:ascii="宋体" w:hAnsi="宋体" w:eastAsia="宋体" w:cs="宋体"/>
          <w:sz w:val="10"/>
        </w:rPr>
        <w:t>，</w:t>
      </w:r>
      <w:r>
        <w:rPr>
          <w:rFonts w:hint="eastAsia" w:ascii="宋体" w:hAnsi="宋体" w:eastAsia="宋体" w:cs="宋体"/>
          <w:sz w:val="24"/>
        </w:rPr>
        <w:t>顶点有限注册资本由</w:t>
      </w:r>
      <w:r>
        <w:rPr>
          <w:rFonts w:hint="eastAsia" w:ascii="Times New Roman" w:hAnsi="Times New Roman" w:eastAsia="Times New Roman" w:cs="Times New Roman"/>
          <w:sz w:val="24"/>
        </w:rPr>
        <w:t xml:space="preserve"> 30.00</w:t>
      </w:r>
      <w:r>
        <w:rPr>
          <w:rFonts w:hint="eastAsia" w:ascii="宋体" w:hAnsi="宋体" w:eastAsia="宋体" w:cs="宋体"/>
          <w:sz w:val="24"/>
        </w:rPr>
        <w:t>万元增至</w:t>
      </w:r>
      <w:r>
        <w:rPr>
          <w:rFonts w:hint="eastAsia" w:ascii="Times New Roman" w:hAnsi="Times New Roman" w:eastAsia="Times New Roman" w:cs="Times New Roman"/>
          <w:sz w:val="24"/>
        </w:rPr>
        <w:t xml:space="preserve"> 88.00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其中由新股东赵莹</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张玉各出资</w:t>
      </w:r>
      <w:r>
        <w:rPr>
          <w:rFonts w:hint="eastAsia" w:ascii="Times New Roman" w:hAnsi="Times New Roman" w:eastAsia="Times New Roman" w:cs="Times New Roman"/>
          <w:sz w:val="24"/>
        </w:rPr>
        <w:t xml:space="preserve"> 4.40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各占公司</w:t>
      </w:r>
      <w:r>
        <w:rPr>
          <w:rFonts w:hint="eastAsia" w:ascii="Times New Roman" w:hAnsi="Times New Roman" w:eastAsia="Times New Roman" w:cs="Times New Roman"/>
          <w:sz w:val="24"/>
        </w:rPr>
        <w:t xml:space="preserve"> 5%</w:t>
      </w:r>
      <w:r>
        <w:rPr>
          <w:rFonts w:hint="eastAsia" w:ascii="宋体" w:hAnsi="宋体" w:eastAsia="宋体" w:cs="宋体"/>
          <w:sz w:val="24"/>
        </w:rPr>
        <w:t>的股权</w:t>
      </w:r>
      <w:r>
        <w:rPr>
          <w:rFonts w:hint="eastAsia" w:ascii="宋体" w:hAnsi="宋体" w:eastAsia="宋体" w:cs="宋体"/>
          <w:sz w:val="10"/>
        </w:rPr>
        <w:t>，</w:t>
      </w:r>
      <w:r>
        <w:rPr>
          <w:rFonts w:hint="eastAsia" w:ascii="宋体" w:hAnsi="宋体" w:eastAsia="宋体" w:cs="宋体"/>
          <w:sz w:val="24"/>
        </w:rPr>
        <w:t>老股东严孟宇增加出资</w:t>
      </w:r>
      <w:r>
        <w:rPr>
          <w:rFonts w:hint="eastAsia" w:ascii="Times New Roman" w:hAnsi="Times New Roman" w:eastAsia="Times New Roman" w:cs="Times New Roman"/>
          <w:sz w:val="24"/>
        </w:rPr>
        <w:t xml:space="preserve"> 36.04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董南勇增加出资</w:t>
      </w:r>
      <w:r>
        <w:rPr>
          <w:rFonts w:hint="eastAsia" w:ascii="Times New Roman" w:hAnsi="Times New Roman" w:eastAsia="Times New Roman" w:cs="Times New Roman"/>
          <w:sz w:val="24"/>
        </w:rPr>
        <w:t xml:space="preserve"> 4.20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赵伟增加出资</w:t>
      </w:r>
      <w:r>
        <w:rPr>
          <w:rFonts w:hint="eastAsia" w:ascii="Times New Roman" w:hAnsi="Times New Roman" w:eastAsia="Times New Roman" w:cs="Times New Roman"/>
          <w:sz w:val="24"/>
        </w:rPr>
        <w:t xml:space="preserve"> 4.56</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经各方协商</w:t>
      </w:r>
      <w:r>
        <w:rPr>
          <w:rFonts w:hint="eastAsia" w:ascii="宋体" w:hAnsi="宋体" w:eastAsia="宋体" w:cs="宋体"/>
          <w:sz w:val="10"/>
        </w:rPr>
        <w:t>一</w:t>
      </w:r>
      <w:r>
        <w:rPr>
          <w:rFonts w:hint="eastAsia" w:ascii="宋体" w:hAnsi="宋体" w:eastAsia="宋体" w:cs="宋体"/>
          <w:sz w:val="24"/>
        </w:rPr>
        <w:t>致本次增资的价格按注册资本值</w:t>
      </w:r>
      <w:r>
        <w:rPr>
          <w:rFonts w:hint="eastAsia" w:ascii="宋体" w:hAnsi="宋体" w:eastAsia="宋体" w:cs="宋体"/>
          <w:sz w:val="10"/>
        </w:rPr>
        <w:t>，</w:t>
      </w:r>
      <w:r>
        <w:rPr>
          <w:rFonts w:hint="eastAsia" w:ascii="宋体" w:hAnsi="宋体" w:eastAsia="宋体" w:cs="宋体"/>
          <w:sz w:val="24"/>
        </w:rPr>
        <w:t>所增资金用于公司经营</w:t>
      </w:r>
      <w:r>
        <w:rPr>
          <w:rFonts w:hint="eastAsia" w:ascii="宋体" w:hAnsi="宋体" w:eastAsia="宋体" w:cs="宋体"/>
          <w:sz w:val="10"/>
        </w:rPr>
        <w:t>。</w:t>
      </w:r>
      <w:r>
        <w:rPr>
          <w:rFonts w:hint="eastAsia" w:ascii="Times New Roman" w:hAnsi="Times New Roman" w:eastAsia="Times New Roman" w:cs="Times New Roman"/>
          <w:sz w:val="24"/>
        </w:rPr>
        <w:t>1997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日福建华益会计师事务所对本次增资情况进</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1-1-50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行了审验</w:t>
      </w:r>
      <w:r>
        <w:rPr>
          <w:rFonts w:hint="eastAsia" w:ascii="宋体" w:hAnsi="宋体" w:eastAsia="宋体" w:cs="宋体"/>
          <w:sz w:val="10"/>
        </w:rPr>
        <w:t>，</w:t>
      </w:r>
      <w:r>
        <w:rPr>
          <w:rFonts w:hint="eastAsia" w:ascii="宋体" w:hAnsi="宋体" w:eastAsia="宋体" w:cs="宋体"/>
          <w:sz w:val="24"/>
        </w:rPr>
        <w:t>验明各股东已按规定缴纳出资</w:t>
      </w:r>
      <w:r>
        <w:rPr>
          <w:rFonts w:hint="eastAsia" w:ascii="宋体" w:hAnsi="宋体" w:eastAsia="宋体" w:cs="宋体"/>
          <w:sz w:val="10"/>
        </w:rPr>
        <w:t>，</w:t>
      </w:r>
      <w:r>
        <w:rPr>
          <w:rFonts w:hint="eastAsia" w:ascii="宋体" w:hAnsi="宋体" w:eastAsia="宋体" w:cs="宋体"/>
          <w:sz w:val="24"/>
        </w:rPr>
        <w:t>并出具了《验资报告》（华益</w:t>
      </w:r>
      <w:r>
        <w:rPr>
          <w:rFonts w:hint="eastAsia" w:ascii="Times New Roman" w:hAnsi="Times New Roman" w:eastAsia="Times New Roman" w:cs="Times New Roman"/>
          <w:sz w:val="24"/>
        </w:rPr>
        <w:t>[1997]</w:t>
      </w:r>
      <w:r>
        <w:rPr>
          <w:rFonts w:hint="eastAsia" w:ascii="宋体" w:hAnsi="宋体" w:eastAsia="宋体" w:cs="宋体"/>
          <w:sz w:val="24"/>
        </w:rPr>
        <w:t>资字第</w:t>
      </w:r>
      <w:r>
        <w:rPr>
          <w:rFonts w:hint="eastAsia" w:ascii="Times New Roman" w:hAnsi="Times New Roman" w:eastAsia="Times New Roman" w:cs="Times New Roman"/>
          <w:sz w:val="24"/>
        </w:rPr>
        <w:t xml:space="preserve"> 025</w:t>
      </w:r>
      <w:r>
        <w:rPr>
          <w:rFonts w:hint="eastAsia" w:ascii="宋体" w:hAnsi="宋体" w:eastAsia="宋体" w:cs="宋体"/>
          <w:sz w:val="24"/>
        </w:rPr>
        <w:t xml:space="preserve"> 号）。</w:t>
      </w:r>
      <w:r>
        <w:rPr>
          <w:rFonts w:hint="eastAsia" w:ascii="Times New Roman" w:hAnsi="Times New Roman" w:eastAsia="Times New Roman" w:cs="Times New Roman"/>
          <w:sz w:val="24"/>
        </w:rPr>
        <w:t>1997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顶点有限在福州市工商行政管理局办理了前次股权转让及本次增资的工商变更登记手续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经过上述增资后</w:t>
      </w:r>
      <w:r>
        <w:rPr>
          <w:rFonts w:hint="eastAsia" w:ascii="宋体" w:hAnsi="宋体" w:eastAsia="宋体" w:cs="宋体"/>
          <w:sz w:val="10"/>
        </w:rPr>
        <w:t>，</w:t>
      </w:r>
      <w:r>
        <w:rPr>
          <w:rFonts w:hint="eastAsia" w:ascii="宋体" w:hAnsi="宋体" w:eastAsia="宋体" w:cs="宋体"/>
          <w:sz w:val="24"/>
        </w:rPr>
        <w:t>顶点有限各股东的出资情况如下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640"/>
        <w:gridCol w:w="1880"/>
        <w:gridCol w:w="2820"/>
      </w:tblGrid>
      <w:tr>
        <w:trPr>
          <w:trHeight w:val="480" w:hRule="exact"/>
        </w:trPr>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序号</w:t>
            </w:r>
          </w:p>
        </w:tc>
        <w:tc>
          <w:tcPr>
            <w:tcW w:w="2640" w:type="dxa"/>
            <w:tcMar>
              <w:top w:w="0" w:type="dxa"/>
              <w:left w:w="0" w:type="dxa"/>
              <w:bottom w:w="0" w:type="dxa"/>
              <w:right w:w="0" w:type="dxa"/>
            </w:tcMar>
          </w:tcPr>
          <w:p>
            <w:pPr>
              <w:spacing w:before="120"/>
              <w:ind w:left="880"/>
            </w:pPr>
            <w:r>
              <w:rPr>
                <w:rFonts w:hint="eastAsia" w:ascii="宋体" w:hAnsi="宋体" w:eastAsia="宋体" w:cs="宋体"/>
                <w:b/>
                <w:sz w:val="21"/>
              </w:rPr>
              <w:t>股东名称</w:t>
            </w:r>
          </w:p>
        </w:tc>
        <w:tc>
          <w:tcPr>
            <w:tcW w:w="1880" w:type="dxa"/>
            <w:tcMar>
              <w:top w:w="0" w:type="dxa"/>
              <w:left w:w="0" w:type="dxa"/>
              <w:bottom w:w="0" w:type="dxa"/>
              <w:right w:w="0" w:type="dxa"/>
            </w:tcMar>
          </w:tcPr>
          <w:p>
            <w:pPr>
              <w:spacing w:before="100"/>
              <w:ind w:left="620"/>
            </w:pPr>
            <w:r>
              <w:rPr>
                <w:rFonts w:hint="eastAsia" w:ascii="宋体" w:hAnsi="宋体" w:eastAsia="宋体" w:cs="宋体"/>
                <w:b/>
                <w:sz w:val="21"/>
              </w:rPr>
              <w:t>出资额</w:t>
            </w:r>
          </w:p>
        </w:tc>
        <w:tc>
          <w:tcPr>
            <w:tcW w:w="2820" w:type="dxa"/>
            <w:tcMar>
              <w:top w:w="0" w:type="dxa"/>
              <w:left w:w="0" w:type="dxa"/>
              <w:bottom w:w="0" w:type="dxa"/>
              <w:right w:w="0" w:type="dxa"/>
            </w:tcMar>
          </w:tcPr>
          <w:p>
            <w:pPr>
              <w:spacing w:before="120"/>
              <w:ind w:left="980"/>
            </w:pPr>
            <w:r>
              <w:rPr>
                <w:rFonts w:hint="eastAsia" w:ascii="宋体" w:hAnsi="宋体" w:eastAsia="宋体" w:cs="宋体"/>
                <w:b/>
                <w:sz w:val="21"/>
              </w:rPr>
              <w:t>股权比例</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1</w:t>
            </w:r>
          </w:p>
        </w:tc>
        <w:tc>
          <w:tcPr>
            <w:tcW w:w="2640" w:type="dxa"/>
            <w:tcMar>
              <w:top w:w="0" w:type="dxa"/>
              <w:left w:w="0" w:type="dxa"/>
              <w:bottom w:w="0" w:type="dxa"/>
              <w:right w:w="0" w:type="dxa"/>
            </w:tcMar>
          </w:tcPr>
          <w:p>
            <w:pPr>
              <w:spacing w:before="100"/>
              <w:ind w:left="1000"/>
            </w:pPr>
            <w:r>
              <w:rPr>
                <w:rFonts w:hint="eastAsia" w:ascii="宋体" w:hAnsi="宋体" w:eastAsia="宋体" w:cs="宋体"/>
                <w:sz w:val="21"/>
              </w:rPr>
              <w:t>严孟宇</w:t>
            </w:r>
          </w:p>
        </w:tc>
        <w:tc>
          <w:tcPr>
            <w:tcW w:w="1880" w:type="dxa"/>
            <w:tcMar>
              <w:top w:w="0" w:type="dxa"/>
              <w:left w:w="0" w:type="dxa"/>
              <w:bottom w:w="0" w:type="dxa"/>
              <w:right w:w="0" w:type="dxa"/>
            </w:tcMar>
          </w:tcPr>
          <w:p>
            <w:pPr>
              <w:spacing w:before="160"/>
              <w:ind w:left="1280"/>
            </w:pP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c>
          <w:tcPr>
            <w:tcW w:w="282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2</w:t>
            </w:r>
          </w:p>
        </w:tc>
        <w:tc>
          <w:tcPr>
            <w:tcW w:w="2640" w:type="dxa"/>
            <w:tcMar>
              <w:top w:w="0" w:type="dxa"/>
              <w:left w:w="0" w:type="dxa"/>
              <w:bottom w:w="0" w:type="dxa"/>
              <w:right w:w="0" w:type="dxa"/>
            </w:tcMar>
          </w:tcPr>
          <w:p>
            <w:pPr>
              <w:spacing w:before="120"/>
              <w:ind w:left="1000"/>
            </w:pPr>
            <w:r>
              <w:rPr>
                <w:rFonts w:hint="eastAsia" w:ascii="宋体" w:hAnsi="宋体" w:eastAsia="宋体" w:cs="宋体"/>
                <w:sz w:val="21"/>
              </w:rPr>
              <w:t>董南勇</w:t>
            </w:r>
          </w:p>
        </w:tc>
        <w:tc>
          <w:tcPr>
            <w:tcW w:w="1880" w:type="dxa"/>
            <w:tcMar>
              <w:top w:w="0" w:type="dxa"/>
              <w:left w:w="0" w:type="dxa"/>
              <w:bottom w:w="0" w:type="dxa"/>
              <w:right w:w="0" w:type="dxa"/>
            </w:tcMar>
          </w:tcPr>
          <w:p>
            <w:pPr>
              <w:spacing w:before="180"/>
              <w:ind w:left="12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820" w:type="dxa"/>
            <w:tcMar>
              <w:top w:w="0" w:type="dxa"/>
              <w:left w:w="0" w:type="dxa"/>
              <w:bottom w:w="0" w:type="dxa"/>
              <w:right w:w="0" w:type="dxa"/>
            </w:tcMar>
          </w:tcPr>
          <w:p>
            <w:pPr>
              <w:spacing w:before="180"/>
              <w:ind w:left="20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3</w:t>
            </w:r>
          </w:p>
        </w:tc>
        <w:tc>
          <w:tcPr>
            <w:tcW w:w="2640" w:type="dxa"/>
            <w:tcMar>
              <w:top w:w="0" w:type="dxa"/>
              <w:left w:w="0" w:type="dxa"/>
              <w:bottom w:w="0" w:type="dxa"/>
              <w:right w:w="0" w:type="dxa"/>
            </w:tcMar>
          </w:tcPr>
          <w:p>
            <w:pPr>
              <w:spacing w:before="120"/>
              <w:ind w:left="1100"/>
            </w:pPr>
            <w:r>
              <w:rPr>
                <w:rFonts w:hint="eastAsia" w:ascii="宋体" w:hAnsi="宋体" w:eastAsia="宋体" w:cs="宋体"/>
                <w:sz w:val="21"/>
              </w:rPr>
              <w:t>赵伟</w:t>
            </w:r>
          </w:p>
        </w:tc>
        <w:tc>
          <w:tcPr>
            <w:tcW w:w="1880" w:type="dxa"/>
            <w:tcMar>
              <w:top w:w="0" w:type="dxa"/>
              <w:left w:w="0" w:type="dxa"/>
              <w:bottom w:w="0" w:type="dxa"/>
              <w:right w:w="0" w:type="dxa"/>
            </w:tcMar>
          </w:tcPr>
          <w:p>
            <w:pPr>
              <w:spacing w:before="140"/>
              <w:ind w:left="128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282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4</w:t>
            </w:r>
          </w:p>
        </w:tc>
        <w:tc>
          <w:tcPr>
            <w:tcW w:w="2640" w:type="dxa"/>
            <w:tcMar>
              <w:top w:w="0" w:type="dxa"/>
              <w:left w:w="0" w:type="dxa"/>
              <w:bottom w:w="0" w:type="dxa"/>
              <w:right w:w="0" w:type="dxa"/>
            </w:tcMar>
          </w:tcPr>
          <w:p>
            <w:pPr>
              <w:spacing w:before="100"/>
              <w:ind w:left="1000"/>
            </w:pPr>
            <w:r>
              <w:rPr>
                <w:rFonts w:hint="eastAsia" w:ascii="宋体" w:hAnsi="宋体" w:eastAsia="宋体" w:cs="宋体"/>
                <w:sz w:val="21"/>
              </w:rPr>
              <w:t>高照华</w:t>
            </w:r>
          </w:p>
        </w:tc>
        <w:tc>
          <w:tcPr>
            <w:tcW w:w="188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820" w:type="dxa"/>
            <w:tcMar>
              <w:top w:w="0" w:type="dxa"/>
              <w:left w:w="0" w:type="dxa"/>
              <w:bottom w:w="0" w:type="dxa"/>
              <w:right w:w="0" w:type="dxa"/>
            </w:tcMar>
          </w:tcPr>
          <w:p>
            <w:pPr>
              <w:spacing w:before="140"/>
              <w:ind w:left="21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5</w:t>
            </w:r>
          </w:p>
        </w:tc>
        <w:tc>
          <w:tcPr>
            <w:tcW w:w="2640" w:type="dxa"/>
            <w:tcMar>
              <w:top w:w="0" w:type="dxa"/>
              <w:left w:w="0" w:type="dxa"/>
              <w:bottom w:w="0" w:type="dxa"/>
              <w:right w:w="0" w:type="dxa"/>
            </w:tcMar>
          </w:tcPr>
          <w:p>
            <w:pPr>
              <w:spacing w:before="120"/>
              <w:ind w:left="1100"/>
            </w:pPr>
            <w:r>
              <w:rPr>
                <w:rFonts w:hint="eastAsia" w:ascii="宋体" w:hAnsi="宋体" w:eastAsia="宋体" w:cs="宋体"/>
                <w:sz w:val="21"/>
              </w:rPr>
              <w:t>赵莹</w:t>
            </w:r>
          </w:p>
        </w:tc>
        <w:tc>
          <w:tcPr>
            <w:tcW w:w="188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82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6</w:t>
            </w:r>
          </w:p>
        </w:tc>
        <w:tc>
          <w:tcPr>
            <w:tcW w:w="2640" w:type="dxa"/>
            <w:tcMar>
              <w:top w:w="0" w:type="dxa"/>
              <w:left w:w="0" w:type="dxa"/>
              <w:bottom w:w="0" w:type="dxa"/>
              <w:right w:w="0" w:type="dxa"/>
            </w:tcMar>
          </w:tcPr>
          <w:p>
            <w:pPr>
              <w:spacing w:before="120"/>
              <w:ind w:left="1000"/>
            </w:pPr>
            <w:r>
              <w:rPr>
                <w:rFonts w:hint="eastAsia" w:ascii="宋体" w:hAnsi="宋体" w:eastAsia="宋体" w:cs="宋体"/>
                <w:sz w:val="21"/>
              </w:rPr>
              <w:t>雷世潘</w:t>
            </w:r>
          </w:p>
        </w:tc>
        <w:tc>
          <w:tcPr>
            <w:tcW w:w="1880" w:type="dxa"/>
            <w:tcMar>
              <w:top w:w="0" w:type="dxa"/>
              <w:left w:w="0" w:type="dxa"/>
              <w:bottom w:w="0" w:type="dxa"/>
              <w:right w:w="0" w:type="dxa"/>
            </w:tcMar>
          </w:tcPr>
          <w:p>
            <w:pPr>
              <w:spacing w:before="180"/>
              <w:ind w:left="14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820" w:type="dxa"/>
            <w:tcMar>
              <w:top w:w="0" w:type="dxa"/>
              <w:left w:w="0" w:type="dxa"/>
              <w:bottom w:w="0" w:type="dxa"/>
              <w:right w:w="0" w:type="dxa"/>
            </w:tcMar>
          </w:tcPr>
          <w:p>
            <w:pPr>
              <w:spacing w:before="180"/>
              <w:ind w:left="21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7</w:t>
            </w:r>
          </w:p>
        </w:tc>
        <w:tc>
          <w:tcPr>
            <w:tcW w:w="2640" w:type="dxa"/>
            <w:tcMar>
              <w:top w:w="0" w:type="dxa"/>
              <w:left w:w="0" w:type="dxa"/>
              <w:bottom w:w="0" w:type="dxa"/>
              <w:right w:w="0" w:type="dxa"/>
            </w:tcMar>
          </w:tcPr>
          <w:p>
            <w:pPr>
              <w:spacing w:before="120"/>
              <w:ind w:left="1040"/>
            </w:pPr>
            <w:r>
              <w:rPr>
                <w:rFonts w:hint="eastAsia" w:ascii="宋体" w:hAnsi="宋体" w:eastAsia="宋体" w:cs="宋体"/>
                <w:sz w:val="21"/>
              </w:rPr>
              <w:t>张 玉</w:t>
            </w:r>
          </w:p>
        </w:tc>
        <w:tc>
          <w:tcPr>
            <w:tcW w:w="1880" w:type="dxa"/>
            <w:tcMar>
              <w:top w:w="0" w:type="dxa"/>
              <w:left w:w="0" w:type="dxa"/>
              <w:bottom w:w="0" w:type="dxa"/>
              <w:right w:w="0" w:type="dxa"/>
            </w:tcMar>
          </w:tcPr>
          <w:p>
            <w:pPr>
              <w:spacing w:before="140"/>
              <w:ind w:left="14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820" w:type="dxa"/>
            <w:tcMar>
              <w:top w:w="0" w:type="dxa"/>
              <w:left w:w="0" w:type="dxa"/>
              <w:bottom w:w="0" w:type="dxa"/>
              <w:right w:w="0" w:type="dxa"/>
            </w:tcMar>
          </w:tcPr>
          <w:p>
            <w:pPr>
              <w:spacing w:before="140"/>
              <w:ind w:left="21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3820" w:type="dxa"/>
            <w:gridSpan w:val="2"/>
            <w:tcMar>
              <w:top w:w="0" w:type="dxa"/>
              <w:left w:w="0" w:type="dxa"/>
              <w:bottom w:w="0" w:type="dxa"/>
              <w:right w:w="0" w:type="dxa"/>
            </w:tcMar>
          </w:tcPr>
          <w:p>
            <w:pPr>
              <w:spacing w:before="120"/>
              <w:ind w:left="1680"/>
            </w:pPr>
            <w:r>
              <w:rPr>
                <w:rFonts w:hint="eastAsia" w:ascii="宋体" w:hAnsi="宋体" w:eastAsia="宋体" w:cs="宋体"/>
                <w:b/>
                <w:sz w:val="21"/>
              </w:rPr>
              <w:t>合计</w:t>
            </w:r>
          </w:p>
        </w:tc>
        <w:tc>
          <w:tcPr>
            <w:tcW w:w="1880" w:type="dxa"/>
            <w:tcMar>
              <w:top w:w="0" w:type="dxa"/>
              <w:left w:w="0" w:type="dxa"/>
              <w:bottom w:w="0" w:type="dxa"/>
              <w:right w:w="0" w:type="dxa"/>
            </w:tcMar>
          </w:tcPr>
          <w:p>
            <w:pPr>
              <w:spacing w:before="160"/>
              <w:ind w:left="1280"/>
            </w:pPr>
            <w:r>
              <w:rPr>
                <w:rFonts w:hint="eastAsia" w:ascii="Times New Roman Bold" w:hAnsi="Times New Roman Bold" w:eastAsia="Times New Roman Bold" w:cs="Times New Roman Bold"/>
                <w:b/>
                <w:sz w:val="21"/>
              </w:rPr>
              <w:t>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820" w:type="dxa"/>
            <w:tcMar>
              <w:top w:w="0" w:type="dxa"/>
              <w:left w:w="0" w:type="dxa"/>
              <w:bottom w:w="0" w:type="dxa"/>
              <w:right w:w="0" w:type="dxa"/>
            </w:tcMar>
          </w:tcPr>
          <w:p>
            <w:pPr>
              <w:spacing w:before="140"/>
              <w:ind w:left="19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Times New Roman Bold" w:hAnsi="Times New Roman Bold" w:eastAsia="Times New Roman Bold" w:cs="Times New Roman Bold"/>
          <w:b/>
          <w:sz w:val="24"/>
        </w:rPr>
        <w:t>2000</w:t>
      </w:r>
      <w:r>
        <w:rPr>
          <w:rFonts w:hint="eastAsia" w:ascii="宋体" w:hAnsi="宋体" w:eastAsia="宋体" w:cs="宋体"/>
          <w:b/>
          <w:sz w:val="24"/>
        </w:rPr>
        <w:t xml:space="preserve"> 年股权转让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顶点有限召开临时股东会</w:t>
      </w:r>
      <w:r>
        <w:rPr>
          <w:rFonts w:hint="eastAsia" w:ascii="宋体" w:hAnsi="宋体" w:eastAsia="宋体" w:cs="宋体"/>
          <w:sz w:val="10"/>
        </w:rPr>
        <w:t>，</w:t>
      </w:r>
      <w:r>
        <w:rPr>
          <w:rFonts w:hint="eastAsia" w:ascii="宋体" w:hAnsi="宋体" w:eastAsia="宋体" w:cs="宋体"/>
          <w:sz w:val="24"/>
        </w:rPr>
        <w:t>同意高照华将其持有的公司</w:t>
      </w:r>
      <w:r>
        <w:rPr>
          <w:rFonts w:hint="eastAsia" w:ascii="Times New Roman" w:hAnsi="Times New Roman" w:eastAsia="Times New Roman" w:cs="Times New Roman"/>
          <w:sz w:val="24"/>
        </w:rPr>
        <w:t>5.00%</w:t>
      </w:r>
      <w:r>
        <w:rPr>
          <w:rFonts w:hint="eastAsia" w:ascii="宋体" w:hAnsi="宋体" w:eastAsia="宋体" w:cs="宋体"/>
          <w:sz w:val="24"/>
        </w:rPr>
        <w:t>的股权（对应出资额为</w:t>
      </w:r>
      <w:r>
        <w:rPr>
          <w:rFonts w:hint="eastAsia" w:ascii="Times New Roman" w:hAnsi="Times New Roman" w:eastAsia="Times New Roman" w:cs="Times New Roman"/>
          <w:sz w:val="24"/>
        </w:rPr>
        <w:t xml:space="preserve"> 4.40</w:t>
      </w:r>
      <w:r>
        <w:rPr>
          <w:rFonts w:hint="eastAsia" w:ascii="宋体" w:hAnsi="宋体" w:eastAsia="宋体" w:cs="宋体"/>
          <w:sz w:val="24"/>
        </w:rPr>
        <w:t xml:space="preserve"> 万元）分别转让给陈建等</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人</w:t>
      </w:r>
      <w:r>
        <w:rPr>
          <w:rFonts w:hint="eastAsia" w:ascii="宋体" w:hAnsi="宋体" w:eastAsia="宋体" w:cs="宋体"/>
          <w:sz w:val="10"/>
        </w:rPr>
        <w:t>。</w:t>
      </w:r>
      <w:r>
        <w:rPr>
          <w:rFonts w:hint="eastAsia" w:ascii="宋体" w:hAnsi="宋体" w:eastAsia="宋体" w:cs="宋体"/>
          <w:sz w:val="24"/>
        </w:rPr>
        <w:t>各受让方均以现金方式完成了转让款的支付</w:t>
      </w:r>
      <w:r>
        <w:rPr>
          <w:rFonts w:hint="eastAsia" w:ascii="宋体" w:hAnsi="宋体" w:eastAsia="宋体" w:cs="宋体"/>
          <w:sz w:val="10"/>
        </w:rPr>
        <w:t>。</w:t>
      </w:r>
      <w:r>
        <w:rPr>
          <w:rFonts w:hint="eastAsia" w:ascii="宋体" w:hAnsi="宋体" w:eastAsia="宋体" w:cs="宋体"/>
          <w:sz w:val="24"/>
        </w:rPr>
        <w:t>公司于</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日在福州市工商行政管理局办理了工商变更登记手续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本次股权转让后</w:t>
      </w:r>
      <w:r>
        <w:rPr>
          <w:rFonts w:hint="eastAsia" w:ascii="宋体" w:hAnsi="宋体" w:eastAsia="宋体" w:cs="宋体"/>
          <w:sz w:val="10"/>
        </w:rPr>
        <w:t>，</w:t>
      </w:r>
      <w:r>
        <w:rPr>
          <w:rFonts w:hint="eastAsia" w:ascii="宋体" w:hAnsi="宋体" w:eastAsia="宋体" w:cs="宋体"/>
          <w:sz w:val="24"/>
        </w:rPr>
        <w:t>顶点有限的股权结构如下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660"/>
        <w:gridCol w:w="1880"/>
        <w:gridCol w:w="2820"/>
      </w:tblGrid>
      <w:tr>
        <w:trPr>
          <w:trHeight w:val="480" w:hRule="exact"/>
        </w:trPr>
        <w:tc>
          <w:tcPr>
            <w:tcW w:w="1160" w:type="dxa"/>
            <w:tcMar>
              <w:top w:w="0" w:type="dxa"/>
              <w:left w:w="0" w:type="dxa"/>
              <w:bottom w:w="0" w:type="dxa"/>
              <w:right w:w="0" w:type="dxa"/>
            </w:tcMar>
          </w:tcPr>
          <w:p>
            <w:pPr>
              <w:spacing w:before="120"/>
              <w:ind w:left="340"/>
            </w:pPr>
            <w:r>
              <w:rPr>
                <w:rFonts w:hint="eastAsia" w:ascii="宋体" w:hAnsi="宋体" w:eastAsia="宋体" w:cs="宋体"/>
                <w:b/>
                <w:sz w:val="21"/>
              </w:rPr>
              <w:t>序号</w:t>
            </w:r>
          </w:p>
        </w:tc>
        <w:tc>
          <w:tcPr>
            <w:tcW w:w="2660" w:type="dxa"/>
            <w:tcMar>
              <w:top w:w="0" w:type="dxa"/>
              <w:left w:w="0" w:type="dxa"/>
              <w:bottom w:w="0" w:type="dxa"/>
              <w:right w:w="0" w:type="dxa"/>
            </w:tcMar>
          </w:tcPr>
          <w:p>
            <w:pPr>
              <w:spacing w:before="120"/>
              <w:ind w:left="900"/>
            </w:pPr>
            <w:r>
              <w:rPr>
                <w:rFonts w:hint="eastAsia" w:ascii="宋体" w:hAnsi="宋体" w:eastAsia="宋体" w:cs="宋体"/>
                <w:b/>
                <w:sz w:val="21"/>
              </w:rPr>
              <w:t>股东姓名</w:t>
            </w:r>
          </w:p>
        </w:tc>
        <w:tc>
          <w:tcPr>
            <w:tcW w:w="1880" w:type="dxa"/>
            <w:tcMar>
              <w:top w:w="0" w:type="dxa"/>
              <w:left w:w="0" w:type="dxa"/>
              <w:bottom w:w="0" w:type="dxa"/>
              <w:right w:w="0" w:type="dxa"/>
            </w:tcMar>
          </w:tcPr>
          <w:p>
            <w:pPr>
              <w:spacing w:before="120"/>
              <w:ind w:left="600"/>
            </w:pPr>
            <w:r>
              <w:rPr>
                <w:rFonts w:hint="eastAsia" w:ascii="宋体" w:hAnsi="宋体" w:eastAsia="宋体" w:cs="宋体"/>
                <w:b/>
                <w:sz w:val="21"/>
              </w:rPr>
              <w:t>出资额</w:t>
            </w:r>
          </w:p>
        </w:tc>
        <w:tc>
          <w:tcPr>
            <w:tcW w:w="2820" w:type="dxa"/>
            <w:tcMar>
              <w:top w:w="0" w:type="dxa"/>
              <w:left w:w="0" w:type="dxa"/>
              <w:bottom w:w="0" w:type="dxa"/>
              <w:right w:w="0" w:type="dxa"/>
            </w:tcMar>
          </w:tcPr>
          <w:p>
            <w:pPr>
              <w:spacing w:before="120"/>
              <w:ind w:left="960"/>
            </w:pPr>
            <w:r>
              <w:rPr>
                <w:rFonts w:hint="eastAsia" w:ascii="宋体" w:hAnsi="宋体" w:eastAsia="宋体" w:cs="宋体"/>
                <w:b/>
                <w:sz w:val="21"/>
              </w:rPr>
              <w:t>股权比例</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p>
        </w:tc>
        <w:tc>
          <w:tcPr>
            <w:tcW w:w="2660" w:type="dxa"/>
            <w:tcMar>
              <w:top w:w="0" w:type="dxa"/>
              <w:left w:w="0" w:type="dxa"/>
              <w:bottom w:w="0" w:type="dxa"/>
              <w:right w:w="0" w:type="dxa"/>
            </w:tcMar>
          </w:tcPr>
          <w:p>
            <w:pPr>
              <w:spacing w:before="120"/>
              <w:ind w:left="1000"/>
            </w:pPr>
            <w:r>
              <w:rPr>
                <w:rFonts w:hint="eastAsia" w:ascii="宋体" w:hAnsi="宋体" w:eastAsia="宋体" w:cs="宋体"/>
                <w:sz w:val="21"/>
              </w:rPr>
              <w:t>严孟宇</w:t>
            </w:r>
          </w:p>
        </w:tc>
        <w:tc>
          <w:tcPr>
            <w:tcW w:w="1880" w:type="dxa"/>
            <w:tcMar>
              <w:top w:w="0" w:type="dxa"/>
              <w:left w:w="0" w:type="dxa"/>
              <w:bottom w:w="0" w:type="dxa"/>
              <w:right w:w="0" w:type="dxa"/>
            </w:tcMar>
          </w:tcPr>
          <w:p>
            <w:pPr>
              <w:spacing w:before="140"/>
              <w:ind w:left="1280"/>
            </w:pP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c>
          <w:tcPr>
            <w:tcW w:w="282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2</w:t>
            </w:r>
          </w:p>
        </w:tc>
        <w:tc>
          <w:tcPr>
            <w:tcW w:w="2660" w:type="dxa"/>
            <w:tcMar>
              <w:top w:w="0" w:type="dxa"/>
              <w:left w:w="0" w:type="dxa"/>
              <w:bottom w:w="0" w:type="dxa"/>
              <w:right w:w="0" w:type="dxa"/>
            </w:tcMar>
          </w:tcPr>
          <w:p>
            <w:pPr>
              <w:spacing w:before="120"/>
              <w:ind w:left="1000"/>
            </w:pPr>
            <w:r>
              <w:rPr>
                <w:rFonts w:hint="eastAsia" w:ascii="宋体" w:hAnsi="宋体" w:eastAsia="宋体" w:cs="宋体"/>
                <w:sz w:val="21"/>
              </w:rPr>
              <w:t>董南勇</w:t>
            </w:r>
          </w:p>
        </w:tc>
        <w:tc>
          <w:tcPr>
            <w:tcW w:w="1880" w:type="dxa"/>
            <w:tcMar>
              <w:top w:w="0" w:type="dxa"/>
              <w:left w:w="0" w:type="dxa"/>
              <w:bottom w:w="0" w:type="dxa"/>
              <w:right w:w="0" w:type="dxa"/>
            </w:tcMar>
          </w:tcPr>
          <w:p>
            <w:pPr>
              <w:spacing w:before="160"/>
              <w:ind w:left="12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82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3</w:t>
            </w:r>
          </w:p>
        </w:tc>
        <w:tc>
          <w:tcPr>
            <w:tcW w:w="2660" w:type="dxa"/>
            <w:tcMar>
              <w:top w:w="0" w:type="dxa"/>
              <w:left w:w="0" w:type="dxa"/>
              <w:bottom w:w="0" w:type="dxa"/>
              <w:right w:w="0" w:type="dxa"/>
            </w:tcMar>
          </w:tcPr>
          <w:p>
            <w:pPr>
              <w:spacing w:before="100"/>
              <w:ind w:left="1100"/>
            </w:pPr>
            <w:r>
              <w:rPr>
                <w:rFonts w:hint="eastAsia" w:ascii="宋体" w:hAnsi="宋体" w:eastAsia="宋体" w:cs="宋体"/>
                <w:sz w:val="21"/>
              </w:rPr>
              <w:t>赵伟</w:t>
            </w:r>
          </w:p>
        </w:tc>
        <w:tc>
          <w:tcPr>
            <w:tcW w:w="1880" w:type="dxa"/>
            <w:tcMar>
              <w:top w:w="0" w:type="dxa"/>
              <w:left w:w="0" w:type="dxa"/>
              <w:bottom w:w="0" w:type="dxa"/>
              <w:right w:w="0" w:type="dxa"/>
            </w:tcMar>
          </w:tcPr>
          <w:p>
            <w:pPr>
              <w:spacing w:before="160"/>
              <w:ind w:left="128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282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4</w:t>
            </w:r>
          </w:p>
        </w:tc>
        <w:tc>
          <w:tcPr>
            <w:tcW w:w="2660" w:type="dxa"/>
            <w:tcMar>
              <w:top w:w="0" w:type="dxa"/>
              <w:left w:w="0" w:type="dxa"/>
              <w:bottom w:w="0" w:type="dxa"/>
              <w:right w:w="0" w:type="dxa"/>
            </w:tcMar>
          </w:tcPr>
          <w:p>
            <w:pPr>
              <w:spacing w:before="120"/>
              <w:ind w:left="1100"/>
            </w:pPr>
            <w:r>
              <w:rPr>
                <w:rFonts w:hint="eastAsia" w:ascii="宋体" w:hAnsi="宋体" w:eastAsia="宋体" w:cs="宋体"/>
                <w:sz w:val="21"/>
              </w:rPr>
              <w:t>赵莹</w:t>
            </w:r>
          </w:p>
        </w:tc>
        <w:tc>
          <w:tcPr>
            <w:tcW w:w="1880" w:type="dxa"/>
            <w:tcMar>
              <w:top w:w="0" w:type="dxa"/>
              <w:left w:w="0" w:type="dxa"/>
              <w:bottom w:w="0" w:type="dxa"/>
              <w:right w:w="0" w:type="dxa"/>
            </w:tcMar>
          </w:tcPr>
          <w:p>
            <w:pPr>
              <w:spacing w:before="180"/>
              <w:ind w:left="13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2820" w:type="dxa"/>
            <w:tcMar>
              <w:top w:w="0" w:type="dxa"/>
              <w:left w:w="0" w:type="dxa"/>
              <w:bottom w:w="0" w:type="dxa"/>
              <w:right w:w="0" w:type="dxa"/>
            </w:tcMar>
          </w:tcPr>
          <w:p>
            <w:pPr>
              <w:spacing w:before="180"/>
              <w:ind w:left="21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5</w:t>
            </w:r>
          </w:p>
        </w:tc>
        <w:tc>
          <w:tcPr>
            <w:tcW w:w="2660" w:type="dxa"/>
            <w:tcMar>
              <w:top w:w="0" w:type="dxa"/>
              <w:left w:w="0" w:type="dxa"/>
              <w:bottom w:w="0" w:type="dxa"/>
              <w:right w:w="0" w:type="dxa"/>
            </w:tcMar>
          </w:tcPr>
          <w:p>
            <w:pPr>
              <w:spacing w:before="120"/>
              <w:ind w:left="1000"/>
            </w:pPr>
            <w:r>
              <w:rPr>
                <w:rFonts w:hint="eastAsia" w:ascii="宋体" w:hAnsi="宋体" w:eastAsia="宋体" w:cs="宋体"/>
                <w:sz w:val="21"/>
              </w:rPr>
              <w:t>雷世潘</w:t>
            </w:r>
          </w:p>
        </w:tc>
        <w:tc>
          <w:tcPr>
            <w:tcW w:w="1880" w:type="dxa"/>
            <w:tcMar>
              <w:top w:w="0" w:type="dxa"/>
              <w:left w:w="0" w:type="dxa"/>
              <w:bottom w:w="0" w:type="dxa"/>
              <w:right w:w="0" w:type="dxa"/>
            </w:tcMar>
          </w:tcPr>
          <w:p>
            <w:pPr>
              <w:spacing w:before="140"/>
              <w:ind w:left="13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820" w:type="dxa"/>
            <w:tcMar>
              <w:top w:w="0" w:type="dxa"/>
              <w:left w:w="0" w:type="dxa"/>
              <w:bottom w:w="0" w:type="dxa"/>
              <w:right w:w="0" w:type="dxa"/>
            </w:tcMar>
          </w:tcPr>
          <w:p>
            <w:pPr>
              <w:spacing w:before="140"/>
              <w:ind w:left="21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6</w:t>
            </w:r>
          </w:p>
        </w:tc>
        <w:tc>
          <w:tcPr>
            <w:tcW w:w="2660" w:type="dxa"/>
            <w:tcMar>
              <w:top w:w="0" w:type="dxa"/>
              <w:left w:w="0" w:type="dxa"/>
              <w:bottom w:w="0" w:type="dxa"/>
              <w:right w:w="0" w:type="dxa"/>
            </w:tcMar>
          </w:tcPr>
          <w:p>
            <w:pPr>
              <w:spacing w:before="120"/>
              <w:ind w:left="1100"/>
            </w:pPr>
            <w:r>
              <w:rPr>
                <w:rFonts w:hint="eastAsia" w:ascii="宋体" w:hAnsi="宋体" w:eastAsia="宋体" w:cs="宋体"/>
                <w:sz w:val="21"/>
              </w:rPr>
              <w:t>张玉</w:t>
            </w:r>
          </w:p>
        </w:tc>
        <w:tc>
          <w:tcPr>
            <w:tcW w:w="1880" w:type="dxa"/>
            <w:tcMar>
              <w:top w:w="0" w:type="dxa"/>
              <w:left w:w="0" w:type="dxa"/>
              <w:bottom w:w="0" w:type="dxa"/>
              <w:right w:w="0" w:type="dxa"/>
            </w:tcMar>
          </w:tcPr>
          <w:p>
            <w:pPr>
              <w:spacing w:before="160"/>
              <w:ind w:left="13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820" w:type="dxa"/>
            <w:tcMar>
              <w:top w:w="0" w:type="dxa"/>
              <w:left w:w="0" w:type="dxa"/>
              <w:bottom w:w="0" w:type="dxa"/>
              <w:right w:w="0" w:type="dxa"/>
            </w:tcMar>
          </w:tcPr>
          <w:p>
            <w:pPr>
              <w:spacing w:before="140"/>
              <w:ind w:left="21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80" w:lineRule="exact"/>
        <w:ind w:left="5660"/>
        <w:jc w:val="both"/>
      </w:pPr>
      <w:r>
        <w:rPr>
          <w:rFonts w:hint="eastAsia" w:ascii="Times New Roman" w:hAnsi="Times New Roman" w:eastAsia="Times New Roman" w:cs="Times New Roman"/>
          <w:sz w:val="21"/>
        </w:rPr>
        <w:t>1-1-51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660"/>
        <w:gridCol w:w="1880"/>
        <w:gridCol w:w="2820"/>
      </w:tblGrid>
      <w:tr>
        <w:trPr>
          <w:trHeight w:val="480" w:hRule="exact"/>
        </w:trPr>
        <w:tc>
          <w:tcPr>
            <w:tcW w:w="116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7</w:t>
            </w:r>
          </w:p>
        </w:tc>
        <w:tc>
          <w:tcPr>
            <w:tcW w:w="2660" w:type="dxa"/>
            <w:tcMar>
              <w:top w:w="0" w:type="dxa"/>
              <w:left w:w="0" w:type="dxa"/>
              <w:bottom w:w="0" w:type="dxa"/>
              <w:right w:w="0" w:type="dxa"/>
            </w:tcMar>
          </w:tcPr>
          <w:p>
            <w:pPr>
              <w:spacing w:before="100"/>
              <w:ind w:left="1100"/>
            </w:pPr>
            <w:r>
              <w:rPr>
                <w:rFonts w:hint="eastAsia" w:ascii="宋体" w:hAnsi="宋体" w:eastAsia="宋体" w:cs="宋体"/>
                <w:sz w:val="21"/>
              </w:rPr>
              <w:t>陈建</w:t>
            </w:r>
          </w:p>
        </w:tc>
        <w:tc>
          <w:tcPr>
            <w:tcW w:w="1880" w:type="dxa"/>
            <w:tcMar>
              <w:top w:w="0" w:type="dxa"/>
              <w:left w:w="0" w:type="dxa"/>
              <w:bottom w:w="0" w:type="dxa"/>
              <w:right w:w="0" w:type="dxa"/>
            </w:tcMar>
          </w:tcPr>
          <w:p>
            <w:pPr>
              <w:spacing w:before="140"/>
              <w:ind w:left="13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p>
        </w:tc>
        <w:tc>
          <w:tcPr>
            <w:tcW w:w="2820" w:type="dxa"/>
            <w:tcMar>
              <w:top w:w="0" w:type="dxa"/>
              <w:left w:w="0" w:type="dxa"/>
              <w:bottom w:w="0" w:type="dxa"/>
              <w:right w:w="0" w:type="dxa"/>
            </w:tcMar>
          </w:tcPr>
          <w:p>
            <w:pPr>
              <w:spacing w:before="140"/>
              <w:ind w:left="2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8</w:t>
            </w:r>
          </w:p>
        </w:tc>
        <w:tc>
          <w:tcPr>
            <w:tcW w:w="2660" w:type="dxa"/>
            <w:tcMar>
              <w:top w:w="0" w:type="dxa"/>
              <w:left w:w="0" w:type="dxa"/>
              <w:bottom w:w="0" w:type="dxa"/>
              <w:right w:w="0" w:type="dxa"/>
            </w:tcMar>
          </w:tcPr>
          <w:p>
            <w:pPr>
              <w:spacing w:before="120"/>
              <w:ind w:left="1000"/>
            </w:pPr>
            <w:r>
              <w:rPr>
                <w:rFonts w:hint="eastAsia" w:ascii="宋体" w:hAnsi="宋体" w:eastAsia="宋体" w:cs="宋体"/>
                <w:sz w:val="21"/>
              </w:rPr>
              <w:t>林秀红</w:t>
            </w:r>
          </w:p>
        </w:tc>
        <w:tc>
          <w:tcPr>
            <w:tcW w:w="1880" w:type="dxa"/>
            <w:tcMar>
              <w:top w:w="0" w:type="dxa"/>
              <w:left w:w="0" w:type="dxa"/>
              <w:bottom w:w="0" w:type="dxa"/>
              <w:right w:w="0" w:type="dxa"/>
            </w:tcMar>
          </w:tcPr>
          <w:p>
            <w:pPr>
              <w:spacing w:before="160"/>
              <w:ind w:left="13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282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9</w:t>
            </w:r>
          </w:p>
        </w:tc>
        <w:tc>
          <w:tcPr>
            <w:tcW w:w="2660" w:type="dxa"/>
            <w:tcMar>
              <w:top w:w="0" w:type="dxa"/>
              <w:left w:w="0" w:type="dxa"/>
              <w:bottom w:w="0" w:type="dxa"/>
              <w:right w:w="0" w:type="dxa"/>
            </w:tcMar>
          </w:tcPr>
          <w:p>
            <w:pPr>
              <w:spacing w:before="100"/>
              <w:ind w:left="1000"/>
            </w:pPr>
            <w:r>
              <w:rPr>
                <w:rFonts w:hint="eastAsia" w:ascii="宋体" w:hAnsi="宋体" w:eastAsia="宋体" w:cs="宋体"/>
                <w:sz w:val="21"/>
              </w:rPr>
              <w:t>刘法先</w:t>
            </w:r>
          </w:p>
        </w:tc>
        <w:tc>
          <w:tcPr>
            <w:tcW w:w="1880" w:type="dxa"/>
            <w:tcMar>
              <w:top w:w="0" w:type="dxa"/>
              <w:left w:w="0" w:type="dxa"/>
              <w:bottom w:w="0" w:type="dxa"/>
              <w:right w:w="0" w:type="dxa"/>
            </w:tcMar>
          </w:tcPr>
          <w:p>
            <w:pPr>
              <w:spacing w:before="160"/>
              <w:ind w:left="13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282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10</w:t>
            </w:r>
          </w:p>
        </w:tc>
        <w:tc>
          <w:tcPr>
            <w:tcW w:w="2660" w:type="dxa"/>
            <w:tcMar>
              <w:top w:w="0" w:type="dxa"/>
              <w:left w:w="0" w:type="dxa"/>
              <w:bottom w:w="0" w:type="dxa"/>
              <w:right w:w="0" w:type="dxa"/>
            </w:tcMar>
          </w:tcPr>
          <w:p>
            <w:pPr>
              <w:spacing w:before="120"/>
              <w:ind w:left="1000"/>
            </w:pPr>
            <w:r>
              <w:rPr>
                <w:rFonts w:hint="eastAsia" w:ascii="宋体" w:hAnsi="宋体" w:eastAsia="宋体" w:cs="宋体"/>
                <w:sz w:val="21"/>
              </w:rPr>
              <w:t>陈建国</w:t>
            </w:r>
          </w:p>
        </w:tc>
        <w:tc>
          <w:tcPr>
            <w:tcW w:w="1880" w:type="dxa"/>
            <w:tcMar>
              <w:top w:w="0" w:type="dxa"/>
              <w:left w:w="0" w:type="dxa"/>
              <w:bottom w:w="0" w:type="dxa"/>
              <w:right w:w="0" w:type="dxa"/>
            </w:tcMar>
          </w:tcPr>
          <w:p>
            <w:pPr>
              <w:spacing w:before="180"/>
              <w:ind w:left="13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820" w:type="dxa"/>
            <w:tcMar>
              <w:top w:w="0" w:type="dxa"/>
              <w:left w:w="0" w:type="dxa"/>
              <w:bottom w:w="0" w:type="dxa"/>
              <w:right w:w="0" w:type="dxa"/>
            </w:tcMar>
          </w:tcPr>
          <w:p>
            <w:pPr>
              <w:spacing w:before="180"/>
              <w:ind w:left="21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11</w:t>
            </w:r>
          </w:p>
        </w:tc>
        <w:tc>
          <w:tcPr>
            <w:tcW w:w="2660" w:type="dxa"/>
            <w:tcMar>
              <w:top w:w="0" w:type="dxa"/>
              <w:left w:w="0" w:type="dxa"/>
              <w:bottom w:w="0" w:type="dxa"/>
              <w:right w:w="0" w:type="dxa"/>
            </w:tcMar>
          </w:tcPr>
          <w:p>
            <w:pPr>
              <w:spacing w:before="120"/>
              <w:ind w:left="1000"/>
            </w:pPr>
            <w:r>
              <w:rPr>
                <w:rFonts w:hint="eastAsia" w:ascii="宋体" w:hAnsi="宋体" w:eastAsia="宋体" w:cs="宋体"/>
                <w:sz w:val="21"/>
              </w:rPr>
              <w:t>徐传秋</w:t>
            </w:r>
          </w:p>
        </w:tc>
        <w:tc>
          <w:tcPr>
            <w:tcW w:w="1880" w:type="dxa"/>
            <w:tcMar>
              <w:top w:w="0" w:type="dxa"/>
              <w:left w:w="0" w:type="dxa"/>
              <w:bottom w:w="0" w:type="dxa"/>
              <w:right w:w="0" w:type="dxa"/>
            </w:tcMar>
          </w:tcPr>
          <w:p>
            <w:pPr>
              <w:spacing w:before="140"/>
              <w:ind w:left="13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820" w:type="dxa"/>
            <w:tcMar>
              <w:top w:w="0" w:type="dxa"/>
              <w:left w:w="0" w:type="dxa"/>
              <w:bottom w:w="0" w:type="dxa"/>
              <w:right w:w="0" w:type="dxa"/>
            </w:tcMar>
          </w:tcPr>
          <w:p>
            <w:pPr>
              <w:spacing w:before="140"/>
              <w:ind w:left="21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p>
        </w:tc>
      </w:tr>
      <w:tr>
        <w:trPr>
          <w:trHeight w:val="460" w:hRule="exact"/>
        </w:trPr>
        <w:tc>
          <w:tcPr>
            <w:tcW w:w="3820" w:type="dxa"/>
            <w:gridSpan w:val="2"/>
            <w:tcMar>
              <w:top w:w="0" w:type="dxa"/>
              <w:left w:w="0" w:type="dxa"/>
              <w:bottom w:w="0" w:type="dxa"/>
              <w:right w:w="0" w:type="dxa"/>
            </w:tcMar>
          </w:tcPr>
          <w:p>
            <w:pPr>
              <w:spacing w:before="120"/>
              <w:ind w:left="1680"/>
            </w:pPr>
            <w:r>
              <w:rPr>
                <w:rFonts w:hint="eastAsia" w:ascii="宋体" w:hAnsi="宋体" w:eastAsia="宋体" w:cs="宋体"/>
                <w:b/>
                <w:sz w:val="21"/>
              </w:rPr>
              <w:t>合计</w:t>
            </w:r>
          </w:p>
        </w:tc>
        <w:tc>
          <w:tcPr>
            <w:tcW w:w="1880" w:type="dxa"/>
            <w:tcMar>
              <w:top w:w="0" w:type="dxa"/>
              <w:left w:w="0" w:type="dxa"/>
              <w:bottom w:w="0" w:type="dxa"/>
              <w:right w:w="0" w:type="dxa"/>
            </w:tcMar>
          </w:tcPr>
          <w:p>
            <w:pPr>
              <w:spacing w:before="140"/>
              <w:ind w:left="1280"/>
            </w:pPr>
            <w:r>
              <w:rPr>
                <w:rFonts w:hint="eastAsia" w:ascii="Times New Roman Bold" w:hAnsi="Times New Roman Bold" w:eastAsia="Times New Roman Bold" w:cs="Times New Roman Bold"/>
                <w:b/>
                <w:sz w:val="21"/>
              </w:rPr>
              <w:t>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820" w:type="dxa"/>
            <w:tcMar>
              <w:top w:w="0" w:type="dxa"/>
              <w:left w:w="0" w:type="dxa"/>
              <w:bottom w:w="0" w:type="dxa"/>
              <w:right w:w="0" w:type="dxa"/>
            </w:tcMar>
          </w:tcPr>
          <w:p>
            <w:pPr>
              <w:spacing w:before="140"/>
              <w:ind w:left="19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Times New Roman Bold" w:hAnsi="Times New Roman Bold" w:eastAsia="Times New Roman Bold" w:cs="Times New Roman Bold"/>
          <w:b/>
          <w:sz w:val="24"/>
        </w:rPr>
        <w:t>2000</w:t>
      </w:r>
      <w:r>
        <w:rPr>
          <w:rFonts w:hint="eastAsia" w:ascii="宋体" w:hAnsi="宋体" w:eastAsia="宋体" w:cs="宋体"/>
          <w:b/>
          <w:sz w:val="24"/>
        </w:rPr>
        <w:t xml:space="preserve"> 年增资和第二次股权转让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顶点有限股东会通过以下决议</w:t>
      </w:r>
      <w:r>
        <w:rPr>
          <w:rFonts w:hint="eastAsia" w:ascii="宋体" w:hAnsi="宋体" w:eastAsia="宋体" w:cs="宋体"/>
          <w:sz w:val="12"/>
        </w:rPr>
        <w:t>：</w:t>
      </w:r>
      <w:r>
        <w:rPr>
          <w:rFonts w:hint="eastAsia" w:ascii="宋体" w:hAnsi="宋体" w:eastAsia="宋体" w:cs="宋体"/>
          <w:sz w:val="24"/>
        </w:rPr>
        <w:t>原股东增加出资</w:t>
      </w:r>
      <w:r>
        <w:rPr>
          <w:rFonts w:hint="eastAsia" w:ascii="宋体" w:hAnsi="宋体" w:eastAsia="宋体" w:cs="宋体"/>
          <w:sz w:val="10"/>
        </w:rPr>
        <w:t>，</w:t>
      </w:r>
      <w:r>
        <w:rPr>
          <w:rFonts w:hint="eastAsia" w:ascii="宋体" w:hAnsi="宋体" w:eastAsia="宋体" w:cs="宋体"/>
          <w:sz w:val="24"/>
        </w:rPr>
        <w:t>同时新增欧永</w:t>
      </w:r>
      <w:r>
        <w:rPr>
          <w:rFonts w:hint="eastAsia" w:ascii="宋体" w:hAnsi="宋体" w:eastAsia="宋体" w:cs="宋体"/>
          <w:sz w:val="10"/>
        </w:rPr>
        <w:t>、</w:t>
      </w:r>
      <w:r>
        <w:rPr>
          <w:rFonts w:hint="eastAsia" w:ascii="宋体" w:hAnsi="宋体" w:eastAsia="宋体" w:cs="宋体"/>
          <w:sz w:val="24"/>
        </w:rPr>
        <w:t>邓志强</w:t>
      </w:r>
      <w:r>
        <w:rPr>
          <w:rFonts w:hint="eastAsia" w:ascii="宋体" w:hAnsi="宋体" w:eastAsia="宋体" w:cs="宋体"/>
          <w:sz w:val="10"/>
        </w:rPr>
        <w:t>、</w:t>
      </w:r>
      <w:r>
        <w:rPr>
          <w:rFonts w:hint="eastAsia" w:ascii="宋体" w:hAnsi="宋体" w:eastAsia="宋体" w:cs="宋体"/>
          <w:sz w:val="24"/>
        </w:rPr>
        <w:t>王敏航</w:t>
      </w:r>
      <w:r>
        <w:rPr>
          <w:rFonts w:hint="eastAsia" w:ascii="宋体" w:hAnsi="宋体" w:eastAsia="宋体" w:cs="宋体"/>
          <w:sz w:val="10"/>
        </w:rPr>
        <w:t>、</w:t>
      </w:r>
      <w:r>
        <w:rPr>
          <w:rFonts w:hint="eastAsia" w:ascii="宋体" w:hAnsi="宋体" w:eastAsia="宋体" w:cs="宋体"/>
          <w:sz w:val="24"/>
        </w:rPr>
        <w:t>郑元通</w:t>
      </w:r>
      <w:r>
        <w:rPr>
          <w:rFonts w:hint="eastAsia" w:ascii="宋体" w:hAnsi="宋体" w:eastAsia="宋体" w:cs="宋体"/>
          <w:sz w:val="10"/>
        </w:rPr>
        <w:t>、</w:t>
      </w:r>
      <w:r>
        <w:rPr>
          <w:rFonts w:hint="eastAsia" w:ascii="宋体" w:hAnsi="宋体" w:eastAsia="宋体" w:cs="宋体"/>
          <w:sz w:val="24"/>
        </w:rPr>
        <w:t>余养成</w:t>
      </w:r>
      <w:r>
        <w:rPr>
          <w:rFonts w:hint="eastAsia" w:ascii="宋体" w:hAnsi="宋体" w:eastAsia="宋体" w:cs="宋体"/>
          <w:sz w:val="10"/>
        </w:rPr>
        <w:t>、</w:t>
      </w:r>
      <w:r>
        <w:rPr>
          <w:rFonts w:hint="eastAsia" w:ascii="宋体" w:hAnsi="宋体" w:eastAsia="宋体" w:cs="宋体"/>
          <w:sz w:val="24"/>
        </w:rPr>
        <w:t>曹永强</w:t>
      </w:r>
      <w:r>
        <w:rPr>
          <w:rFonts w:hint="eastAsia" w:ascii="宋体" w:hAnsi="宋体" w:eastAsia="宋体" w:cs="宋体"/>
          <w:sz w:val="10"/>
        </w:rPr>
        <w:t>、</w:t>
      </w:r>
      <w:r>
        <w:rPr>
          <w:rFonts w:hint="eastAsia" w:ascii="宋体" w:hAnsi="宋体" w:eastAsia="宋体" w:cs="宋体"/>
          <w:sz w:val="24"/>
        </w:rPr>
        <w:t>戴小戈</w:t>
      </w:r>
      <w:r>
        <w:rPr>
          <w:rFonts w:hint="eastAsia" w:ascii="宋体" w:hAnsi="宋体" w:eastAsia="宋体" w:cs="宋体"/>
          <w:sz w:val="10"/>
        </w:rPr>
        <w:t>、</w:t>
      </w:r>
      <w:r>
        <w:rPr>
          <w:rFonts w:hint="eastAsia" w:ascii="宋体" w:hAnsi="宋体" w:eastAsia="宋体" w:cs="宋体"/>
          <w:sz w:val="24"/>
        </w:rPr>
        <w:t>张雄金</w:t>
      </w:r>
      <w:r>
        <w:rPr>
          <w:rFonts w:hint="eastAsia" w:ascii="宋体" w:hAnsi="宋体" w:eastAsia="宋体" w:cs="宋体"/>
          <w:sz w:val="10"/>
        </w:rPr>
        <w:t>、</w:t>
      </w:r>
      <w:r>
        <w:rPr>
          <w:rFonts w:hint="eastAsia" w:ascii="宋体" w:hAnsi="宋体" w:eastAsia="宋体" w:cs="宋体"/>
          <w:sz w:val="24"/>
        </w:rPr>
        <w:t>鄢继华</w:t>
      </w:r>
      <w:r>
        <w:rPr>
          <w:rFonts w:hint="eastAsia" w:ascii="宋体" w:hAnsi="宋体" w:eastAsia="宋体" w:cs="宋体"/>
          <w:sz w:val="10"/>
        </w:rPr>
        <w:t>、</w:t>
      </w:r>
      <w:r>
        <w:rPr>
          <w:rFonts w:hint="eastAsia" w:ascii="宋体" w:hAnsi="宋体" w:eastAsia="宋体" w:cs="宋体"/>
          <w:sz w:val="24"/>
        </w:rPr>
        <w:t>谢淑仁</w:t>
      </w:r>
      <w:r>
        <w:rPr>
          <w:rFonts w:hint="eastAsia" w:ascii="宋体" w:hAnsi="宋体" w:eastAsia="宋体" w:cs="宋体"/>
          <w:sz w:val="10"/>
        </w:rPr>
        <w:t>、</w:t>
      </w:r>
      <w:r>
        <w:rPr>
          <w:rFonts w:hint="eastAsia" w:ascii="宋体" w:hAnsi="宋体" w:eastAsia="宋体" w:cs="宋体"/>
          <w:sz w:val="24"/>
        </w:rPr>
        <w:t>陈瑞德和杜建强等</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位自然人股东（以下简称</w:t>
      </w:r>
      <w:r>
        <w:rPr>
          <w:rFonts w:hint="eastAsia" w:ascii="宋体" w:hAnsi="宋体" w:eastAsia="宋体" w:cs="宋体"/>
          <w:sz w:val="10"/>
        </w:rPr>
        <w:t>“</w:t>
      </w:r>
      <w:r>
        <w:rPr>
          <w:rFonts w:hint="eastAsia" w:ascii="宋体" w:hAnsi="宋体" w:eastAsia="宋体" w:cs="宋体"/>
          <w:sz w:val="24"/>
        </w:rPr>
        <w:t>顶点有限余养成等十二名新股东</w:t>
      </w:r>
      <w:r>
        <w:rPr>
          <w:rFonts w:hint="eastAsia" w:ascii="宋体" w:hAnsi="宋体" w:eastAsia="宋体" w:cs="宋体"/>
          <w:sz w:val="10"/>
        </w:rPr>
        <w:t>”），</w:t>
      </w:r>
      <w:r>
        <w:rPr>
          <w:rFonts w:hint="eastAsia" w:ascii="宋体" w:hAnsi="宋体" w:eastAsia="宋体" w:cs="宋体"/>
          <w:sz w:val="24"/>
        </w:rPr>
        <w:t>注册资本由</w:t>
      </w:r>
      <w:r>
        <w:rPr>
          <w:rFonts w:hint="eastAsia" w:ascii="Times New Roman" w:hAnsi="Times New Roman" w:eastAsia="Times New Roman" w:cs="Times New Roman"/>
          <w:sz w:val="24"/>
        </w:rPr>
        <w:t xml:space="preserve"> 88.00</w:t>
      </w:r>
      <w:r>
        <w:rPr>
          <w:rFonts w:hint="eastAsia" w:ascii="宋体" w:hAnsi="宋体" w:eastAsia="宋体" w:cs="宋体"/>
          <w:sz w:val="24"/>
        </w:rPr>
        <w:t xml:space="preserve"> 万元增至</w:t>
      </w:r>
      <w:r>
        <w:rPr>
          <w:rFonts w:hint="eastAsia" w:ascii="Times New Roman" w:hAnsi="Times New Roman" w:eastAsia="Times New Roman" w:cs="Times New Roman"/>
          <w:sz w:val="24"/>
        </w:rPr>
        <w:t xml:space="preserve"> 2,350.00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）新增注册资本</w:t>
      </w:r>
      <w:r>
        <w:rPr>
          <w:rFonts w:hint="eastAsia" w:ascii="Times New Roman" w:hAnsi="Times New Roman" w:eastAsia="Times New Roman" w:cs="Times New Roman"/>
          <w:sz w:val="24"/>
        </w:rPr>
        <w:t xml:space="preserve"> 2,262.00</w:t>
      </w:r>
      <w:r>
        <w:rPr>
          <w:rFonts w:hint="eastAsia" w:ascii="宋体" w:hAnsi="宋体" w:eastAsia="宋体" w:cs="宋体"/>
          <w:sz w:val="24"/>
        </w:rPr>
        <w:t xml:space="preserve"> 万元认缴情况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①以公司截至</w:t>
      </w:r>
      <w:r>
        <w:rPr>
          <w:rFonts w:hint="eastAsia" w:ascii="Times New Roman" w:hAnsi="Times New Roman" w:eastAsia="Times New Roman" w:cs="Times New Roman"/>
          <w:sz w:val="24"/>
        </w:rPr>
        <w:t xml:space="preserve"> 1999</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日累积的未分配利润</w:t>
      </w:r>
      <w:r>
        <w:rPr>
          <w:rFonts w:hint="eastAsia" w:ascii="Times New Roman" w:hAnsi="Times New Roman" w:eastAsia="Times New Roman" w:cs="Times New Roman"/>
          <w:sz w:val="24"/>
        </w:rPr>
        <w:t xml:space="preserve"> 694.74</w:t>
      </w:r>
      <w:r>
        <w:rPr>
          <w:rFonts w:hint="eastAsia" w:ascii="宋体" w:hAnsi="宋体" w:eastAsia="宋体" w:cs="宋体"/>
          <w:sz w:val="24"/>
        </w:rPr>
        <w:t xml:space="preserve"> 万元和盈余公积</w:t>
      </w:r>
      <w:r>
        <w:rPr>
          <w:rFonts w:hint="eastAsia" w:ascii="Times New Roman" w:hAnsi="Times New Roman" w:eastAsia="Times New Roman" w:cs="Times New Roman"/>
          <w:sz w:val="24"/>
        </w:rPr>
        <w:t>22.00</w:t>
      </w:r>
      <w:r>
        <w:rPr>
          <w:rFonts w:hint="eastAsia" w:ascii="宋体" w:hAnsi="宋体" w:eastAsia="宋体" w:cs="宋体"/>
          <w:sz w:val="24"/>
        </w:rPr>
        <w:t xml:space="preserve"> 万元转增注册资本</w:t>
      </w:r>
      <w:r>
        <w:rPr>
          <w:rFonts w:hint="eastAsia" w:ascii="宋体" w:hAnsi="宋体" w:eastAsia="宋体" w:cs="宋体"/>
          <w:sz w:val="10"/>
        </w:rPr>
        <w:t>，</w:t>
      </w:r>
      <w:r>
        <w:rPr>
          <w:rFonts w:hint="eastAsia" w:ascii="宋体" w:hAnsi="宋体" w:eastAsia="宋体" w:cs="宋体"/>
          <w:sz w:val="24"/>
        </w:rPr>
        <w:t>由公司原股东严孟宇</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赵莹</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张玉</w:t>
      </w:r>
      <w:r>
        <w:rPr>
          <w:rFonts w:hint="eastAsia" w:ascii="宋体" w:hAnsi="宋体" w:eastAsia="宋体" w:cs="宋体"/>
          <w:sz w:val="10"/>
        </w:rPr>
        <w:t>、</w:t>
      </w:r>
      <w:r>
        <w:rPr>
          <w:rFonts w:hint="eastAsia" w:ascii="宋体" w:hAnsi="宋体" w:eastAsia="宋体" w:cs="宋体"/>
          <w:sz w:val="24"/>
        </w:rPr>
        <w:t>陈建</w:t>
      </w:r>
      <w:r>
        <w:rPr>
          <w:rFonts w:hint="eastAsia" w:ascii="宋体" w:hAnsi="宋体" w:eastAsia="宋体" w:cs="宋体"/>
          <w:sz w:val="10"/>
        </w:rPr>
        <w:t>、</w:t>
      </w:r>
      <w:r>
        <w:rPr>
          <w:rFonts w:hint="eastAsia" w:ascii="宋体" w:hAnsi="宋体" w:eastAsia="宋体" w:cs="宋体"/>
          <w:sz w:val="24"/>
        </w:rPr>
        <w:t>刘法先</w:t>
      </w:r>
      <w:r>
        <w:rPr>
          <w:rFonts w:hint="eastAsia" w:ascii="宋体" w:hAnsi="宋体" w:eastAsia="宋体" w:cs="宋体"/>
          <w:sz w:val="10"/>
        </w:rPr>
        <w:t>、</w:t>
      </w:r>
      <w:r>
        <w:rPr>
          <w:rFonts w:hint="eastAsia" w:ascii="宋体" w:hAnsi="宋体" w:eastAsia="宋体" w:cs="宋体"/>
          <w:sz w:val="24"/>
        </w:rPr>
        <w:t>林秀红</w:t>
      </w:r>
      <w:r>
        <w:rPr>
          <w:rFonts w:hint="eastAsia" w:ascii="宋体" w:hAnsi="宋体" w:eastAsia="宋体" w:cs="宋体"/>
          <w:sz w:val="10"/>
        </w:rPr>
        <w:t>、</w:t>
      </w:r>
      <w:r>
        <w:rPr>
          <w:rFonts w:hint="eastAsia" w:ascii="宋体" w:hAnsi="宋体" w:eastAsia="宋体" w:cs="宋体"/>
          <w:sz w:val="24"/>
        </w:rPr>
        <w:t>徐传秋</w:t>
      </w:r>
      <w:r>
        <w:rPr>
          <w:rFonts w:hint="eastAsia" w:ascii="宋体" w:hAnsi="宋体" w:eastAsia="宋体" w:cs="宋体"/>
          <w:sz w:val="10"/>
        </w:rPr>
        <w:t>、</w:t>
      </w:r>
      <w:r>
        <w:rPr>
          <w:rFonts w:hint="eastAsia" w:ascii="宋体" w:hAnsi="宋体" w:eastAsia="宋体" w:cs="宋体"/>
          <w:sz w:val="24"/>
        </w:rPr>
        <w:t>陈建国共十</w:t>
      </w:r>
      <w:r>
        <w:rPr>
          <w:rFonts w:hint="eastAsia" w:ascii="宋体" w:hAnsi="宋体" w:eastAsia="宋体" w:cs="宋体"/>
          <w:sz w:val="10"/>
        </w:rPr>
        <w:t>一</w:t>
      </w:r>
      <w:r>
        <w:rPr>
          <w:rFonts w:hint="eastAsia" w:ascii="宋体" w:hAnsi="宋体" w:eastAsia="宋体" w:cs="宋体"/>
          <w:sz w:val="24"/>
        </w:rPr>
        <w:t>人（以下简称</w:t>
      </w:r>
      <w:r>
        <w:rPr>
          <w:rFonts w:hint="eastAsia" w:ascii="宋体" w:hAnsi="宋体" w:eastAsia="宋体" w:cs="宋体"/>
          <w:sz w:val="10"/>
        </w:rPr>
        <w:t>“</w:t>
      </w:r>
      <w:r>
        <w:rPr>
          <w:rFonts w:hint="eastAsia" w:ascii="宋体" w:hAnsi="宋体" w:eastAsia="宋体" w:cs="宋体"/>
          <w:sz w:val="24"/>
        </w:rPr>
        <w:t>顶点有限严孟宇等十一名原股东</w:t>
      </w:r>
      <w:r>
        <w:rPr>
          <w:rFonts w:hint="eastAsia" w:ascii="宋体" w:hAnsi="宋体" w:eastAsia="宋体" w:cs="宋体"/>
          <w:sz w:val="10"/>
        </w:rPr>
        <w:t>”）</w:t>
      </w:r>
      <w:r>
        <w:rPr>
          <w:rFonts w:hint="eastAsia" w:ascii="宋体" w:hAnsi="宋体" w:eastAsia="宋体" w:cs="宋体"/>
          <w:sz w:val="24"/>
        </w:rPr>
        <w:t>按原持股比例享有</w:t>
      </w:r>
      <w:r>
        <w:rPr>
          <w:rFonts w:hint="eastAsia" w:ascii="宋体" w:hAnsi="宋体" w:eastAsia="宋体" w:cs="宋体"/>
          <w:sz w:val="14"/>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②</w:t>
      </w:r>
      <w:r>
        <w:rPr>
          <w:rFonts w:hint="eastAsia" w:ascii="宋体" w:hAnsi="宋体" w:eastAsia="宋体" w:cs="宋体"/>
          <w:sz w:val="10"/>
        </w:rPr>
        <w:t>“</w:t>
      </w:r>
      <w:r>
        <w:rPr>
          <w:rFonts w:hint="eastAsia" w:ascii="宋体" w:hAnsi="宋体" w:eastAsia="宋体" w:cs="宋体"/>
          <w:sz w:val="24"/>
        </w:rPr>
        <w:t>顶点有限严孟宇等十一名原股东</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Times New Roman" w:hAnsi="Times New Roman" w:eastAsia="Times New Roman" w:cs="Times New Roman"/>
          <w:sz w:val="24"/>
        </w:rPr>
        <w:t>NovMate2000</w:t>
      </w:r>
      <w:r>
        <w:rPr>
          <w:rFonts w:hint="eastAsia" w:ascii="宋体" w:hAnsi="宋体" w:eastAsia="宋体" w:cs="宋体"/>
          <w:sz w:val="10"/>
        </w:rPr>
        <w:t>”</w:t>
      </w:r>
      <w:r>
        <w:rPr>
          <w:rFonts w:hint="eastAsia" w:ascii="宋体" w:hAnsi="宋体" w:eastAsia="宋体" w:cs="宋体"/>
          <w:sz w:val="24"/>
        </w:rPr>
        <w:t>软件</w:t>
      </w:r>
      <w:r>
        <w:rPr>
          <w:rFonts w:hint="eastAsia" w:ascii="宋体" w:hAnsi="宋体" w:eastAsia="宋体" w:cs="宋体"/>
          <w:sz w:val="10"/>
        </w:rPr>
        <w:t>，</w:t>
      </w:r>
      <w:r>
        <w:rPr>
          <w:rFonts w:hint="eastAsia" w:ascii="宋体" w:hAnsi="宋体" w:eastAsia="宋体" w:cs="宋体"/>
          <w:sz w:val="24"/>
        </w:rPr>
        <w:t>评估作价</w:t>
      </w:r>
      <w:r>
        <w:rPr>
          <w:rFonts w:hint="eastAsia" w:ascii="Times New Roman" w:hAnsi="Times New Roman" w:eastAsia="Times New Roman" w:cs="Times New Roman"/>
          <w:sz w:val="24"/>
        </w:rPr>
        <w:t>811.00</w:t>
      </w:r>
      <w:r>
        <w:rPr>
          <w:rFonts w:hint="eastAsia" w:ascii="宋体" w:hAnsi="宋体" w:eastAsia="宋体" w:cs="宋体"/>
          <w:sz w:val="24"/>
        </w:rPr>
        <w:t xml:space="preserve"> 万元出资</w:t>
      </w:r>
      <w:r>
        <w:rPr>
          <w:rFonts w:hint="eastAsia" w:ascii="宋体" w:hAnsi="宋体" w:eastAsia="宋体" w:cs="宋体"/>
          <w:sz w:val="10"/>
        </w:rPr>
        <w:t>，</w:t>
      </w:r>
      <w:r>
        <w:rPr>
          <w:rFonts w:hint="eastAsia" w:ascii="宋体" w:hAnsi="宋体" w:eastAsia="宋体" w:cs="宋体"/>
          <w:sz w:val="24"/>
        </w:rPr>
        <w:t>出资比例按原持股比例分配（福建中兴资产评估有限公司于</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15</w:t>
      </w:r>
      <w:r>
        <w:rPr>
          <w:rFonts w:hint="eastAsia" w:ascii="宋体" w:hAnsi="宋体" w:eastAsia="宋体" w:cs="宋体"/>
          <w:sz w:val="24"/>
        </w:rPr>
        <w:t xml:space="preserve"> 日出具中兴评报字（</w:t>
      </w:r>
      <w:r>
        <w:rPr>
          <w:rFonts w:hint="eastAsia" w:ascii="Times New Roman" w:hAnsi="Times New Roman" w:eastAsia="Times New Roman" w:cs="Times New Roman"/>
          <w:sz w:val="24"/>
        </w:rPr>
        <w:t>2000</w:t>
      </w:r>
      <w:r>
        <w:rPr>
          <w:rFonts w:hint="eastAsia" w:ascii="宋体" w:hAnsi="宋体" w:eastAsia="宋体" w:cs="宋体"/>
          <w:sz w:val="24"/>
        </w:rPr>
        <w:t>）第</w:t>
      </w:r>
      <w:r>
        <w:rPr>
          <w:rFonts w:hint="eastAsia" w:ascii="Times New Roman" w:hAnsi="Times New Roman" w:eastAsia="Times New Roman" w:cs="Times New Roman"/>
          <w:sz w:val="24"/>
        </w:rPr>
        <w:t xml:space="preserve"> 005</w:t>
      </w:r>
      <w:r>
        <w:rPr>
          <w:rFonts w:hint="eastAsia" w:ascii="宋体" w:hAnsi="宋体" w:eastAsia="宋体" w:cs="宋体"/>
          <w:sz w:val="24"/>
        </w:rPr>
        <w:t xml:space="preserve"> 号《严孟宇</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赵伟等人所有的计算机软件产品</w:t>
      </w:r>
      <w:r>
        <w:rPr>
          <w:rFonts w:hint="eastAsia" w:ascii="Times New Roman" w:hAnsi="Times New Roman" w:eastAsia="Times New Roman" w:cs="Times New Roman"/>
          <w:sz w:val="24"/>
        </w:rPr>
        <w:t xml:space="preserve"> NovMate2000</w:t>
      </w:r>
      <w:r>
        <w:rPr>
          <w:rFonts w:hint="eastAsia" w:ascii="宋体" w:hAnsi="宋体" w:eastAsia="宋体" w:cs="宋体"/>
          <w:sz w:val="24"/>
        </w:rPr>
        <w:t xml:space="preserve"> 无形资产评估报告书》对上述出资资产进行评估）；</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③原股东严孟宇</w:t>
      </w:r>
      <w:r>
        <w:rPr>
          <w:rFonts w:hint="eastAsia" w:ascii="宋体" w:hAnsi="宋体" w:eastAsia="宋体" w:cs="宋体"/>
          <w:sz w:val="10"/>
        </w:rPr>
        <w:t>、</w:t>
      </w:r>
      <w:r>
        <w:rPr>
          <w:rFonts w:hint="eastAsia" w:ascii="宋体" w:hAnsi="宋体" w:eastAsia="宋体" w:cs="宋体"/>
          <w:sz w:val="24"/>
        </w:rPr>
        <w:t>赵伟以实物出资方式</w:t>
      </w:r>
      <w:r>
        <w:rPr>
          <w:rFonts w:hint="eastAsia" w:ascii="宋体" w:hAnsi="宋体" w:eastAsia="宋体" w:cs="宋体"/>
          <w:sz w:val="10"/>
        </w:rPr>
        <w:t>，</w:t>
      </w:r>
      <w:r>
        <w:rPr>
          <w:rFonts w:hint="eastAsia" w:ascii="宋体" w:hAnsi="宋体" w:eastAsia="宋体" w:cs="宋体"/>
          <w:sz w:val="24"/>
        </w:rPr>
        <w:t>认缴新增注册资本</w:t>
      </w:r>
      <w:r>
        <w:rPr>
          <w:rFonts w:hint="eastAsia" w:ascii="Times New Roman" w:hAnsi="Times New Roman" w:eastAsia="Times New Roman" w:cs="Times New Roman"/>
          <w:sz w:val="24"/>
        </w:rPr>
        <w:t xml:space="preserve"> 108.52</w:t>
      </w:r>
      <w:r>
        <w:rPr>
          <w:rFonts w:hint="eastAsia" w:ascii="宋体" w:hAnsi="宋体" w:eastAsia="宋体" w:cs="宋体"/>
          <w:sz w:val="24"/>
        </w:rPr>
        <w:t xml:space="preserve"> 万元（福建中兴资产评估有限公司于</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17</w:t>
      </w:r>
      <w:r>
        <w:rPr>
          <w:rFonts w:hint="eastAsia" w:ascii="宋体" w:hAnsi="宋体" w:eastAsia="宋体" w:cs="宋体"/>
          <w:sz w:val="24"/>
        </w:rPr>
        <w:t xml:space="preserve"> 日出具中兴评报字</w:t>
      </w:r>
      <w:r>
        <w:rPr>
          <w:rFonts w:hint="eastAsia" w:ascii="Times New Roman" w:hAnsi="Times New Roman" w:eastAsia="Times New Roman" w:cs="Times New Roman"/>
          <w:sz w:val="24"/>
        </w:rPr>
        <w:t>(2000)</w:t>
      </w:r>
      <w:r>
        <w:rPr>
          <w:rFonts w:hint="eastAsia" w:ascii="宋体" w:hAnsi="宋体" w:eastAsia="宋体" w:cs="宋体"/>
          <w:sz w:val="24"/>
        </w:rPr>
        <w:t>第</w:t>
      </w:r>
      <w:r>
        <w:rPr>
          <w:rFonts w:hint="eastAsia" w:ascii="Times New Roman" w:hAnsi="Times New Roman" w:eastAsia="Times New Roman" w:cs="Times New Roman"/>
          <w:sz w:val="24"/>
        </w:rPr>
        <w:t xml:space="preserve"> 17</w:t>
      </w:r>
      <w:r>
        <w:rPr>
          <w:rFonts w:hint="eastAsia" w:ascii="宋体" w:hAnsi="宋体" w:eastAsia="宋体" w:cs="宋体"/>
          <w:sz w:val="24"/>
        </w:rPr>
        <w:t xml:space="preserve"> 号《严孟宇</w:t>
      </w:r>
      <w:r>
        <w:rPr>
          <w:rFonts w:hint="eastAsia" w:ascii="宋体" w:hAnsi="宋体" w:eastAsia="宋体" w:cs="宋体"/>
          <w:sz w:val="10"/>
        </w:rPr>
        <w:t>、</w:t>
      </w:r>
      <w:r>
        <w:rPr>
          <w:rFonts w:hint="eastAsia" w:ascii="宋体" w:hAnsi="宋体" w:eastAsia="宋体" w:cs="宋体"/>
          <w:sz w:val="24"/>
        </w:rPr>
        <w:t>赵伟先生房地产资产评估报告》对上述出资资产进行评估）；</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④由</w:t>
      </w:r>
      <w:r>
        <w:rPr>
          <w:rFonts w:hint="eastAsia" w:ascii="宋体" w:hAnsi="宋体" w:eastAsia="宋体" w:cs="宋体"/>
          <w:sz w:val="10"/>
        </w:rPr>
        <w:t>“</w:t>
      </w:r>
      <w:r>
        <w:rPr>
          <w:rFonts w:hint="eastAsia" w:ascii="宋体" w:hAnsi="宋体" w:eastAsia="宋体" w:cs="宋体"/>
          <w:sz w:val="24"/>
        </w:rPr>
        <w:t>顶点有限余养成等十二名新股东</w:t>
      </w:r>
      <w:r>
        <w:rPr>
          <w:rFonts w:hint="eastAsia" w:ascii="宋体" w:hAnsi="宋体" w:eastAsia="宋体" w:cs="宋体"/>
          <w:sz w:val="10"/>
        </w:rPr>
        <w:t>”</w:t>
      </w:r>
      <w:r>
        <w:rPr>
          <w:rFonts w:hint="eastAsia" w:ascii="宋体" w:hAnsi="宋体" w:eastAsia="宋体" w:cs="宋体"/>
          <w:sz w:val="24"/>
        </w:rPr>
        <w:t>和部分老股东以货币出资方式认缴新增注册资本</w:t>
      </w:r>
      <w:r>
        <w:rPr>
          <w:rFonts w:hint="eastAsia" w:ascii="Times New Roman" w:hAnsi="Times New Roman" w:eastAsia="Times New Roman" w:cs="Times New Roman"/>
          <w:sz w:val="24"/>
        </w:rPr>
        <w:t xml:space="preserve"> 625.74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顶点有限余养成等十二名新股东</w:t>
      </w:r>
      <w:r>
        <w:rPr>
          <w:rFonts w:hint="eastAsia" w:ascii="宋体" w:hAnsi="宋体" w:eastAsia="宋体" w:cs="宋体"/>
          <w:sz w:val="10"/>
        </w:rPr>
        <w:t>”</w:t>
      </w:r>
      <w:r>
        <w:rPr>
          <w:rFonts w:hint="eastAsia" w:ascii="宋体" w:hAnsi="宋体" w:eastAsia="宋体" w:cs="宋体"/>
          <w:sz w:val="24"/>
        </w:rPr>
        <w:t>出资</w:t>
      </w:r>
      <w:r>
        <w:rPr>
          <w:rFonts w:hint="eastAsia" w:ascii="Times New Roman" w:hAnsi="Times New Roman" w:eastAsia="Times New Roman" w:cs="Times New Roman"/>
          <w:sz w:val="24"/>
        </w:rPr>
        <w:t>279.78</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占增资后注册资本的比例为</w:t>
      </w:r>
      <w:r>
        <w:rPr>
          <w:rFonts w:hint="eastAsia" w:ascii="Times New Roman" w:hAnsi="Times New Roman" w:eastAsia="Times New Roman" w:cs="Times New Roman"/>
          <w:sz w:val="24"/>
        </w:rPr>
        <w:t xml:space="preserve"> 11.91%</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1-1-52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0"/>
        </w:rPr>
        <w:t>（</w:t>
      </w:r>
      <w:r>
        <w:rPr>
          <w:rFonts w:hint="eastAsia" w:ascii="Times New Roman" w:hAnsi="Times New Roman" w:eastAsia="Times New Roman" w:cs="Times New Roman"/>
          <w:sz w:val="24"/>
        </w:rPr>
        <w:t>2</w:t>
      </w:r>
      <w:r>
        <w:rPr>
          <w:rFonts w:hint="eastAsia" w:ascii="宋体" w:hAnsi="宋体" w:eastAsia="宋体" w:cs="宋体"/>
          <w:sz w:val="24"/>
        </w:rPr>
        <w:t>）股权转让情况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20" w:firstLine="480"/>
        <w:jc w:val="both"/>
      </w:pPr>
      <w:r>
        <w:rPr>
          <w:rFonts w:hint="eastAsia" w:ascii="宋体" w:hAnsi="宋体" w:eastAsia="宋体" w:cs="宋体"/>
          <w:sz w:val="24"/>
        </w:rPr>
        <w:t>严孟宇经协商将其出资额</w:t>
      </w:r>
      <w:r>
        <w:rPr>
          <w:rFonts w:hint="eastAsia" w:ascii="Times New Roman" w:hAnsi="Times New Roman" w:eastAsia="Times New Roman" w:cs="Times New Roman"/>
          <w:sz w:val="24"/>
        </w:rPr>
        <w:t xml:space="preserve"> 55.62</w:t>
      </w:r>
      <w:r>
        <w:rPr>
          <w:rFonts w:hint="eastAsia" w:ascii="宋体" w:hAnsi="宋体" w:eastAsia="宋体" w:cs="宋体"/>
          <w:sz w:val="24"/>
        </w:rPr>
        <w:t xml:space="preserve"> 万元转让给余养成</w:t>
      </w:r>
      <w:r>
        <w:rPr>
          <w:rFonts w:hint="eastAsia" w:ascii="宋体" w:hAnsi="宋体" w:eastAsia="宋体" w:cs="宋体"/>
          <w:sz w:val="10"/>
        </w:rPr>
        <w:t>，</w:t>
      </w:r>
      <w:r>
        <w:rPr>
          <w:rFonts w:hint="eastAsia" w:ascii="宋体" w:hAnsi="宋体" w:eastAsia="宋体" w:cs="宋体"/>
          <w:sz w:val="24"/>
        </w:rPr>
        <w:t>张玉将其出资额</w:t>
      </w:r>
      <w:r>
        <w:rPr>
          <w:rFonts w:hint="eastAsia" w:ascii="Times New Roman" w:hAnsi="Times New Roman" w:eastAsia="Times New Roman" w:cs="Times New Roman"/>
          <w:sz w:val="24"/>
        </w:rPr>
        <w:t xml:space="preserve"> 18.98</w:t>
      </w:r>
      <w:r>
        <w:rPr>
          <w:rFonts w:hint="eastAsia" w:ascii="宋体" w:hAnsi="宋体" w:eastAsia="宋体" w:cs="宋体"/>
          <w:sz w:val="24"/>
        </w:rPr>
        <w:t>万元转让给欧永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福建中兴有限责任会计师事务所对顶点有限本次增资进行了审验</w:t>
      </w:r>
      <w:r>
        <w:rPr>
          <w:rFonts w:hint="eastAsia" w:ascii="宋体" w:hAnsi="宋体" w:eastAsia="宋体" w:cs="宋体"/>
          <w:sz w:val="10"/>
        </w:rPr>
        <w:t>，</w:t>
      </w:r>
      <w:r>
        <w:rPr>
          <w:rFonts w:hint="eastAsia" w:ascii="宋体" w:hAnsi="宋体" w:eastAsia="宋体" w:cs="宋体"/>
          <w:sz w:val="24"/>
        </w:rPr>
        <w:t>并于</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日出具《验资报告》（中兴验</w:t>
      </w:r>
      <w:r>
        <w:rPr>
          <w:rFonts w:hint="eastAsia" w:ascii="Times New Roman" w:hAnsi="Times New Roman" w:eastAsia="Times New Roman" w:cs="Times New Roman"/>
          <w:sz w:val="24"/>
        </w:rPr>
        <w:t>[2000]</w:t>
      </w:r>
      <w:r>
        <w:rPr>
          <w:rFonts w:hint="eastAsia" w:ascii="宋体" w:hAnsi="宋体" w:eastAsia="宋体" w:cs="宋体"/>
          <w:sz w:val="24"/>
        </w:rPr>
        <w:t>第</w:t>
      </w:r>
      <w:r>
        <w:rPr>
          <w:rFonts w:hint="eastAsia" w:ascii="Times New Roman" w:hAnsi="Times New Roman" w:eastAsia="Times New Roman" w:cs="Times New Roman"/>
          <w:sz w:val="24"/>
        </w:rPr>
        <w:t xml:space="preserve"> 017</w:t>
      </w:r>
      <w:r>
        <w:rPr>
          <w:rFonts w:hint="eastAsia" w:ascii="宋体" w:hAnsi="宋体" w:eastAsia="宋体" w:cs="宋体"/>
          <w:sz w:val="24"/>
        </w:rPr>
        <w:t xml:space="preserve"> 号），</w:t>
      </w:r>
      <w:r>
        <w:rPr>
          <w:rFonts w:hint="eastAsia" w:ascii="宋体" w:hAnsi="宋体" w:eastAsia="宋体" w:cs="宋体"/>
          <w:sz w:val="24"/>
        </w:rPr>
        <w:t>顶点有限注册资本增加至</w:t>
      </w:r>
      <w:r>
        <w:rPr>
          <w:rFonts w:hint="eastAsia" w:ascii="Times New Roman" w:hAnsi="Times New Roman" w:eastAsia="Times New Roman" w:cs="Times New Roman"/>
          <w:sz w:val="24"/>
        </w:rPr>
        <w:t xml:space="preserve"> 2,350.00</w:t>
      </w:r>
      <w:r>
        <w:rPr>
          <w:rFonts w:hint="eastAsia" w:ascii="宋体" w:hAnsi="宋体" w:eastAsia="宋体" w:cs="宋体"/>
          <w:sz w:val="24"/>
        </w:rPr>
        <w:t xml:space="preserve"> 万元</w:t>
      </w:r>
      <w:r>
        <w:rPr>
          <w:rFonts w:hint="eastAsia" w:ascii="宋体" w:hAnsi="宋体" w:eastAsia="宋体" w:cs="宋体"/>
          <w:sz w:val="10"/>
        </w:rPr>
        <w:t>。</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22</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公司在福州市工商行政管理局办理了变更登记手续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本次转让及增资完成后</w:t>
      </w:r>
      <w:r>
        <w:rPr>
          <w:rFonts w:hint="eastAsia" w:ascii="宋体" w:hAnsi="宋体" w:eastAsia="宋体" w:cs="宋体"/>
          <w:sz w:val="10"/>
        </w:rPr>
        <w:t>，</w:t>
      </w:r>
      <w:r>
        <w:rPr>
          <w:rFonts w:hint="eastAsia" w:ascii="宋体" w:hAnsi="宋体" w:eastAsia="宋体" w:cs="宋体"/>
          <w:sz w:val="24"/>
        </w:rPr>
        <w:t>顶点有限的股权结构如下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20"/>
        <w:gridCol w:w="2220"/>
        <w:gridCol w:w="2680"/>
        <w:gridCol w:w="2400"/>
      </w:tblGrid>
      <w:tr>
        <w:trPr>
          <w:trHeight w:val="480" w:hRule="exact"/>
        </w:trPr>
        <w:tc>
          <w:tcPr>
            <w:tcW w:w="1220" w:type="dxa"/>
            <w:tcMar>
              <w:top w:w="0" w:type="dxa"/>
              <w:left w:w="0" w:type="dxa"/>
              <w:bottom w:w="0" w:type="dxa"/>
              <w:right w:w="0" w:type="dxa"/>
            </w:tcMar>
          </w:tcPr>
          <w:p>
            <w:pPr>
              <w:spacing w:before="120"/>
              <w:ind w:left="380"/>
            </w:pPr>
            <w:r>
              <w:rPr>
                <w:rFonts w:hint="eastAsia" w:ascii="宋体" w:hAnsi="宋体" w:eastAsia="宋体" w:cs="宋体"/>
                <w:b/>
                <w:sz w:val="21"/>
              </w:rPr>
              <w:t>序号</w:t>
            </w:r>
          </w:p>
        </w:tc>
        <w:tc>
          <w:tcPr>
            <w:tcW w:w="2220" w:type="dxa"/>
            <w:tcMar>
              <w:top w:w="0" w:type="dxa"/>
              <w:left w:w="0" w:type="dxa"/>
              <w:bottom w:w="0" w:type="dxa"/>
              <w:right w:w="0" w:type="dxa"/>
            </w:tcMar>
          </w:tcPr>
          <w:p>
            <w:pPr>
              <w:spacing w:before="120"/>
              <w:ind w:left="680"/>
            </w:pPr>
            <w:r>
              <w:rPr>
                <w:rFonts w:hint="eastAsia" w:ascii="宋体" w:hAnsi="宋体" w:eastAsia="宋体" w:cs="宋体"/>
                <w:b/>
                <w:sz w:val="21"/>
              </w:rPr>
              <w:t>股东姓名</w:t>
            </w:r>
          </w:p>
        </w:tc>
        <w:tc>
          <w:tcPr>
            <w:tcW w:w="2680" w:type="dxa"/>
            <w:tcMar>
              <w:top w:w="0" w:type="dxa"/>
              <w:left w:w="0" w:type="dxa"/>
              <w:bottom w:w="0" w:type="dxa"/>
              <w:right w:w="0" w:type="dxa"/>
            </w:tcMar>
          </w:tcPr>
          <w:p>
            <w:pPr>
              <w:spacing w:before="120"/>
              <w:ind w:left="1000"/>
            </w:pPr>
            <w:r>
              <w:rPr>
                <w:rFonts w:hint="eastAsia" w:ascii="宋体" w:hAnsi="宋体" w:eastAsia="宋体" w:cs="宋体"/>
                <w:b/>
                <w:sz w:val="21"/>
              </w:rPr>
              <w:t>出资额</w:t>
            </w:r>
          </w:p>
        </w:tc>
        <w:tc>
          <w:tcPr>
            <w:tcW w:w="2400" w:type="dxa"/>
            <w:tcMar>
              <w:top w:w="0" w:type="dxa"/>
              <w:left w:w="0" w:type="dxa"/>
              <w:bottom w:w="0" w:type="dxa"/>
              <w:right w:w="0" w:type="dxa"/>
            </w:tcMar>
          </w:tcPr>
          <w:p>
            <w:pPr>
              <w:spacing w:before="120"/>
              <w:ind w:left="760"/>
            </w:pPr>
            <w:r>
              <w:rPr>
                <w:rFonts w:hint="eastAsia" w:ascii="宋体" w:hAnsi="宋体" w:eastAsia="宋体" w:cs="宋体"/>
                <w:b/>
                <w:sz w:val="21"/>
              </w:rPr>
              <w:t>股权比例</w:t>
            </w:r>
          </w:p>
        </w:tc>
      </w:tr>
      <w:tr>
        <w:trPr>
          <w:trHeight w:val="480" w:hRule="exact"/>
        </w:trPr>
        <w:tc>
          <w:tcPr>
            <w:tcW w:w="12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1</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严孟宇</w:t>
            </w:r>
          </w:p>
        </w:tc>
        <w:tc>
          <w:tcPr>
            <w:tcW w:w="2680" w:type="dxa"/>
            <w:tcMar>
              <w:top w:w="0" w:type="dxa"/>
              <w:left w:w="0" w:type="dxa"/>
              <w:bottom w:w="0" w:type="dxa"/>
              <w:right w:w="0" w:type="dxa"/>
            </w:tcMar>
          </w:tcPr>
          <w:p>
            <w:pPr>
              <w:spacing w:before="160"/>
              <w:ind w:left="1960"/>
            </w:pPr>
            <w:r>
              <w:rPr>
                <w:rFonts w:hint="eastAsia" w:ascii="Times New Roman" w:hAnsi="Times New Roman" w:eastAsia="Times New Roman" w:cs="Times New Roman"/>
                <w:sz w:val="21"/>
              </w:rPr>
              <w:t>877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2400" w:type="dxa"/>
            <w:tcMar>
              <w:top w:w="0" w:type="dxa"/>
              <w:left w:w="0" w:type="dxa"/>
              <w:bottom w:w="0" w:type="dxa"/>
              <w:right w:w="0" w:type="dxa"/>
            </w:tcMar>
          </w:tcPr>
          <w:p>
            <w:pPr>
              <w:spacing w:before="140"/>
              <w:ind w:left="162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60" w:hRule="exact"/>
        </w:trPr>
        <w:tc>
          <w:tcPr>
            <w:tcW w:w="12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w:t>
            </w:r>
          </w:p>
        </w:tc>
        <w:tc>
          <w:tcPr>
            <w:tcW w:w="2220" w:type="dxa"/>
            <w:tcMar>
              <w:top w:w="0" w:type="dxa"/>
              <w:left w:w="0" w:type="dxa"/>
              <w:bottom w:w="0" w:type="dxa"/>
              <w:right w:w="0" w:type="dxa"/>
            </w:tcMar>
          </w:tcPr>
          <w:p>
            <w:pPr>
              <w:spacing w:before="100"/>
              <w:ind w:left="780"/>
            </w:pPr>
            <w:r>
              <w:rPr>
                <w:rFonts w:hint="eastAsia" w:ascii="宋体" w:hAnsi="宋体" w:eastAsia="宋体" w:cs="宋体"/>
                <w:sz w:val="21"/>
              </w:rPr>
              <w:t>董南勇</w:t>
            </w:r>
          </w:p>
        </w:tc>
        <w:tc>
          <w:tcPr>
            <w:tcW w:w="2680" w:type="dxa"/>
            <w:tcMar>
              <w:top w:w="0" w:type="dxa"/>
              <w:left w:w="0" w:type="dxa"/>
              <w:bottom w:w="0" w:type="dxa"/>
              <w:right w:w="0" w:type="dxa"/>
            </w:tcMar>
          </w:tcPr>
          <w:p>
            <w:pPr>
              <w:spacing w:before="160"/>
              <w:ind w:left="1960"/>
            </w:pPr>
            <w:r>
              <w:rPr>
                <w:rFonts w:hint="eastAsia" w:ascii="Times New Roman" w:hAnsi="Times New Roman" w:eastAsia="Times New Roman" w:cs="Times New Roman"/>
                <w:sz w:val="21"/>
              </w:rPr>
              <w:t>345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c>
          <w:tcPr>
            <w:tcW w:w="2400" w:type="dxa"/>
            <w:tcMar>
              <w:top w:w="0" w:type="dxa"/>
              <w:left w:w="0" w:type="dxa"/>
              <w:bottom w:w="0" w:type="dxa"/>
              <w:right w:w="0" w:type="dxa"/>
            </w:tcMar>
          </w:tcPr>
          <w:p>
            <w:pPr>
              <w:spacing w:before="160"/>
              <w:ind w:left="162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3</w:t>
            </w:r>
          </w:p>
        </w:tc>
        <w:tc>
          <w:tcPr>
            <w:tcW w:w="2220" w:type="dxa"/>
            <w:tcMar>
              <w:top w:w="0" w:type="dxa"/>
              <w:left w:w="0" w:type="dxa"/>
              <w:bottom w:w="0" w:type="dxa"/>
              <w:right w:w="0" w:type="dxa"/>
            </w:tcMar>
          </w:tcPr>
          <w:p>
            <w:pPr>
              <w:spacing w:before="120"/>
              <w:ind w:left="880"/>
            </w:pPr>
            <w:r>
              <w:rPr>
                <w:rFonts w:hint="eastAsia" w:ascii="宋体" w:hAnsi="宋体" w:eastAsia="宋体" w:cs="宋体"/>
                <w:sz w:val="21"/>
              </w:rPr>
              <w:t>赵伟</w:t>
            </w:r>
          </w:p>
        </w:tc>
        <w:tc>
          <w:tcPr>
            <w:tcW w:w="2680" w:type="dxa"/>
            <w:tcMar>
              <w:top w:w="0" w:type="dxa"/>
              <w:left w:w="0" w:type="dxa"/>
              <w:bottom w:w="0" w:type="dxa"/>
              <w:right w:w="0" w:type="dxa"/>
            </w:tcMar>
          </w:tcPr>
          <w:p>
            <w:pPr>
              <w:spacing w:before="180"/>
              <w:ind w:left="1960"/>
            </w:pPr>
            <w:r>
              <w:rPr>
                <w:rFonts w:hint="eastAsia" w:ascii="Times New Roman" w:hAnsi="Times New Roman" w:eastAsia="Times New Roman" w:cs="Times New Roman"/>
                <w:sz w:val="21"/>
              </w:rPr>
              <w:t>284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2400" w:type="dxa"/>
            <w:tcMar>
              <w:top w:w="0" w:type="dxa"/>
              <w:left w:w="0" w:type="dxa"/>
              <w:bottom w:w="0" w:type="dxa"/>
              <w:right w:w="0" w:type="dxa"/>
            </w:tcMar>
          </w:tcPr>
          <w:p>
            <w:pPr>
              <w:spacing w:before="180"/>
              <w:ind w:left="164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4</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雷世潘</w:t>
            </w:r>
          </w:p>
        </w:tc>
        <w:tc>
          <w:tcPr>
            <w:tcW w:w="2680" w:type="dxa"/>
            <w:tcMar>
              <w:top w:w="0" w:type="dxa"/>
              <w:left w:w="0" w:type="dxa"/>
              <w:bottom w:w="0" w:type="dxa"/>
              <w:right w:w="0" w:type="dxa"/>
            </w:tcMar>
          </w:tcPr>
          <w:p>
            <w:pPr>
              <w:spacing w:before="140"/>
              <w:ind w:left="1960"/>
            </w:pPr>
            <w:r>
              <w:rPr>
                <w:rFonts w:hint="eastAsia" w:ascii="Times New Roman" w:hAnsi="Times New Roman" w:eastAsia="Times New Roman" w:cs="Times New Roman"/>
                <w:sz w:val="21"/>
              </w:rPr>
              <w:t>128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p>
        </w:tc>
        <w:tc>
          <w:tcPr>
            <w:tcW w:w="24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5</w:t>
            </w:r>
          </w:p>
        </w:tc>
        <w:tc>
          <w:tcPr>
            <w:tcW w:w="2220" w:type="dxa"/>
            <w:tcMar>
              <w:top w:w="0" w:type="dxa"/>
              <w:left w:w="0" w:type="dxa"/>
              <w:bottom w:w="0" w:type="dxa"/>
              <w:right w:w="0" w:type="dxa"/>
            </w:tcMar>
          </w:tcPr>
          <w:p>
            <w:pPr>
              <w:spacing w:before="120"/>
              <w:ind w:left="880"/>
            </w:pPr>
            <w:r>
              <w:rPr>
                <w:rFonts w:hint="eastAsia" w:ascii="宋体" w:hAnsi="宋体" w:eastAsia="宋体" w:cs="宋体"/>
                <w:sz w:val="21"/>
              </w:rPr>
              <w:t>赵莹</w:t>
            </w:r>
          </w:p>
        </w:tc>
        <w:tc>
          <w:tcPr>
            <w:tcW w:w="2680" w:type="dxa"/>
            <w:tcMar>
              <w:top w:w="0" w:type="dxa"/>
              <w:left w:w="0" w:type="dxa"/>
              <w:bottom w:w="0" w:type="dxa"/>
              <w:right w:w="0" w:type="dxa"/>
            </w:tcMar>
          </w:tcPr>
          <w:p>
            <w:pPr>
              <w:spacing w:before="160"/>
              <w:ind w:left="1960"/>
            </w:pPr>
            <w:r>
              <w:rPr>
                <w:rFonts w:hint="eastAsia" w:ascii="Times New Roman" w:hAnsi="Times New Roman" w:eastAsia="Times New Roman" w:cs="Times New Roman"/>
                <w:sz w:val="21"/>
              </w:rPr>
              <w:t>127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c>
          <w:tcPr>
            <w:tcW w:w="24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p>
        </w:tc>
      </w:tr>
      <w:tr>
        <w:trPr>
          <w:trHeight w:val="460" w:hRule="exact"/>
        </w:trPr>
        <w:tc>
          <w:tcPr>
            <w:tcW w:w="12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6</w:t>
            </w:r>
          </w:p>
        </w:tc>
        <w:tc>
          <w:tcPr>
            <w:tcW w:w="2220" w:type="dxa"/>
            <w:tcMar>
              <w:top w:w="0" w:type="dxa"/>
              <w:left w:w="0" w:type="dxa"/>
              <w:bottom w:w="0" w:type="dxa"/>
              <w:right w:w="0" w:type="dxa"/>
            </w:tcMar>
          </w:tcPr>
          <w:p>
            <w:pPr>
              <w:spacing w:before="100"/>
              <w:ind w:left="780"/>
            </w:pPr>
            <w:r>
              <w:rPr>
                <w:rFonts w:hint="eastAsia" w:ascii="宋体" w:hAnsi="宋体" w:eastAsia="宋体" w:cs="宋体"/>
                <w:sz w:val="21"/>
              </w:rPr>
              <w:t>余养成</w:t>
            </w:r>
          </w:p>
        </w:tc>
        <w:tc>
          <w:tcPr>
            <w:tcW w:w="2680" w:type="dxa"/>
            <w:tcMar>
              <w:top w:w="0" w:type="dxa"/>
              <w:left w:w="0" w:type="dxa"/>
              <w:bottom w:w="0" w:type="dxa"/>
              <w:right w:w="0" w:type="dxa"/>
            </w:tcMar>
          </w:tcPr>
          <w:p>
            <w:pPr>
              <w:spacing w:before="160"/>
              <w:ind w:left="1960"/>
            </w:pPr>
            <w:r>
              <w:rPr>
                <w:rFonts w:hint="eastAsia" w:ascii="Times New Roman" w:hAnsi="Times New Roman" w:eastAsia="Times New Roman" w:cs="Times New Roman"/>
                <w:sz w:val="21"/>
              </w:rPr>
              <w:t>107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2400" w:type="dxa"/>
            <w:tcMar>
              <w:top w:w="0" w:type="dxa"/>
              <w:left w:w="0" w:type="dxa"/>
              <w:bottom w:w="0" w:type="dxa"/>
              <w:right w:w="0" w:type="dxa"/>
            </w:tcMar>
          </w:tcPr>
          <w:p>
            <w:pPr>
              <w:spacing w:before="160"/>
              <w:ind w:left="17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7</w:t>
            </w:r>
          </w:p>
        </w:tc>
        <w:tc>
          <w:tcPr>
            <w:tcW w:w="2220" w:type="dxa"/>
            <w:tcMar>
              <w:top w:w="0" w:type="dxa"/>
              <w:left w:w="0" w:type="dxa"/>
              <w:bottom w:w="0" w:type="dxa"/>
              <w:right w:w="0" w:type="dxa"/>
            </w:tcMar>
          </w:tcPr>
          <w:p>
            <w:pPr>
              <w:spacing w:before="120"/>
              <w:ind w:left="880"/>
            </w:pPr>
            <w:r>
              <w:rPr>
                <w:rFonts w:hint="eastAsia" w:ascii="宋体" w:hAnsi="宋体" w:eastAsia="宋体" w:cs="宋体"/>
                <w:sz w:val="21"/>
              </w:rPr>
              <w:t>陈建</w:t>
            </w:r>
          </w:p>
        </w:tc>
        <w:tc>
          <w:tcPr>
            <w:tcW w:w="2680" w:type="dxa"/>
            <w:tcMar>
              <w:top w:w="0" w:type="dxa"/>
              <w:left w:w="0" w:type="dxa"/>
              <w:bottom w:w="0" w:type="dxa"/>
              <w:right w:w="0" w:type="dxa"/>
            </w:tcMar>
          </w:tcPr>
          <w:p>
            <w:pPr>
              <w:spacing w:before="180"/>
              <w:ind w:left="2080"/>
            </w:pP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p>
        </w:tc>
        <w:tc>
          <w:tcPr>
            <w:tcW w:w="2400" w:type="dxa"/>
            <w:tcMar>
              <w:top w:w="0" w:type="dxa"/>
              <w:left w:w="0" w:type="dxa"/>
              <w:bottom w:w="0" w:type="dxa"/>
              <w:right w:w="0" w:type="dxa"/>
            </w:tcMar>
          </w:tcPr>
          <w:p>
            <w:pPr>
              <w:spacing w:before="180"/>
              <w:ind w:left="17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8</w:t>
            </w:r>
          </w:p>
        </w:tc>
        <w:tc>
          <w:tcPr>
            <w:tcW w:w="2220" w:type="dxa"/>
            <w:tcMar>
              <w:top w:w="0" w:type="dxa"/>
              <w:left w:w="0" w:type="dxa"/>
              <w:bottom w:w="0" w:type="dxa"/>
              <w:right w:w="0" w:type="dxa"/>
            </w:tcMar>
          </w:tcPr>
          <w:p>
            <w:pPr>
              <w:spacing w:before="100"/>
              <w:ind w:left="880"/>
            </w:pPr>
            <w:r>
              <w:rPr>
                <w:rFonts w:hint="eastAsia" w:ascii="宋体" w:hAnsi="宋体" w:eastAsia="宋体" w:cs="宋体"/>
                <w:sz w:val="21"/>
              </w:rPr>
              <w:t>张玉</w:t>
            </w:r>
          </w:p>
        </w:tc>
        <w:tc>
          <w:tcPr>
            <w:tcW w:w="2680" w:type="dxa"/>
            <w:tcMar>
              <w:top w:w="0" w:type="dxa"/>
              <w:left w:w="0" w:type="dxa"/>
              <w:bottom w:w="0" w:type="dxa"/>
              <w:right w:w="0" w:type="dxa"/>
            </w:tcMar>
          </w:tcPr>
          <w:p>
            <w:pPr>
              <w:spacing w:before="140"/>
              <w:ind w:left="2080"/>
            </w:pP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24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9</w:t>
            </w:r>
          </w:p>
        </w:tc>
        <w:tc>
          <w:tcPr>
            <w:tcW w:w="2220" w:type="dxa"/>
            <w:tcMar>
              <w:top w:w="0" w:type="dxa"/>
              <w:left w:w="0" w:type="dxa"/>
              <w:bottom w:w="0" w:type="dxa"/>
              <w:right w:w="0" w:type="dxa"/>
            </w:tcMar>
          </w:tcPr>
          <w:p>
            <w:pPr>
              <w:spacing w:before="120"/>
              <w:ind w:left="880"/>
            </w:pPr>
            <w:r>
              <w:rPr>
                <w:rFonts w:hint="eastAsia" w:ascii="宋体" w:hAnsi="宋体" w:eastAsia="宋体" w:cs="宋体"/>
                <w:sz w:val="21"/>
              </w:rPr>
              <w:t>欧永</w:t>
            </w:r>
          </w:p>
        </w:tc>
        <w:tc>
          <w:tcPr>
            <w:tcW w:w="268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2400" w:type="dxa"/>
            <w:tcMar>
              <w:top w:w="0" w:type="dxa"/>
              <w:left w:w="0" w:type="dxa"/>
              <w:bottom w:w="0" w:type="dxa"/>
              <w:right w:w="0" w:type="dxa"/>
            </w:tcMar>
          </w:tcPr>
          <w:p>
            <w:pPr>
              <w:spacing w:before="160"/>
              <w:ind w:left="17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60" w:hRule="exact"/>
        </w:trPr>
        <w:tc>
          <w:tcPr>
            <w:tcW w:w="12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10</w:t>
            </w:r>
          </w:p>
        </w:tc>
        <w:tc>
          <w:tcPr>
            <w:tcW w:w="2220" w:type="dxa"/>
            <w:tcMar>
              <w:top w:w="0" w:type="dxa"/>
              <w:left w:w="0" w:type="dxa"/>
              <w:bottom w:w="0" w:type="dxa"/>
              <w:right w:w="0" w:type="dxa"/>
            </w:tcMar>
          </w:tcPr>
          <w:p>
            <w:pPr>
              <w:spacing w:before="100"/>
              <w:ind w:left="780"/>
            </w:pPr>
            <w:r>
              <w:rPr>
                <w:rFonts w:hint="eastAsia" w:ascii="宋体" w:hAnsi="宋体" w:eastAsia="宋体" w:cs="宋体"/>
                <w:sz w:val="21"/>
              </w:rPr>
              <w:t>曹永强</w:t>
            </w:r>
          </w:p>
        </w:tc>
        <w:tc>
          <w:tcPr>
            <w:tcW w:w="268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2400" w:type="dxa"/>
            <w:tcMar>
              <w:top w:w="0" w:type="dxa"/>
              <w:left w:w="0" w:type="dxa"/>
              <w:bottom w:w="0" w:type="dxa"/>
              <w:right w:w="0" w:type="dxa"/>
            </w:tcMar>
          </w:tcPr>
          <w:p>
            <w:pPr>
              <w:spacing w:before="160"/>
              <w:ind w:left="17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11</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戴小戈</w:t>
            </w:r>
          </w:p>
        </w:tc>
        <w:tc>
          <w:tcPr>
            <w:tcW w:w="2680" w:type="dxa"/>
            <w:tcMar>
              <w:top w:w="0" w:type="dxa"/>
              <w:left w:w="0" w:type="dxa"/>
              <w:bottom w:w="0" w:type="dxa"/>
              <w:right w:w="0" w:type="dxa"/>
            </w:tcMar>
          </w:tcPr>
          <w:p>
            <w:pPr>
              <w:spacing w:before="180"/>
              <w:ind w:left="208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2400" w:type="dxa"/>
            <w:tcMar>
              <w:top w:w="0" w:type="dxa"/>
              <w:left w:w="0" w:type="dxa"/>
              <w:bottom w:w="0" w:type="dxa"/>
              <w:right w:w="0" w:type="dxa"/>
            </w:tcMar>
          </w:tcPr>
          <w:p>
            <w:pPr>
              <w:spacing w:before="180"/>
              <w:ind w:left="17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12</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刘法先</w:t>
            </w:r>
          </w:p>
        </w:tc>
        <w:tc>
          <w:tcPr>
            <w:tcW w:w="2680" w:type="dxa"/>
            <w:tcMar>
              <w:top w:w="0" w:type="dxa"/>
              <w:left w:w="0" w:type="dxa"/>
              <w:bottom w:w="0" w:type="dxa"/>
              <w:right w:w="0" w:type="dxa"/>
            </w:tcMar>
          </w:tcPr>
          <w:p>
            <w:pPr>
              <w:spacing w:before="140"/>
              <w:ind w:left="208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4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13</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林秀红</w:t>
            </w:r>
          </w:p>
        </w:tc>
        <w:tc>
          <w:tcPr>
            <w:tcW w:w="268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4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2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14</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徐传秋</w:t>
            </w:r>
          </w:p>
        </w:tc>
        <w:tc>
          <w:tcPr>
            <w:tcW w:w="268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400" w:type="dxa"/>
            <w:tcMar>
              <w:top w:w="0" w:type="dxa"/>
              <w:left w:w="0" w:type="dxa"/>
              <w:bottom w:w="0" w:type="dxa"/>
              <w:right w:w="0" w:type="dxa"/>
            </w:tcMar>
          </w:tcPr>
          <w:p>
            <w:pPr>
              <w:spacing w:before="16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15</w:t>
            </w:r>
          </w:p>
        </w:tc>
        <w:tc>
          <w:tcPr>
            <w:tcW w:w="2220" w:type="dxa"/>
            <w:tcMar>
              <w:top w:w="0" w:type="dxa"/>
              <w:left w:w="0" w:type="dxa"/>
              <w:bottom w:w="0" w:type="dxa"/>
              <w:right w:w="0" w:type="dxa"/>
            </w:tcMar>
          </w:tcPr>
          <w:p>
            <w:pPr>
              <w:spacing w:before="140"/>
              <w:ind w:left="780"/>
            </w:pPr>
            <w:r>
              <w:rPr>
                <w:rFonts w:hint="eastAsia" w:ascii="宋体" w:hAnsi="宋体" w:eastAsia="宋体" w:cs="宋体"/>
                <w:sz w:val="21"/>
              </w:rPr>
              <w:t>邓志强</w:t>
            </w:r>
          </w:p>
        </w:tc>
        <w:tc>
          <w:tcPr>
            <w:tcW w:w="2680" w:type="dxa"/>
            <w:tcMar>
              <w:top w:w="0" w:type="dxa"/>
              <w:left w:w="0" w:type="dxa"/>
              <w:bottom w:w="0" w:type="dxa"/>
              <w:right w:w="0" w:type="dxa"/>
            </w:tcMar>
          </w:tcPr>
          <w:p>
            <w:pPr>
              <w:spacing w:before="180"/>
              <w:ind w:left="208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400" w:type="dxa"/>
            <w:tcMar>
              <w:top w:w="0" w:type="dxa"/>
              <w:left w:w="0" w:type="dxa"/>
              <w:bottom w:w="0" w:type="dxa"/>
              <w:right w:w="0" w:type="dxa"/>
            </w:tcMar>
          </w:tcPr>
          <w:p>
            <w:pPr>
              <w:spacing w:before="18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16</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王敏航</w:t>
            </w:r>
          </w:p>
        </w:tc>
        <w:tc>
          <w:tcPr>
            <w:tcW w:w="2680" w:type="dxa"/>
            <w:tcMar>
              <w:top w:w="0" w:type="dxa"/>
              <w:left w:w="0" w:type="dxa"/>
              <w:bottom w:w="0" w:type="dxa"/>
              <w:right w:w="0" w:type="dxa"/>
            </w:tcMar>
          </w:tcPr>
          <w:p>
            <w:pPr>
              <w:spacing w:before="140"/>
              <w:ind w:left="208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4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17</w:t>
            </w:r>
          </w:p>
        </w:tc>
        <w:tc>
          <w:tcPr>
            <w:tcW w:w="2220" w:type="dxa"/>
            <w:tcMar>
              <w:top w:w="0" w:type="dxa"/>
              <w:left w:w="0" w:type="dxa"/>
              <w:bottom w:w="0" w:type="dxa"/>
              <w:right w:w="0" w:type="dxa"/>
            </w:tcMar>
          </w:tcPr>
          <w:p>
            <w:pPr>
              <w:spacing w:before="100"/>
              <w:ind w:left="780"/>
            </w:pPr>
            <w:r>
              <w:rPr>
                <w:rFonts w:hint="eastAsia" w:ascii="宋体" w:hAnsi="宋体" w:eastAsia="宋体" w:cs="宋体"/>
                <w:sz w:val="21"/>
              </w:rPr>
              <w:t>郑元通</w:t>
            </w:r>
          </w:p>
        </w:tc>
        <w:tc>
          <w:tcPr>
            <w:tcW w:w="268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c>
          <w:tcPr>
            <w:tcW w:w="24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2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18</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张雄金</w:t>
            </w:r>
          </w:p>
        </w:tc>
        <w:tc>
          <w:tcPr>
            <w:tcW w:w="268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c>
          <w:tcPr>
            <w:tcW w:w="2400" w:type="dxa"/>
            <w:tcMar>
              <w:top w:w="0" w:type="dxa"/>
              <w:left w:w="0" w:type="dxa"/>
              <w:bottom w:w="0" w:type="dxa"/>
              <w:right w:w="0" w:type="dxa"/>
            </w:tcMar>
          </w:tcPr>
          <w:p>
            <w:pPr>
              <w:spacing w:before="16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1-1-53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20"/>
        <w:gridCol w:w="2220"/>
        <w:gridCol w:w="2680"/>
        <w:gridCol w:w="2400"/>
      </w:tblGrid>
      <w:tr>
        <w:trPr>
          <w:trHeight w:val="480" w:hRule="exact"/>
        </w:trPr>
        <w:tc>
          <w:tcPr>
            <w:tcW w:w="12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19</w:t>
            </w:r>
          </w:p>
        </w:tc>
        <w:tc>
          <w:tcPr>
            <w:tcW w:w="2220" w:type="dxa"/>
            <w:tcMar>
              <w:top w:w="0" w:type="dxa"/>
              <w:left w:w="0" w:type="dxa"/>
              <w:bottom w:w="0" w:type="dxa"/>
              <w:right w:w="0" w:type="dxa"/>
            </w:tcMar>
          </w:tcPr>
          <w:p>
            <w:pPr>
              <w:spacing w:before="100"/>
              <w:ind w:left="780"/>
            </w:pPr>
            <w:r>
              <w:rPr>
                <w:rFonts w:hint="eastAsia" w:ascii="宋体" w:hAnsi="宋体" w:eastAsia="宋体" w:cs="宋体"/>
                <w:sz w:val="21"/>
              </w:rPr>
              <w:t>鄢继华</w:t>
            </w:r>
          </w:p>
        </w:tc>
        <w:tc>
          <w:tcPr>
            <w:tcW w:w="2680" w:type="dxa"/>
            <w:tcMar>
              <w:top w:w="0" w:type="dxa"/>
              <w:left w:w="0" w:type="dxa"/>
              <w:bottom w:w="0" w:type="dxa"/>
              <w:right w:w="0" w:type="dxa"/>
            </w:tcMar>
          </w:tcPr>
          <w:p>
            <w:pPr>
              <w:spacing w:before="140"/>
              <w:ind w:left="20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c>
          <w:tcPr>
            <w:tcW w:w="24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谢淑仁</w:t>
            </w:r>
          </w:p>
        </w:tc>
        <w:tc>
          <w:tcPr>
            <w:tcW w:w="268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c>
          <w:tcPr>
            <w:tcW w:w="2400" w:type="dxa"/>
            <w:tcMar>
              <w:top w:w="0" w:type="dxa"/>
              <w:left w:w="0" w:type="dxa"/>
              <w:bottom w:w="0" w:type="dxa"/>
              <w:right w:w="0" w:type="dxa"/>
            </w:tcMar>
          </w:tcPr>
          <w:p>
            <w:pPr>
              <w:spacing w:before="16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2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21</w:t>
            </w:r>
          </w:p>
        </w:tc>
        <w:tc>
          <w:tcPr>
            <w:tcW w:w="2220" w:type="dxa"/>
            <w:tcMar>
              <w:top w:w="0" w:type="dxa"/>
              <w:left w:w="0" w:type="dxa"/>
              <w:bottom w:w="0" w:type="dxa"/>
              <w:right w:w="0" w:type="dxa"/>
            </w:tcMar>
          </w:tcPr>
          <w:p>
            <w:pPr>
              <w:spacing w:before="100"/>
              <w:ind w:left="780"/>
            </w:pPr>
            <w:r>
              <w:rPr>
                <w:rFonts w:hint="eastAsia" w:ascii="宋体" w:hAnsi="宋体" w:eastAsia="宋体" w:cs="宋体"/>
                <w:sz w:val="21"/>
              </w:rPr>
              <w:t>杜建强</w:t>
            </w:r>
          </w:p>
        </w:tc>
        <w:tc>
          <w:tcPr>
            <w:tcW w:w="268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c>
          <w:tcPr>
            <w:tcW w:w="2400" w:type="dxa"/>
            <w:tcMar>
              <w:top w:w="0" w:type="dxa"/>
              <w:left w:w="0" w:type="dxa"/>
              <w:bottom w:w="0" w:type="dxa"/>
              <w:right w:w="0" w:type="dxa"/>
            </w:tcMar>
          </w:tcPr>
          <w:p>
            <w:pPr>
              <w:spacing w:before="16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22</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陈瑞德</w:t>
            </w:r>
          </w:p>
        </w:tc>
        <w:tc>
          <w:tcPr>
            <w:tcW w:w="2680" w:type="dxa"/>
            <w:tcMar>
              <w:top w:w="0" w:type="dxa"/>
              <w:left w:w="0" w:type="dxa"/>
              <w:bottom w:w="0" w:type="dxa"/>
              <w:right w:w="0" w:type="dxa"/>
            </w:tcMar>
          </w:tcPr>
          <w:p>
            <w:pPr>
              <w:spacing w:before="180"/>
              <w:ind w:left="21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400" w:type="dxa"/>
            <w:tcMar>
              <w:top w:w="0" w:type="dxa"/>
              <w:left w:w="0" w:type="dxa"/>
              <w:bottom w:w="0" w:type="dxa"/>
              <w:right w:w="0" w:type="dxa"/>
            </w:tcMar>
          </w:tcPr>
          <w:p>
            <w:pPr>
              <w:spacing w:before="18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12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23</w:t>
            </w:r>
          </w:p>
        </w:tc>
        <w:tc>
          <w:tcPr>
            <w:tcW w:w="2220" w:type="dxa"/>
            <w:tcMar>
              <w:top w:w="0" w:type="dxa"/>
              <w:left w:w="0" w:type="dxa"/>
              <w:bottom w:w="0" w:type="dxa"/>
              <w:right w:w="0" w:type="dxa"/>
            </w:tcMar>
          </w:tcPr>
          <w:p>
            <w:pPr>
              <w:spacing w:before="120"/>
              <w:ind w:left="780"/>
            </w:pPr>
            <w:r>
              <w:rPr>
                <w:rFonts w:hint="eastAsia" w:ascii="宋体" w:hAnsi="宋体" w:eastAsia="宋体" w:cs="宋体"/>
                <w:sz w:val="21"/>
              </w:rPr>
              <w:t>陈建国</w:t>
            </w:r>
          </w:p>
        </w:tc>
        <w:tc>
          <w:tcPr>
            <w:tcW w:w="2680" w:type="dxa"/>
            <w:tcMar>
              <w:top w:w="0" w:type="dxa"/>
              <w:left w:w="0" w:type="dxa"/>
              <w:bottom w:w="0" w:type="dxa"/>
              <w:right w:w="0" w:type="dxa"/>
            </w:tcMar>
          </w:tcPr>
          <w:p>
            <w:pPr>
              <w:spacing w:before="140"/>
              <w:ind w:left="21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4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3440" w:type="dxa"/>
            <w:gridSpan w:val="2"/>
            <w:tcMar>
              <w:top w:w="0" w:type="dxa"/>
              <w:left w:w="0" w:type="dxa"/>
              <w:bottom w:w="0" w:type="dxa"/>
              <w:right w:w="0" w:type="dxa"/>
            </w:tcMar>
          </w:tcPr>
          <w:p>
            <w:pPr>
              <w:spacing w:before="120"/>
              <w:ind w:left="1500"/>
            </w:pPr>
            <w:r>
              <w:rPr>
                <w:rFonts w:hint="eastAsia" w:ascii="宋体" w:hAnsi="宋体" w:eastAsia="宋体" w:cs="宋体"/>
                <w:b/>
                <w:sz w:val="21"/>
              </w:rPr>
              <w:t>合计</w:t>
            </w:r>
          </w:p>
        </w:tc>
        <w:tc>
          <w:tcPr>
            <w:tcW w:w="2680" w:type="dxa"/>
            <w:tcMar>
              <w:top w:w="0" w:type="dxa"/>
              <w:left w:w="0" w:type="dxa"/>
              <w:bottom w:w="0" w:type="dxa"/>
              <w:right w:w="0" w:type="dxa"/>
            </w:tcMar>
          </w:tcPr>
          <w:p>
            <w:pPr>
              <w:spacing w:before="140"/>
              <w:ind w:left="1820"/>
            </w:pP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400" w:type="dxa"/>
            <w:tcMar>
              <w:top w:w="0" w:type="dxa"/>
              <w:left w:w="0" w:type="dxa"/>
              <w:bottom w:w="0" w:type="dxa"/>
              <w:right w:w="0" w:type="dxa"/>
            </w:tcMar>
          </w:tcPr>
          <w:p>
            <w:pPr>
              <w:spacing w:before="140"/>
              <w:ind w:left="14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宋体" w:hAnsi="宋体" w:eastAsia="宋体" w:cs="宋体"/>
          <w:sz w:val="20"/>
        </w:rPr>
        <w:t>（</w:t>
      </w:r>
      <w:r>
        <w:rPr>
          <w:rFonts w:hint="eastAsia" w:ascii="Times New Roman" w:hAnsi="Times New Roman" w:eastAsia="Times New Roman" w:cs="Times New Roman"/>
          <w:sz w:val="24"/>
        </w:rPr>
        <w:t>3</w:t>
      </w:r>
      <w:r>
        <w:rPr>
          <w:rFonts w:hint="eastAsia" w:ascii="宋体" w:hAnsi="宋体" w:eastAsia="宋体" w:cs="宋体"/>
          <w:sz w:val="24"/>
        </w:rPr>
        <w:t>）本次增资出资规范情况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Times New Roman" w:hAnsi="Times New Roman" w:eastAsia="Times New Roman" w:cs="Times New Roman"/>
          <w:sz w:val="24"/>
        </w:rPr>
        <w:t>2000</w:t>
      </w:r>
      <w:r>
        <w:rPr>
          <w:rFonts w:hint="eastAsia" w:ascii="宋体" w:hAnsi="宋体" w:eastAsia="宋体" w:cs="宋体"/>
          <w:sz w:val="24"/>
        </w:rPr>
        <w:t xml:space="preserve"> 年增资过程中</w:t>
      </w:r>
      <w:r>
        <w:rPr>
          <w:rFonts w:hint="eastAsia" w:ascii="宋体" w:hAnsi="宋体" w:eastAsia="宋体" w:cs="宋体"/>
          <w:sz w:val="10"/>
        </w:rPr>
        <w:t>，</w:t>
      </w:r>
      <w:r>
        <w:rPr>
          <w:rFonts w:hint="eastAsia" w:ascii="宋体" w:hAnsi="宋体" w:eastAsia="宋体" w:cs="宋体"/>
          <w:sz w:val="24"/>
        </w:rPr>
        <w:t>严孟宇等</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名原股东</w:t>
      </w:r>
      <w:r>
        <w:rPr>
          <w:rFonts w:hint="eastAsia" w:ascii="Times New Roman" w:hAnsi="Times New Roman" w:eastAsia="Times New Roman" w:cs="Times New Roman"/>
          <w:sz w:val="16"/>
        </w:rPr>
        <w:t>3</w:t>
      </w:r>
      <w:r>
        <w:rPr>
          <w:rFonts w:hint="eastAsia" w:ascii="宋体" w:hAnsi="宋体" w:eastAsia="宋体" w:cs="宋体"/>
          <w:sz w:val="24"/>
        </w:rPr>
        <w:t>用于增资的</w:t>
      </w:r>
      <w:r>
        <w:rPr>
          <w:rFonts w:hint="eastAsia" w:ascii="宋体" w:hAnsi="宋体" w:eastAsia="宋体" w:cs="宋体"/>
          <w:sz w:val="10"/>
        </w:rPr>
        <w:t>“</w:t>
      </w:r>
      <w:r>
        <w:rPr>
          <w:rFonts w:hint="eastAsia" w:ascii="Times New Roman" w:hAnsi="Times New Roman" w:eastAsia="Times New Roman" w:cs="Times New Roman"/>
          <w:sz w:val="24"/>
        </w:rPr>
        <w:t>NovMate 2000</w:t>
      </w:r>
      <w:r>
        <w:rPr>
          <w:rFonts w:hint="eastAsia" w:ascii="宋体" w:hAnsi="宋体" w:eastAsia="宋体" w:cs="宋体"/>
          <w:sz w:val="10"/>
        </w:rPr>
        <w:t>”</w:t>
      </w:r>
      <w:r>
        <w:rPr>
          <w:rFonts w:hint="eastAsia" w:ascii="宋体" w:hAnsi="宋体" w:eastAsia="宋体" w:cs="宋体"/>
          <w:sz w:val="24"/>
        </w:rPr>
        <w:t>软件的软件产品著作权人为顶点有限</w:t>
      </w:r>
      <w:r>
        <w:rPr>
          <w:rFonts w:hint="eastAsia" w:ascii="宋体" w:hAnsi="宋体" w:eastAsia="宋体" w:cs="宋体"/>
          <w:sz w:val="10"/>
        </w:rPr>
        <w:t>，</w:t>
      </w:r>
      <w:r>
        <w:rPr>
          <w:rFonts w:hint="eastAsia" w:ascii="宋体" w:hAnsi="宋体" w:eastAsia="宋体" w:cs="宋体"/>
          <w:sz w:val="24"/>
        </w:rPr>
        <w:t>登记日期为</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29</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严孟宇等</w:t>
      </w:r>
      <w:r>
        <w:rPr>
          <w:rFonts w:hint="eastAsia" w:ascii="Times New Roman" w:hAnsi="Times New Roman" w:eastAsia="Times New Roman" w:cs="Times New Roman"/>
          <w:sz w:val="24"/>
        </w:rPr>
        <w:t>11</w:t>
      </w:r>
      <w:r>
        <w:rPr>
          <w:rFonts w:hint="eastAsia" w:ascii="宋体" w:hAnsi="宋体" w:eastAsia="宋体" w:cs="宋体"/>
          <w:sz w:val="24"/>
        </w:rPr>
        <w:t xml:space="preserve"> 名原股东以顶点有限所有的</w:t>
      </w:r>
      <w:r>
        <w:rPr>
          <w:rFonts w:hint="eastAsia" w:ascii="宋体" w:hAnsi="宋体" w:eastAsia="宋体" w:cs="宋体"/>
          <w:sz w:val="10"/>
        </w:rPr>
        <w:t>“</w:t>
      </w:r>
      <w:r>
        <w:rPr>
          <w:rFonts w:hint="eastAsia" w:ascii="Times New Roman" w:hAnsi="Times New Roman" w:eastAsia="Times New Roman" w:cs="Times New Roman"/>
          <w:sz w:val="24"/>
        </w:rPr>
        <w:t>NovMate 2000</w:t>
      </w:r>
      <w:r>
        <w:rPr>
          <w:rFonts w:hint="eastAsia" w:ascii="宋体" w:hAnsi="宋体" w:eastAsia="宋体" w:cs="宋体"/>
          <w:sz w:val="10"/>
        </w:rPr>
        <w:t>”</w:t>
      </w:r>
      <w:r>
        <w:rPr>
          <w:rFonts w:hint="eastAsia" w:ascii="宋体" w:hAnsi="宋体" w:eastAsia="宋体" w:cs="宋体"/>
          <w:sz w:val="24"/>
        </w:rPr>
        <w:t>软件经评估后作价</w:t>
      </w:r>
      <w:r>
        <w:rPr>
          <w:rFonts w:hint="eastAsia" w:ascii="Times New Roman" w:hAnsi="Times New Roman" w:eastAsia="Times New Roman" w:cs="Times New Roman"/>
          <w:sz w:val="24"/>
        </w:rPr>
        <w:t xml:space="preserve"> 811.00</w:t>
      </w:r>
      <w:r>
        <w:rPr>
          <w:rFonts w:hint="eastAsia" w:ascii="宋体" w:hAnsi="宋体" w:eastAsia="宋体" w:cs="宋体"/>
          <w:sz w:val="24"/>
        </w:rPr>
        <w:t xml:space="preserve"> 万元对顶点有限进行增资</w:t>
      </w:r>
      <w:r>
        <w:rPr>
          <w:rFonts w:hint="eastAsia" w:ascii="宋体" w:hAnsi="宋体" w:eastAsia="宋体" w:cs="宋体"/>
          <w:sz w:val="10"/>
        </w:rPr>
        <w:t>，</w:t>
      </w:r>
      <w:r>
        <w:rPr>
          <w:rFonts w:hint="eastAsia" w:ascii="宋体" w:hAnsi="宋体" w:eastAsia="宋体" w:cs="宋体"/>
          <w:sz w:val="24"/>
        </w:rPr>
        <w:t>并非以其合法拥有的资产出资</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严孟宇等</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名原股东对该部分增资未真实履行出资义务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2010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23</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发行人召开</w:t>
      </w:r>
      <w:r>
        <w:rPr>
          <w:rFonts w:hint="eastAsia" w:ascii="Times New Roman" w:hAnsi="Times New Roman" w:eastAsia="Times New Roman" w:cs="Times New Roman"/>
          <w:sz w:val="24"/>
        </w:rPr>
        <w:t xml:space="preserve"> 2009</w:t>
      </w:r>
      <w:r>
        <w:rPr>
          <w:rFonts w:hint="eastAsia" w:ascii="宋体" w:hAnsi="宋体" w:eastAsia="宋体" w:cs="宋体"/>
          <w:sz w:val="24"/>
        </w:rPr>
        <w:t xml:space="preserve"> 年度股东大会</w:t>
      </w:r>
      <w:r>
        <w:rPr>
          <w:rFonts w:hint="eastAsia" w:ascii="宋体" w:hAnsi="宋体" w:eastAsia="宋体" w:cs="宋体"/>
          <w:sz w:val="10"/>
        </w:rPr>
        <w:t>，</w:t>
      </w:r>
      <w:r>
        <w:rPr>
          <w:rFonts w:hint="eastAsia" w:ascii="宋体" w:hAnsi="宋体" w:eastAsia="宋体" w:cs="宋体"/>
          <w:sz w:val="24"/>
        </w:rPr>
        <w:t>同意由严孟宇等发行人当时</w:t>
      </w:r>
      <w:r>
        <w:rPr>
          <w:rFonts w:hint="eastAsia" w:ascii="Times New Roman" w:hAnsi="Times New Roman" w:eastAsia="Times New Roman" w:cs="Times New Roman"/>
          <w:sz w:val="24"/>
        </w:rPr>
        <w:t xml:space="preserve"> 21</w:t>
      </w:r>
      <w:r>
        <w:rPr>
          <w:rFonts w:hint="eastAsia" w:ascii="宋体" w:hAnsi="宋体" w:eastAsia="宋体" w:cs="宋体"/>
          <w:sz w:val="24"/>
        </w:rPr>
        <w:t xml:space="preserve"> 名全体股东</w:t>
      </w:r>
      <w:r>
        <w:rPr>
          <w:rFonts w:hint="eastAsia" w:ascii="Times New Roman" w:hAnsi="Times New Roman" w:eastAsia="Times New Roman" w:cs="Times New Roman"/>
          <w:sz w:val="16"/>
        </w:rPr>
        <w:t>4</w:t>
      </w:r>
      <w:r>
        <w:rPr>
          <w:rFonts w:hint="eastAsia" w:ascii="宋体" w:hAnsi="宋体" w:eastAsia="宋体" w:cs="宋体"/>
          <w:sz w:val="24"/>
        </w:rPr>
        <w:t>按照截至当时各自对发行人的持股比例</w:t>
      </w:r>
      <w:r>
        <w:rPr>
          <w:rFonts w:hint="eastAsia" w:ascii="宋体" w:hAnsi="宋体" w:eastAsia="宋体" w:cs="宋体"/>
          <w:sz w:val="10"/>
        </w:rPr>
        <w:t>，</w:t>
      </w:r>
      <w:r>
        <w:rPr>
          <w:rFonts w:hint="eastAsia" w:ascii="宋体" w:hAnsi="宋体" w:eastAsia="宋体" w:cs="宋体"/>
          <w:sz w:val="24"/>
        </w:rPr>
        <w:t>以发行人</w:t>
      </w:r>
      <w:r>
        <w:rPr>
          <w:rFonts w:hint="eastAsia" w:ascii="Times New Roman" w:hAnsi="Times New Roman" w:eastAsia="Times New Roman" w:cs="Times New Roman"/>
          <w:sz w:val="24"/>
        </w:rPr>
        <w:t xml:space="preserve"> 2009</w:t>
      </w:r>
      <w:r>
        <w:rPr>
          <w:rFonts w:hint="eastAsia" w:ascii="宋体" w:hAnsi="宋体" w:eastAsia="宋体" w:cs="宋体"/>
          <w:sz w:val="24"/>
        </w:rPr>
        <w:t>年度的利润分配作为补足出资来源</w:t>
      </w:r>
      <w:r>
        <w:rPr>
          <w:rFonts w:hint="eastAsia" w:ascii="宋体" w:hAnsi="宋体" w:eastAsia="宋体" w:cs="宋体"/>
          <w:sz w:val="10"/>
        </w:rPr>
        <w:t>，</w:t>
      </w:r>
      <w:r>
        <w:rPr>
          <w:rFonts w:hint="eastAsia" w:ascii="宋体" w:hAnsi="宋体" w:eastAsia="宋体" w:cs="宋体"/>
          <w:sz w:val="24"/>
        </w:rPr>
        <w:t>用现金方式补足严孟宇等</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名原股东的</w:t>
      </w:r>
      <w:r>
        <w:rPr>
          <w:rFonts w:hint="eastAsia" w:ascii="Times New Roman" w:hAnsi="Times New Roman" w:eastAsia="Times New Roman" w:cs="Times New Roman"/>
          <w:sz w:val="24"/>
        </w:rPr>
        <w:t>811.00</w:t>
      </w:r>
      <w:r>
        <w:rPr>
          <w:rFonts w:hint="eastAsia" w:ascii="宋体" w:hAnsi="宋体" w:eastAsia="宋体" w:cs="宋体"/>
          <w:sz w:val="24"/>
        </w:rPr>
        <w:t xml:space="preserve"> 万元瑕疵出资</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2010</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严孟宇等</w:t>
      </w:r>
      <w:r>
        <w:rPr>
          <w:rFonts w:hint="eastAsia" w:ascii="Times New Roman" w:hAnsi="Times New Roman" w:eastAsia="Times New Roman" w:cs="Times New Roman"/>
          <w:sz w:val="24"/>
        </w:rPr>
        <w:t xml:space="preserve"> 21</w:t>
      </w:r>
      <w:r>
        <w:rPr>
          <w:rFonts w:hint="eastAsia" w:ascii="宋体" w:hAnsi="宋体" w:eastAsia="宋体" w:cs="宋体"/>
          <w:sz w:val="24"/>
        </w:rPr>
        <w:t xml:space="preserve"> 名全体股东已按照截至当时持股比例以现金为严孟宇等</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名原股东补足上述</w:t>
      </w:r>
      <w:r>
        <w:rPr>
          <w:rFonts w:hint="eastAsia" w:ascii="Times New Roman" w:hAnsi="Times New Roman" w:eastAsia="Times New Roman" w:cs="Times New Roman"/>
          <w:sz w:val="24"/>
        </w:rPr>
        <w:t xml:space="preserve"> 811.00</w:t>
      </w:r>
      <w:r>
        <w:rPr>
          <w:rFonts w:hint="eastAsia" w:ascii="宋体" w:hAnsi="宋体" w:eastAsia="宋体" w:cs="宋体"/>
          <w:sz w:val="24"/>
        </w:rPr>
        <w:t xml:space="preserve"> 万元出资</w:t>
      </w:r>
      <w:r>
        <w:rPr>
          <w:rFonts w:hint="eastAsia" w:ascii="宋体" w:hAnsi="宋体" w:eastAsia="宋体" w:cs="宋体"/>
          <w:sz w:val="10"/>
        </w:rPr>
        <w:t>。</w:t>
      </w:r>
      <w:r>
        <w:rPr>
          <w:rFonts w:hint="eastAsia" w:ascii="宋体" w:hAnsi="宋体" w:eastAsia="宋体" w:cs="宋体"/>
          <w:sz w:val="24"/>
        </w:rPr>
        <w:t>相关股东就上述出资瑕疵作出的承诺参见本招股说明书本节之</w:t>
      </w:r>
      <w:r>
        <w:rPr>
          <w:rFonts w:hint="eastAsia" w:ascii="宋体" w:hAnsi="宋体" w:eastAsia="宋体" w:cs="宋体"/>
          <w:sz w:val="10"/>
        </w:rPr>
        <w:t>“</w:t>
      </w:r>
      <w:r>
        <w:rPr>
          <w:rFonts w:hint="eastAsia" w:ascii="宋体" w:hAnsi="宋体" w:eastAsia="宋体" w:cs="宋体"/>
          <w:sz w:val="24"/>
        </w:rPr>
        <w:t>十二、</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发行人的股东</w:t>
      </w:r>
      <w:r>
        <w:rPr>
          <w:rFonts w:hint="eastAsia" w:ascii="宋体" w:hAnsi="宋体" w:eastAsia="宋体" w:cs="宋体"/>
          <w:sz w:val="10"/>
        </w:rPr>
        <w:t>、</w:t>
      </w:r>
      <w:r>
        <w:rPr>
          <w:rFonts w:hint="eastAsia" w:ascii="宋体" w:hAnsi="宋体" w:eastAsia="宋体" w:cs="宋体"/>
          <w:sz w:val="24"/>
        </w:rPr>
        <w:t>实际控制人以及发行人之董事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高级管理人员及其他核心技术人员以及证券服务机构作出的承诺及履行情况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严孟宇等</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名原股东的瑕疵出资已经得到有效的弥补</w:t>
      </w:r>
      <w:r>
        <w:rPr>
          <w:rFonts w:hint="eastAsia" w:ascii="宋体" w:hAnsi="宋体" w:eastAsia="宋体" w:cs="宋体"/>
          <w:sz w:val="10"/>
        </w:rPr>
        <w:t>，</w:t>
      </w:r>
      <w:r>
        <w:rPr>
          <w:rFonts w:hint="eastAsia" w:ascii="宋体" w:hAnsi="宋体" w:eastAsia="宋体" w:cs="宋体"/>
          <w:sz w:val="24"/>
        </w:rPr>
        <w:t>不会导致出资不实或构成虚假出资</w:t>
      </w:r>
      <w:r>
        <w:rPr>
          <w:rFonts w:hint="eastAsia" w:ascii="宋体" w:hAnsi="宋体" w:eastAsia="宋体" w:cs="宋体"/>
          <w:sz w:val="10"/>
        </w:rPr>
        <w:t>，</w:t>
      </w:r>
      <w:r>
        <w:rPr>
          <w:rFonts w:hint="eastAsia" w:ascii="宋体" w:hAnsi="宋体" w:eastAsia="宋体" w:cs="宋体"/>
          <w:sz w:val="24"/>
        </w:rPr>
        <w:t>不会对发行人股本变动的合法性及股本结构的稳定性产生重大不利影响</w:t>
      </w:r>
      <w:r>
        <w:rPr>
          <w:rFonts w:hint="eastAsia" w:ascii="宋体" w:hAnsi="宋体" w:eastAsia="宋体" w:cs="宋体"/>
          <w:sz w:val="10"/>
        </w:rPr>
        <w:t>，</w:t>
      </w:r>
      <w:r>
        <w:rPr>
          <w:rFonts w:hint="eastAsia" w:ascii="宋体" w:hAnsi="宋体" w:eastAsia="宋体" w:cs="宋体"/>
          <w:sz w:val="24"/>
        </w:rPr>
        <w:t>不会对发行人本次发行上市构成实质法律障碍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6</w:t>
      </w:r>
      <w:r>
        <w:rPr>
          <w:rFonts w:hint="eastAsia" w:ascii="宋体" w:hAnsi="宋体" w:eastAsia="宋体" w:cs="宋体"/>
          <w:b/>
          <w:sz w:val="10"/>
        </w:rPr>
        <w:t>、</w:t>
      </w:r>
      <w:r>
        <w:rPr>
          <w:rFonts w:hint="eastAsia" w:ascii="宋体" w:hAnsi="宋体" w:eastAsia="宋体" w:cs="宋体"/>
          <w:b/>
          <w:sz w:val="24"/>
        </w:rPr>
        <w:t>股份公司的设立</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Arial" w:hAnsi="Arial" w:eastAsia="Arial" w:cs="Arial"/>
          <w:sz w:val="12"/>
        </w:rPr>
        <w:t>3</w:t>
      </w:r>
      <w:r>
        <w:rPr>
          <w:rFonts w:hint="eastAsia" w:ascii="Arial" w:hAnsi="Arial" w:eastAsia="Arial" w:cs="Arial"/>
          <w:sz w:val="18"/>
        </w:rPr>
        <w:t xml:space="preserve"> </w:t>
      </w:r>
      <w:r>
        <w:rPr>
          <w:rFonts w:hint="eastAsia" w:ascii="·ÂËÎ_GB2312" w:hAnsi="·ÂËÎ_GB2312" w:eastAsia="·ÂËÎ_GB2312" w:cs="·ÂËÎ_GB2312"/>
          <w:sz w:val="18"/>
        </w:rPr>
        <w:t>严孟宇等</w:t>
      </w:r>
      <w:r>
        <w:rPr>
          <w:rFonts w:hint="eastAsia" w:ascii="Times New Roman" w:hAnsi="Times New Roman" w:eastAsia="Times New Roman" w:cs="Times New Roman"/>
          <w:sz w:val="18"/>
        </w:rPr>
        <w:t xml:space="preserve"> 11</w:t>
      </w:r>
      <w:r>
        <w:rPr>
          <w:rFonts w:hint="eastAsia" w:ascii="·ÂËÎ_GB2312" w:hAnsi="·ÂËÎ_GB2312" w:eastAsia="·ÂËÎ_GB2312" w:cs="·ÂËÎ_GB2312"/>
          <w:sz w:val="18"/>
        </w:rPr>
        <w:t xml:space="preserve"> 名原股东指：顶点有限</w:t>
      </w:r>
      <w:r>
        <w:rPr>
          <w:rFonts w:hint="eastAsia" w:ascii="·ÂËÎ_GB2312" w:hAnsi="·ÂËÎ_GB2312" w:eastAsia="·ÂËÎ_GB2312" w:cs="·ÂËÎ_GB2312"/>
          <w:sz w:val="10"/>
        </w:rPr>
        <w:t>“</w:t>
      </w:r>
      <w:r>
        <w:rPr>
          <w:rFonts w:hint="eastAsia" w:ascii="Times New Roman" w:hAnsi="Times New Roman" w:eastAsia="Times New Roman" w:cs="Times New Roman"/>
          <w:sz w:val="18"/>
        </w:rPr>
        <w:t>2000</w:t>
      </w:r>
      <w:r>
        <w:rPr>
          <w:rFonts w:hint="eastAsia" w:ascii="·ÂËÎ_GB2312" w:hAnsi="·ÂËÎ_GB2312" w:eastAsia="·ÂËÎ_GB2312" w:cs="·ÂËÎ_GB2312"/>
          <w:sz w:val="18"/>
        </w:rPr>
        <w:t xml:space="preserve"> 年股权转让</w:t>
      </w:r>
      <w:r>
        <w:rPr>
          <w:rFonts w:hint="eastAsia" w:ascii="·ÂËÎ_GB2312" w:hAnsi="·ÂËÎ_GB2312" w:eastAsia="·ÂËÎ_GB2312" w:cs="·ÂËÎ_GB2312"/>
          <w:sz w:val="10"/>
        </w:rPr>
        <w:t>”</w:t>
      </w:r>
      <w:r>
        <w:rPr>
          <w:rFonts w:hint="eastAsia" w:ascii="·ÂËÎ_GB2312" w:hAnsi="·ÂËÎ_GB2312" w:eastAsia="·ÂËÎ_GB2312" w:cs="·ÂËÎ_GB2312"/>
          <w:sz w:val="18"/>
        </w:rPr>
        <w:t>后的</w:t>
      </w:r>
      <w:r>
        <w:rPr>
          <w:rFonts w:hint="eastAsia" w:ascii="Times New Roman" w:hAnsi="Times New Roman" w:eastAsia="Times New Roman" w:cs="Times New Roman"/>
          <w:sz w:val="18"/>
        </w:rPr>
        <w:t xml:space="preserve"> 11</w:t>
      </w:r>
      <w:r>
        <w:rPr>
          <w:rFonts w:hint="eastAsia" w:ascii="·ÂËÎ_GB2312" w:hAnsi="·ÂËÎ_GB2312" w:eastAsia="·ÂËÎ_GB2312" w:cs="·ÂËÎ_GB2312"/>
          <w:sz w:val="18"/>
        </w:rPr>
        <w:t xml:space="preserve"> 名股东</w:t>
      </w:r>
      <w:r>
        <w:rPr>
          <w:rFonts w:hint="eastAsia" w:ascii="·ÂËÎ_GB2312" w:hAnsi="·ÂËÎ_GB2312" w:eastAsia="·ÂËÎ_GB2312" w:cs="·ÂËÎ_GB2312"/>
          <w:sz w:val="10"/>
        </w:rPr>
        <w:t>，</w:t>
      </w:r>
      <w:r>
        <w:rPr>
          <w:rFonts w:hint="eastAsia" w:ascii="·ÂËÎ_GB2312" w:hAnsi="·ÂËÎ_GB2312" w:eastAsia="·ÂËÎ_GB2312" w:cs="·ÂËÎ_GB2312"/>
          <w:sz w:val="18"/>
        </w:rPr>
        <w:t>即严孟宇</w:t>
      </w:r>
      <w:r>
        <w:rPr>
          <w:rFonts w:hint="eastAsia" w:ascii="·ÂËÎ_GB2312" w:hAnsi="·ÂËÎ_GB2312" w:eastAsia="·ÂËÎ_GB2312" w:cs="·ÂËÎ_GB2312"/>
          <w:sz w:val="10"/>
        </w:rPr>
        <w:t>、</w:t>
      </w:r>
      <w:r>
        <w:rPr>
          <w:rFonts w:hint="eastAsia" w:ascii="·ÂËÎ_GB2312" w:hAnsi="·ÂËÎ_GB2312" w:eastAsia="·ÂËÎ_GB2312" w:cs="·ÂËÎ_GB2312"/>
          <w:sz w:val="18"/>
        </w:rPr>
        <w:t>董南勇</w:t>
      </w:r>
      <w:r>
        <w:rPr>
          <w:rFonts w:hint="eastAsia" w:ascii="·ÂËÎ_GB2312" w:hAnsi="·ÂËÎ_GB2312" w:eastAsia="·ÂËÎ_GB2312" w:cs="·ÂËÎ_GB2312"/>
          <w:sz w:val="10"/>
        </w:rPr>
        <w:t>、</w:t>
      </w:r>
      <w:r>
        <w:rPr>
          <w:rFonts w:hint="eastAsia" w:ascii="·ÂËÎ_GB2312" w:hAnsi="·ÂËÎ_GB2312" w:eastAsia="·ÂËÎ_GB2312" w:cs="·ÂËÎ_GB2312"/>
          <w:sz w:val="18"/>
        </w:rPr>
        <w:t>赵伟</w:t>
      </w:r>
      <w:r>
        <w:rPr>
          <w:rFonts w:hint="eastAsia" w:ascii="·ÂËÎ_GB2312" w:hAnsi="·ÂËÎ_GB2312" w:eastAsia="·ÂËÎ_GB2312" w:cs="·ÂËÎ_GB2312"/>
          <w:sz w:val="10"/>
        </w:rPr>
        <w:t>、</w:t>
      </w:r>
      <w:r>
        <w:rPr>
          <w:rFonts w:hint="eastAsia" w:ascii="·ÂËÎ_GB2312" w:hAnsi="·ÂËÎ_GB2312" w:eastAsia="·ÂËÎ_GB2312" w:cs="·ÂËÎ_GB2312"/>
          <w:sz w:val="18"/>
        </w:rPr>
        <w:t>赵</w:t>
      </w:r>
    </w:p>
    <w:p>
      <w:pPr>
        <w:autoSpaceDE w:val="false"/>
        <w:autoSpaceDN w:val="false"/>
        <w:spacing w:line="240" w:lineRule="exact"/>
        <w:ind w:left="1800"/>
        <w:jc w:val="both"/>
      </w:pPr>
      <w:r>
        <w:rPr>
          <w:rFonts w:hint="eastAsia" w:ascii="·ÂËÎ_GB2312" w:hAnsi="·ÂËÎ_GB2312" w:eastAsia="·ÂËÎ_GB2312" w:cs="·ÂËÎ_GB2312"/>
          <w:sz w:val="18"/>
        </w:rPr>
        <w:t>莹</w:t>
      </w:r>
      <w:r>
        <w:rPr>
          <w:rFonts w:hint="eastAsia" w:ascii="·ÂËÎ_GB2312" w:hAnsi="·ÂËÎ_GB2312" w:eastAsia="·ÂËÎ_GB2312" w:cs="·ÂËÎ_GB2312"/>
          <w:sz w:val="10"/>
        </w:rPr>
        <w:t>、</w:t>
      </w:r>
      <w:r>
        <w:rPr>
          <w:rFonts w:hint="eastAsia" w:ascii="·ÂËÎ_GB2312" w:hAnsi="·ÂËÎ_GB2312" w:eastAsia="·ÂËÎ_GB2312" w:cs="·ÂËÎ_GB2312"/>
          <w:sz w:val="18"/>
        </w:rPr>
        <w:t>雷世潘</w:t>
      </w:r>
      <w:r>
        <w:rPr>
          <w:rFonts w:hint="eastAsia" w:ascii="·ÂËÎ_GB2312" w:hAnsi="·ÂËÎ_GB2312" w:eastAsia="·ÂËÎ_GB2312" w:cs="·ÂËÎ_GB2312"/>
          <w:sz w:val="10"/>
        </w:rPr>
        <w:t>、</w:t>
      </w:r>
      <w:r>
        <w:rPr>
          <w:rFonts w:hint="eastAsia" w:ascii="·ÂËÎ_GB2312" w:hAnsi="·ÂËÎ_GB2312" w:eastAsia="·ÂËÎ_GB2312" w:cs="·ÂËÎ_GB2312"/>
          <w:sz w:val="18"/>
        </w:rPr>
        <w:t>张玉</w:t>
      </w:r>
      <w:r>
        <w:rPr>
          <w:rFonts w:hint="eastAsia" w:ascii="·ÂËÎ_GB2312" w:hAnsi="·ÂËÎ_GB2312" w:eastAsia="·ÂËÎ_GB2312" w:cs="·ÂËÎ_GB2312"/>
          <w:sz w:val="10"/>
        </w:rPr>
        <w:t>、</w:t>
      </w:r>
      <w:r>
        <w:rPr>
          <w:rFonts w:hint="eastAsia" w:ascii="·ÂËÎ_GB2312" w:hAnsi="·ÂËÎ_GB2312" w:eastAsia="·ÂËÎ_GB2312" w:cs="·ÂËÎ_GB2312"/>
          <w:sz w:val="18"/>
        </w:rPr>
        <w:t>陈建</w:t>
      </w:r>
      <w:r>
        <w:rPr>
          <w:rFonts w:hint="eastAsia" w:ascii="·ÂËÎ_GB2312" w:hAnsi="·ÂËÎ_GB2312" w:eastAsia="·ÂËÎ_GB2312" w:cs="·ÂËÎ_GB2312"/>
          <w:sz w:val="10"/>
        </w:rPr>
        <w:t>、</w:t>
      </w:r>
      <w:r>
        <w:rPr>
          <w:rFonts w:hint="eastAsia" w:ascii="·ÂËÎ_GB2312" w:hAnsi="·ÂËÎ_GB2312" w:eastAsia="·ÂËÎ_GB2312" w:cs="·ÂËÎ_GB2312"/>
          <w:sz w:val="18"/>
        </w:rPr>
        <w:t>林秀红</w:t>
      </w:r>
      <w:r>
        <w:rPr>
          <w:rFonts w:hint="eastAsia" w:ascii="·ÂËÎ_GB2312" w:hAnsi="·ÂËÎ_GB2312" w:eastAsia="·ÂËÎ_GB2312" w:cs="·ÂËÎ_GB2312"/>
          <w:sz w:val="10"/>
        </w:rPr>
        <w:t>、</w:t>
      </w:r>
      <w:r>
        <w:rPr>
          <w:rFonts w:hint="eastAsia" w:ascii="·ÂËÎ_GB2312" w:hAnsi="·ÂËÎ_GB2312" w:eastAsia="·ÂËÎ_GB2312" w:cs="·ÂËÎ_GB2312"/>
          <w:sz w:val="18"/>
        </w:rPr>
        <w:t>刘法先</w:t>
      </w:r>
      <w:r>
        <w:rPr>
          <w:rFonts w:hint="eastAsia" w:ascii="·ÂËÎ_GB2312" w:hAnsi="·ÂËÎ_GB2312" w:eastAsia="·ÂËÎ_GB2312" w:cs="·ÂËÎ_GB2312"/>
          <w:sz w:val="10"/>
        </w:rPr>
        <w:t>、</w:t>
      </w:r>
      <w:r>
        <w:rPr>
          <w:rFonts w:hint="eastAsia" w:ascii="·ÂËÎ_GB2312" w:hAnsi="·ÂËÎ_GB2312" w:eastAsia="·ÂËÎ_GB2312" w:cs="·ÂËÎ_GB2312"/>
          <w:sz w:val="18"/>
        </w:rPr>
        <w:t>陈建国</w:t>
      </w:r>
      <w:r>
        <w:rPr>
          <w:rFonts w:hint="eastAsia" w:ascii="·ÂËÎ_GB2312" w:hAnsi="·ÂËÎ_GB2312" w:eastAsia="·ÂËÎ_GB2312" w:cs="·ÂËÎ_GB2312"/>
          <w:sz w:val="10"/>
        </w:rPr>
        <w:t>、</w:t>
      </w:r>
      <w:r>
        <w:rPr>
          <w:rFonts w:hint="eastAsia" w:ascii="·ÂËÎ_GB2312" w:hAnsi="·ÂËÎ_GB2312" w:eastAsia="·ÂËÎ_GB2312" w:cs="·ÂËÎ_GB2312"/>
          <w:sz w:val="18"/>
        </w:rPr>
        <w:t>徐传秋</w:t>
      </w:r>
      <w:r>
        <w:rPr>
          <w:rFonts w:hint="eastAsia" w:ascii="·ÂËÎ_GB2312" w:hAnsi="·ÂËÎ_GB2312" w:eastAsia="·ÂËÎ_GB2312" w:cs="·ÂËÎ_GB2312"/>
          <w:sz w:val="10"/>
        </w:rPr>
        <w:t>。</w:t>
      </w:r>
    </w:p>
    <w:p>
      <w:pPr>
        <w:autoSpaceDE w:val="false"/>
        <w:autoSpaceDN w:val="false"/>
        <w:spacing w:line="220" w:lineRule="exact"/>
        <w:ind w:left="1800"/>
        <w:jc w:val="both"/>
      </w:pPr>
      <w:r>
        <w:rPr>
          <w:rFonts w:hint="eastAsia" w:ascii="Times New Roman" w:hAnsi="Times New Roman" w:eastAsia="Times New Roman" w:cs="Times New Roman"/>
          <w:sz w:val="12"/>
        </w:rPr>
        <w:t>4</w:t>
      </w:r>
      <w:r>
        <w:rPr>
          <w:rFonts w:hint="eastAsia" w:ascii="Times New Roman" w:hAnsi="Times New Roman" w:eastAsia="Times New Roman" w:cs="Times New Roman"/>
          <w:sz w:val="18"/>
        </w:rPr>
        <w:t xml:space="preserve"> </w:t>
      </w:r>
      <w:r>
        <w:rPr>
          <w:rFonts w:hint="eastAsia" w:ascii="·ÂËÎ_GB2312" w:hAnsi="·ÂËÎ_GB2312" w:eastAsia="·ÂËÎ_GB2312" w:cs="·ÂËÎ_GB2312"/>
          <w:sz w:val="18"/>
        </w:rPr>
        <w:t>严孟宇等发行人当时</w:t>
      </w:r>
      <w:r>
        <w:rPr>
          <w:rFonts w:hint="eastAsia" w:ascii="Times New Roman" w:hAnsi="Times New Roman" w:eastAsia="Times New Roman" w:cs="Times New Roman"/>
          <w:sz w:val="18"/>
        </w:rPr>
        <w:t xml:space="preserve"> 21</w:t>
      </w:r>
      <w:r>
        <w:rPr>
          <w:rFonts w:hint="eastAsia" w:ascii="·ÂËÎ_GB2312" w:hAnsi="·ÂËÎ_GB2312" w:eastAsia="·ÂËÎ_GB2312" w:cs="·ÂËÎ_GB2312"/>
          <w:sz w:val="18"/>
        </w:rPr>
        <w:t xml:space="preserve"> 名全体股东</w:t>
      </w:r>
      <w:r>
        <w:rPr>
          <w:rFonts w:hint="eastAsia" w:ascii="·ÂËÎ_GB2312" w:hAnsi="·ÂËÎ_GB2312" w:eastAsia="·ÂËÎ_GB2312" w:cs="·ÂËÎ_GB2312"/>
          <w:sz w:val="10"/>
        </w:rPr>
        <w:t>，</w:t>
      </w:r>
      <w:r>
        <w:rPr>
          <w:rFonts w:hint="eastAsia" w:ascii="·ÂËÎ_GB2312" w:hAnsi="·ÂËÎ_GB2312" w:eastAsia="·ÂËÎ_GB2312" w:cs="·ÂËÎ_GB2312"/>
          <w:sz w:val="18"/>
        </w:rPr>
        <w:t>或严孟宇等</w:t>
      </w:r>
      <w:r>
        <w:rPr>
          <w:rFonts w:hint="eastAsia" w:ascii="Times New Roman" w:hAnsi="Times New Roman" w:eastAsia="Times New Roman" w:cs="Times New Roman"/>
          <w:sz w:val="18"/>
        </w:rPr>
        <w:t xml:space="preserve"> 21</w:t>
      </w:r>
      <w:r>
        <w:rPr>
          <w:rFonts w:hint="eastAsia" w:ascii="·ÂËÎ_GB2312" w:hAnsi="·ÂËÎ_GB2312" w:eastAsia="·ÂËÎ_GB2312" w:cs="·ÂËÎ_GB2312"/>
          <w:sz w:val="18"/>
        </w:rPr>
        <w:t xml:space="preserve"> 名全体股东指：顶点软件</w:t>
      </w:r>
      <w:r>
        <w:rPr>
          <w:rFonts w:hint="eastAsia" w:ascii="·ÂËÎ_GB2312" w:hAnsi="·ÂËÎ_GB2312" w:eastAsia="·ÂËÎ_GB2312" w:cs="·ÂËÎ_GB2312"/>
          <w:sz w:val="10"/>
        </w:rPr>
        <w:t>“</w:t>
      </w:r>
      <w:r>
        <w:rPr>
          <w:rFonts w:hint="eastAsia" w:ascii="Times New Roman" w:hAnsi="Times New Roman" w:eastAsia="Times New Roman" w:cs="Times New Roman"/>
          <w:sz w:val="18"/>
        </w:rPr>
        <w:t>2006</w:t>
      </w:r>
      <w:r>
        <w:rPr>
          <w:rFonts w:hint="eastAsia" w:ascii="·ÂËÎ_GB2312" w:hAnsi="·ÂËÎ_GB2312" w:eastAsia="·ÂËÎ_GB2312" w:cs="·ÂËÎ_GB2312"/>
          <w:sz w:val="18"/>
        </w:rPr>
        <w:t xml:space="preserve"> 年股权转让</w:t>
      </w:r>
      <w:r>
        <w:rPr>
          <w:rFonts w:hint="eastAsia" w:ascii="·ÂËÎ_GB2312" w:hAnsi="·ÂËÎ_GB2312" w:eastAsia="·ÂËÎ_GB2312" w:cs="·ÂËÎ_GB2312"/>
          <w:sz w:val="10"/>
        </w:rPr>
        <w:t>”</w:t>
      </w:r>
      <w:r>
        <w:rPr>
          <w:rFonts w:hint="eastAsia" w:ascii="·ÂËÎ_GB2312" w:hAnsi="·ÂËÎ_GB2312" w:eastAsia="·ÂËÎ_GB2312" w:cs="·ÂËÎ_GB2312"/>
          <w:sz w:val="18"/>
        </w:rPr>
        <w:t>后的</w:t>
      </w:r>
    </w:p>
    <w:p>
      <w:pPr>
        <w:autoSpaceDE w:val="false"/>
        <w:autoSpaceDN w:val="false"/>
        <w:spacing w:line="240" w:lineRule="exact"/>
        <w:ind w:left="1800" w:right="1720"/>
        <w:jc w:val="both"/>
      </w:pPr>
      <w:r>
        <w:rPr>
          <w:rFonts w:hint="eastAsia" w:ascii="Times New Roman" w:hAnsi="Times New Roman" w:eastAsia="Times New Roman" w:cs="Times New Roman"/>
          <w:sz w:val="18"/>
        </w:rPr>
        <w:t>21</w:t>
      </w:r>
      <w:r>
        <w:rPr>
          <w:rFonts w:hint="eastAsia" w:ascii="·ÂËÎ_GB2312" w:hAnsi="·ÂËÎ_GB2312" w:eastAsia="·ÂËÎ_GB2312" w:cs="·ÂËÎ_GB2312"/>
          <w:sz w:val="18"/>
        </w:rPr>
        <w:t xml:space="preserve"> 名股东</w:t>
      </w:r>
      <w:r>
        <w:rPr>
          <w:rFonts w:hint="eastAsia" w:ascii="·ÂËÎ_GB2312" w:hAnsi="·ÂËÎ_GB2312" w:eastAsia="·ÂËÎ_GB2312" w:cs="·ÂËÎ_GB2312"/>
          <w:sz w:val="10"/>
        </w:rPr>
        <w:t>，</w:t>
      </w:r>
      <w:r>
        <w:rPr>
          <w:rFonts w:hint="eastAsia" w:ascii="·ÂËÎ_GB2312" w:hAnsi="·ÂËÎ_GB2312" w:eastAsia="·ÂËÎ_GB2312" w:cs="·ÂËÎ_GB2312"/>
          <w:sz w:val="18"/>
        </w:rPr>
        <w:t>即严孟宇</w:t>
      </w:r>
      <w:r>
        <w:rPr>
          <w:rFonts w:hint="eastAsia" w:ascii="·ÂËÎ_GB2312" w:hAnsi="·ÂËÎ_GB2312" w:eastAsia="·ÂËÎ_GB2312" w:cs="·ÂËÎ_GB2312"/>
          <w:sz w:val="10"/>
        </w:rPr>
        <w:t>、</w:t>
      </w:r>
      <w:r>
        <w:rPr>
          <w:rFonts w:hint="eastAsia" w:ascii="·ÂËÎ_GB2312" w:hAnsi="·ÂËÎ_GB2312" w:eastAsia="·ÂËÎ_GB2312" w:cs="·ÂËÎ_GB2312"/>
          <w:sz w:val="18"/>
        </w:rPr>
        <w:t>爱派克</w:t>
      </w:r>
      <w:r>
        <w:rPr>
          <w:rFonts w:hint="eastAsia" w:ascii="·ÂËÎ_GB2312" w:hAnsi="·ÂËÎ_GB2312" w:eastAsia="·ÂËÎ_GB2312" w:cs="·ÂËÎ_GB2312"/>
          <w:sz w:val="10"/>
        </w:rPr>
        <w:t>、</w:t>
      </w:r>
      <w:r>
        <w:rPr>
          <w:rFonts w:hint="eastAsia" w:ascii="·ÂËÎ_GB2312" w:hAnsi="·ÂËÎ_GB2312" w:eastAsia="·ÂËÎ_GB2312" w:cs="·ÂËÎ_GB2312"/>
          <w:sz w:val="18"/>
        </w:rPr>
        <w:t>赵伟</w:t>
      </w:r>
      <w:r>
        <w:rPr>
          <w:rFonts w:hint="eastAsia" w:ascii="·ÂËÎ_GB2312" w:hAnsi="·ÂËÎ_GB2312" w:eastAsia="·ÂËÎ_GB2312" w:cs="·ÂËÎ_GB2312"/>
          <w:sz w:val="10"/>
        </w:rPr>
        <w:t>、</w:t>
      </w:r>
      <w:r>
        <w:rPr>
          <w:rFonts w:hint="eastAsia" w:ascii="·ÂËÎ_GB2312" w:hAnsi="·ÂËÎ_GB2312" w:eastAsia="·ÂËÎ_GB2312" w:cs="·ÂËÎ_GB2312"/>
          <w:sz w:val="18"/>
        </w:rPr>
        <w:t>雷世潘</w:t>
      </w:r>
      <w:r>
        <w:rPr>
          <w:rFonts w:hint="eastAsia" w:ascii="·ÂËÎ_GB2312" w:hAnsi="·ÂËÎ_GB2312" w:eastAsia="·ÂËÎ_GB2312" w:cs="·ÂËÎ_GB2312"/>
          <w:sz w:val="10"/>
        </w:rPr>
        <w:t>、</w:t>
      </w:r>
      <w:r>
        <w:rPr>
          <w:rFonts w:hint="eastAsia" w:ascii="·ÂËÎ_GB2312" w:hAnsi="·ÂËÎ_GB2312" w:eastAsia="·ÂËÎ_GB2312" w:cs="·ÂËÎ_GB2312"/>
          <w:sz w:val="18"/>
        </w:rPr>
        <w:t>赵莹</w:t>
      </w:r>
      <w:r>
        <w:rPr>
          <w:rFonts w:hint="eastAsia" w:ascii="·ÂËÎ_GB2312" w:hAnsi="·ÂËÎ_GB2312" w:eastAsia="·ÂËÎ_GB2312" w:cs="·ÂËÎ_GB2312"/>
          <w:sz w:val="10"/>
        </w:rPr>
        <w:t>、</w:t>
      </w:r>
      <w:r>
        <w:rPr>
          <w:rFonts w:hint="eastAsia" w:ascii="·ÂËÎ_GB2312" w:hAnsi="·ÂËÎ_GB2312" w:eastAsia="·ÂËÎ_GB2312" w:cs="·ÂËÎ_GB2312"/>
          <w:sz w:val="18"/>
        </w:rPr>
        <w:t>余养成</w:t>
      </w:r>
      <w:r>
        <w:rPr>
          <w:rFonts w:hint="eastAsia" w:ascii="·ÂËÎ_GB2312" w:hAnsi="·ÂËÎ_GB2312" w:eastAsia="·ÂËÎ_GB2312" w:cs="·ÂËÎ_GB2312"/>
          <w:sz w:val="10"/>
        </w:rPr>
        <w:t>、</w:t>
      </w:r>
      <w:r>
        <w:rPr>
          <w:rFonts w:hint="eastAsia" w:ascii="·ÂËÎ_GB2312" w:hAnsi="·ÂËÎ_GB2312" w:eastAsia="·ÂËÎ_GB2312" w:cs="·ÂËÎ_GB2312"/>
          <w:sz w:val="18"/>
        </w:rPr>
        <w:t>董南勇</w:t>
      </w:r>
      <w:r>
        <w:rPr>
          <w:rFonts w:hint="eastAsia" w:ascii="·ÂËÎ_GB2312" w:hAnsi="·ÂËÎ_GB2312" w:eastAsia="·ÂËÎ_GB2312" w:cs="·ÂËÎ_GB2312"/>
          <w:sz w:val="10"/>
        </w:rPr>
        <w:t>、</w:t>
      </w:r>
      <w:r>
        <w:rPr>
          <w:rFonts w:hint="eastAsia" w:ascii="·ÂËÎ_GB2312" w:hAnsi="·ÂËÎ_GB2312" w:eastAsia="·ÂËÎ_GB2312" w:cs="·ÂËÎ_GB2312"/>
          <w:sz w:val="18"/>
        </w:rPr>
        <w:t>戴小戈</w:t>
      </w:r>
      <w:r>
        <w:rPr>
          <w:rFonts w:hint="eastAsia" w:ascii="·ÂËÎ_GB2312" w:hAnsi="·ÂËÎ_GB2312" w:eastAsia="·ÂËÎ_GB2312" w:cs="·ÂËÎ_GB2312"/>
          <w:sz w:val="10"/>
        </w:rPr>
        <w:t>、</w:t>
      </w:r>
      <w:r>
        <w:rPr>
          <w:rFonts w:hint="eastAsia" w:ascii="·ÂËÎ_GB2312" w:hAnsi="·ÂËÎ_GB2312" w:eastAsia="·ÂËÎ_GB2312" w:cs="·ÂËÎ_GB2312"/>
          <w:sz w:val="18"/>
        </w:rPr>
        <w:t>欧永</w:t>
      </w:r>
      <w:r>
        <w:rPr>
          <w:rFonts w:hint="eastAsia" w:ascii="·ÂËÎ_GB2312" w:hAnsi="·ÂËÎ_GB2312" w:eastAsia="·ÂËÎ_GB2312" w:cs="·ÂËÎ_GB2312"/>
          <w:sz w:val="10"/>
        </w:rPr>
        <w:t>、</w:t>
      </w:r>
      <w:r>
        <w:rPr>
          <w:rFonts w:hint="eastAsia" w:ascii="·ÂËÎ_GB2312" w:hAnsi="·ÂËÎ_GB2312" w:eastAsia="·ÂËÎ_GB2312" w:cs="·ÂËÎ_GB2312"/>
          <w:sz w:val="18"/>
        </w:rPr>
        <w:t>张玉</w:t>
      </w:r>
      <w:r>
        <w:rPr>
          <w:rFonts w:hint="eastAsia" w:ascii="·ÂËÎ_GB2312" w:hAnsi="·ÂËÎ_GB2312" w:eastAsia="·ÂËÎ_GB2312" w:cs="·ÂËÎ_GB2312"/>
          <w:sz w:val="10"/>
        </w:rPr>
        <w:t>、</w:t>
      </w:r>
      <w:r>
        <w:rPr>
          <w:rFonts w:hint="eastAsia" w:ascii="·ÂËÎ_GB2312" w:hAnsi="·ÂËÎ_GB2312" w:eastAsia="·ÂËÎ_GB2312" w:cs="·ÂËÎ_GB2312"/>
          <w:sz w:val="18"/>
        </w:rPr>
        <w:t>刘法先</w:t>
      </w:r>
      <w:r>
        <w:rPr>
          <w:rFonts w:hint="eastAsia" w:ascii="·ÂËÎ_GB2312" w:hAnsi="·ÂËÎ_GB2312" w:eastAsia="·ÂËÎ_GB2312" w:cs="·ÂËÎ_GB2312"/>
          <w:sz w:val="10"/>
        </w:rPr>
        <w:t>、</w:t>
      </w:r>
      <w:r>
        <w:rPr>
          <w:rFonts w:hint="eastAsia" w:ascii="·ÂËÎ_GB2312" w:hAnsi="·ÂËÎ_GB2312" w:eastAsia="·ÂËÎ_GB2312" w:cs="·ÂËÎ_GB2312"/>
          <w:sz w:val="18"/>
        </w:rPr>
        <w:t>林秀红</w:t>
      </w:r>
      <w:r>
        <w:rPr>
          <w:rFonts w:hint="eastAsia" w:ascii="·ÂËÎ_GB2312" w:hAnsi="·ÂËÎ_GB2312" w:eastAsia="·ÂËÎ_GB2312" w:cs="·ÂËÎ_GB2312"/>
          <w:sz w:val="10"/>
        </w:rPr>
        <w:t>、</w:t>
      </w:r>
      <w:r>
        <w:rPr>
          <w:rFonts w:hint="eastAsia" w:ascii="·ÂËÎ_GB2312" w:hAnsi="·ÂËÎ_GB2312" w:eastAsia="·ÂËÎ_GB2312" w:cs="·ÂËÎ_GB2312"/>
          <w:sz w:val="18"/>
        </w:rPr>
        <w:t>徐传秋</w:t>
      </w:r>
      <w:r>
        <w:rPr>
          <w:rFonts w:hint="eastAsia" w:ascii="·ÂËÎ_GB2312" w:hAnsi="·ÂËÎ_GB2312" w:eastAsia="·ÂËÎ_GB2312" w:cs="·ÂËÎ_GB2312"/>
          <w:sz w:val="10"/>
        </w:rPr>
        <w:t>、</w:t>
      </w:r>
      <w:r>
        <w:rPr>
          <w:rFonts w:hint="eastAsia" w:ascii="·ÂËÎ_GB2312" w:hAnsi="·ÂËÎ_GB2312" w:eastAsia="·ÂËÎ_GB2312" w:cs="·ÂËÎ_GB2312"/>
          <w:sz w:val="18"/>
        </w:rPr>
        <w:t>邓志强</w:t>
      </w:r>
      <w:r>
        <w:rPr>
          <w:rFonts w:hint="eastAsia" w:ascii="·ÂËÎ_GB2312" w:hAnsi="·ÂËÎ_GB2312" w:eastAsia="·ÂËÎ_GB2312" w:cs="·ÂËÎ_GB2312"/>
          <w:sz w:val="10"/>
        </w:rPr>
        <w:t>、</w:t>
      </w:r>
      <w:r>
        <w:rPr>
          <w:rFonts w:hint="eastAsia" w:ascii="·ÂËÎ_GB2312" w:hAnsi="·ÂËÎ_GB2312" w:eastAsia="·ÂËÎ_GB2312" w:cs="·ÂËÎ_GB2312"/>
          <w:sz w:val="18"/>
        </w:rPr>
        <w:t>王敏航</w:t>
      </w:r>
      <w:r>
        <w:rPr>
          <w:rFonts w:hint="eastAsia" w:ascii="·ÂËÎ_GB2312" w:hAnsi="·ÂËÎ_GB2312" w:eastAsia="·ÂËÎ_GB2312" w:cs="·ÂËÎ_GB2312"/>
          <w:sz w:val="10"/>
        </w:rPr>
        <w:t>、</w:t>
      </w:r>
      <w:r>
        <w:rPr>
          <w:rFonts w:hint="eastAsia" w:ascii="·ÂËÎ_GB2312" w:hAnsi="·ÂËÎ_GB2312" w:eastAsia="·ÂËÎ_GB2312" w:cs="·ÂËÎ_GB2312"/>
          <w:sz w:val="18"/>
        </w:rPr>
        <w:t>郑元通</w:t>
      </w:r>
      <w:r>
        <w:rPr>
          <w:rFonts w:hint="eastAsia" w:ascii="·ÂËÎ_GB2312" w:hAnsi="·ÂËÎ_GB2312" w:eastAsia="·ÂËÎ_GB2312" w:cs="·ÂËÎ_GB2312"/>
          <w:sz w:val="10"/>
        </w:rPr>
        <w:t>、</w:t>
      </w:r>
      <w:r>
        <w:rPr>
          <w:rFonts w:hint="eastAsia" w:ascii="·ÂËÎ_GB2312" w:hAnsi="·ÂËÎ_GB2312" w:eastAsia="·ÂËÎ_GB2312" w:cs="·ÂËÎ_GB2312"/>
          <w:sz w:val="18"/>
        </w:rPr>
        <w:t>张雄金</w:t>
      </w:r>
      <w:r>
        <w:rPr>
          <w:rFonts w:hint="eastAsia" w:ascii="·ÂËÎ_GB2312" w:hAnsi="·ÂËÎ_GB2312" w:eastAsia="·ÂËÎ_GB2312" w:cs="·ÂËÎ_GB2312"/>
          <w:sz w:val="10"/>
        </w:rPr>
        <w:t>、</w:t>
      </w:r>
      <w:r>
        <w:rPr>
          <w:rFonts w:hint="eastAsia" w:ascii="·ÂËÎ_GB2312" w:hAnsi="·ÂËÎ_GB2312" w:eastAsia="·ÂËÎ_GB2312" w:cs="·ÂËÎ_GB2312"/>
          <w:sz w:val="18"/>
        </w:rPr>
        <w:t>鄢继华</w:t>
      </w:r>
      <w:r>
        <w:rPr>
          <w:rFonts w:hint="eastAsia" w:ascii="·ÂËÎ_GB2312" w:hAnsi="·ÂËÎ_GB2312" w:eastAsia="·ÂËÎ_GB2312" w:cs="·ÂËÎ_GB2312"/>
          <w:sz w:val="10"/>
        </w:rPr>
        <w:t>、</w:t>
      </w:r>
      <w:r>
        <w:rPr>
          <w:rFonts w:hint="eastAsia" w:ascii="·ÂËÎ_GB2312" w:hAnsi="·ÂËÎ_GB2312" w:eastAsia="·ÂËÎ_GB2312" w:cs="·ÂËÎ_GB2312"/>
          <w:sz w:val="18"/>
        </w:rPr>
        <w:t>谢淑仁</w:t>
      </w:r>
      <w:r>
        <w:rPr>
          <w:rFonts w:hint="eastAsia" w:ascii="·ÂËÎ_GB2312" w:hAnsi="·ÂËÎ_GB2312" w:eastAsia="·ÂËÎ_GB2312" w:cs="·ÂËÎ_GB2312"/>
          <w:sz w:val="10"/>
        </w:rPr>
        <w:t>、</w:t>
      </w:r>
      <w:r>
        <w:rPr>
          <w:rFonts w:hint="eastAsia" w:ascii="·ÂËÎ_GB2312" w:hAnsi="·ÂËÎ_GB2312" w:eastAsia="·ÂËÎ_GB2312" w:cs="·ÂËÎ_GB2312"/>
          <w:sz w:val="18"/>
        </w:rPr>
        <w:t>陈瑞德</w:t>
      </w:r>
      <w:r>
        <w:rPr>
          <w:rFonts w:hint="eastAsia" w:ascii="·ÂËÎ_GB2312" w:hAnsi="·ÂËÎ_GB2312" w:eastAsia="·ÂËÎ_GB2312" w:cs="·ÂËÎ_GB2312"/>
          <w:sz w:val="10"/>
        </w:rPr>
        <w:t>、</w:t>
      </w:r>
      <w:r>
        <w:rPr>
          <w:rFonts w:hint="eastAsia" w:ascii="·ÂËÎ_GB2312" w:hAnsi="·ÂËÎ_GB2312" w:eastAsia="·ÂËÎ_GB2312" w:cs="·ÂËÎ_GB2312"/>
          <w:sz w:val="18"/>
        </w:rPr>
        <w:t>陈建国</w:t>
      </w:r>
      <w:r>
        <w:rPr>
          <w:rFonts w:hint="eastAsia" w:ascii="·ÂËÎ_GB2312" w:hAnsi="·ÂËÎ_GB2312" w:eastAsia="·ÂËÎ_GB2312" w:cs="·ÂËÎ_GB2312"/>
          <w:sz w:val="10"/>
        </w:rPr>
        <w:t>。</w:t>
      </w:r>
    </w:p>
    <w:p>
      <w:pPr>
        <w:spacing w:line="200" w:lineRule="exact"/>
        <w:rPr>
          <w:rFonts w:hint="eastAsia" w:ascii="宋体" w:hAnsi="宋体" w:eastAsia="宋体" w:cs="宋体"/>
          <w:sz w:val="20"/>
        </w:rPr>
      </w:pPr>
    </w:p>
    <w:p>
      <w:pPr>
        <w:autoSpaceDE w:val="false"/>
        <w:autoSpaceDN w:val="false"/>
        <w:spacing w:line="280" w:lineRule="exact"/>
        <w:ind w:left="5660"/>
        <w:jc w:val="both"/>
      </w:pPr>
      <w:r>
        <w:rPr>
          <w:rFonts w:hint="eastAsia" w:ascii="Times New Roman" w:hAnsi="Times New Roman" w:eastAsia="Times New Roman" w:cs="Times New Roman"/>
          <w:sz w:val="21"/>
        </w:rPr>
        <w:t>1-1-54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15</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经顶点有限股东会决议</w:t>
      </w:r>
      <w:r>
        <w:rPr>
          <w:rFonts w:hint="eastAsia" w:ascii="宋体" w:hAnsi="宋体" w:eastAsia="宋体" w:cs="宋体"/>
          <w:sz w:val="10"/>
        </w:rPr>
        <w:t>，</w:t>
      </w:r>
      <w:r>
        <w:rPr>
          <w:rFonts w:hint="eastAsia" w:ascii="宋体" w:hAnsi="宋体" w:eastAsia="宋体" w:cs="宋体"/>
          <w:sz w:val="24"/>
        </w:rPr>
        <w:t>由顶点有限全体股东作为发起人</w:t>
      </w:r>
      <w:r>
        <w:rPr>
          <w:rFonts w:hint="eastAsia" w:ascii="宋体" w:hAnsi="宋体" w:eastAsia="宋体" w:cs="宋体"/>
          <w:sz w:val="10"/>
        </w:rPr>
        <w:t>，</w:t>
      </w:r>
      <w:r>
        <w:rPr>
          <w:rFonts w:hint="eastAsia" w:ascii="宋体" w:hAnsi="宋体" w:eastAsia="宋体" w:cs="宋体"/>
          <w:sz w:val="24"/>
        </w:rPr>
        <w:t>以深圳华鹏会计师事务所《审计报告》（华鹏股改字</w:t>
      </w:r>
      <w:r>
        <w:rPr>
          <w:rFonts w:hint="eastAsia" w:ascii="Times New Roman" w:hAnsi="Times New Roman" w:eastAsia="Times New Roman" w:cs="Times New Roman"/>
          <w:sz w:val="24"/>
        </w:rPr>
        <w:t>[2000]</w:t>
      </w:r>
      <w:r>
        <w:rPr>
          <w:rFonts w:hint="eastAsia" w:ascii="宋体" w:hAnsi="宋体" w:eastAsia="宋体" w:cs="宋体"/>
          <w:sz w:val="24"/>
        </w:rPr>
        <w:t>第</w:t>
      </w:r>
      <w:r>
        <w:rPr>
          <w:rFonts w:hint="eastAsia" w:ascii="Times New Roman" w:hAnsi="Times New Roman" w:eastAsia="Times New Roman" w:cs="Times New Roman"/>
          <w:sz w:val="24"/>
        </w:rPr>
        <w:t xml:space="preserve"> 010</w:t>
      </w: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 xml:space="preserve"> 号）确认的顶点有限截至</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日（审计基准日）的净资产</w:t>
      </w:r>
      <w:r>
        <w:rPr>
          <w:rFonts w:hint="eastAsia" w:ascii="Times New Roman" w:hAnsi="Times New Roman" w:eastAsia="Times New Roman" w:cs="Times New Roman"/>
          <w:sz w:val="24"/>
        </w:rPr>
        <w:t xml:space="preserve"> 2,571.7254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折为股本</w:t>
      </w:r>
      <w:r>
        <w:rPr>
          <w:rFonts w:hint="eastAsia" w:ascii="Times New Roman" w:hAnsi="Times New Roman" w:eastAsia="Times New Roman" w:cs="Times New Roman"/>
          <w:sz w:val="24"/>
        </w:rPr>
        <w:t xml:space="preserve"> 2,500.00</w:t>
      </w:r>
      <w:r>
        <w:rPr>
          <w:rFonts w:hint="eastAsia" w:ascii="宋体" w:hAnsi="宋体" w:eastAsia="宋体" w:cs="宋体"/>
          <w:sz w:val="24"/>
        </w:rPr>
        <w:t xml:space="preserve"> 万股（各股东所持有的股权比例不变</w:t>
      </w:r>
      <w:r>
        <w:rPr>
          <w:rFonts w:hint="eastAsia" w:ascii="宋体" w:hAnsi="宋体" w:eastAsia="宋体" w:cs="宋体"/>
          <w:sz w:val="10"/>
        </w:rPr>
        <w:t>，</w:t>
      </w:r>
      <w:r>
        <w:rPr>
          <w:rFonts w:hint="eastAsia" w:ascii="宋体" w:hAnsi="宋体" w:eastAsia="宋体" w:cs="宋体"/>
          <w:sz w:val="24"/>
        </w:rPr>
        <w:t>其余</w:t>
      </w:r>
      <w:r>
        <w:rPr>
          <w:rFonts w:hint="eastAsia" w:ascii="Times New Roman" w:hAnsi="Times New Roman" w:eastAsia="Times New Roman" w:cs="Times New Roman"/>
          <w:sz w:val="24"/>
        </w:rPr>
        <w:t xml:space="preserve"> 71.7254</w:t>
      </w:r>
      <w:r>
        <w:rPr>
          <w:rFonts w:hint="eastAsia" w:ascii="宋体" w:hAnsi="宋体" w:eastAsia="宋体" w:cs="宋体"/>
          <w:sz w:val="24"/>
        </w:rPr>
        <w:t xml:space="preserve"> 万元转入公司资本公积），</w:t>
      </w:r>
      <w:r>
        <w:rPr>
          <w:rFonts w:hint="eastAsia" w:ascii="宋体" w:hAnsi="宋体" w:eastAsia="宋体" w:cs="宋体"/>
          <w:sz w:val="24"/>
        </w:rPr>
        <w:t>整体变更设立福建顶点软件股份有限公司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27</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福建省人民政府出具《关于同意福州顶点计算机软件有限公司变更为福建顶点软件股份有限公司的批复》（闽政体股</w:t>
      </w:r>
      <w:r>
        <w:rPr>
          <w:rFonts w:hint="eastAsia" w:ascii="Times New Roman" w:hAnsi="Times New Roman" w:eastAsia="Times New Roman" w:cs="Times New Roman"/>
          <w:sz w:val="24"/>
        </w:rPr>
        <w:t>[2000]25</w:t>
      </w:r>
      <w:r>
        <w:rPr>
          <w:rFonts w:hint="eastAsia" w:ascii="宋体" w:hAnsi="宋体" w:eastAsia="宋体" w:cs="宋体"/>
          <w:sz w:val="24"/>
        </w:rPr>
        <w:t xml:space="preserve"> 号），</w:t>
      </w:r>
      <w:r>
        <w:rPr>
          <w:rFonts w:hint="eastAsia" w:ascii="宋体" w:hAnsi="宋体" w:eastAsia="宋体" w:cs="宋体"/>
          <w:sz w:val="24"/>
        </w:rPr>
        <w:t>同意顶点有限整体变更为股份有限公司</w:t>
      </w:r>
      <w:r>
        <w:rPr>
          <w:rFonts w:hint="eastAsia" w:ascii="宋体" w:hAnsi="宋体" w:eastAsia="宋体" w:cs="宋体"/>
          <w:sz w:val="10"/>
        </w:rPr>
        <w:t>。</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深圳华鹏会计师事务所出具了华鹏股改字</w:t>
      </w:r>
      <w:r>
        <w:rPr>
          <w:rFonts w:hint="eastAsia" w:ascii="Times New Roman" w:hAnsi="Times New Roman" w:eastAsia="Times New Roman" w:cs="Times New Roman"/>
          <w:sz w:val="24"/>
        </w:rPr>
        <w:t>[2000]010</w:t>
      </w: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 xml:space="preserve"> 号《验资报告》。</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公司领取了由福建省工商行政管理局颁发的《企业法人营业执照》。</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股份公司设立时的股权结构如下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180"/>
        <w:gridCol w:w="2600"/>
        <w:gridCol w:w="2560"/>
      </w:tblGrid>
      <w:tr>
        <w:trPr>
          <w:trHeight w:val="480" w:hRule="exact"/>
        </w:trPr>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序号</w:t>
            </w:r>
          </w:p>
        </w:tc>
        <w:tc>
          <w:tcPr>
            <w:tcW w:w="2180" w:type="dxa"/>
            <w:tcMar>
              <w:top w:w="0" w:type="dxa"/>
              <w:left w:w="0" w:type="dxa"/>
              <w:bottom w:w="0" w:type="dxa"/>
              <w:right w:w="0" w:type="dxa"/>
            </w:tcMar>
          </w:tcPr>
          <w:p>
            <w:pPr>
              <w:spacing w:before="120"/>
              <w:ind w:left="660"/>
            </w:pPr>
            <w:r>
              <w:rPr>
                <w:rFonts w:hint="eastAsia" w:ascii="宋体" w:hAnsi="宋体" w:eastAsia="宋体" w:cs="宋体"/>
                <w:b/>
                <w:sz w:val="21"/>
              </w:rPr>
              <w:t>股东姓名</w:t>
            </w:r>
          </w:p>
        </w:tc>
        <w:tc>
          <w:tcPr>
            <w:tcW w:w="2600" w:type="dxa"/>
            <w:tcMar>
              <w:top w:w="0" w:type="dxa"/>
              <w:left w:w="0" w:type="dxa"/>
              <w:bottom w:w="0" w:type="dxa"/>
              <w:right w:w="0" w:type="dxa"/>
            </w:tcMar>
          </w:tcPr>
          <w:p>
            <w:pPr>
              <w:spacing w:before="120"/>
              <w:ind w:left="440"/>
            </w:pPr>
            <w:r>
              <w:rPr>
                <w:rFonts w:hint="eastAsia" w:ascii="宋体" w:hAnsi="宋体" w:eastAsia="宋体" w:cs="宋体"/>
                <w:b/>
                <w:sz w:val="21"/>
              </w:rPr>
              <w:t>股份数量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560" w:type="dxa"/>
            <w:tcMar>
              <w:top w:w="0" w:type="dxa"/>
              <w:left w:w="0" w:type="dxa"/>
              <w:bottom w:w="0" w:type="dxa"/>
              <w:right w:w="0" w:type="dxa"/>
            </w:tcMar>
          </w:tcPr>
          <w:p>
            <w:pPr>
              <w:spacing w:before="120"/>
              <w:ind w:left="840"/>
            </w:pPr>
            <w:r>
              <w:rPr>
                <w:rFonts w:hint="eastAsia" w:ascii="宋体" w:hAnsi="宋体" w:eastAsia="宋体" w:cs="宋体"/>
                <w:b/>
                <w:sz w:val="21"/>
              </w:rPr>
              <w:t>股权比例</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1</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严孟宇</w:t>
            </w:r>
          </w:p>
        </w:tc>
        <w:tc>
          <w:tcPr>
            <w:tcW w:w="260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933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60"/>
              <w:ind w:left="180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2</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董南勇</w:t>
            </w:r>
          </w:p>
        </w:tc>
        <w:tc>
          <w:tcPr>
            <w:tcW w:w="260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367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60" w:type="dxa"/>
            <w:tcMar>
              <w:top w:w="0" w:type="dxa"/>
              <w:left w:w="0" w:type="dxa"/>
              <w:bottom w:w="0" w:type="dxa"/>
              <w:right w:w="0" w:type="dxa"/>
            </w:tcMar>
          </w:tcPr>
          <w:p>
            <w:pPr>
              <w:spacing w:before="180"/>
              <w:ind w:left="180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3</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赵伟</w:t>
            </w:r>
          </w:p>
        </w:tc>
        <w:tc>
          <w:tcPr>
            <w:tcW w:w="260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302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60" w:type="dxa"/>
            <w:tcMar>
              <w:top w:w="0" w:type="dxa"/>
              <w:left w:w="0" w:type="dxa"/>
              <w:bottom w:w="0" w:type="dxa"/>
              <w:right w:w="0" w:type="dxa"/>
            </w:tcMar>
          </w:tcPr>
          <w:p>
            <w:pPr>
              <w:spacing w:before="140"/>
              <w:ind w:left="180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4</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雷世潘</w:t>
            </w:r>
          </w:p>
        </w:tc>
        <w:tc>
          <w:tcPr>
            <w:tcW w:w="260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5</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赵莹</w:t>
            </w:r>
          </w:p>
        </w:tc>
        <w:tc>
          <w:tcPr>
            <w:tcW w:w="260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6</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余养成</w:t>
            </w:r>
          </w:p>
        </w:tc>
        <w:tc>
          <w:tcPr>
            <w:tcW w:w="260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114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7</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陈建</w:t>
            </w:r>
          </w:p>
        </w:tc>
        <w:tc>
          <w:tcPr>
            <w:tcW w:w="260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101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8</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张玉</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9</w:t>
            </w:r>
          </w:p>
        </w:tc>
        <w:tc>
          <w:tcPr>
            <w:tcW w:w="2180" w:type="dxa"/>
            <w:tcMar>
              <w:top w:w="0" w:type="dxa"/>
              <w:left w:w="0" w:type="dxa"/>
              <w:bottom w:w="0" w:type="dxa"/>
              <w:right w:w="0" w:type="dxa"/>
            </w:tcMar>
          </w:tcPr>
          <w:p>
            <w:pPr>
              <w:spacing w:before="100"/>
              <w:ind w:left="860"/>
            </w:pPr>
            <w:r>
              <w:rPr>
                <w:rFonts w:hint="eastAsia" w:ascii="宋体" w:hAnsi="宋体" w:eastAsia="宋体" w:cs="宋体"/>
                <w:sz w:val="21"/>
              </w:rPr>
              <w:t>欧永</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10</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曹永强</w:t>
            </w:r>
          </w:p>
        </w:tc>
        <w:tc>
          <w:tcPr>
            <w:tcW w:w="260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11</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戴小戈</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12</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刘法先</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13</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林秀红</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14</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徐传秋</w:t>
            </w:r>
          </w:p>
        </w:tc>
        <w:tc>
          <w:tcPr>
            <w:tcW w:w="260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15</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邓志强</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16</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王敏航</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1-1-55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180"/>
        <w:gridCol w:w="2600"/>
        <w:gridCol w:w="2560"/>
      </w:tblGrid>
      <w:tr>
        <w:trPr>
          <w:trHeight w:val="480" w:hRule="exact"/>
        </w:trPr>
        <w:tc>
          <w:tcPr>
            <w:tcW w:w="118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17</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郑元通</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18</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张雄金</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19</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鄢继华</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20</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谢淑仁</w:t>
            </w:r>
          </w:p>
        </w:tc>
        <w:tc>
          <w:tcPr>
            <w:tcW w:w="260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21</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杜建强</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22</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陈瑞德</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23</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陈建国</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3360" w:type="dxa"/>
            <w:gridSpan w:val="2"/>
            <w:tcMar>
              <w:top w:w="0" w:type="dxa"/>
              <w:left w:w="0" w:type="dxa"/>
              <w:bottom w:w="0" w:type="dxa"/>
              <w:right w:w="0" w:type="dxa"/>
            </w:tcMar>
          </w:tcPr>
          <w:p>
            <w:pPr>
              <w:spacing w:before="120"/>
              <w:ind w:left="1460"/>
            </w:pPr>
            <w:r>
              <w:rPr>
                <w:rFonts w:hint="eastAsia" w:ascii="宋体" w:hAnsi="宋体" w:eastAsia="宋体" w:cs="宋体"/>
                <w:b/>
                <w:sz w:val="21"/>
              </w:rPr>
              <w:t>合计</w:t>
            </w:r>
          </w:p>
        </w:tc>
        <w:tc>
          <w:tcPr>
            <w:tcW w:w="2600" w:type="dxa"/>
            <w:tcMar>
              <w:top w:w="0" w:type="dxa"/>
              <w:left w:w="0" w:type="dxa"/>
              <w:bottom w:w="0" w:type="dxa"/>
              <w:right w:w="0" w:type="dxa"/>
            </w:tcMar>
          </w:tcPr>
          <w:p>
            <w:pPr>
              <w:spacing w:before="180"/>
              <w:ind w:left="1740"/>
            </w:pP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560" w:type="dxa"/>
            <w:tcMar>
              <w:top w:w="0" w:type="dxa"/>
              <w:left w:w="0" w:type="dxa"/>
              <w:bottom w:w="0" w:type="dxa"/>
              <w:right w:w="0" w:type="dxa"/>
            </w:tcMar>
          </w:tcPr>
          <w:p>
            <w:pPr>
              <w:spacing w:before="180"/>
              <w:ind w:left="16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Bold" w:hAnsi="Times New Roman Bold" w:eastAsia="Times New Roman Bold" w:cs="Times New Roman Bold"/>
          <w:b/>
          <w:sz w:val="24"/>
        </w:rPr>
        <w:t>7</w:t>
      </w:r>
      <w:r>
        <w:rPr>
          <w:rFonts w:hint="eastAsia" w:ascii="宋体" w:hAnsi="宋体" w:eastAsia="宋体" w:cs="宋体"/>
          <w:b/>
          <w:sz w:val="10"/>
        </w:rPr>
        <w:t>、</w:t>
      </w:r>
      <w:r>
        <w:rPr>
          <w:rFonts w:hint="eastAsia" w:ascii="Times New Roman Bold" w:hAnsi="Times New Roman Bold" w:eastAsia="Times New Roman Bold" w:cs="Times New Roman Bold"/>
          <w:b/>
          <w:sz w:val="24"/>
        </w:rPr>
        <w:t>2004</w:t>
      </w:r>
      <w:r>
        <w:rPr>
          <w:rFonts w:hint="eastAsia" w:ascii="宋体" w:hAnsi="宋体" w:eastAsia="宋体" w:cs="宋体"/>
          <w:b/>
          <w:sz w:val="24"/>
        </w:rPr>
        <w:t xml:space="preserve"> 年股权转让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2004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15</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经公司股东大会审议通过</w:t>
      </w:r>
      <w:r>
        <w:rPr>
          <w:rFonts w:hint="eastAsia" w:ascii="宋体" w:hAnsi="宋体" w:eastAsia="宋体" w:cs="宋体"/>
          <w:sz w:val="10"/>
        </w:rPr>
        <w:t>，</w:t>
      </w:r>
      <w:r>
        <w:rPr>
          <w:rFonts w:hint="eastAsia" w:ascii="宋体" w:hAnsi="宋体" w:eastAsia="宋体" w:cs="宋体"/>
          <w:sz w:val="24"/>
        </w:rPr>
        <w:t>股东董南勇</w:t>
      </w:r>
      <w:r>
        <w:rPr>
          <w:rFonts w:hint="eastAsia" w:ascii="宋体" w:hAnsi="宋体" w:eastAsia="宋体" w:cs="宋体"/>
          <w:sz w:val="10"/>
        </w:rPr>
        <w:t>、</w:t>
      </w:r>
      <w:r>
        <w:rPr>
          <w:rFonts w:hint="eastAsia" w:ascii="宋体" w:hAnsi="宋体" w:eastAsia="宋体" w:cs="宋体"/>
          <w:sz w:val="24"/>
        </w:rPr>
        <w:t>陈建</w:t>
      </w:r>
      <w:r>
        <w:rPr>
          <w:rFonts w:hint="eastAsia" w:ascii="宋体" w:hAnsi="宋体" w:eastAsia="宋体" w:cs="宋体"/>
          <w:sz w:val="10"/>
        </w:rPr>
        <w:t>、</w:t>
      </w:r>
      <w:r>
        <w:rPr>
          <w:rFonts w:hint="eastAsia" w:ascii="宋体" w:hAnsi="宋体" w:eastAsia="宋体" w:cs="宋体"/>
          <w:sz w:val="24"/>
        </w:rPr>
        <w:t>赵莹</w:t>
      </w:r>
      <w:r>
        <w:rPr>
          <w:rFonts w:hint="eastAsia" w:ascii="宋体" w:hAnsi="宋体" w:eastAsia="宋体" w:cs="宋体"/>
          <w:sz w:val="10"/>
        </w:rPr>
        <w:t>、</w:t>
      </w:r>
      <w:r>
        <w:rPr>
          <w:rFonts w:hint="eastAsia" w:ascii="宋体" w:hAnsi="宋体" w:eastAsia="宋体" w:cs="宋体"/>
          <w:sz w:val="24"/>
        </w:rPr>
        <w:t>杜建强分别向爱派克转让</w:t>
      </w:r>
      <w:r>
        <w:rPr>
          <w:rFonts w:hint="eastAsia" w:ascii="Times New Roman" w:hAnsi="Times New Roman" w:eastAsia="Times New Roman" w:cs="Times New Roman"/>
          <w:sz w:val="24"/>
        </w:rPr>
        <w:t xml:space="preserve"> 297.75</w:t>
      </w:r>
      <w:r>
        <w:rPr>
          <w:rFonts w:hint="eastAsia" w:ascii="宋体" w:hAnsi="宋体" w:eastAsia="宋体" w:cs="宋体"/>
          <w:sz w:val="24"/>
        </w:rPr>
        <w:t xml:space="preserve"> 万股</w:t>
      </w:r>
      <w:r>
        <w:rPr>
          <w:rFonts w:hint="eastAsia" w:ascii="宋体" w:hAnsi="宋体" w:eastAsia="宋体" w:cs="宋体"/>
          <w:sz w:val="10"/>
        </w:rPr>
        <w:t>、</w:t>
      </w:r>
      <w:r>
        <w:rPr>
          <w:rFonts w:hint="eastAsia" w:ascii="Times New Roman" w:hAnsi="Times New Roman" w:eastAsia="Times New Roman" w:cs="Times New Roman"/>
          <w:sz w:val="24"/>
        </w:rPr>
        <w:t>101.50</w:t>
      </w:r>
      <w:r>
        <w:rPr>
          <w:rFonts w:hint="eastAsia" w:ascii="宋体" w:hAnsi="宋体" w:eastAsia="宋体" w:cs="宋体"/>
          <w:sz w:val="24"/>
        </w:rPr>
        <w:t xml:space="preserve"> 万股</w:t>
      </w:r>
      <w:r>
        <w:rPr>
          <w:rFonts w:hint="eastAsia" w:ascii="宋体" w:hAnsi="宋体" w:eastAsia="宋体" w:cs="宋体"/>
          <w:sz w:val="10"/>
        </w:rPr>
        <w:t>、</w:t>
      </w:r>
      <w:r>
        <w:rPr>
          <w:rFonts w:hint="eastAsia" w:ascii="Times New Roman" w:hAnsi="Times New Roman" w:eastAsia="Times New Roman" w:cs="Times New Roman"/>
          <w:sz w:val="24"/>
        </w:rPr>
        <w:t>17.50</w:t>
      </w:r>
      <w:r>
        <w:rPr>
          <w:rFonts w:hint="eastAsia" w:ascii="宋体" w:hAnsi="宋体" w:eastAsia="宋体" w:cs="宋体"/>
          <w:sz w:val="24"/>
        </w:rPr>
        <w:t xml:space="preserve"> 万股和</w:t>
      </w:r>
      <w:r>
        <w:rPr>
          <w:rFonts w:hint="eastAsia" w:ascii="Times New Roman" w:hAnsi="Times New Roman" w:eastAsia="Times New Roman" w:cs="Times New Roman"/>
          <w:sz w:val="24"/>
        </w:rPr>
        <w:t xml:space="preserve"> 2.30</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合计</w:t>
      </w:r>
      <w:r>
        <w:rPr>
          <w:rFonts w:hint="eastAsia" w:ascii="Times New Roman" w:hAnsi="Times New Roman" w:eastAsia="Times New Roman" w:cs="Times New Roman"/>
          <w:sz w:val="24"/>
        </w:rPr>
        <w:t>419.05</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受让方爱派克以现金方式完成了转让款的支付</w:t>
      </w:r>
      <w:r>
        <w:rPr>
          <w:rFonts w:hint="eastAsia" w:ascii="宋体" w:hAnsi="宋体" w:eastAsia="宋体" w:cs="宋体"/>
          <w:sz w:val="10"/>
        </w:rPr>
        <w:t>。</w:t>
      </w:r>
      <w:r>
        <w:rPr>
          <w:rFonts w:hint="eastAsia" w:ascii="宋体" w:hAnsi="宋体" w:eastAsia="宋体" w:cs="宋体"/>
          <w:sz w:val="24"/>
        </w:rPr>
        <w:t>公司于</w:t>
      </w:r>
      <w:r>
        <w:rPr>
          <w:rFonts w:hint="eastAsia" w:ascii="Times New Roman" w:hAnsi="Times New Roman" w:eastAsia="Times New Roman" w:cs="Times New Roman"/>
          <w:sz w:val="24"/>
        </w:rPr>
        <w:t xml:space="preserve"> 2004</w:t>
      </w:r>
      <w:r>
        <w:rPr>
          <w:rFonts w:hint="eastAsia" w:ascii="宋体" w:hAnsi="宋体" w:eastAsia="宋体" w:cs="宋体"/>
          <w:sz w:val="24"/>
        </w:rPr>
        <w:t xml:space="preserve"> 年</w:t>
      </w:r>
      <w:r>
        <w:rPr>
          <w:rFonts w:hint="eastAsia" w:ascii="Times New Roman" w:hAnsi="Times New Roman" w:eastAsia="Times New Roman" w:cs="Times New Roman"/>
          <w:sz w:val="24"/>
        </w:rPr>
        <w:t>7</w:t>
      </w:r>
      <w:r>
        <w:rPr>
          <w:rFonts w:hint="eastAsia" w:ascii="宋体" w:hAnsi="宋体" w:eastAsia="宋体" w:cs="宋体"/>
          <w:sz w:val="24"/>
        </w:rPr>
        <w:t>月</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日在福建省工商行政管理局办理了工商变更登记手续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转让完成后</w:t>
      </w:r>
      <w:r>
        <w:rPr>
          <w:rFonts w:hint="eastAsia" w:ascii="宋体" w:hAnsi="宋体" w:eastAsia="宋体" w:cs="宋体"/>
          <w:sz w:val="10"/>
        </w:rPr>
        <w:t>，</w:t>
      </w:r>
      <w:r>
        <w:rPr>
          <w:rFonts w:hint="eastAsia" w:ascii="宋体" w:hAnsi="宋体" w:eastAsia="宋体" w:cs="宋体"/>
          <w:sz w:val="24"/>
        </w:rPr>
        <w:t>顶点软件的股权结构为</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160"/>
        <w:gridCol w:w="2620"/>
        <w:gridCol w:w="2560"/>
      </w:tblGrid>
      <w:tr>
        <w:trPr>
          <w:trHeight w:val="480" w:hRule="exact"/>
        </w:trPr>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序号</w:t>
            </w:r>
          </w:p>
        </w:tc>
        <w:tc>
          <w:tcPr>
            <w:tcW w:w="2160" w:type="dxa"/>
            <w:tcMar>
              <w:top w:w="0" w:type="dxa"/>
              <w:left w:w="0" w:type="dxa"/>
              <w:bottom w:w="0" w:type="dxa"/>
              <w:right w:w="0" w:type="dxa"/>
            </w:tcMar>
          </w:tcPr>
          <w:p>
            <w:pPr>
              <w:spacing w:before="120"/>
              <w:ind w:left="640"/>
            </w:pPr>
            <w:r>
              <w:rPr>
                <w:rFonts w:hint="eastAsia" w:ascii="宋体" w:hAnsi="宋体" w:eastAsia="宋体" w:cs="宋体"/>
                <w:b/>
                <w:sz w:val="21"/>
              </w:rPr>
              <w:t>股东姓名</w:t>
            </w:r>
          </w:p>
        </w:tc>
        <w:tc>
          <w:tcPr>
            <w:tcW w:w="2620" w:type="dxa"/>
            <w:tcMar>
              <w:top w:w="0" w:type="dxa"/>
              <w:left w:w="0" w:type="dxa"/>
              <w:bottom w:w="0" w:type="dxa"/>
              <w:right w:w="0" w:type="dxa"/>
            </w:tcMar>
          </w:tcPr>
          <w:p>
            <w:pPr>
              <w:spacing w:before="120"/>
              <w:ind w:left="440"/>
            </w:pPr>
            <w:r>
              <w:rPr>
                <w:rFonts w:hint="eastAsia" w:ascii="宋体" w:hAnsi="宋体" w:eastAsia="宋体" w:cs="宋体"/>
                <w:b/>
                <w:sz w:val="21"/>
              </w:rPr>
              <w:t>股份数量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560" w:type="dxa"/>
            <w:tcMar>
              <w:top w:w="0" w:type="dxa"/>
              <w:left w:w="0" w:type="dxa"/>
              <w:bottom w:w="0" w:type="dxa"/>
              <w:right w:w="0" w:type="dxa"/>
            </w:tcMar>
          </w:tcPr>
          <w:p>
            <w:pPr>
              <w:spacing w:before="120"/>
              <w:ind w:left="840"/>
            </w:pPr>
            <w:r>
              <w:rPr>
                <w:rFonts w:hint="eastAsia" w:ascii="宋体" w:hAnsi="宋体" w:eastAsia="宋体" w:cs="宋体"/>
                <w:b/>
                <w:sz w:val="21"/>
              </w:rPr>
              <w:t>股权比例</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1</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严孟宇</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933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40"/>
              <w:ind w:left="180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爱派克</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419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c>
          <w:tcPr>
            <w:tcW w:w="2560" w:type="dxa"/>
            <w:tcMar>
              <w:top w:w="0" w:type="dxa"/>
              <w:left w:w="0" w:type="dxa"/>
              <w:bottom w:w="0" w:type="dxa"/>
              <w:right w:w="0" w:type="dxa"/>
            </w:tcMar>
          </w:tcPr>
          <w:p>
            <w:pPr>
              <w:spacing w:before="160"/>
              <w:ind w:left="18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3</w:t>
            </w:r>
          </w:p>
        </w:tc>
        <w:tc>
          <w:tcPr>
            <w:tcW w:w="2160" w:type="dxa"/>
            <w:tcMar>
              <w:top w:w="0" w:type="dxa"/>
              <w:left w:w="0" w:type="dxa"/>
              <w:bottom w:w="0" w:type="dxa"/>
              <w:right w:w="0" w:type="dxa"/>
            </w:tcMar>
          </w:tcPr>
          <w:p>
            <w:pPr>
              <w:spacing w:before="120"/>
              <w:ind w:left="840"/>
            </w:pPr>
            <w:r>
              <w:rPr>
                <w:rFonts w:hint="eastAsia" w:ascii="宋体" w:hAnsi="宋体" w:eastAsia="宋体" w:cs="宋体"/>
                <w:sz w:val="21"/>
              </w:rPr>
              <w:t>赵伟</w:t>
            </w:r>
          </w:p>
        </w:tc>
        <w:tc>
          <w:tcPr>
            <w:tcW w:w="262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302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60" w:type="dxa"/>
            <w:tcMar>
              <w:top w:w="0" w:type="dxa"/>
              <w:left w:w="0" w:type="dxa"/>
              <w:bottom w:w="0" w:type="dxa"/>
              <w:right w:w="0" w:type="dxa"/>
            </w:tcMar>
          </w:tcPr>
          <w:p>
            <w:pPr>
              <w:spacing w:before="180"/>
              <w:ind w:left="180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4</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雷世潘</w:t>
            </w:r>
          </w:p>
        </w:tc>
        <w:tc>
          <w:tcPr>
            <w:tcW w:w="262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136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5</w:t>
            </w:r>
          </w:p>
        </w:tc>
        <w:tc>
          <w:tcPr>
            <w:tcW w:w="2160" w:type="dxa"/>
            <w:tcMar>
              <w:top w:w="0" w:type="dxa"/>
              <w:left w:w="0" w:type="dxa"/>
              <w:bottom w:w="0" w:type="dxa"/>
              <w:right w:w="0" w:type="dxa"/>
            </w:tcMar>
          </w:tcPr>
          <w:p>
            <w:pPr>
              <w:spacing w:before="120"/>
              <w:ind w:left="840"/>
            </w:pPr>
            <w:r>
              <w:rPr>
                <w:rFonts w:hint="eastAsia" w:ascii="宋体" w:hAnsi="宋体" w:eastAsia="宋体" w:cs="宋体"/>
                <w:sz w:val="21"/>
              </w:rPr>
              <w:t>赵莹</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6</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余养成</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7</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董南勇</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8</w:t>
            </w:r>
          </w:p>
        </w:tc>
        <w:tc>
          <w:tcPr>
            <w:tcW w:w="2160" w:type="dxa"/>
            <w:tcMar>
              <w:top w:w="0" w:type="dxa"/>
              <w:left w:w="0" w:type="dxa"/>
              <w:bottom w:w="0" w:type="dxa"/>
              <w:right w:w="0" w:type="dxa"/>
            </w:tcMar>
          </w:tcPr>
          <w:p>
            <w:pPr>
              <w:spacing w:before="120"/>
              <w:ind w:left="840"/>
            </w:pPr>
            <w:r>
              <w:rPr>
                <w:rFonts w:hint="eastAsia" w:ascii="宋体" w:hAnsi="宋体" w:eastAsia="宋体" w:cs="宋体"/>
                <w:sz w:val="21"/>
              </w:rPr>
              <w:t>张玉</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9</w:t>
            </w:r>
          </w:p>
        </w:tc>
        <w:tc>
          <w:tcPr>
            <w:tcW w:w="2160" w:type="dxa"/>
            <w:tcMar>
              <w:top w:w="0" w:type="dxa"/>
              <w:left w:w="0" w:type="dxa"/>
              <w:bottom w:w="0" w:type="dxa"/>
              <w:right w:w="0" w:type="dxa"/>
            </w:tcMar>
          </w:tcPr>
          <w:p>
            <w:pPr>
              <w:spacing w:before="120"/>
              <w:ind w:left="840"/>
            </w:pPr>
            <w:r>
              <w:rPr>
                <w:rFonts w:hint="eastAsia" w:ascii="宋体" w:hAnsi="宋体" w:eastAsia="宋体" w:cs="宋体"/>
                <w:sz w:val="21"/>
              </w:rPr>
              <w:t>欧永</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10</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曹永强</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11</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戴小戈</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12</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刘法先</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13</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林秀红</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1-1-56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160"/>
        <w:gridCol w:w="2620"/>
        <w:gridCol w:w="2560"/>
      </w:tblGrid>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14</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徐传秋</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15</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邓志强</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16</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王敏航</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17</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郑元通</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18</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张雄金</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19</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鄢继华</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20</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谢淑仁</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21</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杜建强</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22</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陈瑞德</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23</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陈建国</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3340" w:type="dxa"/>
            <w:gridSpan w:val="2"/>
            <w:tcMar>
              <w:top w:w="0" w:type="dxa"/>
              <w:left w:w="0" w:type="dxa"/>
              <w:bottom w:w="0" w:type="dxa"/>
              <w:right w:w="0" w:type="dxa"/>
            </w:tcMar>
          </w:tcPr>
          <w:p>
            <w:pPr>
              <w:spacing w:before="100"/>
              <w:ind w:left="1440"/>
            </w:pPr>
            <w:r>
              <w:rPr>
                <w:rFonts w:hint="eastAsia" w:ascii="宋体" w:hAnsi="宋体" w:eastAsia="宋体" w:cs="宋体"/>
                <w:b/>
                <w:sz w:val="21"/>
              </w:rPr>
              <w:t>合计</w:t>
            </w:r>
          </w:p>
        </w:tc>
        <w:tc>
          <w:tcPr>
            <w:tcW w:w="2620" w:type="dxa"/>
            <w:tcMar>
              <w:top w:w="0" w:type="dxa"/>
              <w:left w:w="0" w:type="dxa"/>
              <w:bottom w:w="0" w:type="dxa"/>
              <w:right w:w="0" w:type="dxa"/>
            </w:tcMar>
          </w:tcPr>
          <w:p>
            <w:pPr>
              <w:spacing w:before="160"/>
              <w:ind w:left="1760"/>
            </w:pP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560" w:type="dxa"/>
            <w:tcMar>
              <w:top w:w="0" w:type="dxa"/>
              <w:left w:w="0" w:type="dxa"/>
              <w:bottom w:w="0" w:type="dxa"/>
              <w:right w:w="0" w:type="dxa"/>
            </w:tcMar>
          </w:tcPr>
          <w:p>
            <w:pPr>
              <w:spacing w:before="160"/>
              <w:ind w:left="16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Bold" w:hAnsi="Times New Roman Bold" w:eastAsia="Times New Roman Bold" w:cs="Times New Roman Bold"/>
          <w:b/>
          <w:sz w:val="24"/>
        </w:rPr>
        <w:t>8</w:t>
      </w:r>
      <w:r>
        <w:rPr>
          <w:rFonts w:hint="eastAsia" w:ascii="宋体" w:hAnsi="宋体" w:eastAsia="宋体" w:cs="宋体"/>
          <w:b/>
          <w:sz w:val="10"/>
        </w:rPr>
        <w:t>、</w:t>
      </w:r>
      <w:r>
        <w:rPr>
          <w:rFonts w:hint="eastAsia" w:ascii="Times New Roman Bold" w:hAnsi="Times New Roman Bold" w:eastAsia="Times New Roman Bold" w:cs="Times New Roman Bold"/>
          <w:b/>
          <w:sz w:val="24"/>
        </w:rPr>
        <w:t>2005</w:t>
      </w:r>
      <w:r>
        <w:rPr>
          <w:rFonts w:hint="eastAsia" w:ascii="宋体" w:hAnsi="宋体" w:eastAsia="宋体" w:cs="宋体"/>
          <w:b/>
          <w:sz w:val="24"/>
        </w:rPr>
        <w:t xml:space="preserve"> 年第</w:t>
      </w:r>
      <w:r>
        <w:rPr>
          <w:rFonts w:hint="eastAsia" w:ascii="宋体" w:hAnsi="宋体" w:eastAsia="宋体" w:cs="宋体"/>
          <w:b/>
          <w:sz w:val="10"/>
        </w:rPr>
        <w:t>一</w:t>
      </w:r>
      <w:r>
        <w:rPr>
          <w:rFonts w:hint="eastAsia" w:ascii="宋体" w:hAnsi="宋体" w:eastAsia="宋体" w:cs="宋体"/>
          <w:b/>
          <w:sz w:val="24"/>
        </w:rPr>
        <w:t>次股权转让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2005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26</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经公司股东大会审议通过</w:t>
      </w:r>
      <w:r>
        <w:rPr>
          <w:rFonts w:hint="eastAsia" w:ascii="宋体" w:hAnsi="宋体" w:eastAsia="宋体" w:cs="宋体"/>
          <w:sz w:val="10"/>
        </w:rPr>
        <w:t>，</w:t>
      </w:r>
      <w:r>
        <w:rPr>
          <w:rFonts w:hint="eastAsia" w:ascii="宋体" w:hAnsi="宋体" w:eastAsia="宋体" w:cs="宋体"/>
          <w:sz w:val="24"/>
        </w:rPr>
        <w:t>严孟宇将其持有的公司</w:t>
      </w:r>
      <w:r>
        <w:rPr>
          <w:rFonts w:hint="eastAsia" w:ascii="Times New Roman" w:hAnsi="Times New Roman" w:eastAsia="Times New Roman" w:cs="Times New Roman"/>
          <w:sz w:val="24"/>
        </w:rPr>
        <w:t xml:space="preserve"> 180.95</w:t>
      </w:r>
      <w:r>
        <w:rPr>
          <w:rFonts w:hint="eastAsia" w:ascii="宋体" w:hAnsi="宋体" w:eastAsia="宋体" w:cs="宋体"/>
          <w:sz w:val="24"/>
        </w:rPr>
        <w:t>万股转让给爱派克</w:t>
      </w:r>
      <w:r>
        <w:rPr>
          <w:rFonts w:hint="eastAsia" w:ascii="宋体" w:hAnsi="宋体" w:eastAsia="宋体" w:cs="宋体"/>
          <w:sz w:val="10"/>
        </w:rPr>
        <w:t>。</w:t>
      </w:r>
      <w:r>
        <w:rPr>
          <w:rFonts w:hint="eastAsia" w:ascii="Times New Roman" w:hAnsi="Times New Roman" w:eastAsia="Times New Roman" w:cs="Times New Roman"/>
          <w:sz w:val="24"/>
        </w:rPr>
        <w:t>2005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26</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转让双方签署了股权转让协议</w:t>
      </w:r>
      <w:r>
        <w:rPr>
          <w:rFonts w:hint="eastAsia" w:ascii="宋体" w:hAnsi="宋体" w:eastAsia="宋体" w:cs="宋体"/>
          <w:sz w:val="10"/>
        </w:rPr>
        <w:t>。</w:t>
      </w:r>
      <w:r>
        <w:rPr>
          <w:rFonts w:hint="eastAsia" w:ascii="宋体" w:hAnsi="宋体" w:eastAsia="宋体" w:cs="宋体"/>
          <w:sz w:val="24"/>
        </w:rPr>
        <w:t>受让方爱派克以现金方式完成了转让款的支付</w:t>
      </w:r>
      <w:r>
        <w:rPr>
          <w:rFonts w:hint="eastAsia" w:ascii="宋体" w:hAnsi="宋体" w:eastAsia="宋体" w:cs="宋体"/>
          <w:sz w:val="10"/>
        </w:rPr>
        <w:t>。</w:t>
      </w:r>
      <w:r>
        <w:rPr>
          <w:rFonts w:hint="eastAsia" w:ascii="宋体" w:hAnsi="宋体" w:eastAsia="宋体" w:cs="宋体"/>
          <w:sz w:val="24"/>
        </w:rPr>
        <w:t>公司于</w:t>
      </w:r>
      <w:r>
        <w:rPr>
          <w:rFonts w:hint="eastAsia" w:ascii="Times New Roman" w:hAnsi="Times New Roman" w:eastAsia="Times New Roman" w:cs="Times New Roman"/>
          <w:sz w:val="24"/>
        </w:rPr>
        <w:t xml:space="preserve"> 2005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日在福建省工商行政管理局办理了工商变更登记手续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转让完成后</w:t>
      </w:r>
      <w:r>
        <w:rPr>
          <w:rFonts w:hint="eastAsia" w:ascii="宋体" w:hAnsi="宋体" w:eastAsia="宋体" w:cs="宋体"/>
          <w:sz w:val="10"/>
        </w:rPr>
        <w:t>，</w:t>
      </w:r>
      <w:r>
        <w:rPr>
          <w:rFonts w:hint="eastAsia" w:ascii="宋体" w:hAnsi="宋体" w:eastAsia="宋体" w:cs="宋体"/>
          <w:sz w:val="24"/>
        </w:rPr>
        <w:t>顶点软件的股权结构为</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180"/>
        <w:gridCol w:w="2640"/>
        <w:gridCol w:w="2540"/>
      </w:tblGrid>
      <w:tr>
        <w:trPr>
          <w:trHeight w:val="480" w:hRule="exact"/>
        </w:trPr>
        <w:tc>
          <w:tcPr>
            <w:tcW w:w="1160" w:type="dxa"/>
            <w:tcMar>
              <w:top w:w="0" w:type="dxa"/>
              <w:left w:w="0" w:type="dxa"/>
              <w:bottom w:w="0" w:type="dxa"/>
              <w:right w:w="0" w:type="dxa"/>
            </w:tcMar>
          </w:tcPr>
          <w:p>
            <w:pPr>
              <w:spacing w:before="120"/>
              <w:ind w:left="360"/>
            </w:pPr>
            <w:r>
              <w:rPr>
                <w:rFonts w:hint="eastAsia" w:ascii="宋体" w:hAnsi="宋体" w:eastAsia="宋体" w:cs="宋体"/>
                <w:b/>
                <w:sz w:val="21"/>
              </w:rPr>
              <w:t>序号</w:t>
            </w:r>
          </w:p>
        </w:tc>
        <w:tc>
          <w:tcPr>
            <w:tcW w:w="2180" w:type="dxa"/>
            <w:tcMar>
              <w:top w:w="0" w:type="dxa"/>
              <w:left w:w="0" w:type="dxa"/>
              <w:bottom w:w="0" w:type="dxa"/>
              <w:right w:w="0" w:type="dxa"/>
            </w:tcMar>
          </w:tcPr>
          <w:p>
            <w:pPr>
              <w:spacing w:before="120"/>
              <w:ind w:left="660"/>
            </w:pPr>
            <w:r>
              <w:rPr>
                <w:rFonts w:hint="eastAsia" w:ascii="宋体" w:hAnsi="宋体" w:eastAsia="宋体" w:cs="宋体"/>
                <w:b/>
                <w:sz w:val="21"/>
              </w:rPr>
              <w:t>股东姓名</w:t>
            </w:r>
          </w:p>
        </w:tc>
        <w:tc>
          <w:tcPr>
            <w:tcW w:w="2640" w:type="dxa"/>
            <w:tcMar>
              <w:top w:w="0" w:type="dxa"/>
              <w:left w:w="0" w:type="dxa"/>
              <w:bottom w:w="0" w:type="dxa"/>
              <w:right w:w="0" w:type="dxa"/>
            </w:tcMar>
          </w:tcPr>
          <w:p>
            <w:pPr>
              <w:spacing w:before="120"/>
              <w:ind w:left="460"/>
            </w:pPr>
            <w:r>
              <w:rPr>
                <w:rFonts w:hint="eastAsia" w:ascii="宋体" w:hAnsi="宋体" w:eastAsia="宋体" w:cs="宋体"/>
                <w:b/>
                <w:sz w:val="21"/>
              </w:rPr>
              <w:t>股份数量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540" w:type="dxa"/>
            <w:tcMar>
              <w:top w:w="0" w:type="dxa"/>
              <w:left w:w="0" w:type="dxa"/>
              <w:bottom w:w="0" w:type="dxa"/>
              <w:right w:w="0" w:type="dxa"/>
            </w:tcMar>
          </w:tcPr>
          <w:p>
            <w:pPr>
              <w:spacing w:before="120"/>
              <w:ind w:left="820"/>
            </w:pPr>
            <w:r>
              <w:rPr>
                <w:rFonts w:hint="eastAsia" w:ascii="宋体" w:hAnsi="宋体" w:eastAsia="宋体" w:cs="宋体"/>
                <w:b/>
                <w:sz w:val="21"/>
              </w:rPr>
              <w:t>股权比例</w:t>
            </w:r>
          </w:p>
        </w:tc>
      </w:tr>
      <w:tr>
        <w:trPr>
          <w:trHeight w:val="480" w:hRule="exact"/>
        </w:trPr>
        <w:tc>
          <w:tcPr>
            <w:tcW w:w="116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1</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严孟宇</w:t>
            </w:r>
          </w:p>
        </w:tc>
        <w:tc>
          <w:tcPr>
            <w:tcW w:w="264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752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c>
          <w:tcPr>
            <w:tcW w:w="2540" w:type="dxa"/>
            <w:tcMar>
              <w:top w:w="0" w:type="dxa"/>
              <w:left w:w="0" w:type="dxa"/>
              <w:bottom w:w="0" w:type="dxa"/>
              <w:right w:w="0" w:type="dxa"/>
            </w:tcMar>
          </w:tcPr>
          <w:p>
            <w:pPr>
              <w:spacing w:before="180"/>
              <w:ind w:left="178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2</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爱派克</w:t>
            </w:r>
          </w:p>
        </w:tc>
        <w:tc>
          <w:tcPr>
            <w:tcW w:w="264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600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40" w:type="dxa"/>
            <w:tcMar>
              <w:top w:w="0" w:type="dxa"/>
              <w:left w:w="0" w:type="dxa"/>
              <w:bottom w:w="0" w:type="dxa"/>
              <w:right w:w="0" w:type="dxa"/>
            </w:tcMar>
          </w:tcPr>
          <w:p>
            <w:pPr>
              <w:spacing w:before="180"/>
              <w:ind w:left="178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3</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赵伟</w:t>
            </w:r>
          </w:p>
        </w:tc>
        <w:tc>
          <w:tcPr>
            <w:tcW w:w="264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302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40" w:type="dxa"/>
            <w:tcMar>
              <w:top w:w="0" w:type="dxa"/>
              <w:left w:w="0" w:type="dxa"/>
              <w:bottom w:w="0" w:type="dxa"/>
              <w:right w:w="0" w:type="dxa"/>
            </w:tcMar>
          </w:tcPr>
          <w:p>
            <w:pPr>
              <w:spacing w:before="140"/>
              <w:ind w:left="178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4</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雷世潘</w:t>
            </w:r>
          </w:p>
        </w:tc>
        <w:tc>
          <w:tcPr>
            <w:tcW w:w="264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136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40"/>
              <w:ind w:left="18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5</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赵莹</w:t>
            </w:r>
          </w:p>
        </w:tc>
        <w:tc>
          <w:tcPr>
            <w:tcW w:w="264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40" w:type="dxa"/>
            <w:tcMar>
              <w:top w:w="0" w:type="dxa"/>
              <w:left w:w="0" w:type="dxa"/>
              <w:bottom w:w="0" w:type="dxa"/>
              <w:right w:w="0" w:type="dxa"/>
            </w:tcMar>
          </w:tcPr>
          <w:p>
            <w:pPr>
              <w:spacing w:before="140"/>
              <w:ind w:left="18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6</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余养成</w:t>
            </w:r>
          </w:p>
        </w:tc>
        <w:tc>
          <w:tcPr>
            <w:tcW w:w="264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114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40"/>
              <w:ind w:left="18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7</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董南勇</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40" w:type="dxa"/>
            <w:tcMar>
              <w:top w:w="0" w:type="dxa"/>
              <w:left w:w="0" w:type="dxa"/>
              <w:bottom w:w="0" w:type="dxa"/>
              <w:right w:w="0" w:type="dxa"/>
            </w:tcMar>
          </w:tcPr>
          <w:p>
            <w:pPr>
              <w:spacing w:before="140"/>
              <w:ind w:left="18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8</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张玉</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4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9</w:t>
            </w:r>
          </w:p>
        </w:tc>
        <w:tc>
          <w:tcPr>
            <w:tcW w:w="2180" w:type="dxa"/>
            <w:tcMar>
              <w:top w:w="0" w:type="dxa"/>
              <w:left w:w="0" w:type="dxa"/>
              <w:bottom w:w="0" w:type="dxa"/>
              <w:right w:w="0" w:type="dxa"/>
            </w:tcMar>
          </w:tcPr>
          <w:p>
            <w:pPr>
              <w:spacing w:before="100"/>
              <w:ind w:left="860"/>
            </w:pPr>
            <w:r>
              <w:rPr>
                <w:rFonts w:hint="eastAsia" w:ascii="宋体" w:hAnsi="宋体" w:eastAsia="宋体" w:cs="宋体"/>
                <w:sz w:val="21"/>
              </w:rPr>
              <w:t>欧永</w:t>
            </w:r>
          </w:p>
        </w:tc>
        <w:tc>
          <w:tcPr>
            <w:tcW w:w="2640" w:type="dxa"/>
            <w:tcMar>
              <w:top w:w="0" w:type="dxa"/>
              <w:left w:w="0" w:type="dxa"/>
              <w:bottom w:w="0" w:type="dxa"/>
              <w:right w:w="0" w:type="dxa"/>
            </w:tcMar>
          </w:tcPr>
          <w:p>
            <w:pPr>
              <w:spacing w:before="160"/>
              <w:ind w:left="214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p>
        </w:tc>
        <w:tc>
          <w:tcPr>
            <w:tcW w:w="254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10</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曹永强</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1-1-57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180"/>
        <w:gridCol w:w="2640"/>
        <w:gridCol w:w="2540"/>
      </w:tblGrid>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11</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戴小戈</w:t>
            </w:r>
          </w:p>
        </w:tc>
        <w:tc>
          <w:tcPr>
            <w:tcW w:w="264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40"/>
              <w:ind w:left="1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12</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刘法先</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40"/>
              <w:ind w:left="1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13</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林秀红</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14</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徐传秋</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15</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邓志强</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16</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王敏航</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17</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郑元通</w:t>
            </w:r>
          </w:p>
        </w:tc>
        <w:tc>
          <w:tcPr>
            <w:tcW w:w="2640" w:type="dxa"/>
            <w:tcMar>
              <w:top w:w="0" w:type="dxa"/>
              <w:left w:w="0" w:type="dxa"/>
              <w:bottom w:w="0" w:type="dxa"/>
              <w:right w:w="0" w:type="dxa"/>
            </w:tcMar>
          </w:tcPr>
          <w:p>
            <w:pPr>
              <w:spacing w:before="180"/>
              <w:ind w:left="20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8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18</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张雄金</w:t>
            </w:r>
          </w:p>
        </w:tc>
        <w:tc>
          <w:tcPr>
            <w:tcW w:w="2640" w:type="dxa"/>
            <w:tcMar>
              <w:top w:w="0" w:type="dxa"/>
              <w:left w:w="0" w:type="dxa"/>
              <w:bottom w:w="0" w:type="dxa"/>
              <w:right w:w="0" w:type="dxa"/>
            </w:tcMar>
          </w:tcPr>
          <w:p>
            <w:pPr>
              <w:spacing w:before="180"/>
              <w:ind w:left="20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8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19</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鄢继华</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20</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谢淑仁</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4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21</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杜建强</w:t>
            </w:r>
          </w:p>
        </w:tc>
        <w:tc>
          <w:tcPr>
            <w:tcW w:w="264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w:t>
            </w:r>
          </w:p>
        </w:tc>
        <w:tc>
          <w:tcPr>
            <w:tcW w:w="2540" w:type="dxa"/>
            <w:tcMar>
              <w:top w:w="0" w:type="dxa"/>
              <w:left w:w="0" w:type="dxa"/>
              <w:bottom w:w="0" w:type="dxa"/>
              <w:right w:w="0" w:type="dxa"/>
            </w:tcMar>
          </w:tcPr>
          <w:p>
            <w:pPr>
              <w:spacing w:before="14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22</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陈瑞德</w:t>
            </w:r>
          </w:p>
        </w:tc>
        <w:tc>
          <w:tcPr>
            <w:tcW w:w="264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40" w:type="dxa"/>
            <w:tcMar>
              <w:top w:w="0" w:type="dxa"/>
              <w:left w:w="0" w:type="dxa"/>
              <w:bottom w:w="0" w:type="dxa"/>
              <w:right w:w="0" w:type="dxa"/>
            </w:tcMar>
          </w:tcPr>
          <w:p>
            <w:pPr>
              <w:spacing w:before="14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23</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陈建国</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40" w:type="dxa"/>
            <w:tcMar>
              <w:top w:w="0" w:type="dxa"/>
              <w:left w:w="0" w:type="dxa"/>
              <w:bottom w:w="0" w:type="dxa"/>
              <w:right w:w="0" w:type="dxa"/>
            </w:tcMar>
          </w:tcPr>
          <w:p>
            <w:pPr>
              <w:spacing w:before="140"/>
              <w:ind w:left="18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3340" w:type="dxa"/>
            <w:gridSpan w:val="2"/>
            <w:tcMar>
              <w:top w:w="0" w:type="dxa"/>
              <w:left w:w="0" w:type="dxa"/>
              <w:bottom w:w="0" w:type="dxa"/>
              <w:right w:w="0" w:type="dxa"/>
            </w:tcMar>
          </w:tcPr>
          <w:p>
            <w:pPr>
              <w:spacing w:before="120"/>
              <w:ind w:left="1440"/>
            </w:pPr>
            <w:r>
              <w:rPr>
                <w:rFonts w:hint="eastAsia" w:ascii="宋体" w:hAnsi="宋体" w:eastAsia="宋体" w:cs="宋体"/>
                <w:b/>
                <w:sz w:val="21"/>
              </w:rPr>
              <w:t>合计</w:t>
            </w:r>
          </w:p>
        </w:tc>
        <w:tc>
          <w:tcPr>
            <w:tcW w:w="2640" w:type="dxa"/>
            <w:tcMar>
              <w:top w:w="0" w:type="dxa"/>
              <w:left w:w="0" w:type="dxa"/>
              <w:bottom w:w="0" w:type="dxa"/>
              <w:right w:w="0" w:type="dxa"/>
            </w:tcMar>
          </w:tcPr>
          <w:p>
            <w:pPr>
              <w:spacing w:before="140"/>
              <w:ind w:left="1780"/>
            </w:pP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540" w:type="dxa"/>
            <w:tcMar>
              <w:top w:w="0" w:type="dxa"/>
              <w:left w:w="0" w:type="dxa"/>
              <w:bottom w:w="0" w:type="dxa"/>
              <w:right w:w="0" w:type="dxa"/>
            </w:tcMar>
          </w:tcPr>
          <w:p>
            <w:pPr>
              <w:spacing w:before="140"/>
              <w:ind w:left="16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Bold" w:hAnsi="Times New Roman Bold" w:eastAsia="Times New Roman Bold" w:cs="Times New Roman Bold"/>
          <w:b/>
          <w:sz w:val="24"/>
        </w:rPr>
        <w:t>9</w:t>
      </w:r>
      <w:r>
        <w:rPr>
          <w:rFonts w:hint="eastAsia" w:ascii="宋体" w:hAnsi="宋体" w:eastAsia="宋体" w:cs="宋体"/>
          <w:b/>
          <w:sz w:val="10"/>
        </w:rPr>
        <w:t>、</w:t>
      </w:r>
      <w:r>
        <w:rPr>
          <w:rFonts w:hint="eastAsia" w:ascii="Times New Roman Bold" w:hAnsi="Times New Roman Bold" w:eastAsia="Times New Roman Bold" w:cs="Times New Roman Bold"/>
          <w:b/>
          <w:sz w:val="24"/>
        </w:rPr>
        <w:t>2005</w:t>
      </w:r>
      <w:r>
        <w:rPr>
          <w:rFonts w:hint="eastAsia" w:ascii="宋体" w:hAnsi="宋体" w:eastAsia="宋体" w:cs="宋体"/>
          <w:b/>
          <w:sz w:val="24"/>
        </w:rPr>
        <w:t xml:space="preserve"> 年第二次股权转让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Times New Roman" w:hAnsi="Times New Roman" w:eastAsia="Times New Roman" w:cs="Times New Roman"/>
          <w:sz w:val="24"/>
        </w:rPr>
        <w:t>2005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经公司股东大会审议通过</w:t>
      </w:r>
      <w:r>
        <w:rPr>
          <w:rFonts w:hint="eastAsia" w:ascii="宋体" w:hAnsi="宋体" w:eastAsia="宋体" w:cs="宋体"/>
          <w:sz w:val="10"/>
        </w:rPr>
        <w:t>，</w:t>
      </w:r>
      <w:r>
        <w:rPr>
          <w:rFonts w:hint="eastAsia" w:ascii="宋体" w:hAnsi="宋体" w:eastAsia="宋体" w:cs="宋体"/>
          <w:sz w:val="24"/>
        </w:rPr>
        <w:t>曹永强</w:t>
      </w:r>
      <w:r>
        <w:rPr>
          <w:rFonts w:hint="eastAsia" w:ascii="宋体" w:hAnsi="宋体" w:eastAsia="宋体" w:cs="宋体"/>
          <w:sz w:val="10"/>
        </w:rPr>
        <w:t>、</w:t>
      </w:r>
      <w:r>
        <w:rPr>
          <w:rFonts w:hint="eastAsia" w:ascii="宋体" w:hAnsi="宋体" w:eastAsia="宋体" w:cs="宋体"/>
          <w:sz w:val="24"/>
        </w:rPr>
        <w:t>戴小戈</w:t>
      </w:r>
      <w:r>
        <w:rPr>
          <w:rFonts w:hint="eastAsia" w:ascii="宋体" w:hAnsi="宋体" w:eastAsia="宋体" w:cs="宋体"/>
          <w:sz w:val="10"/>
        </w:rPr>
        <w:t>、</w:t>
      </w:r>
      <w:r>
        <w:rPr>
          <w:rFonts w:hint="eastAsia" w:ascii="宋体" w:hAnsi="宋体" w:eastAsia="宋体" w:cs="宋体"/>
          <w:sz w:val="24"/>
        </w:rPr>
        <w:t>刘法先</w:t>
      </w:r>
      <w:r>
        <w:rPr>
          <w:rFonts w:hint="eastAsia" w:ascii="宋体" w:hAnsi="宋体" w:eastAsia="宋体" w:cs="宋体"/>
          <w:sz w:val="10"/>
        </w:rPr>
        <w:t>、</w:t>
      </w:r>
      <w:r>
        <w:rPr>
          <w:rFonts w:hint="eastAsia" w:ascii="宋体" w:hAnsi="宋体" w:eastAsia="宋体" w:cs="宋体"/>
          <w:sz w:val="24"/>
        </w:rPr>
        <w:t>杜建强分别向严孟宇转让</w:t>
      </w:r>
      <w:r>
        <w:rPr>
          <w:rFonts w:hint="eastAsia" w:ascii="Times New Roman" w:hAnsi="Times New Roman" w:eastAsia="Times New Roman" w:cs="Times New Roman"/>
          <w:sz w:val="24"/>
        </w:rPr>
        <w:t xml:space="preserve"> 40.25</w:t>
      </w:r>
      <w:r>
        <w:rPr>
          <w:rFonts w:hint="eastAsia" w:ascii="宋体" w:hAnsi="宋体" w:eastAsia="宋体" w:cs="宋体"/>
          <w:sz w:val="24"/>
        </w:rPr>
        <w:t xml:space="preserve"> 万股</w:t>
      </w:r>
      <w:r>
        <w:rPr>
          <w:rFonts w:hint="eastAsia" w:ascii="宋体" w:hAnsi="宋体" w:eastAsia="宋体" w:cs="宋体"/>
          <w:sz w:val="10"/>
        </w:rPr>
        <w:t>、</w:t>
      </w:r>
      <w:r>
        <w:rPr>
          <w:rFonts w:hint="eastAsia" w:ascii="Times New Roman" w:hAnsi="Times New Roman" w:eastAsia="Times New Roman" w:cs="Times New Roman"/>
          <w:sz w:val="24"/>
        </w:rPr>
        <w:t>7.25</w:t>
      </w:r>
      <w:r>
        <w:rPr>
          <w:rFonts w:hint="eastAsia" w:ascii="宋体" w:hAnsi="宋体" w:eastAsia="宋体" w:cs="宋体"/>
          <w:sz w:val="24"/>
        </w:rPr>
        <w:t xml:space="preserve"> 万股</w:t>
      </w:r>
      <w:r>
        <w:rPr>
          <w:rFonts w:hint="eastAsia" w:ascii="宋体" w:hAnsi="宋体" w:eastAsia="宋体" w:cs="宋体"/>
          <w:sz w:val="10"/>
        </w:rPr>
        <w:t>、</w:t>
      </w:r>
      <w:r>
        <w:rPr>
          <w:rFonts w:hint="eastAsia" w:ascii="Times New Roman" w:hAnsi="Times New Roman" w:eastAsia="Times New Roman" w:cs="Times New Roman"/>
          <w:sz w:val="24"/>
        </w:rPr>
        <w:t>5.25</w:t>
      </w:r>
      <w:r>
        <w:rPr>
          <w:rFonts w:hint="eastAsia" w:ascii="宋体" w:hAnsi="宋体" w:eastAsia="宋体" w:cs="宋体"/>
          <w:sz w:val="24"/>
        </w:rPr>
        <w:t xml:space="preserve"> 万股和</w:t>
      </w:r>
      <w:r>
        <w:rPr>
          <w:rFonts w:hint="eastAsia" w:ascii="Times New Roman" w:hAnsi="Times New Roman" w:eastAsia="Times New Roman" w:cs="Times New Roman"/>
          <w:sz w:val="24"/>
        </w:rPr>
        <w:t xml:space="preserve"> 13.95</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合计</w:t>
      </w:r>
      <w:r>
        <w:rPr>
          <w:rFonts w:hint="eastAsia" w:ascii="Times New Roman" w:hAnsi="Times New Roman" w:eastAsia="Times New Roman" w:cs="Times New Roman"/>
          <w:sz w:val="24"/>
        </w:rPr>
        <w:t>66.70</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受让方严孟宇以现金方式完成了转让款的支付</w:t>
      </w:r>
      <w:r>
        <w:rPr>
          <w:rFonts w:hint="eastAsia" w:ascii="宋体" w:hAnsi="宋体" w:eastAsia="宋体" w:cs="宋体"/>
          <w:sz w:val="10"/>
        </w:rPr>
        <w:t>。</w:t>
      </w:r>
      <w:r>
        <w:rPr>
          <w:rFonts w:hint="eastAsia" w:ascii="宋体" w:hAnsi="宋体" w:eastAsia="宋体" w:cs="宋体"/>
          <w:sz w:val="24"/>
        </w:rPr>
        <w:t>公司于</w:t>
      </w:r>
      <w:r>
        <w:rPr>
          <w:rFonts w:hint="eastAsia" w:ascii="Times New Roman" w:hAnsi="Times New Roman" w:eastAsia="Times New Roman" w:cs="Times New Roman"/>
          <w:sz w:val="24"/>
        </w:rPr>
        <w:t xml:space="preserve"> 2005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月</w:t>
      </w:r>
      <w:r>
        <w:rPr>
          <w:rFonts w:hint="eastAsia" w:ascii="Times New Roman" w:hAnsi="Times New Roman" w:eastAsia="Times New Roman" w:cs="Times New Roman"/>
          <w:sz w:val="24"/>
        </w:rPr>
        <w:t>23</w:t>
      </w:r>
      <w:r>
        <w:rPr>
          <w:rFonts w:hint="eastAsia" w:ascii="宋体" w:hAnsi="宋体" w:eastAsia="宋体" w:cs="宋体"/>
          <w:sz w:val="24"/>
        </w:rPr>
        <w:t xml:space="preserve"> 日在福建省工商行政管理局办理了工商变更登记手续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转让完成后</w:t>
      </w:r>
      <w:r>
        <w:rPr>
          <w:rFonts w:hint="eastAsia" w:ascii="宋体" w:hAnsi="宋体" w:eastAsia="宋体" w:cs="宋体"/>
          <w:sz w:val="10"/>
        </w:rPr>
        <w:t>，</w:t>
      </w:r>
      <w:r>
        <w:rPr>
          <w:rFonts w:hint="eastAsia" w:ascii="宋体" w:hAnsi="宋体" w:eastAsia="宋体" w:cs="宋体"/>
          <w:sz w:val="24"/>
        </w:rPr>
        <w:t>顶点软件的股权结构为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160"/>
        <w:gridCol w:w="2620"/>
        <w:gridCol w:w="2580"/>
      </w:tblGrid>
      <w:tr>
        <w:trPr>
          <w:trHeight w:val="480" w:hRule="exact"/>
        </w:trPr>
        <w:tc>
          <w:tcPr>
            <w:tcW w:w="1160" w:type="dxa"/>
            <w:tcMar>
              <w:top w:w="0" w:type="dxa"/>
              <w:left w:w="0" w:type="dxa"/>
              <w:bottom w:w="0" w:type="dxa"/>
              <w:right w:w="0" w:type="dxa"/>
            </w:tcMar>
          </w:tcPr>
          <w:p>
            <w:pPr>
              <w:spacing w:before="120"/>
              <w:ind w:left="340"/>
            </w:pPr>
            <w:r>
              <w:rPr>
                <w:rFonts w:hint="eastAsia" w:ascii="宋体" w:hAnsi="宋体" w:eastAsia="宋体" w:cs="宋体"/>
                <w:b/>
                <w:sz w:val="21"/>
              </w:rPr>
              <w:t>序号</w:t>
            </w:r>
          </w:p>
        </w:tc>
        <w:tc>
          <w:tcPr>
            <w:tcW w:w="2160" w:type="dxa"/>
            <w:tcMar>
              <w:top w:w="0" w:type="dxa"/>
              <w:left w:w="0" w:type="dxa"/>
              <w:bottom w:w="0" w:type="dxa"/>
              <w:right w:w="0" w:type="dxa"/>
            </w:tcMar>
          </w:tcPr>
          <w:p>
            <w:pPr>
              <w:spacing w:before="120"/>
              <w:ind w:left="640"/>
            </w:pPr>
            <w:r>
              <w:rPr>
                <w:rFonts w:hint="eastAsia" w:ascii="宋体" w:hAnsi="宋体" w:eastAsia="宋体" w:cs="宋体"/>
                <w:b/>
                <w:sz w:val="21"/>
              </w:rPr>
              <w:t>股东姓名</w:t>
            </w:r>
          </w:p>
        </w:tc>
        <w:tc>
          <w:tcPr>
            <w:tcW w:w="2620" w:type="dxa"/>
            <w:tcMar>
              <w:top w:w="0" w:type="dxa"/>
              <w:left w:w="0" w:type="dxa"/>
              <w:bottom w:w="0" w:type="dxa"/>
              <w:right w:w="0" w:type="dxa"/>
            </w:tcMar>
          </w:tcPr>
          <w:p>
            <w:pPr>
              <w:spacing w:before="120"/>
              <w:ind w:left="460"/>
            </w:pPr>
            <w:r>
              <w:rPr>
                <w:rFonts w:hint="eastAsia" w:ascii="宋体" w:hAnsi="宋体" w:eastAsia="宋体" w:cs="宋体"/>
                <w:b/>
                <w:sz w:val="21"/>
              </w:rPr>
              <w:t>股份数量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580" w:type="dxa"/>
            <w:tcMar>
              <w:top w:w="0" w:type="dxa"/>
              <w:left w:w="0" w:type="dxa"/>
              <w:bottom w:w="0" w:type="dxa"/>
              <w:right w:w="0" w:type="dxa"/>
            </w:tcMar>
          </w:tcPr>
          <w:p>
            <w:pPr>
              <w:spacing w:before="120"/>
              <w:ind w:left="860"/>
            </w:pPr>
            <w:r>
              <w:rPr>
                <w:rFonts w:hint="eastAsia" w:ascii="宋体" w:hAnsi="宋体" w:eastAsia="宋体" w:cs="宋体"/>
                <w:b/>
                <w:sz w:val="21"/>
              </w:rPr>
              <w:t>股权比例</w:t>
            </w:r>
          </w:p>
        </w:tc>
      </w:tr>
      <w:tr>
        <w:trPr>
          <w:trHeight w:val="46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严孟宇</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818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8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2</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爱派克</w:t>
            </w:r>
          </w:p>
        </w:tc>
        <w:tc>
          <w:tcPr>
            <w:tcW w:w="262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600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80"/>
              <w:ind w:left="18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3</w:t>
            </w:r>
          </w:p>
        </w:tc>
        <w:tc>
          <w:tcPr>
            <w:tcW w:w="2160" w:type="dxa"/>
            <w:tcMar>
              <w:top w:w="0" w:type="dxa"/>
              <w:left w:w="0" w:type="dxa"/>
              <w:bottom w:w="0" w:type="dxa"/>
              <w:right w:w="0" w:type="dxa"/>
            </w:tcMar>
          </w:tcPr>
          <w:p>
            <w:pPr>
              <w:spacing w:before="100"/>
              <w:ind w:left="860"/>
            </w:pPr>
            <w:r>
              <w:rPr>
                <w:rFonts w:hint="eastAsia" w:ascii="宋体" w:hAnsi="宋体" w:eastAsia="宋体" w:cs="宋体"/>
                <w:sz w:val="21"/>
              </w:rPr>
              <w:t>赵伟</w:t>
            </w:r>
          </w:p>
        </w:tc>
        <w:tc>
          <w:tcPr>
            <w:tcW w:w="262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302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8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4</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雷世潘</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5</w:t>
            </w:r>
          </w:p>
        </w:tc>
        <w:tc>
          <w:tcPr>
            <w:tcW w:w="2160" w:type="dxa"/>
            <w:tcMar>
              <w:top w:w="0" w:type="dxa"/>
              <w:left w:w="0" w:type="dxa"/>
              <w:bottom w:w="0" w:type="dxa"/>
              <w:right w:w="0" w:type="dxa"/>
            </w:tcMar>
          </w:tcPr>
          <w:p>
            <w:pPr>
              <w:spacing w:before="100"/>
              <w:ind w:left="860"/>
            </w:pPr>
            <w:r>
              <w:rPr>
                <w:rFonts w:hint="eastAsia" w:ascii="宋体" w:hAnsi="宋体" w:eastAsia="宋体" w:cs="宋体"/>
                <w:sz w:val="21"/>
              </w:rPr>
              <w:t>赵莹</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6</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余养成</w:t>
            </w:r>
          </w:p>
        </w:tc>
        <w:tc>
          <w:tcPr>
            <w:tcW w:w="262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114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7</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董南勇</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1-1-58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160"/>
        <w:gridCol w:w="2620"/>
        <w:gridCol w:w="2580"/>
      </w:tblGrid>
      <w:tr>
        <w:trPr>
          <w:trHeight w:val="480" w:hRule="exact"/>
        </w:trPr>
        <w:tc>
          <w:tcPr>
            <w:tcW w:w="116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8</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张玉</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9</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欧永</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10</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戴小戈</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11</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刘法先</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12</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林秀红</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13</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徐传秋</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14</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邓志强</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15</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王敏航</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16</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郑元通</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17</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张雄金</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18</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鄢继华</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19</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谢淑仁</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20</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陈瑞德</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21</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陈建国</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3320" w:type="dxa"/>
            <w:gridSpan w:val="2"/>
            <w:tcMar>
              <w:top w:w="0" w:type="dxa"/>
              <w:left w:w="0" w:type="dxa"/>
              <w:bottom w:w="0" w:type="dxa"/>
              <w:right w:w="0" w:type="dxa"/>
            </w:tcMar>
          </w:tcPr>
          <w:p>
            <w:pPr>
              <w:spacing w:before="100"/>
              <w:ind w:left="1440"/>
            </w:pPr>
            <w:r>
              <w:rPr>
                <w:rFonts w:hint="eastAsia" w:ascii="宋体" w:hAnsi="宋体" w:eastAsia="宋体" w:cs="宋体"/>
                <w:b/>
                <w:sz w:val="21"/>
              </w:rPr>
              <w:t>合计</w:t>
            </w:r>
          </w:p>
        </w:tc>
        <w:tc>
          <w:tcPr>
            <w:tcW w:w="2620" w:type="dxa"/>
            <w:tcMar>
              <w:top w:w="0" w:type="dxa"/>
              <w:left w:w="0" w:type="dxa"/>
              <w:bottom w:w="0" w:type="dxa"/>
              <w:right w:w="0" w:type="dxa"/>
            </w:tcMar>
          </w:tcPr>
          <w:p>
            <w:pPr>
              <w:spacing w:before="160"/>
              <w:ind w:left="1760"/>
            </w:pP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580" w:type="dxa"/>
            <w:tcMar>
              <w:top w:w="0" w:type="dxa"/>
              <w:left w:w="0" w:type="dxa"/>
              <w:bottom w:w="0" w:type="dxa"/>
              <w:right w:w="0" w:type="dxa"/>
            </w:tcMar>
          </w:tcPr>
          <w:p>
            <w:pPr>
              <w:spacing w:before="160"/>
              <w:ind w:left="16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Bold" w:hAnsi="Times New Roman Bold" w:eastAsia="Times New Roman Bold" w:cs="Times New Roman Bold"/>
          <w:b/>
          <w:sz w:val="24"/>
        </w:rPr>
        <w:t>10</w:t>
      </w:r>
      <w:r>
        <w:rPr>
          <w:rFonts w:hint="eastAsia" w:ascii="宋体" w:hAnsi="宋体" w:eastAsia="宋体" w:cs="宋体"/>
          <w:b/>
          <w:sz w:val="10"/>
        </w:rPr>
        <w:t>、</w:t>
      </w:r>
      <w:r>
        <w:rPr>
          <w:rFonts w:hint="eastAsia" w:ascii="Times New Roman Bold" w:hAnsi="Times New Roman Bold" w:eastAsia="Times New Roman Bold" w:cs="Times New Roman Bold"/>
          <w:b/>
          <w:sz w:val="24"/>
        </w:rPr>
        <w:t>2006</w:t>
      </w:r>
      <w:r>
        <w:rPr>
          <w:rFonts w:hint="eastAsia" w:ascii="宋体" w:hAnsi="宋体" w:eastAsia="宋体" w:cs="宋体"/>
          <w:b/>
          <w:sz w:val="24"/>
        </w:rPr>
        <w:t xml:space="preserve"> 年股权转让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2006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经公司股东大会审议通过</w:t>
      </w:r>
      <w:r>
        <w:rPr>
          <w:rFonts w:hint="eastAsia" w:ascii="宋体" w:hAnsi="宋体" w:eastAsia="宋体" w:cs="宋体"/>
          <w:sz w:val="10"/>
        </w:rPr>
        <w:t>，</w:t>
      </w:r>
      <w:r>
        <w:rPr>
          <w:rFonts w:hint="eastAsia" w:ascii="宋体" w:hAnsi="宋体" w:eastAsia="宋体" w:cs="宋体"/>
          <w:sz w:val="24"/>
        </w:rPr>
        <w:t>张玉将其持有的</w:t>
      </w:r>
      <w:r>
        <w:rPr>
          <w:rFonts w:hint="eastAsia" w:ascii="Times New Roman" w:hAnsi="Times New Roman" w:eastAsia="Times New Roman" w:cs="Times New Roman"/>
          <w:sz w:val="24"/>
        </w:rPr>
        <w:t xml:space="preserve"> 40.75</w:t>
      </w:r>
      <w:r>
        <w:rPr>
          <w:rFonts w:hint="eastAsia" w:ascii="宋体" w:hAnsi="宋体" w:eastAsia="宋体" w:cs="宋体"/>
          <w:sz w:val="24"/>
        </w:rPr>
        <w:t xml:space="preserve"> 万股转让给原股东严孟宇</w:t>
      </w:r>
      <w:r>
        <w:rPr>
          <w:rFonts w:hint="eastAsia" w:ascii="宋体" w:hAnsi="宋体" w:eastAsia="宋体" w:cs="宋体"/>
          <w:sz w:val="10"/>
        </w:rPr>
        <w:t>，</w:t>
      </w:r>
      <w:r>
        <w:rPr>
          <w:rFonts w:hint="eastAsia" w:ascii="宋体" w:hAnsi="宋体" w:eastAsia="宋体" w:cs="宋体"/>
          <w:sz w:val="24"/>
        </w:rPr>
        <w:t>欧永将其持有的</w:t>
      </w:r>
      <w:r>
        <w:rPr>
          <w:rFonts w:hint="eastAsia" w:ascii="Times New Roman" w:hAnsi="Times New Roman" w:eastAsia="Times New Roman" w:cs="Times New Roman"/>
          <w:sz w:val="24"/>
        </w:rPr>
        <w:t xml:space="preserve"> 25.00</w:t>
      </w:r>
      <w:r>
        <w:rPr>
          <w:rFonts w:hint="eastAsia" w:ascii="宋体" w:hAnsi="宋体" w:eastAsia="宋体" w:cs="宋体"/>
          <w:sz w:val="24"/>
        </w:rPr>
        <w:t xml:space="preserve"> 万股转让给原股东严孟宇</w:t>
      </w:r>
      <w:r>
        <w:rPr>
          <w:rFonts w:hint="eastAsia" w:ascii="宋体" w:hAnsi="宋体" w:eastAsia="宋体" w:cs="宋体"/>
          <w:sz w:val="10"/>
        </w:rPr>
        <w:t>。</w:t>
      </w:r>
      <w:r>
        <w:rPr>
          <w:rFonts w:hint="eastAsia" w:ascii="宋体" w:hAnsi="宋体" w:eastAsia="宋体" w:cs="宋体"/>
          <w:sz w:val="24"/>
        </w:rPr>
        <w:t>受让方严孟宇以现金方式完成了转让款的支付</w:t>
      </w:r>
      <w:r>
        <w:rPr>
          <w:rFonts w:hint="eastAsia" w:ascii="宋体" w:hAnsi="宋体" w:eastAsia="宋体" w:cs="宋体"/>
          <w:sz w:val="10"/>
        </w:rPr>
        <w:t>。</w:t>
      </w:r>
      <w:r>
        <w:rPr>
          <w:rFonts w:hint="eastAsia" w:ascii="宋体" w:hAnsi="宋体" w:eastAsia="宋体" w:cs="宋体"/>
          <w:sz w:val="24"/>
        </w:rPr>
        <w:t>公司于</w:t>
      </w:r>
      <w:r>
        <w:rPr>
          <w:rFonts w:hint="eastAsia" w:ascii="Times New Roman" w:hAnsi="Times New Roman" w:eastAsia="Times New Roman" w:cs="Times New Roman"/>
          <w:sz w:val="24"/>
        </w:rPr>
        <w:t xml:space="preserve"> 2006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日在福建省工商行政管理局办理了工商变更登记手续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转让完成后</w:t>
      </w:r>
      <w:r>
        <w:rPr>
          <w:rFonts w:hint="eastAsia" w:ascii="宋体" w:hAnsi="宋体" w:eastAsia="宋体" w:cs="宋体"/>
          <w:sz w:val="10"/>
        </w:rPr>
        <w:t>，</w:t>
      </w:r>
      <w:r>
        <w:rPr>
          <w:rFonts w:hint="eastAsia" w:ascii="宋体" w:hAnsi="宋体" w:eastAsia="宋体" w:cs="宋体"/>
          <w:sz w:val="24"/>
        </w:rPr>
        <w:t>顶点软件的股权结构为</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140"/>
        <w:gridCol w:w="2620"/>
        <w:gridCol w:w="2580"/>
      </w:tblGrid>
      <w:tr>
        <w:trPr>
          <w:trHeight w:val="480" w:hRule="exact"/>
        </w:trPr>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序号</w:t>
            </w:r>
          </w:p>
        </w:tc>
        <w:tc>
          <w:tcPr>
            <w:tcW w:w="2140" w:type="dxa"/>
            <w:tcMar>
              <w:top w:w="0" w:type="dxa"/>
              <w:left w:w="0" w:type="dxa"/>
              <w:bottom w:w="0" w:type="dxa"/>
              <w:right w:w="0" w:type="dxa"/>
            </w:tcMar>
          </w:tcPr>
          <w:p>
            <w:pPr>
              <w:spacing w:before="120"/>
              <w:ind w:left="640"/>
            </w:pPr>
            <w:r>
              <w:rPr>
                <w:rFonts w:hint="eastAsia" w:ascii="宋体" w:hAnsi="宋体" w:eastAsia="宋体" w:cs="宋体"/>
                <w:b/>
                <w:sz w:val="21"/>
              </w:rPr>
              <w:t>股东姓名</w:t>
            </w:r>
          </w:p>
        </w:tc>
        <w:tc>
          <w:tcPr>
            <w:tcW w:w="2620" w:type="dxa"/>
            <w:tcMar>
              <w:top w:w="0" w:type="dxa"/>
              <w:left w:w="0" w:type="dxa"/>
              <w:bottom w:w="0" w:type="dxa"/>
              <w:right w:w="0" w:type="dxa"/>
            </w:tcMar>
          </w:tcPr>
          <w:p>
            <w:pPr>
              <w:spacing w:before="120"/>
              <w:ind w:left="460"/>
            </w:pPr>
            <w:r>
              <w:rPr>
                <w:rFonts w:hint="eastAsia" w:ascii="宋体" w:hAnsi="宋体" w:eastAsia="宋体" w:cs="宋体"/>
                <w:b/>
                <w:sz w:val="21"/>
              </w:rPr>
              <w:t>股份数量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580" w:type="dxa"/>
            <w:tcMar>
              <w:top w:w="0" w:type="dxa"/>
              <w:left w:w="0" w:type="dxa"/>
              <w:bottom w:w="0" w:type="dxa"/>
              <w:right w:w="0" w:type="dxa"/>
            </w:tcMar>
          </w:tcPr>
          <w:p>
            <w:pPr>
              <w:spacing w:before="120"/>
              <w:ind w:left="860"/>
            </w:pPr>
            <w:r>
              <w:rPr>
                <w:rFonts w:hint="eastAsia" w:ascii="宋体" w:hAnsi="宋体" w:eastAsia="宋体" w:cs="宋体"/>
                <w:b/>
                <w:sz w:val="21"/>
              </w:rPr>
              <w:t>股权比例</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1</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严孟宇</w:t>
            </w:r>
          </w:p>
        </w:tc>
        <w:tc>
          <w:tcPr>
            <w:tcW w:w="262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884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w:t>
            </w:r>
          </w:p>
        </w:tc>
        <w:tc>
          <w:tcPr>
            <w:tcW w:w="2140" w:type="dxa"/>
            <w:tcMar>
              <w:top w:w="0" w:type="dxa"/>
              <w:left w:w="0" w:type="dxa"/>
              <w:bottom w:w="0" w:type="dxa"/>
              <w:right w:w="0" w:type="dxa"/>
            </w:tcMar>
          </w:tcPr>
          <w:p>
            <w:pPr>
              <w:spacing w:before="100"/>
              <w:ind w:left="740"/>
            </w:pPr>
            <w:r>
              <w:rPr>
                <w:rFonts w:hint="eastAsia" w:ascii="宋体" w:hAnsi="宋体" w:eastAsia="宋体" w:cs="宋体"/>
                <w:sz w:val="21"/>
              </w:rPr>
              <w:t>爱派克</w:t>
            </w:r>
          </w:p>
        </w:tc>
        <w:tc>
          <w:tcPr>
            <w:tcW w:w="262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600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3</w:t>
            </w:r>
          </w:p>
        </w:tc>
        <w:tc>
          <w:tcPr>
            <w:tcW w:w="2140" w:type="dxa"/>
            <w:tcMar>
              <w:top w:w="0" w:type="dxa"/>
              <w:left w:w="0" w:type="dxa"/>
              <w:bottom w:w="0" w:type="dxa"/>
              <w:right w:w="0" w:type="dxa"/>
            </w:tcMar>
          </w:tcPr>
          <w:p>
            <w:pPr>
              <w:spacing w:before="120"/>
              <w:ind w:left="840"/>
            </w:pPr>
            <w:r>
              <w:rPr>
                <w:rFonts w:hint="eastAsia" w:ascii="宋体" w:hAnsi="宋体" w:eastAsia="宋体" w:cs="宋体"/>
                <w:sz w:val="21"/>
              </w:rPr>
              <w:t>赵伟</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302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8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4</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雷世潘</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5</w:t>
            </w:r>
          </w:p>
        </w:tc>
        <w:tc>
          <w:tcPr>
            <w:tcW w:w="2140" w:type="dxa"/>
            <w:tcMar>
              <w:top w:w="0" w:type="dxa"/>
              <w:left w:w="0" w:type="dxa"/>
              <w:bottom w:w="0" w:type="dxa"/>
              <w:right w:w="0" w:type="dxa"/>
            </w:tcMar>
          </w:tcPr>
          <w:p>
            <w:pPr>
              <w:spacing w:before="120"/>
              <w:ind w:left="840"/>
            </w:pPr>
            <w:r>
              <w:rPr>
                <w:rFonts w:hint="eastAsia" w:ascii="宋体" w:hAnsi="宋体" w:eastAsia="宋体" w:cs="宋体"/>
                <w:sz w:val="21"/>
              </w:rPr>
              <w:t>赵莹</w:t>
            </w:r>
          </w:p>
        </w:tc>
        <w:tc>
          <w:tcPr>
            <w:tcW w:w="262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6</w:t>
            </w:r>
          </w:p>
        </w:tc>
        <w:tc>
          <w:tcPr>
            <w:tcW w:w="2140" w:type="dxa"/>
            <w:tcMar>
              <w:top w:w="0" w:type="dxa"/>
              <w:left w:w="0" w:type="dxa"/>
              <w:bottom w:w="0" w:type="dxa"/>
              <w:right w:w="0" w:type="dxa"/>
            </w:tcMar>
          </w:tcPr>
          <w:p>
            <w:pPr>
              <w:spacing w:before="100"/>
              <w:ind w:left="740"/>
            </w:pPr>
            <w:r>
              <w:rPr>
                <w:rFonts w:hint="eastAsia" w:ascii="宋体" w:hAnsi="宋体" w:eastAsia="宋体" w:cs="宋体"/>
                <w:sz w:val="21"/>
              </w:rPr>
              <w:t>余养成</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1-1-59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80"/>
        <w:gridCol w:w="2140"/>
        <w:gridCol w:w="2620"/>
        <w:gridCol w:w="2580"/>
      </w:tblGrid>
      <w:tr>
        <w:trPr>
          <w:trHeight w:val="480" w:hRule="exact"/>
        </w:trPr>
        <w:tc>
          <w:tcPr>
            <w:tcW w:w="118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7</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董南勇</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8</w:t>
            </w:r>
          </w:p>
        </w:tc>
        <w:tc>
          <w:tcPr>
            <w:tcW w:w="2140" w:type="dxa"/>
            <w:tcMar>
              <w:top w:w="0" w:type="dxa"/>
              <w:left w:w="0" w:type="dxa"/>
              <w:bottom w:w="0" w:type="dxa"/>
              <w:right w:w="0" w:type="dxa"/>
            </w:tcMar>
          </w:tcPr>
          <w:p>
            <w:pPr>
              <w:spacing w:before="100"/>
              <w:ind w:left="740"/>
            </w:pPr>
            <w:r>
              <w:rPr>
                <w:rFonts w:hint="eastAsia" w:ascii="宋体" w:hAnsi="宋体" w:eastAsia="宋体" w:cs="宋体"/>
                <w:sz w:val="21"/>
              </w:rPr>
              <w:t>戴小戈</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9</w:t>
            </w:r>
          </w:p>
        </w:tc>
        <w:tc>
          <w:tcPr>
            <w:tcW w:w="2140" w:type="dxa"/>
            <w:tcMar>
              <w:top w:w="0" w:type="dxa"/>
              <w:left w:w="0" w:type="dxa"/>
              <w:bottom w:w="0" w:type="dxa"/>
              <w:right w:w="0" w:type="dxa"/>
            </w:tcMar>
          </w:tcPr>
          <w:p>
            <w:pPr>
              <w:spacing w:before="100"/>
              <w:ind w:left="840"/>
            </w:pPr>
            <w:r>
              <w:rPr>
                <w:rFonts w:hint="eastAsia" w:ascii="宋体" w:hAnsi="宋体" w:eastAsia="宋体" w:cs="宋体"/>
                <w:sz w:val="21"/>
              </w:rPr>
              <w:t>欧永</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10</w:t>
            </w:r>
          </w:p>
        </w:tc>
        <w:tc>
          <w:tcPr>
            <w:tcW w:w="2140" w:type="dxa"/>
            <w:tcMar>
              <w:top w:w="0" w:type="dxa"/>
              <w:left w:w="0" w:type="dxa"/>
              <w:bottom w:w="0" w:type="dxa"/>
              <w:right w:w="0" w:type="dxa"/>
            </w:tcMar>
          </w:tcPr>
          <w:p>
            <w:pPr>
              <w:spacing w:before="120"/>
              <w:ind w:left="840"/>
            </w:pPr>
            <w:r>
              <w:rPr>
                <w:rFonts w:hint="eastAsia" w:ascii="宋体" w:hAnsi="宋体" w:eastAsia="宋体" w:cs="宋体"/>
                <w:sz w:val="21"/>
              </w:rPr>
              <w:t>张玉</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11</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刘法先</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12</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林秀红</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13</w:t>
            </w:r>
          </w:p>
        </w:tc>
        <w:tc>
          <w:tcPr>
            <w:tcW w:w="2140" w:type="dxa"/>
            <w:tcMar>
              <w:top w:w="0" w:type="dxa"/>
              <w:left w:w="0" w:type="dxa"/>
              <w:bottom w:w="0" w:type="dxa"/>
              <w:right w:w="0" w:type="dxa"/>
            </w:tcMar>
          </w:tcPr>
          <w:p>
            <w:pPr>
              <w:spacing w:before="100"/>
              <w:ind w:left="740"/>
            </w:pPr>
            <w:r>
              <w:rPr>
                <w:rFonts w:hint="eastAsia" w:ascii="宋体" w:hAnsi="宋体" w:eastAsia="宋体" w:cs="宋体"/>
                <w:sz w:val="21"/>
              </w:rPr>
              <w:t>徐传秋</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14</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邓志强</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15</w:t>
            </w:r>
          </w:p>
        </w:tc>
        <w:tc>
          <w:tcPr>
            <w:tcW w:w="2140" w:type="dxa"/>
            <w:tcMar>
              <w:top w:w="0" w:type="dxa"/>
              <w:left w:w="0" w:type="dxa"/>
              <w:bottom w:w="0" w:type="dxa"/>
              <w:right w:w="0" w:type="dxa"/>
            </w:tcMar>
          </w:tcPr>
          <w:p>
            <w:pPr>
              <w:spacing w:before="100"/>
              <w:ind w:left="740"/>
            </w:pPr>
            <w:r>
              <w:rPr>
                <w:rFonts w:hint="eastAsia" w:ascii="宋体" w:hAnsi="宋体" w:eastAsia="宋体" w:cs="宋体"/>
                <w:sz w:val="21"/>
              </w:rPr>
              <w:t>王敏航</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16</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郑元通</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17</w:t>
            </w:r>
          </w:p>
        </w:tc>
        <w:tc>
          <w:tcPr>
            <w:tcW w:w="2140" w:type="dxa"/>
            <w:tcMar>
              <w:top w:w="0" w:type="dxa"/>
              <w:left w:w="0" w:type="dxa"/>
              <w:bottom w:w="0" w:type="dxa"/>
              <w:right w:w="0" w:type="dxa"/>
            </w:tcMar>
          </w:tcPr>
          <w:p>
            <w:pPr>
              <w:spacing w:before="100"/>
              <w:ind w:left="740"/>
            </w:pPr>
            <w:r>
              <w:rPr>
                <w:rFonts w:hint="eastAsia" w:ascii="宋体" w:hAnsi="宋体" w:eastAsia="宋体" w:cs="宋体"/>
                <w:sz w:val="21"/>
              </w:rPr>
              <w:t>张雄金</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18</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鄢继华</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19</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谢淑仁</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20</w:t>
            </w:r>
          </w:p>
        </w:tc>
        <w:tc>
          <w:tcPr>
            <w:tcW w:w="2140" w:type="dxa"/>
            <w:tcMar>
              <w:top w:w="0" w:type="dxa"/>
              <w:left w:w="0" w:type="dxa"/>
              <w:bottom w:w="0" w:type="dxa"/>
              <w:right w:w="0" w:type="dxa"/>
            </w:tcMar>
          </w:tcPr>
          <w:p>
            <w:pPr>
              <w:spacing w:before="120"/>
              <w:ind w:left="740"/>
            </w:pPr>
            <w:r>
              <w:rPr>
                <w:rFonts w:hint="eastAsia" w:ascii="宋体" w:hAnsi="宋体" w:eastAsia="宋体" w:cs="宋体"/>
                <w:sz w:val="21"/>
              </w:rPr>
              <w:t>陈瑞德</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21</w:t>
            </w:r>
          </w:p>
        </w:tc>
        <w:tc>
          <w:tcPr>
            <w:tcW w:w="2140" w:type="dxa"/>
            <w:tcMar>
              <w:top w:w="0" w:type="dxa"/>
              <w:left w:w="0" w:type="dxa"/>
              <w:bottom w:w="0" w:type="dxa"/>
              <w:right w:w="0" w:type="dxa"/>
            </w:tcMar>
          </w:tcPr>
          <w:p>
            <w:pPr>
              <w:spacing w:before="100"/>
              <w:ind w:left="740"/>
            </w:pPr>
            <w:r>
              <w:rPr>
                <w:rFonts w:hint="eastAsia" w:ascii="宋体" w:hAnsi="宋体" w:eastAsia="宋体" w:cs="宋体"/>
                <w:sz w:val="21"/>
              </w:rPr>
              <w:t>陈建国</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3320" w:type="dxa"/>
            <w:gridSpan w:val="2"/>
            <w:tcMar>
              <w:top w:w="0" w:type="dxa"/>
              <w:left w:w="0" w:type="dxa"/>
              <w:bottom w:w="0" w:type="dxa"/>
              <w:right w:w="0" w:type="dxa"/>
            </w:tcMar>
          </w:tcPr>
          <w:p>
            <w:pPr>
              <w:spacing w:before="120"/>
              <w:ind w:left="1440"/>
            </w:pPr>
            <w:r>
              <w:rPr>
                <w:rFonts w:hint="eastAsia" w:ascii="宋体" w:hAnsi="宋体" w:eastAsia="宋体" w:cs="宋体"/>
                <w:b/>
                <w:sz w:val="21"/>
              </w:rPr>
              <w:t>合计</w:t>
            </w:r>
          </w:p>
        </w:tc>
        <w:tc>
          <w:tcPr>
            <w:tcW w:w="2620" w:type="dxa"/>
            <w:tcMar>
              <w:top w:w="0" w:type="dxa"/>
              <w:left w:w="0" w:type="dxa"/>
              <w:bottom w:w="0" w:type="dxa"/>
              <w:right w:w="0" w:type="dxa"/>
            </w:tcMar>
          </w:tcPr>
          <w:p>
            <w:pPr>
              <w:spacing w:before="180"/>
              <w:ind w:left="1760"/>
            </w:pP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580" w:type="dxa"/>
            <w:tcMar>
              <w:top w:w="0" w:type="dxa"/>
              <w:left w:w="0" w:type="dxa"/>
              <w:bottom w:w="0" w:type="dxa"/>
              <w:right w:w="0" w:type="dxa"/>
            </w:tcMar>
          </w:tcPr>
          <w:p>
            <w:pPr>
              <w:spacing w:before="180"/>
              <w:ind w:left="16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Bold" w:hAnsi="Times New Roman Bold" w:eastAsia="Times New Roman Bold" w:cs="Times New Roman Bold"/>
          <w:b/>
          <w:sz w:val="24"/>
        </w:rPr>
        <w:t>11</w:t>
      </w:r>
      <w:r>
        <w:rPr>
          <w:rFonts w:hint="eastAsia" w:ascii="宋体" w:hAnsi="宋体" w:eastAsia="宋体" w:cs="宋体"/>
          <w:b/>
          <w:sz w:val="10"/>
        </w:rPr>
        <w:t>、</w:t>
      </w:r>
      <w:r>
        <w:rPr>
          <w:rFonts w:hint="eastAsia" w:ascii="Times New Roman Bold" w:hAnsi="Times New Roman Bold" w:eastAsia="Times New Roman Bold" w:cs="Times New Roman Bold"/>
          <w:b/>
          <w:sz w:val="24"/>
        </w:rPr>
        <w:t>2013</w:t>
      </w:r>
      <w:r>
        <w:rPr>
          <w:rFonts w:hint="eastAsia" w:ascii="宋体" w:hAnsi="宋体" w:eastAsia="宋体" w:cs="宋体"/>
          <w:b/>
          <w:sz w:val="24"/>
        </w:rPr>
        <w:t xml:space="preserve"> 年增资</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2013</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14</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公司召开</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年第二次临时股东大会</w:t>
      </w:r>
      <w:r>
        <w:rPr>
          <w:rFonts w:hint="eastAsia" w:ascii="宋体" w:hAnsi="宋体" w:eastAsia="宋体" w:cs="宋体"/>
          <w:sz w:val="10"/>
        </w:rPr>
        <w:t>，</w:t>
      </w:r>
      <w:r>
        <w:rPr>
          <w:rFonts w:hint="eastAsia" w:ascii="宋体" w:hAnsi="宋体" w:eastAsia="宋体" w:cs="宋体"/>
          <w:sz w:val="24"/>
        </w:rPr>
        <w:t>审议通过了《关于公司</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年中期利润分配的议案》，</w:t>
      </w:r>
      <w:r>
        <w:rPr>
          <w:rFonts w:hint="eastAsia" w:ascii="宋体" w:hAnsi="宋体" w:eastAsia="宋体" w:cs="宋体"/>
          <w:sz w:val="24"/>
        </w:rPr>
        <w:t>同意以公司</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日的总股本</w:t>
      </w:r>
      <w:r>
        <w:rPr>
          <w:rFonts w:hint="eastAsia" w:ascii="Times New Roman" w:hAnsi="Times New Roman" w:eastAsia="Times New Roman" w:cs="Times New Roman"/>
          <w:sz w:val="24"/>
        </w:rPr>
        <w:t>2,500.00</w:t>
      </w:r>
      <w:r>
        <w:rPr>
          <w:rFonts w:hint="eastAsia" w:ascii="宋体" w:hAnsi="宋体" w:eastAsia="宋体" w:cs="宋体"/>
          <w:sz w:val="24"/>
        </w:rPr>
        <w:t xml:space="preserve"> 万股为基数</w:t>
      </w:r>
      <w:r>
        <w:rPr>
          <w:rFonts w:hint="eastAsia" w:ascii="宋体" w:hAnsi="宋体" w:eastAsia="宋体" w:cs="宋体"/>
          <w:sz w:val="10"/>
        </w:rPr>
        <w:t>，</w:t>
      </w:r>
      <w:r>
        <w:rPr>
          <w:rFonts w:hint="eastAsia" w:ascii="宋体" w:hAnsi="宋体" w:eastAsia="宋体" w:cs="宋体"/>
          <w:sz w:val="24"/>
        </w:rPr>
        <w:t>以未分配利润向全体股东每</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股送</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股并派发现金股利</w:t>
      </w:r>
      <w:r>
        <w:rPr>
          <w:rFonts w:hint="eastAsia" w:ascii="Times New Roman" w:hAnsi="Times New Roman" w:eastAsia="Times New Roman" w:cs="Times New Roman"/>
          <w:sz w:val="24"/>
        </w:rPr>
        <w:t xml:space="preserve"> 5</w:t>
      </w:r>
      <w:r>
        <w:rPr>
          <w:rFonts w:hint="eastAsia" w:ascii="宋体" w:hAnsi="宋体" w:eastAsia="宋体" w:cs="宋体"/>
          <w:sz w:val="24"/>
        </w:rPr>
        <w:t>元（含税），</w:t>
      </w:r>
      <w:r>
        <w:rPr>
          <w:rFonts w:hint="eastAsia" w:ascii="宋体" w:hAnsi="宋体" w:eastAsia="宋体" w:cs="宋体"/>
          <w:sz w:val="24"/>
        </w:rPr>
        <w:t>共计送红股</w:t>
      </w:r>
      <w:r>
        <w:rPr>
          <w:rFonts w:hint="eastAsia" w:ascii="Times New Roman" w:hAnsi="Times New Roman" w:eastAsia="Times New Roman" w:cs="Times New Roman"/>
          <w:sz w:val="24"/>
        </w:rPr>
        <w:t xml:space="preserve"> 500.00</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派发现金股利</w:t>
      </w:r>
      <w:r>
        <w:rPr>
          <w:rFonts w:hint="eastAsia" w:ascii="Times New Roman" w:hAnsi="Times New Roman" w:eastAsia="Times New Roman" w:cs="Times New Roman"/>
          <w:sz w:val="24"/>
        </w:rPr>
        <w:t xml:space="preserve"> 1,250.00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上述新增注册资本已于</w:t>
      </w:r>
      <w:r>
        <w:rPr>
          <w:rFonts w:hint="eastAsia" w:ascii="Times New Roman" w:hAnsi="Times New Roman" w:eastAsia="Times New Roman" w:cs="Times New Roman"/>
          <w:sz w:val="24"/>
        </w:rPr>
        <w:t xml:space="preserve"> 2013</w:t>
      </w:r>
      <w:r>
        <w:rPr>
          <w:rFonts w:hint="eastAsia" w:ascii="宋体" w:hAnsi="宋体" w:eastAsia="宋体" w:cs="宋体"/>
          <w:sz w:val="24"/>
        </w:rPr>
        <w:t>年</w:t>
      </w:r>
      <w:r>
        <w:rPr>
          <w:rFonts w:hint="eastAsia" w:ascii="Times New Roman" w:hAnsi="Times New Roman" w:eastAsia="Times New Roman" w:cs="Times New Roman"/>
          <w:sz w:val="24"/>
        </w:rPr>
        <w:t xml:space="preserve"> 12</w:t>
      </w:r>
      <w:r>
        <w:rPr>
          <w:rFonts w:hint="eastAsia" w:ascii="宋体" w:hAnsi="宋体" w:eastAsia="宋体" w:cs="宋体"/>
          <w:sz w:val="24"/>
        </w:rPr>
        <w:t>月</w:t>
      </w:r>
      <w:r>
        <w:rPr>
          <w:rFonts w:hint="eastAsia" w:ascii="Times New Roman" w:hAnsi="Times New Roman" w:eastAsia="Times New Roman" w:cs="Times New Roman"/>
          <w:sz w:val="24"/>
        </w:rPr>
        <w:t xml:space="preserve"> 14</w:t>
      </w:r>
      <w:r>
        <w:rPr>
          <w:rFonts w:hint="eastAsia" w:ascii="宋体" w:hAnsi="宋体" w:eastAsia="宋体" w:cs="宋体"/>
          <w:sz w:val="24"/>
        </w:rPr>
        <w:t>日经福建华兴会计师事务所有限公司闽华兴所</w:t>
      </w:r>
      <w:r>
        <w:rPr>
          <w:rFonts w:hint="eastAsia" w:ascii="Times New Roman" w:hAnsi="Times New Roman" w:eastAsia="Times New Roman" w:cs="Times New Roman"/>
          <w:sz w:val="24"/>
        </w:rPr>
        <w:t>(2013)</w:t>
      </w:r>
      <w:r>
        <w:rPr>
          <w:rFonts w:hint="eastAsia" w:ascii="宋体" w:hAnsi="宋体" w:eastAsia="宋体" w:cs="宋体"/>
          <w:sz w:val="24"/>
        </w:rPr>
        <w:t>验字</w:t>
      </w:r>
      <w:r>
        <w:rPr>
          <w:rFonts w:hint="eastAsia" w:ascii="Times New Roman" w:hAnsi="Times New Roman" w:eastAsia="Times New Roman" w:cs="Times New Roman"/>
          <w:sz w:val="24"/>
        </w:rPr>
        <w:t xml:space="preserve"> E-022</w:t>
      </w:r>
      <w:r>
        <w:rPr>
          <w:rFonts w:hint="eastAsia" w:ascii="宋体" w:hAnsi="宋体" w:eastAsia="宋体" w:cs="宋体"/>
          <w:sz w:val="24"/>
        </w:rPr>
        <w:t xml:space="preserve"> 号《验资报告》验证</w:t>
      </w:r>
      <w:r>
        <w:rPr>
          <w:rFonts w:hint="eastAsia" w:ascii="宋体" w:hAnsi="宋体" w:eastAsia="宋体" w:cs="宋体"/>
          <w:sz w:val="10"/>
        </w:rPr>
        <w:t>。</w:t>
      </w:r>
      <w:r>
        <w:rPr>
          <w:rFonts w:hint="eastAsia" w:ascii="宋体" w:hAnsi="宋体" w:eastAsia="宋体" w:cs="宋体"/>
          <w:sz w:val="24"/>
        </w:rPr>
        <w:t>发行人于</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17</w:t>
      </w:r>
      <w:r>
        <w:rPr>
          <w:rFonts w:hint="eastAsia" w:ascii="宋体" w:hAnsi="宋体" w:eastAsia="宋体" w:cs="宋体"/>
          <w:sz w:val="24"/>
        </w:rPr>
        <w:t xml:space="preserve"> 日在福建省工商行政管理局办理了变更登记手续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本次增资完成后</w:t>
      </w:r>
      <w:r>
        <w:rPr>
          <w:rFonts w:hint="eastAsia" w:ascii="宋体" w:hAnsi="宋体" w:eastAsia="宋体" w:cs="宋体"/>
          <w:sz w:val="10"/>
        </w:rPr>
        <w:t>，</w:t>
      </w:r>
      <w:r>
        <w:rPr>
          <w:rFonts w:hint="eastAsia" w:ascii="宋体" w:hAnsi="宋体" w:eastAsia="宋体" w:cs="宋体"/>
          <w:sz w:val="24"/>
        </w:rPr>
        <w:t>顶点软件的股权结构为</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00"/>
        <w:gridCol w:w="2120"/>
        <w:gridCol w:w="2620"/>
        <w:gridCol w:w="2580"/>
      </w:tblGrid>
      <w:tr>
        <w:trPr>
          <w:trHeight w:val="480" w:hRule="exact"/>
        </w:trPr>
        <w:tc>
          <w:tcPr>
            <w:tcW w:w="1200" w:type="dxa"/>
            <w:tcMar>
              <w:top w:w="0" w:type="dxa"/>
              <w:left w:w="0" w:type="dxa"/>
              <w:bottom w:w="0" w:type="dxa"/>
              <w:right w:w="0" w:type="dxa"/>
            </w:tcMar>
          </w:tcPr>
          <w:p>
            <w:pPr>
              <w:spacing w:before="120"/>
              <w:ind w:left="380"/>
            </w:pPr>
            <w:r>
              <w:rPr>
                <w:rFonts w:hint="eastAsia" w:ascii="宋体" w:hAnsi="宋体" w:eastAsia="宋体" w:cs="宋体"/>
                <w:b/>
                <w:sz w:val="21"/>
              </w:rPr>
              <w:t>序号</w:t>
            </w:r>
          </w:p>
        </w:tc>
        <w:tc>
          <w:tcPr>
            <w:tcW w:w="2120" w:type="dxa"/>
            <w:tcMar>
              <w:top w:w="0" w:type="dxa"/>
              <w:left w:w="0" w:type="dxa"/>
              <w:bottom w:w="0" w:type="dxa"/>
              <w:right w:w="0" w:type="dxa"/>
            </w:tcMar>
          </w:tcPr>
          <w:p>
            <w:pPr>
              <w:spacing w:before="120"/>
              <w:ind w:left="620"/>
            </w:pPr>
            <w:r>
              <w:rPr>
                <w:rFonts w:hint="eastAsia" w:ascii="宋体" w:hAnsi="宋体" w:eastAsia="宋体" w:cs="宋体"/>
                <w:b/>
                <w:sz w:val="21"/>
              </w:rPr>
              <w:t>股东姓名</w:t>
            </w:r>
          </w:p>
        </w:tc>
        <w:tc>
          <w:tcPr>
            <w:tcW w:w="2620" w:type="dxa"/>
            <w:tcMar>
              <w:top w:w="0" w:type="dxa"/>
              <w:left w:w="0" w:type="dxa"/>
              <w:bottom w:w="0" w:type="dxa"/>
              <w:right w:w="0" w:type="dxa"/>
            </w:tcMar>
          </w:tcPr>
          <w:p>
            <w:pPr>
              <w:spacing w:before="120"/>
              <w:ind w:left="460"/>
            </w:pPr>
            <w:r>
              <w:rPr>
                <w:rFonts w:hint="eastAsia" w:ascii="宋体" w:hAnsi="宋体" w:eastAsia="宋体" w:cs="宋体"/>
                <w:b/>
                <w:sz w:val="21"/>
              </w:rPr>
              <w:t>股份数量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580" w:type="dxa"/>
            <w:tcMar>
              <w:top w:w="0" w:type="dxa"/>
              <w:left w:w="0" w:type="dxa"/>
              <w:bottom w:w="0" w:type="dxa"/>
              <w:right w:w="0" w:type="dxa"/>
            </w:tcMar>
          </w:tcPr>
          <w:p>
            <w:pPr>
              <w:spacing w:before="120"/>
              <w:ind w:left="860"/>
            </w:pPr>
            <w:r>
              <w:rPr>
                <w:rFonts w:hint="eastAsia" w:ascii="宋体" w:hAnsi="宋体" w:eastAsia="宋体" w:cs="宋体"/>
                <w:b/>
                <w:sz w:val="21"/>
              </w:rPr>
              <w:t>股权比例</w:t>
            </w:r>
          </w:p>
        </w:tc>
      </w:tr>
      <w:tr>
        <w:trPr>
          <w:trHeight w:val="480" w:hRule="exact"/>
        </w:trPr>
        <w:tc>
          <w:tcPr>
            <w:tcW w:w="120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1</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严孟宇</w:t>
            </w:r>
          </w:p>
        </w:tc>
        <w:tc>
          <w:tcPr>
            <w:tcW w:w="262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1061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58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r>
        <w:trPr>
          <w:trHeight w:val="460" w:hRule="exact"/>
        </w:trPr>
        <w:tc>
          <w:tcPr>
            <w:tcW w:w="120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w:t>
            </w:r>
          </w:p>
        </w:tc>
        <w:tc>
          <w:tcPr>
            <w:tcW w:w="2120" w:type="dxa"/>
            <w:tcMar>
              <w:top w:w="0" w:type="dxa"/>
              <w:left w:w="0" w:type="dxa"/>
              <w:bottom w:w="0" w:type="dxa"/>
              <w:right w:w="0" w:type="dxa"/>
            </w:tcMar>
          </w:tcPr>
          <w:p>
            <w:pPr>
              <w:spacing w:before="100"/>
              <w:ind w:left="740"/>
            </w:pPr>
            <w:r>
              <w:rPr>
                <w:rFonts w:hint="eastAsia" w:ascii="宋体" w:hAnsi="宋体" w:eastAsia="宋体" w:cs="宋体"/>
                <w:sz w:val="21"/>
              </w:rPr>
              <w:t>爱派克</w:t>
            </w:r>
          </w:p>
        </w:tc>
        <w:tc>
          <w:tcPr>
            <w:tcW w:w="262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720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1-1-60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00"/>
        <w:gridCol w:w="2120"/>
        <w:gridCol w:w="2620"/>
        <w:gridCol w:w="2580"/>
      </w:tblGrid>
      <w:tr>
        <w:trPr>
          <w:trHeight w:val="480" w:hRule="exact"/>
        </w:trPr>
        <w:tc>
          <w:tcPr>
            <w:tcW w:w="120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3</w:t>
            </w:r>
          </w:p>
        </w:tc>
        <w:tc>
          <w:tcPr>
            <w:tcW w:w="2120" w:type="dxa"/>
            <w:tcMar>
              <w:top w:w="0" w:type="dxa"/>
              <w:left w:w="0" w:type="dxa"/>
              <w:bottom w:w="0" w:type="dxa"/>
              <w:right w:w="0" w:type="dxa"/>
            </w:tcMar>
          </w:tcPr>
          <w:p>
            <w:pPr>
              <w:spacing w:before="100"/>
              <w:ind w:left="840"/>
            </w:pPr>
            <w:r>
              <w:rPr>
                <w:rFonts w:hint="eastAsia" w:ascii="宋体" w:hAnsi="宋体" w:eastAsia="宋体" w:cs="宋体"/>
                <w:sz w:val="21"/>
              </w:rPr>
              <w:t>赵伟</w:t>
            </w:r>
          </w:p>
        </w:tc>
        <w:tc>
          <w:tcPr>
            <w:tcW w:w="262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363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4</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雷世潘</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60" w:hRule="exact"/>
        </w:trPr>
        <w:tc>
          <w:tcPr>
            <w:tcW w:w="120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5</w:t>
            </w:r>
          </w:p>
        </w:tc>
        <w:tc>
          <w:tcPr>
            <w:tcW w:w="2120" w:type="dxa"/>
            <w:tcMar>
              <w:top w:w="0" w:type="dxa"/>
              <w:left w:w="0" w:type="dxa"/>
              <w:bottom w:w="0" w:type="dxa"/>
              <w:right w:w="0" w:type="dxa"/>
            </w:tcMar>
          </w:tcPr>
          <w:p>
            <w:pPr>
              <w:spacing w:before="100"/>
              <w:ind w:left="840"/>
            </w:pPr>
            <w:r>
              <w:rPr>
                <w:rFonts w:hint="eastAsia" w:ascii="宋体" w:hAnsi="宋体" w:eastAsia="宋体" w:cs="宋体"/>
                <w:sz w:val="21"/>
              </w:rPr>
              <w:t>赵莹</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6</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余养成</w:t>
            </w:r>
          </w:p>
        </w:tc>
        <w:tc>
          <w:tcPr>
            <w:tcW w:w="262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137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7</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董南勇</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8</w:t>
            </w:r>
          </w:p>
        </w:tc>
        <w:tc>
          <w:tcPr>
            <w:tcW w:w="2120" w:type="dxa"/>
            <w:tcMar>
              <w:top w:w="0" w:type="dxa"/>
              <w:left w:w="0" w:type="dxa"/>
              <w:bottom w:w="0" w:type="dxa"/>
              <w:right w:w="0" w:type="dxa"/>
            </w:tcMar>
          </w:tcPr>
          <w:p>
            <w:pPr>
              <w:spacing w:before="100"/>
              <w:ind w:left="740"/>
            </w:pPr>
            <w:r>
              <w:rPr>
                <w:rFonts w:hint="eastAsia" w:ascii="宋体" w:hAnsi="宋体" w:eastAsia="宋体" w:cs="宋体"/>
                <w:sz w:val="21"/>
              </w:rPr>
              <w:t>戴小戈</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60" w:hRule="exact"/>
        </w:trPr>
        <w:tc>
          <w:tcPr>
            <w:tcW w:w="120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9</w:t>
            </w:r>
          </w:p>
        </w:tc>
        <w:tc>
          <w:tcPr>
            <w:tcW w:w="2120" w:type="dxa"/>
            <w:tcMar>
              <w:top w:w="0" w:type="dxa"/>
              <w:left w:w="0" w:type="dxa"/>
              <w:bottom w:w="0" w:type="dxa"/>
              <w:right w:w="0" w:type="dxa"/>
            </w:tcMar>
          </w:tcPr>
          <w:p>
            <w:pPr>
              <w:spacing w:before="100"/>
              <w:ind w:left="840"/>
            </w:pPr>
            <w:r>
              <w:rPr>
                <w:rFonts w:hint="eastAsia" w:ascii="宋体" w:hAnsi="宋体" w:eastAsia="宋体" w:cs="宋体"/>
                <w:sz w:val="21"/>
              </w:rPr>
              <w:t>欧永</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10</w:t>
            </w:r>
          </w:p>
        </w:tc>
        <w:tc>
          <w:tcPr>
            <w:tcW w:w="2120" w:type="dxa"/>
            <w:tcMar>
              <w:top w:w="0" w:type="dxa"/>
              <w:left w:w="0" w:type="dxa"/>
              <w:bottom w:w="0" w:type="dxa"/>
              <w:right w:w="0" w:type="dxa"/>
            </w:tcMar>
          </w:tcPr>
          <w:p>
            <w:pPr>
              <w:spacing w:before="120"/>
              <w:ind w:left="840"/>
            </w:pPr>
            <w:r>
              <w:rPr>
                <w:rFonts w:hint="eastAsia" w:ascii="宋体" w:hAnsi="宋体" w:eastAsia="宋体" w:cs="宋体"/>
                <w:sz w:val="21"/>
              </w:rPr>
              <w:t>张玉</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11</w:t>
            </w:r>
          </w:p>
        </w:tc>
        <w:tc>
          <w:tcPr>
            <w:tcW w:w="2120" w:type="dxa"/>
            <w:tcMar>
              <w:top w:w="0" w:type="dxa"/>
              <w:left w:w="0" w:type="dxa"/>
              <w:bottom w:w="0" w:type="dxa"/>
              <w:right w:w="0" w:type="dxa"/>
            </w:tcMar>
          </w:tcPr>
          <w:p>
            <w:pPr>
              <w:spacing w:before="100"/>
              <w:ind w:left="740"/>
            </w:pPr>
            <w:r>
              <w:rPr>
                <w:rFonts w:hint="eastAsia" w:ascii="宋体" w:hAnsi="宋体" w:eastAsia="宋体" w:cs="宋体"/>
                <w:sz w:val="21"/>
              </w:rPr>
              <w:t>刘法先</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12</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林秀红</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2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13</w:t>
            </w:r>
          </w:p>
        </w:tc>
        <w:tc>
          <w:tcPr>
            <w:tcW w:w="2120" w:type="dxa"/>
            <w:tcMar>
              <w:top w:w="0" w:type="dxa"/>
              <w:left w:w="0" w:type="dxa"/>
              <w:bottom w:w="0" w:type="dxa"/>
              <w:right w:w="0" w:type="dxa"/>
            </w:tcMar>
          </w:tcPr>
          <w:p>
            <w:pPr>
              <w:spacing w:before="100"/>
              <w:ind w:left="740"/>
            </w:pPr>
            <w:r>
              <w:rPr>
                <w:rFonts w:hint="eastAsia" w:ascii="宋体" w:hAnsi="宋体" w:eastAsia="宋体" w:cs="宋体"/>
                <w:sz w:val="21"/>
              </w:rPr>
              <w:t>徐传秋</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14</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邓志强</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15</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王敏航</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16</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郑元通</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2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17</w:t>
            </w:r>
          </w:p>
        </w:tc>
        <w:tc>
          <w:tcPr>
            <w:tcW w:w="2120" w:type="dxa"/>
            <w:tcMar>
              <w:top w:w="0" w:type="dxa"/>
              <w:left w:w="0" w:type="dxa"/>
              <w:bottom w:w="0" w:type="dxa"/>
              <w:right w:w="0" w:type="dxa"/>
            </w:tcMar>
          </w:tcPr>
          <w:p>
            <w:pPr>
              <w:spacing w:before="100"/>
              <w:ind w:left="740"/>
            </w:pPr>
            <w:r>
              <w:rPr>
                <w:rFonts w:hint="eastAsia" w:ascii="宋体" w:hAnsi="宋体" w:eastAsia="宋体" w:cs="宋体"/>
                <w:sz w:val="21"/>
              </w:rPr>
              <w:t>张雄金</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18</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鄢继华</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19</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谢淑仁</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w:t>
            </w:r>
          </w:p>
        </w:tc>
        <w:tc>
          <w:tcPr>
            <w:tcW w:w="2120" w:type="dxa"/>
            <w:tcMar>
              <w:top w:w="0" w:type="dxa"/>
              <w:left w:w="0" w:type="dxa"/>
              <w:bottom w:w="0" w:type="dxa"/>
              <w:right w:w="0" w:type="dxa"/>
            </w:tcMar>
          </w:tcPr>
          <w:p>
            <w:pPr>
              <w:spacing w:before="100"/>
              <w:ind w:left="740"/>
            </w:pPr>
            <w:r>
              <w:rPr>
                <w:rFonts w:hint="eastAsia" w:ascii="宋体" w:hAnsi="宋体" w:eastAsia="宋体" w:cs="宋体"/>
                <w:sz w:val="21"/>
              </w:rPr>
              <w:t>陈瑞德</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12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21</w:t>
            </w:r>
          </w:p>
        </w:tc>
        <w:tc>
          <w:tcPr>
            <w:tcW w:w="2120" w:type="dxa"/>
            <w:tcMar>
              <w:top w:w="0" w:type="dxa"/>
              <w:left w:w="0" w:type="dxa"/>
              <w:bottom w:w="0" w:type="dxa"/>
              <w:right w:w="0" w:type="dxa"/>
            </w:tcMar>
          </w:tcPr>
          <w:p>
            <w:pPr>
              <w:spacing w:before="120"/>
              <w:ind w:left="740"/>
            </w:pPr>
            <w:r>
              <w:rPr>
                <w:rFonts w:hint="eastAsia" w:ascii="宋体" w:hAnsi="宋体" w:eastAsia="宋体" w:cs="宋体"/>
                <w:sz w:val="21"/>
              </w:rPr>
              <w:t>陈建国</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3320" w:type="dxa"/>
            <w:gridSpan w:val="2"/>
            <w:tcMar>
              <w:top w:w="0" w:type="dxa"/>
              <w:left w:w="0" w:type="dxa"/>
              <w:bottom w:w="0" w:type="dxa"/>
              <w:right w:w="0" w:type="dxa"/>
            </w:tcMar>
          </w:tcPr>
          <w:p>
            <w:pPr>
              <w:spacing w:before="120"/>
              <w:ind w:left="1440"/>
            </w:pPr>
            <w:r>
              <w:rPr>
                <w:rFonts w:hint="eastAsia" w:ascii="宋体" w:hAnsi="宋体" w:eastAsia="宋体" w:cs="宋体"/>
                <w:b/>
                <w:sz w:val="21"/>
              </w:rPr>
              <w:t>合计</w:t>
            </w:r>
          </w:p>
        </w:tc>
        <w:tc>
          <w:tcPr>
            <w:tcW w:w="2620" w:type="dxa"/>
            <w:tcMar>
              <w:top w:w="0" w:type="dxa"/>
              <w:left w:w="0" w:type="dxa"/>
              <w:bottom w:w="0" w:type="dxa"/>
              <w:right w:w="0" w:type="dxa"/>
            </w:tcMar>
          </w:tcPr>
          <w:p>
            <w:pPr>
              <w:spacing w:before="180"/>
              <w:ind w:left="176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580" w:type="dxa"/>
            <w:tcMar>
              <w:top w:w="0" w:type="dxa"/>
              <w:left w:w="0" w:type="dxa"/>
              <w:bottom w:w="0" w:type="dxa"/>
              <w:right w:w="0" w:type="dxa"/>
            </w:tcMar>
          </w:tcPr>
          <w:p>
            <w:pPr>
              <w:spacing w:before="180"/>
              <w:ind w:left="16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Bold" w:hAnsi="Times New Roman Bold" w:eastAsia="Times New Roman Bold" w:cs="Times New Roman Bold"/>
          <w:b/>
          <w:sz w:val="24"/>
        </w:rPr>
        <w:t>12</w:t>
      </w:r>
      <w:r>
        <w:rPr>
          <w:rFonts w:hint="eastAsia" w:ascii="宋体" w:hAnsi="宋体" w:eastAsia="宋体" w:cs="宋体"/>
          <w:b/>
          <w:sz w:val="10"/>
        </w:rPr>
        <w:t>、</w:t>
      </w:r>
      <w:r>
        <w:rPr>
          <w:rFonts w:hint="eastAsia" w:ascii="Times New Roman Bold" w:hAnsi="Times New Roman Bold" w:eastAsia="Times New Roman Bold" w:cs="Times New Roman Bold"/>
          <w:b/>
          <w:sz w:val="24"/>
        </w:rPr>
        <w:t>2015</w:t>
      </w:r>
      <w:r>
        <w:rPr>
          <w:rFonts w:hint="eastAsia" w:ascii="宋体" w:hAnsi="宋体" w:eastAsia="宋体" w:cs="宋体"/>
          <w:b/>
          <w:sz w:val="24"/>
        </w:rPr>
        <w:t xml:space="preserve"> 年第一次股权转让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公司召开</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w:t>
      </w:r>
      <w:r>
        <w:rPr>
          <w:rFonts w:hint="eastAsia" w:ascii="宋体" w:hAnsi="宋体" w:eastAsia="宋体" w:cs="宋体"/>
          <w:sz w:val="10"/>
        </w:rPr>
        <w:t>一</w:t>
      </w:r>
      <w:r>
        <w:rPr>
          <w:rFonts w:hint="eastAsia" w:ascii="宋体" w:hAnsi="宋体" w:eastAsia="宋体" w:cs="宋体"/>
          <w:sz w:val="24"/>
        </w:rPr>
        <w:t>次临时股东大会</w:t>
      </w:r>
      <w:r>
        <w:rPr>
          <w:rFonts w:hint="eastAsia" w:ascii="宋体" w:hAnsi="宋体" w:eastAsia="宋体" w:cs="宋体"/>
          <w:sz w:val="10"/>
        </w:rPr>
        <w:t>，</w:t>
      </w:r>
      <w:r>
        <w:rPr>
          <w:rFonts w:hint="eastAsia" w:ascii="宋体" w:hAnsi="宋体" w:eastAsia="宋体" w:cs="宋体"/>
          <w:sz w:val="24"/>
        </w:rPr>
        <w:t>同意董南勇将其持有的</w:t>
      </w:r>
      <w:r>
        <w:rPr>
          <w:rFonts w:hint="eastAsia" w:ascii="Times New Roman" w:hAnsi="Times New Roman" w:eastAsia="Times New Roman" w:cs="Times New Roman"/>
          <w:sz w:val="24"/>
        </w:rPr>
        <w:t xml:space="preserve"> 16.00</w:t>
      </w:r>
      <w:r>
        <w:rPr>
          <w:rFonts w:hint="eastAsia" w:ascii="宋体" w:hAnsi="宋体" w:eastAsia="宋体" w:cs="宋体"/>
          <w:sz w:val="24"/>
        </w:rPr>
        <w:t xml:space="preserve"> 万股分别转让给股东戴小戈</w:t>
      </w:r>
      <w:r>
        <w:rPr>
          <w:rFonts w:hint="eastAsia" w:ascii="宋体" w:hAnsi="宋体" w:eastAsia="宋体" w:cs="宋体"/>
          <w:sz w:val="10"/>
        </w:rPr>
        <w:t>、</w:t>
      </w:r>
      <w:r>
        <w:rPr>
          <w:rFonts w:hint="eastAsia" w:ascii="宋体" w:hAnsi="宋体" w:eastAsia="宋体" w:cs="宋体"/>
          <w:sz w:val="24"/>
        </w:rPr>
        <w:t>郑元通</w:t>
      </w:r>
      <w:r>
        <w:rPr>
          <w:rFonts w:hint="eastAsia" w:ascii="宋体" w:hAnsi="宋体" w:eastAsia="宋体" w:cs="宋体"/>
          <w:sz w:val="10"/>
        </w:rPr>
        <w:t>、</w:t>
      </w:r>
      <w:r>
        <w:rPr>
          <w:rFonts w:hint="eastAsia" w:ascii="宋体" w:hAnsi="宋体" w:eastAsia="宋体" w:cs="宋体"/>
          <w:sz w:val="24"/>
        </w:rPr>
        <w:t>张雄金</w:t>
      </w:r>
      <w:r>
        <w:rPr>
          <w:rFonts w:hint="eastAsia" w:ascii="宋体" w:hAnsi="宋体" w:eastAsia="宋体" w:cs="宋体"/>
          <w:sz w:val="10"/>
        </w:rPr>
        <w:t>、</w:t>
      </w:r>
      <w:r>
        <w:rPr>
          <w:rFonts w:hint="eastAsia" w:ascii="宋体" w:hAnsi="宋体" w:eastAsia="宋体" w:cs="宋体"/>
          <w:sz w:val="24"/>
        </w:rPr>
        <w:t>鄢继华各</w:t>
      </w:r>
      <w:r>
        <w:rPr>
          <w:rFonts w:hint="eastAsia" w:ascii="Times New Roman" w:hAnsi="Times New Roman" w:eastAsia="Times New Roman" w:cs="Times New Roman"/>
          <w:sz w:val="24"/>
        </w:rPr>
        <w:t xml:space="preserve"> 4.00</w:t>
      </w:r>
      <w:r>
        <w:rPr>
          <w:rFonts w:hint="eastAsia" w:ascii="宋体" w:hAnsi="宋体" w:eastAsia="宋体" w:cs="宋体"/>
          <w:sz w:val="24"/>
        </w:rPr>
        <w:t>万股</w:t>
      </w:r>
      <w:r>
        <w:rPr>
          <w:rFonts w:hint="eastAsia" w:ascii="宋体" w:hAnsi="宋体" w:eastAsia="宋体" w:cs="宋体"/>
          <w:sz w:val="10"/>
        </w:rPr>
        <w:t>。</w:t>
      </w:r>
      <w:r>
        <w:rPr>
          <w:rFonts w:hint="eastAsia" w:ascii="宋体" w:hAnsi="宋体" w:eastAsia="宋体" w:cs="宋体"/>
          <w:sz w:val="24"/>
        </w:rPr>
        <w:t>公司于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日在福建省工商行政管理局办理了工商变更登记手续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转让完成后</w:t>
      </w:r>
      <w:r>
        <w:rPr>
          <w:rFonts w:hint="eastAsia" w:ascii="宋体" w:hAnsi="宋体" w:eastAsia="宋体" w:cs="宋体"/>
          <w:sz w:val="10"/>
        </w:rPr>
        <w:t>，</w:t>
      </w:r>
      <w:r>
        <w:rPr>
          <w:rFonts w:hint="eastAsia" w:ascii="宋体" w:hAnsi="宋体" w:eastAsia="宋体" w:cs="宋体"/>
          <w:sz w:val="24"/>
        </w:rPr>
        <w:t>顶点软件的股权结构为</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160"/>
        <w:gridCol w:w="2640"/>
        <w:gridCol w:w="2560"/>
      </w:tblGrid>
      <w:tr>
        <w:trPr>
          <w:trHeight w:val="480" w:hRule="exact"/>
        </w:trPr>
        <w:tc>
          <w:tcPr>
            <w:tcW w:w="1160" w:type="dxa"/>
            <w:tcMar>
              <w:top w:w="0" w:type="dxa"/>
              <w:left w:w="0" w:type="dxa"/>
              <w:bottom w:w="0" w:type="dxa"/>
              <w:right w:w="0" w:type="dxa"/>
            </w:tcMar>
          </w:tcPr>
          <w:p>
            <w:pPr>
              <w:spacing w:before="120"/>
              <w:ind w:left="360"/>
            </w:pPr>
            <w:r>
              <w:rPr>
                <w:rFonts w:hint="eastAsia" w:ascii="宋体" w:hAnsi="宋体" w:eastAsia="宋体" w:cs="宋体"/>
                <w:b/>
                <w:sz w:val="21"/>
              </w:rPr>
              <w:t>序号</w:t>
            </w:r>
          </w:p>
        </w:tc>
        <w:tc>
          <w:tcPr>
            <w:tcW w:w="2160" w:type="dxa"/>
            <w:tcMar>
              <w:top w:w="0" w:type="dxa"/>
              <w:left w:w="0" w:type="dxa"/>
              <w:bottom w:w="0" w:type="dxa"/>
              <w:right w:w="0" w:type="dxa"/>
            </w:tcMar>
          </w:tcPr>
          <w:p>
            <w:pPr>
              <w:spacing w:before="120"/>
              <w:ind w:left="640"/>
            </w:pPr>
            <w:r>
              <w:rPr>
                <w:rFonts w:hint="eastAsia" w:ascii="宋体" w:hAnsi="宋体" w:eastAsia="宋体" w:cs="宋体"/>
                <w:b/>
                <w:sz w:val="21"/>
              </w:rPr>
              <w:t>股东姓名</w:t>
            </w:r>
          </w:p>
        </w:tc>
        <w:tc>
          <w:tcPr>
            <w:tcW w:w="2640" w:type="dxa"/>
            <w:tcMar>
              <w:top w:w="0" w:type="dxa"/>
              <w:left w:w="0" w:type="dxa"/>
              <w:bottom w:w="0" w:type="dxa"/>
              <w:right w:w="0" w:type="dxa"/>
            </w:tcMar>
          </w:tcPr>
          <w:p>
            <w:pPr>
              <w:spacing w:before="120"/>
              <w:ind w:left="460"/>
            </w:pPr>
            <w:r>
              <w:rPr>
                <w:rFonts w:hint="eastAsia" w:ascii="宋体" w:hAnsi="宋体" w:eastAsia="宋体" w:cs="宋体"/>
                <w:b/>
                <w:sz w:val="21"/>
              </w:rPr>
              <w:t>股份数量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560" w:type="dxa"/>
            <w:tcMar>
              <w:top w:w="0" w:type="dxa"/>
              <w:left w:w="0" w:type="dxa"/>
              <w:bottom w:w="0" w:type="dxa"/>
              <w:right w:w="0" w:type="dxa"/>
            </w:tcMar>
          </w:tcPr>
          <w:p>
            <w:pPr>
              <w:spacing w:before="120"/>
              <w:ind w:left="840"/>
            </w:pPr>
            <w:r>
              <w:rPr>
                <w:rFonts w:hint="eastAsia" w:ascii="宋体" w:hAnsi="宋体" w:eastAsia="宋体" w:cs="宋体"/>
                <w:b/>
                <w:sz w:val="21"/>
              </w:rPr>
              <w:t>股权比例</w:t>
            </w:r>
          </w:p>
        </w:tc>
      </w:tr>
      <w:tr>
        <w:trPr>
          <w:trHeight w:val="46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1</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严孟宇</w:t>
            </w:r>
          </w:p>
        </w:tc>
        <w:tc>
          <w:tcPr>
            <w:tcW w:w="264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1061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560" w:type="dxa"/>
            <w:tcMar>
              <w:top w:w="0" w:type="dxa"/>
              <w:left w:w="0" w:type="dxa"/>
              <w:bottom w:w="0" w:type="dxa"/>
              <w:right w:w="0" w:type="dxa"/>
            </w:tcMar>
          </w:tcPr>
          <w:p>
            <w:pPr>
              <w:spacing w:before="140"/>
              <w:ind w:left="180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1-1-61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160"/>
        <w:gridCol w:w="2640"/>
        <w:gridCol w:w="2560"/>
      </w:tblGrid>
      <w:tr>
        <w:trPr>
          <w:trHeight w:val="48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w:t>
            </w:r>
          </w:p>
        </w:tc>
        <w:tc>
          <w:tcPr>
            <w:tcW w:w="2160" w:type="dxa"/>
            <w:tcMar>
              <w:top w:w="0" w:type="dxa"/>
              <w:left w:w="0" w:type="dxa"/>
              <w:bottom w:w="0" w:type="dxa"/>
              <w:right w:w="0" w:type="dxa"/>
            </w:tcMar>
          </w:tcPr>
          <w:p>
            <w:pPr>
              <w:spacing w:before="100"/>
              <w:ind w:left="760"/>
            </w:pPr>
            <w:r>
              <w:rPr>
                <w:rFonts w:hint="eastAsia" w:ascii="宋体" w:hAnsi="宋体" w:eastAsia="宋体" w:cs="宋体"/>
                <w:sz w:val="21"/>
              </w:rPr>
              <w:t>爱派克</w:t>
            </w:r>
          </w:p>
        </w:tc>
        <w:tc>
          <w:tcPr>
            <w:tcW w:w="264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720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40"/>
              <w:ind w:left="180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3</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赵伟</w:t>
            </w:r>
          </w:p>
        </w:tc>
        <w:tc>
          <w:tcPr>
            <w:tcW w:w="264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363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60" w:type="dxa"/>
            <w:tcMar>
              <w:top w:w="0" w:type="dxa"/>
              <w:left w:w="0" w:type="dxa"/>
              <w:bottom w:w="0" w:type="dxa"/>
              <w:right w:w="0" w:type="dxa"/>
            </w:tcMar>
          </w:tcPr>
          <w:p>
            <w:pPr>
              <w:spacing w:before="160"/>
              <w:ind w:left="180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4</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雷世潘</w:t>
            </w:r>
          </w:p>
        </w:tc>
        <w:tc>
          <w:tcPr>
            <w:tcW w:w="264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163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5</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赵莹</w:t>
            </w:r>
          </w:p>
        </w:tc>
        <w:tc>
          <w:tcPr>
            <w:tcW w:w="2640" w:type="dxa"/>
            <w:tcMar>
              <w:top w:w="0" w:type="dxa"/>
              <w:left w:w="0" w:type="dxa"/>
              <w:bottom w:w="0" w:type="dxa"/>
              <w:right w:w="0" w:type="dxa"/>
            </w:tcMar>
          </w:tcPr>
          <w:p>
            <w:pPr>
              <w:spacing w:before="180"/>
              <w:ind w:left="1940"/>
            </w:pPr>
            <w:r>
              <w:rPr>
                <w:rFonts w:hint="eastAsia" w:ascii="Times New Roman" w:hAnsi="Times New Roman" w:eastAsia="Times New Roman" w:cs="Times New Roman"/>
                <w:sz w:val="21"/>
              </w:rPr>
              <w:t>141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6</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余养成</w:t>
            </w:r>
          </w:p>
        </w:tc>
        <w:tc>
          <w:tcPr>
            <w:tcW w:w="264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137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7</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董南勇</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8</w:t>
            </w:r>
          </w:p>
        </w:tc>
        <w:tc>
          <w:tcPr>
            <w:tcW w:w="2160" w:type="dxa"/>
            <w:tcMar>
              <w:top w:w="0" w:type="dxa"/>
              <w:left w:w="0" w:type="dxa"/>
              <w:bottom w:w="0" w:type="dxa"/>
              <w:right w:w="0" w:type="dxa"/>
            </w:tcMar>
          </w:tcPr>
          <w:p>
            <w:pPr>
              <w:spacing w:before="100"/>
              <w:ind w:left="760"/>
            </w:pPr>
            <w:r>
              <w:rPr>
                <w:rFonts w:hint="eastAsia" w:ascii="宋体" w:hAnsi="宋体" w:eastAsia="宋体" w:cs="宋体"/>
                <w:sz w:val="21"/>
              </w:rPr>
              <w:t>戴小戈</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9</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欧永</w:t>
            </w:r>
          </w:p>
        </w:tc>
        <w:tc>
          <w:tcPr>
            <w:tcW w:w="2640" w:type="dxa"/>
            <w:tcMar>
              <w:top w:w="0" w:type="dxa"/>
              <w:left w:w="0" w:type="dxa"/>
              <w:bottom w:w="0" w:type="dxa"/>
              <w:right w:w="0" w:type="dxa"/>
            </w:tcMar>
          </w:tcPr>
          <w:p>
            <w:pPr>
              <w:spacing w:before="180"/>
              <w:ind w:left="20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10</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张玉</w:t>
            </w:r>
          </w:p>
        </w:tc>
        <w:tc>
          <w:tcPr>
            <w:tcW w:w="264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11</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刘法先</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12</w:t>
            </w:r>
          </w:p>
        </w:tc>
        <w:tc>
          <w:tcPr>
            <w:tcW w:w="2160" w:type="dxa"/>
            <w:tcMar>
              <w:top w:w="0" w:type="dxa"/>
              <w:left w:w="0" w:type="dxa"/>
              <w:bottom w:w="0" w:type="dxa"/>
              <w:right w:w="0" w:type="dxa"/>
            </w:tcMar>
          </w:tcPr>
          <w:p>
            <w:pPr>
              <w:spacing w:before="100"/>
              <w:ind w:left="760"/>
            </w:pPr>
            <w:r>
              <w:rPr>
                <w:rFonts w:hint="eastAsia" w:ascii="宋体" w:hAnsi="宋体" w:eastAsia="宋体" w:cs="宋体"/>
                <w:sz w:val="21"/>
              </w:rPr>
              <w:t>林秀红</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13</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徐传秋</w:t>
            </w:r>
          </w:p>
        </w:tc>
        <w:tc>
          <w:tcPr>
            <w:tcW w:w="2640" w:type="dxa"/>
            <w:tcMar>
              <w:top w:w="0" w:type="dxa"/>
              <w:left w:w="0" w:type="dxa"/>
              <w:bottom w:w="0" w:type="dxa"/>
              <w:right w:w="0" w:type="dxa"/>
            </w:tcMar>
          </w:tcPr>
          <w:p>
            <w:pPr>
              <w:spacing w:before="180"/>
              <w:ind w:left="204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14</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邓志强</w:t>
            </w:r>
          </w:p>
        </w:tc>
        <w:tc>
          <w:tcPr>
            <w:tcW w:w="264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15</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王敏航</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16</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郑元通</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17</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张雄金</w:t>
            </w:r>
          </w:p>
        </w:tc>
        <w:tc>
          <w:tcPr>
            <w:tcW w:w="2640" w:type="dxa"/>
            <w:tcMar>
              <w:top w:w="0" w:type="dxa"/>
              <w:left w:w="0" w:type="dxa"/>
              <w:bottom w:w="0" w:type="dxa"/>
              <w:right w:w="0" w:type="dxa"/>
            </w:tcMar>
          </w:tcPr>
          <w:p>
            <w:pPr>
              <w:spacing w:before="180"/>
              <w:ind w:left="204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18</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鄢继华</w:t>
            </w:r>
          </w:p>
        </w:tc>
        <w:tc>
          <w:tcPr>
            <w:tcW w:w="2640" w:type="dxa"/>
            <w:tcMar>
              <w:top w:w="0" w:type="dxa"/>
              <w:left w:w="0" w:type="dxa"/>
              <w:bottom w:w="0" w:type="dxa"/>
              <w:right w:w="0" w:type="dxa"/>
            </w:tcMar>
          </w:tcPr>
          <w:p>
            <w:pPr>
              <w:spacing w:before="140"/>
              <w:ind w:left="204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19</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谢淑仁</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6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20</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陈瑞德</w:t>
            </w:r>
          </w:p>
        </w:tc>
        <w:tc>
          <w:tcPr>
            <w:tcW w:w="2640" w:type="dxa"/>
            <w:tcMar>
              <w:top w:w="0" w:type="dxa"/>
              <w:left w:w="0" w:type="dxa"/>
              <w:bottom w:w="0" w:type="dxa"/>
              <w:right w:w="0" w:type="dxa"/>
            </w:tcMar>
          </w:tcPr>
          <w:p>
            <w:pPr>
              <w:spacing w:before="160"/>
              <w:ind w:left="204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21</w:t>
            </w:r>
          </w:p>
        </w:tc>
        <w:tc>
          <w:tcPr>
            <w:tcW w:w="2160" w:type="dxa"/>
            <w:tcMar>
              <w:top w:w="0" w:type="dxa"/>
              <w:left w:w="0" w:type="dxa"/>
              <w:bottom w:w="0" w:type="dxa"/>
              <w:right w:w="0" w:type="dxa"/>
            </w:tcMar>
          </w:tcPr>
          <w:p>
            <w:pPr>
              <w:spacing w:before="120"/>
              <w:ind w:left="760"/>
            </w:pPr>
            <w:r>
              <w:rPr>
                <w:rFonts w:hint="eastAsia" w:ascii="宋体" w:hAnsi="宋体" w:eastAsia="宋体" w:cs="宋体"/>
                <w:sz w:val="21"/>
              </w:rPr>
              <w:t>陈建国</w:t>
            </w:r>
          </w:p>
        </w:tc>
        <w:tc>
          <w:tcPr>
            <w:tcW w:w="2640" w:type="dxa"/>
            <w:tcMar>
              <w:top w:w="0" w:type="dxa"/>
              <w:left w:w="0" w:type="dxa"/>
              <w:bottom w:w="0" w:type="dxa"/>
              <w:right w:w="0" w:type="dxa"/>
            </w:tcMar>
          </w:tcPr>
          <w:p>
            <w:pPr>
              <w:spacing w:before="180"/>
              <w:ind w:left="204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3320" w:type="dxa"/>
            <w:gridSpan w:val="2"/>
            <w:tcMar>
              <w:top w:w="0" w:type="dxa"/>
              <w:left w:w="0" w:type="dxa"/>
              <w:bottom w:w="0" w:type="dxa"/>
              <w:right w:w="0" w:type="dxa"/>
            </w:tcMar>
          </w:tcPr>
          <w:p>
            <w:pPr>
              <w:spacing w:before="100"/>
              <w:ind w:left="1440"/>
            </w:pPr>
            <w:r>
              <w:rPr>
                <w:rFonts w:hint="eastAsia" w:ascii="宋体" w:hAnsi="宋体" w:eastAsia="宋体" w:cs="宋体"/>
                <w:b/>
                <w:sz w:val="21"/>
              </w:rPr>
              <w:t>合计</w:t>
            </w:r>
          </w:p>
        </w:tc>
        <w:tc>
          <w:tcPr>
            <w:tcW w:w="2640" w:type="dxa"/>
            <w:tcMar>
              <w:top w:w="0" w:type="dxa"/>
              <w:left w:w="0" w:type="dxa"/>
              <w:bottom w:w="0" w:type="dxa"/>
              <w:right w:w="0" w:type="dxa"/>
            </w:tcMar>
          </w:tcPr>
          <w:p>
            <w:pPr>
              <w:spacing w:before="140"/>
              <w:ind w:left="178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560" w:type="dxa"/>
            <w:tcMar>
              <w:top w:w="0" w:type="dxa"/>
              <w:left w:w="0" w:type="dxa"/>
              <w:bottom w:w="0" w:type="dxa"/>
              <w:right w:w="0" w:type="dxa"/>
            </w:tcMar>
          </w:tcPr>
          <w:p>
            <w:pPr>
              <w:spacing w:before="140"/>
              <w:ind w:left="16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Times New Roman Bold" w:hAnsi="Times New Roman Bold" w:eastAsia="Times New Roman Bold" w:cs="Times New Roman Bold"/>
          <w:b/>
          <w:sz w:val="24"/>
        </w:rPr>
        <w:t>13</w:t>
      </w:r>
      <w:r>
        <w:rPr>
          <w:rFonts w:hint="eastAsia" w:ascii="宋体" w:hAnsi="宋体" w:eastAsia="宋体" w:cs="宋体"/>
          <w:b/>
          <w:sz w:val="10"/>
        </w:rPr>
        <w:t>、</w:t>
      </w:r>
      <w:r>
        <w:rPr>
          <w:rFonts w:hint="eastAsia" w:ascii="Times New Roman Bold" w:hAnsi="Times New Roman Bold" w:eastAsia="Times New Roman Bold" w:cs="Times New Roman Bold"/>
          <w:b/>
          <w:sz w:val="24"/>
        </w:rPr>
        <w:t>2015</w:t>
      </w:r>
      <w:r>
        <w:rPr>
          <w:rFonts w:hint="eastAsia" w:ascii="宋体" w:hAnsi="宋体" w:eastAsia="宋体" w:cs="宋体"/>
          <w:b/>
          <w:sz w:val="24"/>
        </w:rPr>
        <w:t xml:space="preserve"> 年第二次股权转让</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爱派克与林永正签署股权转让协议</w:t>
      </w:r>
      <w:r>
        <w:rPr>
          <w:rFonts w:hint="eastAsia" w:ascii="宋体" w:hAnsi="宋体" w:eastAsia="宋体" w:cs="宋体"/>
          <w:sz w:val="10"/>
        </w:rPr>
        <w:t>，</w:t>
      </w:r>
      <w:r>
        <w:rPr>
          <w:rFonts w:hint="eastAsia" w:ascii="宋体" w:hAnsi="宋体" w:eastAsia="宋体" w:cs="宋体"/>
          <w:sz w:val="24"/>
        </w:rPr>
        <w:t>爱派克将其持有的顶点软件</w:t>
      </w:r>
      <w:r>
        <w:rPr>
          <w:rFonts w:hint="eastAsia" w:ascii="Times New Roman" w:hAnsi="Times New Roman" w:eastAsia="Times New Roman" w:cs="Times New Roman"/>
          <w:sz w:val="24"/>
        </w:rPr>
        <w:t xml:space="preserve"> 3.60%</w:t>
      </w:r>
      <w:r>
        <w:rPr>
          <w:rFonts w:hint="eastAsia" w:ascii="宋体" w:hAnsi="宋体" w:eastAsia="宋体" w:cs="宋体"/>
          <w:sz w:val="24"/>
        </w:rPr>
        <w:t>的股权（合计</w:t>
      </w:r>
      <w:r>
        <w:rPr>
          <w:rFonts w:hint="eastAsia" w:ascii="Times New Roman" w:hAnsi="Times New Roman" w:eastAsia="Times New Roman" w:cs="Times New Roman"/>
          <w:sz w:val="24"/>
        </w:rPr>
        <w:t xml:space="preserve"> 108.00</w:t>
      </w:r>
      <w:r>
        <w:rPr>
          <w:rFonts w:hint="eastAsia" w:ascii="宋体" w:hAnsi="宋体" w:eastAsia="宋体" w:cs="宋体"/>
          <w:sz w:val="24"/>
        </w:rPr>
        <w:t xml:space="preserve"> 万股）转让给林永正</w:t>
      </w:r>
      <w:r>
        <w:rPr>
          <w:rFonts w:hint="eastAsia" w:ascii="宋体" w:hAnsi="宋体" w:eastAsia="宋体" w:cs="宋体"/>
          <w:sz w:val="10"/>
        </w:rPr>
        <w:t>。</w:t>
      </w:r>
      <w:r>
        <w:rPr>
          <w:rFonts w:hint="eastAsia" w:ascii="宋体" w:hAnsi="宋体" w:eastAsia="宋体" w:cs="宋体"/>
          <w:sz w:val="24"/>
        </w:rPr>
        <w:t>公司于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28</w:t>
      </w:r>
      <w:r>
        <w:rPr>
          <w:rFonts w:hint="eastAsia" w:ascii="宋体" w:hAnsi="宋体" w:eastAsia="宋体" w:cs="宋体"/>
          <w:sz w:val="24"/>
        </w:rPr>
        <w:t xml:space="preserve"> 日在福建省工商行政管理局办理了工商变更登记手续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转让完成后</w:t>
      </w:r>
      <w:r>
        <w:rPr>
          <w:rFonts w:hint="eastAsia" w:ascii="宋体" w:hAnsi="宋体" w:eastAsia="宋体" w:cs="宋体"/>
          <w:sz w:val="10"/>
        </w:rPr>
        <w:t>，</w:t>
      </w:r>
      <w:r>
        <w:rPr>
          <w:rFonts w:hint="eastAsia" w:ascii="宋体" w:hAnsi="宋体" w:eastAsia="宋体" w:cs="宋体"/>
          <w:sz w:val="24"/>
        </w:rPr>
        <w:t>顶点软件的股权结构为</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160"/>
        <w:gridCol w:w="2620"/>
        <w:gridCol w:w="2580"/>
      </w:tblGrid>
      <w:tr>
        <w:trPr>
          <w:trHeight w:val="460" w:hRule="exact"/>
        </w:trPr>
        <w:tc>
          <w:tcPr>
            <w:tcW w:w="1160" w:type="dxa"/>
            <w:tcMar>
              <w:top w:w="0" w:type="dxa"/>
              <w:left w:w="0" w:type="dxa"/>
              <w:bottom w:w="0" w:type="dxa"/>
              <w:right w:w="0" w:type="dxa"/>
            </w:tcMar>
          </w:tcPr>
          <w:p>
            <w:pPr>
              <w:spacing w:before="100"/>
              <w:ind w:left="340"/>
            </w:pPr>
            <w:r>
              <w:rPr>
                <w:rFonts w:hint="eastAsia" w:ascii="宋体" w:hAnsi="宋体" w:eastAsia="宋体" w:cs="宋体"/>
                <w:b/>
                <w:sz w:val="21"/>
              </w:rPr>
              <w:t>序号</w:t>
            </w:r>
          </w:p>
        </w:tc>
        <w:tc>
          <w:tcPr>
            <w:tcW w:w="2160" w:type="dxa"/>
            <w:tcMar>
              <w:top w:w="0" w:type="dxa"/>
              <w:left w:w="0" w:type="dxa"/>
              <w:bottom w:w="0" w:type="dxa"/>
              <w:right w:w="0" w:type="dxa"/>
            </w:tcMar>
          </w:tcPr>
          <w:p>
            <w:pPr>
              <w:spacing w:before="100"/>
              <w:ind w:left="640"/>
            </w:pPr>
            <w:r>
              <w:rPr>
                <w:rFonts w:hint="eastAsia" w:ascii="宋体" w:hAnsi="宋体" w:eastAsia="宋体" w:cs="宋体"/>
                <w:b/>
                <w:sz w:val="21"/>
              </w:rPr>
              <w:t>股东名称</w:t>
            </w:r>
          </w:p>
        </w:tc>
        <w:tc>
          <w:tcPr>
            <w:tcW w:w="2620" w:type="dxa"/>
            <w:tcMar>
              <w:top w:w="0" w:type="dxa"/>
              <w:left w:w="0" w:type="dxa"/>
              <w:bottom w:w="0" w:type="dxa"/>
              <w:right w:w="0" w:type="dxa"/>
            </w:tcMar>
          </w:tcPr>
          <w:p>
            <w:pPr>
              <w:spacing w:before="100"/>
              <w:ind w:left="560"/>
            </w:pPr>
            <w:r>
              <w:rPr>
                <w:rFonts w:hint="eastAsia" w:ascii="宋体" w:hAnsi="宋体" w:eastAsia="宋体" w:cs="宋体"/>
                <w:b/>
                <w:sz w:val="21"/>
              </w:rPr>
              <w:t>持股数</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580" w:type="dxa"/>
            <w:tcMar>
              <w:top w:w="0" w:type="dxa"/>
              <w:left w:w="0" w:type="dxa"/>
              <w:bottom w:w="0" w:type="dxa"/>
              <w:right w:w="0" w:type="dxa"/>
            </w:tcMar>
          </w:tcPr>
          <w:p>
            <w:pPr>
              <w:spacing w:before="100"/>
              <w:ind w:left="860"/>
            </w:pPr>
            <w:r>
              <w:rPr>
                <w:rFonts w:hint="eastAsia" w:ascii="宋体" w:hAnsi="宋体" w:eastAsia="宋体" w:cs="宋体"/>
                <w:b/>
                <w:sz w:val="21"/>
              </w:rPr>
              <w:t>持股比例</w:t>
            </w:r>
          </w:p>
        </w:tc>
      </w:tr>
      <w:tr>
        <w:trPr>
          <w:trHeight w:val="480" w:hRule="exact"/>
        </w:trPr>
        <w:tc>
          <w:tcPr>
            <w:tcW w:w="116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1</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严孟宇</w:t>
            </w:r>
          </w:p>
        </w:tc>
        <w:tc>
          <w:tcPr>
            <w:tcW w:w="2620" w:type="dxa"/>
            <w:tcMar>
              <w:top w:w="0" w:type="dxa"/>
              <w:left w:w="0" w:type="dxa"/>
              <w:bottom w:w="0" w:type="dxa"/>
              <w:right w:w="0" w:type="dxa"/>
            </w:tcMar>
          </w:tcPr>
          <w:p>
            <w:pPr>
              <w:spacing w:before="180"/>
              <w:ind w:left="17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580" w:type="dxa"/>
            <w:tcMar>
              <w:top w:w="0" w:type="dxa"/>
              <w:left w:w="0" w:type="dxa"/>
              <w:bottom w:w="0" w:type="dxa"/>
              <w:right w:w="0" w:type="dxa"/>
            </w:tcMar>
          </w:tcPr>
          <w:p>
            <w:pPr>
              <w:spacing w:before="180"/>
              <w:ind w:left="182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1-1-62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160"/>
        <w:gridCol w:w="2620"/>
        <w:gridCol w:w="2580"/>
      </w:tblGrid>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2</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爱派克</w:t>
            </w:r>
          </w:p>
        </w:tc>
        <w:tc>
          <w:tcPr>
            <w:tcW w:w="262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612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3</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赵伟</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363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4</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雷世潘</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5</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赵莹</w:t>
            </w:r>
          </w:p>
        </w:tc>
        <w:tc>
          <w:tcPr>
            <w:tcW w:w="262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141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6</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余养成</w:t>
            </w:r>
          </w:p>
        </w:tc>
        <w:tc>
          <w:tcPr>
            <w:tcW w:w="262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137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7</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林永正</w:t>
            </w:r>
          </w:p>
        </w:tc>
        <w:tc>
          <w:tcPr>
            <w:tcW w:w="26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8</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董南勇</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9</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戴小戈</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10</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欧永</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11</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张玉</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12</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刘法先</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13</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林秀红</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14</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徐传秋</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15</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邓志强</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16</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王敏航</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17</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郑元通</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18</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张雄金</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19</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鄢继华</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20</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谢淑仁</w:t>
            </w:r>
          </w:p>
        </w:tc>
        <w:tc>
          <w:tcPr>
            <w:tcW w:w="262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58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21</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陈瑞德</w:t>
            </w:r>
          </w:p>
        </w:tc>
        <w:tc>
          <w:tcPr>
            <w:tcW w:w="2620" w:type="dxa"/>
            <w:tcMar>
              <w:top w:w="0" w:type="dxa"/>
              <w:left w:w="0" w:type="dxa"/>
              <w:bottom w:w="0" w:type="dxa"/>
              <w:right w:w="0" w:type="dxa"/>
            </w:tcMar>
          </w:tcPr>
          <w:p>
            <w:pPr>
              <w:spacing w:before="180"/>
              <w:ind w:left="20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8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22</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陈建国</w:t>
            </w:r>
          </w:p>
        </w:tc>
        <w:tc>
          <w:tcPr>
            <w:tcW w:w="2620" w:type="dxa"/>
            <w:tcMar>
              <w:top w:w="0" w:type="dxa"/>
              <w:left w:w="0" w:type="dxa"/>
              <w:bottom w:w="0" w:type="dxa"/>
              <w:right w:w="0" w:type="dxa"/>
            </w:tcMar>
          </w:tcPr>
          <w:p>
            <w:pPr>
              <w:spacing w:before="140"/>
              <w:ind w:left="20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58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3320" w:type="dxa"/>
            <w:gridSpan w:val="2"/>
            <w:tcMar>
              <w:top w:w="0" w:type="dxa"/>
              <w:left w:w="0" w:type="dxa"/>
              <w:bottom w:w="0" w:type="dxa"/>
              <w:right w:w="0" w:type="dxa"/>
            </w:tcMar>
          </w:tcPr>
          <w:p>
            <w:pPr>
              <w:spacing w:before="120"/>
              <w:ind w:left="1440"/>
            </w:pPr>
            <w:r>
              <w:rPr>
                <w:rFonts w:hint="eastAsia" w:ascii="宋体" w:hAnsi="宋体" w:eastAsia="宋体" w:cs="宋体"/>
                <w:b/>
                <w:sz w:val="21"/>
              </w:rPr>
              <w:t>合计</w:t>
            </w:r>
          </w:p>
        </w:tc>
        <w:tc>
          <w:tcPr>
            <w:tcW w:w="2620" w:type="dxa"/>
            <w:tcMar>
              <w:top w:w="0" w:type="dxa"/>
              <w:left w:w="0" w:type="dxa"/>
              <w:bottom w:w="0" w:type="dxa"/>
              <w:right w:w="0" w:type="dxa"/>
            </w:tcMar>
          </w:tcPr>
          <w:p>
            <w:pPr>
              <w:spacing w:before="160"/>
              <w:ind w:left="176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580" w:type="dxa"/>
            <w:tcMar>
              <w:top w:w="0" w:type="dxa"/>
              <w:left w:w="0" w:type="dxa"/>
              <w:bottom w:w="0" w:type="dxa"/>
              <w:right w:w="0" w:type="dxa"/>
            </w:tcMar>
          </w:tcPr>
          <w:p>
            <w:pPr>
              <w:spacing w:before="140"/>
              <w:ind w:left="16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Bold" w:hAnsi="Times New Roman Bold" w:eastAsia="Times New Roman Bold" w:cs="Times New Roman Bold"/>
          <w:b/>
          <w:sz w:val="24"/>
        </w:rPr>
        <w:t>14</w:t>
      </w:r>
      <w:r>
        <w:rPr>
          <w:rFonts w:hint="eastAsia" w:ascii="宋体" w:hAnsi="宋体" w:eastAsia="宋体" w:cs="宋体"/>
          <w:b/>
          <w:sz w:val="10"/>
        </w:rPr>
        <w:t>、</w:t>
      </w:r>
      <w:r>
        <w:rPr>
          <w:rFonts w:hint="eastAsia" w:ascii="Times New Roman Bold" w:hAnsi="Times New Roman Bold" w:eastAsia="Times New Roman Bold" w:cs="Times New Roman Bold"/>
          <w:b/>
          <w:sz w:val="24"/>
        </w:rPr>
        <w:t>2015</w:t>
      </w:r>
      <w:r>
        <w:rPr>
          <w:rFonts w:hint="eastAsia" w:ascii="宋体" w:hAnsi="宋体" w:eastAsia="宋体" w:cs="宋体"/>
          <w:b/>
          <w:sz w:val="24"/>
        </w:rPr>
        <w:t xml:space="preserve"> 年第三次股份转让及增资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年第三次临时股东大会审议通过</w:t>
      </w:r>
      <w:r>
        <w:rPr>
          <w:rFonts w:hint="eastAsia" w:ascii="宋体" w:hAnsi="宋体" w:eastAsia="宋体" w:cs="宋体"/>
          <w:sz w:val="10"/>
        </w:rPr>
        <w:t>，</w:t>
      </w:r>
      <w:r>
        <w:rPr>
          <w:rFonts w:hint="eastAsia" w:ascii="宋体" w:hAnsi="宋体" w:eastAsia="宋体" w:cs="宋体"/>
          <w:sz w:val="24"/>
        </w:rPr>
        <w:t>金石投资与顶点软件达成协议</w:t>
      </w:r>
      <w:r>
        <w:rPr>
          <w:rFonts w:hint="eastAsia" w:ascii="宋体" w:hAnsi="宋体" w:eastAsia="宋体" w:cs="宋体"/>
          <w:sz w:val="10"/>
        </w:rPr>
        <w:t>，</w:t>
      </w:r>
      <w:r>
        <w:rPr>
          <w:rFonts w:hint="eastAsia" w:ascii="宋体" w:hAnsi="宋体" w:eastAsia="宋体" w:cs="宋体"/>
          <w:sz w:val="24"/>
        </w:rPr>
        <w:t>金石投资受让严孟宇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赵莹</w:t>
      </w:r>
      <w:r>
        <w:rPr>
          <w:rFonts w:hint="eastAsia" w:ascii="宋体" w:hAnsi="宋体" w:eastAsia="宋体" w:cs="宋体"/>
          <w:sz w:val="10"/>
        </w:rPr>
        <w:t>、</w:t>
      </w:r>
      <w:r>
        <w:rPr>
          <w:rFonts w:hint="eastAsia" w:ascii="宋体" w:hAnsi="宋体" w:eastAsia="宋体" w:cs="宋体"/>
          <w:sz w:val="24"/>
        </w:rPr>
        <w:t>余养成</w:t>
      </w:r>
      <w:r>
        <w:rPr>
          <w:rFonts w:hint="eastAsia" w:ascii="宋体" w:hAnsi="宋体" w:eastAsia="宋体" w:cs="宋体"/>
          <w:sz w:val="10"/>
        </w:rPr>
        <w:t>、</w:t>
      </w:r>
      <w:r>
        <w:rPr>
          <w:rFonts w:hint="eastAsia" w:ascii="宋体" w:hAnsi="宋体" w:eastAsia="宋体" w:cs="宋体"/>
          <w:sz w:val="24"/>
        </w:rPr>
        <w:t>林永正</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欧永</w:t>
      </w:r>
      <w:r>
        <w:rPr>
          <w:rFonts w:hint="eastAsia" w:ascii="宋体" w:hAnsi="宋体" w:eastAsia="宋体" w:cs="宋体"/>
          <w:sz w:val="10"/>
        </w:rPr>
        <w:t>、</w:t>
      </w:r>
      <w:r>
        <w:rPr>
          <w:rFonts w:hint="eastAsia" w:ascii="宋体" w:hAnsi="宋体" w:eastAsia="宋体" w:cs="宋体"/>
          <w:sz w:val="24"/>
        </w:rPr>
        <w:t>张玉</w:t>
      </w:r>
      <w:r>
        <w:rPr>
          <w:rFonts w:hint="eastAsia" w:ascii="宋体" w:hAnsi="宋体" w:eastAsia="宋体" w:cs="宋体"/>
          <w:sz w:val="10"/>
        </w:rPr>
        <w:t>、</w:t>
      </w:r>
      <w:r>
        <w:rPr>
          <w:rFonts w:hint="eastAsia" w:ascii="宋体" w:hAnsi="宋体" w:eastAsia="宋体" w:cs="宋体"/>
          <w:sz w:val="24"/>
        </w:rPr>
        <w:t>刘法先</w:t>
      </w:r>
      <w:r>
        <w:rPr>
          <w:rFonts w:hint="eastAsia" w:ascii="宋体" w:hAnsi="宋体" w:eastAsia="宋体" w:cs="宋体"/>
          <w:sz w:val="10"/>
        </w:rPr>
        <w:t>、</w:t>
      </w:r>
      <w:r>
        <w:rPr>
          <w:rFonts w:hint="eastAsia" w:ascii="宋体" w:hAnsi="宋体" w:eastAsia="宋体" w:cs="宋体"/>
          <w:sz w:val="24"/>
        </w:rPr>
        <w:t>林秀红</w:t>
      </w:r>
      <w:r>
        <w:rPr>
          <w:rFonts w:hint="eastAsia" w:ascii="宋体" w:hAnsi="宋体" w:eastAsia="宋体" w:cs="宋体"/>
          <w:sz w:val="10"/>
        </w:rPr>
        <w:t>、</w:t>
      </w:r>
      <w:r>
        <w:rPr>
          <w:rFonts w:hint="eastAsia" w:ascii="宋体" w:hAnsi="宋体" w:eastAsia="宋体" w:cs="宋体"/>
          <w:sz w:val="24"/>
        </w:rPr>
        <w:t>徐传秋</w:t>
      </w:r>
      <w:r>
        <w:rPr>
          <w:rFonts w:hint="eastAsia" w:ascii="宋体" w:hAnsi="宋体" w:eastAsia="宋体" w:cs="宋体"/>
          <w:sz w:val="10"/>
        </w:rPr>
        <w:t>、</w:t>
      </w:r>
      <w:r>
        <w:rPr>
          <w:rFonts w:hint="eastAsia" w:ascii="宋体" w:hAnsi="宋体" w:eastAsia="宋体" w:cs="宋体"/>
          <w:sz w:val="24"/>
        </w:rPr>
        <w:t>邓志强</w:t>
      </w:r>
      <w:r>
        <w:rPr>
          <w:rFonts w:hint="eastAsia" w:ascii="宋体" w:hAnsi="宋体" w:eastAsia="宋体" w:cs="宋体"/>
          <w:sz w:val="10"/>
        </w:rPr>
        <w:t>、</w:t>
      </w:r>
      <w:r>
        <w:rPr>
          <w:rFonts w:hint="eastAsia" w:ascii="宋体" w:hAnsi="宋体" w:eastAsia="宋体" w:cs="宋体"/>
          <w:sz w:val="24"/>
        </w:rPr>
        <w:t>王敏航</w:t>
      </w:r>
      <w:r>
        <w:rPr>
          <w:rFonts w:hint="eastAsia" w:ascii="宋体" w:hAnsi="宋体" w:eastAsia="宋体" w:cs="宋体"/>
          <w:sz w:val="10"/>
        </w:rPr>
        <w:t>、</w:t>
      </w:r>
      <w:r>
        <w:rPr>
          <w:rFonts w:hint="eastAsia" w:ascii="宋体" w:hAnsi="宋体" w:eastAsia="宋体" w:cs="宋体"/>
          <w:sz w:val="24"/>
        </w:rPr>
        <w:t>张雄金</w:t>
      </w:r>
      <w:r>
        <w:rPr>
          <w:rFonts w:hint="eastAsia" w:ascii="宋体" w:hAnsi="宋体" w:eastAsia="宋体" w:cs="宋体"/>
          <w:sz w:val="10"/>
        </w:rPr>
        <w:t>、</w:t>
      </w:r>
      <w:r>
        <w:rPr>
          <w:rFonts w:hint="eastAsia" w:ascii="宋体" w:hAnsi="宋体" w:eastAsia="宋体" w:cs="宋体"/>
          <w:sz w:val="24"/>
        </w:rPr>
        <w:t>鄢继华</w:t>
      </w:r>
      <w:r>
        <w:rPr>
          <w:rFonts w:hint="eastAsia" w:ascii="宋体" w:hAnsi="宋体" w:eastAsia="宋体" w:cs="宋体"/>
          <w:sz w:val="10"/>
        </w:rPr>
        <w:t>、</w:t>
      </w:r>
      <w:r>
        <w:rPr>
          <w:rFonts w:hint="eastAsia" w:ascii="宋体" w:hAnsi="宋体" w:eastAsia="宋体" w:cs="宋体"/>
          <w:sz w:val="24"/>
        </w:rPr>
        <w:t>谢淑仁</w:t>
      </w:r>
      <w:r>
        <w:rPr>
          <w:rFonts w:hint="eastAsia" w:ascii="宋体" w:hAnsi="宋体" w:eastAsia="宋体" w:cs="宋体"/>
          <w:sz w:val="10"/>
        </w:rPr>
        <w:t>、</w:t>
      </w:r>
      <w:r>
        <w:rPr>
          <w:rFonts w:hint="eastAsia" w:ascii="宋体" w:hAnsi="宋体" w:eastAsia="宋体" w:cs="宋体"/>
          <w:sz w:val="24"/>
        </w:rPr>
        <w:t>陈瑞德</w:t>
      </w:r>
      <w:r>
        <w:rPr>
          <w:rFonts w:hint="eastAsia" w:ascii="宋体" w:hAnsi="宋体" w:eastAsia="宋体" w:cs="宋体"/>
          <w:sz w:val="10"/>
        </w:rPr>
        <w:t>、</w:t>
      </w:r>
      <w:r>
        <w:rPr>
          <w:rFonts w:hint="eastAsia" w:ascii="宋体" w:hAnsi="宋体" w:eastAsia="宋体" w:cs="宋体"/>
          <w:sz w:val="24"/>
        </w:rPr>
        <w:t>陈建国共计</w:t>
      </w:r>
      <w:r>
        <w:rPr>
          <w:rFonts w:hint="eastAsia" w:ascii="Times New Roman" w:hAnsi="Times New Roman" w:eastAsia="Times New Roman" w:cs="Times New Roman"/>
          <w:sz w:val="24"/>
        </w:rPr>
        <w:t xml:space="preserve"> 19</w:t>
      </w:r>
      <w:r>
        <w:rPr>
          <w:rFonts w:hint="eastAsia" w:ascii="宋体" w:hAnsi="宋体" w:eastAsia="宋体" w:cs="宋体"/>
          <w:sz w:val="24"/>
        </w:rPr>
        <w:t xml:space="preserve"> 名自然人股东所持有</w:t>
      </w:r>
      <w:r>
        <w:rPr>
          <w:rFonts w:hint="eastAsia" w:ascii="Times New Roman" w:hAnsi="Times New Roman" w:eastAsia="Times New Roman" w:cs="Times New Roman"/>
          <w:sz w:val="24"/>
        </w:rPr>
        <w:t xml:space="preserve"> 500.00</w:t>
      </w:r>
      <w:r>
        <w:rPr>
          <w:rFonts w:hint="eastAsia" w:ascii="宋体" w:hAnsi="宋体" w:eastAsia="宋体" w:cs="宋体"/>
          <w:sz w:val="24"/>
        </w:rPr>
        <w:t xml:space="preserve"> 万股</w:t>
      </w:r>
      <w:r>
        <w:rPr>
          <w:rFonts w:hint="eastAsia" w:ascii="宋体" w:hAnsi="宋体" w:eastAsia="宋体" w:cs="宋体"/>
          <w:sz w:val="14"/>
        </w:rPr>
        <w:t>；</w:t>
      </w:r>
      <w:r>
        <w:rPr>
          <w:rFonts w:hint="eastAsia" w:ascii="宋体" w:hAnsi="宋体" w:eastAsia="宋体" w:cs="宋体"/>
          <w:sz w:val="24"/>
        </w:rPr>
        <w:t>金石投资另对顶点软件以现金方式进行增资</w:t>
      </w:r>
      <w:r>
        <w:rPr>
          <w:rFonts w:hint="eastAsia" w:ascii="宋体" w:hAnsi="宋体" w:eastAsia="宋体" w:cs="宋体"/>
          <w:sz w:val="10"/>
        </w:rPr>
        <w:t>，</w:t>
      </w:r>
      <w:r>
        <w:rPr>
          <w:rFonts w:hint="eastAsia" w:ascii="宋体" w:hAnsi="宋体" w:eastAsia="宋体" w:cs="宋体"/>
          <w:sz w:val="24"/>
        </w:rPr>
        <w:t>认购顶点软件</w:t>
      </w:r>
      <w:r>
        <w:rPr>
          <w:rFonts w:hint="eastAsia" w:ascii="Times New Roman" w:hAnsi="Times New Roman" w:eastAsia="Times New Roman" w:cs="Times New Roman"/>
          <w:sz w:val="24"/>
        </w:rPr>
        <w:t xml:space="preserve"> 157.00</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1-1-63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日在福建省工商行政管理局办理了工商变更登记手续</w:t>
      </w:r>
      <w:r>
        <w:rPr>
          <w:rFonts w:hint="eastAsia" w:ascii="宋体" w:hAnsi="宋体" w:eastAsia="宋体" w:cs="宋体"/>
          <w:sz w:val="10"/>
        </w:rPr>
        <w:t>。</w:t>
      </w:r>
      <w:r>
        <w:rPr>
          <w:rFonts w:hint="eastAsia" w:ascii="宋体" w:hAnsi="宋体" w:eastAsia="宋体" w:cs="宋体"/>
          <w:sz w:val="24"/>
        </w:rPr>
        <w:t>致同所于</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23</w:t>
      </w:r>
      <w:r>
        <w:rPr>
          <w:rFonts w:hint="eastAsia" w:ascii="宋体" w:hAnsi="宋体" w:eastAsia="宋体" w:cs="宋体"/>
          <w:sz w:val="24"/>
        </w:rPr>
        <w:t xml:space="preserve"> 日对上述增资进行审验并出具了致同验字</w:t>
      </w:r>
      <w:r>
        <w:rPr>
          <w:rFonts w:hint="eastAsia" w:ascii="Times New Roman" w:hAnsi="Times New Roman" w:eastAsia="Times New Roman" w:cs="Times New Roman"/>
          <w:sz w:val="24"/>
        </w:rPr>
        <w:t>(2015)</w:t>
      </w:r>
      <w:r>
        <w:rPr>
          <w:rFonts w:hint="eastAsia" w:ascii="宋体" w:hAnsi="宋体" w:eastAsia="宋体" w:cs="宋体"/>
          <w:sz w:val="24"/>
        </w:rPr>
        <w:t>第</w:t>
      </w:r>
      <w:r>
        <w:rPr>
          <w:rFonts w:hint="eastAsia" w:ascii="Times New Roman" w:hAnsi="Times New Roman" w:eastAsia="Times New Roman" w:cs="Times New Roman"/>
          <w:sz w:val="24"/>
        </w:rPr>
        <w:t xml:space="preserve"> 350ZA0046</w:t>
      </w:r>
      <w:r>
        <w:rPr>
          <w:rFonts w:hint="eastAsia" w:ascii="宋体" w:hAnsi="宋体" w:eastAsia="宋体" w:cs="宋体"/>
          <w:sz w:val="24"/>
        </w:rPr>
        <w:t>号验资报告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转让及增资完成后</w:t>
      </w:r>
      <w:r>
        <w:rPr>
          <w:rFonts w:hint="eastAsia" w:ascii="宋体" w:hAnsi="宋体" w:eastAsia="宋体" w:cs="宋体"/>
          <w:sz w:val="10"/>
        </w:rPr>
        <w:t>，</w:t>
      </w:r>
      <w:r>
        <w:rPr>
          <w:rFonts w:hint="eastAsia" w:ascii="宋体" w:hAnsi="宋体" w:eastAsia="宋体" w:cs="宋体"/>
          <w:sz w:val="24"/>
        </w:rPr>
        <w:t>顶点软件的股权结构为</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2160"/>
        <w:gridCol w:w="2600"/>
        <w:gridCol w:w="2600"/>
      </w:tblGrid>
      <w:tr>
        <w:trPr>
          <w:trHeight w:val="480" w:hRule="exact"/>
        </w:trPr>
        <w:tc>
          <w:tcPr>
            <w:tcW w:w="1160" w:type="dxa"/>
            <w:tcMar>
              <w:top w:w="0" w:type="dxa"/>
              <w:left w:w="0" w:type="dxa"/>
              <w:bottom w:w="0" w:type="dxa"/>
              <w:right w:w="0" w:type="dxa"/>
            </w:tcMar>
          </w:tcPr>
          <w:p>
            <w:pPr>
              <w:spacing w:before="120"/>
              <w:ind w:left="340"/>
            </w:pPr>
            <w:r>
              <w:rPr>
                <w:rFonts w:hint="eastAsia" w:ascii="宋体" w:hAnsi="宋体" w:eastAsia="宋体" w:cs="宋体"/>
                <w:b/>
                <w:sz w:val="21"/>
              </w:rPr>
              <w:t>序号</w:t>
            </w:r>
          </w:p>
        </w:tc>
        <w:tc>
          <w:tcPr>
            <w:tcW w:w="2160" w:type="dxa"/>
            <w:tcMar>
              <w:top w:w="0" w:type="dxa"/>
              <w:left w:w="0" w:type="dxa"/>
              <w:bottom w:w="0" w:type="dxa"/>
              <w:right w:w="0" w:type="dxa"/>
            </w:tcMar>
          </w:tcPr>
          <w:p>
            <w:pPr>
              <w:spacing w:before="120"/>
              <w:ind w:left="640"/>
            </w:pPr>
            <w:r>
              <w:rPr>
                <w:rFonts w:hint="eastAsia" w:ascii="宋体" w:hAnsi="宋体" w:eastAsia="宋体" w:cs="宋体"/>
                <w:b/>
                <w:sz w:val="21"/>
              </w:rPr>
              <w:t>股东名称</w:t>
            </w:r>
          </w:p>
        </w:tc>
        <w:tc>
          <w:tcPr>
            <w:tcW w:w="2600" w:type="dxa"/>
            <w:tcMar>
              <w:top w:w="0" w:type="dxa"/>
              <w:left w:w="0" w:type="dxa"/>
              <w:bottom w:w="0" w:type="dxa"/>
              <w:right w:w="0" w:type="dxa"/>
            </w:tcMar>
          </w:tcPr>
          <w:p>
            <w:pPr>
              <w:spacing w:before="120"/>
              <w:ind w:left="540"/>
            </w:pPr>
            <w:r>
              <w:rPr>
                <w:rFonts w:hint="eastAsia" w:ascii="宋体" w:hAnsi="宋体" w:eastAsia="宋体" w:cs="宋体"/>
                <w:b/>
                <w:sz w:val="21"/>
              </w:rPr>
              <w:t>持股数</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600" w:type="dxa"/>
            <w:tcMar>
              <w:top w:w="0" w:type="dxa"/>
              <w:left w:w="0" w:type="dxa"/>
              <w:bottom w:w="0" w:type="dxa"/>
              <w:right w:w="0" w:type="dxa"/>
            </w:tcMar>
          </w:tcPr>
          <w:p>
            <w:pPr>
              <w:spacing w:before="120"/>
              <w:ind w:left="860"/>
            </w:pPr>
            <w:r>
              <w:rPr>
                <w:rFonts w:hint="eastAsia" w:ascii="宋体" w:hAnsi="宋体" w:eastAsia="宋体" w:cs="宋体"/>
                <w:b/>
                <w:sz w:val="21"/>
              </w:rPr>
              <w:t>持股比例</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严孟宇</w:t>
            </w:r>
          </w:p>
        </w:tc>
        <w:tc>
          <w:tcPr>
            <w:tcW w:w="260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902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40"/>
              <w:ind w:left="184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2</w:t>
            </w:r>
          </w:p>
        </w:tc>
        <w:tc>
          <w:tcPr>
            <w:tcW w:w="2160" w:type="dxa"/>
            <w:tcMar>
              <w:top w:w="0" w:type="dxa"/>
              <w:left w:w="0" w:type="dxa"/>
              <w:bottom w:w="0" w:type="dxa"/>
              <w:right w:w="0" w:type="dxa"/>
            </w:tcMar>
          </w:tcPr>
          <w:p>
            <w:pPr>
              <w:spacing w:before="120"/>
              <w:ind w:left="640"/>
            </w:pPr>
            <w:r>
              <w:rPr>
                <w:rFonts w:hint="eastAsia" w:ascii="宋体" w:hAnsi="宋体" w:eastAsia="宋体" w:cs="宋体"/>
                <w:sz w:val="21"/>
              </w:rPr>
              <w:t>金石投资</w:t>
            </w:r>
          </w:p>
        </w:tc>
        <w:tc>
          <w:tcPr>
            <w:tcW w:w="260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657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3</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爱派克</w:t>
            </w:r>
          </w:p>
        </w:tc>
        <w:tc>
          <w:tcPr>
            <w:tcW w:w="260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612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4</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赵伟</w:t>
            </w:r>
          </w:p>
        </w:tc>
        <w:tc>
          <w:tcPr>
            <w:tcW w:w="260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309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80"/>
              <w:ind w:left="19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5</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雷世潘</w:t>
            </w:r>
          </w:p>
        </w:tc>
        <w:tc>
          <w:tcPr>
            <w:tcW w:w="260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139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6</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赵莹</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7</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余养成</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8</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董南勇</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9</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戴小戈</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10</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欧永</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11</w:t>
            </w:r>
          </w:p>
        </w:tc>
        <w:tc>
          <w:tcPr>
            <w:tcW w:w="2160" w:type="dxa"/>
            <w:tcMar>
              <w:top w:w="0" w:type="dxa"/>
              <w:left w:w="0" w:type="dxa"/>
              <w:bottom w:w="0" w:type="dxa"/>
              <w:right w:w="0" w:type="dxa"/>
            </w:tcMar>
          </w:tcPr>
          <w:p>
            <w:pPr>
              <w:spacing w:before="120"/>
              <w:ind w:left="860"/>
            </w:pPr>
            <w:r>
              <w:rPr>
                <w:rFonts w:hint="eastAsia" w:ascii="宋体" w:hAnsi="宋体" w:eastAsia="宋体" w:cs="宋体"/>
                <w:sz w:val="21"/>
              </w:rPr>
              <w:t>张玉</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12</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刘法先</w:t>
            </w:r>
          </w:p>
        </w:tc>
        <w:tc>
          <w:tcPr>
            <w:tcW w:w="260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600" w:type="dxa"/>
            <w:tcMar>
              <w:top w:w="0" w:type="dxa"/>
              <w:left w:w="0" w:type="dxa"/>
              <w:bottom w:w="0" w:type="dxa"/>
              <w:right w:w="0" w:type="dxa"/>
            </w:tcMar>
          </w:tcPr>
          <w:p>
            <w:pPr>
              <w:spacing w:before="18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13</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林秀红</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14</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徐传秋</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15</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邓志强</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16</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王敏航</w:t>
            </w:r>
          </w:p>
        </w:tc>
        <w:tc>
          <w:tcPr>
            <w:tcW w:w="260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600" w:type="dxa"/>
            <w:tcMar>
              <w:top w:w="0" w:type="dxa"/>
              <w:left w:w="0" w:type="dxa"/>
              <w:bottom w:w="0" w:type="dxa"/>
              <w:right w:w="0" w:type="dxa"/>
            </w:tcMar>
          </w:tcPr>
          <w:p>
            <w:pPr>
              <w:spacing w:before="18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17</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郑元通</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18</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张雄金</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6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19</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鄢继华</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20</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谢淑仁</w:t>
            </w:r>
          </w:p>
        </w:tc>
        <w:tc>
          <w:tcPr>
            <w:tcW w:w="260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600" w:type="dxa"/>
            <w:tcMar>
              <w:top w:w="0" w:type="dxa"/>
              <w:left w:w="0" w:type="dxa"/>
              <w:bottom w:w="0" w:type="dxa"/>
              <w:right w:w="0" w:type="dxa"/>
            </w:tcMar>
          </w:tcPr>
          <w:p>
            <w:pPr>
              <w:spacing w:before="18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21</w:t>
            </w:r>
          </w:p>
        </w:tc>
        <w:tc>
          <w:tcPr>
            <w:tcW w:w="2160" w:type="dxa"/>
            <w:tcMar>
              <w:top w:w="0" w:type="dxa"/>
              <w:left w:w="0" w:type="dxa"/>
              <w:bottom w:w="0" w:type="dxa"/>
              <w:right w:w="0" w:type="dxa"/>
            </w:tcMar>
          </w:tcPr>
          <w:p>
            <w:pPr>
              <w:spacing w:before="100"/>
              <w:ind w:left="740"/>
            </w:pPr>
            <w:r>
              <w:rPr>
                <w:rFonts w:hint="eastAsia" w:ascii="宋体" w:hAnsi="宋体" w:eastAsia="宋体" w:cs="宋体"/>
                <w:sz w:val="21"/>
              </w:rPr>
              <w:t>陈瑞德</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80" w:hRule="exact"/>
        </w:trPr>
        <w:tc>
          <w:tcPr>
            <w:tcW w:w="116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22</w:t>
            </w:r>
          </w:p>
        </w:tc>
        <w:tc>
          <w:tcPr>
            <w:tcW w:w="2160" w:type="dxa"/>
            <w:tcMar>
              <w:top w:w="0" w:type="dxa"/>
              <w:left w:w="0" w:type="dxa"/>
              <w:bottom w:w="0" w:type="dxa"/>
              <w:right w:w="0" w:type="dxa"/>
            </w:tcMar>
          </w:tcPr>
          <w:p>
            <w:pPr>
              <w:spacing w:before="120"/>
              <w:ind w:left="740"/>
            </w:pPr>
            <w:r>
              <w:rPr>
                <w:rFonts w:hint="eastAsia" w:ascii="宋体" w:hAnsi="宋体" w:eastAsia="宋体" w:cs="宋体"/>
                <w:sz w:val="21"/>
              </w:rPr>
              <w:t>陈建国</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60" w:hRule="exact"/>
        </w:trPr>
        <w:tc>
          <w:tcPr>
            <w:tcW w:w="3320" w:type="dxa"/>
            <w:gridSpan w:val="2"/>
            <w:tcMar>
              <w:top w:w="0" w:type="dxa"/>
              <w:left w:w="0" w:type="dxa"/>
              <w:bottom w:w="0" w:type="dxa"/>
              <w:right w:w="0" w:type="dxa"/>
            </w:tcMar>
          </w:tcPr>
          <w:p>
            <w:pPr>
              <w:spacing w:before="100"/>
              <w:ind w:left="1440"/>
            </w:pPr>
            <w:r>
              <w:rPr>
                <w:rFonts w:hint="eastAsia" w:ascii="宋体" w:hAnsi="宋体" w:eastAsia="宋体" w:cs="宋体"/>
                <w:b/>
                <w:sz w:val="21"/>
              </w:rPr>
              <w:t>合计</w:t>
            </w:r>
          </w:p>
        </w:tc>
        <w:tc>
          <w:tcPr>
            <w:tcW w:w="2600" w:type="dxa"/>
            <w:tcMar>
              <w:top w:w="0" w:type="dxa"/>
              <w:left w:w="0" w:type="dxa"/>
              <w:bottom w:w="0" w:type="dxa"/>
              <w:right w:w="0" w:type="dxa"/>
            </w:tcMar>
          </w:tcPr>
          <w:p>
            <w:pPr>
              <w:spacing w:before="160"/>
              <w:ind w:left="174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157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600" w:type="dxa"/>
            <w:tcMar>
              <w:top w:w="0" w:type="dxa"/>
              <w:left w:w="0" w:type="dxa"/>
              <w:bottom w:w="0" w:type="dxa"/>
              <w:right w:w="0" w:type="dxa"/>
            </w:tcMar>
          </w:tcPr>
          <w:p>
            <w:pPr>
              <w:spacing w:before="160"/>
              <w:ind w:left="17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60"/>
        <w:jc w:val="both"/>
      </w:pPr>
      <w:r>
        <w:rPr>
          <w:rFonts w:hint="eastAsia" w:ascii="Times New Roman" w:hAnsi="Times New Roman" w:eastAsia="Times New Roman" w:cs="Times New Roman"/>
          <w:sz w:val="21"/>
        </w:rPr>
        <w:t>1-1-64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Times New Roman Bold" w:hAnsi="Times New Roman Bold" w:eastAsia="Times New Roman Bold" w:cs="Times New Roman Bold"/>
          <w:b/>
          <w:sz w:val="24"/>
        </w:rPr>
        <w:t>15</w:t>
      </w:r>
      <w:r>
        <w:rPr>
          <w:rFonts w:hint="eastAsia" w:ascii="宋体" w:hAnsi="宋体" w:eastAsia="宋体" w:cs="宋体"/>
          <w:b/>
          <w:sz w:val="10"/>
        </w:rPr>
        <w:t>、</w:t>
      </w:r>
      <w:r>
        <w:rPr>
          <w:rFonts w:hint="eastAsia" w:ascii="Times New Roman Bold" w:hAnsi="Times New Roman Bold" w:eastAsia="Times New Roman Bold" w:cs="Times New Roman Bold"/>
          <w:b/>
          <w:sz w:val="24"/>
        </w:rPr>
        <w:t>2015</w:t>
      </w:r>
      <w:r>
        <w:rPr>
          <w:rFonts w:hint="eastAsia" w:ascii="宋体" w:hAnsi="宋体" w:eastAsia="宋体" w:cs="宋体"/>
          <w:b/>
          <w:sz w:val="24"/>
        </w:rPr>
        <w:t xml:space="preserve"> 年增资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19</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年第四次临时股东大会审议通过</w:t>
      </w:r>
      <w:r>
        <w:rPr>
          <w:rFonts w:hint="eastAsia" w:ascii="宋体" w:hAnsi="宋体" w:eastAsia="宋体" w:cs="宋体"/>
          <w:sz w:val="10"/>
        </w:rPr>
        <w:t>，</w:t>
      </w:r>
      <w:r>
        <w:rPr>
          <w:rFonts w:hint="eastAsia" w:ascii="宋体" w:hAnsi="宋体" w:eastAsia="宋体" w:cs="宋体"/>
          <w:sz w:val="24"/>
        </w:rPr>
        <w:t>顶点软件以</w:t>
      </w:r>
      <w:r>
        <w:rPr>
          <w:rFonts w:hint="eastAsia" w:ascii="Times New Roman" w:hAnsi="Times New Roman" w:eastAsia="Times New Roman" w:cs="Times New Roman"/>
          <w:sz w:val="24"/>
        </w:rPr>
        <w:t xml:space="preserve"> 3,157.00</w:t>
      </w:r>
      <w:r>
        <w:rPr>
          <w:rFonts w:hint="eastAsia" w:ascii="宋体" w:hAnsi="宋体" w:eastAsia="宋体" w:cs="宋体"/>
          <w:sz w:val="24"/>
        </w:rPr>
        <w:t xml:space="preserve"> 万股为基数</w:t>
      </w:r>
      <w:r>
        <w:rPr>
          <w:rFonts w:hint="eastAsia" w:ascii="宋体" w:hAnsi="宋体" w:eastAsia="宋体" w:cs="宋体"/>
          <w:sz w:val="10"/>
        </w:rPr>
        <w:t>，</w:t>
      </w:r>
      <w:r>
        <w:rPr>
          <w:rFonts w:hint="eastAsia" w:ascii="宋体" w:hAnsi="宋体" w:eastAsia="宋体" w:cs="宋体"/>
          <w:sz w:val="24"/>
        </w:rPr>
        <w:t>以资本公积向全体股东每</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股转增</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股</w:t>
      </w:r>
      <w:r>
        <w:rPr>
          <w:rFonts w:hint="eastAsia" w:ascii="宋体" w:hAnsi="宋体" w:eastAsia="宋体" w:cs="宋体"/>
          <w:sz w:val="10"/>
        </w:rPr>
        <w:t>，</w:t>
      </w:r>
      <w:r>
        <w:rPr>
          <w:rFonts w:hint="eastAsia" w:ascii="宋体" w:hAnsi="宋体" w:eastAsia="宋体" w:cs="宋体"/>
          <w:sz w:val="24"/>
        </w:rPr>
        <w:t>转增完成后公司总股本变为</w:t>
      </w:r>
      <w:r>
        <w:rPr>
          <w:rFonts w:hint="eastAsia" w:ascii="Times New Roman" w:hAnsi="Times New Roman" w:eastAsia="Times New Roman" w:cs="Times New Roman"/>
          <w:sz w:val="24"/>
        </w:rPr>
        <w:t xml:space="preserve"> 6,314.00</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公司于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19</w:t>
      </w:r>
      <w:r>
        <w:rPr>
          <w:rFonts w:hint="eastAsia" w:ascii="宋体" w:hAnsi="宋体" w:eastAsia="宋体" w:cs="宋体"/>
          <w:sz w:val="24"/>
        </w:rPr>
        <w:t xml:space="preserve"> 日在福建省工商行政管理局办理了工商变更登记手续</w:t>
      </w:r>
      <w:r>
        <w:rPr>
          <w:rFonts w:hint="eastAsia" w:ascii="宋体" w:hAnsi="宋体" w:eastAsia="宋体" w:cs="宋体"/>
          <w:sz w:val="10"/>
        </w:rPr>
        <w:t>。</w:t>
      </w:r>
      <w:r>
        <w:rPr>
          <w:rFonts w:hint="eastAsia" w:ascii="宋体" w:hAnsi="宋体" w:eastAsia="宋体" w:cs="宋体"/>
          <w:sz w:val="24"/>
        </w:rPr>
        <w:t>致同所于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日对本次增资进行审验并出具了致同验字</w:t>
      </w:r>
      <w:r>
        <w:rPr>
          <w:rFonts w:hint="eastAsia" w:ascii="Times New Roman" w:hAnsi="Times New Roman" w:eastAsia="Times New Roman" w:cs="Times New Roman"/>
          <w:sz w:val="24"/>
        </w:rPr>
        <w:t>(2015)</w:t>
      </w:r>
      <w:r>
        <w:rPr>
          <w:rFonts w:hint="eastAsia" w:ascii="宋体" w:hAnsi="宋体" w:eastAsia="宋体" w:cs="宋体"/>
          <w:sz w:val="24"/>
        </w:rPr>
        <w:t>第</w:t>
      </w:r>
      <w:r>
        <w:rPr>
          <w:rFonts w:hint="eastAsia" w:ascii="Times New Roman" w:hAnsi="Times New Roman" w:eastAsia="Times New Roman" w:cs="Times New Roman"/>
          <w:sz w:val="24"/>
        </w:rPr>
        <w:t xml:space="preserve"> 350ZA0047</w:t>
      </w:r>
      <w:r>
        <w:rPr>
          <w:rFonts w:hint="eastAsia" w:ascii="宋体" w:hAnsi="宋体" w:eastAsia="宋体" w:cs="宋体"/>
          <w:sz w:val="24"/>
        </w:rPr>
        <w:t xml:space="preserve"> 号验资报告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本次增资完成后</w:t>
      </w:r>
      <w:r>
        <w:rPr>
          <w:rFonts w:hint="eastAsia" w:ascii="宋体" w:hAnsi="宋体" w:eastAsia="宋体" w:cs="宋体"/>
          <w:sz w:val="10"/>
        </w:rPr>
        <w:t>，</w:t>
      </w:r>
      <w:r>
        <w:rPr>
          <w:rFonts w:hint="eastAsia" w:ascii="宋体" w:hAnsi="宋体" w:eastAsia="宋体" w:cs="宋体"/>
          <w:sz w:val="24"/>
        </w:rPr>
        <w:t>顶点软件的股权结构为</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40"/>
        <w:gridCol w:w="2180"/>
        <w:gridCol w:w="2600"/>
        <w:gridCol w:w="2600"/>
      </w:tblGrid>
      <w:tr>
        <w:trPr>
          <w:trHeight w:val="480" w:hRule="exact"/>
        </w:trPr>
        <w:tc>
          <w:tcPr>
            <w:tcW w:w="1140" w:type="dxa"/>
            <w:tcMar>
              <w:top w:w="0" w:type="dxa"/>
              <w:left w:w="0" w:type="dxa"/>
              <w:bottom w:w="0" w:type="dxa"/>
              <w:right w:w="0" w:type="dxa"/>
            </w:tcMar>
          </w:tcPr>
          <w:p>
            <w:pPr>
              <w:spacing w:before="120"/>
              <w:ind w:left="340"/>
            </w:pPr>
            <w:r>
              <w:rPr>
                <w:rFonts w:hint="eastAsia" w:ascii="宋体" w:hAnsi="宋体" w:eastAsia="宋体" w:cs="宋体"/>
                <w:b/>
                <w:sz w:val="21"/>
              </w:rPr>
              <w:t>序号</w:t>
            </w:r>
          </w:p>
        </w:tc>
        <w:tc>
          <w:tcPr>
            <w:tcW w:w="2180" w:type="dxa"/>
            <w:tcMar>
              <w:top w:w="0" w:type="dxa"/>
              <w:left w:w="0" w:type="dxa"/>
              <w:bottom w:w="0" w:type="dxa"/>
              <w:right w:w="0" w:type="dxa"/>
            </w:tcMar>
          </w:tcPr>
          <w:p>
            <w:pPr>
              <w:spacing w:before="120"/>
              <w:ind w:left="660"/>
            </w:pPr>
            <w:r>
              <w:rPr>
                <w:rFonts w:hint="eastAsia" w:ascii="宋体" w:hAnsi="宋体" w:eastAsia="宋体" w:cs="宋体"/>
                <w:b/>
                <w:sz w:val="21"/>
              </w:rPr>
              <w:t>股东名称</w:t>
            </w:r>
          </w:p>
        </w:tc>
        <w:tc>
          <w:tcPr>
            <w:tcW w:w="2600" w:type="dxa"/>
            <w:tcMar>
              <w:top w:w="0" w:type="dxa"/>
              <w:left w:w="0" w:type="dxa"/>
              <w:bottom w:w="0" w:type="dxa"/>
              <w:right w:w="0" w:type="dxa"/>
            </w:tcMar>
          </w:tcPr>
          <w:p>
            <w:pPr>
              <w:spacing w:before="120"/>
              <w:ind w:left="540"/>
            </w:pPr>
            <w:r>
              <w:rPr>
                <w:rFonts w:hint="eastAsia" w:ascii="宋体" w:hAnsi="宋体" w:eastAsia="宋体" w:cs="宋体"/>
                <w:b/>
                <w:sz w:val="21"/>
              </w:rPr>
              <w:t>持股数</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2600" w:type="dxa"/>
            <w:tcMar>
              <w:top w:w="0" w:type="dxa"/>
              <w:left w:w="0" w:type="dxa"/>
              <w:bottom w:w="0" w:type="dxa"/>
              <w:right w:w="0" w:type="dxa"/>
            </w:tcMar>
          </w:tcPr>
          <w:p>
            <w:pPr>
              <w:spacing w:before="120"/>
              <w:ind w:left="860"/>
            </w:pPr>
            <w:r>
              <w:rPr>
                <w:rFonts w:hint="eastAsia" w:ascii="宋体" w:hAnsi="宋体" w:eastAsia="宋体" w:cs="宋体"/>
                <w:b/>
                <w:sz w:val="21"/>
              </w:rPr>
              <w:t>持股比例</w:t>
            </w:r>
          </w:p>
        </w:tc>
      </w:tr>
      <w:tr>
        <w:trPr>
          <w:trHeight w:val="480" w:hRule="exact"/>
        </w:trPr>
        <w:tc>
          <w:tcPr>
            <w:tcW w:w="114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严孟宇</w:t>
            </w:r>
          </w:p>
        </w:tc>
        <w:tc>
          <w:tcPr>
            <w:tcW w:w="2600" w:type="dxa"/>
            <w:tcMar>
              <w:top w:w="0" w:type="dxa"/>
              <w:left w:w="0" w:type="dxa"/>
              <w:bottom w:w="0" w:type="dxa"/>
              <w:right w:w="0" w:type="dxa"/>
            </w:tcMar>
          </w:tcPr>
          <w:p>
            <w:pPr>
              <w:spacing w:before="140"/>
              <w:ind w:left="17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40"/>
              <w:ind w:left="184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2</w:t>
            </w:r>
          </w:p>
        </w:tc>
        <w:tc>
          <w:tcPr>
            <w:tcW w:w="2180" w:type="dxa"/>
            <w:tcMar>
              <w:top w:w="0" w:type="dxa"/>
              <w:left w:w="0" w:type="dxa"/>
              <w:bottom w:w="0" w:type="dxa"/>
              <w:right w:w="0" w:type="dxa"/>
            </w:tcMar>
          </w:tcPr>
          <w:p>
            <w:pPr>
              <w:spacing w:before="120"/>
              <w:ind w:left="660"/>
            </w:pPr>
            <w:r>
              <w:rPr>
                <w:rFonts w:hint="eastAsia" w:ascii="宋体" w:hAnsi="宋体" w:eastAsia="宋体" w:cs="宋体"/>
                <w:sz w:val="21"/>
              </w:rPr>
              <w:t>金石投资</w:t>
            </w:r>
          </w:p>
        </w:tc>
        <w:tc>
          <w:tcPr>
            <w:tcW w:w="2600" w:type="dxa"/>
            <w:tcMar>
              <w:top w:w="0" w:type="dxa"/>
              <w:left w:w="0" w:type="dxa"/>
              <w:bottom w:w="0" w:type="dxa"/>
              <w:right w:w="0" w:type="dxa"/>
            </w:tcMar>
          </w:tcPr>
          <w:p>
            <w:pPr>
              <w:spacing w:before="160"/>
              <w:ind w:left="17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60" w:hRule="exact"/>
        </w:trPr>
        <w:tc>
          <w:tcPr>
            <w:tcW w:w="114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3</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爱派克</w:t>
            </w:r>
          </w:p>
        </w:tc>
        <w:tc>
          <w:tcPr>
            <w:tcW w:w="2600" w:type="dxa"/>
            <w:tcMar>
              <w:top w:w="0" w:type="dxa"/>
              <w:left w:w="0" w:type="dxa"/>
              <w:bottom w:w="0" w:type="dxa"/>
              <w:right w:w="0" w:type="dxa"/>
            </w:tcMar>
          </w:tcPr>
          <w:p>
            <w:pPr>
              <w:spacing w:before="160"/>
              <w:ind w:left="17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4</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赵伟</w:t>
            </w:r>
          </w:p>
        </w:tc>
        <w:tc>
          <w:tcPr>
            <w:tcW w:w="260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618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80"/>
              <w:ind w:left="19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5</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雷世潘</w:t>
            </w:r>
          </w:p>
        </w:tc>
        <w:tc>
          <w:tcPr>
            <w:tcW w:w="2600" w:type="dxa"/>
            <w:tcMar>
              <w:top w:w="0" w:type="dxa"/>
              <w:left w:w="0" w:type="dxa"/>
              <w:bottom w:w="0" w:type="dxa"/>
              <w:right w:w="0" w:type="dxa"/>
            </w:tcMar>
          </w:tcPr>
          <w:p>
            <w:pPr>
              <w:spacing w:before="140"/>
              <w:ind w:left="1900"/>
            </w:pPr>
            <w:r>
              <w:rPr>
                <w:rFonts w:hint="eastAsia" w:ascii="Times New Roman" w:hAnsi="Times New Roman" w:eastAsia="Times New Roman" w:cs="Times New Roman"/>
                <w:sz w:val="21"/>
              </w:rPr>
              <w:t>278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6</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赵莹</w:t>
            </w:r>
          </w:p>
        </w:tc>
        <w:tc>
          <w:tcPr>
            <w:tcW w:w="260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r>
              <w:rPr>
                <w:rFonts w:hint="eastAsia" w:ascii="Times New Roman" w:hAnsi="Times New Roman" w:eastAsia="Times New Roman" w:cs="Times New Roman"/>
                <w:sz w:val="20"/>
              </w:rPr>
              <w:t>%</w:t>
            </w:r>
          </w:p>
        </w:tc>
      </w:tr>
      <w:tr>
        <w:trPr>
          <w:trHeight w:val="460" w:hRule="exact"/>
        </w:trPr>
        <w:tc>
          <w:tcPr>
            <w:tcW w:w="114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7</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余养成</w:t>
            </w:r>
          </w:p>
        </w:tc>
        <w:tc>
          <w:tcPr>
            <w:tcW w:w="260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8</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董南勇</w:t>
            </w:r>
          </w:p>
        </w:tc>
        <w:tc>
          <w:tcPr>
            <w:tcW w:w="260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9</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戴小戈</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10</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欧永</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p>
        </w:tc>
      </w:tr>
      <w:tr>
        <w:trPr>
          <w:trHeight w:val="460" w:hRule="exact"/>
        </w:trPr>
        <w:tc>
          <w:tcPr>
            <w:tcW w:w="114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11</w:t>
            </w:r>
          </w:p>
        </w:tc>
        <w:tc>
          <w:tcPr>
            <w:tcW w:w="2180" w:type="dxa"/>
            <w:tcMar>
              <w:top w:w="0" w:type="dxa"/>
              <w:left w:w="0" w:type="dxa"/>
              <w:bottom w:w="0" w:type="dxa"/>
              <w:right w:w="0" w:type="dxa"/>
            </w:tcMar>
          </w:tcPr>
          <w:p>
            <w:pPr>
              <w:spacing w:before="120"/>
              <w:ind w:left="860"/>
            </w:pPr>
            <w:r>
              <w:rPr>
                <w:rFonts w:hint="eastAsia" w:ascii="宋体" w:hAnsi="宋体" w:eastAsia="宋体" w:cs="宋体"/>
                <w:sz w:val="21"/>
              </w:rPr>
              <w:t>张玉</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80"/>
              <w:ind w:left="440"/>
            </w:pPr>
            <w:r>
              <w:rPr>
                <w:rFonts w:hint="eastAsia" w:ascii="Times New Roman" w:hAnsi="Times New Roman" w:eastAsia="Times New Roman" w:cs="Times New Roman"/>
                <w:sz w:val="21"/>
              </w:rPr>
              <w:t>12</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刘法先</w:t>
            </w:r>
          </w:p>
        </w:tc>
        <w:tc>
          <w:tcPr>
            <w:tcW w:w="260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8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40"/>
              <w:ind w:left="440"/>
            </w:pPr>
            <w:r>
              <w:rPr>
                <w:rFonts w:hint="eastAsia" w:ascii="Times New Roman" w:hAnsi="Times New Roman" w:eastAsia="Times New Roman" w:cs="Times New Roman"/>
                <w:sz w:val="21"/>
              </w:rPr>
              <w:t>13</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林秀红</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14</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徐传秋</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60" w:hRule="exact"/>
        </w:trPr>
        <w:tc>
          <w:tcPr>
            <w:tcW w:w="114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15</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邓志强</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80"/>
              <w:ind w:left="440"/>
            </w:pPr>
            <w:r>
              <w:rPr>
                <w:rFonts w:hint="eastAsia" w:ascii="Times New Roman" w:hAnsi="Times New Roman" w:eastAsia="Times New Roman" w:cs="Times New Roman"/>
                <w:sz w:val="21"/>
              </w:rPr>
              <w:t>16</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王敏航</w:t>
            </w:r>
          </w:p>
        </w:tc>
        <w:tc>
          <w:tcPr>
            <w:tcW w:w="260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600" w:type="dxa"/>
            <w:tcMar>
              <w:top w:w="0" w:type="dxa"/>
              <w:left w:w="0" w:type="dxa"/>
              <w:bottom w:w="0" w:type="dxa"/>
              <w:right w:w="0" w:type="dxa"/>
            </w:tcMar>
          </w:tcPr>
          <w:p>
            <w:pPr>
              <w:spacing w:before="18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40"/>
              <w:ind w:left="440"/>
            </w:pPr>
            <w:r>
              <w:rPr>
                <w:rFonts w:hint="eastAsia" w:ascii="Times New Roman" w:hAnsi="Times New Roman" w:eastAsia="Times New Roman" w:cs="Times New Roman"/>
                <w:sz w:val="21"/>
              </w:rPr>
              <w:t>17</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郑元通</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18</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张雄金</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60" w:hRule="exact"/>
        </w:trPr>
        <w:tc>
          <w:tcPr>
            <w:tcW w:w="114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19</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鄢继华</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80"/>
              <w:ind w:left="440"/>
            </w:pPr>
            <w:r>
              <w:rPr>
                <w:rFonts w:hint="eastAsia" w:ascii="Times New Roman" w:hAnsi="Times New Roman" w:eastAsia="Times New Roman" w:cs="Times New Roman"/>
                <w:sz w:val="21"/>
              </w:rPr>
              <w:t>20</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谢淑仁</w:t>
            </w:r>
          </w:p>
        </w:tc>
        <w:tc>
          <w:tcPr>
            <w:tcW w:w="260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600" w:type="dxa"/>
            <w:tcMar>
              <w:top w:w="0" w:type="dxa"/>
              <w:left w:w="0" w:type="dxa"/>
              <w:bottom w:w="0" w:type="dxa"/>
              <w:right w:w="0" w:type="dxa"/>
            </w:tcMar>
          </w:tcPr>
          <w:p>
            <w:pPr>
              <w:spacing w:before="18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1-1-65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40"/>
        <w:gridCol w:w="2180"/>
        <w:gridCol w:w="2600"/>
        <w:gridCol w:w="2600"/>
      </w:tblGrid>
      <w:tr>
        <w:trPr>
          <w:trHeight w:val="480" w:hRule="exact"/>
        </w:trPr>
        <w:tc>
          <w:tcPr>
            <w:tcW w:w="114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21</w:t>
            </w:r>
          </w:p>
        </w:tc>
        <w:tc>
          <w:tcPr>
            <w:tcW w:w="2180" w:type="dxa"/>
            <w:tcMar>
              <w:top w:w="0" w:type="dxa"/>
              <w:left w:w="0" w:type="dxa"/>
              <w:bottom w:w="0" w:type="dxa"/>
              <w:right w:w="0" w:type="dxa"/>
            </w:tcMar>
          </w:tcPr>
          <w:p>
            <w:pPr>
              <w:spacing w:before="100"/>
              <w:ind w:left="760"/>
            </w:pPr>
            <w:r>
              <w:rPr>
                <w:rFonts w:hint="eastAsia" w:ascii="宋体" w:hAnsi="宋体" w:eastAsia="宋体" w:cs="宋体"/>
                <w:sz w:val="21"/>
              </w:rPr>
              <w:t>陈瑞德</w:t>
            </w:r>
          </w:p>
        </w:tc>
        <w:tc>
          <w:tcPr>
            <w:tcW w:w="260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600" w:type="dxa"/>
            <w:tcMar>
              <w:top w:w="0" w:type="dxa"/>
              <w:left w:w="0" w:type="dxa"/>
              <w:bottom w:w="0" w:type="dxa"/>
              <w:right w:w="0" w:type="dxa"/>
            </w:tcMar>
          </w:tcPr>
          <w:p>
            <w:pPr>
              <w:spacing w:before="14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80" w:hRule="exact"/>
        </w:trPr>
        <w:tc>
          <w:tcPr>
            <w:tcW w:w="114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22</w:t>
            </w:r>
          </w:p>
        </w:tc>
        <w:tc>
          <w:tcPr>
            <w:tcW w:w="2180" w:type="dxa"/>
            <w:tcMar>
              <w:top w:w="0" w:type="dxa"/>
              <w:left w:w="0" w:type="dxa"/>
              <w:bottom w:w="0" w:type="dxa"/>
              <w:right w:w="0" w:type="dxa"/>
            </w:tcMar>
          </w:tcPr>
          <w:p>
            <w:pPr>
              <w:spacing w:before="120"/>
              <w:ind w:left="760"/>
            </w:pPr>
            <w:r>
              <w:rPr>
                <w:rFonts w:hint="eastAsia" w:ascii="宋体" w:hAnsi="宋体" w:eastAsia="宋体" w:cs="宋体"/>
                <w:sz w:val="21"/>
              </w:rPr>
              <w:t>陈建国</w:t>
            </w:r>
          </w:p>
        </w:tc>
        <w:tc>
          <w:tcPr>
            <w:tcW w:w="260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600" w:type="dxa"/>
            <w:tcMar>
              <w:top w:w="0" w:type="dxa"/>
              <w:left w:w="0" w:type="dxa"/>
              <w:bottom w:w="0" w:type="dxa"/>
              <w:right w:w="0" w:type="dxa"/>
            </w:tcMar>
          </w:tcPr>
          <w:p>
            <w:pPr>
              <w:spacing w:before="160"/>
              <w:ind w:left="19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r>
      <w:tr>
        <w:trPr>
          <w:trHeight w:val="460" w:hRule="exact"/>
        </w:trPr>
        <w:tc>
          <w:tcPr>
            <w:tcW w:w="3320" w:type="dxa"/>
            <w:gridSpan w:val="2"/>
            <w:tcMar>
              <w:top w:w="0" w:type="dxa"/>
              <w:left w:w="0" w:type="dxa"/>
              <w:bottom w:w="0" w:type="dxa"/>
              <w:right w:w="0" w:type="dxa"/>
            </w:tcMar>
          </w:tcPr>
          <w:p>
            <w:pPr>
              <w:spacing w:before="100"/>
              <w:ind w:left="1440"/>
            </w:pPr>
            <w:r>
              <w:rPr>
                <w:rFonts w:hint="eastAsia" w:ascii="宋体" w:hAnsi="宋体" w:eastAsia="宋体" w:cs="宋体"/>
                <w:b/>
                <w:sz w:val="21"/>
              </w:rPr>
              <w:t>合计</w:t>
            </w:r>
          </w:p>
        </w:tc>
        <w:tc>
          <w:tcPr>
            <w:tcW w:w="2600" w:type="dxa"/>
            <w:tcMar>
              <w:top w:w="0" w:type="dxa"/>
              <w:left w:w="0" w:type="dxa"/>
              <w:bottom w:w="0" w:type="dxa"/>
              <w:right w:w="0" w:type="dxa"/>
            </w:tcMar>
          </w:tcPr>
          <w:p>
            <w:pPr>
              <w:spacing w:before="160"/>
              <w:ind w:left="1740"/>
            </w:pPr>
            <w:r>
              <w:rPr>
                <w:rFonts w:hint="eastAsia" w:ascii="Times New Roman Bold" w:hAnsi="Times New Roman Bold" w:eastAsia="Times New Roman Bold" w:cs="Times New Roman Bold"/>
                <w:b/>
                <w:sz w:val="21"/>
              </w:rPr>
              <w:t>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600" w:type="dxa"/>
            <w:tcMar>
              <w:top w:w="0" w:type="dxa"/>
              <w:left w:w="0" w:type="dxa"/>
              <w:bottom w:w="0" w:type="dxa"/>
              <w:right w:w="0" w:type="dxa"/>
            </w:tcMar>
          </w:tcPr>
          <w:p>
            <w:pPr>
              <w:spacing w:before="160"/>
              <w:ind w:left="17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发行人历次增资及股权转让已经履行了必要的程序</w:t>
      </w:r>
      <w:r>
        <w:rPr>
          <w:rFonts w:hint="eastAsia" w:ascii="宋体" w:hAnsi="宋体" w:eastAsia="宋体" w:cs="宋体"/>
          <w:sz w:val="10"/>
        </w:rPr>
        <w:t>，</w:t>
      </w:r>
      <w:r>
        <w:rPr>
          <w:rFonts w:hint="eastAsia" w:ascii="宋体" w:hAnsi="宋体" w:eastAsia="宋体" w:cs="宋体"/>
          <w:sz w:val="24"/>
        </w:rPr>
        <w:t>涉及相关方的资金来源合法</w:t>
      </w:r>
      <w:r>
        <w:rPr>
          <w:rFonts w:hint="eastAsia" w:ascii="宋体" w:hAnsi="宋体" w:eastAsia="宋体" w:cs="宋体"/>
          <w:sz w:val="10"/>
        </w:rPr>
        <w:t>，</w:t>
      </w:r>
      <w:r>
        <w:rPr>
          <w:rFonts w:hint="eastAsia" w:ascii="宋体" w:hAnsi="宋体" w:eastAsia="宋体" w:cs="宋体"/>
          <w:sz w:val="24"/>
        </w:rPr>
        <w:t>除顶点有限阶段部分股东出资存在瑕疵的情形外</w:t>
      </w:r>
      <w:r>
        <w:rPr>
          <w:rFonts w:hint="eastAsia" w:ascii="宋体" w:hAnsi="宋体" w:eastAsia="宋体" w:cs="宋体"/>
          <w:sz w:val="10"/>
        </w:rPr>
        <w:t>，</w:t>
      </w:r>
      <w:r>
        <w:rPr>
          <w:rFonts w:hint="eastAsia" w:ascii="宋体" w:hAnsi="宋体" w:eastAsia="宋体" w:cs="宋体"/>
          <w:sz w:val="24"/>
        </w:rPr>
        <w:t>发行人历次增资及股权转让符合相关法律</w:t>
      </w:r>
      <w:r>
        <w:rPr>
          <w:rFonts w:hint="eastAsia" w:ascii="宋体" w:hAnsi="宋体" w:eastAsia="宋体" w:cs="宋体"/>
          <w:sz w:val="10"/>
        </w:rPr>
        <w:t>、</w:t>
      </w:r>
      <w:r>
        <w:rPr>
          <w:rFonts w:hint="eastAsia" w:ascii="宋体" w:hAnsi="宋体" w:eastAsia="宋体" w:cs="宋体"/>
          <w:sz w:val="24"/>
        </w:rPr>
        <w:t>法规和《公司章程》的规定</w:t>
      </w:r>
      <w:r>
        <w:rPr>
          <w:rFonts w:hint="eastAsia" w:ascii="宋体" w:hAnsi="宋体" w:eastAsia="宋体" w:cs="宋体"/>
          <w:sz w:val="12"/>
        </w:rPr>
        <w:t>；</w:t>
      </w:r>
      <w:r>
        <w:rPr>
          <w:rFonts w:hint="eastAsia" w:ascii="宋体" w:hAnsi="宋体" w:eastAsia="宋体" w:cs="宋体"/>
          <w:sz w:val="24"/>
        </w:rPr>
        <w:t>除顶点有限</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年以未分配利润和盈余公积转增股本及顶点有限整体变更时相关股东未缴纳个人所得税合计</w:t>
      </w:r>
      <w:r>
        <w:rPr>
          <w:rFonts w:hint="eastAsia" w:ascii="Times New Roman" w:hAnsi="Times New Roman" w:eastAsia="Times New Roman" w:cs="Times New Roman"/>
          <w:sz w:val="24"/>
        </w:rPr>
        <w:t>173.35</w:t>
      </w:r>
      <w:r>
        <w:rPr>
          <w:rFonts w:hint="eastAsia" w:ascii="宋体" w:hAnsi="宋体" w:eastAsia="宋体" w:cs="宋体"/>
          <w:sz w:val="24"/>
        </w:rPr>
        <w:t xml:space="preserve"> 万元外</w:t>
      </w:r>
      <w:r>
        <w:rPr>
          <w:rFonts w:hint="eastAsia" w:ascii="宋体" w:hAnsi="宋体" w:eastAsia="宋体" w:cs="宋体"/>
          <w:sz w:val="10"/>
        </w:rPr>
        <w:t>，</w:t>
      </w:r>
      <w:r>
        <w:rPr>
          <w:rFonts w:hint="eastAsia" w:ascii="宋体" w:hAnsi="宋体" w:eastAsia="宋体" w:cs="宋体"/>
          <w:sz w:val="24"/>
        </w:rPr>
        <w:t>均依法履行了纳税义务</w:t>
      </w:r>
      <w:r>
        <w:rPr>
          <w:rFonts w:hint="eastAsia" w:ascii="宋体" w:hAnsi="宋体" w:eastAsia="宋体" w:cs="宋体"/>
          <w:sz w:val="10"/>
        </w:rPr>
        <w:t>，</w:t>
      </w:r>
      <w:r>
        <w:rPr>
          <w:rFonts w:hint="eastAsia" w:ascii="宋体" w:hAnsi="宋体" w:eastAsia="宋体" w:cs="宋体"/>
          <w:sz w:val="24"/>
        </w:rPr>
        <w:t>历次增资和股权转让真实</w:t>
      </w:r>
      <w:r>
        <w:rPr>
          <w:rFonts w:hint="eastAsia" w:ascii="宋体" w:hAnsi="宋体" w:eastAsia="宋体" w:cs="宋体"/>
          <w:sz w:val="10"/>
        </w:rPr>
        <w:t>、</w:t>
      </w:r>
      <w:r>
        <w:rPr>
          <w:rFonts w:hint="eastAsia" w:ascii="宋体" w:hAnsi="宋体" w:eastAsia="宋体" w:cs="宋体"/>
          <w:sz w:val="24"/>
        </w:rPr>
        <w:t>合法</w:t>
      </w:r>
      <w:r>
        <w:rPr>
          <w:rFonts w:hint="eastAsia" w:ascii="宋体" w:hAnsi="宋体" w:eastAsia="宋体" w:cs="宋体"/>
          <w:sz w:val="10"/>
        </w:rPr>
        <w:t>、</w:t>
      </w:r>
      <w:r>
        <w:rPr>
          <w:rFonts w:hint="eastAsia" w:ascii="宋体" w:hAnsi="宋体" w:eastAsia="宋体" w:cs="宋体"/>
          <w:sz w:val="24"/>
        </w:rPr>
        <w:t>有效</w:t>
      </w:r>
      <w:r>
        <w:rPr>
          <w:rFonts w:hint="eastAsia" w:ascii="宋体" w:hAnsi="宋体" w:eastAsia="宋体" w:cs="宋体"/>
          <w:sz w:val="10"/>
        </w:rPr>
        <w:t>，</w:t>
      </w:r>
      <w:r>
        <w:rPr>
          <w:rFonts w:hint="eastAsia" w:ascii="宋体" w:hAnsi="宋体" w:eastAsia="宋体" w:cs="宋体"/>
          <w:sz w:val="24"/>
        </w:rPr>
        <w:t>不存在纠纷或潜在纠纷</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就上述未缴纳个人所得税事宜</w:t>
      </w:r>
      <w:r>
        <w:rPr>
          <w:rFonts w:hint="eastAsia" w:ascii="宋体" w:hAnsi="宋体" w:eastAsia="宋体" w:cs="宋体"/>
          <w:sz w:val="10"/>
        </w:rPr>
        <w:t>，</w:t>
      </w:r>
      <w:r>
        <w:rPr>
          <w:rFonts w:hint="eastAsia" w:ascii="宋体" w:hAnsi="宋体" w:eastAsia="宋体" w:cs="宋体"/>
          <w:sz w:val="24"/>
        </w:rPr>
        <w:t>发行人已向福州市台江区地方税务局出具《承诺书》承诺在</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日前履行代扣代缴该等个人所得税款的义务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福州市台江区地方税务局已出具同意意见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关于发行人</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年以未分配利润和盈余公积转增股本</w:t>
      </w:r>
      <w:r>
        <w:rPr>
          <w:rFonts w:hint="eastAsia" w:ascii="宋体" w:hAnsi="宋体" w:eastAsia="宋体" w:cs="宋体"/>
          <w:sz w:val="10"/>
        </w:rPr>
        <w:t>，</w:t>
      </w:r>
      <w:r>
        <w:rPr>
          <w:rFonts w:hint="eastAsia" w:ascii="宋体" w:hAnsi="宋体" w:eastAsia="宋体" w:cs="宋体"/>
          <w:sz w:val="24"/>
        </w:rPr>
        <w:t>以及整体变更过程中涉及的相关自然人股东未缴纳个人所得税的情况</w:t>
      </w:r>
      <w:r>
        <w:rPr>
          <w:rFonts w:hint="eastAsia" w:ascii="宋体" w:hAnsi="宋体" w:eastAsia="宋体" w:cs="宋体"/>
          <w:sz w:val="10"/>
        </w:rPr>
        <w:t>，</w:t>
      </w:r>
      <w:r>
        <w:rPr>
          <w:rFonts w:hint="eastAsia" w:ascii="宋体" w:hAnsi="宋体" w:eastAsia="宋体" w:cs="宋体"/>
          <w:sz w:val="24"/>
        </w:rPr>
        <w:t>控股股东</w:t>
      </w:r>
      <w:r>
        <w:rPr>
          <w:rFonts w:hint="eastAsia" w:ascii="宋体" w:hAnsi="宋体" w:eastAsia="宋体" w:cs="宋体"/>
          <w:sz w:val="10"/>
        </w:rPr>
        <w:t>、</w:t>
      </w:r>
      <w:r>
        <w:rPr>
          <w:rFonts w:hint="eastAsia" w:ascii="宋体" w:hAnsi="宋体" w:eastAsia="宋体" w:cs="宋体"/>
          <w:sz w:val="24"/>
        </w:rPr>
        <w:t>实际控制人严孟宇承诺</w:t>
      </w:r>
      <w:r>
        <w:rPr>
          <w:rFonts w:hint="eastAsia" w:ascii="宋体" w:hAnsi="宋体" w:eastAsia="宋体" w:cs="宋体"/>
          <w:sz w:val="10"/>
        </w:rPr>
        <w:t>：</w:t>
      </w:r>
      <w:r>
        <w:rPr>
          <w:rFonts w:hint="eastAsia" w:ascii="宋体" w:hAnsi="宋体" w:eastAsia="宋体" w:cs="宋体"/>
          <w:sz w:val="24"/>
        </w:rPr>
        <w:t>若税务征管部门追究相关自然人上述未缴付个人所得税的责任</w:t>
      </w:r>
      <w:r>
        <w:rPr>
          <w:rFonts w:hint="eastAsia" w:ascii="宋体" w:hAnsi="宋体" w:eastAsia="宋体" w:cs="宋体"/>
          <w:sz w:val="10"/>
        </w:rPr>
        <w:t>，</w:t>
      </w:r>
      <w:r>
        <w:rPr>
          <w:rFonts w:hint="eastAsia" w:ascii="宋体" w:hAnsi="宋体" w:eastAsia="宋体" w:cs="宋体"/>
          <w:sz w:val="24"/>
        </w:rPr>
        <w:t>或由此产生任何处罚或其他法律风险</w:t>
      </w:r>
      <w:r>
        <w:rPr>
          <w:rFonts w:hint="eastAsia" w:ascii="宋体" w:hAnsi="宋体" w:eastAsia="宋体" w:cs="宋体"/>
          <w:sz w:val="10"/>
        </w:rPr>
        <w:t>，</w:t>
      </w:r>
      <w:r>
        <w:rPr>
          <w:rFonts w:hint="eastAsia" w:ascii="宋体" w:hAnsi="宋体" w:eastAsia="宋体" w:cs="宋体"/>
          <w:sz w:val="24"/>
        </w:rPr>
        <w:t>概由本人承担连带责任</w:t>
      </w:r>
      <w:r>
        <w:rPr>
          <w:rFonts w:hint="eastAsia" w:ascii="宋体" w:hAnsi="宋体" w:eastAsia="宋体" w:cs="宋体"/>
          <w:sz w:val="14"/>
        </w:rPr>
        <w:t>；</w:t>
      </w:r>
      <w:r>
        <w:rPr>
          <w:rFonts w:hint="eastAsia" w:ascii="宋体" w:hAnsi="宋体" w:eastAsia="宋体" w:cs="宋体"/>
          <w:sz w:val="24"/>
        </w:rPr>
        <w:t>若因上述事宜导致发行人遭受任何损害或利益流出</w:t>
      </w:r>
      <w:r>
        <w:rPr>
          <w:rFonts w:hint="eastAsia" w:ascii="宋体" w:hAnsi="宋体" w:eastAsia="宋体" w:cs="宋体"/>
          <w:sz w:val="10"/>
        </w:rPr>
        <w:t>，</w:t>
      </w:r>
      <w:r>
        <w:rPr>
          <w:rFonts w:hint="eastAsia" w:ascii="宋体" w:hAnsi="宋体" w:eastAsia="宋体" w:cs="宋体"/>
          <w:sz w:val="24"/>
        </w:rPr>
        <w:t>概由本人承担</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上述自然人股东未缴纳个人所得税的行为发生距今时间较长</w:t>
      </w:r>
      <w:r>
        <w:rPr>
          <w:rFonts w:hint="eastAsia" w:ascii="宋体" w:hAnsi="宋体" w:eastAsia="宋体" w:cs="宋体"/>
          <w:sz w:val="10"/>
        </w:rPr>
        <w:t>，</w:t>
      </w:r>
      <w:r>
        <w:rPr>
          <w:rFonts w:hint="eastAsia" w:ascii="宋体" w:hAnsi="宋体" w:eastAsia="宋体" w:cs="宋体"/>
          <w:sz w:val="24"/>
        </w:rPr>
        <w:t>且税务主管部门出具了合规证明以及同意发行人延期至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年末前代扣代缴相关个人所得税的文件</w:t>
      </w:r>
      <w:r>
        <w:rPr>
          <w:rFonts w:hint="eastAsia" w:ascii="宋体" w:hAnsi="宋体" w:eastAsia="宋体" w:cs="宋体"/>
          <w:sz w:val="10"/>
        </w:rPr>
        <w:t>，</w:t>
      </w:r>
      <w:r>
        <w:rPr>
          <w:rFonts w:hint="eastAsia" w:ascii="宋体" w:hAnsi="宋体" w:eastAsia="宋体" w:cs="宋体"/>
          <w:sz w:val="24"/>
        </w:rPr>
        <w:t>税务机关对纳税人给予行政处罚的可能性较小</w:t>
      </w:r>
      <w:r>
        <w:rPr>
          <w:rFonts w:hint="eastAsia" w:ascii="宋体" w:hAnsi="宋体" w:eastAsia="宋体" w:cs="宋体"/>
          <w:sz w:val="10"/>
        </w:rPr>
        <w:t>，</w:t>
      </w:r>
      <w:r>
        <w:rPr>
          <w:rFonts w:hint="eastAsia" w:ascii="宋体" w:hAnsi="宋体" w:eastAsia="宋体" w:cs="宋体"/>
          <w:sz w:val="24"/>
        </w:rPr>
        <w:t>不会因该等情形影响报告期内发行人的董事</w:t>
      </w:r>
      <w:r>
        <w:rPr>
          <w:rFonts w:hint="eastAsia" w:ascii="宋体" w:hAnsi="宋体" w:eastAsia="宋体" w:cs="宋体"/>
          <w:sz w:val="10"/>
        </w:rPr>
        <w:t>、</w:t>
      </w:r>
      <w:r>
        <w:rPr>
          <w:rFonts w:hint="eastAsia" w:ascii="宋体" w:hAnsi="宋体" w:eastAsia="宋体" w:cs="宋体"/>
          <w:sz w:val="24"/>
        </w:rPr>
        <w:t>监事及高级管理人员的任职资格</w:t>
      </w:r>
      <w:r>
        <w:rPr>
          <w:rFonts w:hint="eastAsia" w:ascii="宋体" w:hAnsi="宋体" w:eastAsia="宋体" w:cs="宋体"/>
          <w:sz w:val="10"/>
        </w:rPr>
        <w:t>，</w:t>
      </w:r>
      <w:r>
        <w:rPr>
          <w:rFonts w:hint="eastAsia" w:ascii="宋体" w:hAnsi="宋体" w:eastAsia="宋体" w:cs="宋体"/>
          <w:sz w:val="24"/>
        </w:rPr>
        <w:t>不会对发行人的发行上市构成实质障碍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发行人设立及历史沿革中不存在审批</w:t>
      </w:r>
      <w:r>
        <w:rPr>
          <w:rFonts w:hint="eastAsia" w:ascii="宋体" w:hAnsi="宋体" w:eastAsia="宋体" w:cs="宋体"/>
          <w:sz w:val="10"/>
        </w:rPr>
        <w:t>、</w:t>
      </w:r>
      <w:r>
        <w:rPr>
          <w:rFonts w:hint="eastAsia" w:ascii="宋体" w:hAnsi="宋体" w:eastAsia="宋体" w:cs="宋体"/>
          <w:sz w:val="24"/>
        </w:rPr>
        <w:t>备案</w:t>
      </w:r>
      <w:r>
        <w:rPr>
          <w:rFonts w:hint="eastAsia" w:ascii="宋体" w:hAnsi="宋体" w:eastAsia="宋体" w:cs="宋体"/>
          <w:sz w:val="10"/>
        </w:rPr>
        <w:t>、</w:t>
      </w:r>
      <w:r>
        <w:rPr>
          <w:rFonts w:hint="eastAsia" w:ascii="宋体" w:hAnsi="宋体" w:eastAsia="宋体" w:cs="宋体"/>
          <w:sz w:val="24"/>
        </w:rPr>
        <w:t>工商登记等法律程序瑕疵</w:t>
      </w:r>
      <w:r>
        <w:rPr>
          <w:rFonts w:hint="eastAsia" w:ascii="宋体" w:hAnsi="宋体" w:eastAsia="宋体" w:cs="宋体"/>
          <w:sz w:val="10"/>
        </w:rPr>
        <w:t>。</w:t>
      </w:r>
      <w:r>
        <w:rPr>
          <w:rFonts w:hint="eastAsia" w:ascii="宋体" w:hAnsi="宋体" w:eastAsia="宋体" w:cs="宋体"/>
          <w:sz w:val="24"/>
        </w:rPr>
        <w:t>顶点有限阶段的股东出资瑕疵距今时间较为久远</w:t>
      </w:r>
      <w:r>
        <w:rPr>
          <w:rFonts w:hint="eastAsia" w:ascii="宋体" w:hAnsi="宋体" w:eastAsia="宋体" w:cs="宋体"/>
          <w:sz w:val="10"/>
        </w:rPr>
        <w:t>，</w:t>
      </w:r>
      <w:r>
        <w:rPr>
          <w:rFonts w:hint="eastAsia" w:ascii="宋体" w:hAnsi="宋体" w:eastAsia="宋体" w:cs="宋体"/>
          <w:sz w:val="24"/>
        </w:rPr>
        <w:t>且已得到有效规范</w:t>
      </w:r>
      <w:r>
        <w:rPr>
          <w:rFonts w:hint="eastAsia" w:ascii="宋体" w:hAnsi="宋体" w:eastAsia="宋体" w:cs="宋体"/>
          <w:sz w:val="10"/>
        </w:rPr>
        <w:t>，</w:t>
      </w:r>
      <w:r>
        <w:rPr>
          <w:rFonts w:hint="eastAsia" w:ascii="宋体" w:hAnsi="宋体" w:eastAsia="宋体" w:cs="宋体"/>
          <w:sz w:val="24"/>
        </w:rPr>
        <w:t>不存在纠纷争议</w:t>
      </w:r>
      <w:r>
        <w:rPr>
          <w:rFonts w:hint="eastAsia" w:ascii="宋体" w:hAnsi="宋体" w:eastAsia="宋体" w:cs="宋体"/>
          <w:sz w:val="10"/>
        </w:rPr>
        <w:t>，</w:t>
      </w:r>
      <w:r>
        <w:rPr>
          <w:rFonts w:hint="eastAsia" w:ascii="宋体" w:hAnsi="宋体" w:eastAsia="宋体" w:cs="宋体"/>
          <w:sz w:val="24"/>
        </w:rPr>
        <w:t>被税务</w:t>
      </w:r>
      <w:r>
        <w:rPr>
          <w:rFonts w:hint="eastAsia" w:ascii="宋体" w:hAnsi="宋体" w:eastAsia="宋体" w:cs="宋体"/>
          <w:sz w:val="10"/>
        </w:rPr>
        <w:t>、</w:t>
      </w:r>
      <w:r>
        <w:rPr>
          <w:rFonts w:hint="eastAsia" w:ascii="宋体" w:hAnsi="宋体" w:eastAsia="宋体" w:cs="宋体"/>
          <w:sz w:val="24"/>
        </w:rPr>
        <w:t>工商等主管部门处罚的风险较小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发行人注册资本已足额缴纳</w:t>
      </w:r>
      <w:r>
        <w:rPr>
          <w:rFonts w:hint="eastAsia" w:ascii="宋体" w:hAnsi="宋体" w:eastAsia="宋体" w:cs="宋体"/>
          <w:sz w:val="10"/>
        </w:rPr>
        <w:t>。</w:t>
      </w:r>
      <w:r>
        <w:rPr>
          <w:rFonts w:hint="eastAsia" w:ascii="宋体" w:hAnsi="宋体" w:eastAsia="宋体" w:cs="宋体"/>
          <w:sz w:val="24"/>
        </w:rPr>
        <w:t>股东对发行人的出资资产所有权均已转移至发行人</w:t>
      </w:r>
      <w:r>
        <w:rPr>
          <w:rFonts w:hint="eastAsia" w:ascii="宋体" w:hAnsi="宋体" w:eastAsia="宋体" w:cs="宋体"/>
          <w:sz w:val="10"/>
        </w:rPr>
        <w:t>，</w:t>
      </w:r>
      <w:r>
        <w:rPr>
          <w:rFonts w:hint="eastAsia" w:ascii="宋体" w:hAnsi="宋体" w:eastAsia="宋体" w:cs="宋体"/>
          <w:sz w:val="24"/>
        </w:rPr>
        <w:t>并由会计师事务所出具了验资报告和验资复核报告</w:t>
      </w:r>
      <w:r>
        <w:rPr>
          <w:rFonts w:hint="eastAsia" w:ascii="宋体" w:hAnsi="宋体" w:eastAsia="宋体" w:cs="宋体"/>
          <w:sz w:val="10"/>
        </w:rPr>
        <w:t>，</w:t>
      </w:r>
      <w:r>
        <w:rPr>
          <w:rFonts w:hint="eastAsia" w:ascii="宋体" w:hAnsi="宋体" w:eastAsia="宋体" w:cs="宋体"/>
          <w:sz w:val="24"/>
        </w:rPr>
        <w:t>出资资产不存在权属</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1-1-66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jc w:val="both"/>
      </w:pPr>
      <w:r>
        <w:rPr>
          <w:rFonts w:hint="eastAsia" w:ascii="宋体" w:hAnsi="宋体" w:eastAsia="宋体" w:cs="宋体"/>
          <w:sz w:val="24"/>
        </w:rPr>
        <w:t>瑕疵或纠纷争议</w:t>
      </w:r>
      <w:r>
        <w:rPr>
          <w:rFonts w:hint="eastAsia" w:ascii="宋体" w:hAnsi="宋体" w:eastAsia="宋体" w:cs="宋体"/>
          <w:sz w:val="10"/>
        </w:rPr>
        <w:t>。</w:t>
      </w: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发行人不存在出资不实</w:t>
      </w:r>
      <w:r>
        <w:rPr>
          <w:rFonts w:hint="eastAsia" w:ascii="宋体" w:hAnsi="宋体" w:eastAsia="宋体" w:cs="宋体"/>
          <w:sz w:val="10"/>
        </w:rPr>
        <w:t>、</w:t>
      </w:r>
      <w:r>
        <w:rPr>
          <w:rFonts w:hint="eastAsia" w:ascii="宋体" w:hAnsi="宋体" w:eastAsia="宋体" w:cs="宋体"/>
          <w:sz w:val="24"/>
        </w:rPr>
        <w:t>抽逃出资或虚假出资的情形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（二）重大资产重组情况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本公司自成立以来</w:t>
      </w:r>
      <w:r>
        <w:rPr>
          <w:rFonts w:hint="eastAsia" w:ascii="宋体" w:hAnsi="宋体" w:eastAsia="宋体" w:cs="宋体"/>
          <w:sz w:val="10"/>
        </w:rPr>
        <w:t>，</w:t>
      </w:r>
      <w:r>
        <w:rPr>
          <w:rFonts w:hint="eastAsia" w:ascii="宋体" w:hAnsi="宋体" w:eastAsia="宋体" w:cs="宋体"/>
          <w:sz w:val="24"/>
        </w:rPr>
        <w:t>未进行过重大资产重组</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发行人设立时发起人出资及设立后历次股本变化的验资情况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发行人设立时发行人出资及设立后历次股本变化的验资情况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发行人设立时发行人出资及设立后历次股本变化的验资情况参见本节</w:t>
      </w:r>
      <w:r>
        <w:rPr>
          <w:rFonts w:hint="eastAsia" w:ascii="宋体" w:hAnsi="宋体" w:eastAsia="宋体" w:cs="宋体"/>
          <w:sz w:val="10"/>
        </w:rPr>
        <w:t>“</w:t>
      </w:r>
      <w:r>
        <w:rPr>
          <w:rFonts w:hint="eastAsia" w:ascii="宋体" w:hAnsi="宋体" w:eastAsia="宋体" w:cs="宋体"/>
          <w:sz w:val="24"/>
        </w:rPr>
        <w:t>三</w:t>
      </w:r>
      <w:r>
        <w:rPr>
          <w:rFonts w:hint="eastAsia" w:ascii="宋体" w:hAnsi="宋体" w:eastAsia="宋体" w:cs="宋体"/>
          <w:sz w:val="10"/>
        </w:rPr>
        <w:t>、</w:t>
      </w:r>
      <w:r>
        <w:rPr>
          <w:rFonts w:hint="eastAsia" w:ascii="宋体" w:hAnsi="宋体" w:eastAsia="宋体" w:cs="宋体"/>
          <w:sz w:val="24"/>
        </w:rPr>
        <w:t>发行人股本形成及其变化和重大资产重组情况</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“（一）</w:t>
      </w:r>
      <w:r>
        <w:rPr>
          <w:rFonts w:hint="eastAsia" w:ascii="宋体" w:hAnsi="宋体" w:eastAsia="宋体" w:cs="宋体"/>
          <w:sz w:val="24"/>
        </w:rPr>
        <w:t>发行人的股本形成及其变化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（二）本公司设立时发起人出资及设立后历次股本变化的验资复核情况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致同所出具了</w:t>
      </w:r>
      <w:r>
        <w:rPr>
          <w:rFonts w:hint="eastAsia" w:ascii="宋体" w:hAnsi="宋体" w:eastAsia="宋体" w:cs="宋体"/>
          <w:sz w:val="10"/>
        </w:rPr>
        <w:t>“</w:t>
      </w:r>
      <w:r>
        <w:rPr>
          <w:rFonts w:hint="eastAsia" w:ascii="宋体" w:hAnsi="宋体" w:eastAsia="宋体" w:cs="宋体"/>
          <w:sz w:val="24"/>
        </w:rPr>
        <w:t>致同专字（</w:t>
      </w:r>
      <w:r>
        <w:rPr>
          <w:rFonts w:hint="eastAsia" w:ascii="Times New Roman" w:hAnsi="Times New Roman" w:eastAsia="Times New Roman" w:cs="Times New Roman"/>
          <w:sz w:val="24"/>
        </w:rPr>
        <w:t>2015</w:t>
      </w:r>
      <w:r>
        <w:rPr>
          <w:rFonts w:hint="eastAsia" w:ascii="宋体" w:hAnsi="宋体" w:eastAsia="宋体" w:cs="宋体"/>
          <w:sz w:val="24"/>
        </w:rPr>
        <w:t>）第</w:t>
      </w:r>
      <w:r>
        <w:rPr>
          <w:rFonts w:hint="eastAsia" w:ascii="Times New Roman" w:hAnsi="Times New Roman" w:eastAsia="Times New Roman" w:cs="Times New Roman"/>
          <w:sz w:val="24"/>
        </w:rPr>
        <w:t xml:space="preserve"> 350ZA0216</w:t>
      </w:r>
      <w:r>
        <w:rPr>
          <w:rFonts w:hint="eastAsia" w:ascii="宋体" w:hAnsi="宋体" w:eastAsia="宋体" w:cs="宋体"/>
          <w:sz w:val="24"/>
        </w:rPr>
        <w:t xml:space="preserve"> 号</w:t>
      </w:r>
      <w:r>
        <w:rPr>
          <w:rFonts w:hint="eastAsia" w:ascii="宋体" w:hAnsi="宋体" w:eastAsia="宋体" w:cs="宋体"/>
          <w:sz w:val="10"/>
        </w:rPr>
        <w:t>”</w:t>
      </w:r>
      <w:r>
        <w:rPr>
          <w:rFonts w:hint="eastAsia" w:ascii="宋体" w:hAnsi="宋体" w:eastAsia="宋体" w:cs="宋体"/>
          <w:sz w:val="24"/>
        </w:rPr>
        <w:t>验资复核报告</w:t>
      </w:r>
      <w:r>
        <w:rPr>
          <w:rFonts w:hint="eastAsia" w:ascii="宋体" w:hAnsi="宋体" w:eastAsia="宋体" w:cs="宋体"/>
          <w:sz w:val="10"/>
        </w:rPr>
        <w:t>，</w:t>
      </w:r>
      <w:r>
        <w:rPr>
          <w:rFonts w:hint="eastAsia" w:ascii="宋体" w:hAnsi="宋体" w:eastAsia="宋体" w:cs="宋体"/>
          <w:sz w:val="24"/>
        </w:rPr>
        <w:t>对发行人</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年以前的验资情况进行了复核</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（三）发行人设立时发起人投入资产的计量属性</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本公司是由有限公司整体变更设立的</w:t>
      </w:r>
      <w:r>
        <w:rPr>
          <w:rFonts w:hint="eastAsia" w:ascii="宋体" w:hAnsi="宋体" w:eastAsia="宋体" w:cs="宋体"/>
          <w:sz w:val="10"/>
        </w:rPr>
        <w:t>。</w:t>
      </w:r>
      <w:r>
        <w:rPr>
          <w:rFonts w:hint="eastAsia" w:ascii="宋体" w:hAnsi="宋体" w:eastAsia="宋体" w:cs="宋体"/>
          <w:sz w:val="24"/>
        </w:rPr>
        <w:t>设立时</w:t>
      </w:r>
      <w:r>
        <w:rPr>
          <w:rFonts w:hint="eastAsia" w:ascii="宋体" w:hAnsi="宋体" w:eastAsia="宋体" w:cs="宋体"/>
          <w:sz w:val="10"/>
        </w:rPr>
        <w:t>，</w:t>
      </w:r>
      <w:r>
        <w:rPr>
          <w:rFonts w:hint="eastAsia" w:ascii="宋体" w:hAnsi="宋体" w:eastAsia="宋体" w:cs="宋体"/>
          <w:sz w:val="24"/>
        </w:rPr>
        <w:t>发起人投入的资产是有限公司截至</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日经审计的净资产</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五</w:t>
      </w:r>
      <w:r>
        <w:rPr>
          <w:rFonts w:hint="eastAsia" w:ascii="ºÚÌå" w:hAnsi="ºÚÌå" w:eastAsia="ºÚÌå" w:cs="ºÚÌå"/>
          <w:sz w:val="10"/>
        </w:rPr>
        <w:t>、</w:t>
      </w:r>
      <w:r>
        <w:rPr>
          <w:rFonts w:hint="eastAsia" w:ascii="ºÚÌå" w:hAnsi="ºÚÌå" w:eastAsia="ºÚÌå" w:cs="ºÚÌå"/>
          <w:sz w:val="30"/>
        </w:rPr>
        <w:t>公司股权结构和组织机构</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公司股权结构情况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公司股权关系</w:t>
      </w:r>
      <w:r>
        <w:rPr>
          <w:rFonts w:hint="eastAsia" w:ascii="宋体" w:hAnsi="宋体" w:eastAsia="宋体" w:cs="宋体"/>
          <w:sz w:val="10"/>
        </w:rPr>
        <w:t>、</w:t>
      </w:r>
      <w:r>
        <w:rPr>
          <w:rFonts w:hint="eastAsia" w:ascii="宋体" w:hAnsi="宋体" w:eastAsia="宋体" w:cs="宋体"/>
          <w:sz w:val="24"/>
        </w:rPr>
        <w:t>控股股东及实际控制人所控制的其他企业情况如下图所示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60"/>
        <w:jc w:val="both"/>
      </w:pPr>
      <w:r>
        <w:rPr>
          <w:rFonts w:hint="eastAsia" w:ascii="Times New Roman" w:hAnsi="Times New Roman" w:eastAsia="Times New Roman" w:cs="Times New Roman"/>
          <w:sz w:val="21"/>
        </w:rPr>
        <w:t>1-1-67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2048" behindDoc="true" locked="false" layoutInCell="true" allowOverlap="true">
                <wp:simplePos x="0" y="0"/>
                <wp:positionH relativeFrom="page">
                  <wp:posOffset>2070100</wp:posOffset>
                </wp:positionH>
                <wp:positionV relativeFrom="page">
                  <wp:posOffset>1257300</wp:posOffset>
                </wp:positionV>
                <wp:extent cx="787400" cy="279400"/>
                <wp:effectExtent l="0" t="0" r="22225" b="31115"/>
                <wp:wrapNone/>
                <wp:docPr id="3543" name="shape3543"/>
                <wp:cNvGraphicFramePr/>
                <a:graphic>
                  <a:graphicData uri="http://schemas.microsoft.com/office/word/2010/wordprocessingShape">
                    <wps:wsp>
                      <wps:cNvSpPr/>
                      <wps:spPr>
                        <a:xfrm>
                          <a:off x="0" y="0"/>
                          <a:ext cx="787400" cy="2794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2pt;margin-left:163pt;margin-top:99pt;mso-wrap-style:square;z-index:10252048;mso-wrap-distance-left:9pt;mso-wrap-distance-top:0pt;mso-wrap-distance-right:9pt;mso-wrap-distance-bottom:0pt" id="shape3543" o:spid="1618382345914" stroked="f" filled="t" fillcolor="#808080"/>
            </w:pict>
          </mc:Fallback>
        </mc:AlternateContent>
      </w:r>
      <w:r>
        <mc:AlternateContent>
          <mc:Choice Requires="wps">
            <w:drawing>
              <wp:anchor distT="0" distB="0" distL="114300" distR="114300" simplePos="false" relativeHeight="10255120" behindDoc="true" locked="false" layoutInCell="true" allowOverlap="true">
                <wp:simplePos x="0" y="0"/>
                <wp:positionH relativeFrom="page">
                  <wp:posOffset>2984500</wp:posOffset>
                </wp:positionH>
                <wp:positionV relativeFrom="page">
                  <wp:posOffset>1244600</wp:posOffset>
                </wp:positionV>
                <wp:extent cx="800100" cy="292100"/>
                <wp:effectExtent l="0" t="0" r="22225" b="31115"/>
                <wp:wrapNone/>
                <wp:docPr id="3546" name="shape3546"/>
                <wp:cNvGraphicFramePr/>
                <a:graphic>
                  <a:graphicData uri="http://schemas.microsoft.com/office/word/2010/wordprocessingShape">
                    <wps:wsp>
                      <wps:cNvSpPr/>
                      <wps:spPr>
                        <a:xfrm>
                          <a:off x="0" y="0"/>
                          <a:ext cx="800100" cy="2921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3pt;height:23pt;margin-left:235pt;margin-top:98pt;mso-wrap-style:square;z-index:10255120;mso-wrap-distance-left:9pt;mso-wrap-distance-top:0pt;mso-wrap-distance-right:9pt;mso-wrap-distance-bottom:0pt" id="shape3546" o:spid="1618382345920" stroked="f" filled="t" fillcolor="#808080"/>
            </w:pict>
          </mc:Fallback>
        </mc:AlternateContent>
      </w:r>
      <w:r>
        <mc:AlternateContent>
          <mc:Choice Requires="wps">
            <w:drawing>
              <wp:anchor distT="0" distB="0" distL="114300" distR="114300" simplePos="false" relativeHeight="10258192" behindDoc="true" locked="false" layoutInCell="true" allowOverlap="true">
                <wp:simplePos x="0" y="0"/>
                <wp:positionH relativeFrom="page">
                  <wp:posOffset>3886200</wp:posOffset>
                </wp:positionH>
                <wp:positionV relativeFrom="page">
                  <wp:posOffset>1244600</wp:posOffset>
                </wp:positionV>
                <wp:extent cx="1016000" cy="292100"/>
                <wp:effectExtent l="0" t="0" r="22225" b="31115"/>
                <wp:wrapNone/>
                <wp:docPr id="3549" name="shape3549"/>
                <wp:cNvGraphicFramePr/>
                <a:graphic>
                  <a:graphicData uri="http://schemas.microsoft.com/office/word/2010/wordprocessingShape">
                    <wps:wsp>
                      <wps:cNvSpPr/>
                      <wps:spPr>
                        <a:xfrm>
                          <a:off x="0" y="0"/>
                          <a:ext cx="1016000" cy="2921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0pt;height:23pt;margin-left:306pt;margin-top:98pt;mso-wrap-style:square;z-index:10258192;mso-wrap-distance-left:9pt;mso-wrap-distance-top:0pt;mso-wrap-distance-right:9pt;mso-wrap-distance-bottom:0pt" id="shape3549" o:spid="1618382345921" stroked="f" filled="t" fillcolor="#808080"/>
            </w:pict>
          </mc:Fallback>
        </mc:AlternateContent>
      </w:r>
      <w:r>
        <mc:AlternateContent>
          <mc:Choice Requires="wps">
            <w:drawing>
              <wp:anchor distT="0" distB="0" distL="114300" distR="114300" simplePos="false" relativeHeight="10261264" behindDoc="true" locked="false" layoutInCell="true" allowOverlap="true">
                <wp:simplePos x="0" y="0"/>
                <wp:positionH relativeFrom="page">
                  <wp:posOffset>2971800</wp:posOffset>
                </wp:positionH>
                <wp:positionV relativeFrom="page">
                  <wp:posOffset>1968500</wp:posOffset>
                </wp:positionV>
                <wp:extent cx="825500" cy="304800"/>
                <wp:effectExtent l="0" t="0" r="22225" b="31115"/>
                <wp:wrapNone/>
                <wp:docPr id="3552" name="shape3552"/>
                <wp:cNvGraphicFramePr/>
                <a:graphic>
                  <a:graphicData uri="http://schemas.microsoft.com/office/word/2010/wordprocessingShape">
                    <wps:wsp>
                      <wps:cNvSpPr/>
                      <wps:spPr>
                        <a:xfrm>
                          <a:off x="0" y="0"/>
                          <a:ext cx="825500" cy="3048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24pt;margin-left:234pt;margin-top:155pt;mso-wrap-style:square;z-index:10261264;mso-wrap-distance-left:9pt;mso-wrap-distance-top:0pt;mso-wrap-distance-right:9pt;mso-wrap-distance-bottom:0pt" id="shape3552" o:spid="1618382345923" stroked="f" filled="t" fillcolor="#808080"/>
            </w:pict>
          </mc:Fallback>
        </mc:AlternateContent>
      </w:r>
      <w:r>
        <mc:AlternateContent>
          <mc:Choice Requires="wps">
            <w:drawing>
              <wp:anchor distT="0" distB="0" distL="114300" distR="114300" simplePos="false" relativeHeight="10264336" behindDoc="true" locked="false" layoutInCell="true" allowOverlap="true">
                <wp:simplePos x="0" y="0"/>
                <wp:positionH relativeFrom="page">
                  <wp:posOffset>1181100</wp:posOffset>
                </wp:positionH>
                <wp:positionV relativeFrom="page">
                  <wp:posOffset>1968500</wp:posOffset>
                </wp:positionV>
                <wp:extent cx="762000" cy="292100"/>
                <wp:effectExtent l="0" t="0" r="22225" b="31115"/>
                <wp:wrapNone/>
                <wp:docPr id="3555" name="shape3555"/>
                <wp:cNvGraphicFramePr/>
                <a:graphic>
                  <a:graphicData uri="http://schemas.microsoft.com/office/word/2010/wordprocessingShape">
                    <wps:wsp>
                      <wps:cNvSpPr/>
                      <wps:spPr>
                        <a:xfrm>
                          <a:off x="0" y="0"/>
                          <a:ext cx="762000" cy="2921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0pt;height:23pt;margin-left:93pt;margin-top:155pt;mso-wrap-style:square;z-index:10264336;mso-wrap-distance-left:9pt;mso-wrap-distance-top:0pt;mso-wrap-distance-right:9pt;mso-wrap-distance-bottom:0pt" id="shape3555" o:spid="1618382345925" stroked="f" filled="t" fillcolor="#808080"/>
            </w:pict>
          </mc:Fallback>
        </mc:AlternateContent>
      </w:r>
      <w:r>
        <mc:AlternateContent>
          <mc:Choice Requires="wps">
            <w:drawing>
              <wp:anchor distT="0" distB="0" distL="114300" distR="114300" simplePos="false" relativeHeight="10267408" behindDoc="true" locked="false" layoutInCell="true" allowOverlap="true">
                <wp:simplePos x="0" y="0"/>
                <wp:positionH relativeFrom="page">
                  <wp:posOffset>2070100</wp:posOffset>
                </wp:positionH>
                <wp:positionV relativeFrom="page">
                  <wp:posOffset>1968500</wp:posOffset>
                </wp:positionV>
                <wp:extent cx="787400" cy="292100"/>
                <wp:effectExtent l="0" t="0" r="22225" b="31115"/>
                <wp:wrapNone/>
                <wp:docPr id="3558" name="shape3558"/>
                <wp:cNvGraphicFramePr/>
                <a:graphic>
                  <a:graphicData uri="http://schemas.microsoft.com/office/word/2010/wordprocessingShape">
                    <wps:wsp>
                      <wps:cNvSpPr/>
                      <wps:spPr>
                        <a:xfrm>
                          <a:off x="0" y="0"/>
                          <a:ext cx="787400" cy="2921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3pt;margin-left:163pt;margin-top:155pt;mso-wrap-style:square;z-index:10267408;mso-wrap-distance-left:9pt;mso-wrap-distance-top:0pt;mso-wrap-distance-right:9pt;mso-wrap-distance-bottom:0pt" id="shape3558" o:spid="1618382345926" stroked="f" filled="t" fillcolor="#808080"/>
            </w:pict>
          </mc:Fallback>
        </mc:AlternateContent>
      </w:r>
      <w:r>
        <mc:AlternateContent>
          <mc:Choice Requires="wps">
            <w:drawing>
              <wp:anchor distT="0" distB="0" distL="114300" distR="114300" simplePos="false" relativeHeight="10270480" behindDoc="true" locked="false" layoutInCell="true" allowOverlap="true">
                <wp:simplePos x="0" y="0"/>
                <wp:positionH relativeFrom="page">
                  <wp:posOffset>3911600</wp:posOffset>
                </wp:positionH>
                <wp:positionV relativeFrom="page">
                  <wp:posOffset>1968500</wp:posOffset>
                </wp:positionV>
                <wp:extent cx="762000" cy="292100"/>
                <wp:effectExtent l="0" t="0" r="22225" b="31115"/>
                <wp:wrapNone/>
                <wp:docPr id="3561" name="shape3561"/>
                <wp:cNvGraphicFramePr/>
                <a:graphic>
                  <a:graphicData uri="http://schemas.microsoft.com/office/word/2010/wordprocessingShape">
                    <wps:wsp>
                      <wps:cNvSpPr/>
                      <wps:spPr>
                        <a:xfrm>
                          <a:off x="0" y="0"/>
                          <a:ext cx="762000" cy="2921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0pt;height:23pt;margin-left:308pt;margin-top:155pt;mso-wrap-style:square;z-index:10270480;mso-wrap-distance-left:9pt;mso-wrap-distance-top:0pt;mso-wrap-distance-right:9pt;mso-wrap-distance-bottom:0pt" id="shape3561" o:spid="1618382345926" stroked="f" filled="t" fillcolor="#808080"/>
            </w:pict>
          </mc:Fallback>
        </mc:AlternateContent>
      </w:r>
      <w:r>
        <mc:AlternateContent>
          <mc:Choice Requires="wps">
            <w:drawing>
              <wp:anchor distT="0" distB="0" distL="114300" distR="114300" simplePos="false" relativeHeight="10273552" behindDoc="true" locked="false" layoutInCell="true" allowOverlap="true">
                <wp:simplePos x="0" y="0"/>
                <wp:positionH relativeFrom="page">
                  <wp:posOffset>4787900</wp:posOffset>
                </wp:positionH>
                <wp:positionV relativeFrom="page">
                  <wp:posOffset>1968500</wp:posOffset>
                </wp:positionV>
                <wp:extent cx="723900" cy="292100"/>
                <wp:effectExtent l="0" t="0" r="22225" b="31115"/>
                <wp:wrapNone/>
                <wp:docPr id="3564" name="shape3564"/>
                <wp:cNvGraphicFramePr/>
                <a:graphic>
                  <a:graphicData uri="http://schemas.microsoft.com/office/word/2010/wordprocessingShape">
                    <wps:wsp>
                      <wps:cNvSpPr/>
                      <wps:spPr>
                        <a:xfrm>
                          <a:off x="0" y="0"/>
                          <a:ext cx="723900" cy="2921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7pt;height:23pt;margin-left:377pt;margin-top:155pt;mso-wrap-style:square;z-index:10273552;mso-wrap-distance-left:9pt;mso-wrap-distance-top:0pt;mso-wrap-distance-right:9pt;mso-wrap-distance-bottom:0pt" id="shape3564" o:spid="1618382345927" stroked="f" filled="t" fillcolor="#808080"/>
            </w:pict>
          </mc:Fallback>
        </mc:AlternateContent>
      </w:r>
      <w:r>
        <mc:AlternateContent>
          <mc:Choice Requires="wps">
            <w:drawing>
              <wp:anchor distT="0" distB="0" distL="114300" distR="114300" simplePos="false" relativeHeight="10276624" behindDoc="true" locked="false" layoutInCell="true" allowOverlap="true">
                <wp:simplePos x="0" y="0"/>
                <wp:positionH relativeFrom="page">
                  <wp:posOffset>5613400</wp:posOffset>
                </wp:positionH>
                <wp:positionV relativeFrom="page">
                  <wp:posOffset>1955800</wp:posOffset>
                </wp:positionV>
                <wp:extent cx="812800" cy="292100"/>
                <wp:effectExtent l="0" t="0" r="22225" b="31115"/>
                <wp:wrapNone/>
                <wp:docPr id="3567" name="shape3567"/>
                <wp:cNvGraphicFramePr/>
                <a:graphic>
                  <a:graphicData uri="http://schemas.microsoft.com/office/word/2010/wordprocessingShape">
                    <wps:wsp>
                      <wps:cNvSpPr/>
                      <wps:spPr>
                        <a:xfrm>
                          <a:off x="0" y="0"/>
                          <a:ext cx="812800" cy="2921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4pt;height:23pt;margin-left:442pt;margin-top:154pt;mso-wrap-style:square;z-index:10276624;mso-wrap-distance-left:9pt;mso-wrap-distance-top:0pt;mso-wrap-distance-right:9pt;mso-wrap-distance-bottom:0pt" id="shape3567" o:spid="1618382345928" stroked="f" filled="t" fillcolor="#808080"/>
            </w:pict>
          </mc:Fallback>
        </mc:AlternateContent>
      </w:r>
      <w:r>
        <mc:AlternateContent>
          <mc:Choice Requires="wps">
            <w:drawing>
              <wp:anchor distT="0" distB="0" distL="114300" distR="114300" simplePos="false" relativeHeight="10279696" behindDoc="true" locked="false" layoutInCell="true" allowOverlap="true">
                <wp:simplePos x="0" y="0"/>
                <wp:positionH relativeFrom="page">
                  <wp:posOffset>2451100</wp:posOffset>
                </wp:positionH>
                <wp:positionV relativeFrom="page">
                  <wp:posOffset>1498600</wp:posOffset>
                </wp:positionV>
                <wp:extent cx="990600" cy="444500"/>
                <wp:effectExtent l="0" t="0" r="22225" b="31115"/>
                <wp:wrapNone/>
                <wp:docPr id="3570" name="shape3570"/>
                <wp:cNvGraphicFramePr/>
                <a:graphic>
                  <a:graphicData uri="http://schemas.microsoft.com/office/word/2010/wordprocessingShape">
                    <wps:wsp>
                      <wps:cNvSpPr/>
                      <wps:spPr>
                        <a:xfrm>
                          <a:off x="0" y="0"/>
                          <a:ext cx="990600" cy="444500"/>
                        </a:xfrm>
                        <a:custGeom>
                          <a:avLst/>
                          <a:rect l="l" t="t" r="r" b="b"/>
                          <a:pathLst>
                            <a:path w="990600" h="444500">
                              <a:moveTo>
                                <a:pt x="17779" y="14351"/>
                              </a:moveTo>
                              <a:lnTo>
                                <a:pt x="17779" y="234060"/>
                              </a:lnTo>
                              <a:lnTo>
                                <a:pt x="11429" y="227710"/>
                              </a:lnTo>
                              <a:lnTo>
                                <a:pt x="934720" y="227710"/>
                              </a:lnTo>
                              <a:cubicBezTo>
                                <a:pt x="938276" y="227710"/>
                                <a:pt x="941070" y="230505"/>
                                <a:pt x="941070" y="234060"/>
                              </a:cubicBezTo>
                              <a:lnTo>
                                <a:pt x="941070" y="429006"/>
                              </a:lnTo>
                              <a:cubicBezTo>
                                <a:pt x="941070" y="432561"/>
                                <a:pt x="938276" y="435356"/>
                                <a:pt x="934720" y="435356"/>
                              </a:cubicBezTo>
                              <a:cubicBezTo>
                                <a:pt x="931164" y="435356"/>
                                <a:pt x="928370" y="432561"/>
                                <a:pt x="928370" y="429006"/>
                              </a:cubicBezTo>
                              <a:lnTo>
                                <a:pt x="928370" y="234060"/>
                              </a:lnTo>
                              <a:lnTo>
                                <a:pt x="934720" y="240410"/>
                              </a:lnTo>
                              <a:lnTo>
                                <a:pt x="11429" y="240410"/>
                              </a:lnTo>
                              <a:cubicBezTo>
                                <a:pt x="7873" y="240410"/>
                                <a:pt x="5079" y="237617"/>
                                <a:pt x="5079" y="234060"/>
                              </a:cubicBezTo>
                              <a:lnTo>
                                <a:pt x="5079" y="14351"/>
                              </a:lnTo>
                              <a:cubicBezTo>
                                <a:pt x="5079" y="10794"/>
                                <a:pt x="7873" y="8001"/>
                                <a:pt x="11429" y="8001"/>
                              </a:cubicBezTo>
                              <a:cubicBezTo>
                                <a:pt x="14985" y="8001"/>
                                <a:pt x="17779" y="10794"/>
                                <a:pt x="17779" y="14351"/>
                              </a:cubicBezTo>
                              <a:close/>
                              <a:moveTo>
                                <a:pt x="984630" y="355981"/>
                              </a:moveTo>
                              <a:lnTo>
                                <a:pt x="934720" y="441579"/>
                              </a:lnTo>
                              <a:lnTo>
                                <a:pt x="884809" y="355981"/>
                              </a:lnTo>
                              <a:cubicBezTo>
                                <a:pt x="883031" y="352932"/>
                                <a:pt x="884046" y="349122"/>
                                <a:pt x="887095" y="347344"/>
                              </a:cubicBezTo>
                              <a:cubicBezTo>
                                <a:pt x="890142" y="345567"/>
                                <a:pt x="893953" y="346582"/>
                                <a:pt x="895731" y="349631"/>
                              </a:cubicBezTo>
                              <a:lnTo>
                                <a:pt x="940180" y="425831"/>
                              </a:lnTo>
                              <a:lnTo>
                                <a:pt x="929259" y="425831"/>
                              </a:lnTo>
                              <a:lnTo>
                                <a:pt x="973709" y="349631"/>
                              </a:lnTo>
                              <a:cubicBezTo>
                                <a:pt x="975487" y="346582"/>
                                <a:pt x="979296" y="345567"/>
                                <a:pt x="982345" y="347344"/>
                              </a:cubicBezTo>
                              <a:cubicBezTo>
                                <a:pt x="985392" y="349122"/>
                                <a:pt x="986409" y="352932"/>
                                <a:pt x="984631" y="35598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90600,444500" style="position:absolute;left:0;top:0;visibility:visible;mso-position-horizontal:absolute;mso-position-horizontal-relative:page;mso-position-vertical:absolute;mso-position-vertical-relative:page;width:78pt;height:35pt;margin-left:193pt;margin-top:118pt;mso-wrap-style:square;z-index:10279696;mso-wrap-distance-left:9pt;mso-wrap-distance-top:0pt;mso-wrap-distance-right:9pt;mso-wrap-distance-bottom:0pt" id="shape3570" o:spid="1618382345930" path="m17779,14351l17779,234060l11429,227710l934720,227710c938276,227710,941070,230505,941070,234060l941070,429006c941070,432561,938276,435356,934720,435356c931164,435356,928370,432561,928370,429006l928370,234060l934720,240410l11429,240410c7873,240410,5079,237617,5079,234060l5079,14351c5079,10794,7873,8001,11429,8001c14985,8001,17779,10794,17779,14351em984630,355981l934720,441579l884809,355981c883031,352932,884046,349122,887095,347344c890142,345567,893953,346582,895731,349631l940180,425831l929259,425831l973709,349631c975487,346582,979296,345567,982345,347344c985392,349122,986409,352932,984631,355981e" stroked="f" filled="t" fillcolor="#000000"/>
            </w:pict>
          </mc:Fallback>
        </mc:AlternateContent>
      </w:r>
      <w:r>
        <mc:AlternateContent>
          <mc:Choice Requires="wps">
            <w:drawing>
              <wp:anchor distT="0" distB="0" distL="114300" distR="114300" simplePos="false" relativeHeight="10280720" behindDoc="true" locked="false" layoutInCell="true" allowOverlap="true">
                <wp:simplePos x="0" y="0"/>
                <wp:positionH relativeFrom="page">
                  <wp:posOffset>3327400</wp:posOffset>
                </wp:positionH>
                <wp:positionV relativeFrom="page">
                  <wp:posOffset>1498600</wp:posOffset>
                </wp:positionV>
                <wp:extent cx="114300" cy="444500"/>
                <wp:effectExtent l="0" t="0" r="22225" b="31115"/>
                <wp:wrapNone/>
                <wp:docPr id="3571" name="shape3571"/>
                <wp:cNvGraphicFramePr/>
                <a:graphic>
                  <a:graphicData uri="http://schemas.microsoft.com/office/word/2010/wordprocessingShape">
                    <wps:wsp>
                      <wps:cNvSpPr/>
                      <wps:spPr>
                        <a:xfrm>
                          <a:off x="0" y="0"/>
                          <a:ext cx="114300" cy="444500"/>
                        </a:xfrm>
                        <a:custGeom>
                          <a:avLst/>
                          <a:rect l="l" t="t" r="r" b="b"/>
                          <a:pathLst>
                            <a:path w="114300" h="444500">
                              <a:moveTo>
                                <a:pt x="62229" y="14985"/>
                              </a:moveTo>
                              <a:lnTo>
                                <a:pt x="62229" y="234695"/>
                              </a:lnTo>
                              <a:lnTo>
                                <a:pt x="55879" y="228345"/>
                              </a:lnTo>
                              <a:lnTo>
                                <a:pt x="58420" y="228345"/>
                              </a:lnTo>
                              <a:cubicBezTo>
                                <a:pt x="61976" y="228345"/>
                                <a:pt x="64770" y="231140"/>
                                <a:pt x="64770" y="234695"/>
                              </a:cubicBezTo>
                              <a:lnTo>
                                <a:pt x="64770" y="429006"/>
                              </a:lnTo>
                              <a:cubicBezTo>
                                <a:pt x="64770" y="432561"/>
                                <a:pt x="61976" y="435356"/>
                                <a:pt x="58420" y="435356"/>
                              </a:cubicBezTo>
                              <a:cubicBezTo>
                                <a:pt x="54864" y="435356"/>
                                <a:pt x="52070" y="432561"/>
                                <a:pt x="52070" y="429006"/>
                              </a:cubicBezTo>
                              <a:lnTo>
                                <a:pt x="52070" y="234695"/>
                              </a:lnTo>
                              <a:lnTo>
                                <a:pt x="58420" y="241045"/>
                              </a:lnTo>
                              <a:lnTo>
                                <a:pt x="55879" y="241045"/>
                              </a:lnTo>
                              <a:cubicBezTo>
                                <a:pt x="52323" y="241045"/>
                                <a:pt x="49529" y="238252"/>
                                <a:pt x="49529" y="234695"/>
                              </a:cubicBezTo>
                              <a:lnTo>
                                <a:pt x="49529" y="14985"/>
                              </a:lnTo>
                              <a:cubicBezTo>
                                <a:pt x="49529" y="11430"/>
                                <a:pt x="52323" y="8635"/>
                                <a:pt x="55879" y="8635"/>
                              </a:cubicBezTo>
                              <a:cubicBezTo>
                                <a:pt x="59435" y="8635"/>
                                <a:pt x="62229" y="11430"/>
                                <a:pt x="62229" y="14985"/>
                              </a:cubicBezTo>
                              <a:close/>
                              <a:moveTo>
                                <a:pt x="108330" y="355981"/>
                              </a:moveTo>
                              <a:lnTo>
                                <a:pt x="58420" y="441579"/>
                              </a:lnTo>
                              <a:lnTo>
                                <a:pt x="8509" y="355981"/>
                              </a:lnTo>
                              <a:cubicBezTo>
                                <a:pt x="6730" y="352932"/>
                                <a:pt x="7746" y="349122"/>
                                <a:pt x="10795" y="347344"/>
                              </a:cubicBezTo>
                              <a:cubicBezTo>
                                <a:pt x="13842" y="345567"/>
                                <a:pt x="17653" y="346582"/>
                                <a:pt x="19430" y="349631"/>
                              </a:cubicBezTo>
                              <a:lnTo>
                                <a:pt x="63880" y="425831"/>
                              </a:lnTo>
                              <a:lnTo>
                                <a:pt x="52959" y="425831"/>
                              </a:lnTo>
                              <a:lnTo>
                                <a:pt x="97409" y="349631"/>
                              </a:lnTo>
                              <a:cubicBezTo>
                                <a:pt x="99186" y="346582"/>
                                <a:pt x="102996" y="345567"/>
                                <a:pt x="106045" y="347344"/>
                              </a:cubicBezTo>
                              <a:cubicBezTo>
                                <a:pt x="109092" y="349122"/>
                                <a:pt x="110109" y="352932"/>
                                <a:pt x="108330" y="35598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4300,444500" style="position:absolute;left:0;top:0;visibility:visible;mso-position-horizontal:absolute;mso-position-horizontal-relative:page;mso-position-vertical:absolute;mso-position-vertical-relative:page;width:9pt;height:35pt;margin-left:262pt;margin-top:118pt;mso-wrap-style:square;z-index:10280720;mso-wrap-distance-left:9pt;mso-wrap-distance-top:0pt;mso-wrap-distance-right:9pt;mso-wrap-distance-bottom:0pt" id="shape3571" o:spid="1618382345931" path="m62229,14985l62229,234695l55879,228345l58420,228345c61976,228345,64770,231140,64770,234695l64770,429006c64770,432561,61976,435356,58420,435356c54864,435356,52070,432561,52070,429006l52070,234695l58420,241045l55879,241045c52323,241045,49529,238252,49529,234695l49529,14985c49529,11430,52323,8635,55879,8635c59435,8635,62229,11430,62229,14985em108330,355981l58420,441579l8509,355981c6730,352932,7746,349122,10795,347344c13842,345567,17653,346582,19430,349631l63880,425831l52959,425831l97409,349631c99186,346582,102996,345567,106045,347344c109092,349122,110109,352932,108330,355981e" stroked="f" filled="t" fillcolor="#000000"/>
            </w:pict>
          </mc:Fallback>
        </mc:AlternateContent>
      </w:r>
      <w:r>
        <mc:AlternateContent>
          <mc:Choice Requires="wps">
            <w:drawing>
              <wp:anchor distT="0" distB="0" distL="114300" distR="114300" simplePos="false" relativeHeight="10281744" behindDoc="true" locked="false" layoutInCell="true" allowOverlap="true">
                <wp:simplePos x="0" y="0"/>
                <wp:positionH relativeFrom="page">
                  <wp:posOffset>3327400</wp:posOffset>
                </wp:positionH>
                <wp:positionV relativeFrom="page">
                  <wp:posOffset>1498600</wp:posOffset>
                </wp:positionV>
                <wp:extent cx="1079500" cy="444500"/>
                <wp:effectExtent l="0" t="0" r="22225" b="31115"/>
                <wp:wrapNone/>
                <wp:docPr id="3572" name="shape3572"/>
                <wp:cNvGraphicFramePr/>
                <a:graphic>
                  <a:graphicData uri="http://schemas.microsoft.com/office/word/2010/wordprocessingShape">
                    <wps:wsp>
                      <wps:cNvSpPr/>
                      <wps:spPr>
                        <a:xfrm>
                          <a:off x="0" y="0"/>
                          <a:ext cx="1079500" cy="444500"/>
                        </a:xfrm>
                        <a:custGeom>
                          <a:avLst/>
                          <a:rect l="l" t="t" r="r" b="b"/>
                          <a:pathLst>
                            <a:path w="1079500" h="444500">
                              <a:moveTo>
                                <a:pt x="1074420" y="14985"/>
                              </a:moveTo>
                              <a:lnTo>
                                <a:pt x="1074420" y="234060"/>
                              </a:lnTo>
                              <a:cubicBezTo>
                                <a:pt x="1074420" y="237617"/>
                                <a:pt x="1071626" y="240410"/>
                                <a:pt x="1068070" y="240410"/>
                              </a:cubicBezTo>
                              <a:lnTo>
                                <a:pt x="58420" y="240410"/>
                              </a:lnTo>
                              <a:lnTo>
                                <a:pt x="64770" y="234060"/>
                              </a:lnTo>
                              <a:lnTo>
                                <a:pt x="64770" y="429006"/>
                              </a:lnTo>
                              <a:cubicBezTo>
                                <a:pt x="64770" y="432561"/>
                                <a:pt x="61976" y="435356"/>
                                <a:pt x="58420" y="435356"/>
                              </a:cubicBezTo>
                              <a:cubicBezTo>
                                <a:pt x="54864" y="435356"/>
                                <a:pt x="52070" y="432561"/>
                                <a:pt x="52070" y="429006"/>
                              </a:cubicBezTo>
                              <a:lnTo>
                                <a:pt x="52070" y="234060"/>
                              </a:lnTo>
                              <a:cubicBezTo>
                                <a:pt x="52070" y="230505"/>
                                <a:pt x="54864" y="227710"/>
                                <a:pt x="58420" y="227710"/>
                              </a:cubicBezTo>
                              <a:lnTo>
                                <a:pt x="1068070" y="227710"/>
                              </a:lnTo>
                              <a:lnTo>
                                <a:pt x="1061720" y="234060"/>
                              </a:lnTo>
                              <a:lnTo>
                                <a:pt x="1061720" y="14985"/>
                              </a:lnTo>
                              <a:cubicBezTo>
                                <a:pt x="1061720" y="11430"/>
                                <a:pt x="1064514" y="8635"/>
                                <a:pt x="1068070" y="8635"/>
                              </a:cubicBezTo>
                              <a:cubicBezTo>
                                <a:pt x="1071626" y="8635"/>
                                <a:pt x="1074420" y="11430"/>
                                <a:pt x="1074420" y="14985"/>
                              </a:cubicBezTo>
                              <a:close/>
                              <a:moveTo>
                                <a:pt x="108330" y="355981"/>
                              </a:moveTo>
                              <a:lnTo>
                                <a:pt x="58420" y="441579"/>
                              </a:lnTo>
                              <a:lnTo>
                                <a:pt x="8509" y="355981"/>
                              </a:lnTo>
                              <a:cubicBezTo>
                                <a:pt x="6730" y="352932"/>
                                <a:pt x="7746" y="349122"/>
                                <a:pt x="10795" y="347344"/>
                              </a:cubicBezTo>
                              <a:cubicBezTo>
                                <a:pt x="13842" y="345567"/>
                                <a:pt x="17653" y="346582"/>
                                <a:pt x="19430" y="349631"/>
                              </a:cubicBezTo>
                              <a:lnTo>
                                <a:pt x="63880" y="425831"/>
                              </a:lnTo>
                              <a:lnTo>
                                <a:pt x="52959" y="425831"/>
                              </a:lnTo>
                              <a:lnTo>
                                <a:pt x="97409" y="349631"/>
                              </a:lnTo>
                              <a:cubicBezTo>
                                <a:pt x="99186" y="346582"/>
                                <a:pt x="102996" y="345567"/>
                                <a:pt x="106045" y="347344"/>
                              </a:cubicBezTo>
                              <a:cubicBezTo>
                                <a:pt x="109092" y="349122"/>
                                <a:pt x="110109" y="352932"/>
                                <a:pt x="108330" y="35598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444500" style="position:absolute;left:0;top:0;visibility:visible;mso-position-horizontal:absolute;mso-position-horizontal-relative:page;mso-position-vertical:absolute;mso-position-vertical-relative:page;width:85pt;height:35pt;margin-left:262pt;margin-top:118pt;mso-wrap-style:square;z-index:10281744;mso-wrap-distance-left:9pt;mso-wrap-distance-top:0pt;mso-wrap-distance-right:9pt;mso-wrap-distance-bottom:0pt" id="shape3572" o:spid="1618382345932" path="m1074420,14985l1074420,234060c1074420,237617,1071626,240410,1068070,240410l58420,240410l64770,234060l64770,429006c64770,432561,61976,435356,58420,435356c54864,435356,52070,432561,52070,429006l52070,234060c52070,230505,54864,227710,58420,227710l1068070,227710l1061720,234060l1061720,14985c1061720,11430,1064514,8635,1068070,8635c1071626,8635,1074420,11430,1074420,14985em108330,355981l58420,441579l8509,355981c6730,352932,7746,349122,10795,347344c13842,345567,17653,346582,19430,349631l63880,425831l52959,425831l97409,349631c99186,346582,102996,345567,106045,347344c109092,349122,110109,352932,108330,355981e" stroked="f" filled="t" fillcolor="#000000"/>
            </w:pict>
          </mc:Fallback>
        </mc:AlternateContent>
      </w:r>
      <w:r>
        <mc:AlternateContent>
          <mc:Choice Requires="wps">
            <w:drawing>
              <wp:anchor distT="0" distB="0" distL="114300" distR="114300" simplePos="false" relativeHeight="10282768" behindDoc="true" locked="false" layoutInCell="true" allowOverlap="true">
                <wp:simplePos x="0" y="0"/>
                <wp:positionH relativeFrom="page">
                  <wp:posOffset>2628900</wp:posOffset>
                </wp:positionH>
                <wp:positionV relativeFrom="page">
                  <wp:posOffset>2730500</wp:posOffset>
                </wp:positionV>
                <wp:extent cx="2324100" cy="292100"/>
                <wp:effectExtent l="0" t="0" r="22225" b="31115"/>
                <wp:wrapNone/>
                <wp:docPr id="3573" name="shape3573"/>
                <wp:cNvGraphicFramePr/>
                <a:graphic>
                  <a:graphicData uri="http://schemas.microsoft.com/office/word/2010/wordprocessingShape">
                    <wps:wsp>
                      <wps:cNvSpPr/>
                      <wps:spPr>
                        <a:xfrm>
                          <a:off x="0" y="0"/>
                          <a:ext cx="2324100" cy="2921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83pt;height:23pt;margin-left:207pt;margin-top:215pt;mso-wrap-style:square;z-index:10282768;mso-wrap-distance-left:9pt;mso-wrap-distance-top:0pt;mso-wrap-distance-right:9pt;mso-wrap-distance-bottom:0pt" id="shape3573" o:spid="1618382345933" stroked="f" filled="t" fillcolor="#808080"/>
            </w:pict>
          </mc:Fallback>
        </mc:AlternateContent>
      </w:r>
      <w:r>
        <mc:AlternateContent>
          <mc:Choice Requires="wps">
            <w:drawing>
              <wp:anchor distT="0" distB="0" distL="114300" distR="114300" simplePos="false" relativeHeight="10285840" behindDoc="true" locked="false" layoutInCell="true" allowOverlap="true">
                <wp:simplePos x="0" y="0"/>
                <wp:positionH relativeFrom="page">
                  <wp:posOffset>1981200</wp:posOffset>
                </wp:positionH>
                <wp:positionV relativeFrom="page">
                  <wp:posOffset>3581400</wp:posOffset>
                </wp:positionV>
                <wp:extent cx="419100" cy="939800"/>
                <wp:effectExtent l="0" t="0" r="22225" b="31115"/>
                <wp:wrapNone/>
                <wp:docPr id="3576" name="shape3576"/>
                <wp:cNvGraphicFramePr/>
                <a:graphic>
                  <a:graphicData uri="http://schemas.microsoft.com/office/word/2010/wordprocessingShape">
                    <wps:wsp>
                      <wps:cNvSpPr/>
                      <wps:spPr>
                        <a:xfrm>
                          <a:off x="0" y="0"/>
                          <a:ext cx="419100" cy="9398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3pt;height:74pt;margin-left:156pt;margin-top:282pt;mso-wrap-style:square;z-index:10285840;mso-wrap-distance-left:9pt;mso-wrap-distance-top:0pt;mso-wrap-distance-right:9pt;mso-wrap-distance-bottom:0pt" id="shape3576" o:spid="1618382345933" stroked="f" filled="t" fillcolor="#808080"/>
            </w:pict>
          </mc:Fallback>
        </mc:AlternateContent>
      </w:r>
      <w:r>
        <mc:AlternateContent>
          <mc:Choice Requires="wps">
            <w:drawing>
              <wp:anchor distT="0" distB="0" distL="114300" distR="114300" simplePos="false" relativeHeight="10288912" behindDoc="true" locked="false" layoutInCell="true" allowOverlap="true">
                <wp:simplePos x="0" y="0"/>
                <wp:positionH relativeFrom="page">
                  <wp:posOffset>1549400</wp:posOffset>
                </wp:positionH>
                <wp:positionV relativeFrom="page">
                  <wp:posOffset>2222500</wp:posOffset>
                </wp:positionV>
                <wp:extent cx="2298700" cy="482600"/>
                <wp:effectExtent l="0" t="0" r="22225" b="31115"/>
                <wp:wrapNone/>
                <wp:docPr id="3579" name="shape3579"/>
                <wp:cNvGraphicFramePr/>
                <a:graphic>
                  <a:graphicData uri="http://schemas.microsoft.com/office/word/2010/wordprocessingShape">
                    <wps:wsp>
                      <wps:cNvSpPr/>
                      <wps:spPr>
                        <a:xfrm>
                          <a:off x="0" y="0"/>
                          <a:ext cx="2298700" cy="482600"/>
                        </a:xfrm>
                        <a:custGeom>
                          <a:avLst/>
                          <a:rect l="l" t="t" r="r" b="b"/>
                          <a:pathLst>
                            <a:path w="2298700" h="482600">
                              <a:moveTo>
                                <a:pt x="22860" y="12445"/>
                              </a:moveTo>
                              <a:lnTo>
                                <a:pt x="22860" y="251841"/>
                              </a:lnTo>
                              <a:lnTo>
                                <a:pt x="16510" y="245491"/>
                              </a:lnTo>
                              <a:lnTo>
                                <a:pt x="2240915" y="245491"/>
                              </a:lnTo>
                              <a:cubicBezTo>
                                <a:pt x="2244471" y="245491"/>
                                <a:pt x="2247265" y="248284"/>
                                <a:pt x="2247265" y="251841"/>
                              </a:cubicBezTo>
                              <a:lnTo>
                                <a:pt x="2247265" y="467106"/>
                              </a:lnTo>
                              <a:cubicBezTo>
                                <a:pt x="2247265" y="470661"/>
                                <a:pt x="2244471" y="473456"/>
                                <a:pt x="2240915" y="473456"/>
                              </a:cubicBezTo>
                              <a:cubicBezTo>
                                <a:pt x="2237359" y="473456"/>
                                <a:pt x="2234565" y="470661"/>
                                <a:pt x="2234565" y="467106"/>
                              </a:cubicBezTo>
                              <a:lnTo>
                                <a:pt x="2234565" y="251841"/>
                              </a:lnTo>
                              <a:lnTo>
                                <a:pt x="2240915" y="258191"/>
                              </a:lnTo>
                              <a:lnTo>
                                <a:pt x="16510" y="258191"/>
                              </a:lnTo>
                              <a:cubicBezTo>
                                <a:pt x="12953" y="258191"/>
                                <a:pt x="10160" y="255396"/>
                                <a:pt x="10160" y="251841"/>
                              </a:cubicBezTo>
                              <a:lnTo>
                                <a:pt x="10160" y="12445"/>
                              </a:lnTo>
                              <a:cubicBezTo>
                                <a:pt x="10160" y="8890"/>
                                <a:pt x="12953" y="6095"/>
                                <a:pt x="16510" y="6095"/>
                              </a:cubicBezTo>
                              <a:cubicBezTo>
                                <a:pt x="20066" y="6095"/>
                                <a:pt x="22860" y="8890"/>
                                <a:pt x="22860" y="12445"/>
                              </a:cubicBezTo>
                              <a:close/>
                              <a:moveTo>
                                <a:pt x="2290826" y="394081"/>
                              </a:moveTo>
                              <a:lnTo>
                                <a:pt x="2240915" y="479679"/>
                              </a:lnTo>
                              <a:lnTo>
                                <a:pt x="2191003" y="394081"/>
                              </a:lnTo>
                              <a:cubicBezTo>
                                <a:pt x="2189226" y="391032"/>
                                <a:pt x="2190242" y="387222"/>
                                <a:pt x="2193290" y="385444"/>
                              </a:cubicBezTo>
                              <a:cubicBezTo>
                                <a:pt x="2196338" y="383667"/>
                                <a:pt x="2200148" y="384682"/>
                                <a:pt x="2201926" y="387731"/>
                              </a:cubicBezTo>
                              <a:lnTo>
                                <a:pt x="2246376" y="463931"/>
                              </a:lnTo>
                              <a:lnTo>
                                <a:pt x="2235453" y="463931"/>
                              </a:lnTo>
                              <a:lnTo>
                                <a:pt x="2279903" y="387731"/>
                              </a:lnTo>
                              <a:cubicBezTo>
                                <a:pt x="2281682" y="384682"/>
                                <a:pt x="2285492" y="383667"/>
                                <a:pt x="2288540" y="385444"/>
                              </a:cubicBezTo>
                              <a:cubicBezTo>
                                <a:pt x="2291588" y="387222"/>
                                <a:pt x="2292603" y="391032"/>
                                <a:pt x="2290826" y="39408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98700,482600" style="position:absolute;left:0;top:0;visibility:visible;mso-position-horizontal:absolute;mso-position-horizontal-relative:page;mso-position-vertical:absolute;mso-position-vertical-relative:page;width:181pt;height:38pt;margin-left:122pt;margin-top:175pt;mso-wrap-style:square;z-index:10288912;mso-wrap-distance-left:9pt;mso-wrap-distance-top:0pt;mso-wrap-distance-right:9pt;mso-wrap-distance-bottom:0pt" id="shape3579" o:spid="1618382345934" path="m22860,12445l22860,251841l16510,245491l2240915,245491c2244471,245491,2247265,248284,2247265,251841l2247265,467106c2247265,470661,2244471,473456,2240915,473456c2237359,473456,2234565,470661,2234565,467106l2234565,251841l2240915,258191l16510,258191c12953,258191,10160,255396,10160,251841l10160,12445c10160,8890,12953,6095,16510,6095c20066,6095,22860,8890,22860,12445em2290826,394081l2240915,479679l2191003,394081c2189226,391032,2190242,387222,2193290,385444c2196338,383667,2200148,384682,2201926,387731l2246376,463931l2235453,463931l2279903,387731c2281682,384682,2285492,383667,2288540,385444c2291588,387222,2292603,391032,2290826,394081e" stroked="f" filled="t" fillcolor="#000000"/>
            </w:pict>
          </mc:Fallback>
        </mc:AlternateContent>
      </w:r>
      <w:r>
        <mc:AlternateContent>
          <mc:Choice Requires="wps">
            <w:drawing>
              <wp:anchor distT="0" distB="0" distL="114300" distR="114300" simplePos="false" relativeHeight="10289936" behindDoc="true" locked="false" layoutInCell="true" allowOverlap="true">
                <wp:simplePos x="0" y="0"/>
                <wp:positionH relativeFrom="page">
                  <wp:posOffset>2451100</wp:posOffset>
                </wp:positionH>
                <wp:positionV relativeFrom="page">
                  <wp:posOffset>2222500</wp:posOffset>
                </wp:positionV>
                <wp:extent cx="1397000" cy="482600"/>
                <wp:effectExtent l="0" t="0" r="22225" b="31115"/>
                <wp:wrapNone/>
                <wp:docPr id="3580" name="shape3580"/>
                <wp:cNvGraphicFramePr/>
                <a:graphic>
                  <a:graphicData uri="http://schemas.microsoft.com/office/word/2010/wordprocessingShape">
                    <wps:wsp>
                      <wps:cNvSpPr/>
                      <wps:spPr>
                        <a:xfrm>
                          <a:off x="0" y="0"/>
                          <a:ext cx="1397000" cy="482600"/>
                        </a:xfrm>
                        <a:custGeom>
                          <a:avLst/>
                          <a:rect l="l" t="t" r="r" b="b"/>
                          <a:pathLst>
                            <a:path w="1397000" h="482600">
                              <a:moveTo>
                                <a:pt x="17779" y="15620"/>
                              </a:moveTo>
                              <a:lnTo>
                                <a:pt x="17779" y="253745"/>
                              </a:lnTo>
                              <a:lnTo>
                                <a:pt x="11429" y="247395"/>
                              </a:lnTo>
                              <a:lnTo>
                                <a:pt x="1339215" y="247395"/>
                              </a:lnTo>
                              <a:cubicBezTo>
                                <a:pt x="1342771" y="247395"/>
                                <a:pt x="1345565" y="250190"/>
                                <a:pt x="1345565" y="253745"/>
                              </a:cubicBezTo>
                              <a:lnTo>
                                <a:pt x="1345565" y="467106"/>
                              </a:lnTo>
                              <a:cubicBezTo>
                                <a:pt x="1345565" y="470661"/>
                                <a:pt x="1342771" y="473456"/>
                                <a:pt x="1339215" y="473456"/>
                              </a:cubicBezTo>
                              <a:cubicBezTo>
                                <a:pt x="1335659" y="473456"/>
                                <a:pt x="1332865" y="470661"/>
                                <a:pt x="1332865" y="467106"/>
                              </a:cubicBezTo>
                              <a:lnTo>
                                <a:pt x="1332865" y="253745"/>
                              </a:lnTo>
                              <a:lnTo>
                                <a:pt x="1339215" y="260095"/>
                              </a:lnTo>
                              <a:lnTo>
                                <a:pt x="11429" y="260095"/>
                              </a:lnTo>
                              <a:cubicBezTo>
                                <a:pt x="7873" y="260095"/>
                                <a:pt x="5079" y="257302"/>
                                <a:pt x="5079" y="253745"/>
                              </a:cubicBezTo>
                              <a:lnTo>
                                <a:pt x="5079" y="15620"/>
                              </a:lnTo>
                              <a:cubicBezTo>
                                <a:pt x="5079" y="12065"/>
                                <a:pt x="7873" y="9270"/>
                                <a:pt x="11429" y="9270"/>
                              </a:cubicBezTo>
                              <a:cubicBezTo>
                                <a:pt x="14985" y="9270"/>
                                <a:pt x="17779" y="12065"/>
                                <a:pt x="17779" y="15620"/>
                              </a:cubicBezTo>
                              <a:close/>
                              <a:moveTo>
                                <a:pt x="1389126" y="394081"/>
                              </a:moveTo>
                              <a:lnTo>
                                <a:pt x="1339215" y="479679"/>
                              </a:lnTo>
                              <a:lnTo>
                                <a:pt x="1289303" y="394081"/>
                              </a:lnTo>
                              <a:cubicBezTo>
                                <a:pt x="1287526" y="391032"/>
                                <a:pt x="1288541" y="387222"/>
                                <a:pt x="1291590" y="385444"/>
                              </a:cubicBezTo>
                              <a:cubicBezTo>
                                <a:pt x="1294638" y="383667"/>
                                <a:pt x="1298447" y="384682"/>
                                <a:pt x="1300226" y="387731"/>
                              </a:cubicBezTo>
                              <a:lnTo>
                                <a:pt x="1344676" y="463931"/>
                              </a:lnTo>
                              <a:lnTo>
                                <a:pt x="1333753" y="463931"/>
                              </a:lnTo>
                              <a:lnTo>
                                <a:pt x="1378203" y="387731"/>
                              </a:lnTo>
                              <a:cubicBezTo>
                                <a:pt x="1379982" y="384682"/>
                                <a:pt x="1383791" y="383667"/>
                                <a:pt x="1386840" y="385444"/>
                              </a:cubicBezTo>
                              <a:cubicBezTo>
                                <a:pt x="1389888" y="387222"/>
                                <a:pt x="1390903" y="391032"/>
                                <a:pt x="1389126" y="39408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97000,482600" style="position:absolute;left:0;top:0;visibility:visible;mso-position-horizontal:absolute;mso-position-horizontal-relative:page;mso-position-vertical:absolute;mso-position-vertical-relative:page;width:110pt;height:38pt;margin-left:193pt;margin-top:175pt;mso-wrap-style:square;z-index:10289936;mso-wrap-distance-left:9pt;mso-wrap-distance-top:0pt;mso-wrap-distance-right:9pt;mso-wrap-distance-bottom:0pt" id="shape3580" o:spid="1618382345935" path="m17779,15620l17779,253745l11429,247395l1339215,247395c1342771,247395,1345565,250190,1345565,253745l1345565,467106c1345565,470661,1342771,473456,1339215,473456c1335659,473456,1332865,470661,1332865,467106l1332865,253745l1339215,260095l11429,260095c7873,260095,5079,257302,5079,253745l5079,15620c5079,12065,7873,9270,11429,9270c14985,9270,17779,12065,17779,15620em1389126,394081l1339215,479679l1289303,394081c1287526,391032,1288541,387222,1291590,385444c1294638,383667,1298447,384682,1300226,387731l1344676,463931l1333753,463931l1378203,387731c1379982,384682,1383791,383667,1386840,385444c1389888,387222,1390903,391032,1389126,394081e" stroked="f" filled="t" fillcolor="#000000"/>
            </w:pict>
          </mc:Fallback>
        </mc:AlternateContent>
      </w:r>
      <w:r>
        <mc:AlternateContent>
          <mc:Choice Requires="wps">
            <w:drawing>
              <wp:anchor distT="0" distB="0" distL="114300" distR="114300" simplePos="false" relativeHeight="10290960" behindDoc="true" locked="false" layoutInCell="true" allowOverlap="true">
                <wp:simplePos x="0" y="0"/>
                <wp:positionH relativeFrom="page">
                  <wp:posOffset>3378200</wp:posOffset>
                </wp:positionH>
                <wp:positionV relativeFrom="page">
                  <wp:posOffset>2235200</wp:posOffset>
                </wp:positionV>
                <wp:extent cx="469900" cy="469900"/>
                <wp:effectExtent l="0" t="0" r="22225" b="31115"/>
                <wp:wrapNone/>
                <wp:docPr id="3581" name="shape3581"/>
                <wp:cNvGraphicFramePr/>
                <a:graphic>
                  <a:graphicData uri="http://schemas.microsoft.com/office/word/2010/wordprocessingShape">
                    <wps:wsp>
                      <wps:cNvSpPr/>
                      <wps:spPr>
                        <a:xfrm>
                          <a:off x="0" y="0"/>
                          <a:ext cx="469900" cy="469900"/>
                        </a:xfrm>
                        <a:custGeom>
                          <a:avLst/>
                          <a:rect l="l" t="t" r="r" b="b"/>
                          <a:pathLst>
                            <a:path w="469900" h="469900">
                              <a:moveTo>
                                <a:pt x="13970" y="6731"/>
                              </a:moveTo>
                              <a:lnTo>
                                <a:pt x="13970" y="242951"/>
                              </a:lnTo>
                              <a:lnTo>
                                <a:pt x="7620" y="236601"/>
                              </a:lnTo>
                              <a:lnTo>
                                <a:pt x="412115" y="236601"/>
                              </a:lnTo>
                              <a:cubicBezTo>
                                <a:pt x="415671" y="236601"/>
                                <a:pt x="418465" y="239394"/>
                                <a:pt x="418465" y="242951"/>
                              </a:cubicBezTo>
                              <a:lnTo>
                                <a:pt x="418465" y="454406"/>
                              </a:lnTo>
                              <a:cubicBezTo>
                                <a:pt x="418465" y="457961"/>
                                <a:pt x="415671" y="460756"/>
                                <a:pt x="412115" y="460756"/>
                              </a:cubicBezTo>
                              <a:cubicBezTo>
                                <a:pt x="408559" y="460756"/>
                                <a:pt x="405765" y="457961"/>
                                <a:pt x="405765" y="454406"/>
                              </a:cubicBezTo>
                              <a:lnTo>
                                <a:pt x="405765" y="242951"/>
                              </a:lnTo>
                              <a:lnTo>
                                <a:pt x="412115" y="249301"/>
                              </a:lnTo>
                              <a:lnTo>
                                <a:pt x="7620" y="249301"/>
                              </a:lnTo>
                              <a:cubicBezTo>
                                <a:pt x="4064" y="249301"/>
                                <a:pt x="1270" y="246506"/>
                                <a:pt x="1270" y="242951"/>
                              </a:cubicBezTo>
                              <a:lnTo>
                                <a:pt x="1270" y="6731"/>
                              </a:lnTo>
                              <a:cubicBezTo>
                                <a:pt x="1270" y="3175"/>
                                <a:pt x="4064" y="381"/>
                                <a:pt x="7620" y="381"/>
                              </a:cubicBezTo>
                              <a:cubicBezTo>
                                <a:pt x="11176" y="381"/>
                                <a:pt x="13970" y="3175"/>
                                <a:pt x="13970" y="6731"/>
                              </a:cubicBezTo>
                              <a:close/>
                              <a:moveTo>
                                <a:pt x="462026" y="381381"/>
                              </a:moveTo>
                              <a:lnTo>
                                <a:pt x="412115" y="466979"/>
                              </a:lnTo>
                              <a:lnTo>
                                <a:pt x="362203" y="381381"/>
                              </a:lnTo>
                              <a:cubicBezTo>
                                <a:pt x="360426" y="378332"/>
                                <a:pt x="361441" y="374522"/>
                                <a:pt x="364490" y="372744"/>
                              </a:cubicBezTo>
                              <a:cubicBezTo>
                                <a:pt x="367538" y="370967"/>
                                <a:pt x="371347" y="371982"/>
                                <a:pt x="373126" y="375031"/>
                              </a:cubicBezTo>
                              <a:lnTo>
                                <a:pt x="417576" y="451231"/>
                              </a:lnTo>
                              <a:lnTo>
                                <a:pt x="406653" y="451231"/>
                              </a:lnTo>
                              <a:lnTo>
                                <a:pt x="451103" y="375031"/>
                              </a:lnTo>
                              <a:cubicBezTo>
                                <a:pt x="452882" y="371982"/>
                                <a:pt x="456691" y="370967"/>
                                <a:pt x="459740" y="372744"/>
                              </a:cubicBezTo>
                              <a:cubicBezTo>
                                <a:pt x="462788" y="374522"/>
                                <a:pt x="463803" y="378332"/>
                                <a:pt x="462026" y="38138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69900,469900" style="position:absolute;left:0;top:0;visibility:visible;mso-position-horizontal:absolute;mso-position-horizontal-relative:page;mso-position-vertical:absolute;mso-position-vertical-relative:page;width:37pt;height:37pt;margin-left:266pt;margin-top:176pt;mso-wrap-style:square;z-index:10290960;mso-wrap-distance-left:9pt;mso-wrap-distance-top:0pt;mso-wrap-distance-right:9pt;mso-wrap-distance-bottom:0pt" id="shape3581" o:spid="1618382345936" path="m13970,6731l13970,242951l7620,236601l412115,236601c415671,236601,418465,239394,418465,242951l418465,454406c418465,457961,415671,460756,412115,460756c408559,460756,405765,457961,405765,454406l405765,242951l412115,249301l7620,249301c4064,249301,1270,246506,1270,242951l1270,6731c1270,3175,4064,381,7620,381c11176,381,13970,3175,13970,6731em462026,381381l412115,466979l362203,381381c360426,378332,361441,374522,364490,372744c367538,370967,371347,371982,373126,375031l417576,451231l406653,451231l451103,375031c452882,371982,456691,370967,459740,372744c462788,374522,463803,378332,462026,381381e" stroked="f" filled="t" fillcolor="#000000"/>
            </w:pict>
          </mc:Fallback>
        </mc:AlternateContent>
      </w:r>
      <w:r>
        <mc:AlternateContent>
          <mc:Choice Requires="wps">
            <w:drawing>
              <wp:anchor distT="0" distB="0" distL="114300" distR="114300" simplePos="false" relativeHeight="10291984" behindDoc="true" locked="false" layoutInCell="true" allowOverlap="true">
                <wp:simplePos x="0" y="0"/>
                <wp:positionH relativeFrom="page">
                  <wp:posOffset>3733800</wp:posOffset>
                </wp:positionH>
                <wp:positionV relativeFrom="page">
                  <wp:posOffset>2222500</wp:posOffset>
                </wp:positionV>
                <wp:extent cx="571500" cy="482600"/>
                <wp:effectExtent l="0" t="0" r="22225" b="31115"/>
                <wp:wrapNone/>
                <wp:docPr id="3582" name="shape3582"/>
                <wp:cNvGraphicFramePr/>
                <a:graphic>
                  <a:graphicData uri="http://schemas.microsoft.com/office/word/2010/wordprocessingShape">
                    <wps:wsp>
                      <wps:cNvSpPr/>
                      <wps:spPr>
                        <a:xfrm>
                          <a:off x="0" y="0"/>
                          <a:ext cx="571500" cy="482600"/>
                        </a:xfrm>
                        <a:custGeom>
                          <a:avLst/>
                          <a:rect l="l" t="t" r="r" b="b"/>
                          <a:pathLst>
                            <a:path w="571500" h="482600">
                              <a:moveTo>
                                <a:pt x="567690" y="14985"/>
                              </a:moveTo>
                              <a:lnTo>
                                <a:pt x="567690" y="253745"/>
                              </a:lnTo>
                              <a:cubicBezTo>
                                <a:pt x="567690" y="257302"/>
                                <a:pt x="564896" y="260095"/>
                                <a:pt x="561340" y="260095"/>
                              </a:cubicBezTo>
                              <a:lnTo>
                                <a:pt x="56515" y="260095"/>
                              </a:lnTo>
                              <a:lnTo>
                                <a:pt x="62865" y="253745"/>
                              </a:lnTo>
                              <a:lnTo>
                                <a:pt x="62865" y="467106"/>
                              </a:lnTo>
                              <a:cubicBezTo>
                                <a:pt x="62865" y="470661"/>
                                <a:pt x="60071" y="473456"/>
                                <a:pt x="56515" y="473456"/>
                              </a:cubicBezTo>
                              <a:cubicBezTo>
                                <a:pt x="52959" y="473456"/>
                                <a:pt x="50165" y="470661"/>
                                <a:pt x="50165" y="467106"/>
                              </a:cubicBezTo>
                              <a:lnTo>
                                <a:pt x="50165" y="253745"/>
                              </a:lnTo>
                              <a:cubicBezTo>
                                <a:pt x="50165" y="250190"/>
                                <a:pt x="52959" y="247395"/>
                                <a:pt x="56515" y="247395"/>
                              </a:cubicBezTo>
                              <a:lnTo>
                                <a:pt x="561340" y="247395"/>
                              </a:lnTo>
                              <a:lnTo>
                                <a:pt x="554990" y="253745"/>
                              </a:lnTo>
                              <a:lnTo>
                                <a:pt x="554990" y="14985"/>
                              </a:lnTo>
                              <a:cubicBezTo>
                                <a:pt x="554990" y="11430"/>
                                <a:pt x="557784" y="8635"/>
                                <a:pt x="561340" y="8635"/>
                              </a:cubicBezTo>
                              <a:cubicBezTo>
                                <a:pt x="564896" y="8635"/>
                                <a:pt x="567690" y="11430"/>
                                <a:pt x="567690" y="14985"/>
                              </a:cubicBezTo>
                              <a:close/>
                              <a:moveTo>
                                <a:pt x="106426" y="394081"/>
                              </a:moveTo>
                              <a:lnTo>
                                <a:pt x="56515" y="479679"/>
                              </a:lnTo>
                              <a:lnTo>
                                <a:pt x="6603" y="394081"/>
                              </a:lnTo>
                              <a:cubicBezTo>
                                <a:pt x="4826" y="391032"/>
                                <a:pt x="5841" y="387222"/>
                                <a:pt x="8890" y="385444"/>
                              </a:cubicBezTo>
                              <a:cubicBezTo>
                                <a:pt x="11938" y="383667"/>
                                <a:pt x="15747" y="384682"/>
                                <a:pt x="17526" y="387731"/>
                              </a:cubicBezTo>
                              <a:lnTo>
                                <a:pt x="61976" y="463931"/>
                              </a:lnTo>
                              <a:lnTo>
                                <a:pt x="51053" y="463931"/>
                              </a:lnTo>
                              <a:lnTo>
                                <a:pt x="95503" y="387731"/>
                              </a:lnTo>
                              <a:cubicBezTo>
                                <a:pt x="97282" y="384682"/>
                                <a:pt x="101091" y="383667"/>
                                <a:pt x="104140" y="385444"/>
                              </a:cubicBezTo>
                              <a:cubicBezTo>
                                <a:pt x="107188" y="387222"/>
                                <a:pt x="108203" y="391032"/>
                                <a:pt x="106426" y="39408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71500,482600" style="position:absolute;left:0;top:0;visibility:visible;mso-position-horizontal:absolute;mso-position-horizontal-relative:page;mso-position-vertical:absolute;mso-position-vertical-relative:page;width:45pt;height:38pt;margin-left:294pt;margin-top:175pt;mso-wrap-style:square;z-index:10291984;mso-wrap-distance-left:9pt;mso-wrap-distance-top:0pt;mso-wrap-distance-right:9pt;mso-wrap-distance-bottom:0pt" id="shape3582" o:spid="1618382345937" path="m567690,14985l567690,253745c567690,257302,564896,260095,561340,260095l56515,260095l62865,253745l62865,467106c62865,470661,60071,473456,56515,473456c52959,473456,50165,470661,50165,467106l50165,253745c50165,250190,52959,247395,56515,247395l561340,247395l554990,253745l554990,14985c554990,11430,557784,8635,561340,8635c564896,8635,567690,11430,567690,14985em106426,394081l56515,479679l6603,394081c4826,391032,5841,387222,8890,385444c11938,383667,15747,384682,17526,387731l61976,463931l51053,463931l95503,387731c97282,384682,101091,383667,104140,385444c107188,387222,108203,391032,106426,394081e" stroked="f" filled="t" fillcolor="#000000"/>
            </w:pict>
          </mc:Fallback>
        </mc:AlternateContent>
      </w:r>
      <w:r>
        <mc:AlternateContent>
          <mc:Choice Requires="wps">
            <w:drawing>
              <wp:anchor distT="0" distB="0" distL="114300" distR="114300" simplePos="false" relativeHeight="10293008" behindDoc="true" locked="false" layoutInCell="true" allowOverlap="true">
                <wp:simplePos x="0" y="0"/>
                <wp:positionH relativeFrom="page">
                  <wp:posOffset>3733800</wp:posOffset>
                </wp:positionH>
                <wp:positionV relativeFrom="page">
                  <wp:posOffset>2222500</wp:posOffset>
                </wp:positionV>
                <wp:extent cx="1422400" cy="482600"/>
                <wp:effectExtent l="0" t="0" r="22225" b="31115"/>
                <wp:wrapNone/>
                <wp:docPr id="3583" name="shape3583"/>
                <wp:cNvGraphicFramePr/>
                <a:graphic>
                  <a:graphicData uri="http://schemas.microsoft.com/office/word/2010/wordprocessingShape">
                    <wps:wsp>
                      <wps:cNvSpPr/>
                      <wps:spPr>
                        <a:xfrm>
                          <a:off x="0" y="0"/>
                          <a:ext cx="1422400" cy="482600"/>
                        </a:xfrm>
                        <a:custGeom>
                          <a:avLst/>
                          <a:rect l="l" t="t" r="r" b="b"/>
                          <a:pathLst>
                            <a:path w="1422400" h="482600">
                              <a:moveTo>
                                <a:pt x="1421129" y="11810"/>
                              </a:moveTo>
                              <a:lnTo>
                                <a:pt x="1421129" y="251841"/>
                              </a:lnTo>
                              <a:cubicBezTo>
                                <a:pt x="1421129" y="255396"/>
                                <a:pt x="1418335" y="258191"/>
                                <a:pt x="1414779" y="258191"/>
                              </a:cubicBezTo>
                              <a:lnTo>
                                <a:pt x="56515" y="258191"/>
                              </a:lnTo>
                              <a:lnTo>
                                <a:pt x="62865" y="251841"/>
                              </a:lnTo>
                              <a:lnTo>
                                <a:pt x="62865" y="467106"/>
                              </a:lnTo>
                              <a:cubicBezTo>
                                <a:pt x="62865" y="470661"/>
                                <a:pt x="60071" y="473456"/>
                                <a:pt x="56515" y="473456"/>
                              </a:cubicBezTo>
                              <a:cubicBezTo>
                                <a:pt x="52959" y="473456"/>
                                <a:pt x="50165" y="470661"/>
                                <a:pt x="50165" y="467106"/>
                              </a:cubicBezTo>
                              <a:lnTo>
                                <a:pt x="50165" y="251841"/>
                              </a:lnTo>
                              <a:cubicBezTo>
                                <a:pt x="50165" y="248284"/>
                                <a:pt x="52959" y="245491"/>
                                <a:pt x="56515" y="245491"/>
                              </a:cubicBezTo>
                              <a:lnTo>
                                <a:pt x="1414779" y="245491"/>
                              </a:lnTo>
                              <a:lnTo>
                                <a:pt x="1408429" y="251841"/>
                              </a:lnTo>
                              <a:lnTo>
                                <a:pt x="1408429" y="11810"/>
                              </a:lnTo>
                              <a:cubicBezTo>
                                <a:pt x="1408429" y="8255"/>
                                <a:pt x="1411224" y="5460"/>
                                <a:pt x="1414779" y="5460"/>
                              </a:cubicBezTo>
                              <a:cubicBezTo>
                                <a:pt x="1418335" y="5460"/>
                                <a:pt x="1421129" y="8255"/>
                                <a:pt x="1421129" y="11810"/>
                              </a:cubicBezTo>
                              <a:close/>
                              <a:moveTo>
                                <a:pt x="106426" y="394081"/>
                              </a:moveTo>
                              <a:lnTo>
                                <a:pt x="56515" y="479679"/>
                              </a:lnTo>
                              <a:lnTo>
                                <a:pt x="6603" y="394081"/>
                              </a:lnTo>
                              <a:cubicBezTo>
                                <a:pt x="4826" y="391032"/>
                                <a:pt x="5841" y="387222"/>
                                <a:pt x="8890" y="385444"/>
                              </a:cubicBezTo>
                              <a:cubicBezTo>
                                <a:pt x="11938" y="383667"/>
                                <a:pt x="15747" y="384682"/>
                                <a:pt x="17526" y="387731"/>
                              </a:cubicBezTo>
                              <a:lnTo>
                                <a:pt x="61976" y="463931"/>
                              </a:lnTo>
                              <a:lnTo>
                                <a:pt x="51053" y="463931"/>
                              </a:lnTo>
                              <a:lnTo>
                                <a:pt x="95503" y="387731"/>
                              </a:lnTo>
                              <a:cubicBezTo>
                                <a:pt x="97282" y="384682"/>
                                <a:pt x="101091" y="383667"/>
                                <a:pt x="104140" y="385444"/>
                              </a:cubicBezTo>
                              <a:cubicBezTo>
                                <a:pt x="107188" y="387222"/>
                                <a:pt x="108203" y="391032"/>
                                <a:pt x="106426" y="39408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22400,482600" style="position:absolute;left:0;top:0;visibility:visible;mso-position-horizontal:absolute;mso-position-horizontal-relative:page;mso-position-vertical:absolute;mso-position-vertical-relative:page;width:112pt;height:38pt;margin-left:294pt;margin-top:175pt;mso-wrap-style:square;z-index:10293008;mso-wrap-distance-left:9pt;mso-wrap-distance-top:0pt;mso-wrap-distance-right:9pt;mso-wrap-distance-bottom:0pt" id="shape3583" o:spid="1618382345939" path="m1421129,11810l1421129,251841c1421129,255396,1418335,258191,1414779,258191l56515,258191l62865,251841l62865,467106c62865,470661,60071,473456,56515,473456c52959,473456,50165,470661,50165,467106l50165,251841c50165,248284,52959,245491,56515,245491l1414779,245491l1408429,251841l1408429,11810c1408429,8255,1411224,5460,1414779,5460c1418335,5460,1421129,8255,1421129,11810em106426,394081l56515,479679l6603,394081c4826,391032,5841,387222,8890,385444c11938,383667,15747,384682,17526,387731l61976,463931l51053,463931l95503,387731c97282,384682,101091,383667,104140,385444c107188,387222,108203,391032,106426,394081e" stroked="f" filled="t" fillcolor="#000000"/>
            </w:pict>
          </mc:Fallback>
        </mc:AlternateContent>
      </w:r>
      <w:r>
        <mc:AlternateContent>
          <mc:Choice Requires="wps">
            <w:drawing>
              <wp:anchor distT="0" distB="0" distL="114300" distR="114300" simplePos="false" relativeHeight="10294032" behindDoc="true" locked="false" layoutInCell="true" allowOverlap="true">
                <wp:simplePos x="0" y="0"/>
                <wp:positionH relativeFrom="page">
                  <wp:posOffset>3733800</wp:posOffset>
                </wp:positionH>
                <wp:positionV relativeFrom="page">
                  <wp:posOffset>2209800</wp:posOffset>
                </wp:positionV>
                <wp:extent cx="2298700" cy="495300"/>
                <wp:effectExtent l="0" t="0" r="22225" b="31115"/>
                <wp:wrapNone/>
                <wp:docPr id="3584" name="shape3584"/>
                <wp:cNvGraphicFramePr/>
                <a:graphic>
                  <a:graphicData uri="http://schemas.microsoft.com/office/word/2010/wordprocessingShape">
                    <wps:wsp>
                      <wps:cNvSpPr/>
                      <wps:spPr>
                        <a:xfrm>
                          <a:off x="0" y="0"/>
                          <a:ext cx="2298700" cy="495300"/>
                        </a:xfrm>
                        <a:custGeom>
                          <a:avLst/>
                          <a:rect l="l" t="t" r="r" b="b"/>
                          <a:pathLst>
                            <a:path w="2298700" h="495300">
                              <a:moveTo>
                                <a:pt x="2289809" y="15620"/>
                              </a:moveTo>
                              <a:lnTo>
                                <a:pt x="2289809" y="260095"/>
                              </a:lnTo>
                              <a:cubicBezTo>
                                <a:pt x="2289809" y="263652"/>
                                <a:pt x="2287015" y="266445"/>
                                <a:pt x="2283459" y="266445"/>
                              </a:cubicBezTo>
                              <a:lnTo>
                                <a:pt x="56515" y="266445"/>
                              </a:lnTo>
                              <a:lnTo>
                                <a:pt x="62865" y="260095"/>
                              </a:lnTo>
                              <a:lnTo>
                                <a:pt x="62865" y="479806"/>
                              </a:lnTo>
                              <a:cubicBezTo>
                                <a:pt x="62865" y="483361"/>
                                <a:pt x="60071" y="486156"/>
                                <a:pt x="56515" y="486156"/>
                              </a:cubicBezTo>
                              <a:cubicBezTo>
                                <a:pt x="52959" y="486156"/>
                                <a:pt x="50165" y="483361"/>
                                <a:pt x="50165" y="479806"/>
                              </a:cubicBezTo>
                              <a:lnTo>
                                <a:pt x="50165" y="260095"/>
                              </a:lnTo>
                              <a:cubicBezTo>
                                <a:pt x="50165" y="256540"/>
                                <a:pt x="52959" y="253745"/>
                                <a:pt x="56515" y="253745"/>
                              </a:cubicBezTo>
                              <a:lnTo>
                                <a:pt x="2283459" y="253745"/>
                              </a:lnTo>
                              <a:lnTo>
                                <a:pt x="2277109" y="260095"/>
                              </a:lnTo>
                              <a:lnTo>
                                <a:pt x="2277109" y="15620"/>
                              </a:lnTo>
                              <a:cubicBezTo>
                                <a:pt x="2277109" y="12065"/>
                                <a:pt x="2279903" y="9270"/>
                                <a:pt x="2283459" y="9270"/>
                              </a:cubicBezTo>
                              <a:cubicBezTo>
                                <a:pt x="2287015" y="9270"/>
                                <a:pt x="2289809" y="12065"/>
                                <a:pt x="2289809" y="15620"/>
                              </a:cubicBezTo>
                              <a:close/>
                              <a:moveTo>
                                <a:pt x="106426" y="406781"/>
                              </a:moveTo>
                              <a:lnTo>
                                <a:pt x="56515" y="492379"/>
                              </a:lnTo>
                              <a:lnTo>
                                <a:pt x="6603" y="406781"/>
                              </a:lnTo>
                              <a:cubicBezTo>
                                <a:pt x="4826" y="403732"/>
                                <a:pt x="5841" y="399922"/>
                                <a:pt x="8890" y="398144"/>
                              </a:cubicBezTo>
                              <a:cubicBezTo>
                                <a:pt x="11938" y="396367"/>
                                <a:pt x="15747" y="397382"/>
                                <a:pt x="17526" y="400431"/>
                              </a:cubicBezTo>
                              <a:lnTo>
                                <a:pt x="61976" y="476631"/>
                              </a:lnTo>
                              <a:lnTo>
                                <a:pt x="51053" y="476631"/>
                              </a:lnTo>
                              <a:lnTo>
                                <a:pt x="95503" y="400431"/>
                              </a:lnTo>
                              <a:cubicBezTo>
                                <a:pt x="97282" y="397382"/>
                                <a:pt x="101091" y="396367"/>
                                <a:pt x="104140" y="398144"/>
                              </a:cubicBezTo>
                              <a:cubicBezTo>
                                <a:pt x="107188" y="399922"/>
                                <a:pt x="108203" y="403732"/>
                                <a:pt x="106426" y="40678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98700,495300" style="position:absolute;left:0;top:0;visibility:visible;mso-position-horizontal:absolute;mso-position-horizontal-relative:page;mso-position-vertical:absolute;mso-position-vertical-relative:page;width:181pt;height:39pt;margin-left:294pt;margin-top:174pt;mso-wrap-style:square;z-index:10294032;mso-wrap-distance-left:9pt;mso-wrap-distance-top:0pt;mso-wrap-distance-right:9pt;mso-wrap-distance-bottom:0pt" id="shape3584" o:spid="1618382345940" path="m2289809,15620l2289809,260095c2289809,263652,2287015,266445,2283459,266445l56515,266445l62865,260095l62865,479806c62865,483361,60071,486156,56515,486156c52959,486156,50165,483361,50165,479806l50165,260095c50165,256540,52959,253745,56515,253745l2283459,253745l2277109,260095l2277109,15620c2277109,12065,2279903,9270,2283459,9270c2287015,9270,2289809,12065,2289809,15620em106426,406781l56515,492379l6603,406781c4826,403732,5841,399922,8890,398144c11938,396367,15747,397382,17526,400431l61976,476631l51053,476631l95503,400431c97282,397382,101091,396367,104140,398144c107188,399922,108203,403732,106426,406781e" stroked="f" filled="t" fillcolor="#000000"/>
            </w:pict>
          </mc:Fallback>
        </mc:AlternateContent>
      </w:r>
      <w:r>
        <mc:AlternateContent>
          <mc:Choice Requires="wps">
            <w:drawing>
              <wp:anchor distT="0" distB="0" distL="114300" distR="114300" simplePos="false" relativeHeight="10295056" behindDoc="true" locked="false" layoutInCell="true" allowOverlap="true">
                <wp:simplePos x="0" y="0"/>
                <wp:positionH relativeFrom="page">
                  <wp:posOffset>2641600</wp:posOffset>
                </wp:positionH>
                <wp:positionV relativeFrom="page">
                  <wp:posOffset>3581400</wp:posOffset>
                </wp:positionV>
                <wp:extent cx="393700" cy="952500"/>
                <wp:effectExtent l="0" t="0" r="22225" b="31115"/>
                <wp:wrapNone/>
                <wp:docPr id="3585" name="shape3585"/>
                <wp:cNvGraphicFramePr/>
                <a:graphic>
                  <a:graphicData uri="http://schemas.microsoft.com/office/word/2010/wordprocessingShape">
                    <wps:wsp>
                      <wps:cNvSpPr/>
                      <wps:spPr>
                        <a:xfrm>
                          <a:off x="0" y="0"/>
                          <a:ext cx="393700" cy="9525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1pt;height:75pt;margin-left:208pt;margin-top:282pt;mso-wrap-style:square;z-index:10295056;mso-wrap-distance-left:9pt;mso-wrap-distance-top:0pt;mso-wrap-distance-right:9pt;mso-wrap-distance-bottom:0pt" id="shape3585" o:spid="1618382345940" stroked="f" filled="t" fillcolor="#808080"/>
            </w:pict>
          </mc:Fallback>
        </mc:AlternateContent>
      </w:r>
      <w:r>
        <mc:AlternateContent>
          <mc:Choice Requires="wps">
            <w:drawing>
              <wp:anchor distT="0" distB="0" distL="114300" distR="114300" simplePos="false" relativeHeight="10298128" behindDoc="true" locked="false" layoutInCell="true" allowOverlap="true">
                <wp:simplePos x="0" y="0"/>
                <wp:positionH relativeFrom="page">
                  <wp:posOffset>3289300</wp:posOffset>
                </wp:positionH>
                <wp:positionV relativeFrom="page">
                  <wp:posOffset>3581400</wp:posOffset>
                </wp:positionV>
                <wp:extent cx="419100" cy="965200"/>
                <wp:effectExtent l="0" t="0" r="22225" b="31115"/>
                <wp:wrapNone/>
                <wp:docPr id="3588" name="shape3588"/>
                <wp:cNvGraphicFramePr/>
                <a:graphic>
                  <a:graphicData uri="http://schemas.microsoft.com/office/word/2010/wordprocessingShape">
                    <wps:wsp>
                      <wps:cNvSpPr/>
                      <wps:spPr>
                        <a:xfrm>
                          <a:off x="0" y="0"/>
                          <a:ext cx="419100" cy="9652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3pt;height:76pt;margin-left:259pt;margin-top:282pt;mso-wrap-style:square;z-index:10298128;mso-wrap-distance-left:9pt;mso-wrap-distance-top:0pt;mso-wrap-distance-right:9pt;mso-wrap-distance-bottom:0pt" id="shape3588" o:spid="1618382345941" stroked="f" filled="t" fillcolor="#808080"/>
            </w:pict>
          </mc:Fallback>
        </mc:AlternateContent>
      </w:r>
      <w:r>
        <mc:AlternateContent>
          <mc:Choice Requires="wps">
            <w:drawing>
              <wp:anchor distT="0" distB="0" distL="114300" distR="114300" simplePos="false" relativeHeight="10301200" behindDoc="true" locked="false" layoutInCell="true" allowOverlap="true">
                <wp:simplePos x="0" y="0"/>
                <wp:positionH relativeFrom="page">
                  <wp:posOffset>3949700</wp:posOffset>
                </wp:positionH>
                <wp:positionV relativeFrom="page">
                  <wp:posOffset>3581400</wp:posOffset>
                </wp:positionV>
                <wp:extent cx="393700" cy="952500"/>
                <wp:effectExtent l="0" t="0" r="22225" b="31115"/>
                <wp:wrapNone/>
                <wp:docPr id="3591" name="shape3591"/>
                <wp:cNvGraphicFramePr/>
                <a:graphic>
                  <a:graphicData uri="http://schemas.microsoft.com/office/word/2010/wordprocessingShape">
                    <wps:wsp>
                      <wps:cNvSpPr/>
                      <wps:spPr>
                        <a:xfrm>
                          <a:off x="0" y="0"/>
                          <a:ext cx="393700" cy="9525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1pt;height:75pt;margin-left:311pt;margin-top:282pt;mso-wrap-style:square;z-index:10301200;mso-wrap-distance-left:9pt;mso-wrap-distance-top:0pt;mso-wrap-distance-right:9pt;mso-wrap-distance-bottom:0pt" id="shape3591" o:spid="1618382345942" stroked="f" filled="t" fillcolor="#808080"/>
            </w:pict>
          </mc:Fallback>
        </mc:AlternateContent>
      </w:r>
      <w:r>
        <mc:AlternateContent>
          <mc:Choice Requires="wps">
            <w:drawing>
              <wp:anchor distT="0" distB="0" distL="114300" distR="114300" simplePos="false" relativeHeight="10304272" behindDoc="true" locked="false" layoutInCell="true" allowOverlap="true">
                <wp:simplePos x="0" y="0"/>
                <wp:positionH relativeFrom="page">
                  <wp:posOffset>4597400</wp:posOffset>
                </wp:positionH>
                <wp:positionV relativeFrom="page">
                  <wp:posOffset>3568700</wp:posOffset>
                </wp:positionV>
                <wp:extent cx="393700" cy="952500"/>
                <wp:effectExtent l="0" t="0" r="22225" b="31115"/>
                <wp:wrapNone/>
                <wp:docPr id="3594" name="shape3594"/>
                <wp:cNvGraphicFramePr/>
                <a:graphic>
                  <a:graphicData uri="http://schemas.microsoft.com/office/word/2010/wordprocessingShape">
                    <wps:wsp>
                      <wps:cNvSpPr/>
                      <wps:spPr>
                        <a:xfrm>
                          <a:off x="0" y="0"/>
                          <a:ext cx="393700" cy="9525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1pt;height:75pt;margin-left:362pt;margin-top:281pt;mso-wrap-style:square;z-index:10304272;mso-wrap-distance-left:9pt;mso-wrap-distance-top:0pt;mso-wrap-distance-right:9pt;mso-wrap-distance-bottom:0pt" id="shape3594" o:spid="1618382345942" stroked="f" filled="t" fillcolor="#808080"/>
            </w:pict>
          </mc:Fallback>
        </mc:AlternateContent>
      </w:r>
      <w:r>
        <mc:AlternateContent>
          <mc:Choice Requires="wps">
            <w:drawing>
              <wp:anchor distT="0" distB="0" distL="114300" distR="114300" simplePos="false" relativeHeight="10307344" behindDoc="true" locked="false" layoutInCell="true" allowOverlap="true">
                <wp:simplePos x="0" y="0"/>
                <wp:positionH relativeFrom="page">
                  <wp:posOffset>2133600</wp:posOffset>
                </wp:positionH>
                <wp:positionV relativeFrom="page">
                  <wp:posOffset>2984500</wp:posOffset>
                </wp:positionV>
                <wp:extent cx="1663700" cy="571500"/>
                <wp:effectExtent l="0" t="0" r="22225" b="31115"/>
                <wp:wrapNone/>
                <wp:docPr id="3597" name="shape3597"/>
                <wp:cNvGraphicFramePr/>
                <a:graphic>
                  <a:graphicData uri="http://schemas.microsoft.com/office/word/2010/wordprocessingShape">
                    <wps:wsp>
                      <wps:cNvSpPr/>
                      <wps:spPr>
                        <a:xfrm>
                          <a:off x="0" y="0"/>
                          <a:ext cx="1663700" cy="571500"/>
                        </a:xfrm>
                        <a:custGeom>
                          <a:avLst/>
                          <a:rect l="l" t="t" r="r" b="b"/>
                          <a:pathLst>
                            <a:path w="1663700" h="571500">
                              <a:moveTo>
                                <a:pt x="1663065" y="15620"/>
                              </a:moveTo>
                              <a:lnTo>
                                <a:pt x="1663065" y="299466"/>
                              </a:lnTo>
                              <a:cubicBezTo>
                                <a:pt x="1663065" y="303021"/>
                                <a:pt x="1660271" y="305816"/>
                                <a:pt x="1656715" y="305816"/>
                              </a:cubicBezTo>
                              <a:lnTo>
                                <a:pt x="52704" y="305816"/>
                              </a:lnTo>
                              <a:lnTo>
                                <a:pt x="59054" y="299466"/>
                              </a:lnTo>
                              <a:lnTo>
                                <a:pt x="59054" y="558545"/>
                              </a:lnTo>
                              <a:cubicBezTo>
                                <a:pt x="59054" y="562102"/>
                                <a:pt x="56260" y="564895"/>
                                <a:pt x="52704" y="564895"/>
                              </a:cubicBezTo>
                              <a:cubicBezTo>
                                <a:pt x="49148" y="564895"/>
                                <a:pt x="46354" y="562102"/>
                                <a:pt x="46354" y="558545"/>
                              </a:cubicBezTo>
                              <a:lnTo>
                                <a:pt x="46354" y="299466"/>
                              </a:lnTo>
                              <a:cubicBezTo>
                                <a:pt x="46354" y="295909"/>
                                <a:pt x="49148" y="293116"/>
                                <a:pt x="52704" y="293116"/>
                              </a:cubicBezTo>
                              <a:lnTo>
                                <a:pt x="1656715" y="293116"/>
                              </a:lnTo>
                              <a:lnTo>
                                <a:pt x="1650365" y="299466"/>
                              </a:lnTo>
                              <a:lnTo>
                                <a:pt x="1650365" y="15620"/>
                              </a:lnTo>
                              <a:cubicBezTo>
                                <a:pt x="1650365" y="12065"/>
                                <a:pt x="1653159" y="9270"/>
                                <a:pt x="1656715" y="9270"/>
                              </a:cubicBezTo>
                              <a:cubicBezTo>
                                <a:pt x="1660271" y="9270"/>
                                <a:pt x="1663065" y="12065"/>
                                <a:pt x="1663065" y="15620"/>
                              </a:cubicBezTo>
                              <a:close/>
                              <a:moveTo>
                                <a:pt x="102616" y="485520"/>
                              </a:moveTo>
                              <a:lnTo>
                                <a:pt x="52704" y="571118"/>
                              </a:lnTo>
                              <a:lnTo>
                                <a:pt x="2794" y="485520"/>
                              </a:lnTo>
                              <a:cubicBezTo>
                                <a:pt x="1016" y="482472"/>
                                <a:pt x="2032" y="478663"/>
                                <a:pt x="5079" y="476884"/>
                              </a:cubicBezTo>
                              <a:cubicBezTo>
                                <a:pt x="8127" y="475106"/>
                                <a:pt x="11938" y="476122"/>
                                <a:pt x="13716" y="479170"/>
                              </a:cubicBezTo>
                              <a:lnTo>
                                <a:pt x="58166" y="555370"/>
                              </a:lnTo>
                              <a:lnTo>
                                <a:pt x="47244" y="555370"/>
                              </a:lnTo>
                              <a:lnTo>
                                <a:pt x="91694" y="479170"/>
                              </a:lnTo>
                              <a:cubicBezTo>
                                <a:pt x="93472" y="476122"/>
                                <a:pt x="97282" y="475106"/>
                                <a:pt x="100329" y="476884"/>
                              </a:cubicBezTo>
                              <a:cubicBezTo>
                                <a:pt x="103377" y="478663"/>
                                <a:pt x="104394" y="482472"/>
                                <a:pt x="102616" y="485520"/>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63700,571500" style="position:absolute;left:0;top:0;visibility:visible;mso-position-horizontal:absolute;mso-position-horizontal-relative:page;mso-position-vertical:absolute;mso-position-vertical-relative:page;width:131pt;height:45pt;margin-left:168pt;margin-top:235pt;mso-wrap-style:square;z-index:10307344;mso-wrap-distance-left:9pt;mso-wrap-distance-top:0pt;mso-wrap-distance-right:9pt;mso-wrap-distance-bottom:0pt" id="shape3597" o:spid="1618382345943" path="m1663065,15620l1663065,299466c1663065,303021,1660271,305816,1656715,305816l52704,305816l59054,299466l59054,558545c59054,562102,56260,564895,52704,564895c49148,564895,46354,562102,46354,558545l46354,299466c46354,295909,49148,293116,52704,293116l1656715,293116l1650365,299466l1650365,15620c1650365,12065,1653159,9270,1656715,9270c1660271,9270,1663065,12065,1663065,15620em102616,485520l52704,571118l2794,485520c1016,482472,2032,478663,5079,476884c8127,475106,11938,476122,13716,479170l58166,555370l47244,555370l91694,479170c93472,476122,97282,475106,100329,476884c103377,478663,104394,482472,102616,485520e" stroked="f" filled="t" fillcolor="#000000"/>
            </w:pict>
          </mc:Fallback>
        </mc:AlternateContent>
      </w:r>
      <w:r>
        <mc:AlternateContent>
          <mc:Choice Requires="wps">
            <w:drawing>
              <wp:anchor distT="0" distB="0" distL="114300" distR="114300" simplePos="false" relativeHeight="10308368" behindDoc="false" locked="false" layoutInCell="true" allowOverlap="true">
                <wp:simplePos x="0" y="0"/>
                <wp:positionH relativeFrom="page">
                  <wp:posOffset>2781300</wp:posOffset>
                </wp:positionH>
                <wp:positionV relativeFrom="page">
                  <wp:posOffset>2984500</wp:posOffset>
                </wp:positionV>
                <wp:extent cx="1016000" cy="584200"/>
                <wp:effectExtent l="0" t="0" r="22225" b="31115"/>
                <wp:wrapNone/>
                <wp:docPr id="3598" name="shape3598"/>
                <wp:cNvGraphicFramePr/>
                <a:graphic>
                  <a:graphicData uri="http://schemas.microsoft.com/office/word/2010/wordprocessingShape">
                    <wps:wsp>
                      <wps:cNvSpPr/>
                      <wps:spPr>
                        <a:xfrm>
                          <a:off x="0" y="0"/>
                          <a:ext cx="1016000" cy="584200"/>
                        </a:xfrm>
                        <a:custGeom>
                          <a:avLst/>
                          <a:rect l="l" t="t" r="r" b="b"/>
                          <a:pathLst>
                            <a:path w="1016000" h="584200">
                              <a:moveTo>
                                <a:pt x="1015365" y="15620"/>
                              </a:moveTo>
                              <a:lnTo>
                                <a:pt x="1015365" y="301370"/>
                              </a:lnTo>
                              <a:cubicBezTo>
                                <a:pt x="1015365" y="304927"/>
                                <a:pt x="1012571" y="307720"/>
                                <a:pt x="1009015" y="307720"/>
                              </a:cubicBezTo>
                              <a:lnTo>
                                <a:pt x="62229" y="307720"/>
                              </a:lnTo>
                              <a:lnTo>
                                <a:pt x="68579" y="301370"/>
                              </a:lnTo>
                              <a:lnTo>
                                <a:pt x="68579" y="562356"/>
                              </a:lnTo>
                              <a:cubicBezTo>
                                <a:pt x="68579" y="565912"/>
                                <a:pt x="65785" y="568706"/>
                                <a:pt x="62229" y="568706"/>
                              </a:cubicBezTo>
                              <a:cubicBezTo>
                                <a:pt x="58673" y="568706"/>
                                <a:pt x="55879" y="565912"/>
                                <a:pt x="55879" y="562356"/>
                              </a:cubicBezTo>
                              <a:lnTo>
                                <a:pt x="55879" y="301370"/>
                              </a:lnTo>
                              <a:cubicBezTo>
                                <a:pt x="55879" y="297815"/>
                                <a:pt x="58673" y="295020"/>
                                <a:pt x="62229" y="295020"/>
                              </a:cubicBezTo>
                              <a:lnTo>
                                <a:pt x="1009015" y="295020"/>
                              </a:lnTo>
                              <a:lnTo>
                                <a:pt x="1002665" y="301370"/>
                              </a:lnTo>
                              <a:lnTo>
                                <a:pt x="1002665" y="15620"/>
                              </a:lnTo>
                              <a:cubicBezTo>
                                <a:pt x="1002665" y="12065"/>
                                <a:pt x="1005459" y="9270"/>
                                <a:pt x="1009015" y="9270"/>
                              </a:cubicBezTo>
                              <a:cubicBezTo>
                                <a:pt x="1012571" y="9270"/>
                                <a:pt x="1015365" y="12065"/>
                                <a:pt x="1015365" y="15620"/>
                              </a:cubicBezTo>
                              <a:close/>
                              <a:moveTo>
                                <a:pt x="112141" y="489331"/>
                              </a:moveTo>
                              <a:lnTo>
                                <a:pt x="62229" y="574929"/>
                              </a:lnTo>
                              <a:lnTo>
                                <a:pt x="12319" y="489331"/>
                              </a:lnTo>
                              <a:cubicBezTo>
                                <a:pt x="10541" y="486282"/>
                                <a:pt x="11557" y="482472"/>
                                <a:pt x="14604" y="480694"/>
                              </a:cubicBezTo>
                              <a:cubicBezTo>
                                <a:pt x="17652" y="478917"/>
                                <a:pt x="21463" y="479932"/>
                                <a:pt x="23241" y="482981"/>
                              </a:cubicBezTo>
                              <a:lnTo>
                                <a:pt x="67691" y="559181"/>
                              </a:lnTo>
                              <a:lnTo>
                                <a:pt x="56769" y="559181"/>
                              </a:lnTo>
                              <a:lnTo>
                                <a:pt x="101219" y="482981"/>
                              </a:lnTo>
                              <a:cubicBezTo>
                                <a:pt x="102997" y="479932"/>
                                <a:pt x="106807" y="478917"/>
                                <a:pt x="109854" y="480694"/>
                              </a:cubicBezTo>
                              <a:cubicBezTo>
                                <a:pt x="112902" y="482472"/>
                                <a:pt x="113919" y="486282"/>
                                <a:pt x="112141" y="48933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0,584200" style="position:absolute;left:0;top:0;visibility:visible;mso-position-horizontal:absolute;mso-position-horizontal-relative:page;mso-position-vertical:absolute;mso-position-vertical-relative:page;width:80pt;height:46pt;margin-left:219pt;margin-top:235pt;mso-wrap-style:square;z-index:10308368;mso-wrap-distance-left:9pt;mso-wrap-distance-top:0pt;mso-wrap-distance-right:9pt;mso-wrap-distance-bottom:0pt" id="shape3598" o:spid="1618382345944" path="m1015365,15620l1015365,301370c1015365,304927,1012571,307720,1009015,307720l62229,307720l68579,301370l68579,562356c68579,565912,65785,568706,62229,568706c58673,568706,55879,565912,55879,562356l55879,301370c55879,297815,58673,295020,62229,295020l1009015,295020l1002665,301370l1002665,15620c1002665,12065,1005459,9270,1009015,9270c1012571,9270,1015365,12065,1015365,15620em112141,489331l62229,574929l12319,489331c10541,486282,11557,482472,14604,480694c17652,478917,21463,479932,23241,482981l67691,559181l56769,559181l101219,482981c102997,479932,106807,478917,109854,480694c112902,482472,113919,486282,112141,489331e" stroked="f" filled="t" fillcolor="#000000"/>
            </w:pict>
          </mc:Fallback>
        </mc:AlternateContent>
      </w:r>
      <w:r>
        <mc:AlternateContent>
          <mc:Choice Requires="wps">
            <w:drawing>
              <wp:anchor distT="0" distB="0" distL="114300" distR="114300" simplePos="false" relativeHeight="10309392" behindDoc="false" locked="false" layoutInCell="true" allowOverlap="true">
                <wp:simplePos x="0" y="0"/>
                <wp:positionH relativeFrom="page">
                  <wp:posOffset>3441700</wp:posOffset>
                </wp:positionH>
                <wp:positionV relativeFrom="page">
                  <wp:posOffset>2984500</wp:posOffset>
                </wp:positionV>
                <wp:extent cx="355600" cy="571500"/>
                <wp:effectExtent l="0" t="0" r="22225" b="31115"/>
                <wp:wrapNone/>
                <wp:docPr id="3599" name="shape3599"/>
                <wp:cNvGraphicFramePr/>
                <a:graphic>
                  <a:graphicData uri="http://schemas.microsoft.com/office/word/2010/wordprocessingShape">
                    <wps:wsp>
                      <wps:cNvSpPr/>
                      <wps:spPr>
                        <a:xfrm>
                          <a:off x="0" y="0"/>
                          <a:ext cx="355600" cy="571500"/>
                        </a:xfrm>
                        <a:custGeom>
                          <a:avLst/>
                          <a:rect l="l" t="t" r="r" b="b"/>
                          <a:pathLst>
                            <a:path w="355600" h="571500">
                              <a:moveTo>
                                <a:pt x="354965" y="15620"/>
                              </a:moveTo>
                              <a:lnTo>
                                <a:pt x="354965" y="298831"/>
                              </a:lnTo>
                              <a:cubicBezTo>
                                <a:pt x="354965" y="302386"/>
                                <a:pt x="352171" y="305181"/>
                                <a:pt x="348615" y="305181"/>
                              </a:cubicBezTo>
                              <a:lnTo>
                                <a:pt x="54609" y="305181"/>
                              </a:lnTo>
                              <a:lnTo>
                                <a:pt x="60959" y="298831"/>
                              </a:lnTo>
                              <a:lnTo>
                                <a:pt x="60959" y="557910"/>
                              </a:lnTo>
                              <a:cubicBezTo>
                                <a:pt x="60959" y="561467"/>
                                <a:pt x="58165" y="564260"/>
                                <a:pt x="54609" y="564260"/>
                              </a:cubicBezTo>
                              <a:cubicBezTo>
                                <a:pt x="51053" y="564260"/>
                                <a:pt x="48259" y="561467"/>
                                <a:pt x="48259" y="557910"/>
                              </a:cubicBezTo>
                              <a:lnTo>
                                <a:pt x="48259" y="298831"/>
                              </a:lnTo>
                              <a:cubicBezTo>
                                <a:pt x="48259" y="295275"/>
                                <a:pt x="51053" y="292481"/>
                                <a:pt x="54609" y="292481"/>
                              </a:cubicBezTo>
                              <a:lnTo>
                                <a:pt x="348615" y="292481"/>
                              </a:lnTo>
                              <a:lnTo>
                                <a:pt x="342265" y="298831"/>
                              </a:lnTo>
                              <a:lnTo>
                                <a:pt x="342265" y="15620"/>
                              </a:lnTo>
                              <a:cubicBezTo>
                                <a:pt x="342265" y="12065"/>
                                <a:pt x="345059" y="9270"/>
                                <a:pt x="348615" y="9270"/>
                              </a:cubicBezTo>
                              <a:cubicBezTo>
                                <a:pt x="352171" y="9270"/>
                                <a:pt x="354965" y="12065"/>
                                <a:pt x="354965" y="15620"/>
                              </a:cubicBezTo>
                              <a:close/>
                              <a:moveTo>
                                <a:pt x="104521" y="484885"/>
                              </a:moveTo>
                              <a:lnTo>
                                <a:pt x="54609" y="570483"/>
                              </a:lnTo>
                              <a:lnTo>
                                <a:pt x="4698" y="484885"/>
                              </a:lnTo>
                              <a:cubicBezTo>
                                <a:pt x="2921" y="481838"/>
                                <a:pt x="3936" y="478028"/>
                                <a:pt x="6984" y="476250"/>
                              </a:cubicBezTo>
                              <a:cubicBezTo>
                                <a:pt x="10033" y="474471"/>
                                <a:pt x="13842" y="475488"/>
                                <a:pt x="15621" y="478535"/>
                              </a:cubicBezTo>
                              <a:lnTo>
                                <a:pt x="60071" y="554735"/>
                              </a:lnTo>
                              <a:lnTo>
                                <a:pt x="49148" y="554735"/>
                              </a:lnTo>
                              <a:lnTo>
                                <a:pt x="93598" y="478535"/>
                              </a:lnTo>
                              <a:cubicBezTo>
                                <a:pt x="95377" y="475488"/>
                                <a:pt x="99186" y="474471"/>
                                <a:pt x="102234" y="476250"/>
                              </a:cubicBezTo>
                              <a:cubicBezTo>
                                <a:pt x="105283" y="478028"/>
                                <a:pt x="106298" y="481838"/>
                                <a:pt x="104521" y="484885"/>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55600,571500" style="position:absolute;left:0;top:0;visibility:visible;mso-position-horizontal:absolute;mso-position-horizontal-relative:page;mso-position-vertical:absolute;mso-position-vertical-relative:page;width:28pt;height:45pt;margin-left:271pt;margin-top:235pt;mso-wrap-style:square;z-index:10309392;mso-wrap-distance-left:9pt;mso-wrap-distance-top:0pt;mso-wrap-distance-right:9pt;mso-wrap-distance-bottom:0pt" id="shape3599" o:spid="1618382345945" path="m354965,15620l354965,298831c354965,302386,352171,305181,348615,305181l54609,305181l60959,298831l60959,557910c60959,561467,58165,564260,54609,564260c51053,564260,48259,561467,48259,557910l48259,298831c48259,295275,51053,292481,54609,292481l348615,292481l342265,298831l342265,15620c342265,12065,345059,9270,348615,9270c352171,9270,354965,12065,354965,15620em104521,484885l54609,570483l4698,484885c2921,481838,3936,478028,6984,476250c10033,474471,13842,475488,15621,478535l60071,554735l49148,554735l93598,478535c95377,475488,99186,474471,102234,476250c105283,478028,106298,481838,104521,484885e" stroked="f" filled="t" fillcolor="#000000"/>
            </w:pict>
          </mc:Fallback>
        </mc:AlternateContent>
      </w:r>
      <w:r>
        <mc:AlternateContent>
          <mc:Choice Requires="wps">
            <w:drawing>
              <wp:anchor distT="0" distB="0" distL="114300" distR="114300" simplePos="false" relativeHeight="10310416" behindDoc="false" locked="false" layoutInCell="true" allowOverlap="true">
                <wp:simplePos x="0" y="0"/>
                <wp:positionH relativeFrom="page">
                  <wp:posOffset>3771900</wp:posOffset>
                </wp:positionH>
                <wp:positionV relativeFrom="page">
                  <wp:posOffset>2984500</wp:posOffset>
                </wp:positionV>
                <wp:extent cx="431800" cy="571500"/>
                <wp:effectExtent l="0" t="0" r="22225" b="31115"/>
                <wp:wrapNone/>
                <wp:docPr id="3600" name="shape3600"/>
                <wp:cNvGraphicFramePr/>
                <a:graphic>
                  <a:graphicData uri="http://schemas.microsoft.com/office/word/2010/wordprocessingShape">
                    <wps:wsp>
                      <wps:cNvSpPr/>
                      <wps:spPr>
                        <a:xfrm>
                          <a:off x="0" y="0"/>
                          <a:ext cx="431800" cy="571500"/>
                        </a:xfrm>
                        <a:custGeom>
                          <a:avLst/>
                          <a:rect l="l" t="t" r="r" b="b"/>
                          <a:pathLst>
                            <a:path w="431800" h="571500">
                              <a:moveTo>
                                <a:pt x="24765" y="15620"/>
                              </a:moveTo>
                              <a:lnTo>
                                <a:pt x="24765" y="296291"/>
                              </a:lnTo>
                              <a:lnTo>
                                <a:pt x="18415" y="289941"/>
                              </a:lnTo>
                              <a:lnTo>
                                <a:pt x="374015" y="289941"/>
                              </a:lnTo>
                              <a:cubicBezTo>
                                <a:pt x="377571" y="289941"/>
                                <a:pt x="380365" y="292734"/>
                                <a:pt x="380365" y="296291"/>
                              </a:cubicBezTo>
                              <a:lnTo>
                                <a:pt x="380365" y="552831"/>
                              </a:lnTo>
                              <a:cubicBezTo>
                                <a:pt x="380365" y="556387"/>
                                <a:pt x="377571" y="559181"/>
                                <a:pt x="374015" y="559181"/>
                              </a:cubicBezTo>
                              <a:cubicBezTo>
                                <a:pt x="370459" y="559181"/>
                                <a:pt x="367665" y="556387"/>
                                <a:pt x="367665" y="552831"/>
                              </a:cubicBezTo>
                              <a:lnTo>
                                <a:pt x="367665" y="296291"/>
                              </a:lnTo>
                              <a:lnTo>
                                <a:pt x="374015" y="302641"/>
                              </a:lnTo>
                              <a:lnTo>
                                <a:pt x="18415" y="302641"/>
                              </a:lnTo>
                              <a:cubicBezTo>
                                <a:pt x="14859" y="302641"/>
                                <a:pt x="12065" y="299846"/>
                                <a:pt x="12065" y="296291"/>
                              </a:cubicBezTo>
                              <a:lnTo>
                                <a:pt x="12065" y="15620"/>
                              </a:lnTo>
                              <a:cubicBezTo>
                                <a:pt x="12065" y="12065"/>
                                <a:pt x="14859" y="9270"/>
                                <a:pt x="18415" y="9270"/>
                              </a:cubicBezTo>
                              <a:cubicBezTo>
                                <a:pt x="21971" y="9270"/>
                                <a:pt x="24765" y="12065"/>
                                <a:pt x="24765" y="15620"/>
                              </a:cubicBezTo>
                              <a:close/>
                              <a:moveTo>
                                <a:pt x="423926" y="479806"/>
                              </a:moveTo>
                              <a:lnTo>
                                <a:pt x="374015" y="565404"/>
                              </a:lnTo>
                              <a:lnTo>
                                <a:pt x="324103" y="479806"/>
                              </a:lnTo>
                              <a:cubicBezTo>
                                <a:pt x="322326" y="476757"/>
                                <a:pt x="323341" y="472947"/>
                                <a:pt x="326390" y="471169"/>
                              </a:cubicBezTo>
                              <a:cubicBezTo>
                                <a:pt x="329438" y="469392"/>
                                <a:pt x="333247" y="470407"/>
                                <a:pt x="335026" y="473456"/>
                              </a:cubicBezTo>
                              <a:lnTo>
                                <a:pt x="379476" y="549656"/>
                              </a:lnTo>
                              <a:lnTo>
                                <a:pt x="368553" y="549656"/>
                              </a:lnTo>
                              <a:lnTo>
                                <a:pt x="413003" y="473456"/>
                              </a:lnTo>
                              <a:cubicBezTo>
                                <a:pt x="414782" y="470407"/>
                                <a:pt x="418591" y="469392"/>
                                <a:pt x="421640" y="471169"/>
                              </a:cubicBezTo>
                              <a:cubicBezTo>
                                <a:pt x="424688" y="472947"/>
                                <a:pt x="425703" y="476757"/>
                                <a:pt x="423926" y="479806"/>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31800,571500" style="position:absolute;left:0;top:0;visibility:visible;mso-position-horizontal:absolute;mso-position-horizontal-relative:page;mso-position-vertical:absolute;mso-position-vertical-relative:page;width:34pt;height:45pt;margin-left:297pt;margin-top:235pt;mso-wrap-style:square;z-index:10310416;mso-wrap-distance-left:9pt;mso-wrap-distance-top:0pt;mso-wrap-distance-right:9pt;mso-wrap-distance-bottom:0pt" id="shape3600" o:spid="1618382345946" path="m24765,15620l24765,296291l18415,289941l374015,289941c377571,289941,380365,292734,380365,296291l380365,552831c380365,556387,377571,559181,374015,559181c370459,559181,367665,556387,367665,552831l367665,296291l374015,302641l18415,302641c14859,302641,12065,299846,12065,296291l12065,15620c12065,12065,14859,9270,18415,9270c21971,9270,24765,12065,24765,15620em423926,479806l374015,565404l324103,479806c322326,476757,323341,472947,326390,471169c329438,469392,333247,470407,335026,473456l379476,549656l368553,549656l413003,473456c414782,470407,418591,469392,421640,471169c424688,472947,425703,476757,423926,479806e" stroked="f" filled="t" fillcolor="#000000"/>
            </w:pict>
          </mc:Fallback>
        </mc:AlternateContent>
      </w:r>
      <w:r>
        <mc:AlternateContent>
          <mc:Choice Requires="wps">
            <w:drawing>
              <wp:anchor distT="0" distB="0" distL="114300" distR="114300" simplePos="false" relativeHeight="10311440" behindDoc="true" locked="false" layoutInCell="true" allowOverlap="true">
                <wp:simplePos x="0" y="0"/>
                <wp:positionH relativeFrom="page">
                  <wp:posOffset>3771900</wp:posOffset>
                </wp:positionH>
                <wp:positionV relativeFrom="page">
                  <wp:posOffset>2984500</wp:posOffset>
                </wp:positionV>
                <wp:extent cx="1079500" cy="571500"/>
                <wp:effectExtent l="0" t="0" r="22225" b="31115"/>
                <wp:wrapNone/>
                <wp:docPr id="3601" name="shape3601"/>
                <wp:cNvGraphicFramePr/>
                <a:graphic>
                  <a:graphicData uri="http://schemas.microsoft.com/office/word/2010/wordprocessingShape">
                    <wps:wsp>
                      <wps:cNvSpPr/>
                      <wps:spPr>
                        <a:xfrm>
                          <a:off x="0" y="0"/>
                          <a:ext cx="1079500" cy="571500"/>
                        </a:xfrm>
                        <a:custGeom>
                          <a:avLst/>
                          <a:rect l="l" t="t" r="r" b="b"/>
                          <a:pathLst>
                            <a:path w="1079500" h="571500">
                              <a:moveTo>
                                <a:pt x="24765" y="15620"/>
                              </a:moveTo>
                              <a:lnTo>
                                <a:pt x="24765" y="295656"/>
                              </a:lnTo>
                              <a:lnTo>
                                <a:pt x="18415" y="289306"/>
                              </a:lnTo>
                              <a:lnTo>
                                <a:pt x="1022984" y="289306"/>
                              </a:lnTo>
                              <a:cubicBezTo>
                                <a:pt x="1026540" y="289306"/>
                                <a:pt x="1029334" y="292100"/>
                                <a:pt x="1029334" y="295656"/>
                              </a:cubicBezTo>
                              <a:lnTo>
                                <a:pt x="1029334" y="550926"/>
                              </a:lnTo>
                              <a:cubicBezTo>
                                <a:pt x="1029334" y="554481"/>
                                <a:pt x="1026540" y="557276"/>
                                <a:pt x="1022984" y="557276"/>
                              </a:cubicBezTo>
                              <a:cubicBezTo>
                                <a:pt x="1019428" y="557276"/>
                                <a:pt x="1016634" y="554481"/>
                                <a:pt x="1016634" y="550926"/>
                              </a:cubicBezTo>
                              <a:lnTo>
                                <a:pt x="1016634" y="295656"/>
                              </a:lnTo>
                              <a:lnTo>
                                <a:pt x="1022984" y="302006"/>
                              </a:lnTo>
                              <a:lnTo>
                                <a:pt x="18415" y="302006"/>
                              </a:lnTo>
                              <a:cubicBezTo>
                                <a:pt x="14859" y="302006"/>
                                <a:pt x="12065" y="299211"/>
                                <a:pt x="12065" y="295656"/>
                              </a:cubicBezTo>
                              <a:lnTo>
                                <a:pt x="12065" y="15620"/>
                              </a:lnTo>
                              <a:cubicBezTo>
                                <a:pt x="12065" y="12065"/>
                                <a:pt x="14859" y="9270"/>
                                <a:pt x="18415" y="9270"/>
                              </a:cubicBezTo>
                              <a:cubicBezTo>
                                <a:pt x="21971" y="9270"/>
                                <a:pt x="24765" y="12065"/>
                                <a:pt x="24765" y="15620"/>
                              </a:cubicBezTo>
                              <a:close/>
                              <a:moveTo>
                                <a:pt x="1072896" y="477901"/>
                              </a:moveTo>
                              <a:lnTo>
                                <a:pt x="1022984" y="563498"/>
                              </a:lnTo>
                              <a:lnTo>
                                <a:pt x="973073" y="477901"/>
                              </a:lnTo>
                              <a:cubicBezTo>
                                <a:pt x="971296" y="474853"/>
                                <a:pt x="972312" y="471043"/>
                                <a:pt x="975359" y="469265"/>
                              </a:cubicBezTo>
                              <a:cubicBezTo>
                                <a:pt x="978408" y="467486"/>
                                <a:pt x="982217" y="468503"/>
                                <a:pt x="983996" y="471551"/>
                              </a:cubicBezTo>
                              <a:lnTo>
                                <a:pt x="1028446" y="547751"/>
                              </a:lnTo>
                              <a:lnTo>
                                <a:pt x="1017523" y="547751"/>
                              </a:lnTo>
                              <a:lnTo>
                                <a:pt x="1061973" y="471551"/>
                              </a:lnTo>
                              <a:cubicBezTo>
                                <a:pt x="1063752" y="468503"/>
                                <a:pt x="1067562" y="467486"/>
                                <a:pt x="1070609" y="469265"/>
                              </a:cubicBezTo>
                              <a:cubicBezTo>
                                <a:pt x="1073658" y="471043"/>
                                <a:pt x="1074674" y="474853"/>
                                <a:pt x="1072896" y="477901"/>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79500,571500" style="position:absolute;left:0;top:0;visibility:visible;mso-position-horizontal:absolute;mso-position-horizontal-relative:page;mso-position-vertical:absolute;mso-position-vertical-relative:page;width:85pt;height:45pt;margin-left:297pt;margin-top:235pt;mso-wrap-style:square;z-index:10311440;mso-wrap-distance-left:9pt;mso-wrap-distance-top:0pt;mso-wrap-distance-right:9pt;mso-wrap-distance-bottom:0pt" id="shape3601" o:spid="1618382345946" path="m24765,15620l24765,295656l18415,289306l1022984,289306c1026540,289306,1029334,292100,1029334,295656l1029334,550926c1029334,554481,1026540,557276,1022984,557276c1019428,557276,1016634,554481,1016634,550926l1016634,295656l1022984,302006l18415,302006c14859,302006,12065,299211,12065,295656l12065,15620c12065,12065,14859,9270,18415,9270c21971,9270,24765,12065,24765,15620em1072896,477901l1022984,563498l973073,477901c971296,474853,972312,471043,975359,469265c978408,467486,982217,468503,983996,471551l1028446,547751l1017523,547751l1061973,471551c1063752,468503,1067562,467486,1070609,469265c1073658,471043,1074674,474853,1072896,477901e" stroked="f" filled="t" fillcolor="#000000"/>
            </w:pict>
          </mc:Fallback>
        </mc:AlternateContent>
      </w:r>
      <w:r>
        <mc:AlternateContent>
          <mc:Choice Requires="wps">
            <w:drawing>
              <wp:anchor distT="0" distB="0" distL="114300" distR="114300" simplePos="false" relativeHeight="10312464" behindDoc="true" locked="false" layoutInCell="true" allowOverlap="true">
                <wp:simplePos x="0" y="0"/>
                <wp:positionH relativeFrom="page">
                  <wp:posOffset>5245100</wp:posOffset>
                </wp:positionH>
                <wp:positionV relativeFrom="page">
                  <wp:posOffset>3581400</wp:posOffset>
                </wp:positionV>
                <wp:extent cx="381000" cy="952500"/>
                <wp:effectExtent l="0" t="0" r="22225" b="31115"/>
                <wp:wrapNone/>
                <wp:docPr id="3602" name="shape3602"/>
                <wp:cNvGraphicFramePr/>
                <a:graphic>
                  <a:graphicData uri="http://schemas.microsoft.com/office/word/2010/wordprocessingShape">
                    <wps:wsp>
                      <wps:cNvSpPr/>
                      <wps:spPr>
                        <a:xfrm>
                          <a:off x="0" y="0"/>
                          <a:ext cx="381000" cy="952500"/>
                        </a:xfrm>
                        <a:prstGeom prst="rect">
                          <a:avLst/>
                        </a:prstGeom>
                        <a:solidFill>
                          <a:srgbClr val="808080">
                            <a:alpha val="38039"/>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0pt;height:75pt;margin-left:413pt;margin-top:282pt;mso-wrap-style:square;z-index:10312464;mso-wrap-distance-left:9pt;mso-wrap-distance-top:0pt;mso-wrap-distance-right:9pt;mso-wrap-distance-bottom:0pt" id="shape3602" o:spid="1618382345947" stroked="f" filled="t" fillcolor="#808080"/>
            </w:pict>
          </mc:Fallback>
        </mc:AlternateContent>
      </w:r>
      <w:r>
        <mc:AlternateContent>
          <mc:Choice Requires="wps">
            <w:drawing>
              <wp:anchor distT="0" distB="0" distL="114300" distR="114300" simplePos="false" relativeHeight="10315536" behindDoc="true" locked="false" layoutInCell="true" allowOverlap="true">
                <wp:simplePos x="0" y="0"/>
                <wp:positionH relativeFrom="page">
                  <wp:posOffset>3771900</wp:posOffset>
                </wp:positionH>
                <wp:positionV relativeFrom="page">
                  <wp:posOffset>2984500</wp:posOffset>
                </wp:positionV>
                <wp:extent cx="1727200" cy="571500"/>
                <wp:effectExtent l="0" t="0" r="22225" b="31115"/>
                <wp:wrapNone/>
                <wp:docPr id="3605" name="shape3605"/>
                <wp:cNvGraphicFramePr/>
                <a:graphic>
                  <a:graphicData uri="http://schemas.microsoft.com/office/word/2010/wordprocessingShape">
                    <wps:wsp>
                      <wps:cNvSpPr/>
                      <wps:spPr>
                        <a:xfrm>
                          <a:off x="0" y="0"/>
                          <a:ext cx="1727200" cy="571500"/>
                        </a:xfrm>
                        <a:custGeom>
                          <a:avLst/>
                          <a:rect l="l" t="t" r="r" b="b"/>
                          <a:pathLst>
                            <a:path w="1727200" h="571500">
                              <a:moveTo>
                                <a:pt x="24765" y="15620"/>
                              </a:moveTo>
                              <a:lnTo>
                                <a:pt x="24765" y="296291"/>
                              </a:lnTo>
                              <a:lnTo>
                                <a:pt x="18415" y="289941"/>
                              </a:lnTo>
                              <a:lnTo>
                                <a:pt x="1663700" y="289941"/>
                              </a:lnTo>
                              <a:cubicBezTo>
                                <a:pt x="1667256" y="289941"/>
                                <a:pt x="1670050" y="292734"/>
                                <a:pt x="1670050" y="296291"/>
                              </a:cubicBezTo>
                              <a:lnTo>
                                <a:pt x="1670050" y="552195"/>
                              </a:lnTo>
                              <a:cubicBezTo>
                                <a:pt x="1670050" y="555752"/>
                                <a:pt x="1667256" y="558545"/>
                                <a:pt x="1663700" y="558545"/>
                              </a:cubicBezTo>
                              <a:cubicBezTo>
                                <a:pt x="1660144" y="558545"/>
                                <a:pt x="1657350" y="555752"/>
                                <a:pt x="1657350" y="552195"/>
                              </a:cubicBezTo>
                              <a:lnTo>
                                <a:pt x="1657350" y="296291"/>
                              </a:lnTo>
                              <a:lnTo>
                                <a:pt x="1663700" y="302641"/>
                              </a:lnTo>
                              <a:lnTo>
                                <a:pt x="18415" y="302641"/>
                              </a:lnTo>
                              <a:cubicBezTo>
                                <a:pt x="14859" y="302641"/>
                                <a:pt x="12065" y="299846"/>
                                <a:pt x="12065" y="296291"/>
                              </a:cubicBezTo>
                              <a:lnTo>
                                <a:pt x="12065" y="15620"/>
                              </a:lnTo>
                              <a:cubicBezTo>
                                <a:pt x="12065" y="12065"/>
                                <a:pt x="14859" y="9270"/>
                                <a:pt x="18415" y="9270"/>
                              </a:cubicBezTo>
                              <a:cubicBezTo>
                                <a:pt x="21971" y="9270"/>
                                <a:pt x="24765" y="12065"/>
                                <a:pt x="24765" y="15620"/>
                              </a:cubicBezTo>
                              <a:close/>
                              <a:moveTo>
                                <a:pt x="1713610" y="479170"/>
                              </a:moveTo>
                              <a:lnTo>
                                <a:pt x="1663700" y="564768"/>
                              </a:lnTo>
                              <a:lnTo>
                                <a:pt x="1613789" y="479170"/>
                              </a:lnTo>
                              <a:cubicBezTo>
                                <a:pt x="1612010" y="476122"/>
                                <a:pt x="1613027" y="472313"/>
                                <a:pt x="1616075" y="470534"/>
                              </a:cubicBezTo>
                              <a:cubicBezTo>
                                <a:pt x="1619122" y="468756"/>
                                <a:pt x="1622933" y="469772"/>
                                <a:pt x="1624710" y="472820"/>
                              </a:cubicBezTo>
                              <a:lnTo>
                                <a:pt x="1669160" y="549020"/>
                              </a:lnTo>
                              <a:lnTo>
                                <a:pt x="1658239" y="549020"/>
                              </a:lnTo>
                              <a:lnTo>
                                <a:pt x="1702689" y="472820"/>
                              </a:lnTo>
                              <a:cubicBezTo>
                                <a:pt x="1704466" y="469772"/>
                                <a:pt x="1708277" y="468756"/>
                                <a:pt x="1711325" y="470534"/>
                              </a:cubicBezTo>
                              <a:cubicBezTo>
                                <a:pt x="1714372" y="472313"/>
                                <a:pt x="1715389" y="476122"/>
                                <a:pt x="1713610" y="479170"/>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27200,571500" style="position:absolute;left:0;top:0;visibility:visible;mso-position-horizontal:absolute;mso-position-horizontal-relative:page;mso-position-vertical:absolute;mso-position-vertical-relative:page;width:136pt;height:45pt;margin-left:297pt;margin-top:235pt;mso-wrap-style:square;z-index:10315536;mso-wrap-distance-left:9pt;mso-wrap-distance-top:0pt;mso-wrap-distance-right:9pt;mso-wrap-distance-bottom:0pt" id="shape3605" o:spid="1618382345948" path="m24765,15620l24765,296291l18415,289941l1663700,289941c1667256,289941,1670050,292734,1670050,296291l1670050,552195c1670050,555752,1667256,558545,1663700,558545c1660144,558545,1657350,555752,1657350,552195l1657350,296291l1663700,302641l18415,302641c14859,302641,12065,299846,12065,296291l12065,15620c12065,12065,14859,9270,18415,9270c21971,9270,24765,12065,24765,15620em1713610,479170l1663700,564768l1613789,479170c1612010,476122,1613027,472313,1616075,470534c1619122,468756,1622933,469772,1624710,472820l1669160,549020l1658239,549020l1702689,472820c1704466,469772,1708277,468756,1711325,470534c1714372,472313,1715389,476122,1713610,479170e" stroked="f" filled="t" fillcolor="#000000"/>
            </w:pict>
          </mc:Fallback>
        </mc:AlternateContent>
      </w:r>
      <w:r>
        <mc:AlternateContent>
          <mc:Choice Requires="wps">
            <w:drawing>
              <wp:anchor distT="0" distB="0" distL="114300" distR="114300" simplePos="false" relativeHeight="10317584" behindDoc="true" locked="false" layoutInCell="true" allowOverlap="true">
                <wp:simplePos x="0" y="0"/>
                <wp:positionH relativeFrom="page">
                  <wp:posOffset>2120900</wp:posOffset>
                </wp:positionH>
                <wp:positionV relativeFrom="page">
                  <wp:posOffset>4495800</wp:posOffset>
                </wp:positionV>
                <wp:extent cx="1435100" cy="330200"/>
                <wp:effectExtent l="0" t="0" r="22225" b="31115"/>
                <wp:wrapNone/>
                <wp:docPr id="3606" name="shape3606"/>
                <wp:cNvGraphicFramePr/>
                <a:graphic>
                  <a:graphicData uri="http://schemas.microsoft.com/office/word/2010/wordprocessingShape">
                    <wps:wsp>
                      <wps:cNvSpPr/>
                      <wps:spPr>
                        <a:xfrm>
                          <a:off x="0" y="0"/>
                          <a:ext cx="1435100" cy="330200"/>
                        </a:xfrm>
                        <a:custGeom>
                          <a:avLst/>
                          <a:rect l="l" t="t" r="r" b="b"/>
                          <a:pathLst>
                            <a:path w="1435100" h="330200">
                              <a:moveTo>
                                <a:pt x="9525" y="6096"/>
                              </a:moveTo>
                              <a:lnTo>
                                <a:pt x="11557" y="6096"/>
                              </a:lnTo>
                              <a:cubicBezTo>
                                <a:pt x="15113" y="6096"/>
                                <a:pt x="17907" y="8890"/>
                                <a:pt x="17907" y="12446"/>
                              </a:cubicBezTo>
                              <a:lnTo>
                                <a:pt x="17907" y="316865"/>
                              </a:lnTo>
                              <a:lnTo>
                                <a:pt x="11557" y="310515"/>
                              </a:lnTo>
                              <a:lnTo>
                                <a:pt x="1375409" y="310515"/>
                              </a:lnTo>
                              <a:lnTo>
                                <a:pt x="1369059" y="316865"/>
                              </a:lnTo>
                              <a:lnTo>
                                <a:pt x="1369059" y="45465"/>
                              </a:lnTo>
                              <a:cubicBezTo>
                                <a:pt x="1369059" y="41909"/>
                                <a:pt x="1371853" y="39115"/>
                                <a:pt x="1375409" y="39115"/>
                              </a:cubicBezTo>
                              <a:cubicBezTo>
                                <a:pt x="1378965" y="39115"/>
                                <a:pt x="1381759" y="41909"/>
                                <a:pt x="1381759" y="45465"/>
                              </a:cubicBezTo>
                              <a:lnTo>
                                <a:pt x="1381759" y="316865"/>
                              </a:lnTo>
                              <a:cubicBezTo>
                                <a:pt x="1381759" y="320421"/>
                                <a:pt x="1378965" y="323215"/>
                                <a:pt x="1375409" y="323215"/>
                              </a:cubicBezTo>
                              <a:lnTo>
                                <a:pt x="11557" y="323215"/>
                              </a:lnTo>
                              <a:cubicBezTo>
                                <a:pt x="8127" y="323215"/>
                                <a:pt x="5207" y="320421"/>
                                <a:pt x="5207" y="316865"/>
                              </a:cubicBezTo>
                              <a:lnTo>
                                <a:pt x="5207" y="12446"/>
                              </a:lnTo>
                              <a:lnTo>
                                <a:pt x="11557" y="18796"/>
                              </a:lnTo>
                              <a:lnTo>
                                <a:pt x="9525" y="18796"/>
                              </a:lnTo>
                              <a:cubicBezTo>
                                <a:pt x="5969" y="18796"/>
                                <a:pt x="3175" y="16002"/>
                                <a:pt x="3175" y="12446"/>
                              </a:cubicBezTo>
                              <a:cubicBezTo>
                                <a:pt x="3175" y="8890"/>
                                <a:pt x="5969" y="6096"/>
                                <a:pt x="9525" y="6096"/>
                              </a:cubicBezTo>
                              <a:close/>
                              <a:moveTo>
                                <a:pt x="1325498" y="118490"/>
                              </a:moveTo>
                              <a:lnTo>
                                <a:pt x="1375409" y="32892"/>
                              </a:lnTo>
                              <a:lnTo>
                                <a:pt x="1425321" y="118490"/>
                              </a:lnTo>
                              <a:cubicBezTo>
                                <a:pt x="1427099" y="121539"/>
                                <a:pt x="1426083" y="125348"/>
                                <a:pt x="1423034" y="127127"/>
                              </a:cubicBezTo>
                              <a:cubicBezTo>
                                <a:pt x="1419987" y="128904"/>
                                <a:pt x="1416177" y="127889"/>
                                <a:pt x="1414399" y="124840"/>
                              </a:cubicBezTo>
                              <a:lnTo>
                                <a:pt x="1369948" y="48640"/>
                              </a:lnTo>
                              <a:lnTo>
                                <a:pt x="1380871" y="48640"/>
                              </a:lnTo>
                              <a:lnTo>
                                <a:pt x="1336421" y="124840"/>
                              </a:lnTo>
                              <a:cubicBezTo>
                                <a:pt x="1334643" y="127889"/>
                                <a:pt x="1330833" y="128904"/>
                                <a:pt x="1327784" y="127127"/>
                              </a:cubicBezTo>
                              <a:cubicBezTo>
                                <a:pt x="1324737" y="125348"/>
                                <a:pt x="1323721" y="121539"/>
                                <a:pt x="1325499" y="118490"/>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35100,330200" style="position:absolute;left:0;top:0;visibility:visible;mso-position-horizontal:absolute;mso-position-horizontal-relative:page;mso-position-vertical:absolute;mso-position-vertical-relative:page;width:113pt;height:26pt;margin-left:167pt;margin-top:354pt;mso-wrap-style:square;z-index:10317584;mso-wrap-distance-left:9pt;mso-wrap-distance-top:0pt;mso-wrap-distance-right:9pt;mso-wrap-distance-bottom:0pt" id="shape3606" o:spid="1618382345949" path="m9525,6096l11557,6096c15113,6096,17907,8890,17907,12446l17907,316865l11557,310515l1375409,310515l1369059,316865l1369059,45465c1369059,41909,1371853,39115,1375409,39115c1378965,39115,1381759,41909,1381759,45465l1381759,316865c1381759,320421,1378965,323215,1375409,323215l11557,323215c8127,323215,5207,320421,5207,316865l5207,12446l11557,18796l9525,18796c5969,18796,3175,16002,3175,12446c3175,8890,5969,6096,9525,6096em1325498,118490l1375409,32892l1425321,118490c1427099,121539,1426083,125348,1423034,127127c1419987,128904,1416177,127889,1414399,124840l1369948,48640l1380871,48640l1336421,124840c1334643,127889,1330833,128904,1327784,127127c1324737,125348,1323721,121539,1325499,118490e" stroked="f" filled="t" fillcolor="#000000"/>
            </w:pict>
          </mc:Fallback>
        </mc:AlternateContent>
      </w:r>
      <w:r>
        <mc:AlternateContent>
          <mc:Choice Requires="wps">
            <w:drawing>
              <wp:anchor distT="0" distB="0" distL="114300" distR="114300" simplePos="false" relativeHeight="10318608" behindDoc="true" locked="false" layoutInCell="true" allowOverlap="true">
                <wp:simplePos x="0" y="0"/>
                <wp:positionH relativeFrom="page">
                  <wp:posOffset>2197100</wp:posOffset>
                </wp:positionH>
                <wp:positionV relativeFrom="page">
                  <wp:posOffset>4483100</wp:posOffset>
                </wp:positionV>
                <wp:extent cx="749300" cy="215900"/>
                <wp:effectExtent l="0" t="0" r="22225" b="31115"/>
                <wp:wrapNone/>
                <wp:docPr id="3607" name="shape3607"/>
                <wp:cNvGraphicFramePr/>
                <a:graphic>
                  <a:graphicData uri="http://schemas.microsoft.com/office/word/2010/wordprocessingShape">
                    <wps:wsp>
                      <wps:cNvSpPr/>
                      <wps:spPr>
                        <a:xfrm>
                          <a:off x="0" y="0"/>
                          <a:ext cx="749300" cy="215900"/>
                        </a:xfrm>
                        <a:custGeom>
                          <a:avLst/>
                          <a:rect l="l" t="t" r="r" b="b"/>
                          <a:pathLst>
                            <a:path w="749300" h="215900">
                              <a:moveTo>
                                <a:pt x="22860" y="18160"/>
                              </a:moveTo>
                              <a:lnTo>
                                <a:pt x="22860" y="208660"/>
                              </a:lnTo>
                              <a:lnTo>
                                <a:pt x="16510" y="202310"/>
                              </a:lnTo>
                              <a:lnTo>
                                <a:pt x="688975" y="202310"/>
                              </a:lnTo>
                              <a:lnTo>
                                <a:pt x="682625" y="208660"/>
                              </a:lnTo>
                              <a:lnTo>
                                <a:pt x="682625" y="56260"/>
                              </a:lnTo>
                              <a:cubicBezTo>
                                <a:pt x="682625" y="52704"/>
                                <a:pt x="685419" y="49910"/>
                                <a:pt x="688975" y="49910"/>
                              </a:cubicBezTo>
                              <a:cubicBezTo>
                                <a:pt x="692531" y="49910"/>
                                <a:pt x="695325" y="52704"/>
                                <a:pt x="695325" y="56260"/>
                              </a:cubicBezTo>
                              <a:lnTo>
                                <a:pt x="695325" y="208660"/>
                              </a:lnTo>
                              <a:cubicBezTo>
                                <a:pt x="695325" y="212216"/>
                                <a:pt x="692531" y="215010"/>
                                <a:pt x="688975" y="215010"/>
                              </a:cubicBezTo>
                              <a:lnTo>
                                <a:pt x="16510" y="215010"/>
                              </a:lnTo>
                              <a:cubicBezTo>
                                <a:pt x="12954" y="215010"/>
                                <a:pt x="10160" y="212216"/>
                                <a:pt x="10160" y="208660"/>
                              </a:cubicBezTo>
                              <a:lnTo>
                                <a:pt x="10160" y="18160"/>
                              </a:lnTo>
                              <a:cubicBezTo>
                                <a:pt x="10160" y="14604"/>
                                <a:pt x="12954" y="11810"/>
                                <a:pt x="16510" y="11810"/>
                              </a:cubicBezTo>
                              <a:cubicBezTo>
                                <a:pt x="20066" y="11810"/>
                                <a:pt x="22860" y="14604"/>
                                <a:pt x="22860" y="18160"/>
                              </a:cubicBezTo>
                              <a:close/>
                              <a:moveTo>
                                <a:pt x="639064" y="129285"/>
                              </a:moveTo>
                              <a:lnTo>
                                <a:pt x="688975" y="43688"/>
                              </a:lnTo>
                              <a:lnTo>
                                <a:pt x="738885" y="129285"/>
                              </a:lnTo>
                              <a:cubicBezTo>
                                <a:pt x="740664" y="132334"/>
                                <a:pt x="739648" y="136144"/>
                                <a:pt x="736600" y="137921"/>
                              </a:cubicBezTo>
                              <a:cubicBezTo>
                                <a:pt x="733551" y="139700"/>
                                <a:pt x="729742" y="138684"/>
                                <a:pt x="727964" y="135635"/>
                              </a:cubicBezTo>
                              <a:lnTo>
                                <a:pt x="683514" y="59435"/>
                              </a:lnTo>
                              <a:lnTo>
                                <a:pt x="694435" y="59435"/>
                              </a:lnTo>
                              <a:lnTo>
                                <a:pt x="649985" y="135635"/>
                              </a:lnTo>
                              <a:cubicBezTo>
                                <a:pt x="648207" y="138684"/>
                                <a:pt x="644398" y="139700"/>
                                <a:pt x="641350" y="137921"/>
                              </a:cubicBezTo>
                              <a:cubicBezTo>
                                <a:pt x="638301" y="136144"/>
                                <a:pt x="637285" y="132334"/>
                                <a:pt x="639064" y="129285"/>
                              </a:cubicBez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215900" style="position:absolute;left:0;top:0;visibility:visible;mso-position-horizontal:absolute;mso-position-horizontal-relative:page;mso-position-vertical:absolute;mso-position-vertical-relative:page;width:59pt;height:17pt;margin-left:173pt;margin-top:353pt;mso-wrap-style:square;z-index:10318608;mso-wrap-distance-left:9pt;mso-wrap-distance-top:0pt;mso-wrap-distance-right:9pt;mso-wrap-distance-bottom:0pt" id="shape3607" o:spid="1618382345950" path="m22860,18160l22860,208660l16510,202310l688975,202310l682625,208660l682625,56260c682625,52704,685419,49910,688975,49910c692531,49910,695325,52704,695325,56260l695325,208660c695325,212216,692531,215010,688975,215010l16510,215010c12954,215010,10160,212216,10160,208660l10160,18160c10160,14604,12954,11810,16510,11810c20066,11810,22860,14604,22860,18160em639064,129285l688975,43688l738885,129285c740664,132334,739648,136144,736600,137921c733551,139700,729742,138684,727964,135635l683514,59435l694435,59435l649985,135635c648207,138684,644398,139700,641350,137921c638301,136144,637285,132334,639064,129285e" stroked="f" filled="t" fillcolor="#000000"/>
            </w:pict>
          </mc:Fallback>
        </mc:AlternateContent>
      </w:r>
      <w:r>
        <mc:AlternateContent>
          <mc:Choice Requires="wps">
            <w:drawing>
              <wp:anchor distT="0" distB="0" distL="114300" distR="114300" simplePos="false" relativeHeight="10314512" behindDoc="false" locked="false" layoutInCell="true" allowOverlap="true">
                <wp:simplePos x="0" y="0"/>
                <wp:positionH relativeFrom="page">
                  <wp:posOffset>5245100</wp:posOffset>
                </wp:positionH>
                <wp:positionV relativeFrom="page">
                  <wp:posOffset>3556000</wp:posOffset>
                </wp:positionV>
                <wp:extent cx="381000" cy="952500"/>
                <wp:effectExtent l="0" t="0" r="22225" b="31115"/>
                <wp:wrapNone/>
                <wp:docPr id="3604" name="shape3604"/>
                <wp:cNvGraphicFramePr/>
                <a:graphic>
                  <a:graphicData uri="http://schemas.microsoft.com/office/word/2010/wordprocessingShape">
                    <wps:wsp>
                      <wps:cNvSpPr/>
                      <wps:spPr>
                        <a:xfrm>
                          <a:off x="0" y="0"/>
                          <a:ext cx="381000" cy="952500"/>
                        </a:xfrm>
                        <a:prstGeom prst="rect">
                          <a:avLst/>
                        </a:prstGeom>
                        <a:ln>
                          <a:solidFill>
                            <a:srgbClr val="7f7f7f"/>
                          </a:solidFill>
                        </a:ln>
                      </wps:spPr>
                      <wps:txbx>
                        <w:txbxContent>
                          <w:p>
                            <w:pPr>
                              <w:spacing w:line="-360" w:lineRule="exact"/>
                              <w:ind w:left="80"/>
                              <w:jc w:val="both"/>
                            </w:pPr>
                            <w:r>
                              <w:rPr>
                                <w:rFonts w:hint="eastAsia" w:ascii="@ËÎÌå" w:hAnsi="@ËÎÌå" w:eastAsia="@ËÎÌå" w:cs="@ËÎÌå"/>
                                <w:sz w:val="18"/>
                              </w:rPr>
                              <w:t>亿</w:t>
                            </w:r>
                          </w:p>
                          <w:p>
                            <w:pPr>
                              <w:spacing w:line="220" w:lineRule="exact"/>
                              <w:ind w:left="80"/>
                              <w:jc w:val="both"/>
                            </w:pPr>
                            <w:r>
                              <w:rPr>
                                <w:rFonts w:hint="eastAsia" w:ascii="@ËÎÌå" w:hAnsi="@ËÎÌå" w:eastAsia="@ËÎÌå" w:cs="@ËÎÌå"/>
                                <w:sz w:val="18"/>
                              </w:rPr>
                              <w:t>维</w:t>
                            </w:r>
                          </w:p>
                          <w:p>
                            <w:pPr>
                              <w:spacing w:line="220" w:lineRule="exact"/>
                              <w:ind w:left="80"/>
                              <w:jc w:val="both"/>
                            </w:pPr>
                            <w:r>
                              <w:rPr>
                                <w:rFonts w:hint="eastAsia" w:ascii="@ËÎÌå" w:hAnsi="@ËÎÌå" w:eastAsia="@ËÎÌå" w:cs="@ËÎÌå"/>
                                <w:sz w:val="18"/>
                              </w:rPr>
                              <w:t>航</w:t>
                            </w:r>
                          </w:p>
                          <w:p>
                            <w:pPr>
                              <w:spacing w:line="220" w:lineRule="exact"/>
                              <w:ind w:left="80"/>
                              <w:jc w:val="both"/>
                            </w:pPr>
                            <w:r>
                              <w:rPr>
                                <w:rFonts w:hint="eastAsia" w:ascii="@ËÎÌå" w:hAnsi="@ËÎÌå" w:eastAsia="@ËÎÌå" w:cs="@ËÎÌå"/>
                                <w:sz w:val="18"/>
                              </w:rPr>
                              <w:t>软</w:t>
                            </w:r>
                          </w:p>
                          <w:p>
                            <w:pPr>
                              <w:spacing w:line="220" w:lineRule="exact"/>
                              <w:ind w:left="80"/>
                              <w:jc w:val="both"/>
                            </w:pPr>
                            <w:r>
                              <w:rPr>
                                <w:rFonts w:hint="eastAsia" w:ascii="@ËÎÌå" w:hAnsi="@ËÎÌå" w:eastAsia="@ËÎÌå" w:cs="@ËÎÌå"/>
                                <w:sz w:val="18"/>
                              </w:rPr>
                              <w:t>件</w:t>
                            </w:r>
                          </w:p>
                        </w:txbxContent>
                      </wps:txbx>
                      <wps:bodyPr rot="0" spcFirstLastPara="false" vertOverflow="overflow" horzOverflow="overflow" vert="horz" wrap="square" lIns="114300" tIns="1143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0pt;height:75pt;margin-left:413pt;margin-top:280pt;mso-wrap-style:square;z-index:10314512;mso-wrap-distance-left:9pt;mso-wrap-distance-top:0pt;mso-wrap-distance-right:9pt;mso-wrap-distance-bottom:0pt" id="shape3604" o:spid="1618382345951" stroked="t" strokecolor="#7f7f7f" strokeweight="1pt">
                <v:textbox>
                  <w:txbxContent>
                    <w:p>
                      <w:pPr>
                        <w:spacing w:line="-360" w:lineRule="exact"/>
                        <w:ind w:left="80"/>
                        <w:jc w:val="both"/>
                      </w:pPr>
                      <w:r>
                        <w:rPr>
                          <w:rFonts w:hint="eastAsia" w:ascii="@ËÎÌå" w:hAnsi="@ËÎÌå" w:eastAsia="@ËÎÌå" w:cs="@ËÎÌå"/>
                          <w:sz w:val="18"/>
                        </w:rPr>
                        <w:t>亿</w:t>
                      </w:r>
                    </w:p>
                    <w:p>
                      <w:pPr>
                        <w:spacing w:line="220" w:lineRule="exact"/>
                        <w:ind w:left="80"/>
                        <w:jc w:val="both"/>
                      </w:pPr>
                      <w:r>
                        <w:rPr>
                          <w:rFonts w:hint="eastAsia" w:ascii="@ËÎÌå" w:hAnsi="@ËÎÌå" w:eastAsia="@ËÎÌå" w:cs="@ËÎÌå"/>
                          <w:sz w:val="18"/>
                        </w:rPr>
                        <w:t>维</w:t>
                      </w:r>
                    </w:p>
                    <w:p>
                      <w:pPr>
                        <w:spacing w:line="220" w:lineRule="exact"/>
                        <w:ind w:left="80"/>
                        <w:jc w:val="both"/>
                      </w:pPr>
                      <w:r>
                        <w:rPr>
                          <w:rFonts w:hint="eastAsia" w:ascii="@ËÎÌå" w:hAnsi="@ËÎÌå" w:eastAsia="@ËÎÌå" w:cs="@ËÎÌå"/>
                          <w:sz w:val="18"/>
                        </w:rPr>
                        <w:t>航</w:t>
                      </w:r>
                    </w:p>
                    <w:p>
                      <w:pPr>
                        <w:spacing w:line="220" w:lineRule="exact"/>
                        <w:ind w:left="80"/>
                        <w:jc w:val="both"/>
                      </w:pPr>
                      <w:r>
                        <w:rPr>
                          <w:rFonts w:hint="eastAsia" w:ascii="@ËÎÌå" w:hAnsi="@ËÎÌå" w:eastAsia="@ËÎÌå" w:cs="@ËÎÌå"/>
                          <w:sz w:val="18"/>
                        </w:rPr>
                        <w:t>软</w:t>
                      </w:r>
                    </w:p>
                    <w:p>
                      <w:pPr>
                        <w:spacing w:line="220" w:lineRule="exact"/>
                        <w:ind w:left="80"/>
                        <w:jc w:val="both"/>
                      </w:pPr>
                      <w:r>
                        <w:rPr>
                          <w:rFonts w:hint="eastAsia" w:ascii="@ËÎÌå" w:hAnsi="@ËÎÌå" w:eastAsia="@ËÎÌå" w:cs="@ËÎÌå"/>
                          <w:sz w:val="18"/>
                        </w:rPr>
                        <w:t>件</w:t>
                      </w:r>
                    </w:p>
                  </w:txbxContent>
                </v:textbox>
              </v:rect>
            </w:pict>
          </mc:Fallback>
        </mc:AlternateContent>
      </w:r>
      <w:r>
        <mc:AlternateContent>
          <mc:Choice Requires="wps">
            <w:drawing>
              <wp:anchor distT="0" distB="0" distL="114300" distR="114300" simplePos="false" relativeHeight="10306320" behindDoc="false" locked="false" layoutInCell="true" allowOverlap="true">
                <wp:simplePos x="0" y="0"/>
                <wp:positionH relativeFrom="page">
                  <wp:posOffset>4597400</wp:posOffset>
                </wp:positionH>
                <wp:positionV relativeFrom="page">
                  <wp:posOffset>3556000</wp:posOffset>
                </wp:positionV>
                <wp:extent cx="393700" cy="952500"/>
                <wp:effectExtent l="0" t="0" r="22225" b="31115"/>
                <wp:wrapNone/>
                <wp:docPr id="3596" name="shape3596"/>
                <wp:cNvGraphicFramePr/>
                <a:graphic>
                  <a:graphicData uri="http://schemas.microsoft.com/office/word/2010/wordprocessingShape">
                    <wps:wsp>
                      <wps:cNvSpPr/>
                      <wps:spPr>
                        <a:xfrm>
                          <a:off x="0" y="0"/>
                          <a:ext cx="393700" cy="952500"/>
                        </a:xfrm>
                        <a:prstGeom prst="rect">
                          <a:avLst/>
                        </a:prstGeom>
                        <a:ln>
                          <a:solidFill>
                            <a:srgbClr val="7f7f7f"/>
                          </a:solidFill>
                        </a:ln>
                      </wps:spPr>
                      <wps:txbx>
                        <w:txbxContent>
                          <w:p>
                            <w:pPr>
                              <w:spacing w:line="-480" w:lineRule="exact"/>
                              <w:ind w:left="100"/>
                              <w:jc w:val="both"/>
                            </w:pPr>
                            <w:r>
                              <w:rPr>
                                <w:rFonts w:hint="eastAsia" w:ascii="@ËÎÌå" w:hAnsi="@ËÎÌå" w:eastAsia="@ËÎÌå" w:cs="@ËÎÌå"/>
                                <w:sz w:val="18"/>
                              </w:rPr>
                              <w:t>顶</w:t>
                            </w:r>
                          </w:p>
                          <w:p>
                            <w:pPr>
                              <w:spacing w:line="200" w:lineRule="exact"/>
                              <w:ind w:left="100"/>
                              <w:jc w:val="both"/>
                            </w:pPr>
                            <w:r>
                              <w:rPr>
                                <w:rFonts w:hint="eastAsia" w:ascii="@ËÎÌå" w:hAnsi="@ËÎÌå" w:eastAsia="@ËÎÌå" w:cs="@ËÎÌå"/>
                                <w:sz w:val="18"/>
                              </w:rPr>
                              <w:t>点</w:t>
                            </w:r>
                          </w:p>
                          <w:p>
                            <w:pPr>
                              <w:spacing w:line="240" w:lineRule="exact"/>
                              <w:ind w:left="100"/>
                              <w:jc w:val="both"/>
                            </w:pPr>
                            <w:r>
                              <w:rPr>
                                <w:rFonts w:hint="eastAsia" w:ascii="@ËÎÌå" w:hAnsi="@ËÎÌå" w:eastAsia="@ËÎÌå" w:cs="@ËÎÌå"/>
                                <w:sz w:val="18"/>
                              </w:rPr>
                              <w:t>信</w:t>
                            </w:r>
                          </w:p>
                          <w:p>
                            <w:pPr>
                              <w:spacing w:line="220" w:lineRule="exact"/>
                              <w:ind w:left="100"/>
                              <w:jc w:val="both"/>
                            </w:pPr>
                            <w:r>
                              <w:rPr>
                                <w:rFonts w:hint="eastAsia" w:ascii="@ËÎÌå" w:hAnsi="@ËÎÌå" w:eastAsia="@ËÎÌå" w:cs="@ËÎÌå"/>
                                <w:sz w:val="18"/>
                              </w:rPr>
                              <w:t>息</w:t>
                            </w:r>
                          </w:p>
                        </w:txbxContent>
                      </wps:txbx>
                      <wps:bodyPr rot="0" spcFirstLastPara="false" vertOverflow="overflow" horzOverflow="overflow" vert="horz" wrap="square" lIns="127000" tIns="177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1pt;height:75pt;margin-left:362pt;margin-top:280pt;mso-wrap-style:square;z-index:10306320;mso-wrap-distance-left:9pt;mso-wrap-distance-top:0pt;mso-wrap-distance-right:9pt;mso-wrap-distance-bottom:0pt" id="shape3596" o:spid="1618382345951" stroked="t" strokecolor="#7f7f7f" strokeweight="1pt">
                <v:textbox>
                  <w:txbxContent>
                    <w:p>
                      <w:pPr>
                        <w:spacing w:line="-480" w:lineRule="exact"/>
                        <w:ind w:left="100"/>
                        <w:jc w:val="both"/>
                      </w:pPr>
                      <w:r>
                        <w:rPr>
                          <w:rFonts w:hint="eastAsia" w:ascii="@ËÎÌå" w:hAnsi="@ËÎÌå" w:eastAsia="@ËÎÌå" w:cs="@ËÎÌå"/>
                          <w:sz w:val="18"/>
                        </w:rPr>
                        <w:t>顶</w:t>
                      </w:r>
                    </w:p>
                    <w:p>
                      <w:pPr>
                        <w:spacing w:line="200" w:lineRule="exact"/>
                        <w:ind w:left="100"/>
                        <w:jc w:val="both"/>
                      </w:pPr>
                      <w:r>
                        <w:rPr>
                          <w:rFonts w:hint="eastAsia" w:ascii="@ËÎÌå" w:hAnsi="@ËÎÌå" w:eastAsia="@ËÎÌå" w:cs="@ËÎÌå"/>
                          <w:sz w:val="18"/>
                        </w:rPr>
                        <w:t>点</w:t>
                      </w:r>
                    </w:p>
                    <w:p>
                      <w:pPr>
                        <w:spacing w:line="240" w:lineRule="exact"/>
                        <w:ind w:left="100"/>
                        <w:jc w:val="both"/>
                      </w:pPr>
                      <w:r>
                        <w:rPr>
                          <w:rFonts w:hint="eastAsia" w:ascii="@ËÎÌå" w:hAnsi="@ËÎÌå" w:eastAsia="@ËÎÌå" w:cs="@ËÎÌå"/>
                          <w:sz w:val="18"/>
                        </w:rPr>
                        <w:t>信</w:t>
                      </w:r>
                    </w:p>
                    <w:p>
                      <w:pPr>
                        <w:spacing w:line="220" w:lineRule="exact"/>
                        <w:ind w:left="100"/>
                        <w:jc w:val="both"/>
                      </w:pPr>
                      <w:r>
                        <w:rPr>
                          <w:rFonts w:hint="eastAsia" w:ascii="@ËÎÌå" w:hAnsi="@ËÎÌå" w:eastAsia="@ËÎÌå" w:cs="@ËÎÌå"/>
                          <w:sz w:val="18"/>
                        </w:rPr>
                        <w:t>息</w:t>
                      </w:r>
                    </w:p>
                  </w:txbxContent>
                </v:textbox>
              </v:rect>
            </w:pict>
          </mc:Fallback>
        </mc:AlternateContent>
      </w:r>
      <w:r>
        <mc:AlternateContent>
          <mc:Choice Requires="wps">
            <w:drawing>
              <wp:anchor distT="0" distB="0" distL="114300" distR="114300" simplePos="false" relativeHeight="10303248" behindDoc="false" locked="false" layoutInCell="true" allowOverlap="true">
                <wp:simplePos x="0" y="0"/>
                <wp:positionH relativeFrom="page">
                  <wp:posOffset>3949700</wp:posOffset>
                </wp:positionH>
                <wp:positionV relativeFrom="page">
                  <wp:posOffset>3556000</wp:posOffset>
                </wp:positionV>
                <wp:extent cx="393700" cy="952500"/>
                <wp:effectExtent l="0" t="0" r="22225" b="31115"/>
                <wp:wrapNone/>
                <wp:docPr id="3593" name="shape3593"/>
                <wp:cNvGraphicFramePr/>
                <a:graphic>
                  <a:graphicData uri="http://schemas.microsoft.com/office/word/2010/wordprocessingShape">
                    <wps:wsp>
                      <wps:cNvSpPr/>
                      <wps:spPr>
                        <a:xfrm>
                          <a:off x="0" y="0"/>
                          <a:ext cx="393700" cy="952500"/>
                        </a:xfrm>
                        <a:prstGeom prst="rect">
                          <a:avLst/>
                        </a:prstGeom>
                        <a:ln>
                          <a:solidFill>
                            <a:srgbClr val="7f7f7f"/>
                          </a:solidFill>
                        </a:ln>
                      </wps:spPr>
                      <wps:txbx>
                        <w:txbxContent>
                          <w:p>
                            <w:pPr>
                              <w:spacing w:line="-480" w:lineRule="exact"/>
                              <w:ind w:left="120"/>
                              <w:jc w:val="both"/>
                            </w:pPr>
                            <w:r>
                              <w:rPr>
                                <w:rFonts w:hint="eastAsia" w:ascii="@ËÎÌå" w:hAnsi="@ËÎÌå" w:eastAsia="@ËÎÌå" w:cs="@ËÎÌå"/>
                                <w:sz w:val="18"/>
                              </w:rPr>
                              <w:t>武</w:t>
                            </w:r>
                          </w:p>
                          <w:p>
                            <w:pPr>
                              <w:spacing w:line="220" w:lineRule="exact"/>
                              <w:ind w:left="120"/>
                              <w:jc w:val="both"/>
                            </w:pPr>
                            <w:r>
                              <w:rPr>
                                <w:rFonts w:hint="eastAsia" w:ascii="@ËÎÌå" w:hAnsi="@ËÎÌå" w:eastAsia="@ËÎÌå" w:cs="@ËÎÌå"/>
                                <w:sz w:val="18"/>
                              </w:rPr>
                              <w:t>汉</w:t>
                            </w:r>
                          </w:p>
                          <w:p>
                            <w:pPr>
                              <w:spacing w:line="220" w:lineRule="exact"/>
                              <w:ind w:left="120"/>
                              <w:jc w:val="both"/>
                            </w:pPr>
                            <w:r>
                              <w:rPr>
                                <w:rFonts w:hint="eastAsia" w:ascii="@ËÎÌå" w:hAnsi="@ËÎÌå" w:eastAsia="@ËÎÌå" w:cs="@ËÎÌå"/>
                                <w:sz w:val="18"/>
                              </w:rPr>
                              <w:t>顶</w:t>
                            </w:r>
                          </w:p>
                          <w:p>
                            <w:pPr>
                              <w:spacing w:line="220" w:lineRule="exact"/>
                              <w:ind w:left="120"/>
                              <w:jc w:val="both"/>
                            </w:pPr>
                            <w:r>
                              <w:rPr>
                                <w:rFonts w:hint="eastAsia" w:ascii="@ËÎÌå" w:hAnsi="@ËÎÌå" w:eastAsia="@ËÎÌå" w:cs="@ËÎÌå"/>
                                <w:sz w:val="18"/>
                              </w:rPr>
                              <w:t>点</w:t>
                            </w:r>
                          </w:p>
                        </w:txbxContent>
                      </wps:txbx>
                      <wps:bodyPr rot="0" spcFirstLastPara="false" vertOverflow="overflow" horzOverflow="overflow" vert="horz" wrap="square" lIns="139700" tIns="177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1pt;height:75pt;margin-left:311pt;margin-top:280pt;mso-wrap-style:square;z-index:10303248;mso-wrap-distance-left:9pt;mso-wrap-distance-top:0pt;mso-wrap-distance-right:9pt;mso-wrap-distance-bottom:0pt" id="shape3593" o:spid="1618382345952" stroked="t" strokecolor="#7f7f7f" strokeweight="1pt">
                <v:textbox>
                  <w:txbxContent>
                    <w:p>
                      <w:pPr>
                        <w:spacing w:line="-480" w:lineRule="exact"/>
                        <w:ind w:left="120"/>
                        <w:jc w:val="both"/>
                      </w:pPr>
                      <w:r>
                        <w:rPr>
                          <w:rFonts w:hint="eastAsia" w:ascii="@ËÎÌå" w:hAnsi="@ËÎÌå" w:eastAsia="@ËÎÌå" w:cs="@ËÎÌå"/>
                          <w:sz w:val="18"/>
                        </w:rPr>
                        <w:t>武</w:t>
                      </w:r>
                    </w:p>
                    <w:p>
                      <w:pPr>
                        <w:spacing w:line="220" w:lineRule="exact"/>
                        <w:ind w:left="120"/>
                        <w:jc w:val="both"/>
                      </w:pPr>
                      <w:r>
                        <w:rPr>
                          <w:rFonts w:hint="eastAsia" w:ascii="@ËÎÌå" w:hAnsi="@ËÎÌå" w:eastAsia="@ËÎÌå" w:cs="@ËÎÌå"/>
                          <w:sz w:val="18"/>
                        </w:rPr>
                        <w:t>汉</w:t>
                      </w:r>
                    </w:p>
                    <w:p>
                      <w:pPr>
                        <w:spacing w:line="220" w:lineRule="exact"/>
                        <w:ind w:left="120"/>
                        <w:jc w:val="both"/>
                      </w:pPr>
                      <w:r>
                        <w:rPr>
                          <w:rFonts w:hint="eastAsia" w:ascii="@ËÎÌå" w:hAnsi="@ËÎÌå" w:eastAsia="@ËÎÌå" w:cs="@ËÎÌå"/>
                          <w:sz w:val="18"/>
                        </w:rPr>
                        <w:t>顶</w:t>
                      </w:r>
                    </w:p>
                    <w:p>
                      <w:pPr>
                        <w:spacing w:line="220" w:lineRule="exact"/>
                        <w:ind w:left="120"/>
                        <w:jc w:val="both"/>
                      </w:pPr>
                      <w:r>
                        <w:rPr>
                          <w:rFonts w:hint="eastAsia" w:ascii="@ËÎÌå" w:hAnsi="@ËÎÌå" w:eastAsia="@ËÎÌå" w:cs="@ËÎÌå"/>
                          <w:sz w:val="18"/>
                        </w:rPr>
                        <w:t>点</w:t>
                      </w:r>
                    </w:p>
                  </w:txbxContent>
                </v:textbox>
              </v:rect>
            </w:pict>
          </mc:Fallback>
        </mc:AlternateContent>
      </w:r>
      <w:r>
        <mc:AlternateContent>
          <mc:Choice Requires="wps">
            <w:drawing>
              <wp:anchor distT="0" distB="0" distL="114300" distR="114300" simplePos="false" relativeHeight="10300176" behindDoc="false" locked="false" layoutInCell="true" allowOverlap="true">
                <wp:simplePos x="0" y="0"/>
                <wp:positionH relativeFrom="page">
                  <wp:posOffset>3289300</wp:posOffset>
                </wp:positionH>
                <wp:positionV relativeFrom="page">
                  <wp:posOffset>3556000</wp:posOffset>
                </wp:positionV>
                <wp:extent cx="419100" cy="965200"/>
                <wp:effectExtent l="0" t="0" r="22225" b="31115"/>
                <wp:wrapNone/>
                <wp:docPr id="3590" name="shape3590"/>
                <wp:cNvGraphicFramePr/>
                <a:graphic>
                  <a:graphicData uri="http://schemas.microsoft.com/office/word/2010/wordprocessingShape">
                    <wps:wsp>
                      <wps:cNvSpPr/>
                      <wps:spPr>
                        <a:xfrm>
                          <a:off x="0" y="0"/>
                          <a:ext cx="419100" cy="965200"/>
                        </a:xfrm>
                        <a:prstGeom prst="rect">
                          <a:avLst/>
                        </a:prstGeom>
                        <a:ln>
                          <a:solidFill>
                            <a:srgbClr val="7f7f7f"/>
                          </a:solidFill>
                        </a:ln>
                      </wps:spPr>
                      <wps:txbx>
                        <w:txbxContent>
                          <w:p>
                            <w:pPr>
                              <w:spacing w:line="-480" w:lineRule="exact"/>
                              <w:ind w:left="140"/>
                              <w:jc w:val="both"/>
                            </w:pPr>
                            <w:r>
                              <w:rPr>
                                <w:rFonts w:hint="eastAsia" w:ascii="@ËÎÌå" w:hAnsi="@ËÎÌå" w:eastAsia="@ËÎÌå" w:cs="@ËÎÌå"/>
                                <w:sz w:val="18"/>
                              </w:rPr>
                              <w:t>北</w:t>
                            </w:r>
                          </w:p>
                          <w:p>
                            <w:pPr>
                              <w:spacing w:line="220" w:lineRule="exact"/>
                              <w:ind w:left="140"/>
                              <w:jc w:val="both"/>
                            </w:pPr>
                            <w:r>
                              <w:rPr>
                                <w:rFonts w:hint="eastAsia" w:ascii="@ËÎÌå" w:hAnsi="@ËÎÌå" w:eastAsia="@ËÎÌå" w:cs="@ËÎÌå"/>
                                <w:sz w:val="18"/>
                              </w:rPr>
                              <w:t>京</w:t>
                            </w:r>
                          </w:p>
                          <w:p>
                            <w:pPr>
                              <w:spacing w:line="220" w:lineRule="exact"/>
                              <w:ind w:left="140"/>
                              <w:jc w:val="both"/>
                            </w:pPr>
                            <w:r>
                              <w:rPr>
                                <w:rFonts w:hint="eastAsia" w:ascii="@ËÎÌå" w:hAnsi="@ËÎÌå" w:eastAsia="@ËÎÌå" w:cs="@ËÎÌå"/>
                                <w:sz w:val="18"/>
                              </w:rPr>
                              <w:t>顶</w:t>
                            </w:r>
                          </w:p>
                          <w:p>
                            <w:pPr>
                              <w:spacing w:line="220" w:lineRule="exact"/>
                              <w:ind w:left="140"/>
                              <w:jc w:val="both"/>
                            </w:pPr>
                            <w:r>
                              <w:rPr>
                                <w:rFonts w:hint="eastAsia" w:ascii="@ËÎÌå" w:hAnsi="@ËÎÌå" w:eastAsia="@ËÎÌå" w:cs="@ËÎÌå"/>
                                <w:sz w:val="18"/>
                              </w:rPr>
                              <w:t>点</w:t>
                            </w:r>
                          </w:p>
                        </w:txbxContent>
                      </wps:txbx>
                      <wps:bodyPr rot="0" spcFirstLastPara="false" vertOverflow="overflow" horzOverflow="overflow" vert="horz" wrap="square" lIns="152400" tIns="190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3pt;height:76pt;margin-left:259pt;margin-top:280pt;mso-wrap-style:square;z-index:10300176;mso-wrap-distance-left:9pt;mso-wrap-distance-top:0pt;mso-wrap-distance-right:9pt;mso-wrap-distance-bottom:0pt" id="shape3590" o:spid="1618382345952" stroked="t" strokecolor="#7f7f7f" strokeweight="1pt">
                <v:textbox>
                  <w:txbxContent>
                    <w:p>
                      <w:pPr>
                        <w:spacing w:line="-480" w:lineRule="exact"/>
                        <w:ind w:left="140"/>
                        <w:jc w:val="both"/>
                      </w:pPr>
                      <w:r>
                        <w:rPr>
                          <w:rFonts w:hint="eastAsia" w:ascii="@ËÎÌå" w:hAnsi="@ËÎÌå" w:eastAsia="@ËÎÌå" w:cs="@ËÎÌå"/>
                          <w:sz w:val="18"/>
                        </w:rPr>
                        <w:t>北</w:t>
                      </w:r>
                    </w:p>
                    <w:p>
                      <w:pPr>
                        <w:spacing w:line="220" w:lineRule="exact"/>
                        <w:ind w:left="140"/>
                        <w:jc w:val="both"/>
                      </w:pPr>
                      <w:r>
                        <w:rPr>
                          <w:rFonts w:hint="eastAsia" w:ascii="@ËÎÌå" w:hAnsi="@ËÎÌå" w:eastAsia="@ËÎÌå" w:cs="@ËÎÌå"/>
                          <w:sz w:val="18"/>
                        </w:rPr>
                        <w:t>京</w:t>
                      </w:r>
                    </w:p>
                    <w:p>
                      <w:pPr>
                        <w:spacing w:line="220" w:lineRule="exact"/>
                        <w:ind w:left="140"/>
                        <w:jc w:val="both"/>
                      </w:pPr>
                      <w:r>
                        <w:rPr>
                          <w:rFonts w:hint="eastAsia" w:ascii="@ËÎÌå" w:hAnsi="@ËÎÌå" w:eastAsia="@ËÎÌå" w:cs="@ËÎÌå"/>
                          <w:sz w:val="18"/>
                        </w:rPr>
                        <w:t>顶</w:t>
                      </w:r>
                    </w:p>
                    <w:p>
                      <w:pPr>
                        <w:spacing w:line="220" w:lineRule="exact"/>
                        <w:ind w:left="140"/>
                        <w:jc w:val="both"/>
                      </w:pPr>
                      <w:r>
                        <w:rPr>
                          <w:rFonts w:hint="eastAsia" w:ascii="@ËÎÌå" w:hAnsi="@ËÎÌå" w:eastAsia="@ËÎÌå" w:cs="@ËÎÌå"/>
                          <w:sz w:val="18"/>
                        </w:rPr>
                        <w:t>点</w:t>
                      </w:r>
                    </w:p>
                  </w:txbxContent>
                </v:textbox>
              </v:rect>
            </w:pict>
          </mc:Fallback>
        </mc:AlternateContent>
      </w:r>
      <w:r>
        <mc:AlternateContent>
          <mc:Choice Requires="wps">
            <w:drawing>
              <wp:anchor distT="0" distB="0" distL="114300" distR="114300" simplePos="false" relativeHeight="10297104" behindDoc="false" locked="false" layoutInCell="true" allowOverlap="true">
                <wp:simplePos x="0" y="0"/>
                <wp:positionH relativeFrom="page">
                  <wp:posOffset>2641600</wp:posOffset>
                </wp:positionH>
                <wp:positionV relativeFrom="page">
                  <wp:posOffset>3568700</wp:posOffset>
                </wp:positionV>
                <wp:extent cx="393700" cy="952500"/>
                <wp:effectExtent l="0" t="0" r="22225" b="31115"/>
                <wp:wrapNone/>
                <wp:docPr id="3587" name="shape3587"/>
                <wp:cNvGraphicFramePr/>
                <a:graphic>
                  <a:graphicData uri="http://schemas.microsoft.com/office/word/2010/wordprocessingShape">
                    <wps:wsp>
                      <wps:cNvSpPr/>
                      <wps:spPr>
                        <a:xfrm>
                          <a:off x="0" y="0"/>
                          <a:ext cx="393700" cy="952500"/>
                        </a:xfrm>
                        <a:prstGeom prst="rect">
                          <a:avLst/>
                        </a:prstGeom>
                        <a:ln>
                          <a:solidFill>
                            <a:srgbClr val="7f7f7f"/>
                          </a:solidFill>
                        </a:ln>
                      </wps:spPr>
                      <wps:txbx>
                        <w:txbxContent>
                          <w:p>
                            <w:pPr>
                              <w:spacing w:line="-460" w:lineRule="exact"/>
                              <w:ind w:left="100"/>
                              <w:jc w:val="both"/>
                            </w:pPr>
                            <w:r>
                              <w:rPr>
                                <w:rFonts w:hint="eastAsia" w:ascii="@ËÎÌå" w:hAnsi="@ËÎÌå" w:eastAsia="@ËÎÌå" w:cs="@ËÎÌå"/>
                                <w:sz w:val="18"/>
                              </w:rPr>
                              <w:t>上</w:t>
                            </w:r>
                          </w:p>
                          <w:p>
                            <w:pPr>
                              <w:spacing w:line="220" w:lineRule="exact"/>
                              <w:ind w:left="100"/>
                              <w:jc w:val="both"/>
                            </w:pPr>
                            <w:r>
                              <w:rPr>
                                <w:rFonts w:hint="eastAsia" w:ascii="@ËÎÌå" w:hAnsi="@ËÎÌå" w:eastAsia="@ËÎÌå" w:cs="@ËÎÌå"/>
                                <w:sz w:val="18"/>
                              </w:rPr>
                              <w:t>海</w:t>
                            </w:r>
                          </w:p>
                          <w:p>
                            <w:pPr>
                              <w:spacing w:line="220" w:lineRule="exact"/>
                              <w:ind w:left="100"/>
                              <w:jc w:val="both"/>
                            </w:pPr>
                            <w:r>
                              <w:rPr>
                                <w:rFonts w:hint="eastAsia" w:ascii="@ËÎÌå" w:hAnsi="@ËÎÌå" w:eastAsia="@ËÎÌå" w:cs="@ËÎÌå"/>
                                <w:sz w:val="18"/>
                              </w:rPr>
                              <w:t>顶</w:t>
                            </w:r>
                          </w:p>
                          <w:p>
                            <w:pPr>
                              <w:spacing w:line="220" w:lineRule="exact"/>
                              <w:ind w:left="100"/>
                              <w:jc w:val="both"/>
                            </w:pPr>
                            <w:r>
                              <w:rPr>
                                <w:rFonts w:hint="eastAsia" w:ascii="@ËÎÌå" w:hAnsi="@ËÎÌå" w:eastAsia="@ËÎÌå" w:cs="@ËÎÌå"/>
                                <w:sz w:val="18"/>
                              </w:rPr>
                              <w:t>点</w:t>
                            </w:r>
                          </w:p>
                        </w:txbxContent>
                      </wps:txbx>
                      <wps:bodyPr rot="0" spcFirstLastPara="false" vertOverflow="overflow" horzOverflow="overflow" vert="horz" wrap="square" lIns="127000" tIns="177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1pt;height:75pt;margin-left:208pt;margin-top:281pt;mso-wrap-style:square;z-index:10297104;mso-wrap-distance-left:9pt;mso-wrap-distance-top:0pt;mso-wrap-distance-right:9pt;mso-wrap-distance-bottom:0pt" id="shape3587" o:spid="1618382345956" stroked="t" strokecolor="#7f7f7f" strokeweight="1pt">
                <v:textbox>
                  <w:txbxContent>
                    <w:p>
                      <w:pPr>
                        <w:spacing w:line="-460" w:lineRule="exact"/>
                        <w:ind w:left="100"/>
                        <w:jc w:val="both"/>
                      </w:pPr>
                      <w:r>
                        <w:rPr>
                          <w:rFonts w:hint="eastAsia" w:ascii="@ËÎÌå" w:hAnsi="@ËÎÌå" w:eastAsia="@ËÎÌå" w:cs="@ËÎÌå"/>
                          <w:sz w:val="18"/>
                        </w:rPr>
                        <w:t>上</w:t>
                      </w:r>
                    </w:p>
                    <w:p>
                      <w:pPr>
                        <w:spacing w:line="220" w:lineRule="exact"/>
                        <w:ind w:left="100"/>
                        <w:jc w:val="both"/>
                      </w:pPr>
                      <w:r>
                        <w:rPr>
                          <w:rFonts w:hint="eastAsia" w:ascii="@ËÎÌå" w:hAnsi="@ËÎÌå" w:eastAsia="@ËÎÌå" w:cs="@ËÎÌå"/>
                          <w:sz w:val="18"/>
                        </w:rPr>
                        <w:t>海</w:t>
                      </w:r>
                    </w:p>
                    <w:p>
                      <w:pPr>
                        <w:spacing w:line="220" w:lineRule="exact"/>
                        <w:ind w:left="100"/>
                        <w:jc w:val="both"/>
                      </w:pPr>
                      <w:r>
                        <w:rPr>
                          <w:rFonts w:hint="eastAsia" w:ascii="@ËÎÌå" w:hAnsi="@ËÎÌå" w:eastAsia="@ËÎÌå" w:cs="@ËÎÌå"/>
                          <w:sz w:val="18"/>
                        </w:rPr>
                        <w:t>顶</w:t>
                      </w:r>
                    </w:p>
                    <w:p>
                      <w:pPr>
                        <w:spacing w:line="220" w:lineRule="exact"/>
                        <w:ind w:left="100"/>
                        <w:jc w:val="both"/>
                      </w:pPr>
                      <w:r>
                        <w:rPr>
                          <w:rFonts w:hint="eastAsia" w:ascii="@ËÎÌå" w:hAnsi="@ËÎÌå" w:eastAsia="@ËÎÌå" w:cs="@ËÎÌå"/>
                          <w:sz w:val="18"/>
                        </w:rPr>
                        <w:t>点</w:t>
                      </w:r>
                    </w:p>
                  </w:txbxContent>
                </v:textbox>
              </v:rect>
            </w:pict>
          </mc:Fallback>
        </mc:AlternateContent>
      </w:r>
      <w:r>
        <mc:AlternateContent>
          <mc:Choice Requires="wps">
            <w:drawing>
              <wp:anchor distT="0" distB="0" distL="114300" distR="114300" simplePos="false" relativeHeight="10287888" behindDoc="false" locked="false" layoutInCell="true" allowOverlap="true">
                <wp:simplePos x="0" y="0"/>
                <wp:positionH relativeFrom="page">
                  <wp:posOffset>1981200</wp:posOffset>
                </wp:positionH>
                <wp:positionV relativeFrom="page">
                  <wp:posOffset>3556000</wp:posOffset>
                </wp:positionV>
                <wp:extent cx="419100" cy="939800"/>
                <wp:effectExtent l="0" t="0" r="22225" b="31115"/>
                <wp:wrapNone/>
                <wp:docPr id="3578" name="shape3578"/>
                <wp:cNvGraphicFramePr/>
                <a:graphic>
                  <a:graphicData uri="http://schemas.microsoft.com/office/word/2010/wordprocessingShape">
                    <wps:wsp>
                      <wps:cNvSpPr/>
                      <wps:spPr>
                        <a:xfrm>
                          <a:off x="0" y="0"/>
                          <a:ext cx="419100" cy="939800"/>
                        </a:xfrm>
                        <a:prstGeom prst="rect">
                          <a:avLst/>
                        </a:prstGeom>
                        <a:ln>
                          <a:solidFill>
                            <a:srgbClr val="7f7f7f"/>
                          </a:solidFill>
                        </a:ln>
                      </wps:spPr>
                      <wps:txbx>
                        <w:txbxContent>
                          <w:p>
                            <w:pPr>
                              <w:spacing w:line="-460" w:lineRule="exact"/>
                              <w:ind w:left="140"/>
                              <w:jc w:val="both"/>
                            </w:pPr>
                            <w:r>
                              <w:rPr>
                                <w:rFonts w:hint="eastAsia" w:ascii="@ËÎÌå" w:hAnsi="@ËÎÌå" w:eastAsia="@ËÎÌå" w:cs="@ËÎÌå"/>
                                <w:sz w:val="18"/>
                              </w:rPr>
                              <w:t>顶</w:t>
                            </w:r>
                          </w:p>
                          <w:p>
                            <w:pPr>
                              <w:spacing w:line="220" w:lineRule="exact"/>
                              <w:ind w:left="140"/>
                              <w:jc w:val="both"/>
                            </w:pPr>
                            <w:r>
                              <w:rPr>
                                <w:rFonts w:hint="eastAsia" w:ascii="@ËÎÌå" w:hAnsi="@ËÎÌå" w:eastAsia="@ËÎÌå" w:cs="@ËÎÌå"/>
                                <w:sz w:val="18"/>
                              </w:rPr>
                              <w:t>点</w:t>
                            </w:r>
                          </w:p>
                          <w:p>
                            <w:pPr>
                              <w:spacing w:line="220" w:lineRule="exact"/>
                              <w:ind w:left="140"/>
                              <w:jc w:val="both"/>
                            </w:pPr>
                            <w:r>
                              <w:rPr>
                                <w:rFonts w:hint="eastAsia" w:ascii="@ËÎÌå" w:hAnsi="@ËÎÌå" w:eastAsia="@ËÎÌå" w:cs="@ËÎÌå"/>
                                <w:sz w:val="18"/>
                              </w:rPr>
                              <w:t>数</w:t>
                            </w:r>
                          </w:p>
                          <w:p>
                            <w:pPr>
                              <w:spacing w:line="220" w:lineRule="exact"/>
                              <w:ind w:left="140"/>
                              <w:jc w:val="both"/>
                            </w:pPr>
                            <w:r>
                              <w:rPr>
                                <w:rFonts w:hint="eastAsia" w:ascii="@ËÎÌå" w:hAnsi="@ËÎÌå" w:eastAsia="@ËÎÌå" w:cs="@ËÎÌå"/>
                                <w:sz w:val="18"/>
                              </w:rPr>
                              <w:t>码</w:t>
                            </w:r>
                          </w:p>
                        </w:txbxContent>
                      </wps:txbx>
                      <wps:bodyPr rot="0" spcFirstLastPara="false" vertOverflow="overflow" horzOverflow="overflow" vert="horz" wrap="square" lIns="152400" tIns="177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3pt;height:74pt;margin-left:156pt;margin-top:280pt;mso-wrap-style:square;z-index:10287888;mso-wrap-distance-left:9pt;mso-wrap-distance-top:0pt;mso-wrap-distance-right:9pt;mso-wrap-distance-bottom:0pt" id="shape3578" o:spid="1618382345956" stroked="t" strokecolor="#7f7f7f" strokeweight="1pt">
                <v:textbox>
                  <w:txbxContent>
                    <w:p>
                      <w:pPr>
                        <w:spacing w:line="-460" w:lineRule="exact"/>
                        <w:ind w:left="140"/>
                        <w:jc w:val="both"/>
                      </w:pPr>
                      <w:r>
                        <w:rPr>
                          <w:rFonts w:hint="eastAsia" w:ascii="@ËÎÌå" w:hAnsi="@ËÎÌå" w:eastAsia="@ËÎÌå" w:cs="@ËÎÌå"/>
                          <w:sz w:val="18"/>
                        </w:rPr>
                        <w:t>顶</w:t>
                      </w:r>
                    </w:p>
                    <w:p>
                      <w:pPr>
                        <w:spacing w:line="220" w:lineRule="exact"/>
                        <w:ind w:left="140"/>
                        <w:jc w:val="both"/>
                      </w:pPr>
                      <w:r>
                        <w:rPr>
                          <w:rFonts w:hint="eastAsia" w:ascii="@ËÎÌå" w:hAnsi="@ËÎÌå" w:eastAsia="@ËÎÌå" w:cs="@ËÎÌå"/>
                          <w:sz w:val="18"/>
                        </w:rPr>
                        <w:t>点</w:t>
                      </w:r>
                    </w:p>
                    <w:p>
                      <w:pPr>
                        <w:spacing w:line="220" w:lineRule="exact"/>
                        <w:ind w:left="140"/>
                        <w:jc w:val="both"/>
                      </w:pPr>
                      <w:r>
                        <w:rPr>
                          <w:rFonts w:hint="eastAsia" w:ascii="@ËÎÌå" w:hAnsi="@ËÎÌå" w:eastAsia="@ËÎÌå" w:cs="@ËÎÌå"/>
                          <w:sz w:val="18"/>
                        </w:rPr>
                        <w:t>数</w:t>
                      </w:r>
                    </w:p>
                    <w:p>
                      <w:pPr>
                        <w:spacing w:line="220" w:lineRule="exact"/>
                        <w:ind w:left="140"/>
                        <w:jc w:val="both"/>
                      </w:pPr>
                      <w:r>
                        <w:rPr>
                          <w:rFonts w:hint="eastAsia" w:ascii="@ËÎÌå" w:hAnsi="@ËÎÌå" w:eastAsia="@ËÎÌå" w:cs="@ËÎÌå"/>
                          <w:sz w:val="18"/>
                        </w:rPr>
                        <w:t>码</w:t>
                      </w:r>
                    </w:p>
                  </w:txbxContent>
                </v:textbox>
              </v:rect>
            </w:pict>
          </mc:Fallback>
        </mc:AlternateContent>
      </w:r>
      <w:r>
        <mc:AlternateContent>
          <mc:Choice Requires="wps">
            <w:drawing>
              <wp:anchor distT="0" distB="0" distL="114300" distR="114300" simplePos="false" relativeHeight="10284816" behindDoc="false" locked="false" layoutInCell="true" allowOverlap="true">
                <wp:simplePos x="0" y="0"/>
                <wp:positionH relativeFrom="page">
                  <wp:posOffset>2628900</wp:posOffset>
                </wp:positionH>
                <wp:positionV relativeFrom="page">
                  <wp:posOffset>2705100</wp:posOffset>
                </wp:positionV>
                <wp:extent cx="2324100" cy="304800"/>
                <wp:effectExtent l="0" t="0" r="22225" b="31115"/>
                <wp:wrapNone/>
                <wp:docPr id="3575" name="shape3575"/>
                <wp:cNvGraphicFramePr/>
                <a:graphic>
                  <a:graphicData uri="http://schemas.microsoft.com/office/word/2010/wordprocessingShape">
                    <wps:wsp>
                      <wps:cNvSpPr/>
                      <wps:spPr>
                        <a:xfrm>
                          <a:off x="0" y="0"/>
                          <a:ext cx="2324100" cy="304800"/>
                        </a:xfrm>
                        <a:prstGeom prst="rect">
                          <a:avLst/>
                        </a:prstGeom>
                        <a:ln>
                          <a:solidFill>
                            <a:srgbClr val="7f7f7f"/>
                          </a:solidFill>
                        </a:ln>
                      </wps:spPr>
                      <wps:txbx>
                        <w:txbxContent>
                          <w:p>
                            <w:pPr>
                              <w:spacing w:line="-320" w:lineRule="exact"/>
                              <w:ind w:left="640"/>
                              <w:jc w:val="both"/>
                            </w:pPr>
                            <w:r>
                              <w:rPr>
                                <w:rFonts w:hint="eastAsia" w:ascii="宋体" w:hAnsi="宋体" w:eastAsia="宋体" w:cs="宋体"/>
                                <w:sz w:val="18"/>
                              </w:rPr>
                              <w:t>福建顶点软件股份有限公司</w:t>
                            </w:r>
                          </w:p>
                        </w:txbxContent>
                      </wps:txbx>
                      <wps:bodyPr rot="0" spcFirstLastPara="false" vertOverflow="overflow" horzOverflow="overflow" vert="horz" wrap="square" lIns="4699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83pt;height:24pt;margin-left:207pt;margin-top:213pt;mso-wrap-style:square;z-index:10284816;mso-wrap-distance-left:9pt;mso-wrap-distance-top:0pt;mso-wrap-distance-right:9pt;mso-wrap-distance-bottom:0pt" id="shape3575" o:spid="1618382345957" stroked="t" strokecolor="#7f7f7f" strokeweight="1pt">
                <v:textbox>
                  <w:txbxContent>
                    <w:p>
                      <w:pPr>
                        <w:spacing w:line="-320" w:lineRule="exact"/>
                        <w:ind w:left="640"/>
                        <w:jc w:val="both"/>
                      </w:pPr>
                      <w:r>
                        <w:rPr>
                          <w:rFonts w:hint="eastAsia" w:ascii="宋体" w:hAnsi="宋体" w:eastAsia="宋体" w:cs="宋体"/>
                          <w:sz w:val="18"/>
                        </w:rPr>
                        <w:t>福建顶点软件股份有限公司</w:t>
                      </w:r>
                    </w:p>
                  </w:txbxContent>
                </v:textbox>
              </v:rect>
            </w:pict>
          </mc:Fallback>
        </mc:AlternateContent>
      </w:r>
      <w:r>
        <mc:AlternateContent>
          <mc:Choice Requires="wps">
            <w:drawing>
              <wp:anchor distT="0" distB="0" distL="114300" distR="114300" simplePos="false" relativeHeight="10278672" behindDoc="false" locked="false" layoutInCell="true" allowOverlap="true">
                <wp:simplePos x="0" y="0"/>
                <wp:positionH relativeFrom="page">
                  <wp:posOffset>5613400</wp:posOffset>
                </wp:positionH>
                <wp:positionV relativeFrom="page">
                  <wp:posOffset>1930400</wp:posOffset>
                </wp:positionV>
                <wp:extent cx="812800" cy="304800"/>
                <wp:effectExtent l="0" t="0" r="22225" b="31115"/>
                <wp:wrapNone/>
                <wp:docPr id="3569" name="shape3569"/>
                <wp:cNvGraphicFramePr/>
                <a:graphic>
                  <a:graphicData uri="http://schemas.microsoft.com/office/word/2010/wordprocessingShape">
                    <wps:wsp>
                      <wps:cNvSpPr/>
                      <wps:spPr>
                        <a:xfrm>
                          <a:off x="0" y="0"/>
                          <a:ext cx="812800" cy="304800"/>
                        </a:xfrm>
                        <a:prstGeom prst="rect">
                          <a:avLst/>
                        </a:prstGeom>
                        <a:ln>
                          <a:solidFill>
                            <a:srgbClr val="7f7f7f"/>
                          </a:solidFill>
                        </a:ln>
                      </wps:spPr>
                      <wps:txbx>
                        <w:txbxContent>
                          <w:p>
                            <w:pPr>
                              <w:spacing w:line="-320" w:lineRule="exact"/>
                              <w:ind w:left="60"/>
                              <w:jc w:val="both"/>
                            </w:pPr>
                            <w:r>
                              <w:rPr>
                                <w:rFonts w:hint="eastAsia" w:ascii="宋体" w:hAnsi="宋体" w:eastAsia="宋体" w:cs="宋体"/>
                                <w:sz w:val="18"/>
                              </w:rPr>
                              <w:t>赵莹等</w:t>
                            </w:r>
                            <w:r>
                              <w:rPr>
                                <w:rFonts w:hint="eastAsia" w:ascii="Times New Roman" w:hAnsi="Times New Roman" w:eastAsia="Times New Roman" w:cs="Times New Roman"/>
                                <w:sz w:val="18"/>
                              </w:rPr>
                              <w:t>17</w:t>
                            </w:r>
                            <w:r>
                              <w:rPr>
                                <w:rFonts w:hint="eastAsia" w:ascii="宋体" w:hAnsi="宋体" w:eastAsia="宋体" w:cs="宋体"/>
                                <w:sz w:val="18"/>
                              </w:rPr>
                              <w:t>人</w:t>
                            </w:r>
                          </w:p>
                        </w:txbxContent>
                      </wps:txbx>
                      <wps:bodyPr rot="0" spcFirstLastPara="false" vertOverflow="overflow" horzOverflow="overflow" vert="horz" wrap="square" lIns="1016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4pt;height:24pt;margin-left:442pt;margin-top:152pt;mso-wrap-style:square;z-index:10278672;mso-wrap-distance-left:9pt;mso-wrap-distance-top:0pt;mso-wrap-distance-right:9pt;mso-wrap-distance-bottom:0pt" id="shape3569" o:spid="1618382345957" stroked="t" strokecolor="#7f7f7f" strokeweight="1pt">
                <v:textbox>
                  <w:txbxContent>
                    <w:p>
                      <w:pPr>
                        <w:spacing w:line="-320" w:lineRule="exact"/>
                        <w:ind w:left="60"/>
                        <w:jc w:val="both"/>
                      </w:pPr>
                      <w:r>
                        <w:rPr>
                          <w:rFonts w:hint="eastAsia" w:ascii="宋体" w:hAnsi="宋体" w:eastAsia="宋体" w:cs="宋体"/>
                          <w:sz w:val="18"/>
                        </w:rPr>
                        <w:t>赵莹等</w:t>
                      </w:r>
                      <w:r>
                        <w:rPr>
                          <w:rFonts w:hint="eastAsia" w:ascii="Times New Roman" w:hAnsi="Times New Roman" w:eastAsia="Times New Roman" w:cs="Times New Roman"/>
                          <w:sz w:val="18"/>
                        </w:rPr>
                        <w:t>17</w:t>
                      </w:r>
                      <w:r>
                        <w:rPr>
                          <w:rFonts w:hint="eastAsia" w:ascii="宋体" w:hAnsi="宋体" w:eastAsia="宋体" w:cs="宋体"/>
                          <w:sz w:val="18"/>
                        </w:rPr>
                        <w:t>人</w:t>
                      </w:r>
                    </w:p>
                  </w:txbxContent>
                </v:textbox>
              </v:rect>
            </w:pict>
          </mc:Fallback>
        </mc:AlternateContent>
      </w:r>
      <w:r>
        <mc:AlternateContent>
          <mc:Choice Requires="wps">
            <w:drawing>
              <wp:anchor distT="0" distB="0" distL="114300" distR="114300" simplePos="false" relativeHeight="10275600" behindDoc="false" locked="false" layoutInCell="true" allowOverlap="true">
                <wp:simplePos x="0" y="0"/>
                <wp:positionH relativeFrom="page">
                  <wp:posOffset>4787900</wp:posOffset>
                </wp:positionH>
                <wp:positionV relativeFrom="page">
                  <wp:posOffset>1943100</wp:posOffset>
                </wp:positionV>
                <wp:extent cx="723900" cy="292100"/>
                <wp:effectExtent l="0" t="0" r="22225" b="31115"/>
                <wp:wrapNone/>
                <wp:docPr id="3566" name="shape3566"/>
                <wp:cNvGraphicFramePr/>
                <a:graphic>
                  <a:graphicData uri="http://schemas.microsoft.com/office/word/2010/wordprocessingShape">
                    <wps:wsp>
                      <wps:cNvSpPr/>
                      <wps:spPr>
                        <a:xfrm>
                          <a:off x="0" y="0"/>
                          <a:ext cx="723900" cy="292100"/>
                        </a:xfrm>
                        <a:prstGeom prst="rect">
                          <a:avLst/>
                        </a:prstGeom>
                        <a:ln>
                          <a:solidFill>
                            <a:srgbClr val="7f7f7f"/>
                          </a:solidFill>
                        </a:ln>
                      </wps:spPr>
                      <wps:txbx>
                        <w:txbxContent>
                          <w:p>
                            <w:pPr>
                              <w:spacing w:line="-320" w:lineRule="exact"/>
                              <w:ind w:left="180"/>
                              <w:jc w:val="both"/>
                            </w:pPr>
                            <w:r>
                              <w:rPr>
                                <w:rFonts w:hint="eastAsia" w:ascii="宋体" w:hAnsi="宋体" w:eastAsia="宋体" w:cs="宋体"/>
                                <w:sz w:val="18"/>
                              </w:rPr>
                              <w:t>雷世潘</w:t>
                            </w:r>
                          </w:p>
                        </w:txbxContent>
                      </wps:txbx>
                      <wps:bodyPr rot="0" spcFirstLastPara="false" vertOverflow="overflow" horzOverflow="overflow" vert="horz" wrap="square" lIns="1778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7pt;height:23pt;margin-left:377pt;margin-top:153pt;mso-wrap-style:square;z-index:10275600;mso-wrap-distance-left:9pt;mso-wrap-distance-top:0pt;mso-wrap-distance-right:9pt;mso-wrap-distance-bottom:0pt" id="shape3566" o:spid="1618382345962" stroked="t" strokecolor="#7f7f7f" strokeweight="1pt">
                <v:textbox>
                  <w:txbxContent>
                    <w:p>
                      <w:pPr>
                        <w:spacing w:line="-320" w:lineRule="exact"/>
                        <w:ind w:left="180"/>
                        <w:jc w:val="both"/>
                      </w:pPr>
                      <w:r>
                        <w:rPr>
                          <w:rFonts w:hint="eastAsia" w:ascii="宋体" w:hAnsi="宋体" w:eastAsia="宋体" w:cs="宋体"/>
                          <w:sz w:val="18"/>
                        </w:rPr>
                        <w:t>雷世潘</w:t>
                      </w:r>
                    </w:p>
                  </w:txbxContent>
                </v:textbox>
              </v:rect>
            </w:pict>
          </mc:Fallback>
        </mc:AlternateContent>
      </w:r>
      <w:r>
        <mc:AlternateContent>
          <mc:Choice Requires="wps">
            <w:drawing>
              <wp:anchor distT="0" distB="0" distL="114300" distR="114300" simplePos="false" relativeHeight="10272528" behindDoc="false" locked="false" layoutInCell="true" allowOverlap="true">
                <wp:simplePos x="0" y="0"/>
                <wp:positionH relativeFrom="page">
                  <wp:posOffset>3911600</wp:posOffset>
                </wp:positionH>
                <wp:positionV relativeFrom="page">
                  <wp:posOffset>1943100</wp:posOffset>
                </wp:positionV>
                <wp:extent cx="762000" cy="304800"/>
                <wp:effectExtent l="0" t="0" r="22225" b="31115"/>
                <wp:wrapNone/>
                <wp:docPr id="3563" name="shape3563"/>
                <wp:cNvGraphicFramePr/>
                <a:graphic>
                  <a:graphicData uri="http://schemas.microsoft.com/office/word/2010/wordprocessingShape">
                    <wps:wsp>
                      <wps:cNvSpPr/>
                      <wps:spPr>
                        <a:xfrm>
                          <a:off x="0" y="0"/>
                          <a:ext cx="762000" cy="304800"/>
                        </a:xfrm>
                        <a:prstGeom prst="rect">
                          <a:avLst/>
                        </a:prstGeom>
                        <a:ln>
                          <a:solidFill>
                            <a:srgbClr val="7f7f7f"/>
                          </a:solidFill>
                        </a:ln>
                      </wps:spPr>
                      <wps:txbx>
                        <w:txbxContent>
                          <w:p>
                            <w:pPr>
                              <w:spacing w:line="-320" w:lineRule="exact"/>
                              <w:ind w:left="320"/>
                              <w:jc w:val="both"/>
                            </w:pPr>
                            <w:r>
                              <w:rPr>
                                <w:rFonts w:hint="eastAsia" w:ascii="宋体" w:hAnsi="宋体" w:eastAsia="宋体" w:cs="宋体"/>
                                <w:sz w:val="18"/>
                              </w:rPr>
                              <w:t>赵伟</w:t>
                            </w:r>
                          </w:p>
                        </w:txbxContent>
                      </wps:txbx>
                      <wps:bodyPr rot="0" spcFirstLastPara="false" vertOverflow="overflow" horzOverflow="overflow" vert="horz" wrap="square" lIns="2667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0pt;height:24pt;margin-left:308pt;margin-top:153pt;mso-wrap-style:square;z-index:10272528;mso-wrap-distance-left:9pt;mso-wrap-distance-top:0pt;mso-wrap-distance-right:9pt;mso-wrap-distance-bottom:0pt" id="shape3563" o:spid="1618382345963" stroked="t" strokecolor="#7f7f7f" strokeweight="1pt">
                <v:textbox>
                  <w:txbxContent>
                    <w:p>
                      <w:pPr>
                        <w:spacing w:line="-320" w:lineRule="exact"/>
                        <w:ind w:left="320"/>
                        <w:jc w:val="both"/>
                      </w:pPr>
                      <w:r>
                        <w:rPr>
                          <w:rFonts w:hint="eastAsia" w:ascii="宋体" w:hAnsi="宋体" w:eastAsia="宋体" w:cs="宋体"/>
                          <w:sz w:val="18"/>
                        </w:rPr>
                        <w:t>赵伟</w:t>
                      </w:r>
                    </w:p>
                  </w:txbxContent>
                </v:textbox>
              </v:rect>
            </w:pict>
          </mc:Fallback>
        </mc:AlternateContent>
      </w:r>
      <w:r>
        <mc:AlternateContent>
          <mc:Choice Requires="wps">
            <w:drawing>
              <wp:anchor distT="0" distB="0" distL="114300" distR="114300" simplePos="false" relativeHeight="10269456" behindDoc="false" locked="false" layoutInCell="true" allowOverlap="true">
                <wp:simplePos x="0" y="0"/>
                <wp:positionH relativeFrom="page">
                  <wp:posOffset>2070100</wp:posOffset>
                </wp:positionH>
                <wp:positionV relativeFrom="page">
                  <wp:posOffset>1943100</wp:posOffset>
                </wp:positionV>
                <wp:extent cx="787400" cy="304800"/>
                <wp:effectExtent l="0" t="0" r="22225" b="31115"/>
                <wp:wrapNone/>
                <wp:docPr id="3560" name="shape3560"/>
                <wp:cNvGraphicFramePr/>
                <a:graphic>
                  <a:graphicData uri="http://schemas.microsoft.com/office/word/2010/wordprocessingShape">
                    <wps:wsp>
                      <wps:cNvSpPr/>
                      <wps:spPr>
                        <a:xfrm>
                          <a:off x="0" y="0"/>
                          <a:ext cx="787400" cy="304800"/>
                        </a:xfrm>
                        <a:prstGeom prst="rect">
                          <a:avLst/>
                        </a:prstGeom>
                        <a:ln>
                          <a:solidFill>
                            <a:srgbClr val="7f7f7f"/>
                          </a:solidFill>
                        </a:ln>
                      </wps:spPr>
                      <wps:txbx>
                        <w:txbxContent>
                          <w:p>
                            <w:pPr>
                              <w:spacing w:line="-320" w:lineRule="exact"/>
                              <w:ind w:left="140"/>
                              <w:jc w:val="both"/>
                            </w:pPr>
                            <w:r>
                              <w:rPr>
                                <w:rFonts w:hint="eastAsia" w:ascii="宋体" w:hAnsi="宋体" w:eastAsia="宋体" w:cs="宋体"/>
                                <w:sz w:val="18"/>
                              </w:rPr>
                              <w:t>金石投资</w:t>
                            </w:r>
                          </w:p>
                        </w:txbxContent>
                      </wps:txbx>
                      <wps:bodyPr rot="0" spcFirstLastPara="false" vertOverflow="overflow" horzOverflow="overflow" vert="horz" wrap="square" lIns="1524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4pt;margin-left:163pt;margin-top:153pt;mso-wrap-style:square;z-index:10269456;mso-wrap-distance-left:9pt;mso-wrap-distance-top:0pt;mso-wrap-distance-right:9pt;mso-wrap-distance-bottom:0pt" id="shape3560" o:spid="1618382345964" stroked="t" strokecolor="#7f7f7f" strokeweight="1pt">
                <v:textbox>
                  <w:txbxContent>
                    <w:p>
                      <w:pPr>
                        <w:spacing w:line="-320" w:lineRule="exact"/>
                        <w:ind w:left="140"/>
                        <w:jc w:val="both"/>
                      </w:pPr>
                      <w:r>
                        <w:rPr>
                          <w:rFonts w:hint="eastAsia" w:ascii="宋体" w:hAnsi="宋体" w:eastAsia="宋体" w:cs="宋体"/>
                          <w:sz w:val="18"/>
                        </w:rPr>
                        <w:t>金石投资</w:t>
                      </w:r>
                    </w:p>
                  </w:txbxContent>
                </v:textbox>
              </v:rect>
            </w:pict>
          </mc:Fallback>
        </mc:AlternateContent>
      </w:r>
      <w:r>
        <mc:AlternateContent>
          <mc:Choice Requires="wps">
            <w:drawing>
              <wp:anchor distT="0" distB="0" distL="114300" distR="114300" simplePos="false" relativeHeight="10266384" behindDoc="false" locked="false" layoutInCell="true" allowOverlap="true">
                <wp:simplePos x="0" y="0"/>
                <wp:positionH relativeFrom="page">
                  <wp:posOffset>1181100</wp:posOffset>
                </wp:positionH>
                <wp:positionV relativeFrom="page">
                  <wp:posOffset>1943100</wp:posOffset>
                </wp:positionV>
                <wp:extent cx="762000" cy="292100"/>
                <wp:effectExtent l="0" t="0" r="22225" b="31115"/>
                <wp:wrapNone/>
                <wp:docPr id="3557" name="shape3557"/>
                <wp:cNvGraphicFramePr/>
                <a:graphic>
                  <a:graphicData uri="http://schemas.microsoft.com/office/word/2010/wordprocessingShape">
                    <wps:wsp>
                      <wps:cNvSpPr/>
                      <wps:spPr>
                        <a:xfrm>
                          <a:off x="0" y="0"/>
                          <a:ext cx="762000" cy="292100"/>
                        </a:xfrm>
                        <a:prstGeom prst="rect">
                          <a:avLst/>
                        </a:prstGeom>
                        <a:ln>
                          <a:solidFill>
                            <a:srgbClr val="7f7f7f"/>
                          </a:solidFill>
                        </a:ln>
                      </wps:spPr>
                      <wps:txbx>
                        <w:txbxContent>
                          <w:p>
                            <w:pPr>
                              <w:spacing w:line="-320" w:lineRule="exact"/>
                              <w:ind w:left="220"/>
                              <w:jc w:val="both"/>
                            </w:pPr>
                            <w:r>
                              <w:rPr>
                                <w:rFonts w:hint="eastAsia" w:ascii="宋体" w:hAnsi="宋体" w:eastAsia="宋体" w:cs="宋体"/>
                                <w:sz w:val="18"/>
                              </w:rPr>
                              <w:t>严孟宇</w:t>
                            </w:r>
                          </w:p>
                        </w:txbxContent>
                      </wps:txbx>
                      <wps:bodyPr rot="0" spcFirstLastPara="false" vertOverflow="overflow" horzOverflow="overflow" vert="horz" wrap="square" lIns="2032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0pt;height:23pt;margin-left:93pt;margin-top:153pt;mso-wrap-style:square;z-index:10266384;mso-wrap-distance-left:9pt;mso-wrap-distance-top:0pt;mso-wrap-distance-right:9pt;mso-wrap-distance-bottom:0pt" id="shape3557" o:spid="1618382345964" stroked="t" strokecolor="#7f7f7f" strokeweight="1pt">
                <v:textbox>
                  <w:txbxContent>
                    <w:p>
                      <w:pPr>
                        <w:spacing w:line="-320" w:lineRule="exact"/>
                        <w:ind w:left="220"/>
                        <w:jc w:val="both"/>
                      </w:pPr>
                      <w:r>
                        <w:rPr>
                          <w:rFonts w:hint="eastAsia" w:ascii="宋体" w:hAnsi="宋体" w:eastAsia="宋体" w:cs="宋体"/>
                          <w:sz w:val="18"/>
                        </w:rPr>
                        <w:t>严孟宇</w:t>
                      </w:r>
                    </w:p>
                  </w:txbxContent>
                </v:textbox>
              </v:rect>
            </w:pict>
          </mc:Fallback>
        </mc:AlternateContent>
      </w:r>
      <w:r>
        <mc:AlternateContent>
          <mc:Choice Requires="wps">
            <w:drawing>
              <wp:anchor distT="0" distB="0" distL="114300" distR="114300" simplePos="false" relativeHeight="10263312" behindDoc="false" locked="false" layoutInCell="true" allowOverlap="true">
                <wp:simplePos x="0" y="0"/>
                <wp:positionH relativeFrom="page">
                  <wp:posOffset>2971800</wp:posOffset>
                </wp:positionH>
                <wp:positionV relativeFrom="page">
                  <wp:posOffset>1943100</wp:posOffset>
                </wp:positionV>
                <wp:extent cx="825500" cy="304800"/>
                <wp:effectExtent l="0" t="0" r="22225" b="31115"/>
                <wp:wrapNone/>
                <wp:docPr id="3554" name="shape3554"/>
                <wp:cNvGraphicFramePr/>
                <a:graphic>
                  <a:graphicData uri="http://schemas.microsoft.com/office/word/2010/wordprocessingShape">
                    <wps:wsp>
                      <wps:cNvSpPr/>
                      <wps:spPr>
                        <a:xfrm>
                          <a:off x="0" y="0"/>
                          <a:ext cx="825500" cy="304800"/>
                        </a:xfrm>
                        <a:prstGeom prst="rect">
                          <a:avLst/>
                        </a:prstGeom>
                        <a:ln>
                          <a:solidFill>
                            <a:srgbClr val="7f7f7f"/>
                          </a:solidFill>
                        </a:ln>
                      </wps:spPr>
                      <wps:txbx>
                        <w:txbxContent>
                          <w:p>
                            <w:pPr>
                              <w:spacing w:line="-320" w:lineRule="exact"/>
                              <w:ind w:left="280"/>
                              <w:jc w:val="both"/>
                            </w:pPr>
                            <w:r>
                              <w:rPr>
                                <w:rFonts w:hint="eastAsia" w:ascii="宋体" w:hAnsi="宋体" w:eastAsia="宋体" w:cs="宋体"/>
                                <w:sz w:val="18"/>
                              </w:rPr>
                              <w:t>爱派克</w:t>
                            </w:r>
                          </w:p>
                        </w:txbxContent>
                      </wps:txbx>
                      <wps:bodyPr rot="0" spcFirstLastPara="false" vertOverflow="overflow" horzOverflow="overflow" vert="horz" wrap="square" lIns="2413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24pt;margin-left:234pt;margin-top:153pt;mso-wrap-style:square;z-index:10263312;mso-wrap-distance-left:9pt;mso-wrap-distance-top:0pt;mso-wrap-distance-right:9pt;mso-wrap-distance-bottom:0pt" id="shape3554" o:spid="1618382345965" stroked="t" strokecolor="#7f7f7f" strokeweight="1pt">
                <v:textbox>
                  <w:txbxContent>
                    <w:p>
                      <w:pPr>
                        <w:spacing w:line="-320" w:lineRule="exact"/>
                        <w:ind w:left="280"/>
                        <w:jc w:val="both"/>
                      </w:pPr>
                      <w:r>
                        <w:rPr>
                          <w:rFonts w:hint="eastAsia" w:ascii="宋体" w:hAnsi="宋体" w:eastAsia="宋体" w:cs="宋体"/>
                          <w:sz w:val="18"/>
                        </w:rPr>
                        <w:t>爱派克</w:t>
                      </w:r>
                    </w:p>
                  </w:txbxContent>
                </v:textbox>
              </v:rect>
            </w:pict>
          </mc:Fallback>
        </mc:AlternateContent>
      </w:r>
      <w:r>
        <mc:AlternateContent>
          <mc:Choice Requires="wps">
            <w:drawing>
              <wp:anchor distT="0" distB="0" distL="114300" distR="114300" simplePos="false" relativeHeight="10260240" behindDoc="false" locked="false" layoutInCell="true" allowOverlap="true">
                <wp:simplePos x="0" y="0"/>
                <wp:positionH relativeFrom="page">
                  <wp:posOffset>3886200</wp:posOffset>
                </wp:positionH>
                <wp:positionV relativeFrom="page">
                  <wp:posOffset>1219200</wp:posOffset>
                </wp:positionV>
                <wp:extent cx="1016000" cy="304800"/>
                <wp:effectExtent l="0" t="0" r="22225" b="31115"/>
                <wp:wrapNone/>
                <wp:docPr id="3551" name="shape3551"/>
                <wp:cNvGraphicFramePr/>
                <a:graphic>
                  <a:graphicData uri="http://schemas.microsoft.com/office/word/2010/wordprocessingShape">
                    <wps:wsp>
                      <wps:cNvSpPr/>
                      <wps:spPr>
                        <a:xfrm>
                          <a:off x="0" y="0"/>
                          <a:ext cx="1016000" cy="304800"/>
                        </a:xfrm>
                        <a:prstGeom prst="rect">
                          <a:avLst/>
                        </a:prstGeom>
                        <a:ln>
                          <a:solidFill>
                            <a:srgbClr val="7f7f7f"/>
                          </a:solidFill>
                        </a:ln>
                      </wps:spPr>
                      <wps:txbx>
                        <w:txbxContent>
                          <w:p>
                            <w:pPr>
                              <w:spacing w:line="-320" w:lineRule="exact"/>
                              <w:ind w:left="100"/>
                              <w:jc w:val="both"/>
                            </w:pPr>
                            <w:r>
                              <w:rPr>
                                <w:rFonts w:hint="eastAsia" w:ascii="宋体" w:hAnsi="宋体" w:eastAsia="宋体" w:cs="宋体"/>
                                <w:sz w:val="18"/>
                              </w:rPr>
                              <w:t>唐顺正等</w:t>
                            </w:r>
                            <w:r>
                              <w:rPr>
                                <w:rFonts w:hint="eastAsia" w:ascii="Times New Roman" w:hAnsi="Times New Roman" w:eastAsia="Times New Roman" w:cs="Times New Roman"/>
                                <w:sz w:val="18"/>
                              </w:rPr>
                              <w:t xml:space="preserve"> 14</w:t>
                            </w:r>
                            <w:r>
                              <w:rPr>
                                <w:rFonts w:hint="eastAsia" w:ascii="宋体" w:hAnsi="宋体" w:eastAsia="宋体" w:cs="宋体"/>
                                <w:sz w:val="18"/>
                              </w:rPr>
                              <w:t xml:space="preserve"> 人</w:t>
                            </w:r>
                          </w:p>
                        </w:txbxContent>
                      </wps:txbx>
                      <wps:bodyPr rot="0" spcFirstLastPara="false" vertOverflow="overflow" horzOverflow="overflow" vert="horz" wrap="square" lIns="1270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0pt;height:24pt;margin-left:306pt;margin-top:96pt;mso-wrap-style:square;z-index:10260240;mso-wrap-distance-left:9pt;mso-wrap-distance-top:0pt;mso-wrap-distance-right:9pt;mso-wrap-distance-bottom:0pt" id="shape3551" o:spid="1618382345965" stroked="t" strokecolor="#7f7f7f" strokeweight="1pt">
                <v:textbox>
                  <w:txbxContent>
                    <w:p>
                      <w:pPr>
                        <w:spacing w:line="-320" w:lineRule="exact"/>
                        <w:ind w:left="100"/>
                        <w:jc w:val="both"/>
                      </w:pPr>
                      <w:r>
                        <w:rPr>
                          <w:rFonts w:hint="eastAsia" w:ascii="宋体" w:hAnsi="宋体" w:eastAsia="宋体" w:cs="宋体"/>
                          <w:sz w:val="18"/>
                        </w:rPr>
                        <w:t>唐顺正等</w:t>
                      </w:r>
                      <w:r>
                        <w:rPr>
                          <w:rFonts w:hint="eastAsia" w:ascii="Times New Roman" w:hAnsi="Times New Roman" w:eastAsia="Times New Roman" w:cs="Times New Roman"/>
                          <w:sz w:val="18"/>
                        </w:rPr>
                        <w:t xml:space="preserve"> 14</w:t>
                      </w:r>
                      <w:r>
                        <w:rPr>
                          <w:rFonts w:hint="eastAsia" w:ascii="宋体" w:hAnsi="宋体" w:eastAsia="宋体" w:cs="宋体"/>
                          <w:sz w:val="18"/>
                        </w:rPr>
                        <w:t xml:space="preserve"> 人</w:t>
                      </w:r>
                    </w:p>
                  </w:txbxContent>
                </v:textbox>
              </v:rect>
            </w:pict>
          </mc:Fallback>
        </mc:AlternateContent>
      </w:r>
      <w:r>
        <mc:AlternateContent>
          <mc:Choice Requires="wps">
            <w:drawing>
              <wp:anchor distT="0" distB="0" distL="114300" distR="114300" simplePos="false" relativeHeight="10257168" behindDoc="false" locked="false" layoutInCell="true" allowOverlap="true">
                <wp:simplePos x="0" y="0"/>
                <wp:positionH relativeFrom="page">
                  <wp:posOffset>2984500</wp:posOffset>
                </wp:positionH>
                <wp:positionV relativeFrom="page">
                  <wp:posOffset>1219200</wp:posOffset>
                </wp:positionV>
                <wp:extent cx="800100" cy="304800"/>
                <wp:effectExtent l="0" t="0" r="22225" b="31115"/>
                <wp:wrapNone/>
                <wp:docPr id="3548" name="shape3548"/>
                <wp:cNvGraphicFramePr/>
                <a:graphic>
                  <a:graphicData uri="http://schemas.microsoft.com/office/word/2010/wordprocessingShape">
                    <wps:wsp>
                      <wps:cNvSpPr/>
                      <wps:spPr>
                        <a:xfrm>
                          <a:off x="0" y="0"/>
                          <a:ext cx="800100" cy="304800"/>
                        </a:xfrm>
                        <a:prstGeom prst="rect">
                          <a:avLst/>
                        </a:prstGeom>
                        <a:ln>
                          <a:solidFill>
                            <a:srgbClr val="7f7f7f"/>
                          </a:solidFill>
                        </a:ln>
                      </wps:spPr>
                      <wps:txbx>
                        <w:txbxContent>
                          <w:p>
                            <w:pPr>
                              <w:spacing w:line="-320" w:lineRule="exact"/>
                              <w:ind w:left="240"/>
                              <w:jc w:val="both"/>
                            </w:pPr>
                            <w:r>
                              <w:rPr>
                                <w:rFonts w:hint="eastAsia" w:ascii="宋体" w:hAnsi="宋体" w:eastAsia="宋体" w:cs="宋体"/>
                                <w:sz w:val="18"/>
                              </w:rPr>
                              <w:t>黄义青</w:t>
                            </w:r>
                          </w:p>
                        </w:txbxContent>
                      </wps:txbx>
                      <wps:bodyPr rot="0" spcFirstLastPara="false" vertOverflow="overflow" horzOverflow="overflow" vert="horz" wrap="square" lIns="2159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3pt;height:24pt;margin-left:235pt;margin-top:96pt;mso-wrap-style:square;z-index:10257168;mso-wrap-distance-left:9pt;mso-wrap-distance-top:0pt;mso-wrap-distance-right:9pt;mso-wrap-distance-bottom:0pt" id="shape3548" o:spid="1618382345966" stroked="t" strokecolor="#7f7f7f" strokeweight="1pt">
                <v:textbox>
                  <w:txbxContent>
                    <w:p>
                      <w:pPr>
                        <w:spacing w:line="-320" w:lineRule="exact"/>
                        <w:ind w:left="240"/>
                        <w:jc w:val="both"/>
                      </w:pPr>
                      <w:r>
                        <w:rPr>
                          <w:rFonts w:hint="eastAsia" w:ascii="宋体" w:hAnsi="宋体" w:eastAsia="宋体" w:cs="宋体"/>
                          <w:sz w:val="18"/>
                        </w:rPr>
                        <w:t>黄义青</w:t>
                      </w:r>
                    </w:p>
                  </w:txbxContent>
                </v:textbox>
              </v:rect>
            </w:pict>
          </mc:Fallback>
        </mc:AlternateContent>
      </w:r>
      <w:r>
        <mc:AlternateContent>
          <mc:Choice Requires="wps">
            <w:drawing>
              <wp:anchor distT="0" distB="0" distL="114300" distR="114300" simplePos="false" relativeHeight="10254096" behindDoc="false" locked="false" layoutInCell="true" allowOverlap="true">
                <wp:simplePos x="0" y="0"/>
                <wp:positionH relativeFrom="page">
                  <wp:posOffset>2070100</wp:posOffset>
                </wp:positionH>
                <wp:positionV relativeFrom="page">
                  <wp:posOffset>1231900</wp:posOffset>
                </wp:positionV>
                <wp:extent cx="787400" cy="292100"/>
                <wp:effectExtent l="0" t="0" r="22225" b="31115"/>
                <wp:wrapNone/>
                <wp:docPr id="3545" name="shape3545"/>
                <wp:cNvGraphicFramePr/>
                <a:graphic>
                  <a:graphicData uri="http://schemas.microsoft.com/office/word/2010/wordprocessingShape">
                    <wps:wsp>
                      <wps:cNvSpPr/>
                      <wps:spPr>
                        <a:xfrm>
                          <a:off x="0" y="0"/>
                          <a:ext cx="787400" cy="292100"/>
                        </a:xfrm>
                        <a:prstGeom prst="rect">
                          <a:avLst/>
                        </a:prstGeom>
                        <a:ln>
                          <a:solidFill>
                            <a:srgbClr val="7f7f7f"/>
                          </a:solidFill>
                        </a:ln>
                      </wps:spPr>
                      <wps:txbx>
                        <w:txbxContent>
                          <w:p>
                            <w:pPr>
                              <w:spacing w:line="-320" w:lineRule="exact"/>
                              <w:ind w:left="240"/>
                              <w:jc w:val="both"/>
                            </w:pPr>
                            <w:r>
                              <w:rPr>
                                <w:rFonts w:hint="eastAsia" w:ascii="宋体" w:hAnsi="宋体" w:eastAsia="宋体" w:cs="宋体"/>
                                <w:sz w:val="18"/>
                              </w:rPr>
                              <w:t>林永正</w:t>
                            </w:r>
                          </w:p>
                        </w:txbxContent>
                      </wps:txbx>
                      <wps:bodyPr rot="0" spcFirstLastPara="false" vertOverflow="overflow" horzOverflow="overflow" vert="horz" wrap="square" lIns="2159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3pt;margin-left:163pt;margin-top:97pt;mso-wrap-style:square;z-index:10254096;mso-wrap-distance-left:9pt;mso-wrap-distance-top:0pt;mso-wrap-distance-right:9pt;mso-wrap-distance-bottom:0pt" id="shape3545" o:spid="1618382345966" stroked="t" strokecolor="#7f7f7f" strokeweight="1pt">
                <v:textbox>
                  <w:txbxContent>
                    <w:p>
                      <w:pPr>
                        <w:spacing w:line="-320" w:lineRule="exact"/>
                        <w:ind w:left="240"/>
                        <w:jc w:val="both"/>
                      </w:pPr>
                      <w:r>
                        <w:rPr>
                          <w:rFonts w:hint="eastAsia" w:ascii="宋体" w:hAnsi="宋体" w:eastAsia="宋体" w:cs="宋体"/>
                          <w:sz w:val="18"/>
                        </w:rPr>
                        <w:t>林永正</w:t>
                      </w:r>
                    </w:p>
                  </w:txbxContent>
                </v:textbox>
              </v:rect>
            </w:pict>
          </mc:Fallback>
        </mc:AlternateContent>
      </w:r>
      <w:r>
        <mc:AlternateContent>
          <mc:Choice Requires="wps">
            <w:drawing>
              <wp:anchor distT="0" distB="0" distL="114300" distR="114300" simplePos="false" relativeHeight="10320656" behindDoc="false" locked="false" layoutInCell="true" allowOverlap="true">
                <wp:simplePos x="0" y="0"/>
                <wp:positionH relativeFrom="page">
                  <wp:posOffset>2197100</wp:posOffset>
                </wp:positionH>
                <wp:positionV relativeFrom="page">
                  <wp:posOffset>3365500</wp:posOffset>
                </wp:positionV>
                <wp:extent cx="1638300" cy="152400"/>
                <wp:effectExtent l="0" t="0" r="22225" b="31115"/>
                <wp:wrapNone/>
                <wp:docPr id="3608" name="shape3608"/>
                <wp:cNvGraphicFramePr/>
                <a:graphic>
                  <a:graphicData uri="http://schemas.microsoft.com/office/word/2010/wordprocessingShape">
                    <wps:wsp>
                      <wps:cNvSpPr/>
                      <wps:spPr>
                        <a:xfrm>
                          <a:off x="0" y="0"/>
                          <a:ext cx="1638300" cy="152400"/>
                        </a:xfrm>
                        <a:prstGeom prst="rect">
                          <a:avLst/>
                        </a:prstGeom>
                      </wps:spPr>
                      <wps:txbx>
                        <w:txbxContent>
                          <w:p>
                            <w:pPr>
                              <w:tabs>
                                <w:tab w:val="left" w:pos="1160"/>
                                <w:tab w:val="left" w:pos="2180"/>
                              </w:tabs>
                              <w:spacing w:line="-140" w:lineRule="exact"/>
                              <w:ind w:left="0"/>
                              <w:jc w:val="both"/>
                            </w:pPr>
                            <w:r>
                              <w:rPr>
                                <w:rFonts w:hint="eastAsia" w:ascii="Times New Roman" w:hAnsi="Times New Roman" w:eastAsia="Times New Roman" w:cs="Times New Roman"/>
                                <w:sz w:val="16"/>
                              </w:rPr>
                              <w:t>100%</w:t>
                            </w:r>
                            <w:r>
                              <w:tab/>
                            </w:r>
                            <w:r>
                              <w:rPr>
                                <w:rFonts w:hint="eastAsia" w:ascii="Times New Roman" w:hAnsi="Times New Roman" w:eastAsia="Times New Roman" w:cs="Times New Roman"/>
                                <w:sz w:val="16"/>
                              </w:rPr>
                              <w:t>90%</w:t>
                            </w:r>
                            <w:r>
                              <w:tab/>
                            </w:r>
                            <w:r>
                              <w:rPr>
                                <w:rFonts w:hint="eastAsia" w:ascii="Times New Roman" w:hAnsi="Times New Roman" w:eastAsia="Times New Roman" w:cs="Times New Roman"/>
                                <w:sz w:val="16"/>
                              </w:rPr>
                              <w:t>95%</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29pt;height:12pt;margin-left:173pt;margin-top:265pt;mso-wrap-style:none;z-index:10320656;mso-wrap-distance-left:9pt;mso-wrap-distance-top:0pt;mso-wrap-distance-right:9pt;mso-wrap-distance-bottom:0pt" id="shape3608" o:spid="1618382345967" stroked="f">
                <v:textbox>
                  <w:txbxContent>
                    <w:p>
                      <w:pPr>
                        <w:tabs>
                          <w:tab w:val="left" w:pos="1160"/>
                          <w:tab w:val="left" w:pos="2180"/>
                        </w:tabs>
                        <w:spacing w:line="-140" w:lineRule="exact"/>
                        <w:ind w:left="0"/>
                        <w:jc w:val="both"/>
                      </w:pPr>
                      <w:r>
                        <w:rPr>
                          <w:rFonts w:hint="eastAsia" w:ascii="Times New Roman" w:hAnsi="Times New Roman" w:eastAsia="Times New Roman" w:cs="Times New Roman"/>
                          <w:sz w:val="16"/>
                        </w:rPr>
                        <w:t>100%</w:t>
                      </w:r>
                      <w:r>
                        <w:tab/>
                      </w:r>
                      <w:r>
                        <w:rPr>
                          <w:rFonts w:hint="eastAsia" w:ascii="Times New Roman" w:hAnsi="Times New Roman" w:eastAsia="Times New Roman" w:cs="Times New Roman"/>
                          <w:sz w:val="16"/>
                        </w:rPr>
                        <w:t>90%</w:t>
                      </w:r>
                      <w:r>
                        <w:tab/>
                      </w:r>
                      <w:r>
                        <w:rPr>
                          <w:rFonts w:hint="eastAsia" w:ascii="Times New Roman" w:hAnsi="Times New Roman" w:eastAsia="Times New Roman" w:cs="Times New Roman"/>
                          <w:sz w:val="16"/>
                        </w:rPr>
                        <w:t>95%</w:t>
                      </w:r>
                    </w:p>
                  </w:txbxContent>
                </v:textbox>
              </v:rect>
            </w:pict>
          </mc:Fallback>
        </mc:AlternateContent>
      </w:r>
      <w:r>
        <mc:AlternateContent>
          <mc:Choice Requires="wps">
            <w:drawing>
              <wp:anchor distT="0" distB="0" distL="114300" distR="114300" simplePos="false" relativeHeight="10321680" behindDoc="false" locked="false" layoutInCell="true" allowOverlap="true">
                <wp:simplePos x="0" y="0"/>
                <wp:positionH relativeFrom="page">
                  <wp:posOffset>2997200</wp:posOffset>
                </wp:positionH>
                <wp:positionV relativeFrom="page">
                  <wp:posOffset>4686300</wp:posOffset>
                </wp:positionV>
                <wp:extent cx="266700" cy="152400"/>
                <wp:effectExtent l="0" t="0" r="22225" b="31115"/>
                <wp:wrapNone/>
                <wp:docPr id="3609" name="shape3609"/>
                <wp:cNvGraphicFramePr/>
                <a:graphic>
                  <a:graphicData uri="http://schemas.microsoft.com/office/word/2010/wordprocessingShape">
                    <wps:wsp>
                      <wps:cNvSpPr/>
                      <wps:spPr>
                        <a:xfrm>
                          <a:off x="0" y="0"/>
                          <a:ext cx="266700" cy="152400"/>
                        </a:xfrm>
                        <a:prstGeom prst="rect">
                          <a:avLst/>
                        </a:prstGeom>
                      </wps:spPr>
                      <wps:txbx>
                        <w:txbxContent>
                          <w:p>
                            <w:pPr>
                              <w:spacing w:line="-140" w:lineRule="exact"/>
                              <w:ind w:left="0"/>
                              <w:jc w:val="both"/>
                            </w:pPr>
                            <w:r>
                              <w:rPr>
                                <w:rFonts w:hint="eastAsia" w:ascii="Times New Roman" w:hAnsi="Times New Roman" w:eastAsia="Times New Roman" w:cs="Times New Roman"/>
                                <w:sz w:val="16"/>
                              </w:rPr>
                              <w:t>5%</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1pt;height:12pt;margin-left:236pt;margin-top:369pt;mso-wrap-style:none;z-index:10321680;mso-wrap-distance-left:9pt;mso-wrap-distance-top:0pt;mso-wrap-distance-right:9pt;mso-wrap-distance-bottom:0pt" id="shape3609" o:spid="1618382345968" stroked="f">
                <v:textbox>
                  <w:txbxContent>
                    <w:p>
                      <w:pPr>
                        <w:spacing w:line="-140" w:lineRule="exact"/>
                        <w:ind w:left="0"/>
                        <w:jc w:val="both"/>
                      </w:pPr>
                      <w:r>
                        <w:rPr>
                          <w:rFonts w:hint="eastAsia" w:ascii="Times New Roman" w:hAnsi="Times New Roman" w:eastAsia="Times New Roman" w:cs="Times New Roman"/>
                          <w:sz w:val="16"/>
                        </w:rPr>
                        <w:t>5%</w:t>
                      </w:r>
                    </w:p>
                  </w:txbxContent>
                </v:textbox>
              </v:rect>
            </w:pict>
          </mc:Fallback>
        </mc:AlternateContent>
      </w:r>
      <w:r>
        <mc:AlternateContent>
          <mc:Choice Requires="wps">
            <w:drawing>
              <wp:anchor distT="0" distB="0" distL="114300" distR="114300" simplePos="false" relativeHeight="10322704" behindDoc="false" locked="false" layoutInCell="true" allowOverlap="true">
                <wp:simplePos x="0" y="0"/>
                <wp:positionH relativeFrom="page">
                  <wp:posOffset>2273300</wp:posOffset>
                </wp:positionH>
                <wp:positionV relativeFrom="page">
                  <wp:posOffset>4572000</wp:posOffset>
                </wp:positionV>
                <wp:extent cx="317500" cy="152400"/>
                <wp:effectExtent l="0" t="0" r="22225" b="31115"/>
                <wp:wrapNone/>
                <wp:docPr id="3610" name="shape3610"/>
                <wp:cNvGraphicFramePr/>
                <a:graphic>
                  <a:graphicData uri="http://schemas.microsoft.com/office/word/2010/wordprocessingShape">
                    <wps:wsp>
                      <wps:cNvSpPr/>
                      <wps:spPr>
                        <a:xfrm>
                          <a:off x="0" y="0"/>
                          <a:ext cx="317500" cy="152400"/>
                        </a:xfrm>
                        <a:prstGeom prst="rect">
                          <a:avLst/>
                        </a:prstGeom>
                      </wps:spPr>
                      <wps:txbx>
                        <w:txbxContent>
                          <w:p>
                            <w:pPr>
                              <w:spacing w:line="-140" w:lineRule="exact"/>
                              <w:ind w:left="0"/>
                              <w:jc w:val="both"/>
                            </w:pPr>
                            <w:r>
                              <w:rPr>
                                <w:rFonts w:hint="eastAsia" w:ascii="Times New Roman" w:hAnsi="Times New Roman" w:eastAsia="Times New Roman" w:cs="Times New Roman"/>
                                <w:sz w:val="16"/>
                              </w:rPr>
                              <w:t>10%</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5pt;height:12pt;margin-left:179pt;margin-top:360pt;mso-wrap-style:none;z-index:10322704;mso-wrap-distance-left:9pt;mso-wrap-distance-top:0pt;mso-wrap-distance-right:9pt;mso-wrap-distance-bottom:0pt" id="shape3610" o:spid="1618382345968" stroked="f">
                <v:textbox>
                  <w:txbxContent>
                    <w:p>
                      <w:pPr>
                        <w:spacing w:line="-140" w:lineRule="exact"/>
                        <w:ind w:left="0"/>
                        <w:jc w:val="both"/>
                      </w:pPr>
                      <w:r>
                        <w:rPr>
                          <w:rFonts w:hint="eastAsia" w:ascii="Times New Roman" w:hAnsi="Times New Roman" w:eastAsia="Times New Roman" w:cs="Times New Roman"/>
                          <w:sz w:val="16"/>
                        </w:rPr>
                        <w:t>10%</w:t>
                      </w:r>
                    </w:p>
                  </w:txbxContent>
                </v:textbox>
              </v:rect>
            </w:pict>
          </mc:Fallback>
        </mc:AlternateContent>
      </w:r>
      <w:r>
        <w:drawing>
          <wp:anchor distT="0" distB="0" distL="114300" distR="114300" simplePos="false" relativeHeight="10253072" behindDoc="false" locked="false" layoutInCell="true" allowOverlap="true">
            <wp:simplePos x="0" y="0"/>
            <wp:positionH relativeFrom="page">
              <wp:posOffset>2070100</wp:posOffset>
            </wp:positionH>
            <wp:positionV relativeFrom="page">
              <wp:posOffset>1231900</wp:posOffset>
            </wp:positionV>
            <wp:extent cx="787400" cy="292100"/>
            <wp:effectExtent l="0" t="0" r="0" b="0"/>
            <wp:wrapNone/>
            <wp:docPr id="3611" name="image3611" descr=""/>
            <wp:cNvGraphicFramePr>
              <a:graphicFrameLocks noChangeAspect="true"/>
            </wp:cNvGraphicFramePr>
            <a:graphic>
              <a:graphicData uri="http://schemas.openxmlformats.org/drawingml/2006/picture">
                <pic:pic>
                  <pic:nvPicPr>
                    <pic:cNvPr id="3611" name="image3611"/>
                    <pic:cNvPicPr/>
                  </pic:nvPicPr>
                  <pic:blipFill>
                    <a:blip r:embed="rId6"/>
                    <a:stretch>
                      <a:fillRect/>
                    </a:stretch>
                  </pic:blipFill>
                  <pic:spPr>
                    <a:xfrm flipV="true">
                      <a:off x="0" y="0"/>
                      <a:ext cx="787400" cy="292100"/>
                    </a:xfrm>
                    <a:prstGeom prst="rect">
                      <a:avLst/>
                    </a:prstGeom>
                  </pic:spPr>
                </pic:pic>
              </a:graphicData>
            </a:graphic>
          </wp:anchor>
        </w:drawing>
      </w:r>
      <w:r>
        <w:drawing>
          <wp:anchor distT="0" distB="0" distL="114300" distR="114300" simplePos="false" relativeHeight="10256144" behindDoc="false" locked="false" layoutInCell="true" allowOverlap="true">
            <wp:simplePos x="0" y="0"/>
            <wp:positionH relativeFrom="page">
              <wp:posOffset>2984500</wp:posOffset>
            </wp:positionH>
            <wp:positionV relativeFrom="page">
              <wp:posOffset>1219200</wp:posOffset>
            </wp:positionV>
            <wp:extent cx="800100" cy="304800"/>
            <wp:effectExtent l="0" t="0" r="0" b="0"/>
            <wp:wrapNone/>
            <wp:docPr id="3612" name="image3612" descr=""/>
            <wp:cNvGraphicFramePr>
              <a:graphicFrameLocks noChangeAspect="true"/>
            </wp:cNvGraphicFramePr>
            <a:graphic>
              <a:graphicData uri="http://schemas.openxmlformats.org/drawingml/2006/picture">
                <pic:pic>
                  <pic:nvPicPr>
                    <pic:cNvPr id="3612" name="image3612"/>
                    <pic:cNvPicPr/>
                  </pic:nvPicPr>
                  <pic:blipFill>
                    <a:blip r:embed="rId7"/>
                    <a:stretch>
                      <a:fillRect/>
                    </a:stretch>
                  </pic:blipFill>
                  <pic:spPr>
                    <a:xfrm flipV="true">
                      <a:off x="0" y="0"/>
                      <a:ext cx="800100" cy="304800"/>
                    </a:xfrm>
                    <a:prstGeom prst="rect">
                      <a:avLst/>
                    </a:prstGeom>
                  </pic:spPr>
                </pic:pic>
              </a:graphicData>
            </a:graphic>
          </wp:anchor>
        </w:drawing>
      </w:r>
      <w:r>
        <w:drawing>
          <wp:anchor distT="0" distB="0" distL="114300" distR="114300" simplePos="false" relativeHeight="10259216" behindDoc="false" locked="false" layoutInCell="true" allowOverlap="true">
            <wp:simplePos x="0" y="0"/>
            <wp:positionH relativeFrom="page">
              <wp:posOffset>3886200</wp:posOffset>
            </wp:positionH>
            <wp:positionV relativeFrom="page">
              <wp:posOffset>1219200</wp:posOffset>
            </wp:positionV>
            <wp:extent cx="1016000" cy="304800"/>
            <wp:effectExtent l="0" t="0" r="0" b="0"/>
            <wp:wrapNone/>
            <wp:docPr id="3613" name="image3613" descr=""/>
            <wp:cNvGraphicFramePr>
              <a:graphicFrameLocks noChangeAspect="true"/>
            </wp:cNvGraphicFramePr>
            <a:graphic>
              <a:graphicData uri="http://schemas.openxmlformats.org/drawingml/2006/picture">
                <pic:pic>
                  <pic:nvPicPr>
                    <pic:cNvPr id="3613" name="image3613"/>
                    <pic:cNvPicPr/>
                  </pic:nvPicPr>
                  <pic:blipFill>
                    <a:blip r:embed="rId8"/>
                    <a:stretch>
                      <a:fillRect/>
                    </a:stretch>
                  </pic:blipFill>
                  <pic:spPr>
                    <a:xfrm flipV="true">
                      <a:off x="0" y="0"/>
                      <a:ext cx="1016000" cy="304800"/>
                    </a:xfrm>
                    <a:prstGeom prst="rect">
                      <a:avLst/>
                    </a:prstGeom>
                  </pic:spPr>
                </pic:pic>
              </a:graphicData>
            </a:graphic>
          </wp:anchor>
        </w:drawing>
      </w:r>
      <w:r>
        <w:drawing>
          <wp:anchor distT="0" distB="0" distL="114300" distR="114300" simplePos="false" relativeHeight="10262288" behindDoc="false" locked="false" layoutInCell="true" allowOverlap="true">
            <wp:simplePos x="0" y="0"/>
            <wp:positionH relativeFrom="page">
              <wp:posOffset>2971800</wp:posOffset>
            </wp:positionH>
            <wp:positionV relativeFrom="page">
              <wp:posOffset>1943100</wp:posOffset>
            </wp:positionV>
            <wp:extent cx="825500" cy="304800"/>
            <wp:effectExtent l="0" t="0" r="0" b="0"/>
            <wp:wrapNone/>
            <wp:docPr id="3614" name="image3614" descr=""/>
            <wp:cNvGraphicFramePr>
              <a:graphicFrameLocks noChangeAspect="true"/>
            </wp:cNvGraphicFramePr>
            <a:graphic>
              <a:graphicData uri="http://schemas.openxmlformats.org/drawingml/2006/picture">
                <pic:pic>
                  <pic:nvPicPr>
                    <pic:cNvPr id="3614" name="image3614"/>
                    <pic:cNvPicPr/>
                  </pic:nvPicPr>
                  <pic:blipFill>
                    <a:blip r:embed="rId9"/>
                    <a:stretch>
                      <a:fillRect/>
                    </a:stretch>
                  </pic:blipFill>
                  <pic:spPr>
                    <a:xfrm flipV="true">
                      <a:off x="0" y="0"/>
                      <a:ext cx="825500" cy="304800"/>
                    </a:xfrm>
                    <a:prstGeom prst="rect">
                      <a:avLst/>
                    </a:prstGeom>
                  </pic:spPr>
                </pic:pic>
              </a:graphicData>
            </a:graphic>
          </wp:anchor>
        </w:drawing>
      </w:r>
      <w:r>
        <w:drawing>
          <wp:anchor distT="0" distB="0" distL="114300" distR="114300" simplePos="false" relativeHeight="10265360" behindDoc="false" locked="false" layoutInCell="true" allowOverlap="true">
            <wp:simplePos x="0" y="0"/>
            <wp:positionH relativeFrom="page">
              <wp:posOffset>1181100</wp:posOffset>
            </wp:positionH>
            <wp:positionV relativeFrom="page">
              <wp:posOffset>1943100</wp:posOffset>
            </wp:positionV>
            <wp:extent cx="762000" cy="292100"/>
            <wp:effectExtent l="0" t="0" r="0" b="0"/>
            <wp:wrapNone/>
            <wp:docPr id="3615" name="image3615" descr=""/>
            <wp:cNvGraphicFramePr>
              <a:graphicFrameLocks noChangeAspect="true"/>
            </wp:cNvGraphicFramePr>
            <a:graphic>
              <a:graphicData uri="http://schemas.openxmlformats.org/drawingml/2006/picture">
                <pic:pic>
                  <pic:nvPicPr>
                    <pic:cNvPr id="3615" name="image3615"/>
                    <pic:cNvPicPr/>
                  </pic:nvPicPr>
                  <pic:blipFill>
                    <a:blip r:embed="rId10"/>
                    <a:stretch>
                      <a:fillRect/>
                    </a:stretch>
                  </pic:blipFill>
                  <pic:spPr>
                    <a:xfrm flipV="true">
                      <a:off x="0" y="0"/>
                      <a:ext cx="762000" cy="292100"/>
                    </a:xfrm>
                    <a:prstGeom prst="rect">
                      <a:avLst/>
                    </a:prstGeom>
                  </pic:spPr>
                </pic:pic>
              </a:graphicData>
            </a:graphic>
          </wp:anchor>
        </w:drawing>
      </w:r>
      <w:r>
        <w:drawing>
          <wp:anchor distT="0" distB="0" distL="114300" distR="114300" simplePos="false" relativeHeight="10268432" behindDoc="false" locked="false" layoutInCell="true" allowOverlap="true">
            <wp:simplePos x="0" y="0"/>
            <wp:positionH relativeFrom="page">
              <wp:posOffset>2070100</wp:posOffset>
            </wp:positionH>
            <wp:positionV relativeFrom="page">
              <wp:posOffset>1943100</wp:posOffset>
            </wp:positionV>
            <wp:extent cx="787400" cy="304800"/>
            <wp:effectExtent l="0" t="0" r="0" b="0"/>
            <wp:wrapNone/>
            <wp:docPr id="3616" name="image3616" descr=""/>
            <wp:cNvGraphicFramePr>
              <a:graphicFrameLocks noChangeAspect="true"/>
            </wp:cNvGraphicFramePr>
            <a:graphic>
              <a:graphicData uri="http://schemas.openxmlformats.org/drawingml/2006/picture">
                <pic:pic>
                  <pic:nvPicPr>
                    <pic:cNvPr id="3616" name="image3616"/>
                    <pic:cNvPicPr/>
                  </pic:nvPicPr>
                  <pic:blipFill>
                    <a:blip r:embed="rId11"/>
                    <a:stretch>
                      <a:fillRect/>
                    </a:stretch>
                  </pic:blipFill>
                  <pic:spPr>
                    <a:xfrm flipV="true">
                      <a:off x="0" y="0"/>
                      <a:ext cx="787400" cy="304800"/>
                    </a:xfrm>
                    <a:prstGeom prst="rect">
                      <a:avLst/>
                    </a:prstGeom>
                  </pic:spPr>
                </pic:pic>
              </a:graphicData>
            </a:graphic>
          </wp:anchor>
        </w:drawing>
      </w:r>
      <w:r>
        <w:drawing>
          <wp:anchor distT="0" distB="0" distL="114300" distR="114300" simplePos="false" relativeHeight="10271504" behindDoc="false" locked="false" layoutInCell="true" allowOverlap="true">
            <wp:simplePos x="0" y="0"/>
            <wp:positionH relativeFrom="page">
              <wp:posOffset>3911600</wp:posOffset>
            </wp:positionH>
            <wp:positionV relativeFrom="page">
              <wp:posOffset>1943100</wp:posOffset>
            </wp:positionV>
            <wp:extent cx="762000" cy="304800"/>
            <wp:effectExtent l="0" t="0" r="0" b="0"/>
            <wp:wrapNone/>
            <wp:docPr id="3617" name="image3617" descr=""/>
            <wp:cNvGraphicFramePr>
              <a:graphicFrameLocks noChangeAspect="true"/>
            </wp:cNvGraphicFramePr>
            <a:graphic>
              <a:graphicData uri="http://schemas.openxmlformats.org/drawingml/2006/picture">
                <pic:pic>
                  <pic:nvPicPr>
                    <pic:cNvPr id="3617" name="image3617"/>
                    <pic:cNvPicPr/>
                  </pic:nvPicPr>
                  <pic:blipFill>
                    <a:blip r:embed="rId12"/>
                    <a:stretch>
                      <a:fillRect/>
                    </a:stretch>
                  </pic:blipFill>
                  <pic:spPr>
                    <a:xfrm flipV="true">
                      <a:off x="0" y="0"/>
                      <a:ext cx="762000" cy="304800"/>
                    </a:xfrm>
                    <a:prstGeom prst="rect">
                      <a:avLst/>
                    </a:prstGeom>
                  </pic:spPr>
                </pic:pic>
              </a:graphicData>
            </a:graphic>
          </wp:anchor>
        </w:drawing>
      </w:r>
      <w:r>
        <w:drawing>
          <wp:anchor distT="0" distB="0" distL="114300" distR="114300" simplePos="false" relativeHeight="10274576" behindDoc="false" locked="false" layoutInCell="true" allowOverlap="true">
            <wp:simplePos x="0" y="0"/>
            <wp:positionH relativeFrom="page">
              <wp:posOffset>4787900</wp:posOffset>
            </wp:positionH>
            <wp:positionV relativeFrom="page">
              <wp:posOffset>1943100</wp:posOffset>
            </wp:positionV>
            <wp:extent cx="723900" cy="292100"/>
            <wp:effectExtent l="0" t="0" r="0" b="0"/>
            <wp:wrapNone/>
            <wp:docPr id="3618" name="image3618" descr=""/>
            <wp:cNvGraphicFramePr>
              <a:graphicFrameLocks noChangeAspect="true"/>
            </wp:cNvGraphicFramePr>
            <a:graphic>
              <a:graphicData uri="http://schemas.openxmlformats.org/drawingml/2006/picture">
                <pic:pic>
                  <pic:nvPicPr>
                    <pic:cNvPr id="3618" name="image3618"/>
                    <pic:cNvPicPr/>
                  </pic:nvPicPr>
                  <pic:blipFill>
                    <a:blip r:embed="rId13"/>
                    <a:stretch>
                      <a:fillRect/>
                    </a:stretch>
                  </pic:blipFill>
                  <pic:spPr>
                    <a:xfrm flipV="true">
                      <a:off x="0" y="0"/>
                      <a:ext cx="723900" cy="292100"/>
                    </a:xfrm>
                    <a:prstGeom prst="rect">
                      <a:avLst/>
                    </a:prstGeom>
                  </pic:spPr>
                </pic:pic>
              </a:graphicData>
            </a:graphic>
          </wp:anchor>
        </w:drawing>
      </w:r>
      <w:r>
        <w:drawing>
          <wp:anchor distT="0" distB="0" distL="114300" distR="114300" simplePos="false" relativeHeight="10277648" behindDoc="false" locked="false" layoutInCell="true" allowOverlap="true">
            <wp:simplePos x="0" y="0"/>
            <wp:positionH relativeFrom="page">
              <wp:posOffset>5613400</wp:posOffset>
            </wp:positionH>
            <wp:positionV relativeFrom="page">
              <wp:posOffset>1930400</wp:posOffset>
            </wp:positionV>
            <wp:extent cx="812800" cy="304800"/>
            <wp:effectExtent l="0" t="0" r="0" b="0"/>
            <wp:wrapNone/>
            <wp:docPr id="3619" name="image3619" descr=""/>
            <wp:cNvGraphicFramePr>
              <a:graphicFrameLocks noChangeAspect="true"/>
            </wp:cNvGraphicFramePr>
            <a:graphic>
              <a:graphicData uri="http://schemas.openxmlformats.org/drawingml/2006/picture">
                <pic:pic>
                  <pic:nvPicPr>
                    <pic:cNvPr id="3619" name="image3619"/>
                    <pic:cNvPicPr/>
                  </pic:nvPicPr>
                  <pic:blipFill>
                    <a:blip r:embed="rId14"/>
                    <a:stretch>
                      <a:fillRect/>
                    </a:stretch>
                  </pic:blipFill>
                  <pic:spPr>
                    <a:xfrm flipV="true">
                      <a:off x="0" y="0"/>
                      <a:ext cx="812800" cy="304800"/>
                    </a:xfrm>
                    <a:prstGeom prst="rect">
                      <a:avLst/>
                    </a:prstGeom>
                  </pic:spPr>
                </pic:pic>
              </a:graphicData>
            </a:graphic>
          </wp:anchor>
        </w:drawing>
      </w:r>
      <w:r>
        <w:drawing>
          <wp:anchor distT="0" distB="0" distL="114300" distR="114300" simplePos="false" relativeHeight="10283792" behindDoc="false" locked="false" layoutInCell="true" allowOverlap="true">
            <wp:simplePos x="0" y="0"/>
            <wp:positionH relativeFrom="page">
              <wp:posOffset>2628900</wp:posOffset>
            </wp:positionH>
            <wp:positionV relativeFrom="page">
              <wp:posOffset>2705100</wp:posOffset>
            </wp:positionV>
            <wp:extent cx="2324100" cy="304800"/>
            <wp:effectExtent l="0" t="0" r="0" b="0"/>
            <wp:wrapNone/>
            <wp:docPr id="3620" name="image3620" descr=""/>
            <wp:cNvGraphicFramePr>
              <a:graphicFrameLocks noChangeAspect="true"/>
            </wp:cNvGraphicFramePr>
            <a:graphic>
              <a:graphicData uri="http://schemas.openxmlformats.org/drawingml/2006/picture">
                <pic:pic>
                  <pic:nvPicPr>
                    <pic:cNvPr id="3620" name="image3620"/>
                    <pic:cNvPicPr/>
                  </pic:nvPicPr>
                  <pic:blipFill>
                    <a:blip r:embed="rId15"/>
                    <a:stretch>
                      <a:fillRect/>
                    </a:stretch>
                  </pic:blipFill>
                  <pic:spPr>
                    <a:xfrm flipV="true">
                      <a:off x="0" y="0"/>
                      <a:ext cx="2324100" cy="304800"/>
                    </a:xfrm>
                    <a:prstGeom prst="rect">
                      <a:avLst/>
                    </a:prstGeom>
                  </pic:spPr>
                </pic:pic>
              </a:graphicData>
            </a:graphic>
          </wp:anchor>
        </w:drawing>
      </w:r>
      <w:r>
        <w:drawing>
          <wp:anchor distT="0" distB="0" distL="114300" distR="114300" simplePos="false" relativeHeight="10286864" behindDoc="false" locked="false" layoutInCell="true" allowOverlap="true">
            <wp:simplePos x="0" y="0"/>
            <wp:positionH relativeFrom="page">
              <wp:posOffset>1981200</wp:posOffset>
            </wp:positionH>
            <wp:positionV relativeFrom="page">
              <wp:posOffset>3556000</wp:posOffset>
            </wp:positionV>
            <wp:extent cx="419100" cy="939800"/>
            <wp:effectExtent l="0" t="0" r="0" b="0"/>
            <wp:wrapNone/>
            <wp:docPr id="3621" name="image3621" descr=""/>
            <wp:cNvGraphicFramePr>
              <a:graphicFrameLocks noChangeAspect="true"/>
            </wp:cNvGraphicFramePr>
            <a:graphic>
              <a:graphicData uri="http://schemas.openxmlformats.org/drawingml/2006/picture">
                <pic:pic>
                  <pic:nvPicPr>
                    <pic:cNvPr id="3621" name="image3621"/>
                    <pic:cNvPicPr/>
                  </pic:nvPicPr>
                  <pic:blipFill>
                    <a:blip r:embed="rId16"/>
                    <a:stretch>
                      <a:fillRect/>
                    </a:stretch>
                  </pic:blipFill>
                  <pic:spPr>
                    <a:xfrm flipV="true">
                      <a:off x="0" y="0"/>
                      <a:ext cx="419100" cy="939800"/>
                    </a:xfrm>
                    <a:prstGeom prst="rect">
                      <a:avLst/>
                    </a:prstGeom>
                  </pic:spPr>
                </pic:pic>
              </a:graphicData>
            </a:graphic>
          </wp:anchor>
        </w:drawing>
      </w:r>
      <w:r>
        <w:drawing>
          <wp:anchor distT="0" distB="0" distL="114300" distR="114300" simplePos="false" relativeHeight="10296080" behindDoc="false" locked="false" layoutInCell="true" allowOverlap="true">
            <wp:simplePos x="0" y="0"/>
            <wp:positionH relativeFrom="page">
              <wp:posOffset>2641600</wp:posOffset>
            </wp:positionH>
            <wp:positionV relativeFrom="page">
              <wp:posOffset>3568700</wp:posOffset>
            </wp:positionV>
            <wp:extent cx="393700" cy="952500"/>
            <wp:effectExtent l="0" t="0" r="0" b="0"/>
            <wp:wrapNone/>
            <wp:docPr id="3622" name="image3622" descr=""/>
            <wp:cNvGraphicFramePr>
              <a:graphicFrameLocks noChangeAspect="true"/>
            </wp:cNvGraphicFramePr>
            <a:graphic>
              <a:graphicData uri="http://schemas.openxmlformats.org/drawingml/2006/picture">
                <pic:pic>
                  <pic:nvPicPr>
                    <pic:cNvPr id="3622" name="image3622"/>
                    <pic:cNvPicPr/>
                  </pic:nvPicPr>
                  <pic:blipFill>
                    <a:blip r:embed="rId17"/>
                    <a:stretch>
                      <a:fillRect/>
                    </a:stretch>
                  </pic:blipFill>
                  <pic:spPr>
                    <a:xfrm flipV="true">
                      <a:off x="0" y="0"/>
                      <a:ext cx="393700" cy="952500"/>
                    </a:xfrm>
                    <a:prstGeom prst="rect">
                      <a:avLst/>
                    </a:prstGeom>
                  </pic:spPr>
                </pic:pic>
              </a:graphicData>
            </a:graphic>
          </wp:anchor>
        </w:drawing>
      </w:r>
      <w:r>
        <w:drawing>
          <wp:anchor distT="0" distB="0" distL="114300" distR="114300" simplePos="false" relativeHeight="10299152" behindDoc="false" locked="false" layoutInCell="true" allowOverlap="true">
            <wp:simplePos x="0" y="0"/>
            <wp:positionH relativeFrom="page">
              <wp:posOffset>3289300</wp:posOffset>
            </wp:positionH>
            <wp:positionV relativeFrom="page">
              <wp:posOffset>3556000</wp:posOffset>
            </wp:positionV>
            <wp:extent cx="419100" cy="965200"/>
            <wp:effectExtent l="0" t="0" r="0" b="0"/>
            <wp:wrapNone/>
            <wp:docPr id="3623" name="image3623" descr=""/>
            <wp:cNvGraphicFramePr>
              <a:graphicFrameLocks noChangeAspect="true"/>
            </wp:cNvGraphicFramePr>
            <a:graphic>
              <a:graphicData uri="http://schemas.openxmlformats.org/drawingml/2006/picture">
                <pic:pic>
                  <pic:nvPicPr>
                    <pic:cNvPr id="3623" name="image3623"/>
                    <pic:cNvPicPr/>
                  </pic:nvPicPr>
                  <pic:blipFill>
                    <a:blip r:embed="rId18"/>
                    <a:stretch>
                      <a:fillRect/>
                    </a:stretch>
                  </pic:blipFill>
                  <pic:spPr>
                    <a:xfrm flipV="true">
                      <a:off x="0" y="0"/>
                      <a:ext cx="419100" cy="965200"/>
                    </a:xfrm>
                    <a:prstGeom prst="rect">
                      <a:avLst/>
                    </a:prstGeom>
                  </pic:spPr>
                </pic:pic>
              </a:graphicData>
            </a:graphic>
          </wp:anchor>
        </w:drawing>
      </w:r>
      <w:r>
        <w:drawing>
          <wp:anchor distT="0" distB="0" distL="114300" distR="114300" simplePos="false" relativeHeight="10302224" behindDoc="false" locked="false" layoutInCell="true" allowOverlap="true">
            <wp:simplePos x="0" y="0"/>
            <wp:positionH relativeFrom="page">
              <wp:posOffset>3949700</wp:posOffset>
            </wp:positionH>
            <wp:positionV relativeFrom="page">
              <wp:posOffset>3556000</wp:posOffset>
            </wp:positionV>
            <wp:extent cx="393700" cy="952500"/>
            <wp:effectExtent l="0" t="0" r="0" b="0"/>
            <wp:wrapNone/>
            <wp:docPr id="3624" name="image3624" descr=""/>
            <wp:cNvGraphicFramePr>
              <a:graphicFrameLocks noChangeAspect="true"/>
            </wp:cNvGraphicFramePr>
            <a:graphic>
              <a:graphicData uri="http://schemas.openxmlformats.org/drawingml/2006/picture">
                <pic:pic>
                  <pic:nvPicPr>
                    <pic:cNvPr id="3624" name="image3624"/>
                    <pic:cNvPicPr/>
                  </pic:nvPicPr>
                  <pic:blipFill>
                    <a:blip r:embed="rId19"/>
                    <a:stretch>
                      <a:fillRect/>
                    </a:stretch>
                  </pic:blipFill>
                  <pic:spPr>
                    <a:xfrm flipV="true">
                      <a:off x="0" y="0"/>
                      <a:ext cx="393700" cy="952500"/>
                    </a:xfrm>
                    <a:prstGeom prst="rect">
                      <a:avLst/>
                    </a:prstGeom>
                  </pic:spPr>
                </pic:pic>
              </a:graphicData>
            </a:graphic>
          </wp:anchor>
        </w:drawing>
      </w:r>
      <w:r>
        <w:drawing>
          <wp:anchor distT="0" distB="0" distL="114300" distR="114300" simplePos="false" relativeHeight="10305296" behindDoc="false" locked="false" layoutInCell="true" allowOverlap="true">
            <wp:simplePos x="0" y="0"/>
            <wp:positionH relativeFrom="page">
              <wp:posOffset>4597400</wp:posOffset>
            </wp:positionH>
            <wp:positionV relativeFrom="page">
              <wp:posOffset>3556000</wp:posOffset>
            </wp:positionV>
            <wp:extent cx="393700" cy="952500"/>
            <wp:effectExtent l="0" t="0" r="0" b="0"/>
            <wp:wrapNone/>
            <wp:docPr id="3625" name="image3625" descr=""/>
            <wp:cNvGraphicFramePr>
              <a:graphicFrameLocks noChangeAspect="true"/>
            </wp:cNvGraphicFramePr>
            <a:graphic>
              <a:graphicData uri="http://schemas.openxmlformats.org/drawingml/2006/picture">
                <pic:pic>
                  <pic:nvPicPr>
                    <pic:cNvPr id="3625" name="image3625"/>
                    <pic:cNvPicPr/>
                  </pic:nvPicPr>
                  <pic:blipFill>
                    <a:blip r:embed="rId20"/>
                    <a:stretch>
                      <a:fillRect/>
                    </a:stretch>
                  </pic:blipFill>
                  <pic:spPr>
                    <a:xfrm flipV="true">
                      <a:off x="0" y="0"/>
                      <a:ext cx="393700" cy="952500"/>
                    </a:xfrm>
                    <a:prstGeom prst="rect">
                      <a:avLst/>
                    </a:prstGeom>
                  </pic:spPr>
                </pic:pic>
              </a:graphicData>
            </a:graphic>
          </wp:anchor>
        </w:drawing>
      </w:r>
      <w:r>
        <w:drawing>
          <wp:anchor distT="0" distB="0" distL="114300" distR="114300" simplePos="false" relativeHeight="10313488" behindDoc="false" locked="false" layoutInCell="true" allowOverlap="true">
            <wp:simplePos x="0" y="0"/>
            <wp:positionH relativeFrom="page">
              <wp:posOffset>5245100</wp:posOffset>
            </wp:positionH>
            <wp:positionV relativeFrom="page">
              <wp:posOffset>3556000</wp:posOffset>
            </wp:positionV>
            <wp:extent cx="381000" cy="952500"/>
            <wp:effectExtent l="0" t="0" r="0" b="0"/>
            <wp:wrapNone/>
            <wp:docPr id="3626" name="image3626" descr=""/>
            <wp:cNvGraphicFramePr>
              <a:graphicFrameLocks noChangeAspect="true"/>
            </wp:cNvGraphicFramePr>
            <a:graphic>
              <a:graphicData uri="http://schemas.openxmlformats.org/drawingml/2006/picture">
                <pic:pic>
                  <pic:nvPicPr>
                    <pic:cNvPr id="3626" name="image3626"/>
                    <pic:cNvPicPr/>
                  </pic:nvPicPr>
                  <pic:blipFill>
                    <a:blip r:embed="rId21"/>
                    <a:stretch>
                      <a:fillRect/>
                    </a:stretch>
                  </pic:blipFill>
                  <pic:spPr>
                    <a:xfrm flipV="true">
                      <a:off x="0" y="0"/>
                      <a:ext cx="381000" cy="9525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5460"/>
          <w:tab w:val="left" w:pos="7020"/>
        </w:tabs>
        <w:autoSpaceDE w:val="false"/>
        <w:autoSpaceDN w:val="false"/>
        <w:spacing w:line="240" w:lineRule="exact"/>
        <w:ind w:left="4020"/>
        <w:jc w:val="both"/>
      </w:pPr>
      <w:r>
        <w:rPr>
          <w:rFonts w:hint="eastAsia" w:ascii="Times New Roman" w:hAnsi="Times New Roman" w:eastAsia="Times New Roman" w:cs="Times New Roman"/>
          <w:sz w:val="16"/>
        </w:rPr>
        <w:t>52.29%</w:t>
      </w:r>
      <w:r>
        <w:tab/>
      </w:r>
      <w:r>
        <w:rPr>
          <w:rFonts w:hint="eastAsia" w:ascii="Times New Roman" w:hAnsi="Times New Roman" w:eastAsia="Times New Roman" w:cs="Times New Roman"/>
          <w:sz w:val="16"/>
        </w:rPr>
        <w:t>11.67%</w:t>
      </w:r>
      <w:r>
        <w:tab/>
      </w:r>
      <w:r>
        <w:rPr>
          <w:rFonts w:hint="eastAsia" w:ascii="Times New Roman" w:hAnsi="Times New Roman" w:eastAsia="Times New Roman" w:cs="Times New Roman"/>
          <w:sz w:val="16"/>
        </w:rPr>
        <w:t>36.04%</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3940"/>
          <w:tab w:val="left" w:pos="5380"/>
          <w:tab w:val="left" w:pos="7580"/>
          <w:tab w:val="left" w:pos="8880"/>
        </w:tabs>
        <w:autoSpaceDE w:val="false"/>
        <w:autoSpaceDN w:val="false"/>
        <w:spacing w:line="280" w:lineRule="exact"/>
        <w:ind w:left="2740"/>
        <w:jc w:val="both"/>
      </w:pPr>
      <w:r>
        <w:rPr>
          <w:rFonts w:hint="eastAsia" w:ascii="Times New Roman" w:hAnsi="Times New Roman" w:eastAsia="Times New Roman" w:cs="Times New Roman"/>
          <w:sz w:val="16"/>
        </w:rPr>
        <w:t>57%</w:t>
      </w:r>
      <w:r>
        <w:tab/>
      </w:r>
      <w:r>
        <w:rPr>
          <w:rFonts w:hint="eastAsia" w:ascii="Times New Roman" w:hAnsi="Times New Roman" w:eastAsia="Times New Roman" w:cs="Times New Roman"/>
          <w:sz w:val="16"/>
        </w:rPr>
        <w:t>20.81</w:t>
      </w:r>
      <w:r>
        <w:rPr>
          <w:rFonts w:hint="eastAsia" w:ascii="Times New Roman" w:hAnsi="Times New Roman" w:eastAsia="Times New Roman" w:cs="Times New Roman"/>
          <w:b/>
          <w:sz w:val="16"/>
        </w:rPr>
        <w:t>%</w:t>
      </w:r>
      <w:r>
        <w:tab/>
      </w:r>
      <w:r>
        <w:rPr>
          <w:rFonts w:hint="eastAsia" w:ascii="Times New Roman" w:hAnsi="Times New Roman" w:eastAsia="Times New Roman" w:cs="Times New Roman"/>
          <w:sz w:val="16"/>
        </w:rPr>
        <w:t>19.39% 9.79%</w:t>
      </w:r>
      <w:r>
        <w:tab/>
      </w:r>
      <w:r>
        <w:rPr>
          <w:rFonts w:hint="eastAsia" w:ascii="Times New Roman" w:hAnsi="Times New Roman" w:eastAsia="Times New Roman" w:cs="Times New Roman"/>
          <w:sz w:val="16"/>
        </w:rPr>
        <w:t>4.40%</w:t>
      </w:r>
      <w:r>
        <w:tab/>
      </w:r>
      <w:r>
        <w:rPr>
          <w:rFonts w:hint="eastAsia" w:ascii="Times New Roman" w:hAnsi="Times New Roman" w:eastAsia="Times New Roman" w:cs="Times New Roman"/>
          <w:sz w:val="16"/>
        </w:rPr>
        <w:t>17.02%</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7620"/>
          <w:tab w:val="left" w:pos="8640"/>
        </w:tabs>
        <w:autoSpaceDE w:val="false"/>
        <w:autoSpaceDN w:val="false"/>
        <w:spacing w:line="260" w:lineRule="exact"/>
        <w:ind w:left="6680"/>
        <w:jc w:val="both"/>
      </w:pPr>
      <w:r>
        <w:rPr>
          <w:rFonts w:hint="eastAsia" w:ascii="Times New Roman" w:hAnsi="Times New Roman" w:eastAsia="Times New Roman" w:cs="Times New Roman"/>
          <w:sz w:val="16"/>
        </w:rPr>
        <w:t>100%</w:t>
      </w:r>
      <w:r>
        <w:tab/>
      </w:r>
      <w:r>
        <w:rPr>
          <w:rFonts w:hint="eastAsia" w:ascii="Times New Roman" w:hAnsi="Times New Roman" w:eastAsia="Times New Roman" w:cs="Times New Roman"/>
          <w:sz w:val="16"/>
        </w:rPr>
        <w:t>75%</w:t>
      </w:r>
      <w:r>
        <w:tab/>
      </w:r>
      <w:r>
        <w:rPr>
          <w:rFonts w:hint="eastAsia" w:ascii="Times New Roman" w:hAnsi="Times New Roman" w:eastAsia="Times New Roman" w:cs="Times New Roman"/>
          <w:sz w:val="16"/>
        </w:rPr>
        <w:t>51%</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（二）公司组织结构</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公司内部组织机构</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本公司内部组织结构如下图所示</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1-1-68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98128" behindDoc="false" locked="false" layoutInCell="true" allowOverlap="true">
            <wp:simplePos x="0" y="0"/>
            <wp:positionH relativeFrom="page">
              <wp:posOffset>1143000</wp:posOffset>
            </wp:positionH>
            <wp:positionV relativeFrom="page">
              <wp:posOffset>990600</wp:posOffset>
            </wp:positionV>
            <wp:extent cx="5168900" cy="4787900"/>
            <wp:effectExtent l="0" t="0" r="0" b="0"/>
            <wp:wrapNone/>
            <wp:docPr id="3673" name="image3673" descr=""/>
            <wp:cNvGraphicFramePr>
              <a:graphicFrameLocks noChangeAspect="true"/>
            </wp:cNvGraphicFramePr>
            <a:graphic>
              <a:graphicData uri="http://schemas.openxmlformats.org/drawingml/2006/picture">
                <pic:pic>
                  <pic:nvPicPr>
                    <pic:cNvPr id="3673" name="image3673"/>
                    <pic:cNvPicPr/>
                  </pic:nvPicPr>
                  <pic:blipFill>
                    <a:blip r:embed="rId22"/>
                    <a:stretch>
                      <a:fillRect/>
                    </a:stretch>
                  </pic:blipFill>
                  <pic:spPr>
                    <a:xfrm>
                      <a:off x="0" y="0"/>
                      <a:ext cx="5168900" cy="47879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公司各职能部门主要职责</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820"/>
        <w:gridCol w:w="2000"/>
        <w:gridCol w:w="5700"/>
      </w:tblGrid>
      <w:tr>
        <w:trPr>
          <w:trHeight w:val="320" w:hRule="exact"/>
        </w:trPr>
        <w:tc>
          <w:tcPr>
            <w:tcW w:w="820" w:type="dxa"/>
            <w:tcMar>
              <w:top w:w="0" w:type="dxa"/>
              <w:left w:w="0" w:type="dxa"/>
              <w:bottom w:w="0" w:type="dxa"/>
              <w:right w:w="0" w:type="dxa"/>
            </w:tcMar>
          </w:tcPr>
          <w:p>
            <w:pPr>
              <w:spacing w:before="40"/>
              <w:ind w:left="180"/>
            </w:pPr>
            <w:r>
              <w:rPr>
                <w:rFonts w:hint="eastAsia" w:ascii="宋体" w:hAnsi="宋体" w:eastAsia="宋体" w:cs="宋体"/>
                <w:b/>
                <w:sz w:val="21"/>
              </w:rPr>
              <w:t>序号</w:t>
            </w:r>
          </w:p>
        </w:tc>
        <w:tc>
          <w:tcPr>
            <w:tcW w:w="2000" w:type="dxa"/>
            <w:tcMar>
              <w:top w:w="0" w:type="dxa"/>
              <w:left w:w="0" w:type="dxa"/>
              <w:bottom w:w="0" w:type="dxa"/>
              <w:right w:w="0" w:type="dxa"/>
            </w:tcMar>
          </w:tcPr>
          <w:p>
            <w:pPr>
              <w:spacing w:before="40"/>
              <w:ind w:left="560"/>
            </w:pPr>
            <w:r>
              <w:rPr>
                <w:rFonts w:hint="eastAsia" w:ascii="宋体" w:hAnsi="宋体" w:eastAsia="宋体" w:cs="宋体"/>
                <w:b/>
                <w:sz w:val="21"/>
              </w:rPr>
              <w:t>部门名称</w:t>
            </w:r>
          </w:p>
        </w:tc>
        <w:tc>
          <w:tcPr>
            <w:tcW w:w="5700" w:type="dxa"/>
            <w:tcMar>
              <w:top w:w="0" w:type="dxa"/>
              <w:left w:w="0" w:type="dxa"/>
              <w:bottom w:w="0" w:type="dxa"/>
              <w:right w:w="0" w:type="dxa"/>
            </w:tcMar>
          </w:tcPr>
          <w:p>
            <w:pPr>
              <w:spacing w:before="40"/>
              <w:ind w:left="2420"/>
            </w:pPr>
            <w:r>
              <w:rPr>
                <w:rFonts w:hint="eastAsia" w:ascii="宋体" w:hAnsi="宋体" w:eastAsia="宋体" w:cs="宋体"/>
                <w:b/>
                <w:sz w:val="21"/>
              </w:rPr>
              <w:t>主要职责</w:t>
            </w:r>
          </w:p>
        </w:tc>
      </w:tr>
      <w:tr>
        <w:trPr>
          <w:trHeight w:val="940" w:hRule="exact"/>
        </w:trPr>
        <w:tc>
          <w:tcPr>
            <w:tcW w:w="820" w:type="dxa"/>
            <w:tcMar>
              <w:top w:w="0" w:type="dxa"/>
              <w:left w:w="0" w:type="dxa"/>
              <w:bottom w:w="0" w:type="dxa"/>
              <w:right w:w="0" w:type="dxa"/>
            </w:tcMar>
          </w:tcPr>
          <w:p>
            <w:pPr>
              <w:spacing w:before="400"/>
              <w:ind w:left="340"/>
            </w:pPr>
            <w:r>
              <w:rPr>
                <w:rFonts w:hint="eastAsia" w:ascii="Times New Roman" w:hAnsi="Times New Roman" w:eastAsia="Times New Roman" w:cs="Times New Roman"/>
                <w:sz w:val="21"/>
              </w:rPr>
              <w:t>1</w:t>
            </w:r>
          </w:p>
        </w:tc>
        <w:tc>
          <w:tcPr>
            <w:tcW w:w="2000" w:type="dxa"/>
            <w:tcMar>
              <w:top w:w="0" w:type="dxa"/>
              <w:left w:w="0" w:type="dxa"/>
              <w:bottom w:w="0" w:type="dxa"/>
              <w:right w:w="0" w:type="dxa"/>
            </w:tcMar>
          </w:tcPr>
          <w:p>
            <w:pPr>
              <w:spacing w:before="340"/>
              <w:ind w:left="100"/>
            </w:pPr>
            <w:r>
              <w:rPr>
                <w:rFonts w:hint="eastAsia" w:ascii="宋体" w:hAnsi="宋体" w:eastAsia="宋体" w:cs="宋体"/>
                <w:sz w:val="21"/>
              </w:rPr>
              <w:t>董事会办公室</w:t>
            </w:r>
          </w:p>
        </w:tc>
        <w:tc>
          <w:tcPr>
            <w:tcW w:w="5700" w:type="dxa"/>
            <w:tcMar>
              <w:top w:w="0" w:type="dxa"/>
              <w:left w:w="0" w:type="dxa"/>
              <w:bottom w:w="0" w:type="dxa"/>
              <w:right w:w="0" w:type="dxa"/>
            </w:tcMar>
          </w:tcPr>
          <w:p>
            <w:pPr>
              <w:spacing w:before="40"/>
            </w:pPr>
            <w:r>
              <w:rPr>
                <w:rFonts w:hint="eastAsia" w:ascii="宋体" w:hAnsi="宋体" w:eastAsia="宋体" w:cs="宋体"/>
                <w:sz w:val="21"/>
              </w:rPr>
              <w:t>为董事会日常办事机构</w:t>
            </w:r>
            <w:r>
              <w:rPr>
                <w:rFonts w:hint="eastAsia" w:ascii="宋体" w:hAnsi="宋体" w:eastAsia="宋体" w:cs="宋体"/>
                <w:sz w:val="10"/>
              </w:rPr>
              <w:t>，</w:t>
            </w:r>
            <w:r>
              <w:rPr>
                <w:rFonts w:hint="eastAsia" w:ascii="宋体" w:hAnsi="宋体" w:eastAsia="宋体" w:cs="宋体"/>
                <w:sz w:val="21"/>
              </w:rPr>
              <w:t>属董事会秘书直接领导</w:t>
            </w:r>
            <w:r>
              <w:rPr>
                <w:rFonts w:hint="eastAsia" w:ascii="宋体" w:hAnsi="宋体" w:eastAsia="宋体" w:cs="宋体"/>
                <w:sz w:val="12"/>
              </w:rPr>
              <w:t>；</w:t>
            </w:r>
            <w:r>
              <w:rPr>
                <w:rFonts w:hint="eastAsia" w:ascii="宋体" w:hAnsi="宋体" w:eastAsia="宋体" w:cs="宋体"/>
                <w:sz w:val="21"/>
              </w:rPr>
              <w:t>负责董事</w:t>
            </w:r>
          </w:p>
          <w:p>
            <w:pPr>
              <w:spacing w:before="80"/>
            </w:pPr>
            <w:r>
              <w:rPr>
                <w:rFonts w:hint="eastAsia" w:ascii="宋体" w:hAnsi="宋体" w:eastAsia="宋体" w:cs="宋体"/>
                <w:sz w:val="21"/>
              </w:rPr>
              <w:t>会和股东大会的日常工作</w:t>
            </w:r>
            <w:r>
              <w:rPr>
                <w:rFonts w:hint="eastAsia" w:ascii="宋体" w:hAnsi="宋体" w:eastAsia="宋体" w:cs="宋体"/>
                <w:sz w:val="10"/>
              </w:rPr>
              <w:t>；</w:t>
            </w:r>
            <w:r>
              <w:rPr>
                <w:rFonts w:hint="eastAsia" w:ascii="宋体" w:hAnsi="宋体" w:eastAsia="宋体" w:cs="宋体"/>
                <w:sz w:val="21"/>
              </w:rPr>
              <w:t>协助董事会秘书履行信息披露和</w:t>
            </w:r>
          </w:p>
          <w:p>
            <w:pPr>
              <w:spacing w:before="100"/>
            </w:pPr>
            <w:r>
              <w:rPr>
                <w:rFonts w:hint="eastAsia" w:ascii="宋体" w:hAnsi="宋体" w:eastAsia="宋体" w:cs="宋体"/>
                <w:sz w:val="21"/>
              </w:rPr>
              <w:t>投资者关系管理等工作</w:t>
            </w:r>
          </w:p>
        </w:tc>
      </w:tr>
      <w:tr>
        <w:trPr>
          <w:trHeight w:val="1260" w:hRule="exact"/>
        </w:trPr>
        <w:tc>
          <w:tcPr>
            <w:tcW w:w="820" w:type="dxa"/>
            <w:tcMar>
              <w:top w:w="0" w:type="dxa"/>
              <w:left w:w="0" w:type="dxa"/>
              <w:bottom w:w="0" w:type="dxa"/>
              <w:right w:w="0" w:type="dxa"/>
            </w:tcMar>
          </w:tcPr>
          <w:p>
            <w:pPr>
              <w:spacing w:before="560"/>
              <w:ind w:left="340"/>
            </w:pPr>
            <w:r>
              <w:rPr>
                <w:rFonts w:hint="eastAsia" w:ascii="Times New Roman" w:hAnsi="Times New Roman" w:eastAsia="Times New Roman" w:cs="Times New Roman"/>
                <w:sz w:val="21"/>
              </w:rPr>
              <w:t>2</w:t>
            </w:r>
          </w:p>
        </w:tc>
        <w:tc>
          <w:tcPr>
            <w:tcW w:w="2000" w:type="dxa"/>
            <w:tcMar>
              <w:top w:w="0" w:type="dxa"/>
              <w:left w:w="0" w:type="dxa"/>
              <w:bottom w:w="0" w:type="dxa"/>
              <w:right w:w="0" w:type="dxa"/>
            </w:tcMar>
          </w:tcPr>
          <w:p>
            <w:pPr>
              <w:spacing w:before="500"/>
              <w:ind w:left="100"/>
            </w:pPr>
            <w:r>
              <w:rPr>
                <w:rFonts w:hint="eastAsia" w:ascii="宋体" w:hAnsi="宋体" w:eastAsia="宋体" w:cs="宋体"/>
                <w:sz w:val="21"/>
              </w:rPr>
              <w:t>审计部</w:t>
            </w:r>
          </w:p>
        </w:tc>
        <w:tc>
          <w:tcPr>
            <w:tcW w:w="5700" w:type="dxa"/>
            <w:tcMar>
              <w:top w:w="0" w:type="dxa"/>
              <w:left w:w="0" w:type="dxa"/>
              <w:bottom w:w="0" w:type="dxa"/>
              <w:right w:w="0" w:type="dxa"/>
            </w:tcMar>
          </w:tcPr>
          <w:p>
            <w:pPr>
              <w:spacing w:before="40"/>
            </w:pPr>
            <w:r>
              <w:rPr>
                <w:rFonts w:hint="eastAsia" w:ascii="宋体" w:hAnsi="宋体" w:eastAsia="宋体" w:cs="宋体"/>
                <w:sz w:val="21"/>
              </w:rPr>
              <w:t>负责公司内部审计工作</w:t>
            </w:r>
            <w:r>
              <w:rPr>
                <w:rFonts w:hint="eastAsia" w:ascii="宋体" w:hAnsi="宋体" w:eastAsia="宋体" w:cs="宋体"/>
                <w:sz w:val="12"/>
              </w:rPr>
              <w:t>；</w:t>
            </w:r>
            <w:r>
              <w:rPr>
                <w:rFonts w:hint="eastAsia" w:ascii="宋体" w:hAnsi="宋体" w:eastAsia="宋体" w:cs="宋体"/>
                <w:sz w:val="21"/>
              </w:rPr>
              <w:t>向董事会审计委员会提供内部审计</w:t>
            </w:r>
          </w:p>
          <w:p>
            <w:pPr>
              <w:spacing w:before="100"/>
            </w:pPr>
            <w:r>
              <w:rPr>
                <w:rFonts w:hint="eastAsia" w:ascii="宋体" w:hAnsi="宋体" w:eastAsia="宋体" w:cs="宋体"/>
                <w:sz w:val="21"/>
              </w:rPr>
              <w:t>报告和建议</w:t>
            </w:r>
            <w:r>
              <w:rPr>
                <w:rFonts w:hint="eastAsia" w:ascii="宋体" w:hAnsi="宋体" w:eastAsia="宋体" w:cs="宋体"/>
                <w:sz w:val="12"/>
              </w:rPr>
              <w:t>；</w:t>
            </w:r>
            <w:r>
              <w:rPr>
                <w:rFonts w:hint="eastAsia" w:ascii="宋体" w:hAnsi="宋体" w:eastAsia="宋体" w:cs="宋体"/>
                <w:sz w:val="21"/>
              </w:rPr>
              <w:t>监督公司内部各项会计制度和财务制度的执行</w:t>
            </w:r>
            <w:r>
              <w:rPr>
                <w:rFonts w:hint="eastAsia" w:ascii="宋体" w:hAnsi="宋体" w:eastAsia="宋体" w:cs="宋体"/>
                <w:sz w:val="12"/>
              </w:rPr>
              <w:t>；</w:t>
            </w:r>
          </w:p>
          <w:p>
            <w:pPr>
              <w:spacing w:before="80"/>
            </w:pPr>
            <w:r>
              <w:rPr>
                <w:rFonts w:hint="eastAsia" w:ascii="宋体" w:hAnsi="宋体" w:eastAsia="宋体" w:cs="宋体"/>
                <w:sz w:val="21"/>
              </w:rPr>
              <w:t>协调公司内部监督活动</w:t>
            </w:r>
            <w:r>
              <w:rPr>
                <w:rFonts w:hint="eastAsia" w:ascii="宋体" w:hAnsi="宋体" w:eastAsia="宋体" w:cs="宋体"/>
                <w:sz w:val="10"/>
              </w:rPr>
              <w:t>，</w:t>
            </w:r>
            <w:r>
              <w:rPr>
                <w:rFonts w:hint="eastAsia" w:ascii="宋体" w:hAnsi="宋体" w:eastAsia="宋体" w:cs="宋体"/>
                <w:sz w:val="21"/>
              </w:rPr>
              <w:t>以更好地实现审计的目标和组织的</w:t>
            </w:r>
          </w:p>
          <w:p>
            <w:pPr>
              <w:spacing w:before="100"/>
            </w:pPr>
            <w:r>
              <w:rPr>
                <w:rFonts w:hint="eastAsia" w:ascii="宋体" w:hAnsi="宋体" w:eastAsia="宋体" w:cs="宋体"/>
                <w:sz w:val="21"/>
              </w:rPr>
              <w:t>目标</w:t>
            </w:r>
          </w:p>
        </w:tc>
      </w:tr>
      <w:tr>
        <w:trPr>
          <w:trHeight w:val="640" w:hRule="exact"/>
        </w:trPr>
        <w:tc>
          <w:tcPr>
            <w:tcW w:w="820" w:type="dxa"/>
            <w:tcMar>
              <w:top w:w="0" w:type="dxa"/>
              <w:left w:w="0" w:type="dxa"/>
              <w:bottom w:w="0" w:type="dxa"/>
              <w:right w:w="0" w:type="dxa"/>
            </w:tcMar>
          </w:tcPr>
          <w:p>
            <w:pPr>
              <w:spacing w:before="260"/>
              <w:ind w:left="340"/>
            </w:pPr>
            <w:r>
              <w:rPr>
                <w:rFonts w:hint="eastAsia" w:ascii="Times New Roman" w:hAnsi="Times New Roman" w:eastAsia="Times New Roman" w:cs="Times New Roman"/>
                <w:sz w:val="21"/>
              </w:rPr>
              <w:t>3</w:t>
            </w:r>
          </w:p>
        </w:tc>
        <w:tc>
          <w:tcPr>
            <w:tcW w:w="2000" w:type="dxa"/>
            <w:tcMar>
              <w:top w:w="0" w:type="dxa"/>
              <w:left w:w="0" w:type="dxa"/>
              <w:bottom w:w="0" w:type="dxa"/>
              <w:right w:w="0" w:type="dxa"/>
            </w:tcMar>
          </w:tcPr>
          <w:p>
            <w:pPr>
              <w:spacing w:before="200"/>
              <w:ind w:left="100"/>
            </w:pPr>
            <w:r>
              <w:rPr>
                <w:rFonts w:hint="eastAsia" w:ascii="宋体" w:hAnsi="宋体" w:eastAsia="宋体" w:cs="宋体"/>
                <w:sz w:val="21"/>
              </w:rPr>
              <w:t>核心平台研发中心</w:t>
            </w:r>
          </w:p>
        </w:tc>
        <w:tc>
          <w:tcPr>
            <w:tcW w:w="5700" w:type="dxa"/>
            <w:tcMar>
              <w:top w:w="0" w:type="dxa"/>
              <w:left w:w="0" w:type="dxa"/>
              <w:bottom w:w="0" w:type="dxa"/>
              <w:right w:w="0" w:type="dxa"/>
            </w:tcMar>
          </w:tcPr>
          <w:p>
            <w:pPr>
              <w:spacing w:before="40"/>
            </w:pPr>
            <w:r>
              <w:rPr>
                <w:rFonts w:hint="eastAsia" w:ascii="宋体" w:hAnsi="宋体" w:eastAsia="宋体" w:cs="宋体"/>
                <w:sz w:val="21"/>
              </w:rPr>
              <w:t>负责公司基础技术类产品和关键或共性技术的研发</w:t>
            </w:r>
            <w:r>
              <w:rPr>
                <w:rFonts w:hint="eastAsia" w:ascii="宋体" w:hAnsi="宋体" w:eastAsia="宋体" w:cs="宋体"/>
                <w:sz w:val="10"/>
              </w:rPr>
              <w:t>，</w:t>
            </w:r>
            <w:r>
              <w:rPr>
                <w:rFonts w:hint="eastAsia" w:ascii="宋体" w:hAnsi="宋体" w:eastAsia="宋体" w:cs="宋体"/>
                <w:sz w:val="21"/>
              </w:rPr>
              <w:t>为公司</w:t>
            </w:r>
          </w:p>
          <w:p>
            <w:pPr>
              <w:spacing w:before="100"/>
            </w:pPr>
            <w:r>
              <w:rPr>
                <w:rFonts w:hint="eastAsia" w:ascii="宋体" w:hAnsi="宋体" w:eastAsia="宋体" w:cs="宋体"/>
                <w:sz w:val="21"/>
              </w:rPr>
              <w:t>应用研发体系提供统</w:t>
            </w:r>
            <w:r>
              <w:rPr>
                <w:rFonts w:hint="eastAsia" w:ascii="宋体" w:hAnsi="宋体" w:eastAsia="宋体" w:cs="宋体"/>
                <w:sz w:val="20"/>
              </w:rPr>
              <w:t>一</w:t>
            </w:r>
            <w:r>
              <w:rPr>
                <w:rFonts w:hint="eastAsia" w:ascii="宋体" w:hAnsi="宋体" w:eastAsia="宋体" w:cs="宋体"/>
                <w:sz w:val="21"/>
              </w:rPr>
              <w:t>的技术平台和工具</w:t>
            </w:r>
          </w:p>
        </w:tc>
      </w:tr>
      <w:tr>
        <w:trPr>
          <w:trHeight w:val="940" w:hRule="exact"/>
        </w:trPr>
        <w:tc>
          <w:tcPr>
            <w:tcW w:w="820" w:type="dxa"/>
            <w:tcMar>
              <w:top w:w="0" w:type="dxa"/>
              <w:left w:w="0" w:type="dxa"/>
              <w:bottom w:w="0" w:type="dxa"/>
              <w:right w:w="0" w:type="dxa"/>
            </w:tcMar>
          </w:tcPr>
          <w:p>
            <w:pPr>
              <w:spacing w:before="400"/>
              <w:ind w:left="340"/>
            </w:pPr>
            <w:r>
              <w:rPr>
                <w:rFonts w:hint="eastAsia" w:ascii="Times New Roman" w:hAnsi="Times New Roman" w:eastAsia="Times New Roman" w:cs="Times New Roman"/>
                <w:sz w:val="21"/>
              </w:rPr>
              <w:t>4</w:t>
            </w:r>
          </w:p>
        </w:tc>
        <w:tc>
          <w:tcPr>
            <w:tcW w:w="2000" w:type="dxa"/>
            <w:tcMar>
              <w:top w:w="0" w:type="dxa"/>
              <w:left w:w="0" w:type="dxa"/>
              <w:bottom w:w="0" w:type="dxa"/>
              <w:right w:w="0" w:type="dxa"/>
            </w:tcMar>
          </w:tcPr>
          <w:p>
            <w:pPr>
              <w:spacing w:before="340"/>
              <w:ind w:left="100"/>
            </w:pPr>
            <w:r>
              <w:rPr>
                <w:rFonts w:hint="eastAsia" w:ascii="宋体" w:hAnsi="宋体" w:eastAsia="宋体" w:cs="宋体"/>
                <w:sz w:val="21"/>
              </w:rPr>
              <w:t>金融证券事业部</w:t>
            </w:r>
          </w:p>
        </w:tc>
        <w:tc>
          <w:tcPr>
            <w:tcW w:w="5700" w:type="dxa"/>
            <w:tcMar>
              <w:top w:w="0" w:type="dxa"/>
              <w:left w:w="0" w:type="dxa"/>
              <w:bottom w:w="0" w:type="dxa"/>
              <w:right w:w="0" w:type="dxa"/>
            </w:tcMar>
          </w:tcPr>
          <w:p>
            <w:pPr>
              <w:spacing w:before="40"/>
            </w:pPr>
            <w:r>
              <w:rPr>
                <w:rFonts w:hint="eastAsia" w:ascii="宋体" w:hAnsi="宋体" w:eastAsia="宋体" w:cs="宋体"/>
                <w:sz w:val="21"/>
              </w:rPr>
              <w:t>负责证券</w:t>
            </w:r>
            <w:r>
              <w:rPr>
                <w:rFonts w:hint="eastAsia" w:ascii="宋体" w:hAnsi="宋体" w:eastAsia="宋体" w:cs="宋体"/>
                <w:sz w:val="10"/>
              </w:rPr>
              <w:t>、</w:t>
            </w:r>
            <w:r>
              <w:rPr>
                <w:rFonts w:hint="eastAsia" w:ascii="宋体" w:hAnsi="宋体" w:eastAsia="宋体" w:cs="宋体"/>
                <w:sz w:val="21"/>
              </w:rPr>
              <w:t>期货行业全系列软件产品解决方案的研发</w:t>
            </w:r>
            <w:r>
              <w:rPr>
                <w:rFonts w:hint="eastAsia" w:ascii="宋体" w:hAnsi="宋体" w:eastAsia="宋体" w:cs="宋体"/>
                <w:sz w:val="10"/>
              </w:rPr>
              <w:t>、</w:t>
            </w:r>
            <w:r>
              <w:rPr>
                <w:rFonts w:hint="eastAsia" w:ascii="宋体" w:hAnsi="宋体" w:eastAsia="宋体" w:cs="宋体"/>
                <w:sz w:val="21"/>
              </w:rPr>
              <w:t>技术</w:t>
            </w:r>
          </w:p>
          <w:p>
            <w:pPr>
              <w:spacing w:before="80"/>
            </w:pPr>
            <w:r>
              <w:rPr>
                <w:rFonts w:hint="eastAsia" w:ascii="宋体" w:hAnsi="宋体" w:eastAsia="宋体" w:cs="宋体"/>
                <w:sz w:val="21"/>
              </w:rPr>
              <w:t>支持</w:t>
            </w:r>
            <w:r>
              <w:rPr>
                <w:rFonts w:hint="eastAsia" w:ascii="宋体" w:hAnsi="宋体" w:eastAsia="宋体" w:cs="宋体"/>
                <w:sz w:val="10"/>
              </w:rPr>
              <w:t>、</w:t>
            </w:r>
            <w:r>
              <w:rPr>
                <w:rFonts w:hint="eastAsia" w:ascii="宋体" w:hAnsi="宋体" w:eastAsia="宋体" w:cs="宋体"/>
                <w:sz w:val="21"/>
              </w:rPr>
              <w:t>市场推广等工作</w:t>
            </w:r>
            <w:r>
              <w:rPr>
                <w:rFonts w:hint="eastAsia" w:ascii="宋体" w:hAnsi="宋体" w:eastAsia="宋体" w:cs="宋体"/>
                <w:sz w:val="10"/>
              </w:rPr>
              <w:t>；</w:t>
            </w:r>
            <w:r>
              <w:rPr>
                <w:rFonts w:hint="eastAsia" w:ascii="宋体" w:hAnsi="宋体" w:eastAsia="宋体" w:cs="宋体"/>
                <w:sz w:val="21"/>
              </w:rPr>
              <w:t>负责相关领域的新技术</w:t>
            </w:r>
            <w:r>
              <w:rPr>
                <w:rFonts w:hint="eastAsia" w:ascii="宋体" w:hAnsi="宋体" w:eastAsia="宋体" w:cs="宋体"/>
                <w:sz w:val="10"/>
              </w:rPr>
              <w:t>、</w:t>
            </w:r>
            <w:r>
              <w:rPr>
                <w:rFonts w:hint="eastAsia" w:ascii="宋体" w:hAnsi="宋体" w:eastAsia="宋体" w:cs="宋体"/>
                <w:sz w:val="21"/>
              </w:rPr>
              <w:t>新产品的</w:t>
            </w:r>
          </w:p>
          <w:p>
            <w:pPr>
              <w:spacing w:before="100"/>
            </w:pPr>
            <w:r>
              <w:rPr>
                <w:rFonts w:hint="eastAsia" w:ascii="宋体" w:hAnsi="宋体" w:eastAsia="宋体" w:cs="宋体"/>
                <w:sz w:val="21"/>
              </w:rPr>
              <w:t>研究和开发</w:t>
            </w:r>
          </w:p>
        </w:tc>
      </w:tr>
      <w:tr>
        <w:trPr>
          <w:trHeight w:val="940" w:hRule="exact"/>
        </w:trPr>
        <w:tc>
          <w:tcPr>
            <w:tcW w:w="820" w:type="dxa"/>
            <w:tcMar>
              <w:top w:w="0" w:type="dxa"/>
              <w:left w:w="0" w:type="dxa"/>
              <w:bottom w:w="0" w:type="dxa"/>
              <w:right w:w="0" w:type="dxa"/>
            </w:tcMar>
          </w:tcPr>
          <w:p>
            <w:pPr>
              <w:spacing w:before="420"/>
              <w:ind w:left="340"/>
            </w:pPr>
            <w:r>
              <w:rPr>
                <w:rFonts w:hint="eastAsia" w:ascii="Times New Roman" w:hAnsi="Times New Roman" w:eastAsia="Times New Roman" w:cs="Times New Roman"/>
                <w:sz w:val="21"/>
              </w:rPr>
              <w:t>5</w:t>
            </w:r>
          </w:p>
        </w:tc>
        <w:tc>
          <w:tcPr>
            <w:tcW w:w="2000" w:type="dxa"/>
            <w:tcMar>
              <w:top w:w="0" w:type="dxa"/>
              <w:left w:w="0" w:type="dxa"/>
              <w:bottom w:w="0" w:type="dxa"/>
              <w:right w:w="0" w:type="dxa"/>
            </w:tcMar>
          </w:tcPr>
          <w:p>
            <w:pPr>
              <w:spacing w:before="360"/>
              <w:ind w:left="100"/>
            </w:pPr>
            <w:r>
              <w:rPr>
                <w:rFonts w:hint="eastAsia" w:ascii="Times New Roman" w:hAnsi="Times New Roman" w:eastAsia="Times New Roman" w:cs="Times New Roman"/>
                <w:sz w:val="21"/>
              </w:rPr>
              <w:t>BPM</w:t>
            </w:r>
            <w:r>
              <w:rPr>
                <w:rFonts w:hint="eastAsia" w:ascii="宋体" w:hAnsi="宋体" w:eastAsia="宋体" w:cs="宋体"/>
                <w:sz w:val="21"/>
              </w:rPr>
              <w:t xml:space="preserve"> 发展事业部</w:t>
            </w:r>
          </w:p>
        </w:tc>
        <w:tc>
          <w:tcPr>
            <w:tcW w:w="5700" w:type="dxa"/>
            <w:tcMar>
              <w:top w:w="0" w:type="dxa"/>
              <w:left w:w="0" w:type="dxa"/>
              <w:bottom w:w="0" w:type="dxa"/>
              <w:right w:w="0" w:type="dxa"/>
            </w:tcMar>
          </w:tcPr>
          <w:p>
            <w:pPr>
              <w:spacing w:before="40"/>
            </w:pPr>
            <w:r>
              <w:rPr>
                <w:rFonts w:hint="eastAsia" w:ascii="宋体" w:hAnsi="宋体" w:eastAsia="宋体" w:cs="宋体"/>
                <w:sz w:val="21"/>
              </w:rPr>
              <w:t>负责非证券期货行业的流程信息化解决方案的研发</w:t>
            </w:r>
            <w:r>
              <w:rPr>
                <w:rFonts w:hint="eastAsia" w:ascii="宋体" w:hAnsi="宋体" w:eastAsia="宋体" w:cs="宋体"/>
                <w:sz w:val="10"/>
              </w:rPr>
              <w:t>、</w:t>
            </w:r>
            <w:r>
              <w:rPr>
                <w:rFonts w:hint="eastAsia" w:ascii="宋体" w:hAnsi="宋体" w:eastAsia="宋体" w:cs="宋体"/>
                <w:sz w:val="21"/>
              </w:rPr>
              <w:t>技术支</w:t>
            </w:r>
          </w:p>
          <w:p>
            <w:pPr>
              <w:spacing w:before="100"/>
            </w:pPr>
            <w:r>
              <w:rPr>
                <w:rFonts w:hint="eastAsia" w:ascii="宋体" w:hAnsi="宋体" w:eastAsia="宋体" w:cs="宋体"/>
                <w:sz w:val="21"/>
              </w:rPr>
              <w:t>持</w:t>
            </w:r>
            <w:r>
              <w:rPr>
                <w:rFonts w:hint="eastAsia" w:ascii="宋体" w:hAnsi="宋体" w:eastAsia="宋体" w:cs="宋体"/>
                <w:sz w:val="10"/>
              </w:rPr>
              <w:t>、</w:t>
            </w:r>
            <w:r>
              <w:rPr>
                <w:rFonts w:hint="eastAsia" w:ascii="宋体" w:hAnsi="宋体" w:eastAsia="宋体" w:cs="宋体"/>
                <w:sz w:val="21"/>
              </w:rPr>
              <w:t>市场推广等工作</w:t>
            </w:r>
            <w:r>
              <w:rPr>
                <w:rFonts w:hint="eastAsia" w:ascii="宋体" w:hAnsi="宋体" w:eastAsia="宋体" w:cs="宋体"/>
                <w:sz w:val="12"/>
              </w:rPr>
              <w:t>；</w:t>
            </w:r>
            <w:r>
              <w:rPr>
                <w:rFonts w:hint="eastAsia" w:ascii="宋体" w:hAnsi="宋体" w:eastAsia="宋体" w:cs="宋体"/>
                <w:sz w:val="21"/>
              </w:rPr>
              <w:t>目前发展重点主要在中小银行</w:t>
            </w:r>
            <w:r>
              <w:rPr>
                <w:rFonts w:hint="eastAsia" w:ascii="宋体" w:hAnsi="宋体" w:eastAsia="宋体" w:cs="宋体"/>
                <w:sz w:val="10"/>
              </w:rPr>
              <w:t>、</w:t>
            </w:r>
            <w:r>
              <w:rPr>
                <w:rFonts w:hint="eastAsia" w:ascii="宋体" w:hAnsi="宋体" w:eastAsia="宋体" w:cs="宋体"/>
                <w:sz w:val="21"/>
              </w:rPr>
              <w:t>电子</w:t>
            </w:r>
          </w:p>
          <w:p>
            <w:pPr>
              <w:spacing w:before="100"/>
            </w:pPr>
            <w:r>
              <w:rPr>
                <w:rFonts w:hint="eastAsia" w:ascii="宋体" w:hAnsi="宋体" w:eastAsia="宋体" w:cs="宋体"/>
                <w:sz w:val="21"/>
              </w:rPr>
              <w:t>交易市场等</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60"/>
        <w:jc w:val="both"/>
      </w:pPr>
      <w:r>
        <w:rPr>
          <w:rFonts w:hint="eastAsia" w:ascii="Times New Roman" w:hAnsi="Times New Roman" w:eastAsia="Times New Roman" w:cs="Times New Roman"/>
          <w:sz w:val="21"/>
        </w:rPr>
        <w:t>1-1-69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820"/>
        <w:gridCol w:w="2000"/>
        <w:gridCol w:w="5700"/>
      </w:tblGrid>
      <w:tr>
        <w:trPr>
          <w:trHeight w:val="1260" w:hRule="exact"/>
        </w:trPr>
        <w:tc>
          <w:tcPr>
            <w:tcW w:w="820" w:type="dxa"/>
            <w:tcMar>
              <w:top w:w="0" w:type="dxa"/>
              <w:left w:w="0" w:type="dxa"/>
              <w:bottom w:w="0" w:type="dxa"/>
              <w:right w:w="0" w:type="dxa"/>
            </w:tcMar>
          </w:tcPr>
          <w:p>
            <w:pPr>
              <w:spacing w:before="560"/>
              <w:ind w:left="340"/>
            </w:pPr>
            <w:r>
              <w:rPr>
                <w:rFonts w:hint="eastAsia" w:ascii="Times New Roman" w:hAnsi="Times New Roman" w:eastAsia="Times New Roman" w:cs="Times New Roman"/>
                <w:sz w:val="21"/>
              </w:rPr>
              <w:t>6</w:t>
            </w:r>
          </w:p>
        </w:tc>
        <w:tc>
          <w:tcPr>
            <w:tcW w:w="2000" w:type="dxa"/>
            <w:tcMar>
              <w:top w:w="0" w:type="dxa"/>
              <w:left w:w="0" w:type="dxa"/>
              <w:bottom w:w="0" w:type="dxa"/>
              <w:right w:w="0" w:type="dxa"/>
            </w:tcMar>
          </w:tcPr>
          <w:p>
            <w:pPr>
              <w:spacing w:before="500"/>
              <w:ind w:left="100"/>
            </w:pPr>
            <w:r>
              <w:rPr>
                <w:rFonts w:hint="eastAsia" w:ascii="宋体" w:hAnsi="宋体" w:eastAsia="宋体" w:cs="宋体"/>
                <w:sz w:val="21"/>
              </w:rPr>
              <w:t>营销管理总部</w:t>
            </w:r>
          </w:p>
        </w:tc>
        <w:tc>
          <w:tcPr>
            <w:tcW w:w="5700" w:type="dxa"/>
            <w:tcMar>
              <w:top w:w="0" w:type="dxa"/>
              <w:left w:w="0" w:type="dxa"/>
              <w:bottom w:w="0" w:type="dxa"/>
              <w:right w:w="0" w:type="dxa"/>
            </w:tcMar>
          </w:tcPr>
          <w:p>
            <w:pPr>
              <w:spacing w:before="40"/>
            </w:pPr>
            <w:r>
              <w:rPr>
                <w:rFonts w:hint="eastAsia" w:ascii="宋体" w:hAnsi="宋体" w:eastAsia="宋体" w:cs="宋体"/>
                <w:sz w:val="21"/>
              </w:rPr>
              <w:t>负责产品及应用解决方案</w:t>
            </w:r>
            <w:r>
              <w:rPr>
                <w:rFonts w:hint="eastAsia" w:ascii="宋体" w:hAnsi="宋体" w:eastAsia="宋体" w:cs="宋体"/>
                <w:sz w:val="10"/>
              </w:rPr>
              <w:t>、</w:t>
            </w:r>
            <w:r>
              <w:rPr>
                <w:rFonts w:hint="eastAsia" w:ascii="宋体" w:hAnsi="宋体" w:eastAsia="宋体" w:cs="宋体"/>
                <w:sz w:val="21"/>
              </w:rPr>
              <w:t>项目的推广</w:t>
            </w:r>
            <w:r>
              <w:rPr>
                <w:rFonts w:hint="eastAsia" w:ascii="宋体" w:hAnsi="宋体" w:eastAsia="宋体" w:cs="宋体"/>
                <w:sz w:val="12"/>
              </w:rPr>
              <w:t>；</w:t>
            </w:r>
            <w:r>
              <w:rPr>
                <w:rFonts w:hint="eastAsia" w:ascii="宋体" w:hAnsi="宋体" w:eastAsia="宋体" w:cs="宋体"/>
                <w:sz w:val="21"/>
              </w:rPr>
              <w:t>负责售前技术支持</w:t>
            </w:r>
            <w:r>
              <w:rPr>
                <w:rFonts w:hint="eastAsia" w:ascii="宋体" w:hAnsi="宋体" w:eastAsia="宋体" w:cs="宋体"/>
                <w:sz w:val="10"/>
              </w:rPr>
              <w:t>，</w:t>
            </w:r>
          </w:p>
          <w:p>
            <w:pPr>
              <w:spacing w:before="80"/>
            </w:pPr>
            <w:r>
              <w:rPr>
                <w:rFonts w:hint="eastAsia" w:ascii="宋体" w:hAnsi="宋体" w:eastAsia="宋体" w:cs="宋体"/>
                <w:sz w:val="21"/>
              </w:rPr>
              <w:t>为用户和项目组提供咨询</w:t>
            </w:r>
            <w:r>
              <w:rPr>
                <w:rFonts w:hint="eastAsia" w:ascii="宋体" w:hAnsi="宋体" w:eastAsia="宋体" w:cs="宋体"/>
                <w:sz w:val="10"/>
              </w:rPr>
              <w:t>、</w:t>
            </w:r>
            <w:r>
              <w:rPr>
                <w:rFonts w:hint="eastAsia" w:ascii="宋体" w:hAnsi="宋体" w:eastAsia="宋体" w:cs="宋体"/>
                <w:sz w:val="21"/>
              </w:rPr>
              <w:t>规划服务</w:t>
            </w:r>
            <w:r>
              <w:rPr>
                <w:rFonts w:hint="eastAsia" w:ascii="宋体" w:hAnsi="宋体" w:eastAsia="宋体" w:cs="宋体"/>
                <w:sz w:val="10"/>
              </w:rPr>
              <w:t>；</w:t>
            </w:r>
            <w:r>
              <w:rPr>
                <w:rFonts w:hint="eastAsia" w:ascii="宋体" w:hAnsi="宋体" w:eastAsia="宋体" w:cs="宋体"/>
                <w:sz w:val="21"/>
              </w:rPr>
              <w:t>负责市场信息收集与</w:t>
            </w:r>
          </w:p>
          <w:p>
            <w:pPr>
              <w:spacing w:before="100"/>
            </w:pPr>
            <w:r>
              <w:rPr>
                <w:rFonts w:hint="eastAsia" w:ascii="宋体" w:hAnsi="宋体" w:eastAsia="宋体" w:cs="宋体"/>
                <w:sz w:val="21"/>
              </w:rPr>
              <w:t>研究</w:t>
            </w:r>
            <w:r>
              <w:rPr>
                <w:rFonts w:hint="eastAsia" w:ascii="宋体" w:hAnsi="宋体" w:eastAsia="宋体" w:cs="宋体"/>
                <w:sz w:val="10"/>
              </w:rPr>
              <w:t>，</w:t>
            </w:r>
            <w:r>
              <w:rPr>
                <w:rFonts w:hint="eastAsia" w:ascii="宋体" w:hAnsi="宋体" w:eastAsia="宋体" w:cs="宋体"/>
                <w:sz w:val="21"/>
              </w:rPr>
              <w:t>为公司整体产品规划提供参考</w:t>
            </w:r>
            <w:r>
              <w:rPr>
                <w:rFonts w:hint="eastAsia" w:ascii="宋体" w:hAnsi="宋体" w:eastAsia="宋体" w:cs="宋体"/>
                <w:sz w:val="12"/>
              </w:rPr>
              <w:t>；</w:t>
            </w:r>
            <w:r>
              <w:rPr>
                <w:rFonts w:hint="eastAsia" w:ascii="宋体" w:hAnsi="宋体" w:eastAsia="宋体" w:cs="宋体"/>
                <w:sz w:val="21"/>
              </w:rPr>
              <w:t>负责相关市场活动及</w:t>
            </w:r>
          </w:p>
          <w:p>
            <w:pPr>
              <w:spacing w:before="80"/>
            </w:pPr>
            <w:r>
              <w:rPr>
                <w:rFonts w:hint="eastAsia" w:ascii="宋体" w:hAnsi="宋体" w:eastAsia="宋体" w:cs="宋体"/>
                <w:sz w:val="21"/>
              </w:rPr>
              <w:t>公司品牌建设和宣传</w:t>
            </w:r>
            <w:r>
              <w:rPr>
                <w:rFonts w:hint="eastAsia" w:ascii="宋体" w:hAnsi="宋体" w:eastAsia="宋体" w:cs="宋体"/>
                <w:sz w:val="10"/>
              </w:rPr>
              <w:t>；</w:t>
            </w:r>
            <w:r>
              <w:rPr>
                <w:rFonts w:hint="eastAsia" w:ascii="宋体" w:hAnsi="宋体" w:eastAsia="宋体" w:cs="宋体"/>
                <w:sz w:val="21"/>
              </w:rPr>
              <w:t>下设业务流程管理研究小组</w:t>
            </w:r>
          </w:p>
        </w:tc>
      </w:tr>
      <w:tr>
        <w:trPr>
          <w:trHeight w:val="640" w:hRule="exact"/>
        </w:trPr>
        <w:tc>
          <w:tcPr>
            <w:tcW w:w="820" w:type="dxa"/>
            <w:tcMar>
              <w:top w:w="0" w:type="dxa"/>
              <w:left w:w="0" w:type="dxa"/>
              <w:bottom w:w="0" w:type="dxa"/>
              <w:right w:w="0" w:type="dxa"/>
            </w:tcMar>
          </w:tcPr>
          <w:p>
            <w:pPr>
              <w:spacing w:before="240"/>
              <w:ind w:left="340"/>
            </w:pPr>
            <w:r>
              <w:rPr>
                <w:rFonts w:hint="eastAsia" w:ascii="Times New Roman" w:hAnsi="Times New Roman" w:eastAsia="Times New Roman" w:cs="Times New Roman"/>
                <w:sz w:val="21"/>
              </w:rPr>
              <w:t>7</w:t>
            </w:r>
          </w:p>
        </w:tc>
        <w:tc>
          <w:tcPr>
            <w:tcW w:w="2000" w:type="dxa"/>
            <w:tcMar>
              <w:top w:w="0" w:type="dxa"/>
              <w:left w:w="0" w:type="dxa"/>
              <w:bottom w:w="0" w:type="dxa"/>
              <w:right w:w="0" w:type="dxa"/>
            </w:tcMar>
          </w:tcPr>
          <w:p>
            <w:pPr>
              <w:spacing w:before="180"/>
              <w:ind w:left="100"/>
            </w:pPr>
            <w:r>
              <w:rPr>
                <w:rFonts w:hint="eastAsia" w:ascii="宋体" w:hAnsi="宋体" w:eastAsia="宋体" w:cs="宋体"/>
                <w:sz w:val="21"/>
              </w:rPr>
              <w:t>人力资源部</w:t>
            </w:r>
          </w:p>
        </w:tc>
        <w:tc>
          <w:tcPr>
            <w:tcW w:w="5700" w:type="dxa"/>
            <w:tcMar>
              <w:top w:w="0" w:type="dxa"/>
              <w:left w:w="0" w:type="dxa"/>
              <w:bottom w:w="0" w:type="dxa"/>
              <w:right w:w="0" w:type="dxa"/>
            </w:tcMar>
          </w:tcPr>
          <w:p>
            <w:pPr>
              <w:spacing w:before="40"/>
            </w:pPr>
            <w:r>
              <w:rPr>
                <w:rFonts w:hint="eastAsia" w:ascii="宋体" w:hAnsi="宋体" w:eastAsia="宋体" w:cs="宋体"/>
                <w:sz w:val="21"/>
              </w:rPr>
              <w:t>负责公司人力资源管理体系的建立与管理实施工作</w:t>
            </w:r>
            <w:r>
              <w:rPr>
                <w:rFonts w:hint="eastAsia" w:ascii="宋体" w:hAnsi="宋体" w:eastAsia="宋体" w:cs="宋体"/>
                <w:sz w:val="10"/>
              </w:rPr>
              <w:t>，</w:t>
            </w:r>
            <w:r>
              <w:rPr>
                <w:rFonts w:hint="eastAsia" w:ascii="宋体" w:hAnsi="宋体" w:eastAsia="宋体" w:cs="宋体"/>
                <w:sz w:val="21"/>
              </w:rPr>
              <w:t>具体包</w:t>
            </w:r>
          </w:p>
          <w:p>
            <w:pPr>
              <w:spacing w:before="80"/>
            </w:pPr>
            <w:r>
              <w:rPr>
                <w:rFonts w:hint="eastAsia" w:ascii="宋体" w:hAnsi="宋体" w:eastAsia="宋体" w:cs="宋体"/>
                <w:sz w:val="21"/>
              </w:rPr>
              <w:t>括人员招聘</w:t>
            </w:r>
            <w:r>
              <w:rPr>
                <w:rFonts w:hint="eastAsia" w:ascii="宋体" w:hAnsi="宋体" w:eastAsia="宋体" w:cs="宋体"/>
                <w:sz w:val="10"/>
              </w:rPr>
              <w:t>、</w:t>
            </w:r>
            <w:r>
              <w:rPr>
                <w:rFonts w:hint="eastAsia" w:ascii="宋体" w:hAnsi="宋体" w:eastAsia="宋体" w:cs="宋体"/>
                <w:sz w:val="21"/>
              </w:rPr>
              <w:t>培训与考核</w:t>
            </w:r>
            <w:r>
              <w:rPr>
                <w:rFonts w:hint="eastAsia" w:ascii="宋体" w:hAnsi="宋体" w:eastAsia="宋体" w:cs="宋体"/>
                <w:sz w:val="10"/>
              </w:rPr>
              <w:t>、</w:t>
            </w:r>
            <w:r>
              <w:rPr>
                <w:rFonts w:hint="eastAsia" w:ascii="宋体" w:hAnsi="宋体" w:eastAsia="宋体" w:cs="宋体"/>
                <w:sz w:val="21"/>
              </w:rPr>
              <w:t>薪酬与激励及员工关系管理等</w:t>
            </w:r>
          </w:p>
        </w:tc>
      </w:tr>
      <w:tr>
        <w:trPr>
          <w:trHeight w:val="1260" w:hRule="exact"/>
        </w:trPr>
        <w:tc>
          <w:tcPr>
            <w:tcW w:w="820" w:type="dxa"/>
            <w:tcMar>
              <w:top w:w="0" w:type="dxa"/>
              <w:left w:w="0" w:type="dxa"/>
              <w:bottom w:w="0" w:type="dxa"/>
              <w:right w:w="0" w:type="dxa"/>
            </w:tcMar>
          </w:tcPr>
          <w:p>
            <w:pPr>
              <w:spacing w:before="520"/>
              <w:ind w:left="340"/>
            </w:pPr>
            <w:r>
              <w:rPr>
                <w:rFonts w:hint="eastAsia" w:ascii="Times New Roman" w:hAnsi="Times New Roman" w:eastAsia="Times New Roman" w:cs="Times New Roman"/>
                <w:sz w:val="21"/>
              </w:rPr>
              <w:t>8</w:t>
            </w:r>
          </w:p>
        </w:tc>
        <w:tc>
          <w:tcPr>
            <w:tcW w:w="2000" w:type="dxa"/>
            <w:tcMar>
              <w:top w:w="0" w:type="dxa"/>
              <w:left w:w="0" w:type="dxa"/>
              <w:bottom w:w="0" w:type="dxa"/>
              <w:right w:w="0" w:type="dxa"/>
            </w:tcMar>
          </w:tcPr>
          <w:p>
            <w:pPr>
              <w:spacing w:before="500"/>
              <w:ind w:left="100"/>
            </w:pPr>
            <w:r>
              <w:rPr>
                <w:rFonts w:hint="eastAsia" w:ascii="宋体" w:hAnsi="宋体" w:eastAsia="宋体" w:cs="宋体"/>
                <w:sz w:val="21"/>
              </w:rPr>
              <w:t>财务部</w:t>
            </w:r>
          </w:p>
        </w:tc>
        <w:tc>
          <w:tcPr>
            <w:tcW w:w="5700" w:type="dxa"/>
            <w:tcMar>
              <w:top w:w="0" w:type="dxa"/>
              <w:left w:w="0" w:type="dxa"/>
              <w:bottom w:w="0" w:type="dxa"/>
              <w:right w:w="0" w:type="dxa"/>
            </w:tcMar>
          </w:tcPr>
          <w:p>
            <w:pPr>
              <w:spacing w:before="20"/>
            </w:pPr>
            <w:r>
              <w:rPr>
                <w:rFonts w:hint="eastAsia" w:ascii="宋体" w:hAnsi="宋体" w:eastAsia="宋体" w:cs="宋体"/>
                <w:sz w:val="21"/>
              </w:rPr>
              <w:t>负责公司财务核算体系的建立及日常运营</w:t>
            </w:r>
            <w:r>
              <w:rPr>
                <w:rFonts w:hint="eastAsia" w:ascii="宋体" w:hAnsi="宋体" w:eastAsia="宋体" w:cs="宋体"/>
                <w:sz w:val="10"/>
              </w:rPr>
              <w:t>，</w:t>
            </w:r>
            <w:r>
              <w:rPr>
                <w:rFonts w:hint="eastAsia" w:ascii="宋体" w:hAnsi="宋体" w:eastAsia="宋体" w:cs="宋体"/>
                <w:sz w:val="21"/>
              </w:rPr>
              <w:t>具体包括资金管</w:t>
            </w:r>
          </w:p>
          <w:p>
            <w:pPr>
              <w:spacing w:before="100"/>
            </w:pPr>
            <w:r>
              <w:rPr>
                <w:rFonts w:hint="eastAsia" w:ascii="宋体" w:hAnsi="宋体" w:eastAsia="宋体" w:cs="宋体"/>
                <w:sz w:val="21"/>
              </w:rPr>
              <w:t>理</w:t>
            </w:r>
            <w:r>
              <w:rPr>
                <w:rFonts w:hint="eastAsia" w:ascii="宋体" w:hAnsi="宋体" w:eastAsia="宋体" w:cs="宋体"/>
                <w:sz w:val="10"/>
              </w:rPr>
              <w:t>、</w:t>
            </w:r>
            <w:r>
              <w:rPr>
                <w:rFonts w:hint="eastAsia" w:ascii="宋体" w:hAnsi="宋体" w:eastAsia="宋体" w:cs="宋体"/>
                <w:sz w:val="21"/>
              </w:rPr>
              <w:t>预决算管理</w:t>
            </w:r>
            <w:r>
              <w:rPr>
                <w:rFonts w:hint="eastAsia" w:ascii="宋体" w:hAnsi="宋体" w:eastAsia="宋体" w:cs="宋体"/>
                <w:sz w:val="10"/>
              </w:rPr>
              <w:t>、</w:t>
            </w:r>
            <w:r>
              <w:rPr>
                <w:rFonts w:hint="eastAsia" w:ascii="宋体" w:hAnsi="宋体" w:eastAsia="宋体" w:cs="宋体"/>
                <w:sz w:val="21"/>
              </w:rPr>
              <w:t>财务核算</w:t>
            </w:r>
            <w:r>
              <w:rPr>
                <w:rFonts w:hint="eastAsia" w:ascii="宋体" w:hAnsi="宋体" w:eastAsia="宋体" w:cs="宋体"/>
                <w:sz w:val="10"/>
              </w:rPr>
              <w:t>、</w:t>
            </w:r>
            <w:r>
              <w:rPr>
                <w:rFonts w:hint="eastAsia" w:ascii="宋体" w:hAnsi="宋体" w:eastAsia="宋体" w:cs="宋体"/>
                <w:sz w:val="21"/>
              </w:rPr>
              <w:t>财务分析等</w:t>
            </w:r>
            <w:r>
              <w:rPr>
                <w:rFonts w:hint="eastAsia" w:ascii="宋体" w:hAnsi="宋体" w:eastAsia="宋体" w:cs="宋体"/>
                <w:sz w:val="10"/>
              </w:rPr>
              <w:t>，</w:t>
            </w:r>
            <w:r>
              <w:rPr>
                <w:rFonts w:hint="eastAsia" w:ascii="宋体" w:hAnsi="宋体" w:eastAsia="宋体" w:cs="宋体"/>
                <w:sz w:val="21"/>
              </w:rPr>
              <w:t>为公司战略及日</w:t>
            </w:r>
          </w:p>
          <w:p>
            <w:pPr>
              <w:spacing w:before="80"/>
            </w:pPr>
            <w:r>
              <w:rPr>
                <w:rFonts w:hint="eastAsia" w:ascii="宋体" w:hAnsi="宋体" w:eastAsia="宋体" w:cs="宋体"/>
                <w:sz w:val="21"/>
              </w:rPr>
              <w:t>常经营决策提供依据</w:t>
            </w:r>
            <w:r>
              <w:rPr>
                <w:rFonts w:hint="eastAsia" w:ascii="宋体" w:hAnsi="宋体" w:eastAsia="宋体" w:cs="宋体"/>
                <w:sz w:val="10"/>
              </w:rPr>
              <w:t>，</w:t>
            </w:r>
            <w:r>
              <w:rPr>
                <w:rFonts w:hint="eastAsia" w:ascii="宋体" w:hAnsi="宋体" w:eastAsia="宋体" w:cs="宋体"/>
                <w:sz w:val="21"/>
              </w:rPr>
              <w:t>并配合外部机构</w:t>
            </w:r>
            <w:r>
              <w:rPr>
                <w:rFonts w:hint="eastAsia" w:ascii="宋体" w:hAnsi="宋体" w:eastAsia="宋体" w:cs="宋体"/>
                <w:sz w:val="20"/>
              </w:rPr>
              <w:t>（</w:t>
            </w:r>
            <w:r>
              <w:rPr>
                <w:rFonts w:hint="eastAsia" w:ascii="宋体" w:hAnsi="宋体" w:eastAsia="宋体" w:cs="宋体"/>
                <w:sz w:val="21"/>
              </w:rPr>
              <w:t>审计</w:t>
            </w:r>
            <w:r>
              <w:rPr>
                <w:rFonts w:hint="eastAsia" w:ascii="宋体" w:hAnsi="宋体" w:eastAsia="宋体" w:cs="宋体"/>
                <w:sz w:val="10"/>
              </w:rPr>
              <w:t>、</w:t>
            </w:r>
            <w:r>
              <w:rPr>
                <w:rFonts w:hint="eastAsia" w:ascii="宋体" w:hAnsi="宋体" w:eastAsia="宋体" w:cs="宋体"/>
                <w:sz w:val="21"/>
              </w:rPr>
              <w:t>税务等</w:t>
            </w:r>
            <w:r>
              <w:rPr>
                <w:rFonts w:hint="eastAsia" w:ascii="宋体" w:hAnsi="宋体" w:eastAsia="宋体" w:cs="宋体"/>
                <w:sz w:val="20"/>
              </w:rPr>
              <w:t>）</w:t>
            </w:r>
            <w:r>
              <w:rPr>
                <w:rFonts w:hint="eastAsia" w:ascii="宋体" w:hAnsi="宋体" w:eastAsia="宋体" w:cs="宋体"/>
                <w:sz w:val="21"/>
              </w:rPr>
              <w:t>对</w:t>
            </w:r>
          </w:p>
          <w:p>
            <w:pPr>
              <w:spacing w:before="100"/>
            </w:pPr>
            <w:r>
              <w:rPr>
                <w:rFonts w:hint="eastAsia" w:ascii="宋体" w:hAnsi="宋体" w:eastAsia="宋体" w:cs="宋体"/>
                <w:sz w:val="21"/>
              </w:rPr>
              <w:t>公司的检查监督活动</w:t>
            </w:r>
          </w:p>
        </w:tc>
      </w:tr>
      <w:tr>
        <w:trPr>
          <w:trHeight w:val="620" w:hRule="exact"/>
        </w:trPr>
        <w:tc>
          <w:tcPr>
            <w:tcW w:w="820" w:type="dxa"/>
            <w:tcMar>
              <w:top w:w="0" w:type="dxa"/>
              <w:left w:w="0" w:type="dxa"/>
              <w:bottom w:w="0" w:type="dxa"/>
              <w:right w:w="0" w:type="dxa"/>
            </w:tcMar>
          </w:tcPr>
          <w:p>
            <w:pPr>
              <w:spacing w:before="240"/>
              <w:ind w:left="340"/>
            </w:pPr>
            <w:r>
              <w:rPr>
                <w:rFonts w:hint="eastAsia" w:ascii="Times New Roman" w:hAnsi="Times New Roman" w:eastAsia="Times New Roman" w:cs="Times New Roman"/>
                <w:sz w:val="21"/>
              </w:rPr>
              <w:t>9</w:t>
            </w:r>
          </w:p>
        </w:tc>
        <w:tc>
          <w:tcPr>
            <w:tcW w:w="2000" w:type="dxa"/>
            <w:tcMar>
              <w:top w:w="0" w:type="dxa"/>
              <w:left w:w="0" w:type="dxa"/>
              <w:bottom w:w="0" w:type="dxa"/>
              <w:right w:w="0" w:type="dxa"/>
            </w:tcMar>
          </w:tcPr>
          <w:p>
            <w:pPr>
              <w:spacing w:before="180"/>
              <w:ind w:left="100"/>
            </w:pPr>
            <w:r>
              <w:rPr>
                <w:rFonts w:hint="eastAsia" w:ascii="宋体" w:hAnsi="宋体" w:eastAsia="宋体" w:cs="宋体"/>
                <w:sz w:val="21"/>
              </w:rPr>
              <w:t>行政部</w:t>
            </w:r>
          </w:p>
        </w:tc>
        <w:tc>
          <w:tcPr>
            <w:tcW w:w="5700" w:type="dxa"/>
            <w:tcMar>
              <w:top w:w="0" w:type="dxa"/>
              <w:left w:w="0" w:type="dxa"/>
              <w:bottom w:w="0" w:type="dxa"/>
              <w:right w:w="0" w:type="dxa"/>
            </w:tcMar>
          </w:tcPr>
          <w:p>
            <w:pPr>
              <w:spacing w:before="20"/>
            </w:pPr>
            <w:r>
              <w:rPr>
                <w:rFonts w:hint="eastAsia" w:ascii="宋体" w:hAnsi="宋体" w:eastAsia="宋体" w:cs="宋体"/>
                <w:sz w:val="21"/>
              </w:rPr>
              <w:t>负责公司行政管理制度的制定与执行</w:t>
            </w:r>
            <w:r>
              <w:rPr>
                <w:rFonts w:hint="eastAsia" w:ascii="宋体" w:hAnsi="宋体" w:eastAsia="宋体" w:cs="宋体"/>
                <w:sz w:val="10"/>
              </w:rPr>
              <w:t>，</w:t>
            </w:r>
            <w:r>
              <w:rPr>
                <w:rFonts w:hint="eastAsia" w:ascii="宋体" w:hAnsi="宋体" w:eastAsia="宋体" w:cs="宋体"/>
                <w:sz w:val="21"/>
              </w:rPr>
              <w:t>承担对公司后勤工作</w:t>
            </w:r>
          </w:p>
          <w:p>
            <w:pPr>
              <w:spacing w:before="100"/>
            </w:pPr>
            <w:r>
              <w:rPr>
                <w:rFonts w:hint="eastAsia" w:ascii="宋体" w:hAnsi="宋体" w:eastAsia="宋体" w:cs="宋体"/>
                <w:sz w:val="21"/>
              </w:rPr>
              <w:t>的协调</w:t>
            </w:r>
            <w:r>
              <w:rPr>
                <w:rFonts w:hint="eastAsia" w:ascii="宋体" w:hAnsi="宋体" w:eastAsia="宋体" w:cs="宋体"/>
                <w:sz w:val="10"/>
              </w:rPr>
              <w:t>、</w:t>
            </w:r>
            <w:r>
              <w:rPr>
                <w:rFonts w:hint="eastAsia" w:ascii="宋体" w:hAnsi="宋体" w:eastAsia="宋体" w:cs="宋体"/>
                <w:sz w:val="21"/>
              </w:rPr>
              <w:t>监督等管理职责</w:t>
            </w:r>
          </w:p>
        </w:tc>
      </w:tr>
      <w:tr>
        <w:trPr>
          <w:trHeight w:val="1260" w:hRule="exact"/>
        </w:trPr>
        <w:tc>
          <w:tcPr>
            <w:tcW w:w="820" w:type="dxa"/>
            <w:tcMar>
              <w:top w:w="0" w:type="dxa"/>
              <w:left w:w="0" w:type="dxa"/>
              <w:bottom w:w="0" w:type="dxa"/>
              <w:right w:w="0" w:type="dxa"/>
            </w:tcMar>
          </w:tcPr>
          <w:p>
            <w:pPr>
              <w:spacing w:before="560"/>
              <w:ind w:left="280"/>
            </w:pPr>
            <w:r>
              <w:rPr>
                <w:rFonts w:hint="eastAsia" w:ascii="Times New Roman" w:hAnsi="Times New Roman" w:eastAsia="Times New Roman" w:cs="Times New Roman"/>
                <w:sz w:val="21"/>
              </w:rPr>
              <w:t>10</w:t>
            </w:r>
          </w:p>
        </w:tc>
        <w:tc>
          <w:tcPr>
            <w:tcW w:w="2000" w:type="dxa"/>
            <w:tcMar>
              <w:top w:w="0" w:type="dxa"/>
              <w:left w:w="0" w:type="dxa"/>
              <w:bottom w:w="0" w:type="dxa"/>
              <w:right w:w="0" w:type="dxa"/>
            </w:tcMar>
          </w:tcPr>
          <w:p>
            <w:pPr>
              <w:spacing w:before="520"/>
              <w:ind w:left="100"/>
            </w:pPr>
            <w:r>
              <w:rPr>
                <w:rFonts w:hint="eastAsia" w:ascii="宋体" w:hAnsi="宋体" w:eastAsia="宋体" w:cs="宋体"/>
                <w:sz w:val="21"/>
              </w:rPr>
              <w:t>质量管理部</w:t>
            </w:r>
          </w:p>
        </w:tc>
        <w:tc>
          <w:tcPr>
            <w:tcW w:w="5700" w:type="dxa"/>
            <w:tcMar>
              <w:top w:w="0" w:type="dxa"/>
              <w:left w:w="0" w:type="dxa"/>
              <w:bottom w:w="0" w:type="dxa"/>
              <w:right w:w="0" w:type="dxa"/>
            </w:tcMar>
          </w:tcPr>
          <w:p>
            <w:pPr>
              <w:spacing w:before="40"/>
            </w:pPr>
            <w:r>
              <w:rPr>
                <w:rFonts w:hint="eastAsia" w:ascii="宋体" w:hAnsi="宋体" w:eastAsia="宋体" w:cs="宋体"/>
                <w:sz w:val="21"/>
              </w:rPr>
              <w:t>负责公司质量控制管理标准制定及实施</w:t>
            </w:r>
            <w:r>
              <w:rPr>
                <w:rFonts w:hint="eastAsia" w:ascii="宋体" w:hAnsi="宋体" w:eastAsia="宋体" w:cs="宋体"/>
                <w:sz w:val="10"/>
              </w:rPr>
              <w:t>、</w:t>
            </w:r>
            <w:r>
              <w:rPr>
                <w:rFonts w:hint="eastAsia" w:ascii="宋体" w:hAnsi="宋体" w:eastAsia="宋体" w:cs="宋体"/>
                <w:sz w:val="21"/>
              </w:rPr>
              <w:t>项目监察</w:t>
            </w:r>
            <w:r>
              <w:rPr>
                <w:rFonts w:hint="eastAsia" w:ascii="宋体" w:hAnsi="宋体" w:eastAsia="宋体" w:cs="宋体"/>
                <w:sz w:val="10"/>
              </w:rPr>
              <w:t>、</w:t>
            </w:r>
            <w:r>
              <w:rPr>
                <w:rFonts w:hint="eastAsia" w:ascii="宋体" w:hAnsi="宋体" w:eastAsia="宋体" w:cs="宋体"/>
                <w:sz w:val="21"/>
              </w:rPr>
              <w:t>软件的</w:t>
            </w:r>
          </w:p>
          <w:p>
            <w:pPr>
              <w:spacing w:before="100"/>
            </w:pPr>
            <w:r>
              <w:rPr>
                <w:rFonts w:hint="eastAsia" w:ascii="宋体" w:hAnsi="宋体" w:eastAsia="宋体" w:cs="宋体"/>
                <w:sz w:val="21"/>
              </w:rPr>
              <w:t>测试和配置管理规范的制定</w:t>
            </w:r>
            <w:r>
              <w:rPr>
                <w:rFonts w:hint="eastAsia" w:ascii="宋体" w:hAnsi="宋体" w:eastAsia="宋体" w:cs="宋体"/>
                <w:sz w:val="10"/>
              </w:rPr>
              <w:t>、</w:t>
            </w:r>
            <w:r>
              <w:rPr>
                <w:rFonts w:hint="eastAsia" w:ascii="宋体" w:hAnsi="宋体" w:eastAsia="宋体" w:cs="宋体"/>
                <w:sz w:val="21"/>
              </w:rPr>
              <w:t>培训</w:t>
            </w:r>
            <w:r>
              <w:rPr>
                <w:rFonts w:hint="eastAsia" w:ascii="宋体" w:hAnsi="宋体" w:eastAsia="宋体" w:cs="宋体"/>
                <w:sz w:val="10"/>
              </w:rPr>
              <w:t>、</w:t>
            </w:r>
            <w:r>
              <w:rPr>
                <w:rFonts w:hint="eastAsia" w:ascii="宋体" w:hAnsi="宋体" w:eastAsia="宋体" w:cs="宋体"/>
                <w:sz w:val="21"/>
              </w:rPr>
              <w:t>项目的评估和评审以及</w:t>
            </w:r>
          </w:p>
          <w:p>
            <w:pPr>
              <w:spacing w:before="80"/>
            </w:pPr>
            <w:r>
              <w:rPr>
                <w:rFonts w:hint="eastAsia" w:ascii="宋体" w:hAnsi="宋体" w:eastAsia="宋体" w:cs="宋体"/>
                <w:sz w:val="21"/>
              </w:rPr>
              <w:t>质量体系的内审和改进等事宜</w:t>
            </w:r>
            <w:r>
              <w:rPr>
                <w:rFonts w:hint="eastAsia" w:ascii="宋体" w:hAnsi="宋体" w:eastAsia="宋体" w:cs="宋体"/>
                <w:sz w:val="12"/>
              </w:rPr>
              <w:t>；</w:t>
            </w:r>
            <w:r>
              <w:rPr>
                <w:rFonts w:hint="eastAsia" w:ascii="宋体" w:hAnsi="宋体" w:eastAsia="宋体" w:cs="宋体"/>
                <w:sz w:val="21"/>
              </w:rPr>
              <w:t>负责公司内部网络运行和信</w:t>
            </w:r>
          </w:p>
          <w:p>
            <w:pPr>
              <w:spacing w:before="100"/>
            </w:pPr>
            <w:r>
              <w:rPr>
                <w:rFonts w:hint="eastAsia" w:ascii="宋体" w:hAnsi="宋体" w:eastAsia="宋体" w:cs="宋体"/>
                <w:sz w:val="21"/>
              </w:rPr>
              <w:t>息化系统</w:t>
            </w:r>
          </w:p>
        </w:tc>
      </w:tr>
      <w:tr>
        <w:trPr>
          <w:trHeight w:val="620" w:hRule="exact"/>
        </w:trPr>
        <w:tc>
          <w:tcPr>
            <w:tcW w:w="820" w:type="dxa"/>
            <w:tcMar>
              <w:top w:w="0" w:type="dxa"/>
              <w:left w:w="0" w:type="dxa"/>
              <w:bottom w:w="0" w:type="dxa"/>
              <w:right w:w="0" w:type="dxa"/>
            </w:tcMar>
          </w:tcPr>
          <w:p>
            <w:pPr>
              <w:spacing w:before="220"/>
              <w:ind w:left="300"/>
            </w:pPr>
            <w:r>
              <w:rPr>
                <w:rFonts w:hint="eastAsia" w:ascii="Times New Roman" w:hAnsi="Times New Roman" w:eastAsia="Times New Roman" w:cs="Times New Roman"/>
                <w:sz w:val="21"/>
              </w:rPr>
              <w:t>11</w:t>
            </w:r>
          </w:p>
        </w:tc>
        <w:tc>
          <w:tcPr>
            <w:tcW w:w="2000" w:type="dxa"/>
            <w:tcMar>
              <w:top w:w="0" w:type="dxa"/>
              <w:left w:w="0" w:type="dxa"/>
              <w:bottom w:w="0" w:type="dxa"/>
              <w:right w:w="0" w:type="dxa"/>
            </w:tcMar>
          </w:tcPr>
          <w:p>
            <w:pPr>
              <w:spacing w:before="200"/>
              <w:ind w:left="100"/>
            </w:pPr>
            <w:r>
              <w:rPr>
                <w:rFonts w:hint="eastAsia" w:ascii="宋体" w:hAnsi="宋体" w:eastAsia="宋体" w:cs="宋体"/>
                <w:sz w:val="21"/>
              </w:rPr>
              <w:t>总经办</w:t>
            </w:r>
          </w:p>
        </w:tc>
        <w:tc>
          <w:tcPr>
            <w:tcW w:w="5700" w:type="dxa"/>
            <w:tcMar>
              <w:top w:w="0" w:type="dxa"/>
              <w:left w:w="0" w:type="dxa"/>
              <w:bottom w:w="0" w:type="dxa"/>
              <w:right w:w="0" w:type="dxa"/>
            </w:tcMar>
          </w:tcPr>
          <w:p>
            <w:pPr>
              <w:spacing w:before="40"/>
            </w:pPr>
            <w:r>
              <w:rPr>
                <w:rFonts w:hint="eastAsia" w:ascii="宋体" w:hAnsi="宋体" w:eastAsia="宋体" w:cs="宋体"/>
                <w:sz w:val="21"/>
              </w:rPr>
              <w:t>协助总经理完成公司的日常管理工作</w:t>
            </w:r>
            <w:r>
              <w:rPr>
                <w:rFonts w:hint="eastAsia" w:ascii="宋体" w:hAnsi="宋体" w:eastAsia="宋体" w:cs="宋体"/>
                <w:sz w:val="12"/>
              </w:rPr>
              <w:t>；</w:t>
            </w:r>
            <w:r>
              <w:rPr>
                <w:rFonts w:hint="eastAsia" w:ascii="宋体" w:hAnsi="宋体" w:eastAsia="宋体" w:cs="宋体"/>
                <w:sz w:val="21"/>
              </w:rPr>
              <w:t>负责公司规章制度的</w:t>
            </w:r>
          </w:p>
          <w:p>
            <w:pPr>
              <w:spacing w:before="80"/>
            </w:pPr>
            <w:r>
              <w:rPr>
                <w:rFonts w:hint="eastAsia" w:ascii="宋体" w:hAnsi="宋体" w:eastAsia="宋体" w:cs="宋体"/>
                <w:sz w:val="21"/>
              </w:rPr>
              <w:t>归口管理</w:t>
            </w:r>
            <w:r>
              <w:rPr>
                <w:rFonts w:hint="eastAsia" w:ascii="宋体" w:hAnsi="宋体" w:eastAsia="宋体" w:cs="宋体"/>
                <w:sz w:val="10"/>
              </w:rPr>
              <w:t>；</w:t>
            </w:r>
            <w:r>
              <w:rPr>
                <w:rFonts w:hint="eastAsia" w:ascii="宋体" w:hAnsi="宋体" w:eastAsia="宋体" w:cs="宋体"/>
                <w:sz w:val="21"/>
              </w:rPr>
              <w:t>负责公司对外公共关系等工作</w:t>
            </w:r>
          </w:p>
        </w:tc>
      </w:tr>
    </w:tbl>
    <w:p>
      <w:pPr>
        <w:spacing w:line="200" w:lineRule="exact"/>
        <w:rPr>
          <w:rFonts w:hint="eastAsia" w:ascii="宋体" w:hAnsi="宋体" w:eastAsia="宋体" w:cs="宋体"/>
          <w:sz w:val="20"/>
        </w:rPr>
      </w:pPr>
    </w:p>
    <w:p>
      <w:pPr>
        <w:autoSpaceDE w:val="false"/>
        <w:autoSpaceDN w:val="false"/>
        <w:spacing w:line="440" w:lineRule="exact"/>
        <w:ind w:left="1800"/>
        <w:jc w:val="both"/>
      </w:pPr>
      <w:r>
        <w:rPr>
          <w:rFonts w:hint="eastAsia" w:ascii="ºÚÌå" w:hAnsi="ºÚÌå" w:eastAsia="ºÚÌå" w:cs="ºÚÌå"/>
          <w:sz w:val="30"/>
        </w:rPr>
        <w:t>六</w:t>
      </w:r>
      <w:r>
        <w:rPr>
          <w:rFonts w:hint="eastAsia" w:ascii="ºÚÌå" w:hAnsi="ºÚÌå" w:eastAsia="ºÚÌå" w:cs="ºÚÌå"/>
          <w:sz w:val="10"/>
        </w:rPr>
        <w:t>、</w:t>
      </w:r>
      <w:r>
        <w:rPr>
          <w:rFonts w:hint="eastAsia" w:ascii="ºÚÌå" w:hAnsi="ºÚÌå" w:eastAsia="ºÚÌå" w:cs="ºÚÌå"/>
          <w:sz w:val="30"/>
        </w:rPr>
        <w:t>公司控股及参股公司情况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本公司有顶点数码</w:t>
      </w:r>
      <w:r>
        <w:rPr>
          <w:rFonts w:hint="eastAsia" w:ascii="宋体" w:hAnsi="宋体" w:eastAsia="宋体" w:cs="宋体"/>
          <w:sz w:val="10"/>
        </w:rPr>
        <w:t>、</w:t>
      </w:r>
      <w:r>
        <w:rPr>
          <w:rFonts w:hint="eastAsia" w:ascii="宋体" w:hAnsi="宋体" w:eastAsia="宋体" w:cs="宋体"/>
          <w:sz w:val="24"/>
        </w:rPr>
        <w:t>顶点信息</w:t>
      </w:r>
      <w:r>
        <w:rPr>
          <w:rFonts w:hint="eastAsia" w:ascii="宋体" w:hAnsi="宋体" w:eastAsia="宋体" w:cs="宋体"/>
          <w:sz w:val="10"/>
        </w:rPr>
        <w:t>、</w:t>
      </w:r>
      <w:r>
        <w:rPr>
          <w:rFonts w:hint="eastAsia" w:ascii="宋体" w:hAnsi="宋体" w:eastAsia="宋体" w:cs="宋体"/>
          <w:sz w:val="24"/>
        </w:rPr>
        <w:t>北京顶点</w:t>
      </w:r>
      <w:r>
        <w:rPr>
          <w:rFonts w:hint="eastAsia" w:ascii="宋体" w:hAnsi="宋体" w:eastAsia="宋体" w:cs="宋体"/>
          <w:sz w:val="10"/>
        </w:rPr>
        <w:t>、</w:t>
      </w:r>
      <w:r>
        <w:rPr>
          <w:rFonts w:hint="eastAsia" w:ascii="宋体" w:hAnsi="宋体" w:eastAsia="宋体" w:cs="宋体"/>
          <w:sz w:val="24"/>
        </w:rPr>
        <w:t>上海顶点</w:t>
      </w:r>
      <w:r>
        <w:rPr>
          <w:rFonts w:hint="eastAsia" w:ascii="宋体" w:hAnsi="宋体" w:eastAsia="宋体" w:cs="宋体"/>
          <w:sz w:val="10"/>
        </w:rPr>
        <w:t>、</w:t>
      </w:r>
      <w:r>
        <w:rPr>
          <w:rFonts w:hint="eastAsia" w:ascii="宋体" w:hAnsi="宋体" w:eastAsia="宋体" w:cs="宋体"/>
          <w:sz w:val="24"/>
        </w:rPr>
        <w:t>武汉顶点</w:t>
      </w:r>
      <w:r>
        <w:rPr>
          <w:rFonts w:hint="eastAsia" w:ascii="宋体" w:hAnsi="宋体" w:eastAsia="宋体" w:cs="宋体"/>
          <w:sz w:val="10"/>
        </w:rPr>
        <w:t>、</w:t>
      </w:r>
      <w:r>
        <w:rPr>
          <w:rFonts w:hint="eastAsia" w:ascii="宋体" w:hAnsi="宋体" w:eastAsia="宋体" w:cs="宋体"/>
          <w:sz w:val="24"/>
        </w:rPr>
        <w:t>亿维航软件等</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家全资及控股子公司</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报告期内本公司还曾经参股软件园产业公司</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基本情况如下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（一）控股公司</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顶点数码</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）基本情况</w:t>
      </w:r>
    </w:p>
    <w:p>
      <w:pPr>
        <w:spacing w:line="200" w:lineRule="exact"/>
        <w:rPr>
          <w:rFonts w:hint="eastAsia" w:ascii="宋体" w:hAnsi="宋体" w:eastAsia="宋体" w:cs="宋体"/>
          <w:sz w:val="20"/>
        </w:rPr>
      </w:pPr>
    </w:p>
    <w:p>
      <w:pPr>
        <w:tabs>
          <w:tab w:val="left" w:pos="4600"/>
        </w:tabs>
        <w:autoSpaceDE w:val="false"/>
        <w:autoSpaceDN w:val="false"/>
        <w:spacing w:line="340" w:lineRule="exact"/>
        <w:ind w:left="2280"/>
        <w:jc w:val="both"/>
      </w:pPr>
      <w:r>
        <w:rPr>
          <w:rFonts w:hint="eastAsia" w:ascii="宋体" w:hAnsi="宋体" w:eastAsia="宋体" w:cs="宋体"/>
          <w:sz w:val="24"/>
        </w:rPr>
        <w:t>法定代表人</w:t>
      </w:r>
      <w:r>
        <w:rPr>
          <w:rFonts w:hint="eastAsia" w:ascii="宋体" w:hAnsi="宋体" w:eastAsia="宋体" w:cs="宋体"/>
          <w:sz w:val="12"/>
        </w:rPr>
        <w:t>：</w:t>
      </w:r>
      <w:r>
        <w:tab/>
      </w:r>
      <w:r>
        <w:rPr>
          <w:rFonts w:hint="eastAsia" w:ascii="宋体" w:hAnsi="宋体" w:eastAsia="宋体" w:cs="宋体"/>
          <w:sz w:val="24"/>
        </w:rPr>
        <w:t>严孟宇</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成立时间</w:t>
      </w:r>
      <w:r>
        <w:rPr>
          <w:rFonts w:hint="eastAsia" w:ascii="宋体" w:hAnsi="宋体" w:eastAsia="宋体" w:cs="宋体"/>
          <w:sz w:val="10"/>
        </w:rPr>
        <w:t>：</w:t>
      </w:r>
      <w:r>
        <w:tab/>
      </w:r>
      <w:r>
        <w:rPr>
          <w:rFonts w:hint="eastAsia" w:ascii="Times New Roman" w:hAnsi="Times New Roman" w:eastAsia="Times New Roman" w:cs="Times New Roman"/>
          <w:sz w:val="24"/>
        </w:rPr>
        <w:t>2001</w:t>
      </w:r>
      <w:r>
        <w:rPr>
          <w:rFonts w:hint="eastAsia" w:ascii="宋体" w:hAnsi="宋体" w:eastAsia="宋体" w:cs="宋体"/>
          <w:sz w:val="24"/>
        </w:rPr>
        <w:t>年</w:t>
      </w:r>
      <w:r>
        <w:rPr>
          <w:rFonts w:hint="eastAsia" w:ascii="Times New Roman" w:hAnsi="Times New Roman" w:eastAsia="Times New Roman" w:cs="Times New Roman"/>
          <w:sz w:val="24"/>
        </w:rPr>
        <w:t>4</w:t>
      </w:r>
      <w:r>
        <w:rPr>
          <w:rFonts w:hint="eastAsia" w:ascii="宋体" w:hAnsi="宋体" w:eastAsia="宋体" w:cs="宋体"/>
          <w:sz w:val="24"/>
        </w:rPr>
        <w:t>月</w:t>
      </w:r>
      <w:r>
        <w:rPr>
          <w:rFonts w:hint="eastAsia" w:ascii="Times New Roman" w:hAnsi="Times New Roman" w:eastAsia="Times New Roman" w:cs="Times New Roman"/>
          <w:sz w:val="24"/>
        </w:rPr>
        <w:t>6</w:t>
      </w:r>
      <w:r>
        <w:rPr>
          <w:rFonts w:hint="eastAsia" w:ascii="宋体" w:hAnsi="宋体" w:eastAsia="宋体" w:cs="宋体"/>
          <w:sz w:val="24"/>
        </w:rPr>
        <w:t>日</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注册资本</w:t>
      </w:r>
      <w:r>
        <w:rPr>
          <w:rFonts w:hint="eastAsia" w:ascii="宋体" w:hAnsi="宋体" w:eastAsia="宋体" w:cs="宋体"/>
          <w:sz w:val="12"/>
        </w:rPr>
        <w:t>：</w:t>
      </w:r>
      <w:r>
        <w:tab/>
      </w:r>
      <w:r>
        <w:rPr>
          <w:rFonts w:hint="eastAsia" w:ascii="Times New Roman" w:hAnsi="Times New Roman" w:eastAsia="Times New Roman" w:cs="Times New Roman"/>
          <w:sz w:val="24"/>
        </w:rPr>
        <w:t>500.00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实收资本</w:t>
      </w:r>
      <w:r>
        <w:rPr>
          <w:rFonts w:hint="eastAsia" w:ascii="宋体" w:hAnsi="宋体" w:eastAsia="宋体" w:cs="宋体"/>
          <w:sz w:val="12"/>
        </w:rPr>
        <w:t>：</w:t>
      </w:r>
      <w:r>
        <w:tab/>
      </w:r>
      <w:r>
        <w:rPr>
          <w:rFonts w:hint="eastAsia" w:ascii="Times New Roman" w:hAnsi="Times New Roman" w:eastAsia="Times New Roman" w:cs="Times New Roman"/>
          <w:sz w:val="24"/>
        </w:rPr>
        <w:t>500.00</w:t>
      </w:r>
      <w:r>
        <w:rPr>
          <w:rFonts w:hint="eastAsia" w:ascii="宋体" w:hAnsi="宋体" w:eastAsia="宋体" w:cs="宋体"/>
          <w:sz w:val="24"/>
        </w:rPr>
        <w:t>万元</w:t>
      </w:r>
    </w:p>
    <w:p>
      <w:pPr>
        <w:spacing w:line="200" w:lineRule="exact"/>
        <w:rPr>
          <w:rFonts w:hint="eastAsia" w:ascii="宋体" w:hAnsi="宋体" w:eastAsia="宋体" w:cs="宋体"/>
          <w:sz w:val="20"/>
        </w:rPr>
      </w:pPr>
    </w:p>
    <w:p>
      <w:pPr>
        <w:autoSpaceDE w:val="false"/>
        <w:autoSpaceDN w:val="false"/>
        <w:spacing w:line="260" w:lineRule="exact"/>
        <w:ind w:left="2280"/>
        <w:jc w:val="both"/>
      </w:pPr>
      <w:r>
        <w:rPr>
          <w:rFonts w:hint="eastAsia" w:ascii="宋体" w:hAnsi="宋体" w:eastAsia="宋体" w:cs="宋体"/>
          <w:sz w:val="24"/>
        </w:rPr>
        <w:t>统一社会信用代码</w:t>
      </w:r>
      <w:r>
        <w:rPr>
          <w:rFonts w:hint="eastAsia" w:ascii="宋体" w:hAnsi="宋体" w:eastAsia="宋体" w:cs="宋体"/>
          <w:sz w:val="10"/>
        </w:rPr>
        <w:t>：</w:t>
      </w:r>
      <w:r>
        <w:rPr>
          <w:rFonts w:hint="eastAsia" w:ascii="Times New Roman" w:hAnsi="Times New Roman" w:eastAsia="Times New Roman" w:cs="Times New Roman"/>
          <w:sz w:val="24"/>
        </w:rPr>
        <w:t>91350105727899053J</w:t>
      </w:r>
    </w:p>
    <w:p>
      <w:pPr>
        <w:sectPr>
          <w:type w:val="nextPage"/>
          <w:pgSz w:w="11900" w:h="16820"/>
          <w:pgMar w:top="0" w:right="0" w:bottom="0" w:left="0"/>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宋体" w:hAnsi="宋体" w:eastAsia="宋体" w:cs="宋体"/>
          <w:sz w:val="24"/>
        </w:rPr>
        <w:t>住所</w:t>
      </w:r>
      <w:r>
        <w:rPr>
          <w:rFonts w:hint="eastAsia" w:ascii="宋体" w:hAnsi="宋体" w:eastAsia="宋体" w:cs="宋体"/>
          <w:sz w:val="10"/>
        </w:rPr>
        <w:t>：</w:t>
      </w:r>
    </w:p>
    <w:p>
      <w:pPr>
        <w:spacing w:line="200" w:lineRule="exact"/>
        <w:rPr>
          <w:rFonts w:hint="eastAsia" w:ascii="宋体" w:hAnsi="宋体" w:eastAsia="宋体" w:cs="宋体"/>
          <w:sz w:val="20"/>
        </w:rPr>
      </w:pPr>
      <w:r>
        <w:br w:type="column"/>
      </w:r>
    </w:p>
    <w:p>
      <w:pPr>
        <w:autoSpaceDE w:val="false"/>
        <w:autoSpaceDN w:val="false"/>
        <w:spacing w:line="360" w:lineRule="exact"/>
        <w:ind w:left="0" w:right="0"/>
        <w:jc w:val="both"/>
      </w:pPr>
      <w:r>
        <w:rPr>
          <w:rFonts w:hint="eastAsia" w:ascii="宋体" w:hAnsi="宋体" w:eastAsia="宋体" w:cs="宋体"/>
          <w:sz w:val="24"/>
        </w:rPr>
        <w:t>福州市马尾区快安延伸区</w:t>
      </w:r>
      <w:r>
        <w:rPr>
          <w:rFonts w:hint="eastAsia" w:ascii="Times New Roman" w:hAnsi="Times New Roman" w:eastAsia="Times New Roman" w:cs="Times New Roman"/>
          <w:sz w:val="24"/>
        </w:rPr>
        <w:t>14#</w:t>
      </w:r>
      <w:r>
        <w:rPr>
          <w:rFonts w:hint="eastAsia" w:ascii="宋体" w:hAnsi="宋体" w:eastAsia="宋体" w:cs="宋体"/>
          <w:sz w:val="24"/>
        </w:rPr>
        <w:t>地创新楼</w:t>
      </w:r>
      <w:r>
        <w:rPr>
          <w:rFonts w:hint="eastAsia" w:ascii="Times New Roman" w:hAnsi="Times New Roman" w:eastAsia="Times New Roman" w:cs="Times New Roman"/>
          <w:sz w:val="24"/>
        </w:rPr>
        <w:t>6</w:t>
      </w:r>
      <w:r>
        <w:rPr>
          <w:rFonts w:hint="eastAsia" w:ascii="宋体" w:hAnsi="宋体" w:eastAsia="宋体" w:cs="宋体"/>
          <w:sz w:val="24"/>
        </w:rPr>
        <w:t>层</w:t>
      </w:r>
      <w:r>
        <w:rPr>
          <w:rFonts w:hint="eastAsia" w:ascii="Times New Roman" w:hAnsi="Times New Roman" w:eastAsia="Times New Roman" w:cs="Times New Roman"/>
          <w:sz w:val="24"/>
        </w:rPr>
        <w:t>8</w:t>
      </w:r>
      <w:r>
        <w:rPr>
          <w:rFonts w:hint="eastAsia" w:ascii="宋体" w:hAnsi="宋体" w:eastAsia="宋体" w:cs="宋体"/>
          <w:sz w:val="24"/>
        </w:rPr>
        <w:t>房（自贸试验区内）</w:t>
      </w:r>
    </w:p>
    <w:p>
      <w:pPr>
        <w:sectPr>
          <w:type w:val="continuous"/>
          <w:pgSz w:w="11900" w:h="16820"/>
          <w:pgMar w:top="0" w:right="0" w:bottom="0" w:left="0"/>
          <w:cols w:equalWidth="false" w:num="2" w:sep="false">
            <w:col w:w="2900" w:space="1700"/>
            <w:col w:w="5660"/>
          </w:cols>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1-1-70</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20" w:lineRule="exact"/>
        <w:ind w:left="4600"/>
        <w:jc w:val="both"/>
      </w:pPr>
      <w:r>
        <w:rPr>
          <w:rFonts w:hint="eastAsia" w:ascii="宋体" w:hAnsi="宋体" w:eastAsia="宋体" w:cs="宋体"/>
          <w:sz w:val="24"/>
        </w:rPr>
        <w:t>计算机软件及网络产品的开发</w:t>
      </w:r>
      <w:r>
        <w:rPr>
          <w:rFonts w:hint="eastAsia" w:ascii="宋体" w:hAnsi="宋体" w:eastAsia="宋体" w:cs="宋体"/>
          <w:sz w:val="10"/>
        </w:rPr>
        <w:t>、</w:t>
      </w:r>
      <w:r>
        <w:rPr>
          <w:rFonts w:hint="eastAsia" w:ascii="宋体" w:hAnsi="宋体" w:eastAsia="宋体" w:cs="宋体"/>
          <w:sz w:val="24"/>
        </w:rPr>
        <w:t>销售</w:t>
      </w:r>
      <w:r>
        <w:rPr>
          <w:rFonts w:hint="eastAsia" w:ascii="宋体" w:hAnsi="宋体" w:eastAsia="宋体" w:cs="宋体"/>
          <w:sz w:val="10"/>
        </w:rPr>
        <w:t>、</w:t>
      </w:r>
      <w:r>
        <w:rPr>
          <w:rFonts w:hint="eastAsia" w:ascii="宋体" w:hAnsi="宋体" w:eastAsia="宋体" w:cs="宋体"/>
          <w:sz w:val="24"/>
        </w:rPr>
        <w:t>技术转让</w:t>
      </w:r>
      <w:r>
        <w:rPr>
          <w:rFonts w:hint="eastAsia" w:ascii="宋体" w:hAnsi="宋体" w:eastAsia="宋体" w:cs="宋体"/>
          <w:sz w:val="10"/>
        </w:rPr>
        <w:t>、</w:t>
      </w:r>
      <w:r>
        <w:rPr>
          <w:rFonts w:hint="eastAsia" w:ascii="宋体" w:hAnsi="宋体" w:eastAsia="宋体" w:cs="宋体"/>
          <w:sz w:val="24"/>
        </w:rPr>
        <w:t>技</w:t>
      </w:r>
    </w:p>
    <w:p>
      <w:pPr>
        <w:sectPr>
          <w:type w:val="nextPage"/>
          <w:pgSz w:w="11900" w:h="16820"/>
          <w:pgMar w:top="0" w:right="0" w:bottom="0" w:left="0"/>
        </w:sect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经营范围</w:t>
      </w:r>
      <w:r>
        <w:rPr>
          <w:rFonts w:hint="eastAsia" w:ascii="宋体" w:hAnsi="宋体" w:eastAsia="宋体" w:cs="宋体"/>
          <w:sz w:val="10"/>
        </w:rPr>
        <w:t>：</w:t>
      </w:r>
    </w:p>
    <w:p>
      <w:pPr>
        <w:spacing w:line="200" w:lineRule="exact"/>
        <w:rPr>
          <w:rFonts w:hint="eastAsia" w:ascii="宋体" w:hAnsi="宋体" w:eastAsia="宋体" w:cs="宋体"/>
          <w:sz w:val="20"/>
        </w:rPr>
      </w:pPr>
      <w:r>
        <w:br w:type="column"/>
      </w:r>
    </w:p>
    <w:p>
      <w:pPr>
        <w:autoSpaceDE w:val="false"/>
        <w:autoSpaceDN w:val="false"/>
        <w:spacing w:line="360" w:lineRule="exact"/>
        <w:ind w:left="0" w:right="0"/>
        <w:jc w:val="both"/>
      </w:pPr>
      <w:r>
        <w:rPr>
          <w:rFonts w:hint="eastAsia" w:ascii="宋体" w:hAnsi="宋体" w:eastAsia="宋体" w:cs="宋体"/>
          <w:sz w:val="24"/>
        </w:rPr>
        <w:t>术咨询</w:t>
      </w:r>
      <w:r>
        <w:rPr>
          <w:rFonts w:hint="eastAsia" w:ascii="宋体" w:hAnsi="宋体" w:eastAsia="宋体" w:cs="宋体"/>
          <w:sz w:val="12"/>
        </w:rPr>
        <w:t>；</w:t>
      </w:r>
      <w:r>
        <w:rPr>
          <w:rFonts w:hint="eastAsia" w:ascii="宋体" w:hAnsi="宋体" w:eastAsia="宋体" w:cs="宋体"/>
          <w:sz w:val="24"/>
        </w:rPr>
        <w:t>计算机及软件批发</w:t>
      </w:r>
      <w:r>
        <w:rPr>
          <w:rFonts w:hint="eastAsia" w:ascii="宋体" w:hAnsi="宋体" w:eastAsia="宋体" w:cs="宋体"/>
          <w:sz w:val="10"/>
        </w:rPr>
        <w:t>、</w:t>
      </w:r>
      <w:r>
        <w:rPr>
          <w:rFonts w:hint="eastAsia" w:ascii="宋体" w:hAnsi="宋体" w:eastAsia="宋体" w:cs="宋体"/>
          <w:sz w:val="24"/>
        </w:rPr>
        <w:t>代购代销（依法须经批准的项目</w:t>
      </w:r>
      <w:r>
        <w:rPr>
          <w:rFonts w:hint="eastAsia" w:ascii="宋体" w:hAnsi="宋体" w:eastAsia="宋体" w:cs="宋体"/>
          <w:sz w:val="10"/>
        </w:rPr>
        <w:t>，</w:t>
      </w:r>
      <w:r>
        <w:rPr>
          <w:rFonts w:hint="eastAsia" w:ascii="宋体" w:hAnsi="宋体" w:eastAsia="宋体" w:cs="宋体"/>
          <w:sz w:val="24"/>
        </w:rPr>
        <w:t>经相关部门批准后方可开展经营活动）</w:t>
      </w:r>
    </w:p>
    <w:p>
      <w:pPr>
        <w:sectPr>
          <w:type w:val="continuous"/>
          <w:pgSz w:w="11900" w:h="16820"/>
          <w:pgMar w:top="0" w:right="0" w:bottom="0" w:left="0"/>
          <w:cols w:equalWidth="false" w:num="2" w:sep="false">
            <w:col w:w="3380" w:space="1220"/>
            <w:col w:w="5680"/>
          </w:cols>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）股权情况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本公司持有顶点数码</w:t>
      </w:r>
      <w:r>
        <w:rPr>
          <w:rFonts w:hint="eastAsia" w:ascii="Times New Roman" w:hAnsi="Times New Roman" w:eastAsia="Times New Roman" w:cs="Times New Roman"/>
          <w:sz w:val="24"/>
        </w:rPr>
        <w:t xml:space="preserve"> 100.00%</w:t>
      </w:r>
      <w:r>
        <w:rPr>
          <w:rFonts w:hint="eastAsia" w:ascii="宋体" w:hAnsi="宋体" w:eastAsia="宋体" w:cs="宋体"/>
          <w:sz w:val="24"/>
        </w:rPr>
        <w:t>的股权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）经营业绩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顶点数码的总资产为</w:t>
      </w:r>
      <w:r>
        <w:rPr>
          <w:rFonts w:hint="eastAsia" w:ascii="Times New Roman" w:hAnsi="Times New Roman" w:eastAsia="Times New Roman" w:cs="Times New Roman"/>
          <w:sz w:val="24"/>
        </w:rPr>
        <w:t xml:space="preserve"> 77,118,506.12</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净资产为</w:t>
      </w:r>
      <w:r>
        <w:rPr>
          <w:rFonts w:hint="eastAsia" w:ascii="Times New Roman" w:hAnsi="Times New Roman" w:eastAsia="Times New Roman" w:cs="Times New Roman"/>
          <w:sz w:val="24"/>
        </w:rPr>
        <w:t>67,694,613.53</w:t>
      </w:r>
      <w:r>
        <w:rPr>
          <w:rFonts w:hint="eastAsia" w:ascii="宋体" w:hAnsi="宋体" w:eastAsia="宋体" w:cs="宋体"/>
          <w:sz w:val="24"/>
        </w:rPr>
        <w:t xml:space="preserve"> 元</w:t>
      </w:r>
      <w:r>
        <w:rPr>
          <w:rFonts w:hint="eastAsia" w:ascii="宋体" w:hAnsi="宋体" w:eastAsia="宋体" w:cs="宋体"/>
          <w:sz w:val="14"/>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年度实现净利润</w:t>
      </w:r>
      <w:r>
        <w:rPr>
          <w:rFonts w:hint="eastAsia" w:ascii="Times New Roman" w:hAnsi="Times New Roman" w:eastAsia="Times New Roman" w:cs="Times New Roman"/>
          <w:sz w:val="24"/>
        </w:rPr>
        <w:t xml:space="preserve"> 5,338,297.41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以上财务数据已经致同所审计）</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）主营业务</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顶点数码主要在华东地区开展经营活动</w:t>
      </w:r>
      <w:r>
        <w:rPr>
          <w:rFonts w:hint="eastAsia" w:ascii="宋体" w:hAnsi="宋体" w:eastAsia="宋体" w:cs="宋体"/>
          <w:sz w:val="10"/>
        </w:rPr>
        <w:t>，</w:t>
      </w:r>
      <w:r>
        <w:rPr>
          <w:rFonts w:hint="eastAsia" w:ascii="宋体" w:hAnsi="宋体" w:eastAsia="宋体" w:cs="宋体"/>
          <w:sz w:val="24"/>
        </w:rPr>
        <w:t>主要从事软件开发及销售</w:t>
      </w:r>
      <w:r>
        <w:rPr>
          <w:rFonts w:hint="eastAsia" w:ascii="宋体" w:hAnsi="宋体" w:eastAsia="宋体" w:cs="宋体"/>
          <w:sz w:val="10"/>
        </w:rPr>
        <w:t>、</w:t>
      </w:r>
      <w:r>
        <w:rPr>
          <w:rFonts w:hint="eastAsia" w:ascii="宋体" w:hAnsi="宋体" w:eastAsia="宋体" w:cs="宋体"/>
          <w:sz w:val="24"/>
        </w:rPr>
        <w:t>软件运维服务业务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上海顶点</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）基本情况</w:t>
      </w:r>
    </w:p>
    <w:p>
      <w:pPr>
        <w:spacing w:line="200" w:lineRule="exact"/>
        <w:rPr>
          <w:rFonts w:hint="eastAsia" w:ascii="宋体" w:hAnsi="宋体" w:eastAsia="宋体" w:cs="宋体"/>
          <w:sz w:val="20"/>
        </w:rPr>
      </w:pPr>
    </w:p>
    <w:p>
      <w:pPr>
        <w:tabs>
          <w:tab w:val="left" w:pos="4600"/>
        </w:tabs>
        <w:autoSpaceDE w:val="false"/>
        <w:autoSpaceDN w:val="false"/>
        <w:spacing w:line="340" w:lineRule="exact"/>
        <w:ind w:left="2280"/>
        <w:jc w:val="both"/>
      </w:pPr>
      <w:r>
        <w:rPr>
          <w:rFonts w:hint="eastAsia" w:ascii="宋体" w:hAnsi="宋体" w:eastAsia="宋体" w:cs="宋体"/>
          <w:sz w:val="24"/>
        </w:rPr>
        <w:t>法定代表人</w:t>
      </w:r>
      <w:r>
        <w:rPr>
          <w:rFonts w:hint="eastAsia" w:ascii="宋体" w:hAnsi="宋体" w:eastAsia="宋体" w:cs="宋体"/>
          <w:sz w:val="12"/>
        </w:rPr>
        <w:t>：</w:t>
      </w:r>
      <w:r>
        <w:tab/>
      </w:r>
      <w:r>
        <w:rPr>
          <w:rFonts w:hint="eastAsia" w:ascii="宋体" w:hAnsi="宋体" w:eastAsia="宋体" w:cs="宋体"/>
          <w:sz w:val="24"/>
        </w:rPr>
        <w:t>严孟宇</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成立时间</w:t>
      </w:r>
      <w:r>
        <w:rPr>
          <w:rFonts w:hint="eastAsia" w:ascii="宋体" w:hAnsi="宋体" w:eastAsia="宋体" w:cs="宋体"/>
          <w:sz w:val="12"/>
        </w:rPr>
        <w:t>：</w:t>
      </w:r>
      <w:r>
        <w:tab/>
      </w:r>
      <w:r>
        <w:rPr>
          <w:rFonts w:hint="eastAsia" w:ascii="Times New Roman" w:hAnsi="Times New Roman" w:eastAsia="Times New Roman" w:cs="Times New Roman"/>
          <w:sz w:val="24"/>
        </w:rPr>
        <w:t>2001</w:t>
      </w:r>
      <w:r>
        <w:rPr>
          <w:rFonts w:hint="eastAsia" w:ascii="宋体" w:hAnsi="宋体" w:eastAsia="宋体" w:cs="宋体"/>
          <w:sz w:val="24"/>
        </w:rPr>
        <w:t>年</w:t>
      </w:r>
      <w:r>
        <w:rPr>
          <w:rFonts w:hint="eastAsia" w:ascii="Times New Roman" w:hAnsi="Times New Roman" w:eastAsia="Times New Roman" w:cs="Times New Roman"/>
          <w:sz w:val="24"/>
        </w:rPr>
        <w:t>6</w:t>
      </w:r>
      <w:r>
        <w:rPr>
          <w:rFonts w:hint="eastAsia" w:ascii="宋体" w:hAnsi="宋体" w:eastAsia="宋体" w:cs="宋体"/>
          <w:sz w:val="24"/>
        </w:rPr>
        <w:t>月</w:t>
      </w:r>
      <w:r>
        <w:rPr>
          <w:rFonts w:hint="eastAsia" w:ascii="Times New Roman" w:hAnsi="Times New Roman" w:eastAsia="Times New Roman" w:cs="Times New Roman"/>
          <w:sz w:val="24"/>
        </w:rPr>
        <w:t>11</w:t>
      </w:r>
      <w:r>
        <w:rPr>
          <w:rFonts w:hint="eastAsia" w:ascii="宋体" w:hAnsi="宋体" w:eastAsia="宋体" w:cs="宋体"/>
          <w:sz w:val="24"/>
        </w:rPr>
        <w:t>日</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注册资本</w:t>
      </w:r>
      <w:r>
        <w:rPr>
          <w:rFonts w:hint="eastAsia" w:ascii="宋体" w:hAnsi="宋体" w:eastAsia="宋体" w:cs="宋体"/>
          <w:sz w:val="10"/>
        </w:rPr>
        <w:t>：</w:t>
      </w:r>
      <w:r>
        <w:tab/>
      </w:r>
      <w:r>
        <w:rPr>
          <w:rFonts w:hint="eastAsia" w:ascii="Times New Roman" w:hAnsi="Times New Roman" w:eastAsia="Times New Roman" w:cs="Times New Roman"/>
          <w:sz w:val="24"/>
        </w:rPr>
        <w:t>100.00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实收资本</w:t>
      </w:r>
      <w:r>
        <w:rPr>
          <w:rFonts w:hint="eastAsia" w:ascii="宋体" w:hAnsi="宋体" w:eastAsia="宋体" w:cs="宋体"/>
          <w:sz w:val="12"/>
        </w:rPr>
        <w:t>：</w:t>
      </w:r>
      <w:r>
        <w:tab/>
      </w:r>
      <w:r>
        <w:rPr>
          <w:rFonts w:hint="eastAsia" w:ascii="Times New Roman" w:hAnsi="Times New Roman" w:eastAsia="Times New Roman" w:cs="Times New Roman"/>
          <w:sz w:val="24"/>
        </w:rPr>
        <w:t>100.00</w:t>
      </w:r>
      <w:r>
        <w:rPr>
          <w:rFonts w:hint="eastAsia" w:ascii="宋体" w:hAnsi="宋体" w:eastAsia="宋体" w:cs="宋体"/>
          <w:sz w:val="24"/>
        </w:rPr>
        <w:t>万元</w:t>
      </w:r>
    </w:p>
    <w:p>
      <w:pPr>
        <w:spacing w:line="200" w:lineRule="exact"/>
        <w:rPr>
          <w:rFonts w:hint="eastAsia" w:ascii="宋体" w:hAnsi="宋体" w:eastAsia="宋体" w:cs="宋体"/>
          <w:sz w:val="20"/>
        </w:rPr>
      </w:pPr>
    </w:p>
    <w:p>
      <w:pPr>
        <w:autoSpaceDE w:val="false"/>
        <w:autoSpaceDN w:val="false"/>
        <w:spacing w:line="260" w:lineRule="exact"/>
        <w:ind w:left="2280"/>
        <w:jc w:val="both"/>
      </w:pPr>
      <w:r>
        <w:rPr>
          <w:rFonts w:hint="eastAsia" w:ascii="宋体" w:hAnsi="宋体" w:eastAsia="宋体" w:cs="宋体"/>
          <w:sz w:val="24"/>
        </w:rPr>
        <w:t>统一社会信用代码</w:t>
      </w:r>
      <w:r>
        <w:rPr>
          <w:rFonts w:hint="eastAsia" w:ascii="宋体" w:hAnsi="宋体" w:eastAsia="宋体" w:cs="宋体"/>
          <w:sz w:val="12"/>
        </w:rPr>
        <w:t>：</w:t>
      </w:r>
      <w:r>
        <w:rPr>
          <w:rFonts w:hint="eastAsia" w:ascii="Times New Roman" w:hAnsi="Times New Roman" w:eastAsia="Times New Roman" w:cs="Times New Roman"/>
          <w:sz w:val="24"/>
        </w:rPr>
        <w:t>91310115703456661J</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60"/>
        <w:jc w:val="both"/>
      </w:pPr>
      <w:r>
        <w:rPr>
          <w:rFonts w:hint="eastAsia" w:ascii="宋体" w:hAnsi="宋体" w:eastAsia="宋体" w:cs="宋体"/>
          <w:sz w:val="24"/>
        </w:rPr>
        <w:t>住所</w:t>
      </w:r>
      <w:r>
        <w:rPr>
          <w:rFonts w:hint="eastAsia" w:ascii="宋体" w:hAnsi="宋体" w:eastAsia="宋体" w:cs="宋体"/>
          <w:sz w:val="10"/>
        </w:rPr>
        <w:t>：</w:t>
      </w:r>
      <w:r>
        <w:tab/>
      </w:r>
      <w:r>
        <w:rPr>
          <w:rFonts w:hint="eastAsia" w:ascii="宋体" w:hAnsi="宋体" w:eastAsia="宋体" w:cs="宋体"/>
          <w:sz w:val="24"/>
        </w:rPr>
        <w:t>中国（上海）自由贸易试验区郭守敬路</w:t>
      </w:r>
      <w:r>
        <w:rPr>
          <w:rFonts w:hint="eastAsia" w:ascii="Times New Roman" w:hAnsi="Times New Roman" w:eastAsia="Times New Roman" w:cs="Times New Roman"/>
          <w:sz w:val="24"/>
        </w:rPr>
        <w:t>498</w:t>
      </w:r>
      <w:r>
        <w:rPr>
          <w:rFonts w:hint="eastAsia" w:ascii="宋体" w:hAnsi="宋体" w:eastAsia="宋体" w:cs="宋体"/>
          <w:sz w:val="24"/>
        </w:rPr>
        <w:t>号</w:t>
      </w:r>
      <w:r>
        <w:rPr>
          <w:rFonts w:hint="eastAsia" w:ascii="Times New Roman" w:hAnsi="Times New Roman" w:eastAsia="Times New Roman" w:cs="Times New Roman"/>
          <w:sz w:val="24"/>
        </w:rPr>
        <w:t>14</w:t>
      </w:r>
      <w:r>
        <w:rPr>
          <w:rFonts w:hint="eastAsia" w:ascii="宋体" w:hAnsi="宋体" w:eastAsia="宋体" w:cs="宋体"/>
          <w:sz w:val="24"/>
        </w:rPr>
        <w:t>幢</w:t>
      </w:r>
    </w:p>
    <w:p>
      <w:pPr>
        <w:spacing w:line="200" w:lineRule="exact"/>
        <w:rPr>
          <w:rFonts w:hint="eastAsia" w:ascii="宋体" w:hAnsi="宋体" w:eastAsia="宋体" w:cs="宋体"/>
          <w:sz w:val="20"/>
        </w:rPr>
      </w:pPr>
    </w:p>
    <w:p>
      <w:pPr>
        <w:autoSpaceDE w:val="false"/>
        <w:autoSpaceDN w:val="false"/>
        <w:spacing w:line="260" w:lineRule="exact"/>
        <w:ind w:left="4600"/>
        <w:jc w:val="both"/>
      </w:pPr>
      <w:r>
        <w:rPr>
          <w:rFonts w:hint="eastAsia" w:ascii="Times New Roman" w:hAnsi="Times New Roman" w:eastAsia="Times New Roman" w:cs="Times New Roman"/>
          <w:sz w:val="24"/>
        </w:rPr>
        <w:t>22301-677</w:t>
      </w:r>
      <w:r>
        <w:rPr>
          <w:rFonts w:hint="eastAsia" w:ascii="宋体" w:hAnsi="宋体" w:eastAsia="宋体" w:cs="宋体"/>
          <w:sz w:val="24"/>
        </w:rPr>
        <w:t>座</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经营范围</w:t>
      </w:r>
      <w:r>
        <w:rPr>
          <w:rFonts w:hint="eastAsia" w:ascii="宋体" w:hAnsi="宋体" w:eastAsia="宋体" w:cs="宋体"/>
          <w:sz w:val="12"/>
        </w:rPr>
        <w:t>：</w:t>
      </w:r>
      <w:r>
        <w:tab/>
      </w:r>
      <w:r>
        <w:rPr>
          <w:rFonts w:hint="eastAsia" w:ascii="宋体" w:hAnsi="宋体" w:eastAsia="宋体" w:cs="宋体"/>
          <w:sz w:val="24"/>
        </w:rPr>
        <w:t>计算机软件</w:t>
      </w:r>
      <w:r>
        <w:rPr>
          <w:rFonts w:hint="eastAsia" w:ascii="宋体" w:hAnsi="宋体" w:eastAsia="宋体" w:cs="宋体"/>
          <w:sz w:val="10"/>
        </w:rPr>
        <w:t>、</w:t>
      </w:r>
      <w:r>
        <w:rPr>
          <w:rFonts w:hint="eastAsia" w:ascii="宋体" w:hAnsi="宋体" w:eastAsia="宋体" w:cs="宋体"/>
          <w:sz w:val="24"/>
        </w:rPr>
        <w:t>硬件及配件的开发</w:t>
      </w:r>
      <w:r>
        <w:rPr>
          <w:rFonts w:hint="eastAsia" w:ascii="宋体" w:hAnsi="宋体" w:eastAsia="宋体" w:cs="宋体"/>
          <w:sz w:val="10"/>
        </w:rPr>
        <w:t>、</w:t>
      </w:r>
      <w:r>
        <w:rPr>
          <w:rFonts w:hint="eastAsia" w:ascii="宋体" w:hAnsi="宋体" w:eastAsia="宋体" w:cs="宋体"/>
          <w:sz w:val="24"/>
        </w:rPr>
        <w:t>销售</w:t>
      </w:r>
      <w:r>
        <w:rPr>
          <w:rFonts w:hint="eastAsia" w:ascii="宋体" w:hAnsi="宋体" w:eastAsia="宋体" w:cs="宋体"/>
          <w:sz w:val="10"/>
        </w:rPr>
        <w:t>、</w:t>
      </w:r>
      <w:r>
        <w:rPr>
          <w:rFonts w:hint="eastAsia" w:ascii="宋体" w:hAnsi="宋体" w:eastAsia="宋体" w:cs="宋体"/>
          <w:sz w:val="24"/>
        </w:rPr>
        <w:t>网络工程的</w:t>
      </w:r>
    </w:p>
    <w:p>
      <w:pPr>
        <w:spacing w:line="200" w:lineRule="exact"/>
        <w:rPr>
          <w:rFonts w:hint="eastAsia" w:ascii="宋体" w:hAnsi="宋体" w:eastAsia="宋体" w:cs="宋体"/>
          <w:sz w:val="20"/>
        </w:rPr>
      </w:pPr>
    </w:p>
    <w:p>
      <w:pPr>
        <w:autoSpaceDE w:val="false"/>
        <w:autoSpaceDN w:val="false"/>
        <w:spacing w:line="360" w:lineRule="exact"/>
        <w:ind w:left="4600" w:right="1600"/>
        <w:jc w:val="both"/>
      </w:pPr>
      <w:r>
        <w:rPr>
          <w:rFonts w:hint="eastAsia" w:ascii="宋体" w:hAnsi="宋体" w:eastAsia="宋体" w:cs="宋体"/>
          <w:sz w:val="24"/>
        </w:rPr>
        <w:t>设计</w:t>
      </w:r>
      <w:r>
        <w:rPr>
          <w:rFonts w:hint="eastAsia" w:ascii="宋体" w:hAnsi="宋体" w:eastAsia="宋体" w:cs="宋体"/>
          <w:sz w:val="10"/>
        </w:rPr>
        <w:t>、</w:t>
      </w:r>
      <w:r>
        <w:rPr>
          <w:rFonts w:hint="eastAsia" w:ascii="宋体" w:hAnsi="宋体" w:eastAsia="宋体" w:cs="宋体"/>
          <w:sz w:val="24"/>
        </w:rPr>
        <w:t>安装</w:t>
      </w:r>
      <w:r>
        <w:rPr>
          <w:rFonts w:hint="eastAsia" w:ascii="宋体" w:hAnsi="宋体" w:eastAsia="宋体" w:cs="宋体"/>
          <w:sz w:val="10"/>
        </w:rPr>
        <w:t>，</w:t>
      </w:r>
      <w:r>
        <w:rPr>
          <w:rFonts w:hint="eastAsia" w:ascii="宋体" w:hAnsi="宋体" w:eastAsia="宋体" w:cs="宋体"/>
          <w:sz w:val="24"/>
        </w:rPr>
        <w:t>并提供相关的技术服务</w:t>
      </w:r>
      <w:r>
        <w:rPr>
          <w:rFonts w:hint="eastAsia" w:ascii="宋体" w:hAnsi="宋体" w:eastAsia="宋体" w:cs="宋体"/>
          <w:sz w:val="10"/>
        </w:rPr>
        <w:t>。（</w:t>
      </w:r>
      <w:r>
        <w:rPr>
          <w:rFonts w:hint="eastAsia" w:ascii="宋体" w:hAnsi="宋体" w:eastAsia="宋体" w:cs="宋体"/>
          <w:sz w:val="24"/>
        </w:rPr>
        <w:t>依法须经批准的项目</w:t>
      </w:r>
      <w:r>
        <w:rPr>
          <w:rFonts w:hint="eastAsia" w:ascii="宋体" w:hAnsi="宋体" w:eastAsia="宋体" w:cs="宋体"/>
          <w:sz w:val="10"/>
        </w:rPr>
        <w:t>，</w:t>
      </w:r>
      <w:r>
        <w:rPr>
          <w:rFonts w:hint="eastAsia" w:ascii="宋体" w:hAnsi="宋体" w:eastAsia="宋体" w:cs="宋体"/>
          <w:sz w:val="24"/>
        </w:rPr>
        <w:t>经相关部门批准后方可开展经营活动）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）股权情况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本公司持有上海顶点</w:t>
      </w:r>
      <w:r>
        <w:rPr>
          <w:rFonts w:hint="eastAsia" w:ascii="Times New Roman" w:hAnsi="Times New Roman" w:eastAsia="Times New Roman" w:cs="Times New Roman"/>
          <w:sz w:val="24"/>
        </w:rPr>
        <w:t xml:space="preserve"> 90.00%</w:t>
      </w:r>
      <w:r>
        <w:rPr>
          <w:rFonts w:hint="eastAsia" w:ascii="宋体" w:hAnsi="宋体" w:eastAsia="宋体" w:cs="宋体"/>
          <w:sz w:val="24"/>
        </w:rPr>
        <w:t>股权</w:t>
      </w:r>
      <w:r>
        <w:rPr>
          <w:rFonts w:hint="eastAsia" w:ascii="宋体" w:hAnsi="宋体" w:eastAsia="宋体" w:cs="宋体"/>
          <w:sz w:val="10"/>
        </w:rPr>
        <w:t>，</w:t>
      </w:r>
      <w:r>
        <w:rPr>
          <w:rFonts w:hint="eastAsia" w:ascii="宋体" w:hAnsi="宋体" w:eastAsia="宋体" w:cs="宋体"/>
          <w:sz w:val="24"/>
        </w:rPr>
        <w:t>顶点数码持有</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60"/>
        <w:jc w:val="both"/>
      </w:pPr>
      <w:r>
        <w:rPr>
          <w:rFonts w:hint="eastAsia" w:ascii="Times New Roman" w:hAnsi="Times New Roman" w:eastAsia="Times New Roman" w:cs="Times New Roman"/>
          <w:sz w:val="21"/>
        </w:rPr>
        <w:t>1-1-71</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上海顶点</w:t>
      </w:r>
      <w:r>
        <w:rPr>
          <w:rFonts w:hint="eastAsia" w:ascii="Times New Roman" w:hAnsi="Times New Roman" w:eastAsia="Times New Roman" w:cs="Times New Roman"/>
          <w:sz w:val="24"/>
        </w:rPr>
        <w:t xml:space="preserve"> 10.00%</w:t>
      </w:r>
      <w:r>
        <w:rPr>
          <w:rFonts w:hint="eastAsia" w:ascii="宋体" w:hAnsi="宋体" w:eastAsia="宋体" w:cs="宋体"/>
          <w:sz w:val="24"/>
        </w:rPr>
        <w:t>的股权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）经营业绩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上海顶点的总资产为</w:t>
      </w:r>
      <w:r>
        <w:rPr>
          <w:rFonts w:hint="eastAsia" w:ascii="Times New Roman" w:hAnsi="Times New Roman" w:eastAsia="Times New Roman" w:cs="Times New Roman"/>
          <w:sz w:val="24"/>
        </w:rPr>
        <w:t xml:space="preserve"> 10,534,933.89</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净资产为</w:t>
      </w:r>
      <w:r>
        <w:rPr>
          <w:rFonts w:hint="eastAsia" w:ascii="Times New Roman" w:hAnsi="Times New Roman" w:eastAsia="Times New Roman" w:cs="Times New Roman"/>
          <w:sz w:val="24"/>
        </w:rPr>
        <w:t>5,794,219.16</w:t>
      </w:r>
      <w:r>
        <w:rPr>
          <w:rFonts w:hint="eastAsia" w:ascii="宋体" w:hAnsi="宋体" w:eastAsia="宋体" w:cs="宋体"/>
          <w:sz w:val="24"/>
        </w:rPr>
        <w:t xml:space="preserve"> 元</w:t>
      </w:r>
      <w:r>
        <w:rPr>
          <w:rFonts w:hint="eastAsia" w:ascii="宋体" w:hAnsi="宋体" w:eastAsia="宋体" w:cs="宋体"/>
          <w:sz w:val="12"/>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年度实现净利润</w:t>
      </w:r>
      <w:r>
        <w:rPr>
          <w:rFonts w:hint="eastAsia" w:ascii="Times New Roman" w:hAnsi="Times New Roman" w:eastAsia="Times New Roman" w:cs="Times New Roman"/>
          <w:sz w:val="24"/>
        </w:rPr>
        <w:t>-1,301,093.09</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以上财务数据已经致同所审计）</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）主营业务</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上海顶点主要在华东地区开展经营活动</w:t>
      </w:r>
      <w:r>
        <w:rPr>
          <w:rFonts w:hint="eastAsia" w:ascii="宋体" w:hAnsi="宋体" w:eastAsia="宋体" w:cs="宋体"/>
          <w:sz w:val="10"/>
        </w:rPr>
        <w:t>，</w:t>
      </w:r>
      <w:r>
        <w:rPr>
          <w:rFonts w:hint="eastAsia" w:ascii="宋体" w:hAnsi="宋体" w:eastAsia="宋体" w:cs="宋体"/>
          <w:sz w:val="24"/>
        </w:rPr>
        <w:t>主要从事系统集成业务及定制软件业务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北京顶点</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）基本情况</w:t>
      </w:r>
    </w:p>
    <w:p>
      <w:pPr>
        <w:spacing w:line="200" w:lineRule="exact"/>
        <w:rPr>
          <w:rFonts w:hint="eastAsia" w:ascii="宋体" w:hAnsi="宋体" w:eastAsia="宋体" w:cs="宋体"/>
          <w:sz w:val="20"/>
        </w:rPr>
      </w:pPr>
    </w:p>
    <w:p>
      <w:pPr>
        <w:tabs>
          <w:tab w:val="left" w:pos="4420"/>
        </w:tabs>
        <w:autoSpaceDE w:val="false"/>
        <w:autoSpaceDN w:val="false"/>
        <w:spacing w:line="340" w:lineRule="exact"/>
        <w:ind w:left="2280"/>
        <w:jc w:val="both"/>
      </w:pPr>
      <w:r>
        <w:rPr>
          <w:rFonts w:hint="eastAsia" w:ascii="宋体" w:hAnsi="宋体" w:eastAsia="宋体" w:cs="宋体"/>
          <w:sz w:val="24"/>
        </w:rPr>
        <w:t>法定代表人</w:t>
      </w:r>
      <w:r>
        <w:rPr>
          <w:rFonts w:hint="eastAsia" w:ascii="宋体" w:hAnsi="宋体" w:eastAsia="宋体" w:cs="宋体"/>
          <w:sz w:val="12"/>
        </w:rPr>
        <w:t>：</w:t>
      </w:r>
      <w:r>
        <w:tab/>
      </w:r>
      <w:r>
        <w:rPr>
          <w:rFonts w:hint="eastAsia" w:ascii="宋体" w:hAnsi="宋体" w:eastAsia="宋体" w:cs="宋体"/>
          <w:sz w:val="24"/>
        </w:rPr>
        <w:t>严孟宇</w:t>
      </w:r>
    </w:p>
    <w:p>
      <w:pPr>
        <w:spacing w:line="200" w:lineRule="exact"/>
        <w:rPr>
          <w:rFonts w:hint="eastAsia" w:ascii="宋体" w:hAnsi="宋体" w:eastAsia="宋体" w:cs="宋体"/>
          <w:sz w:val="20"/>
        </w:rPr>
      </w:pPr>
    </w:p>
    <w:p>
      <w:pPr>
        <w:tabs>
          <w:tab w:val="left" w:pos="4420"/>
        </w:tabs>
        <w:autoSpaceDE w:val="false"/>
        <w:autoSpaceDN w:val="false"/>
        <w:spacing w:line="280" w:lineRule="exact"/>
        <w:ind w:left="2280"/>
        <w:jc w:val="both"/>
      </w:pPr>
      <w:r>
        <w:rPr>
          <w:rFonts w:hint="eastAsia" w:ascii="宋体" w:hAnsi="宋体" w:eastAsia="宋体" w:cs="宋体"/>
          <w:sz w:val="24"/>
        </w:rPr>
        <w:t>成立时间</w:t>
      </w:r>
      <w:r>
        <w:rPr>
          <w:rFonts w:hint="eastAsia" w:ascii="宋体" w:hAnsi="宋体" w:eastAsia="宋体" w:cs="宋体"/>
          <w:sz w:val="12"/>
        </w:rPr>
        <w:t>：</w:t>
      </w:r>
      <w:r>
        <w:tab/>
      </w:r>
      <w:r>
        <w:rPr>
          <w:rFonts w:hint="eastAsia" w:ascii="Times New Roman" w:hAnsi="Times New Roman" w:eastAsia="Times New Roman" w:cs="Times New Roman"/>
          <w:sz w:val="24"/>
        </w:rPr>
        <w:t>2002</w:t>
      </w:r>
      <w:r>
        <w:rPr>
          <w:rFonts w:hint="eastAsia" w:ascii="宋体" w:hAnsi="宋体" w:eastAsia="宋体" w:cs="宋体"/>
          <w:sz w:val="24"/>
        </w:rPr>
        <w:t>年</w:t>
      </w:r>
      <w:r>
        <w:rPr>
          <w:rFonts w:hint="eastAsia" w:ascii="Times New Roman" w:hAnsi="Times New Roman" w:eastAsia="Times New Roman" w:cs="Times New Roman"/>
          <w:sz w:val="24"/>
        </w:rPr>
        <w:t>6</w:t>
      </w:r>
      <w:r>
        <w:rPr>
          <w:rFonts w:hint="eastAsia" w:ascii="宋体" w:hAnsi="宋体" w:eastAsia="宋体" w:cs="宋体"/>
          <w:sz w:val="24"/>
        </w:rPr>
        <w:t>月</w:t>
      </w:r>
      <w:r>
        <w:rPr>
          <w:rFonts w:hint="eastAsia" w:ascii="Times New Roman" w:hAnsi="Times New Roman" w:eastAsia="Times New Roman" w:cs="Times New Roman"/>
          <w:sz w:val="24"/>
        </w:rPr>
        <w:t>17</w:t>
      </w:r>
      <w:r>
        <w:rPr>
          <w:rFonts w:hint="eastAsia" w:ascii="宋体" w:hAnsi="宋体" w:eastAsia="宋体" w:cs="宋体"/>
          <w:sz w:val="24"/>
        </w:rPr>
        <w:t>日</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80"/>
        <w:jc w:val="both"/>
      </w:pPr>
      <w:r>
        <w:rPr>
          <w:rFonts w:hint="eastAsia" w:ascii="宋体" w:hAnsi="宋体" w:eastAsia="宋体" w:cs="宋体"/>
          <w:sz w:val="24"/>
        </w:rPr>
        <w:t>注册资本</w:t>
      </w:r>
      <w:r>
        <w:rPr>
          <w:rFonts w:hint="eastAsia" w:ascii="宋体" w:hAnsi="宋体" w:eastAsia="宋体" w:cs="宋体"/>
          <w:sz w:val="10"/>
        </w:rPr>
        <w:t>：</w:t>
      </w:r>
      <w:r>
        <w:tab/>
      </w:r>
      <w:r>
        <w:rPr>
          <w:rFonts w:hint="eastAsia" w:ascii="Times New Roman" w:hAnsi="Times New Roman" w:eastAsia="Times New Roman" w:cs="Times New Roman"/>
          <w:sz w:val="24"/>
        </w:rPr>
        <w:t>200.00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80"/>
        <w:jc w:val="both"/>
      </w:pPr>
      <w:r>
        <w:rPr>
          <w:rFonts w:hint="eastAsia" w:ascii="宋体" w:hAnsi="宋体" w:eastAsia="宋体" w:cs="宋体"/>
          <w:sz w:val="24"/>
        </w:rPr>
        <w:t>实收资本</w:t>
      </w:r>
      <w:r>
        <w:rPr>
          <w:rFonts w:hint="eastAsia" w:ascii="宋体" w:hAnsi="宋体" w:eastAsia="宋体" w:cs="宋体"/>
          <w:sz w:val="12"/>
        </w:rPr>
        <w:t>：</w:t>
      </w:r>
      <w:r>
        <w:tab/>
      </w:r>
      <w:r>
        <w:rPr>
          <w:rFonts w:hint="eastAsia" w:ascii="Times New Roman" w:hAnsi="Times New Roman" w:eastAsia="Times New Roman" w:cs="Times New Roman"/>
          <w:sz w:val="24"/>
        </w:rPr>
        <w:t>200.00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420"/>
        </w:tabs>
        <w:autoSpaceDE w:val="false"/>
        <w:autoSpaceDN w:val="false"/>
        <w:spacing w:line="240" w:lineRule="exact"/>
        <w:ind w:left="2280"/>
        <w:jc w:val="both"/>
      </w:pPr>
      <w:r>
        <w:rPr>
          <w:rFonts w:hint="eastAsia" w:ascii="宋体" w:hAnsi="宋体" w:eastAsia="宋体" w:cs="宋体"/>
          <w:sz w:val="24"/>
        </w:rPr>
        <w:t>注册号</w:t>
      </w:r>
      <w:r>
        <w:rPr>
          <w:rFonts w:hint="eastAsia" w:ascii="宋体" w:hAnsi="宋体" w:eastAsia="宋体" w:cs="宋体"/>
          <w:sz w:val="12"/>
        </w:rPr>
        <w:t>：</w:t>
      </w:r>
      <w:r>
        <w:tab/>
      </w:r>
      <w:r>
        <w:rPr>
          <w:rFonts w:hint="eastAsia" w:ascii="Times New Roman" w:hAnsi="Times New Roman" w:eastAsia="Times New Roman" w:cs="Times New Roman"/>
          <w:sz w:val="24"/>
        </w:rPr>
        <w:t>91110108740092887E</w:t>
      </w:r>
    </w:p>
    <w:p>
      <w:pPr>
        <w:spacing w:line="200" w:lineRule="exact"/>
        <w:rPr>
          <w:rFonts w:hint="eastAsia" w:ascii="宋体" w:hAnsi="宋体" w:eastAsia="宋体" w:cs="宋体"/>
          <w:sz w:val="20"/>
        </w:rPr>
      </w:pPr>
    </w:p>
    <w:p>
      <w:pPr>
        <w:tabs>
          <w:tab w:val="left" w:pos="4420"/>
        </w:tabs>
        <w:autoSpaceDE w:val="false"/>
        <w:autoSpaceDN w:val="false"/>
        <w:spacing w:line="300" w:lineRule="exact"/>
        <w:ind w:left="2260"/>
        <w:jc w:val="both"/>
      </w:pPr>
      <w:r>
        <w:rPr>
          <w:rFonts w:hint="eastAsia" w:ascii="宋体" w:hAnsi="宋体" w:eastAsia="宋体" w:cs="宋体"/>
          <w:sz w:val="24"/>
        </w:rPr>
        <w:t>住所</w:t>
      </w:r>
      <w:r>
        <w:rPr>
          <w:rFonts w:hint="eastAsia" w:ascii="宋体" w:hAnsi="宋体" w:eastAsia="宋体" w:cs="宋体"/>
          <w:sz w:val="10"/>
        </w:rPr>
        <w:t>：</w:t>
      </w:r>
      <w:r>
        <w:tab/>
      </w:r>
      <w:r>
        <w:rPr>
          <w:rFonts w:hint="eastAsia" w:ascii="宋体" w:hAnsi="宋体" w:eastAsia="宋体" w:cs="宋体"/>
          <w:sz w:val="24"/>
        </w:rPr>
        <w:t>北京市海淀区中关村南大街</w:t>
      </w:r>
      <w:r>
        <w:rPr>
          <w:rFonts w:hint="eastAsia" w:ascii="Times New Roman" w:hAnsi="Times New Roman" w:eastAsia="Times New Roman" w:cs="Times New Roman"/>
          <w:sz w:val="24"/>
        </w:rPr>
        <w:t>2</w:t>
      </w:r>
      <w:r>
        <w:rPr>
          <w:rFonts w:hint="eastAsia" w:ascii="宋体" w:hAnsi="宋体" w:eastAsia="宋体" w:cs="宋体"/>
          <w:sz w:val="24"/>
        </w:rPr>
        <w:t>号</w:t>
      </w:r>
      <w:r>
        <w:rPr>
          <w:rFonts w:hint="eastAsia" w:ascii="Times New Roman" w:hAnsi="Times New Roman" w:eastAsia="Times New Roman" w:cs="Times New Roman"/>
          <w:sz w:val="24"/>
        </w:rPr>
        <w:t>2</w:t>
      </w:r>
      <w:r>
        <w:rPr>
          <w:rFonts w:hint="eastAsia" w:ascii="宋体" w:hAnsi="宋体" w:eastAsia="宋体" w:cs="宋体"/>
          <w:sz w:val="24"/>
        </w:rPr>
        <w:t>号楼</w:t>
      </w:r>
      <w:r>
        <w:rPr>
          <w:rFonts w:hint="eastAsia" w:ascii="Times New Roman" w:hAnsi="Times New Roman" w:eastAsia="Times New Roman" w:cs="Times New Roman"/>
          <w:sz w:val="24"/>
        </w:rPr>
        <w:t>8</w:t>
      </w:r>
      <w:r>
        <w:rPr>
          <w:rFonts w:hint="eastAsia" w:ascii="宋体" w:hAnsi="宋体" w:eastAsia="宋体" w:cs="宋体"/>
          <w:sz w:val="24"/>
        </w:rPr>
        <w:t>层</w:t>
      </w:r>
      <w:r>
        <w:rPr>
          <w:rFonts w:hint="eastAsia" w:ascii="Times New Roman" w:hAnsi="Times New Roman" w:eastAsia="Times New Roman" w:cs="Times New Roman"/>
          <w:sz w:val="24"/>
        </w:rPr>
        <w:t>B</w:t>
      </w:r>
      <w:r>
        <w:rPr>
          <w:rFonts w:hint="eastAsia" w:ascii="宋体" w:hAnsi="宋体" w:eastAsia="宋体" w:cs="宋体"/>
          <w:sz w:val="24"/>
        </w:rPr>
        <w:t>座</w:t>
      </w:r>
      <w:r>
        <w:rPr>
          <w:rFonts w:hint="eastAsia" w:ascii="Times New Roman" w:hAnsi="Times New Roman" w:eastAsia="Times New Roman" w:cs="Times New Roman"/>
          <w:sz w:val="24"/>
        </w:rPr>
        <w:t>901</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80"/>
        <w:jc w:val="both"/>
      </w:pPr>
      <w:r>
        <w:rPr>
          <w:rFonts w:hint="eastAsia" w:ascii="宋体" w:hAnsi="宋体" w:eastAsia="宋体" w:cs="宋体"/>
          <w:sz w:val="24"/>
        </w:rPr>
        <w:t>经营范围</w:t>
      </w:r>
      <w:r>
        <w:rPr>
          <w:rFonts w:hint="eastAsia" w:ascii="宋体" w:hAnsi="宋体" w:eastAsia="宋体" w:cs="宋体"/>
          <w:sz w:val="12"/>
        </w:rPr>
        <w:t>：</w:t>
      </w:r>
      <w:r>
        <w:tab/>
      </w:r>
      <w:r>
        <w:rPr>
          <w:rFonts w:hint="eastAsia" w:ascii="宋体" w:hAnsi="宋体" w:eastAsia="宋体" w:cs="宋体"/>
          <w:sz w:val="24"/>
        </w:rPr>
        <w:t>技术开发</w:t>
      </w:r>
      <w:r>
        <w:rPr>
          <w:rFonts w:hint="eastAsia" w:ascii="宋体" w:hAnsi="宋体" w:eastAsia="宋体" w:cs="宋体"/>
          <w:sz w:val="12"/>
        </w:rPr>
        <w:t>；</w:t>
      </w:r>
      <w:r>
        <w:rPr>
          <w:rFonts w:hint="eastAsia" w:ascii="宋体" w:hAnsi="宋体" w:eastAsia="宋体" w:cs="宋体"/>
          <w:sz w:val="24"/>
        </w:rPr>
        <w:t>软件服务</w:t>
      </w:r>
      <w:r>
        <w:rPr>
          <w:rFonts w:hint="eastAsia" w:ascii="宋体" w:hAnsi="宋体" w:eastAsia="宋体" w:cs="宋体"/>
          <w:sz w:val="12"/>
        </w:rPr>
        <w:t>；</w:t>
      </w:r>
      <w:r>
        <w:rPr>
          <w:rFonts w:hint="eastAsia" w:ascii="宋体" w:hAnsi="宋体" w:eastAsia="宋体" w:cs="宋体"/>
          <w:sz w:val="24"/>
        </w:rPr>
        <w:t>销售计算机软件及辅助设备</w:t>
      </w:r>
      <w:r>
        <w:rPr>
          <w:rFonts w:hint="eastAsia" w:ascii="宋体" w:hAnsi="宋体" w:eastAsia="宋体" w:cs="宋体"/>
          <w:sz w:val="10"/>
        </w:rPr>
        <w:t>、</w:t>
      </w:r>
      <w:r>
        <w:rPr>
          <w:rFonts w:hint="eastAsia" w:ascii="宋体" w:hAnsi="宋体" w:eastAsia="宋体" w:cs="宋体"/>
          <w:sz w:val="24"/>
        </w:rPr>
        <w:t>电</w:t>
      </w:r>
    </w:p>
    <w:p>
      <w:pPr>
        <w:spacing w:line="200" w:lineRule="exact"/>
        <w:rPr>
          <w:rFonts w:hint="eastAsia" w:ascii="宋体" w:hAnsi="宋体" w:eastAsia="宋体" w:cs="宋体"/>
          <w:sz w:val="20"/>
        </w:rPr>
      </w:pPr>
    </w:p>
    <w:p>
      <w:pPr>
        <w:autoSpaceDE w:val="false"/>
        <w:autoSpaceDN w:val="false"/>
        <w:spacing w:line="280" w:lineRule="exact"/>
        <w:ind w:left="4420"/>
        <w:jc w:val="both"/>
      </w:pPr>
      <w:r>
        <w:rPr>
          <w:rFonts w:hint="eastAsia" w:ascii="宋体" w:hAnsi="宋体" w:eastAsia="宋体" w:cs="宋体"/>
          <w:sz w:val="24"/>
        </w:rPr>
        <w:t>子产品</w:t>
      </w:r>
      <w:r>
        <w:rPr>
          <w:rFonts w:hint="eastAsia" w:ascii="宋体" w:hAnsi="宋体" w:eastAsia="宋体" w:cs="宋体"/>
          <w:sz w:val="14"/>
        </w:rPr>
        <w:t>；</w:t>
      </w:r>
      <w:r>
        <w:rPr>
          <w:rFonts w:hint="eastAsia" w:ascii="宋体" w:hAnsi="宋体" w:eastAsia="宋体" w:cs="宋体"/>
          <w:sz w:val="24"/>
        </w:rPr>
        <w:t>计算机系统服务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10"/>
        </w:rPr>
        <w:t>（</w:t>
      </w:r>
      <w:r>
        <w:rPr>
          <w:rFonts w:hint="eastAsia" w:ascii="Times New Roman" w:hAnsi="Times New Roman" w:eastAsia="Times New Roman" w:cs="Times New Roman"/>
          <w:sz w:val="24"/>
        </w:rPr>
        <w:t>2</w:t>
      </w:r>
      <w:r>
        <w:rPr>
          <w:rFonts w:hint="eastAsia" w:ascii="宋体" w:hAnsi="宋体" w:eastAsia="宋体" w:cs="宋体"/>
          <w:sz w:val="24"/>
        </w:rPr>
        <w:t>）股权情况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本公司持有北京顶点</w:t>
      </w:r>
      <w:r>
        <w:rPr>
          <w:rFonts w:hint="eastAsia" w:ascii="Times New Roman" w:hAnsi="Times New Roman" w:eastAsia="Times New Roman" w:cs="Times New Roman"/>
          <w:sz w:val="24"/>
        </w:rPr>
        <w:t xml:space="preserve"> 95.00%</w:t>
      </w:r>
      <w:r>
        <w:rPr>
          <w:rFonts w:hint="eastAsia" w:ascii="宋体" w:hAnsi="宋体" w:eastAsia="宋体" w:cs="宋体"/>
          <w:sz w:val="24"/>
        </w:rPr>
        <w:t>股权</w:t>
      </w:r>
      <w:r>
        <w:rPr>
          <w:rFonts w:hint="eastAsia" w:ascii="宋体" w:hAnsi="宋体" w:eastAsia="宋体" w:cs="宋体"/>
          <w:sz w:val="10"/>
        </w:rPr>
        <w:t>，</w:t>
      </w:r>
      <w:r>
        <w:rPr>
          <w:rFonts w:hint="eastAsia" w:ascii="宋体" w:hAnsi="宋体" w:eastAsia="宋体" w:cs="宋体"/>
          <w:sz w:val="24"/>
        </w:rPr>
        <w:t>顶点数码持有北京顶点</w:t>
      </w:r>
      <w:r>
        <w:rPr>
          <w:rFonts w:hint="eastAsia" w:ascii="Times New Roman" w:hAnsi="Times New Roman" w:eastAsia="Times New Roman" w:cs="Times New Roman"/>
          <w:sz w:val="24"/>
        </w:rPr>
        <w:t xml:space="preserve"> 5.00%</w:t>
      </w:r>
      <w:r>
        <w:rPr>
          <w:rFonts w:hint="eastAsia" w:ascii="宋体" w:hAnsi="宋体" w:eastAsia="宋体" w:cs="宋体"/>
          <w:sz w:val="24"/>
        </w:rPr>
        <w:t>的股权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）经营业绩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北京顶点的总资产为</w:t>
      </w:r>
      <w:r>
        <w:rPr>
          <w:rFonts w:hint="eastAsia" w:ascii="Times New Roman" w:hAnsi="Times New Roman" w:eastAsia="Times New Roman" w:cs="Times New Roman"/>
          <w:sz w:val="24"/>
        </w:rPr>
        <w:t xml:space="preserve"> 37,723,824.67</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净资产为</w:t>
      </w:r>
      <w:r>
        <w:rPr>
          <w:rFonts w:hint="eastAsia" w:ascii="Times New Roman" w:hAnsi="Times New Roman" w:eastAsia="Times New Roman" w:cs="Times New Roman"/>
          <w:sz w:val="24"/>
        </w:rPr>
        <w:t>25,402,051.13</w:t>
      </w:r>
      <w:r>
        <w:rPr>
          <w:rFonts w:hint="eastAsia" w:ascii="宋体" w:hAnsi="宋体" w:eastAsia="宋体" w:cs="宋体"/>
          <w:sz w:val="24"/>
        </w:rPr>
        <w:t xml:space="preserve"> 元</w:t>
      </w:r>
      <w:r>
        <w:rPr>
          <w:rFonts w:hint="eastAsia" w:ascii="宋体" w:hAnsi="宋体" w:eastAsia="宋体" w:cs="宋体"/>
          <w:sz w:val="12"/>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年度实现净利润</w:t>
      </w:r>
      <w:r>
        <w:rPr>
          <w:rFonts w:hint="eastAsia" w:ascii="Times New Roman" w:hAnsi="Times New Roman" w:eastAsia="Times New Roman" w:cs="Times New Roman"/>
          <w:sz w:val="24"/>
        </w:rPr>
        <w:t xml:space="preserve"> 6,850,838.31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以上财务数据已经致同所审计）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）主营业务</w:t>
      </w: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1-1-72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北京顶点主要在华北地区开展经营活动</w:t>
      </w:r>
      <w:r>
        <w:rPr>
          <w:rFonts w:hint="eastAsia" w:ascii="宋体" w:hAnsi="宋体" w:eastAsia="宋体" w:cs="宋体"/>
          <w:sz w:val="10"/>
        </w:rPr>
        <w:t>，</w:t>
      </w:r>
      <w:r>
        <w:rPr>
          <w:rFonts w:hint="eastAsia" w:ascii="宋体" w:hAnsi="宋体" w:eastAsia="宋体" w:cs="宋体"/>
          <w:sz w:val="24"/>
        </w:rPr>
        <w:t>主要从事软件开发业务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顶点信息</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）基本情况</w:t>
      </w:r>
    </w:p>
    <w:p>
      <w:pPr>
        <w:spacing w:line="200" w:lineRule="exact"/>
        <w:rPr>
          <w:rFonts w:hint="eastAsia" w:ascii="宋体" w:hAnsi="宋体" w:eastAsia="宋体" w:cs="宋体"/>
          <w:sz w:val="20"/>
        </w:rPr>
      </w:pPr>
    </w:p>
    <w:p>
      <w:pPr>
        <w:tabs>
          <w:tab w:val="left" w:pos="4600"/>
        </w:tabs>
        <w:autoSpaceDE w:val="false"/>
        <w:autoSpaceDN w:val="false"/>
        <w:spacing w:line="340" w:lineRule="exact"/>
        <w:ind w:left="2280"/>
        <w:jc w:val="both"/>
      </w:pPr>
      <w:r>
        <w:rPr>
          <w:rFonts w:hint="eastAsia" w:ascii="宋体" w:hAnsi="宋体" w:eastAsia="宋体" w:cs="宋体"/>
          <w:sz w:val="24"/>
        </w:rPr>
        <w:t>法定代表人</w:t>
      </w:r>
      <w:r>
        <w:rPr>
          <w:rFonts w:hint="eastAsia" w:ascii="宋体" w:hAnsi="宋体" w:eastAsia="宋体" w:cs="宋体"/>
          <w:sz w:val="10"/>
        </w:rPr>
        <w:t>：</w:t>
      </w:r>
      <w:r>
        <w:tab/>
      </w:r>
      <w:r>
        <w:rPr>
          <w:rFonts w:hint="eastAsia" w:ascii="宋体" w:hAnsi="宋体" w:eastAsia="宋体" w:cs="宋体"/>
          <w:sz w:val="24"/>
        </w:rPr>
        <w:t>严孟宇</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成立时间</w:t>
      </w:r>
      <w:r>
        <w:rPr>
          <w:rFonts w:hint="eastAsia" w:ascii="宋体" w:hAnsi="宋体" w:eastAsia="宋体" w:cs="宋体"/>
          <w:sz w:val="12"/>
        </w:rPr>
        <w:t>：</w:t>
      </w:r>
      <w:r>
        <w:tab/>
      </w:r>
      <w:r>
        <w:rPr>
          <w:rFonts w:hint="eastAsia" w:ascii="Times New Roman" w:hAnsi="Times New Roman" w:eastAsia="Times New Roman" w:cs="Times New Roman"/>
          <w:sz w:val="24"/>
        </w:rPr>
        <w:t>2007</w:t>
      </w:r>
      <w:r>
        <w:rPr>
          <w:rFonts w:hint="eastAsia" w:ascii="宋体" w:hAnsi="宋体" w:eastAsia="宋体" w:cs="宋体"/>
          <w:sz w:val="24"/>
        </w:rPr>
        <w:t>年</w:t>
      </w:r>
      <w:r>
        <w:rPr>
          <w:rFonts w:hint="eastAsia" w:ascii="Times New Roman" w:hAnsi="Times New Roman" w:eastAsia="Times New Roman" w:cs="Times New Roman"/>
          <w:sz w:val="24"/>
        </w:rPr>
        <w:t>10</w:t>
      </w:r>
      <w:r>
        <w:rPr>
          <w:rFonts w:hint="eastAsia" w:ascii="宋体" w:hAnsi="宋体" w:eastAsia="宋体" w:cs="宋体"/>
          <w:sz w:val="24"/>
        </w:rPr>
        <w:t>月</w:t>
      </w:r>
      <w:r>
        <w:rPr>
          <w:rFonts w:hint="eastAsia" w:ascii="Times New Roman" w:hAnsi="Times New Roman" w:eastAsia="Times New Roman" w:cs="Times New Roman"/>
          <w:sz w:val="24"/>
        </w:rPr>
        <w:t>30</w:t>
      </w:r>
      <w:r>
        <w:rPr>
          <w:rFonts w:hint="eastAsia" w:ascii="宋体" w:hAnsi="宋体" w:eastAsia="宋体" w:cs="宋体"/>
          <w:sz w:val="24"/>
        </w:rPr>
        <w:t>日</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注册资本</w:t>
      </w:r>
      <w:r>
        <w:rPr>
          <w:rFonts w:hint="eastAsia" w:ascii="宋体" w:hAnsi="宋体" w:eastAsia="宋体" w:cs="宋体"/>
          <w:sz w:val="10"/>
        </w:rPr>
        <w:t>：</w:t>
      </w:r>
      <w:r>
        <w:tab/>
      </w:r>
      <w:r>
        <w:rPr>
          <w:rFonts w:hint="eastAsia" w:ascii="Times New Roman" w:hAnsi="Times New Roman" w:eastAsia="Times New Roman" w:cs="Times New Roman"/>
          <w:sz w:val="24"/>
        </w:rPr>
        <w:t>1,200.00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实收资本</w:t>
      </w:r>
      <w:r>
        <w:rPr>
          <w:rFonts w:hint="eastAsia" w:ascii="宋体" w:hAnsi="宋体" w:eastAsia="宋体" w:cs="宋体"/>
          <w:sz w:val="12"/>
        </w:rPr>
        <w:t>：</w:t>
      </w:r>
      <w:r>
        <w:tab/>
      </w:r>
      <w:r>
        <w:rPr>
          <w:rFonts w:hint="eastAsia" w:ascii="Times New Roman" w:hAnsi="Times New Roman" w:eastAsia="Times New Roman" w:cs="Times New Roman"/>
          <w:sz w:val="24"/>
        </w:rPr>
        <w:t>350.00</w:t>
      </w:r>
      <w:r>
        <w:rPr>
          <w:rFonts w:hint="eastAsia" w:ascii="宋体" w:hAnsi="宋体" w:eastAsia="宋体" w:cs="宋体"/>
          <w:sz w:val="24"/>
        </w:rPr>
        <w:t>万元</w:t>
      </w: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统一社会信用代码</w:t>
      </w:r>
      <w:r>
        <w:rPr>
          <w:rFonts w:hint="eastAsia" w:ascii="宋体" w:hAnsi="宋体" w:eastAsia="宋体" w:cs="宋体"/>
          <w:sz w:val="12"/>
        </w:rPr>
        <w:t>：</w:t>
      </w:r>
      <w:r>
        <w:rPr>
          <w:rFonts w:hint="eastAsia" w:ascii="Times New Roman" w:hAnsi="Times New Roman" w:eastAsia="Times New Roman" w:cs="Times New Roman"/>
          <w:sz w:val="24"/>
        </w:rPr>
        <w:t>9135010266688747X1</w:t>
      </w:r>
    </w:p>
    <w:p>
      <w:pPr>
        <w:spacing w:line="200" w:lineRule="exact"/>
        <w:rPr>
          <w:rFonts w:hint="eastAsia" w:ascii="宋体" w:hAnsi="宋体" w:eastAsia="宋体" w:cs="宋体"/>
          <w:sz w:val="20"/>
        </w:rPr>
      </w:pPr>
    </w:p>
    <w:p>
      <w:pPr>
        <w:tabs>
          <w:tab w:val="left" w:pos="4600"/>
        </w:tabs>
        <w:autoSpaceDE w:val="false"/>
        <w:autoSpaceDN w:val="false"/>
        <w:spacing w:line="300" w:lineRule="exact"/>
        <w:ind w:left="2260"/>
        <w:jc w:val="both"/>
      </w:pPr>
      <w:r>
        <w:rPr>
          <w:rFonts w:hint="eastAsia" w:ascii="宋体" w:hAnsi="宋体" w:eastAsia="宋体" w:cs="宋体"/>
          <w:sz w:val="24"/>
        </w:rPr>
        <w:t>住所</w:t>
      </w:r>
      <w:r>
        <w:rPr>
          <w:rFonts w:hint="eastAsia" w:ascii="宋体" w:hAnsi="宋体" w:eastAsia="宋体" w:cs="宋体"/>
          <w:sz w:val="10"/>
        </w:rPr>
        <w:t>：</w:t>
      </w:r>
      <w:r>
        <w:tab/>
      </w:r>
      <w:r>
        <w:rPr>
          <w:rFonts w:hint="eastAsia" w:ascii="宋体" w:hAnsi="宋体" w:eastAsia="宋体" w:cs="宋体"/>
          <w:sz w:val="24"/>
        </w:rPr>
        <w:t>福州市铜盘路软件大道</w:t>
      </w:r>
      <w:r>
        <w:rPr>
          <w:rFonts w:hint="eastAsia" w:ascii="Times New Roman" w:hAnsi="Times New Roman" w:eastAsia="Times New Roman" w:cs="Times New Roman"/>
          <w:sz w:val="24"/>
        </w:rPr>
        <w:t>89</w:t>
      </w:r>
      <w:r>
        <w:rPr>
          <w:rFonts w:hint="eastAsia" w:ascii="宋体" w:hAnsi="宋体" w:eastAsia="宋体" w:cs="宋体"/>
          <w:sz w:val="24"/>
        </w:rPr>
        <w:t>号软件园</w:t>
      </w:r>
      <w:r>
        <w:rPr>
          <w:rFonts w:hint="eastAsia" w:ascii="Times New Roman" w:hAnsi="Times New Roman" w:eastAsia="Times New Roman" w:cs="Times New Roman"/>
          <w:sz w:val="24"/>
        </w:rPr>
        <w:t>13</w:t>
      </w:r>
      <w:r>
        <w:rPr>
          <w:rFonts w:hint="eastAsia" w:ascii="宋体" w:hAnsi="宋体" w:eastAsia="宋体" w:cs="宋体"/>
          <w:sz w:val="24"/>
        </w:rPr>
        <w:t>号楼</w:t>
      </w:r>
      <w:r>
        <w:rPr>
          <w:rFonts w:hint="eastAsia" w:ascii="Times New Roman" w:hAnsi="Times New Roman" w:eastAsia="Times New Roman" w:cs="Times New Roman"/>
          <w:sz w:val="24"/>
        </w:rPr>
        <w:t>101</w:t>
      </w:r>
      <w:r>
        <w:rPr>
          <w:rFonts w:hint="eastAsia" w:ascii="宋体" w:hAnsi="宋体" w:eastAsia="宋体" w:cs="宋体"/>
          <w:sz w:val="24"/>
        </w:rPr>
        <w:t>室</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经营范围</w:t>
      </w:r>
      <w:r>
        <w:rPr>
          <w:rFonts w:hint="eastAsia" w:ascii="宋体" w:hAnsi="宋体" w:eastAsia="宋体" w:cs="宋体"/>
          <w:sz w:val="12"/>
        </w:rPr>
        <w:t>：</w:t>
      </w:r>
      <w:r>
        <w:tab/>
      </w:r>
      <w:r>
        <w:rPr>
          <w:rFonts w:hint="eastAsia" w:ascii="宋体" w:hAnsi="宋体" w:eastAsia="宋体" w:cs="宋体"/>
          <w:sz w:val="24"/>
        </w:rPr>
        <w:t>企业管理咨询</w:t>
      </w:r>
      <w:r>
        <w:rPr>
          <w:rFonts w:hint="eastAsia" w:ascii="宋体" w:hAnsi="宋体" w:eastAsia="宋体" w:cs="宋体"/>
          <w:sz w:val="10"/>
        </w:rPr>
        <w:t>、</w:t>
      </w:r>
      <w:r>
        <w:rPr>
          <w:rFonts w:hint="eastAsia" w:ascii="宋体" w:hAnsi="宋体" w:eastAsia="宋体" w:cs="宋体"/>
          <w:sz w:val="24"/>
        </w:rPr>
        <w:t>计算机软件开发</w:t>
      </w:r>
      <w:r>
        <w:rPr>
          <w:rFonts w:hint="eastAsia" w:ascii="宋体" w:hAnsi="宋体" w:eastAsia="宋体" w:cs="宋体"/>
          <w:sz w:val="10"/>
        </w:rPr>
        <w:t>、</w:t>
      </w:r>
      <w:r>
        <w:rPr>
          <w:rFonts w:hint="eastAsia" w:ascii="宋体" w:hAnsi="宋体" w:eastAsia="宋体" w:cs="宋体"/>
          <w:sz w:val="24"/>
        </w:rPr>
        <w:t>咨询</w:t>
      </w:r>
      <w:r>
        <w:rPr>
          <w:rFonts w:hint="eastAsia" w:ascii="宋体" w:hAnsi="宋体" w:eastAsia="宋体" w:cs="宋体"/>
          <w:sz w:val="10"/>
        </w:rPr>
        <w:t>、</w:t>
      </w:r>
      <w:r>
        <w:rPr>
          <w:rFonts w:hint="eastAsia" w:ascii="宋体" w:hAnsi="宋体" w:eastAsia="宋体" w:cs="宋体"/>
          <w:sz w:val="24"/>
        </w:rPr>
        <w:t>服务</w:t>
      </w:r>
      <w:r>
        <w:rPr>
          <w:rFonts w:hint="eastAsia" w:ascii="宋体" w:hAnsi="宋体" w:eastAsia="宋体" w:cs="宋体"/>
          <w:sz w:val="10"/>
        </w:rPr>
        <w:t>、</w:t>
      </w:r>
      <w:r>
        <w:rPr>
          <w:rFonts w:hint="eastAsia" w:ascii="宋体" w:hAnsi="宋体" w:eastAsia="宋体" w:cs="宋体"/>
          <w:sz w:val="24"/>
        </w:rPr>
        <w:t>代购</w:t>
      </w:r>
    </w:p>
    <w:p>
      <w:pPr>
        <w:spacing w:line="200" w:lineRule="exact"/>
        <w:rPr>
          <w:rFonts w:hint="eastAsia" w:ascii="宋体" w:hAnsi="宋体" w:eastAsia="宋体" w:cs="宋体"/>
          <w:sz w:val="20"/>
        </w:rPr>
      </w:pPr>
    </w:p>
    <w:p>
      <w:pPr>
        <w:autoSpaceDE w:val="false"/>
        <w:autoSpaceDN w:val="false"/>
        <w:spacing w:line="360" w:lineRule="exact"/>
        <w:ind w:left="4600" w:right="1600"/>
        <w:jc w:val="both"/>
      </w:pPr>
      <w:r>
        <w:rPr>
          <w:rFonts w:hint="eastAsia" w:ascii="宋体" w:hAnsi="宋体" w:eastAsia="宋体" w:cs="宋体"/>
          <w:sz w:val="24"/>
        </w:rPr>
        <w:t>代销（依法须经批准的项目</w:t>
      </w:r>
      <w:r>
        <w:rPr>
          <w:rFonts w:hint="eastAsia" w:ascii="宋体" w:hAnsi="宋体" w:eastAsia="宋体" w:cs="宋体"/>
          <w:sz w:val="10"/>
        </w:rPr>
        <w:t>，</w:t>
      </w:r>
      <w:r>
        <w:rPr>
          <w:rFonts w:hint="eastAsia" w:ascii="宋体" w:hAnsi="宋体" w:eastAsia="宋体" w:cs="宋体"/>
          <w:sz w:val="24"/>
        </w:rPr>
        <w:t>经相关部门批准后方可开展经营活动）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）股权情况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顶点信息的股权结构如下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680"/>
        <w:gridCol w:w="3600"/>
        <w:gridCol w:w="2140"/>
        <w:gridCol w:w="2100"/>
      </w:tblGrid>
      <w:tr>
        <w:trPr>
          <w:trHeight w:val="460" w:hRule="exact"/>
        </w:trPr>
        <w:tc>
          <w:tcPr>
            <w:tcW w:w="680" w:type="dxa"/>
            <w:tcMar>
              <w:top w:w="0" w:type="dxa"/>
              <w:left w:w="0" w:type="dxa"/>
              <w:bottom w:w="0" w:type="dxa"/>
              <w:right w:w="0" w:type="dxa"/>
            </w:tcMar>
          </w:tcPr>
          <w:p>
            <w:pPr>
              <w:spacing w:before="120"/>
              <w:ind w:left="100"/>
            </w:pPr>
            <w:r>
              <w:rPr>
                <w:rFonts w:hint="eastAsia" w:ascii="宋体" w:hAnsi="宋体" w:eastAsia="宋体" w:cs="宋体"/>
                <w:b/>
                <w:sz w:val="21"/>
              </w:rPr>
              <w:t>序号</w:t>
            </w:r>
          </w:p>
        </w:tc>
        <w:tc>
          <w:tcPr>
            <w:tcW w:w="3600" w:type="dxa"/>
            <w:tcMar>
              <w:top w:w="0" w:type="dxa"/>
              <w:left w:w="0" w:type="dxa"/>
              <w:bottom w:w="0" w:type="dxa"/>
              <w:right w:w="0" w:type="dxa"/>
            </w:tcMar>
          </w:tcPr>
          <w:p>
            <w:pPr>
              <w:spacing w:before="100"/>
              <w:ind w:left="1460"/>
            </w:pPr>
            <w:r>
              <w:rPr>
                <w:rFonts w:hint="eastAsia" w:ascii="宋体" w:hAnsi="宋体" w:eastAsia="宋体" w:cs="宋体"/>
                <w:b/>
                <w:sz w:val="21"/>
              </w:rPr>
              <w:t>出资人</w:t>
            </w:r>
          </w:p>
        </w:tc>
        <w:tc>
          <w:tcPr>
            <w:tcW w:w="2140" w:type="dxa"/>
            <w:tcMar>
              <w:top w:w="0" w:type="dxa"/>
              <w:left w:w="0" w:type="dxa"/>
              <w:bottom w:w="0" w:type="dxa"/>
              <w:right w:w="0" w:type="dxa"/>
            </w:tcMar>
          </w:tcPr>
          <w:p>
            <w:pPr>
              <w:spacing w:before="100"/>
              <w:ind w:left="520"/>
            </w:pPr>
            <w:r>
              <w:rPr>
                <w:rFonts w:hint="eastAsia" w:ascii="宋体" w:hAnsi="宋体" w:eastAsia="宋体" w:cs="宋体"/>
                <w:b/>
                <w:sz w:val="21"/>
              </w:rPr>
              <w:t>认缴出资额</w:t>
            </w:r>
          </w:p>
        </w:tc>
        <w:tc>
          <w:tcPr>
            <w:tcW w:w="2100" w:type="dxa"/>
            <w:tcMar>
              <w:top w:w="0" w:type="dxa"/>
              <w:left w:w="0" w:type="dxa"/>
              <w:bottom w:w="0" w:type="dxa"/>
              <w:right w:w="0" w:type="dxa"/>
            </w:tcMar>
          </w:tcPr>
          <w:p>
            <w:pPr>
              <w:spacing w:before="100"/>
              <w:ind w:left="620"/>
            </w:pPr>
            <w:r>
              <w:rPr>
                <w:rFonts w:hint="eastAsia" w:ascii="宋体" w:hAnsi="宋体" w:eastAsia="宋体" w:cs="宋体"/>
                <w:b/>
                <w:sz w:val="21"/>
              </w:rPr>
              <w:t>出资比例</w:t>
            </w:r>
          </w:p>
        </w:tc>
      </w:tr>
      <w:tr>
        <w:trPr>
          <w:trHeight w:val="480" w:hRule="exact"/>
        </w:trPr>
        <w:tc>
          <w:tcPr>
            <w:tcW w:w="680" w:type="dxa"/>
            <w:tcMar>
              <w:top w:w="0" w:type="dxa"/>
              <w:left w:w="0" w:type="dxa"/>
              <w:bottom w:w="0" w:type="dxa"/>
              <w:right w:w="0" w:type="dxa"/>
            </w:tcMar>
          </w:tcPr>
          <w:p>
            <w:pPr>
              <w:spacing w:before="180"/>
              <w:ind w:left="260"/>
            </w:pPr>
            <w:r>
              <w:rPr>
                <w:rFonts w:hint="eastAsia" w:ascii="Times New Roman" w:hAnsi="Times New Roman" w:eastAsia="Times New Roman" w:cs="Times New Roman"/>
                <w:sz w:val="21"/>
              </w:rPr>
              <w:t>1</w:t>
            </w:r>
          </w:p>
        </w:tc>
        <w:tc>
          <w:tcPr>
            <w:tcW w:w="3600" w:type="dxa"/>
            <w:tcMar>
              <w:top w:w="0" w:type="dxa"/>
              <w:left w:w="0" w:type="dxa"/>
              <w:bottom w:w="0" w:type="dxa"/>
              <w:right w:w="0" w:type="dxa"/>
            </w:tcMar>
          </w:tcPr>
          <w:p>
            <w:pPr>
              <w:spacing w:before="120"/>
            </w:pPr>
            <w:r>
              <w:rPr>
                <w:rFonts w:hint="eastAsia" w:ascii="宋体" w:hAnsi="宋体" w:eastAsia="宋体" w:cs="宋体"/>
                <w:sz w:val="21"/>
              </w:rPr>
              <w:t>顶点软件</w:t>
            </w:r>
          </w:p>
        </w:tc>
        <w:tc>
          <w:tcPr>
            <w:tcW w:w="2140" w:type="dxa"/>
            <w:tcMar>
              <w:top w:w="0" w:type="dxa"/>
              <w:left w:w="0" w:type="dxa"/>
              <w:bottom w:w="0" w:type="dxa"/>
              <w:right w:w="0" w:type="dxa"/>
            </w:tcMar>
          </w:tcPr>
          <w:p>
            <w:pPr>
              <w:spacing w:before="180"/>
              <w:ind w:left="1440"/>
            </w:pPr>
            <w:r>
              <w:rPr>
                <w:rFonts w:hint="eastAsia" w:ascii="Times New Roman" w:hAnsi="Times New Roman" w:eastAsia="Times New Roman" w:cs="Times New Roman"/>
                <w:sz w:val="21"/>
              </w:rPr>
              <w:t>900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80"/>
              <w:ind w:left="134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68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2</w:t>
            </w:r>
          </w:p>
        </w:tc>
        <w:tc>
          <w:tcPr>
            <w:tcW w:w="3600" w:type="dxa"/>
            <w:tcMar>
              <w:top w:w="0" w:type="dxa"/>
              <w:left w:w="0" w:type="dxa"/>
              <w:bottom w:w="0" w:type="dxa"/>
              <w:right w:w="0" w:type="dxa"/>
            </w:tcMar>
          </w:tcPr>
          <w:p>
            <w:pPr>
              <w:spacing w:before="120"/>
            </w:pPr>
            <w:r>
              <w:rPr>
                <w:rFonts w:hint="eastAsia" w:ascii="宋体" w:hAnsi="宋体" w:eastAsia="宋体" w:cs="宋体"/>
                <w:sz w:val="21"/>
              </w:rPr>
              <w:t>陈 明</w:t>
            </w:r>
          </w:p>
        </w:tc>
        <w:tc>
          <w:tcPr>
            <w:tcW w:w="2140" w:type="dxa"/>
            <w:tcMar>
              <w:top w:w="0" w:type="dxa"/>
              <w:left w:w="0" w:type="dxa"/>
              <w:bottom w:w="0" w:type="dxa"/>
              <w:right w:w="0" w:type="dxa"/>
            </w:tcMar>
          </w:tcPr>
          <w:p>
            <w:pPr>
              <w:spacing w:before="140"/>
              <w:ind w:left="1440"/>
            </w:pPr>
            <w:r>
              <w:rPr>
                <w:rFonts w:hint="eastAsia" w:ascii="Times New Roman" w:hAnsi="Times New Roman" w:eastAsia="Times New Roman" w:cs="Times New Roman"/>
                <w:sz w:val="21"/>
              </w:rPr>
              <w:t>192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40"/>
              <w:ind w:left="13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3</w:t>
            </w:r>
          </w:p>
        </w:tc>
        <w:tc>
          <w:tcPr>
            <w:tcW w:w="3600" w:type="dxa"/>
            <w:tcMar>
              <w:top w:w="0" w:type="dxa"/>
              <w:left w:w="0" w:type="dxa"/>
              <w:bottom w:w="0" w:type="dxa"/>
              <w:right w:w="0" w:type="dxa"/>
            </w:tcMar>
          </w:tcPr>
          <w:p>
            <w:pPr>
              <w:spacing w:before="120"/>
            </w:pPr>
            <w:r>
              <w:rPr>
                <w:rFonts w:hint="eastAsia" w:ascii="宋体" w:hAnsi="宋体" w:eastAsia="宋体" w:cs="宋体"/>
                <w:sz w:val="21"/>
              </w:rPr>
              <w:t>林健明</w:t>
            </w:r>
          </w:p>
        </w:tc>
        <w:tc>
          <w:tcPr>
            <w:tcW w:w="214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40"/>
              <w:ind w:left="14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4</w:t>
            </w:r>
          </w:p>
        </w:tc>
        <w:tc>
          <w:tcPr>
            <w:tcW w:w="3600" w:type="dxa"/>
            <w:tcMar>
              <w:top w:w="0" w:type="dxa"/>
              <w:left w:w="0" w:type="dxa"/>
              <w:bottom w:w="0" w:type="dxa"/>
              <w:right w:w="0" w:type="dxa"/>
            </w:tcMar>
          </w:tcPr>
          <w:p>
            <w:pPr>
              <w:spacing w:before="100"/>
            </w:pPr>
            <w:r>
              <w:rPr>
                <w:rFonts w:hint="eastAsia" w:ascii="宋体" w:hAnsi="宋体" w:eastAsia="宋体" w:cs="宋体"/>
                <w:sz w:val="21"/>
              </w:rPr>
              <w:t>李有明</w:t>
            </w:r>
          </w:p>
        </w:tc>
        <w:tc>
          <w:tcPr>
            <w:tcW w:w="214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2100" w:type="dxa"/>
            <w:tcMar>
              <w:top w:w="0" w:type="dxa"/>
              <w:left w:w="0" w:type="dxa"/>
              <w:bottom w:w="0" w:type="dxa"/>
              <w:right w:w="0" w:type="dxa"/>
            </w:tcMar>
          </w:tcPr>
          <w:p>
            <w:pPr>
              <w:spacing w:before="160"/>
              <w:ind w:left="14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p>
        </w:tc>
      </w:tr>
      <w:tr>
        <w:trPr>
          <w:trHeight w:val="480" w:hRule="exact"/>
        </w:trPr>
        <w:tc>
          <w:tcPr>
            <w:tcW w:w="680" w:type="dxa"/>
            <w:tcMar>
              <w:top w:w="0" w:type="dxa"/>
              <w:left w:w="0" w:type="dxa"/>
              <w:bottom w:w="0" w:type="dxa"/>
              <w:right w:w="0" w:type="dxa"/>
            </w:tcMar>
          </w:tcPr>
          <w:p>
            <w:pPr>
              <w:spacing w:before="180"/>
              <w:ind w:left="260"/>
            </w:pPr>
            <w:r>
              <w:rPr>
                <w:rFonts w:hint="eastAsia" w:ascii="Times New Roman" w:hAnsi="Times New Roman" w:eastAsia="Times New Roman" w:cs="Times New Roman"/>
                <w:sz w:val="21"/>
              </w:rPr>
              <w:t>5</w:t>
            </w:r>
          </w:p>
        </w:tc>
        <w:tc>
          <w:tcPr>
            <w:tcW w:w="3600" w:type="dxa"/>
            <w:tcMar>
              <w:top w:w="0" w:type="dxa"/>
              <w:left w:w="0" w:type="dxa"/>
              <w:bottom w:w="0" w:type="dxa"/>
              <w:right w:w="0" w:type="dxa"/>
            </w:tcMar>
          </w:tcPr>
          <w:p>
            <w:pPr>
              <w:spacing w:before="120"/>
            </w:pPr>
            <w:r>
              <w:rPr>
                <w:rFonts w:hint="eastAsia" w:ascii="宋体" w:hAnsi="宋体" w:eastAsia="宋体" w:cs="宋体"/>
                <w:sz w:val="21"/>
              </w:rPr>
              <w:t>黄 晨</w:t>
            </w:r>
          </w:p>
        </w:tc>
        <w:tc>
          <w:tcPr>
            <w:tcW w:w="2140" w:type="dxa"/>
            <w:tcMar>
              <w:top w:w="0" w:type="dxa"/>
              <w:left w:w="0" w:type="dxa"/>
              <w:bottom w:w="0" w:type="dxa"/>
              <w:right w:w="0" w:type="dxa"/>
            </w:tcMar>
          </w:tcPr>
          <w:p>
            <w:pPr>
              <w:spacing w:before="180"/>
              <w:ind w:left="154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2100" w:type="dxa"/>
            <w:tcMar>
              <w:top w:w="0" w:type="dxa"/>
              <w:left w:w="0" w:type="dxa"/>
              <w:bottom w:w="0" w:type="dxa"/>
              <w:right w:w="0" w:type="dxa"/>
            </w:tcMar>
          </w:tcPr>
          <w:p>
            <w:pPr>
              <w:spacing w:before="180"/>
              <w:ind w:left="14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p>
        </w:tc>
      </w:tr>
      <w:tr>
        <w:trPr>
          <w:trHeight w:val="480" w:hRule="exact"/>
        </w:trPr>
        <w:tc>
          <w:tcPr>
            <w:tcW w:w="68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6</w:t>
            </w:r>
          </w:p>
        </w:tc>
        <w:tc>
          <w:tcPr>
            <w:tcW w:w="3600" w:type="dxa"/>
            <w:tcMar>
              <w:top w:w="0" w:type="dxa"/>
              <w:left w:w="0" w:type="dxa"/>
              <w:bottom w:w="0" w:type="dxa"/>
              <w:right w:w="0" w:type="dxa"/>
            </w:tcMar>
          </w:tcPr>
          <w:p>
            <w:pPr>
              <w:spacing w:before="100"/>
            </w:pPr>
            <w:r>
              <w:rPr>
                <w:rFonts w:hint="eastAsia" w:ascii="宋体" w:hAnsi="宋体" w:eastAsia="宋体" w:cs="宋体"/>
                <w:sz w:val="21"/>
              </w:rPr>
              <w:t>刘 玮</w:t>
            </w:r>
          </w:p>
        </w:tc>
        <w:tc>
          <w:tcPr>
            <w:tcW w:w="2140" w:type="dxa"/>
            <w:tcMar>
              <w:top w:w="0" w:type="dxa"/>
              <w:left w:w="0" w:type="dxa"/>
              <w:bottom w:w="0" w:type="dxa"/>
              <w:right w:w="0" w:type="dxa"/>
            </w:tcMar>
          </w:tcPr>
          <w:p>
            <w:pPr>
              <w:spacing w:before="140"/>
              <w:ind w:left="15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2100" w:type="dxa"/>
            <w:tcMar>
              <w:top w:w="0" w:type="dxa"/>
              <w:left w:w="0" w:type="dxa"/>
              <w:bottom w:w="0" w:type="dxa"/>
              <w:right w:w="0" w:type="dxa"/>
            </w:tcMar>
          </w:tcPr>
          <w:p>
            <w:pPr>
              <w:spacing w:before="140"/>
              <w:ind w:left="14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60" w:hRule="exact"/>
        </w:trPr>
        <w:tc>
          <w:tcPr>
            <w:tcW w:w="4280" w:type="dxa"/>
            <w:gridSpan w:val="2"/>
            <w:tcMar>
              <w:top w:w="0" w:type="dxa"/>
              <w:left w:w="0" w:type="dxa"/>
              <w:bottom w:w="0" w:type="dxa"/>
              <w:right w:w="0" w:type="dxa"/>
            </w:tcMar>
          </w:tcPr>
          <w:p>
            <w:pPr>
              <w:spacing w:before="120"/>
              <w:ind w:left="1900"/>
            </w:pPr>
            <w:r>
              <w:rPr>
                <w:rFonts w:hint="eastAsia" w:ascii="宋体" w:hAnsi="宋体" w:eastAsia="宋体" w:cs="宋体"/>
                <w:b/>
                <w:sz w:val="21"/>
              </w:rPr>
              <w:t>合计</w:t>
            </w:r>
          </w:p>
        </w:tc>
        <w:tc>
          <w:tcPr>
            <w:tcW w:w="2140" w:type="dxa"/>
            <w:tcMar>
              <w:top w:w="0" w:type="dxa"/>
              <w:left w:w="0" w:type="dxa"/>
              <w:bottom w:w="0" w:type="dxa"/>
              <w:right w:w="0" w:type="dxa"/>
            </w:tcMar>
          </w:tcPr>
          <w:p>
            <w:pPr>
              <w:spacing w:before="140"/>
              <w:ind w:left="1280"/>
            </w:pPr>
            <w:r>
              <w:rPr>
                <w:rFonts w:hint="eastAsia" w:ascii="Times New Roman Bold" w:hAnsi="Times New Roman Bold" w:eastAsia="Times New Roman Bold" w:cs="Times New Roman Bold"/>
                <w:b/>
                <w:sz w:val="21"/>
              </w:rPr>
              <w:t>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100" w:type="dxa"/>
            <w:tcMar>
              <w:top w:w="0" w:type="dxa"/>
              <w:left w:w="0" w:type="dxa"/>
              <w:bottom w:w="0" w:type="dxa"/>
              <w:right w:w="0" w:type="dxa"/>
            </w:tcMar>
          </w:tcPr>
          <w:p>
            <w:pPr>
              <w:spacing w:before="140"/>
              <w:ind w:left="14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宋体" w:hAnsi="宋体" w:eastAsia="宋体" w:cs="宋体"/>
          <w:sz w:val="20"/>
        </w:rPr>
        <w:t>（</w:t>
      </w:r>
      <w:r>
        <w:rPr>
          <w:rFonts w:hint="eastAsia" w:ascii="Times New Roman" w:hAnsi="Times New Roman" w:eastAsia="Times New Roman" w:cs="Times New Roman"/>
          <w:sz w:val="24"/>
        </w:rPr>
        <w:t>3</w:t>
      </w:r>
      <w:r>
        <w:rPr>
          <w:rFonts w:hint="eastAsia" w:ascii="宋体" w:hAnsi="宋体" w:eastAsia="宋体" w:cs="宋体"/>
          <w:sz w:val="24"/>
        </w:rPr>
        <w:t>）经营业绩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顶点信息的总资产为</w:t>
      </w:r>
      <w:r>
        <w:rPr>
          <w:rFonts w:hint="eastAsia" w:ascii="Times New Roman" w:hAnsi="Times New Roman" w:eastAsia="Times New Roman" w:cs="Times New Roman"/>
          <w:sz w:val="24"/>
        </w:rPr>
        <w:t xml:space="preserve"> 16,530,315.51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净资产为</w:t>
      </w:r>
      <w:r>
        <w:rPr>
          <w:rFonts w:hint="eastAsia" w:ascii="Times New Roman" w:hAnsi="Times New Roman" w:eastAsia="Times New Roman" w:cs="Times New Roman"/>
          <w:sz w:val="24"/>
        </w:rPr>
        <w:t>8,674,975.05</w:t>
      </w:r>
      <w:r>
        <w:rPr>
          <w:rFonts w:hint="eastAsia" w:ascii="宋体" w:hAnsi="宋体" w:eastAsia="宋体" w:cs="宋体"/>
          <w:sz w:val="24"/>
        </w:rPr>
        <w:t xml:space="preserve"> 元</w:t>
      </w:r>
      <w:r>
        <w:rPr>
          <w:rFonts w:hint="eastAsia" w:ascii="宋体" w:hAnsi="宋体" w:eastAsia="宋体" w:cs="宋体"/>
          <w:sz w:val="12"/>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年度实现净利润</w:t>
      </w:r>
      <w:r>
        <w:rPr>
          <w:rFonts w:hint="eastAsia" w:ascii="Times New Roman" w:hAnsi="Times New Roman" w:eastAsia="Times New Roman" w:cs="Times New Roman"/>
          <w:sz w:val="24"/>
        </w:rPr>
        <w:t xml:space="preserve"> 877,249.58</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以上财务数据已经致同所审计）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1-1-73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0"/>
        </w:rPr>
        <w:t>（</w:t>
      </w:r>
      <w:r>
        <w:rPr>
          <w:rFonts w:hint="eastAsia" w:ascii="Times New Roman" w:hAnsi="Times New Roman" w:eastAsia="Times New Roman" w:cs="Times New Roman"/>
          <w:sz w:val="24"/>
        </w:rPr>
        <w:t>4</w:t>
      </w:r>
      <w:r>
        <w:rPr>
          <w:rFonts w:hint="eastAsia" w:ascii="宋体" w:hAnsi="宋体" w:eastAsia="宋体" w:cs="宋体"/>
          <w:sz w:val="24"/>
        </w:rPr>
        <w:t>）主营业务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顶点信息主要从事非金融行业企业信息化业务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武汉顶点</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）基本情况</w:t>
      </w:r>
    </w:p>
    <w:p>
      <w:pPr>
        <w:spacing w:line="200" w:lineRule="exact"/>
        <w:rPr>
          <w:rFonts w:hint="eastAsia" w:ascii="宋体" w:hAnsi="宋体" w:eastAsia="宋体" w:cs="宋体"/>
          <w:sz w:val="20"/>
        </w:rPr>
      </w:pPr>
    </w:p>
    <w:p>
      <w:pPr>
        <w:tabs>
          <w:tab w:val="left" w:pos="4600"/>
        </w:tabs>
        <w:autoSpaceDE w:val="false"/>
        <w:autoSpaceDN w:val="false"/>
        <w:spacing w:line="340" w:lineRule="exact"/>
        <w:ind w:left="2280"/>
        <w:jc w:val="both"/>
      </w:pPr>
      <w:r>
        <w:rPr>
          <w:rFonts w:hint="eastAsia" w:ascii="宋体" w:hAnsi="宋体" w:eastAsia="宋体" w:cs="宋体"/>
          <w:sz w:val="24"/>
        </w:rPr>
        <w:t>法定代表人</w:t>
      </w:r>
      <w:r>
        <w:rPr>
          <w:rFonts w:hint="eastAsia" w:ascii="宋体" w:hAnsi="宋体" w:eastAsia="宋体" w:cs="宋体"/>
          <w:sz w:val="12"/>
        </w:rPr>
        <w:t>：</w:t>
      </w:r>
      <w:r>
        <w:tab/>
      </w:r>
      <w:r>
        <w:rPr>
          <w:rFonts w:hint="eastAsia" w:ascii="宋体" w:hAnsi="宋体" w:eastAsia="宋体" w:cs="宋体"/>
          <w:sz w:val="24"/>
        </w:rPr>
        <w:t>严孟宇</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成立时间</w:t>
      </w:r>
      <w:r>
        <w:rPr>
          <w:rFonts w:hint="eastAsia" w:ascii="宋体" w:hAnsi="宋体" w:eastAsia="宋体" w:cs="宋体"/>
          <w:sz w:val="12"/>
        </w:rPr>
        <w:t>：</w:t>
      </w:r>
      <w:r>
        <w:tab/>
      </w:r>
      <w:r>
        <w:rPr>
          <w:rFonts w:hint="eastAsia" w:ascii="Times New Roman" w:hAnsi="Times New Roman" w:eastAsia="Times New Roman" w:cs="Times New Roman"/>
          <w:sz w:val="24"/>
        </w:rPr>
        <w:t>2013</w:t>
      </w:r>
      <w:r>
        <w:rPr>
          <w:rFonts w:hint="eastAsia" w:ascii="宋体" w:hAnsi="宋体" w:eastAsia="宋体" w:cs="宋体"/>
          <w:sz w:val="24"/>
        </w:rPr>
        <w:t>年</w:t>
      </w:r>
      <w:r>
        <w:rPr>
          <w:rFonts w:hint="eastAsia" w:ascii="Times New Roman" w:hAnsi="Times New Roman" w:eastAsia="Times New Roman" w:cs="Times New Roman"/>
          <w:sz w:val="24"/>
        </w:rPr>
        <w:t>11</w:t>
      </w:r>
      <w:r>
        <w:rPr>
          <w:rFonts w:hint="eastAsia" w:ascii="宋体" w:hAnsi="宋体" w:eastAsia="宋体" w:cs="宋体"/>
          <w:sz w:val="24"/>
        </w:rPr>
        <w:t>月</w:t>
      </w:r>
      <w:r>
        <w:rPr>
          <w:rFonts w:hint="eastAsia" w:ascii="Times New Roman" w:hAnsi="Times New Roman" w:eastAsia="Times New Roman" w:cs="Times New Roman"/>
          <w:sz w:val="24"/>
        </w:rPr>
        <w:t>18</w:t>
      </w:r>
      <w:r>
        <w:rPr>
          <w:rFonts w:hint="eastAsia" w:ascii="宋体" w:hAnsi="宋体" w:eastAsia="宋体" w:cs="宋体"/>
          <w:sz w:val="24"/>
        </w:rPr>
        <w:t>日</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注册资本</w:t>
      </w:r>
      <w:r>
        <w:rPr>
          <w:rFonts w:hint="eastAsia" w:ascii="宋体" w:hAnsi="宋体" w:eastAsia="宋体" w:cs="宋体"/>
          <w:sz w:val="10"/>
        </w:rPr>
        <w:t>：</w:t>
      </w:r>
      <w:r>
        <w:tab/>
      </w:r>
      <w:r>
        <w:rPr>
          <w:rFonts w:hint="eastAsia" w:ascii="Times New Roman" w:hAnsi="Times New Roman" w:eastAsia="Times New Roman" w:cs="Times New Roman"/>
          <w:sz w:val="24"/>
        </w:rPr>
        <w:t>2,500.00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实收资本</w:t>
      </w:r>
      <w:r>
        <w:rPr>
          <w:rFonts w:hint="eastAsia" w:ascii="宋体" w:hAnsi="宋体" w:eastAsia="宋体" w:cs="宋体"/>
          <w:sz w:val="12"/>
        </w:rPr>
        <w:t>：</w:t>
      </w:r>
      <w:r>
        <w:tab/>
      </w:r>
      <w:r>
        <w:rPr>
          <w:rFonts w:hint="eastAsia" w:ascii="Times New Roman" w:hAnsi="Times New Roman" w:eastAsia="Times New Roman" w:cs="Times New Roman"/>
          <w:sz w:val="24"/>
        </w:rPr>
        <w:t>2,500.00</w:t>
      </w:r>
      <w:r>
        <w:rPr>
          <w:rFonts w:hint="eastAsia" w:ascii="宋体" w:hAnsi="宋体" w:eastAsia="宋体" w:cs="宋体"/>
          <w:sz w:val="24"/>
        </w:rPr>
        <w:t>万元</w:t>
      </w:r>
    </w:p>
    <w:p>
      <w:pPr>
        <w:spacing w:line="200" w:lineRule="exact"/>
        <w:rPr>
          <w:rFonts w:hint="eastAsia" w:ascii="宋体" w:hAnsi="宋体" w:eastAsia="宋体" w:cs="宋体"/>
          <w:sz w:val="20"/>
        </w:rPr>
      </w:pPr>
    </w:p>
    <w:p>
      <w:pPr>
        <w:autoSpaceDE w:val="false"/>
        <w:autoSpaceDN w:val="false"/>
        <w:spacing w:line="260" w:lineRule="exact"/>
        <w:ind w:left="2280"/>
        <w:jc w:val="both"/>
      </w:pPr>
      <w:r>
        <w:rPr>
          <w:rFonts w:hint="eastAsia" w:ascii="宋体" w:hAnsi="宋体" w:eastAsia="宋体" w:cs="宋体"/>
          <w:sz w:val="24"/>
        </w:rPr>
        <w:t>统一社会信用代码</w:t>
      </w:r>
      <w:r>
        <w:rPr>
          <w:rFonts w:hint="eastAsia" w:ascii="宋体" w:hAnsi="宋体" w:eastAsia="宋体" w:cs="宋体"/>
          <w:sz w:val="12"/>
        </w:rPr>
        <w:t>：</w:t>
      </w:r>
      <w:r>
        <w:rPr>
          <w:rFonts w:hint="eastAsia" w:ascii="Times New Roman" w:hAnsi="Times New Roman" w:eastAsia="Times New Roman" w:cs="Times New Roman"/>
          <w:sz w:val="24"/>
        </w:rPr>
        <w:t>91420100081971502R</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60"/>
        <w:jc w:val="both"/>
      </w:pPr>
      <w:r>
        <w:rPr>
          <w:rFonts w:hint="eastAsia" w:ascii="宋体" w:hAnsi="宋体" w:eastAsia="宋体" w:cs="宋体"/>
          <w:sz w:val="24"/>
        </w:rPr>
        <w:t>住所</w:t>
      </w:r>
      <w:r>
        <w:rPr>
          <w:rFonts w:hint="eastAsia" w:ascii="宋体" w:hAnsi="宋体" w:eastAsia="宋体" w:cs="宋体"/>
          <w:sz w:val="10"/>
        </w:rPr>
        <w:t>：</w:t>
      </w:r>
      <w:r>
        <w:tab/>
      </w:r>
      <w:r>
        <w:rPr>
          <w:rFonts w:hint="eastAsia" w:ascii="宋体" w:hAnsi="宋体" w:eastAsia="宋体" w:cs="宋体"/>
          <w:sz w:val="24"/>
        </w:rPr>
        <w:t>武汉市东湖新技术开发区软件园东路</w:t>
      </w:r>
      <w:r>
        <w:rPr>
          <w:rFonts w:hint="eastAsia" w:ascii="Times New Roman" w:hAnsi="Times New Roman" w:eastAsia="Times New Roman" w:cs="Times New Roman"/>
          <w:sz w:val="24"/>
        </w:rPr>
        <w:t>1</w:t>
      </w:r>
      <w:r>
        <w:rPr>
          <w:rFonts w:hint="eastAsia" w:ascii="宋体" w:hAnsi="宋体" w:eastAsia="宋体" w:cs="宋体"/>
          <w:sz w:val="24"/>
        </w:rPr>
        <w:t>号软件产业</w:t>
      </w:r>
      <w:r>
        <w:rPr>
          <w:rFonts w:hint="eastAsia" w:ascii="Times New Roman" w:hAnsi="Times New Roman" w:eastAsia="Times New Roman" w:cs="Times New Roman"/>
          <w:sz w:val="24"/>
        </w:rPr>
        <w:t>4.1</w:t>
      </w:r>
    </w:p>
    <w:p>
      <w:pPr>
        <w:spacing w:line="200" w:lineRule="exact"/>
        <w:rPr>
          <w:rFonts w:hint="eastAsia" w:ascii="宋体" w:hAnsi="宋体" w:eastAsia="宋体" w:cs="宋体"/>
          <w:sz w:val="20"/>
        </w:rPr>
      </w:pPr>
    </w:p>
    <w:p>
      <w:pPr>
        <w:autoSpaceDE w:val="false"/>
        <w:autoSpaceDN w:val="false"/>
        <w:spacing w:line="260" w:lineRule="exact"/>
        <w:ind w:left="4600"/>
        <w:jc w:val="both"/>
      </w:pPr>
      <w:r>
        <w:rPr>
          <w:rFonts w:hint="eastAsia" w:ascii="宋体" w:hAnsi="宋体" w:eastAsia="宋体" w:cs="宋体"/>
          <w:sz w:val="24"/>
        </w:rPr>
        <w:t>期</w:t>
      </w:r>
      <w:r>
        <w:rPr>
          <w:rFonts w:hint="eastAsia" w:ascii="Times New Roman" w:hAnsi="Times New Roman" w:eastAsia="Times New Roman" w:cs="Times New Roman"/>
          <w:sz w:val="24"/>
        </w:rPr>
        <w:t>B3</w:t>
      </w:r>
      <w:r>
        <w:rPr>
          <w:rFonts w:hint="eastAsia" w:ascii="宋体" w:hAnsi="宋体" w:eastAsia="宋体" w:cs="宋体"/>
          <w:sz w:val="24"/>
        </w:rPr>
        <w:t>座</w:t>
      </w:r>
      <w:r>
        <w:rPr>
          <w:rFonts w:hint="eastAsia" w:ascii="Times New Roman" w:hAnsi="Times New Roman" w:eastAsia="Times New Roman" w:cs="Times New Roman"/>
          <w:sz w:val="24"/>
        </w:rPr>
        <w:t>7</w:t>
      </w:r>
      <w:r>
        <w:rPr>
          <w:rFonts w:hint="eastAsia" w:ascii="宋体" w:hAnsi="宋体" w:eastAsia="宋体" w:cs="宋体"/>
          <w:sz w:val="24"/>
        </w:rPr>
        <w:t>层</w:t>
      </w:r>
      <w:r>
        <w:rPr>
          <w:rFonts w:hint="eastAsia" w:ascii="Times New Roman" w:hAnsi="Times New Roman" w:eastAsia="Times New Roman" w:cs="Times New Roman"/>
          <w:sz w:val="24"/>
        </w:rPr>
        <w:t>01</w:t>
      </w:r>
      <w:r>
        <w:rPr>
          <w:rFonts w:hint="eastAsia" w:ascii="宋体" w:hAnsi="宋体" w:eastAsia="宋体" w:cs="宋体"/>
          <w:sz w:val="24"/>
        </w:rPr>
        <w:t>室</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经营范围</w:t>
      </w:r>
      <w:r>
        <w:rPr>
          <w:rFonts w:hint="eastAsia" w:ascii="宋体" w:hAnsi="宋体" w:eastAsia="宋体" w:cs="宋体"/>
          <w:sz w:val="10"/>
        </w:rPr>
        <w:t>：</w:t>
      </w:r>
      <w:r>
        <w:tab/>
      </w:r>
      <w:r>
        <w:rPr>
          <w:rFonts w:hint="eastAsia" w:ascii="宋体" w:hAnsi="宋体" w:eastAsia="宋体" w:cs="宋体"/>
          <w:sz w:val="24"/>
        </w:rPr>
        <w:t>电子计算机软件开发</w:t>
      </w:r>
      <w:r>
        <w:rPr>
          <w:rFonts w:hint="eastAsia" w:ascii="宋体" w:hAnsi="宋体" w:eastAsia="宋体" w:cs="宋体"/>
          <w:sz w:val="10"/>
        </w:rPr>
        <w:t>、</w:t>
      </w:r>
      <w:r>
        <w:rPr>
          <w:rFonts w:hint="eastAsia" w:ascii="宋体" w:hAnsi="宋体" w:eastAsia="宋体" w:cs="宋体"/>
          <w:sz w:val="24"/>
        </w:rPr>
        <w:t>销售</w:t>
      </w:r>
      <w:r>
        <w:rPr>
          <w:rFonts w:hint="eastAsia" w:ascii="宋体" w:hAnsi="宋体" w:eastAsia="宋体" w:cs="宋体"/>
          <w:sz w:val="12"/>
        </w:rPr>
        <w:t>；</w:t>
      </w:r>
      <w:r>
        <w:rPr>
          <w:rFonts w:hint="eastAsia" w:ascii="宋体" w:hAnsi="宋体" w:eastAsia="宋体" w:cs="宋体"/>
          <w:sz w:val="24"/>
        </w:rPr>
        <w:t>电子计算机批发</w:t>
      </w:r>
      <w:r>
        <w:rPr>
          <w:rFonts w:hint="eastAsia" w:ascii="宋体" w:hAnsi="宋体" w:eastAsia="宋体" w:cs="宋体"/>
          <w:sz w:val="10"/>
        </w:rPr>
        <w:t>、</w:t>
      </w:r>
      <w:r>
        <w:rPr>
          <w:rFonts w:hint="eastAsia" w:ascii="宋体" w:hAnsi="宋体" w:eastAsia="宋体" w:cs="宋体"/>
          <w:sz w:val="24"/>
        </w:rPr>
        <w:t>零售</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60" w:lineRule="exact"/>
        <w:ind w:left="4600" w:right="1600"/>
        <w:jc w:val="both"/>
      </w:pPr>
      <w:r>
        <w:rPr>
          <w:rFonts w:hint="eastAsia" w:ascii="宋体" w:hAnsi="宋体" w:eastAsia="宋体" w:cs="宋体"/>
          <w:sz w:val="24"/>
        </w:rPr>
        <w:t>计算机网络工程的设计及安装服务</w:t>
      </w:r>
      <w:r>
        <w:rPr>
          <w:rFonts w:hint="eastAsia" w:ascii="宋体" w:hAnsi="宋体" w:eastAsia="宋体" w:cs="宋体"/>
          <w:sz w:val="12"/>
        </w:rPr>
        <w:t>；</w:t>
      </w:r>
      <w:r>
        <w:rPr>
          <w:rFonts w:hint="eastAsia" w:ascii="宋体" w:hAnsi="宋体" w:eastAsia="宋体" w:cs="宋体"/>
          <w:sz w:val="24"/>
        </w:rPr>
        <w:t>电子计算机技术服务</w:t>
      </w:r>
      <w:r>
        <w:rPr>
          <w:rFonts w:hint="eastAsia" w:ascii="宋体" w:hAnsi="宋体" w:eastAsia="宋体" w:cs="宋体"/>
          <w:sz w:val="10"/>
        </w:rPr>
        <w:t>、</w:t>
      </w:r>
      <w:r>
        <w:rPr>
          <w:rFonts w:hint="eastAsia" w:ascii="宋体" w:hAnsi="宋体" w:eastAsia="宋体" w:cs="宋体"/>
          <w:sz w:val="24"/>
        </w:rPr>
        <w:t>技术咨询</w:t>
      </w:r>
      <w:r>
        <w:rPr>
          <w:rFonts w:hint="eastAsia" w:ascii="宋体" w:hAnsi="宋体" w:eastAsia="宋体" w:cs="宋体"/>
          <w:sz w:val="10"/>
        </w:rPr>
        <w:t>。（</w:t>
      </w:r>
      <w:r>
        <w:rPr>
          <w:rFonts w:hint="eastAsia" w:ascii="宋体" w:hAnsi="宋体" w:eastAsia="宋体" w:cs="宋体"/>
          <w:sz w:val="24"/>
        </w:rPr>
        <w:t>上述经营范围中国家有专项规定</w:t>
      </w:r>
    </w:p>
    <w:p>
      <w:pPr>
        <w:spacing w:line="200" w:lineRule="exact"/>
        <w:rPr>
          <w:rFonts w:hint="eastAsia" w:ascii="宋体" w:hAnsi="宋体" w:eastAsia="宋体" w:cs="宋体"/>
          <w:sz w:val="20"/>
        </w:rPr>
      </w:pPr>
    </w:p>
    <w:p>
      <w:pPr>
        <w:autoSpaceDE w:val="false"/>
        <w:autoSpaceDN w:val="false"/>
        <w:spacing w:line="280" w:lineRule="exact"/>
        <w:ind w:left="4600"/>
        <w:jc w:val="both"/>
      </w:pPr>
      <w:r>
        <w:rPr>
          <w:rFonts w:hint="eastAsia" w:ascii="宋体" w:hAnsi="宋体" w:eastAsia="宋体" w:cs="宋体"/>
          <w:sz w:val="24"/>
        </w:rPr>
        <w:t>的项目经审批后或凭有效许可证方可经营）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）股权情况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本公司持有武汉顶点</w:t>
      </w:r>
      <w:r>
        <w:rPr>
          <w:rFonts w:hint="eastAsia" w:ascii="Times New Roman" w:hAnsi="Times New Roman" w:eastAsia="Times New Roman" w:cs="Times New Roman"/>
          <w:sz w:val="24"/>
        </w:rPr>
        <w:t xml:space="preserve"> 100.00%</w:t>
      </w:r>
      <w:r>
        <w:rPr>
          <w:rFonts w:hint="eastAsia" w:ascii="宋体" w:hAnsi="宋体" w:eastAsia="宋体" w:cs="宋体"/>
          <w:sz w:val="24"/>
        </w:rPr>
        <w:t>股权</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）经营业绩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武汉顶点的总资产为</w:t>
      </w:r>
      <w:r>
        <w:rPr>
          <w:rFonts w:hint="eastAsia" w:ascii="Times New Roman" w:hAnsi="Times New Roman" w:eastAsia="Times New Roman" w:cs="Times New Roman"/>
          <w:sz w:val="24"/>
        </w:rPr>
        <w:t xml:space="preserve"> 18,435,123.68</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净资产为</w:t>
      </w:r>
      <w:r>
        <w:rPr>
          <w:rFonts w:hint="eastAsia" w:ascii="Times New Roman" w:hAnsi="Times New Roman" w:eastAsia="Times New Roman" w:cs="Times New Roman"/>
          <w:sz w:val="24"/>
        </w:rPr>
        <w:t>15,732,102.72</w:t>
      </w:r>
      <w:r>
        <w:rPr>
          <w:rFonts w:hint="eastAsia" w:ascii="宋体" w:hAnsi="宋体" w:eastAsia="宋体" w:cs="宋体"/>
          <w:sz w:val="24"/>
        </w:rPr>
        <w:t xml:space="preserve"> 元</w:t>
      </w:r>
      <w:r>
        <w:rPr>
          <w:rFonts w:hint="eastAsia" w:ascii="宋体" w:hAnsi="宋体" w:eastAsia="宋体" w:cs="宋体"/>
          <w:sz w:val="12"/>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年度实现净利润</w:t>
      </w:r>
      <w:r>
        <w:rPr>
          <w:rFonts w:hint="eastAsia" w:ascii="Times New Roman" w:hAnsi="Times New Roman" w:eastAsia="Times New Roman" w:cs="Times New Roman"/>
          <w:sz w:val="24"/>
        </w:rPr>
        <w:t>-1,228,270.49</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以上财务数据已经致同所审计）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）主营业务</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武汉顶点主要在华中等地区开展经营活动</w:t>
      </w:r>
      <w:r>
        <w:rPr>
          <w:rFonts w:hint="eastAsia" w:ascii="宋体" w:hAnsi="宋体" w:eastAsia="宋体" w:cs="宋体"/>
          <w:sz w:val="10"/>
        </w:rPr>
        <w:t>，</w:t>
      </w:r>
      <w:r>
        <w:rPr>
          <w:rFonts w:hint="eastAsia" w:ascii="宋体" w:hAnsi="宋体" w:eastAsia="宋体" w:cs="宋体"/>
          <w:sz w:val="24"/>
        </w:rPr>
        <w:t>并从事研发业务</w:t>
      </w:r>
      <w:r>
        <w:rPr>
          <w:rFonts w:hint="eastAsia" w:ascii="宋体" w:hAnsi="宋体" w:eastAsia="宋体" w:cs="宋体"/>
          <w:sz w:val="10"/>
        </w:rPr>
        <w:t>。</w:t>
      </w:r>
      <w:r>
        <w:rPr>
          <w:rFonts w:hint="eastAsia" w:ascii="宋体" w:hAnsi="宋体" w:eastAsia="宋体" w:cs="宋体"/>
          <w:sz w:val="24"/>
        </w:rPr>
        <w:t>发行人本次发行股票募集资金拟用于</w:t>
      </w:r>
      <w:r>
        <w:rPr>
          <w:rFonts w:hint="eastAsia" w:ascii="宋体" w:hAnsi="宋体" w:eastAsia="宋体" w:cs="宋体"/>
          <w:sz w:val="10"/>
        </w:rPr>
        <w:t>“</w:t>
      </w:r>
      <w:r>
        <w:rPr>
          <w:rFonts w:hint="eastAsia" w:ascii="宋体" w:hAnsi="宋体" w:eastAsia="宋体" w:cs="宋体"/>
          <w:sz w:val="24"/>
        </w:rPr>
        <w:t>研发中心建设项目</w:t>
      </w:r>
      <w:r>
        <w:rPr>
          <w:rFonts w:hint="eastAsia" w:ascii="宋体" w:hAnsi="宋体" w:eastAsia="宋体" w:cs="宋体"/>
          <w:sz w:val="10"/>
        </w:rPr>
        <w:t>”，</w:t>
      </w:r>
      <w:r>
        <w:rPr>
          <w:rFonts w:hint="eastAsia" w:ascii="宋体" w:hAnsi="宋体" w:eastAsia="宋体" w:cs="宋体"/>
          <w:sz w:val="24"/>
        </w:rPr>
        <w:t>实施主体为武汉顶点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6</w:t>
      </w:r>
      <w:r>
        <w:rPr>
          <w:rFonts w:hint="eastAsia" w:ascii="宋体" w:hAnsi="宋体" w:eastAsia="宋体" w:cs="宋体"/>
          <w:b/>
          <w:sz w:val="10"/>
        </w:rPr>
        <w:t>、</w:t>
      </w:r>
      <w:r>
        <w:rPr>
          <w:rFonts w:hint="eastAsia" w:ascii="宋体" w:hAnsi="宋体" w:eastAsia="宋体" w:cs="宋体"/>
          <w:b/>
          <w:sz w:val="24"/>
        </w:rPr>
        <w:t>亿维航软件</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）基本情况</w:t>
      </w: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1-1-74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tabs>
          <w:tab w:val="left" w:pos="4600"/>
        </w:tabs>
        <w:autoSpaceDE w:val="false"/>
        <w:autoSpaceDN w:val="false"/>
        <w:spacing w:line="420" w:lineRule="exact"/>
        <w:ind w:left="2280"/>
        <w:jc w:val="both"/>
      </w:pPr>
      <w:r>
        <w:rPr>
          <w:rFonts w:hint="eastAsia" w:ascii="宋体" w:hAnsi="宋体" w:eastAsia="宋体" w:cs="宋体"/>
          <w:sz w:val="24"/>
        </w:rPr>
        <w:t>法定代表人</w:t>
      </w:r>
      <w:r>
        <w:rPr>
          <w:rFonts w:hint="eastAsia" w:ascii="宋体" w:hAnsi="宋体" w:eastAsia="宋体" w:cs="宋体"/>
          <w:sz w:val="12"/>
        </w:rPr>
        <w:t>：</w:t>
      </w:r>
      <w:r>
        <w:tab/>
      </w:r>
      <w:r>
        <w:rPr>
          <w:rFonts w:hint="eastAsia" w:ascii="宋体" w:hAnsi="宋体" w:eastAsia="宋体" w:cs="宋体"/>
          <w:sz w:val="24"/>
        </w:rPr>
        <w:t>严孟宇</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成立时间</w:t>
      </w:r>
      <w:r>
        <w:rPr>
          <w:rFonts w:hint="eastAsia" w:ascii="宋体" w:hAnsi="宋体" w:eastAsia="宋体" w:cs="宋体"/>
          <w:sz w:val="10"/>
        </w:rPr>
        <w:t>：</w:t>
      </w:r>
      <w:r>
        <w:tab/>
      </w:r>
      <w:r>
        <w:rPr>
          <w:rFonts w:hint="eastAsia" w:ascii="Times New Roman" w:hAnsi="Times New Roman" w:eastAsia="Times New Roman" w:cs="Times New Roman"/>
          <w:sz w:val="24"/>
        </w:rPr>
        <w:t>2015</w:t>
      </w:r>
      <w:r>
        <w:rPr>
          <w:rFonts w:hint="eastAsia" w:ascii="宋体" w:hAnsi="宋体" w:eastAsia="宋体" w:cs="宋体"/>
          <w:sz w:val="24"/>
        </w:rPr>
        <w:t>年</w:t>
      </w:r>
      <w:r>
        <w:rPr>
          <w:rFonts w:hint="eastAsia" w:ascii="Times New Roman" w:hAnsi="Times New Roman" w:eastAsia="Times New Roman" w:cs="Times New Roman"/>
          <w:sz w:val="24"/>
        </w:rPr>
        <w:t>5</w:t>
      </w:r>
      <w:r>
        <w:rPr>
          <w:rFonts w:hint="eastAsia" w:ascii="宋体" w:hAnsi="宋体" w:eastAsia="宋体" w:cs="宋体"/>
          <w:sz w:val="24"/>
        </w:rPr>
        <w:t>月</w:t>
      </w:r>
      <w:r>
        <w:rPr>
          <w:rFonts w:hint="eastAsia" w:ascii="Times New Roman" w:hAnsi="Times New Roman" w:eastAsia="Times New Roman" w:cs="Times New Roman"/>
          <w:sz w:val="24"/>
        </w:rPr>
        <w:t>22</w:t>
      </w:r>
      <w:r>
        <w:rPr>
          <w:rFonts w:hint="eastAsia" w:ascii="宋体" w:hAnsi="宋体" w:eastAsia="宋体" w:cs="宋体"/>
          <w:sz w:val="24"/>
        </w:rPr>
        <w:t>日</w:t>
      </w:r>
    </w:p>
    <w:p>
      <w:pPr>
        <w:spacing w:line="200" w:lineRule="exact"/>
        <w:rPr>
          <w:rFonts w:hint="eastAsia" w:ascii="宋体" w:hAnsi="宋体" w:eastAsia="宋体" w:cs="宋体"/>
          <w:sz w:val="20"/>
        </w:rPr>
      </w:pPr>
    </w:p>
    <w:p>
      <w:pPr>
        <w:tabs>
          <w:tab w:val="left" w:pos="4600"/>
        </w:tabs>
        <w:autoSpaceDE w:val="false"/>
        <w:autoSpaceDN w:val="false"/>
        <w:spacing w:line="260" w:lineRule="exact"/>
        <w:ind w:left="2280"/>
        <w:jc w:val="both"/>
      </w:pPr>
      <w:r>
        <w:rPr>
          <w:rFonts w:hint="eastAsia" w:ascii="宋体" w:hAnsi="宋体" w:eastAsia="宋体" w:cs="宋体"/>
          <w:sz w:val="24"/>
        </w:rPr>
        <w:t>注册资本</w:t>
      </w:r>
      <w:r>
        <w:rPr>
          <w:rFonts w:hint="eastAsia" w:ascii="宋体" w:hAnsi="宋体" w:eastAsia="宋体" w:cs="宋体"/>
          <w:sz w:val="12"/>
        </w:rPr>
        <w:t>：</w:t>
      </w:r>
      <w:r>
        <w:tab/>
      </w:r>
      <w:r>
        <w:rPr>
          <w:rFonts w:hint="eastAsia" w:ascii="Times New Roman" w:hAnsi="Times New Roman" w:eastAsia="Times New Roman" w:cs="Times New Roman"/>
          <w:sz w:val="24"/>
        </w:rPr>
        <w:t>800.00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实收资本</w:t>
      </w:r>
      <w:r>
        <w:rPr>
          <w:rFonts w:hint="eastAsia" w:ascii="宋体" w:hAnsi="宋体" w:eastAsia="宋体" w:cs="宋体"/>
          <w:sz w:val="12"/>
        </w:rPr>
        <w:t>：</w:t>
      </w:r>
      <w:r>
        <w:tab/>
      </w:r>
      <w:r>
        <w:rPr>
          <w:rFonts w:hint="eastAsia" w:ascii="Times New Roman" w:hAnsi="Times New Roman" w:eastAsia="Times New Roman" w:cs="Times New Roman"/>
          <w:sz w:val="24"/>
        </w:rPr>
        <w:t>800.00</w:t>
      </w:r>
      <w:r>
        <w:rPr>
          <w:rFonts w:hint="eastAsia" w:ascii="宋体" w:hAnsi="宋体" w:eastAsia="宋体" w:cs="宋体"/>
          <w:sz w:val="24"/>
        </w:rPr>
        <w:t>万元</w:t>
      </w: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统一社会信用代码</w:t>
      </w:r>
      <w:r>
        <w:rPr>
          <w:rFonts w:hint="eastAsia" w:ascii="宋体" w:hAnsi="宋体" w:eastAsia="宋体" w:cs="宋体"/>
          <w:sz w:val="10"/>
        </w:rPr>
        <w:t>：</w:t>
      </w:r>
      <w:r>
        <w:rPr>
          <w:rFonts w:hint="eastAsia" w:ascii="Times New Roman" w:hAnsi="Times New Roman" w:eastAsia="Times New Roman" w:cs="Times New Roman"/>
          <w:sz w:val="24"/>
        </w:rPr>
        <w:t>913101133423767532</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住所</w:t>
      </w:r>
      <w:r>
        <w:rPr>
          <w:rFonts w:hint="eastAsia" w:ascii="宋体" w:hAnsi="宋体" w:eastAsia="宋体" w:cs="宋体"/>
          <w:sz w:val="12"/>
        </w:rPr>
        <w:t>：</w:t>
      </w:r>
      <w:r>
        <w:tab/>
      </w:r>
      <w:r>
        <w:rPr>
          <w:rFonts w:hint="eastAsia" w:ascii="宋体" w:hAnsi="宋体" w:eastAsia="宋体" w:cs="宋体"/>
          <w:sz w:val="24"/>
        </w:rPr>
        <w:t>上海市宝山区淞发路</w:t>
      </w:r>
      <w:r>
        <w:rPr>
          <w:rFonts w:hint="eastAsia" w:ascii="Times New Roman" w:hAnsi="Times New Roman" w:eastAsia="Times New Roman" w:cs="Times New Roman"/>
          <w:sz w:val="24"/>
        </w:rPr>
        <w:t>901</w:t>
      </w:r>
      <w:r>
        <w:rPr>
          <w:rFonts w:hint="eastAsia" w:ascii="宋体" w:hAnsi="宋体" w:eastAsia="宋体" w:cs="宋体"/>
          <w:sz w:val="24"/>
        </w:rPr>
        <w:t>弄</w:t>
      </w:r>
      <w:r>
        <w:rPr>
          <w:rFonts w:hint="eastAsia" w:ascii="Times New Roman" w:hAnsi="Times New Roman" w:eastAsia="Times New Roman" w:cs="Times New Roman"/>
          <w:sz w:val="24"/>
        </w:rPr>
        <w:t>8</w:t>
      </w:r>
      <w:r>
        <w:rPr>
          <w:rFonts w:hint="eastAsia" w:ascii="宋体" w:hAnsi="宋体" w:eastAsia="宋体" w:cs="宋体"/>
          <w:sz w:val="24"/>
        </w:rPr>
        <w:t>号</w:t>
      </w:r>
      <w:r>
        <w:rPr>
          <w:rFonts w:hint="eastAsia" w:ascii="Times New Roman" w:hAnsi="Times New Roman" w:eastAsia="Times New Roman" w:cs="Times New Roman"/>
          <w:sz w:val="24"/>
        </w:rPr>
        <w:t>917</w:t>
      </w:r>
      <w:r>
        <w:rPr>
          <w:rFonts w:hint="eastAsia" w:ascii="宋体" w:hAnsi="宋体" w:eastAsia="宋体" w:cs="宋体"/>
          <w:sz w:val="24"/>
        </w:rPr>
        <w:t>室</w:t>
      </w:r>
    </w:p>
    <w:p>
      <w:pPr>
        <w:spacing w:line="200" w:lineRule="exact"/>
        <w:rPr>
          <w:rFonts w:hint="eastAsia" w:ascii="宋体" w:hAnsi="宋体" w:eastAsia="宋体" w:cs="宋体"/>
          <w:sz w:val="20"/>
        </w:rPr>
      </w:pPr>
    </w:p>
    <w:p>
      <w:pPr>
        <w:tabs>
          <w:tab w:val="left" w:pos="4600"/>
        </w:tabs>
        <w:autoSpaceDE w:val="false"/>
        <w:autoSpaceDN w:val="false"/>
        <w:spacing w:line="280" w:lineRule="exact"/>
        <w:ind w:left="2280"/>
        <w:jc w:val="both"/>
      </w:pPr>
      <w:r>
        <w:rPr>
          <w:rFonts w:hint="eastAsia" w:ascii="宋体" w:hAnsi="宋体" w:eastAsia="宋体" w:cs="宋体"/>
          <w:sz w:val="24"/>
        </w:rPr>
        <w:t>经营范围</w:t>
      </w:r>
      <w:r>
        <w:rPr>
          <w:rFonts w:hint="eastAsia" w:ascii="宋体" w:hAnsi="宋体" w:eastAsia="宋体" w:cs="宋体"/>
          <w:sz w:val="12"/>
        </w:rPr>
        <w:t>：</w:t>
      </w:r>
      <w:r>
        <w:tab/>
      </w:r>
      <w:r>
        <w:rPr>
          <w:rFonts w:hint="eastAsia" w:ascii="宋体" w:hAnsi="宋体" w:eastAsia="宋体" w:cs="宋体"/>
          <w:sz w:val="24"/>
        </w:rPr>
        <w:t>计算机软件</w:t>
      </w:r>
      <w:r>
        <w:rPr>
          <w:rFonts w:hint="eastAsia" w:ascii="宋体" w:hAnsi="宋体" w:eastAsia="宋体" w:cs="宋体"/>
          <w:sz w:val="10"/>
        </w:rPr>
        <w:t>、</w:t>
      </w:r>
      <w:r>
        <w:rPr>
          <w:rFonts w:hint="eastAsia" w:ascii="宋体" w:hAnsi="宋体" w:eastAsia="宋体" w:cs="宋体"/>
          <w:sz w:val="24"/>
        </w:rPr>
        <w:t>硬件及配件的开发</w:t>
      </w:r>
      <w:r>
        <w:rPr>
          <w:rFonts w:hint="eastAsia" w:ascii="宋体" w:hAnsi="宋体" w:eastAsia="宋体" w:cs="宋体"/>
          <w:sz w:val="10"/>
        </w:rPr>
        <w:t>、</w:t>
      </w:r>
      <w:r>
        <w:rPr>
          <w:rFonts w:hint="eastAsia" w:ascii="宋体" w:hAnsi="宋体" w:eastAsia="宋体" w:cs="宋体"/>
          <w:sz w:val="24"/>
        </w:rPr>
        <w:t>销售</w:t>
      </w:r>
      <w:r>
        <w:rPr>
          <w:rFonts w:hint="eastAsia" w:ascii="宋体" w:hAnsi="宋体" w:eastAsia="宋体" w:cs="宋体"/>
          <w:sz w:val="14"/>
        </w:rPr>
        <w:t>；</w:t>
      </w:r>
      <w:r>
        <w:rPr>
          <w:rFonts w:hint="eastAsia" w:ascii="宋体" w:hAnsi="宋体" w:eastAsia="宋体" w:cs="宋体"/>
          <w:sz w:val="24"/>
        </w:rPr>
        <w:t>网络工程的</w:t>
      </w:r>
    </w:p>
    <w:p>
      <w:pPr>
        <w:spacing w:line="200" w:lineRule="exact"/>
        <w:rPr>
          <w:rFonts w:hint="eastAsia" w:ascii="宋体" w:hAnsi="宋体" w:eastAsia="宋体" w:cs="宋体"/>
          <w:sz w:val="20"/>
        </w:rPr>
      </w:pPr>
    </w:p>
    <w:p>
      <w:pPr>
        <w:autoSpaceDE w:val="false"/>
        <w:autoSpaceDN w:val="false"/>
        <w:spacing w:line="360" w:lineRule="exact"/>
        <w:ind w:left="4600" w:right="1620"/>
        <w:jc w:val="both"/>
      </w:pPr>
      <w:r>
        <w:rPr>
          <w:rFonts w:hint="eastAsia" w:ascii="宋体" w:hAnsi="宋体" w:eastAsia="宋体" w:cs="宋体"/>
          <w:sz w:val="24"/>
        </w:rPr>
        <w:t>设计</w:t>
      </w:r>
      <w:r>
        <w:rPr>
          <w:rFonts w:hint="eastAsia" w:ascii="宋体" w:hAnsi="宋体" w:eastAsia="宋体" w:cs="宋体"/>
          <w:sz w:val="10"/>
        </w:rPr>
        <w:t>、</w:t>
      </w:r>
      <w:r>
        <w:rPr>
          <w:rFonts w:hint="eastAsia" w:ascii="宋体" w:hAnsi="宋体" w:eastAsia="宋体" w:cs="宋体"/>
          <w:sz w:val="24"/>
        </w:rPr>
        <w:t>安装</w:t>
      </w:r>
      <w:r>
        <w:rPr>
          <w:rFonts w:hint="eastAsia" w:ascii="宋体" w:hAnsi="宋体" w:eastAsia="宋体" w:cs="宋体"/>
          <w:sz w:val="12"/>
        </w:rPr>
        <w:t>；</w:t>
      </w:r>
      <w:r>
        <w:rPr>
          <w:rFonts w:hint="eastAsia" w:ascii="宋体" w:hAnsi="宋体" w:eastAsia="宋体" w:cs="宋体"/>
          <w:sz w:val="24"/>
        </w:rPr>
        <w:t>网络科技领域内的技术服务</w:t>
      </w:r>
      <w:r>
        <w:rPr>
          <w:rFonts w:hint="eastAsia" w:ascii="宋体" w:hAnsi="宋体" w:eastAsia="宋体" w:cs="宋体"/>
          <w:sz w:val="10"/>
        </w:rPr>
        <w:t>。（</w:t>
      </w:r>
      <w:r>
        <w:rPr>
          <w:rFonts w:hint="eastAsia" w:ascii="宋体" w:hAnsi="宋体" w:eastAsia="宋体" w:cs="宋体"/>
          <w:sz w:val="24"/>
        </w:rPr>
        <w:t>依法须经批准的项目</w:t>
      </w:r>
      <w:r>
        <w:rPr>
          <w:rFonts w:hint="eastAsia" w:ascii="宋体" w:hAnsi="宋体" w:eastAsia="宋体" w:cs="宋体"/>
          <w:sz w:val="10"/>
        </w:rPr>
        <w:t>，</w:t>
      </w:r>
      <w:r>
        <w:rPr>
          <w:rFonts w:hint="eastAsia" w:ascii="宋体" w:hAnsi="宋体" w:eastAsia="宋体" w:cs="宋体"/>
          <w:sz w:val="24"/>
        </w:rPr>
        <w:t>经相关部门批准后方可开展经营活</w:t>
      </w:r>
    </w:p>
    <w:p>
      <w:pPr>
        <w:spacing w:line="200" w:lineRule="exact"/>
        <w:rPr>
          <w:rFonts w:hint="eastAsia" w:ascii="宋体" w:hAnsi="宋体" w:eastAsia="宋体" w:cs="宋体"/>
          <w:sz w:val="20"/>
        </w:rPr>
      </w:pPr>
    </w:p>
    <w:p>
      <w:pPr>
        <w:autoSpaceDE w:val="false"/>
        <w:autoSpaceDN w:val="false"/>
        <w:spacing w:line="280" w:lineRule="exact"/>
        <w:ind w:left="4600"/>
        <w:jc w:val="both"/>
      </w:pPr>
      <w:r>
        <w:rPr>
          <w:rFonts w:hint="eastAsia" w:ascii="宋体" w:hAnsi="宋体" w:eastAsia="宋体" w:cs="宋体"/>
          <w:sz w:val="24"/>
        </w:rPr>
        <w:t>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）股权情况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亿维航软件出资情况如下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780"/>
        <w:gridCol w:w="3500"/>
        <w:gridCol w:w="2140"/>
        <w:gridCol w:w="2100"/>
      </w:tblGrid>
      <w:tr>
        <w:trPr>
          <w:trHeight w:val="480" w:hRule="exact"/>
        </w:trPr>
        <w:tc>
          <w:tcPr>
            <w:tcW w:w="780" w:type="dxa"/>
            <w:tcMar>
              <w:top w:w="0" w:type="dxa"/>
              <w:left w:w="0" w:type="dxa"/>
              <w:bottom w:w="0" w:type="dxa"/>
              <w:right w:w="0" w:type="dxa"/>
            </w:tcMar>
          </w:tcPr>
          <w:p>
            <w:pPr>
              <w:spacing w:before="120"/>
              <w:ind w:left="160"/>
            </w:pPr>
            <w:r>
              <w:rPr>
                <w:rFonts w:hint="eastAsia" w:ascii="宋体" w:hAnsi="宋体" w:eastAsia="宋体" w:cs="宋体"/>
                <w:b/>
                <w:sz w:val="21"/>
              </w:rPr>
              <w:t>序号</w:t>
            </w:r>
          </w:p>
        </w:tc>
        <w:tc>
          <w:tcPr>
            <w:tcW w:w="3500" w:type="dxa"/>
            <w:tcMar>
              <w:top w:w="0" w:type="dxa"/>
              <w:left w:w="0" w:type="dxa"/>
              <w:bottom w:w="0" w:type="dxa"/>
              <w:right w:w="0" w:type="dxa"/>
            </w:tcMar>
          </w:tcPr>
          <w:p>
            <w:pPr>
              <w:spacing w:before="120"/>
              <w:ind w:left="1420"/>
            </w:pPr>
            <w:r>
              <w:rPr>
                <w:rFonts w:hint="eastAsia" w:ascii="宋体" w:hAnsi="宋体" w:eastAsia="宋体" w:cs="宋体"/>
                <w:b/>
                <w:sz w:val="21"/>
              </w:rPr>
              <w:t>出资人</w:t>
            </w:r>
          </w:p>
        </w:tc>
        <w:tc>
          <w:tcPr>
            <w:tcW w:w="2140" w:type="dxa"/>
            <w:tcMar>
              <w:top w:w="0" w:type="dxa"/>
              <w:left w:w="0" w:type="dxa"/>
              <w:bottom w:w="0" w:type="dxa"/>
              <w:right w:w="0" w:type="dxa"/>
            </w:tcMar>
          </w:tcPr>
          <w:p>
            <w:pPr>
              <w:spacing w:before="120"/>
              <w:ind w:left="520"/>
            </w:pPr>
            <w:r>
              <w:rPr>
                <w:rFonts w:hint="eastAsia" w:ascii="宋体" w:hAnsi="宋体" w:eastAsia="宋体" w:cs="宋体"/>
                <w:b/>
                <w:sz w:val="21"/>
              </w:rPr>
              <w:t>认缴出资额</w:t>
            </w:r>
          </w:p>
        </w:tc>
        <w:tc>
          <w:tcPr>
            <w:tcW w:w="2100" w:type="dxa"/>
            <w:tcMar>
              <w:top w:w="0" w:type="dxa"/>
              <w:left w:w="0" w:type="dxa"/>
              <w:bottom w:w="0" w:type="dxa"/>
              <w:right w:w="0" w:type="dxa"/>
            </w:tcMar>
          </w:tcPr>
          <w:p>
            <w:pPr>
              <w:spacing w:before="120"/>
              <w:ind w:left="620"/>
            </w:pPr>
            <w:r>
              <w:rPr>
                <w:rFonts w:hint="eastAsia" w:ascii="宋体" w:hAnsi="宋体" w:eastAsia="宋体" w:cs="宋体"/>
                <w:b/>
                <w:sz w:val="21"/>
              </w:rPr>
              <w:t>出资比例</w:t>
            </w:r>
          </w:p>
        </w:tc>
      </w:tr>
      <w:tr>
        <w:trPr>
          <w:trHeight w:val="480" w:hRule="exact"/>
        </w:trPr>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w:t>
            </w:r>
          </w:p>
        </w:tc>
        <w:tc>
          <w:tcPr>
            <w:tcW w:w="3500" w:type="dxa"/>
            <w:tcMar>
              <w:top w:w="0" w:type="dxa"/>
              <w:left w:w="0" w:type="dxa"/>
              <w:bottom w:w="0" w:type="dxa"/>
              <w:right w:w="0" w:type="dxa"/>
            </w:tcMar>
          </w:tcPr>
          <w:p>
            <w:pPr>
              <w:spacing w:before="100"/>
            </w:pPr>
            <w:r>
              <w:rPr>
                <w:rFonts w:hint="eastAsia" w:ascii="宋体" w:hAnsi="宋体" w:eastAsia="宋体" w:cs="宋体"/>
                <w:sz w:val="21"/>
              </w:rPr>
              <w:t>顶点软件</w:t>
            </w:r>
          </w:p>
        </w:tc>
        <w:tc>
          <w:tcPr>
            <w:tcW w:w="2140" w:type="dxa"/>
            <w:tcMar>
              <w:top w:w="0" w:type="dxa"/>
              <w:left w:w="0" w:type="dxa"/>
              <w:bottom w:w="0" w:type="dxa"/>
              <w:right w:w="0" w:type="dxa"/>
            </w:tcMar>
          </w:tcPr>
          <w:p>
            <w:pPr>
              <w:spacing w:before="140"/>
              <w:ind w:left="1440"/>
            </w:pPr>
            <w:r>
              <w:rPr>
                <w:rFonts w:hint="eastAsia" w:ascii="Times New Roman" w:hAnsi="Times New Roman" w:eastAsia="Times New Roman" w:cs="Times New Roman"/>
                <w:sz w:val="21"/>
              </w:rPr>
              <w:t>408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40"/>
              <w:ind w:left="134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2</w:t>
            </w:r>
          </w:p>
        </w:tc>
        <w:tc>
          <w:tcPr>
            <w:tcW w:w="3500" w:type="dxa"/>
            <w:tcMar>
              <w:top w:w="0" w:type="dxa"/>
              <w:left w:w="0" w:type="dxa"/>
              <w:bottom w:w="0" w:type="dxa"/>
              <w:right w:w="0" w:type="dxa"/>
            </w:tcMar>
          </w:tcPr>
          <w:p>
            <w:pPr>
              <w:spacing w:before="120"/>
            </w:pPr>
            <w:r>
              <w:rPr>
                <w:rFonts w:hint="eastAsia" w:ascii="宋体" w:hAnsi="宋体" w:eastAsia="宋体" w:cs="宋体"/>
                <w:sz w:val="21"/>
              </w:rPr>
              <w:t>唐顺正</w:t>
            </w:r>
          </w:p>
        </w:tc>
        <w:tc>
          <w:tcPr>
            <w:tcW w:w="2140" w:type="dxa"/>
            <w:tcMar>
              <w:top w:w="0" w:type="dxa"/>
              <w:left w:w="0" w:type="dxa"/>
              <w:bottom w:w="0" w:type="dxa"/>
              <w:right w:w="0" w:type="dxa"/>
            </w:tcMar>
          </w:tcPr>
          <w:p>
            <w:pPr>
              <w:spacing w:before="160"/>
              <w:ind w:left="1440"/>
            </w:pPr>
            <w:r>
              <w:rPr>
                <w:rFonts w:hint="eastAsia" w:ascii="Times New Roman" w:hAnsi="Times New Roman" w:eastAsia="Times New Roman" w:cs="Times New Roman"/>
                <w:sz w:val="21"/>
              </w:rPr>
              <w:t>288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60"/>
              <w:ind w:left="1340"/>
            </w:pP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3</w:t>
            </w:r>
          </w:p>
        </w:tc>
        <w:tc>
          <w:tcPr>
            <w:tcW w:w="3500" w:type="dxa"/>
            <w:tcMar>
              <w:top w:w="0" w:type="dxa"/>
              <w:left w:w="0" w:type="dxa"/>
              <w:bottom w:w="0" w:type="dxa"/>
              <w:right w:w="0" w:type="dxa"/>
            </w:tcMar>
          </w:tcPr>
          <w:p>
            <w:pPr>
              <w:spacing w:before="100"/>
            </w:pPr>
            <w:r>
              <w:rPr>
                <w:rFonts w:hint="eastAsia" w:ascii="宋体" w:hAnsi="宋体" w:eastAsia="宋体" w:cs="宋体"/>
                <w:sz w:val="21"/>
              </w:rPr>
              <w:t>廖长江</w:t>
            </w:r>
          </w:p>
        </w:tc>
        <w:tc>
          <w:tcPr>
            <w:tcW w:w="214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60"/>
              <w:ind w:left="13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78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4</w:t>
            </w:r>
          </w:p>
        </w:tc>
        <w:tc>
          <w:tcPr>
            <w:tcW w:w="3500" w:type="dxa"/>
            <w:tcMar>
              <w:top w:w="0" w:type="dxa"/>
              <w:left w:w="0" w:type="dxa"/>
              <w:bottom w:w="0" w:type="dxa"/>
              <w:right w:w="0" w:type="dxa"/>
            </w:tcMar>
          </w:tcPr>
          <w:p>
            <w:pPr>
              <w:spacing w:before="120"/>
            </w:pPr>
            <w:r>
              <w:rPr>
                <w:rFonts w:hint="eastAsia" w:ascii="宋体" w:hAnsi="宋体" w:eastAsia="宋体" w:cs="宋体"/>
                <w:sz w:val="21"/>
              </w:rPr>
              <w:t>李俊峰</w:t>
            </w:r>
          </w:p>
        </w:tc>
        <w:tc>
          <w:tcPr>
            <w:tcW w:w="2140" w:type="dxa"/>
            <w:tcMar>
              <w:top w:w="0" w:type="dxa"/>
              <w:left w:w="0" w:type="dxa"/>
              <w:bottom w:w="0" w:type="dxa"/>
              <w:right w:w="0" w:type="dxa"/>
            </w:tcMar>
          </w:tcPr>
          <w:p>
            <w:pPr>
              <w:spacing w:before="180"/>
              <w:ind w:left="166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80"/>
              <w:ind w:left="14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78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5</w:t>
            </w:r>
          </w:p>
        </w:tc>
        <w:tc>
          <w:tcPr>
            <w:tcW w:w="3500" w:type="dxa"/>
            <w:tcMar>
              <w:top w:w="0" w:type="dxa"/>
              <w:left w:w="0" w:type="dxa"/>
              <w:bottom w:w="0" w:type="dxa"/>
              <w:right w:w="0" w:type="dxa"/>
            </w:tcMar>
          </w:tcPr>
          <w:p>
            <w:pPr>
              <w:spacing w:before="120"/>
            </w:pPr>
            <w:r>
              <w:rPr>
                <w:rFonts w:hint="eastAsia" w:ascii="宋体" w:hAnsi="宋体" w:eastAsia="宋体" w:cs="宋体"/>
                <w:sz w:val="21"/>
              </w:rPr>
              <w:t>姜炜</w:t>
            </w:r>
          </w:p>
        </w:tc>
        <w:tc>
          <w:tcPr>
            <w:tcW w:w="2140" w:type="dxa"/>
            <w:tcMar>
              <w:top w:w="0" w:type="dxa"/>
              <w:left w:w="0" w:type="dxa"/>
              <w:bottom w:w="0" w:type="dxa"/>
              <w:right w:w="0" w:type="dxa"/>
            </w:tcMar>
          </w:tcPr>
          <w:p>
            <w:pPr>
              <w:spacing w:before="140"/>
              <w:ind w:left="166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40"/>
              <w:ind w:left="14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6</w:t>
            </w:r>
          </w:p>
        </w:tc>
        <w:tc>
          <w:tcPr>
            <w:tcW w:w="3500" w:type="dxa"/>
            <w:tcMar>
              <w:top w:w="0" w:type="dxa"/>
              <w:left w:w="0" w:type="dxa"/>
              <w:bottom w:w="0" w:type="dxa"/>
              <w:right w:w="0" w:type="dxa"/>
            </w:tcMar>
          </w:tcPr>
          <w:p>
            <w:pPr>
              <w:spacing w:before="120"/>
            </w:pPr>
            <w:r>
              <w:rPr>
                <w:rFonts w:hint="eastAsia" w:ascii="宋体" w:hAnsi="宋体" w:eastAsia="宋体" w:cs="宋体"/>
                <w:sz w:val="21"/>
              </w:rPr>
              <w:t>吴天宇</w:t>
            </w:r>
          </w:p>
        </w:tc>
        <w:tc>
          <w:tcPr>
            <w:tcW w:w="214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40"/>
              <w:ind w:left="14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4280" w:type="dxa"/>
            <w:gridSpan w:val="2"/>
            <w:tcMar>
              <w:top w:w="0" w:type="dxa"/>
              <w:left w:w="0" w:type="dxa"/>
              <w:bottom w:w="0" w:type="dxa"/>
              <w:right w:w="0" w:type="dxa"/>
            </w:tcMar>
          </w:tcPr>
          <w:p>
            <w:pPr>
              <w:spacing w:before="120"/>
              <w:ind w:left="1900"/>
            </w:pPr>
            <w:r>
              <w:rPr>
                <w:rFonts w:hint="eastAsia" w:ascii="宋体" w:hAnsi="宋体" w:eastAsia="宋体" w:cs="宋体"/>
                <w:b/>
                <w:sz w:val="21"/>
              </w:rPr>
              <w:t>合计</w:t>
            </w:r>
          </w:p>
        </w:tc>
        <w:tc>
          <w:tcPr>
            <w:tcW w:w="2140" w:type="dxa"/>
            <w:tcMar>
              <w:top w:w="0" w:type="dxa"/>
              <w:left w:w="0" w:type="dxa"/>
              <w:bottom w:w="0" w:type="dxa"/>
              <w:right w:w="0" w:type="dxa"/>
            </w:tcMar>
          </w:tcPr>
          <w:p>
            <w:pPr>
              <w:spacing w:before="160"/>
              <w:ind w:left="1440"/>
            </w:pPr>
            <w:r>
              <w:rPr>
                <w:rFonts w:hint="eastAsia" w:ascii="Times New Roman Bold" w:hAnsi="Times New Roman Bold" w:eastAsia="Times New Roman Bold" w:cs="Times New Roman Bold"/>
                <w:b/>
                <w:sz w:val="21"/>
              </w:rPr>
              <w:t>800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100" w:type="dxa"/>
            <w:tcMar>
              <w:top w:w="0" w:type="dxa"/>
              <w:left w:w="0" w:type="dxa"/>
              <w:bottom w:w="0" w:type="dxa"/>
              <w:right w:w="0" w:type="dxa"/>
            </w:tcMar>
          </w:tcPr>
          <w:p>
            <w:pPr>
              <w:spacing w:before="160"/>
              <w:ind w:left="12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宋体" w:hAnsi="宋体" w:eastAsia="宋体" w:cs="宋体"/>
          <w:sz w:val="20"/>
        </w:rPr>
        <w:t>（</w:t>
      </w:r>
      <w:r>
        <w:rPr>
          <w:rFonts w:hint="eastAsia" w:ascii="Times New Roman" w:hAnsi="Times New Roman" w:eastAsia="Times New Roman" w:cs="Times New Roman"/>
          <w:sz w:val="24"/>
        </w:rPr>
        <w:t>3</w:t>
      </w:r>
      <w:r>
        <w:rPr>
          <w:rFonts w:hint="eastAsia" w:ascii="宋体" w:hAnsi="宋体" w:eastAsia="宋体" w:cs="宋体"/>
          <w:sz w:val="24"/>
        </w:rPr>
        <w:t>）经营业绩</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亿维航软件的总资产为</w:t>
      </w:r>
      <w:r>
        <w:rPr>
          <w:rFonts w:hint="eastAsia" w:ascii="Times New Roman" w:hAnsi="Times New Roman" w:eastAsia="Times New Roman" w:cs="Times New Roman"/>
          <w:sz w:val="24"/>
        </w:rPr>
        <w:t xml:space="preserve"> 4,972,668.72</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净资产为</w:t>
      </w:r>
      <w:r>
        <w:rPr>
          <w:rFonts w:hint="eastAsia" w:ascii="Times New Roman" w:hAnsi="Times New Roman" w:eastAsia="Times New Roman" w:cs="Times New Roman"/>
          <w:sz w:val="24"/>
        </w:rPr>
        <w:t>4,725,771.25</w:t>
      </w:r>
      <w:r>
        <w:rPr>
          <w:rFonts w:hint="eastAsia" w:ascii="宋体" w:hAnsi="宋体" w:eastAsia="宋体" w:cs="宋体"/>
          <w:sz w:val="24"/>
        </w:rPr>
        <w:t xml:space="preserve"> 元</w:t>
      </w:r>
      <w:r>
        <w:rPr>
          <w:rFonts w:hint="eastAsia" w:ascii="宋体" w:hAnsi="宋体" w:eastAsia="宋体" w:cs="宋体"/>
          <w:sz w:val="14"/>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年度实现净利润</w:t>
      </w:r>
      <w:r>
        <w:rPr>
          <w:rFonts w:hint="eastAsia" w:ascii="Times New Roman" w:hAnsi="Times New Roman" w:eastAsia="Times New Roman" w:cs="Times New Roman"/>
          <w:sz w:val="24"/>
        </w:rPr>
        <w:t>-1,984,220.16</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以上财务数据已经致同所审计）</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）主营业务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亿维航软件主要从事教育领域信息化业务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1-1-75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发行人控股子公司少数股东与发行人控股股东</w:t>
      </w:r>
      <w:r>
        <w:rPr>
          <w:rFonts w:hint="eastAsia" w:ascii="宋体" w:hAnsi="宋体" w:eastAsia="宋体" w:cs="宋体"/>
          <w:sz w:val="10"/>
        </w:rPr>
        <w:t>、</w:t>
      </w:r>
      <w:r>
        <w:rPr>
          <w:rFonts w:hint="eastAsia" w:ascii="宋体" w:hAnsi="宋体" w:eastAsia="宋体" w:cs="宋体"/>
          <w:sz w:val="24"/>
        </w:rPr>
        <w:t>实际控制人</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w:t>
      </w:r>
      <w:r>
        <w:rPr>
          <w:rFonts w:hint="eastAsia" w:ascii="宋体" w:hAnsi="宋体" w:eastAsia="宋体" w:cs="宋体"/>
          <w:sz w:val="10"/>
        </w:rPr>
        <w:t>、</w:t>
      </w:r>
      <w:r>
        <w:rPr>
          <w:rFonts w:hint="eastAsia" w:ascii="宋体" w:hAnsi="宋体" w:eastAsia="宋体" w:cs="宋体"/>
          <w:sz w:val="24"/>
        </w:rPr>
        <w:t>核心技术人员</w:t>
      </w:r>
      <w:r>
        <w:rPr>
          <w:rFonts w:hint="eastAsia" w:ascii="宋体" w:hAnsi="宋体" w:eastAsia="宋体" w:cs="宋体"/>
          <w:sz w:val="10"/>
        </w:rPr>
        <w:t>、</w:t>
      </w:r>
      <w:r>
        <w:rPr>
          <w:rFonts w:hint="eastAsia" w:ascii="宋体" w:hAnsi="宋体" w:eastAsia="宋体" w:cs="宋体"/>
          <w:sz w:val="24"/>
        </w:rPr>
        <w:t>主要供应商及客户不存在关联关系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（二）参股公司</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本公司曾拥有一家参股公司软件园产业公司</w:t>
      </w:r>
      <w:r>
        <w:rPr>
          <w:rFonts w:hint="eastAsia" w:ascii="宋体" w:hAnsi="宋体" w:eastAsia="宋体" w:cs="宋体"/>
          <w:sz w:val="10"/>
        </w:rPr>
        <w:t>，</w:t>
      </w:r>
      <w:r>
        <w:rPr>
          <w:rFonts w:hint="eastAsia" w:ascii="宋体" w:hAnsi="宋体" w:eastAsia="宋体" w:cs="宋体"/>
          <w:sz w:val="24"/>
        </w:rPr>
        <w:t>公司出资比例为</w:t>
      </w:r>
      <w:r>
        <w:rPr>
          <w:rFonts w:hint="eastAsia" w:ascii="Times New Roman" w:hAnsi="Times New Roman" w:eastAsia="Times New Roman" w:cs="Times New Roman"/>
          <w:sz w:val="24"/>
        </w:rPr>
        <w:t>10%</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公司将上述股份转让给非关联第三方</w:t>
      </w:r>
      <w:r>
        <w:rPr>
          <w:rFonts w:hint="eastAsia" w:ascii="宋体" w:hAnsi="宋体" w:eastAsia="宋体" w:cs="宋体"/>
          <w:sz w:val="10"/>
        </w:rPr>
        <w:t>。</w:t>
      </w:r>
      <w:r>
        <w:rPr>
          <w:rFonts w:hint="eastAsia" w:ascii="宋体" w:hAnsi="宋体" w:eastAsia="宋体" w:cs="宋体"/>
          <w:sz w:val="24"/>
        </w:rPr>
        <w:t>转让前</w:t>
      </w:r>
      <w:r>
        <w:rPr>
          <w:rFonts w:hint="eastAsia" w:ascii="宋体" w:hAnsi="宋体" w:eastAsia="宋体" w:cs="宋体"/>
          <w:sz w:val="10"/>
        </w:rPr>
        <w:t>，</w:t>
      </w:r>
      <w:r>
        <w:rPr>
          <w:rFonts w:hint="eastAsia" w:ascii="宋体" w:hAnsi="宋体" w:eastAsia="宋体" w:cs="宋体"/>
          <w:sz w:val="24"/>
        </w:rPr>
        <w:t>其基本情况如下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tabs>
          <w:tab w:val="left" w:pos="4420"/>
        </w:tabs>
        <w:autoSpaceDE w:val="false"/>
        <w:autoSpaceDN w:val="false"/>
        <w:spacing w:line="340" w:lineRule="exact"/>
        <w:ind w:left="2280"/>
        <w:jc w:val="both"/>
      </w:pPr>
      <w:r>
        <w:rPr>
          <w:rFonts w:hint="eastAsia" w:ascii="宋体" w:hAnsi="宋体" w:eastAsia="宋体" w:cs="宋体"/>
          <w:sz w:val="24"/>
        </w:rPr>
        <w:t>法定代表人</w:t>
      </w:r>
      <w:r>
        <w:rPr>
          <w:rFonts w:hint="eastAsia" w:ascii="宋体" w:hAnsi="宋体" w:eastAsia="宋体" w:cs="宋体"/>
          <w:sz w:val="12"/>
        </w:rPr>
        <w:t>：</w:t>
      </w:r>
      <w:r>
        <w:tab/>
      </w:r>
      <w:r>
        <w:rPr>
          <w:rFonts w:hint="eastAsia" w:ascii="宋体" w:hAnsi="宋体" w:eastAsia="宋体" w:cs="宋体"/>
          <w:sz w:val="24"/>
        </w:rPr>
        <w:t>王林辉</w:t>
      </w:r>
    </w:p>
    <w:p>
      <w:pPr>
        <w:spacing w:line="200" w:lineRule="exact"/>
        <w:rPr>
          <w:rFonts w:hint="eastAsia" w:ascii="宋体" w:hAnsi="宋体" w:eastAsia="宋体" w:cs="宋体"/>
          <w:sz w:val="20"/>
        </w:rPr>
      </w:pPr>
    </w:p>
    <w:p>
      <w:pPr>
        <w:tabs>
          <w:tab w:val="left" w:pos="4420"/>
        </w:tabs>
        <w:autoSpaceDE w:val="false"/>
        <w:autoSpaceDN w:val="false"/>
        <w:spacing w:line="280" w:lineRule="exact"/>
        <w:ind w:left="2280"/>
        <w:jc w:val="both"/>
      </w:pPr>
      <w:r>
        <w:rPr>
          <w:rFonts w:hint="eastAsia" w:ascii="宋体" w:hAnsi="宋体" w:eastAsia="宋体" w:cs="宋体"/>
          <w:sz w:val="24"/>
        </w:rPr>
        <w:t>成立时间</w:t>
      </w:r>
      <w:r>
        <w:rPr>
          <w:rFonts w:hint="eastAsia" w:ascii="宋体" w:hAnsi="宋体" w:eastAsia="宋体" w:cs="宋体"/>
          <w:sz w:val="12"/>
        </w:rPr>
        <w:t>：</w:t>
      </w:r>
      <w:r>
        <w:tab/>
      </w:r>
      <w:r>
        <w:rPr>
          <w:rFonts w:hint="eastAsia" w:ascii="Times New Roman" w:hAnsi="Times New Roman" w:eastAsia="Times New Roman" w:cs="Times New Roman"/>
          <w:sz w:val="24"/>
        </w:rPr>
        <w:t>2007</w:t>
      </w:r>
      <w:r>
        <w:rPr>
          <w:rFonts w:hint="eastAsia" w:ascii="宋体" w:hAnsi="宋体" w:eastAsia="宋体" w:cs="宋体"/>
          <w:sz w:val="24"/>
        </w:rPr>
        <w:t>年</w:t>
      </w:r>
      <w:r>
        <w:rPr>
          <w:rFonts w:hint="eastAsia" w:ascii="Times New Roman" w:hAnsi="Times New Roman" w:eastAsia="Times New Roman" w:cs="Times New Roman"/>
          <w:sz w:val="24"/>
        </w:rPr>
        <w:t>11</w:t>
      </w:r>
      <w:r>
        <w:rPr>
          <w:rFonts w:hint="eastAsia" w:ascii="宋体" w:hAnsi="宋体" w:eastAsia="宋体" w:cs="宋体"/>
          <w:sz w:val="24"/>
        </w:rPr>
        <w:t>月</w:t>
      </w:r>
      <w:r>
        <w:rPr>
          <w:rFonts w:hint="eastAsia" w:ascii="Times New Roman" w:hAnsi="Times New Roman" w:eastAsia="Times New Roman" w:cs="Times New Roman"/>
          <w:sz w:val="24"/>
        </w:rPr>
        <w:t>20</w:t>
      </w:r>
      <w:r>
        <w:rPr>
          <w:rFonts w:hint="eastAsia" w:ascii="宋体" w:hAnsi="宋体" w:eastAsia="宋体" w:cs="宋体"/>
          <w:sz w:val="24"/>
        </w:rPr>
        <w:t>日</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80"/>
        <w:jc w:val="both"/>
      </w:pPr>
      <w:r>
        <w:rPr>
          <w:rFonts w:hint="eastAsia" w:ascii="宋体" w:hAnsi="宋体" w:eastAsia="宋体" w:cs="宋体"/>
          <w:sz w:val="24"/>
        </w:rPr>
        <w:t>注册资本</w:t>
      </w:r>
      <w:r>
        <w:rPr>
          <w:rFonts w:hint="eastAsia" w:ascii="宋体" w:hAnsi="宋体" w:eastAsia="宋体" w:cs="宋体"/>
          <w:sz w:val="10"/>
        </w:rPr>
        <w:t>：</w:t>
      </w:r>
      <w:r>
        <w:tab/>
      </w:r>
      <w:r>
        <w:rPr>
          <w:rFonts w:hint="eastAsia" w:ascii="Times New Roman" w:hAnsi="Times New Roman" w:eastAsia="Times New Roman" w:cs="Times New Roman"/>
          <w:sz w:val="24"/>
        </w:rPr>
        <w:t>100.00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80"/>
        <w:jc w:val="both"/>
      </w:pPr>
      <w:r>
        <w:rPr>
          <w:rFonts w:hint="eastAsia" w:ascii="宋体" w:hAnsi="宋体" w:eastAsia="宋体" w:cs="宋体"/>
          <w:sz w:val="24"/>
        </w:rPr>
        <w:t>实收资本</w:t>
      </w:r>
      <w:r>
        <w:rPr>
          <w:rFonts w:hint="eastAsia" w:ascii="宋体" w:hAnsi="宋体" w:eastAsia="宋体" w:cs="宋体"/>
          <w:sz w:val="12"/>
        </w:rPr>
        <w:t>：</w:t>
      </w:r>
      <w:r>
        <w:tab/>
      </w:r>
      <w:r>
        <w:rPr>
          <w:rFonts w:hint="eastAsia" w:ascii="Times New Roman" w:hAnsi="Times New Roman" w:eastAsia="Times New Roman" w:cs="Times New Roman"/>
          <w:sz w:val="24"/>
        </w:rPr>
        <w:t>100.00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80"/>
        <w:jc w:val="both"/>
      </w:pPr>
      <w:r>
        <w:rPr>
          <w:rFonts w:hint="eastAsia" w:ascii="宋体" w:hAnsi="宋体" w:eastAsia="宋体" w:cs="宋体"/>
          <w:sz w:val="24"/>
        </w:rPr>
        <w:t>注册号</w:t>
      </w:r>
      <w:r>
        <w:rPr>
          <w:rFonts w:hint="eastAsia" w:ascii="宋体" w:hAnsi="宋体" w:eastAsia="宋体" w:cs="宋体"/>
          <w:sz w:val="12"/>
        </w:rPr>
        <w:t>：</w:t>
      </w:r>
      <w:r>
        <w:tab/>
      </w:r>
      <w:r>
        <w:rPr>
          <w:rFonts w:hint="eastAsia" w:ascii="Times New Roman" w:hAnsi="Times New Roman" w:eastAsia="Times New Roman" w:cs="Times New Roman"/>
          <w:sz w:val="24"/>
        </w:rPr>
        <w:t>350102100007519</w:t>
      </w:r>
    </w:p>
    <w:p>
      <w:pPr>
        <w:spacing w:line="200" w:lineRule="exact"/>
        <w:rPr>
          <w:rFonts w:hint="eastAsia" w:ascii="宋体" w:hAnsi="宋体" w:eastAsia="宋体" w:cs="宋体"/>
          <w:sz w:val="20"/>
        </w:rPr>
      </w:pPr>
    </w:p>
    <w:p>
      <w:pPr>
        <w:tabs>
          <w:tab w:val="left" w:pos="4420"/>
        </w:tabs>
        <w:autoSpaceDE w:val="false"/>
        <w:autoSpaceDN w:val="false"/>
        <w:spacing w:line="280" w:lineRule="exact"/>
        <w:ind w:left="2260"/>
        <w:jc w:val="both"/>
      </w:pPr>
      <w:r>
        <w:rPr>
          <w:rFonts w:hint="eastAsia" w:ascii="宋体" w:hAnsi="宋体" w:eastAsia="宋体" w:cs="宋体"/>
          <w:sz w:val="24"/>
        </w:rPr>
        <w:t>住所</w:t>
      </w:r>
      <w:r>
        <w:rPr>
          <w:rFonts w:hint="eastAsia" w:ascii="宋体" w:hAnsi="宋体" w:eastAsia="宋体" w:cs="宋体"/>
          <w:sz w:val="10"/>
        </w:rPr>
        <w:t>：</w:t>
      </w:r>
      <w:r>
        <w:tab/>
      </w:r>
      <w:r>
        <w:rPr>
          <w:rFonts w:hint="eastAsia" w:ascii="宋体" w:hAnsi="宋体" w:eastAsia="宋体" w:cs="宋体"/>
          <w:sz w:val="24"/>
        </w:rPr>
        <w:t>福州市鼓楼区铜盘路软件大道</w:t>
      </w:r>
      <w:r>
        <w:rPr>
          <w:rFonts w:hint="eastAsia" w:ascii="Times New Roman" w:hAnsi="Times New Roman" w:eastAsia="Times New Roman" w:cs="Times New Roman"/>
          <w:sz w:val="24"/>
        </w:rPr>
        <w:t>89</w:t>
      </w:r>
      <w:r>
        <w:rPr>
          <w:rFonts w:hint="eastAsia" w:ascii="宋体" w:hAnsi="宋体" w:eastAsia="宋体" w:cs="宋体"/>
          <w:sz w:val="24"/>
        </w:rPr>
        <w:t>号福州软件园</w:t>
      </w:r>
      <w:r>
        <w:rPr>
          <w:rFonts w:hint="eastAsia" w:ascii="Times New Roman" w:hAnsi="Times New Roman" w:eastAsia="Times New Roman" w:cs="Times New Roman"/>
          <w:sz w:val="24"/>
        </w:rPr>
        <w:t>D</w:t>
      </w:r>
      <w:r>
        <w:rPr>
          <w:rFonts w:hint="eastAsia" w:ascii="宋体" w:hAnsi="宋体" w:eastAsia="宋体" w:cs="宋体"/>
          <w:sz w:val="24"/>
        </w:rPr>
        <w:t>区</w:t>
      </w:r>
      <w:r>
        <w:rPr>
          <w:rFonts w:hint="eastAsia" w:ascii="Times New Roman" w:hAnsi="Times New Roman" w:eastAsia="Times New Roman" w:cs="Times New Roman"/>
          <w:sz w:val="24"/>
        </w:rPr>
        <w:t>1</w:t>
      </w:r>
      <w:r>
        <w:rPr>
          <w:rFonts w:hint="eastAsia" w:ascii="宋体" w:hAnsi="宋体" w:eastAsia="宋体" w:cs="宋体"/>
          <w:sz w:val="24"/>
        </w:rPr>
        <w:t>号</w:t>
      </w:r>
    </w:p>
    <w:p>
      <w:pPr>
        <w:spacing w:line="200" w:lineRule="exact"/>
        <w:rPr>
          <w:rFonts w:hint="eastAsia" w:ascii="宋体" w:hAnsi="宋体" w:eastAsia="宋体" w:cs="宋体"/>
          <w:sz w:val="20"/>
        </w:rPr>
      </w:pPr>
    </w:p>
    <w:p>
      <w:pPr>
        <w:autoSpaceDE w:val="false"/>
        <w:autoSpaceDN w:val="false"/>
        <w:spacing w:line="260" w:lineRule="exact"/>
        <w:ind w:left="4420"/>
        <w:jc w:val="both"/>
      </w:pPr>
      <w:r>
        <w:rPr>
          <w:rFonts w:hint="eastAsia" w:ascii="宋体" w:hAnsi="宋体" w:eastAsia="宋体" w:cs="宋体"/>
          <w:sz w:val="24"/>
        </w:rPr>
        <w:t>楼二层</w:t>
      </w:r>
    </w:p>
    <w:p>
      <w:pPr>
        <w:spacing w:line="200" w:lineRule="exact"/>
        <w:rPr>
          <w:rFonts w:hint="eastAsia" w:ascii="宋体" w:hAnsi="宋体" w:eastAsia="宋体" w:cs="宋体"/>
          <w:sz w:val="20"/>
        </w:rPr>
      </w:pPr>
    </w:p>
    <w:p>
      <w:pPr>
        <w:tabs>
          <w:tab w:val="left" w:pos="4420"/>
        </w:tabs>
        <w:autoSpaceDE w:val="false"/>
        <w:autoSpaceDN w:val="false"/>
        <w:spacing w:line="280" w:lineRule="exact"/>
        <w:ind w:left="2280"/>
        <w:jc w:val="both"/>
      </w:pPr>
      <w:r>
        <w:rPr>
          <w:rFonts w:hint="eastAsia" w:ascii="宋体" w:hAnsi="宋体" w:eastAsia="宋体" w:cs="宋体"/>
          <w:sz w:val="24"/>
        </w:rPr>
        <w:t>经营范围</w:t>
      </w:r>
      <w:r>
        <w:rPr>
          <w:rFonts w:hint="eastAsia" w:ascii="宋体" w:hAnsi="宋体" w:eastAsia="宋体" w:cs="宋体"/>
          <w:sz w:val="10"/>
        </w:rPr>
        <w:t>：</w:t>
      </w:r>
      <w:r>
        <w:tab/>
      </w:r>
      <w:r>
        <w:rPr>
          <w:rFonts w:hint="eastAsia" w:ascii="宋体" w:hAnsi="宋体" w:eastAsia="宋体" w:cs="宋体"/>
          <w:sz w:val="24"/>
        </w:rPr>
        <w:t>产业管理服务</w:t>
      </w:r>
      <w:r>
        <w:rPr>
          <w:rFonts w:hint="eastAsia" w:ascii="宋体" w:hAnsi="宋体" w:eastAsia="宋体" w:cs="宋体"/>
          <w:sz w:val="10"/>
        </w:rPr>
        <w:t>、</w:t>
      </w:r>
      <w:r>
        <w:rPr>
          <w:rFonts w:hint="eastAsia" w:ascii="宋体" w:hAnsi="宋体" w:eastAsia="宋体" w:cs="宋体"/>
          <w:sz w:val="24"/>
        </w:rPr>
        <w:t>网络信息服务</w:t>
      </w:r>
      <w:r>
        <w:rPr>
          <w:rFonts w:hint="eastAsia" w:ascii="宋体" w:hAnsi="宋体" w:eastAsia="宋体" w:cs="宋体"/>
          <w:sz w:val="10"/>
        </w:rPr>
        <w:t>、</w:t>
      </w:r>
      <w:r>
        <w:rPr>
          <w:rFonts w:hint="eastAsia" w:ascii="宋体" w:hAnsi="宋体" w:eastAsia="宋体" w:cs="宋体"/>
          <w:sz w:val="24"/>
        </w:rPr>
        <w:t>数据处理</w:t>
      </w:r>
      <w:r>
        <w:rPr>
          <w:rFonts w:hint="eastAsia" w:ascii="宋体" w:hAnsi="宋体" w:eastAsia="宋体" w:cs="宋体"/>
          <w:sz w:val="10"/>
        </w:rPr>
        <w:t>、</w:t>
      </w:r>
      <w:r>
        <w:rPr>
          <w:rFonts w:hint="eastAsia" w:ascii="宋体" w:hAnsi="宋体" w:eastAsia="宋体" w:cs="宋体"/>
          <w:sz w:val="24"/>
        </w:rPr>
        <w:t>计算机维修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4420" w:right="1600"/>
        <w:jc w:val="both"/>
      </w:pPr>
      <w:r>
        <w:rPr>
          <w:rFonts w:hint="eastAsia" w:ascii="宋体" w:hAnsi="宋体" w:eastAsia="宋体" w:cs="宋体"/>
          <w:sz w:val="24"/>
        </w:rPr>
        <w:t>计算机咨询</w:t>
      </w:r>
      <w:r>
        <w:rPr>
          <w:rFonts w:hint="eastAsia" w:ascii="宋体" w:hAnsi="宋体" w:eastAsia="宋体" w:cs="宋体"/>
          <w:sz w:val="10"/>
        </w:rPr>
        <w:t>、</w:t>
      </w:r>
      <w:r>
        <w:rPr>
          <w:rFonts w:hint="eastAsia" w:ascii="宋体" w:hAnsi="宋体" w:eastAsia="宋体" w:cs="宋体"/>
          <w:sz w:val="24"/>
        </w:rPr>
        <w:t>软件业</w:t>
      </w:r>
      <w:r>
        <w:rPr>
          <w:rFonts w:hint="eastAsia" w:ascii="宋体" w:hAnsi="宋体" w:eastAsia="宋体" w:cs="宋体"/>
          <w:sz w:val="10"/>
        </w:rPr>
        <w:t>、</w:t>
      </w:r>
      <w:r>
        <w:rPr>
          <w:rFonts w:hint="eastAsia" w:ascii="宋体" w:hAnsi="宋体" w:eastAsia="宋体" w:cs="宋体"/>
          <w:sz w:val="24"/>
        </w:rPr>
        <w:t>公共软件服务</w:t>
      </w:r>
      <w:r>
        <w:rPr>
          <w:rFonts w:hint="eastAsia" w:ascii="宋体" w:hAnsi="宋体" w:eastAsia="宋体" w:cs="宋体"/>
          <w:sz w:val="12"/>
        </w:rPr>
        <w:t>；</w:t>
      </w:r>
      <w:r>
        <w:rPr>
          <w:rFonts w:hint="eastAsia" w:ascii="宋体" w:hAnsi="宋体" w:eastAsia="宋体" w:cs="宋体"/>
          <w:sz w:val="24"/>
        </w:rPr>
        <w:t>自营和代理各类商品和技术的进出口</w:t>
      </w:r>
      <w:r>
        <w:rPr>
          <w:rFonts w:hint="eastAsia" w:ascii="宋体" w:hAnsi="宋体" w:eastAsia="宋体" w:cs="宋体"/>
          <w:sz w:val="10"/>
        </w:rPr>
        <w:t>，</w:t>
      </w:r>
      <w:r>
        <w:rPr>
          <w:rFonts w:hint="eastAsia" w:ascii="宋体" w:hAnsi="宋体" w:eastAsia="宋体" w:cs="宋体"/>
          <w:sz w:val="24"/>
        </w:rPr>
        <w:t>但国家限定公司经营和禁止进出</w:t>
      </w:r>
    </w:p>
    <w:p>
      <w:pPr>
        <w:spacing w:line="200" w:lineRule="exact"/>
        <w:rPr>
          <w:rFonts w:hint="eastAsia" w:ascii="宋体" w:hAnsi="宋体" w:eastAsia="宋体" w:cs="宋体"/>
          <w:sz w:val="20"/>
        </w:rPr>
      </w:pPr>
    </w:p>
    <w:p>
      <w:pPr>
        <w:autoSpaceDE w:val="false"/>
        <w:autoSpaceDN w:val="false"/>
        <w:spacing w:line="360" w:lineRule="exact"/>
        <w:ind w:left="4420" w:right="1600"/>
        <w:jc w:val="both"/>
      </w:pPr>
      <w:r>
        <w:rPr>
          <w:rFonts w:hint="eastAsia" w:ascii="宋体" w:hAnsi="宋体" w:eastAsia="宋体" w:cs="宋体"/>
          <w:sz w:val="24"/>
        </w:rPr>
        <w:t>口的商品和技术除外</w:t>
      </w:r>
      <w:r>
        <w:rPr>
          <w:rFonts w:hint="eastAsia" w:ascii="宋体" w:hAnsi="宋体" w:eastAsia="宋体" w:cs="宋体"/>
          <w:sz w:val="10"/>
        </w:rPr>
        <w:t>。（</w:t>
      </w:r>
      <w:r>
        <w:rPr>
          <w:rFonts w:hint="eastAsia" w:ascii="宋体" w:hAnsi="宋体" w:eastAsia="宋体" w:cs="宋体"/>
          <w:sz w:val="24"/>
        </w:rPr>
        <w:t>以上经营范围涉及许可经营项目的</w:t>
      </w:r>
      <w:r>
        <w:rPr>
          <w:rFonts w:hint="eastAsia" w:ascii="宋体" w:hAnsi="宋体" w:eastAsia="宋体" w:cs="宋体"/>
          <w:sz w:val="10"/>
        </w:rPr>
        <w:t>，</w:t>
      </w:r>
      <w:r>
        <w:rPr>
          <w:rFonts w:hint="eastAsia" w:ascii="宋体" w:hAnsi="宋体" w:eastAsia="宋体" w:cs="宋体"/>
          <w:sz w:val="24"/>
        </w:rPr>
        <w:t>应在取得有关部门的许可后方可经营）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转让前</w:t>
      </w:r>
      <w:r>
        <w:rPr>
          <w:rFonts w:hint="eastAsia" w:ascii="宋体" w:hAnsi="宋体" w:eastAsia="宋体" w:cs="宋体"/>
          <w:sz w:val="10"/>
        </w:rPr>
        <w:t>，</w:t>
      </w:r>
      <w:r>
        <w:rPr>
          <w:rFonts w:hint="eastAsia" w:ascii="宋体" w:hAnsi="宋体" w:eastAsia="宋体" w:cs="宋体"/>
          <w:sz w:val="24"/>
        </w:rPr>
        <w:t>该公司的股权结构如下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8380" w:type="auto"/>
        <w:tblInd w:w="17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800"/>
        <w:gridCol w:w="3960"/>
        <w:gridCol w:w="1840"/>
        <w:gridCol w:w="1760"/>
      </w:tblGrid>
      <w:tr>
        <w:trPr>
          <w:trHeight w:val="460" w:hRule="exact"/>
        </w:trPr>
        <w:tc>
          <w:tcPr>
            <w:tcW w:w="800" w:type="dxa"/>
            <w:tcMar>
              <w:top w:w="0" w:type="dxa"/>
              <w:left w:w="0" w:type="dxa"/>
              <w:bottom w:w="0" w:type="dxa"/>
              <w:right w:w="0" w:type="dxa"/>
            </w:tcMar>
          </w:tcPr>
          <w:p>
            <w:pPr>
              <w:spacing w:before="100"/>
              <w:ind w:left="180"/>
            </w:pPr>
            <w:r>
              <w:rPr>
                <w:rFonts w:hint="eastAsia" w:ascii="宋体" w:hAnsi="宋体" w:eastAsia="宋体" w:cs="宋体"/>
                <w:b/>
                <w:sz w:val="21"/>
              </w:rPr>
              <w:t>序号</w:t>
            </w:r>
          </w:p>
        </w:tc>
        <w:tc>
          <w:tcPr>
            <w:tcW w:w="3960" w:type="dxa"/>
            <w:tcMar>
              <w:top w:w="0" w:type="dxa"/>
              <w:left w:w="0" w:type="dxa"/>
              <w:bottom w:w="0" w:type="dxa"/>
              <w:right w:w="0" w:type="dxa"/>
            </w:tcMar>
          </w:tcPr>
          <w:p>
            <w:pPr>
              <w:spacing w:before="100"/>
              <w:ind w:left="1540"/>
            </w:pPr>
            <w:r>
              <w:rPr>
                <w:rFonts w:hint="eastAsia" w:ascii="宋体" w:hAnsi="宋体" w:eastAsia="宋体" w:cs="宋体"/>
                <w:b/>
                <w:sz w:val="21"/>
              </w:rPr>
              <w:t>股东名称</w:t>
            </w:r>
          </w:p>
        </w:tc>
        <w:tc>
          <w:tcPr>
            <w:tcW w:w="1840" w:type="dxa"/>
            <w:tcMar>
              <w:top w:w="0" w:type="dxa"/>
              <w:left w:w="0" w:type="dxa"/>
              <w:bottom w:w="0" w:type="dxa"/>
              <w:right w:w="0" w:type="dxa"/>
            </w:tcMar>
          </w:tcPr>
          <w:p>
            <w:pPr>
              <w:spacing w:before="100"/>
              <w:ind w:left="600"/>
            </w:pPr>
            <w:r>
              <w:rPr>
                <w:rFonts w:hint="eastAsia" w:ascii="宋体" w:hAnsi="宋体" w:eastAsia="宋体" w:cs="宋体"/>
                <w:b/>
                <w:sz w:val="21"/>
              </w:rPr>
              <w:t>出资额</w:t>
            </w:r>
          </w:p>
        </w:tc>
        <w:tc>
          <w:tcPr>
            <w:tcW w:w="1760" w:type="dxa"/>
            <w:tcMar>
              <w:top w:w="0" w:type="dxa"/>
              <w:left w:w="0" w:type="dxa"/>
              <w:bottom w:w="0" w:type="dxa"/>
              <w:right w:w="0" w:type="dxa"/>
            </w:tcMar>
          </w:tcPr>
          <w:p>
            <w:pPr>
              <w:spacing w:before="100"/>
              <w:ind w:left="440"/>
            </w:pPr>
            <w:r>
              <w:rPr>
                <w:rFonts w:hint="eastAsia" w:ascii="宋体" w:hAnsi="宋体" w:eastAsia="宋体" w:cs="宋体"/>
                <w:b/>
                <w:sz w:val="21"/>
              </w:rPr>
              <w:t>出资比例</w:t>
            </w:r>
          </w:p>
        </w:tc>
      </w:tr>
      <w:tr>
        <w:trPr>
          <w:trHeight w:val="480" w:hRule="exact"/>
        </w:trPr>
        <w:tc>
          <w:tcPr>
            <w:tcW w:w="80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1</w:t>
            </w:r>
          </w:p>
        </w:tc>
        <w:tc>
          <w:tcPr>
            <w:tcW w:w="3960" w:type="dxa"/>
            <w:tcMar>
              <w:top w:w="0" w:type="dxa"/>
              <w:left w:w="0" w:type="dxa"/>
              <w:bottom w:w="0" w:type="dxa"/>
              <w:right w:w="0" w:type="dxa"/>
            </w:tcMar>
          </w:tcPr>
          <w:p>
            <w:pPr>
              <w:spacing w:before="120"/>
            </w:pPr>
            <w:r>
              <w:rPr>
                <w:rFonts w:hint="eastAsia" w:ascii="宋体" w:hAnsi="宋体" w:eastAsia="宋体" w:cs="宋体"/>
                <w:sz w:val="21"/>
              </w:rPr>
              <w:t>福州软件园产业基地开发有限公司</w:t>
            </w:r>
          </w:p>
        </w:tc>
        <w:tc>
          <w:tcPr>
            <w:tcW w:w="1840" w:type="dxa"/>
            <w:tcMar>
              <w:top w:w="0" w:type="dxa"/>
              <w:left w:w="0" w:type="dxa"/>
              <w:bottom w:w="0" w:type="dxa"/>
              <w:right w:w="0" w:type="dxa"/>
            </w:tcMar>
          </w:tcPr>
          <w:p>
            <w:pPr>
              <w:spacing w:before="180"/>
              <w:ind w:left="126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760" w:type="dxa"/>
            <w:tcMar>
              <w:top w:w="0" w:type="dxa"/>
              <w:left w:w="0" w:type="dxa"/>
              <w:bottom w:w="0" w:type="dxa"/>
              <w:right w:w="0" w:type="dxa"/>
            </w:tcMar>
          </w:tcPr>
          <w:p>
            <w:pPr>
              <w:spacing w:before="180"/>
              <w:ind w:left="100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80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2</w:t>
            </w:r>
          </w:p>
        </w:tc>
        <w:tc>
          <w:tcPr>
            <w:tcW w:w="3960" w:type="dxa"/>
            <w:tcMar>
              <w:top w:w="0" w:type="dxa"/>
              <w:left w:w="0" w:type="dxa"/>
              <w:bottom w:w="0" w:type="dxa"/>
              <w:right w:w="0" w:type="dxa"/>
            </w:tcMar>
          </w:tcPr>
          <w:p>
            <w:pPr>
              <w:spacing w:before="120"/>
            </w:pPr>
            <w:r>
              <w:rPr>
                <w:rFonts w:hint="eastAsia" w:ascii="宋体" w:hAnsi="宋体" w:eastAsia="宋体" w:cs="宋体"/>
                <w:sz w:val="21"/>
              </w:rPr>
              <w:t>福建顶点软件股份有限公司</w:t>
            </w:r>
          </w:p>
        </w:tc>
        <w:tc>
          <w:tcPr>
            <w:tcW w:w="1840" w:type="dxa"/>
            <w:tcMar>
              <w:top w:w="0" w:type="dxa"/>
              <w:left w:w="0" w:type="dxa"/>
              <w:bottom w:w="0" w:type="dxa"/>
              <w:right w:w="0" w:type="dxa"/>
            </w:tcMar>
          </w:tcPr>
          <w:p>
            <w:pPr>
              <w:spacing w:before="140"/>
              <w:ind w:left="12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7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80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3</w:t>
            </w:r>
          </w:p>
        </w:tc>
        <w:tc>
          <w:tcPr>
            <w:tcW w:w="3960" w:type="dxa"/>
            <w:tcMar>
              <w:top w:w="0" w:type="dxa"/>
              <w:left w:w="0" w:type="dxa"/>
              <w:bottom w:w="0" w:type="dxa"/>
              <w:right w:w="0" w:type="dxa"/>
            </w:tcMar>
          </w:tcPr>
          <w:p>
            <w:pPr>
              <w:spacing w:before="120"/>
            </w:pPr>
            <w:r>
              <w:rPr>
                <w:rFonts w:hint="eastAsia" w:ascii="宋体" w:hAnsi="宋体" w:eastAsia="宋体" w:cs="宋体"/>
                <w:sz w:val="21"/>
              </w:rPr>
              <w:t>福建富士通信息软件有限公司</w:t>
            </w:r>
          </w:p>
        </w:tc>
        <w:tc>
          <w:tcPr>
            <w:tcW w:w="1840" w:type="dxa"/>
            <w:tcMar>
              <w:top w:w="0" w:type="dxa"/>
              <w:left w:w="0" w:type="dxa"/>
              <w:bottom w:w="0" w:type="dxa"/>
              <w:right w:w="0" w:type="dxa"/>
            </w:tcMar>
          </w:tcPr>
          <w:p>
            <w:pPr>
              <w:spacing w:before="160"/>
              <w:ind w:left="12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7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80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4</w:t>
            </w:r>
          </w:p>
        </w:tc>
        <w:tc>
          <w:tcPr>
            <w:tcW w:w="3960" w:type="dxa"/>
            <w:tcMar>
              <w:top w:w="0" w:type="dxa"/>
              <w:left w:w="0" w:type="dxa"/>
              <w:bottom w:w="0" w:type="dxa"/>
              <w:right w:w="0" w:type="dxa"/>
            </w:tcMar>
          </w:tcPr>
          <w:p>
            <w:pPr>
              <w:spacing w:before="100"/>
            </w:pPr>
            <w:r>
              <w:rPr>
                <w:rFonts w:hint="eastAsia" w:ascii="宋体" w:hAnsi="宋体" w:eastAsia="宋体" w:cs="宋体"/>
                <w:sz w:val="21"/>
              </w:rPr>
              <w:t>福建省凯特科技有限公司</w:t>
            </w:r>
          </w:p>
        </w:tc>
        <w:tc>
          <w:tcPr>
            <w:tcW w:w="1840" w:type="dxa"/>
            <w:tcMar>
              <w:top w:w="0" w:type="dxa"/>
              <w:left w:w="0" w:type="dxa"/>
              <w:bottom w:w="0" w:type="dxa"/>
              <w:right w:w="0" w:type="dxa"/>
            </w:tcMar>
          </w:tcPr>
          <w:p>
            <w:pPr>
              <w:spacing w:before="160"/>
              <w:ind w:left="12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7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80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5</w:t>
            </w:r>
          </w:p>
        </w:tc>
        <w:tc>
          <w:tcPr>
            <w:tcW w:w="3960" w:type="dxa"/>
            <w:tcMar>
              <w:top w:w="0" w:type="dxa"/>
              <w:left w:w="0" w:type="dxa"/>
              <w:bottom w:w="0" w:type="dxa"/>
              <w:right w:w="0" w:type="dxa"/>
            </w:tcMar>
          </w:tcPr>
          <w:p>
            <w:pPr>
              <w:spacing w:before="120"/>
            </w:pPr>
            <w:r>
              <w:rPr>
                <w:rFonts w:hint="eastAsia" w:ascii="宋体" w:hAnsi="宋体" w:eastAsia="宋体" w:cs="宋体"/>
                <w:sz w:val="21"/>
              </w:rPr>
              <w:t>福建英特莱信息技术咨询有限公司</w:t>
            </w:r>
          </w:p>
        </w:tc>
        <w:tc>
          <w:tcPr>
            <w:tcW w:w="1840" w:type="dxa"/>
            <w:tcMar>
              <w:top w:w="0" w:type="dxa"/>
              <w:left w:w="0" w:type="dxa"/>
              <w:bottom w:w="0" w:type="dxa"/>
              <w:right w:w="0" w:type="dxa"/>
            </w:tcMar>
          </w:tcPr>
          <w:p>
            <w:pPr>
              <w:spacing w:before="180"/>
              <w:ind w:left="12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760" w:type="dxa"/>
            <w:tcMar>
              <w:top w:w="0" w:type="dxa"/>
              <w:left w:w="0" w:type="dxa"/>
              <w:bottom w:w="0" w:type="dxa"/>
              <w:right w:w="0" w:type="dxa"/>
            </w:tcMar>
          </w:tcPr>
          <w:p>
            <w:pPr>
              <w:spacing w:before="180"/>
              <w:ind w:left="100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80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6</w:t>
            </w:r>
          </w:p>
        </w:tc>
        <w:tc>
          <w:tcPr>
            <w:tcW w:w="3960" w:type="dxa"/>
            <w:tcMar>
              <w:top w:w="0" w:type="dxa"/>
              <w:left w:w="0" w:type="dxa"/>
              <w:bottom w:w="0" w:type="dxa"/>
              <w:right w:w="0" w:type="dxa"/>
            </w:tcMar>
          </w:tcPr>
          <w:p>
            <w:pPr>
              <w:spacing w:before="120"/>
            </w:pPr>
            <w:r>
              <w:rPr>
                <w:rFonts w:hint="eastAsia" w:ascii="宋体" w:hAnsi="宋体" w:eastAsia="宋体" w:cs="宋体"/>
                <w:sz w:val="21"/>
              </w:rPr>
              <w:t>福建新东网科技有限公司</w:t>
            </w:r>
          </w:p>
        </w:tc>
        <w:tc>
          <w:tcPr>
            <w:tcW w:w="1840" w:type="dxa"/>
            <w:tcMar>
              <w:top w:w="0" w:type="dxa"/>
              <w:left w:w="0" w:type="dxa"/>
              <w:bottom w:w="0" w:type="dxa"/>
              <w:right w:w="0" w:type="dxa"/>
            </w:tcMar>
          </w:tcPr>
          <w:p>
            <w:pPr>
              <w:spacing w:before="140"/>
              <w:ind w:left="12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7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4760" w:type="dxa"/>
            <w:gridSpan w:val="2"/>
            <w:tcMar>
              <w:top w:w="0" w:type="dxa"/>
              <w:left w:w="0" w:type="dxa"/>
              <w:bottom w:w="0" w:type="dxa"/>
              <w:right w:w="0" w:type="dxa"/>
            </w:tcMar>
          </w:tcPr>
          <w:p>
            <w:pPr>
              <w:spacing w:before="120"/>
              <w:ind w:left="2160"/>
            </w:pPr>
            <w:r>
              <w:rPr>
                <w:rFonts w:hint="eastAsia" w:ascii="宋体" w:hAnsi="宋体" w:eastAsia="宋体" w:cs="宋体"/>
                <w:b/>
                <w:sz w:val="21"/>
              </w:rPr>
              <w:t>合计</w:t>
            </w:r>
          </w:p>
        </w:tc>
        <w:tc>
          <w:tcPr>
            <w:tcW w:w="1840" w:type="dxa"/>
            <w:tcMar>
              <w:top w:w="0" w:type="dxa"/>
              <w:left w:w="0" w:type="dxa"/>
              <w:bottom w:w="0" w:type="dxa"/>
              <w:right w:w="0" w:type="dxa"/>
            </w:tcMar>
          </w:tcPr>
          <w:p>
            <w:pPr>
              <w:spacing w:before="140"/>
              <w:ind w:left="11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1760" w:type="dxa"/>
            <w:tcMar>
              <w:top w:w="0" w:type="dxa"/>
              <w:left w:w="0" w:type="dxa"/>
              <w:bottom w:w="0" w:type="dxa"/>
              <w:right w:w="0" w:type="dxa"/>
            </w:tcMar>
          </w:tcPr>
          <w:p>
            <w:pPr>
              <w:spacing w:before="140"/>
              <w:ind w:left="8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60"/>
        <w:jc w:val="both"/>
      </w:pPr>
      <w:r>
        <w:rPr>
          <w:rFonts w:hint="eastAsia" w:ascii="Times New Roman" w:hAnsi="Times New Roman" w:eastAsia="Times New Roman" w:cs="Times New Roman"/>
          <w:sz w:val="21"/>
        </w:rPr>
        <w:t>1-1-76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软件园产业公司召开股东会同意发行人将其持有的软件园产业公司</w:t>
      </w:r>
      <w:r>
        <w:rPr>
          <w:rFonts w:hint="eastAsia" w:ascii="Times New Roman" w:hAnsi="Times New Roman" w:eastAsia="Times New Roman" w:cs="Times New Roman"/>
          <w:sz w:val="24"/>
        </w:rPr>
        <w:t xml:space="preserve"> 10%</w:t>
      </w:r>
      <w:r>
        <w:rPr>
          <w:rFonts w:hint="eastAsia" w:ascii="宋体" w:hAnsi="宋体" w:eastAsia="宋体" w:cs="宋体"/>
          <w:sz w:val="24"/>
        </w:rPr>
        <w:t>的股权转让给福州智慧谷投资有限公司</w:t>
      </w:r>
      <w:r>
        <w:rPr>
          <w:rFonts w:hint="eastAsia" w:ascii="宋体" w:hAnsi="宋体" w:eastAsia="宋体" w:cs="宋体"/>
          <w:sz w:val="10"/>
        </w:rPr>
        <w:t>。</w:t>
      </w:r>
      <w:r>
        <w:rPr>
          <w:rFonts w:hint="eastAsia" w:ascii="宋体" w:hAnsi="宋体" w:eastAsia="宋体" w:cs="宋体"/>
          <w:sz w:val="24"/>
        </w:rPr>
        <w:t>根据福建银德中远资产评估房地产土地估价有限公司出具的</w:t>
      </w:r>
      <w:r>
        <w:rPr>
          <w:rFonts w:hint="eastAsia" w:ascii="宋体" w:hAnsi="宋体" w:eastAsia="宋体" w:cs="宋体"/>
          <w:sz w:val="10"/>
        </w:rPr>
        <w:t>“</w:t>
      </w:r>
      <w:r>
        <w:rPr>
          <w:rFonts w:hint="eastAsia" w:ascii="宋体" w:hAnsi="宋体" w:eastAsia="宋体" w:cs="宋体"/>
          <w:sz w:val="24"/>
        </w:rPr>
        <w:t>闽银德评报字（</w:t>
      </w:r>
      <w:r>
        <w:rPr>
          <w:rFonts w:hint="eastAsia" w:ascii="Times New Roman" w:hAnsi="Times New Roman" w:eastAsia="Times New Roman" w:cs="Times New Roman"/>
          <w:sz w:val="24"/>
        </w:rPr>
        <w:t>2015</w:t>
      </w:r>
      <w:r>
        <w:rPr>
          <w:rFonts w:hint="eastAsia" w:ascii="宋体" w:hAnsi="宋体" w:eastAsia="宋体" w:cs="宋体"/>
          <w:sz w:val="24"/>
        </w:rPr>
        <w:t>）第</w:t>
      </w:r>
      <w:r>
        <w:rPr>
          <w:rFonts w:hint="eastAsia" w:ascii="Times New Roman" w:hAnsi="Times New Roman" w:eastAsia="Times New Roman" w:cs="Times New Roman"/>
          <w:sz w:val="24"/>
        </w:rPr>
        <w:t xml:space="preserve"> ZZ033</w:t>
      </w:r>
      <w:r>
        <w:rPr>
          <w:rFonts w:hint="eastAsia" w:ascii="宋体" w:hAnsi="宋体" w:eastAsia="宋体" w:cs="宋体"/>
          <w:sz w:val="24"/>
        </w:rPr>
        <w:t xml:space="preserve"> 号</w:t>
      </w:r>
      <w:r>
        <w:rPr>
          <w:rFonts w:hint="eastAsia" w:ascii="宋体" w:hAnsi="宋体" w:eastAsia="宋体" w:cs="宋体"/>
          <w:sz w:val="10"/>
        </w:rPr>
        <w:t>”</w:t>
      </w:r>
      <w:r>
        <w:rPr>
          <w:rFonts w:hint="eastAsia" w:ascii="宋体" w:hAnsi="宋体" w:eastAsia="宋体" w:cs="宋体"/>
          <w:sz w:val="24"/>
        </w:rPr>
        <w:t>所有者权益价值评估报告</w:t>
      </w:r>
      <w:r>
        <w:rPr>
          <w:rFonts w:hint="eastAsia" w:ascii="宋体" w:hAnsi="宋体" w:eastAsia="宋体" w:cs="宋体"/>
          <w:sz w:val="12"/>
        </w:rPr>
        <w:t>：</w:t>
      </w:r>
      <w:r>
        <w:rPr>
          <w:rFonts w:hint="eastAsia" w:ascii="宋体" w:hAnsi="宋体" w:eastAsia="宋体" w:cs="宋体"/>
          <w:sz w:val="24"/>
        </w:rPr>
        <w:t>在评估基准日</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软件园产业公司评估后的净资产为</w:t>
      </w:r>
      <w:r>
        <w:rPr>
          <w:rFonts w:hint="eastAsia" w:ascii="Times New Roman" w:hAnsi="Times New Roman" w:eastAsia="Times New Roman" w:cs="Times New Roman"/>
          <w:sz w:val="24"/>
        </w:rPr>
        <w:t xml:space="preserve"> 120.12</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本次股权转让据此确定转让价格为</w:t>
      </w:r>
      <w:r>
        <w:rPr>
          <w:rFonts w:hint="eastAsia" w:ascii="Times New Roman" w:hAnsi="Times New Roman" w:eastAsia="Times New Roman" w:cs="Times New Roman"/>
          <w:sz w:val="24"/>
        </w:rPr>
        <w:t xml:space="preserve"> 12.012</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同日</w:t>
      </w:r>
      <w:r>
        <w:rPr>
          <w:rFonts w:hint="eastAsia" w:ascii="宋体" w:hAnsi="宋体" w:eastAsia="宋体" w:cs="宋体"/>
          <w:sz w:val="10"/>
        </w:rPr>
        <w:t>，</w:t>
      </w:r>
      <w:r>
        <w:rPr>
          <w:rFonts w:hint="eastAsia" w:ascii="宋体" w:hAnsi="宋体" w:eastAsia="宋体" w:cs="宋体"/>
          <w:sz w:val="24"/>
        </w:rPr>
        <w:t>发行人与福州智慧谷投资有限公司签署了《福州软件园产业服务有限公司股权转让协议》，</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福州软件园在福州市鼓楼区市场监督管理局办理了变更登记</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发行人报告期内转让参股公司软件园产业公司</w:t>
      </w:r>
      <w:r>
        <w:rPr>
          <w:rFonts w:hint="eastAsia" w:ascii="宋体" w:hAnsi="宋体" w:eastAsia="宋体" w:cs="宋体"/>
          <w:sz w:val="10"/>
        </w:rPr>
        <w:t>，</w:t>
      </w:r>
      <w:r>
        <w:rPr>
          <w:rFonts w:hint="eastAsia" w:ascii="宋体" w:hAnsi="宋体" w:eastAsia="宋体" w:cs="宋体"/>
          <w:sz w:val="24"/>
        </w:rPr>
        <w:t>履行了相关程序</w:t>
      </w:r>
      <w:r>
        <w:rPr>
          <w:rFonts w:hint="eastAsia" w:ascii="宋体" w:hAnsi="宋体" w:eastAsia="宋体" w:cs="宋体"/>
          <w:sz w:val="10"/>
        </w:rPr>
        <w:t>，</w:t>
      </w:r>
      <w:r>
        <w:rPr>
          <w:rFonts w:hint="eastAsia" w:ascii="宋体" w:hAnsi="宋体" w:eastAsia="宋体" w:cs="宋体"/>
          <w:sz w:val="24"/>
        </w:rPr>
        <w:t>转让程序合法合规</w:t>
      </w:r>
      <w:r>
        <w:rPr>
          <w:rFonts w:hint="eastAsia" w:ascii="宋体" w:hAnsi="宋体" w:eastAsia="宋体" w:cs="宋体"/>
          <w:sz w:val="10"/>
        </w:rPr>
        <w:t>，</w:t>
      </w:r>
      <w:r>
        <w:rPr>
          <w:rFonts w:hint="eastAsia" w:ascii="宋体" w:hAnsi="宋体" w:eastAsia="宋体" w:cs="宋体"/>
          <w:sz w:val="24"/>
        </w:rPr>
        <w:t>不存在违法违规情形</w:t>
      </w:r>
      <w:r>
        <w:rPr>
          <w:rFonts w:hint="eastAsia" w:ascii="宋体" w:hAnsi="宋体" w:eastAsia="宋体" w:cs="宋体"/>
          <w:sz w:val="10"/>
        </w:rPr>
        <w:t>，</w:t>
      </w:r>
      <w:r>
        <w:rPr>
          <w:rFonts w:hint="eastAsia" w:ascii="宋体" w:hAnsi="宋体" w:eastAsia="宋体" w:cs="宋体"/>
          <w:sz w:val="24"/>
        </w:rPr>
        <w:t>不存在纠纷争议</w:t>
      </w:r>
      <w:r>
        <w:rPr>
          <w:rFonts w:hint="eastAsia" w:ascii="宋体" w:hAnsi="宋体" w:eastAsia="宋体" w:cs="宋体"/>
          <w:sz w:val="12"/>
        </w:rPr>
        <w:t>；</w:t>
      </w:r>
      <w:r>
        <w:rPr>
          <w:rFonts w:hint="eastAsia" w:ascii="宋体" w:hAnsi="宋体" w:eastAsia="宋体" w:cs="宋体"/>
          <w:sz w:val="24"/>
        </w:rPr>
        <w:t>报告期内发行人及其子公司不存在违法违规情形</w:t>
      </w:r>
      <w:r>
        <w:rPr>
          <w:rFonts w:hint="eastAsia" w:ascii="宋体" w:hAnsi="宋体" w:eastAsia="宋体" w:cs="宋体"/>
          <w:sz w:val="10"/>
        </w:rPr>
        <w:t>，</w:t>
      </w:r>
      <w:r>
        <w:rPr>
          <w:rFonts w:hint="eastAsia" w:ascii="宋体" w:hAnsi="宋体" w:eastAsia="宋体" w:cs="宋体"/>
          <w:sz w:val="24"/>
        </w:rPr>
        <w:t>未受到行政处罚</w:t>
      </w:r>
      <w:r>
        <w:rPr>
          <w:rFonts w:hint="eastAsia" w:ascii="宋体" w:hAnsi="宋体" w:eastAsia="宋体" w:cs="宋体"/>
          <w:sz w:val="10"/>
        </w:rPr>
        <w:t>，</w:t>
      </w:r>
      <w:r>
        <w:rPr>
          <w:rFonts w:hint="eastAsia" w:ascii="宋体" w:hAnsi="宋体" w:eastAsia="宋体" w:cs="宋体"/>
          <w:sz w:val="24"/>
        </w:rPr>
        <w:t>不存在因涉嫌犯罪被立案侦查的情形</w:t>
      </w:r>
      <w:r>
        <w:rPr>
          <w:rFonts w:hint="eastAsia" w:ascii="宋体" w:hAnsi="宋体" w:eastAsia="宋体" w:cs="宋体"/>
          <w:sz w:val="10"/>
        </w:rPr>
        <w:t>，</w:t>
      </w:r>
      <w:r>
        <w:rPr>
          <w:rFonts w:hint="eastAsia" w:ascii="宋体" w:hAnsi="宋体" w:eastAsia="宋体" w:cs="宋体"/>
          <w:sz w:val="24"/>
        </w:rPr>
        <w:t>不存在严重损害投资者合法权益和社会公共利益的情形</w:t>
      </w:r>
      <w:r>
        <w:rPr>
          <w:rFonts w:hint="eastAsia" w:ascii="宋体" w:hAnsi="宋体" w:eastAsia="宋体" w:cs="宋体"/>
          <w:sz w:val="10"/>
        </w:rPr>
        <w:t>，</w:t>
      </w:r>
      <w:r>
        <w:rPr>
          <w:rFonts w:hint="eastAsia" w:ascii="宋体" w:hAnsi="宋体" w:eastAsia="宋体" w:cs="宋体"/>
          <w:sz w:val="24"/>
        </w:rPr>
        <w:t>控股股东</w:t>
      </w:r>
      <w:r>
        <w:rPr>
          <w:rFonts w:hint="eastAsia" w:ascii="宋体" w:hAnsi="宋体" w:eastAsia="宋体" w:cs="宋体"/>
          <w:sz w:val="10"/>
        </w:rPr>
        <w:t>、</w:t>
      </w:r>
      <w:r>
        <w:rPr>
          <w:rFonts w:hint="eastAsia" w:ascii="宋体" w:hAnsi="宋体" w:eastAsia="宋体" w:cs="宋体"/>
          <w:sz w:val="24"/>
        </w:rPr>
        <w:t>实际控制人不存在重大违法行为</w:t>
      </w:r>
      <w:r>
        <w:rPr>
          <w:rFonts w:hint="eastAsia" w:ascii="宋体" w:hAnsi="宋体" w:eastAsia="宋体" w:cs="宋体"/>
          <w:sz w:val="10"/>
        </w:rPr>
        <w:t>，</w:t>
      </w:r>
      <w:r>
        <w:rPr>
          <w:rFonts w:hint="eastAsia" w:ascii="宋体" w:hAnsi="宋体" w:eastAsia="宋体" w:cs="宋体"/>
          <w:sz w:val="24"/>
        </w:rPr>
        <w:t>不存在构成本次发行上市的法律障碍的情形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七</w:t>
      </w:r>
      <w:r>
        <w:rPr>
          <w:rFonts w:hint="eastAsia" w:ascii="ºÚÌå" w:hAnsi="ºÚÌå" w:eastAsia="ºÚÌå" w:cs="ºÚÌå"/>
          <w:sz w:val="10"/>
        </w:rPr>
        <w:t>、</w:t>
      </w:r>
      <w:r>
        <w:rPr>
          <w:rFonts w:hint="eastAsia" w:ascii="ºÚÌå" w:hAnsi="ºÚÌå" w:eastAsia="ºÚÌå" w:cs="ºÚÌå"/>
          <w:sz w:val="30"/>
        </w:rPr>
        <w:t>持有公司</w:t>
      </w:r>
      <w:r>
        <w:rPr>
          <w:rFonts w:hint="eastAsia" w:ascii="ºÚÌå" w:hAnsi="ºÚÌå" w:eastAsia="ºÚÌå" w:cs="ºÚÌå"/>
          <w:sz w:val="30"/>
        </w:rPr>
        <w:t xml:space="preserve"> 5%</w:t>
      </w:r>
      <w:r>
        <w:rPr>
          <w:rFonts w:hint="eastAsia" w:ascii="ºÚÌå" w:hAnsi="ºÚÌå" w:eastAsia="ºÚÌå" w:cs="ºÚÌå"/>
          <w:sz w:val="30"/>
        </w:rPr>
        <w:t>以上股份的主要股东及实际控制人的基本情况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公司控股股东</w:t>
      </w:r>
      <w:r>
        <w:rPr>
          <w:rFonts w:hint="eastAsia" w:ascii="宋体" w:hAnsi="宋体" w:eastAsia="宋体" w:cs="宋体"/>
          <w:b/>
          <w:sz w:val="10"/>
        </w:rPr>
        <w:t>、</w:t>
      </w:r>
      <w:r>
        <w:rPr>
          <w:rFonts w:hint="eastAsia" w:ascii="宋体" w:hAnsi="宋体" w:eastAsia="宋体" w:cs="宋体"/>
          <w:b/>
          <w:sz w:val="24"/>
        </w:rPr>
        <w:t>实际控制人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公司控股股东</w:t>
      </w:r>
      <w:r>
        <w:rPr>
          <w:rFonts w:hint="eastAsia" w:ascii="宋体" w:hAnsi="宋体" w:eastAsia="宋体" w:cs="宋体"/>
          <w:b/>
          <w:sz w:val="10"/>
        </w:rPr>
        <w:t>、</w:t>
      </w:r>
      <w:r>
        <w:rPr>
          <w:rFonts w:hint="eastAsia" w:ascii="宋体" w:hAnsi="宋体" w:eastAsia="宋体" w:cs="宋体"/>
          <w:b/>
          <w:sz w:val="24"/>
        </w:rPr>
        <w:t>实际控制人基本情况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公司控股股东</w:t>
      </w:r>
      <w:r>
        <w:rPr>
          <w:rFonts w:hint="eastAsia" w:ascii="宋体" w:hAnsi="宋体" w:eastAsia="宋体" w:cs="宋体"/>
          <w:sz w:val="10"/>
        </w:rPr>
        <w:t>、</w:t>
      </w:r>
      <w:r>
        <w:rPr>
          <w:rFonts w:hint="eastAsia" w:ascii="宋体" w:hAnsi="宋体" w:eastAsia="宋体" w:cs="宋体"/>
          <w:sz w:val="24"/>
        </w:rPr>
        <w:t>实际控制人均为严孟宇</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未有任何其他国家和地区永久居留权</w:t>
      </w:r>
      <w:r>
        <w:rPr>
          <w:rFonts w:hint="eastAsia" w:ascii="宋体" w:hAnsi="宋体" w:eastAsia="宋体" w:cs="宋体"/>
          <w:sz w:val="10"/>
        </w:rPr>
        <w:t>，</w:t>
      </w:r>
      <w:r>
        <w:rPr>
          <w:rFonts w:hint="eastAsia" w:ascii="宋体" w:hAnsi="宋体" w:eastAsia="宋体" w:cs="宋体"/>
          <w:sz w:val="24"/>
        </w:rPr>
        <w:t>身份证号码为</w:t>
      </w:r>
      <w:r>
        <w:rPr>
          <w:rFonts w:hint="eastAsia" w:ascii="Times New Roman" w:hAnsi="Times New Roman" w:eastAsia="Times New Roman" w:cs="Times New Roman"/>
          <w:sz w:val="24"/>
        </w:rPr>
        <w:t xml:space="preserve"> 11010819690307****</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40" w:firstLine="480"/>
        <w:jc w:val="both"/>
      </w:pPr>
      <w:r>
        <w:rPr>
          <w:rFonts w:hint="eastAsia" w:ascii="宋体" w:hAnsi="宋体" w:eastAsia="宋体" w:cs="宋体"/>
          <w:sz w:val="24"/>
        </w:rPr>
        <w:t>严孟宇的个人简历详见本招股说明书</w:t>
      </w:r>
      <w:r>
        <w:rPr>
          <w:rFonts w:hint="eastAsia" w:ascii="宋体" w:hAnsi="宋体" w:eastAsia="宋体" w:cs="宋体"/>
          <w:sz w:val="10"/>
        </w:rPr>
        <w:t>“</w:t>
      </w:r>
      <w:r>
        <w:rPr>
          <w:rFonts w:hint="eastAsia" w:ascii="宋体" w:hAnsi="宋体" w:eastAsia="宋体" w:cs="宋体"/>
          <w:sz w:val="24"/>
        </w:rPr>
        <w:t>第八节</w:t>
      </w:r>
      <w:r>
        <w:rPr>
          <w:rFonts w:hint="eastAsia" w:ascii="Times New Roman" w:hAnsi="Times New Roman" w:eastAsia="Times New Roman" w:cs="Times New Roman"/>
          <w:sz w:val="24"/>
        </w:rPr>
        <w:t xml:space="preserve"> </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高级管理人员与核心技术人员</w:t>
      </w:r>
      <w:r>
        <w:rPr>
          <w:rFonts w:hint="eastAsia" w:ascii="宋体" w:hAnsi="宋体" w:eastAsia="宋体" w:cs="宋体"/>
          <w:sz w:val="10"/>
        </w:rPr>
        <w:t>”</w:t>
      </w:r>
      <w:r>
        <w:rPr>
          <w:rFonts w:hint="eastAsia" w:ascii="宋体" w:hAnsi="宋体" w:eastAsia="宋体" w:cs="宋体"/>
          <w:sz w:val="24"/>
        </w:rPr>
        <w:t>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公司控股股东</w:t>
      </w:r>
      <w:r>
        <w:rPr>
          <w:rFonts w:hint="eastAsia" w:ascii="宋体" w:hAnsi="宋体" w:eastAsia="宋体" w:cs="宋体"/>
          <w:b/>
          <w:sz w:val="10"/>
        </w:rPr>
        <w:t>、</w:t>
      </w:r>
      <w:r>
        <w:rPr>
          <w:rFonts w:hint="eastAsia" w:ascii="宋体" w:hAnsi="宋体" w:eastAsia="宋体" w:cs="宋体"/>
          <w:b/>
          <w:sz w:val="24"/>
        </w:rPr>
        <w:t>实际控制人控制的其他企业</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严孟宇没有控制除本公司外的其他企业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公司控股股东</w:t>
      </w:r>
      <w:r>
        <w:rPr>
          <w:rFonts w:hint="eastAsia" w:ascii="宋体" w:hAnsi="宋体" w:eastAsia="宋体" w:cs="宋体"/>
          <w:b/>
          <w:sz w:val="10"/>
        </w:rPr>
        <w:t>、</w:t>
      </w:r>
      <w:r>
        <w:rPr>
          <w:rFonts w:hint="eastAsia" w:ascii="宋体" w:hAnsi="宋体" w:eastAsia="宋体" w:cs="宋体"/>
          <w:b/>
          <w:sz w:val="24"/>
        </w:rPr>
        <w:t>实际控制人直接或间接持有公司的股份是否存在质押或其他有争议的情况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严孟宇直接持有公司</w:t>
      </w:r>
      <w:r>
        <w:rPr>
          <w:rFonts w:hint="eastAsia" w:ascii="Times New Roman" w:hAnsi="Times New Roman" w:eastAsia="Times New Roman" w:cs="Times New Roman"/>
          <w:sz w:val="24"/>
        </w:rPr>
        <w:t xml:space="preserve"> 28.57%</w:t>
      </w:r>
      <w:r>
        <w:rPr>
          <w:rFonts w:hint="eastAsia" w:ascii="宋体" w:hAnsi="宋体" w:eastAsia="宋体" w:cs="宋体"/>
          <w:sz w:val="24"/>
        </w:rPr>
        <w:t>股份</w:t>
      </w:r>
      <w:r>
        <w:rPr>
          <w:rFonts w:hint="eastAsia" w:ascii="宋体" w:hAnsi="宋体" w:eastAsia="宋体" w:cs="宋体"/>
          <w:sz w:val="10"/>
        </w:rPr>
        <w:t>，</w:t>
      </w:r>
      <w:r>
        <w:rPr>
          <w:rFonts w:hint="eastAsia" w:ascii="宋体" w:hAnsi="宋体" w:eastAsia="宋体" w:cs="宋体"/>
          <w:sz w:val="24"/>
        </w:rPr>
        <w:t>不存在质押或其他有争议的情况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60"/>
        <w:jc w:val="both"/>
      </w:pPr>
      <w:r>
        <w:rPr>
          <w:rFonts w:hint="eastAsia" w:ascii="Times New Roman" w:hAnsi="Times New Roman" w:eastAsia="Times New Roman" w:cs="Times New Roman"/>
          <w:sz w:val="21"/>
        </w:rPr>
        <w:t>1-1-77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b/>
          <w:sz w:val="20"/>
        </w:rPr>
        <w:t>（二）</w:t>
      </w:r>
      <w:r>
        <w:rPr>
          <w:rFonts w:hint="eastAsia" w:ascii="宋体" w:hAnsi="宋体" w:eastAsia="宋体" w:cs="宋体"/>
          <w:b/>
          <w:sz w:val="24"/>
        </w:rPr>
        <w:t>持有公司</w:t>
      </w:r>
      <w:r>
        <w:rPr>
          <w:rFonts w:hint="eastAsia" w:ascii="Times New Roman Bold" w:hAnsi="Times New Roman Bold" w:eastAsia="Times New Roman Bold" w:cs="Times New Roman Bold"/>
          <w:b/>
          <w:sz w:val="24"/>
        </w:rPr>
        <w:t xml:space="preserve"> 5%</w:t>
      </w:r>
      <w:r>
        <w:rPr>
          <w:rFonts w:hint="eastAsia" w:ascii="宋体" w:hAnsi="宋体" w:eastAsia="宋体" w:cs="宋体"/>
          <w:b/>
          <w:sz w:val="24"/>
        </w:rPr>
        <w:t>以上股份的其他主要股东</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除对本公司实施控制的自然人股东严孟宇外</w:t>
      </w:r>
      <w:r>
        <w:rPr>
          <w:rFonts w:hint="eastAsia" w:ascii="宋体" w:hAnsi="宋体" w:eastAsia="宋体" w:cs="宋体"/>
          <w:sz w:val="10"/>
        </w:rPr>
        <w:t>，</w:t>
      </w:r>
      <w:r>
        <w:rPr>
          <w:rFonts w:hint="eastAsia" w:ascii="宋体" w:hAnsi="宋体" w:eastAsia="宋体" w:cs="宋体"/>
          <w:sz w:val="24"/>
        </w:rPr>
        <w:t>直接持有本公司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以上股份的股东还有金石投资</w:t>
      </w:r>
      <w:r>
        <w:rPr>
          <w:rFonts w:hint="eastAsia" w:ascii="宋体" w:hAnsi="宋体" w:eastAsia="宋体" w:cs="宋体"/>
          <w:sz w:val="10"/>
        </w:rPr>
        <w:t>、</w:t>
      </w:r>
      <w:r>
        <w:rPr>
          <w:rFonts w:hint="eastAsia" w:ascii="宋体" w:hAnsi="宋体" w:eastAsia="宋体" w:cs="宋体"/>
          <w:sz w:val="24"/>
        </w:rPr>
        <w:t>爱派克</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间接持有本公司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以上股份的股东有林永正</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持股</w:t>
      </w:r>
      <w:r>
        <w:rPr>
          <w:rFonts w:hint="eastAsia" w:ascii="Times New Roman Bold" w:hAnsi="Times New Roman Bold" w:eastAsia="Times New Roman Bold" w:cs="Times New Roman Bold"/>
          <w:b/>
          <w:sz w:val="24"/>
        </w:rPr>
        <w:t xml:space="preserve"> 5%</w:t>
      </w:r>
      <w:r>
        <w:rPr>
          <w:rFonts w:hint="eastAsia" w:ascii="宋体" w:hAnsi="宋体" w:eastAsia="宋体" w:cs="宋体"/>
          <w:b/>
          <w:sz w:val="24"/>
        </w:rPr>
        <w:t>以上法人股东</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）金石投资</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①金石投资的基本情况</w:t>
      </w:r>
    </w:p>
    <w:p>
      <w:pPr>
        <w:spacing w:line="200" w:lineRule="exact"/>
        <w:rPr>
          <w:rFonts w:hint="eastAsia" w:ascii="宋体" w:hAnsi="宋体" w:eastAsia="宋体" w:cs="宋体"/>
          <w:sz w:val="20"/>
        </w:rPr>
      </w:pPr>
    </w:p>
    <w:p>
      <w:pPr>
        <w:tabs>
          <w:tab w:val="left" w:pos="4420"/>
        </w:tabs>
        <w:autoSpaceDE w:val="false"/>
        <w:autoSpaceDN w:val="false"/>
        <w:spacing w:line="340" w:lineRule="exact"/>
        <w:ind w:left="2280"/>
        <w:jc w:val="both"/>
      </w:pPr>
      <w:r>
        <w:rPr>
          <w:rFonts w:hint="eastAsia" w:ascii="宋体" w:hAnsi="宋体" w:eastAsia="宋体" w:cs="宋体"/>
          <w:sz w:val="24"/>
        </w:rPr>
        <w:t>成立时间</w:t>
      </w:r>
      <w:r>
        <w:rPr>
          <w:rFonts w:hint="eastAsia" w:ascii="宋体" w:hAnsi="宋体" w:eastAsia="宋体" w:cs="宋体"/>
          <w:sz w:val="12"/>
        </w:rPr>
        <w:t>：</w:t>
      </w:r>
      <w:r>
        <w:tab/>
      </w:r>
      <w:r>
        <w:rPr>
          <w:rFonts w:hint="eastAsia" w:ascii="Times New Roman" w:hAnsi="Times New Roman" w:eastAsia="Times New Roman" w:cs="Times New Roman"/>
          <w:sz w:val="24"/>
        </w:rPr>
        <w:t>2007</w:t>
      </w:r>
      <w:r>
        <w:rPr>
          <w:rFonts w:hint="eastAsia" w:ascii="宋体" w:hAnsi="宋体" w:eastAsia="宋体" w:cs="宋体"/>
          <w:sz w:val="24"/>
        </w:rPr>
        <w:t>年</w:t>
      </w:r>
      <w:r>
        <w:rPr>
          <w:rFonts w:hint="eastAsia" w:ascii="Times New Roman" w:hAnsi="Times New Roman" w:eastAsia="Times New Roman" w:cs="Times New Roman"/>
          <w:sz w:val="24"/>
        </w:rPr>
        <w:t>10</w:t>
      </w:r>
      <w:r>
        <w:rPr>
          <w:rFonts w:hint="eastAsia" w:ascii="宋体" w:hAnsi="宋体" w:eastAsia="宋体" w:cs="宋体"/>
          <w:sz w:val="24"/>
        </w:rPr>
        <w:t>月</w:t>
      </w:r>
      <w:r>
        <w:rPr>
          <w:rFonts w:hint="eastAsia" w:ascii="Times New Roman" w:hAnsi="Times New Roman" w:eastAsia="Times New Roman" w:cs="Times New Roman"/>
          <w:sz w:val="24"/>
        </w:rPr>
        <w:t>11</w:t>
      </w:r>
      <w:r>
        <w:rPr>
          <w:rFonts w:hint="eastAsia" w:ascii="宋体" w:hAnsi="宋体" w:eastAsia="宋体" w:cs="宋体"/>
          <w:sz w:val="24"/>
        </w:rPr>
        <w:t>日</w:t>
      </w:r>
    </w:p>
    <w:p>
      <w:pPr>
        <w:spacing w:line="200" w:lineRule="exact"/>
        <w:rPr>
          <w:rFonts w:hint="eastAsia" w:ascii="宋体" w:hAnsi="宋体" w:eastAsia="宋体" w:cs="宋体"/>
          <w:sz w:val="20"/>
        </w:rPr>
      </w:pPr>
    </w:p>
    <w:p>
      <w:pPr>
        <w:tabs>
          <w:tab w:val="left" w:pos="4420"/>
        </w:tabs>
        <w:autoSpaceDE w:val="false"/>
        <w:autoSpaceDN w:val="false"/>
        <w:spacing w:line="280" w:lineRule="exact"/>
        <w:ind w:left="2280"/>
        <w:jc w:val="both"/>
      </w:pPr>
      <w:r>
        <w:rPr>
          <w:rFonts w:hint="eastAsia" w:ascii="宋体" w:hAnsi="宋体" w:eastAsia="宋体" w:cs="宋体"/>
          <w:sz w:val="24"/>
        </w:rPr>
        <w:t>注册资本</w:t>
      </w:r>
      <w:r>
        <w:rPr>
          <w:rFonts w:hint="eastAsia" w:ascii="宋体" w:hAnsi="宋体" w:eastAsia="宋体" w:cs="宋体"/>
          <w:sz w:val="12"/>
        </w:rPr>
        <w:t>：</w:t>
      </w:r>
      <w:r>
        <w:tab/>
      </w:r>
      <w:r>
        <w:rPr>
          <w:rFonts w:hint="eastAsia" w:ascii="Times New Roman" w:hAnsi="Times New Roman" w:eastAsia="Times New Roman" w:cs="Times New Roman"/>
          <w:sz w:val="24"/>
        </w:rPr>
        <w:t>720,000.00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60"/>
        <w:jc w:val="both"/>
      </w:pPr>
      <w:r>
        <w:rPr>
          <w:rFonts w:hint="eastAsia" w:ascii="宋体" w:hAnsi="宋体" w:eastAsia="宋体" w:cs="宋体"/>
          <w:sz w:val="24"/>
        </w:rPr>
        <w:t>住所</w:t>
      </w:r>
      <w:r>
        <w:rPr>
          <w:rFonts w:hint="eastAsia" w:ascii="宋体" w:hAnsi="宋体" w:eastAsia="宋体" w:cs="宋体"/>
          <w:sz w:val="10"/>
        </w:rPr>
        <w:t>：</w:t>
      </w:r>
      <w:r>
        <w:tab/>
      </w:r>
      <w:r>
        <w:rPr>
          <w:rFonts w:hint="eastAsia" w:ascii="宋体" w:hAnsi="宋体" w:eastAsia="宋体" w:cs="宋体"/>
          <w:sz w:val="24"/>
        </w:rPr>
        <w:t>北京市朝阳区亮马桥路</w:t>
      </w:r>
      <w:r>
        <w:rPr>
          <w:rFonts w:hint="eastAsia" w:ascii="Times New Roman" w:hAnsi="Times New Roman" w:eastAsia="Times New Roman" w:cs="Times New Roman"/>
          <w:sz w:val="24"/>
        </w:rPr>
        <w:t>48</w:t>
      </w:r>
      <w:r>
        <w:rPr>
          <w:rFonts w:hint="eastAsia" w:ascii="宋体" w:hAnsi="宋体" w:eastAsia="宋体" w:cs="宋体"/>
          <w:sz w:val="24"/>
        </w:rPr>
        <w:t>号</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60"/>
        <w:jc w:val="both"/>
      </w:pPr>
      <w:r>
        <w:rPr>
          <w:rFonts w:hint="eastAsia" w:ascii="宋体" w:hAnsi="宋体" w:eastAsia="宋体" w:cs="宋体"/>
          <w:sz w:val="24"/>
        </w:rPr>
        <w:t>法定代表人</w:t>
      </w:r>
      <w:r>
        <w:rPr>
          <w:rFonts w:hint="eastAsia" w:ascii="宋体" w:hAnsi="宋体" w:eastAsia="宋体" w:cs="宋体"/>
          <w:sz w:val="12"/>
        </w:rPr>
        <w:t>：</w:t>
      </w:r>
      <w:r>
        <w:tab/>
      </w:r>
      <w:r>
        <w:rPr>
          <w:rFonts w:hint="eastAsia" w:ascii="宋体" w:hAnsi="宋体" w:eastAsia="宋体" w:cs="宋体"/>
          <w:sz w:val="24"/>
        </w:rPr>
        <w:t>祁曙光</w:t>
      </w:r>
    </w:p>
    <w:p>
      <w:pPr>
        <w:spacing w:line="200" w:lineRule="exact"/>
        <w:rPr>
          <w:rFonts w:hint="eastAsia" w:ascii="宋体" w:hAnsi="宋体" w:eastAsia="宋体" w:cs="宋体"/>
          <w:sz w:val="20"/>
        </w:rPr>
      </w:pPr>
    </w:p>
    <w:p>
      <w:pPr>
        <w:tabs>
          <w:tab w:val="left" w:pos="4420"/>
        </w:tabs>
        <w:autoSpaceDE w:val="false"/>
        <w:autoSpaceDN w:val="false"/>
        <w:spacing w:line="280" w:lineRule="exact"/>
        <w:ind w:left="2280"/>
        <w:jc w:val="both"/>
      </w:pPr>
      <w:r>
        <w:rPr>
          <w:rFonts w:hint="eastAsia" w:ascii="宋体" w:hAnsi="宋体" w:eastAsia="宋体" w:cs="宋体"/>
          <w:sz w:val="24"/>
        </w:rPr>
        <w:t>经营范围</w:t>
      </w:r>
      <w:r>
        <w:rPr>
          <w:rFonts w:hint="eastAsia" w:ascii="宋体" w:hAnsi="宋体" w:eastAsia="宋体" w:cs="宋体"/>
          <w:sz w:val="12"/>
        </w:rPr>
        <w:t>：</w:t>
      </w:r>
      <w:r>
        <w:tab/>
      </w:r>
      <w:r>
        <w:rPr>
          <w:rFonts w:hint="eastAsia" w:ascii="宋体" w:hAnsi="宋体" w:eastAsia="宋体" w:cs="宋体"/>
          <w:sz w:val="24"/>
        </w:rPr>
        <w:t>实业投资</w:t>
      </w:r>
      <w:r>
        <w:rPr>
          <w:rFonts w:hint="eastAsia" w:ascii="宋体" w:hAnsi="宋体" w:eastAsia="宋体" w:cs="宋体"/>
          <w:sz w:val="14"/>
        </w:rPr>
        <w:t>；</w:t>
      </w:r>
      <w:r>
        <w:rPr>
          <w:rFonts w:hint="eastAsia" w:ascii="宋体" w:hAnsi="宋体" w:eastAsia="宋体" w:cs="宋体"/>
          <w:sz w:val="24"/>
        </w:rPr>
        <w:t>投资咨询</w:t>
      </w:r>
      <w:r>
        <w:rPr>
          <w:rFonts w:hint="eastAsia" w:ascii="宋体" w:hAnsi="宋体" w:eastAsia="宋体" w:cs="宋体"/>
          <w:sz w:val="10"/>
        </w:rPr>
        <w:t>、</w:t>
      </w:r>
      <w:r>
        <w:rPr>
          <w:rFonts w:hint="eastAsia" w:ascii="宋体" w:hAnsi="宋体" w:eastAsia="宋体" w:cs="宋体"/>
          <w:sz w:val="24"/>
        </w:rPr>
        <w:t>管理</w:t>
      </w:r>
      <w:r>
        <w:rPr>
          <w:rFonts w:hint="eastAsia" w:ascii="宋体" w:hAnsi="宋体" w:eastAsia="宋体" w:cs="宋体"/>
          <w:sz w:val="10"/>
        </w:rPr>
        <w:t>。（</w:t>
      </w:r>
      <w:r>
        <w:rPr>
          <w:rFonts w:hint="eastAsia" w:ascii="宋体" w:hAnsi="宋体" w:eastAsia="宋体" w:cs="宋体"/>
          <w:sz w:val="24"/>
        </w:rPr>
        <w:t>依法须经批准的项目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4420"/>
        <w:jc w:val="both"/>
      </w:pPr>
      <w:r>
        <w:rPr>
          <w:rFonts w:hint="eastAsia" w:ascii="宋体" w:hAnsi="宋体" w:eastAsia="宋体" w:cs="宋体"/>
          <w:sz w:val="24"/>
        </w:rPr>
        <w:t>经相关部门批准后方可开展经营活动）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②金石投资的股权结构</w:t>
      </w:r>
    </w:p>
    <w:p>
      <w:pPr>
        <w:spacing w:line="200" w:lineRule="exact"/>
        <w:rPr>
          <w:rFonts w:hint="eastAsia" w:ascii="宋体" w:hAnsi="宋体" w:eastAsia="宋体" w:cs="宋体"/>
          <w:sz w:val="20"/>
        </w:rPr>
      </w:pPr>
    </w:p>
    <w:p>
      <w:pPr>
        <w:autoSpaceDE w:val="false"/>
        <w:autoSpaceDN w:val="false"/>
        <w:spacing w:line="440" w:lineRule="exact"/>
        <w:ind w:left="1800" w:right="1640" w:firstLine="480"/>
        <w:jc w:val="both"/>
      </w:pPr>
      <w:r>
        <w:rPr>
          <w:rFonts w:hint="eastAsia" w:ascii="宋体" w:hAnsi="宋体" w:eastAsia="宋体" w:cs="宋体"/>
          <w:sz w:val="24"/>
        </w:rPr>
        <w:t>截至本招股说明书签署日</w:t>
      </w:r>
      <w:r>
        <w:rPr>
          <w:rFonts w:hint="eastAsia" w:ascii="宋体" w:hAnsi="宋体" w:eastAsia="宋体" w:cs="宋体"/>
          <w:sz w:val="10"/>
        </w:rPr>
        <w:t>，</w:t>
      </w:r>
      <w:r>
        <w:rPr>
          <w:rFonts w:hint="eastAsia" w:ascii="宋体" w:hAnsi="宋体" w:eastAsia="宋体" w:cs="宋体"/>
          <w:sz w:val="24"/>
        </w:rPr>
        <w:t>金石投资为一人有限责任公司（法人独资），</w:t>
      </w:r>
      <w:r>
        <w:rPr>
          <w:rFonts w:hint="eastAsia" w:ascii="宋体" w:hAnsi="宋体" w:eastAsia="宋体" w:cs="宋体"/>
          <w:sz w:val="24"/>
        </w:rPr>
        <w:t>中信证券股份有限公司持有其</w:t>
      </w:r>
      <w:r>
        <w:rPr>
          <w:rFonts w:hint="eastAsia" w:ascii="Times New Roman" w:hAnsi="Times New Roman" w:eastAsia="Times New Roman" w:cs="Times New Roman"/>
          <w:sz w:val="24"/>
        </w:rPr>
        <w:t xml:space="preserve"> 100%</w:t>
      </w:r>
      <w:r>
        <w:rPr>
          <w:rFonts w:hint="eastAsia" w:ascii="宋体" w:hAnsi="宋体" w:eastAsia="宋体" w:cs="宋体"/>
          <w:sz w:val="24"/>
        </w:rPr>
        <w:t>的股份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③金石投资的主营业务及其与发行人主营业务的关系</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金石投资的主营业务为股权投资及投资咨询</w:t>
      </w:r>
      <w:r>
        <w:rPr>
          <w:rFonts w:hint="eastAsia" w:ascii="宋体" w:hAnsi="宋体" w:eastAsia="宋体" w:cs="宋体"/>
          <w:sz w:val="10"/>
        </w:rPr>
        <w:t>，</w:t>
      </w:r>
      <w:r>
        <w:rPr>
          <w:rFonts w:hint="eastAsia" w:ascii="宋体" w:hAnsi="宋体" w:eastAsia="宋体" w:cs="宋体"/>
          <w:sz w:val="24"/>
        </w:rPr>
        <w:t>与发行人主营业务无关</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④金石投资最近一年及一期的简要财务数据</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金石投资的总资产为</w:t>
      </w:r>
      <w:r>
        <w:rPr>
          <w:rFonts w:hint="eastAsia" w:ascii="Times New Roman" w:hAnsi="Times New Roman" w:eastAsia="Times New Roman" w:cs="Times New Roman"/>
          <w:sz w:val="24"/>
        </w:rPr>
        <w:t xml:space="preserve"> 3,103,039</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净资产为</w:t>
      </w:r>
      <w:r>
        <w:rPr>
          <w:rFonts w:hint="eastAsia" w:ascii="Times New Roman" w:hAnsi="Times New Roman" w:eastAsia="Times New Roman" w:cs="Times New Roman"/>
          <w:sz w:val="24"/>
        </w:rPr>
        <w:t>1,308,086</w:t>
      </w:r>
      <w:r>
        <w:rPr>
          <w:rFonts w:hint="eastAsia" w:ascii="宋体" w:hAnsi="宋体" w:eastAsia="宋体" w:cs="宋体"/>
          <w:sz w:val="24"/>
        </w:rPr>
        <w:t xml:space="preserve"> 万元</w:t>
      </w:r>
      <w:r>
        <w:rPr>
          <w:rFonts w:hint="eastAsia" w:ascii="宋体" w:hAnsi="宋体" w:eastAsia="宋体" w:cs="宋体"/>
          <w:sz w:val="12"/>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年实现净利润为</w:t>
      </w:r>
      <w:r>
        <w:rPr>
          <w:rFonts w:hint="eastAsia" w:ascii="Times New Roman" w:hAnsi="Times New Roman" w:eastAsia="Times New Roman" w:cs="Times New Roman"/>
          <w:sz w:val="24"/>
        </w:rPr>
        <w:t xml:space="preserve"> 167,196</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以上财务数据已经普华永道中天会计师事务所（特殊普通合伙）审计）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）爱派克</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①爱派克的基本情况</w:t>
      </w:r>
    </w:p>
    <w:p>
      <w:pPr>
        <w:spacing w:line="200" w:lineRule="exact"/>
        <w:rPr>
          <w:rFonts w:hint="eastAsia" w:ascii="宋体" w:hAnsi="宋体" w:eastAsia="宋体" w:cs="宋体"/>
          <w:sz w:val="20"/>
        </w:rPr>
      </w:pPr>
    </w:p>
    <w:p>
      <w:pPr>
        <w:tabs>
          <w:tab w:val="left" w:pos="4420"/>
        </w:tabs>
        <w:autoSpaceDE w:val="false"/>
        <w:autoSpaceDN w:val="false"/>
        <w:spacing w:line="340" w:lineRule="exact"/>
        <w:ind w:left="2280"/>
        <w:jc w:val="both"/>
      </w:pPr>
      <w:r>
        <w:rPr>
          <w:rFonts w:hint="eastAsia" w:ascii="宋体" w:hAnsi="宋体" w:eastAsia="宋体" w:cs="宋体"/>
          <w:sz w:val="24"/>
        </w:rPr>
        <w:t>成立时间</w:t>
      </w:r>
      <w:r>
        <w:rPr>
          <w:rFonts w:hint="eastAsia" w:ascii="宋体" w:hAnsi="宋体" w:eastAsia="宋体" w:cs="宋体"/>
          <w:sz w:val="10"/>
        </w:rPr>
        <w:t>：</w:t>
      </w:r>
      <w:r>
        <w:tab/>
      </w:r>
      <w:r>
        <w:rPr>
          <w:rFonts w:hint="eastAsia" w:ascii="Times New Roman" w:hAnsi="Times New Roman" w:eastAsia="Times New Roman" w:cs="Times New Roman"/>
          <w:sz w:val="24"/>
        </w:rPr>
        <w:t>2004</w:t>
      </w:r>
      <w:r>
        <w:rPr>
          <w:rFonts w:hint="eastAsia" w:ascii="宋体" w:hAnsi="宋体" w:eastAsia="宋体" w:cs="宋体"/>
          <w:sz w:val="24"/>
        </w:rPr>
        <w:t>年</w:t>
      </w:r>
      <w:r>
        <w:rPr>
          <w:rFonts w:hint="eastAsia" w:ascii="Times New Roman" w:hAnsi="Times New Roman" w:eastAsia="Times New Roman" w:cs="Times New Roman"/>
          <w:sz w:val="24"/>
        </w:rPr>
        <w:t>6</w:t>
      </w:r>
      <w:r>
        <w:rPr>
          <w:rFonts w:hint="eastAsia" w:ascii="宋体" w:hAnsi="宋体" w:eastAsia="宋体" w:cs="宋体"/>
          <w:sz w:val="24"/>
        </w:rPr>
        <w:t>月</w:t>
      </w:r>
      <w:r>
        <w:rPr>
          <w:rFonts w:hint="eastAsia" w:ascii="Times New Roman" w:hAnsi="Times New Roman" w:eastAsia="Times New Roman" w:cs="Times New Roman"/>
          <w:sz w:val="24"/>
        </w:rPr>
        <w:t>15</w:t>
      </w:r>
      <w:r>
        <w:rPr>
          <w:rFonts w:hint="eastAsia" w:ascii="宋体" w:hAnsi="宋体" w:eastAsia="宋体" w:cs="宋体"/>
          <w:sz w:val="24"/>
        </w:rPr>
        <w:t>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1-1-78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tabs>
          <w:tab w:val="left" w:pos="4420"/>
        </w:tabs>
        <w:autoSpaceDE w:val="false"/>
        <w:autoSpaceDN w:val="false"/>
        <w:spacing w:line="420" w:lineRule="exact"/>
        <w:ind w:left="2280"/>
        <w:jc w:val="both"/>
      </w:pPr>
      <w:r>
        <w:rPr>
          <w:rFonts w:hint="eastAsia" w:ascii="宋体" w:hAnsi="宋体" w:eastAsia="宋体" w:cs="宋体"/>
          <w:sz w:val="24"/>
        </w:rPr>
        <w:t>注册资本</w:t>
      </w:r>
      <w:r>
        <w:rPr>
          <w:rFonts w:hint="eastAsia" w:ascii="宋体" w:hAnsi="宋体" w:eastAsia="宋体" w:cs="宋体"/>
          <w:sz w:val="12"/>
        </w:rPr>
        <w:t>：</w:t>
      </w:r>
      <w:r>
        <w:tab/>
      </w:r>
      <w:r>
        <w:rPr>
          <w:rFonts w:hint="eastAsia" w:ascii="Times New Roman" w:hAnsi="Times New Roman" w:eastAsia="Times New Roman" w:cs="Times New Roman"/>
          <w:sz w:val="24"/>
        </w:rPr>
        <w:t>1,000.00</w:t>
      </w:r>
      <w:r>
        <w:rPr>
          <w:rFonts w:hint="eastAsia" w:ascii="宋体" w:hAnsi="宋体" w:eastAsia="宋体" w:cs="宋体"/>
          <w:sz w:val="24"/>
        </w:rPr>
        <w:t>万元</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60"/>
        <w:jc w:val="both"/>
      </w:pPr>
      <w:r>
        <w:rPr>
          <w:rFonts w:hint="eastAsia" w:ascii="宋体" w:hAnsi="宋体" w:eastAsia="宋体" w:cs="宋体"/>
          <w:sz w:val="24"/>
        </w:rPr>
        <w:t>住所</w:t>
      </w:r>
      <w:r>
        <w:rPr>
          <w:rFonts w:hint="eastAsia" w:ascii="宋体" w:hAnsi="宋体" w:eastAsia="宋体" w:cs="宋体"/>
          <w:sz w:val="10"/>
        </w:rPr>
        <w:t>：</w:t>
      </w:r>
      <w:r>
        <w:tab/>
      </w:r>
      <w:r>
        <w:rPr>
          <w:rFonts w:hint="eastAsia" w:ascii="宋体" w:hAnsi="宋体" w:eastAsia="宋体" w:cs="宋体"/>
          <w:sz w:val="24"/>
        </w:rPr>
        <w:t>福州市马尾区快安延伸区</w:t>
      </w:r>
      <w:r>
        <w:rPr>
          <w:rFonts w:hint="eastAsia" w:ascii="Times New Roman" w:hAnsi="Times New Roman" w:eastAsia="Times New Roman" w:cs="Times New Roman"/>
          <w:sz w:val="24"/>
        </w:rPr>
        <w:t>14#</w:t>
      </w:r>
      <w:r>
        <w:rPr>
          <w:rFonts w:hint="eastAsia" w:ascii="宋体" w:hAnsi="宋体" w:eastAsia="宋体" w:cs="宋体"/>
          <w:sz w:val="24"/>
        </w:rPr>
        <w:t>地创新楼</w:t>
      </w:r>
      <w:r>
        <w:rPr>
          <w:rFonts w:hint="eastAsia" w:ascii="Times New Roman" w:hAnsi="Times New Roman" w:eastAsia="Times New Roman" w:cs="Times New Roman"/>
          <w:sz w:val="24"/>
        </w:rPr>
        <w:t>6</w:t>
      </w:r>
      <w:r>
        <w:rPr>
          <w:rFonts w:hint="eastAsia" w:ascii="宋体" w:hAnsi="宋体" w:eastAsia="宋体" w:cs="宋体"/>
          <w:sz w:val="24"/>
        </w:rPr>
        <w:t>层</w:t>
      </w:r>
      <w:r>
        <w:rPr>
          <w:rFonts w:hint="eastAsia" w:ascii="Times New Roman" w:hAnsi="Times New Roman" w:eastAsia="Times New Roman" w:cs="Times New Roman"/>
          <w:sz w:val="24"/>
        </w:rPr>
        <w:t>9</w:t>
      </w:r>
      <w:r>
        <w:rPr>
          <w:rFonts w:hint="eastAsia" w:ascii="宋体" w:hAnsi="宋体" w:eastAsia="宋体" w:cs="宋体"/>
          <w:sz w:val="24"/>
        </w:rPr>
        <w:t>房（自贸试</w:t>
      </w:r>
    </w:p>
    <w:p>
      <w:pPr>
        <w:spacing w:line="200" w:lineRule="exact"/>
        <w:rPr>
          <w:rFonts w:hint="eastAsia" w:ascii="宋体" w:hAnsi="宋体" w:eastAsia="宋体" w:cs="宋体"/>
          <w:sz w:val="20"/>
        </w:rPr>
      </w:pPr>
    </w:p>
    <w:p>
      <w:pPr>
        <w:autoSpaceDE w:val="false"/>
        <w:autoSpaceDN w:val="false"/>
        <w:spacing w:line="260" w:lineRule="exact"/>
        <w:ind w:left="4420"/>
        <w:jc w:val="both"/>
      </w:pPr>
      <w:r>
        <w:rPr>
          <w:rFonts w:hint="eastAsia" w:ascii="宋体" w:hAnsi="宋体" w:eastAsia="宋体" w:cs="宋体"/>
          <w:sz w:val="24"/>
        </w:rPr>
        <w:t>验区内）</w:t>
      </w:r>
    </w:p>
    <w:p>
      <w:pPr>
        <w:spacing w:line="200" w:lineRule="exact"/>
        <w:rPr>
          <w:rFonts w:hint="eastAsia" w:ascii="宋体" w:hAnsi="宋体" w:eastAsia="宋体" w:cs="宋体"/>
          <w:sz w:val="20"/>
        </w:rPr>
      </w:pPr>
    </w:p>
    <w:p>
      <w:pPr>
        <w:tabs>
          <w:tab w:val="left" w:pos="4420"/>
        </w:tabs>
        <w:autoSpaceDE w:val="false"/>
        <w:autoSpaceDN w:val="false"/>
        <w:spacing w:line="280" w:lineRule="exact"/>
        <w:ind w:left="2260"/>
        <w:jc w:val="both"/>
      </w:pPr>
      <w:r>
        <w:rPr>
          <w:rFonts w:hint="eastAsia" w:ascii="宋体" w:hAnsi="宋体" w:eastAsia="宋体" w:cs="宋体"/>
          <w:sz w:val="24"/>
        </w:rPr>
        <w:t>法定代表人</w:t>
      </w:r>
      <w:r>
        <w:rPr>
          <w:rFonts w:hint="eastAsia" w:ascii="宋体" w:hAnsi="宋体" w:eastAsia="宋体" w:cs="宋体"/>
          <w:sz w:val="12"/>
        </w:rPr>
        <w:t>：</w:t>
      </w:r>
      <w:r>
        <w:tab/>
      </w:r>
      <w:r>
        <w:rPr>
          <w:rFonts w:hint="eastAsia" w:ascii="宋体" w:hAnsi="宋体" w:eastAsia="宋体" w:cs="宋体"/>
          <w:sz w:val="24"/>
        </w:rPr>
        <w:t>林永正</w:t>
      </w:r>
    </w:p>
    <w:p>
      <w:pPr>
        <w:spacing w:line="200" w:lineRule="exact"/>
        <w:rPr>
          <w:rFonts w:hint="eastAsia" w:ascii="宋体" w:hAnsi="宋体" w:eastAsia="宋体" w:cs="宋体"/>
          <w:sz w:val="20"/>
        </w:rPr>
      </w:pPr>
    </w:p>
    <w:p>
      <w:pPr>
        <w:tabs>
          <w:tab w:val="left" w:pos="4420"/>
        </w:tabs>
        <w:autoSpaceDE w:val="false"/>
        <w:autoSpaceDN w:val="false"/>
        <w:spacing w:line="260" w:lineRule="exact"/>
        <w:ind w:left="2280"/>
        <w:jc w:val="both"/>
      </w:pPr>
      <w:r>
        <w:rPr>
          <w:rFonts w:hint="eastAsia" w:ascii="宋体" w:hAnsi="宋体" w:eastAsia="宋体" w:cs="宋体"/>
          <w:sz w:val="24"/>
        </w:rPr>
        <w:t>经营范围</w:t>
      </w:r>
      <w:r>
        <w:rPr>
          <w:rFonts w:hint="eastAsia" w:ascii="宋体" w:hAnsi="宋体" w:eastAsia="宋体" w:cs="宋体"/>
          <w:sz w:val="10"/>
        </w:rPr>
        <w:t>：</w:t>
      </w:r>
      <w:r>
        <w:tab/>
      </w:r>
      <w:r>
        <w:rPr>
          <w:rFonts w:hint="eastAsia" w:ascii="宋体" w:hAnsi="宋体" w:eastAsia="宋体" w:cs="宋体"/>
          <w:sz w:val="24"/>
        </w:rPr>
        <w:t>电子原器件批发及相关业务的咨询服务</w:t>
      </w:r>
      <w:r>
        <w:rPr>
          <w:rFonts w:hint="eastAsia" w:ascii="宋体" w:hAnsi="宋体" w:eastAsia="宋体" w:cs="宋体"/>
          <w:sz w:val="10"/>
        </w:rPr>
        <w:t>。（</w:t>
      </w:r>
      <w:r>
        <w:rPr>
          <w:rFonts w:hint="eastAsia" w:ascii="宋体" w:hAnsi="宋体" w:eastAsia="宋体" w:cs="宋体"/>
          <w:sz w:val="24"/>
        </w:rPr>
        <w:t>以上经营范</w:t>
      </w:r>
    </w:p>
    <w:p>
      <w:pPr>
        <w:spacing w:line="200" w:lineRule="exact"/>
        <w:rPr>
          <w:rFonts w:hint="eastAsia" w:ascii="宋体" w:hAnsi="宋体" w:eastAsia="宋体" w:cs="宋体"/>
          <w:sz w:val="20"/>
        </w:rPr>
      </w:pPr>
    </w:p>
    <w:p>
      <w:pPr>
        <w:autoSpaceDE w:val="false"/>
        <w:autoSpaceDN w:val="false"/>
        <w:spacing w:line="360" w:lineRule="exact"/>
        <w:ind w:left="4420" w:right="1600"/>
        <w:jc w:val="both"/>
      </w:pPr>
      <w:r>
        <w:rPr>
          <w:rFonts w:hint="eastAsia" w:ascii="宋体" w:hAnsi="宋体" w:eastAsia="宋体" w:cs="宋体"/>
          <w:sz w:val="24"/>
        </w:rPr>
        <w:t>围中凡涉及行政许可的项目应在取得有关部门批准或许可后方可经营）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2280"/>
        <w:jc w:val="both"/>
      </w:pPr>
      <w:r>
        <w:rPr>
          <w:rFonts w:hint="eastAsia" w:ascii="宋体" w:hAnsi="宋体" w:eastAsia="宋体" w:cs="宋体"/>
          <w:sz w:val="24"/>
        </w:rPr>
        <w:t>②爱派克的股权结构</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爱派克股权结构情况如下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820"/>
        <w:gridCol w:w="3440"/>
        <w:gridCol w:w="2120"/>
        <w:gridCol w:w="2140"/>
      </w:tblGrid>
      <w:tr>
        <w:trPr>
          <w:trHeight w:val="480" w:hRule="exact"/>
        </w:trPr>
        <w:tc>
          <w:tcPr>
            <w:tcW w:w="820" w:type="dxa"/>
            <w:tcMar>
              <w:top w:w="0" w:type="dxa"/>
              <w:left w:w="0" w:type="dxa"/>
              <w:bottom w:w="0" w:type="dxa"/>
              <w:right w:w="0" w:type="dxa"/>
            </w:tcMar>
          </w:tcPr>
          <w:p>
            <w:pPr>
              <w:spacing w:before="120"/>
              <w:ind w:left="180"/>
            </w:pPr>
            <w:r>
              <w:rPr>
                <w:rFonts w:hint="eastAsia" w:ascii="宋体" w:hAnsi="宋体" w:eastAsia="宋体" w:cs="宋体"/>
                <w:b/>
                <w:sz w:val="21"/>
              </w:rPr>
              <w:t>序号</w:t>
            </w:r>
          </w:p>
        </w:tc>
        <w:tc>
          <w:tcPr>
            <w:tcW w:w="3440" w:type="dxa"/>
            <w:tcMar>
              <w:top w:w="0" w:type="dxa"/>
              <w:left w:w="0" w:type="dxa"/>
              <w:bottom w:w="0" w:type="dxa"/>
              <w:right w:w="0" w:type="dxa"/>
            </w:tcMar>
          </w:tcPr>
          <w:p>
            <w:pPr>
              <w:spacing w:before="120"/>
              <w:ind w:left="1480"/>
            </w:pPr>
            <w:r>
              <w:rPr>
                <w:rFonts w:hint="eastAsia" w:ascii="宋体" w:hAnsi="宋体" w:eastAsia="宋体" w:cs="宋体"/>
                <w:b/>
                <w:sz w:val="21"/>
              </w:rPr>
              <w:t>股东</w:t>
            </w:r>
          </w:p>
        </w:tc>
        <w:tc>
          <w:tcPr>
            <w:tcW w:w="2120" w:type="dxa"/>
            <w:tcMar>
              <w:top w:w="0" w:type="dxa"/>
              <w:left w:w="0" w:type="dxa"/>
              <w:bottom w:w="0" w:type="dxa"/>
              <w:right w:w="0" w:type="dxa"/>
            </w:tcMar>
          </w:tcPr>
          <w:p>
            <w:pPr>
              <w:spacing w:before="120"/>
              <w:ind w:left="740"/>
            </w:pPr>
            <w:r>
              <w:rPr>
                <w:rFonts w:hint="eastAsia" w:ascii="宋体" w:hAnsi="宋体" w:eastAsia="宋体" w:cs="宋体"/>
                <w:b/>
                <w:sz w:val="21"/>
              </w:rPr>
              <w:t>出资额</w:t>
            </w:r>
          </w:p>
        </w:tc>
        <w:tc>
          <w:tcPr>
            <w:tcW w:w="2140" w:type="dxa"/>
            <w:tcMar>
              <w:top w:w="0" w:type="dxa"/>
              <w:left w:w="0" w:type="dxa"/>
              <w:bottom w:w="0" w:type="dxa"/>
              <w:right w:w="0" w:type="dxa"/>
            </w:tcMar>
          </w:tcPr>
          <w:p>
            <w:pPr>
              <w:spacing w:before="120"/>
              <w:ind w:left="640"/>
            </w:pPr>
            <w:r>
              <w:rPr>
                <w:rFonts w:hint="eastAsia" w:ascii="宋体" w:hAnsi="宋体" w:eastAsia="宋体" w:cs="宋体"/>
                <w:b/>
                <w:sz w:val="21"/>
              </w:rPr>
              <w:t>出资比例</w:t>
            </w:r>
          </w:p>
        </w:tc>
      </w:tr>
      <w:tr>
        <w:trPr>
          <w:trHeight w:val="480" w:hRule="exact"/>
        </w:trPr>
        <w:tc>
          <w:tcPr>
            <w:tcW w:w="8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1</w:t>
            </w:r>
          </w:p>
        </w:tc>
        <w:tc>
          <w:tcPr>
            <w:tcW w:w="3440" w:type="dxa"/>
            <w:tcMar>
              <w:top w:w="0" w:type="dxa"/>
              <w:left w:w="0" w:type="dxa"/>
              <w:bottom w:w="0" w:type="dxa"/>
              <w:right w:w="0" w:type="dxa"/>
            </w:tcMar>
          </w:tcPr>
          <w:p>
            <w:pPr>
              <w:spacing w:before="120"/>
              <w:ind w:left="1380"/>
            </w:pPr>
            <w:r>
              <w:rPr>
                <w:rFonts w:hint="eastAsia" w:ascii="宋体" w:hAnsi="宋体" w:eastAsia="宋体" w:cs="宋体"/>
                <w:sz w:val="21"/>
              </w:rPr>
              <w:t>林永正</w:t>
            </w:r>
          </w:p>
        </w:tc>
        <w:tc>
          <w:tcPr>
            <w:tcW w:w="2120" w:type="dxa"/>
            <w:tcMar>
              <w:top w:w="0" w:type="dxa"/>
              <w:left w:w="0" w:type="dxa"/>
              <w:bottom w:w="0" w:type="dxa"/>
              <w:right w:w="0" w:type="dxa"/>
            </w:tcMar>
          </w:tcPr>
          <w:p>
            <w:pPr>
              <w:spacing w:before="140"/>
              <w:ind w:left="1420"/>
            </w:pPr>
            <w:r>
              <w:rPr>
                <w:rFonts w:hint="eastAsia" w:ascii="Times New Roman" w:hAnsi="Times New Roman" w:eastAsia="Times New Roman" w:cs="Times New Roman"/>
                <w:sz w:val="21"/>
              </w:rPr>
              <w:t>522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p>
        </w:tc>
        <w:tc>
          <w:tcPr>
            <w:tcW w:w="2140" w:type="dxa"/>
            <w:tcMar>
              <w:top w:w="0" w:type="dxa"/>
              <w:left w:w="0" w:type="dxa"/>
              <w:bottom w:w="0" w:type="dxa"/>
              <w:right w:w="0" w:type="dxa"/>
            </w:tcMar>
          </w:tcPr>
          <w:p>
            <w:pPr>
              <w:spacing w:before="140"/>
              <w:ind w:left="138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2</w:t>
            </w:r>
          </w:p>
        </w:tc>
        <w:tc>
          <w:tcPr>
            <w:tcW w:w="3440" w:type="dxa"/>
            <w:tcMar>
              <w:top w:w="0" w:type="dxa"/>
              <w:left w:w="0" w:type="dxa"/>
              <w:bottom w:w="0" w:type="dxa"/>
              <w:right w:w="0" w:type="dxa"/>
            </w:tcMar>
          </w:tcPr>
          <w:p>
            <w:pPr>
              <w:spacing w:before="100"/>
              <w:ind w:left="1380"/>
            </w:pPr>
            <w:r>
              <w:rPr>
                <w:rFonts w:hint="eastAsia" w:ascii="宋体" w:hAnsi="宋体" w:eastAsia="宋体" w:cs="宋体"/>
                <w:sz w:val="21"/>
              </w:rPr>
              <w:t>黄义青</w:t>
            </w:r>
          </w:p>
        </w:tc>
        <w:tc>
          <w:tcPr>
            <w:tcW w:w="2120" w:type="dxa"/>
            <w:tcMar>
              <w:top w:w="0" w:type="dxa"/>
              <w:left w:w="0" w:type="dxa"/>
              <w:bottom w:w="0" w:type="dxa"/>
              <w:right w:w="0" w:type="dxa"/>
            </w:tcMar>
          </w:tcPr>
          <w:p>
            <w:pPr>
              <w:spacing w:before="160"/>
              <w:ind w:left="1440"/>
            </w:pPr>
            <w:r>
              <w:rPr>
                <w:rFonts w:hint="eastAsia" w:ascii="Times New Roman" w:hAnsi="Times New Roman" w:eastAsia="Times New Roman" w:cs="Times New Roman"/>
                <w:sz w:val="21"/>
              </w:rPr>
              <w:t>116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2140" w:type="dxa"/>
            <w:tcMar>
              <w:top w:w="0" w:type="dxa"/>
              <w:left w:w="0" w:type="dxa"/>
              <w:bottom w:w="0" w:type="dxa"/>
              <w:right w:w="0" w:type="dxa"/>
            </w:tcMar>
          </w:tcPr>
          <w:p>
            <w:pPr>
              <w:spacing w:before="140"/>
              <w:ind w:left="138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r>
      <w:tr>
        <w:trPr>
          <w:trHeight w:val="460" w:hRule="exact"/>
        </w:trPr>
        <w:tc>
          <w:tcPr>
            <w:tcW w:w="8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3</w:t>
            </w:r>
          </w:p>
        </w:tc>
        <w:tc>
          <w:tcPr>
            <w:tcW w:w="3440" w:type="dxa"/>
            <w:tcMar>
              <w:top w:w="0" w:type="dxa"/>
              <w:left w:w="0" w:type="dxa"/>
              <w:bottom w:w="0" w:type="dxa"/>
              <w:right w:w="0" w:type="dxa"/>
            </w:tcMar>
          </w:tcPr>
          <w:p>
            <w:pPr>
              <w:spacing w:before="100"/>
              <w:ind w:left="1380"/>
            </w:pPr>
            <w:r>
              <w:rPr>
                <w:rFonts w:hint="eastAsia" w:ascii="宋体" w:hAnsi="宋体" w:eastAsia="宋体" w:cs="宋体"/>
                <w:sz w:val="21"/>
              </w:rPr>
              <w:t>唐顺正</w:t>
            </w:r>
          </w:p>
        </w:tc>
        <w:tc>
          <w:tcPr>
            <w:tcW w:w="21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2140" w:type="dxa"/>
            <w:tcMar>
              <w:top w:w="0" w:type="dxa"/>
              <w:left w:w="0" w:type="dxa"/>
              <w:bottom w:w="0" w:type="dxa"/>
              <w:right w:w="0" w:type="dxa"/>
            </w:tcMar>
          </w:tcPr>
          <w:p>
            <w:pPr>
              <w:spacing w:before="160"/>
              <w:ind w:left="148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4</w:t>
            </w:r>
          </w:p>
        </w:tc>
        <w:tc>
          <w:tcPr>
            <w:tcW w:w="3440" w:type="dxa"/>
            <w:tcMar>
              <w:top w:w="0" w:type="dxa"/>
              <w:left w:w="0" w:type="dxa"/>
              <w:bottom w:w="0" w:type="dxa"/>
              <w:right w:w="0" w:type="dxa"/>
            </w:tcMar>
          </w:tcPr>
          <w:p>
            <w:pPr>
              <w:spacing w:before="120"/>
              <w:ind w:left="1500"/>
            </w:pPr>
            <w:r>
              <w:rPr>
                <w:rFonts w:hint="eastAsia" w:ascii="宋体" w:hAnsi="宋体" w:eastAsia="宋体" w:cs="宋体"/>
                <w:sz w:val="21"/>
              </w:rPr>
              <w:t>欧永</w:t>
            </w:r>
          </w:p>
        </w:tc>
        <w:tc>
          <w:tcPr>
            <w:tcW w:w="21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c>
          <w:tcPr>
            <w:tcW w:w="2140" w:type="dxa"/>
            <w:tcMar>
              <w:top w:w="0" w:type="dxa"/>
              <w:left w:w="0" w:type="dxa"/>
              <w:bottom w:w="0" w:type="dxa"/>
              <w:right w:w="0" w:type="dxa"/>
            </w:tcMar>
          </w:tcPr>
          <w:p>
            <w:pPr>
              <w:spacing w:before="160"/>
              <w:ind w:left="14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40"/>
              <w:ind w:left="340"/>
            </w:pPr>
            <w:r>
              <w:rPr>
                <w:rFonts w:hint="eastAsia" w:ascii="Times New Roman" w:hAnsi="Times New Roman" w:eastAsia="Times New Roman" w:cs="Times New Roman"/>
                <w:sz w:val="21"/>
              </w:rPr>
              <w:t>5</w:t>
            </w:r>
          </w:p>
        </w:tc>
        <w:tc>
          <w:tcPr>
            <w:tcW w:w="3440" w:type="dxa"/>
            <w:tcMar>
              <w:top w:w="0" w:type="dxa"/>
              <w:left w:w="0" w:type="dxa"/>
              <w:bottom w:w="0" w:type="dxa"/>
              <w:right w:w="0" w:type="dxa"/>
            </w:tcMar>
          </w:tcPr>
          <w:p>
            <w:pPr>
              <w:spacing w:before="100"/>
              <w:ind w:left="1380"/>
            </w:pPr>
            <w:r>
              <w:rPr>
                <w:rFonts w:hint="eastAsia" w:ascii="宋体" w:hAnsi="宋体" w:eastAsia="宋体" w:cs="宋体"/>
                <w:sz w:val="21"/>
              </w:rPr>
              <w:t>雷世潘</w:t>
            </w:r>
          </w:p>
        </w:tc>
        <w:tc>
          <w:tcPr>
            <w:tcW w:w="2120" w:type="dxa"/>
            <w:tcMar>
              <w:top w:w="0" w:type="dxa"/>
              <w:left w:w="0" w:type="dxa"/>
              <w:bottom w:w="0" w:type="dxa"/>
              <w:right w:w="0" w:type="dxa"/>
            </w:tcMar>
          </w:tcPr>
          <w:p>
            <w:pPr>
              <w:spacing w:before="140"/>
              <w:ind w:left="154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p>
        </w:tc>
        <w:tc>
          <w:tcPr>
            <w:tcW w:w="2140" w:type="dxa"/>
            <w:tcMar>
              <w:top w:w="0" w:type="dxa"/>
              <w:left w:w="0" w:type="dxa"/>
              <w:bottom w:w="0" w:type="dxa"/>
              <w:right w:w="0" w:type="dxa"/>
            </w:tcMar>
          </w:tcPr>
          <w:p>
            <w:pPr>
              <w:spacing w:before="140"/>
              <w:ind w:left="14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6</w:t>
            </w:r>
          </w:p>
        </w:tc>
        <w:tc>
          <w:tcPr>
            <w:tcW w:w="3440" w:type="dxa"/>
            <w:tcMar>
              <w:top w:w="0" w:type="dxa"/>
              <w:left w:w="0" w:type="dxa"/>
              <w:bottom w:w="0" w:type="dxa"/>
              <w:right w:w="0" w:type="dxa"/>
            </w:tcMar>
          </w:tcPr>
          <w:p>
            <w:pPr>
              <w:spacing w:before="120"/>
              <w:ind w:left="1380"/>
            </w:pPr>
            <w:r>
              <w:rPr>
                <w:rFonts w:hint="eastAsia" w:ascii="宋体" w:hAnsi="宋体" w:eastAsia="宋体" w:cs="宋体"/>
                <w:sz w:val="21"/>
              </w:rPr>
              <w:t>萧锦峰</w:t>
            </w:r>
          </w:p>
        </w:tc>
        <w:tc>
          <w:tcPr>
            <w:tcW w:w="21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2140" w:type="dxa"/>
            <w:tcMar>
              <w:top w:w="0" w:type="dxa"/>
              <w:left w:w="0" w:type="dxa"/>
              <w:bottom w:w="0" w:type="dxa"/>
              <w:right w:w="0" w:type="dxa"/>
            </w:tcMar>
          </w:tcPr>
          <w:p>
            <w:pPr>
              <w:spacing w:before="160"/>
              <w:ind w:left="14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p>
        </w:tc>
      </w:tr>
      <w:tr>
        <w:trPr>
          <w:trHeight w:val="460" w:hRule="exact"/>
        </w:trPr>
        <w:tc>
          <w:tcPr>
            <w:tcW w:w="8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7</w:t>
            </w:r>
          </w:p>
        </w:tc>
        <w:tc>
          <w:tcPr>
            <w:tcW w:w="3440" w:type="dxa"/>
            <w:tcMar>
              <w:top w:w="0" w:type="dxa"/>
              <w:left w:w="0" w:type="dxa"/>
              <w:bottom w:w="0" w:type="dxa"/>
              <w:right w:w="0" w:type="dxa"/>
            </w:tcMar>
          </w:tcPr>
          <w:p>
            <w:pPr>
              <w:spacing w:before="100"/>
              <w:ind w:left="1380"/>
            </w:pPr>
            <w:r>
              <w:rPr>
                <w:rFonts w:hint="eastAsia" w:ascii="宋体" w:hAnsi="宋体" w:eastAsia="宋体" w:cs="宋体"/>
                <w:sz w:val="21"/>
              </w:rPr>
              <w:t>蔡海防</w:t>
            </w:r>
          </w:p>
        </w:tc>
        <w:tc>
          <w:tcPr>
            <w:tcW w:w="21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160"/>
              <w:ind w:left="14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8</w:t>
            </w:r>
          </w:p>
        </w:tc>
        <w:tc>
          <w:tcPr>
            <w:tcW w:w="3440" w:type="dxa"/>
            <w:tcMar>
              <w:top w:w="0" w:type="dxa"/>
              <w:left w:w="0" w:type="dxa"/>
              <w:bottom w:w="0" w:type="dxa"/>
              <w:right w:w="0" w:type="dxa"/>
            </w:tcMar>
          </w:tcPr>
          <w:p>
            <w:pPr>
              <w:spacing w:before="120"/>
              <w:ind w:left="1500"/>
            </w:pPr>
            <w:r>
              <w:rPr>
                <w:rFonts w:hint="eastAsia" w:ascii="宋体" w:hAnsi="宋体" w:eastAsia="宋体" w:cs="宋体"/>
                <w:sz w:val="21"/>
              </w:rPr>
              <w:t>赵伟</w:t>
            </w:r>
          </w:p>
        </w:tc>
        <w:tc>
          <w:tcPr>
            <w:tcW w:w="2120" w:type="dxa"/>
            <w:tcMar>
              <w:top w:w="0" w:type="dxa"/>
              <w:left w:w="0" w:type="dxa"/>
              <w:bottom w:w="0" w:type="dxa"/>
              <w:right w:w="0" w:type="dxa"/>
            </w:tcMar>
          </w:tcPr>
          <w:p>
            <w:pPr>
              <w:spacing w:before="180"/>
              <w:ind w:left="15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c>
          <w:tcPr>
            <w:tcW w:w="2140" w:type="dxa"/>
            <w:tcMar>
              <w:top w:w="0" w:type="dxa"/>
              <w:left w:w="0" w:type="dxa"/>
              <w:bottom w:w="0" w:type="dxa"/>
              <w:right w:w="0" w:type="dxa"/>
            </w:tcMar>
          </w:tcPr>
          <w:p>
            <w:pPr>
              <w:spacing w:before="180"/>
              <w:ind w:left="14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40"/>
              <w:ind w:left="340"/>
            </w:pPr>
            <w:r>
              <w:rPr>
                <w:rFonts w:hint="eastAsia" w:ascii="Times New Roman" w:hAnsi="Times New Roman" w:eastAsia="Times New Roman" w:cs="Times New Roman"/>
                <w:sz w:val="21"/>
              </w:rPr>
              <w:t>9</w:t>
            </w:r>
          </w:p>
        </w:tc>
        <w:tc>
          <w:tcPr>
            <w:tcW w:w="3440" w:type="dxa"/>
            <w:tcMar>
              <w:top w:w="0" w:type="dxa"/>
              <w:left w:w="0" w:type="dxa"/>
              <w:bottom w:w="0" w:type="dxa"/>
              <w:right w:w="0" w:type="dxa"/>
            </w:tcMar>
          </w:tcPr>
          <w:p>
            <w:pPr>
              <w:spacing w:before="100"/>
              <w:ind w:left="1380"/>
            </w:pPr>
            <w:r>
              <w:rPr>
                <w:rFonts w:hint="eastAsia" w:ascii="宋体" w:hAnsi="宋体" w:eastAsia="宋体" w:cs="宋体"/>
                <w:sz w:val="21"/>
              </w:rPr>
              <w:t>黄学捷</w:t>
            </w:r>
          </w:p>
        </w:tc>
        <w:tc>
          <w:tcPr>
            <w:tcW w:w="2120" w:type="dxa"/>
            <w:tcMar>
              <w:top w:w="0" w:type="dxa"/>
              <w:left w:w="0" w:type="dxa"/>
              <w:bottom w:w="0" w:type="dxa"/>
              <w:right w:w="0" w:type="dxa"/>
            </w:tcMar>
          </w:tcPr>
          <w:p>
            <w:pPr>
              <w:spacing w:before="140"/>
              <w:ind w:left="15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c>
          <w:tcPr>
            <w:tcW w:w="2140" w:type="dxa"/>
            <w:tcMar>
              <w:top w:w="0" w:type="dxa"/>
              <w:left w:w="0" w:type="dxa"/>
              <w:bottom w:w="0" w:type="dxa"/>
              <w:right w:w="0" w:type="dxa"/>
            </w:tcMar>
          </w:tcPr>
          <w:p>
            <w:pPr>
              <w:spacing w:before="140"/>
              <w:ind w:left="14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10</w:t>
            </w:r>
          </w:p>
        </w:tc>
        <w:tc>
          <w:tcPr>
            <w:tcW w:w="3440" w:type="dxa"/>
            <w:tcMar>
              <w:top w:w="0" w:type="dxa"/>
              <w:left w:w="0" w:type="dxa"/>
              <w:bottom w:w="0" w:type="dxa"/>
              <w:right w:w="0" w:type="dxa"/>
            </w:tcMar>
          </w:tcPr>
          <w:p>
            <w:pPr>
              <w:spacing w:before="120"/>
              <w:ind w:left="1380"/>
            </w:pPr>
            <w:r>
              <w:rPr>
                <w:rFonts w:hint="eastAsia" w:ascii="宋体" w:hAnsi="宋体" w:eastAsia="宋体" w:cs="宋体"/>
                <w:sz w:val="21"/>
              </w:rPr>
              <w:t>王腊云</w:t>
            </w:r>
          </w:p>
        </w:tc>
        <w:tc>
          <w:tcPr>
            <w:tcW w:w="21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2140" w:type="dxa"/>
            <w:tcMar>
              <w:top w:w="0" w:type="dxa"/>
              <w:left w:w="0" w:type="dxa"/>
              <w:bottom w:w="0" w:type="dxa"/>
              <w:right w:w="0" w:type="dxa"/>
            </w:tcMar>
          </w:tcPr>
          <w:p>
            <w:pPr>
              <w:spacing w:before="160"/>
              <w:ind w:left="1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r>
      <w:tr>
        <w:trPr>
          <w:trHeight w:val="460" w:hRule="exact"/>
        </w:trPr>
        <w:tc>
          <w:tcPr>
            <w:tcW w:w="82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11</w:t>
            </w:r>
          </w:p>
        </w:tc>
        <w:tc>
          <w:tcPr>
            <w:tcW w:w="3440" w:type="dxa"/>
            <w:tcMar>
              <w:top w:w="0" w:type="dxa"/>
              <w:left w:w="0" w:type="dxa"/>
              <w:bottom w:w="0" w:type="dxa"/>
              <w:right w:w="0" w:type="dxa"/>
            </w:tcMar>
          </w:tcPr>
          <w:p>
            <w:pPr>
              <w:spacing w:before="100"/>
              <w:ind w:left="1500"/>
            </w:pPr>
            <w:r>
              <w:rPr>
                <w:rFonts w:hint="eastAsia" w:ascii="宋体" w:hAnsi="宋体" w:eastAsia="宋体" w:cs="宋体"/>
                <w:sz w:val="21"/>
              </w:rPr>
              <w:t>钱岳</w:t>
            </w:r>
          </w:p>
        </w:tc>
        <w:tc>
          <w:tcPr>
            <w:tcW w:w="21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2140" w:type="dxa"/>
            <w:tcMar>
              <w:top w:w="0" w:type="dxa"/>
              <w:left w:w="0" w:type="dxa"/>
              <w:bottom w:w="0" w:type="dxa"/>
              <w:right w:w="0" w:type="dxa"/>
            </w:tcMar>
          </w:tcPr>
          <w:p>
            <w:pPr>
              <w:spacing w:before="160"/>
              <w:ind w:left="1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12</w:t>
            </w:r>
          </w:p>
        </w:tc>
        <w:tc>
          <w:tcPr>
            <w:tcW w:w="3440" w:type="dxa"/>
            <w:tcMar>
              <w:top w:w="0" w:type="dxa"/>
              <w:left w:w="0" w:type="dxa"/>
              <w:bottom w:w="0" w:type="dxa"/>
              <w:right w:w="0" w:type="dxa"/>
            </w:tcMar>
          </w:tcPr>
          <w:p>
            <w:pPr>
              <w:spacing w:before="120"/>
              <w:ind w:left="1500"/>
            </w:pPr>
            <w:r>
              <w:rPr>
                <w:rFonts w:hint="eastAsia" w:ascii="宋体" w:hAnsi="宋体" w:eastAsia="宋体" w:cs="宋体"/>
                <w:sz w:val="21"/>
              </w:rPr>
              <w:t>陈志</w:t>
            </w:r>
          </w:p>
        </w:tc>
        <w:tc>
          <w:tcPr>
            <w:tcW w:w="2120" w:type="dxa"/>
            <w:tcMar>
              <w:top w:w="0" w:type="dxa"/>
              <w:left w:w="0" w:type="dxa"/>
              <w:bottom w:w="0" w:type="dxa"/>
              <w:right w:w="0" w:type="dxa"/>
            </w:tcMar>
          </w:tcPr>
          <w:p>
            <w:pPr>
              <w:spacing w:before="180"/>
              <w:ind w:left="15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2140" w:type="dxa"/>
            <w:tcMar>
              <w:top w:w="0" w:type="dxa"/>
              <w:left w:w="0" w:type="dxa"/>
              <w:bottom w:w="0" w:type="dxa"/>
              <w:right w:w="0" w:type="dxa"/>
            </w:tcMar>
          </w:tcPr>
          <w:p>
            <w:pPr>
              <w:spacing w:before="180"/>
              <w:ind w:left="1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13</w:t>
            </w:r>
          </w:p>
        </w:tc>
        <w:tc>
          <w:tcPr>
            <w:tcW w:w="3440" w:type="dxa"/>
            <w:tcMar>
              <w:top w:w="0" w:type="dxa"/>
              <w:left w:w="0" w:type="dxa"/>
              <w:bottom w:w="0" w:type="dxa"/>
              <w:right w:w="0" w:type="dxa"/>
            </w:tcMar>
          </w:tcPr>
          <w:p>
            <w:pPr>
              <w:spacing w:before="120"/>
              <w:ind w:left="1380"/>
            </w:pPr>
            <w:r>
              <w:rPr>
                <w:rFonts w:hint="eastAsia" w:ascii="宋体" w:hAnsi="宋体" w:eastAsia="宋体" w:cs="宋体"/>
                <w:sz w:val="21"/>
              </w:rPr>
              <w:t>李锦灿</w:t>
            </w:r>
          </w:p>
        </w:tc>
        <w:tc>
          <w:tcPr>
            <w:tcW w:w="2120" w:type="dxa"/>
            <w:tcMar>
              <w:top w:w="0" w:type="dxa"/>
              <w:left w:w="0" w:type="dxa"/>
              <w:bottom w:w="0" w:type="dxa"/>
              <w:right w:w="0" w:type="dxa"/>
            </w:tcMar>
          </w:tcPr>
          <w:p>
            <w:pPr>
              <w:spacing w:before="140"/>
              <w:ind w:left="15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2140" w:type="dxa"/>
            <w:tcMar>
              <w:top w:w="0" w:type="dxa"/>
              <w:left w:w="0" w:type="dxa"/>
              <w:bottom w:w="0" w:type="dxa"/>
              <w:right w:w="0" w:type="dxa"/>
            </w:tcMar>
          </w:tcPr>
          <w:p>
            <w:pPr>
              <w:spacing w:before="140"/>
              <w:ind w:left="1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14</w:t>
            </w:r>
          </w:p>
        </w:tc>
        <w:tc>
          <w:tcPr>
            <w:tcW w:w="3440" w:type="dxa"/>
            <w:tcMar>
              <w:top w:w="0" w:type="dxa"/>
              <w:left w:w="0" w:type="dxa"/>
              <w:bottom w:w="0" w:type="dxa"/>
              <w:right w:w="0" w:type="dxa"/>
            </w:tcMar>
          </w:tcPr>
          <w:p>
            <w:pPr>
              <w:spacing w:before="100"/>
              <w:ind w:left="1380"/>
            </w:pPr>
            <w:r>
              <w:rPr>
                <w:rFonts w:hint="eastAsia" w:ascii="宋体" w:hAnsi="宋体" w:eastAsia="宋体" w:cs="宋体"/>
                <w:sz w:val="21"/>
              </w:rPr>
              <w:t>陈玮明</w:t>
            </w:r>
          </w:p>
        </w:tc>
        <w:tc>
          <w:tcPr>
            <w:tcW w:w="21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p>
        </w:tc>
        <w:tc>
          <w:tcPr>
            <w:tcW w:w="2140" w:type="dxa"/>
            <w:tcMar>
              <w:top w:w="0" w:type="dxa"/>
              <w:left w:w="0" w:type="dxa"/>
              <w:bottom w:w="0" w:type="dxa"/>
              <w:right w:w="0" w:type="dxa"/>
            </w:tcMar>
          </w:tcPr>
          <w:p>
            <w:pPr>
              <w:spacing w:before="140"/>
              <w:ind w:left="1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r>
      <w:tr>
        <w:trPr>
          <w:trHeight w:val="460" w:hRule="exact"/>
        </w:trPr>
        <w:tc>
          <w:tcPr>
            <w:tcW w:w="82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15</w:t>
            </w:r>
          </w:p>
        </w:tc>
        <w:tc>
          <w:tcPr>
            <w:tcW w:w="3440" w:type="dxa"/>
            <w:tcMar>
              <w:top w:w="0" w:type="dxa"/>
              <w:left w:w="0" w:type="dxa"/>
              <w:bottom w:w="0" w:type="dxa"/>
              <w:right w:w="0" w:type="dxa"/>
            </w:tcMar>
          </w:tcPr>
          <w:p>
            <w:pPr>
              <w:spacing w:before="100"/>
              <w:ind w:left="1380"/>
            </w:pPr>
            <w:r>
              <w:rPr>
                <w:rFonts w:hint="eastAsia" w:ascii="宋体" w:hAnsi="宋体" w:eastAsia="宋体" w:cs="宋体"/>
                <w:sz w:val="21"/>
              </w:rPr>
              <w:t>刘建宝</w:t>
            </w:r>
          </w:p>
        </w:tc>
        <w:tc>
          <w:tcPr>
            <w:tcW w:w="21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2140" w:type="dxa"/>
            <w:tcMar>
              <w:top w:w="0" w:type="dxa"/>
              <w:left w:w="0" w:type="dxa"/>
              <w:bottom w:w="0" w:type="dxa"/>
              <w:right w:w="0" w:type="dxa"/>
            </w:tcMar>
          </w:tcPr>
          <w:p>
            <w:pPr>
              <w:spacing w:before="160"/>
              <w:ind w:left="1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p>
        </w:tc>
      </w:tr>
      <w:tr>
        <w:trPr>
          <w:trHeight w:val="480" w:hRule="exact"/>
        </w:trPr>
        <w:tc>
          <w:tcPr>
            <w:tcW w:w="82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16</w:t>
            </w:r>
          </w:p>
        </w:tc>
        <w:tc>
          <w:tcPr>
            <w:tcW w:w="3440" w:type="dxa"/>
            <w:tcMar>
              <w:top w:w="0" w:type="dxa"/>
              <w:left w:w="0" w:type="dxa"/>
              <w:bottom w:w="0" w:type="dxa"/>
              <w:right w:w="0" w:type="dxa"/>
            </w:tcMar>
          </w:tcPr>
          <w:p>
            <w:pPr>
              <w:spacing w:before="120"/>
              <w:ind w:left="1380"/>
            </w:pPr>
            <w:r>
              <w:rPr>
                <w:rFonts w:hint="eastAsia" w:ascii="宋体" w:hAnsi="宋体" w:eastAsia="宋体" w:cs="宋体"/>
                <w:sz w:val="21"/>
              </w:rPr>
              <w:t>涂海江</w:t>
            </w:r>
          </w:p>
        </w:tc>
        <w:tc>
          <w:tcPr>
            <w:tcW w:w="2120" w:type="dxa"/>
            <w:tcMar>
              <w:top w:w="0" w:type="dxa"/>
              <w:left w:w="0" w:type="dxa"/>
              <w:bottom w:w="0" w:type="dxa"/>
              <w:right w:w="0" w:type="dxa"/>
            </w:tcMar>
          </w:tcPr>
          <w:p>
            <w:pPr>
              <w:spacing w:before="180"/>
              <w:ind w:left="15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c>
          <w:tcPr>
            <w:tcW w:w="2140" w:type="dxa"/>
            <w:tcMar>
              <w:top w:w="0" w:type="dxa"/>
              <w:left w:w="0" w:type="dxa"/>
              <w:bottom w:w="0" w:type="dxa"/>
              <w:right w:w="0" w:type="dxa"/>
            </w:tcMar>
          </w:tcPr>
          <w:p>
            <w:pPr>
              <w:spacing w:before="180"/>
              <w:ind w:left="1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60" w:hRule="exact"/>
        </w:trPr>
        <w:tc>
          <w:tcPr>
            <w:tcW w:w="4260" w:type="dxa"/>
            <w:gridSpan w:val="2"/>
            <w:tcMar>
              <w:top w:w="0" w:type="dxa"/>
              <w:left w:w="0" w:type="dxa"/>
              <w:bottom w:w="0" w:type="dxa"/>
              <w:right w:w="0" w:type="dxa"/>
            </w:tcMar>
          </w:tcPr>
          <w:p>
            <w:pPr>
              <w:spacing w:before="100"/>
              <w:ind w:left="1900"/>
            </w:pPr>
            <w:r>
              <w:rPr>
                <w:rFonts w:hint="eastAsia" w:ascii="宋体" w:hAnsi="宋体" w:eastAsia="宋体" w:cs="宋体"/>
                <w:b/>
                <w:sz w:val="21"/>
              </w:rPr>
              <w:t>合计</w:t>
            </w:r>
          </w:p>
        </w:tc>
        <w:tc>
          <w:tcPr>
            <w:tcW w:w="2120" w:type="dxa"/>
            <w:tcMar>
              <w:top w:w="0" w:type="dxa"/>
              <w:left w:w="0" w:type="dxa"/>
              <w:bottom w:w="0" w:type="dxa"/>
              <w:right w:w="0" w:type="dxa"/>
            </w:tcMar>
          </w:tcPr>
          <w:p>
            <w:pPr>
              <w:spacing w:before="140"/>
              <w:ind w:left="1540"/>
            </w:pPr>
            <w:r>
              <w:rPr>
                <w:rFonts w:hint="eastAsia" w:ascii="Times New Roman Bold" w:hAnsi="Times New Roman Bold" w:eastAsia="Times New Roman Bold" w:cs="Times New Roman Bold"/>
                <w:b/>
                <w:sz w:val="21"/>
              </w:rPr>
              <w:t>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p>
        </w:tc>
        <w:tc>
          <w:tcPr>
            <w:tcW w:w="2140" w:type="dxa"/>
            <w:tcMar>
              <w:top w:w="0" w:type="dxa"/>
              <w:left w:w="0" w:type="dxa"/>
              <w:bottom w:w="0" w:type="dxa"/>
              <w:right w:w="0" w:type="dxa"/>
            </w:tcMar>
          </w:tcPr>
          <w:p>
            <w:pPr>
              <w:spacing w:before="140"/>
              <w:ind w:left="15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1-1-79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③爱派克的主营业务及其与发行人主营业务的关系</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爱派克为持股主体</w:t>
      </w:r>
      <w:r>
        <w:rPr>
          <w:rFonts w:hint="eastAsia" w:ascii="宋体" w:hAnsi="宋体" w:eastAsia="宋体" w:cs="宋体"/>
          <w:sz w:val="10"/>
        </w:rPr>
        <w:t>，</w:t>
      </w:r>
      <w:r>
        <w:rPr>
          <w:rFonts w:hint="eastAsia" w:ascii="宋体" w:hAnsi="宋体" w:eastAsia="宋体" w:cs="宋体"/>
          <w:sz w:val="24"/>
        </w:rPr>
        <w:t>无具体的业务经营</w:t>
      </w:r>
      <w:r>
        <w:rPr>
          <w:rFonts w:hint="eastAsia" w:ascii="宋体" w:hAnsi="宋体" w:eastAsia="宋体" w:cs="宋体"/>
          <w:sz w:val="10"/>
        </w:rPr>
        <w:t>，</w:t>
      </w:r>
      <w:r>
        <w:rPr>
          <w:rFonts w:hint="eastAsia" w:ascii="宋体" w:hAnsi="宋体" w:eastAsia="宋体" w:cs="宋体"/>
          <w:sz w:val="24"/>
        </w:rPr>
        <w:t>与发行人主营业务无关</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④爱派克最近一年及一期的简要财务数据</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年</w:t>
      </w:r>
      <w:r>
        <w:rPr>
          <w:rFonts w:hint="eastAsia" w:ascii="Times New Roman" w:hAnsi="Times New Roman" w:eastAsia="Times New Roman" w:cs="Times New Roman"/>
          <w:sz w:val="24"/>
        </w:rPr>
        <w:t xml:space="preserve"> 12</w:t>
      </w:r>
      <w:r>
        <w:rPr>
          <w:rFonts w:hint="eastAsia" w:ascii="宋体" w:hAnsi="宋体" w:eastAsia="宋体" w:cs="宋体"/>
          <w:sz w:val="24"/>
        </w:rPr>
        <w:t>月</w:t>
      </w:r>
      <w:r>
        <w:rPr>
          <w:rFonts w:hint="eastAsia" w:ascii="Times New Roman" w:hAnsi="Times New Roman" w:eastAsia="Times New Roman" w:cs="Times New Roman"/>
          <w:sz w:val="24"/>
        </w:rPr>
        <w:t xml:space="preserve"> 31</w:t>
      </w:r>
      <w:r>
        <w:rPr>
          <w:rFonts w:hint="eastAsia" w:ascii="宋体" w:hAnsi="宋体" w:eastAsia="宋体" w:cs="宋体"/>
          <w:sz w:val="24"/>
        </w:rPr>
        <w:t>日</w:t>
      </w:r>
      <w:r>
        <w:rPr>
          <w:rFonts w:hint="eastAsia" w:ascii="宋体" w:hAnsi="宋体" w:eastAsia="宋体" w:cs="宋体"/>
          <w:sz w:val="10"/>
        </w:rPr>
        <w:t>，</w:t>
      </w:r>
      <w:r>
        <w:rPr>
          <w:rFonts w:hint="eastAsia" w:ascii="宋体" w:hAnsi="宋体" w:eastAsia="宋体" w:cs="宋体"/>
          <w:sz w:val="24"/>
        </w:rPr>
        <w:t>爱派克的总资产为</w:t>
      </w:r>
      <w:r>
        <w:rPr>
          <w:rFonts w:hint="eastAsia" w:ascii="Times New Roman" w:hAnsi="Times New Roman" w:eastAsia="Times New Roman" w:cs="Times New Roman"/>
          <w:sz w:val="24"/>
        </w:rPr>
        <w:t xml:space="preserve"> 1,230.71</w:t>
      </w:r>
      <w:r>
        <w:rPr>
          <w:rFonts w:hint="eastAsia" w:ascii="宋体" w:hAnsi="宋体" w:eastAsia="宋体" w:cs="宋体"/>
          <w:sz w:val="24"/>
        </w:rPr>
        <w:t>万元</w:t>
      </w:r>
      <w:r>
        <w:rPr>
          <w:rFonts w:hint="eastAsia" w:ascii="宋体" w:hAnsi="宋体" w:eastAsia="宋体" w:cs="宋体"/>
          <w:sz w:val="10"/>
        </w:rPr>
        <w:t>，</w:t>
      </w:r>
      <w:r>
        <w:rPr>
          <w:rFonts w:hint="eastAsia" w:ascii="宋体" w:hAnsi="宋体" w:eastAsia="宋体" w:cs="宋体"/>
          <w:sz w:val="24"/>
        </w:rPr>
        <w:t>净资产为</w:t>
      </w:r>
      <w:r>
        <w:rPr>
          <w:rFonts w:hint="eastAsia" w:ascii="Times New Roman" w:hAnsi="Times New Roman" w:eastAsia="Times New Roman" w:cs="Times New Roman"/>
          <w:sz w:val="24"/>
        </w:rPr>
        <w:t xml:space="preserve"> 1,230.52</w:t>
      </w:r>
      <w:r>
        <w:rPr>
          <w:rFonts w:hint="eastAsia" w:ascii="宋体" w:hAnsi="宋体" w:eastAsia="宋体" w:cs="宋体"/>
          <w:sz w:val="24"/>
        </w:rPr>
        <w:t>万元</w:t>
      </w:r>
      <w:r>
        <w:rPr>
          <w:rFonts w:hint="eastAsia" w:ascii="宋体" w:hAnsi="宋体" w:eastAsia="宋体" w:cs="宋体"/>
          <w:sz w:val="14"/>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年度实现净利润为</w:t>
      </w:r>
      <w:r>
        <w:rPr>
          <w:rFonts w:hint="eastAsia" w:ascii="Times New Roman" w:hAnsi="Times New Roman" w:eastAsia="Times New Roman" w:cs="Times New Roman"/>
          <w:sz w:val="24"/>
        </w:rPr>
        <w:t xml:space="preserve"> 39.18</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以上财务数据未经审计）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爱派克及金石投资均不存在以非公开方式向合格投资者募集资金设立的情形</w:t>
      </w:r>
      <w:r>
        <w:rPr>
          <w:rFonts w:hint="eastAsia" w:ascii="宋体" w:hAnsi="宋体" w:eastAsia="宋体" w:cs="宋体"/>
          <w:sz w:val="10"/>
        </w:rPr>
        <w:t>，</w:t>
      </w:r>
      <w:r>
        <w:rPr>
          <w:rFonts w:hint="eastAsia" w:ascii="宋体" w:hAnsi="宋体" w:eastAsia="宋体" w:cs="宋体"/>
          <w:sz w:val="24"/>
        </w:rPr>
        <w:t>不属于《私募投资基金监督管理暂行办法》和《私募投资基金管理人登记和基金备案办法（试行）》所定义的私募投资基金</w:t>
      </w:r>
      <w:r>
        <w:rPr>
          <w:rFonts w:hint="eastAsia" w:ascii="宋体" w:hAnsi="宋体" w:eastAsia="宋体" w:cs="宋体"/>
          <w:sz w:val="10"/>
        </w:rPr>
        <w:t>，</w:t>
      </w:r>
      <w:r>
        <w:rPr>
          <w:rFonts w:hint="eastAsia" w:ascii="宋体" w:hAnsi="宋体" w:eastAsia="宋体" w:cs="宋体"/>
          <w:sz w:val="24"/>
        </w:rPr>
        <w:t>无需按照该等法律法规履行基金备案程序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持股</w:t>
      </w:r>
      <w:r>
        <w:rPr>
          <w:rFonts w:hint="eastAsia" w:ascii="Times New Roman Bold" w:hAnsi="Times New Roman Bold" w:eastAsia="Times New Roman Bold" w:cs="Times New Roman Bold"/>
          <w:b/>
          <w:sz w:val="24"/>
        </w:rPr>
        <w:t xml:space="preserve"> 5%</w:t>
      </w:r>
      <w:r>
        <w:rPr>
          <w:rFonts w:hint="eastAsia" w:ascii="宋体" w:hAnsi="宋体" w:eastAsia="宋体" w:cs="宋体"/>
          <w:b/>
          <w:sz w:val="24"/>
        </w:rPr>
        <w:t>以上自然人股东</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本公司除控股股东</w:t>
      </w:r>
      <w:r>
        <w:rPr>
          <w:rFonts w:hint="eastAsia" w:ascii="宋体" w:hAnsi="宋体" w:eastAsia="宋体" w:cs="宋体"/>
          <w:sz w:val="10"/>
        </w:rPr>
        <w:t>、</w:t>
      </w:r>
      <w:r>
        <w:rPr>
          <w:rFonts w:hint="eastAsia" w:ascii="宋体" w:hAnsi="宋体" w:eastAsia="宋体" w:cs="宋体"/>
          <w:sz w:val="24"/>
        </w:rPr>
        <w:t>实际控制人严孟宇持有本公司</w:t>
      </w:r>
      <w:r>
        <w:rPr>
          <w:rFonts w:hint="eastAsia" w:ascii="Times New Roman" w:hAnsi="Times New Roman" w:eastAsia="Times New Roman" w:cs="Times New Roman"/>
          <w:sz w:val="24"/>
        </w:rPr>
        <w:t xml:space="preserve"> 28.57%</w:t>
      </w:r>
      <w:r>
        <w:rPr>
          <w:rFonts w:hint="eastAsia" w:ascii="宋体" w:hAnsi="宋体" w:eastAsia="宋体" w:cs="宋体"/>
          <w:sz w:val="24"/>
        </w:rPr>
        <w:t>股权外</w:t>
      </w:r>
      <w:r>
        <w:rPr>
          <w:rFonts w:hint="eastAsia" w:ascii="宋体" w:hAnsi="宋体" w:eastAsia="宋体" w:cs="宋体"/>
          <w:sz w:val="10"/>
        </w:rPr>
        <w:t>，</w:t>
      </w:r>
      <w:r>
        <w:rPr>
          <w:rFonts w:hint="eastAsia" w:ascii="宋体" w:hAnsi="宋体" w:eastAsia="宋体" w:cs="宋体"/>
          <w:sz w:val="24"/>
        </w:rPr>
        <w:t>自然人股东赵伟直接持有公司股份</w:t>
      </w:r>
      <w:r>
        <w:rPr>
          <w:rFonts w:hint="eastAsia" w:ascii="Times New Roman" w:hAnsi="Times New Roman" w:eastAsia="Times New Roman" w:cs="Times New Roman"/>
          <w:sz w:val="24"/>
        </w:rPr>
        <w:t xml:space="preserve"> 9.79%</w:t>
      </w:r>
      <w:r>
        <w:rPr>
          <w:rFonts w:hint="eastAsia" w:ascii="宋体" w:hAnsi="宋体" w:eastAsia="宋体" w:cs="宋体"/>
          <w:sz w:val="10"/>
        </w:rPr>
        <w:t>，</w:t>
      </w:r>
      <w:r>
        <w:rPr>
          <w:rFonts w:hint="eastAsia" w:ascii="宋体" w:hAnsi="宋体" w:eastAsia="宋体" w:cs="宋体"/>
          <w:sz w:val="24"/>
        </w:rPr>
        <w:t>通过爱派克间接持有公司股份</w:t>
      </w:r>
      <w:r>
        <w:rPr>
          <w:rFonts w:hint="eastAsia" w:ascii="Times New Roman" w:hAnsi="Times New Roman" w:eastAsia="Times New Roman" w:cs="Times New Roman"/>
          <w:sz w:val="24"/>
        </w:rPr>
        <w:t xml:space="preserve"> 0.40%</w:t>
      </w:r>
      <w:r>
        <w:rPr>
          <w:rFonts w:hint="eastAsia" w:ascii="宋体" w:hAnsi="宋体" w:eastAsia="宋体" w:cs="宋体"/>
          <w:sz w:val="10"/>
        </w:rPr>
        <w:t>，</w:t>
      </w:r>
      <w:r>
        <w:rPr>
          <w:rFonts w:hint="eastAsia" w:ascii="宋体" w:hAnsi="宋体" w:eastAsia="宋体" w:cs="宋体"/>
          <w:sz w:val="24"/>
        </w:rPr>
        <w:t>合计持有公司股份</w:t>
      </w:r>
      <w:r>
        <w:rPr>
          <w:rFonts w:hint="eastAsia" w:ascii="Times New Roman" w:hAnsi="Times New Roman" w:eastAsia="Times New Roman" w:cs="Times New Roman"/>
          <w:sz w:val="24"/>
        </w:rPr>
        <w:t xml:space="preserve"> 10.19%</w:t>
      </w:r>
      <w:r>
        <w:rPr>
          <w:rFonts w:hint="eastAsia" w:ascii="宋体" w:hAnsi="宋体" w:eastAsia="宋体" w:cs="宋体"/>
          <w:sz w:val="12"/>
        </w:rPr>
        <w:t>；</w:t>
      </w:r>
      <w:r>
        <w:rPr>
          <w:rFonts w:hint="eastAsia" w:ascii="宋体" w:hAnsi="宋体" w:eastAsia="宋体" w:cs="宋体"/>
          <w:sz w:val="24"/>
        </w:rPr>
        <w:t>林永正通过爱派克间接持有公司股份</w:t>
      </w:r>
      <w:r>
        <w:rPr>
          <w:rFonts w:hint="eastAsia" w:ascii="Times New Roman" w:hAnsi="Times New Roman" w:eastAsia="Times New Roman" w:cs="Times New Roman"/>
          <w:sz w:val="24"/>
        </w:rPr>
        <w:t xml:space="preserve"> 10.14%</w:t>
      </w:r>
      <w:r>
        <w:rPr>
          <w:rFonts w:hint="eastAsia" w:ascii="宋体" w:hAnsi="宋体" w:eastAsia="宋体" w:cs="宋体"/>
          <w:sz w:val="12"/>
        </w:rPr>
        <w:t>；</w:t>
      </w:r>
      <w:r>
        <w:rPr>
          <w:rFonts w:hint="eastAsia" w:ascii="宋体" w:hAnsi="宋体" w:eastAsia="宋体" w:cs="宋体"/>
          <w:sz w:val="24"/>
        </w:rPr>
        <w:t>雷世潘直接持有公司股份</w:t>
      </w:r>
      <w:r>
        <w:rPr>
          <w:rFonts w:hint="eastAsia" w:ascii="Times New Roman" w:hAnsi="Times New Roman" w:eastAsia="Times New Roman" w:cs="Times New Roman"/>
          <w:sz w:val="24"/>
        </w:rPr>
        <w:t xml:space="preserve"> 4.40%</w:t>
      </w:r>
      <w:r>
        <w:rPr>
          <w:rFonts w:hint="eastAsia" w:ascii="宋体" w:hAnsi="宋体" w:eastAsia="宋体" w:cs="宋体"/>
          <w:sz w:val="10"/>
        </w:rPr>
        <w:t>，</w:t>
      </w:r>
      <w:r>
        <w:rPr>
          <w:rFonts w:hint="eastAsia" w:ascii="宋体" w:hAnsi="宋体" w:eastAsia="宋体" w:cs="宋体"/>
          <w:sz w:val="24"/>
        </w:rPr>
        <w:t>通过爱派克间接持有公司股份</w:t>
      </w:r>
      <w:r>
        <w:rPr>
          <w:rFonts w:hint="eastAsia" w:ascii="Times New Roman" w:hAnsi="Times New Roman" w:eastAsia="Times New Roman" w:cs="Times New Roman"/>
          <w:sz w:val="24"/>
        </w:rPr>
        <w:t xml:space="preserve"> 0.77%</w:t>
      </w:r>
      <w:r>
        <w:rPr>
          <w:rFonts w:hint="eastAsia" w:ascii="宋体" w:hAnsi="宋体" w:eastAsia="宋体" w:cs="宋体"/>
          <w:sz w:val="10"/>
        </w:rPr>
        <w:t>，</w:t>
      </w:r>
      <w:r>
        <w:rPr>
          <w:rFonts w:hint="eastAsia" w:ascii="宋体" w:hAnsi="宋体" w:eastAsia="宋体" w:cs="宋体"/>
          <w:sz w:val="24"/>
        </w:rPr>
        <w:t>合计持有公司股份</w:t>
      </w:r>
      <w:r>
        <w:rPr>
          <w:rFonts w:hint="eastAsia" w:ascii="Times New Roman" w:hAnsi="Times New Roman" w:eastAsia="Times New Roman" w:cs="Times New Roman"/>
          <w:sz w:val="24"/>
        </w:rPr>
        <w:t>5.17%</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上述股东基本情况如下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680"/>
        <w:gridCol w:w="1120"/>
        <w:gridCol w:w="1420"/>
        <w:gridCol w:w="3400"/>
        <w:gridCol w:w="1900"/>
      </w:tblGrid>
      <w:tr>
        <w:trPr>
          <w:trHeight w:val="640" w:hRule="exact"/>
        </w:trPr>
        <w:tc>
          <w:tcPr>
            <w:tcW w:w="680" w:type="dxa"/>
            <w:tcMar>
              <w:top w:w="0" w:type="dxa"/>
              <w:left w:w="0" w:type="dxa"/>
              <w:bottom w:w="0" w:type="dxa"/>
              <w:right w:w="0" w:type="dxa"/>
            </w:tcMar>
          </w:tcPr>
          <w:p>
            <w:pPr>
              <w:spacing w:before="200"/>
              <w:ind w:left="100"/>
            </w:pPr>
            <w:r>
              <w:rPr>
                <w:rFonts w:hint="eastAsia" w:ascii="宋体" w:hAnsi="宋体" w:eastAsia="宋体" w:cs="宋体"/>
                <w:b/>
                <w:sz w:val="21"/>
              </w:rPr>
              <w:t>序号</w:t>
            </w:r>
          </w:p>
        </w:tc>
        <w:tc>
          <w:tcPr>
            <w:tcW w:w="1120" w:type="dxa"/>
            <w:tcMar>
              <w:top w:w="0" w:type="dxa"/>
              <w:left w:w="0" w:type="dxa"/>
              <w:bottom w:w="0" w:type="dxa"/>
              <w:right w:w="0" w:type="dxa"/>
            </w:tcMar>
          </w:tcPr>
          <w:p>
            <w:pPr>
              <w:spacing w:before="200"/>
              <w:ind w:left="120"/>
            </w:pPr>
            <w:r>
              <w:rPr>
                <w:rFonts w:hint="eastAsia" w:ascii="宋体" w:hAnsi="宋体" w:eastAsia="宋体" w:cs="宋体"/>
                <w:b/>
                <w:sz w:val="21"/>
              </w:rPr>
              <w:t>股东名称</w:t>
            </w:r>
          </w:p>
        </w:tc>
        <w:tc>
          <w:tcPr>
            <w:tcW w:w="1420" w:type="dxa"/>
            <w:tcMar>
              <w:top w:w="0" w:type="dxa"/>
              <w:left w:w="0" w:type="dxa"/>
              <w:bottom w:w="0" w:type="dxa"/>
              <w:right w:w="0" w:type="dxa"/>
            </w:tcMar>
          </w:tcPr>
          <w:p>
            <w:pPr>
              <w:spacing w:before="200"/>
              <w:ind w:left="500"/>
            </w:pPr>
            <w:r>
              <w:rPr>
                <w:rFonts w:hint="eastAsia" w:ascii="宋体" w:hAnsi="宋体" w:eastAsia="宋体" w:cs="宋体"/>
                <w:b/>
                <w:sz w:val="21"/>
              </w:rPr>
              <w:t>国籍</w:t>
            </w:r>
          </w:p>
        </w:tc>
        <w:tc>
          <w:tcPr>
            <w:tcW w:w="3400" w:type="dxa"/>
            <w:tcMar>
              <w:top w:w="0" w:type="dxa"/>
              <w:left w:w="0" w:type="dxa"/>
              <w:bottom w:w="0" w:type="dxa"/>
              <w:right w:w="0" w:type="dxa"/>
            </w:tcMar>
          </w:tcPr>
          <w:p>
            <w:pPr>
              <w:spacing w:before="200"/>
              <w:ind w:left="1160"/>
            </w:pPr>
            <w:r>
              <w:rPr>
                <w:rFonts w:hint="eastAsia" w:ascii="宋体" w:hAnsi="宋体" w:eastAsia="宋体" w:cs="宋体"/>
                <w:b/>
                <w:sz w:val="21"/>
              </w:rPr>
              <w:t>身份证号码</w:t>
            </w:r>
          </w:p>
        </w:tc>
        <w:tc>
          <w:tcPr>
            <w:tcW w:w="1900" w:type="dxa"/>
            <w:tcMar>
              <w:top w:w="0" w:type="dxa"/>
              <w:left w:w="0" w:type="dxa"/>
              <w:bottom w:w="0" w:type="dxa"/>
              <w:right w:w="0" w:type="dxa"/>
            </w:tcMar>
          </w:tcPr>
          <w:p>
            <w:pPr>
              <w:spacing w:before="20"/>
              <w:ind w:left="200"/>
            </w:pPr>
            <w:r>
              <w:rPr>
                <w:rFonts w:hint="eastAsia" w:ascii="宋体" w:hAnsi="宋体" w:eastAsia="宋体" w:cs="宋体"/>
                <w:b/>
                <w:sz w:val="21"/>
              </w:rPr>
              <w:t>是否拥有永久境</w:t>
            </w:r>
          </w:p>
          <w:p>
            <w:pPr>
              <w:spacing w:before="120"/>
              <w:ind w:left="520"/>
            </w:pPr>
            <w:r>
              <w:rPr>
                <w:rFonts w:hint="eastAsia" w:ascii="宋体" w:hAnsi="宋体" w:eastAsia="宋体" w:cs="宋体"/>
                <w:b/>
                <w:sz w:val="21"/>
              </w:rPr>
              <w:t>外居留权</w:t>
            </w:r>
          </w:p>
        </w:tc>
      </w:tr>
      <w:tr>
        <w:trPr>
          <w:trHeight w:val="46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1</w:t>
            </w:r>
          </w:p>
        </w:tc>
        <w:tc>
          <w:tcPr>
            <w:tcW w:w="1120" w:type="dxa"/>
            <w:tcMar>
              <w:top w:w="0" w:type="dxa"/>
              <w:left w:w="0" w:type="dxa"/>
              <w:bottom w:w="0" w:type="dxa"/>
              <w:right w:w="0" w:type="dxa"/>
            </w:tcMar>
          </w:tcPr>
          <w:p>
            <w:pPr>
              <w:spacing w:before="100"/>
              <w:ind w:left="220"/>
            </w:pPr>
            <w:r>
              <w:rPr>
                <w:rFonts w:hint="eastAsia" w:ascii="宋体" w:hAnsi="宋体" w:eastAsia="宋体" w:cs="宋体"/>
                <w:sz w:val="21"/>
              </w:rPr>
              <w:t>严孟宇</w:t>
            </w:r>
          </w:p>
        </w:tc>
        <w:tc>
          <w:tcPr>
            <w:tcW w:w="1420" w:type="dxa"/>
            <w:tcMar>
              <w:top w:w="0" w:type="dxa"/>
              <w:left w:w="0" w:type="dxa"/>
              <w:bottom w:w="0" w:type="dxa"/>
              <w:right w:w="0" w:type="dxa"/>
            </w:tcMar>
          </w:tcPr>
          <w:p>
            <w:pPr>
              <w:spacing w:before="100"/>
              <w:ind w:left="500"/>
            </w:pPr>
            <w:r>
              <w:rPr>
                <w:rFonts w:hint="eastAsia" w:ascii="宋体" w:hAnsi="宋体" w:eastAsia="宋体" w:cs="宋体"/>
                <w:sz w:val="21"/>
              </w:rPr>
              <w:t>中国</w:t>
            </w:r>
          </w:p>
        </w:tc>
        <w:tc>
          <w:tcPr>
            <w:tcW w:w="340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11010819690307****</w:t>
            </w:r>
          </w:p>
        </w:tc>
        <w:tc>
          <w:tcPr>
            <w:tcW w:w="1900" w:type="dxa"/>
            <w:tcMar>
              <w:top w:w="0" w:type="dxa"/>
              <w:left w:w="0" w:type="dxa"/>
              <w:bottom w:w="0" w:type="dxa"/>
              <w:right w:w="0" w:type="dxa"/>
            </w:tcMar>
          </w:tcPr>
          <w:p>
            <w:pPr>
              <w:spacing w:before="120"/>
              <w:ind w:left="840"/>
            </w:pPr>
            <w:r>
              <w:rPr>
                <w:rFonts w:hint="eastAsia" w:ascii="宋体" w:hAnsi="宋体" w:eastAsia="宋体" w:cs="宋体"/>
                <w:sz w:val="21"/>
              </w:rPr>
              <w:t>否</w:t>
            </w:r>
          </w:p>
        </w:tc>
      </w:tr>
      <w:tr>
        <w:trPr>
          <w:trHeight w:val="48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2</w:t>
            </w:r>
          </w:p>
        </w:tc>
        <w:tc>
          <w:tcPr>
            <w:tcW w:w="1120" w:type="dxa"/>
            <w:tcMar>
              <w:top w:w="0" w:type="dxa"/>
              <w:left w:w="0" w:type="dxa"/>
              <w:bottom w:w="0" w:type="dxa"/>
              <w:right w:w="0" w:type="dxa"/>
            </w:tcMar>
          </w:tcPr>
          <w:p>
            <w:pPr>
              <w:spacing w:before="120"/>
              <w:ind w:left="340"/>
            </w:pPr>
            <w:r>
              <w:rPr>
                <w:rFonts w:hint="eastAsia" w:ascii="宋体" w:hAnsi="宋体" w:eastAsia="宋体" w:cs="宋体"/>
                <w:sz w:val="21"/>
              </w:rPr>
              <w:t>赵伟</w:t>
            </w:r>
          </w:p>
        </w:tc>
        <w:tc>
          <w:tcPr>
            <w:tcW w:w="1420" w:type="dxa"/>
            <w:tcMar>
              <w:top w:w="0" w:type="dxa"/>
              <w:left w:w="0" w:type="dxa"/>
              <w:bottom w:w="0" w:type="dxa"/>
              <w:right w:w="0" w:type="dxa"/>
            </w:tcMar>
          </w:tcPr>
          <w:p>
            <w:pPr>
              <w:spacing w:before="120"/>
              <w:ind w:left="500"/>
            </w:pPr>
            <w:r>
              <w:rPr>
                <w:rFonts w:hint="eastAsia" w:ascii="宋体" w:hAnsi="宋体" w:eastAsia="宋体" w:cs="宋体"/>
                <w:sz w:val="21"/>
              </w:rPr>
              <w:t>中国</w:t>
            </w:r>
          </w:p>
        </w:tc>
        <w:tc>
          <w:tcPr>
            <w:tcW w:w="340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52212119720120****</w:t>
            </w:r>
          </w:p>
        </w:tc>
        <w:tc>
          <w:tcPr>
            <w:tcW w:w="1900" w:type="dxa"/>
            <w:tcMar>
              <w:top w:w="0" w:type="dxa"/>
              <w:left w:w="0" w:type="dxa"/>
              <w:bottom w:w="0" w:type="dxa"/>
              <w:right w:w="0" w:type="dxa"/>
            </w:tcMar>
          </w:tcPr>
          <w:p>
            <w:pPr>
              <w:spacing w:before="120"/>
              <w:ind w:left="840"/>
            </w:pPr>
            <w:r>
              <w:rPr>
                <w:rFonts w:hint="eastAsia" w:ascii="宋体" w:hAnsi="宋体" w:eastAsia="宋体" w:cs="宋体"/>
                <w:sz w:val="21"/>
              </w:rPr>
              <w:t>否</w:t>
            </w:r>
          </w:p>
        </w:tc>
      </w:tr>
      <w:tr>
        <w:trPr>
          <w:trHeight w:val="48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3</w:t>
            </w:r>
          </w:p>
        </w:tc>
        <w:tc>
          <w:tcPr>
            <w:tcW w:w="1120" w:type="dxa"/>
            <w:tcMar>
              <w:top w:w="0" w:type="dxa"/>
              <w:left w:w="0" w:type="dxa"/>
              <w:bottom w:w="0" w:type="dxa"/>
              <w:right w:w="0" w:type="dxa"/>
            </w:tcMar>
          </w:tcPr>
          <w:p>
            <w:pPr>
              <w:spacing w:before="100"/>
              <w:ind w:left="220"/>
            </w:pPr>
            <w:r>
              <w:rPr>
                <w:rFonts w:hint="eastAsia" w:ascii="宋体" w:hAnsi="宋体" w:eastAsia="宋体" w:cs="宋体"/>
                <w:sz w:val="21"/>
              </w:rPr>
              <w:t>林永正</w:t>
            </w:r>
          </w:p>
        </w:tc>
        <w:tc>
          <w:tcPr>
            <w:tcW w:w="1420" w:type="dxa"/>
            <w:tcMar>
              <w:top w:w="0" w:type="dxa"/>
              <w:left w:w="0" w:type="dxa"/>
              <w:bottom w:w="0" w:type="dxa"/>
              <w:right w:w="0" w:type="dxa"/>
            </w:tcMar>
          </w:tcPr>
          <w:p>
            <w:pPr>
              <w:spacing w:before="120"/>
              <w:ind w:left="500"/>
            </w:pPr>
            <w:r>
              <w:rPr>
                <w:rFonts w:hint="eastAsia" w:ascii="宋体" w:hAnsi="宋体" w:eastAsia="宋体" w:cs="宋体"/>
                <w:sz w:val="21"/>
              </w:rPr>
              <w:t>中国</w:t>
            </w:r>
          </w:p>
        </w:tc>
        <w:tc>
          <w:tcPr>
            <w:tcW w:w="340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35010219390701****</w:t>
            </w:r>
          </w:p>
        </w:tc>
        <w:tc>
          <w:tcPr>
            <w:tcW w:w="1900" w:type="dxa"/>
            <w:tcMar>
              <w:top w:w="0" w:type="dxa"/>
              <w:left w:w="0" w:type="dxa"/>
              <w:bottom w:w="0" w:type="dxa"/>
              <w:right w:w="0" w:type="dxa"/>
            </w:tcMar>
          </w:tcPr>
          <w:p>
            <w:pPr>
              <w:spacing w:before="120"/>
              <w:ind w:left="840"/>
            </w:pPr>
            <w:r>
              <w:rPr>
                <w:rFonts w:hint="eastAsia" w:ascii="宋体" w:hAnsi="宋体" w:eastAsia="宋体" w:cs="宋体"/>
                <w:sz w:val="21"/>
              </w:rPr>
              <w:t>否</w:t>
            </w:r>
          </w:p>
        </w:tc>
      </w:tr>
      <w:tr>
        <w:trPr>
          <w:trHeight w:val="46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4</w:t>
            </w:r>
          </w:p>
        </w:tc>
        <w:tc>
          <w:tcPr>
            <w:tcW w:w="1120" w:type="dxa"/>
            <w:tcMar>
              <w:top w:w="0" w:type="dxa"/>
              <w:left w:w="0" w:type="dxa"/>
              <w:bottom w:w="0" w:type="dxa"/>
              <w:right w:w="0" w:type="dxa"/>
            </w:tcMar>
          </w:tcPr>
          <w:p>
            <w:pPr>
              <w:spacing w:before="120"/>
              <w:ind w:left="220"/>
            </w:pPr>
            <w:r>
              <w:rPr>
                <w:rFonts w:hint="eastAsia" w:ascii="宋体" w:hAnsi="宋体" w:eastAsia="宋体" w:cs="宋体"/>
                <w:sz w:val="21"/>
              </w:rPr>
              <w:t>雷世潘</w:t>
            </w:r>
          </w:p>
        </w:tc>
        <w:tc>
          <w:tcPr>
            <w:tcW w:w="1420" w:type="dxa"/>
            <w:tcMar>
              <w:top w:w="0" w:type="dxa"/>
              <w:left w:w="0" w:type="dxa"/>
              <w:bottom w:w="0" w:type="dxa"/>
              <w:right w:w="0" w:type="dxa"/>
            </w:tcMar>
          </w:tcPr>
          <w:p>
            <w:pPr>
              <w:spacing w:before="120"/>
              <w:ind w:left="500"/>
            </w:pPr>
            <w:r>
              <w:rPr>
                <w:rFonts w:hint="eastAsia" w:ascii="宋体" w:hAnsi="宋体" w:eastAsia="宋体" w:cs="宋体"/>
                <w:sz w:val="21"/>
              </w:rPr>
              <w:t>中国</w:t>
            </w:r>
          </w:p>
        </w:tc>
        <w:tc>
          <w:tcPr>
            <w:tcW w:w="340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1"/>
              </w:rPr>
              <w:t>42011119690702****</w:t>
            </w:r>
          </w:p>
        </w:tc>
        <w:tc>
          <w:tcPr>
            <w:tcW w:w="1900" w:type="dxa"/>
            <w:tcMar>
              <w:top w:w="0" w:type="dxa"/>
              <w:left w:w="0" w:type="dxa"/>
              <w:bottom w:w="0" w:type="dxa"/>
              <w:right w:w="0" w:type="dxa"/>
            </w:tcMar>
          </w:tcPr>
          <w:p>
            <w:pPr>
              <w:spacing w:before="120"/>
              <w:ind w:left="840"/>
            </w:pPr>
            <w:r>
              <w:rPr>
                <w:rFonts w:hint="eastAsia" w:ascii="宋体" w:hAnsi="宋体" w:eastAsia="宋体" w:cs="宋体"/>
                <w:sz w:val="21"/>
              </w:rPr>
              <w:t>否</w:t>
            </w:r>
          </w:p>
        </w:tc>
      </w:tr>
    </w:tbl>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ºÚÌå" w:hAnsi="ºÚÌå" w:eastAsia="ºÚÌå" w:cs="ºÚÌå"/>
          <w:sz w:val="30"/>
        </w:rPr>
        <w:t>八</w:t>
      </w:r>
      <w:r>
        <w:rPr>
          <w:rFonts w:hint="eastAsia" w:ascii="ºÚÌå" w:hAnsi="ºÚÌå" w:eastAsia="ºÚÌå" w:cs="ºÚÌå"/>
          <w:sz w:val="10"/>
        </w:rPr>
        <w:t>、</w:t>
      </w:r>
      <w:r>
        <w:rPr>
          <w:rFonts w:hint="eastAsia" w:ascii="ºÚÌå" w:hAnsi="ºÚÌå" w:eastAsia="ºÚÌå" w:cs="ºÚÌå"/>
          <w:sz w:val="30"/>
        </w:rPr>
        <w:t>公司股本情况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本次发行前后的股本变化情况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6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本公司总股本为</w:t>
      </w:r>
      <w:r>
        <w:rPr>
          <w:rFonts w:hint="eastAsia" w:ascii="Times New Roman" w:hAnsi="Times New Roman" w:eastAsia="Times New Roman" w:cs="Times New Roman"/>
          <w:sz w:val="24"/>
        </w:rPr>
        <w:t xml:space="preserve"> 6,314.00</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本次发行前后</w:t>
      </w:r>
      <w:r>
        <w:rPr>
          <w:rFonts w:hint="eastAsia" w:ascii="宋体" w:hAnsi="宋体" w:eastAsia="宋体" w:cs="宋体"/>
          <w:sz w:val="10"/>
        </w:rPr>
        <w:t>，</w:t>
      </w:r>
      <w:r>
        <w:rPr>
          <w:rFonts w:hint="eastAsia" w:ascii="宋体" w:hAnsi="宋体" w:eastAsia="宋体" w:cs="宋体"/>
          <w:sz w:val="24"/>
        </w:rPr>
        <w:t>公司股本结构如下表所示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1-1-80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20"/>
        <w:gridCol w:w="1700"/>
        <w:gridCol w:w="1340"/>
        <w:gridCol w:w="1380"/>
        <w:gridCol w:w="1440"/>
        <w:gridCol w:w="1340"/>
      </w:tblGrid>
      <w:tr>
        <w:trPr>
          <w:trHeight w:val="480" w:hRule="exact"/>
        </w:trPr>
        <w:tc>
          <w:tcPr>
            <w:tcW w:w="1320" w:type="dxa"/>
            <w:vMerge w:val="restart"/>
            <w:tcMar>
              <w:top w:w="0" w:type="dxa"/>
              <w:left w:w="0" w:type="dxa"/>
              <w:bottom w:w="0" w:type="dxa"/>
              <w:right w:w="0" w:type="dxa"/>
            </w:tcMar>
          </w:tcPr>
          <w:p>
            <w:pPr>
              <w:spacing w:before="440"/>
              <w:ind w:left="440"/>
            </w:pPr>
            <w:r>
              <w:rPr>
                <w:rFonts w:hint="eastAsia" w:ascii="宋体" w:hAnsi="宋体" w:eastAsia="宋体" w:cs="宋体"/>
                <w:b/>
                <w:sz w:val="21"/>
              </w:rPr>
              <w:t>序号</w:t>
            </w:r>
          </w:p>
        </w:tc>
        <w:tc>
          <w:tcPr>
            <w:tcW w:w="1700" w:type="dxa"/>
            <w:vMerge w:val="restart"/>
            <w:tcMar>
              <w:top w:w="0" w:type="dxa"/>
              <w:left w:w="0" w:type="dxa"/>
              <w:bottom w:w="0" w:type="dxa"/>
              <w:right w:w="0" w:type="dxa"/>
            </w:tcMar>
          </w:tcPr>
          <w:p>
            <w:pPr>
              <w:spacing w:before="440"/>
              <w:ind w:left="420"/>
            </w:pPr>
            <w:r>
              <w:rPr>
                <w:rFonts w:hint="eastAsia" w:ascii="宋体" w:hAnsi="宋体" w:eastAsia="宋体" w:cs="宋体"/>
                <w:b/>
                <w:sz w:val="21"/>
              </w:rPr>
              <w:t>股东名称</w:t>
            </w:r>
          </w:p>
        </w:tc>
        <w:tc>
          <w:tcPr>
            <w:tcW w:w="2720" w:type="dxa"/>
            <w:gridSpan w:val="2"/>
            <w:tcMar>
              <w:top w:w="0" w:type="dxa"/>
              <w:left w:w="0" w:type="dxa"/>
              <w:bottom w:w="0" w:type="dxa"/>
              <w:right w:w="0" w:type="dxa"/>
            </w:tcMar>
          </w:tcPr>
          <w:p>
            <w:pPr>
              <w:spacing w:before="100"/>
              <w:ind w:left="1020"/>
            </w:pPr>
            <w:r>
              <w:rPr>
                <w:rFonts w:hint="eastAsia" w:ascii="宋体" w:hAnsi="宋体" w:eastAsia="宋体" w:cs="宋体"/>
                <w:b/>
                <w:sz w:val="21"/>
              </w:rPr>
              <w:t>发行前</w:t>
            </w:r>
          </w:p>
        </w:tc>
        <w:tc>
          <w:tcPr>
            <w:tcW w:w="2780" w:type="dxa"/>
            <w:gridSpan w:val="2"/>
            <w:tcMar>
              <w:top w:w="0" w:type="dxa"/>
              <w:left w:w="0" w:type="dxa"/>
              <w:bottom w:w="0" w:type="dxa"/>
              <w:right w:w="0" w:type="dxa"/>
            </w:tcMar>
          </w:tcPr>
          <w:p>
            <w:pPr>
              <w:spacing w:before="100"/>
              <w:ind w:left="1060"/>
            </w:pPr>
            <w:r>
              <w:rPr>
                <w:rFonts w:hint="eastAsia" w:ascii="宋体" w:hAnsi="宋体" w:eastAsia="宋体" w:cs="宋体"/>
                <w:b/>
                <w:sz w:val="21"/>
              </w:rPr>
              <w:t>发行后</w:t>
            </w:r>
          </w:p>
        </w:tc>
      </w:tr>
      <w:tr>
        <w:trPr>
          <w:trHeight w:val="640" w:hRule="exact"/>
        </w:trPr>
        <w:tc>
          <w:tcPr>
            <w:tcW w:w="1320" w:type="dxa"/>
            <w:vMerge w:val="continue"/>
            <w:tcMar>
              <w:top w:w="0" w:type="dxa"/>
              <w:left w:w="0" w:type="dxa"/>
              <w:bottom w:w="0" w:type="dxa"/>
              <w:right w:w="0" w:type="dxa"/>
            </w:tcMar>
          </w:tcPr>
          <w:p/>
        </w:tc>
        <w:tc>
          <w:tcPr>
            <w:tcW w:w="1700" w:type="dxa"/>
            <w:vMerge w:val="continue"/>
            <w:tcMar>
              <w:top w:w="0" w:type="dxa"/>
              <w:left w:w="0" w:type="dxa"/>
              <w:bottom w:w="0" w:type="dxa"/>
              <w:right w:w="0" w:type="dxa"/>
            </w:tcMar>
          </w:tcPr>
          <w:p/>
        </w:tc>
        <w:tc>
          <w:tcPr>
            <w:tcW w:w="1340" w:type="dxa"/>
            <w:tcMar>
              <w:top w:w="0" w:type="dxa"/>
              <w:left w:w="0" w:type="dxa"/>
              <w:bottom w:w="0" w:type="dxa"/>
              <w:right w:w="0" w:type="dxa"/>
            </w:tcMar>
          </w:tcPr>
          <w:p>
            <w:pPr>
              <w:spacing w:before="20"/>
              <w:ind w:left="340"/>
            </w:pPr>
            <w:r>
              <w:rPr>
                <w:rFonts w:hint="eastAsia" w:ascii="宋体" w:hAnsi="宋体" w:eastAsia="宋体" w:cs="宋体"/>
                <w:b/>
                <w:sz w:val="21"/>
              </w:rPr>
              <w:t>持股数</w:t>
            </w:r>
          </w:p>
          <w:p>
            <w:pPr>
              <w:spacing w:before="120"/>
              <w:ind w:left="220"/>
            </w:pP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1380" w:type="dxa"/>
            <w:tcMar>
              <w:top w:w="0" w:type="dxa"/>
              <w:left w:w="0" w:type="dxa"/>
              <w:bottom w:w="0" w:type="dxa"/>
              <w:right w:w="0" w:type="dxa"/>
            </w:tcMar>
          </w:tcPr>
          <w:p>
            <w:pPr>
              <w:spacing w:before="200"/>
              <w:ind w:left="260"/>
            </w:pPr>
            <w:r>
              <w:rPr>
                <w:rFonts w:hint="eastAsia" w:ascii="宋体" w:hAnsi="宋体" w:eastAsia="宋体" w:cs="宋体"/>
                <w:b/>
                <w:sz w:val="21"/>
              </w:rPr>
              <w:t>持股比例</w:t>
            </w:r>
          </w:p>
        </w:tc>
        <w:tc>
          <w:tcPr>
            <w:tcW w:w="1440" w:type="dxa"/>
            <w:tcMar>
              <w:top w:w="0" w:type="dxa"/>
              <w:left w:w="0" w:type="dxa"/>
              <w:bottom w:w="0" w:type="dxa"/>
              <w:right w:w="0" w:type="dxa"/>
            </w:tcMar>
          </w:tcPr>
          <w:p>
            <w:pPr>
              <w:spacing w:before="20"/>
              <w:ind w:left="380"/>
            </w:pPr>
            <w:r>
              <w:rPr>
                <w:rFonts w:hint="eastAsia" w:ascii="宋体" w:hAnsi="宋体" w:eastAsia="宋体" w:cs="宋体"/>
                <w:b/>
                <w:sz w:val="21"/>
              </w:rPr>
              <w:t>持股数</w:t>
            </w:r>
          </w:p>
          <w:p>
            <w:pPr>
              <w:spacing w:before="120"/>
              <w:ind w:left="280"/>
            </w:pP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1340" w:type="dxa"/>
            <w:tcMar>
              <w:top w:w="0" w:type="dxa"/>
              <w:left w:w="0" w:type="dxa"/>
              <w:bottom w:w="0" w:type="dxa"/>
              <w:right w:w="0" w:type="dxa"/>
            </w:tcMar>
          </w:tcPr>
          <w:p>
            <w:pPr>
              <w:spacing w:before="200"/>
              <w:ind w:left="220"/>
            </w:pPr>
            <w:r>
              <w:rPr>
                <w:rFonts w:hint="eastAsia" w:ascii="宋体" w:hAnsi="宋体" w:eastAsia="宋体" w:cs="宋体"/>
                <w:b/>
                <w:sz w:val="21"/>
              </w:rPr>
              <w:t>持股比例</w:t>
            </w:r>
          </w:p>
        </w:tc>
      </w:tr>
      <w:tr>
        <w:trPr>
          <w:trHeight w:val="46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1</w:t>
            </w:r>
          </w:p>
        </w:tc>
        <w:tc>
          <w:tcPr>
            <w:tcW w:w="1700" w:type="dxa"/>
            <w:tcMar>
              <w:top w:w="0" w:type="dxa"/>
              <w:left w:w="0" w:type="dxa"/>
              <w:bottom w:w="0" w:type="dxa"/>
              <w:right w:w="0" w:type="dxa"/>
            </w:tcMar>
          </w:tcPr>
          <w:p>
            <w:pPr>
              <w:spacing w:before="100"/>
              <w:ind w:left="520"/>
            </w:pPr>
            <w:r>
              <w:rPr>
                <w:rFonts w:hint="eastAsia" w:ascii="宋体" w:hAnsi="宋体" w:eastAsia="宋体" w:cs="宋体"/>
                <w:sz w:val="21"/>
              </w:rPr>
              <w:t>严孟宇</w:t>
            </w:r>
          </w:p>
        </w:tc>
        <w:tc>
          <w:tcPr>
            <w:tcW w:w="134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5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60"/>
              <w:ind w:left="58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80"/>
              <w:ind w:left="600"/>
            </w:pPr>
            <w:r>
              <w:rPr>
                <w:rFonts w:hint="eastAsia" w:ascii="Times New Roman" w:hAnsi="Times New Roman" w:eastAsia="Times New Roman" w:cs="Times New Roman"/>
                <w:sz w:val="21"/>
              </w:rPr>
              <w:t>2</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金石投资</w:t>
            </w:r>
          </w:p>
        </w:tc>
        <w:tc>
          <w:tcPr>
            <w:tcW w:w="134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80"/>
              <w:ind w:left="5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60"/>
              <w:ind w:left="5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40"/>
              <w:ind w:left="600"/>
            </w:pPr>
            <w:r>
              <w:rPr>
                <w:rFonts w:hint="eastAsia" w:ascii="Times New Roman" w:hAnsi="Times New Roman" w:eastAsia="Times New Roman" w:cs="Times New Roman"/>
                <w:sz w:val="21"/>
              </w:rPr>
              <w:t>3</w:t>
            </w:r>
          </w:p>
        </w:tc>
        <w:tc>
          <w:tcPr>
            <w:tcW w:w="1700" w:type="dxa"/>
            <w:tcMar>
              <w:top w:w="0" w:type="dxa"/>
              <w:left w:w="0" w:type="dxa"/>
              <w:bottom w:w="0" w:type="dxa"/>
              <w:right w:w="0" w:type="dxa"/>
            </w:tcMar>
          </w:tcPr>
          <w:p>
            <w:pPr>
              <w:spacing w:before="100"/>
              <w:ind w:left="520"/>
            </w:pPr>
            <w:r>
              <w:rPr>
                <w:rFonts w:hint="eastAsia" w:ascii="宋体" w:hAnsi="宋体" w:eastAsia="宋体" w:cs="宋体"/>
                <w:sz w:val="21"/>
              </w:rPr>
              <w:t>爱派克</w:t>
            </w:r>
          </w:p>
        </w:tc>
        <w:tc>
          <w:tcPr>
            <w:tcW w:w="134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40"/>
              <w:ind w:left="6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40"/>
              <w:ind w:left="5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40"/>
              <w:ind w:left="58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4</w:t>
            </w:r>
          </w:p>
        </w:tc>
        <w:tc>
          <w:tcPr>
            <w:tcW w:w="1700" w:type="dxa"/>
            <w:tcMar>
              <w:top w:w="0" w:type="dxa"/>
              <w:left w:w="0" w:type="dxa"/>
              <w:bottom w:w="0" w:type="dxa"/>
              <w:right w:w="0" w:type="dxa"/>
            </w:tcMar>
          </w:tcPr>
          <w:p>
            <w:pPr>
              <w:spacing w:before="120"/>
              <w:ind w:left="620"/>
            </w:pPr>
            <w:r>
              <w:rPr>
                <w:rFonts w:hint="eastAsia" w:ascii="宋体" w:hAnsi="宋体" w:eastAsia="宋体" w:cs="宋体"/>
                <w:sz w:val="21"/>
              </w:rPr>
              <w:t>赵伟</w:t>
            </w:r>
          </w:p>
        </w:tc>
        <w:tc>
          <w:tcPr>
            <w:tcW w:w="134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618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618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r>
      <w:tr>
        <w:trPr>
          <w:trHeight w:val="46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5</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雷世潘</w:t>
            </w:r>
          </w:p>
        </w:tc>
        <w:tc>
          <w:tcPr>
            <w:tcW w:w="134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278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278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80"/>
              <w:ind w:left="600"/>
            </w:pPr>
            <w:r>
              <w:rPr>
                <w:rFonts w:hint="eastAsia" w:ascii="Times New Roman" w:hAnsi="Times New Roman" w:eastAsia="Times New Roman" w:cs="Times New Roman"/>
                <w:sz w:val="21"/>
              </w:rPr>
              <w:t>6</w:t>
            </w:r>
          </w:p>
        </w:tc>
        <w:tc>
          <w:tcPr>
            <w:tcW w:w="1700" w:type="dxa"/>
            <w:tcMar>
              <w:top w:w="0" w:type="dxa"/>
              <w:left w:w="0" w:type="dxa"/>
              <w:bottom w:w="0" w:type="dxa"/>
              <w:right w:w="0" w:type="dxa"/>
            </w:tcMar>
          </w:tcPr>
          <w:p>
            <w:pPr>
              <w:spacing w:before="120"/>
              <w:ind w:left="620"/>
            </w:pPr>
            <w:r>
              <w:rPr>
                <w:rFonts w:hint="eastAsia" w:ascii="宋体" w:hAnsi="宋体" w:eastAsia="宋体" w:cs="宋体"/>
                <w:sz w:val="21"/>
              </w:rPr>
              <w:t>赵莹</w:t>
            </w:r>
          </w:p>
        </w:tc>
        <w:tc>
          <w:tcPr>
            <w:tcW w:w="1340" w:type="dxa"/>
            <w:tcMar>
              <w:top w:w="0" w:type="dxa"/>
              <w:left w:w="0" w:type="dxa"/>
              <w:bottom w:w="0" w:type="dxa"/>
              <w:right w:w="0" w:type="dxa"/>
            </w:tcMar>
          </w:tcPr>
          <w:p>
            <w:pPr>
              <w:spacing w:before="180"/>
              <w:ind w:left="640"/>
            </w:pPr>
            <w:r>
              <w:rPr>
                <w:rFonts w:hint="eastAsia" w:ascii="Times New Roman" w:hAnsi="Times New Roman" w:eastAsia="Times New Roman" w:cs="Times New Roman"/>
                <w:sz w:val="21"/>
              </w:rPr>
              <w:t>180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80"/>
              <w:ind w:left="7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80"/>
              <w:ind w:left="740"/>
            </w:pPr>
            <w:r>
              <w:rPr>
                <w:rFonts w:hint="eastAsia" w:ascii="Times New Roman" w:hAnsi="Times New Roman" w:eastAsia="Times New Roman" w:cs="Times New Roman"/>
                <w:sz w:val="21"/>
              </w:rPr>
              <w:t>180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80"/>
              <w:ind w:left="6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40"/>
              <w:ind w:left="600"/>
            </w:pPr>
            <w:r>
              <w:rPr>
                <w:rFonts w:hint="eastAsia" w:ascii="Times New Roman" w:hAnsi="Times New Roman" w:eastAsia="Times New Roman" w:cs="Times New Roman"/>
                <w:sz w:val="21"/>
              </w:rPr>
              <w:t>7</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余养成</w:t>
            </w:r>
          </w:p>
        </w:tc>
        <w:tc>
          <w:tcPr>
            <w:tcW w:w="1340" w:type="dxa"/>
            <w:tcMar>
              <w:top w:w="0" w:type="dxa"/>
              <w:left w:w="0" w:type="dxa"/>
              <w:bottom w:w="0" w:type="dxa"/>
              <w:right w:w="0" w:type="dxa"/>
            </w:tcMar>
          </w:tcPr>
          <w:p>
            <w:pPr>
              <w:spacing w:before="140"/>
              <w:ind w:left="640"/>
            </w:pPr>
            <w:r>
              <w:rPr>
                <w:rFonts w:hint="eastAsia" w:ascii="Times New Roman" w:hAnsi="Times New Roman" w:eastAsia="Times New Roman" w:cs="Times New Roman"/>
                <w:sz w:val="21"/>
              </w:rPr>
              <w:t>174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174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8</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董南勇</w:t>
            </w:r>
          </w:p>
        </w:tc>
        <w:tc>
          <w:tcPr>
            <w:tcW w:w="134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38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34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r>
      <w:tr>
        <w:trPr>
          <w:trHeight w:val="46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9</w:t>
            </w:r>
          </w:p>
        </w:tc>
        <w:tc>
          <w:tcPr>
            <w:tcW w:w="1700" w:type="dxa"/>
            <w:tcMar>
              <w:top w:w="0" w:type="dxa"/>
              <w:left w:w="0" w:type="dxa"/>
              <w:bottom w:w="0" w:type="dxa"/>
              <w:right w:w="0" w:type="dxa"/>
            </w:tcMar>
          </w:tcPr>
          <w:p>
            <w:pPr>
              <w:spacing w:before="100"/>
              <w:ind w:left="520"/>
            </w:pPr>
            <w:r>
              <w:rPr>
                <w:rFonts w:hint="eastAsia" w:ascii="宋体" w:hAnsi="宋体" w:eastAsia="宋体" w:cs="宋体"/>
                <w:sz w:val="21"/>
              </w:rPr>
              <w:t>戴小戈</w:t>
            </w:r>
          </w:p>
        </w:tc>
        <w:tc>
          <w:tcPr>
            <w:tcW w:w="13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4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10</w:t>
            </w:r>
          </w:p>
        </w:tc>
        <w:tc>
          <w:tcPr>
            <w:tcW w:w="1700" w:type="dxa"/>
            <w:tcMar>
              <w:top w:w="0" w:type="dxa"/>
              <w:left w:w="0" w:type="dxa"/>
              <w:bottom w:w="0" w:type="dxa"/>
              <w:right w:w="0" w:type="dxa"/>
            </w:tcMar>
          </w:tcPr>
          <w:p>
            <w:pPr>
              <w:spacing w:before="120"/>
              <w:ind w:left="620"/>
            </w:pPr>
            <w:r>
              <w:rPr>
                <w:rFonts w:hint="eastAsia" w:ascii="宋体" w:hAnsi="宋体" w:eastAsia="宋体" w:cs="宋体"/>
                <w:sz w:val="21"/>
              </w:rPr>
              <w:t>欧永</w:t>
            </w:r>
          </w:p>
        </w:tc>
        <w:tc>
          <w:tcPr>
            <w:tcW w:w="13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11</w:t>
            </w:r>
          </w:p>
        </w:tc>
        <w:tc>
          <w:tcPr>
            <w:tcW w:w="1700" w:type="dxa"/>
            <w:tcMar>
              <w:top w:w="0" w:type="dxa"/>
              <w:left w:w="0" w:type="dxa"/>
              <w:bottom w:w="0" w:type="dxa"/>
              <w:right w:w="0" w:type="dxa"/>
            </w:tcMar>
          </w:tcPr>
          <w:p>
            <w:pPr>
              <w:spacing w:before="120"/>
              <w:ind w:left="620"/>
            </w:pPr>
            <w:r>
              <w:rPr>
                <w:rFonts w:hint="eastAsia" w:ascii="宋体" w:hAnsi="宋体" w:eastAsia="宋体" w:cs="宋体"/>
                <w:sz w:val="21"/>
              </w:rPr>
              <w:t>张玉</w:t>
            </w:r>
          </w:p>
        </w:tc>
        <w:tc>
          <w:tcPr>
            <w:tcW w:w="134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40"/>
              <w:ind w:left="84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12</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刘法先</w:t>
            </w:r>
          </w:p>
        </w:tc>
        <w:tc>
          <w:tcPr>
            <w:tcW w:w="13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60" w:hRule="exact"/>
        </w:trPr>
        <w:tc>
          <w:tcPr>
            <w:tcW w:w="13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13</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郑元通</w:t>
            </w:r>
          </w:p>
        </w:tc>
        <w:tc>
          <w:tcPr>
            <w:tcW w:w="13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14</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林秀红</w:t>
            </w:r>
          </w:p>
        </w:tc>
        <w:tc>
          <w:tcPr>
            <w:tcW w:w="1340" w:type="dxa"/>
            <w:tcMar>
              <w:top w:w="0" w:type="dxa"/>
              <w:left w:w="0" w:type="dxa"/>
              <w:bottom w:w="0" w:type="dxa"/>
              <w:right w:w="0" w:type="dxa"/>
            </w:tcMar>
          </w:tcPr>
          <w:p>
            <w:pPr>
              <w:spacing w:before="180"/>
              <w:ind w:left="7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80" w:type="dxa"/>
            <w:tcMar>
              <w:top w:w="0" w:type="dxa"/>
              <w:left w:w="0" w:type="dxa"/>
              <w:bottom w:w="0" w:type="dxa"/>
              <w:right w:w="0" w:type="dxa"/>
            </w:tcMar>
          </w:tcPr>
          <w:p>
            <w:pPr>
              <w:spacing w:before="18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80"/>
              <w:ind w:left="8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40" w:type="dxa"/>
            <w:tcMar>
              <w:top w:w="0" w:type="dxa"/>
              <w:left w:w="0" w:type="dxa"/>
              <w:bottom w:w="0" w:type="dxa"/>
              <w:right w:w="0" w:type="dxa"/>
            </w:tcMar>
          </w:tcPr>
          <w:p>
            <w:pPr>
              <w:spacing w:before="18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15</w:t>
            </w:r>
          </w:p>
        </w:tc>
        <w:tc>
          <w:tcPr>
            <w:tcW w:w="1700" w:type="dxa"/>
            <w:tcMar>
              <w:top w:w="0" w:type="dxa"/>
              <w:left w:w="0" w:type="dxa"/>
              <w:bottom w:w="0" w:type="dxa"/>
              <w:right w:w="0" w:type="dxa"/>
            </w:tcMar>
          </w:tcPr>
          <w:p>
            <w:pPr>
              <w:spacing w:before="100"/>
              <w:ind w:left="520"/>
            </w:pPr>
            <w:r>
              <w:rPr>
                <w:rFonts w:hint="eastAsia" w:ascii="宋体" w:hAnsi="宋体" w:eastAsia="宋体" w:cs="宋体"/>
                <w:sz w:val="21"/>
              </w:rPr>
              <w:t>徐传秋</w:t>
            </w:r>
          </w:p>
        </w:tc>
        <w:tc>
          <w:tcPr>
            <w:tcW w:w="134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8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40"/>
              <w:ind w:left="8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4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16</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邓志强</w:t>
            </w:r>
          </w:p>
        </w:tc>
        <w:tc>
          <w:tcPr>
            <w:tcW w:w="13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4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r>
              <w:rPr>
                <w:rFonts w:hint="eastAsia" w:ascii="Times New Roman" w:hAnsi="Times New Roman" w:eastAsia="Times New Roman" w:cs="Times New Roman"/>
                <w:sz w:val="20"/>
              </w:rPr>
              <w:t>%</w:t>
            </w:r>
          </w:p>
        </w:tc>
      </w:tr>
      <w:tr>
        <w:trPr>
          <w:trHeight w:val="460" w:hRule="exact"/>
        </w:trPr>
        <w:tc>
          <w:tcPr>
            <w:tcW w:w="13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17</w:t>
            </w:r>
          </w:p>
        </w:tc>
        <w:tc>
          <w:tcPr>
            <w:tcW w:w="1700" w:type="dxa"/>
            <w:tcMar>
              <w:top w:w="0" w:type="dxa"/>
              <w:left w:w="0" w:type="dxa"/>
              <w:bottom w:w="0" w:type="dxa"/>
              <w:right w:w="0" w:type="dxa"/>
            </w:tcMar>
          </w:tcPr>
          <w:p>
            <w:pPr>
              <w:spacing w:before="100"/>
              <w:ind w:left="520"/>
            </w:pPr>
            <w:r>
              <w:rPr>
                <w:rFonts w:hint="eastAsia" w:ascii="宋体" w:hAnsi="宋体" w:eastAsia="宋体" w:cs="宋体"/>
                <w:sz w:val="21"/>
              </w:rPr>
              <w:t>王敏航</w:t>
            </w:r>
          </w:p>
        </w:tc>
        <w:tc>
          <w:tcPr>
            <w:tcW w:w="13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4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18</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张雄金</w:t>
            </w:r>
          </w:p>
        </w:tc>
        <w:tc>
          <w:tcPr>
            <w:tcW w:w="1340" w:type="dxa"/>
            <w:tcMar>
              <w:top w:w="0" w:type="dxa"/>
              <w:left w:w="0" w:type="dxa"/>
              <w:bottom w:w="0" w:type="dxa"/>
              <w:right w:w="0" w:type="dxa"/>
            </w:tcMar>
          </w:tcPr>
          <w:p>
            <w:pPr>
              <w:spacing w:before="180"/>
              <w:ind w:left="74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380" w:type="dxa"/>
            <w:tcMar>
              <w:top w:w="0" w:type="dxa"/>
              <w:left w:w="0" w:type="dxa"/>
              <w:bottom w:w="0" w:type="dxa"/>
              <w:right w:w="0" w:type="dxa"/>
            </w:tcMar>
          </w:tcPr>
          <w:p>
            <w:pPr>
              <w:spacing w:before="18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80"/>
              <w:ind w:left="84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340" w:type="dxa"/>
            <w:tcMar>
              <w:top w:w="0" w:type="dxa"/>
              <w:left w:w="0" w:type="dxa"/>
              <w:bottom w:w="0" w:type="dxa"/>
              <w:right w:w="0" w:type="dxa"/>
            </w:tcMar>
          </w:tcPr>
          <w:p>
            <w:pPr>
              <w:spacing w:before="18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19</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鄢继华</w:t>
            </w:r>
          </w:p>
        </w:tc>
        <w:tc>
          <w:tcPr>
            <w:tcW w:w="134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38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40"/>
              <w:ind w:left="84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34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谢淑仁</w:t>
            </w:r>
          </w:p>
        </w:tc>
        <w:tc>
          <w:tcPr>
            <w:tcW w:w="13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r>
      <w:tr>
        <w:trPr>
          <w:trHeight w:val="460" w:hRule="exact"/>
        </w:trPr>
        <w:tc>
          <w:tcPr>
            <w:tcW w:w="13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21</w:t>
            </w:r>
          </w:p>
        </w:tc>
        <w:tc>
          <w:tcPr>
            <w:tcW w:w="1700" w:type="dxa"/>
            <w:tcMar>
              <w:top w:w="0" w:type="dxa"/>
              <w:left w:w="0" w:type="dxa"/>
              <w:bottom w:w="0" w:type="dxa"/>
              <w:right w:w="0" w:type="dxa"/>
            </w:tcMar>
          </w:tcPr>
          <w:p>
            <w:pPr>
              <w:spacing w:before="100"/>
              <w:ind w:left="520"/>
            </w:pPr>
            <w:r>
              <w:rPr>
                <w:rFonts w:hint="eastAsia" w:ascii="宋体" w:hAnsi="宋体" w:eastAsia="宋体" w:cs="宋体"/>
                <w:sz w:val="21"/>
              </w:rPr>
              <w:t>陈瑞德</w:t>
            </w:r>
          </w:p>
        </w:tc>
        <w:tc>
          <w:tcPr>
            <w:tcW w:w="13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34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22</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陈建国</w:t>
            </w:r>
          </w:p>
        </w:tc>
        <w:tc>
          <w:tcPr>
            <w:tcW w:w="1340" w:type="dxa"/>
            <w:tcMar>
              <w:top w:w="0" w:type="dxa"/>
              <w:left w:w="0" w:type="dxa"/>
              <w:bottom w:w="0" w:type="dxa"/>
              <w:right w:w="0" w:type="dxa"/>
            </w:tcMar>
          </w:tcPr>
          <w:p>
            <w:pPr>
              <w:spacing w:before="180"/>
              <w:ind w:left="7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380" w:type="dxa"/>
            <w:tcMar>
              <w:top w:w="0" w:type="dxa"/>
              <w:left w:w="0" w:type="dxa"/>
              <w:bottom w:w="0" w:type="dxa"/>
              <w:right w:w="0" w:type="dxa"/>
            </w:tcMar>
          </w:tcPr>
          <w:p>
            <w:pPr>
              <w:spacing w:before="18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80"/>
              <w:ind w:left="8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340" w:type="dxa"/>
            <w:tcMar>
              <w:top w:w="0" w:type="dxa"/>
              <w:left w:w="0" w:type="dxa"/>
              <w:bottom w:w="0" w:type="dxa"/>
              <w:right w:w="0" w:type="dxa"/>
            </w:tcMar>
          </w:tcPr>
          <w:p>
            <w:pPr>
              <w:spacing w:before="18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23</w:t>
            </w:r>
          </w:p>
        </w:tc>
        <w:tc>
          <w:tcPr>
            <w:tcW w:w="1700" w:type="dxa"/>
            <w:tcMar>
              <w:top w:w="0" w:type="dxa"/>
              <w:left w:w="0" w:type="dxa"/>
              <w:bottom w:w="0" w:type="dxa"/>
              <w:right w:w="0" w:type="dxa"/>
            </w:tcMar>
          </w:tcPr>
          <w:p>
            <w:pPr>
              <w:spacing w:before="100"/>
              <w:ind w:left="320"/>
            </w:pPr>
            <w:r>
              <w:rPr>
                <w:rFonts w:hint="eastAsia" w:ascii="宋体" w:hAnsi="宋体" w:eastAsia="宋体" w:cs="宋体"/>
                <w:sz w:val="21"/>
              </w:rPr>
              <w:t>社会公众股</w:t>
            </w:r>
          </w:p>
        </w:tc>
        <w:tc>
          <w:tcPr>
            <w:tcW w:w="1340" w:type="dxa"/>
            <w:tcMar>
              <w:top w:w="0" w:type="dxa"/>
              <w:left w:w="0" w:type="dxa"/>
              <w:bottom w:w="0" w:type="dxa"/>
              <w:right w:w="0" w:type="dxa"/>
            </w:tcMar>
          </w:tcPr>
          <w:p>
            <w:pPr>
              <w:spacing w:before="300"/>
              <w:ind w:left="1140"/>
            </w:pPr>
            <w:r>
              <w:rPr>
                <w:rFonts w:hint="eastAsia" w:ascii="Times New Roman" w:hAnsi="Times New Roman" w:eastAsia="Times New Roman" w:cs="Times New Roman"/>
                <w:sz w:val="21"/>
              </w:rPr>
              <w:t>-</w:t>
            </w:r>
          </w:p>
        </w:tc>
        <w:tc>
          <w:tcPr>
            <w:tcW w:w="1380" w:type="dxa"/>
            <w:tcMar>
              <w:top w:w="0" w:type="dxa"/>
              <w:left w:w="0" w:type="dxa"/>
              <w:bottom w:w="0" w:type="dxa"/>
              <w:right w:w="0" w:type="dxa"/>
            </w:tcMar>
          </w:tcPr>
          <w:p>
            <w:pPr>
              <w:spacing w:before="300"/>
              <w:ind w:left="1200"/>
            </w:pPr>
            <w:r>
              <w:rPr>
                <w:rFonts w:hint="eastAsia" w:ascii="Times New Roman" w:hAnsi="Times New Roman" w:eastAsia="Times New Roman" w:cs="Times New Roman"/>
                <w:sz w:val="21"/>
              </w:rPr>
              <w:t>-</w:t>
            </w:r>
          </w:p>
        </w:tc>
        <w:tc>
          <w:tcPr>
            <w:tcW w:w="1440" w:type="dxa"/>
            <w:tcMar>
              <w:top w:w="0" w:type="dxa"/>
              <w:left w:w="0" w:type="dxa"/>
              <w:bottom w:w="0" w:type="dxa"/>
              <w:right w:w="0" w:type="dxa"/>
            </w:tcMar>
          </w:tcPr>
          <w:p>
            <w:pPr>
              <w:spacing w:before="140"/>
              <w:ind w:left="5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40" w:type="dxa"/>
            <w:tcMar>
              <w:top w:w="0" w:type="dxa"/>
              <w:left w:w="0" w:type="dxa"/>
              <w:bottom w:w="0" w:type="dxa"/>
              <w:right w:w="0" w:type="dxa"/>
            </w:tcMar>
          </w:tcPr>
          <w:p>
            <w:pPr>
              <w:spacing w:before="140"/>
              <w:ind w:left="58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3020" w:type="dxa"/>
            <w:gridSpan w:val="2"/>
            <w:tcMar>
              <w:top w:w="0" w:type="dxa"/>
              <w:left w:w="0" w:type="dxa"/>
              <w:bottom w:w="0" w:type="dxa"/>
              <w:right w:w="0" w:type="dxa"/>
            </w:tcMar>
          </w:tcPr>
          <w:p>
            <w:pPr>
              <w:spacing w:before="120"/>
              <w:ind w:left="1280"/>
            </w:pPr>
            <w:r>
              <w:rPr>
                <w:rFonts w:hint="eastAsia" w:ascii="宋体" w:hAnsi="宋体" w:eastAsia="宋体" w:cs="宋体"/>
                <w:b/>
                <w:sz w:val="21"/>
              </w:rPr>
              <w:t>合计</w:t>
            </w:r>
          </w:p>
        </w:tc>
        <w:tc>
          <w:tcPr>
            <w:tcW w:w="1340" w:type="dxa"/>
            <w:tcMar>
              <w:top w:w="0" w:type="dxa"/>
              <w:left w:w="0" w:type="dxa"/>
              <w:bottom w:w="0" w:type="dxa"/>
              <w:right w:w="0" w:type="dxa"/>
            </w:tcMar>
          </w:tcPr>
          <w:p>
            <w:pPr>
              <w:spacing w:before="160"/>
              <w:ind w:left="480"/>
            </w:pPr>
            <w:r>
              <w:rPr>
                <w:rFonts w:hint="eastAsia" w:ascii="Times New Roman Bold" w:hAnsi="Times New Roman Bold" w:eastAsia="Times New Roman Bold" w:cs="Times New Roman Bold"/>
                <w:b/>
                <w:sz w:val="21"/>
              </w:rPr>
              <w:t>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1380" w:type="dxa"/>
            <w:tcMar>
              <w:top w:w="0" w:type="dxa"/>
              <w:left w:w="0" w:type="dxa"/>
              <w:bottom w:w="0" w:type="dxa"/>
              <w:right w:w="0" w:type="dxa"/>
            </w:tcMar>
          </w:tcPr>
          <w:p>
            <w:pPr>
              <w:spacing w:before="140"/>
              <w:ind w:left="4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40" w:type="dxa"/>
            <w:tcMar>
              <w:top w:w="0" w:type="dxa"/>
              <w:left w:w="0" w:type="dxa"/>
              <w:bottom w:w="0" w:type="dxa"/>
              <w:right w:w="0" w:type="dxa"/>
            </w:tcMar>
          </w:tcPr>
          <w:p>
            <w:pPr>
              <w:spacing w:before="160"/>
              <w:ind w:left="580"/>
            </w:pPr>
            <w:r>
              <w:rPr>
                <w:rFonts w:hint="eastAsia" w:ascii="Times New Roman Bold" w:hAnsi="Times New Roman Bold" w:eastAsia="Times New Roman Bold" w:cs="Times New Roman Bold"/>
                <w:b/>
                <w:sz w:val="21"/>
              </w:rPr>
              <w:t>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1340" w:type="dxa"/>
            <w:tcMar>
              <w:top w:w="0" w:type="dxa"/>
              <w:left w:w="0" w:type="dxa"/>
              <w:bottom w:w="0" w:type="dxa"/>
              <w:right w:w="0" w:type="dxa"/>
            </w:tcMar>
          </w:tcPr>
          <w:p>
            <w:pPr>
              <w:spacing w:before="140"/>
              <w:ind w:left="4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公司股东中不存在国有股东</w:t>
      </w:r>
      <w:r>
        <w:rPr>
          <w:rFonts w:hint="eastAsia" w:ascii="宋体" w:hAnsi="宋体" w:eastAsia="宋体" w:cs="宋体"/>
          <w:sz w:val="10"/>
        </w:rPr>
        <w:t>，</w:t>
      </w:r>
      <w:r>
        <w:rPr>
          <w:rFonts w:hint="eastAsia" w:ascii="宋体" w:hAnsi="宋体" w:eastAsia="宋体" w:cs="宋体"/>
          <w:sz w:val="24"/>
        </w:rPr>
        <w:t>无须履行国有股转持程序</w:t>
      </w:r>
      <w:r>
        <w:rPr>
          <w:rFonts w:hint="eastAsia" w:ascii="宋体" w:hAnsi="宋体" w:eastAsia="宋体" w:cs="宋体"/>
          <w:sz w:val="10"/>
        </w:rPr>
        <w:t>。</w:t>
      </w:r>
      <w:r>
        <w:rPr>
          <w:rFonts w:hint="eastAsia" w:ascii="宋体" w:hAnsi="宋体" w:eastAsia="宋体" w:cs="宋体"/>
          <w:sz w:val="24"/>
        </w:rPr>
        <w:t>发行人股权结构变更中不涉及国有资产事项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1-1-81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除林永正系发行人核心技术人员赵林之父</w:t>
      </w:r>
      <w:r>
        <w:rPr>
          <w:rFonts w:hint="eastAsia" w:ascii="宋体" w:hAnsi="宋体" w:eastAsia="宋体" w:cs="宋体"/>
          <w:sz w:val="10"/>
        </w:rPr>
        <w:t>，</w:t>
      </w:r>
      <w:r>
        <w:rPr>
          <w:rFonts w:hint="eastAsia" w:ascii="宋体" w:hAnsi="宋体" w:eastAsia="宋体" w:cs="宋体"/>
          <w:sz w:val="24"/>
        </w:rPr>
        <w:t>发行人控股股东</w:t>
      </w:r>
      <w:r>
        <w:rPr>
          <w:rFonts w:hint="eastAsia" w:ascii="宋体" w:hAnsi="宋体" w:eastAsia="宋体" w:cs="宋体"/>
          <w:sz w:val="10"/>
        </w:rPr>
        <w:t>、</w:t>
      </w:r>
      <w:r>
        <w:rPr>
          <w:rFonts w:hint="eastAsia" w:ascii="宋体" w:hAnsi="宋体" w:eastAsia="宋体" w:cs="宋体"/>
          <w:sz w:val="24"/>
        </w:rPr>
        <w:t>实际控制人严孟宇之岳父</w:t>
      </w:r>
      <w:r>
        <w:rPr>
          <w:rFonts w:hint="eastAsia" w:ascii="宋体" w:hAnsi="宋体" w:eastAsia="宋体" w:cs="宋体"/>
          <w:sz w:val="10"/>
        </w:rPr>
        <w:t>，</w:t>
      </w:r>
      <w:r>
        <w:rPr>
          <w:rFonts w:hint="eastAsia" w:ascii="宋体" w:hAnsi="宋体" w:eastAsia="宋体" w:cs="宋体"/>
          <w:sz w:val="24"/>
        </w:rPr>
        <w:t>赵林系严孟宇之配偶外</w:t>
      </w:r>
      <w:r>
        <w:rPr>
          <w:rFonts w:hint="eastAsia" w:ascii="宋体" w:hAnsi="宋体" w:eastAsia="宋体" w:cs="宋体"/>
          <w:sz w:val="10"/>
        </w:rPr>
        <w:t>，</w:t>
      </w:r>
      <w:r>
        <w:rPr>
          <w:rFonts w:hint="eastAsia" w:ascii="宋体" w:hAnsi="宋体" w:eastAsia="宋体" w:cs="宋体"/>
          <w:sz w:val="24"/>
        </w:rPr>
        <w:t>直接或间接持有发行人股权的自然人与发行人及其控股股东</w:t>
      </w:r>
      <w:r>
        <w:rPr>
          <w:rFonts w:hint="eastAsia" w:ascii="宋体" w:hAnsi="宋体" w:eastAsia="宋体" w:cs="宋体"/>
          <w:sz w:val="10"/>
        </w:rPr>
        <w:t>、</w:t>
      </w:r>
      <w:r>
        <w:rPr>
          <w:rFonts w:hint="eastAsia" w:ascii="宋体" w:hAnsi="宋体" w:eastAsia="宋体" w:cs="宋体"/>
          <w:sz w:val="24"/>
        </w:rPr>
        <w:t>实际控制人</w:t>
      </w:r>
      <w:r>
        <w:rPr>
          <w:rFonts w:hint="eastAsia" w:ascii="宋体" w:hAnsi="宋体" w:eastAsia="宋体" w:cs="宋体"/>
          <w:sz w:val="10"/>
        </w:rPr>
        <w:t>、</w:t>
      </w:r>
      <w:r>
        <w:rPr>
          <w:rFonts w:hint="eastAsia" w:ascii="宋体" w:hAnsi="宋体" w:eastAsia="宋体" w:cs="宋体"/>
          <w:sz w:val="24"/>
        </w:rPr>
        <w:t>董监高</w:t>
      </w:r>
      <w:r>
        <w:rPr>
          <w:rFonts w:hint="eastAsia" w:ascii="宋体" w:hAnsi="宋体" w:eastAsia="宋体" w:cs="宋体"/>
          <w:sz w:val="10"/>
        </w:rPr>
        <w:t>、</w:t>
      </w:r>
      <w:r>
        <w:rPr>
          <w:rFonts w:hint="eastAsia" w:ascii="宋体" w:hAnsi="宋体" w:eastAsia="宋体" w:cs="宋体"/>
          <w:sz w:val="24"/>
        </w:rPr>
        <w:t>核心技术人员</w:t>
      </w:r>
      <w:r>
        <w:rPr>
          <w:rFonts w:hint="eastAsia" w:ascii="宋体" w:hAnsi="宋体" w:eastAsia="宋体" w:cs="宋体"/>
          <w:sz w:val="10"/>
        </w:rPr>
        <w:t>、</w:t>
      </w:r>
      <w:r>
        <w:rPr>
          <w:rFonts w:hint="eastAsia" w:ascii="宋体" w:hAnsi="宋体" w:eastAsia="宋体" w:cs="宋体"/>
          <w:sz w:val="24"/>
        </w:rPr>
        <w:t>本次发行中介机构及其负责人</w:t>
      </w:r>
      <w:r>
        <w:rPr>
          <w:rFonts w:hint="eastAsia" w:ascii="宋体" w:hAnsi="宋体" w:eastAsia="宋体" w:cs="宋体"/>
          <w:sz w:val="10"/>
        </w:rPr>
        <w:t>、</w:t>
      </w:r>
      <w:r>
        <w:rPr>
          <w:rFonts w:hint="eastAsia" w:ascii="宋体" w:hAnsi="宋体" w:eastAsia="宋体" w:cs="宋体"/>
          <w:sz w:val="24"/>
        </w:rPr>
        <w:t>签字人员</w:t>
      </w:r>
      <w:r>
        <w:rPr>
          <w:rFonts w:hint="eastAsia" w:ascii="宋体" w:hAnsi="宋体" w:eastAsia="宋体" w:cs="宋体"/>
          <w:sz w:val="10"/>
        </w:rPr>
        <w:t>、</w:t>
      </w:r>
      <w:r>
        <w:rPr>
          <w:rFonts w:hint="eastAsia" w:ascii="宋体" w:hAnsi="宋体" w:eastAsia="宋体" w:cs="宋体"/>
          <w:sz w:val="24"/>
        </w:rPr>
        <w:t>发行人主要客户及供应商之间不存在其他亲属关系</w:t>
      </w:r>
      <w:r>
        <w:rPr>
          <w:rFonts w:hint="eastAsia" w:ascii="宋体" w:hAnsi="宋体" w:eastAsia="宋体" w:cs="宋体"/>
          <w:sz w:val="10"/>
        </w:rPr>
        <w:t>、</w:t>
      </w:r>
      <w:r>
        <w:rPr>
          <w:rFonts w:hint="eastAsia" w:ascii="宋体" w:hAnsi="宋体" w:eastAsia="宋体" w:cs="宋体"/>
          <w:sz w:val="24"/>
        </w:rPr>
        <w:t>关联关系</w:t>
      </w:r>
      <w:r>
        <w:rPr>
          <w:rFonts w:hint="eastAsia" w:ascii="宋体" w:hAnsi="宋体" w:eastAsia="宋体" w:cs="宋体"/>
          <w:sz w:val="10"/>
        </w:rPr>
        <w:t>，</w:t>
      </w:r>
      <w:r>
        <w:rPr>
          <w:rFonts w:hint="eastAsia" w:ascii="宋体" w:hAnsi="宋体" w:eastAsia="宋体" w:cs="宋体"/>
          <w:sz w:val="24"/>
        </w:rPr>
        <w:t>不存在委托持股</w:t>
      </w:r>
      <w:r>
        <w:rPr>
          <w:rFonts w:hint="eastAsia" w:ascii="宋体" w:hAnsi="宋体" w:eastAsia="宋体" w:cs="宋体"/>
          <w:sz w:val="10"/>
        </w:rPr>
        <w:t>、</w:t>
      </w:r>
      <w:r>
        <w:rPr>
          <w:rFonts w:hint="eastAsia" w:ascii="宋体" w:hAnsi="宋体" w:eastAsia="宋体" w:cs="宋体"/>
          <w:sz w:val="24"/>
        </w:rPr>
        <w:t>信托持股或其他利益输送安排</w:t>
      </w:r>
      <w:r>
        <w:rPr>
          <w:rFonts w:hint="eastAsia" w:ascii="宋体" w:hAnsi="宋体" w:eastAsia="宋体" w:cs="宋体"/>
          <w:sz w:val="12"/>
        </w:rPr>
        <w:t>；</w:t>
      </w:r>
      <w:r>
        <w:rPr>
          <w:rFonts w:hint="eastAsia" w:ascii="宋体" w:hAnsi="宋体" w:eastAsia="宋体" w:cs="宋体"/>
          <w:sz w:val="24"/>
        </w:rPr>
        <w:t>发行人股东与发行人及其控股股东</w:t>
      </w:r>
      <w:r>
        <w:rPr>
          <w:rFonts w:hint="eastAsia" w:ascii="宋体" w:hAnsi="宋体" w:eastAsia="宋体" w:cs="宋体"/>
          <w:sz w:val="10"/>
        </w:rPr>
        <w:t>、</w:t>
      </w:r>
      <w:r>
        <w:rPr>
          <w:rFonts w:hint="eastAsia" w:ascii="宋体" w:hAnsi="宋体" w:eastAsia="宋体" w:cs="宋体"/>
          <w:sz w:val="24"/>
        </w:rPr>
        <w:t>实际控制人之间不存在对赌协议或其他特殊协议安排</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（二）本次发行前后的前十名股东</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20"/>
        <w:gridCol w:w="1700"/>
        <w:gridCol w:w="1360"/>
        <w:gridCol w:w="1380"/>
        <w:gridCol w:w="1440"/>
        <w:gridCol w:w="1320"/>
      </w:tblGrid>
      <w:tr>
        <w:trPr>
          <w:trHeight w:val="480" w:hRule="exact"/>
        </w:trPr>
        <w:tc>
          <w:tcPr>
            <w:tcW w:w="1320" w:type="dxa"/>
            <w:vMerge w:val="restart"/>
            <w:tcMar>
              <w:top w:w="0" w:type="dxa"/>
              <w:left w:w="0" w:type="dxa"/>
              <w:bottom w:w="0" w:type="dxa"/>
              <w:right w:w="0" w:type="dxa"/>
            </w:tcMar>
          </w:tcPr>
          <w:p>
            <w:pPr>
              <w:spacing w:before="440"/>
              <w:ind w:left="440"/>
            </w:pPr>
            <w:r>
              <w:rPr>
                <w:rFonts w:hint="eastAsia" w:ascii="宋体" w:hAnsi="宋体" w:eastAsia="宋体" w:cs="宋体"/>
                <w:b/>
                <w:sz w:val="21"/>
              </w:rPr>
              <w:t>序号</w:t>
            </w:r>
          </w:p>
        </w:tc>
        <w:tc>
          <w:tcPr>
            <w:tcW w:w="1700" w:type="dxa"/>
            <w:vMerge w:val="restart"/>
            <w:tcMar>
              <w:top w:w="0" w:type="dxa"/>
              <w:left w:w="0" w:type="dxa"/>
              <w:bottom w:w="0" w:type="dxa"/>
              <w:right w:w="0" w:type="dxa"/>
            </w:tcMar>
          </w:tcPr>
          <w:p>
            <w:pPr>
              <w:spacing w:before="440"/>
              <w:ind w:left="420"/>
            </w:pPr>
            <w:r>
              <w:rPr>
                <w:rFonts w:hint="eastAsia" w:ascii="宋体" w:hAnsi="宋体" w:eastAsia="宋体" w:cs="宋体"/>
                <w:b/>
                <w:sz w:val="21"/>
              </w:rPr>
              <w:t>股东名称</w:t>
            </w:r>
          </w:p>
        </w:tc>
        <w:tc>
          <w:tcPr>
            <w:tcW w:w="2740" w:type="dxa"/>
            <w:gridSpan w:val="2"/>
            <w:tcMar>
              <w:top w:w="0" w:type="dxa"/>
              <w:left w:w="0" w:type="dxa"/>
              <w:bottom w:w="0" w:type="dxa"/>
              <w:right w:w="0" w:type="dxa"/>
            </w:tcMar>
          </w:tcPr>
          <w:p>
            <w:pPr>
              <w:spacing w:before="120"/>
              <w:ind w:left="820"/>
            </w:pPr>
            <w:r>
              <w:rPr>
                <w:rFonts w:hint="eastAsia" w:ascii="宋体" w:hAnsi="宋体" w:eastAsia="宋体" w:cs="宋体"/>
                <w:b/>
                <w:sz w:val="21"/>
              </w:rPr>
              <w:t>本次发行前</w:t>
            </w:r>
          </w:p>
        </w:tc>
        <w:tc>
          <w:tcPr>
            <w:tcW w:w="2760" w:type="dxa"/>
            <w:gridSpan w:val="2"/>
            <w:tcMar>
              <w:top w:w="0" w:type="dxa"/>
              <w:left w:w="0" w:type="dxa"/>
              <w:bottom w:w="0" w:type="dxa"/>
              <w:right w:w="0" w:type="dxa"/>
            </w:tcMar>
          </w:tcPr>
          <w:p>
            <w:pPr>
              <w:spacing w:before="120"/>
              <w:ind w:left="840"/>
            </w:pPr>
            <w:r>
              <w:rPr>
                <w:rFonts w:hint="eastAsia" w:ascii="宋体" w:hAnsi="宋体" w:eastAsia="宋体" w:cs="宋体"/>
                <w:b/>
                <w:sz w:val="21"/>
              </w:rPr>
              <w:t>本次发行后</w:t>
            </w:r>
          </w:p>
        </w:tc>
      </w:tr>
      <w:tr>
        <w:trPr>
          <w:trHeight w:val="640" w:hRule="exact"/>
        </w:trPr>
        <w:tc>
          <w:tcPr>
            <w:tcW w:w="1320" w:type="dxa"/>
            <w:vMerge w:val="continue"/>
            <w:tcMar>
              <w:top w:w="0" w:type="dxa"/>
              <w:left w:w="0" w:type="dxa"/>
              <w:bottom w:w="0" w:type="dxa"/>
              <w:right w:w="0" w:type="dxa"/>
            </w:tcMar>
          </w:tcPr>
          <w:p/>
        </w:tc>
        <w:tc>
          <w:tcPr>
            <w:tcW w:w="1700" w:type="dxa"/>
            <w:vMerge w:val="continue"/>
            <w:tcMar>
              <w:top w:w="0" w:type="dxa"/>
              <w:left w:w="0" w:type="dxa"/>
              <w:bottom w:w="0" w:type="dxa"/>
              <w:right w:w="0" w:type="dxa"/>
            </w:tcMar>
          </w:tcPr>
          <w:p/>
        </w:tc>
        <w:tc>
          <w:tcPr>
            <w:tcW w:w="1360" w:type="dxa"/>
            <w:tcMar>
              <w:top w:w="0" w:type="dxa"/>
              <w:left w:w="0" w:type="dxa"/>
              <w:bottom w:w="0" w:type="dxa"/>
              <w:right w:w="0" w:type="dxa"/>
            </w:tcMar>
          </w:tcPr>
          <w:p>
            <w:pPr>
              <w:spacing w:before="40"/>
              <w:ind w:left="340"/>
            </w:pPr>
            <w:r>
              <w:rPr>
                <w:rFonts w:hint="eastAsia" w:ascii="宋体" w:hAnsi="宋体" w:eastAsia="宋体" w:cs="宋体"/>
                <w:b/>
                <w:sz w:val="21"/>
              </w:rPr>
              <w:t>持股数</w:t>
            </w:r>
          </w:p>
          <w:p>
            <w:pPr>
              <w:spacing w:before="100"/>
              <w:ind w:left="240"/>
            </w:pP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1380" w:type="dxa"/>
            <w:tcMar>
              <w:top w:w="0" w:type="dxa"/>
              <w:left w:w="0" w:type="dxa"/>
              <w:bottom w:w="0" w:type="dxa"/>
              <w:right w:w="0" w:type="dxa"/>
            </w:tcMar>
          </w:tcPr>
          <w:p>
            <w:pPr>
              <w:spacing w:before="200"/>
              <w:ind w:left="240"/>
            </w:pPr>
            <w:r>
              <w:rPr>
                <w:rFonts w:hint="eastAsia" w:ascii="宋体" w:hAnsi="宋体" w:eastAsia="宋体" w:cs="宋体"/>
                <w:b/>
                <w:sz w:val="21"/>
              </w:rPr>
              <w:t>持股比例</w:t>
            </w:r>
          </w:p>
        </w:tc>
        <w:tc>
          <w:tcPr>
            <w:tcW w:w="1440" w:type="dxa"/>
            <w:tcMar>
              <w:top w:w="0" w:type="dxa"/>
              <w:left w:w="0" w:type="dxa"/>
              <w:bottom w:w="0" w:type="dxa"/>
              <w:right w:w="0" w:type="dxa"/>
            </w:tcMar>
          </w:tcPr>
          <w:p>
            <w:pPr>
              <w:spacing w:before="40"/>
              <w:ind w:left="380"/>
            </w:pPr>
            <w:r>
              <w:rPr>
                <w:rFonts w:hint="eastAsia" w:ascii="宋体" w:hAnsi="宋体" w:eastAsia="宋体" w:cs="宋体"/>
                <w:b/>
                <w:sz w:val="21"/>
              </w:rPr>
              <w:t>持股数</w:t>
            </w:r>
          </w:p>
          <w:p>
            <w:pPr>
              <w:spacing w:before="100"/>
              <w:ind w:left="280"/>
            </w:pP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1320" w:type="dxa"/>
            <w:tcMar>
              <w:top w:w="0" w:type="dxa"/>
              <w:left w:w="0" w:type="dxa"/>
              <w:bottom w:w="0" w:type="dxa"/>
              <w:right w:w="0" w:type="dxa"/>
            </w:tcMar>
          </w:tcPr>
          <w:p>
            <w:pPr>
              <w:spacing w:before="200"/>
              <w:ind w:left="220"/>
            </w:pPr>
            <w:r>
              <w:rPr>
                <w:rFonts w:hint="eastAsia" w:ascii="宋体" w:hAnsi="宋体" w:eastAsia="宋体" w:cs="宋体"/>
                <w:b/>
                <w:sz w:val="21"/>
              </w:rPr>
              <w:t>持股比例</w:t>
            </w:r>
          </w:p>
        </w:tc>
      </w:tr>
      <w:tr>
        <w:trPr>
          <w:trHeight w:val="48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1</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严孟宇</w:t>
            </w:r>
          </w:p>
        </w:tc>
        <w:tc>
          <w:tcPr>
            <w:tcW w:w="13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40"/>
              <w:ind w:left="60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5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20" w:type="dxa"/>
            <w:tcMar>
              <w:top w:w="0" w:type="dxa"/>
              <w:left w:w="0" w:type="dxa"/>
              <w:bottom w:w="0" w:type="dxa"/>
              <w:right w:w="0" w:type="dxa"/>
            </w:tcMar>
          </w:tcPr>
          <w:p>
            <w:pPr>
              <w:spacing w:before="140"/>
              <w:ind w:left="56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p>
        </w:tc>
      </w:tr>
      <w:tr>
        <w:trPr>
          <w:trHeight w:val="46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2</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金石投资</w:t>
            </w:r>
          </w:p>
        </w:tc>
        <w:tc>
          <w:tcPr>
            <w:tcW w:w="136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5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20" w:type="dxa"/>
            <w:tcMar>
              <w:top w:w="0" w:type="dxa"/>
              <w:left w:w="0" w:type="dxa"/>
              <w:bottom w:w="0" w:type="dxa"/>
              <w:right w:w="0" w:type="dxa"/>
            </w:tcMar>
          </w:tcPr>
          <w:p>
            <w:pPr>
              <w:spacing w:before="160"/>
              <w:ind w:left="56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80"/>
              <w:ind w:left="600"/>
            </w:pPr>
            <w:r>
              <w:rPr>
                <w:rFonts w:hint="eastAsia" w:ascii="Times New Roman" w:hAnsi="Times New Roman" w:eastAsia="Times New Roman" w:cs="Times New Roman"/>
                <w:sz w:val="21"/>
              </w:rPr>
              <w:t>3</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爱派克</w:t>
            </w:r>
          </w:p>
        </w:tc>
        <w:tc>
          <w:tcPr>
            <w:tcW w:w="136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80"/>
              <w:ind w:left="60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80"/>
              <w:ind w:left="5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20" w:type="dxa"/>
            <w:tcMar>
              <w:top w:w="0" w:type="dxa"/>
              <w:left w:w="0" w:type="dxa"/>
              <w:bottom w:w="0" w:type="dxa"/>
              <w:right w:w="0" w:type="dxa"/>
            </w:tcMar>
          </w:tcPr>
          <w:p>
            <w:pPr>
              <w:spacing w:before="180"/>
              <w:ind w:left="56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4</w:t>
            </w:r>
          </w:p>
        </w:tc>
        <w:tc>
          <w:tcPr>
            <w:tcW w:w="1700" w:type="dxa"/>
            <w:tcMar>
              <w:top w:w="0" w:type="dxa"/>
              <w:left w:w="0" w:type="dxa"/>
              <w:bottom w:w="0" w:type="dxa"/>
              <w:right w:w="0" w:type="dxa"/>
            </w:tcMar>
          </w:tcPr>
          <w:p>
            <w:pPr>
              <w:spacing w:before="120"/>
              <w:ind w:left="620"/>
            </w:pPr>
            <w:r>
              <w:rPr>
                <w:rFonts w:hint="eastAsia" w:ascii="宋体" w:hAnsi="宋体" w:eastAsia="宋体" w:cs="宋体"/>
                <w:sz w:val="21"/>
              </w:rPr>
              <w:t>赵伟</w:t>
            </w:r>
          </w:p>
        </w:tc>
        <w:tc>
          <w:tcPr>
            <w:tcW w:w="136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618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618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2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5</w:t>
            </w:r>
          </w:p>
        </w:tc>
        <w:tc>
          <w:tcPr>
            <w:tcW w:w="1700" w:type="dxa"/>
            <w:tcMar>
              <w:top w:w="0" w:type="dxa"/>
              <w:left w:w="0" w:type="dxa"/>
              <w:bottom w:w="0" w:type="dxa"/>
              <w:right w:w="0" w:type="dxa"/>
            </w:tcMar>
          </w:tcPr>
          <w:p>
            <w:pPr>
              <w:spacing w:before="100"/>
              <w:ind w:left="520"/>
            </w:pPr>
            <w:r>
              <w:rPr>
                <w:rFonts w:hint="eastAsia" w:ascii="宋体" w:hAnsi="宋体" w:eastAsia="宋体" w:cs="宋体"/>
                <w:sz w:val="21"/>
              </w:rPr>
              <w:t>雷世潘</w:t>
            </w:r>
          </w:p>
        </w:tc>
        <w:tc>
          <w:tcPr>
            <w:tcW w:w="136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278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278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2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6</w:t>
            </w:r>
          </w:p>
        </w:tc>
        <w:tc>
          <w:tcPr>
            <w:tcW w:w="1700" w:type="dxa"/>
            <w:tcMar>
              <w:top w:w="0" w:type="dxa"/>
              <w:left w:w="0" w:type="dxa"/>
              <w:bottom w:w="0" w:type="dxa"/>
              <w:right w:w="0" w:type="dxa"/>
            </w:tcMar>
          </w:tcPr>
          <w:p>
            <w:pPr>
              <w:spacing w:before="120"/>
              <w:ind w:left="620"/>
            </w:pPr>
            <w:r>
              <w:rPr>
                <w:rFonts w:hint="eastAsia" w:ascii="宋体" w:hAnsi="宋体" w:eastAsia="宋体" w:cs="宋体"/>
                <w:sz w:val="21"/>
              </w:rPr>
              <w:t>赵莹</w:t>
            </w:r>
          </w:p>
        </w:tc>
        <w:tc>
          <w:tcPr>
            <w:tcW w:w="136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180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180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2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p>
        </w:tc>
      </w:tr>
      <w:tr>
        <w:trPr>
          <w:trHeight w:val="46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7</w:t>
            </w:r>
          </w:p>
        </w:tc>
        <w:tc>
          <w:tcPr>
            <w:tcW w:w="1700" w:type="dxa"/>
            <w:tcMar>
              <w:top w:w="0" w:type="dxa"/>
              <w:left w:w="0" w:type="dxa"/>
              <w:bottom w:w="0" w:type="dxa"/>
              <w:right w:w="0" w:type="dxa"/>
            </w:tcMar>
          </w:tcPr>
          <w:p>
            <w:pPr>
              <w:spacing w:before="100"/>
              <w:ind w:left="520"/>
            </w:pPr>
            <w:r>
              <w:rPr>
                <w:rFonts w:hint="eastAsia" w:ascii="宋体" w:hAnsi="宋体" w:eastAsia="宋体" w:cs="宋体"/>
                <w:sz w:val="21"/>
              </w:rPr>
              <w:t>余养成</w:t>
            </w:r>
          </w:p>
        </w:tc>
        <w:tc>
          <w:tcPr>
            <w:tcW w:w="136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174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174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2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80"/>
              <w:ind w:left="600"/>
            </w:pPr>
            <w:r>
              <w:rPr>
                <w:rFonts w:hint="eastAsia" w:ascii="Times New Roman" w:hAnsi="Times New Roman" w:eastAsia="Times New Roman" w:cs="Times New Roman"/>
                <w:sz w:val="21"/>
              </w:rPr>
              <w:t>8</w:t>
            </w:r>
          </w:p>
        </w:tc>
        <w:tc>
          <w:tcPr>
            <w:tcW w:w="1700" w:type="dxa"/>
            <w:tcMar>
              <w:top w:w="0" w:type="dxa"/>
              <w:left w:w="0" w:type="dxa"/>
              <w:bottom w:w="0" w:type="dxa"/>
              <w:right w:w="0" w:type="dxa"/>
            </w:tcMar>
          </w:tcPr>
          <w:p>
            <w:pPr>
              <w:spacing w:before="120"/>
              <w:ind w:left="520"/>
            </w:pPr>
            <w:r>
              <w:rPr>
                <w:rFonts w:hint="eastAsia" w:ascii="宋体" w:hAnsi="宋体" w:eastAsia="宋体" w:cs="宋体"/>
                <w:sz w:val="21"/>
              </w:rPr>
              <w:t>董南勇</w:t>
            </w:r>
          </w:p>
        </w:tc>
        <w:tc>
          <w:tcPr>
            <w:tcW w:w="1360" w:type="dxa"/>
            <w:tcMar>
              <w:top w:w="0" w:type="dxa"/>
              <w:left w:w="0" w:type="dxa"/>
              <w:bottom w:w="0" w:type="dxa"/>
              <w:right w:w="0" w:type="dxa"/>
            </w:tcMar>
          </w:tcPr>
          <w:p>
            <w:pPr>
              <w:spacing w:before="180"/>
              <w:ind w:left="640"/>
            </w:pP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80"/>
              <w:ind w:left="740"/>
            </w:pP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32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r>
      <w:tr>
        <w:trPr>
          <w:trHeight w:val="480" w:hRule="exact"/>
        </w:trPr>
        <w:tc>
          <w:tcPr>
            <w:tcW w:w="132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9</w:t>
            </w:r>
          </w:p>
        </w:tc>
        <w:tc>
          <w:tcPr>
            <w:tcW w:w="1700" w:type="dxa"/>
            <w:tcMar>
              <w:top w:w="0" w:type="dxa"/>
              <w:left w:w="0" w:type="dxa"/>
              <w:bottom w:w="0" w:type="dxa"/>
              <w:right w:w="0" w:type="dxa"/>
            </w:tcMar>
          </w:tcPr>
          <w:p>
            <w:pPr>
              <w:spacing w:before="100"/>
              <w:ind w:left="520"/>
            </w:pPr>
            <w:r>
              <w:rPr>
                <w:rFonts w:hint="eastAsia" w:ascii="宋体" w:hAnsi="宋体" w:eastAsia="宋体" w:cs="宋体"/>
                <w:sz w:val="21"/>
              </w:rPr>
              <w:t>戴小戈</w:t>
            </w:r>
          </w:p>
        </w:tc>
        <w:tc>
          <w:tcPr>
            <w:tcW w:w="136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8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32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460" w:hRule="exact"/>
        </w:trPr>
        <w:tc>
          <w:tcPr>
            <w:tcW w:w="13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10</w:t>
            </w:r>
          </w:p>
        </w:tc>
        <w:tc>
          <w:tcPr>
            <w:tcW w:w="1700" w:type="dxa"/>
            <w:tcMar>
              <w:top w:w="0" w:type="dxa"/>
              <w:left w:w="0" w:type="dxa"/>
              <w:bottom w:w="0" w:type="dxa"/>
              <w:right w:w="0" w:type="dxa"/>
            </w:tcMar>
          </w:tcPr>
          <w:p>
            <w:pPr>
              <w:spacing w:before="120"/>
              <w:ind w:left="620"/>
            </w:pPr>
            <w:r>
              <w:rPr>
                <w:rFonts w:hint="eastAsia" w:ascii="宋体" w:hAnsi="宋体" w:eastAsia="宋体" w:cs="宋体"/>
                <w:sz w:val="21"/>
              </w:rPr>
              <w:t>欧永</w:t>
            </w:r>
          </w:p>
        </w:tc>
        <w:tc>
          <w:tcPr>
            <w:tcW w:w="136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8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2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r>
      <w:tr>
        <w:trPr>
          <w:trHeight w:val="480" w:hRule="exact"/>
        </w:trPr>
        <w:tc>
          <w:tcPr>
            <w:tcW w:w="3020" w:type="dxa"/>
            <w:gridSpan w:val="2"/>
            <w:tcMar>
              <w:top w:w="0" w:type="dxa"/>
              <w:left w:w="0" w:type="dxa"/>
              <w:bottom w:w="0" w:type="dxa"/>
              <w:right w:w="0" w:type="dxa"/>
            </w:tcMar>
          </w:tcPr>
          <w:p>
            <w:pPr>
              <w:spacing w:before="120"/>
              <w:ind w:left="1060"/>
            </w:pPr>
            <w:r>
              <w:rPr>
                <w:rFonts w:hint="eastAsia" w:ascii="宋体" w:hAnsi="宋体" w:eastAsia="宋体" w:cs="宋体"/>
                <w:b/>
                <w:sz w:val="21"/>
              </w:rPr>
              <w:t>前十合计</w:t>
            </w:r>
          </w:p>
        </w:tc>
        <w:tc>
          <w:tcPr>
            <w:tcW w:w="1360" w:type="dxa"/>
            <w:tcMar>
              <w:top w:w="0" w:type="dxa"/>
              <w:left w:w="0" w:type="dxa"/>
              <w:bottom w:w="0" w:type="dxa"/>
              <w:right w:w="0" w:type="dxa"/>
            </w:tcMar>
          </w:tcPr>
          <w:p>
            <w:pPr>
              <w:spacing w:before="180"/>
              <w:ind w:left="460"/>
            </w:pPr>
            <w:r>
              <w:rPr>
                <w:rFonts w:hint="eastAsia" w:ascii="Times New Roman Bold" w:hAnsi="Times New Roman Bold" w:eastAsia="Times New Roman Bold" w:cs="Times New Roman Bold"/>
                <w:b/>
                <w:sz w:val="22"/>
              </w:rPr>
              <w:t>5,846.80</w:t>
            </w:r>
          </w:p>
        </w:tc>
        <w:tc>
          <w:tcPr>
            <w:tcW w:w="1380" w:type="dxa"/>
            <w:tcMar>
              <w:top w:w="0" w:type="dxa"/>
              <w:left w:w="0" w:type="dxa"/>
              <w:bottom w:w="0" w:type="dxa"/>
              <w:right w:w="0" w:type="dxa"/>
            </w:tcMar>
          </w:tcPr>
          <w:p>
            <w:pPr>
              <w:spacing w:before="180"/>
              <w:ind w:left="540"/>
            </w:pPr>
            <w:r>
              <w:rPr>
                <w:rFonts w:hint="eastAsia" w:ascii="Times New Roman Bold" w:hAnsi="Times New Roman Bold" w:eastAsia="Times New Roman Bold" w:cs="Times New Roman Bold"/>
                <w:b/>
                <w:sz w:val="22"/>
              </w:rPr>
              <w:t>92.60%</w:t>
            </w:r>
          </w:p>
        </w:tc>
        <w:tc>
          <w:tcPr>
            <w:tcW w:w="1440" w:type="dxa"/>
            <w:tcMar>
              <w:top w:w="0" w:type="dxa"/>
              <w:left w:w="0" w:type="dxa"/>
              <w:bottom w:w="0" w:type="dxa"/>
              <w:right w:w="0" w:type="dxa"/>
            </w:tcMar>
          </w:tcPr>
          <w:p>
            <w:pPr>
              <w:spacing w:before="180"/>
              <w:ind w:left="540"/>
            </w:pPr>
            <w:r>
              <w:rPr>
                <w:rFonts w:hint="eastAsia" w:ascii="Times New Roman Bold" w:hAnsi="Times New Roman Bold" w:eastAsia="Times New Roman Bold" w:cs="Times New Roman Bold"/>
                <w:b/>
                <w:sz w:val="22"/>
              </w:rPr>
              <w:t>5,846.80</w:t>
            </w:r>
          </w:p>
        </w:tc>
        <w:tc>
          <w:tcPr>
            <w:tcW w:w="1320" w:type="dxa"/>
            <w:tcMar>
              <w:top w:w="0" w:type="dxa"/>
              <w:left w:w="0" w:type="dxa"/>
              <w:bottom w:w="0" w:type="dxa"/>
              <w:right w:w="0" w:type="dxa"/>
            </w:tcMar>
          </w:tcPr>
          <w:p>
            <w:pPr>
              <w:spacing w:before="180"/>
              <w:ind w:left="520"/>
            </w:pPr>
            <w:r>
              <w:rPr>
                <w:rFonts w:hint="eastAsia" w:ascii="Times New Roman Bold" w:hAnsi="Times New Roman Bold" w:eastAsia="Times New Roman Bold" w:cs="Times New Roman Bold"/>
                <w:b/>
                <w:sz w:val="21"/>
              </w:rPr>
              <w:t>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宋体" w:hAnsi="宋体" w:eastAsia="宋体" w:cs="宋体"/>
          <w:b/>
          <w:sz w:val="20"/>
        </w:rPr>
        <w:t>（</w:t>
      </w:r>
      <w:r>
        <w:rPr>
          <w:rFonts w:hint="eastAsia" w:ascii="宋体" w:hAnsi="宋体" w:eastAsia="宋体" w:cs="宋体"/>
          <w:b/>
          <w:sz w:val="24"/>
        </w:rPr>
        <w:t>三）本次发行前后的前十名自然人股东及其在发行人处担任的职务</w:t>
      </w:r>
    </w:p>
    <w:p>
      <w:pPr>
        <w:spacing w:line="200" w:lineRule="exact"/>
        <w:rPr>
          <w:rFonts w:hint="eastAsia" w:ascii="宋体" w:hAnsi="宋体" w:eastAsia="宋体" w:cs="宋体"/>
          <w:sz w:val="20"/>
        </w:rPr>
      </w:pPr>
    </w:p>
    <w:p>
      <w:pPr>
        <w:autoSpaceDE w:val="false"/>
        <w:autoSpaceDN w:val="false"/>
        <w:spacing w:line="440" w:lineRule="exact"/>
        <w:ind w:left="1800" w:right="166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本公司共有</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名自然人股东</w:t>
      </w:r>
      <w:r>
        <w:rPr>
          <w:rFonts w:hint="eastAsia" w:ascii="宋体" w:hAnsi="宋体" w:eastAsia="宋体" w:cs="宋体"/>
          <w:sz w:val="10"/>
        </w:rPr>
        <w:t>，</w:t>
      </w:r>
      <w:r>
        <w:rPr>
          <w:rFonts w:hint="eastAsia" w:ascii="宋体" w:hAnsi="宋体" w:eastAsia="宋体" w:cs="宋体"/>
          <w:sz w:val="24"/>
        </w:rPr>
        <w:t>其中前十名自然人股东在公司任职情况具体如下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2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680"/>
        <w:gridCol w:w="1500"/>
        <w:gridCol w:w="1900"/>
        <w:gridCol w:w="1280"/>
        <w:gridCol w:w="3160"/>
      </w:tblGrid>
      <w:tr>
        <w:trPr>
          <w:trHeight w:val="520" w:hRule="exact"/>
        </w:trPr>
        <w:tc>
          <w:tcPr>
            <w:tcW w:w="680" w:type="dxa"/>
            <w:tcMar>
              <w:top w:w="0" w:type="dxa"/>
              <w:left w:w="0" w:type="dxa"/>
              <w:bottom w:w="0" w:type="dxa"/>
              <w:right w:w="0" w:type="dxa"/>
            </w:tcMar>
          </w:tcPr>
          <w:p>
            <w:pPr>
              <w:spacing w:before="120"/>
              <w:ind w:left="100"/>
            </w:pPr>
            <w:r>
              <w:rPr>
                <w:rFonts w:hint="eastAsia" w:ascii="宋体" w:hAnsi="宋体" w:eastAsia="宋体" w:cs="宋体"/>
                <w:b/>
                <w:sz w:val="21"/>
              </w:rPr>
              <w:t>序号</w:t>
            </w:r>
          </w:p>
        </w:tc>
        <w:tc>
          <w:tcPr>
            <w:tcW w:w="1500" w:type="dxa"/>
            <w:tcMar>
              <w:top w:w="0" w:type="dxa"/>
              <w:left w:w="0" w:type="dxa"/>
              <w:bottom w:w="0" w:type="dxa"/>
              <w:right w:w="0" w:type="dxa"/>
            </w:tcMar>
          </w:tcPr>
          <w:p>
            <w:pPr>
              <w:spacing w:before="120"/>
              <w:ind w:left="300"/>
            </w:pPr>
            <w:r>
              <w:rPr>
                <w:rFonts w:hint="eastAsia" w:ascii="宋体" w:hAnsi="宋体" w:eastAsia="宋体" w:cs="宋体"/>
                <w:b/>
                <w:sz w:val="21"/>
              </w:rPr>
              <w:t>股东名称</w:t>
            </w:r>
          </w:p>
        </w:tc>
        <w:tc>
          <w:tcPr>
            <w:tcW w:w="1900" w:type="dxa"/>
            <w:tcMar>
              <w:top w:w="0" w:type="dxa"/>
              <w:left w:w="0" w:type="dxa"/>
              <w:bottom w:w="0" w:type="dxa"/>
              <w:right w:w="0" w:type="dxa"/>
            </w:tcMar>
          </w:tcPr>
          <w:p>
            <w:pPr>
              <w:spacing w:before="120"/>
            </w:pPr>
            <w:r>
              <w:rPr>
                <w:rFonts w:hint="eastAsia" w:ascii="宋体" w:hAnsi="宋体" w:eastAsia="宋体" w:cs="宋体"/>
                <w:b/>
                <w:sz w:val="21"/>
              </w:rPr>
              <w:t>持股数量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1280" w:type="dxa"/>
            <w:tcMar>
              <w:top w:w="0" w:type="dxa"/>
              <w:left w:w="0" w:type="dxa"/>
              <w:bottom w:w="0" w:type="dxa"/>
              <w:right w:w="0" w:type="dxa"/>
            </w:tcMar>
          </w:tcPr>
          <w:p>
            <w:pPr>
              <w:spacing w:before="120"/>
              <w:ind w:left="200"/>
            </w:pPr>
            <w:r>
              <w:rPr>
                <w:rFonts w:hint="eastAsia" w:ascii="宋体" w:hAnsi="宋体" w:eastAsia="宋体" w:cs="宋体"/>
                <w:b/>
                <w:sz w:val="21"/>
              </w:rPr>
              <w:t>持股比例</w:t>
            </w:r>
          </w:p>
        </w:tc>
        <w:tc>
          <w:tcPr>
            <w:tcW w:w="3160" w:type="dxa"/>
            <w:tcMar>
              <w:top w:w="0" w:type="dxa"/>
              <w:left w:w="0" w:type="dxa"/>
              <w:bottom w:w="0" w:type="dxa"/>
              <w:right w:w="0" w:type="dxa"/>
            </w:tcMar>
          </w:tcPr>
          <w:p>
            <w:pPr>
              <w:spacing w:before="120"/>
              <w:ind w:left="1040"/>
            </w:pPr>
            <w:r>
              <w:rPr>
                <w:rFonts w:hint="eastAsia" w:ascii="宋体" w:hAnsi="宋体" w:eastAsia="宋体" w:cs="宋体"/>
                <w:b/>
                <w:sz w:val="21"/>
              </w:rPr>
              <w:t>在公司任职</w:t>
            </w:r>
          </w:p>
        </w:tc>
      </w:tr>
      <w:tr>
        <w:trPr>
          <w:trHeight w:val="54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1</w:t>
            </w:r>
          </w:p>
        </w:tc>
        <w:tc>
          <w:tcPr>
            <w:tcW w:w="1500" w:type="dxa"/>
            <w:tcMar>
              <w:top w:w="0" w:type="dxa"/>
              <w:left w:w="0" w:type="dxa"/>
              <w:bottom w:w="0" w:type="dxa"/>
              <w:right w:w="0" w:type="dxa"/>
            </w:tcMar>
          </w:tcPr>
          <w:p>
            <w:pPr>
              <w:spacing w:before="120"/>
              <w:ind w:left="420"/>
            </w:pPr>
            <w:r>
              <w:rPr>
                <w:rFonts w:hint="eastAsia" w:ascii="宋体" w:hAnsi="宋体" w:eastAsia="宋体" w:cs="宋体"/>
                <w:sz w:val="21"/>
              </w:rPr>
              <w:t>严孟宇</w:t>
            </w:r>
          </w:p>
        </w:tc>
        <w:tc>
          <w:tcPr>
            <w:tcW w:w="1900" w:type="dxa"/>
            <w:tcMar>
              <w:top w:w="0" w:type="dxa"/>
              <w:left w:w="0" w:type="dxa"/>
              <w:bottom w:w="0" w:type="dxa"/>
              <w:right w:w="0" w:type="dxa"/>
            </w:tcMar>
          </w:tcPr>
          <w:p>
            <w:pPr>
              <w:spacing w:before="180"/>
              <w:ind w:left="10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28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120"/>
            </w:pPr>
            <w:r>
              <w:rPr>
                <w:rFonts w:hint="eastAsia" w:ascii="宋体" w:hAnsi="宋体" w:eastAsia="宋体" w:cs="宋体"/>
                <w:sz w:val="21"/>
              </w:rPr>
              <w:t>董事长</w:t>
            </w:r>
            <w:r>
              <w:rPr>
                <w:rFonts w:hint="eastAsia" w:ascii="宋体" w:hAnsi="宋体" w:eastAsia="宋体" w:cs="宋体"/>
                <w:sz w:val="10"/>
              </w:rPr>
              <w:t>、</w:t>
            </w:r>
            <w:r>
              <w:rPr>
                <w:rFonts w:hint="eastAsia" w:ascii="宋体" w:hAnsi="宋体" w:eastAsia="宋体" w:cs="宋体"/>
                <w:sz w:val="21"/>
              </w:rPr>
              <w:t>总经理</w:t>
            </w:r>
          </w:p>
        </w:tc>
      </w:tr>
      <w:tr>
        <w:trPr>
          <w:trHeight w:val="640" w:hRule="exact"/>
        </w:trPr>
        <w:tc>
          <w:tcPr>
            <w:tcW w:w="680" w:type="dxa"/>
            <w:tcMar>
              <w:top w:w="0" w:type="dxa"/>
              <w:left w:w="0" w:type="dxa"/>
              <w:bottom w:w="0" w:type="dxa"/>
              <w:right w:w="0" w:type="dxa"/>
            </w:tcMar>
          </w:tcPr>
          <w:p>
            <w:pPr>
              <w:spacing w:before="240"/>
              <w:ind w:left="260"/>
            </w:pPr>
            <w:r>
              <w:rPr>
                <w:rFonts w:hint="eastAsia" w:ascii="Times New Roman" w:hAnsi="Times New Roman" w:eastAsia="Times New Roman" w:cs="Times New Roman"/>
                <w:sz w:val="21"/>
              </w:rPr>
              <w:t>2</w:t>
            </w:r>
          </w:p>
        </w:tc>
        <w:tc>
          <w:tcPr>
            <w:tcW w:w="1500" w:type="dxa"/>
            <w:tcMar>
              <w:top w:w="0" w:type="dxa"/>
              <w:left w:w="0" w:type="dxa"/>
              <w:bottom w:w="0" w:type="dxa"/>
              <w:right w:w="0" w:type="dxa"/>
            </w:tcMar>
          </w:tcPr>
          <w:p>
            <w:pPr>
              <w:spacing w:before="200"/>
              <w:ind w:left="520"/>
            </w:pPr>
            <w:r>
              <w:rPr>
                <w:rFonts w:hint="eastAsia" w:ascii="宋体" w:hAnsi="宋体" w:eastAsia="宋体" w:cs="宋体"/>
                <w:sz w:val="21"/>
              </w:rPr>
              <w:t>赵伟</w:t>
            </w:r>
          </w:p>
        </w:tc>
        <w:tc>
          <w:tcPr>
            <w:tcW w:w="1900" w:type="dxa"/>
            <w:tcMar>
              <w:top w:w="0" w:type="dxa"/>
              <w:left w:w="0" w:type="dxa"/>
              <w:bottom w:w="0" w:type="dxa"/>
              <w:right w:w="0" w:type="dxa"/>
            </w:tcMar>
          </w:tcPr>
          <w:p>
            <w:pPr>
              <w:spacing w:before="240"/>
              <w:ind w:left="1180"/>
            </w:pPr>
            <w:r>
              <w:rPr>
                <w:rFonts w:hint="eastAsia" w:ascii="Times New Roman" w:hAnsi="Times New Roman" w:eastAsia="Times New Roman" w:cs="Times New Roman"/>
                <w:sz w:val="21"/>
              </w:rPr>
              <w:t>618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280" w:type="dxa"/>
            <w:tcMar>
              <w:top w:w="0" w:type="dxa"/>
              <w:left w:w="0" w:type="dxa"/>
              <w:bottom w:w="0" w:type="dxa"/>
              <w:right w:w="0" w:type="dxa"/>
            </w:tcMar>
          </w:tcPr>
          <w:p>
            <w:pPr>
              <w:spacing w:before="220"/>
              <w:ind w:left="60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20"/>
            </w:pPr>
            <w:r>
              <w:rPr>
                <w:rFonts w:hint="eastAsia" w:ascii="宋体" w:hAnsi="宋体" w:eastAsia="宋体" w:cs="宋体"/>
                <w:sz w:val="21"/>
              </w:rPr>
              <w:t>副董事长</w:t>
            </w:r>
            <w:r>
              <w:rPr>
                <w:rFonts w:hint="eastAsia" w:ascii="宋体" w:hAnsi="宋体" w:eastAsia="宋体" w:cs="宋体"/>
                <w:sz w:val="10"/>
              </w:rPr>
              <w:t>、</w:t>
            </w:r>
            <w:r>
              <w:rPr>
                <w:rFonts w:hint="eastAsia" w:ascii="宋体" w:hAnsi="宋体" w:eastAsia="宋体" w:cs="宋体"/>
                <w:sz w:val="21"/>
              </w:rPr>
              <w:t>副总经理</w:t>
            </w:r>
            <w:r>
              <w:rPr>
                <w:rFonts w:hint="eastAsia" w:ascii="宋体" w:hAnsi="宋体" w:eastAsia="宋体" w:cs="宋体"/>
                <w:sz w:val="10"/>
              </w:rPr>
              <w:t>、</w:t>
            </w:r>
            <w:r>
              <w:rPr>
                <w:rFonts w:hint="eastAsia" w:ascii="宋体" w:hAnsi="宋体" w:eastAsia="宋体" w:cs="宋体"/>
                <w:sz w:val="21"/>
              </w:rPr>
              <w:t>财务总监</w:t>
            </w:r>
            <w:r>
              <w:rPr>
                <w:rFonts w:hint="eastAsia" w:ascii="宋体" w:hAnsi="宋体" w:eastAsia="宋体" w:cs="宋体"/>
                <w:sz w:val="10"/>
              </w:rPr>
              <w:t>、</w:t>
            </w:r>
          </w:p>
          <w:p>
            <w:pPr>
              <w:spacing w:before="100"/>
            </w:pPr>
            <w:r>
              <w:rPr>
                <w:rFonts w:hint="eastAsia" w:ascii="宋体" w:hAnsi="宋体" w:eastAsia="宋体" w:cs="宋体"/>
                <w:sz w:val="21"/>
              </w:rPr>
              <w:t>董事会秘书</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60"/>
        <w:jc w:val="both"/>
      </w:pPr>
      <w:r>
        <w:rPr>
          <w:rFonts w:hint="eastAsia" w:ascii="Times New Roman" w:hAnsi="Times New Roman" w:eastAsia="Times New Roman" w:cs="Times New Roman"/>
          <w:sz w:val="21"/>
        </w:rPr>
        <w:t>1-1-82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680"/>
        <w:gridCol w:w="1500"/>
        <w:gridCol w:w="1900"/>
        <w:gridCol w:w="1280"/>
        <w:gridCol w:w="3160"/>
      </w:tblGrid>
      <w:tr>
        <w:trPr>
          <w:trHeight w:val="540" w:hRule="exact"/>
        </w:trPr>
        <w:tc>
          <w:tcPr>
            <w:tcW w:w="680" w:type="dxa"/>
            <w:tcMar>
              <w:top w:w="0" w:type="dxa"/>
              <w:left w:w="0" w:type="dxa"/>
              <w:bottom w:w="0" w:type="dxa"/>
              <w:right w:w="0" w:type="dxa"/>
            </w:tcMar>
          </w:tcPr>
          <w:p>
            <w:pPr>
              <w:spacing w:before="120"/>
              <w:ind w:left="100"/>
            </w:pPr>
            <w:r>
              <w:rPr>
                <w:rFonts w:hint="eastAsia" w:ascii="宋体" w:hAnsi="宋体" w:eastAsia="宋体" w:cs="宋体"/>
                <w:b/>
                <w:sz w:val="21"/>
              </w:rPr>
              <w:t>序号</w:t>
            </w:r>
          </w:p>
        </w:tc>
        <w:tc>
          <w:tcPr>
            <w:tcW w:w="1500" w:type="dxa"/>
            <w:tcMar>
              <w:top w:w="0" w:type="dxa"/>
              <w:left w:w="0" w:type="dxa"/>
              <w:bottom w:w="0" w:type="dxa"/>
              <w:right w:w="0" w:type="dxa"/>
            </w:tcMar>
          </w:tcPr>
          <w:p>
            <w:pPr>
              <w:spacing w:before="120"/>
              <w:ind w:left="300"/>
            </w:pPr>
            <w:r>
              <w:rPr>
                <w:rFonts w:hint="eastAsia" w:ascii="宋体" w:hAnsi="宋体" w:eastAsia="宋体" w:cs="宋体"/>
                <w:b/>
                <w:sz w:val="21"/>
              </w:rPr>
              <w:t>股东名称</w:t>
            </w:r>
          </w:p>
        </w:tc>
        <w:tc>
          <w:tcPr>
            <w:tcW w:w="1900" w:type="dxa"/>
            <w:tcMar>
              <w:top w:w="0" w:type="dxa"/>
              <w:left w:w="0" w:type="dxa"/>
              <w:bottom w:w="0" w:type="dxa"/>
              <w:right w:w="0" w:type="dxa"/>
            </w:tcMar>
          </w:tcPr>
          <w:p>
            <w:pPr>
              <w:spacing w:before="120"/>
            </w:pPr>
            <w:r>
              <w:rPr>
                <w:rFonts w:hint="eastAsia" w:ascii="宋体" w:hAnsi="宋体" w:eastAsia="宋体" w:cs="宋体"/>
                <w:b/>
                <w:sz w:val="21"/>
              </w:rPr>
              <w:t>持股数量</w:t>
            </w:r>
            <w:r>
              <w:rPr>
                <w:rFonts w:hint="eastAsia" w:ascii="宋体" w:hAnsi="宋体" w:eastAsia="宋体" w:cs="宋体"/>
                <w:b/>
                <w:sz w:val="20"/>
              </w:rPr>
              <w:t>（</w:t>
            </w:r>
            <w:r>
              <w:rPr>
                <w:rFonts w:hint="eastAsia" w:ascii="宋体" w:hAnsi="宋体" w:eastAsia="宋体" w:cs="宋体"/>
                <w:b/>
                <w:sz w:val="21"/>
              </w:rPr>
              <w:t>万股</w:t>
            </w:r>
            <w:r>
              <w:rPr>
                <w:rFonts w:hint="eastAsia" w:ascii="宋体" w:hAnsi="宋体" w:eastAsia="宋体" w:cs="宋体"/>
                <w:b/>
                <w:sz w:val="20"/>
              </w:rPr>
              <w:t>）</w:t>
            </w:r>
          </w:p>
        </w:tc>
        <w:tc>
          <w:tcPr>
            <w:tcW w:w="1280" w:type="dxa"/>
            <w:tcMar>
              <w:top w:w="0" w:type="dxa"/>
              <w:left w:w="0" w:type="dxa"/>
              <w:bottom w:w="0" w:type="dxa"/>
              <w:right w:w="0" w:type="dxa"/>
            </w:tcMar>
          </w:tcPr>
          <w:p>
            <w:pPr>
              <w:spacing w:before="120"/>
              <w:ind w:left="200"/>
            </w:pPr>
            <w:r>
              <w:rPr>
                <w:rFonts w:hint="eastAsia" w:ascii="宋体" w:hAnsi="宋体" w:eastAsia="宋体" w:cs="宋体"/>
                <w:b/>
                <w:sz w:val="21"/>
              </w:rPr>
              <w:t>持股比例</w:t>
            </w:r>
          </w:p>
        </w:tc>
        <w:tc>
          <w:tcPr>
            <w:tcW w:w="3160" w:type="dxa"/>
            <w:tcMar>
              <w:top w:w="0" w:type="dxa"/>
              <w:left w:w="0" w:type="dxa"/>
              <w:bottom w:w="0" w:type="dxa"/>
              <w:right w:w="0" w:type="dxa"/>
            </w:tcMar>
          </w:tcPr>
          <w:p>
            <w:pPr>
              <w:spacing w:before="120"/>
              <w:ind w:left="1040"/>
            </w:pPr>
            <w:r>
              <w:rPr>
                <w:rFonts w:hint="eastAsia" w:ascii="宋体" w:hAnsi="宋体" w:eastAsia="宋体" w:cs="宋体"/>
                <w:b/>
                <w:sz w:val="21"/>
              </w:rPr>
              <w:t>在公司任职</w:t>
            </w:r>
          </w:p>
        </w:tc>
      </w:tr>
      <w:tr>
        <w:trPr>
          <w:trHeight w:val="54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3</w:t>
            </w:r>
          </w:p>
        </w:tc>
        <w:tc>
          <w:tcPr>
            <w:tcW w:w="1500" w:type="dxa"/>
            <w:tcMar>
              <w:top w:w="0" w:type="dxa"/>
              <w:left w:w="0" w:type="dxa"/>
              <w:bottom w:w="0" w:type="dxa"/>
              <w:right w:w="0" w:type="dxa"/>
            </w:tcMar>
          </w:tcPr>
          <w:p>
            <w:pPr>
              <w:spacing w:before="100"/>
              <w:ind w:left="420"/>
            </w:pPr>
            <w:r>
              <w:rPr>
                <w:rFonts w:hint="eastAsia" w:ascii="宋体" w:hAnsi="宋体" w:eastAsia="宋体" w:cs="宋体"/>
                <w:sz w:val="21"/>
              </w:rPr>
              <w:t>雷世潘</w:t>
            </w:r>
          </w:p>
        </w:tc>
        <w:tc>
          <w:tcPr>
            <w:tcW w:w="1900" w:type="dxa"/>
            <w:tcMar>
              <w:top w:w="0" w:type="dxa"/>
              <w:left w:w="0" w:type="dxa"/>
              <w:bottom w:w="0" w:type="dxa"/>
              <w:right w:w="0" w:type="dxa"/>
            </w:tcMar>
          </w:tcPr>
          <w:p>
            <w:pPr>
              <w:spacing w:before="140"/>
              <w:ind w:left="1180"/>
            </w:pPr>
            <w:r>
              <w:rPr>
                <w:rFonts w:hint="eastAsia" w:ascii="Times New Roman" w:hAnsi="Times New Roman" w:eastAsia="Times New Roman" w:cs="Times New Roman"/>
                <w:sz w:val="21"/>
              </w:rPr>
              <w:t>278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280" w:type="dxa"/>
            <w:tcMar>
              <w:top w:w="0" w:type="dxa"/>
              <w:left w:w="0" w:type="dxa"/>
              <w:bottom w:w="0" w:type="dxa"/>
              <w:right w:w="0" w:type="dxa"/>
            </w:tcMar>
          </w:tcPr>
          <w:p>
            <w:pPr>
              <w:spacing w:before="140"/>
              <w:ind w:left="6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100"/>
            </w:pPr>
            <w:r>
              <w:rPr>
                <w:rFonts w:hint="eastAsia" w:ascii="宋体" w:hAnsi="宋体" w:eastAsia="宋体" w:cs="宋体"/>
                <w:sz w:val="21"/>
              </w:rPr>
              <w:t>董事</w:t>
            </w:r>
            <w:r>
              <w:rPr>
                <w:rFonts w:hint="eastAsia" w:ascii="宋体" w:hAnsi="宋体" w:eastAsia="宋体" w:cs="宋体"/>
                <w:sz w:val="10"/>
              </w:rPr>
              <w:t>、</w:t>
            </w:r>
            <w:r>
              <w:rPr>
                <w:rFonts w:hint="eastAsia" w:ascii="宋体" w:hAnsi="宋体" w:eastAsia="宋体" w:cs="宋体"/>
                <w:sz w:val="21"/>
              </w:rPr>
              <w:t>副总经理</w:t>
            </w:r>
          </w:p>
        </w:tc>
      </w:tr>
      <w:tr>
        <w:trPr>
          <w:trHeight w:val="52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4</w:t>
            </w:r>
          </w:p>
        </w:tc>
        <w:tc>
          <w:tcPr>
            <w:tcW w:w="1500" w:type="dxa"/>
            <w:tcMar>
              <w:top w:w="0" w:type="dxa"/>
              <w:left w:w="0" w:type="dxa"/>
              <w:bottom w:w="0" w:type="dxa"/>
              <w:right w:w="0" w:type="dxa"/>
            </w:tcMar>
          </w:tcPr>
          <w:p>
            <w:pPr>
              <w:spacing w:before="100"/>
              <w:ind w:left="520"/>
            </w:pPr>
            <w:r>
              <w:rPr>
                <w:rFonts w:hint="eastAsia" w:ascii="宋体" w:hAnsi="宋体" w:eastAsia="宋体" w:cs="宋体"/>
                <w:sz w:val="21"/>
              </w:rPr>
              <w:t>赵莹</w:t>
            </w:r>
          </w:p>
        </w:tc>
        <w:tc>
          <w:tcPr>
            <w:tcW w:w="1900" w:type="dxa"/>
            <w:tcMar>
              <w:top w:w="0" w:type="dxa"/>
              <w:left w:w="0" w:type="dxa"/>
              <w:bottom w:w="0" w:type="dxa"/>
              <w:right w:w="0" w:type="dxa"/>
            </w:tcMar>
          </w:tcPr>
          <w:p>
            <w:pPr>
              <w:spacing w:before="160"/>
              <w:ind w:left="1180"/>
            </w:pPr>
            <w:r>
              <w:rPr>
                <w:rFonts w:hint="eastAsia" w:ascii="Times New Roman" w:hAnsi="Times New Roman" w:eastAsia="Times New Roman" w:cs="Times New Roman"/>
                <w:sz w:val="21"/>
              </w:rPr>
              <w:t>180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28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100"/>
            </w:pPr>
            <w:r>
              <w:rPr>
                <w:rFonts w:hint="eastAsia" w:ascii="Times New Roman" w:hAnsi="Times New Roman" w:eastAsia="Times New Roman" w:cs="Times New Roman"/>
                <w:sz w:val="21"/>
              </w:rPr>
              <w:t>BPM</w:t>
            </w:r>
            <w:r>
              <w:rPr>
                <w:rFonts w:hint="eastAsia" w:ascii="宋体" w:hAnsi="宋体" w:eastAsia="宋体" w:cs="宋体"/>
                <w:sz w:val="21"/>
              </w:rPr>
              <w:t xml:space="preserve"> 发展事业部市场部经理</w:t>
            </w:r>
          </w:p>
        </w:tc>
      </w:tr>
      <w:tr>
        <w:trPr>
          <w:trHeight w:val="54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5</w:t>
            </w:r>
          </w:p>
        </w:tc>
        <w:tc>
          <w:tcPr>
            <w:tcW w:w="1500" w:type="dxa"/>
            <w:tcMar>
              <w:top w:w="0" w:type="dxa"/>
              <w:left w:w="0" w:type="dxa"/>
              <w:bottom w:w="0" w:type="dxa"/>
              <w:right w:w="0" w:type="dxa"/>
            </w:tcMar>
          </w:tcPr>
          <w:p>
            <w:pPr>
              <w:spacing w:before="100"/>
              <w:ind w:left="420"/>
            </w:pPr>
            <w:r>
              <w:rPr>
                <w:rFonts w:hint="eastAsia" w:ascii="宋体" w:hAnsi="宋体" w:eastAsia="宋体" w:cs="宋体"/>
                <w:sz w:val="21"/>
              </w:rPr>
              <w:t>余养成</w:t>
            </w:r>
          </w:p>
        </w:tc>
        <w:tc>
          <w:tcPr>
            <w:tcW w:w="1900" w:type="dxa"/>
            <w:tcMar>
              <w:top w:w="0" w:type="dxa"/>
              <w:left w:w="0" w:type="dxa"/>
              <w:bottom w:w="0" w:type="dxa"/>
              <w:right w:w="0" w:type="dxa"/>
            </w:tcMar>
          </w:tcPr>
          <w:p>
            <w:pPr>
              <w:spacing w:before="140"/>
              <w:ind w:left="1180"/>
            </w:pPr>
            <w:r>
              <w:rPr>
                <w:rFonts w:hint="eastAsia" w:ascii="Times New Roman" w:hAnsi="Times New Roman" w:eastAsia="Times New Roman" w:cs="Times New Roman"/>
                <w:sz w:val="21"/>
              </w:rPr>
              <w:t>174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280" w:type="dxa"/>
            <w:tcMar>
              <w:top w:w="0" w:type="dxa"/>
              <w:left w:w="0" w:type="dxa"/>
              <w:bottom w:w="0" w:type="dxa"/>
              <w:right w:w="0" w:type="dxa"/>
            </w:tcMar>
          </w:tcPr>
          <w:p>
            <w:pPr>
              <w:spacing w:before="140"/>
              <w:ind w:left="6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100"/>
            </w:pPr>
            <w:r>
              <w:rPr>
                <w:rFonts w:hint="eastAsia" w:ascii="宋体" w:hAnsi="宋体" w:eastAsia="宋体" w:cs="宋体"/>
                <w:sz w:val="21"/>
              </w:rPr>
              <w:t>质量管理部经理</w:t>
            </w:r>
          </w:p>
        </w:tc>
      </w:tr>
      <w:tr>
        <w:trPr>
          <w:trHeight w:val="680" w:hRule="exact"/>
        </w:trPr>
        <w:tc>
          <w:tcPr>
            <w:tcW w:w="680" w:type="dxa"/>
            <w:tcMar>
              <w:top w:w="0" w:type="dxa"/>
              <w:left w:w="0" w:type="dxa"/>
              <w:bottom w:w="0" w:type="dxa"/>
              <w:right w:w="0" w:type="dxa"/>
            </w:tcMar>
          </w:tcPr>
          <w:p>
            <w:pPr>
              <w:spacing w:before="240"/>
              <w:ind w:left="260"/>
            </w:pPr>
            <w:r>
              <w:rPr>
                <w:rFonts w:hint="eastAsia" w:ascii="Times New Roman" w:hAnsi="Times New Roman" w:eastAsia="Times New Roman" w:cs="Times New Roman"/>
                <w:sz w:val="21"/>
              </w:rPr>
              <w:t>6</w:t>
            </w:r>
          </w:p>
        </w:tc>
        <w:tc>
          <w:tcPr>
            <w:tcW w:w="1500" w:type="dxa"/>
            <w:tcMar>
              <w:top w:w="0" w:type="dxa"/>
              <w:left w:w="0" w:type="dxa"/>
              <w:bottom w:w="0" w:type="dxa"/>
              <w:right w:w="0" w:type="dxa"/>
            </w:tcMar>
          </w:tcPr>
          <w:p>
            <w:pPr>
              <w:spacing w:before="180"/>
              <w:ind w:left="420"/>
            </w:pPr>
            <w:r>
              <w:rPr>
                <w:rFonts w:hint="eastAsia" w:ascii="宋体" w:hAnsi="宋体" w:eastAsia="宋体" w:cs="宋体"/>
                <w:sz w:val="21"/>
              </w:rPr>
              <w:t>董南勇</w:t>
            </w:r>
          </w:p>
        </w:tc>
        <w:tc>
          <w:tcPr>
            <w:tcW w:w="1900" w:type="dxa"/>
            <w:tcMar>
              <w:top w:w="0" w:type="dxa"/>
              <w:left w:w="0" w:type="dxa"/>
              <w:bottom w:w="0" w:type="dxa"/>
              <w:right w:w="0" w:type="dxa"/>
            </w:tcMar>
          </w:tcPr>
          <w:p>
            <w:pPr>
              <w:spacing w:before="240"/>
              <w:ind w:left="1200"/>
            </w:pP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280" w:type="dxa"/>
            <w:tcMar>
              <w:top w:w="0" w:type="dxa"/>
              <w:left w:w="0" w:type="dxa"/>
              <w:bottom w:w="0" w:type="dxa"/>
              <w:right w:w="0" w:type="dxa"/>
            </w:tcMar>
          </w:tcPr>
          <w:p>
            <w:pPr>
              <w:spacing w:before="240"/>
              <w:ind w:left="6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40"/>
            </w:pPr>
            <w:r>
              <w:rPr>
                <w:rFonts w:hint="eastAsia" w:ascii="宋体" w:hAnsi="宋体" w:eastAsia="宋体" w:cs="宋体"/>
                <w:sz w:val="21"/>
              </w:rPr>
              <w:t>非本公司员工</w:t>
            </w:r>
            <w:r>
              <w:rPr>
                <w:rFonts w:hint="eastAsia" w:ascii="宋体" w:hAnsi="宋体" w:eastAsia="宋体" w:cs="宋体"/>
                <w:sz w:val="20"/>
              </w:rPr>
              <w:t>（</w:t>
            </w:r>
            <w:r>
              <w:rPr>
                <w:rFonts w:hint="eastAsia" w:ascii="宋体" w:hAnsi="宋体" w:eastAsia="宋体" w:cs="宋体"/>
                <w:sz w:val="21"/>
              </w:rPr>
              <w:t>曾在公司任副董</w:t>
            </w:r>
          </w:p>
          <w:p>
            <w:pPr>
              <w:spacing w:before="100"/>
            </w:pPr>
            <w:r>
              <w:rPr>
                <w:rFonts w:hint="eastAsia" w:ascii="宋体" w:hAnsi="宋体" w:eastAsia="宋体" w:cs="宋体"/>
                <w:sz w:val="21"/>
              </w:rPr>
              <w:t>事长</w:t>
            </w:r>
            <w:r>
              <w:rPr>
                <w:rFonts w:hint="eastAsia" w:ascii="宋体" w:hAnsi="宋体" w:eastAsia="宋体" w:cs="宋体"/>
                <w:sz w:val="10"/>
              </w:rPr>
              <w:t>、</w:t>
            </w:r>
            <w:r>
              <w:rPr>
                <w:rFonts w:hint="eastAsia" w:ascii="宋体" w:hAnsi="宋体" w:eastAsia="宋体" w:cs="宋体"/>
                <w:sz w:val="21"/>
              </w:rPr>
              <w:t>副总经理</w:t>
            </w:r>
            <w:r>
              <w:rPr>
                <w:rFonts w:hint="eastAsia" w:ascii="宋体" w:hAnsi="宋体" w:eastAsia="宋体" w:cs="宋体"/>
                <w:sz w:val="20"/>
              </w:rPr>
              <w:t>）</w:t>
            </w:r>
          </w:p>
        </w:tc>
      </w:tr>
      <w:tr>
        <w:trPr>
          <w:trHeight w:val="54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7</w:t>
            </w:r>
          </w:p>
        </w:tc>
        <w:tc>
          <w:tcPr>
            <w:tcW w:w="1500" w:type="dxa"/>
            <w:tcMar>
              <w:top w:w="0" w:type="dxa"/>
              <w:left w:w="0" w:type="dxa"/>
              <w:bottom w:w="0" w:type="dxa"/>
              <w:right w:w="0" w:type="dxa"/>
            </w:tcMar>
          </w:tcPr>
          <w:p>
            <w:pPr>
              <w:spacing w:before="120"/>
              <w:ind w:left="420"/>
            </w:pPr>
            <w:r>
              <w:rPr>
                <w:rFonts w:hint="eastAsia" w:ascii="宋体" w:hAnsi="宋体" w:eastAsia="宋体" w:cs="宋体"/>
                <w:sz w:val="21"/>
              </w:rPr>
              <w:t>戴小戈</w:t>
            </w:r>
          </w:p>
        </w:tc>
        <w:tc>
          <w:tcPr>
            <w:tcW w:w="1900" w:type="dxa"/>
            <w:tcMar>
              <w:top w:w="0" w:type="dxa"/>
              <w:left w:w="0" w:type="dxa"/>
              <w:bottom w:w="0" w:type="dxa"/>
              <w:right w:w="0" w:type="dxa"/>
            </w:tcMar>
          </w:tcPr>
          <w:p>
            <w:pPr>
              <w:spacing w:before="140"/>
              <w:ind w:left="130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280" w:type="dxa"/>
            <w:tcMar>
              <w:top w:w="0" w:type="dxa"/>
              <w:left w:w="0" w:type="dxa"/>
              <w:bottom w:w="0" w:type="dxa"/>
              <w:right w:w="0" w:type="dxa"/>
            </w:tcMar>
          </w:tcPr>
          <w:p>
            <w:pPr>
              <w:spacing w:before="140"/>
              <w:ind w:left="6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120"/>
            </w:pPr>
            <w:r>
              <w:rPr>
                <w:rFonts w:hint="eastAsia" w:ascii="宋体" w:hAnsi="宋体" w:eastAsia="宋体" w:cs="宋体"/>
                <w:sz w:val="21"/>
              </w:rPr>
              <w:t>金融证券事业部研发中心副经理</w:t>
            </w:r>
          </w:p>
        </w:tc>
      </w:tr>
      <w:tr>
        <w:trPr>
          <w:trHeight w:val="52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8</w:t>
            </w:r>
          </w:p>
        </w:tc>
        <w:tc>
          <w:tcPr>
            <w:tcW w:w="1500" w:type="dxa"/>
            <w:tcMar>
              <w:top w:w="0" w:type="dxa"/>
              <w:left w:w="0" w:type="dxa"/>
              <w:bottom w:w="0" w:type="dxa"/>
              <w:right w:w="0" w:type="dxa"/>
            </w:tcMar>
          </w:tcPr>
          <w:p>
            <w:pPr>
              <w:spacing w:before="100"/>
              <w:ind w:left="520"/>
            </w:pPr>
            <w:r>
              <w:rPr>
                <w:rFonts w:hint="eastAsia" w:ascii="宋体" w:hAnsi="宋体" w:eastAsia="宋体" w:cs="宋体"/>
                <w:sz w:val="21"/>
              </w:rPr>
              <w:t>欧永</w:t>
            </w:r>
          </w:p>
        </w:tc>
        <w:tc>
          <w:tcPr>
            <w:tcW w:w="1900" w:type="dxa"/>
            <w:tcMar>
              <w:top w:w="0" w:type="dxa"/>
              <w:left w:w="0" w:type="dxa"/>
              <w:bottom w:w="0" w:type="dxa"/>
              <w:right w:w="0" w:type="dxa"/>
            </w:tcMar>
          </w:tcPr>
          <w:p>
            <w:pPr>
              <w:spacing w:before="160"/>
              <w:ind w:left="130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28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100"/>
            </w:pPr>
            <w:r>
              <w:rPr>
                <w:rFonts w:hint="eastAsia" w:ascii="宋体" w:hAnsi="宋体" w:eastAsia="宋体" w:cs="宋体"/>
                <w:sz w:val="21"/>
              </w:rPr>
              <w:t>监事</w:t>
            </w:r>
            <w:r>
              <w:rPr>
                <w:rFonts w:hint="eastAsia" w:ascii="宋体" w:hAnsi="宋体" w:eastAsia="宋体" w:cs="宋体"/>
                <w:sz w:val="10"/>
              </w:rPr>
              <w:t>、</w:t>
            </w:r>
            <w:r>
              <w:rPr>
                <w:rFonts w:hint="eastAsia" w:ascii="Times New Roman" w:hAnsi="Times New Roman" w:eastAsia="Times New Roman" w:cs="Times New Roman"/>
                <w:sz w:val="21"/>
              </w:rPr>
              <w:t>BPM</w:t>
            </w:r>
            <w:r>
              <w:rPr>
                <w:rFonts w:hint="eastAsia" w:ascii="宋体" w:hAnsi="宋体" w:eastAsia="宋体" w:cs="宋体"/>
                <w:sz w:val="21"/>
              </w:rPr>
              <w:t xml:space="preserve"> 发展事业部总经理</w:t>
            </w:r>
          </w:p>
        </w:tc>
      </w:tr>
      <w:tr>
        <w:trPr>
          <w:trHeight w:val="540" w:hRule="exact"/>
        </w:trPr>
        <w:tc>
          <w:tcPr>
            <w:tcW w:w="6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9</w:t>
            </w:r>
          </w:p>
        </w:tc>
        <w:tc>
          <w:tcPr>
            <w:tcW w:w="1500" w:type="dxa"/>
            <w:tcMar>
              <w:top w:w="0" w:type="dxa"/>
              <w:left w:w="0" w:type="dxa"/>
              <w:bottom w:w="0" w:type="dxa"/>
              <w:right w:w="0" w:type="dxa"/>
            </w:tcMar>
          </w:tcPr>
          <w:p>
            <w:pPr>
              <w:spacing w:before="120"/>
              <w:ind w:left="440"/>
            </w:pPr>
            <w:r>
              <w:rPr>
                <w:rFonts w:hint="eastAsia" w:ascii="宋体" w:hAnsi="宋体" w:eastAsia="宋体" w:cs="宋体"/>
                <w:sz w:val="21"/>
              </w:rPr>
              <w:t>张 玉</w:t>
            </w:r>
          </w:p>
        </w:tc>
        <w:tc>
          <w:tcPr>
            <w:tcW w:w="1900" w:type="dxa"/>
            <w:tcMar>
              <w:top w:w="0" w:type="dxa"/>
              <w:left w:w="0" w:type="dxa"/>
              <w:bottom w:w="0" w:type="dxa"/>
              <w:right w:w="0" w:type="dxa"/>
            </w:tcMar>
          </w:tcPr>
          <w:p>
            <w:pPr>
              <w:spacing w:before="180"/>
              <w:ind w:left="130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280" w:type="dxa"/>
            <w:tcMar>
              <w:top w:w="0" w:type="dxa"/>
              <w:left w:w="0" w:type="dxa"/>
              <w:bottom w:w="0" w:type="dxa"/>
              <w:right w:w="0" w:type="dxa"/>
            </w:tcMar>
          </w:tcPr>
          <w:p>
            <w:pPr>
              <w:spacing w:before="180"/>
              <w:ind w:left="6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120"/>
            </w:pPr>
            <w:r>
              <w:rPr>
                <w:rFonts w:hint="eastAsia" w:ascii="宋体" w:hAnsi="宋体" w:eastAsia="宋体" w:cs="宋体"/>
                <w:sz w:val="21"/>
              </w:rPr>
              <w:t>金融证券事业部客户经理</w:t>
            </w:r>
          </w:p>
        </w:tc>
      </w:tr>
      <w:tr>
        <w:trPr>
          <w:trHeight w:val="500" w:hRule="exact"/>
        </w:trPr>
        <w:tc>
          <w:tcPr>
            <w:tcW w:w="68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10</w:t>
            </w:r>
          </w:p>
        </w:tc>
        <w:tc>
          <w:tcPr>
            <w:tcW w:w="1500" w:type="dxa"/>
            <w:tcMar>
              <w:top w:w="0" w:type="dxa"/>
              <w:left w:w="0" w:type="dxa"/>
              <w:bottom w:w="0" w:type="dxa"/>
              <w:right w:w="0" w:type="dxa"/>
            </w:tcMar>
          </w:tcPr>
          <w:p>
            <w:pPr>
              <w:spacing w:before="120"/>
              <w:ind w:left="420"/>
            </w:pPr>
            <w:r>
              <w:rPr>
                <w:rFonts w:hint="eastAsia" w:ascii="宋体" w:hAnsi="宋体" w:eastAsia="宋体" w:cs="宋体"/>
                <w:sz w:val="21"/>
              </w:rPr>
              <w:t>刘法先</w:t>
            </w:r>
          </w:p>
        </w:tc>
        <w:tc>
          <w:tcPr>
            <w:tcW w:w="1900" w:type="dxa"/>
            <w:tcMar>
              <w:top w:w="0" w:type="dxa"/>
              <w:left w:w="0" w:type="dxa"/>
              <w:bottom w:w="0" w:type="dxa"/>
              <w:right w:w="0" w:type="dxa"/>
            </w:tcMar>
          </w:tcPr>
          <w:p>
            <w:pPr>
              <w:spacing w:before="160"/>
              <w:ind w:left="130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280" w:type="dxa"/>
            <w:tcMar>
              <w:top w:w="0" w:type="dxa"/>
              <w:left w:w="0" w:type="dxa"/>
              <w:bottom w:w="0" w:type="dxa"/>
              <w:right w:w="0" w:type="dxa"/>
            </w:tcMar>
          </w:tcPr>
          <w:p>
            <w:pPr>
              <w:spacing w:before="140"/>
              <w:ind w:left="60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3160" w:type="dxa"/>
            <w:tcMar>
              <w:top w:w="0" w:type="dxa"/>
              <w:left w:w="0" w:type="dxa"/>
              <w:bottom w:w="0" w:type="dxa"/>
              <w:right w:w="0" w:type="dxa"/>
            </w:tcMar>
          </w:tcPr>
          <w:p>
            <w:pPr>
              <w:spacing w:before="120"/>
            </w:pPr>
            <w:r>
              <w:rPr>
                <w:rFonts w:hint="eastAsia" w:ascii="宋体" w:hAnsi="宋体" w:eastAsia="宋体" w:cs="宋体"/>
                <w:sz w:val="21"/>
              </w:rPr>
              <w:t>金融证券事业部项目经理</w:t>
            </w:r>
          </w:p>
        </w:tc>
      </w:tr>
    </w:tbl>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宋体" w:hAnsi="宋体" w:eastAsia="宋体" w:cs="宋体"/>
          <w:b/>
          <w:sz w:val="20"/>
        </w:rPr>
        <w:t>（</w:t>
      </w:r>
      <w:r>
        <w:rPr>
          <w:rFonts w:hint="eastAsia" w:ascii="宋体" w:hAnsi="宋体" w:eastAsia="宋体" w:cs="宋体"/>
          <w:b/>
          <w:sz w:val="24"/>
        </w:rPr>
        <w:t>四）战略投资者</w:t>
      </w:r>
      <w:r>
        <w:rPr>
          <w:rFonts w:hint="eastAsia" w:ascii="宋体" w:hAnsi="宋体" w:eastAsia="宋体" w:cs="宋体"/>
          <w:b/>
          <w:sz w:val="10"/>
        </w:rPr>
        <w:t>、</w:t>
      </w:r>
      <w:r>
        <w:rPr>
          <w:rFonts w:hint="eastAsia" w:ascii="宋体" w:hAnsi="宋体" w:eastAsia="宋体" w:cs="宋体"/>
          <w:b/>
          <w:sz w:val="24"/>
        </w:rPr>
        <w:t>国有股及外资股情况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公司股东中无战略投资者</w:t>
      </w:r>
      <w:r>
        <w:rPr>
          <w:rFonts w:hint="eastAsia" w:ascii="宋体" w:hAnsi="宋体" w:eastAsia="宋体" w:cs="宋体"/>
          <w:sz w:val="10"/>
        </w:rPr>
        <w:t>，</w:t>
      </w:r>
      <w:r>
        <w:rPr>
          <w:rFonts w:hint="eastAsia" w:ascii="宋体" w:hAnsi="宋体" w:eastAsia="宋体" w:cs="宋体"/>
          <w:sz w:val="24"/>
        </w:rPr>
        <w:t>不存在国有股及外资股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（五）本次发行前各股东间的关联关系及关联股东的各自持股比例</w:t>
      </w:r>
    </w:p>
    <w:p>
      <w:pPr>
        <w:spacing w:line="200" w:lineRule="exact"/>
        <w:rPr>
          <w:rFonts w:hint="eastAsia" w:ascii="宋体" w:hAnsi="宋体" w:eastAsia="宋体" w:cs="宋体"/>
          <w:sz w:val="20"/>
        </w:rPr>
      </w:pPr>
    </w:p>
    <w:p>
      <w:pPr>
        <w:autoSpaceDE w:val="false"/>
        <w:autoSpaceDN w:val="false"/>
        <w:spacing w:line="440" w:lineRule="exact"/>
        <w:ind w:left="1800" w:right="1580" w:firstLine="480"/>
        <w:jc w:val="both"/>
      </w:pPr>
      <w:r>
        <w:rPr>
          <w:rFonts w:hint="eastAsia" w:ascii="宋体" w:hAnsi="宋体" w:eastAsia="宋体" w:cs="宋体"/>
          <w:sz w:val="24"/>
        </w:rPr>
        <w:t>本次发行前</w:t>
      </w:r>
      <w:r>
        <w:rPr>
          <w:rFonts w:hint="eastAsia" w:ascii="宋体" w:hAnsi="宋体" w:eastAsia="宋体" w:cs="宋体"/>
          <w:sz w:val="10"/>
        </w:rPr>
        <w:t>，</w:t>
      </w:r>
      <w:r>
        <w:rPr>
          <w:rFonts w:hint="eastAsia" w:ascii="宋体" w:hAnsi="宋体" w:eastAsia="宋体" w:cs="宋体"/>
          <w:sz w:val="24"/>
        </w:rPr>
        <w:t>公司法人股东爱派克的控股股东林永正（持有爱派克</w:t>
      </w:r>
      <w:r>
        <w:rPr>
          <w:rFonts w:hint="eastAsia" w:ascii="Times New Roman" w:hAnsi="Times New Roman" w:eastAsia="Times New Roman" w:cs="Times New Roman"/>
          <w:sz w:val="24"/>
        </w:rPr>
        <w:t xml:space="preserve"> 52.29%</w:t>
      </w:r>
      <w:r>
        <w:rPr>
          <w:rFonts w:hint="eastAsia" w:ascii="宋体" w:hAnsi="宋体" w:eastAsia="宋体" w:cs="宋体"/>
          <w:sz w:val="24"/>
        </w:rPr>
        <w:t>的股权</w:t>
      </w:r>
      <w:r>
        <w:rPr>
          <w:rFonts w:hint="eastAsia" w:ascii="宋体" w:hAnsi="宋体" w:eastAsia="宋体" w:cs="宋体"/>
          <w:sz w:val="10"/>
        </w:rPr>
        <w:t>，</w:t>
      </w:r>
      <w:r>
        <w:rPr>
          <w:rFonts w:hint="eastAsia" w:ascii="宋体" w:hAnsi="宋体" w:eastAsia="宋体" w:cs="宋体"/>
          <w:sz w:val="24"/>
        </w:rPr>
        <w:t>不直接持有发行人股份）为公司控股股东</w:t>
      </w:r>
      <w:r>
        <w:rPr>
          <w:rFonts w:hint="eastAsia" w:ascii="宋体" w:hAnsi="宋体" w:eastAsia="宋体" w:cs="宋体"/>
          <w:sz w:val="10"/>
        </w:rPr>
        <w:t>、</w:t>
      </w:r>
      <w:r>
        <w:rPr>
          <w:rFonts w:hint="eastAsia" w:ascii="宋体" w:hAnsi="宋体" w:eastAsia="宋体" w:cs="宋体"/>
          <w:sz w:val="24"/>
        </w:rPr>
        <w:t>实际控制人严孟宇（持有发行人</w:t>
      </w:r>
      <w:r>
        <w:rPr>
          <w:rFonts w:hint="eastAsia" w:ascii="Times New Roman" w:hAnsi="Times New Roman" w:eastAsia="Times New Roman" w:cs="Times New Roman"/>
          <w:sz w:val="24"/>
        </w:rPr>
        <w:t xml:space="preserve"> 28.57%</w:t>
      </w:r>
      <w:r>
        <w:rPr>
          <w:rFonts w:hint="eastAsia" w:ascii="宋体" w:hAnsi="宋体" w:eastAsia="宋体" w:cs="宋体"/>
          <w:sz w:val="24"/>
        </w:rPr>
        <w:t>的股份）之岳父</w:t>
      </w:r>
      <w:r>
        <w:rPr>
          <w:rFonts w:hint="eastAsia" w:ascii="宋体" w:hAnsi="宋体" w:eastAsia="宋体" w:cs="宋体"/>
          <w:sz w:val="10"/>
        </w:rPr>
        <w:t>。</w:t>
      </w:r>
      <w:r>
        <w:rPr>
          <w:rFonts w:hint="eastAsia" w:ascii="宋体" w:hAnsi="宋体" w:eastAsia="宋体" w:cs="宋体"/>
          <w:sz w:val="24"/>
        </w:rPr>
        <w:t>除此之外</w:t>
      </w:r>
      <w:r>
        <w:rPr>
          <w:rFonts w:hint="eastAsia" w:ascii="宋体" w:hAnsi="宋体" w:eastAsia="宋体" w:cs="宋体"/>
          <w:sz w:val="10"/>
        </w:rPr>
        <w:t>，</w:t>
      </w:r>
      <w:r>
        <w:rPr>
          <w:rFonts w:hint="eastAsia" w:ascii="宋体" w:hAnsi="宋体" w:eastAsia="宋体" w:cs="宋体"/>
          <w:sz w:val="24"/>
        </w:rPr>
        <w:t>发行人各股东之间不存在关联关系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（六）本次发行前股东所持股份的流通限制和自愿锁定股份的承诺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参见本招股说明书之</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“一、</w:t>
      </w:r>
      <w:r>
        <w:rPr>
          <w:rFonts w:hint="eastAsia" w:ascii="宋体" w:hAnsi="宋体" w:eastAsia="宋体" w:cs="宋体"/>
          <w:sz w:val="24"/>
        </w:rPr>
        <w:t>股东关于股份锁定的承诺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九</w:t>
      </w:r>
      <w:r>
        <w:rPr>
          <w:rFonts w:hint="eastAsia" w:ascii="ºÚÌå" w:hAnsi="ºÚÌå" w:eastAsia="ºÚÌå" w:cs="ºÚÌå"/>
          <w:sz w:val="10"/>
        </w:rPr>
        <w:t>、</w:t>
      </w:r>
      <w:r>
        <w:rPr>
          <w:rFonts w:hint="eastAsia" w:ascii="ºÚÌå" w:hAnsi="ºÚÌå" w:eastAsia="ºÚÌå" w:cs="ºÚÌå"/>
          <w:sz w:val="30"/>
        </w:rPr>
        <w:t>发行人内部职工股的情况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本公司未曾发行过内部职工股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十</w:t>
      </w:r>
      <w:r>
        <w:rPr>
          <w:rFonts w:hint="eastAsia" w:ascii="ºÚÌå" w:hAnsi="ºÚÌå" w:eastAsia="ºÚÌå" w:cs="ºÚÌå"/>
          <w:sz w:val="10"/>
        </w:rPr>
        <w:t>、</w:t>
      </w:r>
      <w:r>
        <w:rPr>
          <w:rFonts w:hint="eastAsia" w:ascii="ºÚÌå" w:hAnsi="ºÚÌå" w:eastAsia="ºÚÌå" w:cs="ºÚÌå"/>
          <w:sz w:val="30"/>
        </w:rPr>
        <w:t>工会持股</w:t>
      </w:r>
      <w:r>
        <w:rPr>
          <w:rFonts w:hint="eastAsia" w:ascii="ºÚÌå" w:hAnsi="ºÚÌå" w:eastAsia="ºÚÌå" w:cs="ºÚÌå"/>
          <w:sz w:val="10"/>
        </w:rPr>
        <w:t>、</w:t>
      </w:r>
      <w:r>
        <w:rPr>
          <w:rFonts w:hint="eastAsia" w:ascii="ºÚÌå" w:hAnsi="ºÚÌå" w:eastAsia="ºÚÌå" w:cs="ºÚÌå"/>
          <w:sz w:val="30"/>
        </w:rPr>
        <w:t>职工持股会持股</w:t>
      </w:r>
      <w:r>
        <w:rPr>
          <w:rFonts w:hint="eastAsia" w:ascii="ºÚÌå" w:hAnsi="ºÚÌå" w:eastAsia="ºÚÌå" w:cs="ºÚÌå"/>
          <w:sz w:val="10"/>
        </w:rPr>
        <w:t>、</w:t>
      </w:r>
      <w:r>
        <w:rPr>
          <w:rFonts w:hint="eastAsia" w:ascii="ºÚÌå" w:hAnsi="ºÚÌå" w:eastAsia="ºÚÌå" w:cs="ºÚÌå"/>
          <w:sz w:val="30"/>
        </w:rPr>
        <w:t>信托持股</w:t>
      </w:r>
      <w:r>
        <w:rPr>
          <w:rFonts w:hint="eastAsia" w:ascii="ºÚÌå" w:hAnsi="ºÚÌå" w:eastAsia="ºÚÌå" w:cs="ºÚÌå"/>
          <w:sz w:val="10"/>
        </w:rPr>
        <w:t>、</w:t>
      </w:r>
      <w:r>
        <w:rPr>
          <w:rFonts w:hint="eastAsia" w:ascii="ºÚÌå" w:hAnsi="ºÚÌå" w:eastAsia="ºÚÌå" w:cs="ºÚÌå"/>
          <w:sz w:val="30"/>
        </w:rPr>
        <w:t>委托持股等情况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本公司不存在工会持股</w:t>
      </w:r>
      <w:r>
        <w:rPr>
          <w:rFonts w:hint="eastAsia" w:ascii="宋体" w:hAnsi="宋体" w:eastAsia="宋体" w:cs="宋体"/>
          <w:sz w:val="10"/>
        </w:rPr>
        <w:t>、</w:t>
      </w:r>
      <w:r>
        <w:rPr>
          <w:rFonts w:hint="eastAsia" w:ascii="宋体" w:hAnsi="宋体" w:eastAsia="宋体" w:cs="宋体"/>
          <w:sz w:val="24"/>
        </w:rPr>
        <w:t>职工持股会持股</w:t>
      </w:r>
      <w:r>
        <w:rPr>
          <w:rFonts w:hint="eastAsia" w:ascii="宋体" w:hAnsi="宋体" w:eastAsia="宋体" w:cs="宋体"/>
          <w:sz w:val="10"/>
        </w:rPr>
        <w:t>、</w:t>
      </w:r>
      <w:r>
        <w:rPr>
          <w:rFonts w:hint="eastAsia" w:ascii="宋体" w:hAnsi="宋体" w:eastAsia="宋体" w:cs="宋体"/>
          <w:sz w:val="24"/>
        </w:rPr>
        <w:t>信托持股</w:t>
      </w:r>
      <w:r>
        <w:rPr>
          <w:rFonts w:hint="eastAsia" w:ascii="宋体" w:hAnsi="宋体" w:eastAsia="宋体" w:cs="宋体"/>
          <w:sz w:val="10"/>
        </w:rPr>
        <w:t>、</w:t>
      </w:r>
      <w:r>
        <w:rPr>
          <w:rFonts w:hint="eastAsia" w:ascii="宋体" w:hAnsi="宋体" w:eastAsia="宋体" w:cs="宋体"/>
          <w:sz w:val="24"/>
        </w:rPr>
        <w:t>委托持股或股东数量超过二百人的情况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1-1-83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jc w:val="both"/>
      </w:pPr>
      <w:r>
        <w:rPr>
          <w:rFonts w:hint="eastAsia" w:ascii="ºÚÌå" w:hAnsi="ºÚÌå" w:eastAsia="ºÚÌå" w:cs="ºÚÌå"/>
          <w:sz w:val="30"/>
        </w:rPr>
        <w:t>十一、</w:t>
      </w:r>
      <w:r>
        <w:rPr>
          <w:rFonts w:hint="eastAsia" w:ascii="ºÚÌå" w:hAnsi="ºÚÌå" w:eastAsia="ºÚÌå" w:cs="ºÚÌå"/>
          <w:sz w:val="30"/>
        </w:rPr>
        <w:t>发行人员工及其社会保障情况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员工人数及变化情况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58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公司在职员工总数分别为</w:t>
      </w:r>
      <w:r>
        <w:rPr>
          <w:rFonts w:hint="eastAsia" w:ascii="Times New Roman" w:hAnsi="Times New Roman" w:eastAsia="Times New Roman" w:cs="Times New Roman"/>
          <w:sz w:val="24"/>
        </w:rPr>
        <w:t xml:space="preserve"> 642</w:t>
      </w:r>
      <w:r>
        <w:rPr>
          <w:rFonts w:hint="eastAsia" w:ascii="宋体" w:hAnsi="宋体" w:eastAsia="宋体" w:cs="宋体"/>
          <w:sz w:val="24"/>
        </w:rPr>
        <w:t xml:space="preserve"> 人</w:t>
      </w:r>
      <w:r>
        <w:rPr>
          <w:rFonts w:hint="eastAsia" w:ascii="宋体" w:hAnsi="宋体" w:eastAsia="宋体" w:cs="宋体"/>
          <w:sz w:val="10"/>
        </w:rPr>
        <w:t>、</w:t>
      </w:r>
      <w:r>
        <w:rPr>
          <w:rFonts w:hint="eastAsia" w:ascii="Times New Roman" w:hAnsi="Times New Roman" w:eastAsia="Times New Roman" w:cs="Times New Roman"/>
          <w:sz w:val="24"/>
        </w:rPr>
        <w:t>692</w:t>
      </w:r>
      <w:r>
        <w:rPr>
          <w:rFonts w:hint="eastAsia" w:ascii="宋体" w:hAnsi="宋体" w:eastAsia="宋体" w:cs="宋体"/>
          <w:sz w:val="24"/>
        </w:rPr>
        <w:t>人和</w:t>
      </w:r>
      <w:r>
        <w:rPr>
          <w:rFonts w:hint="eastAsia" w:ascii="Times New Roman" w:hAnsi="Times New Roman" w:eastAsia="Times New Roman" w:cs="Times New Roman"/>
          <w:sz w:val="24"/>
        </w:rPr>
        <w:t xml:space="preserve"> 699</w:t>
      </w:r>
      <w:r>
        <w:rPr>
          <w:rFonts w:hint="eastAsia" w:ascii="宋体" w:hAnsi="宋体" w:eastAsia="宋体" w:cs="宋体"/>
          <w:sz w:val="24"/>
        </w:rPr>
        <w:t xml:space="preserve"> 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（二）员工专业结构</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公司员工的专业结构如下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840"/>
        <w:gridCol w:w="2840"/>
        <w:gridCol w:w="2840"/>
      </w:tblGrid>
      <w:tr>
        <w:trPr>
          <w:trHeight w:val="440" w:hRule="exact"/>
        </w:trPr>
        <w:tc>
          <w:tcPr>
            <w:tcW w:w="2840" w:type="dxa"/>
            <w:tcMar>
              <w:top w:w="0" w:type="dxa"/>
              <w:left w:w="0" w:type="dxa"/>
              <w:bottom w:w="0" w:type="dxa"/>
              <w:right w:w="0" w:type="dxa"/>
            </w:tcMar>
          </w:tcPr>
          <w:p>
            <w:pPr>
              <w:spacing w:before="120"/>
              <w:ind w:left="980"/>
            </w:pPr>
            <w:r>
              <w:rPr>
                <w:rFonts w:hint="eastAsia" w:ascii="宋体" w:hAnsi="宋体" w:eastAsia="宋体" w:cs="宋体"/>
                <w:b/>
                <w:sz w:val="21"/>
              </w:rPr>
              <w:t>专业分工</w:t>
            </w:r>
          </w:p>
        </w:tc>
        <w:tc>
          <w:tcPr>
            <w:tcW w:w="2840" w:type="dxa"/>
            <w:tcMar>
              <w:top w:w="0" w:type="dxa"/>
              <w:left w:w="0" w:type="dxa"/>
              <w:bottom w:w="0" w:type="dxa"/>
              <w:right w:w="0" w:type="dxa"/>
            </w:tcMar>
          </w:tcPr>
          <w:p>
            <w:pPr>
              <w:spacing w:before="120"/>
              <w:ind w:left="980"/>
            </w:pPr>
            <w:r>
              <w:rPr>
                <w:rFonts w:hint="eastAsia" w:ascii="宋体" w:hAnsi="宋体" w:eastAsia="宋体" w:cs="宋体"/>
                <w:b/>
                <w:sz w:val="21"/>
              </w:rPr>
              <w:t>员工人数</w:t>
            </w:r>
          </w:p>
        </w:tc>
        <w:tc>
          <w:tcPr>
            <w:tcW w:w="2840" w:type="dxa"/>
            <w:tcMar>
              <w:top w:w="0" w:type="dxa"/>
              <w:left w:w="0" w:type="dxa"/>
              <w:bottom w:w="0" w:type="dxa"/>
              <w:right w:w="0" w:type="dxa"/>
            </w:tcMar>
          </w:tcPr>
          <w:p>
            <w:pPr>
              <w:spacing w:before="120"/>
              <w:ind w:left="660"/>
            </w:pPr>
            <w:r>
              <w:rPr>
                <w:rFonts w:hint="eastAsia" w:ascii="宋体" w:hAnsi="宋体" w:eastAsia="宋体" w:cs="宋体"/>
                <w:b/>
                <w:sz w:val="21"/>
              </w:rPr>
              <w:t>占员工总数比例</w:t>
            </w:r>
          </w:p>
        </w:tc>
      </w:tr>
      <w:tr>
        <w:trPr>
          <w:trHeight w:val="520" w:hRule="exact"/>
        </w:trPr>
        <w:tc>
          <w:tcPr>
            <w:tcW w:w="2840" w:type="dxa"/>
            <w:tcMar>
              <w:top w:w="0" w:type="dxa"/>
              <w:left w:w="0" w:type="dxa"/>
              <w:bottom w:w="0" w:type="dxa"/>
              <w:right w:w="0" w:type="dxa"/>
            </w:tcMar>
          </w:tcPr>
          <w:p>
            <w:pPr>
              <w:spacing w:before="140"/>
              <w:ind w:left="980"/>
            </w:pPr>
            <w:r>
              <w:rPr>
                <w:rFonts w:hint="eastAsia" w:ascii="宋体" w:hAnsi="宋体" w:eastAsia="宋体" w:cs="宋体"/>
                <w:sz w:val="21"/>
              </w:rPr>
              <w:t>技术人员</w:t>
            </w:r>
          </w:p>
        </w:tc>
        <w:tc>
          <w:tcPr>
            <w:tcW w:w="2840" w:type="dxa"/>
            <w:tcMar>
              <w:top w:w="0" w:type="dxa"/>
              <w:left w:w="0" w:type="dxa"/>
              <w:bottom w:w="0" w:type="dxa"/>
              <w:right w:w="0" w:type="dxa"/>
            </w:tcMar>
          </w:tcPr>
          <w:p>
            <w:pPr>
              <w:spacing w:before="160"/>
              <w:ind w:left="2400"/>
            </w:pPr>
            <w:r>
              <w:rPr>
                <w:rFonts w:hint="eastAsia" w:ascii="Times New Roman" w:hAnsi="Times New Roman" w:eastAsia="Times New Roman" w:cs="Times New Roman"/>
                <w:sz w:val="21"/>
              </w:rPr>
              <w:t>554</w:t>
            </w:r>
          </w:p>
        </w:tc>
        <w:tc>
          <w:tcPr>
            <w:tcW w:w="284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r>
      <w:tr>
        <w:trPr>
          <w:trHeight w:val="500" w:hRule="exact"/>
        </w:trPr>
        <w:tc>
          <w:tcPr>
            <w:tcW w:w="2840" w:type="dxa"/>
            <w:tcMar>
              <w:top w:w="0" w:type="dxa"/>
              <w:left w:w="0" w:type="dxa"/>
              <w:bottom w:w="0" w:type="dxa"/>
              <w:right w:w="0" w:type="dxa"/>
            </w:tcMar>
          </w:tcPr>
          <w:p>
            <w:pPr>
              <w:spacing w:before="140"/>
              <w:ind w:left="980"/>
            </w:pPr>
            <w:r>
              <w:rPr>
                <w:rFonts w:hint="eastAsia" w:ascii="宋体" w:hAnsi="宋体" w:eastAsia="宋体" w:cs="宋体"/>
                <w:sz w:val="21"/>
              </w:rPr>
              <w:t>市场人员</w:t>
            </w:r>
          </w:p>
        </w:tc>
        <w:tc>
          <w:tcPr>
            <w:tcW w:w="2840" w:type="dxa"/>
            <w:tcMar>
              <w:top w:w="0" w:type="dxa"/>
              <w:left w:w="0" w:type="dxa"/>
              <w:bottom w:w="0" w:type="dxa"/>
              <w:right w:w="0" w:type="dxa"/>
            </w:tcMar>
          </w:tcPr>
          <w:p>
            <w:pPr>
              <w:spacing w:before="120"/>
              <w:ind w:left="2500"/>
            </w:pPr>
            <w:r>
              <w:rPr>
                <w:rFonts w:hint="eastAsia" w:ascii="Times New Roman" w:hAnsi="Times New Roman" w:eastAsia="Times New Roman" w:cs="Times New Roman"/>
                <w:sz w:val="21"/>
              </w:rPr>
              <w:t>82</w:t>
            </w:r>
          </w:p>
        </w:tc>
        <w:tc>
          <w:tcPr>
            <w:tcW w:w="2840" w:type="dxa"/>
            <w:tcMar>
              <w:top w:w="0" w:type="dxa"/>
              <w:left w:w="0" w:type="dxa"/>
              <w:bottom w:w="0" w:type="dxa"/>
              <w:right w:w="0" w:type="dxa"/>
            </w:tcMar>
          </w:tcPr>
          <w:p>
            <w:pPr>
              <w:spacing w:before="120"/>
              <w:ind w:left="208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p>
        </w:tc>
      </w:tr>
      <w:tr>
        <w:trPr>
          <w:trHeight w:val="480" w:hRule="exact"/>
        </w:trPr>
        <w:tc>
          <w:tcPr>
            <w:tcW w:w="2840" w:type="dxa"/>
            <w:tcMar>
              <w:top w:w="0" w:type="dxa"/>
              <w:left w:w="0" w:type="dxa"/>
              <w:bottom w:w="0" w:type="dxa"/>
              <w:right w:w="0" w:type="dxa"/>
            </w:tcMar>
          </w:tcPr>
          <w:p>
            <w:pPr>
              <w:spacing w:before="140"/>
              <w:ind w:left="660"/>
            </w:pPr>
            <w:r>
              <w:rPr>
                <w:rFonts w:hint="eastAsia" w:ascii="宋体" w:hAnsi="宋体" w:eastAsia="宋体" w:cs="宋体"/>
                <w:sz w:val="21"/>
              </w:rPr>
              <w:t>管理人员及其他</w:t>
            </w:r>
          </w:p>
        </w:tc>
        <w:tc>
          <w:tcPr>
            <w:tcW w:w="2840" w:type="dxa"/>
            <w:tcMar>
              <w:top w:w="0" w:type="dxa"/>
              <w:left w:w="0" w:type="dxa"/>
              <w:bottom w:w="0" w:type="dxa"/>
              <w:right w:w="0" w:type="dxa"/>
            </w:tcMar>
          </w:tcPr>
          <w:p>
            <w:pPr>
              <w:spacing w:before="140"/>
              <w:ind w:left="2500"/>
            </w:pPr>
            <w:r>
              <w:rPr>
                <w:rFonts w:hint="eastAsia" w:ascii="Times New Roman" w:hAnsi="Times New Roman" w:eastAsia="Times New Roman" w:cs="Times New Roman"/>
                <w:sz w:val="21"/>
              </w:rPr>
              <w:t>63</w:t>
            </w:r>
          </w:p>
        </w:tc>
        <w:tc>
          <w:tcPr>
            <w:tcW w:w="2840" w:type="dxa"/>
            <w:tcMar>
              <w:top w:w="0" w:type="dxa"/>
              <w:left w:w="0" w:type="dxa"/>
              <w:bottom w:w="0" w:type="dxa"/>
              <w:right w:w="0" w:type="dxa"/>
            </w:tcMar>
          </w:tcPr>
          <w:p>
            <w:pPr>
              <w:spacing w:before="140"/>
              <w:ind w:left="21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r>
              <w:rPr>
                <w:rFonts w:hint="eastAsia" w:ascii="Times New Roman" w:hAnsi="Times New Roman" w:eastAsia="Times New Roman" w:cs="Times New Roman"/>
                <w:sz w:val="20"/>
              </w:rPr>
              <w:t>%</w:t>
            </w:r>
          </w:p>
        </w:tc>
      </w:tr>
      <w:tr>
        <w:trPr>
          <w:trHeight w:val="500" w:hRule="exact"/>
        </w:trPr>
        <w:tc>
          <w:tcPr>
            <w:tcW w:w="2840" w:type="dxa"/>
            <w:tcMar>
              <w:top w:w="0" w:type="dxa"/>
              <w:left w:w="0" w:type="dxa"/>
              <w:bottom w:w="0" w:type="dxa"/>
              <w:right w:w="0" w:type="dxa"/>
            </w:tcMar>
          </w:tcPr>
          <w:p>
            <w:pPr>
              <w:spacing w:before="140"/>
              <w:ind w:left="1180"/>
            </w:pPr>
            <w:r>
              <w:rPr>
                <w:rFonts w:hint="eastAsia" w:ascii="宋体" w:hAnsi="宋体" w:eastAsia="宋体" w:cs="宋体"/>
                <w:b/>
                <w:sz w:val="21"/>
              </w:rPr>
              <w:t>合计</w:t>
            </w:r>
          </w:p>
        </w:tc>
        <w:tc>
          <w:tcPr>
            <w:tcW w:w="2840" w:type="dxa"/>
            <w:tcMar>
              <w:top w:w="0" w:type="dxa"/>
              <w:left w:w="0" w:type="dxa"/>
              <w:bottom w:w="0" w:type="dxa"/>
              <w:right w:w="0" w:type="dxa"/>
            </w:tcMar>
          </w:tcPr>
          <w:p>
            <w:pPr>
              <w:spacing w:before="160"/>
              <w:ind w:left="2400"/>
            </w:pPr>
            <w:r>
              <w:rPr>
                <w:rFonts w:hint="eastAsia" w:ascii="Times New Roman Bold" w:hAnsi="Times New Roman Bold" w:eastAsia="Times New Roman Bold" w:cs="Times New Roman Bold"/>
                <w:b/>
                <w:sz w:val="21"/>
              </w:rPr>
              <w:t>699</w:t>
            </w:r>
          </w:p>
        </w:tc>
        <w:tc>
          <w:tcPr>
            <w:tcW w:w="2840" w:type="dxa"/>
            <w:tcMar>
              <w:top w:w="0" w:type="dxa"/>
              <w:left w:w="0" w:type="dxa"/>
              <w:bottom w:w="0" w:type="dxa"/>
              <w:right w:w="0" w:type="dxa"/>
            </w:tcMar>
          </w:tcPr>
          <w:p>
            <w:pPr>
              <w:spacing w:before="200"/>
              <w:ind w:left="19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宋体" w:hAnsi="宋体" w:eastAsia="宋体" w:cs="宋体"/>
          <w:b/>
          <w:sz w:val="20"/>
        </w:rPr>
        <w:t>（</w:t>
      </w:r>
      <w:r>
        <w:rPr>
          <w:rFonts w:hint="eastAsia" w:ascii="宋体" w:hAnsi="宋体" w:eastAsia="宋体" w:cs="宋体"/>
          <w:b/>
          <w:sz w:val="24"/>
        </w:rPr>
        <w:t>三）员工受教育程度</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员工受教育程度如下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840"/>
        <w:gridCol w:w="2840"/>
        <w:gridCol w:w="2840"/>
      </w:tblGrid>
      <w:tr>
        <w:trPr>
          <w:trHeight w:val="480" w:hRule="exact"/>
        </w:trPr>
        <w:tc>
          <w:tcPr>
            <w:tcW w:w="2840" w:type="dxa"/>
            <w:tcMar>
              <w:top w:w="0" w:type="dxa"/>
              <w:left w:w="0" w:type="dxa"/>
              <w:bottom w:w="0" w:type="dxa"/>
              <w:right w:w="0" w:type="dxa"/>
            </w:tcMar>
          </w:tcPr>
          <w:p>
            <w:pPr>
              <w:spacing w:before="120"/>
              <w:ind w:left="980"/>
            </w:pPr>
            <w:r>
              <w:rPr>
                <w:rFonts w:hint="eastAsia" w:ascii="宋体" w:hAnsi="宋体" w:eastAsia="宋体" w:cs="宋体"/>
                <w:b/>
                <w:sz w:val="21"/>
              </w:rPr>
              <w:t>学历类别</w:t>
            </w:r>
          </w:p>
        </w:tc>
        <w:tc>
          <w:tcPr>
            <w:tcW w:w="2840" w:type="dxa"/>
            <w:tcMar>
              <w:top w:w="0" w:type="dxa"/>
              <w:left w:w="0" w:type="dxa"/>
              <w:bottom w:w="0" w:type="dxa"/>
              <w:right w:w="0" w:type="dxa"/>
            </w:tcMar>
          </w:tcPr>
          <w:p>
            <w:pPr>
              <w:spacing w:before="120"/>
              <w:ind w:left="980"/>
            </w:pPr>
            <w:r>
              <w:rPr>
                <w:rFonts w:hint="eastAsia" w:ascii="宋体" w:hAnsi="宋体" w:eastAsia="宋体" w:cs="宋体"/>
                <w:b/>
                <w:sz w:val="21"/>
              </w:rPr>
              <w:t>员工人数</w:t>
            </w:r>
          </w:p>
        </w:tc>
        <w:tc>
          <w:tcPr>
            <w:tcW w:w="2840" w:type="dxa"/>
            <w:tcMar>
              <w:top w:w="0" w:type="dxa"/>
              <w:left w:w="0" w:type="dxa"/>
              <w:bottom w:w="0" w:type="dxa"/>
              <w:right w:w="0" w:type="dxa"/>
            </w:tcMar>
          </w:tcPr>
          <w:p>
            <w:pPr>
              <w:spacing w:before="120"/>
              <w:ind w:left="980"/>
            </w:pPr>
            <w:r>
              <w:rPr>
                <w:rFonts w:hint="eastAsia" w:ascii="宋体" w:hAnsi="宋体" w:eastAsia="宋体" w:cs="宋体"/>
                <w:b/>
                <w:sz w:val="21"/>
              </w:rPr>
              <w:t>所占比例</w:t>
            </w:r>
          </w:p>
        </w:tc>
      </w:tr>
      <w:tr>
        <w:trPr>
          <w:trHeight w:val="480" w:hRule="exact"/>
        </w:trPr>
        <w:tc>
          <w:tcPr>
            <w:tcW w:w="2840" w:type="dxa"/>
            <w:tcMar>
              <w:top w:w="0" w:type="dxa"/>
              <w:left w:w="0" w:type="dxa"/>
              <w:bottom w:w="0" w:type="dxa"/>
              <w:right w:w="0" w:type="dxa"/>
            </w:tcMar>
          </w:tcPr>
          <w:p>
            <w:pPr>
              <w:spacing w:before="100"/>
              <w:ind w:left="880"/>
            </w:pPr>
            <w:r>
              <w:rPr>
                <w:rFonts w:hint="eastAsia" w:ascii="宋体" w:hAnsi="宋体" w:eastAsia="宋体" w:cs="宋体"/>
                <w:sz w:val="21"/>
              </w:rPr>
              <w:t>硕士及以上</w:t>
            </w:r>
          </w:p>
        </w:tc>
        <w:tc>
          <w:tcPr>
            <w:tcW w:w="2840" w:type="dxa"/>
            <w:tcMar>
              <w:top w:w="0" w:type="dxa"/>
              <w:left w:w="0" w:type="dxa"/>
              <w:bottom w:w="0" w:type="dxa"/>
              <w:right w:w="0" w:type="dxa"/>
            </w:tcMar>
          </w:tcPr>
          <w:p>
            <w:pPr>
              <w:spacing w:before="160"/>
              <w:ind w:left="2500"/>
            </w:pPr>
            <w:r>
              <w:rPr>
                <w:rFonts w:hint="eastAsia" w:ascii="Times New Roman" w:hAnsi="Times New Roman" w:eastAsia="Times New Roman" w:cs="Times New Roman"/>
                <w:sz w:val="21"/>
              </w:rPr>
              <w:t>19</w:t>
            </w:r>
          </w:p>
        </w:tc>
        <w:tc>
          <w:tcPr>
            <w:tcW w:w="2840" w:type="dxa"/>
            <w:tcMar>
              <w:top w:w="0" w:type="dxa"/>
              <w:left w:w="0" w:type="dxa"/>
              <w:bottom w:w="0" w:type="dxa"/>
              <w:right w:w="0" w:type="dxa"/>
            </w:tcMar>
          </w:tcPr>
          <w:p>
            <w:pPr>
              <w:spacing w:before="140"/>
              <w:ind w:left="21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p>
        </w:tc>
      </w:tr>
      <w:tr>
        <w:trPr>
          <w:trHeight w:val="460" w:hRule="exact"/>
        </w:trPr>
        <w:tc>
          <w:tcPr>
            <w:tcW w:w="2840" w:type="dxa"/>
            <w:tcMar>
              <w:top w:w="0" w:type="dxa"/>
              <w:left w:w="0" w:type="dxa"/>
              <w:bottom w:w="0" w:type="dxa"/>
              <w:right w:w="0" w:type="dxa"/>
            </w:tcMar>
          </w:tcPr>
          <w:p>
            <w:pPr>
              <w:spacing w:before="120"/>
              <w:ind w:left="1200"/>
            </w:pPr>
            <w:r>
              <w:rPr>
                <w:rFonts w:hint="eastAsia" w:ascii="宋体" w:hAnsi="宋体" w:eastAsia="宋体" w:cs="宋体"/>
                <w:sz w:val="21"/>
              </w:rPr>
              <w:t>本科</w:t>
            </w:r>
          </w:p>
        </w:tc>
        <w:tc>
          <w:tcPr>
            <w:tcW w:w="2840" w:type="dxa"/>
            <w:tcMar>
              <w:top w:w="0" w:type="dxa"/>
              <w:left w:w="0" w:type="dxa"/>
              <w:bottom w:w="0" w:type="dxa"/>
              <w:right w:w="0" w:type="dxa"/>
            </w:tcMar>
          </w:tcPr>
          <w:p>
            <w:pPr>
              <w:spacing w:before="160"/>
              <w:ind w:left="2400"/>
            </w:pPr>
            <w:r>
              <w:rPr>
                <w:rFonts w:hint="eastAsia" w:ascii="Times New Roman" w:hAnsi="Times New Roman" w:eastAsia="Times New Roman" w:cs="Times New Roman"/>
                <w:sz w:val="21"/>
              </w:rPr>
              <w:t>554</w:t>
            </w:r>
          </w:p>
        </w:tc>
        <w:tc>
          <w:tcPr>
            <w:tcW w:w="2840" w:type="dxa"/>
            <w:tcMar>
              <w:top w:w="0" w:type="dxa"/>
              <w:left w:w="0" w:type="dxa"/>
              <w:bottom w:w="0" w:type="dxa"/>
              <w:right w:w="0" w:type="dxa"/>
            </w:tcMar>
          </w:tcPr>
          <w:p>
            <w:pPr>
              <w:spacing w:before="160"/>
              <w:ind w:left="2080"/>
            </w:pP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r>
      <w:tr>
        <w:trPr>
          <w:trHeight w:val="480" w:hRule="exact"/>
        </w:trPr>
        <w:tc>
          <w:tcPr>
            <w:tcW w:w="2840" w:type="dxa"/>
            <w:tcMar>
              <w:top w:w="0" w:type="dxa"/>
              <w:left w:w="0" w:type="dxa"/>
              <w:bottom w:w="0" w:type="dxa"/>
              <w:right w:w="0" w:type="dxa"/>
            </w:tcMar>
          </w:tcPr>
          <w:p>
            <w:pPr>
              <w:spacing w:before="120"/>
              <w:ind w:left="880"/>
            </w:pPr>
            <w:r>
              <w:rPr>
                <w:rFonts w:hint="eastAsia" w:ascii="宋体" w:hAnsi="宋体" w:eastAsia="宋体" w:cs="宋体"/>
                <w:sz w:val="21"/>
              </w:rPr>
              <w:t>大专及以下</w:t>
            </w:r>
          </w:p>
        </w:tc>
        <w:tc>
          <w:tcPr>
            <w:tcW w:w="2840" w:type="dxa"/>
            <w:tcMar>
              <w:top w:w="0" w:type="dxa"/>
              <w:left w:w="0" w:type="dxa"/>
              <w:bottom w:w="0" w:type="dxa"/>
              <w:right w:w="0" w:type="dxa"/>
            </w:tcMar>
          </w:tcPr>
          <w:p>
            <w:pPr>
              <w:spacing w:before="140"/>
              <w:ind w:left="2400"/>
            </w:pPr>
            <w:r>
              <w:rPr>
                <w:rFonts w:hint="eastAsia" w:ascii="Times New Roman" w:hAnsi="Times New Roman" w:eastAsia="Times New Roman" w:cs="Times New Roman"/>
                <w:sz w:val="21"/>
              </w:rPr>
              <w:t>126</w:t>
            </w:r>
          </w:p>
        </w:tc>
        <w:tc>
          <w:tcPr>
            <w:tcW w:w="2840" w:type="dxa"/>
            <w:tcMar>
              <w:top w:w="0" w:type="dxa"/>
              <w:left w:w="0" w:type="dxa"/>
              <w:bottom w:w="0" w:type="dxa"/>
              <w:right w:w="0" w:type="dxa"/>
            </w:tcMar>
          </w:tcPr>
          <w:p>
            <w:pPr>
              <w:spacing w:before="180"/>
              <w:ind w:left="208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60" w:hRule="exact"/>
        </w:trPr>
        <w:tc>
          <w:tcPr>
            <w:tcW w:w="2840" w:type="dxa"/>
            <w:tcMar>
              <w:top w:w="0" w:type="dxa"/>
              <w:left w:w="0" w:type="dxa"/>
              <w:bottom w:w="0" w:type="dxa"/>
              <w:right w:w="0" w:type="dxa"/>
            </w:tcMar>
          </w:tcPr>
          <w:p>
            <w:pPr>
              <w:spacing w:before="120"/>
              <w:ind w:left="1180"/>
            </w:pPr>
            <w:r>
              <w:rPr>
                <w:rFonts w:hint="eastAsia" w:ascii="宋体" w:hAnsi="宋体" w:eastAsia="宋体" w:cs="宋体"/>
                <w:b/>
                <w:sz w:val="21"/>
              </w:rPr>
              <w:t>合计</w:t>
            </w:r>
          </w:p>
        </w:tc>
        <w:tc>
          <w:tcPr>
            <w:tcW w:w="2840" w:type="dxa"/>
            <w:tcMar>
              <w:top w:w="0" w:type="dxa"/>
              <w:left w:w="0" w:type="dxa"/>
              <w:bottom w:w="0" w:type="dxa"/>
              <w:right w:w="0" w:type="dxa"/>
            </w:tcMar>
          </w:tcPr>
          <w:p>
            <w:pPr>
              <w:spacing w:before="140"/>
              <w:ind w:left="2400"/>
            </w:pPr>
            <w:r>
              <w:rPr>
                <w:rFonts w:hint="eastAsia" w:ascii="Times New Roman Bold" w:hAnsi="Times New Roman Bold" w:eastAsia="Times New Roman Bold" w:cs="Times New Roman Bold"/>
                <w:b/>
                <w:sz w:val="21"/>
              </w:rPr>
              <w:t>699</w:t>
            </w:r>
          </w:p>
        </w:tc>
        <w:tc>
          <w:tcPr>
            <w:tcW w:w="2840" w:type="dxa"/>
            <w:tcMar>
              <w:top w:w="0" w:type="dxa"/>
              <w:left w:w="0" w:type="dxa"/>
              <w:bottom w:w="0" w:type="dxa"/>
              <w:right w:w="0" w:type="dxa"/>
            </w:tcMar>
          </w:tcPr>
          <w:p>
            <w:pPr>
              <w:spacing w:before="140"/>
              <w:ind w:left="19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1800"/>
        <w:jc w:val="both"/>
      </w:pPr>
      <w:r>
        <w:rPr>
          <w:rFonts w:hint="eastAsia" w:ascii="宋体" w:hAnsi="宋体" w:eastAsia="宋体" w:cs="宋体"/>
          <w:b/>
          <w:sz w:val="20"/>
        </w:rPr>
        <w:t>（</w:t>
      </w:r>
      <w:r>
        <w:rPr>
          <w:rFonts w:hint="eastAsia" w:ascii="宋体" w:hAnsi="宋体" w:eastAsia="宋体" w:cs="宋体"/>
          <w:b/>
          <w:sz w:val="24"/>
        </w:rPr>
        <w:t>四）员工年龄分布</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员工年龄分布如下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840"/>
        <w:gridCol w:w="2840"/>
        <w:gridCol w:w="2840"/>
      </w:tblGrid>
      <w:tr>
        <w:trPr>
          <w:trHeight w:val="460" w:hRule="exact"/>
        </w:trPr>
        <w:tc>
          <w:tcPr>
            <w:tcW w:w="2840" w:type="dxa"/>
            <w:tcMar>
              <w:top w:w="0" w:type="dxa"/>
              <w:left w:w="0" w:type="dxa"/>
              <w:bottom w:w="0" w:type="dxa"/>
              <w:right w:w="0" w:type="dxa"/>
            </w:tcMar>
          </w:tcPr>
          <w:p>
            <w:pPr>
              <w:spacing w:before="100"/>
              <w:ind w:left="980"/>
            </w:pPr>
            <w:r>
              <w:rPr>
                <w:rFonts w:hint="eastAsia" w:ascii="宋体" w:hAnsi="宋体" w:eastAsia="宋体" w:cs="宋体"/>
                <w:b/>
                <w:sz w:val="21"/>
              </w:rPr>
              <w:t>年龄区间</w:t>
            </w:r>
          </w:p>
        </w:tc>
        <w:tc>
          <w:tcPr>
            <w:tcW w:w="2840" w:type="dxa"/>
            <w:tcMar>
              <w:top w:w="0" w:type="dxa"/>
              <w:left w:w="0" w:type="dxa"/>
              <w:bottom w:w="0" w:type="dxa"/>
              <w:right w:w="0" w:type="dxa"/>
            </w:tcMar>
          </w:tcPr>
          <w:p>
            <w:pPr>
              <w:spacing w:before="100"/>
              <w:ind w:left="980"/>
            </w:pPr>
            <w:r>
              <w:rPr>
                <w:rFonts w:hint="eastAsia" w:ascii="宋体" w:hAnsi="宋体" w:eastAsia="宋体" w:cs="宋体"/>
                <w:b/>
                <w:sz w:val="21"/>
              </w:rPr>
              <w:t>员工人数</w:t>
            </w:r>
          </w:p>
        </w:tc>
        <w:tc>
          <w:tcPr>
            <w:tcW w:w="2840" w:type="dxa"/>
            <w:tcMar>
              <w:top w:w="0" w:type="dxa"/>
              <w:left w:w="0" w:type="dxa"/>
              <w:bottom w:w="0" w:type="dxa"/>
              <w:right w:w="0" w:type="dxa"/>
            </w:tcMar>
          </w:tcPr>
          <w:p>
            <w:pPr>
              <w:spacing w:before="120"/>
              <w:ind w:left="980"/>
            </w:pPr>
            <w:r>
              <w:rPr>
                <w:rFonts w:hint="eastAsia" w:ascii="宋体" w:hAnsi="宋体" w:eastAsia="宋体" w:cs="宋体"/>
                <w:b/>
                <w:sz w:val="21"/>
              </w:rPr>
              <w:t>所占比例</w:t>
            </w:r>
          </w:p>
        </w:tc>
      </w:tr>
      <w:tr>
        <w:trPr>
          <w:trHeight w:val="480" w:hRule="exact"/>
        </w:trPr>
        <w:tc>
          <w:tcPr>
            <w:tcW w:w="2840" w:type="dxa"/>
            <w:tcMar>
              <w:top w:w="0" w:type="dxa"/>
              <w:left w:w="0" w:type="dxa"/>
              <w:bottom w:w="0" w:type="dxa"/>
              <w:right w:w="0" w:type="dxa"/>
            </w:tcMar>
          </w:tcPr>
          <w:p>
            <w:pPr>
              <w:spacing w:before="120"/>
              <w:ind w:left="860"/>
            </w:pPr>
            <w:r>
              <w:rPr>
                <w:rFonts w:hint="eastAsia" w:ascii="Times New Roman" w:hAnsi="Times New Roman" w:eastAsia="Times New Roman" w:cs="Times New Roman"/>
                <w:sz w:val="21"/>
              </w:rPr>
              <w:t>30</w:t>
            </w:r>
            <w:r>
              <w:rPr>
                <w:rFonts w:hint="eastAsia" w:ascii="宋体" w:hAnsi="宋体" w:eastAsia="宋体" w:cs="宋体"/>
                <w:sz w:val="21"/>
              </w:rPr>
              <w:t xml:space="preserve"> 岁及以下</w:t>
            </w:r>
          </w:p>
        </w:tc>
        <w:tc>
          <w:tcPr>
            <w:tcW w:w="2840" w:type="dxa"/>
            <w:tcMar>
              <w:top w:w="0" w:type="dxa"/>
              <w:left w:w="0" w:type="dxa"/>
              <w:bottom w:w="0" w:type="dxa"/>
              <w:right w:w="0" w:type="dxa"/>
            </w:tcMar>
          </w:tcPr>
          <w:p>
            <w:pPr>
              <w:spacing w:before="140"/>
              <w:ind w:left="2400"/>
            </w:pPr>
            <w:r>
              <w:rPr>
                <w:rFonts w:hint="eastAsia" w:ascii="Times New Roman" w:hAnsi="Times New Roman" w:eastAsia="Times New Roman" w:cs="Times New Roman"/>
                <w:sz w:val="21"/>
              </w:rPr>
              <w:t>490</w:t>
            </w:r>
          </w:p>
        </w:tc>
        <w:tc>
          <w:tcPr>
            <w:tcW w:w="2840" w:type="dxa"/>
            <w:tcMar>
              <w:top w:w="0" w:type="dxa"/>
              <w:left w:w="0" w:type="dxa"/>
              <w:bottom w:w="0" w:type="dxa"/>
              <w:right w:w="0" w:type="dxa"/>
            </w:tcMar>
          </w:tcPr>
          <w:p>
            <w:pPr>
              <w:spacing w:before="180"/>
              <w:ind w:left="208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p>
        </w:tc>
      </w:tr>
      <w:tr>
        <w:trPr>
          <w:trHeight w:val="480" w:hRule="exact"/>
        </w:trPr>
        <w:tc>
          <w:tcPr>
            <w:tcW w:w="2840" w:type="dxa"/>
            <w:tcMar>
              <w:top w:w="0" w:type="dxa"/>
              <w:left w:w="0" w:type="dxa"/>
              <w:bottom w:w="0" w:type="dxa"/>
              <w:right w:w="0" w:type="dxa"/>
            </w:tcMar>
          </w:tcPr>
          <w:p>
            <w:pPr>
              <w:spacing w:before="120"/>
              <w:ind w:left="1020"/>
            </w:pPr>
            <w:r>
              <w:rPr>
                <w:rFonts w:hint="eastAsia" w:ascii="Times New Roman" w:hAnsi="Times New Roman" w:eastAsia="Times New Roman" w:cs="Times New Roman"/>
                <w:sz w:val="21"/>
              </w:rPr>
              <w:t>31-40</w:t>
            </w:r>
            <w:r>
              <w:rPr>
                <w:rFonts w:hint="eastAsia" w:ascii="宋体" w:hAnsi="宋体" w:eastAsia="宋体" w:cs="宋体"/>
                <w:sz w:val="21"/>
              </w:rPr>
              <w:t xml:space="preserve"> 岁</w:t>
            </w:r>
          </w:p>
        </w:tc>
        <w:tc>
          <w:tcPr>
            <w:tcW w:w="2840" w:type="dxa"/>
            <w:tcMar>
              <w:top w:w="0" w:type="dxa"/>
              <w:left w:w="0" w:type="dxa"/>
              <w:bottom w:w="0" w:type="dxa"/>
              <w:right w:w="0" w:type="dxa"/>
            </w:tcMar>
          </w:tcPr>
          <w:p>
            <w:pPr>
              <w:spacing w:before="160"/>
              <w:ind w:left="2400"/>
            </w:pPr>
            <w:r>
              <w:rPr>
                <w:rFonts w:hint="eastAsia" w:ascii="Times New Roman" w:hAnsi="Times New Roman" w:eastAsia="Times New Roman" w:cs="Times New Roman"/>
                <w:sz w:val="21"/>
              </w:rPr>
              <w:t>160</w:t>
            </w:r>
          </w:p>
        </w:tc>
        <w:tc>
          <w:tcPr>
            <w:tcW w:w="2840" w:type="dxa"/>
            <w:tcMar>
              <w:top w:w="0" w:type="dxa"/>
              <w:left w:w="0" w:type="dxa"/>
              <w:bottom w:w="0" w:type="dxa"/>
              <w:right w:w="0" w:type="dxa"/>
            </w:tcMar>
          </w:tcPr>
          <w:p>
            <w:pPr>
              <w:spacing w:before="140"/>
              <w:ind w:left="208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r>
      <w:tr>
        <w:trPr>
          <w:trHeight w:val="480" w:hRule="exact"/>
        </w:trPr>
        <w:tc>
          <w:tcPr>
            <w:tcW w:w="2840" w:type="dxa"/>
            <w:tcMar>
              <w:top w:w="0" w:type="dxa"/>
              <w:left w:w="0" w:type="dxa"/>
              <w:bottom w:w="0" w:type="dxa"/>
              <w:right w:w="0" w:type="dxa"/>
            </w:tcMar>
          </w:tcPr>
          <w:p>
            <w:pPr>
              <w:spacing w:before="120"/>
              <w:ind w:left="860"/>
            </w:pPr>
            <w:r>
              <w:rPr>
                <w:rFonts w:hint="eastAsia" w:ascii="Times New Roman" w:hAnsi="Times New Roman" w:eastAsia="Times New Roman" w:cs="Times New Roman"/>
                <w:sz w:val="21"/>
              </w:rPr>
              <w:t>41</w:t>
            </w:r>
            <w:r>
              <w:rPr>
                <w:rFonts w:hint="eastAsia" w:ascii="宋体" w:hAnsi="宋体" w:eastAsia="宋体" w:cs="宋体"/>
                <w:sz w:val="21"/>
              </w:rPr>
              <w:t xml:space="preserve"> 岁及以上</w:t>
            </w:r>
          </w:p>
        </w:tc>
        <w:tc>
          <w:tcPr>
            <w:tcW w:w="2840" w:type="dxa"/>
            <w:tcMar>
              <w:top w:w="0" w:type="dxa"/>
              <w:left w:w="0" w:type="dxa"/>
              <w:bottom w:w="0" w:type="dxa"/>
              <w:right w:w="0" w:type="dxa"/>
            </w:tcMar>
          </w:tcPr>
          <w:p>
            <w:pPr>
              <w:spacing w:before="160"/>
              <w:ind w:left="2500"/>
            </w:pPr>
            <w:r>
              <w:rPr>
                <w:rFonts w:hint="eastAsia" w:ascii="Times New Roman" w:hAnsi="Times New Roman" w:eastAsia="Times New Roman" w:cs="Times New Roman"/>
                <w:sz w:val="21"/>
              </w:rPr>
              <w:t>49</w:t>
            </w:r>
          </w:p>
        </w:tc>
        <w:tc>
          <w:tcPr>
            <w:tcW w:w="2840" w:type="dxa"/>
            <w:tcMar>
              <w:top w:w="0" w:type="dxa"/>
              <w:left w:w="0" w:type="dxa"/>
              <w:bottom w:w="0" w:type="dxa"/>
              <w:right w:w="0" w:type="dxa"/>
            </w:tcMar>
          </w:tcPr>
          <w:p>
            <w:pPr>
              <w:spacing w:before="140"/>
              <w:ind w:left="218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r>
              <w:rPr>
                <w:rFonts w:hint="eastAsia" w:ascii="Times New Roman" w:hAnsi="Times New Roman" w:eastAsia="Times New Roman" w:cs="Times New Roman"/>
                <w:sz w:val="20"/>
              </w:rPr>
              <w:t>%</w:t>
            </w:r>
          </w:p>
        </w:tc>
      </w:tr>
      <w:tr>
        <w:trPr>
          <w:trHeight w:val="460" w:hRule="exact"/>
        </w:trPr>
        <w:tc>
          <w:tcPr>
            <w:tcW w:w="2840" w:type="dxa"/>
            <w:tcMar>
              <w:top w:w="0" w:type="dxa"/>
              <w:left w:w="0" w:type="dxa"/>
              <w:bottom w:w="0" w:type="dxa"/>
              <w:right w:w="0" w:type="dxa"/>
            </w:tcMar>
          </w:tcPr>
          <w:p>
            <w:pPr>
              <w:spacing w:before="120"/>
              <w:ind w:left="1180"/>
            </w:pPr>
            <w:r>
              <w:rPr>
                <w:rFonts w:hint="eastAsia" w:ascii="宋体" w:hAnsi="宋体" w:eastAsia="宋体" w:cs="宋体"/>
                <w:b/>
                <w:sz w:val="21"/>
              </w:rPr>
              <w:t>合计</w:t>
            </w:r>
          </w:p>
        </w:tc>
        <w:tc>
          <w:tcPr>
            <w:tcW w:w="2840" w:type="dxa"/>
            <w:tcMar>
              <w:top w:w="0" w:type="dxa"/>
              <w:left w:w="0" w:type="dxa"/>
              <w:bottom w:w="0" w:type="dxa"/>
              <w:right w:w="0" w:type="dxa"/>
            </w:tcMar>
          </w:tcPr>
          <w:p>
            <w:pPr>
              <w:spacing w:before="160"/>
              <w:ind w:left="2400"/>
            </w:pPr>
            <w:r>
              <w:rPr>
                <w:rFonts w:hint="eastAsia" w:ascii="Times New Roman Bold" w:hAnsi="Times New Roman Bold" w:eastAsia="Times New Roman Bold" w:cs="Times New Roman Bold"/>
                <w:b/>
                <w:sz w:val="21"/>
              </w:rPr>
              <w:t>699</w:t>
            </w:r>
          </w:p>
        </w:tc>
        <w:tc>
          <w:tcPr>
            <w:tcW w:w="2840" w:type="dxa"/>
            <w:tcMar>
              <w:top w:w="0" w:type="dxa"/>
              <w:left w:w="0" w:type="dxa"/>
              <w:bottom w:w="0" w:type="dxa"/>
              <w:right w:w="0" w:type="dxa"/>
            </w:tcMar>
          </w:tcPr>
          <w:p>
            <w:pPr>
              <w:spacing w:before="160"/>
              <w:ind w:left="19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60"/>
        <w:jc w:val="both"/>
      </w:pPr>
      <w:r>
        <w:rPr>
          <w:rFonts w:hint="eastAsia" w:ascii="Times New Roman" w:hAnsi="Times New Roman" w:eastAsia="Times New Roman" w:cs="Times New Roman"/>
          <w:sz w:val="21"/>
        </w:rPr>
        <w:t>1-1-84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b/>
          <w:sz w:val="20"/>
        </w:rPr>
        <w:t>（</w:t>
      </w:r>
      <w:r>
        <w:rPr>
          <w:rFonts w:hint="eastAsia" w:ascii="宋体" w:hAnsi="宋体" w:eastAsia="宋体" w:cs="宋体"/>
          <w:b/>
          <w:sz w:val="24"/>
        </w:rPr>
        <w:t>五）发行人执行社会保障制度</w:t>
      </w:r>
      <w:r>
        <w:rPr>
          <w:rFonts w:hint="eastAsia" w:ascii="宋体" w:hAnsi="宋体" w:eastAsia="宋体" w:cs="宋体"/>
          <w:b/>
          <w:sz w:val="10"/>
        </w:rPr>
        <w:t>、</w:t>
      </w:r>
      <w:r>
        <w:rPr>
          <w:rFonts w:hint="eastAsia" w:ascii="宋体" w:hAnsi="宋体" w:eastAsia="宋体" w:cs="宋体"/>
          <w:b/>
          <w:sz w:val="24"/>
        </w:rPr>
        <w:t>住房制度改革</w:t>
      </w:r>
      <w:r>
        <w:rPr>
          <w:rFonts w:hint="eastAsia" w:ascii="宋体" w:hAnsi="宋体" w:eastAsia="宋体" w:cs="宋体"/>
          <w:b/>
          <w:sz w:val="10"/>
        </w:rPr>
        <w:t>、</w:t>
      </w:r>
      <w:r>
        <w:rPr>
          <w:rFonts w:hint="eastAsia" w:ascii="宋体" w:hAnsi="宋体" w:eastAsia="宋体" w:cs="宋体"/>
          <w:b/>
          <w:sz w:val="24"/>
        </w:rPr>
        <w:t>医疗制度改革情况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发行人用工情况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公司是一家国内领先的专业化平台型软件及信息化服务提供商</w:t>
      </w:r>
      <w:r>
        <w:rPr>
          <w:rFonts w:hint="eastAsia" w:ascii="宋体" w:hAnsi="宋体" w:eastAsia="宋体" w:cs="宋体"/>
          <w:sz w:val="10"/>
        </w:rPr>
        <w:t>，</w:t>
      </w:r>
      <w:r>
        <w:rPr>
          <w:rFonts w:hint="eastAsia" w:ascii="宋体" w:hAnsi="宋体" w:eastAsia="宋体" w:cs="宋体"/>
          <w:sz w:val="24"/>
        </w:rPr>
        <w:t>主要从事专业化软件产品的研发和销售</w:t>
      </w:r>
      <w:r>
        <w:rPr>
          <w:rFonts w:hint="eastAsia" w:ascii="宋体" w:hAnsi="宋体" w:eastAsia="宋体" w:cs="宋体"/>
          <w:sz w:val="10"/>
        </w:rPr>
        <w:t>。</w:t>
      </w:r>
      <w:r>
        <w:rPr>
          <w:rFonts w:hint="eastAsia" w:ascii="宋体" w:hAnsi="宋体" w:eastAsia="宋体" w:cs="宋体"/>
          <w:sz w:val="24"/>
        </w:rPr>
        <w:t>公司的软件产品均系技术人员自主开发完成</w:t>
      </w:r>
      <w:r>
        <w:rPr>
          <w:rFonts w:hint="eastAsia" w:ascii="宋体" w:hAnsi="宋体" w:eastAsia="宋体" w:cs="宋体"/>
          <w:sz w:val="10"/>
        </w:rPr>
        <w:t>，</w:t>
      </w:r>
      <w:r>
        <w:rPr>
          <w:rFonts w:hint="eastAsia" w:ascii="宋体" w:hAnsi="宋体" w:eastAsia="宋体" w:cs="宋体"/>
          <w:sz w:val="24"/>
        </w:rPr>
        <w:t>不存在劳务派遣和劳务外包的情形</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公司与员工签署了合法有效的劳动合同</w:t>
      </w:r>
      <w:r>
        <w:rPr>
          <w:rFonts w:hint="eastAsia" w:ascii="宋体" w:hAnsi="宋体" w:eastAsia="宋体" w:cs="宋体"/>
          <w:sz w:val="10"/>
        </w:rPr>
        <w:t>，</w:t>
      </w:r>
      <w:r>
        <w:rPr>
          <w:rFonts w:hint="eastAsia" w:ascii="宋体" w:hAnsi="宋体" w:eastAsia="宋体" w:cs="宋体"/>
          <w:sz w:val="24"/>
        </w:rPr>
        <w:t>公司劳动用工符合《劳动法》等法律法规的规定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发行人社会保险及住房公积金缴纳情况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firstLine="480"/>
        <w:jc w:val="both"/>
      </w:pPr>
      <w:r>
        <w:rPr>
          <w:rFonts w:hint="eastAsia" w:ascii="宋体" w:hAnsi="宋体" w:eastAsia="宋体" w:cs="宋体"/>
          <w:sz w:val="24"/>
        </w:rPr>
        <w:t>本公司及控股子公司根据国家及所在地地方政府的有关规定</w:t>
      </w:r>
      <w:r>
        <w:rPr>
          <w:rFonts w:hint="eastAsia" w:ascii="宋体" w:hAnsi="宋体" w:eastAsia="宋体" w:cs="宋体"/>
          <w:sz w:val="10"/>
        </w:rPr>
        <w:t>，</w:t>
      </w:r>
      <w:r>
        <w:rPr>
          <w:rFonts w:hint="eastAsia" w:ascii="宋体" w:hAnsi="宋体" w:eastAsia="宋体" w:cs="宋体"/>
          <w:sz w:val="24"/>
        </w:rPr>
        <w:t>为员工办理了养老保险</w:t>
      </w:r>
      <w:r>
        <w:rPr>
          <w:rFonts w:hint="eastAsia" w:ascii="宋体" w:hAnsi="宋体" w:eastAsia="宋体" w:cs="宋体"/>
          <w:sz w:val="10"/>
        </w:rPr>
        <w:t>、</w:t>
      </w:r>
      <w:r>
        <w:rPr>
          <w:rFonts w:hint="eastAsia" w:ascii="宋体" w:hAnsi="宋体" w:eastAsia="宋体" w:cs="宋体"/>
          <w:sz w:val="24"/>
        </w:rPr>
        <w:t>医疗保险等社会保险</w:t>
      </w:r>
      <w:r>
        <w:rPr>
          <w:rFonts w:hint="eastAsia" w:ascii="宋体" w:hAnsi="宋体" w:eastAsia="宋体" w:cs="宋体"/>
          <w:sz w:val="10"/>
        </w:rPr>
        <w:t>，</w:t>
      </w:r>
      <w:r>
        <w:rPr>
          <w:rFonts w:hint="eastAsia" w:ascii="宋体" w:hAnsi="宋体" w:eastAsia="宋体" w:cs="宋体"/>
          <w:sz w:val="24"/>
        </w:rPr>
        <w:t>并按国家有关政策建立了住房公积金制度</w:t>
      </w:r>
      <w:r>
        <w:rPr>
          <w:rFonts w:hint="eastAsia" w:ascii="宋体" w:hAnsi="宋体" w:eastAsia="宋体" w:cs="宋体"/>
          <w:sz w:val="10"/>
        </w:rPr>
        <w:t>。</w:t>
      </w:r>
      <w:r>
        <w:rPr>
          <w:rFonts w:hint="eastAsia" w:ascii="宋体" w:hAnsi="宋体" w:eastAsia="宋体" w:cs="宋体"/>
          <w:sz w:val="24"/>
        </w:rPr>
        <w:t>公司社会保险和住房公积金缴纳情况如下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）缴费时间</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80"/>
        <w:gridCol w:w="2280"/>
        <w:gridCol w:w="4860"/>
      </w:tblGrid>
      <w:tr>
        <w:trPr>
          <w:trHeight w:val="640" w:hRule="exact"/>
        </w:trPr>
        <w:tc>
          <w:tcPr>
            <w:tcW w:w="1380" w:type="dxa"/>
            <w:tcMar>
              <w:top w:w="0" w:type="dxa"/>
              <w:left w:w="0" w:type="dxa"/>
              <w:bottom w:w="0" w:type="dxa"/>
              <w:right w:w="0" w:type="dxa"/>
            </w:tcMar>
          </w:tcPr>
          <w:p>
            <w:pPr>
              <w:spacing w:before="200"/>
              <w:ind w:left="260"/>
            </w:pPr>
            <w:r>
              <w:rPr>
                <w:rFonts w:hint="eastAsia" w:ascii="宋体" w:hAnsi="宋体" w:eastAsia="宋体" w:cs="宋体"/>
                <w:b/>
                <w:sz w:val="21"/>
              </w:rPr>
              <w:t>缴纳主体</w:t>
            </w:r>
          </w:p>
        </w:tc>
        <w:tc>
          <w:tcPr>
            <w:tcW w:w="2280" w:type="dxa"/>
            <w:tcMar>
              <w:top w:w="0" w:type="dxa"/>
              <w:left w:w="0" w:type="dxa"/>
              <w:bottom w:w="0" w:type="dxa"/>
              <w:right w:w="0" w:type="dxa"/>
            </w:tcMar>
          </w:tcPr>
          <w:p>
            <w:pPr>
              <w:spacing w:before="200"/>
              <w:ind w:left="280"/>
            </w:pPr>
            <w:r>
              <w:rPr>
                <w:rFonts w:hint="eastAsia" w:ascii="宋体" w:hAnsi="宋体" w:eastAsia="宋体" w:cs="宋体"/>
                <w:b/>
                <w:sz w:val="21"/>
              </w:rPr>
              <w:t>社会保险缴纳日期</w:t>
            </w:r>
          </w:p>
        </w:tc>
        <w:tc>
          <w:tcPr>
            <w:tcW w:w="4860" w:type="dxa"/>
            <w:tcMar>
              <w:top w:w="0" w:type="dxa"/>
              <w:left w:w="0" w:type="dxa"/>
              <w:bottom w:w="0" w:type="dxa"/>
              <w:right w:w="0" w:type="dxa"/>
            </w:tcMar>
          </w:tcPr>
          <w:p>
            <w:pPr>
              <w:spacing w:before="200"/>
              <w:ind w:left="1460"/>
            </w:pPr>
            <w:r>
              <w:rPr>
                <w:rFonts w:hint="eastAsia" w:ascii="宋体" w:hAnsi="宋体" w:eastAsia="宋体" w:cs="宋体"/>
                <w:b/>
                <w:sz w:val="21"/>
              </w:rPr>
              <w:t>住房公积金缴纳日期</w:t>
            </w:r>
          </w:p>
        </w:tc>
      </w:tr>
      <w:tr>
        <w:trPr>
          <w:trHeight w:val="640" w:hRule="exact"/>
        </w:trPr>
        <w:tc>
          <w:tcPr>
            <w:tcW w:w="1380" w:type="dxa"/>
            <w:tcMar>
              <w:top w:w="0" w:type="dxa"/>
              <w:left w:w="0" w:type="dxa"/>
              <w:bottom w:w="0" w:type="dxa"/>
              <w:right w:w="0" w:type="dxa"/>
            </w:tcMar>
          </w:tcPr>
          <w:p>
            <w:pPr>
              <w:spacing w:before="200"/>
              <w:ind w:left="360"/>
            </w:pPr>
            <w:r>
              <w:rPr>
                <w:rFonts w:hint="eastAsia" w:ascii="宋体" w:hAnsi="宋体" w:eastAsia="宋体" w:cs="宋体"/>
                <w:sz w:val="21"/>
              </w:rPr>
              <w:t>发行人</w:t>
            </w:r>
          </w:p>
        </w:tc>
        <w:tc>
          <w:tcPr>
            <w:tcW w:w="228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2000</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10</w:t>
            </w:r>
            <w:r>
              <w:rPr>
                <w:rFonts w:hint="eastAsia" w:ascii="宋体" w:hAnsi="宋体" w:eastAsia="宋体" w:cs="宋体"/>
                <w:sz w:val="21"/>
              </w:rPr>
              <w:t xml:space="preserve"> 月</w:t>
            </w:r>
          </w:p>
        </w:tc>
        <w:tc>
          <w:tcPr>
            <w:tcW w:w="4860" w:type="dxa"/>
            <w:tcMar>
              <w:top w:w="0" w:type="dxa"/>
              <w:left w:w="0" w:type="dxa"/>
              <w:bottom w:w="0" w:type="dxa"/>
              <w:right w:w="0" w:type="dxa"/>
            </w:tcMar>
          </w:tcPr>
          <w:p>
            <w:pPr>
              <w:spacing w:before="180"/>
              <w:ind w:left="1860"/>
            </w:pPr>
            <w:r>
              <w:rPr>
                <w:rFonts w:hint="eastAsia" w:ascii="Times New Roman" w:hAnsi="Times New Roman" w:eastAsia="Times New Roman" w:cs="Times New Roman"/>
                <w:sz w:val="21"/>
              </w:rPr>
              <w:t>2006</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7</w:t>
            </w:r>
            <w:r>
              <w:rPr>
                <w:rFonts w:hint="eastAsia" w:ascii="宋体" w:hAnsi="宋体" w:eastAsia="宋体" w:cs="宋体"/>
                <w:sz w:val="21"/>
              </w:rPr>
              <w:t xml:space="preserve"> 月</w:t>
            </w:r>
          </w:p>
        </w:tc>
      </w:tr>
      <w:tr>
        <w:trPr>
          <w:trHeight w:val="620" w:hRule="exact"/>
        </w:trPr>
        <w:tc>
          <w:tcPr>
            <w:tcW w:w="1380" w:type="dxa"/>
            <w:tcMar>
              <w:top w:w="0" w:type="dxa"/>
              <w:left w:w="0" w:type="dxa"/>
              <w:bottom w:w="0" w:type="dxa"/>
              <w:right w:w="0" w:type="dxa"/>
            </w:tcMar>
          </w:tcPr>
          <w:p>
            <w:pPr>
              <w:spacing w:before="180"/>
              <w:ind w:left="260"/>
            </w:pPr>
            <w:r>
              <w:rPr>
                <w:rFonts w:hint="eastAsia" w:ascii="宋体" w:hAnsi="宋体" w:eastAsia="宋体" w:cs="宋体"/>
                <w:sz w:val="21"/>
              </w:rPr>
              <w:t>顶点数码</w:t>
            </w:r>
          </w:p>
        </w:tc>
        <w:tc>
          <w:tcPr>
            <w:tcW w:w="2280" w:type="dxa"/>
            <w:tcMar>
              <w:top w:w="0" w:type="dxa"/>
              <w:left w:w="0" w:type="dxa"/>
              <w:bottom w:w="0" w:type="dxa"/>
              <w:right w:w="0" w:type="dxa"/>
            </w:tcMar>
          </w:tcPr>
          <w:p>
            <w:pPr>
              <w:spacing w:before="180"/>
              <w:ind w:left="580"/>
            </w:pPr>
            <w:r>
              <w:rPr>
                <w:rFonts w:hint="eastAsia" w:ascii="Times New Roman" w:hAnsi="Times New Roman" w:eastAsia="Times New Roman" w:cs="Times New Roman"/>
                <w:sz w:val="21"/>
              </w:rPr>
              <w:t>2001</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6</w:t>
            </w:r>
            <w:r>
              <w:rPr>
                <w:rFonts w:hint="eastAsia" w:ascii="宋体" w:hAnsi="宋体" w:eastAsia="宋体" w:cs="宋体"/>
                <w:sz w:val="21"/>
              </w:rPr>
              <w:t xml:space="preserve"> 月</w:t>
            </w:r>
          </w:p>
        </w:tc>
        <w:tc>
          <w:tcPr>
            <w:tcW w:w="4860" w:type="dxa"/>
            <w:tcMar>
              <w:top w:w="0" w:type="dxa"/>
              <w:left w:w="0" w:type="dxa"/>
              <w:bottom w:w="0" w:type="dxa"/>
              <w:right w:w="0" w:type="dxa"/>
            </w:tcMar>
          </w:tcPr>
          <w:p>
            <w:pPr>
              <w:spacing w:before="180"/>
              <w:ind w:left="1860"/>
            </w:pPr>
            <w:r>
              <w:rPr>
                <w:rFonts w:hint="eastAsia" w:ascii="Times New Roman" w:hAnsi="Times New Roman" w:eastAsia="Times New Roman" w:cs="Times New Roman"/>
                <w:sz w:val="21"/>
              </w:rPr>
              <w:t>2008</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9</w:t>
            </w:r>
            <w:r>
              <w:rPr>
                <w:rFonts w:hint="eastAsia" w:ascii="宋体" w:hAnsi="宋体" w:eastAsia="宋体" w:cs="宋体"/>
                <w:sz w:val="21"/>
              </w:rPr>
              <w:t xml:space="preserve"> 月</w:t>
            </w:r>
          </w:p>
        </w:tc>
      </w:tr>
      <w:tr>
        <w:trPr>
          <w:trHeight w:val="640" w:hRule="exact"/>
        </w:trPr>
        <w:tc>
          <w:tcPr>
            <w:tcW w:w="1380" w:type="dxa"/>
            <w:tcMar>
              <w:top w:w="0" w:type="dxa"/>
              <w:left w:w="0" w:type="dxa"/>
              <w:bottom w:w="0" w:type="dxa"/>
              <w:right w:w="0" w:type="dxa"/>
            </w:tcMar>
          </w:tcPr>
          <w:p>
            <w:pPr>
              <w:spacing w:before="200"/>
              <w:ind w:left="260"/>
            </w:pPr>
            <w:r>
              <w:rPr>
                <w:rFonts w:hint="eastAsia" w:ascii="宋体" w:hAnsi="宋体" w:eastAsia="宋体" w:cs="宋体"/>
                <w:sz w:val="21"/>
              </w:rPr>
              <w:t>顶点信息</w:t>
            </w:r>
          </w:p>
        </w:tc>
        <w:tc>
          <w:tcPr>
            <w:tcW w:w="2280" w:type="dxa"/>
            <w:tcMar>
              <w:top w:w="0" w:type="dxa"/>
              <w:left w:w="0" w:type="dxa"/>
              <w:bottom w:w="0" w:type="dxa"/>
              <w:right w:w="0" w:type="dxa"/>
            </w:tcMar>
          </w:tcPr>
          <w:p>
            <w:pPr>
              <w:spacing w:before="200"/>
              <w:ind w:left="580"/>
            </w:pPr>
            <w:r>
              <w:rPr>
                <w:rFonts w:hint="eastAsia" w:ascii="Times New Roman" w:hAnsi="Times New Roman" w:eastAsia="Times New Roman" w:cs="Times New Roman"/>
                <w:sz w:val="21"/>
              </w:rPr>
              <w:t>2008</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2</w:t>
            </w:r>
            <w:r>
              <w:rPr>
                <w:rFonts w:hint="eastAsia" w:ascii="宋体" w:hAnsi="宋体" w:eastAsia="宋体" w:cs="宋体"/>
                <w:sz w:val="21"/>
              </w:rPr>
              <w:t xml:space="preserve"> 月</w:t>
            </w:r>
          </w:p>
        </w:tc>
        <w:tc>
          <w:tcPr>
            <w:tcW w:w="4860" w:type="dxa"/>
            <w:tcMar>
              <w:top w:w="0" w:type="dxa"/>
              <w:left w:w="0" w:type="dxa"/>
              <w:bottom w:w="0" w:type="dxa"/>
              <w:right w:w="0" w:type="dxa"/>
            </w:tcMar>
          </w:tcPr>
          <w:p>
            <w:pPr>
              <w:spacing w:before="200"/>
              <w:ind w:left="1860"/>
            </w:pPr>
            <w:r>
              <w:rPr>
                <w:rFonts w:hint="eastAsia" w:ascii="Times New Roman" w:hAnsi="Times New Roman" w:eastAsia="Times New Roman" w:cs="Times New Roman"/>
                <w:sz w:val="21"/>
              </w:rPr>
              <w:t>2008</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3</w:t>
            </w:r>
            <w:r>
              <w:rPr>
                <w:rFonts w:hint="eastAsia" w:ascii="宋体" w:hAnsi="宋体" w:eastAsia="宋体" w:cs="宋体"/>
                <w:sz w:val="21"/>
              </w:rPr>
              <w:t xml:space="preserve"> 月</w:t>
            </w:r>
          </w:p>
        </w:tc>
      </w:tr>
      <w:tr>
        <w:trPr>
          <w:trHeight w:val="640" w:hRule="exact"/>
        </w:trPr>
        <w:tc>
          <w:tcPr>
            <w:tcW w:w="1380" w:type="dxa"/>
            <w:tcMar>
              <w:top w:w="0" w:type="dxa"/>
              <w:left w:w="0" w:type="dxa"/>
              <w:bottom w:w="0" w:type="dxa"/>
              <w:right w:w="0" w:type="dxa"/>
            </w:tcMar>
          </w:tcPr>
          <w:p>
            <w:pPr>
              <w:spacing w:before="200"/>
              <w:ind w:left="260"/>
            </w:pPr>
            <w:r>
              <w:rPr>
                <w:rFonts w:hint="eastAsia" w:ascii="宋体" w:hAnsi="宋体" w:eastAsia="宋体" w:cs="宋体"/>
                <w:sz w:val="21"/>
              </w:rPr>
              <w:t>北京顶点</w:t>
            </w:r>
          </w:p>
        </w:tc>
        <w:tc>
          <w:tcPr>
            <w:tcW w:w="2280" w:type="dxa"/>
            <w:tcMar>
              <w:top w:w="0" w:type="dxa"/>
              <w:left w:w="0" w:type="dxa"/>
              <w:bottom w:w="0" w:type="dxa"/>
              <w:right w:w="0" w:type="dxa"/>
            </w:tcMar>
          </w:tcPr>
          <w:p>
            <w:pPr>
              <w:spacing w:before="200"/>
              <w:ind w:left="580"/>
            </w:pPr>
            <w:r>
              <w:rPr>
                <w:rFonts w:hint="eastAsia" w:ascii="Times New Roman" w:hAnsi="Times New Roman" w:eastAsia="Times New Roman" w:cs="Times New Roman"/>
                <w:sz w:val="21"/>
              </w:rPr>
              <w:t>2002</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7</w:t>
            </w:r>
            <w:r>
              <w:rPr>
                <w:rFonts w:hint="eastAsia" w:ascii="宋体" w:hAnsi="宋体" w:eastAsia="宋体" w:cs="宋体"/>
                <w:sz w:val="21"/>
              </w:rPr>
              <w:t xml:space="preserve"> 月</w:t>
            </w:r>
          </w:p>
        </w:tc>
        <w:tc>
          <w:tcPr>
            <w:tcW w:w="4860" w:type="dxa"/>
            <w:tcMar>
              <w:top w:w="0" w:type="dxa"/>
              <w:left w:w="0" w:type="dxa"/>
              <w:bottom w:w="0" w:type="dxa"/>
              <w:right w:w="0" w:type="dxa"/>
            </w:tcMar>
          </w:tcPr>
          <w:p>
            <w:pPr>
              <w:spacing w:before="200"/>
              <w:ind w:left="1860"/>
            </w:pPr>
            <w:r>
              <w:rPr>
                <w:rFonts w:hint="eastAsia" w:ascii="Times New Roman" w:hAnsi="Times New Roman" w:eastAsia="Times New Roman" w:cs="Times New Roman"/>
                <w:sz w:val="21"/>
              </w:rPr>
              <w:t>2007</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3</w:t>
            </w:r>
            <w:r>
              <w:rPr>
                <w:rFonts w:hint="eastAsia" w:ascii="宋体" w:hAnsi="宋体" w:eastAsia="宋体" w:cs="宋体"/>
                <w:sz w:val="21"/>
              </w:rPr>
              <w:t xml:space="preserve"> 月</w:t>
            </w:r>
          </w:p>
        </w:tc>
      </w:tr>
      <w:tr>
        <w:trPr>
          <w:trHeight w:val="640" w:hRule="exact"/>
        </w:trPr>
        <w:tc>
          <w:tcPr>
            <w:tcW w:w="1380" w:type="dxa"/>
            <w:tcMar>
              <w:top w:w="0" w:type="dxa"/>
              <w:left w:w="0" w:type="dxa"/>
              <w:bottom w:w="0" w:type="dxa"/>
              <w:right w:w="0" w:type="dxa"/>
            </w:tcMar>
          </w:tcPr>
          <w:p>
            <w:pPr>
              <w:spacing w:before="200"/>
              <w:ind w:left="260"/>
            </w:pPr>
            <w:r>
              <w:rPr>
                <w:rFonts w:hint="eastAsia" w:ascii="宋体" w:hAnsi="宋体" w:eastAsia="宋体" w:cs="宋体"/>
                <w:sz w:val="21"/>
              </w:rPr>
              <w:t>上海顶点</w:t>
            </w:r>
          </w:p>
        </w:tc>
        <w:tc>
          <w:tcPr>
            <w:tcW w:w="2280" w:type="dxa"/>
            <w:tcMar>
              <w:top w:w="0" w:type="dxa"/>
              <w:left w:w="0" w:type="dxa"/>
              <w:bottom w:w="0" w:type="dxa"/>
              <w:right w:w="0" w:type="dxa"/>
            </w:tcMar>
          </w:tcPr>
          <w:p>
            <w:pPr>
              <w:spacing w:before="200"/>
              <w:ind w:left="580"/>
            </w:pPr>
            <w:r>
              <w:rPr>
                <w:rFonts w:hint="eastAsia" w:ascii="Times New Roman" w:hAnsi="Times New Roman" w:eastAsia="Times New Roman" w:cs="Times New Roman"/>
                <w:sz w:val="21"/>
              </w:rPr>
              <w:t>2001</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7</w:t>
            </w:r>
            <w:r>
              <w:rPr>
                <w:rFonts w:hint="eastAsia" w:ascii="宋体" w:hAnsi="宋体" w:eastAsia="宋体" w:cs="宋体"/>
                <w:sz w:val="21"/>
              </w:rPr>
              <w:t xml:space="preserve"> 月</w:t>
            </w:r>
          </w:p>
        </w:tc>
        <w:tc>
          <w:tcPr>
            <w:tcW w:w="4860" w:type="dxa"/>
            <w:tcMar>
              <w:top w:w="0" w:type="dxa"/>
              <w:left w:w="0" w:type="dxa"/>
              <w:bottom w:w="0" w:type="dxa"/>
              <w:right w:w="0" w:type="dxa"/>
            </w:tcMar>
          </w:tcPr>
          <w:p>
            <w:pPr>
              <w:spacing w:before="200"/>
              <w:ind w:left="1860"/>
            </w:pPr>
            <w:r>
              <w:rPr>
                <w:rFonts w:hint="eastAsia" w:ascii="Times New Roman" w:hAnsi="Times New Roman" w:eastAsia="Times New Roman" w:cs="Times New Roman"/>
                <w:sz w:val="21"/>
              </w:rPr>
              <w:t>2001</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7</w:t>
            </w:r>
            <w:r>
              <w:rPr>
                <w:rFonts w:hint="eastAsia" w:ascii="宋体" w:hAnsi="宋体" w:eastAsia="宋体" w:cs="宋体"/>
                <w:sz w:val="21"/>
              </w:rPr>
              <w:t xml:space="preserve"> 月</w:t>
            </w:r>
          </w:p>
        </w:tc>
      </w:tr>
      <w:tr>
        <w:trPr>
          <w:trHeight w:val="620" w:hRule="exact"/>
        </w:trPr>
        <w:tc>
          <w:tcPr>
            <w:tcW w:w="1380" w:type="dxa"/>
            <w:tcMar>
              <w:top w:w="0" w:type="dxa"/>
              <w:left w:w="0" w:type="dxa"/>
              <w:bottom w:w="0" w:type="dxa"/>
              <w:right w:w="0" w:type="dxa"/>
            </w:tcMar>
          </w:tcPr>
          <w:p>
            <w:pPr>
              <w:spacing w:before="180"/>
              <w:ind w:left="260"/>
            </w:pPr>
            <w:r>
              <w:rPr>
                <w:rFonts w:hint="eastAsia" w:ascii="宋体" w:hAnsi="宋体" w:eastAsia="宋体" w:cs="宋体"/>
                <w:sz w:val="21"/>
              </w:rPr>
              <w:t>武汉顶点</w:t>
            </w:r>
          </w:p>
        </w:tc>
        <w:tc>
          <w:tcPr>
            <w:tcW w:w="2280" w:type="dxa"/>
            <w:tcMar>
              <w:top w:w="0" w:type="dxa"/>
              <w:left w:w="0" w:type="dxa"/>
              <w:bottom w:w="0" w:type="dxa"/>
              <w:right w:w="0" w:type="dxa"/>
            </w:tcMar>
          </w:tcPr>
          <w:p>
            <w:pPr>
              <w:spacing w:before="180"/>
              <w:ind w:left="580"/>
            </w:pPr>
            <w:r>
              <w:rPr>
                <w:rFonts w:hint="eastAsia" w:ascii="Times New Roman" w:hAnsi="Times New Roman" w:eastAsia="Times New Roman" w:cs="Times New Roman"/>
                <w:sz w:val="21"/>
              </w:rPr>
              <w:t>2014</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4</w:t>
            </w:r>
            <w:r>
              <w:rPr>
                <w:rFonts w:hint="eastAsia" w:ascii="宋体" w:hAnsi="宋体" w:eastAsia="宋体" w:cs="宋体"/>
                <w:sz w:val="21"/>
              </w:rPr>
              <w:t xml:space="preserve"> 月</w:t>
            </w:r>
          </w:p>
        </w:tc>
        <w:tc>
          <w:tcPr>
            <w:tcW w:w="4860" w:type="dxa"/>
            <w:tcMar>
              <w:top w:w="0" w:type="dxa"/>
              <w:left w:w="0" w:type="dxa"/>
              <w:bottom w:w="0" w:type="dxa"/>
              <w:right w:w="0" w:type="dxa"/>
            </w:tcMar>
          </w:tcPr>
          <w:p>
            <w:pPr>
              <w:spacing w:before="180"/>
              <w:ind w:left="1860"/>
            </w:pPr>
            <w:r>
              <w:rPr>
                <w:rFonts w:hint="eastAsia" w:ascii="Times New Roman" w:hAnsi="Times New Roman" w:eastAsia="Times New Roman" w:cs="Times New Roman"/>
                <w:sz w:val="21"/>
              </w:rPr>
              <w:t>2014</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3</w:t>
            </w:r>
            <w:r>
              <w:rPr>
                <w:rFonts w:hint="eastAsia" w:ascii="宋体" w:hAnsi="宋体" w:eastAsia="宋体" w:cs="宋体"/>
                <w:sz w:val="21"/>
              </w:rPr>
              <w:t xml:space="preserve"> 月</w:t>
            </w:r>
          </w:p>
        </w:tc>
      </w:tr>
      <w:tr>
        <w:trPr>
          <w:trHeight w:val="620" w:hRule="exact"/>
        </w:trPr>
        <w:tc>
          <w:tcPr>
            <w:tcW w:w="1380" w:type="dxa"/>
            <w:tcMar>
              <w:top w:w="0" w:type="dxa"/>
              <w:left w:w="0" w:type="dxa"/>
              <w:bottom w:w="0" w:type="dxa"/>
              <w:right w:w="0" w:type="dxa"/>
            </w:tcMar>
          </w:tcPr>
          <w:p>
            <w:pPr>
              <w:spacing w:before="200"/>
              <w:ind w:left="140"/>
            </w:pPr>
            <w:r>
              <w:rPr>
                <w:rFonts w:hint="eastAsia" w:ascii="宋体" w:hAnsi="宋体" w:eastAsia="宋体" w:cs="宋体"/>
                <w:sz w:val="21"/>
              </w:rPr>
              <w:t>亿维航软件</w:t>
            </w:r>
          </w:p>
        </w:tc>
        <w:tc>
          <w:tcPr>
            <w:tcW w:w="2280" w:type="dxa"/>
            <w:tcMar>
              <w:top w:w="0" w:type="dxa"/>
              <w:left w:w="0" w:type="dxa"/>
              <w:bottom w:w="0" w:type="dxa"/>
              <w:right w:w="0" w:type="dxa"/>
            </w:tcMar>
          </w:tcPr>
          <w:p>
            <w:pPr>
              <w:spacing w:before="200"/>
              <w:ind w:left="580"/>
            </w:pPr>
            <w:r>
              <w:rPr>
                <w:rFonts w:hint="eastAsia" w:ascii="Times New Roman" w:hAnsi="Times New Roman" w:eastAsia="Times New Roman" w:cs="Times New Roman"/>
                <w:sz w:val="21"/>
              </w:rPr>
              <w:t>2015</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8</w:t>
            </w:r>
            <w:r>
              <w:rPr>
                <w:rFonts w:hint="eastAsia" w:ascii="宋体" w:hAnsi="宋体" w:eastAsia="宋体" w:cs="宋体"/>
                <w:sz w:val="21"/>
              </w:rPr>
              <w:t xml:space="preserve"> 月</w:t>
            </w:r>
          </w:p>
        </w:tc>
        <w:tc>
          <w:tcPr>
            <w:tcW w:w="4860" w:type="dxa"/>
            <w:tcMar>
              <w:top w:w="0" w:type="dxa"/>
              <w:left w:w="0" w:type="dxa"/>
              <w:bottom w:w="0" w:type="dxa"/>
              <w:right w:w="0" w:type="dxa"/>
            </w:tcMar>
          </w:tcPr>
          <w:p>
            <w:pPr>
              <w:spacing w:before="200"/>
              <w:ind w:left="1860"/>
            </w:pPr>
            <w:r>
              <w:rPr>
                <w:rFonts w:hint="eastAsia" w:ascii="Times New Roman" w:hAnsi="Times New Roman" w:eastAsia="Times New Roman" w:cs="Times New Roman"/>
                <w:sz w:val="21"/>
              </w:rPr>
              <w:t>2015</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8</w:t>
            </w:r>
            <w:r>
              <w:rPr>
                <w:rFonts w:hint="eastAsia" w:ascii="宋体" w:hAnsi="宋体" w:eastAsia="宋体" w:cs="宋体"/>
                <w:sz w:val="21"/>
              </w:rPr>
              <w:t xml:space="preserve"> 月</w:t>
            </w:r>
          </w:p>
        </w:tc>
      </w:tr>
    </w:tbl>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宋体" w:hAnsi="宋体" w:eastAsia="宋体" w:cs="宋体"/>
          <w:sz w:val="20"/>
        </w:rPr>
        <w:t>（</w:t>
      </w:r>
      <w:r>
        <w:rPr>
          <w:rFonts w:hint="eastAsia" w:ascii="Times New Roman" w:hAnsi="Times New Roman" w:eastAsia="Times New Roman" w:cs="Times New Roman"/>
          <w:sz w:val="24"/>
        </w:rPr>
        <w:t>2</w:t>
      </w:r>
      <w:r>
        <w:rPr>
          <w:rFonts w:hint="eastAsia" w:ascii="宋体" w:hAnsi="宋体" w:eastAsia="宋体" w:cs="宋体"/>
          <w:sz w:val="24"/>
        </w:rPr>
        <w:t>）缴费人数</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420"/>
        <w:gridCol w:w="2300"/>
        <w:gridCol w:w="2160"/>
        <w:gridCol w:w="1640"/>
      </w:tblGrid>
      <w:tr>
        <w:trPr>
          <w:trHeight w:val="640" w:hRule="exact"/>
        </w:trPr>
        <w:tc>
          <w:tcPr>
            <w:tcW w:w="2420" w:type="dxa"/>
            <w:vMerge w:val="restart"/>
            <w:tcMar>
              <w:top w:w="0" w:type="dxa"/>
              <w:left w:w="0" w:type="dxa"/>
              <w:bottom w:w="0" w:type="dxa"/>
              <w:right w:w="0" w:type="dxa"/>
            </w:tcMar>
          </w:tcPr>
          <w:p>
            <w:pPr>
              <w:spacing w:before="520"/>
              <w:ind w:left="980"/>
            </w:pPr>
            <w:r>
              <w:rPr>
                <w:rFonts w:hint="eastAsia" w:ascii="宋体" w:hAnsi="宋体" w:eastAsia="宋体" w:cs="宋体"/>
                <w:b/>
                <w:sz w:val="21"/>
              </w:rPr>
              <w:t>人数</w:t>
            </w:r>
          </w:p>
        </w:tc>
        <w:tc>
          <w:tcPr>
            <w:tcW w:w="6100" w:type="dxa"/>
            <w:gridSpan w:val="3"/>
            <w:tcMar>
              <w:top w:w="0" w:type="dxa"/>
              <w:left w:w="0" w:type="dxa"/>
              <w:bottom w:w="0" w:type="dxa"/>
              <w:right w:w="0" w:type="dxa"/>
            </w:tcMar>
          </w:tcPr>
          <w:p>
            <w:pPr>
              <w:spacing w:before="200"/>
              <w:ind w:left="1980"/>
            </w:pPr>
            <w:r>
              <w:rPr>
                <w:rFonts w:hint="eastAsia" w:ascii="宋体" w:hAnsi="宋体" w:eastAsia="宋体" w:cs="宋体"/>
                <w:b/>
                <w:sz w:val="21"/>
              </w:rPr>
              <w:t>社保及公积金缴纳人数</w:t>
            </w:r>
          </w:p>
        </w:tc>
      </w:tr>
      <w:tr>
        <w:trPr>
          <w:trHeight w:val="640" w:hRule="exact"/>
        </w:trPr>
        <w:tc>
          <w:tcPr>
            <w:tcW w:w="2420" w:type="dxa"/>
            <w:vMerge w:val="continue"/>
            <w:tcMar>
              <w:top w:w="0" w:type="dxa"/>
              <w:left w:w="0" w:type="dxa"/>
              <w:bottom w:w="0" w:type="dxa"/>
              <w:right w:w="0" w:type="dxa"/>
            </w:tcMar>
          </w:tcPr>
          <w:p/>
        </w:tc>
        <w:tc>
          <w:tcPr>
            <w:tcW w:w="2300" w:type="dxa"/>
            <w:tcMar>
              <w:top w:w="0" w:type="dxa"/>
              <w:left w:w="0" w:type="dxa"/>
              <w:bottom w:w="0" w:type="dxa"/>
              <w:right w:w="0" w:type="dxa"/>
            </w:tcMar>
          </w:tcPr>
          <w:p>
            <w:pPr>
              <w:spacing w:before="200"/>
              <w:ind w:left="7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tc>
        <w:tc>
          <w:tcPr>
            <w:tcW w:w="2160" w:type="dxa"/>
            <w:tcMar>
              <w:top w:w="0" w:type="dxa"/>
              <w:left w:w="0" w:type="dxa"/>
              <w:bottom w:w="0" w:type="dxa"/>
              <w:right w:w="0" w:type="dxa"/>
            </w:tcMar>
          </w:tcPr>
          <w:p>
            <w:pPr>
              <w:spacing w:before="200"/>
              <w:ind w:left="72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tc>
        <w:tc>
          <w:tcPr>
            <w:tcW w:w="1640" w:type="dxa"/>
            <w:tcMar>
              <w:top w:w="0" w:type="dxa"/>
              <w:left w:w="0" w:type="dxa"/>
              <w:bottom w:w="0" w:type="dxa"/>
              <w:right w:w="0" w:type="dxa"/>
            </w:tcMar>
          </w:tcPr>
          <w:p>
            <w:pPr>
              <w:spacing w:before="200"/>
              <w:ind w:left="4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tc>
      </w:tr>
      <w:tr>
        <w:trPr>
          <w:trHeight w:val="620" w:hRule="exact"/>
        </w:trPr>
        <w:tc>
          <w:tcPr>
            <w:tcW w:w="2420" w:type="dxa"/>
            <w:tcMar>
              <w:top w:w="0" w:type="dxa"/>
              <w:left w:w="0" w:type="dxa"/>
              <w:bottom w:w="0" w:type="dxa"/>
              <w:right w:w="0" w:type="dxa"/>
            </w:tcMar>
          </w:tcPr>
          <w:p>
            <w:pPr>
              <w:spacing w:before="200"/>
              <w:ind w:left="100"/>
            </w:pPr>
            <w:r>
              <w:rPr>
                <w:rFonts w:hint="eastAsia" w:ascii="宋体" w:hAnsi="宋体" w:eastAsia="宋体" w:cs="宋体"/>
                <w:sz w:val="21"/>
              </w:rPr>
              <w:t>年末员工总人数</w:t>
            </w:r>
          </w:p>
        </w:tc>
        <w:tc>
          <w:tcPr>
            <w:tcW w:w="2300" w:type="dxa"/>
            <w:tcMar>
              <w:top w:w="0" w:type="dxa"/>
              <w:left w:w="0" w:type="dxa"/>
              <w:bottom w:w="0" w:type="dxa"/>
              <w:right w:w="0" w:type="dxa"/>
            </w:tcMar>
          </w:tcPr>
          <w:p>
            <w:pPr>
              <w:spacing w:before="240"/>
              <w:ind w:left="980"/>
            </w:pPr>
            <w:r>
              <w:rPr>
                <w:rFonts w:hint="eastAsia" w:ascii="Times New Roman" w:hAnsi="Times New Roman" w:eastAsia="Times New Roman" w:cs="Times New Roman"/>
                <w:sz w:val="21"/>
              </w:rPr>
              <w:t>699</w:t>
            </w:r>
          </w:p>
        </w:tc>
        <w:tc>
          <w:tcPr>
            <w:tcW w:w="2160" w:type="dxa"/>
            <w:tcMar>
              <w:top w:w="0" w:type="dxa"/>
              <w:left w:w="0" w:type="dxa"/>
              <w:bottom w:w="0" w:type="dxa"/>
              <w:right w:w="0" w:type="dxa"/>
            </w:tcMar>
          </w:tcPr>
          <w:p>
            <w:pPr>
              <w:spacing w:before="240"/>
              <w:ind w:left="900"/>
            </w:pPr>
            <w:r>
              <w:rPr>
                <w:rFonts w:hint="eastAsia" w:ascii="Times New Roman" w:hAnsi="Times New Roman" w:eastAsia="Times New Roman" w:cs="Times New Roman"/>
                <w:sz w:val="21"/>
              </w:rPr>
              <w:t>692</w:t>
            </w:r>
          </w:p>
        </w:tc>
        <w:tc>
          <w:tcPr>
            <w:tcW w:w="1640" w:type="dxa"/>
            <w:tcMar>
              <w:top w:w="0" w:type="dxa"/>
              <w:left w:w="0" w:type="dxa"/>
              <w:bottom w:w="0" w:type="dxa"/>
              <w:right w:w="0" w:type="dxa"/>
            </w:tcMar>
          </w:tcPr>
          <w:p>
            <w:pPr>
              <w:spacing w:before="240"/>
              <w:ind w:left="640"/>
            </w:pPr>
            <w:r>
              <w:rPr>
                <w:rFonts w:hint="eastAsia" w:ascii="Times New Roman" w:hAnsi="Times New Roman" w:eastAsia="Times New Roman" w:cs="Times New Roman"/>
                <w:sz w:val="21"/>
              </w:rPr>
              <w:t>642</w:t>
            </w:r>
          </w:p>
        </w:tc>
      </w:tr>
    </w:tbl>
    <w:p>
      <w:pPr>
        <w:spacing w:line="200" w:lineRule="exact"/>
        <w:rPr>
          <w:rFonts w:hint="eastAsia" w:ascii="宋体" w:hAnsi="宋体" w:eastAsia="宋体" w:cs="宋体"/>
          <w:sz w:val="20"/>
        </w:rPr>
      </w:pPr>
    </w:p>
    <w:p>
      <w:pPr>
        <w:autoSpaceDE w:val="false"/>
        <w:autoSpaceDN w:val="false"/>
        <w:spacing w:line="380" w:lineRule="exact"/>
        <w:ind w:left="5660"/>
        <w:jc w:val="both"/>
      </w:pPr>
      <w:r>
        <w:rPr>
          <w:rFonts w:hint="eastAsia" w:ascii="Times New Roman" w:hAnsi="Times New Roman" w:eastAsia="Times New Roman" w:cs="Times New Roman"/>
          <w:sz w:val="21"/>
        </w:rPr>
        <w:t>1-1-85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420"/>
        <w:gridCol w:w="2300"/>
        <w:gridCol w:w="2160"/>
        <w:gridCol w:w="1640"/>
      </w:tblGrid>
      <w:tr>
        <w:trPr>
          <w:trHeight w:val="640" w:hRule="exact"/>
        </w:trPr>
        <w:tc>
          <w:tcPr>
            <w:tcW w:w="2420" w:type="dxa"/>
            <w:tcMar>
              <w:top w:w="0" w:type="dxa"/>
              <w:left w:w="0" w:type="dxa"/>
              <w:bottom w:w="0" w:type="dxa"/>
              <w:right w:w="0" w:type="dxa"/>
            </w:tcMar>
          </w:tcPr>
          <w:p>
            <w:pPr>
              <w:spacing w:before="180"/>
              <w:ind w:left="100"/>
            </w:pPr>
            <w:r>
              <w:rPr>
                <w:rFonts w:hint="eastAsia" w:ascii="宋体" w:hAnsi="宋体" w:eastAsia="宋体" w:cs="宋体"/>
                <w:sz w:val="21"/>
              </w:rPr>
              <w:t>年末社保缴纳人数</w:t>
            </w:r>
          </w:p>
        </w:tc>
        <w:tc>
          <w:tcPr>
            <w:tcW w:w="2300" w:type="dxa"/>
            <w:tcMar>
              <w:top w:w="0" w:type="dxa"/>
              <w:left w:w="0" w:type="dxa"/>
              <w:bottom w:w="0" w:type="dxa"/>
              <w:right w:w="0" w:type="dxa"/>
            </w:tcMar>
          </w:tcPr>
          <w:p>
            <w:pPr>
              <w:spacing w:before="220"/>
              <w:ind w:left="980"/>
            </w:pPr>
            <w:r>
              <w:rPr>
                <w:rFonts w:hint="eastAsia" w:ascii="Times New Roman" w:hAnsi="Times New Roman" w:eastAsia="Times New Roman" w:cs="Times New Roman"/>
                <w:sz w:val="21"/>
              </w:rPr>
              <w:t>677</w:t>
            </w:r>
          </w:p>
        </w:tc>
        <w:tc>
          <w:tcPr>
            <w:tcW w:w="2160" w:type="dxa"/>
            <w:tcMar>
              <w:top w:w="0" w:type="dxa"/>
              <w:left w:w="0" w:type="dxa"/>
              <w:bottom w:w="0" w:type="dxa"/>
              <w:right w:w="0" w:type="dxa"/>
            </w:tcMar>
          </w:tcPr>
          <w:p>
            <w:pPr>
              <w:spacing w:before="220"/>
              <w:ind w:left="900"/>
            </w:pPr>
            <w:r>
              <w:rPr>
                <w:rFonts w:hint="eastAsia" w:ascii="Times New Roman" w:hAnsi="Times New Roman" w:eastAsia="Times New Roman" w:cs="Times New Roman"/>
                <w:sz w:val="21"/>
              </w:rPr>
              <w:t>677</w:t>
            </w:r>
          </w:p>
        </w:tc>
        <w:tc>
          <w:tcPr>
            <w:tcW w:w="1640" w:type="dxa"/>
            <w:tcMar>
              <w:top w:w="0" w:type="dxa"/>
              <w:left w:w="0" w:type="dxa"/>
              <w:bottom w:w="0" w:type="dxa"/>
              <w:right w:w="0" w:type="dxa"/>
            </w:tcMar>
          </w:tcPr>
          <w:p>
            <w:pPr>
              <w:spacing w:before="220"/>
              <w:ind w:left="640"/>
            </w:pPr>
            <w:r>
              <w:rPr>
                <w:rFonts w:hint="eastAsia" w:ascii="Times New Roman" w:hAnsi="Times New Roman" w:eastAsia="Times New Roman" w:cs="Times New Roman"/>
                <w:sz w:val="21"/>
              </w:rPr>
              <w:t>633</w:t>
            </w:r>
          </w:p>
        </w:tc>
      </w:tr>
      <w:tr>
        <w:trPr>
          <w:trHeight w:val="620" w:hRule="exact"/>
        </w:trPr>
        <w:tc>
          <w:tcPr>
            <w:tcW w:w="2420" w:type="dxa"/>
            <w:tcMar>
              <w:top w:w="0" w:type="dxa"/>
              <w:left w:w="0" w:type="dxa"/>
              <w:bottom w:w="0" w:type="dxa"/>
              <w:right w:w="0" w:type="dxa"/>
            </w:tcMar>
          </w:tcPr>
          <w:p>
            <w:pPr>
              <w:spacing w:before="180"/>
              <w:ind w:left="100"/>
            </w:pPr>
            <w:r>
              <w:rPr>
                <w:rFonts w:hint="eastAsia" w:ascii="宋体" w:hAnsi="宋体" w:eastAsia="宋体" w:cs="宋体"/>
                <w:sz w:val="21"/>
              </w:rPr>
              <w:t>年末公积金缴纳人数</w:t>
            </w:r>
          </w:p>
        </w:tc>
        <w:tc>
          <w:tcPr>
            <w:tcW w:w="2300" w:type="dxa"/>
            <w:tcMar>
              <w:top w:w="0" w:type="dxa"/>
              <w:left w:w="0" w:type="dxa"/>
              <w:bottom w:w="0" w:type="dxa"/>
              <w:right w:w="0" w:type="dxa"/>
            </w:tcMar>
          </w:tcPr>
          <w:p>
            <w:pPr>
              <w:spacing w:before="240"/>
              <w:ind w:left="980"/>
            </w:pPr>
            <w:r>
              <w:rPr>
                <w:rFonts w:hint="eastAsia" w:ascii="Times New Roman" w:hAnsi="Times New Roman" w:eastAsia="Times New Roman" w:cs="Times New Roman"/>
                <w:sz w:val="21"/>
              </w:rPr>
              <w:t>688</w:t>
            </w:r>
          </w:p>
        </w:tc>
        <w:tc>
          <w:tcPr>
            <w:tcW w:w="2160" w:type="dxa"/>
            <w:tcMar>
              <w:top w:w="0" w:type="dxa"/>
              <w:left w:w="0" w:type="dxa"/>
              <w:bottom w:w="0" w:type="dxa"/>
              <w:right w:w="0" w:type="dxa"/>
            </w:tcMar>
          </w:tcPr>
          <w:p>
            <w:pPr>
              <w:spacing w:before="240"/>
              <w:ind w:left="900"/>
            </w:pPr>
            <w:r>
              <w:rPr>
                <w:rFonts w:hint="eastAsia" w:ascii="Times New Roman" w:hAnsi="Times New Roman" w:eastAsia="Times New Roman" w:cs="Times New Roman"/>
                <w:sz w:val="21"/>
              </w:rPr>
              <w:t>684</w:t>
            </w:r>
          </w:p>
        </w:tc>
        <w:tc>
          <w:tcPr>
            <w:tcW w:w="1640" w:type="dxa"/>
            <w:tcMar>
              <w:top w:w="0" w:type="dxa"/>
              <w:left w:w="0" w:type="dxa"/>
              <w:bottom w:w="0" w:type="dxa"/>
              <w:right w:w="0" w:type="dxa"/>
            </w:tcMar>
          </w:tcPr>
          <w:p>
            <w:pPr>
              <w:spacing w:before="240"/>
              <w:ind w:left="640"/>
            </w:pPr>
            <w:r>
              <w:rPr>
                <w:rFonts w:hint="eastAsia" w:ascii="Times New Roman" w:hAnsi="Times New Roman" w:eastAsia="Times New Roman" w:cs="Times New Roman"/>
                <w:sz w:val="21"/>
              </w:rPr>
              <w:t>641</w:t>
            </w:r>
          </w:p>
        </w:tc>
      </w:tr>
      <w:tr>
        <w:trPr>
          <w:trHeight w:val="640" w:hRule="exact"/>
        </w:trPr>
        <w:tc>
          <w:tcPr>
            <w:tcW w:w="2420" w:type="dxa"/>
            <w:tcMar>
              <w:top w:w="0" w:type="dxa"/>
              <w:left w:w="0" w:type="dxa"/>
              <w:bottom w:w="0" w:type="dxa"/>
              <w:right w:w="0" w:type="dxa"/>
            </w:tcMar>
          </w:tcPr>
          <w:p>
            <w:pPr>
              <w:spacing w:before="200"/>
              <w:ind w:left="100"/>
            </w:pPr>
            <w:r>
              <w:rPr>
                <w:rFonts w:hint="eastAsia" w:ascii="宋体" w:hAnsi="宋体" w:eastAsia="宋体" w:cs="宋体"/>
                <w:sz w:val="21"/>
              </w:rPr>
              <w:t>社保差异人数</w:t>
            </w:r>
          </w:p>
        </w:tc>
        <w:tc>
          <w:tcPr>
            <w:tcW w:w="2300" w:type="dxa"/>
            <w:tcMar>
              <w:top w:w="0" w:type="dxa"/>
              <w:left w:w="0" w:type="dxa"/>
              <w:bottom w:w="0" w:type="dxa"/>
              <w:right w:w="0" w:type="dxa"/>
            </w:tcMar>
          </w:tcPr>
          <w:p>
            <w:pPr>
              <w:spacing w:before="260"/>
              <w:ind w:left="1020"/>
            </w:pPr>
            <w:r>
              <w:rPr>
                <w:rFonts w:hint="eastAsia" w:ascii="Times New Roman" w:hAnsi="Times New Roman" w:eastAsia="Times New Roman" w:cs="Times New Roman"/>
                <w:sz w:val="21"/>
              </w:rPr>
              <w:t>22</w:t>
            </w:r>
          </w:p>
        </w:tc>
        <w:tc>
          <w:tcPr>
            <w:tcW w:w="2160" w:type="dxa"/>
            <w:tcMar>
              <w:top w:w="0" w:type="dxa"/>
              <w:left w:w="0" w:type="dxa"/>
              <w:bottom w:w="0" w:type="dxa"/>
              <w:right w:w="0" w:type="dxa"/>
            </w:tcMar>
          </w:tcPr>
          <w:p>
            <w:pPr>
              <w:spacing w:before="260"/>
              <w:ind w:left="960"/>
            </w:pPr>
            <w:r>
              <w:rPr>
                <w:rFonts w:hint="eastAsia" w:ascii="Times New Roman" w:hAnsi="Times New Roman" w:eastAsia="Times New Roman" w:cs="Times New Roman"/>
                <w:sz w:val="21"/>
              </w:rPr>
              <w:t>15</w:t>
            </w:r>
          </w:p>
        </w:tc>
        <w:tc>
          <w:tcPr>
            <w:tcW w:w="1640" w:type="dxa"/>
            <w:tcMar>
              <w:top w:w="0" w:type="dxa"/>
              <w:left w:w="0" w:type="dxa"/>
              <w:bottom w:w="0" w:type="dxa"/>
              <w:right w:w="0" w:type="dxa"/>
            </w:tcMar>
          </w:tcPr>
          <w:p>
            <w:pPr>
              <w:spacing w:before="260"/>
              <w:ind w:left="740"/>
            </w:pPr>
            <w:r>
              <w:rPr>
                <w:rFonts w:hint="eastAsia" w:ascii="Times New Roman" w:hAnsi="Times New Roman" w:eastAsia="Times New Roman" w:cs="Times New Roman"/>
                <w:sz w:val="21"/>
              </w:rPr>
              <w:t>9</w:t>
            </w:r>
          </w:p>
        </w:tc>
      </w:tr>
      <w:tr>
        <w:trPr>
          <w:trHeight w:val="620" w:hRule="exact"/>
        </w:trPr>
        <w:tc>
          <w:tcPr>
            <w:tcW w:w="2420" w:type="dxa"/>
            <w:tcMar>
              <w:top w:w="0" w:type="dxa"/>
              <w:left w:w="0" w:type="dxa"/>
              <w:bottom w:w="0" w:type="dxa"/>
              <w:right w:w="0" w:type="dxa"/>
            </w:tcMar>
          </w:tcPr>
          <w:p>
            <w:pPr>
              <w:spacing w:before="200"/>
              <w:ind w:left="100"/>
            </w:pPr>
            <w:r>
              <w:rPr>
                <w:rFonts w:hint="eastAsia" w:ascii="宋体" w:hAnsi="宋体" w:eastAsia="宋体" w:cs="宋体"/>
                <w:sz w:val="21"/>
              </w:rPr>
              <w:t>公积金差异人数</w:t>
            </w:r>
          </w:p>
        </w:tc>
        <w:tc>
          <w:tcPr>
            <w:tcW w:w="2300" w:type="dxa"/>
            <w:tcMar>
              <w:top w:w="0" w:type="dxa"/>
              <w:left w:w="0" w:type="dxa"/>
              <w:bottom w:w="0" w:type="dxa"/>
              <w:right w:w="0" w:type="dxa"/>
            </w:tcMar>
          </w:tcPr>
          <w:p>
            <w:pPr>
              <w:spacing w:before="220"/>
              <w:ind w:left="1020"/>
            </w:pPr>
            <w:r>
              <w:rPr>
                <w:rFonts w:hint="eastAsia" w:ascii="Times New Roman" w:hAnsi="Times New Roman" w:eastAsia="Times New Roman" w:cs="Times New Roman"/>
                <w:sz w:val="21"/>
              </w:rPr>
              <w:t>11</w:t>
            </w:r>
          </w:p>
        </w:tc>
        <w:tc>
          <w:tcPr>
            <w:tcW w:w="2160" w:type="dxa"/>
            <w:tcMar>
              <w:top w:w="0" w:type="dxa"/>
              <w:left w:w="0" w:type="dxa"/>
              <w:bottom w:w="0" w:type="dxa"/>
              <w:right w:w="0" w:type="dxa"/>
            </w:tcMar>
          </w:tcPr>
          <w:p>
            <w:pPr>
              <w:spacing w:before="220"/>
              <w:ind w:left="1000"/>
            </w:pPr>
            <w:r>
              <w:rPr>
                <w:rFonts w:hint="eastAsia" w:ascii="Times New Roman" w:hAnsi="Times New Roman" w:eastAsia="Times New Roman" w:cs="Times New Roman"/>
                <w:sz w:val="21"/>
              </w:rPr>
              <w:t>8</w:t>
            </w:r>
          </w:p>
        </w:tc>
        <w:tc>
          <w:tcPr>
            <w:tcW w:w="1640" w:type="dxa"/>
            <w:tcMar>
              <w:top w:w="0" w:type="dxa"/>
              <w:left w:w="0" w:type="dxa"/>
              <w:bottom w:w="0" w:type="dxa"/>
              <w:right w:w="0" w:type="dxa"/>
            </w:tcMar>
          </w:tcPr>
          <w:p>
            <w:pPr>
              <w:spacing w:before="220"/>
              <w:ind w:left="740"/>
            </w:pPr>
            <w:r>
              <w:rPr>
                <w:rFonts w:hint="eastAsia" w:ascii="Times New Roman" w:hAnsi="Times New Roman" w:eastAsia="Times New Roman" w:cs="Times New Roman"/>
                <w:sz w:val="21"/>
              </w:rPr>
              <w:t>1</w:t>
            </w:r>
          </w:p>
        </w:tc>
      </w:tr>
    </w:tbl>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宋体" w:hAnsi="宋体" w:eastAsia="宋体" w:cs="宋体"/>
          <w:sz w:val="20"/>
        </w:rPr>
        <w:t>（</w:t>
      </w:r>
      <w:r>
        <w:rPr>
          <w:rFonts w:hint="eastAsia" w:ascii="Times New Roman" w:hAnsi="Times New Roman" w:eastAsia="Times New Roman" w:cs="Times New Roman"/>
          <w:sz w:val="24"/>
        </w:rPr>
        <w:t>3</w:t>
      </w:r>
      <w:r>
        <w:rPr>
          <w:rFonts w:hint="eastAsia" w:ascii="宋体" w:hAnsi="宋体" w:eastAsia="宋体" w:cs="宋体"/>
          <w:sz w:val="24"/>
        </w:rPr>
        <w:t>）缴费比例</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40"/>
        <w:gridCol w:w="960"/>
        <w:gridCol w:w="1060"/>
        <w:gridCol w:w="1040"/>
        <w:gridCol w:w="1040"/>
        <w:gridCol w:w="1040"/>
        <w:gridCol w:w="1160"/>
        <w:gridCol w:w="980"/>
      </w:tblGrid>
      <w:tr>
        <w:trPr>
          <w:trHeight w:val="680" w:hRule="exact"/>
        </w:trPr>
        <w:tc>
          <w:tcPr>
            <w:tcW w:w="1240" w:type="dxa"/>
            <w:tcMar>
              <w:top w:w="0" w:type="dxa"/>
              <w:left w:w="0" w:type="dxa"/>
              <w:bottom w:w="0" w:type="dxa"/>
              <w:right w:w="0" w:type="dxa"/>
            </w:tcMar>
          </w:tcPr>
          <w:p>
            <w:pPr>
              <w:spacing w:before="240"/>
              <w:ind w:left="420"/>
            </w:pPr>
            <w:r>
              <w:rPr>
                <w:rFonts w:hint="eastAsia" w:ascii="宋体" w:hAnsi="宋体" w:eastAsia="宋体" w:cs="宋体"/>
                <w:b/>
                <w:sz w:val="18"/>
              </w:rPr>
              <w:t>项目</w:t>
            </w:r>
          </w:p>
        </w:tc>
        <w:tc>
          <w:tcPr>
            <w:tcW w:w="960" w:type="dxa"/>
            <w:tcMar>
              <w:top w:w="0" w:type="dxa"/>
              <w:left w:w="0" w:type="dxa"/>
              <w:bottom w:w="0" w:type="dxa"/>
              <w:right w:w="0" w:type="dxa"/>
            </w:tcMar>
          </w:tcPr>
          <w:p>
            <w:pPr>
              <w:spacing w:before="240"/>
              <w:ind w:left="200"/>
            </w:pPr>
            <w:r>
              <w:rPr>
                <w:rFonts w:hint="eastAsia" w:ascii="宋体" w:hAnsi="宋体" w:eastAsia="宋体" w:cs="宋体"/>
                <w:b/>
                <w:sz w:val="18"/>
              </w:rPr>
              <w:t>发行人</w:t>
            </w:r>
          </w:p>
        </w:tc>
        <w:tc>
          <w:tcPr>
            <w:tcW w:w="1060" w:type="dxa"/>
            <w:tcMar>
              <w:top w:w="0" w:type="dxa"/>
              <w:left w:w="0" w:type="dxa"/>
              <w:bottom w:w="0" w:type="dxa"/>
              <w:right w:w="0" w:type="dxa"/>
            </w:tcMar>
          </w:tcPr>
          <w:p>
            <w:pPr>
              <w:spacing w:before="240"/>
              <w:ind w:left="160"/>
            </w:pPr>
            <w:r>
              <w:rPr>
                <w:rFonts w:hint="eastAsia" w:ascii="宋体" w:hAnsi="宋体" w:eastAsia="宋体" w:cs="宋体"/>
                <w:b/>
                <w:sz w:val="18"/>
              </w:rPr>
              <w:t>顶点数码</w:t>
            </w:r>
          </w:p>
        </w:tc>
        <w:tc>
          <w:tcPr>
            <w:tcW w:w="1040" w:type="dxa"/>
            <w:tcMar>
              <w:top w:w="0" w:type="dxa"/>
              <w:left w:w="0" w:type="dxa"/>
              <w:bottom w:w="0" w:type="dxa"/>
              <w:right w:w="0" w:type="dxa"/>
            </w:tcMar>
          </w:tcPr>
          <w:p>
            <w:pPr>
              <w:spacing w:before="240"/>
              <w:ind w:left="140"/>
            </w:pPr>
            <w:r>
              <w:rPr>
                <w:rFonts w:hint="eastAsia" w:ascii="宋体" w:hAnsi="宋体" w:eastAsia="宋体" w:cs="宋体"/>
                <w:b/>
                <w:sz w:val="18"/>
              </w:rPr>
              <w:t>顶点信息</w:t>
            </w:r>
          </w:p>
        </w:tc>
        <w:tc>
          <w:tcPr>
            <w:tcW w:w="1040" w:type="dxa"/>
            <w:tcMar>
              <w:top w:w="0" w:type="dxa"/>
              <w:left w:w="0" w:type="dxa"/>
              <w:bottom w:w="0" w:type="dxa"/>
              <w:right w:w="0" w:type="dxa"/>
            </w:tcMar>
          </w:tcPr>
          <w:p>
            <w:pPr>
              <w:spacing w:before="240"/>
              <w:ind w:left="140"/>
            </w:pPr>
            <w:r>
              <w:rPr>
                <w:rFonts w:hint="eastAsia" w:ascii="宋体" w:hAnsi="宋体" w:eastAsia="宋体" w:cs="宋体"/>
                <w:b/>
                <w:sz w:val="18"/>
              </w:rPr>
              <w:t>北京顶点</w:t>
            </w:r>
          </w:p>
        </w:tc>
        <w:tc>
          <w:tcPr>
            <w:tcW w:w="1040" w:type="dxa"/>
            <w:tcMar>
              <w:top w:w="0" w:type="dxa"/>
              <w:left w:w="0" w:type="dxa"/>
              <w:bottom w:w="0" w:type="dxa"/>
              <w:right w:w="0" w:type="dxa"/>
            </w:tcMar>
          </w:tcPr>
          <w:p>
            <w:pPr>
              <w:spacing w:before="240"/>
              <w:ind w:left="160"/>
            </w:pPr>
            <w:r>
              <w:rPr>
                <w:rFonts w:hint="eastAsia" w:ascii="宋体" w:hAnsi="宋体" w:eastAsia="宋体" w:cs="宋体"/>
                <w:b/>
                <w:sz w:val="18"/>
              </w:rPr>
              <w:t>上海顶点</w:t>
            </w:r>
          </w:p>
        </w:tc>
        <w:tc>
          <w:tcPr>
            <w:tcW w:w="1160" w:type="dxa"/>
            <w:tcMar>
              <w:top w:w="0" w:type="dxa"/>
              <w:left w:w="0" w:type="dxa"/>
              <w:bottom w:w="0" w:type="dxa"/>
              <w:right w:w="0" w:type="dxa"/>
            </w:tcMar>
          </w:tcPr>
          <w:p>
            <w:pPr>
              <w:spacing w:before="240"/>
              <w:ind w:left="200"/>
            </w:pPr>
            <w:r>
              <w:rPr>
                <w:rFonts w:hint="eastAsia" w:ascii="宋体" w:hAnsi="宋体" w:eastAsia="宋体" w:cs="宋体"/>
                <w:b/>
                <w:sz w:val="18"/>
              </w:rPr>
              <w:t>武汉顶点</w:t>
            </w:r>
          </w:p>
        </w:tc>
        <w:tc>
          <w:tcPr>
            <w:tcW w:w="980" w:type="dxa"/>
            <w:tcMar>
              <w:top w:w="0" w:type="dxa"/>
              <w:left w:w="0" w:type="dxa"/>
              <w:bottom w:w="0" w:type="dxa"/>
              <w:right w:w="0" w:type="dxa"/>
            </w:tcMar>
          </w:tcPr>
          <w:p>
            <w:pPr>
              <w:spacing w:before="240"/>
              <w:ind w:left="200"/>
            </w:pPr>
            <w:r>
              <w:rPr>
                <w:rFonts w:hint="eastAsia" w:ascii="宋体" w:hAnsi="宋体" w:eastAsia="宋体" w:cs="宋体"/>
                <w:b/>
                <w:sz w:val="18"/>
              </w:rPr>
              <w:t>亿维航</w:t>
            </w:r>
          </w:p>
        </w:tc>
      </w:tr>
      <w:tr>
        <w:trPr>
          <w:trHeight w:val="800" w:hRule="exact"/>
        </w:trPr>
        <w:tc>
          <w:tcPr>
            <w:tcW w:w="1240" w:type="dxa"/>
            <w:tcMar>
              <w:top w:w="0" w:type="dxa"/>
              <w:left w:w="0" w:type="dxa"/>
              <w:bottom w:w="0" w:type="dxa"/>
              <w:right w:w="0" w:type="dxa"/>
            </w:tcMar>
          </w:tcPr>
          <w:p>
            <w:pPr>
              <w:spacing w:before="280"/>
              <w:ind w:left="240"/>
            </w:pPr>
            <w:r>
              <w:rPr>
                <w:rFonts w:hint="eastAsia" w:ascii="宋体" w:hAnsi="宋体" w:eastAsia="宋体" w:cs="宋体"/>
                <w:sz w:val="18"/>
              </w:rPr>
              <w:t>养老保险</w:t>
            </w:r>
          </w:p>
        </w:tc>
        <w:tc>
          <w:tcPr>
            <w:tcW w:w="960" w:type="dxa"/>
            <w:tcMar>
              <w:top w:w="0" w:type="dxa"/>
              <w:left w:w="0" w:type="dxa"/>
              <w:bottom w:w="0" w:type="dxa"/>
              <w:right w:w="0" w:type="dxa"/>
            </w:tcMar>
          </w:tcPr>
          <w:p>
            <w:pPr>
              <w:spacing w:before="340"/>
              <w:ind w:left="300"/>
            </w:pPr>
            <w:r>
              <w:rPr>
                <w:rFonts w:hint="eastAsia" w:ascii="Times New Roman" w:hAnsi="Times New Roman" w:eastAsia="Times New Roman" w:cs="Times New Roman"/>
                <w:sz w:val="18"/>
              </w:rPr>
              <w:t>18%</w:t>
            </w:r>
          </w:p>
        </w:tc>
        <w:tc>
          <w:tcPr>
            <w:tcW w:w="1060" w:type="dxa"/>
            <w:tcMar>
              <w:top w:w="0" w:type="dxa"/>
              <w:left w:w="0" w:type="dxa"/>
              <w:bottom w:w="0" w:type="dxa"/>
              <w:right w:w="0" w:type="dxa"/>
            </w:tcMar>
          </w:tcPr>
          <w:p>
            <w:pPr>
              <w:spacing w:before="340"/>
              <w:ind w:left="340"/>
            </w:pPr>
            <w:r>
              <w:rPr>
                <w:rFonts w:hint="eastAsia" w:ascii="Times New Roman" w:hAnsi="Times New Roman" w:eastAsia="Times New Roman" w:cs="Times New Roman"/>
                <w:sz w:val="18"/>
              </w:rPr>
              <w:t>18%</w:t>
            </w:r>
          </w:p>
        </w:tc>
        <w:tc>
          <w:tcPr>
            <w:tcW w:w="1040" w:type="dxa"/>
            <w:tcMar>
              <w:top w:w="0" w:type="dxa"/>
              <w:left w:w="0" w:type="dxa"/>
              <w:bottom w:w="0" w:type="dxa"/>
              <w:right w:w="0" w:type="dxa"/>
            </w:tcMar>
          </w:tcPr>
          <w:p>
            <w:pPr>
              <w:spacing w:before="340"/>
              <w:ind w:left="340"/>
            </w:pPr>
            <w:r>
              <w:rPr>
                <w:rFonts w:hint="eastAsia" w:ascii="Times New Roman" w:hAnsi="Times New Roman" w:eastAsia="Times New Roman" w:cs="Times New Roman"/>
                <w:sz w:val="18"/>
              </w:rPr>
              <w:t>18%</w:t>
            </w:r>
          </w:p>
        </w:tc>
        <w:tc>
          <w:tcPr>
            <w:tcW w:w="1040" w:type="dxa"/>
            <w:tcMar>
              <w:top w:w="0" w:type="dxa"/>
              <w:left w:w="0" w:type="dxa"/>
              <w:bottom w:w="0" w:type="dxa"/>
              <w:right w:w="0" w:type="dxa"/>
            </w:tcMar>
          </w:tcPr>
          <w:p>
            <w:pPr>
              <w:spacing w:before="340"/>
              <w:ind w:left="340"/>
            </w:pPr>
            <w:r>
              <w:rPr>
                <w:rFonts w:hint="eastAsia" w:ascii="Times New Roman" w:hAnsi="Times New Roman" w:eastAsia="Times New Roman" w:cs="Times New Roman"/>
                <w:sz w:val="18"/>
              </w:rPr>
              <w:t>19%</w:t>
            </w:r>
          </w:p>
        </w:tc>
        <w:tc>
          <w:tcPr>
            <w:tcW w:w="1040" w:type="dxa"/>
            <w:tcMar>
              <w:top w:w="0" w:type="dxa"/>
              <w:left w:w="0" w:type="dxa"/>
              <w:bottom w:w="0" w:type="dxa"/>
              <w:right w:w="0" w:type="dxa"/>
            </w:tcMar>
          </w:tcPr>
          <w:p>
            <w:pPr>
              <w:spacing w:before="340"/>
              <w:ind w:left="340"/>
            </w:pPr>
            <w:r>
              <w:rPr>
                <w:rFonts w:hint="eastAsia" w:ascii="Times New Roman" w:hAnsi="Times New Roman" w:eastAsia="Times New Roman" w:cs="Times New Roman"/>
                <w:sz w:val="18"/>
              </w:rPr>
              <w:t>20%</w:t>
            </w:r>
          </w:p>
        </w:tc>
        <w:tc>
          <w:tcPr>
            <w:tcW w:w="1160" w:type="dxa"/>
            <w:tcMar>
              <w:top w:w="0" w:type="dxa"/>
              <w:left w:w="0" w:type="dxa"/>
              <w:bottom w:w="0" w:type="dxa"/>
              <w:right w:w="0" w:type="dxa"/>
            </w:tcMar>
          </w:tcPr>
          <w:p>
            <w:pPr>
              <w:spacing w:before="340"/>
              <w:ind w:left="280"/>
            </w:pPr>
            <w:r>
              <w:rPr>
                <w:rFonts w:hint="eastAsia" w:ascii="Times New Roman" w:hAnsi="Times New Roman" w:eastAsia="Times New Roman" w:cs="Times New Roman"/>
                <w:sz w:val="18"/>
              </w:rPr>
              <w:t>19-20%</w:t>
            </w:r>
          </w:p>
        </w:tc>
        <w:tc>
          <w:tcPr>
            <w:tcW w:w="980" w:type="dxa"/>
            <w:tcMar>
              <w:top w:w="0" w:type="dxa"/>
              <w:left w:w="0" w:type="dxa"/>
              <w:bottom w:w="0" w:type="dxa"/>
              <w:right w:w="0" w:type="dxa"/>
            </w:tcMar>
          </w:tcPr>
          <w:p>
            <w:pPr>
              <w:spacing w:before="340"/>
              <w:ind w:left="300"/>
            </w:pPr>
            <w:r>
              <w:rPr>
                <w:rFonts w:hint="eastAsia" w:ascii="Times New Roman" w:hAnsi="Times New Roman" w:eastAsia="Times New Roman" w:cs="Times New Roman"/>
                <w:sz w:val="18"/>
              </w:rPr>
              <w:t>20%</w:t>
            </w:r>
          </w:p>
        </w:tc>
      </w:tr>
      <w:tr>
        <w:trPr>
          <w:trHeight w:val="800" w:hRule="exact"/>
        </w:trPr>
        <w:tc>
          <w:tcPr>
            <w:tcW w:w="1240" w:type="dxa"/>
            <w:tcMar>
              <w:top w:w="0" w:type="dxa"/>
              <w:left w:w="0" w:type="dxa"/>
              <w:bottom w:w="0" w:type="dxa"/>
              <w:right w:w="0" w:type="dxa"/>
            </w:tcMar>
          </w:tcPr>
          <w:p>
            <w:pPr>
              <w:spacing w:before="280"/>
              <w:ind w:left="240"/>
            </w:pPr>
            <w:r>
              <w:rPr>
                <w:rFonts w:hint="eastAsia" w:ascii="宋体" w:hAnsi="宋体" w:eastAsia="宋体" w:cs="宋体"/>
                <w:sz w:val="18"/>
              </w:rPr>
              <w:t>失业保险</w:t>
            </w:r>
          </w:p>
        </w:tc>
        <w:tc>
          <w:tcPr>
            <w:tcW w:w="960" w:type="dxa"/>
            <w:tcMar>
              <w:top w:w="0" w:type="dxa"/>
              <w:left w:w="0" w:type="dxa"/>
              <w:bottom w:w="0" w:type="dxa"/>
              <w:right w:w="0" w:type="dxa"/>
            </w:tcMar>
          </w:tcPr>
          <w:p>
            <w:pPr>
              <w:spacing w:before="340"/>
              <w:ind w:left="200"/>
            </w:pPr>
            <w:r>
              <w:rPr>
                <w:rFonts w:hint="eastAsia" w:ascii="Times New Roman" w:hAnsi="Times New Roman" w:eastAsia="Times New Roman" w:cs="Times New Roman"/>
                <w:sz w:val="18"/>
              </w:rPr>
              <w:t>1-1.5%</w:t>
            </w:r>
          </w:p>
        </w:tc>
        <w:tc>
          <w:tcPr>
            <w:tcW w:w="1060" w:type="dxa"/>
            <w:tcMar>
              <w:top w:w="0" w:type="dxa"/>
              <w:left w:w="0" w:type="dxa"/>
              <w:bottom w:w="0" w:type="dxa"/>
              <w:right w:w="0" w:type="dxa"/>
            </w:tcMar>
          </w:tcPr>
          <w:p>
            <w:pPr>
              <w:spacing w:before="340"/>
              <w:ind w:left="260"/>
            </w:pPr>
            <w:r>
              <w:rPr>
                <w:rFonts w:hint="eastAsia" w:ascii="Times New Roman" w:hAnsi="Times New Roman" w:eastAsia="Times New Roman" w:cs="Times New Roman"/>
                <w:sz w:val="18"/>
              </w:rPr>
              <w:t>1-1.5%</w:t>
            </w:r>
          </w:p>
        </w:tc>
        <w:tc>
          <w:tcPr>
            <w:tcW w:w="1040" w:type="dxa"/>
            <w:tcMar>
              <w:top w:w="0" w:type="dxa"/>
              <w:left w:w="0" w:type="dxa"/>
              <w:bottom w:w="0" w:type="dxa"/>
              <w:right w:w="0" w:type="dxa"/>
            </w:tcMar>
          </w:tcPr>
          <w:p>
            <w:pPr>
              <w:spacing w:before="340"/>
              <w:ind w:left="240"/>
            </w:pPr>
            <w:r>
              <w:rPr>
                <w:rFonts w:hint="eastAsia" w:ascii="Times New Roman" w:hAnsi="Times New Roman" w:eastAsia="Times New Roman" w:cs="Times New Roman"/>
                <w:sz w:val="18"/>
              </w:rPr>
              <w:t>1-1.5%</w:t>
            </w:r>
          </w:p>
        </w:tc>
        <w:tc>
          <w:tcPr>
            <w:tcW w:w="1040" w:type="dxa"/>
            <w:tcMar>
              <w:top w:w="0" w:type="dxa"/>
              <w:left w:w="0" w:type="dxa"/>
              <w:bottom w:w="0" w:type="dxa"/>
              <w:right w:w="0" w:type="dxa"/>
            </w:tcMar>
          </w:tcPr>
          <w:p>
            <w:pPr>
              <w:spacing w:before="340"/>
              <w:ind w:left="320"/>
            </w:pPr>
            <w:r>
              <w:rPr>
                <w:rFonts w:hint="eastAsia" w:ascii="Times New Roman" w:hAnsi="Times New Roman" w:eastAsia="Times New Roman" w:cs="Times New Roman"/>
                <w:sz w:val="18"/>
              </w:rPr>
              <w:t>0.8%</w:t>
            </w:r>
          </w:p>
        </w:tc>
        <w:tc>
          <w:tcPr>
            <w:tcW w:w="1040" w:type="dxa"/>
            <w:tcMar>
              <w:top w:w="0" w:type="dxa"/>
              <w:left w:w="0" w:type="dxa"/>
              <w:bottom w:w="0" w:type="dxa"/>
              <w:right w:w="0" w:type="dxa"/>
            </w:tcMar>
          </w:tcPr>
          <w:p>
            <w:pPr>
              <w:spacing w:before="340"/>
              <w:ind w:left="400"/>
            </w:pPr>
            <w:r>
              <w:rPr>
                <w:rFonts w:hint="eastAsia" w:ascii="Times New Roman" w:hAnsi="Times New Roman" w:eastAsia="Times New Roman" w:cs="Times New Roman"/>
                <w:sz w:val="18"/>
              </w:rPr>
              <w:t>1%</w:t>
            </w:r>
          </w:p>
        </w:tc>
        <w:tc>
          <w:tcPr>
            <w:tcW w:w="1160" w:type="dxa"/>
            <w:tcMar>
              <w:top w:w="0" w:type="dxa"/>
              <w:left w:w="0" w:type="dxa"/>
              <w:bottom w:w="0" w:type="dxa"/>
              <w:right w:w="0" w:type="dxa"/>
            </w:tcMar>
          </w:tcPr>
          <w:p>
            <w:pPr>
              <w:spacing w:before="340"/>
              <w:ind w:left="240"/>
            </w:pPr>
            <w:r>
              <w:rPr>
                <w:rFonts w:hint="eastAsia" w:ascii="Times New Roman" w:hAnsi="Times New Roman" w:eastAsia="Times New Roman" w:cs="Times New Roman"/>
                <w:sz w:val="18"/>
              </w:rPr>
              <w:t>0.7-1.5%</w:t>
            </w:r>
          </w:p>
        </w:tc>
        <w:tc>
          <w:tcPr>
            <w:tcW w:w="980" w:type="dxa"/>
            <w:tcMar>
              <w:top w:w="0" w:type="dxa"/>
              <w:left w:w="0" w:type="dxa"/>
              <w:bottom w:w="0" w:type="dxa"/>
              <w:right w:w="0" w:type="dxa"/>
            </w:tcMar>
          </w:tcPr>
          <w:p>
            <w:pPr>
              <w:spacing w:before="340"/>
              <w:ind w:left="360"/>
            </w:pPr>
            <w:r>
              <w:rPr>
                <w:rFonts w:hint="eastAsia" w:ascii="Times New Roman" w:hAnsi="Times New Roman" w:eastAsia="Times New Roman" w:cs="Times New Roman"/>
                <w:sz w:val="18"/>
              </w:rPr>
              <w:t>1%</w:t>
            </w:r>
          </w:p>
        </w:tc>
      </w:tr>
      <w:tr>
        <w:trPr>
          <w:trHeight w:val="800" w:hRule="exact"/>
        </w:trPr>
        <w:tc>
          <w:tcPr>
            <w:tcW w:w="1240" w:type="dxa"/>
            <w:tcMar>
              <w:top w:w="0" w:type="dxa"/>
              <w:left w:w="0" w:type="dxa"/>
              <w:bottom w:w="0" w:type="dxa"/>
              <w:right w:w="0" w:type="dxa"/>
            </w:tcMar>
          </w:tcPr>
          <w:p>
            <w:pPr>
              <w:spacing w:before="280"/>
              <w:ind w:left="240"/>
            </w:pPr>
            <w:r>
              <w:rPr>
                <w:rFonts w:hint="eastAsia" w:ascii="宋体" w:hAnsi="宋体" w:eastAsia="宋体" w:cs="宋体"/>
                <w:sz w:val="18"/>
              </w:rPr>
              <w:t>生育保险</w:t>
            </w:r>
          </w:p>
        </w:tc>
        <w:tc>
          <w:tcPr>
            <w:tcW w:w="960" w:type="dxa"/>
            <w:tcMar>
              <w:top w:w="0" w:type="dxa"/>
              <w:left w:w="0" w:type="dxa"/>
              <w:bottom w:w="0" w:type="dxa"/>
              <w:right w:w="0" w:type="dxa"/>
            </w:tcMar>
          </w:tcPr>
          <w:p>
            <w:pPr>
              <w:spacing w:before="340"/>
              <w:ind w:left="240"/>
            </w:pPr>
            <w:r>
              <w:rPr>
                <w:rFonts w:hint="eastAsia" w:ascii="Times New Roman" w:hAnsi="Times New Roman" w:eastAsia="Times New Roman" w:cs="Times New Roman"/>
                <w:sz w:val="18"/>
              </w:rPr>
              <w:t>0.70%</w:t>
            </w:r>
          </w:p>
        </w:tc>
        <w:tc>
          <w:tcPr>
            <w:tcW w:w="1060" w:type="dxa"/>
            <w:tcMar>
              <w:top w:w="0" w:type="dxa"/>
              <w:left w:w="0" w:type="dxa"/>
              <w:bottom w:w="0" w:type="dxa"/>
              <w:right w:w="0" w:type="dxa"/>
            </w:tcMar>
          </w:tcPr>
          <w:p>
            <w:pPr>
              <w:spacing w:before="340"/>
              <w:ind w:left="280"/>
            </w:pPr>
            <w:r>
              <w:rPr>
                <w:rFonts w:hint="eastAsia" w:ascii="Times New Roman" w:hAnsi="Times New Roman" w:eastAsia="Times New Roman" w:cs="Times New Roman"/>
                <w:sz w:val="18"/>
              </w:rPr>
              <w:t>0.70%</w:t>
            </w:r>
          </w:p>
        </w:tc>
        <w:tc>
          <w:tcPr>
            <w:tcW w:w="1040" w:type="dxa"/>
            <w:tcMar>
              <w:top w:w="0" w:type="dxa"/>
              <w:left w:w="0" w:type="dxa"/>
              <w:bottom w:w="0" w:type="dxa"/>
              <w:right w:w="0" w:type="dxa"/>
            </w:tcMar>
          </w:tcPr>
          <w:p>
            <w:pPr>
              <w:spacing w:before="340"/>
              <w:ind w:left="260"/>
            </w:pPr>
            <w:r>
              <w:rPr>
                <w:rFonts w:hint="eastAsia" w:ascii="Times New Roman" w:hAnsi="Times New Roman" w:eastAsia="Times New Roman" w:cs="Times New Roman"/>
                <w:sz w:val="18"/>
              </w:rPr>
              <w:t>0.70%</w:t>
            </w:r>
          </w:p>
        </w:tc>
        <w:tc>
          <w:tcPr>
            <w:tcW w:w="1040" w:type="dxa"/>
            <w:tcMar>
              <w:top w:w="0" w:type="dxa"/>
              <w:left w:w="0" w:type="dxa"/>
              <w:bottom w:w="0" w:type="dxa"/>
              <w:right w:w="0" w:type="dxa"/>
            </w:tcMar>
          </w:tcPr>
          <w:p>
            <w:pPr>
              <w:spacing w:before="340"/>
              <w:ind w:left="320"/>
            </w:pPr>
            <w:r>
              <w:rPr>
                <w:rFonts w:hint="eastAsia" w:ascii="Times New Roman" w:hAnsi="Times New Roman" w:eastAsia="Times New Roman" w:cs="Times New Roman"/>
                <w:sz w:val="18"/>
              </w:rPr>
              <w:t>0.8%</w:t>
            </w:r>
          </w:p>
        </w:tc>
        <w:tc>
          <w:tcPr>
            <w:tcW w:w="1040" w:type="dxa"/>
            <w:tcMar>
              <w:top w:w="0" w:type="dxa"/>
              <w:left w:w="0" w:type="dxa"/>
              <w:bottom w:w="0" w:type="dxa"/>
              <w:right w:w="0" w:type="dxa"/>
            </w:tcMar>
          </w:tcPr>
          <w:p>
            <w:pPr>
              <w:spacing w:before="340"/>
              <w:ind w:left="400"/>
            </w:pPr>
            <w:r>
              <w:rPr>
                <w:rFonts w:hint="eastAsia" w:ascii="Times New Roman" w:hAnsi="Times New Roman" w:eastAsia="Times New Roman" w:cs="Times New Roman"/>
                <w:sz w:val="18"/>
              </w:rPr>
              <w:t>1%</w:t>
            </w:r>
          </w:p>
        </w:tc>
        <w:tc>
          <w:tcPr>
            <w:tcW w:w="1160" w:type="dxa"/>
            <w:tcMar>
              <w:top w:w="0" w:type="dxa"/>
              <w:left w:w="0" w:type="dxa"/>
              <w:bottom w:w="0" w:type="dxa"/>
              <w:right w:w="0" w:type="dxa"/>
            </w:tcMar>
          </w:tcPr>
          <w:p>
            <w:pPr>
              <w:spacing w:before="340"/>
              <w:ind w:left="340"/>
            </w:pPr>
            <w:r>
              <w:rPr>
                <w:rFonts w:hint="eastAsia" w:ascii="Times New Roman" w:hAnsi="Times New Roman" w:eastAsia="Times New Roman" w:cs="Times New Roman"/>
                <w:sz w:val="18"/>
              </w:rPr>
              <w:t>0.70%</w:t>
            </w:r>
          </w:p>
        </w:tc>
        <w:tc>
          <w:tcPr>
            <w:tcW w:w="980" w:type="dxa"/>
            <w:tcMar>
              <w:top w:w="0" w:type="dxa"/>
              <w:left w:w="0" w:type="dxa"/>
              <w:bottom w:w="0" w:type="dxa"/>
              <w:right w:w="0" w:type="dxa"/>
            </w:tcMar>
          </w:tcPr>
          <w:p>
            <w:pPr>
              <w:spacing w:before="340"/>
              <w:ind w:left="360"/>
            </w:pPr>
            <w:r>
              <w:rPr>
                <w:rFonts w:hint="eastAsia" w:ascii="Times New Roman" w:hAnsi="Times New Roman" w:eastAsia="Times New Roman" w:cs="Times New Roman"/>
                <w:sz w:val="18"/>
              </w:rPr>
              <w:t>1%</w:t>
            </w:r>
          </w:p>
        </w:tc>
      </w:tr>
      <w:tr>
        <w:trPr>
          <w:trHeight w:val="800" w:hRule="exact"/>
        </w:trPr>
        <w:tc>
          <w:tcPr>
            <w:tcW w:w="1240" w:type="dxa"/>
            <w:tcMar>
              <w:top w:w="0" w:type="dxa"/>
              <w:left w:w="0" w:type="dxa"/>
              <w:bottom w:w="0" w:type="dxa"/>
              <w:right w:w="0" w:type="dxa"/>
            </w:tcMar>
          </w:tcPr>
          <w:p>
            <w:pPr>
              <w:spacing w:before="280"/>
              <w:ind w:left="240"/>
            </w:pPr>
            <w:r>
              <w:rPr>
                <w:rFonts w:hint="eastAsia" w:ascii="宋体" w:hAnsi="宋体" w:eastAsia="宋体" w:cs="宋体"/>
                <w:sz w:val="18"/>
              </w:rPr>
              <w:t>工伤保险</w:t>
            </w:r>
          </w:p>
        </w:tc>
        <w:tc>
          <w:tcPr>
            <w:tcW w:w="960" w:type="dxa"/>
            <w:tcMar>
              <w:top w:w="0" w:type="dxa"/>
              <w:left w:w="0" w:type="dxa"/>
              <w:bottom w:w="0" w:type="dxa"/>
              <w:right w:w="0" w:type="dxa"/>
            </w:tcMar>
          </w:tcPr>
          <w:p>
            <w:pPr>
              <w:spacing w:before="320"/>
              <w:ind w:left="280"/>
            </w:pPr>
            <w:r>
              <w:rPr>
                <w:rFonts w:hint="eastAsia" w:ascii="Times New Roman" w:hAnsi="Times New Roman" w:eastAsia="Times New Roman" w:cs="Times New Roman"/>
                <w:sz w:val="18"/>
              </w:rPr>
              <w:t>0.5%</w:t>
            </w:r>
          </w:p>
        </w:tc>
        <w:tc>
          <w:tcPr>
            <w:tcW w:w="1060" w:type="dxa"/>
            <w:tcMar>
              <w:top w:w="0" w:type="dxa"/>
              <w:left w:w="0" w:type="dxa"/>
              <w:bottom w:w="0" w:type="dxa"/>
              <w:right w:w="0" w:type="dxa"/>
            </w:tcMar>
          </w:tcPr>
          <w:p>
            <w:pPr>
              <w:spacing w:before="320"/>
              <w:ind w:left="320"/>
            </w:pPr>
            <w:r>
              <w:rPr>
                <w:rFonts w:hint="eastAsia" w:ascii="Times New Roman" w:hAnsi="Times New Roman" w:eastAsia="Times New Roman" w:cs="Times New Roman"/>
                <w:sz w:val="18"/>
              </w:rPr>
              <w:t>0.5%</w:t>
            </w:r>
          </w:p>
        </w:tc>
        <w:tc>
          <w:tcPr>
            <w:tcW w:w="1040" w:type="dxa"/>
            <w:tcMar>
              <w:top w:w="0" w:type="dxa"/>
              <w:left w:w="0" w:type="dxa"/>
              <w:bottom w:w="0" w:type="dxa"/>
              <w:right w:w="0" w:type="dxa"/>
            </w:tcMar>
          </w:tcPr>
          <w:p>
            <w:pPr>
              <w:spacing w:before="320"/>
              <w:ind w:left="320"/>
            </w:pPr>
            <w:r>
              <w:rPr>
                <w:rFonts w:hint="eastAsia" w:ascii="Times New Roman" w:hAnsi="Times New Roman" w:eastAsia="Times New Roman" w:cs="Times New Roman"/>
                <w:sz w:val="18"/>
              </w:rPr>
              <w:t>0.5%</w:t>
            </w:r>
          </w:p>
        </w:tc>
        <w:tc>
          <w:tcPr>
            <w:tcW w:w="1040" w:type="dxa"/>
            <w:tcMar>
              <w:top w:w="0" w:type="dxa"/>
              <w:left w:w="0" w:type="dxa"/>
              <w:bottom w:w="0" w:type="dxa"/>
              <w:right w:w="0" w:type="dxa"/>
            </w:tcMar>
          </w:tcPr>
          <w:p>
            <w:pPr>
              <w:spacing w:before="320"/>
              <w:ind w:left="320"/>
            </w:pPr>
            <w:r>
              <w:rPr>
                <w:rFonts w:hint="eastAsia" w:ascii="Times New Roman" w:hAnsi="Times New Roman" w:eastAsia="Times New Roman" w:cs="Times New Roman"/>
                <w:sz w:val="18"/>
              </w:rPr>
              <w:t>0.5%</w:t>
            </w:r>
          </w:p>
        </w:tc>
        <w:tc>
          <w:tcPr>
            <w:tcW w:w="1040" w:type="dxa"/>
            <w:tcMar>
              <w:top w:w="0" w:type="dxa"/>
              <w:left w:w="0" w:type="dxa"/>
              <w:bottom w:w="0" w:type="dxa"/>
              <w:right w:w="0" w:type="dxa"/>
            </w:tcMar>
          </w:tcPr>
          <w:p>
            <w:pPr>
              <w:spacing w:before="320"/>
              <w:ind w:left="180"/>
            </w:pPr>
            <w:r>
              <w:rPr>
                <w:rFonts w:hint="eastAsia" w:ascii="Times New Roman" w:hAnsi="Times New Roman" w:eastAsia="Times New Roman" w:cs="Times New Roman"/>
                <w:sz w:val="18"/>
              </w:rPr>
              <w:t>0.2-1.9%</w:t>
            </w:r>
          </w:p>
        </w:tc>
        <w:tc>
          <w:tcPr>
            <w:tcW w:w="1160" w:type="dxa"/>
            <w:tcMar>
              <w:top w:w="0" w:type="dxa"/>
              <w:left w:w="0" w:type="dxa"/>
              <w:bottom w:w="0" w:type="dxa"/>
              <w:right w:w="0" w:type="dxa"/>
            </w:tcMar>
          </w:tcPr>
          <w:p>
            <w:pPr>
              <w:spacing w:before="320"/>
              <w:ind w:left="380"/>
            </w:pPr>
            <w:r>
              <w:rPr>
                <w:rFonts w:hint="eastAsia" w:ascii="Times New Roman" w:hAnsi="Times New Roman" w:eastAsia="Times New Roman" w:cs="Times New Roman"/>
                <w:sz w:val="18"/>
              </w:rPr>
              <w:t>0.4%</w:t>
            </w:r>
          </w:p>
        </w:tc>
        <w:tc>
          <w:tcPr>
            <w:tcW w:w="980" w:type="dxa"/>
            <w:tcMar>
              <w:top w:w="0" w:type="dxa"/>
              <w:left w:w="0" w:type="dxa"/>
              <w:bottom w:w="0" w:type="dxa"/>
              <w:right w:w="0" w:type="dxa"/>
            </w:tcMar>
          </w:tcPr>
          <w:p>
            <w:pPr>
              <w:spacing w:before="320"/>
              <w:ind w:left="140"/>
            </w:pPr>
            <w:r>
              <w:rPr>
                <w:rFonts w:hint="eastAsia" w:ascii="Times New Roman" w:hAnsi="Times New Roman" w:eastAsia="Times New Roman" w:cs="Times New Roman"/>
                <w:sz w:val="18"/>
              </w:rPr>
              <w:t>0.2-1.9%</w:t>
            </w:r>
          </w:p>
        </w:tc>
      </w:tr>
      <w:tr>
        <w:trPr>
          <w:trHeight w:val="780" w:hRule="exact"/>
        </w:trPr>
        <w:tc>
          <w:tcPr>
            <w:tcW w:w="1240" w:type="dxa"/>
            <w:tcMar>
              <w:top w:w="0" w:type="dxa"/>
              <w:left w:w="0" w:type="dxa"/>
              <w:bottom w:w="0" w:type="dxa"/>
              <w:right w:w="0" w:type="dxa"/>
            </w:tcMar>
          </w:tcPr>
          <w:p>
            <w:pPr>
              <w:spacing w:before="280"/>
              <w:ind w:left="240"/>
            </w:pPr>
            <w:r>
              <w:rPr>
                <w:rFonts w:hint="eastAsia" w:ascii="宋体" w:hAnsi="宋体" w:eastAsia="宋体" w:cs="宋体"/>
                <w:sz w:val="18"/>
              </w:rPr>
              <w:t>医疗保险</w:t>
            </w:r>
          </w:p>
        </w:tc>
        <w:tc>
          <w:tcPr>
            <w:tcW w:w="960" w:type="dxa"/>
            <w:tcMar>
              <w:top w:w="0" w:type="dxa"/>
              <w:left w:w="0" w:type="dxa"/>
              <w:bottom w:w="0" w:type="dxa"/>
              <w:right w:w="0" w:type="dxa"/>
            </w:tcMar>
          </w:tcPr>
          <w:p>
            <w:pPr>
              <w:spacing w:before="300"/>
              <w:ind w:left="340"/>
            </w:pPr>
            <w:r>
              <w:rPr>
                <w:rFonts w:hint="eastAsia" w:ascii="Times New Roman" w:hAnsi="Times New Roman" w:eastAsia="Times New Roman" w:cs="Times New Roman"/>
                <w:sz w:val="18"/>
              </w:rPr>
              <w:t>8%</w:t>
            </w:r>
          </w:p>
        </w:tc>
        <w:tc>
          <w:tcPr>
            <w:tcW w:w="1060" w:type="dxa"/>
            <w:tcMar>
              <w:top w:w="0" w:type="dxa"/>
              <w:left w:w="0" w:type="dxa"/>
              <w:bottom w:w="0" w:type="dxa"/>
              <w:right w:w="0" w:type="dxa"/>
            </w:tcMar>
          </w:tcPr>
          <w:p>
            <w:pPr>
              <w:spacing w:before="300"/>
              <w:ind w:left="400"/>
            </w:pPr>
            <w:r>
              <w:rPr>
                <w:rFonts w:hint="eastAsia" w:ascii="Times New Roman" w:hAnsi="Times New Roman" w:eastAsia="Times New Roman" w:cs="Times New Roman"/>
                <w:sz w:val="18"/>
              </w:rPr>
              <w:t>8%</w:t>
            </w:r>
          </w:p>
        </w:tc>
        <w:tc>
          <w:tcPr>
            <w:tcW w:w="1040" w:type="dxa"/>
            <w:tcMar>
              <w:top w:w="0" w:type="dxa"/>
              <w:left w:w="0" w:type="dxa"/>
              <w:bottom w:w="0" w:type="dxa"/>
              <w:right w:w="0" w:type="dxa"/>
            </w:tcMar>
          </w:tcPr>
          <w:p>
            <w:pPr>
              <w:spacing w:before="300"/>
              <w:ind w:left="380"/>
            </w:pPr>
            <w:r>
              <w:rPr>
                <w:rFonts w:hint="eastAsia" w:ascii="Times New Roman" w:hAnsi="Times New Roman" w:eastAsia="Times New Roman" w:cs="Times New Roman"/>
                <w:sz w:val="18"/>
              </w:rPr>
              <w:t>8%</w:t>
            </w:r>
          </w:p>
        </w:tc>
        <w:tc>
          <w:tcPr>
            <w:tcW w:w="1040" w:type="dxa"/>
            <w:tcMar>
              <w:top w:w="0" w:type="dxa"/>
              <w:left w:w="0" w:type="dxa"/>
              <w:bottom w:w="0" w:type="dxa"/>
              <w:right w:w="0" w:type="dxa"/>
            </w:tcMar>
          </w:tcPr>
          <w:p>
            <w:pPr>
              <w:spacing w:before="300"/>
              <w:ind w:left="340"/>
            </w:pPr>
            <w:r>
              <w:rPr>
                <w:rFonts w:hint="eastAsia" w:ascii="Times New Roman" w:hAnsi="Times New Roman" w:eastAsia="Times New Roman" w:cs="Times New Roman"/>
                <w:sz w:val="18"/>
              </w:rPr>
              <w:t>10%</w:t>
            </w:r>
          </w:p>
        </w:tc>
        <w:tc>
          <w:tcPr>
            <w:tcW w:w="1040" w:type="dxa"/>
            <w:tcMar>
              <w:top w:w="0" w:type="dxa"/>
              <w:left w:w="0" w:type="dxa"/>
              <w:bottom w:w="0" w:type="dxa"/>
              <w:right w:w="0" w:type="dxa"/>
            </w:tcMar>
          </w:tcPr>
          <w:p>
            <w:pPr>
              <w:spacing w:before="300"/>
              <w:ind w:left="340"/>
            </w:pPr>
            <w:r>
              <w:rPr>
                <w:rFonts w:hint="eastAsia" w:ascii="Times New Roman" w:hAnsi="Times New Roman" w:eastAsia="Times New Roman" w:cs="Times New Roman"/>
                <w:sz w:val="18"/>
              </w:rPr>
              <w:t>10%</w:t>
            </w:r>
          </w:p>
        </w:tc>
        <w:tc>
          <w:tcPr>
            <w:tcW w:w="1160" w:type="dxa"/>
            <w:tcMar>
              <w:top w:w="0" w:type="dxa"/>
              <w:left w:w="0" w:type="dxa"/>
              <w:bottom w:w="0" w:type="dxa"/>
              <w:right w:w="0" w:type="dxa"/>
            </w:tcMar>
          </w:tcPr>
          <w:p>
            <w:pPr>
              <w:spacing w:before="300"/>
              <w:ind w:left="440"/>
            </w:pPr>
            <w:r>
              <w:rPr>
                <w:rFonts w:hint="eastAsia" w:ascii="Times New Roman" w:hAnsi="Times New Roman" w:eastAsia="Times New Roman" w:cs="Times New Roman"/>
                <w:sz w:val="18"/>
              </w:rPr>
              <w:t>8%</w:t>
            </w:r>
          </w:p>
        </w:tc>
        <w:tc>
          <w:tcPr>
            <w:tcW w:w="980" w:type="dxa"/>
            <w:tcMar>
              <w:top w:w="0" w:type="dxa"/>
              <w:left w:w="0" w:type="dxa"/>
              <w:bottom w:w="0" w:type="dxa"/>
              <w:right w:w="0" w:type="dxa"/>
            </w:tcMar>
          </w:tcPr>
          <w:p>
            <w:pPr>
              <w:spacing w:before="300"/>
              <w:ind w:left="300"/>
            </w:pPr>
            <w:r>
              <w:rPr>
                <w:rFonts w:hint="eastAsia" w:ascii="Times New Roman" w:hAnsi="Times New Roman" w:eastAsia="Times New Roman" w:cs="Times New Roman"/>
                <w:sz w:val="18"/>
              </w:rPr>
              <w:t>10%</w:t>
            </w:r>
          </w:p>
        </w:tc>
      </w:tr>
      <w:tr>
        <w:trPr>
          <w:trHeight w:val="800" w:hRule="exact"/>
        </w:trPr>
        <w:tc>
          <w:tcPr>
            <w:tcW w:w="1240" w:type="dxa"/>
            <w:tcMar>
              <w:top w:w="0" w:type="dxa"/>
              <w:left w:w="0" w:type="dxa"/>
              <w:bottom w:w="0" w:type="dxa"/>
              <w:right w:w="0" w:type="dxa"/>
            </w:tcMar>
          </w:tcPr>
          <w:p>
            <w:pPr>
              <w:spacing w:before="300"/>
              <w:ind w:left="160"/>
            </w:pPr>
            <w:r>
              <w:rPr>
                <w:rFonts w:hint="eastAsia" w:ascii="宋体" w:hAnsi="宋体" w:eastAsia="宋体" w:cs="宋体"/>
                <w:sz w:val="18"/>
              </w:rPr>
              <w:t>住房公积金</w:t>
            </w:r>
          </w:p>
        </w:tc>
        <w:tc>
          <w:tcPr>
            <w:tcW w:w="960" w:type="dxa"/>
            <w:tcMar>
              <w:top w:w="0" w:type="dxa"/>
              <w:left w:w="0" w:type="dxa"/>
              <w:bottom w:w="0" w:type="dxa"/>
              <w:right w:w="0" w:type="dxa"/>
            </w:tcMar>
          </w:tcPr>
          <w:p>
            <w:pPr>
              <w:spacing w:before="320"/>
              <w:ind w:left="220"/>
            </w:pPr>
            <w:r>
              <w:rPr>
                <w:rFonts w:hint="eastAsia" w:ascii="Times New Roman" w:hAnsi="Times New Roman" w:eastAsia="Times New Roman" w:cs="Times New Roman"/>
                <w:sz w:val="18"/>
              </w:rPr>
              <w:t>5-12%</w:t>
            </w:r>
          </w:p>
        </w:tc>
        <w:tc>
          <w:tcPr>
            <w:tcW w:w="1060" w:type="dxa"/>
            <w:tcMar>
              <w:top w:w="0" w:type="dxa"/>
              <w:left w:w="0" w:type="dxa"/>
              <w:bottom w:w="0" w:type="dxa"/>
              <w:right w:w="0" w:type="dxa"/>
            </w:tcMar>
          </w:tcPr>
          <w:p>
            <w:pPr>
              <w:spacing w:before="320"/>
              <w:ind w:left="280"/>
            </w:pPr>
            <w:r>
              <w:rPr>
                <w:rFonts w:hint="eastAsia" w:ascii="Times New Roman" w:hAnsi="Times New Roman" w:eastAsia="Times New Roman" w:cs="Times New Roman"/>
                <w:sz w:val="18"/>
              </w:rPr>
              <w:t>5-12%</w:t>
            </w:r>
          </w:p>
        </w:tc>
        <w:tc>
          <w:tcPr>
            <w:tcW w:w="1040" w:type="dxa"/>
            <w:tcMar>
              <w:top w:w="0" w:type="dxa"/>
              <w:left w:w="0" w:type="dxa"/>
              <w:bottom w:w="0" w:type="dxa"/>
              <w:right w:w="0" w:type="dxa"/>
            </w:tcMar>
          </w:tcPr>
          <w:p>
            <w:pPr>
              <w:spacing w:before="320"/>
              <w:ind w:left="260"/>
            </w:pPr>
            <w:r>
              <w:rPr>
                <w:rFonts w:hint="eastAsia" w:ascii="Times New Roman" w:hAnsi="Times New Roman" w:eastAsia="Times New Roman" w:cs="Times New Roman"/>
                <w:sz w:val="18"/>
              </w:rPr>
              <w:t>5-12%</w:t>
            </w:r>
          </w:p>
        </w:tc>
        <w:tc>
          <w:tcPr>
            <w:tcW w:w="1040" w:type="dxa"/>
            <w:tcMar>
              <w:top w:w="0" w:type="dxa"/>
              <w:left w:w="0" w:type="dxa"/>
              <w:bottom w:w="0" w:type="dxa"/>
              <w:right w:w="0" w:type="dxa"/>
            </w:tcMar>
          </w:tcPr>
          <w:p>
            <w:pPr>
              <w:spacing w:before="320"/>
              <w:ind w:left="260"/>
            </w:pPr>
            <w:r>
              <w:rPr>
                <w:rFonts w:hint="eastAsia" w:ascii="Times New Roman" w:hAnsi="Times New Roman" w:eastAsia="Times New Roman" w:cs="Times New Roman"/>
                <w:sz w:val="18"/>
              </w:rPr>
              <w:t>5-12%</w:t>
            </w:r>
          </w:p>
        </w:tc>
        <w:tc>
          <w:tcPr>
            <w:tcW w:w="1040" w:type="dxa"/>
            <w:tcMar>
              <w:top w:w="0" w:type="dxa"/>
              <w:left w:w="0" w:type="dxa"/>
              <w:bottom w:w="0" w:type="dxa"/>
              <w:right w:w="0" w:type="dxa"/>
            </w:tcMar>
          </w:tcPr>
          <w:p>
            <w:pPr>
              <w:spacing w:before="320"/>
              <w:ind w:left="400"/>
            </w:pPr>
            <w:r>
              <w:rPr>
                <w:rFonts w:hint="eastAsia" w:ascii="Times New Roman" w:hAnsi="Times New Roman" w:eastAsia="Times New Roman" w:cs="Times New Roman"/>
                <w:sz w:val="18"/>
              </w:rPr>
              <w:t>7%</w:t>
            </w:r>
          </w:p>
        </w:tc>
        <w:tc>
          <w:tcPr>
            <w:tcW w:w="1160" w:type="dxa"/>
            <w:tcMar>
              <w:top w:w="0" w:type="dxa"/>
              <w:left w:w="0" w:type="dxa"/>
              <w:bottom w:w="0" w:type="dxa"/>
              <w:right w:w="0" w:type="dxa"/>
            </w:tcMar>
          </w:tcPr>
          <w:p>
            <w:pPr>
              <w:spacing w:before="320"/>
              <w:ind w:left="320"/>
            </w:pPr>
            <w:r>
              <w:rPr>
                <w:rFonts w:hint="eastAsia" w:ascii="Times New Roman" w:hAnsi="Times New Roman" w:eastAsia="Times New Roman" w:cs="Times New Roman"/>
                <w:sz w:val="18"/>
              </w:rPr>
              <w:t>8-12%</w:t>
            </w:r>
          </w:p>
        </w:tc>
        <w:tc>
          <w:tcPr>
            <w:tcW w:w="980" w:type="dxa"/>
            <w:tcMar>
              <w:top w:w="0" w:type="dxa"/>
              <w:left w:w="0" w:type="dxa"/>
              <w:bottom w:w="0" w:type="dxa"/>
              <w:right w:w="0" w:type="dxa"/>
            </w:tcMar>
          </w:tcPr>
          <w:p>
            <w:pPr>
              <w:spacing w:before="320"/>
              <w:ind w:left="360"/>
            </w:pPr>
            <w:r>
              <w:rPr>
                <w:rFonts w:hint="eastAsia" w:ascii="Times New Roman" w:hAnsi="Times New Roman" w:eastAsia="Times New Roman" w:cs="Times New Roman"/>
                <w:sz w:val="18"/>
              </w:rPr>
              <w:t>7%</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宋体" w:hAnsi="宋体" w:eastAsia="宋体" w:cs="宋体"/>
          <w:sz w:val="18"/>
        </w:rPr>
        <w:t>（</w:t>
      </w:r>
      <w:r>
        <w:rPr>
          <w:rFonts w:hint="eastAsia" w:ascii="Times New Roman" w:hAnsi="Times New Roman" w:eastAsia="Times New Roman" w:cs="Times New Roman"/>
          <w:sz w:val="24"/>
        </w:rPr>
        <w:t>4</w:t>
      </w:r>
      <w:r>
        <w:rPr>
          <w:rFonts w:hint="eastAsia" w:ascii="宋体" w:hAnsi="宋体" w:eastAsia="宋体" w:cs="宋体"/>
          <w:sz w:val="24"/>
        </w:rPr>
        <w:t>）缴费金额</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社会保险和住房公积金公司承担部分的缴费金额分别为</w:t>
      </w:r>
      <w:r>
        <w:rPr>
          <w:rFonts w:hint="eastAsia" w:ascii="Times New Roman" w:hAnsi="Times New Roman" w:eastAsia="Times New Roman" w:cs="Times New Roman"/>
          <w:sz w:val="24"/>
        </w:rPr>
        <w:t xml:space="preserve"> 7,945,009.20</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10,421,137.18</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12,192,296.86</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5</w:t>
      </w:r>
      <w:r>
        <w:rPr>
          <w:rFonts w:hint="eastAsia" w:ascii="宋体" w:hAnsi="宋体" w:eastAsia="宋体" w:cs="宋体"/>
          <w:sz w:val="24"/>
        </w:rPr>
        <w:t>）差异原因</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本公司社会保险和住房公积金按规定应缴纳人数与实际缴纳人数之间存在一定差异</w:t>
      </w:r>
      <w:r>
        <w:rPr>
          <w:rFonts w:hint="eastAsia" w:ascii="宋体" w:hAnsi="宋体" w:eastAsia="宋体" w:cs="宋体"/>
          <w:sz w:val="10"/>
        </w:rPr>
        <w:t>，</w:t>
      </w:r>
      <w:r>
        <w:rPr>
          <w:rFonts w:hint="eastAsia" w:ascii="宋体" w:hAnsi="宋体" w:eastAsia="宋体" w:cs="宋体"/>
          <w:sz w:val="24"/>
        </w:rPr>
        <w:t>其原因主要包括</w:t>
      </w:r>
      <w:r>
        <w:rPr>
          <w:rFonts w:hint="eastAsia" w:ascii="宋体" w:hAnsi="宋体" w:eastAsia="宋体" w:cs="宋体"/>
          <w:sz w:val="12"/>
        </w:rPr>
        <w:t>：</w:t>
      </w:r>
      <w:r>
        <w:rPr>
          <w:rFonts w:hint="eastAsia" w:ascii="Times New Roman" w:hAnsi="Times New Roman" w:eastAsia="Times New Roman" w:cs="Times New Roman"/>
          <w:sz w:val="24"/>
        </w:rPr>
        <w:t>1</w:t>
      </w:r>
      <w:r>
        <w:rPr>
          <w:rFonts w:hint="eastAsia" w:ascii="宋体" w:hAnsi="宋体" w:eastAsia="宋体" w:cs="宋体"/>
          <w:sz w:val="24"/>
        </w:rPr>
        <w:t>）离退休返聘人员不需要缴纳社会保险及住房公积金</w:t>
      </w:r>
      <w:r>
        <w:rPr>
          <w:rFonts w:hint="eastAsia" w:ascii="宋体" w:hAnsi="宋体" w:eastAsia="宋体" w:cs="宋体"/>
          <w:sz w:val="12"/>
        </w:rPr>
        <w:t>；</w:t>
      </w:r>
      <w:r>
        <w:rPr>
          <w:rFonts w:hint="eastAsia" w:ascii="Times New Roman" w:hAnsi="Times New Roman" w:eastAsia="Times New Roman" w:cs="Times New Roman"/>
          <w:sz w:val="24"/>
        </w:rPr>
        <w:t>2</w:t>
      </w:r>
      <w:r>
        <w:rPr>
          <w:rFonts w:hint="eastAsia" w:ascii="宋体" w:hAnsi="宋体" w:eastAsia="宋体" w:cs="宋体"/>
          <w:sz w:val="24"/>
        </w:rPr>
        <w:t>）部分员工在当月入职</w:t>
      </w:r>
      <w:r>
        <w:rPr>
          <w:rFonts w:hint="eastAsia" w:ascii="宋体" w:hAnsi="宋体" w:eastAsia="宋体" w:cs="宋体"/>
          <w:sz w:val="10"/>
        </w:rPr>
        <w:t>，</w:t>
      </w:r>
      <w:r>
        <w:rPr>
          <w:rFonts w:hint="eastAsia" w:ascii="宋体" w:hAnsi="宋体" w:eastAsia="宋体" w:cs="宋体"/>
          <w:sz w:val="24"/>
        </w:rPr>
        <w:t>入职时已过社会保险</w:t>
      </w:r>
      <w:r>
        <w:rPr>
          <w:rFonts w:hint="eastAsia" w:ascii="宋体" w:hAnsi="宋体" w:eastAsia="宋体" w:cs="宋体"/>
          <w:sz w:val="10"/>
        </w:rPr>
        <w:t>、</w:t>
      </w:r>
      <w:r>
        <w:rPr>
          <w:rFonts w:hint="eastAsia" w:ascii="宋体" w:hAnsi="宋体" w:eastAsia="宋体" w:cs="宋体"/>
          <w:sz w:val="24"/>
        </w:rPr>
        <w:t>住房公积金办理时间</w:t>
      </w:r>
      <w:r>
        <w:rPr>
          <w:rFonts w:hint="eastAsia" w:ascii="宋体" w:hAnsi="宋体" w:eastAsia="宋体" w:cs="宋体"/>
          <w:sz w:val="10"/>
        </w:rPr>
        <w:t>，</w:t>
      </w:r>
      <w:r>
        <w:rPr>
          <w:rFonts w:hint="eastAsia" w:ascii="宋体" w:hAnsi="宋体" w:eastAsia="宋体" w:cs="宋体"/>
          <w:sz w:val="24"/>
        </w:rPr>
        <w:t>自次月起缴纳</w:t>
      </w:r>
      <w:r>
        <w:rPr>
          <w:rFonts w:hint="eastAsia" w:ascii="宋体" w:hAnsi="宋体" w:eastAsia="宋体" w:cs="宋体"/>
          <w:sz w:val="14"/>
        </w:rPr>
        <w:t>；</w:t>
      </w:r>
      <w:r>
        <w:rPr>
          <w:rFonts w:hint="eastAsia" w:ascii="Times New Roman" w:hAnsi="Times New Roman" w:eastAsia="Times New Roman" w:cs="Times New Roman"/>
          <w:sz w:val="24"/>
        </w:rPr>
        <w:t>3</w:t>
      </w:r>
      <w:r>
        <w:rPr>
          <w:rFonts w:hint="eastAsia" w:ascii="宋体" w:hAnsi="宋体" w:eastAsia="宋体" w:cs="宋体"/>
          <w:sz w:val="24"/>
        </w:rPr>
        <w:t>）部分已离职人员因个人原因未能及时办理社会保险</w:t>
      </w:r>
      <w:r>
        <w:rPr>
          <w:rFonts w:hint="eastAsia" w:ascii="宋体" w:hAnsi="宋体" w:eastAsia="宋体" w:cs="宋体"/>
          <w:sz w:val="10"/>
        </w:rPr>
        <w:t>、</w:t>
      </w:r>
      <w:r>
        <w:rPr>
          <w:rFonts w:hint="eastAsia" w:ascii="宋体" w:hAnsi="宋体" w:eastAsia="宋体" w:cs="宋体"/>
          <w:sz w:val="24"/>
        </w:rPr>
        <w:t>住房公积金转移手续</w:t>
      </w:r>
      <w:r>
        <w:rPr>
          <w:rFonts w:hint="eastAsia" w:ascii="宋体" w:hAnsi="宋体" w:eastAsia="宋体" w:cs="宋体"/>
          <w:sz w:val="10"/>
        </w:rPr>
        <w:t>，</w:t>
      </w:r>
      <w:r>
        <w:rPr>
          <w:rFonts w:hint="eastAsia" w:ascii="宋体" w:hAnsi="宋体" w:eastAsia="宋体" w:cs="宋体"/>
          <w:sz w:val="24"/>
        </w:rPr>
        <w:t>自办理完成后停止缴纳</w:t>
      </w:r>
      <w:r>
        <w:rPr>
          <w:rFonts w:hint="eastAsia" w:ascii="宋体" w:hAnsi="宋体" w:eastAsia="宋体" w:cs="宋体"/>
          <w:sz w:val="12"/>
        </w:rPr>
        <w:t>；</w:t>
      </w:r>
      <w:r>
        <w:rPr>
          <w:rFonts w:hint="eastAsia" w:ascii="Times New Roman" w:hAnsi="Times New Roman" w:eastAsia="Times New Roman" w:cs="Times New Roman"/>
          <w:sz w:val="24"/>
        </w:rPr>
        <w:t>4</w:t>
      </w:r>
      <w:r>
        <w:rPr>
          <w:rFonts w:hint="eastAsia" w:ascii="宋体" w:hAnsi="宋体" w:eastAsia="宋体" w:cs="宋体"/>
          <w:sz w:val="24"/>
        </w:rPr>
        <w:t>）部分员工自愿放弃缴纳社会保险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1-1-86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住房公积金</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6</w:t>
      </w:r>
      <w:r>
        <w:rPr>
          <w:rFonts w:hint="eastAsia" w:ascii="宋体" w:hAnsi="宋体" w:eastAsia="宋体" w:cs="宋体"/>
          <w:sz w:val="24"/>
        </w:rPr>
        <w:t>）社会保险及住房公积金主管部门的确认及中介机构的核查意见</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本公司及控股子公司已取得了所在地社保及住房公积金主管部门出具的确认函</w:t>
      </w:r>
      <w:r>
        <w:rPr>
          <w:rFonts w:hint="eastAsia" w:ascii="宋体" w:hAnsi="宋体" w:eastAsia="宋体" w:cs="宋体"/>
          <w:sz w:val="10"/>
        </w:rPr>
        <w:t>，</w:t>
      </w:r>
      <w:r>
        <w:rPr>
          <w:rFonts w:hint="eastAsia" w:ascii="宋体" w:hAnsi="宋体" w:eastAsia="宋体" w:cs="宋体"/>
          <w:sz w:val="24"/>
        </w:rPr>
        <w:t>确认公司报告期内依法按时申报并缴纳各项社会保险</w:t>
      </w:r>
      <w:r>
        <w:rPr>
          <w:rFonts w:hint="eastAsia" w:ascii="宋体" w:hAnsi="宋体" w:eastAsia="宋体" w:cs="宋体"/>
          <w:sz w:val="10"/>
        </w:rPr>
        <w:t>，</w:t>
      </w:r>
      <w:r>
        <w:rPr>
          <w:rFonts w:hint="eastAsia" w:ascii="宋体" w:hAnsi="宋体" w:eastAsia="宋体" w:cs="宋体"/>
          <w:sz w:val="24"/>
        </w:rPr>
        <w:t>不存在拖欠</w:t>
      </w:r>
      <w:r>
        <w:rPr>
          <w:rFonts w:hint="eastAsia" w:ascii="宋体" w:hAnsi="宋体" w:eastAsia="宋体" w:cs="宋体"/>
          <w:sz w:val="10"/>
        </w:rPr>
        <w:t>、</w:t>
      </w:r>
      <w:r>
        <w:rPr>
          <w:rFonts w:hint="eastAsia" w:ascii="宋体" w:hAnsi="宋体" w:eastAsia="宋体" w:cs="宋体"/>
          <w:sz w:val="24"/>
        </w:rPr>
        <w:t>偷逃</w:t>
      </w:r>
      <w:r>
        <w:rPr>
          <w:rFonts w:hint="eastAsia" w:ascii="宋体" w:hAnsi="宋体" w:eastAsia="宋体" w:cs="宋体"/>
          <w:sz w:val="10"/>
        </w:rPr>
        <w:t>、</w:t>
      </w:r>
      <w:r>
        <w:rPr>
          <w:rFonts w:hint="eastAsia" w:ascii="宋体" w:hAnsi="宋体" w:eastAsia="宋体" w:cs="宋体"/>
          <w:sz w:val="24"/>
        </w:rPr>
        <w:t>漏缴社保款或其他违反社保法律法规的情形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经核查</w:t>
      </w:r>
      <w:r>
        <w:rPr>
          <w:rFonts w:hint="eastAsia" w:ascii="宋体" w:hAnsi="宋体" w:eastAsia="宋体" w:cs="宋体"/>
          <w:sz w:val="10"/>
        </w:rPr>
        <w:t>，</w:t>
      </w:r>
      <w:r>
        <w:rPr>
          <w:rFonts w:hint="eastAsia" w:ascii="宋体" w:hAnsi="宋体" w:eastAsia="宋体" w:cs="宋体"/>
          <w:sz w:val="24"/>
        </w:rPr>
        <w:t>保荐机构</w:t>
      </w:r>
      <w:r>
        <w:rPr>
          <w:rFonts w:hint="eastAsia" w:ascii="宋体" w:hAnsi="宋体" w:eastAsia="宋体" w:cs="宋体"/>
          <w:sz w:val="10"/>
        </w:rPr>
        <w:t>、</w:t>
      </w:r>
      <w:r>
        <w:rPr>
          <w:rFonts w:hint="eastAsia" w:ascii="宋体" w:hAnsi="宋体" w:eastAsia="宋体" w:cs="宋体"/>
          <w:sz w:val="24"/>
        </w:rPr>
        <w:t>发行人律师认为</w:t>
      </w:r>
      <w:r>
        <w:rPr>
          <w:rFonts w:hint="eastAsia" w:ascii="宋体" w:hAnsi="宋体" w:eastAsia="宋体" w:cs="宋体"/>
          <w:sz w:val="10"/>
        </w:rPr>
        <w:t>：</w:t>
      </w:r>
      <w:r>
        <w:rPr>
          <w:rFonts w:hint="eastAsia" w:ascii="宋体" w:hAnsi="宋体" w:eastAsia="宋体" w:cs="宋体"/>
          <w:sz w:val="24"/>
        </w:rPr>
        <w:t>发行人不存在劳务派遣或劳务外包等情形</w:t>
      </w:r>
      <w:r>
        <w:rPr>
          <w:rFonts w:hint="eastAsia" w:ascii="宋体" w:hAnsi="宋体" w:eastAsia="宋体" w:cs="宋体"/>
          <w:sz w:val="10"/>
        </w:rPr>
        <w:t>，</w:t>
      </w:r>
      <w:r>
        <w:rPr>
          <w:rFonts w:hint="eastAsia" w:ascii="宋体" w:hAnsi="宋体" w:eastAsia="宋体" w:cs="宋体"/>
          <w:sz w:val="24"/>
        </w:rPr>
        <w:t>劳动用工符合法律法规的规定</w:t>
      </w:r>
      <w:r>
        <w:rPr>
          <w:rFonts w:hint="eastAsia" w:ascii="宋体" w:hAnsi="宋体" w:eastAsia="宋体" w:cs="宋体"/>
          <w:sz w:val="12"/>
        </w:rPr>
        <w:t>；</w:t>
      </w:r>
      <w:r>
        <w:rPr>
          <w:rFonts w:hint="eastAsia" w:ascii="宋体" w:hAnsi="宋体" w:eastAsia="宋体" w:cs="宋体"/>
          <w:sz w:val="24"/>
        </w:rPr>
        <w:t>发行人按照法律法规为员工缴纳社会保险和住房公积金</w:t>
      </w:r>
      <w:r>
        <w:rPr>
          <w:rFonts w:hint="eastAsia" w:ascii="宋体" w:hAnsi="宋体" w:eastAsia="宋体" w:cs="宋体"/>
          <w:sz w:val="10"/>
        </w:rPr>
        <w:t>，</w:t>
      </w:r>
      <w:r>
        <w:rPr>
          <w:rFonts w:hint="eastAsia" w:ascii="宋体" w:hAnsi="宋体" w:eastAsia="宋体" w:cs="宋体"/>
          <w:sz w:val="24"/>
        </w:rPr>
        <w:t>少部分未缴纳员工主要系员工自愿放弃缴纳</w:t>
      </w:r>
      <w:r>
        <w:rPr>
          <w:rFonts w:hint="eastAsia" w:ascii="宋体" w:hAnsi="宋体" w:eastAsia="宋体" w:cs="宋体"/>
          <w:sz w:val="10"/>
        </w:rPr>
        <w:t>、</w:t>
      </w:r>
      <w:r>
        <w:rPr>
          <w:rFonts w:hint="eastAsia" w:ascii="宋体" w:hAnsi="宋体" w:eastAsia="宋体" w:cs="宋体"/>
          <w:sz w:val="24"/>
        </w:rPr>
        <w:t>退休返聘人员无须缴纳</w:t>
      </w:r>
      <w:r>
        <w:rPr>
          <w:rFonts w:hint="eastAsia" w:ascii="宋体" w:hAnsi="宋体" w:eastAsia="宋体" w:cs="宋体"/>
          <w:sz w:val="10"/>
        </w:rPr>
        <w:t>、</w:t>
      </w:r>
      <w:r>
        <w:rPr>
          <w:rFonts w:hint="eastAsia" w:ascii="宋体" w:hAnsi="宋体" w:eastAsia="宋体" w:cs="宋体"/>
          <w:sz w:val="24"/>
        </w:rPr>
        <w:t>新入职及离职员工正在办理社保公积金迁移手续等原因所致</w:t>
      </w:r>
      <w:r>
        <w:rPr>
          <w:rFonts w:hint="eastAsia" w:ascii="宋体" w:hAnsi="宋体" w:eastAsia="宋体" w:cs="宋体"/>
          <w:sz w:val="10"/>
        </w:rPr>
        <w:t>，</w:t>
      </w:r>
      <w:r>
        <w:rPr>
          <w:rFonts w:hint="eastAsia" w:ascii="宋体" w:hAnsi="宋体" w:eastAsia="宋体" w:cs="宋体"/>
          <w:sz w:val="24"/>
        </w:rPr>
        <w:t>该行为不构成重大违法行为</w:t>
      </w:r>
      <w:r>
        <w:rPr>
          <w:rFonts w:hint="eastAsia" w:ascii="宋体" w:hAnsi="宋体" w:eastAsia="宋体" w:cs="宋体"/>
          <w:sz w:val="10"/>
        </w:rPr>
        <w:t>，</w:t>
      </w:r>
      <w:r>
        <w:rPr>
          <w:rFonts w:hint="eastAsia" w:ascii="宋体" w:hAnsi="宋体" w:eastAsia="宋体" w:cs="宋体"/>
          <w:sz w:val="24"/>
        </w:rPr>
        <w:t>不会对本次发行上市构成法律障碍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7</w:t>
      </w:r>
      <w:r>
        <w:rPr>
          <w:rFonts w:hint="eastAsia" w:ascii="宋体" w:hAnsi="宋体" w:eastAsia="宋体" w:cs="宋体"/>
          <w:sz w:val="24"/>
        </w:rPr>
        <w:t>）发行人控股股东</w:t>
      </w:r>
      <w:r>
        <w:rPr>
          <w:rFonts w:hint="eastAsia" w:ascii="宋体" w:hAnsi="宋体" w:eastAsia="宋体" w:cs="宋体"/>
          <w:sz w:val="10"/>
        </w:rPr>
        <w:t>、</w:t>
      </w:r>
      <w:r>
        <w:rPr>
          <w:rFonts w:hint="eastAsia" w:ascii="宋体" w:hAnsi="宋体" w:eastAsia="宋体" w:cs="宋体"/>
          <w:sz w:val="24"/>
        </w:rPr>
        <w:t>实际控制人的承诺</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本公司的实际控制人严孟宇先生已于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日出具了承诺函</w:t>
      </w:r>
      <w:r>
        <w:rPr>
          <w:rFonts w:hint="eastAsia" w:ascii="宋体" w:hAnsi="宋体" w:eastAsia="宋体" w:cs="宋体"/>
          <w:sz w:val="10"/>
        </w:rPr>
        <w:t>：</w:t>
      </w:r>
      <w:r>
        <w:rPr>
          <w:rFonts w:hint="eastAsia" w:ascii="宋体" w:hAnsi="宋体" w:eastAsia="宋体" w:cs="宋体"/>
          <w:sz w:val="24"/>
        </w:rPr>
        <w:t>承诺如因国家有关部门或员工要求对顶点软件首次公开发行股票并上市之前的社会保险或住房公积金进行补缴</w:t>
      </w:r>
      <w:r>
        <w:rPr>
          <w:rFonts w:hint="eastAsia" w:ascii="宋体" w:hAnsi="宋体" w:eastAsia="宋体" w:cs="宋体"/>
          <w:sz w:val="10"/>
        </w:rPr>
        <w:t>，</w:t>
      </w:r>
      <w:r>
        <w:rPr>
          <w:rFonts w:hint="eastAsia" w:ascii="宋体" w:hAnsi="宋体" w:eastAsia="宋体" w:cs="宋体"/>
          <w:sz w:val="24"/>
        </w:rPr>
        <w:t>或者受到有关部门的处罚</w:t>
      </w:r>
      <w:r>
        <w:rPr>
          <w:rFonts w:hint="eastAsia" w:ascii="宋体" w:hAnsi="宋体" w:eastAsia="宋体" w:cs="宋体"/>
          <w:sz w:val="10"/>
        </w:rPr>
        <w:t>，</w:t>
      </w:r>
      <w:r>
        <w:rPr>
          <w:rFonts w:hint="eastAsia" w:ascii="宋体" w:hAnsi="宋体" w:eastAsia="宋体" w:cs="宋体"/>
          <w:sz w:val="24"/>
        </w:rPr>
        <w:t>顶点软件控股股东</w:t>
      </w:r>
      <w:r>
        <w:rPr>
          <w:rFonts w:hint="eastAsia" w:ascii="宋体" w:hAnsi="宋体" w:eastAsia="宋体" w:cs="宋体"/>
          <w:sz w:val="10"/>
        </w:rPr>
        <w:t>、</w:t>
      </w:r>
      <w:r>
        <w:rPr>
          <w:rFonts w:hint="eastAsia" w:ascii="宋体" w:hAnsi="宋体" w:eastAsia="宋体" w:cs="宋体"/>
          <w:sz w:val="24"/>
        </w:rPr>
        <w:t>实际控制人</w:t>
      </w:r>
      <w:r>
        <w:rPr>
          <w:rFonts w:hint="eastAsia" w:ascii="宋体" w:hAnsi="宋体" w:eastAsia="宋体" w:cs="宋体"/>
          <w:sz w:val="10"/>
        </w:rPr>
        <w:t>，</w:t>
      </w:r>
      <w:r>
        <w:rPr>
          <w:rFonts w:hint="eastAsia" w:ascii="宋体" w:hAnsi="宋体" w:eastAsia="宋体" w:cs="宋体"/>
          <w:sz w:val="24"/>
        </w:rPr>
        <w:t>愿意对顶点软件及其子公司因补缴或受处罚而产生的经济损失予以全额补偿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（六）员工薪酬情况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公司总体薪酬政策</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公司制定了《人力资源管理制度》等相关制度来规范员工薪酬的管理与考核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00"/>
        <w:jc w:val="both"/>
      </w:pPr>
      <w:r>
        <w:rPr>
          <w:rFonts w:hint="eastAsia" w:ascii="宋体" w:hAnsi="宋体" w:eastAsia="宋体" w:cs="宋体"/>
          <w:sz w:val="24"/>
        </w:rPr>
        <w:t>公司实行以鼓励员工提高自身能力</w:t>
      </w:r>
      <w:r>
        <w:rPr>
          <w:rFonts w:hint="eastAsia" w:ascii="宋体" w:hAnsi="宋体" w:eastAsia="宋体" w:cs="宋体"/>
          <w:sz w:val="10"/>
        </w:rPr>
        <w:t>、</w:t>
      </w:r>
      <w:r>
        <w:rPr>
          <w:rFonts w:hint="eastAsia" w:ascii="宋体" w:hAnsi="宋体" w:eastAsia="宋体" w:cs="宋体"/>
          <w:sz w:val="24"/>
        </w:rPr>
        <w:t>承担更大责任为目标的工资机制</w:t>
      </w:r>
      <w:r>
        <w:rPr>
          <w:rFonts w:hint="eastAsia" w:ascii="宋体" w:hAnsi="宋体" w:eastAsia="宋体" w:cs="宋体"/>
          <w:sz w:val="10"/>
        </w:rPr>
        <w:t>，</w:t>
      </w:r>
      <w:r>
        <w:rPr>
          <w:rFonts w:hint="eastAsia" w:ascii="宋体" w:hAnsi="宋体" w:eastAsia="宋体" w:cs="宋体"/>
          <w:sz w:val="24"/>
        </w:rPr>
        <w:t>公司员工薪酬由工资</w:t>
      </w:r>
      <w:r>
        <w:rPr>
          <w:rFonts w:hint="eastAsia" w:ascii="宋体" w:hAnsi="宋体" w:eastAsia="宋体" w:cs="宋体"/>
          <w:sz w:val="10"/>
        </w:rPr>
        <w:t>、</w:t>
      </w:r>
      <w:r>
        <w:rPr>
          <w:rFonts w:hint="eastAsia" w:ascii="宋体" w:hAnsi="宋体" w:eastAsia="宋体" w:cs="宋体"/>
          <w:sz w:val="24"/>
        </w:rPr>
        <w:t>社会保险</w:t>
      </w:r>
      <w:r>
        <w:rPr>
          <w:rFonts w:hint="eastAsia" w:ascii="宋体" w:hAnsi="宋体" w:eastAsia="宋体" w:cs="宋体"/>
          <w:sz w:val="10"/>
        </w:rPr>
        <w:t>、</w:t>
      </w:r>
      <w:r>
        <w:rPr>
          <w:rFonts w:hint="eastAsia" w:ascii="宋体" w:hAnsi="宋体" w:eastAsia="宋体" w:cs="宋体"/>
          <w:sz w:val="24"/>
        </w:rPr>
        <w:t>福利及奖金组成</w:t>
      </w:r>
      <w:r>
        <w:rPr>
          <w:rFonts w:hint="eastAsia" w:ascii="宋体" w:hAnsi="宋体" w:eastAsia="宋体" w:cs="宋体"/>
          <w:sz w:val="10"/>
        </w:rPr>
        <w:t>，</w:t>
      </w:r>
      <w:r>
        <w:rPr>
          <w:rFonts w:hint="eastAsia" w:ascii="宋体" w:hAnsi="宋体" w:eastAsia="宋体" w:cs="宋体"/>
          <w:sz w:val="24"/>
        </w:rPr>
        <w:t>根据工作岗位不同</w:t>
      </w:r>
      <w:r>
        <w:rPr>
          <w:rFonts w:hint="eastAsia" w:ascii="宋体" w:hAnsi="宋体" w:eastAsia="宋体" w:cs="宋体"/>
          <w:sz w:val="10"/>
        </w:rPr>
        <w:t>，</w:t>
      </w:r>
      <w:r>
        <w:rPr>
          <w:rFonts w:hint="eastAsia" w:ascii="宋体" w:hAnsi="宋体" w:eastAsia="宋体" w:cs="宋体"/>
          <w:sz w:val="24"/>
        </w:rPr>
        <w:t>确定具体的标准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80"/>
        <w:jc w:val="both"/>
      </w:pPr>
      <w:r>
        <w:rPr>
          <w:rFonts w:hint="eastAsia" w:ascii="宋体" w:hAnsi="宋体" w:eastAsia="宋体" w:cs="宋体"/>
          <w:sz w:val="24"/>
        </w:rPr>
        <w:t>每年公司对员工的工作业绩</w:t>
      </w:r>
      <w:r>
        <w:rPr>
          <w:rFonts w:hint="eastAsia" w:ascii="宋体" w:hAnsi="宋体" w:eastAsia="宋体" w:cs="宋体"/>
          <w:sz w:val="10"/>
        </w:rPr>
        <w:t>、</w:t>
      </w:r>
      <w:r>
        <w:rPr>
          <w:rFonts w:hint="eastAsia" w:ascii="宋体" w:hAnsi="宋体" w:eastAsia="宋体" w:cs="宋体"/>
          <w:sz w:val="24"/>
        </w:rPr>
        <w:t>工作态度</w:t>
      </w:r>
      <w:r>
        <w:rPr>
          <w:rFonts w:hint="eastAsia" w:ascii="宋体" w:hAnsi="宋体" w:eastAsia="宋体" w:cs="宋体"/>
          <w:sz w:val="10"/>
        </w:rPr>
        <w:t>、</w:t>
      </w:r>
      <w:r>
        <w:rPr>
          <w:rFonts w:hint="eastAsia" w:ascii="宋体" w:hAnsi="宋体" w:eastAsia="宋体" w:cs="宋体"/>
          <w:sz w:val="24"/>
        </w:rPr>
        <w:t>工作能力与行为表现等方面进行考核</w:t>
      </w:r>
      <w:r>
        <w:rPr>
          <w:rFonts w:hint="eastAsia" w:ascii="宋体" w:hAnsi="宋体" w:eastAsia="宋体" w:cs="宋体"/>
          <w:sz w:val="10"/>
        </w:rPr>
        <w:t>，</w:t>
      </w:r>
      <w:r>
        <w:rPr>
          <w:rFonts w:hint="eastAsia" w:ascii="宋体" w:hAnsi="宋体" w:eastAsia="宋体" w:cs="宋体"/>
          <w:sz w:val="24"/>
        </w:rPr>
        <w:t>为绩效工资及年终奖金分配</w:t>
      </w:r>
      <w:r>
        <w:rPr>
          <w:rFonts w:hint="eastAsia" w:ascii="宋体" w:hAnsi="宋体" w:eastAsia="宋体" w:cs="宋体"/>
          <w:sz w:val="10"/>
        </w:rPr>
        <w:t>、</w:t>
      </w:r>
      <w:r>
        <w:rPr>
          <w:rFonts w:hint="eastAsia" w:ascii="宋体" w:hAnsi="宋体" w:eastAsia="宋体" w:cs="宋体"/>
          <w:sz w:val="24"/>
        </w:rPr>
        <w:t>工资升降</w:t>
      </w:r>
      <w:r>
        <w:rPr>
          <w:rFonts w:hint="eastAsia" w:ascii="宋体" w:hAnsi="宋体" w:eastAsia="宋体" w:cs="宋体"/>
          <w:sz w:val="10"/>
        </w:rPr>
        <w:t>、</w:t>
      </w:r>
      <w:r>
        <w:rPr>
          <w:rFonts w:hint="eastAsia" w:ascii="宋体" w:hAnsi="宋体" w:eastAsia="宋体" w:cs="宋体"/>
          <w:sz w:val="24"/>
        </w:rPr>
        <w:t>岗位调整</w:t>
      </w:r>
      <w:r>
        <w:rPr>
          <w:rFonts w:hint="eastAsia" w:ascii="宋体" w:hAnsi="宋体" w:eastAsia="宋体" w:cs="宋体"/>
          <w:sz w:val="10"/>
        </w:rPr>
        <w:t>、</w:t>
      </w:r>
      <w:r>
        <w:rPr>
          <w:rFonts w:hint="eastAsia" w:ascii="宋体" w:hAnsi="宋体" w:eastAsia="宋体" w:cs="宋体"/>
          <w:sz w:val="24"/>
        </w:rPr>
        <w:t>职务升迁等提供依据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针对董事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高级管理人员的薪酬管理与考核</w:t>
      </w:r>
      <w:r>
        <w:rPr>
          <w:rFonts w:hint="eastAsia" w:ascii="宋体" w:hAnsi="宋体" w:eastAsia="宋体" w:cs="宋体"/>
          <w:sz w:val="10"/>
        </w:rPr>
        <w:t>，</w:t>
      </w:r>
      <w:r>
        <w:rPr>
          <w:rFonts w:hint="eastAsia" w:ascii="宋体" w:hAnsi="宋体" w:eastAsia="宋体" w:cs="宋体"/>
          <w:sz w:val="24"/>
        </w:rPr>
        <w:t>公司制定了《董事</w:t>
      </w:r>
      <w:r>
        <w:rPr>
          <w:rFonts w:hint="eastAsia" w:ascii="宋体" w:hAnsi="宋体" w:eastAsia="宋体" w:cs="宋体"/>
          <w:sz w:val="10"/>
        </w:rPr>
        <w:t>、</w:t>
      </w:r>
      <w:r>
        <w:rPr>
          <w:rFonts w:hint="eastAsia" w:ascii="宋体" w:hAnsi="宋体" w:eastAsia="宋体" w:cs="宋体"/>
          <w:sz w:val="24"/>
        </w:rPr>
        <w:t>监事及高级管理人员薪酬管理制度》、《</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监事及高级管理人员绩效考核办法》等相关制度</w:t>
      </w:r>
      <w:r>
        <w:rPr>
          <w:rFonts w:hint="eastAsia" w:ascii="宋体" w:hAnsi="宋体" w:eastAsia="宋体" w:cs="宋体"/>
          <w:sz w:val="10"/>
        </w:rPr>
        <w:t>。</w:t>
      </w: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监事以及高级管理人员薪酬是指董事</w:t>
      </w:r>
      <w:r>
        <w:rPr>
          <w:rFonts w:hint="eastAsia" w:ascii="宋体" w:hAnsi="宋体" w:eastAsia="宋体" w:cs="宋体"/>
          <w:sz w:val="10"/>
        </w:rPr>
        <w:t>、</w:t>
      </w:r>
      <w:r>
        <w:rPr>
          <w:rFonts w:hint="eastAsia" w:ascii="宋体" w:hAnsi="宋体" w:eastAsia="宋体" w:cs="宋体"/>
          <w:sz w:val="24"/>
        </w:rPr>
        <w:t>监事以及高级管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1-1-87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理人员为公司工作而获得的个人基本报酬和为公司所做贡献的奖励</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公司员工的薪酬水平及变化情况</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公司员工按普通</w:t>
      </w:r>
      <w:r>
        <w:rPr>
          <w:rFonts w:hint="eastAsia" w:ascii="宋体" w:hAnsi="宋体" w:eastAsia="宋体" w:cs="宋体"/>
          <w:sz w:val="10"/>
        </w:rPr>
        <w:t>、</w:t>
      </w:r>
      <w:r>
        <w:rPr>
          <w:rFonts w:hint="eastAsia" w:ascii="宋体" w:hAnsi="宋体" w:eastAsia="宋体" w:cs="宋体"/>
          <w:sz w:val="24"/>
        </w:rPr>
        <w:t>中层</w:t>
      </w:r>
      <w:r>
        <w:rPr>
          <w:rFonts w:hint="eastAsia" w:ascii="宋体" w:hAnsi="宋体" w:eastAsia="宋体" w:cs="宋体"/>
          <w:sz w:val="10"/>
        </w:rPr>
        <w:t>、</w:t>
      </w:r>
      <w:r>
        <w:rPr>
          <w:rFonts w:hint="eastAsia" w:ascii="宋体" w:hAnsi="宋体" w:eastAsia="宋体" w:cs="宋体"/>
          <w:sz w:val="24"/>
        </w:rPr>
        <w:t>高层分类的平均薪酬水平和变动情况如下表所示</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2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8380" w:type="auto"/>
        <w:tblInd w:w="17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480"/>
        <w:gridCol w:w="1980"/>
        <w:gridCol w:w="1920"/>
        <w:gridCol w:w="1980"/>
      </w:tblGrid>
      <w:tr>
        <w:trPr>
          <w:trHeight w:val="580" w:hRule="exact"/>
        </w:trPr>
        <w:tc>
          <w:tcPr>
            <w:tcW w:w="2480" w:type="dxa"/>
            <w:tcMar>
              <w:top w:w="0" w:type="dxa"/>
              <w:left w:w="0" w:type="dxa"/>
              <w:bottom w:w="0" w:type="dxa"/>
              <w:right w:w="0" w:type="dxa"/>
            </w:tcMar>
          </w:tcPr>
          <w:p/>
        </w:tc>
        <w:tc>
          <w:tcPr>
            <w:tcW w:w="1980" w:type="dxa"/>
            <w:tcMar>
              <w:top w:w="0" w:type="dxa"/>
              <w:left w:w="0" w:type="dxa"/>
              <w:bottom w:w="0" w:type="dxa"/>
              <w:right w:w="0" w:type="dxa"/>
            </w:tcMar>
          </w:tcPr>
          <w:p>
            <w:pPr>
              <w:spacing w:before="160"/>
              <w:ind w:left="560"/>
            </w:pPr>
            <w:r>
              <w:rPr>
                <w:rFonts w:hint="eastAsia" w:ascii="宋体" w:hAnsi="宋体" w:eastAsia="宋体" w:cs="宋体"/>
                <w:b/>
                <w:sz w:val="21"/>
              </w:rPr>
              <w:t>高层人员</w:t>
            </w:r>
          </w:p>
        </w:tc>
        <w:tc>
          <w:tcPr>
            <w:tcW w:w="1920" w:type="dxa"/>
            <w:tcMar>
              <w:top w:w="0" w:type="dxa"/>
              <w:left w:w="0" w:type="dxa"/>
              <w:bottom w:w="0" w:type="dxa"/>
              <w:right w:w="0" w:type="dxa"/>
            </w:tcMar>
          </w:tcPr>
          <w:p>
            <w:pPr>
              <w:spacing w:before="160"/>
              <w:ind w:left="520"/>
            </w:pPr>
            <w:r>
              <w:rPr>
                <w:rFonts w:hint="eastAsia" w:ascii="宋体" w:hAnsi="宋体" w:eastAsia="宋体" w:cs="宋体"/>
                <w:b/>
                <w:sz w:val="21"/>
              </w:rPr>
              <w:t>中层人员</w:t>
            </w:r>
          </w:p>
        </w:tc>
        <w:tc>
          <w:tcPr>
            <w:tcW w:w="1980" w:type="dxa"/>
            <w:tcMar>
              <w:top w:w="0" w:type="dxa"/>
              <w:left w:w="0" w:type="dxa"/>
              <w:bottom w:w="0" w:type="dxa"/>
              <w:right w:w="0" w:type="dxa"/>
            </w:tcMar>
          </w:tcPr>
          <w:p>
            <w:pPr>
              <w:spacing w:before="160"/>
              <w:ind w:left="560"/>
            </w:pPr>
            <w:r>
              <w:rPr>
                <w:rFonts w:hint="eastAsia" w:ascii="宋体" w:hAnsi="宋体" w:eastAsia="宋体" w:cs="宋体"/>
                <w:b/>
                <w:sz w:val="21"/>
              </w:rPr>
              <w:t>普通人员</w:t>
            </w:r>
          </w:p>
        </w:tc>
      </w:tr>
      <w:tr>
        <w:trPr>
          <w:trHeight w:val="640" w:hRule="exact"/>
        </w:trPr>
        <w:tc>
          <w:tcPr>
            <w:tcW w:w="2480" w:type="dxa"/>
            <w:tcMar>
              <w:top w:w="0" w:type="dxa"/>
              <w:left w:w="0" w:type="dxa"/>
              <w:bottom w:w="0" w:type="dxa"/>
              <w:right w:w="0" w:type="dxa"/>
            </w:tcMar>
          </w:tcPr>
          <w:p>
            <w:pPr>
              <w:spacing w:before="200"/>
              <w:ind w:left="780"/>
            </w:pPr>
            <w:r>
              <w:rPr>
                <w:rFonts w:hint="eastAsia" w:ascii="Times New Roman" w:hAnsi="Times New Roman" w:eastAsia="Times New Roman" w:cs="Times New Roman"/>
                <w:sz w:val="21"/>
              </w:rPr>
              <w:t>2016</w:t>
            </w:r>
            <w:r>
              <w:rPr>
                <w:rFonts w:hint="eastAsia" w:ascii="宋体" w:hAnsi="宋体" w:eastAsia="宋体" w:cs="宋体"/>
                <w:sz w:val="21"/>
              </w:rPr>
              <w:t xml:space="preserve"> 年度</w:t>
            </w:r>
          </w:p>
        </w:tc>
        <w:tc>
          <w:tcPr>
            <w:tcW w:w="1980" w:type="dxa"/>
            <w:tcMar>
              <w:top w:w="0" w:type="dxa"/>
              <w:left w:w="0" w:type="dxa"/>
              <w:bottom w:w="0" w:type="dxa"/>
              <w:right w:w="0" w:type="dxa"/>
            </w:tcMar>
          </w:tcPr>
          <w:p>
            <w:pPr>
              <w:spacing w:before="260"/>
              <w:ind w:left="1000"/>
            </w:pPr>
            <w:r>
              <w:rPr>
                <w:rFonts w:hint="eastAsia" w:ascii="Times New Roman" w:hAnsi="Times New Roman" w:eastAsia="Times New Roman" w:cs="Times New Roman"/>
                <w:sz w:val="21"/>
              </w:rPr>
              <w:t>514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920" w:type="dxa"/>
            <w:tcMar>
              <w:top w:w="0" w:type="dxa"/>
              <w:left w:w="0" w:type="dxa"/>
              <w:bottom w:w="0" w:type="dxa"/>
              <w:right w:w="0" w:type="dxa"/>
            </w:tcMar>
          </w:tcPr>
          <w:p>
            <w:pPr>
              <w:spacing w:before="260"/>
              <w:ind w:left="940"/>
            </w:pPr>
            <w:r>
              <w:rPr>
                <w:rFonts w:hint="eastAsia" w:ascii="Times New Roman" w:hAnsi="Times New Roman" w:eastAsia="Times New Roman" w:cs="Times New Roman"/>
                <w:sz w:val="21"/>
              </w:rPr>
              <w:t>248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p>
        </w:tc>
        <w:tc>
          <w:tcPr>
            <w:tcW w:w="1980" w:type="dxa"/>
            <w:tcMar>
              <w:top w:w="0" w:type="dxa"/>
              <w:left w:w="0" w:type="dxa"/>
              <w:bottom w:w="0" w:type="dxa"/>
              <w:right w:w="0" w:type="dxa"/>
            </w:tcMar>
          </w:tcPr>
          <w:p>
            <w:pPr>
              <w:spacing w:before="260"/>
              <w:ind w:left="1000"/>
            </w:pPr>
            <w:r>
              <w:rPr>
                <w:rFonts w:hint="eastAsia" w:ascii="Times New Roman" w:hAnsi="Times New Roman" w:eastAsia="Times New Roman" w:cs="Times New Roman"/>
                <w:sz w:val="21"/>
              </w:rPr>
              <w:t>125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r>
      <w:tr>
        <w:trPr>
          <w:trHeight w:val="640" w:hRule="exact"/>
        </w:trPr>
        <w:tc>
          <w:tcPr>
            <w:tcW w:w="2480" w:type="dxa"/>
            <w:tcMar>
              <w:top w:w="0" w:type="dxa"/>
              <w:left w:w="0" w:type="dxa"/>
              <w:bottom w:w="0" w:type="dxa"/>
              <w:right w:w="0" w:type="dxa"/>
            </w:tcMar>
          </w:tcPr>
          <w:p>
            <w:pPr>
              <w:spacing w:before="180"/>
              <w:ind w:left="780"/>
            </w:pPr>
            <w:r>
              <w:rPr>
                <w:rFonts w:hint="eastAsia" w:ascii="Times New Roman" w:hAnsi="Times New Roman" w:eastAsia="Times New Roman" w:cs="Times New Roman"/>
                <w:sz w:val="21"/>
              </w:rPr>
              <w:t>2015</w:t>
            </w:r>
            <w:r>
              <w:rPr>
                <w:rFonts w:hint="eastAsia" w:ascii="宋体" w:hAnsi="宋体" w:eastAsia="宋体" w:cs="宋体"/>
                <w:sz w:val="21"/>
              </w:rPr>
              <w:t xml:space="preserve"> 年度</w:t>
            </w:r>
          </w:p>
        </w:tc>
        <w:tc>
          <w:tcPr>
            <w:tcW w:w="1980" w:type="dxa"/>
            <w:tcMar>
              <w:top w:w="0" w:type="dxa"/>
              <w:left w:w="0" w:type="dxa"/>
              <w:bottom w:w="0" w:type="dxa"/>
              <w:right w:w="0" w:type="dxa"/>
            </w:tcMar>
          </w:tcPr>
          <w:p>
            <w:pPr>
              <w:spacing w:before="220"/>
              <w:ind w:left="1000"/>
            </w:pPr>
            <w:r>
              <w:rPr>
                <w:rFonts w:hint="eastAsia" w:ascii="Times New Roman" w:hAnsi="Times New Roman" w:eastAsia="Times New Roman" w:cs="Times New Roman"/>
                <w:sz w:val="21"/>
              </w:rPr>
              <w:t>448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920" w:type="dxa"/>
            <w:tcMar>
              <w:top w:w="0" w:type="dxa"/>
              <w:left w:w="0" w:type="dxa"/>
              <w:bottom w:w="0" w:type="dxa"/>
              <w:right w:w="0" w:type="dxa"/>
            </w:tcMar>
          </w:tcPr>
          <w:p>
            <w:pPr>
              <w:spacing w:before="220"/>
              <w:ind w:left="940"/>
            </w:pPr>
            <w:r>
              <w:rPr>
                <w:rFonts w:hint="eastAsia" w:ascii="Times New Roman" w:hAnsi="Times New Roman" w:eastAsia="Times New Roman" w:cs="Times New Roman"/>
                <w:sz w:val="21"/>
              </w:rPr>
              <w:t>220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1980" w:type="dxa"/>
            <w:tcMar>
              <w:top w:w="0" w:type="dxa"/>
              <w:left w:w="0" w:type="dxa"/>
              <w:bottom w:w="0" w:type="dxa"/>
              <w:right w:w="0" w:type="dxa"/>
            </w:tcMar>
          </w:tcPr>
          <w:p>
            <w:pPr>
              <w:spacing w:before="220"/>
              <w:ind w:left="1000"/>
            </w:pPr>
            <w:r>
              <w:rPr>
                <w:rFonts w:hint="eastAsia" w:ascii="Times New Roman" w:hAnsi="Times New Roman" w:eastAsia="Times New Roman" w:cs="Times New Roman"/>
                <w:sz w:val="21"/>
              </w:rPr>
              <w:t>112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r>
      <w:tr>
        <w:trPr>
          <w:trHeight w:val="620" w:hRule="exact"/>
        </w:trPr>
        <w:tc>
          <w:tcPr>
            <w:tcW w:w="2480" w:type="dxa"/>
            <w:tcMar>
              <w:top w:w="0" w:type="dxa"/>
              <w:left w:w="0" w:type="dxa"/>
              <w:bottom w:w="0" w:type="dxa"/>
              <w:right w:w="0" w:type="dxa"/>
            </w:tcMar>
          </w:tcPr>
          <w:p>
            <w:pPr>
              <w:spacing w:before="200"/>
              <w:ind w:left="780"/>
            </w:pPr>
            <w:r>
              <w:rPr>
                <w:rFonts w:hint="eastAsia" w:ascii="Times New Roman" w:hAnsi="Times New Roman" w:eastAsia="Times New Roman" w:cs="Times New Roman"/>
                <w:sz w:val="21"/>
              </w:rPr>
              <w:t>2014</w:t>
            </w:r>
            <w:r>
              <w:rPr>
                <w:rFonts w:hint="eastAsia" w:ascii="宋体" w:hAnsi="宋体" w:eastAsia="宋体" w:cs="宋体"/>
                <w:sz w:val="21"/>
              </w:rPr>
              <w:t xml:space="preserve"> 年度</w:t>
            </w:r>
          </w:p>
        </w:tc>
        <w:tc>
          <w:tcPr>
            <w:tcW w:w="1980" w:type="dxa"/>
            <w:tcMar>
              <w:top w:w="0" w:type="dxa"/>
              <w:left w:w="0" w:type="dxa"/>
              <w:bottom w:w="0" w:type="dxa"/>
              <w:right w:w="0" w:type="dxa"/>
            </w:tcMar>
          </w:tcPr>
          <w:p>
            <w:pPr>
              <w:spacing w:before="240"/>
              <w:ind w:left="1000"/>
            </w:pPr>
            <w:r>
              <w:rPr>
                <w:rFonts w:hint="eastAsia" w:ascii="Times New Roman" w:hAnsi="Times New Roman" w:eastAsia="Times New Roman" w:cs="Times New Roman"/>
                <w:sz w:val="21"/>
              </w:rPr>
              <w:t>329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920" w:type="dxa"/>
            <w:tcMar>
              <w:top w:w="0" w:type="dxa"/>
              <w:left w:w="0" w:type="dxa"/>
              <w:bottom w:w="0" w:type="dxa"/>
              <w:right w:w="0" w:type="dxa"/>
            </w:tcMar>
          </w:tcPr>
          <w:p>
            <w:pPr>
              <w:spacing w:before="240"/>
              <w:ind w:left="940"/>
            </w:pPr>
            <w:r>
              <w:rPr>
                <w:rFonts w:hint="eastAsia" w:ascii="Times New Roman" w:hAnsi="Times New Roman" w:eastAsia="Times New Roman" w:cs="Times New Roman"/>
                <w:sz w:val="21"/>
              </w:rPr>
              <w:t>160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p>
        </w:tc>
        <w:tc>
          <w:tcPr>
            <w:tcW w:w="1980" w:type="dxa"/>
            <w:tcMar>
              <w:top w:w="0" w:type="dxa"/>
              <w:left w:w="0" w:type="dxa"/>
              <w:bottom w:w="0" w:type="dxa"/>
              <w:right w:w="0" w:type="dxa"/>
            </w:tcMar>
          </w:tcPr>
          <w:p>
            <w:pPr>
              <w:spacing w:before="240"/>
              <w:ind w:left="1100"/>
            </w:pP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公司员工按各岗位划分的平均薪酬水平和变动情况如下表</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2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8380" w:type="auto"/>
        <w:tblInd w:w="17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480"/>
        <w:gridCol w:w="2020"/>
        <w:gridCol w:w="1960"/>
        <w:gridCol w:w="1900"/>
      </w:tblGrid>
      <w:tr>
        <w:trPr>
          <w:trHeight w:val="580" w:hRule="exact"/>
        </w:trPr>
        <w:tc>
          <w:tcPr>
            <w:tcW w:w="2480" w:type="dxa"/>
            <w:tcMar>
              <w:top w:w="0" w:type="dxa"/>
              <w:left w:w="0" w:type="dxa"/>
              <w:bottom w:w="0" w:type="dxa"/>
              <w:right w:w="0" w:type="dxa"/>
            </w:tcMar>
          </w:tcPr>
          <w:p/>
        </w:tc>
        <w:tc>
          <w:tcPr>
            <w:tcW w:w="2020" w:type="dxa"/>
            <w:tcMar>
              <w:top w:w="0" w:type="dxa"/>
              <w:left w:w="0" w:type="dxa"/>
              <w:bottom w:w="0" w:type="dxa"/>
              <w:right w:w="0" w:type="dxa"/>
            </w:tcMar>
          </w:tcPr>
          <w:p>
            <w:pPr>
              <w:spacing w:before="160"/>
              <w:ind w:left="560"/>
            </w:pPr>
            <w:r>
              <w:rPr>
                <w:rFonts w:hint="eastAsia" w:ascii="宋体" w:hAnsi="宋体" w:eastAsia="宋体" w:cs="宋体"/>
                <w:b/>
                <w:sz w:val="21"/>
              </w:rPr>
              <w:t>技术人员</w:t>
            </w:r>
          </w:p>
        </w:tc>
        <w:tc>
          <w:tcPr>
            <w:tcW w:w="1960" w:type="dxa"/>
            <w:tcMar>
              <w:top w:w="0" w:type="dxa"/>
              <w:left w:w="0" w:type="dxa"/>
              <w:bottom w:w="0" w:type="dxa"/>
              <w:right w:w="0" w:type="dxa"/>
            </w:tcMar>
          </w:tcPr>
          <w:p>
            <w:pPr>
              <w:spacing w:before="160"/>
              <w:ind w:left="540"/>
            </w:pPr>
            <w:r>
              <w:rPr>
                <w:rFonts w:hint="eastAsia" w:ascii="宋体" w:hAnsi="宋体" w:eastAsia="宋体" w:cs="宋体"/>
                <w:b/>
                <w:sz w:val="21"/>
              </w:rPr>
              <w:t>市场人员</w:t>
            </w:r>
          </w:p>
        </w:tc>
        <w:tc>
          <w:tcPr>
            <w:tcW w:w="1900" w:type="dxa"/>
            <w:tcMar>
              <w:top w:w="0" w:type="dxa"/>
              <w:left w:w="0" w:type="dxa"/>
              <w:bottom w:w="0" w:type="dxa"/>
              <w:right w:w="0" w:type="dxa"/>
            </w:tcMar>
          </w:tcPr>
          <w:p>
            <w:pPr>
              <w:spacing w:before="160"/>
              <w:ind w:left="180"/>
            </w:pPr>
            <w:r>
              <w:rPr>
                <w:rFonts w:hint="eastAsia" w:ascii="宋体" w:hAnsi="宋体" w:eastAsia="宋体" w:cs="宋体"/>
                <w:b/>
                <w:sz w:val="21"/>
              </w:rPr>
              <w:t>管理人员及其他</w:t>
            </w:r>
          </w:p>
        </w:tc>
      </w:tr>
      <w:tr>
        <w:trPr>
          <w:trHeight w:val="640" w:hRule="exact"/>
        </w:trPr>
        <w:tc>
          <w:tcPr>
            <w:tcW w:w="2480" w:type="dxa"/>
            <w:tcMar>
              <w:top w:w="0" w:type="dxa"/>
              <w:left w:w="0" w:type="dxa"/>
              <w:bottom w:w="0" w:type="dxa"/>
              <w:right w:w="0" w:type="dxa"/>
            </w:tcMar>
          </w:tcPr>
          <w:p>
            <w:pPr>
              <w:spacing w:before="200"/>
              <w:ind w:left="780"/>
            </w:pPr>
            <w:r>
              <w:rPr>
                <w:rFonts w:hint="eastAsia" w:ascii="Times New Roman" w:hAnsi="Times New Roman" w:eastAsia="Times New Roman" w:cs="Times New Roman"/>
                <w:sz w:val="21"/>
              </w:rPr>
              <w:t>2016</w:t>
            </w:r>
            <w:r>
              <w:rPr>
                <w:rFonts w:hint="eastAsia" w:ascii="宋体" w:hAnsi="宋体" w:eastAsia="宋体" w:cs="宋体"/>
                <w:sz w:val="21"/>
              </w:rPr>
              <w:t xml:space="preserve"> 年度</w:t>
            </w:r>
          </w:p>
        </w:tc>
        <w:tc>
          <w:tcPr>
            <w:tcW w:w="2020" w:type="dxa"/>
            <w:tcMar>
              <w:top w:w="0" w:type="dxa"/>
              <w:left w:w="0" w:type="dxa"/>
              <w:bottom w:w="0" w:type="dxa"/>
              <w:right w:w="0" w:type="dxa"/>
            </w:tcMar>
          </w:tcPr>
          <w:p>
            <w:pPr>
              <w:spacing w:before="260"/>
              <w:ind w:left="1020"/>
            </w:pPr>
            <w:r>
              <w:rPr>
                <w:rFonts w:hint="eastAsia" w:ascii="Times New Roman" w:hAnsi="Times New Roman" w:eastAsia="Times New Roman" w:cs="Times New Roman"/>
                <w:sz w:val="21"/>
              </w:rPr>
              <w:t>127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c>
          <w:tcPr>
            <w:tcW w:w="1960" w:type="dxa"/>
            <w:tcMar>
              <w:top w:w="0" w:type="dxa"/>
              <w:left w:w="0" w:type="dxa"/>
              <w:bottom w:w="0" w:type="dxa"/>
              <w:right w:w="0" w:type="dxa"/>
            </w:tcMar>
          </w:tcPr>
          <w:p>
            <w:pPr>
              <w:spacing w:before="260"/>
              <w:ind w:left="960"/>
            </w:pPr>
            <w:r>
              <w:rPr>
                <w:rFonts w:hint="eastAsia" w:ascii="Times New Roman" w:hAnsi="Times New Roman" w:eastAsia="Times New Roman" w:cs="Times New Roman"/>
                <w:sz w:val="21"/>
              </w:rPr>
              <w:t>162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900" w:type="dxa"/>
            <w:tcMar>
              <w:top w:w="0" w:type="dxa"/>
              <w:left w:w="0" w:type="dxa"/>
              <w:bottom w:w="0" w:type="dxa"/>
              <w:right w:w="0" w:type="dxa"/>
            </w:tcMar>
          </w:tcPr>
          <w:p>
            <w:pPr>
              <w:spacing w:before="260"/>
              <w:ind w:left="920"/>
            </w:pPr>
            <w:r>
              <w:rPr>
                <w:rFonts w:hint="eastAsia" w:ascii="Times New Roman" w:hAnsi="Times New Roman" w:eastAsia="Times New Roman" w:cs="Times New Roman"/>
                <w:sz w:val="21"/>
              </w:rPr>
              <w:t>184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r>
      <w:tr>
        <w:trPr>
          <w:trHeight w:val="640" w:hRule="exact"/>
        </w:trPr>
        <w:tc>
          <w:tcPr>
            <w:tcW w:w="2480" w:type="dxa"/>
            <w:tcMar>
              <w:top w:w="0" w:type="dxa"/>
              <w:left w:w="0" w:type="dxa"/>
              <w:bottom w:w="0" w:type="dxa"/>
              <w:right w:w="0" w:type="dxa"/>
            </w:tcMar>
          </w:tcPr>
          <w:p>
            <w:pPr>
              <w:spacing w:before="180"/>
              <w:ind w:left="780"/>
            </w:pPr>
            <w:r>
              <w:rPr>
                <w:rFonts w:hint="eastAsia" w:ascii="Times New Roman" w:hAnsi="Times New Roman" w:eastAsia="Times New Roman" w:cs="Times New Roman"/>
                <w:sz w:val="21"/>
              </w:rPr>
              <w:t>2015</w:t>
            </w:r>
            <w:r>
              <w:rPr>
                <w:rFonts w:hint="eastAsia" w:ascii="宋体" w:hAnsi="宋体" w:eastAsia="宋体" w:cs="宋体"/>
                <w:sz w:val="21"/>
              </w:rPr>
              <w:t xml:space="preserve"> 年度</w:t>
            </w:r>
          </w:p>
        </w:tc>
        <w:tc>
          <w:tcPr>
            <w:tcW w:w="2020" w:type="dxa"/>
            <w:tcMar>
              <w:top w:w="0" w:type="dxa"/>
              <w:left w:w="0" w:type="dxa"/>
              <w:bottom w:w="0" w:type="dxa"/>
              <w:right w:w="0" w:type="dxa"/>
            </w:tcMar>
          </w:tcPr>
          <w:p>
            <w:pPr>
              <w:spacing w:before="220"/>
              <w:ind w:left="1020"/>
            </w:pPr>
            <w:r>
              <w:rPr>
                <w:rFonts w:hint="eastAsia" w:ascii="Times New Roman" w:hAnsi="Times New Roman" w:eastAsia="Times New Roman" w:cs="Times New Roman"/>
                <w:sz w:val="21"/>
              </w:rPr>
              <w:t>110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c>
          <w:tcPr>
            <w:tcW w:w="1960" w:type="dxa"/>
            <w:tcMar>
              <w:top w:w="0" w:type="dxa"/>
              <w:left w:w="0" w:type="dxa"/>
              <w:bottom w:w="0" w:type="dxa"/>
              <w:right w:w="0" w:type="dxa"/>
            </w:tcMar>
          </w:tcPr>
          <w:p>
            <w:pPr>
              <w:spacing w:before="220"/>
              <w:ind w:left="960"/>
            </w:pPr>
            <w:r>
              <w:rPr>
                <w:rFonts w:hint="eastAsia" w:ascii="Times New Roman" w:hAnsi="Times New Roman" w:eastAsia="Times New Roman" w:cs="Times New Roman"/>
                <w:sz w:val="21"/>
              </w:rPr>
              <w:t>148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1900" w:type="dxa"/>
            <w:tcMar>
              <w:top w:w="0" w:type="dxa"/>
              <w:left w:w="0" w:type="dxa"/>
              <w:bottom w:w="0" w:type="dxa"/>
              <w:right w:w="0" w:type="dxa"/>
            </w:tcMar>
          </w:tcPr>
          <w:p>
            <w:pPr>
              <w:spacing w:before="220"/>
              <w:ind w:left="920"/>
            </w:pPr>
            <w:r>
              <w:rPr>
                <w:rFonts w:hint="eastAsia" w:ascii="Times New Roman" w:hAnsi="Times New Roman" w:eastAsia="Times New Roman" w:cs="Times New Roman"/>
                <w:sz w:val="21"/>
              </w:rPr>
              <w:t>198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r>
      <w:tr>
        <w:trPr>
          <w:trHeight w:val="620" w:hRule="exact"/>
        </w:trPr>
        <w:tc>
          <w:tcPr>
            <w:tcW w:w="2480" w:type="dxa"/>
            <w:tcMar>
              <w:top w:w="0" w:type="dxa"/>
              <w:left w:w="0" w:type="dxa"/>
              <w:bottom w:w="0" w:type="dxa"/>
              <w:right w:w="0" w:type="dxa"/>
            </w:tcMar>
          </w:tcPr>
          <w:p>
            <w:pPr>
              <w:spacing w:before="200"/>
              <w:ind w:left="780"/>
            </w:pPr>
            <w:r>
              <w:rPr>
                <w:rFonts w:hint="eastAsia" w:ascii="Times New Roman" w:hAnsi="Times New Roman" w:eastAsia="Times New Roman" w:cs="Times New Roman"/>
                <w:sz w:val="21"/>
              </w:rPr>
              <w:t>2014</w:t>
            </w:r>
            <w:r>
              <w:rPr>
                <w:rFonts w:hint="eastAsia" w:ascii="宋体" w:hAnsi="宋体" w:eastAsia="宋体" w:cs="宋体"/>
                <w:sz w:val="21"/>
              </w:rPr>
              <w:t xml:space="preserve"> 年度</w:t>
            </w:r>
          </w:p>
        </w:tc>
        <w:tc>
          <w:tcPr>
            <w:tcW w:w="2020" w:type="dxa"/>
            <w:tcMar>
              <w:top w:w="0" w:type="dxa"/>
              <w:left w:w="0" w:type="dxa"/>
              <w:bottom w:w="0" w:type="dxa"/>
              <w:right w:w="0" w:type="dxa"/>
            </w:tcMar>
          </w:tcPr>
          <w:p>
            <w:pPr>
              <w:spacing w:before="240"/>
              <w:ind w:left="1120"/>
            </w:pPr>
            <w:r>
              <w:rPr>
                <w:rFonts w:hint="eastAsia" w:ascii="Times New Roman" w:hAnsi="Times New Roman" w:eastAsia="Times New Roman" w:cs="Times New Roman"/>
                <w:sz w:val="21"/>
              </w:rPr>
              <w:t>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p>
        </w:tc>
        <w:tc>
          <w:tcPr>
            <w:tcW w:w="1960" w:type="dxa"/>
            <w:tcMar>
              <w:top w:w="0" w:type="dxa"/>
              <w:left w:w="0" w:type="dxa"/>
              <w:bottom w:w="0" w:type="dxa"/>
              <w:right w:w="0" w:type="dxa"/>
            </w:tcMar>
          </w:tcPr>
          <w:p>
            <w:pPr>
              <w:spacing w:before="240"/>
              <w:ind w:left="960"/>
            </w:pPr>
            <w:r>
              <w:rPr>
                <w:rFonts w:hint="eastAsia" w:ascii="Times New Roman" w:hAnsi="Times New Roman" w:eastAsia="Times New Roman" w:cs="Times New Roman"/>
                <w:sz w:val="21"/>
              </w:rPr>
              <w:t>122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1900" w:type="dxa"/>
            <w:tcMar>
              <w:top w:w="0" w:type="dxa"/>
              <w:left w:w="0" w:type="dxa"/>
              <w:bottom w:w="0" w:type="dxa"/>
              <w:right w:w="0" w:type="dxa"/>
            </w:tcMar>
          </w:tcPr>
          <w:p>
            <w:pPr>
              <w:spacing w:before="240"/>
              <w:ind w:left="920"/>
            </w:pPr>
            <w:r>
              <w:rPr>
                <w:rFonts w:hint="eastAsia" w:ascii="Times New Roman" w:hAnsi="Times New Roman" w:eastAsia="Times New Roman" w:cs="Times New Roman"/>
                <w:sz w:val="21"/>
              </w:rPr>
              <w:t>159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bl>
    <w:p>
      <w:pPr>
        <w:autoSpaceDE w:val="false"/>
        <w:autoSpaceDN w:val="false"/>
        <w:spacing w:line="400" w:lineRule="exact"/>
        <w:ind w:left="2220"/>
        <w:jc w:val="both"/>
      </w:pPr>
      <w:r>
        <w:rPr>
          <w:rFonts w:hint="eastAsia" w:ascii="宋体" w:hAnsi="宋体" w:eastAsia="宋体" w:cs="宋体"/>
          <w:sz w:val="21"/>
        </w:rPr>
        <w:t>注</w:t>
      </w:r>
      <w:r>
        <w:rPr>
          <w:rFonts w:hint="eastAsia" w:ascii="宋体" w:hAnsi="宋体" w:eastAsia="宋体" w:cs="宋体"/>
          <w:sz w:val="10"/>
        </w:rPr>
        <w:t>：</w:t>
      </w:r>
      <w:r>
        <w:rPr>
          <w:rFonts w:hint="eastAsia" w:ascii="宋体" w:hAnsi="宋体" w:eastAsia="宋体" w:cs="宋体"/>
          <w:sz w:val="21"/>
        </w:rPr>
        <w:t>平均工资</w:t>
      </w:r>
      <w:r>
        <w:rPr>
          <w:rFonts w:hint="eastAsia" w:ascii="Times New Roman" w:hAnsi="Times New Roman" w:eastAsia="Times New Roman" w:cs="Times New Roman"/>
          <w:sz w:val="21"/>
        </w:rPr>
        <w:t>=</w:t>
      </w:r>
      <w:r>
        <w:rPr>
          <w:rFonts w:hint="eastAsia" w:ascii="宋体" w:hAnsi="宋体" w:eastAsia="宋体" w:cs="宋体"/>
          <w:sz w:val="21"/>
        </w:rPr>
        <w:t>当期各级别</w:t>
      </w:r>
      <w:r>
        <w:rPr>
          <w:rFonts w:hint="eastAsia" w:ascii="宋体" w:hAnsi="宋体" w:eastAsia="宋体" w:cs="宋体"/>
          <w:sz w:val="10"/>
        </w:rPr>
        <w:t>、</w:t>
      </w:r>
      <w:r>
        <w:rPr>
          <w:rFonts w:hint="eastAsia" w:ascii="宋体" w:hAnsi="宋体" w:eastAsia="宋体" w:cs="宋体"/>
          <w:sz w:val="21"/>
        </w:rPr>
        <w:t>各岗位员工薪酬</w:t>
      </w:r>
      <w:r>
        <w:rPr>
          <w:rFonts w:hint="eastAsia" w:ascii="Times New Roman" w:hAnsi="Times New Roman" w:eastAsia="Times New Roman" w:cs="Times New Roman"/>
          <w:sz w:val="21"/>
        </w:rPr>
        <w:t>/</w:t>
      </w:r>
      <w:r>
        <w:rPr>
          <w:rFonts w:hint="eastAsia" w:ascii="宋体" w:hAnsi="宋体" w:eastAsia="宋体" w:cs="宋体"/>
          <w:sz w:val="21"/>
        </w:rPr>
        <w:t>期末员工人数</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随着发行人经营规模和经营业绩的稳步提升</w:t>
      </w:r>
      <w:r>
        <w:rPr>
          <w:rFonts w:hint="eastAsia" w:ascii="宋体" w:hAnsi="宋体" w:eastAsia="宋体" w:cs="宋体"/>
          <w:sz w:val="10"/>
        </w:rPr>
        <w:t>，</w:t>
      </w:r>
      <w:r>
        <w:rPr>
          <w:rFonts w:hint="eastAsia" w:ascii="宋体" w:hAnsi="宋体" w:eastAsia="宋体" w:cs="宋体"/>
          <w:sz w:val="24"/>
        </w:rPr>
        <w:t>各级别员工</w:t>
      </w:r>
      <w:r>
        <w:rPr>
          <w:rFonts w:hint="eastAsia" w:ascii="宋体" w:hAnsi="宋体" w:eastAsia="宋体" w:cs="宋体"/>
          <w:sz w:val="10"/>
        </w:rPr>
        <w:t>、</w:t>
      </w:r>
      <w:r>
        <w:rPr>
          <w:rFonts w:hint="eastAsia" w:ascii="宋体" w:hAnsi="宋体" w:eastAsia="宋体" w:cs="宋体"/>
          <w:sz w:val="24"/>
        </w:rPr>
        <w:t>各岗位员工的平均薪酬也相应上涨</w:t>
      </w:r>
      <w:r>
        <w:rPr>
          <w:rFonts w:hint="eastAsia" w:ascii="宋体" w:hAnsi="宋体" w:eastAsia="宋体" w:cs="宋体"/>
          <w:sz w:val="10"/>
        </w:rPr>
        <w:t>，</w:t>
      </w:r>
      <w:r>
        <w:rPr>
          <w:rFonts w:hint="eastAsia" w:ascii="宋体" w:hAnsi="宋体" w:eastAsia="宋体" w:cs="宋体"/>
          <w:sz w:val="24"/>
        </w:rPr>
        <w:t>体现了发行人坚持员工收入水平与经济效益同步增长的原则</w:t>
      </w:r>
      <w:r>
        <w:rPr>
          <w:rFonts w:hint="eastAsia" w:ascii="宋体" w:hAnsi="宋体" w:eastAsia="宋体" w:cs="宋体"/>
          <w:sz w:val="10"/>
        </w:rPr>
        <w:t>。</w:t>
      </w:r>
      <w:r>
        <w:rPr>
          <w:rFonts w:hint="eastAsia" w:ascii="宋体" w:hAnsi="宋体" w:eastAsia="宋体" w:cs="宋体"/>
          <w:sz w:val="24"/>
        </w:rPr>
        <w:t>发行人各级别员工</w:t>
      </w:r>
      <w:r>
        <w:rPr>
          <w:rFonts w:hint="eastAsia" w:ascii="宋体" w:hAnsi="宋体" w:eastAsia="宋体" w:cs="宋体"/>
          <w:sz w:val="10"/>
        </w:rPr>
        <w:t>、</w:t>
      </w:r>
      <w:r>
        <w:rPr>
          <w:rFonts w:hint="eastAsia" w:ascii="宋体" w:hAnsi="宋体" w:eastAsia="宋体" w:cs="宋体"/>
          <w:sz w:val="24"/>
        </w:rPr>
        <w:t>各岗位员工之间薪酬存在一定的差异</w:t>
      </w:r>
      <w:r>
        <w:rPr>
          <w:rFonts w:hint="eastAsia" w:ascii="宋体" w:hAnsi="宋体" w:eastAsia="宋体" w:cs="宋体"/>
          <w:sz w:val="10"/>
        </w:rPr>
        <w:t>，</w:t>
      </w:r>
      <w:r>
        <w:rPr>
          <w:rFonts w:hint="eastAsia" w:ascii="宋体" w:hAnsi="宋体" w:eastAsia="宋体" w:cs="宋体"/>
          <w:sz w:val="24"/>
        </w:rPr>
        <w:t>这主要是由于岗位职责的差异所导致的</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与当地企业的员工薪酬水平比较</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发行人主要人员在公司总部福州</w:t>
      </w:r>
      <w:r>
        <w:rPr>
          <w:rFonts w:hint="eastAsia" w:ascii="宋体" w:hAnsi="宋体" w:eastAsia="宋体" w:cs="宋体"/>
          <w:sz w:val="10"/>
        </w:rPr>
        <w:t>，</w:t>
      </w:r>
      <w:r>
        <w:rPr>
          <w:rFonts w:hint="eastAsia" w:ascii="宋体" w:hAnsi="宋体" w:eastAsia="宋体" w:cs="宋体"/>
          <w:sz w:val="24"/>
        </w:rPr>
        <w:t>此外公司还在武汉设立了研发中心</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福州及武汉的</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年社会平均工资统计数据尚未出台</w:t>
      </w:r>
      <w:r>
        <w:rPr>
          <w:rFonts w:hint="eastAsia" w:ascii="宋体" w:hAnsi="宋体" w:eastAsia="宋体" w:cs="宋体"/>
          <w:sz w:val="10"/>
        </w:rPr>
        <w:t>，</w:t>
      </w:r>
      <w:r>
        <w:rPr>
          <w:rFonts w:hint="eastAsia" w:ascii="宋体" w:hAnsi="宋体" w:eastAsia="宋体" w:cs="宋体"/>
          <w:sz w:val="24"/>
        </w:rPr>
        <w:t>因此主要针对发行人</w:t>
      </w:r>
      <w:r>
        <w:rPr>
          <w:rFonts w:hint="eastAsia" w:ascii="Times New Roman" w:hAnsi="Times New Roman" w:eastAsia="Times New Roman" w:cs="Times New Roman"/>
          <w:sz w:val="24"/>
        </w:rPr>
        <w:t>2014</w:t>
      </w:r>
      <w:r>
        <w:rPr>
          <w:rFonts w:hint="eastAsia" w:ascii="宋体" w:hAnsi="宋体" w:eastAsia="宋体" w:cs="宋体"/>
          <w:sz w:val="24"/>
        </w:rPr>
        <w:t xml:space="preserve"> 年及</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年的平均工资情况进行分析</w:t>
      </w:r>
      <w:r>
        <w:rPr>
          <w:rFonts w:hint="eastAsia" w:ascii="宋体" w:hAnsi="宋体" w:eastAsia="宋体" w:cs="宋体"/>
          <w:sz w:val="10"/>
        </w:rPr>
        <w:t>，</w:t>
      </w:r>
      <w:r>
        <w:rPr>
          <w:rFonts w:hint="eastAsia" w:ascii="宋体" w:hAnsi="宋体" w:eastAsia="宋体" w:cs="宋体"/>
          <w:sz w:val="24"/>
        </w:rPr>
        <w:t>具体情况如下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2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60"/>
        <w:jc w:val="both"/>
      </w:pPr>
      <w:r>
        <w:rPr>
          <w:rFonts w:hint="eastAsia" w:ascii="Times New Roman" w:hAnsi="Times New Roman" w:eastAsia="Times New Roman" w:cs="Times New Roman"/>
          <w:sz w:val="21"/>
        </w:rPr>
        <w:t>1-1-88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40"/>
        <w:gridCol w:w="1120"/>
        <w:gridCol w:w="1780"/>
        <w:gridCol w:w="1780"/>
        <w:gridCol w:w="2600"/>
      </w:tblGrid>
      <w:tr>
        <w:trPr>
          <w:trHeight w:val="360" w:hRule="exact"/>
        </w:trPr>
        <w:tc>
          <w:tcPr>
            <w:tcW w:w="1240" w:type="dxa"/>
            <w:tcMar>
              <w:top w:w="0" w:type="dxa"/>
              <w:left w:w="0" w:type="dxa"/>
              <w:bottom w:w="0" w:type="dxa"/>
              <w:right w:w="0" w:type="dxa"/>
            </w:tcMar>
          </w:tcPr>
          <w:p>
            <w:pPr>
              <w:spacing w:before="60"/>
              <w:ind w:left="400"/>
            </w:pPr>
            <w:r>
              <w:rPr>
                <w:rFonts w:hint="eastAsia" w:ascii="宋体" w:hAnsi="宋体" w:eastAsia="宋体" w:cs="宋体"/>
                <w:b/>
                <w:sz w:val="21"/>
              </w:rPr>
              <w:t>年份</w:t>
            </w:r>
          </w:p>
        </w:tc>
        <w:tc>
          <w:tcPr>
            <w:tcW w:w="1120" w:type="dxa"/>
            <w:tcMar>
              <w:top w:w="0" w:type="dxa"/>
              <w:left w:w="0" w:type="dxa"/>
              <w:bottom w:w="0" w:type="dxa"/>
              <w:right w:w="0" w:type="dxa"/>
            </w:tcMar>
          </w:tcPr>
          <w:p>
            <w:pPr>
              <w:spacing w:before="60"/>
              <w:ind w:left="220"/>
            </w:pPr>
            <w:r>
              <w:rPr>
                <w:rFonts w:hint="eastAsia" w:ascii="宋体" w:hAnsi="宋体" w:eastAsia="宋体" w:cs="宋体"/>
                <w:b/>
                <w:sz w:val="21"/>
              </w:rPr>
              <w:t>所在地</w:t>
            </w:r>
          </w:p>
        </w:tc>
        <w:tc>
          <w:tcPr>
            <w:tcW w:w="1780" w:type="dxa"/>
            <w:tcMar>
              <w:top w:w="0" w:type="dxa"/>
              <w:left w:w="0" w:type="dxa"/>
              <w:bottom w:w="0" w:type="dxa"/>
              <w:right w:w="0" w:type="dxa"/>
            </w:tcMar>
          </w:tcPr>
          <w:p>
            <w:pPr>
              <w:spacing w:before="60"/>
              <w:ind w:left="460"/>
            </w:pPr>
            <w:r>
              <w:rPr>
                <w:rFonts w:hint="eastAsia" w:ascii="宋体" w:hAnsi="宋体" w:eastAsia="宋体" w:cs="宋体"/>
                <w:b/>
                <w:sz w:val="21"/>
              </w:rPr>
              <w:t>平均薪酬</w:t>
            </w:r>
          </w:p>
        </w:tc>
        <w:tc>
          <w:tcPr>
            <w:tcW w:w="1780" w:type="dxa"/>
            <w:tcMar>
              <w:top w:w="0" w:type="dxa"/>
              <w:left w:w="0" w:type="dxa"/>
              <w:bottom w:w="0" w:type="dxa"/>
              <w:right w:w="0" w:type="dxa"/>
            </w:tcMar>
          </w:tcPr>
          <w:p>
            <w:pPr>
              <w:spacing w:before="40"/>
              <w:ind w:left="240"/>
            </w:pPr>
            <w:r>
              <w:rPr>
                <w:rFonts w:hint="eastAsia" w:ascii="宋体" w:hAnsi="宋体" w:eastAsia="宋体" w:cs="宋体"/>
                <w:b/>
                <w:sz w:val="21"/>
              </w:rPr>
              <w:t>当地平均工资</w:t>
            </w:r>
          </w:p>
        </w:tc>
        <w:tc>
          <w:tcPr>
            <w:tcW w:w="2600" w:type="dxa"/>
            <w:tcMar>
              <w:top w:w="0" w:type="dxa"/>
              <w:left w:w="0" w:type="dxa"/>
              <w:bottom w:w="0" w:type="dxa"/>
              <w:right w:w="0" w:type="dxa"/>
            </w:tcMar>
          </w:tcPr>
          <w:p>
            <w:pPr>
              <w:spacing w:before="40"/>
              <w:ind w:left="220"/>
            </w:pPr>
            <w:r>
              <w:rPr>
                <w:rFonts w:hint="eastAsia" w:ascii="宋体" w:hAnsi="宋体" w:eastAsia="宋体" w:cs="宋体"/>
                <w:b/>
                <w:sz w:val="21"/>
              </w:rPr>
              <w:t>当地软件行业平均工资</w:t>
            </w:r>
          </w:p>
        </w:tc>
      </w:tr>
      <w:tr>
        <w:trPr>
          <w:trHeight w:val="620" w:hRule="exact"/>
        </w:trPr>
        <w:tc>
          <w:tcPr>
            <w:tcW w:w="1240" w:type="dxa"/>
            <w:vMerge w:val="restart"/>
            <w:tcMar>
              <w:top w:w="0" w:type="dxa"/>
              <w:left w:w="0" w:type="dxa"/>
              <w:bottom w:w="0" w:type="dxa"/>
              <w:right w:w="0" w:type="dxa"/>
            </w:tcMar>
          </w:tcPr>
          <w:p>
            <w:pPr>
              <w:spacing w:before="500"/>
              <w:ind w:left="100"/>
            </w:pPr>
            <w:r>
              <w:rPr>
                <w:rFonts w:hint="eastAsia" w:ascii="Times New Roman" w:hAnsi="Times New Roman" w:eastAsia="Times New Roman" w:cs="Times New Roman"/>
                <w:sz w:val="21"/>
              </w:rPr>
              <w:t>2015</w:t>
            </w:r>
            <w:r>
              <w:rPr>
                <w:rFonts w:hint="eastAsia" w:ascii="宋体" w:hAnsi="宋体" w:eastAsia="宋体" w:cs="宋体"/>
                <w:sz w:val="21"/>
              </w:rPr>
              <w:t xml:space="preserve"> 年度</w:t>
            </w:r>
          </w:p>
        </w:tc>
        <w:tc>
          <w:tcPr>
            <w:tcW w:w="1120" w:type="dxa"/>
            <w:tcMar>
              <w:top w:w="0" w:type="dxa"/>
              <w:left w:w="0" w:type="dxa"/>
              <w:bottom w:w="0" w:type="dxa"/>
              <w:right w:w="0" w:type="dxa"/>
            </w:tcMar>
          </w:tcPr>
          <w:p>
            <w:pPr>
              <w:spacing w:before="180"/>
              <w:ind w:left="340"/>
            </w:pPr>
            <w:r>
              <w:rPr>
                <w:rFonts w:hint="eastAsia" w:ascii="宋体" w:hAnsi="宋体" w:eastAsia="宋体" w:cs="宋体"/>
                <w:sz w:val="21"/>
              </w:rPr>
              <w:t>福州</w:t>
            </w:r>
          </w:p>
        </w:tc>
        <w:tc>
          <w:tcPr>
            <w:tcW w:w="1780" w:type="dxa"/>
            <w:tcMar>
              <w:top w:w="0" w:type="dxa"/>
              <w:left w:w="0" w:type="dxa"/>
              <w:bottom w:w="0" w:type="dxa"/>
              <w:right w:w="0" w:type="dxa"/>
            </w:tcMar>
          </w:tcPr>
          <w:p>
            <w:pPr>
              <w:spacing w:before="240"/>
              <w:ind w:left="700"/>
            </w:pPr>
            <w:r>
              <w:rPr>
                <w:rFonts w:hint="eastAsia" w:ascii="Times New Roman" w:hAnsi="Times New Roman" w:eastAsia="Times New Roman" w:cs="Times New Roman"/>
                <w:sz w:val="21"/>
              </w:rPr>
              <w:t>126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p>
        </w:tc>
        <w:tc>
          <w:tcPr>
            <w:tcW w:w="1780" w:type="dxa"/>
            <w:tcMar>
              <w:top w:w="0" w:type="dxa"/>
              <w:left w:w="0" w:type="dxa"/>
              <w:bottom w:w="0" w:type="dxa"/>
              <w:right w:w="0" w:type="dxa"/>
            </w:tcMar>
          </w:tcPr>
          <w:p>
            <w:pPr>
              <w:spacing w:before="240"/>
              <w:ind w:left="1080"/>
            </w:pP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059</w:t>
            </w:r>
          </w:p>
        </w:tc>
        <w:tc>
          <w:tcPr>
            <w:tcW w:w="2600" w:type="dxa"/>
            <w:tcMar>
              <w:top w:w="0" w:type="dxa"/>
              <w:left w:w="0" w:type="dxa"/>
              <w:bottom w:w="0" w:type="dxa"/>
              <w:right w:w="0" w:type="dxa"/>
            </w:tcMar>
          </w:tcPr>
          <w:p>
            <w:pPr>
              <w:spacing w:before="240"/>
              <w:ind w:left="1900"/>
            </w:pP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472</w:t>
            </w:r>
          </w:p>
        </w:tc>
      </w:tr>
      <w:tr>
        <w:trPr>
          <w:trHeight w:val="640" w:hRule="exact"/>
        </w:trPr>
        <w:tc>
          <w:tcPr>
            <w:tcW w:w="1240" w:type="dxa"/>
            <w:vMerge w:val="continue"/>
            <w:tcMar>
              <w:top w:w="0" w:type="dxa"/>
              <w:left w:w="0" w:type="dxa"/>
              <w:bottom w:w="0" w:type="dxa"/>
              <w:right w:w="0" w:type="dxa"/>
            </w:tcMar>
          </w:tcPr>
          <w:p/>
        </w:tc>
        <w:tc>
          <w:tcPr>
            <w:tcW w:w="1120" w:type="dxa"/>
            <w:tcMar>
              <w:top w:w="0" w:type="dxa"/>
              <w:left w:w="0" w:type="dxa"/>
              <w:bottom w:w="0" w:type="dxa"/>
              <w:right w:w="0" w:type="dxa"/>
            </w:tcMar>
          </w:tcPr>
          <w:p>
            <w:pPr>
              <w:spacing w:before="200"/>
              <w:ind w:left="340"/>
            </w:pPr>
            <w:r>
              <w:rPr>
                <w:rFonts w:hint="eastAsia" w:ascii="宋体" w:hAnsi="宋体" w:eastAsia="宋体" w:cs="宋体"/>
                <w:sz w:val="21"/>
              </w:rPr>
              <w:t>武汉</w:t>
            </w:r>
          </w:p>
        </w:tc>
        <w:tc>
          <w:tcPr>
            <w:tcW w:w="1780" w:type="dxa"/>
            <w:tcMar>
              <w:top w:w="0" w:type="dxa"/>
              <w:left w:w="0" w:type="dxa"/>
              <w:bottom w:w="0" w:type="dxa"/>
              <w:right w:w="0" w:type="dxa"/>
            </w:tcMar>
          </w:tcPr>
          <w:p>
            <w:pPr>
              <w:spacing w:before="240"/>
              <w:ind w:left="820"/>
            </w:pP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c>
          <w:tcPr>
            <w:tcW w:w="1780" w:type="dxa"/>
            <w:tcMar>
              <w:top w:w="0" w:type="dxa"/>
              <w:left w:w="0" w:type="dxa"/>
              <w:bottom w:w="0" w:type="dxa"/>
              <w:right w:w="0" w:type="dxa"/>
            </w:tcMar>
          </w:tcPr>
          <w:p>
            <w:pPr>
              <w:spacing w:before="240"/>
              <w:ind w:left="1080"/>
            </w:pPr>
            <w:r>
              <w:rPr>
                <w:rFonts w:hint="eastAsia" w:ascii="Times New Roman" w:hAnsi="Times New Roman" w:eastAsia="Times New Roman" w:cs="Times New Roman"/>
                <w:sz w:val="21"/>
              </w:rPr>
              <w:t>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407</w:t>
            </w:r>
          </w:p>
        </w:tc>
        <w:tc>
          <w:tcPr>
            <w:tcW w:w="2600" w:type="dxa"/>
            <w:tcMar>
              <w:top w:w="0" w:type="dxa"/>
              <w:left w:w="0" w:type="dxa"/>
              <w:bottom w:w="0" w:type="dxa"/>
              <w:right w:w="0" w:type="dxa"/>
            </w:tcMar>
          </w:tcPr>
          <w:p>
            <w:pPr>
              <w:spacing w:before="380"/>
              <w:ind w:left="2400"/>
            </w:pPr>
            <w:r>
              <w:rPr>
                <w:rFonts w:hint="eastAsia" w:ascii="Times New Roman" w:hAnsi="Times New Roman" w:eastAsia="Times New Roman" w:cs="Times New Roman"/>
                <w:sz w:val="21"/>
              </w:rPr>
              <w:t>-</w:t>
            </w:r>
          </w:p>
        </w:tc>
      </w:tr>
      <w:tr>
        <w:trPr>
          <w:trHeight w:val="640" w:hRule="exact"/>
        </w:trPr>
        <w:tc>
          <w:tcPr>
            <w:tcW w:w="1240" w:type="dxa"/>
            <w:vMerge w:val="restart"/>
            <w:tcMar>
              <w:top w:w="0" w:type="dxa"/>
              <w:left w:w="0" w:type="dxa"/>
              <w:bottom w:w="0" w:type="dxa"/>
              <w:right w:w="0" w:type="dxa"/>
            </w:tcMar>
          </w:tcPr>
          <w:p>
            <w:pPr>
              <w:spacing w:before="520"/>
              <w:ind w:left="100"/>
            </w:pPr>
            <w:r>
              <w:rPr>
                <w:rFonts w:hint="eastAsia" w:ascii="Times New Roman" w:hAnsi="Times New Roman" w:eastAsia="Times New Roman" w:cs="Times New Roman"/>
                <w:sz w:val="21"/>
              </w:rPr>
              <w:t>2014</w:t>
            </w:r>
            <w:r>
              <w:rPr>
                <w:rFonts w:hint="eastAsia" w:ascii="宋体" w:hAnsi="宋体" w:eastAsia="宋体" w:cs="宋体"/>
                <w:sz w:val="21"/>
              </w:rPr>
              <w:t xml:space="preserve"> 年度</w:t>
            </w:r>
          </w:p>
        </w:tc>
        <w:tc>
          <w:tcPr>
            <w:tcW w:w="1120" w:type="dxa"/>
            <w:tcMar>
              <w:top w:w="0" w:type="dxa"/>
              <w:left w:w="0" w:type="dxa"/>
              <w:bottom w:w="0" w:type="dxa"/>
              <w:right w:w="0" w:type="dxa"/>
            </w:tcMar>
          </w:tcPr>
          <w:p>
            <w:pPr>
              <w:spacing w:before="180"/>
              <w:ind w:left="340"/>
            </w:pPr>
            <w:r>
              <w:rPr>
                <w:rFonts w:hint="eastAsia" w:ascii="宋体" w:hAnsi="宋体" w:eastAsia="宋体" w:cs="宋体"/>
                <w:sz w:val="21"/>
              </w:rPr>
              <w:t>福州</w:t>
            </w:r>
          </w:p>
        </w:tc>
        <w:tc>
          <w:tcPr>
            <w:tcW w:w="1780" w:type="dxa"/>
            <w:tcMar>
              <w:top w:w="0" w:type="dxa"/>
              <w:left w:w="0" w:type="dxa"/>
              <w:bottom w:w="0" w:type="dxa"/>
              <w:right w:w="0" w:type="dxa"/>
            </w:tcMar>
          </w:tcPr>
          <w:p>
            <w:pPr>
              <w:spacing w:before="240"/>
              <w:ind w:left="700"/>
            </w:pPr>
            <w:r>
              <w:rPr>
                <w:rFonts w:hint="eastAsia" w:ascii="Times New Roman" w:hAnsi="Times New Roman" w:eastAsia="Times New Roman" w:cs="Times New Roman"/>
                <w:sz w:val="21"/>
              </w:rPr>
              <w:t>106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c>
          <w:tcPr>
            <w:tcW w:w="1780" w:type="dxa"/>
            <w:tcMar>
              <w:top w:w="0" w:type="dxa"/>
              <w:left w:w="0" w:type="dxa"/>
              <w:bottom w:w="0" w:type="dxa"/>
              <w:right w:w="0" w:type="dxa"/>
            </w:tcMar>
          </w:tcPr>
          <w:p>
            <w:pPr>
              <w:spacing w:before="240"/>
              <w:ind w:left="1080"/>
            </w:pP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814</w:t>
            </w:r>
          </w:p>
        </w:tc>
        <w:tc>
          <w:tcPr>
            <w:tcW w:w="2600" w:type="dxa"/>
            <w:tcMar>
              <w:top w:w="0" w:type="dxa"/>
              <w:left w:w="0" w:type="dxa"/>
              <w:bottom w:w="0" w:type="dxa"/>
              <w:right w:w="0" w:type="dxa"/>
            </w:tcMar>
          </w:tcPr>
          <w:p>
            <w:pPr>
              <w:spacing w:before="240"/>
              <w:ind w:left="1900"/>
            </w:pP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141</w:t>
            </w:r>
          </w:p>
        </w:tc>
      </w:tr>
      <w:tr>
        <w:trPr>
          <w:trHeight w:val="620" w:hRule="exact"/>
        </w:trPr>
        <w:tc>
          <w:tcPr>
            <w:tcW w:w="1240" w:type="dxa"/>
            <w:vMerge w:val="continue"/>
            <w:tcMar>
              <w:top w:w="0" w:type="dxa"/>
              <w:left w:w="0" w:type="dxa"/>
              <w:bottom w:w="0" w:type="dxa"/>
              <w:right w:w="0" w:type="dxa"/>
            </w:tcMar>
          </w:tcPr>
          <w:p/>
        </w:tc>
        <w:tc>
          <w:tcPr>
            <w:tcW w:w="1120" w:type="dxa"/>
            <w:tcMar>
              <w:top w:w="0" w:type="dxa"/>
              <w:left w:w="0" w:type="dxa"/>
              <w:bottom w:w="0" w:type="dxa"/>
              <w:right w:w="0" w:type="dxa"/>
            </w:tcMar>
          </w:tcPr>
          <w:p>
            <w:pPr>
              <w:spacing w:before="180"/>
              <w:ind w:left="340"/>
            </w:pPr>
            <w:r>
              <w:rPr>
                <w:rFonts w:hint="eastAsia" w:ascii="宋体" w:hAnsi="宋体" w:eastAsia="宋体" w:cs="宋体"/>
                <w:sz w:val="21"/>
              </w:rPr>
              <w:t>武汉</w:t>
            </w:r>
          </w:p>
        </w:tc>
        <w:tc>
          <w:tcPr>
            <w:tcW w:w="1780" w:type="dxa"/>
            <w:tcMar>
              <w:top w:w="0" w:type="dxa"/>
              <w:left w:w="0" w:type="dxa"/>
              <w:bottom w:w="0" w:type="dxa"/>
              <w:right w:w="0" w:type="dxa"/>
            </w:tcMar>
          </w:tcPr>
          <w:p>
            <w:pPr>
              <w:spacing w:before="240"/>
              <w:ind w:left="82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p>
        </w:tc>
        <w:tc>
          <w:tcPr>
            <w:tcW w:w="1780" w:type="dxa"/>
            <w:tcMar>
              <w:top w:w="0" w:type="dxa"/>
              <w:left w:w="0" w:type="dxa"/>
              <w:bottom w:w="0" w:type="dxa"/>
              <w:right w:w="0" w:type="dxa"/>
            </w:tcMar>
          </w:tcPr>
          <w:p>
            <w:pPr>
              <w:spacing w:before="240"/>
              <w:ind w:left="1080"/>
            </w:pP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143</w:t>
            </w:r>
          </w:p>
        </w:tc>
        <w:tc>
          <w:tcPr>
            <w:tcW w:w="2600" w:type="dxa"/>
            <w:tcMar>
              <w:top w:w="0" w:type="dxa"/>
              <w:left w:w="0" w:type="dxa"/>
              <w:bottom w:w="0" w:type="dxa"/>
              <w:right w:w="0" w:type="dxa"/>
            </w:tcMar>
          </w:tcPr>
          <w:p>
            <w:pPr>
              <w:spacing w:before="360"/>
              <w:ind w:left="2400"/>
            </w:pPr>
            <w:r>
              <w:rPr>
                <w:rFonts w:hint="eastAsia" w:ascii="Times New Roman" w:hAnsi="Times New Roman" w:eastAsia="Times New Roman" w:cs="Times New Roman"/>
                <w:sz w:val="21"/>
              </w:rPr>
              <w:t>-</w:t>
            </w:r>
          </w:p>
        </w:tc>
      </w:tr>
    </w:tbl>
    <w:p>
      <w:pPr>
        <w:autoSpaceDE w:val="false"/>
        <w:autoSpaceDN w:val="false"/>
        <w:spacing w:line="400" w:lineRule="exact"/>
        <w:ind w:left="2220"/>
        <w:jc w:val="both"/>
      </w:pPr>
      <w:r>
        <w:rPr>
          <w:rFonts w:hint="eastAsia" w:ascii="宋体" w:hAnsi="宋体" w:eastAsia="宋体" w:cs="宋体"/>
          <w:sz w:val="21"/>
        </w:rPr>
        <w:t>注</w:t>
      </w:r>
      <w:r>
        <w:rPr>
          <w:rFonts w:hint="eastAsia" w:ascii="宋体" w:hAnsi="宋体" w:eastAsia="宋体" w:cs="宋体"/>
          <w:spacing w:val="-100"/>
          <w:sz w:val="10"/>
        </w:rPr>
        <w:t>：</w:t>
      </w:r>
      <w:r>
        <w:rPr>
          <w:rFonts w:hint="eastAsia" w:ascii="宋体" w:hAnsi="宋体" w:eastAsia="宋体" w:cs="宋体"/>
          <w:sz w:val="10"/>
        </w:rPr>
        <w:t>（</w:t>
      </w:r>
      <w:r>
        <w:rPr>
          <w:rFonts w:hint="eastAsia" w:ascii="Times New Roman" w:hAnsi="Times New Roman" w:eastAsia="Times New Roman" w:cs="Times New Roman"/>
          <w:sz w:val="21"/>
        </w:rPr>
        <w:t>1</w:t>
      </w:r>
      <w:r>
        <w:rPr>
          <w:rFonts w:hint="eastAsia" w:ascii="宋体" w:hAnsi="宋体" w:eastAsia="宋体" w:cs="宋体"/>
          <w:sz w:val="20"/>
        </w:rPr>
        <w:t>）</w:t>
      </w:r>
      <w:r>
        <w:rPr>
          <w:rFonts w:hint="eastAsia" w:ascii="宋体" w:hAnsi="宋体" w:eastAsia="宋体" w:cs="宋体"/>
          <w:sz w:val="21"/>
        </w:rPr>
        <w:t>福州市</w:t>
      </w:r>
      <w:r>
        <w:rPr>
          <w:rFonts w:hint="eastAsia" w:ascii="宋体" w:hAnsi="宋体" w:eastAsia="宋体" w:cs="宋体"/>
          <w:sz w:val="10"/>
        </w:rPr>
        <w:t>“</w:t>
      </w:r>
      <w:r>
        <w:rPr>
          <w:rFonts w:hint="eastAsia" w:ascii="宋体" w:hAnsi="宋体" w:eastAsia="宋体" w:cs="宋体"/>
          <w:sz w:val="21"/>
        </w:rPr>
        <w:t>当地平均工资</w:t>
      </w:r>
      <w:r>
        <w:rPr>
          <w:rFonts w:hint="eastAsia" w:ascii="宋体" w:hAnsi="宋体" w:eastAsia="宋体" w:cs="宋体"/>
          <w:sz w:val="10"/>
        </w:rPr>
        <w:t>”</w:t>
      </w:r>
      <w:r>
        <w:rPr>
          <w:rFonts w:hint="eastAsia" w:ascii="宋体" w:hAnsi="宋体" w:eastAsia="宋体" w:cs="宋体"/>
          <w:sz w:val="21"/>
        </w:rPr>
        <w:t>数据选取</w:t>
      </w:r>
      <w:r>
        <w:rPr>
          <w:rFonts w:hint="eastAsia" w:ascii="宋体" w:hAnsi="宋体" w:eastAsia="宋体" w:cs="宋体"/>
          <w:sz w:val="10"/>
        </w:rPr>
        <w:t>“</w:t>
      </w:r>
      <w:r>
        <w:rPr>
          <w:rFonts w:hint="eastAsia" w:ascii="宋体" w:hAnsi="宋体" w:eastAsia="宋体" w:cs="宋体"/>
          <w:sz w:val="21"/>
        </w:rPr>
        <w:t>城镇非私营单位从业人员人均劳动报酬</w:t>
      </w:r>
      <w:r>
        <w:rPr>
          <w:rFonts w:hint="eastAsia" w:ascii="宋体" w:hAnsi="宋体" w:eastAsia="宋体" w:cs="宋体"/>
          <w:sz w:val="10"/>
        </w:rPr>
        <w:t>”，</w:t>
      </w:r>
    </w:p>
    <w:p>
      <w:pPr>
        <w:autoSpaceDE w:val="false"/>
        <w:autoSpaceDN w:val="false"/>
        <w:spacing w:line="320" w:lineRule="exact"/>
        <w:ind w:left="1800"/>
        <w:jc w:val="both"/>
      </w:pPr>
      <w:r>
        <w:rPr>
          <w:rFonts w:hint="eastAsia" w:ascii="宋体" w:hAnsi="宋体" w:eastAsia="宋体" w:cs="宋体"/>
          <w:sz w:val="10"/>
        </w:rPr>
        <w:t>“</w:t>
      </w:r>
      <w:r>
        <w:rPr>
          <w:rFonts w:hint="eastAsia" w:ascii="宋体" w:hAnsi="宋体" w:eastAsia="宋体" w:cs="宋体"/>
          <w:sz w:val="21"/>
        </w:rPr>
        <w:t>当地软件行业平均工资</w:t>
      </w:r>
      <w:r>
        <w:rPr>
          <w:rFonts w:hint="eastAsia" w:ascii="宋体" w:hAnsi="宋体" w:eastAsia="宋体" w:cs="宋体"/>
          <w:sz w:val="10"/>
        </w:rPr>
        <w:t>”</w:t>
      </w:r>
      <w:r>
        <w:rPr>
          <w:rFonts w:hint="eastAsia" w:ascii="宋体" w:hAnsi="宋体" w:eastAsia="宋体" w:cs="宋体"/>
          <w:sz w:val="21"/>
        </w:rPr>
        <w:t>数据选取</w:t>
      </w:r>
      <w:r>
        <w:rPr>
          <w:rFonts w:hint="eastAsia" w:ascii="宋体" w:hAnsi="宋体" w:eastAsia="宋体" w:cs="宋体"/>
          <w:sz w:val="10"/>
        </w:rPr>
        <w:t>“</w:t>
      </w:r>
      <w:r>
        <w:rPr>
          <w:rFonts w:hint="eastAsia" w:ascii="宋体" w:hAnsi="宋体" w:eastAsia="宋体" w:cs="宋体"/>
          <w:sz w:val="21"/>
        </w:rPr>
        <w:t>城镇非私营单位从业人员人均劳动报酬</w:t>
      </w:r>
      <w:r>
        <w:rPr>
          <w:rFonts w:hint="eastAsia" w:ascii="宋体" w:hAnsi="宋体" w:eastAsia="宋体" w:cs="宋体"/>
          <w:sz w:val="10"/>
        </w:rPr>
        <w:t>”</w:t>
      </w:r>
      <w:r>
        <w:rPr>
          <w:rFonts w:hint="eastAsia" w:ascii="宋体" w:hAnsi="宋体" w:eastAsia="宋体" w:cs="宋体"/>
          <w:sz w:val="21"/>
        </w:rPr>
        <w:t>中</w:t>
      </w:r>
      <w:r>
        <w:rPr>
          <w:rFonts w:hint="eastAsia" w:ascii="宋体" w:hAnsi="宋体" w:eastAsia="宋体" w:cs="宋体"/>
          <w:sz w:val="10"/>
        </w:rPr>
        <w:t>“</w:t>
      </w:r>
      <w:r>
        <w:rPr>
          <w:rFonts w:hint="eastAsia" w:ascii="宋体" w:hAnsi="宋体" w:eastAsia="宋体" w:cs="宋体"/>
          <w:sz w:val="21"/>
        </w:rPr>
        <w:t>信息</w:t>
      </w:r>
    </w:p>
    <w:p>
      <w:pPr>
        <w:autoSpaceDE w:val="false"/>
        <w:autoSpaceDN w:val="false"/>
        <w:spacing w:line="300" w:lineRule="exact"/>
        <w:ind w:left="1800"/>
        <w:jc w:val="both"/>
      </w:pPr>
      <w:r>
        <w:rPr>
          <w:rFonts w:hint="eastAsia" w:ascii="宋体" w:hAnsi="宋体" w:eastAsia="宋体" w:cs="宋体"/>
          <w:sz w:val="21"/>
        </w:rPr>
        <w:t>传输</w:t>
      </w:r>
      <w:r>
        <w:rPr>
          <w:rFonts w:hint="eastAsia" w:ascii="宋体" w:hAnsi="宋体" w:eastAsia="宋体" w:cs="宋体"/>
          <w:sz w:val="10"/>
        </w:rPr>
        <w:t>、</w:t>
      </w:r>
      <w:r>
        <w:rPr>
          <w:rFonts w:hint="eastAsia" w:ascii="宋体" w:hAnsi="宋体" w:eastAsia="宋体" w:cs="宋体"/>
          <w:sz w:val="21"/>
        </w:rPr>
        <w:t>计算机服务和软件业</w:t>
      </w:r>
      <w:r>
        <w:rPr>
          <w:rFonts w:hint="eastAsia" w:ascii="宋体" w:hAnsi="宋体" w:eastAsia="宋体" w:cs="宋体"/>
          <w:sz w:val="10"/>
        </w:rPr>
        <w:t>”</w:t>
      </w:r>
      <w:r>
        <w:rPr>
          <w:rFonts w:hint="eastAsia" w:ascii="宋体" w:hAnsi="宋体" w:eastAsia="宋体" w:cs="宋体"/>
          <w:sz w:val="21"/>
        </w:rPr>
        <w:t>平均工资</w:t>
      </w:r>
      <w:r>
        <w:rPr>
          <w:rFonts w:hint="eastAsia" w:ascii="宋体" w:hAnsi="宋体" w:eastAsia="宋体" w:cs="宋体"/>
          <w:sz w:val="10"/>
        </w:rPr>
        <w:t>，</w:t>
      </w:r>
      <w:r>
        <w:rPr>
          <w:rFonts w:hint="eastAsia" w:ascii="宋体" w:hAnsi="宋体" w:eastAsia="宋体" w:cs="宋体"/>
          <w:sz w:val="21"/>
        </w:rPr>
        <w:t>数据来源于福州市统计局</w:t>
      </w:r>
      <w:r>
        <w:rPr>
          <w:rFonts w:hint="eastAsia" w:ascii="宋体" w:hAnsi="宋体" w:eastAsia="宋体" w:cs="宋体"/>
          <w:sz w:val="12"/>
        </w:rPr>
        <w:t>：《</w:t>
      </w:r>
      <w:r>
        <w:rPr>
          <w:rFonts w:hint="eastAsia" w:ascii="Times New Roman" w:hAnsi="Times New Roman" w:eastAsia="Times New Roman" w:cs="Times New Roman"/>
          <w:sz w:val="21"/>
        </w:rPr>
        <w:t>2016</w:t>
      </w:r>
      <w:r>
        <w:rPr>
          <w:rFonts w:hint="eastAsia" w:ascii="宋体" w:hAnsi="宋体" w:eastAsia="宋体" w:cs="宋体"/>
          <w:sz w:val="21"/>
        </w:rPr>
        <w:t xml:space="preserve"> 福州统计年鉴</w:t>
      </w:r>
      <w:r>
        <w:rPr>
          <w:rFonts w:hint="eastAsia" w:ascii="宋体" w:hAnsi="宋体" w:eastAsia="宋体" w:cs="宋体"/>
          <w:sz w:val="20"/>
        </w:rPr>
        <w:t>》、</w:t>
      </w:r>
    </w:p>
    <w:p>
      <w:pPr>
        <w:autoSpaceDE w:val="false"/>
        <w:autoSpaceDN w:val="false"/>
        <w:spacing w:line="320" w:lineRule="exact"/>
        <w:ind w:left="1800"/>
        <w:jc w:val="both"/>
      </w:pPr>
      <w:r>
        <w:rPr>
          <w:rFonts w:hint="eastAsia" w:ascii="宋体" w:hAnsi="宋体" w:eastAsia="宋体" w:cs="宋体"/>
          <w:sz w:val="10"/>
        </w:rPr>
        <w:t>《</w:t>
      </w:r>
      <w:r>
        <w:rPr>
          <w:rFonts w:hint="eastAsia" w:ascii="Times New Roman" w:hAnsi="Times New Roman" w:eastAsia="Times New Roman" w:cs="Times New Roman"/>
          <w:sz w:val="21"/>
        </w:rPr>
        <w:t>2015</w:t>
      </w:r>
      <w:r>
        <w:rPr>
          <w:rFonts w:hint="eastAsia" w:ascii="宋体" w:hAnsi="宋体" w:eastAsia="宋体" w:cs="宋体"/>
          <w:sz w:val="21"/>
        </w:rPr>
        <w:t xml:space="preserve"> 福州统计年鉴</w:t>
      </w:r>
      <w:r>
        <w:rPr>
          <w:rFonts w:hint="eastAsia" w:ascii="宋体" w:hAnsi="宋体" w:eastAsia="宋体" w:cs="宋体"/>
          <w:sz w:val="20"/>
        </w:rPr>
        <w:t>》</w:t>
      </w:r>
    </w:p>
    <w:p>
      <w:pPr>
        <w:spacing w:line="200" w:lineRule="exact"/>
        <w:rPr>
          <w:rFonts w:hint="eastAsia" w:ascii="宋体" w:hAnsi="宋体" w:eastAsia="宋体" w:cs="宋体"/>
          <w:sz w:val="20"/>
        </w:rPr>
      </w:pPr>
    </w:p>
    <w:p>
      <w:pPr>
        <w:autoSpaceDE w:val="false"/>
        <w:autoSpaceDN w:val="false"/>
        <w:spacing w:line="280" w:lineRule="exact"/>
        <w:ind w:left="1800" w:right="1600" w:firstLine="420"/>
        <w:jc w:val="both"/>
      </w:pPr>
      <w:r>
        <w:rPr>
          <w:rFonts w:hint="eastAsia" w:ascii="宋体" w:hAnsi="宋体" w:eastAsia="宋体" w:cs="宋体"/>
          <w:sz w:val="20"/>
        </w:rPr>
        <w:t>（</w:t>
      </w:r>
      <w:r>
        <w:rPr>
          <w:rFonts w:hint="eastAsia" w:ascii="Times New Roman" w:hAnsi="Times New Roman" w:eastAsia="Times New Roman" w:cs="Times New Roman"/>
          <w:sz w:val="21"/>
        </w:rPr>
        <w:t>2</w:t>
      </w:r>
      <w:r>
        <w:rPr>
          <w:rFonts w:hint="eastAsia" w:ascii="宋体" w:hAnsi="宋体" w:eastAsia="宋体" w:cs="宋体"/>
          <w:sz w:val="20"/>
        </w:rPr>
        <w:t>）</w:t>
      </w:r>
      <w:r>
        <w:rPr>
          <w:rFonts w:hint="eastAsia" w:ascii="宋体" w:hAnsi="宋体" w:eastAsia="宋体" w:cs="宋体"/>
          <w:sz w:val="21"/>
        </w:rPr>
        <w:t>武汉市平均工资数据选取</w:t>
      </w:r>
      <w:r>
        <w:rPr>
          <w:rFonts w:hint="eastAsia" w:ascii="宋体" w:hAnsi="宋体" w:eastAsia="宋体" w:cs="宋体"/>
          <w:sz w:val="10"/>
        </w:rPr>
        <w:t>“</w:t>
      </w:r>
      <w:r>
        <w:rPr>
          <w:rFonts w:hint="eastAsia" w:ascii="宋体" w:hAnsi="宋体" w:eastAsia="宋体" w:cs="宋体"/>
          <w:sz w:val="21"/>
        </w:rPr>
        <w:t>城镇非私营单位从业人员平均工资</w:t>
      </w:r>
      <w:r>
        <w:rPr>
          <w:rFonts w:hint="eastAsia" w:ascii="宋体" w:hAnsi="宋体" w:eastAsia="宋体" w:cs="宋体"/>
          <w:sz w:val="10"/>
        </w:rPr>
        <w:t>”，</w:t>
      </w:r>
      <w:r>
        <w:rPr>
          <w:rFonts w:hint="eastAsia" w:ascii="宋体" w:hAnsi="宋体" w:eastAsia="宋体" w:cs="宋体"/>
          <w:sz w:val="21"/>
        </w:rPr>
        <w:t>数据来源于武汉市统计局</w:t>
      </w:r>
      <w:r>
        <w:rPr>
          <w:rFonts w:hint="eastAsia" w:ascii="宋体" w:hAnsi="宋体" w:eastAsia="宋体" w:cs="宋体"/>
          <w:sz w:val="10"/>
        </w:rPr>
        <w:t>：《</w:t>
      </w:r>
      <w:r>
        <w:rPr>
          <w:rFonts w:hint="eastAsia" w:ascii="宋体" w:hAnsi="宋体" w:eastAsia="宋体" w:cs="宋体"/>
          <w:sz w:val="21"/>
        </w:rPr>
        <w:t>关于</w:t>
      </w:r>
      <w:r>
        <w:rPr>
          <w:rFonts w:hint="eastAsia" w:ascii="Times New Roman" w:hAnsi="Times New Roman" w:eastAsia="Times New Roman" w:cs="Times New Roman"/>
          <w:sz w:val="21"/>
        </w:rPr>
        <w:t xml:space="preserve"> 2015</w:t>
      </w:r>
      <w:r>
        <w:rPr>
          <w:rFonts w:hint="eastAsia" w:ascii="宋体" w:hAnsi="宋体" w:eastAsia="宋体" w:cs="宋体"/>
          <w:sz w:val="21"/>
        </w:rPr>
        <w:t xml:space="preserve"> 年劳动工资统计数据的公告</w:t>
      </w:r>
      <w:r>
        <w:rPr>
          <w:rFonts w:hint="eastAsia" w:ascii="宋体" w:hAnsi="宋体" w:eastAsia="宋体" w:cs="宋体"/>
          <w:sz w:val="20"/>
        </w:rPr>
        <w:t>》、《</w:t>
      </w:r>
      <w:r>
        <w:rPr>
          <w:rFonts w:hint="eastAsia" w:ascii="宋体" w:hAnsi="宋体" w:eastAsia="宋体" w:cs="宋体"/>
          <w:sz w:val="21"/>
        </w:rPr>
        <w:t>关于</w:t>
      </w:r>
      <w:r>
        <w:rPr>
          <w:rFonts w:hint="eastAsia" w:ascii="Times New Roman" w:hAnsi="Times New Roman" w:eastAsia="Times New Roman" w:cs="Times New Roman"/>
          <w:sz w:val="21"/>
        </w:rPr>
        <w:t xml:space="preserve"> 2014</w:t>
      </w:r>
      <w:r>
        <w:rPr>
          <w:rFonts w:hint="eastAsia" w:ascii="宋体" w:hAnsi="宋体" w:eastAsia="宋体" w:cs="宋体"/>
          <w:sz w:val="21"/>
        </w:rPr>
        <w:t xml:space="preserve"> 年城镇非私营单位工资统计数据的公告</w:t>
      </w:r>
      <w:r>
        <w:rPr>
          <w:rFonts w:hint="eastAsia" w:ascii="宋体" w:hAnsi="宋体" w:eastAsia="宋体" w:cs="宋体"/>
          <w:sz w:val="20"/>
        </w:rPr>
        <w:t>》</w:t>
      </w: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发行人根据员工所从事的岗位并综合考虑所在地的消费水平</w:t>
      </w:r>
      <w:r>
        <w:rPr>
          <w:rFonts w:hint="eastAsia" w:ascii="宋体" w:hAnsi="宋体" w:eastAsia="宋体" w:cs="宋体"/>
          <w:sz w:val="10"/>
        </w:rPr>
        <w:t>，</w:t>
      </w:r>
      <w:r>
        <w:rPr>
          <w:rFonts w:hint="eastAsia" w:ascii="宋体" w:hAnsi="宋体" w:eastAsia="宋体" w:cs="宋体"/>
          <w:sz w:val="24"/>
        </w:rPr>
        <w:t>向员工提供具有竞争力的薪酬</w:t>
      </w:r>
      <w:r>
        <w:rPr>
          <w:rFonts w:hint="eastAsia" w:ascii="宋体" w:hAnsi="宋体" w:eastAsia="宋体" w:cs="宋体"/>
          <w:sz w:val="10"/>
        </w:rPr>
        <w:t>，</w:t>
      </w:r>
      <w:r>
        <w:rPr>
          <w:rFonts w:hint="eastAsia" w:ascii="宋体" w:hAnsi="宋体" w:eastAsia="宋体" w:cs="宋体"/>
          <w:sz w:val="24"/>
        </w:rPr>
        <w:t>员工平均工资水平均高于当地平均工资和当地软件行业平均工资</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公司未来薪酬制度及水平变化趋势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根据公司未来的发展计划</w:t>
      </w:r>
      <w:r>
        <w:rPr>
          <w:rFonts w:hint="eastAsia" w:ascii="宋体" w:hAnsi="宋体" w:eastAsia="宋体" w:cs="宋体"/>
          <w:sz w:val="10"/>
        </w:rPr>
        <w:t>，</w:t>
      </w:r>
      <w:r>
        <w:rPr>
          <w:rFonts w:hint="eastAsia" w:ascii="宋体" w:hAnsi="宋体" w:eastAsia="宋体" w:cs="宋体"/>
          <w:sz w:val="24"/>
        </w:rPr>
        <w:t>公司将人力资源计划视作公司战略规划的重要组成部分</w:t>
      </w:r>
      <w:r>
        <w:rPr>
          <w:rFonts w:hint="eastAsia" w:ascii="宋体" w:hAnsi="宋体" w:eastAsia="宋体" w:cs="宋体"/>
          <w:sz w:val="10"/>
        </w:rPr>
        <w:t>，</w:t>
      </w:r>
      <w:r>
        <w:rPr>
          <w:rFonts w:hint="eastAsia" w:ascii="宋体" w:hAnsi="宋体" w:eastAsia="宋体" w:cs="宋体"/>
          <w:sz w:val="24"/>
        </w:rPr>
        <w:t>致力于帮助员工进行职业规划</w:t>
      </w:r>
      <w:r>
        <w:rPr>
          <w:rFonts w:hint="eastAsia" w:ascii="宋体" w:hAnsi="宋体" w:eastAsia="宋体" w:cs="宋体"/>
          <w:sz w:val="10"/>
        </w:rPr>
        <w:t>，</w:t>
      </w:r>
      <w:r>
        <w:rPr>
          <w:rFonts w:hint="eastAsia" w:ascii="宋体" w:hAnsi="宋体" w:eastAsia="宋体" w:cs="宋体"/>
          <w:sz w:val="24"/>
        </w:rPr>
        <w:t>为员工提供多层次的职业培训</w:t>
      </w:r>
      <w:r>
        <w:rPr>
          <w:rFonts w:hint="eastAsia" w:ascii="宋体" w:hAnsi="宋体" w:eastAsia="宋体" w:cs="宋体"/>
          <w:sz w:val="10"/>
        </w:rPr>
        <w:t>，</w:t>
      </w:r>
      <w:r>
        <w:rPr>
          <w:rFonts w:hint="eastAsia" w:ascii="宋体" w:hAnsi="宋体" w:eastAsia="宋体" w:cs="宋体"/>
          <w:sz w:val="24"/>
        </w:rPr>
        <w:t>搭建卓越的成长平台</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公司还将依据战略需要和员工的绩效表现对员工进行激励</w:t>
      </w:r>
      <w:r>
        <w:rPr>
          <w:rFonts w:hint="eastAsia" w:ascii="宋体" w:hAnsi="宋体" w:eastAsia="宋体" w:cs="宋体"/>
          <w:sz w:val="10"/>
        </w:rPr>
        <w:t>，</w:t>
      </w:r>
      <w:r>
        <w:rPr>
          <w:rFonts w:hint="eastAsia" w:ascii="宋体" w:hAnsi="宋体" w:eastAsia="宋体" w:cs="宋体"/>
          <w:sz w:val="24"/>
        </w:rPr>
        <w:t>通过制定科学的薪酬福利和长期激励措施来建立一个</w:t>
      </w:r>
      <w:r>
        <w:rPr>
          <w:rFonts w:hint="eastAsia" w:ascii="宋体" w:hAnsi="宋体" w:eastAsia="宋体" w:cs="宋体"/>
          <w:sz w:val="10"/>
        </w:rPr>
        <w:t>“</w:t>
      </w:r>
      <w:r>
        <w:rPr>
          <w:rFonts w:hint="eastAsia" w:ascii="宋体" w:hAnsi="宋体" w:eastAsia="宋体" w:cs="宋体"/>
          <w:sz w:val="24"/>
        </w:rPr>
        <w:t>对内具有公平性</w:t>
      </w:r>
      <w:r>
        <w:rPr>
          <w:rFonts w:hint="eastAsia" w:ascii="宋体" w:hAnsi="宋体" w:eastAsia="宋体" w:cs="宋体"/>
          <w:sz w:val="10"/>
        </w:rPr>
        <w:t>、</w:t>
      </w:r>
      <w:r>
        <w:rPr>
          <w:rFonts w:hint="eastAsia" w:ascii="宋体" w:hAnsi="宋体" w:eastAsia="宋体" w:cs="宋体"/>
          <w:sz w:val="24"/>
        </w:rPr>
        <w:t>导向性</w:t>
      </w:r>
      <w:r>
        <w:rPr>
          <w:rFonts w:hint="eastAsia" w:ascii="宋体" w:hAnsi="宋体" w:eastAsia="宋体" w:cs="宋体"/>
          <w:sz w:val="10"/>
        </w:rPr>
        <w:t>、</w:t>
      </w:r>
      <w:r>
        <w:rPr>
          <w:rFonts w:hint="eastAsia" w:ascii="宋体" w:hAnsi="宋体" w:eastAsia="宋体" w:cs="宋体"/>
          <w:sz w:val="24"/>
        </w:rPr>
        <w:t>激励性</w:t>
      </w:r>
      <w:r>
        <w:rPr>
          <w:rFonts w:hint="eastAsia" w:ascii="宋体" w:hAnsi="宋体" w:eastAsia="宋体" w:cs="宋体"/>
          <w:sz w:val="10"/>
        </w:rPr>
        <w:t>，</w:t>
      </w:r>
      <w:r>
        <w:rPr>
          <w:rFonts w:hint="eastAsia" w:ascii="宋体" w:hAnsi="宋体" w:eastAsia="宋体" w:cs="宋体"/>
          <w:sz w:val="24"/>
        </w:rPr>
        <w:t>对外具有竞争性</w:t>
      </w:r>
      <w:r>
        <w:rPr>
          <w:rFonts w:hint="eastAsia" w:ascii="宋体" w:hAnsi="宋体" w:eastAsia="宋体" w:cs="宋体"/>
          <w:sz w:val="10"/>
        </w:rPr>
        <w:t>”</w:t>
      </w:r>
      <w:r>
        <w:rPr>
          <w:rFonts w:hint="eastAsia" w:ascii="宋体" w:hAnsi="宋体" w:eastAsia="宋体" w:cs="宋体"/>
          <w:sz w:val="24"/>
        </w:rPr>
        <w:t>的薪酬体系</w:t>
      </w:r>
      <w:r>
        <w:rPr>
          <w:rFonts w:hint="eastAsia" w:ascii="宋体" w:hAnsi="宋体" w:eastAsia="宋体" w:cs="宋体"/>
          <w:sz w:val="10"/>
        </w:rPr>
        <w:t>，</w:t>
      </w:r>
      <w:r>
        <w:rPr>
          <w:rFonts w:hint="eastAsia" w:ascii="宋体" w:hAnsi="宋体" w:eastAsia="宋体" w:cs="宋体"/>
          <w:sz w:val="24"/>
        </w:rPr>
        <w:t>激发员工充分发挥潜能</w:t>
      </w:r>
      <w:r>
        <w:rPr>
          <w:rFonts w:hint="eastAsia" w:ascii="宋体" w:hAnsi="宋体" w:eastAsia="宋体" w:cs="宋体"/>
          <w:sz w:val="10"/>
        </w:rPr>
        <w:t>，</w:t>
      </w:r>
      <w:r>
        <w:rPr>
          <w:rFonts w:hint="eastAsia" w:ascii="宋体" w:hAnsi="宋体" w:eastAsia="宋体" w:cs="宋体"/>
          <w:sz w:val="24"/>
        </w:rPr>
        <w:t>在为公司创造价值的基础上实现自己的价值</w:t>
      </w:r>
      <w:r>
        <w:rPr>
          <w:rFonts w:hint="eastAsia" w:ascii="宋体" w:hAnsi="宋体" w:eastAsia="宋体" w:cs="宋体"/>
          <w:sz w:val="10"/>
        </w:rPr>
        <w:t>。</w:t>
      </w:r>
      <w:r>
        <w:rPr>
          <w:rFonts w:hint="eastAsia" w:ascii="宋体" w:hAnsi="宋体" w:eastAsia="宋体" w:cs="宋体"/>
          <w:sz w:val="24"/>
        </w:rPr>
        <w:t>随着劳动力短缺</w:t>
      </w:r>
      <w:r>
        <w:rPr>
          <w:rFonts w:hint="eastAsia" w:ascii="宋体" w:hAnsi="宋体" w:eastAsia="宋体" w:cs="宋体"/>
          <w:sz w:val="10"/>
        </w:rPr>
        <w:t>、</w:t>
      </w:r>
      <w:r>
        <w:rPr>
          <w:rFonts w:hint="eastAsia" w:ascii="宋体" w:hAnsi="宋体" w:eastAsia="宋体" w:cs="宋体"/>
          <w:sz w:val="24"/>
        </w:rPr>
        <w:t>社会人工成本的上升</w:t>
      </w:r>
      <w:r>
        <w:rPr>
          <w:rFonts w:hint="eastAsia" w:ascii="宋体" w:hAnsi="宋体" w:eastAsia="宋体" w:cs="宋体"/>
          <w:sz w:val="10"/>
        </w:rPr>
        <w:t>，</w:t>
      </w:r>
      <w:r>
        <w:rPr>
          <w:rFonts w:hint="eastAsia" w:ascii="宋体" w:hAnsi="宋体" w:eastAsia="宋体" w:cs="宋体"/>
          <w:sz w:val="24"/>
        </w:rPr>
        <w:t>以及公司经营效益的提升</w:t>
      </w:r>
      <w:r>
        <w:rPr>
          <w:rFonts w:hint="eastAsia" w:ascii="宋体" w:hAnsi="宋体" w:eastAsia="宋体" w:cs="宋体"/>
          <w:sz w:val="10"/>
        </w:rPr>
        <w:t>，</w:t>
      </w:r>
      <w:r>
        <w:rPr>
          <w:rFonts w:hint="eastAsia" w:ascii="宋体" w:hAnsi="宋体" w:eastAsia="宋体" w:cs="宋体"/>
          <w:sz w:val="24"/>
        </w:rPr>
        <w:t>发行人也将酌情提高平均薪酬水平</w:t>
      </w:r>
      <w:r>
        <w:rPr>
          <w:rFonts w:hint="eastAsia" w:ascii="宋体" w:hAnsi="宋体" w:eastAsia="宋体" w:cs="宋体"/>
          <w:sz w:val="10"/>
        </w:rPr>
        <w:t>，</w:t>
      </w:r>
      <w:r>
        <w:rPr>
          <w:rFonts w:hint="eastAsia" w:ascii="宋体" w:hAnsi="宋体" w:eastAsia="宋体" w:cs="宋体"/>
          <w:sz w:val="24"/>
        </w:rPr>
        <w:t>确保公司薪酬水平具有市场竞争力</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20" w:lineRule="exact"/>
        <w:ind w:left="1800" w:right="1660"/>
        <w:jc w:val="both"/>
      </w:pPr>
      <w:r>
        <w:rPr>
          <w:rFonts w:hint="eastAsia" w:ascii="ºÚÌå" w:hAnsi="ºÚÌå" w:eastAsia="ºÚÌå" w:cs="ºÚÌå"/>
          <w:sz w:val="30"/>
        </w:rPr>
        <w:t>十二、</w:t>
      </w:r>
      <w:r>
        <w:rPr>
          <w:rFonts w:hint="eastAsia" w:ascii="ºÚÌå" w:hAnsi="ºÚÌå" w:eastAsia="ºÚÌå" w:cs="ºÚÌå"/>
          <w:sz w:val="30"/>
        </w:rPr>
        <w:t>发行人</w:t>
      </w:r>
      <w:r>
        <w:rPr>
          <w:rFonts w:hint="eastAsia" w:ascii="ºÚÌå" w:hAnsi="ºÚÌå" w:eastAsia="ºÚÌå" w:cs="ºÚÌå"/>
          <w:sz w:val="10"/>
        </w:rPr>
        <w:t>、</w:t>
      </w:r>
      <w:r>
        <w:rPr>
          <w:rFonts w:hint="eastAsia" w:ascii="ºÚÌå" w:hAnsi="ºÚÌå" w:eastAsia="ºÚÌå" w:cs="ºÚÌå"/>
          <w:sz w:val="30"/>
        </w:rPr>
        <w:t>发行人的股东</w:t>
      </w:r>
      <w:r>
        <w:rPr>
          <w:rFonts w:hint="eastAsia" w:ascii="ºÚÌå" w:hAnsi="ºÚÌå" w:eastAsia="ºÚÌå" w:cs="ºÚÌå"/>
          <w:sz w:val="10"/>
        </w:rPr>
        <w:t>、</w:t>
      </w:r>
      <w:r>
        <w:rPr>
          <w:rFonts w:hint="eastAsia" w:ascii="ºÚÌå" w:hAnsi="ºÚÌå" w:eastAsia="ºÚÌå" w:cs="ºÚÌå"/>
          <w:sz w:val="30"/>
        </w:rPr>
        <w:t>实际控制人以及发行人之董事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高级管理人员及其他核心技术人员以及证券服务机构作出的承诺及履行情况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1-1-89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发行人全体股东的股份锁定承诺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40" w:firstLine="480"/>
        <w:jc w:val="both"/>
      </w:pPr>
      <w:r>
        <w:rPr>
          <w:rFonts w:hint="eastAsia" w:ascii="宋体" w:hAnsi="宋体" w:eastAsia="宋体" w:cs="宋体"/>
          <w:sz w:val="24"/>
        </w:rPr>
        <w:t>本公司股东所持股份的流通限制和自愿锁定股份的承诺请参见本招股说明书</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“一、</w:t>
      </w:r>
      <w:r>
        <w:rPr>
          <w:rFonts w:hint="eastAsia" w:ascii="宋体" w:hAnsi="宋体" w:eastAsia="宋体" w:cs="宋体"/>
          <w:sz w:val="24"/>
        </w:rPr>
        <w:t>股东关于股份锁定的承诺</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发行人关于回购股票的承诺</w:t>
      </w:r>
    </w:p>
    <w:p>
      <w:pPr>
        <w:spacing w:line="200" w:lineRule="exact"/>
        <w:rPr>
          <w:rFonts w:hint="eastAsia" w:ascii="宋体" w:hAnsi="宋体" w:eastAsia="宋体" w:cs="宋体"/>
          <w:sz w:val="20"/>
        </w:rPr>
      </w:pPr>
    </w:p>
    <w:p>
      <w:pPr>
        <w:autoSpaceDE w:val="false"/>
        <w:autoSpaceDN w:val="false"/>
        <w:spacing w:line="440" w:lineRule="exact"/>
        <w:ind w:left="1800" w:right="1640" w:firstLine="480"/>
        <w:jc w:val="both"/>
      </w:pPr>
      <w:r>
        <w:rPr>
          <w:rFonts w:hint="eastAsia" w:ascii="宋体" w:hAnsi="宋体" w:eastAsia="宋体" w:cs="宋体"/>
          <w:sz w:val="24"/>
        </w:rPr>
        <w:t>本公司关于招股说明书所载内容真实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完整的承诺请参见本招股说明书</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四</w:t>
      </w:r>
      <w:r>
        <w:rPr>
          <w:rFonts w:hint="eastAsia" w:ascii="宋体" w:hAnsi="宋体" w:eastAsia="宋体" w:cs="宋体"/>
          <w:sz w:val="10"/>
        </w:rPr>
        <w:t>、</w:t>
      </w:r>
      <w:r>
        <w:rPr>
          <w:rFonts w:hint="eastAsia" w:ascii="宋体" w:hAnsi="宋体" w:eastAsia="宋体" w:cs="宋体"/>
          <w:sz w:val="24"/>
        </w:rPr>
        <w:t>有关招股说明书所载内容真实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完整的承诺</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控股股东关于回购股票的承诺</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本公司控股股东关于招股说明书所载内容真实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完整的承诺请参见本招股说明书</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四</w:t>
      </w:r>
      <w:r>
        <w:rPr>
          <w:rFonts w:hint="eastAsia" w:ascii="宋体" w:hAnsi="宋体" w:eastAsia="宋体" w:cs="宋体"/>
          <w:sz w:val="10"/>
        </w:rPr>
        <w:t>、</w:t>
      </w:r>
      <w:r>
        <w:rPr>
          <w:rFonts w:hint="eastAsia" w:ascii="宋体" w:hAnsi="宋体" w:eastAsia="宋体" w:cs="宋体"/>
          <w:sz w:val="24"/>
        </w:rPr>
        <w:t>有关招股说明书所载内容真实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完整的承诺</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发行人</w:t>
      </w:r>
      <w:r>
        <w:rPr>
          <w:rFonts w:hint="eastAsia" w:ascii="宋体" w:hAnsi="宋体" w:eastAsia="宋体" w:cs="宋体"/>
          <w:b/>
          <w:sz w:val="10"/>
        </w:rPr>
        <w:t>、</w:t>
      </w:r>
      <w:r>
        <w:rPr>
          <w:rFonts w:hint="eastAsia" w:ascii="宋体" w:hAnsi="宋体" w:eastAsia="宋体" w:cs="宋体"/>
          <w:b/>
          <w:sz w:val="24"/>
        </w:rPr>
        <w:t>发行人之控股股东及实际控制人</w:t>
      </w:r>
      <w:r>
        <w:rPr>
          <w:rFonts w:hint="eastAsia" w:ascii="宋体" w:hAnsi="宋体" w:eastAsia="宋体" w:cs="宋体"/>
          <w:b/>
          <w:sz w:val="10"/>
        </w:rPr>
        <w:t>、</w:t>
      </w:r>
      <w:r>
        <w:rPr>
          <w:rFonts w:hint="eastAsia" w:ascii="宋体" w:hAnsi="宋体" w:eastAsia="宋体" w:cs="宋体"/>
          <w:b/>
          <w:sz w:val="24"/>
        </w:rPr>
        <w:t>董事</w:t>
      </w:r>
      <w:r>
        <w:rPr>
          <w:rFonts w:hint="eastAsia" w:ascii="宋体" w:hAnsi="宋体" w:eastAsia="宋体" w:cs="宋体"/>
          <w:b/>
          <w:sz w:val="10"/>
        </w:rPr>
        <w:t>、</w:t>
      </w:r>
      <w:r>
        <w:rPr>
          <w:rFonts w:hint="eastAsia" w:ascii="宋体" w:hAnsi="宋体" w:eastAsia="宋体" w:cs="宋体"/>
          <w:b/>
          <w:sz w:val="24"/>
        </w:rPr>
        <w:t>监事</w:t>
      </w:r>
      <w:r>
        <w:rPr>
          <w:rFonts w:hint="eastAsia" w:ascii="宋体" w:hAnsi="宋体" w:eastAsia="宋体" w:cs="宋体"/>
          <w:b/>
          <w:sz w:val="10"/>
        </w:rPr>
        <w:t>、</w:t>
      </w:r>
      <w:r>
        <w:rPr>
          <w:rFonts w:hint="eastAsia" w:ascii="宋体" w:hAnsi="宋体" w:eastAsia="宋体" w:cs="宋体"/>
          <w:b/>
          <w:sz w:val="24"/>
        </w:rPr>
        <w:t>高级管理人员关于招股说明书存在虚假记载</w:t>
      </w:r>
      <w:r>
        <w:rPr>
          <w:rFonts w:hint="eastAsia" w:ascii="宋体" w:hAnsi="宋体" w:eastAsia="宋体" w:cs="宋体"/>
          <w:b/>
          <w:sz w:val="10"/>
        </w:rPr>
        <w:t>、</w:t>
      </w:r>
      <w:r>
        <w:rPr>
          <w:rFonts w:hint="eastAsia" w:ascii="宋体" w:hAnsi="宋体" w:eastAsia="宋体" w:cs="宋体"/>
          <w:b/>
          <w:sz w:val="24"/>
        </w:rPr>
        <w:t>误导性陈述和重大遗漏情况下赔偿投资者损失的承诺</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本公司</w:t>
      </w:r>
      <w:r>
        <w:rPr>
          <w:rFonts w:hint="eastAsia" w:ascii="宋体" w:hAnsi="宋体" w:eastAsia="宋体" w:cs="宋体"/>
          <w:sz w:val="10"/>
        </w:rPr>
        <w:t>、</w:t>
      </w:r>
      <w:r>
        <w:rPr>
          <w:rFonts w:hint="eastAsia" w:ascii="宋体" w:hAnsi="宋体" w:eastAsia="宋体" w:cs="宋体"/>
          <w:sz w:val="24"/>
        </w:rPr>
        <w:t>控股股东及实际控制人</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高级管理人员关于招股说明书存在虚假记载</w:t>
      </w:r>
      <w:r>
        <w:rPr>
          <w:rFonts w:hint="eastAsia" w:ascii="宋体" w:hAnsi="宋体" w:eastAsia="宋体" w:cs="宋体"/>
          <w:sz w:val="10"/>
        </w:rPr>
        <w:t>、</w:t>
      </w:r>
      <w:r>
        <w:rPr>
          <w:rFonts w:hint="eastAsia" w:ascii="宋体" w:hAnsi="宋体" w:eastAsia="宋体" w:cs="宋体"/>
          <w:sz w:val="24"/>
        </w:rPr>
        <w:t>误导性陈述和重大遗漏情况下赔偿投资者损失的承诺请参见本招股说明书</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四</w:t>
      </w:r>
      <w:r>
        <w:rPr>
          <w:rFonts w:hint="eastAsia" w:ascii="宋体" w:hAnsi="宋体" w:eastAsia="宋体" w:cs="宋体"/>
          <w:sz w:val="10"/>
        </w:rPr>
        <w:t>、</w:t>
      </w:r>
      <w:r>
        <w:rPr>
          <w:rFonts w:hint="eastAsia" w:ascii="宋体" w:hAnsi="宋体" w:eastAsia="宋体" w:cs="宋体"/>
          <w:sz w:val="24"/>
        </w:rPr>
        <w:t>有关招股说明书所载内容真实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完整的承诺</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证券服务机构关于出具文件存在虚假记载</w:t>
      </w:r>
      <w:r>
        <w:rPr>
          <w:rFonts w:hint="eastAsia" w:ascii="宋体" w:hAnsi="宋体" w:eastAsia="宋体" w:cs="宋体"/>
          <w:b/>
          <w:sz w:val="10"/>
        </w:rPr>
        <w:t>、</w:t>
      </w:r>
      <w:r>
        <w:rPr>
          <w:rFonts w:hint="eastAsia" w:ascii="宋体" w:hAnsi="宋体" w:eastAsia="宋体" w:cs="宋体"/>
          <w:b/>
          <w:sz w:val="24"/>
        </w:rPr>
        <w:t>误导性陈述或者重大遗漏下赔偿投资者损失的承诺</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证券服务机构关于出具文件存在虚假记载</w:t>
      </w:r>
      <w:r>
        <w:rPr>
          <w:rFonts w:hint="eastAsia" w:ascii="宋体" w:hAnsi="宋体" w:eastAsia="宋体" w:cs="宋体"/>
          <w:sz w:val="10"/>
        </w:rPr>
        <w:t>、</w:t>
      </w:r>
      <w:r>
        <w:rPr>
          <w:rFonts w:hint="eastAsia" w:ascii="宋体" w:hAnsi="宋体" w:eastAsia="宋体" w:cs="宋体"/>
          <w:sz w:val="24"/>
        </w:rPr>
        <w:t>误导性陈述或者重大遗漏下赔偿投资者损失的承诺请参见本招股说明书</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四</w:t>
      </w:r>
      <w:r>
        <w:rPr>
          <w:rFonts w:hint="eastAsia" w:ascii="宋体" w:hAnsi="宋体" w:eastAsia="宋体" w:cs="宋体"/>
          <w:sz w:val="10"/>
        </w:rPr>
        <w:t>、</w:t>
      </w:r>
      <w:r>
        <w:rPr>
          <w:rFonts w:hint="eastAsia" w:ascii="宋体" w:hAnsi="宋体" w:eastAsia="宋体" w:cs="宋体"/>
          <w:sz w:val="24"/>
        </w:rPr>
        <w:t>有关招股说明书所载内容真实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完整的承诺</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6</w:t>
      </w:r>
      <w:r>
        <w:rPr>
          <w:rFonts w:hint="eastAsia" w:ascii="宋体" w:hAnsi="宋体" w:eastAsia="宋体" w:cs="宋体"/>
          <w:b/>
          <w:sz w:val="10"/>
        </w:rPr>
        <w:t>、</w:t>
      </w:r>
      <w:r>
        <w:rPr>
          <w:rFonts w:hint="eastAsia" w:ascii="宋体" w:hAnsi="宋体" w:eastAsia="宋体" w:cs="宋体"/>
          <w:b/>
          <w:sz w:val="24"/>
        </w:rPr>
        <w:t>发行人发行前持有</w:t>
      </w:r>
      <w:r>
        <w:rPr>
          <w:rFonts w:hint="eastAsia" w:ascii="Times New Roman Bold" w:hAnsi="Times New Roman Bold" w:eastAsia="Times New Roman Bold" w:cs="Times New Roman Bold"/>
          <w:b/>
          <w:sz w:val="24"/>
        </w:rPr>
        <w:t xml:space="preserve"> 5%</w:t>
      </w:r>
      <w:r>
        <w:rPr>
          <w:rFonts w:hint="eastAsia" w:ascii="宋体" w:hAnsi="宋体" w:eastAsia="宋体" w:cs="宋体"/>
          <w:b/>
          <w:sz w:val="24"/>
        </w:rPr>
        <w:t>以上股份的股东之持股及减持意向</w:t>
      </w:r>
    </w:p>
    <w:p>
      <w:pPr>
        <w:spacing w:line="200" w:lineRule="exact"/>
        <w:rPr>
          <w:rFonts w:hint="eastAsia" w:ascii="宋体" w:hAnsi="宋体" w:eastAsia="宋体" w:cs="宋体"/>
          <w:sz w:val="20"/>
        </w:rPr>
      </w:pPr>
    </w:p>
    <w:p>
      <w:pPr>
        <w:autoSpaceDE w:val="false"/>
        <w:autoSpaceDN w:val="false"/>
        <w:spacing w:line="400" w:lineRule="exact"/>
        <w:ind w:left="1800" w:right="1640" w:firstLine="480"/>
        <w:jc w:val="both"/>
      </w:pPr>
      <w:r>
        <w:rPr>
          <w:rFonts w:hint="eastAsia" w:ascii="宋体" w:hAnsi="宋体" w:eastAsia="宋体" w:cs="宋体"/>
          <w:sz w:val="24"/>
        </w:rPr>
        <w:t>发行人发行前持有</w:t>
      </w:r>
      <w:r>
        <w:rPr>
          <w:rFonts w:hint="eastAsia" w:ascii="Times New Roman" w:hAnsi="Times New Roman" w:eastAsia="Times New Roman" w:cs="Times New Roman"/>
          <w:sz w:val="24"/>
        </w:rPr>
        <w:t xml:space="preserve"> 5%</w:t>
      </w:r>
      <w:r>
        <w:rPr>
          <w:rFonts w:hint="eastAsia" w:ascii="宋体" w:hAnsi="宋体" w:eastAsia="宋体" w:cs="宋体"/>
          <w:sz w:val="24"/>
        </w:rPr>
        <w:t>以上股份的股东之持股及减持意向请参见本招股说明书</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三</w:t>
      </w:r>
      <w:r>
        <w:rPr>
          <w:rFonts w:hint="eastAsia" w:ascii="宋体" w:hAnsi="宋体" w:eastAsia="宋体" w:cs="宋体"/>
          <w:sz w:val="10"/>
        </w:rPr>
        <w:t>、</w:t>
      </w:r>
      <w:r>
        <w:rPr>
          <w:rFonts w:hint="eastAsia" w:ascii="宋体" w:hAnsi="宋体" w:eastAsia="宋体" w:cs="宋体"/>
          <w:sz w:val="24"/>
        </w:rPr>
        <w:t>股东持股及减持意向</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60"/>
        <w:jc w:val="both"/>
      </w:pPr>
      <w:r>
        <w:rPr>
          <w:rFonts w:hint="eastAsia" w:ascii="Times New Roman" w:hAnsi="Times New Roman" w:eastAsia="Times New Roman" w:cs="Times New Roman"/>
          <w:sz w:val="21"/>
        </w:rPr>
        <w:t>1-1-90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Times New Roman Bold" w:hAnsi="Times New Roman Bold" w:eastAsia="Times New Roman Bold" w:cs="Times New Roman Bold"/>
          <w:b/>
          <w:sz w:val="24"/>
        </w:rPr>
        <w:t>7</w:t>
      </w:r>
      <w:r>
        <w:rPr>
          <w:rFonts w:hint="eastAsia" w:ascii="宋体" w:hAnsi="宋体" w:eastAsia="宋体" w:cs="宋体"/>
          <w:b/>
          <w:sz w:val="10"/>
        </w:rPr>
        <w:t>、</w:t>
      </w:r>
      <w:r>
        <w:rPr>
          <w:rFonts w:hint="eastAsia" w:ascii="宋体" w:hAnsi="宋体" w:eastAsia="宋体" w:cs="宋体"/>
          <w:b/>
          <w:sz w:val="24"/>
        </w:rPr>
        <w:t>发行人控股股东</w:t>
      </w:r>
      <w:r>
        <w:rPr>
          <w:rFonts w:hint="eastAsia" w:ascii="宋体" w:hAnsi="宋体" w:eastAsia="宋体" w:cs="宋体"/>
          <w:b/>
          <w:sz w:val="10"/>
        </w:rPr>
        <w:t>、</w:t>
      </w:r>
      <w:r>
        <w:rPr>
          <w:rFonts w:hint="eastAsia" w:ascii="宋体" w:hAnsi="宋体" w:eastAsia="宋体" w:cs="宋体"/>
          <w:b/>
          <w:sz w:val="24"/>
        </w:rPr>
        <w:t>实际控制人出具的其他承诺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本公司控股股东</w:t>
      </w:r>
      <w:r>
        <w:rPr>
          <w:rFonts w:hint="eastAsia" w:ascii="宋体" w:hAnsi="宋体" w:eastAsia="宋体" w:cs="宋体"/>
          <w:sz w:val="10"/>
        </w:rPr>
        <w:t>、</w:t>
      </w:r>
      <w:r>
        <w:rPr>
          <w:rFonts w:hint="eastAsia" w:ascii="宋体" w:hAnsi="宋体" w:eastAsia="宋体" w:cs="宋体"/>
          <w:sz w:val="24"/>
        </w:rPr>
        <w:t>实际控制人严孟宇出具了《避免同业竞争的承诺函》、《</w:t>
      </w:r>
      <w:r>
        <w:rPr>
          <w:rFonts w:hint="eastAsia" w:ascii="宋体" w:hAnsi="宋体" w:eastAsia="宋体" w:cs="宋体"/>
          <w:sz w:val="24"/>
        </w:rPr>
        <w:t>关于减少和避免关联交易的声明与承诺函》、《</w:t>
      </w:r>
      <w:r>
        <w:rPr>
          <w:rFonts w:hint="eastAsia" w:ascii="宋体" w:hAnsi="宋体" w:eastAsia="宋体" w:cs="宋体"/>
          <w:sz w:val="24"/>
        </w:rPr>
        <w:t>避免资金占用承诺函》以及关于无偿代公司承担应补缴的社会保险金</w:t>
      </w:r>
      <w:r>
        <w:rPr>
          <w:rFonts w:hint="eastAsia" w:ascii="宋体" w:hAnsi="宋体" w:eastAsia="宋体" w:cs="宋体"/>
          <w:sz w:val="10"/>
        </w:rPr>
        <w:t>、</w:t>
      </w:r>
      <w:r>
        <w:rPr>
          <w:rFonts w:hint="eastAsia" w:ascii="宋体" w:hAnsi="宋体" w:eastAsia="宋体" w:cs="宋体"/>
          <w:sz w:val="24"/>
        </w:rPr>
        <w:t>住房公积金以及任何罚款或损失的相关承诺</w:t>
      </w:r>
      <w:r>
        <w:rPr>
          <w:rFonts w:hint="eastAsia" w:ascii="宋体" w:hAnsi="宋体" w:eastAsia="宋体" w:cs="宋体"/>
          <w:sz w:val="10"/>
        </w:rPr>
        <w:t>，</w:t>
      </w:r>
      <w:r>
        <w:rPr>
          <w:rFonts w:hint="eastAsia" w:ascii="宋体" w:hAnsi="宋体" w:eastAsia="宋体" w:cs="宋体"/>
          <w:sz w:val="24"/>
        </w:rPr>
        <w:t>详细情况参见本招股说明书本节和</w:t>
      </w:r>
      <w:r>
        <w:rPr>
          <w:rFonts w:hint="eastAsia" w:ascii="宋体" w:hAnsi="宋体" w:eastAsia="宋体" w:cs="宋体"/>
          <w:sz w:val="10"/>
        </w:rPr>
        <w:t>“</w:t>
      </w:r>
      <w:r>
        <w:rPr>
          <w:rFonts w:hint="eastAsia" w:ascii="宋体" w:hAnsi="宋体" w:eastAsia="宋体" w:cs="宋体"/>
          <w:sz w:val="24"/>
        </w:rPr>
        <w:t>第七节</w:t>
      </w:r>
      <w:r>
        <w:rPr>
          <w:rFonts w:hint="eastAsia" w:ascii="Times New Roman" w:hAnsi="Times New Roman" w:eastAsia="Times New Roman" w:cs="Times New Roman"/>
          <w:sz w:val="24"/>
        </w:rPr>
        <w:t xml:space="preserve"> </w:t>
      </w:r>
      <w:r>
        <w:rPr>
          <w:rFonts w:hint="eastAsia" w:ascii="宋体" w:hAnsi="宋体" w:eastAsia="宋体" w:cs="宋体"/>
          <w:sz w:val="24"/>
        </w:rPr>
        <w:t>同业竞争与关联交易</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本公司控股股东</w:t>
      </w:r>
      <w:r>
        <w:rPr>
          <w:rFonts w:hint="eastAsia" w:ascii="宋体" w:hAnsi="宋体" w:eastAsia="宋体" w:cs="宋体"/>
          <w:sz w:val="10"/>
        </w:rPr>
        <w:t>、</w:t>
      </w:r>
      <w:r>
        <w:rPr>
          <w:rFonts w:hint="eastAsia" w:ascii="宋体" w:hAnsi="宋体" w:eastAsia="宋体" w:cs="宋体"/>
          <w:sz w:val="24"/>
        </w:rPr>
        <w:t>实际控制人严孟宇关于发行人</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年以未分配利润和盈余公积转增股本</w:t>
      </w:r>
      <w:r>
        <w:rPr>
          <w:rFonts w:hint="eastAsia" w:ascii="宋体" w:hAnsi="宋体" w:eastAsia="宋体" w:cs="宋体"/>
          <w:sz w:val="10"/>
        </w:rPr>
        <w:t>，</w:t>
      </w:r>
      <w:r>
        <w:rPr>
          <w:rFonts w:hint="eastAsia" w:ascii="宋体" w:hAnsi="宋体" w:eastAsia="宋体" w:cs="宋体"/>
          <w:sz w:val="24"/>
        </w:rPr>
        <w:t>以及整体变更过程中涉及的相关自然人股东未缴纳个人所得税的相关承诺参见本招股说明书本节之</w:t>
      </w:r>
      <w:r>
        <w:rPr>
          <w:rFonts w:hint="eastAsia" w:ascii="宋体" w:hAnsi="宋体" w:eastAsia="宋体" w:cs="宋体"/>
          <w:sz w:val="10"/>
        </w:rPr>
        <w:t>“</w:t>
      </w:r>
      <w:r>
        <w:rPr>
          <w:rFonts w:hint="eastAsia" w:ascii="宋体" w:hAnsi="宋体" w:eastAsia="宋体" w:cs="宋体"/>
          <w:sz w:val="24"/>
        </w:rPr>
        <w:t>三</w:t>
      </w:r>
      <w:r>
        <w:rPr>
          <w:rFonts w:hint="eastAsia" w:ascii="宋体" w:hAnsi="宋体" w:eastAsia="宋体" w:cs="宋体"/>
          <w:sz w:val="10"/>
        </w:rPr>
        <w:t>、</w:t>
      </w:r>
      <w:r>
        <w:rPr>
          <w:rFonts w:hint="eastAsia" w:ascii="宋体" w:hAnsi="宋体" w:eastAsia="宋体" w:cs="宋体"/>
          <w:sz w:val="24"/>
        </w:rPr>
        <w:t>发行人股本形成及其变化和重大资产重组情况</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“（一）</w:t>
      </w:r>
      <w:r>
        <w:rPr>
          <w:rFonts w:hint="eastAsia" w:ascii="宋体" w:hAnsi="宋体" w:eastAsia="宋体" w:cs="宋体"/>
          <w:sz w:val="24"/>
        </w:rPr>
        <w:t>发行人的股本形成及其变化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Bold" w:hAnsi="Times New Roman Bold" w:eastAsia="Times New Roman Bold" w:cs="Times New Roman Bold"/>
          <w:b/>
          <w:sz w:val="24"/>
        </w:rPr>
        <w:t>8</w:t>
      </w:r>
      <w:r>
        <w:rPr>
          <w:rFonts w:hint="eastAsia" w:ascii="宋体" w:hAnsi="宋体" w:eastAsia="宋体" w:cs="宋体"/>
          <w:b/>
          <w:sz w:val="10"/>
        </w:rPr>
        <w:t>、</w:t>
      </w:r>
      <w:r>
        <w:rPr>
          <w:rFonts w:hint="eastAsia" w:ascii="宋体" w:hAnsi="宋体" w:eastAsia="宋体" w:cs="宋体"/>
          <w:b/>
          <w:sz w:val="24"/>
        </w:rPr>
        <w:t>发行人及其控股股东</w:t>
      </w:r>
      <w:r>
        <w:rPr>
          <w:rFonts w:hint="eastAsia" w:ascii="宋体" w:hAnsi="宋体" w:eastAsia="宋体" w:cs="宋体"/>
          <w:b/>
          <w:sz w:val="10"/>
        </w:rPr>
        <w:t>、</w:t>
      </w:r>
      <w:r>
        <w:rPr>
          <w:rFonts w:hint="eastAsia" w:ascii="宋体" w:hAnsi="宋体" w:eastAsia="宋体" w:cs="宋体"/>
          <w:b/>
          <w:sz w:val="24"/>
        </w:rPr>
        <w:t>董事</w:t>
      </w:r>
      <w:r>
        <w:rPr>
          <w:rFonts w:hint="eastAsia" w:ascii="宋体" w:hAnsi="宋体" w:eastAsia="宋体" w:cs="宋体"/>
          <w:b/>
          <w:sz w:val="10"/>
        </w:rPr>
        <w:t>、</w:t>
      </w:r>
      <w:r>
        <w:rPr>
          <w:rFonts w:hint="eastAsia" w:ascii="宋体" w:hAnsi="宋体" w:eastAsia="宋体" w:cs="宋体"/>
          <w:b/>
          <w:sz w:val="24"/>
        </w:rPr>
        <w:t>高级管理人员关于未能履行承诺情况下的约束措施之承诺函</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发行人及其控股股东</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高级管理人员关于未能履行承诺情况下的约束措施之承诺请参见本招股说明书</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五</w:t>
      </w:r>
      <w:r>
        <w:rPr>
          <w:rFonts w:hint="eastAsia" w:ascii="宋体" w:hAnsi="宋体" w:eastAsia="宋体" w:cs="宋体"/>
          <w:sz w:val="10"/>
        </w:rPr>
        <w:t>、</w:t>
      </w:r>
      <w:r>
        <w:rPr>
          <w:rFonts w:hint="eastAsia" w:ascii="宋体" w:hAnsi="宋体" w:eastAsia="宋体" w:cs="宋体"/>
          <w:sz w:val="24"/>
        </w:rPr>
        <w:t>承诺主体未能履行承诺的约束措施</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9</w:t>
      </w:r>
      <w:r>
        <w:rPr>
          <w:rFonts w:hint="eastAsia" w:ascii="宋体" w:hAnsi="宋体" w:eastAsia="宋体" w:cs="宋体"/>
          <w:b/>
          <w:sz w:val="10"/>
        </w:rPr>
        <w:t>、</w:t>
      </w:r>
      <w:r>
        <w:rPr>
          <w:rFonts w:hint="eastAsia" w:ascii="宋体" w:hAnsi="宋体" w:eastAsia="宋体" w:cs="宋体"/>
          <w:b/>
          <w:sz w:val="24"/>
        </w:rPr>
        <w:t>填补被摊薄即期回报的承诺</w:t>
      </w:r>
    </w:p>
    <w:p>
      <w:pPr>
        <w:spacing w:line="200" w:lineRule="exact"/>
        <w:rPr>
          <w:rFonts w:hint="eastAsia" w:ascii="宋体" w:hAnsi="宋体" w:eastAsia="宋体" w:cs="宋体"/>
          <w:sz w:val="20"/>
        </w:rPr>
      </w:pPr>
    </w:p>
    <w:p>
      <w:pPr>
        <w:autoSpaceDE w:val="false"/>
        <w:autoSpaceDN w:val="false"/>
        <w:spacing w:line="440" w:lineRule="exact"/>
        <w:ind w:left="1800" w:right="1660" w:firstLine="480"/>
        <w:jc w:val="both"/>
      </w:pPr>
      <w:r>
        <w:rPr>
          <w:rFonts w:hint="eastAsia" w:ascii="宋体" w:hAnsi="宋体" w:eastAsia="宋体" w:cs="宋体"/>
          <w:sz w:val="24"/>
        </w:rPr>
        <w:t>填补被摊薄即期回报的承诺请参见本招股说明书</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八</w:t>
      </w:r>
      <w:r>
        <w:rPr>
          <w:rFonts w:hint="eastAsia" w:ascii="宋体" w:hAnsi="宋体" w:eastAsia="宋体" w:cs="宋体"/>
          <w:sz w:val="10"/>
        </w:rPr>
        <w:t>、</w:t>
      </w:r>
      <w:r>
        <w:rPr>
          <w:rFonts w:hint="eastAsia" w:ascii="宋体" w:hAnsi="宋体" w:eastAsia="宋体" w:cs="宋体"/>
          <w:sz w:val="24"/>
        </w:rPr>
        <w:t>填补被摊薄即期回报的措施及承诺</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10</w:t>
      </w:r>
      <w:r>
        <w:rPr>
          <w:rFonts w:hint="eastAsia" w:ascii="宋体" w:hAnsi="宋体" w:eastAsia="宋体" w:cs="宋体"/>
          <w:b/>
          <w:sz w:val="10"/>
        </w:rPr>
        <w:t>、</w:t>
      </w:r>
      <w:r>
        <w:rPr>
          <w:rFonts w:hint="eastAsia" w:ascii="宋体" w:hAnsi="宋体" w:eastAsia="宋体" w:cs="宋体"/>
          <w:b/>
          <w:sz w:val="24"/>
        </w:rPr>
        <w:t>利润分配的承诺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发行人利润分配的相关政策及承诺请见</w:t>
      </w:r>
      <w:r>
        <w:rPr>
          <w:rFonts w:hint="eastAsia" w:ascii="宋体" w:hAnsi="宋体" w:eastAsia="宋体" w:cs="宋体"/>
          <w:sz w:val="10"/>
        </w:rPr>
        <w:t>“</w:t>
      </w:r>
      <w:r>
        <w:rPr>
          <w:rFonts w:hint="eastAsia" w:ascii="宋体" w:hAnsi="宋体" w:eastAsia="宋体" w:cs="宋体"/>
          <w:sz w:val="24"/>
        </w:rPr>
        <w:t>重大事项提示</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七</w:t>
      </w:r>
      <w:r>
        <w:rPr>
          <w:rFonts w:hint="eastAsia" w:ascii="宋体" w:hAnsi="宋体" w:eastAsia="宋体" w:cs="宋体"/>
          <w:sz w:val="10"/>
        </w:rPr>
        <w:t>、</w:t>
      </w:r>
      <w:r>
        <w:rPr>
          <w:rFonts w:hint="eastAsia" w:ascii="宋体" w:hAnsi="宋体" w:eastAsia="宋体" w:cs="宋体"/>
          <w:sz w:val="24"/>
        </w:rPr>
        <w:t>有关利润分配的安排</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“（一）</w:t>
      </w:r>
      <w:r>
        <w:rPr>
          <w:rFonts w:hint="eastAsia" w:ascii="宋体" w:hAnsi="宋体" w:eastAsia="宋体" w:cs="宋体"/>
          <w:sz w:val="24"/>
        </w:rPr>
        <w:t>发行人上市后的股利分配政策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11</w:t>
      </w:r>
      <w:r>
        <w:rPr>
          <w:rFonts w:hint="eastAsia" w:ascii="宋体" w:hAnsi="宋体" w:eastAsia="宋体" w:cs="宋体"/>
          <w:b/>
          <w:sz w:val="10"/>
        </w:rPr>
        <w:t>、</w:t>
      </w:r>
      <w:r>
        <w:rPr>
          <w:rFonts w:hint="eastAsia" w:ascii="宋体" w:hAnsi="宋体" w:eastAsia="宋体" w:cs="宋体"/>
          <w:b/>
          <w:sz w:val="24"/>
        </w:rPr>
        <w:t>相关股东就</w:t>
      </w:r>
      <w:r>
        <w:rPr>
          <w:rFonts w:hint="eastAsia" w:ascii="Times New Roman Bold" w:hAnsi="Times New Roman Bold" w:eastAsia="Times New Roman Bold" w:cs="Times New Roman Bold"/>
          <w:b/>
          <w:sz w:val="24"/>
        </w:rPr>
        <w:t xml:space="preserve"> 2000</w:t>
      </w:r>
      <w:r>
        <w:rPr>
          <w:rFonts w:hint="eastAsia" w:ascii="宋体" w:hAnsi="宋体" w:eastAsia="宋体" w:cs="宋体"/>
          <w:b/>
          <w:sz w:val="24"/>
        </w:rPr>
        <w:t xml:space="preserve"> 年</w:t>
      </w:r>
      <w:r>
        <w:rPr>
          <w:rFonts w:hint="eastAsia" w:ascii="Times New Roman Bold" w:hAnsi="Times New Roman Bold" w:eastAsia="Times New Roman Bold" w:cs="Times New Roman Bold"/>
          <w:b/>
          <w:sz w:val="24"/>
        </w:rPr>
        <w:t xml:space="preserve"> 7</w:t>
      </w:r>
      <w:r>
        <w:rPr>
          <w:rFonts w:hint="eastAsia" w:ascii="宋体" w:hAnsi="宋体" w:eastAsia="宋体" w:cs="宋体"/>
          <w:b/>
          <w:sz w:val="24"/>
        </w:rPr>
        <w:t xml:space="preserve"> 月出资瑕疵的承诺</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）严孟宇等</w:t>
      </w:r>
      <w:r>
        <w:rPr>
          <w:rFonts w:hint="eastAsia" w:ascii="Times New Roman" w:hAnsi="Times New Roman" w:eastAsia="Times New Roman" w:cs="Times New Roman"/>
          <w:sz w:val="24"/>
        </w:rPr>
        <w:t xml:space="preserve"> 21</w:t>
      </w:r>
      <w:r>
        <w:rPr>
          <w:rFonts w:hint="eastAsia" w:ascii="宋体" w:hAnsi="宋体" w:eastAsia="宋体" w:cs="宋体"/>
          <w:sz w:val="24"/>
        </w:rPr>
        <w:t xml:space="preserve"> 名全体股东出具承诺函</w:t>
      </w:r>
      <w:r>
        <w:rPr>
          <w:rFonts w:hint="eastAsia" w:ascii="宋体" w:hAnsi="宋体" w:eastAsia="宋体" w:cs="宋体"/>
          <w:sz w:val="10"/>
        </w:rPr>
        <w:t>，</w:t>
      </w:r>
      <w:r>
        <w:rPr>
          <w:rFonts w:hint="eastAsia" w:ascii="宋体" w:hAnsi="宋体" w:eastAsia="宋体" w:cs="宋体"/>
          <w:sz w:val="24"/>
        </w:rPr>
        <w:t>承诺</w:t>
      </w:r>
      <w:r>
        <w:rPr>
          <w:rFonts w:hint="eastAsia" w:ascii="宋体" w:hAnsi="宋体" w:eastAsia="宋体" w:cs="宋体"/>
          <w:sz w:val="12"/>
        </w:rPr>
        <w:t>：“</w:t>
      </w:r>
      <w:r>
        <w:rPr>
          <w:rFonts w:hint="eastAsia" w:ascii="宋体" w:hAnsi="宋体" w:eastAsia="宋体" w:cs="宋体"/>
          <w:sz w:val="24"/>
        </w:rPr>
        <w:t>由于严孟宇</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赵莹</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张玉</w:t>
      </w:r>
      <w:r>
        <w:rPr>
          <w:rFonts w:hint="eastAsia" w:ascii="宋体" w:hAnsi="宋体" w:eastAsia="宋体" w:cs="宋体"/>
          <w:sz w:val="10"/>
        </w:rPr>
        <w:t>、</w:t>
      </w:r>
      <w:r>
        <w:rPr>
          <w:rFonts w:hint="eastAsia" w:ascii="宋体" w:hAnsi="宋体" w:eastAsia="宋体" w:cs="宋体"/>
          <w:sz w:val="24"/>
        </w:rPr>
        <w:t>刘法先</w:t>
      </w:r>
      <w:r>
        <w:rPr>
          <w:rFonts w:hint="eastAsia" w:ascii="宋体" w:hAnsi="宋体" w:eastAsia="宋体" w:cs="宋体"/>
          <w:sz w:val="10"/>
        </w:rPr>
        <w:t>、</w:t>
      </w:r>
      <w:r>
        <w:rPr>
          <w:rFonts w:hint="eastAsia" w:ascii="宋体" w:hAnsi="宋体" w:eastAsia="宋体" w:cs="宋体"/>
          <w:sz w:val="24"/>
        </w:rPr>
        <w:t>林秀红</w:t>
      </w:r>
      <w:r>
        <w:rPr>
          <w:rFonts w:hint="eastAsia" w:ascii="宋体" w:hAnsi="宋体" w:eastAsia="宋体" w:cs="宋体"/>
          <w:sz w:val="10"/>
        </w:rPr>
        <w:t>、</w:t>
      </w:r>
      <w:r>
        <w:rPr>
          <w:rFonts w:hint="eastAsia" w:ascii="宋体" w:hAnsi="宋体" w:eastAsia="宋体" w:cs="宋体"/>
          <w:sz w:val="24"/>
        </w:rPr>
        <w:t>徐传秋</w:t>
      </w:r>
      <w:r>
        <w:rPr>
          <w:rFonts w:hint="eastAsia" w:ascii="宋体" w:hAnsi="宋体" w:eastAsia="宋体" w:cs="宋体"/>
          <w:sz w:val="10"/>
        </w:rPr>
        <w:t>、</w:t>
      </w:r>
      <w:r>
        <w:rPr>
          <w:rFonts w:hint="eastAsia" w:ascii="宋体" w:hAnsi="宋体" w:eastAsia="宋体" w:cs="宋体"/>
          <w:sz w:val="24"/>
        </w:rPr>
        <w:t>陈建国</w:t>
      </w:r>
      <w:r>
        <w:rPr>
          <w:rFonts w:hint="eastAsia" w:ascii="宋体" w:hAnsi="宋体" w:eastAsia="宋体" w:cs="宋体"/>
          <w:sz w:val="10"/>
        </w:rPr>
        <w:t>、</w:t>
      </w:r>
      <w:r>
        <w:rPr>
          <w:rFonts w:hint="eastAsia" w:ascii="宋体" w:hAnsi="宋体" w:eastAsia="宋体" w:cs="宋体"/>
          <w:sz w:val="24"/>
        </w:rPr>
        <w:t>陈建十一人</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月的不规范增资行为而导致本人（公司）的任何经济利益的流出或损失</w:t>
      </w:r>
      <w:r>
        <w:rPr>
          <w:rFonts w:hint="eastAsia" w:ascii="宋体" w:hAnsi="宋体" w:eastAsia="宋体" w:cs="宋体"/>
          <w:sz w:val="10"/>
        </w:rPr>
        <w:t>，</w:t>
      </w:r>
      <w:r>
        <w:rPr>
          <w:rFonts w:hint="eastAsia" w:ascii="宋体" w:hAnsi="宋体" w:eastAsia="宋体" w:cs="宋体"/>
          <w:sz w:val="24"/>
        </w:rPr>
        <w:t>包括但不限于本人（公司）所承担的补足出资款</w:t>
      </w:r>
      <w:r>
        <w:rPr>
          <w:rFonts w:hint="eastAsia" w:ascii="宋体" w:hAnsi="宋体" w:eastAsia="宋体" w:cs="宋体"/>
          <w:sz w:val="10"/>
        </w:rPr>
        <w:t>，</w:t>
      </w:r>
      <w:r>
        <w:rPr>
          <w:rFonts w:hint="eastAsia" w:ascii="宋体" w:hAnsi="宋体" w:eastAsia="宋体" w:cs="宋体"/>
          <w:sz w:val="24"/>
        </w:rPr>
        <w:t>本人（公司）将放弃向上</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60"/>
        <w:jc w:val="both"/>
      </w:pPr>
      <w:r>
        <w:rPr>
          <w:rFonts w:hint="eastAsia" w:ascii="Times New Roman" w:hAnsi="Times New Roman" w:eastAsia="Times New Roman" w:cs="Times New Roman"/>
          <w:sz w:val="21"/>
        </w:rPr>
        <w:t>1-1-91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jc w:val="both"/>
      </w:pPr>
      <w:r>
        <w:rPr>
          <w:rFonts w:hint="eastAsia" w:ascii="宋体" w:hAnsi="宋体" w:eastAsia="宋体" w:cs="宋体"/>
          <w:sz w:val="24"/>
        </w:rPr>
        <w:t>述十一人追偿的权利</w:t>
      </w:r>
      <w:r>
        <w:rPr>
          <w:rFonts w:hint="eastAsia" w:ascii="宋体" w:hAnsi="宋体" w:eastAsia="宋体" w:cs="宋体"/>
          <w:sz w:val="10"/>
        </w:rPr>
        <w:t>，</w:t>
      </w:r>
      <w:r>
        <w:rPr>
          <w:rFonts w:hint="eastAsia" w:ascii="宋体" w:hAnsi="宋体" w:eastAsia="宋体" w:cs="宋体"/>
          <w:sz w:val="24"/>
        </w:rPr>
        <w:t>并不再追究由上述十一人</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月不规范增资所可能导致的任何其他民事责任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）严孟宇</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赵莹</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张玉</w:t>
      </w:r>
      <w:r>
        <w:rPr>
          <w:rFonts w:hint="eastAsia" w:ascii="宋体" w:hAnsi="宋体" w:eastAsia="宋体" w:cs="宋体"/>
          <w:sz w:val="10"/>
        </w:rPr>
        <w:t>、</w:t>
      </w:r>
      <w:r>
        <w:rPr>
          <w:rFonts w:hint="eastAsia" w:ascii="宋体" w:hAnsi="宋体" w:eastAsia="宋体" w:cs="宋体"/>
          <w:sz w:val="24"/>
        </w:rPr>
        <w:t>刘法先</w:t>
      </w:r>
      <w:r>
        <w:rPr>
          <w:rFonts w:hint="eastAsia" w:ascii="宋体" w:hAnsi="宋体" w:eastAsia="宋体" w:cs="宋体"/>
          <w:sz w:val="10"/>
        </w:rPr>
        <w:t>、</w:t>
      </w:r>
      <w:r>
        <w:rPr>
          <w:rFonts w:hint="eastAsia" w:ascii="宋体" w:hAnsi="宋体" w:eastAsia="宋体" w:cs="宋体"/>
          <w:sz w:val="24"/>
        </w:rPr>
        <w:t>林秀红</w:t>
      </w:r>
      <w:r>
        <w:rPr>
          <w:rFonts w:hint="eastAsia" w:ascii="宋体" w:hAnsi="宋体" w:eastAsia="宋体" w:cs="宋体"/>
          <w:sz w:val="10"/>
        </w:rPr>
        <w:t>、</w:t>
      </w:r>
      <w:r>
        <w:rPr>
          <w:rFonts w:hint="eastAsia" w:ascii="宋体" w:hAnsi="宋体" w:eastAsia="宋体" w:cs="宋体"/>
          <w:sz w:val="24"/>
        </w:rPr>
        <w:t>徐传秋和陈建国十人出具承诺函</w:t>
      </w:r>
      <w:r>
        <w:rPr>
          <w:rFonts w:hint="eastAsia" w:ascii="宋体" w:hAnsi="宋体" w:eastAsia="宋体" w:cs="宋体"/>
          <w:sz w:val="10"/>
        </w:rPr>
        <w:t>，</w:t>
      </w:r>
      <w:r>
        <w:rPr>
          <w:rFonts w:hint="eastAsia" w:ascii="宋体" w:hAnsi="宋体" w:eastAsia="宋体" w:cs="宋体"/>
          <w:sz w:val="24"/>
        </w:rPr>
        <w:t>承诺</w:t>
      </w:r>
      <w:r>
        <w:rPr>
          <w:rFonts w:hint="eastAsia" w:ascii="宋体" w:hAnsi="宋体" w:eastAsia="宋体" w:cs="宋体"/>
          <w:sz w:val="12"/>
        </w:rPr>
        <w:t>：“</w:t>
      </w:r>
      <w:r>
        <w:rPr>
          <w:rFonts w:hint="eastAsia" w:ascii="宋体" w:hAnsi="宋体" w:eastAsia="宋体" w:cs="宋体"/>
          <w:sz w:val="24"/>
        </w:rPr>
        <w:t>如因</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月的增资事宜给福建顶点软件股份有限公司造成任何经济利益损失</w:t>
      </w:r>
      <w:r>
        <w:rPr>
          <w:rFonts w:hint="eastAsia" w:ascii="宋体" w:hAnsi="宋体" w:eastAsia="宋体" w:cs="宋体"/>
          <w:sz w:val="10"/>
        </w:rPr>
        <w:t>，</w:t>
      </w:r>
      <w:r>
        <w:rPr>
          <w:rFonts w:hint="eastAsia" w:ascii="宋体" w:hAnsi="宋体" w:eastAsia="宋体" w:cs="宋体"/>
          <w:sz w:val="24"/>
        </w:rPr>
        <w:t>包括但不限于由此产生的罚金</w:t>
      </w:r>
      <w:r>
        <w:rPr>
          <w:rFonts w:hint="eastAsia" w:ascii="宋体" w:hAnsi="宋体" w:eastAsia="宋体" w:cs="宋体"/>
          <w:sz w:val="10"/>
        </w:rPr>
        <w:t>、</w:t>
      </w:r>
      <w:r>
        <w:rPr>
          <w:rFonts w:hint="eastAsia" w:ascii="宋体" w:hAnsi="宋体" w:eastAsia="宋体" w:cs="宋体"/>
          <w:sz w:val="24"/>
        </w:rPr>
        <w:t>赔偿等</w:t>
      </w:r>
      <w:r>
        <w:rPr>
          <w:rFonts w:hint="eastAsia" w:ascii="宋体" w:hAnsi="宋体" w:eastAsia="宋体" w:cs="宋体"/>
          <w:sz w:val="10"/>
        </w:rPr>
        <w:t>，</w:t>
      </w:r>
      <w:r>
        <w:rPr>
          <w:rFonts w:hint="eastAsia" w:ascii="宋体" w:hAnsi="宋体" w:eastAsia="宋体" w:cs="宋体"/>
          <w:sz w:val="24"/>
        </w:rPr>
        <w:t>将由我等十名自然人全额承担</w:t>
      </w:r>
      <w:r>
        <w:rPr>
          <w:rFonts w:hint="eastAsia" w:ascii="宋体" w:hAnsi="宋体" w:eastAsia="宋体" w:cs="宋体"/>
          <w:sz w:val="10"/>
        </w:rPr>
        <w:t>，</w:t>
      </w:r>
      <w:r>
        <w:rPr>
          <w:rFonts w:hint="eastAsia" w:ascii="宋体" w:hAnsi="宋体" w:eastAsia="宋体" w:cs="宋体"/>
          <w:sz w:val="24"/>
        </w:rPr>
        <w:t>各自承担的金额按增资时的持股比例计算</w:t>
      </w:r>
      <w:r>
        <w:rPr>
          <w:rFonts w:hint="eastAsia" w:ascii="宋体" w:hAnsi="宋体" w:eastAsia="宋体" w:cs="宋体"/>
          <w:sz w:val="10"/>
        </w:rPr>
        <w:t>，</w:t>
      </w:r>
      <w:r>
        <w:rPr>
          <w:rFonts w:hint="eastAsia" w:ascii="宋体" w:hAnsi="宋体" w:eastAsia="宋体" w:cs="宋体"/>
          <w:sz w:val="24"/>
        </w:rPr>
        <w:t>陈建应承担的部分由严孟宇先生承担</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承诺人彼此之间承担连带责任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520" w:lineRule="exact"/>
        <w:ind w:left="2280" w:right="1600"/>
        <w:jc w:val="both"/>
      </w:pPr>
      <w:r>
        <w:rPr>
          <w:rFonts w:hint="eastAsia" w:ascii="Times New Roman Bold" w:hAnsi="Times New Roman Bold" w:eastAsia="Times New Roman Bold" w:cs="Times New Roman Bold"/>
          <w:b/>
          <w:sz w:val="24"/>
        </w:rPr>
        <w:t>12</w:t>
      </w:r>
      <w:r>
        <w:rPr>
          <w:rFonts w:hint="eastAsia" w:ascii="宋体" w:hAnsi="宋体" w:eastAsia="宋体" w:cs="宋体"/>
          <w:b/>
          <w:sz w:val="10"/>
        </w:rPr>
        <w:t>、</w:t>
      </w:r>
      <w:r>
        <w:rPr>
          <w:rFonts w:hint="eastAsia" w:ascii="宋体" w:hAnsi="宋体" w:eastAsia="宋体" w:cs="宋体"/>
          <w:b/>
          <w:sz w:val="24"/>
        </w:rPr>
        <w:t>发行人及其实际控制人关于与技术人员未约定或签署任何承诺的承诺</w:t>
      </w:r>
      <w:r>
        <w:rPr>
          <w:rFonts w:hint="eastAsia" w:ascii="宋体" w:hAnsi="宋体" w:eastAsia="宋体" w:cs="宋体"/>
          <w:sz w:val="24"/>
        </w:rPr>
        <w:t>发行人及其实际控制人承诺</w:t>
      </w:r>
      <w:r>
        <w:rPr>
          <w:rFonts w:hint="eastAsia" w:ascii="宋体" w:hAnsi="宋体" w:eastAsia="宋体" w:cs="宋体"/>
          <w:sz w:val="10"/>
        </w:rPr>
        <w:t>：“</w:t>
      </w:r>
      <w:r>
        <w:rPr>
          <w:rFonts w:hint="eastAsia" w:ascii="宋体" w:hAnsi="宋体" w:eastAsia="宋体" w:cs="宋体"/>
          <w:sz w:val="24"/>
        </w:rPr>
        <w:t>发行人与技术人员依法签署劳动合同</w:t>
      </w:r>
      <w:r>
        <w:rPr>
          <w:rFonts w:hint="eastAsia" w:ascii="宋体" w:hAnsi="宋体" w:eastAsia="宋体" w:cs="宋体"/>
          <w:sz w:val="10"/>
        </w:rPr>
        <w:t>。</w:t>
      </w:r>
      <w:r>
        <w:rPr>
          <w:rFonts w:hint="eastAsia" w:ascii="宋体" w:hAnsi="宋体" w:eastAsia="宋体" w:cs="宋体"/>
          <w:sz w:val="24"/>
        </w:rPr>
        <w:t>除此</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之外</w:t>
      </w:r>
      <w:r>
        <w:rPr>
          <w:rFonts w:hint="eastAsia" w:ascii="宋体" w:hAnsi="宋体" w:eastAsia="宋体" w:cs="宋体"/>
          <w:sz w:val="10"/>
        </w:rPr>
        <w:t>，</w:t>
      </w:r>
      <w:r>
        <w:rPr>
          <w:rFonts w:hint="eastAsia" w:ascii="宋体" w:hAnsi="宋体" w:eastAsia="宋体" w:cs="宋体"/>
          <w:sz w:val="24"/>
        </w:rPr>
        <w:t>发行人及其实际控制人对技术人员未约定或签署任何承诺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13</w:t>
      </w:r>
      <w:r>
        <w:rPr>
          <w:rFonts w:hint="eastAsia" w:ascii="宋体" w:hAnsi="宋体" w:eastAsia="宋体" w:cs="宋体"/>
          <w:b/>
          <w:sz w:val="10"/>
        </w:rPr>
        <w:t>、</w:t>
      </w:r>
      <w:r>
        <w:rPr>
          <w:rFonts w:hint="eastAsia" w:ascii="宋体" w:hAnsi="宋体" w:eastAsia="宋体" w:cs="宋体"/>
          <w:b/>
          <w:sz w:val="24"/>
        </w:rPr>
        <w:t>金石投资关于不谋求控制权的承诺</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金石投资就其对顶点软件的投资目的及持股安排承诺</w:t>
      </w:r>
      <w:r>
        <w:rPr>
          <w:rFonts w:hint="eastAsia" w:ascii="宋体" w:hAnsi="宋体" w:eastAsia="宋体" w:cs="宋体"/>
          <w:sz w:val="10"/>
        </w:rPr>
        <w:t>：“</w:t>
      </w:r>
      <w:r>
        <w:rPr>
          <w:rFonts w:hint="eastAsia" w:ascii="宋体" w:hAnsi="宋体" w:eastAsia="宋体" w:cs="宋体"/>
          <w:sz w:val="24"/>
        </w:rPr>
        <w:t>本公司对顶点软件系财务性投资</w:t>
      </w:r>
      <w:r>
        <w:rPr>
          <w:rFonts w:hint="eastAsia" w:ascii="宋体" w:hAnsi="宋体" w:eastAsia="宋体" w:cs="宋体"/>
          <w:sz w:val="10"/>
        </w:rPr>
        <w:t>，</w:t>
      </w:r>
      <w:r>
        <w:rPr>
          <w:rFonts w:hint="eastAsia" w:ascii="宋体" w:hAnsi="宋体" w:eastAsia="宋体" w:cs="宋体"/>
          <w:sz w:val="24"/>
        </w:rPr>
        <w:t>本公司作为财务投资者将不会谋求顶点软件的控制权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60"/>
        <w:jc w:val="both"/>
      </w:pPr>
      <w:r>
        <w:rPr>
          <w:rFonts w:hint="eastAsia" w:ascii="Times New Roman" w:hAnsi="Times New Roman" w:eastAsia="Times New Roman" w:cs="Times New Roman"/>
          <w:sz w:val="21"/>
        </w:rPr>
        <w:t>1-1-92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4400"/>
        <w:jc w:val="both"/>
      </w:pPr>
      <w:r>
        <w:rPr>
          <w:rFonts w:hint="eastAsia" w:ascii="ºÚÌå" w:hAnsi="ºÚÌå" w:eastAsia="ºÚÌå" w:cs="ºÚÌå"/>
          <w:b/>
          <w:sz w:val="36"/>
        </w:rPr>
        <w:t>第六节</w:t>
      </w:r>
      <w:r>
        <w:rPr>
          <w:rFonts w:hint="eastAsia" w:ascii="ºÚÌå" w:hAnsi="ºÚÌå" w:eastAsia="ºÚÌå" w:cs="ºÚÌå"/>
          <w:b/>
          <w:sz w:val="36"/>
        </w:rPr>
        <w:t xml:space="preserve"> </w:t>
      </w:r>
      <w:r>
        <w:rPr>
          <w:rFonts w:hint="eastAsia" w:ascii="ºÚÌå" w:hAnsi="ºÚÌå" w:eastAsia="ºÚÌå" w:cs="ºÚÌå"/>
          <w:b/>
          <w:sz w:val="36"/>
        </w:rPr>
        <w:t>业务和技术</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36"/>
        </w:rPr>
        <w:t>一、</w:t>
      </w:r>
      <w:r>
        <w:rPr>
          <w:rFonts w:hint="eastAsia" w:ascii="ºÚÌå" w:hAnsi="ºÚÌå" w:eastAsia="ºÚÌå" w:cs="ºÚÌå"/>
          <w:sz w:val="30"/>
        </w:rPr>
        <w:t>发行人主营业务经营概况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20" w:firstLine="480"/>
        <w:jc w:val="both"/>
      </w:pPr>
      <w:r>
        <w:rPr>
          <w:rFonts w:hint="eastAsia" w:ascii="宋体" w:hAnsi="宋体" w:eastAsia="宋体" w:cs="宋体"/>
          <w:sz w:val="24"/>
        </w:rPr>
        <w:t>公司是一家国内领先的专业化平台型软件及信息化服务提供商</w:t>
      </w:r>
      <w:r>
        <w:rPr>
          <w:rFonts w:hint="eastAsia" w:ascii="宋体" w:hAnsi="宋体" w:eastAsia="宋体" w:cs="宋体"/>
          <w:sz w:val="10"/>
        </w:rPr>
        <w:t>，</w:t>
      </w:r>
      <w:r>
        <w:rPr>
          <w:rFonts w:hint="eastAsia" w:ascii="宋体" w:hAnsi="宋体" w:eastAsia="宋体" w:cs="宋体"/>
          <w:sz w:val="24"/>
        </w:rPr>
        <w:t>致力于利用自主研发的</w:t>
      </w:r>
      <w:r>
        <w:rPr>
          <w:rFonts w:hint="eastAsia" w:ascii="宋体" w:hAnsi="宋体" w:eastAsia="宋体" w:cs="宋体"/>
          <w:sz w:val="10"/>
        </w:rPr>
        <w:t>“</w:t>
      </w:r>
      <w:r>
        <w:rPr>
          <w:rFonts w:hint="eastAsia" w:ascii="宋体" w:hAnsi="宋体" w:eastAsia="宋体" w:cs="宋体"/>
          <w:sz w:val="24"/>
        </w:rPr>
        <w:t>灵动业务架构平台（</w:t>
      </w:r>
      <w:r>
        <w:rPr>
          <w:rFonts w:hint="eastAsia" w:ascii="Times New Roman" w:hAnsi="Times New Roman" w:eastAsia="Times New Roman" w:cs="Times New Roman"/>
          <w:sz w:val="24"/>
        </w:rPr>
        <w:t>LiveBOS</w:t>
      </w:r>
      <w:r>
        <w:rPr>
          <w:rFonts w:hint="eastAsia" w:ascii="宋体" w:hAnsi="宋体" w:eastAsia="宋体" w:cs="宋体"/>
          <w:sz w:val="24"/>
        </w:rPr>
        <w:t>）”，</w:t>
      </w:r>
      <w:r>
        <w:rPr>
          <w:rFonts w:hint="eastAsia" w:ascii="宋体" w:hAnsi="宋体" w:eastAsia="宋体" w:cs="宋体"/>
          <w:sz w:val="24"/>
        </w:rPr>
        <w:t>为包括证券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电子交易市场等在内的金融行业及其他行业提供以业务流程管理（</w:t>
      </w:r>
      <w:r>
        <w:rPr>
          <w:rFonts w:hint="eastAsia" w:ascii="Times New Roman" w:hAnsi="Times New Roman" w:eastAsia="Times New Roman" w:cs="Times New Roman"/>
          <w:sz w:val="24"/>
        </w:rPr>
        <w:t>BPM</w:t>
      </w:r>
      <w:r>
        <w:rPr>
          <w:rFonts w:hint="eastAsia" w:ascii="宋体" w:hAnsi="宋体" w:eastAsia="宋体" w:cs="宋体"/>
          <w:sz w:val="24"/>
        </w:rPr>
        <w:t>）为核心</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应用为重点方向的信息化解决方案</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公司处于国内金融企业信息化产业的前沿</w:t>
      </w:r>
      <w:r>
        <w:rPr>
          <w:rFonts w:hint="eastAsia" w:ascii="宋体" w:hAnsi="宋体" w:eastAsia="宋体" w:cs="宋体"/>
          <w:sz w:val="10"/>
        </w:rPr>
        <w:t>。</w:t>
      </w:r>
      <w:r>
        <w:rPr>
          <w:rFonts w:hint="eastAsia" w:ascii="宋体" w:hAnsi="宋体" w:eastAsia="宋体" w:cs="宋体"/>
          <w:sz w:val="24"/>
        </w:rPr>
        <w:t>金融企业信息化是高端软件和新兴信息服务产业的分支</w:t>
      </w:r>
      <w:r>
        <w:rPr>
          <w:rFonts w:hint="eastAsia" w:ascii="宋体" w:hAnsi="宋体" w:eastAsia="宋体" w:cs="宋体"/>
          <w:sz w:val="10"/>
        </w:rPr>
        <w:t>，</w:t>
      </w:r>
      <w:r>
        <w:rPr>
          <w:rFonts w:hint="eastAsia" w:ascii="宋体" w:hAnsi="宋体" w:eastAsia="宋体" w:cs="宋体"/>
          <w:sz w:val="24"/>
        </w:rPr>
        <w:t>是战略性新兴产业的重要组成部分</w:t>
      </w:r>
      <w:r>
        <w:rPr>
          <w:rFonts w:hint="eastAsia" w:ascii="宋体" w:hAnsi="宋体" w:eastAsia="宋体" w:cs="宋体"/>
          <w:sz w:val="10"/>
        </w:rPr>
        <w:t>。</w:t>
      </w:r>
      <w:r>
        <w:rPr>
          <w:rFonts w:hint="eastAsia" w:ascii="宋体" w:hAnsi="宋体" w:eastAsia="宋体" w:cs="宋体"/>
          <w:sz w:val="24"/>
        </w:rPr>
        <w:t>公司积极投身于</w:t>
      </w:r>
      <w:r>
        <w:rPr>
          <w:rFonts w:hint="eastAsia" w:ascii="Times New Roman" w:hAnsi="Times New Roman" w:eastAsia="Times New Roman" w:cs="Times New Roman"/>
          <w:sz w:val="24"/>
        </w:rPr>
        <w:t>Fintech</w:t>
      </w:r>
      <w:r>
        <w:rPr>
          <w:rFonts w:hint="eastAsia" w:ascii="宋体" w:hAnsi="宋体" w:eastAsia="宋体" w:cs="宋体"/>
          <w:sz w:val="24"/>
        </w:rPr>
        <w:t xml:space="preserve"> 领域的研发</w:t>
      </w:r>
      <w:r>
        <w:rPr>
          <w:rFonts w:hint="eastAsia" w:ascii="宋体" w:hAnsi="宋体" w:eastAsia="宋体" w:cs="宋体"/>
          <w:sz w:val="10"/>
        </w:rPr>
        <w:t>，</w:t>
      </w:r>
      <w:r>
        <w:rPr>
          <w:rFonts w:hint="eastAsia" w:ascii="宋体" w:hAnsi="宋体" w:eastAsia="宋体" w:cs="宋体"/>
          <w:sz w:val="24"/>
        </w:rPr>
        <w:t>不断探索兼顾合规性</w:t>
      </w:r>
      <w:r>
        <w:rPr>
          <w:rFonts w:hint="eastAsia" w:ascii="宋体" w:hAnsi="宋体" w:eastAsia="宋体" w:cs="宋体"/>
          <w:sz w:val="10"/>
        </w:rPr>
        <w:t>、</w:t>
      </w:r>
      <w:r>
        <w:rPr>
          <w:rFonts w:hint="eastAsia" w:ascii="宋体" w:hAnsi="宋体" w:eastAsia="宋体" w:cs="宋体"/>
          <w:sz w:val="24"/>
        </w:rPr>
        <w:t>安全性</w:t>
      </w:r>
      <w:r>
        <w:rPr>
          <w:rFonts w:hint="eastAsia" w:ascii="宋体" w:hAnsi="宋体" w:eastAsia="宋体" w:cs="宋体"/>
          <w:sz w:val="10"/>
        </w:rPr>
        <w:t>、</w:t>
      </w:r>
      <w:r>
        <w:rPr>
          <w:rFonts w:hint="eastAsia" w:ascii="宋体" w:hAnsi="宋体" w:eastAsia="宋体" w:cs="宋体"/>
          <w:sz w:val="24"/>
        </w:rPr>
        <w:t>创新性</w:t>
      </w:r>
      <w:r>
        <w:rPr>
          <w:rFonts w:hint="eastAsia" w:ascii="宋体" w:hAnsi="宋体" w:eastAsia="宋体" w:cs="宋体"/>
          <w:sz w:val="10"/>
        </w:rPr>
        <w:t>、</w:t>
      </w:r>
      <w:r>
        <w:rPr>
          <w:rFonts w:hint="eastAsia" w:ascii="宋体" w:hAnsi="宋体" w:eastAsia="宋体" w:cs="宋体"/>
          <w:sz w:val="24"/>
        </w:rPr>
        <w:t>符合下游行业需求的产品及应用</w:t>
      </w:r>
      <w:r>
        <w:rPr>
          <w:rFonts w:hint="eastAsia" w:ascii="宋体" w:hAnsi="宋体" w:eastAsia="宋体" w:cs="宋体"/>
          <w:sz w:val="10"/>
        </w:rPr>
        <w:t>。</w:t>
      </w:r>
      <w:r>
        <w:rPr>
          <w:rFonts w:hint="eastAsia" w:ascii="宋体" w:hAnsi="宋体" w:eastAsia="宋体" w:cs="宋体"/>
          <w:sz w:val="24"/>
        </w:rPr>
        <w:t>公司的主营业务主要涉及证券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信托</w:t>
      </w:r>
      <w:r>
        <w:rPr>
          <w:rFonts w:hint="eastAsia" w:ascii="宋体" w:hAnsi="宋体" w:eastAsia="宋体" w:cs="宋体"/>
          <w:sz w:val="10"/>
        </w:rPr>
        <w:t>、</w:t>
      </w:r>
      <w:r>
        <w:rPr>
          <w:rFonts w:hint="eastAsia" w:ascii="宋体" w:hAnsi="宋体" w:eastAsia="宋体" w:cs="宋体"/>
          <w:sz w:val="24"/>
        </w:rPr>
        <w:t>电子交易市场等多个行业和领域</w:t>
      </w:r>
      <w:r>
        <w:rPr>
          <w:rFonts w:hint="eastAsia" w:ascii="宋体" w:hAnsi="宋体" w:eastAsia="宋体" w:cs="宋体"/>
          <w:sz w:val="10"/>
        </w:rPr>
        <w:t>，</w:t>
      </w:r>
      <w:r>
        <w:rPr>
          <w:rFonts w:hint="eastAsia" w:ascii="宋体" w:hAnsi="宋体" w:eastAsia="宋体" w:cs="宋体"/>
          <w:sz w:val="24"/>
        </w:rPr>
        <w:t>业务范围涵盖前</w:t>
      </w:r>
      <w:r>
        <w:rPr>
          <w:rFonts w:hint="eastAsia" w:ascii="宋体" w:hAnsi="宋体" w:eastAsia="宋体" w:cs="宋体"/>
          <w:sz w:val="10"/>
        </w:rPr>
        <w:t>、</w:t>
      </w:r>
      <w:r>
        <w:rPr>
          <w:rFonts w:hint="eastAsia" w:ascii="宋体" w:hAnsi="宋体" w:eastAsia="宋体" w:cs="宋体"/>
          <w:sz w:val="24"/>
        </w:rPr>
        <w:t>中</w:t>
      </w:r>
      <w:r>
        <w:rPr>
          <w:rFonts w:hint="eastAsia" w:ascii="宋体" w:hAnsi="宋体" w:eastAsia="宋体" w:cs="宋体"/>
          <w:sz w:val="10"/>
        </w:rPr>
        <w:t>、</w:t>
      </w:r>
      <w:r>
        <w:rPr>
          <w:rFonts w:hint="eastAsia" w:ascii="宋体" w:hAnsi="宋体" w:eastAsia="宋体" w:cs="宋体"/>
          <w:sz w:val="24"/>
        </w:rPr>
        <w:t>后台等多个层次</w:t>
      </w:r>
      <w:r>
        <w:rPr>
          <w:rFonts w:hint="eastAsia" w:ascii="宋体" w:hAnsi="宋体" w:eastAsia="宋体" w:cs="宋体"/>
          <w:sz w:val="10"/>
        </w:rPr>
        <w:t>。</w:t>
      </w:r>
      <w:r>
        <w:rPr>
          <w:rFonts w:hint="eastAsia" w:ascii="宋体" w:hAnsi="宋体" w:eastAsia="宋体" w:cs="宋体"/>
          <w:sz w:val="24"/>
        </w:rPr>
        <w:t>公司敏锐把握金融行业发展趋势及行业动向</w:t>
      </w:r>
      <w:r>
        <w:rPr>
          <w:rFonts w:hint="eastAsia" w:ascii="宋体" w:hAnsi="宋体" w:eastAsia="宋体" w:cs="宋体"/>
          <w:sz w:val="10"/>
        </w:rPr>
        <w:t>，</w:t>
      </w:r>
      <w:r>
        <w:rPr>
          <w:rFonts w:hint="eastAsia" w:ascii="宋体" w:hAnsi="宋体" w:eastAsia="宋体" w:cs="宋体"/>
          <w:sz w:val="24"/>
        </w:rPr>
        <w:t>针对客户</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业务发展的需要</w:t>
      </w:r>
      <w:r>
        <w:rPr>
          <w:rFonts w:hint="eastAsia" w:ascii="宋体" w:hAnsi="宋体" w:eastAsia="宋体" w:cs="宋体"/>
          <w:sz w:val="10"/>
        </w:rPr>
        <w:t>，</w:t>
      </w:r>
      <w:r>
        <w:rPr>
          <w:rFonts w:hint="eastAsia" w:ascii="宋体" w:hAnsi="宋体" w:eastAsia="宋体" w:cs="宋体"/>
          <w:sz w:val="24"/>
        </w:rPr>
        <w:t>基于金融行业业务互联网化趋势的快速演进及新业务</w:t>
      </w:r>
      <w:r>
        <w:rPr>
          <w:rFonts w:hint="eastAsia" w:ascii="宋体" w:hAnsi="宋体" w:eastAsia="宋体" w:cs="宋体"/>
          <w:sz w:val="10"/>
        </w:rPr>
        <w:t>、</w:t>
      </w:r>
      <w:r>
        <w:rPr>
          <w:rFonts w:hint="eastAsia" w:ascii="宋体" w:hAnsi="宋体" w:eastAsia="宋体" w:cs="宋体"/>
          <w:sz w:val="24"/>
        </w:rPr>
        <w:t>新产品的不断推出</w:t>
      </w:r>
      <w:r>
        <w:rPr>
          <w:rFonts w:hint="eastAsia" w:ascii="宋体" w:hAnsi="宋体" w:eastAsia="宋体" w:cs="宋体"/>
          <w:sz w:val="10"/>
        </w:rPr>
        <w:t>，</w:t>
      </w:r>
      <w:r>
        <w:rPr>
          <w:rFonts w:hint="eastAsia" w:ascii="宋体" w:hAnsi="宋体" w:eastAsia="宋体" w:cs="宋体"/>
          <w:sz w:val="24"/>
        </w:rPr>
        <w:t>持续深耕前沿市场</w:t>
      </w:r>
      <w:r>
        <w:rPr>
          <w:rFonts w:hint="eastAsia" w:ascii="宋体" w:hAnsi="宋体" w:eastAsia="宋体" w:cs="宋体"/>
          <w:sz w:val="10"/>
        </w:rPr>
        <w:t>，</w:t>
      </w:r>
      <w:r>
        <w:rPr>
          <w:rFonts w:hint="eastAsia" w:ascii="宋体" w:hAnsi="宋体" w:eastAsia="宋体" w:cs="宋体"/>
          <w:sz w:val="24"/>
        </w:rPr>
        <w:t>提供针对互联网化应用支持</w:t>
      </w:r>
      <w:r>
        <w:rPr>
          <w:rFonts w:hint="eastAsia" w:ascii="宋体" w:hAnsi="宋体" w:eastAsia="宋体" w:cs="宋体"/>
          <w:sz w:val="10"/>
        </w:rPr>
        <w:t>、</w:t>
      </w:r>
      <w:r>
        <w:rPr>
          <w:rFonts w:hint="eastAsia" w:ascii="宋体" w:hAnsi="宋体" w:eastAsia="宋体" w:cs="宋体"/>
          <w:sz w:val="24"/>
        </w:rPr>
        <w:t>集中交易</w:t>
      </w:r>
      <w:r>
        <w:rPr>
          <w:rFonts w:hint="eastAsia" w:ascii="宋体" w:hAnsi="宋体" w:eastAsia="宋体" w:cs="宋体"/>
          <w:sz w:val="10"/>
        </w:rPr>
        <w:t>、</w:t>
      </w:r>
      <w:r>
        <w:rPr>
          <w:rFonts w:hint="eastAsia" w:ascii="宋体" w:hAnsi="宋体" w:eastAsia="宋体" w:cs="宋体"/>
          <w:sz w:val="24"/>
        </w:rPr>
        <w:t>高端客户交易</w:t>
      </w:r>
      <w:r>
        <w:rPr>
          <w:rFonts w:hint="eastAsia" w:ascii="宋体" w:hAnsi="宋体" w:eastAsia="宋体" w:cs="宋体"/>
          <w:sz w:val="10"/>
        </w:rPr>
        <w:t>、</w:t>
      </w:r>
      <w:r>
        <w:rPr>
          <w:rFonts w:hint="eastAsia" w:ascii="宋体" w:hAnsi="宋体" w:eastAsia="宋体" w:cs="宋体"/>
          <w:sz w:val="24"/>
        </w:rPr>
        <w:t>业务运营中台</w:t>
      </w:r>
      <w:r>
        <w:rPr>
          <w:rFonts w:hint="eastAsia" w:ascii="宋体" w:hAnsi="宋体" w:eastAsia="宋体" w:cs="宋体"/>
          <w:sz w:val="10"/>
        </w:rPr>
        <w:t>、</w:t>
      </w:r>
      <w:r>
        <w:rPr>
          <w:rFonts w:hint="eastAsia" w:ascii="宋体" w:hAnsi="宋体" w:eastAsia="宋体" w:cs="宋体"/>
          <w:sz w:val="24"/>
        </w:rPr>
        <w:t>柜台市场</w:t>
      </w:r>
      <w:r>
        <w:rPr>
          <w:rFonts w:hint="eastAsia" w:ascii="宋体" w:hAnsi="宋体" w:eastAsia="宋体" w:cs="宋体"/>
          <w:sz w:val="10"/>
        </w:rPr>
        <w:t>、</w:t>
      </w:r>
      <w:r>
        <w:rPr>
          <w:rFonts w:hint="eastAsia" w:ascii="宋体" w:hAnsi="宋体" w:eastAsia="宋体" w:cs="宋体"/>
          <w:sz w:val="24"/>
        </w:rPr>
        <w:t>区域市场</w:t>
      </w:r>
      <w:r>
        <w:rPr>
          <w:rFonts w:hint="eastAsia" w:ascii="宋体" w:hAnsi="宋体" w:eastAsia="宋体" w:cs="宋体"/>
          <w:sz w:val="10"/>
        </w:rPr>
        <w:t>、</w:t>
      </w:r>
      <w:r>
        <w:rPr>
          <w:rFonts w:hint="eastAsia" w:ascii="宋体" w:hAnsi="宋体" w:eastAsia="宋体" w:cs="宋体"/>
          <w:sz w:val="24"/>
        </w:rPr>
        <w:t>投融资业务</w:t>
      </w:r>
      <w:r>
        <w:rPr>
          <w:rFonts w:hint="eastAsia" w:ascii="宋体" w:hAnsi="宋体" w:eastAsia="宋体" w:cs="宋体"/>
          <w:sz w:val="10"/>
        </w:rPr>
        <w:t>、</w:t>
      </w:r>
      <w:r>
        <w:rPr>
          <w:rFonts w:hint="eastAsia" w:ascii="宋体" w:hAnsi="宋体" w:eastAsia="宋体" w:cs="宋体"/>
          <w:sz w:val="24"/>
        </w:rPr>
        <w:t>财富管理等多种业务领域的软件产品及服务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公司主要产品应用于国内</w:t>
      </w:r>
      <w:r>
        <w:rPr>
          <w:rFonts w:hint="eastAsia" w:ascii="Times New Roman" w:hAnsi="Times New Roman" w:eastAsia="Times New Roman" w:cs="Times New Roman"/>
          <w:sz w:val="24"/>
        </w:rPr>
        <w:t xml:space="preserve"> 78</w:t>
      </w:r>
      <w:r>
        <w:rPr>
          <w:rFonts w:hint="eastAsia" w:ascii="宋体" w:hAnsi="宋体" w:eastAsia="宋体" w:cs="宋体"/>
          <w:sz w:val="24"/>
        </w:rPr>
        <w:t xml:space="preserve"> 家证券公司</w:t>
      </w:r>
      <w:r>
        <w:rPr>
          <w:rFonts w:hint="eastAsia" w:ascii="宋体" w:hAnsi="宋体" w:eastAsia="宋体" w:cs="宋体"/>
          <w:sz w:val="10"/>
        </w:rPr>
        <w:t>，</w:t>
      </w:r>
      <w:r>
        <w:rPr>
          <w:rFonts w:hint="eastAsia" w:ascii="宋体" w:hAnsi="宋体" w:eastAsia="宋体" w:cs="宋体"/>
          <w:sz w:val="24"/>
        </w:rPr>
        <w:t>用户数量占证券公司总家数的</w:t>
      </w:r>
      <w:r>
        <w:rPr>
          <w:rFonts w:hint="eastAsia" w:ascii="Times New Roman" w:hAnsi="Times New Roman" w:eastAsia="Times New Roman" w:cs="Times New Roman"/>
          <w:sz w:val="24"/>
        </w:rPr>
        <w:t xml:space="preserve"> 60.47%</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公司的营销服务流程管理系统应用于国内</w:t>
      </w:r>
      <w:r>
        <w:rPr>
          <w:rFonts w:hint="eastAsia" w:ascii="Times New Roman" w:hAnsi="Times New Roman" w:eastAsia="Times New Roman" w:cs="Times New Roman"/>
          <w:sz w:val="24"/>
        </w:rPr>
        <w:t xml:space="preserve"> 71</w:t>
      </w:r>
      <w:r>
        <w:rPr>
          <w:rFonts w:hint="eastAsia" w:ascii="宋体" w:hAnsi="宋体" w:eastAsia="宋体" w:cs="宋体"/>
          <w:sz w:val="24"/>
        </w:rPr>
        <w:t xml:space="preserve"> 家证券公司</w:t>
      </w:r>
      <w:r>
        <w:rPr>
          <w:rFonts w:hint="eastAsia" w:ascii="宋体" w:hAnsi="宋体" w:eastAsia="宋体" w:cs="宋体"/>
          <w:sz w:val="12"/>
        </w:rPr>
        <w:t>；</w:t>
      </w:r>
      <w:r>
        <w:rPr>
          <w:rFonts w:hint="eastAsia" w:ascii="宋体" w:hAnsi="宋体" w:eastAsia="宋体" w:cs="宋体"/>
          <w:sz w:val="24"/>
        </w:rPr>
        <w:t>公司的基础运营支持系统（即大规模集中交易</w:t>
      </w:r>
      <w:r>
        <w:rPr>
          <w:rFonts w:hint="eastAsia" w:ascii="宋体" w:hAnsi="宋体" w:eastAsia="宋体" w:cs="宋体"/>
          <w:sz w:val="10"/>
        </w:rPr>
        <w:t>、</w:t>
      </w:r>
      <w:r>
        <w:rPr>
          <w:rFonts w:hint="eastAsia" w:ascii="宋体" w:hAnsi="宋体" w:eastAsia="宋体" w:cs="宋体"/>
          <w:sz w:val="24"/>
        </w:rPr>
        <w:t>快速内存交易及配套系统）应用于国内</w:t>
      </w:r>
      <w:r>
        <w:rPr>
          <w:rFonts w:hint="eastAsia" w:ascii="Times New Roman" w:hAnsi="Times New Roman" w:eastAsia="Times New Roman" w:cs="Times New Roman"/>
          <w:sz w:val="24"/>
        </w:rPr>
        <w:t xml:space="preserve"> 38</w:t>
      </w:r>
      <w:r>
        <w:rPr>
          <w:rFonts w:hint="eastAsia" w:ascii="宋体" w:hAnsi="宋体" w:eastAsia="宋体" w:cs="宋体"/>
          <w:sz w:val="24"/>
        </w:rPr>
        <w:t xml:space="preserve"> 家证券公司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公司近年来在企业流程管理及教育行业信息化方面持续开展业务</w:t>
      </w:r>
      <w:r>
        <w:rPr>
          <w:rFonts w:hint="eastAsia" w:ascii="宋体" w:hAnsi="宋体" w:eastAsia="宋体" w:cs="宋体"/>
          <w:sz w:val="10"/>
        </w:rPr>
        <w:t>，</w:t>
      </w:r>
      <w:r>
        <w:rPr>
          <w:rFonts w:hint="eastAsia" w:ascii="宋体" w:hAnsi="宋体" w:eastAsia="宋体" w:cs="宋体"/>
          <w:sz w:val="24"/>
        </w:rPr>
        <w:t>利用行业经验及研发协同效应</w:t>
      </w:r>
      <w:r>
        <w:rPr>
          <w:rFonts w:hint="eastAsia" w:ascii="宋体" w:hAnsi="宋体" w:eastAsia="宋体" w:cs="宋体"/>
          <w:sz w:val="10"/>
        </w:rPr>
        <w:t>，</w:t>
      </w:r>
      <w:r>
        <w:rPr>
          <w:rFonts w:hint="eastAsia" w:ascii="宋体" w:hAnsi="宋体" w:eastAsia="宋体" w:cs="宋体"/>
          <w:sz w:val="24"/>
        </w:rPr>
        <w:t>为客户提供针对行业特点的管理系统及信息化服务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580" w:firstLine="480"/>
        <w:jc w:val="both"/>
      </w:pPr>
      <w:r>
        <w:rPr>
          <w:rFonts w:hint="eastAsia" w:ascii="宋体" w:hAnsi="宋体" w:eastAsia="宋体" w:cs="宋体"/>
          <w:sz w:val="24"/>
        </w:rPr>
        <w:t>截至目前</w:t>
      </w:r>
      <w:r>
        <w:rPr>
          <w:rFonts w:hint="eastAsia" w:ascii="宋体" w:hAnsi="宋体" w:eastAsia="宋体" w:cs="宋体"/>
          <w:sz w:val="10"/>
        </w:rPr>
        <w:t>，</w:t>
      </w:r>
      <w:r>
        <w:rPr>
          <w:rFonts w:hint="eastAsia" w:ascii="宋体" w:hAnsi="宋体" w:eastAsia="宋体" w:cs="宋体"/>
          <w:sz w:val="24"/>
        </w:rPr>
        <w:t>公司及其主营业务</w:t>
      </w:r>
      <w:r>
        <w:rPr>
          <w:rFonts w:hint="eastAsia" w:ascii="宋体" w:hAnsi="宋体" w:eastAsia="宋体" w:cs="宋体"/>
          <w:sz w:val="10"/>
        </w:rPr>
        <w:t>、</w:t>
      </w:r>
      <w:r>
        <w:rPr>
          <w:rFonts w:hint="eastAsia" w:ascii="宋体" w:hAnsi="宋体" w:eastAsia="宋体" w:cs="宋体"/>
          <w:sz w:val="24"/>
        </w:rPr>
        <w:t>产品获得多项荣誉</w:t>
      </w:r>
      <w:r>
        <w:rPr>
          <w:rFonts w:hint="eastAsia" w:ascii="宋体" w:hAnsi="宋体" w:eastAsia="宋体" w:cs="宋体"/>
          <w:sz w:val="10"/>
        </w:rPr>
        <w:t>。</w:t>
      </w:r>
      <w:r>
        <w:rPr>
          <w:rFonts w:hint="eastAsia" w:ascii="宋体" w:hAnsi="宋体" w:eastAsia="宋体" w:cs="宋体"/>
          <w:sz w:val="24"/>
        </w:rPr>
        <w:t>公司的</w:t>
      </w:r>
      <w:r>
        <w:rPr>
          <w:rFonts w:hint="eastAsia" w:ascii="宋体" w:hAnsi="宋体" w:eastAsia="宋体" w:cs="宋体"/>
          <w:sz w:val="10"/>
        </w:rPr>
        <w:t>“</w:t>
      </w:r>
      <w:r>
        <w:rPr>
          <w:rFonts w:hint="eastAsia" w:ascii="宋体" w:hAnsi="宋体" w:eastAsia="宋体" w:cs="宋体"/>
          <w:sz w:val="24"/>
        </w:rPr>
        <w:t>基于</w:t>
      </w:r>
      <w:r>
        <w:rPr>
          <w:rFonts w:hint="eastAsia" w:ascii="Times New Roman" w:hAnsi="Times New Roman" w:eastAsia="Times New Roman" w:cs="Times New Roman"/>
          <w:sz w:val="24"/>
        </w:rPr>
        <w:t xml:space="preserve"> SOA&amp;BPM</w:t>
      </w:r>
      <w:r>
        <w:rPr>
          <w:rFonts w:hint="eastAsia" w:ascii="宋体" w:hAnsi="宋体" w:eastAsia="宋体" w:cs="宋体"/>
          <w:sz w:val="24"/>
        </w:rPr>
        <w:t>的证劵金融投资者营销与服务平台</w:t>
      </w:r>
      <w:r>
        <w:rPr>
          <w:rFonts w:hint="eastAsia" w:ascii="Times New Roman" w:hAnsi="Times New Roman" w:eastAsia="Times New Roman" w:cs="Times New Roman"/>
          <w:sz w:val="24"/>
        </w:rPr>
        <w:t>——</w:t>
      </w:r>
      <w:r>
        <w:rPr>
          <w:rFonts w:hint="eastAsia" w:ascii="Times New Roman" w:hAnsi="Times New Roman" w:eastAsia="Times New Roman" w:cs="Times New Roman"/>
          <w:sz w:val="24"/>
        </w:rPr>
        <w:t>FCRM</w:t>
      </w:r>
      <w:r>
        <w:rPr>
          <w:rFonts w:hint="eastAsia" w:ascii="宋体" w:hAnsi="宋体" w:eastAsia="宋体" w:cs="宋体"/>
          <w:sz w:val="10"/>
        </w:rPr>
        <w:t>”</w:t>
      </w:r>
      <w:r>
        <w:rPr>
          <w:rFonts w:hint="eastAsia" w:ascii="宋体" w:hAnsi="宋体" w:eastAsia="宋体" w:cs="宋体"/>
          <w:sz w:val="24"/>
        </w:rPr>
        <w:t>获</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年福建省科技进步三等奖</w:t>
      </w:r>
      <w:r>
        <w:rPr>
          <w:rFonts w:hint="eastAsia" w:ascii="宋体" w:hAnsi="宋体" w:eastAsia="宋体" w:cs="宋体"/>
          <w:sz w:val="10"/>
        </w:rPr>
        <w:t>。</w:t>
      </w:r>
      <w:r>
        <w:rPr>
          <w:rFonts w:hint="eastAsia" w:ascii="Times New Roman" w:hAnsi="Times New Roman" w:eastAsia="Times New Roman" w:cs="Times New Roman"/>
          <w:sz w:val="24"/>
        </w:rPr>
        <w:t>2013</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公司被国家发展和改革委员会</w:t>
      </w:r>
      <w:r>
        <w:rPr>
          <w:rFonts w:hint="eastAsia" w:ascii="宋体" w:hAnsi="宋体" w:eastAsia="宋体" w:cs="宋体"/>
          <w:sz w:val="10"/>
        </w:rPr>
        <w:t>、</w:t>
      </w:r>
      <w:r>
        <w:rPr>
          <w:rFonts w:hint="eastAsia" w:ascii="宋体" w:hAnsi="宋体" w:eastAsia="宋体" w:cs="宋体"/>
          <w:sz w:val="24"/>
        </w:rPr>
        <w:t>工业和信息化部</w:t>
      </w:r>
      <w:r>
        <w:rPr>
          <w:rFonts w:hint="eastAsia" w:ascii="宋体" w:hAnsi="宋体" w:eastAsia="宋体" w:cs="宋体"/>
          <w:sz w:val="10"/>
        </w:rPr>
        <w:t>、</w:t>
      </w:r>
      <w:r>
        <w:rPr>
          <w:rFonts w:hint="eastAsia" w:ascii="宋体" w:hAnsi="宋体" w:eastAsia="宋体" w:cs="宋体"/>
          <w:sz w:val="24"/>
        </w:rPr>
        <w:t>财政部</w:t>
      </w:r>
      <w:r>
        <w:rPr>
          <w:rFonts w:hint="eastAsia" w:ascii="宋体" w:hAnsi="宋体" w:eastAsia="宋体" w:cs="宋体"/>
          <w:sz w:val="10"/>
        </w:rPr>
        <w:t>、</w:t>
      </w:r>
      <w:r>
        <w:rPr>
          <w:rFonts w:hint="eastAsia" w:ascii="宋体" w:hAnsi="宋体" w:eastAsia="宋体" w:cs="宋体"/>
          <w:sz w:val="24"/>
        </w:rPr>
        <w:t>商务部</w:t>
      </w:r>
      <w:r>
        <w:rPr>
          <w:rFonts w:hint="eastAsia" w:ascii="宋体" w:hAnsi="宋体" w:eastAsia="宋体" w:cs="宋体"/>
          <w:sz w:val="10"/>
        </w:rPr>
        <w:t>、</w:t>
      </w:r>
      <w:r>
        <w:rPr>
          <w:rFonts w:hint="eastAsia" w:ascii="宋体" w:hAnsi="宋体" w:eastAsia="宋体" w:cs="宋体"/>
          <w:sz w:val="24"/>
        </w:rPr>
        <w:t>国家税务总局联合认定为</w:t>
      </w:r>
      <w:r>
        <w:rPr>
          <w:rFonts w:hint="eastAsia" w:ascii="宋体" w:hAnsi="宋体" w:eastAsia="宋体" w:cs="宋体"/>
          <w:sz w:val="10"/>
        </w:rPr>
        <w:t>“</w:t>
      </w:r>
      <w:r>
        <w:rPr>
          <w:rFonts w:hint="eastAsia" w:ascii="Times New Roman" w:hAnsi="Times New Roman" w:eastAsia="Times New Roman" w:cs="Times New Roman"/>
          <w:sz w:val="24"/>
        </w:rPr>
        <w:t>2013-2014</w:t>
      </w:r>
      <w:r>
        <w:rPr>
          <w:rFonts w:hint="eastAsia" w:ascii="宋体" w:hAnsi="宋体" w:eastAsia="宋体" w:cs="宋体"/>
          <w:sz w:val="24"/>
        </w:rPr>
        <w:t xml:space="preserve"> 年度国家规划布局内重点软件企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60"/>
        <w:jc w:val="both"/>
      </w:pPr>
      <w:r>
        <w:rPr>
          <w:rFonts w:hint="eastAsia" w:ascii="Times New Roman" w:hAnsi="Times New Roman" w:eastAsia="Times New Roman" w:cs="Times New Roman"/>
          <w:sz w:val="21"/>
        </w:rPr>
        <w:t>1-1-93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自设立以来</w:t>
      </w:r>
      <w:r>
        <w:rPr>
          <w:rFonts w:hint="eastAsia" w:ascii="宋体" w:hAnsi="宋体" w:eastAsia="宋体" w:cs="宋体"/>
          <w:sz w:val="10"/>
        </w:rPr>
        <w:t>，</w:t>
      </w:r>
      <w:r>
        <w:rPr>
          <w:rFonts w:hint="eastAsia" w:ascii="宋体" w:hAnsi="宋体" w:eastAsia="宋体" w:cs="宋体"/>
          <w:sz w:val="24"/>
        </w:rPr>
        <w:t>公司一直专注于金融及其他行业软件产品的开发和设计</w:t>
      </w:r>
      <w:r>
        <w:rPr>
          <w:rFonts w:hint="eastAsia" w:ascii="宋体" w:hAnsi="宋体" w:eastAsia="宋体" w:cs="宋体"/>
          <w:sz w:val="10"/>
        </w:rPr>
        <w:t>、</w:t>
      </w:r>
      <w:r>
        <w:rPr>
          <w:rFonts w:hint="eastAsia" w:ascii="宋体" w:hAnsi="宋体" w:eastAsia="宋体" w:cs="宋体"/>
          <w:sz w:val="24"/>
        </w:rPr>
        <w:t>咨询服务与技术支持以及计算机软</w:t>
      </w:r>
      <w:r>
        <w:rPr>
          <w:rFonts w:hint="eastAsia" w:ascii="宋体" w:hAnsi="宋体" w:eastAsia="宋体" w:cs="宋体"/>
          <w:sz w:val="10"/>
        </w:rPr>
        <w:t>、</w:t>
      </w:r>
      <w:r>
        <w:rPr>
          <w:rFonts w:hint="eastAsia" w:ascii="宋体" w:hAnsi="宋体" w:eastAsia="宋体" w:cs="宋体"/>
          <w:sz w:val="24"/>
        </w:rPr>
        <w:t>硬件的系统集成</w:t>
      </w:r>
      <w:r>
        <w:rPr>
          <w:rFonts w:hint="eastAsia" w:ascii="宋体" w:hAnsi="宋体" w:eastAsia="宋体" w:cs="宋体"/>
          <w:sz w:val="10"/>
        </w:rPr>
        <w:t>，</w:t>
      </w:r>
      <w:r>
        <w:rPr>
          <w:rFonts w:hint="eastAsia" w:ascii="宋体" w:hAnsi="宋体" w:eastAsia="宋体" w:cs="宋体"/>
          <w:sz w:val="24"/>
        </w:rPr>
        <w:t>报告期内主营业务未发生重大变化</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jc w:val="both"/>
      </w:pPr>
      <w:r>
        <w:rPr>
          <w:rFonts w:hint="eastAsia" w:ascii="ºÚÌå" w:hAnsi="ºÚÌå" w:eastAsia="ºÚÌå" w:cs="ºÚÌå"/>
          <w:sz w:val="24"/>
        </w:rPr>
        <w:t>二、</w:t>
      </w:r>
      <w:r>
        <w:rPr>
          <w:rFonts w:hint="eastAsia" w:ascii="ºÚÌå" w:hAnsi="ºÚÌå" w:eastAsia="ºÚÌå" w:cs="ºÚÌå"/>
          <w:sz w:val="30"/>
        </w:rPr>
        <w:t>发行人所处行业的基本情况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行业主管部门及监管体制</w:t>
      </w:r>
      <w:r>
        <w:rPr>
          <w:rFonts w:hint="eastAsia" w:ascii="宋体" w:hAnsi="宋体" w:eastAsia="宋体" w:cs="宋体"/>
          <w:b/>
          <w:sz w:val="10"/>
        </w:rPr>
        <w:t>、</w:t>
      </w:r>
      <w:r>
        <w:rPr>
          <w:rFonts w:hint="eastAsia" w:ascii="宋体" w:hAnsi="宋体" w:eastAsia="宋体" w:cs="宋体"/>
          <w:b/>
          <w:sz w:val="24"/>
        </w:rPr>
        <w:t>行业主要法律法规和政策及对发行人经营发</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b/>
          <w:sz w:val="24"/>
        </w:rPr>
        <w:t>展的影响</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行业主管部门及监管体制</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公司属于专业软件与信息技术服务供应商</w:t>
      </w:r>
      <w:r>
        <w:rPr>
          <w:rFonts w:hint="eastAsia" w:ascii="宋体" w:hAnsi="宋体" w:eastAsia="宋体" w:cs="宋体"/>
          <w:sz w:val="10"/>
        </w:rPr>
        <w:t>。</w:t>
      </w:r>
      <w:r>
        <w:rPr>
          <w:rFonts w:hint="eastAsia" w:ascii="宋体" w:hAnsi="宋体" w:eastAsia="宋体" w:cs="宋体"/>
          <w:sz w:val="24"/>
        </w:rPr>
        <w:t>根据中国证监会《上市公司行业分类指引》（</w:t>
      </w:r>
      <w:r>
        <w:rPr>
          <w:rFonts w:hint="eastAsia" w:ascii="Times New Roman" w:hAnsi="Times New Roman" w:eastAsia="Times New Roman" w:cs="Times New Roman"/>
          <w:sz w:val="24"/>
        </w:rPr>
        <w:t>2012</w:t>
      </w:r>
      <w:r>
        <w:rPr>
          <w:rFonts w:hint="eastAsia" w:ascii="宋体" w:hAnsi="宋体" w:eastAsia="宋体" w:cs="宋体"/>
          <w:sz w:val="24"/>
        </w:rPr>
        <w:t xml:space="preserve"> 年修订），</w:t>
      </w:r>
      <w:r>
        <w:rPr>
          <w:rFonts w:hint="eastAsia" w:ascii="宋体" w:hAnsi="宋体" w:eastAsia="宋体" w:cs="宋体"/>
          <w:sz w:val="24"/>
        </w:rPr>
        <w:t>公司属于</w:t>
      </w:r>
      <w:r>
        <w:rPr>
          <w:rFonts w:hint="eastAsia" w:ascii="宋体" w:hAnsi="宋体" w:eastAsia="宋体" w:cs="宋体"/>
          <w:sz w:val="10"/>
        </w:rPr>
        <w:t>“</w:t>
      </w:r>
      <w:r>
        <w:rPr>
          <w:rFonts w:hint="eastAsia" w:ascii="Times New Roman" w:hAnsi="Times New Roman" w:eastAsia="Times New Roman" w:cs="Times New Roman"/>
          <w:sz w:val="24"/>
        </w:rPr>
        <w:t xml:space="preserve">I </w:t>
      </w:r>
      <w:r>
        <w:rPr>
          <w:rFonts w:hint="eastAsia" w:ascii="宋体" w:hAnsi="宋体" w:eastAsia="宋体" w:cs="宋体"/>
          <w:sz w:val="24"/>
        </w:rPr>
        <w:t>信息传输</w:t>
      </w:r>
      <w:r>
        <w:rPr>
          <w:rFonts w:hint="eastAsia" w:ascii="宋体" w:hAnsi="宋体" w:eastAsia="宋体" w:cs="宋体"/>
          <w:sz w:val="10"/>
        </w:rPr>
        <w:t>、</w:t>
      </w:r>
      <w:r>
        <w:rPr>
          <w:rFonts w:hint="eastAsia" w:ascii="宋体" w:hAnsi="宋体" w:eastAsia="宋体" w:cs="宋体"/>
          <w:sz w:val="24"/>
        </w:rPr>
        <w:t>软件和信息技术服务业</w:t>
      </w:r>
      <w:r>
        <w:rPr>
          <w:rFonts w:hint="eastAsia" w:ascii="宋体" w:hAnsi="宋体" w:eastAsia="宋体" w:cs="宋体"/>
          <w:sz w:val="10"/>
        </w:rPr>
        <w:t>”</w:t>
      </w:r>
      <w:r>
        <w:rPr>
          <w:rFonts w:hint="eastAsia" w:ascii="宋体" w:hAnsi="宋体" w:eastAsia="宋体" w:cs="宋体"/>
          <w:sz w:val="24"/>
        </w:rPr>
        <w:t>下属的</w:t>
      </w:r>
      <w:r>
        <w:rPr>
          <w:rFonts w:hint="eastAsia" w:ascii="宋体" w:hAnsi="宋体" w:eastAsia="宋体" w:cs="宋体"/>
          <w:sz w:val="10"/>
        </w:rPr>
        <w:t>“</w:t>
      </w:r>
      <w:r>
        <w:rPr>
          <w:rFonts w:hint="eastAsia" w:ascii="Times New Roman" w:hAnsi="Times New Roman" w:eastAsia="Times New Roman" w:cs="Times New Roman"/>
          <w:sz w:val="24"/>
        </w:rPr>
        <w:t xml:space="preserve">65 </w:t>
      </w:r>
      <w:r>
        <w:rPr>
          <w:rFonts w:hint="eastAsia" w:ascii="宋体" w:hAnsi="宋体" w:eastAsia="宋体" w:cs="宋体"/>
          <w:sz w:val="24"/>
        </w:rPr>
        <w:t>软件和信息技术服务业</w:t>
      </w:r>
      <w:r>
        <w:rPr>
          <w:rFonts w:hint="eastAsia" w:ascii="宋体" w:hAnsi="宋体" w:eastAsia="宋体" w:cs="宋体"/>
          <w:sz w:val="10"/>
        </w:rPr>
        <w:t>”</w:t>
      </w:r>
      <w:r>
        <w:rPr>
          <w:rFonts w:hint="eastAsia" w:ascii="宋体" w:hAnsi="宋体" w:eastAsia="宋体" w:cs="宋体"/>
          <w:sz w:val="24"/>
        </w:rPr>
        <w:t>子行业</w:t>
      </w:r>
      <w:r>
        <w:rPr>
          <w:rFonts w:hint="eastAsia" w:ascii="宋体" w:hAnsi="宋体" w:eastAsia="宋体" w:cs="宋体"/>
          <w:sz w:val="10"/>
        </w:rPr>
        <w:t>。</w:t>
      </w:r>
      <w:r>
        <w:rPr>
          <w:rFonts w:hint="eastAsia" w:ascii="宋体" w:hAnsi="宋体" w:eastAsia="宋体" w:cs="宋体"/>
          <w:sz w:val="24"/>
        </w:rPr>
        <w:t>根据《国民经济行业分类与代码》，</w:t>
      </w:r>
      <w:r>
        <w:rPr>
          <w:rFonts w:hint="eastAsia" w:ascii="宋体" w:hAnsi="宋体" w:eastAsia="宋体" w:cs="宋体"/>
          <w:sz w:val="24"/>
        </w:rPr>
        <w:t>发行人属于</w:t>
      </w:r>
      <w:r>
        <w:rPr>
          <w:rFonts w:hint="eastAsia" w:ascii="宋体" w:hAnsi="宋体" w:eastAsia="宋体" w:cs="宋体"/>
          <w:sz w:val="10"/>
        </w:rPr>
        <w:t>“</w:t>
      </w:r>
      <w:r>
        <w:rPr>
          <w:rFonts w:hint="eastAsia" w:ascii="Times New Roman" w:hAnsi="Times New Roman" w:eastAsia="Times New Roman" w:cs="Times New Roman"/>
          <w:sz w:val="24"/>
        </w:rPr>
        <w:t xml:space="preserve">I65 </w:t>
      </w:r>
      <w:r>
        <w:rPr>
          <w:rFonts w:hint="eastAsia" w:ascii="宋体" w:hAnsi="宋体" w:eastAsia="宋体" w:cs="宋体"/>
          <w:sz w:val="24"/>
        </w:rPr>
        <w:t>软件业</w:t>
      </w:r>
      <w:r>
        <w:rPr>
          <w:rFonts w:hint="eastAsia" w:ascii="宋体" w:hAnsi="宋体" w:eastAsia="宋体" w:cs="宋体"/>
          <w:sz w:val="10"/>
        </w:rPr>
        <w:t>”</w:t>
      </w:r>
      <w:r>
        <w:rPr>
          <w:rFonts w:hint="eastAsia" w:ascii="宋体" w:hAnsi="宋体" w:eastAsia="宋体" w:cs="宋体"/>
          <w:sz w:val="24"/>
        </w:rPr>
        <w:t>下属的</w:t>
      </w:r>
      <w:r>
        <w:rPr>
          <w:rFonts w:hint="eastAsia" w:ascii="宋体" w:hAnsi="宋体" w:eastAsia="宋体" w:cs="宋体"/>
          <w:sz w:val="10"/>
        </w:rPr>
        <w:t>“</w:t>
      </w:r>
      <w:r>
        <w:rPr>
          <w:rFonts w:hint="eastAsia" w:ascii="Times New Roman" w:hAnsi="Times New Roman" w:eastAsia="Times New Roman" w:cs="Times New Roman"/>
          <w:sz w:val="24"/>
        </w:rPr>
        <w:t xml:space="preserve">I6510 </w:t>
      </w:r>
      <w:r>
        <w:rPr>
          <w:rFonts w:hint="eastAsia" w:ascii="宋体" w:hAnsi="宋体" w:eastAsia="宋体" w:cs="宋体"/>
          <w:sz w:val="24"/>
        </w:rPr>
        <w:t>应用软件服务业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软件行业的监管体系分为三部分</w:t>
      </w:r>
      <w:r>
        <w:rPr>
          <w:rFonts w:hint="eastAsia" w:ascii="宋体" w:hAnsi="宋体" w:eastAsia="宋体" w:cs="宋体"/>
          <w:sz w:val="10"/>
        </w:rPr>
        <w:t>：</w:t>
      </w:r>
      <w:r>
        <w:rPr>
          <w:rFonts w:hint="eastAsia" w:ascii="宋体" w:hAnsi="宋体" w:eastAsia="宋体" w:cs="宋体"/>
          <w:sz w:val="24"/>
        </w:rPr>
        <w:t>行业主管部门制定行业规划和准入政策</w:t>
      </w:r>
      <w:r>
        <w:rPr>
          <w:rFonts w:hint="eastAsia" w:ascii="宋体" w:hAnsi="宋体" w:eastAsia="宋体" w:cs="宋体"/>
          <w:sz w:val="12"/>
        </w:rPr>
        <w:t>；</w:t>
      </w:r>
      <w:r>
        <w:rPr>
          <w:rFonts w:hint="eastAsia" w:ascii="宋体" w:hAnsi="宋体" w:eastAsia="宋体" w:cs="宋体"/>
          <w:sz w:val="24"/>
        </w:rPr>
        <w:t>行业协会对会员进行引导和服务</w:t>
      </w:r>
      <w:r>
        <w:rPr>
          <w:rFonts w:hint="eastAsia" w:ascii="宋体" w:hAnsi="宋体" w:eastAsia="宋体" w:cs="宋体"/>
          <w:sz w:val="12"/>
        </w:rPr>
        <w:t>；</w:t>
      </w:r>
      <w:r>
        <w:rPr>
          <w:rFonts w:hint="eastAsia" w:ascii="宋体" w:hAnsi="宋体" w:eastAsia="宋体" w:cs="宋体"/>
          <w:sz w:val="24"/>
        </w:rPr>
        <w:t>客户所属行业的监管部门制定该行业信息技术管理规范政策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公司所属行业的监管部门是国家工业和信息化部以及各地的信息产业主管部门</w:t>
      </w:r>
      <w:r>
        <w:rPr>
          <w:rFonts w:hint="eastAsia" w:ascii="宋体" w:hAnsi="宋体" w:eastAsia="宋体" w:cs="宋体"/>
          <w:sz w:val="10"/>
        </w:rPr>
        <w:t>。</w:t>
      </w:r>
      <w:r>
        <w:rPr>
          <w:rFonts w:hint="eastAsia" w:ascii="宋体" w:hAnsi="宋体" w:eastAsia="宋体" w:cs="宋体"/>
          <w:sz w:val="24"/>
        </w:rPr>
        <w:t>国家工业和信息化部对软件行业的监管主要表现在以下几方面</w:t>
      </w:r>
      <w:r>
        <w:rPr>
          <w:rFonts w:hint="eastAsia" w:ascii="宋体" w:hAnsi="宋体" w:eastAsia="宋体" w:cs="宋体"/>
          <w:sz w:val="12"/>
        </w:rPr>
        <w:t>：</w:t>
      </w:r>
      <w:r>
        <w:rPr>
          <w:rFonts w:hint="eastAsia" w:ascii="宋体" w:hAnsi="宋体" w:eastAsia="宋体" w:cs="宋体"/>
          <w:sz w:val="24"/>
        </w:rPr>
        <w:t>负责指导软件业发展</w:t>
      </w:r>
      <w:r>
        <w:rPr>
          <w:rFonts w:hint="eastAsia" w:ascii="宋体" w:hAnsi="宋体" w:eastAsia="宋体" w:cs="宋体"/>
          <w:sz w:val="14"/>
        </w:rPr>
        <w:t>；</w:t>
      </w:r>
      <w:r>
        <w:rPr>
          <w:rFonts w:hint="eastAsia" w:ascii="宋体" w:hAnsi="宋体" w:eastAsia="宋体" w:cs="宋体"/>
          <w:sz w:val="24"/>
        </w:rPr>
        <w:t>拟订并组织实施软件</w:t>
      </w:r>
      <w:r>
        <w:rPr>
          <w:rFonts w:hint="eastAsia" w:ascii="宋体" w:hAnsi="宋体" w:eastAsia="宋体" w:cs="宋体"/>
          <w:sz w:val="10"/>
        </w:rPr>
        <w:t>、</w:t>
      </w:r>
      <w:r>
        <w:rPr>
          <w:rFonts w:hint="eastAsia" w:ascii="宋体" w:hAnsi="宋体" w:eastAsia="宋体" w:cs="宋体"/>
          <w:sz w:val="24"/>
        </w:rPr>
        <w:t>系统集成及服务的技术规范和标准</w:t>
      </w:r>
      <w:r>
        <w:rPr>
          <w:rFonts w:hint="eastAsia" w:ascii="宋体" w:hAnsi="宋体" w:eastAsia="宋体" w:cs="宋体"/>
          <w:sz w:val="14"/>
        </w:rPr>
        <w:t>；</w:t>
      </w:r>
      <w:r>
        <w:rPr>
          <w:rFonts w:hint="eastAsia" w:ascii="宋体" w:hAnsi="宋体" w:eastAsia="宋体" w:cs="宋体"/>
          <w:sz w:val="24"/>
        </w:rPr>
        <w:t>推动软件公共服务体系建设</w:t>
      </w:r>
      <w:r>
        <w:rPr>
          <w:rFonts w:hint="eastAsia" w:ascii="宋体" w:hAnsi="宋体" w:eastAsia="宋体" w:cs="宋体"/>
          <w:sz w:val="12"/>
        </w:rPr>
        <w:t>；</w:t>
      </w:r>
      <w:r>
        <w:rPr>
          <w:rFonts w:hint="eastAsia" w:ascii="宋体" w:hAnsi="宋体" w:eastAsia="宋体" w:cs="宋体"/>
          <w:sz w:val="24"/>
        </w:rPr>
        <w:t>推进软件服务外包</w:t>
      </w:r>
      <w:r>
        <w:rPr>
          <w:rFonts w:hint="eastAsia" w:ascii="宋体" w:hAnsi="宋体" w:eastAsia="宋体" w:cs="宋体"/>
          <w:sz w:val="12"/>
        </w:rPr>
        <w:t>；</w:t>
      </w:r>
      <w:r>
        <w:rPr>
          <w:rFonts w:hint="eastAsia" w:ascii="宋体" w:hAnsi="宋体" w:eastAsia="宋体" w:cs="宋体"/>
          <w:sz w:val="24"/>
        </w:rPr>
        <w:t>指导</w:t>
      </w:r>
      <w:r>
        <w:rPr>
          <w:rFonts w:hint="eastAsia" w:ascii="宋体" w:hAnsi="宋体" w:eastAsia="宋体" w:cs="宋体"/>
          <w:sz w:val="10"/>
        </w:rPr>
        <w:t>、</w:t>
      </w:r>
      <w:r>
        <w:rPr>
          <w:rFonts w:hint="eastAsia" w:ascii="宋体" w:hAnsi="宋体" w:eastAsia="宋体" w:cs="宋体"/>
          <w:sz w:val="24"/>
        </w:rPr>
        <w:t>协调信息安全技术开发等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中国软件行业协会及各地协会</w:t>
      </w:r>
      <w:r>
        <w:rPr>
          <w:rFonts w:hint="eastAsia" w:ascii="宋体" w:hAnsi="宋体" w:eastAsia="宋体" w:cs="宋体"/>
          <w:sz w:val="10"/>
        </w:rPr>
        <w:t>、</w:t>
      </w:r>
      <w:r>
        <w:rPr>
          <w:rFonts w:hint="eastAsia" w:ascii="宋体" w:hAnsi="宋体" w:eastAsia="宋体" w:cs="宋体"/>
          <w:sz w:val="24"/>
        </w:rPr>
        <w:t>各领域分会是软件行业内部指导</w:t>
      </w:r>
      <w:r>
        <w:rPr>
          <w:rFonts w:hint="eastAsia" w:ascii="宋体" w:hAnsi="宋体" w:eastAsia="宋体" w:cs="宋体"/>
          <w:sz w:val="10"/>
        </w:rPr>
        <w:t>、</w:t>
      </w:r>
      <w:r>
        <w:rPr>
          <w:rFonts w:hint="eastAsia" w:ascii="宋体" w:hAnsi="宋体" w:eastAsia="宋体" w:cs="宋体"/>
          <w:sz w:val="24"/>
        </w:rPr>
        <w:t>协调机构</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20"/>
        <w:jc w:val="both"/>
      </w:pPr>
      <w:r>
        <w:rPr>
          <w:rFonts w:hint="eastAsia" w:ascii="宋体" w:hAnsi="宋体" w:eastAsia="宋体" w:cs="宋体"/>
          <w:sz w:val="24"/>
        </w:rPr>
        <w:t>其主要职能为</w:t>
      </w:r>
      <w:r>
        <w:rPr>
          <w:rFonts w:hint="eastAsia" w:ascii="宋体" w:hAnsi="宋体" w:eastAsia="宋体" w:cs="宋体"/>
          <w:sz w:val="12"/>
        </w:rPr>
        <w:t>：</w:t>
      </w:r>
      <w:r>
        <w:rPr>
          <w:rFonts w:hint="eastAsia" w:ascii="宋体" w:hAnsi="宋体" w:eastAsia="宋体" w:cs="宋体"/>
          <w:sz w:val="24"/>
        </w:rPr>
        <w:t>从事产业及市场研究</w:t>
      </w:r>
      <w:r>
        <w:rPr>
          <w:rFonts w:hint="eastAsia" w:ascii="宋体" w:hAnsi="宋体" w:eastAsia="宋体" w:cs="宋体"/>
          <w:sz w:val="14"/>
        </w:rPr>
        <w:t>；</w:t>
      </w:r>
      <w:r>
        <w:rPr>
          <w:rFonts w:hint="eastAsia" w:ascii="宋体" w:hAnsi="宋体" w:eastAsia="宋体" w:cs="宋体"/>
          <w:sz w:val="24"/>
        </w:rPr>
        <w:t>对会员单位的公共服务</w:t>
      </w:r>
      <w:r>
        <w:rPr>
          <w:rFonts w:hint="eastAsia" w:ascii="宋体" w:hAnsi="宋体" w:eastAsia="宋体" w:cs="宋体"/>
          <w:sz w:val="14"/>
        </w:rPr>
        <w:t>；</w:t>
      </w:r>
      <w:r>
        <w:rPr>
          <w:rFonts w:hint="eastAsia" w:ascii="宋体" w:hAnsi="宋体" w:eastAsia="宋体" w:cs="宋体"/>
          <w:sz w:val="24"/>
        </w:rPr>
        <w:t>对行业自律进行管理</w:t>
      </w:r>
      <w:r>
        <w:rPr>
          <w:rFonts w:hint="eastAsia" w:ascii="宋体" w:hAnsi="宋体" w:eastAsia="宋体" w:cs="宋体"/>
          <w:sz w:val="12"/>
        </w:rPr>
        <w:t>；</w:t>
      </w:r>
      <w:r>
        <w:rPr>
          <w:rFonts w:hint="eastAsia" w:ascii="宋体" w:hAnsi="宋体" w:eastAsia="宋体" w:cs="宋体"/>
          <w:sz w:val="24"/>
        </w:rPr>
        <w:t>代表会员向政府部门提出产业发展建议等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另外</w:t>
      </w:r>
      <w:r>
        <w:rPr>
          <w:rFonts w:hint="eastAsia" w:ascii="宋体" w:hAnsi="宋体" w:eastAsia="宋体" w:cs="宋体"/>
          <w:sz w:val="10"/>
        </w:rPr>
        <w:t>，</w:t>
      </w:r>
      <w:r>
        <w:rPr>
          <w:rFonts w:hint="eastAsia" w:ascii="宋体" w:hAnsi="宋体" w:eastAsia="宋体" w:cs="宋体"/>
          <w:sz w:val="24"/>
        </w:rPr>
        <w:t>公司的主要客户为证券公司</w:t>
      </w:r>
      <w:r>
        <w:rPr>
          <w:rFonts w:hint="eastAsia" w:ascii="宋体" w:hAnsi="宋体" w:eastAsia="宋体" w:cs="宋体"/>
          <w:sz w:val="10"/>
        </w:rPr>
        <w:t>，</w:t>
      </w:r>
      <w:r>
        <w:rPr>
          <w:rFonts w:hint="eastAsia" w:ascii="宋体" w:hAnsi="宋体" w:eastAsia="宋体" w:cs="宋体"/>
          <w:sz w:val="24"/>
        </w:rPr>
        <w:t>在开展经营活动时还必须遵从证券行业监管部门关于信息产品和服务的有关规定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行业主要法律法规和政策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1-1-94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0"/>
        </w:rPr>
        <w:t>（</w:t>
      </w:r>
      <w:r>
        <w:rPr>
          <w:rFonts w:hint="eastAsia" w:ascii="Times New Roman" w:hAnsi="Times New Roman" w:eastAsia="Times New Roman" w:cs="Times New Roman"/>
          <w:sz w:val="24"/>
        </w:rPr>
        <w:t>1</w:t>
      </w:r>
      <w:r>
        <w:rPr>
          <w:rFonts w:hint="eastAsia" w:ascii="宋体" w:hAnsi="宋体" w:eastAsia="宋体" w:cs="宋体"/>
          <w:sz w:val="24"/>
        </w:rPr>
        <w:t>）软件行业相关法律法规及政策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我国软件行业的主要法律法规及政策如下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9340" w:type="auto"/>
        <w:tblInd w:w="12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60"/>
        <w:gridCol w:w="1980"/>
        <w:gridCol w:w="1420"/>
        <w:gridCol w:w="4960"/>
      </w:tblGrid>
      <w:tr>
        <w:trPr>
          <w:trHeight w:val="340" w:hRule="exact"/>
        </w:trPr>
        <w:tc>
          <w:tcPr>
            <w:tcW w:w="960" w:type="dxa"/>
            <w:tcMar>
              <w:top w:w="0" w:type="dxa"/>
              <w:left w:w="0" w:type="dxa"/>
              <w:bottom w:w="0" w:type="dxa"/>
              <w:right w:w="0" w:type="dxa"/>
            </w:tcMar>
          </w:tcPr>
          <w:p>
            <w:pPr>
              <w:spacing w:before="40"/>
              <w:ind w:left="260"/>
            </w:pPr>
            <w:r>
              <w:rPr>
                <w:rFonts w:hint="eastAsia" w:ascii="宋体" w:hAnsi="宋体" w:eastAsia="宋体" w:cs="宋体"/>
                <w:b/>
                <w:sz w:val="21"/>
              </w:rPr>
              <w:t>时间</w:t>
            </w:r>
          </w:p>
        </w:tc>
        <w:tc>
          <w:tcPr>
            <w:tcW w:w="1980" w:type="dxa"/>
            <w:tcMar>
              <w:top w:w="0" w:type="dxa"/>
              <w:left w:w="0" w:type="dxa"/>
              <w:bottom w:w="0" w:type="dxa"/>
              <w:right w:w="0" w:type="dxa"/>
            </w:tcMar>
          </w:tcPr>
          <w:p>
            <w:pPr>
              <w:spacing w:before="40"/>
              <w:ind w:left="560"/>
            </w:pPr>
            <w:r>
              <w:rPr>
                <w:rFonts w:hint="eastAsia" w:ascii="宋体" w:hAnsi="宋体" w:eastAsia="宋体" w:cs="宋体"/>
                <w:b/>
                <w:sz w:val="21"/>
              </w:rPr>
              <w:t>文件名称</w:t>
            </w:r>
          </w:p>
        </w:tc>
        <w:tc>
          <w:tcPr>
            <w:tcW w:w="1420" w:type="dxa"/>
            <w:tcMar>
              <w:top w:w="0" w:type="dxa"/>
              <w:left w:w="0" w:type="dxa"/>
              <w:bottom w:w="0" w:type="dxa"/>
              <w:right w:w="0" w:type="dxa"/>
            </w:tcMar>
          </w:tcPr>
          <w:p>
            <w:pPr>
              <w:spacing w:before="40"/>
              <w:ind w:left="280"/>
            </w:pPr>
            <w:r>
              <w:rPr>
                <w:rFonts w:hint="eastAsia" w:ascii="宋体" w:hAnsi="宋体" w:eastAsia="宋体" w:cs="宋体"/>
                <w:b/>
                <w:sz w:val="21"/>
              </w:rPr>
              <w:t>发文单位</w:t>
            </w:r>
          </w:p>
        </w:tc>
        <w:tc>
          <w:tcPr>
            <w:tcW w:w="4960" w:type="dxa"/>
            <w:tcMar>
              <w:top w:w="0" w:type="dxa"/>
              <w:left w:w="0" w:type="dxa"/>
              <w:bottom w:w="0" w:type="dxa"/>
              <w:right w:w="0" w:type="dxa"/>
            </w:tcMar>
          </w:tcPr>
          <w:p>
            <w:pPr>
              <w:spacing w:before="40"/>
              <w:ind w:left="2040"/>
            </w:pPr>
            <w:r>
              <w:rPr>
                <w:rFonts w:hint="eastAsia" w:ascii="宋体" w:hAnsi="宋体" w:eastAsia="宋体" w:cs="宋体"/>
                <w:b/>
                <w:sz w:val="21"/>
              </w:rPr>
              <w:t>主要内容</w:t>
            </w:r>
          </w:p>
        </w:tc>
      </w:tr>
      <w:tr>
        <w:trPr>
          <w:trHeight w:val="1560" w:hRule="exact"/>
        </w:trPr>
        <w:tc>
          <w:tcPr>
            <w:tcW w:w="960" w:type="dxa"/>
            <w:vMerge w:val="restart"/>
            <w:tcMar>
              <w:top w:w="0" w:type="dxa"/>
              <w:left w:w="0" w:type="dxa"/>
              <w:bottom w:w="0" w:type="dxa"/>
              <w:right w:w="0" w:type="dxa"/>
            </w:tcMar>
          </w:tcPr>
          <w:p>
            <w:pPr>
              <w:spacing w:before="1440"/>
              <w:ind w:left="120"/>
            </w:pPr>
            <w:r>
              <w:rPr>
                <w:rFonts w:hint="eastAsia" w:ascii="Times New Roman" w:hAnsi="Times New Roman" w:eastAsia="Times New Roman" w:cs="Times New Roman"/>
                <w:sz w:val="21"/>
              </w:rPr>
              <w:t>2000</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180"/>
            </w:pPr>
            <w:r>
              <w:rPr>
                <w:rFonts w:hint="eastAsia" w:ascii="宋体" w:hAnsi="宋体" w:eastAsia="宋体" w:cs="宋体"/>
                <w:sz w:val="20"/>
              </w:rPr>
              <w:t>《</w:t>
            </w:r>
            <w:r>
              <w:rPr>
                <w:rFonts w:hint="eastAsia" w:ascii="宋体" w:hAnsi="宋体" w:eastAsia="宋体" w:cs="宋体"/>
                <w:sz w:val="21"/>
              </w:rPr>
              <w:t>关于鼓励软件产</w:t>
            </w:r>
          </w:p>
          <w:p>
            <w:pPr>
              <w:spacing w:before="100"/>
            </w:pPr>
            <w:r>
              <w:rPr>
                <w:rFonts w:hint="eastAsia" w:ascii="宋体" w:hAnsi="宋体" w:eastAsia="宋体" w:cs="宋体"/>
                <w:sz w:val="21"/>
              </w:rPr>
              <w:t>业和集成电路产业</w:t>
            </w:r>
          </w:p>
          <w:p>
            <w:pPr>
              <w:spacing w:before="80"/>
            </w:pPr>
            <w:r>
              <w:rPr>
                <w:rFonts w:hint="eastAsia" w:ascii="宋体" w:hAnsi="宋体" w:eastAsia="宋体" w:cs="宋体"/>
                <w:sz w:val="21"/>
              </w:rPr>
              <w:t>发展若干的政策</w:t>
            </w:r>
            <w:r>
              <w:rPr>
                <w:rFonts w:hint="eastAsia" w:ascii="宋体" w:hAnsi="宋体" w:eastAsia="宋体" w:cs="宋体"/>
                <w:sz w:val="20"/>
              </w:rPr>
              <w:t>》</w:t>
            </w:r>
          </w:p>
          <w:p>
            <w:pPr>
              <w:spacing w:before="100"/>
            </w:pPr>
            <w:r>
              <w:rPr>
                <w:rFonts w:hint="eastAsia" w:ascii="宋体" w:hAnsi="宋体" w:eastAsia="宋体" w:cs="宋体"/>
                <w:sz w:val="21"/>
              </w:rPr>
              <w:t>国发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宋体" w:hAnsi="宋体" w:eastAsia="宋体" w:cs="宋体"/>
                <w:sz w:val="21"/>
              </w:rPr>
              <w:t xml:space="preserve"> 号</w:t>
            </w:r>
          </w:p>
        </w:tc>
        <w:tc>
          <w:tcPr>
            <w:tcW w:w="1420" w:type="dxa"/>
            <w:tcMar>
              <w:top w:w="0" w:type="dxa"/>
              <w:left w:w="0" w:type="dxa"/>
              <w:bottom w:w="0" w:type="dxa"/>
              <w:right w:w="0" w:type="dxa"/>
            </w:tcMar>
          </w:tcPr>
          <w:p>
            <w:pPr>
              <w:spacing w:before="660"/>
              <w:ind w:left="100"/>
            </w:pPr>
            <w:r>
              <w:rPr>
                <w:rFonts w:hint="eastAsia" w:ascii="宋体" w:hAnsi="宋体" w:eastAsia="宋体" w:cs="宋体"/>
                <w:sz w:val="21"/>
              </w:rPr>
              <w:t>国务院</w:t>
            </w:r>
          </w:p>
        </w:tc>
        <w:tc>
          <w:tcPr>
            <w:tcW w:w="4960" w:type="dxa"/>
            <w:tcMar>
              <w:top w:w="0" w:type="dxa"/>
              <w:left w:w="0" w:type="dxa"/>
              <w:bottom w:w="0" w:type="dxa"/>
              <w:right w:w="0" w:type="dxa"/>
            </w:tcMar>
          </w:tcPr>
          <w:p>
            <w:pPr>
              <w:spacing w:before="20"/>
              <w:ind w:left="100"/>
            </w:pPr>
            <w:r>
              <w:rPr>
                <w:rFonts w:hint="eastAsia" w:ascii="宋体" w:hAnsi="宋体" w:eastAsia="宋体" w:cs="宋体"/>
                <w:sz w:val="21"/>
              </w:rPr>
              <w:t>从投融资</w:t>
            </w:r>
            <w:r>
              <w:rPr>
                <w:rFonts w:hint="eastAsia" w:ascii="宋体" w:hAnsi="宋体" w:eastAsia="宋体" w:cs="宋体"/>
                <w:sz w:val="10"/>
              </w:rPr>
              <w:t>、</w:t>
            </w:r>
            <w:r>
              <w:rPr>
                <w:rFonts w:hint="eastAsia" w:ascii="宋体" w:hAnsi="宋体" w:eastAsia="宋体" w:cs="宋体"/>
                <w:sz w:val="21"/>
              </w:rPr>
              <w:t>税收</w:t>
            </w:r>
            <w:r>
              <w:rPr>
                <w:rFonts w:hint="eastAsia" w:ascii="宋体" w:hAnsi="宋体" w:eastAsia="宋体" w:cs="宋体"/>
                <w:sz w:val="10"/>
              </w:rPr>
              <w:t>、</w:t>
            </w:r>
            <w:r>
              <w:rPr>
                <w:rFonts w:hint="eastAsia" w:ascii="宋体" w:hAnsi="宋体" w:eastAsia="宋体" w:cs="宋体"/>
                <w:sz w:val="21"/>
              </w:rPr>
              <w:t>技术</w:t>
            </w:r>
            <w:r>
              <w:rPr>
                <w:rFonts w:hint="eastAsia" w:ascii="宋体" w:hAnsi="宋体" w:eastAsia="宋体" w:cs="宋体"/>
                <w:sz w:val="10"/>
              </w:rPr>
              <w:t>、</w:t>
            </w:r>
            <w:r>
              <w:rPr>
                <w:rFonts w:hint="eastAsia" w:ascii="宋体" w:hAnsi="宋体" w:eastAsia="宋体" w:cs="宋体"/>
                <w:sz w:val="21"/>
              </w:rPr>
              <w:t>出口</w:t>
            </w:r>
            <w:r>
              <w:rPr>
                <w:rFonts w:hint="eastAsia" w:ascii="宋体" w:hAnsi="宋体" w:eastAsia="宋体" w:cs="宋体"/>
                <w:sz w:val="10"/>
              </w:rPr>
              <w:t>、</w:t>
            </w:r>
            <w:r>
              <w:rPr>
                <w:rFonts w:hint="eastAsia" w:ascii="宋体" w:hAnsi="宋体" w:eastAsia="宋体" w:cs="宋体"/>
                <w:sz w:val="21"/>
              </w:rPr>
              <w:t>收入分配</w:t>
            </w:r>
            <w:r>
              <w:rPr>
                <w:rFonts w:hint="eastAsia" w:ascii="宋体" w:hAnsi="宋体" w:eastAsia="宋体" w:cs="宋体"/>
                <w:sz w:val="10"/>
              </w:rPr>
              <w:t>、</w:t>
            </w:r>
            <w:r>
              <w:rPr>
                <w:rFonts w:hint="eastAsia" w:ascii="宋体" w:hAnsi="宋体" w:eastAsia="宋体" w:cs="宋体"/>
                <w:sz w:val="21"/>
              </w:rPr>
              <w:t>人才</w:t>
            </w:r>
            <w:r>
              <w:rPr>
                <w:rFonts w:hint="eastAsia" w:ascii="宋体" w:hAnsi="宋体" w:eastAsia="宋体" w:cs="宋体"/>
                <w:sz w:val="10"/>
              </w:rPr>
              <w:t>、</w:t>
            </w:r>
            <w:r>
              <w:rPr>
                <w:rFonts w:hint="eastAsia" w:ascii="宋体" w:hAnsi="宋体" w:eastAsia="宋体" w:cs="宋体"/>
                <w:sz w:val="21"/>
              </w:rPr>
              <w:t>装</w:t>
            </w:r>
          </w:p>
          <w:p>
            <w:pPr>
              <w:spacing w:before="100"/>
              <w:ind w:left="100"/>
            </w:pPr>
            <w:r>
              <w:rPr>
                <w:rFonts w:hint="eastAsia" w:ascii="宋体" w:hAnsi="宋体" w:eastAsia="宋体" w:cs="宋体"/>
                <w:sz w:val="21"/>
              </w:rPr>
              <w:t>备及采购</w:t>
            </w:r>
            <w:r>
              <w:rPr>
                <w:rFonts w:hint="eastAsia" w:ascii="宋体" w:hAnsi="宋体" w:eastAsia="宋体" w:cs="宋体"/>
                <w:sz w:val="10"/>
              </w:rPr>
              <w:t>、</w:t>
            </w:r>
            <w:r>
              <w:rPr>
                <w:rFonts w:hint="eastAsia" w:ascii="宋体" w:hAnsi="宋体" w:eastAsia="宋体" w:cs="宋体"/>
                <w:sz w:val="21"/>
              </w:rPr>
              <w:t>企业认定</w:t>
            </w:r>
            <w:r>
              <w:rPr>
                <w:rFonts w:hint="eastAsia" w:ascii="宋体" w:hAnsi="宋体" w:eastAsia="宋体" w:cs="宋体"/>
                <w:sz w:val="10"/>
              </w:rPr>
              <w:t>、</w:t>
            </w:r>
            <w:r>
              <w:rPr>
                <w:rFonts w:hint="eastAsia" w:ascii="宋体" w:hAnsi="宋体" w:eastAsia="宋体" w:cs="宋体"/>
                <w:sz w:val="21"/>
              </w:rPr>
              <w:t>知识产权保护</w:t>
            </w:r>
            <w:r>
              <w:rPr>
                <w:rFonts w:hint="eastAsia" w:ascii="宋体" w:hAnsi="宋体" w:eastAsia="宋体" w:cs="宋体"/>
                <w:sz w:val="10"/>
              </w:rPr>
              <w:t>、</w:t>
            </w:r>
            <w:r>
              <w:rPr>
                <w:rFonts w:hint="eastAsia" w:ascii="宋体" w:hAnsi="宋体" w:eastAsia="宋体" w:cs="宋体"/>
                <w:sz w:val="21"/>
              </w:rPr>
              <w:t>行业管理等方</w:t>
            </w:r>
          </w:p>
          <w:p>
            <w:pPr>
              <w:spacing w:before="80"/>
              <w:ind w:left="100"/>
            </w:pPr>
            <w:r>
              <w:rPr>
                <w:rFonts w:hint="eastAsia" w:ascii="宋体" w:hAnsi="宋体" w:eastAsia="宋体" w:cs="宋体"/>
                <w:sz w:val="21"/>
              </w:rPr>
              <w:t>面为软件产业发展提供了强有力的政策支持</w:t>
            </w:r>
            <w:r>
              <w:rPr>
                <w:rFonts w:hint="eastAsia" w:ascii="宋体" w:hAnsi="宋体" w:eastAsia="宋体" w:cs="宋体"/>
                <w:sz w:val="10"/>
              </w:rPr>
              <w:t>，</w:t>
            </w:r>
            <w:r>
              <w:rPr>
                <w:rFonts w:hint="eastAsia" w:ascii="宋体" w:hAnsi="宋体" w:eastAsia="宋体" w:cs="宋体"/>
                <w:sz w:val="21"/>
              </w:rPr>
              <w:t>使我国</w:t>
            </w:r>
          </w:p>
          <w:p>
            <w:pPr>
              <w:spacing w:before="100"/>
              <w:ind w:left="100"/>
            </w:pPr>
            <w:r>
              <w:rPr>
                <w:rFonts w:hint="eastAsia" w:ascii="宋体" w:hAnsi="宋体" w:eastAsia="宋体" w:cs="宋体"/>
                <w:sz w:val="21"/>
              </w:rPr>
              <w:t>软件产业研究开发和生产能力达到或接近国际先进</w:t>
            </w:r>
          </w:p>
          <w:p>
            <w:pPr>
              <w:spacing w:before="100"/>
              <w:ind w:left="100"/>
            </w:pPr>
            <w:r>
              <w:rPr>
                <w:rFonts w:hint="eastAsia" w:ascii="宋体" w:hAnsi="宋体" w:eastAsia="宋体" w:cs="宋体"/>
                <w:sz w:val="21"/>
              </w:rPr>
              <w:t>水平的发展目标</w:t>
            </w:r>
          </w:p>
        </w:tc>
      </w:tr>
      <w:tr>
        <w:trPr>
          <w:trHeight w:val="1580" w:hRule="exact"/>
        </w:trPr>
        <w:tc>
          <w:tcPr>
            <w:tcW w:w="960" w:type="dxa"/>
            <w:vMerge w:val="continue"/>
            <w:tcMar>
              <w:top w:w="0" w:type="dxa"/>
              <w:left w:w="0" w:type="dxa"/>
              <w:bottom w:w="0" w:type="dxa"/>
              <w:right w:w="0" w:type="dxa"/>
            </w:tcMar>
          </w:tcPr>
          <w:p/>
        </w:tc>
        <w:tc>
          <w:tcPr>
            <w:tcW w:w="1980" w:type="dxa"/>
            <w:tcMar>
              <w:top w:w="0" w:type="dxa"/>
              <w:left w:w="0" w:type="dxa"/>
              <w:bottom w:w="0" w:type="dxa"/>
              <w:right w:w="0" w:type="dxa"/>
            </w:tcMar>
          </w:tcPr>
          <w:p>
            <w:pPr>
              <w:spacing w:before="180"/>
            </w:pPr>
            <w:r>
              <w:rPr>
                <w:rFonts w:hint="eastAsia" w:ascii="宋体" w:hAnsi="宋体" w:eastAsia="宋体" w:cs="宋体"/>
                <w:sz w:val="20"/>
              </w:rPr>
              <w:t>《</w:t>
            </w:r>
            <w:r>
              <w:rPr>
                <w:rFonts w:hint="eastAsia" w:ascii="宋体" w:hAnsi="宋体" w:eastAsia="宋体" w:cs="宋体"/>
                <w:sz w:val="21"/>
              </w:rPr>
              <w:t>软件企业认定标</w:t>
            </w:r>
          </w:p>
          <w:p>
            <w:pPr>
              <w:spacing w:before="100"/>
            </w:pPr>
            <w:r>
              <w:rPr>
                <w:rFonts w:hint="eastAsia" w:ascii="宋体" w:hAnsi="宋体" w:eastAsia="宋体" w:cs="宋体"/>
                <w:sz w:val="21"/>
              </w:rPr>
              <w:t>准及管理办法</w:t>
            </w:r>
            <w:r>
              <w:rPr>
                <w:rFonts w:hint="eastAsia" w:ascii="宋体" w:hAnsi="宋体" w:eastAsia="宋体" w:cs="宋体"/>
                <w:sz w:val="20"/>
              </w:rPr>
              <w:t>》</w:t>
            </w:r>
            <w:r>
              <w:rPr>
                <w:rFonts w:hint="eastAsia" w:ascii="宋体" w:hAnsi="宋体" w:eastAsia="宋体" w:cs="宋体"/>
                <w:sz w:val="21"/>
              </w:rPr>
              <w:t>信</w:t>
            </w:r>
          </w:p>
          <w:p>
            <w:pPr>
              <w:spacing w:before="100"/>
            </w:pPr>
            <w:r>
              <w:rPr>
                <w:rFonts w:hint="eastAsia" w:ascii="宋体" w:hAnsi="宋体" w:eastAsia="宋体" w:cs="宋体"/>
                <w:sz w:val="21"/>
              </w:rPr>
              <w:t>部 联 产</w:t>
            </w:r>
            <w:r>
              <w:rPr>
                <w:rFonts w:hint="eastAsia" w:ascii="Times New Roman" w:hAnsi="Times New Roman" w:eastAsia="Times New Roman" w:cs="Times New Roman"/>
                <w:sz w:val="20"/>
              </w:rPr>
              <w:t xml:space="preserve"> [</w:t>
            </w:r>
            <w:r>
              <w:rPr>
                <w:rFonts w:hint="eastAsia" w:ascii="Times New Roman" w:hAnsi="Times New Roman" w:eastAsia="Times New Roman" w:cs="Times New Roman"/>
                <w:sz w:val="21"/>
              </w:rPr>
              <w:t>2000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968</w:t>
            </w:r>
          </w:p>
          <w:p>
            <w:pPr>
              <w:spacing w:before="100"/>
            </w:pPr>
            <w:r>
              <w:rPr>
                <w:rFonts w:hint="eastAsia" w:ascii="宋体" w:hAnsi="宋体" w:eastAsia="宋体" w:cs="宋体"/>
                <w:sz w:val="21"/>
              </w:rPr>
              <w:t>号</w:t>
            </w:r>
          </w:p>
        </w:tc>
        <w:tc>
          <w:tcPr>
            <w:tcW w:w="1420" w:type="dxa"/>
            <w:tcMar>
              <w:top w:w="0" w:type="dxa"/>
              <w:left w:w="0" w:type="dxa"/>
              <w:bottom w:w="0" w:type="dxa"/>
              <w:right w:w="0" w:type="dxa"/>
            </w:tcMar>
          </w:tcPr>
          <w:p>
            <w:pPr>
              <w:spacing w:before="40"/>
              <w:ind w:left="100"/>
            </w:pPr>
            <w:r>
              <w:rPr>
                <w:rFonts w:hint="eastAsia" w:ascii="宋体" w:hAnsi="宋体" w:eastAsia="宋体" w:cs="宋体"/>
                <w:sz w:val="21"/>
              </w:rPr>
              <w:t>原信息产业</w:t>
            </w:r>
          </w:p>
          <w:p>
            <w:pPr>
              <w:spacing w:before="100"/>
              <w:ind w:left="100"/>
            </w:pPr>
            <w:r>
              <w:rPr>
                <w:rFonts w:hint="eastAsia" w:ascii="宋体" w:hAnsi="宋体" w:eastAsia="宋体" w:cs="宋体"/>
                <w:sz w:val="21"/>
              </w:rPr>
              <w:t>部</w:t>
            </w:r>
            <w:r>
              <w:rPr>
                <w:rFonts w:hint="eastAsia" w:ascii="宋体" w:hAnsi="宋体" w:eastAsia="宋体" w:cs="宋体"/>
                <w:sz w:val="10"/>
              </w:rPr>
              <w:t>、</w:t>
            </w:r>
            <w:r>
              <w:rPr>
                <w:rFonts w:hint="eastAsia" w:ascii="宋体" w:hAnsi="宋体" w:eastAsia="宋体" w:cs="宋体"/>
                <w:sz w:val="21"/>
              </w:rPr>
              <w:t>教育部</w:t>
            </w:r>
            <w:r>
              <w:rPr>
                <w:rFonts w:hint="eastAsia" w:ascii="宋体" w:hAnsi="宋体" w:eastAsia="宋体" w:cs="宋体"/>
                <w:sz w:val="10"/>
              </w:rPr>
              <w:t>、</w:t>
            </w:r>
          </w:p>
          <w:p>
            <w:pPr>
              <w:spacing w:before="100"/>
              <w:ind w:left="100"/>
            </w:pPr>
            <w:r>
              <w:rPr>
                <w:rFonts w:hint="eastAsia" w:ascii="宋体" w:hAnsi="宋体" w:eastAsia="宋体" w:cs="宋体"/>
                <w:sz w:val="21"/>
              </w:rPr>
              <w:t>科学技术部</w:t>
            </w:r>
          </w:p>
          <w:p>
            <w:pPr>
              <w:spacing w:before="80"/>
              <w:ind w:left="100"/>
            </w:pPr>
            <w:r>
              <w:rPr>
                <w:rFonts w:hint="eastAsia" w:ascii="宋体" w:hAnsi="宋体" w:eastAsia="宋体" w:cs="宋体"/>
                <w:sz w:val="21"/>
              </w:rPr>
              <w:t>和国家税务</w:t>
            </w:r>
          </w:p>
          <w:p>
            <w:pPr>
              <w:spacing w:before="100"/>
              <w:ind w:left="100"/>
            </w:pPr>
            <w:r>
              <w:rPr>
                <w:rFonts w:hint="eastAsia" w:ascii="宋体" w:hAnsi="宋体" w:eastAsia="宋体" w:cs="宋体"/>
                <w:sz w:val="21"/>
              </w:rPr>
              <w:t>总局</w:t>
            </w:r>
          </w:p>
        </w:tc>
        <w:tc>
          <w:tcPr>
            <w:tcW w:w="4960" w:type="dxa"/>
            <w:tcMar>
              <w:top w:w="0" w:type="dxa"/>
              <w:left w:w="0" w:type="dxa"/>
              <w:bottom w:w="0" w:type="dxa"/>
              <w:right w:w="0" w:type="dxa"/>
            </w:tcMar>
          </w:tcPr>
          <w:p>
            <w:pPr>
              <w:spacing w:before="500"/>
              <w:ind w:left="100"/>
            </w:pPr>
            <w:r>
              <w:rPr>
                <w:rFonts w:hint="eastAsia" w:ascii="宋体" w:hAnsi="宋体" w:eastAsia="宋体" w:cs="宋体"/>
                <w:sz w:val="21"/>
              </w:rPr>
              <w:t>明确软件企业认定标准和管理办法</w:t>
            </w:r>
            <w:r>
              <w:rPr>
                <w:rFonts w:hint="eastAsia" w:ascii="宋体" w:hAnsi="宋体" w:eastAsia="宋体" w:cs="宋体"/>
                <w:sz w:val="10"/>
              </w:rPr>
              <w:t>，</w:t>
            </w:r>
            <w:r>
              <w:rPr>
                <w:rFonts w:hint="eastAsia" w:ascii="宋体" w:hAnsi="宋体" w:eastAsia="宋体" w:cs="宋体"/>
                <w:sz w:val="21"/>
              </w:rPr>
              <w:t>办法指出被认定</w:t>
            </w:r>
          </w:p>
          <w:p>
            <w:pPr>
              <w:spacing w:before="100"/>
              <w:ind w:left="100"/>
            </w:pPr>
            <w:r>
              <w:rPr>
                <w:rFonts w:hint="eastAsia" w:ascii="宋体" w:hAnsi="宋体" w:eastAsia="宋体" w:cs="宋体"/>
                <w:sz w:val="21"/>
              </w:rPr>
              <w:t>的软件企业均可享受</w:t>
            </w:r>
            <w:r>
              <w:rPr>
                <w:rFonts w:hint="eastAsia" w:ascii="宋体" w:hAnsi="宋体" w:eastAsia="宋体" w:cs="宋体"/>
                <w:sz w:val="10"/>
              </w:rPr>
              <w:t>“</w:t>
            </w:r>
            <w:r>
              <w:rPr>
                <w:rFonts w:hint="eastAsia" w:ascii="宋体" w:hAnsi="宋体" w:eastAsia="宋体" w:cs="宋体"/>
                <w:sz w:val="21"/>
              </w:rPr>
              <w:t>政策</w:t>
            </w:r>
            <w:r>
              <w:rPr>
                <w:rFonts w:hint="eastAsia" w:ascii="宋体" w:hAnsi="宋体" w:eastAsia="宋体" w:cs="宋体"/>
                <w:sz w:val="10"/>
              </w:rPr>
              <w:t>”</w:t>
            </w:r>
            <w:r>
              <w:rPr>
                <w:rFonts w:hint="eastAsia" w:ascii="宋体" w:hAnsi="宋体" w:eastAsia="宋体" w:cs="宋体"/>
                <w:sz w:val="21"/>
              </w:rPr>
              <w:t>规定的有关鼓励政策</w:t>
            </w:r>
          </w:p>
        </w:tc>
      </w:tr>
      <w:tr>
        <w:trPr>
          <w:trHeight w:val="1260" w:hRule="exact"/>
        </w:trPr>
        <w:tc>
          <w:tcPr>
            <w:tcW w:w="960" w:type="dxa"/>
            <w:tcMar>
              <w:top w:w="0" w:type="dxa"/>
              <w:left w:w="0" w:type="dxa"/>
              <w:bottom w:w="0" w:type="dxa"/>
              <w:right w:w="0" w:type="dxa"/>
            </w:tcMar>
          </w:tcPr>
          <w:p>
            <w:pPr>
              <w:spacing w:before="500"/>
              <w:ind w:left="120"/>
            </w:pPr>
            <w:r>
              <w:rPr>
                <w:rFonts w:hint="eastAsia" w:ascii="Times New Roman" w:hAnsi="Times New Roman" w:eastAsia="Times New Roman" w:cs="Times New Roman"/>
                <w:sz w:val="21"/>
              </w:rPr>
              <w:t>2002</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40"/>
            </w:pPr>
            <w:r>
              <w:rPr>
                <w:rFonts w:hint="eastAsia" w:ascii="宋体" w:hAnsi="宋体" w:eastAsia="宋体" w:cs="宋体"/>
                <w:sz w:val="20"/>
              </w:rPr>
              <w:t>《</w:t>
            </w:r>
            <w:r>
              <w:rPr>
                <w:rFonts w:hint="eastAsia" w:ascii="宋体" w:hAnsi="宋体" w:eastAsia="宋体" w:cs="宋体"/>
                <w:sz w:val="21"/>
              </w:rPr>
              <w:t>振兴软件产业行</w:t>
            </w:r>
          </w:p>
          <w:p>
            <w:pPr>
              <w:spacing w:before="100"/>
            </w:pPr>
            <w:r>
              <w:rPr>
                <w:rFonts w:hint="eastAsia" w:ascii="宋体" w:hAnsi="宋体" w:eastAsia="宋体" w:cs="宋体"/>
                <w:sz w:val="21"/>
              </w:rPr>
              <w:t>动纲要</w:t>
            </w:r>
            <w:r>
              <w:rPr>
                <w:rFonts w:hint="eastAsia" w:ascii="宋体" w:hAnsi="宋体" w:eastAsia="宋体" w:cs="宋体"/>
                <w:sz w:val="20"/>
              </w:rPr>
              <w:t>（</w:t>
            </w:r>
            <w:r>
              <w:rPr>
                <w:rFonts w:hint="eastAsia" w:ascii="Times New Roman" w:hAnsi="Times New Roman" w:eastAsia="Times New Roman" w:cs="Times New Roman"/>
                <w:sz w:val="21"/>
              </w:rPr>
              <w:t>2002</w:t>
            </w:r>
            <w:r>
              <w:rPr>
                <w:rFonts w:hint="eastAsia" w:ascii="宋体" w:hAnsi="宋体" w:eastAsia="宋体" w:cs="宋体"/>
                <w:sz w:val="21"/>
              </w:rPr>
              <w:t xml:space="preserve"> 年</w:t>
            </w:r>
          </w:p>
          <w:p>
            <w:pPr>
              <w:spacing w:before="80"/>
            </w:pPr>
            <w:r>
              <w:rPr>
                <w:rFonts w:hint="eastAsia" w:ascii="Times New Roman" w:hAnsi="Times New Roman" w:eastAsia="Times New Roman" w:cs="Times New Roman"/>
                <w:sz w:val="21"/>
              </w:rPr>
              <w:t>-2005</w:t>
            </w:r>
            <w:r>
              <w:rPr>
                <w:rFonts w:hint="eastAsia" w:ascii="宋体" w:hAnsi="宋体" w:eastAsia="宋体" w:cs="宋体"/>
                <w:sz w:val="21"/>
              </w:rPr>
              <w:t xml:space="preserve"> 年</w:t>
            </w:r>
            <w:r>
              <w:rPr>
                <w:rFonts w:hint="eastAsia" w:ascii="宋体" w:hAnsi="宋体" w:eastAsia="宋体" w:cs="宋体"/>
                <w:sz w:val="20"/>
              </w:rPr>
              <w:t>）》</w:t>
            </w:r>
            <w:r>
              <w:rPr>
                <w:rFonts w:hint="eastAsia" w:ascii="宋体" w:hAnsi="宋体" w:eastAsia="宋体" w:cs="宋体"/>
                <w:sz w:val="21"/>
              </w:rPr>
              <w:t>国办发</w:t>
            </w:r>
          </w:p>
          <w:p>
            <w:pPr>
              <w:spacing w:before="12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r>
              <w:rPr>
                <w:rFonts w:hint="eastAsia" w:ascii="宋体" w:hAnsi="宋体" w:eastAsia="宋体" w:cs="宋体"/>
                <w:sz w:val="21"/>
              </w:rPr>
              <w:t xml:space="preserve"> 号</w:t>
            </w:r>
          </w:p>
        </w:tc>
        <w:tc>
          <w:tcPr>
            <w:tcW w:w="1420" w:type="dxa"/>
            <w:vMerge w:val="restart"/>
            <w:tcMar>
              <w:top w:w="0" w:type="dxa"/>
              <w:left w:w="0" w:type="dxa"/>
              <w:bottom w:w="0" w:type="dxa"/>
              <w:right w:w="0" w:type="dxa"/>
            </w:tcMar>
          </w:tcPr>
          <w:p>
            <w:pPr>
              <w:spacing w:before="1920"/>
              <w:ind w:left="100"/>
            </w:pPr>
            <w:r>
              <w:rPr>
                <w:rFonts w:hint="eastAsia" w:ascii="宋体" w:hAnsi="宋体" w:eastAsia="宋体" w:cs="宋体"/>
                <w:sz w:val="21"/>
              </w:rPr>
              <w:t>国务院</w:t>
            </w:r>
          </w:p>
        </w:tc>
        <w:tc>
          <w:tcPr>
            <w:tcW w:w="4960" w:type="dxa"/>
            <w:vMerge w:val="restart"/>
            <w:tcMar>
              <w:top w:w="0" w:type="dxa"/>
              <w:left w:w="0" w:type="dxa"/>
              <w:bottom w:w="0" w:type="dxa"/>
              <w:right w:w="0" w:type="dxa"/>
            </w:tcMar>
          </w:tcPr>
          <w:p>
            <w:pPr>
              <w:spacing w:before="40"/>
              <w:ind w:left="100"/>
            </w:pPr>
            <w:r>
              <w:rPr>
                <w:rFonts w:hint="eastAsia" w:ascii="宋体" w:hAnsi="宋体" w:eastAsia="宋体" w:cs="宋体"/>
                <w:sz w:val="21"/>
              </w:rPr>
              <w:t>指出软件产业是国民经济和社会信息化的基础性</w:t>
            </w:r>
            <w:r>
              <w:rPr>
                <w:rFonts w:hint="eastAsia" w:ascii="宋体" w:hAnsi="宋体" w:eastAsia="宋体" w:cs="宋体"/>
                <w:sz w:val="10"/>
              </w:rPr>
              <w:t>、</w:t>
            </w:r>
            <w:r>
              <w:rPr>
                <w:rFonts w:hint="eastAsia" w:ascii="宋体" w:hAnsi="宋体" w:eastAsia="宋体" w:cs="宋体"/>
                <w:sz w:val="21"/>
              </w:rPr>
              <w:t>战</w:t>
            </w:r>
          </w:p>
          <w:p>
            <w:pPr>
              <w:spacing w:before="80"/>
              <w:ind w:left="100"/>
            </w:pPr>
            <w:r>
              <w:rPr>
                <w:rFonts w:hint="eastAsia" w:ascii="宋体" w:hAnsi="宋体" w:eastAsia="宋体" w:cs="宋体"/>
                <w:sz w:val="21"/>
              </w:rPr>
              <w:t>略性产业</w:t>
            </w:r>
            <w:r>
              <w:rPr>
                <w:rFonts w:hint="eastAsia" w:ascii="宋体" w:hAnsi="宋体" w:eastAsia="宋体" w:cs="宋体"/>
                <w:sz w:val="10"/>
              </w:rPr>
              <w:t>，</w:t>
            </w:r>
            <w:r>
              <w:rPr>
                <w:rFonts w:hint="eastAsia" w:ascii="宋体" w:hAnsi="宋体" w:eastAsia="宋体" w:cs="宋体"/>
                <w:sz w:val="21"/>
              </w:rPr>
              <w:t>将软件产业的定位提到国民经济和社会发</w:t>
            </w:r>
          </w:p>
          <w:p>
            <w:pPr>
              <w:spacing w:before="100"/>
              <w:ind w:left="100"/>
            </w:pPr>
            <w:r>
              <w:rPr>
                <w:rFonts w:hint="eastAsia" w:ascii="宋体" w:hAnsi="宋体" w:eastAsia="宋体" w:cs="宋体"/>
                <w:sz w:val="21"/>
              </w:rPr>
              <w:t>展的基础性</w:t>
            </w:r>
            <w:r>
              <w:rPr>
                <w:rFonts w:hint="eastAsia" w:ascii="宋体" w:hAnsi="宋体" w:eastAsia="宋体" w:cs="宋体"/>
                <w:sz w:val="10"/>
              </w:rPr>
              <w:t>、</w:t>
            </w:r>
            <w:r>
              <w:rPr>
                <w:rFonts w:hint="eastAsia" w:ascii="宋体" w:hAnsi="宋体" w:eastAsia="宋体" w:cs="宋体"/>
                <w:sz w:val="21"/>
              </w:rPr>
              <w:t>战略性产业的高度上</w:t>
            </w:r>
            <w:r>
              <w:rPr>
                <w:rFonts w:hint="eastAsia" w:ascii="宋体" w:hAnsi="宋体" w:eastAsia="宋体" w:cs="宋体"/>
                <w:sz w:val="10"/>
              </w:rPr>
              <w:t>，</w:t>
            </w:r>
            <w:r>
              <w:rPr>
                <w:rFonts w:hint="eastAsia" w:ascii="宋体" w:hAnsi="宋体" w:eastAsia="宋体" w:cs="宋体"/>
                <w:sz w:val="21"/>
              </w:rPr>
              <w:t>明确指出要以信</w:t>
            </w:r>
          </w:p>
          <w:p>
            <w:pPr>
              <w:spacing w:before="100"/>
              <w:ind w:left="100"/>
            </w:pPr>
            <w:r>
              <w:rPr>
                <w:rFonts w:hint="eastAsia" w:ascii="宋体" w:hAnsi="宋体" w:eastAsia="宋体" w:cs="宋体"/>
                <w:sz w:val="21"/>
              </w:rPr>
              <w:t>息化带动工业化</w:t>
            </w:r>
            <w:r>
              <w:rPr>
                <w:rFonts w:hint="eastAsia" w:ascii="宋体" w:hAnsi="宋体" w:eastAsia="宋体" w:cs="宋体"/>
                <w:sz w:val="10"/>
              </w:rPr>
              <w:t>，</w:t>
            </w:r>
            <w:r>
              <w:rPr>
                <w:rFonts w:hint="eastAsia" w:ascii="宋体" w:hAnsi="宋体" w:eastAsia="宋体" w:cs="宋体"/>
                <w:sz w:val="21"/>
              </w:rPr>
              <w:t>为软件产业赋予了新的历史使命</w:t>
            </w:r>
            <w:r>
              <w:rPr>
                <w:rFonts w:hint="eastAsia" w:ascii="宋体" w:hAnsi="宋体" w:eastAsia="宋体" w:cs="宋体"/>
                <w:sz w:val="10"/>
              </w:rPr>
              <w:t>。</w:t>
            </w:r>
          </w:p>
          <w:p>
            <w:pPr>
              <w:spacing w:before="80"/>
              <w:ind w:left="100"/>
            </w:pPr>
            <w:r>
              <w:rPr>
                <w:rFonts w:hint="eastAsia" w:ascii="宋体" w:hAnsi="宋体" w:eastAsia="宋体" w:cs="宋体"/>
                <w:sz w:val="21"/>
              </w:rPr>
              <w:t>提出了我国科学技术发展的总体目标</w:t>
            </w:r>
            <w:r>
              <w:rPr>
                <w:rFonts w:hint="eastAsia" w:ascii="宋体" w:hAnsi="宋体" w:eastAsia="宋体" w:cs="宋体"/>
                <w:sz w:val="10"/>
              </w:rPr>
              <w:t>，</w:t>
            </w:r>
            <w:r>
              <w:rPr>
                <w:rFonts w:hint="eastAsia" w:ascii="宋体" w:hAnsi="宋体" w:eastAsia="宋体" w:cs="宋体"/>
                <w:sz w:val="21"/>
              </w:rPr>
              <w:t>将大型应用软</w:t>
            </w:r>
          </w:p>
          <w:p>
            <w:pPr>
              <w:spacing w:before="100"/>
              <w:ind w:left="100"/>
            </w:pPr>
            <w:r>
              <w:rPr>
                <w:rFonts w:hint="eastAsia" w:ascii="宋体" w:hAnsi="宋体" w:eastAsia="宋体" w:cs="宋体"/>
                <w:sz w:val="21"/>
              </w:rPr>
              <w:t>件的发展列入优先发展主题</w:t>
            </w:r>
            <w:r>
              <w:rPr>
                <w:rFonts w:hint="eastAsia" w:ascii="宋体" w:hAnsi="宋体" w:eastAsia="宋体" w:cs="宋体"/>
                <w:sz w:val="10"/>
              </w:rPr>
              <w:t>，</w:t>
            </w:r>
            <w:r>
              <w:rPr>
                <w:rFonts w:hint="eastAsia" w:ascii="宋体" w:hAnsi="宋体" w:eastAsia="宋体" w:cs="宋体"/>
                <w:sz w:val="21"/>
              </w:rPr>
              <w:t>并在科技投入</w:t>
            </w:r>
            <w:r>
              <w:rPr>
                <w:rFonts w:hint="eastAsia" w:ascii="宋体" w:hAnsi="宋体" w:eastAsia="宋体" w:cs="宋体"/>
                <w:sz w:val="10"/>
              </w:rPr>
              <w:t>、</w:t>
            </w:r>
            <w:r>
              <w:rPr>
                <w:rFonts w:hint="eastAsia" w:ascii="宋体" w:hAnsi="宋体" w:eastAsia="宋体" w:cs="宋体"/>
                <w:sz w:val="21"/>
              </w:rPr>
              <w:t>税收激</w:t>
            </w:r>
          </w:p>
          <w:p>
            <w:pPr>
              <w:spacing w:before="80"/>
              <w:ind w:left="100"/>
            </w:pPr>
            <w:r>
              <w:rPr>
                <w:rFonts w:hint="eastAsia" w:ascii="宋体" w:hAnsi="宋体" w:eastAsia="宋体" w:cs="宋体"/>
                <w:sz w:val="21"/>
              </w:rPr>
              <w:t>励</w:t>
            </w:r>
            <w:r>
              <w:rPr>
                <w:rFonts w:hint="eastAsia" w:ascii="宋体" w:hAnsi="宋体" w:eastAsia="宋体" w:cs="宋体"/>
                <w:sz w:val="10"/>
              </w:rPr>
              <w:t>、</w:t>
            </w:r>
            <w:r>
              <w:rPr>
                <w:rFonts w:hint="eastAsia" w:ascii="宋体" w:hAnsi="宋体" w:eastAsia="宋体" w:cs="宋体"/>
                <w:sz w:val="21"/>
              </w:rPr>
              <w:t>金融支持</w:t>
            </w:r>
            <w:r>
              <w:rPr>
                <w:rFonts w:hint="eastAsia" w:ascii="宋体" w:hAnsi="宋体" w:eastAsia="宋体" w:cs="宋体"/>
                <w:sz w:val="10"/>
              </w:rPr>
              <w:t>、</w:t>
            </w:r>
            <w:r>
              <w:rPr>
                <w:rFonts w:hint="eastAsia" w:ascii="宋体" w:hAnsi="宋体" w:eastAsia="宋体" w:cs="宋体"/>
                <w:sz w:val="21"/>
              </w:rPr>
              <w:t>政府采购</w:t>
            </w:r>
            <w:r>
              <w:rPr>
                <w:rFonts w:hint="eastAsia" w:ascii="宋体" w:hAnsi="宋体" w:eastAsia="宋体" w:cs="宋体"/>
                <w:sz w:val="10"/>
              </w:rPr>
              <w:t>、</w:t>
            </w:r>
            <w:r>
              <w:rPr>
                <w:rFonts w:hint="eastAsia" w:ascii="宋体" w:hAnsi="宋体" w:eastAsia="宋体" w:cs="宋体"/>
                <w:sz w:val="21"/>
              </w:rPr>
              <w:t>创造和保护知识产权</w:t>
            </w:r>
            <w:r>
              <w:rPr>
                <w:rFonts w:hint="eastAsia" w:ascii="宋体" w:hAnsi="宋体" w:eastAsia="宋体" w:cs="宋体"/>
                <w:sz w:val="10"/>
              </w:rPr>
              <w:t>、</w:t>
            </w:r>
            <w:r>
              <w:rPr>
                <w:rFonts w:hint="eastAsia" w:ascii="宋体" w:hAnsi="宋体" w:eastAsia="宋体" w:cs="宋体"/>
                <w:sz w:val="21"/>
              </w:rPr>
              <w:t>人</w:t>
            </w:r>
          </w:p>
          <w:p>
            <w:pPr>
              <w:spacing w:before="100"/>
              <w:ind w:left="100"/>
            </w:pPr>
            <w:r>
              <w:rPr>
                <w:rFonts w:hint="eastAsia" w:ascii="宋体" w:hAnsi="宋体" w:eastAsia="宋体" w:cs="宋体"/>
                <w:sz w:val="21"/>
              </w:rPr>
              <w:t>才队伍等多方面提出了具体措施</w:t>
            </w:r>
            <w:r>
              <w:rPr>
                <w:rFonts w:hint="eastAsia" w:ascii="宋体" w:hAnsi="宋体" w:eastAsia="宋体" w:cs="宋体"/>
                <w:sz w:val="10"/>
              </w:rPr>
              <w:t>。</w:t>
            </w: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在金融支持</w:t>
            </w:r>
          </w:p>
          <w:p>
            <w:pPr>
              <w:spacing w:before="100"/>
              <w:ind w:left="100"/>
            </w:pPr>
            <w:r>
              <w:rPr>
                <w:rFonts w:hint="eastAsia" w:ascii="宋体" w:hAnsi="宋体" w:eastAsia="宋体" w:cs="宋体"/>
                <w:sz w:val="21"/>
              </w:rPr>
              <w:t>方面</w:t>
            </w:r>
            <w:r>
              <w:rPr>
                <w:rFonts w:hint="eastAsia" w:ascii="宋体" w:hAnsi="宋体" w:eastAsia="宋体" w:cs="宋体"/>
                <w:sz w:val="10"/>
              </w:rPr>
              <w:t>，</w:t>
            </w:r>
            <w:r>
              <w:rPr>
                <w:rFonts w:hint="eastAsia" w:ascii="宋体" w:hAnsi="宋体" w:eastAsia="宋体" w:cs="宋体"/>
                <w:sz w:val="21"/>
              </w:rPr>
              <w:t>支持有条件的高新技术企业在国内主板</w:t>
            </w:r>
            <w:r>
              <w:rPr>
                <w:rFonts w:hint="eastAsia" w:ascii="宋体" w:hAnsi="宋体" w:eastAsia="宋体" w:cs="宋体"/>
                <w:sz w:val="10"/>
              </w:rPr>
              <w:t>、</w:t>
            </w:r>
            <w:r>
              <w:rPr>
                <w:rFonts w:hint="eastAsia" w:ascii="宋体" w:hAnsi="宋体" w:eastAsia="宋体" w:cs="宋体"/>
                <w:sz w:val="21"/>
              </w:rPr>
              <w:t>中小</w:t>
            </w:r>
          </w:p>
          <w:p>
            <w:pPr>
              <w:spacing w:before="100"/>
              <w:ind w:left="100"/>
            </w:pPr>
            <w:r>
              <w:rPr>
                <w:rFonts w:hint="eastAsia" w:ascii="宋体" w:hAnsi="宋体" w:eastAsia="宋体" w:cs="宋体"/>
                <w:sz w:val="21"/>
              </w:rPr>
              <w:t>企业板和创业板上市</w:t>
            </w:r>
            <w:r>
              <w:rPr>
                <w:rFonts w:hint="eastAsia" w:ascii="宋体" w:hAnsi="宋体" w:eastAsia="宋体" w:cs="宋体"/>
                <w:sz w:val="10"/>
              </w:rPr>
              <w:t>。</w:t>
            </w:r>
          </w:p>
          <w:p>
            <w:pPr>
              <w:spacing w:before="100"/>
              <w:ind w:left="100"/>
            </w:pPr>
            <w:r>
              <w:rPr>
                <w:rFonts w:hint="eastAsia" w:ascii="宋体" w:hAnsi="宋体" w:eastAsia="宋体" w:cs="宋体"/>
                <w:sz w:val="21"/>
              </w:rPr>
              <w:t>规划纲要将</w:t>
            </w:r>
            <w:r>
              <w:rPr>
                <w:rFonts w:hint="eastAsia" w:ascii="宋体" w:hAnsi="宋体" w:eastAsia="宋体" w:cs="宋体"/>
                <w:sz w:val="10"/>
              </w:rPr>
              <w:t>“</w:t>
            </w:r>
            <w:r>
              <w:rPr>
                <w:rFonts w:hint="eastAsia" w:ascii="宋体" w:hAnsi="宋体" w:eastAsia="宋体" w:cs="宋体"/>
                <w:sz w:val="21"/>
              </w:rPr>
              <w:t>数据库管理系统和支撑软件</w:t>
            </w:r>
            <w:r>
              <w:rPr>
                <w:rFonts w:hint="eastAsia" w:ascii="宋体" w:hAnsi="宋体" w:eastAsia="宋体" w:cs="宋体"/>
                <w:sz w:val="10"/>
              </w:rPr>
              <w:t>、</w:t>
            </w:r>
            <w:r>
              <w:rPr>
                <w:rFonts w:hint="eastAsia" w:ascii="宋体" w:hAnsi="宋体" w:eastAsia="宋体" w:cs="宋体"/>
                <w:sz w:val="21"/>
              </w:rPr>
              <w:t>面向应用</w:t>
            </w:r>
          </w:p>
          <w:p>
            <w:pPr>
              <w:spacing w:before="100"/>
              <w:ind w:left="100"/>
            </w:pPr>
            <w:r>
              <w:rPr>
                <w:rFonts w:hint="eastAsia" w:ascii="宋体" w:hAnsi="宋体" w:eastAsia="宋体" w:cs="宋体"/>
                <w:sz w:val="21"/>
              </w:rPr>
              <w:t>的中间件平台</w:t>
            </w:r>
            <w:r>
              <w:rPr>
                <w:rFonts w:hint="eastAsia" w:ascii="宋体" w:hAnsi="宋体" w:eastAsia="宋体" w:cs="宋体"/>
                <w:sz w:val="10"/>
              </w:rPr>
              <w:t>、</w:t>
            </w:r>
            <w:r>
              <w:rPr>
                <w:rFonts w:hint="eastAsia" w:ascii="宋体" w:hAnsi="宋体" w:eastAsia="宋体" w:cs="宋体"/>
                <w:sz w:val="21"/>
              </w:rPr>
              <w:t>重要行业的管理和应用软件</w:t>
            </w:r>
            <w:r>
              <w:rPr>
                <w:rFonts w:hint="eastAsia" w:ascii="宋体" w:hAnsi="宋体" w:eastAsia="宋体" w:cs="宋体"/>
                <w:sz w:val="10"/>
              </w:rPr>
              <w:t>”</w:t>
            </w:r>
            <w:r>
              <w:rPr>
                <w:rFonts w:hint="eastAsia" w:ascii="宋体" w:hAnsi="宋体" w:eastAsia="宋体" w:cs="宋体"/>
                <w:sz w:val="21"/>
              </w:rPr>
              <w:t>等列入</w:t>
            </w:r>
          </w:p>
          <w:p>
            <w:pPr>
              <w:spacing w:before="100"/>
              <w:ind w:left="100"/>
            </w:pPr>
            <w:r>
              <w:rPr>
                <w:rFonts w:hint="eastAsia" w:ascii="宋体" w:hAnsi="宋体" w:eastAsia="宋体" w:cs="宋体"/>
                <w:sz w:val="21"/>
              </w:rPr>
              <w:t>重点领域指南内容之</w:t>
            </w:r>
            <w:r>
              <w:rPr>
                <w:rFonts w:hint="eastAsia" w:ascii="宋体" w:hAnsi="宋体" w:eastAsia="宋体" w:cs="宋体"/>
                <w:sz w:val="20"/>
              </w:rPr>
              <w:t>一</w:t>
            </w:r>
          </w:p>
        </w:tc>
      </w:tr>
      <w:tr>
        <w:trPr>
          <w:trHeight w:val="1240" w:hRule="exact"/>
        </w:trPr>
        <w:tc>
          <w:tcPr>
            <w:tcW w:w="960" w:type="dxa"/>
            <w:tcMar>
              <w:top w:w="0" w:type="dxa"/>
              <w:left w:w="0" w:type="dxa"/>
              <w:bottom w:w="0" w:type="dxa"/>
              <w:right w:w="0" w:type="dxa"/>
            </w:tcMar>
          </w:tcPr>
          <w:p>
            <w:pPr>
              <w:spacing w:before="500"/>
              <w:ind w:left="120"/>
            </w:pPr>
            <w:r>
              <w:rPr>
                <w:rFonts w:hint="eastAsia" w:ascii="Times New Roman" w:hAnsi="Times New Roman" w:eastAsia="Times New Roman" w:cs="Times New Roman"/>
                <w:sz w:val="21"/>
              </w:rPr>
              <w:t>2005</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40"/>
            </w:pPr>
            <w:r>
              <w:rPr>
                <w:rFonts w:hint="eastAsia" w:ascii="宋体" w:hAnsi="宋体" w:eastAsia="宋体" w:cs="宋体"/>
                <w:sz w:val="20"/>
              </w:rPr>
              <w:t>《</w:t>
            </w:r>
            <w:r>
              <w:rPr>
                <w:rFonts w:hint="eastAsia" w:ascii="宋体" w:hAnsi="宋体" w:eastAsia="宋体" w:cs="宋体"/>
                <w:sz w:val="21"/>
              </w:rPr>
              <w:t>国家中长期科学</w:t>
            </w:r>
          </w:p>
          <w:p>
            <w:pPr>
              <w:spacing w:before="100"/>
            </w:pPr>
            <w:r>
              <w:rPr>
                <w:rFonts w:hint="eastAsia" w:ascii="宋体" w:hAnsi="宋体" w:eastAsia="宋体" w:cs="宋体"/>
                <w:sz w:val="21"/>
              </w:rPr>
              <w:t>和技术发展规划纲</w:t>
            </w:r>
          </w:p>
          <w:p>
            <w:pPr>
              <w:spacing w:before="100"/>
            </w:pPr>
            <w:r>
              <w:rPr>
                <w:rFonts w:hint="eastAsia" w:ascii="宋体" w:hAnsi="宋体" w:eastAsia="宋体" w:cs="宋体"/>
                <w:sz w:val="21"/>
              </w:rPr>
              <w:t>要</w:t>
            </w:r>
            <w:r>
              <w:rPr>
                <w:rFonts w:hint="eastAsia" w:ascii="宋体" w:hAnsi="宋体" w:eastAsia="宋体" w:cs="宋体"/>
                <w:sz w:val="20"/>
              </w:rPr>
              <w:t>（</w:t>
            </w:r>
            <w:r>
              <w:rPr>
                <w:rFonts w:hint="eastAsia" w:ascii="Times New Roman" w:hAnsi="Times New Roman" w:eastAsia="Times New Roman" w:cs="Times New Roman"/>
                <w:sz w:val="21"/>
              </w:rPr>
              <w:t>2006-2020</w:t>
            </w:r>
            <w:r>
              <w:rPr>
                <w:rFonts w:hint="eastAsia" w:ascii="宋体" w:hAnsi="宋体" w:eastAsia="宋体" w:cs="宋体"/>
                <w:sz w:val="21"/>
              </w:rPr>
              <w:t xml:space="preserve"> 年</w:t>
            </w:r>
            <w:r>
              <w:rPr>
                <w:rFonts w:hint="eastAsia" w:ascii="宋体" w:hAnsi="宋体" w:eastAsia="宋体" w:cs="宋体"/>
                <w:sz w:val="20"/>
              </w:rPr>
              <w:t>）》</w:t>
            </w:r>
          </w:p>
          <w:p>
            <w:pPr>
              <w:spacing w:before="100"/>
            </w:pPr>
            <w:r>
              <w:rPr>
                <w:rFonts w:hint="eastAsia" w:ascii="宋体" w:hAnsi="宋体" w:eastAsia="宋体" w:cs="宋体"/>
                <w:sz w:val="21"/>
              </w:rPr>
              <w:t>国发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r>
              <w:rPr>
                <w:rFonts w:hint="eastAsia" w:ascii="宋体" w:hAnsi="宋体" w:eastAsia="宋体" w:cs="宋体"/>
                <w:sz w:val="21"/>
              </w:rPr>
              <w:t xml:space="preserve"> 号</w:t>
            </w:r>
          </w:p>
        </w:tc>
        <w:tc>
          <w:tcPr>
            <w:tcW w:w="1420" w:type="dxa"/>
            <w:vMerge w:val="continue"/>
            <w:tcMar>
              <w:top w:w="0" w:type="dxa"/>
              <w:left w:w="0" w:type="dxa"/>
              <w:bottom w:w="0" w:type="dxa"/>
              <w:right w:w="0" w:type="dxa"/>
            </w:tcMar>
          </w:tcPr>
          <w:p/>
        </w:tc>
        <w:tc>
          <w:tcPr>
            <w:tcW w:w="4960" w:type="dxa"/>
            <w:vMerge w:val="continue"/>
            <w:tcMar>
              <w:top w:w="0" w:type="dxa"/>
              <w:left w:w="0" w:type="dxa"/>
              <w:bottom w:w="0" w:type="dxa"/>
              <w:right w:w="0" w:type="dxa"/>
            </w:tcMar>
          </w:tcPr>
          <w:p/>
        </w:tc>
      </w:tr>
      <w:tr>
        <w:trPr>
          <w:trHeight w:val="1580" w:hRule="exact"/>
        </w:trPr>
        <w:tc>
          <w:tcPr>
            <w:tcW w:w="960" w:type="dxa"/>
            <w:tcMar>
              <w:top w:w="0" w:type="dxa"/>
              <w:left w:w="0" w:type="dxa"/>
              <w:bottom w:w="0" w:type="dxa"/>
              <w:right w:w="0" w:type="dxa"/>
            </w:tcMar>
          </w:tcPr>
          <w:p>
            <w:pPr>
              <w:spacing w:before="680"/>
              <w:ind w:left="120"/>
            </w:pPr>
            <w:r>
              <w:rPr>
                <w:rFonts w:hint="eastAsia" w:ascii="Times New Roman" w:hAnsi="Times New Roman" w:eastAsia="Times New Roman" w:cs="Times New Roman"/>
                <w:sz w:val="21"/>
              </w:rPr>
              <w:t>2006</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40"/>
            </w:pPr>
            <w:r>
              <w:rPr>
                <w:rFonts w:hint="eastAsia" w:ascii="宋体" w:hAnsi="宋体" w:eastAsia="宋体" w:cs="宋体"/>
                <w:sz w:val="20"/>
              </w:rPr>
              <w:t>《</w:t>
            </w:r>
            <w:r>
              <w:rPr>
                <w:rFonts w:hint="eastAsia" w:ascii="宋体" w:hAnsi="宋体" w:eastAsia="宋体" w:cs="宋体"/>
                <w:sz w:val="21"/>
              </w:rPr>
              <w:t>国家中长期科学</w:t>
            </w:r>
          </w:p>
          <w:p>
            <w:pPr>
              <w:spacing w:before="100"/>
            </w:pPr>
            <w:r>
              <w:rPr>
                <w:rFonts w:hint="eastAsia" w:ascii="宋体" w:hAnsi="宋体" w:eastAsia="宋体" w:cs="宋体"/>
                <w:sz w:val="21"/>
              </w:rPr>
              <w:t>和技术发展规划纲</w:t>
            </w:r>
          </w:p>
          <w:p>
            <w:pPr>
              <w:spacing w:before="100"/>
            </w:pPr>
            <w:r>
              <w:rPr>
                <w:rFonts w:hint="eastAsia" w:ascii="宋体" w:hAnsi="宋体" w:eastAsia="宋体" w:cs="宋体"/>
                <w:sz w:val="21"/>
              </w:rPr>
              <w:t>要</w:t>
            </w:r>
            <w:r>
              <w:rPr>
                <w:rFonts w:hint="eastAsia" w:ascii="宋体" w:hAnsi="宋体" w:eastAsia="宋体" w:cs="宋体"/>
                <w:sz w:val="20"/>
              </w:rPr>
              <w:t>（</w:t>
            </w:r>
            <w:r>
              <w:rPr>
                <w:rFonts w:hint="eastAsia" w:ascii="Times New Roman" w:hAnsi="Times New Roman" w:eastAsia="Times New Roman" w:cs="Times New Roman"/>
                <w:sz w:val="21"/>
              </w:rPr>
              <w:t>2006-2020</w:t>
            </w:r>
            <w:r>
              <w:rPr>
                <w:rFonts w:hint="eastAsia" w:ascii="宋体" w:hAnsi="宋体" w:eastAsia="宋体" w:cs="宋体"/>
                <w:sz w:val="21"/>
              </w:rPr>
              <w:t xml:space="preserve"> 年</w:t>
            </w:r>
            <w:r>
              <w:rPr>
                <w:rFonts w:hint="eastAsia" w:ascii="宋体" w:hAnsi="宋体" w:eastAsia="宋体" w:cs="宋体"/>
                <w:sz w:val="20"/>
              </w:rPr>
              <w:t>）</w:t>
            </w:r>
          </w:p>
          <w:p>
            <w:pPr>
              <w:spacing w:before="100"/>
            </w:pPr>
            <w:r>
              <w:rPr>
                <w:rFonts w:hint="eastAsia" w:ascii="宋体" w:hAnsi="宋体" w:eastAsia="宋体" w:cs="宋体"/>
                <w:sz w:val="21"/>
              </w:rPr>
              <w:t>若干配套政策的通</w:t>
            </w:r>
          </w:p>
          <w:p>
            <w:pPr>
              <w:spacing w:before="80"/>
            </w:pPr>
            <w:r>
              <w:rPr>
                <w:rFonts w:hint="eastAsia" w:ascii="宋体" w:hAnsi="宋体" w:eastAsia="宋体" w:cs="宋体"/>
                <w:sz w:val="21"/>
              </w:rPr>
              <w:t>知</w:t>
            </w:r>
            <w:r>
              <w:rPr>
                <w:rFonts w:hint="eastAsia" w:ascii="宋体" w:hAnsi="宋体" w:eastAsia="宋体" w:cs="宋体"/>
                <w:sz w:val="20"/>
              </w:rPr>
              <w:t>》</w:t>
            </w:r>
            <w:r>
              <w:rPr>
                <w:rFonts w:hint="eastAsia" w:ascii="宋体" w:hAnsi="宋体" w:eastAsia="宋体" w:cs="宋体"/>
                <w:sz w:val="21"/>
              </w:rPr>
              <w:t>国发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w:t>
            </w:r>
            <w:r>
              <w:rPr>
                <w:rFonts w:hint="eastAsia" w:ascii="宋体" w:hAnsi="宋体" w:eastAsia="宋体" w:cs="宋体"/>
                <w:sz w:val="21"/>
              </w:rPr>
              <w:t xml:space="preserve"> 号</w:t>
            </w:r>
          </w:p>
        </w:tc>
        <w:tc>
          <w:tcPr>
            <w:tcW w:w="1420" w:type="dxa"/>
            <w:vMerge w:val="continue"/>
            <w:tcMar>
              <w:top w:w="0" w:type="dxa"/>
              <w:left w:w="0" w:type="dxa"/>
              <w:bottom w:w="0" w:type="dxa"/>
              <w:right w:w="0" w:type="dxa"/>
            </w:tcMar>
          </w:tcPr>
          <w:p/>
        </w:tc>
        <w:tc>
          <w:tcPr>
            <w:tcW w:w="4960" w:type="dxa"/>
            <w:vMerge w:val="continue"/>
            <w:tcMar>
              <w:top w:w="0" w:type="dxa"/>
              <w:left w:w="0" w:type="dxa"/>
              <w:bottom w:w="0" w:type="dxa"/>
              <w:right w:w="0" w:type="dxa"/>
            </w:tcMar>
          </w:tcPr>
          <w:p/>
        </w:tc>
      </w:tr>
      <w:tr>
        <w:trPr>
          <w:trHeight w:val="1880" w:hRule="exact"/>
        </w:trPr>
        <w:tc>
          <w:tcPr>
            <w:tcW w:w="960" w:type="dxa"/>
            <w:tcMar>
              <w:top w:w="0" w:type="dxa"/>
              <w:left w:w="0" w:type="dxa"/>
              <w:bottom w:w="0" w:type="dxa"/>
              <w:right w:w="0" w:type="dxa"/>
            </w:tcMar>
          </w:tcPr>
          <w:p>
            <w:pPr>
              <w:spacing w:before="800"/>
              <w:ind w:left="120"/>
            </w:pPr>
            <w:r>
              <w:rPr>
                <w:rFonts w:hint="eastAsia" w:ascii="Times New Roman" w:hAnsi="Times New Roman" w:eastAsia="Times New Roman" w:cs="Times New Roman"/>
                <w:sz w:val="21"/>
              </w:rPr>
              <w:t>2009</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200"/>
            </w:pPr>
            <w:r>
              <w:rPr>
                <w:rFonts w:hint="eastAsia" w:ascii="宋体" w:hAnsi="宋体" w:eastAsia="宋体" w:cs="宋体"/>
                <w:sz w:val="20"/>
              </w:rPr>
              <w:t>《</w:t>
            </w:r>
            <w:r>
              <w:rPr>
                <w:rFonts w:hint="eastAsia" w:ascii="宋体" w:hAnsi="宋体" w:eastAsia="宋体" w:cs="宋体"/>
                <w:sz w:val="21"/>
              </w:rPr>
              <w:t>关于鼓励政府和</w:t>
            </w:r>
          </w:p>
          <w:p>
            <w:pPr>
              <w:spacing w:before="100"/>
            </w:pPr>
            <w:r>
              <w:rPr>
                <w:rFonts w:hint="eastAsia" w:ascii="宋体" w:hAnsi="宋体" w:eastAsia="宋体" w:cs="宋体"/>
                <w:sz w:val="21"/>
              </w:rPr>
              <w:t>企业发包促进我国</w:t>
            </w:r>
          </w:p>
          <w:p>
            <w:pPr>
              <w:spacing w:before="80"/>
            </w:pPr>
            <w:r>
              <w:rPr>
                <w:rFonts w:hint="eastAsia" w:ascii="宋体" w:hAnsi="宋体" w:eastAsia="宋体" w:cs="宋体"/>
                <w:sz w:val="21"/>
              </w:rPr>
              <w:t>服务外包产业发展</w:t>
            </w:r>
          </w:p>
          <w:p>
            <w:pPr>
              <w:spacing w:before="120"/>
            </w:pPr>
            <w:r>
              <w:rPr>
                <w:rFonts w:hint="eastAsia" w:ascii="宋体" w:hAnsi="宋体" w:eastAsia="宋体" w:cs="宋体"/>
                <w:sz w:val="21"/>
              </w:rPr>
              <w:t>的指导意见</w:t>
            </w:r>
            <w:r>
              <w:rPr>
                <w:rFonts w:hint="eastAsia" w:ascii="宋体" w:hAnsi="宋体" w:eastAsia="宋体" w:cs="宋体"/>
                <w:sz w:val="20"/>
              </w:rPr>
              <w:t>》（</w:t>
            </w:r>
            <w:r>
              <w:rPr>
                <w:rFonts w:hint="eastAsia" w:ascii="宋体" w:hAnsi="宋体" w:eastAsia="宋体" w:cs="宋体"/>
                <w:sz w:val="21"/>
              </w:rPr>
              <w:t>财</w:t>
            </w:r>
          </w:p>
          <w:p>
            <w:pPr>
              <w:spacing w:before="100"/>
            </w:pPr>
            <w:r>
              <w:rPr>
                <w:rFonts w:hint="eastAsia" w:ascii="宋体" w:hAnsi="宋体" w:eastAsia="宋体" w:cs="宋体"/>
                <w:sz w:val="21"/>
              </w:rPr>
              <w:t>企</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w:t>
            </w:r>
            <w:r>
              <w:rPr>
                <w:rFonts w:hint="eastAsia" w:ascii="宋体" w:hAnsi="宋体" w:eastAsia="宋体" w:cs="宋体"/>
                <w:sz w:val="21"/>
              </w:rPr>
              <w:t xml:space="preserve"> 号</w:t>
            </w:r>
            <w:r>
              <w:rPr>
                <w:rFonts w:hint="eastAsia" w:ascii="宋体" w:hAnsi="宋体" w:eastAsia="宋体" w:cs="宋体"/>
                <w:sz w:val="20"/>
              </w:rPr>
              <w:t>）</w:t>
            </w:r>
          </w:p>
        </w:tc>
        <w:tc>
          <w:tcPr>
            <w:tcW w:w="1420" w:type="dxa"/>
            <w:tcMar>
              <w:top w:w="0" w:type="dxa"/>
              <w:left w:w="0" w:type="dxa"/>
              <w:bottom w:w="0" w:type="dxa"/>
              <w:right w:w="0" w:type="dxa"/>
            </w:tcMar>
          </w:tcPr>
          <w:p>
            <w:pPr>
              <w:spacing w:before="800"/>
              <w:ind w:left="100"/>
            </w:pPr>
            <w:r>
              <w:rPr>
                <w:rFonts w:hint="eastAsia" w:ascii="宋体" w:hAnsi="宋体" w:eastAsia="宋体" w:cs="宋体"/>
                <w:sz w:val="21"/>
              </w:rPr>
              <w:t>财政部</w:t>
            </w:r>
          </w:p>
        </w:tc>
        <w:tc>
          <w:tcPr>
            <w:tcW w:w="4960" w:type="dxa"/>
            <w:tcMar>
              <w:top w:w="0" w:type="dxa"/>
              <w:left w:w="0" w:type="dxa"/>
              <w:bottom w:w="0" w:type="dxa"/>
              <w:right w:w="0" w:type="dxa"/>
            </w:tcMar>
          </w:tcPr>
          <w:p>
            <w:pPr>
              <w:spacing w:before="20"/>
              <w:ind w:left="100"/>
            </w:pPr>
            <w:r>
              <w:rPr>
                <w:rFonts w:hint="eastAsia" w:ascii="宋体" w:hAnsi="宋体" w:eastAsia="宋体" w:cs="宋体"/>
                <w:sz w:val="21"/>
              </w:rPr>
              <w:t>鼓励政府和相关部门整合资源</w:t>
            </w:r>
            <w:r>
              <w:rPr>
                <w:rFonts w:hint="eastAsia" w:ascii="宋体" w:hAnsi="宋体" w:eastAsia="宋体" w:cs="宋体"/>
                <w:sz w:val="10"/>
              </w:rPr>
              <w:t>，</w:t>
            </w:r>
            <w:r>
              <w:rPr>
                <w:rFonts w:hint="eastAsia" w:ascii="宋体" w:hAnsi="宋体" w:eastAsia="宋体" w:cs="宋体"/>
                <w:sz w:val="21"/>
              </w:rPr>
              <w:t>将信息技术的开发</w:t>
            </w:r>
            <w:r>
              <w:rPr>
                <w:rFonts w:hint="eastAsia" w:ascii="宋体" w:hAnsi="宋体" w:eastAsia="宋体" w:cs="宋体"/>
                <w:sz w:val="10"/>
              </w:rPr>
              <w:t>、</w:t>
            </w:r>
          </w:p>
          <w:p>
            <w:pPr>
              <w:spacing w:before="100"/>
              <w:ind w:left="100"/>
            </w:pPr>
            <w:r>
              <w:rPr>
                <w:rFonts w:hint="eastAsia" w:ascii="宋体" w:hAnsi="宋体" w:eastAsia="宋体" w:cs="宋体"/>
                <w:sz w:val="21"/>
              </w:rPr>
              <w:t>应用和部分流程性业务发包给专业的服务供应商</w:t>
            </w:r>
            <w:r>
              <w:rPr>
                <w:rFonts w:hint="eastAsia" w:ascii="宋体" w:hAnsi="宋体" w:eastAsia="宋体" w:cs="宋体"/>
                <w:sz w:val="10"/>
              </w:rPr>
              <w:t>，</w:t>
            </w:r>
            <w:r>
              <w:rPr>
                <w:rFonts w:hint="eastAsia" w:ascii="宋体" w:hAnsi="宋体" w:eastAsia="宋体" w:cs="宋体"/>
                <w:sz w:val="21"/>
              </w:rPr>
              <w:t>扩</w:t>
            </w:r>
          </w:p>
          <w:p>
            <w:pPr>
              <w:spacing w:before="100"/>
              <w:ind w:left="100"/>
            </w:pPr>
            <w:r>
              <w:rPr>
                <w:rFonts w:hint="eastAsia" w:ascii="宋体" w:hAnsi="宋体" w:eastAsia="宋体" w:cs="宋体"/>
                <w:sz w:val="21"/>
              </w:rPr>
              <w:t>大内需市场</w:t>
            </w:r>
            <w:r>
              <w:rPr>
                <w:rFonts w:hint="eastAsia" w:ascii="宋体" w:hAnsi="宋体" w:eastAsia="宋体" w:cs="宋体"/>
                <w:sz w:val="10"/>
              </w:rPr>
              <w:t>，</w:t>
            </w:r>
            <w:r>
              <w:rPr>
                <w:rFonts w:hint="eastAsia" w:ascii="宋体" w:hAnsi="宋体" w:eastAsia="宋体" w:cs="宋体"/>
                <w:sz w:val="21"/>
              </w:rPr>
              <w:t>培育国内服务外包业的发展</w:t>
            </w:r>
            <w:r>
              <w:rPr>
                <w:rFonts w:hint="eastAsia" w:ascii="宋体" w:hAnsi="宋体" w:eastAsia="宋体" w:cs="宋体"/>
                <w:sz w:val="10"/>
              </w:rPr>
              <w:t>。</w:t>
            </w:r>
            <w:r>
              <w:rPr>
                <w:rFonts w:hint="eastAsia" w:ascii="宋体" w:hAnsi="宋体" w:eastAsia="宋体" w:cs="宋体"/>
                <w:sz w:val="21"/>
              </w:rPr>
              <w:t>综合运用</w:t>
            </w:r>
          </w:p>
          <w:p>
            <w:pPr>
              <w:spacing w:before="100"/>
              <w:ind w:left="100"/>
            </w:pPr>
            <w:r>
              <w:rPr>
                <w:rFonts w:hint="eastAsia" w:ascii="宋体" w:hAnsi="宋体" w:eastAsia="宋体" w:cs="宋体"/>
                <w:sz w:val="21"/>
              </w:rPr>
              <w:t>财政</w:t>
            </w:r>
            <w:r>
              <w:rPr>
                <w:rFonts w:hint="eastAsia" w:ascii="宋体" w:hAnsi="宋体" w:eastAsia="宋体" w:cs="宋体"/>
                <w:sz w:val="10"/>
              </w:rPr>
              <w:t>、</w:t>
            </w:r>
            <w:r>
              <w:rPr>
                <w:rFonts w:hint="eastAsia" w:ascii="宋体" w:hAnsi="宋体" w:eastAsia="宋体" w:cs="宋体"/>
                <w:sz w:val="21"/>
              </w:rPr>
              <w:t>金融</w:t>
            </w:r>
            <w:r>
              <w:rPr>
                <w:rFonts w:hint="eastAsia" w:ascii="宋体" w:hAnsi="宋体" w:eastAsia="宋体" w:cs="宋体"/>
                <w:sz w:val="10"/>
              </w:rPr>
              <w:t>、</w:t>
            </w:r>
            <w:r>
              <w:rPr>
                <w:rFonts w:hint="eastAsia" w:ascii="宋体" w:hAnsi="宋体" w:eastAsia="宋体" w:cs="宋体"/>
                <w:sz w:val="21"/>
              </w:rPr>
              <w:t>税收</w:t>
            </w:r>
            <w:r>
              <w:rPr>
                <w:rFonts w:hint="eastAsia" w:ascii="宋体" w:hAnsi="宋体" w:eastAsia="宋体" w:cs="宋体"/>
                <w:sz w:val="10"/>
              </w:rPr>
              <w:t>、</w:t>
            </w:r>
            <w:r>
              <w:rPr>
                <w:rFonts w:hint="eastAsia" w:ascii="宋体" w:hAnsi="宋体" w:eastAsia="宋体" w:cs="宋体"/>
                <w:sz w:val="21"/>
              </w:rPr>
              <w:t>政府采购等政策手段</w:t>
            </w:r>
            <w:r>
              <w:rPr>
                <w:rFonts w:hint="eastAsia" w:ascii="宋体" w:hAnsi="宋体" w:eastAsia="宋体" w:cs="宋体"/>
                <w:sz w:val="10"/>
              </w:rPr>
              <w:t>，</w:t>
            </w:r>
            <w:r>
              <w:rPr>
                <w:rFonts w:hint="eastAsia" w:ascii="宋体" w:hAnsi="宋体" w:eastAsia="宋体" w:cs="宋体"/>
                <w:sz w:val="21"/>
              </w:rPr>
              <w:t>积极推动</w:t>
            </w:r>
          </w:p>
          <w:p>
            <w:pPr>
              <w:spacing w:before="100"/>
              <w:ind w:left="100"/>
            </w:pPr>
            <w:r>
              <w:rPr>
                <w:rFonts w:hint="eastAsia" w:ascii="宋体" w:hAnsi="宋体" w:eastAsia="宋体" w:cs="宋体"/>
                <w:sz w:val="21"/>
              </w:rPr>
              <w:t>服务外包产业的快速发展</w:t>
            </w:r>
            <w:r>
              <w:rPr>
                <w:rFonts w:hint="eastAsia" w:ascii="宋体" w:hAnsi="宋体" w:eastAsia="宋体" w:cs="宋体"/>
                <w:sz w:val="10"/>
              </w:rPr>
              <w:t>。</w:t>
            </w:r>
            <w:r>
              <w:rPr>
                <w:rFonts w:hint="eastAsia" w:ascii="宋体" w:hAnsi="宋体" w:eastAsia="宋体" w:cs="宋体"/>
                <w:sz w:val="21"/>
              </w:rPr>
              <w:t>通过政策扶持加强对服务</w:t>
            </w:r>
          </w:p>
          <w:p>
            <w:pPr>
              <w:spacing w:before="80"/>
              <w:ind w:left="100"/>
            </w:pPr>
            <w:r>
              <w:rPr>
                <w:rFonts w:hint="eastAsia" w:ascii="宋体" w:hAnsi="宋体" w:eastAsia="宋体" w:cs="宋体"/>
                <w:sz w:val="21"/>
              </w:rPr>
              <w:t>外包企业的品牌宣传和推介</w:t>
            </w:r>
            <w:r>
              <w:rPr>
                <w:rFonts w:hint="eastAsia" w:ascii="宋体" w:hAnsi="宋体" w:eastAsia="宋体" w:cs="宋体"/>
                <w:sz w:val="10"/>
              </w:rPr>
              <w:t>，</w:t>
            </w:r>
            <w:r>
              <w:rPr>
                <w:rFonts w:hint="eastAsia" w:ascii="宋体" w:hAnsi="宋体" w:eastAsia="宋体" w:cs="宋体"/>
                <w:sz w:val="21"/>
              </w:rPr>
              <w:t>打造中国服务外包品牌</w:t>
            </w:r>
          </w:p>
        </w:tc>
      </w:tr>
      <w:tr>
        <w:trPr>
          <w:trHeight w:val="2200" w:hRule="exact"/>
        </w:trPr>
        <w:tc>
          <w:tcPr>
            <w:tcW w:w="960" w:type="dxa"/>
            <w:tcMar>
              <w:top w:w="0" w:type="dxa"/>
              <w:left w:w="0" w:type="dxa"/>
              <w:bottom w:w="0" w:type="dxa"/>
              <w:right w:w="0" w:type="dxa"/>
            </w:tcMar>
          </w:tcPr>
          <w:p>
            <w:pPr>
              <w:spacing w:before="960"/>
              <w:ind w:left="120"/>
            </w:pPr>
            <w:r>
              <w:rPr>
                <w:rFonts w:hint="eastAsia" w:ascii="Times New Roman" w:hAnsi="Times New Roman" w:eastAsia="Times New Roman" w:cs="Times New Roman"/>
                <w:sz w:val="21"/>
              </w:rPr>
              <w:t>2010</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660"/>
            </w:pPr>
            <w:r>
              <w:rPr>
                <w:rFonts w:hint="eastAsia" w:ascii="宋体" w:hAnsi="宋体" w:eastAsia="宋体" w:cs="宋体"/>
                <w:sz w:val="20"/>
              </w:rPr>
              <w:t>《</w:t>
            </w:r>
            <w:r>
              <w:rPr>
                <w:rFonts w:hint="eastAsia" w:ascii="宋体" w:hAnsi="宋体" w:eastAsia="宋体" w:cs="宋体"/>
                <w:sz w:val="21"/>
              </w:rPr>
              <w:t>国民经济和社会</w:t>
            </w:r>
          </w:p>
          <w:p>
            <w:pPr>
              <w:spacing w:before="80"/>
            </w:pPr>
            <w:r>
              <w:rPr>
                <w:rFonts w:hint="eastAsia" w:ascii="宋体" w:hAnsi="宋体" w:eastAsia="宋体" w:cs="宋体"/>
                <w:sz w:val="21"/>
              </w:rPr>
              <w:t>发展第十</w:t>
            </w:r>
            <w:r>
              <w:rPr>
                <w:rFonts w:hint="eastAsia" w:ascii="宋体" w:hAnsi="宋体" w:eastAsia="宋体" w:cs="宋体"/>
                <w:sz w:val="20"/>
              </w:rPr>
              <w:t>二</w:t>
            </w:r>
            <w:r>
              <w:rPr>
                <w:rFonts w:hint="eastAsia" w:ascii="宋体" w:hAnsi="宋体" w:eastAsia="宋体" w:cs="宋体"/>
                <w:sz w:val="21"/>
              </w:rPr>
              <w:t>个五年</w:t>
            </w:r>
          </w:p>
          <w:p>
            <w:pPr>
              <w:spacing w:before="100"/>
            </w:pPr>
            <w:r>
              <w:rPr>
                <w:rFonts w:hint="eastAsia" w:ascii="宋体" w:hAnsi="宋体" w:eastAsia="宋体" w:cs="宋体"/>
                <w:sz w:val="21"/>
              </w:rPr>
              <w:t>规划纲要</w:t>
            </w:r>
            <w:r>
              <w:rPr>
                <w:rFonts w:hint="eastAsia" w:ascii="宋体" w:hAnsi="宋体" w:eastAsia="宋体" w:cs="宋体"/>
                <w:sz w:val="20"/>
              </w:rPr>
              <w:t>》</w:t>
            </w:r>
          </w:p>
        </w:tc>
        <w:tc>
          <w:tcPr>
            <w:tcW w:w="1420" w:type="dxa"/>
            <w:tcMar>
              <w:top w:w="0" w:type="dxa"/>
              <w:left w:w="0" w:type="dxa"/>
              <w:bottom w:w="0" w:type="dxa"/>
              <w:right w:w="0" w:type="dxa"/>
            </w:tcMar>
          </w:tcPr>
          <w:p>
            <w:pPr>
              <w:spacing w:before="960"/>
              <w:ind w:left="100"/>
            </w:pPr>
            <w:r>
              <w:rPr>
                <w:rFonts w:hint="eastAsia" w:ascii="宋体" w:hAnsi="宋体" w:eastAsia="宋体" w:cs="宋体"/>
                <w:sz w:val="21"/>
              </w:rPr>
              <w:t>中共中央</w:t>
            </w:r>
          </w:p>
        </w:tc>
        <w:tc>
          <w:tcPr>
            <w:tcW w:w="4960" w:type="dxa"/>
            <w:tcMar>
              <w:top w:w="0" w:type="dxa"/>
              <w:left w:w="0" w:type="dxa"/>
              <w:bottom w:w="0" w:type="dxa"/>
              <w:right w:w="0" w:type="dxa"/>
            </w:tcMar>
          </w:tcPr>
          <w:p>
            <w:pPr>
              <w:spacing w:before="40"/>
              <w:ind w:left="100"/>
            </w:pPr>
            <w:r>
              <w:rPr>
                <w:rFonts w:hint="eastAsia" w:ascii="宋体" w:hAnsi="宋体" w:eastAsia="宋体" w:cs="宋体"/>
                <w:sz w:val="21"/>
              </w:rPr>
              <w:t>全面提高企业信息化水平</w:t>
            </w:r>
            <w:r>
              <w:rPr>
                <w:rFonts w:hint="eastAsia" w:ascii="宋体" w:hAnsi="宋体" w:eastAsia="宋体" w:cs="宋体"/>
                <w:sz w:val="10"/>
              </w:rPr>
              <w:t>。</w:t>
            </w:r>
            <w:r>
              <w:rPr>
                <w:rFonts w:hint="eastAsia" w:ascii="宋体" w:hAnsi="宋体" w:eastAsia="宋体" w:cs="宋体"/>
                <w:sz w:val="21"/>
              </w:rPr>
              <w:t>推动信息化和工业化深</w:t>
            </w:r>
          </w:p>
          <w:p>
            <w:pPr>
              <w:spacing w:before="80"/>
              <w:ind w:left="100"/>
            </w:pPr>
            <w:r>
              <w:rPr>
                <w:rFonts w:hint="eastAsia" w:ascii="宋体" w:hAnsi="宋体" w:eastAsia="宋体" w:cs="宋体"/>
                <w:sz w:val="21"/>
              </w:rPr>
              <w:t>度融合</w:t>
            </w:r>
            <w:r>
              <w:rPr>
                <w:rFonts w:hint="eastAsia" w:ascii="宋体" w:hAnsi="宋体" w:eastAsia="宋体" w:cs="宋体"/>
                <w:sz w:val="10"/>
              </w:rPr>
              <w:t>，</w:t>
            </w:r>
            <w:r>
              <w:rPr>
                <w:rFonts w:hint="eastAsia" w:ascii="宋体" w:hAnsi="宋体" w:eastAsia="宋体" w:cs="宋体"/>
                <w:sz w:val="21"/>
              </w:rPr>
              <w:t>加快经济社会各领域信息化</w:t>
            </w:r>
            <w:r>
              <w:rPr>
                <w:rFonts w:hint="eastAsia" w:ascii="宋体" w:hAnsi="宋体" w:eastAsia="宋体" w:cs="宋体"/>
                <w:sz w:val="10"/>
              </w:rPr>
              <w:t>。</w:t>
            </w:r>
            <w:r>
              <w:rPr>
                <w:rFonts w:hint="eastAsia" w:ascii="宋体" w:hAnsi="宋体" w:eastAsia="宋体" w:cs="宋体"/>
                <w:sz w:val="21"/>
              </w:rPr>
              <w:t>发展和提升</w:t>
            </w:r>
          </w:p>
          <w:p>
            <w:pPr>
              <w:spacing w:before="100"/>
              <w:ind w:left="100"/>
            </w:pPr>
            <w:r>
              <w:rPr>
                <w:rFonts w:hint="eastAsia" w:ascii="宋体" w:hAnsi="宋体" w:eastAsia="宋体" w:cs="宋体"/>
                <w:sz w:val="21"/>
              </w:rPr>
              <w:t>软件产业</w:t>
            </w:r>
            <w:r>
              <w:rPr>
                <w:rFonts w:hint="eastAsia" w:ascii="宋体" w:hAnsi="宋体" w:eastAsia="宋体" w:cs="宋体"/>
                <w:sz w:val="10"/>
              </w:rPr>
              <w:t>。</w:t>
            </w:r>
            <w:r>
              <w:rPr>
                <w:rFonts w:hint="eastAsia" w:ascii="宋体" w:hAnsi="宋体" w:eastAsia="宋体" w:cs="宋体"/>
                <w:sz w:val="21"/>
              </w:rPr>
              <w:t>积极发展电子商务</w:t>
            </w:r>
            <w:r>
              <w:rPr>
                <w:rFonts w:hint="eastAsia" w:ascii="宋体" w:hAnsi="宋体" w:eastAsia="宋体" w:cs="宋体"/>
                <w:sz w:val="10"/>
              </w:rPr>
              <w:t>。</w:t>
            </w:r>
            <w:r>
              <w:rPr>
                <w:rFonts w:hint="eastAsia" w:ascii="宋体" w:hAnsi="宋体" w:eastAsia="宋体" w:cs="宋体"/>
                <w:sz w:val="21"/>
              </w:rPr>
              <w:t>加强重要信息系统</w:t>
            </w:r>
          </w:p>
          <w:p>
            <w:pPr>
              <w:spacing w:before="80"/>
              <w:ind w:left="100"/>
            </w:pPr>
            <w:r>
              <w:rPr>
                <w:rFonts w:hint="eastAsia" w:ascii="宋体" w:hAnsi="宋体" w:eastAsia="宋体" w:cs="宋体"/>
                <w:sz w:val="21"/>
              </w:rPr>
              <w:t>建设</w:t>
            </w:r>
            <w:r>
              <w:rPr>
                <w:rFonts w:hint="eastAsia" w:ascii="宋体" w:hAnsi="宋体" w:eastAsia="宋体" w:cs="宋体"/>
                <w:sz w:val="10"/>
              </w:rPr>
              <w:t>，</w:t>
            </w:r>
            <w:r>
              <w:rPr>
                <w:rFonts w:hint="eastAsia" w:ascii="宋体" w:hAnsi="宋体" w:eastAsia="宋体" w:cs="宋体"/>
                <w:sz w:val="21"/>
              </w:rPr>
              <w:t>强化地理</w:t>
            </w:r>
            <w:r>
              <w:rPr>
                <w:rFonts w:hint="eastAsia" w:ascii="宋体" w:hAnsi="宋体" w:eastAsia="宋体" w:cs="宋体"/>
                <w:sz w:val="10"/>
              </w:rPr>
              <w:t>、</w:t>
            </w:r>
            <w:r>
              <w:rPr>
                <w:rFonts w:hint="eastAsia" w:ascii="宋体" w:hAnsi="宋体" w:eastAsia="宋体" w:cs="宋体"/>
                <w:sz w:val="21"/>
              </w:rPr>
              <w:t>人口</w:t>
            </w:r>
            <w:r>
              <w:rPr>
                <w:rFonts w:hint="eastAsia" w:ascii="宋体" w:hAnsi="宋体" w:eastAsia="宋体" w:cs="宋体"/>
                <w:sz w:val="10"/>
              </w:rPr>
              <w:t>、</w:t>
            </w:r>
            <w:r>
              <w:rPr>
                <w:rFonts w:hint="eastAsia" w:ascii="宋体" w:hAnsi="宋体" w:eastAsia="宋体" w:cs="宋体"/>
                <w:sz w:val="21"/>
              </w:rPr>
              <w:t>金融</w:t>
            </w:r>
            <w:r>
              <w:rPr>
                <w:rFonts w:hint="eastAsia" w:ascii="宋体" w:hAnsi="宋体" w:eastAsia="宋体" w:cs="宋体"/>
                <w:sz w:val="10"/>
              </w:rPr>
              <w:t>、</w:t>
            </w:r>
            <w:r>
              <w:rPr>
                <w:rFonts w:hint="eastAsia" w:ascii="宋体" w:hAnsi="宋体" w:eastAsia="宋体" w:cs="宋体"/>
                <w:sz w:val="21"/>
              </w:rPr>
              <w:t>税收</w:t>
            </w:r>
            <w:r>
              <w:rPr>
                <w:rFonts w:hint="eastAsia" w:ascii="宋体" w:hAnsi="宋体" w:eastAsia="宋体" w:cs="宋体"/>
                <w:sz w:val="10"/>
              </w:rPr>
              <w:t>、</w:t>
            </w:r>
            <w:r>
              <w:rPr>
                <w:rFonts w:hint="eastAsia" w:ascii="宋体" w:hAnsi="宋体" w:eastAsia="宋体" w:cs="宋体"/>
                <w:sz w:val="21"/>
              </w:rPr>
              <w:t>统计等基础</w:t>
            </w:r>
          </w:p>
          <w:p>
            <w:pPr>
              <w:spacing w:before="100"/>
              <w:ind w:left="100"/>
            </w:pPr>
            <w:r>
              <w:rPr>
                <w:rFonts w:hint="eastAsia" w:ascii="宋体" w:hAnsi="宋体" w:eastAsia="宋体" w:cs="宋体"/>
                <w:sz w:val="21"/>
              </w:rPr>
              <w:t>信息资源开发利用</w:t>
            </w:r>
            <w:r>
              <w:rPr>
                <w:rFonts w:hint="eastAsia" w:ascii="宋体" w:hAnsi="宋体" w:eastAsia="宋体" w:cs="宋体"/>
                <w:sz w:val="10"/>
              </w:rPr>
              <w:t>。</w:t>
            </w:r>
            <w:r>
              <w:rPr>
                <w:rFonts w:hint="eastAsia" w:ascii="宋体" w:hAnsi="宋体" w:eastAsia="宋体" w:cs="宋体"/>
                <w:sz w:val="21"/>
              </w:rPr>
              <w:t>以信息共享</w:t>
            </w:r>
            <w:r>
              <w:rPr>
                <w:rFonts w:hint="eastAsia" w:ascii="宋体" w:hAnsi="宋体" w:eastAsia="宋体" w:cs="宋体"/>
                <w:sz w:val="10"/>
              </w:rPr>
              <w:t>、</w:t>
            </w:r>
            <w:r>
              <w:rPr>
                <w:rFonts w:hint="eastAsia" w:ascii="宋体" w:hAnsi="宋体" w:eastAsia="宋体" w:cs="宋体"/>
                <w:sz w:val="21"/>
              </w:rPr>
              <w:t>互联互通为重</w:t>
            </w:r>
          </w:p>
          <w:p>
            <w:pPr>
              <w:spacing w:before="100"/>
              <w:ind w:left="100"/>
            </w:pPr>
            <w:r>
              <w:rPr>
                <w:rFonts w:hint="eastAsia" w:ascii="宋体" w:hAnsi="宋体" w:eastAsia="宋体" w:cs="宋体"/>
                <w:sz w:val="21"/>
              </w:rPr>
              <w:t>点</w:t>
            </w:r>
            <w:r>
              <w:rPr>
                <w:rFonts w:hint="eastAsia" w:ascii="宋体" w:hAnsi="宋体" w:eastAsia="宋体" w:cs="宋体"/>
                <w:sz w:val="10"/>
              </w:rPr>
              <w:t>，</w:t>
            </w:r>
            <w:r>
              <w:rPr>
                <w:rFonts w:hint="eastAsia" w:ascii="宋体" w:hAnsi="宋体" w:eastAsia="宋体" w:cs="宋体"/>
                <w:sz w:val="21"/>
              </w:rPr>
              <w:t>大力推进国家电子政务网络建设</w:t>
            </w:r>
            <w:r>
              <w:rPr>
                <w:rFonts w:hint="eastAsia" w:ascii="宋体" w:hAnsi="宋体" w:eastAsia="宋体" w:cs="宋体"/>
                <w:sz w:val="10"/>
              </w:rPr>
              <w:t>，</w:t>
            </w:r>
            <w:r>
              <w:rPr>
                <w:rFonts w:hint="eastAsia" w:ascii="宋体" w:hAnsi="宋体" w:eastAsia="宋体" w:cs="宋体"/>
                <w:sz w:val="21"/>
              </w:rPr>
              <w:t>整合提升政</w:t>
            </w:r>
          </w:p>
          <w:p>
            <w:pPr>
              <w:spacing w:before="100"/>
              <w:ind w:left="100"/>
            </w:pPr>
            <w:r>
              <w:rPr>
                <w:rFonts w:hint="eastAsia" w:ascii="宋体" w:hAnsi="宋体" w:eastAsia="宋体" w:cs="宋体"/>
                <w:sz w:val="21"/>
              </w:rPr>
              <w:t>府公共服务和管理能力</w:t>
            </w:r>
          </w:p>
        </w:tc>
      </w:tr>
      <w:tr>
        <w:trPr>
          <w:trHeight w:val="940" w:hRule="exact"/>
        </w:trPr>
        <w:tc>
          <w:tcPr>
            <w:tcW w:w="960" w:type="dxa"/>
            <w:tcMar>
              <w:top w:w="0" w:type="dxa"/>
              <w:left w:w="0" w:type="dxa"/>
              <w:bottom w:w="0" w:type="dxa"/>
              <w:right w:w="0" w:type="dxa"/>
            </w:tcMar>
          </w:tcPr>
          <w:p>
            <w:pPr>
              <w:spacing w:before="340"/>
              <w:ind w:left="120"/>
            </w:pPr>
            <w:r>
              <w:rPr>
                <w:rFonts w:hint="eastAsia" w:ascii="Times New Roman" w:hAnsi="Times New Roman" w:eastAsia="Times New Roman" w:cs="Times New Roman"/>
                <w:sz w:val="21"/>
              </w:rPr>
              <w:t>2011</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40"/>
            </w:pPr>
            <w:r>
              <w:rPr>
                <w:rFonts w:hint="eastAsia" w:ascii="宋体" w:hAnsi="宋体" w:eastAsia="宋体" w:cs="宋体"/>
                <w:sz w:val="20"/>
              </w:rPr>
              <w:t>《</w:t>
            </w:r>
            <w:r>
              <w:rPr>
                <w:rFonts w:hint="eastAsia" w:ascii="宋体" w:hAnsi="宋体" w:eastAsia="宋体" w:cs="宋体"/>
                <w:sz w:val="21"/>
              </w:rPr>
              <w:t>进</w:t>
            </w:r>
            <w:r>
              <w:rPr>
                <w:rFonts w:hint="eastAsia" w:ascii="宋体" w:hAnsi="宋体" w:eastAsia="宋体" w:cs="宋体"/>
                <w:sz w:val="20"/>
              </w:rPr>
              <w:t>一</w:t>
            </w:r>
            <w:r>
              <w:rPr>
                <w:rFonts w:hint="eastAsia" w:ascii="宋体" w:hAnsi="宋体" w:eastAsia="宋体" w:cs="宋体"/>
                <w:sz w:val="21"/>
              </w:rPr>
              <w:t>步鼓励软件</w:t>
            </w:r>
          </w:p>
          <w:p>
            <w:pPr>
              <w:spacing w:before="100"/>
            </w:pPr>
            <w:r>
              <w:rPr>
                <w:rFonts w:hint="eastAsia" w:ascii="宋体" w:hAnsi="宋体" w:eastAsia="宋体" w:cs="宋体"/>
                <w:sz w:val="21"/>
              </w:rPr>
              <w:t>产业和集成电路产</w:t>
            </w:r>
          </w:p>
          <w:p>
            <w:pPr>
              <w:spacing w:before="80"/>
            </w:pPr>
            <w:r>
              <w:rPr>
                <w:rFonts w:hint="eastAsia" w:ascii="宋体" w:hAnsi="宋体" w:eastAsia="宋体" w:cs="宋体"/>
                <w:sz w:val="21"/>
              </w:rPr>
              <w:t>业发展的若干政</w:t>
            </w:r>
          </w:p>
        </w:tc>
        <w:tc>
          <w:tcPr>
            <w:tcW w:w="1420" w:type="dxa"/>
            <w:tcMar>
              <w:top w:w="0" w:type="dxa"/>
              <w:left w:w="0" w:type="dxa"/>
              <w:bottom w:w="0" w:type="dxa"/>
              <w:right w:w="0" w:type="dxa"/>
            </w:tcMar>
          </w:tcPr>
          <w:p>
            <w:pPr>
              <w:spacing w:before="340"/>
              <w:ind w:left="100"/>
            </w:pPr>
            <w:r>
              <w:rPr>
                <w:rFonts w:hint="eastAsia" w:ascii="宋体" w:hAnsi="宋体" w:eastAsia="宋体" w:cs="宋体"/>
                <w:sz w:val="21"/>
              </w:rPr>
              <w:t>国务院</w:t>
            </w:r>
          </w:p>
        </w:tc>
        <w:tc>
          <w:tcPr>
            <w:tcW w:w="4960" w:type="dxa"/>
            <w:tcMar>
              <w:top w:w="0" w:type="dxa"/>
              <w:left w:w="0" w:type="dxa"/>
              <w:bottom w:w="0" w:type="dxa"/>
              <w:right w:w="0" w:type="dxa"/>
            </w:tcMar>
          </w:tcPr>
          <w:p>
            <w:pPr>
              <w:spacing w:before="20"/>
              <w:ind w:left="100"/>
            </w:pPr>
            <w:r>
              <w:rPr>
                <w:rFonts w:hint="eastAsia" w:ascii="宋体" w:hAnsi="宋体" w:eastAsia="宋体" w:cs="宋体"/>
                <w:sz w:val="21"/>
              </w:rPr>
              <w:t>继续实施</w:t>
            </w:r>
            <w:r>
              <w:rPr>
                <w:rFonts w:hint="eastAsia" w:ascii="宋体" w:hAnsi="宋体" w:eastAsia="宋体" w:cs="宋体"/>
                <w:sz w:val="10"/>
              </w:rPr>
              <w:t>“《</w:t>
            </w:r>
            <w:r>
              <w:rPr>
                <w:rFonts w:hint="eastAsia" w:ascii="宋体" w:hAnsi="宋体" w:eastAsia="宋体" w:cs="宋体"/>
                <w:sz w:val="21"/>
              </w:rPr>
              <w:t>关于鼓励软件产业和集成电路产业发展</w:t>
            </w:r>
          </w:p>
          <w:p>
            <w:pPr>
              <w:spacing w:before="100"/>
              <w:ind w:left="100"/>
            </w:pPr>
            <w:r>
              <w:rPr>
                <w:rFonts w:hint="eastAsia" w:ascii="宋体" w:hAnsi="宋体" w:eastAsia="宋体" w:cs="宋体"/>
                <w:sz w:val="21"/>
              </w:rPr>
              <w:t>若干的政策</w:t>
            </w:r>
            <w:r>
              <w:rPr>
                <w:rFonts w:hint="eastAsia" w:ascii="宋体" w:hAnsi="宋体" w:eastAsia="宋体" w:cs="宋体"/>
                <w:sz w:val="20"/>
              </w:rPr>
              <w:t>》</w:t>
            </w:r>
            <w:r>
              <w:rPr>
                <w:rFonts w:hint="eastAsia" w:ascii="宋体" w:hAnsi="宋体" w:eastAsia="宋体" w:cs="宋体"/>
                <w:sz w:val="21"/>
              </w:rPr>
              <w:t>国发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宋体" w:hAnsi="宋体" w:eastAsia="宋体" w:cs="宋体"/>
                <w:sz w:val="21"/>
              </w:rPr>
              <w:t xml:space="preserve"> 号</w:t>
            </w:r>
            <w:r>
              <w:rPr>
                <w:rFonts w:hint="eastAsia" w:ascii="宋体" w:hAnsi="宋体" w:eastAsia="宋体" w:cs="宋体"/>
                <w:sz w:val="10"/>
              </w:rPr>
              <w:t>”</w:t>
            </w:r>
            <w:r>
              <w:rPr>
                <w:rFonts w:hint="eastAsia" w:ascii="宋体" w:hAnsi="宋体" w:eastAsia="宋体" w:cs="宋体"/>
                <w:sz w:val="21"/>
              </w:rPr>
              <w:t>的软件增值税优惠政</w:t>
            </w:r>
          </w:p>
          <w:p>
            <w:pPr>
              <w:spacing w:before="80"/>
              <w:ind w:left="100"/>
            </w:pPr>
            <w:r>
              <w:rPr>
                <w:rFonts w:hint="eastAsia" w:ascii="宋体" w:hAnsi="宋体" w:eastAsia="宋体" w:cs="宋体"/>
                <w:sz w:val="21"/>
              </w:rPr>
              <w:t>策</w:t>
            </w:r>
            <w:r>
              <w:rPr>
                <w:rFonts w:hint="eastAsia" w:ascii="宋体" w:hAnsi="宋体" w:eastAsia="宋体" w:cs="宋体"/>
                <w:sz w:val="1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60"/>
        <w:jc w:val="both"/>
      </w:pPr>
      <w:r>
        <w:rPr>
          <w:rFonts w:hint="eastAsia" w:ascii="Times New Roman" w:hAnsi="Times New Roman" w:eastAsia="Times New Roman" w:cs="Times New Roman"/>
          <w:sz w:val="21"/>
        </w:rPr>
        <w:t>1-1-95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340" w:type="auto"/>
        <w:tblInd w:w="12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60"/>
        <w:gridCol w:w="1980"/>
        <w:gridCol w:w="1420"/>
        <w:gridCol w:w="4960"/>
      </w:tblGrid>
      <w:tr>
        <w:trPr>
          <w:trHeight w:val="1580" w:hRule="exact"/>
        </w:trPr>
        <w:tc>
          <w:tcPr>
            <w:tcW w:w="960" w:type="dxa"/>
            <w:vMerge w:val="restart"/>
            <w:tcMar>
              <w:top w:w="0" w:type="dxa"/>
              <w:left w:w="0" w:type="dxa"/>
              <w:bottom w:w="0" w:type="dxa"/>
              <w:right w:w="0" w:type="dxa"/>
            </w:tcMar>
          </w:tcPr>
          <w:p/>
        </w:tc>
        <w:tc>
          <w:tcPr>
            <w:tcW w:w="1980" w:type="dxa"/>
            <w:tcMar>
              <w:top w:w="0" w:type="dxa"/>
              <w:left w:w="0" w:type="dxa"/>
              <w:bottom w:w="0" w:type="dxa"/>
              <w:right w:w="0" w:type="dxa"/>
            </w:tcMar>
          </w:tcPr>
          <w:p>
            <w:pPr>
              <w:spacing w:before="40"/>
            </w:pPr>
            <w:r>
              <w:rPr>
                <w:rFonts w:hint="eastAsia" w:ascii="宋体" w:hAnsi="宋体" w:eastAsia="宋体" w:cs="宋体"/>
                <w:sz w:val="21"/>
              </w:rPr>
              <w:t>策</w:t>
            </w:r>
            <w:r>
              <w:rPr>
                <w:rFonts w:hint="eastAsia" w:ascii="宋体" w:hAnsi="宋体" w:eastAsia="宋体" w:cs="宋体"/>
                <w:sz w:val="20"/>
              </w:rPr>
              <w:t>》</w:t>
            </w:r>
            <w:r>
              <w:rPr>
                <w:rFonts w:hint="eastAsia" w:ascii="宋体" w:hAnsi="宋体" w:eastAsia="宋体" w:cs="宋体"/>
                <w:sz w:val="21"/>
              </w:rPr>
              <w:t>国发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w:t>
            </w:r>
            <w:r>
              <w:rPr>
                <w:rFonts w:hint="eastAsia" w:ascii="宋体" w:hAnsi="宋体" w:eastAsia="宋体" w:cs="宋体"/>
                <w:sz w:val="21"/>
              </w:rPr>
              <w:t xml:space="preserve"> 号</w:t>
            </w:r>
          </w:p>
        </w:tc>
        <w:tc>
          <w:tcPr>
            <w:tcW w:w="1420" w:type="dxa"/>
            <w:tcMar>
              <w:top w:w="0" w:type="dxa"/>
              <w:left w:w="0" w:type="dxa"/>
              <w:bottom w:w="0" w:type="dxa"/>
              <w:right w:w="0" w:type="dxa"/>
            </w:tcMar>
          </w:tcPr>
          <w:p/>
        </w:tc>
        <w:tc>
          <w:tcPr>
            <w:tcW w:w="4960" w:type="dxa"/>
            <w:tcMar>
              <w:top w:w="0" w:type="dxa"/>
              <w:left w:w="0" w:type="dxa"/>
              <w:bottom w:w="0" w:type="dxa"/>
              <w:right w:w="0" w:type="dxa"/>
            </w:tcMar>
          </w:tcPr>
          <w:p>
            <w:pPr>
              <w:spacing w:before="40"/>
              <w:ind w:left="100"/>
            </w:pPr>
            <w:r>
              <w:rPr>
                <w:rFonts w:hint="eastAsia" w:ascii="宋体" w:hAnsi="宋体" w:eastAsia="宋体" w:cs="宋体"/>
                <w:sz w:val="21"/>
              </w:rPr>
              <w:t>进</w:t>
            </w:r>
            <w:r>
              <w:rPr>
                <w:rFonts w:hint="eastAsia" w:ascii="宋体" w:hAnsi="宋体" w:eastAsia="宋体" w:cs="宋体"/>
                <w:sz w:val="20"/>
              </w:rPr>
              <w:t>一</w:t>
            </w:r>
            <w:r>
              <w:rPr>
                <w:rFonts w:hint="eastAsia" w:ascii="宋体" w:hAnsi="宋体" w:eastAsia="宋体" w:cs="宋体"/>
                <w:sz w:val="21"/>
              </w:rPr>
              <w:t>步落实和完善相关营业税优惠政策</w:t>
            </w:r>
            <w:r>
              <w:rPr>
                <w:rFonts w:hint="eastAsia" w:ascii="宋体" w:hAnsi="宋体" w:eastAsia="宋体" w:cs="宋体"/>
                <w:sz w:val="10"/>
              </w:rPr>
              <w:t>，</w:t>
            </w:r>
            <w:r>
              <w:rPr>
                <w:rFonts w:hint="eastAsia" w:ascii="宋体" w:hAnsi="宋体" w:eastAsia="宋体" w:cs="宋体"/>
                <w:sz w:val="21"/>
              </w:rPr>
              <w:t>对符合条件</w:t>
            </w:r>
          </w:p>
          <w:p>
            <w:pPr>
              <w:spacing w:before="100"/>
              <w:ind w:left="100"/>
            </w:pPr>
            <w:r>
              <w:rPr>
                <w:rFonts w:hint="eastAsia" w:ascii="宋体" w:hAnsi="宋体" w:eastAsia="宋体" w:cs="宋体"/>
                <w:sz w:val="21"/>
              </w:rPr>
              <w:t>的软件企业和集成电路设计企业免征营业税</w:t>
            </w:r>
            <w:r>
              <w:rPr>
                <w:rFonts w:hint="eastAsia" w:ascii="宋体" w:hAnsi="宋体" w:eastAsia="宋体" w:cs="宋体"/>
                <w:sz w:val="10"/>
              </w:rPr>
              <w:t>。</w:t>
            </w:r>
          </w:p>
          <w:p>
            <w:pPr>
              <w:spacing w:before="100"/>
              <w:ind w:left="100"/>
            </w:pPr>
            <w:r>
              <w:rPr>
                <w:rFonts w:hint="eastAsia" w:ascii="宋体" w:hAnsi="宋体" w:eastAsia="宋体" w:cs="宋体"/>
                <w:sz w:val="21"/>
              </w:rPr>
              <w:t>重点支持基础软件</w:t>
            </w:r>
            <w:r>
              <w:rPr>
                <w:rFonts w:hint="eastAsia" w:ascii="宋体" w:hAnsi="宋体" w:eastAsia="宋体" w:cs="宋体"/>
                <w:sz w:val="10"/>
              </w:rPr>
              <w:t>、</w:t>
            </w:r>
            <w:r>
              <w:rPr>
                <w:rFonts w:hint="eastAsia" w:ascii="宋体" w:hAnsi="宋体" w:eastAsia="宋体" w:cs="宋体"/>
                <w:sz w:val="21"/>
              </w:rPr>
              <w:t>面向新</w:t>
            </w:r>
            <w:r>
              <w:rPr>
                <w:rFonts w:hint="eastAsia" w:ascii="宋体" w:hAnsi="宋体" w:eastAsia="宋体" w:cs="宋体"/>
                <w:sz w:val="20"/>
              </w:rPr>
              <w:t>一</w:t>
            </w:r>
            <w:r>
              <w:rPr>
                <w:rFonts w:hint="eastAsia" w:ascii="宋体" w:hAnsi="宋体" w:eastAsia="宋体" w:cs="宋体"/>
                <w:sz w:val="21"/>
              </w:rPr>
              <w:t>代信息网络的高端软</w:t>
            </w:r>
          </w:p>
          <w:p>
            <w:pPr>
              <w:spacing w:before="80"/>
              <w:ind w:left="100"/>
            </w:pPr>
            <w:r>
              <w:rPr>
                <w:rFonts w:hint="eastAsia" w:ascii="宋体" w:hAnsi="宋体" w:eastAsia="宋体" w:cs="宋体"/>
                <w:sz w:val="21"/>
              </w:rPr>
              <w:t>件</w:t>
            </w:r>
            <w:r>
              <w:rPr>
                <w:rFonts w:hint="eastAsia" w:ascii="宋体" w:hAnsi="宋体" w:eastAsia="宋体" w:cs="宋体"/>
                <w:sz w:val="10"/>
              </w:rPr>
              <w:t>、</w:t>
            </w:r>
            <w:r>
              <w:rPr>
                <w:rFonts w:hint="eastAsia" w:ascii="宋体" w:hAnsi="宋体" w:eastAsia="宋体" w:cs="宋体"/>
                <w:sz w:val="21"/>
              </w:rPr>
              <w:t>工业软件</w:t>
            </w:r>
            <w:r>
              <w:rPr>
                <w:rFonts w:hint="eastAsia" w:ascii="宋体" w:hAnsi="宋体" w:eastAsia="宋体" w:cs="宋体"/>
                <w:sz w:val="10"/>
              </w:rPr>
              <w:t>、</w:t>
            </w:r>
            <w:r>
              <w:rPr>
                <w:rFonts w:hint="eastAsia" w:ascii="宋体" w:hAnsi="宋体" w:eastAsia="宋体" w:cs="宋体"/>
                <w:sz w:val="21"/>
              </w:rPr>
              <w:t>数字内容相关软件等关键应用系统的</w:t>
            </w:r>
          </w:p>
          <w:p>
            <w:pPr>
              <w:spacing w:before="100"/>
              <w:ind w:left="100"/>
            </w:pPr>
            <w:r>
              <w:rPr>
                <w:rFonts w:hint="eastAsia" w:ascii="宋体" w:hAnsi="宋体" w:eastAsia="宋体" w:cs="宋体"/>
                <w:sz w:val="21"/>
              </w:rPr>
              <w:t>研发以及重要技术标准的制订</w:t>
            </w:r>
          </w:p>
        </w:tc>
      </w:tr>
      <w:tr>
        <w:trPr>
          <w:trHeight w:val="940" w:hRule="exact"/>
        </w:trPr>
        <w:tc>
          <w:tcPr>
            <w:tcW w:w="960" w:type="dxa"/>
            <w:vMerge w:val="continue"/>
            <w:tcMar>
              <w:top w:w="0" w:type="dxa"/>
              <w:left w:w="0" w:type="dxa"/>
              <w:bottom w:w="0" w:type="dxa"/>
              <w:right w:w="0" w:type="dxa"/>
            </w:tcMar>
          </w:tcPr>
          <w:p/>
        </w:tc>
        <w:tc>
          <w:tcPr>
            <w:tcW w:w="1980" w:type="dxa"/>
            <w:tcMar>
              <w:top w:w="0" w:type="dxa"/>
              <w:left w:w="0" w:type="dxa"/>
              <w:bottom w:w="0" w:type="dxa"/>
              <w:right w:w="0" w:type="dxa"/>
            </w:tcMar>
          </w:tcPr>
          <w:p>
            <w:pPr>
              <w:spacing w:before="40"/>
            </w:pPr>
            <w:r>
              <w:rPr>
                <w:rFonts w:hint="eastAsia" w:ascii="宋体" w:hAnsi="宋体" w:eastAsia="宋体" w:cs="宋体"/>
                <w:sz w:val="20"/>
              </w:rPr>
              <w:t>《</w:t>
            </w:r>
            <w:r>
              <w:rPr>
                <w:rFonts w:hint="eastAsia" w:ascii="宋体" w:hAnsi="宋体" w:eastAsia="宋体" w:cs="宋体"/>
                <w:sz w:val="21"/>
              </w:rPr>
              <w:t>关于软件产品增</w:t>
            </w:r>
          </w:p>
          <w:p>
            <w:pPr>
              <w:spacing w:before="100"/>
            </w:pPr>
            <w:r>
              <w:rPr>
                <w:rFonts w:hint="eastAsia" w:ascii="宋体" w:hAnsi="宋体" w:eastAsia="宋体" w:cs="宋体"/>
                <w:sz w:val="21"/>
              </w:rPr>
              <w:t>值税政策的通知</w:t>
            </w:r>
            <w:r>
              <w:rPr>
                <w:rFonts w:hint="eastAsia" w:ascii="宋体" w:hAnsi="宋体" w:eastAsia="宋体" w:cs="宋体"/>
                <w:sz w:val="20"/>
              </w:rPr>
              <w:t>》</w:t>
            </w:r>
          </w:p>
          <w:p>
            <w:pPr>
              <w:spacing w:before="100"/>
            </w:pPr>
            <w:r>
              <w:rPr>
                <w:rFonts w:hint="eastAsia" w:ascii="宋体" w:hAnsi="宋体" w:eastAsia="宋体" w:cs="宋体"/>
                <w:sz w:val="21"/>
              </w:rPr>
              <w:t>财税</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100</w:t>
            </w:r>
            <w:r>
              <w:rPr>
                <w:rFonts w:hint="eastAsia" w:ascii="宋体" w:hAnsi="宋体" w:eastAsia="宋体" w:cs="宋体"/>
                <w:sz w:val="21"/>
              </w:rPr>
              <w:t xml:space="preserve"> 号</w:t>
            </w:r>
          </w:p>
        </w:tc>
        <w:tc>
          <w:tcPr>
            <w:tcW w:w="1420" w:type="dxa"/>
            <w:tcMar>
              <w:top w:w="0" w:type="dxa"/>
              <w:left w:w="0" w:type="dxa"/>
              <w:bottom w:w="0" w:type="dxa"/>
              <w:right w:w="0" w:type="dxa"/>
            </w:tcMar>
          </w:tcPr>
          <w:p>
            <w:pPr>
              <w:spacing w:before="180"/>
              <w:ind w:left="100"/>
            </w:pPr>
            <w:r>
              <w:rPr>
                <w:rFonts w:hint="eastAsia" w:ascii="宋体" w:hAnsi="宋体" w:eastAsia="宋体" w:cs="宋体"/>
                <w:sz w:val="21"/>
              </w:rPr>
              <w:t>财政部</w:t>
            </w:r>
            <w:r>
              <w:rPr>
                <w:rFonts w:hint="eastAsia" w:ascii="宋体" w:hAnsi="宋体" w:eastAsia="宋体" w:cs="宋体"/>
                <w:sz w:val="10"/>
              </w:rPr>
              <w:t>、</w:t>
            </w:r>
            <w:r>
              <w:rPr>
                <w:rFonts w:hint="eastAsia" w:ascii="宋体" w:hAnsi="宋体" w:eastAsia="宋体" w:cs="宋体"/>
                <w:sz w:val="21"/>
              </w:rPr>
              <w:t>国家</w:t>
            </w:r>
          </w:p>
          <w:p>
            <w:pPr>
              <w:spacing w:before="100"/>
              <w:ind w:left="100"/>
            </w:pPr>
            <w:r>
              <w:rPr>
                <w:rFonts w:hint="eastAsia" w:ascii="宋体" w:hAnsi="宋体" w:eastAsia="宋体" w:cs="宋体"/>
                <w:sz w:val="21"/>
              </w:rPr>
              <w:t>税务总局</w:t>
            </w:r>
          </w:p>
        </w:tc>
        <w:tc>
          <w:tcPr>
            <w:tcW w:w="4960" w:type="dxa"/>
            <w:tcMar>
              <w:top w:w="0" w:type="dxa"/>
              <w:left w:w="0" w:type="dxa"/>
              <w:bottom w:w="0" w:type="dxa"/>
              <w:right w:w="0" w:type="dxa"/>
            </w:tcMar>
          </w:tcPr>
          <w:p>
            <w:pPr>
              <w:spacing w:before="20"/>
              <w:ind w:left="100"/>
            </w:pPr>
            <w:r>
              <w:rPr>
                <w:rFonts w:hint="eastAsia" w:ascii="宋体" w:hAnsi="宋体" w:eastAsia="宋体" w:cs="宋体"/>
                <w:sz w:val="21"/>
              </w:rPr>
              <w:t>增值税</w:t>
            </w:r>
            <w:r>
              <w:rPr>
                <w:rFonts w:hint="eastAsia" w:ascii="宋体" w:hAnsi="宋体" w:eastAsia="宋体" w:cs="宋体"/>
                <w:sz w:val="20"/>
              </w:rPr>
              <w:t>一</w:t>
            </w:r>
            <w:r>
              <w:rPr>
                <w:rFonts w:hint="eastAsia" w:ascii="宋体" w:hAnsi="宋体" w:eastAsia="宋体" w:cs="宋体"/>
                <w:sz w:val="21"/>
              </w:rPr>
              <w:t>般纳税人销售其自行开发生产的软件产品</w:t>
            </w:r>
            <w:r>
              <w:rPr>
                <w:rFonts w:hint="eastAsia" w:ascii="宋体" w:hAnsi="宋体" w:eastAsia="宋体" w:cs="宋体"/>
                <w:sz w:val="10"/>
              </w:rPr>
              <w:t>，</w:t>
            </w:r>
          </w:p>
          <w:p>
            <w:pPr>
              <w:spacing w:before="100"/>
              <w:ind w:left="100"/>
            </w:pPr>
            <w:r>
              <w:rPr>
                <w:rFonts w:hint="eastAsia" w:ascii="宋体" w:hAnsi="宋体" w:eastAsia="宋体" w:cs="宋体"/>
                <w:sz w:val="21"/>
              </w:rPr>
              <w:t>按</w:t>
            </w:r>
            <w:r>
              <w:rPr>
                <w:rFonts w:hint="eastAsia" w:ascii="Times New Roman" w:hAnsi="Times New Roman" w:eastAsia="Times New Roman" w:cs="Times New Roman"/>
                <w:sz w:val="21"/>
              </w:rPr>
              <w:t xml:space="preserve"> 17</w:t>
            </w:r>
            <w:r>
              <w:rPr>
                <w:rFonts w:hint="eastAsia" w:ascii="Times New Roman" w:hAnsi="Times New Roman" w:eastAsia="Times New Roman" w:cs="Times New Roman"/>
                <w:sz w:val="20"/>
              </w:rPr>
              <w:t>%</w:t>
            </w:r>
            <w:r>
              <w:rPr>
                <w:rFonts w:hint="eastAsia" w:ascii="宋体" w:hAnsi="宋体" w:eastAsia="宋体" w:cs="宋体"/>
                <w:sz w:val="21"/>
              </w:rPr>
              <w:t>税率征收增值税后</w:t>
            </w:r>
            <w:r>
              <w:rPr>
                <w:rFonts w:hint="eastAsia" w:ascii="宋体" w:hAnsi="宋体" w:eastAsia="宋体" w:cs="宋体"/>
                <w:sz w:val="10"/>
              </w:rPr>
              <w:t>，</w:t>
            </w:r>
            <w:r>
              <w:rPr>
                <w:rFonts w:hint="eastAsia" w:ascii="宋体" w:hAnsi="宋体" w:eastAsia="宋体" w:cs="宋体"/>
                <w:sz w:val="21"/>
              </w:rPr>
              <w:t>对其增值税实际税负超过</w:t>
            </w:r>
          </w:p>
          <w:p>
            <w:pPr>
              <w:spacing w:before="80"/>
              <w:ind w:left="1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宋体" w:hAnsi="宋体" w:eastAsia="宋体" w:cs="宋体"/>
                <w:sz w:val="21"/>
              </w:rPr>
              <w:t>的部分实行即征即退政策</w:t>
            </w:r>
          </w:p>
        </w:tc>
      </w:tr>
      <w:tr>
        <w:trPr>
          <w:trHeight w:val="1560" w:hRule="exact"/>
        </w:trPr>
        <w:tc>
          <w:tcPr>
            <w:tcW w:w="960" w:type="dxa"/>
            <w:vMerge w:val="continue"/>
            <w:tcMar>
              <w:top w:w="0" w:type="dxa"/>
              <w:left w:w="0" w:type="dxa"/>
              <w:bottom w:w="0" w:type="dxa"/>
              <w:right w:w="0" w:type="dxa"/>
            </w:tcMar>
          </w:tcPr>
          <w:p/>
        </w:tc>
        <w:tc>
          <w:tcPr>
            <w:tcW w:w="1980" w:type="dxa"/>
            <w:tcMar>
              <w:top w:w="0" w:type="dxa"/>
              <w:left w:w="0" w:type="dxa"/>
              <w:bottom w:w="0" w:type="dxa"/>
              <w:right w:w="0" w:type="dxa"/>
            </w:tcMar>
          </w:tcPr>
          <w:p>
            <w:pPr>
              <w:spacing w:before="20"/>
            </w:pPr>
            <w:r>
              <w:rPr>
                <w:rFonts w:hint="eastAsia" w:ascii="宋体" w:hAnsi="宋体" w:eastAsia="宋体" w:cs="宋体"/>
                <w:sz w:val="20"/>
              </w:rPr>
              <w:t>《</w:t>
            </w:r>
            <w:r>
              <w:rPr>
                <w:rFonts w:hint="eastAsia" w:ascii="宋体" w:hAnsi="宋体" w:eastAsia="宋体" w:cs="宋体"/>
                <w:sz w:val="21"/>
              </w:rPr>
              <w:t>当前优先发展的</w:t>
            </w:r>
          </w:p>
          <w:p>
            <w:pPr>
              <w:spacing w:before="100"/>
            </w:pPr>
            <w:r>
              <w:rPr>
                <w:rFonts w:hint="eastAsia" w:ascii="宋体" w:hAnsi="宋体" w:eastAsia="宋体" w:cs="宋体"/>
                <w:sz w:val="21"/>
              </w:rPr>
              <w:t>高技术产业化重点</w:t>
            </w:r>
          </w:p>
          <w:p>
            <w:pPr>
              <w:spacing w:before="100"/>
            </w:pPr>
            <w:r>
              <w:rPr>
                <w:rFonts w:hint="eastAsia" w:ascii="宋体" w:hAnsi="宋体" w:eastAsia="宋体" w:cs="宋体"/>
                <w:sz w:val="21"/>
              </w:rPr>
              <w:t>领域指南</w:t>
            </w:r>
            <w:r>
              <w:rPr>
                <w:rFonts w:hint="eastAsia" w:ascii="宋体" w:hAnsi="宋体" w:eastAsia="宋体" w:cs="宋体"/>
                <w:sz w:val="20"/>
              </w:rPr>
              <w:t>》（</w:t>
            </w:r>
            <w:r>
              <w:rPr>
                <w:rFonts w:hint="eastAsia" w:ascii="Times New Roman" w:hAnsi="Times New Roman" w:eastAsia="Times New Roman" w:cs="Times New Roman"/>
                <w:sz w:val="21"/>
              </w:rPr>
              <w:t>2011</w:t>
            </w:r>
          </w:p>
          <w:p>
            <w:pPr>
              <w:spacing w:before="100"/>
            </w:pPr>
            <w:r>
              <w:rPr>
                <w:rFonts w:hint="eastAsia" w:ascii="宋体" w:hAnsi="宋体" w:eastAsia="宋体" w:cs="宋体"/>
                <w:sz w:val="21"/>
              </w:rPr>
              <w:t>年度</w:t>
            </w:r>
            <w:r>
              <w:rPr>
                <w:rFonts w:hint="eastAsia" w:ascii="宋体" w:hAnsi="宋体" w:eastAsia="宋体" w:cs="宋体"/>
                <w:sz w:val="20"/>
              </w:rPr>
              <w:t>）》</w:t>
            </w:r>
            <w:r>
              <w:rPr>
                <w:rFonts w:hint="eastAsia" w:ascii="Times New Roman" w:hAnsi="Times New Roman" w:eastAsia="Times New Roman" w:cs="Times New Roman"/>
                <w:sz w:val="21"/>
              </w:rPr>
              <w:t>2011</w:t>
            </w:r>
            <w:r>
              <w:rPr>
                <w:rFonts w:hint="eastAsia" w:ascii="宋体" w:hAnsi="宋体" w:eastAsia="宋体" w:cs="宋体"/>
                <w:sz w:val="21"/>
              </w:rPr>
              <w:t xml:space="preserve"> 年第</w:t>
            </w:r>
          </w:p>
          <w:p>
            <w:pPr>
              <w:spacing w:before="100"/>
            </w:pPr>
            <w:r>
              <w:rPr>
                <w:rFonts w:hint="eastAsia" w:ascii="Times New Roman" w:hAnsi="Times New Roman" w:eastAsia="Times New Roman" w:cs="Times New Roman"/>
                <w:sz w:val="21"/>
              </w:rPr>
              <w:t>10</w:t>
            </w:r>
            <w:r>
              <w:rPr>
                <w:rFonts w:hint="eastAsia" w:ascii="宋体" w:hAnsi="宋体" w:eastAsia="宋体" w:cs="宋体"/>
                <w:sz w:val="21"/>
              </w:rPr>
              <w:t xml:space="preserve"> 号公告</w:t>
            </w:r>
          </w:p>
        </w:tc>
        <w:tc>
          <w:tcPr>
            <w:tcW w:w="1420" w:type="dxa"/>
            <w:tcMar>
              <w:top w:w="0" w:type="dxa"/>
              <w:left w:w="0" w:type="dxa"/>
              <w:bottom w:w="0" w:type="dxa"/>
              <w:right w:w="0" w:type="dxa"/>
            </w:tcMar>
          </w:tcPr>
          <w:p>
            <w:pPr>
              <w:spacing w:before="20"/>
              <w:ind w:left="100"/>
            </w:pPr>
            <w:r>
              <w:rPr>
                <w:rFonts w:hint="eastAsia" w:ascii="宋体" w:hAnsi="宋体" w:eastAsia="宋体" w:cs="宋体"/>
                <w:sz w:val="21"/>
              </w:rPr>
              <w:t>国家发改委</w:t>
            </w:r>
            <w:r>
              <w:rPr>
                <w:rFonts w:hint="eastAsia" w:ascii="宋体" w:hAnsi="宋体" w:eastAsia="宋体" w:cs="宋体"/>
                <w:sz w:val="10"/>
              </w:rPr>
              <w:t>、</w:t>
            </w:r>
          </w:p>
          <w:p>
            <w:pPr>
              <w:spacing w:before="100"/>
              <w:ind w:left="100"/>
            </w:pPr>
            <w:r>
              <w:rPr>
                <w:rFonts w:hint="eastAsia" w:ascii="宋体" w:hAnsi="宋体" w:eastAsia="宋体" w:cs="宋体"/>
                <w:sz w:val="21"/>
              </w:rPr>
              <w:t>科技部</w:t>
            </w:r>
            <w:r>
              <w:rPr>
                <w:rFonts w:hint="eastAsia" w:ascii="宋体" w:hAnsi="宋体" w:eastAsia="宋体" w:cs="宋体"/>
                <w:sz w:val="10"/>
              </w:rPr>
              <w:t>、</w:t>
            </w:r>
            <w:r>
              <w:rPr>
                <w:rFonts w:hint="eastAsia" w:ascii="宋体" w:hAnsi="宋体" w:eastAsia="宋体" w:cs="宋体"/>
                <w:sz w:val="21"/>
              </w:rPr>
              <w:t>工信</w:t>
            </w:r>
          </w:p>
          <w:p>
            <w:pPr>
              <w:spacing w:before="100"/>
              <w:ind w:left="100"/>
            </w:pPr>
            <w:r>
              <w:rPr>
                <w:rFonts w:hint="eastAsia" w:ascii="宋体" w:hAnsi="宋体" w:eastAsia="宋体" w:cs="宋体"/>
                <w:sz w:val="21"/>
              </w:rPr>
              <w:t>部</w:t>
            </w:r>
            <w:r>
              <w:rPr>
                <w:rFonts w:hint="eastAsia" w:ascii="宋体" w:hAnsi="宋体" w:eastAsia="宋体" w:cs="宋体"/>
                <w:sz w:val="10"/>
              </w:rPr>
              <w:t>、</w:t>
            </w:r>
            <w:r>
              <w:rPr>
                <w:rFonts w:hint="eastAsia" w:ascii="宋体" w:hAnsi="宋体" w:eastAsia="宋体" w:cs="宋体"/>
                <w:sz w:val="21"/>
              </w:rPr>
              <w:t>商务部</w:t>
            </w:r>
            <w:r>
              <w:rPr>
                <w:rFonts w:hint="eastAsia" w:ascii="宋体" w:hAnsi="宋体" w:eastAsia="宋体" w:cs="宋体"/>
                <w:sz w:val="10"/>
              </w:rPr>
              <w:t>、</w:t>
            </w:r>
          </w:p>
          <w:p>
            <w:pPr>
              <w:spacing w:before="100"/>
              <w:ind w:left="100"/>
            </w:pPr>
            <w:r>
              <w:rPr>
                <w:rFonts w:hint="eastAsia" w:ascii="宋体" w:hAnsi="宋体" w:eastAsia="宋体" w:cs="宋体"/>
                <w:sz w:val="21"/>
              </w:rPr>
              <w:t>国家知识产</w:t>
            </w:r>
          </w:p>
          <w:p>
            <w:pPr>
              <w:spacing w:before="100"/>
              <w:ind w:left="100"/>
            </w:pPr>
            <w:r>
              <w:rPr>
                <w:rFonts w:hint="eastAsia" w:ascii="宋体" w:hAnsi="宋体" w:eastAsia="宋体" w:cs="宋体"/>
                <w:sz w:val="21"/>
              </w:rPr>
              <w:t>权局</w:t>
            </w:r>
          </w:p>
        </w:tc>
        <w:tc>
          <w:tcPr>
            <w:tcW w:w="4960" w:type="dxa"/>
            <w:tcMar>
              <w:top w:w="0" w:type="dxa"/>
              <w:left w:w="0" w:type="dxa"/>
              <w:bottom w:w="0" w:type="dxa"/>
              <w:right w:w="0" w:type="dxa"/>
            </w:tcMar>
          </w:tcPr>
          <w:p>
            <w:pPr>
              <w:spacing w:before="340"/>
              <w:ind w:left="100"/>
            </w:pPr>
            <w:r>
              <w:rPr>
                <w:rFonts w:hint="eastAsia" w:ascii="宋体" w:hAnsi="宋体" w:eastAsia="宋体" w:cs="宋体"/>
                <w:sz w:val="21"/>
              </w:rPr>
              <w:t>将</w:t>
            </w:r>
            <w:r>
              <w:rPr>
                <w:rFonts w:hint="eastAsia" w:ascii="宋体" w:hAnsi="宋体" w:eastAsia="宋体" w:cs="宋体"/>
                <w:sz w:val="10"/>
              </w:rPr>
              <w:t>“</w:t>
            </w:r>
            <w:r>
              <w:rPr>
                <w:rFonts w:hint="eastAsia" w:ascii="宋体" w:hAnsi="宋体" w:eastAsia="宋体" w:cs="宋体"/>
                <w:sz w:val="21"/>
              </w:rPr>
              <w:t>基础中间件</w:t>
            </w:r>
            <w:r>
              <w:rPr>
                <w:rFonts w:hint="eastAsia" w:ascii="宋体" w:hAnsi="宋体" w:eastAsia="宋体" w:cs="宋体"/>
                <w:sz w:val="10"/>
              </w:rPr>
              <w:t>、</w:t>
            </w:r>
            <w:r>
              <w:rPr>
                <w:rFonts w:hint="eastAsia" w:ascii="宋体" w:hAnsi="宋体" w:eastAsia="宋体" w:cs="宋体"/>
                <w:sz w:val="21"/>
              </w:rPr>
              <w:t>面向应用的中间件</w:t>
            </w:r>
            <w:r>
              <w:rPr>
                <w:rFonts w:hint="eastAsia" w:ascii="宋体" w:hAnsi="宋体" w:eastAsia="宋体" w:cs="宋体"/>
                <w:sz w:val="10"/>
              </w:rPr>
              <w:t>、</w:t>
            </w:r>
            <w:r>
              <w:rPr>
                <w:rFonts w:hint="eastAsia" w:ascii="宋体" w:hAnsi="宋体" w:eastAsia="宋体" w:cs="宋体"/>
                <w:sz w:val="21"/>
              </w:rPr>
              <w:t>基于各种相关</w:t>
            </w:r>
          </w:p>
          <w:p>
            <w:pPr>
              <w:spacing w:before="100"/>
              <w:ind w:left="100"/>
            </w:pPr>
            <w:r>
              <w:rPr>
                <w:rFonts w:hint="eastAsia" w:ascii="宋体" w:hAnsi="宋体" w:eastAsia="宋体" w:cs="宋体"/>
                <w:sz w:val="21"/>
              </w:rPr>
              <w:t>软件技术研究和软件开发平台研制的网构化软件生</w:t>
            </w:r>
          </w:p>
          <w:p>
            <w:pPr>
              <w:spacing w:before="100"/>
              <w:ind w:left="100"/>
            </w:pPr>
            <w:r>
              <w:rPr>
                <w:rFonts w:hint="eastAsia" w:ascii="宋体" w:hAnsi="宋体" w:eastAsia="宋体" w:cs="宋体"/>
                <w:sz w:val="21"/>
              </w:rPr>
              <w:t>产平台</w:t>
            </w:r>
            <w:r>
              <w:rPr>
                <w:rFonts w:hint="eastAsia" w:ascii="宋体" w:hAnsi="宋体" w:eastAsia="宋体" w:cs="宋体"/>
                <w:sz w:val="10"/>
              </w:rPr>
              <w:t>”</w:t>
            </w:r>
            <w:r>
              <w:rPr>
                <w:rFonts w:hint="eastAsia" w:ascii="宋体" w:hAnsi="宋体" w:eastAsia="宋体" w:cs="宋体"/>
                <w:sz w:val="21"/>
              </w:rPr>
              <w:t>等列入重点领域指南内容之</w:t>
            </w:r>
            <w:r>
              <w:rPr>
                <w:rFonts w:hint="eastAsia" w:ascii="宋体" w:hAnsi="宋体" w:eastAsia="宋体" w:cs="宋体"/>
                <w:sz w:val="20"/>
              </w:rPr>
              <w:t>一</w:t>
            </w:r>
          </w:p>
        </w:tc>
      </w:tr>
      <w:tr>
        <w:trPr>
          <w:trHeight w:val="960" w:hRule="exact"/>
        </w:trPr>
        <w:tc>
          <w:tcPr>
            <w:tcW w:w="960" w:type="dxa"/>
            <w:vMerge w:val="restart"/>
            <w:tcMar>
              <w:top w:w="0" w:type="dxa"/>
              <w:left w:w="0" w:type="dxa"/>
              <w:bottom w:w="0" w:type="dxa"/>
              <w:right w:w="0" w:type="dxa"/>
            </w:tcMar>
          </w:tcPr>
          <w:p>
            <w:pPr>
              <w:spacing w:before="2400"/>
              <w:ind w:left="120"/>
            </w:pPr>
            <w:r>
              <w:rPr>
                <w:rFonts w:hint="eastAsia" w:ascii="Times New Roman" w:hAnsi="Times New Roman" w:eastAsia="Times New Roman" w:cs="Times New Roman"/>
                <w:sz w:val="21"/>
              </w:rPr>
              <w:t>2012</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40"/>
            </w:pPr>
            <w:r>
              <w:rPr>
                <w:rFonts w:hint="eastAsia" w:ascii="宋体" w:hAnsi="宋体" w:eastAsia="宋体" w:cs="宋体"/>
                <w:sz w:val="20"/>
              </w:rPr>
              <w:t>《</w:t>
            </w:r>
            <w:r>
              <w:rPr>
                <w:rFonts w:hint="eastAsia" w:ascii="宋体" w:hAnsi="宋体" w:eastAsia="宋体" w:cs="宋体"/>
                <w:sz w:val="21"/>
              </w:rPr>
              <w:t>软件和信息技术</w:t>
            </w:r>
          </w:p>
          <w:p>
            <w:pPr>
              <w:spacing w:before="100"/>
            </w:pPr>
            <w:r>
              <w:rPr>
                <w:rFonts w:hint="eastAsia" w:ascii="宋体" w:hAnsi="宋体" w:eastAsia="宋体" w:cs="宋体"/>
                <w:sz w:val="21"/>
              </w:rPr>
              <w:t>服务业</w:t>
            </w:r>
            <w:r>
              <w:rPr>
                <w:rFonts w:hint="eastAsia" w:ascii="宋体" w:hAnsi="宋体" w:eastAsia="宋体" w:cs="宋体"/>
                <w:sz w:val="10"/>
              </w:rPr>
              <w:t>“</w:t>
            </w:r>
            <w:r>
              <w:rPr>
                <w:rFonts w:hint="eastAsia" w:ascii="宋体" w:hAnsi="宋体" w:eastAsia="宋体" w:cs="宋体"/>
                <w:sz w:val="21"/>
              </w:rPr>
              <w:t>十</w:t>
            </w:r>
            <w:r>
              <w:rPr>
                <w:rFonts w:hint="eastAsia" w:ascii="宋体" w:hAnsi="宋体" w:eastAsia="宋体" w:cs="宋体"/>
                <w:sz w:val="20"/>
              </w:rPr>
              <w:t>二</w:t>
            </w:r>
            <w:r>
              <w:rPr>
                <w:rFonts w:hint="eastAsia" w:ascii="宋体" w:hAnsi="宋体" w:eastAsia="宋体" w:cs="宋体"/>
                <w:sz w:val="21"/>
              </w:rPr>
              <w:t>五</w:t>
            </w:r>
            <w:r>
              <w:rPr>
                <w:rFonts w:hint="eastAsia" w:ascii="宋体" w:hAnsi="宋体" w:eastAsia="宋体" w:cs="宋体"/>
                <w:sz w:val="10"/>
              </w:rPr>
              <w:t>”</w:t>
            </w:r>
          </w:p>
          <w:p>
            <w:pPr>
              <w:spacing w:before="100"/>
            </w:pPr>
            <w:r>
              <w:rPr>
                <w:rFonts w:hint="eastAsia" w:ascii="宋体" w:hAnsi="宋体" w:eastAsia="宋体" w:cs="宋体"/>
                <w:sz w:val="21"/>
              </w:rPr>
              <w:t>发展规划</w:t>
            </w:r>
            <w:r>
              <w:rPr>
                <w:rFonts w:hint="eastAsia" w:ascii="宋体" w:hAnsi="宋体" w:eastAsia="宋体" w:cs="宋体"/>
                <w:sz w:val="20"/>
              </w:rPr>
              <w:t>》</w:t>
            </w:r>
          </w:p>
        </w:tc>
        <w:tc>
          <w:tcPr>
            <w:tcW w:w="1420" w:type="dxa"/>
            <w:tcMar>
              <w:top w:w="0" w:type="dxa"/>
              <w:left w:w="0" w:type="dxa"/>
              <w:bottom w:w="0" w:type="dxa"/>
              <w:right w:w="0" w:type="dxa"/>
            </w:tcMar>
          </w:tcPr>
          <w:p>
            <w:pPr>
              <w:spacing w:before="200"/>
              <w:ind w:left="100"/>
            </w:pPr>
            <w:r>
              <w:rPr>
                <w:rFonts w:hint="eastAsia" w:ascii="宋体" w:hAnsi="宋体" w:eastAsia="宋体" w:cs="宋体"/>
                <w:sz w:val="21"/>
              </w:rPr>
              <w:t>工业和信息</w:t>
            </w:r>
          </w:p>
          <w:p>
            <w:pPr>
              <w:spacing w:before="80"/>
              <w:ind w:left="100"/>
            </w:pPr>
            <w:r>
              <w:rPr>
                <w:rFonts w:hint="eastAsia" w:ascii="宋体" w:hAnsi="宋体" w:eastAsia="宋体" w:cs="宋体"/>
                <w:sz w:val="21"/>
              </w:rPr>
              <w:t>化部</w:t>
            </w:r>
          </w:p>
        </w:tc>
        <w:tc>
          <w:tcPr>
            <w:tcW w:w="4960" w:type="dxa"/>
            <w:tcMar>
              <w:top w:w="0" w:type="dxa"/>
              <w:left w:w="0" w:type="dxa"/>
              <w:bottom w:w="0" w:type="dxa"/>
              <w:right w:w="0" w:type="dxa"/>
            </w:tcMar>
          </w:tcPr>
          <w:p>
            <w:pPr>
              <w:spacing w:before="40"/>
              <w:ind w:left="100"/>
            </w:pPr>
            <w:r>
              <w:rPr>
                <w:rFonts w:hint="eastAsia" w:ascii="宋体" w:hAnsi="宋体" w:eastAsia="宋体" w:cs="宋体"/>
                <w:sz w:val="21"/>
              </w:rPr>
              <w:t>软件服务化进程不断加快</w:t>
            </w:r>
            <w:r>
              <w:rPr>
                <w:rFonts w:hint="eastAsia" w:ascii="宋体" w:hAnsi="宋体" w:eastAsia="宋体" w:cs="宋体"/>
                <w:sz w:val="10"/>
              </w:rPr>
              <w:t>。</w:t>
            </w:r>
            <w:r>
              <w:rPr>
                <w:rFonts w:hint="eastAsia" w:ascii="宋体" w:hAnsi="宋体" w:eastAsia="宋体" w:cs="宋体"/>
                <w:sz w:val="21"/>
              </w:rPr>
              <w:t>以用户为中心</w:t>
            </w:r>
            <w:r>
              <w:rPr>
                <w:rFonts w:hint="eastAsia" w:ascii="宋体" w:hAnsi="宋体" w:eastAsia="宋体" w:cs="宋体"/>
                <w:sz w:val="10"/>
              </w:rPr>
              <w:t>，</w:t>
            </w:r>
            <w:r>
              <w:rPr>
                <w:rFonts w:hint="eastAsia" w:ascii="宋体" w:hAnsi="宋体" w:eastAsia="宋体" w:cs="宋体"/>
                <w:sz w:val="21"/>
              </w:rPr>
              <w:t>按照用户</w:t>
            </w:r>
          </w:p>
          <w:p>
            <w:pPr>
              <w:spacing w:before="100"/>
              <w:ind w:left="100"/>
            </w:pPr>
            <w:r>
              <w:rPr>
                <w:rFonts w:hint="eastAsia" w:ascii="宋体" w:hAnsi="宋体" w:eastAsia="宋体" w:cs="宋体"/>
                <w:sz w:val="21"/>
              </w:rPr>
              <w:t>需求动态提供计算资源</w:t>
            </w:r>
            <w:r>
              <w:rPr>
                <w:rFonts w:hint="eastAsia" w:ascii="宋体" w:hAnsi="宋体" w:eastAsia="宋体" w:cs="宋体"/>
                <w:sz w:val="10"/>
              </w:rPr>
              <w:t>、</w:t>
            </w:r>
            <w:r>
              <w:rPr>
                <w:rFonts w:hint="eastAsia" w:ascii="宋体" w:hAnsi="宋体" w:eastAsia="宋体" w:cs="宋体"/>
                <w:sz w:val="21"/>
              </w:rPr>
              <w:t>存储资源</w:t>
            </w:r>
            <w:r>
              <w:rPr>
                <w:rFonts w:hint="eastAsia" w:ascii="宋体" w:hAnsi="宋体" w:eastAsia="宋体" w:cs="宋体"/>
                <w:sz w:val="10"/>
              </w:rPr>
              <w:t>、</w:t>
            </w:r>
            <w:r>
              <w:rPr>
                <w:rFonts w:hint="eastAsia" w:ascii="宋体" w:hAnsi="宋体" w:eastAsia="宋体" w:cs="宋体"/>
                <w:sz w:val="21"/>
              </w:rPr>
              <w:t>数据资源</w:t>
            </w:r>
            <w:r>
              <w:rPr>
                <w:rFonts w:hint="eastAsia" w:ascii="宋体" w:hAnsi="宋体" w:eastAsia="宋体" w:cs="宋体"/>
                <w:sz w:val="10"/>
              </w:rPr>
              <w:t>、</w:t>
            </w:r>
            <w:r>
              <w:rPr>
                <w:rFonts w:hint="eastAsia" w:ascii="宋体" w:hAnsi="宋体" w:eastAsia="宋体" w:cs="宋体"/>
                <w:sz w:val="21"/>
              </w:rPr>
              <w:t>软件</w:t>
            </w:r>
          </w:p>
          <w:p>
            <w:pPr>
              <w:spacing w:before="100"/>
              <w:ind w:left="100"/>
            </w:pPr>
            <w:r>
              <w:rPr>
                <w:rFonts w:hint="eastAsia" w:ascii="宋体" w:hAnsi="宋体" w:eastAsia="宋体" w:cs="宋体"/>
                <w:sz w:val="21"/>
              </w:rPr>
              <w:t>应用等服务将成为软件服务的主要模式</w:t>
            </w:r>
          </w:p>
        </w:tc>
      </w:tr>
      <w:tr>
        <w:trPr>
          <w:trHeight w:val="1560" w:hRule="exact"/>
        </w:trPr>
        <w:tc>
          <w:tcPr>
            <w:tcW w:w="960" w:type="dxa"/>
            <w:vMerge w:val="continue"/>
            <w:tcMar>
              <w:top w:w="0" w:type="dxa"/>
              <w:left w:w="0" w:type="dxa"/>
              <w:bottom w:w="0" w:type="dxa"/>
              <w:right w:w="0" w:type="dxa"/>
            </w:tcMar>
          </w:tcPr>
          <w:p/>
        </w:tc>
        <w:tc>
          <w:tcPr>
            <w:tcW w:w="1980" w:type="dxa"/>
            <w:tcMar>
              <w:top w:w="0" w:type="dxa"/>
              <w:left w:w="0" w:type="dxa"/>
              <w:bottom w:w="0" w:type="dxa"/>
              <w:right w:w="0" w:type="dxa"/>
            </w:tcMar>
          </w:tcPr>
          <w:p>
            <w:pPr>
              <w:spacing w:before="40"/>
            </w:pPr>
            <w:r>
              <w:rPr>
                <w:rFonts w:hint="eastAsia" w:ascii="宋体" w:hAnsi="宋体" w:eastAsia="宋体" w:cs="宋体"/>
                <w:sz w:val="20"/>
              </w:rPr>
              <w:t>《</w:t>
            </w:r>
            <w:r>
              <w:rPr>
                <w:rFonts w:hint="eastAsia" w:ascii="宋体" w:hAnsi="宋体" w:eastAsia="宋体" w:cs="宋体"/>
                <w:sz w:val="21"/>
              </w:rPr>
              <w:t>国务院关于大力</w:t>
            </w:r>
          </w:p>
          <w:p>
            <w:pPr>
              <w:spacing w:before="100"/>
            </w:pPr>
            <w:r>
              <w:rPr>
                <w:rFonts w:hint="eastAsia" w:ascii="宋体" w:hAnsi="宋体" w:eastAsia="宋体" w:cs="宋体"/>
                <w:sz w:val="21"/>
              </w:rPr>
              <w:t>推进信息化发展和</w:t>
            </w:r>
          </w:p>
          <w:p>
            <w:pPr>
              <w:spacing w:before="100"/>
            </w:pPr>
            <w:r>
              <w:rPr>
                <w:rFonts w:hint="eastAsia" w:ascii="宋体" w:hAnsi="宋体" w:eastAsia="宋体" w:cs="宋体"/>
                <w:sz w:val="21"/>
              </w:rPr>
              <w:t>切实保障信息安全</w:t>
            </w:r>
          </w:p>
          <w:p>
            <w:pPr>
              <w:spacing w:before="100"/>
            </w:pPr>
            <w:r>
              <w:rPr>
                <w:rFonts w:hint="eastAsia" w:ascii="宋体" w:hAnsi="宋体" w:eastAsia="宋体" w:cs="宋体"/>
                <w:sz w:val="21"/>
              </w:rPr>
              <w:t>的若干意见</w:t>
            </w:r>
            <w:r>
              <w:rPr>
                <w:rFonts w:hint="eastAsia" w:ascii="宋体" w:hAnsi="宋体" w:eastAsia="宋体" w:cs="宋体"/>
                <w:sz w:val="20"/>
              </w:rPr>
              <w:t>》（</w:t>
            </w:r>
            <w:r>
              <w:rPr>
                <w:rFonts w:hint="eastAsia" w:ascii="宋体" w:hAnsi="宋体" w:eastAsia="宋体" w:cs="宋体"/>
                <w:sz w:val="21"/>
              </w:rPr>
              <w:t>国</w:t>
            </w:r>
          </w:p>
          <w:p>
            <w:pPr>
              <w:spacing w:before="100"/>
            </w:pPr>
            <w:r>
              <w:rPr>
                <w:rFonts w:hint="eastAsia" w:ascii="宋体" w:hAnsi="宋体" w:eastAsia="宋体" w:cs="宋体"/>
                <w:sz w:val="21"/>
              </w:rPr>
              <w:t>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r>
              <w:rPr>
                <w:rFonts w:hint="eastAsia" w:ascii="宋体" w:hAnsi="宋体" w:eastAsia="宋体" w:cs="宋体"/>
                <w:sz w:val="21"/>
              </w:rPr>
              <w:t xml:space="preserve"> 号</w:t>
            </w:r>
            <w:r>
              <w:rPr>
                <w:rFonts w:hint="eastAsia" w:ascii="宋体" w:hAnsi="宋体" w:eastAsia="宋体" w:cs="宋体"/>
                <w:sz w:val="20"/>
              </w:rPr>
              <w:t>）</w:t>
            </w:r>
          </w:p>
        </w:tc>
        <w:tc>
          <w:tcPr>
            <w:tcW w:w="1420" w:type="dxa"/>
            <w:tcMar>
              <w:top w:w="0" w:type="dxa"/>
              <w:left w:w="0" w:type="dxa"/>
              <w:bottom w:w="0" w:type="dxa"/>
              <w:right w:w="0" w:type="dxa"/>
            </w:tcMar>
          </w:tcPr>
          <w:p>
            <w:pPr>
              <w:spacing w:before="660"/>
              <w:ind w:left="100"/>
            </w:pPr>
            <w:r>
              <w:rPr>
                <w:rFonts w:hint="eastAsia" w:ascii="宋体" w:hAnsi="宋体" w:eastAsia="宋体" w:cs="宋体"/>
                <w:sz w:val="21"/>
              </w:rPr>
              <w:t>国务院</w:t>
            </w:r>
          </w:p>
        </w:tc>
        <w:tc>
          <w:tcPr>
            <w:tcW w:w="4960" w:type="dxa"/>
            <w:tcMar>
              <w:top w:w="0" w:type="dxa"/>
              <w:left w:w="0" w:type="dxa"/>
              <w:bottom w:w="0" w:type="dxa"/>
              <w:right w:w="0" w:type="dxa"/>
            </w:tcMar>
          </w:tcPr>
          <w:p>
            <w:pPr>
              <w:spacing w:before="660"/>
              <w:ind w:left="100"/>
            </w:pPr>
            <w:r>
              <w:rPr>
                <w:rFonts w:hint="eastAsia" w:ascii="宋体" w:hAnsi="宋体" w:eastAsia="宋体" w:cs="宋体"/>
                <w:sz w:val="21"/>
              </w:rPr>
              <w:t>加快推进信息化建设</w:t>
            </w:r>
            <w:r>
              <w:rPr>
                <w:rFonts w:hint="eastAsia" w:ascii="宋体" w:hAnsi="宋体" w:eastAsia="宋体" w:cs="宋体"/>
                <w:sz w:val="10"/>
              </w:rPr>
              <w:t>，</w:t>
            </w:r>
            <w:r>
              <w:rPr>
                <w:rFonts w:hint="eastAsia" w:ascii="宋体" w:hAnsi="宋体" w:eastAsia="宋体" w:cs="宋体"/>
                <w:sz w:val="21"/>
              </w:rPr>
              <w:t>建立健全信息安全保障体系</w:t>
            </w:r>
          </w:p>
        </w:tc>
      </w:tr>
      <w:tr>
        <w:trPr>
          <w:trHeight w:val="2520" w:hRule="exact"/>
        </w:trPr>
        <w:tc>
          <w:tcPr>
            <w:tcW w:w="960" w:type="dxa"/>
            <w:vMerge w:val="continue"/>
            <w:tcMar>
              <w:top w:w="0" w:type="dxa"/>
              <w:left w:w="0" w:type="dxa"/>
              <w:bottom w:w="0" w:type="dxa"/>
              <w:right w:w="0" w:type="dxa"/>
            </w:tcMar>
          </w:tcPr>
          <w:p/>
        </w:tc>
        <w:tc>
          <w:tcPr>
            <w:tcW w:w="1980" w:type="dxa"/>
            <w:tcMar>
              <w:top w:w="0" w:type="dxa"/>
              <w:left w:w="0" w:type="dxa"/>
              <w:bottom w:w="0" w:type="dxa"/>
              <w:right w:w="0" w:type="dxa"/>
            </w:tcMar>
          </w:tcPr>
          <w:p>
            <w:pPr>
              <w:spacing w:before="520"/>
            </w:pPr>
            <w:r>
              <w:rPr>
                <w:rFonts w:hint="eastAsia" w:ascii="宋体" w:hAnsi="宋体" w:eastAsia="宋体" w:cs="宋体"/>
                <w:sz w:val="20"/>
              </w:rPr>
              <w:t>《</w:t>
            </w:r>
            <w:r>
              <w:rPr>
                <w:rFonts w:hint="eastAsia" w:ascii="宋体" w:hAnsi="宋体" w:eastAsia="宋体" w:cs="宋体"/>
                <w:sz w:val="21"/>
              </w:rPr>
              <w:t>关于进</w:t>
            </w:r>
            <w:r>
              <w:rPr>
                <w:rFonts w:hint="eastAsia" w:ascii="宋体" w:hAnsi="宋体" w:eastAsia="宋体" w:cs="宋体"/>
                <w:sz w:val="20"/>
              </w:rPr>
              <w:t>一</w:t>
            </w:r>
            <w:r>
              <w:rPr>
                <w:rFonts w:hint="eastAsia" w:ascii="宋体" w:hAnsi="宋体" w:eastAsia="宋体" w:cs="宋体"/>
                <w:sz w:val="21"/>
              </w:rPr>
              <w:t>步鼓励</w:t>
            </w:r>
          </w:p>
          <w:p>
            <w:pPr>
              <w:spacing w:before="100"/>
            </w:pPr>
            <w:r>
              <w:rPr>
                <w:rFonts w:hint="eastAsia" w:ascii="宋体" w:hAnsi="宋体" w:eastAsia="宋体" w:cs="宋体"/>
                <w:sz w:val="21"/>
              </w:rPr>
              <w:t>软件产业和集成电</w:t>
            </w:r>
          </w:p>
          <w:p>
            <w:pPr>
              <w:spacing w:before="80"/>
            </w:pPr>
            <w:r>
              <w:rPr>
                <w:rFonts w:hint="eastAsia" w:ascii="宋体" w:hAnsi="宋体" w:eastAsia="宋体" w:cs="宋体"/>
                <w:sz w:val="21"/>
              </w:rPr>
              <w:t>路产业发展企业所</w:t>
            </w:r>
          </w:p>
          <w:p>
            <w:pPr>
              <w:spacing w:before="100"/>
            </w:pPr>
            <w:r>
              <w:rPr>
                <w:rFonts w:hint="eastAsia" w:ascii="宋体" w:hAnsi="宋体" w:eastAsia="宋体" w:cs="宋体"/>
                <w:sz w:val="21"/>
              </w:rPr>
              <w:t>得税政策的通知</w:t>
            </w:r>
            <w:r>
              <w:rPr>
                <w:rFonts w:hint="eastAsia" w:ascii="宋体" w:hAnsi="宋体" w:eastAsia="宋体" w:cs="宋体"/>
                <w:sz w:val="20"/>
              </w:rPr>
              <w:t>》</w:t>
            </w:r>
          </w:p>
          <w:p>
            <w:pPr>
              <w:spacing w:before="100"/>
            </w:pPr>
            <w:r>
              <w:rPr>
                <w:rFonts w:hint="eastAsia" w:ascii="宋体" w:hAnsi="宋体" w:eastAsia="宋体" w:cs="宋体"/>
                <w:sz w:val="20"/>
              </w:rPr>
              <w:t>（</w:t>
            </w:r>
            <w:r>
              <w:rPr>
                <w:rFonts w:hint="eastAsia" w:ascii="宋体" w:hAnsi="宋体" w:eastAsia="宋体" w:cs="宋体"/>
                <w:sz w:val="21"/>
              </w:rPr>
              <w:t>财税</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宋体" w:hAnsi="宋体" w:eastAsia="宋体" w:cs="宋体"/>
                <w:sz w:val="21"/>
              </w:rPr>
              <w:t xml:space="preserve"> 号</w:t>
            </w:r>
            <w:r>
              <w:rPr>
                <w:rFonts w:hint="eastAsia" w:ascii="宋体" w:hAnsi="宋体" w:eastAsia="宋体" w:cs="宋体"/>
                <w:sz w:val="20"/>
              </w:rPr>
              <w:t>）</w:t>
            </w:r>
          </w:p>
        </w:tc>
        <w:tc>
          <w:tcPr>
            <w:tcW w:w="1420" w:type="dxa"/>
            <w:tcMar>
              <w:top w:w="0" w:type="dxa"/>
              <w:left w:w="0" w:type="dxa"/>
              <w:bottom w:w="0" w:type="dxa"/>
              <w:right w:w="0" w:type="dxa"/>
            </w:tcMar>
          </w:tcPr>
          <w:p>
            <w:pPr>
              <w:spacing w:before="980"/>
              <w:ind w:left="100"/>
            </w:pPr>
            <w:r>
              <w:rPr>
                <w:rFonts w:hint="eastAsia" w:ascii="宋体" w:hAnsi="宋体" w:eastAsia="宋体" w:cs="宋体"/>
                <w:sz w:val="21"/>
              </w:rPr>
              <w:t>财政部</w:t>
            </w:r>
            <w:r>
              <w:rPr>
                <w:rFonts w:hint="eastAsia" w:ascii="宋体" w:hAnsi="宋体" w:eastAsia="宋体" w:cs="宋体"/>
                <w:sz w:val="10"/>
              </w:rPr>
              <w:t>、</w:t>
            </w:r>
            <w:r>
              <w:rPr>
                <w:rFonts w:hint="eastAsia" w:ascii="宋体" w:hAnsi="宋体" w:eastAsia="宋体" w:cs="宋体"/>
                <w:sz w:val="21"/>
              </w:rPr>
              <w:t>国家</w:t>
            </w:r>
          </w:p>
          <w:p>
            <w:pPr>
              <w:spacing w:before="100"/>
              <w:ind w:left="100"/>
            </w:pPr>
            <w:r>
              <w:rPr>
                <w:rFonts w:hint="eastAsia" w:ascii="宋体" w:hAnsi="宋体" w:eastAsia="宋体" w:cs="宋体"/>
                <w:sz w:val="21"/>
              </w:rPr>
              <w:t>税务总局</w:t>
            </w:r>
          </w:p>
        </w:tc>
        <w:tc>
          <w:tcPr>
            <w:tcW w:w="4960" w:type="dxa"/>
            <w:tcMar>
              <w:top w:w="0" w:type="dxa"/>
              <w:left w:w="0" w:type="dxa"/>
              <w:bottom w:w="0" w:type="dxa"/>
              <w:right w:w="0" w:type="dxa"/>
            </w:tcMar>
          </w:tcPr>
          <w:p>
            <w:pPr>
              <w:spacing w:before="40"/>
              <w:ind w:left="100"/>
            </w:pPr>
            <w:r>
              <w:rPr>
                <w:rFonts w:hint="eastAsia" w:ascii="宋体" w:hAnsi="宋体" w:eastAsia="宋体" w:cs="宋体"/>
                <w:sz w:val="21"/>
              </w:rPr>
              <w:t>为进</w:t>
            </w:r>
            <w:r>
              <w:rPr>
                <w:rFonts w:hint="eastAsia" w:ascii="宋体" w:hAnsi="宋体" w:eastAsia="宋体" w:cs="宋体"/>
                <w:sz w:val="20"/>
              </w:rPr>
              <w:t>一</w:t>
            </w:r>
            <w:r>
              <w:rPr>
                <w:rFonts w:hint="eastAsia" w:ascii="宋体" w:hAnsi="宋体" w:eastAsia="宋体" w:cs="宋体"/>
                <w:sz w:val="21"/>
              </w:rPr>
              <w:t>步推动科技创新和产业结构升级</w:t>
            </w:r>
            <w:r>
              <w:rPr>
                <w:rFonts w:hint="eastAsia" w:ascii="宋体" w:hAnsi="宋体" w:eastAsia="宋体" w:cs="宋体"/>
                <w:sz w:val="10"/>
              </w:rPr>
              <w:t>，</w:t>
            </w:r>
            <w:r>
              <w:rPr>
                <w:rFonts w:hint="eastAsia" w:ascii="宋体" w:hAnsi="宋体" w:eastAsia="宋体" w:cs="宋体"/>
                <w:sz w:val="21"/>
              </w:rPr>
              <w:t>促进信息技</w:t>
            </w:r>
          </w:p>
          <w:p>
            <w:pPr>
              <w:spacing w:before="80"/>
              <w:ind w:left="100"/>
            </w:pPr>
            <w:r>
              <w:rPr>
                <w:rFonts w:hint="eastAsia" w:ascii="宋体" w:hAnsi="宋体" w:eastAsia="宋体" w:cs="宋体"/>
                <w:sz w:val="21"/>
              </w:rPr>
              <w:t>术产业发展</w:t>
            </w:r>
            <w:r>
              <w:rPr>
                <w:rFonts w:hint="eastAsia" w:ascii="宋体" w:hAnsi="宋体" w:eastAsia="宋体" w:cs="宋体"/>
                <w:sz w:val="10"/>
              </w:rPr>
              <w:t>，</w:t>
            </w:r>
            <w:r>
              <w:rPr>
                <w:rFonts w:hint="eastAsia" w:ascii="宋体" w:hAnsi="宋体" w:eastAsia="宋体" w:cs="宋体"/>
                <w:sz w:val="21"/>
              </w:rPr>
              <w:t>鼓励软件产业和集成电路产业发展的企</w:t>
            </w:r>
          </w:p>
          <w:p>
            <w:pPr>
              <w:spacing w:before="100"/>
              <w:ind w:left="100"/>
            </w:pPr>
            <w:r>
              <w:rPr>
                <w:rFonts w:hint="eastAsia" w:ascii="宋体" w:hAnsi="宋体" w:eastAsia="宋体" w:cs="宋体"/>
                <w:sz w:val="21"/>
              </w:rPr>
              <w:t>业所得税政策优惠</w:t>
            </w:r>
            <w:r>
              <w:rPr>
                <w:rFonts w:hint="eastAsia" w:ascii="宋体" w:hAnsi="宋体" w:eastAsia="宋体" w:cs="宋体"/>
                <w:sz w:val="10"/>
              </w:rPr>
              <w:t>。</w:t>
            </w:r>
          </w:p>
          <w:p>
            <w:pPr>
              <w:spacing w:before="100"/>
              <w:ind w:left="100"/>
            </w:pPr>
            <w:r>
              <w:rPr>
                <w:rFonts w:hint="eastAsia" w:ascii="宋体" w:hAnsi="宋体" w:eastAsia="宋体" w:cs="宋体"/>
                <w:sz w:val="21"/>
              </w:rPr>
              <w:t>我国境内新办的集成电路设计企业和符合条件的软</w:t>
            </w:r>
          </w:p>
          <w:p>
            <w:pPr>
              <w:spacing w:before="100"/>
              <w:ind w:left="100"/>
            </w:pPr>
            <w:r>
              <w:rPr>
                <w:rFonts w:hint="eastAsia" w:ascii="宋体" w:hAnsi="宋体" w:eastAsia="宋体" w:cs="宋体"/>
                <w:sz w:val="21"/>
              </w:rPr>
              <w:t>件企业</w:t>
            </w:r>
            <w:r>
              <w:rPr>
                <w:rFonts w:hint="eastAsia" w:ascii="宋体" w:hAnsi="宋体" w:eastAsia="宋体" w:cs="宋体"/>
                <w:sz w:val="10"/>
              </w:rPr>
              <w:t>，</w:t>
            </w:r>
            <w:r>
              <w:rPr>
                <w:rFonts w:hint="eastAsia" w:ascii="宋体" w:hAnsi="宋体" w:eastAsia="宋体" w:cs="宋体"/>
                <w:sz w:val="21"/>
              </w:rPr>
              <w:t>经认定后</w:t>
            </w:r>
            <w:r>
              <w:rPr>
                <w:rFonts w:hint="eastAsia" w:ascii="宋体" w:hAnsi="宋体" w:eastAsia="宋体" w:cs="宋体"/>
                <w:sz w:val="10"/>
              </w:rPr>
              <w:t>，</w:t>
            </w:r>
            <w:r>
              <w:rPr>
                <w:rFonts w:hint="eastAsia" w:ascii="宋体" w:hAnsi="宋体" w:eastAsia="宋体" w:cs="宋体"/>
                <w:sz w:val="21"/>
              </w:rPr>
              <w:t>在</w:t>
            </w:r>
            <w:r>
              <w:rPr>
                <w:rFonts w:hint="eastAsia" w:ascii="Times New Roman" w:hAnsi="Times New Roman" w:eastAsia="Times New Roman" w:cs="Times New Roman"/>
                <w:sz w:val="21"/>
              </w:rPr>
              <w:t xml:space="preserve"> 2017</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12</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31</w:t>
            </w:r>
            <w:r>
              <w:rPr>
                <w:rFonts w:hint="eastAsia" w:ascii="宋体" w:hAnsi="宋体" w:eastAsia="宋体" w:cs="宋体"/>
                <w:sz w:val="21"/>
              </w:rPr>
              <w:t xml:space="preserve"> 日前自获利</w:t>
            </w:r>
          </w:p>
          <w:p>
            <w:pPr>
              <w:spacing w:before="100"/>
              <w:ind w:left="100"/>
            </w:pPr>
            <w:r>
              <w:rPr>
                <w:rFonts w:hint="eastAsia" w:ascii="宋体" w:hAnsi="宋体" w:eastAsia="宋体" w:cs="宋体"/>
                <w:sz w:val="21"/>
              </w:rPr>
              <w:t>年度起计算优惠期</w:t>
            </w:r>
            <w:r>
              <w:rPr>
                <w:rFonts w:hint="eastAsia" w:ascii="宋体" w:hAnsi="宋体" w:eastAsia="宋体" w:cs="宋体"/>
                <w:sz w:val="10"/>
              </w:rPr>
              <w:t>，</w:t>
            </w:r>
            <w:r>
              <w:rPr>
                <w:rFonts w:hint="eastAsia" w:ascii="宋体" w:hAnsi="宋体" w:eastAsia="宋体" w:cs="宋体"/>
                <w:sz w:val="21"/>
              </w:rPr>
              <w:t>第</w:t>
            </w:r>
            <w:r>
              <w:rPr>
                <w:rFonts w:hint="eastAsia" w:ascii="宋体" w:hAnsi="宋体" w:eastAsia="宋体" w:cs="宋体"/>
                <w:sz w:val="20"/>
              </w:rPr>
              <w:t>一</w:t>
            </w:r>
            <w:r>
              <w:rPr>
                <w:rFonts w:hint="eastAsia" w:ascii="宋体" w:hAnsi="宋体" w:eastAsia="宋体" w:cs="宋体"/>
                <w:sz w:val="21"/>
              </w:rPr>
              <w:t>年至第</w:t>
            </w:r>
            <w:r>
              <w:rPr>
                <w:rFonts w:hint="eastAsia" w:ascii="宋体" w:hAnsi="宋体" w:eastAsia="宋体" w:cs="宋体"/>
                <w:sz w:val="20"/>
              </w:rPr>
              <w:t>二</w:t>
            </w:r>
            <w:r>
              <w:rPr>
                <w:rFonts w:hint="eastAsia" w:ascii="宋体" w:hAnsi="宋体" w:eastAsia="宋体" w:cs="宋体"/>
                <w:sz w:val="21"/>
              </w:rPr>
              <w:t>年免征企业所得</w:t>
            </w:r>
          </w:p>
          <w:p>
            <w:pPr>
              <w:spacing w:before="80"/>
              <w:ind w:left="100"/>
            </w:pPr>
            <w:r>
              <w:rPr>
                <w:rFonts w:hint="eastAsia" w:ascii="宋体" w:hAnsi="宋体" w:eastAsia="宋体" w:cs="宋体"/>
                <w:sz w:val="21"/>
              </w:rPr>
              <w:t>税</w:t>
            </w:r>
            <w:r>
              <w:rPr>
                <w:rFonts w:hint="eastAsia" w:ascii="宋体" w:hAnsi="宋体" w:eastAsia="宋体" w:cs="宋体"/>
                <w:sz w:val="10"/>
              </w:rPr>
              <w:t>，</w:t>
            </w:r>
            <w:r>
              <w:rPr>
                <w:rFonts w:hint="eastAsia" w:ascii="宋体" w:hAnsi="宋体" w:eastAsia="宋体" w:cs="宋体"/>
                <w:sz w:val="21"/>
              </w:rPr>
              <w:t>第三年至第五年按照</w:t>
            </w:r>
            <w:r>
              <w:rPr>
                <w:rFonts w:hint="eastAsia" w:ascii="Times New Roman" w:hAnsi="Times New Roman" w:eastAsia="Times New Roman" w:cs="Times New Roman"/>
                <w:sz w:val="21"/>
              </w:rPr>
              <w:t xml:space="preserve"> 25</w:t>
            </w:r>
            <w:r>
              <w:rPr>
                <w:rFonts w:hint="eastAsia" w:ascii="Times New Roman" w:hAnsi="Times New Roman" w:eastAsia="Times New Roman" w:cs="Times New Roman"/>
                <w:sz w:val="20"/>
              </w:rPr>
              <w:t>%</w:t>
            </w:r>
            <w:r>
              <w:rPr>
                <w:rFonts w:hint="eastAsia" w:ascii="宋体" w:hAnsi="宋体" w:eastAsia="宋体" w:cs="宋体"/>
                <w:sz w:val="21"/>
              </w:rPr>
              <w:t>的法定税率减半征收企</w:t>
            </w:r>
          </w:p>
          <w:p>
            <w:pPr>
              <w:spacing w:before="100"/>
              <w:ind w:left="100"/>
            </w:pPr>
            <w:r>
              <w:rPr>
                <w:rFonts w:hint="eastAsia" w:ascii="宋体" w:hAnsi="宋体" w:eastAsia="宋体" w:cs="宋体"/>
                <w:sz w:val="21"/>
              </w:rPr>
              <w:t>业所得税</w:t>
            </w:r>
            <w:r>
              <w:rPr>
                <w:rFonts w:hint="eastAsia" w:ascii="宋体" w:hAnsi="宋体" w:eastAsia="宋体" w:cs="宋体"/>
                <w:sz w:val="10"/>
              </w:rPr>
              <w:t>，</w:t>
            </w:r>
            <w:r>
              <w:rPr>
                <w:rFonts w:hint="eastAsia" w:ascii="宋体" w:hAnsi="宋体" w:eastAsia="宋体" w:cs="宋体"/>
                <w:sz w:val="21"/>
              </w:rPr>
              <w:t>并享受至期满为止</w:t>
            </w:r>
          </w:p>
        </w:tc>
      </w:tr>
      <w:tr>
        <w:trPr>
          <w:trHeight w:val="940" w:hRule="exact"/>
        </w:trPr>
        <w:tc>
          <w:tcPr>
            <w:tcW w:w="960" w:type="dxa"/>
            <w:vMerge w:val="restart"/>
            <w:tcMar>
              <w:top w:w="0" w:type="dxa"/>
              <w:left w:w="0" w:type="dxa"/>
              <w:bottom w:w="0" w:type="dxa"/>
              <w:right w:w="0" w:type="dxa"/>
            </w:tcMar>
          </w:tcPr>
          <w:p>
            <w:pPr>
              <w:spacing w:before="1900"/>
              <w:ind w:left="120"/>
            </w:pPr>
            <w:r>
              <w:rPr>
                <w:rFonts w:hint="eastAsia" w:ascii="Times New Roman" w:hAnsi="Times New Roman" w:eastAsia="Times New Roman" w:cs="Times New Roman"/>
                <w:sz w:val="21"/>
              </w:rPr>
              <w:t>2013</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20"/>
            </w:pPr>
            <w:r>
              <w:rPr>
                <w:rFonts w:hint="eastAsia" w:ascii="宋体" w:hAnsi="宋体" w:eastAsia="宋体" w:cs="宋体"/>
                <w:sz w:val="21"/>
              </w:rPr>
              <w:t>国务院关于修改</w:t>
            </w:r>
          </w:p>
          <w:p>
            <w:pPr>
              <w:spacing w:before="100"/>
            </w:pPr>
            <w:r>
              <w:rPr>
                <w:rFonts w:hint="eastAsia" w:ascii="宋体" w:hAnsi="宋体" w:eastAsia="宋体" w:cs="宋体"/>
                <w:sz w:val="20"/>
              </w:rPr>
              <w:t>《</w:t>
            </w:r>
            <w:r>
              <w:rPr>
                <w:rFonts w:hint="eastAsia" w:ascii="宋体" w:hAnsi="宋体" w:eastAsia="宋体" w:cs="宋体"/>
                <w:sz w:val="21"/>
              </w:rPr>
              <w:t>计算机软件保护</w:t>
            </w:r>
          </w:p>
          <w:p>
            <w:pPr>
              <w:spacing w:before="100"/>
            </w:pPr>
            <w:r>
              <w:rPr>
                <w:rFonts w:hint="eastAsia" w:ascii="宋体" w:hAnsi="宋体" w:eastAsia="宋体" w:cs="宋体"/>
                <w:sz w:val="21"/>
              </w:rPr>
              <w:t>条例</w:t>
            </w:r>
            <w:r>
              <w:rPr>
                <w:rFonts w:hint="eastAsia" w:ascii="宋体" w:hAnsi="宋体" w:eastAsia="宋体" w:cs="宋体"/>
                <w:sz w:val="20"/>
              </w:rPr>
              <w:t>》</w:t>
            </w:r>
            <w:r>
              <w:rPr>
                <w:rFonts w:hint="eastAsia" w:ascii="宋体" w:hAnsi="宋体" w:eastAsia="宋体" w:cs="宋体"/>
                <w:sz w:val="21"/>
              </w:rPr>
              <w:t>的决定</w:t>
            </w:r>
          </w:p>
        </w:tc>
        <w:tc>
          <w:tcPr>
            <w:tcW w:w="1420" w:type="dxa"/>
            <w:tcMar>
              <w:top w:w="0" w:type="dxa"/>
              <w:left w:w="0" w:type="dxa"/>
              <w:bottom w:w="0" w:type="dxa"/>
              <w:right w:w="0" w:type="dxa"/>
            </w:tcMar>
          </w:tcPr>
          <w:p>
            <w:pPr>
              <w:spacing w:before="340"/>
              <w:ind w:left="100"/>
            </w:pPr>
            <w:r>
              <w:rPr>
                <w:rFonts w:hint="eastAsia" w:ascii="宋体" w:hAnsi="宋体" w:eastAsia="宋体" w:cs="宋体"/>
                <w:sz w:val="21"/>
              </w:rPr>
              <w:t>国务院</w:t>
            </w:r>
          </w:p>
        </w:tc>
        <w:tc>
          <w:tcPr>
            <w:tcW w:w="4960" w:type="dxa"/>
            <w:tcMar>
              <w:top w:w="0" w:type="dxa"/>
              <w:left w:w="0" w:type="dxa"/>
              <w:bottom w:w="0" w:type="dxa"/>
              <w:right w:w="0" w:type="dxa"/>
            </w:tcMar>
          </w:tcPr>
          <w:p>
            <w:pPr>
              <w:spacing w:before="340"/>
              <w:ind w:left="100"/>
            </w:pPr>
            <w:r>
              <w:rPr>
                <w:rFonts w:hint="eastAsia" w:ascii="宋体" w:hAnsi="宋体" w:eastAsia="宋体" w:cs="宋体"/>
                <w:sz w:val="21"/>
              </w:rPr>
              <w:t>加大处罚力度</w:t>
            </w:r>
            <w:r>
              <w:rPr>
                <w:rFonts w:hint="eastAsia" w:ascii="宋体" w:hAnsi="宋体" w:eastAsia="宋体" w:cs="宋体"/>
                <w:sz w:val="10"/>
              </w:rPr>
              <w:t>，</w:t>
            </w:r>
            <w:r>
              <w:rPr>
                <w:rFonts w:hint="eastAsia" w:ascii="宋体" w:hAnsi="宋体" w:eastAsia="宋体" w:cs="宋体"/>
                <w:sz w:val="21"/>
              </w:rPr>
              <w:t>进</w:t>
            </w:r>
            <w:r>
              <w:rPr>
                <w:rFonts w:hint="eastAsia" w:ascii="宋体" w:hAnsi="宋体" w:eastAsia="宋体" w:cs="宋体"/>
                <w:sz w:val="20"/>
              </w:rPr>
              <w:t>一</w:t>
            </w:r>
            <w:r>
              <w:rPr>
                <w:rFonts w:hint="eastAsia" w:ascii="宋体" w:hAnsi="宋体" w:eastAsia="宋体" w:cs="宋体"/>
                <w:sz w:val="21"/>
              </w:rPr>
              <w:t>步完善计算机软件保护条例</w:t>
            </w:r>
          </w:p>
        </w:tc>
      </w:tr>
      <w:tr>
        <w:trPr>
          <w:trHeight w:val="3120" w:hRule="exact"/>
        </w:trPr>
        <w:tc>
          <w:tcPr>
            <w:tcW w:w="960" w:type="dxa"/>
            <w:vMerge w:val="continue"/>
            <w:tcMar>
              <w:top w:w="0" w:type="dxa"/>
              <w:left w:w="0" w:type="dxa"/>
              <w:bottom w:w="0" w:type="dxa"/>
              <w:right w:w="0" w:type="dxa"/>
            </w:tcMar>
          </w:tcPr>
          <w:p/>
        </w:tc>
        <w:tc>
          <w:tcPr>
            <w:tcW w:w="1980" w:type="dxa"/>
            <w:tcMar>
              <w:top w:w="0" w:type="dxa"/>
              <w:left w:w="0" w:type="dxa"/>
              <w:bottom w:w="0" w:type="dxa"/>
              <w:right w:w="0" w:type="dxa"/>
            </w:tcMar>
          </w:tcPr>
          <w:p>
            <w:pPr>
              <w:spacing w:before="980"/>
            </w:pPr>
            <w:r>
              <w:rPr>
                <w:rFonts w:hint="eastAsia" w:ascii="宋体" w:hAnsi="宋体" w:eastAsia="宋体" w:cs="宋体"/>
                <w:sz w:val="20"/>
              </w:rPr>
              <w:t>《</w:t>
            </w:r>
            <w:r>
              <w:rPr>
                <w:rFonts w:hint="eastAsia" w:ascii="宋体" w:hAnsi="宋体" w:eastAsia="宋体" w:cs="宋体"/>
                <w:sz w:val="21"/>
              </w:rPr>
              <w:t>国务院关于促进</w:t>
            </w:r>
          </w:p>
          <w:p>
            <w:pPr>
              <w:spacing w:before="100"/>
            </w:pPr>
            <w:r>
              <w:rPr>
                <w:rFonts w:hint="eastAsia" w:ascii="宋体" w:hAnsi="宋体" w:eastAsia="宋体" w:cs="宋体"/>
                <w:sz w:val="21"/>
              </w:rPr>
              <w:t>信息消费扩大内需</w:t>
            </w:r>
          </w:p>
          <w:p>
            <w:pPr>
              <w:spacing w:before="80"/>
            </w:pPr>
            <w:r>
              <w:rPr>
                <w:rFonts w:hint="eastAsia" w:ascii="宋体" w:hAnsi="宋体" w:eastAsia="宋体" w:cs="宋体"/>
                <w:sz w:val="21"/>
              </w:rPr>
              <w:t>的若干意见</w:t>
            </w:r>
            <w:r>
              <w:rPr>
                <w:rFonts w:hint="eastAsia" w:ascii="宋体" w:hAnsi="宋体" w:eastAsia="宋体" w:cs="宋体"/>
                <w:sz w:val="20"/>
              </w:rPr>
              <w:t>》（</w:t>
            </w:r>
            <w:r>
              <w:rPr>
                <w:rFonts w:hint="eastAsia" w:ascii="宋体" w:hAnsi="宋体" w:eastAsia="宋体" w:cs="宋体"/>
                <w:sz w:val="21"/>
              </w:rPr>
              <w:t>国</w:t>
            </w:r>
          </w:p>
          <w:p>
            <w:pPr>
              <w:spacing w:before="100"/>
            </w:pPr>
            <w:r>
              <w:rPr>
                <w:rFonts w:hint="eastAsia" w:ascii="宋体" w:hAnsi="宋体" w:eastAsia="宋体" w:cs="宋体"/>
                <w:sz w:val="21"/>
              </w:rPr>
              <w:t>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宋体" w:hAnsi="宋体" w:eastAsia="宋体" w:cs="宋体"/>
                <w:sz w:val="21"/>
              </w:rPr>
              <w:t xml:space="preserve"> 号</w:t>
            </w:r>
            <w:r>
              <w:rPr>
                <w:rFonts w:hint="eastAsia" w:ascii="宋体" w:hAnsi="宋体" w:eastAsia="宋体" w:cs="宋体"/>
                <w:sz w:val="20"/>
              </w:rPr>
              <w:t>）</w:t>
            </w:r>
          </w:p>
        </w:tc>
        <w:tc>
          <w:tcPr>
            <w:tcW w:w="1420" w:type="dxa"/>
            <w:tcMar>
              <w:top w:w="0" w:type="dxa"/>
              <w:left w:w="0" w:type="dxa"/>
              <w:bottom w:w="0" w:type="dxa"/>
              <w:right w:w="0" w:type="dxa"/>
            </w:tcMar>
          </w:tcPr>
          <w:p>
            <w:pPr>
              <w:spacing w:before="1440"/>
              <w:ind w:left="100"/>
            </w:pPr>
            <w:r>
              <w:rPr>
                <w:rFonts w:hint="eastAsia" w:ascii="宋体" w:hAnsi="宋体" w:eastAsia="宋体" w:cs="宋体"/>
                <w:sz w:val="21"/>
              </w:rPr>
              <w:t>国务院</w:t>
            </w:r>
          </w:p>
        </w:tc>
        <w:tc>
          <w:tcPr>
            <w:tcW w:w="4960" w:type="dxa"/>
            <w:tcMar>
              <w:top w:w="0" w:type="dxa"/>
              <w:left w:w="0" w:type="dxa"/>
              <w:bottom w:w="0" w:type="dxa"/>
              <w:right w:w="0" w:type="dxa"/>
            </w:tcMar>
          </w:tcPr>
          <w:p>
            <w:pPr>
              <w:spacing w:before="20"/>
              <w:ind w:left="100"/>
            </w:pPr>
            <w:r>
              <w:rPr>
                <w:rFonts w:hint="eastAsia" w:ascii="宋体" w:hAnsi="宋体" w:eastAsia="宋体" w:cs="宋体"/>
                <w:sz w:val="21"/>
              </w:rPr>
              <w:t>提升软件业支撑服务水平</w:t>
            </w:r>
            <w:r>
              <w:rPr>
                <w:rFonts w:hint="eastAsia" w:ascii="宋体" w:hAnsi="宋体" w:eastAsia="宋体" w:cs="宋体"/>
                <w:sz w:val="10"/>
              </w:rPr>
              <w:t>。</w:t>
            </w:r>
            <w:r>
              <w:rPr>
                <w:rFonts w:hint="eastAsia" w:ascii="宋体" w:hAnsi="宋体" w:eastAsia="宋体" w:cs="宋体"/>
                <w:sz w:val="21"/>
              </w:rPr>
              <w:t>加强智能终端</w:t>
            </w:r>
            <w:r>
              <w:rPr>
                <w:rFonts w:hint="eastAsia" w:ascii="宋体" w:hAnsi="宋体" w:eastAsia="宋体" w:cs="宋体"/>
                <w:sz w:val="10"/>
              </w:rPr>
              <w:t>、</w:t>
            </w:r>
            <w:r>
              <w:rPr>
                <w:rFonts w:hint="eastAsia" w:ascii="宋体" w:hAnsi="宋体" w:eastAsia="宋体" w:cs="宋体"/>
                <w:sz w:val="21"/>
              </w:rPr>
              <w:t>智能语音</w:t>
            </w:r>
            <w:r>
              <w:rPr>
                <w:rFonts w:hint="eastAsia" w:ascii="宋体" w:hAnsi="宋体" w:eastAsia="宋体" w:cs="宋体"/>
                <w:sz w:val="10"/>
              </w:rPr>
              <w:t>、</w:t>
            </w:r>
          </w:p>
          <w:p>
            <w:pPr>
              <w:spacing w:before="100"/>
              <w:ind w:left="100"/>
            </w:pPr>
            <w:r>
              <w:rPr>
                <w:rFonts w:hint="eastAsia" w:ascii="宋体" w:hAnsi="宋体" w:eastAsia="宋体" w:cs="宋体"/>
                <w:sz w:val="21"/>
              </w:rPr>
              <w:t>信息安全等关键软件的开发应用</w:t>
            </w:r>
            <w:r>
              <w:rPr>
                <w:rFonts w:hint="eastAsia" w:ascii="宋体" w:hAnsi="宋体" w:eastAsia="宋体" w:cs="宋体"/>
                <w:sz w:val="10"/>
              </w:rPr>
              <w:t>，</w:t>
            </w:r>
            <w:r>
              <w:rPr>
                <w:rFonts w:hint="eastAsia" w:ascii="宋体" w:hAnsi="宋体" w:eastAsia="宋体" w:cs="宋体"/>
                <w:sz w:val="21"/>
              </w:rPr>
              <w:t>加快安全可信关键</w:t>
            </w:r>
          </w:p>
          <w:p>
            <w:pPr>
              <w:spacing w:before="100"/>
              <w:ind w:left="100"/>
            </w:pPr>
            <w:r>
              <w:rPr>
                <w:rFonts w:hint="eastAsia" w:ascii="宋体" w:hAnsi="宋体" w:eastAsia="宋体" w:cs="宋体"/>
                <w:sz w:val="21"/>
              </w:rPr>
              <w:t>应用系统推广</w:t>
            </w:r>
            <w:r>
              <w:rPr>
                <w:rFonts w:hint="eastAsia" w:ascii="宋体" w:hAnsi="宋体" w:eastAsia="宋体" w:cs="宋体"/>
                <w:sz w:val="10"/>
              </w:rPr>
              <w:t>。</w:t>
            </w:r>
            <w:r>
              <w:rPr>
                <w:rFonts w:hint="eastAsia" w:ascii="宋体" w:hAnsi="宋体" w:eastAsia="宋体" w:cs="宋体"/>
                <w:sz w:val="21"/>
              </w:rPr>
              <w:t>大力支持软件应用商店</w:t>
            </w:r>
            <w:r>
              <w:rPr>
                <w:rFonts w:hint="eastAsia" w:ascii="宋体" w:hAnsi="宋体" w:eastAsia="宋体" w:cs="宋体"/>
                <w:sz w:val="10"/>
              </w:rPr>
              <w:t>、</w:t>
            </w:r>
            <w:r>
              <w:rPr>
                <w:rFonts w:hint="eastAsia" w:ascii="宋体" w:hAnsi="宋体" w:eastAsia="宋体" w:cs="宋体"/>
                <w:sz w:val="21"/>
              </w:rPr>
              <w:t>软件即服务</w:t>
            </w:r>
          </w:p>
          <w:p>
            <w:pPr>
              <w:spacing w:before="100"/>
              <w:ind w:left="100"/>
            </w:pPr>
            <w:r>
              <w:rPr>
                <w:rFonts w:hint="eastAsia" w:ascii="宋体" w:hAnsi="宋体" w:eastAsia="宋体" w:cs="宋体"/>
                <w:sz w:val="20"/>
              </w:rPr>
              <w:t>（</w:t>
            </w:r>
            <w:r>
              <w:rPr>
                <w:rFonts w:hint="eastAsia" w:ascii="Times New Roman" w:hAnsi="Times New Roman" w:eastAsia="Times New Roman" w:cs="Times New Roman"/>
                <w:sz w:val="21"/>
              </w:rPr>
              <w:t>SaaS</w:t>
            </w:r>
            <w:r>
              <w:rPr>
                <w:rFonts w:hint="eastAsia" w:ascii="宋体" w:hAnsi="宋体" w:eastAsia="宋体" w:cs="宋体"/>
                <w:sz w:val="20"/>
              </w:rPr>
              <w:t>）</w:t>
            </w:r>
            <w:r>
              <w:rPr>
                <w:rFonts w:hint="eastAsia" w:ascii="宋体" w:hAnsi="宋体" w:eastAsia="宋体" w:cs="宋体"/>
                <w:sz w:val="21"/>
              </w:rPr>
              <w:t>等服务模式创新</w:t>
            </w:r>
            <w:r>
              <w:rPr>
                <w:rFonts w:hint="eastAsia" w:ascii="宋体" w:hAnsi="宋体" w:eastAsia="宋体" w:cs="宋体"/>
                <w:sz w:val="10"/>
              </w:rPr>
              <w:t>。</w:t>
            </w:r>
          </w:p>
          <w:p>
            <w:pPr>
              <w:spacing w:before="100"/>
              <w:ind w:left="100"/>
            </w:pPr>
            <w:r>
              <w:rPr>
                <w:rFonts w:hint="eastAsia" w:ascii="宋体" w:hAnsi="宋体" w:eastAsia="宋体" w:cs="宋体"/>
                <w:sz w:val="21"/>
              </w:rPr>
              <w:t>提升信息安全保障能力</w:t>
            </w:r>
            <w:r>
              <w:rPr>
                <w:rFonts w:hint="eastAsia" w:ascii="宋体" w:hAnsi="宋体" w:eastAsia="宋体" w:cs="宋体"/>
                <w:sz w:val="10"/>
              </w:rPr>
              <w:t>。</w:t>
            </w:r>
            <w:r>
              <w:rPr>
                <w:rFonts w:hint="eastAsia" w:ascii="宋体" w:hAnsi="宋体" w:eastAsia="宋体" w:cs="宋体"/>
                <w:sz w:val="21"/>
              </w:rPr>
              <w:t>依法加强信息产品和服务的</w:t>
            </w:r>
          </w:p>
          <w:p>
            <w:pPr>
              <w:spacing w:before="80"/>
              <w:ind w:left="100"/>
            </w:pPr>
            <w:r>
              <w:rPr>
                <w:rFonts w:hint="eastAsia" w:ascii="宋体" w:hAnsi="宋体" w:eastAsia="宋体" w:cs="宋体"/>
                <w:sz w:val="21"/>
              </w:rPr>
              <w:t>检测和认证</w:t>
            </w:r>
            <w:r>
              <w:rPr>
                <w:rFonts w:hint="eastAsia" w:ascii="宋体" w:hAnsi="宋体" w:eastAsia="宋体" w:cs="宋体"/>
                <w:sz w:val="10"/>
              </w:rPr>
              <w:t>，</w:t>
            </w:r>
            <w:r>
              <w:rPr>
                <w:rFonts w:hint="eastAsia" w:ascii="宋体" w:hAnsi="宋体" w:eastAsia="宋体" w:cs="宋体"/>
                <w:sz w:val="21"/>
              </w:rPr>
              <w:t>鼓励企业开发技术先进</w:t>
            </w:r>
            <w:r>
              <w:rPr>
                <w:rFonts w:hint="eastAsia" w:ascii="宋体" w:hAnsi="宋体" w:eastAsia="宋体" w:cs="宋体"/>
                <w:sz w:val="10"/>
              </w:rPr>
              <w:t>、</w:t>
            </w:r>
            <w:r>
              <w:rPr>
                <w:rFonts w:hint="eastAsia" w:ascii="宋体" w:hAnsi="宋体" w:eastAsia="宋体" w:cs="宋体"/>
                <w:sz w:val="21"/>
              </w:rPr>
              <w:t>性能可靠的信</w:t>
            </w:r>
          </w:p>
          <w:p>
            <w:pPr>
              <w:spacing w:before="100"/>
              <w:ind w:left="100"/>
            </w:pPr>
            <w:r>
              <w:rPr>
                <w:rFonts w:hint="eastAsia" w:ascii="宋体" w:hAnsi="宋体" w:eastAsia="宋体" w:cs="宋体"/>
                <w:sz w:val="21"/>
              </w:rPr>
              <w:t>息技术产品</w:t>
            </w:r>
            <w:r>
              <w:rPr>
                <w:rFonts w:hint="eastAsia" w:ascii="宋体" w:hAnsi="宋体" w:eastAsia="宋体" w:cs="宋体"/>
                <w:sz w:val="10"/>
              </w:rPr>
              <w:t>，</w:t>
            </w:r>
            <w:r>
              <w:rPr>
                <w:rFonts w:hint="eastAsia" w:ascii="宋体" w:hAnsi="宋体" w:eastAsia="宋体" w:cs="宋体"/>
                <w:sz w:val="21"/>
              </w:rPr>
              <w:t>支持建立第三方安全评估与监测机制</w:t>
            </w:r>
            <w:r>
              <w:rPr>
                <w:rFonts w:hint="eastAsia" w:ascii="宋体" w:hAnsi="宋体" w:eastAsia="宋体" w:cs="宋体"/>
                <w:sz w:val="10"/>
              </w:rPr>
              <w:t>。</w:t>
            </w:r>
          </w:p>
          <w:p>
            <w:pPr>
              <w:spacing w:before="100"/>
              <w:ind w:left="100"/>
            </w:pPr>
            <w:r>
              <w:rPr>
                <w:rFonts w:hint="eastAsia" w:ascii="宋体" w:hAnsi="宋体" w:eastAsia="宋体" w:cs="宋体"/>
                <w:sz w:val="21"/>
              </w:rPr>
              <w:t>落实信息安全等级保护制度</w:t>
            </w:r>
            <w:r>
              <w:rPr>
                <w:rFonts w:hint="eastAsia" w:ascii="宋体" w:hAnsi="宋体" w:eastAsia="宋体" w:cs="宋体"/>
                <w:sz w:val="10"/>
              </w:rPr>
              <w:t>，</w:t>
            </w:r>
            <w:r>
              <w:rPr>
                <w:rFonts w:hint="eastAsia" w:ascii="宋体" w:hAnsi="宋体" w:eastAsia="宋体" w:cs="宋体"/>
                <w:sz w:val="21"/>
              </w:rPr>
              <w:t>加强网络与信息安全监</w:t>
            </w:r>
          </w:p>
          <w:p>
            <w:pPr>
              <w:spacing w:before="100"/>
              <w:ind w:left="100"/>
            </w:pPr>
            <w:r>
              <w:rPr>
                <w:rFonts w:hint="eastAsia" w:ascii="宋体" w:hAnsi="宋体" w:eastAsia="宋体" w:cs="宋体"/>
                <w:sz w:val="21"/>
              </w:rPr>
              <w:t>管</w:t>
            </w:r>
            <w:r>
              <w:rPr>
                <w:rFonts w:hint="eastAsia" w:ascii="宋体" w:hAnsi="宋体" w:eastAsia="宋体" w:cs="宋体"/>
                <w:sz w:val="10"/>
              </w:rPr>
              <w:t>，</w:t>
            </w:r>
            <w:r>
              <w:rPr>
                <w:rFonts w:hint="eastAsia" w:ascii="宋体" w:hAnsi="宋体" w:eastAsia="宋体" w:cs="宋体"/>
                <w:sz w:val="21"/>
              </w:rPr>
              <w:t>提升网络与信息安全监管能力和系统安全防护水</w:t>
            </w:r>
          </w:p>
          <w:p>
            <w:pPr>
              <w:spacing w:before="120"/>
              <w:ind w:left="100"/>
            </w:pPr>
            <w:r>
              <w:rPr>
                <w:rFonts w:hint="eastAsia" w:ascii="宋体" w:hAnsi="宋体" w:eastAsia="宋体" w:cs="宋体"/>
                <w:sz w:val="21"/>
              </w:rPr>
              <w:t>平</w:t>
            </w:r>
          </w:p>
        </w:tc>
      </w:tr>
      <w:tr>
        <w:trPr>
          <w:trHeight w:val="640" w:hRule="exact"/>
        </w:trPr>
        <w:tc>
          <w:tcPr>
            <w:tcW w:w="960" w:type="dxa"/>
            <w:tcMar>
              <w:top w:w="0" w:type="dxa"/>
              <w:left w:w="0" w:type="dxa"/>
              <w:bottom w:w="0" w:type="dxa"/>
              <w:right w:w="0" w:type="dxa"/>
            </w:tcMar>
          </w:tcPr>
          <w:p>
            <w:pPr>
              <w:spacing w:before="200"/>
              <w:ind w:left="120"/>
            </w:pPr>
            <w:r>
              <w:rPr>
                <w:rFonts w:hint="eastAsia" w:ascii="Times New Roman" w:hAnsi="Times New Roman" w:eastAsia="Times New Roman" w:cs="Times New Roman"/>
                <w:sz w:val="21"/>
              </w:rPr>
              <w:t>2014</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40"/>
            </w:pPr>
            <w:r>
              <w:rPr>
                <w:rFonts w:hint="eastAsia" w:ascii="宋体" w:hAnsi="宋体" w:eastAsia="宋体" w:cs="宋体"/>
                <w:sz w:val="20"/>
              </w:rPr>
              <w:t>《</w:t>
            </w:r>
            <w:r>
              <w:rPr>
                <w:rFonts w:hint="eastAsia" w:ascii="宋体" w:hAnsi="宋体" w:eastAsia="宋体" w:cs="宋体"/>
                <w:sz w:val="21"/>
              </w:rPr>
              <w:t>国务院关于取消</w:t>
            </w:r>
          </w:p>
          <w:p>
            <w:pPr>
              <w:spacing w:before="80"/>
            </w:pPr>
            <w:r>
              <w:rPr>
                <w:rFonts w:hint="eastAsia" w:ascii="宋体" w:hAnsi="宋体" w:eastAsia="宋体" w:cs="宋体"/>
                <w:sz w:val="21"/>
              </w:rPr>
              <w:t>和下放</w:t>
            </w:r>
            <w:r>
              <w:rPr>
                <w:rFonts w:hint="eastAsia" w:ascii="宋体" w:hAnsi="宋体" w:eastAsia="宋体" w:cs="宋体"/>
                <w:sz w:val="20"/>
              </w:rPr>
              <w:t>一</w:t>
            </w:r>
            <w:r>
              <w:rPr>
                <w:rFonts w:hint="eastAsia" w:ascii="宋体" w:hAnsi="宋体" w:eastAsia="宋体" w:cs="宋体"/>
                <w:sz w:val="21"/>
              </w:rPr>
              <w:t>批行政审</w:t>
            </w:r>
          </w:p>
        </w:tc>
        <w:tc>
          <w:tcPr>
            <w:tcW w:w="1420" w:type="dxa"/>
            <w:tcMar>
              <w:top w:w="0" w:type="dxa"/>
              <w:left w:w="0" w:type="dxa"/>
              <w:bottom w:w="0" w:type="dxa"/>
              <w:right w:w="0" w:type="dxa"/>
            </w:tcMar>
          </w:tcPr>
          <w:p>
            <w:pPr>
              <w:spacing w:before="200"/>
              <w:ind w:left="100"/>
            </w:pPr>
            <w:r>
              <w:rPr>
                <w:rFonts w:hint="eastAsia" w:ascii="宋体" w:hAnsi="宋体" w:eastAsia="宋体" w:cs="宋体"/>
                <w:sz w:val="21"/>
              </w:rPr>
              <w:t>国务院</w:t>
            </w:r>
          </w:p>
        </w:tc>
        <w:tc>
          <w:tcPr>
            <w:tcW w:w="4960" w:type="dxa"/>
            <w:tcMar>
              <w:top w:w="0" w:type="dxa"/>
              <w:left w:w="0" w:type="dxa"/>
              <w:bottom w:w="0" w:type="dxa"/>
              <w:right w:w="0" w:type="dxa"/>
            </w:tcMar>
          </w:tcPr>
          <w:p>
            <w:pPr>
              <w:spacing w:before="40"/>
              <w:ind w:left="100"/>
            </w:pPr>
            <w:r>
              <w:rPr>
                <w:rFonts w:hint="eastAsia" w:ascii="宋体" w:hAnsi="宋体" w:eastAsia="宋体" w:cs="宋体"/>
                <w:sz w:val="21"/>
              </w:rPr>
              <w:t>取消计算机信息系统集成企业资质认定</w:t>
            </w:r>
            <w:r>
              <w:rPr>
                <w:rFonts w:hint="eastAsia" w:ascii="宋体" w:hAnsi="宋体" w:eastAsia="宋体" w:cs="宋体"/>
                <w:sz w:val="10"/>
              </w:rPr>
              <w:t>、</w:t>
            </w:r>
            <w:r>
              <w:rPr>
                <w:rFonts w:hint="eastAsia" w:ascii="宋体" w:hAnsi="宋体" w:eastAsia="宋体" w:cs="宋体"/>
                <w:sz w:val="21"/>
              </w:rPr>
              <w:t>计算机信息</w:t>
            </w:r>
          </w:p>
          <w:p>
            <w:pPr>
              <w:spacing w:before="80"/>
              <w:ind w:left="100"/>
            </w:pPr>
            <w:r>
              <w:rPr>
                <w:rFonts w:hint="eastAsia" w:ascii="宋体" w:hAnsi="宋体" w:eastAsia="宋体" w:cs="宋体"/>
                <w:sz w:val="21"/>
              </w:rPr>
              <w:t>系统集成项目经理人员资质评定</w:t>
            </w:r>
            <w:r>
              <w:rPr>
                <w:rFonts w:hint="eastAsia" w:ascii="宋体" w:hAnsi="宋体" w:eastAsia="宋体" w:cs="宋体"/>
                <w:sz w:val="10"/>
              </w:rPr>
              <w:t>、</w:t>
            </w:r>
            <w:r>
              <w:rPr>
                <w:rFonts w:hint="eastAsia" w:ascii="宋体" w:hAnsi="宋体" w:eastAsia="宋体" w:cs="宋体"/>
                <w:sz w:val="21"/>
              </w:rPr>
              <w:t>信息系统工程监理</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60"/>
        <w:jc w:val="both"/>
      </w:pPr>
      <w:r>
        <w:rPr>
          <w:rFonts w:hint="eastAsia" w:ascii="Times New Roman" w:hAnsi="Times New Roman" w:eastAsia="Times New Roman" w:cs="Times New Roman"/>
          <w:sz w:val="21"/>
        </w:rPr>
        <w:t>1-1-96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340" w:type="auto"/>
        <w:tblInd w:w="12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60"/>
        <w:gridCol w:w="1980"/>
        <w:gridCol w:w="1420"/>
        <w:gridCol w:w="4960"/>
      </w:tblGrid>
      <w:tr>
        <w:trPr>
          <w:trHeight w:val="640" w:hRule="exact"/>
        </w:trPr>
        <w:tc>
          <w:tcPr>
            <w:tcW w:w="960" w:type="dxa"/>
            <w:vMerge w:val="restart"/>
            <w:tcMar>
              <w:top w:w="0" w:type="dxa"/>
              <w:left w:w="0" w:type="dxa"/>
              <w:bottom w:w="0" w:type="dxa"/>
              <w:right w:w="0" w:type="dxa"/>
            </w:tcMar>
          </w:tcPr>
          <w:p/>
        </w:tc>
        <w:tc>
          <w:tcPr>
            <w:tcW w:w="1980" w:type="dxa"/>
            <w:tcMar>
              <w:top w:w="0" w:type="dxa"/>
              <w:left w:w="0" w:type="dxa"/>
              <w:bottom w:w="0" w:type="dxa"/>
              <w:right w:w="0" w:type="dxa"/>
            </w:tcMar>
          </w:tcPr>
          <w:p>
            <w:pPr>
              <w:spacing w:before="40"/>
            </w:pPr>
            <w:r>
              <w:rPr>
                <w:rFonts w:hint="eastAsia" w:ascii="宋体" w:hAnsi="宋体" w:eastAsia="宋体" w:cs="宋体"/>
                <w:sz w:val="21"/>
              </w:rPr>
              <w:t>批项目的决定</w:t>
            </w:r>
            <w:r>
              <w:rPr>
                <w:rFonts w:hint="eastAsia" w:ascii="宋体" w:hAnsi="宋体" w:eastAsia="宋体" w:cs="宋体"/>
                <w:sz w:val="20"/>
              </w:rPr>
              <w:t>》（</w:t>
            </w:r>
            <w:r>
              <w:rPr>
                <w:rFonts w:hint="eastAsia" w:ascii="宋体" w:hAnsi="宋体" w:eastAsia="宋体" w:cs="宋体"/>
                <w:sz w:val="21"/>
              </w:rPr>
              <w:t>国</w:t>
            </w:r>
          </w:p>
          <w:p>
            <w:pPr>
              <w:spacing w:before="100"/>
            </w:pPr>
            <w:r>
              <w:rPr>
                <w:rFonts w:hint="eastAsia" w:ascii="宋体" w:hAnsi="宋体" w:eastAsia="宋体" w:cs="宋体"/>
                <w:sz w:val="21"/>
              </w:rPr>
              <w:t>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r>
              <w:rPr>
                <w:rFonts w:hint="eastAsia" w:ascii="宋体" w:hAnsi="宋体" w:eastAsia="宋体" w:cs="宋体"/>
                <w:sz w:val="21"/>
              </w:rPr>
              <w:t xml:space="preserve"> 号</w:t>
            </w:r>
            <w:r>
              <w:rPr>
                <w:rFonts w:hint="eastAsia" w:ascii="宋体" w:hAnsi="宋体" w:eastAsia="宋体" w:cs="宋体"/>
                <w:sz w:val="20"/>
              </w:rPr>
              <w:t>）</w:t>
            </w:r>
          </w:p>
        </w:tc>
        <w:tc>
          <w:tcPr>
            <w:tcW w:w="1420" w:type="dxa"/>
            <w:tcMar>
              <w:top w:w="0" w:type="dxa"/>
              <w:left w:w="0" w:type="dxa"/>
              <w:bottom w:w="0" w:type="dxa"/>
              <w:right w:w="0" w:type="dxa"/>
            </w:tcMar>
          </w:tcPr>
          <w:p/>
        </w:tc>
        <w:tc>
          <w:tcPr>
            <w:tcW w:w="4960" w:type="dxa"/>
            <w:tcMar>
              <w:top w:w="0" w:type="dxa"/>
              <w:left w:w="0" w:type="dxa"/>
              <w:bottom w:w="0" w:type="dxa"/>
              <w:right w:w="0" w:type="dxa"/>
            </w:tcMar>
          </w:tcPr>
          <w:p>
            <w:pPr>
              <w:spacing w:before="40"/>
              <w:ind w:left="100"/>
            </w:pPr>
            <w:r>
              <w:rPr>
                <w:rFonts w:hint="eastAsia" w:ascii="宋体" w:hAnsi="宋体" w:eastAsia="宋体" w:cs="宋体"/>
                <w:sz w:val="21"/>
              </w:rPr>
              <w:t>单位资质认证和监理工程师资格认定四项</w:t>
            </w:r>
            <w:r>
              <w:rPr>
                <w:rFonts w:hint="eastAsia" w:ascii="宋体" w:hAnsi="宋体" w:eastAsia="宋体" w:cs="宋体"/>
                <w:sz w:val="20"/>
              </w:rPr>
              <w:t>（</w:t>
            </w:r>
            <w:r>
              <w:rPr>
                <w:rFonts w:hint="eastAsia" w:ascii="宋体" w:hAnsi="宋体" w:eastAsia="宋体" w:cs="宋体"/>
                <w:sz w:val="21"/>
              </w:rPr>
              <w:t>含子项</w:t>
            </w:r>
            <w:r>
              <w:rPr>
                <w:rFonts w:hint="eastAsia" w:ascii="宋体" w:hAnsi="宋体" w:eastAsia="宋体" w:cs="宋体"/>
                <w:sz w:val="20"/>
              </w:rPr>
              <w:t>）</w:t>
            </w:r>
          </w:p>
          <w:p>
            <w:pPr>
              <w:spacing w:before="100"/>
              <w:ind w:left="100"/>
            </w:pPr>
            <w:r>
              <w:rPr>
                <w:rFonts w:hint="eastAsia" w:ascii="宋体" w:hAnsi="宋体" w:eastAsia="宋体" w:cs="宋体"/>
                <w:sz w:val="21"/>
              </w:rPr>
              <w:t>行政审批项目</w:t>
            </w:r>
          </w:p>
        </w:tc>
      </w:tr>
      <w:tr>
        <w:trPr>
          <w:trHeight w:val="1880" w:hRule="exact"/>
        </w:trPr>
        <w:tc>
          <w:tcPr>
            <w:tcW w:w="960" w:type="dxa"/>
            <w:vMerge w:val="continue"/>
            <w:tcMar>
              <w:top w:w="0" w:type="dxa"/>
              <w:left w:w="0" w:type="dxa"/>
              <w:bottom w:w="0" w:type="dxa"/>
              <w:right w:w="0" w:type="dxa"/>
            </w:tcMar>
          </w:tcPr>
          <w:p/>
        </w:tc>
        <w:tc>
          <w:tcPr>
            <w:tcW w:w="1980" w:type="dxa"/>
            <w:tcMar>
              <w:top w:w="0" w:type="dxa"/>
              <w:left w:w="0" w:type="dxa"/>
              <w:bottom w:w="0" w:type="dxa"/>
              <w:right w:w="0" w:type="dxa"/>
            </w:tcMar>
          </w:tcPr>
          <w:p>
            <w:pPr>
              <w:spacing w:before="40"/>
            </w:pPr>
            <w:r>
              <w:rPr>
                <w:rFonts w:hint="eastAsia" w:ascii="宋体" w:hAnsi="宋体" w:eastAsia="宋体" w:cs="宋体"/>
                <w:sz w:val="20"/>
              </w:rPr>
              <w:t>《</w:t>
            </w:r>
            <w:r>
              <w:rPr>
                <w:rFonts w:hint="eastAsia" w:ascii="宋体" w:hAnsi="宋体" w:eastAsia="宋体" w:cs="宋体"/>
                <w:sz w:val="21"/>
              </w:rPr>
              <w:t>关于做好取消计</w:t>
            </w:r>
          </w:p>
          <w:p>
            <w:pPr>
              <w:spacing w:before="100"/>
            </w:pPr>
            <w:r>
              <w:rPr>
                <w:rFonts w:hint="eastAsia" w:ascii="宋体" w:hAnsi="宋体" w:eastAsia="宋体" w:cs="宋体"/>
                <w:sz w:val="21"/>
              </w:rPr>
              <w:t>算机信息系统集成</w:t>
            </w:r>
          </w:p>
          <w:p>
            <w:pPr>
              <w:spacing w:before="100"/>
            </w:pPr>
            <w:r>
              <w:rPr>
                <w:rFonts w:hint="eastAsia" w:ascii="宋体" w:hAnsi="宋体" w:eastAsia="宋体" w:cs="宋体"/>
                <w:sz w:val="21"/>
              </w:rPr>
              <w:t>企业资质认定等行</w:t>
            </w:r>
          </w:p>
          <w:p>
            <w:pPr>
              <w:spacing w:before="80"/>
            </w:pPr>
            <w:r>
              <w:rPr>
                <w:rFonts w:hint="eastAsia" w:ascii="宋体" w:hAnsi="宋体" w:eastAsia="宋体" w:cs="宋体"/>
                <w:sz w:val="21"/>
              </w:rPr>
              <w:t>政审批事项相关工</w:t>
            </w:r>
          </w:p>
          <w:p>
            <w:pPr>
              <w:spacing w:before="100"/>
            </w:pPr>
            <w:r>
              <w:rPr>
                <w:rFonts w:hint="eastAsia" w:ascii="宋体" w:hAnsi="宋体" w:eastAsia="宋体" w:cs="宋体"/>
                <w:sz w:val="21"/>
              </w:rPr>
              <w:t>作的通知</w:t>
            </w:r>
            <w:r>
              <w:rPr>
                <w:rFonts w:hint="eastAsia" w:ascii="宋体" w:hAnsi="宋体" w:eastAsia="宋体" w:cs="宋体"/>
                <w:sz w:val="20"/>
              </w:rPr>
              <w:t>》（</w:t>
            </w:r>
            <w:r>
              <w:rPr>
                <w:rFonts w:hint="eastAsia" w:ascii="宋体" w:hAnsi="宋体" w:eastAsia="宋体" w:cs="宋体"/>
                <w:sz w:val="21"/>
              </w:rPr>
              <w:t>工信</w:t>
            </w:r>
          </w:p>
          <w:p>
            <w:pPr>
              <w:spacing w:before="100"/>
            </w:pPr>
            <w:r>
              <w:rPr>
                <w:rFonts w:hint="eastAsia" w:ascii="宋体" w:hAnsi="宋体" w:eastAsia="宋体" w:cs="宋体"/>
                <w:sz w:val="21"/>
              </w:rPr>
              <w:t>部软</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宋体" w:hAnsi="宋体" w:eastAsia="宋体" w:cs="宋体"/>
                <w:sz w:val="21"/>
              </w:rPr>
              <w:t xml:space="preserve"> 号</w:t>
            </w:r>
            <w:r>
              <w:rPr>
                <w:rFonts w:hint="eastAsia" w:ascii="宋体" w:hAnsi="宋体" w:eastAsia="宋体" w:cs="宋体"/>
                <w:sz w:val="20"/>
              </w:rPr>
              <w:t>）</w:t>
            </w:r>
          </w:p>
        </w:tc>
        <w:tc>
          <w:tcPr>
            <w:tcW w:w="1420" w:type="dxa"/>
            <w:tcMar>
              <w:top w:w="0" w:type="dxa"/>
              <w:left w:w="0" w:type="dxa"/>
              <w:bottom w:w="0" w:type="dxa"/>
              <w:right w:w="0" w:type="dxa"/>
            </w:tcMar>
          </w:tcPr>
          <w:p>
            <w:pPr>
              <w:spacing w:before="660"/>
              <w:ind w:left="100"/>
            </w:pPr>
            <w:r>
              <w:rPr>
                <w:rFonts w:hint="eastAsia" w:ascii="宋体" w:hAnsi="宋体" w:eastAsia="宋体" w:cs="宋体"/>
                <w:sz w:val="21"/>
              </w:rPr>
              <w:t>工业和信息</w:t>
            </w:r>
          </w:p>
          <w:p>
            <w:pPr>
              <w:spacing w:before="100"/>
              <w:ind w:left="100"/>
            </w:pPr>
            <w:r>
              <w:rPr>
                <w:rFonts w:hint="eastAsia" w:ascii="宋体" w:hAnsi="宋体" w:eastAsia="宋体" w:cs="宋体"/>
                <w:sz w:val="21"/>
              </w:rPr>
              <w:t>化部</w:t>
            </w:r>
          </w:p>
        </w:tc>
        <w:tc>
          <w:tcPr>
            <w:tcW w:w="4960" w:type="dxa"/>
            <w:tcMar>
              <w:top w:w="0" w:type="dxa"/>
              <w:left w:w="0" w:type="dxa"/>
              <w:bottom w:w="0" w:type="dxa"/>
              <w:right w:w="0" w:type="dxa"/>
            </w:tcMar>
          </w:tcPr>
          <w:p>
            <w:pPr>
              <w:spacing w:before="500"/>
              <w:ind w:left="100"/>
            </w:pPr>
            <w:r>
              <w:rPr>
                <w:rFonts w:hint="eastAsia" w:ascii="宋体" w:hAnsi="宋体" w:eastAsia="宋体" w:cs="宋体"/>
                <w:sz w:val="21"/>
              </w:rPr>
              <w:t>计算机信息系统集成企业资质等信息技术服务资质</w:t>
            </w:r>
          </w:p>
          <w:p>
            <w:pPr>
              <w:spacing w:before="80"/>
              <w:ind w:left="100"/>
            </w:pPr>
            <w:r>
              <w:rPr>
                <w:rFonts w:hint="eastAsia" w:ascii="宋体" w:hAnsi="宋体" w:eastAsia="宋体" w:cs="宋体"/>
                <w:sz w:val="21"/>
              </w:rPr>
              <w:t>资格认定由相关行业组织自律管理</w:t>
            </w:r>
            <w:r>
              <w:rPr>
                <w:rFonts w:hint="eastAsia" w:ascii="宋体" w:hAnsi="宋体" w:eastAsia="宋体" w:cs="宋体"/>
                <w:sz w:val="10"/>
              </w:rPr>
              <w:t>，</w:t>
            </w:r>
            <w:r>
              <w:rPr>
                <w:rFonts w:hint="eastAsia" w:ascii="宋体" w:hAnsi="宋体" w:eastAsia="宋体" w:cs="宋体"/>
                <w:sz w:val="21"/>
              </w:rPr>
              <w:t>行业主管部门做</w:t>
            </w:r>
          </w:p>
          <w:p>
            <w:pPr>
              <w:spacing w:before="100"/>
              <w:ind w:left="100"/>
            </w:pPr>
            <w:r>
              <w:rPr>
                <w:rFonts w:hint="eastAsia" w:ascii="宋体" w:hAnsi="宋体" w:eastAsia="宋体" w:cs="宋体"/>
                <w:sz w:val="21"/>
              </w:rPr>
              <w:t>好事中事后监管工作</w:t>
            </w:r>
          </w:p>
        </w:tc>
      </w:tr>
      <w:tr>
        <w:trPr>
          <w:trHeight w:val="1560" w:hRule="exact"/>
        </w:trPr>
        <w:tc>
          <w:tcPr>
            <w:tcW w:w="960" w:type="dxa"/>
            <w:vMerge w:val="restart"/>
            <w:tcMar>
              <w:top w:w="0" w:type="dxa"/>
              <w:left w:w="0" w:type="dxa"/>
              <w:bottom w:w="0" w:type="dxa"/>
              <w:right w:w="0" w:type="dxa"/>
            </w:tcMar>
          </w:tcPr>
          <w:p>
            <w:pPr>
              <w:spacing w:before="2060"/>
              <w:ind w:left="120"/>
            </w:pPr>
            <w:r>
              <w:rPr>
                <w:rFonts w:hint="eastAsia" w:ascii="Times New Roman" w:hAnsi="Times New Roman" w:eastAsia="Times New Roman" w:cs="Times New Roman"/>
                <w:sz w:val="21"/>
              </w:rPr>
              <w:t>2015</w:t>
            </w:r>
            <w:r>
              <w:rPr>
                <w:rFonts w:hint="eastAsia" w:ascii="宋体" w:hAnsi="宋体" w:eastAsia="宋体" w:cs="宋体"/>
                <w:sz w:val="21"/>
              </w:rPr>
              <w:t xml:space="preserve"> 年</w:t>
            </w:r>
          </w:p>
        </w:tc>
        <w:tc>
          <w:tcPr>
            <w:tcW w:w="1980" w:type="dxa"/>
            <w:tcMar>
              <w:top w:w="0" w:type="dxa"/>
              <w:left w:w="0" w:type="dxa"/>
              <w:bottom w:w="0" w:type="dxa"/>
              <w:right w:w="0" w:type="dxa"/>
            </w:tcMar>
          </w:tcPr>
          <w:p>
            <w:pPr>
              <w:spacing w:before="500"/>
            </w:pPr>
            <w:r>
              <w:rPr>
                <w:rFonts w:hint="eastAsia" w:ascii="宋体" w:hAnsi="宋体" w:eastAsia="宋体" w:cs="宋体"/>
                <w:sz w:val="21"/>
              </w:rPr>
              <w:t>加快互联网经济发</w:t>
            </w:r>
          </w:p>
          <w:p>
            <w:pPr>
              <w:spacing w:before="80"/>
            </w:pPr>
            <w:r>
              <w:rPr>
                <w:rFonts w:hint="eastAsia" w:ascii="宋体" w:hAnsi="宋体" w:eastAsia="宋体" w:cs="宋体"/>
                <w:sz w:val="21"/>
              </w:rPr>
              <w:t>展十条措施</w:t>
            </w:r>
          </w:p>
        </w:tc>
        <w:tc>
          <w:tcPr>
            <w:tcW w:w="1420" w:type="dxa"/>
            <w:tcMar>
              <w:top w:w="0" w:type="dxa"/>
              <w:left w:w="0" w:type="dxa"/>
              <w:bottom w:w="0" w:type="dxa"/>
              <w:right w:w="0" w:type="dxa"/>
            </w:tcMar>
          </w:tcPr>
          <w:p>
            <w:pPr>
              <w:spacing w:before="660"/>
              <w:ind w:left="100"/>
            </w:pPr>
            <w:r>
              <w:rPr>
                <w:rFonts w:hint="eastAsia" w:ascii="宋体" w:hAnsi="宋体" w:eastAsia="宋体" w:cs="宋体"/>
                <w:sz w:val="21"/>
              </w:rPr>
              <w:t>福建省政府</w:t>
            </w:r>
          </w:p>
        </w:tc>
        <w:tc>
          <w:tcPr>
            <w:tcW w:w="4960" w:type="dxa"/>
            <w:tcMar>
              <w:top w:w="0" w:type="dxa"/>
              <w:left w:w="0" w:type="dxa"/>
              <w:bottom w:w="0" w:type="dxa"/>
              <w:right w:w="0" w:type="dxa"/>
            </w:tcMar>
          </w:tcPr>
          <w:p>
            <w:pPr>
              <w:spacing w:before="20"/>
              <w:ind w:left="100"/>
            </w:pPr>
            <w:r>
              <w:rPr>
                <w:rFonts w:hint="eastAsia" w:ascii="宋体" w:hAnsi="宋体" w:eastAsia="宋体" w:cs="宋体"/>
                <w:sz w:val="21"/>
              </w:rPr>
              <w:t>全面夯实发展基础</w:t>
            </w:r>
            <w:r>
              <w:rPr>
                <w:rFonts w:hint="eastAsia" w:ascii="宋体" w:hAnsi="宋体" w:eastAsia="宋体" w:cs="宋体"/>
                <w:sz w:val="10"/>
              </w:rPr>
              <w:t>，</w:t>
            </w:r>
            <w:r>
              <w:rPr>
                <w:rFonts w:hint="eastAsia" w:ascii="宋体" w:hAnsi="宋体" w:eastAsia="宋体" w:cs="宋体"/>
                <w:sz w:val="21"/>
              </w:rPr>
              <w:t>健全互联网经济生态圈</w:t>
            </w:r>
            <w:r>
              <w:rPr>
                <w:rFonts w:hint="eastAsia" w:ascii="宋体" w:hAnsi="宋体" w:eastAsia="宋体" w:cs="宋体"/>
                <w:sz w:val="10"/>
              </w:rPr>
              <w:t>，</w:t>
            </w:r>
            <w:r>
              <w:rPr>
                <w:rFonts w:hint="eastAsia" w:ascii="宋体" w:hAnsi="宋体" w:eastAsia="宋体" w:cs="宋体"/>
                <w:sz w:val="21"/>
              </w:rPr>
              <w:t>各领域</w:t>
            </w:r>
          </w:p>
          <w:p>
            <w:pPr>
              <w:spacing w:before="100"/>
              <w:ind w:left="100"/>
            </w:pPr>
            <w:r>
              <w:rPr>
                <w:rFonts w:hint="eastAsia" w:ascii="宋体" w:hAnsi="宋体" w:eastAsia="宋体" w:cs="宋体"/>
                <w:sz w:val="21"/>
              </w:rPr>
              <w:t>建成</w:t>
            </w:r>
            <w:r>
              <w:rPr>
                <w:rFonts w:hint="eastAsia" w:ascii="宋体" w:hAnsi="宋体" w:eastAsia="宋体" w:cs="宋体"/>
                <w:sz w:val="20"/>
              </w:rPr>
              <w:t>一</w:t>
            </w:r>
            <w:r>
              <w:rPr>
                <w:rFonts w:hint="eastAsia" w:ascii="宋体" w:hAnsi="宋体" w:eastAsia="宋体" w:cs="宋体"/>
                <w:sz w:val="21"/>
              </w:rPr>
              <w:t>批互联网平台</w:t>
            </w:r>
            <w:r>
              <w:rPr>
                <w:rFonts w:hint="eastAsia" w:ascii="宋体" w:hAnsi="宋体" w:eastAsia="宋体" w:cs="宋体"/>
                <w:sz w:val="12"/>
              </w:rPr>
              <w:t>；</w:t>
            </w:r>
            <w:r>
              <w:rPr>
                <w:rFonts w:hint="eastAsia" w:ascii="宋体" w:hAnsi="宋体" w:eastAsia="宋体" w:cs="宋体"/>
                <w:sz w:val="21"/>
              </w:rPr>
              <w:t>培育</w:t>
            </w:r>
            <w:r>
              <w:rPr>
                <w:rFonts w:hint="eastAsia" w:ascii="宋体" w:hAnsi="宋体" w:eastAsia="宋体" w:cs="宋体"/>
                <w:sz w:val="20"/>
              </w:rPr>
              <w:t>一</w:t>
            </w:r>
            <w:r>
              <w:rPr>
                <w:rFonts w:hint="eastAsia" w:ascii="宋体" w:hAnsi="宋体" w:eastAsia="宋体" w:cs="宋体"/>
                <w:sz w:val="21"/>
              </w:rPr>
              <w:t>批具有全国影响力的互</w:t>
            </w:r>
          </w:p>
          <w:p>
            <w:pPr>
              <w:spacing w:before="100"/>
              <w:ind w:left="100"/>
            </w:pPr>
            <w:r>
              <w:rPr>
                <w:rFonts w:hint="eastAsia" w:ascii="宋体" w:hAnsi="宋体" w:eastAsia="宋体" w:cs="宋体"/>
                <w:sz w:val="21"/>
              </w:rPr>
              <w:t>联网企业</w:t>
            </w:r>
            <w:r>
              <w:rPr>
                <w:rFonts w:hint="eastAsia" w:ascii="宋体" w:hAnsi="宋体" w:eastAsia="宋体" w:cs="宋体"/>
                <w:sz w:val="10"/>
              </w:rPr>
              <w:t>，</w:t>
            </w:r>
            <w:r>
              <w:rPr>
                <w:rFonts w:hint="eastAsia" w:ascii="宋体" w:hAnsi="宋体" w:eastAsia="宋体" w:cs="宋体"/>
                <w:sz w:val="21"/>
              </w:rPr>
              <w:t>建成</w:t>
            </w:r>
            <w:r>
              <w:rPr>
                <w:rFonts w:hint="eastAsia" w:ascii="宋体" w:hAnsi="宋体" w:eastAsia="宋体" w:cs="宋体"/>
                <w:sz w:val="20"/>
              </w:rPr>
              <w:t>一</w:t>
            </w:r>
            <w:r>
              <w:rPr>
                <w:rFonts w:hint="eastAsia" w:ascii="宋体" w:hAnsi="宋体" w:eastAsia="宋体" w:cs="宋体"/>
                <w:sz w:val="21"/>
              </w:rPr>
              <w:t>批产业集中区</w:t>
            </w:r>
            <w:r>
              <w:rPr>
                <w:rFonts w:hint="eastAsia" w:ascii="宋体" w:hAnsi="宋体" w:eastAsia="宋体" w:cs="宋体"/>
                <w:sz w:val="10"/>
              </w:rPr>
              <w:t>，</w:t>
            </w:r>
            <w:r>
              <w:rPr>
                <w:rFonts w:hint="eastAsia" w:ascii="宋体" w:hAnsi="宋体" w:eastAsia="宋体" w:cs="宋体"/>
                <w:sz w:val="21"/>
              </w:rPr>
              <w:t>产业集群效应凸显</w:t>
            </w:r>
            <w:r>
              <w:rPr>
                <w:rFonts w:hint="eastAsia" w:ascii="宋体" w:hAnsi="宋体" w:eastAsia="宋体" w:cs="宋体"/>
                <w:sz w:val="12"/>
              </w:rPr>
              <w:t>；</w:t>
            </w:r>
          </w:p>
          <w:p>
            <w:pPr>
              <w:spacing w:before="80"/>
              <w:ind w:left="100"/>
            </w:pPr>
            <w:r>
              <w:rPr>
                <w:rFonts w:hint="eastAsia" w:ascii="宋体" w:hAnsi="宋体" w:eastAsia="宋体" w:cs="宋体"/>
                <w:sz w:val="21"/>
              </w:rPr>
              <w:t>培育</w:t>
            </w:r>
            <w:r>
              <w:rPr>
                <w:rFonts w:hint="eastAsia" w:ascii="宋体" w:hAnsi="宋体" w:eastAsia="宋体" w:cs="宋体"/>
                <w:sz w:val="20"/>
              </w:rPr>
              <w:t>一</w:t>
            </w:r>
            <w:r>
              <w:rPr>
                <w:rFonts w:hint="eastAsia" w:ascii="宋体" w:hAnsi="宋体" w:eastAsia="宋体" w:cs="宋体"/>
                <w:sz w:val="21"/>
              </w:rPr>
              <w:t>批知名互联网龙头企业</w:t>
            </w:r>
            <w:r>
              <w:rPr>
                <w:rFonts w:hint="eastAsia" w:ascii="宋体" w:hAnsi="宋体" w:eastAsia="宋体" w:cs="宋体"/>
                <w:sz w:val="10"/>
              </w:rPr>
              <w:t>，</w:t>
            </w:r>
            <w:r>
              <w:rPr>
                <w:rFonts w:hint="eastAsia" w:ascii="宋体" w:hAnsi="宋体" w:eastAsia="宋体" w:cs="宋体"/>
                <w:sz w:val="21"/>
              </w:rPr>
              <w:t>互联网经济年均增长</w:t>
            </w:r>
          </w:p>
          <w:p>
            <w:pPr>
              <w:spacing w:before="100"/>
              <w:ind w:left="100"/>
            </w:pPr>
            <w:r>
              <w:rPr>
                <w:rFonts w:hint="eastAsia" w:ascii="宋体" w:hAnsi="宋体" w:eastAsia="宋体" w:cs="宋体"/>
                <w:sz w:val="21"/>
              </w:rPr>
              <w:t>率达</w:t>
            </w:r>
            <w:r>
              <w:rPr>
                <w:rFonts w:hint="eastAsia" w:ascii="Times New Roman" w:hAnsi="Times New Roman" w:eastAsia="Times New Roman" w:cs="Times New Roman"/>
                <w:sz w:val="21"/>
              </w:rPr>
              <w:t xml:space="preserve"> 25</w:t>
            </w:r>
            <w:r>
              <w:rPr>
                <w:rFonts w:hint="eastAsia" w:ascii="Times New Roman" w:hAnsi="Times New Roman" w:eastAsia="Times New Roman" w:cs="Times New Roman"/>
                <w:sz w:val="20"/>
              </w:rPr>
              <w:t>%</w:t>
            </w:r>
            <w:r>
              <w:rPr>
                <w:rFonts w:hint="eastAsia" w:ascii="宋体" w:hAnsi="宋体" w:eastAsia="宋体" w:cs="宋体"/>
                <w:sz w:val="21"/>
              </w:rPr>
              <w:t>以上</w:t>
            </w:r>
            <w:r>
              <w:rPr>
                <w:rFonts w:hint="eastAsia" w:ascii="宋体" w:hAnsi="宋体" w:eastAsia="宋体" w:cs="宋体"/>
                <w:sz w:val="10"/>
              </w:rPr>
              <w:t>，</w:t>
            </w:r>
            <w:r>
              <w:rPr>
                <w:rFonts w:hint="eastAsia" w:ascii="宋体" w:hAnsi="宋体" w:eastAsia="宋体" w:cs="宋体"/>
                <w:sz w:val="21"/>
              </w:rPr>
              <w:t>总规模超过</w:t>
            </w:r>
            <w:r>
              <w:rPr>
                <w:rFonts w:hint="eastAsia" w:ascii="Times New Roman" w:hAnsi="Times New Roman" w:eastAsia="Times New Roman" w:cs="Times New Roman"/>
                <w:sz w:val="21"/>
              </w:rPr>
              <w:t xml:space="preserve"> 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宋体" w:hAnsi="宋体" w:eastAsia="宋体" w:cs="宋体"/>
                <w:sz w:val="21"/>
              </w:rPr>
              <w:t xml:space="preserve"> 亿元</w:t>
            </w:r>
          </w:p>
        </w:tc>
      </w:tr>
      <w:tr>
        <w:trPr>
          <w:trHeight w:val="1260" w:hRule="exact"/>
        </w:trPr>
        <w:tc>
          <w:tcPr>
            <w:tcW w:w="960" w:type="dxa"/>
            <w:vMerge w:val="continue"/>
            <w:tcMar>
              <w:top w:w="0" w:type="dxa"/>
              <w:left w:w="0" w:type="dxa"/>
              <w:bottom w:w="0" w:type="dxa"/>
              <w:right w:w="0" w:type="dxa"/>
            </w:tcMar>
          </w:tcPr>
          <w:p/>
        </w:tc>
        <w:tc>
          <w:tcPr>
            <w:tcW w:w="1980" w:type="dxa"/>
            <w:tcMar>
              <w:top w:w="0" w:type="dxa"/>
              <w:left w:w="0" w:type="dxa"/>
              <w:bottom w:w="0" w:type="dxa"/>
              <w:right w:w="0" w:type="dxa"/>
            </w:tcMar>
          </w:tcPr>
          <w:p>
            <w:pPr>
              <w:spacing w:before="200"/>
            </w:pPr>
            <w:r>
              <w:rPr>
                <w:rFonts w:hint="eastAsia" w:ascii="宋体" w:hAnsi="宋体" w:eastAsia="宋体" w:cs="宋体"/>
                <w:sz w:val="21"/>
              </w:rPr>
              <w:t>国务院关于积极推</w:t>
            </w:r>
          </w:p>
          <w:p>
            <w:pPr>
              <w:spacing w:before="80"/>
            </w:pPr>
            <w:r>
              <w:rPr>
                <w:rFonts w:hint="eastAsia" w:ascii="宋体" w:hAnsi="宋体" w:eastAsia="宋体" w:cs="宋体"/>
                <w:sz w:val="21"/>
              </w:rPr>
              <w:t>进</w:t>
            </w:r>
            <w:r>
              <w:rPr>
                <w:rFonts w:hint="eastAsia" w:ascii="宋体" w:hAnsi="宋体" w:eastAsia="宋体" w:cs="宋体"/>
                <w:sz w:val="10"/>
              </w:rPr>
              <w:t>“</w:t>
            </w:r>
            <w:r>
              <w:rPr>
                <w:rFonts w:hint="eastAsia" w:ascii="宋体" w:hAnsi="宋体" w:eastAsia="宋体" w:cs="宋体"/>
                <w:sz w:val="21"/>
              </w:rPr>
              <w:t>互联网</w:t>
            </w:r>
            <w:r>
              <w:rPr>
                <w:rFonts w:hint="eastAsia" w:ascii="Times New Roman" w:hAnsi="Times New Roman" w:eastAsia="Times New Roman" w:cs="Times New Roman"/>
                <w:sz w:val="21"/>
              </w:rPr>
              <w:t>+</w:t>
            </w:r>
            <w:r>
              <w:rPr>
                <w:rFonts w:hint="eastAsia" w:ascii="宋体" w:hAnsi="宋体" w:eastAsia="宋体" w:cs="宋体"/>
                <w:sz w:val="10"/>
              </w:rPr>
              <w:t>”</w:t>
            </w:r>
            <w:r>
              <w:rPr>
                <w:rFonts w:hint="eastAsia" w:ascii="宋体" w:hAnsi="宋体" w:eastAsia="宋体" w:cs="宋体"/>
                <w:sz w:val="21"/>
              </w:rPr>
              <w:t>行</w:t>
            </w:r>
          </w:p>
          <w:p>
            <w:pPr>
              <w:spacing w:before="100"/>
            </w:pPr>
            <w:r>
              <w:rPr>
                <w:rFonts w:hint="eastAsia" w:ascii="宋体" w:hAnsi="宋体" w:eastAsia="宋体" w:cs="宋体"/>
                <w:sz w:val="21"/>
              </w:rPr>
              <w:t>动的指导意见</w:t>
            </w:r>
          </w:p>
        </w:tc>
        <w:tc>
          <w:tcPr>
            <w:tcW w:w="1420" w:type="dxa"/>
            <w:tcMar>
              <w:top w:w="0" w:type="dxa"/>
              <w:left w:w="0" w:type="dxa"/>
              <w:bottom w:w="0" w:type="dxa"/>
              <w:right w:w="0" w:type="dxa"/>
            </w:tcMar>
          </w:tcPr>
          <w:p>
            <w:pPr>
              <w:spacing w:before="500"/>
              <w:ind w:left="100"/>
            </w:pPr>
            <w:r>
              <w:rPr>
                <w:rFonts w:hint="eastAsia" w:ascii="宋体" w:hAnsi="宋体" w:eastAsia="宋体" w:cs="宋体"/>
                <w:sz w:val="21"/>
              </w:rPr>
              <w:t>国务院</w:t>
            </w:r>
          </w:p>
        </w:tc>
        <w:tc>
          <w:tcPr>
            <w:tcW w:w="4960" w:type="dxa"/>
            <w:tcMar>
              <w:top w:w="0" w:type="dxa"/>
              <w:left w:w="0" w:type="dxa"/>
              <w:bottom w:w="0" w:type="dxa"/>
              <w:right w:w="0" w:type="dxa"/>
            </w:tcMar>
          </w:tcPr>
          <w:p>
            <w:pPr>
              <w:spacing w:before="40"/>
              <w:ind w:left="100"/>
            </w:pPr>
            <w:r>
              <w:rPr>
                <w:rFonts w:hint="eastAsia" w:ascii="宋体" w:hAnsi="宋体" w:eastAsia="宋体" w:cs="宋体"/>
                <w:sz w:val="21"/>
              </w:rPr>
              <w:t>坚持开放共享</w:t>
            </w:r>
            <w:r>
              <w:rPr>
                <w:rFonts w:hint="eastAsia" w:ascii="宋体" w:hAnsi="宋体" w:eastAsia="宋体" w:cs="宋体"/>
                <w:sz w:val="10"/>
              </w:rPr>
              <w:t>、</w:t>
            </w:r>
            <w:r>
              <w:rPr>
                <w:rFonts w:hint="eastAsia" w:ascii="宋体" w:hAnsi="宋体" w:eastAsia="宋体" w:cs="宋体"/>
                <w:sz w:val="21"/>
              </w:rPr>
              <w:t>融合创新</w:t>
            </w:r>
            <w:r>
              <w:rPr>
                <w:rFonts w:hint="eastAsia" w:ascii="宋体" w:hAnsi="宋体" w:eastAsia="宋体" w:cs="宋体"/>
                <w:sz w:val="10"/>
              </w:rPr>
              <w:t>、</w:t>
            </w:r>
            <w:r>
              <w:rPr>
                <w:rFonts w:hint="eastAsia" w:ascii="宋体" w:hAnsi="宋体" w:eastAsia="宋体" w:cs="宋体"/>
                <w:sz w:val="21"/>
              </w:rPr>
              <w:t>变革转型</w:t>
            </w:r>
            <w:r>
              <w:rPr>
                <w:rFonts w:hint="eastAsia" w:ascii="宋体" w:hAnsi="宋体" w:eastAsia="宋体" w:cs="宋体"/>
                <w:sz w:val="10"/>
              </w:rPr>
              <w:t>、</w:t>
            </w:r>
            <w:r>
              <w:rPr>
                <w:rFonts w:hint="eastAsia" w:ascii="宋体" w:hAnsi="宋体" w:eastAsia="宋体" w:cs="宋体"/>
                <w:sz w:val="21"/>
              </w:rPr>
              <w:t>引领跨越</w:t>
            </w:r>
            <w:r>
              <w:rPr>
                <w:rFonts w:hint="eastAsia" w:ascii="宋体" w:hAnsi="宋体" w:eastAsia="宋体" w:cs="宋体"/>
                <w:sz w:val="10"/>
              </w:rPr>
              <w:t>、</w:t>
            </w:r>
            <w:r>
              <w:rPr>
                <w:rFonts w:hint="eastAsia" w:ascii="宋体" w:hAnsi="宋体" w:eastAsia="宋体" w:cs="宋体"/>
                <w:sz w:val="21"/>
              </w:rPr>
              <w:t>安</w:t>
            </w:r>
          </w:p>
          <w:p>
            <w:pPr>
              <w:spacing w:before="100"/>
              <w:ind w:left="100"/>
            </w:pPr>
            <w:r>
              <w:rPr>
                <w:rFonts w:hint="eastAsia" w:ascii="宋体" w:hAnsi="宋体" w:eastAsia="宋体" w:cs="宋体"/>
                <w:sz w:val="21"/>
              </w:rPr>
              <w:t>全有序的基本原则</w:t>
            </w:r>
            <w:r>
              <w:rPr>
                <w:rFonts w:hint="eastAsia" w:ascii="宋体" w:hAnsi="宋体" w:eastAsia="宋体" w:cs="宋体"/>
                <w:sz w:val="10"/>
              </w:rPr>
              <w:t>，</w:t>
            </w:r>
            <w:r>
              <w:rPr>
                <w:rFonts w:hint="eastAsia" w:ascii="宋体" w:hAnsi="宋体" w:eastAsia="宋体" w:cs="宋体"/>
                <w:sz w:val="21"/>
              </w:rPr>
              <w:t>充分发挥我国互联网的规模优势</w:t>
            </w:r>
          </w:p>
          <w:p>
            <w:pPr>
              <w:spacing w:before="100"/>
              <w:ind w:left="100"/>
            </w:pPr>
            <w:r>
              <w:rPr>
                <w:rFonts w:hint="eastAsia" w:ascii="宋体" w:hAnsi="宋体" w:eastAsia="宋体" w:cs="宋体"/>
                <w:sz w:val="21"/>
              </w:rPr>
              <w:t>和应用优势</w:t>
            </w:r>
            <w:r>
              <w:rPr>
                <w:rFonts w:hint="eastAsia" w:ascii="宋体" w:hAnsi="宋体" w:eastAsia="宋体" w:cs="宋体"/>
                <w:sz w:val="10"/>
              </w:rPr>
              <w:t>，</w:t>
            </w:r>
            <w:r>
              <w:rPr>
                <w:rFonts w:hint="eastAsia" w:ascii="宋体" w:hAnsi="宋体" w:eastAsia="宋体" w:cs="宋体"/>
                <w:sz w:val="21"/>
              </w:rPr>
              <w:t>坚持改革创新和市场需求导向</w:t>
            </w:r>
            <w:r>
              <w:rPr>
                <w:rFonts w:hint="eastAsia" w:ascii="宋体" w:hAnsi="宋体" w:eastAsia="宋体" w:cs="宋体"/>
                <w:sz w:val="10"/>
              </w:rPr>
              <w:t>，</w:t>
            </w:r>
            <w:r>
              <w:rPr>
                <w:rFonts w:hint="eastAsia" w:ascii="宋体" w:hAnsi="宋体" w:eastAsia="宋体" w:cs="宋体"/>
                <w:sz w:val="21"/>
              </w:rPr>
              <w:t>大力拓</w:t>
            </w:r>
          </w:p>
          <w:p>
            <w:pPr>
              <w:spacing w:before="100"/>
              <w:ind w:left="100"/>
            </w:pPr>
            <w:r>
              <w:rPr>
                <w:rFonts w:hint="eastAsia" w:ascii="宋体" w:hAnsi="宋体" w:eastAsia="宋体" w:cs="宋体"/>
                <w:sz w:val="21"/>
              </w:rPr>
              <w:t>展互联网与经济社会各领域融合的广度和深度</w:t>
            </w:r>
          </w:p>
        </w:tc>
      </w:tr>
      <w:tr>
        <w:trPr>
          <w:trHeight w:val="1560" w:hRule="exact"/>
        </w:trPr>
        <w:tc>
          <w:tcPr>
            <w:tcW w:w="960" w:type="dxa"/>
            <w:vMerge w:val="continue"/>
            <w:tcMar>
              <w:top w:w="0" w:type="dxa"/>
              <w:left w:w="0" w:type="dxa"/>
              <w:bottom w:w="0" w:type="dxa"/>
              <w:right w:w="0" w:type="dxa"/>
            </w:tcMar>
          </w:tcPr>
          <w:p/>
        </w:tc>
        <w:tc>
          <w:tcPr>
            <w:tcW w:w="1980" w:type="dxa"/>
            <w:tcMar>
              <w:top w:w="0" w:type="dxa"/>
              <w:left w:w="0" w:type="dxa"/>
              <w:bottom w:w="0" w:type="dxa"/>
              <w:right w:w="0" w:type="dxa"/>
            </w:tcMar>
          </w:tcPr>
          <w:p>
            <w:pPr>
              <w:spacing w:before="500"/>
            </w:pPr>
            <w:r>
              <w:rPr>
                <w:rFonts w:hint="eastAsia" w:ascii="宋体" w:hAnsi="宋体" w:eastAsia="宋体" w:cs="宋体"/>
                <w:sz w:val="21"/>
              </w:rPr>
              <w:t>关于促进大数据发</w:t>
            </w:r>
          </w:p>
          <w:p>
            <w:pPr>
              <w:spacing w:before="100"/>
            </w:pPr>
            <w:r>
              <w:rPr>
                <w:rFonts w:hint="eastAsia" w:ascii="宋体" w:hAnsi="宋体" w:eastAsia="宋体" w:cs="宋体"/>
                <w:sz w:val="21"/>
              </w:rPr>
              <w:t>展的行动纲要</w:t>
            </w:r>
          </w:p>
        </w:tc>
        <w:tc>
          <w:tcPr>
            <w:tcW w:w="1420" w:type="dxa"/>
            <w:tcMar>
              <w:top w:w="0" w:type="dxa"/>
              <w:left w:w="0" w:type="dxa"/>
              <w:bottom w:w="0" w:type="dxa"/>
              <w:right w:w="0" w:type="dxa"/>
            </w:tcMar>
          </w:tcPr>
          <w:p>
            <w:pPr>
              <w:spacing w:before="660"/>
              <w:ind w:left="100"/>
            </w:pPr>
            <w:r>
              <w:rPr>
                <w:rFonts w:hint="eastAsia" w:ascii="宋体" w:hAnsi="宋体" w:eastAsia="宋体" w:cs="宋体"/>
                <w:sz w:val="21"/>
              </w:rPr>
              <w:t>国务院</w:t>
            </w:r>
          </w:p>
        </w:tc>
        <w:tc>
          <w:tcPr>
            <w:tcW w:w="4960" w:type="dxa"/>
            <w:tcMar>
              <w:top w:w="0" w:type="dxa"/>
              <w:left w:w="0" w:type="dxa"/>
              <w:bottom w:w="0" w:type="dxa"/>
              <w:right w:w="0" w:type="dxa"/>
            </w:tcMar>
          </w:tcPr>
          <w:p>
            <w:pPr>
              <w:spacing w:before="40"/>
              <w:ind w:left="100"/>
            </w:pPr>
            <w:r>
              <w:rPr>
                <w:rFonts w:hint="eastAsia" w:ascii="宋体" w:hAnsi="宋体" w:eastAsia="宋体" w:cs="宋体"/>
                <w:sz w:val="21"/>
              </w:rPr>
              <w:t>优先推动交通</w:t>
            </w:r>
            <w:r>
              <w:rPr>
                <w:rFonts w:hint="eastAsia" w:ascii="宋体" w:hAnsi="宋体" w:eastAsia="宋体" w:cs="宋体"/>
                <w:sz w:val="10"/>
              </w:rPr>
              <w:t>、</w:t>
            </w:r>
            <w:r>
              <w:rPr>
                <w:rFonts w:hint="eastAsia" w:ascii="宋体" w:hAnsi="宋体" w:eastAsia="宋体" w:cs="宋体"/>
                <w:sz w:val="21"/>
              </w:rPr>
              <w:t>医疗</w:t>
            </w:r>
            <w:r>
              <w:rPr>
                <w:rFonts w:hint="eastAsia" w:ascii="宋体" w:hAnsi="宋体" w:eastAsia="宋体" w:cs="宋体"/>
                <w:sz w:val="10"/>
              </w:rPr>
              <w:t>、</w:t>
            </w:r>
            <w:r>
              <w:rPr>
                <w:rFonts w:hint="eastAsia" w:ascii="宋体" w:hAnsi="宋体" w:eastAsia="宋体" w:cs="宋体"/>
                <w:sz w:val="21"/>
              </w:rPr>
              <w:t>就业</w:t>
            </w:r>
            <w:r>
              <w:rPr>
                <w:rFonts w:hint="eastAsia" w:ascii="宋体" w:hAnsi="宋体" w:eastAsia="宋体" w:cs="宋体"/>
                <w:sz w:val="10"/>
              </w:rPr>
              <w:t>、</w:t>
            </w:r>
            <w:r>
              <w:rPr>
                <w:rFonts w:hint="eastAsia" w:ascii="宋体" w:hAnsi="宋体" w:eastAsia="宋体" w:cs="宋体"/>
                <w:sz w:val="21"/>
              </w:rPr>
              <w:t>社保等民生领域政府数</w:t>
            </w:r>
          </w:p>
          <w:p>
            <w:pPr>
              <w:spacing w:before="100"/>
              <w:ind w:left="100"/>
            </w:pPr>
            <w:r>
              <w:rPr>
                <w:rFonts w:hint="eastAsia" w:ascii="宋体" w:hAnsi="宋体" w:eastAsia="宋体" w:cs="宋体"/>
                <w:sz w:val="21"/>
              </w:rPr>
              <w:t>据向社会开放</w:t>
            </w:r>
            <w:r>
              <w:rPr>
                <w:rFonts w:hint="eastAsia" w:ascii="宋体" w:hAnsi="宋体" w:eastAsia="宋体" w:cs="宋体"/>
                <w:sz w:val="10"/>
              </w:rPr>
              <w:t>，</w:t>
            </w:r>
            <w:r>
              <w:rPr>
                <w:rFonts w:hint="eastAsia" w:ascii="宋体" w:hAnsi="宋体" w:eastAsia="宋体" w:cs="宋体"/>
                <w:sz w:val="21"/>
              </w:rPr>
              <w:t>在城市建设</w:t>
            </w:r>
            <w:r>
              <w:rPr>
                <w:rFonts w:hint="eastAsia" w:ascii="宋体" w:hAnsi="宋体" w:eastAsia="宋体" w:cs="宋体"/>
                <w:sz w:val="10"/>
              </w:rPr>
              <w:t>、</w:t>
            </w:r>
            <w:r>
              <w:rPr>
                <w:rFonts w:hint="eastAsia" w:ascii="宋体" w:hAnsi="宋体" w:eastAsia="宋体" w:cs="宋体"/>
                <w:sz w:val="21"/>
              </w:rPr>
              <w:t>社会救助</w:t>
            </w:r>
            <w:r>
              <w:rPr>
                <w:rFonts w:hint="eastAsia" w:ascii="宋体" w:hAnsi="宋体" w:eastAsia="宋体" w:cs="宋体"/>
                <w:sz w:val="10"/>
              </w:rPr>
              <w:t>、</w:t>
            </w:r>
            <w:r>
              <w:rPr>
                <w:rFonts w:hint="eastAsia" w:ascii="宋体" w:hAnsi="宋体" w:eastAsia="宋体" w:cs="宋体"/>
                <w:sz w:val="21"/>
              </w:rPr>
              <w:t>质量安全</w:t>
            </w:r>
            <w:r>
              <w:rPr>
                <w:rFonts w:hint="eastAsia" w:ascii="宋体" w:hAnsi="宋体" w:eastAsia="宋体" w:cs="宋体"/>
                <w:sz w:val="10"/>
              </w:rPr>
              <w:t>、</w:t>
            </w:r>
          </w:p>
          <w:p>
            <w:pPr>
              <w:spacing w:before="80"/>
              <w:ind w:left="100"/>
            </w:pPr>
            <w:r>
              <w:rPr>
                <w:rFonts w:hint="eastAsia" w:ascii="宋体" w:hAnsi="宋体" w:eastAsia="宋体" w:cs="宋体"/>
                <w:sz w:val="21"/>
              </w:rPr>
              <w:t>社区服务等方面开展大数据应用示范</w:t>
            </w:r>
            <w:r>
              <w:rPr>
                <w:rFonts w:hint="eastAsia" w:ascii="宋体" w:hAnsi="宋体" w:eastAsia="宋体" w:cs="宋体"/>
                <w:sz w:val="10"/>
              </w:rPr>
              <w:t>，</w:t>
            </w:r>
            <w:r>
              <w:rPr>
                <w:rFonts w:hint="eastAsia" w:ascii="宋体" w:hAnsi="宋体" w:eastAsia="宋体" w:cs="宋体"/>
                <w:sz w:val="21"/>
              </w:rPr>
              <w:t>提高社会治理</w:t>
            </w:r>
          </w:p>
          <w:p>
            <w:pPr>
              <w:spacing w:before="100"/>
              <w:ind w:left="100"/>
            </w:pPr>
            <w:r>
              <w:rPr>
                <w:rFonts w:hint="eastAsia" w:ascii="宋体" w:hAnsi="宋体" w:eastAsia="宋体" w:cs="宋体"/>
                <w:sz w:val="21"/>
              </w:rPr>
              <w:t>水平</w:t>
            </w:r>
            <w:r>
              <w:rPr>
                <w:rFonts w:hint="eastAsia" w:ascii="宋体" w:hAnsi="宋体" w:eastAsia="宋体" w:cs="宋体"/>
                <w:sz w:val="10"/>
              </w:rPr>
              <w:t>。</w:t>
            </w:r>
            <w:r>
              <w:rPr>
                <w:rFonts w:hint="eastAsia" w:ascii="宋体" w:hAnsi="宋体" w:eastAsia="宋体" w:cs="宋体"/>
                <w:sz w:val="21"/>
              </w:rPr>
              <w:t>突出围绕</w:t>
            </w:r>
            <w:r>
              <w:rPr>
                <w:rFonts w:hint="eastAsia" w:ascii="宋体" w:hAnsi="宋体" w:eastAsia="宋体" w:cs="宋体"/>
                <w:sz w:val="10"/>
              </w:rPr>
              <w:t>“</w:t>
            </w:r>
            <w:r>
              <w:rPr>
                <w:rFonts w:hint="eastAsia" w:ascii="宋体" w:hAnsi="宋体" w:eastAsia="宋体" w:cs="宋体"/>
                <w:sz w:val="21"/>
              </w:rPr>
              <w:t>政府大数据建设</w:t>
            </w:r>
            <w:r>
              <w:rPr>
                <w:rFonts w:hint="eastAsia" w:ascii="宋体" w:hAnsi="宋体" w:eastAsia="宋体" w:cs="宋体"/>
                <w:sz w:val="10"/>
              </w:rPr>
              <w:t>”</w:t>
            </w:r>
            <w:r>
              <w:rPr>
                <w:rFonts w:hint="eastAsia" w:ascii="宋体" w:hAnsi="宋体" w:eastAsia="宋体" w:cs="宋体"/>
                <w:sz w:val="21"/>
              </w:rPr>
              <w:t>和</w:t>
            </w:r>
            <w:r>
              <w:rPr>
                <w:rFonts w:hint="eastAsia" w:ascii="宋体" w:hAnsi="宋体" w:eastAsia="宋体" w:cs="宋体"/>
                <w:sz w:val="10"/>
              </w:rPr>
              <w:t>“</w:t>
            </w:r>
            <w:r>
              <w:rPr>
                <w:rFonts w:hint="eastAsia" w:ascii="宋体" w:hAnsi="宋体" w:eastAsia="宋体" w:cs="宋体"/>
                <w:sz w:val="21"/>
              </w:rPr>
              <w:t>创造健康发</w:t>
            </w:r>
          </w:p>
          <w:p>
            <w:pPr>
              <w:spacing w:before="100"/>
              <w:ind w:left="100"/>
            </w:pPr>
            <w:r>
              <w:rPr>
                <w:rFonts w:hint="eastAsia" w:ascii="宋体" w:hAnsi="宋体" w:eastAsia="宋体" w:cs="宋体"/>
                <w:sz w:val="21"/>
              </w:rPr>
              <w:t>展的大数据环境</w:t>
            </w:r>
            <w:r>
              <w:rPr>
                <w:rFonts w:hint="eastAsia" w:ascii="宋体" w:hAnsi="宋体" w:eastAsia="宋体" w:cs="宋体"/>
                <w:sz w:val="10"/>
              </w:rPr>
              <w:t>”</w:t>
            </w:r>
            <w:r>
              <w:rPr>
                <w:rFonts w:hint="eastAsia" w:ascii="宋体" w:hAnsi="宋体" w:eastAsia="宋体" w:cs="宋体"/>
                <w:sz w:val="21"/>
              </w:rPr>
              <w:t>展开</w:t>
            </w:r>
            <w:r>
              <w:rPr>
                <w:rFonts w:hint="eastAsia" w:ascii="宋体" w:hAnsi="宋体" w:eastAsia="宋体" w:cs="宋体"/>
                <w:sz w:val="10"/>
              </w:rPr>
              <w:t>，</w:t>
            </w:r>
            <w:r>
              <w:rPr>
                <w:rFonts w:hint="eastAsia" w:ascii="宋体" w:hAnsi="宋体" w:eastAsia="宋体" w:cs="宋体"/>
                <w:sz w:val="21"/>
              </w:rPr>
              <w:t>凸显共享</w:t>
            </w:r>
            <w:r>
              <w:rPr>
                <w:rFonts w:hint="eastAsia" w:ascii="宋体" w:hAnsi="宋体" w:eastAsia="宋体" w:cs="宋体"/>
                <w:sz w:val="10"/>
              </w:rPr>
              <w:t>、</w:t>
            </w:r>
            <w:r>
              <w:rPr>
                <w:rFonts w:hint="eastAsia" w:ascii="宋体" w:hAnsi="宋体" w:eastAsia="宋体" w:cs="宋体"/>
                <w:sz w:val="21"/>
              </w:rPr>
              <w:t>开放和安全</w:t>
            </w:r>
            <w:r>
              <w:rPr>
                <w:rFonts w:hint="eastAsia" w:ascii="宋体" w:hAnsi="宋体" w:eastAsia="宋体" w:cs="宋体"/>
                <w:sz w:val="10"/>
              </w:rPr>
              <w:t>。</w:t>
            </w:r>
          </w:p>
        </w:tc>
      </w:tr>
    </w:tbl>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宋体" w:hAnsi="宋体" w:eastAsia="宋体" w:cs="宋体"/>
          <w:sz w:val="10"/>
        </w:rPr>
        <w:t>（</w:t>
      </w:r>
      <w:r>
        <w:rPr>
          <w:rFonts w:hint="eastAsia" w:ascii="Times New Roman" w:hAnsi="Times New Roman" w:eastAsia="Times New Roman" w:cs="Times New Roman"/>
          <w:sz w:val="24"/>
        </w:rPr>
        <w:t>2</w:t>
      </w:r>
      <w:r>
        <w:rPr>
          <w:rFonts w:hint="eastAsia" w:ascii="宋体" w:hAnsi="宋体" w:eastAsia="宋体" w:cs="宋体"/>
          <w:sz w:val="24"/>
        </w:rPr>
        <w:t>）证券行业监管部门关于信息技术和业务规范的有关规定</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证券期货业信息技术和业务规范的主要政策和规定如下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940" w:type="auto"/>
        <w:tblInd w:w="1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00"/>
        <w:gridCol w:w="2220"/>
        <w:gridCol w:w="1200"/>
        <w:gridCol w:w="5600"/>
      </w:tblGrid>
      <w:tr>
        <w:trPr>
          <w:trHeight w:val="320" w:hRule="exact"/>
        </w:trPr>
        <w:tc>
          <w:tcPr>
            <w:tcW w:w="900" w:type="dxa"/>
            <w:tcMar>
              <w:top w:w="0" w:type="dxa"/>
              <w:left w:w="0" w:type="dxa"/>
              <w:bottom w:w="0" w:type="dxa"/>
              <w:right w:w="0" w:type="dxa"/>
            </w:tcMar>
          </w:tcPr>
          <w:p>
            <w:pPr>
              <w:spacing w:before="40"/>
              <w:ind w:left="220"/>
            </w:pPr>
            <w:r>
              <w:rPr>
                <w:rFonts w:hint="eastAsia" w:ascii="宋体" w:hAnsi="宋体" w:eastAsia="宋体" w:cs="宋体"/>
                <w:b/>
                <w:sz w:val="21"/>
              </w:rPr>
              <w:t>时间</w:t>
            </w:r>
          </w:p>
        </w:tc>
        <w:tc>
          <w:tcPr>
            <w:tcW w:w="2220" w:type="dxa"/>
            <w:tcMar>
              <w:top w:w="0" w:type="dxa"/>
              <w:left w:w="0" w:type="dxa"/>
              <w:bottom w:w="0" w:type="dxa"/>
              <w:right w:w="0" w:type="dxa"/>
            </w:tcMar>
          </w:tcPr>
          <w:p>
            <w:pPr>
              <w:spacing w:before="40"/>
              <w:ind w:left="680"/>
            </w:pPr>
            <w:r>
              <w:rPr>
                <w:rFonts w:hint="eastAsia" w:ascii="宋体" w:hAnsi="宋体" w:eastAsia="宋体" w:cs="宋体"/>
                <w:b/>
                <w:sz w:val="21"/>
              </w:rPr>
              <w:t>文件名称</w:t>
            </w:r>
          </w:p>
        </w:tc>
        <w:tc>
          <w:tcPr>
            <w:tcW w:w="1200" w:type="dxa"/>
            <w:tcMar>
              <w:top w:w="0" w:type="dxa"/>
              <w:left w:w="0" w:type="dxa"/>
              <w:bottom w:w="0" w:type="dxa"/>
              <w:right w:w="0" w:type="dxa"/>
            </w:tcMar>
          </w:tcPr>
          <w:p>
            <w:pPr>
              <w:spacing w:before="20"/>
              <w:ind w:left="160"/>
            </w:pPr>
            <w:r>
              <w:rPr>
                <w:rFonts w:hint="eastAsia" w:ascii="宋体" w:hAnsi="宋体" w:eastAsia="宋体" w:cs="宋体"/>
                <w:b/>
                <w:sz w:val="21"/>
              </w:rPr>
              <w:t>发文单位</w:t>
            </w:r>
          </w:p>
        </w:tc>
        <w:tc>
          <w:tcPr>
            <w:tcW w:w="5600" w:type="dxa"/>
            <w:tcMar>
              <w:top w:w="0" w:type="dxa"/>
              <w:left w:w="0" w:type="dxa"/>
              <w:bottom w:w="0" w:type="dxa"/>
              <w:right w:w="0" w:type="dxa"/>
            </w:tcMar>
          </w:tcPr>
          <w:p>
            <w:pPr>
              <w:spacing w:before="40"/>
              <w:ind w:left="2380"/>
            </w:pPr>
            <w:r>
              <w:rPr>
                <w:rFonts w:hint="eastAsia" w:ascii="宋体" w:hAnsi="宋体" w:eastAsia="宋体" w:cs="宋体"/>
                <w:b/>
                <w:sz w:val="21"/>
              </w:rPr>
              <w:t>主要内容</w:t>
            </w:r>
          </w:p>
        </w:tc>
      </w:tr>
      <w:tr>
        <w:trPr>
          <w:trHeight w:val="940" w:hRule="exact"/>
        </w:trPr>
        <w:tc>
          <w:tcPr>
            <w:tcW w:w="900" w:type="dxa"/>
            <w:vMerge w:val="restart"/>
            <w:tcMar>
              <w:top w:w="0" w:type="dxa"/>
              <w:left w:w="0" w:type="dxa"/>
              <w:bottom w:w="0" w:type="dxa"/>
              <w:right w:w="0" w:type="dxa"/>
            </w:tcMar>
          </w:tcPr>
          <w:p>
            <w:pPr>
              <w:spacing w:before="800"/>
              <w:ind w:left="100"/>
            </w:pPr>
            <w:r>
              <w:rPr>
                <w:rFonts w:hint="eastAsia" w:ascii="Times New Roman" w:hAnsi="Times New Roman" w:eastAsia="Times New Roman" w:cs="Times New Roman"/>
                <w:sz w:val="21"/>
              </w:rPr>
              <w:t>2005</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180"/>
              <w:ind w:left="100"/>
            </w:pPr>
            <w:r>
              <w:rPr>
                <w:rFonts w:hint="eastAsia" w:ascii="宋体" w:hAnsi="宋体" w:eastAsia="宋体" w:cs="宋体"/>
                <w:sz w:val="20"/>
              </w:rPr>
              <w:t>《</w:t>
            </w:r>
            <w:r>
              <w:rPr>
                <w:rFonts w:hint="eastAsia" w:ascii="宋体" w:hAnsi="宋体" w:eastAsia="宋体" w:cs="宋体"/>
                <w:sz w:val="21"/>
              </w:rPr>
              <w:t>证券期货业信息安</w:t>
            </w:r>
          </w:p>
          <w:p>
            <w:pPr>
              <w:spacing w:before="100"/>
              <w:ind w:left="100"/>
            </w:pPr>
            <w:r>
              <w:rPr>
                <w:rFonts w:hint="eastAsia" w:ascii="宋体" w:hAnsi="宋体" w:eastAsia="宋体" w:cs="宋体"/>
                <w:sz w:val="21"/>
              </w:rPr>
              <w:t>全保障管理暂行办法</w:t>
            </w:r>
            <w:r>
              <w:rPr>
                <w:rFonts w:hint="eastAsia" w:ascii="宋体" w:hAnsi="宋体" w:eastAsia="宋体" w:cs="宋体"/>
                <w:sz w:val="20"/>
              </w:rPr>
              <w:t>》</w:t>
            </w:r>
          </w:p>
        </w:tc>
        <w:tc>
          <w:tcPr>
            <w:tcW w:w="1200" w:type="dxa"/>
            <w:tcMar>
              <w:top w:w="0" w:type="dxa"/>
              <w:left w:w="0" w:type="dxa"/>
              <w:bottom w:w="0" w:type="dxa"/>
              <w:right w:w="0" w:type="dxa"/>
            </w:tcMar>
          </w:tcPr>
          <w:p>
            <w:pPr>
              <w:spacing w:before="180"/>
              <w:ind w:left="100"/>
            </w:pPr>
            <w:r>
              <w:rPr>
                <w:rFonts w:hint="eastAsia" w:ascii="宋体" w:hAnsi="宋体" w:eastAsia="宋体" w:cs="宋体"/>
                <w:sz w:val="21"/>
              </w:rPr>
              <w:t>中国证监</w:t>
            </w:r>
          </w:p>
          <w:p>
            <w:pPr>
              <w:spacing w:before="10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加强证券期货业信息安全保障工作的组织协调</w:t>
            </w:r>
            <w:r>
              <w:rPr>
                <w:rFonts w:hint="eastAsia" w:ascii="宋体" w:hAnsi="宋体" w:eastAsia="宋体" w:cs="宋体"/>
                <w:sz w:val="10"/>
              </w:rPr>
              <w:t>，</w:t>
            </w:r>
            <w:r>
              <w:rPr>
                <w:rFonts w:hint="eastAsia" w:ascii="宋体" w:hAnsi="宋体" w:eastAsia="宋体" w:cs="宋体"/>
                <w:sz w:val="21"/>
              </w:rPr>
              <w:t>建立</w:t>
            </w:r>
            <w:r>
              <w:rPr>
                <w:rFonts w:hint="eastAsia" w:ascii="宋体" w:hAnsi="宋体" w:eastAsia="宋体" w:cs="宋体"/>
                <w:sz w:val="10"/>
              </w:rPr>
              <w:t>、</w:t>
            </w:r>
            <w:r>
              <w:rPr>
                <w:rFonts w:hint="eastAsia" w:ascii="宋体" w:hAnsi="宋体" w:eastAsia="宋体" w:cs="宋体"/>
                <w:sz w:val="21"/>
              </w:rPr>
              <w:t>健全</w:t>
            </w:r>
          </w:p>
          <w:p>
            <w:pPr>
              <w:spacing w:before="100"/>
              <w:ind w:left="100"/>
            </w:pPr>
            <w:r>
              <w:rPr>
                <w:rFonts w:hint="eastAsia" w:ascii="宋体" w:hAnsi="宋体" w:eastAsia="宋体" w:cs="宋体"/>
                <w:sz w:val="21"/>
              </w:rPr>
              <w:t>信息安全管理制度和运行机制</w:t>
            </w:r>
            <w:r>
              <w:rPr>
                <w:rFonts w:hint="eastAsia" w:ascii="宋体" w:hAnsi="宋体" w:eastAsia="宋体" w:cs="宋体"/>
                <w:sz w:val="10"/>
              </w:rPr>
              <w:t>，</w:t>
            </w:r>
            <w:r>
              <w:rPr>
                <w:rFonts w:hint="eastAsia" w:ascii="宋体" w:hAnsi="宋体" w:eastAsia="宋体" w:cs="宋体"/>
                <w:sz w:val="21"/>
              </w:rPr>
              <w:t>提高行业信息安全保障工作</w:t>
            </w:r>
          </w:p>
          <w:p>
            <w:pPr>
              <w:spacing w:before="80"/>
              <w:ind w:left="100"/>
            </w:pPr>
            <w:r>
              <w:rPr>
                <w:rFonts w:hint="eastAsia" w:ascii="宋体" w:hAnsi="宋体" w:eastAsia="宋体" w:cs="宋体"/>
                <w:sz w:val="21"/>
              </w:rPr>
              <w:t>水平</w:t>
            </w:r>
            <w:r>
              <w:rPr>
                <w:rFonts w:hint="eastAsia" w:ascii="宋体" w:hAnsi="宋体" w:eastAsia="宋体" w:cs="宋体"/>
                <w:sz w:val="10"/>
              </w:rPr>
              <w:t>，</w:t>
            </w:r>
            <w:r>
              <w:rPr>
                <w:rFonts w:hint="eastAsia" w:ascii="宋体" w:hAnsi="宋体" w:eastAsia="宋体" w:cs="宋体"/>
                <w:sz w:val="21"/>
              </w:rPr>
              <w:t>切实保护投资者合法权益</w:t>
            </w:r>
          </w:p>
        </w:tc>
      </w:tr>
      <w:tr>
        <w:trPr>
          <w:trHeight w:val="94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
              <w:ind w:left="100"/>
            </w:pPr>
            <w:r>
              <w:rPr>
                <w:rFonts w:hint="eastAsia" w:ascii="宋体" w:hAnsi="宋体" w:eastAsia="宋体" w:cs="宋体"/>
                <w:sz w:val="20"/>
              </w:rPr>
              <w:t>《</w:t>
            </w:r>
            <w:r>
              <w:rPr>
                <w:rFonts w:hint="eastAsia" w:ascii="宋体" w:hAnsi="宋体" w:eastAsia="宋体" w:cs="宋体"/>
                <w:sz w:val="21"/>
              </w:rPr>
              <w:t>证券公司信息技术</w:t>
            </w:r>
          </w:p>
          <w:p>
            <w:pPr>
              <w:spacing w:before="100"/>
              <w:ind w:left="100"/>
            </w:pPr>
            <w:r>
              <w:rPr>
                <w:rFonts w:hint="eastAsia" w:ascii="宋体" w:hAnsi="宋体" w:eastAsia="宋体" w:cs="宋体"/>
                <w:sz w:val="21"/>
              </w:rPr>
              <w:t>管 理 规 范</w:t>
            </w:r>
            <w:r>
              <w:rPr>
                <w:rFonts w:hint="eastAsia" w:ascii="宋体" w:hAnsi="宋体" w:eastAsia="宋体" w:cs="宋体"/>
                <w:sz w:val="20"/>
              </w:rPr>
              <w:t xml:space="preserve"> 》</w:t>
            </w:r>
          </w:p>
          <w:p>
            <w:pPr>
              <w:spacing w:before="140"/>
              <w:ind w:left="100"/>
            </w:pPr>
            <w:r>
              <w:rPr>
                <w:rFonts w:hint="eastAsia" w:ascii="宋体" w:hAnsi="宋体" w:eastAsia="宋体" w:cs="宋体"/>
                <w:sz w:val="20"/>
              </w:rPr>
              <w:t>（</w:t>
            </w:r>
            <w:r>
              <w:rPr>
                <w:rFonts w:hint="eastAsia" w:ascii="Times New Roman" w:hAnsi="Times New Roman" w:eastAsia="Times New Roman" w:cs="Times New Roman"/>
                <w:sz w:val="21"/>
              </w:rPr>
              <w:t>JR/T0023</w:t>
            </w:r>
            <w:r>
              <w:rPr>
                <w:rFonts w:hint="eastAsia" w:ascii="Times New Roman" w:hAnsi="Times New Roman" w:eastAsia="Times New Roman" w:cs="Times New Roman"/>
                <w:sz w:val="21"/>
              </w:rPr>
              <w:t>—</w:t>
            </w:r>
            <w:r>
              <w:rPr>
                <w:rFonts w:hint="eastAsia" w:ascii="Times New Roman" w:hAnsi="Times New Roman" w:eastAsia="Times New Roman" w:cs="Times New Roman"/>
                <w:sz w:val="21"/>
              </w:rPr>
              <w:t>2004</w:t>
            </w:r>
            <w:r>
              <w:rPr>
                <w:rFonts w:hint="eastAsia" w:ascii="宋体" w:hAnsi="宋体" w:eastAsia="宋体" w:cs="宋体"/>
                <w:sz w:val="20"/>
              </w:rPr>
              <w:t>）</w:t>
            </w:r>
          </w:p>
        </w:tc>
        <w:tc>
          <w:tcPr>
            <w:tcW w:w="1200" w:type="dxa"/>
            <w:tcMar>
              <w:top w:w="0" w:type="dxa"/>
              <w:left w:w="0" w:type="dxa"/>
              <w:bottom w:w="0" w:type="dxa"/>
              <w:right w:w="0" w:type="dxa"/>
            </w:tcMar>
          </w:tcPr>
          <w:p>
            <w:pPr>
              <w:spacing w:before="20"/>
              <w:ind w:left="100"/>
            </w:pPr>
            <w:r>
              <w:rPr>
                <w:rFonts w:hint="eastAsia" w:ascii="宋体" w:hAnsi="宋体" w:eastAsia="宋体" w:cs="宋体"/>
                <w:sz w:val="21"/>
              </w:rPr>
              <w:t>全国金融</w:t>
            </w:r>
          </w:p>
          <w:p>
            <w:pPr>
              <w:spacing w:before="100"/>
              <w:ind w:left="100"/>
            </w:pPr>
            <w:r>
              <w:rPr>
                <w:rFonts w:hint="eastAsia" w:ascii="宋体" w:hAnsi="宋体" w:eastAsia="宋体" w:cs="宋体"/>
                <w:sz w:val="21"/>
              </w:rPr>
              <w:t>标准化技</w:t>
            </w:r>
          </w:p>
          <w:p>
            <w:pPr>
              <w:spacing w:before="100"/>
              <w:ind w:left="100"/>
            </w:pPr>
            <w:r>
              <w:rPr>
                <w:rFonts w:hint="eastAsia" w:ascii="宋体" w:hAnsi="宋体" w:eastAsia="宋体" w:cs="宋体"/>
                <w:sz w:val="21"/>
              </w:rPr>
              <w:t>术委员会</w:t>
            </w:r>
          </w:p>
        </w:tc>
        <w:tc>
          <w:tcPr>
            <w:tcW w:w="5600" w:type="dxa"/>
            <w:tcMar>
              <w:top w:w="0" w:type="dxa"/>
              <w:left w:w="0" w:type="dxa"/>
              <w:bottom w:w="0" w:type="dxa"/>
              <w:right w:w="0" w:type="dxa"/>
            </w:tcMar>
          </w:tcPr>
          <w:p>
            <w:pPr>
              <w:spacing w:before="20"/>
              <w:ind w:left="100"/>
            </w:pPr>
            <w:r>
              <w:rPr>
                <w:rFonts w:hint="eastAsia" w:ascii="宋体" w:hAnsi="宋体" w:eastAsia="宋体" w:cs="宋体"/>
                <w:sz w:val="21"/>
              </w:rPr>
              <w:t>规范证券公司信息技术管理行为</w:t>
            </w:r>
            <w:r>
              <w:rPr>
                <w:rFonts w:hint="eastAsia" w:ascii="宋体" w:hAnsi="宋体" w:eastAsia="宋体" w:cs="宋体"/>
                <w:sz w:val="10"/>
              </w:rPr>
              <w:t>，</w:t>
            </w:r>
            <w:r>
              <w:rPr>
                <w:rFonts w:hint="eastAsia" w:ascii="宋体" w:hAnsi="宋体" w:eastAsia="宋体" w:cs="宋体"/>
                <w:sz w:val="21"/>
              </w:rPr>
              <w:t>加强证券公司信息系统的</w:t>
            </w:r>
          </w:p>
          <w:p>
            <w:pPr>
              <w:spacing w:before="100"/>
              <w:ind w:left="100"/>
            </w:pPr>
            <w:r>
              <w:rPr>
                <w:rFonts w:hint="eastAsia" w:ascii="宋体" w:hAnsi="宋体" w:eastAsia="宋体" w:cs="宋体"/>
                <w:sz w:val="21"/>
              </w:rPr>
              <w:t>优化建设和安全管理</w:t>
            </w:r>
            <w:r>
              <w:rPr>
                <w:rFonts w:hint="eastAsia" w:ascii="宋体" w:hAnsi="宋体" w:eastAsia="宋体" w:cs="宋体"/>
                <w:sz w:val="10"/>
              </w:rPr>
              <w:t>，</w:t>
            </w:r>
            <w:r>
              <w:rPr>
                <w:rFonts w:hint="eastAsia" w:ascii="宋体" w:hAnsi="宋体" w:eastAsia="宋体" w:cs="宋体"/>
                <w:sz w:val="21"/>
              </w:rPr>
              <w:t>推动信息系统建设与技术管理水平的</w:t>
            </w:r>
          </w:p>
          <w:p>
            <w:pPr>
              <w:spacing w:before="100"/>
              <w:ind w:left="100"/>
            </w:pPr>
            <w:r>
              <w:rPr>
                <w:rFonts w:hint="eastAsia" w:ascii="宋体" w:hAnsi="宋体" w:eastAsia="宋体" w:cs="宋体"/>
                <w:sz w:val="21"/>
              </w:rPr>
              <w:t>协调发展</w:t>
            </w:r>
            <w:r>
              <w:rPr>
                <w:rFonts w:hint="eastAsia" w:ascii="宋体" w:hAnsi="宋体" w:eastAsia="宋体" w:cs="宋体"/>
                <w:sz w:val="10"/>
              </w:rPr>
              <w:t>，</w:t>
            </w:r>
            <w:r>
              <w:rPr>
                <w:rFonts w:hint="eastAsia" w:ascii="宋体" w:hAnsi="宋体" w:eastAsia="宋体" w:cs="宋体"/>
                <w:sz w:val="21"/>
              </w:rPr>
              <w:t>提高证券行业的整体信息技术应用水平</w:t>
            </w:r>
          </w:p>
        </w:tc>
      </w:tr>
      <w:tr>
        <w:trPr>
          <w:trHeight w:val="640" w:hRule="exact"/>
        </w:trPr>
        <w:tc>
          <w:tcPr>
            <w:tcW w:w="900" w:type="dxa"/>
            <w:vMerge w:val="restart"/>
            <w:tcMar>
              <w:top w:w="0" w:type="dxa"/>
              <w:left w:w="0" w:type="dxa"/>
              <w:bottom w:w="0" w:type="dxa"/>
              <w:right w:w="0" w:type="dxa"/>
            </w:tcMar>
          </w:tcPr>
          <w:p>
            <w:pPr>
              <w:spacing w:before="680"/>
              <w:ind w:left="100"/>
            </w:pPr>
            <w:r>
              <w:rPr>
                <w:rFonts w:hint="eastAsia" w:ascii="Times New Roman" w:hAnsi="Times New Roman" w:eastAsia="Times New Roman" w:cs="Times New Roman"/>
                <w:sz w:val="21"/>
              </w:rPr>
              <w:t>2006</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证券公司集中交易</w:t>
            </w:r>
          </w:p>
          <w:p>
            <w:pPr>
              <w:spacing w:before="80"/>
              <w:ind w:left="100"/>
            </w:pPr>
            <w:r>
              <w:rPr>
                <w:rFonts w:hint="eastAsia" w:ascii="宋体" w:hAnsi="宋体" w:eastAsia="宋体" w:cs="宋体"/>
                <w:sz w:val="21"/>
              </w:rPr>
              <w:t>安全管理技术指引</w:t>
            </w:r>
            <w:r>
              <w:rPr>
                <w:rFonts w:hint="eastAsia" w:ascii="宋体" w:hAnsi="宋体" w:eastAsia="宋体" w:cs="宋体"/>
                <w:sz w:val="20"/>
              </w:rPr>
              <w:t>》</w:t>
            </w:r>
          </w:p>
        </w:tc>
        <w:tc>
          <w:tcPr>
            <w:tcW w:w="1200" w:type="dxa"/>
            <w:tcMar>
              <w:top w:w="0" w:type="dxa"/>
              <w:left w:w="0" w:type="dxa"/>
              <w:bottom w:w="0" w:type="dxa"/>
              <w:right w:w="0" w:type="dxa"/>
            </w:tcMar>
          </w:tcPr>
          <w:p>
            <w:pPr>
              <w:spacing w:before="40"/>
              <w:ind w:left="100"/>
            </w:pPr>
            <w:r>
              <w:rPr>
                <w:rFonts w:hint="eastAsia" w:ascii="宋体" w:hAnsi="宋体" w:eastAsia="宋体" w:cs="宋体"/>
                <w:sz w:val="21"/>
              </w:rPr>
              <w:t>中国证券</w:t>
            </w:r>
          </w:p>
          <w:p>
            <w:pPr>
              <w:spacing w:before="8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指导证券公司集中交易系统的建设和管理</w:t>
            </w:r>
            <w:r>
              <w:rPr>
                <w:rFonts w:hint="eastAsia" w:ascii="宋体" w:hAnsi="宋体" w:eastAsia="宋体" w:cs="宋体"/>
                <w:sz w:val="10"/>
              </w:rPr>
              <w:t>，</w:t>
            </w:r>
            <w:r>
              <w:rPr>
                <w:rFonts w:hint="eastAsia" w:ascii="宋体" w:hAnsi="宋体" w:eastAsia="宋体" w:cs="宋体"/>
                <w:sz w:val="21"/>
              </w:rPr>
              <w:t>提高证券公司内</w:t>
            </w:r>
          </w:p>
          <w:p>
            <w:pPr>
              <w:spacing w:before="80"/>
              <w:ind w:left="100"/>
            </w:pPr>
            <w:r>
              <w:rPr>
                <w:rFonts w:hint="eastAsia" w:ascii="宋体" w:hAnsi="宋体" w:eastAsia="宋体" w:cs="宋体"/>
                <w:sz w:val="21"/>
              </w:rPr>
              <w:t>控水平</w:t>
            </w:r>
            <w:r>
              <w:rPr>
                <w:rFonts w:hint="eastAsia" w:ascii="宋体" w:hAnsi="宋体" w:eastAsia="宋体" w:cs="宋体"/>
                <w:sz w:val="10"/>
              </w:rPr>
              <w:t>，</w:t>
            </w:r>
            <w:r>
              <w:rPr>
                <w:rFonts w:hint="eastAsia" w:ascii="宋体" w:hAnsi="宋体" w:eastAsia="宋体" w:cs="宋体"/>
                <w:sz w:val="21"/>
              </w:rPr>
              <w:t>有效控制风险</w:t>
            </w:r>
            <w:r>
              <w:rPr>
                <w:rFonts w:hint="eastAsia" w:ascii="宋体" w:hAnsi="宋体" w:eastAsia="宋体" w:cs="宋体"/>
                <w:sz w:val="10"/>
              </w:rPr>
              <w:t>，</w:t>
            </w:r>
            <w:r>
              <w:rPr>
                <w:rFonts w:hint="eastAsia" w:ascii="宋体" w:hAnsi="宋体" w:eastAsia="宋体" w:cs="宋体"/>
                <w:sz w:val="21"/>
              </w:rPr>
              <w:t>促进规范化与标准化建设</w:t>
            </w:r>
          </w:p>
        </w:tc>
      </w:tr>
      <w:tr>
        <w:trPr>
          <w:trHeight w:val="94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180"/>
              <w:ind w:left="100"/>
            </w:pPr>
            <w:r>
              <w:rPr>
                <w:rFonts w:hint="eastAsia" w:ascii="宋体" w:hAnsi="宋体" w:eastAsia="宋体" w:cs="宋体"/>
                <w:sz w:val="20"/>
              </w:rPr>
              <w:t>《</w:t>
            </w:r>
            <w:r>
              <w:rPr>
                <w:rFonts w:hint="eastAsia" w:ascii="宋体" w:hAnsi="宋体" w:eastAsia="宋体" w:cs="宋体"/>
                <w:sz w:val="21"/>
              </w:rPr>
              <w:t>场外证券业务备案</w:t>
            </w:r>
          </w:p>
          <w:p>
            <w:pPr>
              <w:spacing w:before="100"/>
              <w:ind w:left="100"/>
            </w:pPr>
            <w:r>
              <w:rPr>
                <w:rFonts w:hint="eastAsia" w:ascii="宋体" w:hAnsi="宋体" w:eastAsia="宋体" w:cs="宋体"/>
                <w:sz w:val="21"/>
              </w:rPr>
              <w:t>管理办法</w:t>
            </w:r>
            <w:r>
              <w:rPr>
                <w:rFonts w:hint="eastAsia" w:ascii="宋体" w:hAnsi="宋体" w:eastAsia="宋体" w:cs="宋体"/>
                <w:sz w:val="20"/>
              </w:rPr>
              <w:t>》</w:t>
            </w:r>
          </w:p>
        </w:tc>
        <w:tc>
          <w:tcPr>
            <w:tcW w:w="1200" w:type="dxa"/>
            <w:tcMar>
              <w:top w:w="0" w:type="dxa"/>
              <w:left w:w="0" w:type="dxa"/>
              <w:bottom w:w="0" w:type="dxa"/>
              <w:right w:w="0" w:type="dxa"/>
            </w:tcMar>
          </w:tcPr>
          <w:p>
            <w:pPr>
              <w:spacing w:before="40"/>
              <w:ind w:left="100"/>
            </w:pPr>
            <w:r>
              <w:rPr>
                <w:rFonts w:hint="eastAsia" w:ascii="宋体" w:hAnsi="宋体" w:eastAsia="宋体" w:cs="宋体"/>
                <w:sz w:val="21"/>
              </w:rPr>
              <w:t>中国银行</w:t>
            </w:r>
          </w:p>
          <w:p>
            <w:pPr>
              <w:spacing w:before="100"/>
              <w:ind w:left="100"/>
            </w:pPr>
            <w:r>
              <w:rPr>
                <w:rFonts w:hint="eastAsia" w:ascii="宋体" w:hAnsi="宋体" w:eastAsia="宋体" w:cs="宋体"/>
                <w:sz w:val="21"/>
              </w:rPr>
              <w:t>业监督管</w:t>
            </w:r>
          </w:p>
          <w:p>
            <w:pPr>
              <w:spacing w:before="100"/>
              <w:ind w:left="100"/>
            </w:pPr>
            <w:r>
              <w:rPr>
                <w:rFonts w:hint="eastAsia" w:ascii="宋体" w:hAnsi="宋体" w:eastAsia="宋体" w:cs="宋体"/>
                <w:sz w:val="21"/>
              </w:rPr>
              <w:t>理委员会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要求金融机构在将系统的开发</w:t>
            </w:r>
            <w:r>
              <w:rPr>
                <w:rFonts w:hint="eastAsia" w:ascii="宋体" w:hAnsi="宋体" w:eastAsia="宋体" w:cs="宋体"/>
                <w:sz w:val="10"/>
              </w:rPr>
              <w:t>、</w:t>
            </w:r>
            <w:r>
              <w:rPr>
                <w:rFonts w:hint="eastAsia" w:ascii="宋体" w:hAnsi="宋体" w:eastAsia="宋体" w:cs="宋体"/>
                <w:sz w:val="21"/>
              </w:rPr>
              <w:t>建设</w:t>
            </w:r>
            <w:r>
              <w:rPr>
                <w:rFonts w:hint="eastAsia" w:ascii="宋体" w:hAnsi="宋体" w:eastAsia="宋体" w:cs="宋体"/>
                <w:sz w:val="10"/>
              </w:rPr>
              <w:t>、</w:t>
            </w:r>
            <w:r>
              <w:rPr>
                <w:rFonts w:hint="eastAsia" w:ascii="宋体" w:hAnsi="宋体" w:eastAsia="宋体" w:cs="宋体"/>
                <w:sz w:val="21"/>
              </w:rPr>
              <w:t>维护业务外包时充分</w:t>
            </w:r>
          </w:p>
          <w:p>
            <w:pPr>
              <w:spacing w:before="100"/>
              <w:ind w:left="100"/>
            </w:pPr>
            <w:r>
              <w:rPr>
                <w:rFonts w:hint="eastAsia" w:ascii="宋体" w:hAnsi="宋体" w:eastAsia="宋体" w:cs="宋体"/>
                <w:sz w:val="21"/>
              </w:rPr>
              <w:t>调查外包服务提供商的经营状况和风险承担能力</w:t>
            </w:r>
            <w:r>
              <w:rPr>
                <w:rFonts w:hint="eastAsia" w:ascii="宋体" w:hAnsi="宋体" w:eastAsia="宋体" w:cs="宋体"/>
                <w:sz w:val="10"/>
              </w:rPr>
              <w:t>，</w:t>
            </w:r>
            <w:r>
              <w:rPr>
                <w:rFonts w:hint="eastAsia" w:ascii="宋体" w:hAnsi="宋体" w:eastAsia="宋体" w:cs="宋体"/>
                <w:sz w:val="21"/>
              </w:rPr>
              <w:t>建立有效</w:t>
            </w:r>
          </w:p>
          <w:p>
            <w:pPr>
              <w:spacing w:before="100"/>
              <w:ind w:left="100"/>
            </w:pPr>
            <w:r>
              <w:rPr>
                <w:rFonts w:hint="eastAsia" w:ascii="宋体" w:hAnsi="宋体" w:eastAsia="宋体" w:cs="宋体"/>
                <w:sz w:val="21"/>
              </w:rPr>
              <w:t>的沟通机制</w:t>
            </w:r>
          </w:p>
        </w:tc>
      </w:tr>
      <w:tr>
        <w:trPr>
          <w:trHeight w:val="1260" w:hRule="exact"/>
        </w:trPr>
        <w:tc>
          <w:tcPr>
            <w:tcW w:w="900" w:type="dxa"/>
            <w:vMerge w:val="restart"/>
            <w:tcMar>
              <w:top w:w="0" w:type="dxa"/>
              <w:left w:w="0" w:type="dxa"/>
              <w:bottom w:w="0" w:type="dxa"/>
              <w:right w:w="0" w:type="dxa"/>
            </w:tcMar>
          </w:tcPr>
          <w:p>
            <w:pPr>
              <w:spacing w:before="680"/>
              <w:ind w:left="100"/>
            </w:pPr>
            <w:r>
              <w:rPr>
                <w:rFonts w:hint="eastAsia" w:ascii="Times New Roman" w:hAnsi="Times New Roman" w:eastAsia="Times New Roman" w:cs="Times New Roman"/>
                <w:sz w:val="21"/>
              </w:rPr>
              <w:t>2008</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证券期货经营机构</w:t>
            </w:r>
          </w:p>
          <w:p>
            <w:pPr>
              <w:spacing w:before="80"/>
              <w:ind w:left="100"/>
            </w:pPr>
            <w:r>
              <w:rPr>
                <w:rFonts w:hint="eastAsia" w:ascii="宋体" w:hAnsi="宋体" w:eastAsia="宋体" w:cs="宋体"/>
                <w:sz w:val="21"/>
              </w:rPr>
              <w:t>信息技术治理工作指</w:t>
            </w:r>
          </w:p>
          <w:p>
            <w:pPr>
              <w:spacing w:before="100"/>
              <w:ind w:left="100"/>
            </w:pPr>
            <w:r>
              <w:rPr>
                <w:rFonts w:hint="eastAsia" w:ascii="宋体" w:hAnsi="宋体" w:eastAsia="宋体" w:cs="宋体"/>
                <w:sz w:val="21"/>
              </w:rPr>
              <w:t>引</w:t>
            </w:r>
            <w:r>
              <w:rPr>
                <w:rFonts w:hint="eastAsia" w:ascii="宋体" w:hAnsi="宋体" w:eastAsia="宋体" w:cs="宋体"/>
                <w:sz w:val="20"/>
              </w:rPr>
              <w:t>（</w:t>
            </w:r>
            <w:r>
              <w:rPr>
                <w:rFonts w:hint="eastAsia" w:ascii="宋体" w:hAnsi="宋体" w:eastAsia="宋体" w:cs="宋体"/>
                <w:sz w:val="21"/>
              </w:rPr>
              <w:t>试行</w:t>
            </w:r>
            <w:r>
              <w:rPr>
                <w:rFonts w:hint="eastAsia" w:ascii="宋体" w:hAnsi="宋体" w:eastAsia="宋体" w:cs="宋体"/>
                <w:sz w:val="20"/>
              </w:rPr>
              <w:t>）》（</w:t>
            </w:r>
            <w:r>
              <w:rPr>
                <w:rFonts w:hint="eastAsia" w:ascii="宋体" w:hAnsi="宋体" w:eastAsia="宋体" w:cs="宋体"/>
                <w:sz w:val="21"/>
              </w:rPr>
              <w:t>中证协</w:t>
            </w:r>
          </w:p>
          <w:p>
            <w:pPr>
              <w:spacing w:before="100"/>
              <w:ind w:left="100"/>
            </w:pPr>
            <w:r>
              <w:rPr>
                <w:rFonts w:hint="eastAsia" w:ascii="宋体" w:hAnsi="宋体" w:eastAsia="宋体" w:cs="宋体"/>
                <w:sz w:val="21"/>
              </w:rPr>
              <w:t>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113</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40"/>
              <w:ind w:left="100"/>
            </w:pPr>
            <w:r>
              <w:rPr>
                <w:rFonts w:hint="eastAsia" w:ascii="宋体" w:hAnsi="宋体" w:eastAsia="宋体" w:cs="宋体"/>
                <w:sz w:val="21"/>
              </w:rPr>
              <w:t>中国证券</w:t>
            </w:r>
          </w:p>
          <w:p>
            <w:pPr>
              <w:spacing w:before="80"/>
              <w:ind w:left="100"/>
            </w:pPr>
            <w:r>
              <w:rPr>
                <w:rFonts w:hint="eastAsia" w:ascii="宋体" w:hAnsi="宋体" w:eastAsia="宋体" w:cs="宋体"/>
                <w:sz w:val="21"/>
              </w:rPr>
              <w:t>业协会</w:t>
            </w:r>
            <w:r>
              <w:rPr>
                <w:rFonts w:hint="eastAsia" w:ascii="宋体" w:hAnsi="宋体" w:eastAsia="宋体" w:cs="宋体"/>
                <w:sz w:val="10"/>
              </w:rPr>
              <w:t>、</w:t>
            </w:r>
            <w:r>
              <w:rPr>
                <w:rFonts w:hint="eastAsia" w:ascii="宋体" w:hAnsi="宋体" w:eastAsia="宋体" w:cs="宋体"/>
                <w:sz w:val="21"/>
              </w:rPr>
              <w:t>中</w:t>
            </w:r>
          </w:p>
          <w:p>
            <w:pPr>
              <w:spacing w:before="100"/>
              <w:ind w:left="100"/>
            </w:pPr>
            <w:r>
              <w:rPr>
                <w:rFonts w:hint="eastAsia" w:ascii="宋体" w:hAnsi="宋体" w:eastAsia="宋体" w:cs="宋体"/>
                <w:sz w:val="21"/>
              </w:rPr>
              <w:t>国期货业</w:t>
            </w:r>
          </w:p>
          <w:p>
            <w:pPr>
              <w:spacing w:before="100"/>
              <w:ind w:left="100"/>
            </w:pPr>
            <w:r>
              <w:rPr>
                <w:rFonts w:hint="eastAsia" w:ascii="宋体" w:hAnsi="宋体" w:eastAsia="宋体" w:cs="宋体"/>
                <w:sz w:val="21"/>
              </w:rPr>
              <w:t>协会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为证券期货经营机构信息技术治理提供了明确依据</w:t>
            </w:r>
            <w:r>
              <w:rPr>
                <w:rFonts w:hint="eastAsia" w:ascii="宋体" w:hAnsi="宋体" w:eastAsia="宋体" w:cs="宋体"/>
                <w:sz w:val="10"/>
              </w:rPr>
              <w:t>。</w:t>
            </w:r>
            <w:r>
              <w:rPr>
                <w:rFonts w:hint="eastAsia" w:ascii="宋体" w:hAnsi="宋体" w:eastAsia="宋体" w:cs="宋体"/>
                <w:sz w:val="21"/>
              </w:rPr>
              <w:t>证券期</w:t>
            </w:r>
          </w:p>
          <w:p>
            <w:pPr>
              <w:spacing w:before="80"/>
              <w:ind w:left="100"/>
            </w:pPr>
            <w:r>
              <w:rPr>
                <w:rFonts w:hint="eastAsia" w:ascii="宋体" w:hAnsi="宋体" w:eastAsia="宋体" w:cs="宋体"/>
                <w:sz w:val="21"/>
              </w:rPr>
              <w:t>货经营机构最近三个财政年度</w:t>
            </w:r>
            <w:r>
              <w:rPr>
                <w:rFonts w:hint="eastAsia" w:ascii="Times New Roman" w:hAnsi="Times New Roman" w:eastAsia="Times New Roman" w:cs="Times New Roman"/>
                <w:sz w:val="21"/>
              </w:rPr>
              <w:t xml:space="preserve"> IT</w:t>
            </w:r>
            <w:r>
              <w:rPr>
                <w:rFonts w:hint="eastAsia" w:ascii="宋体" w:hAnsi="宋体" w:eastAsia="宋体" w:cs="宋体"/>
                <w:sz w:val="21"/>
              </w:rPr>
              <w:t xml:space="preserve"> 投入平均数额原则上应不</w:t>
            </w:r>
          </w:p>
          <w:p>
            <w:pPr>
              <w:spacing w:before="100"/>
              <w:ind w:left="100"/>
            </w:pPr>
            <w:r>
              <w:rPr>
                <w:rFonts w:hint="eastAsia" w:ascii="宋体" w:hAnsi="宋体" w:eastAsia="宋体" w:cs="宋体"/>
                <w:sz w:val="21"/>
              </w:rPr>
              <w:t>少于最近三个财政年度的平均净利润的</w:t>
            </w:r>
            <w:r>
              <w:rPr>
                <w:rFonts w:hint="eastAsia" w:ascii="Times New Roman" w:hAnsi="Times New Roman" w:eastAsia="Times New Roman" w:cs="Times New Roman"/>
                <w:sz w:val="21"/>
              </w:rPr>
              <w:t xml:space="preserve"> 6</w:t>
            </w:r>
            <w:r>
              <w:rPr>
                <w:rFonts w:hint="eastAsia" w:ascii="Times New Roman" w:hAnsi="Times New Roman" w:eastAsia="Times New Roman" w:cs="Times New Roman"/>
                <w:sz w:val="20"/>
              </w:rPr>
              <w:t>%</w:t>
            </w:r>
            <w:r>
              <w:rPr>
                <w:rFonts w:hint="eastAsia" w:ascii="宋体" w:hAnsi="宋体" w:eastAsia="宋体" w:cs="宋体"/>
                <w:sz w:val="10"/>
              </w:rPr>
              <w:t>，</w:t>
            </w:r>
            <w:r>
              <w:rPr>
                <w:rFonts w:hint="eastAsia" w:ascii="宋体" w:hAnsi="宋体" w:eastAsia="宋体" w:cs="宋体"/>
                <w:sz w:val="21"/>
              </w:rPr>
              <w:t>或不少于最近</w:t>
            </w:r>
          </w:p>
          <w:p>
            <w:pPr>
              <w:spacing w:before="100"/>
              <w:ind w:left="100"/>
            </w:pPr>
            <w:r>
              <w:rPr>
                <w:rFonts w:hint="eastAsia" w:ascii="宋体" w:hAnsi="宋体" w:eastAsia="宋体" w:cs="宋体"/>
                <w:sz w:val="21"/>
              </w:rPr>
              <w:t>三个财政年度平均营业收入的</w:t>
            </w:r>
            <w:r>
              <w:rPr>
                <w:rFonts w:hint="eastAsia" w:ascii="Times New Roman" w:hAnsi="Times New Roman" w:eastAsia="Times New Roman" w:cs="Times New Roman"/>
                <w:sz w:val="21"/>
              </w:rPr>
              <w:t xml:space="preserve"> 3</w:t>
            </w:r>
            <w:r>
              <w:rPr>
                <w:rFonts w:hint="eastAsia" w:ascii="Times New Roman" w:hAnsi="Times New Roman" w:eastAsia="Times New Roman" w:cs="Times New Roman"/>
                <w:sz w:val="20"/>
              </w:rPr>
              <w:t>%</w:t>
            </w:r>
          </w:p>
        </w:tc>
      </w:tr>
      <w:tr>
        <w:trPr>
          <w:trHeight w:val="32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关于证券公司经纪</w:t>
            </w:r>
          </w:p>
        </w:tc>
        <w:tc>
          <w:tcPr>
            <w:tcW w:w="1200" w:type="dxa"/>
            <w:tcMar>
              <w:top w:w="0" w:type="dxa"/>
              <w:left w:w="0" w:type="dxa"/>
              <w:bottom w:w="0" w:type="dxa"/>
              <w:right w:w="0" w:type="dxa"/>
            </w:tcMar>
          </w:tcPr>
          <w:p>
            <w:pPr>
              <w:spacing w:before="40"/>
              <w:ind w:left="100"/>
            </w:pPr>
            <w:r>
              <w:rPr>
                <w:rFonts w:hint="eastAsia" w:ascii="宋体" w:hAnsi="宋体" w:eastAsia="宋体" w:cs="宋体"/>
                <w:sz w:val="21"/>
              </w:rPr>
              <w:t>中国证监</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建立证券经纪人管理制度</w:t>
            </w:r>
            <w:r>
              <w:rPr>
                <w:rFonts w:hint="eastAsia" w:ascii="宋体" w:hAnsi="宋体" w:eastAsia="宋体" w:cs="宋体"/>
                <w:sz w:val="10"/>
              </w:rPr>
              <w:t>。</w:t>
            </w:r>
            <w:r>
              <w:rPr>
                <w:rFonts w:hint="eastAsia" w:ascii="宋体" w:hAnsi="宋体" w:eastAsia="宋体" w:cs="宋体"/>
                <w:sz w:val="21"/>
              </w:rPr>
              <w:t>建立经纪人后台技术支持和业务</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60"/>
        <w:jc w:val="both"/>
      </w:pPr>
      <w:r>
        <w:rPr>
          <w:rFonts w:hint="eastAsia" w:ascii="Times New Roman" w:hAnsi="Times New Roman" w:eastAsia="Times New Roman" w:cs="Times New Roman"/>
          <w:sz w:val="21"/>
        </w:rPr>
        <w:t>1-1-97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940" w:type="auto"/>
        <w:tblInd w:w="1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00"/>
        <w:gridCol w:w="2220"/>
        <w:gridCol w:w="1200"/>
        <w:gridCol w:w="5600"/>
      </w:tblGrid>
      <w:tr>
        <w:trPr>
          <w:trHeight w:val="1260" w:hRule="exact"/>
        </w:trPr>
        <w:tc>
          <w:tcPr>
            <w:tcW w:w="900" w:type="dxa"/>
            <w:tcMar>
              <w:top w:w="0" w:type="dxa"/>
              <w:left w:w="0" w:type="dxa"/>
              <w:bottom w:w="0" w:type="dxa"/>
              <w:right w:w="0" w:type="dxa"/>
            </w:tcMar>
          </w:tcPr>
          <w:p/>
        </w:tc>
        <w:tc>
          <w:tcPr>
            <w:tcW w:w="2220" w:type="dxa"/>
            <w:tcMar>
              <w:top w:w="0" w:type="dxa"/>
              <w:left w:w="0" w:type="dxa"/>
              <w:bottom w:w="0" w:type="dxa"/>
              <w:right w:w="0" w:type="dxa"/>
            </w:tcMar>
          </w:tcPr>
          <w:p>
            <w:pPr>
              <w:spacing w:before="40"/>
              <w:ind w:left="100"/>
            </w:pPr>
            <w:r>
              <w:rPr>
                <w:rFonts w:hint="eastAsia" w:ascii="宋体" w:hAnsi="宋体" w:eastAsia="宋体" w:cs="宋体"/>
                <w:sz w:val="21"/>
              </w:rPr>
              <w:t>业务营销活动有关事</w:t>
            </w:r>
          </w:p>
          <w:p>
            <w:pPr>
              <w:spacing w:before="100"/>
              <w:ind w:left="100"/>
            </w:pPr>
            <w:r>
              <w:rPr>
                <w:rFonts w:hint="eastAsia" w:ascii="宋体" w:hAnsi="宋体" w:eastAsia="宋体" w:cs="宋体"/>
                <w:sz w:val="21"/>
              </w:rPr>
              <w:t>项的通知</w:t>
            </w:r>
            <w:r>
              <w:rPr>
                <w:rFonts w:hint="eastAsia" w:ascii="宋体" w:hAnsi="宋体" w:eastAsia="宋体" w:cs="宋体"/>
                <w:sz w:val="20"/>
              </w:rPr>
              <w:t>》（</w:t>
            </w:r>
            <w:r>
              <w:rPr>
                <w:rFonts w:hint="eastAsia" w:ascii="宋体" w:hAnsi="宋体" w:eastAsia="宋体" w:cs="宋体"/>
                <w:sz w:val="21"/>
              </w:rPr>
              <w:t>中国证监</w:t>
            </w:r>
          </w:p>
          <w:p>
            <w:pPr>
              <w:spacing w:before="100"/>
              <w:ind w:left="100"/>
            </w:pPr>
            <w:r>
              <w:rPr>
                <w:rFonts w:hint="eastAsia" w:ascii="宋体" w:hAnsi="宋体" w:eastAsia="宋体" w:cs="宋体"/>
                <w:sz w:val="21"/>
              </w:rPr>
              <w:t>会 机 构 部 部 函</w:t>
            </w:r>
          </w:p>
          <w:p>
            <w:pPr>
              <w:spacing w:before="80"/>
              <w:ind w:left="10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645</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40"/>
              <w:ind w:left="100"/>
            </w:pPr>
            <w:r>
              <w:rPr>
                <w:rFonts w:hint="eastAsia" w:ascii="宋体" w:hAnsi="宋体" w:eastAsia="宋体" w:cs="宋体"/>
                <w:sz w:val="21"/>
              </w:rPr>
              <w:t>会机构部</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保障系统</w:t>
            </w:r>
            <w:r>
              <w:rPr>
                <w:rFonts w:hint="eastAsia" w:ascii="宋体" w:hAnsi="宋体" w:eastAsia="宋体" w:cs="宋体"/>
                <w:sz w:val="10"/>
              </w:rPr>
              <w:t>，</w:t>
            </w:r>
            <w:r>
              <w:rPr>
                <w:rFonts w:hint="eastAsia" w:ascii="宋体" w:hAnsi="宋体" w:eastAsia="宋体" w:cs="宋体"/>
                <w:sz w:val="21"/>
              </w:rPr>
              <w:t>保障经纪业务服务水准和合规状态</w:t>
            </w:r>
            <w:r>
              <w:rPr>
                <w:rFonts w:hint="eastAsia" w:ascii="宋体" w:hAnsi="宋体" w:eastAsia="宋体" w:cs="宋体"/>
                <w:sz w:val="10"/>
              </w:rPr>
              <w:t>，</w:t>
            </w:r>
            <w:r>
              <w:rPr>
                <w:rFonts w:hint="eastAsia" w:ascii="宋体" w:hAnsi="宋体" w:eastAsia="宋体" w:cs="宋体"/>
                <w:sz w:val="21"/>
              </w:rPr>
              <w:t>有效防范证</w:t>
            </w:r>
          </w:p>
          <w:p>
            <w:pPr>
              <w:spacing w:before="100"/>
              <w:ind w:left="100"/>
            </w:pPr>
            <w:r>
              <w:rPr>
                <w:rFonts w:hint="eastAsia" w:ascii="宋体" w:hAnsi="宋体" w:eastAsia="宋体" w:cs="宋体"/>
                <w:sz w:val="21"/>
              </w:rPr>
              <w:t>券经纪人执业行为引致的风险</w:t>
            </w:r>
            <w:r>
              <w:rPr>
                <w:rFonts w:hint="eastAsia" w:ascii="宋体" w:hAnsi="宋体" w:eastAsia="宋体" w:cs="宋体"/>
                <w:sz w:val="10"/>
              </w:rPr>
              <w:t>，</w:t>
            </w:r>
            <w:r>
              <w:rPr>
                <w:rFonts w:hint="eastAsia" w:ascii="宋体" w:hAnsi="宋体" w:eastAsia="宋体" w:cs="宋体"/>
                <w:sz w:val="21"/>
              </w:rPr>
              <w:t>保护投资者合法权益</w:t>
            </w:r>
          </w:p>
        </w:tc>
      </w:tr>
      <w:tr>
        <w:trPr>
          <w:trHeight w:val="940" w:hRule="exact"/>
        </w:trPr>
        <w:tc>
          <w:tcPr>
            <w:tcW w:w="900" w:type="dxa"/>
            <w:vMerge w:val="restart"/>
            <w:tcMar>
              <w:top w:w="0" w:type="dxa"/>
              <w:left w:w="0" w:type="dxa"/>
              <w:bottom w:w="0" w:type="dxa"/>
              <w:right w:w="0" w:type="dxa"/>
            </w:tcMar>
          </w:tcPr>
          <w:p>
            <w:pPr>
              <w:spacing w:before="1920"/>
              <w:ind w:left="100"/>
            </w:pPr>
            <w:r>
              <w:rPr>
                <w:rFonts w:hint="eastAsia" w:ascii="Times New Roman" w:hAnsi="Times New Roman" w:eastAsia="Times New Roman" w:cs="Times New Roman"/>
                <w:sz w:val="21"/>
              </w:rPr>
              <w:t>2009</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证券经纪人管理暂</w:t>
            </w:r>
          </w:p>
          <w:p>
            <w:pPr>
              <w:spacing w:before="80"/>
              <w:ind w:left="100"/>
            </w:pPr>
            <w:r>
              <w:rPr>
                <w:rFonts w:hint="eastAsia" w:ascii="宋体" w:hAnsi="宋体" w:eastAsia="宋体" w:cs="宋体"/>
                <w:sz w:val="21"/>
              </w:rPr>
              <w:t>行规定</w:t>
            </w:r>
            <w:r>
              <w:rPr>
                <w:rFonts w:hint="eastAsia" w:ascii="宋体" w:hAnsi="宋体" w:eastAsia="宋体" w:cs="宋体"/>
                <w:sz w:val="20"/>
              </w:rPr>
              <w:t>》</w:t>
            </w:r>
            <w:r>
              <w:rPr>
                <w:rFonts w:hint="eastAsia" w:ascii="Times New Roman" w:hAnsi="Times New Roman" w:eastAsia="Times New Roman" w:cs="Times New Roman"/>
                <w:sz w:val="20"/>
              </w:rPr>
              <w:t>(</w:t>
            </w:r>
            <w:r>
              <w:rPr>
                <w:rFonts w:hint="eastAsia" w:ascii="宋体" w:hAnsi="宋体" w:eastAsia="宋体" w:cs="宋体"/>
                <w:sz w:val="21"/>
              </w:rPr>
              <w:t>证监会公告</w:t>
            </w:r>
          </w:p>
          <w:p>
            <w:pPr>
              <w:spacing w:before="100"/>
              <w:ind w:left="10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r>
              <w:rPr>
                <w:rFonts w:hint="eastAsia" w:ascii="宋体" w:hAnsi="宋体" w:eastAsia="宋体" w:cs="宋体"/>
                <w:sz w:val="21"/>
              </w:rPr>
              <w:t xml:space="preserve"> 号</w:t>
            </w:r>
            <w:r>
              <w:rPr>
                <w:rFonts w:hint="eastAsia" w:ascii="Times New Roman" w:hAnsi="Times New Roman" w:eastAsia="Times New Roman" w:cs="Times New Roman"/>
                <w:sz w:val="20"/>
              </w:rPr>
              <w:t>)</w:t>
            </w:r>
          </w:p>
        </w:tc>
        <w:tc>
          <w:tcPr>
            <w:tcW w:w="1200" w:type="dxa"/>
            <w:tcMar>
              <w:top w:w="0" w:type="dxa"/>
              <w:left w:w="0" w:type="dxa"/>
              <w:bottom w:w="0" w:type="dxa"/>
              <w:right w:w="0" w:type="dxa"/>
            </w:tcMar>
          </w:tcPr>
          <w:p>
            <w:pPr>
              <w:spacing w:before="200"/>
              <w:ind w:left="100"/>
            </w:pPr>
            <w:r>
              <w:rPr>
                <w:rFonts w:hint="eastAsia" w:ascii="宋体" w:hAnsi="宋体" w:eastAsia="宋体" w:cs="宋体"/>
                <w:sz w:val="21"/>
              </w:rPr>
              <w:t>中国证监</w:t>
            </w:r>
          </w:p>
          <w:p>
            <w:pPr>
              <w:spacing w:before="10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为了加强对证券经纪人的监管</w:t>
            </w:r>
            <w:r>
              <w:rPr>
                <w:rFonts w:hint="eastAsia" w:ascii="宋体" w:hAnsi="宋体" w:eastAsia="宋体" w:cs="宋体"/>
                <w:sz w:val="10"/>
              </w:rPr>
              <w:t>，</w:t>
            </w:r>
            <w:r>
              <w:rPr>
                <w:rFonts w:hint="eastAsia" w:ascii="宋体" w:hAnsi="宋体" w:eastAsia="宋体" w:cs="宋体"/>
                <w:sz w:val="21"/>
              </w:rPr>
              <w:t>规范证券经纪人的执业行</w:t>
            </w:r>
          </w:p>
          <w:p>
            <w:pPr>
              <w:spacing w:before="80"/>
              <w:ind w:left="100"/>
            </w:pPr>
            <w:r>
              <w:rPr>
                <w:rFonts w:hint="eastAsia" w:ascii="宋体" w:hAnsi="宋体" w:eastAsia="宋体" w:cs="宋体"/>
                <w:sz w:val="21"/>
              </w:rPr>
              <w:t>为</w:t>
            </w:r>
            <w:r>
              <w:rPr>
                <w:rFonts w:hint="eastAsia" w:ascii="宋体" w:hAnsi="宋体" w:eastAsia="宋体" w:cs="宋体"/>
                <w:sz w:val="10"/>
              </w:rPr>
              <w:t>，</w:t>
            </w:r>
            <w:r>
              <w:rPr>
                <w:rFonts w:hint="eastAsia" w:ascii="宋体" w:hAnsi="宋体" w:eastAsia="宋体" w:cs="宋体"/>
                <w:sz w:val="21"/>
              </w:rPr>
              <w:t>保护客户的合法权益</w:t>
            </w:r>
            <w:r>
              <w:rPr>
                <w:rFonts w:hint="eastAsia" w:ascii="宋体" w:hAnsi="宋体" w:eastAsia="宋体" w:cs="宋体"/>
                <w:sz w:val="10"/>
              </w:rPr>
              <w:t>，</w:t>
            </w:r>
            <w:r>
              <w:rPr>
                <w:rFonts w:hint="eastAsia" w:ascii="宋体" w:hAnsi="宋体" w:eastAsia="宋体" w:cs="宋体"/>
                <w:sz w:val="21"/>
              </w:rPr>
              <w:t>根据</w:t>
            </w:r>
            <w:r>
              <w:rPr>
                <w:rFonts w:hint="eastAsia" w:ascii="宋体" w:hAnsi="宋体" w:eastAsia="宋体" w:cs="宋体"/>
                <w:sz w:val="20"/>
              </w:rPr>
              <w:t>《</w:t>
            </w:r>
            <w:r>
              <w:rPr>
                <w:rFonts w:hint="eastAsia" w:ascii="宋体" w:hAnsi="宋体" w:eastAsia="宋体" w:cs="宋体"/>
                <w:sz w:val="21"/>
              </w:rPr>
              <w:t>证券法</w:t>
            </w:r>
            <w:r>
              <w:rPr>
                <w:rFonts w:hint="eastAsia" w:ascii="宋体" w:hAnsi="宋体" w:eastAsia="宋体" w:cs="宋体"/>
                <w:sz w:val="20"/>
              </w:rPr>
              <w:t>》</w:t>
            </w:r>
            <w:r>
              <w:rPr>
                <w:rFonts w:hint="eastAsia" w:ascii="宋体" w:hAnsi="宋体" w:eastAsia="宋体" w:cs="宋体"/>
                <w:sz w:val="21"/>
              </w:rPr>
              <w:t>和</w:t>
            </w:r>
            <w:r>
              <w:rPr>
                <w:rFonts w:hint="eastAsia" w:ascii="宋体" w:hAnsi="宋体" w:eastAsia="宋体" w:cs="宋体"/>
                <w:sz w:val="20"/>
              </w:rPr>
              <w:t>《</w:t>
            </w:r>
            <w:r>
              <w:rPr>
                <w:rFonts w:hint="eastAsia" w:ascii="宋体" w:hAnsi="宋体" w:eastAsia="宋体" w:cs="宋体"/>
                <w:sz w:val="21"/>
              </w:rPr>
              <w:t>证券公司监</w:t>
            </w:r>
          </w:p>
          <w:p>
            <w:pPr>
              <w:spacing w:before="100"/>
              <w:ind w:left="100"/>
            </w:pPr>
            <w:r>
              <w:rPr>
                <w:rFonts w:hint="eastAsia" w:ascii="宋体" w:hAnsi="宋体" w:eastAsia="宋体" w:cs="宋体"/>
                <w:sz w:val="21"/>
              </w:rPr>
              <w:t>督管理条例</w:t>
            </w:r>
            <w:r>
              <w:rPr>
                <w:rFonts w:hint="eastAsia" w:ascii="宋体" w:hAnsi="宋体" w:eastAsia="宋体" w:cs="宋体"/>
                <w:sz w:val="20"/>
              </w:rPr>
              <w:t>》（</w:t>
            </w:r>
            <w:r>
              <w:rPr>
                <w:rFonts w:hint="eastAsia" w:ascii="宋体" w:hAnsi="宋体" w:eastAsia="宋体" w:cs="宋体"/>
                <w:sz w:val="21"/>
              </w:rPr>
              <w:t>以下简称</w:t>
            </w:r>
            <w:r>
              <w:rPr>
                <w:rFonts w:hint="eastAsia" w:ascii="宋体" w:hAnsi="宋体" w:eastAsia="宋体" w:cs="宋体"/>
                <w:sz w:val="20"/>
              </w:rPr>
              <w:t>《</w:t>
            </w:r>
            <w:r>
              <w:rPr>
                <w:rFonts w:hint="eastAsia" w:ascii="宋体" w:hAnsi="宋体" w:eastAsia="宋体" w:cs="宋体"/>
                <w:sz w:val="21"/>
              </w:rPr>
              <w:t>条例</w:t>
            </w:r>
            <w:r>
              <w:rPr>
                <w:rFonts w:hint="eastAsia" w:ascii="宋体" w:hAnsi="宋体" w:eastAsia="宋体" w:cs="宋体"/>
                <w:sz w:val="20"/>
              </w:rPr>
              <w:t>》），</w:t>
            </w:r>
            <w:r>
              <w:rPr>
                <w:rFonts w:hint="eastAsia" w:ascii="宋体" w:hAnsi="宋体" w:eastAsia="宋体" w:cs="宋体"/>
                <w:sz w:val="21"/>
              </w:rPr>
              <w:t>制定本规定</w:t>
            </w:r>
          </w:p>
        </w:tc>
      </w:tr>
      <w:tr>
        <w:trPr>
          <w:trHeight w:val="96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证券营业部信息技</w:t>
            </w:r>
          </w:p>
          <w:p>
            <w:pPr>
              <w:spacing w:before="80"/>
              <w:ind w:left="100"/>
            </w:pPr>
            <w:r>
              <w:rPr>
                <w:rFonts w:hint="eastAsia" w:ascii="宋体" w:hAnsi="宋体" w:eastAsia="宋体" w:cs="宋体"/>
                <w:sz w:val="21"/>
              </w:rPr>
              <w:t>术指引</w:t>
            </w:r>
            <w:r>
              <w:rPr>
                <w:rFonts w:hint="eastAsia" w:ascii="宋体" w:hAnsi="宋体" w:eastAsia="宋体" w:cs="宋体"/>
                <w:sz w:val="20"/>
              </w:rPr>
              <w:t>》（</w:t>
            </w:r>
            <w:r>
              <w:rPr>
                <w:rFonts w:hint="eastAsia" w:ascii="宋体" w:hAnsi="宋体" w:eastAsia="宋体" w:cs="宋体"/>
                <w:sz w:val="21"/>
              </w:rPr>
              <w:t>中证协发</w:t>
            </w:r>
          </w:p>
          <w:p>
            <w:pPr>
              <w:spacing w:before="120"/>
              <w:ind w:left="10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200"/>
              <w:ind w:left="100"/>
            </w:pPr>
            <w:r>
              <w:rPr>
                <w:rFonts w:hint="eastAsia" w:ascii="宋体" w:hAnsi="宋体" w:eastAsia="宋体" w:cs="宋体"/>
                <w:sz w:val="21"/>
              </w:rPr>
              <w:t>中国证券</w:t>
            </w:r>
          </w:p>
          <w:p>
            <w:pPr>
              <w:spacing w:before="8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200"/>
              <w:ind w:left="100"/>
            </w:pPr>
            <w:r>
              <w:rPr>
                <w:rFonts w:hint="eastAsia" w:ascii="宋体" w:hAnsi="宋体" w:eastAsia="宋体" w:cs="宋体"/>
                <w:sz w:val="21"/>
              </w:rPr>
              <w:t>加强证券营业部信息系统建设和管理</w:t>
            </w:r>
            <w:r>
              <w:rPr>
                <w:rFonts w:hint="eastAsia" w:ascii="宋体" w:hAnsi="宋体" w:eastAsia="宋体" w:cs="宋体"/>
                <w:sz w:val="10"/>
              </w:rPr>
              <w:t>，</w:t>
            </w:r>
            <w:r>
              <w:rPr>
                <w:rFonts w:hint="eastAsia" w:ascii="宋体" w:hAnsi="宋体" w:eastAsia="宋体" w:cs="宋体"/>
                <w:sz w:val="21"/>
              </w:rPr>
              <w:t>防范技术风险</w:t>
            </w:r>
            <w:r>
              <w:rPr>
                <w:rFonts w:hint="eastAsia" w:ascii="宋体" w:hAnsi="宋体" w:eastAsia="宋体" w:cs="宋体"/>
                <w:sz w:val="10"/>
              </w:rPr>
              <w:t>，</w:t>
            </w:r>
            <w:r>
              <w:rPr>
                <w:rFonts w:hint="eastAsia" w:ascii="宋体" w:hAnsi="宋体" w:eastAsia="宋体" w:cs="宋体"/>
                <w:sz w:val="21"/>
              </w:rPr>
              <w:t>保障</w:t>
            </w:r>
          </w:p>
          <w:p>
            <w:pPr>
              <w:spacing w:before="100"/>
              <w:ind w:left="100"/>
            </w:pPr>
            <w:r>
              <w:rPr>
                <w:rFonts w:hint="eastAsia" w:ascii="宋体" w:hAnsi="宋体" w:eastAsia="宋体" w:cs="宋体"/>
                <w:sz w:val="21"/>
              </w:rPr>
              <w:t>证券市场平稳运行</w:t>
            </w:r>
          </w:p>
        </w:tc>
      </w:tr>
      <w:tr>
        <w:trPr>
          <w:trHeight w:val="126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
              <w:ind w:left="100"/>
            </w:pPr>
            <w:r>
              <w:rPr>
                <w:rFonts w:hint="eastAsia" w:ascii="宋体" w:hAnsi="宋体" w:eastAsia="宋体" w:cs="宋体"/>
                <w:sz w:val="20"/>
              </w:rPr>
              <w:t>《</w:t>
            </w:r>
            <w:r>
              <w:rPr>
                <w:rFonts w:hint="eastAsia" w:ascii="宋体" w:hAnsi="宋体" w:eastAsia="宋体" w:cs="宋体"/>
                <w:sz w:val="21"/>
              </w:rPr>
              <w:t>中国证券业协会证</w:t>
            </w:r>
          </w:p>
          <w:p>
            <w:pPr>
              <w:spacing w:before="100"/>
              <w:ind w:left="100"/>
            </w:pPr>
            <w:r>
              <w:rPr>
                <w:rFonts w:hint="eastAsia" w:ascii="宋体" w:hAnsi="宋体" w:eastAsia="宋体" w:cs="宋体"/>
                <w:sz w:val="21"/>
              </w:rPr>
              <w:t>券经纪人执业规范</w:t>
            </w:r>
            <w:r>
              <w:rPr>
                <w:rFonts w:hint="eastAsia" w:ascii="宋体" w:hAnsi="宋体" w:eastAsia="宋体" w:cs="宋体"/>
                <w:sz w:val="20"/>
              </w:rPr>
              <w:t>（</w:t>
            </w:r>
            <w:r>
              <w:rPr>
                <w:rFonts w:hint="eastAsia" w:ascii="宋体" w:hAnsi="宋体" w:eastAsia="宋体" w:cs="宋体"/>
                <w:sz w:val="21"/>
              </w:rPr>
              <w:t>试</w:t>
            </w:r>
          </w:p>
          <w:p>
            <w:pPr>
              <w:spacing w:before="80"/>
              <w:ind w:left="100"/>
            </w:pPr>
            <w:r>
              <w:rPr>
                <w:rFonts w:hint="eastAsia" w:ascii="宋体" w:hAnsi="宋体" w:eastAsia="宋体" w:cs="宋体"/>
                <w:sz w:val="21"/>
              </w:rPr>
              <w:t>行</w:t>
            </w:r>
            <w:r>
              <w:rPr>
                <w:rFonts w:hint="eastAsia" w:ascii="宋体" w:hAnsi="宋体" w:eastAsia="宋体" w:cs="宋体"/>
                <w:sz w:val="20"/>
              </w:rPr>
              <w:t>）》（</w:t>
            </w:r>
            <w:r>
              <w:rPr>
                <w:rFonts w:hint="eastAsia" w:ascii="宋体" w:hAnsi="宋体" w:eastAsia="宋体" w:cs="宋体"/>
                <w:sz w:val="21"/>
              </w:rPr>
              <w:t>中证协发</w:t>
            </w:r>
          </w:p>
          <w:p>
            <w:pPr>
              <w:spacing w:before="120"/>
              <w:ind w:left="10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340"/>
              <w:ind w:left="100"/>
            </w:pPr>
            <w:r>
              <w:rPr>
                <w:rFonts w:hint="eastAsia" w:ascii="宋体" w:hAnsi="宋体" w:eastAsia="宋体" w:cs="宋体"/>
                <w:sz w:val="21"/>
              </w:rPr>
              <w:t>中国证券</w:t>
            </w:r>
          </w:p>
          <w:p>
            <w:pPr>
              <w:spacing w:before="8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180"/>
              <w:ind w:left="100"/>
            </w:pPr>
            <w:r>
              <w:rPr>
                <w:rFonts w:hint="eastAsia" w:ascii="宋体" w:hAnsi="宋体" w:eastAsia="宋体" w:cs="宋体"/>
                <w:sz w:val="21"/>
              </w:rPr>
              <w:t>证券公司应当建立健全证券经纪人执业支持系统</w:t>
            </w:r>
            <w:r>
              <w:rPr>
                <w:rFonts w:hint="eastAsia" w:ascii="宋体" w:hAnsi="宋体" w:eastAsia="宋体" w:cs="宋体"/>
                <w:sz w:val="10"/>
              </w:rPr>
              <w:t>。</w:t>
            </w:r>
            <w:r>
              <w:rPr>
                <w:rFonts w:hint="eastAsia" w:ascii="宋体" w:hAnsi="宋体" w:eastAsia="宋体" w:cs="宋体"/>
                <w:sz w:val="21"/>
              </w:rPr>
              <w:t>证券经纪</w:t>
            </w:r>
          </w:p>
          <w:p>
            <w:pPr>
              <w:spacing w:before="100"/>
              <w:ind w:left="100"/>
            </w:pPr>
            <w:r>
              <w:rPr>
                <w:rFonts w:hint="eastAsia" w:ascii="宋体" w:hAnsi="宋体" w:eastAsia="宋体" w:cs="宋体"/>
                <w:sz w:val="21"/>
              </w:rPr>
              <w:t>人可以通过该执业支持系统向客户传递证券公司统</w:t>
            </w:r>
            <w:r>
              <w:rPr>
                <w:rFonts w:hint="eastAsia" w:ascii="宋体" w:hAnsi="宋体" w:eastAsia="宋体" w:cs="宋体"/>
                <w:sz w:val="20"/>
              </w:rPr>
              <w:t>一</w:t>
            </w:r>
            <w:r>
              <w:rPr>
                <w:rFonts w:hint="eastAsia" w:ascii="宋体" w:hAnsi="宋体" w:eastAsia="宋体" w:cs="宋体"/>
                <w:sz w:val="21"/>
              </w:rPr>
              <w:t>提供</w:t>
            </w:r>
          </w:p>
          <w:p>
            <w:pPr>
              <w:spacing w:before="100"/>
              <w:ind w:left="100"/>
            </w:pPr>
            <w:r>
              <w:rPr>
                <w:rFonts w:hint="eastAsia" w:ascii="宋体" w:hAnsi="宋体" w:eastAsia="宋体" w:cs="宋体"/>
                <w:sz w:val="21"/>
              </w:rPr>
              <w:t>的有关信息和材料</w:t>
            </w:r>
          </w:p>
        </w:tc>
      </w:tr>
      <w:tr>
        <w:trPr>
          <w:trHeight w:val="94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180"/>
              <w:ind w:left="100"/>
            </w:pPr>
            <w:r>
              <w:rPr>
                <w:rFonts w:hint="eastAsia" w:ascii="宋体" w:hAnsi="宋体" w:eastAsia="宋体" w:cs="宋体"/>
                <w:sz w:val="20"/>
              </w:rPr>
              <w:t>《</w:t>
            </w:r>
            <w:r>
              <w:rPr>
                <w:rFonts w:hint="eastAsia" w:ascii="宋体" w:hAnsi="宋体" w:eastAsia="宋体" w:cs="宋体"/>
                <w:sz w:val="21"/>
              </w:rPr>
              <w:t>商业银行信息科技</w:t>
            </w:r>
          </w:p>
          <w:p>
            <w:pPr>
              <w:spacing w:before="100"/>
              <w:ind w:left="100"/>
            </w:pPr>
            <w:r>
              <w:rPr>
                <w:rFonts w:hint="eastAsia" w:ascii="宋体" w:hAnsi="宋体" w:eastAsia="宋体" w:cs="宋体"/>
                <w:sz w:val="21"/>
              </w:rPr>
              <w:t>风险管理指引</w:t>
            </w:r>
            <w:r>
              <w:rPr>
                <w:rFonts w:hint="eastAsia" w:ascii="宋体" w:hAnsi="宋体" w:eastAsia="宋体" w:cs="宋体"/>
                <w:sz w:val="20"/>
              </w:rPr>
              <w:t>》</w:t>
            </w:r>
          </w:p>
        </w:tc>
        <w:tc>
          <w:tcPr>
            <w:tcW w:w="1200" w:type="dxa"/>
            <w:tcMar>
              <w:top w:w="0" w:type="dxa"/>
              <w:left w:w="0" w:type="dxa"/>
              <w:bottom w:w="0" w:type="dxa"/>
              <w:right w:w="0" w:type="dxa"/>
            </w:tcMar>
          </w:tcPr>
          <w:p>
            <w:pPr>
              <w:spacing w:before="40"/>
              <w:ind w:left="100"/>
            </w:pPr>
            <w:r>
              <w:rPr>
                <w:rFonts w:hint="eastAsia" w:ascii="宋体" w:hAnsi="宋体" w:eastAsia="宋体" w:cs="宋体"/>
                <w:sz w:val="21"/>
              </w:rPr>
              <w:t>中国银行</w:t>
            </w:r>
          </w:p>
          <w:p>
            <w:pPr>
              <w:spacing w:before="100"/>
              <w:ind w:left="100"/>
            </w:pPr>
            <w:r>
              <w:rPr>
                <w:rFonts w:hint="eastAsia" w:ascii="宋体" w:hAnsi="宋体" w:eastAsia="宋体" w:cs="宋体"/>
                <w:sz w:val="21"/>
              </w:rPr>
              <w:t>业监督管</w:t>
            </w:r>
          </w:p>
          <w:p>
            <w:pPr>
              <w:spacing w:before="80"/>
              <w:ind w:left="100"/>
            </w:pPr>
            <w:r>
              <w:rPr>
                <w:rFonts w:hint="eastAsia" w:ascii="宋体" w:hAnsi="宋体" w:eastAsia="宋体" w:cs="宋体"/>
                <w:sz w:val="21"/>
              </w:rPr>
              <w:t>理委员会</w:t>
            </w:r>
          </w:p>
        </w:tc>
        <w:tc>
          <w:tcPr>
            <w:tcW w:w="5600" w:type="dxa"/>
            <w:tcMar>
              <w:top w:w="0" w:type="dxa"/>
              <w:left w:w="0" w:type="dxa"/>
              <w:bottom w:w="0" w:type="dxa"/>
              <w:right w:w="0" w:type="dxa"/>
            </w:tcMar>
          </w:tcPr>
          <w:p>
            <w:pPr>
              <w:spacing w:before="180"/>
              <w:ind w:left="100"/>
            </w:pPr>
            <w:r>
              <w:rPr>
                <w:rFonts w:hint="eastAsia" w:ascii="宋体" w:hAnsi="宋体" w:eastAsia="宋体" w:cs="宋体"/>
                <w:sz w:val="21"/>
              </w:rPr>
              <w:t>要求金融机构建立外包业务风险管理制度</w:t>
            </w:r>
            <w:r>
              <w:rPr>
                <w:rFonts w:hint="eastAsia" w:ascii="宋体" w:hAnsi="宋体" w:eastAsia="宋体" w:cs="宋体"/>
                <w:sz w:val="10"/>
              </w:rPr>
              <w:t>，</w:t>
            </w:r>
            <w:r>
              <w:rPr>
                <w:rFonts w:hint="eastAsia" w:ascii="宋体" w:hAnsi="宋体" w:eastAsia="宋体" w:cs="宋体"/>
                <w:sz w:val="21"/>
              </w:rPr>
              <w:t>对服务提供商进</w:t>
            </w:r>
          </w:p>
          <w:p>
            <w:pPr>
              <w:spacing w:before="100"/>
              <w:ind w:left="100"/>
            </w:pPr>
            <w:r>
              <w:rPr>
                <w:rFonts w:hint="eastAsia" w:ascii="宋体" w:hAnsi="宋体" w:eastAsia="宋体" w:cs="宋体"/>
                <w:sz w:val="21"/>
              </w:rPr>
              <w:t>行相应的尽职调查</w:t>
            </w:r>
          </w:p>
        </w:tc>
      </w:tr>
      <w:tr>
        <w:trPr>
          <w:trHeight w:val="1880" w:hRule="exact"/>
        </w:trPr>
        <w:tc>
          <w:tcPr>
            <w:tcW w:w="900" w:type="dxa"/>
            <w:vMerge w:val="restart"/>
            <w:tcMar>
              <w:top w:w="0" w:type="dxa"/>
              <w:left w:w="0" w:type="dxa"/>
              <w:bottom w:w="0" w:type="dxa"/>
              <w:right w:w="0" w:type="dxa"/>
            </w:tcMar>
          </w:tcPr>
          <w:p>
            <w:pPr>
              <w:spacing w:before="3940"/>
              <w:ind w:left="100"/>
            </w:pPr>
            <w:r>
              <w:rPr>
                <w:rFonts w:hint="eastAsia" w:ascii="Times New Roman" w:hAnsi="Times New Roman" w:eastAsia="Times New Roman" w:cs="Times New Roman"/>
                <w:sz w:val="21"/>
              </w:rPr>
              <w:t>2010</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500"/>
              <w:ind w:left="100"/>
            </w:pPr>
            <w:r>
              <w:rPr>
                <w:rFonts w:hint="eastAsia" w:ascii="宋体" w:hAnsi="宋体" w:eastAsia="宋体" w:cs="宋体"/>
                <w:sz w:val="20"/>
              </w:rPr>
              <w:t>《</w:t>
            </w:r>
            <w:r>
              <w:rPr>
                <w:rFonts w:hint="eastAsia" w:ascii="宋体" w:hAnsi="宋体" w:eastAsia="宋体" w:cs="宋体"/>
                <w:sz w:val="21"/>
              </w:rPr>
              <w:t>关于加强证券经纪</w:t>
            </w:r>
          </w:p>
          <w:p>
            <w:pPr>
              <w:spacing w:before="80"/>
              <w:ind w:left="100"/>
            </w:pPr>
            <w:r>
              <w:rPr>
                <w:rFonts w:hint="eastAsia" w:ascii="宋体" w:hAnsi="宋体" w:eastAsia="宋体" w:cs="宋体"/>
                <w:sz w:val="21"/>
              </w:rPr>
              <w:t>业务管理的规定</w:t>
            </w:r>
            <w:r>
              <w:rPr>
                <w:rFonts w:hint="eastAsia" w:ascii="宋体" w:hAnsi="宋体" w:eastAsia="宋体" w:cs="宋体"/>
                <w:sz w:val="20"/>
              </w:rPr>
              <w:t>》（</w:t>
            </w:r>
            <w:r>
              <w:rPr>
                <w:rFonts w:hint="eastAsia" w:ascii="宋体" w:hAnsi="宋体" w:eastAsia="宋体" w:cs="宋体"/>
                <w:sz w:val="21"/>
              </w:rPr>
              <w:t>证</w:t>
            </w:r>
          </w:p>
          <w:p>
            <w:pPr>
              <w:spacing w:before="100"/>
              <w:ind w:left="100"/>
            </w:pPr>
            <w:r>
              <w:rPr>
                <w:rFonts w:hint="eastAsia" w:ascii="宋体" w:hAnsi="宋体" w:eastAsia="宋体" w:cs="宋体"/>
                <w:sz w:val="21"/>
              </w:rPr>
              <w:t>监会公告</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660"/>
              <w:ind w:left="100"/>
            </w:pPr>
            <w:r>
              <w:rPr>
                <w:rFonts w:hint="eastAsia" w:ascii="宋体" w:hAnsi="宋体" w:eastAsia="宋体" w:cs="宋体"/>
                <w:sz w:val="21"/>
              </w:rPr>
              <w:t>中国证监</w:t>
            </w:r>
          </w:p>
          <w:p>
            <w:pPr>
              <w:spacing w:before="8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20"/>
              <w:ind w:left="100"/>
            </w:pPr>
            <w:r>
              <w:rPr>
                <w:rFonts w:hint="eastAsia" w:ascii="宋体" w:hAnsi="宋体" w:eastAsia="宋体" w:cs="宋体"/>
                <w:sz w:val="21"/>
              </w:rPr>
              <w:t>建立健全客户账户管理制度</w:t>
            </w:r>
            <w:r>
              <w:rPr>
                <w:rFonts w:hint="eastAsia" w:ascii="宋体" w:hAnsi="宋体" w:eastAsia="宋体" w:cs="宋体"/>
                <w:sz w:val="10"/>
              </w:rPr>
              <w:t>，</w:t>
            </w:r>
            <w:r>
              <w:rPr>
                <w:rFonts w:hint="eastAsia" w:ascii="宋体" w:hAnsi="宋体" w:eastAsia="宋体" w:cs="宋体"/>
                <w:sz w:val="21"/>
              </w:rPr>
              <w:t>建立健全客户适当性管理制</w:t>
            </w:r>
          </w:p>
          <w:p>
            <w:pPr>
              <w:spacing w:before="100"/>
              <w:ind w:left="100"/>
            </w:pPr>
            <w:r>
              <w:rPr>
                <w:rFonts w:hint="eastAsia" w:ascii="宋体" w:hAnsi="宋体" w:eastAsia="宋体" w:cs="宋体"/>
                <w:sz w:val="21"/>
              </w:rPr>
              <w:t>度</w:t>
            </w:r>
            <w:r>
              <w:rPr>
                <w:rFonts w:hint="eastAsia" w:ascii="宋体" w:hAnsi="宋体" w:eastAsia="宋体" w:cs="宋体"/>
                <w:sz w:val="10"/>
              </w:rPr>
              <w:t>，</w:t>
            </w:r>
            <w:r>
              <w:rPr>
                <w:rFonts w:hint="eastAsia" w:ascii="宋体" w:hAnsi="宋体" w:eastAsia="宋体" w:cs="宋体"/>
                <w:sz w:val="21"/>
              </w:rPr>
              <w:t>为客户提供适当的产品和服务</w:t>
            </w:r>
            <w:r>
              <w:rPr>
                <w:rFonts w:hint="eastAsia" w:ascii="宋体" w:hAnsi="宋体" w:eastAsia="宋体" w:cs="宋体"/>
                <w:sz w:val="12"/>
              </w:rPr>
              <w:t>；</w:t>
            </w:r>
            <w:r>
              <w:rPr>
                <w:rFonts w:hint="eastAsia" w:ascii="宋体" w:hAnsi="宋体" w:eastAsia="宋体" w:cs="宋体"/>
                <w:sz w:val="21"/>
              </w:rPr>
              <w:t>建立健全客户交易安全</w:t>
            </w:r>
          </w:p>
          <w:p>
            <w:pPr>
              <w:spacing w:before="100"/>
              <w:ind w:left="100"/>
            </w:pPr>
            <w:r>
              <w:rPr>
                <w:rFonts w:hint="eastAsia" w:ascii="宋体" w:hAnsi="宋体" w:eastAsia="宋体" w:cs="宋体"/>
                <w:sz w:val="21"/>
              </w:rPr>
              <w:t>监控制度</w:t>
            </w:r>
            <w:r>
              <w:rPr>
                <w:rFonts w:hint="eastAsia" w:ascii="宋体" w:hAnsi="宋体" w:eastAsia="宋体" w:cs="宋体"/>
                <w:sz w:val="10"/>
              </w:rPr>
              <w:t>，</w:t>
            </w:r>
            <w:r>
              <w:rPr>
                <w:rFonts w:hint="eastAsia" w:ascii="宋体" w:hAnsi="宋体" w:eastAsia="宋体" w:cs="宋体"/>
                <w:sz w:val="21"/>
              </w:rPr>
              <w:t>保护客户资产安全</w:t>
            </w:r>
            <w:r>
              <w:rPr>
                <w:rFonts w:hint="eastAsia" w:ascii="宋体" w:hAnsi="宋体" w:eastAsia="宋体" w:cs="宋体"/>
                <w:sz w:val="12"/>
              </w:rPr>
              <w:t>；</w:t>
            </w:r>
            <w:r>
              <w:rPr>
                <w:rFonts w:hint="eastAsia" w:ascii="宋体" w:hAnsi="宋体" w:eastAsia="宋体" w:cs="宋体"/>
                <w:sz w:val="21"/>
              </w:rPr>
              <w:t>建立健全客户回访制度</w:t>
            </w:r>
            <w:r>
              <w:rPr>
                <w:rFonts w:hint="eastAsia" w:ascii="宋体" w:hAnsi="宋体" w:eastAsia="宋体" w:cs="宋体"/>
                <w:sz w:val="10"/>
              </w:rPr>
              <w:t>，</w:t>
            </w:r>
            <w:r>
              <w:rPr>
                <w:rFonts w:hint="eastAsia" w:ascii="宋体" w:hAnsi="宋体" w:eastAsia="宋体" w:cs="宋体"/>
                <w:sz w:val="21"/>
              </w:rPr>
              <w:t>及</w:t>
            </w:r>
          </w:p>
          <w:p>
            <w:pPr>
              <w:spacing w:before="100"/>
              <w:ind w:left="100"/>
            </w:pPr>
            <w:r>
              <w:rPr>
                <w:rFonts w:hint="eastAsia" w:ascii="宋体" w:hAnsi="宋体" w:eastAsia="宋体" w:cs="宋体"/>
                <w:sz w:val="21"/>
              </w:rPr>
              <w:t>时发现并纠正不规范行为</w:t>
            </w:r>
            <w:r>
              <w:rPr>
                <w:rFonts w:hint="eastAsia" w:ascii="宋体" w:hAnsi="宋体" w:eastAsia="宋体" w:cs="宋体"/>
                <w:sz w:val="12"/>
              </w:rPr>
              <w:t>；</w:t>
            </w:r>
            <w:r>
              <w:rPr>
                <w:rFonts w:hint="eastAsia" w:ascii="宋体" w:hAnsi="宋体" w:eastAsia="宋体" w:cs="宋体"/>
                <w:sz w:val="21"/>
              </w:rPr>
              <w:t>建立健全客户投诉处理制度</w:t>
            </w:r>
            <w:r>
              <w:rPr>
                <w:rFonts w:hint="eastAsia" w:ascii="宋体" w:hAnsi="宋体" w:eastAsia="宋体" w:cs="宋体"/>
                <w:sz w:val="10"/>
              </w:rPr>
              <w:t>，</w:t>
            </w:r>
            <w:r>
              <w:rPr>
                <w:rFonts w:hint="eastAsia" w:ascii="宋体" w:hAnsi="宋体" w:eastAsia="宋体" w:cs="宋体"/>
                <w:sz w:val="21"/>
              </w:rPr>
              <w:t>妥</w:t>
            </w:r>
          </w:p>
          <w:p>
            <w:pPr>
              <w:spacing w:before="100"/>
              <w:ind w:left="100"/>
            </w:pPr>
            <w:r>
              <w:rPr>
                <w:rFonts w:hint="eastAsia" w:ascii="宋体" w:hAnsi="宋体" w:eastAsia="宋体" w:cs="宋体"/>
                <w:sz w:val="21"/>
              </w:rPr>
              <w:t>善处理客户投诉和与客户的纠纷</w:t>
            </w:r>
            <w:r>
              <w:rPr>
                <w:rFonts w:hint="eastAsia" w:ascii="宋体" w:hAnsi="宋体" w:eastAsia="宋体" w:cs="宋体"/>
                <w:sz w:val="12"/>
              </w:rPr>
              <w:t>；</w:t>
            </w:r>
            <w:r>
              <w:rPr>
                <w:rFonts w:hint="eastAsia" w:ascii="宋体" w:hAnsi="宋体" w:eastAsia="宋体" w:cs="宋体"/>
                <w:sz w:val="21"/>
              </w:rPr>
              <w:t>建立健全客户资料管理制</w:t>
            </w:r>
          </w:p>
          <w:p>
            <w:pPr>
              <w:spacing w:before="80"/>
              <w:ind w:left="100"/>
            </w:pPr>
            <w:r>
              <w:rPr>
                <w:rFonts w:hint="eastAsia" w:ascii="宋体" w:hAnsi="宋体" w:eastAsia="宋体" w:cs="宋体"/>
                <w:sz w:val="21"/>
              </w:rPr>
              <w:t>度</w:t>
            </w:r>
            <w:r>
              <w:rPr>
                <w:rFonts w:hint="eastAsia" w:ascii="宋体" w:hAnsi="宋体" w:eastAsia="宋体" w:cs="宋体"/>
                <w:sz w:val="10"/>
              </w:rPr>
              <w:t>，</w:t>
            </w:r>
            <w:r>
              <w:rPr>
                <w:rFonts w:hint="eastAsia" w:ascii="宋体" w:hAnsi="宋体" w:eastAsia="宋体" w:cs="宋体"/>
                <w:sz w:val="21"/>
              </w:rPr>
              <w:t>保证客户资料安全完整</w:t>
            </w:r>
          </w:p>
        </w:tc>
      </w:tr>
      <w:tr>
        <w:trPr>
          <w:trHeight w:val="156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
              <w:ind w:left="100"/>
            </w:pPr>
            <w:r>
              <w:rPr>
                <w:rFonts w:hint="eastAsia" w:ascii="宋体" w:hAnsi="宋体" w:eastAsia="宋体" w:cs="宋体"/>
                <w:sz w:val="20"/>
              </w:rPr>
              <w:t>《</w:t>
            </w:r>
            <w:r>
              <w:rPr>
                <w:rFonts w:hint="eastAsia" w:ascii="宋体" w:hAnsi="宋体" w:eastAsia="宋体" w:cs="宋体"/>
                <w:sz w:val="21"/>
              </w:rPr>
              <w:t>关于进</w:t>
            </w:r>
            <w:r>
              <w:rPr>
                <w:rFonts w:hint="eastAsia" w:ascii="宋体" w:hAnsi="宋体" w:eastAsia="宋体" w:cs="宋体"/>
                <w:sz w:val="20"/>
              </w:rPr>
              <w:t>一</w:t>
            </w:r>
            <w:r>
              <w:rPr>
                <w:rFonts w:hint="eastAsia" w:ascii="宋体" w:hAnsi="宋体" w:eastAsia="宋体" w:cs="宋体"/>
                <w:sz w:val="21"/>
              </w:rPr>
              <w:t>步加强证</w:t>
            </w:r>
          </w:p>
          <w:p>
            <w:pPr>
              <w:spacing w:before="100"/>
              <w:ind w:left="100"/>
            </w:pPr>
            <w:r>
              <w:rPr>
                <w:rFonts w:hint="eastAsia" w:ascii="宋体" w:hAnsi="宋体" w:eastAsia="宋体" w:cs="宋体"/>
                <w:sz w:val="21"/>
              </w:rPr>
              <w:t>券公司客户服务和证</w:t>
            </w:r>
          </w:p>
          <w:p>
            <w:pPr>
              <w:spacing w:before="100"/>
              <w:ind w:left="100"/>
            </w:pPr>
            <w:r>
              <w:rPr>
                <w:rFonts w:hint="eastAsia" w:ascii="宋体" w:hAnsi="宋体" w:eastAsia="宋体" w:cs="宋体"/>
                <w:sz w:val="21"/>
              </w:rPr>
              <w:t>券交易佣金管理工作</w:t>
            </w:r>
          </w:p>
          <w:p>
            <w:pPr>
              <w:spacing w:before="100"/>
              <w:ind w:left="100"/>
            </w:pPr>
            <w:r>
              <w:rPr>
                <w:rFonts w:hint="eastAsia" w:ascii="宋体" w:hAnsi="宋体" w:eastAsia="宋体" w:cs="宋体"/>
                <w:sz w:val="21"/>
              </w:rPr>
              <w:t>的通知</w:t>
            </w:r>
            <w:r>
              <w:rPr>
                <w:rFonts w:hint="eastAsia" w:ascii="宋体" w:hAnsi="宋体" w:eastAsia="宋体" w:cs="宋体"/>
                <w:sz w:val="20"/>
              </w:rPr>
              <w:t>》（</w:t>
            </w:r>
            <w:r>
              <w:rPr>
                <w:rFonts w:hint="eastAsia" w:ascii="宋体" w:hAnsi="宋体" w:eastAsia="宋体" w:cs="宋体"/>
                <w:sz w:val="21"/>
              </w:rPr>
              <w:t>中证协发</w:t>
            </w:r>
          </w:p>
          <w:p>
            <w:pPr>
              <w:spacing w:before="100"/>
              <w:ind w:left="10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157</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500"/>
              <w:ind w:left="100"/>
            </w:pPr>
            <w:r>
              <w:rPr>
                <w:rFonts w:hint="eastAsia" w:ascii="宋体" w:hAnsi="宋体" w:eastAsia="宋体" w:cs="宋体"/>
                <w:sz w:val="21"/>
              </w:rPr>
              <w:t>中国证券</w:t>
            </w:r>
          </w:p>
          <w:p>
            <w:pPr>
              <w:spacing w:before="8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340"/>
              <w:ind w:left="100"/>
            </w:pPr>
            <w:r>
              <w:rPr>
                <w:rFonts w:hint="eastAsia" w:ascii="宋体" w:hAnsi="宋体" w:eastAsia="宋体" w:cs="宋体"/>
                <w:sz w:val="21"/>
              </w:rPr>
              <w:t>规范证券公司客户服务和证券交易佣金管理</w:t>
            </w:r>
            <w:r>
              <w:rPr>
                <w:rFonts w:hint="eastAsia" w:ascii="宋体" w:hAnsi="宋体" w:eastAsia="宋体" w:cs="宋体"/>
                <w:sz w:val="10"/>
              </w:rPr>
              <w:t>，</w:t>
            </w:r>
            <w:r>
              <w:rPr>
                <w:rFonts w:hint="eastAsia" w:ascii="宋体" w:hAnsi="宋体" w:eastAsia="宋体" w:cs="宋体"/>
                <w:sz w:val="21"/>
              </w:rPr>
              <w:t>推动证券公司</w:t>
            </w:r>
          </w:p>
          <w:p>
            <w:pPr>
              <w:spacing w:before="100"/>
              <w:ind w:left="100"/>
            </w:pPr>
            <w:r>
              <w:rPr>
                <w:rFonts w:hint="eastAsia" w:ascii="宋体" w:hAnsi="宋体" w:eastAsia="宋体" w:cs="宋体"/>
                <w:sz w:val="21"/>
              </w:rPr>
              <w:t>增强合规经营意识</w:t>
            </w:r>
            <w:r>
              <w:rPr>
                <w:rFonts w:hint="eastAsia" w:ascii="宋体" w:hAnsi="宋体" w:eastAsia="宋体" w:cs="宋体"/>
                <w:sz w:val="10"/>
              </w:rPr>
              <w:t>，</w:t>
            </w:r>
            <w:r>
              <w:rPr>
                <w:rFonts w:hint="eastAsia" w:ascii="宋体" w:hAnsi="宋体" w:eastAsia="宋体" w:cs="宋体"/>
                <w:sz w:val="21"/>
              </w:rPr>
              <w:t>提升客户服务水平</w:t>
            </w:r>
            <w:r>
              <w:rPr>
                <w:rFonts w:hint="eastAsia" w:ascii="宋体" w:hAnsi="宋体" w:eastAsia="宋体" w:cs="宋体"/>
                <w:sz w:val="10"/>
              </w:rPr>
              <w:t>，</w:t>
            </w:r>
            <w:r>
              <w:rPr>
                <w:rFonts w:hint="eastAsia" w:ascii="宋体" w:hAnsi="宋体" w:eastAsia="宋体" w:cs="宋体"/>
                <w:sz w:val="21"/>
              </w:rPr>
              <w:t>保护投资者合法</w:t>
            </w:r>
          </w:p>
          <w:p>
            <w:pPr>
              <w:spacing w:before="100"/>
              <w:ind w:left="100"/>
            </w:pPr>
            <w:r>
              <w:rPr>
                <w:rFonts w:hint="eastAsia" w:ascii="宋体" w:hAnsi="宋体" w:eastAsia="宋体" w:cs="宋体"/>
                <w:sz w:val="21"/>
              </w:rPr>
              <w:t>权益</w:t>
            </w:r>
            <w:r>
              <w:rPr>
                <w:rFonts w:hint="eastAsia" w:ascii="宋体" w:hAnsi="宋体" w:eastAsia="宋体" w:cs="宋体"/>
                <w:sz w:val="10"/>
              </w:rPr>
              <w:t>，</w:t>
            </w:r>
            <w:r>
              <w:rPr>
                <w:rFonts w:hint="eastAsia" w:ascii="宋体" w:hAnsi="宋体" w:eastAsia="宋体" w:cs="宋体"/>
                <w:sz w:val="21"/>
              </w:rPr>
              <w:t>促进证券经纪业务健康</w:t>
            </w:r>
            <w:r>
              <w:rPr>
                <w:rFonts w:hint="eastAsia" w:ascii="宋体" w:hAnsi="宋体" w:eastAsia="宋体" w:cs="宋体"/>
                <w:sz w:val="10"/>
              </w:rPr>
              <w:t>、</w:t>
            </w:r>
            <w:r>
              <w:rPr>
                <w:rFonts w:hint="eastAsia" w:ascii="宋体" w:hAnsi="宋体" w:eastAsia="宋体" w:cs="宋体"/>
                <w:sz w:val="21"/>
              </w:rPr>
              <w:t>持续发展</w:t>
            </w:r>
          </w:p>
        </w:tc>
      </w:tr>
      <w:tr>
        <w:trPr>
          <w:trHeight w:val="126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0"/>
              <w:ind w:left="100"/>
            </w:pPr>
            <w:r>
              <w:rPr>
                <w:rFonts w:hint="eastAsia" w:ascii="宋体" w:hAnsi="宋体" w:eastAsia="宋体" w:cs="宋体"/>
                <w:sz w:val="20"/>
              </w:rPr>
              <w:t>《</w:t>
            </w:r>
            <w:r>
              <w:rPr>
                <w:rFonts w:hint="eastAsia" w:ascii="宋体" w:hAnsi="宋体" w:eastAsia="宋体" w:cs="宋体"/>
                <w:sz w:val="21"/>
              </w:rPr>
              <w:t>证券投资顾问业务</w:t>
            </w:r>
          </w:p>
          <w:p>
            <w:pPr>
              <w:spacing w:before="80"/>
              <w:ind w:left="100"/>
            </w:pPr>
            <w:r>
              <w:rPr>
                <w:rFonts w:hint="eastAsia" w:ascii="宋体" w:hAnsi="宋体" w:eastAsia="宋体" w:cs="宋体"/>
                <w:sz w:val="21"/>
              </w:rPr>
              <w:t>暂行规定</w:t>
            </w:r>
            <w:r>
              <w:rPr>
                <w:rFonts w:hint="eastAsia" w:ascii="宋体" w:hAnsi="宋体" w:eastAsia="宋体" w:cs="宋体"/>
                <w:sz w:val="20"/>
              </w:rPr>
              <w:t>》（</w:t>
            </w:r>
            <w:r>
              <w:rPr>
                <w:rFonts w:hint="eastAsia" w:ascii="宋体" w:hAnsi="宋体" w:eastAsia="宋体" w:cs="宋体"/>
                <w:sz w:val="21"/>
              </w:rPr>
              <w:t>证监会公</w:t>
            </w:r>
          </w:p>
          <w:p>
            <w:pPr>
              <w:spacing w:before="100"/>
              <w:ind w:left="100"/>
            </w:pPr>
            <w:r>
              <w:rPr>
                <w:rFonts w:hint="eastAsia" w:ascii="宋体" w:hAnsi="宋体" w:eastAsia="宋体" w:cs="宋体"/>
                <w:sz w:val="21"/>
              </w:rPr>
              <w:t>告</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360"/>
              <w:ind w:left="100"/>
            </w:pPr>
            <w:r>
              <w:rPr>
                <w:rFonts w:hint="eastAsia" w:ascii="宋体" w:hAnsi="宋体" w:eastAsia="宋体" w:cs="宋体"/>
                <w:sz w:val="21"/>
              </w:rPr>
              <w:t>中国证监</w:t>
            </w:r>
          </w:p>
          <w:p>
            <w:pPr>
              <w:spacing w:before="8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证券公司</w:t>
            </w:r>
            <w:r>
              <w:rPr>
                <w:rFonts w:hint="eastAsia" w:ascii="宋体" w:hAnsi="宋体" w:eastAsia="宋体" w:cs="宋体"/>
                <w:sz w:val="10"/>
              </w:rPr>
              <w:t>、</w:t>
            </w:r>
            <w:r>
              <w:rPr>
                <w:rFonts w:hint="eastAsia" w:ascii="宋体" w:hAnsi="宋体" w:eastAsia="宋体" w:cs="宋体"/>
                <w:sz w:val="21"/>
              </w:rPr>
              <w:t>证券投资咨询机构应当对证券投资顾问业务推</w:t>
            </w:r>
          </w:p>
          <w:p>
            <w:pPr>
              <w:spacing w:before="100"/>
              <w:ind w:left="100"/>
            </w:pPr>
            <w:r>
              <w:rPr>
                <w:rFonts w:hint="eastAsia" w:ascii="宋体" w:hAnsi="宋体" w:eastAsia="宋体" w:cs="宋体"/>
                <w:sz w:val="21"/>
              </w:rPr>
              <w:t>广</w:t>
            </w:r>
            <w:r>
              <w:rPr>
                <w:rFonts w:hint="eastAsia" w:ascii="宋体" w:hAnsi="宋体" w:eastAsia="宋体" w:cs="宋体"/>
                <w:sz w:val="10"/>
              </w:rPr>
              <w:t>、</w:t>
            </w:r>
            <w:r>
              <w:rPr>
                <w:rFonts w:hint="eastAsia" w:ascii="宋体" w:hAnsi="宋体" w:eastAsia="宋体" w:cs="宋体"/>
                <w:sz w:val="21"/>
              </w:rPr>
              <w:t>协议签订</w:t>
            </w:r>
            <w:r>
              <w:rPr>
                <w:rFonts w:hint="eastAsia" w:ascii="宋体" w:hAnsi="宋体" w:eastAsia="宋体" w:cs="宋体"/>
                <w:sz w:val="10"/>
              </w:rPr>
              <w:t>、</w:t>
            </w:r>
            <w:r>
              <w:rPr>
                <w:rFonts w:hint="eastAsia" w:ascii="宋体" w:hAnsi="宋体" w:eastAsia="宋体" w:cs="宋体"/>
                <w:sz w:val="21"/>
              </w:rPr>
              <w:t>服务提供</w:t>
            </w:r>
            <w:r>
              <w:rPr>
                <w:rFonts w:hint="eastAsia" w:ascii="宋体" w:hAnsi="宋体" w:eastAsia="宋体" w:cs="宋体"/>
                <w:sz w:val="10"/>
              </w:rPr>
              <w:t>、</w:t>
            </w:r>
            <w:r>
              <w:rPr>
                <w:rFonts w:hint="eastAsia" w:ascii="宋体" w:hAnsi="宋体" w:eastAsia="宋体" w:cs="宋体"/>
                <w:sz w:val="21"/>
              </w:rPr>
              <w:t>客户回访</w:t>
            </w:r>
            <w:r>
              <w:rPr>
                <w:rFonts w:hint="eastAsia" w:ascii="宋体" w:hAnsi="宋体" w:eastAsia="宋体" w:cs="宋体"/>
                <w:sz w:val="10"/>
              </w:rPr>
              <w:t>、</w:t>
            </w:r>
            <w:r>
              <w:rPr>
                <w:rFonts w:hint="eastAsia" w:ascii="宋体" w:hAnsi="宋体" w:eastAsia="宋体" w:cs="宋体"/>
                <w:sz w:val="21"/>
              </w:rPr>
              <w:t>投诉处理等环节实行</w:t>
            </w:r>
          </w:p>
          <w:p>
            <w:pPr>
              <w:spacing w:before="100"/>
              <w:ind w:left="100"/>
            </w:pPr>
            <w:r>
              <w:rPr>
                <w:rFonts w:hint="eastAsia" w:ascii="宋体" w:hAnsi="宋体" w:eastAsia="宋体" w:cs="宋体"/>
                <w:sz w:val="21"/>
              </w:rPr>
              <w:t>留痕管理</w:t>
            </w:r>
            <w:r>
              <w:rPr>
                <w:rFonts w:hint="eastAsia" w:ascii="宋体" w:hAnsi="宋体" w:eastAsia="宋体" w:cs="宋体"/>
                <w:sz w:val="10"/>
              </w:rPr>
              <w:t>。</w:t>
            </w:r>
            <w:r>
              <w:rPr>
                <w:rFonts w:hint="eastAsia" w:ascii="宋体" w:hAnsi="宋体" w:eastAsia="宋体" w:cs="宋体"/>
                <w:sz w:val="21"/>
              </w:rPr>
              <w:t>向客户提供投资建议的时间</w:t>
            </w:r>
            <w:r>
              <w:rPr>
                <w:rFonts w:hint="eastAsia" w:ascii="宋体" w:hAnsi="宋体" w:eastAsia="宋体" w:cs="宋体"/>
                <w:sz w:val="10"/>
              </w:rPr>
              <w:t>、</w:t>
            </w:r>
            <w:r>
              <w:rPr>
                <w:rFonts w:hint="eastAsia" w:ascii="宋体" w:hAnsi="宋体" w:eastAsia="宋体" w:cs="宋体"/>
                <w:sz w:val="21"/>
              </w:rPr>
              <w:t>内容</w:t>
            </w:r>
            <w:r>
              <w:rPr>
                <w:rFonts w:hint="eastAsia" w:ascii="宋体" w:hAnsi="宋体" w:eastAsia="宋体" w:cs="宋体"/>
                <w:sz w:val="10"/>
              </w:rPr>
              <w:t>、</w:t>
            </w:r>
            <w:r>
              <w:rPr>
                <w:rFonts w:hint="eastAsia" w:ascii="宋体" w:hAnsi="宋体" w:eastAsia="宋体" w:cs="宋体"/>
                <w:sz w:val="21"/>
              </w:rPr>
              <w:t>方式和依据</w:t>
            </w:r>
          </w:p>
          <w:p>
            <w:pPr>
              <w:spacing w:before="100"/>
              <w:ind w:left="100"/>
            </w:pPr>
            <w:r>
              <w:rPr>
                <w:rFonts w:hint="eastAsia" w:ascii="宋体" w:hAnsi="宋体" w:eastAsia="宋体" w:cs="宋体"/>
                <w:sz w:val="21"/>
              </w:rPr>
              <w:t>等信息</w:t>
            </w:r>
            <w:r>
              <w:rPr>
                <w:rFonts w:hint="eastAsia" w:ascii="宋体" w:hAnsi="宋体" w:eastAsia="宋体" w:cs="宋体"/>
                <w:sz w:val="10"/>
              </w:rPr>
              <w:t>，</w:t>
            </w:r>
            <w:r>
              <w:rPr>
                <w:rFonts w:hint="eastAsia" w:ascii="宋体" w:hAnsi="宋体" w:eastAsia="宋体" w:cs="宋体"/>
                <w:sz w:val="21"/>
              </w:rPr>
              <w:t>应当以书面或者电子文件形式予以记录留存</w:t>
            </w:r>
          </w:p>
        </w:tc>
      </w:tr>
      <w:tr>
        <w:trPr>
          <w:trHeight w:val="188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520"/>
              <w:ind w:left="100"/>
            </w:pPr>
            <w:r>
              <w:rPr>
                <w:rFonts w:hint="eastAsia" w:ascii="宋体" w:hAnsi="宋体" w:eastAsia="宋体" w:cs="宋体"/>
                <w:sz w:val="20"/>
              </w:rPr>
              <w:t>《</w:t>
            </w:r>
            <w:r>
              <w:rPr>
                <w:rFonts w:hint="eastAsia" w:ascii="宋体" w:hAnsi="宋体" w:eastAsia="宋体" w:cs="宋体"/>
                <w:sz w:val="21"/>
              </w:rPr>
              <w:t>发布证券研究报告</w:t>
            </w:r>
          </w:p>
          <w:p>
            <w:pPr>
              <w:spacing w:before="100"/>
              <w:ind w:left="100"/>
            </w:pPr>
            <w:r>
              <w:rPr>
                <w:rFonts w:hint="eastAsia" w:ascii="宋体" w:hAnsi="宋体" w:eastAsia="宋体" w:cs="宋体"/>
                <w:sz w:val="21"/>
              </w:rPr>
              <w:t>暂行规定</w:t>
            </w:r>
            <w:r>
              <w:rPr>
                <w:rFonts w:hint="eastAsia" w:ascii="宋体" w:hAnsi="宋体" w:eastAsia="宋体" w:cs="宋体"/>
                <w:sz w:val="20"/>
              </w:rPr>
              <w:t>》（</w:t>
            </w:r>
            <w:r>
              <w:rPr>
                <w:rFonts w:hint="eastAsia" w:ascii="宋体" w:hAnsi="宋体" w:eastAsia="宋体" w:cs="宋体"/>
                <w:sz w:val="21"/>
              </w:rPr>
              <w:t>证监会公</w:t>
            </w:r>
          </w:p>
          <w:p>
            <w:pPr>
              <w:spacing w:before="80"/>
              <w:ind w:left="100"/>
            </w:pPr>
            <w:r>
              <w:rPr>
                <w:rFonts w:hint="eastAsia" w:ascii="宋体" w:hAnsi="宋体" w:eastAsia="宋体" w:cs="宋体"/>
                <w:sz w:val="21"/>
              </w:rPr>
              <w:t>告</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660"/>
              <w:ind w:left="100"/>
            </w:pPr>
            <w:r>
              <w:rPr>
                <w:rFonts w:hint="eastAsia" w:ascii="宋体" w:hAnsi="宋体" w:eastAsia="宋体" w:cs="宋体"/>
                <w:sz w:val="21"/>
              </w:rPr>
              <w:t>中国证监</w:t>
            </w:r>
          </w:p>
          <w:p>
            <w:pPr>
              <w:spacing w:before="10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在发布的证券研究报告上署名的人员</w:t>
            </w:r>
            <w:r>
              <w:rPr>
                <w:rFonts w:hint="eastAsia" w:ascii="宋体" w:hAnsi="宋体" w:eastAsia="宋体" w:cs="宋体"/>
                <w:sz w:val="10"/>
              </w:rPr>
              <w:t>，</w:t>
            </w:r>
            <w:r>
              <w:rPr>
                <w:rFonts w:hint="eastAsia" w:ascii="宋体" w:hAnsi="宋体" w:eastAsia="宋体" w:cs="宋体"/>
                <w:sz w:val="21"/>
              </w:rPr>
              <w:t>应当具有证券投资咨</w:t>
            </w:r>
          </w:p>
          <w:p>
            <w:pPr>
              <w:spacing w:before="80"/>
              <w:ind w:left="100"/>
            </w:pPr>
            <w:r>
              <w:rPr>
                <w:rFonts w:hint="eastAsia" w:ascii="宋体" w:hAnsi="宋体" w:eastAsia="宋体" w:cs="宋体"/>
                <w:sz w:val="21"/>
              </w:rPr>
              <w:t>询执业资格</w:t>
            </w:r>
            <w:r>
              <w:rPr>
                <w:rFonts w:hint="eastAsia" w:ascii="宋体" w:hAnsi="宋体" w:eastAsia="宋体" w:cs="宋体"/>
                <w:sz w:val="10"/>
              </w:rPr>
              <w:t>，</w:t>
            </w:r>
            <w:r>
              <w:rPr>
                <w:rFonts w:hint="eastAsia" w:ascii="宋体" w:hAnsi="宋体" w:eastAsia="宋体" w:cs="宋体"/>
                <w:sz w:val="21"/>
              </w:rPr>
              <w:t>并在中国证券业协会注册登记为证券分析师</w:t>
            </w:r>
            <w:r>
              <w:rPr>
                <w:rFonts w:hint="eastAsia" w:ascii="宋体" w:hAnsi="宋体" w:eastAsia="宋体" w:cs="宋体"/>
                <w:sz w:val="10"/>
              </w:rPr>
              <w:t>。</w:t>
            </w:r>
          </w:p>
          <w:p>
            <w:pPr>
              <w:spacing w:before="100"/>
              <w:ind w:left="100"/>
            </w:pPr>
            <w:r>
              <w:rPr>
                <w:rFonts w:hint="eastAsia" w:ascii="宋体" w:hAnsi="宋体" w:eastAsia="宋体" w:cs="宋体"/>
                <w:sz w:val="21"/>
              </w:rPr>
              <w:t>证券分析师不得同时注册为证券投资顾问</w:t>
            </w:r>
            <w:r>
              <w:rPr>
                <w:rFonts w:hint="eastAsia" w:ascii="宋体" w:hAnsi="宋体" w:eastAsia="宋体" w:cs="宋体"/>
                <w:sz w:val="10"/>
              </w:rPr>
              <w:t>。</w:t>
            </w:r>
            <w:r>
              <w:rPr>
                <w:rFonts w:hint="eastAsia" w:ascii="宋体" w:hAnsi="宋体" w:eastAsia="宋体" w:cs="宋体"/>
                <w:sz w:val="21"/>
              </w:rPr>
              <w:t>证券公司</w:t>
            </w:r>
            <w:r>
              <w:rPr>
                <w:rFonts w:hint="eastAsia" w:ascii="宋体" w:hAnsi="宋体" w:eastAsia="宋体" w:cs="宋体"/>
                <w:sz w:val="10"/>
              </w:rPr>
              <w:t>、</w:t>
            </w:r>
            <w:r>
              <w:rPr>
                <w:rFonts w:hint="eastAsia" w:ascii="宋体" w:hAnsi="宋体" w:eastAsia="宋体" w:cs="宋体"/>
                <w:sz w:val="21"/>
              </w:rPr>
              <w:t>证券</w:t>
            </w:r>
          </w:p>
          <w:p>
            <w:pPr>
              <w:spacing w:before="100"/>
              <w:ind w:left="100"/>
            </w:pPr>
            <w:r>
              <w:rPr>
                <w:rFonts w:hint="eastAsia" w:ascii="宋体" w:hAnsi="宋体" w:eastAsia="宋体" w:cs="宋体"/>
                <w:sz w:val="21"/>
              </w:rPr>
              <w:t>投资咨询机构应当建立证券研究报告发布审阅机制</w:t>
            </w:r>
            <w:r>
              <w:rPr>
                <w:rFonts w:hint="eastAsia" w:ascii="宋体" w:hAnsi="宋体" w:eastAsia="宋体" w:cs="宋体"/>
                <w:sz w:val="10"/>
              </w:rPr>
              <w:t>，</w:t>
            </w:r>
            <w:r>
              <w:rPr>
                <w:rFonts w:hint="eastAsia" w:ascii="宋体" w:hAnsi="宋体" w:eastAsia="宋体" w:cs="宋体"/>
                <w:sz w:val="21"/>
              </w:rPr>
              <w:t>明确审</w:t>
            </w:r>
          </w:p>
          <w:p>
            <w:pPr>
              <w:spacing w:before="80"/>
              <w:ind w:left="100"/>
            </w:pPr>
            <w:r>
              <w:rPr>
                <w:rFonts w:hint="eastAsia" w:ascii="宋体" w:hAnsi="宋体" w:eastAsia="宋体" w:cs="宋体"/>
                <w:sz w:val="21"/>
              </w:rPr>
              <w:t>阅流程</w:t>
            </w:r>
            <w:r>
              <w:rPr>
                <w:rFonts w:hint="eastAsia" w:ascii="宋体" w:hAnsi="宋体" w:eastAsia="宋体" w:cs="宋体"/>
                <w:sz w:val="10"/>
              </w:rPr>
              <w:t>，</w:t>
            </w:r>
            <w:r>
              <w:rPr>
                <w:rFonts w:hint="eastAsia" w:ascii="宋体" w:hAnsi="宋体" w:eastAsia="宋体" w:cs="宋体"/>
                <w:sz w:val="21"/>
              </w:rPr>
              <w:t>安排专门人员</w:t>
            </w:r>
            <w:r>
              <w:rPr>
                <w:rFonts w:hint="eastAsia" w:ascii="宋体" w:hAnsi="宋体" w:eastAsia="宋体" w:cs="宋体"/>
                <w:sz w:val="10"/>
              </w:rPr>
              <w:t>，</w:t>
            </w:r>
            <w:r>
              <w:rPr>
                <w:rFonts w:hint="eastAsia" w:ascii="宋体" w:hAnsi="宋体" w:eastAsia="宋体" w:cs="宋体"/>
                <w:sz w:val="21"/>
              </w:rPr>
              <w:t>做好证券研究报告发布前的质量控</w:t>
            </w:r>
          </w:p>
          <w:p>
            <w:pPr>
              <w:spacing w:before="100"/>
              <w:ind w:left="100"/>
            </w:pPr>
            <w:r>
              <w:rPr>
                <w:rFonts w:hint="eastAsia" w:ascii="宋体" w:hAnsi="宋体" w:eastAsia="宋体" w:cs="宋体"/>
                <w:sz w:val="21"/>
              </w:rPr>
              <w:t>制和合规审查</w:t>
            </w:r>
          </w:p>
        </w:tc>
      </w:tr>
      <w:tr>
        <w:trPr>
          <w:trHeight w:val="158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0"/>
              <w:ind w:left="100"/>
            </w:pPr>
            <w:r>
              <w:rPr>
                <w:rFonts w:hint="eastAsia" w:ascii="宋体" w:hAnsi="宋体" w:eastAsia="宋体" w:cs="宋体"/>
                <w:sz w:val="20"/>
              </w:rPr>
              <w:t>《</w:t>
            </w:r>
            <w:r>
              <w:rPr>
                <w:rFonts w:hint="eastAsia" w:ascii="宋体" w:hAnsi="宋体" w:eastAsia="宋体" w:cs="宋体"/>
                <w:sz w:val="21"/>
              </w:rPr>
              <w:t>证券投资顾问业务</w:t>
            </w:r>
          </w:p>
          <w:p>
            <w:pPr>
              <w:spacing w:before="80"/>
              <w:ind w:left="100"/>
            </w:pPr>
            <w:r>
              <w:rPr>
                <w:rFonts w:hint="eastAsia" w:ascii="宋体" w:hAnsi="宋体" w:eastAsia="宋体" w:cs="宋体"/>
                <w:sz w:val="21"/>
              </w:rPr>
              <w:t>风险揭示书必备条款</w:t>
            </w:r>
            <w:r>
              <w:rPr>
                <w:rFonts w:hint="eastAsia" w:ascii="宋体" w:hAnsi="宋体" w:eastAsia="宋体" w:cs="宋体"/>
                <w:sz w:val="20"/>
              </w:rPr>
              <w:t>》</w:t>
            </w:r>
          </w:p>
          <w:p>
            <w:pPr>
              <w:spacing w:before="100"/>
              <w:ind w:left="100"/>
            </w:pPr>
            <w:r>
              <w:rPr>
                <w:rFonts w:hint="eastAsia" w:ascii="宋体" w:hAnsi="宋体" w:eastAsia="宋体" w:cs="宋体"/>
                <w:sz w:val="20"/>
              </w:rPr>
              <w:t>（</w:t>
            </w:r>
            <w:r>
              <w:rPr>
                <w:rFonts w:hint="eastAsia" w:ascii="宋体" w:hAnsi="宋体" w:eastAsia="宋体" w:cs="宋体"/>
                <w:sz w:val="21"/>
              </w:rPr>
              <w:t>中证协发</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w:t>
            </w:r>
          </w:p>
          <w:p>
            <w:pPr>
              <w:spacing w:before="100"/>
              <w:ind w:left="100"/>
            </w:pPr>
            <w:r>
              <w:rPr>
                <w:rFonts w:hint="eastAsia" w:ascii="宋体" w:hAnsi="宋体" w:eastAsia="宋体" w:cs="宋体"/>
                <w:sz w:val="21"/>
              </w:rPr>
              <w:t>号</w:t>
            </w:r>
            <w:r>
              <w:rPr>
                <w:rFonts w:hint="eastAsia" w:ascii="宋体" w:hAnsi="宋体" w:eastAsia="宋体" w:cs="宋体"/>
                <w:sz w:val="20"/>
              </w:rPr>
              <w:t>）</w:t>
            </w:r>
          </w:p>
        </w:tc>
        <w:tc>
          <w:tcPr>
            <w:tcW w:w="1200" w:type="dxa"/>
            <w:tcMar>
              <w:top w:w="0" w:type="dxa"/>
              <w:left w:w="0" w:type="dxa"/>
              <w:bottom w:w="0" w:type="dxa"/>
              <w:right w:w="0" w:type="dxa"/>
            </w:tcMar>
          </w:tcPr>
          <w:p>
            <w:pPr>
              <w:spacing w:before="500"/>
              <w:ind w:left="100"/>
            </w:pPr>
            <w:r>
              <w:rPr>
                <w:rFonts w:hint="eastAsia" w:ascii="宋体" w:hAnsi="宋体" w:eastAsia="宋体" w:cs="宋体"/>
                <w:sz w:val="21"/>
              </w:rPr>
              <w:t>中国证券</w:t>
            </w:r>
          </w:p>
          <w:p>
            <w:pPr>
              <w:spacing w:before="10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证券投资顾问服务收费应向公司账户支付</w:t>
            </w:r>
            <w:r>
              <w:rPr>
                <w:rFonts w:hint="eastAsia" w:ascii="宋体" w:hAnsi="宋体" w:eastAsia="宋体" w:cs="宋体"/>
                <w:sz w:val="10"/>
              </w:rPr>
              <w:t>，</w:t>
            </w:r>
            <w:r>
              <w:rPr>
                <w:rFonts w:hint="eastAsia" w:ascii="宋体" w:hAnsi="宋体" w:eastAsia="宋体" w:cs="宋体"/>
                <w:sz w:val="21"/>
              </w:rPr>
              <w:t>不得向证券投资</w:t>
            </w:r>
          </w:p>
          <w:p>
            <w:pPr>
              <w:spacing w:before="100"/>
              <w:ind w:left="100"/>
            </w:pPr>
            <w:r>
              <w:rPr>
                <w:rFonts w:hint="eastAsia" w:ascii="宋体" w:hAnsi="宋体" w:eastAsia="宋体" w:cs="宋体"/>
                <w:sz w:val="21"/>
              </w:rPr>
              <w:t>顾问人员或其他个人账户支付</w:t>
            </w:r>
            <w:r>
              <w:rPr>
                <w:rFonts w:hint="eastAsia" w:ascii="宋体" w:hAnsi="宋体" w:eastAsia="宋体" w:cs="宋体"/>
                <w:sz w:val="10"/>
              </w:rPr>
              <w:t>。</w:t>
            </w:r>
            <w:r>
              <w:rPr>
                <w:rFonts w:hint="eastAsia" w:ascii="宋体" w:hAnsi="宋体" w:eastAsia="宋体" w:cs="宋体"/>
                <w:sz w:val="21"/>
              </w:rPr>
              <w:t>提示投资者在接受证券投资</w:t>
            </w:r>
          </w:p>
          <w:p>
            <w:pPr>
              <w:spacing w:before="80"/>
              <w:ind w:left="100"/>
            </w:pPr>
            <w:r>
              <w:rPr>
                <w:rFonts w:hint="eastAsia" w:ascii="宋体" w:hAnsi="宋体" w:eastAsia="宋体" w:cs="宋体"/>
                <w:sz w:val="21"/>
              </w:rPr>
              <w:t>顾问服务前</w:t>
            </w:r>
            <w:r>
              <w:rPr>
                <w:rFonts w:hint="eastAsia" w:ascii="宋体" w:hAnsi="宋体" w:eastAsia="宋体" w:cs="宋体"/>
                <w:sz w:val="10"/>
              </w:rPr>
              <w:t>，</w:t>
            </w:r>
            <w:r>
              <w:rPr>
                <w:rFonts w:hint="eastAsia" w:ascii="宋体" w:hAnsi="宋体" w:eastAsia="宋体" w:cs="宋体"/>
                <w:sz w:val="21"/>
              </w:rPr>
              <w:t>应向证券公司</w:t>
            </w:r>
            <w:r>
              <w:rPr>
                <w:rFonts w:hint="eastAsia" w:ascii="宋体" w:hAnsi="宋体" w:eastAsia="宋体" w:cs="宋体"/>
                <w:sz w:val="10"/>
              </w:rPr>
              <w:t>、</w:t>
            </w:r>
            <w:r>
              <w:rPr>
                <w:rFonts w:hint="eastAsia" w:ascii="宋体" w:hAnsi="宋体" w:eastAsia="宋体" w:cs="宋体"/>
                <w:sz w:val="21"/>
              </w:rPr>
              <w:t>证券投资咨询机构说明自身资</w:t>
            </w:r>
          </w:p>
          <w:p>
            <w:pPr>
              <w:spacing w:before="100"/>
              <w:ind w:left="100"/>
            </w:pPr>
            <w:r>
              <w:rPr>
                <w:rFonts w:hint="eastAsia" w:ascii="宋体" w:hAnsi="宋体" w:eastAsia="宋体" w:cs="宋体"/>
                <w:sz w:val="21"/>
              </w:rPr>
              <w:t>产与收入状况</w:t>
            </w:r>
            <w:r>
              <w:rPr>
                <w:rFonts w:hint="eastAsia" w:ascii="宋体" w:hAnsi="宋体" w:eastAsia="宋体" w:cs="宋体"/>
                <w:sz w:val="10"/>
              </w:rPr>
              <w:t>、</w:t>
            </w:r>
            <w:r>
              <w:rPr>
                <w:rFonts w:hint="eastAsia" w:ascii="宋体" w:hAnsi="宋体" w:eastAsia="宋体" w:cs="宋体"/>
                <w:sz w:val="21"/>
              </w:rPr>
              <w:t>投资经验</w:t>
            </w:r>
            <w:r>
              <w:rPr>
                <w:rFonts w:hint="eastAsia" w:ascii="宋体" w:hAnsi="宋体" w:eastAsia="宋体" w:cs="宋体"/>
                <w:sz w:val="10"/>
              </w:rPr>
              <w:t>、</w:t>
            </w:r>
            <w:r>
              <w:rPr>
                <w:rFonts w:hint="eastAsia" w:ascii="宋体" w:hAnsi="宋体" w:eastAsia="宋体" w:cs="宋体"/>
                <w:sz w:val="21"/>
              </w:rPr>
              <w:t>投资需求和风险偏好等情况并接</w:t>
            </w:r>
          </w:p>
          <w:p>
            <w:pPr>
              <w:spacing w:before="80"/>
              <w:ind w:left="100"/>
            </w:pPr>
            <w:r>
              <w:rPr>
                <w:rFonts w:hint="eastAsia" w:ascii="宋体" w:hAnsi="宋体" w:eastAsia="宋体" w:cs="宋体"/>
                <w:sz w:val="21"/>
              </w:rPr>
              <w:t>受评估</w:t>
            </w:r>
          </w:p>
        </w:tc>
      </w:tr>
      <w:tr>
        <w:trPr>
          <w:trHeight w:val="320" w:hRule="exact"/>
        </w:trPr>
        <w:tc>
          <w:tcPr>
            <w:tcW w:w="900" w:type="dxa"/>
            <w:tcMar>
              <w:top w:w="0" w:type="dxa"/>
              <w:left w:w="0" w:type="dxa"/>
              <w:bottom w:w="0" w:type="dxa"/>
              <w:right w:w="0" w:type="dxa"/>
            </w:tcMar>
          </w:tcPr>
          <w:p>
            <w:pPr>
              <w:spacing w:before="40"/>
              <w:ind w:left="100"/>
            </w:pPr>
            <w:r>
              <w:rPr>
                <w:rFonts w:hint="eastAsia" w:ascii="Times New Roman" w:hAnsi="Times New Roman" w:eastAsia="Times New Roman" w:cs="Times New Roman"/>
                <w:sz w:val="21"/>
              </w:rPr>
              <w:t>2011</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证券公司业务</w:t>
            </w:r>
            <w:r>
              <w:rPr>
                <w:rFonts w:hint="eastAsia" w:ascii="宋体" w:hAnsi="宋体" w:eastAsia="宋体" w:cs="宋体"/>
                <w:sz w:val="20"/>
              </w:rPr>
              <w:t>（</w:t>
            </w:r>
            <w:r>
              <w:rPr>
                <w:rFonts w:hint="eastAsia" w:ascii="宋体" w:hAnsi="宋体" w:eastAsia="宋体" w:cs="宋体"/>
                <w:sz w:val="21"/>
              </w:rPr>
              <w:t>产</w:t>
            </w:r>
          </w:p>
        </w:tc>
        <w:tc>
          <w:tcPr>
            <w:tcW w:w="1200" w:type="dxa"/>
            <w:tcMar>
              <w:top w:w="0" w:type="dxa"/>
              <w:left w:w="0" w:type="dxa"/>
              <w:bottom w:w="0" w:type="dxa"/>
              <w:right w:w="0" w:type="dxa"/>
            </w:tcMar>
          </w:tcPr>
          <w:p>
            <w:pPr>
              <w:spacing w:before="40"/>
              <w:ind w:left="100"/>
            </w:pPr>
            <w:r>
              <w:rPr>
                <w:rFonts w:hint="eastAsia" w:ascii="宋体" w:hAnsi="宋体" w:eastAsia="宋体" w:cs="宋体"/>
                <w:sz w:val="21"/>
              </w:rPr>
              <w:t>中国证监</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支持证券公司发挥创新主体作用</w:t>
            </w:r>
            <w:r>
              <w:rPr>
                <w:rFonts w:hint="eastAsia" w:ascii="宋体" w:hAnsi="宋体" w:eastAsia="宋体" w:cs="宋体"/>
                <w:sz w:val="10"/>
              </w:rPr>
              <w:t>，</w:t>
            </w:r>
            <w:r>
              <w:rPr>
                <w:rFonts w:hint="eastAsia" w:ascii="宋体" w:hAnsi="宋体" w:eastAsia="宋体" w:cs="宋体"/>
                <w:sz w:val="21"/>
              </w:rPr>
              <w:t>鼓励证券公司开展业务</w:t>
            </w:r>
          </w:p>
        </w:tc>
      </w:tr>
    </w:tbl>
    <w:p>
      <w:pPr>
        <w:spacing w:line="200" w:lineRule="exact"/>
        <w:rPr>
          <w:rFonts w:hint="eastAsia" w:ascii="宋体" w:hAnsi="宋体" w:eastAsia="宋体" w:cs="宋体"/>
          <w:sz w:val="20"/>
        </w:rPr>
      </w:pPr>
    </w:p>
    <w:p>
      <w:pPr>
        <w:autoSpaceDE w:val="false"/>
        <w:autoSpaceDN w:val="false"/>
        <w:spacing w:line="380" w:lineRule="exact"/>
        <w:ind w:left="5660"/>
        <w:jc w:val="both"/>
      </w:pPr>
      <w:r>
        <w:rPr>
          <w:rFonts w:hint="eastAsia" w:ascii="Times New Roman" w:hAnsi="Times New Roman" w:eastAsia="Times New Roman" w:cs="Times New Roman"/>
          <w:sz w:val="21"/>
        </w:rPr>
        <w:t>1-1-98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940" w:type="auto"/>
        <w:tblInd w:w="1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00"/>
        <w:gridCol w:w="2220"/>
        <w:gridCol w:w="1200"/>
        <w:gridCol w:w="5600"/>
      </w:tblGrid>
      <w:tr>
        <w:trPr>
          <w:trHeight w:val="640" w:hRule="exact"/>
        </w:trPr>
        <w:tc>
          <w:tcPr>
            <w:tcW w:w="900" w:type="dxa"/>
            <w:tcMar>
              <w:top w:w="0" w:type="dxa"/>
              <w:left w:w="0" w:type="dxa"/>
              <w:bottom w:w="0" w:type="dxa"/>
              <w:right w:w="0" w:type="dxa"/>
            </w:tcMar>
          </w:tcPr>
          <w:p/>
        </w:tc>
        <w:tc>
          <w:tcPr>
            <w:tcW w:w="2220" w:type="dxa"/>
            <w:tcMar>
              <w:top w:w="0" w:type="dxa"/>
              <w:left w:w="0" w:type="dxa"/>
              <w:bottom w:w="0" w:type="dxa"/>
              <w:right w:w="0" w:type="dxa"/>
            </w:tcMar>
          </w:tcPr>
          <w:p>
            <w:pPr>
              <w:spacing w:before="40"/>
              <w:ind w:left="100"/>
            </w:pPr>
            <w:r>
              <w:rPr>
                <w:rFonts w:hint="eastAsia" w:ascii="宋体" w:hAnsi="宋体" w:eastAsia="宋体" w:cs="宋体"/>
                <w:sz w:val="21"/>
              </w:rPr>
              <w:t>品</w:t>
            </w:r>
            <w:r>
              <w:rPr>
                <w:rFonts w:hint="eastAsia" w:ascii="宋体" w:hAnsi="宋体" w:eastAsia="宋体" w:cs="宋体"/>
                <w:sz w:val="20"/>
              </w:rPr>
              <w:t>）</w:t>
            </w:r>
            <w:r>
              <w:rPr>
                <w:rFonts w:hint="eastAsia" w:ascii="宋体" w:hAnsi="宋体" w:eastAsia="宋体" w:cs="宋体"/>
                <w:sz w:val="21"/>
              </w:rPr>
              <w:t>创新工作指引</w:t>
            </w:r>
            <w:r>
              <w:rPr>
                <w:rFonts w:hint="eastAsia" w:ascii="宋体" w:hAnsi="宋体" w:eastAsia="宋体" w:cs="宋体"/>
                <w:spacing w:val="-100"/>
                <w:sz w:val="20"/>
              </w:rPr>
              <w:t>》</w:t>
            </w:r>
            <w:r>
              <w:rPr>
                <w:rFonts w:hint="eastAsia" w:ascii="宋体" w:hAnsi="宋体" w:eastAsia="宋体" w:cs="宋体"/>
                <w:sz w:val="20"/>
              </w:rPr>
              <w:t>（</w:t>
            </w:r>
            <w:r>
              <w:rPr>
                <w:rFonts w:hint="eastAsia" w:ascii="宋体" w:hAnsi="宋体" w:eastAsia="宋体" w:cs="宋体"/>
                <w:sz w:val="21"/>
              </w:rPr>
              <w:t>试</w:t>
            </w:r>
          </w:p>
          <w:p>
            <w:pPr>
              <w:spacing w:before="100"/>
              <w:ind w:left="100"/>
            </w:pPr>
            <w:r>
              <w:rPr>
                <w:rFonts w:hint="eastAsia" w:ascii="宋体" w:hAnsi="宋体" w:eastAsia="宋体" w:cs="宋体"/>
                <w:sz w:val="21"/>
              </w:rPr>
              <w:t>行</w:t>
            </w:r>
            <w:r>
              <w:rPr>
                <w:rFonts w:hint="eastAsia" w:ascii="宋体" w:hAnsi="宋体" w:eastAsia="宋体" w:cs="宋体"/>
                <w:sz w:val="20"/>
              </w:rPr>
              <w:t>）</w:t>
            </w:r>
          </w:p>
        </w:tc>
        <w:tc>
          <w:tcPr>
            <w:tcW w:w="1200" w:type="dxa"/>
            <w:tcMar>
              <w:top w:w="0" w:type="dxa"/>
              <w:left w:w="0" w:type="dxa"/>
              <w:bottom w:w="0" w:type="dxa"/>
              <w:right w:w="0" w:type="dxa"/>
            </w:tcMar>
          </w:tcPr>
          <w:p>
            <w:pPr>
              <w:spacing w:before="4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产品</w:t>
            </w:r>
            <w:r>
              <w:rPr>
                <w:rFonts w:hint="eastAsia" w:ascii="宋体" w:hAnsi="宋体" w:eastAsia="宋体" w:cs="宋体"/>
                <w:sz w:val="20"/>
              </w:rPr>
              <w:t>）</w:t>
            </w:r>
            <w:r>
              <w:rPr>
                <w:rFonts w:hint="eastAsia" w:ascii="宋体" w:hAnsi="宋体" w:eastAsia="宋体" w:cs="宋体"/>
                <w:sz w:val="21"/>
              </w:rPr>
              <w:t>创新</w:t>
            </w:r>
          </w:p>
        </w:tc>
      </w:tr>
      <w:tr>
        <w:trPr>
          <w:trHeight w:val="1260" w:hRule="exact"/>
        </w:trPr>
        <w:tc>
          <w:tcPr>
            <w:tcW w:w="900" w:type="dxa"/>
            <w:vMerge w:val="restart"/>
            <w:tcMar>
              <w:top w:w="0" w:type="dxa"/>
              <w:left w:w="0" w:type="dxa"/>
              <w:bottom w:w="0" w:type="dxa"/>
              <w:right w:w="0" w:type="dxa"/>
            </w:tcMar>
          </w:tcPr>
          <w:p>
            <w:pPr>
              <w:spacing w:before="1600"/>
              <w:ind w:left="100"/>
            </w:pPr>
            <w:r>
              <w:rPr>
                <w:rFonts w:hint="eastAsia" w:ascii="Times New Roman" w:hAnsi="Times New Roman" w:eastAsia="Times New Roman" w:cs="Times New Roman"/>
                <w:sz w:val="21"/>
              </w:rPr>
              <w:t>2012</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关于推进证券公司</w:t>
            </w:r>
          </w:p>
          <w:p>
            <w:pPr>
              <w:spacing w:before="100"/>
              <w:ind w:left="100"/>
            </w:pPr>
            <w:r>
              <w:rPr>
                <w:rFonts w:hint="eastAsia" w:ascii="宋体" w:hAnsi="宋体" w:eastAsia="宋体" w:cs="宋体"/>
                <w:sz w:val="21"/>
              </w:rPr>
              <w:t>改革开放</w:t>
            </w:r>
            <w:r>
              <w:rPr>
                <w:rFonts w:hint="eastAsia" w:ascii="宋体" w:hAnsi="宋体" w:eastAsia="宋体" w:cs="宋体"/>
                <w:sz w:val="10"/>
              </w:rPr>
              <w:t>、</w:t>
            </w:r>
            <w:r>
              <w:rPr>
                <w:rFonts w:hint="eastAsia" w:ascii="宋体" w:hAnsi="宋体" w:eastAsia="宋体" w:cs="宋体"/>
                <w:sz w:val="21"/>
              </w:rPr>
              <w:t>创新发展的</w:t>
            </w:r>
          </w:p>
          <w:p>
            <w:pPr>
              <w:spacing w:before="100"/>
              <w:ind w:left="100"/>
            </w:pPr>
            <w:r>
              <w:rPr>
                <w:rFonts w:hint="eastAsia" w:ascii="宋体" w:hAnsi="宋体" w:eastAsia="宋体" w:cs="宋体"/>
                <w:sz w:val="21"/>
              </w:rPr>
              <w:t>思路与措施</w:t>
            </w:r>
            <w:r>
              <w:rPr>
                <w:rFonts w:hint="eastAsia" w:ascii="宋体" w:hAnsi="宋体" w:eastAsia="宋体" w:cs="宋体"/>
                <w:sz w:val="20"/>
              </w:rPr>
              <w:t>》（</w:t>
            </w:r>
            <w:r>
              <w:rPr>
                <w:rFonts w:hint="eastAsia" w:ascii="宋体" w:hAnsi="宋体" w:eastAsia="宋体" w:cs="宋体"/>
                <w:sz w:val="21"/>
              </w:rPr>
              <w:t>征求意</w:t>
            </w:r>
          </w:p>
          <w:p>
            <w:pPr>
              <w:spacing w:before="100"/>
              <w:ind w:left="100"/>
            </w:pPr>
            <w:r>
              <w:rPr>
                <w:rFonts w:hint="eastAsia" w:ascii="宋体" w:hAnsi="宋体" w:eastAsia="宋体" w:cs="宋体"/>
                <w:sz w:val="21"/>
              </w:rPr>
              <w:t>见稿</w:t>
            </w:r>
            <w:r>
              <w:rPr>
                <w:rFonts w:hint="eastAsia" w:ascii="宋体" w:hAnsi="宋体" w:eastAsia="宋体" w:cs="宋体"/>
                <w:sz w:val="20"/>
              </w:rPr>
              <w:t>）</w:t>
            </w:r>
          </w:p>
        </w:tc>
        <w:tc>
          <w:tcPr>
            <w:tcW w:w="1200" w:type="dxa"/>
            <w:tcMar>
              <w:top w:w="0" w:type="dxa"/>
              <w:left w:w="0" w:type="dxa"/>
              <w:bottom w:w="0" w:type="dxa"/>
              <w:right w:w="0" w:type="dxa"/>
            </w:tcMar>
          </w:tcPr>
          <w:p>
            <w:pPr>
              <w:spacing w:before="340"/>
              <w:ind w:left="100"/>
            </w:pPr>
            <w:r>
              <w:rPr>
                <w:rFonts w:hint="eastAsia" w:ascii="宋体" w:hAnsi="宋体" w:eastAsia="宋体" w:cs="宋体"/>
                <w:sz w:val="21"/>
              </w:rPr>
              <w:t>中国证监</w:t>
            </w:r>
          </w:p>
          <w:p>
            <w:pPr>
              <w:spacing w:before="10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明确了证券业下</w:t>
            </w:r>
            <w:r>
              <w:rPr>
                <w:rFonts w:hint="eastAsia" w:ascii="宋体" w:hAnsi="宋体" w:eastAsia="宋体" w:cs="宋体"/>
                <w:sz w:val="20"/>
              </w:rPr>
              <w:t>一</w:t>
            </w:r>
            <w:r>
              <w:rPr>
                <w:rFonts w:hint="eastAsia" w:ascii="宋体" w:hAnsi="宋体" w:eastAsia="宋体" w:cs="宋体"/>
                <w:sz w:val="21"/>
              </w:rPr>
              <w:t>个阶段发展的</w:t>
            </w:r>
            <w:r>
              <w:rPr>
                <w:rFonts w:hint="eastAsia" w:ascii="宋体" w:hAnsi="宋体" w:eastAsia="宋体" w:cs="宋体"/>
                <w:sz w:val="10"/>
              </w:rPr>
              <w:t>“</w:t>
            </w:r>
            <w:r>
              <w:rPr>
                <w:rFonts w:hint="eastAsia" w:ascii="宋体" w:hAnsi="宋体" w:eastAsia="宋体" w:cs="宋体"/>
                <w:sz w:val="21"/>
              </w:rPr>
              <w:t>路径图</w:t>
            </w:r>
            <w:r>
              <w:rPr>
                <w:rFonts w:hint="eastAsia" w:ascii="宋体" w:hAnsi="宋体" w:eastAsia="宋体" w:cs="宋体"/>
                <w:sz w:val="10"/>
              </w:rPr>
              <w:t>”，</w:t>
            </w:r>
            <w:r>
              <w:rPr>
                <w:rFonts w:hint="eastAsia" w:ascii="宋体" w:hAnsi="宋体" w:eastAsia="宋体" w:cs="宋体"/>
                <w:sz w:val="21"/>
              </w:rPr>
              <w:t>从十</w:t>
            </w:r>
            <w:r>
              <w:rPr>
                <w:rFonts w:hint="eastAsia" w:ascii="宋体" w:hAnsi="宋体" w:eastAsia="宋体" w:cs="宋体"/>
                <w:sz w:val="20"/>
              </w:rPr>
              <w:t>一</w:t>
            </w:r>
            <w:r>
              <w:rPr>
                <w:rFonts w:hint="eastAsia" w:ascii="宋体" w:hAnsi="宋体" w:eastAsia="宋体" w:cs="宋体"/>
                <w:sz w:val="21"/>
              </w:rPr>
              <w:t>个方面</w:t>
            </w:r>
          </w:p>
          <w:p>
            <w:pPr>
              <w:spacing w:before="100"/>
              <w:ind w:left="100"/>
            </w:pPr>
            <w:r>
              <w:rPr>
                <w:rFonts w:hint="eastAsia" w:ascii="宋体" w:hAnsi="宋体" w:eastAsia="宋体" w:cs="宋体"/>
                <w:sz w:val="21"/>
              </w:rPr>
              <w:t>出台措施支持行业创新</w:t>
            </w:r>
            <w:r>
              <w:rPr>
                <w:rFonts w:hint="eastAsia" w:ascii="宋体" w:hAnsi="宋体" w:eastAsia="宋体" w:cs="宋体"/>
                <w:sz w:val="10"/>
              </w:rPr>
              <w:t>：</w:t>
            </w:r>
            <w:r>
              <w:rPr>
                <w:rFonts w:hint="eastAsia" w:ascii="宋体" w:hAnsi="宋体" w:eastAsia="宋体" w:cs="宋体"/>
                <w:sz w:val="21"/>
              </w:rPr>
              <w:t>提高证券公司理财类产品创新能</w:t>
            </w:r>
          </w:p>
          <w:p>
            <w:pPr>
              <w:spacing w:before="100"/>
              <w:ind w:left="100"/>
            </w:pPr>
            <w:r>
              <w:rPr>
                <w:rFonts w:hint="eastAsia" w:ascii="宋体" w:hAnsi="宋体" w:eastAsia="宋体" w:cs="宋体"/>
                <w:sz w:val="21"/>
              </w:rPr>
              <w:t>力</w:t>
            </w:r>
            <w:r>
              <w:rPr>
                <w:rFonts w:hint="eastAsia" w:ascii="宋体" w:hAnsi="宋体" w:eastAsia="宋体" w:cs="宋体"/>
                <w:sz w:val="12"/>
              </w:rPr>
              <w:t>；</w:t>
            </w:r>
            <w:r>
              <w:rPr>
                <w:rFonts w:hint="eastAsia" w:ascii="宋体" w:hAnsi="宋体" w:eastAsia="宋体" w:cs="宋体"/>
                <w:sz w:val="21"/>
              </w:rPr>
              <w:t>加快新产品新业务创新进程</w:t>
            </w:r>
            <w:r>
              <w:rPr>
                <w:rFonts w:hint="eastAsia" w:ascii="宋体" w:hAnsi="宋体" w:eastAsia="宋体" w:cs="宋体"/>
                <w:sz w:val="12"/>
              </w:rPr>
              <w:t>；</w:t>
            </w:r>
            <w:r>
              <w:rPr>
                <w:rFonts w:hint="eastAsia" w:ascii="宋体" w:hAnsi="宋体" w:eastAsia="宋体" w:cs="宋体"/>
                <w:sz w:val="21"/>
              </w:rPr>
              <w:t>放宽业务范围和投资方式</w:t>
            </w:r>
          </w:p>
          <w:p>
            <w:pPr>
              <w:spacing w:before="80"/>
              <w:ind w:left="100"/>
            </w:pPr>
            <w:r>
              <w:rPr>
                <w:rFonts w:hint="eastAsia" w:ascii="宋体" w:hAnsi="宋体" w:eastAsia="宋体" w:cs="宋体"/>
                <w:sz w:val="21"/>
              </w:rPr>
              <w:t>限制等</w:t>
            </w:r>
          </w:p>
        </w:tc>
      </w:tr>
      <w:tr>
        <w:trPr>
          <w:trHeight w:val="126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180"/>
              <w:ind w:left="100"/>
            </w:pPr>
            <w:r>
              <w:rPr>
                <w:rFonts w:hint="eastAsia" w:ascii="宋体" w:hAnsi="宋体" w:eastAsia="宋体" w:cs="宋体"/>
                <w:sz w:val="20"/>
              </w:rPr>
              <w:t>《</w:t>
            </w:r>
            <w:r>
              <w:rPr>
                <w:rFonts w:hint="eastAsia" w:ascii="宋体" w:hAnsi="宋体" w:eastAsia="宋体" w:cs="宋体"/>
                <w:sz w:val="21"/>
              </w:rPr>
              <w:t>证券期货业信息安</w:t>
            </w:r>
          </w:p>
          <w:p>
            <w:pPr>
              <w:spacing w:before="100"/>
              <w:ind w:left="100"/>
            </w:pPr>
            <w:r>
              <w:rPr>
                <w:rFonts w:hint="eastAsia" w:ascii="宋体" w:hAnsi="宋体" w:eastAsia="宋体" w:cs="宋体"/>
                <w:sz w:val="21"/>
              </w:rPr>
              <w:t>全保障管理办法</w:t>
            </w:r>
            <w:r>
              <w:rPr>
                <w:rFonts w:hint="eastAsia" w:ascii="宋体" w:hAnsi="宋体" w:eastAsia="宋体" w:cs="宋体"/>
                <w:sz w:val="20"/>
              </w:rPr>
              <w:t>》（</w:t>
            </w:r>
            <w:r>
              <w:rPr>
                <w:rFonts w:hint="eastAsia" w:ascii="宋体" w:hAnsi="宋体" w:eastAsia="宋体" w:cs="宋体"/>
                <w:sz w:val="21"/>
              </w:rPr>
              <w:t>证</w:t>
            </w:r>
          </w:p>
          <w:p>
            <w:pPr>
              <w:spacing w:before="80"/>
              <w:ind w:left="100"/>
            </w:pPr>
            <w:r>
              <w:rPr>
                <w:rFonts w:hint="eastAsia" w:ascii="宋体" w:hAnsi="宋体" w:eastAsia="宋体" w:cs="宋体"/>
                <w:sz w:val="21"/>
              </w:rPr>
              <w:t>监会令第</w:t>
            </w:r>
            <w:r>
              <w:rPr>
                <w:rFonts w:hint="eastAsia" w:ascii="Times New Roman" w:hAnsi="Times New Roman" w:eastAsia="Times New Roman" w:cs="Times New Roman"/>
                <w:sz w:val="21"/>
              </w:rPr>
              <w:t xml:space="preserve"> 82</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340"/>
              <w:ind w:left="100"/>
            </w:pPr>
            <w:r>
              <w:rPr>
                <w:rFonts w:hint="eastAsia" w:ascii="宋体" w:hAnsi="宋体" w:eastAsia="宋体" w:cs="宋体"/>
                <w:sz w:val="21"/>
              </w:rPr>
              <w:t>中国证监</w:t>
            </w:r>
          </w:p>
          <w:p>
            <w:pPr>
              <w:spacing w:before="8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20"/>
              <w:ind w:left="100"/>
            </w:pPr>
            <w:r>
              <w:rPr>
                <w:rFonts w:hint="eastAsia" w:ascii="宋体" w:hAnsi="宋体" w:eastAsia="宋体" w:cs="宋体"/>
                <w:sz w:val="21"/>
              </w:rPr>
              <w:t>证券期货业信息安全保障的责任主体应当执行国家信息安</w:t>
            </w:r>
          </w:p>
          <w:p>
            <w:pPr>
              <w:spacing w:before="100"/>
              <w:ind w:left="100"/>
            </w:pPr>
            <w:r>
              <w:rPr>
                <w:rFonts w:hint="eastAsia" w:ascii="宋体" w:hAnsi="宋体" w:eastAsia="宋体" w:cs="宋体"/>
                <w:sz w:val="21"/>
              </w:rPr>
              <w:t>全相关法律</w:t>
            </w:r>
            <w:r>
              <w:rPr>
                <w:rFonts w:hint="eastAsia" w:ascii="宋体" w:hAnsi="宋体" w:eastAsia="宋体" w:cs="宋体"/>
                <w:sz w:val="10"/>
              </w:rPr>
              <w:t>、</w:t>
            </w:r>
            <w:r>
              <w:rPr>
                <w:rFonts w:hint="eastAsia" w:ascii="宋体" w:hAnsi="宋体" w:eastAsia="宋体" w:cs="宋体"/>
                <w:sz w:val="21"/>
              </w:rPr>
              <w:t>行政法规和行业相关技术管理规定</w:t>
            </w:r>
            <w:r>
              <w:rPr>
                <w:rFonts w:hint="eastAsia" w:ascii="宋体" w:hAnsi="宋体" w:eastAsia="宋体" w:cs="宋体"/>
                <w:sz w:val="10"/>
              </w:rPr>
              <w:t>、</w:t>
            </w:r>
            <w:r>
              <w:rPr>
                <w:rFonts w:hint="eastAsia" w:ascii="宋体" w:hAnsi="宋体" w:eastAsia="宋体" w:cs="宋体"/>
                <w:sz w:val="21"/>
              </w:rPr>
              <w:t>技术规则</w:t>
            </w:r>
            <w:r>
              <w:rPr>
                <w:rFonts w:hint="eastAsia" w:ascii="宋体" w:hAnsi="宋体" w:eastAsia="宋体" w:cs="宋体"/>
                <w:sz w:val="10"/>
              </w:rPr>
              <w:t>、</w:t>
            </w:r>
          </w:p>
          <w:p>
            <w:pPr>
              <w:spacing w:before="80"/>
              <w:ind w:left="100"/>
            </w:pPr>
            <w:r>
              <w:rPr>
                <w:rFonts w:hint="eastAsia" w:ascii="宋体" w:hAnsi="宋体" w:eastAsia="宋体" w:cs="宋体"/>
                <w:sz w:val="21"/>
              </w:rPr>
              <w:t>技术指引和技术标准</w:t>
            </w:r>
            <w:r>
              <w:rPr>
                <w:rFonts w:hint="eastAsia" w:ascii="宋体" w:hAnsi="宋体" w:eastAsia="宋体" w:cs="宋体"/>
                <w:sz w:val="10"/>
              </w:rPr>
              <w:t>，</w:t>
            </w:r>
            <w:r>
              <w:rPr>
                <w:rFonts w:hint="eastAsia" w:ascii="宋体" w:hAnsi="宋体" w:eastAsia="宋体" w:cs="宋体"/>
                <w:sz w:val="21"/>
              </w:rPr>
              <w:t>开展信息安全工作</w:t>
            </w:r>
            <w:r>
              <w:rPr>
                <w:rFonts w:hint="eastAsia" w:ascii="宋体" w:hAnsi="宋体" w:eastAsia="宋体" w:cs="宋体"/>
                <w:sz w:val="10"/>
              </w:rPr>
              <w:t>，</w:t>
            </w:r>
            <w:r>
              <w:rPr>
                <w:rFonts w:hint="eastAsia" w:ascii="宋体" w:hAnsi="宋体" w:eastAsia="宋体" w:cs="宋体"/>
                <w:sz w:val="21"/>
              </w:rPr>
              <w:t>保护投资者交易</w:t>
            </w:r>
          </w:p>
          <w:p>
            <w:pPr>
              <w:spacing w:before="100"/>
              <w:ind w:left="100"/>
            </w:pPr>
            <w:r>
              <w:rPr>
                <w:rFonts w:hint="eastAsia" w:ascii="宋体" w:hAnsi="宋体" w:eastAsia="宋体" w:cs="宋体"/>
                <w:sz w:val="21"/>
              </w:rPr>
              <w:t>安全和数据安全</w:t>
            </w:r>
            <w:r>
              <w:rPr>
                <w:rFonts w:hint="eastAsia" w:ascii="宋体" w:hAnsi="宋体" w:eastAsia="宋体" w:cs="宋体"/>
                <w:sz w:val="10"/>
              </w:rPr>
              <w:t>，</w:t>
            </w:r>
            <w:r>
              <w:rPr>
                <w:rFonts w:hint="eastAsia" w:ascii="宋体" w:hAnsi="宋体" w:eastAsia="宋体" w:cs="宋体"/>
                <w:sz w:val="21"/>
              </w:rPr>
              <w:t>并对本机构信息系统安全运行承担责任</w:t>
            </w:r>
          </w:p>
        </w:tc>
      </w:tr>
      <w:tr>
        <w:trPr>
          <w:trHeight w:val="94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180"/>
              <w:ind w:left="100"/>
            </w:pPr>
            <w:r>
              <w:rPr>
                <w:rFonts w:hint="eastAsia" w:ascii="宋体" w:hAnsi="宋体" w:eastAsia="宋体" w:cs="宋体"/>
                <w:sz w:val="20"/>
              </w:rPr>
              <w:t>《</w:t>
            </w:r>
            <w:r>
              <w:rPr>
                <w:rFonts w:hint="eastAsia" w:ascii="宋体" w:hAnsi="宋体" w:eastAsia="宋体" w:cs="宋体"/>
                <w:sz w:val="21"/>
              </w:rPr>
              <w:t>证券公司证券营业</w:t>
            </w:r>
          </w:p>
          <w:p>
            <w:pPr>
              <w:spacing w:before="100"/>
              <w:ind w:left="100"/>
            </w:pPr>
            <w:r>
              <w:rPr>
                <w:rFonts w:hint="eastAsia" w:ascii="宋体" w:hAnsi="宋体" w:eastAsia="宋体" w:cs="宋体"/>
                <w:sz w:val="21"/>
              </w:rPr>
              <w:t>部信息技术指引</w:t>
            </w:r>
            <w:r>
              <w:rPr>
                <w:rFonts w:hint="eastAsia" w:ascii="宋体" w:hAnsi="宋体" w:eastAsia="宋体" w:cs="宋体"/>
                <w:sz w:val="20"/>
              </w:rPr>
              <w:t>》</w:t>
            </w:r>
          </w:p>
        </w:tc>
        <w:tc>
          <w:tcPr>
            <w:tcW w:w="1200" w:type="dxa"/>
            <w:tcMar>
              <w:top w:w="0" w:type="dxa"/>
              <w:left w:w="0" w:type="dxa"/>
              <w:bottom w:w="0" w:type="dxa"/>
              <w:right w:w="0" w:type="dxa"/>
            </w:tcMar>
          </w:tcPr>
          <w:p>
            <w:pPr>
              <w:spacing w:before="180"/>
              <w:ind w:left="100"/>
            </w:pPr>
            <w:r>
              <w:rPr>
                <w:rFonts w:hint="eastAsia" w:ascii="宋体" w:hAnsi="宋体" w:eastAsia="宋体" w:cs="宋体"/>
                <w:sz w:val="21"/>
              </w:rPr>
              <w:t>中国证券</w:t>
            </w:r>
          </w:p>
          <w:p>
            <w:pPr>
              <w:spacing w:before="10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20"/>
              <w:ind w:left="100"/>
            </w:pPr>
            <w:r>
              <w:rPr>
                <w:rFonts w:hint="eastAsia" w:ascii="宋体" w:hAnsi="宋体" w:eastAsia="宋体" w:cs="宋体"/>
                <w:sz w:val="21"/>
              </w:rPr>
              <w:t>证券公司应全面负责证券营业部信息技术管理</w:t>
            </w:r>
            <w:r>
              <w:rPr>
                <w:rFonts w:hint="eastAsia" w:ascii="宋体" w:hAnsi="宋体" w:eastAsia="宋体" w:cs="宋体"/>
                <w:sz w:val="10"/>
              </w:rPr>
              <w:t>，</w:t>
            </w:r>
            <w:r>
              <w:rPr>
                <w:rFonts w:hint="eastAsia" w:ascii="宋体" w:hAnsi="宋体" w:eastAsia="宋体" w:cs="宋体"/>
                <w:sz w:val="21"/>
              </w:rPr>
              <w:t>统</w:t>
            </w:r>
            <w:r>
              <w:rPr>
                <w:rFonts w:hint="eastAsia" w:ascii="宋体" w:hAnsi="宋体" w:eastAsia="宋体" w:cs="宋体"/>
                <w:sz w:val="20"/>
              </w:rPr>
              <w:t>一</w:t>
            </w:r>
            <w:r>
              <w:rPr>
                <w:rFonts w:hint="eastAsia" w:ascii="宋体" w:hAnsi="宋体" w:eastAsia="宋体" w:cs="宋体"/>
                <w:sz w:val="21"/>
              </w:rPr>
              <w:t>制定证</w:t>
            </w:r>
          </w:p>
          <w:p>
            <w:pPr>
              <w:spacing w:before="100"/>
              <w:ind w:left="100"/>
            </w:pPr>
            <w:r>
              <w:rPr>
                <w:rFonts w:hint="eastAsia" w:ascii="宋体" w:hAnsi="宋体" w:eastAsia="宋体" w:cs="宋体"/>
                <w:sz w:val="21"/>
              </w:rPr>
              <w:t>券营业部信息技术建设</w:t>
            </w:r>
            <w:r>
              <w:rPr>
                <w:rFonts w:hint="eastAsia" w:ascii="宋体" w:hAnsi="宋体" w:eastAsia="宋体" w:cs="宋体"/>
                <w:sz w:val="10"/>
              </w:rPr>
              <w:t>、</w:t>
            </w:r>
            <w:r>
              <w:rPr>
                <w:rFonts w:hint="eastAsia" w:ascii="宋体" w:hAnsi="宋体" w:eastAsia="宋体" w:cs="宋体"/>
                <w:sz w:val="21"/>
              </w:rPr>
              <w:t>运维</w:t>
            </w:r>
            <w:r>
              <w:rPr>
                <w:rFonts w:hint="eastAsia" w:ascii="宋体" w:hAnsi="宋体" w:eastAsia="宋体" w:cs="宋体"/>
                <w:sz w:val="10"/>
              </w:rPr>
              <w:t>、</w:t>
            </w:r>
            <w:r>
              <w:rPr>
                <w:rFonts w:hint="eastAsia" w:ascii="宋体" w:hAnsi="宋体" w:eastAsia="宋体" w:cs="宋体"/>
                <w:sz w:val="21"/>
              </w:rPr>
              <w:t>安全等管理制度</w:t>
            </w:r>
            <w:r>
              <w:rPr>
                <w:rFonts w:hint="eastAsia" w:ascii="宋体" w:hAnsi="宋体" w:eastAsia="宋体" w:cs="宋体"/>
                <w:sz w:val="10"/>
              </w:rPr>
              <w:t>，</w:t>
            </w:r>
            <w:r>
              <w:rPr>
                <w:rFonts w:hint="eastAsia" w:ascii="宋体" w:hAnsi="宋体" w:eastAsia="宋体" w:cs="宋体"/>
                <w:sz w:val="21"/>
              </w:rPr>
              <w:t>并督促证</w:t>
            </w:r>
          </w:p>
          <w:p>
            <w:pPr>
              <w:spacing w:before="80"/>
              <w:ind w:left="100"/>
            </w:pPr>
            <w:r>
              <w:rPr>
                <w:rFonts w:hint="eastAsia" w:ascii="宋体" w:hAnsi="宋体" w:eastAsia="宋体" w:cs="宋体"/>
                <w:sz w:val="21"/>
              </w:rPr>
              <w:t>券营业部有效执行</w:t>
            </w:r>
          </w:p>
        </w:tc>
      </w:tr>
      <w:tr>
        <w:trPr>
          <w:trHeight w:val="640" w:hRule="exact"/>
        </w:trPr>
        <w:tc>
          <w:tcPr>
            <w:tcW w:w="900" w:type="dxa"/>
            <w:vMerge w:val="restart"/>
            <w:tcMar>
              <w:top w:w="0" w:type="dxa"/>
              <w:left w:w="0" w:type="dxa"/>
              <w:bottom w:w="0" w:type="dxa"/>
              <w:right w:w="0" w:type="dxa"/>
            </w:tcMar>
          </w:tcPr>
          <w:p>
            <w:pPr>
              <w:spacing w:before="1140"/>
              <w:ind w:left="100"/>
            </w:pPr>
            <w:r>
              <w:rPr>
                <w:rFonts w:hint="eastAsia" w:ascii="Times New Roman" w:hAnsi="Times New Roman" w:eastAsia="Times New Roman" w:cs="Times New Roman"/>
                <w:sz w:val="21"/>
              </w:rPr>
              <w:t>2013</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证券公司开立客户</w:t>
            </w:r>
          </w:p>
          <w:p>
            <w:pPr>
              <w:spacing w:before="100"/>
              <w:ind w:left="100"/>
            </w:pPr>
            <w:r>
              <w:rPr>
                <w:rFonts w:hint="eastAsia" w:ascii="宋体" w:hAnsi="宋体" w:eastAsia="宋体" w:cs="宋体"/>
                <w:sz w:val="21"/>
              </w:rPr>
              <w:t>账户规范</w:t>
            </w:r>
            <w:r>
              <w:rPr>
                <w:rFonts w:hint="eastAsia" w:ascii="宋体" w:hAnsi="宋体" w:eastAsia="宋体" w:cs="宋体"/>
                <w:sz w:val="20"/>
              </w:rPr>
              <w:t>》</w:t>
            </w:r>
          </w:p>
        </w:tc>
        <w:tc>
          <w:tcPr>
            <w:tcW w:w="1200" w:type="dxa"/>
            <w:tcMar>
              <w:top w:w="0" w:type="dxa"/>
              <w:left w:w="0" w:type="dxa"/>
              <w:bottom w:w="0" w:type="dxa"/>
              <w:right w:w="0" w:type="dxa"/>
            </w:tcMar>
          </w:tcPr>
          <w:p>
            <w:pPr>
              <w:spacing w:before="40"/>
              <w:ind w:left="100"/>
            </w:pPr>
            <w:r>
              <w:rPr>
                <w:rFonts w:hint="eastAsia" w:ascii="宋体" w:hAnsi="宋体" w:eastAsia="宋体" w:cs="宋体"/>
                <w:sz w:val="21"/>
              </w:rPr>
              <w:t>中国证券</w:t>
            </w:r>
          </w:p>
          <w:p>
            <w:pPr>
              <w:spacing w:before="8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证券公司可以在经营场所内为客户现场开立账户</w:t>
            </w:r>
            <w:r>
              <w:rPr>
                <w:rFonts w:hint="eastAsia" w:ascii="宋体" w:hAnsi="宋体" w:eastAsia="宋体" w:cs="宋体"/>
                <w:sz w:val="10"/>
              </w:rPr>
              <w:t>，</w:t>
            </w:r>
            <w:r>
              <w:rPr>
                <w:rFonts w:hint="eastAsia" w:ascii="宋体" w:hAnsi="宋体" w:eastAsia="宋体" w:cs="宋体"/>
                <w:sz w:val="21"/>
              </w:rPr>
              <w:t>也可以通</w:t>
            </w:r>
          </w:p>
          <w:p>
            <w:pPr>
              <w:spacing w:before="80"/>
              <w:ind w:left="100"/>
            </w:pPr>
            <w:r>
              <w:rPr>
                <w:rFonts w:hint="eastAsia" w:ascii="宋体" w:hAnsi="宋体" w:eastAsia="宋体" w:cs="宋体"/>
                <w:sz w:val="21"/>
              </w:rPr>
              <w:t>过见证</w:t>
            </w:r>
            <w:r>
              <w:rPr>
                <w:rFonts w:hint="eastAsia" w:ascii="宋体" w:hAnsi="宋体" w:eastAsia="宋体" w:cs="宋体"/>
                <w:sz w:val="10"/>
              </w:rPr>
              <w:t>、</w:t>
            </w:r>
            <w:r>
              <w:rPr>
                <w:rFonts w:hint="eastAsia" w:ascii="宋体" w:hAnsi="宋体" w:eastAsia="宋体" w:cs="宋体"/>
                <w:sz w:val="21"/>
              </w:rPr>
              <w:t>网上及中国证监会认可的其他方式为客户开立账户</w:t>
            </w:r>
          </w:p>
        </w:tc>
      </w:tr>
      <w:tr>
        <w:trPr>
          <w:trHeight w:val="94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证券公司创新业务</w:t>
            </w:r>
          </w:p>
          <w:p>
            <w:pPr>
              <w:spacing w:before="100"/>
              <w:ind w:left="100"/>
            </w:pPr>
            <w:r>
              <w:rPr>
                <w:rFonts w:hint="eastAsia" w:ascii="宋体" w:hAnsi="宋体" w:eastAsia="宋体" w:cs="宋体"/>
                <w:sz w:val="20"/>
              </w:rPr>
              <w:t>（</w:t>
            </w:r>
            <w:r>
              <w:rPr>
                <w:rFonts w:hint="eastAsia" w:ascii="宋体" w:hAnsi="宋体" w:eastAsia="宋体" w:cs="宋体"/>
                <w:sz w:val="21"/>
              </w:rPr>
              <w:t>产品</w:t>
            </w:r>
            <w:r>
              <w:rPr>
                <w:rFonts w:hint="eastAsia" w:ascii="宋体" w:hAnsi="宋体" w:eastAsia="宋体" w:cs="宋体"/>
                <w:sz w:val="20"/>
              </w:rPr>
              <w:t>）</w:t>
            </w:r>
            <w:r>
              <w:rPr>
                <w:rFonts w:hint="eastAsia" w:ascii="宋体" w:hAnsi="宋体" w:eastAsia="宋体" w:cs="宋体"/>
                <w:sz w:val="21"/>
              </w:rPr>
              <w:t>专业评价工作</w:t>
            </w:r>
          </w:p>
          <w:p>
            <w:pPr>
              <w:spacing w:before="100"/>
              <w:ind w:left="100"/>
            </w:pPr>
            <w:r>
              <w:rPr>
                <w:rFonts w:hint="eastAsia" w:ascii="宋体" w:hAnsi="宋体" w:eastAsia="宋体" w:cs="宋体"/>
                <w:sz w:val="21"/>
              </w:rPr>
              <w:t>指引</w:t>
            </w:r>
            <w:r>
              <w:rPr>
                <w:rFonts w:hint="eastAsia" w:ascii="宋体" w:hAnsi="宋体" w:eastAsia="宋体" w:cs="宋体"/>
                <w:sz w:val="20"/>
              </w:rPr>
              <w:t>》</w:t>
            </w:r>
          </w:p>
        </w:tc>
        <w:tc>
          <w:tcPr>
            <w:tcW w:w="1200" w:type="dxa"/>
            <w:tcMar>
              <w:top w:w="0" w:type="dxa"/>
              <w:left w:w="0" w:type="dxa"/>
              <w:bottom w:w="0" w:type="dxa"/>
              <w:right w:w="0" w:type="dxa"/>
            </w:tcMar>
          </w:tcPr>
          <w:p>
            <w:pPr>
              <w:spacing w:before="180"/>
              <w:ind w:left="100"/>
            </w:pPr>
            <w:r>
              <w:rPr>
                <w:rFonts w:hint="eastAsia" w:ascii="宋体" w:hAnsi="宋体" w:eastAsia="宋体" w:cs="宋体"/>
                <w:sz w:val="21"/>
              </w:rPr>
              <w:t>中国证券</w:t>
            </w:r>
          </w:p>
          <w:p>
            <w:pPr>
              <w:spacing w:before="10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20"/>
              <w:ind w:left="100"/>
            </w:pPr>
            <w:r>
              <w:rPr>
                <w:rFonts w:hint="eastAsia" w:ascii="宋体" w:hAnsi="宋体" w:eastAsia="宋体" w:cs="宋体"/>
                <w:sz w:val="21"/>
              </w:rPr>
              <w:t>协会根据证券公司自律管理需要</w:t>
            </w:r>
            <w:r>
              <w:rPr>
                <w:rFonts w:hint="eastAsia" w:ascii="宋体" w:hAnsi="宋体" w:eastAsia="宋体" w:cs="宋体"/>
                <w:sz w:val="10"/>
              </w:rPr>
              <w:t>，</w:t>
            </w:r>
            <w:r>
              <w:rPr>
                <w:rFonts w:hint="eastAsia" w:ascii="宋体" w:hAnsi="宋体" w:eastAsia="宋体" w:cs="宋体"/>
                <w:sz w:val="21"/>
              </w:rPr>
              <w:t>组织专家对证券公司创新</w:t>
            </w:r>
          </w:p>
          <w:p>
            <w:pPr>
              <w:spacing w:before="100"/>
              <w:ind w:left="100"/>
            </w:pPr>
            <w:r>
              <w:rPr>
                <w:rFonts w:hint="eastAsia" w:ascii="宋体" w:hAnsi="宋体" w:eastAsia="宋体" w:cs="宋体"/>
                <w:sz w:val="21"/>
              </w:rPr>
              <w:t>业务</w:t>
            </w:r>
            <w:r>
              <w:rPr>
                <w:rFonts w:hint="eastAsia" w:ascii="宋体" w:hAnsi="宋体" w:eastAsia="宋体" w:cs="宋体"/>
                <w:sz w:val="20"/>
              </w:rPr>
              <w:t>（</w:t>
            </w:r>
            <w:r>
              <w:rPr>
                <w:rFonts w:hint="eastAsia" w:ascii="宋体" w:hAnsi="宋体" w:eastAsia="宋体" w:cs="宋体"/>
                <w:sz w:val="21"/>
              </w:rPr>
              <w:t>产品</w:t>
            </w:r>
            <w:r>
              <w:rPr>
                <w:rFonts w:hint="eastAsia" w:ascii="宋体" w:hAnsi="宋体" w:eastAsia="宋体" w:cs="宋体"/>
                <w:sz w:val="20"/>
              </w:rPr>
              <w:t>）</w:t>
            </w:r>
            <w:r>
              <w:rPr>
                <w:rFonts w:hint="eastAsia" w:ascii="宋体" w:hAnsi="宋体" w:eastAsia="宋体" w:cs="宋体"/>
                <w:sz w:val="21"/>
              </w:rPr>
              <w:t>方案进行专业论证</w:t>
            </w:r>
            <w:r>
              <w:rPr>
                <w:rFonts w:hint="eastAsia" w:ascii="宋体" w:hAnsi="宋体" w:eastAsia="宋体" w:cs="宋体"/>
                <w:sz w:val="10"/>
              </w:rPr>
              <w:t>，</w:t>
            </w:r>
            <w:r>
              <w:rPr>
                <w:rFonts w:hint="eastAsia" w:ascii="宋体" w:hAnsi="宋体" w:eastAsia="宋体" w:cs="宋体"/>
                <w:sz w:val="21"/>
              </w:rPr>
              <w:t>评价其合规性</w:t>
            </w:r>
            <w:r>
              <w:rPr>
                <w:rFonts w:hint="eastAsia" w:ascii="宋体" w:hAnsi="宋体" w:eastAsia="宋体" w:cs="宋体"/>
                <w:sz w:val="10"/>
              </w:rPr>
              <w:t>、</w:t>
            </w:r>
            <w:r>
              <w:rPr>
                <w:rFonts w:hint="eastAsia" w:ascii="宋体" w:hAnsi="宋体" w:eastAsia="宋体" w:cs="宋体"/>
                <w:sz w:val="21"/>
              </w:rPr>
              <w:t>有效性和</w:t>
            </w:r>
          </w:p>
          <w:p>
            <w:pPr>
              <w:spacing w:before="80"/>
              <w:ind w:left="100"/>
            </w:pPr>
            <w:r>
              <w:rPr>
                <w:rFonts w:hint="eastAsia" w:ascii="宋体" w:hAnsi="宋体" w:eastAsia="宋体" w:cs="宋体"/>
                <w:sz w:val="21"/>
              </w:rPr>
              <w:t>可行性</w:t>
            </w:r>
          </w:p>
        </w:tc>
      </w:tr>
      <w:tr>
        <w:trPr>
          <w:trHeight w:val="94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0"/>
              <w:ind w:left="100"/>
            </w:pPr>
            <w:r>
              <w:rPr>
                <w:rFonts w:hint="eastAsia" w:ascii="宋体" w:hAnsi="宋体" w:eastAsia="宋体" w:cs="宋体"/>
                <w:sz w:val="20"/>
              </w:rPr>
              <w:t>《</w:t>
            </w:r>
            <w:r>
              <w:rPr>
                <w:rFonts w:hint="eastAsia" w:ascii="宋体" w:hAnsi="宋体" w:eastAsia="宋体" w:cs="宋体"/>
                <w:sz w:val="21"/>
              </w:rPr>
              <w:t>银行业金融机构外</w:t>
            </w:r>
          </w:p>
          <w:p>
            <w:pPr>
              <w:spacing w:before="100"/>
              <w:ind w:left="100"/>
            </w:pPr>
            <w:r>
              <w:rPr>
                <w:rFonts w:hint="eastAsia" w:ascii="宋体" w:hAnsi="宋体" w:eastAsia="宋体" w:cs="宋体"/>
                <w:sz w:val="21"/>
              </w:rPr>
              <w:t>包风险管理指引</w:t>
            </w:r>
            <w:r>
              <w:rPr>
                <w:rFonts w:hint="eastAsia" w:ascii="宋体" w:hAnsi="宋体" w:eastAsia="宋体" w:cs="宋体"/>
                <w:sz w:val="20"/>
              </w:rPr>
              <w:t>》</w:t>
            </w:r>
          </w:p>
        </w:tc>
        <w:tc>
          <w:tcPr>
            <w:tcW w:w="1200" w:type="dxa"/>
            <w:tcMar>
              <w:top w:w="0" w:type="dxa"/>
              <w:left w:w="0" w:type="dxa"/>
              <w:bottom w:w="0" w:type="dxa"/>
              <w:right w:w="0" w:type="dxa"/>
            </w:tcMar>
          </w:tcPr>
          <w:p>
            <w:pPr>
              <w:spacing w:before="20"/>
              <w:ind w:left="100"/>
            </w:pPr>
            <w:r>
              <w:rPr>
                <w:rFonts w:hint="eastAsia" w:ascii="宋体" w:hAnsi="宋体" w:eastAsia="宋体" w:cs="宋体"/>
                <w:sz w:val="21"/>
              </w:rPr>
              <w:t>中国银行</w:t>
            </w:r>
          </w:p>
          <w:p>
            <w:pPr>
              <w:spacing w:before="100"/>
              <w:ind w:left="100"/>
            </w:pPr>
            <w:r>
              <w:rPr>
                <w:rFonts w:hint="eastAsia" w:ascii="宋体" w:hAnsi="宋体" w:eastAsia="宋体" w:cs="宋体"/>
                <w:sz w:val="21"/>
              </w:rPr>
              <w:t>业监督管</w:t>
            </w:r>
          </w:p>
          <w:p>
            <w:pPr>
              <w:spacing w:before="100"/>
              <w:ind w:left="100"/>
            </w:pPr>
            <w:r>
              <w:rPr>
                <w:rFonts w:hint="eastAsia" w:ascii="宋体" w:hAnsi="宋体" w:eastAsia="宋体" w:cs="宋体"/>
                <w:sz w:val="21"/>
              </w:rPr>
              <w:t>理委员会</w:t>
            </w:r>
          </w:p>
        </w:tc>
        <w:tc>
          <w:tcPr>
            <w:tcW w:w="5600" w:type="dxa"/>
            <w:tcMar>
              <w:top w:w="0" w:type="dxa"/>
              <w:left w:w="0" w:type="dxa"/>
              <w:bottom w:w="0" w:type="dxa"/>
              <w:right w:w="0" w:type="dxa"/>
            </w:tcMar>
          </w:tcPr>
          <w:p>
            <w:pPr>
              <w:spacing w:before="180"/>
              <w:ind w:left="100"/>
            </w:pPr>
            <w:r>
              <w:rPr>
                <w:rFonts w:hint="eastAsia" w:ascii="宋体" w:hAnsi="宋体" w:eastAsia="宋体" w:cs="宋体"/>
                <w:sz w:val="21"/>
              </w:rPr>
              <w:t>规范银行业金融机构的信息科技外包活动</w:t>
            </w:r>
            <w:r>
              <w:rPr>
                <w:rFonts w:hint="eastAsia" w:ascii="宋体" w:hAnsi="宋体" w:eastAsia="宋体" w:cs="宋体"/>
                <w:sz w:val="10"/>
              </w:rPr>
              <w:t>，</w:t>
            </w:r>
            <w:r>
              <w:rPr>
                <w:rFonts w:hint="eastAsia" w:ascii="宋体" w:hAnsi="宋体" w:eastAsia="宋体" w:cs="宋体"/>
                <w:sz w:val="21"/>
              </w:rPr>
              <w:t>降低信息科技外</w:t>
            </w:r>
          </w:p>
          <w:p>
            <w:pPr>
              <w:spacing w:before="100"/>
              <w:ind w:left="100"/>
            </w:pPr>
            <w:r>
              <w:rPr>
                <w:rFonts w:hint="eastAsia" w:ascii="宋体" w:hAnsi="宋体" w:eastAsia="宋体" w:cs="宋体"/>
                <w:sz w:val="21"/>
              </w:rPr>
              <w:t>包风险</w:t>
            </w:r>
          </w:p>
        </w:tc>
      </w:tr>
      <w:tr>
        <w:trPr>
          <w:trHeight w:val="1260" w:hRule="exact"/>
        </w:trPr>
        <w:tc>
          <w:tcPr>
            <w:tcW w:w="900" w:type="dxa"/>
            <w:vMerge w:val="restart"/>
            <w:tcMar>
              <w:top w:w="0" w:type="dxa"/>
              <w:left w:w="0" w:type="dxa"/>
              <w:bottom w:w="0" w:type="dxa"/>
              <w:right w:w="0" w:type="dxa"/>
            </w:tcMar>
          </w:tcPr>
          <w:p>
            <w:pPr>
              <w:spacing w:before="1940"/>
              <w:ind w:left="100"/>
            </w:pPr>
            <w:r>
              <w:rPr>
                <w:rFonts w:hint="eastAsia" w:ascii="Times New Roman" w:hAnsi="Times New Roman" w:eastAsia="Times New Roman" w:cs="Times New Roman"/>
                <w:sz w:val="21"/>
              </w:rPr>
              <w:t>2014</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关于进</w:t>
            </w:r>
            <w:r>
              <w:rPr>
                <w:rFonts w:hint="eastAsia" w:ascii="宋体" w:hAnsi="宋体" w:eastAsia="宋体" w:cs="宋体"/>
                <w:sz w:val="20"/>
              </w:rPr>
              <w:t>一</w:t>
            </w:r>
            <w:r>
              <w:rPr>
                <w:rFonts w:hint="eastAsia" w:ascii="宋体" w:hAnsi="宋体" w:eastAsia="宋体" w:cs="宋体"/>
                <w:sz w:val="21"/>
              </w:rPr>
              <w:t>步推进证</w:t>
            </w:r>
          </w:p>
          <w:p>
            <w:pPr>
              <w:spacing w:before="80"/>
              <w:ind w:left="100"/>
            </w:pPr>
            <w:r>
              <w:rPr>
                <w:rFonts w:hint="eastAsia" w:ascii="宋体" w:hAnsi="宋体" w:eastAsia="宋体" w:cs="宋体"/>
                <w:sz w:val="21"/>
              </w:rPr>
              <w:t>券经营机构创新发展</w:t>
            </w:r>
          </w:p>
          <w:p>
            <w:pPr>
              <w:spacing w:before="100"/>
              <w:ind w:left="100"/>
            </w:pPr>
            <w:r>
              <w:rPr>
                <w:rFonts w:hint="eastAsia" w:ascii="宋体" w:hAnsi="宋体" w:eastAsia="宋体" w:cs="宋体"/>
                <w:sz w:val="21"/>
              </w:rPr>
              <w:t>的 意 见</w:t>
            </w:r>
            <w:r>
              <w:rPr>
                <w:rFonts w:hint="eastAsia" w:ascii="宋体" w:hAnsi="宋体" w:eastAsia="宋体" w:cs="宋体"/>
                <w:sz w:val="20"/>
              </w:rPr>
              <w:t xml:space="preserve"> 》（</w:t>
            </w:r>
            <w:r>
              <w:rPr>
                <w:rFonts w:hint="eastAsia" w:ascii="宋体" w:hAnsi="宋体" w:eastAsia="宋体" w:cs="宋体"/>
                <w:sz w:val="21"/>
              </w:rPr>
              <w:t>证 监 发</w:t>
            </w:r>
          </w:p>
          <w:p>
            <w:pPr>
              <w:spacing w:before="100"/>
              <w:ind w:left="10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宋体" w:hAnsi="宋体" w:eastAsia="宋体" w:cs="宋体"/>
                <w:sz w:val="21"/>
              </w:rPr>
              <w:t xml:space="preserve"> 号</w:t>
            </w:r>
            <w:r>
              <w:rPr>
                <w:rFonts w:hint="eastAsia" w:ascii="宋体" w:hAnsi="宋体" w:eastAsia="宋体" w:cs="宋体"/>
                <w:sz w:val="20"/>
              </w:rPr>
              <w:t>）</w:t>
            </w:r>
          </w:p>
        </w:tc>
        <w:tc>
          <w:tcPr>
            <w:tcW w:w="1200" w:type="dxa"/>
            <w:tcMar>
              <w:top w:w="0" w:type="dxa"/>
              <w:left w:w="0" w:type="dxa"/>
              <w:bottom w:w="0" w:type="dxa"/>
              <w:right w:w="0" w:type="dxa"/>
            </w:tcMar>
          </w:tcPr>
          <w:p>
            <w:pPr>
              <w:spacing w:before="360"/>
              <w:ind w:left="100"/>
            </w:pPr>
            <w:r>
              <w:rPr>
                <w:rFonts w:hint="eastAsia" w:ascii="宋体" w:hAnsi="宋体" w:eastAsia="宋体" w:cs="宋体"/>
                <w:sz w:val="21"/>
              </w:rPr>
              <w:t>中国证监</w:t>
            </w:r>
          </w:p>
          <w:p>
            <w:pPr>
              <w:spacing w:before="10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200"/>
              <w:ind w:left="100"/>
            </w:pPr>
            <w:r>
              <w:rPr>
                <w:rFonts w:hint="eastAsia" w:ascii="宋体" w:hAnsi="宋体" w:eastAsia="宋体" w:cs="宋体"/>
                <w:sz w:val="21"/>
              </w:rPr>
              <w:t>从三个方面明确了推进证券经营机构创新发展的主要任务</w:t>
            </w:r>
          </w:p>
          <w:p>
            <w:pPr>
              <w:spacing w:before="100"/>
              <w:ind w:left="100"/>
            </w:pPr>
            <w:r>
              <w:rPr>
                <w:rFonts w:hint="eastAsia" w:ascii="宋体" w:hAnsi="宋体" w:eastAsia="宋体" w:cs="宋体"/>
                <w:sz w:val="21"/>
              </w:rPr>
              <w:t>和具体措施</w:t>
            </w:r>
            <w:r>
              <w:rPr>
                <w:rFonts w:hint="eastAsia" w:ascii="宋体" w:hAnsi="宋体" w:eastAsia="宋体" w:cs="宋体"/>
                <w:sz w:val="10"/>
              </w:rPr>
              <w:t>。一</w:t>
            </w:r>
            <w:r>
              <w:rPr>
                <w:rFonts w:hint="eastAsia" w:ascii="宋体" w:hAnsi="宋体" w:eastAsia="宋体" w:cs="宋体"/>
                <w:sz w:val="21"/>
              </w:rPr>
              <w:t>是建设现代投资银行</w:t>
            </w:r>
            <w:r>
              <w:rPr>
                <w:rFonts w:hint="eastAsia" w:ascii="宋体" w:hAnsi="宋体" w:eastAsia="宋体" w:cs="宋体"/>
                <w:sz w:val="12"/>
              </w:rPr>
              <w:t>；二</w:t>
            </w:r>
            <w:r>
              <w:rPr>
                <w:rFonts w:hint="eastAsia" w:ascii="宋体" w:hAnsi="宋体" w:eastAsia="宋体" w:cs="宋体"/>
                <w:sz w:val="21"/>
              </w:rPr>
              <w:t>是支持业务产品创</w:t>
            </w:r>
          </w:p>
          <w:p>
            <w:pPr>
              <w:spacing w:before="100"/>
              <w:ind w:left="100"/>
            </w:pPr>
            <w:r>
              <w:rPr>
                <w:rFonts w:hint="eastAsia" w:ascii="宋体" w:hAnsi="宋体" w:eastAsia="宋体" w:cs="宋体"/>
                <w:sz w:val="21"/>
              </w:rPr>
              <w:t>新</w:t>
            </w:r>
            <w:r>
              <w:rPr>
                <w:rFonts w:hint="eastAsia" w:ascii="宋体" w:hAnsi="宋体" w:eastAsia="宋体" w:cs="宋体"/>
                <w:sz w:val="12"/>
              </w:rPr>
              <w:t>；</w:t>
            </w:r>
            <w:r>
              <w:rPr>
                <w:rFonts w:hint="eastAsia" w:ascii="宋体" w:hAnsi="宋体" w:eastAsia="宋体" w:cs="宋体"/>
                <w:sz w:val="21"/>
              </w:rPr>
              <w:t>三是推进监管转型</w:t>
            </w:r>
          </w:p>
        </w:tc>
      </w:tr>
      <w:tr>
        <w:trPr>
          <w:trHeight w:val="94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40"/>
              <w:ind w:left="100"/>
            </w:pPr>
            <w:r>
              <w:rPr>
                <w:rFonts w:hint="eastAsia" w:ascii="宋体" w:hAnsi="宋体" w:eastAsia="宋体" w:cs="宋体"/>
                <w:sz w:val="20"/>
              </w:rPr>
              <w:t>《</w:t>
            </w:r>
            <w:r>
              <w:rPr>
                <w:rFonts w:hint="eastAsia" w:ascii="宋体" w:hAnsi="宋体" w:eastAsia="宋体" w:cs="宋体"/>
                <w:sz w:val="21"/>
              </w:rPr>
              <w:t>机构间私募产品报</w:t>
            </w:r>
          </w:p>
          <w:p>
            <w:pPr>
              <w:spacing w:before="100"/>
              <w:ind w:left="100"/>
            </w:pPr>
            <w:r>
              <w:rPr>
                <w:rFonts w:hint="eastAsia" w:ascii="宋体" w:hAnsi="宋体" w:eastAsia="宋体" w:cs="宋体"/>
                <w:sz w:val="21"/>
              </w:rPr>
              <w:t>价与服务系统管理办</w:t>
            </w:r>
          </w:p>
          <w:p>
            <w:pPr>
              <w:spacing w:before="100"/>
              <w:ind w:left="100"/>
            </w:pPr>
            <w:r>
              <w:rPr>
                <w:rFonts w:hint="eastAsia" w:ascii="宋体" w:hAnsi="宋体" w:eastAsia="宋体" w:cs="宋体"/>
                <w:sz w:val="21"/>
              </w:rPr>
              <w:t>法</w:t>
            </w:r>
            <w:r>
              <w:rPr>
                <w:rFonts w:hint="eastAsia" w:ascii="宋体" w:hAnsi="宋体" w:eastAsia="宋体" w:cs="宋体"/>
                <w:sz w:val="20"/>
              </w:rPr>
              <w:t>（</w:t>
            </w:r>
            <w:r>
              <w:rPr>
                <w:rFonts w:hint="eastAsia" w:ascii="宋体" w:hAnsi="宋体" w:eastAsia="宋体" w:cs="宋体"/>
                <w:sz w:val="21"/>
              </w:rPr>
              <w:t>试行</w:t>
            </w:r>
            <w:r>
              <w:rPr>
                <w:rFonts w:hint="eastAsia" w:ascii="宋体" w:hAnsi="宋体" w:eastAsia="宋体" w:cs="宋体"/>
                <w:sz w:val="20"/>
              </w:rPr>
              <w:t>）》</w:t>
            </w:r>
          </w:p>
        </w:tc>
        <w:tc>
          <w:tcPr>
            <w:tcW w:w="1200" w:type="dxa"/>
            <w:tcMar>
              <w:top w:w="0" w:type="dxa"/>
              <w:left w:w="0" w:type="dxa"/>
              <w:bottom w:w="0" w:type="dxa"/>
              <w:right w:w="0" w:type="dxa"/>
            </w:tcMar>
          </w:tcPr>
          <w:p>
            <w:pPr>
              <w:spacing w:before="180"/>
              <w:ind w:left="100"/>
            </w:pPr>
            <w:r>
              <w:rPr>
                <w:rFonts w:hint="eastAsia" w:ascii="宋体" w:hAnsi="宋体" w:eastAsia="宋体" w:cs="宋体"/>
                <w:sz w:val="21"/>
              </w:rPr>
              <w:t>中国证券</w:t>
            </w:r>
          </w:p>
          <w:p>
            <w:pPr>
              <w:spacing w:before="10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除金融监管部门明确规定必须事前审批</w:t>
            </w:r>
            <w:r>
              <w:rPr>
                <w:rFonts w:hint="eastAsia" w:ascii="宋体" w:hAnsi="宋体" w:eastAsia="宋体" w:cs="宋体"/>
                <w:sz w:val="10"/>
              </w:rPr>
              <w:t>、</w:t>
            </w:r>
            <w:r>
              <w:rPr>
                <w:rFonts w:hint="eastAsia" w:ascii="宋体" w:hAnsi="宋体" w:eastAsia="宋体" w:cs="宋体"/>
                <w:sz w:val="21"/>
              </w:rPr>
              <w:t>备案的私募产品</w:t>
            </w:r>
          </w:p>
          <w:p>
            <w:pPr>
              <w:spacing w:before="80"/>
              <w:ind w:left="100"/>
            </w:pPr>
            <w:r>
              <w:rPr>
                <w:rFonts w:hint="eastAsia" w:ascii="宋体" w:hAnsi="宋体" w:eastAsia="宋体" w:cs="宋体"/>
                <w:sz w:val="21"/>
              </w:rPr>
              <w:t>外</w:t>
            </w:r>
            <w:r>
              <w:rPr>
                <w:rFonts w:hint="eastAsia" w:ascii="宋体" w:hAnsi="宋体" w:eastAsia="宋体" w:cs="宋体"/>
                <w:sz w:val="10"/>
              </w:rPr>
              <w:t>，</w:t>
            </w:r>
            <w:r>
              <w:rPr>
                <w:rFonts w:hint="eastAsia" w:ascii="宋体" w:hAnsi="宋体" w:eastAsia="宋体" w:cs="宋体"/>
                <w:sz w:val="21"/>
              </w:rPr>
              <w:t>在报价系统报价</w:t>
            </w:r>
            <w:r>
              <w:rPr>
                <w:rFonts w:hint="eastAsia" w:ascii="宋体" w:hAnsi="宋体" w:eastAsia="宋体" w:cs="宋体"/>
                <w:sz w:val="10"/>
              </w:rPr>
              <w:t>、</w:t>
            </w:r>
            <w:r>
              <w:rPr>
                <w:rFonts w:hint="eastAsia" w:ascii="宋体" w:hAnsi="宋体" w:eastAsia="宋体" w:cs="宋体"/>
                <w:sz w:val="21"/>
              </w:rPr>
              <w:t>发行</w:t>
            </w:r>
            <w:r>
              <w:rPr>
                <w:rFonts w:hint="eastAsia" w:ascii="宋体" w:hAnsi="宋体" w:eastAsia="宋体" w:cs="宋体"/>
                <w:sz w:val="10"/>
              </w:rPr>
              <w:t>、</w:t>
            </w:r>
            <w:r>
              <w:rPr>
                <w:rFonts w:hint="eastAsia" w:ascii="宋体" w:hAnsi="宋体" w:eastAsia="宋体" w:cs="宋体"/>
                <w:sz w:val="21"/>
              </w:rPr>
              <w:t>转让的私募产品直接实行事后</w:t>
            </w:r>
          </w:p>
          <w:p>
            <w:pPr>
              <w:spacing w:before="100"/>
              <w:ind w:left="100"/>
            </w:pPr>
            <w:r>
              <w:rPr>
                <w:rFonts w:hint="eastAsia" w:ascii="宋体" w:hAnsi="宋体" w:eastAsia="宋体" w:cs="宋体"/>
                <w:sz w:val="21"/>
              </w:rPr>
              <w:t>备案</w:t>
            </w:r>
          </w:p>
        </w:tc>
      </w:tr>
      <w:tr>
        <w:trPr>
          <w:trHeight w:val="96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0"/>
              <w:ind w:left="100"/>
            </w:pPr>
            <w:r>
              <w:rPr>
                <w:rFonts w:hint="eastAsia" w:ascii="宋体" w:hAnsi="宋体" w:eastAsia="宋体" w:cs="宋体"/>
                <w:sz w:val="20"/>
              </w:rPr>
              <w:t>《</w:t>
            </w:r>
            <w:r>
              <w:rPr>
                <w:rFonts w:hint="eastAsia" w:ascii="宋体" w:hAnsi="宋体" w:eastAsia="宋体" w:cs="宋体"/>
                <w:sz w:val="21"/>
              </w:rPr>
              <w:t>证券公司短期公司</w:t>
            </w:r>
          </w:p>
          <w:p>
            <w:pPr>
              <w:spacing w:before="80"/>
              <w:ind w:left="100"/>
            </w:pPr>
            <w:r>
              <w:rPr>
                <w:rFonts w:hint="eastAsia" w:ascii="宋体" w:hAnsi="宋体" w:eastAsia="宋体" w:cs="宋体"/>
                <w:sz w:val="21"/>
              </w:rPr>
              <w:t>债券试点办法</w:t>
            </w:r>
            <w:r>
              <w:rPr>
                <w:rFonts w:hint="eastAsia" w:ascii="宋体" w:hAnsi="宋体" w:eastAsia="宋体" w:cs="宋体"/>
                <w:sz w:val="20"/>
              </w:rPr>
              <w:t>》</w:t>
            </w:r>
          </w:p>
        </w:tc>
        <w:tc>
          <w:tcPr>
            <w:tcW w:w="1200" w:type="dxa"/>
            <w:tcMar>
              <w:top w:w="0" w:type="dxa"/>
              <w:left w:w="0" w:type="dxa"/>
              <w:bottom w:w="0" w:type="dxa"/>
              <w:right w:w="0" w:type="dxa"/>
            </w:tcMar>
          </w:tcPr>
          <w:p>
            <w:pPr>
              <w:spacing w:before="200"/>
              <w:ind w:left="100"/>
            </w:pPr>
            <w:r>
              <w:rPr>
                <w:rFonts w:hint="eastAsia" w:ascii="宋体" w:hAnsi="宋体" w:eastAsia="宋体" w:cs="宋体"/>
                <w:sz w:val="21"/>
              </w:rPr>
              <w:t>中国证券</w:t>
            </w:r>
          </w:p>
          <w:p>
            <w:pPr>
              <w:spacing w:before="8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试点期间</w:t>
            </w:r>
            <w:r>
              <w:rPr>
                <w:rFonts w:hint="eastAsia" w:ascii="宋体" w:hAnsi="宋体" w:eastAsia="宋体" w:cs="宋体"/>
                <w:sz w:val="10"/>
              </w:rPr>
              <w:t>，</w:t>
            </w:r>
            <w:r>
              <w:rPr>
                <w:rFonts w:hint="eastAsia" w:ascii="宋体" w:hAnsi="宋体" w:eastAsia="宋体" w:cs="宋体"/>
                <w:sz w:val="21"/>
              </w:rPr>
              <w:t>发行主体限于符合试点条件的证券公司</w:t>
            </w:r>
            <w:r>
              <w:rPr>
                <w:rFonts w:hint="eastAsia" w:ascii="宋体" w:hAnsi="宋体" w:eastAsia="宋体" w:cs="宋体"/>
                <w:sz w:val="10"/>
              </w:rPr>
              <w:t>，</w:t>
            </w:r>
            <w:r>
              <w:rPr>
                <w:rFonts w:hint="eastAsia" w:ascii="宋体" w:hAnsi="宋体" w:eastAsia="宋体" w:cs="宋体"/>
                <w:sz w:val="21"/>
              </w:rPr>
              <w:t>中国证</w:t>
            </w:r>
          </w:p>
          <w:p>
            <w:pPr>
              <w:spacing w:before="100"/>
              <w:ind w:left="100"/>
            </w:pPr>
            <w:r>
              <w:rPr>
                <w:rFonts w:hint="eastAsia" w:ascii="宋体" w:hAnsi="宋体" w:eastAsia="宋体" w:cs="宋体"/>
                <w:sz w:val="21"/>
              </w:rPr>
              <w:t>券金融股份有限公司可以参照执行</w:t>
            </w:r>
            <w:r>
              <w:rPr>
                <w:rFonts w:hint="eastAsia" w:ascii="宋体" w:hAnsi="宋体" w:eastAsia="宋体" w:cs="宋体"/>
                <w:sz w:val="10"/>
              </w:rPr>
              <w:t>。</w:t>
            </w:r>
            <w:r>
              <w:rPr>
                <w:rFonts w:hint="eastAsia" w:ascii="宋体" w:hAnsi="宋体" w:eastAsia="宋体" w:cs="宋体"/>
                <w:sz w:val="21"/>
              </w:rPr>
              <w:t>债券期限为</w:t>
            </w:r>
            <w:r>
              <w:rPr>
                <w:rFonts w:hint="eastAsia" w:ascii="宋体" w:hAnsi="宋体" w:eastAsia="宋体" w:cs="宋体"/>
                <w:sz w:val="20"/>
              </w:rPr>
              <w:t>一</w:t>
            </w:r>
            <w:r>
              <w:rPr>
                <w:rFonts w:hint="eastAsia" w:ascii="宋体" w:hAnsi="宋体" w:eastAsia="宋体" w:cs="宋体"/>
                <w:sz w:val="21"/>
              </w:rPr>
              <w:t>年</w:t>
            </w:r>
            <w:r>
              <w:rPr>
                <w:rFonts w:hint="eastAsia" w:ascii="宋体" w:hAnsi="宋体" w:eastAsia="宋体" w:cs="宋体"/>
                <w:sz w:val="20"/>
              </w:rPr>
              <w:t>（</w:t>
            </w:r>
            <w:r>
              <w:rPr>
                <w:rFonts w:hint="eastAsia" w:ascii="宋体" w:hAnsi="宋体" w:eastAsia="宋体" w:cs="宋体"/>
                <w:sz w:val="21"/>
              </w:rPr>
              <w:t>含</w:t>
            </w:r>
            <w:r>
              <w:rPr>
                <w:rFonts w:hint="eastAsia" w:ascii="宋体" w:hAnsi="宋体" w:eastAsia="宋体" w:cs="宋体"/>
                <w:sz w:val="20"/>
              </w:rPr>
              <w:t>）</w:t>
            </w:r>
          </w:p>
          <w:p>
            <w:pPr>
              <w:spacing w:before="80"/>
              <w:ind w:left="100"/>
            </w:pPr>
            <w:r>
              <w:rPr>
                <w:rFonts w:hint="eastAsia" w:ascii="宋体" w:hAnsi="宋体" w:eastAsia="宋体" w:cs="宋体"/>
                <w:sz w:val="21"/>
              </w:rPr>
              <w:t>以内</w:t>
            </w:r>
            <w:r>
              <w:rPr>
                <w:rFonts w:hint="eastAsia" w:ascii="宋体" w:hAnsi="宋体" w:eastAsia="宋体" w:cs="宋体"/>
                <w:sz w:val="10"/>
              </w:rPr>
              <w:t>，</w:t>
            </w:r>
            <w:r>
              <w:rPr>
                <w:rFonts w:hint="eastAsia" w:ascii="宋体" w:hAnsi="宋体" w:eastAsia="宋体" w:cs="宋体"/>
                <w:sz w:val="21"/>
              </w:rPr>
              <w:t>发行利率不得超过同期银行贷款基准利率的</w:t>
            </w:r>
            <w:r>
              <w:rPr>
                <w:rFonts w:hint="eastAsia" w:ascii="Times New Roman" w:hAnsi="Times New Roman" w:eastAsia="Times New Roman" w:cs="Times New Roman"/>
                <w:sz w:val="21"/>
              </w:rPr>
              <w:t xml:space="preserve"> 4</w:t>
            </w:r>
            <w:r>
              <w:rPr>
                <w:rFonts w:hint="eastAsia" w:ascii="宋体" w:hAnsi="宋体" w:eastAsia="宋体" w:cs="宋体"/>
                <w:sz w:val="21"/>
              </w:rPr>
              <w:t xml:space="preserve"> 倍</w:t>
            </w:r>
          </w:p>
        </w:tc>
      </w:tr>
      <w:tr>
        <w:trPr>
          <w:trHeight w:val="94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
              <w:ind w:left="100"/>
            </w:pPr>
            <w:r>
              <w:rPr>
                <w:rFonts w:hint="eastAsia" w:ascii="宋体" w:hAnsi="宋体" w:eastAsia="宋体" w:cs="宋体"/>
                <w:sz w:val="20"/>
              </w:rPr>
              <w:t>《</w:t>
            </w:r>
            <w:r>
              <w:rPr>
                <w:rFonts w:hint="eastAsia" w:ascii="宋体" w:hAnsi="宋体" w:eastAsia="宋体" w:cs="宋体"/>
                <w:sz w:val="21"/>
              </w:rPr>
              <w:t>股票期权交易试点</w:t>
            </w:r>
          </w:p>
          <w:p>
            <w:pPr>
              <w:spacing w:before="100"/>
              <w:ind w:left="100"/>
            </w:pPr>
            <w:r>
              <w:rPr>
                <w:rFonts w:hint="eastAsia" w:ascii="宋体" w:hAnsi="宋体" w:eastAsia="宋体" w:cs="宋体"/>
                <w:sz w:val="21"/>
              </w:rPr>
              <w:t>管理办法</w:t>
            </w:r>
            <w:r>
              <w:rPr>
                <w:rFonts w:hint="eastAsia" w:ascii="宋体" w:hAnsi="宋体" w:eastAsia="宋体" w:cs="宋体"/>
                <w:sz w:val="20"/>
              </w:rPr>
              <w:t>（</w:t>
            </w:r>
            <w:r>
              <w:rPr>
                <w:rFonts w:hint="eastAsia" w:ascii="宋体" w:hAnsi="宋体" w:eastAsia="宋体" w:cs="宋体"/>
                <w:sz w:val="21"/>
              </w:rPr>
              <w:t>征求意见</w:t>
            </w:r>
          </w:p>
          <w:p>
            <w:pPr>
              <w:spacing w:before="100"/>
              <w:ind w:left="100"/>
            </w:pPr>
            <w:r>
              <w:rPr>
                <w:rFonts w:hint="eastAsia" w:ascii="宋体" w:hAnsi="宋体" w:eastAsia="宋体" w:cs="宋体"/>
                <w:sz w:val="21"/>
              </w:rPr>
              <w:t>稿</w:t>
            </w:r>
            <w:r>
              <w:rPr>
                <w:rFonts w:hint="eastAsia" w:ascii="宋体" w:hAnsi="宋体" w:eastAsia="宋体" w:cs="宋体"/>
                <w:sz w:val="20"/>
              </w:rPr>
              <w:t>）》</w:t>
            </w:r>
          </w:p>
        </w:tc>
        <w:tc>
          <w:tcPr>
            <w:tcW w:w="1200" w:type="dxa"/>
            <w:tcMar>
              <w:top w:w="0" w:type="dxa"/>
              <w:left w:w="0" w:type="dxa"/>
              <w:bottom w:w="0" w:type="dxa"/>
              <w:right w:w="0" w:type="dxa"/>
            </w:tcMar>
          </w:tcPr>
          <w:p>
            <w:pPr>
              <w:spacing w:before="200"/>
              <w:ind w:left="100"/>
            </w:pPr>
            <w:r>
              <w:rPr>
                <w:rFonts w:hint="eastAsia" w:ascii="宋体" w:hAnsi="宋体" w:eastAsia="宋体" w:cs="宋体"/>
                <w:sz w:val="21"/>
              </w:rPr>
              <w:t>中国证监</w:t>
            </w:r>
          </w:p>
          <w:p>
            <w:pPr>
              <w:spacing w:before="100"/>
              <w:ind w:left="100"/>
            </w:pPr>
            <w:r>
              <w:rPr>
                <w:rFonts w:hint="eastAsia" w:ascii="宋体" w:hAnsi="宋体" w:eastAsia="宋体" w:cs="宋体"/>
                <w:sz w:val="21"/>
              </w:rPr>
              <w:t>会</w:t>
            </w:r>
          </w:p>
        </w:tc>
        <w:tc>
          <w:tcPr>
            <w:tcW w:w="5600" w:type="dxa"/>
            <w:tcMar>
              <w:top w:w="0" w:type="dxa"/>
              <w:left w:w="0" w:type="dxa"/>
              <w:bottom w:w="0" w:type="dxa"/>
              <w:right w:w="0" w:type="dxa"/>
            </w:tcMar>
          </w:tcPr>
          <w:p>
            <w:pPr>
              <w:spacing w:before="20"/>
              <w:ind w:left="100"/>
            </w:pPr>
            <w:r>
              <w:rPr>
                <w:rFonts w:hint="eastAsia" w:ascii="宋体" w:hAnsi="宋体" w:eastAsia="宋体" w:cs="宋体"/>
                <w:sz w:val="21"/>
              </w:rPr>
              <w:t>规定了股票期权交易场所和结算机构</w:t>
            </w:r>
            <w:r>
              <w:rPr>
                <w:rFonts w:hint="eastAsia" w:ascii="宋体" w:hAnsi="宋体" w:eastAsia="宋体" w:cs="宋体"/>
                <w:sz w:val="10"/>
              </w:rPr>
              <w:t>、</w:t>
            </w:r>
            <w:r>
              <w:rPr>
                <w:rFonts w:hint="eastAsia" w:ascii="宋体" w:hAnsi="宋体" w:eastAsia="宋体" w:cs="宋体"/>
                <w:sz w:val="21"/>
              </w:rPr>
              <w:t>证券公司和期货公司</w:t>
            </w:r>
          </w:p>
          <w:p>
            <w:pPr>
              <w:spacing w:before="100"/>
              <w:ind w:left="100"/>
            </w:pPr>
            <w:r>
              <w:rPr>
                <w:rFonts w:hint="eastAsia" w:ascii="宋体" w:hAnsi="宋体" w:eastAsia="宋体" w:cs="宋体"/>
                <w:sz w:val="21"/>
              </w:rPr>
              <w:t>参与股票期权业务的资格</w:t>
            </w:r>
            <w:r>
              <w:rPr>
                <w:rFonts w:hint="eastAsia" w:ascii="宋体" w:hAnsi="宋体" w:eastAsia="宋体" w:cs="宋体"/>
                <w:sz w:val="10"/>
              </w:rPr>
              <w:t>、</w:t>
            </w:r>
            <w:r>
              <w:rPr>
                <w:rFonts w:hint="eastAsia" w:ascii="宋体" w:hAnsi="宋体" w:eastAsia="宋体" w:cs="宋体"/>
                <w:sz w:val="21"/>
              </w:rPr>
              <w:t>投资者保护</w:t>
            </w:r>
            <w:r>
              <w:rPr>
                <w:rFonts w:hint="eastAsia" w:ascii="宋体" w:hAnsi="宋体" w:eastAsia="宋体" w:cs="宋体"/>
                <w:sz w:val="10"/>
              </w:rPr>
              <w:t>、</w:t>
            </w:r>
            <w:r>
              <w:rPr>
                <w:rFonts w:hint="eastAsia" w:ascii="宋体" w:hAnsi="宋体" w:eastAsia="宋体" w:cs="宋体"/>
                <w:sz w:val="21"/>
              </w:rPr>
              <w:t>风险控制措施及相</w:t>
            </w:r>
          </w:p>
          <w:p>
            <w:pPr>
              <w:spacing w:before="100"/>
              <w:ind w:left="100"/>
            </w:pPr>
            <w:r>
              <w:rPr>
                <w:rFonts w:hint="eastAsia" w:ascii="宋体" w:hAnsi="宋体" w:eastAsia="宋体" w:cs="宋体"/>
                <w:sz w:val="21"/>
              </w:rPr>
              <w:t>关其他规定等五方面内容</w:t>
            </w:r>
          </w:p>
        </w:tc>
      </w:tr>
      <w:tr>
        <w:trPr>
          <w:trHeight w:val="1580" w:hRule="exact"/>
        </w:trPr>
        <w:tc>
          <w:tcPr>
            <w:tcW w:w="900" w:type="dxa"/>
            <w:vMerge w:val="restart"/>
            <w:tcMar>
              <w:top w:w="0" w:type="dxa"/>
              <w:left w:w="0" w:type="dxa"/>
              <w:bottom w:w="0" w:type="dxa"/>
              <w:right w:w="0" w:type="dxa"/>
            </w:tcMar>
          </w:tcPr>
          <w:p>
            <w:pPr>
              <w:spacing w:before="1460"/>
              <w:ind w:left="100"/>
            </w:pPr>
            <w:r>
              <w:rPr>
                <w:rFonts w:hint="eastAsia" w:ascii="Times New Roman" w:hAnsi="Times New Roman" w:eastAsia="Times New Roman" w:cs="Times New Roman"/>
                <w:sz w:val="21"/>
              </w:rPr>
              <w:t>2015</w:t>
            </w:r>
            <w:r>
              <w:rPr>
                <w:rFonts w:hint="eastAsia" w:ascii="宋体" w:hAnsi="宋体" w:eastAsia="宋体" w:cs="宋体"/>
                <w:sz w:val="21"/>
              </w:rPr>
              <w:t xml:space="preserve"> 年</w:t>
            </w:r>
          </w:p>
        </w:tc>
        <w:tc>
          <w:tcPr>
            <w:tcW w:w="2220" w:type="dxa"/>
            <w:tcMar>
              <w:top w:w="0" w:type="dxa"/>
              <w:left w:w="0" w:type="dxa"/>
              <w:bottom w:w="0" w:type="dxa"/>
              <w:right w:w="0" w:type="dxa"/>
            </w:tcMar>
          </w:tcPr>
          <w:p>
            <w:pPr>
              <w:spacing w:before="360"/>
              <w:ind w:left="100"/>
            </w:pPr>
            <w:r>
              <w:rPr>
                <w:rFonts w:hint="eastAsia" w:ascii="宋体" w:hAnsi="宋体" w:eastAsia="宋体" w:cs="宋体"/>
                <w:sz w:val="20"/>
              </w:rPr>
              <w:t>《</w:t>
            </w:r>
            <w:r>
              <w:rPr>
                <w:rFonts w:hint="eastAsia" w:ascii="宋体" w:hAnsi="宋体" w:eastAsia="宋体" w:cs="宋体"/>
                <w:sz w:val="21"/>
              </w:rPr>
              <w:t>关于促进互联网金</w:t>
            </w:r>
          </w:p>
          <w:p>
            <w:pPr>
              <w:spacing w:before="100"/>
              <w:ind w:left="100"/>
            </w:pPr>
            <w:r>
              <w:rPr>
                <w:rFonts w:hint="eastAsia" w:ascii="宋体" w:hAnsi="宋体" w:eastAsia="宋体" w:cs="宋体"/>
                <w:sz w:val="21"/>
              </w:rPr>
              <w:t>融健康发展的指导意</w:t>
            </w:r>
          </w:p>
          <w:p>
            <w:pPr>
              <w:spacing w:before="80"/>
              <w:ind w:left="100"/>
            </w:pPr>
            <w:r>
              <w:rPr>
                <w:rFonts w:hint="eastAsia" w:ascii="宋体" w:hAnsi="宋体" w:eastAsia="宋体" w:cs="宋体"/>
                <w:sz w:val="21"/>
              </w:rPr>
              <w:t>见</w:t>
            </w:r>
            <w:r>
              <w:rPr>
                <w:rFonts w:hint="eastAsia" w:ascii="宋体" w:hAnsi="宋体" w:eastAsia="宋体" w:cs="宋体"/>
                <w:sz w:val="20"/>
              </w:rPr>
              <w:t>》</w:t>
            </w:r>
          </w:p>
        </w:tc>
        <w:tc>
          <w:tcPr>
            <w:tcW w:w="1200" w:type="dxa"/>
            <w:tcMar>
              <w:top w:w="0" w:type="dxa"/>
              <w:left w:w="0" w:type="dxa"/>
              <w:bottom w:w="0" w:type="dxa"/>
              <w:right w:w="0" w:type="dxa"/>
            </w:tcMar>
          </w:tcPr>
          <w:p>
            <w:pPr>
              <w:spacing w:before="360"/>
              <w:ind w:left="100"/>
            </w:pPr>
            <w:r>
              <w:rPr>
                <w:rFonts w:hint="eastAsia" w:ascii="宋体" w:hAnsi="宋体" w:eastAsia="宋体" w:cs="宋体"/>
                <w:sz w:val="21"/>
              </w:rPr>
              <w:t>中国人民</w:t>
            </w:r>
          </w:p>
          <w:p>
            <w:pPr>
              <w:spacing w:before="100"/>
              <w:ind w:left="100"/>
            </w:pPr>
            <w:r>
              <w:rPr>
                <w:rFonts w:hint="eastAsia" w:ascii="宋体" w:hAnsi="宋体" w:eastAsia="宋体" w:cs="宋体"/>
                <w:sz w:val="21"/>
              </w:rPr>
              <w:t>银行等十</w:t>
            </w:r>
          </w:p>
          <w:p>
            <w:pPr>
              <w:spacing w:before="80"/>
              <w:ind w:left="100"/>
            </w:pPr>
            <w:r>
              <w:rPr>
                <w:rFonts w:hint="eastAsia" w:ascii="宋体" w:hAnsi="宋体" w:eastAsia="宋体" w:cs="宋体"/>
                <w:sz w:val="21"/>
              </w:rPr>
              <w:t>部委</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提出了</w:t>
            </w:r>
            <w:r>
              <w:rPr>
                <w:rFonts w:hint="eastAsia" w:ascii="宋体" w:hAnsi="宋体" w:eastAsia="宋体" w:cs="宋体"/>
                <w:sz w:val="20"/>
              </w:rPr>
              <w:t>一</w:t>
            </w:r>
            <w:r>
              <w:rPr>
                <w:rFonts w:hint="eastAsia" w:ascii="宋体" w:hAnsi="宋体" w:eastAsia="宋体" w:cs="宋体"/>
                <w:sz w:val="21"/>
              </w:rPr>
              <w:t>系列鼓励创新</w:t>
            </w:r>
            <w:r>
              <w:rPr>
                <w:rFonts w:hint="eastAsia" w:ascii="宋体" w:hAnsi="宋体" w:eastAsia="宋体" w:cs="宋体"/>
                <w:sz w:val="10"/>
              </w:rPr>
              <w:t>、</w:t>
            </w:r>
            <w:r>
              <w:rPr>
                <w:rFonts w:hint="eastAsia" w:ascii="宋体" w:hAnsi="宋体" w:eastAsia="宋体" w:cs="宋体"/>
                <w:sz w:val="21"/>
              </w:rPr>
              <w:t>支持互联网金融稳步发展的政策措</w:t>
            </w:r>
          </w:p>
          <w:p>
            <w:pPr>
              <w:spacing w:before="100"/>
              <w:ind w:left="100"/>
            </w:pPr>
            <w:r>
              <w:rPr>
                <w:rFonts w:hint="eastAsia" w:ascii="宋体" w:hAnsi="宋体" w:eastAsia="宋体" w:cs="宋体"/>
                <w:sz w:val="21"/>
              </w:rPr>
              <w:t>施</w:t>
            </w:r>
            <w:r>
              <w:rPr>
                <w:rFonts w:hint="eastAsia" w:ascii="宋体" w:hAnsi="宋体" w:eastAsia="宋体" w:cs="宋体"/>
                <w:sz w:val="10"/>
              </w:rPr>
              <w:t>，</w:t>
            </w:r>
            <w:r>
              <w:rPr>
                <w:rFonts w:hint="eastAsia" w:ascii="宋体" w:hAnsi="宋体" w:eastAsia="宋体" w:cs="宋体"/>
                <w:sz w:val="21"/>
              </w:rPr>
              <w:t>积极鼓励互联网金融平台</w:t>
            </w:r>
            <w:r>
              <w:rPr>
                <w:rFonts w:hint="eastAsia" w:ascii="宋体" w:hAnsi="宋体" w:eastAsia="宋体" w:cs="宋体"/>
                <w:sz w:val="10"/>
              </w:rPr>
              <w:t>、</w:t>
            </w:r>
            <w:r>
              <w:rPr>
                <w:rFonts w:hint="eastAsia" w:ascii="宋体" w:hAnsi="宋体" w:eastAsia="宋体" w:cs="宋体"/>
                <w:sz w:val="21"/>
              </w:rPr>
              <w:t>产品和服务创新</w:t>
            </w:r>
            <w:r>
              <w:rPr>
                <w:rFonts w:hint="eastAsia" w:ascii="宋体" w:hAnsi="宋体" w:eastAsia="宋体" w:cs="宋体"/>
                <w:sz w:val="10"/>
              </w:rPr>
              <w:t>，</w:t>
            </w:r>
            <w:r>
              <w:rPr>
                <w:rFonts w:hint="eastAsia" w:ascii="宋体" w:hAnsi="宋体" w:eastAsia="宋体" w:cs="宋体"/>
                <w:sz w:val="21"/>
              </w:rPr>
              <w:t>鼓励从业</w:t>
            </w:r>
          </w:p>
          <w:p>
            <w:pPr>
              <w:spacing w:before="100"/>
              <w:ind w:left="100"/>
            </w:pPr>
            <w:r>
              <w:rPr>
                <w:rFonts w:hint="eastAsia" w:ascii="宋体" w:hAnsi="宋体" w:eastAsia="宋体" w:cs="宋体"/>
                <w:sz w:val="21"/>
              </w:rPr>
              <w:t>机构相互合作</w:t>
            </w:r>
            <w:r>
              <w:rPr>
                <w:rFonts w:hint="eastAsia" w:ascii="宋体" w:hAnsi="宋体" w:eastAsia="宋体" w:cs="宋体"/>
                <w:sz w:val="10"/>
              </w:rPr>
              <w:t>，</w:t>
            </w:r>
            <w:r>
              <w:rPr>
                <w:rFonts w:hint="eastAsia" w:ascii="宋体" w:hAnsi="宋体" w:eastAsia="宋体" w:cs="宋体"/>
                <w:sz w:val="21"/>
              </w:rPr>
              <w:t>拓宽从业机构融资渠道</w:t>
            </w:r>
            <w:r>
              <w:rPr>
                <w:rFonts w:hint="eastAsia" w:ascii="宋体" w:hAnsi="宋体" w:eastAsia="宋体" w:cs="宋体"/>
                <w:sz w:val="10"/>
              </w:rPr>
              <w:t>，</w:t>
            </w:r>
            <w:r>
              <w:rPr>
                <w:rFonts w:hint="eastAsia" w:ascii="宋体" w:hAnsi="宋体" w:eastAsia="宋体" w:cs="宋体"/>
                <w:sz w:val="21"/>
              </w:rPr>
              <w:t>坚持简政放权和落</w:t>
            </w:r>
          </w:p>
          <w:p>
            <w:pPr>
              <w:spacing w:before="80"/>
              <w:ind w:left="100"/>
            </w:pPr>
            <w:r>
              <w:rPr>
                <w:rFonts w:hint="eastAsia" w:ascii="宋体" w:hAnsi="宋体" w:eastAsia="宋体" w:cs="宋体"/>
                <w:sz w:val="21"/>
              </w:rPr>
              <w:t>实</w:t>
            </w:r>
            <w:r>
              <w:rPr>
                <w:rFonts w:hint="eastAsia" w:ascii="宋体" w:hAnsi="宋体" w:eastAsia="宋体" w:cs="宋体"/>
                <w:sz w:val="10"/>
              </w:rPr>
              <w:t>、</w:t>
            </w:r>
            <w:r>
              <w:rPr>
                <w:rFonts w:hint="eastAsia" w:ascii="宋体" w:hAnsi="宋体" w:eastAsia="宋体" w:cs="宋体"/>
                <w:sz w:val="21"/>
              </w:rPr>
              <w:t>完善财税政策</w:t>
            </w:r>
            <w:r>
              <w:rPr>
                <w:rFonts w:hint="eastAsia" w:ascii="宋体" w:hAnsi="宋体" w:eastAsia="宋体" w:cs="宋体"/>
                <w:sz w:val="10"/>
              </w:rPr>
              <w:t>，</w:t>
            </w:r>
            <w:r>
              <w:rPr>
                <w:rFonts w:hint="eastAsia" w:ascii="宋体" w:hAnsi="宋体" w:eastAsia="宋体" w:cs="宋体"/>
                <w:sz w:val="21"/>
              </w:rPr>
              <w:t>推动信用基础设施建设和配套服务体系</w:t>
            </w:r>
          </w:p>
          <w:p>
            <w:pPr>
              <w:spacing w:before="100"/>
              <w:ind w:left="100"/>
            </w:pPr>
            <w:r>
              <w:rPr>
                <w:rFonts w:hint="eastAsia" w:ascii="宋体" w:hAnsi="宋体" w:eastAsia="宋体" w:cs="宋体"/>
                <w:sz w:val="21"/>
              </w:rPr>
              <w:t>建设</w:t>
            </w:r>
          </w:p>
        </w:tc>
      </w:tr>
      <w:tr>
        <w:trPr>
          <w:trHeight w:val="62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
              <w:ind w:left="100"/>
            </w:pPr>
            <w:r>
              <w:rPr>
                <w:rFonts w:hint="eastAsia" w:ascii="宋体" w:hAnsi="宋体" w:eastAsia="宋体" w:cs="宋体"/>
                <w:sz w:val="20"/>
              </w:rPr>
              <w:t>《</w:t>
            </w:r>
            <w:r>
              <w:rPr>
                <w:rFonts w:hint="eastAsia" w:ascii="宋体" w:hAnsi="宋体" w:eastAsia="宋体" w:cs="宋体"/>
                <w:sz w:val="21"/>
              </w:rPr>
              <w:t>证券公司网上证券</w:t>
            </w:r>
          </w:p>
          <w:p>
            <w:pPr>
              <w:spacing w:before="100"/>
              <w:ind w:left="100"/>
            </w:pPr>
            <w:r>
              <w:rPr>
                <w:rFonts w:hint="eastAsia" w:ascii="宋体" w:hAnsi="宋体" w:eastAsia="宋体" w:cs="宋体"/>
                <w:sz w:val="21"/>
              </w:rPr>
              <w:t>信息系统技术指引</w:t>
            </w:r>
            <w:r>
              <w:rPr>
                <w:rFonts w:hint="eastAsia" w:ascii="宋体" w:hAnsi="宋体" w:eastAsia="宋体" w:cs="宋体"/>
                <w:sz w:val="20"/>
              </w:rPr>
              <w:t>》</w:t>
            </w:r>
          </w:p>
        </w:tc>
        <w:tc>
          <w:tcPr>
            <w:tcW w:w="1200" w:type="dxa"/>
            <w:tcMar>
              <w:top w:w="0" w:type="dxa"/>
              <w:left w:w="0" w:type="dxa"/>
              <w:bottom w:w="0" w:type="dxa"/>
              <w:right w:w="0" w:type="dxa"/>
            </w:tcMar>
          </w:tcPr>
          <w:p>
            <w:pPr>
              <w:spacing w:before="20"/>
              <w:ind w:left="100"/>
            </w:pPr>
            <w:r>
              <w:rPr>
                <w:rFonts w:hint="eastAsia" w:ascii="宋体" w:hAnsi="宋体" w:eastAsia="宋体" w:cs="宋体"/>
                <w:sz w:val="21"/>
              </w:rPr>
              <w:t>中国证券</w:t>
            </w:r>
          </w:p>
          <w:p>
            <w:pPr>
              <w:spacing w:before="10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20"/>
              <w:ind w:left="100"/>
            </w:pPr>
            <w:r>
              <w:rPr>
                <w:rFonts w:hint="eastAsia" w:ascii="宋体" w:hAnsi="宋体" w:eastAsia="宋体" w:cs="宋体"/>
                <w:sz w:val="21"/>
              </w:rPr>
              <w:t>证券公司应当加强对网上证券信息系统开发商</w:t>
            </w:r>
            <w:r>
              <w:rPr>
                <w:rFonts w:hint="eastAsia" w:ascii="宋体" w:hAnsi="宋体" w:eastAsia="宋体" w:cs="宋体"/>
                <w:sz w:val="10"/>
              </w:rPr>
              <w:t>、</w:t>
            </w:r>
            <w:r>
              <w:rPr>
                <w:rFonts w:hint="eastAsia" w:ascii="宋体" w:hAnsi="宋体" w:eastAsia="宋体" w:cs="宋体"/>
                <w:sz w:val="21"/>
              </w:rPr>
              <w:t>服务商等第</w:t>
            </w:r>
          </w:p>
          <w:p>
            <w:pPr>
              <w:spacing w:before="100"/>
              <w:ind w:left="100"/>
            </w:pPr>
            <w:r>
              <w:rPr>
                <w:rFonts w:hint="eastAsia" w:ascii="宋体" w:hAnsi="宋体" w:eastAsia="宋体" w:cs="宋体"/>
                <w:sz w:val="21"/>
              </w:rPr>
              <w:t>三方机构的约束和质量评估</w:t>
            </w:r>
          </w:p>
        </w:tc>
      </w:tr>
      <w:tr>
        <w:trPr>
          <w:trHeight w:val="940" w:hRule="exact"/>
        </w:trPr>
        <w:tc>
          <w:tcPr>
            <w:tcW w:w="900" w:type="dxa"/>
            <w:vMerge w:val="continue"/>
            <w:tcMar>
              <w:top w:w="0" w:type="dxa"/>
              <w:left w:w="0" w:type="dxa"/>
              <w:bottom w:w="0" w:type="dxa"/>
              <w:right w:w="0" w:type="dxa"/>
            </w:tcMar>
          </w:tcPr>
          <w:p/>
        </w:tc>
        <w:tc>
          <w:tcPr>
            <w:tcW w:w="2220" w:type="dxa"/>
            <w:tcMar>
              <w:top w:w="0" w:type="dxa"/>
              <w:left w:w="0" w:type="dxa"/>
              <w:bottom w:w="0" w:type="dxa"/>
              <w:right w:w="0" w:type="dxa"/>
            </w:tcMar>
          </w:tcPr>
          <w:p>
            <w:pPr>
              <w:spacing w:before="200"/>
              <w:ind w:left="100"/>
            </w:pPr>
            <w:r>
              <w:rPr>
                <w:rFonts w:hint="eastAsia" w:ascii="宋体" w:hAnsi="宋体" w:eastAsia="宋体" w:cs="宋体"/>
                <w:sz w:val="20"/>
              </w:rPr>
              <w:t>《</w:t>
            </w:r>
            <w:r>
              <w:rPr>
                <w:rFonts w:hint="eastAsia" w:ascii="宋体" w:hAnsi="宋体" w:eastAsia="宋体" w:cs="宋体"/>
                <w:sz w:val="21"/>
              </w:rPr>
              <w:t>场外证券业务备案</w:t>
            </w:r>
          </w:p>
          <w:p>
            <w:pPr>
              <w:spacing w:before="100"/>
              <w:ind w:left="100"/>
            </w:pPr>
            <w:r>
              <w:rPr>
                <w:rFonts w:hint="eastAsia" w:ascii="宋体" w:hAnsi="宋体" w:eastAsia="宋体" w:cs="宋体"/>
                <w:sz w:val="21"/>
              </w:rPr>
              <w:t>管理办法</w:t>
            </w:r>
            <w:r>
              <w:rPr>
                <w:rFonts w:hint="eastAsia" w:ascii="宋体" w:hAnsi="宋体" w:eastAsia="宋体" w:cs="宋体"/>
                <w:sz w:val="20"/>
              </w:rPr>
              <w:t>》</w:t>
            </w:r>
          </w:p>
        </w:tc>
        <w:tc>
          <w:tcPr>
            <w:tcW w:w="1200" w:type="dxa"/>
            <w:tcMar>
              <w:top w:w="0" w:type="dxa"/>
              <w:left w:w="0" w:type="dxa"/>
              <w:bottom w:w="0" w:type="dxa"/>
              <w:right w:w="0" w:type="dxa"/>
            </w:tcMar>
          </w:tcPr>
          <w:p>
            <w:pPr>
              <w:spacing w:before="200"/>
              <w:ind w:left="100"/>
            </w:pPr>
            <w:r>
              <w:rPr>
                <w:rFonts w:hint="eastAsia" w:ascii="宋体" w:hAnsi="宋体" w:eastAsia="宋体" w:cs="宋体"/>
                <w:sz w:val="21"/>
              </w:rPr>
              <w:t>中国证券</w:t>
            </w:r>
          </w:p>
          <w:p>
            <w:pPr>
              <w:spacing w:before="80"/>
              <w:ind w:left="100"/>
            </w:pPr>
            <w:r>
              <w:rPr>
                <w:rFonts w:hint="eastAsia" w:ascii="宋体" w:hAnsi="宋体" w:eastAsia="宋体" w:cs="宋体"/>
                <w:sz w:val="21"/>
              </w:rPr>
              <w:t>业协会</w:t>
            </w:r>
          </w:p>
        </w:tc>
        <w:tc>
          <w:tcPr>
            <w:tcW w:w="5600" w:type="dxa"/>
            <w:tcMar>
              <w:top w:w="0" w:type="dxa"/>
              <w:left w:w="0" w:type="dxa"/>
              <w:bottom w:w="0" w:type="dxa"/>
              <w:right w:w="0" w:type="dxa"/>
            </w:tcMar>
          </w:tcPr>
          <w:p>
            <w:pPr>
              <w:spacing w:before="40"/>
              <w:ind w:left="100"/>
            </w:pPr>
            <w:r>
              <w:rPr>
                <w:rFonts w:hint="eastAsia" w:ascii="宋体" w:hAnsi="宋体" w:eastAsia="宋体" w:cs="宋体"/>
                <w:sz w:val="21"/>
              </w:rPr>
              <w:t>将场外证券业务定义为在沪深交易所</w:t>
            </w:r>
            <w:r>
              <w:rPr>
                <w:rFonts w:hint="eastAsia" w:ascii="宋体" w:hAnsi="宋体" w:eastAsia="宋体" w:cs="宋体"/>
                <w:sz w:val="10"/>
              </w:rPr>
              <w:t>、</w:t>
            </w:r>
            <w:r>
              <w:rPr>
                <w:rFonts w:hint="eastAsia" w:ascii="宋体" w:hAnsi="宋体" w:eastAsia="宋体" w:cs="宋体"/>
                <w:sz w:val="21"/>
              </w:rPr>
              <w:t>期货交易所和全国中</w:t>
            </w:r>
          </w:p>
          <w:p>
            <w:pPr>
              <w:spacing w:before="80"/>
              <w:ind w:left="100"/>
            </w:pPr>
            <w:r>
              <w:rPr>
                <w:rFonts w:hint="eastAsia" w:ascii="宋体" w:hAnsi="宋体" w:eastAsia="宋体" w:cs="宋体"/>
                <w:sz w:val="21"/>
              </w:rPr>
              <w:t>小企业股份转让系统以外开展的证券业务</w:t>
            </w:r>
            <w:r>
              <w:rPr>
                <w:rFonts w:hint="eastAsia" w:ascii="Times New Roman" w:hAnsi="Times New Roman" w:eastAsia="Times New Roman" w:cs="Times New Roman"/>
                <w:sz w:val="20"/>
              </w:rPr>
              <w:t>,</w:t>
            </w:r>
            <w:r>
              <w:rPr>
                <w:rFonts w:hint="eastAsia" w:ascii="宋体" w:hAnsi="宋体" w:eastAsia="宋体" w:cs="宋体"/>
                <w:sz w:val="21"/>
              </w:rPr>
              <w:t>包括私募股权众</w:t>
            </w:r>
          </w:p>
          <w:p>
            <w:pPr>
              <w:spacing w:before="100"/>
              <w:ind w:left="100"/>
            </w:pPr>
            <w:r>
              <w:rPr>
                <w:rFonts w:hint="eastAsia" w:ascii="宋体" w:hAnsi="宋体" w:eastAsia="宋体" w:cs="宋体"/>
                <w:sz w:val="21"/>
              </w:rPr>
              <w:t>筹等超过</w:t>
            </w:r>
            <w:r>
              <w:rPr>
                <w:rFonts w:hint="eastAsia" w:ascii="Times New Roman" w:hAnsi="Times New Roman" w:eastAsia="Times New Roman" w:cs="Times New Roman"/>
                <w:sz w:val="21"/>
              </w:rPr>
              <w:t xml:space="preserve"> 13</w:t>
            </w:r>
            <w:r>
              <w:rPr>
                <w:rFonts w:hint="eastAsia" w:ascii="宋体" w:hAnsi="宋体" w:eastAsia="宋体" w:cs="宋体"/>
                <w:sz w:val="21"/>
              </w:rPr>
              <w:t xml:space="preserve"> 项业务</w:t>
            </w:r>
          </w:p>
        </w:tc>
      </w:tr>
    </w:tbl>
    <w:p>
      <w:pPr>
        <w:spacing w:line="200" w:lineRule="exact"/>
        <w:rPr>
          <w:rFonts w:hint="eastAsia" w:ascii="宋体" w:hAnsi="宋体" w:eastAsia="宋体" w:cs="宋体"/>
          <w:sz w:val="20"/>
        </w:rPr>
      </w:pPr>
    </w:p>
    <w:p>
      <w:pPr>
        <w:autoSpaceDE w:val="false"/>
        <w:autoSpaceDN w:val="false"/>
        <w:spacing w:line="360" w:lineRule="exact"/>
        <w:ind w:left="5660"/>
        <w:jc w:val="both"/>
      </w:pPr>
      <w:r>
        <w:rPr>
          <w:rFonts w:hint="eastAsia" w:ascii="Times New Roman" w:hAnsi="Times New Roman" w:eastAsia="Times New Roman" w:cs="Times New Roman"/>
          <w:sz w:val="21"/>
        </w:rPr>
        <w:t>1-1-99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发行人业务经营符合证券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电子交易市场等金融行业监管部门的监管规定</w:t>
      </w:r>
      <w:r>
        <w:rPr>
          <w:rFonts w:hint="eastAsia" w:ascii="宋体" w:hAnsi="宋体" w:eastAsia="宋体" w:cs="宋体"/>
          <w:sz w:val="10"/>
        </w:rPr>
        <w:t>，</w:t>
      </w:r>
      <w:r>
        <w:rPr>
          <w:rFonts w:hint="eastAsia" w:ascii="宋体" w:hAnsi="宋体" w:eastAsia="宋体" w:cs="宋体"/>
          <w:sz w:val="24"/>
        </w:rPr>
        <w:t>不存在向不具有经营证券业务资质的机构或个人销售具有证券业务属性的软件</w:t>
      </w:r>
      <w:r>
        <w:rPr>
          <w:rFonts w:hint="eastAsia" w:ascii="宋体" w:hAnsi="宋体" w:eastAsia="宋体" w:cs="宋体"/>
          <w:sz w:val="10"/>
        </w:rPr>
        <w:t>，</w:t>
      </w:r>
      <w:r>
        <w:rPr>
          <w:rFonts w:hint="eastAsia" w:ascii="宋体" w:hAnsi="宋体" w:eastAsia="宋体" w:cs="宋体"/>
          <w:sz w:val="24"/>
        </w:rPr>
        <w:t>或向其提供服务的情形</w:t>
      </w:r>
      <w:r>
        <w:rPr>
          <w:rFonts w:hint="eastAsia" w:ascii="宋体" w:hAnsi="宋体" w:eastAsia="宋体" w:cs="宋体"/>
          <w:sz w:val="10"/>
        </w:rPr>
        <w:t>，</w:t>
      </w:r>
      <w:r>
        <w:rPr>
          <w:rFonts w:hint="eastAsia" w:ascii="宋体" w:hAnsi="宋体" w:eastAsia="宋体" w:cs="宋体"/>
          <w:sz w:val="24"/>
        </w:rPr>
        <w:t>不存在非法经营证券业务的情形</w:t>
      </w:r>
      <w:r>
        <w:rPr>
          <w:rFonts w:hint="eastAsia" w:ascii="宋体" w:hAnsi="宋体" w:eastAsia="宋体" w:cs="宋体"/>
          <w:sz w:val="10"/>
        </w:rPr>
        <w:t>，</w:t>
      </w:r>
      <w:r>
        <w:rPr>
          <w:rFonts w:hint="eastAsia" w:ascii="宋体" w:hAnsi="宋体" w:eastAsia="宋体" w:cs="宋体"/>
          <w:sz w:val="24"/>
        </w:rPr>
        <w:t>不存在违反《证券法》等相关法律法规规定的情形</w:t>
      </w:r>
      <w:r>
        <w:rPr>
          <w:rFonts w:hint="eastAsia" w:ascii="宋体" w:hAnsi="宋体" w:eastAsia="宋体" w:cs="宋体"/>
          <w:sz w:val="10"/>
        </w:rPr>
        <w:t>。</w:t>
      </w:r>
      <w:r>
        <w:rPr>
          <w:rFonts w:hint="eastAsia" w:ascii="宋体" w:hAnsi="宋体" w:eastAsia="宋体" w:cs="宋体"/>
          <w:sz w:val="24"/>
        </w:rPr>
        <w:t>监管部门及有关证券机构对发行人从事相关领域业务的资质没有特殊要求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对发行人经营发展的影响</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软件产业是我国经济社会发展的先导性</w:t>
      </w:r>
      <w:r>
        <w:rPr>
          <w:rFonts w:hint="eastAsia" w:ascii="宋体" w:hAnsi="宋体" w:eastAsia="宋体" w:cs="宋体"/>
          <w:sz w:val="10"/>
        </w:rPr>
        <w:t>、</w:t>
      </w:r>
      <w:r>
        <w:rPr>
          <w:rFonts w:hint="eastAsia" w:ascii="宋体" w:hAnsi="宋体" w:eastAsia="宋体" w:cs="宋体"/>
          <w:sz w:val="24"/>
        </w:rPr>
        <w:t>战略性产业</w:t>
      </w:r>
      <w:r>
        <w:rPr>
          <w:rFonts w:hint="eastAsia" w:ascii="宋体" w:hAnsi="宋体" w:eastAsia="宋体" w:cs="宋体"/>
          <w:sz w:val="10"/>
        </w:rPr>
        <w:t>，</w:t>
      </w:r>
      <w:r>
        <w:rPr>
          <w:rFonts w:hint="eastAsia" w:ascii="宋体" w:hAnsi="宋体" w:eastAsia="宋体" w:cs="宋体"/>
          <w:sz w:val="24"/>
        </w:rPr>
        <w:t>软件技术的发明创造和广泛应用能够加强高新技术在传统产业的应用</w:t>
      </w:r>
      <w:r>
        <w:rPr>
          <w:rFonts w:hint="eastAsia" w:ascii="宋体" w:hAnsi="宋体" w:eastAsia="宋体" w:cs="宋体"/>
          <w:sz w:val="10"/>
        </w:rPr>
        <w:t>，</w:t>
      </w:r>
      <w:r>
        <w:rPr>
          <w:rFonts w:hint="eastAsia" w:ascii="宋体" w:hAnsi="宋体" w:eastAsia="宋体" w:cs="宋体"/>
          <w:sz w:val="24"/>
        </w:rPr>
        <w:t>推进我国信息化和工业化融合</w:t>
      </w:r>
      <w:r>
        <w:rPr>
          <w:rFonts w:hint="eastAsia" w:ascii="宋体" w:hAnsi="宋体" w:eastAsia="宋体" w:cs="宋体"/>
          <w:sz w:val="10"/>
        </w:rPr>
        <w:t>，</w:t>
      </w:r>
      <w:r>
        <w:rPr>
          <w:rFonts w:hint="eastAsia" w:ascii="宋体" w:hAnsi="宋体" w:eastAsia="宋体" w:cs="宋体"/>
          <w:sz w:val="24"/>
        </w:rPr>
        <w:t>推动我国经济发展和产业结构转型</w:t>
      </w:r>
      <w:r>
        <w:rPr>
          <w:rFonts w:hint="eastAsia" w:ascii="宋体" w:hAnsi="宋体" w:eastAsia="宋体" w:cs="宋体"/>
          <w:sz w:val="10"/>
        </w:rPr>
        <w:t>。</w:t>
      </w:r>
      <w:r>
        <w:rPr>
          <w:rFonts w:hint="eastAsia" w:ascii="宋体" w:hAnsi="宋体" w:eastAsia="宋体" w:cs="宋体"/>
          <w:sz w:val="24"/>
        </w:rPr>
        <w:t>我国政府对软件产业发展高度重视</w:t>
      </w:r>
      <w:r>
        <w:rPr>
          <w:rFonts w:hint="eastAsia" w:ascii="宋体" w:hAnsi="宋体" w:eastAsia="宋体" w:cs="宋体"/>
          <w:sz w:val="10"/>
        </w:rPr>
        <w:t>，</w:t>
      </w:r>
      <w:r>
        <w:rPr>
          <w:rFonts w:hint="eastAsia" w:ascii="宋体" w:hAnsi="宋体" w:eastAsia="宋体" w:cs="宋体"/>
          <w:sz w:val="24"/>
        </w:rPr>
        <w:t>陆续出台鼓励软件产业相关政策</w:t>
      </w:r>
      <w:r>
        <w:rPr>
          <w:rFonts w:hint="eastAsia" w:ascii="宋体" w:hAnsi="宋体" w:eastAsia="宋体" w:cs="宋体"/>
          <w:sz w:val="10"/>
        </w:rPr>
        <w:t>。</w:t>
      </w:r>
      <w:r>
        <w:rPr>
          <w:rFonts w:hint="eastAsia" w:ascii="Times New Roman" w:hAnsi="Times New Roman" w:eastAsia="Times New Roman" w:cs="Times New Roman"/>
          <w:sz w:val="24"/>
        </w:rPr>
        <w:t>2010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国家颁布《国民经济和社会发展第十二个五年规划纲要》，</w:t>
      </w:r>
      <w:r>
        <w:rPr>
          <w:rFonts w:hint="eastAsia" w:ascii="宋体" w:hAnsi="宋体" w:eastAsia="宋体" w:cs="宋体"/>
          <w:sz w:val="24"/>
        </w:rPr>
        <w:t>该规划纲要要求</w:t>
      </w:r>
      <w:r>
        <w:rPr>
          <w:rFonts w:hint="eastAsia" w:ascii="宋体" w:hAnsi="宋体" w:eastAsia="宋体" w:cs="宋体"/>
          <w:sz w:val="10"/>
        </w:rPr>
        <w:t>“</w:t>
      </w:r>
      <w:r>
        <w:rPr>
          <w:rFonts w:hint="eastAsia" w:ascii="宋体" w:hAnsi="宋体" w:eastAsia="宋体" w:cs="宋体"/>
          <w:sz w:val="24"/>
        </w:rPr>
        <w:t>全面提高信息化水平</w:t>
      </w:r>
      <w:r>
        <w:rPr>
          <w:rFonts w:hint="eastAsia" w:ascii="宋体" w:hAnsi="宋体" w:eastAsia="宋体" w:cs="宋体"/>
          <w:sz w:val="10"/>
        </w:rPr>
        <w:t>，</w:t>
      </w:r>
      <w:r>
        <w:rPr>
          <w:rFonts w:hint="eastAsia" w:ascii="宋体" w:hAnsi="宋体" w:eastAsia="宋体" w:cs="宋体"/>
          <w:sz w:val="24"/>
        </w:rPr>
        <w:t>推动信息化和工业化深度融合</w:t>
      </w:r>
      <w:r>
        <w:rPr>
          <w:rFonts w:hint="eastAsia" w:ascii="宋体" w:hAnsi="宋体" w:eastAsia="宋体" w:cs="宋体"/>
          <w:sz w:val="10"/>
        </w:rPr>
        <w:t>，</w:t>
      </w:r>
      <w:r>
        <w:rPr>
          <w:rFonts w:hint="eastAsia" w:ascii="宋体" w:hAnsi="宋体" w:eastAsia="宋体" w:cs="宋体"/>
          <w:sz w:val="24"/>
        </w:rPr>
        <w:t>加快经济社会各领域信息化</w:t>
      </w:r>
      <w:r>
        <w:rPr>
          <w:rFonts w:hint="eastAsia" w:ascii="宋体" w:hAnsi="宋体" w:eastAsia="宋体" w:cs="宋体"/>
          <w:sz w:val="10"/>
        </w:rPr>
        <w:t>，</w:t>
      </w:r>
      <w:r>
        <w:rPr>
          <w:rFonts w:hint="eastAsia" w:ascii="宋体" w:hAnsi="宋体" w:eastAsia="宋体" w:cs="宋体"/>
          <w:sz w:val="24"/>
        </w:rPr>
        <w:t>发展和提升软件产业</w:t>
      </w:r>
      <w:r>
        <w:rPr>
          <w:rFonts w:hint="eastAsia" w:ascii="宋体" w:hAnsi="宋体" w:eastAsia="宋体" w:cs="宋体"/>
          <w:sz w:val="10"/>
        </w:rPr>
        <w:t>”。</w:t>
      </w:r>
      <w:r>
        <w:rPr>
          <w:rFonts w:hint="eastAsia" w:ascii="Times New Roman" w:hAnsi="Times New Roman" w:eastAsia="Times New Roman" w:cs="Times New Roman"/>
          <w:sz w:val="24"/>
        </w:rPr>
        <w:t>2011</w:t>
      </w:r>
      <w:r>
        <w:rPr>
          <w:rFonts w:hint="eastAsia" w:ascii="宋体" w:hAnsi="宋体" w:eastAsia="宋体" w:cs="宋体"/>
          <w:sz w:val="24"/>
        </w:rPr>
        <w:t>年</w:t>
      </w:r>
      <w:r>
        <w:rPr>
          <w:rFonts w:hint="eastAsia" w:ascii="宋体" w:hAnsi="宋体" w:eastAsia="宋体" w:cs="宋体"/>
          <w:sz w:val="10"/>
        </w:rPr>
        <w:t>，</w:t>
      </w:r>
      <w:r>
        <w:rPr>
          <w:rFonts w:hint="eastAsia" w:ascii="宋体" w:hAnsi="宋体" w:eastAsia="宋体" w:cs="宋体"/>
          <w:sz w:val="24"/>
        </w:rPr>
        <w:t>国务院颁布《进一步鼓励软件产业和集成电路产业发展的若干政策》，</w:t>
      </w:r>
      <w:r>
        <w:rPr>
          <w:rFonts w:hint="eastAsia" w:ascii="宋体" w:hAnsi="宋体" w:eastAsia="宋体" w:cs="宋体"/>
          <w:sz w:val="24"/>
        </w:rPr>
        <w:t>软件产业作为</w:t>
      </w:r>
      <w:r>
        <w:rPr>
          <w:rFonts w:hint="eastAsia" w:ascii="宋体" w:hAnsi="宋体" w:eastAsia="宋体" w:cs="宋体"/>
          <w:sz w:val="10"/>
        </w:rPr>
        <w:t>“</w:t>
      </w:r>
      <w:r>
        <w:rPr>
          <w:rFonts w:hint="eastAsia" w:ascii="宋体" w:hAnsi="宋体" w:eastAsia="宋体" w:cs="宋体"/>
          <w:sz w:val="24"/>
        </w:rPr>
        <w:t>十二五</w:t>
      </w:r>
      <w:r>
        <w:rPr>
          <w:rFonts w:hint="eastAsia" w:ascii="宋体" w:hAnsi="宋体" w:eastAsia="宋体" w:cs="宋体"/>
          <w:sz w:val="10"/>
        </w:rPr>
        <w:t>”</w:t>
      </w:r>
      <w:r>
        <w:rPr>
          <w:rFonts w:hint="eastAsia" w:ascii="宋体" w:hAnsi="宋体" w:eastAsia="宋体" w:cs="宋体"/>
          <w:sz w:val="24"/>
        </w:rPr>
        <w:t>规划的战略性新兴产业</w:t>
      </w:r>
      <w:r>
        <w:rPr>
          <w:rFonts w:hint="eastAsia" w:ascii="宋体" w:hAnsi="宋体" w:eastAsia="宋体" w:cs="宋体"/>
          <w:sz w:val="10"/>
        </w:rPr>
        <w:t>，</w:t>
      </w:r>
      <w:r>
        <w:rPr>
          <w:rFonts w:hint="eastAsia" w:ascii="宋体" w:hAnsi="宋体" w:eastAsia="宋体" w:cs="宋体"/>
          <w:sz w:val="24"/>
        </w:rPr>
        <w:t>未来将会迎来更大的市场发展机遇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（二）软件行业概况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软件行业发展的基本情况</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近</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年来</w:t>
      </w:r>
      <w:r>
        <w:rPr>
          <w:rFonts w:hint="eastAsia" w:ascii="宋体" w:hAnsi="宋体" w:eastAsia="宋体" w:cs="宋体"/>
          <w:sz w:val="10"/>
        </w:rPr>
        <w:t>，</w:t>
      </w:r>
      <w:r>
        <w:rPr>
          <w:rFonts w:hint="eastAsia" w:ascii="宋体" w:hAnsi="宋体" w:eastAsia="宋体" w:cs="宋体"/>
          <w:sz w:val="24"/>
        </w:rPr>
        <w:t>信息技术已逐渐成为国民经济发展的强大动力</w:t>
      </w:r>
      <w:r>
        <w:rPr>
          <w:rFonts w:hint="eastAsia" w:ascii="宋体" w:hAnsi="宋体" w:eastAsia="宋体" w:cs="宋体"/>
          <w:sz w:val="10"/>
        </w:rPr>
        <w:t>，</w:t>
      </w:r>
      <w:r>
        <w:rPr>
          <w:rFonts w:hint="eastAsia" w:ascii="宋体" w:hAnsi="宋体" w:eastAsia="宋体" w:cs="宋体"/>
          <w:sz w:val="24"/>
        </w:rPr>
        <w:t>信息产业作为关系到国民经济和社会发展全局的基础性</w:t>
      </w:r>
      <w:r>
        <w:rPr>
          <w:rFonts w:hint="eastAsia" w:ascii="宋体" w:hAnsi="宋体" w:eastAsia="宋体" w:cs="宋体"/>
          <w:sz w:val="10"/>
        </w:rPr>
        <w:t>、</w:t>
      </w:r>
      <w:r>
        <w:rPr>
          <w:rFonts w:hint="eastAsia" w:ascii="宋体" w:hAnsi="宋体" w:eastAsia="宋体" w:cs="宋体"/>
          <w:sz w:val="24"/>
        </w:rPr>
        <w:t>战略性</w:t>
      </w:r>
      <w:r>
        <w:rPr>
          <w:rFonts w:hint="eastAsia" w:ascii="宋体" w:hAnsi="宋体" w:eastAsia="宋体" w:cs="宋体"/>
          <w:sz w:val="10"/>
        </w:rPr>
        <w:t>、</w:t>
      </w:r>
      <w:r>
        <w:rPr>
          <w:rFonts w:hint="eastAsia" w:ascii="宋体" w:hAnsi="宋体" w:eastAsia="宋体" w:cs="宋体"/>
          <w:sz w:val="24"/>
        </w:rPr>
        <w:t>先导性产业受到了越来越多的重视</w:t>
      </w:r>
      <w:r>
        <w:rPr>
          <w:rFonts w:hint="eastAsia" w:ascii="宋体" w:hAnsi="宋体" w:eastAsia="宋体" w:cs="宋体"/>
          <w:sz w:val="10"/>
        </w:rPr>
        <w:t>。</w:t>
      </w:r>
      <w:r>
        <w:rPr>
          <w:rFonts w:hint="eastAsia" w:ascii="宋体" w:hAnsi="宋体" w:eastAsia="宋体" w:cs="宋体"/>
          <w:sz w:val="24"/>
        </w:rPr>
        <w:t>我国政府始终高度重视我国软件行业的发展</w:t>
      </w:r>
      <w:r>
        <w:rPr>
          <w:rFonts w:hint="eastAsia" w:ascii="宋体" w:hAnsi="宋体" w:eastAsia="宋体" w:cs="宋体"/>
          <w:sz w:val="10"/>
        </w:rPr>
        <w:t>，</w:t>
      </w:r>
      <w:r>
        <w:rPr>
          <w:rFonts w:hint="eastAsia" w:ascii="宋体" w:hAnsi="宋体" w:eastAsia="宋体" w:cs="宋体"/>
          <w:sz w:val="24"/>
        </w:rPr>
        <w:t>相继出台</w:t>
      </w:r>
      <w:r>
        <w:rPr>
          <w:rFonts w:hint="eastAsia" w:ascii="宋体" w:hAnsi="宋体" w:eastAsia="宋体" w:cs="宋体"/>
          <w:sz w:val="10"/>
        </w:rPr>
        <w:t>一</w:t>
      </w:r>
      <w:r>
        <w:rPr>
          <w:rFonts w:hint="eastAsia" w:ascii="宋体" w:hAnsi="宋体" w:eastAsia="宋体" w:cs="宋体"/>
          <w:sz w:val="24"/>
        </w:rPr>
        <w:t>系列鼓励</w:t>
      </w:r>
      <w:r>
        <w:rPr>
          <w:rFonts w:hint="eastAsia" w:ascii="宋体" w:hAnsi="宋体" w:eastAsia="宋体" w:cs="宋体"/>
          <w:sz w:val="10"/>
        </w:rPr>
        <w:t>、</w:t>
      </w:r>
      <w:r>
        <w:rPr>
          <w:rFonts w:hint="eastAsia" w:ascii="宋体" w:hAnsi="宋体" w:eastAsia="宋体" w:cs="宋体"/>
          <w:sz w:val="24"/>
        </w:rPr>
        <w:t>支持软件行业发展的政策法规</w:t>
      </w:r>
      <w:r>
        <w:rPr>
          <w:rFonts w:hint="eastAsia" w:ascii="宋体" w:hAnsi="宋体" w:eastAsia="宋体" w:cs="宋体"/>
          <w:sz w:val="10"/>
        </w:rPr>
        <w:t>，</w:t>
      </w:r>
      <w:r>
        <w:rPr>
          <w:rFonts w:hint="eastAsia" w:ascii="宋体" w:hAnsi="宋体" w:eastAsia="宋体" w:cs="宋体"/>
          <w:sz w:val="24"/>
        </w:rPr>
        <w:t>从制度层面提供了行业发展的良好环境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近年来</w:t>
      </w:r>
      <w:r>
        <w:rPr>
          <w:rFonts w:hint="eastAsia" w:ascii="宋体" w:hAnsi="宋体" w:eastAsia="宋体" w:cs="宋体"/>
          <w:sz w:val="10"/>
        </w:rPr>
        <w:t>，</w:t>
      </w:r>
      <w:r>
        <w:rPr>
          <w:rFonts w:hint="eastAsia" w:ascii="宋体" w:hAnsi="宋体" w:eastAsia="宋体" w:cs="宋体"/>
          <w:sz w:val="24"/>
        </w:rPr>
        <w:t>随着我国工业化进程的加快及信息化投入的逐年增加</w:t>
      </w:r>
      <w:r>
        <w:rPr>
          <w:rFonts w:hint="eastAsia" w:ascii="宋体" w:hAnsi="宋体" w:eastAsia="宋体" w:cs="宋体"/>
          <w:sz w:val="10"/>
        </w:rPr>
        <w:t>，</w:t>
      </w:r>
      <w:r>
        <w:rPr>
          <w:rFonts w:hint="eastAsia" w:ascii="宋体" w:hAnsi="宋体" w:eastAsia="宋体" w:cs="宋体"/>
          <w:sz w:val="24"/>
        </w:rPr>
        <w:t>我国软件产业总体保持平稳较快发展</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年我国软件和信息技术服务业共实现软件业务收入</w:t>
      </w:r>
      <w:r>
        <w:rPr>
          <w:rFonts w:hint="eastAsia" w:ascii="Times New Roman" w:hAnsi="Times New Roman" w:eastAsia="Times New Roman" w:cs="Times New Roman"/>
          <w:sz w:val="24"/>
        </w:rPr>
        <w:t xml:space="preserve"> 42,848</w:t>
      </w:r>
      <w:r>
        <w:rPr>
          <w:rFonts w:hint="eastAsia" w:ascii="宋体" w:hAnsi="宋体" w:eastAsia="宋体" w:cs="宋体"/>
          <w:sz w:val="24"/>
        </w:rPr>
        <w:t xml:space="preserve"> 亿元</w:t>
      </w:r>
      <w:r>
        <w:rPr>
          <w:rFonts w:hint="eastAsia" w:ascii="宋体" w:hAnsi="宋体" w:eastAsia="宋体" w:cs="宋体"/>
          <w:sz w:val="10"/>
        </w:rPr>
        <w:t>，</w:t>
      </w:r>
      <w:r>
        <w:rPr>
          <w:rFonts w:hint="eastAsia" w:ascii="宋体" w:hAnsi="宋体" w:eastAsia="宋体" w:cs="宋体"/>
          <w:sz w:val="24"/>
        </w:rPr>
        <w:t>其中软件产品收入</w:t>
      </w:r>
      <w:r>
        <w:rPr>
          <w:rFonts w:hint="eastAsia" w:ascii="Times New Roman" w:hAnsi="Times New Roman" w:eastAsia="Times New Roman" w:cs="Times New Roman"/>
          <w:sz w:val="24"/>
        </w:rPr>
        <w:t xml:space="preserve"> 13,656</w:t>
      </w:r>
      <w:r>
        <w:rPr>
          <w:rFonts w:hint="eastAsia" w:ascii="宋体" w:hAnsi="宋体" w:eastAsia="宋体" w:cs="宋体"/>
          <w:sz w:val="24"/>
        </w:rPr>
        <w:t xml:space="preserve"> 亿元</w:t>
      </w:r>
      <w:r>
        <w:rPr>
          <w:rFonts w:hint="eastAsia" w:ascii="宋体" w:hAnsi="宋体" w:eastAsia="宋体" w:cs="宋体"/>
          <w:sz w:val="10"/>
        </w:rPr>
        <w:t>，</w:t>
      </w:r>
      <w:r>
        <w:rPr>
          <w:rFonts w:hint="eastAsia" w:ascii="宋体" w:hAnsi="宋体" w:eastAsia="宋体" w:cs="宋体"/>
          <w:sz w:val="24"/>
        </w:rPr>
        <w:t>信息技术服务收入</w:t>
      </w:r>
      <w:r>
        <w:rPr>
          <w:rFonts w:hint="eastAsia" w:ascii="Times New Roman" w:hAnsi="Times New Roman" w:eastAsia="Times New Roman" w:cs="Times New Roman"/>
          <w:sz w:val="24"/>
        </w:rPr>
        <w:t xml:space="preserve"> 22,211</w:t>
      </w:r>
      <w:r>
        <w:rPr>
          <w:rFonts w:hint="eastAsia" w:ascii="宋体" w:hAnsi="宋体" w:eastAsia="宋体" w:cs="宋体"/>
          <w:sz w:val="24"/>
        </w:rPr>
        <w:t xml:space="preserve"> 亿元</w:t>
      </w:r>
      <w:r>
        <w:rPr>
          <w:rFonts w:hint="eastAsia" w:ascii="宋体" w:hAnsi="宋体" w:eastAsia="宋体" w:cs="宋体"/>
          <w:sz w:val="10"/>
        </w:rPr>
        <w:t>，</w:t>
      </w:r>
      <w:r>
        <w:rPr>
          <w:rFonts w:hint="eastAsia" w:ascii="宋体" w:hAnsi="宋体" w:eastAsia="宋体" w:cs="宋体"/>
          <w:sz w:val="24"/>
        </w:rPr>
        <w:t>嵌入式系统软件收入</w:t>
      </w:r>
      <w:r>
        <w:rPr>
          <w:rFonts w:hint="eastAsia" w:ascii="Times New Roman" w:hAnsi="Times New Roman" w:eastAsia="Times New Roman" w:cs="Times New Roman"/>
          <w:sz w:val="24"/>
        </w:rPr>
        <w:t xml:space="preserve"> 6,981</w:t>
      </w:r>
      <w:r>
        <w:rPr>
          <w:rFonts w:hint="eastAsia" w:ascii="宋体" w:hAnsi="宋体" w:eastAsia="宋体" w:cs="宋体"/>
          <w:sz w:val="24"/>
        </w:rPr>
        <w:t xml:space="preserve"> 亿元</w:t>
      </w:r>
      <w:r>
        <w:rPr>
          <w:rFonts w:hint="eastAsia" w:ascii="宋体" w:hAnsi="宋体" w:eastAsia="宋体" w:cs="宋体"/>
          <w:sz w:val="10"/>
        </w:rPr>
        <w:t>。</w:t>
      </w:r>
      <w:r>
        <w:rPr>
          <w:rFonts w:hint="eastAsia" w:ascii="Times New Roman" w:hAnsi="Times New Roman" w:eastAsia="Times New Roman" w:cs="Times New Roman"/>
          <w:sz w:val="24"/>
        </w:rPr>
        <w:t>2008</w:t>
      </w:r>
      <w:r>
        <w:rPr>
          <w:rFonts w:hint="eastAsia" w:ascii="宋体" w:hAnsi="宋体" w:eastAsia="宋体" w:cs="宋体"/>
          <w:sz w:val="24"/>
        </w:rPr>
        <w:t xml:space="preserve"> 至</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我国软件产业收入的复合增长率达到</w:t>
      </w:r>
      <w:r>
        <w:rPr>
          <w:rFonts w:hint="eastAsia" w:ascii="Times New Roman" w:hAnsi="Times New Roman" w:eastAsia="Times New Roman" w:cs="Times New Roman"/>
          <w:sz w:val="24"/>
        </w:rPr>
        <w:t xml:space="preserve"> 28.09%</w:t>
      </w:r>
      <w:r>
        <w:rPr>
          <w:rFonts w:hint="eastAsia" w:ascii="宋体" w:hAnsi="宋体" w:eastAsia="宋体" w:cs="宋体"/>
          <w:sz w:val="10"/>
        </w:rPr>
        <w:t>，</w:t>
      </w:r>
      <w:r>
        <w:rPr>
          <w:rFonts w:hint="eastAsia" w:ascii="宋体" w:hAnsi="宋体" w:eastAsia="宋体" w:cs="宋体"/>
          <w:sz w:val="24"/>
        </w:rPr>
        <w:t>显著高于同期我国</w:t>
      </w:r>
      <w:r>
        <w:rPr>
          <w:rFonts w:hint="eastAsia" w:ascii="Times New Roman" w:hAnsi="Times New Roman" w:eastAsia="Times New Roman" w:cs="Times New Roman"/>
          <w:sz w:val="24"/>
        </w:rPr>
        <w:t xml:space="preserve"> GDP</w:t>
      </w:r>
      <w:r>
        <w:rPr>
          <w:rFonts w:hint="eastAsia" w:ascii="宋体" w:hAnsi="宋体" w:eastAsia="宋体" w:cs="宋体"/>
          <w:sz w:val="24"/>
        </w:rPr>
        <w:t xml:space="preserve"> 的增速</w:t>
      </w:r>
      <w:r>
        <w:rPr>
          <w:rFonts w:hint="eastAsia" w:ascii="宋体" w:hAnsi="宋体" w:eastAsia="宋体" w:cs="宋体"/>
          <w:sz w:val="10"/>
        </w:rPr>
        <w:t>。</w:t>
      </w:r>
      <w:r>
        <w:rPr>
          <w:rFonts w:hint="eastAsia" w:ascii="宋体" w:hAnsi="宋体" w:eastAsia="宋体" w:cs="宋体"/>
          <w:sz w:val="24"/>
        </w:rPr>
        <w:t>软件行业在国民经济中的地位进一步提升</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1-1-100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1447800</wp:posOffset>
            </wp:positionH>
            <wp:positionV relativeFrom="page">
              <wp:posOffset>1790700</wp:posOffset>
            </wp:positionV>
            <wp:extent cx="4826000" cy="2806700"/>
            <wp:effectExtent l="0" t="0" r="0" b="0"/>
            <wp:wrapNone/>
            <wp:docPr id="6472" name="image6472" descr=""/>
            <wp:cNvGraphicFramePr>
              <a:graphicFrameLocks noChangeAspect="true"/>
            </wp:cNvGraphicFramePr>
            <a:graphic>
              <a:graphicData uri="http://schemas.openxmlformats.org/drawingml/2006/picture">
                <pic:pic>
                  <pic:nvPicPr>
                    <pic:cNvPr id="6472" name="image6472"/>
                    <pic:cNvPicPr/>
                  </pic:nvPicPr>
                  <pic:blipFill>
                    <a:blip r:embed="rId23"/>
                    <a:stretch>
                      <a:fillRect/>
                    </a:stretch>
                  </pic:blipFill>
                  <pic:spPr>
                    <a:xfrm>
                      <a:off x="0" y="0"/>
                      <a:ext cx="4826000" cy="28067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4020"/>
        <w:jc w:val="both"/>
      </w:pPr>
      <w:r>
        <w:rPr>
          <w:rFonts w:hint="eastAsia" w:ascii="宋体" w:hAnsi="宋体" w:eastAsia="宋体" w:cs="宋体"/>
          <w:b/>
          <w:sz w:val="24"/>
        </w:rPr>
        <w:t>我国软件和信息技术服务业收入变化情况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2280"/>
        <w:jc w:val="both"/>
      </w:pPr>
      <w:r>
        <w:rPr>
          <w:rFonts w:hint="eastAsia" w:ascii="宋体" w:hAnsi="宋体" w:eastAsia="宋体" w:cs="宋体"/>
          <w:sz w:val="21"/>
        </w:rPr>
        <w:t>资料来源</w:t>
      </w:r>
      <w:r>
        <w:rPr>
          <w:rFonts w:hint="eastAsia" w:ascii="宋体" w:hAnsi="宋体" w:eastAsia="宋体" w:cs="宋体"/>
          <w:sz w:val="10"/>
        </w:rPr>
        <w:t>：</w:t>
      </w:r>
      <w:r>
        <w:rPr>
          <w:rFonts w:hint="eastAsia" w:ascii="Times New Roman" w:hAnsi="Times New Roman" w:eastAsia="Times New Roman" w:cs="Times New Roman"/>
          <w:sz w:val="21"/>
        </w:rPr>
        <w:t>WIND</w:t>
      </w:r>
      <w:r>
        <w:rPr>
          <w:rFonts w:hint="eastAsia" w:ascii="宋体" w:hAnsi="宋体" w:eastAsia="宋体" w:cs="宋体"/>
          <w:sz w:val="10"/>
        </w:rPr>
        <w:t>，</w:t>
      </w:r>
      <w:r>
        <w:rPr>
          <w:rFonts w:hint="eastAsia" w:ascii="宋体" w:hAnsi="宋体" w:eastAsia="宋体" w:cs="宋体"/>
          <w:sz w:val="21"/>
        </w:rPr>
        <w:t>工业与信息化部</w:t>
      </w:r>
      <w:r>
        <w:rPr>
          <w:rFonts w:hint="eastAsia" w:ascii="宋体" w:hAnsi="宋体" w:eastAsia="宋体" w:cs="宋体"/>
          <w:sz w:val="20"/>
        </w:rPr>
        <w:t>《</w:t>
      </w:r>
      <w:r>
        <w:rPr>
          <w:rFonts w:hint="eastAsia" w:ascii="宋体" w:hAnsi="宋体" w:eastAsia="宋体" w:cs="宋体"/>
          <w:sz w:val="21"/>
        </w:rPr>
        <w:t>软件产业主要经济指标完成情况</w:t>
      </w:r>
      <w:r>
        <w:rPr>
          <w:rFonts w:hint="eastAsia" w:ascii="宋体" w:hAnsi="宋体" w:eastAsia="宋体" w:cs="宋体"/>
          <w:sz w:val="20"/>
        </w:rPr>
        <w:t>》</w:t>
      </w:r>
    </w:p>
    <w:p>
      <w:pPr>
        <w:spacing w:line="200" w:lineRule="exact"/>
        <w:rPr>
          <w:rFonts w:hint="eastAsia" w:ascii="宋体" w:hAnsi="宋体" w:eastAsia="宋体" w:cs="宋体"/>
          <w:sz w:val="20"/>
        </w:rPr>
      </w:pPr>
    </w:p>
    <w:p>
      <w:pPr>
        <w:autoSpaceDE w:val="false"/>
        <w:autoSpaceDN w:val="false"/>
        <w:spacing w:line="36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软件行业的发展趋势</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）中国软件行业处于高速发展成长期</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当前</w:t>
      </w:r>
      <w:r>
        <w:rPr>
          <w:rFonts w:hint="eastAsia" w:ascii="宋体" w:hAnsi="宋体" w:eastAsia="宋体" w:cs="宋体"/>
          <w:sz w:val="10"/>
        </w:rPr>
        <w:t>，</w:t>
      </w:r>
      <w:r>
        <w:rPr>
          <w:rFonts w:hint="eastAsia" w:ascii="宋体" w:hAnsi="宋体" w:eastAsia="宋体" w:cs="宋体"/>
          <w:sz w:val="24"/>
        </w:rPr>
        <w:t>我国的软件行业正处于高速发展的成长期</w:t>
      </w:r>
      <w:r>
        <w:rPr>
          <w:rFonts w:hint="eastAsia" w:ascii="宋体" w:hAnsi="宋体" w:eastAsia="宋体" w:cs="宋体"/>
          <w:sz w:val="10"/>
        </w:rPr>
        <w:t>。</w:t>
      </w:r>
      <w:r>
        <w:rPr>
          <w:rFonts w:hint="eastAsia" w:ascii="宋体" w:hAnsi="宋体" w:eastAsia="宋体" w:cs="宋体"/>
          <w:sz w:val="24"/>
        </w:rPr>
        <w:t>未来随着我国软件行业的逐渐成熟</w:t>
      </w:r>
      <w:r>
        <w:rPr>
          <w:rFonts w:hint="eastAsia" w:ascii="宋体" w:hAnsi="宋体" w:eastAsia="宋体" w:cs="宋体"/>
          <w:sz w:val="10"/>
        </w:rPr>
        <w:t>，</w:t>
      </w:r>
      <w:r>
        <w:rPr>
          <w:rFonts w:hint="eastAsia" w:ascii="宋体" w:hAnsi="宋体" w:eastAsia="宋体" w:cs="宋体"/>
          <w:sz w:val="24"/>
        </w:rPr>
        <w:t>我国软件及</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服务收入将持续提高</w:t>
      </w:r>
      <w:r>
        <w:rPr>
          <w:rFonts w:hint="eastAsia" w:ascii="宋体" w:hAnsi="宋体" w:eastAsia="宋体" w:cs="宋体"/>
          <w:sz w:val="10"/>
        </w:rPr>
        <w:t>，</w:t>
      </w:r>
      <w:r>
        <w:rPr>
          <w:rFonts w:hint="eastAsia" w:ascii="宋体" w:hAnsi="宋体" w:eastAsia="宋体" w:cs="宋体"/>
          <w:sz w:val="24"/>
        </w:rPr>
        <w:t>发展空间广阔</w:t>
      </w:r>
      <w:r>
        <w:rPr>
          <w:rFonts w:hint="eastAsia" w:ascii="宋体" w:hAnsi="宋体" w:eastAsia="宋体" w:cs="宋体"/>
          <w:sz w:val="10"/>
        </w:rPr>
        <w:t>。</w:t>
      </w:r>
      <w:r>
        <w:rPr>
          <w:rFonts w:hint="eastAsia" w:ascii="宋体" w:hAnsi="宋体" w:eastAsia="宋体" w:cs="宋体"/>
          <w:sz w:val="24"/>
        </w:rPr>
        <w:t>我国企业用户的</w:t>
      </w:r>
      <w:r>
        <w:rPr>
          <w:rFonts w:hint="eastAsia" w:ascii="Times New Roman" w:hAnsi="Times New Roman" w:eastAsia="Times New Roman" w:cs="Times New Roman"/>
          <w:sz w:val="24"/>
        </w:rPr>
        <w:t>IT</w:t>
      </w:r>
      <w:r>
        <w:rPr>
          <w:rFonts w:hint="eastAsia" w:ascii="宋体" w:hAnsi="宋体" w:eastAsia="宋体" w:cs="宋体"/>
          <w:sz w:val="24"/>
        </w:rPr>
        <w:t xml:space="preserve"> 需求已经由基于信息系统基础构建转变成基于自身业务发展需要</w:t>
      </w:r>
      <w:r>
        <w:rPr>
          <w:rFonts w:hint="eastAsia" w:ascii="宋体" w:hAnsi="宋体" w:eastAsia="宋体" w:cs="宋体"/>
          <w:sz w:val="10"/>
        </w:rPr>
        <w:t>，</w:t>
      </w:r>
      <w:r>
        <w:rPr>
          <w:rFonts w:hint="eastAsia" w:ascii="宋体" w:hAnsi="宋体" w:eastAsia="宋体" w:cs="宋体"/>
          <w:sz w:val="24"/>
        </w:rPr>
        <w:t>因此各行业对于基于其自身行业特点的应用软件</w:t>
      </w:r>
      <w:r>
        <w:rPr>
          <w:rFonts w:hint="eastAsia" w:ascii="宋体" w:hAnsi="宋体" w:eastAsia="宋体" w:cs="宋体"/>
          <w:sz w:val="10"/>
        </w:rPr>
        <w:t>，</w:t>
      </w:r>
      <w:r>
        <w:rPr>
          <w:rFonts w:hint="eastAsia" w:ascii="宋体" w:hAnsi="宋体" w:eastAsia="宋体" w:cs="宋体"/>
          <w:sz w:val="24"/>
        </w:rPr>
        <w:t>连接应用软件和底层操作软件之间的中间件</w:t>
      </w:r>
      <w:r>
        <w:rPr>
          <w:rFonts w:hint="eastAsia" w:ascii="宋体" w:hAnsi="宋体" w:eastAsia="宋体" w:cs="宋体"/>
          <w:sz w:val="10"/>
        </w:rPr>
        <w:t>，</w:t>
      </w:r>
      <w:r>
        <w:rPr>
          <w:rFonts w:hint="eastAsia" w:ascii="宋体" w:hAnsi="宋体" w:eastAsia="宋体" w:cs="宋体"/>
          <w:sz w:val="24"/>
        </w:rPr>
        <w:t>跨行业的管理软件以及基于现有系统的专业化服务呈现出旺盛的需求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）受益于经济转型</w:t>
      </w:r>
      <w:r>
        <w:rPr>
          <w:rFonts w:hint="eastAsia" w:ascii="宋体" w:hAnsi="宋体" w:eastAsia="宋体" w:cs="宋体"/>
          <w:sz w:val="10"/>
        </w:rPr>
        <w:t>、</w:t>
      </w:r>
      <w:r>
        <w:rPr>
          <w:rFonts w:hint="eastAsia" w:ascii="宋体" w:hAnsi="宋体" w:eastAsia="宋体" w:cs="宋体"/>
          <w:sz w:val="24"/>
        </w:rPr>
        <w:t>产业升级及</w:t>
      </w:r>
      <w:r>
        <w:rPr>
          <w:rFonts w:hint="eastAsia" w:ascii="宋体" w:hAnsi="宋体" w:eastAsia="宋体" w:cs="宋体"/>
          <w:sz w:val="10"/>
        </w:rPr>
        <w:t>“</w:t>
      </w:r>
      <w:r>
        <w:rPr>
          <w:rFonts w:hint="eastAsia" w:ascii="宋体" w:hAnsi="宋体" w:eastAsia="宋体" w:cs="宋体"/>
          <w:sz w:val="24"/>
        </w:rPr>
        <w:t>两化融合</w:t>
      </w:r>
      <w:r>
        <w:rPr>
          <w:rFonts w:hint="eastAsia" w:ascii="宋体" w:hAnsi="宋体" w:eastAsia="宋体" w:cs="宋体"/>
          <w:sz w:val="10"/>
        </w:rPr>
        <w:t>”</w:t>
      </w:r>
      <w:r>
        <w:rPr>
          <w:rFonts w:hint="eastAsia" w:ascii="宋体" w:hAnsi="宋体" w:eastAsia="宋体" w:cs="宋体"/>
          <w:sz w:val="24"/>
        </w:rPr>
        <w:t>战略</w:t>
      </w:r>
      <w:r>
        <w:rPr>
          <w:rFonts w:hint="eastAsia" w:ascii="宋体" w:hAnsi="宋体" w:eastAsia="宋体" w:cs="宋体"/>
          <w:sz w:val="10"/>
        </w:rPr>
        <w:t>，</w:t>
      </w:r>
      <w:r>
        <w:rPr>
          <w:rFonts w:hint="eastAsia" w:ascii="宋体" w:hAnsi="宋体" w:eastAsia="宋体" w:cs="宋体"/>
          <w:sz w:val="24"/>
        </w:rPr>
        <w:t>我国软件行业将呈现加速发展态势</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我国目前正在进行经济转型和产业升级</w:t>
      </w:r>
      <w:r>
        <w:rPr>
          <w:rFonts w:hint="eastAsia" w:ascii="宋体" w:hAnsi="宋体" w:eastAsia="宋体" w:cs="宋体"/>
          <w:sz w:val="10"/>
        </w:rPr>
        <w:t>，</w:t>
      </w:r>
      <w:r>
        <w:rPr>
          <w:rFonts w:hint="eastAsia" w:ascii="宋体" w:hAnsi="宋体" w:eastAsia="宋体" w:cs="宋体"/>
          <w:sz w:val="24"/>
        </w:rPr>
        <w:t>提供具有自主知识产权</w:t>
      </w:r>
      <w:r>
        <w:rPr>
          <w:rFonts w:hint="eastAsia" w:ascii="宋体" w:hAnsi="宋体" w:eastAsia="宋体" w:cs="宋体"/>
          <w:sz w:val="10"/>
        </w:rPr>
        <w:t>、</w:t>
      </w:r>
      <w:r>
        <w:rPr>
          <w:rFonts w:hint="eastAsia" w:ascii="宋体" w:hAnsi="宋体" w:eastAsia="宋体" w:cs="宋体"/>
          <w:sz w:val="24"/>
        </w:rPr>
        <w:t>高附加值的生产和服务模式是各行业努力的方向</w:t>
      </w:r>
      <w:r>
        <w:rPr>
          <w:rFonts w:hint="eastAsia" w:ascii="宋体" w:hAnsi="宋体" w:eastAsia="宋体" w:cs="宋体"/>
          <w:sz w:val="10"/>
        </w:rPr>
        <w:t>。</w:t>
      </w:r>
      <w:r>
        <w:rPr>
          <w:rFonts w:hint="eastAsia" w:ascii="宋体" w:hAnsi="宋体" w:eastAsia="宋体" w:cs="宋体"/>
          <w:sz w:val="24"/>
        </w:rPr>
        <w:t>其中信息技术产业是经济转型和产业升级的支柱和先导</w:t>
      </w:r>
      <w:r>
        <w:rPr>
          <w:rFonts w:hint="eastAsia" w:ascii="宋体" w:hAnsi="宋体" w:eastAsia="宋体" w:cs="宋体"/>
          <w:sz w:val="10"/>
        </w:rPr>
        <w:t>。</w:t>
      </w:r>
      <w:r>
        <w:rPr>
          <w:rFonts w:hint="eastAsia" w:ascii="宋体" w:hAnsi="宋体" w:eastAsia="宋体" w:cs="宋体"/>
          <w:sz w:val="24"/>
        </w:rPr>
        <w:t>十八大进一步提出了</w:t>
      </w:r>
      <w:r>
        <w:rPr>
          <w:rFonts w:hint="eastAsia" w:ascii="宋体" w:hAnsi="宋体" w:eastAsia="宋体" w:cs="宋体"/>
          <w:sz w:val="10"/>
        </w:rPr>
        <w:t>“</w:t>
      </w:r>
      <w:r>
        <w:rPr>
          <w:rFonts w:hint="eastAsia" w:ascii="宋体" w:hAnsi="宋体" w:eastAsia="宋体" w:cs="宋体"/>
          <w:sz w:val="24"/>
        </w:rPr>
        <w:t>坚持走中国特色新型工业化</w:t>
      </w:r>
      <w:r>
        <w:rPr>
          <w:rFonts w:hint="eastAsia" w:ascii="宋体" w:hAnsi="宋体" w:eastAsia="宋体" w:cs="宋体"/>
          <w:sz w:val="10"/>
        </w:rPr>
        <w:t>、</w:t>
      </w:r>
      <w:r>
        <w:rPr>
          <w:rFonts w:hint="eastAsia" w:ascii="宋体" w:hAnsi="宋体" w:eastAsia="宋体" w:cs="宋体"/>
          <w:sz w:val="24"/>
        </w:rPr>
        <w:t>信息化</w:t>
      </w:r>
      <w:r>
        <w:rPr>
          <w:rFonts w:hint="eastAsia" w:ascii="宋体" w:hAnsi="宋体" w:eastAsia="宋体" w:cs="宋体"/>
          <w:sz w:val="10"/>
        </w:rPr>
        <w:t>、</w:t>
      </w:r>
      <w:r>
        <w:rPr>
          <w:rFonts w:hint="eastAsia" w:ascii="宋体" w:hAnsi="宋体" w:eastAsia="宋体" w:cs="宋体"/>
          <w:sz w:val="24"/>
        </w:rPr>
        <w:t>城镇化</w:t>
      </w:r>
      <w:r>
        <w:rPr>
          <w:rFonts w:hint="eastAsia" w:ascii="宋体" w:hAnsi="宋体" w:eastAsia="宋体" w:cs="宋体"/>
          <w:sz w:val="10"/>
        </w:rPr>
        <w:t>、</w:t>
      </w:r>
      <w:r>
        <w:rPr>
          <w:rFonts w:hint="eastAsia" w:ascii="宋体" w:hAnsi="宋体" w:eastAsia="宋体" w:cs="宋体"/>
          <w:sz w:val="24"/>
        </w:rPr>
        <w:t>农业现代化道路</w:t>
      </w:r>
      <w:r>
        <w:rPr>
          <w:rFonts w:hint="eastAsia" w:ascii="宋体" w:hAnsi="宋体" w:eastAsia="宋体" w:cs="宋体"/>
          <w:sz w:val="10"/>
        </w:rPr>
        <w:t>，</w:t>
      </w:r>
      <w:r>
        <w:rPr>
          <w:rFonts w:hint="eastAsia" w:ascii="宋体" w:hAnsi="宋体" w:eastAsia="宋体" w:cs="宋体"/>
          <w:sz w:val="24"/>
        </w:rPr>
        <w:t>推动信息化和工业化深度融合</w:t>
      </w:r>
      <w:r>
        <w:rPr>
          <w:rFonts w:hint="eastAsia" w:ascii="宋体" w:hAnsi="宋体" w:eastAsia="宋体" w:cs="宋体"/>
          <w:sz w:val="10"/>
        </w:rPr>
        <w:t>、</w:t>
      </w:r>
      <w:r>
        <w:rPr>
          <w:rFonts w:hint="eastAsia" w:ascii="宋体" w:hAnsi="宋体" w:eastAsia="宋体" w:cs="宋体"/>
          <w:sz w:val="24"/>
        </w:rPr>
        <w:t>工业化和城镇化良性互动</w:t>
      </w:r>
      <w:r>
        <w:rPr>
          <w:rFonts w:hint="eastAsia" w:ascii="宋体" w:hAnsi="宋体" w:eastAsia="宋体" w:cs="宋体"/>
          <w:sz w:val="10"/>
        </w:rPr>
        <w:t>、</w:t>
      </w:r>
      <w:r>
        <w:rPr>
          <w:rFonts w:hint="eastAsia" w:ascii="宋体" w:hAnsi="宋体" w:eastAsia="宋体" w:cs="宋体"/>
          <w:sz w:val="24"/>
        </w:rPr>
        <w:t>城镇化和农业现代化相互协调</w:t>
      </w:r>
      <w:r>
        <w:rPr>
          <w:rFonts w:hint="eastAsia" w:ascii="宋体" w:hAnsi="宋体" w:eastAsia="宋体" w:cs="宋体"/>
          <w:sz w:val="10"/>
        </w:rPr>
        <w:t>，</w:t>
      </w:r>
      <w:r>
        <w:rPr>
          <w:rFonts w:hint="eastAsia" w:ascii="宋体" w:hAnsi="宋体" w:eastAsia="宋体" w:cs="宋体"/>
          <w:sz w:val="24"/>
        </w:rPr>
        <w:t>促进工业化</w:t>
      </w:r>
      <w:r>
        <w:rPr>
          <w:rFonts w:hint="eastAsia" w:ascii="宋体" w:hAnsi="宋体" w:eastAsia="宋体" w:cs="宋体"/>
          <w:sz w:val="10"/>
        </w:rPr>
        <w:t>、</w:t>
      </w:r>
      <w:r>
        <w:rPr>
          <w:rFonts w:hint="eastAsia" w:ascii="宋体" w:hAnsi="宋体" w:eastAsia="宋体" w:cs="宋体"/>
          <w:sz w:val="24"/>
        </w:rPr>
        <w:t>信息化</w:t>
      </w:r>
      <w:r>
        <w:rPr>
          <w:rFonts w:hint="eastAsia" w:ascii="宋体" w:hAnsi="宋体" w:eastAsia="宋体" w:cs="宋体"/>
          <w:sz w:val="10"/>
        </w:rPr>
        <w:t>、</w:t>
      </w:r>
      <w:r>
        <w:rPr>
          <w:rFonts w:hint="eastAsia" w:ascii="宋体" w:hAnsi="宋体" w:eastAsia="宋体" w:cs="宋体"/>
          <w:sz w:val="24"/>
        </w:rPr>
        <w:t>城镇化</w:t>
      </w:r>
      <w:r>
        <w:rPr>
          <w:rFonts w:hint="eastAsia" w:ascii="宋体" w:hAnsi="宋体" w:eastAsia="宋体" w:cs="宋体"/>
          <w:sz w:val="10"/>
        </w:rPr>
        <w:t>、</w:t>
      </w:r>
      <w:r>
        <w:rPr>
          <w:rFonts w:hint="eastAsia" w:ascii="宋体" w:hAnsi="宋体" w:eastAsia="宋体" w:cs="宋体"/>
          <w:sz w:val="24"/>
        </w:rPr>
        <w:t>农业现代</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1-1-101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jc w:val="both"/>
      </w:pPr>
      <w:r>
        <w:rPr>
          <w:rFonts w:hint="eastAsia" w:ascii="宋体" w:hAnsi="宋体" w:eastAsia="宋体" w:cs="宋体"/>
          <w:sz w:val="24"/>
        </w:rPr>
        <w:t>化同步发展</w:t>
      </w:r>
      <w:r>
        <w:rPr>
          <w:rFonts w:hint="eastAsia" w:ascii="宋体" w:hAnsi="宋体" w:eastAsia="宋体" w:cs="宋体"/>
          <w:sz w:val="10"/>
        </w:rPr>
        <w:t>”，</w:t>
      </w:r>
      <w:r>
        <w:rPr>
          <w:rFonts w:hint="eastAsia" w:ascii="宋体" w:hAnsi="宋体" w:eastAsia="宋体" w:cs="宋体"/>
          <w:sz w:val="24"/>
        </w:rPr>
        <w:t>其中信息技术产业是</w:t>
      </w:r>
      <w:r>
        <w:rPr>
          <w:rFonts w:hint="eastAsia" w:ascii="宋体" w:hAnsi="宋体" w:eastAsia="宋体" w:cs="宋体"/>
          <w:sz w:val="10"/>
        </w:rPr>
        <w:t>“</w:t>
      </w:r>
      <w:r>
        <w:rPr>
          <w:rFonts w:hint="eastAsia" w:ascii="宋体" w:hAnsi="宋体" w:eastAsia="宋体" w:cs="宋体"/>
          <w:sz w:val="24"/>
        </w:rPr>
        <w:t>两化融合</w:t>
      </w:r>
      <w:r>
        <w:rPr>
          <w:rFonts w:hint="eastAsia" w:ascii="宋体" w:hAnsi="宋体" w:eastAsia="宋体" w:cs="宋体"/>
          <w:sz w:val="10"/>
        </w:rPr>
        <w:t>”</w:t>
      </w:r>
      <w:r>
        <w:rPr>
          <w:rFonts w:hint="eastAsia" w:ascii="宋体" w:hAnsi="宋体" w:eastAsia="宋体" w:cs="宋体"/>
          <w:sz w:val="24"/>
        </w:rPr>
        <w:t>的核心</w:t>
      </w:r>
      <w:r>
        <w:rPr>
          <w:rFonts w:hint="eastAsia" w:ascii="宋体" w:hAnsi="宋体" w:eastAsia="宋体" w:cs="宋体"/>
          <w:sz w:val="10"/>
        </w:rPr>
        <w:t>，</w:t>
      </w:r>
      <w:r>
        <w:rPr>
          <w:rFonts w:hint="eastAsia" w:ascii="宋体" w:hAnsi="宋体" w:eastAsia="宋体" w:cs="宋体"/>
          <w:sz w:val="24"/>
        </w:rPr>
        <w:t>是实现新型工业化道路的关键环节</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信息技术及其它高新技术也是传统产业的重要辅助因素和推动力量</w:t>
      </w:r>
      <w:r>
        <w:rPr>
          <w:rFonts w:hint="eastAsia" w:ascii="宋体" w:hAnsi="宋体" w:eastAsia="宋体" w:cs="宋体"/>
          <w:sz w:val="10"/>
        </w:rPr>
        <w:t>。</w:t>
      </w:r>
      <w:r>
        <w:rPr>
          <w:rFonts w:hint="eastAsia" w:ascii="宋体" w:hAnsi="宋体" w:eastAsia="宋体" w:cs="宋体"/>
          <w:sz w:val="24"/>
        </w:rPr>
        <w:t>软件产业是信息技术产业的核心组成部分</w:t>
      </w:r>
      <w:r>
        <w:rPr>
          <w:rFonts w:hint="eastAsia" w:ascii="宋体" w:hAnsi="宋体" w:eastAsia="宋体" w:cs="宋体"/>
          <w:sz w:val="10"/>
        </w:rPr>
        <w:t>，</w:t>
      </w:r>
      <w:r>
        <w:rPr>
          <w:rFonts w:hint="eastAsia" w:ascii="宋体" w:hAnsi="宋体" w:eastAsia="宋体" w:cs="宋体"/>
          <w:sz w:val="24"/>
        </w:rPr>
        <w:t>随着经济转型</w:t>
      </w:r>
      <w:r>
        <w:rPr>
          <w:rFonts w:hint="eastAsia" w:ascii="宋体" w:hAnsi="宋体" w:eastAsia="宋体" w:cs="宋体"/>
          <w:sz w:val="10"/>
        </w:rPr>
        <w:t>、</w:t>
      </w:r>
      <w:r>
        <w:rPr>
          <w:rFonts w:hint="eastAsia" w:ascii="宋体" w:hAnsi="宋体" w:eastAsia="宋体" w:cs="宋体"/>
          <w:sz w:val="24"/>
        </w:rPr>
        <w:t>产业升级及</w:t>
      </w:r>
      <w:r>
        <w:rPr>
          <w:rFonts w:hint="eastAsia" w:ascii="宋体" w:hAnsi="宋体" w:eastAsia="宋体" w:cs="宋体"/>
          <w:sz w:val="10"/>
        </w:rPr>
        <w:t>“</w:t>
      </w:r>
      <w:r>
        <w:rPr>
          <w:rFonts w:hint="eastAsia" w:ascii="宋体" w:hAnsi="宋体" w:eastAsia="宋体" w:cs="宋体"/>
          <w:sz w:val="24"/>
        </w:rPr>
        <w:t>两化融合</w:t>
      </w:r>
      <w:r>
        <w:rPr>
          <w:rFonts w:hint="eastAsia" w:ascii="宋体" w:hAnsi="宋体" w:eastAsia="宋体" w:cs="宋体"/>
          <w:sz w:val="10"/>
        </w:rPr>
        <w:t>”</w:t>
      </w:r>
      <w:r>
        <w:rPr>
          <w:rFonts w:hint="eastAsia" w:ascii="宋体" w:hAnsi="宋体" w:eastAsia="宋体" w:cs="宋体"/>
          <w:sz w:val="24"/>
        </w:rPr>
        <w:t>进程的不断深入</w:t>
      </w:r>
      <w:r>
        <w:rPr>
          <w:rFonts w:hint="eastAsia" w:ascii="宋体" w:hAnsi="宋体" w:eastAsia="宋体" w:cs="宋体"/>
          <w:sz w:val="10"/>
        </w:rPr>
        <w:t>，</w:t>
      </w:r>
      <w:r>
        <w:rPr>
          <w:rFonts w:hint="eastAsia" w:ascii="宋体" w:hAnsi="宋体" w:eastAsia="宋体" w:cs="宋体"/>
          <w:sz w:val="24"/>
        </w:rPr>
        <w:t>传统产业的信息化需求将会不断激发</w:t>
      </w:r>
      <w:r>
        <w:rPr>
          <w:rFonts w:hint="eastAsia" w:ascii="宋体" w:hAnsi="宋体" w:eastAsia="宋体" w:cs="宋体"/>
          <w:sz w:val="10"/>
        </w:rPr>
        <w:t>，</w:t>
      </w:r>
      <w:r>
        <w:rPr>
          <w:rFonts w:hint="eastAsia" w:ascii="宋体" w:hAnsi="宋体" w:eastAsia="宋体" w:cs="宋体"/>
          <w:sz w:val="24"/>
        </w:rPr>
        <w:t>带来巨大的市场机遇</w:t>
      </w:r>
      <w:r>
        <w:rPr>
          <w:rFonts w:hint="eastAsia" w:ascii="宋体" w:hAnsi="宋体" w:eastAsia="宋体" w:cs="宋体"/>
          <w:sz w:val="10"/>
        </w:rPr>
        <w:t>。</w:t>
      </w:r>
      <w:r>
        <w:rPr>
          <w:rFonts w:hint="eastAsia" w:ascii="宋体" w:hAnsi="宋体" w:eastAsia="宋体" w:cs="宋体"/>
          <w:sz w:val="24"/>
        </w:rPr>
        <w:t>同时伴随着未来人力资源成本的不断上涨</w:t>
      </w:r>
      <w:r>
        <w:rPr>
          <w:rFonts w:hint="eastAsia" w:ascii="宋体" w:hAnsi="宋体" w:eastAsia="宋体" w:cs="宋体"/>
          <w:sz w:val="10"/>
        </w:rPr>
        <w:t>，</w:t>
      </w:r>
      <w:r>
        <w:rPr>
          <w:rFonts w:hint="eastAsia" w:ascii="宋体" w:hAnsi="宋体" w:eastAsia="宋体" w:cs="宋体"/>
          <w:sz w:val="24"/>
        </w:rPr>
        <w:t>以及提高自主核心竞争力的双重压力</w:t>
      </w:r>
      <w:r>
        <w:rPr>
          <w:rFonts w:hint="eastAsia" w:ascii="宋体" w:hAnsi="宋体" w:eastAsia="宋体" w:cs="宋体"/>
          <w:sz w:val="10"/>
        </w:rPr>
        <w:t>，</w:t>
      </w:r>
      <w:r>
        <w:rPr>
          <w:rFonts w:hint="eastAsia" w:ascii="Times New Roman" w:hAnsi="Times New Roman" w:eastAsia="Times New Roman" w:cs="Times New Roman"/>
          <w:sz w:val="24"/>
        </w:rPr>
        <w:t>IT</w:t>
      </w:r>
      <w:r>
        <w:rPr>
          <w:rFonts w:hint="eastAsia" w:ascii="宋体" w:hAnsi="宋体" w:eastAsia="宋体" w:cs="宋体"/>
          <w:sz w:val="24"/>
        </w:rPr>
        <w:t xml:space="preserve"> 应用软件和专业化服务的价值将更加凸显</w:t>
      </w:r>
      <w:r>
        <w:rPr>
          <w:rFonts w:hint="eastAsia" w:ascii="宋体" w:hAnsi="宋体" w:eastAsia="宋体" w:cs="宋体"/>
          <w:sz w:val="10"/>
        </w:rPr>
        <w:t>。</w:t>
      </w:r>
      <w:r>
        <w:rPr>
          <w:rFonts w:hint="eastAsia" w:ascii="宋体" w:hAnsi="宋体" w:eastAsia="宋体" w:cs="宋体"/>
          <w:sz w:val="24"/>
        </w:rPr>
        <w:t>软件行业机遇与挑战并存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）政府产业支持力度加大</w:t>
      </w:r>
      <w:r>
        <w:rPr>
          <w:rFonts w:hint="eastAsia" w:ascii="宋体" w:hAnsi="宋体" w:eastAsia="宋体" w:cs="宋体"/>
          <w:sz w:val="10"/>
        </w:rPr>
        <w:t>，</w:t>
      </w:r>
      <w:r>
        <w:rPr>
          <w:rFonts w:hint="eastAsia" w:ascii="宋体" w:hAnsi="宋体" w:eastAsia="宋体" w:cs="宋体"/>
          <w:sz w:val="24"/>
        </w:rPr>
        <w:t>软件行业将迎来新的快速发展期</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10"/>
        </w:rPr>
        <w:t>“</w:t>
      </w:r>
      <w:r>
        <w:rPr>
          <w:rFonts w:hint="eastAsia" w:ascii="宋体" w:hAnsi="宋体" w:eastAsia="宋体" w:cs="宋体"/>
          <w:sz w:val="24"/>
        </w:rPr>
        <w:t>十二五</w:t>
      </w:r>
      <w:r>
        <w:rPr>
          <w:rFonts w:hint="eastAsia" w:ascii="宋体" w:hAnsi="宋体" w:eastAsia="宋体" w:cs="宋体"/>
          <w:sz w:val="10"/>
        </w:rPr>
        <w:t>”</w:t>
      </w:r>
      <w:r>
        <w:rPr>
          <w:rFonts w:hint="eastAsia" w:ascii="宋体" w:hAnsi="宋体" w:eastAsia="宋体" w:cs="宋体"/>
          <w:sz w:val="24"/>
        </w:rPr>
        <w:t>期间</w:t>
      </w:r>
      <w:r>
        <w:rPr>
          <w:rFonts w:hint="eastAsia" w:ascii="宋体" w:hAnsi="宋体" w:eastAsia="宋体" w:cs="宋体"/>
          <w:sz w:val="10"/>
        </w:rPr>
        <w:t>，</w:t>
      </w:r>
      <w:r>
        <w:rPr>
          <w:rFonts w:hint="eastAsia" w:ascii="宋体" w:hAnsi="宋体" w:eastAsia="宋体" w:cs="宋体"/>
          <w:sz w:val="24"/>
        </w:rPr>
        <w:t>国家将持续加大政策扶持力度</w:t>
      </w:r>
      <w:r>
        <w:rPr>
          <w:rFonts w:hint="eastAsia" w:ascii="宋体" w:hAnsi="宋体" w:eastAsia="宋体" w:cs="宋体"/>
          <w:sz w:val="10"/>
        </w:rPr>
        <w:t>。</w:t>
      </w:r>
      <w:r>
        <w:rPr>
          <w:rFonts w:hint="eastAsia" w:ascii="Times New Roman" w:hAnsi="Times New Roman" w:eastAsia="Times New Roman" w:cs="Times New Roman"/>
          <w:sz w:val="24"/>
        </w:rPr>
        <w:t>2011</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国务院印发了</w:t>
      </w:r>
    </w:p>
    <w:p>
      <w:pPr>
        <w:spacing w:line="200" w:lineRule="exact"/>
        <w:rPr>
          <w:rFonts w:hint="eastAsia" w:ascii="宋体" w:hAnsi="宋体" w:eastAsia="宋体" w:cs="宋体"/>
          <w:sz w:val="20"/>
        </w:rPr>
      </w:pPr>
    </w:p>
    <w:p>
      <w:pPr>
        <w:autoSpaceDE w:val="false"/>
        <w:autoSpaceDN w:val="false"/>
        <w:spacing w:line="440" w:lineRule="exact"/>
        <w:ind w:left="1800" w:right="1600"/>
        <w:jc w:val="both"/>
      </w:pPr>
      <w:r>
        <w:rPr>
          <w:rFonts w:hint="eastAsia" w:ascii="宋体" w:hAnsi="宋体" w:eastAsia="宋体" w:cs="宋体"/>
          <w:sz w:val="24"/>
        </w:rPr>
        <w:t>《进一步鼓励软件产业和集成电路产业发展若干政策的通知</w:t>
      </w:r>
      <w:r>
        <w:rPr>
          <w:rFonts w:hint="eastAsia" w:ascii="宋体" w:hAnsi="宋体" w:eastAsia="宋体" w:cs="宋体"/>
          <w:spacing w:val="-60"/>
          <w:sz w:val="24"/>
        </w:rPr>
        <w:t>》</w:t>
      </w:r>
      <w:r>
        <w:rPr>
          <w:rFonts w:hint="eastAsia" w:ascii="宋体" w:hAnsi="宋体" w:eastAsia="宋体" w:cs="宋体"/>
          <w:sz w:val="24"/>
        </w:rPr>
        <w:t>（国发</w:t>
      </w:r>
      <w:r>
        <w:rPr>
          <w:rFonts w:hint="eastAsia" w:ascii="Times New Roman" w:hAnsi="Times New Roman" w:eastAsia="Times New Roman" w:cs="Times New Roman"/>
          <w:sz w:val="24"/>
        </w:rPr>
        <w:t>[2011]4</w:t>
      </w:r>
      <w:r>
        <w:rPr>
          <w:rFonts w:hint="eastAsia" w:ascii="宋体" w:hAnsi="宋体" w:eastAsia="宋体" w:cs="宋体"/>
          <w:sz w:val="24"/>
        </w:rPr>
        <w:t xml:space="preserve"> 号），</w:t>
      </w:r>
      <w:r>
        <w:rPr>
          <w:rFonts w:hint="eastAsia" w:ascii="宋体" w:hAnsi="宋体" w:eastAsia="宋体" w:cs="宋体"/>
          <w:sz w:val="24"/>
        </w:rPr>
        <w:t>主要内容包括将软件产业税收减免范围从增值税扩大到营业税</w:t>
      </w:r>
      <w:r>
        <w:rPr>
          <w:rFonts w:hint="eastAsia" w:ascii="宋体" w:hAnsi="宋体" w:eastAsia="宋体" w:cs="宋体"/>
          <w:sz w:val="10"/>
        </w:rPr>
        <w:t>，</w:t>
      </w:r>
      <w:r>
        <w:rPr>
          <w:rFonts w:hint="eastAsia" w:ascii="宋体" w:hAnsi="宋体" w:eastAsia="宋体" w:cs="宋体"/>
          <w:sz w:val="24"/>
        </w:rPr>
        <w:t>并规划和批准了</w:t>
      </w:r>
      <w:r>
        <w:rPr>
          <w:rFonts w:hint="eastAsia" w:ascii="Times New Roman" w:hAnsi="Times New Roman" w:eastAsia="Times New Roman" w:cs="Times New Roman"/>
          <w:sz w:val="24"/>
        </w:rPr>
        <w:t>11</w:t>
      </w:r>
      <w:r>
        <w:rPr>
          <w:rFonts w:hint="eastAsia" w:ascii="宋体" w:hAnsi="宋体" w:eastAsia="宋体" w:cs="宋体"/>
          <w:sz w:val="24"/>
        </w:rPr>
        <w:t xml:space="preserve"> 个国家级软件产业基地和</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个国家级软件出口基地</w:t>
      </w:r>
      <w:r>
        <w:rPr>
          <w:rFonts w:hint="eastAsia" w:ascii="宋体" w:hAnsi="宋体" w:eastAsia="宋体" w:cs="宋体"/>
          <w:sz w:val="10"/>
        </w:rPr>
        <w:t>。</w:t>
      </w:r>
      <w:r>
        <w:rPr>
          <w:rFonts w:hint="eastAsia" w:ascii="Times New Roman" w:hAnsi="Times New Roman" w:eastAsia="Times New Roman" w:cs="Times New Roman"/>
          <w:sz w:val="24"/>
        </w:rPr>
        <w:t>2012</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工业和信息化部制定的《软件和信息技术服务业</w:t>
      </w:r>
      <w:r>
        <w:rPr>
          <w:rFonts w:hint="eastAsia" w:ascii="宋体" w:hAnsi="宋体" w:eastAsia="宋体" w:cs="宋体"/>
          <w:sz w:val="10"/>
        </w:rPr>
        <w:t>“</w:t>
      </w:r>
      <w:r>
        <w:rPr>
          <w:rFonts w:hint="eastAsia" w:ascii="宋体" w:hAnsi="宋体" w:eastAsia="宋体" w:cs="宋体"/>
          <w:sz w:val="24"/>
        </w:rPr>
        <w:t>十二五</w:t>
      </w:r>
      <w:r>
        <w:rPr>
          <w:rFonts w:hint="eastAsia" w:ascii="宋体" w:hAnsi="宋体" w:eastAsia="宋体" w:cs="宋体"/>
          <w:sz w:val="10"/>
        </w:rPr>
        <w:t>”</w:t>
      </w:r>
      <w:r>
        <w:rPr>
          <w:rFonts w:hint="eastAsia" w:ascii="宋体" w:hAnsi="宋体" w:eastAsia="宋体" w:cs="宋体"/>
          <w:sz w:val="24"/>
        </w:rPr>
        <w:t>发展规划》进一步细化了政府对于软件和信息技术服务业的扶持内容</w:t>
      </w:r>
      <w:r>
        <w:rPr>
          <w:rFonts w:hint="eastAsia" w:ascii="宋体" w:hAnsi="宋体" w:eastAsia="宋体" w:cs="宋体"/>
          <w:sz w:val="10"/>
        </w:rPr>
        <w:t>，</w:t>
      </w:r>
      <w:r>
        <w:rPr>
          <w:rFonts w:hint="eastAsia" w:ascii="宋体" w:hAnsi="宋体" w:eastAsia="宋体" w:cs="宋体"/>
          <w:sz w:val="24"/>
        </w:rPr>
        <w:t>总结回顾了我国软件和信息技术服务业的发展成就和存在问题</w:t>
      </w:r>
      <w:r>
        <w:rPr>
          <w:rFonts w:hint="eastAsia" w:ascii="宋体" w:hAnsi="宋体" w:eastAsia="宋体" w:cs="宋体"/>
          <w:sz w:val="10"/>
        </w:rPr>
        <w:t>，</w:t>
      </w:r>
      <w:r>
        <w:rPr>
          <w:rFonts w:hint="eastAsia" w:ascii="宋体" w:hAnsi="宋体" w:eastAsia="宋体" w:cs="宋体"/>
          <w:sz w:val="24"/>
        </w:rPr>
        <w:t>深入分析了产业发展趋势和发展环境</w:t>
      </w:r>
      <w:r>
        <w:rPr>
          <w:rFonts w:hint="eastAsia" w:ascii="宋体" w:hAnsi="宋体" w:eastAsia="宋体" w:cs="宋体"/>
          <w:sz w:val="10"/>
        </w:rPr>
        <w:t>，</w:t>
      </w:r>
      <w:r>
        <w:rPr>
          <w:rFonts w:hint="eastAsia" w:ascii="宋体" w:hAnsi="宋体" w:eastAsia="宋体" w:cs="宋体"/>
          <w:sz w:val="24"/>
        </w:rPr>
        <w:t>在产业发展思路上突出强调了龙头企业培育</w:t>
      </w:r>
      <w:r>
        <w:rPr>
          <w:rFonts w:hint="eastAsia" w:ascii="宋体" w:hAnsi="宋体" w:eastAsia="宋体" w:cs="宋体"/>
          <w:sz w:val="10"/>
        </w:rPr>
        <w:t>、</w:t>
      </w:r>
      <w:r>
        <w:rPr>
          <w:rFonts w:hint="eastAsia" w:ascii="宋体" w:hAnsi="宋体" w:eastAsia="宋体" w:cs="宋体"/>
          <w:sz w:val="24"/>
        </w:rPr>
        <w:t>创新体系构建</w:t>
      </w:r>
      <w:r>
        <w:rPr>
          <w:rFonts w:hint="eastAsia" w:ascii="宋体" w:hAnsi="宋体" w:eastAsia="宋体" w:cs="宋体"/>
          <w:sz w:val="10"/>
        </w:rPr>
        <w:t>、</w:t>
      </w:r>
      <w:r>
        <w:rPr>
          <w:rFonts w:hint="eastAsia" w:ascii="宋体" w:hAnsi="宋体" w:eastAsia="宋体" w:cs="宋体"/>
          <w:sz w:val="24"/>
        </w:rPr>
        <w:t>市场应用推广</w:t>
      </w:r>
      <w:r>
        <w:rPr>
          <w:rFonts w:hint="eastAsia" w:ascii="宋体" w:hAnsi="宋体" w:eastAsia="宋体" w:cs="宋体"/>
          <w:sz w:val="10"/>
        </w:rPr>
        <w:t>、</w:t>
      </w:r>
      <w:r>
        <w:rPr>
          <w:rFonts w:hint="eastAsia" w:ascii="宋体" w:hAnsi="宋体" w:eastAsia="宋体" w:cs="宋体"/>
          <w:sz w:val="24"/>
        </w:rPr>
        <w:t>产业融合拓展以及产业布局优化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（三）金融信息化市场概况和发展趋势</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公司目前所涉及的行业有证券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信托</w:t>
      </w:r>
      <w:r>
        <w:rPr>
          <w:rFonts w:hint="eastAsia" w:ascii="宋体" w:hAnsi="宋体" w:eastAsia="宋体" w:cs="宋体"/>
          <w:sz w:val="10"/>
        </w:rPr>
        <w:t>、</w:t>
      </w:r>
      <w:r>
        <w:rPr>
          <w:rFonts w:hint="eastAsia" w:ascii="宋体" w:hAnsi="宋体" w:eastAsia="宋体" w:cs="宋体"/>
          <w:sz w:val="24"/>
        </w:rPr>
        <w:t>电子交易市场等多个行业和领域</w:t>
      </w:r>
      <w:r>
        <w:rPr>
          <w:rFonts w:hint="eastAsia" w:ascii="宋体" w:hAnsi="宋体" w:eastAsia="宋体" w:cs="宋体"/>
          <w:sz w:val="10"/>
        </w:rPr>
        <w:t>。</w:t>
      </w:r>
      <w:r>
        <w:rPr>
          <w:rFonts w:hint="eastAsia" w:ascii="宋体" w:hAnsi="宋体" w:eastAsia="宋体" w:cs="宋体"/>
          <w:sz w:val="24"/>
        </w:rPr>
        <w:t>近年来</w:t>
      </w:r>
      <w:r>
        <w:rPr>
          <w:rFonts w:hint="eastAsia" w:ascii="宋体" w:hAnsi="宋体" w:eastAsia="宋体" w:cs="宋体"/>
          <w:sz w:val="10"/>
        </w:rPr>
        <w:t>，</w:t>
      </w:r>
      <w:r>
        <w:rPr>
          <w:rFonts w:hint="eastAsia" w:ascii="宋体" w:hAnsi="宋体" w:eastAsia="宋体" w:cs="宋体"/>
          <w:sz w:val="24"/>
        </w:rPr>
        <w:t>公司来自金融行业的收入占总收入的比重均超过</w:t>
      </w:r>
      <w:r>
        <w:rPr>
          <w:rFonts w:hint="eastAsia" w:ascii="Times New Roman" w:hAnsi="Times New Roman" w:eastAsia="Times New Roman" w:cs="Times New Roman"/>
          <w:sz w:val="24"/>
        </w:rPr>
        <w:t xml:space="preserve"> 85%</w:t>
      </w:r>
      <w:r>
        <w:rPr>
          <w:rFonts w:hint="eastAsia" w:ascii="宋体" w:hAnsi="宋体" w:eastAsia="宋体" w:cs="宋体"/>
          <w:sz w:val="10"/>
        </w:rPr>
        <w:t>，</w:t>
      </w:r>
      <w:r>
        <w:rPr>
          <w:rFonts w:hint="eastAsia" w:ascii="宋体" w:hAnsi="宋体" w:eastAsia="宋体" w:cs="宋体"/>
          <w:sz w:val="24"/>
        </w:rPr>
        <w:t>是公司现阶段重点关注的市场</w:t>
      </w:r>
      <w:r>
        <w:rPr>
          <w:rFonts w:hint="eastAsia" w:ascii="宋体" w:hAnsi="宋体" w:eastAsia="宋体" w:cs="宋体"/>
          <w:sz w:val="10"/>
        </w:rPr>
        <w:t>。</w:t>
      </w:r>
      <w:r>
        <w:rPr>
          <w:rFonts w:hint="eastAsia" w:ascii="宋体" w:hAnsi="宋体" w:eastAsia="宋体" w:cs="宋体"/>
          <w:sz w:val="24"/>
        </w:rPr>
        <w:t>未来公司将借助</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的宏观环境和发展态势</w:t>
      </w:r>
      <w:r>
        <w:rPr>
          <w:rFonts w:hint="eastAsia" w:ascii="宋体" w:hAnsi="宋体" w:eastAsia="宋体" w:cs="宋体"/>
          <w:sz w:val="10"/>
        </w:rPr>
        <w:t>，</w:t>
      </w:r>
      <w:r>
        <w:rPr>
          <w:rFonts w:hint="eastAsia" w:ascii="宋体" w:hAnsi="宋体" w:eastAsia="宋体" w:cs="宋体"/>
          <w:sz w:val="24"/>
        </w:rPr>
        <w:t>持续在互联网</w:t>
      </w:r>
      <w:r>
        <w:rPr>
          <w:rFonts w:hint="eastAsia" w:ascii="宋体" w:hAnsi="宋体" w:eastAsia="宋体" w:cs="宋体"/>
          <w:sz w:val="10"/>
        </w:rPr>
        <w:t>，</w:t>
      </w:r>
      <w:r>
        <w:rPr>
          <w:rFonts w:hint="eastAsia" w:ascii="宋体" w:hAnsi="宋体" w:eastAsia="宋体" w:cs="宋体"/>
          <w:sz w:val="24"/>
        </w:rPr>
        <w:t>尤其是金融行业互联网化应用领域</w:t>
      </w:r>
      <w:r>
        <w:rPr>
          <w:rFonts w:hint="eastAsia" w:ascii="宋体" w:hAnsi="宋体" w:eastAsia="宋体" w:cs="宋体"/>
          <w:sz w:val="10"/>
        </w:rPr>
        <w:t>，</w:t>
      </w:r>
      <w:r>
        <w:rPr>
          <w:rFonts w:hint="eastAsia" w:ascii="宋体" w:hAnsi="宋体" w:eastAsia="宋体" w:cs="宋体"/>
          <w:sz w:val="24"/>
        </w:rPr>
        <w:t>投入研发资源</w:t>
      </w:r>
      <w:r>
        <w:rPr>
          <w:rFonts w:hint="eastAsia" w:ascii="宋体" w:hAnsi="宋体" w:eastAsia="宋体" w:cs="宋体"/>
          <w:sz w:val="10"/>
        </w:rPr>
        <w:t>，</w:t>
      </w:r>
      <w:r>
        <w:rPr>
          <w:rFonts w:hint="eastAsia" w:ascii="宋体" w:hAnsi="宋体" w:eastAsia="宋体" w:cs="宋体"/>
          <w:sz w:val="24"/>
        </w:rPr>
        <w:t>保持行业发展的前沿位置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大金融</w:t>
      </w:r>
      <w:r>
        <w:rPr>
          <w:rFonts w:hint="eastAsia" w:ascii="宋体" w:hAnsi="宋体" w:eastAsia="宋体" w:cs="宋体"/>
          <w:b/>
          <w:sz w:val="10"/>
        </w:rPr>
        <w:t>”</w:t>
      </w:r>
      <w:r>
        <w:rPr>
          <w:rFonts w:hint="eastAsia" w:ascii="宋体" w:hAnsi="宋体" w:eastAsia="宋体" w:cs="宋体"/>
          <w:b/>
          <w:sz w:val="24"/>
        </w:rPr>
        <w:t>信息化的发展趋势</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随着时代的发展</w:t>
      </w:r>
      <w:r>
        <w:rPr>
          <w:rFonts w:hint="eastAsia" w:ascii="宋体" w:hAnsi="宋体" w:eastAsia="宋体" w:cs="宋体"/>
          <w:sz w:val="10"/>
        </w:rPr>
        <w:t>，</w:t>
      </w:r>
      <w:r>
        <w:rPr>
          <w:rFonts w:hint="eastAsia" w:ascii="宋体" w:hAnsi="宋体" w:eastAsia="宋体" w:cs="宋体"/>
          <w:sz w:val="24"/>
        </w:rPr>
        <w:t>我国的金融体系将步入</w:t>
      </w: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时代</w:t>
      </w:r>
      <w:r>
        <w:rPr>
          <w:rFonts w:hint="eastAsia" w:ascii="宋体" w:hAnsi="宋体" w:eastAsia="宋体" w:cs="宋体"/>
          <w:sz w:val="10"/>
        </w:rPr>
        <w:t>，</w:t>
      </w:r>
      <w:r>
        <w:rPr>
          <w:rFonts w:hint="eastAsia" w:ascii="宋体" w:hAnsi="宋体" w:eastAsia="宋体" w:cs="宋体"/>
          <w:sz w:val="24"/>
        </w:rPr>
        <w:t>即金融中介作为综合平台</w:t>
      </w:r>
      <w:r>
        <w:rPr>
          <w:rFonts w:hint="eastAsia" w:ascii="宋体" w:hAnsi="宋体" w:eastAsia="宋体" w:cs="宋体"/>
          <w:sz w:val="10"/>
        </w:rPr>
        <w:t>，</w:t>
      </w:r>
      <w:r>
        <w:rPr>
          <w:rFonts w:hint="eastAsia" w:ascii="宋体" w:hAnsi="宋体" w:eastAsia="宋体" w:cs="宋体"/>
          <w:sz w:val="24"/>
        </w:rPr>
        <w:t>为参与经济的各部门</w:t>
      </w:r>
      <w:r>
        <w:rPr>
          <w:rFonts w:hint="eastAsia" w:ascii="宋体" w:hAnsi="宋体" w:eastAsia="宋体" w:cs="宋体"/>
          <w:sz w:val="10"/>
        </w:rPr>
        <w:t>，</w:t>
      </w:r>
      <w:r>
        <w:rPr>
          <w:rFonts w:hint="eastAsia" w:ascii="宋体" w:hAnsi="宋体" w:eastAsia="宋体" w:cs="宋体"/>
          <w:sz w:val="24"/>
        </w:rPr>
        <w:t>提供符合其投融资需求及衍生需求的金融产品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体系将通过以市场为导向的顶层设计</w:t>
      </w:r>
      <w:r>
        <w:rPr>
          <w:rFonts w:hint="eastAsia" w:ascii="宋体" w:hAnsi="宋体" w:eastAsia="宋体" w:cs="宋体"/>
          <w:sz w:val="10"/>
        </w:rPr>
        <w:t>，</w:t>
      </w:r>
      <w:r>
        <w:rPr>
          <w:rFonts w:hint="eastAsia" w:ascii="宋体" w:hAnsi="宋体" w:eastAsia="宋体" w:cs="宋体"/>
          <w:sz w:val="24"/>
        </w:rPr>
        <w:t>建立多层次的金融市场</w:t>
      </w:r>
      <w:r>
        <w:rPr>
          <w:rFonts w:hint="eastAsia" w:ascii="宋体" w:hAnsi="宋体" w:eastAsia="宋体" w:cs="宋体"/>
          <w:sz w:val="10"/>
        </w:rPr>
        <w:t>，</w:t>
      </w:r>
      <w:r>
        <w:rPr>
          <w:rFonts w:hint="eastAsia" w:ascii="宋体" w:hAnsi="宋体" w:eastAsia="宋体" w:cs="宋体"/>
          <w:sz w:val="24"/>
        </w:rPr>
        <w:t>带动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1-1-102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多元化的金融主体的参与</w:t>
      </w:r>
      <w:r>
        <w:rPr>
          <w:rFonts w:hint="eastAsia" w:ascii="宋体" w:hAnsi="宋体" w:eastAsia="宋体" w:cs="宋体"/>
          <w:sz w:val="10"/>
        </w:rPr>
        <w:t>，</w:t>
      </w:r>
      <w:r>
        <w:rPr>
          <w:rFonts w:hint="eastAsia" w:ascii="宋体" w:hAnsi="宋体" w:eastAsia="宋体" w:cs="宋体"/>
          <w:sz w:val="24"/>
        </w:rPr>
        <w:t>并且为市场提供多样化的金融产品</w:t>
      </w: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体系是经济转型对金融效率升级的必然诉求</w:t>
      </w:r>
      <w:r>
        <w:rPr>
          <w:rFonts w:hint="eastAsia" w:ascii="宋体" w:hAnsi="宋体" w:eastAsia="宋体" w:cs="宋体"/>
          <w:sz w:val="10"/>
        </w:rPr>
        <w:t>，</w:t>
      </w:r>
      <w:r>
        <w:rPr>
          <w:rFonts w:hint="eastAsia" w:ascii="宋体" w:hAnsi="宋体" w:eastAsia="宋体" w:cs="宋体"/>
          <w:sz w:val="24"/>
        </w:rPr>
        <w:t>也是金融深化的历史规律</w:t>
      </w:r>
      <w:r>
        <w:rPr>
          <w:rFonts w:hint="eastAsia" w:ascii="宋体" w:hAnsi="宋体" w:eastAsia="宋体" w:cs="宋体"/>
          <w:sz w:val="10"/>
        </w:rPr>
        <w:t>。</w:t>
      </w:r>
      <w:r>
        <w:rPr>
          <w:rFonts w:hint="eastAsia" w:ascii="宋体" w:hAnsi="宋体" w:eastAsia="宋体" w:cs="宋体"/>
          <w:sz w:val="24"/>
        </w:rPr>
        <w:t>在</w:t>
      </w: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格局下</w:t>
      </w:r>
      <w:r>
        <w:rPr>
          <w:rFonts w:hint="eastAsia" w:ascii="宋体" w:hAnsi="宋体" w:eastAsia="宋体" w:cs="宋体"/>
          <w:sz w:val="10"/>
        </w:rPr>
        <w:t>，</w:t>
      </w:r>
      <w:r>
        <w:rPr>
          <w:rFonts w:hint="eastAsia" w:ascii="宋体" w:hAnsi="宋体" w:eastAsia="宋体" w:cs="宋体"/>
          <w:sz w:val="24"/>
        </w:rPr>
        <w:t>传统金融机构资产负债的边界将被打破</w:t>
      </w:r>
      <w:r>
        <w:rPr>
          <w:rFonts w:hint="eastAsia" w:ascii="宋体" w:hAnsi="宋体" w:eastAsia="宋体" w:cs="宋体"/>
          <w:sz w:val="10"/>
        </w:rPr>
        <w:t>，</w:t>
      </w:r>
      <w:r>
        <w:rPr>
          <w:rFonts w:hint="eastAsia" w:ascii="宋体" w:hAnsi="宋体" w:eastAsia="宋体" w:cs="宋体"/>
          <w:sz w:val="24"/>
        </w:rPr>
        <w:t>所有金融机构将在统一的金融大平台上提供金融服务</w:t>
      </w:r>
      <w:r>
        <w:rPr>
          <w:rFonts w:hint="eastAsia" w:ascii="宋体" w:hAnsi="宋体" w:eastAsia="宋体" w:cs="宋体"/>
          <w:sz w:val="10"/>
        </w:rPr>
        <w:t>，</w:t>
      </w:r>
      <w:r>
        <w:rPr>
          <w:rFonts w:hint="eastAsia" w:ascii="宋体" w:hAnsi="宋体" w:eastAsia="宋体" w:cs="宋体"/>
          <w:sz w:val="24"/>
        </w:rPr>
        <w:t>具有整合金融资源能力的金融机构将具有更强的竞争力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互联网</w:t>
      </w:r>
      <w:r>
        <w:rPr>
          <w:rFonts w:hint="eastAsia" w:ascii="宋体" w:hAnsi="宋体" w:eastAsia="宋体" w:cs="宋体"/>
          <w:sz w:val="10"/>
        </w:rPr>
        <w:t>，</w:t>
      </w:r>
      <w:r>
        <w:rPr>
          <w:rFonts w:hint="eastAsia" w:ascii="宋体" w:hAnsi="宋体" w:eastAsia="宋体" w:cs="宋体"/>
          <w:sz w:val="24"/>
        </w:rPr>
        <w:t>特别是移动互联技术的发展</w:t>
      </w:r>
      <w:r>
        <w:rPr>
          <w:rFonts w:hint="eastAsia" w:ascii="宋体" w:hAnsi="宋体" w:eastAsia="宋体" w:cs="宋体"/>
          <w:sz w:val="10"/>
        </w:rPr>
        <w:t>，</w:t>
      </w:r>
      <w:r>
        <w:rPr>
          <w:rFonts w:hint="eastAsia" w:ascii="宋体" w:hAnsi="宋体" w:eastAsia="宋体" w:cs="宋体"/>
          <w:sz w:val="24"/>
        </w:rPr>
        <w:t>为非金融企业介入金融业务提供了可能</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越来越多的参与者正在涉足曾经封闭的金融领域</w:t>
      </w:r>
      <w:r>
        <w:rPr>
          <w:rFonts w:hint="eastAsia" w:ascii="宋体" w:hAnsi="宋体" w:eastAsia="宋体" w:cs="宋体"/>
          <w:sz w:val="10"/>
        </w:rPr>
        <w:t>。</w:t>
      </w:r>
      <w:r>
        <w:rPr>
          <w:rFonts w:hint="eastAsia" w:ascii="宋体" w:hAnsi="宋体" w:eastAsia="宋体" w:cs="宋体"/>
          <w:sz w:val="24"/>
        </w:rPr>
        <w:t>新的参与者带来新的模式</w:t>
      </w:r>
      <w:r>
        <w:rPr>
          <w:rFonts w:hint="eastAsia" w:ascii="宋体" w:hAnsi="宋体" w:eastAsia="宋体" w:cs="宋体"/>
          <w:sz w:val="10"/>
        </w:rPr>
        <w:t>、</w:t>
      </w:r>
      <w:r>
        <w:rPr>
          <w:rFonts w:hint="eastAsia" w:ascii="宋体" w:hAnsi="宋体" w:eastAsia="宋体" w:cs="宋体"/>
          <w:sz w:val="24"/>
        </w:rPr>
        <w:t>新的理念</w:t>
      </w:r>
      <w:r>
        <w:rPr>
          <w:rFonts w:hint="eastAsia" w:ascii="宋体" w:hAnsi="宋体" w:eastAsia="宋体" w:cs="宋体"/>
          <w:sz w:val="10"/>
        </w:rPr>
        <w:t>，</w:t>
      </w:r>
      <w:r>
        <w:rPr>
          <w:rFonts w:hint="eastAsia" w:ascii="宋体" w:hAnsi="宋体" w:eastAsia="宋体" w:cs="宋体"/>
          <w:sz w:val="24"/>
        </w:rPr>
        <w:t>并逐渐成为新金融格局形成的契机</w:t>
      </w:r>
      <w:r>
        <w:rPr>
          <w:rFonts w:hint="eastAsia" w:ascii="宋体" w:hAnsi="宋体" w:eastAsia="宋体" w:cs="宋体"/>
          <w:sz w:val="10"/>
        </w:rPr>
        <w:t>。</w:t>
      </w:r>
      <w:r>
        <w:rPr>
          <w:rFonts w:hint="eastAsia" w:ascii="宋体" w:hAnsi="宋体" w:eastAsia="宋体" w:cs="宋体"/>
          <w:sz w:val="24"/>
        </w:rPr>
        <w:t>来自新参与者的挑战也成为原有金融机构自身改革的动力</w:t>
      </w:r>
      <w:r>
        <w:rPr>
          <w:rFonts w:hint="eastAsia" w:ascii="宋体" w:hAnsi="宋体" w:eastAsia="宋体" w:cs="宋体"/>
          <w:sz w:val="10"/>
        </w:rPr>
        <w:t>，</w:t>
      </w:r>
      <w:r>
        <w:rPr>
          <w:rFonts w:hint="eastAsia" w:ascii="宋体" w:hAnsi="宋体" w:eastAsia="宋体" w:cs="宋体"/>
          <w:sz w:val="24"/>
        </w:rPr>
        <w:t>从而促使其提供更加综合化</w:t>
      </w:r>
      <w:r>
        <w:rPr>
          <w:rFonts w:hint="eastAsia" w:ascii="宋体" w:hAnsi="宋体" w:eastAsia="宋体" w:cs="宋体"/>
          <w:sz w:val="10"/>
        </w:rPr>
        <w:t>、</w:t>
      </w:r>
      <w:r>
        <w:rPr>
          <w:rFonts w:hint="eastAsia" w:ascii="宋体" w:hAnsi="宋体" w:eastAsia="宋体" w:cs="宋体"/>
          <w:sz w:val="24"/>
        </w:rPr>
        <w:t>多元化的金融服务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在金融平台化</w:t>
      </w:r>
      <w:r>
        <w:rPr>
          <w:rFonts w:hint="eastAsia" w:ascii="宋体" w:hAnsi="宋体" w:eastAsia="宋体" w:cs="宋体"/>
          <w:sz w:val="10"/>
        </w:rPr>
        <w:t>、</w:t>
      </w:r>
      <w:r>
        <w:rPr>
          <w:rFonts w:hint="eastAsia" w:ascii="宋体" w:hAnsi="宋体" w:eastAsia="宋体" w:cs="宋体"/>
          <w:sz w:val="24"/>
        </w:rPr>
        <w:t>利率市场化</w:t>
      </w:r>
      <w:r>
        <w:rPr>
          <w:rFonts w:hint="eastAsia" w:ascii="宋体" w:hAnsi="宋体" w:eastAsia="宋体" w:cs="宋体"/>
          <w:sz w:val="10"/>
        </w:rPr>
        <w:t>、</w:t>
      </w:r>
      <w:r>
        <w:rPr>
          <w:rFonts w:hint="eastAsia" w:ascii="宋体" w:hAnsi="宋体" w:eastAsia="宋体" w:cs="宋体"/>
          <w:sz w:val="24"/>
        </w:rPr>
        <w:t>资产证券化的趋势下</w:t>
      </w: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态势要求金融企业充分利用自身的平台资源</w:t>
      </w:r>
      <w:r>
        <w:rPr>
          <w:rFonts w:hint="eastAsia" w:ascii="宋体" w:hAnsi="宋体" w:eastAsia="宋体" w:cs="宋体"/>
          <w:sz w:val="10"/>
        </w:rPr>
        <w:t>，</w:t>
      </w:r>
      <w:r>
        <w:rPr>
          <w:rFonts w:hint="eastAsia" w:ascii="宋体" w:hAnsi="宋体" w:eastAsia="宋体" w:cs="宋体"/>
          <w:sz w:val="24"/>
        </w:rPr>
        <w:t>即客户资源</w:t>
      </w:r>
      <w:r>
        <w:rPr>
          <w:rFonts w:hint="eastAsia" w:ascii="宋体" w:hAnsi="宋体" w:eastAsia="宋体" w:cs="宋体"/>
          <w:sz w:val="10"/>
        </w:rPr>
        <w:t>、</w:t>
      </w:r>
      <w:r>
        <w:rPr>
          <w:rFonts w:hint="eastAsia" w:ascii="宋体" w:hAnsi="宋体" w:eastAsia="宋体" w:cs="宋体"/>
          <w:sz w:val="24"/>
        </w:rPr>
        <w:t>金融牌照</w:t>
      </w:r>
      <w:r>
        <w:rPr>
          <w:rFonts w:hint="eastAsia" w:ascii="宋体" w:hAnsi="宋体" w:eastAsia="宋体" w:cs="宋体"/>
          <w:sz w:val="10"/>
        </w:rPr>
        <w:t>、</w:t>
      </w:r>
      <w:r>
        <w:rPr>
          <w:rFonts w:hint="eastAsia" w:ascii="宋体" w:hAnsi="宋体" w:eastAsia="宋体" w:cs="宋体"/>
          <w:sz w:val="24"/>
        </w:rPr>
        <w:t>业务跨界合作基础以及资产负债的配置能力</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在各个领域不断推出新产品</w:t>
      </w:r>
      <w:r>
        <w:rPr>
          <w:rFonts w:hint="eastAsia" w:ascii="宋体" w:hAnsi="宋体" w:eastAsia="宋体" w:cs="宋体"/>
          <w:sz w:val="10"/>
        </w:rPr>
        <w:t>，</w:t>
      </w:r>
      <w:r>
        <w:rPr>
          <w:rFonts w:hint="eastAsia" w:ascii="宋体" w:hAnsi="宋体" w:eastAsia="宋体" w:cs="宋体"/>
          <w:sz w:val="24"/>
        </w:rPr>
        <w:t>以满足行业及下游客户的需求</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金融行业的经营核心在于对风险的控制</w:t>
      </w:r>
      <w:r>
        <w:rPr>
          <w:rFonts w:hint="eastAsia" w:ascii="宋体" w:hAnsi="宋体" w:eastAsia="宋体" w:cs="宋体"/>
          <w:sz w:val="10"/>
        </w:rPr>
        <w:t>。</w:t>
      </w:r>
      <w:r>
        <w:rPr>
          <w:rFonts w:hint="eastAsia" w:ascii="宋体" w:hAnsi="宋体" w:eastAsia="宋体" w:cs="宋体"/>
          <w:sz w:val="24"/>
        </w:rPr>
        <w:t>伴随互联网时代的来临</w:t>
      </w: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理念的推进将对传统金融行业产生巨大的革命性影响</w:t>
      </w:r>
      <w:r>
        <w:rPr>
          <w:rFonts w:hint="eastAsia" w:ascii="宋体" w:hAnsi="宋体" w:eastAsia="宋体" w:cs="宋体"/>
          <w:sz w:val="10"/>
        </w:rPr>
        <w:t>，</w:t>
      </w:r>
      <w:r>
        <w:rPr>
          <w:rFonts w:hint="eastAsia" w:ascii="宋体" w:hAnsi="宋体" w:eastAsia="宋体" w:cs="宋体"/>
          <w:sz w:val="24"/>
        </w:rPr>
        <w:t>表现为互联网的便捷性和良好的客户体验对传统金融复杂操作体验的替代</w:t>
      </w:r>
      <w:r>
        <w:rPr>
          <w:rFonts w:hint="eastAsia" w:ascii="宋体" w:hAnsi="宋体" w:eastAsia="宋体" w:cs="宋体"/>
          <w:sz w:val="10"/>
        </w:rPr>
        <w:t>，</w:t>
      </w:r>
      <w:r>
        <w:rPr>
          <w:rFonts w:hint="eastAsia" w:ascii="宋体" w:hAnsi="宋体" w:eastAsia="宋体" w:cs="宋体"/>
          <w:sz w:val="24"/>
        </w:rPr>
        <w:t>以及互联网渠道对传统金融渠道的侵蚀</w:t>
      </w:r>
      <w:r>
        <w:rPr>
          <w:rFonts w:hint="eastAsia" w:ascii="宋体" w:hAnsi="宋体" w:eastAsia="宋体" w:cs="宋体"/>
          <w:sz w:val="10"/>
        </w:rPr>
        <w:t>，</w:t>
      </w:r>
      <w:r>
        <w:rPr>
          <w:rFonts w:hint="eastAsia" w:ascii="宋体" w:hAnsi="宋体" w:eastAsia="宋体" w:cs="宋体"/>
          <w:sz w:val="24"/>
        </w:rPr>
        <w:t>用户体验提升</w:t>
      </w:r>
      <w:r>
        <w:rPr>
          <w:rFonts w:hint="eastAsia" w:ascii="宋体" w:hAnsi="宋体" w:eastAsia="宋体" w:cs="宋体"/>
          <w:sz w:val="10"/>
        </w:rPr>
        <w:t>、</w:t>
      </w:r>
      <w:r>
        <w:rPr>
          <w:rFonts w:hint="eastAsia" w:ascii="宋体" w:hAnsi="宋体" w:eastAsia="宋体" w:cs="宋体"/>
          <w:sz w:val="24"/>
        </w:rPr>
        <w:t>便捷性加强</w:t>
      </w:r>
      <w:r>
        <w:rPr>
          <w:rFonts w:hint="eastAsia" w:ascii="宋体" w:hAnsi="宋体" w:eastAsia="宋体" w:cs="宋体"/>
          <w:sz w:val="10"/>
        </w:rPr>
        <w:t>、</w:t>
      </w:r>
      <w:r>
        <w:rPr>
          <w:rFonts w:hint="eastAsia" w:ascii="宋体" w:hAnsi="宋体" w:eastAsia="宋体" w:cs="宋体"/>
          <w:sz w:val="24"/>
        </w:rPr>
        <w:t>效率提升</w:t>
      </w:r>
      <w:r>
        <w:rPr>
          <w:rFonts w:hint="eastAsia" w:ascii="宋体" w:hAnsi="宋体" w:eastAsia="宋体" w:cs="宋体"/>
          <w:sz w:val="10"/>
        </w:rPr>
        <w:t>、</w:t>
      </w:r>
      <w:r>
        <w:rPr>
          <w:rFonts w:hint="eastAsia" w:ascii="宋体" w:hAnsi="宋体" w:eastAsia="宋体" w:cs="宋体"/>
          <w:sz w:val="24"/>
        </w:rPr>
        <w:t>开发多种金融产品并拓宽销售渠道的现实需求</w:t>
      </w:r>
      <w:r>
        <w:rPr>
          <w:rFonts w:hint="eastAsia" w:ascii="宋体" w:hAnsi="宋体" w:eastAsia="宋体" w:cs="宋体"/>
          <w:sz w:val="10"/>
        </w:rPr>
        <w:t>，</w:t>
      </w:r>
      <w:r>
        <w:rPr>
          <w:rFonts w:hint="eastAsia" w:ascii="宋体" w:hAnsi="宋体" w:eastAsia="宋体" w:cs="宋体"/>
          <w:sz w:val="24"/>
        </w:rPr>
        <w:t>对金融信息化</w:t>
      </w:r>
      <w:r>
        <w:rPr>
          <w:rFonts w:hint="eastAsia" w:ascii="宋体" w:hAnsi="宋体" w:eastAsia="宋体" w:cs="宋体"/>
          <w:sz w:val="10"/>
        </w:rPr>
        <w:t>、</w:t>
      </w:r>
      <w:r>
        <w:rPr>
          <w:rFonts w:hint="eastAsia" w:ascii="Times New Roman" w:hAnsi="Times New Roman" w:eastAsia="Times New Roman" w:cs="Times New Roman"/>
          <w:sz w:val="24"/>
        </w:rPr>
        <w:t>IT</w:t>
      </w:r>
      <w:r>
        <w:rPr>
          <w:rFonts w:hint="eastAsia" w:ascii="宋体" w:hAnsi="宋体" w:eastAsia="宋体" w:cs="宋体"/>
          <w:sz w:val="24"/>
        </w:rPr>
        <w:t xml:space="preserve"> 技术以及软硬件的全面配套升级提出了更高的要求</w:t>
      </w:r>
      <w:r>
        <w:rPr>
          <w:rFonts w:hint="eastAsia" w:ascii="宋体" w:hAnsi="宋体" w:eastAsia="宋体" w:cs="宋体"/>
          <w:sz w:val="10"/>
        </w:rPr>
        <w:t>，</w:t>
      </w:r>
      <w:r>
        <w:rPr>
          <w:rFonts w:hint="eastAsia" w:ascii="宋体" w:hAnsi="宋体" w:eastAsia="宋体" w:cs="宋体"/>
          <w:sz w:val="24"/>
        </w:rPr>
        <w:t>也同时带来了无限的机遇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在</w:t>
      </w: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背景下的信息化建设将围绕流程再造</w:t>
      </w:r>
      <w:r>
        <w:rPr>
          <w:rFonts w:hint="eastAsia" w:ascii="宋体" w:hAnsi="宋体" w:eastAsia="宋体" w:cs="宋体"/>
          <w:sz w:val="10"/>
        </w:rPr>
        <w:t>、</w:t>
      </w:r>
      <w:r>
        <w:rPr>
          <w:rFonts w:hint="eastAsia" w:ascii="宋体" w:hAnsi="宋体" w:eastAsia="宋体" w:cs="宋体"/>
          <w:sz w:val="24"/>
        </w:rPr>
        <w:t>资源整合</w:t>
      </w:r>
      <w:r>
        <w:rPr>
          <w:rFonts w:hint="eastAsia" w:ascii="宋体" w:hAnsi="宋体" w:eastAsia="宋体" w:cs="宋体"/>
          <w:sz w:val="10"/>
        </w:rPr>
        <w:t>、</w:t>
      </w:r>
      <w:r>
        <w:rPr>
          <w:rFonts w:hint="eastAsia" w:ascii="宋体" w:hAnsi="宋体" w:eastAsia="宋体" w:cs="宋体"/>
          <w:sz w:val="24"/>
        </w:rPr>
        <w:t>大数据</w:t>
      </w:r>
      <w:r>
        <w:rPr>
          <w:rFonts w:hint="eastAsia" w:ascii="宋体" w:hAnsi="宋体" w:eastAsia="宋体" w:cs="宋体"/>
          <w:sz w:val="10"/>
        </w:rPr>
        <w:t>、</w:t>
      </w:r>
      <w:r>
        <w:rPr>
          <w:rFonts w:hint="eastAsia" w:ascii="宋体" w:hAnsi="宋体" w:eastAsia="宋体" w:cs="宋体"/>
          <w:sz w:val="24"/>
        </w:rPr>
        <w:t>云处理以及传统业务的互联网化等方面多管齐下</w:t>
      </w:r>
      <w:r>
        <w:rPr>
          <w:rFonts w:hint="eastAsia" w:ascii="宋体" w:hAnsi="宋体" w:eastAsia="宋体" w:cs="宋体"/>
          <w:sz w:val="10"/>
        </w:rPr>
        <w:t>，</w:t>
      </w:r>
      <w:r>
        <w:rPr>
          <w:rFonts w:hint="eastAsia" w:ascii="宋体" w:hAnsi="宋体" w:eastAsia="宋体" w:cs="宋体"/>
          <w:sz w:val="24"/>
        </w:rPr>
        <w:t>对金融企业提出更高要求的同时</w:t>
      </w:r>
      <w:r>
        <w:rPr>
          <w:rFonts w:hint="eastAsia" w:ascii="宋体" w:hAnsi="宋体" w:eastAsia="宋体" w:cs="宋体"/>
          <w:sz w:val="10"/>
        </w:rPr>
        <w:t>，</w:t>
      </w:r>
      <w:r>
        <w:rPr>
          <w:rFonts w:hint="eastAsia" w:ascii="宋体" w:hAnsi="宋体" w:eastAsia="宋体" w:cs="宋体"/>
          <w:sz w:val="24"/>
        </w:rPr>
        <w:t>也对金融信息化软件供应商提出了超越性</w:t>
      </w:r>
      <w:r>
        <w:rPr>
          <w:rFonts w:hint="eastAsia" w:ascii="宋体" w:hAnsi="宋体" w:eastAsia="宋体" w:cs="宋体"/>
          <w:sz w:val="10"/>
        </w:rPr>
        <w:t>、</w:t>
      </w:r>
      <w:r>
        <w:rPr>
          <w:rFonts w:hint="eastAsia" w:ascii="宋体" w:hAnsi="宋体" w:eastAsia="宋体" w:cs="宋体"/>
          <w:sz w:val="24"/>
        </w:rPr>
        <w:t>前瞻性的要求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证券行业信息化的情况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公司经过多年的经营</w:t>
      </w:r>
      <w:r>
        <w:rPr>
          <w:rFonts w:hint="eastAsia" w:ascii="宋体" w:hAnsi="宋体" w:eastAsia="宋体" w:cs="宋体"/>
          <w:sz w:val="10"/>
        </w:rPr>
        <w:t>，</w:t>
      </w:r>
      <w:r>
        <w:rPr>
          <w:rFonts w:hint="eastAsia" w:ascii="宋体" w:hAnsi="宋体" w:eastAsia="宋体" w:cs="宋体"/>
          <w:sz w:val="24"/>
        </w:rPr>
        <w:t>在证券行业信息化方面积累了丰富的技术优势和行业经验</w:t>
      </w:r>
      <w:r>
        <w:rPr>
          <w:rFonts w:hint="eastAsia" w:ascii="宋体" w:hAnsi="宋体" w:eastAsia="宋体" w:cs="宋体"/>
          <w:sz w:val="10"/>
        </w:rPr>
        <w:t>，</w:t>
      </w:r>
      <w:r>
        <w:rPr>
          <w:rFonts w:hint="eastAsia" w:ascii="宋体" w:hAnsi="宋体" w:eastAsia="宋体" w:cs="宋体"/>
          <w:sz w:val="24"/>
        </w:rPr>
        <w:t>为全面踏入</w:t>
      </w: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背景下的金融信息化领域提供了支持和便利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）证券业信息化发展的进程</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1-1-103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中国证券期货市场起步较晚</w:t>
      </w:r>
      <w:r>
        <w:rPr>
          <w:rFonts w:hint="eastAsia" w:ascii="宋体" w:hAnsi="宋体" w:eastAsia="宋体" w:cs="宋体"/>
          <w:sz w:val="10"/>
        </w:rPr>
        <w:t>，</w:t>
      </w:r>
      <w:r>
        <w:rPr>
          <w:rFonts w:hint="eastAsia" w:ascii="宋体" w:hAnsi="宋体" w:eastAsia="宋体" w:cs="宋体"/>
          <w:sz w:val="24"/>
        </w:rPr>
        <w:t>但信息技术和信息化应用的起点很高</w:t>
      </w:r>
      <w:r>
        <w:rPr>
          <w:rFonts w:hint="eastAsia" w:ascii="宋体" w:hAnsi="宋体" w:eastAsia="宋体" w:cs="宋体"/>
          <w:sz w:val="10"/>
        </w:rPr>
        <w:t>，二</w:t>
      </w:r>
      <w:r>
        <w:rPr>
          <w:rFonts w:hint="eastAsia" w:ascii="宋体" w:hAnsi="宋体" w:eastAsia="宋体" w:cs="宋体"/>
          <w:sz w:val="24"/>
        </w:rPr>
        <w:t>十余年时间</w:t>
      </w:r>
      <w:r>
        <w:rPr>
          <w:rFonts w:hint="eastAsia" w:ascii="宋体" w:hAnsi="宋体" w:eastAsia="宋体" w:cs="宋体"/>
          <w:sz w:val="10"/>
        </w:rPr>
        <w:t>，</w:t>
      </w:r>
      <w:r>
        <w:rPr>
          <w:rFonts w:hint="eastAsia" w:ascii="宋体" w:hAnsi="宋体" w:eastAsia="宋体" w:cs="宋体"/>
          <w:sz w:val="24"/>
        </w:rPr>
        <w:t>实现了电子化</w:t>
      </w:r>
      <w:r>
        <w:rPr>
          <w:rFonts w:hint="eastAsia" w:ascii="宋体" w:hAnsi="宋体" w:eastAsia="宋体" w:cs="宋体"/>
          <w:sz w:val="10"/>
        </w:rPr>
        <w:t>、</w:t>
      </w:r>
      <w:r>
        <w:rPr>
          <w:rFonts w:hint="eastAsia" w:ascii="宋体" w:hAnsi="宋体" w:eastAsia="宋体" w:cs="宋体"/>
          <w:sz w:val="24"/>
        </w:rPr>
        <w:t>无纸化</w:t>
      </w:r>
      <w:r>
        <w:rPr>
          <w:rFonts w:hint="eastAsia" w:ascii="宋体" w:hAnsi="宋体" w:eastAsia="宋体" w:cs="宋体"/>
          <w:sz w:val="10"/>
        </w:rPr>
        <w:t>、</w:t>
      </w:r>
      <w:r>
        <w:rPr>
          <w:rFonts w:hint="eastAsia" w:ascii="宋体" w:hAnsi="宋体" w:eastAsia="宋体" w:cs="宋体"/>
          <w:sz w:val="24"/>
        </w:rPr>
        <w:t>网络化的交易结算体系</w:t>
      </w:r>
      <w:r>
        <w:rPr>
          <w:rFonts w:hint="eastAsia" w:ascii="宋体" w:hAnsi="宋体" w:eastAsia="宋体" w:cs="宋体"/>
          <w:sz w:val="10"/>
        </w:rPr>
        <w:t>，</w:t>
      </w:r>
      <w:r>
        <w:rPr>
          <w:rFonts w:hint="eastAsia" w:ascii="宋体" w:hAnsi="宋体" w:eastAsia="宋体" w:cs="宋体"/>
          <w:sz w:val="24"/>
        </w:rPr>
        <w:t>有力地推动了多层次资本市场的快速发展</w:t>
      </w:r>
      <w:r>
        <w:rPr>
          <w:rFonts w:hint="eastAsia" w:ascii="宋体" w:hAnsi="宋体" w:eastAsia="宋体" w:cs="宋体"/>
          <w:sz w:val="10"/>
        </w:rPr>
        <w:t>，</w:t>
      </w:r>
      <w:r>
        <w:rPr>
          <w:rFonts w:hint="eastAsia" w:ascii="宋体" w:hAnsi="宋体" w:eastAsia="宋体" w:cs="宋体"/>
          <w:sz w:val="24"/>
        </w:rPr>
        <w:t>也迅速推动了市场各参与主体的信息化建设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金融业信息化行业</w:t>
      </w:r>
      <w:r>
        <w:rPr>
          <w:rFonts w:hint="eastAsia" w:ascii="宋体" w:hAnsi="宋体" w:eastAsia="宋体" w:cs="宋体"/>
          <w:sz w:val="10"/>
        </w:rPr>
        <w:t>，</w:t>
      </w:r>
      <w:r>
        <w:rPr>
          <w:rFonts w:hint="eastAsia" w:ascii="宋体" w:hAnsi="宋体" w:eastAsia="宋体" w:cs="宋体"/>
          <w:sz w:val="24"/>
        </w:rPr>
        <w:t>尤其是证券业信息化行业</w:t>
      </w:r>
      <w:r>
        <w:rPr>
          <w:rFonts w:hint="eastAsia" w:ascii="宋体" w:hAnsi="宋体" w:eastAsia="宋体" w:cs="宋体"/>
          <w:sz w:val="10"/>
        </w:rPr>
        <w:t>，</w:t>
      </w:r>
      <w:r>
        <w:rPr>
          <w:rFonts w:hint="eastAsia" w:ascii="宋体" w:hAnsi="宋体" w:eastAsia="宋体" w:cs="宋体"/>
          <w:sz w:val="24"/>
        </w:rPr>
        <w:t>与制造业</w:t>
      </w:r>
      <w:r>
        <w:rPr>
          <w:rFonts w:hint="eastAsia" w:ascii="宋体" w:hAnsi="宋体" w:eastAsia="宋体" w:cs="宋体"/>
          <w:sz w:val="10"/>
        </w:rPr>
        <w:t>、</w:t>
      </w:r>
      <w:r>
        <w:rPr>
          <w:rFonts w:hint="eastAsia" w:ascii="宋体" w:hAnsi="宋体" w:eastAsia="宋体" w:cs="宋体"/>
          <w:sz w:val="24"/>
        </w:rPr>
        <w:t>快消品等行业注重产品品牌的特点不同</w:t>
      </w:r>
      <w:r>
        <w:rPr>
          <w:rFonts w:hint="eastAsia" w:ascii="宋体" w:hAnsi="宋体" w:eastAsia="宋体" w:cs="宋体"/>
          <w:sz w:val="10"/>
        </w:rPr>
        <w:t>，</w:t>
      </w:r>
      <w:r>
        <w:rPr>
          <w:rFonts w:hint="eastAsia" w:ascii="宋体" w:hAnsi="宋体" w:eastAsia="宋体" w:cs="宋体"/>
          <w:sz w:val="24"/>
        </w:rPr>
        <w:t>下游客户更加关注供应商软件企业本身</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信息化解决方案提供商依据下游客户的业务格局及特点开发软件产品并提供相关服务</w:t>
      </w:r>
      <w:r>
        <w:rPr>
          <w:rFonts w:hint="eastAsia" w:ascii="宋体" w:hAnsi="宋体" w:eastAsia="宋体" w:cs="宋体"/>
          <w:sz w:val="10"/>
        </w:rPr>
        <w:t>。</w:t>
      </w:r>
      <w:r>
        <w:rPr>
          <w:rFonts w:hint="eastAsia" w:ascii="宋体" w:hAnsi="宋体" w:eastAsia="宋体" w:cs="宋体"/>
          <w:sz w:val="24"/>
        </w:rPr>
        <w:t>就证券信息化领域而言</w:t>
      </w:r>
      <w:r>
        <w:rPr>
          <w:rFonts w:hint="eastAsia" w:ascii="宋体" w:hAnsi="宋体" w:eastAsia="宋体" w:cs="宋体"/>
          <w:sz w:val="10"/>
        </w:rPr>
        <w:t>，</w:t>
      </w:r>
      <w:r>
        <w:rPr>
          <w:rFonts w:hint="eastAsia" w:ascii="宋体" w:hAnsi="宋体" w:eastAsia="宋体" w:cs="宋体"/>
          <w:sz w:val="24"/>
        </w:rPr>
        <w:t>按照研发技术特征</w:t>
      </w:r>
      <w:r>
        <w:rPr>
          <w:rFonts w:hint="eastAsia" w:ascii="宋体" w:hAnsi="宋体" w:eastAsia="宋体" w:cs="宋体"/>
          <w:sz w:val="10"/>
        </w:rPr>
        <w:t>、</w:t>
      </w:r>
      <w:r>
        <w:rPr>
          <w:rFonts w:hint="eastAsia" w:ascii="宋体" w:hAnsi="宋体" w:eastAsia="宋体" w:cs="宋体"/>
          <w:sz w:val="24"/>
        </w:rPr>
        <w:t>内部研发产品线</w:t>
      </w:r>
      <w:r>
        <w:rPr>
          <w:rFonts w:hint="eastAsia" w:ascii="宋体" w:hAnsi="宋体" w:eastAsia="宋体" w:cs="宋体"/>
          <w:sz w:val="10"/>
        </w:rPr>
        <w:t>、</w:t>
      </w:r>
      <w:r>
        <w:rPr>
          <w:rFonts w:hint="eastAsia" w:ascii="宋体" w:hAnsi="宋体" w:eastAsia="宋体" w:cs="宋体"/>
          <w:sz w:val="24"/>
        </w:rPr>
        <w:t>软件使用者的角色划分</w:t>
      </w:r>
      <w:r>
        <w:rPr>
          <w:rFonts w:hint="eastAsia" w:ascii="宋体" w:hAnsi="宋体" w:eastAsia="宋体" w:cs="宋体"/>
          <w:sz w:val="10"/>
        </w:rPr>
        <w:t>，</w:t>
      </w:r>
      <w:r>
        <w:rPr>
          <w:rFonts w:hint="eastAsia" w:ascii="宋体" w:hAnsi="宋体" w:eastAsia="宋体" w:cs="宋体"/>
          <w:sz w:val="24"/>
        </w:rPr>
        <w:t>产品主要分为前台服务渠道与作业支持信息化解决方案</w:t>
      </w:r>
      <w:r>
        <w:rPr>
          <w:rFonts w:hint="eastAsia" w:ascii="宋体" w:hAnsi="宋体" w:eastAsia="宋体" w:cs="宋体"/>
          <w:sz w:val="10"/>
        </w:rPr>
        <w:t>、</w:t>
      </w:r>
      <w:r>
        <w:rPr>
          <w:rFonts w:hint="eastAsia" w:ascii="宋体" w:hAnsi="宋体" w:eastAsia="宋体" w:cs="宋体"/>
          <w:sz w:val="24"/>
        </w:rPr>
        <w:t>中台流程信息化解决方案</w:t>
      </w:r>
      <w:r>
        <w:rPr>
          <w:rFonts w:hint="eastAsia" w:ascii="宋体" w:hAnsi="宋体" w:eastAsia="宋体" w:cs="宋体"/>
          <w:sz w:val="10"/>
        </w:rPr>
        <w:t>、</w:t>
      </w:r>
      <w:r>
        <w:rPr>
          <w:rFonts w:hint="eastAsia" w:ascii="宋体" w:hAnsi="宋体" w:eastAsia="宋体" w:cs="宋体"/>
          <w:sz w:val="24"/>
        </w:rPr>
        <w:t>后台基础运营支持系统解决方案</w:t>
      </w:r>
      <w:r>
        <w:rPr>
          <w:rFonts w:hint="eastAsia" w:ascii="宋体" w:hAnsi="宋体" w:eastAsia="宋体" w:cs="宋体"/>
          <w:sz w:val="12"/>
        </w:rPr>
        <w:t>；</w:t>
      </w:r>
      <w:r>
        <w:rPr>
          <w:rFonts w:hint="eastAsia" w:ascii="宋体" w:hAnsi="宋体" w:eastAsia="宋体" w:cs="宋体"/>
          <w:sz w:val="24"/>
        </w:rPr>
        <w:t>按照向客户提供的业务类别及合同内容划分</w:t>
      </w:r>
      <w:r>
        <w:rPr>
          <w:rFonts w:hint="eastAsia" w:ascii="宋体" w:hAnsi="宋体" w:eastAsia="宋体" w:cs="宋体"/>
          <w:sz w:val="10"/>
        </w:rPr>
        <w:t>，</w:t>
      </w:r>
      <w:r>
        <w:rPr>
          <w:rFonts w:hint="eastAsia" w:ascii="宋体" w:hAnsi="宋体" w:eastAsia="宋体" w:cs="宋体"/>
          <w:sz w:val="24"/>
        </w:rPr>
        <w:t>产品主要分为交易系统信息化解决方案</w:t>
      </w:r>
      <w:r>
        <w:rPr>
          <w:rFonts w:hint="eastAsia" w:ascii="宋体" w:hAnsi="宋体" w:eastAsia="宋体" w:cs="宋体"/>
          <w:sz w:val="10"/>
        </w:rPr>
        <w:t>、</w:t>
      </w:r>
      <w:r>
        <w:rPr>
          <w:rFonts w:hint="eastAsia" w:ascii="Times New Roman" w:hAnsi="Times New Roman" w:eastAsia="Times New Roman" w:cs="Times New Roman"/>
          <w:sz w:val="24"/>
        </w:rPr>
        <w:t>CRM</w:t>
      </w:r>
      <w:r>
        <w:rPr>
          <w:rFonts w:hint="eastAsia" w:ascii="宋体" w:hAnsi="宋体" w:eastAsia="宋体" w:cs="宋体"/>
          <w:sz w:val="24"/>
        </w:rPr>
        <w:t xml:space="preserve"> 业务信息化解决方案</w:t>
      </w:r>
      <w:r>
        <w:rPr>
          <w:rFonts w:hint="eastAsia" w:ascii="宋体" w:hAnsi="宋体" w:eastAsia="宋体" w:cs="宋体"/>
          <w:sz w:val="10"/>
        </w:rPr>
        <w:t>、</w:t>
      </w:r>
      <w:r>
        <w:rPr>
          <w:rFonts w:hint="eastAsia" w:ascii="宋体" w:hAnsi="宋体" w:eastAsia="宋体" w:cs="宋体"/>
          <w:sz w:val="24"/>
        </w:rPr>
        <w:t>集中运营业务信息化解决方案等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发行人产品和技术的生命周期</w:t>
      </w:r>
      <w:r>
        <w:rPr>
          <w:rFonts w:hint="eastAsia" w:ascii="宋体" w:hAnsi="宋体" w:eastAsia="宋体" w:cs="宋体"/>
          <w:sz w:val="10"/>
        </w:rPr>
        <w:t>、</w:t>
      </w:r>
      <w:r>
        <w:rPr>
          <w:rFonts w:hint="eastAsia" w:ascii="宋体" w:hAnsi="宋体" w:eastAsia="宋体" w:cs="宋体"/>
          <w:sz w:val="24"/>
        </w:rPr>
        <w:t>技术更新换代周期通常取决于监管政策</w:t>
      </w:r>
      <w:r>
        <w:rPr>
          <w:rFonts w:hint="eastAsia" w:ascii="宋体" w:hAnsi="宋体" w:eastAsia="宋体" w:cs="宋体"/>
          <w:sz w:val="10"/>
        </w:rPr>
        <w:t>、</w:t>
      </w:r>
      <w:r>
        <w:rPr>
          <w:rFonts w:hint="eastAsia" w:ascii="宋体" w:hAnsi="宋体" w:eastAsia="宋体" w:cs="宋体"/>
          <w:sz w:val="24"/>
        </w:rPr>
        <w:t>下游行业发展和客户的需求</w:t>
      </w:r>
      <w:r>
        <w:rPr>
          <w:rFonts w:hint="eastAsia" w:ascii="宋体" w:hAnsi="宋体" w:eastAsia="宋体" w:cs="宋体"/>
          <w:sz w:val="10"/>
        </w:rPr>
        <w:t>。</w:t>
      </w:r>
      <w:r>
        <w:rPr>
          <w:rFonts w:hint="eastAsia" w:ascii="宋体" w:hAnsi="宋体" w:eastAsia="宋体" w:cs="宋体"/>
          <w:sz w:val="24"/>
        </w:rPr>
        <w:t>近年来</w:t>
      </w:r>
      <w:r>
        <w:rPr>
          <w:rFonts w:hint="eastAsia" w:ascii="宋体" w:hAnsi="宋体" w:eastAsia="宋体" w:cs="宋体"/>
          <w:sz w:val="10"/>
        </w:rPr>
        <w:t>，</w:t>
      </w:r>
      <w:r>
        <w:rPr>
          <w:rFonts w:hint="eastAsia" w:ascii="宋体" w:hAnsi="宋体" w:eastAsia="宋体" w:cs="宋体"/>
          <w:sz w:val="24"/>
        </w:rPr>
        <w:t>我国证券行业每年都在推出新政策</w:t>
      </w:r>
      <w:r>
        <w:rPr>
          <w:rFonts w:hint="eastAsia" w:ascii="宋体" w:hAnsi="宋体" w:eastAsia="宋体" w:cs="宋体"/>
          <w:sz w:val="10"/>
        </w:rPr>
        <w:t>、</w:t>
      </w:r>
      <w:r>
        <w:rPr>
          <w:rFonts w:hint="eastAsia" w:ascii="宋体" w:hAnsi="宋体" w:eastAsia="宋体" w:cs="宋体"/>
          <w:sz w:val="24"/>
        </w:rPr>
        <w:t>新产品</w:t>
      </w:r>
      <w:r>
        <w:rPr>
          <w:rFonts w:hint="eastAsia" w:ascii="宋体" w:hAnsi="宋体" w:eastAsia="宋体" w:cs="宋体"/>
          <w:sz w:val="10"/>
        </w:rPr>
        <w:t>、</w:t>
      </w:r>
      <w:r>
        <w:rPr>
          <w:rFonts w:hint="eastAsia" w:ascii="宋体" w:hAnsi="宋体" w:eastAsia="宋体" w:cs="宋体"/>
          <w:sz w:val="24"/>
        </w:rPr>
        <w:t>新业务</w:t>
      </w:r>
      <w:r>
        <w:rPr>
          <w:rFonts w:hint="eastAsia" w:ascii="宋体" w:hAnsi="宋体" w:eastAsia="宋体" w:cs="宋体"/>
          <w:sz w:val="10"/>
        </w:rPr>
        <w:t>，</w:t>
      </w:r>
      <w:r>
        <w:rPr>
          <w:rFonts w:hint="eastAsia" w:ascii="宋体" w:hAnsi="宋体" w:eastAsia="宋体" w:cs="宋体"/>
          <w:sz w:val="24"/>
        </w:rPr>
        <w:t>如深港通</w:t>
      </w:r>
      <w:r>
        <w:rPr>
          <w:rFonts w:hint="eastAsia" w:ascii="宋体" w:hAnsi="宋体" w:eastAsia="宋体" w:cs="宋体"/>
          <w:sz w:val="10"/>
        </w:rPr>
        <w:t>、</w:t>
      </w:r>
      <w:r>
        <w:rPr>
          <w:rFonts w:hint="eastAsia" w:ascii="宋体" w:hAnsi="宋体" w:eastAsia="宋体" w:cs="宋体"/>
          <w:sz w:val="24"/>
        </w:rPr>
        <w:t>沪港通</w:t>
      </w:r>
      <w:r>
        <w:rPr>
          <w:rFonts w:hint="eastAsia" w:ascii="宋体" w:hAnsi="宋体" w:eastAsia="宋体" w:cs="宋体"/>
          <w:sz w:val="10"/>
        </w:rPr>
        <w:t>、</w:t>
      </w:r>
      <w:r>
        <w:rPr>
          <w:rFonts w:hint="eastAsia" w:ascii="宋体" w:hAnsi="宋体" w:eastAsia="宋体" w:cs="宋体"/>
          <w:sz w:val="24"/>
        </w:rPr>
        <w:t>转融通</w:t>
      </w:r>
      <w:r>
        <w:rPr>
          <w:rFonts w:hint="eastAsia" w:ascii="宋体" w:hAnsi="宋体" w:eastAsia="宋体" w:cs="宋体"/>
          <w:sz w:val="10"/>
        </w:rPr>
        <w:t>、</w:t>
      </w:r>
      <w:r>
        <w:rPr>
          <w:rFonts w:hint="eastAsia" w:ascii="宋体" w:hAnsi="宋体" w:eastAsia="宋体" w:cs="宋体"/>
          <w:sz w:val="24"/>
        </w:rPr>
        <w:t>约定购回式证券交易</w:t>
      </w:r>
      <w:r>
        <w:rPr>
          <w:rFonts w:hint="eastAsia" w:ascii="宋体" w:hAnsi="宋体" w:eastAsia="宋体" w:cs="宋体"/>
          <w:sz w:val="10"/>
        </w:rPr>
        <w:t>、</w:t>
      </w:r>
      <w:r>
        <w:rPr>
          <w:rFonts w:hint="eastAsia" w:ascii="宋体" w:hAnsi="宋体" w:eastAsia="宋体" w:cs="宋体"/>
          <w:sz w:val="24"/>
        </w:rPr>
        <w:t>债券质押式报价回购</w:t>
      </w:r>
      <w:r>
        <w:rPr>
          <w:rFonts w:hint="eastAsia" w:ascii="宋体" w:hAnsi="宋体" w:eastAsia="宋体" w:cs="宋体"/>
          <w:sz w:val="10"/>
        </w:rPr>
        <w:t>、</w:t>
      </w:r>
      <w:r>
        <w:rPr>
          <w:rFonts w:hint="eastAsia" w:ascii="Times New Roman" w:hAnsi="Times New Roman" w:eastAsia="Times New Roman" w:cs="Times New Roman"/>
          <w:sz w:val="24"/>
        </w:rPr>
        <w:t>ETF</w:t>
      </w:r>
      <w:r>
        <w:rPr>
          <w:rFonts w:hint="eastAsia" w:ascii="宋体" w:hAnsi="宋体" w:eastAsia="宋体" w:cs="宋体"/>
          <w:sz w:val="24"/>
        </w:rPr>
        <w:t xml:space="preserve"> 创新</w:t>
      </w:r>
      <w:r>
        <w:rPr>
          <w:rFonts w:hint="eastAsia" w:ascii="宋体" w:hAnsi="宋体" w:eastAsia="宋体" w:cs="宋体"/>
          <w:sz w:val="10"/>
        </w:rPr>
        <w:t>、</w:t>
      </w:r>
      <w:r>
        <w:rPr>
          <w:rFonts w:hint="eastAsia" w:ascii="宋体" w:hAnsi="宋体" w:eastAsia="宋体" w:cs="宋体"/>
          <w:sz w:val="24"/>
        </w:rPr>
        <w:t>中小企业私募债</w:t>
      </w:r>
      <w:r>
        <w:rPr>
          <w:rFonts w:hint="eastAsia" w:ascii="宋体" w:hAnsi="宋体" w:eastAsia="宋体" w:cs="宋体"/>
          <w:sz w:val="10"/>
        </w:rPr>
        <w:t>、</w:t>
      </w:r>
      <w:r>
        <w:rPr>
          <w:rFonts w:hint="eastAsia" w:ascii="宋体" w:hAnsi="宋体" w:eastAsia="宋体" w:cs="宋体"/>
          <w:sz w:val="24"/>
        </w:rPr>
        <w:t>代销金融产品</w:t>
      </w:r>
      <w:r>
        <w:rPr>
          <w:rFonts w:hint="eastAsia" w:ascii="宋体" w:hAnsi="宋体" w:eastAsia="宋体" w:cs="宋体"/>
          <w:sz w:val="10"/>
        </w:rPr>
        <w:t>、</w:t>
      </w:r>
      <w:r>
        <w:rPr>
          <w:rFonts w:hint="eastAsia" w:ascii="宋体" w:hAnsi="宋体" w:eastAsia="宋体" w:cs="宋体"/>
          <w:sz w:val="24"/>
        </w:rPr>
        <w:t>股指期货</w:t>
      </w:r>
      <w:r>
        <w:rPr>
          <w:rFonts w:hint="eastAsia" w:ascii="宋体" w:hAnsi="宋体" w:eastAsia="宋体" w:cs="宋体"/>
          <w:sz w:val="10"/>
        </w:rPr>
        <w:t>、</w:t>
      </w:r>
      <w:r>
        <w:rPr>
          <w:rFonts w:hint="eastAsia" w:ascii="宋体" w:hAnsi="宋体" w:eastAsia="宋体" w:cs="宋体"/>
          <w:sz w:val="24"/>
        </w:rPr>
        <w:t>融资融券</w:t>
      </w:r>
      <w:r>
        <w:rPr>
          <w:rFonts w:hint="eastAsia" w:ascii="宋体" w:hAnsi="宋体" w:eastAsia="宋体" w:cs="宋体"/>
          <w:sz w:val="10"/>
        </w:rPr>
        <w:t>、</w:t>
      </w:r>
      <w:r>
        <w:rPr>
          <w:rFonts w:hint="eastAsia" w:ascii="宋体" w:hAnsi="宋体" w:eastAsia="宋体" w:cs="宋体"/>
          <w:sz w:val="24"/>
        </w:rPr>
        <w:t>多银行存管等等</w:t>
      </w:r>
      <w:r>
        <w:rPr>
          <w:rFonts w:hint="eastAsia" w:ascii="宋体" w:hAnsi="宋体" w:eastAsia="宋体" w:cs="宋体"/>
          <w:sz w:val="10"/>
        </w:rPr>
        <w:t>，</w:t>
      </w:r>
      <w:r>
        <w:rPr>
          <w:rFonts w:hint="eastAsia" w:ascii="宋体" w:hAnsi="宋体" w:eastAsia="宋体" w:cs="宋体"/>
          <w:sz w:val="24"/>
        </w:rPr>
        <w:t>创新速度愈加提高</w:t>
      </w:r>
      <w:r>
        <w:rPr>
          <w:rFonts w:hint="eastAsia" w:ascii="宋体" w:hAnsi="宋体" w:eastAsia="宋体" w:cs="宋体"/>
          <w:sz w:val="10"/>
        </w:rPr>
        <w:t>，</w:t>
      </w:r>
      <w:r>
        <w:rPr>
          <w:rFonts w:hint="eastAsia" w:ascii="宋体" w:hAnsi="宋体" w:eastAsia="宋体" w:cs="宋体"/>
          <w:sz w:val="24"/>
        </w:rPr>
        <w:t>程度不断加深</w:t>
      </w:r>
      <w:r>
        <w:rPr>
          <w:rFonts w:hint="eastAsia" w:ascii="宋体" w:hAnsi="宋体" w:eastAsia="宋体" w:cs="宋体"/>
          <w:sz w:val="10"/>
        </w:rPr>
        <w:t>。</w:t>
      </w:r>
      <w:r>
        <w:rPr>
          <w:rFonts w:hint="eastAsia" w:ascii="宋体" w:hAnsi="宋体" w:eastAsia="宋体" w:cs="宋体"/>
          <w:sz w:val="24"/>
        </w:rPr>
        <w:t>上述新产品</w:t>
      </w:r>
      <w:r>
        <w:rPr>
          <w:rFonts w:hint="eastAsia" w:ascii="宋体" w:hAnsi="宋体" w:eastAsia="宋体" w:cs="宋体"/>
          <w:sz w:val="10"/>
        </w:rPr>
        <w:t>、</w:t>
      </w:r>
      <w:r>
        <w:rPr>
          <w:rFonts w:hint="eastAsia" w:ascii="宋体" w:hAnsi="宋体" w:eastAsia="宋体" w:cs="宋体"/>
          <w:sz w:val="24"/>
        </w:rPr>
        <w:t>新业务多为基于传统交易业务</w:t>
      </w:r>
      <w:r>
        <w:rPr>
          <w:rFonts w:hint="eastAsia" w:ascii="宋体" w:hAnsi="宋体" w:eastAsia="宋体" w:cs="宋体"/>
          <w:sz w:val="10"/>
        </w:rPr>
        <w:t>、</w:t>
      </w:r>
      <w:r>
        <w:rPr>
          <w:rFonts w:hint="eastAsia" w:ascii="Times New Roman" w:hAnsi="Times New Roman" w:eastAsia="Times New Roman" w:cs="Times New Roman"/>
          <w:sz w:val="24"/>
        </w:rPr>
        <w:t>CRM</w:t>
      </w:r>
      <w:r>
        <w:rPr>
          <w:rFonts w:hint="eastAsia" w:ascii="宋体" w:hAnsi="宋体" w:eastAsia="宋体" w:cs="宋体"/>
          <w:sz w:val="24"/>
        </w:rPr>
        <w:t xml:space="preserve"> 业务</w:t>
      </w:r>
      <w:r>
        <w:rPr>
          <w:rFonts w:hint="eastAsia" w:ascii="宋体" w:hAnsi="宋体" w:eastAsia="宋体" w:cs="宋体"/>
          <w:sz w:val="10"/>
        </w:rPr>
        <w:t>、</w:t>
      </w:r>
      <w:r>
        <w:rPr>
          <w:rFonts w:hint="eastAsia" w:ascii="宋体" w:hAnsi="宋体" w:eastAsia="宋体" w:cs="宋体"/>
          <w:sz w:val="24"/>
        </w:rPr>
        <w:t>集中运营业务等的衍生和模块附加</w:t>
      </w:r>
      <w:r>
        <w:rPr>
          <w:rFonts w:hint="eastAsia" w:ascii="宋体" w:hAnsi="宋体" w:eastAsia="宋体" w:cs="宋体"/>
          <w:sz w:val="10"/>
        </w:rPr>
        <w:t>，</w:t>
      </w:r>
      <w:r>
        <w:rPr>
          <w:rFonts w:hint="eastAsia" w:ascii="宋体" w:hAnsi="宋体" w:eastAsia="宋体" w:cs="宋体"/>
          <w:sz w:val="24"/>
        </w:rPr>
        <w:t>非平台型软件企业需要针对各项新产品</w:t>
      </w:r>
      <w:r>
        <w:rPr>
          <w:rFonts w:hint="eastAsia" w:ascii="宋体" w:hAnsi="宋体" w:eastAsia="宋体" w:cs="宋体"/>
          <w:sz w:val="10"/>
        </w:rPr>
        <w:t>、</w:t>
      </w:r>
      <w:r>
        <w:rPr>
          <w:rFonts w:hint="eastAsia" w:ascii="宋体" w:hAnsi="宋体" w:eastAsia="宋体" w:cs="宋体"/>
          <w:sz w:val="24"/>
        </w:rPr>
        <w:t>新业务进行重新开发</w:t>
      </w:r>
      <w:r>
        <w:rPr>
          <w:rFonts w:hint="eastAsia" w:ascii="宋体" w:hAnsi="宋体" w:eastAsia="宋体" w:cs="宋体"/>
          <w:sz w:val="10"/>
        </w:rPr>
        <w:t>，</w:t>
      </w:r>
      <w:r>
        <w:rPr>
          <w:rFonts w:hint="eastAsia" w:ascii="宋体" w:hAnsi="宋体" w:eastAsia="宋体" w:cs="宋体"/>
          <w:sz w:val="24"/>
        </w:rPr>
        <w:t>平台型软件企业可基于平台进行定制</w:t>
      </w:r>
      <w:r>
        <w:rPr>
          <w:rFonts w:hint="eastAsia" w:ascii="宋体" w:hAnsi="宋体" w:eastAsia="宋体" w:cs="宋体"/>
          <w:sz w:val="10"/>
        </w:rPr>
        <w:t>，</w:t>
      </w:r>
      <w:r>
        <w:rPr>
          <w:rFonts w:hint="eastAsia" w:ascii="宋体" w:hAnsi="宋体" w:eastAsia="宋体" w:cs="宋体"/>
          <w:sz w:val="24"/>
        </w:rPr>
        <w:t>实施周期较短</w:t>
      </w:r>
      <w:r>
        <w:rPr>
          <w:rFonts w:hint="eastAsia" w:ascii="宋体" w:hAnsi="宋体" w:eastAsia="宋体" w:cs="宋体"/>
          <w:sz w:val="10"/>
        </w:rPr>
        <w:t>。</w:t>
      </w:r>
      <w:r>
        <w:rPr>
          <w:rFonts w:hint="eastAsia" w:ascii="宋体" w:hAnsi="宋体" w:eastAsia="宋体" w:cs="宋体"/>
          <w:sz w:val="24"/>
        </w:rPr>
        <w:t>上述软件开发平台的开发周期较长</w:t>
      </w:r>
      <w:r>
        <w:rPr>
          <w:rFonts w:hint="eastAsia" w:ascii="宋体" w:hAnsi="宋体" w:eastAsia="宋体" w:cs="宋体"/>
          <w:sz w:val="10"/>
        </w:rPr>
        <w:t>，</w:t>
      </w:r>
      <w:r>
        <w:rPr>
          <w:rFonts w:hint="eastAsia" w:ascii="宋体" w:hAnsi="宋体" w:eastAsia="宋体" w:cs="宋体"/>
          <w:sz w:val="24"/>
        </w:rPr>
        <w:t>可能长达数年</w:t>
      </w:r>
      <w:r>
        <w:rPr>
          <w:rFonts w:hint="eastAsia" w:ascii="宋体" w:hAnsi="宋体" w:eastAsia="宋体" w:cs="宋体"/>
          <w:sz w:val="12"/>
        </w:rPr>
        <w:t>；</w:t>
      </w:r>
      <w:r>
        <w:rPr>
          <w:rFonts w:hint="eastAsia" w:ascii="宋体" w:hAnsi="宋体" w:eastAsia="宋体" w:cs="宋体"/>
          <w:sz w:val="24"/>
        </w:rPr>
        <w:t>基于行业政策和下游需求而对平台进行的升级</w:t>
      </w:r>
      <w:r>
        <w:rPr>
          <w:rFonts w:hint="eastAsia" w:ascii="宋体" w:hAnsi="宋体" w:eastAsia="宋体" w:cs="宋体"/>
          <w:sz w:val="10"/>
        </w:rPr>
        <w:t>、</w:t>
      </w:r>
      <w:r>
        <w:rPr>
          <w:rFonts w:hint="eastAsia" w:ascii="宋体" w:hAnsi="宋体" w:eastAsia="宋体" w:cs="宋体"/>
          <w:sz w:val="24"/>
        </w:rPr>
        <w:t>调整周期则较短</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拥有更长行业经历</w:t>
      </w:r>
      <w:r>
        <w:rPr>
          <w:rFonts w:hint="eastAsia" w:ascii="宋体" w:hAnsi="宋体" w:eastAsia="宋体" w:cs="宋体"/>
          <w:sz w:val="10"/>
        </w:rPr>
        <w:t>、</w:t>
      </w:r>
      <w:r>
        <w:rPr>
          <w:rFonts w:hint="eastAsia" w:ascii="宋体" w:hAnsi="宋体" w:eastAsia="宋体" w:cs="宋体"/>
          <w:sz w:val="24"/>
        </w:rPr>
        <w:t>更多成功案例的平台型软件企业</w:t>
      </w:r>
      <w:r>
        <w:rPr>
          <w:rFonts w:hint="eastAsia" w:ascii="宋体" w:hAnsi="宋体" w:eastAsia="宋体" w:cs="宋体"/>
          <w:sz w:val="10"/>
        </w:rPr>
        <w:t>，</w:t>
      </w:r>
      <w:r>
        <w:rPr>
          <w:rFonts w:hint="eastAsia" w:ascii="宋体" w:hAnsi="宋体" w:eastAsia="宋体" w:cs="宋体"/>
          <w:sz w:val="24"/>
        </w:rPr>
        <w:t>可以利用其成熟的研发实力和市场影响力</w:t>
      </w:r>
      <w:r>
        <w:rPr>
          <w:rFonts w:hint="eastAsia" w:ascii="宋体" w:hAnsi="宋体" w:eastAsia="宋体" w:cs="宋体"/>
          <w:sz w:val="10"/>
        </w:rPr>
        <w:t>，</w:t>
      </w:r>
      <w:r>
        <w:rPr>
          <w:rFonts w:hint="eastAsia" w:ascii="宋体" w:hAnsi="宋体" w:eastAsia="宋体" w:cs="宋体"/>
          <w:sz w:val="24"/>
        </w:rPr>
        <w:t>持续保持竞争优势</w:t>
      </w:r>
      <w:r>
        <w:rPr>
          <w:rFonts w:hint="eastAsia" w:ascii="宋体" w:hAnsi="宋体" w:eastAsia="宋体" w:cs="宋体"/>
          <w:sz w:val="10"/>
        </w:rPr>
        <w:t>。</w:t>
      </w:r>
      <w:r>
        <w:rPr>
          <w:rFonts w:hint="eastAsia" w:ascii="宋体" w:hAnsi="宋体" w:eastAsia="宋体" w:cs="宋体"/>
          <w:sz w:val="24"/>
        </w:rPr>
        <w:t>由于金融业信息化领域</w:t>
      </w:r>
      <w:r>
        <w:rPr>
          <w:rFonts w:hint="eastAsia" w:ascii="宋体" w:hAnsi="宋体" w:eastAsia="宋体" w:cs="宋体"/>
          <w:sz w:val="10"/>
        </w:rPr>
        <w:t>，</w:t>
      </w:r>
      <w:r>
        <w:rPr>
          <w:rFonts w:hint="eastAsia" w:ascii="宋体" w:hAnsi="宋体" w:eastAsia="宋体" w:cs="宋体"/>
          <w:sz w:val="24"/>
        </w:rPr>
        <w:t>尤其是证券业信息化领域属于信息产业的细分领域</w:t>
      </w:r>
      <w:r>
        <w:rPr>
          <w:rFonts w:hint="eastAsia" w:ascii="宋体" w:hAnsi="宋体" w:eastAsia="宋体" w:cs="宋体"/>
          <w:sz w:val="10"/>
        </w:rPr>
        <w:t>，</w:t>
      </w:r>
      <w:r>
        <w:rPr>
          <w:rFonts w:hint="eastAsia" w:ascii="宋体" w:hAnsi="宋体" w:eastAsia="宋体" w:cs="宋体"/>
          <w:sz w:val="24"/>
        </w:rPr>
        <w:t>目前尚无权威机构发布市场容量等相关信息</w:t>
      </w:r>
      <w:r>
        <w:rPr>
          <w:rFonts w:hint="eastAsia" w:ascii="宋体" w:hAnsi="宋体" w:eastAsia="宋体" w:cs="宋体"/>
          <w:sz w:val="10"/>
        </w:rPr>
        <w:t>。</w:t>
      </w:r>
      <w:r>
        <w:rPr>
          <w:rFonts w:hint="eastAsia" w:ascii="宋体" w:hAnsi="宋体" w:eastAsia="宋体" w:cs="宋体"/>
          <w:sz w:val="24"/>
        </w:rPr>
        <w:t>但随着下游金融行业客户规模以及信息化投入的不断扩大</w:t>
      </w:r>
      <w:r>
        <w:rPr>
          <w:rFonts w:hint="eastAsia" w:ascii="宋体" w:hAnsi="宋体" w:eastAsia="宋体" w:cs="宋体"/>
          <w:sz w:val="10"/>
        </w:rPr>
        <w:t>，</w:t>
      </w:r>
      <w:r>
        <w:rPr>
          <w:rFonts w:hint="eastAsia" w:ascii="宋体" w:hAnsi="宋体" w:eastAsia="宋体" w:cs="宋体"/>
          <w:sz w:val="24"/>
        </w:rPr>
        <w:t>金融行业信息化领域的市场规模将不断扩大</w:t>
      </w:r>
      <w:r>
        <w:rPr>
          <w:rFonts w:hint="eastAsia" w:ascii="宋体" w:hAnsi="宋体" w:eastAsia="宋体" w:cs="宋体"/>
          <w:sz w:val="10"/>
        </w:rPr>
        <w:t>，</w:t>
      </w:r>
      <w:r>
        <w:rPr>
          <w:rFonts w:hint="eastAsia" w:ascii="宋体" w:hAnsi="宋体" w:eastAsia="宋体" w:cs="宋体"/>
          <w:sz w:val="24"/>
        </w:rPr>
        <w:t>广度</w:t>
      </w:r>
      <w:r>
        <w:rPr>
          <w:rFonts w:hint="eastAsia" w:ascii="宋体" w:hAnsi="宋体" w:eastAsia="宋体" w:cs="宋体"/>
          <w:sz w:val="10"/>
        </w:rPr>
        <w:t>、</w:t>
      </w:r>
      <w:r>
        <w:rPr>
          <w:rFonts w:hint="eastAsia" w:ascii="宋体" w:hAnsi="宋体" w:eastAsia="宋体" w:cs="宋体"/>
          <w:sz w:val="24"/>
        </w:rPr>
        <w:t>深度将不断延伸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我国证券业的信息化大致可分为基础设施建设阶段</w:t>
      </w:r>
      <w:r>
        <w:rPr>
          <w:rFonts w:hint="eastAsia" w:ascii="宋体" w:hAnsi="宋体" w:eastAsia="宋体" w:cs="宋体"/>
          <w:sz w:val="10"/>
        </w:rPr>
        <w:t>、</w:t>
      </w:r>
      <w:r>
        <w:rPr>
          <w:rFonts w:hint="eastAsia" w:ascii="宋体" w:hAnsi="宋体" w:eastAsia="宋体" w:cs="宋体"/>
          <w:sz w:val="24"/>
        </w:rPr>
        <w:t>集中交易和互联网应用阶段</w:t>
      </w:r>
      <w:r>
        <w:rPr>
          <w:rFonts w:hint="eastAsia" w:ascii="宋体" w:hAnsi="宋体" w:eastAsia="宋体" w:cs="宋体"/>
          <w:sz w:val="10"/>
        </w:rPr>
        <w:t>、</w:t>
      </w:r>
      <w:r>
        <w:rPr>
          <w:rFonts w:hint="eastAsia" w:ascii="宋体" w:hAnsi="宋体" w:eastAsia="宋体" w:cs="宋体"/>
          <w:sz w:val="24"/>
        </w:rPr>
        <w:t>基于战略实施而扩展整合及优化升级阶段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①基础设施建设阶段（</w:t>
      </w:r>
      <w:r>
        <w:rPr>
          <w:rFonts w:hint="eastAsia" w:ascii="Times New Roman" w:hAnsi="Times New Roman" w:eastAsia="Times New Roman" w:cs="Times New Roman"/>
          <w:sz w:val="24"/>
        </w:rPr>
        <w:t>2000</w:t>
      </w:r>
      <w:r>
        <w:rPr>
          <w:rFonts w:hint="eastAsia" w:ascii="宋体" w:hAnsi="宋体" w:eastAsia="宋体" w:cs="宋体"/>
          <w:sz w:val="24"/>
        </w:rPr>
        <w:t xml:space="preserve"> 年之前）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1-1-104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在证券和期货市场建立初期</w:t>
      </w:r>
      <w:r>
        <w:rPr>
          <w:rFonts w:hint="eastAsia" w:ascii="宋体" w:hAnsi="宋体" w:eastAsia="宋体" w:cs="宋体"/>
          <w:sz w:val="10"/>
        </w:rPr>
        <w:t>，</w:t>
      </w:r>
      <w:r>
        <w:rPr>
          <w:rFonts w:hint="eastAsia" w:ascii="宋体" w:hAnsi="宋体" w:eastAsia="宋体" w:cs="宋体"/>
          <w:sz w:val="24"/>
        </w:rPr>
        <w:t>证券公司和期货公司积极引入计算机</w:t>
      </w:r>
      <w:r>
        <w:rPr>
          <w:rFonts w:hint="eastAsia" w:ascii="宋体" w:hAnsi="宋体" w:eastAsia="宋体" w:cs="宋体"/>
          <w:sz w:val="10"/>
        </w:rPr>
        <w:t>、</w:t>
      </w:r>
      <w:r>
        <w:rPr>
          <w:rFonts w:hint="eastAsia" w:ascii="宋体" w:hAnsi="宋体" w:eastAsia="宋体" w:cs="宋体"/>
          <w:sz w:val="24"/>
        </w:rPr>
        <w:t>通信网络等信息技术</w:t>
      </w:r>
      <w:r>
        <w:rPr>
          <w:rFonts w:hint="eastAsia" w:ascii="宋体" w:hAnsi="宋体" w:eastAsia="宋体" w:cs="宋体"/>
          <w:sz w:val="10"/>
        </w:rPr>
        <w:t>，</w:t>
      </w:r>
      <w:r>
        <w:rPr>
          <w:rFonts w:hint="eastAsia" w:ascii="宋体" w:hAnsi="宋体" w:eastAsia="宋体" w:cs="宋体"/>
          <w:sz w:val="24"/>
        </w:rPr>
        <w:t>替代了人工交易模式</w:t>
      </w:r>
      <w:r>
        <w:rPr>
          <w:rFonts w:hint="eastAsia" w:ascii="宋体" w:hAnsi="宋体" w:eastAsia="宋体" w:cs="宋体"/>
          <w:sz w:val="10"/>
        </w:rPr>
        <w:t>，</w:t>
      </w:r>
      <w:r>
        <w:rPr>
          <w:rFonts w:hint="eastAsia" w:ascii="宋体" w:hAnsi="宋体" w:eastAsia="宋体" w:cs="宋体"/>
          <w:sz w:val="24"/>
        </w:rPr>
        <w:t>实现了交易结算等核心业务的信息化</w:t>
      </w:r>
      <w:r>
        <w:rPr>
          <w:rFonts w:hint="eastAsia" w:ascii="宋体" w:hAnsi="宋体" w:eastAsia="宋体" w:cs="宋体"/>
          <w:sz w:val="10"/>
        </w:rPr>
        <w:t>。</w:t>
      </w:r>
      <w:r>
        <w:rPr>
          <w:rFonts w:hint="eastAsia" w:ascii="宋体" w:hAnsi="宋体" w:eastAsia="宋体" w:cs="宋体"/>
          <w:sz w:val="24"/>
        </w:rPr>
        <w:t>信息化建设的投入主要集中在基础交易平台及内部数据传输网络上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②集中交易和互联网应用阶段（</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-2008</w:t>
      </w:r>
      <w:r>
        <w:rPr>
          <w:rFonts w:hint="eastAsia" w:ascii="宋体" w:hAnsi="宋体" w:eastAsia="宋体" w:cs="宋体"/>
          <w:sz w:val="24"/>
        </w:rPr>
        <w:t xml:space="preserve"> 年）</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20" w:firstLine="480"/>
        <w:jc w:val="both"/>
      </w:pPr>
      <w:r>
        <w:rPr>
          <w:rFonts w:hint="eastAsia" w:ascii="宋体" w:hAnsi="宋体" w:eastAsia="宋体" w:cs="宋体"/>
          <w:sz w:val="24"/>
        </w:rPr>
        <w:t>这一阶段证券公司和期货公司围绕集中交易系统（区域集中和大集中）和网上交易大规模系统进行信息化投资和建设</w:t>
      </w:r>
      <w:r>
        <w:rPr>
          <w:rFonts w:hint="eastAsia" w:ascii="宋体" w:hAnsi="宋体" w:eastAsia="宋体" w:cs="宋体"/>
          <w:sz w:val="10"/>
        </w:rPr>
        <w:t>，</w:t>
      </w:r>
      <w:r>
        <w:rPr>
          <w:rFonts w:hint="eastAsia" w:ascii="宋体" w:hAnsi="宋体" w:eastAsia="宋体" w:cs="宋体"/>
          <w:sz w:val="24"/>
        </w:rPr>
        <w:t>实现了作业（即交易）过程的自动化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在集中交易方面</w:t>
      </w:r>
      <w:r>
        <w:rPr>
          <w:rFonts w:hint="eastAsia" w:ascii="宋体" w:hAnsi="宋体" w:eastAsia="宋体" w:cs="宋体"/>
          <w:sz w:val="10"/>
        </w:rPr>
        <w:t>，</w:t>
      </w:r>
      <w:r>
        <w:rPr>
          <w:rFonts w:hint="eastAsia" w:ascii="宋体" w:hAnsi="宋体" w:eastAsia="宋体" w:cs="宋体"/>
          <w:sz w:val="24"/>
        </w:rPr>
        <w:t>证券公司的集中交易系统从最初的区域集中到现在的全国大集中经历了一个从尝试到大规模发展的过程</w:t>
      </w:r>
      <w:r>
        <w:rPr>
          <w:rFonts w:hint="eastAsia" w:ascii="宋体" w:hAnsi="宋体" w:eastAsia="宋体" w:cs="宋体"/>
          <w:sz w:val="10"/>
        </w:rPr>
        <w:t>。</w:t>
      </w:r>
      <w:r>
        <w:rPr>
          <w:rFonts w:hint="eastAsia" w:ascii="Times New Roman" w:hAnsi="Times New Roman" w:eastAsia="Times New Roman" w:cs="Times New Roman"/>
          <w:sz w:val="24"/>
        </w:rPr>
        <w:t>2001</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部分中小规模证券公司开始尝试集中交易</w:t>
      </w:r>
      <w:r>
        <w:rPr>
          <w:rFonts w:hint="eastAsia" w:ascii="宋体" w:hAnsi="宋体" w:eastAsia="宋体" w:cs="宋体"/>
          <w:sz w:val="10"/>
        </w:rPr>
        <w:t>，</w:t>
      </w:r>
      <w:r>
        <w:rPr>
          <w:rFonts w:hint="eastAsia" w:ascii="Times New Roman" w:hAnsi="Times New Roman" w:eastAsia="Times New Roman" w:cs="Times New Roman"/>
          <w:sz w:val="24"/>
        </w:rPr>
        <w:t>2004</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招商证券等完成全国性集中交易系统建设</w:t>
      </w:r>
      <w:r>
        <w:rPr>
          <w:rFonts w:hint="eastAsia" w:ascii="宋体" w:hAnsi="宋体" w:eastAsia="宋体" w:cs="宋体"/>
          <w:sz w:val="10"/>
        </w:rPr>
        <w:t>。</w:t>
      </w:r>
      <w:r>
        <w:rPr>
          <w:rFonts w:hint="eastAsia" w:ascii="Times New Roman" w:hAnsi="Times New Roman" w:eastAsia="Times New Roman" w:cs="Times New Roman"/>
          <w:sz w:val="24"/>
        </w:rPr>
        <w:t>2006</w:t>
      </w:r>
      <w:r>
        <w:rPr>
          <w:rFonts w:hint="eastAsia" w:ascii="宋体" w:hAnsi="宋体" w:eastAsia="宋体" w:cs="宋体"/>
          <w:sz w:val="24"/>
        </w:rPr>
        <w:t>年</w:t>
      </w:r>
      <w:r>
        <w:rPr>
          <w:rFonts w:hint="eastAsia" w:ascii="Times New Roman" w:hAnsi="Times New Roman" w:eastAsia="Times New Roman" w:cs="Times New Roman"/>
          <w:sz w:val="24"/>
        </w:rPr>
        <w:t>8</w:t>
      </w:r>
      <w:r>
        <w:rPr>
          <w:rFonts w:hint="eastAsia" w:ascii="宋体" w:hAnsi="宋体" w:eastAsia="宋体" w:cs="宋体"/>
          <w:sz w:val="24"/>
        </w:rPr>
        <w:t xml:space="preserve"> 月证券业协会发布《证券公司集中交易安全管理技术指引》，</w:t>
      </w:r>
      <w:r>
        <w:rPr>
          <w:rFonts w:hint="eastAsia" w:ascii="宋体" w:hAnsi="宋体" w:eastAsia="宋体" w:cs="宋体"/>
          <w:sz w:val="24"/>
        </w:rPr>
        <w:t>集中交易系统在技术性能和业务创新上得到了快速提高</w:t>
      </w:r>
      <w:r>
        <w:rPr>
          <w:rFonts w:hint="eastAsia" w:ascii="宋体" w:hAnsi="宋体" w:eastAsia="宋体" w:cs="宋体"/>
          <w:sz w:val="10"/>
        </w:rPr>
        <w:t>。</w:t>
      </w:r>
      <w:r>
        <w:rPr>
          <w:rFonts w:hint="eastAsia" w:ascii="宋体" w:hAnsi="宋体" w:eastAsia="宋体" w:cs="宋体"/>
          <w:sz w:val="24"/>
        </w:rPr>
        <w:t>至</w:t>
      </w:r>
      <w:r>
        <w:rPr>
          <w:rFonts w:hint="eastAsia" w:ascii="Times New Roman" w:hAnsi="Times New Roman" w:eastAsia="Times New Roman" w:cs="Times New Roman"/>
          <w:sz w:val="24"/>
        </w:rPr>
        <w:t xml:space="preserve"> 2008</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全国绝大部分证券公司已基本实现全国性的集中交易</w:t>
      </w:r>
      <w:r>
        <w:rPr>
          <w:rFonts w:hint="eastAsia" w:ascii="宋体" w:hAnsi="宋体" w:eastAsia="宋体" w:cs="宋体"/>
          <w:sz w:val="10"/>
        </w:rPr>
        <w:t>。</w:t>
      </w:r>
      <w:r>
        <w:rPr>
          <w:rFonts w:hint="eastAsia" w:ascii="宋体" w:hAnsi="宋体" w:eastAsia="宋体" w:cs="宋体"/>
          <w:sz w:val="24"/>
        </w:rPr>
        <w:t>期货公司因为规模小和营业网点少等原因</w:t>
      </w:r>
      <w:r>
        <w:rPr>
          <w:rFonts w:hint="eastAsia" w:ascii="宋体" w:hAnsi="宋体" w:eastAsia="宋体" w:cs="宋体"/>
          <w:sz w:val="10"/>
        </w:rPr>
        <w:t>，</w:t>
      </w:r>
      <w:r>
        <w:rPr>
          <w:rFonts w:hint="eastAsia" w:ascii="宋体" w:hAnsi="宋体" w:eastAsia="宋体" w:cs="宋体"/>
          <w:sz w:val="24"/>
        </w:rPr>
        <w:t>集中交易系统的建设相对容易</w:t>
      </w:r>
      <w:r>
        <w:rPr>
          <w:rFonts w:hint="eastAsia" w:ascii="宋体" w:hAnsi="宋体" w:eastAsia="宋体" w:cs="宋体"/>
          <w:sz w:val="10"/>
        </w:rPr>
        <w:t>，</w:t>
      </w:r>
      <w:r>
        <w:rPr>
          <w:rFonts w:hint="eastAsia" w:ascii="宋体" w:hAnsi="宋体" w:eastAsia="宋体" w:cs="宋体"/>
          <w:sz w:val="24"/>
        </w:rPr>
        <w:t>实施周期较短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在网上交易方面</w:t>
      </w:r>
      <w:r>
        <w:rPr>
          <w:rFonts w:hint="eastAsia" w:ascii="宋体" w:hAnsi="宋体" w:eastAsia="宋体" w:cs="宋体"/>
          <w:sz w:val="10"/>
        </w:rPr>
        <w:t>，</w:t>
      </w:r>
      <w:r>
        <w:rPr>
          <w:rFonts w:hint="eastAsia" w:ascii="Times New Roman" w:hAnsi="Times New Roman" w:eastAsia="Times New Roman" w:cs="Times New Roman"/>
          <w:sz w:val="24"/>
        </w:rPr>
        <w:t>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中国证监会颁布了《网上证券委托暂行管理办法》。</w:t>
      </w:r>
      <w:r>
        <w:rPr>
          <w:rFonts w:hint="eastAsia" w:ascii="宋体" w:hAnsi="宋体" w:eastAsia="宋体" w:cs="宋体"/>
          <w:sz w:val="24"/>
        </w:rPr>
        <w:t>根据该管理办法</w:t>
      </w:r>
      <w:r>
        <w:rPr>
          <w:rFonts w:hint="eastAsia" w:ascii="宋体" w:hAnsi="宋体" w:eastAsia="宋体" w:cs="宋体"/>
          <w:sz w:val="10"/>
        </w:rPr>
        <w:t>，</w:t>
      </w:r>
      <w:r>
        <w:rPr>
          <w:rFonts w:hint="eastAsia" w:ascii="宋体" w:hAnsi="宋体" w:eastAsia="宋体" w:cs="宋体"/>
          <w:sz w:val="24"/>
        </w:rPr>
        <w:t>证券公司开始尝试建设网上交易系统</w:t>
      </w:r>
      <w:r>
        <w:rPr>
          <w:rFonts w:hint="eastAsia" w:ascii="宋体" w:hAnsi="宋体" w:eastAsia="宋体" w:cs="宋体"/>
          <w:sz w:val="10"/>
        </w:rPr>
        <w:t>，</w:t>
      </w:r>
      <w:r>
        <w:rPr>
          <w:rFonts w:hint="eastAsia" w:ascii="宋体" w:hAnsi="宋体" w:eastAsia="宋体" w:cs="宋体"/>
          <w:sz w:val="24"/>
        </w:rPr>
        <w:t>至</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年底共有</w:t>
      </w:r>
      <w:r>
        <w:rPr>
          <w:rFonts w:hint="eastAsia" w:ascii="Times New Roman" w:hAnsi="Times New Roman" w:eastAsia="Times New Roman" w:cs="Times New Roman"/>
          <w:sz w:val="24"/>
        </w:rPr>
        <w:t xml:space="preserve"> 70</w:t>
      </w:r>
      <w:r>
        <w:rPr>
          <w:rFonts w:hint="eastAsia" w:ascii="宋体" w:hAnsi="宋体" w:eastAsia="宋体" w:cs="宋体"/>
          <w:sz w:val="24"/>
        </w:rPr>
        <w:t xml:space="preserve"> 多家证券公司开通了此项业务</w:t>
      </w:r>
      <w:r>
        <w:rPr>
          <w:rFonts w:hint="eastAsia" w:ascii="宋体" w:hAnsi="宋体" w:eastAsia="宋体" w:cs="宋体"/>
          <w:sz w:val="10"/>
        </w:rPr>
        <w:t>。</w:t>
      </w:r>
      <w:r>
        <w:rPr>
          <w:rFonts w:hint="eastAsia" w:ascii="宋体" w:hAnsi="宋体" w:eastAsia="宋体" w:cs="宋体"/>
          <w:sz w:val="24"/>
        </w:rPr>
        <w:t>随着网络在国内的普及</w:t>
      </w:r>
      <w:r>
        <w:rPr>
          <w:rFonts w:hint="eastAsia" w:ascii="宋体" w:hAnsi="宋体" w:eastAsia="宋体" w:cs="宋体"/>
          <w:sz w:val="10"/>
        </w:rPr>
        <w:t>，</w:t>
      </w:r>
      <w:r>
        <w:rPr>
          <w:rFonts w:hint="eastAsia" w:ascii="宋体" w:hAnsi="宋体" w:eastAsia="宋体" w:cs="宋体"/>
          <w:sz w:val="24"/>
        </w:rPr>
        <w:t>网上交易开始在全国市场蓬勃发展</w:t>
      </w:r>
      <w:r>
        <w:rPr>
          <w:rFonts w:hint="eastAsia" w:ascii="宋体" w:hAnsi="宋体" w:eastAsia="宋体" w:cs="宋体"/>
          <w:sz w:val="10"/>
        </w:rPr>
        <w:t>。</w:t>
      </w:r>
      <w:r>
        <w:rPr>
          <w:rFonts w:hint="eastAsia" w:ascii="Times New Roman" w:hAnsi="Times New Roman" w:eastAsia="Times New Roman" w:cs="Times New Roman"/>
          <w:sz w:val="24"/>
        </w:rPr>
        <w:t>2008</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网上交易已成为市场投资者主要的委托方式</w:t>
      </w:r>
      <w:r>
        <w:rPr>
          <w:rFonts w:hint="eastAsia" w:ascii="宋体" w:hAnsi="宋体" w:eastAsia="宋体" w:cs="宋体"/>
          <w:sz w:val="10"/>
        </w:rPr>
        <w:t>，</w:t>
      </w:r>
      <w:r>
        <w:rPr>
          <w:rFonts w:hint="eastAsia" w:ascii="宋体" w:hAnsi="宋体" w:eastAsia="宋体" w:cs="宋体"/>
          <w:sz w:val="24"/>
        </w:rPr>
        <w:t>占整个市场交易的</w:t>
      </w:r>
      <w:r>
        <w:rPr>
          <w:rFonts w:hint="eastAsia" w:ascii="Times New Roman" w:hAnsi="Times New Roman" w:eastAsia="Times New Roman" w:cs="Times New Roman"/>
          <w:sz w:val="24"/>
        </w:rPr>
        <w:t xml:space="preserve"> 65%</w:t>
      </w:r>
      <w:r>
        <w:rPr>
          <w:rFonts w:hint="eastAsia" w:ascii="宋体" w:hAnsi="宋体" w:eastAsia="宋体" w:cs="宋体"/>
          <w:sz w:val="24"/>
        </w:rPr>
        <w:t>以上（数据来源</w:t>
      </w:r>
      <w:r>
        <w:rPr>
          <w:rFonts w:hint="eastAsia" w:ascii="宋体" w:hAnsi="宋体" w:eastAsia="宋体" w:cs="宋体"/>
          <w:sz w:val="12"/>
        </w:rPr>
        <w:t>：</w:t>
      </w:r>
      <w:r>
        <w:rPr>
          <w:rFonts w:hint="eastAsia" w:ascii="宋体" w:hAnsi="宋体" w:eastAsia="宋体" w:cs="宋体"/>
          <w:sz w:val="24"/>
        </w:rPr>
        <w:t>中国证券业协会）。</w:t>
      </w:r>
      <w:r>
        <w:rPr>
          <w:rFonts w:hint="eastAsia" w:ascii="宋体" w:hAnsi="宋体" w:eastAsia="宋体" w:cs="宋体"/>
          <w:sz w:val="24"/>
        </w:rPr>
        <w:t>相对证券公司来说</w:t>
      </w:r>
      <w:r>
        <w:rPr>
          <w:rFonts w:hint="eastAsia" w:ascii="宋体" w:hAnsi="宋体" w:eastAsia="宋体" w:cs="宋体"/>
          <w:sz w:val="10"/>
        </w:rPr>
        <w:t>，</w:t>
      </w:r>
      <w:r>
        <w:rPr>
          <w:rFonts w:hint="eastAsia" w:ascii="宋体" w:hAnsi="宋体" w:eastAsia="宋体" w:cs="宋体"/>
          <w:sz w:val="24"/>
        </w:rPr>
        <w:t>期货公司的客户主要是机构投资者和少量资金实力较强的个人投资者</w:t>
      </w:r>
      <w:r>
        <w:rPr>
          <w:rFonts w:hint="eastAsia" w:ascii="宋体" w:hAnsi="宋体" w:eastAsia="宋体" w:cs="宋体"/>
          <w:sz w:val="10"/>
        </w:rPr>
        <w:t>，</w:t>
      </w:r>
      <w:r>
        <w:rPr>
          <w:rFonts w:hint="eastAsia" w:ascii="宋体" w:hAnsi="宋体" w:eastAsia="宋体" w:cs="宋体"/>
          <w:sz w:val="24"/>
        </w:rPr>
        <w:t>网上交易的普及程度更高</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③基于发展战略而扩展整合及优化升级阶段（</w:t>
      </w:r>
      <w:r>
        <w:rPr>
          <w:rFonts w:hint="eastAsia" w:ascii="Times New Roman" w:hAnsi="Times New Roman" w:eastAsia="Times New Roman" w:cs="Times New Roman"/>
          <w:sz w:val="24"/>
        </w:rPr>
        <w:t>2008</w:t>
      </w:r>
      <w:r>
        <w:rPr>
          <w:rFonts w:hint="eastAsia" w:ascii="宋体" w:hAnsi="宋体" w:eastAsia="宋体" w:cs="宋体"/>
          <w:sz w:val="24"/>
        </w:rPr>
        <w:t xml:space="preserve"> 年</w:t>
      </w:r>
      <w:r>
        <w:rPr>
          <w:rFonts w:hint="eastAsia" w:ascii="Times New Roman" w:hAnsi="Times New Roman" w:eastAsia="Times New Roman" w:cs="Times New Roman"/>
          <w:sz w:val="24"/>
        </w:rPr>
        <w:t>—</w:t>
      </w:r>
      <w:r>
        <w:rPr>
          <w:rFonts w:hint="eastAsia" w:ascii="宋体" w:hAnsi="宋体" w:eastAsia="宋体" w:cs="宋体"/>
          <w:sz w:val="24"/>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在基础交易系统建立完成后</w:t>
      </w:r>
      <w:r>
        <w:rPr>
          <w:rFonts w:hint="eastAsia" w:ascii="宋体" w:hAnsi="宋体" w:eastAsia="宋体" w:cs="宋体"/>
          <w:sz w:val="10"/>
        </w:rPr>
        <w:t>，</w:t>
      </w:r>
      <w:r>
        <w:rPr>
          <w:rFonts w:hint="eastAsia" w:ascii="宋体" w:hAnsi="宋体" w:eastAsia="宋体" w:cs="宋体"/>
          <w:sz w:val="24"/>
        </w:rPr>
        <w:t>证券业的业务模式</w:t>
      </w:r>
      <w:r>
        <w:rPr>
          <w:rFonts w:hint="eastAsia" w:ascii="宋体" w:hAnsi="宋体" w:eastAsia="宋体" w:cs="宋体"/>
          <w:sz w:val="10"/>
        </w:rPr>
        <w:t>、</w:t>
      </w:r>
      <w:r>
        <w:rPr>
          <w:rFonts w:hint="eastAsia" w:ascii="宋体" w:hAnsi="宋体" w:eastAsia="宋体" w:cs="宋体"/>
          <w:sz w:val="24"/>
        </w:rPr>
        <w:t>盈利模式和竞争手段趋于同质化</w:t>
      </w:r>
      <w:r>
        <w:rPr>
          <w:rFonts w:hint="eastAsia" w:ascii="宋体" w:hAnsi="宋体" w:eastAsia="宋体" w:cs="宋体"/>
          <w:sz w:val="10"/>
        </w:rPr>
        <w:t>，</w:t>
      </w:r>
      <w:r>
        <w:rPr>
          <w:rFonts w:hint="eastAsia" w:ascii="宋体" w:hAnsi="宋体" w:eastAsia="宋体" w:cs="宋体"/>
          <w:sz w:val="24"/>
        </w:rPr>
        <w:t>迫使整个证券业探求以差异化</w:t>
      </w:r>
      <w:r>
        <w:rPr>
          <w:rFonts w:hint="eastAsia" w:ascii="宋体" w:hAnsi="宋体" w:eastAsia="宋体" w:cs="宋体"/>
          <w:sz w:val="10"/>
        </w:rPr>
        <w:t>、</w:t>
      </w:r>
      <w:r>
        <w:rPr>
          <w:rFonts w:hint="eastAsia" w:ascii="宋体" w:hAnsi="宋体" w:eastAsia="宋体" w:cs="宋体"/>
          <w:sz w:val="24"/>
        </w:rPr>
        <w:t>创新化的战略来应对惨烈的</w:t>
      </w:r>
      <w:r>
        <w:rPr>
          <w:rFonts w:hint="eastAsia" w:ascii="宋体" w:hAnsi="宋体" w:eastAsia="宋体" w:cs="宋体"/>
          <w:sz w:val="10"/>
        </w:rPr>
        <w:t>“</w:t>
      </w:r>
      <w:r>
        <w:rPr>
          <w:rFonts w:hint="eastAsia" w:ascii="宋体" w:hAnsi="宋体" w:eastAsia="宋体" w:cs="宋体"/>
          <w:sz w:val="24"/>
        </w:rPr>
        <w:t>佣金大战</w:t>
      </w:r>
      <w:r>
        <w:rPr>
          <w:rFonts w:hint="eastAsia" w:ascii="宋体" w:hAnsi="宋体" w:eastAsia="宋体" w:cs="宋体"/>
          <w:sz w:val="10"/>
        </w:rPr>
        <w:t>”，“</w:t>
      </w:r>
      <w:r>
        <w:rPr>
          <w:rFonts w:hint="eastAsia" w:ascii="宋体" w:hAnsi="宋体" w:eastAsia="宋体" w:cs="宋体"/>
          <w:sz w:val="24"/>
        </w:rPr>
        <w:t>以客户为导向</w:t>
      </w:r>
      <w:r>
        <w:rPr>
          <w:rFonts w:hint="eastAsia" w:ascii="宋体" w:hAnsi="宋体" w:eastAsia="宋体" w:cs="宋体"/>
          <w:sz w:val="10"/>
        </w:rPr>
        <w:t>，</w:t>
      </w:r>
      <w:r>
        <w:rPr>
          <w:rFonts w:hint="eastAsia" w:ascii="宋体" w:hAnsi="宋体" w:eastAsia="宋体" w:cs="宋体"/>
          <w:sz w:val="24"/>
        </w:rPr>
        <w:t>以满足客户全方位的需求为目标</w:t>
      </w:r>
      <w:r>
        <w:rPr>
          <w:rFonts w:hint="eastAsia" w:ascii="宋体" w:hAnsi="宋体" w:eastAsia="宋体" w:cs="宋体"/>
          <w:sz w:val="10"/>
        </w:rPr>
        <w:t>、</w:t>
      </w:r>
      <w:r>
        <w:rPr>
          <w:rFonts w:hint="eastAsia" w:ascii="宋体" w:hAnsi="宋体" w:eastAsia="宋体" w:cs="宋体"/>
          <w:sz w:val="24"/>
        </w:rPr>
        <w:t>以专业化</w:t>
      </w:r>
      <w:r>
        <w:rPr>
          <w:rFonts w:hint="eastAsia" w:ascii="宋体" w:hAnsi="宋体" w:eastAsia="宋体" w:cs="宋体"/>
          <w:sz w:val="10"/>
        </w:rPr>
        <w:t>、</w:t>
      </w:r>
      <w:r>
        <w:rPr>
          <w:rFonts w:hint="eastAsia" w:ascii="宋体" w:hAnsi="宋体" w:eastAsia="宋体" w:cs="宋体"/>
          <w:sz w:val="24"/>
        </w:rPr>
        <w:t>差异化的服务为手段</w:t>
      </w:r>
      <w:r>
        <w:rPr>
          <w:rFonts w:hint="eastAsia" w:ascii="宋体" w:hAnsi="宋体" w:eastAsia="宋体" w:cs="宋体"/>
          <w:sz w:val="10"/>
        </w:rPr>
        <w:t>”</w:t>
      </w:r>
      <w:r>
        <w:rPr>
          <w:rFonts w:hint="eastAsia" w:ascii="宋体" w:hAnsi="宋体" w:eastAsia="宋体" w:cs="宋体"/>
          <w:sz w:val="24"/>
        </w:rPr>
        <w:t>的策略成为业内普遍的共识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现阶段</w:t>
      </w:r>
      <w:r>
        <w:rPr>
          <w:rFonts w:hint="eastAsia" w:ascii="宋体" w:hAnsi="宋体" w:eastAsia="宋体" w:cs="宋体"/>
          <w:sz w:val="10"/>
        </w:rPr>
        <w:t>，</w:t>
      </w:r>
      <w:r>
        <w:rPr>
          <w:rFonts w:hint="eastAsia" w:ascii="宋体" w:hAnsi="宋体" w:eastAsia="宋体" w:cs="宋体"/>
          <w:sz w:val="24"/>
        </w:rPr>
        <w:t>证券业内围绕满足客户全方位的需求</w:t>
      </w:r>
      <w:r>
        <w:rPr>
          <w:rFonts w:hint="eastAsia" w:ascii="宋体" w:hAnsi="宋体" w:eastAsia="宋体" w:cs="宋体"/>
          <w:sz w:val="10"/>
        </w:rPr>
        <w:t>、</w:t>
      </w:r>
      <w:r>
        <w:rPr>
          <w:rFonts w:hint="eastAsia" w:ascii="宋体" w:hAnsi="宋体" w:eastAsia="宋体" w:cs="宋体"/>
          <w:sz w:val="24"/>
        </w:rPr>
        <w:t>实现资源的跨部门共享</w:t>
      </w:r>
      <w:r>
        <w:rPr>
          <w:rFonts w:hint="eastAsia" w:ascii="宋体" w:hAnsi="宋体" w:eastAsia="宋体" w:cs="宋体"/>
          <w:sz w:val="10"/>
        </w:rPr>
        <w:t>，</w:t>
      </w:r>
      <w:r>
        <w:rPr>
          <w:rFonts w:hint="eastAsia" w:ascii="宋体" w:hAnsi="宋体" w:eastAsia="宋体" w:cs="宋体"/>
          <w:sz w:val="24"/>
        </w:rPr>
        <w:t>各公司不同程度地开展了对业务流程进行优化的工作</w:t>
      </w:r>
      <w:r>
        <w:rPr>
          <w:rFonts w:hint="eastAsia" w:ascii="宋体" w:hAnsi="宋体" w:eastAsia="宋体" w:cs="宋体"/>
          <w:sz w:val="10"/>
        </w:rPr>
        <w:t>，</w:t>
      </w:r>
      <w:r>
        <w:rPr>
          <w:rFonts w:hint="eastAsia" w:ascii="宋体" w:hAnsi="宋体" w:eastAsia="宋体" w:cs="宋体"/>
          <w:sz w:val="24"/>
        </w:rPr>
        <w:t>特别是对跨部门的流程进行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1-1-105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梳理</w:t>
      </w:r>
      <w:r>
        <w:rPr>
          <w:rFonts w:hint="eastAsia" w:ascii="宋体" w:hAnsi="宋体" w:eastAsia="宋体" w:cs="宋体"/>
          <w:sz w:val="10"/>
        </w:rPr>
        <w:t>、</w:t>
      </w:r>
      <w:r>
        <w:rPr>
          <w:rFonts w:hint="eastAsia" w:ascii="宋体" w:hAnsi="宋体" w:eastAsia="宋体" w:cs="宋体"/>
          <w:sz w:val="24"/>
        </w:rPr>
        <w:t>整合以获得跨部门的高效协同</w:t>
      </w:r>
      <w:r>
        <w:rPr>
          <w:rFonts w:hint="eastAsia" w:ascii="宋体" w:hAnsi="宋体" w:eastAsia="宋体" w:cs="宋体"/>
          <w:sz w:val="10"/>
        </w:rPr>
        <w:t>，</w:t>
      </w:r>
      <w:r>
        <w:rPr>
          <w:rFonts w:hint="eastAsia" w:ascii="宋体" w:hAnsi="宋体" w:eastAsia="宋体" w:cs="宋体"/>
          <w:sz w:val="24"/>
        </w:rPr>
        <w:t>以此来提高公司对客户需求反应的速度</w:t>
      </w:r>
      <w:r>
        <w:rPr>
          <w:rFonts w:hint="eastAsia" w:ascii="宋体" w:hAnsi="宋体" w:eastAsia="宋体" w:cs="宋体"/>
          <w:sz w:val="10"/>
        </w:rPr>
        <w:t>，</w:t>
      </w:r>
      <w:r>
        <w:rPr>
          <w:rFonts w:hint="eastAsia" w:ascii="宋体" w:hAnsi="宋体" w:eastAsia="宋体" w:cs="宋体"/>
          <w:sz w:val="24"/>
        </w:rPr>
        <w:t>提高客户服务的专业化含量</w:t>
      </w:r>
      <w:r>
        <w:rPr>
          <w:rFonts w:hint="eastAsia" w:ascii="宋体" w:hAnsi="宋体" w:eastAsia="宋体" w:cs="宋体"/>
          <w:sz w:val="10"/>
        </w:rPr>
        <w:t>，</w:t>
      </w:r>
      <w:r>
        <w:rPr>
          <w:rFonts w:hint="eastAsia" w:ascii="宋体" w:hAnsi="宋体" w:eastAsia="宋体" w:cs="宋体"/>
          <w:sz w:val="24"/>
        </w:rPr>
        <w:t>提升客户体验</w:t>
      </w:r>
      <w:r>
        <w:rPr>
          <w:rFonts w:hint="eastAsia" w:ascii="宋体" w:hAnsi="宋体" w:eastAsia="宋体" w:cs="宋体"/>
          <w:sz w:val="10"/>
        </w:rPr>
        <w:t>，</w:t>
      </w:r>
      <w:r>
        <w:rPr>
          <w:rFonts w:hint="eastAsia" w:ascii="宋体" w:hAnsi="宋体" w:eastAsia="宋体" w:cs="宋体"/>
          <w:sz w:val="24"/>
        </w:rPr>
        <w:t>为客户创造价值</w:t>
      </w:r>
      <w:r>
        <w:rPr>
          <w:rFonts w:hint="eastAsia" w:ascii="宋体" w:hAnsi="宋体" w:eastAsia="宋体" w:cs="宋体"/>
          <w:sz w:val="10"/>
        </w:rPr>
        <w:t>，</w:t>
      </w:r>
      <w:r>
        <w:rPr>
          <w:rFonts w:hint="eastAsia" w:ascii="宋体" w:hAnsi="宋体" w:eastAsia="宋体" w:cs="宋体"/>
          <w:sz w:val="24"/>
        </w:rPr>
        <w:t>提高经营的整体效率</w:t>
      </w:r>
      <w:r>
        <w:rPr>
          <w:rFonts w:hint="eastAsia" w:ascii="宋体" w:hAnsi="宋体" w:eastAsia="宋体" w:cs="宋体"/>
          <w:sz w:val="12"/>
        </w:rPr>
        <w:t>；</w:t>
      </w:r>
      <w:r>
        <w:rPr>
          <w:rFonts w:hint="eastAsia" w:ascii="宋体" w:hAnsi="宋体" w:eastAsia="宋体" w:cs="宋体"/>
          <w:sz w:val="24"/>
        </w:rPr>
        <w:t>同时通过风险控制体系</w:t>
      </w:r>
      <w:r>
        <w:rPr>
          <w:rFonts w:hint="eastAsia" w:ascii="宋体" w:hAnsi="宋体" w:eastAsia="宋体" w:cs="宋体"/>
          <w:sz w:val="10"/>
        </w:rPr>
        <w:t>、</w:t>
      </w:r>
      <w:r>
        <w:rPr>
          <w:rFonts w:hint="eastAsia" w:ascii="宋体" w:hAnsi="宋体" w:eastAsia="宋体" w:cs="宋体"/>
          <w:sz w:val="24"/>
        </w:rPr>
        <w:t>合规体系</w:t>
      </w:r>
      <w:r>
        <w:rPr>
          <w:rFonts w:hint="eastAsia" w:ascii="宋体" w:hAnsi="宋体" w:eastAsia="宋体" w:cs="宋体"/>
          <w:sz w:val="10"/>
        </w:rPr>
        <w:t>、</w:t>
      </w:r>
      <w:r>
        <w:rPr>
          <w:rFonts w:hint="eastAsia" w:ascii="宋体" w:hAnsi="宋体" w:eastAsia="宋体" w:cs="宋体"/>
          <w:sz w:val="24"/>
        </w:rPr>
        <w:t>运营管理体系的建设</w:t>
      </w:r>
      <w:r>
        <w:rPr>
          <w:rFonts w:hint="eastAsia" w:ascii="宋体" w:hAnsi="宋体" w:eastAsia="宋体" w:cs="宋体"/>
          <w:sz w:val="10"/>
        </w:rPr>
        <w:t>，</w:t>
      </w:r>
      <w:r>
        <w:rPr>
          <w:rFonts w:hint="eastAsia" w:ascii="宋体" w:hAnsi="宋体" w:eastAsia="宋体" w:cs="宋体"/>
          <w:sz w:val="24"/>
        </w:rPr>
        <w:t>提升企业战略实施的可见性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IT</w:t>
      </w:r>
      <w:r>
        <w:rPr>
          <w:rFonts w:hint="eastAsia" w:ascii="宋体" w:hAnsi="宋体" w:eastAsia="宋体" w:cs="宋体"/>
          <w:sz w:val="24"/>
        </w:rPr>
        <w:t xml:space="preserve"> 系统是证券业战略实施的重要支撑</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Times New Roman" w:hAnsi="Times New Roman" w:eastAsia="Times New Roman" w:cs="Times New Roman"/>
          <w:sz w:val="24"/>
        </w:rPr>
        <w:t>IT</w:t>
      </w:r>
      <w:r>
        <w:rPr>
          <w:rFonts w:hint="eastAsia" w:ascii="宋体" w:hAnsi="宋体" w:eastAsia="宋体" w:cs="宋体"/>
          <w:sz w:val="24"/>
        </w:rPr>
        <w:t xml:space="preserve"> 系统架构设计必须保持与企业战略实施的同步</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证券业信息化的特点也符合战略实施的阶段特点</w:t>
      </w:r>
      <w:r>
        <w:rPr>
          <w:rFonts w:hint="eastAsia" w:ascii="宋体" w:hAnsi="宋体" w:eastAsia="宋体" w:cs="宋体"/>
          <w:sz w:val="10"/>
        </w:rPr>
        <w:t>，</w:t>
      </w:r>
      <w:r>
        <w:rPr>
          <w:rFonts w:hint="eastAsia" w:ascii="宋体" w:hAnsi="宋体" w:eastAsia="宋体" w:cs="宋体"/>
          <w:sz w:val="24"/>
        </w:rPr>
        <w:t>信息化的重点已经从交易层面（作业层面）转移到业务运营管理层面</w:t>
      </w:r>
      <w:r>
        <w:rPr>
          <w:rFonts w:hint="eastAsia" w:ascii="宋体" w:hAnsi="宋体" w:eastAsia="宋体" w:cs="宋体"/>
          <w:sz w:val="10"/>
        </w:rPr>
        <w:t>，</w:t>
      </w:r>
      <w:r>
        <w:rPr>
          <w:rFonts w:hint="eastAsia" w:ascii="宋体" w:hAnsi="宋体" w:eastAsia="宋体" w:cs="宋体"/>
          <w:sz w:val="24"/>
        </w:rPr>
        <w:t>营销服务管理系统</w:t>
      </w:r>
      <w:r>
        <w:rPr>
          <w:rFonts w:hint="eastAsia" w:ascii="宋体" w:hAnsi="宋体" w:eastAsia="宋体" w:cs="宋体"/>
          <w:sz w:val="10"/>
        </w:rPr>
        <w:t>、</w:t>
      </w:r>
      <w:r>
        <w:rPr>
          <w:rFonts w:hint="eastAsia" w:ascii="宋体" w:hAnsi="宋体" w:eastAsia="宋体" w:cs="宋体"/>
          <w:sz w:val="24"/>
        </w:rPr>
        <w:t>创新业务支持系统</w:t>
      </w:r>
      <w:r>
        <w:rPr>
          <w:rFonts w:hint="eastAsia" w:ascii="宋体" w:hAnsi="宋体" w:eastAsia="宋体" w:cs="宋体"/>
          <w:sz w:val="10"/>
        </w:rPr>
        <w:t>、</w:t>
      </w:r>
      <w:r>
        <w:rPr>
          <w:rFonts w:hint="eastAsia" w:ascii="宋体" w:hAnsi="宋体" w:eastAsia="宋体" w:cs="宋体"/>
          <w:sz w:val="24"/>
        </w:rPr>
        <w:t>后台精细化管理系统等解决方案需求旺盛</w:t>
      </w:r>
      <w:r>
        <w:rPr>
          <w:rFonts w:hint="eastAsia" w:ascii="宋体" w:hAnsi="宋体" w:eastAsia="宋体" w:cs="宋体"/>
          <w:sz w:val="10"/>
        </w:rPr>
        <w:t>。</w:t>
      </w:r>
      <w:r>
        <w:rPr>
          <w:rFonts w:hint="eastAsia" w:ascii="宋体" w:hAnsi="宋体" w:eastAsia="宋体" w:cs="宋体"/>
          <w:sz w:val="24"/>
        </w:rPr>
        <w:t>预计未来证券公司信息化系统建设趋向流程整合化发展</w:t>
      </w:r>
      <w:r>
        <w:rPr>
          <w:rFonts w:hint="eastAsia" w:ascii="宋体" w:hAnsi="宋体" w:eastAsia="宋体" w:cs="宋体"/>
          <w:sz w:val="10"/>
        </w:rPr>
        <w:t>，“</w:t>
      </w:r>
      <w:r>
        <w:rPr>
          <w:rFonts w:hint="eastAsia" w:ascii="宋体" w:hAnsi="宋体" w:eastAsia="宋体" w:cs="宋体"/>
          <w:sz w:val="24"/>
        </w:rPr>
        <w:t>流程证券公司</w:t>
      </w:r>
      <w:r>
        <w:rPr>
          <w:rFonts w:hint="eastAsia" w:ascii="宋体" w:hAnsi="宋体" w:eastAsia="宋体" w:cs="宋体"/>
          <w:sz w:val="10"/>
        </w:rPr>
        <w:t>”</w:t>
      </w:r>
      <w:r>
        <w:rPr>
          <w:rFonts w:hint="eastAsia" w:ascii="宋体" w:hAnsi="宋体" w:eastAsia="宋体" w:cs="宋体"/>
          <w:sz w:val="24"/>
        </w:rPr>
        <w:t>将成为趋势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）证券业信息化市场概况及趋势</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①证券行业创新业务加速</w:t>
      </w:r>
      <w:r>
        <w:rPr>
          <w:rFonts w:hint="eastAsia" w:ascii="宋体" w:hAnsi="宋体" w:eastAsia="宋体" w:cs="宋体"/>
          <w:sz w:val="10"/>
        </w:rPr>
        <w:t>，</w:t>
      </w:r>
      <w:r>
        <w:rPr>
          <w:rFonts w:hint="eastAsia" w:ascii="宋体" w:hAnsi="宋体" w:eastAsia="宋体" w:cs="宋体"/>
          <w:sz w:val="24"/>
        </w:rPr>
        <w:t>行业软件需求将持续增长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Times New Roman" w:hAnsi="Times New Roman" w:eastAsia="Times New Roman" w:cs="Times New Roman"/>
          <w:sz w:val="24"/>
        </w:rPr>
        <w:t>2011</w:t>
      </w:r>
      <w:r>
        <w:rPr>
          <w:rFonts w:hint="eastAsia" w:ascii="宋体" w:hAnsi="宋体" w:eastAsia="宋体" w:cs="宋体"/>
          <w:sz w:val="24"/>
        </w:rPr>
        <w:t xml:space="preserve"> 年证监会制定《证券公司业务（产品）创新工作指引（试行）》，</w:t>
      </w:r>
      <w:r>
        <w:rPr>
          <w:rFonts w:hint="eastAsia" w:ascii="宋体" w:hAnsi="宋体" w:eastAsia="宋体" w:cs="宋体"/>
          <w:sz w:val="24"/>
        </w:rPr>
        <w:t>有效增强证券公司创新的动力</w:t>
      </w:r>
      <w:r>
        <w:rPr>
          <w:rFonts w:hint="eastAsia" w:ascii="宋体" w:hAnsi="宋体" w:eastAsia="宋体" w:cs="宋体"/>
          <w:sz w:val="10"/>
        </w:rPr>
        <w:t>，</w:t>
      </w:r>
      <w:r>
        <w:rPr>
          <w:rFonts w:hint="eastAsia" w:ascii="宋体" w:hAnsi="宋体" w:eastAsia="宋体" w:cs="宋体"/>
          <w:sz w:val="24"/>
        </w:rPr>
        <w:t>进一步提升证券行业的整体竞争力</w:t>
      </w:r>
      <w:r>
        <w:rPr>
          <w:rFonts w:hint="eastAsia" w:ascii="宋体" w:hAnsi="宋体" w:eastAsia="宋体" w:cs="宋体"/>
          <w:sz w:val="10"/>
        </w:rPr>
        <w:t>，</w:t>
      </w:r>
      <w:r>
        <w:rPr>
          <w:rFonts w:hint="eastAsia" w:ascii="宋体" w:hAnsi="宋体" w:eastAsia="宋体" w:cs="宋体"/>
          <w:sz w:val="24"/>
        </w:rPr>
        <w:t>推动证券公司转向多元化</w:t>
      </w:r>
      <w:r>
        <w:rPr>
          <w:rFonts w:hint="eastAsia" w:ascii="宋体" w:hAnsi="宋体" w:eastAsia="宋体" w:cs="宋体"/>
          <w:sz w:val="10"/>
        </w:rPr>
        <w:t>、</w:t>
      </w:r>
      <w:r>
        <w:rPr>
          <w:rFonts w:hint="eastAsia" w:ascii="宋体" w:hAnsi="宋体" w:eastAsia="宋体" w:cs="宋体"/>
          <w:sz w:val="24"/>
        </w:rPr>
        <w:t>专业化的发展阶段</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证券公司创新大会召开</w:t>
      </w:r>
      <w:r>
        <w:rPr>
          <w:rFonts w:hint="eastAsia" w:ascii="宋体" w:hAnsi="宋体" w:eastAsia="宋体" w:cs="宋体"/>
          <w:sz w:val="10"/>
        </w:rPr>
        <w:t>，</w:t>
      </w:r>
      <w:r>
        <w:rPr>
          <w:rFonts w:hint="eastAsia" w:ascii="宋体" w:hAnsi="宋体" w:eastAsia="宋体" w:cs="宋体"/>
          <w:sz w:val="24"/>
        </w:rPr>
        <w:t>明确五个方面工作方向</w:t>
      </w:r>
      <w:r>
        <w:rPr>
          <w:rFonts w:hint="eastAsia" w:ascii="宋体" w:hAnsi="宋体" w:eastAsia="宋体" w:cs="宋体"/>
          <w:sz w:val="12"/>
        </w:rPr>
        <w:t>：一</w:t>
      </w:r>
      <w:r>
        <w:rPr>
          <w:rFonts w:hint="eastAsia" w:ascii="宋体" w:hAnsi="宋体" w:eastAsia="宋体" w:cs="宋体"/>
          <w:sz w:val="24"/>
        </w:rPr>
        <w:t>是放宽行业准入</w:t>
      </w:r>
      <w:r>
        <w:rPr>
          <w:rFonts w:hint="eastAsia" w:ascii="宋体" w:hAnsi="宋体" w:eastAsia="宋体" w:cs="宋体"/>
          <w:sz w:val="10"/>
        </w:rPr>
        <w:t>，</w:t>
      </w:r>
      <w:r>
        <w:rPr>
          <w:rFonts w:hint="eastAsia" w:ascii="宋体" w:hAnsi="宋体" w:eastAsia="宋体" w:cs="宋体"/>
          <w:sz w:val="24"/>
        </w:rPr>
        <w:t>鼓励市场竞争</w:t>
      </w:r>
      <w:r>
        <w:rPr>
          <w:rFonts w:hint="eastAsia" w:ascii="宋体" w:hAnsi="宋体" w:eastAsia="宋体" w:cs="宋体"/>
          <w:sz w:val="14"/>
        </w:rPr>
        <w:t>；二</w:t>
      </w:r>
      <w:r>
        <w:rPr>
          <w:rFonts w:hint="eastAsia" w:ascii="宋体" w:hAnsi="宋体" w:eastAsia="宋体" w:cs="宋体"/>
          <w:sz w:val="24"/>
        </w:rPr>
        <w:t>是实施业务牌照管理</w:t>
      </w:r>
      <w:r>
        <w:rPr>
          <w:rFonts w:hint="eastAsia" w:ascii="宋体" w:hAnsi="宋体" w:eastAsia="宋体" w:cs="宋体"/>
          <w:sz w:val="10"/>
        </w:rPr>
        <w:t>，</w:t>
      </w:r>
      <w:r>
        <w:rPr>
          <w:rFonts w:hint="eastAsia" w:ascii="宋体" w:hAnsi="宋体" w:eastAsia="宋体" w:cs="宋体"/>
          <w:sz w:val="24"/>
        </w:rPr>
        <w:t>探索功能监管</w:t>
      </w:r>
      <w:r>
        <w:rPr>
          <w:rFonts w:hint="eastAsia" w:ascii="宋体" w:hAnsi="宋体" w:eastAsia="宋体" w:cs="宋体"/>
          <w:sz w:val="12"/>
        </w:rPr>
        <w:t>；</w:t>
      </w:r>
      <w:r>
        <w:rPr>
          <w:rFonts w:hint="eastAsia" w:ascii="宋体" w:hAnsi="宋体" w:eastAsia="宋体" w:cs="宋体"/>
          <w:sz w:val="24"/>
        </w:rPr>
        <w:t>三是拓展基础功能</w:t>
      </w:r>
      <w:r>
        <w:rPr>
          <w:rFonts w:hint="eastAsia" w:ascii="宋体" w:hAnsi="宋体" w:eastAsia="宋体" w:cs="宋体"/>
          <w:sz w:val="10"/>
        </w:rPr>
        <w:t>，</w:t>
      </w:r>
      <w:r>
        <w:rPr>
          <w:rFonts w:hint="eastAsia" w:ascii="宋体" w:hAnsi="宋体" w:eastAsia="宋体" w:cs="宋体"/>
          <w:sz w:val="24"/>
        </w:rPr>
        <w:t>推进全面创新</w:t>
      </w:r>
      <w:r>
        <w:rPr>
          <w:rFonts w:hint="eastAsia" w:ascii="宋体" w:hAnsi="宋体" w:eastAsia="宋体" w:cs="宋体"/>
          <w:sz w:val="12"/>
        </w:rPr>
        <w:t>；</w:t>
      </w:r>
      <w:r>
        <w:rPr>
          <w:rFonts w:hint="eastAsia" w:ascii="宋体" w:hAnsi="宋体" w:eastAsia="宋体" w:cs="宋体"/>
          <w:sz w:val="24"/>
        </w:rPr>
        <w:t>四是拓宽融资渠道</w:t>
      </w:r>
      <w:r>
        <w:rPr>
          <w:rFonts w:hint="eastAsia" w:ascii="宋体" w:hAnsi="宋体" w:eastAsia="宋体" w:cs="宋体"/>
          <w:sz w:val="10"/>
        </w:rPr>
        <w:t>，</w:t>
      </w:r>
      <w:r>
        <w:rPr>
          <w:rFonts w:hint="eastAsia" w:ascii="宋体" w:hAnsi="宋体" w:eastAsia="宋体" w:cs="宋体"/>
          <w:sz w:val="24"/>
        </w:rPr>
        <w:t>提升资本实力</w:t>
      </w:r>
      <w:r>
        <w:rPr>
          <w:rFonts w:hint="eastAsia" w:ascii="宋体" w:hAnsi="宋体" w:eastAsia="宋体" w:cs="宋体"/>
          <w:sz w:val="14"/>
        </w:rPr>
        <w:t>；</w:t>
      </w:r>
      <w:r>
        <w:rPr>
          <w:rFonts w:hint="eastAsia" w:ascii="宋体" w:hAnsi="宋体" w:eastAsia="宋体" w:cs="宋体"/>
          <w:sz w:val="24"/>
        </w:rPr>
        <w:t>五是实施双向开放</w:t>
      </w:r>
      <w:r>
        <w:rPr>
          <w:rFonts w:hint="eastAsia" w:ascii="宋体" w:hAnsi="宋体" w:eastAsia="宋体" w:cs="宋体"/>
          <w:sz w:val="10"/>
        </w:rPr>
        <w:t>，</w:t>
      </w:r>
      <w:r>
        <w:rPr>
          <w:rFonts w:hint="eastAsia" w:ascii="宋体" w:hAnsi="宋体" w:eastAsia="宋体" w:cs="宋体"/>
          <w:sz w:val="24"/>
        </w:rPr>
        <w:t>加快国际化进程</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多家券商获批融资融券</w:t>
      </w:r>
      <w:r>
        <w:rPr>
          <w:rFonts w:hint="eastAsia" w:ascii="宋体" w:hAnsi="宋体" w:eastAsia="宋体" w:cs="宋体"/>
          <w:sz w:val="10"/>
        </w:rPr>
        <w:t>、</w:t>
      </w:r>
      <w:r>
        <w:rPr>
          <w:rFonts w:hint="eastAsia" w:ascii="宋体" w:hAnsi="宋体" w:eastAsia="宋体" w:cs="宋体"/>
          <w:sz w:val="24"/>
        </w:rPr>
        <w:t>约定赎回式证券交易</w:t>
      </w:r>
      <w:r>
        <w:rPr>
          <w:rFonts w:hint="eastAsia" w:ascii="宋体" w:hAnsi="宋体" w:eastAsia="宋体" w:cs="宋体"/>
          <w:sz w:val="10"/>
        </w:rPr>
        <w:t>、</w:t>
      </w:r>
      <w:r>
        <w:rPr>
          <w:rFonts w:hint="eastAsia" w:ascii="宋体" w:hAnsi="宋体" w:eastAsia="宋体" w:cs="宋体"/>
          <w:sz w:val="24"/>
        </w:rPr>
        <w:t>中小企业私募债</w:t>
      </w:r>
      <w:r>
        <w:rPr>
          <w:rFonts w:hint="eastAsia" w:ascii="宋体" w:hAnsi="宋体" w:eastAsia="宋体" w:cs="宋体"/>
          <w:sz w:val="10"/>
        </w:rPr>
        <w:t>、</w:t>
      </w:r>
      <w:r>
        <w:rPr>
          <w:rFonts w:hint="eastAsia" w:ascii="宋体" w:hAnsi="宋体" w:eastAsia="宋体" w:cs="宋体"/>
          <w:sz w:val="24"/>
        </w:rPr>
        <w:t>股票质押式回购</w:t>
      </w:r>
      <w:r>
        <w:rPr>
          <w:rFonts w:hint="eastAsia" w:ascii="宋体" w:hAnsi="宋体" w:eastAsia="宋体" w:cs="宋体"/>
          <w:sz w:val="10"/>
        </w:rPr>
        <w:t>、</w:t>
      </w:r>
      <w:r>
        <w:rPr>
          <w:rFonts w:hint="eastAsia" w:ascii="宋体" w:hAnsi="宋体" w:eastAsia="宋体" w:cs="宋体"/>
          <w:sz w:val="24"/>
        </w:rPr>
        <w:t>债券质押式回购</w:t>
      </w:r>
      <w:r>
        <w:rPr>
          <w:rFonts w:hint="eastAsia" w:ascii="宋体" w:hAnsi="宋体" w:eastAsia="宋体" w:cs="宋体"/>
          <w:sz w:val="10"/>
        </w:rPr>
        <w:t>、</w:t>
      </w:r>
      <w:r>
        <w:rPr>
          <w:rFonts w:hint="eastAsia" w:ascii="宋体" w:hAnsi="宋体" w:eastAsia="宋体" w:cs="宋体"/>
          <w:sz w:val="24"/>
        </w:rPr>
        <w:t>转融通</w:t>
      </w:r>
      <w:r>
        <w:rPr>
          <w:rFonts w:hint="eastAsia" w:ascii="宋体" w:hAnsi="宋体" w:eastAsia="宋体" w:cs="宋体"/>
          <w:sz w:val="10"/>
        </w:rPr>
        <w:t>、</w:t>
      </w:r>
      <w:r>
        <w:rPr>
          <w:rFonts w:hint="eastAsia" w:ascii="宋体" w:hAnsi="宋体" w:eastAsia="宋体" w:cs="宋体"/>
          <w:sz w:val="24"/>
        </w:rPr>
        <w:t>保险代理等十多项业务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60" w:firstLine="480"/>
        <w:jc w:val="both"/>
      </w:pPr>
      <w:r>
        <w:rPr>
          <w:rFonts w:hint="eastAsia" w:ascii="宋体" w:hAnsi="宋体" w:eastAsia="宋体" w:cs="宋体"/>
          <w:sz w:val="24"/>
        </w:rPr>
        <w:t>创新业务对证券公司的整体</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架构</w:t>
      </w:r>
      <w:r>
        <w:rPr>
          <w:rFonts w:hint="eastAsia" w:ascii="宋体" w:hAnsi="宋体" w:eastAsia="宋体" w:cs="宋体"/>
          <w:sz w:val="10"/>
        </w:rPr>
        <w:t>、</w:t>
      </w:r>
      <w:r>
        <w:rPr>
          <w:rFonts w:hint="eastAsia" w:ascii="宋体" w:hAnsi="宋体" w:eastAsia="宋体" w:cs="宋体"/>
          <w:sz w:val="24"/>
        </w:rPr>
        <w:t>软件应用和流程管理提出了新的要求</w:t>
      </w:r>
      <w:r>
        <w:rPr>
          <w:rFonts w:hint="eastAsia" w:ascii="宋体" w:hAnsi="宋体" w:eastAsia="宋体" w:cs="宋体"/>
          <w:sz w:val="10"/>
        </w:rPr>
        <w:t>，</w:t>
      </w:r>
      <w:r>
        <w:rPr>
          <w:rFonts w:hint="eastAsia" w:ascii="宋体" w:hAnsi="宋体" w:eastAsia="宋体" w:cs="宋体"/>
          <w:sz w:val="24"/>
        </w:rPr>
        <w:t>将大大促进证券行业对流程化应用管理软件的需求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②证券业必须持续进行信息化投入</w:t>
      </w:r>
      <w:r>
        <w:rPr>
          <w:rFonts w:hint="eastAsia" w:ascii="宋体" w:hAnsi="宋体" w:eastAsia="宋体" w:cs="宋体"/>
          <w:sz w:val="10"/>
        </w:rPr>
        <w:t>，</w:t>
      </w:r>
      <w:r>
        <w:rPr>
          <w:rFonts w:hint="eastAsia" w:ascii="宋体" w:hAnsi="宋体" w:eastAsia="宋体" w:cs="宋体"/>
          <w:sz w:val="24"/>
        </w:rPr>
        <w:t>以符合规范性的需要</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证券业是资金</w:t>
      </w:r>
      <w:r>
        <w:rPr>
          <w:rFonts w:hint="eastAsia" w:ascii="宋体" w:hAnsi="宋体" w:eastAsia="宋体" w:cs="宋体"/>
          <w:sz w:val="10"/>
        </w:rPr>
        <w:t>、</w:t>
      </w:r>
      <w:r>
        <w:rPr>
          <w:rFonts w:hint="eastAsia" w:ascii="宋体" w:hAnsi="宋体" w:eastAsia="宋体" w:cs="宋体"/>
          <w:sz w:val="24"/>
        </w:rPr>
        <w:t>知识密集型行业</w:t>
      </w:r>
      <w:r>
        <w:rPr>
          <w:rFonts w:hint="eastAsia" w:ascii="宋体" w:hAnsi="宋体" w:eastAsia="宋体" w:cs="宋体"/>
          <w:sz w:val="10"/>
        </w:rPr>
        <w:t>，</w:t>
      </w:r>
      <w:r>
        <w:rPr>
          <w:rFonts w:hint="eastAsia" w:ascii="宋体" w:hAnsi="宋体" w:eastAsia="宋体" w:cs="宋体"/>
          <w:sz w:val="24"/>
        </w:rPr>
        <w:t>对电脑信息系统的依存度以及系统运行的精确性</w:t>
      </w:r>
      <w:r>
        <w:rPr>
          <w:rFonts w:hint="eastAsia" w:ascii="宋体" w:hAnsi="宋体" w:eastAsia="宋体" w:cs="宋体"/>
          <w:sz w:val="10"/>
        </w:rPr>
        <w:t>、</w:t>
      </w:r>
      <w:r>
        <w:rPr>
          <w:rFonts w:hint="eastAsia" w:ascii="宋体" w:hAnsi="宋体" w:eastAsia="宋体" w:cs="宋体"/>
          <w:sz w:val="24"/>
        </w:rPr>
        <w:t>稳定性要求非常高</w:t>
      </w:r>
      <w:r>
        <w:rPr>
          <w:rFonts w:hint="eastAsia" w:ascii="宋体" w:hAnsi="宋体" w:eastAsia="宋体" w:cs="宋体"/>
          <w:sz w:val="10"/>
        </w:rPr>
        <w:t>。</w:t>
      </w:r>
      <w:r>
        <w:rPr>
          <w:rFonts w:hint="eastAsia" w:ascii="宋体" w:hAnsi="宋体" w:eastAsia="宋体" w:cs="宋体"/>
          <w:sz w:val="24"/>
        </w:rPr>
        <w:t>中国证券业协会和期货业协会颁布的《证券期货经营机构信息技术治理工作指引（试行）》，</w:t>
      </w:r>
      <w:r>
        <w:rPr>
          <w:rFonts w:hint="eastAsia" w:ascii="宋体" w:hAnsi="宋体" w:eastAsia="宋体" w:cs="宋体"/>
          <w:sz w:val="24"/>
        </w:rPr>
        <w:t>提出证券业各类相关机构最近三个财政年度</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投入平均数额原则上不少于最近三个财政年度平均净利润的</w:t>
      </w:r>
      <w:r>
        <w:rPr>
          <w:rFonts w:hint="eastAsia" w:ascii="Times New Roman" w:hAnsi="Times New Roman" w:eastAsia="Times New Roman" w:cs="Times New Roman"/>
          <w:sz w:val="24"/>
        </w:rPr>
        <w:t xml:space="preserve"> 6%</w:t>
      </w:r>
      <w:r>
        <w:rPr>
          <w:rFonts w:hint="eastAsia" w:ascii="宋体" w:hAnsi="宋体" w:eastAsia="宋体" w:cs="宋体"/>
          <w:sz w:val="10"/>
        </w:rPr>
        <w:t>，</w:t>
      </w:r>
      <w:r>
        <w:rPr>
          <w:rFonts w:hint="eastAsia" w:ascii="宋体" w:hAnsi="宋体" w:eastAsia="宋体" w:cs="宋体"/>
          <w:sz w:val="24"/>
        </w:rPr>
        <w:t>或不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1-1-106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少于最近三个财政年度平均营业收入的</w:t>
      </w:r>
      <w:r>
        <w:rPr>
          <w:rFonts w:hint="eastAsia" w:ascii="Times New Roman" w:hAnsi="Times New Roman" w:eastAsia="Times New Roman" w:cs="Times New Roman"/>
          <w:sz w:val="24"/>
        </w:rPr>
        <w:t xml:space="preserve"> 3%</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③我国证券行业信息化投资规模增长可期</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2012</w:t>
      </w:r>
      <w:r>
        <w:rPr>
          <w:rFonts w:hint="eastAsia" w:ascii="宋体" w:hAnsi="宋体" w:eastAsia="宋体" w:cs="宋体"/>
          <w:sz w:val="24"/>
        </w:rPr>
        <w:t xml:space="preserve"> 年中国金融改革创新进入突破期</w:t>
      </w:r>
      <w:r>
        <w:rPr>
          <w:rFonts w:hint="eastAsia" w:ascii="宋体" w:hAnsi="宋体" w:eastAsia="宋体" w:cs="宋体"/>
          <w:sz w:val="10"/>
        </w:rPr>
        <w:t>，</w:t>
      </w:r>
      <w:r>
        <w:rPr>
          <w:rFonts w:hint="eastAsia" w:ascii="Times New Roman" w:hAnsi="Times New Roman" w:eastAsia="Times New Roman" w:cs="Times New Roman"/>
          <w:sz w:val="24"/>
        </w:rPr>
        <w:t>2012</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月份</w:t>
      </w:r>
      <w:r>
        <w:rPr>
          <w:rFonts w:hint="eastAsia" w:ascii="宋体" w:hAnsi="宋体" w:eastAsia="宋体" w:cs="宋体"/>
          <w:sz w:val="10"/>
        </w:rPr>
        <w:t>“</w:t>
      </w:r>
      <w:r>
        <w:rPr>
          <w:rFonts w:hint="eastAsia" w:ascii="宋体" w:hAnsi="宋体" w:eastAsia="宋体" w:cs="宋体"/>
          <w:sz w:val="24"/>
        </w:rPr>
        <w:t>证券行业创新发展论坛</w:t>
      </w:r>
      <w:r>
        <w:rPr>
          <w:rFonts w:hint="eastAsia" w:ascii="宋体" w:hAnsi="宋体" w:eastAsia="宋体" w:cs="宋体"/>
          <w:sz w:val="10"/>
        </w:rPr>
        <w:t>”</w:t>
      </w:r>
      <w:r>
        <w:rPr>
          <w:rFonts w:hint="eastAsia" w:ascii="宋体" w:hAnsi="宋体" w:eastAsia="宋体" w:cs="宋体"/>
          <w:sz w:val="24"/>
        </w:rPr>
        <w:t>的召开</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2012</w:t>
      </w:r>
      <w:r>
        <w:rPr>
          <w:rFonts w:hint="eastAsia" w:ascii="宋体" w:hAnsi="宋体" w:eastAsia="宋体" w:cs="宋体"/>
          <w:sz w:val="24"/>
        </w:rPr>
        <w:t xml:space="preserve"> 年底</w:t>
      </w:r>
      <w:r>
        <w:rPr>
          <w:rFonts w:hint="eastAsia" w:ascii="宋体" w:hAnsi="宋体" w:eastAsia="宋体" w:cs="宋体"/>
          <w:sz w:val="10"/>
        </w:rPr>
        <w:t>，</w:t>
      </w:r>
      <w:r>
        <w:rPr>
          <w:rFonts w:hint="eastAsia" w:ascii="宋体" w:hAnsi="宋体" w:eastAsia="宋体" w:cs="宋体"/>
          <w:sz w:val="24"/>
        </w:rPr>
        <w:t>创新大会提出的</w:t>
      </w:r>
      <w:r>
        <w:rPr>
          <w:rFonts w:hint="eastAsia" w:ascii="宋体" w:hAnsi="宋体" w:eastAsia="宋体" w:cs="宋体"/>
          <w:sz w:val="10"/>
        </w:rPr>
        <w:t>“</w:t>
      </w:r>
      <w:r>
        <w:rPr>
          <w:rFonts w:hint="eastAsia" w:ascii="宋体" w:hAnsi="宋体" w:eastAsia="宋体" w:cs="宋体"/>
          <w:sz w:val="24"/>
        </w:rPr>
        <w:t>十一条</w:t>
      </w:r>
      <w:r>
        <w:rPr>
          <w:rFonts w:hint="eastAsia" w:ascii="宋体" w:hAnsi="宋体" w:eastAsia="宋体" w:cs="宋体"/>
          <w:sz w:val="10"/>
        </w:rPr>
        <w:t>”</w:t>
      </w:r>
      <w:r>
        <w:rPr>
          <w:rFonts w:hint="eastAsia" w:ascii="宋体" w:hAnsi="宋体" w:eastAsia="宋体" w:cs="宋体"/>
          <w:sz w:val="24"/>
        </w:rPr>
        <w:t>措施均已出台相应政策</w:t>
      </w:r>
      <w:r>
        <w:rPr>
          <w:rFonts w:hint="eastAsia" w:ascii="宋体" w:hAnsi="宋体" w:eastAsia="宋体" w:cs="宋体"/>
          <w:sz w:val="10"/>
        </w:rPr>
        <w:t>，</w:t>
      </w:r>
      <w:r>
        <w:rPr>
          <w:rFonts w:hint="eastAsia" w:ascii="宋体" w:hAnsi="宋体" w:eastAsia="宋体" w:cs="宋体"/>
          <w:sz w:val="24"/>
        </w:rPr>
        <w:t>极大地扩展了证券公司现有的业务范围</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券商创新大会再度召开</w:t>
      </w:r>
      <w:r>
        <w:rPr>
          <w:rFonts w:hint="eastAsia" w:ascii="宋体" w:hAnsi="宋体" w:eastAsia="宋体" w:cs="宋体"/>
          <w:sz w:val="10"/>
        </w:rPr>
        <w:t>，</w:t>
      </w:r>
      <w:r>
        <w:rPr>
          <w:rFonts w:hint="eastAsia" w:ascii="宋体" w:hAnsi="宋体" w:eastAsia="宋体" w:cs="宋体"/>
          <w:sz w:val="24"/>
        </w:rPr>
        <w:t>伴随</w:t>
      </w:r>
      <w:r>
        <w:rPr>
          <w:rFonts w:hint="eastAsia" w:ascii="宋体" w:hAnsi="宋体" w:eastAsia="宋体" w:cs="宋体"/>
          <w:sz w:val="10"/>
        </w:rPr>
        <w:t>“</w:t>
      </w:r>
      <w:r>
        <w:rPr>
          <w:rFonts w:hint="eastAsia" w:ascii="宋体" w:hAnsi="宋体" w:eastAsia="宋体" w:cs="宋体"/>
          <w:sz w:val="24"/>
        </w:rPr>
        <w:t>新国九条</w:t>
      </w:r>
      <w:r>
        <w:rPr>
          <w:rFonts w:hint="eastAsia" w:ascii="宋体" w:hAnsi="宋体" w:eastAsia="宋体" w:cs="宋体"/>
          <w:sz w:val="10"/>
        </w:rPr>
        <w:t>”</w:t>
      </w:r>
      <w:r>
        <w:rPr>
          <w:rFonts w:hint="eastAsia" w:ascii="宋体" w:hAnsi="宋体" w:eastAsia="宋体" w:cs="宋体"/>
          <w:sz w:val="24"/>
        </w:rPr>
        <w:t>以及《关于进</w:t>
      </w:r>
      <w:r>
        <w:rPr>
          <w:rFonts w:hint="eastAsia" w:ascii="宋体" w:hAnsi="宋体" w:eastAsia="宋体" w:cs="宋体"/>
          <w:sz w:val="10"/>
        </w:rPr>
        <w:t>一</w:t>
      </w:r>
      <w:r>
        <w:rPr>
          <w:rFonts w:hint="eastAsia" w:ascii="宋体" w:hAnsi="宋体" w:eastAsia="宋体" w:cs="宋体"/>
          <w:sz w:val="24"/>
        </w:rPr>
        <w:t>步推进证券经营机构创新发展的意见》等多项支持创新的政策的发布</w:t>
      </w:r>
      <w:r>
        <w:rPr>
          <w:rFonts w:hint="eastAsia" w:ascii="宋体" w:hAnsi="宋体" w:eastAsia="宋体" w:cs="宋体"/>
          <w:sz w:val="10"/>
        </w:rPr>
        <w:t>，</w:t>
      </w:r>
      <w:r>
        <w:rPr>
          <w:rFonts w:hint="eastAsia" w:ascii="宋体" w:hAnsi="宋体" w:eastAsia="宋体" w:cs="宋体"/>
          <w:sz w:val="24"/>
        </w:rPr>
        <w:t>转融通</w:t>
      </w:r>
      <w:r>
        <w:rPr>
          <w:rFonts w:hint="eastAsia" w:ascii="宋体" w:hAnsi="宋体" w:eastAsia="宋体" w:cs="宋体"/>
          <w:sz w:val="10"/>
        </w:rPr>
        <w:t>、</w:t>
      </w:r>
      <w:r>
        <w:rPr>
          <w:rFonts w:hint="eastAsia" w:ascii="宋体" w:hAnsi="宋体" w:eastAsia="宋体" w:cs="宋体"/>
          <w:sz w:val="24"/>
        </w:rPr>
        <w:t>新三板</w:t>
      </w:r>
      <w:r>
        <w:rPr>
          <w:rFonts w:hint="eastAsia" w:ascii="宋体" w:hAnsi="宋体" w:eastAsia="宋体" w:cs="宋体"/>
          <w:sz w:val="10"/>
        </w:rPr>
        <w:t>、</w:t>
      </w:r>
      <w:r>
        <w:rPr>
          <w:rFonts w:hint="eastAsia" w:ascii="宋体" w:hAnsi="宋体" w:eastAsia="宋体" w:cs="宋体"/>
          <w:sz w:val="24"/>
        </w:rPr>
        <w:t>约定购回</w:t>
      </w:r>
      <w:r>
        <w:rPr>
          <w:rFonts w:hint="eastAsia" w:ascii="宋体" w:hAnsi="宋体" w:eastAsia="宋体" w:cs="宋体"/>
          <w:sz w:val="10"/>
        </w:rPr>
        <w:t>、</w:t>
      </w:r>
      <w:r>
        <w:rPr>
          <w:rFonts w:hint="eastAsia" w:ascii="宋体" w:hAnsi="宋体" w:eastAsia="宋体" w:cs="宋体"/>
          <w:sz w:val="24"/>
        </w:rPr>
        <w:t>代销金融产品</w:t>
      </w:r>
      <w:r>
        <w:rPr>
          <w:rFonts w:hint="eastAsia" w:ascii="宋体" w:hAnsi="宋体" w:eastAsia="宋体" w:cs="宋体"/>
          <w:sz w:val="10"/>
        </w:rPr>
        <w:t>、</w:t>
      </w:r>
      <w:r>
        <w:rPr>
          <w:rFonts w:hint="eastAsia" w:ascii="宋体" w:hAnsi="宋体" w:eastAsia="宋体" w:cs="宋体"/>
          <w:sz w:val="24"/>
        </w:rPr>
        <w:t>现金宝</w:t>
      </w:r>
      <w:r>
        <w:rPr>
          <w:rFonts w:hint="eastAsia" w:ascii="宋体" w:hAnsi="宋体" w:eastAsia="宋体" w:cs="宋体"/>
          <w:sz w:val="10"/>
        </w:rPr>
        <w:t>、</w:t>
      </w:r>
      <w:r>
        <w:rPr>
          <w:rFonts w:hint="eastAsia" w:ascii="宋体" w:hAnsi="宋体" w:eastAsia="宋体" w:cs="宋体"/>
          <w:sz w:val="24"/>
        </w:rPr>
        <w:t>区域性股权交易市场</w:t>
      </w:r>
      <w:r>
        <w:rPr>
          <w:rFonts w:hint="eastAsia" w:ascii="宋体" w:hAnsi="宋体" w:eastAsia="宋体" w:cs="宋体"/>
          <w:sz w:val="10"/>
        </w:rPr>
        <w:t>、</w:t>
      </w:r>
      <w:r>
        <w:rPr>
          <w:rFonts w:hint="eastAsia" w:ascii="宋体" w:hAnsi="宋体" w:eastAsia="宋体" w:cs="宋体"/>
          <w:sz w:val="24"/>
        </w:rPr>
        <w:t>柜台交易（</w:t>
      </w:r>
      <w:r>
        <w:rPr>
          <w:rFonts w:hint="eastAsia" w:ascii="Times New Roman" w:hAnsi="Times New Roman" w:eastAsia="Times New Roman" w:cs="Times New Roman"/>
          <w:sz w:val="24"/>
        </w:rPr>
        <w:t>OTC</w:t>
      </w:r>
      <w:r>
        <w:rPr>
          <w:rFonts w:hint="eastAsia" w:ascii="宋体" w:hAnsi="宋体" w:eastAsia="宋体" w:cs="宋体"/>
          <w:sz w:val="24"/>
        </w:rPr>
        <w:t>）、</w:t>
      </w:r>
      <w:r>
        <w:rPr>
          <w:rFonts w:hint="eastAsia" w:ascii="宋体" w:hAnsi="宋体" w:eastAsia="宋体" w:cs="宋体"/>
          <w:sz w:val="24"/>
        </w:rPr>
        <w:t>个股期权等创新业务已经或将陆续推出</w:t>
      </w:r>
      <w:r>
        <w:rPr>
          <w:rFonts w:hint="eastAsia" w:ascii="宋体" w:hAnsi="宋体" w:eastAsia="宋体" w:cs="宋体"/>
          <w:sz w:val="10"/>
        </w:rPr>
        <w:t>。</w:t>
      </w:r>
      <w:r>
        <w:rPr>
          <w:rFonts w:hint="eastAsia" w:ascii="宋体" w:hAnsi="宋体" w:eastAsia="宋体" w:cs="宋体"/>
          <w:sz w:val="24"/>
        </w:rPr>
        <w:t>各证券公司为争得新兴业务的主动权</w:t>
      </w:r>
      <w:r>
        <w:rPr>
          <w:rFonts w:hint="eastAsia" w:ascii="宋体" w:hAnsi="宋体" w:eastAsia="宋体" w:cs="宋体"/>
          <w:sz w:val="10"/>
        </w:rPr>
        <w:t>，</w:t>
      </w:r>
      <w:r>
        <w:rPr>
          <w:rFonts w:hint="eastAsia" w:ascii="宋体" w:hAnsi="宋体" w:eastAsia="宋体" w:cs="宋体"/>
          <w:sz w:val="24"/>
        </w:rPr>
        <w:t>势必会加快部署相关业务的</w:t>
      </w:r>
      <w:r>
        <w:rPr>
          <w:rFonts w:hint="eastAsia" w:ascii="Times New Roman" w:hAnsi="Times New Roman" w:eastAsia="Times New Roman" w:cs="Times New Roman"/>
          <w:sz w:val="24"/>
        </w:rPr>
        <w:t xml:space="preserve"> IT</w:t>
      </w:r>
      <w:r>
        <w:rPr>
          <w:rFonts w:hint="eastAsia" w:ascii="宋体" w:hAnsi="宋体" w:eastAsia="宋体" w:cs="宋体"/>
          <w:sz w:val="24"/>
        </w:rPr>
        <w:t>系统</w:t>
      </w:r>
      <w:r>
        <w:rPr>
          <w:rFonts w:hint="eastAsia" w:ascii="宋体" w:hAnsi="宋体" w:eastAsia="宋体" w:cs="宋体"/>
          <w:sz w:val="10"/>
        </w:rPr>
        <w:t>，</w:t>
      </w:r>
      <w:r>
        <w:rPr>
          <w:rFonts w:hint="eastAsia" w:ascii="宋体" w:hAnsi="宋体" w:eastAsia="宋体" w:cs="宋体"/>
          <w:sz w:val="24"/>
        </w:rPr>
        <w:t>因此相关的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需求将在今后较长的一段时期逐步释放</w:t>
      </w:r>
      <w:r>
        <w:rPr>
          <w:rFonts w:hint="eastAsia" w:ascii="宋体" w:hAnsi="宋体" w:eastAsia="宋体" w:cs="宋体"/>
          <w:sz w:val="10"/>
        </w:rPr>
        <w:t>，</w:t>
      </w:r>
      <w:r>
        <w:rPr>
          <w:rFonts w:hint="eastAsia" w:ascii="宋体" w:hAnsi="宋体" w:eastAsia="宋体" w:cs="宋体"/>
          <w:sz w:val="24"/>
        </w:rPr>
        <w:t>证券公司未来</w:t>
      </w:r>
      <w:r>
        <w:rPr>
          <w:rFonts w:hint="eastAsia" w:ascii="Times New Roman" w:hAnsi="Times New Roman" w:eastAsia="Times New Roman" w:cs="Times New Roman"/>
          <w:sz w:val="24"/>
        </w:rPr>
        <w:t xml:space="preserve"> 5</w:t>
      </w:r>
      <w:r>
        <w:rPr>
          <w:rFonts w:hint="eastAsia" w:ascii="宋体" w:hAnsi="宋体" w:eastAsia="宋体" w:cs="宋体"/>
          <w:sz w:val="24"/>
        </w:rPr>
        <w:t>年信息化投入规模持续增长可以预期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④经纪业务由</w:t>
      </w:r>
      <w:r>
        <w:rPr>
          <w:rFonts w:hint="eastAsia" w:ascii="宋体" w:hAnsi="宋体" w:eastAsia="宋体" w:cs="宋体"/>
          <w:sz w:val="10"/>
        </w:rPr>
        <w:t>“</w:t>
      </w:r>
      <w:r>
        <w:rPr>
          <w:rFonts w:hint="eastAsia" w:ascii="宋体" w:hAnsi="宋体" w:eastAsia="宋体" w:cs="宋体"/>
          <w:sz w:val="24"/>
        </w:rPr>
        <w:t>通道型</w:t>
      </w:r>
      <w:r>
        <w:rPr>
          <w:rFonts w:hint="eastAsia" w:ascii="宋体" w:hAnsi="宋体" w:eastAsia="宋体" w:cs="宋体"/>
          <w:sz w:val="10"/>
        </w:rPr>
        <w:t>”</w:t>
      </w:r>
      <w:r>
        <w:rPr>
          <w:rFonts w:hint="eastAsia" w:ascii="宋体" w:hAnsi="宋体" w:eastAsia="宋体" w:cs="宋体"/>
          <w:sz w:val="24"/>
        </w:rPr>
        <w:t>向</w:t>
      </w:r>
      <w:r>
        <w:rPr>
          <w:rFonts w:hint="eastAsia" w:ascii="宋体" w:hAnsi="宋体" w:eastAsia="宋体" w:cs="宋体"/>
          <w:sz w:val="10"/>
        </w:rPr>
        <w:t>“</w:t>
      </w:r>
      <w:r>
        <w:rPr>
          <w:rFonts w:hint="eastAsia" w:ascii="宋体" w:hAnsi="宋体" w:eastAsia="宋体" w:cs="宋体"/>
          <w:sz w:val="24"/>
        </w:rPr>
        <w:t>服务型</w:t>
      </w:r>
      <w:r>
        <w:rPr>
          <w:rFonts w:hint="eastAsia" w:ascii="宋体" w:hAnsi="宋体" w:eastAsia="宋体" w:cs="宋体"/>
          <w:sz w:val="10"/>
        </w:rPr>
        <w:t>”</w:t>
      </w:r>
      <w:r>
        <w:rPr>
          <w:rFonts w:hint="eastAsia" w:ascii="宋体" w:hAnsi="宋体" w:eastAsia="宋体" w:cs="宋体"/>
          <w:sz w:val="24"/>
        </w:rPr>
        <w:t>转变</w:t>
      </w:r>
      <w:r>
        <w:rPr>
          <w:rFonts w:hint="eastAsia" w:ascii="宋体" w:hAnsi="宋体" w:eastAsia="宋体" w:cs="宋体"/>
          <w:sz w:val="10"/>
        </w:rPr>
        <w:t>，</w:t>
      </w:r>
      <w:r>
        <w:rPr>
          <w:rFonts w:hint="eastAsia" w:ascii="宋体" w:hAnsi="宋体" w:eastAsia="宋体" w:cs="宋体"/>
          <w:sz w:val="24"/>
        </w:rPr>
        <w:t>使得营销服务流程管理系统的需求迅速增长</w:t>
      </w:r>
    </w:p>
    <w:p>
      <w:pPr>
        <w:spacing w:line="200" w:lineRule="exact"/>
        <w:rPr>
          <w:rFonts w:hint="eastAsia" w:ascii="宋体" w:hAnsi="宋体" w:eastAsia="宋体" w:cs="宋体"/>
          <w:sz w:val="20"/>
        </w:rPr>
      </w:pPr>
    </w:p>
    <w:p>
      <w:pPr>
        <w:autoSpaceDE w:val="false"/>
        <w:autoSpaceDN w:val="false"/>
        <w:spacing w:line="460" w:lineRule="exact"/>
        <w:ind w:left="1800" w:right="1580" w:firstLine="480"/>
        <w:jc w:val="both"/>
      </w:pPr>
      <w:r>
        <w:rPr>
          <w:rFonts w:hint="eastAsia" w:ascii="宋体" w:hAnsi="宋体" w:eastAsia="宋体" w:cs="宋体"/>
          <w:sz w:val="24"/>
        </w:rPr>
        <w:t>最近几年来</w:t>
      </w:r>
      <w:r>
        <w:rPr>
          <w:rFonts w:hint="eastAsia" w:ascii="宋体" w:hAnsi="宋体" w:eastAsia="宋体" w:cs="宋体"/>
          <w:sz w:val="10"/>
        </w:rPr>
        <w:t>，</w:t>
      </w:r>
      <w:r>
        <w:rPr>
          <w:rFonts w:hint="eastAsia" w:ascii="宋体" w:hAnsi="宋体" w:eastAsia="宋体" w:cs="宋体"/>
          <w:sz w:val="24"/>
        </w:rPr>
        <w:t>经纪业务竞争同质化</w:t>
      </w:r>
      <w:r>
        <w:rPr>
          <w:rFonts w:hint="eastAsia" w:ascii="宋体" w:hAnsi="宋体" w:eastAsia="宋体" w:cs="宋体"/>
          <w:sz w:val="10"/>
        </w:rPr>
        <w:t>、</w:t>
      </w:r>
      <w:r>
        <w:rPr>
          <w:rFonts w:hint="eastAsia" w:ascii="宋体" w:hAnsi="宋体" w:eastAsia="宋体" w:cs="宋体"/>
          <w:sz w:val="24"/>
        </w:rPr>
        <w:t>佣金费率降低是证券公司面临的共同问题</w:t>
      </w:r>
      <w:r>
        <w:rPr>
          <w:rFonts w:hint="eastAsia" w:ascii="宋体" w:hAnsi="宋体" w:eastAsia="宋体" w:cs="宋体"/>
          <w:sz w:val="10"/>
        </w:rPr>
        <w:t>。</w:t>
      </w:r>
      <w:r>
        <w:rPr>
          <w:rFonts w:hint="eastAsia" w:ascii="宋体" w:hAnsi="宋体" w:eastAsia="宋体" w:cs="宋体"/>
          <w:sz w:val="24"/>
        </w:rPr>
        <w:t>借鉴西方成熟市场经纪业务的发展经验</w:t>
      </w:r>
      <w:r>
        <w:rPr>
          <w:rFonts w:hint="eastAsia" w:ascii="宋体" w:hAnsi="宋体" w:eastAsia="宋体" w:cs="宋体"/>
          <w:sz w:val="10"/>
        </w:rPr>
        <w:t>，</w:t>
      </w:r>
      <w:r>
        <w:rPr>
          <w:rFonts w:hint="eastAsia" w:ascii="宋体" w:hAnsi="宋体" w:eastAsia="宋体" w:cs="宋体"/>
          <w:sz w:val="24"/>
        </w:rPr>
        <w:t>证券公司的经纪业务模式将由传统的提供交易通道服务向</w:t>
      </w:r>
      <w:r>
        <w:rPr>
          <w:rFonts w:hint="eastAsia" w:ascii="宋体" w:hAnsi="宋体" w:eastAsia="宋体" w:cs="宋体"/>
          <w:sz w:val="10"/>
        </w:rPr>
        <w:t>“</w:t>
      </w:r>
      <w:r>
        <w:rPr>
          <w:rFonts w:hint="eastAsia" w:ascii="宋体" w:hAnsi="宋体" w:eastAsia="宋体" w:cs="宋体"/>
          <w:sz w:val="24"/>
        </w:rPr>
        <w:t>以客户为中心</w:t>
      </w:r>
      <w:r>
        <w:rPr>
          <w:rFonts w:hint="eastAsia" w:ascii="宋体" w:hAnsi="宋体" w:eastAsia="宋体" w:cs="宋体"/>
          <w:sz w:val="10"/>
        </w:rPr>
        <w:t>、</w:t>
      </w:r>
      <w:r>
        <w:rPr>
          <w:rFonts w:hint="eastAsia" w:ascii="宋体" w:hAnsi="宋体" w:eastAsia="宋体" w:cs="宋体"/>
          <w:sz w:val="24"/>
        </w:rPr>
        <w:t>以产品（服务）为主线</w:t>
      </w:r>
      <w:r>
        <w:rPr>
          <w:rFonts w:hint="eastAsia" w:ascii="宋体" w:hAnsi="宋体" w:eastAsia="宋体" w:cs="宋体"/>
          <w:sz w:val="10"/>
        </w:rPr>
        <w:t>”</w:t>
      </w:r>
      <w:r>
        <w:rPr>
          <w:rFonts w:hint="eastAsia" w:ascii="宋体" w:hAnsi="宋体" w:eastAsia="宋体" w:cs="宋体"/>
          <w:sz w:val="24"/>
        </w:rPr>
        <w:t>的服务模式转变</w:t>
      </w:r>
      <w:r>
        <w:rPr>
          <w:rFonts w:hint="eastAsia" w:ascii="宋体" w:hAnsi="宋体" w:eastAsia="宋体" w:cs="宋体"/>
          <w:sz w:val="10"/>
        </w:rPr>
        <w:t>，</w:t>
      </w:r>
      <w:r>
        <w:rPr>
          <w:rFonts w:hint="eastAsia" w:ascii="宋体" w:hAnsi="宋体" w:eastAsia="宋体" w:cs="宋体"/>
          <w:sz w:val="24"/>
        </w:rPr>
        <w:t>其本质是深度挖掘投资者的价值</w:t>
      </w:r>
      <w:r>
        <w:rPr>
          <w:rFonts w:hint="eastAsia" w:ascii="宋体" w:hAnsi="宋体" w:eastAsia="宋体" w:cs="宋体"/>
          <w:sz w:val="10"/>
        </w:rPr>
        <w:t>，</w:t>
      </w:r>
      <w:r>
        <w:rPr>
          <w:rFonts w:hint="eastAsia" w:ascii="宋体" w:hAnsi="宋体" w:eastAsia="宋体" w:cs="宋体"/>
          <w:sz w:val="24"/>
        </w:rPr>
        <w:t>在此过程中将遵循</w:t>
      </w:r>
      <w:r>
        <w:rPr>
          <w:rFonts w:hint="eastAsia" w:ascii="宋体" w:hAnsi="宋体" w:eastAsia="宋体" w:cs="宋体"/>
          <w:sz w:val="10"/>
        </w:rPr>
        <w:t>“</w:t>
      </w:r>
      <w:r>
        <w:rPr>
          <w:rFonts w:hint="eastAsia" w:ascii="宋体" w:hAnsi="宋体" w:eastAsia="宋体" w:cs="宋体"/>
          <w:sz w:val="24"/>
        </w:rPr>
        <w:t>通道交易服务－投资咨询服务－资产管理服务－全方位金融服务</w:t>
      </w:r>
      <w:r>
        <w:rPr>
          <w:rFonts w:hint="eastAsia" w:ascii="宋体" w:hAnsi="宋体" w:eastAsia="宋体" w:cs="宋体"/>
          <w:sz w:val="10"/>
        </w:rPr>
        <w:t>”</w:t>
      </w:r>
      <w:r>
        <w:rPr>
          <w:rFonts w:hint="eastAsia" w:ascii="宋体" w:hAnsi="宋体" w:eastAsia="宋体" w:cs="宋体"/>
          <w:sz w:val="24"/>
        </w:rPr>
        <w:t>的发展路径</w:t>
      </w:r>
      <w:r>
        <w:rPr>
          <w:rFonts w:hint="eastAsia" w:ascii="宋体" w:hAnsi="宋体" w:eastAsia="宋体" w:cs="宋体"/>
          <w:sz w:val="10"/>
        </w:rPr>
        <w:t>，</w:t>
      </w:r>
      <w:r>
        <w:rPr>
          <w:rFonts w:hint="eastAsia" w:ascii="宋体" w:hAnsi="宋体" w:eastAsia="宋体" w:cs="宋体"/>
          <w:sz w:val="24"/>
        </w:rPr>
        <w:t>循序前进</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我国证券经纪业务正处于由通道交易服务向投资咨询业务过渡阶段</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产品和营销服务成为当前经纪业务的两大核心要素</w:t>
      </w:r>
      <w:r>
        <w:rPr>
          <w:rFonts w:hint="eastAsia" w:ascii="宋体" w:hAnsi="宋体" w:eastAsia="宋体" w:cs="宋体"/>
          <w:sz w:val="10"/>
        </w:rPr>
        <w:t>。</w:t>
      </w:r>
      <w:r>
        <w:rPr>
          <w:rFonts w:hint="eastAsia" w:ascii="宋体" w:hAnsi="宋体" w:eastAsia="宋体" w:cs="宋体"/>
          <w:sz w:val="24"/>
        </w:rPr>
        <w:t>围绕这两大核心要素</w:t>
      </w:r>
      <w:r>
        <w:rPr>
          <w:rFonts w:hint="eastAsia" w:ascii="宋体" w:hAnsi="宋体" w:eastAsia="宋体" w:cs="宋体"/>
          <w:sz w:val="10"/>
        </w:rPr>
        <w:t>，</w:t>
      </w:r>
      <w:r>
        <w:rPr>
          <w:rFonts w:hint="eastAsia" w:ascii="宋体" w:hAnsi="宋体" w:eastAsia="宋体" w:cs="宋体"/>
          <w:sz w:val="24"/>
        </w:rPr>
        <w:t>需要对投资者的风险偏好</w:t>
      </w:r>
      <w:r>
        <w:rPr>
          <w:rFonts w:hint="eastAsia" w:ascii="宋体" w:hAnsi="宋体" w:eastAsia="宋体" w:cs="宋体"/>
          <w:sz w:val="10"/>
        </w:rPr>
        <w:t>、</w:t>
      </w:r>
      <w:r>
        <w:rPr>
          <w:rFonts w:hint="eastAsia" w:ascii="宋体" w:hAnsi="宋体" w:eastAsia="宋体" w:cs="宋体"/>
          <w:sz w:val="24"/>
        </w:rPr>
        <w:t>投资理念和投资行为进行分析</w:t>
      </w:r>
      <w:r>
        <w:rPr>
          <w:rFonts w:hint="eastAsia" w:ascii="宋体" w:hAnsi="宋体" w:eastAsia="宋体" w:cs="宋体"/>
          <w:sz w:val="10"/>
        </w:rPr>
        <w:t>，</w:t>
      </w:r>
      <w:r>
        <w:rPr>
          <w:rFonts w:hint="eastAsia" w:ascii="宋体" w:hAnsi="宋体" w:eastAsia="宋体" w:cs="宋体"/>
          <w:sz w:val="24"/>
        </w:rPr>
        <w:t>开发和设计多样化的投资咨询产品</w:t>
      </w:r>
      <w:r>
        <w:rPr>
          <w:rFonts w:hint="eastAsia" w:ascii="宋体" w:hAnsi="宋体" w:eastAsia="宋体" w:cs="宋体"/>
          <w:sz w:val="10"/>
        </w:rPr>
        <w:t>，</w:t>
      </w:r>
      <w:r>
        <w:rPr>
          <w:rFonts w:hint="eastAsia" w:ascii="宋体" w:hAnsi="宋体" w:eastAsia="宋体" w:cs="宋体"/>
          <w:sz w:val="24"/>
        </w:rPr>
        <w:t>构建营销网络</w:t>
      </w:r>
      <w:r>
        <w:rPr>
          <w:rFonts w:hint="eastAsia" w:ascii="宋体" w:hAnsi="宋体" w:eastAsia="宋体" w:cs="宋体"/>
          <w:sz w:val="10"/>
        </w:rPr>
        <w:t>、</w:t>
      </w:r>
      <w:r>
        <w:rPr>
          <w:rFonts w:hint="eastAsia" w:ascii="宋体" w:hAnsi="宋体" w:eastAsia="宋体" w:cs="宋体"/>
          <w:sz w:val="24"/>
        </w:rPr>
        <w:t>打造高素质的经纪人和投资顾问团队</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部分证券公司已经初步形成了证券经纪业务品牌效应</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经纪业务的转型离不开信息技术系统的支持</w:t>
      </w:r>
      <w:r>
        <w:rPr>
          <w:rFonts w:hint="eastAsia" w:ascii="宋体" w:hAnsi="宋体" w:eastAsia="宋体" w:cs="宋体"/>
          <w:sz w:val="10"/>
        </w:rPr>
        <w:t>，</w:t>
      </w:r>
      <w:r>
        <w:rPr>
          <w:rFonts w:hint="eastAsia" w:ascii="宋体" w:hAnsi="宋体" w:eastAsia="宋体" w:cs="宋体"/>
          <w:sz w:val="24"/>
        </w:rPr>
        <w:t>各类创新业务系统</w:t>
      </w:r>
      <w:r>
        <w:rPr>
          <w:rFonts w:hint="eastAsia" w:ascii="宋体" w:hAnsi="宋体" w:eastAsia="宋体" w:cs="宋体"/>
          <w:sz w:val="10"/>
        </w:rPr>
        <w:t>、</w:t>
      </w:r>
      <w:r>
        <w:rPr>
          <w:rFonts w:hint="eastAsia" w:ascii="宋体" w:hAnsi="宋体" w:eastAsia="宋体" w:cs="宋体"/>
          <w:sz w:val="24"/>
        </w:rPr>
        <w:t>客户关系管理系统</w:t>
      </w:r>
      <w:r>
        <w:rPr>
          <w:rFonts w:hint="eastAsia" w:ascii="宋体" w:hAnsi="宋体" w:eastAsia="宋体" w:cs="宋体"/>
          <w:sz w:val="10"/>
        </w:rPr>
        <w:t>、</w:t>
      </w:r>
      <w:r>
        <w:rPr>
          <w:rFonts w:hint="eastAsia" w:ascii="Times New Roman" w:hAnsi="Times New Roman" w:eastAsia="Times New Roman" w:cs="Times New Roman"/>
          <w:sz w:val="24"/>
        </w:rPr>
        <w:t>CIF</w:t>
      </w:r>
      <w:r>
        <w:rPr>
          <w:rFonts w:hint="eastAsia" w:ascii="宋体" w:hAnsi="宋体" w:eastAsia="宋体" w:cs="宋体"/>
          <w:sz w:val="24"/>
        </w:rPr>
        <w:t xml:space="preserve"> 客户信息系统</w:t>
      </w:r>
      <w:r>
        <w:rPr>
          <w:rFonts w:hint="eastAsia" w:ascii="宋体" w:hAnsi="宋体" w:eastAsia="宋体" w:cs="宋体"/>
          <w:sz w:val="10"/>
        </w:rPr>
        <w:t>、</w:t>
      </w:r>
      <w:r>
        <w:rPr>
          <w:rFonts w:hint="eastAsia" w:ascii="宋体" w:hAnsi="宋体" w:eastAsia="宋体" w:cs="宋体"/>
          <w:sz w:val="24"/>
        </w:rPr>
        <w:t>营销管理系统</w:t>
      </w:r>
      <w:r>
        <w:rPr>
          <w:rFonts w:hint="eastAsia" w:ascii="宋体" w:hAnsi="宋体" w:eastAsia="宋体" w:cs="宋体"/>
          <w:sz w:val="10"/>
        </w:rPr>
        <w:t>、</w:t>
      </w:r>
      <w:r>
        <w:rPr>
          <w:rFonts w:hint="eastAsia" w:ascii="宋体" w:hAnsi="宋体" w:eastAsia="宋体" w:cs="宋体"/>
          <w:sz w:val="24"/>
        </w:rPr>
        <w:t>服务管理系统</w:t>
      </w:r>
      <w:r>
        <w:rPr>
          <w:rFonts w:hint="eastAsia" w:ascii="宋体" w:hAnsi="宋体" w:eastAsia="宋体" w:cs="宋体"/>
          <w:sz w:val="10"/>
        </w:rPr>
        <w:t>、</w:t>
      </w:r>
      <w:r>
        <w:rPr>
          <w:rFonts w:hint="eastAsia" w:ascii="宋体" w:hAnsi="宋体" w:eastAsia="宋体" w:cs="宋体"/>
          <w:sz w:val="24"/>
        </w:rPr>
        <w:t>经纪人管理系统</w:t>
      </w:r>
      <w:r>
        <w:rPr>
          <w:rFonts w:hint="eastAsia" w:ascii="宋体" w:hAnsi="宋体" w:eastAsia="宋体" w:cs="宋体"/>
          <w:sz w:val="10"/>
        </w:rPr>
        <w:t>、</w:t>
      </w:r>
      <w:r>
        <w:rPr>
          <w:rFonts w:hint="eastAsia" w:ascii="宋体" w:hAnsi="宋体" w:eastAsia="宋体" w:cs="宋体"/>
          <w:sz w:val="24"/>
        </w:rPr>
        <w:t>投资顾问业务支持系统</w:t>
      </w:r>
      <w:r>
        <w:rPr>
          <w:rFonts w:hint="eastAsia" w:ascii="宋体" w:hAnsi="宋体" w:eastAsia="宋体" w:cs="宋体"/>
          <w:sz w:val="10"/>
        </w:rPr>
        <w:t>、</w:t>
      </w:r>
      <w:r>
        <w:rPr>
          <w:rFonts w:hint="eastAsia" w:ascii="宋体" w:hAnsi="宋体" w:eastAsia="宋体" w:cs="宋体"/>
          <w:sz w:val="24"/>
        </w:rPr>
        <w:t>客户财富管理系统</w:t>
      </w:r>
      <w:r>
        <w:rPr>
          <w:rFonts w:hint="eastAsia" w:ascii="宋体" w:hAnsi="宋体" w:eastAsia="宋体" w:cs="宋体"/>
          <w:sz w:val="10"/>
        </w:rPr>
        <w:t>、</w:t>
      </w:r>
      <w:r>
        <w:rPr>
          <w:rFonts w:hint="eastAsia" w:ascii="宋体" w:hAnsi="宋体" w:eastAsia="宋体" w:cs="宋体"/>
          <w:sz w:val="24"/>
        </w:rPr>
        <w:t>呼叫中心系统</w:t>
      </w:r>
      <w:r>
        <w:rPr>
          <w:rFonts w:hint="eastAsia" w:ascii="宋体" w:hAnsi="宋体" w:eastAsia="宋体" w:cs="宋体"/>
          <w:sz w:val="10"/>
        </w:rPr>
        <w:t>、</w:t>
      </w:r>
      <w:r>
        <w:rPr>
          <w:rFonts w:hint="eastAsia" w:ascii="宋体" w:hAnsi="宋体" w:eastAsia="宋体" w:cs="宋体"/>
          <w:sz w:val="24"/>
        </w:rPr>
        <w:t>客户经理</w:t>
      </w:r>
      <w:r>
        <w:rPr>
          <w:rFonts w:hint="eastAsia" w:ascii="Times New Roman" w:hAnsi="Times New Roman" w:eastAsia="Times New Roman" w:cs="Times New Roman"/>
          <w:sz w:val="24"/>
        </w:rPr>
        <w:t>/</w:t>
      </w:r>
      <w:r>
        <w:rPr>
          <w:rFonts w:hint="eastAsia" w:ascii="宋体" w:hAnsi="宋体" w:eastAsia="宋体" w:cs="宋体"/>
          <w:sz w:val="24"/>
        </w:rPr>
        <w:t>经纪人工作平台</w:t>
      </w:r>
      <w:r>
        <w:rPr>
          <w:rFonts w:hint="eastAsia" w:ascii="宋体" w:hAnsi="宋体" w:eastAsia="宋体" w:cs="宋体"/>
          <w:sz w:val="10"/>
        </w:rPr>
        <w:t>、</w:t>
      </w:r>
      <w:r>
        <w:rPr>
          <w:rFonts w:hint="eastAsia" w:ascii="宋体" w:hAnsi="宋体" w:eastAsia="宋体" w:cs="宋体"/>
          <w:sz w:val="24"/>
        </w:rPr>
        <w:t>呼叫坐席工作平台</w:t>
      </w:r>
      <w:r>
        <w:rPr>
          <w:rFonts w:hint="eastAsia" w:ascii="宋体" w:hAnsi="宋体" w:eastAsia="宋体" w:cs="宋体"/>
          <w:sz w:val="10"/>
        </w:rPr>
        <w:t>、</w:t>
      </w:r>
      <w:r>
        <w:rPr>
          <w:rFonts w:hint="eastAsia" w:ascii="宋体" w:hAnsi="宋体" w:eastAsia="宋体" w:cs="宋体"/>
          <w:sz w:val="24"/>
        </w:rPr>
        <w:t>分析师和投资顾问工作平台</w:t>
      </w:r>
      <w:r>
        <w:rPr>
          <w:rFonts w:hint="eastAsia" w:ascii="宋体" w:hAnsi="宋体" w:eastAsia="宋体" w:cs="宋体"/>
          <w:sz w:val="10"/>
        </w:rPr>
        <w:t>、</w:t>
      </w:r>
      <w:r>
        <w:rPr>
          <w:rFonts w:hint="eastAsia" w:ascii="宋体" w:hAnsi="宋体" w:eastAsia="宋体" w:cs="宋体"/>
          <w:sz w:val="24"/>
        </w:rPr>
        <w:t>资产管理客户营销服务管理系统</w:t>
      </w:r>
      <w:r>
        <w:rPr>
          <w:rFonts w:hint="eastAsia" w:ascii="宋体" w:hAnsi="宋体" w:eastAsia="宋体" w:cs="宋体"/>
          <w:sz w:val="10"/>
        </w:rPr>
        <w:t>、</w:t>
      </w:r>
      <w:r>
        <w:rPr>
          <w:rFonts w:hint="eastAsia" w:ascii="宋体" w:hAnsi="宋体" w:eastAsia="宋体" w:cs="宋体"/>
          <w:sz w:val="24"/>
        </w:rPr>
        <w:t>固定收益客户营销服务管理系统</w:t>
      </w:r>
      <w:r>
        <w:rPr>
          <w:rFonts w:hint="eastAsia" w:ascii="宋体" w:hAnsi="宋体" w:eastAsia="宋体" w:cs="宋体"/>
          <w:sz w:val="10"/>
        </w:rPr>
        <w:t>、</w:t>
      </w:r>
      <w:r>
        <w:rPr>
          <w:rFonts w:hint="eastAsia" w:ascii="宋体" w:hAnsi="宋体" w:eastAsia="宋体" w:cs="宋体"/>
          <w:sz w:val="24"/>
        </w:rPr>
        <w:t>投资银行客户营销服务管理</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1-1-107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jc w:val="both"/>
      </w:pPr>
      <w:r>
        <w:rPr>
          <w:rFonts w:hint="eastAsia" w:ascii="宋体" w:hAnsi="宋体" w:eastAsia="宋体" w:cs="宋体"/>
          <w:sz w:val="24"/>
        </w:rPr>
        <w:t>综合分析与报表系统等软件已经为越来越多的证券公司和期货公司所采用</w:t>
      </w:r>
      <w:r>
        <w:rPr>
          <w:rFonts w:hint="eastAsia" w:ascii="宋体" w:hAnsi="宋体" w:eastAsia="宋体" w:cs="宋体"/>
          <w:sz w:val="10"/>
        </w:rPr>
        <w:t>，</w:t>
      </w:r>
      <w:r>
        <w:rPr>
          <w:rFonts w:hint="eastAsia" w:ascii="宋体" w:hAnsi="宋体" w:eastAsia="宋体" w:cs="宋体"/>
          <w:sz w:val="24"/>
        </w:rPr>
        <w:t>从而带动证券业在软件及技术服务方面的投入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⑤证券业在软件和技术服务方面的投入占其信息化总投入的比重将呈现上升的趋势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20" w:firstLine="480"/>
        <w:jc w:val="both"/>
      </w:pPr>
      <w:r>
        <w:rPr>
          <w:rFonts w:hint="eastAsia" w:ascii="宋体" w:hAnsi="宋体" w:eastAsia="宋体" w:cs="宋体"/>
          <w:sz w:val="24"/>
        </w:rPr>
        <w:t>我国证券业信息化已经经历了基础设施建设阶段</w:t>
      </w:r>
      <w:r>
        <w:rPr>
          <w:rFonts w:hint="eastAsia" w:ascii="宋体" w:hAnsi="宋体" w:eastAsia="宋体" w:cs="宋体"/>
          <w:sz w:val="10"/>
        </w:rPr>
        <w:t>、</w:t>
      </w:r>
      <w:r>
        <w:rPr>
          <w:rFonts w:hint="eastAsia" w:ascii="宋体" w:hAnsi="宋体" w:eastAsia="宋体" w:cs="宋体"/>
          <w:sz w:val="24"/>
        </w:rPr>
        <w:t>集中交易和互联网应用阶段</w:t>
      </w:r>
      <w:r>
        <w:rPr>
          <w:rFonts w:hint="eastAsia" w:ascii="宋体" w:hAnsi="宋体" w:eastAsia="宋体" w:cs="宋体"/>
          <w:sz w:val="10"/>
        </w:rPr>
        <w:t>，</w:t>
      </w:r>
      <w:r>
        <w:rPr>
          <w:rFonts w:hint="eastAsia" w:ascii="宋体" w:hAnsi="宋体" w:eastAsia="宋体" w:cs="宋体"/>
          <w:sz w:val="24"/>
        </w:rPr>
        <w:t>目前正处于流程整合及优化升级阶段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在集中交易和互联网应用阶段</w:t>
      </w:r>
      <w:r>
        <w:rPr>
          <w:rFonts w:hint="eastAsia" w:ascii="宋体" w:hAnsi="宋体" w:eastAsia="宋体" w:cs="宋体"/>
          <w:sz w:val="10"/>
        </w:rPr>
        <w:t>，</w:t>
      </w:r>
      <w:r>
        <w:rPr>
          <w:rFonts w:hint="eastAsia" w:ascii="宋体" w:hAnsi="宋体" w:eastAsia="宋体" w:cs="宋体"/>
          <w:sz w:val="24"/>
        </w:rPr>
        <w:t>信息化的重点是交易通道的畅通和系统的稳定</w:t>
      </w:r>
      <w:r>
        <w:rPr>
          <w:rFonts w:hint="eastAsia" w:ascii="宋体" w:hAnsi="宋体" w:eastAsia="宋体" w:cs="宋体"/>
          <w:sz w:val="10"/>
        </w:rPr>
        <w:t>，</w:t>
      </w:r>
      <w:r>
        <w:rPr>
          <w:rFonts w:hint="eastAsia" w:ascii="宋体" w:hAnsi="宋体" w:eastAsia="宋体" w:cs="宋体"/>
          <w:sz w:val="24"/>
        </w:rPr>
        <w:t>因而在服务器</w:t>
      </w:r>
      <w:r>
        <w:rPr>
          <w:rFonts w:hint="eastAsia" w:ascii="宋体" w:hAnsi="宋体" w:eastAsia="宋体" w:cs="宋体"/>
          <w:sz w:val="10"/>
        </w:rPr>
        <w:t>、</w:t>
      </w:r>
      <w:r>
        <w:rPr>
          <w:rFonts w:hint="eastAsia" w:ascii="宋体" w:hAnsi="宋体" w:eastAsia="宋体" w:cs="宋体"/>
          <w:sz w:val="24"/>
        </w:rPr>
        <w:t>软件升级和网络设备上进行了大量的投入</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集中交易系统在容量与稳定性上已能较好地应对市场的需要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在流程整合及优化升级阶段</w:t>
      </w:r>
      <w:r>
        <w:rPr>
          <w:rFonts w:hint="eastAsia" w:ascii="宋体" w:hAnsi="宋体" w:eastAsia="宋体" w:cs="宋体"/>
          <w:sz w:val="10"/>
        </w:rPr>
        <w:t>，</w:t>
      </w:r>
      <w:r>
        <w:rPr>
          <w:rFonts w:hint="eastAsia" w:ascii="宋体" w:hAnsi="宋体" w:eastAsia="宋体" w:cs="宋体"/>
          <w:sz w:val="24"/>
        </w:rPr>
        <w:t>证券业信息化的工作重点将转向客户关系管理系统</w:t>
      </w:r>
      <w:r>
        <w:rPr>
          <w:rFonts w:hint="eastAsia" w:ascii="宋体" w:hAnsi="宋体" w:eastAsia="宋体" w:cs="宋体"/>
          <w:sz w:val="10"/>
        </w:rPr>
        <w:t>、</w:t>
      </w:r>
      <w:r>
        <w:rPr>
          <w:rFonts w:hint="eastAsia" w:ascii="宋体" w:hAnsi="宋体" w:eastAsia="宋体" w:cs="宋体"/>
          <w:sz w:val="24"/>
        </w:rPr>
        <w:t>营销服务管理系统</w:t>
      </w:r>
      <w:r>
        <w:rPr>
          <w:rFonts w:hint="eastAsia" w:ascii="宋体" w:hAnsi="宋体" w:eastAsia="宋体" w:cs="宋体"/>
          <w:sz w:val="10"/>
        </w:rPr>
        <w:t>、</w:t>
      </w:r>
      <w:r>
        <w:rPr>
          <w:rFonts w:hint="eastAsia" w:ascii="宋体" w:hAnsi="宋体" w:eastAsia="宋体" w:cs="宋体"/>
          <w:sz w:val="24"/>
        </w:rPr>
        <w:t>客户分级分类服务</w:t>
      </w:r>
      <w:r>
        <w:rPr>
          <w:rFonts w:hint="eastAsia" w:ascii="宋体" w:hAnsi="宋体" w:eastAsia="宋体" w:cs="宋体"/>
          <w:sz w:val="10"/>
        </w:rPr>
        <w:t>、</w:t>
      </w:r>
      <w:r>
        <w:rPr>
          <w:rFonts w:hint="eastAsia" w:ascii="宋体" w:hAnsi="宋体" w:eastAsia="宋体" w:cs="宋体"/>
          <w:sz w:val="24"/>
        </w:rPr>
        <w:t>适当性管理</w:t>
      </w:r>
      <w:r>
        <w:rPr>
          <w:rFonts w:hint="eastAsia" w:ascii="宋体" w:hAnsi="宋体" w:eastAsia="宋体" w:cs="宋体"/>
          <w:sz w:val="10"/>
        </w:rPr>
        <w:t>、</w:t>
      </w:r>
      <w:r>
        <w:rPr>
          <w:rFonts w:hint="eastAsia" w:ascii="宋体" w:hAnsi="宋体" w:eastAsia="宋体" w:cs="宋体"/>
          <w:sz w:val="24"/>
        </w:rPr>
        <w:t>创新业务支持系统</w:t>
      </w:r>
      <w:r>
        <w:rPr>
          <w:rFonts w:hint="eastAsia" w:ascii="宋体" w:hAnsi="宋体" w:eastAsia="宋体" w:cs="宋体"/>
          <w:sz w:val="10"/>
        </w:rPr>
        <w:t>、</w:t>
      </w:r>
      <w:r>
        <w:rPr>
          <w:rFonts w:hint="eastAsia" w:ascii="宋体" w:hAnsi="宋体" w:eastAsia="宋体" w:cs="宋体"/>
          <w:sz w:val="24"/>
        </w:rPr>
        <w:t>后台精细化管理系统和基于</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应用架构的系统整合等方面</w:t>
      </w:r>
      <w:r>
        <w:rPr>
          <w:rFonts w:hint="eastAsia" w:ascii="宋体" w:hAnsi="宋体" w:eastAsia="宋体" w:cs="宋体"/>
          <w:sz w:val="10"/>
        </w:rPr>
        <w:t>，</w:t>
      </w:r>
      <w:r>
        <w:rPr>
          <w:rFonts w:hint="eastAsia" w:ascii="宋体" w:hAnsi="宋体" w:eastAsia="宋体" w:cs="宋体"/>
          <w:sz w:val="24"/>
        </w:rPr>
        <w:t>该阶段在软件和技术服务方面的投入将快速增长</w:t>
      </w:r>
      <w:r>
        <w:rPr>
          <w:rFonts w:hint="eastAsia" w:ascii="宋体" w:hAnsi="宋体" w:eastAsia="宋体" w:cs="宋体"/>
          <w:sz w:val="10"/>
        </w:rPr>
        <w:t>。</w:t>
      </w:r>
      <w:r>
        <w:rPr>
          <w:rFonts w:hint="eastAsia" w:ascii="宋体" w:hAnsi="宋体" w:eastAsia="宋体" w:cs="宋体"/>
          <w:sz w:val="24"/>
        </w:rPr>
        <w:t>随着我国证券业信息化水平的提高</w:t>
      </w:r>
      <w:r>
        <w:rPr>
          <w:rFonts w:hint="eastAsia" w:ascii="宋体" w:hAnsi="宋体" w:eastAsia="宋体" w:cs="宋体"/>
          <w:sz w:val="10"/>
        </w:rPr>
        <w:t>，</w:t>
      </w:r>
      <w:r>
        <w:rPr>
          <w:rFonts w:hint="eastAsia" w:ascii="宋体" w:hAnsi="宋体" w:eastAsia="宋体" w:cs="宋体"/>
          <w:sz w:val="24"/>
        </w:rPr>
        <w:t>预计软件和服务投入占信息化总投入的比重将呈现上升的趋势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⑥证券公司业务结构的变化</w:t>
      </w:r>
      <w:r>
        <w:rPr>
          <w:rFonts w:hint="eastAsia" w:ascii="宋体" w:hAnsi="宋体" w:eastAsia="宋体" w:cs="宋体"/>
          <w:sz w:val="10"/>
        </w:rPr>
        <w:t>、</w:t>
      </w:r>
      <w:r>
        <w:rPr>
          <w:rFonts w:hint="eastAsia" w:ascii="宋体" w:hAnsi="宋体" w:eastAsia="宋体" w:cs="宋体"/>
          <w:sz w:val="24"/>
        </w:rPr>
        <w:t>业务实现手段的更新</w:t>
      </w:r>
      <w:r>
        <w:rPr>
          <w:rFonts w:hint="eastAsia" w:ascii="宋体" w:hAnsi="宋体" w:eastAsia="宋体" w:cs="宋体"/>
          <w:sz w:val="10"/>
        </w:rPr>
        <w:t>、</w:t>
      </w:r>
      <w:r>
        <w:rPr>
          <w:rFonts w:hint="eastAsia" w:ascii="宋体" w:hAnsi="宋体" w:eastAsia="宋体" w:cs="宋体"/>
          <w:sz w:val="24"/>
        </w:rPr>
        <w:t>创新业务的发展和行业监管模式的变革将提升证券公司信息化方面的投入</w:t>
      </w:r>
    </w:p>
    <w:p>
      <w:pPr>
        <w:spacing w:line="200" w:lineRule="exact"/>
        <w:rPr>
          <w:rFonts w:hint="eastAsia" w:ascii="宋体" w:hAnsi="宋体" w:eastAsia="宋体" w:cs="宋体"/>
          <w:sz w:val="20"/>
        </w:rPr>
      </w:pPr>
    </w:p>
    <w:p>
      <w:pPr>
        <w:autoSpaceDE w:val="false"/>
        <w:autoSpaceDN w:val="false"/>
        <w:spacing w:line="440" w:lineRule="exact"/>
        <w:ind w:left="1800" w:right="1580" w:firstLine="480"/>
        <w:jc w:val="both"/>
      </w:pPr>
      <w:r>
        <w:rPr>
          <w:rFonts w:hint="eastAsia" w:ascii="宋体" w:hAnsi="宋体" w:eastAsia="宋体" w:cs="宋体"/>
          <w:sz w:val="24"/>
        </w:rPr>
        <w:t>在业务结构方面</w:t>
      </w:r>
      <w:r>
        <w:rPr>
          <w:rFonts w:hint="eastAsia" w:ascii="宋体" w:hAnsi="宋体" w:eastAsia="宋体" w:cs="宋体"/>
          <w:sz w:val="10"/>
        </w:rPr>
        <w:t>，</w:t>
      </w:r>
      <w:r>
        <w:rPr>
          <w:rFonts w:hint="eastAsia" w:ascii="宋体" w:hAnsi="宋体" w:eastAsia="宋体" w:cs="宋体"/>
          <w:sz w:val="24"/>
        </w:rPr>
        <w:t>证券公司的业务一般包括经纪业务（即</w:t>
      </w:r>
      <w:r>
        <w:rPr>
          <w:rFonts w:hint="eastAsia" w:ascii="宋体" w:hAnsi="宋体" w:eastAsia="宋体" w:cs="宋体"/>
          <w:sz w:val="12"/>
        </w:rPr>
        <w:t>：</w:t>
      </w:r>
      <w:r>
        <w:rPr>
          <w:rFonts w:hint="eastAsia" w:ascii="宋体" w:hAnsi="宋体" w:eastAsia="宋体" w:cs="宋体"/>
          <w:sz w:val="24"/>
        </w:rPr>
        <w:t>代理买卖证券业务）、</w:t>
      </w:r>
      <w:r>
        <w:rPr>
          <w:rFonts w:hint="eastAsia" w:ascii="宋体" w:hAnsi="宋体" w:eastAsia="宋体" w:cs="宋体"/>
          <w:sz w:val="24"/>
        </w:rPr>
        <w:t>投资银行业务</w:t>
      </w:r>
      <w:r>
        <w:rPr>
          <w:rFonts w:hint="eastAsia" w:ascii="宋体" w:hAnsi="宋体" w:eastAsia="宋体" w:cs="宋体"/>
          <w:sz w:val="10"/>
        </w:rPr>
        <w:t>、</w:t>
      </w:r>
      <w:r>
        <w:rPr>
          <w:rFonts w:hint="eastAsia" w:ascii="宋体" w:hAnsi="宋体" w:eastAsia="宋体" w:cs="宋体"/>
          <w:sz w:val="24"/>
        </w:rPr>
        <w:t>资产管理业务</w:t>
      </w:r>
      <w:r>
        <w:rPr>
          <w:rFonts w:hint="eastAsia" w:ascii="宋体" w:hAnsi="宋体" w:eastAsia="宋体" w:cs="宋体"/>
          <w:sz w:val="10"/>
        </w:rPr>
        <w:t>、</w:t>
      </w:r>
      <w:r>
        <w:rPr>
          <w:rFonts w:hint="eastAsia" w:ascii="宋体" w:hAnsi="宋体" w:eastAsia="宋体" w:cs="宋体"/>
          <w:sz w:val="24"/>
        </w:rPr>
        <w:t>自营业务等</w:t>
      </w:r>
      <w:r>
        <w:rPr>
          <w:rFonts w:hint="eastAsia" w:ascii="宋体" w:hAnsi="宋体" w:eastAsia="宋体" w:cs="宋体"/>
          <w:sz w:val="10"/>
        </w:rPr>
        <w:t>。</w:t>
      </w:r>
      <w:r>
        <w:rPr>
          <w:rFonts w:hint="eastAsia" w:ascii="宋体" w:hAnsi="宋体" w:eastAsia="宋体" w:cs="宋体"/>
          <w:sz w:val="24"/>
        </w:rPr>
        <w:t>就业务收入结构而言</w:t>
      </w:r>
      <w:r>
        <w:rPr>
          <w:rFonts w:hint="eastAsia" w:ascii="宋体" w:hAnsi="宋体" w:eastAsia="宋体" w:cs="宋体"/>
          <w:sz w:val="10"/>
        </w:rPr>
        <w:t>，</w:t>
      </w:r>
      <w:r>
        <w:rPr>
          <w:rFonts w:hint="eastAsia" w:ascii="宋体" w:hAnsi="宋体" w:eastAsia="宋体" w:cs="宋体"/>
          <w:sz w:val="24"/>
        </w:rPr>
        <w:t>证券公司经纪业务收入占总收入的比重逐步下降</w:t>
      </w:r>
      <w:r>
        <w:rPr>
          <w:rFonts w:hint="eastAsia" w:ascii="宋体" w:hAnsi="宋体" w:eastAsia="宋体" w:cs="宋体"/>
          <w:sz w:val="10"/>
        </w:rPr>
        <w:t>，</w:t>
      </w:r>
      <w:r>
        <w:rPr>
          <w:rFonts w:hint="eastAsia" w:ascii="宋体" w:hAnsi="宋体" w:eastAsia="宋体" w:cs="宋体"/>
          <w:sz w:val="24"/>
        </w:rPr>
        <w:t>由</w:t>
      </w:r>
      <w:r>
        <w:rPr>
          <w:rFonts w:hint="eastAsia" w:ascii="Times New Roman" w:hAnsi="Times New Roman" w:eastAsia="Times New Roman" w:cs="Times New Roman"/>
          <w:sz w:val="24"/>
        </w:rPr>
        <w:t xml:space="preserve"> 2011</w:t>
      </w:r>
      <w:r>
        <w:rPr>
          <w:rFonts w:hint="eastAsia" w:ascii="宋体" w:hAnsi="宋体" w:eastAsia="宋体" w:cs="宋体"/>
          <w:sz w:val="24"/>
        </w:rPr>
        <w:t xml:space="preserve"> 年的</w:t>
      </w:r>
      <w:r>
        <w:rPr>
          <w:rFonts w:hint="eastAsia" w:ascii="Times New Roman" w:hAnsi="Times New Roman" w:eastAsia="Times New Roman" w:cs="Times New Roman"/>
          <w:sz w:val="24"/>
        </w:rPr>
        <w:t xml:space="preserve"> 50.67%</w:t>
      </w:r>
      <w:r>
        <w:rPr>
          <w:rFonts w:hint="eastAsia" w:ascii="宋体" w:hAnsi="宋体" w:eastAsia="宋体" w:cs="宋体"/>
          <w:sz w:val="24"/>
        </w:rPr>
        <w:t>下降为</w:t>
      </w:r>
      <w:r>
        <w:rPr>
          <w:rFonts w:hint="eastAsia" w:ascii="Times New Roman" w:hAnsi="Times New Roman" w:eastAsia="Times New Roman" w:cs="Times New Roman"/>
          <w:sz w:val="24"/>
        </w:rPr>
        <w:t xml:space="preserve"> 2014</w:t>
      </w:r>
      <w:r>
        <w:rPr>
          <w:rFonts w:hint="eastAsia" w:ascii="宋体" w:hAnsi="宋体" w:eastAsia="宋体" w:cs="宋体"/>
          <w:sz w:val="24"/>
        </w:rPr>
        <w:t>年的</w:t>
      </w:r>
      <w:r>
        <w:rPr>
          <w:rFonts w:hint="eastAsia" w:ascii="Times New Roman" w:hAnsi="Times New Roman" w:eastAsia="Times New Roman" w:cs="Times New Roman"/>
          <w:sz w:val="24"/>
        </w:rPr>
        <w:t xml:space="preserve"> 40.32%</w:t>
      </w:r>
      <w:r>
        <w:rPr>
          <w:rFonts w:hint="eastAsia" w:ascii="宋体" w:hAnsi="宋体" w:eastAsia="宋体" w:cs="宋体"/>
          <w:sz w:val="24"/>
        </w:rPr>
        <w:t>（数据来源</w:t>
      </w:r>
      <w:r>
        <w:rPr>
          <w:rFonts w:hint="eastAsia" w:ascii="宋体" w:hAnsi="宋体" w:eastAsia="宋体" w:cs="宋体"/>
          <w:sz w:val="10"/>
        </w:rPr>
        <w:t>：</w:t>
      </w:r>
      <w:r>
        <w:rPr>
          <w:rFonts w:hint="eastAsia" w:ascii="宋体" w:hAnsi="宋体" w:eastAsia="宋体" w:cs="宋体"/>
          <w:sz w:val="24"/>
        </w:rPr>
        <w:t>中国证券业协会公布数据）。</w:t>
      </w:r>
      <w:r>
        <w:rPr>
          <w:rFonts w:hint="eastAsia" w:ascii="宋体" w:hAnsi="宋体" w:eastAsia="宋体" w:cs="宋体"/>
          <w:sz w:val="24"/>
        </w:rPr>
        <w:t>作为以提供证券服务为主的中介机构</w:t>
      </w:r>
      <w:r>
        <w:rPr>
          <w:rFonts w:hint="eastAsia" w:ascii="宋体" w:hAnsi="宋体" w:eastAsia="宋体" w:cs="宋体"/>
          <w:sz w:val="10"/>
        </w:rPr>
        <w:t>，</w:t>
      </w:r>
      <w:r>
        <w:rPr>
          <w:rFonts w:hint="eastAsia" w:ascii="宋体" w:hAnsi="宋体" w:eastAsia="宋体" w:cs="宋体"/>
          <w:sz w:val="24"/>
        </w:rPr>
        <w:t>证券公司处于</w:t>
      </w:r>
      <w:r>
        <w:rPr>
          <w:rFonts w:hint="eastAsia" w:ascii="宋体" w:hAnsi="宋体" w:eastAsia="宋体" w:cs="宋体"/>
          <w:sz w:val="10"/>
        </w:rPr>
        <w:t>“</w:t>
      </w:r>
      <w:r>
        <w:rPr>
          <w:rFonts w:hint="eastAsia" w:ascii="宋体" w:hAnsi="宋体" w:eastAsia="宋体" w:cs="宋体"/>
          <w:sz w:val="24"/>
        </w:rPr>
        <w:t>卖方</w:t>
      </w:r>
      <w:r>
        <w:rPr>
          <w:rFonts w:hint="eastAsia" w:ascii="宋体" w:hAnsi="宋体" w:eastAsia="宋体" w:cs="宋体"/>
          <w:sz w:val="10"/>
        </w:rPr>
        <w:t>”</w:t>
      </w:r>
      <w:r>
        <w:rPr>
          <w:rFonts w:hint="eastAsia" w:ascii="宋体" w:hAnsi="宋体" w:eastAsia="宋体" w:cs="宋体"/>
          <w:sz w:val="24"/>
        </w:rPr>
        <w:t>的角色要求其提供多样化的产品和服务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随着证监会制定《证券公司业务（产品）创新工作指引（试行）》，</w:t>
      </w:r>
      <w:r>
        <w:rPr>
          <w:rFonts w:hint="eastAsia" w:ascii="宋体" w:hAnsi="宋体" w:eastAsia="宋体" w:cs="宋体"/>
          <w:sz w:val="24"/>
        </w:rPr>
        <w:t>发布《关于推进证券公司改革开放</w:t>
      </w:r>
      <w:r>
        <w:rPr>
          <w:rFonts w:hint="eastAsia" w:ascii="宋体" w:hAnsi="宋体" w:eastAsia="宋体" w:cs="宋体"/>
          <w:sz w:val="10"/>
        </w:rPr>
        <w:t>、</w:t>
      </w:r>
      <w:r>
        <w:rPr>
          <w:rFonts w:hint="eastAsia" w:ascii="宋体" w:hAnsi="宋体" w:eastAsia="宋体" w:cs="宋体"/>
          <w:sz w:val="24"/>
        </w:rPr>
        <w:t>创新发展的思路与措施》（征求意见稿），</w:t>
      </w:r>
      <w:r>
        <w:rPr>
          <w:rFonts w:hint="eastAsia" w:ascii="宋体" w:hAnsi="宋体" w:eastAsia="宋体" w:cs="宋体"/>
          <w:sz w:val="24"/>
        </w:rPr>
        <w:t>未来我国证券公司各类创新业务</w:t>
      </w:r>
      <w:r>
        <w:rPr>
          <w:rFonts w:hint="eastAsia" w:ascii="宋体" w:hAnsi="宋体" w:eastAsia="宋体" w:cs="宋体"/>
          <w:sz w:val="10"/>
        </w:rPr>
        <w:t>、</w:t>
      </w:r>
      <w:r>
        <w:rPr>
          <w:rFonts w:hint="eastAsia" w:ascii="宋体" w:hAnsi="宋体" w:eastAsia="宋体" w:cs="宋体"/>
          <w:sz w:val="24"/>
        </w:rPr>
        <w:t>资产管理等业务的收入比重将不断增长</w:t>
      </w:r>
      <w:r>
        <w:rPr>
          <w:rFonts w:hint="eastAsia" w:ascii="宋体" w:hAnsi="宋体" w:eastAsia="宋体" w:cs="宋体"/>
          <w:sz w:val="10"/>
        </w:rPr>
        <w:t>。</w:t>
      </w:r>
      <w:r>
        <w:rPr>
          <w:rFonts w:hint="eastAsia" w:ascii="宋体" w:hAnsi="宋体" w:eastAsia="宋体" w:cs="宋体"/>
          <w:sz w:val="24"/>
        </w:rPr>
        <w:t>以客户为导向整合这些业务不仅仅要求有统一的前台业务界面</w:t>
      </w:r>
      <w:r>
        <w:rPr>
          <w:rFonts w:hint="eastAsia" w:ascii="宋体" w:hAnsi="宋体" w:eastAsia="宋体" w:cs="宋体"/>
          <w:sz w:val="10"/>
        </w:rPr>
        <w:t>，</w:t>
      </w:r>
      <w:r>
        <w:rPr>
          <w:rFonts w:hint="eastAsia" w:ascii="宋体" w:hAnsi="宋体" w:eastAsia="宋体" w:cs="宋体"/>
          <w:sz w:val="24"/>
        </w:rPr>
        <w:t>还需要实现客户的统一视图管理</w:t>
      </w:r>
      <w:r>
        <w:rPr>
          <w:rFonts w:hint="eastAsia" w:ascii="宋体" w:hAnsi="宋体" w:eastAsia="宋体" w:cs="宋体"/>
          <w:sz w:val="10"/>
        </w:rPr>
        <w:t>、</w:t>
      </w:r>
      <w:r>
        <w:rPr>
          <w:rFonts w:hint="eastAsia" w:ascii="宋体" w:hAnsi="宋体" w:eastAsia="宋体" w:cs="宋体"/>
          <w:sz w:val="24"/>
        </w:rPr>
        <w:t>统一业务流程管理的营销服务激励机制</w:t>
      </w:r>
      <w:r>
        <w:rPr>
          <w:rFonts w:hint="eastAsia" w:ascii="宋体" w:hAnsi="宋体" w:eastAsia="宋体" w:cs="宋体"/>
          <w:sz w:val="10"/>
        </w:rPr>
        <w:t>，</w:t>
      </w:r>
      <w:r>
        <w:rPr>
          <w:rFonts w:hint="eastAsia" w:ascii="宋体" w:hAnsi="宋体" w:eastAsia="宋体" w:cs="宋体"/>
          <w:sz w:val="24"/>
        </w:rPr>
        <w:t>以及高度灵活的一体化信息系统来整合分散在各业务领域的资源</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1-1-108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在业务实现手段方面</w:t>
      </w:r>
      <w:r>
        <w:rPr>
          <w:rFonts w:hint="eastAsia" w:ascii="宋体" w:hAnsi="宋体" w:eastAsia="宋体" w:cs="宋体"/>
          <w:sz w:val="10"/>
        </w:rPr>
        <w:t>，</w:t>
      </w:r>
      <w:r>
        <w:rPr>
          <w:rFonts w:hint="eastAsia" w:ascii="宋体" w:hAnsi="宋体" w:eastAsia="宋体" w:cs="宋体"/>
          <w:sz w:val="24"/>
        </w:rPr>
        <w:t>互联网化应用</w:t>
      </w:r>
      <w:r>
        <w:rPr>
          <w:rFonts w:hint="eastAsia" w:ascii="宋体" w:hAnsi="宋体" w:eastAsia="宋体" w:cs="宋体"/>
          <w:sz w:val="10"/>
        </w:rPr>
        <w:t>、</w:t>
      </w:r>
      <w:r>
        <w:rPr>
          <w:rFonts w:hint="eastAsia" w:ascii="宋体" w:hAnsi="宋体" w:eastAsia="宋体" w:cs="宋体"/>
          <w:sz w:val="24"/>
        </w:rPr>
        <w:t>呼叫中心（</w:t>
      </w:r>
      <w:r>
        <w:rPr>
          <w:rFonts w:hint="eastAsia" w:ascii="Times New Roman" w:hAnsi="Times New Roman" w:eastAsia="Times New Roman" w:cs="Times New Roman"/>
          <w:sz w:val="24"/>
        </w:rPr>
        <w:t>Call Center</w:t>
      </w:r>
      <w:r>
        <w:rPr>
          <w:rFonts w:hint="eastAsia" w:ascii="宋体" w:hAnsi="宋体" w:eastAsia="宋体" w:cs="宋体"/>
          <w:sz w:val="24"/>
        </w:rPr>
        <w:t>）、</w:t>
      </w:r>
      <w:r>
        <w:rPr>
          <w:rFonts w:hint="eastAsia" w:ascii="宋体" w:hAnsi="宋体" w:eastAsia="宋体" w:cs="宋体"/>
          <w:sz w:val="24"/>
        </w:rPr>
        <w:t>移动智能终端等渠道已经得到了广泛的应用</w:t>
      </w:r>
      <w:r>
        <w:rPr>
          <w:rFonts w:hint="eastAsia" w:ascii="宋体" w:hAnsi="宋体" w:eastAsia="宋体" w:cs="宋体"/>
          <w:sz w:val="10"/>
        </w:rPr>
        <w:t>。</w:t>
      </w:r>
      <w:r>
        <w:rPr>
          <w:rFonts w:hint="eastAsia" w:ascii="宋体" w:hAnsi="宋体" w:eastAsia="宋体" w:cs="宋体"/>
          <w:sz w:val="24"/>
        </w:rPr>
        <w:t>以往每一种渠道都建立一套独立的渠道应用平台</w:t>
      </w:r>
      <w:r>
        <w:rPr>
          <w:rFonts w:hint="eastAsia" w:ascii="宋体" w:hAnsi="宋体" w:eastAsia="宋体" w:cs="宋体"/>
          <w:sz w:val="10"/>
        </w:rPr>
        <w:t>，</w:t>
      </w:r>
      <w:r>
        <w:rPr>
          <w:rFonts w:hint="eastAsia" w:ascii="宋体" w:hAnsi="宋体" w:eastAsia="宋体" w:cs="宋体"/>
          <w:sz w:val="24"/>
        </w:rPr>
        <w:t>为了满足以客户为中心的商业模式转型</w:t>
      </w:r>
      <w:r>
        <w:rPr>
          <w:rFonts w:hint="eastAsia" w:ascii="宋体" w:hAnsi="宋体" w:eastAsia="宋体" w:cs="宋体"/>
          <w:sz w:val="10"/>
        </w:rPr>
        <w:t>，</w:t>
      </w:r>
      <w:r>
        <w:rPr>
          <w:rFonts w:hint="eastAsia" w:ascii="宋体" w:hAnsi="宋体" w:eastAsia="宋体" w:cs="宋体"/>
          <w:sz w:val="24"/>
        </w:rPr>
        <w:t>证券公司将利用</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技术实现客户应用交互体验的一体化整合</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在创新业务发展方面</w:t>
      </w:r>
      <w:r>
        <w:rPr>
          <w:rFonts w:hint="eastAsia" w:ascii="宋体" w:hAnsi="宋体" w:eastAsia="宋体" w:cs="宋体"/>
          <w:sz w:val="10"/>
        </w:rPr>
        <w:t>，</w:t>
      </w:r>
      <w:r>
        <w:rPr>
          <w:rFonts w:hint="eastAsia" w:ascii="宋体" w:hAnsi="宋体" w:eastAsia="宋体" w:cs="宋体"/>
          <w:sz w:val="24"/>
        </w:rPr>
        <w:t>近年来</w:t>
      </w:r>
      <w:r>
        <w:rPr>
          <w:rFonts w:hint="eastAsia" w:ascii="宋体" w:hAnsi="宋体" w:eastAsia="宋体" w:cs="宋体"/>
          <w:sz w:val="10"/>
        </w:rPr>
        <w:t>，</w:t>
      </w:r>
      <w:r>
        <w:rPr>
          <w:rFonts w:hint="eastAsia" w:ascii="宋体" w:hAnsi="宋体" w:eastAsia="宋体" w:cs="宋体"/>
          <w:sz w:val="24"/>
        </w:rPr>
        <w:t>国内证券公司先后推出了互联网证券业务</w:t>
      </w:r>
      <w:r>
        <w:rPr>
          <w:rFonts w:hint="eastAsia" w:ascii="宋体" w:hAnsi="宋体" w:eastAsia="宋体" w:cs="宋体"/>
          <w:sz w:val="10"/>
        </w:rPr>
        <w:t>、</w:t>
      </w:r>
      <w:r>
        <w:rPr>
          <w:rFonts w:hint="eastAsia" w:ascii="宋体" w:hAnsi="宋体" w:eastAsia="宋体" w:cs="宋体"/>
          <w:sz w:val="24"/>
        </w:rPr>
        <w:t>沪港通</w:t>
      </w:r>
      <w:r>
        <w:rPr>
          <w:rFonts w:hint="eastAsia" w:ascii="宋体" w:hAnsi="宋体" w:eastAsia="宋体" w:cs="宋体"/>
          <w:sz w:val="10"/>
        </w:rPr>
        <w:t>、</w:t>
      </w:r>
      <w:r>
        <w:rPr>
          <w:rFonts w:hint="eastAsia" w:ascii="宋体" w:hAnsi="宋体" w:eastAsia="宋体" w:cs="宋体"/>
          <w:sz w:val="24"/>
        </w:rPr>
        <w:t>转融通</w:t>
      </w:r>
      <w:r>
        <w:rPr>
          <w:rFonts w:hint="eastAsia" w:ascii="宋体" w:hAnsi="宋体" w:eastAsia="宋体" w:cs="宋体"/>
          <w:sz w:val="10"/>
        </w:rPr>
        <w:t>、</w:t>
      </w:r>
      <w:r>
        <w:rPr>
          <w:rFonts w:hint="eastAsia" w:ascii="宋体" w:hAnsi="宋体" w:eastAsia="宋体" w:cs="宋体"/>
          <w:sz w:val="24"/>
        </w:rPr>
        <w:t>约定购回式证券交易</w:t>
      </w:r>
      <w:r>
        <w:rPr>
          <w:rFonts w:hint="eastAsia" w:ascii="宋体" w:hAnsi="宋体" w:eastAsia="宋体" w:cs="宋体"/>
          <w:sz w:val="10"/>
        </w:rPr>
        <w:t>、</w:t>
      </w:r>
      <w:r>
        <w:rPr>
          <w:rFonts w:hint="eastAsia" w:ascii="宋体" w:hAnsi="宋体" w:eastAsia="宋体" w:cs="宋体"/>
          <w:sz w:val="24"/>
        </w:rPr>
        <w:t>债券质押式报价回购</w:t>
      </w:r>
      <w:r>
        <w:rPr>
          <w:rFonts w:hint="eastAsia" w:ascii="宋体" w:hAnsi="宋体" w:eastAsia="宋体" w:cs="宋体"/>
          <w:sz w:val="10"/>
        </w:rPr>
        <w:t>、</w:t>
      </w:r>
      <w:r>
        <w:rPr>
          <w:rFonts w:hint="eastAsia" w:ascii="Times New Roman" w:hAnsi="Times New Roman" w:eastAsia="Times New Roman" w:cs="Times New Roman"/>
          <w:sz w:val="24"/>
        </w:rPr>
        <w:t>ETF</w:t>
      </w:r>
      <w:r>
        <w:rPr>
          <w:rFonts w:hint="eastAsia" w:ascii="宋体" w:hAnsi="宋体" w:eastAsia="宋体" w:cs="宋体"/>
          <w:sz w:val="24"/>
        </w:rPr>
        <w:t xml:space="preserve"> 创新</w:t>
      </w:r>
      <w:r>
        <w:rPr>
          <w:rFonts w:hint="eastAsia" w:ascii="宋体" w:hAnsi="宋体" w:eastAsia="宋体" w:cs="宋体"/>
          <w:sz w:val="10"/>
        </w:rPr>
        <w:t>、</w:t>
      </w:r>
      <w:r>
        <w:rPr>
          <w:rFonts w:hint="eastAsia" w:ascii="宋体" w:hAnsi="宋体" w:eastAsia="宋体" w:cs="宋体"/>
          <w:sz w:val="24"/>
        </w:rPr>
        <w:t>中小企业私募债</w:t>
      </w:r>
      <w:r>
        <w:rPr>
          <w:rFonts w:hint="eastAsia" w:ascii="宋体" w:hAnsi="宋体" w:eastAsia="宋体" w:cs="宋体"/>
          <w:sz w:val="10"/>
        </w:rPr>
        <w:t>、</w:t>
      </w:r>
      <w:r>
        <w:rPr>
          <w:rFonts w:hint="eastAsia" w:ascii="宋体" w:hAnsi="宋体" w:eastAsia="宋体" w:cs="宋体"/>
          <w:sz w:val="24"/>
        </w:rPr>
        <w:t>代销金融产品</w:t>
      </w:r>
      <w:r>
        <w:rPr>
          <w:rFonts w:hint="eastAsia" w:ascii="宋体" w:hAnsi="宋体" w:eastAsia="宋体" w:cs="宋体"/>
          <w:sz w:val="10"/>
        </w:rPr>
        <w:t>、</w:t>
      </w:r>
      <w:r>
        <w:rPr>
          <w:rFonts w:hint="eastAsia" w:ascii="宋体" w:hAnsi="宋体" w:eastAsia="宋体" w:cs="宋体"/>
          <w:sz w:val="24"/>
        </w:rPr>
        <w:t>股指期货</w:t>
      </w:r>
      <w:r>
        <w:rPr>
          <w:rFonts w:hint="eastAsia" w:ascii="宋体" w:hAnsi="宋体" w:eastAsia="宋体" w:cs="宋体"/>
          <w:sz w:val="10"/>
        </w:rPr>
        <w:t>、</w:t>
      </w:r>
      <w:r>
        <w:rPr>
          <w:rFonts w:hint="eastAsia" w:ascii="宋体" w:hAnsi="宋体" w:eastAsia="宋体" w:cs="宋体"/>
          <w:sz w:val="24"/>
        </w:rPr>
        <w:t>融资融券</w:t>
      </w:r>
      <w:r>
        <w:rPr>
          <w:rFonts w:hint="eastAsia" w:ascii="宋体" w:hAnsi="宋体" w:eastAsia="宋体" w:cs="宋体"/>
          <w:sz w:val="10"/>
        </w:rPr>
        <w:t>、</w:t>
      </w:r>
      <w:r>
        <w:rPr>
          <w:rFonts w:hint="eastAsia" w:ascii="宋体" w:hAnsi="宋体" w:eastAsia="宋体" w:cs="宋体"/>
          <w:sz w:val="24"/>
        </w:rPr>
        <w:t>多银行存管等新业务</w:t>
      </w:r>
      <w:r>
        <w:rPr>
          <w:rFonts w:hint="eastAsia" w:ascii="宋体" w:hAnsi="宋体" w:eastAsia="宋体" w:cs="宋体"/>
          <w:sz w:val="10"/>
        </w:rPr>
        <w:t>。</w:t>
      </w:r>
      <w:r>
        <w:rPr>
          <w:rFonts w:hint="eastAsia" w:ascii="宋体" w:hAnsi="宋体" w:eastAsia="宋体" w:cs="宋体"/>
          <w:sz w:val="24"/>
        </w:rPr>
        <w:t>创新业务的开展离不开相应软件服务平台的支持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在行业监管模式方面</w:t>
      </w:r>
      <w:r>
        <w:rPr>
          <w:rFonts w:hint="eastAsia" w:ascii="宋体" w:hAnsi="宋体" w:eastAsia="宋体" w:cs="宋体"/>
          <w:sz w:val="10"/>
        </w:rPr>
        <w:t>，</w:t>
      </w:r>
      <w:r>
        <w:rPr>
          <w:rFonts w:hint="eastAsia" w:ascii="宋体" w:hAnsi="宋体" w:eastAsia="宋体" w:cs="宋体"/>
          <w:sz w:val="24"/>
        </w:rPr>
        <w:t>以分类监管和客户保证金独立存管为核心的行业监管模式的变革大大提高了证券公司的风险管理意识和治理水平</w:t>
      </w:r>
      <w:r>
        <w:rPr>
          <w:rFonts w:hint="eastAsia" w:ascii="宋体" w:hAnsi="宋体" w:eastAsia="宋体" w:cs="宋体"/>
          <w:sz w:val="10"/>
        </w:rPr>
        <w:t>，</w:t>
      </w:r>
      <w:r>
        <w:rPr>
          <w:rFonts w:hint="eastAsia" w:ascii="宋体" w:hAnsi="宋体" w:eastAsia="宋体" w:cs="宋体"/>
          <w:sz w:val="24"/>
        </w:rPr>
        <w:t>证券公司的合规管理得到强化</w:t>
      </w:r>
      <w:r>
        <w:rPr>
          <w:rFonts w:hint="eastAsia" w:ascii="宋体" w:hAnsi="宋体" w:eastAsia="宋体" w:cs="宋体"/>
          <w:sz w:val="10"/>
        </w:rPr>
        <w:t>。</w:t>
      </w:r>
      <w:r>
        <w:rPr>
          <w:rFonts w:hint="eastAsia" w:ascii="宋体" w:hAnsi="宋体" w:eastAsia="宋体" w:cs="宋体"/>
          <w:sz w:val="24"/>
        </w:rPr>
        <w:t>证券公司的合规管理离不开信息系统的支持</w:t>
      </w:r>
      <w:r>
        <w:rPr>
          <w:rFonts w:hint="eastAsia" w:ascii="宋体" w:hAnsi="宋体" w:eastAsia="宋体" w:cs="宋体"/>
          <w:sz w:val="10"/>
        </w:rPr>
        <w:t>，</w:t>
      </w:r>
      <w:r>
        <w:rPr>
          <w:rFonts w:hint="eastAsia" w:ascii="宋体" w:hAnsi="宋体" w:eastAsia="宋体" w:cs="宋体"/>
          <w:sz w:val="24"/>
        </w:rPr>
        <w:t>相应地给软件系统开发商带来了新的业务机会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⑦证券公司信息化系统建设趋向全业务流程整合（即</w:t>
      </w:r>
      <w:r>
        <w:rPr>
          <w:rFonts w:hint="eastAsia" w:ascii="宋体" w:hAnsi="宋体" w:eastAsia="宋体" w:cs="宋体"/>
          <w:sz w:val="10"/>
        </w:rPr>
        <w:t>“</w:t>
      </w:r>
      <w:r>
        <w:rPr>
          <w:rFonts w:hint="eastAsia" w:ascii="宋体" w:hAnsi="宋体" w:eastAsia="宋体" w:cs="宋体"/>
          <w:sz w:val="24"/>
        </w:rPr>
        <w:t>流程证券公司</w:t>
      </w:r>
      <w:r>
        <w:rPr>
          <w:rFonts w:hint="eastAsia" w:ascii="宋体" w:hAnsi="宋体" w:eastAsia="宋体" w:cs="宋体"/>
          <w:sz w:val="10"/>
        </w:rPr>
        <w:t>”）</w:t>
      </w:r>
      <w:r>
        <w:rPr>
          <w:rFonts w:hint="eastAsia" w:ascii="宋体" w:hAnsi="宋体" w:eastAsia="宋体" w:cs="宋体"/>
          <w:sz w:val="24"/>
        </w:rPr>
        <w:t>化方向发展</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伴随着业务转型和创新</w:t>
      </w:r>
      <w:r>
        <w:rPr>
          <w:rFonts w:hint="eastAsia" w:ascii="宋体" w:hAnsi="宋体" w:eastAsia="宋体" w:cs="宋体"/>
          <w:sz w:val="10"/>
        </w:rPr>
        <w:t>，</w:t>
      </w:r>
      <w:r>
        <w:rPr>
          <w:rFonts w:hint="eastAsia" w:ascii="宋体" w:hAnsi="宋体" w:eastAsia="宋体" w:cs="宋体"/>
          <w:sz w:val="24"/>
        </w:rPr>
        <w:t>证券公司的业务流程将围绕</w:t>
      </w:r>
      <w:r>
        <w:rPr>
          <w:rFonts w:hint="eastAsia" w:ascii="宋体" w:hAnsi="宋体" w:eastAsia="宋体" w:cs="宋体"/>
          <w:sz w:val="10"/>
        </w:rPr>
        <w:t>“</w:t>
      </w:r>
      <w:r>
        <w:rPr>
          <w:rFonts w:hint="eastAsia" w:ascii="宋体" w:hAnsi="宋体" w:eastAsia="宋体" w:cs="宋体"/>
          <w:sz w:val="24"/>
        </w:rPr>
        <w:t>以客户为中心</w:t>
      </w:r>
      <w:r>
        <w:rPr>
          <w:rFonts w:hint="eastAsia" w:ascii="宋体" w:hAnsi="宋体" w:eastAsia="宋体" w:cs="宋体"/>
          <w:sz w:val="10"/>
        </w:rPr>
        <w:t>”</w:t>
      </w:r>
      <w:r>
        <w:rPr>
          <w:rFonts w:hint="eastAsia" w:ascii="宋体" w:hAnsi="宋体" w:eastAsia="宋体" w:cs="宋体"/>
          <w:sz w:val="24"/>
        </w:rPr>
        <w:t>进行重构</w:t>
      </w:r>
      <w:r>
        <w:rPr>
          <w:rFonts w:hint="eastAsia" w:ascii="宋体" w:hAnsi="宋体" w:eastAsia="宋体" w:cs="宋体"/>
          <w:sz w:val="10"/>
        </w:rPr>
        <w:t>。</w:t>
      </w:r>
      <w:r>
        <w:rPr>
          <w:rFonts w:hint="eastAsia" w:ascii="宋体" w:hAnsi="宋体" w:eastAsia="宋体" w:cs="宋体"/>
          <w:sz w:val="24"/>
        </w:rPr>
        <w:t>客户希望获得上市融资</w:t>
      </w:r>
      <w:r>
        <w:rPr>
          <w:rFonts w:hint="eastAsia" w:ascii="宋体" w:hAnsi="宋体" w:eastAsia="宋体" w:cs="宋体"/>
          <w:sz w:val="10"/>
        </w:rPr>
        <w:t>、</w:t>
      </w:r>
      <w:r>
        <w:rPr>
          <w:rFonts w:hint="eastAsia" w:ascii="宋体" w:hAnsi="宋体" w:eastAsia="宋体" w:cs="宋体"/>
          <w:sz w:val="24"/>
        </w:rPr>
        <w:t>财务顾问</w:t>
      </w:r>
      <w:r>
        <w:rPr>
          <w:rFonts w:hint="eastAsia" w:ascii="宋体" w:hAnsi="宋体" w:eastAsia="宋体" w:cs="宋体"/>
          <w:sz w:val="10"/>
        </w:rPr>
        <w:t>、</w:t>
      </w:r>
      <w:r>
        <w:rPr>
          <w:rFonts w:hint="eastAsia" w:ascii="宋体" w:hAnsi="宋体" w:eastAsia="宋体" w:cs="宋体"/>
          <w:sz w:val="24"/>
        </w:rPr>
        <w:t>投资管理</w:t>
      </w:r>
      <w:r>
        <w:rPr>
          <w:rFonts w:hint="eastAsia" w:ascii="宋体" w:hAnsi="宋体" w:eastAsia="宋体" w:cs="宋体"/>
          <w:sz w:val="10"/>
        </w:rPr>
        <w:t>、</w:t>
      </w:r>
      <w:r>
        <w:rPr>
          <w:rFonts w:hint="eastAsia" w:ascii="Times New Roman" w:hAnsi="Times New Roman" w:eastAsia="Times New Roman" w:cs="Times New Roman"/>
          <w:sz w:val="24"/>
        </w:rPr>
        <w:t>PE</w:t>
      </w:r>
      <w:r>
        <w:rPr>
          <w:rFonts w:hint="eastAsia" w:ascii="宋体" w:hAnsi="宋体" w:eastAsia="宋体" w:cs="宋体"/>
          <w:sz w:val="24"/>
        </w:rPr>
        <w:t xml:space="preserve"> 投资等专业服务</w:t>
      </w:r>
      <w:r>
        <w:rPr>
          <w:rFonts w:hint="eastAsia" w:ascii="宋体" w:hAnsi="宋体" w:eastAsia="宋体" w:cs="宋体"/>
          <w:sz w:val="10"/>
        </w:rPr>
        <w:t>，</w:t>
      </w:r>
      <w:r>
        <w:rPr>
          <w:rFonts w:hint="eastAsia" w:ascii="宋体" w:hAnsi="宋体" w:eastAsia="宋体" w:cs="宋体"/>
          <w:sz w:val="24"/>
        </w:rPr>
        <w:t>证券公司相应的营销服务流程必然将围绕客户需求进行整合</w:t>
      </w:r>
      <w:r>
        <w:rPr>
          <w:rFonts w:hint="eastAsia" w:ascii="宋体" w:hAnsi="宋体" w:eastAsia="宋体" w:cs="宋体"/>
          <w:sz w:val="10"/>
        </w:rPr>
        <w:t>。</w:t>
      </w:r>
      <w:r>
        <w:rPr>
          <w:rFonts w:hint="eastAsia" w:ascii="宋体" w:hAnsi="宋体" w:eastAsia="宋体" w:cs="宋体"/>
          <w:sz w:val="24"/>
        </w:rPr>
        <w:t>比如</w:t>
      </w:r>
      <w:r>
        <w:rPr>
          <w:rFonts w:hint="eastAsia" w:ascii="宋体" w:hAnsi="宋体" w:eastAsia="宋体" w:cs="宋体"/>
          <w:sz w:val="10"/>
        </w:rPr>
        <w:t>，</w:t>
      </w:r>
      <w:r>
        <w:rPr>
          <w:rFonts w:hint="eastAsia" w:ascii="宋体" w:hAnsi="宋体" w:eastAsia="宋体" w:cs="宋体"/>
          <w:sz w:val="24"/>
        </w:rPr>
        <w:t>形成统</w:t>
      </w:r>
      <w:r>
        <w:rPr>
          <w:rFonts w:hint="eastAsia" w:ascii="宋体" w:hAnsi="宋体" w:eastAsia="宋体" w:cs="宋体"/>
          <w:sz w:val="10"/>
        </w:rPr>
        <w:t>一</w:t>
      </w:r>
      <w:r>
        <w:rPr>
          <w:rFonts w:hint="eastAsia" w:ascii="宋体" w:hAnsi="宋体" w:eastAsia="宋体" w:cs="宋体"/>
          <w:sz w:val="24"/>
        </w:rPr>
        <w:t>的客户视图</w:t>
      </w:r>
      <w:r>
        <w:rPr>
          <w:rFonts w:hint="eastAsia" w:ascii="宋体" w:hAnsi="宋体" w:eastAsia="宋体" w:cs="宋体"/>
          <w:sz w:val="10"/>
        </w:rPr>
        <w:t>、</w:t>
      </w:r>
      <w:r>
        <w:rPr>
          <w:rFonts w:hint="eastAsia" w:ascii="宋体" w:hAnsi="宋体" w:eastAsia="宋体" w:cs="宋体"/>
          <w:sz w:val="24"/>
        </w:rPr>
        <w:t>客户信息在不同部门之间共享</w:t>
      </w:r>
      <w:r>
        <w:rPr>
          <w:rFonts w:hint="eastAsia" w:ascii="宋体" w:hAnsi="宋体" w:eastAsia="宋体" w:cs="宋体"/>
          <w:sz w:val="10"/>
        </w:rPr>
        <w:t>、</w:t>
      </w:r>
      <w:r>
        <w:rPr>
          <w:rFonts w:hint="eastAsia" w:ascii="宋体" w:hAnsi="宋体" w:eastAsia="宋体" w:cs="宋体"/>
          <w:sz w:val="24"/>
        </w:rPr>
        <w:t>快速响应客户的综合需求</w:t>
      </w:r>
      <w:r>
        <w:rPr>
          <w:rFonts w:hint="eastAsia" w:ascii="宋体" w:hAnsi="宋体" w:eastAsia="宋体" w:cs="宋体"/>
          <w:sz w:val="10"/>
        </w:rPr>
        <w:t>，</w:t>
      </w:r>
      <w:r>
        <w:rPr>
          <w:rFonts w:hint="eastAsia" w:ascii="宋体" w:hAnsi="宋体" w:eastAsia="宋体" w:cs="宋体"/>
          <w:sz w:val="24"/>
        </w:rPr>
        <w:t>都需要</w:t>
      </w:r>
      <w:r>
        <w:rPr>
          <w:rFonts w:hint="eastAsia" w:ascii="Times New Roman" w:hAnsi="Times New Roman" w:eastAsia="Times New Roman" w:cs="Times New Roman"/>
          <w:sz w:val="24"/>
        </w:rPr>
        <w:t xml:space="preserve"> IT</w:t>
      </w:r>
      <w:r>
        <w:rPr>
          <w:rFonts w:hint="eastAsia" w:ascii="宋体" w:hAnsi="宋体" w:eastAsia="宋体" w:cs="宋体"/>
          <w:sz w:val="24"/>
        </w:rPr>
        <w:t>应用系统的支持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但经过持续的投入后</w:t>
      </w:r>
      <w:r>
        <w:rPr>
          <w:rFonts w:hint="eastAsia" w:ascii="宋体" w:hAnsi="宋体" w:eastAsia="宋体" w:cs="宋体"/>
          <w:sz w:val="10"/>
        </w:rPr>
        <w:t>，</w:t>
      </w:r>
      <w:r>
        <w:rPr>
          <w:rFonts w:hint="eastAsia" w:ascii="宋体" w:hAnsi="宋体" w:eastAsia="宋体" w:cs="宋体"/>
          <w:sz w:val="24"/>
        </w:rPr>
        <w:t>目前证券公司存在较多异构性的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w:t>
      </w:r>
      <w:r>
        <w:rPr>
          <w:rFonts w:hint="eastAsia" w:ascii="宋体" w:hAnsi="宋体" w:eastAsia="宋体" w:cs="宋体"/>
          <w:sz w:val="10"/>
        </w:rPr>
        <w:t>。</w:t>
      </w:r>
      <w:r>
        <w:rPr>
          <w:rFonts w:hint="eastAsia" w:ascii="宋体" w:hAnsi="宋体" w:eastAsia="宋体" w:cs="宋体"/>
          <w:sz w:val="24"/>
        </w:rPr>
        <w:t>在多系统</w:t>
      </w:r>
      <w:r>
        <w:rPr>
          <w:rFonts w:hint="eastAsia" w:ascii="宋体" w:hAnsi="宋体" w:eastAsia="宋体" w:cs="宋体"/>
          <w:sz w:val="10"/>
        </w:rPr>
        <w:t>、</w:t>
      </w:r>
      <w:r>
        <w:rPr>
          <w:rFonts w:hint="eastAsia" w:ascii="宋体" w:hAnsi="宋体" w:eastAsia="宋体" w:cs="宋体"/>
          <w:sz w:val="24"/>
        </w:rPr>
        <w:t>差异性</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架构的环境下</w:t>
      </w:r>
      <w:r>
        <w:rPr>
          <w:rFonts w:hint="eastAsia" w:ascii="宋体" w:hAnsi="宋体" w:eastAsia="宋体" w:cs="宋体"/>
          <w:sz w:val="10"/>
        </w:rPr>
        <w:t>，</w:t>
      </w:r>
      <w:r>
        <w:rPr>
          <w:rFonts w:hint="eastAsia" w:ascii="宋体" w:hAnsi="宋体" w:eastAsia="宋体" w:cs="宋体"/>
          <w:sz w:val="24"/>
        </w:rPr>
        <w:t>证券公司各业务部门间的信息系统相互割裂</w:t>
      </w:r>
      <w:r>
        <w:rPr>
          <w:rFonts w:hint="eastAsia" w:ascii="宋体" w:hAnsi="宋体" w:eastAsia="宋体" w:cs="宋体"/>
          <w:sz w:val="10"/>
        </w:rPr>
        <w:t>，</w:t>
      </w:r>
      <w:r>
        <w:rPr>
          <w:rFonts w:hint="eastAsia" w:ascii="宋体" w:hAnsi="宋体" w:eastAsia="宋体" w:cs="宋体"/>
          <w:sz w:val="24"/>
        </w:rPr>
        <w:t>缺乏横向协同</w:t>
      </w:r>
      <w:r>
        <w:rPr>
          <w:rFonts w:hint="eastAsia" w:ascii="宋体" w:hAnsi="宋体" w:eastAsia="宋体" w:cs="宋体"/>
          <w:sz w:val="12"/>
        </w:rPr>
        <w:t>；</w:t>
      </w:r>
      <w:r>
        <w:rPr>
          <w:rFonts w:hint="eastAsia" w:ascii="宋体" w:hAnsi="宋体" w:eastAsia="宋体" w:cs="宋体"/>
          <w:sz w:val="24"/>
        </w:rPr>
        <w:t>另外在</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应用系统方面</w:t>
      </w:r>
      <w:r>
        <w:rPr>
          <w:rFonts w:hint="eastAsia" w:ascii="宋体" w:hAnsi="宋体" w:eastAsia="宋体" w:cs="宋体"/>
          <w:sz w:val="10"/>
        </w:rPr>
        <w:t>，</w:t>
      </w:r>
      <w:r>
        <w:rPr>
          <w:rFonts w:hint="eastAsia" w:ascii="宋体" w:hAnsi="宋体" w:eastAsia="宋体" w:cs="宋体"/>
          <w:sz w:val="24"/>
        </w:rPr>
        <w:t>证券公司部门内的业务信息化系统以业务条块为主线进行建设</w:t>
      </w:r>
      <w:r>
        <w:rPr>
          <w:rFonts w:hint="eastAsia" w:ascii="宋体" w:hAnsi="宋体" w:eastAsia="宋体" w:cs="宋体"/>
          <w:sz w:val="10"/>
        </w:rPr>
        <w:t>，</w:t>
      </w:r>
      <w:r>
        <w:rPr>
          <w:rFonts w:hint="eastAsia" w:ascii="宋体" w:hAnsi="宋体" w:eastAsia="宋体" w:cs="宋体"/>
          <w:sz w:val="24"/>
        </w:rPr>
        <w:t>较少考虑业务的横向管理关系</w:t>
      </w:r>
      <w:r>
        <w:rPr>
          <w:rFonts w:hint="eastAsia" w:ascii="宋体" w:hAnsi="宋体" w:eastAsia="宋体" w:cs="宋体"/>
          <w:sz w:val="10"/>
        </w:rPr>
        <w:t>，</w:t>
      </w:r>
      <w:r>
        <w:rPr>
          <w:rFonts w:hint="eastAsia" w:ascii="宋体" w:hAnsi="宋体" w:eastAsia="宋体" w:cs="宋体"/>
          <w:sz w:val="24"/>
        </w:rPr>
        <w:t>系统间信息共享不畅</w:t>
      </w:r>
      <w:r>
        <w:rPr>
          <w:rFonts w:hint="eastAsia" w:ascii="宋体" w:hAnsi="宋体" w:eastAsia="宋体" w:cs="宋体"/>
          <w:sz w:val="10"/>
        </w:rPr>
        <w:t>，</w:t>
      </w:r>
      <w:r>
        <w:rPr>
          <w:rFonts w:hint="eastAsia" w:ascii="宋体" w:hAnsi="宋体" w:eastAsia="宋体" w:cs="宋体"/>
          <w:sz w:val="24"/>
        </w:rPr>
        <w:t>存在信息</w:t>
      </w:r>
      <w:r>
        <w:rPr>
          <w:rFonts w:hint="eastAsia" w:ascii="宋体" w:hAnsi="宋体" w:eastAsia="宋体" w:cs="宋体"/>
          <w:sz w:val="10"/>
        </w:rPr>
        <w:t>“</w:t>
      </w:r>
      <w:r>
        <w:rPr>
          <w:rFonts w:hint="eastAsia" w:ascii="宋体" w:hAnsi="宋体" w:eastAsia="宋体" w:cs="宋体"/>
          <w:sz w:val="24"/>
        </w:rPr>
        <w:t>孤岛</w:t>
      </w:r>
      <w:r>
        <w:rPr>
          <w:rFonts w:hint="eastAsia" w:ascii="宋体" w:hAnsi="宋体" w:eastAsia="宋体" w:cs="宋体"/>
          <w:sz w:val="10"/>
        </w:rPr>
        <w:t>”</w:t>
      </w:r>
      <w:r>
        <w:rPr>
          <w:rFonts w:hint="eastAsia" w:ascii="宋体" w:hAnsi="宋体" w:eastAsia="宋体" w:cs="宋体"/>
          <w:sz w:val="24"/>
        </w:rPr>
        <w:t>现象</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未来证券公司</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系统的整合将从业务部门和企业两个层面进行流程化整合</w:t>
      </w:r>
      <w:r>
        <w:rPr>
          <w:rFonts w:hint="eastAsia" w:ascii="宋体" w:hAnsi="宋体" w:eastAsia="宋体" w:cs="宋体"/>
          <w:sz w:val="10"/>
        </w:rPr>
        <w:t>，</w:t>
      </w:r>
      <w:r>
        <w:rPr>
          <w:rFonts w:hint="eastAsia" w:ascii="宋体" w:hAnsi="宋体" w:eastAsia="宋体" w:cs="宋体"/>
          <w:sz w:val="24"/>
        </w:rPr>
        <w:t>从而为客户提供资产管理</w:t>
      </w:r>
      <w:r>
        <w:rPr>
          <w:rFonts w:hint="eastAsia" w:ascii="宋体" w:hAnsi="宋体" w:eastAsia="宋体" w:cs="宋体"/>
          <w:sz w:val="10"/>
        </w:rPr>
        <w:t>、</w:t>
      </w:r>
      <w:r>
        <w:rPr>
          <w:rFonts w:hint="eastAsia" w:ascii="宋体" w:hAnsi="宋体" w:eastAsia="宋体" w:cs="宋体"/>
          <w:sz w:val="24"/>
        </w:rPr>
        <w:t>直接融资和资产增值等方面的一揽子综合服务</w:t>
      </w:r>
      <w:r>
        <w:rPr>
          <w:rFonts w:hint="eastAsia" w:ascii="宋体" w:hAnsi="宋体" w:eastAsia="宋体" w:cs="宋体"/>
          <w:sz w:val="10"/>
        </w:rPr>
        <w:t>，</w:t>
      </w:r>
      <w:r>
        <w:rPr>
          <w:rFonts w:hint="eastAsia" w:ascii="宋体" w:hAnsi="宋体" w:eastAsia="宋体" w:cs="宋体"/>
          <w:sz w:val="24"/>
        </w:rPr>
        <w:t>全方位打造</w:t>
      </w:r>
      <w:r>
        <w:rPr>
          <w:rFonts w:hint="eastAsia" w:ascii="宋体" w:hAnsi="宋体" w:eastAsia="宋体" w:cs="宋体"/>
          <w:sz w:val="10"/>
        </w:rPr>
        <w:t>“</w:t>
      </w:r>
      <w:r>
        <w:rPr>
          <w:rFonts w:hint="eastAsia" w:ascii="宋体" w:hAnsi="宋体" w:eastAsia="宋体" w:cs="宋体"/>
          <w:sz w:val="24"/>
        </w:rPr>
        <w:t>流程证券公司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10"/>
        </w:rPr>
        <w:t>“</w:t>
      </w:r>
      <w:r>
        <w:rPr>
          <w:rFonts w:hint="eastAsia" w:ascii="宋体" w:hAnsi="宋体" w:eastAsia="宋体" w:cs="宋体"/>
          <w:sz w:val="24"/>
        </w:rPr>
        <w:t>流程证券公司</w:t>
      </w:r>
      <w:r>
        <w:rPr>
          <w:rFonts w:hint="eastAsia" w:ascii="宋体" w:hAnsi="宋体" w:eastAsia="宋体" w:cs="宋体"/>
          <w:sz w:val="10"/>
        </w:rPr>
        <w:t>”</w:t>
      </w:r>
      <w:r>
        <w:rPr>
          <w:rFonts w:hint="eastAsia" w:ascii="宋体" w:hAnsi="宋体" w:eastAsia="宋体" w:cs="宋体"/>
          <w:sz w:val="24"/>
        </w:rPr>
        <w:t>将具有以下一些特点</w:t>
      </w:r>
      <w:r>
        <w:rPr>
          <w:rFonts w:hint="eastAsia" w:ascii="宋体" w:hAnsi="宋体" w:eastAsia="宋体" w:cs="宋体"/>
          <w:sz w:val="12"/>
        </w:rPr>
        <w:t>：</w:t>
      </w:r>
      <w:r>
        <w:rPr>
          <w:rFonts w:hint="eastAsia" w:ascii="Times New Roman" w:hAnsi="Times New Roman" w:eastAsia="Times New Roman" w:cs="Times New Roman"/>
          <w:sz w:val="24"/>
        </w:rPr>
        <w:t>A</w:t>
      </w:r>
      <w:r>
        <w:rPr>
          <w:rFonts w:hint="eastAsia" w:ascii="宋体" w:hAnsi="宋体" w:eastAsia="宋体" w:cs="宋体"/>
          <w:sz w:val="10"/>
        </w:rPr>
        <w:t>、</w:t>
      </w:r>
      <w:r>
        <w:rPr>
          <w:rFonts w:hint="eastAsia" w:ascii="宋体" w:hAnsi="宋体" w:eastAsia="宋体" w:cs="宋体"/>
          <w:sz w:val="24"/>
        </w:rPr>
        <w:t>以客户为中心</w:t>
      </w:r>
      <w:r>
        <w:rPr>
          <w:rFonts w:hint="eastAsia" w:ascii="宋体" w:hAnsi="宋体" w:eastAsia="宋体" w:cs="宋体"/>
          <w:sz w:val="10"/>
        </w:rPr>
        <w:t>。一</w:t>
      </w:r>
      <w:r>
        <w:rPr>
          <w:rFonts w:hint="eastAsia" w:ascii="宋体" w:hAnsi="宋体" w:eastAsia="宋体" w:cs="宋体"/>
          <w:sz w:val="24"/>
        </w:rPr>
        <w:t>是以客户为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1-1-109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jc w:val="both"/>
      </w:pPr>
      <w:r>
        <w:rPr>
          <w:rFonts w:hint="eastAsia" w:ascii="宋体" w:hAnsi="宋体" w:eastAsia="宋体" w:cs="宋体"/>
          <w:sz w:val="24"/>
        </w:rPr>
        <w:t>中心构建业务管理架构</w:t>
      </w:r>
      <w:r>
        <w:rPr>
          <w:rFonts w:hint="eastAsia" w:ascii="宋体" w:hAnsi="宋体" w:eastAsia="宋体" w:cs="宋体"/>
          <w:sz w:val="10"/>
        </w:rPr>
        <w:t>，</w:t>
      </w:r>
      <w:r>
        <w:rPr>
          <w:rFonts w:hint="eastAsia" w:ascii="宋体" w:hAnsi="宋体" w:eastAsia="宋体" w:cs="宋体"/>
          <w:sz w:val="24"/>
        </w:rPr>
        <w:t>确定部门职责</w:t>
      </w:r>
      <w:r>
        <w:rPr>
          <w:rFonts w:hint="eastAsia" w:ascii="宋体" w:hAnsi="宋体" w:eastAsia="宋体" w:cs="宋体"/>
          <w:sz w:val="10"/>
        </w:rPr>
        <w:t>，</w:t>
      </w:r>
      <w:r>
        <w:rPr>
          <w:rFonts w:hint="eastAsia" w:ascii="宋体" w:hAnsi="宋体" w:eastAsia="宋体" w:cs="宋体"/>
          <w:sz w:val="24"/>
        </w:rPr>
        <w:t>形成合理的业务流程基础</w:t>
      </w:r>
      <w:r>
        <w:rPr>
          <w:rFonts w:hint="eastAsia" w:ascii="宋体" w:hAnsi="宋体" w:eastAsia="宋体" w:cs="宋体"/>
          <w:sz w:val="14"/>
        </w:rPr>
        <w:t>；二</w:t>
      </w:r>
      <w:r>
        <w:rPr>
          <w:rFonts w:hint="eastAsia" w:ascii="宋体" w:hAnsi="宋体" w:eastAsia="宋体" w:cs="宋体"/>
          <w:sz w:val="24"/>
        </w:rPr>
        <w:t>是按照客户需求和为客户提供方便</w:t>
      </w:r>
      <w:r>
        <w:rPr>
          <w:rFonts w:hint="eastAsia" w:ascii="宋体" w:hAnsi="宋体" w:eastAsia="宋体" w:cs="宋体"/>
          <w:sz w:val="10"/>
        </w:rPr>
        <w:t>、</w:t>
      </w:r>
      <w:r>
        <w:rPr>
          <w:rFonts w:hint="eastAsia" w:ascii="宋体" w:hAnsi="宋体" w:eastAsia="宋体" w:cs="宋体"/>
          <w:sz w:val="24"/>
        </w:rPr>
        <w:t>快捷</w:t>
      </w:r>
      <w:r>
        <w:rPr>
          <w:rFonts w:hint="eastAsia" w:ascii="宋体" w:hAnsi="宋体" w:eastAsia="宋体" w:cs="宋体"/>
          <w:sz w:val="10"/>
        </w:rPr>
        <w:t>、</w:t>
      </w:r>
      <w:r>
        <w:rPr>
          <w:rFonts w:hint="eastAsia" w:ascii="宋体" w:hAnsi="宋体" w:eastAsia="宋体" w:cs="宋体"/>
          <w:sz w:val="24"/>
        </w:rPr>
        <w:t>优质服务</w:t>
      </w:r>
      <w:r>
        <w:rPr>
          <w:rFonts w:hint="eastAsia" w:ascii="宋体" w:hAnsi="宋体" w:eastAsia="宋体" w:cs="宋体"/>
          <w:sz w:val="10"/>
        </w:rPr>
        <w:t>，</w:t>
      </w:r>
      <w:r>
        <w:rPr>
          <w:rFonts w:hint="eastAsia" w:ascii="宋体" w:hAnsi="宋体" w:eastAsia="宋体" w:cs="宋体"/>
          <w:sz w:val="24"/>
        </w:rPr>
        <w:t>建立满足客户不断变化需求的业务流程</w:t>
      </w:r>
      <w:r>
        <w:rPr>
          <w:rFonts w:hint="eastAsia" w:ascii="宋体" w:hAnsi="宋体" w:eastAsia="宋体" w:cs="宋体"/>
          <w:sz w:val="12"/>
        </w:rPr>
        <w:t>；</w:t>
      </w:r>
      <w:r>
        <w:rPr>
          <w:rFonts w:hint="eastAsia" w:ascii="Times New Roman" w:hAnsi="Times New Roman" w:eastAsia="Times New Roman" w:cs="Times New Roman"/>
          <w:sz w:val="24"/>
        </w:rPr>
        <w:t>B</w:t>
      </w:r>
      <w:r>
        <w:rPr>
          <w:rFonts w:hint="eastAsia" w:ascii="宋体" w:hAnsi="宋体" w:eastAsia="宋体" w:cs="宋体"/>
          <w:sz w:val="10"/>
        </w:rPr>
        <w:t>、</w:t>
      </w:r>
      <w:r>
        <w:rPr>
          <w:rFonts w:hint="eastAsia" w:ascii="宋体" w:hAnsi="宋体" w:eastAsia="宋体" w:cs="宋体"/>
          <w:sz w:val="24"/>
        </w:rPr>
        <w:t>前中后台相互分离</w:t>
      </w:r>
      <w:r>
        <w:rPr>
          <w:rFonts w:hint="eastAsia" w:ascii="宋体" w:hAnsi="宋体" w:eastAsia="宋体" w:cs="宋体"/>
          <w:sz w:val="10"/>
        </w:rPr>
        <w:t>，</w:t>
      </w:r>
      <w:r>
        <w:rPr>
          <w:rFonts w:hint="eastAsia" w:ascii="宋体" w:hAnsi="宋体" w:eastAsia="宋体" w:cs="宋体"/>
          <w:sz w:val="24"/>
        </w:rPr>
        <w:t>相互制约</w:t>
      </w:r>
      <w:r>
        <w:rPr>
          <w:rFonts w:hint="eastAsia" w:ascii="宋体" w:hAnsi="宋体" w:eastAsia="宋体" w:cs="宋体"/>
          <w:sz w:val="10"/>
        </w:rPr>
        <w:t>，</w:t>
      </w:r>
      <w:r>
        <w:rPr>
          <w:rFonts w:hint="eastAsia" w:ascii="宋体" w:hAnsi="宋体" w:eastAsia="宋体" w:cs="宋体"/>
          <w:sz w:val="24"/>
        </w:rPr>
        <w:t>以流程落实内控</w:t>
      </w:r>
      <w:r>
        <w:rPr>
          <w:rFonts w:hint="eastAsia" w:ascii="宋体" w:hAnsi="宋体" w:eastAsia="宋体" w:cs="宋体"/>
          <w:sz w:val="10"/>
        </w:rPr>
        <w:t>，</w:t>
      </w:r>
      <w:r>
        <w:rPr>
          <w:rFonts w:hint="eastAsia" w:ascii="宋体" w:hAnsi="宋体" w:eastAsia="宋体" w:cs="宋体"/>
          <w:sz w:val="24"/>
        </w:rPr>
        <w:t>形成以流程制约和系统控制为主要形式的较为刚性的控制体系</w:t>
      </w:r>
      <w:r>
        <w:rPr>
          <w:rFonts w:hint="eastAsia" w:ascii="宋体" w:hAnsi="宋体" w:eastAsia="宋体" w:cs="宋体"/>
          <w:sz w:val="10"/>
        </w:rPr>
        <w:t>，</w:t>
      </w:r>
      <w:r>
        <w:rPr>
          <w:rFonts w:hint="eastAsia" w:ascii="宋体" w:hAnsi="宋体" w:eastAsia="宋体" w:cs="宋体"/>
          <w:sz w:val="24"/>
        </w:rPr>
        <w:t>以完善的业务流程落实内控</w:t>
      </w:r>
      <w:r>
        <w:rPr>
          <w:rFonts w:hint="eastAsia" w:ascii="宋体" w:hAnsi="宋体" w:eastAsia="宋体" w:cs="宋体"/>
          <w:sz w:val="10"/>
        </w:rPr>
        <w:t>。</w:t>
      </w:r>
      <w:r>
        <w:rPr>
          <w:rFonts w:hint="eastAsia" w:ascii="Times New Roman" w:hAnsi="Times New Roman" w:eastAsia="Times New Roman" w:cs="Times New Roman"/>
          <w:sz w:val="24"/>
        </w:rPr>
        <w:t>C</w:t>
      </w:r>
      <w:r>
        <w:rPr>
          <w:rFonts w:hint="eastAsia" w:ascii="宋体" w:hAnsi="宋体" w:eastAsia="宋体" w:cs="宋体"/>
          <w:sz w:val="10"/>
        </w:rPr>
        <w:t>、</w:t>
      </w:r>
      <w:r>
        <w:rPr>
          <w:rFonts w:hint="eastAsia" w:ascii="宋体" w:hAnsi="宋体" w:eastAsia="宋体" w:cs="宋体"/>
          <w:sz w:val="24"/>
        </w:rPr>
        <w:t>中后台集中式运作和管理</w:t>
      </w:r>
      <w:r>
        <w:rPr>
          <w:rFonts w:hint="eastAsia" w:ascii="宋体" w:hAnsi="宋体" w:eastAsia="宋体" w:cs="宋体"/>
          <w:sz w:val="12"/>
        </w:rPr>
        <w:t>；</w:t>
      </w:r>
      <w:r>
        <w:rPr>
          <w:rFonts w:hint="eastAsia" w:ascii="Times New Roman" w:hAnsi="Times New Roman" w:eastAsia="Times New Roman" w:cs="Times New Roman"/>
          <w:sz w:val="24"/>
        </w:rPr>
        <w:t>D</w:t>
      </w:r>
      <w:r>
        <w:rPr>
          <w:rFonts w:hint="eastAsia" w:ascii="宋体" w:hAnsi="宋体" w:eastAsia="宋体" w:cs="宋体"/>
          <w:sz w:val="10"/>
        </w:rPr>
        <w:t>、</w:t>
      </w:r>
      <w:r>
        <w:rPr>
          <w:rFonts w:hint="eastAsia" w:ascii="宋体" w:hAnsi="宋体" w:eastAsia="宋体" w:cs="宋体"/>
          <w:sz w:val="24"/>
        </w:rPr>
        <w:t>以业务流程为主导</w:t>
      </w:r>
      <w:r>
        <w:rPr>
          <w:rFonts w:hint="eastAsia" w:ascii="宋体" w:hAnsi="宋体" w:eastAsia="宋体" w:cs="宋体"/>
          <w:sz w:val="10"/>
        </w:rPr>
        <w:t>，</w:t>
      </w:r>
      <w:r>
        <w:rPr>
          <w:rFonts w:hint="eastAsia" w:ascii="宋体" w:hAnsi="宋体" w:eastAsia="宋体" w:cs="宋体"/>
          <w:sz w:val="24"/>
        </w:rPr>
        <w:t>部门职责服从业务流程的需要</w:t>
      </w:r>
      <w:r>
        <w:rPr>
          <w:rFonts w:hint="eastAsia" w:ascii="宋体" w:hAnsi="宋体" w:eastAsia="宋体" w:cs="宋体"/>
          <w:sz w:val="10"/>
        </w:rPr>
        <w:t>，</w:t>
      </w:r>
      <w:r>
        <w:rPr>
          <w:rFonts w:hint="eastAsia" w:ascii="宋体" w:hAnsi="宋体" w:eastAsia="宋体" w:cs="宋体"/>
          <w:sz w:val="24"/>
        </w:rPr>
        <w:t>使之符合流程运行便利</w:t>
      </w:r>
      <w:r>
        <w:rPr>
          <w:rFonts w:hint="eastAsia" w:ascii="宋体" w:hAnsi="宋体" w:eastAsia="宋体" w:cs="宋体"/>
          <w:sz w:val="10"/>
        </w:rPr>
        <w:t>、</w:t>
      </w:r>
      <w:r>
        <w:rPr>
          <w:rFonts w:hint="eastAsia" w:ascii="宋体" w:hAnsi="宋体" w:eastAsia="宋体" w:cs="宋体"/>
          <w:sz w:val="24"/>
        </w:rPr>
        <w:t>畅通的需要</w:t>
      </w:r>
      <w:r>
        <w:rPr>
          <w:rFonts w:hint="eastAsia" w:ascii="宋体" w:hAnsi="宋体" w:eastAsia="宋体" w:cs="宋体"/>
          <w:sz w:val="14"/>
        </w:rPr>
        <w:t>；</w:t>
      </w:r>
      <w:r>
        <w:rPr>
          <w:rFonts w:hint="eastAsia" w:ascii="Times New Roman" w:hAnsi="Times New Roman" w:eastAsia="Times New Roman" w:cs="Times New Roman"/>
          <w:sz w:val="24"/>
        </w:rPr>
        <w:t>E</w:t>
      </w:r>
      <w:r>
        <w:rPr>
          <w:rFonts w:hint="eastAsia" w:ascii="宋体" w:hAnsi="宋体" w:eastAsia="宋体" w:cs="宋体"/>
          <w:sz w:val="10"/>
        </w:rPr>
        <w:t>、</w:t>
      </w:r>
      <w:r>
        <w:rPr>
          <w:rFonts w:hint="eastAsia" w:ascii="宋体" w:hAnsi="宋体" w:eastAsia="宋体" w:cs="宋体"/>
          <w:sz w:val="24"/>
        </w:rPr>
        <w:t>业务流程实现信息化</w:t>
      </w:r>
      <w:r>
        <w:rPr>
          <w:rFonts w:hint="eastAsia" w:ascii="宋体" w:hAnsi="宋体" w:eastAsia="宋体" w:cs="宋体"/>
          <w:sz w:val="10"/>
        </w:rPr>
        <w:t>、</w:t>
      </w:r>
      <w:r>
        <w:rPr>
          <w:rFonts w:hint="eastAsia" w:ascii="宋体" w:hAnsi="宋体" w:eastAsia="宋体" w:cs="宋体"/>
          <w:sz w:val="24"/>
        </w:rPr>
        <w:t>自动化</w:t>
      </w:r>
      <w:r>
        <w:rPr>
          <w:rFonts w:hint="eastAsia" w:ascii="宋体" w:hAnsi="宋体" w:eastAsia="宋体" w:cs="宋体"/>
          <w:sz w:val="10"/>
        </w:rPr>
        <w:t>、</w:t>
      </w:r>
      <w:r>
        <w:rPr>
          <w:rFonts w:hint="eastAsia" w:ascii="宋体" w:hAnsi="宋体" w:eastAsia="宋体" w:cs="宋体"/>
          <w:sz w:val="24"/>
        </w:rPr>
        <w:t>标准化和智能化</w:t>
      </w:r>
      <w:r>
        <w:rPr>
          <w:rFonts w:hint="eastAsia" w:ascii="宋体" w:hAnsi="宋体" w:eastAsia="宋体" w:cs="宋体"/>
          <w:sz w:val="10"/>
        </w:rPr>
        <w:t>。</w:t>
      </w:r>
      <w:r>
        <w:rPr>
          <w:rFonts w:hint="eastAsia" w:ascii="宋体" w:hAnsi="宋体" w:eastAsia="宋体" w:cs="宋体"/>
          <w:sz w:val="24"/>
        </w:rPr>
        <w:t>建立起基于信息集成的流程架构</w:t>
      </w:r>
      <w:r>
        <w:rPr>
          <w:rFonts w:hint="eastAsia" w:ascii="宋体" w:hAnsi="宋体" w:eastAsia="宋体" w:cs="宋体"/>
          <w:sz w:val="10"/>
        </w:rPr>
        <w:t>，</w:t>
      </w:r>
      <w:r>
        <w:rPr>
          <w:rFonts w:hint="eastAsia" w:ascii="宋体" w:hAnsi="宋体" w:eastAsia="宋体" w:cs="宋体"/>
          <w:sz w:val="24"/>
        </w:rPr>
        <w:t>使数据来源和输入统一、</w:t>
      </w:r>
      <w:r>
        <w:rPr>
          <w:rFonts w:hint="eastAsia" w:ascii="宋体" w:hAnsi="宋体" w:eastAsia="宋体" w:cs="宋体"/>
          <w:sz w:val="24"/>
        </w:rPr>
        <w:t>信息共享</w:t>
      </w:r>
      <w:r>
        <w:rPr>
          <w:rFonts w:hint="eastAsia" w:ascii="宋体" w:hAnsi="宋体" w:eastAsia="宋体" w:cs="宋体"/>
          <w:sz w:val="10"/>
        </w:rPr>
        <w:t>，</w:t>
      </w:r>
      <w:r>
        <w:rPr>
          <w:rFonts w:hint="eastAsia" w:ascii="宋体" w:hAnsi="宋体" w:eastAsia="宋体" w:cs="宋体"/>
          <w:sz w:val="24"/>
        </w:rPr>
        <w:t>形成自动识别</w:t>
      </w:r>
      <w:r>
        <w:rPr>
          <w:rFonts w:hint="eastAsia" w:ascii="宋体" w:hAnsi="宋体" w:eastAsia="宋体" w:cs="宋体"/>
          <w:sz w:val="10"/>
        </w:rPr>
        <w:t>、</w:t>
      </w:r>
      <w:r>
        <w:rPr>
          <w:rFonts w:hint="eastAsia" w:ascii="宋体" w:hAnsi="宋体" w:eastAsia="宋体" w:cs="宋体"/>
          <w:sz w:val="24"/>
        </w:rPr>
        <w:t>分析和决断的功能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）证券行业的经营状况和竞争格局的变化对公司业务的影响</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移动互联网可能给证券经纪业务收费标准带来的下行压力</w:t>
      </w:r>
      <w:r>
        <w:rPr>
          <w:rFonts w:hint="eastAsia" w:ascii="宋体" w:hAnsi="宋体" w:eastAsia="宋体" w:cs="宋体"/>
          <w:sz w:val="10"/>
        </w:rPr>
        <w:t>、</w:t>
      </w:r>
      <w:r>
        <w:rPr>
          <w:rFonts w:hint="eastAsia" w:ascii="宋体" w:hAnsi="宋体" w:eastAsia="宋体" w:cs="宋体"/>
          <w:sz w:val="24"/>
        </w:rPr>
        <w:t>证券经纪业务牌照管制政策的变化可能导致证券经纪业务的竞争加剧</w:t>
      </w:r>
      <w:r>
        <w:rPr>
          <w:rFonts w:hint="eastAsia" w:ascii="宋体" w:hAnsi="宋体" w:eastAsia="宋体" w:cs="宋体"/>
          <w:sz w:val="10"/>
        </w:rPr>
        <w:t>，</w:t>
      </w:r>
      <w:r>
        <w:rPr>
          <w:rFonts w:hint="eastAsia" w:ascii="宋体" w:hAnsi="宋体" w:eastAsia="宋体" w:cs="宋体"/>
          <w:sz w:val="24"/>
        </w:rPr>
        <w:t>种种因素可能导致证券行业的经营状况和竞争格局的变化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①移动互联网可能给证券经纪业务收费标准带来的下行压力</w:t>
      </w:r>
      <w:r>
        <w:rPr>
          <w:rFonts w:hint="eastAsia" w:ascii="宋体" w:hAnsi="宋体" w:eastAsia="宋体" w:cs="宋体"/>
          <w:sz w:val="10"/>
        </w:rPr>
        <w:t>，</w:t>
      </w:r>
      <w:r>
        <w:rPr>
          <w:rFonts w:hint="eastAsia" w:ascii="宋体" w:hAnsi="宋体" w:eastAsia="宋体" w:cs="宋体"/>
          <w:sz w:val="24"/>
        </w:rPr>
        <w:t>必将加剧证券行业竞争</w:t>
      </w:r>
      <w:r>
        <w:rPr>
          <w:rFonts w:hint="eastAsia" w:ascii="宋体" w:hAnsi="宋体" w:eastAsia="宋体" w:cs="宋体"/>
          <w:sz w:val="10"/>
        </w:rPr>
        <w:t>，</w:t>
      </w:r>
      <w:r>
        <w:rPr>
          <w:rFonts w:hint="eastAsia" w:ascii="宋体" w:hAnsi="宋体" w:eastAsia="宋体" w:cs="宋体"/>
          <w:sz w:val="24"/>
        </w:rPr>
        <w:t>证券公司的发展方向从同质化转向差异化发展</w:t>
      </w:r>
      <w:r>
        <w:rPr>
          <w:rFonts w:hint="eastAsia" w:ascii="宋体" w:hAnsi="宋体" w:eastAsia="宋体" w:cs="宋体"/>
          <w:sz w:val="10"/>
        </w:rPr>
        <w:t>。</w:t>
      </w:r>
      <w:r>
        <w:rPr>
          <w:rFonts w:hint="eastAsia" w:ascii="宋体" w:hAnsi="宋体" w:eastAsia="宋体" w:cs="宋体"/>
          <w:sz w:val="24"/>
        </w:rPr>
        <w:t>但互联网证券公司也只是证券公司特色化经营的一种商业模式</w:t>
      </w:r>
      <w:r>
        <w:rPr>
          <w:rFonts w:hint="eastAsia" w:ascii="宋体" w:hAnsi="宋体" w:eastAsia="宋体" w:cs="宋体"/>
          <w:sz w:val="10"/>
        </w:rPr>
        <w:t>，</w:t>
      </w:r>
      <w:r>
        <w:rPr>
          <w:rFonts w:hint="eastAsia" w:ascii="宋体" w:hAnsi="宋体" w:eastAsia="宋体" w:cs="宋体"/>
          <w:sz w:val="24"/>
        </w:rPr>
        <w:t>移动互联网不会改变证券公司的业务本质</w:t>
      </w:r>
      <w:r>
        <w:rPr>
          <w:rFonts w:hint="eastAsia" w:ascii="宋体" w:hAnsi="宋体" w:eastAsia="宋体" w:cs="宋体"/>
          <w:sz w:val="10"/>
        </w:rPr>
        <w:t>，</w:t>
      </w:r>
      <w:r>
        <w:rPr>
          <w:rFonts w:hint="eastAsia" w:ascii="宋体" w:hAnsi="宋体" w:eastAsia="宋体" w:cs="宋体"/>
          <w:sz w:val="24"/>
        </w:rPr>
        <w:t>也并不会挤压证券公司的价值和发展空间</w:t>
      </w:r>
      <w:r>
        <w:rPr>
          <w:rFonts w:hint="eastAsia" w:ascii="宋体" w:hAnsi="宋体" w:eastAsia="宋体" w:cs="宋体"/>
          <w:sz w:val="10"/>
        </w:rPr>
        <w:t>，</w:t>
      </w:r>
      <w:r>
        <w:rPr>
          <w:rFonts w:hint="eastAsia" w:ascii="宋体" w:hAnsi="宋体" w:eastAsia="宋体" w:cs="宋体"/>
          <w:sz w:val="24"/>
        </w:rPr>
        <w:t>证券行业已经出现了重获收费定价权的差异化经营商业模式</w:t>
      </w:r>
      <w:r>
        <w:rPr>
          <w:rFonts w:hint="eastAsia" w:ascii="宋体" w:hAnsi="宋体" w:eastAsia="宋体" w:cs="宋体"/>
          <w:sz w:val="10"/>
        </w:rPr>
        <w:t>，</w:t>
      </w:r>
      <w:r>
        <w:rPr>
          <w:rFonts w:hint="eastAsia" w:ascii="宋体" w:hAnsi="宋体" w:eastAsia="宋体" w:cs="宋体"/>
          <w:sz w:val="24"/>
        </w:rPr>
        <w:t>互联网证券将促进证券公司将传统低效的业务逐步互联网化</w:t>
      </w:r>
      <w:r>
        <w:rPr>
          <w:rFonts w:hint="eastAsia" w:ascii="宋体" w:hAnsi="宋体" w:eastAsia="宋体" w:cs="宋体"/>
          <w:sz w:val="10"/>
        </w:rPr>
        <w:t>。</w:t>
      </w:r>
      <w:r>
        <w:rPr>
          <w:rFonts w:hint="eastAsia" w:ascii="宋体" w:hAnsi="宋体" w:eastAsia="宋体" w:cs="宋体"/>
          <w:sz w:val="24"/>
        </w:rPr>
        <w:t>无论是互联网证券还是证券互联网化</w:t>
      </w:r>
      <w:r>
        <w:rPr>
          <w:rFonts w:hint="eastAsia" w:ascii="宋体" w:hAnsi="宋体" w:eastAsia="宋体" w:cs="宋体"/>
          <w:sz w:val="10"/>
        </w:rPr>
        <w:t>，</w:t>
      </w:r>
      <w:r>
        <w:rPr>
          <w:rFonts w:hint="eastAsia" w:ascii="宋体" w:hAnsi="宋体" w:eastAsia="宋体" w:cs="宋体"/>
          <w:sz w:val="24"/>
        </w:rPr>
        <w:t>其对</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系统有更高的要求与依赖</w:t>
      </w:r>
      <w:r>
        <w:rPr>
          <w:rFonts w:hint="eastAsia" w:ascii="宋体" w:hAnsi="宋体" w:eastAsia="宋体" w:cs="宋体"/>
          <w:sz w:val="10"/>
        </w:rPr>
        <w:t>，</w:t>
      </w:r>
      <w:r>
        <w:rPr>
          <w:rFonts w:hint="eastAsia" w:ascii="宋体" w:hAnsi="宋体" w:eastAsia="宋体" w:cs="宋体"/>
          <w:sz w:val="24"/>
        </w:rPr>
        <w:t>带来的互联网工具应用</w:t>
      </w:r>
      <w:r>
        <w:rPr>
          <w:rFonts w:hint="eastAsia" w:ascii="宋体" w:hAnsi="宋体" w:eastAsia="宋体" w:cs="宋体"/>
          <w:sz w:val="10"/>
        </w:rPr>
        <w:t>、</w:t>
      </w:r>
      <w:r>
        <w:rPr>
          <w:rFonts w:hint="eastAsia" w:ascii="宋体" w:hAnsi="宋体" w:eastAsia="宋体" w:cs="宋体"/>
          <w:sz w:val="24"/>
        </w:rPr>
        <w:t>大数据分析应用</w:t>
      </w:r>
      <w:r>
        <w:rPr>
          <w:rFonts w:hint="eastAsia" w:ascii="宋体" w:hAnsi="宋体" w:eastAsia="宋体" w:cs="宋体"/>
          <w:sz w:val="10"/>
        </w:rPr>
        <w:t>、</w:t>
      </w:r>
      <w:r>
        <w:rPr>
          <w:rFonts w:hint="eastAsia" w:ascii="宋体" w:hAnsi="宋体" w:eastAsia="宋体" w:cs="宋体"/>
          <w:sz w:val="24"/>
        </w:rPr>
        <w:t>前中后台系统的改造和效率提升为软件开发商带来大量的业务机会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②证券经纪业务牌照管制政策的放松</w:t>
      </w:r>
      <w:r>
        <w:rPr>
          <w:rFonts w:hint="eastAsia" w:ascii="宋体" w:hAnsi="宋体" w:eastAsia="宋体" w:cs="宋体"/>
          <w:sz w:val="10"/>
        </w:rPr>
        <w:t>，</w:t>
      </w:r>
      <w:r>
        <w:rPr>
          <w:rFonts w:hint="eastAsia" w:ascii="宋体" w:hAnsi="宋体" w:eastAsia="宋体" w:cs="宋体"/>
          <w:sz w:val="24"/>
        </w:rPr>
        <w:t>从事经纪业务的证券公司将增加</w:t>
      </w:r>
      <w:r>
        <w:rPr>
          <w:rFonts w:hint="eastAsia" w:ascii="宋体" w:hAnsi="宋体" w:eastAsia="宋体" w:cs="宋体"/>
          <w:sz w:val="10"/>
        </w:rPr>
        <w:t>，</w:t>
      </w:r>
      <w:r>
        <w:rPr>
          <w:rFonts w:hint="eastAsia" w:ascii="宋体" w:hAnsi="宋体" w:eastAsia="宋体" w:cs="宋体"/>
          <w:sz w:val="24"/>
        </w:rPr>
        <w:t>发行人主导产品</w:t>
      </w:r>
      <w:r>
        <w:rPr>
          <w:rFonts w:hint="eastAsia" w:ascii="宋体" w:hAnsi="宋体" w:eastAsia="宋体" w:cs="宋体"/>
          <w:sz w:val="10"/>
        </w:rPr>
        <w:t>，</w:t>
      </w:r>
      <w:r>
        <w:rPr>
          <w:rFonts w:hint="eastAsia" w:ascii="宋体" w:hAnsi="宋体" w:eastAsia="宋体" w:cs="宋体"/>
          <w:sz w:val="24"/>
        </w:rPr>
        <w:t>包含证券业基础运营支持系统解决方案</w:t>
      </w:r>
      <w:r>
        <w:rPr>
          <w:rFonts w:hint="eastAsia" w:ascii="宋体" w:hAnsi="宋体" w:eastAsia="宋体" w:cs="宋体"/>
          <w:sz w:val="10"/>
        </w:rPr>
        <w:t>、</w:t>
      </w:r>
      <w:r>
        <w:rPr>
          <w:rFonts w:hint="eastAsia" w:ascii="宋体" w:hAnsi="宋体" w:eastAsia="宋体" w:cs="宋体"/>
          <w:sz w:val="24"/>
        </w:rPr>
        <w:t>涵盖证券公司全业务流程的以业务流程管理为核心的信息化解决方案需求量将增加</w:t>
      </w:r>
      <w:r>
        <w:rPr>
          <w:rFonts w:hint="eastAsia" w:ascii="宋体" w:hAnsi="宋体" w:eastAsia="宋体" w:cs="宋体"/>
          <w:sz w:val="10"/>
        </w:rPr>
        <w:t>，</w:t>
      </w:r>
      <w:r>
        <w:rPr>
          <w:rFonts w:hint="eastAsia" w:ascii="宋体" w:hAnsi="宋体" w:eastAsia="宋体" w:cs="宋体"/>
          <w:sz w:val="24"/>
        </w:rPr>
        <w:t>给发行人带来新的发展机遇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③证券经纪业务的竞争加剧</w:t>
      </w:r>
      <w:r>
        <w:rPr>
          <w:rFonts w:hint="eastAsia" w:ascii="宋体" w:hAnsi="宋体" w:eastAsia="宋体" w:cs="宋体"/>
          <w:sz w:val="10"/>
        </w:rPr>
        <w:t>，</w:t>
      </w:r>
      <w:r>
        <w:rPr>
          <w:rFonts w:hint="eastAsia" w:ascii="宋体" w:hAnsi="宋体" w:eastAsia="宋体" w:cs="宋体"/>
          <w:sz w:val="24"/>
        </w:rPr>
        <w:t>让证券公司开始深入探索经纪业务的升级</w:t>
      </w:r>
      <w:r>
        <w:rPr>
          <w:rFonts w:hint="eastAsia" w:ascii="宋体" w:hAnsi="宋体" w:eastAsia="宋体" w:cs="宋体"/>
          <w:sz w:val="10"/>
        </w:rPr>
        <w:t>，</w:t>
      </w:r>
      <w:r>
        <w:rPr>
          <w:rFonts w:hint="eastAsia" w:ascii="宋体" w:hAnsi="宋体" w:eastAsia="宋体" w:cs="宋体"/>
          <w:sz w:val="24"/>
        </w:rPr>
        <w:t>从简单的通道业务</w:t>
      </w:r>
      <w:r>
        <w:rPr>
          <w:rFonts w:hint="eastAsia" w:ascii="宋体" w:hAnsi="宋体" w:eastAsia="宋体" w:cs="宋体"/>
          <w:sz w:val="10"/>
        </w:rPr>
        <w:t>，</w:t>
      </w:r>
      <w:r>
        <w:rPr>
          <w:rFonts w:hint="eastAsia" w:ascii="宋体" w:hAnsi="宋体" w:eastAsia="宋体" w:cs="宋体"/>
          <w:sz w:val="24"/>
        </w:rPr>
        <w:t>提升到客户分类经营</w:t>
      </w:r>
      <w:r>
        <w:rPr>
          <w:rFonts w:hint="eastAsia" w:ascii="宋体" w:hAnsi="宋体" w:eastAsia="宋体" w:cs="宋体"/>
          <w:sz w:val="10"/>
        </w:rPr>
        <w:t>，</w:t>
      </w:r>
      <w:r>
        <w:rPr>
          <w:rFonts w:hint="eastAsia" w:ascii="宋体" w:hAnsi="宋体" w:eastAsia="宋体" w:cs="宋体"/>
          <w:sz w:val="24"/>
        </w:rPr>
        <w:t>注重面向中高端客户的财富管理业务</w:t>
      </w:r>
      <w:r>
        <w:rPr>
          <w:rFonts w:hint="eastAsia" w:ascii="宋体" w:hAnsi="宋体" w:eastAsia="宋体" w:cs="宋体"/>
          <w:sz w:val="10"/>
        </w:rPr>
        <w:t>，</w:t>
      </w:r>
      <w:r>
        <w:rPr>
          <w:rFonts w:hint="eastAsia" w:ascii="宋体" w:hAnsi="宋体" w:eastAsia="宋体" w:cs="宋体"/>
          <w:sz w:val="24"/>
        </w:rPr>
        <w:t>是大量证券公司的共识</w:t>
      </w:r>
      <w:r>
        <w:rPr>
          <w:rFonts w:hint="eastAsia" w:ascii="宋体" w:hAnsi="宋体" w:eastAsia="宋体" w:cs="宋体"/>
          <w:sz w:val="10"/>
        </w:rPr>
        <w:t>。</w:t>
      </w:r>
      <w:r>
        <w:rPr>
          <w:rFonts w:hint="eastAsia" w:ascii="宋体" w:hAnsi="宋体" w:eastAsia="宋体" w:cs="宋体"/>
          <w:sz w:val="24"/>
        </w:rPr>
        <w:t>从单纯的通道佣金到产品创新</w:t>
      </w:r>
      <w:r>
        <w:rPr>
          <w:rFonts w:hint="eastAsia" w:ascii="宋体" w:hAnsi="宋体" w:eastAsia="宋体" w:cs="宋体"/>
          <w:sz w:val="10"/>
        </w:rPr>
        <w:t>、</w:t>
      </w:r>
      <w:r>
        <w:rPr>
          <w:rFonts w:hint="eastAsia" w:ascii="宋体" w:hAnsi="宋体" w:eastAsia="宋体" w:cs="宋体"/>
          <w:sz w:val="24"/>
        </w:rPr>
        <w:t>财富管理</w:t>
      </w:r>
      <w:r>
        <w:rPr>
          <w:rFonts w:hint="eastAsia" w:ascii="宋体" w:hAnsi="宋体" w:eastAsia="宋体" w:cs="宋体"/>
          <w:sz w:val="10"/>
        </w:rPr>
        <w:t>，</w:t>
      </w:r>
      <w:r>
        <w:rPr>
          <w:rFonts w:hint="eastAsia" w:ascii="宋体" w:hAnsi="宋体" w:eastAsia="宋体" w:cs="宋体"/>
          <w:sz w:val="24"/>
        </w:rPr>
        <w:t>带来了大量新的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需求</w:t>
      </w:r>
      <w:r>
        <w:rPr>
          <w:rFonts w:hint="eastAsia" w:ascii="宋体" w:hAnsi="宋体" w:eastAsia="宋体" w:cs="宋体"/>
          <w:sz w:val="10"/>
        </w:rPr>
        <w:t>。</w:t>
      </w:r>
      <w:r>
        <w:rPr>
          <w:rFonts w:hint="eastAsia" w:ascii="宋体" w:hAnsi="宋体" w:eastAsia="宋体" w:cs="宋体"/>
          <w:sz w:val="24"/>
        </w:rPr>
        <w:t>而证券公司对精细化经营管理</w:t>
      </w:r>
      <w:r>
        <w:rPr>
          <w:rFonts w:hint="eastAsia" w:ascii="宋体" w:hAnsi="宋体" w:eastAsia="宋体" w:cs="宋体"/>
          <w:sz w:val="10"/>
        </w:rPr>
        <w:t>、</w:t>
      </w:r>
      <w:r>
        <w:rPr>
          <w:rFonts w:hint="eastAsia" w:ascii="宋体" w:hAnsi="宋体" w:eastAsia="宋体" w:cs="宋体"/>
          <w:sz w:val="24"/>
        </w:rPr>
        <w:t>提升效率提出更高要求</w:t>
      </w:r>
      <w:r>
        <w:rPr>
          <w:rFonts w:hint="eastAsia" w:ascii="宋体" w:hAnsi="宋体" w:eastAsia="宋体" w:cs="宋体"/>
          <w:sz w:val="10"/>
        </w:rPr>
        <w:t>，</w:t>
      </w:r>
      <w:r>
        <w:rPr>
          <w:rFonts w:hint="eastAsia" w:ascii="宋体" w:hAnsi="宋体" w:eastAsia="宋体" w:cs="宋体"/>
          <w:sz w:val="24"/>
        </w:rPr>
        <w:t>对</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1-1-110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jc w:val="both"/>
      </w:pPr>
      <w:r>
        <w:rPr>
          <w:rFonts w:hint="eastAsia" w:ascii="宋体" w:hAnsi="宋体" w:eastAsia="宋体" w:cs="宋体"/>
          <w:sz w:val="24"/>
        </w:rPr>
        <w:t>统的需求和依赖性也将进一步增强</w:t>
      </w:r>
      <w:r>
        <w:rPr>
          <w:rFonts w:hint="eastAsia" w:ascii="宋体" w:hAnsi="宋体" w:eastAsia="宋体" w:cs="宋体"/>
          <w:sz w:val="10"/>
        </w:rPr>
        <w:t>，</w:t>
      </w:r>
      <w:r>
        <w:rPr>
          <w:rFonts w:hint="eastAsia" w:ascii="宋体" w:hAnsi="宋体" w:eastAsia="宋体" w:cs="宋体"/>
          <w:sz w:val="24"/>
        </w:rPr>
        <w:t>尤其是对大数据应用</w:t>
      </w:r>
      <w:r>
        <w:rPr>
          <w:rFonts w:hint="eastAsia" w:ascii="宋体" w:hAnsi="宋体" w:eastAsia="宋体" w:cs="宋体"/>
          <w:sz w:val="10"/>
        </w:rPr>
        <w:t>、</w:t>
      </w:r>
      <w:r>
        <w:rPr>
          <w:rFonts w:hint="eastAsia" w:ascii="宋体" w:hAnsi="宋体" w:eastAsia="宋体" w:cs="宋体"/>
          <w:sz w:val="24"/>
        </w:rPr>
        <w:t>流程优化</w:t>
      </w:r>
      <w:r>
        <w:rPr>
          <w:rFonts w:hint="eastAsia" w:ascii="宋体" w:hAnsi="宋体" w:eastAsia="宋体" w:cs="宋体"/>
          <w:sz w:val="10"/>
        </w:rPr>
        <w:t>、</w:t>
      </w:r>
      <w:r>
        <w:rPr>
          <w:rFonts w:hint="eastAsia" w:ascii="宋体" w:hAnsi="宋体" w:eastAsia="宋体" w:cs="宋体"/>
          <w:sz w:val="24"/>
        </w:rPr>
        <w:t>管理工具的需求将进一步加大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④近几年来</w:t>
      </w:r>
      <w:r>
        <w:rPr>
          <w:rFonts w:hint="eastAsia" w:ascii="宋体" w:hAnsi="宋体" w:eastAsia="宋体" w:cs="宋体"/>
          <w:sz w:val="10"/>
        </w:rPr>
        <w:t>，</w:t>
      </w:r>
      <w:r>
        <w:rPr>
          <w:rFonts w:hint="eastAsia" w:ascii="宋体" w:hAnsi="宋体" w:eastAsia="宋体" w:cs="宋体"/>
          <w:sz w:val="24"/>
        </w:rPr>
        <w:t>证券公司的收入构成发生了明显的变化</w:t>
      </w:r>
      <w:r>
        <w:rPr>
          <w:rFonts w:hint="eastAsia" w:ascii="宋体" w:hAnsi="宋体" w:eastAsia="宋体" w:cs="宋体"/>
          <w:sz w:val="10"/>
        </w:rPr>
        <w:t>，</w:t>
      </w:r>
      <w:r>
        <w:rPr>
          <w:rFonts w:hint="eastAsia" w:ascii="宋体" w:hAnsi="宋体" w:eastAsia="宋体" w:cs="宋体"/>
          <w:sz w:val="24"/>
        </w:rPr>
        <w:t>特别</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月证券行业创新大会达成的创新方向共识已成了行业创新常态</w:t>
      </w:r>
      <w:r>
        <w:rPr>
          <w:rFonts w:hint="eastAsia" w:ascii="宋体" w:hAnsi="宋体" w:eastAsia="宋体" w:cs="宋体"/>
          <w:sz w:val="10"/>
        </w:rPr>
        <w:t>，</w:t>
      </w:r>
      <w:r>
        <w:rPr>
          <w:rFonts w:hint="eastAsia" w:ascii="宋体" w:hAnsi="宋体" w:eastAsia="宋体" w:cs="宋体"/>
          <w:sz w:val="24"/>
        </w:rPr>
        <w:t>沪港通等创新业务为公司带来新的业务机会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⑤随着国家加速推进多层次市场体系建设</w:t>
      </w:r>
      <w:r>
        <w:rPr>
          <w:rFonts w:hint="eastAsia" w:ascii="宋体" w:hAnsi="宋体" w:eastAsia="宋体" w:cs="宋体"/>
          <w:sz w:val="10"/>
        </w:rPr>
        <w:t>，</w:t>
      </w:r>
      <w:r>
        <w:rPr>
          <w:rFonts w:hint="eastAsia" w:ascii="宋体" w:hAnsi="宋体" w:eastAsia="宋体" w:cs="宋体"/>
          <w:sz w:val="24"/>
        </w:rPr>
        <w:t>场外市场的建设也给公司的业务发展创造了崭新的空间</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（四）金融业互联网金融发展概况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互联网金融在中国的发展情况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）互联网金融的发展概况</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互联网金融的出现伴随着互联网在中国的快速发展</w:t>
      </w:r>
      <w:r>
        <w:rPr>
          <w:rFonts w:hint="eastAsia" w:ascii="宋体" w:hAnsi="宋体" w:eastAsia="宋体" w:cs="宋体"/>
          <w:sz w:val="10"/>
        </w:rPr>
        <w:t>，</w:t>
      </w:r>
      <w:r>
        <w:rPr>
          <w:rFonts w:hint="eastAsia" w:ascii="宋体" w:hAnsi="宋体" w:eastAsia="宋体" w:cs="宋体"/>
          <w:sz w:val="24"/>
        </w:rPr>
        <w:t>以及移动互联网及其应用在国内的大范围普及</w:t>
      </w:r>
      <w:r>
        <w:rPr>
          <w:rFonts w:hint="eastAsia" w:ascii="宋体" w:hAnsi="宋体" w:eastAsia="宋体" w:cs="宋体"/>
          <w:sz w:val="10"/>
        </w:rPr>
        <w:t>，</w:t>
      </w:r>
      <w:r>
        <w:rPr>
          <w:rFonts w:hint="eastAsia" w:ascii="宋体" w:hAnsi="宋体" w:eastAsia="宋体" w:cs="宋体"/>
          <w:sz w:val="24"/>
        </w:rPr>
        <w:t>自下而上地推动了整个行业的市场化进程</w:t>
      </w:r>
      <w:r>
        <w:rPr>
          <w:rFonts w:hint="eastAsia" w:ascii="宋体" w:hAnsi="宋体" w:eastAsia="宋体" w:cs="宋体"/>
          <w:sz w:val="10"/>
        </w:rPr>
        <w:t>。</w:t>
      </w:r>
      <w:r>
        <w:rPr>
          <w:rFonts w:hint="eastAsia" w:ascii="宋体" w:hAnsi="宋体" w:eastAsia="宋体" w:cs="宋体"/>
          <w:sz w:val="24"/>
        </w:rPr>
        <w:t>这种影响体现在金融领域的各个方面</w:t>
      </w:r>
      <w:r>
        <w:rPr>
          <w:rFonts w:hint="eastAsia" w:ascii="宋体" w:hAnsi="宋体" w:eastAsia="宋体" w:cs="宋体"/>
          <w:sz w:val="10"/>
        </w:rPr>
        <w:t>，</w:t>
      </w:r>
      <w:r>
        <w:rPr>
          <w:rFonts w:hint="eastAsia" w:ascii="宋体" w:hAnsi="宋体" w:eastAsia="宋体" w:cs="宋体"/>
          <w:sz w:val="24"/>
        </w:rPr>
        <w:t>在证券行业也逐渐开始显现出来</w:t>
      </w:r>
      <w:r>
        <w:rPr>
          <w:rFonts w:hint="eastAsia" w:ascii="宋体" w:hAnsi="宋体" w:eastAsia="宋体" w:cs="宋体"/>
          <w:sz w:val="10"/>
        </w:rPr>
        <w:t>。</w:t>
      </w:r>
      <w:r>
        <w:rPr>
          <w:rFonts w:hint="eastAsia" w:ascii="宋体" w:hAnsi="宋体" w:eastAsia="宋体" w:cs="宋体"/>
          <w:sz w:val="24"/>
        </w:rPr>
        <w:t>我国证券交易投资者结构是以散户为主</w:t>
      </w:r>
      <w:r>
        <w:rPr>
          <w:rFonts w:hint="eastAsia" w:ascii="宋体" w:hAnsi="宋体" w:eastAsia="宋体" w:cs="宋体"/>
          <w:sz w:val="10"/>
        </w:rPr>
        <w:t>，</w:t>
      </w:r>
      <w:r>
        <w:rPr>
          <w:rFonts w:hint="eastAsia" w:ascii="宋体" w:hAnsi="宋体" w:eastAsia="宋体" w:cs="宋体"/>
          <w:sz w:val="24"/>
        </w:rPr>
        <w:t>长尾端客户数量庞大</w:t>
      </w:r>
      <w:r>
        <w:rPr>
          <w:rFonts w:hint="eastAsia" w:ascii="宋体" w:hAnsi="宋体" w:eastAsia="宋体" w:cs="宋体"/>
          <w:sz w:val="10"/>
        </w:rPr>
        <w:t>，</w:t>
      </w:r>
      <w:r>
        <w:rPr>
          <w:rFonts w:hint="eastAsia" w:ascii="宋体" w:hAnsi="宋体" w:eastAsia="宋体" w:cs="宋体"/>
          <w:sz w:val="24"/>
        </w:rPr>
        <w:t>标准化的</w:t>
      </w:r>
      <w:r>
        <w:rPr>
          <w:rFonts w:hint="eastAsia" w:ascii="宋体" w:hAnsi="宋体" w:eastAsia="宋体" w:cs="宋体"/>
          <w:sz w:val="10"/>
        </w:rPr>
        <w:t>、</w:t>
      </w:r>
      <w:r>
        <w:rPr>
          <w:rFonts w:hint="eastAsia" w:ascii="宋体" w:hAnsi="宋体" w:eastAsia="宋体" w:cs="宋体"/>
          <w:sz w:val="24"/>
        </w:rPr>
        <w:t>面向中小零售用户的互联网金融具有强烈的现时及潜在需求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从目前的态势看</w:t>
      </w:r>
      <w:r>
        <w:rPr>
          <w:rFonts w:hint="eastAsia" w:ascii="宋体" w:hAnsi="宋体" w:eastAsia="宋体" w:cs="宋体"/>
          <w:sz w:val="10"/>
        </w:rPr>
        <w:t>，</w:t>
      </w:r>
      <w:r>
        <w:rPr>
          <w:rFonts w:hint="eastAsia" w:ascii="宋体" w:hAnsi="宋体" w:eastAsia="宋体" w:cs="宋体"/>
          <w:sz w:val="24"/>
        </w:rPr>
        <w:t>互联网将成为未来金融产品的主要销售渠道</w:t>
      </w:r>
      <w:r>
        <w:rPr>
          <w:rFonts w:hint="eastAsia" w:ascii="宋体" w:hAnsi="宋体" w:eastAsia="宋体" w:cs="宋体"/>
          <w:sz w:val="10"/>
        </w:rPr>
        <w:t>。</w:t>
      </w:r>
      <w:r>
        <w:rPr>
          <w:rFonts w:hint="eastAsia" w:ascii="宋体" w:hAnsi="宋体" w:eastAsia="宋体" w:cs="宋体"/>
          <w:sz w:val="24"/>
        </w:rPr>
        <w:t>首先</w:t>
      </w:r>
      <w:r>
        <w:rPr>
          <w:rFonts w:hint="eastAsia" w:ascii="宋体" w:hAnsi="宋体" w:eastAsia="宋体" w:cs="宋体"/>
          <w:sz w:val="10"/>
        </w:rPr>
        <w:t>，</w:t>
      </w:r>
      <w:r>
        <w:rPr>
          <w:rFonts w:hint="eastAsia" w:ascii="宋体" w:hAnsi="宋体" w:eastAsia="宋体" w:cs="宋体"/>
          <w:sz w:val="24"/>
        </w:rPr>
        <w:t>监管方已经明确了销售机构</w:t>
      </w:r>
      <w:r>
        <w:rPr>
          <w:rFonts w:hint="eastAsia" w:ascii="宋体" w:hAnsi="宋体" w:eastAsia="宋体" w:cs="宋体"/>
          <w:sz w:val="10"/>
        </w:rPr>
        <w:t>、</w:t>
      </w:r>
      <w:r>
        <w:rPr>
          <w:rFonts w:hint="eastAsia" w:ascii="宋体" w:hAnsi="宋体" w:eastAsia="宋体" w:cs="宋体"/>
          <w:sz w:val="24"/>
        </w:rPr>
        <w:t>支付结算机构</w:t>
      </w:r>
      <w:r>
        <w:rPr>
          <w:rFonts w:hint="eastAsia" w:ascii="宋体" w:hAnsi="宋体" w:eastAsia="宋体" w:cs="宋体"/>
          <w:sz w:val="10"/>
        </w:rPr>
        <w:t>、</w:t>
      </w:r>
      <w:r>
        <w:rPr>
          <w:rFonts w:hint="eastAsia" w:ascii="宋体" w:hAnsi="宋体" w:eastAsia="宋体" w:cs="宋体"/>
          <w:sz w:val="24"/>
        </w:rPr>
        <w:t>第三方支付平台三个监管层次</w:t>
      </w:r>
      <w:r>
        <w:rPr>
          <w:rFonts w:hint="eastAsia" w:ascii="宋体" w:hAnsi="宋体" w:eastAsia="宋体" w:cs="宋体"/>
          <w:sz w:val="14"/>
        </w:rPr>
        <w:t>；</w:t>
      </w:r>
      <w:r>
        <w:rPr>
          <w:rFonts w:hint="eastAsia" w:ascii="宋体" w:hAnsi="宋体" w:eastAsia="宋体" w:cs="宋体"/>
          <w:sz w:val="24"/>
        </w:rPr>
        <w:t>其次</w:t>
      </w:r>
      <w:r>
        <w:rPr>
          <w:rFonts w:hint="eastAsia" w:ascii="宋体" w:hAnsi="宋体" w:eastAsia="宋体" w:cs="宋体"/>
          <w:sz w:val="10"/>
        </w:rPr>
        <w:t>，</w:t>
      </w:r>
      <w:r>
        <w:rPr>
          <w:rFonts w:hint="eastAsia" w:ascii="宋体" w:hAnsi="宋体" w:eastAsia="宋体" w:cs="宋体"/>
          <w:sz w:val="24"/>
        </w:rPr>
        <w:t>基金</w:t>
      </w:r>
      <w:r>
        <w:rPr>
          <w:rFonts w:hint="eastAsia" w:ascii="宋体" w:hAnsi="宋体" w:eastAsia="宋体" w:cs="宋体"/>
          <w:sz w:val="10"/>
        </w:rPr>
        <w:t>、</w:t>
      </w:r>
      <w:r>
        <w:rPr>
          <w:rFonts w:hint="eastAsia" w:ascii="宋体" w:hAnsi="宋体" w:eastAsia="宋体" w:cs="宋体"/>
          <w:sz w:val="24"/>
        </w:rPr>
        <w:t>证券公司和银行与互联网企业合作模式已成型</w:t>
      </w:r>
      <w:r>
        <w:rPr>
          <w:rFonts w:hint="eastAsia" w:ascii="宋体" w:hAnsi="宋体" w:eastAsia="宋体" w:cs="宋体"/>
          <w:sz w:val="10"/>
        </w:rPr>
        <w:t>，</w:t>
      </w:r>
      <w:r>
        <w:rPr>
          <w:rFonts w:hint="eastAsia" w:ascii="宋体" w:hAnsi="宋体" w:eastAsia="宋体" w:cs="宋体"/>
          <w:sz w:val="24"/>
        </w:rPr>
        <w:t>互联网渠道优势将进一步强化</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互联网金融的渠道优势主要有三方面</w:t>
      </w:r>
      <w:r>
        <w:rPr>
          <w:rFonts w:hint="eastAsia" w:ascii="宋体" w:hAnsi="宋体" w:eastAsia="宋体" w:cs="宋体"/>
          <w:sz w:val="12"/>
        </w:rPr>
        <w:t>：</w:t>
      </w:r>
      <w:r>
        <w:rPr>
          <w:rFonts w:hint="eastAsia" w:ascii="宋体" w:hAnsi="宋体" w:eastAsia="宋体" w:cs="宋体"/>
          <w:sz w:val="24"/>
        </w:rPr>
        <w:t>其一，</w:t>
      </w:r>
      <w:r>
        <w:rPr>
          <w:rFonts w:hint="eastAsia" w:ascii="宋体" w:hAnsi="宋体" w:eastAsia="宋体" w:cs="宋体"/>
          <w:sz w:val="24"/>
        </w:rPr>
        <w:t>相较于传统线下渠道</w:t>
      </w:r>
      <w:r>
        <w:rPr>
          <w:rFonts w:hint="eastAsia" w:ascii="宋体" w:hAnsi="宋体" w:eastAsia="宋体" w:cs="宋体"/>
          <w:sz w:val="10"/>
        </w:rPr>
        <w:t>，</w:t>
      </w:r>
      <w:r>
        <w:rPr>
          <w:rFonts w:hint="eastAsia" w:ascii="宋体" w:hAnsi="宋体" w:eastAsia="宋体" w:cs="宋体"/>
          <w:sz w:val="24"/>
        </w:rPr>
        <w:t>互联网更注重用户体验</w:t>
      </w:r>
      <w:r>
        <w:rPr>
          <w:rFonts w:hint="eastAsia" w:ascii="宋体" w:hAnsi="宋体" w:eastAsia="宋体" w:cs="宋体"/>
          <w:sz w:val="10"/>
        </w:rPr>
        <w:t>，</w:t>
      </w:r>
      <w:r>
        <w:rPr>
          <w:rFonts w:hint="eastAsia" w:ascii="宋体" w:hAnsi="宋体" w:eastAsia="宋体" w:cs="宋体"/>
          <w:sz w:val="24"/>
        </w:rPr>
        <w:t>交易门槛逐步降低</w:t>
      </w:r>
      <w:r>
        <w:rPr>
          <w:rFonts w:hint="eastAsia" w:ascii="宋体" w:hAnsi="宋体" w:eastAsia="宋体" w:cs="宋体"/>
          <w:sz w:val="10"/>
        </w:rPr>
        <w:t>，</w:t>
      </w:r>
      <w:r>
        <w:rPr>
          <w:rFonts w:hint="eastAsia" w:ascii="宋体" w:hAnsi="宋体" w:eastAsia="宋体" w:cs="宋体"/>
          <w:sz w:val="24"/>
        </w:rPr>
        <w:t>互联网的人际传播及推广方式将推动销售规模的爆发式增长</w:t>
      </w:r>
      <w:r>
        <w:rPr>
          <w:rFonts w:hint="eastAsia" w:ascii="宋体" w:hAnsi="宋体" w:eastAsia="宋体" w:cs="宋体"/>
          <w:sz w:val="14"/>
        </w:rPr>
        <w:t>；</w:t>
      </w:r>
      <w:r>
        <w:rPr>
          <w:rFonts w:hint="eastAsia" w:ascii="宋体" w:hAnsi="宋体" w:eastAsia="宋体" w:cs="宋体"/>
          <w:sz w:val="24"/>
        </w:rPr>
        <w:t>其二，</w:t>
      </w:r>
      <w:r>
        <w:rPr>
          <w:rFonts w:hint="eastAsia" w:ascii="宋体" w:hAnsi="宋体" w:eastAsia="宋体" w:cs="宋体"/>
          <w:sz w:val="24"/>
        </w:rPr>
        <w:t>金融产品的销售范围目前主要集中在信用风险较低</w:t>
      </w:r>
      <w:r>
        <w:rPr>
          <w:rFonts w:hint="eastAsia" w:ascii="宋体" w:hAnsi="宋体" w:eastAsia="宋体" w:cs="宋体"/>
          <w:sz w:val="10"/>
        </w:rPr>
        <w:t>、</w:t>
      </w:r>
      <w:r>
        <w:rPr>
          <w:rFonts w:hint="eastAsia" w:ascii="宋体" w:hAnsi="宋体" w:eastAsia="宋体" w:cs="宋体"/>
          <w:sz w:val="24"/>
        </w:rPr>
        <w:t>流动性较强的货币型基金和标准化程度较高的保险产品</w:t>
      </w:r>
      <w:r>
        <w:rPr>
          <w:rFonts w:hint="eastAsia" w:ascii="宋体" w:hAnsi="宋体" w:eastAsia="宋体" w:cs="宋体"/>
          <w:sz w:val="10"/>
        </w:rPr>
        <w:t>，</w:t>
      </w:r>
      <w:r>
        <w:rPr>
          <w:rFonts w:hint="eastAsia" w:ascii="宋体" w:hAnsi="宋体" w:eastAsia="宋体" w:cs="宋体"/>
          <w:sz w:val="24"/>
        </w:rPr>
        <w:t>随着用户习惯的培养以及软</w:t>
      </w:r>
      <w:r>
        <w:rPr>
          <w:rFonts w:hint="eastAsia" w:ascii="宋体" w:hAnsi="宋体" w:eastAsia="宋体" w:cs="宋体"/>
          <w:sz w:val="10"/>
        </w:rPr>
        <w:t>、</w:t>
      </w:r>
      <w:r>
        <w:rPr>
          <w:rFonts w:hint="eastAsia" w:ascii="宋体" w:hAnsi="宋体" w:eastAsia="宋体" w:cs="宋体"/>
          <w:sz w:val="24"/>
        </w:rPr>
        <w:t>硬件配套产品及服务的不断改进</w:t>
      </w:r>
      <w:r>
        <w:rPr>
          <w:rFonts w:hint="eastAsia" w:ascii="宋体" w:hAnsi="宋体" w:eastAsia="宋体" w:cs="宋体"/>
          <w:sz w:val="10"/>
        </w:rPr>
        <w:t>，</w:t>
      </w:r>
      <w:r>
        <w:rPr>
          <w:rFonts w:hint="eastAsia" w:ascii="宋体" w:hAnsi="宋体" w:eastAsia="宋体" w:cs="宋体"/>
          <w:sz w:val="24"/>
        </w:rPr>
        <w:t>未来随着传统金融机构的相继触网</w:t>
      </w:r>
      <w:r>
        <w:rPr>
          <w:rFonts w:hint="eastAsia" w:ascii="宋体" w:hAnsi="宋体" w:eastAsia="宋体" w:cs="宋体"/>
          <w:sz w:val="10"/>
        </w:rPr>
        <w:t>，</w:t>
      </w:r>
      <w:r>
        <w:rPr>
          <w:rFonts w:hint="eastAsia" w:ascii="宋体" w:hAnsi="宋体" w:eastAsia="宋体" w:cs="宋体"/>
          <w:sz w:val="24"/>
        </w:rPr>
        <w:t>销售范围将有可能扩展到绝大部分金融产品</w:t>
      </w:r>
      <w:r>
        <w:rPr>
          <w:rFonts w:hint="eastAsia" w:ascii="宋体" w:hAnsi="宋体" w:eastAsia="宋体" w:cs="宋体"/>
          <w:sz w:val="14"/>
        </w:rPr>
        <w:t>；</w:t>
      </w:r>
      <w:r>
        <w:rPr>
          <w:rFonts w:hint="eastAsia" w:ascii="宋体" w:hAnsi="宋体" w:eastAsia="宋体" w:cs="宋体"/>
          <w:sz w:val="24"/>
        </w:rPr>
        <w:t>其三</w:t>
      </w:r>
      <w:r>
        <w:rPr>
          <w:rFonts w:hint="eastAsia" w:ascii="宋体" w:hAnsi="宋体" w:eastAsia="宋体" w:cs="宋体"/>
          <w:sz w:val="10"/>
        </w:rPr>
        <w:t>，</w:t>
      </w:r>
      <w:r>
        <w:rPr>
          <w:rFonts w:hint="eastAsia" w:ascii="宋体" w:hAnsi="宋体" w:eastAsia="宋体" w:cs="宋体"/>
          <w:sz w:val="24"/>
        </w:rPr>
        <w:t>基于用户属性和交易信息的大数据分析</w:t>
      </w:r>
      <w:r>
        <w:rPr>
          <w:rFonts w:hint="eastAsia" w:ascii="宋体" w:hAnsi="宋体" w:eastAsia="宋体" w:cs="宋体"/>
          <w:sz w:val="10"/>
        </w:rPr>
        <w:t>，</w:t>
      </w:r>
      <w:r>
        <w:rPr>
          <w:rFonts w:hint="eastAsia" w:ascii="宋体" w:hAnsi="宋体" w:eastAsia="宋体" w:cs="宋体"/>
          <w:sz w:val="24"/>
        </w:rPr>
        <w:t>是互联网的特性之一，</w:t>
      </w:r>
      <w:r>
        <w:rPr>
          <w:rFonts w:hint="eastAsia" w:ascii="宋体" w:hAnsi="宋体" w:eastAsia="宋体" w:cs="宋体"/>
          <w:sz w:val="24"/>
        </w:rPr>
        <w:t>这将给更多的互联网定制理财产品及营销手段提供更多的技术支持</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1-1-111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互联网金融将倒逼传统金融产品从自身特性和销售方式上进行转型</w:t>
      </w:r>
      <w:r>
        <w:rPr>
          <w:rFonts w:hint="eastAsia" w:ascii="宋体" w:hAnsi="宋体" w:eastAsia="宋体" w:cs="宋体"/>
          <w:sz w:val="10"/>
        </w:rPr>
        <w:t>，</w:t>
      </w:r>
      <w:r>
        <w:rPr>
          <w:rFonts w:hint="eastAsia" w:ascii="宋体" w:hAnsi="宋体" w:eastAsia="宋体" w:cs="宋体"/>
          <w:sz w:val="24"/>
        </w:rPr>
        <w:t>而这一转型过程中</w:t>
      </w:r>
      <w:r>
        <w:rPr>
          <w:rFonts w:hint="eastAsia" w:ascii="宋体" w:hAnsi="宋体" w:eastAsia="宋体" w:cs="宋体"/>
          <w:sz w:val="10"/>
        </w:rPr>
        <w:t>，</w:t>
      </w:r>
      <w:r>
        <w:rPr>
          <w:rFonts w:hint="eastAsia" w:ascii="宋体" w:hAnsi="宋体" w:eastAsia="宋体" w:cs="宋体"/>
          <w:sz w:val="24"/>
        </w:rPr>
        <w:t>渠道创新成了最为重要的因素</w:t>
      </w:r>
      <w:r>
        <w:rPr>
          <w:rFonts w:hint="eastAsia" w:ascii="宋体" w:hAnsi="宋体" w:eastAsia="宋体" w:cs="宋体"/>
          <w:sz w:val="10"/>
        </w:rPr>
        <w:t>。</w:t>
      </w:r>
      <w:r>
        <w:rPr>
          <w:rFonts w:hint="eastAsia" w:ascii="宋体" w:hAnsi="宋体" w:eastAsia="宋体" w:cs="宋体"/>
          <w:sz w:val="24"/>
        </w:rPr>
        <w:t>更多的金融产品将从系统级产品升级过渡到用户级产品</w:t>
      </w:r>
      <w:r>
        <w:rPr>
          <w:rFonts w:hint="eastAsia" w:ascii="宋体" w:hAnsi="宋体" w:eastAsia="宋体" w:cs="宋体"/>
          <w:sz w:val="10"/>
        </w:rPr>
        <w:t>，</w:t>
      </w:r>
      <w:r>
        <w:rPr>
          <w:rFonts w:hint="eastAsia" w:ascii="宋体" w:hAnsi="宋体" w:eastAsia="宋体" w:cs="宋体"/>
          <w:sz w:val="24"/>
        </w:rPr>
        <w:t>以用户体验为中心的产品创新必将成为互联网金融创新的核心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互联网新经济下</w:t>
      </w:r>
      <w:r>
        <w:rPr>
          <w:rFonts w:hint="eastAsia" w:ascii="宋体" w:hAnsi="宋体" w:eastAsia="宋体" w:cs="宋体"/>
          <w:sz w:val="10"/>
        </w:rPr>
        <w:t>，</w:t>
      </w:r>
      <w:r>
        <w:rPr>
          <w:rFonts w:hint="eastAsia" w:ascii="宋体" w:hAnsi="宋体" w:eastAsia="宋体" w:cs="宋体"/>
          <w:sz w:val="24"/>
        </w:rPr>
        <w:t>用户行为习惯在发生改变</w:t>
      </w:r>
      <w:r>
        <w:rPr>
          <w:rFonts w:hint="eastAsia" w:ascii="宋体" w:hAnsi="宋体" w:eastAsia="宋体" w:cs="宋体"/>
          <w:sz w:val="10"/>
        </w:rPr>
        <w:t>，</w:t>
      </w:r>
      <w:r>
        <w:rPr>
          <w:rFonts w:hint="eastAsia" w:ascii="宋体" w:hAnsi="宋体" w:eastAsia="宋体" w:cs="宋体"/>
          <w:sz w:val="24"/>
        </w:rPr>
        <w:t>主要有以下几个特征</w:t>
      </w:r>
      <w:r>
        <w:rPr>
          <w:rFonts w:hint="eastAsia" w:ascii="宋体" w:hAnsi="宋体" w:eastAsia="宋体" w:cs="宋体"/>
          <w:sz w:val="10"/>
        </w:rPr>
        <w:t>：</w:t>
      </w:r>
      <w:r>
        <w:rPr>
          <w:rFonts w:hint="eastAsia" w:ascii="宋体" w:hAnsi="宋体" w:eastAsia="宋体" w:cs="宋体"/>
          <w:sz w:val="24"/>
        </w:rPr>
        <w:t>其一，</w:t>
      </w:r>
      <w:r>
        <w:rPr>
          <w:rFonts w:hint="eastAsia" w:ascii="宋体" w:hAnsi="宋体" w:eastAsia="宋体" w:cs="宋体"/>
          <w:sz w:val="24"/>
        </w:rPr>
        <w:t>服务时间延长</w:t>
      </w:r>
      <w:r>
        <w:rPr>
          <w:rFonts w:hint="eastAsia" w:ascii="宋体" w:hAnsi="宋体" w:eastAsia="宋体" w:cs="宋体"/>
          <w:sz w:val="10"/>
        </w:rPr>
        <w:t>，</w:t>
      </w:r>
      <w:r>
        <w:rPr>
          <w:rFonts w:hint="eastAsia" w:ascii="宋体" w:hAnsi="宋体" w:eastAsia="宋体" w:cs="宋体"/>
          <w:sz w:val="24"/>
        </w:rPr>
        <w:t>越来越多的交易将发生在金融机构的营业时间以外</w:t>
      </w:r>
      <w:r>
        <w:rPr>
          <w:rFonts w:hint="eastAsia" w:ascii="宋体" w:hAnsi="宋体" w:eastAsia="宋体" w:cs="宋体"/>
          <w:sz w:val="10"/>
        </w:rPr>
        <w:t>，</w:t>
      </w:r>
      <w:r>
        <w:rPr>
          <w:rFonts w:hint="eastAsia" w:ascii="宋体" w:hAnsi="宋体" w:eastAsia="宋体" w:cs="宋体"/>
          <w:sz w:val="24"/>
        </w:rPr>
        <w:t>集中在碎片化时间内</w:t>
      </w:r>
      <w:r>
        <w:rPr>
          <w:rFonts w:hint="eastAsia" w:ascii="宋体" w:hAnsi="宋体" w:eastAsia="宋体" w:cs="宋体"/>
          <w:sz w:val="14"/>
        </w:rPr>
        <w:t>；</w:t>
      </w:r>
      <w:r>
        <w:rPr>
          <w:rFonts w:hint="eastAsia" w:ascii="宋体" w:hAnsi="宋体" w:eastAsia="宋体" w:cs="宋体"/>
          <w:sz w:val="24"/>
        </w:rPr>
        <w:t>其二，</w:t>
      </w:r>
      <w:r>
        <w:rPr>
          <w:rFonts w:hint="eastAsia" w:ascii="宋体" w:hAnsi="宋体" w:eastAsia="宋体" w:cs="宋体"/>
          <w:sz w:val="24"/>
        </w:rPr>
        <w:t>服务渠道拓展</w:t>
      </w:r>
      <w:r>
        <w:rPr>
          <w:rFonts w:hint="eastAsia" w:ascii="宋体" w:hAnsi="宋体" w:eastAsia="宋体" w:cs="宋体"/>
          <w:sz w:val="10"/>
        </w:rPr>
        <w:t>，</w:t>
      </w:r>
      <w:r>
        <w:rPr>
          <w:rFonts w:hint="eastAsia" w:ascii="宋体" w:hAnsi="宋体" w:eastAsia="宋体" w:cs="宋体"/>
          <w:sz w:val="24"/>
        </w:rPr>
        <w:t>传统实体网点增长趋缓</w:t>
      </w:r>
      <w:r>
        <w:rPr>
          <w:rFonts w:hint="eastAsia" w:ascii="宋体" w:hAnsi="宋体" w:eastAsia="宋体" w:cs="宋体"/>
          <w:sz w:val="10"/>
        </w:rPr>
        <w:t>，</w:t>
      </w:r>
      <w:r>
        <w:rPr>
          <w:rFonts w:hint="eastAsia" w:ascii="宋体" w:hAnsi="宋体" w:eastAsia="宋体" w:cs="宋体"/>
          <w:sz w:val="24"/>
        </w:rPr>
        <w:t>接近饱和</w:t>
      </w:r>
      <w:r>
        <w:rPr>
          <w:rFonts w:hint="eastAsia" w:ascii="宋体" w:hAnsi="宋体" w:eastAsia="宋体" w:cs="宋体"/>
          <w:sz w:val="10"/>
        </w:rPr>
        <w:t>，</w:t>
      </w:r>
      <w:r>
        <w:rPr>
          <w:rFonts w:hint="eastAsia" w:ascii="宋体" w:hAnsi="宋体" w:eastAsia="宋体" w:cs="宋体"/>
          <w:sz w:val="24"/>
        </w:rPr>
        <w:t>用户逐渐倾向于网银</w:t>
      </w:r>
      <w:r>
        <w:rPr>
          <w:rFonts w:hint="eastAsia" w:ascii="宋体" w:hAnsi="宋体" w:eastAsia="宋体" w:cs="宋体"/>
          <w:sz w:val="10"/>
        </w:rPr>
        <w:t>、</w:t>
      </w:r>
      <w:r>
        <w:rPr>
          <w:rFonts w:hint="eastAsia" w:ascii="宋体" w:hAnsi="宋体" w:eastAsia="宋体" w:cs="宋体"/>
          <w:sz w:val="24"/>
        </w:rPr>
        <w:t>手机</w:t>
      </w:r>
      <w:r>
        <w:rPr>
          <w:rFonts w:hint="eastAsia" w:ascii="Times New Roman" w:hAnsi="Times New Roman" w:eastAsia="Times New Roman" w:cs="Times New Roman"/>
          <w:sz w:val="24"/>
        </w:rPr>
        <w:t xml:space="preserve"> APP</w:t>
      </w:r>
      <w:r>
        <w:rPr>
          <w:rFonts w:hint="eastAsia" w:ascii="宋体" w:hAnsi="宋体" w:eastAsia="宋体" w:cs="宋体"/>
          <w:sz w:val="10"/>
        </w:rPr>
        <w:t>、</w:t>
      </w:r>
      <w:r>
        <w:rPr>
          <w:rFonts w:hint="eastAsia" w:ascii="宋体" w:hAnsi="宋体" w:eastAsia="宋体" w:cs="宋体"/>
          <w:sz w:val="24"/>
        </w:rPr>
        <w:t>微信公众账号</w:t>
      </w:r>
      <w:r>
        <w:rPr>
          <w:rFonts w:hint="eastAsia" w:ascii="宋体" w:hAnsi="宋体" w:eastAsia="宋体" w:cs="宋体"/>
          <w:sz w:val="10"/>
        </w:rPr>
        <w:t>、</w:t>
      </w:r>
      <w:r>
        <w:rPr>
          <w:rFonts w:hint="eastAsia" w:ascii="宋体" w:hAnsi="宋体" w:eastAsia="宋体" w:cs="宋体"/>
          <w:sz w:val="24"/>
        </w:rPr>
        <w:t>第三方支付平台应用等多渠道完成交易</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用户行为习惯的变化将促进整个金融行业发展</w:t>
      </w:r>
      <w:r>
        <w:rPr>
          <w:rFonts w:hint="eastAsia" w:ascii="宋体" w:hAnsi="宋体" w:eastAsia="宋体" w:cs="宋体"/>
          <w:sz w:val="10"/>
        </w:rPr>
        <w:t>，</w:t>
      </w:r>
      <w:r>
        <w:rPr>
          <w:rFonts w:hint="eastAsia" w:ascii="宋体" w:hAnsi="宋体" w:eastAsia="宋体" w:cs="宋体"/>
          <w:sz w:val="24"/>
        </w:rPr>
        <w:t>而用户习惯的变化首先需要合适的软件产品及服务不断跟踪需求</w:t>
      </w:r>
      <w:r>
        <w:rPr>
          <w:rFonts w:hint="eastAsia" w:ascii="宋体" w:hAnsi="宋体" w:eastAsia="宋体" w:cs="宋体"/>
          <w:sz w:val="10"/>
        </w:rPr>
        <w:t>，</w:t>
      </w:r>
      <w:r>
        <w:rPr>
          <w:rFonts w:hint="eastAsia" w:ascii="宋体" w:hAnsi="宋体" w:eastAsia="宋体" w:cs="宋体"/>
          <w:sz w:val="24"/>
        </w:rPr>
        <w:t>持续改进</w:t>
      </w:r>
      <w:r>
        <w:rPr>
          <w:rFonts w:hint="eastAsia" w:ascii="宋体" w:hAnsi="宋体" w:eastAsia="宋体" w:cs="宋体"/>
          <w:sz w:val="10"/>
        </w:rPr>
        <w:t>，</w:t>
      </w:r>
      <w:r>
        <w:rPr>
          <w:rFonts w:hint="eastAsia" w:ascii="宋体" w:hAnsi="宋体" w:eastAsia="宋体" w:cs="宋体"/>
          <w:sz w:val="24"/>
        </w:rPr>
        <w:t>在保证安全</w:t>
      </w:r>
      <w:r>
        <w:rPr>
          <w:rFonts w:hint="eastAsia" w:ascii="宋体" w:hAnsi="宋体" w:eastAsia="宋体" w:cs="宋体"/>
          <w:sz w:val="10"/>
        </w:rPr>
        <w:t>、</w:t>
      </w:r>
      <w:r>
        <w:rPr>
          <w:rFonts w:hint="eastAsia" w:ascii="宋体" w:hAnsi="宋体" w:eastAsia="宋体" w:cs="宋体"/>
          <w:sz w:val="24"/>
        </w:rPr>
        <w:t>稳定的前提下</w:t>
      </w:r>
      <w:r>
        <w:rPr>
          <w:rFonts w:hint="eastAsia" w:ascii="宋体" w:hAnsi="宋体" w:eastAsia="宋体" w:cs="宋体"/>
          <w:sz w:val="10"/>
        </w:rPr>
        <w:t>，</w:t>
      </w:r>
      <w:r>
        <w:rPr>
          <w:rFonts w:hint="eastAsia" w:ascii="宋体" w:hAnsi="宋体" w:eastAsia="宋体" w:cs="宋体"/>
          <w:sz w:val="24"/>
        </w:rPr>
        <w:t>提供最大程度的便捷交易</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）互联网金融在金融行业各个领域的应用</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互联网金融目前已经渗透到金融行业的各个领域</w:t>
      </w:r>
      <w:r>
        <w:rPr>
          <w:rFonts w:hint="eastAsia" w:ascii="宋体" w:hAnsi="宋体" w:eastAsia="宋体" w:cs="宋体"/>
          <w:sz w:val="10"/>
        </w:rPr>
        <w:t>，</w:t>
      </w:r>
      <w:r>
        <w:rPr>
          <w:rFonts w:hint="eastAsia" w:ascii="宋体" w:hAnsi="宋体" w:eastAsia="宋体" w:cs="宋体"/>
          <w:sz w:val="24"/>
        </w:rPr>
        <w:t>基于互联网的快速发展</w:t>
      </w:r>
      <w:r>
        <w:rPr>
          <w:rFonts w:hint="eastAsia" w:ascii="宋体" w:hAnsi="宋体" w:eastAsia="宋体" w:cs="宋体"/>
          <w:sz w:val="10"/>
        </w:rPr>
        <w:t>，</w:t>
      </w:r>
      <w:r>
        <w:rPr>
          <w:rFonts w:hint="eastAsia" w:ascii="宋体" w:hAnsi="宋体" w:eastAsia="宋体" w:cs="宋体"/>
          <w:sz w:val="24"/>
        </w:rPr>
        <w:t>对金融各子行业的原有业务进行了发展和延伸</w:t>
      </w:r>
      <w:r>
        <w:rPr>
          <w:rFonts w:hint="eastAsia" w:ascii="宋体" w:hAnsi="宋体" w:eastAsia="宋体" w:cs="宋体"/>
          <w:sz w:val="10"/>
        </w:rPr>
        <w:t>，</w:t>
      </w:r>
      <w:r>
        <w:rPr>
          <w:rFonts w:hint="eastAsia" w:ascii="宋体" w:hAnsi="宋体" w:eastAsia="宋体" w:cs="宋体"/>
          <w:sz w:val="24"/>
        </w:rPr>
        <w:t>同时为传统金融机构带来了新的竞争对手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互联网金融应用主要依托移动支付</w:t>
      </w:r>
      <w:r>
        <w:rPr>
          <w:rFonts w:hint="eastAsia" w:ascii="宋体" w:hAnsi="宋体" w:eastAsia="宋体" w:cs="宋体"/>
          <w:sz w:val="10"/>
        </w:rPr>
        <w:t>、</w:t>
      </w:r>
      <w:r>
        <w:rPr>
          <w:rFonts w:hint="eastAsia" w:ascii="宋体" w:hAnsi="宋体" w:eastAsia="宋体" w:cs="宋体"/>
          <w:sz w:val="24"/>
        </w:rPr>
        <w:t>社交网络</w:t>
      </w:r>
      <w:r>
        <w:rPr>
          <w:rFonts w:hint="eastAsia" w:ascii="宋体" w:hAnsi="宋体" w:eastAsia="宋体" w:cs="宋体"/>
          <w:sz w:val="10"/>
        </w:rPr>
        <w:t>、</w:t>
      </w:r>
      <w:r>
        <w:rPr>
          <w:rFonts w:hint="eastAsia" w:ascii="宋体" w:hAnsi="宋体" w:eastAsia="宋体" w:cs="宋体"/>
          <w:sz w:val="24"/>
        </w:rPr>
        <w:t>搜索引擎和云计算等互联网新技术和新理念</w:t>
      </w:r>
      <w:r>
        <w:rPr>
          <w:rFonts w:hint="eastAsia" w:ascii="宋体" w:hAnsi="宋体" w:eastAsia="宋体" w:cs="宋体"/>
          <w:sz w:val="10"/>
        </w:rPr>
        <w:t>，</w:t>
      </w:r>
      <w:r>
        <w:rPr>
          <w:rFonts w:hint="eastAsia" w:ascii="宋体" w:hAnsi="宋体" w:eastAsia="宋体" w:cs="宋体"/>
          <w:sz w:val="24"/>
        </w:rPr>
        <w:t>针对支付结算</w:t>
      </w:r>
      <w:r>
        <w:rPr>
          <w:rFonts w:hint="eastAsia" w:ascii="宋体" w:hAnsi="宋体" w:eastAsia="宋体" w:cs="宋体"/>
          <w:sz w:val="10"/>
        </w:rPr>
        <w:t>、</w:t>
      </w:r>
      <w:r>
        <w:rPr>
          <w:rFonts w:hint="eastAsia" w:ascii="宋体" w:hAnsi="宋体" w:eastAsia="宋体" w:cs="宋体"/>
          <w:sz w:val="24"/>
        </w:rPr>
        <w:t>渠道业务</w:t>
      </w:r>
      <w:r>
        <w:rPr>
          <w:rFonts w:hint="eastAsia" w:ascii="宋体" w:hAnsi="宋体" w:eastAsia="宋体" w:cs="宋体"/>
          <w:sz w:val="10"/>
        </w:rPr>
        <w:t>、</w:t>
      </w:r>
      <w:r>
        <w:rPr>
          <w:rFonts w:hint="eastAsia" w:ascii="宋体" w:hAnsi="宋体" w:eastAsia="宋体" w:cs="宋体"/>
          <w:sz w:val="24"/>
        </w:rPr>
        <w:t>数据处理</w:t>
      </w:r>
      <w:r>
        <w:rPr>
          <w:rFonts w:hint="eastAsia" w:ascii="宋体" w:hAnsi="宋体" w:eastAsia="宋体" w:cs="宋体"/>
          <w:sz w:val="10"/>
        </w:rPr>
        <w:t>、</w:t>
      </w:r>
      <w:r>
        <w:rPr>
          <w:rFonts w:hint="eastAsia" w:ascii="宋体" w:hAnsi="宋体" w:eastAsia="宋体" w:cs="宋体"/>
          <w:sz w:val="24"/>
        </w:rPr>
        <w:t>供应链金融等领域</w:t>
      </w:r>
      <w:r>
        <w:rPr>
          <w:rFonts w:hint="eastAsia" w:ascii="宋体" w:hAnsi="宋体" w:eastAsia="宋体" w:cs="宋体"/>
          <w:sz w:val="10"/>
        </w:rPr>
        <w:t>，</w:t>
      </w:r>
      <w:r>
        <w:rPr>
          <w:rFonts w:hint="eastAsia" w:ascii="宋体" w:hAnsi="宋体" w:eastAsia="宋体" w:cs="宋体"/>
          <w:sz w:val="24"/>
        </w:rPr>
        <w:t>推出了包括第三方网络支付平台</w:t>
      </w:r>
      <w:r>
        <w:rPr>
          <w:rFonts w:hint="eastAsia" w:ascii="宋体" w:hAnsi="宋体" w:eastAsia="宋体" w:cs="宋体"/>
          <w:sz w:val="10"/>
        </w:rPr>
        <w:t>、</w:t>
      </w:r>
      <w:r>
        <w:rPr>
          <w:rFonts w:hint="eastAsia" w:ascii="宋体" w:hAnsi="宋体" w:eastAsia="宋体" w:cs="宋体"/>
          <w:sz w:val="24"/>
        </w:rPr>
        <w:t>资产管理及网络销售等多项业务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在互联网金融模式下</w:t>
      </w:r>
      <w:r>
        <w:rPr>
          <w:rFonts w:hint="eastAsia" w:ascii="宋体" w:hAnsi="宋体" w:eastAsia="宋体" w:cs="宋体"/>
          <w:sz w:val="10"/>
        </w:rPr>
        <w:t>，</w:t>
      </w:r>
      <w:r>
        <w:rPr>
          <w:rFonts w:hint="eastAsia" w:ascii="宋体" w:hAnsi="宋体" w:eastAsia="宋体" w:cs="宋体"/>
          <w:sz w:val="24"/>
        </w:rPr>
        <w:t>以移动通信设备</w:t>
      </w:r>
      <w:r>
        <w:rPr>
          <w:rFonts w:hint="eastAsia" w:ascii="宋体" w:hAnsi="宋体" w:eastAsia="宋体" w:cs="宋体"/>
          <w:sz w:val="10"/>
        </w:rPr>
        <w:t>、</w:t>
      </w:r>
      <w:r>
        <w:rPr>
          <w:rFonts w:hint="eastAsia" w:ascii="宋体" w:hAnsi="宋体" w:eastAsia="宋体" w:cs="宋体"/>
          <w:sz w:val="24"/>
        </w:rPr>
        <w:t>无线通信设备所构成的移动支付手段逐步成为主流</w:t>
      </w:r>
      <w:r>
        <w:rPr>
          <w:rFonts w:hint="eastAsia" w:ascii="宋体" w:hAnsi="宋体" w:eastAsia="宋体" w:cs="宋体"/>
          <w:sz w:val="12"/>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证券</w:t>
      </w:r>
      <w:r>
        <w:rPr>
          <w:rFonts w:hint="eastAsia" w:ascii="宋体" w:hAnsi="宋体" w:eastAsia="宋体" w:cs="宋体"/>
          <w:sz w:val="10"/>
        </w:rPr>
        <w:t>、</w:t>
      </w:r>
      <w:r>
        <w:rPr>
          <w:rFonts w:hint="eastAsia" w:ascii="宋体" w:hAnsi="宋体" w:eastAsia="宋体" w:cs="宋体"/>
          <w:sz w:val="24"/>
        </w:rPr>
        <w:t>生活账单等金融资产的支付和转移也可以通过移动互联网络进行</w:t>
      </w:r>
      <w:r>
        <w:rPr>
          <w:rFonts w:hint="eastAsia" w:ascii="宋体" w:hAnsi="宋体" w:eastAsia="宋体" w:cs="宋体"/>
          <w:sz w:val="10"/>
        </w:rPr>
        <w:t>，</w:t>
      </w:r>
      <w:r>
        <w:rPr>
          <w:rFonts w:hint="eastAsia" w:ascii="宋体" w:hAnsi="宋体" w:eastAsia="宋体" w:cs="宋体"/>
          <w:sz w:val="24"/>
        </w:rPr>
        <w:t>支付清算电子化</w:t>
      </w:r>
      <w:r>
        <w:rPr>
          <w:rFonts w:hint="eastAsia" w:ascii="宋体" w:hAnsi="宋体" w:eastAsia="宋体" w:cs="宋体"/>
          <w:sz w:val="10"/>
        </w:rPr>
        <w:t>，</w:t>
      </w:r>
      <w:r>
        <w:rPr>
          <w:rFonts w:hint="eastAsia" w:ascii="宋体" w:hAnsi="宋体" w:eastAsia="宋体" w:cs="宋体"/>
          <w:sz w:val="24"/>
        </w:rPr>
        <w:t>替代现钞流通</w:t>
      </w:r>
      <w:r>
        <w:rPr>
          <w:rFonts w:hint="eastAsia" w:ascii="宋体" w:hAnsi="宋体" w:eastAsia="宋体" w:cs="宋体"/>
          <w:sz w:val="10"/>
        </w:rPr>
        <w:t>。</w:t>
      </w:r>
      <w:r>
        <w:rPr>
          <w:rFonts w:hint="eastAsia" w:ascii="宋体" w:hAnsi="宋体" w:eastAsia="宋体" w:cs="宋体"/>
          <w:sz w:val="24"/>
        </w:rPr>
        <w:t>与此同时</w:t>
      </w:r>
      <w:r>
        <w:rPr>
          <w:rFonts w:hint="eastAsia" w:ascii="宋体" w:hAnsi="宋体" w:eastAsia="宋体" w:cs="宋体"/>
          <w:sz w:val="10"/>
        </w:rPr>
        <w:t>，</w:t>
      </w:r>
      <w:r>
        <w:rPr>
          <w:rFonts w:hint="eastAsia" w:ascii="宋体" w:hAnsi="宋体" w:eastAsia="宋体" w:cs="宋体"/>
          <w:sz w:val="24"/>
        </w:rPr>
        <w:t>各类金融机构与互联网企业合作</w:t>
      </w:r>
      <w:r>
        <w:rPr>
          <w:rFonts w:hint="eastAsia" w:ascii="宋体" w:hAnsi="宋体" w:eastAsia="宋体" w:cs="宋体"/>
          <w:sz w:val="10"/>
        </w:rPr>
        <w:t>，</w:t>
      </w:r>
      <w:r>
        <w:rPr>
          <w:rFonts w:hint="eastAsia" w:ascii="宋体" w:hAnsi="宋体" w:eastAsia="宋体" w:cs="宋体"/>
          <w:sz w:val="24"/>
        </w:rPr>
        <w:t>陆续推出货币资金理财业务</w:t>
      </w:r>
      <w:r>
        <w:rPr>
          <w:rFonts w:hint="eastAsia" w:ascii="宋体" w:hAnsi="宋体" w:eastAsia="宋体" w:cs="宋体"/>
          <w:sz w:val="10"/>
        </w:rPr>
        <w:t>，</w:t>
      </w:r>
      <w:r>
        <w:rPr>
          <w:rFonts w:hint="eastAsia" w:ascii="宋体" w:hAnsi="宋体" w:eastAsia="宋体" w:cs="宋体"/>
          <w:sz w:val="24"/>
        </w:rPr>
        <w:t>金融产品代销业务</w:t>
      </w:r>
      <w:r>
        <w:rPr>
          <w:rFonts w:hint="eastAsia" w:ascii="宋体" w:hAnsi="宋体" w:eastAsia="宋体" w:cs="宋体"/>
          <w:sz w:val="10"/>
        </w:rPr>
        <w:t>，</w:t>
      </w:r>
      <w:r>
        <w:rPr>
          <w:rFonts w:hint="eastAsia" w:ascii="宋体" w:hAnsi="宋体" w:eastAsia="宋体" w:cs="宋体"/>
          <w:sz w:val="24"/>
        </w:rPr>
        <w:t>虚拟信用卡业务</w:t>
      </w:r>
      <w:r>
        <w:rPr>
          <w:rFonts w:hint="eastAsia" w:ascii="宋体" w:hAnsi="宋体" w:eastAsia="宋体" w:cs="宋体"/>
          <w:sz w:val="10"/>
        </w:rPr>
        <w:t>，</w:t>
      </w:r>
      <w:r>
        <w:rPr>
          <w:rFonts w:hint="eastAsia" w:ascii="宋体" w:hAnsi="宋体" w:eastAsia="宋体" w:cs="宋体"/>
          <w:sz w:val="24"/>
        </w:rPr>
        <w:t>具有开销户</w:t>
      </w:r>
      <w:r>
        <w:rPr>
          <w:rFonts w:hint="eastAsia" w:ascii="宋体" w:hAnsi="宋体" w:eastAsia="宋体" w:cs="宋体"/>
          <w:sz w:val="10"/>
        </w:rPr>
        <w:t>、</w:t>
      </w:r>
      <w:r>
        <w:rPr>
          <w:rFonts w:hint="eastAsia" w:ascii="宋体" w:hAnsi="宋体" w:eastAsia="宋体" w:cs="宋体"/>
          <w:sz w:val="24"/>
        </w:rPr>
        <w:t>转账汇款</w:t>
      </w:r>
      <w:r>
        <w:rPr>
          <w:rFonts w:hint="eastAsia" w:ascii="宋体" w:hAnsi="宋体" w:eastAsia="宋体" w:cs="宋体"/>
          <w:sz w:val="10"/>
        </w:rPr>
        <w:t>、</w:t>
      </w:r>
      <w:r>
        <w:rPr>
          <w:rFonts w:hint="eastAsia" w:ascii="宋体" w:hAnsi="宋体" w:eastAsia="宋体" w:cs="宋体"/>
          <w:sz w:val="24"/>
        </w:rPr>
        <w:t>日常缴费功能的</w:t>
      </w:r>
      <w:r>
        <w:rPr>
          <w:rFonts w:hint="eastAsia" w:ascii="宋体" w:hAnsi="宋体" w:eastAsia="宋体" w:cs="宋体"/>
          <w:sz w:val="10"/>
        </w:rPr>
        <w:t>“</w:t>
      </w:r>
      <w:r>
        <w:rPr>
          <w:rFonts w:hint="eastAsia" w:ascii="宋体" w:hAnsi="宋体" w:eastAsia="宋体" w:cs="宋体"/>
          <w:sz w:val="24"/>
        </w:rPr>
        <w:t>微银行</w:t>
      </w:r>
      <w:r>
        <w:rPr>
          <w:rFonts w:hint="eastAsia" w:ascii="宋体" w:hAnsi="宋体" w:eastAsia="宋体" w:cs="宋体"/>
          <w:sz w:val="10"/>
        </w:rPr>
        <w:t>”</w:t>
      </w:r>
      <w:r>
        <w:rPr>
          <w:rFonts w:hint="eastAsia" w:ascii="宋体" w:hAnsi="宋体" w:eastAsia="宋体" w:cs="宋体"/>
          <w:sz w:val="24"/>
        </w:rPr>
        <w:t>业务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40" w:firstLine="480"/>
        <w:jc w:val="both"/>
      </w:pPr>
      <w:r>
        <w:rPr>
          <w:rFonts w:hint="eastAsia" w:ascii="宋体" w:hAnsi="宋体" w:eastAsia="宋体" w:cs="宋体"/>
          <w:sz w:val="24"/>
        </w:rPr>
        <w:t>从互联网金融应用涉及的行业看</w:t>
      </w:r>
      <w:r>
        <w:rPr>
          <w:rFonts w:hint="eastAsia" w:ascii="宋体" w:hAnsi="宋体" w:eastAsia="宋体" w:cs="宋体"/>
          <w:sz w:val="10"/>
        </w:rPr>
        <w:t>，</w:t>
      </w:r>
      <w:r>
        <w:rPr>
          <w:rFonts w:hint="eastAsia" w:ascii="宋体" w:hAnsi="宋体" w:eastAsia="宋体" w:cs="宋体"/>
          <w:sz w:val="24"/>
        </w:rPr>
        <w:t>证券</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保险等多个领域均已出现了基于互联网的创新业务</w:t>
      </w:r>
      <w:r>
        <w:rPr>
          <w:rFonts w:hint="eastAsia" w:ascii="宋体" w:hAnsi="宋体" w:eastAsia="宋体" w:cs="宋体"/>
          <w:sz w:val="10"/>
        </w:rPr>
        <w:t>，</w:t>
      </w:r>
      <w:r>
        <w:rPr>
          <w:rFonts w:hint="eastAsia" w:ascii="宋体" w:hAnsi="宋体" w:eastAsia="宋体" w:cs="宋体"/>
          <w:sz w:val="24"/>
        </w:rPr>
        <w:t>具体情况参见下表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40"/>
        <w:gridCol w:w="1560"/>
        <w:gridCol w:w="5720"/>
      </w:tblGrid>
      <w:tr>
        <w:trPr>
          <w:trHeight w:val="480" w:hRule="exact"/>
        </w:trPr>
        <w:tc>
          <w:tcPr>
            <w:tcW w:w="1240" w:type="dxa"/>
            <w:tcMar>
              <w:top w:w="0" w:type="dxa"/>
              <w:left w:w="0" w:type="dxa"/>
              <w:bottom w:w="0" w:type="dxa"/>
              <w:right w:w="0" w:type="dxa"/>
            </w:tcMar>
          </w:tcPr>
          <w:p>
            <w:pPr>
              <w:spacing w:before="120"/>
              <w:ind w:left="180"/>
            </w:pPr>
            <w:r>
              <w:rPr>
                <w:rFonts w:hint="eastAsia" w:ascii="宋体" w:hAnsi="宋体" w:eastAsia="宋体" w:cs="宋体"/>
                <w:b/>
                <w:sz w:val="21"/>
              </w:rPr>
              <w:t>金融细分</w:t>
            </w:r>
          </w:p>
        </w:tc>
        <w:tc>
          <w:tcPr>
            <w:tcW w:w="1560" w:type="dxa"/>
            <w:tcMar>
              <w:top w:w="0" w:type="dxa"/>
              <w:left w:w="0" w:type="dxa"/>
              <w:bottom w:w="0" w:type="dxa"/>
              <w:right w:w="0" w:type="dxa"/>
            </w:tcMar>
          </w:tcPr>
          <w:p>
            <w:pPr>
              <w:spacing w:before="120"/>
              <w:ind w:left="240"/>
            </w:pPr>
            <w:r>
              <w:rPr>
                <w:rFonts w:hint="eastAsia" w:ascii="宋体" w:hAnsi="宋体" w:eastAsia="宋体" w:cs="宋体"/>
                <w:b/>
                <w:sz w:val="21"/>
              </w:rPr>
              <w:t>业务或功能</w:t>
            </w:r>
          </w:p>
        </w:tc>
        <w:tc>
          <w:tcPr>
            <w:tcW w:w="5720" w:type="dxa"/>
            <w:tcMar>
              <w:top w:w="0" w:type="dxa"/>
              <w:left w:w="0" w:type="dxa"/>
              <w:bottom w:w="0" w:type="dxa"/>
              <w:right w:w="0" w:type="dxa"/>
            </w:tcMar>
          </w:tcPr>
          <w:p>
            <w:pPr>
              <w:spacing w:before="120"/>
              <w:ind w:left="1360"/>
            </w:pPr>
            <w:r>
              <w:rPr>
                <w:rFonts w:hint="eastAsia" w:ascii="宋体" w:hAnsi="宋体" w:eastAsia="宋体" w:cs="宋体"/>
                <w:b/>
                <w:sz w:val="21"/>
              </w:rPr>
              <w:t>国内外互联网金融的应用与创新</w:t>
            </w:r>
          </w:p>
        </w:tc>
      </w:tr>
      <w:tr>
        <w:trPr>
          <w:trHeight w:val="360" w:hRule="exact"/>
        </w:trPr>
        <w:tc>
          <w:tcPr>
            <w:tcW w:w="1240" w:type="dxa"/>
            <w:tcMar>
              <w:top w:w="0" w:type="dxa"/>
              <w:left w:w="0" w:type="dxa"/>
              <w:bottom w:w="0" w:type="dxa"/>
              <w:right w:w="0" w:type="dxa"/>
            </w:tcMar>
          </w:tcPr>
          <w:p>
            <w:pPr>
              <w:spacing w:before="100"/>
              <w:ind w:left="280"/>
            </w:pPr>
            <w:r>
              <w:rPr>
                <w:rFonts w:hint="eastAsia" w:ascii="宋体" w:hAnsi="宋体" w:eastAsia="宋体" w:cs="宋体"/>
                <w:sz w:val="21"/>
              </w:rPr>
              <w:t>证券业</w:t>
            </w:r>
          </w:p>
        </w:tc>
        <w:tc>
          <w:tcPr>
            <w:tcW w:w="1560" w:type="dxa"/>
            <w:tcMar>
              <w:top w:w="0" w:type="dxa"/>
              <w:left w:w="0" w:type="dxa"/>
              <w:bottom w:w="0" w:type="dxa"/>
              <w:right w:w="0" w:type="dxa"/>
            </w:tcMar>
          </w:tcPr>
          <w:p>
            <w:pPr>
              <w:spacing w:before="40"/>
              <w:ind w:left="340"/>
            </w:pPr>
            <w:r>
              <w:rPr>
                <w:rFonts w:hint="eastAsia" w:ascii="宋体" w:hAnsi="宋体" w:eastAsia="宋体" w:cs="宋体"/>
                <w:sz w:val="21"/>
              </w:rPr>
              <w:t>经纪业务</w:t>
            </w:r>
          </w:p>
        </w:tc>
        <w:tc>
          <w:tcPr>
            <w:tcW w:w="5720" w:type="dxa"/>
            <w:tcMar>
              <w:top w:w="0" w:type="dxa"/>
              <w:left w:w="0" w:type="dxa"/>
              <w:bottom w:w="0" w:type="dxa"/>
              <w:right w:w="0" w:type="dxa"/>
            </w:tcMar>
          </w:tcPr>
          <w:p>
            <w:pPr>
              <w:spacing w:before="60"/>
              <w:ind w:left="100"/>
            </w:pPr>
            <w:r>
              <w:rPr>
                <w:rFonts w:hint="eastAsia" w:ascii="宋体" w:hAnsi="宋体" w:eastAsia="宋体" w:cs="宋体"/>
                <w:sz w:val="21"/>
              </w:rPr>
              <w:t>网络经纪</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1-1-112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40"/>
        <w:gridCol w:w="1560"/>
        <w:gridCol w:w="5720"/>
      </w:tblGrid>
      <w:tr>
        <w:trPr>
          <w:trHeight w:val="360" w:hRule="exact"/>
        </w:trPr>
        <w:tc>
          <w:tcPr>
            <w:tcW w:w="1240" w:type="dxa"/>
            <w:vMerge w:val="restart"/>
            <w:tcMar>
              <w:top w:w="0" w:type="dxa"/>
              <w:left w:w="0" w:type="dxa"/>
              <w:bottom w:w="0" w:type="dxa"/>
              <w:right w:w="0" w:type="dxa"/>
            </w:tcMar>
          </w:tcPr>
          <w:p/>
        </w:tc>
        <w:tc>
          <w:tcPr>
            <w:tcW w:w="1560" w:type="dxa"/>
            <w:tcMar>
              <w:top w:w="0" w:type="dxa"/>
              <w:left w:w="0" w:type="dxa"/>
              <w:bottom w:w="0" w:type="dxa"/>
              <w:right w:w="0" w:type="dxa"/>
            </w:tcMar>
          </w:tcPr>
          <w:p>
            <w:pPr>
              <w:spacing w:before="60"/>
              <w:ind w:left="340"/>
            </w:pPr>
            <w:r>
              <w:rPr>
                <w:rFonts w:hint="eastAsia" w:ascii="宋体" w:hAnsi="宋体" w:eastAsia="宋体" w:cs="宋体"/>
                <w:sz w:val="21"/>
              </w:rPr>
              <w:t>研究业务</w:t>
            </w:r>
          </w:p>
        </w:tc>
        <w:tc>
          <w:tcPr>
            <w:tcW w:w="5720" w:type="dxa"/>
            <w:tcMar>
              <w:top w:w="0" w:type="dxa"/>
              <w:left w:w="0" w:type="dxa"/>
              <w:bottom w:w="0" w:type="dxa"/>
              <w:right w:w="0" w:type="dxa"/>
            </w:tcMar>
          </w:tcPr>
          <w:p>
            <w:pPr>
              <w:spacing w:before="60"/>
              <w:ind w:left="100"/>
            </w:pPr>
            <w:r>
              <w:rPr>
                <w:rFonts w:hint="eastAsia" w:ascii="宋体" w:hAnsi="宋体" w:eastAsia="宋体" w:cs="宋体"/>
                <w:sz w:val="21"/>
              </w:rPr>
              <w:t>大数据分析平台</w:t>
            </w:r>
          </w:p>
        </w:tc>
      </w:tr>
      <w:tr>
        <w:trPr>
          <w:trHeight w:val="38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60"/>
              <w:ind w:left="340"/>
            </w:pPr>
            <w:r>
              <w:rPr>
                <w:rFonts w:hint="eastAsia" w:ascii="宋体" w:hAnsi="宋体" w:eastAsia="宋体" w:cs="宋体"/>
                <w:sz w:val="21"/>
              </w:rPr>
              <w:t>市场交易</w:t>
            </w:r>
          </w:p>
        </w:tc>
        <w:tc>
          <w:tcPr>
            <w:tcW w:w="5720" w:type="dxa"/>
            <w:tcMar>
              <w:top w:w="0" w:type="dxa"/>
              <w:left w:w="0" w:type="dxa"/>
              <w:bottom w:w="0" w:type="dxa"/>
              <w:right w:w="0" w:type="dxa"/>
            </w:tcMar>
          </w:tcPr>
          <w:p>
            <w:pPr>
              <w:spacing w:before="60"/>
              <w:ind w:left="100"/>
            </w:pPr>
            <w:r>
              <w:rPr>
                <w:rFonts w:hint="eastAsia" w:ascii="宋体" w:hAnsi="宋体" w:eastAsia="宋体" w:cs="宋体"/>
                <w:sz w:val="21"/>
              </w:rPr>
              <w:t>程序化交易</w:t>
            </w:r>
          </w:p>
        </w:tc>
      </w:tr>
      <w:tr>
        <w:trPr>
          <w:trHeight w:val="36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40"/>
              <w:ind w:left="340"/>
            </w:pPr>
            <w:r>
              <w:rPr>
                <w:rFonts w:hint="eastAsia" w:ascii="宋体" w:hAnsi="宋体" w:eastAsia="宋体" w:cs="宋体"/>
                <w:sz w:val="21"/>
              </w:rPr>
              <w:t>基金销售</w:t>
            </w:r>
          </w:p>
        </w:tc>
        <w:tc>
          <w:tcPr>
            <w:tcW w:w="5720" w:type="dxa"/>
            <w:tcMar>
              <w:top w:w="0" w:type="dxa"/>
              <w:left w:w="0" w:type="dxa"/>
              <w:bottom w:w="0" w:type="dxa"/>
              <w:right w:w="0" w:type="dxa"/>
            </w:tcMar>
          </w:tcPr>
          <w:p>
            <w:pPr>
              <w:spacing w:before="40"/>
              <w:ind w:left="100"/>
            </w:pPr>
            <w:r>
              <w:rPr>
                <w:rFonts w:hint="eastAsia" w:ascii="宋体" w:hAnsi="宋体" w:eastAsia="宋体" w:cs="宋体"/>
                <w:sz w:val="21"/>
              </w:rPr>
              <w:t>第三方网上平台</w:t>
            </w:r>
            <w:r>
              <w:rPr>
                <w:rFonts w:hint="eastAsia" w:ascii="宋体" w:hAnsi="宋体" w:eastAsia="宋体" w:cs="宋体"/>
                <w:sz w:val="10"/>
              </w:rPr>
              <w:t>、</w:t>
            </w:r>
            <w:r>
              <w:rPr>
                <w:rFonts w:hint="eastAsia" w:ascii="宋体" w:hAnsi="宋体" w:eastAsia="宋体" w:cs="宋体"/>
                <w:sz w:val="21"/>
              </w:rPr>
              <w:t>直销网上平台</w:t>
            </w:r>
          </w:p>
        </w:tc>
      </w:tr>
      <w:tr>
        <w:trPr>
          <w:trHeight w:val="38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60"/>
              <w:ind w:left="340"/>
            </w:pPr>
            <w:r>
              <w:rPr>
                <w:rFonts w:hint="eastAsia" w:ascii="宋体" w:hAnsi="宋体" w:eastAsia="宋体" w:cs="宋体"/>
                <w:sz w:val="21"/>
              </w:rPr>
              <w:t>股权投资</w:t>
            </w:r>
          </w:p>
        </w:tc>
        <w:tc>
          <w:tcPr>
            <w:tcW w:w="5720" w:type="dxa"/>
            <w:tcMar>
              <w:top w:w="0" w:type="dxa"/>
              <w:left w:w="0" w:type="dxa"/>
              <w:bottom w:w="0" w:type="dxa"/>
              <w:right w:w="0" w:type="dxa"/>
            </w:tcMar>
          </w:tcPr>
          <w:p>
            <w:pPr>
              <w:spacing w:before="60"/>
              <w:ind w:left="100"/>
            </w:pPr>
            <w:r>
              <w:rPr>
                <w:rFonts w:hint="eastAsia" w:ascii="宋体" w:hAnsi="宋体" w:eastAsia="宋体" w:cs="宋体"/>
                <w:sz w:val="21"/>
              </w:rPr>
              <w:t>股权众筹</w:t>
            </w:r>
          </w:p>
        </w:tc>
      </w:tr>
      <w:tr>
        <w:trPr>
          <w:trHeight w:val="36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60"/>
              <w:ind w:left="340"/>
            </w:pPr>
            <w:r>
              <w:rPr>
                <w:rFonts w:hint="eastAsia" w:ascii="宋体" w:hAnsi="宋体" w:eastAsia="宋体" w:cs="宋体"/>
                <w:sz w:val="21"/>
              </w:rPr>
              <w:t>投行业务</w:t>
            </w:r>
          </w:p>
        </w:tc>
        <w:tc>
          <w:tcPr>
            <w:tcW w:w="5720" w:type="dxa"/>
            <w:tcMar>
              <w:top w:w="0" w:type="dxa"/>
              <w:left w:w="0" w:type="dxa"/>
              <w:bottom w:w="0" w:type="dxa"/>
              <w:right w:w="0" w:type="dxa"/>
            </w:tcMar>
          </w:tcPr>
          <w:p>
            <w:pPr>
              <w:spacing w:before="60"/>
              <w:ind w:left="100"/>
            </w:pPr>
            <w:r>
              <w:rPr>
                <w:rFonts w:hint="eastAsia" w:ascii="Times New Roman" w:hAnsi="Times New Roman" w:eastAsia="Times New Roman" w:cs="Times New Roman"/>
                <w:sz w:val="21"/>
              </w:rPr>
              <w:t>Alpha</w:t>
            </w:r>
            <w:r>
              <w:rPr>
                <w:rFonts w:hint="eastAsia" w:ascii="宋体" w:hAnsi="宋体" w:eastAsia="宋体" w:cs="宋体"/>
                <w:sz w:val="21"/>
              </w:rPr>
              <w:t>平台</w:t>
            </w:r>
            <w:r>
              <w:rPr>
                <w:rFonts w:hint="eastAsia" w:ascii="宋体" w:hAnsi="宋体" w:eastAsia="宋体" w:cs="宋体"/>
                <w:sz w:val="10"/>
              </w:rPr>
              <w:t>、</w:t>
            </w:r>
            <w:r>
              <w:rPr>
                <w:rFonts w:hint="eastAsia" w:ascii="Times New Roman" w:hAnsi="Times New Roman" w:eastAsia="Times New Roman" w:cs="Times New Roman"/>
                <w:sz w:val="21"/>
              </w:rPr>
              <w:t>Dealglobe</w:t>
            </w:r>
            <w:r>
              <w:rPr>
                <w:rFonts w:hint="eastAsia" w:ascii="宋体" w:hAnsi="宋体" w:eastAsia="宋体" w:cs="宋体"/>
                <w:sz w:val="10"/>
              </w:rPr>
              <w:t>、</w:t>
            </w:r>
            <w:r>
              <w:rPr>
                <w:rFonts w:hint="eastAsia" w:ascii="Times New Roman" w:hAnsi="Times New Roman" w:eastAsia="Times New Roman" w:cs="Times New Roman"/>
                <w:sz w:val="21"/>
              </w:rPr>
              <w:t>Chinamerger</w:t>
            </w:r>
            <w:r>
              <w:rPr>
                <w:rFonts w:hint="eastAsia" w:ascii="宋体" w:hAnsi="宋体" w:eastAsia="宋体" w:cs="宋体"/>
                <w:sz w:val="10"/>
              </w:rPr>
              <w:t>、</w:t>
            </w:r>
            <w:r>
              <w:rPr>
                <w:rFonts w:hint="eastAsia" w:ascii="Times New Roman" w:hAnsi="Times New Roman" w:eastAsia="Times New Roman" w:cs="Times New Roman"/>
                <w:sz w:val="21"/>
              </w:rPr>
              <w:t>Aztec Money</w:t>
            </w:r>
          </w:p>
        </w:tc>
      </w:tr>
      <w:tr>
        <w:trPr>
          <w:trHeight w:val="320" w:hRule="exact"/>
        </w:trPr>
        <w:tc>
          <w:tcPr>
            <w:tcW w:w="1240" w:type="dxa"/>
            <w:vMerge w:val="restart"/>
            <w:tcMar>
              <w:top w:w="0" w:type="dxa"/>
              <w:left w:w="0" w:type="dxa"/>
              <w:bottom w:w="0" w:type="dxa"/>
              <w:right w:w="0" w:type="dxa"/>
            </w:tcMar>
          </w:tcPr>
          <w:p>
            <w:pPr>
              <w:spacing w:before="1160"/>
              <w:ind w:left="280"/>
            </w:pPr>
            <w:r>
              <w:rPr>
                <w:rFonts w:hint="eastAsia" w:ascii="宋体" w:hAnsi="宋体" w:eastAsia="宋体" w:cs="宋体"/>
                <w:sz w:val="21"/>
              </w:rPr>
              <w:t>银行业</w:t>
            </w:r>
          </w:p>
        </w:tc>
        <w:tc>
          <w:tcPr>
            <w:tcW w:w="1560" w:type="dxa"/>
            <w:tcMar>
              <w:top w:w="0" w:type="dxa"/>
              <w:left w:w="0" w:type="dxa"/>
              <w:bottom w:w="0" w:type="dxa"/>
              <w:right w:w="0" w:type="dxa"/>
            </w:tcMar>
          </w:tcPr>
          <w:p>
            <w:pPr>
              <w:spacing w:before="20"/>
              <w:ind w:left="340"/>
            </w:pPr>
            <w:r>
              <w:rPr>
                <w:rFonts w:hint="eastAsia" w:ascii="宋体" w:hAnsi="宋体" w:eastAsia="宋体" w:cs="宋体"/>
                <w:sz w:val="21"/>
              </w:rPr>
              <w:t>支付业务</w:t>
            </w:r>
          </w:p>
        </w:tc>
        <w:tc>
          <w:tcPr>
            <w:tcW w:w="5720" w:type="dxa"/>
            <w:tcMar>
              <w:top w:w="0" w:type="dxa"/>
              <w:left w:w="0" w:type="dxa"/>
              <w:bottom w:w="0" w:type="dxa"/>
              <w:right w:w="0" w:type="dxa"/>
            </w:tcMar>
          </w:tcPr>
          <w:p>
            <w:pPr>
              <w:spacing w:before="20"/>
              <w:ind w:left="100"/>
            </w:pPr>
            <w:r>
              <w:rPr>
                <w:rFonts w:hint="eastAsia" w:ascii="宋体" w:hAnsi="宋体" w:eastAsia="宋体" w:cs="宋体"/>
                <w:sz w:val="21"/>
              </w:rPr>
              <w:t>第三方支付</w:t>
            </w:r>
          </w:p>
        </w:tc>
      </w:tr>
      <w:tr>
        <w:trPr>
          <w:trHeight w:val="32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40"/>
              <w:ind w:left="340"/>
            </w:pPr>
            <w:r>
              <w:rPr>
                <w:rFonts w:hint="eastAsia" w:ascii="宋体" w:hAnsi="宋体" w:eastAsia="宋体" w:cs="宋体"/>
                <w:sz w:val="21"/>
              </w:rPr>
              <w:t>贷款业务</w:t>
            </w:r>
          </w:p>
        </w:tc>
        <w:tc>
          <w:tcPr>
            <w:tcW w:w="5720" w:type="dxa"/>
            <w:tcMar>
              <w:top w:w="0" w:type="dxa"/>
              <w:left w:w="0" w:type="dxa"/>
              <w:bottom w:w="0" w:type="dxa"/>
              <w:right w:w="0" w:type="dxa"/>
            </w:tcMar>
          </w:tcPr>
          <w:p>
            <w:pPr>
              <w:spacing w:before="40"/>
              <w:ind w:left="100"/>
            </w:pPr>
            <w:r>
              <w:rPr>
                <w:rFonts w:hint="eastAsia" w:ascii="宋体" w:hAnsi="宋体" w:eastAsia="宋体" w:cs="宋体"/>
                <w:sz w:val="21"/>
              </w:rPr>
              <w:t>非存款类放贷</w:t>
            </w:r>
            <w:r>
              <w:rPr>
                <w:rFonts w:hint="eastAsia" w:ascii="宋体" w:hAnsi="宋体" w:eastAsia="宋体" w:cs="宋体"/>
                <w:sz w:val="10"/>
              </w:rPr>
              <w:t>、</w:t>
            </w:r>
            <w:r>
              <w:rPr>
                <w:rFonts w:hint="eastAsia" w:ascii="宋体" w:hAnsi="宋体" w:eastAsia="宋体" w:cs="宋体"/>
                <w:sz w:val="21"/>
              </w:rPr>
              <w:t>传统银行网上贷款申请</w:t>
            </w:r>
            <w:r>
              <w:rPr>
                <w:rFonts w:hint="eastAsia" w:ascii="宋体" w:hAnsi="宋体" w:eastAsia="宋体" w:cs="宋体"/>
                <w:sz w:val="10"/>
              </w:rPr>
              <w:t>、</w:t>
            </w:r>
            <w:r>
              <w:rPr>
                <w:rFonts w:hint="eastAsia" w:ascii="宋体" w:hAnsi="宋体" w:eastAsia="宋体" w:cs="宋体"/>
                <w:sz w:val="21"/>
              </w:rPr>
              <w:t>债权众筹</w:t>
            </w:r>
            <w:r>
              <w:rPr>
                <w:rFonts w:hint="eastAsia" w:ascii="Times New Roman" w:hAnsi="Times New Roman" w:eastAsia="Times New Roman" w:cs="Times New Roman"/>
                <w:sz w:val="21"/>
              </w:rPr>
              <w:t>/P2P</w:t>
            </w:r>
          </w:p>
        </w:tc>
      </w:tr>
      <w:tr>
        <w:trPr>
          <w:trHeight w:val="48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20"/>
              <w:ind w:left="340"/>
            </w:pPr>
            <w:r>
              <w:rPr>
                <w:rFonts w:hint="eastAsia" w:ascii="宋体" w:hAnsi="宋体" w:eastAsia="宋体" w:cs="宋体"/>
                <w:sz w:val="21"/>
              </w:rPr>
              <w:t>储蓄业务</w:t>
            </w:r>
          </w:p>
        </w:tc>
        <w:tc>
          <w:tcPr>
            <w:tcW w:w="5720" w:type="dxa"/>
            <w:tcMar>
              <w:top w:w="0" w:type="dxa"/>
              <w:left w:w="0" w:type="dxa"/>
              <w:bottom w:w="0" w:type="dxa"/>
              <w:right w:w="0" w:type="dxa"/>
            </w:tcMar>
          </w:tcPr>
          <w:p>
            <w:pPr>
              <w:spacing w:before="100"/>
              <w:ind w:left="100"/>
            </w:pPr>
            <w:r>
              <w:rPr>
                <w:rFonts w:hint="eastAsia" w:ascii="宋体" w:hAnsi="宋体" w:eastAsia="宋体" w:cs="宋体"/>
                <w:sz w:val="21"/>
              </w:rPr>
              <w:t>直接理财</w:t>
            </w:r>
            <w:r>
              <w:rPr>
                <w:rFonts w:hint="eastAsia" w:ascii="宋体" w:hAnsi="宋体" w:eastAsia="宋体" w:cs="宋体"/>
                <w:sz w:val="10"/>
              </w:rPr>
              <w:t>、</w:t>
            </w:r>
            <w:r>
              <w:rPr>
                <w:rFonts w:hint="eastAsia" w:ascii="宋体" w:hAnsi="宋体" w:eastAsia="宋体" w:cs="宋体"/>
                <w:sz w:val="21"/>
              </w:rPr>
              <w:t>理财平台</w:t>
            </w:r>
          </w:p>
        </w:tc>
      </w:tr>
      <w:tr>
        <w:trPr>
          <w:trHeight w:val="48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00"/>
              <w:ind w:left="340"/>
            </w:pPr>
            <w:r>
              <w:rPr>
                <w:rFonts w:hint="eastAsia" w:ascii="宋体" w:hAnsi="宋体" w:eastAsia="宋体" w:cs="宋体"/>
                <w:sz w:val="21"/>
              </w:rPr>
              <w:t>风控业务</w:t>
            </w:r>
          </w:p>
        </w:tc>
        <w:tc>
          <w:tcPr>
            <w:tcW w:w="5720" w:type="dxa"/>
            <w:tcMar>
              <w:top w:w="0" w:type="dxa"/>
              <w:left w:w="0" w:type="dxa"/>
              <w:bottom w:w="0" w:type="dxa"/>
              <w:right w:w="0" w:type="dxa"/>
            </w:tcMar>
          </w:tcPr>
          <w:p>
            <w:pPr>
              <w:spacing w:before="100"/>
              <w:ind w:left="100"/>
            </w:pPr>
            <w:r>
              <w:rPr>
                <w:rFonts w:hint="eastAsia" w:ascii="宋体" w:hAnsi="宋体" w:eastAsia="宋体" w:cs="宋体"/>
                <w:sz w:val="21"/>
              </w:rPr>
              <w:t>风险定价</w:t>
            </w:r>
            <w:r>
              <w:rPr>
                <w:rFonts w:hint="eastAsia" w:ascii="宋体" w:hAnsi="宋体" w:eastAsia="宋体" w:cs="宋体"/>
                <w:sz w:val="20"/>
              </w:rPr>
              <w:t>（</w:t>
            </w:r>
            <w:r>
              <w:rPr>
                <w:rFonts w:hint="eastAsia" w:ascii="宋体" w:hAnsi="宋体" w:eastAsia="宋体" w:cs="宋体"/>
                <w:sz w:val="21"/>
              </w:rPr>
              <w:t>建立大数据征信体系</w:t>
            </w:r>
            <w:r>
              <w:rPr>
                <w:rFonts w:hint="eastAsia" w:ascii="宋体" w:hAnsi="宋体" w:eastAsia="宋体" w:cs="宋体"/>
                <w:sz w:val="20"/>
              </w:rPr>
              <w:t>）</w:t>
            </w:r>
          </w:p>
        </w:tc>
      </w:tr>
      <w:tr>
        <w:trPr>
          <w:trHeight w:val="48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20"/>
              <w:ind w:left="340"/>
            </w:pPr>
            <w:r>
              <w:rPr>
                <w:rFonts w:hint="eastAsia" w:ascii="宋体" w:hAnsi="宋体" w:eastAsia="宋体" w:cs="宋体"/>
                <w:sz w:val="21"/>
              </w:rPr>
              <w:t>柜台业务</w:t>
            </w:r>
          </w:p>
        </w:tc>
        <w:tc>
          <w:tcPr>
            <w:tcW w:w="5720" w:type="dxa"/>
            <w:tcMar>
              <w:top w:w="0" w:type="dxa"/>
              <w:left w:w="0" w:type="dxa"/>
              <w:bottom w:w="0" w:type="dxa"/>
              <w:right w:w="0" w:type="dxa"/>
            </w:tcMar>
          </w:tcPr>
          <w:p>
            <w:pPr>
              <w:spacing w:before="120"/>
              <w:ind w:left="100"/>
            </w:pPr>
            <w:r>
              <w:rPr>
                <w:rFonts w:hint="eastAsia" w:ascii="宋体" w:hAnsi="宋体" w:eastAsia="宋体" w:cs="宋体"/>
                <w:sz w:val="21"/>
              </w:rPr>
              <w:t>互联网柜台</w:t>
            </w:r>
          </w:p>
        </w:tc>
      </w:tr>
      <w:tr>
        <w:trPr>
          <w:trHeight w:val="48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20"/>
              <w:ind w:left="240"/>
            </w:pPr>
            <w:r>
              <w:rPr>
                <w:rFonts w:hint="eastAsia" w:ascii="宋体" w:hAnsi="宋体" w:eastAsia="宋体" w:cs="宋体"/>
                <w:sz w:val="21"/>
              </w:rPr>
              <w:t>间接投融资</w:t>
            </w:r>
          </w:p>
        </w:tc>
        <w:tc>
          <w:tcPr>
            <w:tcW w:w="5720" w:type="dxa"/>
            <w:tcMar>
              <w:top w:w="0" w:type="dxa"/>
              <w:left w:w="0" w:type="dxa"/>
              <w:bottom w:w="0" w:type="dxa"/>
              <w:right w:w="0" w:type="dxa"/>
            </w:tcMar>
          </w:tcPr>
          <w:p>
            <w:pPr>
              <w:spacing w:before="120"/>
              <w:ind w:left="100"/>
            </w:pPr>
            <w:r>
              <w:rPr>
                <w:rFonts w:hint="eastAsia" w:ascii="宋体" w:hAnsi="宋体" w:eastAsia="宋体" w:cs="宋体"/>
                <w:sz w:val="21"/>
              </w:rPr>
              <w:t>网络银行</w:t>
            </w:r>
          </w:p>
        </w:tc>
      </w:tr>
      <w:tr>
        <w:trPr>
          <w:trHeight w:val="480" w:hRule="exact"/>
        </w:trPr>
        <w:tc>
          <w:tcPr>
            <w:tcW w:w="1240" w:type="dxa"/>
            <w:tcMar>
              <w:top w:w="0" w:type="dxa"/>
              <w:left w:w="0" w:type="dxa"/>
              <w:bottom w:w="0" w:type="dxa"/>
              <w:right w:w="0" w:type="dxa"/>
            </w:tcMar>
          </w:tcPr>
          <w:p>
            <w:pPr>
              <w:spacing w:before="100"/>
              <w:ind w:left="280"/>
            </w:pPr>
            <w:r>
              <w:rPr>
                <w:rFonts w:hint="eastAsia" w:ascii="宋体" w:hAnsi="宋体" w:eastAsia="宋体" w:cs="宋体"/>
                <w:sz w:val="21"/>
              </w:rPr>
              <w:t>保险业</w:t>
            </w:r>
          </w:p>
        </w:tc>
        <w:tc>
          <w:tcPr>
            <w:tcW w:w="1560" w:type="dxa"/>
            <w:tcMar>
              <w:top w:w="0" w:type="dxa"/>
              <w:left w:w="0" w:type="dxa"/>
              <w:bottom w:w="0" w:type="dxa"/>
              <w:right w:w="0" w:type="dxa"/>
            </w:tcMar>
          </w:tcPr>
          <w:p>
            <w:pPr>
              <w:spacing w:before="100"/>
              <w:ind w:left="340"/>
            </w:pPr>
            <w:r>
              <w:rPr>
                <w:rFonts w:hint="eastAsia" w:ascii="宋体" w:hAnsi="宋体" w:eastAsia="宋体" w:cs="宋体"/>
                <w:sz w:val="21"/>
              </w:rPr>
              <w:t>保险销售</w:t>
            </w:r>
          </w:p>
        </w:tc>
        <w:tc>
          <w:tcPr>
            <w:tcW w:w="5720" w:type="dxa"/>
            <w:tcMar>
              <w:top w:w="0" w:type="dxa"/>
              <w:left w:w="0" w:type="dxa"/>
              <w:bottom w:w="0" w:type="dxa"/>
              <w:right w:w="0" w:type="dxa"/>
            </w:tcMar>
          </w:tcPr>
          <w:p>
            <w:pPr>
              <w:spacing w:before="100"/>
              <w:ind w:left="100"/>
            </w:pPr>
            <w:r>
              <w:rPr>
                <w:rFonts w:hint="eastAsia" w:ascii="宋体" w:hAnsi="宋体" w:eastAsia="宋体" w:cs="宋体"/>
                <w:sz w:val="21"/>
              </w:rPr>
              <w:t>网络保险</w:t>
            </w:r>
          </w:p>
        </w:tc>
      </w:tr>
      <w:tr>
        <w:trPr>
          <w:trHeight w:val="460" w:hRule="exact"/>
        </w:trPr>
        <w:tc>
          <w:tcPr>
            <w:tcW w:w="1240" w:type="dxa"/>
            <w:tcMar>
              <w:top w:w="0" w:type="dxa"/>
              <w:left w:w="0" w:type="dxa"/>
              <w:bottom w:w="0" w:type="dxa"/>
              <w:right w:w="0" w:type="dxa"/>
            </w:tcMar>
          </w:tcPr>
          <w:p>
            <w:pPr>
              <w:spacing w:before="100"/>
              <w:ind w:left="180"/>
            </w:pPr>
            <w:r>
              <w:rPr>
                <w:rFonts w:hint="eastAsia" w:ascii="宋体" w:hAnsi="宋体" w:eastAsia="宋体" w:cs="宋体"/>
                <w:sz w:val="21"/>
              </w:rPr>
              <w:t>中央银行</w:t>
            </w:r>
          </w:p>
        </w:tc>
        <w:tc>
          <w:tcPr>
            <w:tcW w:w="1560" w:type="dxa"/>
            <w:tcMar>
              <w:top w:w="0" w:type="dxa"/>
              <w:left w:w="0" w:type="dxa"/>
              <w:bottom w:w="0" w:type="dxa"/>
              <w:right w:w="0" w:type="dxa"/>
            </w:tcMar>
          </w:tcPr>
          <w:p>
            <w:pPr>
              <w:spacing w:before="100"/>
              <w:ind w:left="340"/>
            </w:pPr>
            <w:r>
              <w:rPr>
                <w:rFonts w:hint="eastAsia" w:ascii="宋体" w:hAnsi="宋体" w:eastAsia="宋体" w:cs="宋体"/>
                <w:sz w:val="21"/>
              </w:rPr>
              <w:t>货币发行</w:t>
            </w:r>
          </w:p>
        </w:tc>
        <w:tc>
          <w:tcPr>
            <w:tcW w:w="5720" w:type="dxa"/>
            <w:tcMar>
              <w:top w:w="0" w:type="dxa"/>
              <w:left w:w="0" w:type="dxa"/>
              <w:bottom w:w="0" w:type="dxa"/>
              <w:right w:w="0" w:type="dxa"/>
            </w:tcMar>
          </w:tcPr>
          <w:p>
            <w:pPr>
              <w:spacing w:before="100"/>
              <w:ind w:left="100"/>
            </w:pPr>
            <w:r>
              <w:rPr>
                <w:rFonts w:hint="eastAsia" w:ascii="宋体" w:hAnsi="宋体" w:eastAsia="宋体" w:cs="宋体"/>
                <w:sz w:val="21"/>
              </w:rPr>
              <w:t>数字货币</w:t>
            </w:r>
          </w:p>
        </w:tc>
      </w:tr>
    </w:tbl>
    <w:p>
      <w:pPr>
        <w:autoSpaceDE w:val="false"/>
        <w:autoSpaceDN w:val="false"/>
        <w:spacing w:line="280" w:lineRule="exact"/>
        <w:ind w:left="1800"/>
        <w:jc w:val="both"/>
      </w:pPr>
      <w:r>
        <w:rPr>
          <w:rFonts w:hint="eastAsia" w:ascii="宋体" w:hAnsi="宋体" w:eastAsia="宋体" w:cs="宋体"/>
          <w:sz w:val="21"/>
        </w:rPr>
        <w:t>资料来源</w:t>
      </w:r>
      <w:r>
        <w:rPr>
          <w:rFonts w:hint="eastAsia" w:ascii="宋体" w:hAnsi="宋体" w:eastAsia="宋体" w:cs="宋体"/>
          <w:sz w:val="10"/>
        </w:rPr>
        <w:t>：</w:t>
      </w:r>
      <w:r>
        <w:rPr>
          <w:rFonts w:hint="eastAsia" w:ascii="宋体" w:hAnsi="宋体" w:eastAsia="宋体" w:cs="宋体"/>
          <w:sz w:val="21"/>
        </w:rPr>
        <w:t>国信证券研究报告</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近年来</w:t>
      </w:r>
      <w:r>
        <w:rPr>
          <w:rFonts w:hint="eastAsia" w:ascii="宋体" w:hAnsi="宋体" w:eastAsia="宋体" w:cs="宋体"/>
          <w:sz w:val="10"/>
        </w:rPr>
        <w:t>，</w:t>
      </w:r>
      <w:r>
        <w:rPr>
          <w:rFonts w:hint="eastAsia" w:ascii="宋体" w:hAnsi="宋体" w:eastAsia="宋体" w:cs="宋体"/>
          <w:sz w:val="24"/>
        </w:rPr>
        <w:t>海外金融机构提出</w:t>
      </w:r>
      <w:r>
        <w:rPr>
          <w:rFonts w:hint="eastAsia" w:ascii="Times New Roman" w:hAnsi="Times New Roman" w:eastAsia="Times New Roman" w:cs="Times New Roman"/>
          <w:sz w:val="24"/>
        </w:rPr>
        <w:t xml:space="preserve"> Fintech</w:t>
      </w:r>
      <w:r>
        <w:rPr>
          <w:rFonts w:hint="eastAsia" w:ascii="宋体" w:hAnsi="宋体" w:eastAsia="宋体" w:cs="宋体"/>
          <w:sz w:val="24"/>
        </w:rPr>
        <w:t xml:space="preserve"> 概念</w:t>
      </w:r>
      <w:r>
        <w:rPr>
          <w:rFonts w:hint="eastAsia" w:ascii="宋体" w:hAnsi="宋体" w:eastAsia="宋体" w:cs="宋体"/>
          <w:sz w:val="10"/>
        </w:rPr>
        <w:t>。</w:t>
      </w:r>
      <w:r>
        <w:rPr>
          <w:rFonts w:hint="eastAsia" w:ascii="Times New Roman" w:hAnsi="Times New Roman" w:eastAsia="Times New Roman" w:cs="Times New Roman"/>
          <w:sz w:val="24"/>
        </w:rPr>
        <w:t>Fintech</w:t>
      </w:r>
      <w:r>
        <w:rPr>
          <w:rFonts w:hint="eastAsia" w:ascii="宋体" w:hAnsi="宋体" w:eastAsia="宋体" w:cs="宋体"/>
          <w:sz w:val="24"/>
        </w:rPr>
        <w:t xml:space="preserve"> 主要指技术带来的金融创新</w:t>
      </w:r>
      <w:r>
        <w:rPr>
          <w:rFonts w:hint="eastAsia" w:ascii="宋体" w:hAnsi="宋体" w:eastAsia="宋体" w:cs="宋体"/>
          <w:sz w:val="10"/>
        </w:rPr>
        <w:t>，</w:t>
      </w:r>
      <w:r>
        <w:rPr>
          <w:rFonts w:hint="eastAsia" w:ascii="宋体" w:hAnsi="宋体" w:eastAsia="宋体" w:cs="宋体"/>
          <w:sz w:val="24"/>
        </w:rPr>
        <w:t>能创造新的业务模式</w:t>
      </w:r>
      <w:r>
        <w:rPr>
          <w:rFonts w:hint="eastAsia" w:ascii="宋体" w:hAnsi="宋体" w:eastAsia="宋体" w:cs="宋体"/>
          <w:sz w:val="10"/>
        </w:rPr>
        <w:t>、</w:t>
      </w:r>
      <w:r>
        <w:rPr>
          <w:rFonts w:hint="eastAsia" w:ascii="宋体" w:hAnsi="宋体" w:eastAsia="宋体" w:cs="宋体"/>
          <w:sz w:val="24"/>
        </w:rPr>
        <w:t>应用</w:t>
      </w:r>
      <w:r>
        <w:rPr>
          <w:rFonts w:hint="eastAsia" w:ascii="宋体" w:hAnsi="宋体" w:eastAsia="宋体" w:cs="宋体"/>
          <w:sz w:val="10"/>
        </w:rPr>
        <w:t>、</w:t>
      </w:r>
      <w:r>
        <w:rPr>
          <w:rFonts w:hint="eastAsia" w:ascii="宋体" w:hAnsi="宋体" w:eastAsia="宋体" w:cs="宋体"/>
          <w:sz w:val="24"/>
        </w:rPr>
        <w:t>流程或产品</w:t>
      </w:r>
      <w:r>
        <w:rPr>
          <w:rFonts w:hint="eastAsia" w:ascii="宋体" w:hAnsi="宋体" w:eastAsia="宋体" w:cs="宋体"/>
          <w:sz w:val="10"/>
        </w:rPr>
        <w:t>，</w:t>
      </w:r>
      <w:r>
        <w:rPr>
          <w:rFonts w:hint="eastAsia" w:ascii="宋体" w:hAnsi="宋体" w:eastAsia="宋体" w:cs="宋体"/>
          <w:sz w:val="24"/>
        </w:rPr>
        <w:t>从而对金融市场</w:t>
      </w:r>
      <w:r>
        <w:rPr>
          <w:rFonts w:hint="eastAsia" w:ascii="宋体" w:hAnsi="宋体" w:eastAsia="宋体" w:cs="宋体"/>
          <w:sz w:val="10"/>
        </w:rPr>
        <w:t>、</w:t>
      </w:r>
      <w:r>
        <w:rPr>
          <w:rFonts w:hint="eastAsia" w:ascii="宋体" w:hAnsi="宋体" w:eastAsia="宋体" w:cs="宋体"/>
          <w:sz w:val="24"/>
        </w:rPr>
        <w:t>金融机构或金融服务的提供方式产生影响</w:t>
      </w:r>
      <w:r>
        <w:rPr>
          <w:rFonts w:hint="eastAsia" w:ascii="宋体" w:hAnsi="宋体" w:eastAsia="宋体" w:cs="宋体"/>
          <w:sz w:val="10"/>
        </w:rPr>
        <w:t>。</w:t>
      </w:r>
      <w:r>
        <w:rPr>
          <w:rFonts w:hint="eastAsia" w:ascii="Times New Roman" w:hAnsi="Times New Roman" w:eastAsia="Times New Roman" w:cs="Times New Roman"/>
          <w:sz w:val="24"/>
        </w:rPr>
        <w:t>Fintech</w:t>
      </w:r>
      <w:r>
        <w:rPr>
          <w:rFonts w:hint="eastAsia" w:ascii="宋体" w:hAnsi="宋体" w:eastAsia="宋体" w:cs="宋体"/>
          <w:sz w:val="24"/>
        </w:rPr>
        <w:t xml:space="preserve"> 涉及的范畴较互联网金融更广</w:t>
      </w:r>
      <w:r>
        <w:rPr>
          <w:rFonts w:hint="eastAsia" w:ascii="宋体" w:hAnsi="宋体" w:eastAsia="宋体" w:cs="宋体"/>
          <w:sz w:val="10"/>
        </w:rPr>
        <w:t>，</w:t>
      </w:r>
      <w:r>
        <w:rPr>
          <w:rFonts w:hint="eastAsia" w:ascii="宋体" w:hAnsi="宋体" w:eastAsia="宋体" w:cs="宋体"/>
          <w:sz w:val="24"/>
        </w:rPr>
        <w:t>在证券交易服务</w:t>
      </w:r>
      <w:r>
        <w:rPr>
          <w:rFonts w:hint="eastAsia" w:ascii="宋体" w:hAnsi="宋体" w:eastAsia="宋体" w:cs="宋体"/>
          <w:sz w:val="10"/>
        </w:rPr>
        <w:t>、</w:t>
      </w:r>
      <w:r>
        <w:rPr>
          <w:rFonts w:hint="eastAsia" w:ascii="宋体" w:hAnsi="宋体" w:eastAsia="宋体" w:cs="宋体"/>
          <w:sz w:val="24"/>
        </w:rPr>
        <w:t>支付及结算服务</w:t>
      </w:r>
      <w:r>
        <w:rPr>
          <w:rFonts w:hint="eastAsia" w:ascii="宋体" w:hAnsi="宋体" w:eastAsia="宋体" w:cs="宋体"/>
          <w:sz w:val="10"/>
        </w:rPr>
        <w:t>、</w:t>
      </w:r>
      <w:r>
        <w:rPr>
          <w:rFonts w:hint="eastAsia" w:ascii="宋体" w:hAnsi="宋体" w:eastAsia="宋体" w:cs="宋体"/>
          <w:sz w:val="24"/>
        </w:rPr>
        <w:t>零售银行服务</w:t>
      </w:r>
      <w:r>
        <w:rPr>
          <w:rFonts w:hint="eastAsia" w:ascii="宋体" w:hAnsi="宋体" w:eastAsia="宋体" w:cs="宋体"/>
          <w:sz w:val="10"/>
        </w:rPr>
        <w:t>、</w:t>
      </w:r>
      <w:r>
        <w:rPr>
          <w:rFonts w:hint="eastAsia" w:ascii="宋体" w:hAnsi="宋体" w:eastAsia="宋体" w:cs="宋体"/>
          <w:sz w:val="24"/>
        </w:rPr>
        <w:t>金融理财服务</w:t>
      </w:r>
      <w:r>
        <w:rPr>
          <w:rFonts w:hint="eastAsia" w:ascii="宋体" w:hAnsi="宋体" w:eastAsia="宋体" w:cs="宋体"/>
          <w:sz w:val="10"/>
        </w:rPr>
        <w:t>、</w:t>
      </w:r>
      <w:r>
        <w:rPr>
          <w:rFonts w:hint="eastAsia" w:ascii="宋体" w:hAnsi="宋体" w:eastAsia="宋体" w:cs="宋体"/>
          <w:sz w:val="24"/>
        </w:rPr>
        <w:t>新型保险服务等多方面实现技术及服务的多方位突破</w:t>
      </w:r>
      <w:r>
        <w:rPr>
          <w:rFonts w:hint="eastAsia" w:ascii="宋体" w:hAnsi="宋体" w:eastAsia="宋体" w:cs="宋体"/>
          <w:sz w:val="10"/>
        </w:rPr>
        <w:t>。</w:t>
      </w:r>
      <w:r>
        <w:rPr>
          <w:rFonts w:hint="eastAsia" w:ascii="宋体" w:hAnsi="宋体" w:eastAsia="宋体" w:cs="宋体"/>
          <w:sz w:val="24"/>
        </w:rPr>
        <w:t>国内金融信息服务提供商亦开始尝试涉足</w:t>
      </w:r>
      <w:r>
        <w:rPr>
          <w:rFonts w:hint="eastAsia" w:ascii="Times New Roman" w:hAnsi="Times New Roman" w:eastAsia="Times New Roman" w:cs="Times New Roman"/>
          <w:sz w:val="24"/>
        </w:rPr>
        <w:t>Fintech</w:t>
      </w:r>
      <w:r>
        <w:rPr>
          <w:rFonts w:hint="eastAsia" w:ascii="宋体" w:hAnsi="宋体" w:eastAsia="宋体" w:cs="宋体"/>
          <w:sz w:val="24"/>
        </w:rPr>
        <w:t xml:space="preserve"> 的探索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证券业互联网金融的发展趋势</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）互联网金融对中国证券业的影响</w:t>
      </w:r>
    </w:p>
    <w:p>
      <w:pPr>
        <w:spacing w:line="200" w:lineRule="exact"/>
        <w:rPr>
          <w:rFonts w:hint="eastAsia" w:ascii="宋体" w:hAnsi="宋体" w:eastAsia="宋体" w:cs="宋体"/>
          <w:sz w:val="20"/>
        </w:rPr>
      </w:pPr>
    </w:p>
    <w:p>
      <w:pPr>
        <w:autoSpaceDE w:val="false"/>
        <w:autoSpaceDN w:val="false"/>
        <w:spacing w:line="440" w:lineRule="exact"/>
        <w:ind w:left="1800" w:right="1660" w:firstLine="480"/>
        <w:jc w:val="both"/>
      </w:pPr>
      <w:r>
        <w:rPr>
          <w:rFonts w:hint="eastAsia" w:ascii="宋体" w:hAnsi="宋体" w:eastAsia="宋体" w:cs="宋体"/>
          <w:sz w:val="24"/>
        </w:rPr>
        <w:t>中国证券行业的发展经历了三个阶段</w:t>
      </w:r>
      <w:r>
        <w:rPr>
          <w:rFonts w:hint="eastAsia" w:ascii="宋体" w:hAnsi="宋体" w:eastAsia="宋体" w:cs="宋体"/>
          <w:sz w:val="10"/>
        </w:rPr>
        <w:t>。</w:t>
      </w:r>
      <w:r>
        <w:rPr>
          <w:rFonts w:hint="eastAsia" w:ascii="宋体" w:hAnsi="宋体" w:eastAsia="宋体" w:cs="宋体"/>
          <w:sz w:val="24"/>
        </w:rPr>
        <w:t>第一阶段竞争的核心是规模和渠道</w:t>
      </w:r>
      <w:r>
        <w:rPr>
          <w:rFonts w:hint="eastAsia" w:ascii="宋体" w:hAnsi="宋体" w:eastAsia="宋体" w:cs="宋体"/>
          <w:sz w:val="10"/>
        </w:rPr>
        <w:t>，</w:t>
      </w:r>
      <w:r>
        <w:rPr>
          <w:rFonts w:hint="eastAsia" w:ascii="宋体" w:hAnsi="宋体" w:eastAsia="宋体" w:cs="宋体"/>
          <w:sz w:val="24"/>
        </w:rPr>
        <w:t>证券公司以经纪</w:t>
      </w:r>
      <w:r>
        <w:rPr>
          <w:rFonts w:hint="eastAsia" w:ascii="宋体" w:hAnsi="宋体" w:eastAsia="宋体" w:cs="宋体"/>
          <w:sz w:val="10"/>
        </w:rPr>
        <w:t>、</w:t>
      </w:r>
      <w:r>
        <w:rPr>
          <w:rFonts w:hint="eastAsia" w:ascii="宋体" w:hAnsi="宋体" w:eastAsia="宋体" w:cs="宋体"/>
          <w:sz w:val="24"/>
        </w:rPr>
        <w:t>自营为主营业务</w:t>
      </w:r>
      <w:r>
        <w:rPr>
          <w:rFonts w:hint="eastAsia" w:ascii="宋体" w:hAnsi="宋体" w:eastAsia="宋体" w:cs="宋体"/>
          <w:sz w:val="10"/>
        </w:rPr>
        <w:t>，</w:t>
      </w:r>
      <w:r>
        <w:rPr>
          <w:rFonts w:hint="eastAsia" w:ascii="宋体" w:hAnsi="宋体" w:eastAsia="宋体" w:cs="宋体"/>
          <w:sz w:val="24"/>
        </w:rPr>
        <w:t>营业部渠道资源是最重要的竞争因素之一。</w:t>
      </w: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第二阶段发展的主要动力是创新</w:t>
      </w:r>
      <w:r>
        <w:rPr>
          <w:rFonts w:hint="eastAsia" w:ascii="宋体" w:hAnsi="宋体" w:eastAsia="宋体" w:cs="宋体"/>
          <w:sz w:val="10"/>
        </w:rPr>
        <w:t>，</w:t>
      </w:r>
      <w:r>
        <w:rPr>
          <w:rFonts w:hint="eastAsia" w:ascii="宋体" w:hAnsi="宋体" w:eastAsia="宋体" w:cs="宋体"/>
          <w:sz w:val="24"/>
        </w:rPr>
        <w:t>开端较早</w:t>
      </w:r>
      <w:r>
        <w:rPr>
          <w:rFonts w:hint="eastAsia" w:ascii="宋体" w:hAnsi="宋体" w:eastAsia="宋体" w:cs="宋体"/>
          <w:sz w:val="10"/>
        </w:rPr>
        <w:t>，</w:t>
      </w:r>
      <w:r>
        <w:rPr>
          <w:rFonts w:hint="eastAsia" w:ascii="宋体" w:hAnsi="宋体" w:eastAsia="宋体" w:cs="宋体"/>
          <w:sz w:val="24"/>
        </w:rPr>
        <w:t>正式平稳且成型的发展从</w:t>
      </w:r>
      <w:r>
        <w:rPr>
          <w:rFonts w:hint="eastAsia" w:ascii="Times New Roman" w:hAnsi="Times New Roman" w:eastAsia="Times New Roman" w:cs="Times New Roman"/>
          <w:sz w:val="24"/>
        </w:rPr>
        <w:t xml:space="preserve"> 2012</w:t>
      </w:r>
      <w:r>
        <w:rPr>
          <w:rFonts w:hint="eastAsia" w:ascii="宋体" w:hAnsi="宋体" w:eastAsia="宋体" w:cs="宋体"/>
          <w:sz w:val="24"/>
        </w:rPr>
        <w:t xml:space="preserve"> 年开始</w:t>
      </w:r>
      <w:r>
        <w:rPr>
          <w:rFonts w:hint="eastAsia" w:ascii="宋体" w:hAnsi="宋体" w:eastAsia="宋体" w:cs="宋体"/>
          <w:sz w:val="10"/>
        </w:rPr>
        <w:t>，</w:t>
      </w:r>
      <w:r>
        <w:rPr>
          <w:rFonts w:hint="eastAsia" w:ascii="宋体" w:hAnsi="宋体" w:eastAsia="宋体" w:cs="宋体"/>
          <w:sz w:val="24"/>
        </w:rPr>
        <w:t>业务的创新为证券公司带来重要的发展机遇</w:t>
      </w:r>
      <w:r>
        <w:rPr>
          <w:rFonts w:hint="eastAsia" w:ascii="宋体" w:hAnsi="宋体" w:eastAsia="宋体" w:cs="宋体"/>
          <w:sz w:val="10"/>
        </w:rPr>
        <w:t>，</w:t>
      </w:r>
      <w:r>
        <w:rPr>
          <w:rFonts w:hint="eastAsia" w:ascii="宋体" w:hAnsi="宋体" w:eastAsia="宋体" w:cs="宋体"/>
          <w:sz w:val="24"/>
        </w:rPr>
        <w:t>证券公司收入结构呈现多元化</w:t>
      </w:r>
      <w:r>
        <w:rPr>
          <w:rFonts w:hint="eastAsia" w:ascii="宋体" w:hAnsi="宋体" w:eastAsia="宋体" w:cs="宋体"/>
          <w:sz w:val="10"/>
        </w:rPr>
        <w:t>，</w:t>
      </w:r>
      <w:r>
        <w:rPr>
          <w:rFonts w:hint="eastAsia" w:ascii="宋体" w:hAnsi="宋体" w:eastAsia="宋体" w:cs="宋体"/>
          <w:sz w:val="24"/>
        </w:rPr>
        <w:t>创新能力带来溢价</w:t>
      </w:r>
      <w:r>
        <w:rPr>
          <w:rFonts w:hint="eastAsia" w:ascii="宋体" w:hAnsi="宋体" w:eastAsia="宋体" w:cs="宋体"/>
          <w:sz w:val="10"/>
        </w:rPr>
        <w:t>。</w:t>
      </w:r>
      <w:r>
        <w:rPr>
          <w:rFonts w:hint="eastAsia" w:ascii="宋体" w:hAnsi="宋体" w:eastAsia="宋体" w:cs="宋体"/>
          <w:sz w:val="24"/>
        </w:rPr>
        <w:t>第三阶段的关键在于互联网</w:t>
      </w:r>
      <w:r>
        <w:rPr>
          <w:rFonts w:hint="eastAsia" w:ascii="宋体" w:hAnsi="宋体" w:eastAsia="宋体" w:cs="宋体"/>
          <w:sz w:val="10"/>
        </w:rPr>
        <w:t>，</w:t>
      </w:r>
      <w:r>
        <w:rPr>
          <w:rFonts w:hint="eastAsia" w:ascii="宋体" w:hAnsi="宋体" w:eastAsia="宋体" w:cs="宋体"/>
          <w:sz w:val="24"/>
        </w:rPr>
        <w:t>目前正处于互联网金融的实践阶段</w:t>
      </w:r>
      <w:r>
        <w:rPr>
          <w:rFonts w:hint="eastAsia" w:ascii="宋体" w:hAnsi="宋体" w:eastAsia="宋体" w:cs="宋体"/>
          <w:sz w:val="10"/>
        </w:rPr>
        <w:t>，</w:t>
      </w:r>
      <w:r>
        <w:rPr>
          <w:rFonts w:hint="eastAsia" w:ascii="宋体" w:hAnsi="宋体" w:eastAsia="宋体" w:cs="宋体"/>
          <w:sz w:val="24"/>
        </w:rPr>
        <w:t>大方向逐渐明朗</w:t>
      </w:r>
      <w:r>
        <w:rPr>
          <w:rFonts w:hint="eastAsia" w:ascii="宋体" w:hAnsi="宋体" w:eastAsia="宋体" w:cs="宋体"/>
          <w:sz w:val="10"/>
        </w:rPr>
        <w:t>，</w:t>
      </w:r>
      <w:r>
        <w:rPr>
          <w:rFonts w:hint="eastAsia" w:ascii="宋体" w:hAnsi="宋体" w:eastAsia="宋体" w:cs="宋体"/>
          <w:sz w:val="24"/>
        </w:rPr>
        <w:t>正在由包括监管方</w:t>
      </w:r>
      <w:r>
        <w:rPr>
          <w:rFonts w:hint="eastAsia" w:ascii="宋体" w:hAnsi="宋体" w:eastAsia="宋体" w:cs="宋体"/>
          <w:sz w:val="10"/>
        </w:rPr>
        <w:t>、</w:t>
      </w:r>
      <w:r>
        <w:rPr>
          <w:rFonts w:hint="eastAsia" w:ascii="宋体" w:hAnsi="宋体" w:eastAsia="宋体" w:cs="宋体"/>
          <w:sz w:val="24"/>
        </w:rPr>
        <w:t>证券公司</w:t>
      </w:r>
      <w:r>
        <w:rPr>
          <w:rFonts w:hint="eastAsia" w:ascii="宋体" w:hAnsi="宋体" w:eastAsia="宋体" w:cs="宋体"/>
          <w:sz w:val="10"/>
        </w:rPr>
        <w:t>、</w:t>
      </w:r>
      <w:r>
        <w:rPr>
          <w:rFonts w:hint="eastAsia" w:ascii="宋体" w:hAnsi="宋体" w:eastAsia="宋体" w:cs="宋体"/>
          <w:sz w:val="24"/>
        </w:rPr>
        <w:t>投资者在内的所有参与者不断付诸应用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互联网金融对证券业的影响</w:t>
      </w:r>
      <w:r>
        <w:rPr>
          <w:rFonts w:hint="eastAsia" w:ascii="宋体" w:hAnsi="宋体" w:eastAsia="宋体" w:cs="宋体"/>
          <w:sz w:val="10"/>
        </w:rPr>
        <w:t>，</w:t>
      </w:r>
      <w:r>
        <w:rPr>
          <w:rFonts w:hint="eastAsia" w:ascii="宋体" w:hAnsi="宋体" w:eastAsia="宋体" w:cs="宋体"/>
          <w:sz w:val="24"/>
        </w:rPr>
        <w:t>主要分为以下几个方面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1-1-113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其一，</w:t>
      </w:r>
      <w:r>
        <w:rPr>
          <w:rFonts w:hint="eastAsia" w:ascii="宋体" w:hAnsi="宋体" w:eastAsia="宋体" w:cs="宋体"/>
          <w:sz w:val="24"/>
        </w:rPr>
        <w:t>传统经纪业务</w:t>
      </w:r>
      <w:r>
        <w:rPr>
          <w:rFonts w:hint="eastAsia" w:ascii="宋体" w:hAnsi="宋体" w:eastAsia="宋体" w:cs="宋体"/>
          <w:sz w:val="10"/>
        </w:rPr>
        <w:t>。</w:t>
      </w:r>
      <w:r>
        <w:rPr>
          <w:rFonts w:hint="eastAsia" w:ascii="宋体" w:hAnsi="宋体" w:eastAsia="宋体" w:cs="宋体"/>
          <w:sz w:val="24"/>
        </w:rPr>
        <w:t>互联网首先带来改变的是传统经纪业务的开户</w:t>
      </w:r>
      <w:r>
        <w:rPr>
          <w:rFonts w:hint="eastAsia" w:ascii="宋体" w:hAnsi="宋体" w:eastAsia="宋体" w:cs="宋体"/>
          <w:sz w:val="10"/>
        </w:rPr>
        <w:t>、</w:t>
      </w:r>
      <w:r>
        <w:rPr>
          <w:rFonts w:hint="eastAsia" w:ascii="宋体" w:hAnsi="宋体" w:eastAsia="宋体" w:cs="宋体"/>
          <w:sz w:val="24"/>
        </w:rPr>
        <w:t>交易功能</w:t>
      </w:r>
      <w:r>
        <w:rPr>
          <w:rFonts w:hint="eastAsia" w:ascii="宋体" w:hAnsi="宋体" w:eastAsia="宋体" w:cs="宋体"/>
          <w:sz w:val="10"/>
        </w:rPr>
        <w:t>。</w:t>
      </w:r>
      <w:r>
        <w:rPr>
          <w:rFonts w:hint="eastAsia" w:ascii="Times New Roman" w:hAnsi="Times New Roman" w:eastAsia="Times New Roman" w:cs="Times New Roman"/>
          <w:sz w:val="24"/>
        </w:rPr>
        <w:t>2013-2014</w:t>
      </w:r>
      <w:r>
        <w:rPr>
          <w:rFonts w:hint="eastAsia" w:ascii="宋体" w:hAnsi="宋体" w:eastAsia="宋体" w:cs="宋体"/>
          <w:sz w:val="24"/>
        </w:rPr>
        <w:t xml:space="preserve"> 年以来</w:t>
      </w:r>
      <w:r>
        <w:rPr>
          <w:rFonts w:hint="eastAsia" w:ascii="宋体" w:hAnsi="宋体" w:eastAsia="宋体" w:cs="宋体"/>
          <w:sz w:val="10"/>
        </w:rPr>
        <w:t>，</w:t>
      </w:r>
      <w:r>
        <w:rPr>
          <w:rFonts w:hint="eastAsia" w:ascii="宋体" w:hAnsi="宋体" w:eastAsia="宋体" w:cs="宋体"/>
          <w:sz w:val="24"/>
        </w:rPr>
        <w:t>各证券公司陆续推出低佣金的网上开户</w:t>
      </w:r>
      <w:r>
        <w:rPr>
          <w:rFonts w:hint="eastAsia" w:ascii="宋体" w:hAnsi="宋体" w:eastAsia="宋体" w:cs="宋体"/>
          <w:sz w:val="10"/>
        </w:rPr>
        <w:t>，</w:t>
      </w:r>
      <w:r>
        <w:rPr>
          <w:rFonts w:hint="eastAsia" w:ascii="宋体" w:hAnsi="宋体" w:eastAsia="宋体" w:cs="宋体"/>
          <w:sz w:val="24"/>
        </w:rPr>
        <w:t>部分证券公司通过和互联网企业合作导入客户流量</w:t>
      </w:r>
      <w:r>
        <w:rPr>
          <w:rFonts w:hint="eastAsia" w:ascii="宋体" w:hAnsi="宋体" w:eastAsia="宋体" w:cs="宋体"/>
          <w:sz w:val="10"/>
        </w:rPr>
        <w:t>，</w:t>
      </w:r>
      <w:r>
        <w:rPr>
          <w:rFonts w:hint="eastAsia" w:ascii="宋体" w:hAnsi="宋体" w:eastAsia="宋体" w:cs="宋体"/>
          <w:sz w:val="24"/>
        </w:rPr>
        <w:t>互联网开始对传统通道业务带来实质冲击</w:t>
      </w:r>
      <w:r>
        <w:rPr>
          <w:rFonts w:hint="eastAsia" w:ascii="宋体" w:hAnsi="宋体" w:eastAsia="宋体" w:cs="宋体"/>
          <w:sz w:val="10"/>
        </w:rPr>
        <w:t>。</w:t>
      </w:r>
      <w:r>
        <w:rPr>
          <w:rFonts w:hint="eastAsia" w:ascii="宋体" w:hAnsi="宋体" w:eastAsia="宋体" w:cs="宋体"/>
          <w:sz w:val="24"/>
        </w:rPr>
        <w:t>其中的原因是多维度的</w:t>
      </w:r>
      <w:r>
        <w:rPr>
          <w:rFonts w:hint="eastAsia" w:ascii="宋体" w:hAnsi="宋体" w:eastAsia="宋体" w:cs="宋体"/>
          <w:sz w:val="12"/>
        </w:rPr>
        <w:t>：一</w:t>
      </w:r>
      <w:r>
        <w:rPr>
          <w:rFonts w:hint="eastAsia" w:ascii="宋体" w:hAnsi="宋体" w:eastAsia="宋体" w:cs="宋体"/>
          <w:sz w:val="24"/>
        </w:rPr>
        <w:t>方面</w:t>
      </w:r>
      <w:r>
        <w:rPr>
          <w:rFonts w:hint="eastAsia" w:ascii="宋体" w:hAnsi="宋体" w:eastAsia="宋体" w:cs="宋体"/>
          <w:sz w:val="10"/>
        </w:rPr>
        <w:t>，</w:t>
      </w:r>
      <w:r>
        <w:rPr>
          <w:rFonts w:hint="eastAsia" w:ascii="宋体" w:hAnsi="宋体" w:eastAsia="宋体" w:cs="宋体"/>
          <w:sz w:val="24"/>
        </w:rPr>
        <w:t>近年来证券交易佣金率持续下降</w:t>
      </w:r>
      <w:r>
        <w:rPr>
          <w:rFonts w:hint="eastAsia" w:ascii="宋体" w:hAnsi="宋体" w:eastAsia="宋体" w:cs="宋体"/>
          <w:sz w:val="10"/>
        </w:rPr>
        <w:t>，</w:t>
      </w:r>
      <w:r>
        <w:rPr>
          <w:rFonts w:hint="eastAsia" w:ascii="宋体" w:hAnsi="宋体" w:eastAsia="宋体" w:cs="宋体"/>
          <w:sz w:val="24"/>
        </w:rPr>
        <w:t>激烈的价格战导致全行业佣金收入无法通过价格的变动带来增量的刺激</w:t>
      </w:r>
      <w:r>
        <w:rPr>
          <w:rFonts w:hint="eastAsia" w:ascii="宋体" w:hAnsi="宋体" w:eastAsia="宋体" w:cs="宋体"/>
          <w:sz w:val="12"/>
        </w:rPr>
        <w:t>；</w:t>
      </w:r>
      <w:r>
        <w:rPr>
          <w:rFonts w:hint="eastAsia" w:ascii="宋体" w:hAnsi="宋体" w:eastAsia="宋体" w:cs="宋体"/>
          <w:sz w:val="24"/>
        </w:rPr>
        <w:t>另</w:t>
      </w:r>
      <w:r>
        <w:rPr>
          <w:rFonts w:hint="eastAsia" w:ascii="宋体" w:hAnsi="宋体" w:eastAsia="宋体" w:cs="宋体"/>
          <w:sz w:val="10"/>
        </w:rPr>
        <w:t>一</w:t>
      </w:r>
      <w:r>
        <w:rPr>
          <w:rFonts w:hint="eastAsia" w:ascii="宋体" w:hAnsi="宋体" w:eastAsia="宋体" w:cs="宋体"/>
          <w:sz w:val="24"/>
        </w:rPr>
        <w:t>方面</w:t>
      </w:r>
      <w:r>
        <w:rPr>
          <w:rFonts w:hint="eastAsia" w:ascii="宋体" w:hAnsi="宋体" w:eastAsia="宋体" w:cs="宋体"/>
          <w:sz w:val="10"/>
        </w:rPr>
        <w:t>，</w:t>
      </w:r>
      <w:r>
        <w:rPr>
          <w:rFonts w:hint="eastAsia" w:ascii="宋体" w:hAnsi="宋体" w:eastAsia="宋体" w:cs="宋体"/>
          <w:sz w:val="24"/>
        </w:rPr>
        <w:t>互联网拥有海量客户流量入口</w:t>
      </w:r>
      <w:r>
        <w:rPr>
          <w:rFonts w:hint="eastAsia" w:ascii="宋体" w:hAnsi="宋体" w:eastAsia="宋体" w:cs="宋体"/>
          <w:sz w:val="10"/>
        </w:rPr>
        <w:t>，</w:t>
      </w:r>
      <w:r>
        <w:rPr>
          <w:rFonts w:hint="eastAsia" w:ascii="宋体" w:hAnsi="宋体" w:eastAsia="宋体" w:cs="宋体"/>
          <w:sz w:val="24"/>
        </w:rPr>
        <w:t>部分传统客户也可能转为通过互联网渠道介入经纪业务</w:t>
      </w:r>
      <w:r>
        <w:rPr>
          <w:rFonts w:hint="eastAsia" w:ascii="宋体" w:hAnsi="宋体" w:eastAsia="宋体" w:cs="宋体"/>
          <w:sz w:val="10"/>
        </w:rPr>
        <w:t>，</w:t>
      </w:r>
      <w:r>
        <w:rPr>
          <w:rFonts w:hint="eastAsia" w:ascii="宋体" w:hAnsi="宋体" w:eastAsia="宋体" w:cs="宋体"/>
          <w:sz w:val="24"/>
        </w:rPr>
        <w:t>经纪业务的市场格局或将发生改变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传统商业理论认为企业界</w:t>
      </w:r>
      <w:r>
        <w:rPr>
          <w:rFonts w:hint="eastAsia" w:ascii="Times New Roman" w:hAnsi="Times New Roman" w:eastAsia="Times New Roman" w:cs="Times New Roman"/>
          <w:sz w:val="24"/>
        </w:rPr>
        <w:t xml:space="preserve"> 80%</w:t>
      </w:r>
      <w:r>
        <w:rPr>
          <w:rFonts w:hint="eastAsia" w:ascii="宋体" w:hAnsi="宋体" w:eastAsia="宋体" w:cs="宋体"/>
          <w:sz w:val="24"/>
        </w:rPr>
        <w:t>的业绩来自</w:t>
      </w:r>
      <w:r>
        <w:rPr>
          <w:rFonts w:hint="eastAsia" w:ascii="Times New Roman" w:hAnsi="Times New Roman" w:eastAsia="Times New Roman" w:cs="Times New Roman"/>
          <w:sz w:val="24"/>
        </w:rPr>
        <w:t xml:space="preserve"> 20%</w:t>
      </w:r>
      <w:r>
        <w:rPr>
          <w:rFonts w:hint="eastAsia" w:ascii="宋体" w:hAnsi="宋体" w:eastAsia="宋体" w:cs="宋体"/>
          <w:sz w:val="24"/>
        </w:rPr>
        <w:t>的产品</w:t>
      </w:r>
      <w:r>
        <w:rPr>
          <w:rFonts w:hint="eastAsia" w:ascii="宋体" w:hAnsi="宋体" w:eastAsia="宋体" w:cs="宋体"/>
          <w:sz w:val="10"/>
        </w:rPr>
        <w:t>。</w:t>
      </w:r>
      <w:r>
        <w:rPr>
          <w:rFonts w:hint="eastAsia" w:ascii="宋体" w:hAnsi="宋体" w:eastAsia="宋体" w:cs="宋体"/>
          <w:sz w:val="24"/>
        </w:rPr>
        <w:t>而长尾理论认为</w:t>
      </w:r>
      <w:r>
        <w:rPr>
          <w:rFonts w:hint="eastAsia" w:ascii="宋体" w:hAnsi="宋体" w:eastAsia="宋体" w:cs="宋体"/>
          <w:sz w:val="10"/>
        </w:rPr>
        <w:t>，</w:t>
      </w:r>
      <w:r>
        <w:rPr>
          <w:rFonts w:hint="eastAsia" w:ascii="宋体" w:hAnsi="宋体" w:eastAsia="宋体" w:cs="宋体"/>
          <w:sz w:val="24"/>
        </w:rPr>
        <w:t>只要产品的存储和流通的渠道足够大</w:t>
      </w:r>
      <w:r>
        <w:rPr>
          <w:rFonts w:hint="eastAsia" w:ascii="宋体" w:hAnsi="宋体" w:eastAsia="宋体" w:cs="宋体"/>
          <w:sz w:val="10"/>
        </w:rPr>
        <w:t>，</w:t>
      </w:r>
      <w:r>
        <w:rPr>
          <w:rFonts w:hint="eastAsia" w:ascii="宋体" w:hAnsi="宋体" w:eastAsia="宋体" w:cs="宋体"/>
          <w:sz w:val="24"/>
        </w:rPr>
        <w:t>众多小市场能够汇聚成可与主流相匹敌的市场</w:t>
      </w:r>
      <w:r>
        <w:rPr>
          <w:rFonts w:hint="eastAsia" w:ascii="宋体" w:hAnsi="宋体" w:eastAsia="宋体" w:cs="宋体"/>
          <w:sz w:val="10"/>
        </w:rPr>
        <w:t>。</w:t>
      </w:r>
      <w:r>
        <w:rPr>
          <w:rFonts w:hint="eastAsia" w:ascii="宋体" w:hAnsi="宋体" w:eastAsia="宋体" w:cs="宋体"/>
          <w:sz w:val="24"/>
        </w:rPr>
        <w:t>这种局面的形成需要两个条件</w:t>
      </w:r>
      <w:r>
        <w:rPr>
          <w:rFonts w:hint="eastAsia" w:ascii="宋体" w:hAnsi="宋体" w:eastAsia="宋体" w:cs="宋体"/>
          <w:sz w:val="10"/>
        </w:rPr>
        <w:t>，</w:t>
      </w:r>
      <w:r>
        <w:rPr>
          <w:rFonts w:hint="eastAsia" w:ascii="宋体" w:hAnsi="宋体" w:eastAsia="宋体" w:cs="宋体"/>
          <w:sz w:val="24"/>
        </w:rPr>
        <w:t>其一为足够低的成本</w:t>
      </w:r>
      <w:r>
        <w:rPr>
          <w:rFonts w:hint="eastAsia" w:ascii="宋体" w:hAnsi="宋体" w:eastAsia="宋体" w:cs="宋体"/>
          <w:sz w:val="10"/>
        </w:rPr>
        <w:t>，</w:t>
      </w:r>
      <w:r>
        <w:rPr>
          <w:rFonts w:hint="eastAsia" w:ascii="宋体" w:hAnsi="宋体" w:eastAsia="宋体" w:cs="宋体"/>
          <w:sz w:val="24"/>
        </w:rPr>
        <w:t>由于单个客户的贡献值较小</w:t>
      </w:r>
      <w:r>
        <w:rPr>
          <w:rFonts w:hint="eastAsia" w:ascii="宋体" w:hAnsi="宋体" w:eastAsia="宋体" w:cs="宋体"/>
          <w:sz w:val="10"/>
        </w:rPr>
        <w:t>，</w:t>
      </w:r>
      <w:r>
        <w:rPr>
          <w:rFonts w:hint="eastAsia" w:ascii="宋体" w:hAnsi="宋体" w:eastAsia="宋体" w:cs="宋体"/>
          <w:sz w:val="24"/>
        </w:rPr>
        <w:t>只有当产品的成本更低时才有可能产生经济效益</w:t>
      </w:r>
      <w:r>
        <w:rPr>
          <w:rFonts w:hint="eastAsia" w:ascii="宋体" w:hAnsi="宋体" w:eastAsia="宋体" w:cs="宋体"/>
          <w:sz w:val="12"/>
        </w:rPr>
        <w:t>；</w:t>
      </w:r>
      <w:r>
        <w:rPr>
          <w:rFonts w:hint="eastAsia" w:ascii="宋体" w:hAnsi="宋体" w:eastAsia="宋体" w:cs="宋体"/>
          <w:sz w:val="24"/>
        </w:rPr>
        <w:t>其二为足够多的客户</w:t>
      </w:r>
      <w:r>
        <w:rPr>
          <w:rFonts w:hint="eastAsia" w:ascii="宋体" w:hAnsi="宋体" w:eastAsia="宋体" w:cs="宋体"/>
          <w:sz w:val="10"/>
        </w:rPr>
        <w:t>，</w:t>
      </w:r>
      <w:r>
        <w:rPr>
          <w:rFonts w:hint="eastAsia" w:ascii="宋体" w:hAnsi="宋体" w:eastAsia="宋体" w:cs="宋体"/>
          <w:sz w:val="24"/>
        </w:rPr>
        <w:t>如果无法形成规模效应</w:t>
      </w:r>
      <w:r>
        <w:rPr>
          <w:rFonts w:hint="eastAsia" w:ascii="宋体" w:hAnsi="宋体" w:eastAsia="宋体" w:cs="宋体"/>
          <w:sz w:val="10"/>
        </w:rPr>
        <w:t>，</w:t>
      </w:r>
      <w:r>
        <w:rPr>
          <w:rFonts w:hint="eastAsia" w:ascii="宋体" w:hAnsi="宋体" w:eastAsia="宋体" w:cs="宋体"/>
          <w:sz w:val="24"/>
        </w:rPr>
        <w:t>就不会形成商业模式产生利润</w:t>
      </w:r>
      <w:r>
        <w:rPr>
          <w:rFonts w:hint="eastAsia" w:ascii="宋体" w:hAnsi="宋体" w:eastAsia="宋体" w:cs="宋体"/>
          <w:sz w:val="10"/>
        </w:rPr>
        <w:t>。</w:t>
      </w:r>
      <w:r>
        <w:rPr>
          <w:rFonts w:hint="eastAsia" w:ascii="宋体" w:hAnsi="宋体" w:eastAsia="宋体" w:cs="宋体"/>
          <w:sz w:val="24"/>
        </w:rPr>
        <w:t>互联网金融本身的特性决定其正好可以解决这两个问题</w:t>
      </w:r>
      <w:r>
        <w:rPr>
          <w:rFonts w:hint="eastAsia" w:ascii="宋体" w:hAnsi="宋体" w:eastAsia="宋体" w:cs="宋体"/>
          <w:sz w:val="10"/>
        </w:rPr>
        <w:t>，</w:t>
      </w:r>
      <w:r>
        <w:rPr>
          <w:rFonts w:hint="eastAsia" w:ascii="宋体" w:hAnsi="宋体" w:eastAsia="宋体" w:cs="宋体"/>
          <w:sz w:val="24"/>
        </w:rPr>
        <w:t>即可以忽略不计的使用及流通成本以及大规模的客户导入</w:t>
      </w:r>
      <w:r>
        <w:rPr>
          <w:rFonts w:hint="eastAsia" w:ascii="宋体" w:hAnsi="宋体" w:eastAsia="宋体" w:cs="宋体"/>
          <w:sz w:val="10"/>
        </w:rPr>
        <w:t>。</w:t>
      </w:r>
      <w:r>
        <w:rPr>
          <w:rFonts w:hint="eastAsia" w:ascii="宋体" w:hAnsi="宋体" w:eastAsia="宋体" w:cs="宋体"/>
          <w:sz w:val="24"/>
        </w:rPr>
        <w:t>基于互联网金融的经纪业务</w:t>
      </w:r>
      <w:r>
        <w:rPr>
          <w:rFonts w:hint="eastAsia" w:ascii="宋体" w:hAnsi="宋体" w:eastAsia="宋体" w:cs="宋体"/>
          <w:sz w:val="10"/>
        </w:rPr>
        <w:t>，</w:t>
      </w:r>
      <w:r>
        <w:rPr>
          <w:rFonts w:hint="eastAsia" w:ascii="宋体" w:hAnsi="宋体" w:eastAsia="宋体" w:cs="宋体"/>
          <w:sz w:val="24"/>
        </w:rPr>
        <w:t>将借助互联网渠道不断激发边缘化存量客户的交易需求</w:t>
      </w:r>
      <w:r>
        <w:rPr>
          <w:rFonts w:hint="eastAsia" w:ascii="宋体" w:hAnsi="宋体" w:eastAsia="宋体" w:cs="宋体"/>
          <w:sz w:val="10"/>
        </w:rPr>
        <w:t>，</w:t>
      </w:r>
      <w:r>
        <w:rPr>
          <w:rFonts w:hint="eastAsia" w:ascii="宋体" w:hAnsi="宋体" w:eastAsia="宋体" w:cs="宋体"/>
          <w:sz w:val="24"/>
        </w:rPr>
        <w:t>不断降低其开户</w:t>
      </w:r>
      <w:r>
        <w:rPr>
          <w:rFonts w:hint="eastAsia" w:ascii="宋体" w:hAnsi="宋体" w:eastAsia="宋体" w:cs="宋体"/>
          <w:sz w:val="10"/>
        </w:rPr>
        <w:t>、</w:t>
      </w:r>
      <w:r>
        <w:rPr>
          <w:rFonts w:hint="eastAsia" w:ascii="宋体" w:hAnsi="宋体" w:eastAsia="宋体" w:cs="宋体"/>
          <w:sz w:val="24"/>
        </w:rPr>
        <w:t>维护账户以及交易的成本</w:t>
      </w:r>
      <w:r>
        <w:rPr>
          <w:rFonts w:hint="eastAsia" w:ascii="宋体" w:hAnsi="宋体" w:eastAsia="宋体" w:cs="宋体"/>
          <w:sz w:val="10"/>
        </w:rPr>
        <w:t>，</w:t>
      </w:r>
      <w:r>
        <w:rPr>
          <w:rFonts w:hint="eastAsia" w:ascii="宋体" w:hAnsi="宋体" w:eastAsia="宋体" w:cs="宋体"/>
          <w:sz w:val="24"/>
        </w:rPr>
        <w:t>同时满足客户多样性的定制交易需求</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其二，</w:t>
      </w:r>
      <w:r>
        <w:rPr>
          <w:rFonts w:hint="eastAsia" w:ascii="宋体" w:hAnsi="宋体" w:eastAsia="宋体" w:cs="宋体"/>
          <w:sz w:val="24"/>
        </w:rPr>
        <w:t>理财与融资</w:t>
      </w:r>
      <w:r>
        <w:rPr>
          <w:rFonts w:hint="eastAsia" w:ascii="宋体" w:hAnsi="宋体" w:eastAsia="宋体" w:cs="宋体"/>
          <w:sz w:val="10"/>
        </w:rPr>
        <w:t>。</w:t>
      </w:r>
      <w:r>
        <w:rPr>
          <w:rFonts w:hint="eastAsia" w:ascii="宋体" w:hAnsi="宋体" w:eastAsia="宋体" w:cs="宋体"/>
          <w:sz w:val="24"/>
        </w:rPr>
        <w:t>互联网为证券公司理财和融资业务带来了新的渠道</w:t>
      </w:r>
      <w:r>
        <w:rPr>
          <w:rFonts w:hint="eastAsia" w:ascii="宋体" w:hAnsi="宋体" w:eastAsia="宋体" w:cs="宋体"/>
          <w:sz w:val="10"/>
        </w:rPr>
        <w:t>，</w:t>
      </w:r>
      <w:r>
        <w:rPr>
          <w:rFonts w:hint="eastAsia" w:ascii="宋体" w:hAnsi="宋体" w:eastAsia="宋体" w:cs="宋体"/>
          <w:sz w:val="24"/>
        </w:rPr>
        <w:t>物理网点将不再是主要制约因素</w:t>
      </w:r>
      <w:r>
        <w:rPr>
          <w:rFonts w:hint="eastAsia" w:ascii="宋体" w:hAnsi="宋体" w:eastAsia="宋体" w:cs="宋体"/>
          <w:sz w:val="10"/>
        </w:rPr>
        <w:t>。</w:t>
      </w:r>
      <w:r>
        <w:rPr>
          <w:rFonts w:hint="eastAsia" w:ascii="宋体" w:hAnsi="宋体" w:eastAsia="宋体" w:cs="宋体"/>
          <w:sz w:val="24"/>
        </w:rPr>
        <w:t>证券公司通过低佣金和流量导入引入客户后</w:t>
      </w:r>
      <w:r>
        <w:rPr>
          <w:rFonts w:hint="eastAsia" w:ascii="宋体" w:hAnsi="宋体" w:eastAsia="宋体" w:cs="宋体"/>
          <w:sz w:val="10"/>
        </w:rPr>
        <w:t>，</w:t>
      </w:r>
      <w:r>
        <w:rPr>
          <w:rFonts w:hint="eastAsia" w:ascii="宋体" w:hAnsi="宋体" w:eastAsia="宋体" w:cs="宋体"/>
          <w:sz w:val="24"/>
        </w:rPr>
        <w:t>可以通过理财</w:t>
      </w:r>
      <w:r>
        <w:rPr>
          <w:rFonts w:hint="eastAsia" w:ascii="宋体" w:hAnsi="宋体" w:eastAsia="宋体" w:cs="宋体"/>
          <w:sz w:val="10"/>
        </w:rPr>
        <w:t>、</w:t>
      </w:r>
      <w:r>
        <w:rPr>
          <w:rFonts w:hint="eastAsia" w:ascii="宋体" w:hAnsi="宋体" w:eastAsia="宋体" w:cs="宋体"/>
          <w:sz w:val="24"/>
        </w:rPr>
        <w:t>融资类业务为其提供增值服务</w:t>
      </w:r>
      <w:r>
        <w:rPr>
          <w:rFonts w:hint="eastAsia" w:ascii="宋体" w:hAnsi="宋体" w:eastAsia="宋体" w:cs="宋体"/>
          <w:sz w:val="10"/>
        </w:rPr>
        <w:t>。</w:t>
      </w:r>
      <w:r>
        <w:rPr>
          <w:rFonts w:hint="eastAsia" w:ascii="宋体" w:hAnsi="宋体" w:eastAsia="宋体" w:cs="宋体"/>
          <w:sz w:val="24"/>
        </w:rPr>
        <w:t>产品的推出取决于证券公司的综合实力</w:t>
      </w:r>
      <w:r>
        <w:rPr>
          <w:rFonts w:hint="eastAsia" w:ascii="宋体" w:hAnsi="宋体" w:eastAsia="宋体" w:cs="宋体"/>
          <w:sz w:val="10"/>
        </w:rPr>
        <w:t>，</w:t>
      </w:r>
      <w:r>
        <w:rPr>
          <w:rFonts w:hint="eastAsia" w:ascii="宋体" w:hAnsi="宋体" w:eastAsia="宋体" w:cs="宋体"/>
          <w:sz w:val="24"/>
        </w:rPr>
        <w:t>能否提供满足需求的多样性产品将是互联网证券能否成功的重要因素之</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10"/>
        </w:rPr>
        <w:t>一。</w:t>
      </w:r>
      <w:r>
        <w:rPr>
          <w:rFonts w:hint="eastAsia" w:ascii="宋体" w:hAnsi="宋体" w:eastAsia="宋体" w:cs="宋体"/>
          <w:sz w:val="24"/>
        </w:rPr>
        <w:t>通过互联网</w:t>
      </w:r>
      <w:r>
        <w:rPr>
          <w:rFonts w:hint="eastAsia" w:ascii="宋体" w:hAnsi="宋体" w:eastAsia="宋体" w:cs="宋体"/>
          <w:sz w:val="10"/>
        </w:rPr>
        <w:t>，</w:t>
      </w:r>
      <w:r>
        <w:rPr>
          <w:rFonts w:hint="eastAsia" w:ascii="宋体" w:hAnsi="宋体" w:eastAsia="宋体" w:cs="宋体"/>
          <w:sz w:val="24"/>
        </w:rPr>
        <w:t>证券公司可以为客户提供从定制投资</w:t>
      </w:r>
      <w:r>
        <w:rPr>
          <w:rFonts w:hint="eastAsia" w:ascii="宋体" w:hAnsi="宋体" w:eastAsia="宋体" w:cs="宋体"/>
          <w:sz w:val="10"/>
        </w:rPr>
        <w:t>、</w:t>
      </w:r>
      <w:r>
        <w:rPr>
          <w:rFonts w:hint="eastAsia" w:ascii="宋体" w:hAnsi="宋体" w:eastAsia="宋体" w:cs="宋体"/>
          <w:sz w:val="24"/>
        </w:rPr>
        <w:t>消费流程出发的财富管</w:t>
      </w: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理产品</w:t>
      </w:r>
      <w:r>
        <w:rPr>
          <w:rFonts w:hint="eastAsia" w:ascii="宋体" w:hAnsi="宋体" w:eastAsia="宋体" w:cs="宋体"/>
          <w:sz w:val="10"/>
        </w:rPr>
        <w:t>，</w:t>
      </w:r>
      <w:r>
        <w:rPr>
          <w:rFonts w:hint="eastAsia" w:ascii="宋体" w:hAnsi="宋体" w:eastAsia="宋体" w:cs="宋体"/>
          <w:sz w:val="24"/>
        </w:rPr>
        <w:t>覆盖范围从基于研发业务的客户咨询</w:t>
      </w:r>
      <w:r>
        <w:rPr>
          <w:rFonts w:hint="eastAsia" w:ascii="宋体" w:hAnsi="宋体" w:eastAsia="宋体" w:cs="宋体"/>
          <w:sz w:val="10"/>
        </w:rPr>
        <w:t>，</w:t>
      </w:r>
      <w:r>
        <w:rPr>
          <w:rFonts w:hint="eastAsia" w:ascii="宋体" w:hAnsi="宋体" w:eastAsia="宋体" w:cs="宋体"/>
          <w:sz w:val="24"/>
        </w:rPr>
        <w:t>到基于资产管理投资的标的配置</w:t>
      </w:r>
      <w:r>
        <w:rPr>
          <w:rFonts w:hint="eastAsia" w:ascii="宋体" w:hAnsi="宋体" w:eastAsia="宋体" w:cs="宋体"/>
          <w:sz w:val="10"/>
        </w:rPr>
        <w:t>，</w:t>
      </w:r>
      <w:r>
        <w:rPr>
          <w:rFonts w:hint="eastAsia" w:ascii="宋体" w:hAnsi="宋体" w:eastAsia="宋体" w:cs="宋体"/>
          <w:sz w:val="24"/>
        </w:rPr>
        <w:t>再到风险收益多维度匹配的更多理财产品</w:t>
      </w:r>
      <w:r>
        <w:rPr>
          <w:rFonts w:hint="eastAsia" w:ascii="宋体" w:hAnsi="宋体" w:eastAsia="宋体" w:cs="宋体"/>
          <w:sz w:val="10"/>
        </w:rPr>
        <w:t>，</w:t>
      </w:r>
      <w:r>
        <w:rPr>
          <w:rFonts w:hint="eastAsia" w:ascii="宋体" w:hAnsi="宋体" w:eastAsia="宋体" w:cs="宋体"/>
          <w:sz w:val="24"/>
        </w:rPr>
        <w:t>从而实现大资管产业链的完善</w:t>
      </w:r>
      <w:r>
        <w:rPr>
          <w:rFonts w:hint="eastAsia" w:ascii="宋体" w:hAnsi="宋体" w:eastAsia="宋体" w:cs="宋体"/>
          <w:sz w:val="10"/>
        </w:rPr>
        <w:t>。</w:t>
      </w:r>
      <w:r>
        <w:rPr>
          <w:rFonts w:hint="eastAsia" w:ascii="宋体" w:hAnsi="宋体" w:eastAsia="宋体" w:cs="宋体"/>
          <w:sz w:val="24"/>
        </w:rPr>
        <w:t>相比于商业银行和保险公司</w:t>
      </w:r>
      <w:r>
        <w:rPr>
          <w:rFonts w:hint="eastAsia" w:ascii="宋体" w:hAnsi="宋体" w:eastAsia="宋体" w:cs="宋体"/>
          <w:sz w:val="10"/>
        </w:rPr>
        <w:t>，</w:t>
      </w:r>
      <w:r>
        <w:rPr>
          <w:rFonts w:hint="eastAsia" w:ascii="宋体" w:hAnsi="宋体" w:eastAsia="宋体" w:cs="宋体"/>
          <w:sz w:val="24"/>
        </w:rPr>
        <w:t>证券公司在卖方研究</w:t>
      </w:r>
      <w:r>
        <w:rPr>
          <w:rFonts w:hint="eastAsia" w:ascii="宋体" w:hAnsi="宋体" w:eastAsia="宋体" w:cs="宋体"/>
          <w:sz w:val="10"/>
        </w:rPr>
        <w:t>、</w:t>
      </w:r>
      <w:r>
        <w:rPr>
          <w:rFonts w:hint="eastAsia" w:ascii="宋体" w:hAnsi="宋体" w:eastAsia="宋体" w:cs="宋体"/>
          <w:sz w:val="24"/>
        </w:rPr>
        <w:t>投资定价</w:t>
      </w:r>
      <w:r>
        <w:rPr>
          <w:rFonts w:hint="eastAsia" w:ascii="宋体" w:hAnsi="宋体" w:eastAsia="宋体" w:cs="宋体"/>
          <w:sz w:val="10"/>
        </w:rPr>
        <w:t>、</w:t>
      </w:r>
      <w:r>
        <w:rPr>
          <w:rFonts w:hint="eastAsia" w:ascii="宋体" w:hAnsi="宋体" w:eastAsia="宋体" w:cs="宋体"/>
          <w:sz w:val="24"/>
        </w:rPr>
        <w:t>衍生产品的优势较为明显</w:t>
      </w:r>
      <w:r>
        <w:rPr>
          <w:rFonts w:hint="eastAsia" w:ascii="宋体" w:hAnsi="宋体" w:eastAsia="宋体" w:cs="宋体"/>
          <w:sz w:val="10"/>
        </w:rPr>
        <w:t>，</w:t>
      </w:r>
      <w:r>
        <w:rPr>
          <w:rFonts w:hint="eastAsia" w:ascii="宋体" w:hAnsi="宋体" w:eastAsia="宋体" w:cs="宋体"/>
          <w:sz w:val="24"/>
        </w:rPr>
        <w:t>借助互联网</w:t>
      </w:r>
      <w:r>
        <w:rPr>
          <w:rFonts w:hint="eastAsia" w:ascii="宋体" w:hAnsi="宋体" w:eastAsia="宋体" w:cs="宋体"/>
          <w:sz w:val="10"/>
        </w:rPr>
        <w:t>，</w:t>
      </w:r>
      <w:r>
        <w:rPr>
          <w:rFonts w:hint="eastAsia" w:ascii="宋体" w:hAnsi="宋体" w:eastAsia="宋体" w:cs="宋体"/>
          <w:sz w:val="24"/>
        </w:rPr>
        <w:t>上述优势业务及服务可以实时交付客户</w:t>
      </w:r>
      <w:r>
        <w:rPr>
          <w:rFonts w:hint="eastAsia" w:ascii="宋体" w:hAnsi="宋体" w:eastAsia="宋体" w:cs="宋体"/>
          <w:sz w:val="10"/>
        </w:rPr>
        <w:t>，</w:t>
      </w:r>
      <w:r>
        <w:rPr>
          <w:rFonts w:hint="eastAsia" w:ascii="宋体" w:hAnsi="宋体" w:eastAsia="宋体" w:cs="宋体"/>
          <w:sz w:val="24"/>
        </w:rPr>
        <w:t>满足不同客户多样性的财富管理需求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基于互联网的证券公司理财产品具有广阔市场的原因包括两方面因素</w:t>
      </w:r>
      <w:r>
        <w:rPr>
          <w:rFonts w:hint="eastAsia" w:ascii="宋体" w:hAnsi="宋体" w:eastAsia="宋体" w:cs="宋体"/>
          <w:sz w:val="10"/>
        </w:rPr>
        <w:t>。一</w:t>
      </w:r>
      <w:r>
        <w:rPr>
          <w:rFonts w:hint="eastAsia" w:ascii="宋体" w:hAnsi="宋体" w:eastAsia="宋体" w:cs="宋体"/>
          <w:sz w:val="24"/>
        </w:rPr>
        <w:t>方面</w:t>
      </w:r>
      <w:r>
        <w:rPr>
          <w:rFonts w:hint="eastAsia" w:ascii="宋体" w:hAnsi="宋体" w:eastAsia="宋体" w:cs="宋体"/>
          <w:sz w:val="10"/>
        </w:rPr>
        <w:t>，</w:t>
      </w:r>
      <w:r>
        <w:rPr>
          <w:rFonts w:hint="eastAsia" w:ascii="宋体" w:hAnsi="宋体" w:eastAsia="宋体" w:cs="宋体"/>
          <w:sz w:val="24"/>
        </w:rPr>
        <w:t>从互联网特性来看</w:t>
      </w:r>
      <w:r>
        <w:rPr>
          <w:rFonts w:hint="eastAsia" w:ascii="宋体" w:hAnsi="宋体" w:eastAsia="宋体" w:cs="宋体"/>
          <w:sz w:val="10"/>
        </w:rPr>
        <w:t>，</w:t>
      </w:r>
      <w:r>
        <w:rPr>
          <w:rFonts w:hint="eastAsia" w:ascii="宋体" w:hAnsi="宋体" w:eastAsia="宋体" w:cs="宋体"/>
          <w:sz w:val="24"/>
        </w:rPr>
        <w:t>互联网的便捷性打通资金链条</w:t>
      </w:r>
      <w:r>
        <w:rPr>
          <w:rFonts w:hint="eastAsia" w:ascii="宋体" w:hAnsi="宋体" w:eastAsia="宋体" w:cs="宋体"/>
          <w:sz w:val="10"/>
        </w:rPr>
        <w:t>，</w:t>
      </w:r>
      <w:r>
        <w:rPr>
          <w:rFonts w:hint="eastAsia" w:ascii="宋体" w:hAnsi="宋体" w:eastAsia="宋体" w:cs="宋体"/>
          <w:sz w:val="24"/>
        </w:rPr>
        <w:t>降低了理财产品管理及</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1-1-114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jc w:val="both"/>
      </w:pPr>
      <w:r>
        <w:rPr>
          <w:rFonts w:hint="eastAsia" w:ascii="宋体" w:hAnsi="宋体" w:eastAsia="宋体" w:cs="宋体"/>
          <w:sz w:val="24"/>
        </w:rPr>
        <w:t>运营成本</w:t>
      </w:r>
      <w:r>
        <w:rPr>
          <w:rFonts w:hint="eastAsia" w:ascii="宋体" w:hAnsi="宋体" w:eastAsia="宋体" w:cs="宋体"/>
          <w:sz w:val="10"/>
        </w:rPr>
        <w:t>，</w:t>
      </w:r>
      <w:r>
        <w:rPr>
          <w:rFonts w:hint="eastAsia" w:ascii="宋体" w:hAnsi="宋体" w:eastAsia="宋体" w:cs="宋体"/>
          <w:sz w:val="24"/>
        </w:rPr>
        <w:t>互联网的长尾效应聚合个人用户零散资金</w:t>
      </w:r>
      <w:r>
        <w:rPr>
          <w:rFonts w:hint="eastAsia" w:ascii="宋体" w:hAnsi="宋体" w:eastAsia="宋体" w:cs="宋体"/>
          <w:sz w:val="10"/>
        </w:rPr>
        <w:t>。</w:t>
      </w:r>
      <w:r>
        <w:rPr>
          <w:rFonts w:hint="eastAsia" w:ascii="宋体" w:hAnsi="宋体" w:eastAsia="宋体" w:cs="宋体"/>
          <w:sz w:val="24"/>
        </w:rPr>
        <w:t>另一方面</w:t>
      </w:r>
      <w:r>
        <w:rPr>
          <w:rFonts w:hint="eastAsia" w:ascii="宋体" w:hAnsi="宋体" w:eastAsia="宋体" w:cs="宋体"/>
          <w:sz w:val="10"/>
        </w:rPr>
        <w:t>，</w:t>
      </w:r>
      <w:r>
        <w:rPr>
          <w:rFonts w:hint="eastAsia" w:ascii="宋体" w:hAnsi="宋体" w:eastAsia="宋体" w:cs="宋体"/>
          <w:sz w:val="24"/>
        </w:rPr>
        <w:t>从用户需求来看</w:t>
      </w:r>
      <w:r>
        <w:rPr>
          <w:rFonts w:hint="eastAsia" w:ascii="宋体" w:hAnsi="宋体" w:eastAsia="宋体" w:cs="宋体"/>
          <w:sz w:val="10"/>
        </w:rPr>
        <w:t>，</w:t>
      </w:r>
      <w:r>
        <w:rPr>
          <w:rFonts w:hint="eastAsia" w:ascii="宋体" w:hAnsi="宋体" w:eastAsia="宋体" w:cs="宋体"/>
          <w:sz w:val="24"/>
        </w:rPr>
        <w:t>互联网理财产品具有的低门槛</w:t>
      </w:r>
      <w:r>
        <w:rPr>
          <w:rFonts w:hint="eastAsia" w:ascii="宋体" w:hAnsi="宋体" w:eastAsia="宋体" w:cs="宋体"/>
          <w:sz w:val="10"/>
        </w:rPr>
        <w:t>、</w:t>
      </w:r>
      <w:r>
        <w:rPr>
          <w:rFonts w:hint="eastAsia" w:ascii="宋体" w:hAnsi="宋体" w:eastAsia="宋体" w:cs="宋体"/>
          <w:sz w:val="24"/>
        </w:rPr>
        <w:t>高收益</w:t>
      </w:r>
      <w:r>
        <w:rPr>
          <w:rFonts w:hint="eastAsia" w:ascii="宋体" w:hAnsi="宋体" w:eastAsia="宋体" w:cs="宋体"/>
          <w:sz w:val="10"/>
        </w:rPr>
        <w:t>、</w:t>
      </w:r>
      <w:r>
        <w:rPr>
          <w:rFonts w:hint="eastAsia" w:ascii="宋体" w:hAnsi="宋体" w:eastAsia="宋体" w:cs="宋体"/>
          <w:sz w:val="24"/>
        </w:rPr>
        <w:t>高流动性特点贴合大众理财需求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20"/>
        <w:jc w:val="both"/>
      </w:pPr>
      <w:r>
        <w:rPr>
          <w:rFonts w:hint="eastAsia" w:ascii="宋体" w:hAnsi="宋体" w:eastAsia="宋体" w:cs="宋体"/>
          <w:sz w:val="24"/>
        </w:rPr>
        <w:t>再者</w:t>
      </w:r>
      <w:r>
        <w:rPr>
          <w:rFonts w:hint="eastAsia" w:ascii="宋体" w:hAnsi="宋体" w:eastAsia="宋体" w:cs="宋体"/>
          <w:sz w:val="10"/>
        </w:rPr>
        <w:t>，</w:t>
      </w:r>
      <w:r>
        <w:rPr>
          <w:rFonts w:hint="eastAsia" w:ascii="宋体" w:hAnsi="宋体" w:eastAsia="宋体" w:cs="宋体"/>
          <w:sz w:val="24"/>
        </w:rPr>
        <w:t>互联网理财产品购买渠道可以依托于用户规模大</w:t>
      </w:r>
      <w:r>
        <w:rPr>
          <w:rFonts w:hint="eastAsia" w:ascii="宋体" w:hAnsi="宋体" w:eastAsia="宋体" w:cs="宋体"/>
          <w:sz w:val="10"/>
        </w:rPr>
        <w:t>、</w:t>
      </w:r>
      <w:r>
        <w:rPr>
          <w:rFonts w:hint="eastAsia" w:ascii="宋体" w:hAnsi="宋体" w:eastAsia="宋体" w:cs="宋体"/>
          <w:sz w:val="24"/>
        </w:rPr>
        <w:t>使用频率高</w:t>
      </w:r>
      <w:r>
        <w:rPr>
          <w:rFonts w:hint="eastAsia" w:ascii="宋体" w:hAnsi="宋体" w:eastAsia="宋体" w:cs="宋体"/>
          <w:sz w:val="10"/>
        </w:rPr>
        <w:t>、</w:t>
      </w:r>
      <w:r>
        <w:rPr>
          <w:rFonts w:hint="eastAsia" w:ascii="宋体" w:hAnsi="宋体" w:eastAsia="宋体" w:cs="宋体"/>
          <w:sz w:val="24"/>
        </w:rPr>
        <w:t>发展成熟的第三方支付平台或证券公司新型账户体系</w:t>
      </w:r>
      <w:r>
        <w:rPr>
          <w:rFonts w:hint="eastAsia" w:ascii="宋体" w:hAnsi="宋体" w:eastAsia="宋体" w:cs="宋体"/>
          <w:sz w:val="10"/>
        </w:rPr>
        <w:t>，</w:t>
      </w:r>
      <w:r>
        <w:rPr>
          <w:rFonts w:hint="eastAsia" w:ascii="宋体" w:hAnsi="宋体" w:eastAsia="宋体" w:cs="宋体"/>
          <w:sz w:val="24"/>
        </w:rPr>
        <w:t>为产品的购买提供极大便利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其三</w:t>
      </w:r>
      <w:r>
        <w:rPr>
          <w:rFonts w:hint="eastAsia" w:ascii="宋体" w:hAnsi="宋体" w:eastAsia="宋体" w:cs="宋体"/>
          <w:sz w:val="10"/>
        </w:rPr>
        <w:t>，</w:t>
      </w:r>
      <w:r>
        <w:rPr>
          <w:rFonts w:hint="eastAsia" w:ascii="宋体" w:hAnsi="宋体" w:eastAsia="宋体" w:cs="宋体"/>
          <w:sz w:val="24"/>
        </w:rPr>
        <w:t>账户体系</w:t>
      </w:r>
      <w:r>
        <w:rPr>
          <w:rFonts w:hint="eastAsia" w:ascii="宋体" w:hAnsi="宋体" w:eastAsia="宋体" w:cs="宋体"/>
          <w:sz w:val="10"/>
        </w:rPr>
        <w:t>。</w:t>
      </w:r>
      <w:r>
        <w:rPr>
          <w:rFonts w:hint="eastAsia" w:ascii="宋体" w:hAnsi="宋体" w:eastAsia="宋体" w:cs="宋体"/>
          <w:sz w:val="24"/>
        </w:rPr>
        <w:t>互联网金融存在的基础是网上支付的账户系统</w:t>
      </w:r>
      <w:r>
        <w:rPr>
          <w:rFonts w:hint="eastAsia" w:ascii="宋体" w:hAnsi="宋体" w:eastAsia="宋体" w:cs="宋体"/>
          <w:sz w:val="10"/>
        </w:rPr>
        <w:t>，</w:t>
      </w:r>
      <w:r>
        <w:rPr>
          <w:rFonts w:hint="eastAsia" w:ascii="宋体" w:hAnsi="宋体" w:eastAsia="宋体" w:cs="宋体"/>
          <w:sz w:val="24"/>
        </w:rPr>
        <w:t>而传统的证券公司账户中交易账户</w:t>
      </w:r>
      <w:r>
        <w:rPr>
          <w:rFonts w:hint="eastAsia" w:ascii="宋体" w:hAnsi="宋体" w:eastAsia="宋体" w:cs="宋体"/>
          <w:sz w:val="10"/>
        </w:rPr>
        <w:t>、</w:t>
      </w:r>
      <w:r>
        <w:rPr>
          <w:rFonts w:hint="eastAsia" w:ascii="宋体" w:hAnsi="宋体" w:eastAsia="宋体" w:cs="宋体"/>
          <w:sz w:val="24"/>
        </w:rPr>
        <w:t>理财账户是分开的</w:t>
      </w:r>
      <w:r>
        <w:rPr>
          <w:rFonts w:hint="eastAsia" w:ascii="宋体" w:hAnsi="宋体" w:eastAsia="宋体" w:cs="宋体"/>
          <w:sz w:val="10"/>
        </w:rPr>
        <w:t>，</w:t>
      </w:r>
      <w:r>
        <w:rPr>
          <w:rFonts w:hint="eastAsia" w:ascii="宋体" w:hAnsi="宋体" w:eastAsia="宋体" w:cs="宋体"/>
          <w:sz w:val="24"/>
        </w:rPr>
        <w:t>并且证券保证金只能托管于银行</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互联网对证券账户体系提出了更高的要求</w:t>
      </w:r>
      <w:r>
        <w:rPr>
          <w:rFonts w:hint="eastAsia" w:ascii="宋体" w:hAnsi="宋体" w:eastAsia="宋体" w:cs="宋体"/>
          <w:sz w:val="10"/>
        </w:rPr>
        <w:t>，</w:t>
      </w:r>
      <w:r>
        <w:rPr>
          <w:rFonts w:hint="eastAsia" w:ascii="宋体" w:hAnsi="宋体" w:eastAsia="宋体" w:cs="宋体"/>
          <w:sz w:val="24"/>
        </w:rPr>
        <w:t>也加速了证券公司账户体系的变革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目前</w:t>
      </w:r>
      <w:r>
        <w:rPr>
          <w:rFonts w:hint="eastAsia" w:ascii="宋体" w:hAnsi="宋体" w:eastAsia="宋体" w:cs="宋体"/>
          <w:sz w:val="10"/>
        </w:rPr>
        <w:t>，一</w:t>
      </w:r>
      <w:r>
        <w:rPr>
          <w:rFonts w:hint="eastAsia" w:ascii="宋体" w:hAnsi="宋体" w:eastAsia="宋体" w:cs="宋体"/>
          <w:sz w:val="24"/>
        </w:rPr>
        <w:t>部分证券公司已经推出了交易</w:t>
      </w:r>
      <w:r>
        <w:rPr>
          <w:rFonts w:hint="eastAsia" w:ascii="宋体" w:hAnsi="宋体" w:eastAsia="宋体" w:cs="宋体"/>
          <w:sz w:val="10"/>
        </w:rPr>
        <w:t>、</w:t>
      </w:r>
      <w:r>
        <w:rPr>
          <w:rFonts w:hint="eastAsia" w:ascii="宋体" w:hAnsi="宋体" w:eastAsia="宋体" w:cs="宋体"/>
          <w:sz w:val="24"/>
        </w:rPr>
        <w:t>理财</w:t>
      </w:r>
      <w:r>
        <w:rPr>
          <w:rFonts w:hint="eastAsia" w:ascii="宋体" w:hAnsi="宋体" w:eastAsia="宋体" w:cs="宋体"/>
          <w:sz w:val="10"/>
        </w:rPr>
        <w:t>、</w:t>
      </w:r>
      <w:r>
        <w:rPr>
          <w:rFonts w:hint="eastAsia" w:ascii="宋体" w:hAnsi="宋体" w:eastAsia="宋体" w:cs="宋体"/>
          <w:sz w:val="24"/>
        </w:rPr>
        <w:t>支付为</w:t>
      </w:r>
      <w:r>
        <w:rPr>
          <w:rFonts w:hint="eastAsia" w:ascii="宋体" w:hAnsi="宋体" w:eastAsia="宋体" w:cs="宋体"/>
          <w:sz w:val="10"/>
        </w:rPr>
        <w:t>一</w:t>
      </w:r>
      <w:r>
        <w:rPr>
          <w:rFonts w:hint="eastAsia" w:ascii="宋体" w:hAnsi="宋体" w:eastAsia="宋体" w:cs="宋体"/>
          <w:sz w:val="24"/>
        </w:rPr>
        <w:t>体的</w:t>
      </w:r>
      <w:r>
        <w:rPr>
          <w:rFonts w:hint="eastAsia" w:ascii="宋体" w:hAnsi="宋体" w:eastAsia="宋体" w:cs="宋体"/>
          <w:sz w:val="10"/>
        </w:rPr>
        <w:t>一</w:t>
      </w:r>
      <w:r>
        <w:rPr>
          <w:rFonts w:hint="eastAsia" w:ascii="宋体" w:hAnsi="宋体" w:eastAsia="宋体" w:cs="宋体"/>
          <w:sz w:val="24"/>
        </w:rPr>
        <w:t>户通系统</w:t>
      </w:r>
      <w:r>
        <w:rPr>
          <w:rFonts w:hint="eastAsia" w:ascii="宋体" w:hAnsi="宋体" w:eastAsia="宋体" w:cs="宋体"/>
          <w:sz w:val="10"/>
        </w:rPr>
        <w:t>。</w:t>
      </w:r>
      <w:r>
        <w:rPr>
          <w:rFonts w:hint="eastAsia" w:ascii="宋体" w:hAnsi="宋体" w:eastAsia="宋体" w:cs="宋体"/>
          <w:sz w:val="24"/>
        </w:rPr>
        <w:t>账户体系的合并或者统一调配将成为证券公司实现互联网金融环境下其他业务突飞猛进的基础性决定因素</w:t>
      </w:r>
      <w:r>
        <w:rPr>
          <w:rFonts w:hint="eastAsia" w:ascii="宋体" w:hAnsi="宋体" w:eastAsia="宋体" w:cs="宋体"/>
          <w:sz w:val="10"/>
        </w:rPr>
        <w:t>。</w:t>
      </w:r>
      <w:r>
        <w:rPr>
          <w:rFonts w:hint="eastAsia" w:ascii="宋体" w:hAnsi="宋体" w:eastAsia="宋体" w:cs="宋体"/>
          <w:sz w:val="24"/>
        </w:rPr>
        <w:t>综合以上方面可以看出</w:t>
      </w:r>
      <w:r>
        <w:rPr>
          <w:rFonts w:hint="eastAsia" w:ascii="宋体" w:hAnsi="宋体" w:eastAsia="宋体" w:cs="宋体"/>
          <w:sz w:val="10"/>
        </w:rPr>
        <w:t>，</w:t>
      </w:r>
      <w:r>
        <w:rPr>
          <w:rFonts w:hint="eastAsia" w:ascii="宋体" w:hAnsi="宋体" w:eastAsia="宋体" w:cs="宋体"/>
          <w:sz w:val="24"/>
        </w:rPr>
        <w:t>互联网将会给传统证券业带来革命性的影响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互联网金融对证券业既是机遇</w:t>
      </w:r>
      <w:r>
        <w:rPr>
          <w:rFonts w:hint="eastAsia" w:ascii="宋体" w:hAnsi="宋体" w:eastAsia="宋体" w:cs="宋体"/>
          <w:sz w:val="10"/>
        </w:rPr>
        <w:t>，</w:t>
      </w:r>
      <w:r>
        <w:rPr>
          <w:rFonts w:hint="eastAsia" w:ascii="宋体" w:hAnsi="宋体" w:eastAsia="宋体" w:cs="宋体"/>
          <w:sz w:val="24"/>
        </w:rPr>
        <w:t>又是挑战</w:t>
      </w:r>
      <w:r>
        <w:rPr>
          <w:rFonts w:hint="eastAsia" w:ascii="宋体" w:hAnsi="宋体" w:eastAsia="宋体" w:cs="宋体"/>
          <w:sz w:val="10"/>
        </w:rPr>
        <w:t>。</w:t>
      </w:r>
      <w:r>
        <w:rPr>
          <w:rFonts w:hint="eastAsia" w:ascii="宋体" w:hAnsi="宋体" w:eastAsia="宋体" w:cs="宋体"/>
          <w:sz w:val="24"/>
        </w:rPr>
        <w:t>在平台</w:t>
      </w:r>
      <w:r>
        <w:rPr>
          <w:rFonts w:hint="eastAsia" w:ascii="宋体" w:hAnsi="宋体" w:eastAsia="宋体" w:cs="宋体"/>
          <w:sz w:val="10"/>
        </w:rPr>
        <w:t>、</w:t>
      </w:r>
      <w:r>
        <w:rPr>
          <w:rFonts w:hint="eastAsia" w:ascii="宋体" w:hAnsi="宋体" w:eastAsia="宋体" w:cs="宋体"/>
          <w:sz w:val="24"/>
        </w:rPr>
        <w:t>渠道和产品等领域大胆创新的证券公司</w:t>
      </w:r>
      <w:r>
        <w:rPr>
          <w:rFonts w:hint="eastAsia" w:ascii="宋体" w:hAnsi="宋体" w:eastAsia="宋体" w:cs="宋体"/>
          <w:sz w:val="10"/>
        </w:rPr>
        <w:t>，</w:t>
      </w:r>
      <w:r>
        <w:rPr>
          <w:rFonts w:hint="eastAsia" w:ascii="宋体" w:hAnsi="宋体" w:eastAsia="宋体" w:cs="宋体"/>
          <w:sz w:val="24"/>
        </w:rPr>
        <w:t>可以在这一轮竞争中取得市场的主动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）其他国家证券业基于互联网金融趋势的发展情况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①美国</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Times New Roman" w:hAnsi="Times New Roman" w:eastAsia="Times New Roman" w:cs="Times New Roman"/>
          <w:sz w:val="24"/>
        </w:rPr>
        <w:t>20</w:t>
      </w:r>
      <w:r>
        <w:rPr>
          <w:rFonts w:hint="eastAsia" w:ascii="宋体" w:hAnsi="宋体" w:eastAsia="宋体" w:cs="宋体"/>
          <w:sz w:val="24"/>
        </w:rPr>
        <w:t xml:space="preserve"> 世纪</w:t>
      </w:r>
      <w:r>
        <w:rPr>
          <w:rFonts w:hint="eastAsia" w:ascii="Times New Roman" w:hAnsi="Times New Roman" w:eastAsia="Times New Roman" w:cs="Times New Roman"/>
          <w:sz w:val="24"/>
        </w:rPr>
        <w:t xml:space="preserve"> 70</w:t>
      </w:r>
      <w:r>
        <w:rPr>
          <w:rFonts w:hint="eastAsia" w:ascii="宋体" w:hAnsi="宋体" w:eastAsia="宋体" w:cs="宋体"/>
          <w:sz w:val="24"/>
        </w:rPr>
        <w:t xml:space="preserve"> 年代中期之前</w:t>
      </w:r>
      <w:r>
        <w:rPr>
          <w:rFonts w:hint="eastAsia" w:ascii="宋体" w:hAnsi="宋体" w:eastAsia="宋体" w:cs="宋体"/>
          <w:sz w:val="10"/>
        </w:rPr>
        <w:t>，</w:t>
      </w:r>
      <w:r>
        <w:rPr>
          <w:rFonts w:hint="eastAsia" w:ascii="宋体" w:hAnsi="宋体" w:eastAsia="宋体" w:cs="宋体"/>
          <w:sz w:val="24"/>
        </w:rPr>
        <w:t>美国的证券经纪业一直奉行提供完全经纪服务的制度</w:t>
      </w:r>
      <w:r>
        <w:rPr>
          <w:rFonts w:hint="eastAsia" w:ascii="宋体" w:hAnsi="宋体" w:eastAsia="宋体" w:cs="宋体"/>
          <w:sz w:val="10"/>
        </w:rPr>
        <w:t>。</w:t>
      </w:r>
      <w:r>
        <w:rPr>
          <w:rFonts w:hint="eastAsia" w:ascii="Times New Roman" w:hAnsi="Times New Roman" w:eastAsia="Times New Roman" w:cs="Times New Roman"/>
          <w:sz w:val="24"/>
        </w:rPr>
        <w:t>70</w:t>
      </w:r>
      <w:r>
        <w:rPr>
          <w:rFonts w:hint="eastAsia" w:ascii="宋体" w:hAnsi="宋体" w:eastAsia="宋体" w:cs="宋体"/>
          <w:sz w:val="24"/>
        </w:rPr>
        <w:t xml:space="preserve"> 年代中期以后</w:t>
      </w:r>
      <w:r>
        <w:rPr>
          <w:rFonts w:hint="eastAsia" w:ascii="宋体" w:hAnsi="宋体" w:eastAsia="宋体" w:cs="宋体"/>
          <w:sz w:val="10"/>
        </w:rPr>
        <w:t>，</w:t>
      </w:r>
      <w:r>
        <w:rPr>
          <w:rFonts w:hint="eastAsia" w:ascii="宋体" w:hAnsi="宋体" w:eastAsia="宋体" w:cs="宋体"/>
          <w:sz w:val="24"/>
        </w:rPr>
        <w:t>美国取消了证券交易固定佣金制度</w:t>
      </w:r>
      <w:r>
        <w:rPr>
          <w:rFonts w:hint="eastAsia" w:ascii="宋体" w:hAnsi="宋体" w:eastAsia="宋体" w:cs="宋体"/>
          <w:sz w:val="10"/>
        </w:rPr>
        <w:t>，</w:t>
      </w:r>
      <w:r>
        <w:rPr>
          <w:rFonts w:hint="eastAsia" w:ascii="宋体" w:hAnsi="宋体" w:eastAsia="宋体" w:cs="宋体"/>
          <w:sz w:val="24"/>
        </w:rPr>
        <w:t>券商可以自主确定客户交易佣金率</w:t>
      </w:r>
      <w:r>
        <w:rPr>
          <w:rFonts w:hint="eastAsia" w:ascii="宋体" w:hAnsi="宋体" w:eastAsia="宋体" w:cs="宋体"/>
          <w:sz w:val="10"/>
        </w:rPr>
        <w:t>，</w:t>
      </w:r>
      <w:r>
        <w:rPr>
          <w:rFonts w:hint="eastAsia" w:ascii="宋体" w:hAnsi="宋体" w:eastAsia="宋体" w:cs="宋体"/>
          <w:sz w:val="24"/>
        </w:rPr>
        <w:t>为吸引投资者交易</w:t>
      </w:r>
      <w:r>
        <w:rPr>
          <w:rFonts w:hint="eastAsia" w:ascii="宋体" w:hAnsi="宋体" w:eastAsia="宋体" w:cs="宋体"/>
          <w:sz w:val="10"/>
        </w:rPr>
        <w:t>，</w:t>
      </w:r>
      <w:r>
        <w:rPr>
          <w:rFonts w:hint="eastAsia" w:ascii="宋体" w:hAnsi="宋体" w:eastAsia="宋体" w:cs="宋体"/>
          <w:sz w:val="24"/>
        </w:rPr>
        <w:t>出现了很多的证券折扣经纪商</w:t>
      </w:r>
      <w:r>
        <w:rPr>
          <w:rFonts w:hint="eastAsia" w:ascii="宋体" w:hAnsi="宋体" w:eastAsia="宋体" w:cs="宋体"/>
          <w:sz w:val="10"/>
        </w:rPr>
        <w:t>。</w:t>
      </w:r>
      <w:r>
        <w:rPr>
          <w:rFonts w:hint="eastAsia" w:ascii="Times New Roman" w:hAnsi="Times New Roman" w:eastAsia="Times New Roman" w:cs="Times New Roman"/>
          <w:sz w:val="24"/>
        </w:rPr>
        <w:t>80</w:t>
      </w:r>
      <w:r>
        <w:rPr>
          <w:rFonts w:hint="eastAsia" w:ascii="宋体" w:hAnsi="宋体" w:eastAsia="宋体" w:cs="宋体"/>
          <w:sz w:val="24"/>
        </w:rPr>
        <w:t xml:space="preserve"> 年代末期</w:t>
      </w:r>
      <w:r>
        <w:rPr>
          <w:rFonts w:hint="eastAsia" w:ascii="宋体" w:hAnsi="宋体" w:eastAsia="宋体" w:cs="宋体"/>
          <w:sz w:val="10"/>
        </w:rPr>
        <w:t>，</w:t>
      </w:r>
      <w:r>
        <w:rPr>
          <w:rFonts w:hint="eastAsia" w:ascii="宋体" w:hAnsi="宋体" w:eastAsia="宋体" w:cs="宋体"/>
          <w:sz w:val="24"/>
        </w:rPr>
        <w:t>计算机和信息技术广泛使用</w:t>
      </w:r>
      <w:r>
        <w:rPr>
          <w:rFonts w:hint="eastAsia" w:ascii="宋体" w:hAnsi="宋体" w:eastAsia="宋体" w:cs="宋体"/>
          <w:sz w:val="10"/>
        </w:rPr>
        <w:t>，</w:t>
      </w:r>
      <w:r>
        <w:rPr>
          <w:rFonts w:hint="eastAsia" w:ascii="宋体" w:hAnsi="宋体" w:eastAsia="宋体" w:cs="宋体"/>
          <w:sz w:val="24"/>
        </w:rPr>
        <w:t>特别是</w:t>
      </w:r>
      <w:r>
        <w:rPr>
          <w:rFonts w:hint="eastAsia" w:ascii="Times New Roman" w:hAnsi="Times New Roman" w:eastAsia="Times New Roman" w:cs="Times New Roman"/>
          <w:sz w:val="24"/>
        </w:rPr>
        <w:t xml:space="preserve"> 90</w:t>
      </w:r>
      <w:r>
        <w:rPr>
          <w:rFonts w:hint="eastAsia" w:ascii="宋体" w:hAnsi="宋体" w:eastAsia="宋体" w:cs="宋体"/>
          <w:sz w:val="24"/>
        </w:rPr>
        <w:t xml:space="preserve"> 年代中期互联网技术广泛投入商业化使用以后</w:t>
      </w:r>
      <w:r>
        <w:rPr>
          <w:rFonts w:hint="eastAsia" w:ascii="宋体" w:hAnsi="宋体" w:eastAsia="宋体" w:cs="宋体"/>
          <w:sz w:val="10"/>
        </w:rPr>
        <w:t>，</w:t>
      </w:r>
      <w:r>
        <w:rPr>
          <w:rFonts w:hint="eastAsia" w:ascii="宋体" w:hAnsi="宋体" w:eastAsia="宋体" w:cs="宋体"/>
          <w:sz w:val="24"/>
        </w:rPr>
        <w:t>电子商务开始形成</w:t>
      </w:r>
      <w:r>
        <w:rPr>
          <w:rFonts w:hint="eastAsia" w:ascii="宋体" w:hAnsi="宋体" w:eastAsia="宋体" w:cs="宋体"/>
          <w:sz w:val="10"/>
        </w:rPr>
        <w:t>一</w:t>
      </w:r>
      <w:r>
        <w:rPr>
          <w:rFonts w:hint="eastAsia" w:ascii="宋体" w:hAnsi="宋体" w:eastAsia="宋体" w:cs="宋体"/>
          <w:sz w:val="24"/>
        </w:rPr>
        <w:t>股潮流</w:t>
      </w:r>
      <w:r>
        <w:rPr>
          <w:rFonts w:hint="eastAsia" w:ascii="宋体" w:hAnsi="宋体" w:eastAsia="宋体" w:cs="宋体"/>
          <w:sz w:val="10"/>
        </w:rPr>
        <w:t>，</w:t>
      </w:r>
      <w:r>
        <w:rPr>
          <w:rFonts w:hint="eastAsia" w:ascii="宋体" w:hAnsi="宋体" w:eastAsia="宋体" w:cs="宋体"/>
          <w:sz w:val="24"/>
        </w:rPr>
        <w:t>企业纷纷将其作为</w:t>
      </w:r>
      <w:r>
        <w:rPr>
          <w:rFonts w:hint="eastAsia" w:ascii="宋体" w:hAnsi="宋体" w:eastAsia="宋体" w:cs="宋体"/>
          <w:sz w:val="10"/>
        </w:rPr>
        <w:t>一</w:t>
      </w:r>
      <w:r>
        <w:rPr>
          <w:rFonts w:hint="eastAsia" w:ascii="宋体" w:hAnsi="宋体" w:eastAsia="宋体" w:cs="宋体"/>
          <w:sz w:val="24"/>
        </w:rPr>
        <w:t>条低成本</w:t>
      </w:r>
      <w:r>
        <w:rPr>
          <w:rFonts w:hint="eastAsia" w:ascii="宋体" w:hAnsi="宋体" w:eastAsia="宋体" w:cs="宋体"/>
          <w:sz w:val="10"/>
        </w:rPr>
        <w:t>、</w:t>
      </w:r>
      <w:r>
        <w:rPr>
          <w:rFonts w:hint="eastAsia" w:ascii="宋体" w:hAnsi="宋体" w:eastAsia="宋体" w:cs="宋体"/>
          <w:sz w:val="24"/>
        </w:rPr>
        <w:t>高效率的交易渠道而推广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美国网上证券业务经过</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多年的发展</w:t>
      </w:r>
      <w:r>
        <w:rPr>
          <w:rFonts w:hint="eastAsia" w:ascii="宋体" w:hAnsi="宋体" w:eastAsia="宋体" w:cs="宋体"/>
          <w:sz w:val="10"/>
        </w:rPr>
        <w:t>，</w:t>
      </w:r>
      <w:r>
        <w:rPr>
          <w:rFonts w:hint="eastAsia" w:ascii="宋体" w:hAnsi="宋体" w:eastAsia="宋体" w:cs="宋体"/>
          <w:sz w:val="24"/>
        </w:rPr>
        <w:t>目前证券经纪商已形成了三种典型经营模式</w:t>
      </w:r>
      <w:r>
        <w:rPr>
          <w:rFonts w:hint="eastAsia" w:ascii="宋体" w:hAnsi="宋体" w:eastAsia="宋体" w:cs="宋体"/>
          <w:sz w:val="12"/>
        </w:rPr>
        <w:t>：</w:t>
      </w:r>
      <w:r>
        <w:rPr>
          <w:rFonts w:hint="eastAsia" w:ascii="宋体" w:hAnsi="宋体" w:eastAsia="宋体" w:cs="宋体"/>
          <w:sz w:val="24"/>
        </w:rPr>
        <w:t>其一，</w:t>
      </w:r>
      <w:r>
        <w:rPr>
          <w:rFonts w:hint="eastAsia" w:ascii="宋体" w:hAnsi="宋体" w:eastAsia="宋体" w:cs="宋体"/>
          <w:sz w:val="24"/>
        </w:rPr>
        <w:t>以</w:t>
      </w:r>
      <w:r>
        <w:rPr>
          <w:rFonts w:hint="eastAsia" w:ascii="Times New Roman" w:hAnsi="Times New Roman" w:eastAsia="Times New Roman" w:cs="Times New Roman"/>
          <w:sz w:val="24"/>
        </w:rPr>
        <w:t xml:space="preserve"> E-Trade</w:t>
      </w:r>
      <w:r>
        <w:rPr>
          <w:rFonts w:hint="eastAsia" w:ascii="宋体" w:hAnsi="宋体" w:eastAsia="宋体" w:cs="宋体"/>
          <w:sz w:val="24"/>
        </w:rPr>
        <w:t xml:space="preserve"> 等为代表的纯网络经纪模式</w:t>
      </w:r>
      <w:r>
        <w:rPr>
          <w:rFonts w:hint="eastAsia" w:ascii="宋体" w:hAnsi="宋体" w:eastAsia="宋体" w:cs="宋体"/>
          <w:sz w:val="10"/>
        </w:rPr>
        <w:t>，</w:t>
      </w:r>
      <w:r>
        <w:rPr>
          <w:rFonts w:hint="eastAsia" w:ascii="宋体" w:hAnsi="宋体" w:eastAsia="宋体" w:cs="宋体"/>
          <w:sz w:val="24"/>
        </w:rPr>
        <w:t>该模式完全依靠</w:t>
      </w:r>
      <w:r>
        <w:rPr>
          <w:rFonts w:hint="eastAsia" w:ascii="Times New Roman" w:hAnsi="Times New Roman" w:eastAsia="Times New Roman" w:cs="Times New Roman"/>
          <w:sz w:val="24"/>
        </w:rPr>
        <w:t xml:space="preserve"> Web</w:t>
      </w:r>
      <w:r>
        <w:rPr>
          <w:rFonts w:hint="eastAsia" w:ascii="宋体" w:hAnsi="宋体" w:eastAsia="宋体" w:cs="宋体"/>
          <w:sz w:val="24"/>
        </w:rPr>
        <w:t>方式提供纯虚拟的投资与服务</w:t>
      </w:r>
      <w:r>
        <w:rPr>
          <w:rFonts w:hint="eastAsia" w:ascii="宋体" w:hAnsi="宋体" w:eastAsia="宋体" w:cs="宋体"/>
          <w:sz w:val="10"/>
        </w:rPr>
        <w:t>，</w:t>
      </w:r>
      <w:r>
        <w:rPr>
          <w:rFonts w:hint="eastAsia" w:ascii="宋体" w:hAnsi="宋体" w:eastAsia="宋体" w:cs="宋体"/>
          <w:sz w:val="24"/>
        </w:rPr>
        <w:t>以尽可能低的市价吸引价格敏感性高但对服务要求不高的中低端投资者</w:t>
      </w:r>
      <w:r>
        <w:rPr>
          <w:rFonts w:hint="eastAsia" w:ascii="宋体" w:hAnsi="宋体" w:eastAsia="宋体" w:cs="宋体"/>
          <w:sz w:val="12"/>
        </w:rPr>
        <w:t>；</w:t>
      </w:r>
      <w:r>
        <w:rPr>
          <w:rFonts w:hint="eastAsia" w:ascii="宋体" w:hAnsi="宋体" w:eastAsia="宋体" w:cs="宋体"/>
          <w:sz w:val="24"/>
        </w:rPr>
        <w:t>其二，</w:t>
      </w:r>
      <w:r>
        <w:rPr>
          <w:rFonts w:hint="eastAsia" w:ascii="宋体" w:hAnsi="宋体" w:eastAsia="宋体" w:cs="宋体"/>
          <w:sz w:val="24"/>
        </w:rPr>
        <w:t>以嘉信等为代表的</w:t>
      </w:r>
      <w:r>
        <w:rPr>
          <w:rFonts w:hint="eastAsia" w:ascii="宋体" w:hAnsi="宋体" w:eastAsia="宋体" w:cs="宋体"/>
          <w:sz w:val="10"/>
        </w:rPr>
        <w:t>“</w:t>
      </w:r>
      <w:r>
        <w:rPr>
          <w:rFonts w:hint="eastAsia" w:ascii="宋体" w:hAnsi="宋体" w:eastAsia="宋体" w:cs="宋体"/>
          <w:sz w:val="24"/>
        </w:rPr>
        <w:t>网络</w:t>
      </w:r>
      <w:r>
        <w:rPr>
          <w:rFonts w:hint="eastAsia" w:ascii="Times New Roman" w:hAnsi="Times New Roman" w:eastAsia="Times New Roman" w:cs="Times New Roman"/>
          <w:sz w:val="24"/>
        </w:rPr>
        <w:t>+</w:t>
      </w:r>
      <w:r>
        <w:rPr>
          <w:rFonts w:hint="eastAsia" w:ascii="宋体" w:hAnsi="宋体" w:eastAsia="宋体" w:cs="宋体"/>
          <w:sz w:val="24"/>
        </w:rPr>
        <w:t>水泥（网络为主）”</w:t>
      </w:r>
      <w:r>
        <w:rPr>
          <w:rFonts w:hint="eastAsia" w:ascii="宋体" w:hAnsi="宋体" w:eastAsia="宋体" w:cs="宋体"/>
          <w:sz w:val="24"/>
        </w:rPr>
        <w:t>模式</w:t>
      </w:r>
      <w:r>
        <w:rPr>
          <w:rFonts w:hint="eastAsia" w:ascii="宋体" w:hAnsi="宋体" w:eastAsia="宋体" w:cs="宋体"/>
          <w:sz w:val="10"/>
        </w:rPr>
        <w:t>，</w:t>
      </w:r>
      <w:r>
        <w:rPr>
          <w:rFonts w:hint="eastAsia" w:ascii="宋体" w:hAnsi="宋体" w:eastAsia="宋体" w:cs="宋体"/>
          <w:sz w:val="24"/>
        </w:rPr>
        <w:t>该模式同时提供店面</w:t>
      </w:r>
      <w:r>
        <w:rPr>
          <w:rFonts w:hint="eastAsia" w:ascii="宋体" w:hAnsi="宋体" w:eastAsia="宋体" w:cs="宋体"/>
          <w:sz w:val="10"/>
        </w:rPr>
        <w:t>、</w:t>
      </w:r>
      <w:r>
        <w:rPr>
          <w:rFonts w:hint="eastAsia" w:ascii="宋体" w:hAnsi="宋体" w:eastAsia="宋体" w:cs="宋体"/>
          <w:sz w:val="24"/>
        </w:rPr>
        <w:t>电话</w:t>
      </w:r>
      <w:r>
        <w:rPr>
          <w:rFonts w:hint="eastAsia" w:ascii="宋体" w:hAnsi="宋体" w:eastAsia="宋体" w:cs="宋体"/>
          <w:sz w:val="10"/>
        </w:rPr>
        <w:t>、</w:t>
      </w:r>
      <w:r>
        <w:rPr>
          <w:rFonts w:hint="eastAsia" w:ascii="Times New Roman" w:hAnsi="Times New Roman" w:eastAsia="Times New Roman" w:cs="Times New Roman"/>
          <w:sz w:val="24"/>
        </w:rPr>
        <w:t>Web</w:t>
      </w:r>
      <w:r>
        <w:rPr>
          <w:rFonts w:hint="eastAsia" w:ascii="宋体" w:hAnsi="宋体" w:eastAsia="宋体" w:cs="宋体"/>
          <w:sz w:val="24"/>
        </w:rPr>
        <w:t xml:space="preserve"> 等服务</w:t>
      </w:r>
      <w:r>
        <w:rPr>
          <w:rFonts w:hint="eastAsia" w:ascii="宋体" w:hAnsi="宋体" w:eastAsia="宋体" w:cs="宋体"/>
          <w:sz w:val="10"/>
        </w:rPr>
        <w:t>，</w:t>
      </w:r>
      <w:r>
        <w:rPr>
          <w:rFonts w:hint="eastAsia" w:ascii="宋体" w:hAnsi="宋体" w:eastAsia="宋体" w:cs="宋体"/>
          <w:sz w:val="24"/>
        </w:rPr>
        <w:t>并推出</w:t>
      </w:r>
      <w:r>
        <w:rPr>
          <w:rFonts w:hint="eastAsia" w:ascii="宋体" w:hAnsi="宋体" w:eastAsia="宋体" w:cs="宋体"/>
          <w:sz w:val="10"/>
        </w:rPr>
        <w:t>“</w:t>
      </w:r>
      <w:r>
        <w:rPr>
          <w:rFonts w:hint="eastAsia" w:ascii="宋体" w:hAnsi="宋体" w:eastAsia="宋体" w:cs="宋体"/>
          <w:sz w:val="24"/>
        </w:rPr>
        <w:t>金融超市</w:t>
      </w:r>
      <w:r>
        <w:rPr>
          <w:rFonts w:hint="eastAsia" w:ascii="宋体" w:hAnsi="宋体" w:eastAsia="宋体" w:cs="宋体"/>
          <w:sz w:val="10"/>
        </w:rPr>
        <w:t>”</w:t>
      </w:r>
      <w:r>
        <w:rPr>
          <w:rFonts w:hint="eastAsia" w:ascii="宋体" w:hAnsi="宋体" w:eastAsia="宋体" w:cs="宋体"/>
          <w:sz w:val="24"/>
        </w:rPr>
        <w:t>式的个人理财服务</w:t>
      </w:r>
      <w:r>
        <w:rPr>
          <w:rFonts w:hint="eastAsia" w:ascii="宋体" w:hAnsi="宋体" w:eastAsia="宋体" w:cs="宋体"/>
          <w:sz w:val="10"/>
        </w:rPr>
        <w:t>，</w:t>
      </w:r>
      <w:r>
        <w:rPr>
          <w:rFonts w:hint="eastAsia" w:ascii="宋体" w:hAnsi="宋体" w:eastAsia="宋体" w:cs="宋体"/>
          <w:sz w:val="24"/>
        </w:rPr>
        <w:t>客户可以自主选择所需服务</w:t>
      </w:r>
      <w:r>
        <w:rPr>
          <w:rFonts w:hint="eastAsia" w:ascii="宋体" w:hAnsi="宋体" w:eastAsia="宋体" w:cs="宋体"/>
          <w:sz w:val="10"/>
        </w:rPr>
        <w:t>，</w:t>
      </w:r>
      <w:r>
        <w:rPr>
          <w:rFonts w:hint="eastAsia" w:ascii="宋体" w:hAnsi="宋体" w:eastAsia="宋体" w:cs="宋体"/>
          <w:sz w:val="24"/>
        </w:rPr>
        <w:t>这类证券公司已经发展成为集经纪</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1-1-115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咨询</w:t>
      </w:r>
      <w:r>
        <w:rPr>
          <w:rFonts w:hint="eastAsia" w:ascii="宋体" w:hAnsi="宋体" w:eastAsia="宋体" w:cs="宋体"/>
          <w:sz w:val="10"/>
        </w:rPr>
        <w:t>、</w:t>
      </w:r>
      <w:r>
        <w:rPr>
          <w:rFonts w:hint="eastAsia" w:ascii="宋体" w:hAnsi="宋体" w:eastAsia="宋体" w:cs="宋体"/>
          <w:sz w:val="24"/>
        </w:rPr>
        <w:t>产品销售和其他综合金融服务为一体的全能型经纪商</w:t>
      </w:r>
      <w:r>
        <w:rPr>
          <w:rFonts w:hint="eastAsia" w:ascii="宋体" w:hAnsi="宋体" w:eastAsia="宋体" w:cs="宋体"/>
          <w:sz w:val="14"/>
        </w:rPr>
        <w:t>；</w:t>
      </w:r>
      <w:r>
        <w:rPr>
          <w:rFonts w:hint="eastAsia" w:ascii="宋体" w:hAnsi="宋体" w:eastAsia="宋体" w:cs="宋体"/>
          <w:sz w:val="24"/>
        </w:rPr>
        <w:t>其三</w:t>
      </w:r>
      <w:r>
        <w:rPr>
          <w:rFonts w:hint="eastAsia" w:ascii="宋体" w:hAnsi="宋体" w:eastAsia="宋体" w:cs="宋体"/>
          <w:sz w:val="10"/>
        </w:rPr>
        <w:t>，</w:t>
      </w:r>
      <w:r>
        <w:rPr>
          <w:rFonts w:hint="eastAsia" w:ascii="宋体" w:hAnsi="宋体" w:eastAsia="宋体" w:cs="宋体"/>
          <w:sz w:val="24"/>
        </w:rPr>
        <w:t>以美银美林等传统券商为代表的</w:t>
      </w:r>
      <w:r>
        <w:rPr>
          <w:rFonts w:hint="eastAsia" w:ascii="宋体" w:hAnsi="宋体" w:eastAsia="宋体" w:cs="宋体"/>
          <w:sz w:val="10"/>
        </w:rPr>
        <w:t>“</w:t>
      </w:r>
      <w:r>
        <w:rPr>
          <w:rFonts w:hint="eastAsia" w:ascii="宋体" w:hAnsi="宋体" w:eastAsia="宋体" w:cs="宋体"/>
          <w:sz w:val="24"/>
        </w:rPr>
        <w:t>网络</w:t>
      </w:r>
      <w:r>
        <w:rPr>
          <w:rFonts w:hint="eastAsia" w:ascii="Times New Roman" w:hAnsi="Times New Roman" w:eastAsia="Times New Roman" w:cs="Times New Roman"/>
          <w:sz w:val="24"/>
        </w:rPr>
        <w:t>+</w:t>
      </w:r>
      <w:r>
        <w:rPr>
          <w:rFonts w:hint="eastAsia" w:ascii="宋体" w:hAnsi="宋体" w:eastAsia="宋体" w:cs="宋体"/>
          <w:sz w:val="24"/>
        </w:rPr>
        <w:t>水泥（水泥为主）”</w:t>
      </w:r>
      <w:r>
        <w:rPr>
          <w:rFonts w:hint="eastAsia" w:ascii="宋体" w:hAnsi="宋体" w:eastAsia="宋体" w:cs="宋体"/>
          <w:sz w:val="24"/>
        </w:rPr>
        <w:t>模式</w:t>
      </w:r>
      <w:r>
        <w:rPr>
          <w:rFonts w:hint="eastAsia" w:ascii="宋体" w:hAnsi="宋体" w:eastAsia="宋体" w:cs="宋体"/>
          <w:sz w:val="10"/>
        </w:rPr>
        <w:t>，</w:t>
      </w:r>
      <w:r>
        <w:rPr>
          <w:rFonts w:hint="eastAsia" w:ascii="宋体" w:hAnsi="宋体" w:eastAsia="宋体" w:cs="宋体"/>
          <w:sz w:val="24"/>
        </w:rPr>
        <w:t>该模式以提供全面而个性化的金融服务为目标</w:t>
      </w:r>
      <w:r>
        <w:rPr>
          <w:rFonts w:hint="eastAsia" w:ascii="宋体" w:hAnsi="宋体" w:eastAsia="宋体" w:cs="宋体"/>
          <w:sz w:val="10"/>
        </w:rPr>
        <w:t>，</w:t>
      </w:r>
      <w:r>
        <w:rPr>
          <w:rFonts w:hint="eastAsia" w:ascii="宋体" w:hAnsi="宋体" w:eastAsia="宋体" w:cs="宋体"/>
          <w:sz w:val="24"/>
        </w:rPr>
        <w:t>正逐渐从传统券商证券业务向网上交易方式转移</w:t>
      </w:r>
      <w:r>
        <w:rPr>
          <w:rFonts w:hint="eastAsia" w:ascii="宋体" w:hAnsi="宋体" w:eastAsia="宋体" w:cs="宋体"/>
          <w:sz w:val="10"/>
        </w:rPr>
        <w:t>，</w:t>
      </w:r>
      <w:r>
        <w:rPr>
          <w:rFonts w:hint="eastAsia" w:ascii="宋体" w:hAnsi="宋体" w:eastAsia="宋体" w:cs="宋体"/>
          <w:sz w:val="24"/>
        </w:rPr>
        <w:t>并始终着眼于高端市场及客户</w:t>
      </w:r>
      <w:r>
        <w:rPr>
          <w:rFonts w:hint="eastAsia" w:ascii="宋体" w:hAnsi="宋体" w:eastAsia="宋体" w:cs="宋体"/>
          <w:sz w:val="10"/>
        </w:rPr>
        <w:t>。</w:t>
      </w:r>
      <w:r>
        <w:rPr>
          <w:rFonts w:hint="eastAsia" w:ascii="宋体" w:hAnsi="宋体" w:eastAsia="宋体" w:cs="宋体"/>
          <w:sz w:val="24"/>
        </w:rPr>
        <w:t>综合来看</w:t>
      </w:r>
      <w:r>
        <w:rPr>
          <w:rFonts w:hint="eastAsia" w:ascii="宋体" w:hAnsi="宋体" w:eastAsia="宋体" w:cs="宋体"/>
          <w:sz w:val="10"/>
        </w:rPr>
        <w:t>，</w:t>
      </w:r>
      <w:r>
        <w:rPr>
          <w:rFonts w:hint="eastAsia" w:ascii="宋体" w:hAnsi="宋体" w:eastAsia="宋体" w:cs="宋体"/>
          <w:sz w:val="24"/>
        </w:rPr>
        <w:t>这三类模式复杂程度逐级上升</w:t>
      </w:r>
      <w:r>
        <w:rPr>
          <w:rFonts w:hint="eastAsia" w:ascii="宋体" w:hAnsi="宋体" w:eastAsia="宋体" w:cs="宋体"/>
          <w:sz w:val="10"/>
        </w:rPr>
        <w:t>，</w:t>
      </w:r>
      <w:r>
        <w:rPr>
          <w:rFonts w:hint="eastAsia" w:ascii="宋体" w:hAnsi="宋体" w:eastAsia="宋体" w:cs="宋体"/>
          <w:sz w:val="24"/>
        </w:rPr>
        <w:t>佣金费用标准依次增高</w:t>
      </w:r>
      <w:r>
        <w:rPr>
          <w:rFonts w:hint="eastAsia" w:ascii="宋体" w:hAnsi="宋体" w:eastAsia="宋体" w:cs="宋体"/>
          <w:sz w:val="10"/>
        </w:rPr>
        <w:t>，</w:t>
      </w:r>
      <w:r>
        <w:rPr>
          <w:rFonts w:hint="eastAsia" w:ascii="宋体" w:hAnsi="宋体" w:eastAsia="宋体" w:cs="宋体"/>
          <w:sz w:val="24"/>
        </w:rPr>
        <w:t>服务的深广度也各不相同</w:t>
      </w:r>
      <w:r>
        <w:rPr>
          <w:rFonts w:hint="eastAsia" w:ascii="宋体" w:hAnsi="宋体" w:eastAsia="宋体" w:cs="宋体"/>
          <w:sz w:val="10"/>
        </w:rPr>
        <w:t>，</w:t>
      </w:r>
      <w:r>
        <w:rPr>
          <w:rFonts w:hint="eastAsia" w:ascii="宋体" w:hAnsi="宋体" w:eastAsia="宋体" w:cs="宋体"/>
          <w:sz w:val="24"/>
        </w:rPr>
        <w:t>从而逐渐形成了网上证券经纪的三大势力阵营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纯网络经纪商</w:t>
      </w:r>
      <w:r>
        <w:rPr>
          <w:rFonts w:hint="eastAsia" w:ascii="Times New Roman" w:hAnsi="Times New Roman" w:eastAsia="Times New Roman" w:cs="Times New Roman"/>
          <w:sz w:val="24"/>
        </w:rPr>
        <w:t xml:space="preserve"> E-TRADE</w:t>
      </w:r>
      <w:r>
        <w:rPr>
          <w:rFonts w:hint="eastAsia" w:ascii="宋体" w:hAnsi="宋体" w:eastAsia="宋体" w:cs="宋体"/>
          <w:sz w:val="24"/>
        </w:rPr>
        <w:t xml:space="preserve"> 在业务转型初期</w:t>
      </w:r>
      <w:r>
        <w:rPr>
          <w:rFonts w:hint="eastAsia" w:ascii="宋体" w:hAnsi="宋体" w:eastAsia="宋体" w:cs="宋体"/>
          <w:sz w:val="10"/>
        </w:rPr>
        <w:t>，</w:t>
      </w:r>
      <w:r>
        <w:rPr>
          <w:rFonts w:hint="eastAsia" w:ascii="宋体" w:hAnsi="宋体" w:eastAsia="宋体" w:cs="宋体"/>
          <w:sz w:val="24"/>
        </w:rPr>
        <w:t>借助互联网金融的快速发展</w:t>
      </w:r>
      <w:r>
        <w:rPr>
          <w:rFonts w:hint="eastAsia" w:ascii="宋体" w:hAnsi="宋体" w:eastAsia="宋体" w:cs="宋体"/>
          <w:sz w:val="10"/>
        </w:rPr>
        <w:t>，</w:t>
      </w:r>
      <w:r>
        <w:rPr>
          <w:rFonts w:hint="eastAsia" w:ascii="宋体" w:hAnsi="宋体" w:eastAsia="宋体" w:cs="宋体"/>
          <w:sz w:val="24"/>
        </w:rPr>
        <w:t>扩张势头较为强劲</w:t>
      </w:r>
      <w:r>
        <w:rPr>
          <w:rFonts w:hint="eastAsia" w:ascii="宋体" w:hAnsi="宋体" w:eastAsia="宋体" w:cs="宋体"/>
          <w:sz w:val="10"/>
        </w:rPr>
        <w:t>，</w:t>
      </w:r>
      <w:r>
        <w:rPr>
          <w:rFonts w:hint="eastAsia" w:ascii="宋体" w:hAnsi="宋体" w:eastAsia="宋体" w:cs="宋体"/>
          <w:sz w:val="24"/>
        </w:rPr>
        <w:t>但是受外部环境影响较大</w:t>
      </w:r>
      <w:r>
        <w:rPr>
          <w:rFonts w:hint="eastAsia" w:ascii="宋体" w:hAnsi="宋体" w:eastAsia="宋体" w:cs="宋体"/>
          <w:sz w:val="10"/>
        </w:rPr>
        <w:t>，</w:t>
      </w:r>
      <w:r>
        <w:rPr>
          <w:rFonts w:hint="eastAsia" w:ascii="宋体" w:hAnsi="宋体" w:eastAsia="宋体" w:cs="宋体"/>
          <w:sz w:val="24"/>
        </w:rPr>
        <w:t>盈利容易出现较大波动</w:t>
      </w:r>
      <w:r>
        <w:rPr>
          <w:rFonts w:hint="eastAsia" w:ascii="宋体" w:hAnsi="宋体" w:eastAsia="宋体" w:cs="宋体"/>
          <w:sz w:val="10"/>
        </w:rPr>
        <w:t>，</w:t>
      </w:r>
      <w:r>
        <w:rPr>
          <w:rFonts w:hint="eastAsia" w:ascii="宋体" w:hAnsi="宋体" w:eastAsia="宋体" w:cs="宋体"/>
          <w:sz w:val="24"/>
        </w:rPr>
        <w:t>且恢复缓慢</w:t>
      </w:r>
      <w:r>
        <w:rPr>
          <w:rFonts w:hint="eastAsia" w:ascii="宋体" w:hAnsi="宋体" w:eastAsia="宋体" w:cs="宋体"/>
          <w:sz w:val="10"/>
        </w:rPr>
        <w:t>。</w:t>
      </w:r>
      <w:r>
        <w:rPr>
          <w:rFonts w:hint="eastAsia" w:ascii="宋体" w:hAnsi="宋体" w:eastAsia="宋体" w:cs="宋体"/>
          <w:sz w:val="24"/>
        </w:rPr>
        <w:t>全能型经纪商嘉信理财</w:t>
      </w:r>
      <w:r>
        <w:rPr>
          <w:rFonts w:hint="eastAsia" w:ascii="宋体" w:hAnsi="宋体" w:eastAsia="宋体" w:cs="宋体"/>
          <w:sz w:val="10"/>
        </w:rPr>
        <w:t>，</w:t>
      </w:r>
      <w:r>
        <w:rPr>
          <w:rFonts w:hint="eastAsia" w:ascii="宋体" w:hAnsi="宋体" w:eastAsia="宋体" w:cs="宋体"/>
          <w:sz w:val="24"/>
        </w:rPr>
        <w:t>通过不断改变商业模式</w:t>
      </w:r>
      <w:r>
        <w:rPr>
          <w:rFonts w:hint="eastAsia" w:ascii="宋体" w:hAnsi="宋体" w:eastAsia="宋体" w:cs="宋体"/>
          <w:sz w:val="10"/>
        </w:rPr>
        <w:t>、</w:t>
      </w:r>
      <w:r>
        <w:rPr>
          <w:rFonts w:hint="eastAsia" w:ascii="宋体" w:hAnsi="宋体" w:eastAsia="宋体" w:cs="宋体"/>
          <w:sz w:val="24"/>
        </w:rPr>
        <w:t>发展新业务</w:t>
      </w:r>
      <w:r>
        <w:rPr>
          <w:rFonts w:hint="eastAsia" w:ascii="宋体" w:hAnsi="宋体" w:eastAsia="宋体" w:cs="宋体"/>
          <w:sz w:val="10"/>
        </w:rPr>
        <w:t>，</w:t>
      </w:r>
      <w:r>
        <w:rPr>
          <w:rFonts w:hint="eastAsia" w:ascii="宋体" w:hAnsi="宋体" w:eastAsia="宋体" w:cs="宋体"/>
          <w:sz w:val="24"/>
        </w:rPr>
        <w:t>提升综合服务能力</w:t>
      </w:r>
      <w:r>
        <w:rPr>
          <w:rFonts w:hint="eastAsia" w:ascii="宋体" w:hAnsi="宋体" w:eastAsia="宋体" w:cs="宋体"/>
          <w:sz w:val="10"/>
        </w:rPr>
        <w:t>，</w:t>
      </w:r>
      <w:r>
        <w:rPr>
          <w:rFonts w:hint="eastAsia" w:ascii="宋体" w:hAnsi="宋体" w:eastAsia="宋体" w:cs="宋体"/>
          <w:sz w:val="24"/>
        </w:rPr>
        <w:t>在盈利增长的持续性和盈利水平的稳定性方面具有较明显的优势</w:t>
      </w:r>
      <w:r>
        <w:rPr>
          <w:rFonts w:hint="eastAsia" w:ascii="宋体" w:hAnsi="宋体" w:eastAsia="宋体" w:cs="宋体"/>
          <w:sz w:val="10"/>
        </w:rPr>
        <w:t>。</w:t>
      </w:r>
      <w:r>
        <w:rPr>
          <w:rFonts w:hint="eastAsia" w:ascii="宋体" w:hAnsi="宋体" w:eastAsia="宋体" w:cs="宋体"/>
          <w:sz w:val="24"/>
        </w:rPr>
        <w:t>传统证券公司如美银美林</w:t>
      </w:r>
      <w:r>
        <w:rPr>
          <w:rFonts w:hint="eastAsia" w:ascii="宋体" w:hAnsi="宋体" w:eastAsia="宋体" w:cs="宋体"/>
          <w:sz w:val="10"/>
        </w:rPr>
        <w:t>，</w:t>
      </w:r>
      <w:r>
        <w:rPr>
          <w:rFonts w:hint="eastAsia" w:ascii="宋体" w:hAnsi="宋体" w:eastAsia="宋体" w:cs="宋体"/>
          <w:sz w:val="24"/>
        </w:rPr>
        <w:t>业务规模优势显著</w:t>
      </w:r>
      <w:r>
        <w:rPr>
          <w:rFonts w:hint="eastAsia" w:ascii="宋体" w:hAnsi="宋体" w:eastAsia="宋体" w:cs="宋体"/>
          <w:sz w:val="10"/>
        </w:rPr>
        <w:t>，</w:t>
      </w:r>
      <w:r>
        <w:rPr>
          <w:rFonts w:hint="eastAsia" w:ascii="宋体" w:hAnsi="宋体" w:eastAsia="宋体" w:cs="宋体"/>
          <w:sz w:val="24"/>
        </w:rPr>
        <w:t>研发水平较高</w:t>
      </w:r>
      <w:r>
        <w:rPr>
          <w:rFonts w:hint="eastAsia" w:ascii="宋体" w:hAnsi="宋体" w:eastAsia="宋体" w:cs="宋体"/>
          <w:sz w:val="10"/>
        </w:rPr>
        <w:t>，</w:t>
      </w:r>
      <w:r>
        <w:rPr>
          <w:rFonts w:hint="eastAsia" w:ascii="宋体" w:hAnsi="宋体" w:eastAsia="宋体" w:cs="宋体"/>
          <w:sz w:val="24"/>
        </w:rPr>
        <w:t>其在全球市场和高价值客户财富管理的收入贡献占绝对优势</w:t>
      </w:r>
      <w:r>
        <w:rPr>
          <w:rFonts w:hint="eastAsia" w:ascii="宋体" w:hAnsi="宋体" w:eastAsia="宋体" w:cs="宋体"/>
          <w:sz w:val="10"/>
        </w:rPr>
        <w:t>，</w:t>
      </w:r>
      <w:r>
        <w:rPr>
          <w:rFonts w:hint="eastAsia" w:ascii="宋体" w:hAnsi="宋体" w:eastAsia="宋体" w:cs="宋体"/>
          <w:sz w:val="24"/>
        </w:rPr>
        <w:t>积极参与互联网金融业务后</w:t>
      </w:r>
      <w:r>
        <w:rPr>
          <w:rFonts w:hint="eastAsia" w:ascii="宋体" w:hAnsi="宋体" w:eastAsia="宋体" w:cs="宋体"/>
          <w:sz w:val="10"/>
        </w:rPr>
        <w:t>，</w:t>
      </w:r>
      <w:r>
        <w:rPr>
          <w:rFonts w:hint="eastAsia" w:ascii="宋体" w:hAnsi="宋体" w:eastAsia="宋体" w:cs="宋体"/>
          <w:sz w:val="24"/>
        </w:rPr>
        <w:t>各业务之间的协同效应不断增加</w:t>
      </w:r>
      <w:r>
        <w:rPr>
          <w:rFonts w:hint="eastAsia" w:ascii="宋体" w:hAnsi="宋体" w:eastAsia="宋体" w:cs="宋体"/>
          <w:sz w:val="10"/>
        </w:rPr>
        <w:t>，</w:t>
      </w:r>
      <w:r>
        <w:rPr>
          <w:rFonts w:hint="eastAsia" w:ascii="宋体" w:hAnsi="宋体" w:eastAsia="宋体" w:cs="宋体"/>
          <w:sz w:val="24"/>
        </w:rPr>
        <w:t>金融创新也保持着相当的速度和质量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②日本</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40" w:firstLine="480"/>
        <w:jc w:val="both"/>
      </w:pPr>
      <w:r>
        <w:rPr>
          <w:rFonts w:hint="eastAsia" w:ascii="Times New Roman" w:hAnsi="Times New Roman" w:eastAsia="Times New Roman" w:cs="Times New Roman"/>
          <w:sz w:val="24"/>
        </w:rPr>
        <w:t>90</w:t>
      </w:r>
      <w:r>
        <w:rPr>
          <w:rFonts w:hint="eastAsia" w:ascii="宋体" w:hAnsi="宋体" w:eastAsia="宋体" w:cs="宋体"/>
          <w:sz w:val="24"/>
        </w:rPr>
        <w:t xml:space="preserve"> 年代的日本与我国一样处在间接融资为主的市场经济环境下</w:t>
      </w:r>
      <w:r>
        <w:rPr>
          <w:rFonts w:hint="eastAsia" w:ascii="宋体" w:hAnsi="宋体" w:eastAsia="宋体" w:cs="宋体"/>
          <w:sz w:val="10"/>
        </w:rPr>
        <w:t>，</w:t>
      </w:r>
      <w:r>
        <w:rPr>
          <w:rFonts w:hint="eastAsia" w:ascii="宋体" w:hAnsi="宋体" w:eastAsia="宋体" w:cs="宋体"/>
          <w:sz w:val="24"/>
        </w:rPr>
        <w:t>采取了多年的分业管理模式</w:t>
      </w:r>
      <w:r>
        <w:rPr>
          <w:rFonts w:hint="eastAsia" w:ascii="宋体" w:hAnsi="宋体" w:eastAsia="宋体" w:cs="宋体"/>
          <w:sz w:val="10"/>
        </w:rPr>
        <w:t>，</w:t>
      </w:r>
      <w:r>
        <w:rPr>
          <w:rFonts w:hint="eastAsia" w:ascii="宋体" w:hAnsi="宋体" w:eastAsia="宋体" w:cs="宋体"/>
          <w:sz w:val="24"/>
        </w:rPr>
        <w:t>银行与信托</w:t>
      </w:r>
      <w:r>
        <w:rPr>
          <w:rFonts w:hint="eastAsia" w:ascii="宋体" w:hAnsi="宋体" w:eastAsia="宋体" w:cs="宋体"/>
          <w:sz w:val="10"/>
        </w:rPr>
        <w:t>、</w:t>
      </w:r>
      <w:r>
        <w:rPr>
          <w:rFonts w:hint="eastAsia" w:ascii="宋体" w:hAnsi="宋体" w:eastAsia="宋体" w:cs="宋体"/>
          <w:sz w:val="24"/>
        </w:rPr>
        <w:t>证券长期严格的分离</w:t>
      </w:r>
      <w:r>
        <w:rPr>
          <w:rFonts w:hint="eastAsia" w:ascii="宋体" w:hAnsi="宋体" w:eastAsia="宋体" w:cs="宋体"/>
          <w:sz w:val="10"/>
        </w:rPr>
        <w:t>，</w:t>
      </w:r>
      <w:r>
        <w:rPr>
          <w:rFonts w:hint="eastAsia" w:ascii="宋体" w:hAnsi="宋体" w:eastAsia="宋体" w:cs="宋体"/>
          <w:sz w:val="24"/>
        </w:rPr>
        <w:t>其监管思路是抑制竞争</w:t>
      </w:r>
      <w:r>
        <w:rPr>
          <w:rFonts w:hint="eastAsia" w:ascii="宋体" w:hAnsi="宋体" w:eastAsia="宋体" w:cs="宋体"/>
          <w:sz w:val="10"/>
        </w:rPr>
        <w:t>、</w:t>
      </w:r>
      <w:r>
        <w:rPr>
          <w:rFonts w:hint="eastAsia" w:ascii="宋体" w:hAnsi="宋体" w:eastAsia="宋体" w:cs="宋体"/>
          <w:sz w:val="24"/>
        </w:rPr>
        <w:t>减少金融秩序混乱</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从日本股票交易的投资者结构来看</w:t>
      </w:r>
      <w:r>
        <w:rPr>
          <w:rFonts w:hint="eastAsia" w:ascii="宋体" w:hAnsi="宋体" w:eastAsia="宋体" w:cs="宋体"/>
          <w:sz w:val="10"/>
        </w:rPr>
        <w:t>，</w:t>
      </w:r>
      <w:r>
        <w:rPr>
          <w:rFonts w:hint="eastAsia" w:ascii="宋体" w:hAnsi="宋体" w:eastAsia="宋体" w:cs="宋体"/>
          <w:sz w:val="24"/>
        </w:rPr>
        <w:t>机构投资者交易量的占比较大</w:t>
      </w:r>
      <w:r>
        <w:rPr>
          <w:rFonts w:hint="eastAsia" w:ascii="宋体" w:hAnsi="宋体" w:eastAsia="宋体" w:cs="宋体"/>
          <w:sz w:val="10"/>
        </w:rPr>
        <w:t>，</w:t>
      </w:r>
      <w:r>
        <w:rPr>
          <w:rFonts w:hint="eastAsia" w:ascii="宋体" w:hAnsi="宋体" w:eastAsia="宋体" w:cs="宋体"/>
          <w:sz w:val="24"/>
        </w:rPr>
        <w:t>个人投资者的占比不超过两成</w:t>
      </w:r>
      <w:r>
        <w:rPr>
          <w:rFonts w:hint="eastAsia" w:ascii="宋体" w:hAnsi="宋体" w:eastAsia="宋体" w:cs="宋体"/>
          <w:sz w:val="10"/>
        </w:rPr>
        <w:t>。</w:t>
      </w:r>
      <w:r>
        <w:rPr>
          <w:rFonts w:hint="eastAsia" w:ascii="宋体" w:hAnsi="宋体" w:eastAsia="宋体" w:cs="宋体"/>
          <w:sz w:val="24"/>
        </w:rPr>
        <w:t>在互联网金融的大背景下</w:t>
      </w:r>
      <w:r>
        <w:rPr>
          <w:rFonts w:hint="eastAsia" w:ascii="宋体" w:hAnsi="宋体" w:eastAsia="宋体" w:cs="宋体"/>
          <w:sz w:val="10"/>
        </w:rPr>
        <w:t>，</w:t>
      </w:r>
      <w:r>
        <w:rPr>
          <w:rFonts w:hint="eastAsia" w:ascii="宋体" w:hAnsi="宋体" w:eastAsia="宋体" w:cs="宋体"/>
          <w:sz w:val="24"/>
        </w:rPr>
        <w:t>各大网络证券公司</w:t>
      </w:r>
      <w:r>
        <w:rPr>
          <w:rFonts w:hint="eastAsia" w:ascii="宋体" w:hAnsi="宋体" w:eastAsia="宋体" w:cs="宋体"/>
          <w:sz w:val="10"/>
        </w:rPr>
        <w:t>，</w:t>
      </w:r>
      <w:r>
        <w:rPr>
          <w:rFonts w:hint="eastAsia" w:ascii="宋体" w:hAnsi="宋体" w:eastAsia="宋体" w:cs="宋体"/>
          <w:sz w:val="24"/>
        </w:rPr>
        <w:t>都看中了网上交易将对</w:t>
      </w:r>
      <w:r>
        <w:rPr>
          <w:rFonts w:hint="eastAsia" w:ascii="宋体" w:hAnsi="宋体" w:eastAsia="宋体" w:cs="宋体"/>
          <w:sz w:val="10"/>
        </w:rPr>
        <w:t>“</w:t>
      </w:r>
      <w:r>
        <w:rPr>
          <w:rFonts w:hint="eastAsia" w:ascii="宋体" w:hAnsi="宋体" w:eastAsia="宋体" w:cs="宋体"/>
          <w:sz w:val="24"/>
        </w:rPr>
        <w:t>面对面</w:t>
      </w:r>
      <w:r>
        <w:rPr>
          <w:rFonts w:hint="eastAsia" w:ascii="宋体" w:hAnsi="宋体" w:eastAsia="宋体" w:cs="宋体"/>
          <w:sz w:val="10"/>
        </w:rPr>
        <w:t>”</w:t>
      </w:r>
      <w:r>
        <w:rPr>
          <w:rFonts w:hint="eastAsia" w:ascii="宋体" w:hAnsi="宋体" w:eastAsia="宋体" w:cs="宋体"/>
          <w:sz w:val="24"/>
        </w:rPr>
        <w:t>开户与交易的替代</w:t>
      </w:r>
      <w:r>
        <w:rPr>
          <w:rFonts w:hint="eastAsia" w:ascii="宋体" w:hAnsi="宋体" w:eastAsia="宋体" w:cs="宋体"/>
          <w:sz w:val="10"/>
        </w:rPr>
        <w:t>，</w:t>
      </w:r>
      <w:r>
        <w:rPr>
          <w:rFonts w:hint="eastAsia" w:ascii="宋体" w:hAnsi="宋体" w:eastAsia="宋体" w:cs="宋体"/>
          <w:sz w:val="24"/>
        </w:rPr>
        <w:t>抓住了证券零售市场的历史性机遇</w:t>
      </w:r>
      <w:r>
        <w:rPr>
          <w:rFonts w:hint="eastAsia" w:ascii="宋体" w:hAnsi="宋体" w:eastAsia="宋体" w:cs="宋体"/>
          <w:sz w:val="10"/>
        </w:rPr>
        <w:t>。</w:t>
      </w:r>
      <w:r>
        <w:rPr>
          <w:rFonts w:hint="eastAsia" w:ascii="宋体" w:hAnsi="宋体" w:eastAsia="宋体" w:cs="宋体"/>
          <w:sz w:val="24"/>
        </w:rPr>
        <w:t>互联网券商一经推出</w:t>
      </w:r>
      <w:r>
        <w:rPr>
          <w:rFonts w:hint="eastAsia" w:ascii="宋体" w:hAnsi="宋体" w:eastAsia="宋体" w:cs="宋体"/>
          <w:sz w:val="10"/>
        </w:rPr>
        <w:t>，</w:t>
      </w:r>
      <w:r>
        <w:rPr>
          <w:rFonts w:hint="eastAsia" w:ascii="宋体" w:hAnsi="宋体" w:eastAsia="宋体" w:cs="宋体"/>
          <w:sz w:val="24"/>
        </w:rPr>
        <w:t>就在零售业务领域以较快的速度占据了绝对的优势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SBI</w:t>
      </w:r>
      <w:r>
        <w:rPr>
          <w:rFonts w:hint="eastAsia" w:ascii="宋体" w:hAnsi="宋体" w:eastAsia="宋体" w:cs="宋体"/>
          <w:sz w:val="24"/>
        </w:rPr>
        <w:t xml:space="preserve"> 集团对于</w:t>
      </w:r>
      <w:r>
        <w:rPr>
          <w:rFonts w:hint="eastAsia" w:ascii="宋体" w:hAnsi="宋体" w:eastAsia="宋体" w:cs="宋体"/>
          <w:sz w:val="10"/>
        </w:rPr>
        <w:t>“</w:t>
      </w:r>
      <w:r>
        <w:rPr>
          <w:rFonts w:hint="eastAsia" w:ascii="宋体" w:hAnsi="宋体" w:eastAsia="宋体" w:cs="宋体"/>
          <w:sz w:val="24"/>
        </w:rPr>
        <w:t>网络革命</w:t>
      </w:r>
      <w:r>
        <w:rPr>
          <w:rFonts w:hint="eastAsia" w:ascii="宋体" w:hAnsi="宋体" w:eastAsia="宋体" w:cs="宋体"/>
          <w:sz w:val="10"/>
        </w:rPr>
        <w:t>”</w:t>
      </w:r>
      <w:r>
        <w:rPr>
          <w:rFonts w:hint="eastAsia" w:ascii="宋体" w:hAnsi="宋体" w:eastAsia="宋体" w:cs="宋体"/>
          <w:sz w:val="24"/>
        </w:rPr>
        <w:t>和</w:t>
      </w:r>
      <w:r>
        <w:rPr>
          <w:rFonts w:hint="eastAsia" w:ascii="宋体" w:hAnsi="宋体" w:eastAsia="宋体" w:cs="宋体"/>
          <w:sz w:val="10"/>
        </w:rPr>
        <w:t>“</w:t>
      </w:r>
      <w:r>
        <w:rPr>
          <w:rFonts w:hint="eastAsia" w:ascii="宋体" w:hAnsi="宋体" w:eastAsia="宋体" w:cs="宋体"/>
          <w:sz w:val="24"/>
        </w:rPr>
        <w:t>金融自由化</w:t>
      </w:r>
      <w:r>
        <w:rPr>
          <w:rFonts w:hint="eastAsia" w:ascii="宋体" w:hAnsi="宋体" w:eastAsia="宋体" w:cs="宋体"/>
          <w:sz w:val="10"/>
        </w:rPr>
        <w:t>”</w:t>
      </w:r>
      <w:r>
        <w:rPr>
          <w:rFonts w:hint="eastAsia" w:ascii="宋体" w:hAnsi="宋体" w:eastAsia="宋体" w:cs="宋体"/>
          <w:sz w:val="24"/>
        </w:rPr>
        <w:t>同时出现对于日本的冲击采取了有效措施</w:t>
      </w:r>
      <w:r>
        <w:rPr>
          <w:rFonts w:hint="eastAsia" w:ascii="宋体" w:hAnsi="宋体" w:eastAsia="宋体" w:cs="宋体"/>
          <w:sz w:val="10"/>
        </w:rPr>
        <w:t>。</w:t>
      </w:r>
      <w:r>
        <w:rPr>
          <w:rFonts w:hint="eastAsia" w:ascii="宋体" w:hAnsi="宋体" w:eastAsia="宋体" w:cs="宋体"/>
          <w:sz w:val="24"/>
        </w:rPr>
        <w:t>公司的服务模式包括</w:t>
      </w:r>
      <w:r>
        <w:rPr>
          <w:rFonts w:hint="eastAsia" w:ascii="宋体" w:hAnsi="宋体" w:eastAsia="宋体" w:cs="宋体"/>
          <w:sz w:val="12"/>
        </w:rPr>
        <w:t>：“一</w:t>
      </w:r>
      <w:r>
        <w:rPr>
          <w:rFonts w:hint="eastAsia" w:ascii="宋体" w:hAnsi="宋体" w:eastAsia="宋体" w:cs="宋体"/>
          <w:sz w:val="24"/>
        </w:rPr>
        <w:t>张清单</w:t>
      </w:r>
      <w:r>
        <w:rPr>
          <w:rFonts w:hint="eastAsia" w:ascii="宋体" w:hAnsi="宋体" w:eastAsia="宋体" w:cs="宋体"/>
          <w:sz w:val="10"/>
        </w:rPr>
        <w:t>”</w:t>
      </w:r>
      <w:r>
        <w:rPr>
          <w:rFonts w:hint="eastAsia" w:ascii="Times New Roman" w:hAnsi="Times New Roman" w:eastAsia="Times New Roman" w:cs="Times New Roman"/>
          <w:sz w:val="24"/>
        </w:rPr>
        <w:t>——</w:t>
      </w:r>
      <w:r>
        <w:rPr>
          <w:rFonts w:hint="eastAsia" w:ascii="宋体" w:hAnsi="宋体" w:eastAsia="宋体" w:cs="宋体"/>
          <w:sz w:val="24"/>
        </w:rPr>
        <w:t>将客户需要的不同金融服务的比较集中呈现</w:t>
      </w:r>
      <w:r>
        <w:rPr>
          <w:rFonts w:hint="eastAsia" w:ascii="宋体" w:hAnsi="宋体" w:eastAsia="宋体" w:cs="宋体"/>
          <w:sz w:val="12"/>
        </w:rPr>
        <w:t>；“一</w:t>
      </w:r>
      <w:r>
        <w:rPr>
          <w:rFonts w:hint="eastAsia" w:ascii="宋体" w:hAnsi="宋体" w:eastAsia="宋体" w:cs="宋体"/>
          <w:sz w:val="24"/>
        </w:rPr>
        <w:t>站式服务</w:t>
      </w:r>
      <w:r>
        <w:rPr>
          <w:rFonts w:hint="eastAsia" w:ascii="宋体" w:hAnsi="宋体" w:eastAsia="宋体" w:cs="宋体"/>
          <w:sz w:val="10"/>
        </w:rPr>
        <w:t>”</w:t>
      </w:r>
      <w:r>
        <w:rPr>
          <w:rFonts w:hint="eastAsia" w:ascii="Times New Roman" w:hAnsi="Times New Roman" w:eastAsia="Times New Roman" w:cs="Times New Roman"/>
          <w:sz w:val="24"/>
        </w:rPr>
        <w:t>——</w:t>
      </w:r>
      <w:r>
        <w:rPr>
          <w:rFonts w:hint="eastAsia" w:ascii="宋体" w:hAnsi="宋体" w:eastAsia="宋体" w:cs="宋体"/>
          <w:sz w:val="24"/>
        </w:rPr>
        <w:t>提供广泛的金融产品及服务</w:t>
      </w:r>
      <w:r>
        <w:rPr>
          <w:rFonts w:hint="eastAsia" w:ascii="宋体" w:hAnsi="宋体" w:eastAsia="宋体" w:cs="宋体"/>
          <w:sz w:val="12"/>
        </w:rPr>
        <w:t>；“一</w:t>
      </w:r>
      <w:r>
        <w:rPr>
          <w:rFonts w:hint="eastAsia" w:ascii="宋体" w:hAnsi="宋体" w:eastAsia="宋体" w:cs="宋体"/>
          <w:sz w:val="24"/>
        </w:rPr>
        <w:t>对一”</w:t>
      </w:r>
      <w:r>
        <w:rPr>
          <w:rFonts w:hint="eastAsia" w:ascii="宋体" w:hAnsi="宋体" w:eastAsia="宋体" w:cs="宋体"/>
          <w:sz w:val="24"/>
        </w:rPr>
        <w:t>服务</w:t>
      </w:r>
      <w:r>
        <w:rPr>
          <w:rFonts w:hint="eastAsia" w:ascii="Times New Roman" w:hAnsi="Times New Roman" w:eastAsia="Times New Roman" w:cs="Times New Roman"/>
          <w:sz w:val="24"/>
        </w:rPr>
        <w:t>——</w:t>
      </w:r>
      <w:r>
        <w:rPr>
          <w:rFonts w:hint="eastAsia" w:ascii="宋体" w:hAnsi="宋体" w:eastAsia="宋体" w:cs="宋体"/>
          <w:sz w:val="24"/>
        </w:rPr>
        <w:t>客户经理对客户提供定制化服务</w:t>
      </w:r>
      <w:r>
        <w:rPr>
          <w:rFonts w:hint="eastAsia" w:ascii="宋体" w:hAnsi="宋体" w:eastAsia="宋体" w:cs="宋体"/>
          <w:sz w:val="10"/>
        </w:rPr>
        <w:t>。</w:t>
      </w:r>
      <w:r>
        <w:rPr>
          <w:rFonts w:hint="eastAsia" w:ascii="宋体" w:hAnsi="宋体" w:eastAsia="宋体" w:cs="宋体"/>
          <w:sz w:val="24"/>
        </w:rPr>
        <w:t>公司同时注重基于网络环境的软件系统构建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Monex</w:t>
      </w:r>
      <w:r>
        <w:rPr>
          <w:rFonts w:hint="eastAsia" w:ascii="宋体" w:hAnsi="宋体" w:eastAsia="宋体" w:cs="宋体"/>
          <w:sz w:val="24"/>
        </w:rPr>
        <w:t xml:space="preserve"> 证券成立于</w:t>
      </w:r>
      <w:r>
        <w:rPr>
          <w:rFonts w:hint="eastAsia" w:ascii="Times New Roman" w:hAnsi="Times New Roman" w:eastAsia="Times New Roman" w:cs="Times New Roman"/>
          <w:sz w:val="24"/>
        </w:rPr>
        <w:t xml:space="preserve"> 1999</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是日本一家在线证券公司</w:t>
      </w:r>
      <w:r>
        <w:rPr>
          <w:rFonts w:hint="eastAsia" w:ascii="宋体" w:hAnsi="宋体" w:eastAsia="宋体" w:cs="宋体"/>
          <w:sz w:val="10"/>
        </w:rPr>
        <w:t>。</w:t>
      </w:r>
      <w:r>
        <w:rPr>
          <w:rFonts w:hint="eastAsia" w:ascii="Times New Roman" w:hAnsi="Times New Roman" w:eastAsia="Times New Roman" w:cs="Times New Roman"/>
          <w:sz w:val="24"/>
        </w:rPr>
        <w:t>Monex</w:t>
      </w:r>
      <w:r>
        <w:rPr>
          <w:rFonts w:hint="eastAsia" w:ascii="宋体" w:hAnsi="宋体" w:eastAsia="宋体" w:cs="宋体"/>
          <w:sz w:val="24"/>
        </w:rPr>
        <w:t xml:space="preserve"> 证券在技术</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1-1-116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jc w:val="both"/>
      </w:pPr>
      <w:r>
        <w:rPr>
          <w:rFonts w:hint="eastAsia" w:ascii="宋体" w:hAnsi="宋体" w:eastAsia="宋体" w:cs="宋体"/>
          <w:sz w:val="24"/>
        </w:rPr>
        <w:t>层面对于系统开发以及网络环境稳定性</w:t>
      </w:r>
      <w:r>
        <w:rPr>
          <w:rFonts w:hint="eastAsia" w:ascii="宋体" w:hAnsi="宋体" w:eastAsia="宋体" w:cs="宋体"/>
          <w:sz w:val="10"/>
        </w:rPr>
        <w:t>、</w:t>
      </w:r>
      <w:r>
        <w:rPr>
          <w:rFonts w:hint="eastAsia" w:ascii="宋体" w:hAnsi="宋体" w:eastAsia="宋体" w:cs="宋体"/>
          <w:sz w:val="24"/>
        </w:rPr>
        <w:t>安全性方面进行了大规模改进</w:t>
      </w:r>
      <w:r>
        <w:rPr>
          <w:rFonts w:hint="eastAsia" w:ascii="宋体" w:hAnsi="宋体" w:eastAsia="宋体" w:cs="宋体"/>
          <w:sz w:val="10"/>
        </w:rPr>
        <w:t>，</w:t>
      </w:r>
      <w:r>
        <w:rPr>
          <w:rFonts w:hint="eastAsia" w:ascii="宋体" w:hAnsi="宋体" w:eastAsia="宋体" w:cs="宋体"/>
          <w:sz w:val="24"/>
        </w:rPr>
        <w:t>奠定了</w:t>
      </w:r>
      <w:r>
        <w:rPr>
          <w:rFonts w:hint="eastAsia" w:ascii="Times New Roman" w:hAnsi="Times New Roman" w:eastAsia="Times New Roman" w:cs="Times New Roman"/>
          <w:sz w:val="24"/>
        </w:rPr>
        <w:t>Monex</w:t>
      </w:r>
      <w:r>
        <w:rPr>
          <w:rFonts w:hint="eastAsia" w:ascii="宋体" w:hAnsi="宋体" w:eastAsia="宋体" w:cs="宋体"/>
          <w:sz w:val="24"/>
        </w:rPr>
        <w:t xml:space="preserve"> 一直以来在互联网证券领域技术上的优势</w:t>
      </w:r>
      <w:r>
        <w:rPr>
          <w:rFonts w:hint="eastAsia" w:ascii="宋体" w:hAnsi="宋体" w:eastAsia="宋体" w:cs="宋体"/>
          <w:sz w:val="10"/>
        </w:rPr>
        <w:t>。</w:t>
      </w:r>
      <w:r>
        <w:rPr>
          <w:rFonts w:hint="eastAsia" w:ascii="Times New Roman" w:hAnsi="Times New Roman" w:eastAsia="Times New Roman" w:cs="Times New Roman"/>
          <w:sz w:val="24"/>
        </w:rPr>
        <w:t>Monex</w:t>
      </w:r>
      <w:r>
        <w:rPr>
          <w:rFonts w:hint="eastAsia" w:ascii="宋体" w:hAnsi="宋体" w:eastAsia="宋体" w:cs="宋体"/>
          <w:sz w:val="24"/>
        </w:rPr>
        <w:t xml:space="preserve"> 的交易系统具备了程序化交易功能</w:t>
      </w:r>
      <w:r>
        <w:rPr>
          <w:rFonts w:hint="eastAsia" w:ascii="宋体" w:hAnsi="宋体" w:eastAsia="宋体" w:cs="宋体"/>
          <w:sz w:val="10"/>
        </w:rPr>
        <w:t>，</w:t>
      </w:r>
      <w:r>
        <w:rPr>
          <w:rFonts w:hint="eastAsia" w:ascii="宋体" w:hAnsi="宋体" w:eastAsia="宋体" w:cs="宋体"/>
          <w:sz w:val="24"/>
        </w:rPr>
        <w:t>可以进行便利的下单</w:t>
      </w:r>
      <w:r>
        <w:rPr>
          <w:rFonts w:hint="eastAsia" w:ascii="宋体" w:hAnsi="宋体" w:eastAsia="宋体" w:cs="宋体"/>
          <w:sz w:val="10"/>
        </w:rPr>
        <w:t>，</w:t>
      </w:r>
      <w:r>
        <w:rPr>
          <w:rFonts w:hint="eastAsia" w:ascii="宋体" w:hAnsi="宋体" w:eastAsia="宋体" w:cs="宋体"/>
          <w:sz w:val="24"/>
        </w:rPr>
        <w:t>可以自由设定界面进行趋势检索</w:t>
      </w:r>
      <w:r>
        <w:rPr>
          <w:rFonts w:hint="eastAsia" w:ascii="宋体" w:hAnsi="宋体" w:eastAsia="宋体" w:cs="宋体"/>
          <w:sz w:val="10"/>
        </w:rPr>
        <w:t>，</w:t>
      </w:r>
      <w:r>
        <w:rPr>
          <w:rFonts w:hint="eastAsia" w:ascii="宋体" w:hAnsi="宋体" w:eastAsia="宋体" w:cs="宋体"/>
          <w:sz w:val="24"/>
        </w:rPr>
        <w:t>还有丰富的下单委托功能</w:t>
      </w:r>
      <w:r>
        <w:rPr>
          <w:rFonts w:hint="eastAsia" w:ascii="宋体" w:hAnsi="宋体" w:eastAsia="宋体" w:cs="宋体"/>
          <w:sz w:val="10"/>
        </w:rPr>
        <w:t>，</w:t>
      </w:r>
      <w:r>
        <w:rPr>
          <w:rFonts w:hint="eastAsia" w:ascii="宋体" w:hAnsi="宋体" w:eastAsia="宋体" w:cs="宋体"/>
          <w:sz w:val="24"/>
        </w:rPr>
        <w:t>使得投资者可以精确设定买卖时间</w:t>
      </w:r>
      <w:r>
        <w:rPr>
          <w:rFonts w:hint="eastAsia" w:ascii="宋体" w:hAnsi="宋体" w:eastAsia="宋体" w:cs="宋体"/>
          <w:sz w:val="10"/>
        </w:rPr>
        <w:t>，</w:t>
      </w:r>
      <w:r>
        <w:rPr>
          <w:rFonts w:hint="eastAsia" w:ascii="宋体" w:hAnsi="宋体" w:eastAsia="宋体" w:cs="宋体"/>
          <w:sz w:val="24"/>
        </w:rPr>
        <w:t>在确保收益的同时进行风险管理</w:t>
      </w:r>
      <w:r>
        <w:rPr>
          <w:rFonts w:hint="eastAsia" w:ascii="宋体" w:hAnsi="宋体" w:eastAsia="宋体" w:cs="宋体"/>
          <w:sz w:val="10"/>
        </w:rPr>
        <w:t>。</w:t>
      </w:r>
      <w:r>
        <w:rPr>
          <w:rFonts w:hint="eastAsia" w:ascii="Times New Roman" w:hAnsi="Times New Roman" w:eastAsia="Times New Roman" w:cs="Times New Roman"/>
          <w:sz w:val="24"/>
        </w:rPr>
        <w:t>Monex</w:t>
      </w:r>
      <w:r>
        <w:rPr>
          <w:rFonts w:hint="eastAsia" w:ascii="宋体" w:hAnsi="宋体" w:eastAsia="宋体" w:cs="宋体"/>
          <w:sz w:val="24"/>
        </w:rPr>
        <w:t xml:space="preserve"> 还引入了信用交易止损功能</w:t>
      </w:r>
      <w:r>
        <w:rPr>
          <w:rFonts w:hint="eastAsia" w:ascii="宋体" w:hAnsi="宋体" w:eastAsia="宋体" w:cs="宋体"/>
          <w:sz w:val="10"/>
        </w:rPr>
        <w:t>。</w:t>
      </w:r>
      <w:r>
        <w:rPr>
          <w:rFonts w:hint="eastAsia" w:ascii="宋体" w:hAnsi="宋体" w:eastAsia="宋体" w:cs="宋体"/>
          <w:sz w:val="24"/>
        </w:rPr>
        <w:t>在交易品种方面</w:t>
      </w:r>
      <w:r>
        <w:rPr>
          <w:rFonts w:hint="eastAsia" w:ascii="宋体" w:hAnsi="宋体" w:eastAsia="宋体" w:cs="宋体"/>
          <w:sz w:val="10"/>
        </w:rPr>
        <w:t>，</w:t>
      </w:r>
      <w:r>
        <w:rPr>
          <w:rFonts w:hint="eastAsia" w:ascii="Times New Roman" w:hAnsi="Times New Roman" w:eastAsia="Times New Roman" w:cs="Times New Roman"/>
          <w:sz w:val="24"/>
        </w:rPr>
        <w:t>Monex</w:t>
      </w:r>
      <w:r>
        <w:rPr>
          <w:rFonts w:hint="eastAsia" w:ascii="宋体" w:hAnsi="宋体" w:eastAsia="宋体" w:cs="宋体"/>
          <w:sz w:val="24"/>
        </w:rPr>
        <w:t xml:space="preserve"> 在股票</w:t>
      </w:r>
      <w:r>
        <w:rPr>
          <w:rFonts w:hint="eastAsia" w:ascii="宋体" w:hAnsi="宋体" w:eastAsia="宋体" w:cs="宋体"/>
          <w:sz w:val="10"/>
        </w:rPr>
        <w:t>、</w:t>
      </w:r>
      <w:r>
        <w:rPr>
          <w:rFonts w:hint="eastAsia" w:ascii="宋体" w:hAnsi="宋体" w:eastAsia="宋体" w:cs="宋体"/>
          <w:sz w:val="24"/>
        </w:rPr>
        <w:t>基金</w:t>
      </w:r>
      <w:r>
        <w:rPr>
          <w:rFonts w:hint="eastAsia" w:ascii="宋体" w:hAnsi="宋体" w:eastAsia="宋体" w:cs="宋体"/>
          <w:sz w:val="10"/>
        </w:rPr>
        <w:t>、</w:t>
      </w:r>
      <w:r>
        <w:rPr>
          <w:rFonts w:hint="eastAsia" w:ascii="宋体" w:hAnsi="宋体" w:eastAsia="宋体" w:cs="宋体"/>
          <w:sz w:val="24"/>
        </w:rPr>
        <w:t>债券之外</w:t>
      </w:r>
      <w:r>
        <w:rPr>
          <w:rFonts w:hint="eastAsia" w:ascii="宋体" w:hAnsi="宋体" w:eastAsia="宋体" w:cs="宋体"/>
          <w:sz w:val="10"/>
        </w:rPr>
        <w:t>，</w:t>
      </w:r>
      <w:r>
        <w:rPr>
          <w:rFonts w:hint="eastAsia" w:ascii="宋体" w:hAnsi="宋体" w:eastAsia="宋体" w:cs="宋体"/>
          <w:sz w:val="24"/>
        </w:rPr>
        <w:t>还推出了针对外汇保证金交易的交易平台</w:t>
      </w:r>
      <w:r>
        <w:rPr>
          <w:rFonts w:hint="eastAsia" w:ascii="Times New Roman" w:hAnsi="Times New Roman" w:eastAsia="Times New Roman" w:cs="Times New Roman"/>
          <w:sz w:val="24"/>
        </w:rPr>
        <w:t xml:space="preserve"> Monex Joo</w:t>
      </w:r>
      <w:r>
        <w:rPr>
          <w:rFonts w:hint="eastAsia" w:ascii="宋体" w:hAnsi="宋体" w:eastAsia="宋体" w:cs="宋体"/>
          <w:sz w:val="10"/>
        </w:rPr>
        <w:t>，</w:t>
      </w:r>
      <w:r>
        <w:rPr>
          <w:rFonts w:hint="eastAsia" w:ascii="宋体" w:hAnsi="宋体" w:eastAsia="宋体" w:cs="宋体"/>
          <w:sz w:val="24"/>
        </w:rPr>
        <w:t>向投资者提供富有竞争力的外汇定价</w:t>
      </w:r>
      <w:r>
        <w:rPr>
          <w:rFonts w:hint="eastAsia" w:ascii="宋体" w:hAnsi="宋体" w:eastAsia="宋体" w:cs="宋体"/>
          <w:sz w:val="10"/>
        </w:rPr>
        <w:t>，</w:t>
      </w:r>
      <w:r>
        <w:rPr>
          <w:rFonts w:hint="eastAsia" w:ascii="宋体" w:hAnsi="宋体" w:eastAsia="宋体" w:cs="宋体"/>
          <w:sz w:val="24"/>
        </w:rPr>
        <w:t>同时网上交易免收手续费</w:t>
      </w:r>
      <w:r>
        <w:rPr>
          <w:rFonts w:hint="eastAsia" w:ascii="宋体" w:hAnsi="宋体" w:eastAsia="宋体" w:cs="宋体"/>
          <w:sz w:val="10"/>
        </w:rPr>
        <w:t>，</w:t>
      </w:r>
      <w:r>
        <w:rPr>
          <w:rFonts w:hint="eastAsia" w:ascii="宋体" w:hAnsi="宋体" w:eastAsia="宋体" w:cs="宋体"/>
          <w:sz w:val="24"/>
        </w:rPr>
        <w:t>向新手开放门槛较低的外汇交易品种</w:t>
      </w:r>
      <w:r>
        <w:rPr>
          <w:rFonts w:hint="eastAsia" w:ascii="宋体" w:hAnsi="宋体" w:eastAsia="宋体" w:cs="宋体"/>
          <w:sz w:val="10"/>
        </w:rPr>
        <w:t>。</w:t>
      </w:r>
      <w:r>
        <w:rPr>
          <w:rFonts w:hint="eastAsia" w:ascii="宋体" w:hAnsi="宋体" w:eastAsia="宋体" w:cs="宋体"/>
          <w:sz w:val="24"/>
        </w:rPr>
        <w:t>公司还通过产品设计</w:t>
      </w:r>
      <w:r>
        <w:rPr>
          <w:rFonts w:hint="eastAsia" w:ascii="宋体" w:hAnsi="宋体" w:eastAsia="宋体" w:cs="宋体"/>
          <w:sz w:val="10"/>
        </w:rPr>
        <w:t>，</w:t>
      </w:r>
      <w:r>
        <w:rPr>
          <w:rFonts w:hint="eastAsia" w:ascii="宋体" w:hAnsi="宋体" w:eastAsia="宋体" w:cs="宋体"/>
          <w:sz w:val="24"/>
        </w:rPr>
        <w:t>将个人投资者引向高端客户热衷参与的另类资产投资</w:t>
      </w:r>
      <w:r>
        <w:rPr>
          <w:rFonts w:hint="eastAsia" w:ascii="宋体" w:hAnsi="宋体" w:eastAsia="宋体" w:cs="宋体"/>
          <w:sz w:val="10"/>
        </w:rPr>
        <w:t>，</w:t>
      </w:r>
      <w:r>
        <w:rPr>
          <w:rFonts w:hint="eastAsia" w:ascii="宋体" w:hAnsi="宋体" w:eastAsia="宋体" w:cs="宋体"/>
          <w:sz w:val="24"/>
        </w:rPr>
        <w:t>把全球范围内的</w:t>
      </w:r>
      <w:r>
        <w:rPr>
          <w:rFonts w:hint="eastAsia" w:ascii="Times New Roman" w:hAnsi="Times New Roman" w:eastAsia="Times New Roman" w:cs="Times New Roman"/>
          <w:sz w:val="24"/>
        </w:rPr>
        <w:t xml:space="preserve"> PE</w:t>
      </w:r>
      <w:r>
        <w:rPr>
          <w:rFonts w:hint="eastAsia" w:ascii="宋体" w:hAnsi="宋体" w:eastAsia="宋体" w:cs="宋体"/>
          <w:sz w:val="24"/>
        </w:rPr>
        <w:t xml:space="preserve"> 和对冲基金以</w:t>
      </w:r>
      <w:r>
        <w:rPr>
          <w:rFonts w:hint="eastAsia" w:ascii="Times New Roman" w:hAnsi="Times New Roman" w:eastAsia="Times New Roman" w:cs="Times New Roman"/>
          <w:sz w:val="24"/>
        </w:rPr>
        <w:t xml:space="preserve"> FOF</w:t>
      </w:r>
      <w:r>
        <w:rPr>
          <w:rFonts w:hint="eastAsia" w:ascii="宋体" w:hAnsi="宋体" w:eastAsia="宋体" w:cs="宋体"/>
          <w:sz w:val="24"/>
        </w:rPr>
        <w:t xml:space="preserve"> 的形式向个人投资者出售</w:t>
      </w:r>
      <w:r>
        <w:rPr>
          <w:rFonts w:hint="eastAsia" w:ascii="宋体" w:hAnsi="宋体" w:eastAsia="宋体" w:cs="宋体"/>
          <w:sz w:val="10"/>
        </w:rPr>
        <w:t>。</w:t>
      </w:r>
      <w:r>
        <w:rPr>
          <w:rFonts w:hint="eastAsia" w:ascii="宋体" w:hAnsi="宋体" w:eastAsia="宋体" w:cs="宋体"/>
          <w:sz w:val="24"/>
        </w:rPr>
        <w:t>在客户体验方面</w:t>
      </w:r>
      <w:r>
        <w:rPr>
          <w:rFonts w:hint="eastAsia" w:ascii="宋体" w:hAnsi="宋体" w:eastAsia="宋体" w:cs="宋体"/>
          <w:sz w:val="10"/>
        </w:rPr>
        <w:t>，</w:t>
      </w:r>
      <w:r>
        <w:rPr>
          <w:rFonts w:hint="eastAsia" w:ascii="Times New Roman" w:hAnsi="Times New Roman" w:eastAsia="Times New Roman" w:cs="Times New Roman"/>
          <w:sz w:val="24"/>
        </w:rPr>
        <w:t>Monex</w:t>
      </w:r>
      <w:r>
        <w:rPr>
          <w:rFonts w:hint="eastAsia" w:ascii="宋体" w:hAnsi="宋体" w:eastAsia="宋体" w:cs="宋体"/>
          <w:sz w:val="24"/>
        </w:rPr>
        <w:t xml:space="preserve"> 推出了诸多方面的创新</w:t>
      </w:r>
      <w:r>
        <w:rPr>
          <w:rFonts w:hint="eastAsia" w:ascii="宋体" w:hAnsi="宋体" w:eastAsia="宋体" w:cs="宋体"/>
          <w:sz w:val="10"/>
        </w:rPr>
        <w:t>，</w:t>
      </w:r>
      <w:r>
        <w:rPr>
          <w:rFonts w:hint="eastAsia" w:ascii="宋体" w:hAnsi="宋体" w:eastAsia="宋体" w:cs="宋体"/>
          <w:sz w:val="24"/>
        </w:rPr>
        <w:t>如向客户提供融资融券服务</w:t>
      </w:r>
      <w:r>
        <w:rPr>
          <w:rFonts w:hint="eastAsia" w:ascii="宋体" w:hAnsi="宋体" w:eastAsia="宋体" w:cs="宋体"/>
          <w:sz w:val="14"/>
        </w:rPr>
        <w:t>；</w:t>
      </w:r>
      <w:r>
        <w:rPr>
          <w:rFonts w:hint="eastAsia" w:ascii="宋体" w:hAnsi="宋体" w:eastAsia="宋体" w:cs="宋体"/>
          <w:sz w:val="24"/>
        </w:rPr>
        <w:t>向客户提供不到一个成交单位的交易方式</w:t>
      </w:r>
      <w:r>
        <w:rPr>
          <w:rFonts w:hint="eastAsia" w:ascii="宋体" w:hAnsi="宋体" w:eastAsia="宋体" w:cs="宋体"/>
          <w:sz w:val="14"/>
        </w:rPr>
        <w:t>；</w:t>
      </w:r>
      <w:r>
        <w:rPr>
          <w:rFonts w:hint="eastAsia" w:ascii="宋体" w:hAnsi="宋体" w:eastAsia="宋体" w:cs="宋体"/>
          <w:sz w:val="24"/>
        </w:rPr>
        <w:t>以最低费率提供国际范围内多种金融衍生品的交易</w:t>
      </w:r>
      <w:r>
        <w:rPr>
          <w:rFonts w:hint="eastAsia" w:ascii="宋体" w:hAnsi="宋体" w:eastAsia="宋体" w:cs="宋体"/>
          <w:sz w:val="12"/>
        </w:rPr>
        <w:t>；</w:t>
      </w:r>
      <w:r>
        <w:rPr>
          <w:rFonts w:hint="eastAsia" w:ascii="宋体" w:hAnsi="宋体" w:eastAsia="宋体" w:cs="宋体"/>
          <w:sz w:val="24"/>
        </w:rPr>
        <w:t>在</w:t>
      </w:r>
      <w:r>
        <w:rPr>
          <w:rFonts w:hint="eastAsia" w:ascii="Times New Roman" w:hAnsi="Times New Roman" w:eastAsia="Times New Roman" w:cs="Times New Roman"/>
          <w:sz w:val="24"/>
        </w:rPr>
        <w:t xml:space="preserve"> Monex</w:t>
      </w:r>
      <w:r>
        <w:rPr>
          <w:rFonts w:hint="eastAsia" w:ascii="宋体" w:hAnsi="宋体" w:eastAsia="宋体" w:cs="宋体"/>
          <w:sz w:val="24"/>
        </w:rPr>
        <w:t xml:space="preserve"> 产生的积分可以换全日航空的积分里程等等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总之</w:t>
      </w:r>
      <w:r>
        <w:rPr>
          <w:rFonts w:hint="eastAsia" w:ascii="宋体" w:hAnsi="宋体" w:eastAsia="宋体" w:cs="宋体"/>
          <w:sz w:val="10"/>
        </w:rPr>
        <w:t>，</w:t>
      </w:r>
      <w:r>
        <w:rPr>
          <w:rFonts w:hint="eastAsia" w:ascii="宋体" w:hAnsi="宋体" w:eastAsia="宋体" w:cs="宋体"/>
          <w:sz w:val="24"/>
        </w:rPr>
        <w:t>发达国家证券业的互联网金融化相比中国发展更早</w:t>
      </w:r>
      <w:r>
        <w:rPr>
          <w:rFonts w:hint="eastAsia" w:ascii="宋体" w:hAnsi="宋体" w:eastAsia="宋体" w:cs="宋体"/>
          <w:sz w:val="10"/>
        </w:rPr>
        <w:t>、</w:t>
      </w:r>
      <w:r>
        <w:rPr>
          <w:rFonts w:hint="eastAsia" w:ascii="宋体" w:hAnsi="宋体" w:eastAsia="宋体" w:cs="宋体"/>
          <w:sz w:val="24"/>
        </w:rPr>
        <w:t>进展更深</w:t>
      </w:r>
      <w:r>
        <w:rPr>
          <w:rFonts w:hint="eastAsia" w:ascii="宋体" w:hAnsi="宋体" w:eastAsia="宋体" w:cs="宋体"/>
          <w:sz w:val="10"/>
        </w:rPr>
        <w:t>，</w:t>
      </w:r>
      <w:r>
        <w:rPr>
          <w:rFonts w:hint="eastAsia" w:ascii="宋体" w:hAnsi="宋体" w:eastAsia="宋体" w:cs="宋体"/>
          <w:sz w:val="24"/>
        </w:rPr>
        <w:t>在服务及产品形式上给我国证券业的发展提供了可以借鉴的思路</w:t>
      </w:r>
      <w:r>
        <w:rPr>
          <w:rFonts w:hint="eastAsia" w:ascii="宋体" w:hAnsi="宋体" w:eastAsia="宋体" w:cs="宋体"/>
          <w:sz w:val="10"/>
        </w:rPr>
        <w:t>。</w:t>
      </w:r>
      <w:r>
        <w:rPr>
          <w:rFonts w:hint="eastAsia" w:ascii="宋体" w:hAnsi="宋体" w:eastAsia="宋体" w:cs="宋体"/>
          <w:sz w:val="24"/>
        </w:rPr>
        <w:t>但是</w:t>
      </w:r>
      <w:r>
        <w:rPr>
          <w:rFonts w:hint="eastAsia" w:ascii="宋体" w:hAnsi="宋体" w:eastAsia="宋体" w:cs="宋体"/>
          <w:sz w:val="10"/>
        </w:rPr>
        <w:t>，</w:t>
      </w:r>
      <w:r>
        <w:rPr>
          <w:rFonts w:hint="eastAsia" w:ascii="宋体" w:hAnsi="宋体" w:eastAsia="宋体" w:cs="宋体"/>
          <w:sz w:val="24"/>
        </w:rPr>
        <w:t>由于监管及金融环境的差别</w:t>
      </w:r>
      <w:r>
        <w:rPr>
          <w:rFonts w:hint="eastAsia" w:ascii="宋体" w:hAnsi="宋体" w:eastAsia="宋体" w:cs="宋体"/>
          <w:sz w:val="10"/>
        </w:rPr>
        <w:t>，</w:t>
      </w:r>
      <w:r>
        <w:rPr>
          <w:rFonts w:hint="eastAsia" w:ascii="宋体" w:hAnsi="宋体" w:eastAsia="宋体" w:cs="宋体"/>
          <w:sz w:val="24"/>
        </w:rPr>
        <w:t>我们无法照搬别国经验</w:t>
      </w:r>
      <w:r>
        <w:rPr>
          <w:rFonts w:hint="eastAsia" w:ascii="宋体" w:hAnsi="宋体" w:eastAsia="宋体" w:cs="宋体"/>
          <w:sz w:val="10"/>
        </w:rPr>
        <w:t>，</w:t>
      </w:r>
      <w:r>
        <w:rPr>
          <w:rFonts w:hint="eastAsia" w:ascii="宋体" w:hAnsi="宋体" w:eastAsia="宋体" w:cs="宋体"/>
          <w:sz w:val="24"/>
        </w:rPr>
        <w:t>还需要全行业基于自身发展阶段的特点</w:t>
      </w:r>
      <w:r>
        <w:rPr>
          <w:rFonts w:hint="eastAsia" w:ascii="宋体" w:hAnsi="宋体" w:eastAsia="宋体" w:cs="宋体"/>
          <w:sz w:val="10"/>
        </w:rPr>
        <w:t>，</w:t>
      </w:r>
      <w:r>
        <w:rPr>
          <w:rFonts w:hint="eastAsia" w:ascii="宋体" w:hAnsi="宋体" w:eastAsia="宋体" w:cs="宋体"/>
          <w:sz w:val="24"/>
        </w:rPr>
        <w:t>在互联网金融领域继续探索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）互联网金融带来的新业务机会</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互联网金融的崛起加快了证券业信息化的进程</w:t>
      </w:r>
      <w:r>
        <w:rPr>
          <w:rFonts w:hint="eastAsia" w:ascii="宋体" w:hAnsi="宋体" w:eastAsia="宋体" w:cs="宋体"/>
          <w:sz w:val="10"/>
        </w:rPr>
        <w:t>，</w:t>
      </w:r>
      <w:r>
        <w:rPr>
          <w:rFonts w:hint="eastAsia" w:ascii="宋体" w:hAnsi="宋体" w:eastAsia="宋体" w:cs="宋体"/>
          <w:sz w:val="24"/>
        </w:rPr>
        <w:t>推进了证券业的创新转型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全球各国的互联网金融发展实践也给整个行业提供了可以借鉴的案例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证券业的互联网金融化是将互联网基因融入证券业</w:t>
      </w:r>
      <w:r>
        <w:rPr>
          <w:rFonts w:hint="eastAsia" w:ascii="宋体" w:hAnsi="宋体" w:eastAsia="宋体" w:cs="宋体"/>
          <w:sz w:val="10"/>
        </w:rPr>
        <w:t>，</w:t>
      </w:r>
      <w:r>
        <w:rPr>
          <w:rFonts w:hint="eastAsia" w:ascii="宋体" w:hAnsi="宋体" w:eastAsia="宋体" w:cs="宋体"/>
          <w:sz w:val="24"/>
        </w:rPr>
        <w:t>全方面推动证券公司组织架构</w:t>
      </w:r>
      <w:r>
        <w:rPr>
          <w:rFonts w:hint="eastAsia" w:ascii="宋体" w:hAnsi="宋体" w:eastAsia="宋体" w:cs="宋体"/>
          <w:sz w:val="10"/>
        </w:rPr>
        <w:t>、</w:t>
      </w:r>
      <w:r>
        <w:rPr>
          <w:rFonts w:hint="eastAsia" w:ascii="宋体" w:hAnsi="宋体" w:eastAsia="宋体" w:cs="宋体"/>
          <w:sz w:val="24"/>
        </w:rPr>
        <w:t>管理模式和业务流程的再造</w:t>
      </w:r>
      <w:r>
        <w:rPr>
          <w:rFonts w:hint="eastAsia" w:ascii="宋体" w:hAnsi="宋体" w:eastAsia="宋体" w:cs="宋体"/>
          <w:sz w:val="10"/>
        </w:rPr>
        <w:t>。</w:t>
      </w:r>
      <w:r>
        <w:rPr>
          <w:rFonts w:hint="eastAsia" w:ascii="宋体" w:hAnsi="宋体" w:eastAsia="宋体" w:cs="宋体"/>
          <w:sz w:val="24"/>
        </w:rPr>
        <w:t>传统证券业的业务流程不能及时响应客户的需求</w:t>
      </w:r>
      <w:r>
        <w:rPr>
          <w:rFonts w:hint="eastAsia" w:ascii="宋体" w:hAnsi="宋体" w:eastAsia="宋体" w:cs="宋体"/>
          <w:sz w:val="10"/>
        </w:rPr>
        <w:t>，</w:t>
      </w:r>
      <w:r>
        <w:rPr>
          <w:rFonts w:hint="eastAsia" w:ascii="宋体" w:hAnsi="宋体" w:eastAsia="宋体" w:cs="宋体"/>
          <w:sz w:val="24"/>
        </w:rPr>
        <w:t>为客户提供</w:t>
      </w:r>
      <w:r>
        <w:rPr>
          <w:rFonts w:hint="eastAsia" w:ascii="宋体" w:hAnsi="宋体" w:eastAsia="宋体" w:cs="宋体"/>
          <w:sz w:val="10"/>
        </w:rPr>
        <w:t>一</w:t>
      </w:r>
      <w:r>
        <w:rPr>
          <w:rFonts w:hint="eastAsia" w:ascii="宋体" w:hAnsi="宋体" w:eastAsia="宋体" w:cs="宋体"/>
          <w:sz w:val="24"/>
        </w:rPr>
        <w:t>站式</w:t>
      </w:r>
      <w:r>
        <w:rPr>
          <w:rFonts w:hint="eastAsia" w:ascii="宋体" w:hAnsi="宋体" w:eastAsia="宋体" w:cs="宋体"/>
          <w:sz w:val="10"/>
        </w:rPr>
        <w:t>、</w:t>
      </w:r>
      <w:r>
        <w:rPr>
          <w:rFonts w:hint="eastAsia" w:ascii="宋体" w:hAnsi="宋体" w:eastAsia="宋体" w:cs="宋体"/>
          <w:sz w:val="24"/>
        </w:rPr>
        <w:t>综合便捷的理财服务</w:t>
      </w:r>
      <w:r>
        <w:rPr>
          <w:rFonts w:hint="eastAsia" w:ascii="宋体" w:hAnsi="宋体" w:eastAsia="宋体" w:cs="宋体"/>
          <w:sz w:val="10"/>
        </w:rPr>
        <w:t>，</w:t>
      </w:r>
      <w:r>
        <w:rPr>
          <w:rFonts w:hint="eastAsia" w:ascii="宋体" w:hAnsi="宋体" w:eastAsia="宋体" w:cs="宋体"/>
          <w:sz w:val="24"/>
        </w:rPr>
        <w:t>证券业的互联网金融化能够大幅提升客户的体验</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越来越多的创新业务涉及到证券公司流程层面的所有部门</w:t>
      </w:r>
      <w:r>
        <w:rPr>
          <w:rFonts w:hint="eastAsia" w:ascii="宋体" w:hAnsi="宋体" w:eastAsia="宋体" w:cs="宋体"/>
          <w:sz w:val="10"/>
        </w:rPr>
        <w:t>，</w:t>
      </w:r>
      <w:r>
        <w:rPr>
          <w:rFonts w:hint="eastAsia" w:ascii="宋体" w:hAnsi="宋体" w:eastAsia="宋体" w:cs="宋体"/>
          <w:sz w:val="24"/>
        </w:rPr>
        <w:t>更需要部门之间的整体统筹</w:t>
      </w:r>
      <w:r>
        <w:rPr>
          <w:rFonts w:hint="eastAsia" w:ascii="宋体" w:hAnsi="宋体" w:eastAsia="宋体" w:cs="宋体"/>
          <w:sz w:val="10"/>
        </w:rPr>
        <w:t>、</w:t>
      </w:r>
      <w:r>
        <w:rPr>
          <w:rFonts w:hint="eastAsia" w:ascii="宋体" w:hAnsi="宋体" w:eastAsia="宋体" w:cs="宋体"/>
          <w:sz w:val="24"/>
        </w:rPr>
        <w:t>紧密协作</w:t>
      </w:r>
      <w:r>
        <w:rPr>
          <w:rFonts w:hint="eastAsia" w:ascii="宋体" w:hAnsi="宋体" w:eastAsia="宋体" w:cs="宋体"/>
          <w:sz w:val="10"/>
        </w:rPr>
        <w:t>，</w:t>
      </w:r>
      <w:r>
        <w:rPr>
          <w:rFonts w:hint="eastAsia" w:ascii="宋体" w:hAnsi="宋体" w:eastAsia="宋体" w:cs="宋体"/>
          <w:sz w:val="24"/>
        </w:rPr>
        <w:t>互联网金融为这种跨部门的业务流程再造与整合提供了可能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证券公司发展互联网金融的模式主要分为两类</w:t>
      </w:r>
      <w:r>
        <w:rPr>
          <w:rFonts w:hint="eastAsia" w:ascii="宋体" w:hAnsi="宋体" w:eastAsia="宋体" w:cs="宋体"/>
          <w:sz w:val="12"/>
        </w:rPr>
        <w:t>：一</w:t>
      </w:r>
      <w:r>
        <w:rPr>
          <w:rFonts w:hint="eastAsia" w:ascii="宋体" w:hAnsi="宋体" w:eastAsia="宋体" w:cs="宋体"/>
          <w:sz w:val="24"/>
        </w:rPr>
        <w:t>是将传统业务的运营嫁接到互联网或者移动互联网上</w:t>
      </w:r>
      <w:r>
        <w:rPr>
          <w:rFonts w:hint="eastAsia" w:ascii="宋体" w:hAnsi="宋体" w:eastAsia="宋体" w:cs="宋体"/>
          <w:sz w:val="10"/>
        </w:rPr>
        <w:t>。</w:t>
      </w:r>
      <w:r>
        <w:rPr>
          <w:rFonts w:hint="eastAsia" w:ascii="宋体" w:hAnsi="宋体" w:eastAsia="宋体" w:cs="宋体"/>
          <w:sz w:val="24"/>
        </w:rPr>
        <w:t>互联网具有覆盖面广且运作成本较低的特点</w:t>
      </w:r>
      <w:r>
        <w:rPr>
          <w:rFonts w:hint="eastAsia" w:ascii="宋体" w:hAnsi="宋体" w:eastAsia="宋体" w:cs="宋体"/>
          <w:sz w:val="10"/>
        </w:rPr>
        <w:t>，</w:t>
      </w:r>
      <w:r>
        <w:rPr>
          <w:rFonts w:hint="eastAsia" w:ascii="宋体" w:hAnsi="宋体" w:eastAsia="宋体" w:cs="宋体"/>
          <w:sz w:val="24"/>
        </w:rPr>
        <w:t>能够提高证券业的服务效率</w:t>
      </w:r>
      <w:r>
        <w:rPr>
          <w:rFonts w:hint="eastAsia" w:ascii="宋体" w:hAnsi="宋体" w:eastAsia="宋体" w:cs="宋体"/>
          <w:sz w:val="10"/>
        </w:rPr>
        <w:t>、</w:t>
      </w:r>
      <w:r>
        <w:rPr>
          <w:rFonts w:hint="eastAsia" w:ascii="宋体" w:hAnsi="宋体" w:eastAsia="宋体" w:cs="宋体"/>
          <w:sz w:val="24"/>
        </w:rPr>
        <w:t>降低单个客户的服务成本</w:t>
      </w:r>
      <w:r>
        <w:rPr>
          <w:rFonts w:hint="eastAsia" w:ascii="宋体" w:hAnsi="宋体" w:eastAsia="宋体" w:cs="宋体"/>
          <w:sz w:val="10"/>
        </w:rPr>
        <w:t>，</w:t>
      </w:r>
      <w:r>
        <w:rPr>
          <w:rFonts w:hint="eastAsia" w:ascii="宋体" w:hAnsi="宋体" w:eastAsia="宋体" w:cs="宋体"/>
          <w:sz w:val="24"/>
        </w:rPr>
        <w:t>提升证券业的盈利能力</w:t>
      </w:r>
      <w:r>
        <w:rPr>
          <w:rFonts w:hint="eastAsia" w:ascii="宋体" w:hAnsi="宋体" w:eastAsia="宋体" w:cs="宋体"/>
          <w:sz w:val="10"/>
        </w:rPr>
        <w:t>。二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1-1-117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是基于互联网或移动互联网的特质</w:t>
      </w:r>
      <w:r>
        <w:rPr>
          <w:rFonts w:hint="eastAsia" w:ascii="宋体" w:hAnsi="宋体" w:eastAsia="宋体" w:cs="宋体"/>
          <w:sz w:val="10"/>
        </w:rPr>
        <w:t>，</w:t>
      </w:r>
      <w:r>
        <w:rPr>
          <w:rFonts w:hint="eastAsia" w:ascii="宋体" w:hAnsi="宋体" w:eastAsia="宋体" w:cs="宋体"/>
          <w:sz w:val="24"/>
        </w:rPr>
        <w:t>推出创新性的金融服务功能和业务种类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40" w:firstLine="480"/>
        <w:jc w:val="both"/>
      </w:pPr>
      <w:r>
        <w:rPr>
          <w:rFonts w:hint="eastAsia" w:ascii="宋体" w:hAnsi="宋体" w:eastAsia="宋体" w:cs="宋体"/>
          <w:sz w:val="24"/>
        </w:rPr>
        <w:t>从业务层面看</w:t>
      </w:r>
      <w:r>
        <w:rPr>
          <w:rFonts w:hint="eastAsia" w:ascii="宋体" w:hAnsi="宋体" w:eastAsia="宋体" w:cs="宋体"/>
          <w:sz w:val="10"/>
        </w:rPr>
        <w:t>，</w:t>
      </w:r>
      <w:r>
        <w:rPr>
          <w:rFonts w:hint="eastAsia" w:ascii="宋体" w:hAnsi="宋体" w:eastAsia="宋体" w:cs="宋体"/>
          <w:sz w:val="24"/>
        </w:rPr>
        <w:t>互联网金融带来的新的业务机会主要体现为渠道的互联网化</w:t>
      </w:r>
      <w:r>
        <w:rPr>
          <w:rFonts w:hint="eastAsia" w:ascii="宋体" w:hAnsi="宋体" w:eastAsia="宋体" w:cs="宋体"/>
          <w:sz w:val="10"/>
        </w:rPr>
        <w:t>、</w:t>
      </w:r>
      <w:r>
        <w:rPr>
          <w:rFonts w:hint="eastAsia" w:ascii="宋体" w:hAnsi="宋体" w:eastAsia="宋体" w:cs="宋体"/>
          <w:sz w:val="24"/>
        </w:rPr>
        <w:t>营销服务的互联网化</w:t>
      </w:r>
      <w:r>
        <w:rPr>
          <w:rFonts w:hint="eastAsia" w:ascii="宋体" w:hAnsi="宋体" w:eastAsia="宋体" w:cs="宋体"/>
          <w:sz w:val="10"/>
        </w:rPr>
        <w:t>、</w:t>
      </w:r>
      <w:r>
        <w:rPr>
          <w:rFonts w:hint="eastAsia" w:ascii="宋体" w:hAnsi="宋体" w:eastAsia="宋体" w:cs="宋体"/>
          <w:sz w:val="24"/>
        </w:rPr>
        <w:t>金融产品的互联网化以及互联网催生新的商业模式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①渠道的互联网化</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通过互联网化工具的应用改变客户接触和服务交付的方式</w:t>
      </w:r>
      <w:r>
        <w:rPr>
          <w:rFonts w:hint="eastAsia" w:ascii="宋体" w:hAnsi="宋体" w:eastAsia="宋体" w:cs="宋体"/>
          <w:sz w:val="10"/>
        </w:rPr>
        <w:t>，</w:t>
      </w:r>
      <w:r>
        <w:rPr>
          <w:rFonts w:hint="eastAsia" w:ascii="宋体" w:hAnsi="宋体" w:eastAsia="宋体" w:cs="宋体"/>
          <w:sz w:val="24"/>
        </w:rPr>
        <w:t>主要体现在以下几个方面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第</w:t>
      </w:r>
      <w:r>
        <w:rPr>
          <w:rFonts w:hint="eastAsia" w:ascii="宋体" w:hAnsi="宋体" w:eastAsia="宋体" w:cs="宋体"/>
          <w:sz w:val="10"/>
        </w:rPr>
        <w:t>一，</w:t>
      </w:r>
      <w:r>
        <w:rPr>
          <w:rFonts w:hint="eastAsia" w:ascii="宋体" w:hAnsi="宋体" w:eastAsia="宋体" w:cs="宋体"/>
          <w:sz w:val="24"/>
        </w:rPr>
        <w:t>信息传播和客户接触的互联网化</w:t>
      </w:r>
      <w:r>
        <w:rPr>
          <w:rFonts w:hint="eastAsia" w:ascii="宋体" w:hAnsi="宋体" w:eastAsia="宋体" w:cs="宋体"/>
          <w:sz w:val="10"/>
        </w:rPr>
        <w:t>。</w:t>
      </w:r>
      <w:r>
        <w:rPr>
          <w:rFonts w:hint="eastAsia" w:ascii="宋体" w:hAnsi="宋体" w:eastAsia="宋体" w:cs="宋体"/>
          <w:sz w:val="24"/>
        </w:rPr>
        <w:t>包括服务产品</w:t>
      </w:r>
      <w:r>
        <w:rPr>
          <w:rFonts w:hint="eastAsia" w:ascii="宋体" w:hAnsi="宋体" w:eastAsia="宋体" w:cs="宋体"/>
          <w:sz w:val="10"/>
        </w:rPr>
        <w:t>、</w:t>
      </w:r>
      <w:r>
        <w:rPr>
          <w:rFonts w:hint="eastAsia" w:ascii="宋体" w:hAnsi="宋体" w:eastAsia="宋体" w:cs="宋体"/>
          <w:sz w:val="24"/>
        </w:rPr>
        <w:t>资讯</w:t>
      </w:r>
      <w:r>
        <w:rPr>
          <w:rFonts w:hint="eastAsia" w:ascii="宋体" w:hAnsi="宋体" w:eastAsia="宋体" w:cs="宋体"/>
          <w:sz w:val="10"/>
        </w:rPr>
        <w:t>、</w:t>
      </w:r>
      <w:r>
        <w:rPr>
          <w:rFonts w:hint="eastAsia" w:ascii="宋体" w:hAnsi="宋体" w:eastAsia="宋体" w:cs="宋体"/>
          <w:sz w:val="24"/>
        </w:rPr>
        <w:t>行情的推送</w:t>
      </w:r>
      <w:r>
        <w:rPr>
          <w:rFonts w:hint="eastAsia" w:ascii="宋体" w:hAnsi="宋体" w:eastAsia="宋体" w:cs="宋体"/>
          <w:sz w:val="10"/>
        </w:rPr>
        <w:t>，</w:t>
      </w:r>
      <w:r>
        <w:rPr>
          <w:rFonts w:hint="eastAsia" w:ascii="宋体" w:hAnsi="宋体" w:eastAsia="宋体" w:cs="宋体"/>
          <w:sz w:val="24"/>
        </w:rPr>
        <w:t>和微信等互联网工具实现对接</w:t>
      </w:r>
      <w:r>
        <w:rPr>
          <w:rFonts w:hint="eastAsia" w:ascii="宋体" w:hAnsi="宋体" w:eastAsia="宋体" w:cs="宋体"/>
          <w:sz w:val="10"/>
        </w:rPr>
        <w:t>，</w:t>
      </w:r>
      <w:r>
        <w:rPr>
          <w:rFonts w:hint="eastAsia" w:ascii="宋体" w:hAnsi="宋体" w:eastAsia="宋体" w:cs="宋体"/>
          <w:sz w:val="24"/>
        </w:rPr>
        <w:t>通过微信</w:t>
      </w:r>
      <w:r>
        <w:rPr>
          <w:rFonts w:hint="eastAsia" w:ascii="宋体" w:hAnsi="宋体" w:eastAsia="宋体" w:cs="宋体"/>
          <w:sz w:val="10"/>
        </w:rPr>
        <w:t>、</w:t>
      </w:r>
      <w:r>
        <w:rPr>
          <w:rFonts w:hint="eastAsia" w:ascii="宋体" w:hAnsi="宋体" w:eastAsia="宋体" w:cs="宋体"/>
          <w:sz w:val="24"/>
        </w:rPr>
        <w:t>手机</w:t>
      </w:r>
      <w:r>
        <w:rPr>
          <w:rFonts w:hint="eastAsia" w:ascii="Times New Roman" w:hAnsi="Times New Roman" w:eastAsia="Times New Roman" w:cs="Times New Roman"/>
          <w:sz w:val="24"/>
        </w:rPr>
        <w:t xml:space="preserve"> APP</w:t>
      </w:r>
      <w:r>
        <w:rPr>
          <w:rFonts w:hint="eastAsia" w:ascii="宋体" w:hAnsi="宋体" w:eastAsia="宋体" w:cs="宋体"/>
          <w:sz w:val="24"/>
        </w:rPr>
        <w:t xml:space="preserve"> 完成客户服务等</w:t>
      </w:r>
      <w:r>
        <w:rPr>
          <w:rFonts w:hint="eastAsia" w:ascii="宋体" w:hAnsi="宋体" w:eastAsia="宋体" w:cs="宋体"/>
          <w:sz w:val="10"/>
        </w:rPr>
        <w:t>。</w:t>
      </w:r>
      <w:r>
        <w:rPr>
          <w:rFonts w:hint="eastAsia" w:ascii="宋体" w:hAnsi="宋体" w:eastAsia="宋体" w:cs="宋体"/>
          <w:sz w:val="24"/>
        </w:rPr>
        <w:t>如</w:t>
      </w:r>
      <w:r>
        <w:rPr>
          <w:rFonts w:hint="eastAsia" w:ascii="宋体" w:hAnsi="宋体" w:eastAsia="宋体" w:cs="宋体"/>
          <w:sz w:val="10"/>
        </w:rPr>
        <w:t>“</w:t>
      </w:r>
      <w:r>
        <w:rPr>
          <w:rFonts w:hint="eastAsia" w:ascii="宋体" w:hAnsi="宋体" w:eastAsia="宋体" w:cs="宋体"/>
          <w:sz w:val="24"/>
        </w:rPr>
        <w:t>微信客户服务系统</w:t>
      </w:r>
      <w:r>
        <w:rPr>
          <w:rFonts w:hint="eastAsia" w:ascii="宋体" w:hAnsi="宋体" w:eastAsia="宋体" w:cs="宋体"/>
          <w:sz w:val="10"/>
        </w:rPr>
        <w:t>”</w:t>
      </w:r>
      <w:r>
        <w:rPr>
          <w:rFonts w:hint="eastAsia" w:ascii="宋体" w:hAnsi="宋体" w:eastAsia="宋体" w:cs="宋体"/>
          <w:sz w:val="24"/>
        </w:rPr>
        <w:t>的建设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第二，</w:t>
      </w:r>
      <w:r>
        <w:rPr>
          <w:rFonts w:hint="eastAsia" w:ascii="宋体" w:hAnsi="宋体" w:eastAsia="宋体" w:cs="宋体"/>
          <w:sz w:val="24"/>
        </w:rPr>
        <w:t>通过互联网实现产品销售和服务</w:t>
      </w:r>
      <w:r>
        <w:rPr>
          <w:rFonts w:hint="eastAsia" w:ascii="宋体" w:hAnsi="宋体" w:eastAsia="宋体" w:cs="宋体"/>
          <w:sz w:val="10"/>
        </w:rPr>
        <w:t>。</w:t>
      </w:r>
      <w:r>
        <w:rPr>
          <w:rFonts w:hint="eastAsia" w:ascii="宋体" w:hAnsi="宋体" w:eastAsia="宋体" w:cs="宋体"/>
          <w:sz w:val="24"/>
        </w:rPr>
        <w:t>通过自建商城</w:t>
      </w:r>
      <w:r>
        <w:rPr>
          <w:rFonts w:hint="eastAsia" w:ascii="宋体" w:hAnsi="宋体" w:eastAsia="宋体" w:cs="宋体"/>
          <w:sz w:val="10"/>
        </w:rPr>
        <w:t>，</w:t>
      </w:r>
      <w:r>
        <w:rPr>
          <w:rFonts w:hint="eastAsia" w:ascii="宋体" w:hAnsi="宋体" w:eastAsia="宋体" w:cs="宋体"/>
          <w:sz w:val="24"/>
        </w:rPr>
        <w:t>和互联网公司合作等形式</w:t>
      </w:r>
      <w:r>
        <w:rPr>
          <w:rFonts w:hint="eastAsia" w:ascii="宋体" w:hAnsi="宋体" w:eastAsia="宋体" w:cs="宋体"/>
          <w:sz w:val="10"/>
        </w:rPr>
        <w:t>，</w:t>
      </w:r>
      <w:r>
        <w:rPr>
          <w:rFonts w:hint="eastAsia" w:ascii="宋体" w:hAnsi="宋体" w:eastAsia="宋体" w:cs="宋体"/>
          <w:sz w:val="24"/>
        </w:rPr>
        <w:t>在互联网上完成产品购买和理财服务</w:t>
      </w:r>
      <w:r>
        <w:rPr>
          <w:rFonts w:hint="eastAsia" w:ascii="宋体" w:hAnsi="宋体" w:eastAsia="宋体" w:cs="宋体"/>
          <w:sz w:val="10"/>
        </w:rPr>
        <w:t>。</w:t>
      </w:r>
      <w:r>
        <w:rPr>
          <w:rFonts w:hint="eastAsia" w:ascii="宋体" w:hAnsi="宋体" w:eastAsia="宋体" w:cs="宋体"/>
          <w:sz w:val="24"/>
        </w:rPr>
        <w:t>如</w:t>
      </w:r>
      <w:r>
        <w:rPr>
          <w:rFonts w:hint="eastAsia" w:ascii="宋体" w:hAnsi="宋体" w:eastAsia="宋体" w:cs="宋体"/>
          <w:sz w:val="10"/>
        </w:rPr>
        <w:t>“</w:t>
      </w:r>
      <w:r>
        <w:rPr>
          <w:rFonts w:hint="eastAsia" w:ascii="宋体" w:hAnsi="宋体" w:eastAsia="宋体" w:cs="宋体"/>
          <w:sz w:val="24"/>
        </w:rPr>
        <w:t>网上产品商城</w:t>
      </w:r>
      <w:r>
        <w:rPr>
          <w:rFonts w:hint="eastAsia" w:ascii="宋体" w:hAnsi="宋体" w:eastAsia="宋体" w:cs="宋体"/>
          <w:sz w:val="10"/>
        </w:rPr>
        <w:t>”</w:t>
      </w:r>
      <w:r>
        <w:rPr>
          <w:rFonts w:hint="eastAsia" w:ascii="宋体" w:hAnsi="宋体" w:eastAsia="宋体" w:cs="宋体"/>
          <w:sz w:val="24"/>
        </w:rPr>
        <w:t>的建设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第三</w:t>
      </w:r>
      <w:r>
        <w:rPr>
          <w:rFonts w:hint="eastAsia" w:ascii="宋体" w:hAnsi="宋体" w:eastAsia="宋体" w:cs="宋体"/>
          <w:sz w:val="10"/>
        </w:rPr>
        <w:t>，</w:t>
      </w:r>
      <w:r>
        <w:rPr>
          <w:rFonts w:hint="eastAsia" w:ascii="宋体" w:hAnsi="宋体" w:eastAsia="宋体" w:cs="宋体"/>
          <w:sz w:val="24"/>
        </w:rPr>
        <w:t>业务办理的互联网化</w:t>
      </w:r>
      <w:r>
        <w:rPr>
          <w:rFonts w:hint="eastAsia" w:ascii="宋体" w:hAnsi="宋体" w:eastAsia="宋体" w:cs="宋体"/>
          <w:sz w:val="10"/>
        </w:rPr>
        <w:t>。</w:t>
      </w:r>
      <w:r>
        <w:rPr>
          <w:rFonts w:hint="eastAsia" w:ascii="宋体" w:hAnsi="宋体" w:eastAsia="宋体" w:cs="宋体"/>
          <w:sz w:val="24"/>
        </w:rPr>
        <w:t>通过便利的互联网</w:t>
      </w:r>
      <w:r>
        <w:rPr>
          <w:rFonts w:hint="eastAsia" w:ascii="宋体" w:hAnsi="宋体" w:eastAsia="宋体" w:cs="宋体"/>
          <w:sz w:val="10"/>
        </w:rPr>
        <w:t>、</w:t>
      </w:r>
      <w:r>
        <w:rPr>
          <w:rFonts w:hint="eastAsia" w:ascii="宋体" w:hAnsi="宋体" w:eastAsia="宋体" w:cs="宋体"/>
          <w:sz w:val="24"/>
        </w:rPr>
        <w:t>手机</w:t>
      </w:r>
      <w:r>
        <w:rPr>
          <w:rFonts w:hint="eastAsia" w:ascii="宋体" w:hAnsi="宋体" w:eastAsia="宋体" w:cs="宋体"/>
          <w:sz w:val="10"/>
        </w:rPr>
        <w:t>、</w:t>
      </w:r>
      <w:r>
        <w:rPr>
          <w:rFonts w:hint="eastAsia" w:ascii="宋体" w:hAnsi="宋体" w:eastAsia="宋体" w:cs="宋体"/>
          <w:sz w:val="24"/>
        </w:rPr>
        <w:t>平板电脑等前端工具</w:t>
      </w:r>
      <w:r>
        <w:rPr>
          <w:rFonts w:hint="eastAsia" w:ascii="宋体" w:hAnsi="宋体" w:eastAsia="宋体" w:cs="宋体"/>
          <w:sz w:val="10"/>
        </w:rPr>
        <w:t>，</w:t>
      </w:r>
      <w:r>
        <w:rPr>
          <w:rFonts w:hint="eastAsia" w:ascii="宋体" w:hAnsi="宋体" w:eastAsia="宋体" w:cs="宋体"/>
          <w:sz w:val="24"/>
        </w:rPr>
        <w:t>完成全天候的业务办理</w:t>
      </w:r>
      <w:r>
        <w:rPr>
          <w:rFonts w:hint="eastAsia" w:ascii="宋体" w:hAnsi="宋体" w:eastAsia="宋体" w:cs="宋体"/>
          <w:sz w:val="10"/>
        </w:rPr>
        <w:t>。</w:t>
      </w:r>
      <w:r>
        <w:rPr>
          <w:rFonts w:hint="eastAsia" w:ascii="宋体" w:hAnsi="宋体" w:eastAsia="宋体" w:cs="宋体"/>
          <w:sz w:val="24"/>
        </w:rPr>
        <w:t>如</w:t>
      </w:r>
      <w:r>
        <w:rPr>
          <w:rFonts w:hint="eastAsia" w:ascii="宋体" w:hAnsi="宋体" w:eastAsia="宋体" w:cs="宋体"/>
          <w:sz w:val="10"/>
        </w:rPr>
        <w:t>“</w:t>
      </w:r>
      <w:r>
        <w:rPr>
          <w:rFonts w:hint="eastAsia" w:ascii="宋体" w:hAnsi="宋体" w:eastAsia="宋体" w:cs="宋体"/>
          <w:sz w:val="24"/>
        </w:rPr>
        <w:t>移动展业</w:t>
      </w:r>
      <w:r>
        <w:rPr>
          <w:rFonts w:hint="eastAsia" w:ascii="Times New Roman" w:hAnsi="Times New Roman" w:eastAsia="Times New Roman" w:cs="Times New Roman"/>
          <w:sz w:val="24"/>
        </w:rPr>
        <w:t xml:space="preserve"> APP</w:t>
      </w:r>
      <w:r>
        <w:rPr>
          <w:rFonts w:hint="eastAsia" w:ascii="宋体" w:hAnsi="宋体" w:eastAsia="宋体" w:cs="宋体"/>
          <w:sz w:val="10"/>
        </w:rPr>
        <w:t>”、“</w:t>
      </w:r>
      <w:r>
        <w:rPr>
          <w:rFonts w:hint="eastAsia" w:ascii="宋体" w:hAnsi="宋体" w:eastAsia="宋体" w:cs="宋体"/>
          <w:sz w:val="24"/>
        </w:rPr>
        <w:t>业务受理终端</w:t>
      </w:r>
      <w:r>
        <w:rPr>
          <w:rFonts w:hint="eastAsia" w:ascii="宋体" w:hAnsi="宋体" w:eastAsia="宋体" w:cs="宋体"/>
          <w:sz w:val="10"/>
        </w:rPr>
        <w:t>”</w:t>
      </w:r>
      <w:r>
        <w:rPr>
          <w:rFonts w:hint="eastAsia" w:ascii="宋体" w:hAnsi="宋体" w:eastAsia="宋体" w:cs="宋体"/>
          <w:sz w:val="24"/>
        </w:rPr>
        <w:t>的建设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第四</w:t>
      </w:r>
      <w:r>
        <w:rPr>
          <w:rFonts w:hint="eastAsia" w:ascii="宋体" w:hAnsi="宋体" w:eastAsia="宋体" w:cs="宋体"/>
          <w:sz w:val="10"/>
        </w:rPr>
        <w:t>，</w:t>
      </w:r>
      <w:r>
        <w:rPr>
          <w:rFonts w:hint="eastAsia" w:ascii="宋体" w:hAnsi="宋体" w:eastAsia="宋体" w:cs="宋体"/>
          <w:sz w:val="24"/>
        </w:rPr>
        <w:t>业务处理模式的互联网化</w:t>
      </w:r>
      <w:r>
        <w:rPr>
          <w:rFonts w:hint="eastAsia" w:ascii="宋体" w:hAnsi="宋体" w:eastAsia="宋体" w:cs="宋体"/>
          <w:sz w:val="10"/>
        </w:rPr>
        <w:t>，</w:t>
      </w:r>
      <w:r>
        <w:rPr>
          <w:rFonts w:hint="eastAsia" w:ascii="宋体" w:hAnsi="宋体" w:eastAsia="宋体" w:cs="宋体"/>
          <w:sz w:val="24"/>
        </w:rPr>
        <w:t>线上和线下的流程互通</w:t>
      </w:r>
      <w:r>
        <w:rPr>
          <w:rFonts w:hint="eastAsia" w:ascii="宋体" w:hAnsi="宋体" w:eastAsia="宋体" w:cs="宋体"/>
          <w:sz w:val="10"/>
        </w:rPr>
        <w:t>。</w:t>
      </w:r>
      <w:r>
        <w:rPr>
          <w:rFonts w:hint="eastAsia" w:ascii="宋体" w:hAnsi="宋体" w:eastAsia="宋体" w:cs="宋体"/>
          <w:sz w:val="24"/>
        </w:rPr>
        <w:t>基于集中运营的模式</w:t>
      </w:r>
      <w:r>
        <w:rPr>
          <w:rFonts w:hint="eastAsia" w:ascii="宋体" w:hAnsi="宋体" w:eastAsia="宋体" w:cs="宋体"/>
          <w:sz w:val="10"/>
        </w:rPr>
        <w:t>，</w:t>
      </w:r>
      <w:r>
        <w:rPr>
          <w:rFonts w:hint="eastAsia" w:ascii="宋体" w:hAnsi="宋体" w:eastAsia="宋体" w:cs="宋体"/>
          <w:sz w:val="24"/>
        </w:rPr>
        <w:t>对线下网点实施低成本</w:t>
      </w:r>
      <w:r>
        <w:rPr>
          <w:rFonts w:hint="eastAsia" w:ascii="宋体" w:hAnsi="宋体" w:eastAsia="宋体" w:cs="宋体"/>
          <w:sz w:val="10"/>
        </w:rPr>
        <w:t>、</w:t>
      </w:r>
      <w:r>
        <w:rPr>
          <w:rFonts w:hint="eastAsia" w:ascii="宋体" w:hAnsi="宋体" w:eastAsia="宋体" w:cs="宋体"/>
          <w:sz w:val="24"/>
        </w:rPr>
        <w:t>高效率扩展</w:t>
      </w:r>
      <w:r>
        <w:rPr>
          <w:rFonts w:hint="eastAsia" w:ascii="宋体" w:hAnsi="宋体" w:eastAsia="宋体" w:cs="宋体"/>
          <w:sz w:val="10"/>
        </w:rPr>
        <w:t>。</w:t>
      </w:r>
      <w:r>
        <w:rPr>
          <w:rFonts w:hint="eastAsia" w:ascii="宋体" w:hAnsi="宋体" w:eastAsia="宋体" w:cs="宋体"/>
          <w:sz w:val="24"/>
        </w:rPr>
        <w:t>如</w:t>
      </w:r>
      <w:r>
        <w:rPr>
          <w:rFonts w:hint="eastAsia" w:ascii="宋体" w:hAnsi="宋体" w:eastAsia="宋体" w:cs="宋体"/>
          <w:sz w:val="10"/>
        </w:rPr>
        <w:t>“</w:t>
      </w:r>
      <w:r>
        <w:rPr>
          <w:rFonts w:hint="eastAsia" w:ascii="宋体" w:hAnsi="宋体" w:eastAsia="宋体" w:cs="宋体"/>
          <w:sz w:val="24"/>
        </w:rPr>
        <w:t>业务运营中心</w:t>
      </w:r>
      <w:r>
        <w:rPr>
          <w:rFonts w:hint="eastAsia" w:ascii="宋体" w:hAnsi="宋体" w:eastAsia="宋体" w:cs="宋体"/>
          <w:sz w:val="10"/>
        </w:rPr>
        <w:t>”、“</w:t>
      </w:r>
      <w:r>
        <w:rPr>
          <w:rFonts w:hint="eastAsia" w:ascii="宋体" w:hAnsi="宋体" w:eastAsia="宋体" w:cs="宋体"/>
          <w:sz w:val="24"/>
        </w:rPr>
        <w:t>专项业务支持系统</w:t>
      </w:r>
      <w:r>
        <w:rPr>
          <w:rFonts w:hint="eastAsia" w:ascii="宋体" w:hAnsi="宋体" w:eastAsia="宋体" w:cs="宋体"/>
          <w:sz w:val="10"/>
        </w:rPr>
        <w:t>”</w:t>
      </w:r>
      <w:r>
        <w:rPr>
          <w:rFonts w:hint="eastAsia" w:ascii="宋体" w:hAnsi="宋体" w:eastAsia="宋体" w:cs="宋体"/>
          <w:sz w:val="24"/>
        </w:rPr>
        <w:t>的建设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由于互联网思维的影响</w:t>
      </w:r>
      <w:r>
        <w:rPr>
          <w:rFonts w:hint="eastAsia" w:ascii="宋体" w:hAnsi="宋体" w:eastAsia="宋体" w:cs="宋体"/>
          <w:sz w:val="10"/>
        </w:rPr>
        <w:t>，</w:t>
      </w:r>
      <w:r>
        <w:rPr>
          <w:rFonts w:hint="eastAsia" w:ascii="宋体" w:hAnsi="宋体" w:eastAsia="宋体" w:cs="宋体"/>
          <w:sz w:val="24"/>
        </w:rPr>
        <w:t>客户的使用体验要求不断提高</w:t>
      </w:r>
      <w:r>
        <w:rPr>
          <w:rFonts w:hint="eastAsia" w:ascii="宋体" w:hAnsi="宋体" w:eastAsia="宋体" w:cs="宋体"/>
          <w:sz w:val="10"/>
        </w:rPr>
        <w:t>，</w:t>
      </w:r>
      <w:r>
        <w:rPr>
          <w:rFonts w:hint="eastAsia" w:ascii="宋体" w:hAnsi="宋体" w:eastAsia="宋体" w:cs="宋体"/>
          <w:sz w:val="24"/>
        </w:rPr>
        <w:t>与客户服务相关的前端和中后台系统需要不断优化改进</w:t>
      </w:r>
      <w:r>
        <w:rPr>
          <w:rFonts w:hint="eastAsia" w:ascii="宋体" w:hAnsi="宋体" w:eastAsia="宋体" w:cs="宋体"/>
          <w:sz w:val="10"/>
        </w:rPr>
        <w:t>，</w:t>
      </w:r>
      <w:r>
        <w:rPr>
          <w:rFonts w:hint="eastAsia" w:ascii="宋体" w:hAnsi="宋体" w:eastAsia="宋体" w:cs="宋体"/>
          <w:sz w:val="24"/>
        </w:rPr>
        <w:t>产生众多个性化定制的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服务需求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②营销服务的互联网化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互联网思维影响营销服务模式</w:t>
      </w:r>
      <w:r>
        <w:rPr>
          <w:rFonts w:hint="eastAsia" w:ascii="宋体" w:hAnsi="宋体" w:eastAsia="宋体" w:cs="宋体"/>
          <w:sz w:val="10"/>
        </w:rPr>
        <w:t>，</w:t>
      </w:r>
      <w:r>
        <w:rPr>
          <w:rFonts w:hint="eastAsia" w:ascii="宋体" w:hAnsi="宋体" w:eastAsia="宋体" w:cs="宋体"/>
          <w:sz w:val="24"/>
        </w:rPr>
        <w:t>促进营销服务活动向人性化</w:t>
      </w:r>
      <w:r>
        <w:rPr>
          <w:rFonts w:hint="eastAsia" w:ascii="宋体" w:hAnsi="宋体" w:eastAsia="宋体" w:cs="宋体"/>
          <w:sz w:val="10"/>
        </w:rPr>
        <w:t>、</w:t>
      </w:r>
      <w:r>
        <w:rPr>
          <w:rFonts w:hint="eastAsia" w:ascii="宋体" w:hAnsi="宋体" w:eastAsia="宋体" w:cs="宋体"/>
          <w:sz w:val="24"/>
        </w:rPr>
        <w:t>便利化和专业化发展</w:t>
      </w:r>
      <w:r>
        <w:rPr>
          <w:rFonts w:hint="eastAsia" w:ascii="宋体" w:hAnsi="宋体" w:eastAsia="宋体" w:cs="宋体"/>
          <w:sz w:val="10"/>
        </w:rPr>
        <w:t>。</w:t>
      </w:r>
      <w:r>
        <w:rPr>
          <w:rFonts w:hint="eastAsia" w:ascii="宋体" w:hAnsi="宋体" w:eastAsia="宋体" w:cs="宋体"/>
          <w:sz w:val="24"/>
        </w:rPr>
        <w:t>主要体现在以下几个方面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第一，</w:t>
      </w:r>
      <w:r>
        <w:rPr>
          <w:rFonts w:hint="eastAsia" w:ascii="宋体" w:hAnsi="宋体" w:eastAsia="宋体" w:cs="宋体"/>
          <w:sz w:val="24"/>
        </w:rPr>
        <w:t>营销服务和互联网工具的结合</w:t>
      </w:r>
      <w:r>
        <w:rPr>
          <w:rFonts w:hint="eastAsia" w:ascii="宋体" w:hAnsi="宋体" w:eastAsia="宋体" w:cs="宋体"/>
          <w:sz w:val="10"/>
        </w:rPr>
        <w:t>，</w:t>
      </w:r>
      <w:r>
        <w:rPr>
          <w:rFonts w:hint="eastAsia" w:ascii="宋体" w:hAnsi="宋体" w:eastAsia="宋体" w:cs="宋体"/>
          <w:sz w:val="24"/>
        </w:rPr>
        <w:t>产生新的营销服务手段</w:t>
      </w:r>
      <w:r>
        <w:rPr>
          <w:rFonts w:hint="eastAsia" w:ascii="宋体" w:hAnsi="宋体" w:eastAsia="宋体" w:cs="宋体"/>
          <w:sz w:val="10"/>
        </w:rPr>
        <w:t>。</w:t>
      </w:r>
      <w:r>
        <w:rPr>
          <w:rFonts w:hint="eastAsia" w:ascii="宋体" w:hAnsi="宋体" w:eastAsia="宋体" w:cs="宋体"/>
          <w:sz w:val="24"/>
        </w:rPr>
        <w:t>如</w:t>
      </w:r>
      <w:r>
        <w:rPr>
          <w:rFonts w:hint="eastAsia" w:ascii="宋体" w:hAnsi="宋体" w:eastAsia="宋体" w:cs="宋体"/>
          <w:sz w:val="12"/>
        </w:rPr>
        <w:t>：</w:t>
      </w:r>
      <w:r>
        <w:rPr>
          <w:rFonts w:hint="eastAsia" w:ascii="宋体" w:hAnsi="宋体" w:eastAsia="宋体" w:cs="宋体"/>
          <w:sz w:val="24"/>
        </w:rPr>
        <w:t>在线客服</w:t>
      </w:r>
      <w:r>
        <w:rPr>
          <w:rFonts w:hint="eastAsia" w:ascii="宋体" w:hAnsi="宋体" w:eastAsia="宋体" w:cs="宋体"/>
          <w:sz w:val="10"/>
        </w:rPr>
        <w:t>、</w:t>
      </w:r>
      <w:r>
        <w:rPr>
          <w:rFonts w:hint="eastAsia" w:ascii="宋体" w:hAnsi="宋体" w:eastAsia="宋体" w:cs="宋体"/>
          <w:sz w:val="24"/>
        </w:rPr>
        <w:t>视频培训</w:t>
      </w:r>
      <w:r>
        <w:rPr>
          <w:rFonts w:hint="eastAsia" w:ascii="宋体" w:hAnsi="宋体" w:eastAsia="宋体" w:cs="宋体"/>
          <w:sz w:val="10"/>
        </w:rPr>
        <w:t>、</w:t>
      </w:r>
      <w:r>
        <w:rPr>
          <w:rFonts w:hint="eastAsia" w:ascii="宋体" w:hAnsi="宋体" w:eastAsia="宋体" w:cs="宋体"/>
          <w:sz w:val="24"/>
        </w:rPr>
        <w:t>虚拟金融社区等</w:t>
      </w:r>
      <w:r>
        <w:rPr>
          <w:rFonts w:hint="eastAsia" w:ascii="宋体" w:hAnsi="宋体" w:eastAsia="宋体" w:cs="宋体"/>
          <w:sz w:val="10"/>
        </w:rPr>
        <w:t>。</w:t>
      </w:r>
      <w:r>
        <w:rPr>
          <w:rFonts w:hint="eastAsia" w:ascii="宋体" w:hAnsi="宋体" w:eastAsia="宋体" w:cs="宋体"/>
          <w:sz w:val="24"/>
        </w:rPr>
        <w:t>此外互联网思维对营销服务形式有巨大的影响</w:t>
      </w:r>
      <w:r>
        <w:rPr>
          <w:rFonts w:hint="eastAsia" w:ascii="宋体" w:hAnsi="宋体" w:eastAsia="宋体" w:cs="宋体"/>
          <w:sz w:val="10"/>
        </w:rPr>
        <w:t>，</w:t>
      </w:r>
      <w:r>
        <w:rPr>
          <w:rFonts w:hint="eastAsia" w:ascii="宋体" w:hAnsi="宋体" w:eastAsia="宋体" w:cs="宋体"/>
          <w:sz w:val="24"/>
        </w:rPr>
        <w:t>免费体验</w:t>
      </w:r>
      <w:r>
        <w:rPr>
          <w:rFonts w:hint="eastAsia" w:ascii="宋体" w:hAnsi="宋体" w:eastAsia="宋体" w:cs="宋体"/>
          <w:sz w:val="10"/>
        </w:rPr>
        <w:t>、</w:t>
      </w:r>
      <w:r>
        <w:rPr>
          <w:rFonts w:hint="eastAsia" w:ascii="宋体" w:hAnsi="宋体" w:eastAsia="宋体" w:cs="宋体"/>
          <w:sz w:val="24"/>
        </w:rPr>
        <w:t>红包</w:t>
      </w:r>
      <w:r>
        <w:rPr>
          <w:rFonts w:hint="eastAsia" w:ascii="宋体" w:hAnsi="宋体" w:eastAsia="宋体" w:cs="宋体"/>
          <w:sz w:val="10"/>
        </w:rPr>
        <w:t>、</w:t>
      </w:r>
      <w:r>
        <w:rPr>
          <w:rFonts w:hint="eastAsia" w:ascii="宋体" w:hAnsi="宋体" w:eastAsia="宋体" w:cs="宋体"/>
          <w:sz w:val="24"/>
        </w:rPr>
        <w:t>活动营销等形式层出不穷</w:t>
      </w:r>
      <w:r>
        <w:rPr>
          <w:rFonts w:hint="eastAsia" w:ascii="宋体" w:hAnsi="宋体" w:eastAsia="宋体" w:cs="宋体"/>
          <w:sz w:val="10"/>
        </w:rPr>
        <w:t>，</w:t>
      </w:r>
      <w:r>
        <w:rPr>
          <w:rFonts w:hint="eastAsia" w:ascii="宋体" w:hAnsi="宋体" w:eastAsia="宋体" w:cs="宋体"/>
          <w:sz w:val="24"/>
        </w:rPr>
        <w:t>针对海量营销服务需求的处理</w:t>
      </w:r>
      <w:r>
        <w:rPr>
          <w:rFonts w:hint="eastAsia" w:ascii="宋体" w:hAnsi="宋体" w:eastAsia="宋体" w:cs="宋体"/>
          <w:sz w:val="10"/>
        </w:rPr>
        <w:t>、</w:t>
      </w:r>
      <w:r>
        <w:rPr>
          <w:rFonts w:hint="eastAsia" w:ascii="宋体" w:hAnsi="宋体" w:eastAsia="宋体" w:cs="宋体"/>
          <w:sz w:val="24"/>
        </w:rPr>
        <w:t>多媒体通讯</w:t>
      </w:r>
      <w:r>
        <w:rPr>
          <w:rFonts w:hint="eastAsia" w:ascii="宋体" w:hAnsi="宋体" w:eastAsia="宋体" w:cs="宋体"/>
          <w:sz w:val="10"/>
        </w:rPr>
        <w:t>、</w:t>
      </w:r>
      <w:r>
        <w:rPr>
          <w:rFonts w:hint="eastAsia" w:ascii="宋体" w:hAnsi="宋体" w:eastAsia="宋体" w:cs="宋体"/>
          <w:sz w:val="24"/>
        </w:rPr>
        <w:t>活动的组织和效果分析等方面需要</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系统的支持</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1-1-118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20" w:firstLine="480"/>
        <w:jc w:val="both"/>
      </w:pPr>
      <w:r>
        <w:rPr>
          <w:rFonts w:hint="eastAsia" w:ascii="宋体" w:hAnsi="宋体" w:eastAsia="宋体" w:cs="宋体"/>
          <w:sz w:val="24"/>
        </w:rPr>
        <w:t>第二，</w:t>
      </w:r>
      <w:r>
        <w:rPr>
          <w:rFonts w:hint="eastAsia" w:ascii="宋体" w:hAnsi="宋体" w:eastAsia="宋体" w:cs="宋体"/>
          <w:sz w:val="24"/>
        </w:rPr>
        <w:t>会员分级服务依托线上渠道更好开展</w:t>
      </w:r>
      <w:r>
        <w:rPr>
          <w:rFonts w:hint="eastAsia" w:ascii="宋体" w:hAnsi="宋体" w:eastAsia="宋体" w:cs="宋体"/>
          <w:sz w:val="10"/>
        </w:rPr>
        <w:t>。</w:t>
      </w:r>
      <w:r>
        <w:rPr>
          <w:rFonts w:hint="eastAsia" w:ascii="宋体" w:hAnsi="宋体" w:eastAsia="宋体" w:cs="宋体"/>
          <w:sz w:val="24"/>
        </w:rPr>
        <w:t>根据客户的收益率</w:t>
      </w:r>
      <w:r>
        <w:rPr>
          <w:rFonts w:hint="eastAsia" w:ascii="宋体" w:hAnsi="宋体" w:eastAsia="宋体" w:cs="宋体"/>
          <w:sz w:val="10"/>
        </w:rPr>
        <w:t>、</w:t>
      </w:r>
      <w:r>
        <w:rPr>
          <w:rFonts w:hint="eastAsia" w:ascii="宋体" w:hAnsi="宋体" w:eastAsia="宋体" w:cs="宋体"/>
          <w:sz w:val="24"/>
        </w:rPr>
        <w:t>活跃程度</w:t>
      </w:r>
      <w:r>
        <w:rPr>
          <w:rFonts w:hint="eastAsia" w:ascii="宋体" w:hAnsi="宋体" w:eastAsia="宋体" w:cs="宋体"/>
          <w:sz w:val="10"/>
        </w:rPr>
        <w:t>，</w:t>
      </w:r>
      <w:r>
        <w:rPr>
          <w:rFonts w:hint="eastAsia" w:ascii="宋体" w:hAnsi="宋体" w:eastAsia="宋体" w:cs="宋体"/>
          <w:sz w:val="24"/>
        </w:rPr>
        <w:t>换算成客户积分</w:t>
      </w:r>
      <w:r>
        <w:rPr>
          <w:rFonts w:hint="eastAsia" w:ascii="宋体" w:hAnsi="宋体" w:eastAsia="宋体" w:cs="宋体"/>
          <w:sz w:val="10"/>
        </w:rPr>
        <w:t>，</w:t>
      </w:r>
      <w:r>
        <w:rPr>
          <w:rFonts w:hint="eastAsia" w:ascii="宋体" w:hAnsi="宋体" w:eastAsia="宋体" w:cs="宋体"/>
          <w:sz w:val="24"/>
        </w:rPr>
        <w:t>和互联网渠道相关的荣誉体系能够影响客户消费习惯</w:t>
      </w:r>
      <w:r>
        <w:rPr>
          <w:rFonts w:hint="eastAsia" w:ascii="宋体" w:hAnsi="宋体" w:eastAsia="宋体" w:cs="宋体"/>
          <w:sz w:val="10"/>
        </w:rPr>
        <w:t>，</w:t>
      </w:r>
      <w:r>
        <w:rPr>
          <w:rFonts w:hint="eastAsia" w:ascii="宋体" w:hAnsi="宋体" w:eastAsia="宋体" w:cs="宋体"/>
          <w:sz w:val="24"/>
        </w:rPr>
        <w:t>给客户带来更好体验</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第三</w:t>
      </w:r>
      <w:r>
        <w:rPr>
          <w:rFonts w:hint="eastAsia" w:ascii="宋体" w:hAnsi="宋体" w:eastAsia="宋体" w:cs="宋体"/>
          <w:sz w:val="10"/>
        </w:rPr>
        <w:t>，</w:t>
      </w:r>
      <w:r>
        <w:rPr>
          <w:rFonts w:hint="eastAsia" w:ascii="宋体" w:hAnsi="宋体" w:eastAsia="宋体" w:cs="宋体"/>
          <w:sz w:val="24"/>
        </w:rPr>
        <w:t>大数据技术的应用</w:t>
      </w:r>
      <w:r>
        <w:rPr>
          <w:rFonts w:hint="eastAsia" w:ascii="宋体" w:hAnsi="宋体" w:eastAsia="宋体" w:cs="宋体"/>
          <w:sz w:val="10"/>
        </w:rPr>
        <w:t>。</w:t>
      </w:r>
      <w:r>
        <w:rPr>
          <w:rFonts w:hint="eastAsia" w:ascii="宋体" w:hAnsi="宋体" w:eastAsia="宋体" w:cs="宋体"/>
          <w:sz w:val="24"/>
        </w:rPr>
        <w:t>金融机构积累的大量客户资产</w:t>
      </w:r>
      <w:r>
        <w:rPr>
          <w:rFonts w:hint="eastAsia" w:ascii="宋体" w:hAnsi="宋体" w:eastAsia="宋体" w:cs="宋体"/>
          <w:sz w:val="10"/>
        </w:rPr>
        <w:t>、</w:t>
      </w:r>
      <w:r>
        <w:rPr>
          <w:rFonts w:hint="eastAsia" w:ascii="宋体" w:hAnsi="宋体" w:eastAsia="宋体" w:cs="宋体"/>
          <w:sz w:val="24"/>
        </w:rPr>
        <w:t>交易数据和互联网海量数据相结合</w:t>
      </w:r>
      <w:r>
        <w:rPr>
          <w:rFonts w:hint="eastAsia" w:ascii="宋体" w:hAnsi="宋体" w:eastAsia="宋体" w:cs="宋体"/>
          <w:sz w:val="10"/>
        </w:rPr>
        <w:t>，</w:t>
      </w:r>
      <w:r>
        <w:rPr>
          <w:rFonts w:hint="eastAsia" w:ascii="宋体" w:hAnsi="宋体" w:eastAsia="宋体" w:cs="宋体"/>
          <w:sz w:val="24"/>
        </w:rPr>
        <w:t>可以产生多方面的应用形态</w:t>
      </w:r>
      <w:r>
        <w:rPr>
          <w:rFonts w:hint="eastAsia" w:ascii="宋体" w:hAnsi="宋体" w:eastAsia="宋体" w:cs="宋体"/>
          <w:sz w:val="10"/>
        </w:rPr>
        <w:t>。</w:t>
      </w:r>
      <w:r>
        <w:rPr>
          <w:rFonts w:hint="eastAsia" w:ascii="宋体" w:hAnsi="宋体" w:eastAsia="宋体" w:cs="宋体"/>
          <w:sz w:val="24"/>
        </w:rPr>
        <w:t>如</w:t>
      </w:r>
      <w:r>
        <w:rPr>
          <w:rFonts w:hint="eastAsia" w:ascii="宋体" w:hAnsi="宋体" w:eastAsia="宋体" w:cs="宋体"/>
          <w:sz w:val="10"/>
        </w:rPr>
        <w:t>：</w:t>
      </w:r>
      <w:r>
        <w:rPr>
          <w:rFonts w:hint="eastAsia" w:ascii="宋体" w:hAnsi="宋体" w:eastAsia="宋体" w:cs="宋体"/>
          <w:sz w:val="24"/>
        </w:rPr>
        <w:t>客户行为分析</w:t>
      </w:r>
      <w:r>
        <w:rPr>
          <w:rFonts w:hint="eastAsia" w:ascii="宋体" w:hAnsi="宋体" w:eastAsia="宋体" w:cs="宋体"/>
          <w:sz w:val="10"/>
        </w:rPr>
        <w:t>，</w:t>
      </w:r>
      <w:r>
        <w:rPr>
          <w:rFonts w:hint="eastAsia" w:ascii="宋体" w:hAnsi="宋体" w:eastAsia="宋体" w:cs="宋体"/>
          <w:sz w:val="24"/>
        </w:rPr>
        <w:t>通过数据分析发现客户的投资偏好</w:t>
      </w:r>
      <w:r>
        <w:rPr>
          <w:rFonts w:hint="eastAsia" w:ascii="宋体" w:hAnsi="宋体" w:eastAsia="宋体" w:cs="宋体"/>
          <w:sz w:val="10"/>
        </w:rPr>
        <w:t>、</w:t>
      </w:r>
      <w:r>
        <w:rPr>
          <w:rFonts w:hint="eastAsia" w:ascii="宋体" w:hAnsi="宋体" w:eastAsia="宋体" w:cs="宋体"/>
          <w:sz w:val="24"/>
        </w:rPr>
        <w:t>发现潜在需求</w:t>
      </w:r>
      <w:r>
        <w:rPr>
          <w:rFonts w:hint="eastAsia" w:ascii="宋体" w:hAnsi="宋体" w:eastAsia="宋体" w:cs="宋体"/>
          <w:sz w:val="10"/>
        </w:rPr>
        <w:t>、</w:t>
      </w:r>
      <w:r>
        <w:rPr>
          <w:rFonts w:hint="eastAsia" w:ascii="宋体" w:hAnsi="宋体" w:eastAsia="宋体" w:cs="宋体"/>
          <w:sz w:val="24"/>
        </w:rPr>
        <w:t>自动匹配适合的产品和服务</w:t>
      </w:r>
      <w:r>
        <w:rPr>
          <w:rFonts w:hint="eastAsia" w:ascii="宋体" w:hAnsi="宋体" w:eastAsia="宋体" w:cs="宋体"/>
          <w:sz w:val="10"/>
        </w:rPr>
        <w:t>，</w:t>
      </w:r>
      <w:r>
        <w:rPr>
          <w:rFonts w:hint="eastAsia" w:ascii="宋体" w:hAnsi="宋体" w:eastAsia="宋体" w:cs="宋体"/>
          <w:sz w:val="24"/>
        </w:rPr>
        <w:t>更准确</w:t>
      </w:r>
      <w:r>
        <w:rPr>
          <w:rFonts w:hint="eastAsia" w:ascii="宋体" w:hAnsi="宋体" w:eastAsia="宋体" w:cs="宋体"/>
          <w:sz w:val="10"/>
        </w:rPr>
        <w:t>、</w:t>
      </w:r>
      <w:r>
        <w:rPr>
          <w:rFonts w:hint="eastAsia" w:ascii="宋体" w:hAnsi="宋体" w:eastAsia="宋体" w:cs="宋体"/>
          <w:sz w:val="24"/>
        </w:rPr>
        <w:t>高效完成金融产品销售和针对性服务</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数据分析结果也为客户信用</w:t>
      </w:r>
      <w:r>
        <w:rPr>
          <w:rFonts w:hint="eastAsia" w:ascii="宋体" w:hAnsi="宋体" w:eastAsia="宋体" w:cs="宋体"/>
          <w:sz w:val="10"/>
        </w:rPr>
        <w:t>、</w:t>
      </w:r>
      <w:r>
        <w:rPr>
          <w:rFonts w:hint="eastAsia" w:ascii="宋体" w:hAnsi="宋体" w:eastAsia="宋体" w:cs="宋体"/>
          <w:sz w:val="24"/>
        </w:rPr>
        <w:t>产品定价</w:t>
      </w:r>
      <w:r>
        <w:rPr>
          <w:rFonts w:hint="eastAsia" w:ascii="宋体" w:hAnsi="宋体" w:eastAsia="宋体" w:cs="宋体"/>
          <w:sz w:val="10"/>
        </w:rPr>
        <w:t>、</w:t>
      </w:r>
      <w:r>
        <w:rPr>
          <w:rFonts w:hint="eastAsia" w:ascii="宋体" w:hAnsi="宋体" w:eastAsia="宋体" w:cs="宋体"/>
          <w:sz w:val="24"/>
        </w:rPr>
        <w:t>企业经营提供依据</w:t>
      </w:r>
      <w:r>
        <w:rPr>
          <w:rFonts w:hint="eastAsia" w:ascii="宋体" w:hAnsi="宋体" w:eastAsia="宋体" w:cs="宋体"/>
          <w:sz w:val="10"/>
        </w:rPr>
        <w:t>，</w:t>
      </w:r>
      <w:r>
        <w:rPr>
          <w:rFonts w:hint="eastAsia" w:ascii="宋体" w:hAnsi="宋体" w:eastAsia="宋体" w:cs="宋体"/>
          <w:sz w:val="24"/>
        </w:rPr>
        <w:t>进而优化业务流程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580" w:firstLine="480"/>
        <w:jc w:val="both"/>
      </w:pPr>
      <w:r>
        <w:rPr>
          <w:rFonts w:hint="eastAsia" w:ascii="宋体" w:hAnsi="宋体" w:eastAsia="宋体" w:cs="宋体"/>
          <w:sz w:val="24"/>
        </w:rPr>
        <w:t>第四</w:t>
      </w:r>
      <w:r>
        <w:rPr>
          <w:rFonts w:hint="eastAsia" w:ascii="宋体" w:hAnsi="宋体" w:eastAsia="宋体" w:cs="宋体"/>
          <w:sz w:val="10"/>
        </w:rPr>
        <w:t>，</w:t>
      </w:r>
      <w:r>
        <w:rPr>
          <w:rFonts w:hint="eastAsia" w:ascii="宋体" w:hAnsi="宋体" w:eastAsia="宋体" w:cs="宋体"/>
          <w:sz w:val="24"/>
        </w:rPr>
        <w:t>互联网工具对营销服务工作的支持</w:t>
      </w:r>
      <w:r>
        <w:rPr>
          <w:rFonts w:hint="eastAsia" w:ascii="宋体" w:hAnsi="宋体" w:eastAsia="宋体" w:cs="宋体"/>
          <w:sz w:val="10"/>
        </w:rPr>
        <w:t>。</w:t>
      </w:r>
      <w:r>
        <w:rPr>
          <w:rFonts w:hint="eastAsia" w:ascii="宋体" w:hAnsi="宋体" w:eastAsia="宋体" w:cs="宋体"/>
          <w:sz w:val="24"/>
        </w:rPr>
        <w:t>金融企业员工可以通过手机</w:t>
      </w:r>
      <w:r>
        <w:rPr>
          <w:rFonts w:hint="eastAsia" w:ascii="Times New Roman" w:hAnsi="Times New Roman" w:eastAsia="Times New Roman" w:cs="Times New Roman"/>
          <w:sz w:val="24"/>
        </w:rPr>
        <w:t xml:space="preserve"> APP</w:t>
      </w:r>
      <w:r>
        <w:rPr>
          <w:rFonts w:hint="eastAsia" w:ascii="宋体" w:hAnsi="宋体" w:eastAsia="宋体" w:cs="宋体"/>
          <w:sz w:val="24"/>
        </w:rPr>
        <w:t>等工具服务客户</w:t>
      </w:r>
      <w:r>
        <w:rPr>
          <w:rFonts w:hint="eastAsia" w:ascii="宋体" w:hAnsi="宋体" w:eastAsia="宋体" w:cs="宋体"/>
          <w:sz w:val="10"/>
        </w:rPr>
        <w:t>，</w:t>
      </w:r>
      <w:r>
        <w:rPr>
          <w:rFonts w:hint="eastAsia" w:ascii="宋体" w:hAnsi="宋体" w:eastAsia="宋体" w:cs="宋体"/>
          <w:sz w:val="24"/>
        </w:rPr>
        <w:t>使得客户和员工之间的服务关系更加密切</w:t>
      </w:r>
      <w:r>
        <w:rPr>
          <w:rFonts w:hint="eastAsia" w:ascii="宋体" w:hAnsi="宋体" w:eastAsia="宋体" w:cs="宋体"/>
          <w:sz w:val="10"/>
        </w:rPr>
        <w:t>，</w:t>
      </w:r>
      <w:r>
        <w:rPr>
          <w:rFonts w:hint="eastAsia" w:ascii="宋体" w:hAnsi="宋体" w:eastAsia="宋体" w:cs="宋体"/>
          <w:sz w:val="24"/>
        </w:rPr>
        <w:t>客户需求也能得到更及时的响应</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③金融产品互联网化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互联网时代客户需求的收集和金融产品的交付更加便利</w:t>
      </w:r>
      <w:r>
        <w:rPr>
          <w:rFonts w:hint="eastAsia" w:ascii="宋体" w:hAnsi="宋体" w:eastAsia="宋体" w:cs="宋体"/>
          <w:sz w:val="10"/>
        </w:rPr>
        <w:t>，</w:t>
      </w:r>
      <w:r>
        <w:rPr>
          <w:rFonts w:hint="eastAsia" w:ascii="宋体" w:hAnsi="宋体" w:eastAsia="宋体" w:cs="宋体"/>
          <w:sz w:val="24"/>
        </w:rPr>
        <w:t>设计高收益</w:t>
      </w:r>
      <w:r>
        <w:rPr>
          <w:rFonts w:hint="eastAsia" w:ascii="宋体" w:hAnsi="宋体" w:eastAsia="宋体" w:cs="宋体"/>
          <w:sz w:val="10"/>
        </w:rPr>
        <w:t>、</w:t>
      </w:r>
      <w:r>
        <w:rPr>
          <w:rFonts w:hint="eastAsia" w:ascii="宋体" w:hAnsi="宋体" w:eastAsia="宋体" w:cs="宋体"/>
          <w:sz w:val="24"/>
        </w:rPr>
        <w:t>低风险</w:t>
      </w:r>
      <w:r>
        <w:rPr>
          <w:rFonts w:hint="eastAsia" w:ascii="宋体" w:hAnsi="宋体" w:eastAsia="宋体" w:cs="宋体"/>
          <w:sz w:val="10"/>
        </w:rPr>
        <w:t>、</w:t>
      </w:r>
      <w:r>
        <w:rPr>
          <w:rFonts w:hint="eastAsia" w:ascii="宋体" w:hAnsi="宋体" w:eastAsia="宋体" w:cs="宋体"/>
          <w:sz w:val="24"/>
        </w:rPr>
        <w:t>高流动性的高价值产品成为可能</w:t>
      </w:r>
      <w:r>
        <w:rPr>
          <w:rFonts w:hint="eastAsia" w:ascii="宋体" w:hAnsi="宋体" w:eastAsia="宋体" w:cs="宋体"/>
          <w:sz w:val="10"/>
        </w:rPr>
        <w:t>。</w:t>
      </w:r>
      <w:r>
        <w:rPr>
          <w:rFonts w:hint="eastAsia" w:ascii="宋体" w:hAnsi="宋体" w:eastAsia="宋体" w:cs="宋体"/>
          <w:sz w:val="24"/>
        </w:rPr>
        <w:t>金融产品的互联网化主要体现在以下几个方面</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580" w:firstLine="480"/>
        <w:jc w:val="both"/>
      </w:pPr>
      <w:r>
        <w:rPr>
          <w:rFonts w:hint="eastAsia" w:ascii="宋体" w:hAnsi="宋体" w:eastAsia="宋体" w:cs="宋体"/>
          <w:sz w:val="24"/>
        </w:rPr>
        <w:t>第一，</w:t>
      </w:r>
      <w:r>
        <w:rPr>
          <w:rFonts w:hint="eastAsia" w:ascii="宋体" w:hAnsi="宋体" w:eastAsia="宋体" w:cs="宋体"/>
          <w:sz w:val="24"/>
        </w:rPr>
        <w:t>为了提供更加便利的客户服务</w:t>
      </w:r>
      <w:r>
        <w:rPr>
          <w:rFonts w:hint="eastAsia" w:ascii="宋体" w:hAnsi="宋体" w:eastAsia="宋体" w:cs="宋体"/>
          <w:sz w:val="10"/>
        </w:rPr>
        <w:t>、</w:t>
      </w:r>
      <w:r>
        <w:rPr>
          <w:rFonts w:hint="eastAsia" w:ascii="宋体" w:hAnsi="宋体" w:eastAsia="宋体" w:cs="宋体"/>
          <w:sz w:val="24"/>
        </w:rPr>
        <w:t>更加丰富的业务品种</w:t>
      </w:r>
      <w:r>
        <w:rPr>
          <w:rFonts w:hint="eastAsia" w:ascii="宋体" w:hAnsi="宋体" w:eastAsia="宋体" w:cs="宋体"/>
          <w:sz w:val="10"/>
        </w:rPr>
        <w:t>，</w:t>
      </w:r>
      <w:r>
        <w:rPr>
          <w:rFonts w:hint="eastAsia" w:ascii="宋体" w:hAnsi="宋体" w:eastAsia="宋体" w:cs="宋体"/>
          <w:sz w:val="24"/>
        </w:rPr>
        <w:t>需要在核心业务系统上进行改造新增功能</w:t>
      </w:r>
      <w:r>
        <w:rPr>
          <w:rFonts w:hint="eastAsia" w:ascii="宋体" w:hAnsi="宋体" w:eastAsia="宋体" w:cs="宋体"/>
          <w:sz w:val="10"/>
        </w:rPr>
        <w:t>。</w:t>
      </w:r>
      <w:r>
        <w:rPr>
          <w:rFonts w:hint="eastAsia" w:ascii="宋体" w:hAnsi="宋体" w:eastAsia="宋体" w:cs="宋体"/>
          <w:sz w:val="24"/>
        </w:rPr>
        <w:t>比如</w:t>
      </w:r>
      <w:r>
        <w:rPr>
          <w:rFonts w:hint="eastAsia" w:ascii="宋体" w:hAnsi="宋体" w:eastAsia="宋体" w:cs="宋体"/>
          <w:sz w:val="10"/>
        </w:rPr>
        <w:t>“</w:t>
      </w:r>
      <w:r>
        <w:rPr>
          <w:rFonts w:hint="eastAsia" w:ascii="宋体" w:hAnsi="宋体" w:eastAsia="宋体" w:cs="宋体"/>
          <w:sz w:val="24"/>
        </w:rPr>
        <w:t>综合理财账户系统</w:t>
      </w:r>
      <w:r>
        <w:rPr>
          <w:rFonts w:hint="eastAsia" w:ascii="宋体" w:hAnsi="宋体" w:eastAsia="宋体" w:cs="宋体"/>
          <w:sz w:val="10"/>
        </w:rPr>
        <w:t>”，</w:t>
      </w:r>
      <w:r>
        <w:rPr>
          <w:rFonts w:hint="eastAsia" w:ascii="宋体" w:hAnsi="宋体" w:eastAsia="宋体" w:cs="宋体"/>
          <w:sz w:val="24"/>
        </w:rPr>
        <w:t>提供分级账户</w:t>
      </w:r>
      <w:r>
        <w:rPr>
          <w:rFonts w:hint="eastAsia" w:ascii="宋体" w:hAnsi="宋体" w:eastAsia="宋体" w:cs="宋体"/>
          <w:sz w:val="10"/>
        </w:rPr>
        <w:t>、</w:t>
      </w:r>
      <w:r>
        <w:rPr>
          <w:rFonts w:hint="eastAsia" w:ascii="宋体" w:hAnsi="宋体" w:eastAsia="宋体" w:cs="宋体"/>
          <w:sz w:val="24"/>
        </w:rPr>
        <w:t>便利的账户开通</w:t>
      </w:r>
      <w:r>
        <w:rPr>
          <w:rFonts w:hint="eastAsia" w:ascii="宋体" w:hAnsi="宋体" w:eastAsia="宋体" w:cs="宋体"/>
          <w:sz w:val="10"/>
        </w:rPr>
        <w:t>。一</w:t>
      </w:r>
      <w:r>
        <w:rPr>
          <w:rFonts w:hint="eastAsia" w:ascii="宋体" w:hAnsi="宋体" w:eastAsia="宋体" w:cs="宋体"/>
          <w:sz w:val="24"/>
        </w:rPr>
        <w:t>个账户可以开通理财</w:t>
      </w:r>
      <w:r>
        <w:rPr>
          <w:rFonts w:hint="eastAsia" w:ascii="宋体" w:hAnsi="宋体" w:eastAsia="宋体" w:cs="宋体"/>
          <w:sz w:val="10"/>
        </w:rPr>
        <w:t>、</w:t>
      </w:r>
      <w:r>
        <w:rPr>
          <w:rFonts w:hint="eastAsia" w:ascii="宋体" w:hAnsi="宋体" w:eastAsia="宋体" w:cs="宋体"/>
          <w:sz w:val="24"/>
        </w:rPr>
        <w:t>股票</w:t>
      </w:r>
      <w:r>
        <w:rPr>
          <w:rFonts w:hint="eastAsia" w:ascii="宋体" w:hAnsi="宋体" w:eastAsia="宋体" w:cs="宋体"/>
          <w:sz w:val="10"/>
        </w:rPr>
        <w:t>、</w:t>
      </w:r>
      <w:r>
        <w:rPr>
          <w:rFonts w:hint="eastAsia" w:ascii="宋体" w:hAnsi="宋体" w:eastAsia="宋体" w:cs="宋体"/>
          <w:sz w:val="24"/>
        </w:rPr>
        <w:t>基金</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外汇</w:t>
      </w:r>
      <w:r>
        <w:rPr>
          <w:rFonts w:hint="eastAsia" w:ascii="宋体" w:hAnsi="宋体" w:eastAsia="宋体" w:cs="宋体"/>
          <w:sz w:val="10"/>
        </w:rPr>
        <w:t>、</w:t>
      </w:r>
      <w:r>
        <w:rPr>
          <w:rFonts w:hint="eastAsia" w:ascii="宋体" w:hAnsi="宋体" w:eastAsia="宋体" w:cs="宋体"/>
          <w:sz w:val="24"/>
        </w:rPr>
        <w:t>保险</w:t>
      </w:r>
      <w:r>
        <w:rPr>
          <w:rFonts w:hint="eastAsia" w:ascii="宋体" w:hAnsi="宋体" w:eastAsia="宋体" w:cs="宋体"/>
          <w:sz w:val="10"/>
        </w:rPr>
        <w:t>、</w:t>
      </w:r>
      <w:r>
        <w:rPr>
          <w:rFonts w:hint="eastAsia" w:ascii="宋体" w:hAnsi="宋体" w:eastAsia="宋体" w:cs="宋体"/>
          <w:sz w:val="24"/>
        </w:rPr>
        <w:t>境外等功能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第二，</w:t>
      </w:r>
      <w:r>
        <w:rPr>
          <w:rFonts w:hint="eastAsia" w:ascii="宋体" w:hAnsi="宋体" w:eastAsia="宋体" w:cs="宋体"/>
          <w:sz w:val="24"/>
        </w:rPr>
        <w:t>资金业务创新</w:t>
      </w:r>
      <w:r>
        <w:rPr>
          <w:rFonts w:hint="eastAsia" w:ascii="宋体" w:hAnsi="宋体" w:eastAsia="宋体" w:cs="宋体"/>
          <w:sz w:val="10"/>
        </w:rPr>
        <w:t>。“</w:t>
      </w:r>
      <w:r>
        <w:rPr>
          <w:rFonts w:hint="eastAsia" w:ascii="宋体" w:hAnsi="宋体" w:eastAsia="宋体" w:cs="宋体"/>
          <w:sz w:val="24"/>
        </w:rPr>
        <w:t>资金支付平台</w:t>
      </w:r>
      <w:r>
        <w:rPr>
          <w:rFonts w:hint="eastAsia" w:ascii="宋体" w:hAnsi="宋体" w:eastAsia="宋体" w:cs="宋体"/>
          <w:sz w:val="10"/>
        </w:rPr>
        <w:t>”</w:t>
      </w:r>
      <w:r>
        <w:rPr>
          <w:rFonts w:hint="eastAsia" w:ascii="宋体" w:hAnsi="宋体" w:eastAsia="宋体" w:cs="宋体"/>
          <w:sz w:val="24"/>
        </w:rPr>
        <w:t>的建设可以弥补证券公司长期存在的资金服务功能少</w:t>
      </w:r>
      <w:r>
        <w:rPr>
          <w:rFonts w:hint="eastAsia" w:ascii="宋体" w:hAnsi="宋体" w:eastAsia="宋体" w:cs="宋体"/>
          <w:sz w:val="10"/>
        </w:rPr>
        <w:t>、</w:t>
      </w:r>
      <w:r>
        <w:rPr>
          <w:rFonts w:hint="eastAsia" w:ascii="宋体" w:hAnsi="宋体" w:eastAsia="宋体" w:cs="宋体"/>
          <w:sz w:val="24"/>
        </w:rPr>
        <w:t>时间短和手段较为单一等问题</w:t>
      </w:r>
      <w:r>
        <w:rPr>
          <w:rFonts w:hint="eastAsia" w:ascii="宋体" w:hAnsi="宋体" w:eastAsia="宋体" w:cs="宋体"/>
          <w:sz w:val="10"/>
        </w:rPr>
        <w:t>，</w:t>
      </w:r>
      <w:r>
        <w:rPr>
          <w:rFonts w:hint="eastAsia" w:ascii="宋体" w:hAnsi="宋体" w:eastAsia="宋体" w:cs="宋体"/>
          <w:sz w:val="24"/>
        </w:rPr>
        <w:t>允许客户资金通过第三方支付的形式实现广义的支付功能</w:t>
      </w:r>
      <w:r>
        <w:rPr>
          <w:rFonts w:hint="eastAsia" w:ascii="宋体" w:hAnsi="宋体" w:eastAsia="宋体" w:cs="宋体"/>
          <w:sz w:val="10"/>
        </w:rPr>
        <w:t>，</w:t>
      </w:r>
      <w:r>
        <w:rPr>
          <w:rFonts w:hint="eastAsia" w:ascii="宋体" w:hAnsi="宋体" w:eastAsia="宋体" w:cs="宋体"/>
          <w:sz w:val="24"/>
        </w:rPr>
        <w:t>是发展证券公司五大基础功能的重要举措</w:t>
      </w:r>
      <w:r>
        <w:rPr>
          <w:rFonts w:hint="eastAsia" w:ascii="宋体" w:hAnsi="宋体" w:eastAsia="宋体" w:cs="宋体"/>
          <w:sz w:val="10"/>
        </w:rPr>
        <w:t>，</w:t>
      </w:r>
      <w:r>
        <w:rPr>
          <w:rFonts w:hint="eastAsia" w:ascii="宋体" w:hAnsi="宋体" w:eastAsia="宋体" w:cs="宋体"/>
          <w:sz w:val="24"/>
        </w:rPr>
        <w:t>可以进一步提升证券公司综合金融服务的水平</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第三</w:t>
      </w:r>
      <w:r>
        <w:rPr>
          <w:rFonts w:hint="eastAsia" w:ascii="宋体" w:hAnsi="宋体" w:eastAsia="宋体" w:cs="宋体"/>
          <w:sz w:val="10"/>
        </w:rPr>
        <w:t>，</w:t>
      </w:r>
      <w:r>
        <w:rPr>
          <w:rFonts w:hint="eastAsia" w:ascii="宋体" w:hAnsi="宋体" w:eastAsia="宋体" w:cs="宋体"/>
          <w:sz w:val="24"/>
        </w:rPr>
        <w:t>现有业务的组合创新</w:t>
      </w:r>
      <w:r>
        <w:rPr>
          <w:rFonts w:hint="eastAsia" w:ascii="宋体" w:hAnsi="宋体" w:eastAsia="宋体" w:cs="宋体"/>
          <w:sz w:val="10"/>
        </w:rPr>
        <w:t>，</w:t>
      </w:r>
      <w:r>
        <w:rPr>
          <w:rFonts w:hint="eastAsia" w:ascii="宋体" w:hAnsi="宋体" w:eastAsia="宋体" w:cs="宋体"/>
          <w:sz w:val="24"/>
        </w:rPr>
        <w:t>产生新的金融服务形式</w:t>
      </w:r>
      <w:r>
        <w:rPr>
          <w:rFonts w:hint="eastAsia" w:ascii="宋体" w:hAnsi="宋体" w:eastAsia="宋体" w:cs="宋体"/>
          <w:sz w:val="10"/>
        </w:rPr>
        <w:t>，</w:t>
      </w:r>
      <w:r>
        <w:rPr>
          <w:rFonts w:hint="eastAsia" w:ascii="宋体" w:hAnsi="宋体" w:eastAsia="宋体" w:cs="宋体"/>
          <w:sz w:val="24"/>
        </w:rPr>
        <w:t>也带来新的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需求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00"/>
        <w:jc w:val="both"/>
      </w:pPr>
      <w:r>
        <w:rPr>
          <w:rFonts w:hint="eastAsia" w:ascii="宋体" w:hAnsi="宋体" w:eastAsia="宋体" w:cs="宋体"/>
          <w:sz w:val="24"/>
        </w:rPr>
        <w:t>后台是现行标准业务</w:t>
      </w:r>
      <w:r>
        <w:rPr>
          <w:rFonts w:hint="eastAsia" w:ascii="宋体" w:hAnsi="宋体" w:eastAsia="宋体" w:cs="宋体"/>
          <w:sz w:val="10"/>
        </w:rPr>
        <w:t>，</w:t>
      </w:r>
      <w:r>
        <w:rPr>
          <w:rFonts w:hint="eastAsia" w:ascii="宋体" w:hAnsi="宋体" w:eastAsia="宋体" w:cs="宋体"/>
          <w:sz w:val="24"/>
        </w:rPr>
        <w:t>但根据客户需求做标准化产品封装</w:t>
      </w:r>
      <w:r>
        <w:rPr>
          <w:rFonts w:hint="eastAsia" w:ascii="宋体" w:hAnsi="宋体" w:eastAsia="宋体" w:cs="宋体"/>
          <w:sz w:val="10"/>
        </w:rPr>
        <w:t>，</w:t>
      </w:r>
      <w:r>
        <w:rPr>
          <w:rFonts w:hint="eastAsia" w:ascii="宋体" w:hAnsi="宋体" w:eastAsia="宋体" w:cs="宋体"/>
          <w:sz w:val="24"/>
        </w:rPr>
        <w:t>可以衍生出更多的金融产品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④互联网催生新的商业模式</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1-1-119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互联网会催生新的服务或产品</w:t>
      </w:r>
      <w:r>
        <w:rPr>
          <w:rFonts w:hint="eastAsia" w:ascii="宋体" w:hAnsi="宋体" w:eastAsia="宋体" w:cs="宋体"/>
          <w:sz w:val="10"/>
        </w:rPr>
        <w:t>。</w:t>
      </w:r>
      <w:r>
        <w:rPr>
          <w:rFonts w:hint="eastAsia" w:ascii="宋体" w:hAnsi="宋体" w:eastAsia="宋体" w:cs="宋体"/>
          <w:sz w:val="24"/>
        </w:rPr>
        <w:t>典型情况包括</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云服务模式</w:t>
      </w:r>
      <w:r>
        <w:rPr>
          <w:rFonts w:hint="eastAsia" w:ascii="宋体" w:hAnsi="宋体" w:eastAsia="宋体" w:cs="宋体"/>
          <w:sz w:val="10"/>
        </w:rPr>
        <w:t>。</w:t>
      </w:r>
      <w:r>
        <w:rPr>
          <w:rFonts w:hint="eastAsia" w:ascii="宋体" w:hAnsi="宋体" w:eastAsia="宋体" w:cs="宋体"/>
          <w:sz w:val="24"/>
        </w:rPr>
        <w:t>通过云的方式提供服务</w:t>
      </w:r>
      <w:r>
        <w:rPr>
          <w:rFonts w:hint="eastAsia" w:ascii="宋体" w:hAnsi="宋体" w:eastAsia="宋体" w:cs="宋体"/>
          <w:sz w:val="10"/>
        </w:rPr>
        <w:t>，</w:t>
      </w:r>
      <w:r>
        <w:rPr>
          <w:rFonts w:hint="eastAsia" w:ascii="宋体" w:hAnsi="宋体" w:eastAsia="宋体" w:cs="宋体"/>
          <w:sz w:val="24"/>
        </w:rPr>
        <w:t>业务的参与者可以不直接建设系统</w:t>
      </w:r>
      <w:r>
        <w:rPr>
          <w:rFonts w:hint="eastAsia" w:ascii="宋体" w:hAnsi="宋体" w:eastAsia="宋体" w:cs="宋体"/>
          <w:sz w:val="10"/>
        </w:rPr>
        <w:t>，</w:t>
      </w:r>
      <w:r>
        <w:rPr>
          <w:rFonts w:hint="eastAsia" w:ascii="宋体" w:hAnsi="宋体" w:eastAsia="宋体" w:cs="宋体"/>
          <w:sz w:val="24"/>
        </w:rPr>
        <w:t>通过授权直接接入</w:t>
      </w:r>
      <w:r>
        <w:rPr>
          <w:rFonts w:hint="eastAsia" w:ascii="宋体" w:hAnsi="宋体" w:eastAsia="宋体" w:cs="宋体"/>
          <w:sz w:val="10"/>
        </w:rPr>
        <w:t>，</w:t>
      </w:r>
      <w:r>
        <w:rPr>
          <w:rFonts w:hint="eastAsia" w:ascii="宋体" w:hAnsi="宋体" w:eastAsia="宋体" w:cs="宋体"/>
          <w:sz w:val="24"/>
        </w:rPr>
        <w:t>在互联网上完成业务协作</w:t>
      </w:r>
      <w:r>
        <w:rPr>
          <w:rFonts w:hint="eastAsia" w:ascii="宋体" w:hAnsi="宋体" w:eastAsia="宋体" w:cs="宋体"/>
          <w:sz w:val="10"/>
        </w:rPr>
        <w:t>、</w:t>
      </w:r>
      <w:r>
        <w:rPr>
          <w:rFonts w:hint="eastAsia" w:ascii="宋体" w:hAnsi="宋体" w:eastAsia="宋体" w:cs="宋体"/>
          <w:sz w:val="24"/>
        </w:rPr>
        <w:t>产品运营</w:t>
      </w:r>
      <w:r>
        <w:rPr>
          <w:rFonts w:hint="eastAsia" w:ascii="宋体" w:hAnsi="宋体" w:eastAsia="宋体" w:cs="宋体"/>
          <w:sz w:val="10"/>
        </w:rPr>
        <w:t>。</w:t>
      </w:r>
      <w:r>
        <w:rPr>
          <w:rFonts w:hint="eastAsia" w:ascii="宋体" w:hAnsi="宋体" w:eastAsia="宋体" w:cs="宋体"/>
          <w:sz w:val="24"/>
        </w:rPr>
        <w:t>如</w:t>
      </w:r>
      <w:r>
        <w:rPr>
          <w:rFonts w:hint="eastAsia" w:ascii="宋体" w:hAnsi="宋体" w:eastAsia="宋体" w:cs="宋体"/>
          <w:sz w:val="10"/>
        </w:rPr>
        <w:t>“</w:t>
      </w:r>
      <w:r>
        <w:rPr>
          <w:rFonts w:hint="eastAsia" w:ascii="宋体" w:hAnsi="宋体" w:eastAsia="宋体" w:cs="宋体"/>
          <w:sz w:val="24"/>
        </w:rPr>
        <w:t>私募产品云柜台</w:t>
      </w:r>
      <w:r>
        <w:rPr>
          <w:rFonts w:hint="eastAsia" w:ascii="宋体" w:hAnsi="宋体" w:eastAsia="宋体" w:cs="宋体"/>
          <w:sz w:val="10"/>
        </w:rPr>
        <w:t>”。</w:t>
      </w:r>
      <w:r>
        <w:rPr>
          <w:rFonts w:hint="eastAsia" w:ascii="宋体" w:hAnsi="宋体" w:eastAsia="宋体" w:cs="宋体"/>
          <w:sz w:val="24"/>
        </w:rPr>
        <w:t>此外由于证券交易业务标准化程度较高</w:t>
      </w:r>
      <w:r>
        <w:rPr>
          <w:rFonts w:hint="eastAsia" w:ascii="宋体" w:hAnsi="宋体" w:eastAsia="宋体" w:cs="宋体"/>
          <w:sz w:val="10"/>
        </w:rPr>
        <w:t>，</w:t>
      </w:r>
      <w:r>
        <w:rPr>
          <w:rFonts w:hint="eastAsia" w:ascii="宋体" w:hAnsi="宋体" w:eastAsia="宋体" w:cs="宋体"/>
          <w:sz w:val="24"/>
        </w:rPr>
        <w:t>因此采用云的方式部署交易节点</w:t>
      </w:r>
      <w:r>
        <w:rPr>
          <w:rFonts w:hint="eastAsia" w:ascii="宋体" w:hAnsi="宋体" w:eastAsia="宋体" w:cs="宋体"/>
          <w:sz w:val="10"/>
        </w:rPr>
        <w:t>，</w:t>
      </w:r>
      <w:r>
        <w:rPr>
          <w:rFonts w:hint="eastAsia" w:ascii="宋体" w:hAnsi="宋体" w:eastAsia="宋体" w:cs="宋体"/>
          <w:sz w:val="24"/>
        </w:rPr>
        <w:t>基于云模式的交易系统接入</w:t>
      </w:r>
      <w:r>
        <w:rPr>
          <w:rFonts w:hint="eastAsia" w:ascii="宋体" w:hAnsi="宋体" w:eastAsia="宋体" w:cs="宋体"/>
          <w:sz w:val="10"/>
        </w:rPr>
        <w:t>，</w:t>
      </w:r>
      <w:r>
        <w:rPr>
          <w:rFonts w:hint="eastAsia" w:ascii="宋体" w:hAnsi="宋体" w:eastAsia="宋体" w:cs="宋体"/>
          <w:sz w:val="24"/>
        </w:rPr>
        <w:t>省去了复杂的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系统部署</w:t>
      </w:r>
      <w:r>
        <w:rPr>
          <w:rFonts w:hint="eastAsia" w:ascii="宋体" w:hAnsi="宋体" w:eastAsia="宋体" w:cs="宋体"/>
          <w:sz w:val="10"/>
        </w:rPr>
        <w:t>、</w:t>
      </w:r>
      <w:r>
        <w:rPr>
          <w:rFonts w:hint="eastAsia" w:ascii="宋体" w:hAnsi="宋体" w:eastAsia="宋体" w:cs="宋体"/>
          <w:sz w:val="24"/>
        </w:rPr>
        <w:t>运维环节</w:t>
      </w:r>
      <w:r>
        <w:rPr>
          <w:rFonts w:hint="eastAsia" w:ascii="宋体" w:hAnsi="宋体" w:eastAsia="宋体" w:cs="宋体"/>
          <w:sz w:val="10"/>
        </w:rPr>
        <w:t>，</w:t>
      </w:r>
      <w:r>
        <w:rPr>
          <w:rFonts w:hint="eastAsia" w:ascii="宋体" w:hAnsi="宋体" w:eastAsia="宋体" w:cs="宋体"/>
          <w:sz w:val="24"/>
        </w:rPr>
        <w:t>也将成为证券公司的新选择</w:t>
      </w:r>
      <w:r>
        <w:rPr>
          <w:rFonts w:hint="eastAsia" w:ascii="宋体" w:hAnsi="宋体" w:eastAsia="宋体" w:cs="宋体"/>
          <w:sz w:val="10"/>
        </w:rPr>
        <w:t>。</w:t>
      </w:r>
      <w:r>
        <w:rPr>
          <w:rFonts w:hint="eastAsia" w:ascii="宋体" w:hAnsi="宋体" w:eastAsia="宋体" w:cs="宋体"/>
          <w:sz w:val="24"/>
        </w:rPr>
        <w:t>传统金融</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企业将扮演更重要的角色</w:t>
      </w:r>
      <w:r>
        <w:rPr>
          <w:rFonts w:hint="eastAsia" w:ascii="宋体" w:hAnsi="宋体" w:eastAsia="宋体" w:cs="宋体"/>
          <w:sz w:val="10"/>
        </w:rPr>
        <w:t>，</w:t>
      </w:r>
      <w:r>
        <w:rPr>
          <w:rFonts w:hint="eastAsia" w:ascii="宋体" w:hAnsi="宋体" w:eastAsia="宋体" w:cs="宋体"/>
          <w:sz w:val="24"/>
        </w:rPr>
        <w:t>实现从产品提供商向服务运营提供商的延伸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互联网财富管理业务</w:t>
      </w:r>
      <w:r>
        <w:rPr>
          <w:rFonts w:hint="eastAsia" w:ascii="宋体" w:hAnsi="宋体" w:eastAsia="宋体" w:cs="宋体"/>
          <w:sz w:val="10"/>
        </w:rPr>
        <w:t>。</w:t>
      </w:r>
      <w:r>
        <w:rPr>
          <w:rFonts w:hint="eastAsia" w:ascii="宋体" w:hAnsi="宋体" w:eastAsia="宋体" w:cs="宋体"/>
          <w:sz w:val="24"/>
        </w:rPr>
        <w:t>将互联网渠道和财富管理业务相结合</w:t>
      </w:r>
      <w:r>
        <w:rPr>
          <w:rFonts w:hint="eastAsia" w:ascii="宋体" w:hAnsi="宋体" w:eastAsia="宋体" w:cs="宋体"/>
          <w:sz w:val="10"/>
        </w:rPr>
        <w:t>。</w:t>
      </w:r>
      <w:r>
        <w:rPr>
          <w:rFonts w:hint="eastAsia" w:ascii="宋体" w:hAnsi="宋体" w:eastAsia="宋体" w:cs="宋体"/>
          <w:sz w:val="24"/>
        </w:rPr>
        <w:t>通过各种互联网渠道收集客户需求</w:t>
      </w:r>
      <w:r>
        <w:rPr>
          <w:rFonts w:hint="eastAsia" w:ascii="宋体" w:hAnsi="宋体" w:eastAsia="宋体" w:cs="宋体"/>
          <w:sz w:val="10"/>
        </w:rPr>
        <w:t>，</w:t>
      </w:r>
      <w:r>
        <w:rPr>
          <w:rFonts w:hint="eastAsia" w:ascii="宋体" w:hAnsi="宋体" w:eastAsia="宋体" w:cs="宋体"/>
          <w:sz w:val="24"/>
        </w:rPr>
        <w:t>后台通过金融产品模型</w:t>
      </w:r>
      <w:r>
        <w:rPr>
          <w:rFonts w:hint="eastAsia" w:ascii="宋体" w:hAnsi="宋体" w:eastAsia="宋体" w:cs="宋体"/>
          <w:sz w:val="10"/>
        </w:rPr>
        <w:t>、</w:t>
      </w:r>
      <w:r>
        <w:rPr>
          <w:rFonts w:hint="eastAsia" w:ascii="宋体" w:hAnsi="宋体" w:eastAsia="宋体" w:cs="宋体"/>
          <w:sz w:val="24"/>
        </w:rPr>
        <w:t>大数据分析处理</w:t>
      </w:r>
      <w:r>
        <w:rPr>
          <w:rFonts w:hint="eastAsia" w:ascii="宋体" w:hAnsi="宋体" w:eastAsia="宋体" w:cs="宋体"/>
          <w:sz w:val="10"/>
        </w:rPr>
        <w:t>、</w:t>
      </w:r>
      <w:r>
        <w:rPr>
          <w:rFonts w:hint="eastAsia" w:ascii="宋体" w:hAnsi="宋体" w:eastAsia="宋体" w:cs="宋体"/>
          <w:sz w:val="24"/>
        </w:rPr>
        <w:t>资产配置模型和产品匹配引擎相结合</w:t>
      </w:r>
      <w:r>
        <w:rPr>
          <w:rFonts w:hint="eastAsia" w:ascii="宋体" w:hAnsi="宋体" w:eastAsia="宋体" w:cs="宋体"/>
          <w:sz w:val="10"/>
        </w:rPr>
        <w:t>，</w:t>
      </w:r>
      <w:r>
        <w:rPr>
          <w:rFonts w:hint="eastAsia" w:ascii="宋体" w:hAnsi="宋体" w:eastAsia="宋体" w:cs="宋体"/>
          <w:sz w:val="24"/>
        </w:rPr>
        <w:t>使得客户投资者可以通过便利的线上服务享受财富管理服务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证券业互联网金融对软件和管理系统的要求</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为了达到证券业互联网金融客户导入及渠道建设的要求</w:t>
      </w:r>
      <w:r>
        <w:rPr>
          <w:rFonts w:hint="eastAsia" w:ascii="宋体" w:hAnsi="宋体" w:eastAsia="宋体" w:cs="宋体"/>
          <w:sz w:val="10"/>
        </w:rPr>
        <w:t>，</w:t>
      </w:r>
      <w:r>
        <w:rPr>
          <w:rFonts w:hint="eastAsia" w:ascii="宋体" w:hAnsi="宋体" w:eastAsia="宋体" w:cs="宋体"/>
          <w:sz w:val="24"/>
        </w:rPr>
        <w:t>证券公司需要从多个角度对自己现有结构及软</w:t>
      </w:r>
      <w:r>
        <w:rPr>
          <w:rFonts w:hint="eastAsia" w:ascii="宋体" w:hAnsi="宋体" w:eastAsia="宋体" w:cs="宋体"/>
          <w:sz w:val="10"/>
        </w:rPr>
        <w:t>、</w:t>
      </w:r>
      <w:r>
        <w:rPr>
          <w:rFonts w:hint="eastAsia" w:ascii="宋体" w:hAnsi="宋体" w:eastAsia="宋体" w:cs="宋体"/>
          <w:sz w:val="24"/>
        </w:rPr>
        <w:t>硬件进行改造和升级</w:t>
      </w:r>
      <w:r>
        <w:rPr>
          <w:rFonts w:hint="eastAsia" w:ascii="宋体" w:hAnsi="宋体" w:eastAsia="宋体" w:cs="宋体"/>
          <w:sz w:val="10"/>
        </w:rPr>
        <w:t>，</w:t>
      </w:r>
      <w:r>
        <w:rPr>
          <w:rFonts w:hint="eastAsia" w:ascii="宋体" w:hAnsi="宋体" w:eastAsia="宋体" w:cs="宋体"/>
          <w:sz w:val="24"/>
        </w:rPr>
        <w:t>从而在新的竞争环境下取得转型的成功</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首先</w:t>
      </w:r>
      <w:r>
        <w:rPr>
          <w:rFonts w:hint="eastAsia" w:ascii="宋体" w:hAnsi="宋体" w:eastAsia="宋体" w:cs="宋体"/>
          <w:sz w:val="10"/>
        </w:rPr>
        <w:t>，</w:t>
      </w:r>
      <w:r>
        <w:rPr>
          <w:rFonts w:hint="eastAsia" w:ascii="宋体" w:hAnsi="宋体" w:eastAsia="宋体" w:cs="宋体"/>
          <w:sz w:val="24"/>
        </w:rPr>
        <w:t>证券公司参与互联网金融需要全方位推动证券公司组织架构</w:t>
      </w:r>
      <w:r>
        <w:rPr>
          <w:rFonts w:hint="eastAsia" w:ascii="宋体" w:hAnsi="宋体" w:eastAsia="宋体" w:cs="宋体"/>
          <w:sz w:val="10"/>
        </w:rPr>
        <w:t>、</w:t>
      </w:r>
      <w:r>
        <w:rPr>
          <w:rFonts w:hint="eastAsia" w:ascii="宋体" w:hAnsi="宋体" w:eastAsia="宋体" w:cs="宋体"/>
          <w:sz w:val="24"/>
        </w:rPr>
        <w:t>管理模式</w:t>
      </w:r>
      <w:r>
        <w:rPr>
          <w:rFonts w:hint="eastAsia" w:ascii="宋体" w:hAnsi="宋体" w:eastAsia="宋体" w:cs="宋体"/>
          <w:sz w:val="10"/>
        </w:rPr>
        <w:t>、</w:t>
      </w:r>
      <w:r>
        <w:rPr>
          <w:rFonts w:hint="eastAsia" w:ascii="宋体" w:hAnsi="宋体" w:eastAsia="宋体" w:cs="宋体"/>
          <w:sz w:val="24"/>
        </w:rPr>
        <w:t>部门凝聚力和业务流程再造</w:t>
      </w:r>
      <w:r>
        <w:rPr>
          <w:rFonts w:hint="eastAsia" w:ascii="宋体" w:hAnsi="宋体" w:eastAsia="宋体" w:cs="宋体"/>
          <w:sz w:val="10"/>
        </w:rPr>
        <w:t>。一</w:t>
      </w:r>
      <w:r>
        <w:rPr>
          <w:rFonts w:hint="eastAsia" w:ascii="宋体" w:hAnsi="宋体" w:eastAsia="宋体" w:cs="宋体"/>
          <w:sz w:val="24"/>
        </w:rPr>
        <w:t>方面</w:t>
      </w:r>
      <w:r>
        <w:rPr>
          <w:rFonts w:hint="eastAsia" w:ascii="宋体" w:hAnsi="宋体" w:eastAsia="宋体" w:cs="宋体"/>
          <w:sz w:val="10"/>
        </w:rPr>
        <w:t>，</w:t>
      </w:r>
      <w:r>
        <w:rPr>
          <w:rFonts w:hint="eastAsia" w:ascii="宋体" w:hAnsi="宋体" w:eastAsia="宋体" w:cs="宋体"/>
          <w:sz w:val="24"/>
        </w:rPr>
        <w:t>证券公司传统的业务流程并不能及时响应客户需求并给予便捷的</w:t>
      </w:r>
      <w:r>
        <w:rPr>
          <w:rFonts w:hint="eastAsia" w:ascii="宋体" w:hAnsi="宋体" w:eastAsia="宋体" w:cs="宋体"/>
          <w:sz w:val="10"/>
        </w:rPr>
        <w:t>、一</w:t>
      </w:r>
      <w:r>
        <w:rPr>
          <w:rFonts w:hint="eastAsia" w:ascii="宋体" w:hAnsi="宋体" w:eastAsia="宋体" w:cs="宋体"/>
          <w:sz w:val="24"/>
        </w:rPr>
        <w:t>站式的综合理财服务</w:t>
      </w:r>
      <w:r>
        <w:rPr>
          <w:rFonts w:hint="eastAsia" w:ascii="宋体" w:hAnsi="宋体" w:eastAsia="宋体" w:cs="宋体"/>
          <w:sz w:val="12"/>
        </w:rPr>
        <w:t>；</w:t>
      </w:r>
      <w:r>
        <w:rPr>
          <w:rFonts w:hint="eastAsia" w:ascii="宋体" w:hAnsi="宋体" w:eastAsia="宋体" w:cs="宋体"/>
          <w:sz w:val="24"/>
        </w:rPr>
        <w:t>另一方面</w:t>
      </w:r>
      <w:r>
        <w:rPr>
          <w:rFonts w:hint="eastAsia" w:ascii="宋体" w:hAnsi="宋体" w:eastAsia="宋体" w:cs="宋体"/>
          <w:sz w:val="10"/>
        </w:rPr>
        <w:t>，</w:t>
      </w:r>
      <w:r>
        <w:rPr>
          <w:rFonts w:hint="eastAsia" w:ascii="宋体" w:hAnsi="宋体" w:eastAsia="宋体" w:cs="宋体"/>
          <w:sz w:val="24"/>
        </w:rPr>
        <w:t>越来越多的创新业务涉及到证券公司流程层面的所有部门</w:t>
      </w:r>
      <w:r>
        <w:rPr>
          <w:rFonts w:hint="eastAsia" w:ascii="宋体" w:hAnsi="宋体" w:eastAsia="宋体" w:cs="宋体"/>
          <w:sz w:val="10"/>
        </w:rPr>
        <w:t>，</w:t>
      </w:r>
      <w:r>
        <w:rPr>
          <w:rFonts w:hint="eastAsia" w:ascii="宋体" w:hAnsi="宋体" w:eastAsia="宋体" w:cs="宋体"/>
          <w:sz w:val="24"/>
        </w:rPr>
        <w:t>部门之间比以往更需要整体统筹</w:t>
      </w:r>
      <w:r>
        <w:rPr>
          <w:rFonts w:hint="eastAsia" w:ascii="宋体" w:hAnsi="宋体" w:eastAsia="宋体" w:cs="宋体"/>
          <w:sz w:val="10"/>
        </w:rPr>
        <w:t>、</w:t>
      </w:r>
      <w:r>
        <w:rPr>
          <w:rFonts w:hint="eastAsia" w:ascii="宋体" w:hAnsi="宋体" w:eastAsia="宋体" w:cs="宋体"/>
          <w:sz w:val="24"/>
        </w:rPr>
        <w:t>紧密协作</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1-1-120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1143000</wp:posOffset>
            </wp:positionH>
            <wp:positionV relativeFrom="page">
              <wp:posOffset>1346200</wp:posOffset>
            </wp:positionV>
            <wp:extent cx="2260600" cy="2095500"/>
            <wp:effectExtent l="0" t="0" r="0" b="0"/>
            <wp:wrapNone/>
            <wp:docPr id="6595" name="image6595" descr=""/>
            <wp:cNvGraphicFramePr>
              <a:graphicFrameLocks noChangeAspect="true"/>
            </wp:cNvGraphicFramePr>
            <a:graphic>
              <a:graphicData uri="http://schemas.openxmlformats.org/drawingml/2006/picture">
                <pic:pic>
                  <pic:nvPicPr>
                    <pic:cNvPr id="6595" name="image6595"/>
                    <pic:cNvPicPr/>
                  </pic:nvPicPr>
                  <pic:blipFill>
                    <a:blip r:embed="rId24"/>
                    <a:stretch>
                      <a:fillRect/>
                    </a:stretch>
                  </pic:blipFill>
                  <pic:spPr>
                    <a:xfrm>
                      <a:off x="0" y="0"/>
                      <a:ext cx="2260600" cy="2095500"/>
                    </a:xfrm>
                    <a:prstGeom prst="rect">
                      <a:avLst/>
                    </a:prstGeom>
                  </pic:spPr>
                </pic:pic>
              </a:graphicData>
            </a:graphic>
          </wp:anchor>
        </w:drawing>
      </w:r>
      <w:r>
        <w:drawing>
          <wp:anchor distT="0" distB="0" distL="114300" distR="114300" simplePos="false" relativeHeight="10253072" behindDoc="false" locked="false" layoutInCell="true" allowOverlap="true">
            <wp:simplePos x="0" y="0"/>
            <wp:positionH relativeFrom="page">
              <wp:posOffset>3784600</wp:posOffset>
            </wp:positionH>
            <wp:positionV relativeFrom="page">
              <wp:posOffset>1346200</wp:posOffset>
            </wp:positionV>
            <wp:extent cx="2552700" cy="2095500"/>
            <wp:effectExtent l="0" t="0" r="0" b="0"/>
            <wp:wrapNone/>
            <wp:docPr id="6596" name="image6596" descr=""/>
            <wp:cNvGraphicFramePr>
              <a:graphicFrameLocks noChangeAspect="true"/>
            </wp:cNvGraphicFramePr>
            <a:graphic>
              <a:graphicData uri="http://schemas.openxmlformats.org/drawingml/2006/picture">
                <pic:pic>
                  <pic:nvPicPr>
                    <pic:cNvPr id="6596" name="image6596"/>
                    <pic:cNvPicPr/>
                  </pic:nvPicPr>
                  <pic:blipFill>
                    <a:blip r:embed="rId25"/>
                    <a:stretch>
                      <a:fillRect/>
                    </a:stretch>
                  </pic:blipFill>
                  <pic:spPr>
                    <a:xfrm>
                      <a:off x="0" y="0"/>
                      <a:ext cx="2552700" cy="20955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6100"/>
        </w:tabs>
        <w:autoSpaceDE w:val="false"/>
        <w:autoSpaceDN w:val="false"/>
        <w:spacing w:line="280" w:lineRule="exact"/>
        <w:ind w:left="2320"/>
        <w:jc w:val="both"/>
      </w:pPr>
      <w:r>
        <w:rPr>
          <w:rFonts w:hint="eastAsia" w:ascii="宋体" w:hAnsi="宋体" w:eastAsia="宋体" w:cs="宋体"/>
          <w:b/>
          <w:sz w:val="21"/>
        </w:rPr>
        <w:t>证券公司传统业务部门架构</w:t>
      </w:r>
      <w:r>
        <w:tab/>
      </w:r>
      <w:r>
        <w:rPr>
          <w:color w:val="ffffff"/>
          <w:sz w:val="0"/>
          <w14:textFill>
            <w14:solidFill>
              <w14:srgbClr w14:val="FFFFFF">
                <w14:alpha w14:val="100000"/>
              </w14:srgbClr>
            </w14:solidFill>
          </w14:textFill>
        </w:rPr>
        <w:t xml:space="preserve"> </w:t>
      </w:r>
      <w:r>
        <w:rPr>
          <w:rFonts w:hint="eastAsia" w:ascii="宋体" w:hAnsi="宋体" w:eastAsia="宋体" w:cs="宋体"/>
          <w:b/>
          <w:sz w:val="21"/>
        </w:rPr>
        <w:t>基于互联网金融的证券公司业务流程架构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1"/>
        </w:rPr>
        <w:t>资料来源</w:t>
      </w:r>
      <w:r>
        <w:rPr>
          <w:rFonts w:hint="eastAsia" w:ascii="宋体" w:hAnsi="宋体" w:eastAsia="宋体" w:cs="宋体"/>
          <w:sz w:val="10"/>
        </w:rPr>
        <w:t>：</w:t>
      </w:r>
      <w:r>
        <w:rPr>
          <w:rFonts w:hint="eastAsia" w:ascii="宋体" w:hAnsi="宋体" w:eastAsia="宋体" w:cs="宋体"/>
          <w:sz w:val="21"/>
        </w:rPr>
        <w:t>招商证券研究报告</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其次</w:t>
      </w:r>
      <w:r>
        <w:rPr>
          <w:rFonts w:hint="eastAsia" w:ascii="宋体" w:hAnsi="宋体" w:eastAsia="宋体" w:cs="宋体"/>
          <w:sz w:val="10"/>
        </w:rPr>
        <w:t>，</w:t>
      </w:r>
      <w:r>
        <w:rPr>
          <w:rFonts w:hint="eastAsia" w:ascii="宋体" w:hAnsi="宋体" w:eastAsia="宋体" w:cs="宋体"/>
          <w:sz w:val="24"/>
        </w:rPr>
        <w:t>在客户多样化</w:t>
      </w:r>
      <w:r>
        <w:rPr>
          <w:rFonts w:hint="eastAsia" w:ascii="宋体" w:hAnsi="宋体" w:eastAsia="宋体" w:cs="宋体"/>
          <w:sz w:val="10"/>
        </w:rPr>
        <w:t>、</w:t>
      </w:r>
      <w:r>
        <w:rPr>
          <w:rFonts w:hint="eastAsia" w:ascii="宋体" w:hAnsi="宋体" w:eastAsia="宋体" w:cs="宋体"/>
          <w:sz w:val="24"/>
        </w:rPr>
        <w:t>需求多样化的互联网时代</w:t>
      </w:r>
      <w:r>
        <w:rPr>
          <w:rFonts w:hint="eastAsia" w:ascii="宋体" w:hAnsi="宋体" w:eastAsia="宋体" w:cs="宋体"/>
          <w:sz w:val="10"/>
        </w:rPr>
        <w:t>，</w:t>
      </w:r>
      <w:r>
        <w:rPr>
          <w:rFonts w:hint="eastAsia" w:ascii="宋体" w:hAnsi="宋体" w:eastAsia="宋体" w:cs="宋体"/>
          <w:sz w:val="24"/>
        </w:rPr>
        <w:t>要以新的公司架构为基础</w:t>
      </w:r>
      <w:r>
        <w:rPr>
          <w:rFonts w:hint="eastAsia" w:ascii="宋体" w:hAnsi="宋体" w:eastAsia="宋体" w:cs="宋体"/>
          <w:sz w:val="10"/>
        </w:rPr>
        <w:t>，</w:t>
      </w:r>
      <w:r>
        <w:rPr>
          <w:rFonts w:hint="eastAsia" w:ascii="宋体" w:hAnsi="宋体" w:eastAsia="宋体" w:cs="宋体"/>
          <w:sz w:val="24"/>
        </w:rPr>
        <w:t>实现投融资一站式服务</w:t>
      </w:r>
      <w:r>
        <w:rPr>
          <w:rFonts w:hint="eastAsia" w:ascii="宋体" w:hAnsi="宋体" w:eastAsia="宋体" w:cs="宋体"/>
          <w:sz w:val="10"/>
        </w:rPr>
        <w:t>，</w:t>
      </w:r>
      <w:r>
        <w:rPr>
          <w:rFonts w:hint="eastAsia" w:ascii="宋体" w:hAnsi="宋体" w:eastAsia="宋体" w:cs="宋体"/>
          <w:sz w:val="24"/>
        </w:rPr>
        <w:t>就需要对存量客户</w:t>
      </w:r>
      <w:r>
        <w:rPr>
          <w:rFonts w:hint="eastAsia" w:ascii="宋体" w:hAnsi="宋体" w:eastAsia="宋体" w:cs="宋体"/>
          <w:sz w:val="10"/>
        </w:rPr>
        <w:t>、</w:t>
      </w:r>
      <w:r>
        <w:rPr>
          <w:rFonts w:hint="eastAsia" w:ascii="宋体" w:hAnsi="宋体" w:eastAsia="宋体" w:cs="宋体"/>
          <w:sz w:val="24"/>
        </w:rPr>
        <w:t>增量客户进行精细化分类</w:t>
      </w:r>
      <w:r>
        <w:rPr>
          <w:rFonts w:hint="eastAsia" w:ascii="宋体" w:hAnsi="宋体" w:eastAsia="宋体" w:cs="宋体"/>
          <w:sz w:val="10"/>
        </w:rPr>
        <w:t>，</w:t>
      </w:r>
      <w:r>
        <w:rPr>
          <w:rFonts w:hint="eastAsia" w:ascii="宋体" w:hAnsi="宋体" w:eastAsia="宋体" w:cs="宋体"/>
          <w:sz w:val="24"/>
        </w:rPr>
        <w:t>根据客户需求提供个性化解决方案</w:t>
      </w:r>
      <w:r>
        <w:rPr>
          <w:rFonts w:hint="eastAsia" w:ascii="宋体" w:hAnsi="宋体" w:eastAsia="宋体" w:cs="宋体"/>
          <w:sz w:val="10"/>
        </w:rPr>
        <w:t>，</w:t>
      </w:r>
      <w:r>
        <w:rPr>
          <w:rFonts w:hint="eastAsia" w:ascii="宋体" w:hAnsi="宋体" w:eastAsia="宋体" w:cs="宋体"/>
          <w:sz w:val="24"/>
        </w:rPr>
        <w:t>并进行结构化匹配</w:t>
      </w:r>
      <w:r>
        <w:rPr>
          <w:rFonts w:hint="eastAsia" w:ascii="宋体" w:hAnsi="宋体" w:eastAsia="宋体" w:cs="宋体"/>
          <w:sz w:val="10"/>
        </w:rPr>
        <w:t>。</w:t>
      </w:r>
      <w:r>
        <w:rPr>
          <w:rFonts w:hint="eastAsia" w:ascii="宋体" w:hAnsi="宋体" w:eastAsia="宋体" w:cs="宋体"/>
          <w:sz w:val="24"/>
        </w:rPr>
        <w:t>具体来讲</w:t>
      </w:r>
      <w:r>
        <w:rPr>
          <w:rFonts w:hint="eastAsia" w:ascii="宋体" w:hAnsi="宋体" w:eastAsia="宋体" w:cs="宋体"/>
          <w:sz w:val="10"/>
        </w:rPr>
        <w:t>，</w:t>
      </w:r>
      <w:r>
        <w:rPr>
          <w:rFonts w:hint="eastAsia" w:ascii="宋体" w:hAnsi="宋体" w:eastAsia="宋体" w:cs="宋体"/>
          <w:sz w:val="24"/>
        </w:rPr>
        <w:t>首先要进行多数据整合</w:t>
      </w:r>
      <w:r>
        <w:rPr>
          <w:rFonts w:hint="eastAsia" w:ascii="宋体" w:hAnsi="宋体" w:eastAsia="宋体" w:cs="宋体"/>
          <w:sz w:val="10"/>
        </w:rPr>
        <w:t>，</w:t>
      </w:r>
      <w:r>
        <w:rPr>
          <w:rFonts w:hint="eastAsia" w:ascii="宋体" w:hAnsi="宋体" w:eastAsia="宋体" w:cs="宋体"/>
          <w:sz w:val="24"/>
        </w:rPr>
        <w:t>即对分散的多个账户</w:t>
      </w:r>
      <w:r>
        <w:rPr>
          <w:rFonts w:hint="eastAsia" w:ascii="宋体" w:hAnsi="宋体" w:eastAsia="宋体" w:cs="宋体"/>
          <w:sz w:val="10"/>
        </w:rPr>
        <w:t>、</w:t>
      </w:r>
      <w:r>
        <w:rPr>
          <w:rFonts w:hint="eastAsia" w:ascii="宋体" w:hAnsi="宋体" w:eastAsia="宋体" w:cs="宋体"/>
          <w:sz w:val="24"/>
        </w:rPr>
        <w:t>业务</w:t>
      </w:r>
      <w:r>
        <w:rPr>
          <w:rFonts w:hint="eastAsia" w:ascii="宋体" w:hAnsi="宋体" w:eastAsia="宋体" w:cs="宋体"/>
          <w:sz w:val="10"/>
        </w:rPr>
        <w:t>、</w:t>
      </w:r>
      <w:r>
        <w:rPr>
          <w:rFonts w:hint="eastAsia" w:ascii="宋体" w:hAnsi="宋体" w:eastAsia="宋体" w:cs="宋体"/>
          <w:sz w:val="24"/>
        </w:rPr>
        <w:t>资产数据进行提取</w:t>
      </w:r>
      <w:r>
        <w:rPr>
          <w:rFonts w:hint="eastAsia" w:ascii="宋体" w:hAnsi="宋体" w:eastAsia="宋体" w:cs="宋体"/>
          <w:sz w:val="10"/>
        </w:rPr>
        <w:t>、</w:t>
      </w:r>
      <w:r>
        <w:rPr>
          <w:rFonts w:hint="eastAsia" w:ascii="宋体" w:hAnsi="宋体" w:eastAsia="宋体" w:cs="宋体"/>
          <w:sz w:val="24"/>
        </w:rPr>
        <w:t>汇集</w:t>
      </w:r>
      <w:r>
        <w:rPr>
          <w:rFonts w:hint="eastAsia" w:ascii="宋体" w:hAnsi="宋体" w:eastAsia="宋体" w:cs="宋体"/>
          <w:sz w:val="10"/>
        </w:rPr>
        <w:t>，</w:t>
      </w:r>
      <w:r>
        <w:rPr>
          <w:rFonts w:hint="eastAsia" w:ascii="宋体" w:hAnsi="宋体" w:eastAsia="宋体" w:cs="宋体"/>
          <w:sz w:val="24"/>
        </w:rPr>
        <w:t>并在基础流水的基础上</w:t>
      </w:r>
      <w:r>
        <w:rPr>
          <w:rFonts w:hint="eastAsia" w:ascii="宋体" w:hAnsi="宋体" w:eastAsia="宋体" w:cs="宋体"/>
          <w:sz w:val="10"/>
        </w:rPr>
        <w:t>，</w:t>
      </w:r>
      <w:r>
        <w:rPr>
          <w:rFonts w:hint="eastAsia" w:ascii="宋体" w:hAnsi="宋体" w:eastAsia="宋体" w:cs="宋体"/>
          <w:sz w:val="24"/>
        </w:rPr>
        <w:t>按资产</w:t>
      </w:r>
      <w:r>
        <w:rPr>
          <w:rFonts w:hint="eastAsia" w:ascii="宋体" w:hAnsi="宋体" w:eastAsia="宋体" w:cs="宋体"/>
          <w:sz w:val="10"/>
        </w:rPr>
        <w:t>、</w:t>
      </w:r>
      <w:r>
        <w:rPr>
          <w:rFonts w:hint="eastAsia" w:ascii="宋体" w:hAnsi="宋体" w:eastAsia="宋体" w:cs="宋体"/>
          <w:sz w:val="24"/>
        </w:rPr>
        <w:t>贡献度等角度对客户多维度信息完成指标化汇总</w:t>
      </w:r>
      <w:r>
        <w:rPr>
          <w:rFonts w:hint="eastAsia" w:ascii="宋体" w:hAnsi="宋体" w:eastAsia="宋体" w:cs="宋体"/>
          <w:sz w:val="10"/>
        </w:rPr>
        <w:t>。</w:t>
      </w:r>
      <w:r>
        <w:rPr>
          <w:rFonts w:hint="eastAsia" w:ascii="宋体" w:hAnsi="宋体" w:eastAsia="宋体" w:cs="宋体"/>
          <w:sz w:val="24"/>
        </w:rPr>
        <w:t>其次</w:t>
      </w:r>
      <w:r>
        <w:rPr>
          <w:rFonts w:hint="eastAsia" w:ascii="宋体" w:hAnsi="宋体" w:eastAsia="宋体" w:cs="宋体"/>
          <w:sz w:val="10"/>
        </w:rPr>
        <w:t>，</w:t>
      </w:r>
      <w:r>
        <w:rPr>
          <w:rFonts w:hint="eastAsia" w:ascii="宋体" w:hAnsi="宋体" w:eastAsia="宋体" w:cs="宋体"/>
          <w:sz w:val="24"/>
        </w:rPr>
        <w:t>对客户数据进行多维度识别</w:t>
      </w:r>
      <w:r>
        <w:rPr>
          <w:rFonts w:hint="eastAsia" w:ascii="宋体" w:hAnsi="宋体" w:eastAsia="宋体" w:cs="宋体"/>
          <w:sz w:val="10"/>
        </w:rPr>
        <w:t>，</w:t>
      </w:r>
      <w:r>
        <w:rPr>
          <w:rFonts w:hint="eastAsia" w:ascii="宋体" w:hAnsi="宋体" w:eastAsia="宋体" w:cs="宋体"/>
          <w:sz w:val="24"/>
        </w:rPr>
        <w:t>即基于客户模型和大数据分析</w:t>
      </w:r>
      <w:r>
        <w:rPr>
          <w:rFonts w:hint="eastAsia" w:ascii="宋体" w:hAnsi="宋体" w:eastAsia="宋体" w:cs="宋体"/>
          <w:sz w:val="10"/>
        </w:rPr>
        <w:t>，</w:t>
      </w:r>
      <w:r>
        <w:rPr>
          <w:rFonts w:hint="eastAsia" w:ascii="宋体" w:hAnsi="宋体" w:eastAsia="宋体" w:cs="宋体"/>
          <w:sz w:val="24"/>
        </w:rPr>
        <w:t>从不同角度对客户识别</w:t>
      </w:r>
      <w:r>
        <w:rPr>
          <w:rFonts w:hint="eastAsia" w:ascii="宋体" w:hAnsi="宋体" w:eastAsia="宋体" w:cs="宋体"/>
          <w:sz w:val="10"/>
        </w:rPr>
        <w:t>，</w:t>
      </w:r>
      <w:r>
        <w:rPr>
          <w:rFonts w:hint="eastAsia" w:ascii="宋体" w:hAnsi="宋体" w:eastAsia="宋体" w:cs="宋体"/>
          <w:sz w:val="24"/>
        </w:rPr>
        <w:t>根据客户的行为</w:t>
      </w:r>
      <w:r>
        <w:rPr>
          <w:rFonts w:hint="eastAsia" w:ascii="宋体" w:hAnsi="宋体" w:eastAsia="宋体" w:cs="宋体"/>
          <w:sz w:val="10"/>
        </w:rPr>
        <w:t>、</w:t>
      </w:r>
      <w:r>
        <w:rPr>
          <w:rFonts w:hint="eastAsia" w:ascii="宋体" w:hAnsi="宋体" w:eastAsia="宋体" w:cs="宋体"/>
          <w:sz w:val="24"/>
        </w:rPr>
        <w:t>喜好</w:t>
      </w:r>
      <w:r>
        <w:rPr>
          <w:rFonts w:hint="eastAsia" w:ascii="宋体" w:hAnsi="宋体" w:eastAsia="宋体" w:cs="宋体"/>
          <w:sz w:val="10"/>
        </w:rPr>
        <w:t>、</w:t>
      </w:r>
      <w:r>
        <w:rPr>
          <w:rFonts w:hint="eastAsia" w:ascii="宋体" w:hAnsi="宋体" w:eastAsia="宋体" w:cs="宋体"/>
          <w:sz w:val="24"/>
        </w:rPr>
        <w:t>资产</w:t>
      </w:r>
      <w:r>
        <w:rPr>
          <w:rFonts w:hint="eastAsia" w:ascii="宋体" w:hAnsi="宋体" w:eastAsia="宋体" w:cs="宋体"/>
          <w:sz w:val="10"/>
        </w:rPr>
        <w:t>、</w:t>
      </w:r>
      <w:r>
        <w:rPr>
          <w:rFonts w:hint="eastAsia" w:ascii="宋体" w:hAnsi="宋体" w:eastAsia="宋体" w:cs="宋体"/>
          <w:sz w:val="24"/>
        </w:rPr>
        <w:t>交易</w:t>
      </w:r>
      <w:r>
        <w:rPr>
          <w:rFonts w:hint="eastAsia" w:ascii="宋体" w:hAnsi="宋体" w:eastAsia="宋体" w:cs="宋体"/>
          <w:sz w:val="10"/>
        </w:rPr>
        <w:t>、</w:t>
      </w:r>
      <w:r>
        <w:rPr>
          <w:rFonts w:hint="eastAsia" w:ascii="宋体" w:hAnsi="宋体" w:eastAsia="宋体" w:cs="宋体"/>
          <w:sz w:val="24"/>
        </w:rPr>
        <w:t>价值等属性进行分类和分级优化</w:t>
      </w:r>
      <w:r>
        <w:rPr>
          <w:rFonts w:hint="eastAsia" w:ascii="宋体" w:hAnsi="宋体" w:eastAsia="宋体" w:cs="宋体"/>
          <w:sz w:val="10"/>
        </w:rPr>
        <w:t>。</w:t>
      </w:r>
      <w:r>
        <w:rPr>
          <w:rFonts w:hint="eastAsia" w:ascii="宋体" w:hAnsi="宋体" w:eastAsia="宋体" w:cs="宋体"/>
          <w:sz w:val="24"/>
        </w:rPr>
        <w:t>最后</w:t>
      </w:r>
      <w:r>
        <w:rPr>
          <w:rFonts w:hint="eastAsia" w:ascii="宋体" w:hAnsi="宋体" w:eastAsia="宋体" w:cs="宋体"/>
          <w:sz w:val="10"/>
        </w:rPr>
        <w:t>，</w:t>
      </w:r>
      <w:r>
        <w:rPr>
          <w:rFonts w:hint="eastAsia" w:ascii="宋体" w:hAnsi="宋体" w:eastAsia="宋体" w:cs="宋体"/>
          <w:sz w:val="24"/>
        </w:rPr>
        <w:t>在客户关系管理上</w:t>
      </w:r>
      <w:r>
        <w:rPr>
          <w:rFonts w:hint="eastAsia" w:ascii="宋体" w:hAnsi="宋体" w:eastAsia="宋体" w:cs="宋体"/>
          <w:sz w:val="10"/>
        </w:rPr>
        <w:t>，</w:t>
      </w:r>
      <w:r>
        <w:rPr>
          <w:rFonts w:hint="eastAsia" w:ascii="宋体" w:hAnsi="宋体" w:eastAsia="宋体" w:cs="宋体"/>
          <w:sz w:val="24"/>
        </w:rPr>
        <w:t>在集成原有经济</w:t>
      </w:r>
      <w:r>
        <w:rPr>
          <w:rFonts w:hint="eastAsia" w:ascii="宋体" w:hAnsi="宋体" w:eastAsia="宋体" w:cs="宋体"/>
          <w:sz w:val="10"/>
        </w:rPr>
        <w:t>、</w:t>
      </w:r>
      <w:r>
        <w:rPr>
          <w:rFonts w:hint="eastAsia" w:ascii="宋体" w:hAnsi="宋体" w:eastAsia="宋体" w:cs="宋体"/>
          <w:sz w:val="24"/>
        </w:rPr>
        <w:t>服务</w:t>
      </w:r>
      <w:r>
        <w:rPr>
          <w:rFonts w:hint="eastAsia" w:ascii="宋体" w:hAnsi="宋体" w:eastAsia="宋体" w:cs="宋体"/>
          <w:sz w:val="10"/>
        </w:rPr>
        <w:t>、</w:t>
      </w:r>
      <w:r>
        <w:rPr>
          <w:rFonts w:hint="eastAsia" w:ascii="宋体" w:hAnsi="宋体" w:eastAsia="宋体" w:cs="宋体"/>
          <w:sz w:val="24"/>
        </w:rPr>
        <w:t>签约关系的基础上</w:t>
      </w:r>
      <w:r>
        <w:rPr>
          <w:rFonts w:hint="eastAsia" w:ascii="宋体" w:hAnsi="宋体" w:eastAsia="宋体" w:cs="宋体"/>
          <w:sz w:val="10"/>
        </w:rPr>
        <w:t>，</w:t>
      </w:r>
      <w:r>
        <w:rPr>
          <w:rFonts w:hint="eastAsia" w:ascii="宋体" w:hAnsi="宋体" w:eastAsia="宋体" w:cs="宋体"/>
          <w:sz w:val="24"/>
        </w:rPr>
        <w:t>形成客户与多个业务人员之间的立体关系</w:t>
      </w:r>
      <w:r>
        <w:rPr>
          <w:rFonts w:hint="eastAsia" w:ascii="宋体" w:hAnsi="宋体" w:eastAsia="宋体" w:cs="宋体"/>
          <w:sz w:val="10"/>
        </w:rPr>
        <w:t>，</w:t>
      </w:r>
      <w:r>
        <w:rPr>
          <w:rFonts w:hint="eastAsia" w:ascii="宋体" w:hAnsi="宋体" w:eastAsia="宋体" w:cs="宋体"/>
          <w:sz w:val="24"/>
        </w:rPr>
        <w:t>以满足客户关系管理的需求</w:t>
      </w:r>
      <w:r>
        <w:rPr>
          <w:rFonts w:hint="eastAsia" w:ascii="宋体" w:hAnsi="宋体" w:eastAsia="宋体" w:cs="宋体"/>
          <w:sz w:val="10"/>
        </w:rPr>
        <w:t>。</w:t>
      </w:r>
      <w:r>
        <w:rPr>
          <w:rFonts w:hint="eastAsia" w:ascii="宋体" w:hAnsi="宋体" w:eastAsia="宋体" w:cs="宋体"/>
          <w:sz w:val="24"/>
        </w:rPr>
        <w:t>在掌握客户信息后</w:t>
      </w:r>
      <w:r>
        <w:rPr>
          <w:rFonts w:hint="eastAsia" w:ascii="宋体" w:hAnsi="宋体" w:eastAsia="宋体" w:cs="宋体"/>
          <w:sz w:val="10"/>
        </w:rPr>
        <w:t>，</w:t>
      </w:r>
      <w:r>
        <w:rPr>
          <w:rFonts w:hint="eastAsia" w:ascii="宋体" w:hAnsi="宋体" w:eastAsia="宋体" w:cs="宋体"/>
          <w:sz w:val="24"/>
        </w:rPr>
        <w:t>证券公司应将客户与产品进行结构化匹配</w:t>
      </w:r>
      <w:r>
        <w:rPr>
          <w:rFonts w:hint="eastAsia" w:ascii="宋体" w:hAnsi="宋体" w:eastAsia="宋体" w:cs="宋体"/>
          <w:sz w:val="10"/>
        </w:rPr>
        <w:t>，</w:t>
      </w:r>
      <w:r>
        <w:rPr>
          <w:rFonts w:hint="eastAsia" w:ascii="宋体" w:hAnsi="宋体" w:eastAsia="宋体" w:cs="宋体"/>
          <w:sz w:val="24"/>
        </w:rPr>
        <w:t>做到风险匹配</w:t>
      </w:r>
      <w:r>
        <w:rPr>
          <w:rFonts w:hint="eastAsia" w:ascii="宋体" w:hAnsi="宋体" w:eastAsia="宋体" w:cs="宋体"/>
          <w:sz w:val="10"/>
        </w:rPr>
        <w:t>、</w:t>
      </w:r>
      <w:r>
        <w:rPr>
          <w:rFonts w:hint="eastAsia" w:ascii="宋体" w:hAnsi="宋体" w:eastAsia="宋体" w:cs="宋体"/>
          <w:sz w:val="24"/>
        </w:rPr>
        <w:t>特征匹配</w:t>
      </w:r>
      <w:r>
        <w:rPr>
          <w:rFonts w:hint="eastAsia" w:ascii="宋体" w:hAnsi="宋体" w:eastAsia="宋体" w:cs="宋体"/>
          <w:sz w:val="10"/>
        </w:rPr>
        <w:t>、</w:t>
      </w:r>
      <w:r>
        <w:rPr>
          <w:rFonts w:hint="eastAsia" w:ascii="宋体" w:hAnsi="宋体" w:eastAsia="宋体" w:cs="宋体"/>
          <w:sz w:val="24"/>
        </w:rPr>
        <w:t>时点匹配</w:t>
      </w:r>
      <w:r>
        <w:rPr>
          <w:rFonts w:hint="eastAsia" w:ascii="宋体" w:hAnsi="宋体" w:eastAsia="宋体" w:cs="宋体"/>
          <w:sz w:val="10"/>
        </w:rPr>
        <w:t>，</w:t>
      </w:r>
      <w:r>
        <w:rPr>
          <w:rFonts w:hint="eastAsia" w:ascii="宋体" w:hAnsi="宋体" w:eastAsia="宋体" w:cs="宋体"/>
          <w:sz w:val="24"/>
        </w:rPr>
        <w:t>最终形成适应互联网时代新特征的标准化营销和育成体系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基于上述新特征的出现</w:t>
      </w:r>
      <w:r>
        <w:rPr>
          <w:rFonts w:hint="eastAsia" w:ascii="宋体" w:hAnsi="宋体" w:eastAsia="宋体" w:cs="宋体"/>
          <w:sz w:val="10"/>
        </w:rPr>
        <w:t>，</w:t>
      </w:r>
      <w:r>
        <w:rPr>
          <w:rFonts w:hint="eastAsia" w:ascii="宋体" w:hAnsi="宋体" w:eastAsia="宋体" w:cs="宋体"/>
          <w:sz w:val="24"/>
        </w:rPr>
        <w:t>互联网金融大环境下的证券业对证券公司的软件和管理系统架构提出了全新的要求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在前台体系中</w:t>
      </w:r>
      <w:r>
        <w:rPr>
          <w:rFonts w:hint="eastAsia" w:ascii="宋体" w:hAnsi="宋体" w:eastAsia="宋体" w:cs="宋体"/>
          <w:sz w:val="10"/>
        </w:rPr>
        <w:t>，</w:t>
      </w:r>
      <w:r>
        <w:rPr>
          <w:rFonts w:hint="eastAsia" w:ascii="宋体" w:hAnsi="宋体" w:eastAsia="宋体" w:cs="宋体"/>
          <w:sz w:val="24"/>
        </w:rPr>
        <w:t>必不可少的是便捷</w:t>
      </w:r>
      <w:r>
        <w:rPr>
          <w:rFonts w:hint="eastAsia" w:ascii="宋体" w:hAnsi="宋体" w:eastAsia="宋体" w:cs="宋体"/>
          <w:sz w:val="10"/>
        </w:rPr>
        <w:t>、</w:t>
      </w:r>
      <w:r>
        <w:rPr>
          <w:rFonts w:hint="eastAsia" w:ascii="宋体" w:hAnsi="宋体" w:eastAsia="宋体" w:cs="宋体"/>
          <w:sz w:val="24"/>
        </w:rPr>
        <w:t>高效</w:t>
      </w:r>
      <w:r>
        <w:rPr>
          <w:rFonts w:hint="eastAsia" w:ascii="宋体" w:hAnsi="宋体" w:eastAsia="宋体" w:cs="宋体"/>
          <w:sz w:val="10"/>
        </w:rPr>
        <w:t>、</w:t>
      </w:r>
      <w:r>
        <w:rPr>
          <w:rFonts w:hint="eastAsia" w:ascii="宋体" w:hAnsi="宋体" w:eastAsia="宋体" w:cs="宋体"/>
          <w:sz w:val="24"/>
        </w:rPr>
        <w:t>体验度极佳的各式互联网服务终端</w:t>
      </w:r>
      <w:r>
        <w:rPr>
          <w:rFonts w:hint="eastAsia" w:ascii="宋体" w:hAnsi="宋体" w:eastAsia="宋体" w:cs="宋体"/>
          <w:sz w:val="10"/>
        </w:rPr>
        <w:t>。</w:t>
      </w:r>
      <w:r>
        <w:rPr>
          <w:rFonts w:hint="eastAsia" w:ascii="宋体" w:hAnsi="宋体" w:eastAsia="宋体" w:cs="宋体"/>
          <w:sz w:val="24"/>
        </w:rPr>
        <w:t>这就要求证券公司要在互联网金融与大经纪领域取得突破</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能够提供较好客户体验的服务终端包括网上商城</w:t>
      </w:r>
      <w:r>
        <w:rPr>
          <w:rFonts w:hint="eastAsia" w:ascii="宋体" w:hAnsi="宋体" w:eastAsia="宋体" w:cs="宋体"/>
          <w:sz w:val="10"/>
        </w:rPr>
        <w:t>、</w:t>
      </w:r>
      <w:r>
        <w:rPr>
          <w:rFonts w:hint="eastAsia" w:ascii="宋体" w:hAnsi="宋体" w:eastAsia="宋体" w:cs="宋体"/>
          <w:sz w:val="24"/>
        </w:rPr>
        <w:t>智能终端</w:t>
      </w:r>
      <w:r>
        <w:rPr>
          <w:rFonts w:hint="eastAsia" w:ascii="宋体" w:hAnsi="宋体" w:eastAsia="宋体" w:cs="宋体"/>
          <w:sz w:val="10"/>
        </w:rPr>
        <w:t>、</w:t>
      </w:r>
      <w:r>
        <w:rPr>
          <w:rFonts w:hint="eastAsia" w:ascii="宋体" w:hAnsi="宋体" w:eastAsia="宋体" w:cs="宋体"/>
          <w:sz w:val="24"/>
        </w:rPr>
        <w:t>微信平台和第三方平台</w:t>
      </w:r>
      <w:r>
        <w:rPr>
          <w:rFonts w:hint="eastAsia" w:ascii="宋体" w:hAnsi="宋体" w:eastAsia="宋体" w:cs="宋体"/>
          <w:sz w:val="10"/>
        </w:rPr>
        <w:t>。</w:t>
      </w:r>
      <w:r>
        <w:rPr>
          <w:rFonts w:hint="eastAsia" w:ascii="宋体" w:hAnsi="宋体" w:eastAsia="宋体" w:cs="宋体"/>
          <w:sz w:val="24"/>
        </w:rPr>
        <w:t>证券公司的网上商城要能够提供自助式的产品筛选</w:t>
      </w:r>
      <w:r>
        <w:rPr>
          <w:rFonts w:hint="eastAsia" w:ascii="宋体" w:hAnsi="宋体" w:eastAsia="宋体" w:cs="宋体"/>
          <w:sz w:val="10"/>
        </w:rPr>
        <w:t>、</w:t>
      </w:r>
      <w:r>
        <w:rPr>
          <w:rFonts w:hint="eastAsia" w:ascii="宋体" w:hAnsi="宋体" w:eastAsia="宋体" w:cs="宋体"/>
          <w:sz w:val="24"/>
        </w:rPr>
        <w:t>电子协议签署</w:t>
      </w:r>
      <w:r>
        <w:rPr>
          <w:rFonts w:hint="eastAsia" w:ascii="宋体" w:hAnsi="宋体" w:eastAsia="宋体" w:cs="宋体"/>
          <w:sz w:val="10"/>
        </w:rPr>
        <w:t>、</w:t>
      </w:r>
      <w:r>
        <w:rPr>
          <w:rFonts w:hint="eastAsia" w:ascii="宋体" w:hAnsi="宋体" w:eastAsia="宋体" w:cs="宋体"/>
          <w:sz w:val="24"/>
        </w:rPr>
        <w:t>产品申购与赎回</w:t>
      </w:r>
      <w:r>
        <w:rPr>
          <w:rFonts w:hint="eastAsia" w:ascii="宋体" w:hAnsi="宋体" w:eastAsia="宋体" w:cs="宋体"/>
          <w:sz w:val="10"/>
        </w:rPr>
        <w:t>、</w:t>
      </w:r>
      <w:r>
        <w:rPr>
          <w:rFonts w:hint="eastAsia" w:ascii="宋体" w:hAnsi="宋体" w:eastAsia="宋体" w:cs="宋体"/>
          <w:sz w:val="24"/>
        </w:rPr>
        <w:t>份额查询</w:t>
      </w:r>
      <w:r>
        <w:rPr>
          <w:rFonts w:hint="eastAsia" w:ascii="宋体" w:hAnsi="宋体" w:eastAsia="宋体" w:cs="宋体"/>
          <w:sz w:val="10"/>
        </w:rPr>
        <w:t>、</w:t>
      </w:r>
      <w:r>
        <w:rPr>
          <w:rFonts w:hint="eastAsia" w:ascii="宋体" w:hAnsi="宋体" w:eastAsia="宋体" w:cs="宋体"/>
          <w:sz w:val="24"/>
        </w:rPr>
        <w:t>交易明细查询等服务</w:t>
      </w:r>
      <w:r>
        <w:rPr>
          <w:rFonts w:hint="eastAsia" w:ascii="宋体" w:hAnsi="宋体" w:eastAsia="宋体" w:cs="宋体"/>
          <w:sz w:val="10"/>
        </w:rPr>
        <w:t>，</w:t>
      </w:r>
      <w:r>
        <w:rPr>
          <w:rFonts w:hint="eastAsia" w:ascii="宋体" w:hAnsi="宋体" w:eastAsia="宋体" w:cs="宋体"/>
          <w:sz w:val="24"/>
        </w:rPr>
        <w:t>要可以与保证金账号打通</w:t>
      </w:r>
      <w:r>
        <w:rPr>
          <w:rFonts w:hint="eastAsia" w:ascii="宋体" w:hAnsi="宋体" w:eastAsia="宋体" w:cs="宋体"/>
          <w:sz w:val="10"/>
        </w:rPr>
        <w:t>，</w:t>
      </w:r>
      <w:r>
        <w:rPr>
          <w:rFonts w:hint="eastAsia" w:ascii="宋体" w:hAnsi="宋体" w:eastAsia="宋体" w:cs="宋体"/>
          <w:sz w:val="24"/>
        </w:rPr>
        <w:t>能够与主流的第三方支付</w:t>
      </w:r>
      <w:r>
        <w:rPr>
          <w:rFonts w:hint="eastAsia" w:ascii="宋体" w:hAnsi="宋体" w:eastAsia="宋体" w:cs="宋体"/>
          <w:sz w:val="10"/>
        </w:rPr>
        <w:t>、</w:t>
      </w:r>
      <w:r>
        <w:rPr>
          <w:rFonts w:hint="eastAsia" w:ascii="宋体" w:hAnsi="宋体" w:eastAsia="宋体" w:cs="宋体"/>
          <w:sz w:val="24"/>
        </w:rPr>
        <w:t>银行等实现对接</w:t>
      </w:r>
      <w:r>
        <w:rPr>
          <w:rFonts w:hint="eastAsia" w:ascii="宋体" w:hAnsi="宋体" w:eastAsia="宋体" w:cs="宋体"/>
          <w:sz w:val="10"/>
        </w:rPr>
        <w:t>，</w:t>
      </w:r>
      <w:r>
        <w:rPr>
          <w:rFonts w:hint="eastAsia" w:ascii="宋体" w:hAnsi="宋体" w:eastAsia="宋体" w:cs="宋体"/>
          <w:sz w:val="24"/>
        </w:rPr>
        <w:t>为客户提供资金划转</w:t>
      </w:r>
      <w:r>
        <w:rPr>
          <w:rFonts w:hint="eastAsia" w:ascii="宋体" w:hAnsi="宋体" w:eastAsia="宋体" w:cs="宋体"/>
          <w:sz w:val="10"/>
        </w:rPr>
        <w:t>、</w:t>
      </w:r>
      <w:r>
        <w:rPr>
          <w:rFonts w:hint="eastAsia" w:ascii="宋体" w:hAnsi="宋体" w:eastAsia="宋体" w:cs="宋体"/>
          <w:sz w:val="24"/>
        </w:rPr>
        <w:t>网上支付及结算等服务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1-1-121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智能手机</w:t>
      </w:r>
      <w:r>
        <w:rPr>
          <w:rFonts w:hint="eastAsia" w:ascii="宋体" w:hAnsi="宋体" w:eastAsia="宋体" w:cs="宋体"/>
          <w:sz w:val="10"/>
        </w:rPr>
        <w:t>、</w:t>
      </w:r>
      <w:r>
        <w:rPr>
          <w:rFonts w:hint="eastAsia" w:ascii="宋体" w:hAnsi="宋体" w:eastAsia="宋体" w:cs="宋体"/>
          <w:sz w:val="24"/>
        </w:rPr>
        <w:t>平板电脑的普及使得智能终端成为最热门的渠道媒介</w:t>
      </w:r>
      <w:r>
        <w:rPr>
          <w:rFonts w:hint="eastAsia" w:ascii="宋体" w:hAnsi="宋体" w:eastAsia="宋体" w:cs="宋体"/>
          <w:sz w:val="10"/>
        </w:rPr>
        <w:t>，</w:t>
      </w:r>
      <w:r>
        <w:rPr>
          <w:rFonts w:hint="eastAsia" w:ascii="宋体" w:hAnsi="宋体" w:eastAsia="宋体" w:cs="宋体"/>
          <w:sz w:val="24"/>
        </w:rPr>
        <w:t>以及最佳的综合性销售管理</w:t>
      </w:r>
      <w:r>
        <w:rPr>
          <w:rFonts w:hint="eastAsia" w:ascii="宋体" w:hAnsi="宋体" w:eastAsia="宋体" w:cs="宋体"/>
          <w:sz w:val="10"/>
        </w:rPr>
        <w:t>、</w:t>
      </w:r>
      <w:r>
        <w:rPr>
          <w:rFonts w:hint="eastAsia" w:ascii="宋体" w:hAnsi="宋体" w:eastAsia="宋体" w:cs="宋体"/>
          <w:sz w:val="24"/>
        </w:rPr>
        <w:t>服务载体</w:t>
      </w:r>
      <w:r>
        <w:rPr>
          <w:rFonts w:hint="eastAsia" w:ascii="宋体" w:hAnsi="宋体" w:eastAsia="宋体" w:cs="宋体"/>
          <w:sz w:val="10"/>
        </w:rPr>
        <w:t>，</w:t>
      </w:r>
      <w:r>
        <w:rPr>
          <w:rFonts w:hint="eastAsia" w:ascii="宋体" w:hAnsi="宋体" w:eastAsia="宋体" w:cs="宋体"/>
          <w:sz w:val="24"/>
        </w:rPr>
        <w:t>使得</w:t>
      </w:r>
      <w:r>
        <w:rPr>
          <w:rFonts w:hint="eastAsia" w:ascii="宋体" w:hAnsi="宋体" w:eastAsia="宋体" w:cs="宋体"/>
          <w:sz w:val="10"/>
        </w:rPr>
        <w:t>“一</w:t>
      </w:r>
      <w:r>
        <w:rPr>
          <w:rFonts w:hint="eastAsia" w:ascii="宋体" w:hAnsi="宋体" w:eastAsia="宋体" w:cs="宋体"/>
          <w:sz w:val="24"/>
        </w:rPr>
        <w:t>站式</w:t>
      </w:r>
      <w:r>
        <w:rPr>
          <w:rFonts w:hint="eastAsia" w:ascii="宋体" w:hAnsi="宋体" w:eastAsia="宋体" w:cs="宋体"/>
          <w:sz w:val="10"/>
        </w:rPr>
        <w:t>”</w:t>
      </w:r>
      <w:r>
        <w:rPr>
          <w:rFonts w:hint="eastAsia" w:ascii="宋体" w:hAnsi="宋体" w:eastAsia="宋体" w:cs="宋体"/>
          <w:sz w:val="24"/>
        </w:rPr>
        <w:t>金融管理及服务成为可能</w:t>
      </w:r>
      <w:r>
        <w:rPr>
          <w:rFonts w:hint="eastAsia" w:ascii="宋体" w:hAnsi="宋体" w:eastAsia="宋体" w:cs="宋体"/>
          <w:sz w:val="10"/>
        </w:rPr>
        <w:t>。</w:t>
      </w:r>
      <w:r>
        <w:rPr>
          <w:rFonts w:hint="eastAsia" w:ascii="宋体" w:hAnsi="宋体" w:eastAsia="宋体" w:cs="宋体"/>
          <w:sz w:val="24"/>
        </w:rPr>
        <w:t>微信是移动互联网的重要客户端入口</w:t>
      </w:r>
      <w:r>
        <w:rPr>
          <w:rFonts w:hint="eastAsia" w:ascii="宋体" w:hAnsi="宋体" w:eastAsia="宋体" w:cs="宋体"/>
          <w:sz w:val="10"/>
        </w:rPr>
        <w:t>，</w:t>
      </w:r>
      <w:r>
        <w:rPr>
          <w:rFonts w:hint="eastAsia" w:ascii="宋体" w:hAnsi="宋体" w:eastAsia="宋体" w:cs="宋体"/>
          <w:sz w:val="24"/>
        </w:rPr>
        <w:t>提供了与客户及时交互的渠道与平台</w:t>
      </w:r>
      <w:r>
        <w:rPr>
          <w:rFonts w:hint="eastAsia" w:ascii="宋体" w:hAnsi="宋体" w:eastAsia="宋体" w:cs="宋体"/>
          <w:sz w:val="10"/>
        </w:rPr>
        <w:t>，</w:t>
      </w:r>
      <w:r>
        <w:rPr>
          <w:rFonts w:hint="eastAsia" w:ascii="宋体" w:hAnsi="宋体" w:eastAsia="宋体" w:cs="宋体"/>
          <w:sz w:val="24"/>
        </w:rPr>
        <w:t>是证券公司在移动互联网领域拓展业务与服务的重要机遇</w:t>
      </w:r>
      <w:r>
        <w:rPr>
          <w:rFonts w:hint="eastAsia" w:ascii="宋体" w:hAnsi="宋体" w:eastAsia="宋体" w:cs="宋体"/>
          <w:sz w:val="10"/>
        </w:rPr>
        <w:t>。</w:t>
      </w:r>
      <w:r>
        <w:rPr>
          <w:rFonts w:hint="eastAsia" w:ascii="宋体" w:hAnsi="宋体" w:eastAsia="宋体" w:cs="宋体"/>
          <w:sz w:val="24"/>
        </w:rPr>
        <w:t>包括阿里</w:t>
      </w:r>
      <w:r>
        <w:rPr>
          <w:rFonts w:hint="eastAsia" w:ascii="宋体" w:hAnsi="宋体" w:eastAsia="宋体" w:cs="宋体"/>
          <w:sz w:val="10"/>
        </w:rPr>
        <w:t>、</w:t>
      </w:r>
      <w:r>
        <w:rPr>
          <w:rFonts w:hint="eastAsia" w:ascii="宋体" w:hAnsi="宋体" w:eastAsia="宋体" w:cs="宋体"/>
          <w:sz w:val="24"/>
        </w:rPr>
        <w:t>腾讯在内的第三方平台是金融产品销售的重要市场</w:t>
      </w:r>
      <w:r>
        <w:rPr>
          <w:rFonts w:hint="eastAsia" w:ascii="宋体" w:hAnsi="宋体" w:eastAsia="宋体" w:cs="宋体"/>
          <w:sz w:val="10"/>
        </w:rPr>
        <w:t>，</w:t>
      </w:r>
      <w:r>
        <w:rPr>
          <w:rFonts w:hint="eastAsia" w:ascii="宋体" w:hAnsi="宋体" w:eastAsia="宋体" w:cs="宋体"/>
          <w:sz w:val="24"/>
        </w:rPr>
        <w:t>它具有庞大</w:t>
      </w:r>
      <w:r>
        <w:rPr>
          <w:rFonts w:hint="eastAsia" w:ascii="宋体" w:hAnsi="宋体" w:eastAsia="宋体" w:cs="宋体"/>
          <w:sz w:val="10"/>
        </w:rPr>
        <w:t>、</w:t>
      </w:r>
      <w:r>
        <w:rPr>
          <w:rFonts w:hint="eastAsia" w:ascii="宋体" w:hAnsi="宋体" w:eastAsia="宋体" w:cs="宋体"/>
          <w:sz w:val="24"/>
        </w:rPr>
        <w:t>稳定的客户群</w:t>
      </w:r>
      <w:r>
        <w:rPr>
          <w:rFonts w:hint="eastAsia" w:ascii="宋体" w:hAnsi="宋体" w:eastAsia="宋体" w:cs="宋体"/>
          <w:sz w:val="10"/>
        </w:rPr>
        <w:t>，</w:t>
      </w:r>
      <w:r>
        <w:rPr>
          <w:rFonts w:hint="eastAsia" w:ascii="宋体" w:hAnsi="宋体" w:eastAsia="宋体" w:cs="宋体"/>
          <w:sz w:val="24"/>
        </w:rPr>
        <w:t>是证券公司客户导入方式中实现难度较低的方式</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金融产品销售中台是金融产品互联网销售的核心</w:t>
      </w:r>
      <w:r>
        <w:rPr>
          <w:rFonts w:hint="eastAsia" w:ascii="宋体" w:hAnsi="宋体" w:eastAsia="宋体" w:cs="宋体"/>
          <w:sz w:val="10"/>
        </w:rPr>
        <w:t>。</w:t>
      </w:r>
      <w:r>
        <w:rPr>
          <w:rFonts w:hint="eastAsia" w:ascii="宋体" w:hAnsi="宋体" w:eastAsia="宋体" w:cs="宋体"/>
          <w:sz w:val="24"/>
        </w:rPr>
        <w:t>销售中台需提供互联网销售的各类业务流程管理</w:t>
      </w:r>
      <w:r>
        <w:rPr>
          <w:rFonts w:hint="eastAsia" w:ascii="宋体" w:hAnsi="宋体" w:eastAsia="宋体" w:cs="宋体"/>
          <w:sz w:val="10"/>
        </w:rPr>
        <w:t>，</w:t>
      </w:r>
      <w:r>
        <w:rPr>
          <w:rFonts w:hint="eastAsia" w:ascii="宋体" w:hAnsi="宋体" w:eastAsia="宋体" w:cs="宋体"/>
          <w:sz w:val="24"/>
        </w:rPr>
        <w:t>如通过第三方平台销售的金融产品</w:t>
      </w:r>
      <w:r>
        <w:rPr>
          <w:rFonts w:hint="eastAsia" w:ascii="宋体" w:hAnsi="宋体" w:eastAsia="宋体" w:cs="宋体"/>
          <w:sz w:val="10"/>
        </w:rPr>
        <w:t>，</w:t>
      </w:r>
      <w:r>
        <w:rPr>
          <w:rFonts w:hint="eastAsia" w:ascii="宋体" w:hAnsi="宋体" w:eastAsia="宋体" w:cs="宋体"/>
          <w:sz w:val="24"/>
        </w:rPr>
        <w:t>通过第三方平台完成的订单和支付</w:t>
      </w:r>
      <w:r>
        <w:rPr>
          <w:rFonts w:hint="eastAsia" w:ascii="宋体" w:hAnsi="宋体" w:eastAsia="宋体" w:cs="宋体"/>
          <w:sz w:val="10"/>
        </w:rPr>
        <w:t>。</w:t>
      </w:r>
      <w:r>
        <w:rPr>
          <w:rFonts w:hint="eastAsia" w:ascii="宋体" w:hAnsi="宋体" w:eastAsia="宋体" w:cs="宋体"/>
          <w:sz w:val="24"/>
        </w:rPr>
        <w:t>金融产品销售中台需要与第三方平台实现账户对接</w:t>
      </w:r>
      <w:r>
        <w:rPr>
          <w:rFonts w:hint="eastAsia" w:ascii="宋体" w:hAnsi="宋体" w:eastAsia="宋体" w:cs="宋体"/>
          <w:sz w:val="10"/>
        </w:rPr>
        <w:t>、</w:t>
      </w:r>
      <w:r>
        <w:rPr>
          <w:rFonts w:hint="eastAsia" w:ascii="宋体" w:hAnsi="宋体" w:eastAsia="宋体" w:cs="宋体"/>
          <w:sz w:val="24"/>
        </w:rPr>
        <w:t>份额对账等功能</w:t>
      </w:r>
      <w:r>
        <w:rPr>
          <w:rFonts w:hint="eastAsia" w:ascii="宋体" w:hAnsi="宋体" w:eastAsia="宋体" w:cs="宋体"/>
          <w:sz w:val="10"/>
        </w:rPr>
        <w:t>，</w:t>
      </w:r>
      <w:r>
        <w:rPr>
          <w:rFonts w:hint="eastAsia" w:ascii="宋体" w:hAnsi="宋体" w:eastAsia="宋体" w:cs="宋体"/>
          <w:sz w:val="24"/>
        </w:rPr>
        <w:t>并提供完整的售后服务配套支持</w:t>
      </w:r>
      <w:r>
        <w:rPr>
          <w:rFonts w:hint="eastAsia" w:ascii="宋体" w:hAnsi="宋体" w:eastAsia="宋体" w:cs="宋体"/>
          <w:sz w:val="10"/>
        </w:rPr>
        <w:t>。</w:t>
      </w:r>
      <w:r>
        <w:rPr>
          <w:rFonts w:hint="eastAsia" w:ascii="宋体" w:hAnsi="宋体" w:eastAsia="宋体" w:cs="宋体"/>
          <w:sz w:val="24"/>
        </w:rPr>
        <w:t>金融产品代销中台还为互联网渠道提供金融产品的额度分配</w:t>
      </w:r>
      <w:r>
        <w:rPr>
          <w:rFonts w:hint="eastAsia" w:ascii="宋体" w:hAnsi="宋体" w:eastAsia="宋体" w:cs="宋体"/>
          <w:sz w:val="10"/>
        </w:rPr>
        <w:t>、</w:t>
      </w:r>
      <w:r>
        <w:rPr>
          <w:rFonts w:hint="eastAsia" w:ascii="宋体" w:hAnsi="宋体" w:eastAsia="宋体" w:cs="宋体"/>
          <w:sz w:val="24"/>
        </w:rPr>
        <w:t>预约管理</w:t>
      </w:r>
      <w:r>
        <w:rPr>
          <w:rFonts w:hint="eastAsia" w:ascii="宋体" w:hAnsi="宋体" w:eastAsia="宋体" w:cs="宋体"/>
          <w:sz w:val="10"/>
        </w:rPr>
        <w:t>、</w:t>
      </w:r>
      <w:r>
        <w:rPr>
          <w:rFonts w:hint="eastAsia" w:ascii="宋体" w:hAnsi="宋体" w:eastAsia="宋体" w:cs="宋体"/>
          <w:sz w:val="24"/>
        </w:rPr>
        <w:t>促销组合等管理支持</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中台还需要管理渠道的销售提成</w:t>
      </w:r>
      <w:r>
        <w:rPr>
          <w:rFonts w:hint="eastAsia" w:ascii="宋体" w:hAnsi="宋体" w:eastAsia="宋体" w:cs="宋体"/>
          <w:sz w:val="10"/>
        </w:rPr>
        <w:t>、</w:t>
      </w:r>
      <w:r>
        <w:rPr>
          <w:rFonts w:hint="eastAsia" w:ascii="宋体" w:hAnsi="宋体" w:eastAsia="宋体" w:cs="宋体"/>
          <w:sz w:val="24"/>
        </w:rPr>
        <w:t>份额对账等业务环节</w:t>
      </w:r>
      <w:r>
        <w:rPr>
          <w:rFonts w:hint="eastAsia" w:ascii="宋体" w:hAnsi="宋体" w:eastAsia="宋体" w:cs="宋体"/>
          <w:sz w:val="10"/>
        </w:rPr>
        <w:t>，</w:t>
      </w:r>
      <w:r>
        <w:rPr>
          <w:rFonts w:hint="eastAsia" w:ascii="宋体" w:hAnsi="宋体" w:eastAsia="宋体" w:cs="宋体"/>
          <w:sz w:val="24"/>
        </w:rPr>
        <w:t>同时对互联网渠道上各个业务流程进行监控</w:t>
      </w:r>
      <w:r>
        <w:rPr>
          <w:rFonts w:hint="eastAsia" w:ascii="宋体" w:hAnsi="宋体" w:eastAsia="宋体" w:cs="宋体"/>
          <w:sz w:val="10"/>
        </w:rPr>
        <w:t>，</w:t>
      </w:r>
      <w:r>
        <w:rPr>
          <w:rFonts w:hint="eastAsia" w:ascii="宋体" w:hAnsi="宋体" w:eastAsia="宋体" w:cs="宋体"/>
          <w:sz w:val="24"/>
        </w:rPr>
        <w:t>并对业务和系统的稳定运行提供保障</w:t>
      </w:r>
      <w:r>
        <w:rPr>
          <w:rFonts w:hint="eastAsia" w:ascii="宋体" w:hAnsi="宋体" w:eastAsia="宋体" w:cs="宋体"/>
          <w:sz w:val="10"/>
        </w:rPr>
        <w:t>，</w:t>
      </w:r>
      <w:r>
        <w:rPr>
          <w:rFonts w:hint="eastAsia" w:ascii="宋体" w:hAnsi="宋体" w:eastAsia="宋体" w:cs="宋体"/>
          <w:sz w:val="24"/>
        </w:rPr>
        <w:t>还为各个渠道提供统计分析</w:t>
      </w:r>
      <w:r>
        <w:rPr>
          <w:rFonts w:hint="eastAsia" w:ascii="宋体" w:hAnsi="宋体" w:eastAsia="宋体" w:cs="宋体"/>
          <w:sz w:val="10"/>
        </w:rPr>
        <w:t>、</w:t>
      </w:r>
      <w:r>
        <w:rPr>
          <w:rFonts w:hint="eastAsia" w:ascii="宋体" w:hAnsi="宋体" w:eastAsia="宋体" w:cs="宋体"/>
          <w:sz w:val="24"/>
        </w:rPr>
        <w:t>财富管理的配置推荐等功能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除了必要的前台营销</w:t>
      </w:r>
      <w:r>
        <w:rPr>
          <w:rFonts w:hint="eastAsia" w:ascii="宋体" w:hAnsi="宋体" w:eastAsia="宋体" w:cs="宋体"/>
          <w:sz w:val="10"/>
        </w:rPr>
        <w:t>、</w:t>
      </w:r>
      <w:r>
        <w:rPr>
          <w:rFonts w:hint="eastAsia" w:ascii="宋体" w:hAnsi="宋体" w:eastAsia="宋体" w:cs="宋体"/>
          <w:sz w:val="24"/>
        </w:rPr>
        <w:t>中台支持之外</w:t>
      </w:r>
      <w:r>
        <w:rPr>
          <w:rFonts w:hint="eastAsia" w:ascii="宋体" w:hAnsi="宋体" w:eastAsia="宋体" w:cs="宋体"/>
          <w:sz w:val="10"/>
        </w:rPr>
        <w:t>，</w:t>
      </w:r>
      <w:r>
        <w:rPr>
          <w:rFonts w:hint="eastAsia" w:ascii="宋体" w:hAnsi="宋体" w:eastAsia="宋体" w:cs="宋体"/>
          <w:sz w:val="24"/>
        </w:rPr>
        <w:t>后台的账户</w:t>
      </w:r>
      <w:r>
        <w:rPr>
          <w:rFonts w:hint="eastAsia" w:ascii="宋体" w:hAnsi="宋体" w:eastAsia="宋体" w:cs="宋体"/>
          <w:sz w:val="10"/>
        </w:rPr>
        <w:t>、</w:t>
      </w:r>
      <w:r>
        <w:rPr>
          <w:rFonts w:hint="eastAsia" w:ascii="宋体" w:hAnsi="宋体" w:eastAsia="宋体" w:cs="宋体"/>
          <w:sz w:val="24"/>
        </w:rPr>
        <w:t>支付等体系支持也是必不可少的</w:t>
      </w:r>
      <w:r>
        <w:rPr>
          <w:rFonts w:hint="eastAsia" w:ascii="宋体" w:hAnsi="宋体" w:eastAsia="宋体" w:cs="宋体"/>
          <w:sz w:val="10"/>
        </w:rPr>
        <w:t>。</w:t>
      </w:r>
      <w:r>
        <w:rPr>
          <w:rFonts w:hint="eastAsia" w:ascii="宋体" w:hAnsi="宋体" w:eastAsia="宋体" w:cs="宋体"/>
          <w:sz w:val="24"/>
        </w:rPr>
        <w:t>面对互联网环境下的客户</w:t>
      </w:r>
      <w:r>
        <w:rPr>
          <w:rFonts w:hint="eastAsia" w:ascii="宋体" w:hAnsi="宋体" w:eastAsia="宋体" w:cs="宋体"/>
          <w:sz w:val="10"/>
        </w:rPr>
        <w:t>，</w:t>
      </w:r>
      <w:r>
        <w:rPr>
          <w:rFonts w:hint="eastAsia" w:ascii="宋体" w:hAnsi="宋体" w:eastAsia="宋体" w:cs="宋体"/>
          <w:sz w:val="24"/>
        </w:rPr>
        <w:t>原有基于传统交易市场的后台账户</w:t>
      </w:r>
      <w:r>
        <w:rPr>
          <w:rFonts w:hint="eastAsia" w:ascii="宋体" w:hAnsi="宋体" w:eastAsia="宋体" w:cs="宋体"/>
          <w:sz w:val="10"/>
        </w:rPr>
        <w:t>、</w:t>
      </w:r>
      <w:r>
        <w:rPr>
          <w:rFonts w:hint="eastAsia" w:ascii="宋体" w:hAnsi="宋体" w:eastAsia="宋体" w:cs="宋体"/>
          <w:sz w:val="24"/>
        </w:rPr>
        <w:t>支付体系都不能完全满足客户的需求</w:t>
      </w:r>
      <w:r>
        <w:rPr>
          <w:rFonts w:hint="eastAsia" w:ascii="宋体" w:hAnsi="宋体" w:eastAsia="宋体" w:cs="宋体"/>
          <w:sz w:val="10"/>
        </w:rPr>
        <w:t>，</w:t>
      </w:r>
      <w:r>
        <w:rPr>
          <w:rFonts w:hint="eastAsia" w:ascii="宋体" w:hAnsi="宋体" w:eastAsia="宋体" w:cs="宋体"/>
          <w:sz w:val="24"/>
        </w:rPr>
        <w:t>也无法保证证券公司在全新的竞争中取得优势</w:t>
      </w:r>
      <w:r>
        <w:rPr>
          <w:rFonts w:hint="eastAsia" w:ascii="宋体" w:hAnsi="宋体" w:eastAsia="宋体" w:cs="宋体"/>
          <w:sz w:val="10"/>
        </w:rPr>
        <w:t>，</w:t>
      </w:r>
      <w:r>
        <w:rPr>
          <w:rFonts w:hint="eastAsia" w:ascii="宋体" w:hAnsi="宋体" w:eastAsia="宋体" w:cs="宋体"/>
          <w:sz w:val="24"/>
        </w:rPr>
        <w:t>因此需要进行相应的升级与重构</w:t>
      </w:r>
      <w:r>
        <w:rPr>
          <w:rFonts w:hint="eastAsia" w:ascii="宋体" w:hAnsi="宋体" w:eastAsia="宋体" w:cs="宋体"/>
          <w:sz w:val="10"/>
        </w:rPr>
        <w:t>，</w:t>
      </w:r>
      <w:r>
        <w:rPr>
          <w:rFonts w:hint="eastAsia" w:ascii="宋体" w:hAnsi="宋体" w:eastAsia="宋体" w:cs="宋体"/>
          <w:sz w:val="24"/>
        </w:rPr>
        <w:t>从而提升客户体验</w:t>
      </w:r>
      <w:r>
        <w:rPr>
          <w:rFonts w:hint="eastAsia" w:ascii="宋体" w:hAnsi="宋体" w:eastAsia="宋体" w:cs="宋体"/>
          <w:sz w:val="10"/>
        </w:rPr>
        <w:t>，</w:t>
      </w:r>
      <w:r>
        <w:rPr>
          <w:rFonts w:hint="eastAsia" w:ascii="宋体" w:hAnsi="宋体" w:eastAsia="宋体" w:cs="宋体"/>
          <w:sz w:val="24"/>
        </w:rPr>
        <w:t>并提升市场份额</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在账户体系方面</w:t>
      </w:r>
      <w:r>
        <w:rPr>
          <w:rFonts w:hint="eastAsia" w:ascii="宋体" w:hAnsi="宋体" w:eastAsia="宋体" w:cs="宋体"/>
          <w:sz w:val="10"/>
        </w:rPr>
        <w:t>，</w:t>
      </w:r>
      <w:r>
        <w:rPr>
          <w:rFonts w:hint="eastAsia" w:ascii="宋体" w:hAnsi="宋体" w:eastAsia="宋体" w:cs="宋体"/>
          <w:sz w:val="24"/>
        </w:rPr>
        <w:t>为满足互联网客户账户体系开放性的需求</w:t>
      </w:r>
      <w:r>
        <w:rPr>
          <w:rFonts w:hint="eastAsia" w:ascii="宋体" w:hAnsi="宋体" w:eastAsia="宋体" w:cs="宋体"/>
          <w:sz w:val="10"/>
        </w:rPr>
        <w:t>，</w:t>
      </w:r>
      <w:r>
        <w:rPr>
          <w:rFonts w:hint="eastAsia" w:ascii="宋体" w:hAnsi="宋体" w:eastAsia="宋体" w:cs="宋体"/>
          <w:sz w:val="24"/>
        </w:rPr>
        <w:t>需要对账户体系进行扩充与延伸</w:t>
      </w:r>
      <w:r>
        <w:rPr>
          <w:rFonts w:hint="eastAsia" w:ascii="宋体" w:hAnsi="宋体" w:eastAsia="宋体" w:cs="宋体"/>
          <w:sz w:val="10"/>
        </w:rPr>
        <w:t>，</w:t>
      </w:r>
      <w:r>
        <w:rPr>
          <w:rFonts w:hint="eastAsia" w:ascii="宋体" w:hAnsi="宋体" w:eastAsia="宋体" w:cs="宋体"/>
          <w:sz w:val="24"/>
        </w:rPr>
        <w:t>通过对客户的标识</w:t>
      </w:r>
      <w:r>
        <w:rPr>
          <w:rFonts w:hint="eastAsia" w:ascii="宋体" w:hAnsi="宋体" w:eastAsia="宋体" w:cs="宋体"/>
          <w:sz w:val="10"/>
        </w:rPr>
        <w:t>、</w:t>
      </w:r>
      <w:r>
        <w:rPr>
          <w:rFonts w:hint="eastAsia" w:ascii="宋体" w:hAnsi="宋体" w:eastAsia="宋体" w:cs="宋体"/>
          <w:sz w:val="24"/>
        </w:rPr>
        <w:t>注册与账户关联的扩展</w:t>
      </w:r>
      <w:r>
        <w:rPr>
          <w:rFonts w:hint="eastAsia" w:ascii="宋体" w:hAnsi="宋体" w:eastAsia="宋体" w:cs="宋体"/>
          <w:sz w:val="10"/>
        </w:rPr>
        <w:t>，</w:t>
      </w:r>
      <w:r>
        <w:rPr>
          <w:rFonts w:hint="eastAsia" w:ascii="宋体" w:hAnsi="宋体" w:eastAsia="宋体" w:cs="宋体"/>
          <w:sz w:val="24"/>
        </w:rPr>
        <w:t>提升客户的使用体验</w:t>
      </w:r>
      <w:r>
        <w:rPr>
          <w:rFonts w:hint="eastAsia" w:ascii="宋体" w:hAnsi="宋体" w:eastAsia="宋体" w:cs="宋体"/>
          <w:sz w:val="10"/>
        </w:rPr>
        <w:t>。</w:t>
      </w:r>
      <w:r>
        <w:rPr>
          <w:rFonts w:hint="eastAsia" w:ascii="宋体" w:hAnsi="宋体" w:eastAsia="宋体" w:cs="宋体"/>
          <w:sz w:val="24"/>
        </w:rPr>
        <w:t>目前证券公司核心账户体系主要依托于面向集中交易的账户管理系统</w:t>
      </w:r>
      <w:r>
        <w:rPr>
          <w:rFonts w:hint="eastAsia" w:ascii="宋体" w:hAnsi="宋体" w:eastAsia="宋体" w:cs="宋体"/>
          <w:sz w:val="10"/>
        </w:rPr>
        <w:t>，</w:t>
      </w:r>
      <w:r>
        <w:rPr>
          <w:rFonts w:hint="eastAsia" w:ascii="宋体" w:hAnsi="宋体" w:eastAsia="宋体" w:cs="宋体"/>
          <w:sz w:val="24"/>
        </w:rPr>
        <w:t>满足的是传统的经纪业务场内交易账户的管理需求</w:t>
      </w:r>
      <w:r>
        <w:rPr>
          <w:rFonts w:hint="eastAsia" w:ascii="宋体" w:hAnsi="宋体" w:eastAsia="宋体" w:cs="宋体"/>
          <w:sz w:val="10"/>
        </w:rPr>
        <w:t>，</w:t>
      </w:r>
      <w:r>
        <w:rPr>
          <w:rFonts w:hint="eastAsia" w:ascii="宋体" w:hAnsi="宋体" w:eastAsia="宋体" w:cs="宋体"/>
          <w:sz w:val="24"/>
        </w:rPr>
        <w:t>是一种封闭式</w:t>
      </w:r>
      <w:r>
        <w:rPr>
          <w:rFonts w:hint="eastAsia" w:ascii="宋体" w:hAnsi="宋体" w:eastAsia="宋体" w:cs="宋体"/>
          <w:sz w:val="10"/>
        </w:rPr>
        <w:t>、</w:t>
      </w:r>
      <w:r>
        <w:rPr>
          <w:rFonts w:hint="eastAsia" w:ascii="宋体" w:hAnsi="宋体" w:eastAsia="宋体" w:cs="宋体"/>
          <w:sz w:val="24"/>
        </w:rPr>
        <w:t>级联式账户体系</w:t>
      </w:r>
      <w:r>
        <w:rPr>
          <w:rFonts w:hint="eastAsia" w:ascii="宋体" w:hAnsi="宋体" w:eastAsia="宋体" w:cs="宋体"/>
          <w:sz w:val="10"/>
        </w:rPr>
        <w:t>。</w:t>
      </w:r>
      <w:r>
        <w:rPr>
          <w:rFonts w:hint="eastAsia" w:ascii="宋体" w:hAnsi="宋体" w:eastAsia="宋体" w:cs="宋体"/>
          <w:sz w:val="24"/>
        </w:rPr>
        <w:t>投资者办理不同业务时</w:t>
      </w:r>
      <w:r>
        <w:rPr>
          <w:rFonts w:hint="eastAsia" w:ascii="宋体" w:hAnsi="宋体" w:eastAsia="宋体" w:cs="宋体"/>
          <w:sz w:val="10"/>
        </w:rPr>
        <w:t>，</w:t>
      </w:r>
      <w:r>
        <w:rPr>
          <w:rFonts w:hint="eastAsia" w:ascii="宋体" w:hAnsi="宋体" w:eastAsia="宋体" w:cs="宋体"/>
          <w:sz w:val="24"/>
        </w:rPr>
        <w:t>需要进行多次</w:t>
      </w:r>
      <w:r>
        <w:rPr>
          <w:rFonts w:hint="eastAsia" w:ascii="宋体" w:hAnsi="宋体" w:eastAsia="宋体" w:cs="宋体"/>
          <w:sz w:val="10"/>
        </w:rPr>
        <w:t>、</w:t>
      </w:r>
      <w:r>
        <w:rPr>
          <w:rFonts w:hint="eastAsia" w:ascii="宋体" w:hAnsi="宋体" w:eastAsia="宋体" w:cs="宋体"/>
          <w:sz w:val="24"/>
        </w:rPr>
        <w:t>重复的身份验证</w:t>
      </w:r>
      <w:r>
        <w:rPr>
          <w:rFonts w:hint="eastAsia" w:ascii="宋体" w:hAnsi="宋体" w:eastAsia="宋体" w:cs="宋体"/>
          <w:sz w:val="10"/>
        </w:rPr>
        <w:t>、</w:t>
      </w:r>
      <w:r>
        <w:rPr>
          <w:rFonts w:hint="eastAsia" w:ascii="宋体" w:hAnsi="宋体" w:eastAsia="宋体" w:cs="宋体"/>
          <w:sz w:val="24"/>
        </w:rPr>
        <w:t>开户操作</w:t>
      </w:r>
      <w:r>
        <w:rPr>
          <w:rFonts w:hint="eastAsia" w:ascii="宋体" w:hAnsi="宋体" w:eastAsia="宋体" w:cs="宋体"/>
          <w:sz w:val="10"/>
        </w:rPr>
        <w:t>，</w:t>
      </w:r>
      <w:r>
        <w:rPr>
          <w:rFonts w:hint="eastAsia" w:ascii="宋体" w:hAnsi="宋体" w:eastAsia="宋体" w:cs="宋体"/>
          <w:sz w:val="24"/>
        </w:rPr>
        <w:t>不同业务账户割裂</w:t>
      </w:r>
      <w:r>
        <w:rPr>
          <w:rFonts w:hint="eastAsia" w:ascii="宋体" w:hAnsi="宋体" w:eastAsia="宋体" w:cs="宋体"/>
          <w:sz w:val="10"/>
        </w:rPr>
        <w:t>，</w:t>
      </w:r>
      <w:r>
        <w:rPr>
          <w:rFonts w:hint="eastAsia" w:ascii="宋体" w:hAnsi="宋体" w:eastAsia="宋体" w:cs="宋体"/>
          <w:sz w:val="24"/>
        </w:rPr>
        <w:t>客户体验和管理效率都有待提高</w:t>
      </w:r>
      <w:r>
        <w:rPr>
          <w:rFonts w:hint="eastAsia" w:ascii="宋体" w:hAnsi="宋体" w:eastAsia="宋体" w:cs="宋体"/>
          <w:sz w:val="10"/>
        </w:rPr>
        <w:t>。</w:t>
      </w:r>
      <w:r>
        <w:rPr>
          <w:rFonts w:hint="eastAsia" w:ascii="宋体" w:hAnsi="宋体" w:eastAsia="宋体" w:cs="宋体"/>
          <w:sz w:val="24"/>
        </w:rPr>
        <w:t>新账户体系将是面向多业务</w:t>
      </w:r>
      <w:r>
        <w:rPr>
          <w:rFonts w:hint="eastAsia" w:ascii="宋体" w:hAnsi="宋体" w:eastAsia="宋体" w:cs="宋体"/>
          <w:sz w:val="10"/>
        </w:rPr>
        <w:t>、</w:t>
      </w:r>
      <w:r>
        <w:rPr>
          <w:rFonts w:hint="eastAsia" w:ascii="宋体" w:hAnsi="宋体" w:eastAsia="宋体" w:cs="宋体"/>
          <w:sz w:val="24"/>
        </w:rPr>
        <w:t>开放式的账户体系</w:t>
      </w:r>
      <w:r>
        <w:rPr>
          <w:rFonts w:hint="eastAsia" w:ascii="宋体" w:hAnsi="宋体" w:eastAsia="宋体" w:cs="宋体"/>
          <w:sz w:val="10"/>
        </w:rPr>
        <w:t>，</w:t>
      </w:r>
      <w:r>
        <w:rPr>
          <w:rFonts w:hint="eastAsia" w:ascii="宋体" w:hAnsi="宋体" w:eastAsia="宋体" w:cs="宋体"/>
          <w:sz w:val="24"/>
        </w:rPr>
        <w:t>是以客户为中心</w:t>
      </w:r>
      <w:r>
        <w:rPr>
          <w:rFonts w:hint="eastAsia" w:ascii="宋体" w:hAnsi="宋体" w:eastAsia="宋体" w:cs="宋体"/>
          <w:sz w:val="10"/>
        </w:rPr>
        <w:t>，</w:t>
      </w:r>
      <w:r>
        <w:rPr>
          <w:rFonts w:hint="eastAsia" w:ascii="宋体" w:hAnsi="宋体" w:eastAsia="宋体" w:cs="宋体"/>
          <w:sz w:val="24"/>
        </w:rPr>
        <w:t>从互联网思维出发</w:t>
      </w:r>
      <w:r>
        <w:rPr>
          <w:rFonts w:hint="eastAsia" w:ascii="宋体" w:hAnsi="宋体" w:eastAsia="宋体" w:cs="宋体"/>
          <w:sz w:val="10"/>
        </w:rPr>
        <w:t>，</w:t>
      </w:r>
      <w:r>
        <w:rPr>
          <w:rFonts w:hint="eastAsia" w:ascii="宋体" w:hAnsi="宋体" w:eastAsia="宋体" w:cs="宋体"/>
          <w:sz w:val="24"/>
        </w:rPr>
        <w:t>依据不同的客户需求</w:t>
      </w:r>
      <w:r>
        <w:rPr>
          <w:rFonts w:hint="eastAsia" w:ascii="宋体" w:hAnsi="宋体" w:eastAsia="宋体" w:cs="宋体"/>
          <w:sz w:val="10"/>
        </w:rPr>
        <w:t>，</w:t>
      </w:r>
      <w:r>
        <w:rPr>
          <w:rFonts w:hint="eastAsia" w:ascii="宋体" w:hAnsi="宋体" w:eastAsia="宋体" w:cs="宋体"/>
          <w:sz w:val="24"/>
        </w:rPr>
        <w:t>提供综合的业务支持</w:t>
      </w:r>
      <w:r>
        <w:rPr>
          <w:rFonts w:hint="eastAsia" w:ascii="宋体" w:hAnsi="宋体" w:eastAsia="宋体" w:cs="宋体"/>
          <w:sz w:val="12"/>
        </w:rPr>
        <w:t>；</w:t>
      </w:r>
      <w:r>
        <w:rPr>
          <w:rFonts w:hint="eastAsia" w:ascii="宋体" w:hAnsi="宋体" w:eastAsia="宋体" w:cs="宋体"/>
          <w:sz w:val="24"/>
        </w:rPr>
        <w:t>通过账户的集成与绑定</w:t>
      </w:r>
      <w:r>
        <w:rPr>
          <w:rFonts w:hint="eastAsia" w:ascii="宋体" w:hAnsi="宋体" w:eastAsia="宋体" w:cs="宋体"/>
          <w:sz w:val="10"/>
        </w:rPr>
        <w:t>，</w:t>
      </w:r>
      <w:r>
        <w:rPr>
          <w:rFonts w:hint="eastAsia" w:ascii="宋体" w:hAnsi="宋体" w:eastAsia="宋体" w:cs="宋体"/>
          <w:sz w:val="24"/>
        </w:rPr>
        <w:t>实现便捷的业务开通和办理</w:t>
      </w:r>
      <w:r>
        <w:rPr>
          <w:rFonts w:hint="eastAsia" w:ascii="宋体" w:hAnsi="宋体" w:eastAsia="宋体" w:cs="宋体"/>
          <w:sz w:val="10"/>
        </w:rPr>
        <w:t>。</w:t>
      </w:r>
      <w:r>
        <w:rPr>
          <w:rFonts w:hint="eastAsia" w:ascii="宋体" w:hAnsi="宋体" w:eastAsia="宋体" w:cs="宋体"/>
          <w:sz w:val="24"/>
        </w:rPr>
        <w:t>新型账户体系可以实现证券公司所有账户的统一管理</w:t>
      </w:r>
      <w:r>
        <w:rPr>
          <w:rFonts w:hint="eastAsia" w:ascii="宋体" w:hAnsi="宋体" w:eastAsia="宋体" w:cs="宋体"/>
          <w:sz w:val="10"/>
        </w:rPr>
        <w:t>，</w:t>
      </w:r>
      <w:r>
        <w:rPr>
          <w:rFonts w:hint="eastAsia" w:ascii="宋体" w:hAnsi="宋体" w:eastAsia="宋体" w:cs="宋体"/>
          <w:sz w:val="24"/>
        </w:rPr>
        <w:t>避免客户账户信息在各业务系统的孤立分割</w:t>
      </w:r>
      <w:r>
        <w:rPr>
          <w:rFonts w:hint="eastAsia" w:ascii="宋体" w:hAnsi="宋体" w:eastAsia="宋体" w:cs="宋体"/>
          <w:sz w:val="10"/>
        </w:rPr>
        <w:t>。</w:t>
      </w:r>
      <w:r>
        <w:rPr>
          <w:rFonts w:hint="eastAsia" w:ascii="宋体" w:hAnsi="宋体" w:eastAsia="宋体" w:cs="宋体"/>
          <w:sz w:val="24"/>
        </w:rPr>
        <w:t>客户在开通新业务时</w:t>
      </w:r>
      <w:r>
        <w:rPr>
          <w:rFonts w:hint="eastAsia" w:ascii="宋体" w:hAnsi="宋体" w:eastAsia="宋体" w:cs="宋体"/>
          <w:sz w:val="10"/>
        </w:rPr>
        <w:t>，</w:t>
      </w:r>
      <w:r>
        <w:rPr>
          <w:rFonts w:hint="eastAsia" w:ascii="宋体" w:hAnsi="宋体" w:eastAsia="宋体" w:cs="宋体"/>
          <w:sz w:val="24"/>
        </w:rPr>
        <w:t>只需签署相应的业务协议</w:t>
      </w:r>
      <w:r>
        <w:rPr>
          <w:rFonts w:hint="eastAsia" w:ascii="宋体" w:hAnsi="宋体" w:eastAsia="宋体" w:cs="宋体"/>
          <w:sz w:val="10"/>
        </w:rPr>
        <w:t>，</w:t>
      </w:r>
      <w:r>
        <w:rPr>
          <w:rFonts w:hint="eastAsia" w:ascii="宋体" w:hAnsi="宋体" w:eastAsia="宋体" w:cs="宋体"/>
          <w:sz w:val="24"/>
        </w:rPr>
        <w:t>即可完成所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1-1-122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需账户的注册</w:t>
      </w:r>
      <w:r>
        <w:rPr>
          <w:rFonts w:hint="eastAsia" w:ascii="宋体" w:hAnsi="宋体" w:eastAsia="宋体" w:cs="宋体"/>
          <w:sz w:val="10"/>
        </w:rPr>
        <w:t>、</w:t>
      </w:r>
      <w:r>
        <w:rPr>
          <w:rFonts w:hint="eastAsia" w:ascii="宋体" w:hAnsi="宋体" w:eastAsia="宋体" w:cs="宋体"/>
          <w:sz w:val="24"/>
        </w:rPr>
        <w:t>开通与使用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支付功能的缺失是制约证券公司基于客户资产进行一系列产品和服务创新的重要因素</w:t>
      </w:r>
      <w:r>
        <w:rPr>
          <w:rFonts w:hint="eastAsia" w:ascii="宋体" w:hAnsi="宋体" w:eastAsia="宋体" w:cs="宋体"/>
          <w:sz w:val="10"/>
        </w:rPr>
        <w:t>。</w:t>
      </w:r>
      <w:r>
        <w:rPr>
          <w:rFonts w:hint="eastAsia" w:ascii="宋体" w:hAnsi="宋体" w:eastAsia="宋体" w:cs="宋体"/>
          <w:sz w:val="24"/>
        </w:rPr>
        <w:t>证券公司基于互联网平台构建综合理财服务</w:t>
      </w:r>
      <w:r>
        <w:rPr>
          <w:rFonts w:hint="eastAsia" w:ascii="宋体" w:hAnsi="宋体" w:eastAsia="宋体" w:cs="宋体"/>
          <w:sz w:val="10"/>
        </w:rPr>
        <w:t>，</w:t>
      </w:r>
      <w:r>
        <w:rPr>
          <w:rFonts w:hint="eastAsia" w:ascii="宋体" w:hAnsi="宋体" w:eastAsia="宋体" w:cs="宋体"/>
          <w:sz w:val="24"/>
        </w:rPr>
        <w:t>需要支付</w:t>
      </w:r>
      <w:r>
        <w:rPr>
          <w:rFonts w:hint="eastAsia" w:ascii="宋体" w:hAnsi="宋体" w:eastAsia="宋体" w:cs="宋体"/>
          <w:sz w:val="10"/>
        </w:rPr>
        <w:t>、</w:t>
      </w:r>
      <w:r>
        <w:rPr>
          <w:rFonts w:hint="eastAsia" w:ascii="宋体" w:hAnsi="宋体" w:eastAsia="宋体" w:cs="宋体"/>
          <w:sz w:val="24"/>
        </w:rPr>
        <w:t>托管和交易功能的健全</w:t>
      </w:r>
      <w:r>
        <w:rPr>
          <w:rFonts w:hint="eastAsia" w:ascii="宋体" w:hAnsi="宋体" w:eastAsia="宋体" w:cs="宋体"/>
          <w:sz w:val="10"/>
        </w:rPr>
        <w:t>。</w:t>
      </w:r>
      <w:r>
        <w:rPr>
          <w:rFonts w:hint="eastAsia" w:ascii="宋体" w:hAnsi="宋体" w:eastAsia="宋体" w:cs="宋体"/>
          <w:sz w:val="24"/>
        </w:rPr>
        <w:t>新形势下</w:t>
      </w:r>
      <w:r>
        <w:rPr>
          <w:rFonts w:hint="eastAsia" w:ascii="宋体" w:hAnsi="宋体" w:eastAsia="宋体" w:cs="宋体"/>
          <w:sz w:val="10"/>
        </w:rPr>
        <w:t>，</w:t>
      </w:r>
      <w:r>
        <w:rPr>
          <w:rFonts w:hint="eastAsia" w:ascii="宋体" w:hAnsi="宋体" w:eastAsia="宋体" w:cs="宋体"/>
          <w:sz w:val="24"/>
        </w:rPr>
        <w:t>证券公司需要针对电子商务业务的潜在客户群体</w:t>
      </w:r>
      <w:r>
        <w:rPr>
          <w:rFonts w:hint="eastAsia" w:ascii="宋体" w:hAnsi="宋体" w:eastAsia="宋体" w:cs="宋体"/>
          <w:sz w:val="10"/>
        </w:rPr>
        <w:t>，</w:t>
      </w:r>
      <w:r>
        <w:rPr>
          <w:rFonts w:hint="eastAsia" w:ascii="宋体" w:hAnsi="宋体" w:eastAsia="宋体" w:cs="宋体"/>
          <w:sz w:val="24"/>
        </w:rPr>
        <w:t>参考第三方支付的模式提供资金的对外支付功能</w:t>
      </w:r>
      <w:r>
        <w:rPr>
          <w:rFonts w:hint="eastAsia" w:ascii="宋体" w:hAnsi="宋体" w:eastAsia="宋体" w:cs="宋体"/>
          <w:sz w:val="10"/>
        </w:rPr>
        <w:t>。</w:t>
      </w:r>
      <w:r>
        <w:rPr>
          <w:rFonts w:hint="eastAsia" w:ascii="宋体" w:hAnsi="宋体" w:eastAsia="宋体" w:cs="宋体"/>
          <w:sz w:val="24"/>
        </w:rPr>
        <w:t>支付平台对外提供支付网关</w:t>
      </w:r>
      <w:r>
        <w:rPr>
          <w:rFonts w:hint="eastAsia" w:ascii="宋体" w:hAnsi="宋体" w:eastAsia="宋体" w:cs="宋体"/>
          <w:sz w:val="10"/>
        </w:rPr>
        <w:t>，</w:t>
      </w:r>
      <w:r>
        <w:rPr>
          <w:rFonts w:hint="eastAsia" w:ascii="宋体" w:hAnsi="宋体" w:eastAsia="宋体" w:cs="宋体"/>
          <w:sz w:val="24"/>
        </w:rPr>
        <w:t>接受支付订单</w:t>
      </w:r>
      <w:r>
        <w:rPr>
          <w:rFonts w:hint="eastAsia" w:ascii="宋体" w:hAnsi="宋体" w:eastAsia="宋体" w:cs="宋体"/>
          <w:sz w:val="10"/>
        </w:rPr>
        <w:t>，</w:t>
      </w:r>
      <w:r>
        <w:rPr>
          <w:rFonts w:hint="eastAsia" w:ascii="宋体" w:hAnsi="宋体" w:eastAsia="宋体" w:cs="宋体"/>
          <w:sz w:val="24"/>
        </w:rPr>
        <w:t>实现客户资金</w:t>
      </w:r>
      <w:r>
        <w:rPr>
          <w:rFonts w:hint="eastAsia" w:ascii="Times New Roman" w:hAnsi="Times New Roman" w:eastAsia="Times New Roman" w:cs="Times New Roman"/>
          <w:sz w:val="24"/>
        </w:rPr>
        <w:t xml:space="preserve"> 7</w:t>
      </w:r>
      <w:r>
        <w:rPr>
          <w:rFonts w:hint="eastAsia" w:ascii="Times New Roman" w:hAnsi="Times New Roman" w:eastAsia="Times New Roman" w:cs="Times New Roman"/>
          <w:sz w:val="12"/>
        </w:rPr>
        <w:t>×</w:t>
      </w:r>
      <w:r>
        <w:rPr>
          <w:rFonts w:hint="eastAsia" w:ascii="Times New Roman" w:hAnsi="Times New Roman" w:eastAsia="Times New Roman" w:cs="Times New Roman"/>
          <w:sz w:val="24"/>
        </w:rPr>
        <w:t>24</w:t>
      </w:r>
      <w:r>
        <w:rPr>
          <w:rFonts w:hint="eastAsia" w:ascii="宋体" w:hAnsi="宋体" w:eastAsia="宋体" w:cs="宋体"/>
          <w:sz w:val="24"/>
        </w:rPr>
        <w:t xml:space="preserve"> 小时的支付服务</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支付平台对内与统一资金平台对接</w:t>
      </w:r>
      <w:r>
        <w:rPr>
          <w:rFonts w:hint="eastAsia" w:ascii="宋体" w:hAnsi="宋体" w:eastAsia="宋体" w:cs="宋体"/>
          <w:sz w:val="10"/>
        </w:rPr>
        <w:t>，</w:t>
      </w:r>
      <w:r>
        <w:rPr>
          <w:rFonts w:hint="eastAsia" w:ascii="宋体" w:hAnsi="宋体" w:eastAsia="宋体" w:cs="宋体"/>
          <w:sz w:val="24"/>
        </w:rPr>
        <w:t>实现资金对外支付功能</w:t>
      </w:r>
      <w:r>
        <w:rPr>
          <w:rFonts w:hint="eastAsia" w:ascii="宋体" w:hAnsi="宋体" w:eastAsia="宋体" w:cs="宋体"/>
          <w:sz w:val="10"/>
        </w:rPr>
        <w:t>，</w:t>
      </w:r>
      <w:r>
        <w:rPr>
          <w:rFonts w:hint="eastAsia" w:ascii="宋体" w:hAnsi="宋体" w:eastAsia="宋体" w:cs="宋体"/>
          <w:sz w:val="24"/>
        </w:rPr>
        <w:t>并与资金平台实现结算对账功能</w:t>
      </w:r>
      <w:r>
        <w:rPr>
          <w:rFonts w:hint="eastAsia" w:ascii="宋体" w:hAnsi="宋体" w:eastAsia="宋体" w:cs="宋体"/>
          <w:sz w:val="10"/>
        </w:rPr>
        <w:t>。</w:t>
      </w:r>
      <w:r>
        <w:rPr>
          <w:rFonts w:hint="eastAsia" w:ascii="宋体" w:hAnsi="宋体" w:eastAsia="宋体" w:cs="宋体"/>
          <w:sz w:val="24"/>
        </w:rPr>
        <w:t>并且</w:t>
      </w:r>
      <w:r>
        <w:rPr>
          <w:rFonts w:hint="eastAsia" w:ascii="宋体" w:hAnsi="宋体" w:eastAsia="宋体" w:cs="宋体"/>
          <w:sz w:val="10"/>
        </w:rPr>
        <w:t>，</w:t>
      </w:r>
      <w:r>
        <w:rPr>
          <w:rFonts w:hint="eastAsia" w:ascii="宋体" w:hAnsi="宋体" w:eastAsia="宋体" w:cs="宋体"/>
          <w:sz w:val="24"/>
        </w:rPr>
        <w:t>交易清算采用结算文件通知统</w:t>
      </w:r>
      <w:r>
        <w:rPr>
          <w:rFonts w:hint="eastAsia" w:ascii="宋体" w:hAnsi="宋体" w:eastAsia="宋体" w:cs="宋体"/>
          <w:sz w:val="10"/>
        </w:rPr>
        <w:t>一</w:t>
      </w:r>
      <w:r>
        <w:rPr>
          <w:rFonts w:hint="eastAsia" w:ascii="宋体" w:hAnsi="宋体" w:eastAsia="宋体" w:cs="宋体"/>
          <w:sz w:val="24"/>
        </w:rPr>
        <w:t>资金平台</w:t>
      </w:r>
      <w:r>
        <w:rPr>
          <w:rFonts w:hint="eastAsia" w:ascii="宋体" w:hAnsi="宋体" w:eastAsia="宋体" w:cs="宋体"/>
          <w:sz w:val="10"/>
        </w:rPr>
        <w:t>，</w:t>
      </w:r>
      <w:r>
        <w:rPr>
          <w:rFonts w:hint="eastAsia" w:ascii="宋体" w:hAnsi="宋体" w:eastAsia="宋体" w:cs="宋体"/>
          <w:sz w:val="24"/>
        </w:rPr>
        <w:t>单</w:t>
      </w:r>
      <w:r>
        <w:rPr>
          <w:rFonts w:hint="eastAsia" w:ascii="宋体" w:hAnsi="宋体" w:eastAsia="宋体" w:cs="宋体"/>
          <w:sz w:val="10"/>
        </w:rPr>
        <w:t>一</w:t>
      </w:r>
      <w:r>
        <w:rPr>
          <w:rFonts w:hint="eastAsia" w:ascii="宋体" w:hAnsi="宋体" w:eastAsia="宋体" w:cs="宋体"/>
          <w:sz w:val="24"/>
        </w:rPr>
        <w:t>资金账户资金不足时</w:t>
      </w:r>
      <w:r>
        <w:rPr>
          <w:rFonts w:hint="eastAsia" w:ascii="宋体" w:hAnsi="宋体" w:eastAsia="宋体" w:cs="宋体"/>
          <w:sz w:val="10"/>
        </w:rPr>
        <w:t>，</w:t>
      </w:r>
      <w:r>
        <w:rPr>
          <w:rFonts w:hint="eastAsia" w:ascii="宋体" w:hAnsi="宋体" w:eastAsia="宋体" w:cs="宋体"/>
          <w:sz w:val="24"/>
        </w:rPr>
        <w:t>支持多资金账户联合支付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证券公司</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系统繁多</w:t>
      </w:r>
      <w:r>
        <w:rPr>
          <w:rFonts w:hint="eastAsia" w:ascii="宋体" w:hAnsi="宋体" w:eastAsia="宋体" w:cs="宋体"/>
          <w:sz w:val="10"/>
        </w:rPr>
        <w:t>，</w:t>
      </w:r>
      <w:r>
        <w:rPr>
          <w:rFonts w:hint="eastAsia" w:ascii="宋体" w:hAnsi="宋体" w:eastAsia="宋体" w:cs="宋体"/>
          <w:sz w:val="24"/>
        </w:rPr>
        <w:t>各系统数据及技术存在异构</w:t>
      </w:r>
      <w:r>
        <w:rPr>
          <w:rFonts w:hint="eastAsia" w:ascii="宋体" w:hAnsi="宋体" w:eastAsia="宋体" w:cs="宋体"/>
          <w:sz w:val="10"/>
        </w:rPr>
        <w:t>、</w:t>
      </w:r>
      <w:r>
        <w:rPr>
          <w:rFonts w:hint="eastAsia" w:ascii="宋体" w:hAnsi="宋体" w:eastAsia="宋体" w:cs="宋体"/>
          <w:sz w:val="24"/>
        </w:rPr>
        <w:t>资源共享难度大的特点</w:t>
      </w:r>
      <w:r>
        <w:rPr>
          <w:rFonts w:hint="eastAsia" w:ascii="宋体" w:hAnsi="宋体" w:eastAsia="宋体" w:cs="宋体"/>
          <w:sz w:val="10"/>
        </w:rPr>
        <w:t>。</w:t>
      </w:r>
      <w:r>
        <w:rPr>
          <w:rFonts w:hint="eastAsia" w:ascii="宋体" w:hAnsi="宋体" w:eastAsia="宋体" w:cs="宋体"/>
          <w:sz w:val="24"/>
        </w:rPr>
        <w:t>这是制约其在互联网金融环境下迅速推出新产品并满足客户需求的掣肘</w:t>
      </w:r>
      <w:r>
        <w:rPr>
          <w:rFonts w:hint="eastAsia" w:ascii="宋体" w:hAnsi="宋体" w:eastAsia="宋体" w:cs="宋体"/>
          <w:sz w:val="10"/>
        </w:rPr>
        <w:t>。</w:t>
      </w:r>
      <w:r>
        <w:rPr>
          <w:rFonts w:hint="eastAsia" w:ascii="宋体" w:hAnsi="宋体" w:eastAsia="宋体" w:cs="宋体"/>
          <w:sz w:val="24"/>
        </w:rPr>
        <w:t>为解决这一问题</w:t>
      </w:r>
      <w:r>
        <w:rPr>
          <w:rFonts w:hint="eastAsia" w:ascii="宋体" w:hAnsi="宋体" w:eastAsia="宋体" w:cs="宋体"/>
          <w:sz w:val="10"/>
        </w:rPr>
        <w:t>，</w:t>
      </w:r>
      <w:r>
        <w:rPr>
          <w:rFonts w:hint="eastAsia" w:ascii="宋体" w:hAnsi="宋体" w:eastAsia="宋体" w:cs="宋体"/>
          <w:sz w:val="24"/>
        </w:rPr>
        <w:t>提升服务的响应速度和客户体验</w:t>
      </w:r>
      <w:r>
        <w:rPr>
          <w:rFonts w:hint="eastAsia" w:ascii="宋体" w:hAnsi="宋体" w:eastAsia="宋体" w:cs="宋体"/>
          <w:sz w:val="10"/>
        </w:rPr>
        <w:t>，</w:t>
      </w:r>
      <w:r>
        <w:rPr>
          <w:rFonts w:hint="eastAsia" w:ascii="宋体" w:hAnsi="宋体" w:eastAsia="宋体" w:cs="宋体"/>
          <w:sz w:val="24"/>
        </w:rPr>
        <w:t>亟需证券公司进行企业服务总线（</w:t>
      </w:r>
      <w:r>
        <w:rPr>
          <w:rFonts w:hint="eastAsia" w:ascii="Times New Roman" w:hAnsi="Times New Roman" w:eastAsia="Times New Roman" w:cs="Times New Roman"/>
          <w:sz w:val="24"/>
        </w:rPr>
        <w:t>ESB</w:t>
      </w:r>
      <w:r>
        <w:rPr>
          <w:rFonts w:hint="eastAsia" w:ascii="宋体" w:hAnsi="宋体" w:eastAsia="宋体" w:cs="宋体"/>
          <w:sz w:val="24"/>
        </w:rPr>
        <w:t>）的建设</w:t>
      </w:r>
      <w:r>
        <w:rPr>
          <w:rFonts w:hint="eastAsia" w:ascii="宋体" w:hAnsi="宋体" w:eastAsia="宋体" w:cs="宋体"/>
          <w:sz w:val="10"/>
        </w:rPr>
        <w:t>。</w:t>
      </w:r>
      <w:r>
        <w:rPr>
          <w:rFonts w:hint="eastAsia" w:ascii="Times New Roman" w:hAnsi="Times New Roman" w:eastAsia="Times New Roman" w:cs="Times New Roman"/>
          <w:sz w:val="24"/>
        </w:rPr>
        <w:t>ESB</w:t>
      </w:r>
      <w:r>
        <w:rPr>
          <w:rFonts w:hint="eastAsia" w:ascii="宋体" w:hAnsi="宋体" w:eastAsia="宋体" w:cs="宋体"/>
          <w:sz w:val="24"/>
        </w:rPr>
        <w:t xml:space="preserve"> 具有接口开放</w:t>
      </w:r>
      <w:r>
        <w:rPr>
          <w:rFonts w:hint="eastAsia" w:ascii="宋体" w:hAnsi="宋体" w:eastAsia="宋体" w:cs="宋体"/>
          <w:sz w:val="10"/>
        </w:rPr>
        <w:t>、</w:t>
      </w:r>
      <w:r>
        <w:rPr>
          <w:rFonts w:hint="eastAsia" w:ascii="宋体" w:hAnsi="宋体" w:eastAsia="宋体" w:cs="宋体"/>
          <w:sz w:val="24"/>
        </w:rPr>
        <w:t>业务可扩展</w:t>
      </w:r>
      <w:r>
        <w:rPr>
          <w:rFonts w:hint="eastAsia" w:ascii="宋体" w:hAnsi="宋体" w:eastAsia="宋体" w:cs="宋体"/>
          <w:sz w:val="10"/>
        </w:rPr>
        <w:t>、</w:t>
      </w:r>
      <w:r>
        <w:rPr>
          <w:rFonts w:hint="eastAsia" w:ascii="宋体" w:hAnsi="宋体" w:eastAsia="宋体" w:cs="宋体"/>
          <w:sz w:val="24"/>
        </w:rPr>
        <w:t>系统可维护等特性</w:t>
      </w:r>
      <w:r>
        <w:rPr>
          <w:rFonts w:hint="eastAsia" w:ascii="宋体" w:hAnsi="宋体" w:eastAsia="宋体" w:cs="宋体"/>
          <w:sz w:val="10"/>
        </w:rPr>
        <w:t>，</w:t>
      </w:r>
      <w:r>
        <w:rPr>
          <w:rFonts w:hint="eastAsia" w:ascii="宋体" w:hAnsi="宋体" w:eastAsia="宋体" w:cs="宋体"/>
          <w:sz w:val="24"/>
        </w:rPr>
        <w:t>可在性能</w:t>
      </w:r>
      <w:r>
        <w:rPr>
          <w:rFonts w:hint="eastAsia" w:ascii="宋体" w:hAnsi="宋体" w:eastAsia="宋体" w:cs="宋体"/>
          <w:sz w:val="10"/>
        </w:rPr>
        <w:t>、</w:t>
      </w:r>
      <w:r>
        <w:rPr>
          <w:rFonts w:hint="eastAsia" w:ascii="宋体" w:hAnsi="宋体" w:eastAsia="宋体" w:cs="宋体"/>
          <w:sz w:val="24"/>
        </w:rPr>
        <w:t>备份应急处理能力等方面满足客户的需求</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Times New Roman" w:hAnsi="Times New Roman" w:eastAsia="Times New Roman" w:cs="Times New Roman"/>
          <w:sz w:val="24"/>
        </w:rPr>
        <w:t>ESB</w:t>
      </w:r>
      <w:r>
        <w:rPr>
          <w:rFonts w:hint="eastAsia" w:ascii="宋体" w:hAnsi="宋体" w:eastAsia="宋体" w:cs="宋体"/>
          <w:sz w:val="24"/>
        </w:rPr>
        <w:t xml:space="preserve"> 平台能够实现集中交易系统</w:t>
      </w:r>
      <w:r>
        <w:rPr>
          <w:rFonts w:hint="eastAsia" w:ascii="宋体" w:hAnsi="宋体" w:eastAsia="宋体" w:cs="宋体"/>
          <w:sz w:val="10"/>
        </w:rPr>
        <w:t>、</w:t>
      </w:r>
      <w:r>
        <w:rPr>
          <w:rFonts w:hint="eastAsia" w:ascii="宋体" w:hAnsi="宋体" w:eastAsia="宋体" w:cs="宋体"/>
          <w:sz w:val="24"/>
        </w:rPr>
        <w:t>非现服务平台</w:t>
      </w:r>
      <w:r>
        <w:rPr>
          <w:rFonts w:hint="eastAsia" w:ascii="宋体" w:hAnsi="宋体" w:eastAsia="宋体" w:cs="宋体"/>
          <w:sz w:val="10"/>
        </w:rPr>
        <w:t>、</w:t>
      </w:r>
      <w:r>
        <w:rPr>
          <w:rFonts w:hint="eastAsia" w:ascii="Times New Roman" w:hAnsi="Times New Roman" w:eastAsia="Times New Roman" w:cs="Times New Roman"/>
          <w:sz w:val="24"/>
        </w:rPr>
        <w:t>CRM</w:t>
      </w:r>
      <w:r>
        <w:rPr>
          <w:rFonts w:hint="eastAsia" w:ascii="宋体" w:hAnsi="宋体" w:eastAsia="宋体" w:cs="宋体"/>
          <w:sz w:val="24"/>
        </w:rPr>
        <w:t xml:space="preserve"> 系统</w:t>
      </w:r>
      <w:r>
        <w:rPr>
          <w:rFonts w:hint="eastAsia" w:ascii="宋体" w:hAnsi="宋体" w:eastAsia="宋体" w:cs="宋体"/>
          <w:sz w:val="10"/>
        </w:rPr>
        <w:t>、</w:t>
      </w:r>
      <w:r>
        <w:rPr>
          <w:rFonts w:hint="eastAsia" w:ascii="宋体" w:hAnsi="宋体" w:eastAsia="宋体" w:cs="宋体"/>
          <w:sz w:val="24"/>
        </w:rPr>
        <w:t>统一认证</w:t>
      </w:r>
      <w:r>
        <w:rPr>
          <w:rFonts w:hint="eastAsia" w:ascii="宋体" w:hAnsi="宋体" w:eastAsia="宋体" w:cs="宋体"/>
          <w:sz w:val="10"/>
        </w:rPr>
        <w:t>、</w:t>
      </w:r>
      <w:r>
        <w:rPr>
          <w:rFonts w:hint="eastAsia" w:ascii="宋体" w:hAnsi="宋体" w:eastAsia="宋体" w:cs="宋体"/>
          <w:sz w:val="24"/>
        </w:rPr>
        <w:t>接入系统</w:t>
      </w:r>
      <w:r>
        <w:rPr>
          <w:rFonts w:hint="eastAsia" w:ascii="宋体" w:hAnsi="宋体" w:eastAsia="宋体" w:cs="宋体"/>
          <w:sz w:val="10"/>
        </w:rPr>
        <w:t>、</w:t>
      </w:r>
      <w:r>
        <w:rPr>
          <w:rFonts w:hint="eastAsia" w:ascii="宋体" w:hAnsi="宋体" w:eastAsia="宋体" w:cs="宋体"/>
          <w:sz w:val="24"/>
        </w:rPr>
        <w:t>综合账户体系</w:t>
      </w:r>
      <w:r>
        <w:rPr>
          <w:rFonts w:hint="eastAsia" w:ascii="宋体" w:hAnsi="宋体" w:eastAsia="宋体" w:cs="宋体"/>
          <w:sz w:val="10"/>
        </w:rPr>
        <w:t>、</w:t>
      </w:r>
      <w:r>
        <w:rPr>
          <w:rFonts w:hint="eastAsia" w:ascii="宋体" w:hAnsi="宋体" w:eastAsia="宋体" w:cs="宋体"/>
          <w:sz w:val="24"/>
        </w:rPr>
        <w:t>资金管理平台</w:t>
      </w:r>
      <w:r>
        <w:rPr>
          <w:rFonts w:hint="eastAsia" w:ascii="宋体" w:hAnsi="宋体" w:eastAsia="宋体" w:cs="宋体"/>
          <w:sz w:val="10"/>
        </w:rPr>
        <w:t>、</w:t>
      </w:r>
      <w:r>
        <w:rPr>
          <w:rFonts w:hint="eastAsia" w:ascii="宋体" w:hAnsi="宋体" w:eastAsia="宋体" w:cs="宋体"/>
          <w:sz w:val="24"/>
        </w:rPr>
        <w:t>支付平台以及与未来电商平台的对接</w:t>
      </w:r>
      <w:r>
        <w:rPr>
          <w:rFonts w:hint="eastAsia" w:ascii="宋体" w:hAnsi="宋体" w:eastAsia="宋体" w:cs="宋体"/>
          <w:sz w:val="10"/>
        </w:rPr>
        <w:t>，</w:t>
      </w:r>
      <w:r>
        <w:rPr>
          <w:rFonts w:hint="eastAsia" w:ascii="宋体" w:hAnsi="宋体" w:eastAsia="宋体" w:cs="宋体"/>
          <w:sz w:val="24"/>
        </w:rPr>
        <w:t>为面向技术</w:t>
      </w:r>
      <w:r>
        <w:rPr>
          <w:rFonts w:hint="eastAsia" w:ascii="宋体" w:hAnsi="宋体" w:eastAsia="宋体" w:cs="宋体"/>
          <w:sz w:val="10"/>
        </w:rPr>
        <w:t>、</w:t>
      </w:r>
      <w:r>
        <w:rPr>
          <w:rFonts w:hint="eastAsia" w:ascii="宋体" w:hAnsi="宋体" w:eastAsia="宋体" w:cs="宋体"/>
          <w:sz w:val="24"/>
        </w:rPr>
        <w:t>客户的统</w:t>
      </w:r>
      <w:r>
        <w:rPr>
          <w:rFonts w:hint="eastAsia" w:ascii="宋体" w:hAnsi="宋体" w:eastAsia="宋体" w:cs="宋体"/>
          <w:sz w:val="10"/>
        </w:rPr>
        <w:t>一</w:t>
      </w:r>
      <w:r>
        <w:rPr>
          <w:rFonts w:hint="eastAsia" w:ascii="宋体" w:hAnsi="宋体" w:eastAsia="宋体" w:cs="宋体"/>
          <w:sz w:val="24"/>
        </w:rPr>
        <w:t>接入与面向业务的各种业务系统接入提供统一、</w:t>
      </w:r>
      <w:r>
        <w:rPr>
          <w:rFonts w:hint="eastAsia" w:ascii="宋体" w:hAnsi="宋体" w:eastAsia="宋体" w:cs="宋体"/>
          <w:sz w:val="24"/>
        </w:rPr>
        <w:t>标准化的数据访问接口</w:t>
      </w:r>
      <w:r>
        <w:rPr>
          <w:rFonts w:hint="eastAsia" w:ascii="宋体" w:hAnsi="宋体" w:eastAsia="宋体" w:cs="宋体"/>
          <w:sz w:val="10"/>
        </w:rPr>
        <w:t>。</w:t>
      </w:r>
      <w:r>
        <w:rPr>
          <w:rFonts w:hint="eastAsia" w:ascii="宋体" w:hAnsi="宋体" w:eastAsia="宋体" w:cs="宋体"/>
          <w:sz w:val="24"/>
        </w:rPr>
        <w:t>通过</w:t>
      </w:r>
      <w:r>
        <w:rPr>
          <w:rFonts w:hint="eastAsia" w:ascii="Times New Roman" w:hAnsi="Times New Roman" w:eastAsia="Times New Roman" w:cs="Times New Roman"/>
          <w:sz w:val="24"/>
        </w:rPr>
        <w:t>ESB</w:t>
      </w:r>
      <w:r>
        <w:rPr>
          <w:rFonts w:hint="eastAsia" w:ascii="宋体" w:hAnsi="宋体" w:eastAsia="宋体" w:cs="宋体"/>
          <w:sz w:val="24"/>
        </w:rPr>
        <w:t xml:space="preserve"> 技术</w:t>
      </w:r>
      <w:r>
        <w:rPr>
          <w:rFonts w:hint="eastAsia" w:ascii="宋体" w:hAnsi="宋体" w:eastAsia="宋体" w:cs="宋体"/>
          <w:sz w:val="10"/>
        </w:rPr>
        <w:t>，</w:t>
      </w:r>
      <w:r>
        <w:rPr>
          <w:rFonts w:hint="eastAsia" w:ascii="宋体" w:hAnsi="宋体" w:eastAsia="宋体" w:cs="宋体"/>
          <w:sz w:val="24"/>
        </w:rPr>
        <w:t>可对现有信息技术系统的架构进行优化升级</w:t>
      </w:r>
      <w:r>
        <w:rPr>
          <w:rFonts w:hint="eastAsia" w:ascii="宋体" w:hAnsi="宋体" w:eastAsia="宋体" w:cs="宋体"/>
          <w:sz w:val="10"/>
        </w:rPr>
        <w:t>，</w:t>
      </w:r>
      <w:r>
        <w:rPr>
          <w:rFonts w:hint="eastAsia" w:ascii="宋体" w:hAnsi="宋体" w:eastAsia="宋体" w:cs="宋体"/>
          <w:sz w:val="24"/>
        </w:rPr>
        <w:t>在所有业务系统之间建设统一接入总线</w:t>
      </w:r>
      <w:r>
        <w:rPr>
          <w:rFonts w:hint="eastAsia" w:ascii="宋体" w:hAnsi="宋体" w:eastAsia="宋体" w:cs="宋体"/>
          <w:sz w:val="10"/>
        </w:rPr>
        <w:t>，</w:t>
      </w:r>
      <w:r>
        <w:rPr>
          <w:rFonts w:hint="eastAsia" w:ascii="宋体" w:hAnsi="宋体" w:eastAsia="宋体" w:cs="宋体"/>
          <w:sz w:val="24"/>
        </w:rPr>
        <w:t>各系统以松耦合形式进行对接与数据交换</w:t>
      </w:r>
      <w:r>
        <w:rPr>
          <w:rFonts w:hint="eastAsia" w:ascii="宋体" w:hAnsi="宋体" w:eastAsia="宋体" w:cs="宋体"/>
          <w:sz w:val="10"/>
        </w:rPr>
        <w:t>，</w:t>
      </w:r>
      <w:r>
        <w:rPr>
          <w:rFonts w:hint="eastAsia" w:ascii="宋体" w:hAnsi="宋体" w:eastAsia="宋体" w:cs="宋体"/>
          <w:sz w:val="24"/>
        </w:rPr>
        <w:t>使得各业务系统根据接入总线的数据接口标准</w:t>
      </w:r>
      <w:r>
        <w:rPr>
          <w:rFonts w:hint="eastAsia" w:ascii="宋体" w:hAnsi="宋体" w:eastAsia="宋体" w:cs="宋体"/>
          <w:sz w:val="10"/>
        </w:rPr>
        <w:t>，</w:t>
      </w:r>
      <w:r>
        <w:rPr>
          <w:rFonts w:hint="eastAsia" w:ascii="宋体" w:hAnsi="宋体" w:eastAsia="宋体" w:cs="宋体"/>
          <w:sz w:val="24"/>
        </w:rPr>
        <w:t>通过开发接口程序</w:t>
      </w:r>
      <w:r>
        <w:rPr>
          <w:rFonts w:hint="eastAsia" w:ascii="宋体" w:hAnsi="宋体" w:eastAsia="宋体" w:cs="宋体"/>
          <w:sz w:val="10"/>
        </w:rPr>
        <w:t>，</w:t>
      </w:r>
      <w:r>
        <w:rPr>
          <w:rFonts w:hint="eastAsia" w:ascii="宋体" w:hAnsi="宋体" w:eastAsia="宋体" w:cs="宋体"/>
          <w:sz w:val="24"/>
        </w:rPr>
        <w:t>实现公司内部全范围的信息数据标准化传递</w:t>
      </w:r>
      <w:r>
        <w:rPr>
          <w:rFonts w:hint="eastAsia" w:ascii="宋体" w:hAnsi="宋体" w:eastAsia="宋体" w:cs="宋体"/>
          <w:sz w:val="10"/>
        </w:rPr>
        <w:t>，</w:t>
      </w:r>
      <w:r>
        <w:rPr>
          <w:rFonts w:hint="eastAsia" w:ascii="宋体" w:hAnsi="宋体" w:eastAsia="宋体" w:cs="宋体"/>
          <w:sz w:val="24"/>
        </w:rPr>
        <w:t>彻底解决各系统间数据传递不同步</w:t>
      </w:r>
      <w:r>
        <w:rPr>
          <w:rFonts w:hint="eastAsia" w:ascii="宋体" w:hAnsi="宋体" w:eastAsia="宋体" w:cs="宋体"/>
          <w:sz w:val="10"/>
        </w:rPr>
        <w:t>、</w:t>
      </w:r>
      <w:r>
        <w:rPr>
          <w:rFonts w:hint="eastAsia" w:ascii="宋体" w:hAnsi="宋体" w:eastAsia="宋体" w:cs="宋体"/>
          <w:sz w:val="24"/>
        </w:rPr>
        <w:t>不准确的问题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ESB</w:t>
      </w:r>
      <w:r>
        <w:rPr>
          <w:rFonts w:hint="eastAsia" w:ascii="宋体" w:hAnsi="宋体" w:eastAsia="宋体" w:cs="宋体"/>
          <w:sz w:val="24"/>
        </w:rPr>
        <w:t xml:space="preserve"> 系统架构及功能实现后</w:t>
      </w:r>
      <w:r>
        <w:rPr>
          <w:rFonts w:hint="eastAsia" w:ascii="宋体" w:hAnsi="宋体" w:eastAsia="宋体" w:cs="宋体"/>
          <w:sz w:val="10"/>
        </w:rPr>
        <w:t>，</w:t>
      </w:r>
      <w:r>
        <w:rPr>
          <w:rFonts w:hint="eastAsia" w:ascii="宋体" w:hAnsi="宋体" w:eastAsia="宋体" w:cs="宋体"/>
          <w:sz w:val="24"/>
        </w:rPr>
        <w:t>将扭转之前以集中交易系统为核心的技术运行模式</w:t>
      </w:r>
      <w:r>
        <w:rPr>
          <w:rFonts w:hint="eastAsia" w:ascii="宋体" w:hAnsi="宋体" w:eastAsia="宋体" w:cs="宋体"/>
          <w:sz w:val="10"/>
        </w:rPr>
        <w:t>，</w:t>
      </w:r>
      <w:r>
        <w:rPr>
          <w:rFonts w:hint="eastAsia" w:ascii="宋体" w:hAnsi="宋体" w:eastAsia="宋体" w:cs="宋体"/>
          <w:sz w:val="24"/>
        </w:rPr>
        <w:t>将现货业务</w:t>
      </w:r>
      <w:r>
        <w:rPr>
          <w:rFonts w:hint="eastAsia" w:ascii="宋体" w:hAnsi="宋体" w:eastAsia="宋体" w:cs="宋体"/>
          <w:sz w:val="10"/>
        </w:rPr>
        <w:t>、</w:t>
      </w:r>
      <w:r>
        <w:rPr>
          <w:rFonts w:hint="eastAsia" w:ascii="宋体" w:hAnsi="宋体" w:eastAsia="宋体" w:cs="宋体"/>
          <w:sz w:val="24"/>
        </w:rPr>
        <w:t>信用业务</w:t>
      </w:r>
      <w:r>
        <w:rPr>
          <w:rFonts w:hint="eastAsia" w:ascii="宋体" w:hAnsi="宋体" w:eastAsia="宋体" w:cs="宋体"/>
          <w:sz w:val="10"/>
        </w:rPr>
        <w:t>、</w:t>
      </w:r>
      <w:r>
        <w:rPr>
          <w:rFonts w:hint="eastAsia" w:ascii="宋体" w:hAnsi="宋体" w:eastAsia="宋体" w:cs="宋体"/>
          <w:sz w:val="24"/>
        </w:rPr>
        <w:t>代销业务</w:t>
      </w:r>
      <w:r>
        <w:rPr>
          <w:rFonts w:hint="eastAsia" w:ascii="宋体" w:hAnsi="宋体" w:eastAsia="宋体" w:cs="宋体"/>
          <w:sz w:val="10"/>
        </w:rPr>
        <w:t>、</w:t>
      </w:r>
      <w:r>
        <w:rPr>
          <w:rFonts w:hint="eastAsia" w:ascii="Times New Roman" w:hAnsi="Times New Roman" w:eastAsia="Times New Roman" w:cs="Times New Roman"/>
          <w:sz w:val="24"/>
        </w:rPr>
        <w:t>IB</w:t>
      </w:r>
      <w:r>
        <w:rPr>
          <w:rFonts w:hint="eastAsia" w:ascii="宋体" w:hAnsi="宋体" w:eastAsia="宋体" w:cs="宋体"/>
          <w:sz w:val="24"/>
        </w:rPr>
        <w:t xml:space="preserve"> 业务</w:t>
      </w:r>
      <w:r>
        <w:rPr>
          <w:rFonts w:hint="eastAsia" w:ascii="宋体" w:hAnsi="宋体" w:eastAsia="宋体" w:cs="宋体"/>
          <w:sz w:val="10"/>
        </w:rPr>
        <w:t>、</w:t>
      </w:r>
      <w:r>
        <w:rPr>
          <w:rFonts w:hint="eastAsia" w:ascii="Times New Roman" w:hAnsi="Times New Roman" w:eastAsia="Times New Roman" w:cs="Times New Roman"/>
          <w:sz w:val="24"/>
        </w:rPr>
        <w:t>OTC</w:t>
      </w:r>
      <w:r>
        <w:rPr>
          <w:rFonts w:hint="eastAsia" w:ascii="宋体" w:hAnsi="宋体" w:eastAsia="宋体" w:cs="宋体"/>
          <w:sz w:val="24"/>
        </w:rPr>
        <w:t xml:space="preserve"> 业务</w:t>
      </w:r>
      <w:r>
        <w:rPr>
          <w:rFonts w:hint="eastAsia" w:ascii="宋体" w:hAnsi="宋体" w:eastAsia="宋体" w:cs="宋体"/>
          <w:sz w:val="10"/>
        </w:rPr>
        <w:t>、</w:t>
      </w:r>
      <w:r>
        <w:rPr>
          <w:rFonts w:hint="eastAsia" w:ascii="宋体" w:hAnsi="宋体" w:eastAsia="宋体" w:cs="宋体"/>
          <w:sz w:val="24"/>
        </w:rPr>
        <w:t>资管业务等各类业务进行统一管理</w:t>
      </w:r>
      <w:r>
        <w:rPr>
          <w:rFonts w:hint="eastAsia" w:ascii="宋体" w:hAnsi="宋体" w:eastAsia="宋体" w:cs="宋体"/>
          <w:sz w:val="10"/>
        </w:rPr>
        <w:t>，</w:t>
      </w:r>
      <w:r>
        <w:rPr>
          <w:rFonts w:hint="eastAsia" w:ascii="宋体" w:hAnsi="宋体" w:eastAsia="宋体" w:cs="宋体"/>
          <w:sz w:val="24"/>
        </w:rPr>
        <w:t>为证券公司创新业务的系统开发预留结构清晰的接入空间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以上仅为基于当前互联网金融发展阶段的证券公司系统</w:t>
      </w:r>
      <w:r>
        <w:rPr>
          <w:rFonts w:hint="eastAsia" w:ascii="宋体" w:hAnsi="宋体" w:eastAsia="宋体" w:cs="宋体"/>
          <w:sz w:val="10"/>
        </w:rPr>
        <w:t>、</w:t>
      </w:r>
      <w:r>
        <w:rPr>
          <w:rFonts w:hint="eastAsia" w:ascii="宋体" w:hAnsi="宋体" w:eastAsia="宋体" w:cs="宋体"/>
          <w:sz w:val="24"/>
        </w:rPr>
        <w:t>平台的改进探索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00"/>
        <w:jc w:val="both"/>
      </w:pPr>
      <w:r>
        <w:rPr>
          <w:rFonts w:hint="eastAsia" w:ascii="宋体" w:hAnsi="宋体" w:eastAsia="宋体" w:cs="宋体"/>
          <w:sz w:val="24"/>
        </w:rPr>
        <w:t>之后随着互联网金融的进一步发展</w:t>
      </w:r>
      <w:r>
        <w:rPr>
          <w:rFonts w:hint="eastAsia" w:ascii="宋体" w:hAnsi="宋体" w:eastAsia="宋体" w:cs="宋体"/>
          <w:sz w:val="10"/>
        </w:rPr>
        <w:t>，</w:t>
      </w:r>
      <w:r>
        <w:rPr>
          <w:rFonts w:hint="eastAsia" w:ascii="宋体" w:hAnsi="宋体" w:eastAsia="宋体" w:cs="宋体"/>
          <w:sz w:val="24"/>
        </w:rPr>
        <w:t>证券公司需要根据形势</w:t>
      </w:r>
      <w:r>
        <w:rPr>
          <w:rFonts w:hint="eastAsia" w:ascii="宋体" w:hAnsi="宋体" w:eastAsia="宋体" w:cs="宋体"/>
          <w:sz w:val="10"/>
        </w:rPr>
        <w:t>，</w:t>
      </w:r>
      <w:r>
        <w:rPr>
          <w:rFonts w:hint="eastAsia" w:ascii="宋体" w:hAnsi="宋体" w:eastAsia="宋体" w:cs="宋体"/>
          <w:sz w:val="24"/>
        </w:rPr>
        <w:t>以最快的反应速度更新和升级前</w:t>
      </w:r>
      <w:r>
        <w:rPr>
          <w:rFonts w:hint="eastAsia" w:ascii="宋体" w:hAnsi="宋体" w:eastAsia="宋体" w:cs="宋体"/>
          <w:sz w:val="10"/>
        </w:rPr>
        <w:t>、</w:t>
      </w:r>
      <w:r>
        <w:rPr>
          <w:rFonts w:hint="eastAsia" w:ascii="宋体" w:hAnsi="宋体" w:eastAsia="宋体" w:cs="宋体"/>
          <w:sz w:val="24"/>
        </w:rPr>
        <w:t>中</w:t>
      </w:r>
      <w:r>
        <w:rPr>
          <w:rFonts w:hint="eastAsia" w:ascii="宋体" w:hAnsi="宋体" w:eastAsia="宋体" w:cs="宋体"/>
          <w:sz w:val="10"/>
        </w:rPr>
        <w:t>、</w:t>
      </w:r>
      <w:r>
        <w:rPr>
          <w:rFonts w:hint="eastAsia" w:ascii="宋体" w:hAnsi="宋体" w:eastAsia="宋体" w:cs="宋体"/>
          <w:sz w:val="24"/>
        </w:rPr>
        <w:t>后台管理系统</w:t>
      </w:r>
      <w:r>
        <w:rPr>
          <w:rFonts w:hint="eastAsia" w:ascii="宋体" w:hAnsi="宋体" w:eastAsia="宋体" w:cs="宋体"/>
          <w:sz w:val="10"/>
        </w:rPr>
        <w:t>，</w:t>
      </w:r>
      <w:r>
        <w:rPr>
          <w:rFonts w:hint="eastAsia" w:ascii="宋体" w:hAnsi="宋体" w:eastAsia="宋体" w:cs="宋体"/>
          <w:sz w:val="24"/>
        </w:rPr>
        <w:t>从而实现与互联网及互联网金融发展并驾齐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1-1-123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驱的高速发展</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互联网金融的发展</w:t>
      </w:r>
      <w:r>
        <w:rPr>
          <w:rFonts w:hint="eastAsia" w:ascii="宋体" w:hAnsi="宋体" w:eastAsia="宋体" w:cs="宋体"/>
          <w:sz w:val="10"/>
        </w:rPr>
        <w:t>，</w:t>
      </w:r>
      <w:r>
        <w:rPr>
          <w:rFonts w:hint="eastAsia" w:ascii="宋体" w:hAnsi="宋体" w:eastAsia="宋体" w:cs="宋体"/>
          <w:sz w:val="24"/>
        </w:rPr>
        <w:t>需要证券公司的软件供应商具有基于平台化开发工具开发新系统</w:t>
      </w:r>
      <w:r>
        <w:rPr>
          <w:rFonts w:hint="eastAsia" w:ascii="宋体" w:hAnsi="宋体" w:eastAsia="宋体" w:cs="宋体"/>
          <w:sz w:val="10"/>
        </w:rPr>
        <w:t>、</w:t>
      </w:r>
      <w:r>
        <w:rPr>
          <w:rFonts w:hint="eastAsia" w:ascii="宋体" w:hAnsi="宋体" w:eastAsia="宋体" w:cs="宋体"/>
          <w:sz w:val="24"/>
        </w:rPr>
        <w:t>新软件的能力</w:t>
      </w:r>
      <w:r>
        <w:rPr>
          <w:rFonts w:hint="eastAsia" w:ascii="宋体" w:hAnsi="宋体" w:eastAsia="宋体" w:cs="宋体"/>
          <w:sz w:val="10"/>
        </w:rPr>
        <w:t>，</w:t>
      </w:r>
      <w:r>
        <w:rPr>
          <w:rFonts w:hint="eastAsia" w:ascii="宋体" w:hAnsi="宋体" w:eastAsia="宋体" w:cs="宋体"/>
          <w:sz w:val="24"/>
        </w:rPr>
        <w:t>固守封闭式系统以及围绕单个产品的迭代与更新</w:t>
      </w:r>
      <w:r>
        <w:rPr>
          <w:rFonts w:hint="eastAsia" w:ascii="宋体" w:hAnsi="宋体" w:eastAsia="宋体" w:cs="宋体"/>
          <w:sz w:val="10"/>
        </w:rPr>
        <w:t>，</w:t>
      </w:r>
      <w:r>
        <w:rPr>
          <w:rFonts w:hint="eastAsia" w:ascii="宋体" w:hAnsi="宋体" w:eastAsia="宋体" w:cs="宋体"/>
          <w:sz w:val="24"/>
        </w:rPr>
        <w:t>都将对证券公司及其软件提供商产生不利影响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（五）行业竞争情况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行业市场化程度</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金融行业信息化领域的市场化程度较高</w:t>
      </w:r>
      <w:r>
        <w:rPr>
          <w:rFonts w:hint="eastAsia" w:ascii="宋体" w:hAnsi="宋体" w:eastAsia="宋体" w:cs="宋体"/>
          <w:sz w:val="10"/>
        </w:rPr>
        <w:t>，</w:t>
      </w:r>
      <w:r>
        <w:rPr>
          <w:rFonts w:hint="eastAsia" w:ascii="宋体" w:hAnsi="宋体" w:eastAsia="宋体" w:cs="宋体"/>
          <w:sz w:val="24"/>
        </w:rPr>
        <w:t>基于公司架构和业务系统的复杂程度</w:t>
      </w:r>
      <w:r>
        <w:rPr>
          <w:rFonts w:hint="eastAsia" w:ascii="宋体" w:hAnsi="宋体" w:eastAsia="宋体" w:cs="宋体"/>
          <w:sz w:val="10"/>
        </w:rPr>
        <w:t>，</w:t>
      </w:r>
      <w:r>
        <w:rPr>
          <w:rFonts w:hint="eastAsia" w:ascii="宋体" w:hAnsi="宋体" w:eastAsia="宋体" w:cs="宋体"/>
          <w:sz w:val="24"/>
        </w:rPr>
        <w:t>金融机构选择供应商及其产品的因素主要是其产品和服务的质量</w:t>
      </w:r>
      <w:r>
        <w:rPr>
          <w:rFonts w:hint="eastAsia" w:ascii="宋体" w:hAnsi="宋体" w:eastAsia="宋体" w:cs="宋体"/>
          <w:sz w:val="10"/>
        </w:rPr>
        <w:t>，</w:t>
      </w:r>
      <w:r>
        <w:rPr>
          <w:rFonts w:hint="eastAsia" w:ascii="宋体" w:hAnsi="宋体" w:eastAsia="宋体" w:cs="宋体"/>
          <w:sz w:val="24"/>
        </w:rPr>
        <w:t>以及长期合作的粘滞性</w:t>
      </w:r>
      <w:r>
        <w:rPr>
          <w:rFonts w:hint="eastAsia" w:ascii="宋体" w:hAnsi="宋体" w:eastAsia="宋体" w:cs="宋体"/>
          <w:sz w:val="10"/>
        </w:rPr>
        <w:t>。</w:t>
      </w:r>
      <w:r>
        <w:rPr>
          <w:rFonts w:hint="eastAsia" w:ascii="宋体" w:hAnsi="宋体" w:eastAsia="宋体" w:cs="宋体"/>
          <w:sz w:val="24"/>
        </w:rPr>
        <w:t>如果产品能够以最小的成本及最快的反应速度适应新形势的变化</w:t>
      </w:r>
      <w:r>
        <w:rPr>
          <w:rFonts w:hint="eastAsia" w:ascii="宋体" w:hAnsi="宋体" w:eastAsia="宋体" w:cs="宋体"/>
          <w:sz w:val="10"/>
        </w:rPr>
        <w:t>，</w:t>
      </w:r>
      <w:r>
        <w:rPr>
          <w:rFonts w:hint="eastAsia" w:ascii="宋体" w:hAnsi="宋体" w:eastAsia="宋体" w:cs="宋体"/>
          <w:sz w:val="24"/>
        </w:rPr>
        <w:t>软件供应商将有可能取得更大的市场份额</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行业竞争格局</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证券公司的管理系统和应用软件主要分为基础运营支持系统</w:t>
      </w:r>
      <w:r>
        <w:rPr>
          <w:rFonts w:hint="eastAsia" w:ascii="宋体" w:hAnsi="宋体" w:eastAsia="宋体" w:cs="宋体"/>
          <w:sz w:val="10"/>
        </w:rPr>
        <w:t>、</w:t>
      </w:r>
      <w:r>
        <w:rPr>
          <w:rFonts w:hint="eastAsia" w:ascii="宋体" w:hAnsi="宋体" w:eastAsia="宋体" w:cs="宋体"/>
          <w:sz w:val="24"/>
        </w:rPr>
        <w:t>营销服务流程管理系统和其他管理类软件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）基础运营支持系统应用领域</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2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公司基础运营支持系统（即大规模集中交易</w:t>
      </w:r>
      <w:r>
        <w:rPr>
          <w:rFonts w:hint="eastAsia" w:ascii="宋体" w:hAnsi="宋体" w:eastAsia="宋体" w:cs="宋体"/>
          <w:sz w:val="10"/>
        </w:rPr>
        <w:t>、</w:t>
      </w:r>
      <w:r>
        <w:rPr>
          <w:rFonts w:hint="eastAsia" w:ascii="宋体" w:hAnsi="宋体" w:eastAsia="宋体" w:cs="宋体"/>
          <w:sz w:val="24"/>
        </w:rPr>
        <w:t>快速内存交易及配套系统）应用于国内</w:t>
      </w:r>
      <w:r>
        <w:rPr>
          <w:rFonts w:hint="eastAsia" w:ascii="Times New Roman" w:hAnsi="Times New Roman" w:eastAsia="Times New Roman" w:cs="Times New Roman"/>
          <w:sz w:val="24"/>
        </w:rPr>
        <w:t xml:space="preserve"> 38</w:t>
      </w:r>
      <w:r>
        <w:rPr>
          <w:rFonts w:hint="eastAsia" w:ascii="宋体" w:hAnsi="宋体" w:eastAsia="宋体" w:cs="宋体"/>
          <w:sz w:val="24"/>
        </w:rPr>
        <w:t xml:space="preserve"> 家证券公司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由于集中交易系统对稳定性</w:t>
      </w:r>
      <w:r>
        <w:rPr>
          <w:rFonts w:hint="eastAsia" w:ascii="宋体" w:hAnsi="宋体" w:eastAsia="宋体" w:cs="宋体"/>
          <w:sz w:val="10"/>
        </w:rPr>
        <w:t>、</w:t>
      </w:r>
      <w:r>
        <w:rPr>
          <w:rFonts w:hint="eastAsia" w:ascii="宋体" w:hAnsi="宋体" w:eastAsia="宋体" w:cs="宋体"/>
          <w:sz w:val="24"/>
        </w:rPr>
        <w:t>安全性的要求比较高</w:t>
      </w:r>
      <w:r>
        <w:rPr>
          <w:rFonts w:hint="eastAsia" w:ascii="宋体" w:hAnsi="宋体" w:eastAsia="宋体" w:cs="宋体"/>
          <w:sz w:val="10"/>
        </w:rPr>
        <w:t>，</w:t>
      </w:r>
      <w:r>
        <w:rPr>
          <w:rFonts w:hint="eastAsia" w:ascii="宋体" w:hAnsi="宋体" w:eastAsia="宋体" w:cs="宋体"/>
          <w:sz w:val="24"/>
        </w:rPr>
        <w:t>同时考虑到投资者对交易系统的习惯和偏好</w:t>
      </w:r>
      <w:r>
        <w:rPr>
          <w:rFonts w:hint="eastAsia" w:ascii="宋体" w:hAnsi="宋体" w:eastAsia="宋体" w:cs="宋体"/>
          <w:sz w:val="10"/>
        </w:rPr>
        <w:t>，</w:t>
      </w:r>
      <w:r>
        <w:rPr>
          <w:rFonts w:hint="eastAsia" w:ascii="宋体" w:hAnsi="宋体" w:eastAsia="宋体" w:cs="宋体"/>
          <w:sz w:val="24"/>
        </w:rPr>
        <w:t>集中交易系统的替换成本比较高</w:t>
      </w:r>
      <w:r>
        <w:rPr>
          <w:rFonts w:hint="eastAsia" w:ascii="宋体" w:hAnsi="宋体" w:eastAsia="宋体" w:cs="宋体"/>
          <w:sz w:val="10"/>
        </w:rPr>
        <w:t>，</w:t>
      </w:r>
      <w:r>
        <w:rPr>
          <w:rFonts w:hint="eastAsia" w:ascii="宋体" w:hAnsi="宋体" w:eastAsia="宋体" w:cs="宋体"/>
          <w:sz w:val="24"/>
        </w:rPr>
        <w:t>黏性也比较大</w:t>
      </w:r>
      <w:r>
        <w:rPr>
          <w:rFonts w:hint="eastAsia" w:ascii="宋体" w:hAnsi="宋体" w:eastAsia="宋体" w:cs="宋体"/>
          <w:sz w:val="10"/>
        </w:rPr>
        <w:t>，</w:t>
      </w:r>
      <w:r>
        <w:rPr>
          <w:rFonts w:hint="eastAsia" w:ascii="宋体" w:hAnsi="宋体" w:eastAsia="宋体" w:cs="宋体"/>
          <w:sz w:val="24"/>
        </w:rPr>
        <w:t>在一般情况下</w:t>
      </w:r>
      <w:r>
        <w:rPr>
          <w:rFonts w:hint="eastAsia" w:ascii="宋体" w:hAnsi="宋体" w:eastAsia="宋体" w:cs="宋体"/>
          <w:sz w:val="10"/>
        </w:rPr>
        <w:t>，</w:t>
      </w:r>
      <w:r>
        <w:rPr>
          <w:rFonts w:hint="eastAsia" w:ascii="宋体" w:hAnsi="宋体" w:eastAsia="宋体" w:cs="宋体"/>
          <w:sz w:val="24"/>
        </w:rPr>
        <w:t>证券公司不会轻易更换基础交易系统</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集中交易系统的市场份额相对稳定</w:t>
      </w:r>
      <w:r>
        <w:rPr>
          <w:rFonts w:hint="eastAsia" w:ascii="宋体" w:hAnsi="宋体" w:eastAsia="宋体" w:cs="宋体"/>
          <w:sz w:val="10"/>
        </w:rPr>
        <w:t>。</w:t>
      </w:r>
      <w:r>
        <w:rPr>
          <w:rFonts w:hint="eastAsia" w:ascii="宋体" w:hAnsi="宋体" w:eastAsia="宋体" w:cs="宋体"/>
          <w:sz w:val="24"/>
        </w:rPr>
        <w:t>另外</w:t>
      </w:r>
      <w:r>
        <w:rPr>
          <w:rFonts w:hint="eastAsia" w:ascii="宋体" w:hAnsi="宋体" w:eastAsia="宋体" w:cs="宋体"/>
          <w:sz w:val="10"/>
        </w:rPr>
        <w:t>，</w:t>
      </w:r>
      <w:r>
        <w:rPr>
          <w:rFonts w:hint="eastAsia" w:ascii="宋体" w:hAnsi="宋体" w:eastAsia="宋体" w:cs="宋体"/>
          <w:sz w:val="24"/>
        </w:rPr>
        <w:t>由于全国绝大部分证券公司已实现全国性的集中交易</w:t>
      </w:r>
      <w:r>
        <w:rPr>
          <w:rFonts w:hint="eastAsia" w:ascii="宋体" w:hAnsi="宋体" w:eastAsia="宋体" w:cs="宋体"/>
          <w:sz w:val="10"/>
        </w:rPr>
        <w:t>，</w:t>
      </w:r>
      <w:r>
        <w:rPr>
          <w:rFonts w:hint="eastAsia" w:ascii="宋体" w:hAnsi="宋体" w:eastAsia="宋体" w:cs="宋体"/>
          <w:sz w:val="24"/>
        </w:rPr>
        <w:t>软件提供商在集中交易系统方面的收入主要来自于该系统的运营维护和系统升级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）营销服务流程管理系统应用领域</w:t>
      </w:r>
    </w:p>
    <w:p>
      <w:pPr>
        <w:spacing w:line="200" w:lineRule="exact"/>
        <w:rPr>
          <w:rFonts w:hint="eastAsia" w:ascii="宋体" w:hAnsi="宋体" w:eastAsia="宋体" w:cs="宋体"/>
          <w:sz w:val="20"/>
        </w:rPr>
      </w:pPr>
    </w:p>
    <w:p>
      <w:pPr>
        <w:autoSpaceDE w:val="false"/>
        <w:autoSpaceDN w:val="false"/>
        <w:spacing w:line="440" w:lineRule="exact"/>
        <w:ind w:left="1800" w:right="1640" w:firstLine="480"/>
        <w:jc w:val="both"/>
      </w:pPr>
      <w:r>
        <w:rPr>
          <w:rFonts w:hint="eastAsia" w:ascii="宋体" w:hAnsi="宋体" w:eastAsia="宋体" w:cs="宋体"/>
          <w:sz w:val="24"/>
        </w:rPr>
        <w:t>营销服务流程管理系统包括客户管理系统</w:t>
      </w:r>
      <w:r>
        <w:rPr>
          <w:rFonts w:hint="eastAsia" w:ascii="宋体" w:hAnsi="宋体" w:eastAsia="宋体" w:cs="宋体"/>
          <w:sz w:val="10"/>
        </w:rPr>
        <w:t>、</w:t>
      </w:r>
      <w:r>
        <w:rPr>
          <w:rFonts w:hint="eastAsia" w:ascii="宋体" w:hAnsi="宋体" w:eastAsia="宋体" w:cs="宋体"/>
          <w:sz w:val="24"/>
        </w:rPr>
        <w:t>营销管理系统</w:t>
      </w:r>
      <w:r>
        <w:rPr>
          <w:rFonts w:hint="eastAsia" w:ascii="宋体" w:hAnsi="宋体" w:eastAsia="宋体" w:cs="宋体"/>
          <w:sz w:val="10"/>
        </w:rPr>
        <w:t>、</w:t>
      </w:r>
      <w:r>
        <w:rPr>
          <w:rFonts w:hint="eastAsia" w:ascii="宋体" w:hAnsi="宋体" w:eastAsia="宋体" w:cs="宋体"/>
          <w:sz w:val="24"/>
        </w:rPr>
        <w:t>经纪人管理系统</w:t>
      </w:r>
      <w:r>
        <w:rPr>
          <w:rFonts w:hint="eastAsia" w:ascii="宋体" w:hAnsi="宋体" w:eastAsia="宋体" w:cs="宋体"/>
          <w:sz w:val="10"/>
        </w:rPr>
        <w:t>、</w:t>
      </w:r>
      <w:r>
        <w:rPr>
          <w:rFonts w:hint="eastAsia" w:ascii="宋体" w:hAnsi="宋体" w:eastAsia="宋体" w:cs="宋体"/>
          <w:sz w:val="24"/>
        </w:rPr>
        <w:t>投资顾问业务支持系统</w:t>
      </w:r>
      <w:r>
        <w:rPr>
          <w:rFonts w:hint="eastAsia" w:ascii="宋体" w:hAnsi="宋体" w:eastAsia="宋体" w:cs="宋体"/>
          <w:sz w:val="10"/>
        </w:rPr>
        <w:t>、</w:t>
      </w:r>
      <w:r>
        <w:rPr>
          <w:rFonts w:hint="eastAsia" w:ascii="宋体" w:hAnsi="宋体" w:eastAsia="宋体" w:cs="宋体"/>
          <w:sz w:val="24"/>
        </w:rPr>
        <w:t>财富管理系统及各类营销服务工作平台及展业工具等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00"/>
        <w:jc w:val="both"/>
      </w:pPr>
      <w:r>
        <w:rPr>
          <w:rFonts w:hint="eastAsia" w:ascii="宋体" w:hAnsi="宋体" w:eastAsia="宋体" w:cs="宋体"/>
          <w:sz w:val="24"/>
        </w:rPr>
        <w:t>由于经纪业务正处于由通道交易服务向投资咨询业务过渡阶段</w:t>
      </w:r>
      <w:r>
        <w:rPr>
          <w:rFonts w:hint="eastAsia" w:ascii="宋体" w:hAnsi="宋体" w:eastAsia="宋体" w:cs="宋体"/>
          <w:sz w:val="10"/>
        </w:rPr>
        <w:t>，</w:t>
      </w:r>
      <w:r>
        <w:rPr>
          <w:rFonts w:hint="eastAsia" w:ascii="宋体" w:hAnsi="宋体" w:eastAsia="宋体" w:cs="宋体"/>
          <w:sz w:val="24"/>
        </w:rPr>
        <w:t>证券行业在营销服务流程管理系统方面的投入持续增长</w:t>
      </w:r>
      <w:r>
        <w:rPr>
          <w:rFonts w:hint="eastAsia" w:ascii="宋体" w:hAnsi="宋体" w:eastAsia="宋体" w:cs="宋体"/>
          <w:sz w:val="10"/>
        </w:rPr>
        <w:t>，</w:t>
      </w:r>
      <w:r>
        <w:rPr>
          <w:rFonts w:hint="eastAsia" w:ascii="宋体" w:hAnsi="宋体" w:eastAsia="宋体" w:cs="宋体"/>
          <w:sz w:val="24"/>
        </w:rPr>
        <w:t>覆盖全业务流程的一体化营销服务流程</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1-1-124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管理信息化系统将为越来越多的证券公司和期货公司所使用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firstLine="480"/>
        <w:jc w:val="both"/>
      </w:pPr>
      <w:r>
        <w:rPr>
          <w:rFonts w:hint="eastAsia" w:ascii="宋体" w:hAnsi="宋体" w:eastAsia="宋体" w:cs="宋体"/>
          <w:sz w:val="24"/>
        </w:rPr>
        <w:t>在证券公司营销服务流程管理系统应用领域</w:t>
      </w:r>
      <w:r>
        <w:rPr>
          <w:rFonts w:hint="eastAsia" w:ascii="宋体" w:hAnsi="宋体" w:eastAsia="宋体" w:cs="宋体"/>
          <w:sz w:val="10"/>
        </w:rPr>
        <w:t>，</w:t>
      </w:r>
      <w:r>
        <w:rPr>
          <w:rFonts w:hint="eastAsia" w:ascii="宋体" w:hAnsi="宋体" w:eastAsia="宋体" w:cs="宋体"/>
          <w:sz w:val="24"/>
        </w:rPr>
        <w:t>主要软件提供商包括本公司</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恒生电子等</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公司在证券公司营销服务流程管理系统领域的客户达</w:t>
      </w:r>
      <w:r>
        <w:rPr>
          <w:rFonts w:hint="eastAsia" w:ascii="Times New Roman" w:hAnsi="Times New Roman" w:eastAsia="Times New Roman" w:cs="Times New Roman"/>
          <w:sz w:val="24"/>
        </w:rPr>
        <w:t xml:space="preserve"> 71</w:t>
      </w:r>
      <w:r>
        <w:rPr>
          <w:rFonts w:hint="eastAsia" w:ascii="宋体" w:hAnsi="宋体" w:eastAsia="宋体" w:cs="宋体"/>
          <w:sz w:val="24"/>
        </w:rPr>
        <w:t xml:space="preserve"> 家</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）其他管理类软件</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其他管理类软件包括人力资源管理系统（</w:t>
      </w:r>
      <w:r>
        <w:rPr>
          <w:rFonts w:hint="eastAsia" w:ascii="Times New Roman" w:hAnsi="Times New Roman" w:eastAsia="Times New Roman" w:cs="Times New Roman"/>
          <w:sz w:val="24"/>
        </w:rPr>
        <w:t>HR</w:t>
      </w:r>
      <w:r>
        <w:rPr>
          <w:rFonts w:hint="eastAsia" w:ascii="宋体" w:hAnsi="宋体" w:eastAsia="宋体" w:cs="宋体"/>
          <w:sz w:val="24"/>
        </w:rPr>
        <w:t>）、</w:t>
      </w:r>
      <w:r>
        <w:rPr>
          <w:rFonts w:hint="eastAsia" w:ascii="宋体" w:hAnsi="宋体" w:eastAsia="宋体" w:cs="宋体"/>
          <w:sz w:val="24"/>
        </w:rPr>
        <w:t>办公自动化管理系统（</w:t>
      </w:r>
      <w:r>
        <w:rPr>
          <w:rFonts w:hint="eastAsia" w:ascii="Times New Roman" w:hAnsi="Times New Roman" w:eastAsia="Times New Roman" w:cs="Times New Roman"/>
          <w:sz w:val="24"/>
        </w:rPr>
        <w:t>OA</w:t>
      </w:r>
      <w:r>
        <w:rPr>
          <w:rFonts w:hint="eastAsia" w:ascii="宋体" w:hAnsi="宋体" w:eastAsia="宋体" w:cs="宋体"/>
          <w:sz w:val="24"/>
        </w:rPr>
        <w:t>）、</w:t>
      </w:r>
      <w:r>
        <w:rPr>
          <w:rFonts w:hint="eastAsia" w:ascii="宋体" w:hAnsi="宋体" w:eastAsia="宋体" w:cs="宋体"/>
          <w:sz w:val="24"/>
        </w:rPr>
        <w:t>合规管理系统</w:t>
      </w:r>
      <w:r>
        <w:rPr>
          <w:rFonts w:hint="eastAsia" w:ascii="宋体" w:hAnsi="宋体" w:eastAsia="宋体" w:cs="宋体"/>
          <w:sz w:val="10"/>
        </w:rPr>
        <w:t>、</w:t>
      </w:r>
      <w:r>
        <w:rPr>
          <w:rFonts w:hint="eastAsia" w:ascii="宋体" w:hAnsi="宋体" w:eastAsia="宋体" w:cs="宋体"/>
          <w:sz w:val="24"/>
        </w:rPr>
        <w:t>风险及内控系统等</w:t>
      </w:r>
      <w:r>
        <w:rPr>
          <w:rFonts w:hint="eastAsia" w:ascii="宋体" w:hAnsi="宋体" w:eastAsia="宋体" w:cs="宋体"/>
          <w:sz w:val="10"/>
        </w:rPr>
        <w:t>。</w:t>
      </w:r>
      <w:r>
        <w:rPr>
          <w:rFonts w:hint="eastAsia" w:ascii="宋体" w:hAnsi="宋体" w:eastAsia="宋体" w:cs="宋体"/>
          <w:sz w:val="24"/>
        </w:rPr>
        <w:t>该应用领域参与的软件公司较多</w:t>
      </w:r>
      <w:r>
        <w:rPr>
          <w:rFonts w:hint="eastAsia" w:ascii="宋体" w:hAnsi="宋体" w:eastAsia="宋体" w:cs="宋体"/>
          <w:sz w:val="10"/>
        </w:rPr>
        <w:t>，</w:t>
      </w:r>
      <w:r>
        <w:rPr>
          <w:rFonts w:hint="eastAsia" w:ascii="宋体" w:hAnsi="宋体" w:eastAsia="宋体" w:cs="宋体"/>
          <w:sz w:val="24"/>
        </w:rPr>
        <w:t>产品种类也很多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进入本公司所处细分行业的主要障碍</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）行业技术壁垒</w:t>
      </w:r>
    </w:p>
    <w:p>
      <w:pPr>
        <w:spacing w:line="200" w:lineRule="exact"/>
        <w:rPr>
          <w:rFonts w:hint="eastAsia" w:ascii="宋体" w:hAnsi="宋体" w:eastAsia="宋体" w:cs="宋体"/>
          <w:sz w:val="20"/>
        </w:rPr>
      </w:pPr>
    </w:p>
    <w:p>
      <w:pPr>
        <w:autoSpaceDE w:val="false"/>
        <w:autoSpaceDN w:val="false"/>
        <w:spacing w:line="460" w:lineRule="exact"/>
        <w:ind w:left="1800" w:right="1580" w:firstLine="480"/>
        <w:jc w:val="both"/>
      </w:pPr>
      <w:r>
        <w:rPr>
          <w:rFonts w:hint="eastAsia" w:ascii="宋体" w:hAnsi="宋体" w:eastAsia="宋体" w:cs="宋体"/>
          <w:sz w:val="24"/>
        </w:rPr>
        <w:t>金融行业信息化领域具有典型的技术密集型特点</w:t>
      </w:r>
      <w:r>
        <w:rPr>
          <w:rFonts w:hint="eastAsia" w:ascii="宋体" w:hAnsi="宋体" w:eastAsia="宋体" w:cs="宋体"/>
          <w:sz w:val="10"/>
        </w:rPr>
        <w:t>，</w:t>
      </w:r>
      <w:r>
        <w:rPr>
          <w:rFonts w:hint="eastAsia" w:ascii="宋体" w:hAnsi="宋体" w:eastAsia="宋体" w:cs="宋体"/>
          <w:sz w:val="24"/>
        </w:rPr>
        <w:t>具有很高的技术难度</w:t>
      </w:r>
      <w:r>
        <w:rPr>
          <w:rFonts w:hint="eastAsia" w:ascii="宋体" w:hAnsi="宋体" w:eastAsia="宋体" w:cs="宋体"/>
          <w:sz w:val="10"/>
        </w:rPr>
        <w:t>，</w:t>
      </w:r>
      <w:r>
        <w:rPr>
          <w:rFonts w:hint="eastAsia" w:ascii="宋体" w:hAnsi="宋体" w:eastAsia="宋体" w:cs="宋体"/>
          <w:sz w:val="24"/>
        </w:rPr>
        <w:t>对企业的研发能力有较高要求</w:t>
      </w:r>
      <w:r>
        <w:rPr>
          <w:rFonts w:hint="eastAsia" w:ascii="宋体" w:hAnsi="宋体" w:eastAsia="宋体" w:cs="宋体"/>
          <w:sz w:val="10"/>
        </w:rPr>
        <w:t>。</w:t>
      </w:r>
      <w:r>
        <w:rPr>
          <w:rFonts w:hint="eastAsia" w:ascii="宋体" w:hAnsi="宋体" w:eastAsia="宋体" w:cs="宋体"/>
          <w:sz w:val="24"/>
        </w:rPr>
        <w:t>金融机构的架构及业务系统较为复杂</w:t>
      </w:r>
      <w:r>
        <w:rPr>
          <w:rFonts w:hint="eastAsia" w:ascii="宋体" w:hAnsi="宋体" w:eastAsia="宋体" w:cs="宋体"/>
          <w:sz w:val="10"/>
        </w:rPr>
        <w:t>，</w:t>
      </w:r>
      <w:r>
        <w:rPr>
          <w:rFonts w:hint="eastAsia" w:ascii="宋体" w:hAnsi="宋体" w:eastAsia="宋体" w:cs="宋体"/>
          <w:sz w:val="24"/>
        </w:rPr>
        <w:t>并且行业发展及监管动向变化较快</w:t>
      </w:r>
      <w:r>
        <w:rPr>
          <w:rFonts w:hint="eastAsia" w:ascii="宋体" w:hAnsi="宋体" w:eastAsia="宋体" w:cs="宋体"/>
          <w:sz w:val="10"/>
        </w:rPr>
        <w:t>，</w:t>
      </w:r>
      <w:r>
        <w:rPr>
          <w:rFonts w:hint="eastAsia" w:ascii="宋体" w:hAnsi="宋体" w:eastAsia="宋体" w:cs="宋体"/>
          <w:sz w:val="24"/>
        </w:rPr>
        <w:t>其管理系统及使用的应用软件需要兼顾可扩展性</w:t>
      </w:r>
      <w:r>
        <w:rPr>
          <w:rFonts w:hint="eastAsia" w:ascii="宋体" w:hAnsi="宋体" w:eastAsia="宋体" w:cs="宋体"/>
          <w:sz w:val="10"/>
        </w:rPr>
        <w:t>、</w:t>
      </w:r>
      <w:r>
        <w:rPr>
          <w:rFonts w:hint="eastAsia" w:ascii="宋体" w:hAnsi="宋体" w:eastAsia="宋体" w:cs="宋体"/>
          <w:sz w:val="24"/>
        </w:rPr>
        <w:t>集成及整合能力</w:t>
      </w:r>
      <w:r>
        <w:rPr>
          <w:rFonts w:hint="eastAsia" w:ascii="宋体" w:hAnsi="宋体" w:eastAsia="宋体" w:cs="宋体"/>
          <w:sz w:val="10"/>
        </w:rPr>
        <w:t>、</w:t>
      </w:r>
      <w:r>
        <w:rPr>
          <w:rFonts w:hint="eastAsia" w:ascii="宋体" w:hAnsi="宋体" w:eastAsia="宋体" w:cs="宋体"/>
          <w:sz w:val="24"/>
        </w:rPr>
        <w:t>海量数据处理</w:t>
      </w:r>
      <w:r>
        <w:rPr>
          <w:rFonts w:hint="eastAsia" w:ascii="宋体" w:hAnsi="宋体" w:eastAsia="宋体" w:cs="宋体"/>
          <w:sz w:val="10"/>
        </w:rPr>
        <w:t>、</w:t>
      </w:r>
      <w:r>
        <w:rPr>
          <w:rFonts w:hint="eastAsia" w:ascii="宋体" w:hAnsi="宋体" w:eastAsia="宋体" w:cs="宋体"/>
          <w:sz w:val="24"/>
        </w:rPr>
        <w:t>数据安全性</w:t>
      </w:r>
      <w:r>
        <w:rPr>
          <w:rFonts w:hint="eastAsia" w:ascii="宋体" w:hAnsi="宋体" w:eastAsia="宋体" w:cs="宋体"/>
          <w:sz w:val="10"/>
        </w:rPr>
        <w:t>、</w:t>
      </w:r>
      <w:r>
        <w:rPr>
          <w:rFonts w:hint="eastAsia" w:ascii="宋体" w:hAnsi="宋体" w:eastAsia="宋体" w:cs="宋体"/>
          <w:sz w:val="24"/>
        </w:rPr>
        <w:t>故障恢复</w:t>
      </w:r>
      <w:r>
        <w:rPr>
          <w:rFonts w:hint="eastAsia" w:ascii="宋体" w:hAnsi="宋体" w:eastAsia="宋体" w:cs="宋体"/>
          <w:sz w:val="10"/>
        </w:rPr>
        <w:t>、</w:t>
      </w:r>
      <w:r>
        <w:rPr>
          <w:rFonts w:hint="eastAsia" w:ascii="宋体" w:hAnsi="宋体" w:eastAsia="宋体" w:cs="宋体"/>
          <w:sz w:val="24"/>
        </w:rPr>
        <w:t>互联网互联互通</w:t>
      </w:r>
      <w:r>
        <w:rPr>
          <w:rFonts w:hint="eastAsia" w:ascii="宋体" w:hAnsi="宋体" w:eastAsia="宋体" w:cs="宋体"/>
          <w:sz w:val="10"/>
        </w:rPr>
        <w:t>、</w:t>
      </w:r>
      <w:r>
        <w:rPr>
          <w:rFonts w:hint="eastAsia" w:ascii="Times New Roman" w:hAnsi="Times New Roman" w:eastAsia="Times New Roman" w:cs="Times New Roman"/>
          <w:sz w:val="24"/>
        </w:rPr>
        <w:t>7</w:t>
      </w:r>
      <w:r>
        <w:rPr>
          <w:rFonts w:hint="eastAsia" w:ascii="Times New Roman" w:hAnsi="Times New Roman" w:eastAsia="Times New Roman" w:cs="Times New Roman"/>
          <w:sz w:val="12"/>
        </w:rPr>
        <w:t>×</w:t>
      </w:r>
      <w:r>
        <w:rPr>
          <w:rFonts w:hint="eastAsia" w:ascii="Times New Roman" w:hAnsi="Times New Roman" w:eastAsia="Times New Roman" w:cs="Times New Roman"/>
          <w:sz w:val="24"/>
        </w:rPr>
        <w:t>24</w:t>
      </w:r>
      <w:r>
        <w:rPr>
          <w:rFonts w:hint="eastAsia" w:ascii="宋体" w:hAnsi="宋体" w:eastAsia="宋体" w:cs="宋体"/>
          <w:sz w:val="24"/>
        </w:rPr>
        <w:t>小时不间断运行等多个方面</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软件运营服务提供商只有拥有强大的平台化软件开发能力</w:t>
      </w:r>
      <w:r>
        <w:rPr>
          <w:rFonts w:hint="eastAsia" w:ascii="宋体" w:hAnsi="宋体" w:eastAsia="宋体" w:cs="宋体"/>
          <w:sz w:val="10"/>
        </w:rPr>
        <w:t>，</w:t>
      </w:r>
      <w:r>
        <w:rPr>
          <w:rFonts w:hint="eastAsia" w:ascii="宋体" w:hAnsi="宋体" w:eastAsia="宋体" w:cs="宋体"/>
          <w:sz w:val="24"/>
        </w:rPr>
        <w:t>以及具有竞争优势的核心技术</w:t>
      </w:r>
      <w:r>
        <w:rPr>
          <w:rFonts w:hint="eastAsia" w:ascii="宋体" w:hAnsi="宋体" w:eastAsia="宋体" w:cs="宋体"/>
          <w:sz w:val="10"/>
        </w:rPr>
        <w:t>，</w:t>
      </w:r>
      <w:r>
        <w:rPr>
          <w:rFonts w:hint="eastAsia" w:ascii="宋体" w:hAnsi="宋体" w:eastAsia="宋体" w:cs="宋体"/>
          <w:sz w:val="24"/>
        </w:rPr>
        <w:t>才能为用户提供实时</w:t>
      </w:r>
      <w:r>
        <w:rPr>
          <w:rFonts w:hint="eastAsia" w:ascii="宋体" w:hAnsi="宋体" w:eastAsia="宋体" w:cs="宋体"/>
          <w:sz w:val="10"/>
        </w:rPr>
        <w:t>、</w:t>
      </w:r>
      <w:r>
        <w:rPr>
          <w:rFonts w:hint="eastAsia" w:ascii="宋体" w:hAnsi="宋体" w:eastAsia="宋体" w:cs="宋体"/>
          <w:sz w:val="24"/>
        </w:rPr>
        <w:t>安全</w:t>
      </w:r>
      <w:r>
        <w:rPr>
          <w:rFonts w:hint="eastAsia" w:ascii="宋体" w:hAnsi="宋体" w:eastAsia="宋体" w:cs="宋体"/>
          <w:sz w:val="10"/>
        </w:rPr>
        <w:t>、</w:t>
      </w:r>
      <w:r>
        <w:rPr>
          <w:rFonts w:hint="eastAsia" w:ascii="宋体" w:hAnsi="宋体" w:eastAsia="宋体" w:cs="宋体"/>
          <w:sz w:val="24"/>
        </w:rPr>
        <w:t>稳定</w:t>
      </w:r>
      <w:r>
        <w:rPr>
          <w:rFonts w:hint="eastAsia" w:ascii="宋体" w:hAnsi="宋体" w:eastAsia="宋体" w:cs="宋体"/>
          <w:sz w:val="10"/>
        </w:rPr>
        <w:t>，</w:t>
      </w:r>
      <w:r>
        <w:rPr>
          <w:rFonts w:hint="eastAsia" w:ascii="宋体" w:hAnsi="宋体" w:eastAsia="宋体" w:cs="宋体"/>
          <w:sz w:val="24"/>
        </w:rPr>
        <w:t>且能根据需求不断升级的软件产品和服务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）产品系统性壁垒</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证券公司的新业务</w:t>
      </w:r>
      <w:r>
        <w:rPr>
          <w:rFonts w:hint="eastAsia" w:ascii="宋体" w:hAnsi="宋体" w:eastAsia="宋体" w:cs="宋体"/>
          <w:sz w:val="10"/>
        </w:rPr>
        <w:t>，</w:t>
      </w:r>
      <w:r>
        <w:rPr>
          <w:rFonts w:hint="eastAsia" w:ascii="宋体" w:hAnsi="宋体" w:eastAsia="宋体" w:cs="宋体"/>
          <w:sz w:val="24"/>
        </w:rPr>
        <w:t>包括基于互联网金融概念下的新业务</w:t>
      </w:r>
      <w:r>
        <w:rPr>
          <w:rFonts w:hint="eastAsia" w:ascii="宋体" w:hAnsi="宋体" w:eastAsia="宋体" w:cs="宋体"/>
          <w:sz w:val="10"/>
        </w:rPr>
        <w:t>，</w:t>
      </w:r>
      <w:r>
        <w:rPr>
          <w:rFonts w:hint="eastAsia" w:ascii="宋体" w:hAnsi="宋体" w:eastAsia="宋体" w:cs="宋体"/>
          <w:sz w:val="24"/>
        </w:rPr>
        <w:t>通常需要构建在原有集中交易系统及业务管理系统的基础上</w:t>
      </w:r>
      <w:r>
        <w:rPr>
          <w:rFonts w:hint="eastAsia" w:ascii="宋体" w:hAnsi="宋体" w:eastAsia="宋体" w:cs="宋体"/>
          <w:sz w:val="10"/>
        </w:rPr>
        <w:t>。</w:t>
      </w:r>
      <w:r>
        <w:rPr>
          <w:rFonts w:hint="eastAsia" w:ascii="宋体" w:hAnsi="宋体" w:eastAsia="宋体" w:cs="宋体"/>
          <w:sz w:val="24"/>
        </w:rPr>
        <w:t>如港股通等全新业务</w:t>
      </w:r>
      <w:r>
        <w:rPr>
          <w:rFonts w:hint="eastAsia" w:ascii="宋体" w:hAnsi="宋体" w:eastAsia="宋体" w:cs="宋体"/>
          <w:sz w:val="10"/>
        </w:rPr>
        <w:t>，</w:t>
      </w:r>
      <w:r>
        <w:rPr>
          <w:rFonts w:hint="eastAsia" w:ascii="宋体" w:hAnsi="宋体" w:eastAsia="宋体" w:cs="宋体"/>
          <w:sz w:val="24"/>
        </w:rPr>
        <w:t>需要在原有集中竞价交易系统的基础上进行改进或升级</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只要长期合作的供应商具备相应研发能力</w:t>
      </w:r>
      <w:r>
        <w:rPr>
          <w:rFonts w:hint="eastAsia" w:ascii="宋体" w:hAnsi="宋体" w:eastAsia="宋体" w:cs="宋体"/>
          <w:sz w:val="10"/>
        </w:rPr>
        <w:t>，</w:t>
      </w:r>
      <w:r>
        <w:rPr>
          <w:rFonts w:hint="eastAsia" w:ascii="宋体" w:hAnsi="宋体" w:eastAsia="宋体" w:cs="宋体"/>
          <w:sz w:val="24"/>
        </w:rPr>
        <w:t>证券公司更倾向于选择为自身提供交易系统软件的供应商</w:t>
      </w:r>
      <w:r>
        <w:rPr>
          <w:rFonts w:hint="eastAsia" w:ascii="宋体" w:hAnsi="宋体" w:eastAsia="宋体" w:cs="宋体"/>
          <w:sz w:val="10"/>
        </w:rPr>
        <w:t>，</w:t>
      </w:r>
      <w:r>
        <w:rPr>
          <w:rFonts w:hint="eastAsia" w:ascii="宋体" w:hAnsi="宋体" w:eastAsia="宋体" w:cs="宋体"/>
          <w:sz w:val="24"/>
        </w:rPr>
        <w:t>以避免全面替换系统带来的成本增加及客户流失</w:t>
      </w:r>
      <w:r>
        <w:rPr>
          <w:rFonts w:hint="eastAsia" w:ascii="宋体" w:hAnsi="宋体" w:eastAsia="宋体" w:cs="宋体"/>
          <w:sz w:val="10"/>
        </w:rPr>
        <w:t>，</w:t>
      </w:r>
      <w:r>
        <w:rPr>
          <w:rFonts w:hint="eastAsia" w:ascii="宋体" w:hAnsi="宋体" w:eastAsia="宋体" w:cs="宋体"/>
          <w:sz w:val="24"/>
        </w:rPr>
        <w:t>即所谓的</w:t>
      </w:r>
      <w:r>
        <w:rPr>
          <w:rFonts w:hint="eastAsia" w:ascii="宋体" w:hAnsi="宋体" w:eastAsia="宋体" w:cs="宋体"/>
          <w:sz w:val="10"/>
        </w:rPr>
        <w:t>“</w:t>
      </w:r>
      <w:r>
        <w:rPr>
          <w:rFonts w:hint="eastAsia" w:ascii="宋体" w:hAnsi="宋体" w:eastAsia="宋体" w:cs="宋体"/>
          <w:sz w:val="24"/>
        </w:rPr>
        <w:t>产品系统性</w:t>
      </w:r>
      <w:r>
        <w:rPr>
          <w:rFonts w:hint="eastAsia" w:ascii="宋体" w:hAnsi="宋体" w:eastAsia="宋体" w:cs="宋体"/>
          <w:sz w:val="10"/>
        </w:rPr>
        <w:t>”</w:t>
      </w:r>
      <w:r>
        <w:rPr>
          <w:rFonts w:hint="eastAsia" w:ascii="宋体" w:hAnsi="宋体" w:eastAsia="宋体" w:cs="宋体"/>
          <w:sz w:val="24"/>
        </w:rPr>
        <w:t>或</w:t>
      </w:r>
      <w:r>
        <w:rPr>
          <w:rFonts w:hint="eastAsia" w:ascii="宋体" w:hAnsi="宋体" w:eastAsia="宋体" w:cs="宋体"/>
          <w:sz w:val="10"/>
        </w:rPr>
        <w:t>“</w:t>
      </w:r>
      <w:r>
        <w:rPr>
          <w:rFonts w:hint="eastAsia" w:ascii="宋体" w:hAnsi="宋体" w:eastAsia="宋体" w:cs="宋体"/>
          <w:sz w:val="24"/>
        </w:rPr>
        <w:t>客户黏性</w:t>
      </w:r>
      <w:r>
        <w:rPr>
          <w:rFonts w:hint="eastAsia" w:ascii="宋体" w:hAnsi="宋体" w:eastAsia="宋体" w:cs="宋体"/>
          <w:sz w:val="10"/>
        </w:rPr>
        <w:t>”。</w:t>
      </w:r>
      <w:r>
        <w:rPr>
          <w:rFonts w:hint="eastAsia" w:ascii="宋体" w:hAnsi="宋体" w:eastAsia="宋体" w:cs="宋体"/>
          <w:sz w:val="24"/>
        </w:rPr>
        <w:t>这使得行业外新的竞争企业进入本行业时</w:t>
      </w:r>
      <w:r>
        <w:rPr>
          <w:rFonts w:hint="eastAsia" w:ascii="宋体" w:hAnsi="宋体" w:eastAsia="宋体" w:cs="宋体"/>
          <w:sz w:val="10"/>
        </w:rPr>
        <w:t>，</w:t>
      </w:r>
      <w:r>
        <w:rPr>
          <w:rFonts w:hint="eastAsia" w:ascii="宋体" w:hAnsi="宋体" w:eastAsia="宋体" w:cs="宋体"/>
          <w:sz w:val="24"/>
        </w:rPr>
        <w:t>需要面对技术之外的无形障碍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）人才和资金壁垒</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1-1-125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金融行业信息化领域技术涉及面广</w:t>
      </w:r>
      <w:r>
        <w:rPr>
          <w:rFonts w:hint="eastAsia" w:ascii="宋体" w:hAnsi="宋体" w:eastAsia="宋体" w:cs="宋体"/>
          <w:sz w:val="10"/>
        </w:rPr>
        <w:t>、</w:t>
      </w:r>
      <w:r>
        <w:rPr>
          <w:rFonts w:hint="eastAsia" w:ascii="宋体" w:hAnsi="宋体" w:eastAsia="宋体" w:cs="宋体"/>
          <w:sz w:val="24"/>
        </w:rPr>
        <w:t>技术难度高</w:t>
      </w:r>
      <w:r>
        <w:rPr>
          <w:rFonts w:hint="eastAsia" w:ascii="宋体" w:hAnsi="宋体" w:eastAsia="宋体" w:cs="宋体"/>
          <w:sz w:val="10"/>
        </w:rPr>
        <w:t>，</w:t>
      </w:r>
      <w:r>
        <w:rPr>
          <w:rFonts w:hint="eastAsia" w:ascii="宋体" w:hAnsi="宋体" w:eastAsia="宋体" w:cs="宋体"/>
          <w:sz w:val="24"/>
        </w:rPr>
        <w:t>对行业人才提出了较高的综合素质要求</w:t>
      </w:r>
      <w:r>
        <w:rPr>
          <w:rFonts w:hint="eastAsia" w:ascii="宋体" w:hAnsi="宋体" w:eastAsia="宋体" w:cs="宋体"/>
          <w:sz w:val="10"/>
        </w:rPr>
        <w:t>。</w:t>
      </w:r>
      <w:r>
        <w:rPr>
          <w:rFonts w:hint="eastAsia" w:ascii="宋体" w:hAnsi="宋体" w:eastAsia="宋体" w:cs="宋体"/>
          <w:sz w:val="24"/>
        </w:rPr>
        <w:t>综合型专业人才的培育必须经过大量的知识体系训练和长期的行业经验积累</w:t>
      </w:r>
      <w:r>
        <w:rPr>
          <w:rFonts w:hint="eastAsia" w:ascii="宋体" w:hAnsi="宋体" w:eastAsia="宋体" w:cs="宋体"/>
          <w:sz w:val="10"/>
        </w:rPr>
        <w:t>。</w:t>
      </w:r>
      <w:r>
        <w:rPr>
          <w:rFonts w:hint="eastAsia" w:ascii="宋体" w:hAnsi="宋体" w:eastAsia="宋体" w:cs="宋体"/>
          <w:sz w:val="24"/>
        </w:rPr>
        <w:t>企业要想发展壮大就必须拥有大量的高综合素质人才作保障</w:t>
      </w:r>
      <w:r>
        <w:rPr>
          <w:rFonts w:hint="eastAsia" w:ascii="宋体" w:hAnsi="宋体" w:eastAsia="宋体" w:cs="宋体"/>
          <w:sz w:val="10"/>
        </w:rPr>
        <w:t>。</w:t>
      </w:r>
      <w:r>
        <w:rPr>
          <w:rFonts w:hint="eastAsia" w:ascii="宋体" w:hAnsi="宋体" w:eastAsia="宋体" w:cs="宋体"/>
          <w:sz w:val="24"/>
        </w:rPr>
        <w:t>而随着互联网金融的大举推进</w:t>
      </w:r>
      <w:r>
        <w:rPr>
          <w:rFonts w:hint="eastAsia" w:ascii="宋体" w:hAnsi="宋体" w:eastAsia="宋体" w:cs="宋体"/>
          <w:sz w:val="10"/>
        </w:rPr>
        <w:t>，</w:t>
      </w:r>
      <w:r>
        <w:rPr>
          <w:rFonts w:hint="eastAsia" w:ascii="宋体" w:hAnsi="宋体" w:eastAsia="宋体" w:cs="宋体"/>
          <w:sz w:val="24"/>
        </w:rPr>
        <w:t>各个软件供应商对人才的需求不断上升</w:t>
      </w:r>
      <w:r>
        <w:rPr>
          <w:rFonts w:hint="eastAsia" w:ascii="宋体" w:hAnsi="宋体" w:eastAsia="宋体" w:cs="宋体"/>
          <w:sz w:val="10"/>
        </w:rPr>
        <w:t>，</w:t>
      </w:r>
      <w:r>
        <w:rPr>
          <w:rFonts w:hint="eastAsia" w:ascii="宋体" w:hAnsi="宋体" w:eastAsia="宋体" w:cs="宋体"/>
          <w:sz w:val="24"/>
        </w:rPr>
        <w:t>新晋企业想要吸引更多的行业精英</w:t>
      </w:r>
      <w:r>
        <w:rPr>
          <w:rFonts w:hint="eastAsia" w:ascii="宋体" w:hAnsi="宋体" w:eastAsia="宋体" w:cs="宋体"/>
          <w:sz w:val="10"/>
        </w:rPr>
        <w:t>，</w:t>
      </w:r>
      <w:r>
        <w:rPr>
          <w:rFonts w:hint="eastAsia" w:ascii="宋体" w:hAnsi="宋体" w:eastAsia="宋体" w:cs="宋体"/>
          <w:sz w:val="24"/>
        </w:rPr>
        <w:t>可能需要付出更高的成本才能达成目标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）品牌壁垒</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金融行业面对的客户数量多</w:t>
      </w:r>
      <w:r>
        <w:rPr>
          <w:rFonts w:hint="eastAsia" w:ascii="宋体" w:hAnsi="宋体" w:eastAsia="宋体" w:cs="宋体"/>
          <w:sz w:val="10"/>
        </w:rPr>
        <w:t>，</w:t>
      </w:r>
      <w:r>
        <w:rPr>
          <w:rFonts w:hint="eastAsia" w:ascii="宋体" w:hAnsi="宋体" w:eastAsia="宋体" w:cs="宋体"/>
          <w:sz w:val="24"/>
        </w:rPr>
        <w:t>范围广</w:t>
      </w:r>
      <w:r>
        <w:rPr>
          <w:rFonts w:hint="eastAsia" w:ascii="宋体" w:hAnsi="宋体" w:eastAsia="宋体" w:cs="宋体"/>
          <w:sz w:val="10"/>
        </w:rPr>
        <w:t>，</w:t>
      </w:r>
      <w:r>
        <w:rPr>
          <w:rFonts w:hint="eastAsia" w:ascii="宋体" w:hAnsi="宋体" w:eastAsia="宋体" w:cs="宋体"/>
          <w:sz w:val="24"/>
        </w:rPr>
        <w:t>涉及资金规模巨大</w:t>
      </w:r>
      <w:r>
        <w:rPr>
          <w:rFonts w:hint="eastAsia" w:ascii="宋体" w:hAnsi="宋体" w:eastAsia="宋体" w:cs="宋体"/>
          <w:sz w:val="10"/>
        </w:rPr>
        <w:t>，</w:t>
      </w:r>
      <w:r>
        <w:rPr>
          <w:rFonts w:hint="eastAsia" w:ascii="宋体" w:hAnsi="宋体" w:eastAsia="宋体" w:cs="宋体"/>
          <w:sz w:val="24"/>
        </w:rPr>
        <w:t>对交易和管理系统软件的稳定性</w:t>
      </w:r>
      <w:r>
        <w:rPr>
          <w:rFonts w:hint="eastAsia" w:ascii="宋体" w:hAnsi="宋体" w:eastAsia="宋体" w:cs="宋体"/>
          <w:sz w:val="10"/>
        </w:rPr>
        <w:t>、</w:t>
      </w:r>
      <w:r>
        <w:rPr>
          <w:rFonts w:hint="eastAsia" w:ascii="宋体" w:hAnsi="宋体" w:eastAsia="宋体" w:cs="宋体"/>
          <w:sz w:val="24"/>
        </w:rPr>
        <w:t>安全性要求较高</w:t>
      </w:r>
      <w:r>
        <w:rPr>
          <w:rFonts w:hint="eastAsia" w:ascii="宋体" w:hAnsi="宋体" w:eastAsia="宋体" w:cs="宋体"/>
          <w:sz w:val="10"/>
        </w:rPr>
        <w:t>。</w:t>
      </w:r>
      <w:r>
        <w:rPr>
          <w:rFonts w:hint="eastAsia" w:ascii="宋体" w:hAnsi="宋体" w:eastAsia="宋体" w:cs="宋体"/>
          <w:sz w:val="24"/>
        </w:rPr>
        <w:t>金融机构在选择软件供应商时通常较为谨慎</w:t>
      </w:r>
      <w:r>
        <w:rPr>
          <w:rFonts w:hint="eastAsia" w:ascii="宋体" w:hAnsi="宋体" w:eastAsia="宋体" w:cs="宋体"/>
          <w:sz w:val="10"/>
        </w:rPr>
        <w:t>，</w:t>
      </w:r>
      <w:r>
        <w:rPr>
          <w:rFonts w:hint="eastAsia" w:ascii="宋体" w:hAnsi="宋体" w:eastAsia="宋体" w:cs="宋体"/>
          <w:sz w:val="24"/>
        </w:rPr>
        <w:t>对没有形成品牌影响力</w:t>
      </w:r>
      <w:r>
        <w:rPr>
          <w:rFonts w:hint="eastAsia" w:ascii="宋体" w:hAnsi="宋体" w:eastAsia="宋体" w:cs="宋体"/>
          <w:sz w:val="10"/>
        </w:rPr>
        <w:t>、</w:t>
      </w:r>
      <w:r>
        <w:rPr>
          <w:rFonts w:hint="eastAsia" w:ascii="宋体" w:hAnsi="宋体" w:eastAsia="宋体" w:cs="宋体"/>
          <w:sz w:val="24"/>
        </w:rPr>
        <w:t>行业内积淀尚浅的新晋软件企业通常需要较长的考察时间</w:t>
      </w:r>
      <w:r>
        <w:rPr>
          <w:rFonts w:hint="eastAsia" w:ascii="宋体" w:hAnsi="宋体" w:eastAsia="宋体" w:cs="宋体"/>
          <w:sz w:val="10"/>
        </w:rPr>
        <w:t>。</w:t>
      </w:r>
      <w:r>
        <w:rPr>
          <w:rFonts w:hint="eastAsia" w:ascii="宋体" w:hAnsi="宋体" w:eastAsia="宋体" w:cs="宋体"/>
          <w:sz w:val="24"/>
        </w:rPr>
        <w:t>而应用型软件企业对行业前沿技术的掌握和对客户需求的把握</w:t>
      </w:r>
      <w:r>
        <w:rPr>
          <w:rFonts w:hint="eastAsia" w:ascii="宋体" w:hAnsi="宋体" w:eastAsia="宋体" w:cs="宋体"/>
          <w:sz w:val="10"/>
        </w:rPr>
        <w:t>，</w:t>
      </w:r>
      <w:r>
        <w:rPr>
          <w:rFonts w:hint="eastAsia" w:ascii="宋体" w:hAnsi="宋体" w:eastAsia="宋体" w:cs="宋体"/>
          <w:sz w:val="24"/>
        </w:rPr>
        <w:t>主要在与客户的共同研发及探索中完成</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该细分行业更容易被经营多年</w:t>
      </w:r>
      <w:r>
        <w:rPr>
          <w:rFonts w:hint="eastAsia" w:ascii="宋体" w:hAnsi="宋体" w:eastAsia="宋体" w:cs="宋体"/>
          <w:sz w:val="10"/>
        </w:rPr>
        <w:t>、</w:t>
      </w:r>
      <w:r>
        <w:rPr>
          <w:rFonts w:hint="eastAsia" w:ascii="宋体" w:hAnsi="宋体" w:eastAsia="宋体" w:cs="宋体"/>
          <w:sz w:val="24"/>
        </w:rPr>
        <w:t>具有品牌影响力的厂商占据</w:t>
      </w:r>
      <w:r>
        <w:rPr>
          <w:rFonts w:hint="eastAsia" w:ascii="宋体" w:hAnsi="宋体" w:eastAsia="宋体" w:cs="宋体"/>
          <w:sz w:val="10"/>
        </w:rPr>
        <w:t>，</w:t>
      </w:r>
      <w:r>
        <w:rPr>
          <w:rFonts w:hint="eastAsia" w:ascii="宋体" w:hAnsi="宋体" w:eastAsia="宋体" w:cs="宋体"/>
          <w:sz w:val="24"/>
        </w:rPr>
        <w:t>品牌效应在下游客户遴选供应商的过程中发挥举足轻重的作用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（六）影响行业发展的有利和不利因素</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有利因素</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）产业政策的支持</w:t>
      </w:r>
    </w:p>
    <w:p>
      <w:pPr>
        <w:spacing w:line="200" w:lineRule="exact"/>
        <w:rPr>
          <w:rFonts w:hint="eastAsia" w:ascii="宋体" w:hAnsi="宋体" w:eastAsia="宋体" w:cs="宋体"/>
          <w:sz w:val="20"/>
        </w:rPr>
      </w:pPr>
    </w:p>
    <w:p>
      <w:pPr>
        <w:autoSpaceDE w:val="false"/>
        <w:autoSpaceDN w:val="false"/>
        <w:spacing w:line="460" w:lineRule="exact"/>
        <w:ind w:left="1800" w:right="1580" w:firstLine="480"/>
        <w:jc w:val="both"/>
      </w:pPr>
      <w:r>
        <w:rPr>
          <w:rFonts w:hint="eastAsia" w:ascii="宋体" w:hAnsi="宋体" w:eastAsia="宋体" w:cs="宋体"/>
          <w:sz w:val="24"/>
        </w:rPr>
        <w:t>我国先后颁发了《关于鼓励软件产业和集成电路产业发展的若干政策》（国发</w:t>
      </w:r>
      <w:r>
        <w:rPr>
          <w:rFonts w:hint="eastAsia" w:ascii="Times New Roman" w:hAnsi="Times New Roman" w:eastAsia="Times New Roman" w:cs="Times New Roman"/>
          <w:sz w:val="24"/>
        </w:rPr>
        <w:t>[2000]18</w:t>
      </w:r>
      <w:r>
        <w:rPr>
          <w:rFonts w:hint="eastAsia" w:ascii="宋体" w:hAnsi="宋体" w:eastAsia="宋体" w:cs="宋体"/>
          <w:sz w:val="24"/>
        </w:rPr>
        <w:t xml:space="preserve"> 号）、《</w:t>
      </w:r>
      <w:r>
        <w:rPr>
          <w:rFonts w:hint="eastAsia" w:ascii="宋体" w:hAnsi="宋体" w:eastAsia="宋体" w:cs="宋体"/>
          <w:sz w:val="24"/>
        </w:rPr>
        <w:t>国家中长期科学和技术发展规划纲要（</w:t>
      </w:r>
      <w:r>
        <w:rPr>
          <w:rFonts w:hint="eastAsia" w:ascii="Times New Roman" w:hAnsi="Times New Roman" w:eastAsia="Times New Roman" w:cs="Times New Roman"/>
          <w:sz w:val="24"/>
        </w:rPr>
        <w:t>2006-2020</w:t>
      </w:r>
      <w:r>
        <w:rPr>
          <w:rFonts w:hint="eastAsia" w:ascii="宋体" w:hAnsi="宋体" w:eastAsia="宋体" w:cs="宋体"/>
          <w:sz w:val="24"/>
        </w:rPr>
        <w:t xml:space="preserve"> 年）》（国发</w:t>
      </w:r>
      <w:r>
        <w:rPr>
          <w:rFonts w:hint="eastAsia" w:ascii="Times New Roman" w:hAnsi="Times New Roman" w:eastAsia="Times New Roman" w:cs="Times New Roman"/>
          <w:sz w:val="24"/>
        </w:rPr>
        <w:t>[2005]44</w:t>
      </w:r>
      <w:r>
        <w:rPr>
          <w:rFonts w:hint="eastAsia" w:ascii="宋体" w:hAnsi="宋体" w:eastAsia="宋体" w:cs="宋体"/>
          <w:sz w:val="24"/>
        </w:rPr>
        <w:t xml:space="preserve"> 号）、《</w:t>
      </w:r>
      <w:r>
        <w:rPr>
          <w:rFonts w:hint="eastAsia" w:ascii="宋体" w:hAnsi="宋体" w:eastAsia="宋体" w:cs="宋体"/>
          <w:sz w:val="24"/>
        </w:rPr>
        <w:t>实施</w:t>
      </w:r>
      <w:r>
        <w:rPr>
          <w:rFonts w:hint="eastAsia" w:ascii="Times New Roman" w:hAnsi="Times New Roman" w:eastAsia="Times New Roman" w:cs="Times New Roman"/>
          <w:sz w:val="24"/>
        </w:rPr>
        <w:t>&lt;</w:t>
      </w:r>
      <w:r>
        <w:rPr>
          <w:rFonts w:hint="eastAsia" w:ascii="宋体" w:hAnsi="宋体" w:eastAsia="宋体" w:cs="宋体"/>
          <w:sz w:val="24"/>
        </w:rPr>
        <w:t>国家中长期科学和技术发展规划纲要（</w:t>
      </w:r>
      <w:r>
        <w:rPr>
          <w:rFonts w:hint="eastAsia" w:ascii="Times New Roman" w:hAnsi="Times New Roman" w:eastAsia="Times New Roman" w:cs="Times New Roman"/>
          <w:sz w:val="24"/>
        </w:rPr>
        <w:t>2006-2020</w:t>
      </w:r>
      <w:r>
        <w:rPr>
          <w:rFonts w:hint="eastAsia" w:ascii="宋体" w:hAnsi="宋体" w:eastAsia="宋体" w:cs="宋体"/>
          <w:sz w:val="24"/>
        </w:rPr>
        <w:t xml:space="preserve"> 年）</w:t>
      </w:r>
      <w:r>
        <w:rPr>
          <w:rFonts w:hint="eastAsia" w:ascii="Times New Roman" w:hAnsi="Times New Roman" w:eastAsia="Times New Roman" w:cs="Times New Roman"/>
          <w:sz w:val="24"/>
        </w:rPr>
        <w:t>&gt;</w:t>
      </w:r>
      <w:r>
        <w:rPr>
          <w:rFonts w:hint="eastAsia" w:ascii="宋体" w:hAnsi="宋体" w:eastAsia="宋体" w:cs="宋体"/>
          <w:sz w:val="24"/>
        </w:rPr>
        <w:t>的若干配套政策》（国发</w:t>
      </w:r>
      <w:r>
        <w:rPr>
          <w:rFonts w:hint="eastAsia" w:ascii="Times New Roman" w:hAnsi="Times New Roman" w:eastAsia="Times New Roman" w:cs="Times New Roman"/>
          <w:sz w:val="24"/>
        </w:rPr>
        <w:t>[2006]6</w:t>
      </w:r>
      <w:r>
        <w:rPr>
          <w:rFonts w:hint="eastAsia" w:ascii="宋体" w:hAnsi="宋体" w:eastAsia="宋体" w:cs="宋体"/>
          <w:sz w:val="24"/>
        </w:rPr>
        <w:t xml:space="preserve"> 号）、《</w:t>
      </w:r>
      <w:r>
        <w:rPr>
          <w:rFonts w:hint="eastAsia" w:ascii="宋体" w:hAnsi="宋体" w:eastAsia="宋体" w:cs="宋体"/>
          <w:sz w:val="24"/>
        </w:rPr>
        <w:t>电子信息产业振兴和调整规划》、《</w:t>
      </w:r>
      <w:r>
        <w:rPr>
          <w:rFonts w:hint="eastAsia" w:ascii="宋体" w:hAnsi="宋体" w:eastAsia="宋体" w:cs="宋体"/>
          <w:sz w:val="24"/>
        </w:rPr>
        <w:t>软件产品管理办法》（中华人民共和国工业和信息化部令第</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号）、《</w:t>
      </w:r>
      <w:r>
        <w:rPr>
          <w:rFonts w:hint="eastAsia" w:ascii="宋体" w:hAnsi="宋体" w:eastAsia="宋体" w:cs="宋体"/>
          <w:sz w:val="24"/>
        </w:rPr>
        <w:t>国务院关于积极推进</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行动的指导意见》等一系列政策法规</w:t>
      </w:r>
      <w:r>
        <w:rPr>
          <w:rFonts w:hint="eastAsia" w:ascii="宋体" w:hAnsi="宋体" w:eastAsia="宋体" w:cs="宋体"/>
          <w:sz w:val="10"/>
        </w:rPr>
        <w:t>，</w:t>
      </w:r>
      <w:r>
        <w:rPr>
          <w:rFonts w:hint="eastAsia" w:ascii="宋体" w:hAnsi="宋体" w:eastAsia="宋体" w:cs="宋体"/>
          <w:sz w:val="24"/>
        </w:rPr>
        <w:t>为软件行业的发展创造了良好的环境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为加快金融行业信息化建设</w:t>
      </w:r>
      <w:r>
        <w:rPr>
          <w:rFonts w:hint="eastAsia" w:ascii="宋体" w:hAnsi="宋体" w:eastAsia="宋体" w:cs="宋体"/>
          <w:sz w:val="10"/>
        </w:rPr>
        <w:t>，</w:t>
      </w:r>
      <w:r>
        <w:rPr>
          <w:rFonts w:hint="eastAsia" w:ascii="宋体" w:hAnsi="宋体" w:eastAsia="宋体" w:cs="宋体"/>
          <w:sz w:val="24"/>
        </w:rPr>
        <w:t>提升金融行业整体竞争能力</w:t>
      </w:r>
      <w:r>
        <w:rPr>
          <w:rFonts w:hint="eastAsia" w:ascii="宋体" w:hAnsi="宋体" w:eastAsia="宋体" w:cs="宋体"/>
          <w:sz w:val="10"/>
        </w:rPr>
        <w:t>，</w:t>
      </w:r>
      <w:r>
        <w:rPr>
          <w:rFonts w:hint="eastAsia" w:ascii="宋体" w:hAnsi="宋体" w:eastAsia="宋体" w:cs="宋体"/>
          <w:sz w:val="24"/>
        </w:rPr>
        <w:t>我国证券业</w:t>
      </w:r>
      <w:r>
        <w:rPr>
          <w:rFonts w:hint="eastAsia" w:ascii="宋体" w:hAnsi="宋体" w:eastAsia="宋体" w:cs="宋体"/>
          <w:sz w:val="10"/>
        </w:rPr>
        <w:t>、</w:t>
      </w:r>
      <w:r>
        <w:rPr>
          <w:rFonts w:hint="eastAsia" w:ascii="宋体" w:hAnsi="宋体" w:eastAsia="宋体" w:cs="宋体"/>
          <w:sz w:val="24"/>
        </w:rPr>
        <w:t>银行业等各金融行业的监管部门也纷纷出台相关政策</w:t>
      </w:r>
      <w:r>
        <w:rPr>
          <w:rFonts w:hint="eastAsia" w:ascii="宋体" w:hAnsi="宋体" w:eastAsia="宋体" w:cs="宋体"/>
          <w:sz w:val="10"/>
        </w:rPr>
        <w:t>，</w:t>
      </w:r>
      <w:r>
        <w:rPr>
          <w:rFonts w:hint="eastAsia" w:ascii="宋体" w:hAnsi="宋体" w:eastAsia="宋体" w:cs="宋体"/>
          <w:sz w:val="24"/>
        </w:rPr>
        <w:t>对行业信息化提出要求</w:t>
      </w:r>
      <w:r>
        <w:rPr>
          <w:rFonts w:hint="eastAsia" w:ascii="宋体" w:hAnsi="宋体" w:eastAsia="宋体" w:cs="宋体"/>
          <w:sz w:val="10"/>
        </w:rPr>
        <w:t>，</w:t>
      </w:r>
      <w:r>
        <w:rPr>
          <w:rFonts w:hint="eastAsia" w:ascii="宋体" w:hAnsi="宋体" w:eastAsia="宋体" w:cs="宋体"/>
          <w:sz w:val="24"/>
        </w:rPr>
        <w:t>包括《证券期货经营机构信息系统备份能力标准》、《</w:t>
      </w:r>
      <w:r>
        <w:rPr>
          <w:rFonts w:hint="eastAsia" w:ascii="宋体" w:hAnsi="宋体" w:eastAsia="宋体" w:cs="宋体"/>
          <w:sz w:val="24"/>
        </w:rPr>
        <w:t>关于促进互联网金融健康发展的指导意见》。</w:t>
      </w:r>
      <w:r>
        <w:rPr>
          <w:rFonts w:hint="eastAsia" w:ascii="宋体" w:hAnsi="宋体" w:eastAsia="宋体" w:cs="宋体"/>
          <w:sz w:val="24"/>
        </w:rPr>
        <w:t>上述文件对金融行业的信息化建设标准</w:t>
      </w:r>
      <w:r>
        <w:rPr>
          <w:rFonts w:hint="eastAsia" w:ascii="宋体" w:hAnsi="宋体" w:eastAsia="宋体" w:cs="宋体"/>
          <w:sz w:val="10"/>
        </w:rPr>
        <w:t>、</w:t>
      </w:r>
      <w:r>
        <w:rPr>
          <w:rFonts w:hint="eastAsia" w:ascii="宋体" w:hAnsi="宋体" w:eastAsia="宋体" w:cs="宋体"/>
          <w:sz w:val="24"/>
        </w:rPr>
        <w:t>建设要求</w:t>
      </w:r>
      <w:r>
        <w:rPr>
          <w:rFonts w:hint="eastAsia" w:ascii="宋体" w:hAnsi="宋体" w:eastAsia="宋体" w:cs="宋体"/>
          <w:sz w:val="10"/>
        </w:rPr>
        <w:t>、</w:t>
      </w:r>
      <w:r>
        <w:rPr>
          <w:rFonts w:hint="eastAsia" w:ascii="宋体" w:hAnsi="宋体" w:eastAsia="宋体" w:cs="宋体"/>
          <w:sz w:val="24"/>
        </w:rPr>
        <w:t>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1-1-126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险管理等方面工作做出相关规定</w:t>
      </w:r>
      <w:r>
        <w:rPr>
          <w:rFonts w:hint="eastAsia" w:ascii="宋体" w:hAnsi="宋体" w:eastAsia="宋体" w:cs="宋体"/>
          <w:sz w:val="10"/>
        </w:rPr>
        <w:t>，</w:t>
      </w:r>
      <w:r>
        <w:rPr>
          <w:rFonts w:hint="eastAsia" w:ascii="宋体" w:hAnsi="宋体" w:eastAsia="宋体" w:cs="宋体"/>
          <w:sz w:val="24"/>
        </w:rPr>
        <w:t>为金融行业的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服务提供了良好的发展契机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）市场需求的扩大</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金融信息技术的应用</w:t>
      </w:r>
      <w:r>
        <w:rPr>
          <w:rFonts w:hint="eastAsia" w:ascii="宋体" w:hAnsi="宋体" w:eastAsia="宋体" w:cs="宋体"/>
          <w:sz w:val="10"/>
        </w:rPr>
        <w:t>，</w:t>
      </w:r>
      <w:r>
        <w:rPr>
          <w:rFonts w:hint="eastAsia" w:ascii="宋体" w:hAnsi="宋体" w:eastAsia="宋体" w:cs="宋体"/>
          <w:sz w:val="24"/>
        </w:rPr>
        <w:t>往往是从初始的支持金融业务到运作金融业务</w:t>
      </w:r>
      <w:r>
        <w:rPr>
          <w:rFonts w:hint="eastAsia" w:ascii="宋体" w:hAnsi="宋体" w:eastAsia="宋体" w:cs="宋体"/>
          <w:sz w:val="10"/>
        </w:rPr>
        <w:t>、</w:t>
      </w:r>
      <w:r>
        <w:rPr>
          <w:rFonts w:hint="eastAsia" w:ascii="宋体" w:hAnsi="宋体" w:eastAsia="宋体" w:cs="宋体"/>
          <w:sz w:val="24"/>
        </w:rPr>
        <w:t>再到改造金融业务的过程</w:t>
      </w:r>
      <w:r>
        <w:rPr>
          <w:rFonts w:hint="eastAsia" w:ascii="宋体" w:hAnsi="宋体" w:eastAsia="宋体" w:cs="宋体"/>
          <w:sz w:val="10"/>
        </w:rPr>
        <w:t>，</w:t>
      </w:r>
      <w:r>
        <w:rPr>
          <w:rFonts w:hint="eastAsia" w:ascii="宋体" w:hAnsi="宋体" w:eastAsia="宋体" w:cs="宋体"/>
          <w:sz w:val="24"/>
        </w:rPr>
        <w:t>信息技术是金融业发展和创新的重要因素</w:t>
      </w:r>
      <w:r>
        <w:rPr>
          <w:rFonts w:hint="eastAsia" w:ascii="宋体" w:hAnsi="宋体" w:eastAsia="宋体" w:cs="宋体"/>
          <w:sz w:val="10"/>
        </w:rPr>
        <w:t>。</w:t>
      </w:r>
      <w:r>
        <w:rPr>
          <w:rFonts w:hint="eastAsia" w:ascii="宋体" w:hAnsi="宋体" w:eastAsia="宋体" w:cs="宋体"/>
          <w:sz w:val="24"/>
        </w:rPr>
        <w:t>随着市场竞争的日益激烈</w:t>
      </w:r>
      <w:r>
        <w:rPr>
          <w:rFonts w:hint="eastAsia" w:ascii="宋体" w:hAnsi="宋体" w:eastAsia="宋体" w:cs="宋体"/>
          <w:sz w:val="10"/>
        </w:rPr>
        <w:t>，</w:t>
      </w:r>
      <w:r>
        <w:rPr>
          <w:rFonts w:hint="eastAsia" w:ascii="宋体" w:hAnsi="宋体" w:eastAsia="宋体" w:cs="宋体"/>
          <w:sz w:val="24"/>
        </w:rPr>
        <w:t>迫使金融行业不断提升服务水平和产品创新能力</w:t>
      </w:r>
      <w:r>
        <w:rPr>
          <w:rFonts w:hint="eastAsia" w:ascii="宋体" w:hAnsi="宋体" w:eastAsia="宋体" w:cs="宋体"/>
          <w:sz w:val="10"/>
        </w:rPr>
        <w:t>，</w:t>
      </w:r>
      <w:r>
        <w:rPr>
          <w:rFonts w:hint="eastAsia" w:ascii="宋体" w:hAnsi="宋体" w:eastAsia="宋体" w:cs="宋体"/>
          <w:sz w:val="24"/>
        </w:rPr>
        <w:t>与之对应</w:t>
      </w:r>
      <w:r>
        <w:rPr>
          <w:rFonts w:hint="eastAsia" w:ascii="宋体" w:hAnsi="宋体" w:eastAsia="宋体" w:cs="宋体"/>
          <w:sz w:val="10"/>
        </w:rPr>
        <w:t>，</w:t>
      </w:r>
      <w:r>
        <w:rPr>
          <w:rFonts w:hint="eastAsia" w:ascii="宋体" w:hAnsi="宋体" w:eastAsia="宋体" w:cs="宋体"/>
          <w:sz w:val="24"/>
        </w:rPr>
        <w:t>对金融信息技术的需求也越来越大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战略思路的贯彻</w:t>
      </w:r>
      <w:r>
        <w:rPr>
          <w:rFonts w:hint="eastAsia" w:ascii="宋体" w:hAnsi="宋体" w:eastAsia="宋体" w:cs="宋体"/>
          <w:sz w:val="10"/>
        </w:rPr>
        <w:t>，</w:t>
      </w:r>
      <w:r>
        <w:rPr>
          <w:rFonts w:hint="eastAsia" w:ascii="宋体" w:hAnsi="宋体" w:eastAsia="宋体" w:cs="宋体"/>
          <w:sz w:val="24"/>
        </w:rPr>
        <w:t>将对更多行业互联网化或提高</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应用水平提出了更高要求</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各行业均有调整</w:t>
      </w:r>
      <w:r>
        <w:rPr>
          <w:rFonts w:hint="eastAsia" w:ascii="宋体" w:hAnsi="宋体" w:eastAsia="宋体" w:cs="宋体"/>
          <w:sz w:val="10"/>
        </w:rPr>
        <w:t>、</w:t>
      </w:r>
      <w:r>
        <w:rPr>
          <w:rFonts w:hint="eastAsia" w:ascii="宋体" w:hAnsi="宋体" w:eastAsia="宋体" w:cs="宋体"/>
          <w:sz w:val="24"/>
        </w:rPr>
        <w:t>替换</w:t>
      </w:r>
      <w:r>
        <w:rPr>
          <w:rFonts w:hint="eastAsia" w:ascii="宋体" w:hAnsi="宋体" w:eastAsia="宋体" w:cs="宋体"/>
          <w:sz w:val="10"/>
        </w:rPr>
        <w:t>、</w:t>
      </w:r>
      <w:r>
        <w:rPr>
          <w:rFonts w:hint="eastAsia" w:ascii="宋体" w:hAnsi="宋体" w:eastAsia="宋体" w:cs="宋体"/>
          <w:sz w:val="24"/>
        </w:rPr>
        <w:t>升级现有</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w:t>
      </w:r>
      <w:r>
        <w:rPr>
          <w:rFonts w:hint="eastAsia" w:ascii="宋体" w:hAnsi="宋体" w:eastAsia="宋体" w:cs="宋体"/>
          <w:sz w:val="10"/>
        </w:rPr>
        <w:t>，</w:t>
      </w:r>
      <w:r>
        <w:rPr>
          <w:rFonts w:hint="eastAsia" w:ascii="宋体" w:hAnsi="宋体" w:eastAsia="宋体" w:cs="宋体"/>
          <w:sz w:val="24"/>
        </w:rPr>
        <w:t>使之更为适应互联网特点的需求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）技术进步引领行业发展</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软件产业具有技术更新快</w:t>
      </w:r>
      <w:r>
        <w:rPr>
          <w:rFonts w:hint="eastAsia" w:ascii="宋体" w:hAnsi="宋体" w:eastAsia="宋体" w:cs="宋体"/>
          <w:sz w:val="10"/>
        </w:rPr>
        <w:t>、</w:t>
      </w:r>
      <w:r>
        <w:rPr>
          <w:rFonts w:hint="eastAsia" w:ascii="宋体" w:hAnsi="宋体" w:eastAsia="宋体" w:cs="宋体"/>
          <w:sz w:val="24"/>
        </w:rPr>
        <w:t>产品生命周期短</w:t>
      </w:r>
      <w:r>
        <w:rPr>
          <w:rFonts w:hint="eastAsia" w:ascii="宋体" w:hAnsi="宋体" w:eastAsia="宋体" w:cs="宋体"/>
          <w:sz w:val="10"/>
        </w:rPr>
        <w:t>、</w:t>
      </w:r>
      <w:r>
        <w:rPr>
          <w:rFonts w:hint="eastAsia" w:ascii="宋体" w:hAnsi="宋体" w:eastAsia="宋体" w:cs="宋体"/>
          <w:sz w:val="24"/>
        </w:rPr>
        <w:t>升级频繁</w:t>
      </w:r>
      <w:r>
        <w:rPr>
          <w:rFonts w:hint="eastAsia" w:ascii="宋体" w:hAnsi="宋体" w:eastAsia="宋体" w:cs="宋体"/>
          <w:sz w:val="10"/>
        </w:rPr>
        <w:t>、</w:t>
      </w:r>
      <w:r>
        <w:rPr>
          <w:rFonts w:hint="eastAsia" w:ascii="宋体" w:hAnsi="宋体" w:eastAsia="宋体" w:cs="宋体"/>
          <w:sz w:val="24"/>
        </w:rPr>
        <w:t>技术继承性较强等特点</w:t>
      </w:r>
      <w:r>
        <w:rPr>
          <w:rFonts w:hint="eastAsia" w:ascii="宋体" w:hAnsi="宋体" w:eastAsia="宋体" w:cs="宋体"/>
          <w:sz w:val="10"/>
        </w:rPr>
        <w:t>。</w:t>
      </w:r>
      <w:r>
        <w:rPr>
          <w:rFonts w:hint="eastAsia" w:ascii="Times New Roman" w:hAnsi="Times New Roman" w:eastAsia="Times New Roman" w:cs="Times New Roman"/>
          <w:sz w:val="24"/>
        </w:rPr>
        <w:t>SOA</w:t>
      </w:r>
      <w:r>
        <w:rPr>
          <w:rFonts w:hint="eastAsia" w:ascii="宋体" w:hAnsi="宋体" w:eastAsia="宋体" w:cs="宋体"/>
          <w:sz w:val="24"/>
        </w:rPr>
        <w:t xml:space="preserve"> 架构</w:t>
      </w:r>
      <w:r>
        <w:rPr>
          <w:rFonts w:hint="eastAsia" w:ascii="宋体" w:hAnsi="宋体" w:eastAsia="宋体" w:cs="宋体"/>
          <w:sz w:val="10"/>
        </w:rPr>
        <w:t>、</w:t>
      </w:r>
      <w:r>
        <w:rPr>
          <w:rFonts w:hint="eastAsia" w:ascii="宋体" w:hAnsi="宋体" w:eastAsia="宋体" w:cs="宋体"/>
          <w:sz w:val="24"/>
        </w:rPr>
        <w:t>互联网金融与云计算等创新技术的不断发展</w:t>
      </w:r>
      <w:r>
        <w:rPr>
          <w:rFonts w:hint="eastAsia" w:ascii="宋体" w:hAnsi="宋体" w:eastAsia="宋体" w:cs="宋体"/>
          <w:sz w:val="10"/>
        </w:rPr>
        <w:t>，</w:t>
      </w:r>
      <w:r>
        <w:rPr>
          <w:rFonts w:hint="eastAsia" w:ascii="宋体" w:hAnsi="宋体" w:eastAsia="宋体" w:cs="宋体"/>
          <w:sz w:val="24"/>
        </w:rPr>
        <w:t>以及</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趋势不断深入</w:t>
      </w:r>
      <w:r>
        <w:rPr>
          <w:rFonts w:hint="eastAsia" w:ascii="宋体" w:hAnsi="宋体" w:eastAsia="宋体" w:cs="宋体"/>
          <w:sz w:val="10"/>
        </w:rPr>
        <w:t>，</w:t>
      </w:r>
      <w:r>
        <w:rPr>
          <w:rFonts w:hint="eastAsia" w:ascii="宋体" w:hAnsi="宋体" w:eastAsia="宋体" w:cs="宋体"/>
          <w:sz w:val="24"/>
        </w:rPr>
        <w:t>将促使行业应用软件进行持续更新</w:t>
      </w:r>
      <w:r>
        <w:rPr>
          <w:rFonts w:hint="eastAsia" w:ascii="宋体" w:hAnsi="宋体" w:eastAsia="宋体" w:cs="宋体"/>
          <w:sz w:val="10"/>
        </w:rPr>
        <w:t>，</w:t>
      </w:r>
      <w:r>
        <w:rPr>
          <w:rFonts w:hint="eastAsia" w:ascii="宋体" w:hAnsi="宋体" w:eastAsia="宋体" w:cs="宋体"/>
          <w:sz w:val="24"/>
        </w:rPr>
        <w:t>以实现对各种技术应用的有效支持</w:t>
      </w:r>
      <w:r>
        <w:rPr>
          <w:rFonts w:hint="eastAsia" w:ascii="宋体" w:hAnsi="宋体" w:eastAsia="宋体" w:cs="宋体"/>
          <w:sz w:val="10"/>
        </w:rPr>
        <w:t>，</w:t>
      </w:r>
      <w:r>
        <w:rPr>
          <w:rFonts w:hint="eastAsia" w:ascii="宋体" w:hAnsi="宋体" w:eastAsia="宋体" w:cs="宋体"/>
          <w:sz w:val="24"/>
        </w:rPr>
        <w:t>使得其功能和性能更加完善</w:t>
      </w:r>
      <w:r>
        <w:rPr>
          <w:rFonts w:hint="eastAsia" w:ascii="宋体" w:hAnsi="宋体" w:eastAsia="宋体" w:cs="宋体"/>
          <w:sz w:val="10"/>
        </w:rPr>
        <w:t>，</w:t>
      </w:r>
      <w:r>
        <w:rPr>
          <w:rFonts w:hint="eastAsia" w:ascii="宋体" w:hAnsi="宋体" w:eastAsia="宋体" w:cs="宋体"/>
          <w:sz w:val="24"/>
        </w:rPr>
        <w:t>其服务更加柔性化和个性化</w:t>
      </w:r>
      <w:r>
        <w:rPr>
          <w:rFonts w:hint="eastAsia" w:ascii="宋体" w:hAnsi="宋体" w:eastAsia="宋体" w:cs="宋体"/>
          <w:sz w:val="10"/>
        </w:rPr>
        <w:t>，</w:t>
      </w:r>
      <w:r>
        <w:rPr>
          <w:rFonts w:hint="eastAsia" w:ascii="宋体" w:hAnsi="宋体" w:eastAsia="宋体" w:cs="宋体"/>
          <w:sz w:val="24"/>
        </w:rPr>
        <w:t>从而更好的去创造和满足市场需求</w:t>
      </w:r>
      <w:r>
        <w:rPr>
          <w:rFonts w:hint="eastAsia" w:ascii="宋体" w:hAnsi="宋体" w:eastAsia="宋体" w:cs="宋体"/>
          <w:sz w:val="10"/>
        </w:rPr>
        <w:t>，</w:t>
      </w:r>
      <w:r>
        <w:rPr>
          <w:rFonts w:hint="eastAsia" w:ascii="宋体" w:hAnsi="宋体" w:eastAsia="宋体" w:cs="宋体"/>
          <w:sz w:val="24"/>
        </w:rPr>
        <w:t>推动行业的持续发展</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不利因素</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）人才瓶颈</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信息技术产业是技术密集型产业</w:t>
      </w:r>
      <w:r>
        <w:rPr>
          <w:rFonts w:hint="eastAsia" w:ascii="宋体" w:hAnsi="宋体" w:eastAsia="宋体" w:cs="宋体"/>
          <w:sz w:val="10"/>
        </w:rPr>
        <w:t>，</w:t>
      </w:r>
      <w:r>
        <w:rPr>
          <w:rFonts w:hint="eastAsia" w:ascii="宋体" w:hAnsi="宋体" w:eastAsia="宋体" w:cs="宋体"/>
          <w:sz w:val="24"/>
        </w:rPr>
        <w:t>随着软件企业规模扩大</w:t>
      </w:r>
      <w:r>
        <w:rPr>
          <w:rFonts w:hint="eastAsia" w:ascii="宋体" w:hAnsi="宋体" w:eastAsia="宋体" w:cs="宋体"/>
          <w:sz w:val="10"/>
        </w:rPr>
        <w:t>，</w:t>
      </w:r>
      <w:r>
        <w:rPr>
          <w:rFonts w:hint="eastAsia" w:ascii="宋体" w:hAnsi="宋体" w:eastAsia="宋体" w:cs="宋体"/>
          <w:sz w:val="24"/>
        </w:rPr>
        <w:t>对掌握高水平软件技术的人员需求量也在不断增加</w:t>
      </w:r>
      <w:r>
        <w:rPr>
          <w:rFonts w:hint="eastAsia" w:ascii="宋体" w:hAnsi="宋体" w:eastAsia="宋体" w:cs="宋体"/>
          <w:sz w:val="10"/>
        </w:rPr>
        <w:t>。</w:t>
      </w:r>
      <w:r>
        <w:rPr>
          <w:rFonts w:hint="eastAsia" w:ascii="宋体" w:hAnsi="宋体" w:eastAsia="宋体" w:cs="宋体"/>
          <w:sz w:val="24"/>
        </w:rPr>
        <w:t>尤其对于行业应用软件企业</w:t>
      </w:r>
      <w:r>
        <w:rPr>
          <w:rFonts w:hint="eastAsia" w:ascii="宋体" w:hAnsi="宋体" w:eastAsia="宋体" w:cs="宋体"/>
          <w:sz w:val="10"/>
        </w:rPr>
        <w:t>，</w:t>
      </w:r>
      <w:r>
        <w:rPr>
          <w:rFonts w:hint="eastAsia" w:ascii="宋体" w:hAnsi="宋体" w:eastAsia="宋体" w:cs="宋体"/>
          <w:sz w:val="24"/>
        </w:rPr>
        <w:t>不但对人员的软件技术水平有所要求</w:t>
      </w:r>
      <w:r>
        <w:rPr>
          <w:rFonts w:hint="eastAsia" w:ascii="宋体" w:hAnsi="宋体" w:eastAsia="宋体" w:cs="宋体"/>
          <w:sz w:val="10"/>
        </w:rPr>
        <w:t>，</w:t>
      </w:r>
      <w:r>
        <w:rPr>
          <w:rFonts w:hint="eastAsia" w:ascii="宋体" w:hAnsi="宋体" w:eastAsia="宋体" w:cs="宋体"/>
          <w:sz w:val="24"/>
        </w:rPr>
        <w:t>同时还需要这些技术人员对目标行业的基本知识</w:t>
      </w:r>
      <w:r>
        <w:rPr>
          <w:rFonts w:hint="eastAsia" w:ascii="宋体" w:hAnsi="宋体" w:eastAsia="宋体" w:cs="宋体"/>
          <w:sz w:val="10"/>
        </w:rPr>
        <w:t>、</w:t>
      </w:r>
      <w:r>
        <w:rPr>
          <w:rFonts w:hint="eastAsia" w:ascii="宋体" w:hAnsi="宋体" w:eastAsia="宋体" w:cs="宋体"/>
          <w:sz w:val="24"/>
        </w:rPr>
        <w:t>业务特点</w:t>
      </w:r>
      <w:r>
        <w:rPr>
          <w:rFonts w:hint="eastAsia" w:ascii="宋体" w:hAnsi="宋体" w:eastAsia="宋体" w:cs="宋体"/>
          <w:sz w:val="10"/>
        </w:rPr>
        <w:t>、</w:t>
      </w:r>
      <w:r>
        <w:rPr>
          <w:rFonts w:hint="eastAsia" w:ascii="宋体" w:hAnsi="宋体" w:eastAsia="宋体" w:cs="宋体"/>
          <w:sz w:val="24"/>
        </w:rPr>
        <w:t>行业背景有所掌握</w:t>
      </w:r>
      <w:r>
        <w:rPr>
          <w:rFonts w:hint="eastAsia" w:ascii="宋体" w:hAnsi="宋体" w:eastAsia="宋体" w:cs="宋体"/>
          <w:sz w:val="10"/>
        </w:rPr>
        <w:t>，</w:t>
      </w:r>
      <w:r>
        <w:rPr>
          <w:rFonts w:hint="eastAsia" w:ascii="宋体" w:hAnsi="宋体" w:eastAsia="宋体" w:cs="宋体"/>
          <w:sz w:val="24"/>
        </w:rPr>
        <w:t>并且在项目执行中</w:t>
      </w:r>
      <w:r>
        <w:rPr>
          <w:rFonts w:hint="eastAsia" w:ascii="宋体" w:hAnsi="宋体" w:eastAsia="宋体" w:cs="宋体"/>
          <w:sz w:val="10"/>
        </w:rPr>
        <w:t>，</w:t>
      </w:r>
      <w:r>
        <w:rPr>
          <w:rFonts w:hint="eastAsia" w:ascii="宋体" w:hAnsi="宋体" w:eastAsia="宋体" w:cs="宋体"/>
          <w:sz w:val="24"/>
        </w:rPr>
        <w:t>能够深刻理解客户需求</w:t>
      </w:r>
      <w:r>
        <w:rPr>
          <w:rFonts w:hint="eastAsia" w:ascii="宋体" w:hAnsi="宋体" w:eastAsia="宋体" w:cs="宋体"/>
          <w:sz w:val="10"/>
        </w:rPr>
        <w:t>，</w:t>
      </w:r>
      <w:r>
        <w:rPr>
          <w:rFonts w:hint="eastAsia" w:ascii="宋体" w:hAnsi="宋体" w:eastAsia="宋体" w:cs="宋体"/>
          <w:sz w:val="24"/>
        </w:rPr>
        <w:t>方案设计具有前瞻性和创新性</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由于我国软件企业起步较晚</w:t>
      </w:r>
      <w:r>
        <w:rPr>
          <w:rFonts w:hint="eastAsia" w:ascii="宋体" w:hAnsi="宋体" w:eastAsia="宋体" w:cs="宋体"/>
          <w:sz w:val="10"/>
        </w:rPr>
        <w:t>，</w:t>
      </w:r>
      <w:r>
        <w:rPr>
          <w:rFonts w:hint="eastAsia" w:ascii="宋体" w:hAnsi="宋体" w:eastAsia="宋体" w:cs="宋体"/>
          <w:sz w:val="24"/>
        </w:rPr>
        <w:t>科研水平有待进一步提高</w:t>
      </w:r>
      <w:r>
        <w:rPr>
          <w:rFonts w:hint="eastAsia" w:ascii="宋体" w:hAnsi="宋体" w:eastAsia="宋体" w:cs="宋体"/>
          <w:sz w:val="10"/>
        </w:rPr>
        <w:t>，</w:t>
      </w:r>
      <w:r>
        <w:rPr>
          <w:rFonts w:hint="eastAsia" w:ascii="宋体" w:hAnsi="宋体" w:eastAsia="宋体" w:cs="宋体"/>
          <w:sz w:val="24"/>
        </w:rPr>
        <w:t>教育体制对于高精尖软件人才的培养需要不断累积经验</w:t>
      </w:r>
      <w:r>
        <w:rPr>
          <w:rFonts w:hint="eastAsia" w:ascii="宋体" w:hAnsi="宋体" w:eastAsia="宋体" w:cs="宋体"/>
          <w:sz w:val="10"/>
        </w:rPr>
        <w:t>，</w:t>
      </w:r>
      <w:r>
        <w:rPr>
          <w:rFonts w:hint="eastAsia" w:ascii="宋体" w:hAnsi="宋体" w:eastAsia="宋体" w:cs="宋体"/>
          <w:sz w:val="24"/>
        </w:rPr>
        <w:t>随着经济社会发展和工业化信息化进程加速</w:t>
      </w:r>
      <w:r>
        <w:rPr>
          <w:rFonts w:hint="eastAsia" w:ascii="宋体" w:hAnsi="宋体" w:eastAsia="宋体" w:cs="宋体"/>
          <w:sz w:val="10"/>
        </w:rPr>
        <w:t>，</w:t>
      </w:r>
      <w:r>
        <w:rPr>
          <w:rFonts w:hint="eastAsia" w:ascii="宋体" w:hAnsi="宋体" w:eastAsia="宋体" w:cs="宋体"/>
          <w:sz w:val="24"/>
        </w:rPr>
        <w:t>对软件产品及服务的要求将越来越高</w:t>
      </w:r>
      <w:r>
        <w:rPr>
          <w:rFonts w:hint="eastAsia" w:ascii="宋体" w:hAnsi="宋体" w:eastAsia="宋体" w:cs="宋体"/>
          <w:sz w:val="10"/>
        </w:rPr>
        <w:t>，</w:t>
      </w:r>
      <w:r>
        <w:rPr>
          <w:rFonts w:hint="eastAsia" w:ascii="宋体" w:hAnsi="宋体" w:eastAsia="宋体" w:cs="宋体"/>
          <w:sz w:val="24"/>
        </w:rPr>
        <w:t>软件产业人才培养也将面临挑战</w:t>
      </w:r>
      <w:r>
        <w:rPr>
          <w:rFonts w:hint="eastAsia" w:ascii="宋体" w:hAnsi="宋体" w:eastAsia="宋体" w:cs="宋体"/>
          <w:sz w:val="10"/>
        </w:rPr>
        <w:t>，</w:t>
      </w:r>
      <w:r>
        <w:rPr>
          <w:rFonts w:hint="eastAsia" w:ascii="宋体" w:hAnsi="宋体" w:eastAsia="宋体" w:cs="宋体"/>
          <w:sz w:val="24"/>
        </w:rPr>
        <w:t>高端软件开发人才的缺乏可能成为制约未来我国软件产业发展的瓶颈</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1-1-127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0"/>
        </w:rPr>
        <w:t>（</w:t>
      </w:r>
      <w:r>
        <w:rPr>
          <w:rFonts w:hint="eastAsia" w:ascii="Times New Roman" w:hAnsi="Times New Roman" w:eastAsia="Times New Roman" w:cs="Times New Roman"/>
          <w:sz w:val="24"/>
        </w:rPr>
        <w:t>2</w:t>
      </w:r>
      <w:r>
        <w:rPr>
          <w:rFonts w:hint="eastAsia" w:ascii="宋体" w:hAnsi="宋体" w:eastAsia="宋体" w:cs="宋体"/>
          <w:sz w:val="24"/>
        </w:rPr>
        <w:t>）资金压力较大</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由于本行业具有技术更新快</w:t>
      </w:r>
      <w:r>
        <w:rPr>
          <w:rFonts w:hint="eastAsia" w:ascii="宋体" w:hAnsi="宋体" w:eastAsia="宋体" w:cs="宋体"/>
          <w:sz w:val="10"/>
        </w:rPr>
        <w:t>、</w:t>
      </w:r>
      <w:r>
        <w:rPr>
          <w:rFonts w:hint="eastAsia" w:ascii="宋体" w:hAnsi="宋体" w:eastAsia="宋体" w:cs="宋体"/>
          <w:sz w:val="24"/>
        </w:rPr>
        <w:t>生命周期短</w:t>
      </w:r>
      <w:r>
        <w:rPr>
          <w:rFonts w:hint="eastAsia" w:ascii="宋体" w:hAnsi="宋体" w:eastAsia="宋体" w:cs="宋体"/>
          <w:sz w:val="10"/>
        </w:rPr>
        <w:t>、</w:t>
      </w:r>
      <w:r>
        <w:rPr>
          <w:rFonts w:hint="eastAsia" w:ascii="宋体" w:hAnsi="宋体" w:eastAsia="宋体" w:cs="宋体"/>
          <w:sz w:val="24"/>
        </w:rPr>
        <w:t>技术升级换代频繁的特点</w:t>
      </w:r>
      <w:r>
        <w:rPr>
          <w:rFonts w:hint="eastAsia" w:ascii="宋体" w:hAnsi="宋体" w:eastAsia="宋体" w:cs="宋体"/>
          <w:sz w:val="10"/>
        </w:rPr>
        <w:t>，</w:t>
      </w:r>
      <w:r>
        <w:rPr>
          <w:rFonts w:hint="eastAsia" w:ascii="宋体" w:hAnsi="宋体" w:eastAsia="宋体" w:cs="宋体"/>
          <w:sz w:val="24"/>
        </w:rPr>
        <w:t>需要企业准确把握技术发展趋势</w:t>
      </w:r>
      <w:r>
        <w:rPr>
          <w:rFonts w:hint="eastAsia" w:ascii="宋体" w:hAnsi="宋体" w:eastAsia="宋体" w:cs="宋体"/>
          <w:sz w:val="10"/>
        </w:rPr>
        <w:t>，</w:t>
      </w:r>
      <w:r>
        <w:rPr>
          <w:rFonts w:hint="eastAsia" w:ascii="宋体" w:hAnsi="宋体" w:eastAsia="宋体" w:cs="宋体"/>
          <w:sz w:val="24"/>
        </w:rPr>
        <w:t>不断推出新产品和提升服务水平</w:t>
      </w:r>
      <w:r>
        <w:rPr>
          <w:rFonts w:hint="eastAsia" w:ascii="宋体" w:hAnsi="宋体" w:eastAsia="宋体" w:cs="宋体"/>
          <w:sz w:val="10"/>
        </w:rPr>
        <w:t>，</w:t>
      </w:r>
      <w:r>
        <w:rPr>
          <w:rFonts w:hint="eastAsia" w:ascii="宋体" w:hAnsi="宋体" w:eastAsia="宋体" w:cs="宋体"/>
          <w:sz w:val="24"/>
        </w:rPr>
        <w:t>才能抓住市场机遇</w:t>
      </w:r>
      <w:r>
        <w:rPr>
          <w:rFonts w:hint="eastAsia" w:ascii="宋体" w:hAnsi="宋体" w:eastAsia="宋体" w:cs="宋体"/>
          <w:sz w:val="10"/>
        </w:rPr>
        <w:t>，</w:t>
      </w:r>
      <w:r>
        <w:rPr>
          <w:rFonts w:hint="eastAsia" w:ascii="宋体" w:hAnsi="宋体" w:eastAsia="宋体" w:cs="宋体"/>
          <w:sz w:val="24"/>
        </w:rPr>
        <w:t>满足市场需求</w:t>
      </w:r>
      <w:r>
        <w:rPr>
          <w:rFonts w:hint="eastAsia" w:ascii="宋体" w:hAnsi="宋体" w:eastAsia="宋体" w:cs="宋体"/>
          <w:sz w:val="10"/>
        </w:rPr>
        <w:t>，</w:t>
      </w:r>
      <w:r>
        <w:rPr>
          <w:rFonts w:hint="eastAsia" w:ascii="宋体" w:hAnsi="宋体" w:eastAsia="宋体" w:cs="宋体"/>
          <w:sz w:val="24"/>
        </w:rPr>
        <w:t>保持自身的竞争力</w:t>
      </w:r>
      <w:r>
        <w:rPr>
          <w:rFonts w:hint="eastAsia" w:ascii="宋体" w:hAnsi="宋体" w:eastAsia="宋体" w:cs="宋体"/>
          <w:sz w:val="10"/>
        </w:rPr>
        <w:t>。</w:t>
      </w:r>
      <w:r>
        <w:rPr>
          <w:rFonts w:hint="eastAsia" w:ascii="宋体" w:hAnsi="宋体" w:eastAsia="宋体" w:cs="宋体"/>
          <w:sz w:val="24"/>
        </w:rPr>
        <w:t>但技术更新需要大量的研发投入</w:t>
      </w:r>
      <w:r>
        <w:rPr>
          <w:rFonts w:hint="eastAsia" w:ascii="宋体" w:hAnsi="宋体" w:eastAsia="宋体" w:cs="宋体"/>
          <w:sz w:val="10"/>
        </w:rPr>
        <w:t>，</w:t>
      </w:r>
      <w:r>
        <w:rPr>
          <w:rFonts w:hint="eastAsia" w:ascii="宋体" w:hAnsi="宋体" w:eastAsia="宋体" w:cs="宋体"/>
          <w:sz w:val="24"/>
        </w:rPr>
        <w:t>资金不足往往成为众多软件企业面临的瓶颈</w:t>
      </w:r>
      <w:r>
        <w:rPr>
          <w:rFonts w:hint="eastAsia" w:ascii="宋体" w:hAnsi="宋体" w:eastAsia="宋体" w:cs="宋体"/>
          <w:sz w:val="10"/>
        </w:rPr>
        <w:t>，</w:t>
      </w:r>
      <w:r>
        <w:rPr>
          <w:rFonts w:hint="eastAsia" w:ascii="宋体" w:hAnsi="宋体" w:eastAsia="宋体" w:cs="宋体"/>
          <w:sz w:val="24"/>
        </w:rPr>
        <w:t>制约了行业整体的发展</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（七）行业的区域性</w:t>
      </w:r>
      <w:r>
        <w:rPr>
          <w:rFonts w:hint="eastAsia" w:ascii="宋体" w:hAnsi="宋体" w:eastAsia="宋体" w:cs="宋体"/>
          <w:b/>
          <w:sz w:val="10"/>
        </w:rPr>
        <w:t>、</w:t>
      </w:r>
      <w:r>
        <w:rPr>
          <w:rFonts w:hint="eastAsia" w:ascii="宋体" w:hAnsi="宋体" w:eastAsia="宋体" w:cs="宋体"/>
          <w:b/>
          <w:sz w:val="24"/>
        </w:rPr>
        <w:t>季节性和周期性特征</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区域性</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我国的金融机构</w:t>
      </w:r>
      <w:r>
        <w:rPr>
          <w:rFonts w:hint="eastAsia" w:ascii="宋体" w:hAnsi="宋体" w:eastAsia="宋体" w:cs="宋体"/>
          <w:sz w:val="10"/>
        </w:rPr>
        <w:t>，</w:t>
      </w:r>
      <w:r>
        <w:rPr>
          <w:rFonts w:hint="eastAsia" w:ascii="宋体" w:hAnsi="宋体" w:eastAsia="宋体" w:cs="宋体"/>
          <w:sz w:val="24"/>
        </w:rPr>
        <w:t>尤其是证券公司</w:t>
      </w:r>
      <w:r>
        <w:rPr>
          <w:rFonts w:hint="eastAsia" w:ascii="宋体" w:hAnsi="宋体" w:eastAsia="宋体" w:cs="宋体"/>
          <w:sz w:val="10"/>
        </w:rPr>
        <w:t>，</w:t>
      </w:r>
      <w:r>
        <w:rPr>
          <w:rFonts w:hint="eastAsia" w:ascii="宋体" w:hAnsi="宋体" w:eastAsia="宋体" w:cs="宋体"/>
          <w:sz w:val="24"/>
        </w:rPr>
        <w:t>主要分布在北京</w:t>
      </w:r>
      <w:r>
        <w:rPr>
          <w:rFonts w:hint="eastAsia" w:ascii="宋体" w:hAnsi="宋体" w:eastAsia="宋体" w:cs="宋体"/>
          <w:sz w:val="10"/>
        </w:rPr>
        <w:t>、</w:t>
      </w:r>
      <w:r>
        <w:rPr>
          <w:rFonts w:hint="eastAsia" w:ascii="宋体" w:hAnsi="宋体" w:eastAsia="宋体" w:cs="宋体"/>
          <w:sz w:val="24"/>
        </w:rPr>
        <w:t>上海</w:t>
      </w:r>
      <w:r>
        <w:rPr>
          <w:rFonts w:hint="eastAsia" w:ascii="宋体" w:hAnsi="宋体" w:eastAsia="宋体" w:cs="宋体"/>
          <w:sz w:val="10"/>
        </w:rPr>
        <w:t>、</w:t>
      </w:r>
      <w:r>
        <w:rPr>
          <w:rFonts w:hint="eastAsia" w:ascii="宋体" w:hAnsi="宋体" w:eastAsia="宋体" w:cs="宋体"/>
          <w:sz w:val="24"/>
        </w:rPr>
        <w:t>广州</w:t>
      </w:r>
      <w:r>
        <w:rPr>
          <w:rFonts w:hint="eastAsia" w:ascii="宋体" w:hAnsi="宋体" w:eastAsia="宋体" w:cs="宋体"/>
          <w:sz w:val="10"/>
        </w:rPr>
        <w:t>、</w:t>
      </w:r>
      <w:r>
        <w:rPr>
          <w:rFonts w:hint="eastAsia" w:ascii="宋体" w:hAnsi="宋体" w:eastAsia="宋体" w:cs="宋体"/>
          <w:sz w:val="24"/>
        </w:rPr>
        <w:t>深圳等一线金融中心</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行业内的主要供应商也将业务重点和相应的子分公司布置在上述核心城市内</w:t>
      </w:r>
      <w:r>
        <w:rPr>
          <w:rFonts w:hint="eastAsia" w:ascii="宋体" w:hAnsi="宋体" w:eastAsia="宋体" w:cs="宋体"/>
          <w:sz w:val="10"/>
        </w:rPr>
        <w:t>。</w:t>
      </w:r>
      <w:r>
        <w:rPr>
          <w:rFonts w:hint="eastAsia" w:ascii="宋体" w:hAnsi="宋体" w:eastAsia="宋体" w:cs="宋体"/>
          <w:sz w:val="24"/>
        </w:rPr>
        <w:t>这与我国金融行业发展的整体分布趋势相吻合</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与此同时</w:t>
      </w:r>
      <w:r>
        <w:rPr>
          <w:rFonts w:hint="eastAsia" w:ascii="宋体" w:hAnsi="宋体" w:eastAsia="宋体" w:cs="宋体"/>
          <w:sz w:val="10"/>
        </w:rPr>
        <w:t>，</w:t>
      </w:r>
      <w:r>
        <w:rPr>
          <w:rFonts w:hint="eastAsia" w:ascii="宋体" w:hAnsi="宋体" w:eastAsia="宋体" w:cs="宋体"/>
          <w:sz w:val="24"/>
        </w:rPr>
        <w:t>随着证券行业的不断创新</w:t>
      </w:r>
      <w:r>
        <w:rPr>
          <w:rFonts w:hint="eastAsia" w:ascii="宋体" w:hAnsi="宋体" w:eastAsia="宋体" w:cs="宋体"/>
          <w:sz w:val="10"/>
        </w:rPr>
        <w:t>，</w:t>
      </w:r>
      <w:r>
        <w:rPr>
          <w:rFonts w:hint="eastAsia" w:ascii="宋体" w:hAnsi="宋体" w:eastAsia="宋体" w:cs="宋体"/>
          <w:sz w:val="24"/>
        </w:rPr>
        <w:t>金融行业的业务分部范围正在不断扩展</w:t>
      </w:r>
      <w:r>
        <w:rPr>
          <w:rFonts w:hint="eastAsia" w:ascii="宋体" w:hAnsi="宋体" w:eastAsia="宋体" w:cs="宋体"/>
          <w:sz w:val="10"/>
        </w:rPr>
        <w:t>，</w:t>
      </w:r>
      <w:r>
        <w:rPr>
          <w:rFonts w:hint="eastAsia" w:ascii="宋体" w:hAnsi="宋体" w:eastAsia="宋体" w:cs="宋体"/>
          <w:sz w:val="24"/>
        </w:rPr>
        <w:t>全国范围内业务扩展已经取得了一定成效</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季节性</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公司客户主要分布于证券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电子交易市场</w:t>
      </w:r>
      <w:r>
        <w:rPr>
          <w:rFonts w:hint="eastAsia" w:ascii="宋体" w:hAnsi="宋体" w:eastAsia="宋体" w:cs="宋体"/>
          <w:sz w:val="10"/>
        </w:rPr>
        <w:t>、</w:t>
      </w:r>
      <w:r>
        <w:rPr>
          <w:rFonts w:hint="eastAsia" w:ascii="宋体" w:hAnsi="宋体" w:eastAsia="宋体" w:cs="宋体"/>
          <w:sz w:val="24"/>
        </w:rPr>
        <w:t>银行等多个行业</w:t>
      </w:r>
      <w:r>
        <w:rPr>
          <w:rFonts w:hint="eastAsia" w:ascii="宋体" w:hAnsi="宋体" w:eastAsia="宋体" w:cs="宋体"/>
          <w:sz w:val="10"/>
        </w:rPr>
        <w:t>，</w:t>
      </w:r>
      <w:r>
        <w:rPr>
          <w:rFonts w:hint="eastAsia" w:ascii="宋体" w:hAnsi="宋体" w:eastAsia="宋体" w:cs="宋体"/>
          <w:sz w:val="24"/>
        </w:rPr>
        <w:t>基于其预算管理制度的特点</w:t>
      </w:r>
      <w:r>
        <w:rPr>
          <w:rFonts w:hint="eastAsia" w:ascii="宋体" w:hAnsi="宋体" w:eastAsia="宋体" w:cs="宋体"/>
          <w:sz w:val="10"/>
        </w:rPr>
        <w:t>，</w:t>
      </w:r>
      <w:r>
        <w:rPr>
          <w:rFonts w:hint="eastAsia" w:ascii="宋体" w:hAnsi="宋体" w:eastAsia="宋体" w:cs="宋体"/>
          <w:sz w:val="24"/>
        </w:rPr>
        <w:t>通常在每年年底编制下一年</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预算</w:t>
      </w:r>
      <w:r>
        <w:rPr>
          <w:rFonts w:hint="eastAsia" w:ascii="宋体" w:hAnsi="宋体" w:eastAsia="宋体" w:cs="宋体"/>
          <w:sz w:val="10"/>
        </w:rPr>
        <w:t>，</w:t>
      </w:r>
      <w:r>
        <w:rPr>
          <w:rFonts w:hint="eastAsia" w:ascii="宋体" w:hAnsi="宋体" w:eastAsia="宋体" w:cs="宋体"/>
          <w:sz w:val="24"/>
        </w:rPr>
        <w:t>次年上半年启动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20"/>
        <w:jc w:val="both"/>
      </w:pPr>
      <w:r>
        <w:rPr>
          <w:rFonts w:hint="eastAsia" w:ascii="宋体" w:hAnsi="宋体" w:eastAsia="宋体" w:cs="宋体"/>
          <w:sz w:val="24"/>
        </w:rPr>
        <w:t>公司的营业收入也会根据客户的预算实施情况呈现季节性波动</w:t>
      </w:r>
      <w:r>
        <w:rPr>
          <w:rFonts w:hint="eastAsia" w:ascii="宋体" w:hAnsi="宋体" w:eastAsia="宋体" w:cs="宋体"/>
          <w:sz w:val="10"/>
        </w:rPr>
        <w:t>，</w:t>
      </w:r>
      <w:r>
        <w:rPr>
          <w:rFonts w:hint="eastAsia" w:ascii="宋体" w:hAnsi="宋体" w:eastAsia="宋体" w:cs="宋体"/>
          <w:sz w:val="24"/>
        </w:rPr>
        <w:t>即收入较为集中在第四季度</w:t>
      </w:r>
      <w:r>
        <w:rPr>
          <w:rFonts w:hint="eastAsia" w:ascii="宋体" w:hAnsi="宋体" w:eastAsia="宋体" w:cs="宋体"/>
          <w:sz w:val="10"/>
        </w:rPr>
        <w:t>，</w:t>
      </w:r>
      <w:r>
        <w:rPr>
          <w:rFonts w:hint="eastAsia" w:ascii="宋体" w:hAnsi="宋体" w:eastAsia="宋体" w:cs="宋体"/>
          <w:sz w:val="24"/>
        </w:rPr>
        <w:t>全年呈上升趋势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周期性</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金融行业具备一定周期性特点</w:t>
      </w:r>
      <w:r>
        <w:rPr>
          <w:rFonts w:hint="eastAsia" w:ascii="宋体" w:hAnsi="宋体" w:eastAsia="宋体" w:cs="宋体"/>
          <w:sz w:val="10"/>
        </w:rPr>
        <w:t>，</w:t>
      </w:r>
      <w:r>
        <w:rPr>
          <w:rFonts w:hint="eastAsia" w:ascii="宋体" w:hAnsi="宋体" w:eastAsia="宋体" w:cs="宋体"/>
          <w:sz w:val="24"/>
        </w:rPr>
        <w:t>金融行业发展受宏观经济形势</w:t>
      </w:r>
      <w:r>
        <w:rPr>
          <w:rFonts w:hint="eastAsia" w:ascii="宋体" w:hAnsi="宋体" w:eastAsia="宋体" w:cs="宋体"/>
          <w:sz w:val="10"/>
        </w:rPr>
        <w:t>、</w:t>
      </w:r>
      <w:r>
        <w:rPr>
          <w:rFonts w:hint="eastAsia" w:ascii="宋体" w:hAnsi="宋体" w:eastAsia="宋体" w:cs="宋体"/>
          <w:sz w:val="24"/>
        </w:rPr>
        <w:t>经济政策</w:t>
      </w:r>
      <w:r>
        <w:rPr>
          <w:rFonts w:hint="eastAsia" w:ascii="宋体" w:hAnsi="宋体" w:eastAsia="宋体" w:cs="宋体"/>
          <w:sz w:val="10"/>
        </w:rPr>
        <w:t>、</w:t>
      </w:r>
      <w:r>
        <w:rPr>
          <w:rFonts w:hint="eastAsia" w:ascii="宋体" w:hAnsi="宋体" w:eastAsia="宋体" w:cs="宋体"/>
          <w:sz w:val="24"/>
        </w:rPr>
        <w:t>国际环境等诸多因素的影响</w:t>
      </w:r>
      <w:r>
        <w:rPr>
          <w:rFonts w:hint="eastAsia" w:ascii="宋体" w:hAnsi="宋体" w:eastAsia="宋体" w:cs="宋体"/>
          <w:sz w:val="10"/>
        </w:rPr>
        <w:t>。</w:t>
      </w:r>
      <w:r>
        <w:rPr>
          <w:rFonts w:hint="eastAsia" w:ascii="宋体" w:hAnsi="宋体" w:eastAsia="宋体" w:cs="宋体"/>
          <w:sz w:val="24"/>
        </w:rPr>
        <w:t>但是</w:t>
      </w:r>
      <w:r>
        <w:rPr>
          <w:rFonts w:hint="eastAsia" w:ascii="宋体" w:hAnsi="宋体" w:eastAsia="宋体" w:cs="宋体"/>
          <w:sz w:val="10"/>
        </w:rPr>
        <w:t>，</w:t>
      </w:r>
      <w:r>
        <w:rPr>
          <w:rFonts w:hint="eastAsia" w:ascii="宋体" w:hAnsi="宋体" w:eastAsia="宋体" w:cs="宋体"/>
          <w:sz w:val="24"/>
        </w:rPr>
        <w:t>金融行业信息化领域始终处在高速发展的状态</w:t>
      </w:r>
      <w:r>
        <w:rPr>
          <w:rFonts w:hint="eastAsia" w:ascii="宋体" w:hAnsi="宋体" w:eastAsia="宋体" w:cs="宋体"/>
          <w:sz w:val="10"/>
        </w:rPr>
        <w:t>，</w:t>
      </w:r>
      <w:r>
        <w:rPr>
          <w:rFonts w:hint="eastAsia" w:ascii="宋体" w:hAnsi="宋体" w:eastAsia="宋体" w:cs="宋体"/>
          <w:sz w:val="24"/>
        </w:rPr>
        <w:t>并且未来会随着不断推出的金融创新</w:t>
      </w:r>
      <w:r>
        <w:rPr>
          <w:rFonts w:hint="eastAsia" w:ascii="宋体" w:hAnsi="宋体" w:eastAsia="宋体" w:cs="宋体"/>
          <w:sz w:val="10"/>
        </w:rPr>
        <w:t>，</w:t>
      </w:r>
      <w:r>
        <w:rPr>
          <w:rFonts w:hint="eastAsia" w:ascii="宋体" w:hAnsi="宋体" w:eastAsia="宋体" w:cs="宋体"/>
          <w:sz w:val="24"/>
        </w:rPr>
        <w:t>不断拓展自身的规模</w:t>
      </w:r>
      <w:r>
        <w:rPr>
          <w:rFonts w:hint="eastAsia" w:ascii="宋体" w:hAnsi="宋体" w:eastAsia="宋体" w:cs="宋体"/>
          <w:sz w:val="10"/>
        </w:rPr>
        <w:t>、</w:t>
      </w:r>
      <w:r>
        <w:rPr>
          <w:rFonts w:hint="eastAsia" w:ascii="宋体" w:hAnsi="宋体" w:eastAsia="宋体" w:cs="宋体"/>
          <w:sz w:val="24"/>
        </w:rPr>
        <w:t>范围和类型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行业本身不具有显著的周期性</w:t>
      </w:r>
      <w:r>
        <w:rPr>
          <w:rFonts w:hint="eastAsia" w:ascii="宋体" w:hAnsi="宋体" w:eastAsia="宋体" w:cs="宋体"/>
          <w:sz w:val="10"/>
        </w:rPr>
        <w:t>，</w:t>
      </w:r>
      <w:r>
        <w:rPr>
          <w:rFonts w:hint="eastAsia" w:ascii="宋体" w:hAnsi="宋体" w:eastAsia="宋体" w:cs="宋体"/>
          <w:sz w:val="24"/>
        </w:rPr>
        <w:t>并且具有持续的成长性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（八）发行人所处行业与上</w:t>
      </w:r>
      <w:r>
        <w:rPr>
          <w:rFonts w:hint="eastAsia" w:ascii="宋体" w:hAnsi="宋体" w:eastAsia="宋体" w:cs="宋体"/>
          <w:b/>
          <w:sz w:val="10"/>
        </w:rPr>
        <w:t>、</w:t>
      </w:r>
      <w:r>
        <w:rPr>
          <w:rFonts w:hint="eastAsia" w:ascii="宋体" w:hAnsi="宋体" w:eastAsia="宋体" w:cs="宋体"/>
          <w:b/>
          <w:sz w:val="24"/>
        </w:rPr>
        <w:t>下游行业之间的关联性</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软件行业的发展已形成成熟</w:t>
      </w:r>
      <w:r>
        <w:rPr>
          <w:rFonts w:hint="eastAsia" w:ascii="宋体" w:hAnsi="宋体" w:eastAsia="宋体" w:cs="宋体"/>
          <w:sz w:val="10"/>
        </w:rPr>
        <w:t>、</w:t>
      </w:r>
      <w:r>
        <w:rPr>
          <w:rFonts w:hint="eastAsia" w:ascii="宋体" w:hAnsi="宋体" w:eastAsia="宋体" w:cs="宋体"/>
          <w:sz w:val="24"/>
        </w:rPr>
        <w:t>完整的产业链</w:t>
      </w:r>
      <w:r>
        <w:rPr>
          <w:rFonts w:hint="eastAsia" w:ascii="宋体" w:hAnsi="宋体" w:eastAsia="宋体" w:cs="宋体"/>
          <w:sz w:val="10"/>
        </w:rPr>
        <w:t>，</w:t>
      </w:r>
      <w:r>
        <w:rPr>
          <w:rFonts w:hint="eastAsia" w:ascii="宋体" w:hAnsi="宋体" w:eastAsia="宋体" w:cs="宋体"/>
          <w:sz w:val="24"/>
        </w:rPr>
        <w:t>公司处于所在细分行业产业价值链的中心环节</w:t>
      </w:r>
      <w:r>
        <w:rPr>
          <w:rFonts w:hint="eastAsia" w:ascii="宋体" w:hAnsi="宋体" w:eastAsia="宋体" w:cs="宋体"/>
          <w:sz w:val="10"/>
        </w:rPr>
        <w:t>，</w:t>
      </w:r>
      <w:r>
        <w:rPr>
          <w:rFonts w:hint="eastAsia" w:ascii="宋体" w:hAnsi="宋体" w:eastAsia="宋体" w:cs="宋体"/>
          <w:sz w:val="24"/>
        </w:rPr>
        <w:t>与上下游行业优势互补</w:t>
      </w:r>
      <w:r>
        <w:rPr>
          <w:rFonts w:hint="eastAsia" w:ascii="宋体" w:hAnsi="宋体" w:eastAsia="宋体" w:cs="宋体"/>
          <w:sz w:val="10"/>
        </w:rPr>
        <w:t>、</w:t>
      </w:r>
      <w:r>
        <w:rPr>
          <w:rFonts w:hint="eastAsia" w:ascii="宋体" w:hAnsi="宋体" w:eastAsia="宋体" w:cs="宋体"/>
          <w:sz w:val="24"/>
        </w:rPr>
        <w:t>分工协作</w:t>
      </w:r>
      <w:r>
        <w:rPr>
          <w:rFonts w:hint="eastAsia" w:ascii="宋体" w:hAnsi="宋体" w:eastAsia="宋体" w:cs="宋体"/>
          <w:sz w:val="10"/>
        </w:rPr>
        <w:t>、</w:t>
      </w:r>
      <w:r>
        <w:rPr>
          <w:rFonts w:hint="eastAsia" w:ascii="宋体" w:hAnsi="宋体" w:eastAsia="宋体" w:cs="宋体"/>
          <w:sz w:val="24"/>
        </w:rPr>
        <w:t>联合发展</w:t>
      </w:r>
      <w:r>
        <w:rPr>
          <w:rFonts w:hint="eastAsia" w:ascii="宋体" w:hAnsi="宋体" w:eastAsia="宋体" w:cs="宋体"/>
          <w:sz w:val="10"/>
        </w:rPr>
        <w:t>，</w:t>
      </w:r>
      <w:r>
        <w:rPr>
          <w:rFonts w:hint="eastAsia" w:ascii="宋体" w:hAnsi="宋体" w:eastAsia="宋体" w:cs="宋体"/>
          <w:sz w:val="24"/>
        </w:rPr>
        <w:t>共同推动产业的快速发展</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1-1-128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68432" behindDoc="false" locked="false" layoutInCell="true" allowOverlap="true">
                <wp:simplePos x="0" y="0"/>
                <wp:positionH relativeFrom="page">
                  <wp:posOffset>5067300</wp:posOffset>
                </wp:positionH>
                <wp:positionV relativeFrom="page">
                  <wp:posOffset>2794000</wp:posOffset>
                </wp:positionV>
                <wp:extent cx="241300" cy="215900"/>
                <wp:effectExtent l="0" t="0" r="22225" b="31115"/>
                <wp:wrapNone/>
                <wp:docPr id="6621" name="shape6621"/>
                <wp:cNvGraphicFramePr/>
                <a:graphic>
                  <a:graphicData uri="http://schemas.microsoft.com/office/word/2010/wordprocessingShape">
                    <wps:wsp>
                      <wps:cNvSpPr/>
                      <wps:spPr>
                        <a:xfrm>
                          <a:off x="0" y="0"/>
                          <a:ext cx="241300" cy="215900"/>
                        </a:xfrm>
                        <a:custGeom>
                          <a:avLst/>
                          <a:rect l="l" t="t" r="r" b="b"/>
                          <a:pathLst>
                            <a:path w="241300" h="215900">
                              <a:moveTo>
                                <a:pt x="7620" y="121666"/>
                              </a:moveTo>
                              <a:lnTo>
                                <a:pt x="73659" y="121666"/>
                              </a:lnTo>
                              <a:lnTo>
                                <a:pt x="73659" y="7366"/>
                              </a:lnTo>
                              <a:lnTo>
                                <a:pt x="170179" y="7366"/>
                              </a:lnTo>
                              <a:lnTo>
                                <a:pt x="170179" y="121666"/>
                              </a:lnTo>
                              <a:lnTo>
                                <a:pt x="236220" y="121666"/>
                              </a:lnTo>
                              <a:lnTo>
                                <a:pt x="121920" y="205485"/>
                              </a:lnTo>
                              <a:close/>
                            </a:path>
                          </a:pathLst>
                        </a:custGeom>
                        <a:solidFill>
                          <a:srgbClr val="ffffff"/>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215900" style="position:absolute;left:0;top:0;visibility:visible;mso-position-horizontal:absolute;mso-position-horizontal-relative:page;mso-position-vertical:absolute;mso-position-vertical-relative:page;width:19pt;height:17pt;margin-left:399pt;margin-top:220pt;mso-wrap-style:square;z-index:10268432;mso-wrap-distance-left:9pt;mso-wrap-distance-top:0pt;mso-wrap-distance-right:9pt;mso-wrap-distance-bottom:0pt" id="shape6621" o:spid="1618382348709" path="m7620,121666l73659,121666l73659,7366l170179,7366l170179,121666l236220,121666l121920,205485e" stroked="f" filled="t" fillcolor="#ffffff"/>
            </w:pict>
          </mc:Fallback>
        </mc:AlternateContent>
      </w:r>
      <w:r>
        <mc:AlternateContent>
          <mc:Choice Requires="wps">
            <w:drawing>
              <wp:anchor distT="0" distB="0" distL="114300" distR="114300" simplePos="false" relativeHeight="10269456" behindDoc="false" locked="false" layoutInCell="true" allowOverlap="true">
                <wp:simplePos x="0" y="0"/>
                <wp:positionH relativeFrom="page">
                  <wp:posOffset>5067300</wp:posOffset>
                </wp:positionH>
                <wp:positionV relativeFrom="page">
                  <wp:posOffset>2794000</wp:posOffset>
                </wp:positionV>
                <wp:extent cx="241300" cy="215900"/>
                <wp:effectExtent l="0" t="0" r="22225" b="31115"/>
                <wp:wrapNone/>
                <wp:docPr id="6622" name="shape6622"/>
                <wp:cNvGraphicFramePr/>
                <a:graphic>
                  <a:graphicData uri="http://schemas.microsoft.com/office/word/2010/wordprocessingShape">
                    <wps:wsp>
                      <wps:cNvSpPr/>
                      <wps:spPr>
                        <a:xfrm>
                          <a:off x="0" y="0"/>
                          <a:ext cx="241300" cy="215900"/>
                        </a:xfrm>
                        <a:custGeom>
                          <a:avLst/>
                          <a:rect l="l" t="t" r="r" b="b"/>
                          <a:pathLst>
                            <a:path w="241300" h="215900">
                              <a:moveTo>
                                <a:pt x="7620" y="121666"/>
                              </a:moveTo>
                              <a:lnTo>
                                <a:pt x="73659" y="121666"/>
                              </a:lnTo>
                              <a:lnTo>
                                <a:pt x="73659" y="7366"/>
                              </a:lnTo>
                              <a:lnTo>
                                <a:pt x="170179" y="7366"/>
                              </a:lnTo>
                              <a:lnTo>
                                <a:pt x="170179" y="121666"/>
                              </a:lnTo>
                              <a:lnTo>
                                <a:pt x="236220" y="121666"/>
                              </a:lnTo>
                              <a:lnTo>
                                <a:pt x="121920" y="205485"/>
                              </a:lnTo>
                              <a:close/>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215900" style="position:absolute;left:0;top:0;visibility:visible;mso-position-horizontal:absolute;mso-position-horizontal-relative:page;mso-position-vertical:absolute;mso-position-vertical-relative:page;width:19pt;height:17pt;margin-left:399pt;margin-top:220pt;mso-wrap-style:square;z-index:10269456;mso-wrap-distance-left:9pt;mso-wrap-distance-top:0pt;mso-wrap-distance-right:9pt;mso-wrap-distance-bottom:0pt" id="shape6622" o:spid="1618382348709" path="m7620,121666l73659,121666l73659,7366l170179,7366l170179,121666l236220,121666l121920,205485e" stroked="t" strokecolor="#000000" strokeweight="1pt"/>
            </w:pict>
          </mc:Fallback>
        </mc:AlternateContent>
      </w:r>
      <w:r>
        <mc:AlternateContent>
          <mc:Choice Requires="wps">
            <w:drawing>
              <wp:anchor distT="0" distB="0" distL="114300" distR="114300" simplePos="false" relativeHeight="10270480" behindDoc="false" locked="false" layoutInCell="true" allowOverlap="true">
                <wp:simplePos x="0" y="0"/>
                <wp:positionH relativeFrom="page">
                  <wp:posOffset>4076700</wp:posOffset>
                </wp:positionH>
                <wp:positionV relativeFrom="page">
                  <wp:posOffset>3568700</wp:posOffset>
                </wp:positionV>
                <wp:extent cx="355600" cy="215900"/>
                <wp:effectExtent l="0" t="0" r="22225" b="31115"/>
                <wp:wrapNone/>
                <wp:docPr id="6623" name="shape6623"/>
                <wp:cNvGraphicFramePr/>
                <a:graphic>
                  <a:graphicData uri="http://schemas.microsoft.com/office/word/2010/wordprocessingShape">
                    <wps:wsp>
                      <wps:cNvSpPr/>
                      <wps:spPr>
                        <a:xfrm>
                          <a:off x="0" y="0"/>
                          <a:ext cx="355600" cy="215900"/>
                        </a:xfrm>
                        <a:custGeom>
                          <a:avLst/>
                          <a:rect l="l" t="t" r="r" b="b"/>
                          <a:pathLst>
                            <a:path w="355600" h="215900">
                              <a:moveTo>
                                <a:pt x="3809" y="126110"/>
                              </a:moveTo>
                              <a:lnTo>
                                <a:pt x="102870" y="126110"/>
                              </a:lnTo>
                              <a:lnTo>
                                <a:pt x="102870" y="11810"/>
                              </a:lnTo>
                              <a:lnTo>
                                <a:pt x="247650" y="11810"/>
                              </a:lnTo>
                              <a:lnTo>
                                <a:pt x="247650" y="126110"/>
                              </a:lnTo>
                              <a:lnTo>
                                <a:pt x="346709" y="126110"/>
                              </a:lnTo>
                              <a:lnTo>
                                <a:pt x="175259" y="209931"/>
                              </a:lnTo>
                              <a:close/>
                            </a:path>
                          </a:pathLst>
                        </a:custGeom>
                        <a:solidFill>
                          <a:srgbClr val="ffffff"/>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55600,215900" style="position:absolute;left:0;top:0;visibility:visible;mso-position-horizontal:absolute;mso-position-horizontal-relative:page;mso-position-vertical:absolute;mso-position-vertical-relative:page;width:28pt;height:17pt;margin-left:321pt;margin-top:281pt;mso-wrap-style:square;z-index:10270480;mso-wrap-distance-left:9pt;mso-wrap-distance-top:0pt;mso-wrap-distance-right:9pt;mso-wrap-distance-bottom:0pt" id="shape6623" o:spid="1618382348710" path="m3809,126110l102870,126110l102870,11810l247650,11810l247650,126110l346709,126110l175259,209931e" stroked="f" filled="t" fillcolor="#ffffff"/>
            </w:pict>
          </mc:Fallback>
        </mc:AlternateContent>
      </w:r>
      <w:r>
        <mc:AlternateContent>
          <mc:Choice Requires="wps">
            <w:drawing>
              <wp:anchor distT="0" distB="0" distL="114300" distR="114300" simplePos="false" relativeHeight="10271504" behindDoc="false" locked="false" layoutInCell="true" allowOverlap="true">
                <wp:simplePos x="0" y="0"/>
                <wp:positionH relativeFrom="page">
                  <wp:posOffset>4076700</wp:posOffset>
                </wp:positionH>
                <wp:positionV relativeFrom="page">
                  <wp:posOffset>3568700</wp:posOffset>
                </wp:positionV>
                <wp:extent cx="355600" cy="215900"/>
                <wp:effectExtent l="0" t="0" r="22225" b="31115"/>
                <wp:wrapNone/>
                <wp:docPr id="6624" name="shape6624"/>
                <wp:cNvGraphicFramePr/>
                <a:graphic>
                  <a:graphicData uri="http://schemas.microsoft.com/office/word/2010/wordprocessingShape">
                    <wps:wsp>
                      <wps:cNvSpPr/>
                      <wps:spPr>
                        <a:xfrm>
                          <a:off x="0" y="0"/>
                          <a:ext cx="355600" cy="215900"/>
                        </a:xfrm>
                        <a:custGeom>
                          <a:avLst/>
                          <a:rect l="l" t="t" r="r" b="b"/>
                          <a:pathLst>
                            <a:path w="355600" h="215900">
                              <a:moveTo>
                                <a:pt x="3809" y="126110"/>
                              </a:moveTo>
                              <a:lnTo>
                                <a:pt x="102870" y="126110"/>
                              </a:lnTo>
                              <a:lnTo>
                                <a:pt x="102870" y="11810"/>
                              </a:lnTo>
                              <a:lnTo>
                                <a:pt x="247650" y="11810"/>
                              </a:lnTo>
                              <a:lnTo>
                                <a:pt x="247650" y="126110"/>
                              </a:lnTo>
                              <a:lnTo>
                                <a:pt x="346709" y="126110"/>
                              </a:lnTo>
                              <a:lnTo>
                                <a:pt x="175259" y="209931"/>
                              </a:lnTo>
                              <a:close/>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55600,215900" style="position:absolute;left:0;top:0;visibility:visible;mso-position-horizontal:absolute;mso-position-horizontal-relative:page;mso-position-vertical:absolute;mso-position-vertical-relative:page;width:28pt;height:17pt;margin-left:321pt;margin-top:281pt;mso-wrap-style:square;z-index:10271504;mso-wrap-distance-left:9pt;mso-wrap-distance-top:0pt;mso-wrap-distance-right:9pt;mso-wrap-distance-bottom:0pt" id="shape6624" o:spid="1618382348710" path="m3809,126110l102870,126110l102870,11810l247650,11810l247650,126110l346709,126110l175259,209931e" stroked="t" strokecolor="#000000" strokeweight="1pt"/>
            </w:pict>
          </mc:Fallback>
        </mc:AlternateContent>
      </w:r>
      <w:r>
        <mc:AlternateContent>
          <mc:Choice Requires="wps">
            <w:drawing>
              <wp:anchor distT="0" distB="0" distL="114300" distR="114300" simplePos="false" relativeHeight="10272528" behindDoc="false" locked="false" layoutInCell="true" allowOverlap="true">
                <wp:simplePos x="0" y="0"/>
                <wp:positionH relativeFrom="page">
                  <wp:posOffset>1574800</wp:posOffset>
                </wp:positionH>
                <wp:positionV relativeFrom="page">
                  <wp:posOffset>2794000</wp:posOffset>
                </wp:positionV>
                <wp:extent cx="241300" cy="203200"/>
                <wp:effectExtent l="0" t="0" r="22225" b="31115"/>
                <wp:wrapNone/>
                <wp:docPr id="6625" name="shape6625"/>
                <wp:cNvGraphicFramePr/>
                <a:graphic>
                  <a:graphicData uri="http://schemas.microsoft.com/office/word/2010/wordprocessingShape">
                    <wps:wsp>
                      <wps:cNvSpPr/>
                      <wps:spPr>
                        <a:xfrm>
                          <a:off x="0" y="0"/>
                          <a:ext cx="241300" cy="203200"/>
                        </a:xfrm>
                        <a:custGeom>
                          <a:avLst/>
                          <a:rect l="l" t="t" r="r" b="b"/>
                          <a:pathLst>
                            <a:path w="241300" h="203200">
                              <a:moveTo>
                                <a:pt x="10160" y="115316"/>
                              </a:moveTo>
                              <a:lnTo>
                                <a:pt x="76200" y="115316"/>
                              </a:lnTo>
                              <a:lnTo>
                                <a:pt x="76200" y="1016"/>
                              </a:lnTo>
                              <a:lnTo>
                                <a:pt x="172720" y="1016"/>
                              </a:lnTo>
                              <a:lnTo>
                                <a:pt x="172720" y="115316"/>
                              </a:lnTo>
                              <a:lnTo>
                                <a:pt x="238760" y="115316"/>
                              </a:lnTo>
                              <a:lnTo>
                                <a:pt x="124460" y="199135"/>
                              </a:lnTo>
                              <a:close/>
                            </a:path>
                          </a:pathLst>
                        </a:custGeom>
                        <a:solidFill>
                          <a:srgbClr val="ffffff"/>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203200" style="position:absolute;left:0;top:0;visibility:visible;mso-position-horizontal:absolute;mso-position-horizontal-relative:page;mso-position-vertical:absolute;mso-position-vertical-relative:page;width:19pt;height:16pt;margin-left:124pt;margin-top:220pt;mso-wrap-style:square;z-index:10272528;mso-wrap-distance-left:9pt;mso-wrap-distance-top:0pt;mso-wrap-distance-right:9pt;mso-wrap-distance-bottom:0pt" id="shape6625" o:spid="1618382348711" path="m10160,115316l76200,115316l76200,1016l172720,1016l172720,115316l238760,115316l124460,199135e" stroked="f" filled="t" fillcolor="#ffffff"/>
            </w:pict>
          </mc:Fallback>
        </mc:AlternateContent>
      </w:r>
      <w:r>
        <mc:AlternateContent>
          <mc:Choice Requires="wps">
            <w:drawing>
              <wp:anchor distT="0" distB="0" distL="114300" distR="114300" simplePos="false" relativeHeight="10273552" behindDoc="false" locked="false" layoutInCell="true" allowOverlap="true">
                <wp:simplePos x="0" y="0"/>
                <wp:positionH relativeFrom="page">
                  <wp:posOffset>1574800</wp:posOffset>
                </wp:positionH>
                <wp:positionV relativeFrom="page">
                  <wp:posOffset>2794000</wp:posOffset>
                </wp:positionV>
                <wp:extent cx="241300" cy="203200"/>
                <wp:effectExtent l="0" t="0" r="22225" b="31115"/>
                <wp:wrapNone/>
                <wp:docPr id="6626" name="shape6626"/>
                <wp:cNvGraphicFramePr/>
                <a:graphic>
                  <a:graphicData uri="http://schemas.microsoft.com/office/word/2010/wordprocessingShape">
                    <wps:wsp>
                      <wps:cNvSpPr/>
                      <wps:spPr>
                        <a:xfrm>
                          <a:off x="0" y="0"/>
                          <a:ext cx="241300" cy="203200"/>
                        </a:xfrm>
                        <a:custGeom>
                          <a:avLst/>
                          <a:rect l="l" t="t" r="r" b="b"/>
                          <a:pathLst>
                            <a:path w="241300" h="203200">
                              <a:moveTo>
                                <a:pt x="10160" y="115316"/>
                              </a:moveTo>
                              <a:lnTo>
                                <a:pt x="76200" y="115316"/>
                              </a:lnTo>
                              <a:lnTo>
                                <a:pt x="76200" y="1016"/>
                              </a:lnTo>
                              <a:lnTo>
                                <a:pt x="172720" y="1016"/>
                              </a:lnTo>
                              <a:lnTo>
                                <a:pt x="172720" y="115316"/>
                              </a:lnTo>
                              <a:lnTo>
                                <a:pt x="238760" y="115316"/>
                              </a:lnTo>
                              <a:lnTo>
                                <a:pt x="124460" y="199135"/>
                              </a:lnTo>
                              <a:close/>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203200" style="position:absolute;left:0;top:0;visibility:visible;mso-position-horizontal:absolute;mso-position-horizontal-relative:page;mso-position-vertical:absolute;mso-position-vertical-relative:page;width:19pt;height:16pt;margin-left:124pt;margin-top:220pt;mso-wrap-style:square;z-index:10273552;mso-wrap-distance-left:9pt;mso-wrap-distance-top:0pt;mso-wrap-distance-right:9pt;mso-wrap-distance-bottom:0pt" id="shape6626" o:spid="1618382348711" path="m10160,115316l76200,115316l76200,1016l172720,1016l172720,115316l238760,115316l124460,199135e" stroked="t" strokecolor="#000000" strokeweight="1pt"/>
            </w:pict>
          </mc:Fallback>
        </mc:AlternateContent>
      </w:r>
      <w:r>
        <mc:AlternateContent>
          <mc:Choice Requires="wps">
            <w:drawing>
              <wp:anchor distT="0" distB="0" distL="114300" distR="114300" simplePos="false" relativeHeight="10274576" behindDoc="false" locked="false" layoutInCell="true" allowOverlap="true">
                <wp:simplePos x="0" y="0"/>
                <wp:positionH relativeFrom="page">
                  <wp:posOffset>1587500</wp:posOffset>
                </wp:positionH>
                <wp:positionV relativeFrom="page">
                  <wp:posOffset>3530600</wp:posOffset>
                </wp:positionV>
                <wp:extent cx="241300" cy="215900"/>
                <wp:effectExtent l="0" t="0" r="22225" b="31115"/>
                <wp:wrapNone/>
                <wp:docPr id="6627" name="shape6627"/>
                <wp:cNvGraphicFramePr/>
                <a:graphic>
                  <a:graphicData uri="http://schemas.microsoft.com/office/word/2010/wordprocessingShape">
                    <wps:wsp>
                      <wps:cNvSpPr/>
                      <wps:spPr>
                        <a:xfrm>
                          <a:off x="0" y="0"/>
                          <a:ext cx="241300" cy="215900"/>
                        </a:xfrm>
                        <a:custGeom>
                          <a:avLst/>
                          <a:rect l="l" t="t" r="r" b="b"/>
                          <a:pathLst>
                            <a:path w="241300" h="215900">
                              <a:moveTo>
                                <a:pt x="12064" y="126745"/>
                              </a:moveTo>
                              <a:lnTo>
                                <a:pt x="78104" y="126745"/>
                              </a:lnTo>
                              <a:lnTo>
                                <a:pt x="78104" y="12445"/>
                              </a:lnTo>
                              <a:lnTo>
                                <a:pt x="174625" y="12445"/>
                              </a:lnTo>
                              <a:lnTo>
                                <a:pt x="174625" y="126745"/>
                              </a:lnTo>
                              <a:lnTo>
                                <a:pt x="240664" y="126745"/>
                              </a:lnTo>
                              <a:lnTo>
                                <a:pt x="126364" y="210566"/>
                              </a:lnTo>
                              <a:close/>
                            </a:path>
                          </a:pathLst>
                        </a:custGeom>
                        <a:solidFill>
                          <a:srgbClr val="ffffff"/>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215900" style="position:absolute;left:0;top:0;visibility:visible;mso-position-horizontal:absolute;mso-position-horizontal-relative:page;mso-position-vertical:absolute;mso-position-vertical-relative:page;width:19pt;height:17pt;margin-left:125pt;margin-top:278pt;mso-wrap-style:square;z-index:10274576;mso-wrap-distance-left:9pt;mso-wrap-distance-top:0pt;mso-wrap-distance-right:9pt;mso-wrap-distance-bottom:0pt" id="shape6627" o:spid="1618382348712" path="m12064,126745l78104,126745l78104,12445l174625,12445l174625,126745l240664,126745l126364,210566e" stroked="f" filled="t" fillcolor="#ffffff"/>
            </w:pict>
          </mc:Fallback>
        </mc:AlternateContent>
      </w:r>
      <w:r>
        <mc:AlternateContent>
          <mc:Choice Requires="wps">
            <w:drawing>
              <wp:anchor distT="0" distB="0" distL="114300" distR="114300" simplePos="false" relativeHeight="10275600" behindDoc="false" locked="false" layoutInCell="true" allowOverlap="true">
                <wp:simplePos x="0" y="0"/>
                <wp:positionH relativeFrom="page">
                  <wp:posOffset>1587500</wp:posOffset>
                </wp:positionH>
                <wp:positionV relativeFrom="page">
                  <wp:posOffset>3530600</wp:posOffset>
                </wp:positionV>
                <wp:extent cx="241300" cy="215900"/>
                <wp:effectExtent l="0" t="0" r="22225" b="31115"/>
                <wp:wrapNone/>
                <wp:docPr id="6628" name="shape6628"/>
                <wp:cNvGraphicFramePr/>
                <a:graphic>
                  <a:graphicData uri="http://schemas.microsoft.com/office/word/2010/wordprocessingShape">
                    <wps:wsp>
                      <wps:cNvSpPr/>
                      <wps:spPr>
                        <a:xfrm>
                          <a:off x="0" y="0"/>
                          <a:ext cx="241300" cy="215900"/>
                        </a:xfrm>
                        <a:custGeom>
                          <a:avLst/>
                          <a:rect l="l" t="t" r="r" b="b"/>
                          <a:pathLst>
                            <a:path w="241300" h="215900">
                              <a:moveTo>
                                <a:pt x="12064" y="126745"/>
                              </a:moveTo>
                              <a:lnTo>
                                <a:pt x="78104" y="126745"/>
                              </a:lnTo>
                              <a:lnTo>
                                <a:pt x="78104" y="12445"/>
                              </a:lnTo>
                              <a:lnTo>
                                <a:pt x="174625" y="12445"/>
                              </a:lnTo>
                              <a:lnTo>
                                <a:pt x="174625" y="126745"/>
                              </a:lnTo>
                              <a:lnTo>
                                <a:pt x="240664" y="126745"/>
                              </a:lnTo>
                              <a:lnTo>
                                <a:pt x="126364" y="210566"/>
                              </a:lnTo>
                              <a:close/>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215900" style="position:absolute;left:0;top:0;visibility:visible;mso-position-horizontal:absolute;mso-position-horizontal-relative:page;mso-position-vertical:absolute;mso-position-vertical-relative:page;width:19pt;height:17pt;margin-left:125pt;margin-top:278pt;mso-wrap-style:square;z-index:10275600;mso-wrap-distance-left:9pt;mso-wrap-distance-top:0pt;mso-wrap-distance-right:9pt;mso-wrap-distance-bottom:0pt" id="shape6628" o:spid="1618382348712" path="m12064,126745l78104,126745l78104,12445l174625,12445l174625,126745l240664,126745l126364,210566e" stroked="t" strokecolor="#000000" strokeweight="1pt"/>
            </w:pict>
          </mc:Fallback>
        </mc:AlternateContent>
      </w:r>
      <w:r>
        <mc:AlternateContent>
          <mc:Choice Requires="wps">
            <w:drawing>
              <wp:anchor distT="0" distB="0" distL="114300" distR="114300" simplePos="false" relativeHeight="10277648" behindDoc="false" locked="false" layoutInCell="true" allowOverlap="true">
                <wp:simplePos x="0" y="0"/>
                <wp:positionH relativeFrom="page">
                  <wp:posOffset>3238500</wp:posOffset>
                </wp:positionH>
                <wp:positionV relativeFrom="page">
                  <wp:posOffset>2806700</wp:posOffset>
                </wp:positionV>
                <wp:extent cx="241300" cy="203200"/>
                <wp:effectExtent l="0" t="0" r="22225" b="31115"/>
                <wp:wrapNone/>
                <wp:docPr id="6619" name="shape6619"/>
                <wp:cNvGraphicFramePr/>
                <a:graphic>
                  <a:graphicData uri="http://schemas.microsoft.com/office/word/2010/wordprocessingShape">
                    <wps:wsp>
                      <wps:cNvSpPr/>
                      <wps:spPr>
                        <a:xfrm>
                          <a:off x="0" y="0"/>
                          <a:ext cx="241300" cy="203200"/>
                        </a:xfrm>
                        <a:custGeom>
                          <a:avLst/>
                          <a:rect l="l" t="t" r="r" b="b"/>
                          <a:pathLst>
                            <a:path w="241300" h="203200">
                              <a:moveTo>
                                <a:pt x="7620" y="117856"/>
                              </a:moveTo>
                              <a:lnTo>
                                <a:pt x="73659" y="117856"/>
                              </a:lnTo>
                              <a:lnTo>
                                <a:pt x="73659" y="3556"/>
                              </a:lnTo>
                              <a:lnTo>
                                <a:pt x="170179" y="3556"/>
                              </a:lnTo>
                              <a:lnTo>
                                <a:pt x="170179" y="117856"/>
                              </a:lnTo>
                              <a:lnTo>
                                <a:pt x="236220" y="117856"/>
                              </a:lnTo>
                              <a:lnTo>
                                <a:pt x="121920" y="201676"/>
                              </a:lnTo>
                              <a:close/>
                            </a:path>
                          </a:pathLst>
                        </a:custGeom>
                        <a:solidFill>
                          <a:srgbClr val="ffffff"/>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203200" style="position:absolute;left:0;top:0;visibility:visible;mso-position-horizontal:absolute;mso-position-horizontal-relative:page;mso-position-vertical:absolute;mso-position-vertical-relative:page;width:19pt;height:16pt;margin-left:255pt;margin-top:221pt;mso-wrap-style:square;z-index:10277648;mso-wrap-distance-left:9pt;mso-wrap-distance-top:0pt;mso-wrap-distance-right:9pt;mso-wrap-distance-bottom:0pt" id="shape6619" o:spid="1618382348713" path="m7620,117856l73659,117856l73659,3556l170179,3556l170179,117856l236220,117856l121920,201676e" stroked="f" filled="t" fillcolor="#ffffff"/>
            </w:pict>
          </mc:Fallback>
        </mc:AlternateContent>
      </w:r>
      <w:r>
        <mc:AlternateContent>
          <mc:Choice Requires="wps">
            <w:drawing>
              <wp:anchor distT="0" distB="0" distL="114300" distR="114300" simplePos="false" relativeHeight="10278672" behindDoc="false" locked="false" layoutInCell="true" allowOverlap="true">
                <wp:simplePos x="0" y="0"/>
                <wp:positionH relativeFrom="page">
                  <wp:posOffset>3238500</wp:posOffset>
                </wp:positionH>
                <wp:positionV relativeFrom="page">
                  <wp:posOffset>2806700</wp:posOffset>
                </wp:positionV>
                <wp:extent cx="241300" cy="203200"/>
                <wp:effectExtent l="0" t="0" r="22225" b="31115"/>
                <wp:wrapNone/>
                <wp:docPr id="6620" name="shape6620"/>
                <wp:cNvGraphicFramePr/>
                <a:graphic>
                  <a:graphicData uri="http://schemas.microsoft.com/office/word/2010/wordprocessingShape">
                    <wps:wsp>
                      <wps:cNvSpPr/>
                      <wps:spPr>
                        <a:xfrm>
                          <a:off x="0" y="0"/>
                          <a:ext cx="241300" cy="203200"/>
                        </a:xfrm>
                        <a:custGeom>
                          <a:avLst/>
                          <a:rect l="l" t="t" r="r" b="b"/>
                          <a:pathLst>
                            <a:path w="241300" h="203200">
                              <a:moveTo>
                                <a:pt x="7620" y="117856"/>
                              </a:moveTo>
                              <a:lnTo>
                                <a:pt x="73659" y="117856"/>
                              </a:lnTo>
                              <a:lnTo>
                                <a:pt x="73659" y="3556"/>
                              </a:lnTo>
                              <a:lnTo>
                                <a:pt x="170179" y="3556"/>
                              </a:lnTo>
                              <a:lnTo>
                                <a:pt x="170179" y="117856"/>
                              </a:lnTo>
                              <a:lnTo>
                                <a:pt x="236220" y="117856"/>
                              </a:lnTo>
                              <a:lnTo>
                                <a:pt x="121920" y="201676"/>
                              </a:lnTo>
                              <a:close/>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203200" style="position:absolute;left:0;top:0;visibility:visible;mso-position-horizontal:absolute;mso-position-horizontal-relative:page;mso-position-vertical:absolute;mso-position-vertical-relative:page;width:19pt;height:16pt;margin-left:255pt;margin-top:221pt;mso-wrap-style:square;z-index:10278672;mso-wrap-distance-left:9pt;mso-wrap-distance-top:0pt;mso-wrap-distance-right:9pt;mso-wrap-distance-bottom:0pt" id="shape6620" o:spid="1618382348713" path="m7620,117856l73659,117856l73659,3556l170179,3556l170179,117856l236220,117856l121920,201676e" stroked="t" strokecolor="#000000" strokeweight="1pt"/>
            </w:pict>
          </mc:Fallback>
        </mc:AlternateContent>
      </w:r>
      <w:r>
        <mc:AlternateContent>
          <mc:Choice Requires="wps">
            <w:drawing>
              <wp:anchor distT="0" distB="0" distL="114300" distR="114300" simplePos="false" relativeHeight="10265360" behindDoc="false" locked="false" layoutInCell="true" allowOverlap="true">
                <wp:simplePos x="0" y="0"/>
                <wp:positionH relativeFrom="page">
                  <wp:posOffset>2324100</wp:posOffset>
                </wp:positionH>
                <wp:positionV relativeFrom="page">
                  <wp:posOffset>3873500</wp:posOffset>
                </wp:positionV>
                <wp:extent cx="3898900" cy="419100"/>
                <wp:effectExtent l="0" t="0" r="22225" b="31115"/>
                <wp:wrapNone/>
                <wp:docPr id="6618" name="shape6618"/>
                <wp:cNvGraphicFramePr/>
                <a:graphic>
                  <a:graphicData uri="http://schemas.microsoft.com/office/word/2010/wordprocessingShape">
                    <wps:wsp>
                      <wps:cNvSpPr/>
                      <wps:spPr>
                        <a:xfrm>
                          <a:off x="0" y="0"/>
                          <a:ext cx="3898900" cy="419100"/>
                        </a:xfrm>
                        <a:prstGeom prst="rect">
                          <a:avLst/>
                        </a:prstGeom>
                        <a:ln>
                          <a:solidFill>
                            <a:srgbClr val="000000"/>
                          </a:solidFill>
                        </a:ln>
                      </wps:spPr>
                      <wps:txbx>
                        <w:txbxContent>
                          <w:p>
                            <w:pPr>
                              <w:spacing w:line="-320" w:lineRule="exact"/>
                              <w:ind w:left="1700"/>
                              <w:jc w:val="both"/>
                            </w:pPr>
                            <w:r>
                              <w:rPr>
                                <w:rFonts w:hint="eastAsia" w:ascii="宋体" w:hAnsi="宋体" w:eastAsia="宋体" w:cs="宋体"/>
                                <w:sz w:val="21"/>
                              </w:rPr>
                              <w:t>金融机构及其他企事业单位</w:t>
                            </w:r>
                          </w:p>
                        </w:txbxContent>
                      </wps:txbx>
                      <wps:bodyPr rot="0" spcFirstLastPara="false" vertOverflow="overflow" horzOverflow="overflow" vert="horz" wrap="square" lIns="11430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07pt;height:33pt;margin-left:183pt;margin-top:305pt;mso-wrap-style:square;z-index:10265360;mso-wrap-distance-left:9pt;mso-wrap-distance-top:0pt;mso-wrap-distance-right:9pt;mso-wrap-distance-bottom:0pt" id="shape6618" o:spid="1618382348714" stroked="t" strokecolor="#000000" strokeweight="1pt">
                <v:textbox>
                  <w:txbxContent>
                    <w:p>
                      <w:pPr>
                        <w:spacing w:line="-320" w:lineRule="exact"/>
                        <w:ind w:left="1700"/>
                        <w:jc w:val="both"/>
                      </w:pPr>
                      <w:r>
                        <w:rPr>
                          <w:rFonts w:hint="eastAsia" w:ascii="宋体" w:hAnsi="宋体" w:eastAsia="宋体" w:cs="宋体"/>
                          <w:sz w:val="21"/>
                        </w:rPr>
                        <w:t>金融机构及其他企事业单位</w:t>
                      </w:r>
                    </w:p>
                  </w:txbxContent>
                </v:textbox>
              </v:rect>
            </w:pict>
          </mc:Fallback>
        </mc:AlternateContent>
      </w:r>
      <w:r>
        <mc:AlternateContent>
          <mc:Choice Requires="wps">
            <w:drawing>
              <wp:anchor distT="0" distB="0" distL="114300" distR="114300" simplePos="false" relativeHeight="10263312" behindDoc="false" locked="false" layoutInCell="true" allowOverlap="true">
                <wp:simplePos x="0" y="0"/>
                <wp:positionH relativeFrom="page">
                  <wp:posOffset>2349500</wp:posOffset>
                </wp:positionH>
                <wp:positionV relativeFrom="page">
                  <wp:posOffset>3098800</wp:posOffset>
                </wp:positionV>
                <wp:extent cx="3784600" cy="406400"/>
                <wp:effectExtent l="0" t="0" r="22225" b="31115"/>
                <wp:wrapNone/>
                <wp:docPr id="6616" name="shape6616"/>
                <wp:cNvGraphicFramePr/>
                <a:graphic>
                  <a:graphicData uri="http://schemas.microsoft.com/office/word/2010/wordprocessingShape">
                    <wps:wsp>
                      <wps:cNvSpPr/>
                      <wps:spPr>
                        <a:xfrm>
                          <a:off x="0" y="0"/>
                          <a:ext cx="3784600" cy="406400"/>
                        </a:xfrm>
                        <a:prstGeom prst="rect">
                          <a:avLst/>
                        </a:prstGeom>
                        <a:ln>
                          <a:solidFill>
                            <a:srgbClr val="000000"/>
                          </a:solidFill>
                        </a:ln>
                      </wps:spPr>
                      <wps:txbx>
                        <w:txbxContent>
                          <w:p>
                            <w:pPr>
                              <w:spacing w:line="-340" w:lineRule="exact"/>
                              <w:ind w:left="660"/>
                              <w:jc w:val="both"/>
                            </w:pPr>
                            <w:r>
                              <w:rPr>
                                <w:rFonts w:hint="eastAsia" w:ascii="宋体" w:hAnsi="宋体" w:eastAsia="宋体" w:cs="宋体"/>
                                <w:sz w:val="21"/>
                              </w:rPr>
                              <w:t>金融机构管理系统及应用软件产品与服务提供商</w:t>
                            </w:r>
                          </w:p>
                        </w:txbxContent>
                      </wps:txbx>
                      <wps:bodyPr rot="0" spcFirstLastPara="false" vertOverflow="overflow" horzOverflow="overflow" vert="horz" wrap="square" lIns="482600" tIns="762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98pt;height:32pt;margin-left:185pt;margin-top:244pt;mso-wrap-style:square;z-index:10263312;mso-wrap-distance-left:9pt;mso-wrap-distance-top:0pt;mso-wrap-distance-right:9pt;mso-wrap-distance-bottom:0pt" id="shape6616" o:spid="1618382348714" stroked="t" strokecolor="#000000" strokeweight="1pt">
                <v:textbox>
                  <w:txbxContent>
                    <w:p>
                      <w:pPr>
                        <w:spacing w:line="-340" w:lineRule="exact"/>
                        <w:ind w:left="660"/>
                        <w:jc w:val="both"/>
                      </w:pPr>
                      <w:r>
                        <w:rPr>
                          <w:rFonts w:hint="eastAsia" w:ascii="宋体" w:hAnsi="宋体" w:eastAsia="宋体" w:cs="宋体"/>
                          <w:sz w:val="21"/>
                        </w:rPr>
                        <w:t>金融机构管理系统及应用软件产品与服务提供商</w:t>
                      </w:r>
                    </w:p>
                  </w:txbxContent>
                </v:textbox>
              </v:rect>
            </w:pict>
          </mc:Fallback>
        </mc:AlternateContent>
      </w:r>
      <w:r>
        <mc:AlternateContent>
          <mc:Choice Requires="wps">
            <w:drawing>
              <wp:anchor distT="0" distB="0" distL="114300" distR="114300" simplePos="false" relativeHeight="10261264" behindDoc="false" locked="false" layoutInCell="true" allowOverlap="true">
                <wp:simplePos x="0" y="0"/>
                <wp:positionH relativeFrom="page">
                  <wp:posOffset>4318000</wp:posOffset>
                </wp:positionH>
                <wp:positionV relativeFrom="page">
                  <wp:posOffset>2070100</wp:posOffset>
                </wp:positionV>
                <wp:extent cx="1841500" cy="698500"/>
                <wp:effectExtent l="0" t="0" r="22225" b="31115"/>
                <wp:wrapNone/>
                <wp:docPr id="6614" name="shape6614"/>
                <wp:cNvGraphicFramePr/>
                <a:graphic>
                  <a:graphicData uri="http://schemas.microsoft.com/office/word/2010/wordprocessingShape">
                    <wps:wsp>
                      <wps:cNvSpPr/>
                      <wps:spPr>
                        <a:xfrm>
                          <a:off x="0" y="0"/>
                          <a:ext cx="1841500" cy="698500"/>
                        </a:xfrm>
                        <a:prstGeom prst="rect">
                          <a:avLst/>
                        </a:prstGeom>
                        <a:ln>
                          <a:solidFill>
                            <a:srgbClr val="000000"/>
                          </a:solidFill>
                        </a:ln>
                      </wps:spPr>
                      <wps:txbx>
                        <w:txbxContent>
                          <w:p>
                            <w:pPr>
                              <w:spacing w:line="-320" w:lineRule="exact"/>
                              <w:ind w:left="60"/>
                              <w:jc w:val="both"/>
                            </w:pPr>
                            <w:r>
                              <w:rPr>
                                <w:rFonts w:hint="eastAsia" w:ascii="宋体" w:hAnsi="宋体" w:eastAsia="宋体" w:cs="宋体"/>
                                <w:sz w:val="21"/>
                              </w:rPr>
                              <w:t>服务器</w:t>
                            </w:r>
                            <w:r>
                              <w:rPr>
                                <w:rFonts w:hint="eastAsia" w:ascii="宋体" w:hAnsi="宋体" w:eastAsia="宋体" w:cs="宋体"/>
                                <w:sz w:val="10"/>
                              </w:rPr>
                              <w:t>、</w:t>
                            </w:r>
                            <w:r>
                              <w:rPr>
                                <w:rFonts w:hint="eastAsia" w:ascii="宋体" w:hAnsi="宋体" w:eastAsia="宋体" w:cs="宋体"/>
                                <w:sz w:val="21"/>
                              </w:rPr>
                              <w:t>存储系统</w:t>
                            </w:r>
                            <w:r>
                              <w:rPr>
                                <w:rFonts w:hint="eastAsia" w:ascii="宋体" w:hAnsi="宋体" w:eastAsia="宋体" w:cs="宋体"/>
                                <w:sz w:val="10"/>
                              </w:rPr>
                              <w:t>、</w:t>
                            </w:r>
                            <w:r>
                              <w:rPr>
                                <w:rFonts w:hint="eastAsia" w:ascii="宋体" w:hAnsi="宋体" w:eastAsia="宋体" w:cs="宋体"/>
                                <w:sz w:val="21"/>
                              </w:rPr>
                              <w:t>交换机</w:t>
                            </w:r>
                            <w:r>
                              <w:rPr>
                                <w:rFonts w:hint="eastAsia" w:ascii="宋体" w:hAnsi="宋体" w:eastAsia="宋体" w:cs="宋体"/>
                                <w:sz w:val="10"/>
                              </w:rPr>
                              <w:t>、</w:t>
                            </w:r>
                          </w:p>
                          <w:p>
                            <w:pPr>
                              <w:spacing w:line="320" w:lineRule="exact"/>
                              <w:ind w:left="400"/>
                              <w:jc w:val="both"/>
                            </w:pPr>
                            <w:r>
                              <w:rPr>
                                <w:rFonts w:hint="eastAsia" w:ascii="宋体" w:hAnsi="宋体" w:eastAsia="宋体" w:cs="宋体"/>
                                <w:sz w:val="21"/>
                              </w:rPr>
                              <w:t>路由器等硬件供应商</w:t>
                            </w:r>
                          </w:p>
                        </w:txbxContent>
                      </wps:txbx>
                      <wps:bodyPr rot="0" spcFirstLastPara="false" vertOverflow="overflow" horzOverflow="overflow" vert="horz" wrap="square" lIns="101600" tIns="762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45pt;height:55pt;margin-left:340pt;margin-top:163pt;mso-wrap-style:square;z-index:10261264;mso-wrap-distance-left:9pt;mso-wrap-distance-top:0pt;mso-wrap-distance-right:9pt;mso-wrap-distance-bottom:0pt" id="shape6614" o:spid="1618382348715" stroked="t" strokecolor="#000000" strokeweight="1pt">
                <v:textbox>
                  <w:txbxContent>
                    <w:p>
                      <w:pPr>
                        <w:spacing w:line="-320" w:lineRule="exact"/>
                        <w:ind w:left="60"/>
                        <w:jc w:val="both"/>
                      </w:pPr>
                      <w:r>
                        <w:rPr>
                          <w:rFonts w:hint="eastAsia" w:ascii="宋体" w:hAnsi="宋体" w:eastAsia="宋体" w:cs="宋体"/>
                          <w:sz w:val="21"/>
                        </w:rPr>
                        <w:t>服务器</w:t>
                      </w:r>
                      <w:r>
                        <w:rPr>
                          <w:rFonts w:hint="eastAsia" w:ascii="宋体" w:hAnsi="宋体" w:eastAsia="宋体" w:cs="宋体"/>
                          <w:sz w:val="10"/>
                        </w:rPr>
                        <w:t>、</w:t>
                      </w:r>
                      <w:r>
                        <w:rPr>
                          <w:rFonts w:hint="eastAsia" w:ascii="宋体" w:hAnsi="宋体" w:eastAsia="宋体" w:cs="宋体"/>
                          <w:sz w:val="21"/>
                        </w:rPr>
                        <w:t>存储系统</w:t>
                      </w:r>
                      <w:r>
                        <w:rPr>
                          <w:rFonts w:hint="eastAsia" w:ascii="宋体" w:hAnsi="宋体" w:eastAsia="宋体" w:cs="宋体"/>
                          <w:sz w:val="10"/>
                        </w:rPr>
                        <w:t>、</w:t>
                      </w:r>
                      <w:r>
                        <w:rPr>
                          <w:rFonts w:hint="eastAsia" w:ascii="宋体" w:hAnsi="宋体" w:eastAsia="宋体" w:cs="宋体"/>
                          <w:sz w:val="21"/>
                        </w:rPr>
                        <w:t>交换机</w:t>
                      </w:r>
                      <w:r>
                        <w:rPr>
                          <w:rFonts w:hint="eastAsia" w:ascii="宋体" w:hAnsi="宋体" w:eastAsia="宋体" w:cs="宋体"/>
                          <w:sz w:val="10"/>
                        </w:rPr>
                        <w:t>、</w:t>
                      </w:r>
                    </w:p>
                    <w:p>
                      <w:pPr>
                        <w:spacing w:line="320" w:lineRule="exact"/>
                        <w:ind w:left="400"/>
                        <w:jc w:val="both"/>
                      </w:pPr>
                      <w:r>
                        <w:rPr>
                          <w:rFonts w:hint="eastAsia" w:ascii="宋体" w:hAnsi="宋体" w:eastAsia="宋体" w:cs="宋体"/>
                          <w:sz w:val="21"/>
                        </w:rPr>
                        <w:t>路由器等硬件供应商</w:t>
                      </w:r>
                    </w:p>
                  </w:txbxContent>
                </v:textbox>
              </v:rect>
            </w:pict>
          </mc:Fallback>
        </mc:AlternateContent>
      </w:r>
      <w:r>
        <mc:AlternateContent>
          <mc:Choice Requires="wps">
            <w:drawing>
              <wp:anchor distT="0" distB="0" distL="114300" distR="114300" simplePos="false" relativeHeight="10259216" behindDoc="false" locked="false" layoutInCell="true" allowOverlap="true">
                <wp:simplePos x="0" y="0"/>
                <wp:positionH relativeFrom="page">
                  <wp:posOffset>2298700</wp:posOffset>
                </wp:positionH>
                <wp:positionV relativeFrom="page">
                  <wp:posOffset>2070100</wp:posOffset>
                </wp:positionV>
                <wp:extent cx="1930400" cy="698500"/>
                <wp:effectExtent l="0" t="0" r="22225" b="31115"/>
                <wp:wrapNone/>
                <wp:docPr id="6612" name="shape6612"/>
                <wp:cNvGraphicFramePr/>
                <a:graphic>
                  <a:graphicData uri="http://schemas.microsoft.com/office/word/2010/wordprocessingShape">
                    <wps:wsp>
                      <wps:cNvSpPr/>
                      <wps:spPr>
                        <a:xfrm>
                          <a:off x="0" y="0"/>
                          <a:ext cx="1930400" cy="698500"/>
                        </a:xfrm>
                        <a:prstGeom prst="rect">
                          <a:avLst/>
                        </a:prstGeom>
                        <a:ln>
                          <a:solidFill>
                            <a:srgbClr val="000000"/>
                          </a:solidFill>
                        </a:ln>
                      </wps:spPr>
                      <wps:txbx>
                        <w:txbxContent>
                          <w:p>
                            <w:pPr>
                              <w:spacing w:line="-320" w:lineRule="exact"/>
                              <w:ind w:left="60"/>
                              <w:jc w:val="both"/>
                            </w:pPr>
                            <w:r>
                              <w:rPr>
                                <w:rFonts w:hint="eastAsia" w:ascii="宋体" w:hAnsi="宋体" w:eastAsia="宋体" w:cs="宋体"/>
                                <w:sz w:val="21"/>
                              </w:rPr>
                              <w:t>操作系统</w:t>
                            </w:r>
                            <w:r>
                              <w:rPr>
                                <w:rFonts w:hint="eastAsia" w:ascii="宋体" w:hAnsi="宋体" w:eastAsia="宋体" w:cs="宋体"/>
                                <w:sz w:val="10"/>
                              </w:rPr>
                              <w:t>、</w:t>
                            </w:r>
                            <w:r>
                              <w:rPr>
                                <w:rFonts w:hint="eastAsia" w:ascii="宋体" w:hAnsi="宋体" w:eastAsia="宋体" w:cs="宋体"/>
                                <w:sz w:val="21"/>
                              </w:rPr>
                              <w:t>数据库</w:t>
                            </w:r>
                            <w:r>
                              <w:rPr>
                                <w:rFonts w:hint="eastAsia" w:ascii="宋体" w:hAnsi="宋体" w:eastAsia="宋体" w:cs="宋体"/>
                                <w:sz w:val="10"/>
                              </w:rPr>
                              <w:t>、</w:t>
                            </w:r>
                            <w:r>
                              <w:rPr>
                                <w:rFonts w:hint="eastAsia" w:ascii="宋体" w:hAnsi="宋体" w:eastAsia="宋体" w:cs="宋体"/>
                                <w:sz w:val="21"/>
                              </w:rPr>
                              <w:t>地理信息</w:t>
                            </w:r>
                          </w:p>
                          <w:p>
                            <w:pPr>
                              <w:spacing w:line="320" w:lineRule="exact"/>
                              <w:ind w:left="60"/>
                              <w:jc w:val="both"/>
                            </w:pPr>
                            <w:r>
                              <w:rPr>
                                <w:rFonts w:hint="eastAsia" w:ascii="宋体" w:hAnsi="宋体" w:eastAsia="宋体" w:cs="宋体"/>
                                <w:sz w:val="21"/>
                              </w:rPr>
                              <w:t>系统平台</w:t>
                            </w:r>
                            <w:r>
                              <w:rPr>
                                <w:rFonts w:hint="eastAsia" w:ascii="宋体" w:hAnsi="宋体" w:eastAsia="宋体" w:cs="宋体"/>
                                <w:sz w:val="10"/>
                              </w:rPr>
                              <w:t>、</w:t>
                            </w:r>
                            <w:r>
                              <w:rPr>
                                <w:rFonts w:hint="eastAsia" w:ascii="宋体" w:hAnsi="宋体" w:eastAsia="宋体" w:cs="宋体"/>
                                <w:sz w:val="21"/>
                              </w:rPr>
                              <w:t>开发工具等软件提</w:t>
                            </w:r>
                          </w:p>
                          <w:p>
                            <w:pPr>
                              <w:spacing w:line="300" w:lineRule="exact"/>
                              <w:ind w:left="1200"/>
                              <w:jc w:val="both"/>
                            </w:pPr>
                            <w:r>
                              <w:rPr>
                                <w:rFonts w:hint="eastAsia" w:ascii="宋体" w:hAnsi="宋体" w:eastAsia="宋体" w:cs="宋体"/>
                                <w:sz w:val="21"/>
                              </w:rPr>
                              <w:t>供商</w:t>
                            </w:r>
                          </w:p>
                        </w:txbxContent>
                      </wps:txbx>
                      <wps:bodyPr rot="0" spcFirstLastPara="false" vertOverflow="overflow" horzOverflow="overflow" vert="horz" wrap="square" lIns="101600" tIns="762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52pt;height:55pt;margin-left:181pt;margin-top:163pt;mso-wrap-style:square;z-index:10259216;mso-wrap-distance-left:9pt;mso-wrap-distance-top:0pt;mso-wrap-distance-right:9pt;mso-wrap-distance-bottom:0pt" id="shape6612" o:spid="1618382348715" stroked="t" strokecolor="#000000" strokeweight="1pt">
                <v:textbox>
                  <w:txbxContent>
                    <w:p>
                      <w:pPr>
                        <w:spacing w:line="-320" w:lineRule="exact"/>
                        <w:ind w:left="60"/>
                        <w:jc w:val="both"/>
                      </w:pPr>
                      <w:r>
                        <w:rPr>
                          <w:rFonts w:hint="eastAsia" w:ascii="宋体" w:hAnsi="宋体" w:eastAsia="宋体" w:cs="宋体"/>
                          <w:sz w:val="21"/>
                        </w:rPr>
                        <w:t>操作系统</w:t>
                      </w:r>
                      <w:r>
                        <w:rPr>
                          <w:rFonts w:hint="eastAsia" w:ascii="宋体" w:hAnsi="宋体" w:eastAsia="宋体" w:cs="宋体"/>
                          <w:sz w:val="10"/>
                        </w:rPr>
                        <w:t>、</w:t>
                      </w:r>
                      <w:r>
                        <w:rPr>
                          <w:rFonts w:hint="eastAsia" w:ascii="宋体" w:hAnsi="宋体" w:eastAsia="宋体" w:cs="宋体"/>
                          <w:sz w:val="21"/>
                        </w:rPr>
                        <w:t>数据库</w:t>
                      </w:r>
                      <w:r>
                        <w:rPr>
                          <w:rFonts w:hint="eastAsia" w:ascii="宋体" w:hAnsi="宋体" w:eastAsia="宋体" w:cs="宋体"/>
                          <w:sz w:val="10"/>
                        </w:rPr>
                        <w:t>、</w:t>
                      </w:r>
                      <w:r>
                        <w:rPr>
                          <w:rFonts w:hint="eastAsia" w:ascii="宋体" w:hAnsi="宋体" w:eastAsia="宋体" w:cs="宋体"/>
                          <w:sz w:val="21"/>
                        </w:rPr>
                        <w:t>地理信息</w:t>
                      </w:r>
                    </w:p>
                    <w:p>
                      <w:pPr>
                        <w:spacing w:line="320" w:lineRule="exact"/>
                        <w:ind w:left="60"/>
                        <w:jc w:val="both"/>
                      </w:pPr>
                      <w:r>
                        <w:rPr>
                          <w:rFonts w:hint="eastAsia" w:ascii="宋体" w:hAnsi="宋体" w:eastAsia="宋体" w:cs="宋体"/>
                          <w:sz w:val="21"/>
                        </w:rPr>
                        <w:t>系统平台</w:t>
                      </w:r>
                      <w:r>
                        <w:rPr>
                          <w:rFonts w:hint="eastAsia" w:ascii="宋体" w:hAnsi="宋体" w:eastAsia="宋体" w:cs="宋体"/>
                          <w:sz w:val="10"/>
                        </w:rPr>
                        <w:t>、</w:t>
                      </w:r>
                      <w:r>
                        <w:rPr>
                          <w:rFonts w:hint="eastAsia" w:ascii="宋体" w:hAnsi="宋体" w:eastAsia="宋体" w:cs="宋体"/>
                          <w:sz w:val="21"/>
                        </w:rPr>
                        <w:t>开发工具等软件提</w:t>
                      </w:r>
                    </w:p>
                    <w:p>
                      <w:pPr>
                        <w:spacing w:line="300" w:lineRule="exact"/>
                        <w:ind w:left="1200"/>
                        <w:jc w:val="both"/>
                      </w:pPr>
                      <w:r>
                        <w:rPr>
                          <w:rFonts w:hint="eastAsia" w:ascii="宋体" w:hAnsi="宋体" w:eastAsia="宋体" w:cs="宋体"/>
                          <w:sz w:val="21"/>
                        </w:rPr>
                        <w:t>供商</w:t>
                      </w:r>
                    </w:p>
                  </w:txbxContent>
                </v:textbox>
              </v:rect>
            </w:pict>
          </mc:Fallback>
        </mc:AlternateContent>
      </w:r>
      <w:r>
        <mc:AlternateContent>
          <mc:Choice Requires="wps">
            <w:drawing>
              <wp:anchor distT="0" distB="0" distL="114300" distR="114300" simplePos="false" relativeHeight="10257168" behindDoc="false" locked="false" layoutInCell="true" allowOverlap="true">
                <wp:simplePos x="0" y="0"/>
                <wp:positionH relativeFrom="page">
                  <wp:posOffset>1295400</wp:posOffset>
                </wp:positionH>
                <wp:positionV relativeFrom="page">
                  <wp:posOffset>3873500</wp:posOffset>
                </wp:positionV>
                <wp:extent cx="812800" cy="355600"/>
                <wp:effectExtent l="0" t="0" r="22225" b="31115"/>
                <wp:wrapNone/>
                <wp:docPr id="6610" name="shape6610"/>
                <wp:cNvGraphicFramePr/>
                <a:graphic>
                  <a:graphicData uri="http://schemas.microsoft.com/office/word/2010/wordprocessingShape">
                    <wps:wsp>
                      <wps:cNvSpPr/>
                      <wps:spPr>
                        <a:xfrm>
                          <a:off x="0" y="0"/>
                          <a:ext cx="812800" cy="355600"/>
                        </a:xfrm>
                        <a:prstGeom prst="rect">
                          <a:avLst/>
                        </a:prstGeom>
                        <a:ln>
                          <a:solidFill>
                            <a:srgbClr val="000000"/>
                          </a:solidFill>
                        </a:ln>
                      </wps:spPr>
                      <wps:txbx>
                        <w:txbxContent>
                          <w:p>
                            <w:pPr>
                              <w:spacing w:line="-340" w:lineRule="exact"/>
                              <w:ind w:left="60"/>
                              <w:jc w:val="both"/>
                            </w:pPr>
                            <w:r>
                              <w:rPr>
                                <w:rFonts w:hint="eastAsia" w:ascii="宋体" w:hAnsi="宋体" w:eastAsia="宋体" w:cs="宋体"/>
                                <w:sz w:val="21"/>
                              </w:rPr>
                              <w:t>下游行业</w:t>
                            </w:r>
                          </w:p>
                        </w:txbxContent>
                      </wps:txbx>
                      <wps:bodyPr rot="0" spcFirstLastPara="false" vertOverflow="overflow" horzOverflow="overflow" vert="horz" wrap="square" lIns="101600" tIns="762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4pt;height:28pt;margin-left:102pt;margin-top:305pt;mso-wrap-style:square;z-index:10257168;mso-wrap-distance-left:9pt;mso-wrap-distance-top:0pt;mso-wrap-distance-right:9pt;mso-wrap-distance-bottom:0pt" id="shape6610" o:spid="1618382348716" stroked="t" strokecolor="#000000" strokeweight="1pt">
                <v:textbox>
                  <w:txbxContent>
                    <w:p>
                      <w:pPr>
                        <w:spacing w:line="-340" w:lineRule="exact"/>
                        <w:ind w:left="60"/>
                        <w:jc w:val="both"/>
                      </w:pPr>
                      <w:r>
                        <w:rPr>
                          <w:rFonts w:hint="eastAsia" w:ascii="宋体" w:hAnsi="宋体" w:eastAsia="宋体" w:cs="宋体"/>
                          <w:sz w:val="21"/>
                        </w:rPr>
                        <w:t>下游行业</w:t>
                      </w:r>
                    </w:p>
                  </w:txbxContent>
                </v:textbox>
              </v:rect>
            </w:pict>
          </mc:Fallback>
        </mc:AlternateContent>
      </w:r>
      <w:r>
        <mc:AlternateContent>
          <mc:Choice Requires="wps">
            <w:drawing>
              <wp:anchor distT="0" distB="0" distL="114300" distR="114300" simplePos="false" relativeHeight="10255120" behindDoc="false" locked="false" layoutInCell="true" allowOverlap="true">
                <wp:simplePos x="0" y="0"/>
                <wp:positionH relativeFrom="page">
                  <wp:posOffset>1295400</wp:posOffset>
                </wp:positionH>
                <wp:positionV relativeFrom="page">
                  <wp:posOffset>3073400</wp:posOffset>
                </wp:positionV>
                <wp:extent cx="812800" cy="419100"/>
                <wp:effectExtent l="0" t="0" r="22225" b="31115"/>
                <wp:wrapNone/>
                <wp:docPr id="6608" name="shape6608"/>
                <wp:cNvGraphicFramePr/>
                <a:graphic>
                  <a:graphicData uri="http://schemas.microsoft.com/office/word/2010/wordprocessingShape">
                    <wps:wsp>
                      <wps:cNvSpPr/>
                      <wps:spPr>
                        <a:xfrm>
                          <a:off x="0" y="0"/>
                          <a:ext cx="812800" cy="419100"/>
                        </a:xfrm>
                        <a:prstGeom prst="rect">
                          <a:avLst/>
                        </a:prstGeom>
                        <a:ln>
                          <a:solidFill>
                            <a:srgbClr val="000000"/>
                          </a:solidFill>
                        </a:ln>
                      </wps:spPr>
                      <wps:txbx>
                        <w:txbxContent>
                          <w:p>
                            <w:pPr>
                              <w:spacing w:line="-340" w:lineRule="exact"/>
                              <w:ind w:left="60"/>
                              <w:jc w:val="both"/>
                            </w:pPr>
                            <w:r>
                              <w:rPr>
                                <w:rFonts w:hint="eastAsia" w:ascii="宋体" w:hAnsi="宋体" w:eastAsia="宋体" w:cs="宋体"/>
                                <w:sz w:val="21"/>
                              </w:rPr>
                              <w:t>顶点软件</w:t>
                            </w:r>
                          </w:p>
                        </w:txbxContent>
                      </wps:txbx>
                      <wps:bodyPr rot="0" spcFirstLastPara="false" vertOverflow="overflow" horzOverflow="overflow" vert="horz" wrap="square" lIns="101600" tIns="762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4pt;height:33pt;margin-left:102pt;margin-top:242pt;mso-wrap-style:square;z-index:10255120;mso-wrap-distance-left:9pt;mso-wrap-distance-top:0pt;mso-wrap-distance-right:9pt;mso-wrap-distance-bottom:0pt" id="shape6608" o:spid="1618382348716" stroked="t" strokecolor="#000000" strokeweight="1pt">
                <v:textbox>
                  <w:txbxContent>
                    <w:p>
                      <w:pPr>
                        <w:spacing w:line="-340" w:lineRule="exact"/>
                        <w:ind w:left="60"/>
                        <w:jc w:val="both"/>
                      </w:pPr>
                      <w:r>
                        <w:rPr>
                          <w:rFonts w:hint="eastAsia" w:ascii="宋体" w:hAnsi="宋体" w:eastAsia="宋体" w:cs="宋体"/>
                          <w:sz w:val="21"/>
                        </w:rPr>
                        <w:t>顶点软件</w:t>
                      </w:r>
                    </w:p>
                  </w:txbxContent>
                </v:textbox>
              </v:rect>
            </w:pict>
          </mc:Fallback>
        </mc:AlternateContent>
      </w:r>
      <w:r>
        <mc:AlternateContent>
          <mc:Choice Requires="wps">
            <w:drawing>
              <wp:anchor distT="0" distB="0" distL="114300" distR="114300" simplePos="false" relativeHeight="10253072" behindDoc="false" locked="false" layoutInCell="true" allowOverlap="true">
                <wp:simplePos x="0" y="0"/>
                <wp:positionH relativeFrom="page">
                  <wp:posOffset>1295400</wp:posOffset>
                </wp:positionH>
                <wp:positionV relativeFrom="page">
                  <wp:posOffset>2273300</wp:posOffset>
                </wp:positionV>
                <wp:extent cx="812800" cy="342900"/>
                <wp:effectExtent l="0" t="0" r="22225" b="31115"/>
                <wp:wrapNone/>
                <wp:docPr id="6606" name="shape6606"/>
                <wp:cNvGraphicFramePr/>
                <a:graphic>
                  <a:graphicData uri="http://schemas.microsoft.com/office/word/2010/wordprocessingShape">
                    <wps:wsp>
                      <wps:cNvSpPr/>
                      <wps:spPr>
                        <a:xfrm>
                          <a:off x="0" y="0"/>
                          <a:ext cx="812800" cy="342900"/>
                        </a:xfrm>
                        <a:prstGeom prst="rect">
                          <a:avLst/>
                        </a:prstGeom>
                        <a:ln>
                          <a:solidFill>
                            <a:srgbClr val="000000"/>
                          </a:solidFill>
                        </a:ln>
                      </wps:spPr>
                      <wps:txbx>
                        <w:txbxContent>
                          <w:p>
                            <w:pPr>
                              <w:spacing w:line="-340" w:lineRule="exact"/>
                              <w:ind w:left="60"/>
                              <w:jc w:val="both"/>
                            </w:pPr>
                            <w:r>
                              <w:rPr>
                                <w:rFonts w:hint="eastAsia" w:ascii="宋体" w:hAnsi="宋体" w:eastAsia="宋体" w:cs="宋体"/>
                                <w:sz w:val="21"/>
                              </w:rPr>
                              <w:t>上游行业</w:t>
                            </w:r>
                          </w:p>
                        </w:txbxContent>
                      </wps:txbx>
                      <wps:bodyPr rot="0" spcFirstLastPara="false" vertOverflow="overflow" horzOverflow="overflow" vert="horz" wrap="square" lIns="1016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4pt;height:27pt;margin-left:102pt;margin-top:179pt;mso-wrap-style:square;z-index:10253072;mso-wrap-distance-left:9pt;mso-wrap-distance-top:0pt;mso-wrap-distance-right:9pt;mso-wrap-distance-bottom:0pt" id="shape6606" o:spid="1618382348717" stroked="t" strokecolor="#000000" strokeweight="1pt">
                <v:textbox>
                  <w:txbxContent>
                    <w:p>
                      <w:pPr>
                        <w:spacing w:line="-340" w:lineRule="exact"/>
                        <w:ind w:left="60"/>
                        <w:jc w:val="both"/>
                      </w:pPr>
                      <w:r>
                        <w:rPr>
                          <w:rFonts w:hint="eastAsia" w:ascii="宋体" w:hAnsi="宋体" w:eastAsia="宋体" w:cs="宋体"/>
                          <w:sz w:val="21"/>
                        </w:rPr>
                        <w:t>上游行业</w:t>
                      </w:r>
                    </w:p>
                  </w:txbxContent>
                </v:textbox>
              </v:rect>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公司所处金融机构管理系统及应用软件细分行业的上游行业主要为基础软件平台行业</w:t>
      </w:r>
      <w:r>
        <w:rPr>
          <w:rFonts w:hint="eastAsia" w:ascii="宋体" w:hAnsi="宋体" w:eastAsia="宋体" w:cs="宋体"/>
          <w:sz w:val="10"/>
        </w:rPr>
        <w:t>、</w:t>
      </w:r>
      <w:r>
        <w:rPr>
          <w:rFonts w:hint="eastAsia" w:ascii="宋体" w:hAnsi="宋体" w:eastAsia="宋体" w:cs="宋体"/>
          <w:sz w:val="24"/>
        </w:rPr>
        <w:t>网络及存储设备行业</w:t>
      </w:r>
      <w:r>
        <w:rPr>
          <w:rFonts w:hint="eastAsia" w:ascii="宋体" w:hAnsi="宋体" w:eastAsia="宋体" w:cs="宋体"/>
          <w:sz w:val="10"/>
        </w:rPr>
        <w:t>、</w:t>
      </w:r>
      <w:r>
        <w:rPr>
          <w:rFonts w:hint="eastAsia" w:ascii="宋体" w:hAnsi="宋体" w:eastAsia="宋体" w:cs="宋体"/>
          <w:sz w:val="24"/>
        </w:rPr>
        <w:t>计算机硬件行业</w:t>
      </w:r>
      <w:r>
        <w:rPr>
          <w:rFonts w:hint="eastAsia" w:ascii="宋体" w:hAnsi="宋体" w:eastAsia="宋体" w:cs="宋体"/>
          <w:sz w:val="10"/>
        </w:rPr>
        <w:t>，</w:t>
      </w:r>
      <w:r>
        <w:rPr>
          <w:rFonts w:hint="eastAsia" w:ascii="宋体" w:hAnsi="宋体" w:eastAsia="宋体" w:cs="宋体"/>
          <w:sz w:val="24"/>
        </w:rPr>
        <w:t>下游行业为公司产品的最终用户</w:t>
      </w:r>
      <w:r>
        <w:rPr>
          <w:rFonts w:hint="eastAsia" w:ascii="宋体" w:hAnsi="宋体" w:eastAsia="宋体" w:cs="宋体"/>
          <w:sz w:val="10"/>
        </w:rPr>
        <w:t>，</w:t>
      </w:r>
      <w:r>
        <w:rPr>
          <w:rFonts w:hint="eastAsia" w:ascii="宋体" w:hAnsi="宋体" w:eastAsia="宋体" w:cs="宋体"/>
          <w:sz w:val="24"/>
        </w:rPr>
        <w:t>主要为以证券公司为代表的金融机构</w:t>
      </w:r>
      <w:r>
        <w:rPr>
          <w:rFonts w:hint="eastAsia" w:ascii="宋体" w:hAnsi="宋体" w:eastAsia="宋体" w:cs="宋体"/>
          <w:sz w:val="10"/>
        </w:rPr>
        <w:t>，</w:t>
      </w:r>
      <w:r>
        <w:rPr>
          <w:rFonts w:hint="eastAsia" w:ascii="宋体" w:hAnsi="宋体" w:eastAsia="宋体" w:cs="宋体"/>
          <w:sz w:val="24"/>
        </w:rPr>
        <w:t>以及其他企事业单位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公司所处行业与上游行业的关系及影响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公司自主软件技术的研究与自主软件产品的研发</w:t>
      </w:r>
      <w:r>
        <w:rPr>
          <w:rFonts w:hint="eastAsia" w:ascii="宋体" w:hAnsi="宋体" w:eastAsia="宋体" w:cs="宋体"/>
          <w:sz w:val="10"/>
        </w:rPr>
        <w:t>，</w:t>
      </w:r>
      <w:r>
        <w:rPr>
          <w:rFonts w:hint="eastAsia" w:ascii="宋体" w:hAnsi="宋体" w:eastAsia="宋体" w:cs="宋体"/>
          <w:sz w:val="24"/>
        </w:rPr>
        <w:t>需要上游操作系统</w:t>
      </w:r>
      <w:r>
        <w:rPr>
          <w:rFonts w:hint="eastAsia" w:ascii="宋体" w:hAnsi="宋体" w:eastAsia="宋体" w:cs="宋体"/>
          <w:sz w:val="10"/>
        </w:rPr>
        <w:t>、</w:t>
      </w:r>
      <w:r>
        <w:rPr>
          <w:rFonts w:hint="eastAsia" w:ascii="宋体" w:hAnsi="宋体" w:eastAsia="宋体" w:cs="宋体"/>
          <w:sz w:val="24"/>
        </w:rPr>
        <w:t>中间件和开发工具提供商支撑</w:t>
      </w:r>
      <w:r>
        <w:rPr>
          <w:rFonts w:hint="eastAsia" w:ascii="宋体" w:hAnsi="宋体" w:eastAsia="宋体" w:cs="宋体"/>
          <w:sz w:val="10"/>
        </w:rPr>
        <w:t>，</w:t>
      </w:r>
      <w:r>
        <w:rPr>
          <w:rFonts w:hint="eastAsia" w:ascii="宋体" w:hAnsi="宋体" w:eastAsia="宋体" w:cs="宋体"/>
          <w:sz w:val="24"/>
        </w:rPr>
        <w:t>主要包括</w:t>
      </w:r>
      <w:r>
        <w:rPr>
          <w:rFonts w:hint="eastAsia" w:ascii="Times New Roman" w:hAnsi="Times New Roman" w:eastAsia="Times New Roman" w:cs="Times New Roman"/>
          <w:sz w:val="24"/>
        </w:rPr>
        <w:t xml:space="preserve"> Oracle</w:t>
      </w:r>
      <w:r>
        <w:rPr>
          <w:rFonts w:hint="eastAsia" w:ascii="宋体" w:hAnsi="宋体" w:eastAsia="宋体" w:cs="宋体"/>
          <w:sz w:val="24"/>
        </w:rPr>
        <w:t xml:space="preserve"> 等</w:t>
      </w:r>
      <w:r>
        <w:rPr>
          <w:rFonts w:hint="eastAsia" w:ascii="宋体" w:hAnsi="宋体" w:eastAsia="宋体" w:cs="宋体"/>
          <w:sz w:val="12"/>
        </w:rPr>
        <w:t>；</w:t>
      </w:r>
      <w:r>
        <w:rPr>
          <w:rFonts w:hint="eastAsia" w:ascii="宋体" w:hAnsi="宋体" w:eastAsia="宋体" w:cs="宋体"/>
          <w:sz w:val="24"/>
        </w:rPr>
        <w:t>软件产品交付下游合作伙伴及最终行业用户进入应用环节</w:t>
      </w:r>
      <w:r>
        <w:rPr>
          <w:rFonts w:hint="eastAsia" w:ascii="宋体" w:hAnsi="宋体" w:eastAsia="宋体" w:cs="宋体"/>
          <w:sz w:val="10"/>
        </w:rPr>
        <w:t>，</w:t>
      </w:r>
      <w:r>
        <w:rPr>
          <w:rFonts w:hint="eastAsia" w:ascii="宋体" w:hAnsi="宋体" w:eastAsia="宋体" w:cs="宋体"/>
          <w:sz w:val="24"/>
        </w:rPr>
        <w:t>也需要操作系统作为运行环境提供支撑</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公司高度重视自主软件产品和操作系统</w:t>
      </w:r>
      <w:r>
        <w:rPr>
          <w:rFonts w:hint="eastAsia" w:ascii="宋体" w:hAnsi="宋体" w:eastAsia="宋体" w:cs="宋体"/>
          <w:sz w:val="10"/>
        </w:rPr>
        <w:t>、</w:t>
      </w:r>
      <w:r>
        <w:rPr>
          <w:rFonts w:hint="eastAsia" w:ascii="宋体" w:hAnsi="宋体" w:eastAsia="宋体" w:cs="宋体"/>
          <w:sz w:val="24"/>
        </w:rPr>
        <w:t>中间件等支撑软件的集成性</w:t>
      </w:r>
      <w:r>
        <w:rPr>
          <w:rFonts w:hint="eastAsia" w:ascii="宋体" w:hAnsi="宋体" w:eastAsia="宋体" w:cs="宋体"/>
          <w:sz w:val="10"/>
        </w:rPr>
        <w:t>、</w:t>
      </w:r>
      <w:r>
        <w:rPr>
          <w:rFonts w:hint="eastAsia" w:ascii="宋体" w:hAnsi="宋体" w:eastAsia="宋体" w:cs="宋体"/>
          <w:sz w:val="24"/>
        </w:rPr>
        <w:t>融合性</w:t>
      </w:r>
      <w:r>
        <w:rPr>
          <w:rFonts w:hint="eastAsia" w:ascii="宋体" w:hAnsi="宋体" w:eastAsia="宋体" w:cs="宋体"/>
          <w:sz w:val="10"/>
        </w:rPr>
        <w:t>，</w:t>
      </w:r>
      <w:r>
        <w:rPr>
          <w:rFonts w:hint="eastAsia" w:ascii="宋体" w:hAnsi="宋体" w:eastAsia="宋体" w:cs="宋体"/>
          <w:sz w:val="24"/>
        </w:rPr>
        <w:t>便于最终用户的可靠</w:t>
      </w:r>
      <w:r>
        <w:rPr>
          <w:rFonts w:hint="eastAsia" w:ascii="宋体" w:hAnsi="宋体" w:eastAsia="宋体" w:cs="宋体"/>
          <w:sz w:val="10"/>
        </w:rPr>
        <w:t>、</w:t>
      </w:r>
      <w:r>
        <w:rPr>
          <w:rFonts w:hint="eastAsia" w:ascii="宋体" w:hAnsi="宋体" w:eastAsia="宋体" w:cs="宋体"/>
          <w:sz w:val="24"/>
        </w:rPr>
        <w:t>稳定运行</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公司所处行业的其他上游企业还包括硬件供应商</w:t>
      </w:r>
      <w:r>
        <w:rPr>
          <w:rFonts w:hint="eastAsia" w:ascii="宋体" w:hAnsi="宋体" w:eastAsia="宋体" w:cs="宋体"/>
          <w:sz w:val="10"/>
        </w:rPr>
        <w:t>，</w:t>
      </w:r>
      <w:r>
        <w:rPr>
          <w:rFonts w:hint="eastAsia" w:ascii="宋体" w:hAnsi="宋体" w:eastAsia="宋体" w:cs="宋体"/>
          <w:sz w:val="24"/>
        </w:rPr>
        <w:t>主要包括系统开发所需的服务器</w:t>
      </w:r>
      <w:r>
        <w:rPr>
          <w:rFonts w:hint="eastAsia" w:ascii="宋体" w:hAnsi="宋体" w:eastAsia="宋体" w:cs="宋体"/>
          <w:sz w:val="10"/>
        </w:rPr>
        <w:t>、</w:t>
      </w:r>
      <w:r>
        <w:rPr>
          <w:rFonts w:hint="eastAsia" w:ascii="宋体" w:hAnsi="宋体" w:eastAsia="宋体" w:cs="宋体"/>
          <w:sz w:val="24"/>
        </w:rPr>
        <w:t>存储设备等通用设备供应商以及数据采集装置</w:t>
      </w:r>
      <w:r>
        <w:rPr>
          <w:rFonts w:hint="eastAsia" w:ascii="宋体" w:hAnsi="宋体" w:eastAsia="宋体" w:cs="宋体"/>
          <w:sz w:val="10"/>
        </w:rPr>
        <w:t>、</w:t>
      </w:r>
      <w:r>
        <w:rPr>
          <w:rFonts w:hint="eastAsia" w:ascii="宋体" w:hAnsi="宋体" w:eastAsia="宋体" w:cs="宋体"/>
          <w:sz w:val="24"/>
        </w:rPr>
        <w:t>可编程控制器等专用设备供应商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目前本公司上游行业处于完全竞争的市场状态</w:t>
      </w:r>
      <w:r>
        <w:rPr>
          <w:rFonts w:hint="eastAsia" w:ascii="宋体" w:hAnsi="宋体" w:eastAsia="宋体" w:cs="宋体"/>
          <w:sz w:val="10"/>
        </w:rPr>
        <w:t>，</w:t>
      </w:r>
      <w:r>
        <w:rPr>
          <w:rFonts w:hint="eastAsia" w:ascii="宋体" w:hAnsi="宋体" w:eastAsia="宋体" w:cs="宋体"/>
          <w:sz w:val="24"/>
        </w:rPr>
        <w:t>不存在对本公司产品及经营不利的影响</w:t>
      </w:r>
      <w:r>
        <w:rPr>
          <w:rFonts w:hint="eastAsia" w:ascii="宋体" w:hAnsi="宋体" w:eastAsia="宋体" w:cs="宋体"/>
          <w:sz w:val="10"/>
        </w:rPr>
        <w:t>。</w:t>
      </w:r>
      <w:r>
        <w:rPr>
          <w:rFonts w:hint="eastAsia" w:ascii="宋体" w:hAnsi="宋体" w:eastAsia="宋体" w:cs="宋体"/>
          <w:sz w:val="24"/>
        </w:rPr>
        <w:t>相关技术均较为成熟</w:t>
      </w:r>
      <w:r>
        <w:rPr>
          <w:rFonts w:hint="eastAsia" w:ascii="宋体" w:hAnsi="宋体" w:eastAsia="宋体" w:cs="宋体"/>
          <w:sz w:val="10"/>
        </w:rPr>
        <w:t>，</w:t>
      </w:r>
      <w:r>
        <w:rPr>
          <w:rFonts w:hint="eastAsia" w:ascii="宋体" w:hAnsi="宋体" w:eastAsia="宋体" w:cs="宋体"/>
          <w:sz w:val="24"/>
        </w:rPr>
        <w:t>而且产品改进升级较快</w:t>
      </w:r>
      <w:r>
        <w:rPr>
          <w:rFonts w:hint="eastAsia" w:ascii="宋体" w:hAnsi="宋体" w:eastAsia="宋体" w:cs="宋体"/>
          <w:sz w:val="10"/>
        </w:rPr>
        <w:t>，</w:t>
      </w:r>
      <w:r>
        <w:rPr>
          <w:rFonts w:hint="eastAsia" w:ascii="宋体" w:hAnsi="宋体" w:eastAsia="宋体" w:cs="宋体"/>
          <w:sz w:val="24"/>
        </w:rPr>
        <w:t>能够不断满足公司软件开发及下游行业应用的要求</w:t>
      </w:r>
      <w:r>
        <w:rPr>
          <w:rFonts w:hint="eastAsia" w:ascii="宋体" w:hAnsi="宋体" w:eastAsia="宋体" w:cs="宋体"/>
          <w:sz w:val="10"/>
        </w:rPr>
        <w:t>，</w:t>
      </w:r>
      <w:r>
        <w:rPr>
          <w:rFonts w:hint="eastAsia" w:ascii="宋体" w:hAnsi="宋体" w:eastAsia="宋体" w:cs="宋体"/>
          <w:sz w:val="24"/>
        </w:rPr>
        <w:t>不存在制约公司研究与技术开发的瓶颈因素</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公司所处行业与下游行业的关系及影响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公司的下游行业主要是以证券公司为代表的金融机构</w:t>
      </w:r>
      <w:r>
        <w:rPr>
          <w:rFonts w:hint="eastAsia" w:ascii="宋体" w:hAnsi="宋体" w:eastAsia="宋体" w:cs="宋体"/>
          <w:sz w:val="10"/>
        </w:rPr>
        <w:t>，</w:t>
      </w:r>
      <w:r>
        <w:rPr>
          <w:rFonts w:hint="eastAsia" w:ascii="宋体" w:hAnsi="宋体" w:eastAsia="宋体" w:cs="宋体"/>
          <w:sz w:val="24"/>
        </w:rPr>
        <w:t>以及其他企事业单位</w:t>
      </w:r>
      <w:r>
        <w:rPr>
          <w:rFonts w:hint="eastAsia" w:ascii="宋体" w:hAnsi="宋体" w:eastAsia="宋体" w:cs="宋体"/>
          <w:sz w:val="10"/>
        </w:rPr>
        <w:t>。</w:t>
      </w:r>
      <w:r>
        <w:rPr>
          <w:rFonts w:hint="eastAsia" w:ascii="宋体" w:hAnsi="宋体" w:eastAsia="宋体" w:cs="宋体"/>
          <w:sz w:val="24"/>
        </w:rPr>
        <w:t>下游行业对本行业的发展具有较大的影响力</w:t>
      </w:r>
      <w:r>
        <w:rPr>
          <w:rFonts w:hint="eastAsia" w:ascii="宋体" w:hAnsi="宋体" w:eastAsia="宋体" w:cs="宋体"/>
          <w:sz w:val="10"/>
        </w:rPr>
        <w:t>。</w:t>
      </w:r>
      <w:r>
        <w:rPr>
          <w:rFonts w:hint="eastAsia" w:ascii="宋体" w:hAnsi="宋体" w:eastAsia="宋体" w:cs="宋体"/>
          <w:sz w:val="24"/>
        </w:rPr>
        <w:t>目前下游行业处于变革的开端</w:t>
      </w:r>
      <w:r>
        <w:rPr>
          <w:rFonts w:hint="eastAsia" w:ascii="宋体" w:hAnsi="宋体" w:eastAsia="宋体" w:cs="宋体"/>
          <w:sz w:val="10"/>
        </w:rPr>
        <w:t>，</w:t>
      </w:r>
      <w:r>
        <w:rPr>
          <w:rFonts w:hint="eastAsia" w:ascii="宋体" w:hAnsi="宋体" w:eastAsia="宋体" w:cs="宋体"/>
          <w:sz w:val="24"/>
        </w:rPr>
        <w:t>发展迅速</w:t>
      </w:r>
      <w:r>
        <w:rPr>
          <w:rFonts w:hint="eastAsia" w:ascii="宋体" w:hAnsi="宋体" w:eastAsia="宋体" w:cs="宋体"/>
          <w:sz w:val="10"/>
        </w:rPr>
        <w:t>、</w:t>
      </w:r>
      <w:r>
        <w:rPr>
          <w:rFonts w:hint="eastAsia" w:ascii="宋体" w:hAnsi="宋体" w:eastAsia="宋体" w:cs="宋体"/>
          <w:sz w:val="24"/>
        </w:rPr>
        <w:t>需求旺盛</w:t>
      </w:r>
      <w:r>
        <w:rPr>
          <w:rFonts w:hint="eastAsia" w:ascii="宋体" w:hAnsi="宋体" w:eastAsia="宋体" w:cs="宋体"/>
          <w:sz w:val="10"/>
        </w:rPr>
        <w:t>，</w:t>
      </w:r>
      <w:r>
        <w:rPr>
          <w:rFonts w:hint="eastAsia" w:ascii="宋体" w:hAnsi="宋体" w:eastAsia="宋体" w:cs="宋体"/>
          <w:sz w:val="24"/>
        </w:rPr>
        <w:t>加之相关政策支持</w:t>
      </w:r>
      <w:r>
        <w:rPr>
          <w:rFonts w:hint="eastAsia" w:ascii="宋体" w:hAnsi="宋体" w:eastAsia="宋体" w:cs="宋体"/>
          <w:sz w:val="10"/>
        </w:rPr>
        <w:t>，</w:t>
      </w:r>
      <w:r>
        <w:rPr>
          <w:rFonts w:hint="eastAsia" w:ascii="宋体" w:hAnsi="宋体" w:eastAsia="宋体" w:cs="宋体"/>
          <w:sz w:val="24"/>
        </w:rPr>
        <w:t>保证了本公司业务的可持续性发展</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1-1-129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本行业与下游行业联系紧密</w:t>
      </w:r>
      <w:r>
        <w:rPr>
          <w:rFonts w:hint="eastAsia" w:ascii="宋体" w:hAnsi="宋体" w:eastAsia="宋体" w:cs="宋体"/>
          <w:sz w:val="10"/>
        </w:rPr>
        <w:t>，</w:t>
      </w:r>
      <w:r>
        <w:rPr>
          <w:rFonts w:hint="eastAsia" w:ascii="宋体" w:hAnsi="宋体" w:eastAsia="宋体" w:cs="宋体"/>
          <w:sz w:val="24"/>
        </w:rPr>
        <w:t>下游市场需求成为本行业快速成长的保证</w:t>
      </w:r>
      <w:r>
        <w:rPr>
          <w:rFonts w:hint="eastAsia" w:ascii="宋体" w:hAnsi="宋体" w:eastAsia="宋体" w:cs="宋体"/>
          <w:sz w:val="14"/>
        </w:rPr>
        <w:t>；</w:t>
      </w:r>
      <w:r>
        <w:rPr>
          <w:rFonts w:hint="eastAsia" w:ascii="宋体" w:hAnsi="宋体" w:eastAsia="宋体" w:cs="宋体"/>
          <w:sz w:val="24"/>
        </w:rPr>
        <w:t>本行业提供的互联网金融交易</w:t>
      </w:r>
      <w:r>
        <w:rPr>
          <w:rFonts w:hint="eastAsia" w:ascii="宋体" w:hAnsi="宋体" w:eastAsia="宋体" w:cs="宋体"/>
          <w:sz w:val="10"/>
        </w:rPr>
        <w:t>、</w:t>
      </w:r>
      <w:r>
        <w:rPr>
          <w:rFonts w:hint="eastAsia" w:ascii="宋体" w:hAnsi="宋体" w:eastAsia="宋体" w:cs="宋体"/>
          <w:sz w:val="24"/>
        </w:rPr>
        <w:t>管理系统及应用服务</w:t>
      </w:r>
      <w:r>
        <w:rPr>
          <w:rFonts w:hint="eastAsia" w:ascii="宋体" w:hAnsi="宋体" w:eastAsia="宋体" w:cs="宋体"/>
          <w:sz w:val="10"/>
        </w:rPr>
        <w:t>，</w:t>
      </w:r>
      <w:r>
        <w:rPr>
          <w:rFonts w:hint="eastAsia" w:ascii="宋体" w:hAnsi="宋体" w:eastAsia="宋体" w:cs="宋体"/>
          <w:sz w:val="24"/>
        </w:rPr>
        <w:t>成为下游行业内企业提高经营管理效率的重要手段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发行人在行业中的竞争地位</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竞争情况概述</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公司的收入主要来自于金融行业</w:t>
      </w:r>
      <w:r>
        <w:rPr>
          <w:rFonts w:hint="eastAsia" w:ascii="宋体" w:hAnsi="宋体" w:eastAsia="宋体" w:cs="宋体"/>
          <w:sz w:val="10"/>
        </w:rPr>
        <w:t>，</w:t>
      </w:r>
      <w:r>
        <w:rPr>
          <w:rFonts w:hint="eastAsia" w:ascii="宋体" w:hAnsi="宋体" w:eastAsia="宋体" w:cs="宋体"/>
          <w:sz w:val="24"/>
        </w:rPr>
        <w:t>具体情况如下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60"/>
        <w:gridCol w:w="1200"/>
        <w:gridCol w:w="1180"/>
        <w:gridCol w:w="1200"/>
        <w:gridCol w:w="1200"/>
        <w:gridCol w:w="1180"/>
        <w:gridCol w:w="1200"/>
      </w:tblGrid>
      <w:tr>
        <w:trPr>
          <w:trHeight w:val="480" w:hRule="exact"/>
        </w:trPr>
        <w:tc>
          <w:tcPr>
            <w:tcW w:w="1360" w:type="dxa"/>
            <w:vMerge w:val="restart"/>
            <w:tcMar>
              <w:top w:w="0" w:type="dxa"/>
              <w:left w:w="0" w:type="dxa"/>
              <w:bottom w:w="0" w:type="dxa"/>
              <w:right w:w="0" w:type="dxa"/>
            </w:tcMar>
          </w:tcPr>
          <w:p>
            <w:pPr>
              <w:spacing w:before="340"/>
              <w:ind w:left="460"/>
            </w:pPr>
            <w:r>
              <w:rPr>
                <w:rFonts w:hint="eastAsia" w:ascii="宋体" w:hAnsi="宋体" w:eastAsia="宋体" w:cs="宋体"/>
                <w:b/>
                <w:sz w:val="21"/>
              </w:rPr>
              <w:t>类别</w:t>
            </w:r>
          </w:p>
        </w:tc>
        <w:tc>
          <w:tcPr>
            <w:tcW w:w="2380" w:type="dxa"/>
            <w:gridSpan w:val="2"/>
            <w:tcMar>
              <w:top w:w="0" w:type="dxa"/>
              <w:left w:w="0" w:type="dxa"/>
              <w:bottom w:w="0" w:type="dxa"/>
              <w:right w:w="0" w:type="dxa"/>
            </w:tcMar>
          </w:tcPr>
          <w:p>
            <w:pPr>
              <w:spacing w:before="120"/>
              <w:ind w:left="7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400" w:type="dxa"/>
            <w:gridSpan w:val="2"/>
            <w:tcMar>
              <w:top w:w="0" w:type="dxa"/>
              <w:left w:w="0" w:type="dxa"/>
              <w:bottom w:w="0" w:type="dxa"/>
              <w:right w:w="0" w:type="dxa"/>
            </w:tcMar>
          </w:tcPr>
          <w:p>
            <w:pPr>
              <w:spacing w:before="120"/>
              <w:ind w:left="74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80" w:type="dxa"/>
            <w:gridSpan w:val="2"/>
            <w:tcMar>
              <w:top w:w="0" w:type="dxa"/>
              <w:left w:w="0" w:type="dxa"/>
              <w:bottom w:w="0" w:type="dxa"/>
              <w:right w:w="0" w:type="dxa"/>
            </w:tcMar>
          </w:tcPr>
          <w:p>
            <w:pPr>
              <w:spacing w:before="120"/>
              <w:ind w:left="72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1360" w:type="dxa"/>
            <w:vMerge w:val="continue"/>
            <w:tcMar>
              <w:top w:w="0" w:type="dxa"/>
              <w:left w:w="0" w:type="dxa"/>
              <w:bottom w:w="0" w:type="dxa"/>
              <w:right w:w="0" w:type="dxa"/>
            </w:tcMar>
          </w:tcPr>
          <w:p/>
        </w:tc>
        <w:tc>
          <w:tcPr>
            <w:tcW w:w="1200" w:type="dxa"/>
            <w:tcMar>
              <w:top w:w="0" w:type="dxa"/>
              <w:left w:w="0" w:type="dxa"/>
              <w:bottom w:w="0" w:type="dxa"/>
              <w:right w:w="0" w:type="dxa"/>
            </w:tcMar>
          </w:tcPr>
          <w:p>
            <w:pPr>
              <w:spacing w:before="100"/>
              <w:ind w:left="380"/>
            </w:pPr>
            <w:r>
              <w:rPr>
                <w:rFonts w:hint="eastAsia" w:ascii="宋体" w:hAnsi="宋体" w:eastAsia="宋体" w:cs="宋体"/>
                <w:b/>
                <w:sz w:val="21"/>
              </w:rPr>
              <w:t>金额</w:t>
            </w:r>
          </w:p>
        </w:tc>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占比</w:t>
            </w:r>
          </w:p>
        </w:tc>
        <w:tc>
          <w:tcPr>
            <w:tcW w:w="1200" w:type="dxa"/>
            <w:tcMar>
              <w:top w:w="0" w:type="dxa"/>
              <w:left w:w="0" w:type="dxa"/>
              <w:bottom w:w="0" w:type="dxa"/>
              <w:right w:w="0" w:type="dxa"/>
            </w:tcMar>
          </w:tcPr>
          <w:p>
            <w:pPr>
              <w:spacing w:before="100"/>
              <w:ind w:left="380"/>
            </w:pPr>
            <w:r>
              <w:rPr>
                <w:rFonts w:hint="eastAsia" w:ascii="宋体" w:hAnsi="宋体" w:eastAsia="宋体" w:cs="宋体"/>
                <w:b/>
                <w:sz w:val="21"/>
              </w:rPr>
              <w:t>金额</w:t>
            </w:r>
          </w:p>
        </w:tc>
        <w:tc>
          <w:tcPr>
            <w:tcW w:w="1200" w:type="dxa"/>
            <w:tcMar>
              <w:top w:w="0" w:type="dxa"/>
              <w:left w:w="0" w:type="dxa"/>
              <w:bottom w:w="0" w:type="dxa"/>
              <w:right w:w="0" w:type="dxa"/>
            </w:tcMar>
          </w:tcPr>
          <w:p>
            <w:pPr>
              <w:spacing w:before="120"/>
              <w:ind w:left="380"/>
            </w:pPr>
            <w:r>
              <w:rPr>
                <w:rFonts w:hint="eastAsia" w:ascii="宋体" w:hAnsi="宋体" w:eastAsia="宋体" w:cs="宋体"/>
                <w:b/>
                <w:sz w:val="21"/>
              </w:rPr>
              <w:t>占比</w:t>
            </w:r>
          </w:p>
        </w:tc>
        <w:tc>
          <w:tcPr>
            <w:tcW w:w="1180" w:type="dxa"/>
            <w:tcMar>
              <w:top w:w="0" w:type="dxa"/>
              <w:left w:w="0" w:type="dxa"/>
              <w:bottom w:w="0" w:type="dxa"/>
              <w:right w:w="0" w:type="dxa"/>
            </w:tcMar>
          </w:tcPr>
          <w:p>
            <w:pPr>
              <w:spacing w:before="100"/>
              <w:ind w:left="360"/>
            </w:pPr>
            <w:r>
              <w:rPr>
                <w:rFonts w:hint="eastAsia" w:ascii="宋体" w:hAnsi="宋体" w:eastAsia="宋体" w:cs="宋体"/>
                <w:b/>
                <w:sz w:val="21"/>
              </w:rPr>
              <w:t>金额</w:t>
            </w:r>
          </w:p>
        </w:tc>
        <w:tc>
          <w:tcPr>
            <w:tcW w:w="1200" w:type="dxa"/>
            <w:tcMar>
              <w:top w:w="0" w:type="dxa"/>
              <w:left w:w="0" w:type="dxa"/>
              <w:bottom w:w="0" w:type="dxa"/>
              <w:right w:w="0" w:type="dxa"/>
            </w:tcMar>
          </w:tcPr>
          <w:p>
            <w:pPr>
              <w:spacing w:before="120"/>
              <w:ind w:left="380"/>
            </w:pPr>
            <w:r>
              <w:rPr>
                <w:rFonts w:hint="eastAsia" w:ascii="宋体" w:hAnsi="宋体" w:eastAsia="宋体" w:cs="宋体"/>
                <w:b/>
                <w:sz w:val="21"/>
              </w:rPr>
              <w:t>占比</w:t>
            </w:r>
          </w:p>
        </w:tc>
      </w:tr>
      <w:tr>
        <w:trPr>
          <w:trHeight w:val="460" w:hRule="exact"/>
        </w:trPr>
        <w:tc>
          <w:tcPr>
            <w:tcW w:w="1360" w:type="dxa"/>
            <w:tcMar>
              <w:top w:w="0" w:type="dxa"/>
              <w:left w:w="0" w:type="dxa"/>
              <w:bottom w:w="0" w:type="dxa"/>
              <w:right w:w="0" w:type="dxa"/>
            </w:tcMar>
          </w:tcPr>
          <w:p>
            <w:pPr>
              <w:spacing w:before="100"/>
              <w:ind w:left="240"/>
            </w:pPr>
            <w:r>
              <w:rPr>
                <w:rFonts w:hint="eastAsia" w:ascii="宋体" w:hAnsi="宋体" w:eastAsia="宋体" w:cs="宋体"/>
                <w:sz w:val="21"/>
              </w:rPr>
              <w:t>金融行业</w:t>
            </w:r>
          </w:p>
        </w:tc>
        <w:tc>
          <w:tcPr>
            <w:tcW w:w="120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c>
          <w:tcPr>
            <w:tcW w:w="11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c>
          <w:tcPr>
            <w:tcW w:w="120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p>
        </w:tc>
        <w:tc>
          <w:tcPr>
            <w:tcW w:w="120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p>
        </w:tc>
        <w:tc>
          <w:tcPr>
            <w:tcW w:w="118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w:t>
            </w:r>
          </w:p>
        </w:tc>
        <w:tc>
          <w:tcPr>
            <w:tcW w:w="120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r>
      <w:tr>
        <w:trPr>
          <w:trHeight w:val="480" w:hRule="exact"/>
        </w:trPr>
        <w:tc>
          <w:tcPr>
            <w:tcW w:w="1360" w:type="dxa"/>
            <w:tcMar>
              <w:top w:w="0" w:type="dxa"/>
              <w:left w:w="0" w:type="dxa"/>
              <w:bottom w:w="0" w:type="dxa"/>
              <w:right w:w="0" w:type="dxa"/>
            </w:tcMar>
          </w:tcPr>
          <w:p>
            <w:pPr>
              <w:spacing w:before="120"/>
              <w:ind w:left="140"/>
            </w:pPr>
            <w:r>
              <w:rPr>
                <w:rFonts w:hint="eastAsia" w:ascii="宋体" w:hAnsi="宋体" w:eastAsia="宋体" w:cs="宋体"/>
                <w:sz w:val="21"/>
              </w:rPr>
              <w:t>非金融行业</w:t>
            </w:r>
          </w:p>
        </w:tc>
        <w:tc>
          <w:tcPr>
            <w:tcW w:w="120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c>
          <w:tcPr>
            <w:tcW w:w="1180" w:type="dxa"/>
            <w:tcMar>
              <w:top w:w="0" w:type="dxa"/>
              <w:left w:w="0" w:type="dxa"/>
              <w:bottom w:w="0" w:type="dxa"/>
              <w:right w:w="0" w:type="dxa"/>
            </w:tcMar>
          </w:tcPr>
          <w:p>
            <w:pPr>
              <w:spacing w:before="180"/>
              <w:ind w:left="42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c>
          <w:tcPr>
            <w:tcW w:w="120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1200" w:type="dxa"/>
            <w:tcMar>
              <w:top w:w="0" w:type="dxa"/>
              <w:left w:w="0" w:type="dxa"/>
              <w:bottom w:w="0" w:type="dxa"/>
              <w:right w:w="0" w:type="dxa"/>
            </w:tcMar>
          </w:tcPr>
          <w:p>
            <w:pPr>
              <w:spacing w:before="180"/>
              <w:ind w:left="42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18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1200" w:type="dxa"/>
            <w:tcMar>
              <w:top w:w="0" w:type="dxa"/>
              <w:left w:w="0" w:type="dxa"/>
              <w:bottom w:w="0" w:type="dxa"/>
              <w:right w:w="0" w:type="dxa"/>
            </w:tcMar>
          </w:tcPr>
          <w:p>
            <w:pPr>
              <w:spacing w:before="180"/>
              <w:ind w:left="4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460" w:hRule="exact"/>
        </w:trPr>
        <w:tc>
          <w:tcPr>
            <w:tcW w:w="1360" w:type="dxa"/>
            <w:tcMar>
              <w:top w:w="0" w:type="dxa"/>
              <w:left w:w="0" w:type="dxa"/>
              <w:bottom w:w="0" w:type="dxa"/>
              <w:right w:w="0" w:type="dxa"/>
            </w:tcMar>
          </w:tcPr>
          <w:p>
            <w:pPr>
              <w:spacing w:before="120"/>
              <w:ind w:left="460"/>
            </w:pPr>
            <w:r>
              <w:rPr>
                <w:rFonts w:hint="eastAsia" w:ascii="宋体" w:hAnsi="宋体" w:eastAsia="宋体" w:cs="宋体"/>
                <w:b/>
                <w:sz w:val="21"/>
              </w:rPr>
              <w:t>合计</w:t>
            </w:r>
          </w:p>
        </w:tc>
        <w:tc>
          <w:tcPr>
            <w:tcW w:w="1200" w:type="dxa"/>
            <w:tcMar>
              <w:top w:w="0" w:type="dxa"/>
              <w:left w:w="0" w:type="dxa"/>
              <w:bottom w:w="0" w:type="dxa"/>
              <w:right w:w="0" w:type="dxa"/>
            </w:tcMar>
          </w:tcPr>
          <w:p>
            <w:pPr>
              <w:spacing w:before="160"/>
              <w:ind w:left="240"/>
            </w:pPr>
            <w:r>
              <w:rPr>
                <w:rFonts w:hint="eastAsia" w:ascii="Times New Roman Bold" w:hAnsi="Times New Roman Bold" w:eastAsia="Times New Roman Bold" w:cs="Times New Roman Bold"/>
                <w:b/>
                <w:sz w:val="21"/>
              </w:rPr>
              <w:t>20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w:t>
            </w:r>
          </w:p>
        </w:tc>
        <w:tc>
          <w:tcPr>
            <w:tcW w:w="1180" w:type="dxa"/>
            <w:tcMar>
              <w:top w:w="0" w:type="dxa"/>
              <w:left w:w="0" w:type="dxa"/>
              <w:bottom w:w="0" w:type="dxa"/>
              <w:right w:w="0" w:type="dxa"/>
            </w:tcMar>
          </w:tcPr>
          <w:p>
            <w:pPr>
              <w:spacing w:before="160"/>
              <w:ind w:left="2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200" w:type="dxa"/>
            <w:tcMar>
              <w:top w:w="0" w:type="dxa"/>
              <w:left w:w="0" w:type="dxa"/>
              <w:bottom w:w="0" w:type="dxa"/>
              <w:right w:w="0" w:type="dxa"/>
            </w:tcMar>
          </w:tcPr>
          <w:p>
            <w:pPr>
              <w:spacing w:before="160"/>
              <w:ind w:left="240"/>
            </w:pPr>
            <w:r>
              <w:rPr>
                <w:rFonts w:hint="eastAsia" w:ascii="Times New Roman Bold" w:hAnsi="Times New Roman Bold" w:eastAsia="Times New Roman Bold" w:cs="Times New Roman Bold"/>
                <w:b/>
                <w:sz w:val="21"/>
              </w:rPr>
              <w:t>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w:t>
            </w:r>
          </w:p>
        </w:tc>
        <w:tc>
          <w:tcPr>
            <w:tcW w:w="1200" w:type="dxa"/>
            <w:tcMar>
              <w:top w:w="0" w:type="dxa"/>
              <w:left w:w="0" w:type="dxa"/>
              <w:bottom w:w="0" w:type="dxa"/>
              <w:right w:w="0" w:type="dxa"/>
            </w:tcMar>
          </w:tcPr>
          <w:p>
            <w:pPr>
              <w:spacing w:before="160"/>
              <w:ind w:left="2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180" w:type="dxa"/>
            <w:tcMar>
              <w:top w:w="0" w:type="dxa"/>
              <w:left w:w="0" w:type="dxa"/>
              <w:bottom w:w="0" w:type="dxa"/>
              <w:right w:w="0" w:type="dxa"/>
            </w:tcMar>
          </w:tcPr>
          <w:p>
            <w:pPr>
              <w:spacing w:before="160"/>
              <w:ind w:left="220"/>
            </w:pPr>
            <w:r>
              <w:rPr>
                <w:rFonts w:hint="eastAsia" w:ascii="Times New Roman Bold" w:hAnsi="Times New Roman Bold" w:eastAsia="Times New Roman Bold" w:cs="Times New Roman Bold"/>
                <w:b/>
                <w:sz w:val="21"/>
              </w:rPr>
              <w:t>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35</w:t>
            </w:r>
          </w:p>
        </w:tc>
        <w:tc>
          <w:tcPr>
            <w:tcW w:w="1200" w:type="dxa"/>
            <w:tcMar>
              <w:top w:w="0" w:type="dxa"/>
              <w:left w:w="0" w:type="dxa"/>
              <w:bottom w:w="0" w:type="dxa"/>
              <w:right w:w="0" w:type="dxa"/>
            </w:tcMar>
          </w:tcPr>
          <w:p>
            <w:pPr>
              <w:spacing w:before="160"/>
              <w:ind w:left="3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发行人的收入主要来自于金融行业</w:t>
      </w:r>
      <w:r>
        <w:rPr>
          <w:rFonts w:hint="eastAsia" w:ascii="宋体" w:hAnsi="宋体" w:eastAsia="宋体" w:cs="宋体"/>
          <w:sz w:val="10"/>
        </w:rPr>
        <w:t>，</w:t>
      </w:r>
      <w:r>
        <w:rPr>
          <w:rFonts w:hint="eastAsia" w:ascii="宋体" w:hAnsi="宋体" w:eastAsia="宋体" w:cs="宋体"/>
          <w:sz w:val="24"/>
        </w:rPr>
        <w:t>金融行业中发行人的客户又主要集中在证券行业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金融行业不同领域市场竞争情况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）证券行业信息化领域的市场竞争情况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恒生电子</w:t>
      </w:r>
      <w:r>
        <w:rPr>
          <w:rFonts w:hint="eastAsia" w:ascii="宋体" w:hAnsi="宋体" w:eastAsia="宋体" w:cs="宋体"/>
          <w:sz w:val="10"/>
        </w:rPr>
        <w:t>、</w:t>
      </w:r>
      <w:r>
        <w:rPr>
          <w:rFonts w:hint="eastAsia" w:ascii="宋体" w:hAnsi="宋体" w:eastAsia="宋体" w:cs="宋体"/>
          <w:sz w:val="24"/>
        </w:rPr>
        <w:t>金证股份以及发行人均为业内较早从事证券行业信息化的软件企业</w:t>
      </w:r>
      <w:r>
        <w:rPr>
          <w:rFonts w:hint="eastAsia" w:ascii="宋体" w:hAnsi="宋体" w:eastAsia="宋体" w:cs="宋体"/>
          <w:sz w:val="10"/>
        </w:rPr>
        <w:t>。</w:t>
      </w:r>
      <w:r>
        <w:rPr>
          <w:rFonts w:hint="eastAsia" w:ascii="宋体" w:hAnsi="宋体" w:eastAsia="宋体" w:cs="宋体"/>
          <w:sz w:val="24"/>
        </w:rPr>
        <w:t>恒生电子</w:t>
      </w:r>
      <w:r>
        <w:rPr>
          <w:rFonts w:hint="eastAsia" w:ascii="宋体" w:hAnsi="宋体" w:eastAsia="宋体" w:cs="宋体"/>
          <w:sz w:val="10"/>
        </w:rPr>
        <w:t>、</w:t>
      </w:r>
      <w:r>
        <w:rPr>
          <w:rFonts w:hint="eastAsia" w:ascii="宋体" w:hAnsi="宋体" w:eastAsia="宋体" w:cs="宋体"/>
          <w:sz w:val="24"/>
        </w:rPr>
        <w:t>金证股份在交易系统信息化解决方案领域介入较早</w:t>
      </w:r>
      <w:r>
        <w:rPr>
          <w:rFonts w:hint="eastAsia" w:ascii="宋体" w:hAnsi="宋体" w:eastAsia="宋体" w:cs="宋体"/>
          <w:sz w:val="10"/>
        </w:rPr>
        <w:t>，</w:t>
      </w:r>
      <w:r>
        <w:rPr>
          <w:rFonts w:hint="eastAsia" w:ascii="宋体" w:hAnsi="宋体" w:eastAsia="宋体" w:cs="宋体"/>
          <w:sz w:val="24"/>
        </w:rPr>
        <w:t>在该领域具备一定优势</w:t>
      </w:r>
      <w:r>
        <w:rPr>
          <w:rFonts w:hint="eastAsia" w:ascii="宋体" w:hAnsi="宋体" w:eastAsia="宋体" w:cs="宋体"/>
          <w:sz w:val="14"/>
        </w:rPr>
        <w:t>；</w:t>
      </w:r>
      <w:r>
        <w:rPr>
          <w:rFonts w:hint="eastAsia" w:ascii="宋体" w:hAnsi="宋体" w:eastAsia="宋体" w:cs="宋体"/>
          <w:sz w:val="24"/>
        </w:rPr>
        <w:t>由于发行人较早研发出自有方法专利的</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软件开发平台</w:t>
      </w:r>
      <w:r>
        <w:rPr>
          <w:rFonts w:hint="eastAsia" w:ascii="宋体" w:hAnsi="宋体" w:eastAsia="宋体" w:cs="宋体"/>
          <w:sz w:val="10"/>
        </w:rPr>
        <w:t>，</w:t>
      </w:r>
      <w:r>
        <w:rPr>
          <w:rFonts w:hint="eastAsia" w:ascii="宋体" w:hAnsi="宋体" w:eastAsia="宋体" w:cs="宋体"/>
          <w:sz w:val="24"/>
        </w:rPr>
        <w:t>个性化定制能力较强</w:t>
      </w:r>
      <w:r>
        <w:rPr>
          <w:rFonts w:hint="eastAsia" w:ascii="宋体" w:hAnsi="宋体" w:eastAsia="宋体" w:cs="宋体"/>
          <w:sz w:val="10"/>
        </w:rPr>
        <w:t>，</w:t>
      </w:r>
      <w:r>
        <w:rPr>
          <w:rFonts w:hint="eastAsia" w:ascii="宋体" w:hAnsi="宋体" w:eastAsia="宋体" w:cs="宋体"/>
          <w:sz w:val="24"/>
        </w:rPr>
        <w:t>拥有一整套按照客户需求定制的研发</w:t>
      </w:r>
      <w:r>
        <w:rPr>
          <w:rFonts w:hint="eastAsia" w:ascii="宋体" w:hAnsi="宋体" w:eastAsia="宋体" w:cs="宋体"/>
          <w:sz w:val="10"/>
        </w:rPr>
        <w:t>、</w:t>
      </w:r>
      <w:r>
        <w:rPr>
          <w:rFonts w:hint="eastAsia" w:ascii="宋体" w:hAnsi="宋体" w:eastAsia="宋体" w:cs="宋体"/>
          <w:sz w:val="24"/>
        </w:rPr>
        <w:t>交付和服务过程方法</w:t>
      </w:r>
      <w:r>
        <w:rPr>
          <w:rFonts w:hint="eastAsia" w:ascii="宋体" w:hAnsi="宋体" w:eastAsia="宋体" w:cs="宋体"/>
          <w:sz w:val="10"/>
        </w:rPr>
        <w:t>，</w:t>
      </w:r>
      <w:r>
        <w:rPr>
          <w:rFonts w:hint="eastAsia" w:ascii="宋体" w:hAnsi="宋体" w:eastAsia="宋体" w:cs="宋体"/>
          <w:sz w:val="24"/>
        </w:rPr>
        <w:t>且在业内拥有较多成功案例和市场美誉度</w:t>
      </w:r>
      <w:r>
        <w:rPr>
          <w:rFonts w:hint="eastAsia" w:ascii="宋体" w:hAnsi="宋体" w:eastAsia="宋体" w:cs="宋体"/>
          <w:sz w:val="10"/>
        </w:rPr>
        <w:t>，</w:t>
      </w:r>
      <w:r>
        <w:rPr>
          <w:rFonts w:hint="eastAsia" w:ascii="宋体" w:hAnsi="宋体" w:eastAsia="宋体" w:cs="宋体"/>
          <w:sz w:val="24"/>
        </w:rPr>
        <w:t>因此发行人在集中运营和</w:t>
      </w:r>
      <w:r>
        <w:rPr>
          <w:rFonts w:hint="eastAsia" w:ascii="Times New Roman" w:hAnsi="Times New Roman" w:eastAsia="Times New Roman" w:cs="Times New Roman"/>
          <w:sz w:val="24"/>
        </w:rPr>
        <w:t xml:space="preserve"> CRM</w:t>
      </w:r>
      <w:r>
        <w:rPr>
          <w:rFonts w:hint="eastAsia" w:ascii="宋体" w:hAnsi="宋体" w:eastAsia="宋体" w:cs="宋体"/>
          <w:sz w:val="24"/>
        </w:rPr>
        <w:t>领域处于领先地位</w:t>
      </w:r>
      <w:r>
        <w:rPr>
          <w:rFonts w:hint="eastAsia" w:ascii="宋体" w:hAnsi="宋体" w:eastAsia="宋体" w:cs="宋体"/>
          <w:sz w:val="10"/>
        </w:rPr>
        <w:t>。</w:t>
      </w:r>
      <w:r>
        <w:rPr>
          <w:rFonts w:hint="eastAsia" w:ascii="宋体" w:hAnsi="宋体" w:eastAsia="宋体" w:cs="宋体"/>
          <w:sz w:val="24"/>
        </w:rPr>
        <w:t>除此之外</w:t>
      </w:r>
      <w:r>
        <w:rPr>
          <w:rFonts w:hint="eastAsia" w:ascii="宋体" w:hAnsi="宋体" w:eastAsia="宋体" w:cs="宋体"/>
          <w:sz w:val="10"/>
        </w:rPr>
        <w:t>，</w:t>
      </w:r>
      <w:r>
        <w:rPr>
          <w:rFonts w:hint="eastAsia" w:ascii="宋体" w:hAnsi="宋体" w:eastAsia="宋体" w:cs="宋体"/>
          <w:sz w:val="24"/>
        </w:rPr>
        <w:t>发行人在交易系统的细分模块和产品方面</w:t>
      </w:r>
      <w:r>
        <w:rPr>
          <w:rFonts w:hint="eastAsia" w:ascii="宋体" w:hAnsi="宋体" w:eastAsia="宋体" w:cs="宋体"/>
          <w:sz w:val="10"/>
        </w:rPr>
        <w:t>，</w:t>
      </w:r>
      <w:r>
        <w:rPr>
          <w:rFonts w:hint="eastAsia" w:ascii="宋体" w:hAnsi="宋体" w:eastAsia="宋体" w:cs="宋体"/>
          <w:sz w:val="24"/>
        </w:rPr>
        <w:t>如快速交易系统等领域走在行业创新的前沿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）金融行业其他领域的信息化市场竞争情况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在电子交易市场领域</w:t>
      </w:r>
      <w:r>
        <w:rPr>
          <w:rFonts w:hint="eastAsia" w:ascii="宋体" w:hAnsi="宋体" w:eastAsia="宋体" w:cs="宋体"/>
          <w:sz w:val="10"/>
        </w:rPr>
        <w:t>，</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恒生电子</w:t>
      </w:r>
      <w:r>
        <w:rPr>
          <w:rFonts w:hint="eastAsia" w:ascii="宋体" w:hAnsi="宋体" w:eastAsia="宋体" w:cs="宋体"/>
          <w:sz w:val="10"/>
        </w:rPr>
        <w:t>、</w:t>
      </w:r>
      <w:r>
        <w:rPr>
          <w:rFonts w:hint="eastAsia" w:ascii="宋体" w:hAnsi="宋体" w:eastAsia="宋体" w:cs="宋体"/>
          <w:sz w:val="24"/>
        </w:rPr>
        <w:t>金证股份均有所涉猎</w:t>
      </w:r>
      <w:r>
        <w:rPr>
          <w:rFonts w:hint="eastAsia" w:ascii="宋体" w:hAnsi="宋体" w:eastAsia="宋体" w:cs="宋体"/>
          <w:sz w:val="10"/>
        </w:rPr>
        <w:t>。</w:t>
      </w:r>
      <w:r>
        <w:rPr>
          <w:rFonts w:hint="eastAsia" w:ascii="宋体" w:hAnsi="宋体" w:eastAsia="宋体" w:cs="宋体"/>
          <w:sz w:val="24"/>
        </w:rPr>
        <w:t>在银行业信息化领域</w:t>
      </w:r>
      <w:r>
        <w:rPr>
          <w:rFonts w:hint="eastAsia" w:ascii="宋体" w:hAnsi="宋体" w:eastAsia="宋体" w:cs="宋体"/>
          <w:sz w:val="10"/>
        </w:rPr>
        <w:t>，</w:t>
      </w:r>
      <w:r>
        <w:rPr>
          <w:rFonts w:hint="eastAsia" w:ascii="宋体" w:hAnsi="宋体" w:eastAsia="宋体" w:cs="宋体"/>
          <w:sz w:val="24"/>
        </w:rPr>
        <w:t>拥有先进数通</w:t>
      </w:r>
      <w:r>
        <w:rPr>
          <w:rFonts w:hint="eastAsia" w:ascii="宋体" w:hAnsi="宋体" w:eastAsia="宋体" w:cs="宋体"/>
          <w:sz w:val="10"/>
        </w:rPr>
        <w:t>、</w:t>
      </w:r>
      <w:r>
        <w:rPr>
          <w:rFonts w:hint="eastAsia" w:ascii="宋体" w:hAnsi="宋体" w:eastAsia="宋体" w:cs="宋体"/>
          <w:sz w:val="24"/>
        </w:rPr>
        <w:t>高伟达</w:t>
      </w:r>
      <w:r>
        <w:rPr>
          <w:rFonts w:hint="eastAsia" w:ascii="宋体" w:hAnsi="宋体" w:eastAsia="宋体" w:cs="宋体"/>
          <w:sz w:val="10"/>
        </w:rPr>
        <w:t>、</w:t>
      </w:r>
      <w:r>
        <w:rPr>
          <w:rFonts w:hint="eastAsia" w:ascii="宋体" w:hAnsi="宋体" w:eastAsia="宋体" w:cs="宋体"/>
          <w:sz w:val="24"/>
        </w:rPr>
        <w:t>四方精创等多家上市公司</w:t>
      </w:r>
      <w:r>
        <w:rPr>
          <w:rFonts w:hint="eastAsia" w:ascii="宋体" w:hAnsi="宋体" w:eastAsia="宋体" w:cs="宋体"/>
          <w:sz w:val="10"/>
        </w:rPr>
        <w:t>。</w:t>
      </w:r>
      <w:r>
        <w:rPr>
          <w:rFonts w:hint="eastAsia" w:ascii="宋体" w:hAnsi="宋体" w:eastAsia="宋体" w:cs="宋体"/>
          <w:sz w:val="24"/>
        </w:rPr>
        <w:t>发行人目前仅</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1-1-130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jc w:val="both"/>
      </w:pPr>
      <w:r>
        <w:rPr>
          <w:rFonts w:hint="eastAsia" w:ascii="宋体" w:hAnsi="宋体" w:eastAsia="宋体" w:cs="宋体"/>
          <w:sz w:val="24"/>
        </w:rPr>
        <w:t>为部分银行</w:t>
      </w:r>
      <w:r>
        <w:rPr>
          <w:rFonts w:hint="eastAsia" w:ascii="宋体" w:hAnsi="宋体" w:eastAsia="宋体" w:cs="宋体"/>
          <w:sz w:val="10"/>
        </w:rPr>
        <w:t>、</w:t>
      </w:r>
      <w:r>
        <w:rPr>
          <w:rFonts w:hint="eastAsia" w:ascii="宋体" w:hAnsi="宋体" w:eastAsia="宋体" w:cs="宋体"/>
          <w:sz w:val="24"/>
        </w:rPr>
        <w:t>信托公司提供客户信息管理</w:t>
      </w:r>
      <w:r>
        <w:rPr>
          <w:rFonts w:hint="eastAsia" w:ascii="宋体" w:hAnsi="宋体" w:eastAsia="宋体" w:cs="宋体"/>
          <w:sz w:val="10"/>
        </w:rPr>
        <w:t>，</w:t>
      </w:r>
      <w:r>
        <w:rPr>
          <w:rFonts w:hint="eastAsia" w:ascii="宋体" w:hAnsi="宋体" w:eastAsia="宋体" w:cs="宋体"/>
          <w:sz w:val="24"/>
        </w:rPr>
        <w:t>客户数据的分类</w:t>
      </w:r>
      <w:r>
        <w:rPr>
          <w:rFonts w:hint="eastAsia" w:ascii="宋体" w:hAnsi="宋体" w:eastAsia="宋体" w:cs="宋体"/>
          <w:sz w:val="10"/>
        </w:rPr>
        <w:t>、</w:t>
      </w:r>
      <w:r>
        <w:rPr>
          <w:rFonts w:hint="eastAsia" w:ascii="宋体" w:hAnsi="宋体" w:eastAsia="宋体" w:cs="宋体"/>
          <w:sz w:val="24"/>
        </w:rPr>
        <w:t>分析</w:t>
      </w:r>
      <w:r>
        <w:rPr>
          <w:rFonts w:hint="eastAsia" w:ascii="宋体" w:hAnsi="宋体" w:eastAsia="宋体" w:cs="宋体"/>
          <w:sz w:val="10"/>
        </w:rPr>
        <w:t>、</w:t>
      </w:r>
      <w:r>
        <w:rPr>
          <w:rFonts w:hint="eastAsia" w:ascii="宋体" w:hAnsi="宋体" w:eastAsia="宋体" w:cs="宋体"/>
          <w:sz w:val="24"/>
        </w:rPr>
        <w:t>授信评估基础信息管理以及信贷流程管理</w:t>
      </w:r>
      <w:r>
        <w:rPr>
          <w:rFonts w:hint="eastAsia" w:ascii="宋体" w:hAnsi="宋体" w:eastAsia="宋体" w:cs="宋体"/>
          <w:sz w:val="10"/>
        </w:rPr>
        <w:t>、</w:t>
      </w:r>
      <w:r>
        <w:rPr>
          <w:rFonts w:hint="eastAsia" w:ascii="宋体" w:hAnsi="宋体" w:eastAsia="宋体" w:cs="宋体"/>
          <w:sz w:val="24"/>
        </w:rPr>
        <w:t>信托计划项目管理等软件产品和服务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在保险等其他非证券金融行业领域</w:t>
      </w:r>
      <w:r>
        <w:rPr>
          <w:rFonts w:hint="eastAsia" w:ascii="宋体" w:hAnsi="宋体" w:eastAsia="宋体" w:cs="宋体"/>
          <w:sz w:val="10"/>
        </w:rPr>
        <w:t>，</w:t>
      </w:r>
      <w:r>
        <w:rPr>
          <w:rFonts w:hint="eastAsia" w:ascii="宋体" w:hAnsi="宋体" w:eastAsia="宋体" w:cs="宋体"/>
          <w:sz w:val="24"/>
        </w:rPr>
        <w:t>发行人尚处于开拓阶段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发行人产品目前主要集中于证券领域的原因</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发行人前身顶点有限成立于</w:t>
      </w:r>
      <w:r>
        <w:rPr>
          <w:rFonts w:hint="eastAsia" w:ascii="Times New Roman" w:hAnsi="Times New Roman" w:eastAsia="Times New Roman" w:cs="Times New Roman"/>
          <w:sz w:val="24"/>
        </w:rPr>
        <w:t xml:space="preserve"> 1996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自成立以来</w:t>
      </w:r>
      <w:r>
        <w:rPr>
          <w:rFonts w:hint="eastAsia" w:ascii="宋体" w:hAnsi="宋体" w:eastAsia="宋体" w:cs="宋体"/>
          <w:sz w:val="10"/>
        </w:rPr>
        <w:t>，</w:t>
      </w:r>
      <w:r>
        <w:rPr>
          <w:rFonts w:hint="eastAsia" w:ascii="宋体" w:hAnsi="宋体" w:eastAsia="宋体" w:cs="宋体"/>
          <w:sz w:val="24"/>
        </w:rPr>
        <w:t>公司始终从事软件产品的开发及服务</w:t>
      </w:r>
      <w:r>
        <w:rPr>
          <w:rFonts w:hint="eastAsia" w:ascii="宋体" w:hAnsi="宋体" w:eastAsia="宋体" w:cs="宋体"/>
          <w:sz w:val="10"/>
        </w:rPr>
        <w:t>，</w:t>
      </w:r>
      <w:r>
        <w:rPr>
          <w:rFonts w:hint="eastAsia" w:ascii="宋体" w:hAnsi="宋体" w:eastAsia="宋体" w:cs="宋体"/>
          <w:sz w:val="24"/>
        </w:rPr>
        <w:t>是业内较早进入金融业信息化行业的企业之一。</w:t>
      </w:r>
      <w:r>
        <w:rPr>
          <w:rFonts w:hint="eastAsia" w:ascii="宋体" w:hAnsi="宋体" w:eastAsia="宋体" w:cs="宋体"/>
          <w:sz w:val="24"/>
        </w:rPr>
        <w:t>公司深耕证券行业信息化领域</w:t>
      </w:r>
      <w:r>
        <w:rPr>
          <w:rFonts w:hint="eastAsia" w:ascii="宋体" w:hAnsi="宋体" w:eastAsia="宋体" w:cs="宋体"/>
          <w:sz w:val="10"/>
        </w:rPr>
        <w:t>，</w:t>
      </w:r>
      <w:r>
        <w:rPr>
          <w:rFonts w:hint="eastAsia" w:ascii="宋体" w:hAnsi="宋体" w:eastAsia="宋体" w:cs="宋体"/>
          <w:sz w:val="24"/>
        </w:rPr>
        <w:t>拥有自主研发的软件开发平台</w:t>
      </w:r>
      <w:r>
        <w:rPr>
          <w:rFonts w:hint="eastAsia" w:ascii="宋体" w:hAnsi="宋体" w:eastAsia="宋体" w:cs="宋体"/>
          <w:sz w:val="10"/>
        </w:rPr>
        <w:t>，</w:t>
      </w:r>
      <w:r>
        <w:rPr>
          <w:rFonts w:hint="eastAsia" w:ascii="宋体" w:hAnsi="宋体" w:eastAsia="宋体" w:cs="宋体"/>
          <w:sz w:val="24"/>
        </w:rPr>
        <w:t>将自身打造成平台型软件企业</w:t>
      </w:r>
      <w:r>
        <w:rPr>
          <w:rFonts w:hint="eastAsia" w:ascii="宋体" w:hAnsi="宋体" w:eastAsia="宋体" w:cs="宋体"/>
          <w:sz w:val="10"/>
        </w:rPr>
        <w:t>，</w:t>
      </w:r>
      <w:r>
        <w:rPr>
          <w:rFonts w:hint="eastAsia" w:ascii="宋体" w:hAnsi="宋体" w:eastAsia="宋体" w:cs="宋体"/>
          <w:sz w:val="24"/>
        </w:rPr>
        <w:t>在紧跟下游行业发展的基础上不断为客户提供信息化解决方案</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公司的主要软件开发平台包括</w:t>
      </w:r>
      <w:r>
        <w:rPr>
          <w:rFonts w:hint="eastAsia" w:ascii="Times New Roman" w:hAnsi="Times New Roman" w:eastAsia="Times New Roman" w:cs="Times New Roman"/>
          <w:sz w:val="24"/>
        </w:rPr>
        <w:t xml:space="preserve"> Losap</w:t>
      </w:r>
      <w:r>
        <w:rPr>
          <w:rFonts w:hint="eastAsia" w:ascii="宋体" w:hAnsi="宋体" w:eastAsia="宋体" w:cs="宋体"/>
          <w:sz w:val="24"/>
        </w:rPr>
        <w:t xml:space="preserve"> 平台和</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w:t>
      </w:r>
      <w:r>
        <w:rPr>
          <w:rFonts w:hint="eastAsia" w:ascii="宋体" w:hAnsi="宋体" w:eastAsia="宋体" w:cs="宋体"/>
          <w:sz w:val="10"/>
        </w:rPr>
        <w:t>。</w:t>
      </w:r>
      <w:r>
        <w:rPr>
          <w:rFonts w:hint="eastAsia" w:ascii="宋体" w:hAnsi="宋体" w:eastAsia="宋体" w:cs="宋体"/>
          <w:sz w:val="24"/>
        </w:rPr>
        <w:t>公司提供的交易系统软件基于</w:t>
      </w:r>
      <w:r>
        <w:rPr>
          <w:rFonts w:hint="eastAsia" w:ascii="Times New Roman" w:hAnsi="Times New Roman" w:eastAsia="Times New Roman" w:cs="Times New Roman"/>
          <w:sz w:val="24"/>
        </w:rPr>
        <w:t xml:space="preserve"> Losap</w:t>
      </w:r>
      <w:r>
        <w:rPr>
          <w:rFonts w:hint="eastAsia" w:ascii="宋体" w:hAnsi="宋体" w:eastAsia="宋体" w:cs="宋体"/>
          <w:sz w:val="24"/>
        </w:rPr>
        <w:t xml:space="preserve"> 平台开发</w:t>
      </w:r>
      <w:r>
        <w:rPr>
          <w:rFonts w:hint="eastAsia" w:ascii="宋体" w:hAnsi="宋体" w:eastAsia="宋体" w:cs="宋体"/>
          <w:sz w:val="10"/>
        </w:rPr>
        <w:t>，</w:t>
      </w:r>
      <w:r>
        <w:rPr>
          <w:rFonts w:hint="eastAsia" w:ascii="宋体" w:hAnsi="宋体" w:eastAsia="宋体" w:cs="宋体"/>
          <w:sz w:val="24"/>
        </w:rPr>
        <w:t>在大规模交易系统中</w:t>
      </w:r>
      <w:r>
        <w:rPr>
          <w:rFonts w:hint="eastAsia" w:ascii="宋体" w:hAnsi="宋体" w:eastAsia="宋体" w:cs="宋体"/>
          <w:sz w:val="10"/>
        </w:rPr>
        <w:t>，</w:t>
      </w:r>
      <w:r>
        <w:rPr>
          <w:rFonts w:hint="eastAsia" w:ascii="宋体" w:hAnsi="宋体" w:eastAsia="宋体" w:cs="宋体"/>
          <w:sz w:val="24"/>
        </w:rPr>
        <w:t>实现了数据库按业务切分的模式</w:t>
      </w:r>
      <w:r>
        <w:rPr>
          <w:rFonts w:hint="eastAsia" w:ascii="宋体" w:hAnsi="宋体" w:eastAsia="宋体" w:cs="宋体"/>
          <w:sz w:val="10"/>
        </w:rPr>
        <w:t>，</w:t>
      </w:r>
      <w:r>
        <w:rPr>
          <w:rFonts w:hint="eastAsia" w:ascii="宋体" w:hAnsi="宋体" w:eastAsia="宋体" w:cs="宋体"/>
          <w:sz w:val="24"/>
        </w:rPr>
        <w:t>大大提升了系统的可扩展性</w:t>
      </w:r>
      <w:r>
        <w:rPr>
          <w:rFonts w:hint="eastAsia" w:ascii="宋体" w:hAnsi="宋体" w:eastAsia="宋体" w:cs="宋体"/>
          <w:sz w:val="10"/>
        </w:rPr>
        <w:t>、</w:t>
      </w:r>
      <w:r>
        <w:rPr>
          <w:rFonts w:hint="eastAsia" w:ascii="宋体" w:hAnsi="宋体" w:eastAsia="宋体" w:cs="宋体"/>
          <w:sz w:val="24"/>
        </w:rPr>
        <w:t>应用的灵活性</w:t>
      </w:r>
      <w:r>
        <w:rPr>
          <w:rFonts w:hint="eastAsia" w:ascii="宋体" w:hAnsi="宋体" w:eastAsia="宋体" w:cs="宋体"/>
          <w:sz w:val="10"/>
        </w:rPr>
        <w:t>。</w:t>
      </w:r>
      <w:r>
        <w:rPr>
          <w:rFonts w:hint="eastAsia" w:ascii="Times New Roman" w:hAnsi="Times New Roman" w:eastAsia="Times New Roman" w:cs="Times New Roman"/>
          <w:sz w:val="24"/>
        </w:rPr>
        <w:t>2004</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公司开始研究基于对象化业务直接建模软件</w:t>
      </w:r>
      <w:r>
        <w:rPr>
          <w:rFonts w:hint="eastAsia" w:ascii="宋体" w:hAnsi="宋体" w:eastAsia="宋体" w:cs="宋体"/>
          <w:sz w:val="10"/>
        </w:rPr>
        <w:t>，</w:t>
      </w:r>
      <w:r>
        <w:rPr>
          <w:rFonts w:hint="eastAsia" w:ascii="Times New Roman" w:hAnsi="Times New Roman" w:eastAsia="Times New Roman" w:cs="Times New Roman"/>
          <w:sz w:val="24"/>
        </w:rPr>
        <w:t>2006</w:t>
      </w:r>
      <w:r>
        <w:rPr>
          <w:rFonts w:hint="eastAsia" w:ascii="宋体" w:hAnsi="宋体" w:eastAsia="宋体" w:cs="宋体"/>
          <w:sz w:val="24"/>
        </w:rPr>
        <w:t xml:space="preserve"> 年正式推出灵动业务架构平台（</w:t>
      </w:r>
      <w:r>
        <w:rPr>
          <w:rFonts w:hint="eastAsia" w:ascii="Times New Roman" w:hAnsi="Times New Roman" w:eastAsia="Times New Roman" w:cs="Times New Roman"/>
          <w:sz w:val="24"/>
        </w:rPr>
        <w:t>LiveBOS</w:t>
      </w:r>
      <w:r>
        <w:rPr>
          <w:rFonts w:hint="eastAsia" w:ascii="宋体" w:hAnsi="宋体" w:eastAsia="宋体" w:cs="宋体"/>
          <w:sz w:val="24"/>
        </w:rPr>
        <w:t>），</w:t>
      </w:r>
      <w:r>
        <w:rPr>
          <w:rFonts w:hint="eastAsia" w:ascii="宋体" w:hAnsi="宋体" w:eastAsia="宋体" w:cs="宋体"/>
          <w:sz w:val="24"/>
        </w:rPr>
        <w:t>不断增强自身在</w:t>
      </w:r>
      <w:r>
        <w:rPr>
          <w:rFonts w:hint="eastAsia" w:ascii="Times New Roman" w:hAnsi="Times New Roman" w:eastAsia="Times New Roman" w:cs="Times New Roman"/>
          <w:sz w:val="24"/>
        </w:rPr>
        <w:t xml:space="preserve"> CRM</w:t>
      </w:r>
      <w:r>
        <w:rPr>
          <w:rFonts w:hint="eastAsia" w:ascii="宋体" w:hAnsi="宋体" w:eastAsia="宋体" w:cs="宋体"/>
          <w:sz w:val="10"/>
        </w:rPr>
        <w:t>、</w:t>
      </w:r>
      <w:r>
        <w:rPr>
          <w:rFonts w:hint="eastAsia" w:ascii="宋体" w:hAnsi="宋体" w:eastAsia="宋体" w:cs="宋体"/>
          <w:sz w:val="24"/>
        </w:rPr>
        <w:t>集中运营等领域的竞争优势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公司利用自身在证券行业信息化领域的资深经历以及</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平台的开发特点</w:t>
      </w:r>
      <w:r>
        <w:rPr>
          <w:rFonts w:hint="eastAsia" w:ascii="宋体" w:hAnsi="宋体" w:eastAsia="宋体" w:cs="宋体"/>
          <w:sz w:val="10"/>
        </w:rPr>
        <w:t>，</w:t>
      </w:r>
      <w:r>
        <w:rPr>
          <w:rFonts w:hint="eastAsia" w:ascii="宋体" w:hAnsi="宋体" w:eastAsia="宋体" w:cs="宋体"/>
          <w:sz w:val="24"/>
        </w:rPr>
        <w:t>将自身业务集中在证券领域</w:t>
      </w:r>
      <w:r>
        <w:rPr>
          <w:rFonts w:hint="eastAsia" w:ascii="宋体" w:hAnsi="宋体" w:eastAsia="宋体" w:cs="宋体"/>
          <w:sz w:val="10"/>
        </w:rPr>
        <w:t>，</w:t>
      </w:r>
      <w:r>
        <w:rPr>
          <w:rFonts w:hint="eastAsia" w:ascii="宋体" w:hAnsi="宋体" w:eastAsia="宋体" w:cs="宋体"/>
          <w:sz w:val="24"/>
        </w:rPr>
        <w:t>有利于公司利用自身优势不断提升行业地位和产品服务质量</w:t>
      </w:r>
      <w:r>
        <w:rPr>
          <w:rFonts w:hint="eastAsia" w:ascii="宋体" w:hAnsi="宋体" w:eastAsia="宋体" w:cs="宋体"/>
          <w:sz w:val="10"/>
        </w:rPr>
        <w:t>，</w:t>
      </w:r>
      <w:r>
        <w:rPr>
          <w:rFonts w:hint="eastAsia" w:ascii="宋体" w:hAnsi="宋体" w:eastAsia="宋体" w:cs="宋体"/>
          <w:sz w:val="24"/>
        </w:rPr>
        <w:t>在证券行业信息化领域不断自我提升</w:t>
      </w:r>
      <w:r>
        <w:rPr>
          <w:rFonts w:hint="eastAsia" w:ascii="宋体" w:hAnsi="宋体" w:eastAsia="宋体" w:cs="宋体"/>
          <w:sz w:val="10"/>
        </w:rPr>
        <w:t>。</w:t>
      </w:r>
      <w:r>
        <w:rPr>
          <w:rFonts w:hint="eastAsia" w:ascii="宋体" w:hAnsi="宋体" w:eastAsia="宋体" w:cs="宋体"/>
          <w:sz w:val="24"/>
        </w:rPr>
        <w:t>未来</w:t>
      </w:r>
      <w:r>
        <w:rPr>
          <w:rFonts w:hint="eastAsia" w:ascii="宋体" w:hAnsi="宋体" w:eastAsia="宋体" w:cs="宋体"/>
          <w:sz w:val="10"/>
        </w:rPr>
        <w:t>，</w:t>
      </w:r>
      <w:r>
        <w:rPr>
          <w:rFonts w:hint="eastAsia" w:ascii="宋体" w:hAnsi="宋体" w:eastAsia="宋体" w:cs="宋体"/>
          <w:sz w:val="24"/>
        </w:rPr>
        <w:t>公司将择机进入金融行业其他领域</w:t>
      </w:r>
      <w:r>
        <w:rPr>
          <w:rFonts w:hint="eastAsia" w:ascii="宋体" w:hAnsi="宋体" w:eastAsia="宋体" w:cs="宋体"/>
          <w:sz w:val="10"/>
        </w:rPr>
        <w:t>，</w:t>
      </w:r>
      <w:r>
        <w:rPr>
          <w:rFonts w:hint="eastAsia" w:ascii="宋体" w:hAnsi="宋体" w:eastAsia="宋体" w:cs="宋体"/>
          <w:sz w:val="24"/>
        </w:rPr>
        <w:t>不断拓展业务覆盖范围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结合证券领域的市场容量</w:t>
      </w:r>
      <w:r>
        <w:rPr>
          <w:rFonts w:hint="eastAsia" w:ascii="宋体" w:hAnsi="宋体" w:eastAsia="宋体" w:cs="宋体"/>
          <w:b/>
          <w:sz w:val="10"/>
        </w:rPr>
        <w:t>、</w:t>
      </w:r>
      <w:r>
        <w:rPr>
          <w:rFonts w:hint="eastAsia" w:ascii="宋体" w:hAnsi="宋体" w:eastAsia="宋体" w:cs="宋体"/>
          <w:b/>
          <w:sz w:val="24"/>
        </w:rPr>
        <w:t>发行人市场占有率</w:t>
      </w:r>
      <w:r>
        <w:rPr>
          <w:rFonts w:hint="eastAsia" w:ascii="宋体" w:hAnsi="宋体" w:eastAsia="宋体" w:cs="宋体"/>
          <w:b/>
          <w:sz w:val="10"/>
        </w:rPr>
        <w:t>，</w:t>
      </w:r>
      <w:r>
        <w:rPr>
          <w:rFonts w:hint="eastAsia" w:ascii="宋体" w:hAnsi="宋体" w:eastAsia="宋体" w:cs="宋体"/>
          <w:b/>
          <w:sz w:val="24"/>
        </w:rPr>
        <w:t>分析披露发行人业务的可延续性</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由于金融行业信息化领域</w:t>
      </w:r>
      <w:r>
        <w:rPr>
          <w:rFonts w:hint="eastAsia" w:ascii="宋体" w:hAnsi="宋体" w:eastAsia="宋体" w:cs="宋体"/>
          <w:sz w:val="10"/>
        </w:rPr>
        <w:t>，</w:t>
      </w:r>
      <w:r>
        <w:rPr>
          <w:rFonts w:hint="eastAsia" w:ascii="宋体" w:hAnsi="宋体" w:eastAsia="宋体" w:cs="宋体"/>
          <w:sz w:val="24"/>
        </w:rPr>
        <w:t>尤其是证券行业信息化领域属于信息产业的细分领域</w:t>
      </w:r>
      <w:r>
        <w:rPr>
          <w:rFonts w:hint="eastAsia" w:ascii="宋体" w:hAnsi="宋体" w:eastAsia="宋体" w:cs="宋体"/>
          <w:sz w:val="10"/>
        </w:rPr>
        <w:t>，</w:t>
      </w:r>
      <w:r>
        <w:rPr>
          <w:rFonts w:hint="eastAsia" w:ascii="宋体" w:hAnsi="宋体" w:eastAsia="宋体" w:cs="宋体"/>
          <w:sz w:val="24"/>
        </w:rPr>
        <w:t>目前尚无权威机构发布市场容量等相关信息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2012</w:t>
      </w:r>
      <w:r>
        <w:rPr>
          <w:rFonts w:hint="eastAsia" w:ascii="宋体" w:hAnsi="宋体" w:eastAsia="宋体" w:cs="宋体"/>
          <w:sz w:val="24"/>
        </w:rPr>
        <w:t xml:space="preserve"> 年中国金融改革创新进入突破期</w:t>
      </w:r>
      <w:r>
        <w:rPr>
          <w:rFonts w:hint="eastAsia" w:ascii="宋体" w:hAnsi="宋体" w:eastAsia="宋体" w:cs="宋体"/>
          <w:sz w:val="10"/>
        </w:rPr>
        <w:t>，</w:t>
      </w:r>
      <w:r>
        <w:rPr>
          <w:rFonts w:hint="eastAsia" w:ascii="Times New Roman" w:hAnsi="Times New Roman" w:eastAsia="Times New Roman" w:cs="Times New Roman"/>
          <w:sz w:val="24"/>
        </w:rPr>
        <w:t>2012</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月份</w:t>
      </w:r>
      <w:r>
        <w:rPr>
          <w:rFonts w:hint="eastAsia" w:ascii="宋体" w:hAnsi="宋体" w:eastAsia="宋体" w:cs="宋体"/>
          <w:sz w:val="10"/>
        </w:rPr>
        <w:t>“</w:t>
      </w:r>
      <w:r>
        <w:rPr>
          <w:rFonts w:hint="eastAsia" w:ascii="宋体" w:hAnsi="宋体" w:eastAsia="宋体" w:cs="宋体"/>
          <w:sz w:val="24"/>
        </w:rPr>
        <w:t>证券行业创新发展论坛</w:t>
      </w:r>
      <w:r>
        <w:rPr>
          <w:rFonts w:hint="eastAsia" w:ascii="宋体" w:hAnsi="宋体" w:eastAsia="宋体" w:cs="宋体"/>
          <w:sz w:val="10"/>
        </w:rPr>
        <w:t>”</w:t>
      </w:r>
      <w:r>
        <w:rPr>
          <w:rFonts w:hint="eastAsia" w:ascii="宋体" w:hAnsi="宋体" w:eastAsia="宋体" w:cs="宋体"/>
          <w:sz w:val="24"/>
        </w:rPr>
        <w:t>的召开</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2012</w:t>
      </w:r>
      <w:r>
        <w:rPr>
          <w:rFonts w:hint="eastAsia" w:ascii="宋体" w:hAnsi="宋体" w:eastAsia="宋体" w:cs="宋体"/>
          <w:sz w:val="24"/>
        </w:rPr>
        <w:t xml:space="preserve"> 年底</w:t>
      </w:r>
      <w:r>
        <w:rPr>
          <w:rFonts w:hint="eastAsia" w:ascii="宋体" w:hAnsi="宋体" w:eastAsia="宋体" w:cs="宋体"/>
          <w:sz w:val="10"/>
        </w:rPr>
        <w:t>，</w:t>
      </w:r>
      <w:r>
        <w:rPr>
          <w:rFonts w:hint="eastAsia" w:ascii="宋体" w:hAnsi="宋体" w:eastAsia="宋体" w:cs="宋体"/>
          <w:sz w:val="24"/>
        </w:rPr>
        <w:t>创新大会提出的</w:t>
      </w:r>
      <w:r>
        <w:rPr>
          <w:rFonts w:hint="eastAsia" w:ascii="宋体" w:hAnsi="宋体" w:eastAsia="宋体" w:cs="宋体"/>
          <w:sz w:val="10"/>
        </w:rPr>
        <w:t>“</w:t>
      </w:r>
      <w:r>
        <w:rPr>
          <w:rFonts w:hint="eastAsia" w:ascii="宋体" w:hAnsi="宋体" w:eastAsia="宋体" w:cs="宋体"/>
          <w:sz w:val="24"/>
        </w:rPr>
        <w:t>十一条</w:t>
      </w:r>
      <w:r>
        <w:rPr>
          <w:rFonts w:hint="eastAsia" w:ascii="宋体" w:hAnsi="宋体" w:eastAsia="宋体" w:cs="宋体"/>
          <w:sz w:val="10"/>
        </w:rPr>
        <w:t>”</w:t>
      </w:r>
      <w:r>
        <w:rPr>
          <w:rFonts w:hint="eastAsia" w:ascii="宋体" w:hAnsi="宋体" w:eastAsia="宋体" w:cs="宋体"/>
          <w:sz w:val="24"/>
        </w:rPr>
        <w:t>措施均已出台相应政策</w:t>
      </w:r>
      <w:r>
        <w:rPr>
          <w:rFonts w:hint="eastAsia" w:ascii="宋体" w:hAnsi="宋体" w:eastAsia="宋体" w:cs="宋体"/>
          <w:sz w:val="10"/>
        </w:rPr>
        <w:t>，</w:t>
      </w:r>
      <w:r>
        <w:rPr>
          <w:rFonts w:hint="eastAsia" w:ascii="宋体" w:hAnsi="宋体" w:eastAsia="宋体" w:cs="宋体"/>
          <w:sz w:val="24"/>
        </w:rPr>
        <w:t>极大地扩展了证券公司现有的业务范围</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券商创新大会再度召开</w:t>
      </w:r>
      <w:r>
        <w:rPr>
          <w:rFonts w:hint="eastAsia" w:ascii="宋体" w:hAnsi="宋体" w:eastAsia="宋体" w:cs="宋体"/>
          <w:sz w:val="10"/>
        </w:rPr>
        <w:t>，</w:t>
      </w:r>
      <w:r>
        <w:rPr>
          <w:rFonts w:hint="eastAsia" w:ascii="宋体" w:hAnsi="宋体" w:eastAsia="宋体" w:cs="宋体"/>
          <w:sz w:val="24"/>
        </w:rPr>
        <w:t>伴随</w:t>
      </w:r>
      <w:r>
        <w:rPr>
          <w:rFonts w:hint="eastAsia" w:ascii="宋体" w:hAnsi="宋体" w:eastAsia="宋体" w:cs="宋体"/>
          <w:sz w:val="10"/>
        </w:rPr>
        <w:t>“</w:t>
      </w:r>
      <w:r>
        <w:rPr>
          <w:rFonts w:hint="eastAsia" w:ascii="宋体" w:hAnsi="宋体" w:eastAsia="宋体" w:cs="宋体"/>
          <w:sz w:val="24"/>
        </w:rPr>
        <w:t>新国九条</w:t>
      </w:r>
      <w:r>
        <w:rPr>
          <w:rFonts w:hint="eastAsia" w:ascii="宋体" w:hAnsi="宋体" w:eastAsia="宋体" w:cs="宋体"/>
          <w:sz w:val="10"/>
        </w:rPr>
        <w:t>”</w:t>
      </w:r>
      <w:r>
        <w:rPr>
          <w:rFonts w:hint="eastAsia" w:ascii="宋体" w:hAnsi="宋体" w:eastAsia="宋体" w:cs="宋体"/>
          <w:sz w:val="24"/>
        </w:rPr>
        <w:t>以及《关于进一步推进证券经营机构创新发展的意见》等多项支持创新的政策的发布</w:t>
      </w:r>
      <w:r>
        <w:rPr>
          <w:rFonts w:hint="eastAsia" w:ascii="宋体" w:hAnsi="宋体" w:eastAsia="宋体" w:cs="宋体"/>
          <w:sz w:val="10"/>
        </w:rPr>
        <w:t>，</w:t>
      </w:r>
      <w:r>
        <w:rPr>
          <w:rFonts w:hint="eastAsia" w:ascii="宋体" w:hAnsi="宋体" w:eastAsia="宋体" w:cs="宋体"/>
          <w:sz w:val="24"/>
        </w:rPr>
        <w:t>转融通</w:t>
      </w:r>
      <w:r>
        <w:rPr>
          <w:rFonts w:hint="eastAsia" w:ascii="宋体" w:hAnsi="宋体" w:eastAsia="宋体" w:cs="宋体"/>
          <w:sz w:val="10"/>
        </w:rPr>
        <w:t>、</w:t>
      </w:r>
      <w:r>
        <w:rPr>
          <w:rFonts w:hint="eastAsia" w:ascii="宋体" w:hAnsi="宋体" w:eastAsia="宋体" w:cs="宋体"/>
          <w:sz w:val="24"/>
        </w:rPr>
        <w:t>新三板</w:t>
      </w:r>
      <w:r>
        <w:rPr>
          <w:rFonts w:hint="eastAsia" w:ascii="宋体" w:hAnsi="宋体" w:eastAsia="宋体" w:cs="宋体"/>
          <w:sz w:val="10"/>
        </w:rPr>
        <w:t>、</w:t>
      </w:r>
      <w:r>
        <w:rPr>
          <w:rFonts w:hint="eastAsia" w:ascii="宋体" w:hAnsi="宋体" w:eastAsia="宋体" w:cs="宋体"/>
          <w:sz w:val="24"/>
        </w:rPr>
        <w:t>约定购回</w:t>
      </w:r>
      <w:r>
        <w:rPr>
          <w:rFonts w:hint="eastAsia" w:ascii="宋体" w:hAnsi="宋体" w:eastAsia="宋体" w:cs="宋体"/>
          <w:sz w:val="10"/>
        </w:rPr>
        <w:t>、</w:t>
      </w:r>
      <w:r>
        <w:rPr>
          <w:rFonts w:hint="eastAsia" w:ascii="宋体" w:hAnsi="宋体" w:eastAsia="宋体" w:cs="宋体"/>
          <w:sz w:val="24"/>
        </w:rPr>
        <w:t>代销金融产品</w:t>
      </w:r>
      <w:r>
        <w:rPr>
          <w:rFonts w:hint="eastAsia" w:ascii="宋体" w:hAnsi="宋体" w:eastAsia="宋体" w:cs="宋体"/>
          <w:sz w:val="10"/>
        </w:rPr>
        <w:t>、</w:t>
      </w:r>
      <w:r>
        <w:rPr>
          <w:rFonts w:hint="eastAsia" w:ascii="宋体" w:hAnsi="宋体" w:eastAsia="宋体" w:cs="宋体"/>
          <w:sz w:val="24"/>
        </w:rPr>
        <w:t>现金宝</w:t>
      </w:r>
      <w:r>
        <w:rPr>
          <w:rFonts w:hint="eastAsia" w:ascii="宋体" w:hAnsi="宋体" w:eastAsia="宋体" w:cs="宋体"/>
          <w:sz w:val="10"/>
        </w:rPr>
        <w:t>、</w:t>
      </w:r>
      <w:r>
        <w:rPr>
          <w:rFonts w:hint="eastAsia" w:ascii="宋体" w:hAnsi="宋体" w:eastAsia="宋体" w:cs="宋体"/>
          <w:sz w:val="24"/>
        </w:rPr>
        <w:t>区域性股权交易市场</w:t>
      </w:r>
      <w:r>
        <w:rPr>
          <w:rFonts w:hint="eastAsia" w:ascii="宋体" w:hAnsi="宋体" w:eastAsia="宋体" w:cs="宋体"/>
          <w:sz w:val="10"/>
        </w:rPr>
        <w:t>、</w:t>
      </w:r>
      <w:r>
        <w:rPr>
          <w:rFonts w:hint="eastAsia" w:ascii="宋体" w:hAnsi="宋体" w:eastAsia="宋体" w:cs="宋体"/>
          <w:sz w:val="24"/>
        </w:rPr>
        <w:t>柜台交易（</w:t>
      </w:r>
      <w:r>
        <w:rPr>
          <w:rFonts w:hint="eastAsia" w:ascii="Times New Roman" w:hAnsi="Times New Roman" w:eastAsia="Times New Roman" w:cs="Times New Roman"/>
          <w:sz w:val="24"/>
        </w:rPr>
        <w:t>OTC</w:t>
      </w:r>
      <w:r>
        <w:rPr>
          <w:rFonts w:hint="eastAsia" w:ascii="宋体" w:hAnsi="宋体" w:eastAsia="宋体" w:cs="宋体"/>
          <w:sz w:val="24"/>
        </w:rPr>
        <w:t>）、</w:t>
      </w:r>
      <w:r>
        <w:rPr>
          <w:rFonts w:hint="eastAsia" w:ascii="宋体" w:hAnsi="宋体" w:eastAsia="宋体" w:cs="宋体"/>
          <w:sz w:val="24"/>
        </w:rPr>
        <w:t>个股期权</w:t>
      </w:r>
      <w:r>
        <w:rPr>
          <w:rFonts w:hint="eastAsia" w:ascii="宋体" w:hAnsi="宋体" w:eastAsia="宋体" w:cs="宋体"/>
          <w:sz w:val="10"/>
        </w:rPr>
        <w:t>、</w:t>
      </w:r>
      <w:r>
        <w:rPr>
          <w:rFonts w:hint="eastAsia" w:ascii="宋体" w:hAnsi="宋体" w:eastAsia="宋体" w:cs="宋体"/>
          <w:sz w:val="24"/>
        </w:rPr>
        <w:t>沪港通</w:t>
      </w:r>
      <w:r>
        <w:rPr>
          <w:rFonts w:hint="eastAsia" w:ascii="宋体" w:hAnsi="宋体" w:eastAsia="宋体" w:cs="宋体"/>
          <w:sz w:val="10"/>
        </w:rPr>
        <w:t>、</w:t>
      </w:r>
      <w:r>
        <w:rPr>
          <w:rFonts w:hint="eastAsia" w:ascii="宋体" w:hAnsi="宋体" w:eastAsia="宋体" w:cs="宋体"/>
          <w:sz w:val="24"/>
        </w:rPr>
        <w:t>深港通以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1-1-131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及国际化业务等创新业务已经陆续推出</w:t>
      </w:r>
      <w:r>
        <w:rPr>
          <w:rFonts w:hint="eastAsia" w:ascii="宋体" w:hAnsi="宋体" w:eastAsia="宋体" w:cs="宋体"/>
          <w:sz w:val="10"/>
        </w:rPr>
        <w:t>。</w:t>
      </w:r>
      <w:r>
        <w:rPr>
          <w:rFonts w:hint="eastAsia" w:ascii="宋体" w:hAnsi="宋体" w:eastAsia="宋体" w:cs="宋体"/>
          <w:sz w:val="24"/>
        </w:rPr>
        <w:t>各证券公司为争得新兴业务的主动权</w:t>
      </w:r>
      <w:r>
        <w:rPr>
          <w:rFonts w:hint="eastAsia" w:ascii="宋体" w:hAnsi="宋体" w:eastAsia="宋体" w:cs="宋体"/>
          <w:sz w:val="10"/>
        </w:rPr>
        <w:t>，</w:t>
      </w:r>
      <w:r>
        <w:rPr>
          <w:rFonts w:hint="eastAsia" w:ascii="宋体" w:hAnsi="宋体" w:eastAsia="宋体" w:cs="宋体"/>
          <w:sz w:val="24"/>
        </w:rPr>
        <w:t>势必会加快部署相关业务的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w:t>
      </w:r>
      <w:r>
        <w:rPr>
          <w:rFonts w:hint="eastAsia" w:ascii="宋体" w:hAnsi="宋体" w:eastAsia="宋体" w:cs="宋体"/>
          <w:sz w:val="10"/>
        </w:rPr>
        <w:t>，</w:t>
      </w:r>
      <w:r>
        <w:rPr>
          <w:rFonts w:hint="eastAsia" w:ascii="宋体" w:hAnsi="宋体" w:eastAsia="宋体" w:cs="宋体"/>
          <w:sz w:val="24"/>
        </w:rPr>
        <w:t>因此相关的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需求将在今后较长的一段时期逐步释放</w:t>
      </w:r>
      <w:r>
        <w:rPr>
          <w:rFonts w:hint="eastAsia" w:ascii="宋体" w:hAnsi="宋体" w:eastAsia="宋体" w:cs="宋体"/>
          <w:sz w:val="10"/>
        </w:rPr>
        <w:t>。</w:t>
      </w:r>
      <w:r>
        <w:rPr>
          <w:rFonts w:hint="eastAsia" w:ascii="宋体" w:hAnsi="宋体" w:eastAsia="宋体" w:cs="宋体"/>
          <w:sz w:val="24"/>
        </w:rPr>
        <w:t>随着下游金融行业客户规模以及信息化投入的不断扩大</w:t>
      </w:r>
      <w:r>
        <w:rPr>
          <w:rFonts w:hint="eastAsia" w:ascii="宋体" w:hAnsi="宋体" w:eastAsia="宋体" w:cs="宋体"/>
          <w:sz w:val="10"/>
        </w:rPr>
        <w:t>，</w:t>
      </w:r>
      <w:r>
        <w:rPr>
          <w:rFonts w:hint="eastAsia" w:ascii="宋体" w:hAnsi="宋体" w:eastAsia="宋体" w:cs="宋体"/>
          <w:sz w:val="24"/>
        </w:rPr>
        <w:t>金融行业信息化领域的市场规模将不断扩大</w:t>
      </w:r>
      <w:r>
        <w:rPr>
          <w:rFonts w:hint="eastAsia" w:ascii="宋体" w:hAnsi="宋体" w:eastAsia="宋体" w:cs="宋体"/>
          <w:sz w:val="10"/>
        </w:rPr>
        <w:t>，</w:t>
      </w:r>
      <w:r>
        <w:rPr>
          <w:rFonts w:hint="eastAsia" w:ascii="宋体" w:hAnsi="宋体" w:eastAsia="宋体" w:cs="宋体"/>
          <w:sz w:val="24"/>
        </w:rPr>
        <w:t>广度</w:t>
      </w:r>
      <w:r>
        <w:rPr>
          <w:rFonts w:hint="eastAsia" w:ascii="宋体" w:hAnsi="宋体" w:eastAsia="宋体" w:cs="宋体"/>
          <w:sz w:val="10"/>
        </w:rPr>
        <w:t>、</w:t>
      </w:r>
      <w:r>
        <w:rPr>
          <w:rFonts w:hint="eastAsia" w:ascii="宋体" w:hAnsi="宋体" w:eastAsia="宋体" w:cs="宋体"/>
          <w:sz w:val="24"/>
        </w:rPr>
        <w:t>深度将不断延伸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信息化解决方案提供商的业务机会主要来自于下游客户持续的</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领域投入</w:t>
      </w:r>
      <w:r>
        <w:rPr>
          <w:rFonts w:hint="eastAsia" w:ascii="宋体" w:hAnsi="宋体" w:eastAsia="宋体" w:cs="宋体"/>
          <w:sz w:val="10"/>
        </w:rPr>
        <w:t>，</w:t>
      </w:r>
      <w:r>
        <w:rPr>
          <w:rFonts w:hint="eastAsia" w:ascii="宋体" w:hAnsi="宋体" w:eastAsia="宋体" w:cs="宋体"/>
          <w:sz w:val="24"/>
        </w:rPr>
        <w:t>具体包括以下两个方面</w:t>
      </w:r>
      <w:r>
        <w:rPr>
          <w:rFonts w:hint="eastAsia" w:ascii="宋体" w:hAnsi="宋体" w:eastAsia="宋体" w:cs="宋体"/>
          <w:sz w:val="12"/>
        </w:rPr>
        <w:t>：（</w:t>
      </w:r>
      <w:r>
        <w:rPr>
          <w:rFonts w:hint="eastAsia" w:ascii="Times New Roman" w:hAnsi="Times New Roman" w:eastAsia="Times New Roman" w:cs="Times New Roman"/>
          <w:sz w:val="24"/>
        </w:rPr>
        <w:t>1</w:t>
      </w:r>
      <w:r>
        <w:rPr>
          <w:rFonts w:hint="eastAsia" w:ascii="宋体" w:hAnsi="宋体" w:eastAsia="宋体" w:cs="宋体"/>
          <w:sz w:val="24"/>
        </w:rPr>
        <w:t>）证券公司原有软件产品及服务的持续升级</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12"/>
        </w:rPr>
        <w:t>（</w:t>
      </w:r>
      <w:r>
        <w:rPr>
          <w:rFonts w:hint="eastAsia" w:ascii="Times New Roman" w:hAnsi="Times New Roman" w:eastAsia="Times New Roman" w:cs="Times New Roman"/>
          <w:sz w:val="24"/>
        </w:rPr>
        <w:t>2</w:t>
      </w:r>
      <w:r>
        <w:rPr>
          <w:rFonts w:hint="eastAsia" w:ascii="宋体" w:hAnsi="宋体" w:eastAsia="宋体" w:cs="宋体"/>
          <w:sz w:val="24"/>
        </w:rPr>
        <w:t>）证券行业新业务</w:t>
      </w:r>
      <w:r>
        <w:rPr>
          <w:rFonts w:hint="eastAsia" w:ascii="宋体" w:hAnsi="宋体" w:eastAsia="宋体" w:cs="宋体"/>
          <w:sz w:val="10"/>
        </w:rPr>
        <w:t>、</w:t>
      </w:r>
      <w:r>
        <w:rPr>
          <w:rFonts w:hint="eastAsia" w:ascii="宋体" w:hAnsi="宋体" w:eastAsia="宋体" w:cs="宋体"/>
          <w:sz w:val="24"/>
        </w:rPr>
        <w:t>新技术</w:t>
      </w:r>
      <w:r>
        <w:rPr>
          <w:rFonts w:hint="eastAsia" w:ascii="宋体" w:hAnsi="宋体" w:eastAsia="宋体" w:cs="宋体"/>
          <w:sz w:val="10"/>
        </w:rPr>
        <w:t>、</w:t>
      </w:r>
      <w:r>
        <w:rPr>
          <w:rFonts w:hint="eastAsia" w:ascii="宋体" w:hAnsi="宋体" w:eastAsia="宋体" w:cs="宋体"/>
          <w:sz w:val="24"/>
        </w:rPr>
        <w:t>新产品的不断推出</w:t>
      </w:r>
      <w:r>
        <w:rPr>
          <w:rFonts w:hint="eastAsia" w:ascii="宋体" w:hAnsi="宋体" w:eastAsia="宋体" w:cs="宋体"/>
          <w:sz w:val="10"/>
        </w:rPr>
        <w:t>。</w:t>
      </w:r>
      <w:r>
        <w:rPr>
          <w:rFonts w:hint="eastAsia" w:ascii="宋体" w:hAnsi="宋体" w:eastAsia="宋体" w:cs="宋体"/>
          <w:sz w:val="24"/>
        </w:rPr>
        <w:t>证券公司基于日趋激烈的</w:t>
      </w:r>
    </w:p>
    <w:p>
      <w:pPr>
        <w:spacing w:line="200" w:lineRule="exact"/>
        <w:rPr>
          <w:rFonts w:hint="eastAsia" w:ascii="宋体" w:hAnsi="宋体" w:eastAsia="宋体" w:cs="宋体"/>
          <w:sz w:val="20"/>
        </w:rPr>
      </w:pPr>
    </w:p>
    <w:p>
      <w:pPr>
        <w:autoSpaceDE w:val="false"/>
        <w:autoSpaceDN w:val="false"/>
        <w:spacing w:line="400" w:lineRule="exact"/>
        <w:ind w:left="1800" w:right="1620"/>
        <w:jc w:val="both"/>
      </w:pPr>
      <w:r>
        <w:rPr>
          <w:rFonts w:hint="eastAsia" w:ascii="宋体" w:hAnsi="宋体" w:eastAsia="宋体" w:cs="宋体"/>
          <w:sz w:val="24"/>
        </w:rPr>
        <w:t>市场竞争</w:t>
      </w:r>
      <w:r>
        <w:rPr>
          <w:rFonts w:hint="eastAsia" w:ascii="宋体" w:hAnsi="宋体" w:eastAsia="宋体" w:cs="宋体"/>
          <w:sz w:val="10"/>
        </w:rPr>
        <w:t>，</w:t>
      </w:r>
      <w:r>
        <w:rPr>
          <w:rFonts w:hint="eastAsia" w:ascii="宋体" w:hAnsi="宋体" w:eastAsia="宋体" w:cs="宋体"/>
          <w:sz w:val="24"/>
        </w:rPr>
        <w:t>对提高自身服务能力以及提供差异化产品及服务有着较为强烈的需求</w:t>
      </w:r>
      <w:r>
        <w:rPr>
          <w:rFonts w:hint="eastAsia" w:ascii="宋体" w:hAnsi="宋体" w:eastAsia="宋体" w:cs="宋体"/>
          <w:sz w:val="10"/>
        </w:rPr>
        <w:t>，</w:t>
      </w:r>
      <w:r>
        <w:rPr>
          <w:rFonts w:hint="eastAsia" w:ascii="宋体" w:hAnsi="宋体" w:eastAsia="宋体" w:cs="宋体"/>
          <w:sz w:val="24"/>
        </w:rPr>
        <w:t>同时也对信息化解决方案提供商的个性化定制能力和服务水平提出了更高的要求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公司主要产品应用于国内</w:t>
      </w:r>
      <w:r>
        <w:rPr>
          <w:rFonts w:hint="eastAsia" w:ascii="Times New Roman" w:hAnsi="Times New Roman" w:eastAsia="Times New Roman" w:cs="Times New Roman"/>
          <w:sz w:val="24"/>
        </w:rPr>
        <w:t xml:space="preserve"> 78</w:t>
      </w:r>
      <w:r>
        <w:rPr>
          <w:rFonts w:hint="eastAsia" w:ascii="宋体" w:hAnsi="宋体" w:eastAsia="宋体" w:cs="宋体"/>
          <w:sz w:val="24"/>
        </w:rPr>
        <w:t xml:space="preserve"> 家证券公司</w:t>
      </w:r>
      <w:r>
        <w:rPr>
          <w:rFonts w:hint="eastAsia" w:ascii="宋体" w:hAnsi="宋体" w:eastAsia="宋体" w:cs="宋体"/>
          <w:sz w:val="10"/>
        </w:rPr>
        <w:t>，</w:t>
      </w:r>
      <w:r>
        <w:rPr>
          <w:rFonts w:hint="eastAsia" w:ascii="宋体" w:hAnsi="宋体" w:eastAsia="宋体" w:cs="宋体"/>
          <w:sz w:val="24"/>
        </w:rPr>
        <w:t>用户数量占证券公司总家数的</w:t>
      </w:r>
      <w:r>
        <w:rPr>
          <w:rFonts w:hint="eastAsia" w:ascii="Times New Roman" w:hAnsi="Times New Roman" w:eastAsia="Times New Roman" w:cs="Times New Roman"/>
          <w:sz w:val="24"/>
        </w:rPr>
        <w:t xml:space="preserve"> 60.47%</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公司的营销服务流程管理系统应用于国内</w:t>
      </w:r>
      <w:r>
        <w:rPr>
          <w:rFonts w:hint="eastAsia" w:ascii="Times New Roman" w:hAnsi="Times New Roman" w:eastAsia="Times New Roman" w:cs="Times New Roman"/>
          <w:sz w:val="24"/>
        </w:rPr>
        <w:t>71</w:t>
      </w:r>
      <w:r>
        <w:rPr>
          <w:rFonts w:hint="eastAsia" w:ascii="宋体" w:hAnsi="宋体" w:eastAsia="宋体" w:cs="宋体"/>
          <w:sz w:val="24"/>
        </w:rPr>
        <w:t xml:space="preserve"> 家证券公司</w:t>
      </w:r>
      <w:r>
        <w:rPr>
          <w:rFonts w:hint="eastAsia" w:ascii="宋体" w:hAnsi="宋体" w:eastAsia="宋体" w:cs="宋体"/>
          <w:sz w:val="12"/>
        </w:rPr>
        <w:t>；</w:t>
      </w:r>
      <w:r>
        <w:rPr>
          <w:rFonts w:hint="eastAsia" w:ascii="宋体" w:hAnsi="宋体" w:eastAsia="宋体" w:cs="宋体"/>
          <w:sz w:val="24"/>
        </w:rPr>
        <w:t>公司的基础运营支持系统（即大规模集中交易</w:t>
      </w:r>
      <w:r>
        <w:rPr>
          <w:rFonts w:hint="eastAsia" w:ascii="宋体" w:hAnsi="宋体" w:eastAsia="宋体" w:cs="宋体"/>
          <w:sz w:val="10"/>
        </w:rPr>
        <w:t>、</w:t>
      </w:r>
      <w:r>
        <w:rPr>
          <w:rFonts w:hint="eastAsia" w:ascii="宋体" w:hAnsi="宋体" w:eastAsia="宋体" w:cs="宋体"/>
          <w:sz w:val="24"/>
        </w:rPr>
        <w:t>快速内存交易及配套系统）应用于国内</w:t>
      </w:r>
      <w:r>
        <w:rPr>
          <w:rFonts w:hint="eastAsia" w:ascii="Times New Roman" w:hAnsi="Times New Roman" w:eastAsia="Times New Roman" w:cs="Times New Roman"/>
          <w:sz w:val="24"/>
        </w:rPr>
        <w:t xml:space="preserve"> 38</w:t>
      </w:r>
      <w:r>
        <w:rPr>
          <w:rFonts w:hint="eastAsia" w:ascii="宋体" w:hAnsi="宋体" w:eastAsia="宋体" w:cs="宋体"/>
          <w:sz w:val="24"/>
        </w:rPr>
        <w:t xml:space="preserve"> 家证券公司</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发行人在证券业务中的集中运营</w:t>
      </w:r>
      <w:r>
        <w:rPr>
          <w:rFonts w:hint="eastAsia" w:ascii="宋体" w:hAnsi="宋体" w:eastAsia="宋体" w:cs="宋体"/>
          <w:sz w:val="10"/>
        </w:rPr>
        <w:t>、</w:t>
      </w:r>
      <w:r>
        <w:rPr>
          <w:rFonts w:hint="eastAsia" w:ascii="Times New Roman" w:hAnsi="Times New Roman" w:eastAsia="Times New Roman" w:cs="Times New Roman"/>
          <w:sz w:val="24"/>
        </w:rPr>
        <w:t>CRM</w:t>
      </w:r>
      <w:r>
        <w:rPr>
          <w:rFonts w:hint="eastAsia" w:ascii="宋体" w:hAnsi="宋体" w:eastAsia="宋体" w:cs="宋体"/>
          <w:sz w:val="24"/>
        </w:rPr>
        <w:t xml:space="preserve"> 领域处于业内领先地位</w:t>
      </w:r>
      <w:r>
        <w:rPr>
          <w:rFonts w:hint="eastAsia" w:ascii="宋体" w:hAnsi="宋体" w:eastAsia="宋体" w:cs="宋体"/>
          <w:sz w:val="10"/>
        </w:rPr>
        <w:t>，</w:t>
      </w:r>
      <w:r>
        <w:rPr>
          <w:rFonts w:hint="eastAsia" w:ascii="宋体" w:hAnsi="宋体" w:eastAsia="宋体" w:cs="宋体"/>
          <w:sz w:val="24"/>
        </w:rPr>
        <w:t>未来将利用自身的平台优势和行业地位</w:t>
      </w:r>
      <w:r>
        <w:rPr>
          <w:rFonts w:hint="eastAsia" w:ascii="宋体" w:hAnsi="宋体" w:eastAsia="宋体" w:cs="宋体"/>
          <w:sz w:val="10"/>
        </w:rPr>
        <w:t>，</w:t>
      </w:r>
      <w:r>
        <w:rPr>
          <w:rFonts w:hint="eastAsia" w:ascii="宋体" w:hAnsi="宋体" w:eastAsia="宋体" w:cs="宋体"/>
          <w:sz w:val="24"/>
        </w:rPr>
        <w:t>将集中运营成功案例不断拓展到更多证券公司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00"/>
        <w:jc w:val="both"/>
      </w:pPr>
      <w:r>
        <w:rPr>
          <w:rFonts w:hint="eastAsia" w:ascii="宋体" w:hAnsi="宋体" w:eastAsia="宋体" w:cs="宋体"/>
          <w:sz w:val="24"/>
        </w:rPr>
        <w:t>集中运营信息化解决方案具有将多项业务集中运营</w:t>
      </w:r>
      <w:r>
        <w:rPr>
          <w:rFonts w:hint="eastAsia" w:ascii="宋体" w:hAnsi="宋体" w:eastAsia="宋体" w:cs="宋体"/>
          <w:sz w:val="10"/>
        </w:rPr>
        <w:t>、</w:t>
      </w:r>
      <w:r>
        <w:rPr>
          <w:rFonts w:hint="eastAsia" w:ascii="宋体" w:hAnsi="宋体" w:eastAsia="宋体" w:cs="宋体"/>
          <w:sz w:val="24"/>
        </w:rPr>
        <w:t>集中管理的特点</w:t>
      </w:r>
      <w:r>
        <w:rPr>
          <w:rFonts w:hint="eastAsia" w:ascii="宋体" w:hAnsi="宋体" w:eastAsia="宋体" w:cs="宋体"/>
          <w:sz w:val="10"/>
        </w:rPr>
        <w:t>，</w:t>
      </w:r>
      <w:r>
        <w:rPr>
          <w:rFonts w:hint="eastAsia" w:ascii="宋体" w:hAnsi="宋体" w:eastAsia="宋体" w:cs="宋体"/>
          <w:sz w:val="24"/>
        </w:rPr>
        <w:t>发行人基于在集中运营领域的优势</w:t>
      </w:r>
      <w:r>
        <w:rPr>
          <w:rFonts w:hint="eastAsia" w:ascii="宋体" w:hAnsi="宋体" w:eastAsia="宋体" w:cs="宋体"/>
          <w:sz w:val="10"/>
        </w:rPr>
        <w:t>，</w:t>
      </w:r>
      <w:r>
        <w:rPr>
          <w:rFonts w:hint="eastAsia" w:ascii="宋体" w:hAnsi="宋体" w:eastAsia="宋体" w:cs="宋体"/>
          <w:sz w:val="24"/>
        </w:rPr>
        <w:t>未来存在拓展证券行业其他业务的可能性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综上</w:t>
      </w:r>
      <w:r>
        <w:rPr>
          <w:rFonts w:hint="eastAsia" w:ascii="宋体" w:hAnsi="宋体" w:eastAsia="宋体" w:cs="宋体"/>
          <w:sz w:val="10"/>
        </w:rPr>
        <w:t>，</w:t>
      </w:r>
      <w:r>
        <w:rPr>
          <w:rFonts w:hint="eastAsia" w:ascii="宋体" w:hAnsi="宋体" w:eastAsia="宋体" w:cs="宋体"/>
          <w:sz w:val="24"/>
        </w:rPr>
        <w:t>发行人未来的业务具备可延续性</w:t>
      </w:r>
      <w:r>
        <w:rPr>
          <w:rFonts w:hint="eastAsia" w:ascii="宋体" w:hAnsi="宋体" w:eastAsia="宋体" w:cs="宋体"/>
          <w:sz w:val="10"/>
        </w:rPr>
        <w:t>。</w:t>
      </w:r>
      <w:r>
        <w:rPr>
          <w:rFonts w:hint="eastAsia" w:ascii="宋体" w:hAnsi="宋体" w:eastAsia="宋体" w:cs="宋体"/>
          <w:sz w:val="24"/>
        </w:rPr>
        <w:t>发行人将不断提升自身实力</w:t>
      </w:r>
      <w:r>
        <w:rPr>
          <w:rFonts w:hint="eastAsia" w:ascii="宋体" w:hAnsi="宋体" w:eastAsia="宋体" w:cs="宋体"/>
          <w:sz w:val="10"/>
        </w:rPr>
        <w:t>，</w:t>
      </w:r>
      <w:r>
        <w:rPr>
          <w:rFonts w:hint="eastAsia" w:ascii="宋体" w:hAnsi="宋体" w:eastAsia="宋体" w:cs="宋体"/>
          <w:sz w:val="24"/>
        </w:rPr>
        <w:t>抓住市场机遇</w:t>
      </w:r>
      <w:r>
        <w:rPr>
          <w:rFonts w:hint="eastAsia" w:ascii="宋体" w:hAnsi="宋体" w:eastAsia="宋体" w:cs="宋体"/>
          <w:sz w:val="10"/>
        </w:rPr>
        <w:t>，</w:t>
      </w:r>
      <w:r>
        <w:rPr>
          <w:rFonts w:hint="eastAsia" w:ascii="宋体" w:hAnsi="宋体" w:eastAsia="宋体" w:cs="宋体"/>
          <w:sz w:val="24"/>
        </w:rPr>
        <w:t>将竞争优势不断转会为未来业务机会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（二）主要竞争对手的简要情况</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恒生电子股份有限公司</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恒生电子成立于</w:t>
      </w:r>
      <w:r>
        <w:rPr>
          <w:rFonts w:hint="eastAsia" w:ascii="Times New Roman" w:hAnsi="Times New Roman" w:eastAsia="Times New Roman" w:cs="Times New Roman"/>
          <w:sz w:val="24"/>
        </w:rPr>
        <w:t xml:space="preserve"> 1997</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2003</w:t>
      </w:r>
      <w:r>
        <w:rPr>
          <w:rFonts w:hint="eastAsia" w:ascii="宋体" w:hAnsi="宋体" w:eastAsia="宋体" w:cs="宋体"/>
          <w:sz w:val="24"/>
        </w:rPr>
        <w:t>年在国内</w:t>
      </w:r>
      <w:r>
        <w:rPr>
          <w:rFonts w:hint="eastAsia" w:ascii="Times New Roman" w:hAnsi="Times New Roman" w:eastAsia="Times New Roman" w:cs="Times New Roman"/>
          <w:sz w:val="24"/>
        </w:rPr>
        <w:t>A</w:t>
      </w:r>
      <w:r>
        <w:rPr>
          <w:rFonts w:hint="eastAsia" w:ascii="宋体" w:hAnsi="宋体" w:eastAsia="宋体" w:cs="宋体"/>
          <w:sz w:val="24"/>
        </w:rPr>
        <w:t>股市场上市</w:t>
      </w:r>
      <w:r>
        <w:rPr>
          <w:rFonts w:hint="eastAsia" w:ascii="宋体" w:hAnsi="宋体" w:eastAsia="宋体" w:cs="宋体"/>
          <w:sz w:val="10"/>
        </w:rPr>
        <w:t>，</w:t>
      </w:r>
      <w:r>
        <w:rPr>
          <w:rFonts w:hint="eastAsia" w:ascii="宋体" w:hAnsi="宋体" w:eastAsia="宋体" w:cs="宋体"/>
          <w:sz w:val="24"/>
        </w:rPr>
        <w:t>股票代码</w:t>
      </w:r>
      <w:r>
        <w:rPr>
          <w:rFonts w:hint="eastAsia" w:ascii="Times New Roman" w:hAnsi="Times New Roman" w:eastAsia="Times New Roman" w:cs="Times New Roman"/>
          <w:sz w:val="24"/>
        </w:rPr>
        <w:t xml:space="preserve"> SH600570</w:t>
      </w:r>
      <w:r>
        <w:rPr>
          <w:rFonts w:hint="eastAsia" w:ascii="宋体" w:hAnsi="宋体" w:eastAsia="宋体" w:cs="宋体"/>
          <w:sz w:val="10"/>
        </w:rPr>
        <w:t>，</w:t>
      </w:r>
      <w:r>
        <w:rPr>
          <w:rFonts w:hint="eastAsia" w:ascii="宋体" w:hAnsi="宋体" w:eastAsia="宋体" w:cs="宋体"/>
          <w:sz w:val="24"/>
        </w:rPr>
        <w:t>主要从事证券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基金和银行等行业应用软件的开发</w:t>
      </w:r>
      <w:r>
        <w:rPr>
          <w:rFonts w:hint="eastAsia" w:ascii="宋体" w:hAnsi="宋体" w:eastAsia="宋体" w:cs="宋体"/>
          <w:sz w:val="10"/>
        </w:rPr>
        <w:t>。</w:t>
      </w:r>
      <w:r>
        <w:rPr>
          <w:rFonts w:hint="eastAsia" w:ascii="宋体" w:hAnsi="宋体" w:eastAsia="宋体" w:cs="宋体"/>
          <w:sz w:val="24"/>
        </w:rPr>
        <w:t>恒生电子金融</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产品与服务涵盖银行</w:t>
      </w:r>
      <w:r>
        <w:rPr>
          <w:rFonts w:hint="eastAsia" w:ascii="宋体" w:hAnsi="宋体" w:eastAsia="宋体" w:cs="宋体"/>
          <w:sz w:val="10"/>
        </w:rPr>
        <w:t>、</w:t>
      </w:r>
      <w:r>
        <w:rPr>
          <w:rFonts w:hint="eastAsia" w:ascii="宋体" w:hAnsi="宋体" w:eastAsia="宋体" w:cs="宋体"/>
          <w:sz w:val="24"/>
        </w:rPr>
        <w:t>证券</w:t>
      </w:r>
      <w:r>
        <w:rPr>
          <w:rFonts w:hint="eastAsia" w:ascii="宋体" w:hAnsi="宋体" w:eastAsia="宋体" w:cs="宋体"/>
          <w:sz w:val="10"/>
        </w:rPr>
        <w:t>、</w:t>
      </w:r>
      <w:r>
        <w:rPr>
          <w:rFonts w:hint="eastAsia" w:ascii="宋体" w:hAnsi="宋体" w:eastAsia="宋体" w:cs="宋体"/>
          <w:sz w:val="24"/>
        </w:rPr>
        <w:t>基金</w:t>
      </w:r>
      <w:r>
        <w:rPr>
          <w:rFonts w:hint="eastAsia" w:ascii="宋体" w:hAnsi="宋体" w:eastAsia="宋体" w:cs="宋体"/>
          <w:sz w:val="10"/>
        </w:rPr>
        <w:t>、</w:t>
      </w:r>
      <w:r>
        <w:rPr>
          <w:rFonts w:hint="eastAsia" w:ascii="宋体" w:hAnsi="宋体" w:eastAsia="宋体" w:cs="宋体"/>
          <w:sz w:val="24"/>
        </w:rPr>
        <w:t>信托</w:t>
      </w:r>
      <w:r>
        <w:rPr>
          <w:rFonts w:hint="eastAsia" w:ascii="宋体" w:hAnsi="宋体" w:eastAsia="宋体" w:cs="宋体"/>
          <w:sz w:val="10"/>
        </w:rPr>
        <w:t>、</w:t>
      </w:r>
      <w:r>
        <w:rPr>
          <w:rFonts w:hint="eastAsia" w:ascii="宋体" w:hAnsi="宋体" w:eastAsia="宋体" w:cs="宋体"/>
          <w:sz w:val="24"/>
        </w:rPr>
        <w:t>保险</w:t>
      </w:r>
      <w:r>
        <w:rPr>
          <w:rFonts w:hint="eastAsia" w:ascii="宋体" w:hAnsi="宋体" w:eastAsia="宋体" w:cs="宋体"/>
          <w:sz w:val="10"/>
        </w:rPr>
        <w:t>、</w:t>
      </w:r>
      <w:r>
        <w:rPr>
          <w:rFonts w:hint="eastAsia" w:ascii="宋体" w:hAnsi="宋体" w:eastAsia="宋体" w:cs="宋体"/>
          <w:sz w:val="24"/>
        </w:rPr>
        <w:t>期货等金融市场的各个领域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深圳市金证科技股份有限公司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1-1-132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20" w:firstLine="480"/>
        <w:jc w:val="both"/>
      </w:pPr>
      <w:r>
        <w:rPr>
          <w:rFonts w:hint="eastAsia" w:ascii="宋体" w:hAnsi="宋体" w:eastAsia="宋体" w:cs="宋体"/>
          <w:sz w:val="24"/>
        </w:rPr>
        <w:t>金证股份成立于</w:t>
      </w:r>
      <w:r>
        <w:rPr>
          <w:rFonts w:hint="eastAsia" w:ascii="Times New Roman" w:hAnsi="Times New Roman" w:eastAsia="Times New Roman" w:cs="Times New Roman"/>
          <w:sz w:val="24"/>
        </w:rPr>
        <w:t xml:space="preserve"> 1998</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2003</w:t>
      </w:r>
      <w:r>
        <w:rPr>
          <w:rFonts w:hint="eastAsia" w:ascii="宋体" w:hAnsi="宋体" w:eastAsia="宋体" w:cs="宋体"/>
          <w:sz w:val="24"/>
        </w:rPr>
        <w:t>年在国内</w:t>
      </w:r>
      <w:r>
        <w:rPr>
          <w:rFonts w:hint="eastAsia" w:ascii="Times New Roman" w:hAnsi="Times New Roman" w:eastAsia="Times New Roman" w:cs="Times New Roman"/>
          <w:sz w:val="24"/>
        </w:rPr>
        <w:t>A</w:t>
      </w:r>
      <w:r>
        <w:rPr>
          <w:rFonts w:hint="eastAsia" w:ascii="宋体" w:hAnsi="宋体" w:eastAsia="宋体" w:cs="宋体"/>
          <w:sz w:val="24"/>
        </w:rPr>
        <w:t>股市场上市</w:t>
      </w:r>
      <w:r>
        <w:rPr>
          <w:rFonts w:hint="eastAsia" w:ascii="宋体" w:hAnsi="宋体" w:eastAsia="宋体" w:cs="宋体"/>
          <w:sz w:val="10"/>
        </w:rPr>
        <w:t>，</w:t>
      </w:r>
      <w:r>
        <w:rPr>
          <w:rFonts w:hint="eastAsia" w:ascii="宋体" w:hAnsi="宋体" w:eastAsia="宋体" w:cs="宋体"/>
          <w:sz w:val="24"/>
        </w:rPr>
        <w:t>股票代码</w:t>
      </w:r>
      <w:r>
        <w:rPr>
          <w:rFonts w:hint="eastAsia" w:ascii="Times New Roman" w:hAnsi="Times New Roman" w:eastAsia="Times New Roman" w:cs="Times New Roman"/>
          <w:sz w:val="24"/>
        </w:rPr>
        <w:t xml:space="preserve"> SH600446</w:t>
      </w:r>
      <w:r>
        <w:rPr>
          <w:rFonts w:hint="eastAsia" w:ascii="宋体" w:hAnsi="宋体" w:eastAsia="宋体" w:cs="宋体"/>
          <w:sz w:val="10"/>
        </w:rPr>
        <w:t>，</w:t>
      </w:r>
      <w:r>
        <w:rPr>
          <w:rFonts w:hint="eastAsia" w:ascii="宋体" w:hAnsi="宋体" w:eastAsia="宋体" w:cs="宋体"/>
          <w:sz w:val="24"/>
        </w:rPr>
        <w:t>主要从事证券等行业应用软件的开发以及</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外包服务</w:t>
      </w:r>
      <w:r>
        <w:rPr>
          <w:rFonts w:hint="eastAsia" w:ascii="宋体" w:hAnsi="宋体" w:eastAsia="宋体" w:cs="宋体"/>
          <w:sz w:val="10"/>
        </w:rPr>
        <w:t>。</w:t>
      </w:r>
      <w:r>
        <w:rPr>
          <w:rFonts w:hint="eastAsia" w:ascii="宋体" w:hAnsi="宋体" w:eastAsia="宋体" w:cs="宋体"/>
          <w:sz w:val="24"/>
        </w:rPr>
        <w:t>金证股份是国内重要的金融</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产品与服务供应商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（三）竞争优势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公司自主开发了功能强大的灵动业务架构平台（</w:t>
      </w:r>
      <w:r>
        <w:rPr>
          <w:rFonts w:hint="eastAsia" w:ascii="Times New Roman" w:hAnsi="Times New Roman" w:eastAsia="Times New Roman" w:cs="Times New Roman"/>
          <w:sz w:val="24"/>
        </w:rPr>
        <w:t>LiveBOS</w:t>
      </w:r>
      <w:r>
        <w:rPr>
          <w:rFonts w:hint="eastAsia" w:ascii="宋体" w:hAnsi="宋体" w:eastAsia="宋体" w:cs="宋体"/>
          <w:sz w:val="24"/>
        </w:rPr>
        <w:t>），</w:t>
      </w:r>
      <w:r>
        <w:rPr>
          <w:rFonts w:hint="eastAsia" w:ascii="宋体" w:hAnsi="宋体" w:eastAsia="宋体" w:cs="宋体"/>
          <w:sz w:val="24"/>
        </w:rPr>
        <w:t>其给软件开发带来的敏捷性</w:t>
      </w:r>
      <w:r>
        <w:rPr>
          <w:rFonts w:hint="eastAsia" w:ascii="宋体" w:hAnsi="宋体" w:eastAsia="宋体" w:cs="宋体"/>
          <w:sz w:val="10"/>
        </w:rPr>
        <w:t>、</w:t>
      </w:r>
      <w:r>
        <w:rPr>
          <w:rFonts w:hint="eastAsia" w:ascii="宋体" w:hAnsi="宋体" w:eastAsia="宋体" w:cs="宋体"/>
          <w:sz w:val="24"/>
        </w:rPr>
        <w:t>高效性以及跨行业的适用性</w:t>
      </w:r>
      <w:r>
        <w:rPr>
          <w:rFonts w:hint="eastAsia" w:ascii="宋体" w:hAnsi="宋体" w:eastAsia="宋体" w:cs="宋体"/>
          <w:sz w:val="10"/>
        </w:rPr>
        <w:t>，</w:t>
      </w:r>
      <w:r>
        <w:rPr>
          <w:rFonts w:hint="eastAsia" w:ascii="宋体" w:hAnsi="宋体" w:eastAsia="宋体" w:cs="宋体"/>
          <w:sz w:val="24"/>
        </w:rPr>
        <w:t>使公司的应用产品开发模式</w:t>
      </w:r>
      <w:r>
        <w:rPr>
          <w:rFonts w:hint="eastAsia" w:ascii="宋体" w:hAnsi="宋体" w:eastAsia="宋体" w:cs="宋体"/>
          <w:sz w:val="10"/>
        </w:rPr>
        <w:t>、</w:t>
      </w:r>
      <w:r>
        <w:rPr>
          <w:rFonts w:hint="eastAsia" w:ascii="宋体" w:hAnsi="宋体" w:eastAsia="宋体" w:cs="宋体"/>
          <w:sz w:val="24"/>
        </w:rPr>
        <w:t>技术研究及新产品开发模式</w:t>
      </w:r>
      <w:r>
        <w:rPr>
          <w:rFonts w:hint="eastAsia" w:ascii="宋体" w:hAnsi="宋体" w:eastAsia="宋体" w:cs="宋体"/>
          <w:sz w:val="10"/>
        </w:rPr>
        <w:t>、</w:t>
      </w:r>
      <w:r>
        <w:rPr>
          <w:rFonts w:hint="eastAsia" w:ascii="宋体" w:hAnsi="宋体" w:eastAsia="宋体" w:cs="宋体"/>
          <w:sz w:val="24"/>
        </w:rPr>
        <w:t>市场拓展模式</w:t>
      </w:r>
      <w:r>
        <w:rPr>
          <w:rFonts w:hint="eastAsia" w:ascii="宋体" w:hAnsi="宋体" w:eastAsia="宋体" w:cs="宋体"/>
          <w:sz w:val="10"/>
        </w:rPr>
        <w:t>、</w:t>
      </w:r>
      <w:r>
        <w:rPr>
          <w:rFonts w:hint="eastAsia" w:ascii="宋体" w:hAnsi="宋体" w:eastAsia="宋体" w:cs="宋体"/>
          <w:sz w:val="24"/>
        </w:rPr>
        <w:t>人才组织和培养模式等发生了深刻的变革</w:t>
      </w:r>
      <w:r>
        <w:rPr>
          <w:rFonts w:hint="eastAsia" w:ascii="宋体" w:hAnsi="宋体" w:eastAsia="宋体" w:cs="宋体"/>
          <w:sz w:val="10"/>
        </w:rPr>
        <w:t>，</w:t>
      </w:r>
      <w:r>
        <w:rPr>
          <w:rFonts w:hint="eastAsia" w:ascii="宋体" w:hAnsi="宋体" w:eastAsia="宋体" w:cs="宋体"/>
          <w:sz w:val="24"/>
        </w:rPr>
        <w:t>成长为跨行业</w:t>
      </w:r>
      <w:r>
        <w:rPr>
          <w:rFonts w:hint="eastAsia" w:ascii="宋体" w:hAnsi="宋体" w:eastAsia="宋体" w:cs="宋体"/>
          <w:sz w:val="10"/>
        </w:rPr>
        <w:t>“</w:t>
      </w:r>
      <w:r>
        <w:rPr>
          <w:rFonts w:hint="eastAsia" w:ascii="宋体" w:hAnsi="宋体" w:eastAsia="宋体" w:cs="宋体"/>
          <w:sz w:val="24"/>
        </w:rPr>
        <w:t>基础平台＋应用方案</w:t>
      </w:r>
      <w:r>
        <w:rPr>
          <w:rFonts w:hint="eastAsia" w:ascii="宋体" w:hAnsi="宋体" w:eastAsia="宋体" w:cs="宋体"/>
          <w:sz w:val="10"/>
        </w:rPr>
        <w:t>”</w:t>
      </w:r>
      <w:r>
        <w:rPr>
          <w:rFonts w:hint="eastAsia" w:ascii="宋体" w:hAnsi="宋体" w:eastAsia="宋体" w:cs="宋体"/>
          <w:sz w:val="24"/>
        </w:rPr>
        <w:t>的综合解决方案提供商</w:t>
      </w:r>
      <w:r>
        <w:rPr>
          <w:rFonts w:hint="eastAsia" w:ascii="宋体" w:hAnsi="宋体" w:eastAsia="宋体" w:cs="宋体"/>
          <w:sz w:val="10"/>
        </w:rPr>
        <w:t>。</w:t>
      </w:r>
      <w:r>
        <w:rPr>
          <w:rFonts w:hint="eastAsia" w:ascii="宋体" w:hAnsi="宋体" w:eastAsia="宋体" w:cs="宋体"/>
          <w:sz w:val="24"/>
        </w:rPr>
        <w:t>公司在金融行业营销服务流程管理系统领域具有明显优势</w:t>
      </w:r>
      <w:r>
        <w:rPr>
          <w:rFonts w:hint="eastAsia" w:ascii="宋体" w:hAnsi="宋体" w:eastAsia="宋体" w:cs="宋体"/>
          <w:sz w:val="10"/>
        </w:rPr>
        <w:t>，</w:t>
      </w:r>
      <w:r>
        <w:rPr>
          <w:rFonts w:hint="eastAsia" w:ascii="宋体" w:hAnsi="宋体" w:eastAsia="宋体" w:cs="宋体"/>
          <w:sz w:val="24"/>
        </w:rPr>
        <w:t>形成了以</w:t>
      </w:r>
      <w:r>
        <w:rPr>
          <w:rFonts w:hint="eastAsia" w:ascii="宋体" w:hAnsi="宋体" w:eastAsia="宋体" w:cs="宋体"/>
          <w:sz w:val="10"/>
        </w:rPr>
        <w:t>“</w:t>
      </w:r>
      <w:r>
        <w:rPr>
          <w:rFonts w:hint="eastAsia" w:ascii="宋体" w:hAnsi="宋体" w:eastAsia="宋体" w:cs="宋体"/>
          <w:sz w:val="24"/>
        </w:rPr>
        <w:t>管理咨询</w:t>
      </w:r>
      <w:r>
        <w:rPr>
          <w:rFonts w:hint="eastAsia" w:ascii="Times New Roman" w:hAnsi="Times New Roman" w:eastAsia="Times New Roman" w:cs="Times New Roman"/>
          <w:sz w:val="24"/>
        </w:rPr>
        <w:t>+IT</w:t>
      </w:r>
      <w:r>
        <w:rPr>
          <w:rFonts w:hint="eastAsia" w:ascii="宋体" w:hAnsi="宋体" w:eastAsia="宋体" w:cs="宋体"/>
          <w:sz w:val="24"/>
        </w:rPr>
        <w:t xml:space="preserve"> 服务</w:t>
      </w:r>
      <w:r>
        <w:rPr>
          <w:rFonts w:hint="eastAsia" w:ascii="宋体" w:hAnsi="宋体" w:eastAsia="宋体" w:cs="宋体"/>
          <w:sz w:val="10"/>
        </w:rPr>
        <w:t>”</w:t>
      </w:r>
      <w:r>
        <w:rPr>
          <w:rFonts w:hint="eastAsia" w:ascii="宋体" w:hAnsi="宋体" w:eastAsia="宋体" w:cs="宋体"/>
          <w:sz w:val="24"/>
        </w:rPr>
        <w:t>模式服务客户的初步基础</w:t>
      </w:r>
      <w:r>
        <w:rPr>
          <w:rFonts w:hint="eastAsia" w:ascii="宋体" w:hAnsi="宋体" w:eastAsia="宋体" w:cs="宋体"/>
          <w:sz w:val="14"/>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在报告期内</w:t>
      </w:r>
      <w:r>
        <w:rPr>
          <w:rFonts w:hint="eastAsia" w:ascii="宋体" w:hAnsi="宋体" w:eastAsia="宋体" w:cs="宋体"/>
          <w:sz w:val="10"/>
        </w:rPr>
        <w:t>，</w:t>
      </w:r>
      <w:r>
        <w:rPr>
          <w:rFonts w:hint="eastAsia" w:ascii="宋体" w:hAnsi="宋体" w:eastAsia="宋体" w:cs="宋体"/>
          <w:sz w:val="24"/>
        </w:rPr>
        <w:t>公司在非金融行业的业务也取得了较好的进展</w:t>
      </w:r>
      <w:r>
        <w:rPr>
          <w:rFonts w:hint="eastAsia" w:ascii="宋体" w:hAnsi="宋体" w:eastAsia="宋体" w:cs="宋体"/>
          <w:sz w:val="10"/>
        </w:rPr>
        <w:t>。</w:t>
      </w:r>
      <w:r>
        <w:rPr>
          <w:rFonts w:hint="eastAsia" w:ascii="宋体" w:hAnsi="宋体" w:eastAsia="宋体" w:cs="宋体"/>
          <w:sz w:val="24"/>
        </w:rPr>
        <w:t>公司主要竞争优势如下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持续创新能力和核心技术优势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公司自成立以来</w:t>
      </w:r>
      <w:r>
        <w:rPr>
          <w:rFonts w:hint="eastAsia" w:ascii="宋体" w:hAnsi="宋体" w:eastAsia="宋体" w:cs="宋体"/>
          <w:sz w:val="10"/>
        </w:rPr>
        <w:t>，</w:t>
      </w:r>
      <w:r>
        <w:rPr>
          <w:rFonts w:hint="eastAsia" w:ascii="宋体" w:hAnsi="宋体" w:eastAsia="宋体" w:cs="宋体"/>
          <w:sz w:val="24"/>
        </w:rPr>
        <w:t>就以</w:t>
      </w:r>
      <w:r>
        <w:rPr>
          <w:rFonts w:hint="eastAsia" w:ascii="宋体" w:hAnsi="宋体" w:eastAsia="宋体" w:cs="宋体"/>
          <w:sz w:val="10"/>
        </w:rPr>
        <w:t>“</w:t>
      </w:r>
      <w:r>
        <w:rPr>
          <w:rFonts w:hint="eastAsia" w:ascii="宋体" w:hAnsi="宋体" w:eastAsia="宋体" w:cs="宋体"/>
          <w:sz w:val="24"/>
        </w:rPr>
        <w:t>软件科技超越客户梦想</w:t>
      </w:r>
      <w:r>
        <w:rPr>
          <w:rFonts w:hint="eastAsia" w:ascii="宋体" w:hAnsi="宋体" w:eastAsia="宋体" w:cs="宋体"/>
          <w:sz w:val="10"/>
        </w:rPr>
        <w:t>”</w:t>
      </w:r>
      <w:r>
        <w:rPr>
          <w:rFonts w:hint="eastAsia" w:ascii="宋体" w:hAnsi="宋体" w:eastAsia="宋体" w:cs="宋体"/>
          <w:sz w:val="24"/>
        </w:rPr>
        <w:t>作为使命</w:t>
      </w:r>
      <w:r>
        <w:rPr>
          <w:rFonts w:hint="eastAsia" w:ascii="宋体" w:hAnsi="宋体" w:eastAsia="宋体" w:cs="宋体"/>
          <w:sz w:val="10"/>
        </w:rPr>
        <w:t>，</w:t>
      </w:r>
      <w:r>
        <w:rPr>
          <w:rFonts w:hint="eastAsia" w:ascii="宋体" w:hAnsi="宋体" w:eastAsia="宋体" w:cs="宋体"/>
          <w:sz w:val="24"/>
        </w:rPr>
        <w:t>培养注重创新的企业文化</w:t>
      </w:r>
      <w:r>
        <w:rPr>
          <w:rFonts w:hint="eastAsia" w:ascii="宋体" w:hAnsi="宋体" w:eastAsia="宋体" w:cs="宋体"/>
          <w:sz w:val="10"/>
        </w:rPr>
        <w:t>。</w:t>
      </w:r>
      <w:r>
        <w:rPr>
          <w:rFonts w:hint="eastAsia" w:ascii="宋体" w:hAnsi="宋体" w:eastAsia="宋体" w:cs="宋体"/>
          <w:sz w:val="24"/>
        </w:rPr>
        <w:t>公司成立之后</w:t>
      </w:r>
      <w:r>
        <w:rPr>
          <w:rFonts w:hint="eastAsia" w:ascii="宋体" w:hAnsi="宋体" w:eastAsia="宋体" w:cs="宋体"/>
          <w:sz w:val="10"/>
        </w:rPr>
        <w:t>，</w:t>
      </w:r>
      <w:r>
        <w:rPr>
          <w:rFonts w:hint="eastAsia" w:ascii="宋体" w:hAnsi="宋体" w:eastAsia="宋体" w:cs="宋体"/>
          <w:sz w:val="24"/>
        </w:rPr>
        <w:t>获得了多种创新的荣誉和奖项</w:t>
      </w:r>
      <w:r>
        <w:rPr>
          <w:rFonts w:hint="eastAsia" w:ascii="宋体" w:hAnsi="宋体" w:eastAsia="宋体" w:cs="宋体"/>
          <w:sz w:val="10"/>
        </w:rPr>
        <w:t>，</w:t>
      </w:r>
      <w:r>
        <w:rPr>
          <w:rFonts w:hint="eastAsia" w:ascii="宋体" w:hAnsi="宋体" w:eastAsia="宋体" w:cs="宋体"/>
          <w:sz w:val="24"/>
        </w:rPr>
        <w:t>早期在证券交易系统中的代表性创新有</w:t>
      </w:r>
      <w:r>
        <w:rPr>
          <w:rFonts w:hint="eastAsia" w:ascii="宋体" w:hAnsi="宋体" w:eastAsia="宋体" w:cs="宋体"/>
          <w:sz w:val="12"/>
        </w:rPr>
        <w:t>：（</w:t>
      </w:r>
      <w:r>
        <w:rPr>
          <w:rFonts w:hint="eastAsia" w:ascii="Times New Roman" w:hAnsi="Times New Roman" w:eastAsia="Times New Roman" w:cs="Times New Roman"/>
          <w:sz w:val="24"/>
        </w:rPr>
        <w:t>1</w:t>
      </w:r>
      <w:r>
        <w:rPr>
          <w:rFonts w:hint="eastAsia" w:ascii="宋体" w:hAnsi="宋体" w:eastAsia="宋体" w:cs="宋体"/>
          <w:sz w:val="24"/>
        </w:rPr>
        <w:t>）创新性地推出不同版本的证券交易系统</w:t>
      </w:r>
      <w:r>
        <w:rPr>
          <w:rFonts w:hint="eastAsia" w:ascii="宋体" w:hAnsi="宋体" w:eastAsia="宋体" w:cs="宋体"/>
          <w:sz w:val="10"/>
        </w:rPr>
        <w:t>，</w:t>
      </w:r>
      <w:r>
        <w:rPr>
          <w:rFonts w:hint="eastAsia" w:ascii="宋体" w:hAnsi="宋体" w:eastAsia="宋体" w:cs="宋体"/>
          <w:sz w:val="24"/>
        </w:rPr>
        <w:t>包括</w:t>
      </w:r>
      <w:r>
        <w:rPr>
          <w:rFonts w:hint="eastAsia" w:ascii="Times New Roman" w:hAnsi="Times New Roman" w:eastAsia="Times New Roman" w:cs="Times New Roman"/>
          <w:sz w:val="24"/>
        </w:rPr>
        <w:t xml:space="preserve"> C/S</w:t>
      </w:r>
      <w:r>
        <w:rPr>
          <w:rFonts w:hint="eastAsia" w:ascii="宋体" w:hAnsi="宋体" w:eastAsia="宋体" w:cs="宋体"/>
          <w:sz w:val="24"/>
        </w:rPr>
        <w:t>（客户机</w:t>
      </w:r>
      <w:r>
        <w:rPr>
          <w:rFonts w:hint="eastAsia" w:ascii="Times New Roman" w:hAnsi="Times New Roman" w:eastAsia="Times New Roman" w:cs="Times New Roman"/>
          <w:sz w:val="24"/>
        </w:rPr>
        <w:t>/</w:t>
      </w:r>
      <w:r>
        <w:rPr>
          <w:rFonts w:hint="eastAsia" w:ascii="宋体" w:hAnsi="宋体" w:eastAsia="宋体" w:cs="宋体"/>
          <w:sz w:val="24"/>
        </w:rPr>
        <w:t>服务器）模式的高性能证券交易系统</w:t>
      </w:r>
      <w:r>
        <w:rPr>
          <w:rFonts w:hint="eastAsia" w:ascii="宋体" w:hAnsi="宋体" w:eastAsia="宋体" w:cs="宋体"/>
          <w:sz w:val="10"/>
        </w:rPr>
        <w:t>、“</w:t>
      </w:r>
      <w:r>
        <w:rPr>
          <w:rFonts w:hint="eastAsia" w:ascii="宋体" w:hAnsi="宋体" w:eastAsia="宋体" w:cs="宋体"/>
          <w:sz w:val="24"/>
        </w:rPr>
        <w:t>银券通</w:t>
      </w:r>
      <w:r>
        <w:rPr>
          <w:rFonts w:hint="eastAsia" w:ascii="宋体" w:hAnsi="宋体" w:eastAsia="宋体" w:cs="宋体"/>
          <w:sz w:val="10"/>
        </w:rPr>
        <w:t>”</w:t>
      </w:r>
      <w:r>
        <w:rPr>
          <w:rFonts w:hint="eastAsia" w:ascii="宋体" w:hAnsi="宋体" w:eastAsia="宋体" w:cs="宋体"/>
          <w:sz w:val="24"/>
        </w:rPr>
        <w:t>版本证券交易系统（可以实现银行账户与证券账户实时转账和银行卡刷卡自助委托）以及支持远程服务部的广域网版本证券交易系统</w:t>
      </w:r>
      <w:r>
        <w:rPr>
          <w:rFonts w:hint="eastAsia" w:ascii="宋体" w:hAnsi="宋体" w:eastAsia="宋体" w:cs="宋体"/>
          <w:sz w:val="10"/>
        </w:rPr>
        <w:t>。</w:t>
      </w:r>
      <w:r>
        <w:rPr>
          <w:rFonts w:hint="eastAsia" w:ascii="宋体" w:hAnsi="宋体" w:eastAsia="宋体" w:cs="宋体"/>
          <w:sz w:val="24"/>
        </w:rPr>
        <w:t>这些创新的模式与技术</w:t>
      </w:r>
      <w:r>
        <w:rPr>
          <w:rFonts w:hint="eastAsia" w:ascii="宋体" w:hAnsi="宋体" w:eastAsia="宋体" w:cs="宋体"/>
          <w:sz w:val="10"/>
        </w:rPr>
        <w:t>，</w:t>
      </w:r>
      <w:r>
        <w:rPr>
          <w:rFonts w:hint="eastAsia" w:ascii="宋体" w:hAnsi="宋体" w:eastAsia="宋体" w:cs="宋体"/>
          <w:sz w:val="24"/>
        </w:rPr>
        <w:t>后来都成为业内标准的模式</w:t>
      </w:r>
      <w:r>
        <w:rPr>
          <w:rFonts w:hint="eastAsia" w:ascii="宋体" w:hAnsi="宋体" w:eastAsia="宋体" w:cs="宋体"/>
          <w:sz w:val="10"/>
        </w:rPr>
        <w:t>，</w:t>
      </w:r>
      <w:r>
        <w:rPr>
          <w:rFonts w:hint="eastAsia" w:ascii="宋体" w:hAnsi="宋体" w:eastAsia="宋体" w:cs="宋体"/>
          <w:sz w:val="24"/>
        </w:rPr>
        <w:t>公司也迅速成为证券行业交易系统的三家主要供应商之一；（</w:t>
      </w:r>
      <w:r>
        <w:rPr>
          <w:rFonts w:hint="eastAsia" w:ascii="Times New Roman" w:hAnsi="Times New Roman" w:eastAsia="Times New Roman" w:cs="Times New Roman"/>
          <w:sz w:val="24"/>
        </w:rPr>
        <w:t>2</w:t>
      </w:r>
      <w:r>
        <w:rPr>
          <w:rFonts w:hint="eastAsia" w:ascii="宋体" w:hAnsi="宋体" w:eastAsia="宋体" w:cs="宋体"/>
          <w:sz w:val="24"/>
        </w:rPr>
        <w:t>）公司推出的热备份与安全监控系统</w:t>
      </w:r>
      <w:r>
        <w:rPr>
          <w:rFonts w:hint="eastAsia" w:ascii="Times New Roman" w:hAnsi="Times New Roman" w:eastAsia="Times New Roman" w:cs="Times New Roman"/>
          <w:sz w:val="24"/>
        </w:rPr>
        <w:t xml:space="preserve"> NovMATE</w:t>
      </w:r>
      <w:r>
        <w:rPr>
          <w:rFonts w:hint="eastAsia" w:ascii="宋体" w:hAnsi="宋体" w:eastAsia="宋体" w:cs="宋体"/>
          <w:sz w:val="10"/>
        </w:rPr>
        <w:t>，</w:t>
      </w:r>
      <w:r>
        <w:rPr>
          <w:rFonts w:hint="eastAsia" w:ascii="宋体" w:hAnsi="宋体" w:eastAsia="宋体" w:cs="宋体"/>
          <w:sz w:val="24"/>
        </w:rPr>
        <w:t>成为国内较早大规模替代国外同类产品的产品</w:t>
      </w:r>
      <w:r>
        <w:rPr>
          <w:rFonts w:hint="eastAsia" w:ascii="宋体" w:hAnsi="宋体" w:eastAsia="宋体" w:cs="宋体"/>
          <w:sz w:val="10"/>
        </w:rPr>
        <w:t>，</w:t>
      </w:r>
      <w:r>
        <w:rPr>
          <w:rFonts w:hint="eastAsia" w:ascii="宋体" w:hAnsi="宋体" w:eastAsia="宋体" w:cs="宋体"/>
          <w:sz w:val="24"/>
        </w:rPr>
        <w:t>该系统后来成为证券行业文件服务器备份与安全监控的标准配置</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14"/>
        </w:rPr>
        <w:t>（</w:t>
      </w:r>
      <w:r>
        <w:rPr>
          <w:rFonts w:hint="eastAsia" w:ascii="Times New Roman" w:hAnsi="Times New Roman" w:eastAsia="Times New Roman" w:cs="Times New Roman"/>
          <w:sz w:val="24"/>
        </w:rPr>
        <w:t>3</w:t>
      </w:r>
      <w:r>
        <w:rPr>
          <w:rFonts w:hint="eastAsia" w:ascii="宋体" w:hAnsi="宋体" w:eastAsia="宋体" w:cs="宋体"/>
          <w:sz w:val="24"/>
        </w:rPr>
        <w:t>）公司研发了业务操作服务架构平台</w:t>
      </w:r>
      <w:r>
        <w:rPr>
          <w:rFonts w:hint="eastAsia" w:ascii="Times New Roman" w:hAnsi="Times New Roman" w:eastAsia="Times New Roman" w:cs="Times New Roman"/>
          <w:sz w:val="24"/>
        </w:rPr>
        <w:t xml:space="preserve"> Losap</w:t>
      </w:r>
      <w:r>
        <w:rPr>
          <w:rFonts w:hint="eastAsia" w:ascii="宋体" w:hAnsi="宋体" w:eastAsia="宋体" w:cs="宋体"/>
          <w:sz w:val="10"/>
        </w:rPr>
        <w:t>，</w:t>
      </w:r>
      <w:r>
        <w:rPr>
          <w:rFonts w:hint="eastAsia" w:ascii="宋体" w:hAnsi="宋体" w:eastAsia="宋体" w:cs="宋体"/>
          <w:sz w:val="24"/>
        </w:rPr>
        <w:t>在大规模交易系统中</w:t>
      </w:r>
      <w:r>
        <w:rPr>
          <w:rFonts w:hint="eastAsia" w:ascii="宋体" w:hAnsi="宋体" w:eastAsia="宋体" w:cs="宋体"/>
          <w:sz w:val="10"/>
        </w:rPr>
        <w:t>，</w:t>
      </w:r>
      <w:r>
        <w:rPr>
          <w:rFonts w:hint="eastAsia" w:ascii="宋体" w:hAnsi="宋体" w:eastAsia="宋体" w:cs="宋体"/>
          <w:sz w:val="24"/>
        </w:rPr>
        <w:t>实现了</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按业务切分数据库的松耦合模式</w:t>
      </w:r>
      <w:r>
        <w:rPr>
          <w:rFonts w:hint="eastAsia" w:ascii="宋体" w:hAnsi="宋体" w:eastAsia="宋体" w:cs="宋体"/>
          <w:sz w:val="10"/>
        </w:rPr>
        <w:t>，</w:t>
      </w:r>
      <w:r>
        <w:rPr>
          <w:rFonts w:hint="eastAsia" w:ascii="宋体" w:hAnsi="宋体" w:eastAsia="宋体" w:cs="宋体"/>
          <w:sz w:val="24"/>
        </w:rPr>
        <w:t>大大提升了系统的应用的灵活性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2004</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公司开始研究基于对象化业务直接建模软件</w:t>
      </w:r>
      <w:r>
        <w:rPr>
          <w:rFonts w:hint="eastAsia" w:ascii="宋体" w:hAnsi="宋体" w:eastAsia="宋体" w:cs="宋体"/>
          <w:sz w:val="10"/>
        </w:rPr>
        <w:t>，</w:t>
      </w:r>
      <w:r>
        <w:rPr>
          <w:rFonts w:hint="eastAsia" w:ascii="Times New Roman" w:hAnsi="Times New Roman" w:eastAsia="Times New Roman" w:cs="Times New Roman"/>
          <w:sz w:val="24"/>
        </w:rPr>
        <w:t>2006</w:t>
      </w:r>
      <w:r>
        <w:rPr>
          <w:rFonts w:hint="eastAsia" w:ascii="宋体" w:hAnsi="宋体" w:eastAsia="宋体" w:cs="宋体"/>
          <w:sz w:val="24"/>
        </w:rPr>
        <w:t xml:space="preserve"> 年正式推出灵动业务架构平台（</w:t>
      </w:r>
      <w:r>
        <w:rPr>
          <w:rFonts w:hint="eastAsia" w:ascii="Times New Roman" w:hAnsi="Times New Roman" w:eastAsia="Times New Roman" w:cs="Times New Roman"/>
          <w:sz w:val="24"/>
        </w:rPr>
        <w:t>LiveBOS</w:t>
      </w:r>
      <w:r>
        <w:rPr>
          <w:rFonts w:hint="eastAsia" w:ascii="宋体" w:hAnsi="宋体" w:eastAsia="宋体" w:cs="宋体"/>
          <w:sz w:val="24"/>
        </w:rPr>
        <w:t>）。</w:t>
      </w:r>
      <w:r>
        <w:rPr>
          <w:rFonts w:hint="eastAsia" w:ascii="Times New Roman" w:hAnsi="Times New Roman" w:eastAsia="Times New Roman" w:cs="Times New Roman"/>
          <w:sz w:val="24"/>
        </w:rPr>
        <w:t>2008</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在福建省经贸委组织的科技成果鉴定会中</w:t>
      </w:r>
      <w:r>
        <w:rPr>
          <w:rFonts w:hint="eastAsia" w:ascii="宋体" w:hAnsi="宋体" w:eastAsia="宋体" w:cs="宋体"/>
          <w:sz w:val="10"/>
        </w:rPr>
        <w:t>，</w:t>
      </w:r>
      <w:r>
        <w:rPr>
          <w:rFonts w:hint="eastAsia" w:ascii="Times New Roman" w:hAnsi="Times New Roman" w:eastAsia="Times New Roman" w:cs="Times New Roman"/>
          <w:sz w:val="24"/>
        </w:rPr>
        <w:t>LiveBOS</w:t>
      </w:r>
      <w:r>
        <w:rPr>
          <w:rFonts w:hint="eastAsia" w:ascii="宋体" w:hAnsi="宋体" w:eastAsia="宋体" w:cs="宋体"/>
          <w:sz w:val="24"/>
        </w:rPr>
        <w:t xml:space="preserve"> 平台被鉴定为</w:t>
      </w:r>
      <w:r>
        <w:rPr>
          <w:rFonts w:hint="eastAsia" w:ascii="宋体" w:hAnsi="宋体" w:eastAsia="宋体" w:cs="宋体"/>
          <w:sz w:val="10"/>
        </w:rPr>
        <w:t>“</w:t>
      </w:r>
      <w:r>
        <w:rPr>
          <w:rFonts w:hint="eastAsia" w:ascii="宋体" w:hAnsi="宋体" w:eastAsia="宋体" w:cs="宋体"/>
          <w:sz w:val="24"/>
        </w:rPr>
        <w:t>产品整体技术达到国内先进水平</w:t>
      </w:r>
      <w:r>
        <w:rPr>
          <w:rFonts w:hint="eastAsia" w:ascii="宋体" w:hAnsi="宋体" w:eastAsia="宋体" w:cs="宋体"/>
          <w:sz w:val="10"/>
        </w:rPr>
        <w:t>，</w:t>
      </w:r>
      <w:r>
        <w:rPr>
          <w:rFonts w:hint="eastAsia" w:ascii="宋体" w:hAnsi="宋体" w:eastAsia="宋体" w:cs="宋体"/>
          <w:sz w:val="24"/>
        </w:rPr>
        <w:t>其建模方法处于国内同类产品的领先水平</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1-1-133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公司的持续创新和研发形成了诸多领域的核心技术</w:t>
      </w:r>
      <w:r>
        <w:rPr>
          <w:rFonts w:hint="eastAsia" w:ascii="宋体" w:hAnsi="宋体" w:eastAsia="宋体" w:cs="宋体"/>
          <w:sz w:val="10"/>
        </w:rPr>
        <w:t>，</w:t>
      </w:r>
      <w:r>
        <w:rPr>
          <w:rFonts w:hint="eastAsia" w:ascii="宋体" w:hAnsi="宋体" w:eastAsia="宋体" w:cs="宋体"/>
          <w:sz w:val="24"/>
        </w:rPr>
        <w:t>包括分布式交易中间件</w:t>
      </w:r>
      <w:r>
        <w:rPr>
          <w:rFonts w:hint="eastAsia" w:ascii="宋体" w:hAnsi="宋体" w:eastAsia="宋体" w:cs="宋体"/>
          <w:sz w:val="10"/>
        </w:rPr>
        <w:t>、</w:t>
      </w:r>
      <w:r>
        <w:rPr>
          <w:rFonts w:hint="eastAsia" w:ascii="宋体" w:hAnsi="宋体" w:eastAsia="宋体" w:cs="宋体"/>
          <w:sz w:val="24"/>
        </w:rPr>
        <w:t>业务架构中间件及其开发工具</w:t>
      </w:r>
      <w:r>
        <w:rPr>
          <w:rFonts w:hint="eastAsia" w:ascii="宋体" w:hAnsi="宋体" w:eastAsia="宋体" w:cs="宋体"/>
          <w:sz w:val="10"/>
        </w:rPr>
        <w:t>、</w:t>
      </w:r>
      <w:r>
        <w:rPr>
          <w:rFonts w:hint="eastAsia" w:ascii="宋体" w:hAnsi="宋体" w:eastAsia="宋体" w:cs="宋体"/>
          <w:sz w:val="24"/>
        </w:rPr>
        <w:t>内存数据库</w:t>
      </w:r>
      <w:r>
        <w:rPr>
          <w:rFonts w:hint="eastAsia" w:ascii="宋体" w:hAnsi="宋体" w:eastAsia="宋体" w:cs="宋体"/>
          <w:sz w:val="10"/>
        </w:rPr>
        <w:t>、</w:t>
      </w:r>
      <w:r>
        <w:rPr>
          <w:rFonts w:hint="eastAsia" w:ascii="宋体" w:hAnsi="宋体" w:eastAsia="宋体" w:cs="宋体"/>
          <w:sz w:val="24"/>
        </w:rPr>
        <w:t>身份认证与安全管理工具</w:t>
      </w:r>
      <w:r>
        <w:rPr>
          <w:rFonts w:hint="eastAsia" w:ascii="宋体" w:hAnsi="宋体" w:eastAsia="宋体" w:cs="宋体"/>
          <w:sz w:val="10"/>
        </w:rPr>
        <w:t>、</w:t>
      </w:r>
      <w:r>
        <w:rPr>
          <w:rFonts w:hint="eastAsia" w:ascii="宋体" w:hAnsi="宋体" w:eastAsia="宋体" w:cs="宋体"/>
          <w:sz w:val="24"/>
        </w:rPr>
        <w:t>数据整合工具</w:t>
      </w:r>
      <w:r>
        <w:rPr>
          <w:rFonts w:hint="eastAsia" w:ascii="宋体" w:hAnsi="宋体" w:eastAsia="宋体" w:cs="宋体"/>
          <w:sz w:val="10"/>
        </w:rPr>
        <w:t>、</w:t>
      </w:r>
      <w:r>
        <w:rPr>
          <w:rFonts w:hint="eastAsia" w:ascii="宋体" w:hAnsi="宋体" w:eastAsia="宋体" w:cs="宋体"/>
          <w:sz w:val="24"/>
        </w:rPr>
        <w:t>高速数据传输与实时备份技术等方面</w:t>
      </w:r>
      <w:r>
        <w:rPr>
          <w:rFonts w:hint="eastAsia" w:ascii="宋体" w:hAnsi="宋体" w:eastAsia="宋体" w:cs="宋体"/>
          <w:sz w:val="10"/>
        </w:rPr>
        <w:t>。</w:t>
      </w:r>
      <w:r>
        <w:rPr>
          <w:rFonts w:hint="eastAsia" w:ascii="宋体" w:hAnsi="宋体" w:eastAsia="宋体" w:cs="宋体"/>
          <w:sz w:val="24"/>
        </w:rPr>
        <w:t>上述创新及相关技术也为公司赢得了诸多的荣誉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公司的核心技术优势是支撑公司在产品</w:t>
      </w:r>
      <w:r>
        <w:rPr>
          <w:rFonts w:hint="eastAsia" w:ascii="宋体" w:hAnsi="宋体" w:eastAsia="宋体" w:cs="宋体"/>
          <w:sz w:val="10"/>
        </w:rPr>
        <w:t>、</w:t>
      </w:r>
      <w:r>
        <w:rPr>
          <w:rFonts w:hint="eastAsia" w:ascii="宋体" w:hAnsi="宋体" w:eastAsia="宋体" w:cs="宋体"/>
          <w:sz w:val="24"/>
        </w:rPr>
        <w:t>服务与市场方面长期持续的竞争力的关键因素</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基础平台＋应用方案</w:t>
      </w:r>
      <w:r>
        <w:rPr>
          <w:rFonts w:hint="eastAsia" w:ascii="宋体" w:hAnsi="宋体" w:eastAsia="宋体" w:cs="宋体"/>
          <w:b/>
          <w:sz w:val="10"/>
        </w:rPr>
        <w:t>”</w:t>
      </w:r>
      <w:r>
        <w:rPr>
          <w:rFonts w:hint="eastAsia" w:ascii="宋体" w:hAnsi="宋体" w:eastAsia="宋体" w:cs="宋体"/>
          <w:b/>
          <w:sz w:val="24"/>
        </w:rPr>
        <w:t>模式的优势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除交易软件之外</w:t>
      </w:r>
      <w:r>
        <w:rPr>
          <w:rFonts w:hint="eastAsia" w:ascii="宋体" w:hAnsi="宋体" w:eastAsia="宋体" w:cs="宋体"/>
          <w:sz w:val="10"/>
        </w:rPr>
        <w:t>，</w:t>
      </w:r>
      <w:r>
        <w:rPr>
          <w:rFonts w:hint="eastAsia" w:ascii="宋体" w:hAnsi="宋体" w:eastAsia="宋体" w:cs="宋体"/>
          <w:sz w:val="24"/>
        </w:rPr>
        <w:t>本公司所有应用软件均基于</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平台开发</w:t>
      </w:r>
      <w:r>
        <w:rPr>
          <w:rFonts w:hint="eastAsia" w:ascii="宋体" w:hAnsi="宋体" w:eastAsia="宋体" w:cs="宋体"/>
          <w:sz w:val="10"/>
        </w:rPr>
        <w:t>，</w:t>
      </w:r>
      <w:r>
        <w:rPr>
          <w:rFonts w:hint="eastAsia" w:ascii="宋体" w:hAnsi="宋体" w:eastAsia="宋体" w:cs="宋体"/>
          <w:sz w:val="24"/>
        </w:rPr>
        <w:t>这种模式的好处是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）公司所有软件符合</w:t>
      </w:r>
      <w:r>
        <w:rPr>
          <w:rFonts w:hint="eastAsia" w:ascii="宋体" w:hAnsi="宋体" w:eastAsia="宋体" w:cs="宋体"/>
          <w:sz w:val="10"/>
        </w:rPr>
        <w:t>“</w:t>
      </w:r>
      <w:r>
        <w:rPr>
          <w:rFonts w:hint="eastAsia" w:ascii="宋体" w:hAnsi="宋体" w:eastAsia="宋体" w:cs="宋体"/>
          <w:sz w:val="24"/>
        </w:rPr>
        <w:t>统一用户</w:t>
      </w:r>
      <w:r>
        <w:rPr>
          <w:rFonts w:hint="eastAsia" w:ascii="宋体" w:hAnsi="宋体" w:eastAsia="宋体" w:cs="宋体"/>
          <w:sz w:val="10"/>
        </w:rPr>
        <w:t>、</w:t>
      </w:r>
      <w:r>
        <w:rPr>
          <w:rFonts w:hint="eastAsia" w:ascii="宋体" w:hAnsi="宋体" w:eastAsia="宋体" w:cs="宋体"/>
          <w:sz w:val="24"/>
        </w:rPr>
        <w:t>统一流程</w:t>
      </w:r>
      <w:r>
        <w:rPr>
          <w:rFonts w:hint="eastAsia" w:ascii="宋体" w:hAnsi="宋体" w:eastAsia="宋体" w:cs="宋体"/>
          <w:sz w:val="10"/>
        </w:rPr>
        <w:t>、</w:t>
      </w:r>
      <w:r>
        <w:rPr>
          <w:rFonts w:hint="eastAsia" w:ascii="宋体" w:hAnsi="宋体" w:eastAsia="宋体" w:cs="宋体"/>
          <w:sz w:val="24"/>
        </w:rPr>
        <w:t>统一接口</w:t>
      </w:r>
      <w:r>
        <w:rPr>
          <w:rFonts w:hint="eastAsia" w:ascii="宋体" w:hAnsi="宋体" w:eastAsia="宋体" w:cs="宋体"/>
          <w:sz w:val="10"/>
        </w:rPr>
        <w:t>、</w:t>
      </w:r>
      <w:r>
        <w:rPr>
          <w:rFonts w:hint="eastAsia" w:ascii="宋体" w:hAnsi="宋体" w:eastAsia="宋体" w:cs="宋体"/>
          <w:sz w:val="24"/>
        </w:rPr>
        <w:t>统一认证</w:t>
      </w:r>
      <w:r>
        <w:rPr>
          <w:rFonts w:hint="eastAsia" w:ascii="宋体" w:hAnsi="宋体" w:eastAsia="宋体" w:cs="宋体"/>
          <w:sz w:val="10"/>
        </w:rPr>
        <w:t>、</w:t>
      </w:r>
      <w:r>
        <w:rPr>
          <w:rFonts w:hint="eastAsia" w:ascii="宋体" w:hAnsi="宋体" w:eastAsia="宋体" w:cs="宋体"/>
          <w:sz w:val="24"/>
        </w:rPr>
        <w:t>统一日志</w:t>
      </w:r>
      <w:r>
        <w:rPr>
          <w:rFonts w:hint="eastAsia" w:ascii="宋体" w:hAnsi="宋体" w:eastAsia="宋体" w:cs="宋体"/>
          <w:sz w:val="10"/>
        </w:rPr>
        <w:t>”</w:t>
      </w:r>
      <w:r>
        <w:rPr>
          <w:rFonts w:hint="eastAsia" w:ascii="宋体" w:hAnsi="宋体" w:eastAsia="宋体" w:cs="宋体"/>
          <w:sz w:val="24"/>
        </w:rPr>
        <w:t>的高度协同要求</w:t>
      </w:r>
      <w:r>
        <w:rPr>
          <w:rFonts w:hint="eastAsia" w:ascii="宋体" w:hAnsi="宋体" w:eastAsia="宋体" w:cs="宋体"/>
          <w:sz w:val="10"/>
        </w:rPr>
        <w:t>，</w:t>
      </w:r>
      <w:r>
        <w:rPr>
          <w:rFonts w:hint="eastAsia" w:ascii="宋体" w:hAnsi="宋体" w:eastAsia="宋体" w:cs="宋体"/>
          <w:sz w:val="24"/>
        </w:rPr>
        <w:t>特别适合企业分阶段信息化实施到一定程度后的跨部门流程的协同整合</w:t>
      </w:r>
      <w:r>
        <w:rPr>
          <w:rFonts w:hint="eastAsia" w:ascii="宋体" w:hAnsi="宋体" w:eastAsia="宋体" w:cs="宋体"/>
          <w:sz w:val="10"/>
        </w:rPr>
        <w:t>，</w:t>
      </w:r>
      <w:r>
        <w:rPr>
          <w:rFonts w:hint="eastAsia" w:ascii="宋体" w:hAnsi="宋体" w:eastAsia="宋体" w:cs="宋体"/>
          <w:sz w:val="24"/>
        </w:rPr>
        <w:t>各个部门系统之间的信息快速实现无缝交换</w:t>
      </w:r>
      <w:r>
        <w:rPr>
          <w:rFonts w:hint="eastAsia" w:ascii="宋体" w:hAnsi="宋体" w:eastAsia="宋体" w:cs="宋体"/>
          <w:sz w:val="10"/>
        </w:rPr>
        <w:t>，</w:t>
      </w:r>
      <w:r>
        <w:rPr>
          <w:rFonts w:hint="eastAsia" w:ascii="宋体" w:hAnsi="宋体" w:eastAsia="宋体" w:cs="宋体"/>
          <w:sz w:val="24"/>
        </w:rPr>
        <w:t>是分阶段实施流程管理信息化的较为理想的选择</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w:t>
      </w:r>
      <w:r>
        <w:rPr>
          <w:rFonts w:hint="eastAsia" w:ascii="宋体" w:hAnsi="宋体" w:eastAsia="宋体" w:cs="宋体"/>
          <w:sz w:val="24"/>
        </w:rPr>
        <w:t>基础平台</w:t>
      </w:r>
      <w:r>
        <w:rPr>
          <w:rFonts w:hint="eastAsia" w:ascii="Times New Roman" w:hAnsi="Times New Roman" w:eastAsia="Times New Roman" w:cs="Times New Roman"/>
          <w:sz w:val="24"/>
        </w:rPr>
        <w:t>+</w:t>
      </w:r>
      <w:r>
        <w:rPr>
          <w:rFonts w:hint="eastAsia" w:ascii="宋体" w:hAnsi="宋体" w:eastAsia="宋体" w:cs="宋体"/>
          <w:sz w:val="24"/>
        </w:rPr>
        <w:t>应用方案</w:t>
      </w:r>
      <w:r>
        <w:rPr>
          <w:rFonts w:hint="eastAsia" w:ascii="宋体" w:hAnsi="宋体" w:eastAsia="宋体" w:cs="宋体"/>
          <w:sz w:val="10"/>
        </w:rPr>
        <w:t>”</w:t>
      </w:r>
      <w:r>
        <w:rPr>
          <w:rFonts w:hint="eastAsia" w:ascii="宋体" w:hAnsi="宋体" w:eastAsia="宋体" w:cs="宋体"/>
          <w:sz w:val="24"/>
        </w:rPr>
        <w:t>模式中</w:t>
      </w:r>
      <w:r>
        <w:rPr>
          <w:rFonts w:hint="eastAsia" w:ascii="宋体" w:hAnsi="宋体" w:eastAsia="宋体" w:cs="宋体"/>
          <w:sz w:val="10"/>
        </w:rPr>
        <w:t>，</w:t>
      </w:r>
      <w:r>
        <w:rPr>
          <w:rFonts w:hint="eastAsia" w:ascii="Times New Roman" w:hAnsi="Times New Roman" w:eastAsia="Times New Roman" w:cs="Times New Roman"/>
          <w:sz w:val="24"/>
        </w:rPr>
        <w:t>LiveBOS</w:t>
      </w:r>
      <w:r>
        <w:rPr>
          <w:rFonts w:hint="eastAsia" w:ascii="宋体" w:hAnsi="宋体" w:eastAsia="宋体" w:cs="宋体"/>
          <w:sz w:val="24"/>
        </w:rPr>
        <w:t xml:space="preserve"> 平台借助应用方案的市场优势</w:t>
      </w:r>
      <w:r>
        <w:rPr>
          <w:rFonts w:hint="eastAsia" w:ascii="宋体" w:hAnsi="宋体" w:eastAsia="宋体" w:cs="宋体"/>
          <w:sz w:val="10"/>
        </w:rPr>
        <w:t>，</w:t>
      </w:r>
      <w:r>
        <w:rPr>
          <w:rFonts w:hint="eastAsia" w:ascii="宋体" w:hAnsi="宋体" w:eastAsia="宋体" w:cs="宋体"/>
          <w:sz w:val="24"/>
        </w:rPr>
        <w:t>扩大了平台的专业影响力和在业界的认知度</w:t>
      </w:r>
      <w:r>
        <w:rPr>
          <w:rFonts w:hint="eastAsia" w:ascii="宋体" w:hAnsi="宋体" w:eastAsia="宋体" w:cs="宋体"/>
          <w:sz w:val="10"/>
        </w:rPr>
        <w:t>，</w:t>
      </w:r>
      <w:r>
        <w:rPr>
          <w:rFonts w:hint="eastAsia" w:ascii="宋体" w:hAnsi="宋体" w:eastAsia="宋体" w:cs="宋体"/>
          <w:sz w:val="24"/>
        </w:rPr>
        <w:t>提升了公司品牌</w:t>
      </w:r>
      <w:r>
        <w:rPr>
          <w:rFonts w:hint="eastAsia" w:ascii="宋体" w:hAnsi="宋体" w:eastAsia="宋体" w:cs="宋体"/>
          <w:sz w:val="10"/>
        </w:rPr>
        <w:t>，</w:t>
      </w:r>
      <w:r>
        <w:rPr>
          <w:rFonts w:hint="eastAsia" w:ascii="宋体" w:hAnsi="宋体" w:eastAsia="宋体" w:cs="宋体"/>
          <w:sz w:val="24"/>
        </w:rPr>
        <w:t>对公司扩大市场份额</w:t>
      </w:r>
      <w:r>
        <w:rPr>
          <w:rFonts w:hint="eastAsia" w:ascii="宋体" w:hAnsi="宋体" w:eastAsia="宋体" w:cs="宋体"/>
          <w:sz w:val="10"/>
        </w:rPr>
        <w:t>、</w:t>
      </w:r>
      <w:r>
        <w:rPr>
          <w:rFonts w:hint="eastAsia" w:ascii="宋体" w:hAnsi="宋体" w:eastAsia="宋体" w:cs="宋体"/>
          <w:sz w:val="24"/>
        </w:rPr>
        <w:t>持续增长形成良性循环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创新的产品开发模式优势</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基于</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平台的应用软件开发过程就是业务建模的过程</w:t>
      </w:r>
      <w:r>
        <w:rPr>
          <w:rFonts w:hint="eastAsia" w:ascii="宋体" w:hAnsi="宋体" w:eastAsia="宋体" w:cs="宋体"/>
          <w:sz w:val="10"/>
        </w:rPr>
        <w:t>，</w:t>
      </w:r>
      <w:r>
        <w:rPr>
          <w:rFonts w:hint="eastAsia" w:ascii="宋体" w:hAnsi="宋体" w:eastAsia="宋体" w:cs="宋体"/>
          <w:sz w:val="24"/>
        </w:rPr>
        <w:t>将一般开发模式中的数据物理建模</w:t>
      </w:r>
      <w:r>
        <w:rPr>
          <w:rFonts w:hint="eastAsia" w:ascii="宋体" w:hAnsi="宋体" w:eastAsia="宋体" w:cs="宋体"/>
          <w:sz w:val="10"/>
        </w:rPr>
        <w:t>、</w:t>
      </w:r>
      <w:r>
        <w:rPr>
          <w:rFonts w:hint="eastAsia" w:ascii="宋体" w:hAnsi="宋体" w:eastAsia="宋体" w:cs="宋体"/>
          <w:sz w:val="24"/>
        </w:rPr>
        <w:t>应用代码编程及代码测试</w:t>
      </w:r>
      <w:r>
        <w:rPr>
          <w:rFonts w:hint="eastAsia" w:ascii="宋体" w:hAnsi="宋体" w:eastAsia="宋体" w:cs="宋体"/>
          <w:sz w:val="10"/>
        </w:rPr>
        <w:t>、</w:t>
      </w:r>
      <w:r>
        <w:rPr>
          <w:rFonts w:hint="eastAsia" w:ascii="宋体" w:hAnsi="宋体" w:eastAsia="宋体" w:cs="宋体"/>
          <w:sz w:val="24"/>
        </w:rPr>
        <w:t>页面代码编程及代码测试等大量繁琐</w:t>
      </w:r>
      <w:r>
        <w:rPr>
          <w:rFonts w:hint="eastAsia" w:ascii="宋体" w:hAnsi="宋体" w:eastAsia="宋体" w:cs="宋体"/>
          <w:sz w:val="10"/>
        </w:rPr>
        <w:t>、</w:t>
      </w:r>
      <w:r>
        <w:rPr>
          <w:rFonts w:hint="eastAsia" w:ascii="宋体" w:hAnsi="宋体" w:eastAsia="宋体" w:cs="宋体"/>
          <w:sz w:val="24"/>
        </w:rPr>
        <w:t>重复的工作交由平台完成</w:t>
      </w:r>
      <w:r>
        <w:rPr>
          <w:rFonts w:hint="eastAsia" w:ascii="宋体" w:hAnsi="宋体" w:eastAsia="宋体" w:cs="宋体"/>
          <w:sz w:val="10"/>
        </w:rPr>
        <w:t>，</w:t>
      </w:r>
      <w:r>
        <w:rPr>
          <w:rFonts w:hint="eastAsia" w:ascii="宋体" w:hAnsi="宋体" w:eastAsia="宋体" w:cs="宋体"/>
          <w:sz w:val="24"/>
        </w:rPr>
        <w:t>大大节省了软件开发环节的人工投入</w:t>
      </w:r>
      <w:r>
        <w:rPr>
          <w:rFonts w:hint="eastAsia" w:ascii="宋体" w:hAnsi="宋体" w:eastAsia="宋体" w:cs="宋体"/>
          <w:sz w:val="10"/>
        </w:rPr>
        <w:t>，</w:t>
      </w:r>
      <w:r>
        <w:rPr>
          <w:rFonts w:hint="eastAsia" w:ascii="宋体" w:hAnsi="宋体" w:eastAsia="宋体" w:cs="宋体"/>
          <w:sz w:val="24"/>
        </w:rPr>
        <w:t>使软件开发过程中的关注点从软件的架构及编程技术转向如何更准确理解</w:t>
      </w:r>
      <w:r>
        <w:rPr>
          <w:rFonts w:hint="eastAsia" w:ascii="宋体" w:hAnsi="宋体" w:eastAsia="宋体" w:cs="宋体"/>
          <w:sz w:val="10"/>
        </w:rPr>
        <w:t>、</w:t>
      </w:r>
      <w:r>
        <w:rPr>
          <w:rFonts w:hint="eastAsia" w:ascii="宋体" w:hAnsi="宋体" w:eastAsia="宋体" w:cs="宋体"/>
          <w:sz w:val="24"/>
        </w:rPr>
        <w:t>把握客户的需求</w:t>
      </w:r>
      <w:r>
        <w:rPr>
          <w:rFonts w:hint="eastAsia" w:ascii="宋体" w:hAnsi="宋体" w:eastAsia="宋体" w:cs="宋体"/>
          <w:sz w:val="10"/>
        </w:rPr>
        <w:t>，</w:t>
      </w:r>
      <w:r>
        <w:rPr>
          <w:rFonts w:hint="eastAsia" w:ascii="宋体" w:hAnsi="宋体" w:eastAsia="宋体" w:cs="宋体"/>
          <w:sz w:val="24"/>
        </w:rPr>
        <w:t>即解决</w:t>
      </w:r>
      <w:r>
        <w:rPr>
          <w:rFonts w:hint="eastAsia" w:ascii="宋体" w:hAnsi="宋体" w:eastAsia="宋体" w:cs="宋体"/>
          <w:sz w:val="10"/>
        </w:rPr>
        <w:t>“</w:t>
      </w:r>
      <w:r>
        <w:rPr>
          <w:rFonts w:hint="eastAsia" w:ascii="宋体" w:hAnsi="宋体" w:eastAsia="宋体" w:cs="宋体"/>
          <w:sz w:val="24"/>
        </w:rPr>
        <w:t>需求困境</w:t>
      </w:r>
      <w:r>
        <w:rPr>
          <w:rFonts w:hint="eastAsia" w:ascii="宋体" w:hAnsi="宋体" w:eastAsia="宋体" w:cs="宋体"/>
          <w:sz w:val="10"/>
        </w:rPr>
        <w:t>”，</w:t>
      </w:r>
      <w:r>
        <w:rPr>
          <w:rFonts w:hint="eastAsia" w:ascii="宋体" w:hAnsi="宋体" w:eastAsia="宋体" w:cs="宋体"/>
          <w:sz w:val="24"/>
        </w:rPr>
        <w:t>从而能够更好地实现客户的需求</w:t>
      </w:r>
      <w:r>
        <w:rPr>
          <w:rFonts w:hint="eastAsia" w:ascii="宋体" w:hAnsi="宋体" w:eastAsia="宋体" w:cs="宋体"/>
          <w:sz w:val="10"/>
        </w:rPr>
        <w:t>。</w:t>
      </w:r>
      <w:r>
        <w:rPr>
          <w:rFonts w:hint="eastAsia" w:ascii="宋体" w:hAnsi="宋体" w:eastAsia="宋体" w:cs="宋体"/>
          <w:sz w:val="24"/>
        </w:rPr>
        <w:t>特别是在客户需求发生变化时</w:t>
      </w:r>
      <w:r>
        <w:rPr>
          <w:rFonts w:hint="eastAsia" w:ascii="宋体" w:hAnsi="宋体" w:eastAsia="宋体" w:cs="宋体"/>
          <w:sz w:val="10"/>
        </w:rPr>
        <w:t>，</w:t>
      </w:r>
      <w:r>
        <w:rPr>
          <w:rFonts w:hint="eastAsia" w:ascii="宋体" w:hAnsi="宋体" w:eastAsia="宋体" w:cs="宋体"/>
          <w:sz w:val="24"/>
        </w:rPr>
        <w:t>只需要对业务模型进行修改</w:t>
      </w:r>
      <w:r>
        <w:rPr>
          <w:rFonts w:hint="eastAsia" w:ascii="宋体" w:hAnsi="宋体" w:eastAsia="宋体" w:cs="宋体"/>
          <w:sz w:val="10"/>
        </w:rPr>
        <w:t>，</w:t>
      </w:r>
      <w:r>
        <w:rPr>
          <w:rFonts w:hint="eastAsia" w:ascii="宋体" w:hAnsi="宋体" w:eastAsia="宋体" w:cs="宋体"/>
          <w:sz w:val="24"/>
        </w:rPr>
        <w:t>便可直接获得应用软件的修改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对于</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平台无法自动识别的特殊业务流程</w:t>
      </w:r>
      <w:r>
        <w:rPr>
          <w:rFonts w:hint="eastAsia" w:ascii="宋体" w:hAnsi="宋体" w:eastAsia="宋体" w:cs="宋体"/>
          <w:sz w:val="10"/>
        </w:rPr>
        <w:t>，</w:t>
      </w:r>
      <w:r>
        <w:rPr>
          <w:rFonts w:hint="eastAsia" w:ascii="宋体" w:hAnsi="宋体" w:eastAsia="宋体" w:cs="宋体"/>
          <w:sz w:val="24"/>
        </w:rPr>
        <w:t>开发人员仍然可以在此平台上通过数据库建模</w:t>
      </w:r>
      <w:r>
        <w:rPr>
          <w:rFonts w:hint="eastAsia" w:ascii="宋体" w:hAnsi="宋体" w:eastAsia="宋体" w:cs="宋体"/>
          <w:sz w:val="10"/>
        </w:rPr>
        <w:t>、</w:t>
      </w:r>
      <w:r>
        <w:rPr>
          <w:rFonts w:hint="eastAsia" w:ascii="宋体" w:hAnsi="宋体" w:eastAsia="宋体" w:cs="宋体"/>
          <w:sz w:val="24"/>
        </w:rPr>
        <w:t>代码编写的方式添加具体的应用功能</w:t>
      </w:r>
      <w:r>
        <w:rPr>
          <w:rFonts w:hint="eastAsia" w:ascii="宋体" w:hAnsi="宋体" w:eastAsia="宋体" w:cs="宋体"/>
          <w:sz w:val="10"/>
        </w:rPr>
        <w:t>，</w:t>
      </w:r>
      <w:r>
        <w:rPr>
          <w:rFonts w:hint="eastAsia" w:ascii="宋体" w:hAnsi="宋体" w:eastAsia="宋体" w:cs="宋体"/>
          <w:sz w:val="24"/>
        </w:rPr>
        <w:t>具有灵活性的优势</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1-1-134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这种创新的产品开发模式</w:t>
      </w:r>
      <w:r>
        <w:rPr>
          <w:rFonts w:hint="eastAsia" w:ascii="宋体" w:hAnsi="宋体" w:eastAsia="宋体" w:cs="宋体"/>
          <w:sz w:val="10"/>
        </w:rPr>
        <w:t>，</w:t>
      </w:r>
      <w:r>
        <w:rPr>
          <w:rFonts w:hint="eastAsia" w:ascii="宋体" w:hAnsi="宋体" w:eastAsia="宋体" w:cs="宋体"/>
          <w:sz w:val="24"/>
        </w:rPr>
        <w:t>降低了项目实施成本</w:t>
      </w:r>
      <w:r>
        <w:rPr>
          <w:rFonts w:hint="eastAsia" w:ascii="宋体" w:hAnsi="宋体" w:eastAsia="宋体" w:cs="宋体"/>
          <w:sz w:val="10"/>
        </w:rPr>
        <w:t>，</w:t>
      </w:r>
      <w:r>
        <w:rPr>
          <w:rFonts w:hint="eastAsia" w:ascii="宋体" w:hAnsi="宋体" w:eastAsia="宋体" w:cs="宋体"/>
          <w:sz w:val="24"/>
        </w:rPr>
        <w:t>缩短了客户的信息化实施时间</w:t>
      </w:r>
      <w:r>
        <w:rPr>
          <w:rFonts w:hint="eastAsia" w:ascii="宋体" w:hAnsi="宋体" w:eastAsia="宋体" w:cs="宋体"/>
          <w:sz w:val="10"/>
        </w:rPr>
        <w:t>，</w:t>
      </w:r>
      <w:r>
        <w:rPr>
          <w:rFonts w:hint="eastAsia" w:ascii="宋体" w:hAnsi="宋体" w:eastAsia="宋体" w:cs="宋体"/>
          <w:sz w:val="24"/>
        </w:rPr>
        <w:t>也降低了客户信息化的实施成本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客户及行业经验的优势</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）金融行业客户具有高度的稳定性</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金融行业客户由于监管</w:t>
      </w:r>
      <w:r>
        <w:rPr>
          <w:rFonts w:hint="eastAsia" w:ascii="宋体" w:hAnsi="宋体" w:eastAsia="宋体" w:cs="宋体"/>
          <w:sz w:val="10"/>
        </w:rPr>
        <w:t>、</w:t>
      </w:r>
      <w:r>
        <w:rPr>
          <w:rFonts w:hint="eastAsia" w:ascii="宋体" w:hAnsi="宋体" w:eastAsia="宋体" w:cs="宋体"/>
          <w:sz w:val="24"/>
        </w:rPr>
        <w:t>使用习惯和系统稳定性方面的原因</w:t>
      </w:r>
      <w:r>
        <w:rPr>
          <w:rFonts w:hint="eastAsia" w:ascii="宋体" w:hAnsi="宋体" w:eastAsia="宋体" w:cs="宋体"/>
          <w:sz w:val="10"/>
        </w:rPr>
        <w:t>，</w:t>
      </w:r>
      <w:r>
        <w:rPr>
          <w:rFonts w:hint="eastAsia" w:ascii="宋体" w:hAnsi="宋体" w:eastAsia="宋体" w:cs="宋体"/>
          <w:sz w:val="24"/>
        </w:rPr>
        <w:t>对软件服务商的需求具有高度稳定性</w:t>
      </w:r>
      <w:r>
        <w:rPr>
          <w:rFonts w:hint="eastAsia" w:ascii="宋体" w:hAnsi="宋体" w:eastAsia="宋体" w:cs="宋体"/>
          <w:sz w:val="10"/>
        </w:rPr>
        <w:t>，</w:t>
      </w:r>
      <w:r>
        <w:rPr>
          <w:rFonts w:hint="eastAsia" w:ascii="宋体" w:hAnsi="宋体" w:eastAsia="宋体" w:cs="宋体"/>
          <w:sz w:val="24"/>
        </w:rPr>
        <w:t>对软件服务商本身来讲具有较高的进入门槛</w:t>
      </w:r>
      <w:r>
        <w:rPr>
          <w:rFonts w:hint="eastAsia" w:ascii="宋体" w:hAnsi="宋体" w:eastAsia="宋体" w:cs="宋体"/>
          <w:sz w:val="10"/>
        </w:rPr>
        <w:t>。</w:t>
      </w:r>
      <w:r>
        <w:rPr>
          <w:rFonts w:hint="eastAsia" w:ascii="宋体" w:hAnsi="宋体" w:eastAsia="宋体" w:cs="宋体"/>
          <w:sz w:val="24"/>
        </w:rPr>
        <w:t>以证券公司为例</w:t>
      </w:r>
      <w:r>
        <w:rPr>
          <w:rFonts w:hint="eastAsia" w:ascii="宋体" w:hAnsi="宋体" w:eastAsia="宋体" w:cs="宋体"/>
          <w:sz w:val="12"/>
        </w:rPr>
        <w:t>：</w:t>
      </w:r>
      <w:r>
        <w:rPr>
          <w:rFonts w:hint="eastAsia" w:ascii="宋体" w:hAnsi="宋体" w:eastAsia="宋体" w:cs="宋体"/>
          <w:sz w:val="24"/>
        </w:rPr>
        <w:t>客户核心业务系统必须满足监管层对证券公司在合规</w:t>
      </w:r>
      <w:r>
        <w:rPr>
          <w:rFonts w:hint="eastAsia" w:ascii="宋体" w:hAnsi="宋体" w:eastAsia="宋体" w:cs="宋体"/>
          <w:sz w:val="10"/>
        </w:rPr>
        <w:t>、</w:t>
      </w:r>
      <w:r>
        <w:rPr>
          <w:rFonts w:hint="eastAsia" w:ascii="宋体" w:hAnsi="宋体" w:eastAsia="宋体" w:cs="宋体"/>
          <w:sz w:val="24"/>
        </w:rPr>
        <w:t>信息隔离墙</w:t>
      </w:r>
      <w:r>
        <w:rPr>
          <w:rFonts w:hint="eastAsia" w:ascii="宋体" w:hAnsi="宋体" w:eastAsia="宋体" w:cs="宋体"/>
          <w:sz w:val="10"/>
        </w:rPr>
        <w:t>、</w:t>
      </w:r>
      <w:r>
        <w:rPr>
          <w:rFonts w:hint="eastAsia" w:ascii="宋体" w:hAnsi="宋体" w:eastAsia="宋体" w:cs="宋体"/>
          <w:sz w:val="24"/>
        </w:rPr>
        <w:t>安全性等方面的要求</w:t>
      </w:r>
      <w:r>
        <w:rPr>
          <w:rFonts w:hint="eastAsia" w:ascii="宋体" w:hAnsi="宋体" w:eastAsia="宋体" w:cs="宋体"/>
          <w:sz w:val="10"/>
        </w:rPr>
        <w:t>，</w:t>
      </w:r>
      <w:r>
        <w:rPr>
          <w:rFonts w:hint="eastAsia" w:ascii="宋体" w:hAnsi="宋体" w:eastAsia="宋体" w:cs="宋体"/>
          <w:sz w:val="24"/>
        </w:rPr>
        <w:t>必须满足证券公司和交易所</w:t>
      </w:r>
      <w:r>
        <w:rPr>
          <w:rFonts w:hint="eastAsia" w:ascii="宋体" w:hAnsi="宋体" w:eastAsia="宋体" w:cs="宋体"/>
          <w:sz w:val="10"/>
        </w:rPr>
        <w:t>、</w:t>
      </w:r>
      <w:r>
        <w:rPr>
          <w:rFonts w:hint="eastAsia" w:ascii="宋体" w:hAnsi="宋体" w:eastAsia="宋体" w:cs="宋体"/>
          <w:sz w:val="24"/>
        </w:rPr>
        <w:t>登记公司</w:t>
      </w:r>
      <w:r>
        <w:rPr>
          <w:rFonts w:hint="eastAsia" w:ascii="宋体" w:hAnsi="宋体" w:eastAsia="宋体" w:cs="宋体"/>
          <w:sz w:val="10"/>
        </w:rPr>
        <w:t>、</w:t>
      </w:r>
      <w:r>
        <w:rPr>
          <w:rFonts w:hint="eastAsia" w:ascii="宋体" w:hAnsi="宋体" w:eastAsia="宋体" w:cs="宋体"/>
          <w:sz w:val="24"/>
        </w:rPr>
        <w:t>银行等合作机构之间密切的业务联系与直接的信息技术联系</w:t>
      </w:r>
      <w:r>
        <w:rPr>
          <w:rFonts w:hint="eastAsia" w:ascii="宋体" w:hAnsi="宋体" w:eastAsia="宋体" w:cs="宋体"/>
          <w:sz w:val="10"/>
        </w:rPr>
        <w:t>，</w:t>
      </w:r>
      <w:r>
        <w:rPr>
          <w:rFonts w:hint="eastAsia" w:ascii="宋体" w:hAnsi="宋体" w:eastAsia="宋体" w:cs="宋体"/>
          <w:sz w:val="24"/>
        </w:rPr>
        <w:t>必须具备海量信息处理能力和应急处理能力</w:t>
      </w:r>
      <w:r>
        <w:rPr>
          <w:rFonts w:hint="eastAsia" w:ascii="宋体" w:hAnsi="宋体" w:eastAsia="宋体" w:cs="宋体"/>
          <w:sz w:val="14"/>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出于使用习惯和系统稳定性等因素考虑</w:t>
      </w:r>
      <w:r>
        <w:rPr>
          <w:rFonts w:hint="eastAsia" w:ascii="宋体" w:hAnsi="宋体" w:eastAsia="宋体" w:cs="宋体"/>
          <w:sz w:val="10"/>
        </w:rPr>
        <w:t>，</w:t>
      </w:r>
      <w:r>
        <w:rPr>
          <w:rFonts w:hint="eastAsia" w:ascii="宋体" w:hAnsi="宋体" w:eastAsia="宋体" w:cs="宋体"/>
          <w:sz w:val="24"/>
        </w:rPr>
        <w:t>证券公司对更换核心业务软件比较慎重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公司在包括证券</w:t>
      </w:r>
      <w:r>
        <w:rPr>
          <w:rFonts w:hint="eastAsia" w:ascii="宋体" w:hAnsi="宋体" w:eastAsia="宋体" w:cs="宋体"/>
          <w:sz w:val="10"/>
        </w:rPr>
        <w:t>、</w:t>
      </w:r>
      <w:r>
        <w:rPr>
          <w:rFonts w:hint="eastAsia" w:ascii="宋体" w:hAnsi="宋体" w:eastAsia="宋体" w:cs="宋体"/>
          <w:sz w:val="24"/>
        </w:rPr>
        <w:t>期货在内的金融行业拥有广泛的客户基础</w:t>
      </w:r>
      <w:r>
        <w:rPr>
          <w:rFonts w:hint="eastAsia" w:ascii="宋体" w:hAnsi="宋体" w:eastAsia="宋体" w:cs="宋体"/>
          <w:sz w:val="10"/>
        </w:rPr>
        <w:t>，</w:t>
      </w:r>
      <w:r>
        <w:rPr>
          <w:rFonts w:hint="eastAsia" w:ascii="宋体" w:hAnsi="宋体" w:eastAsia="宋体" w:cs="宋体"/>
          <w:sz w:val="24"/>
        </w:rPr>
        <w:t>这些客户能持续接受公司产品的版本升级和功能提升</w:t>
      </w:r>
      <w:r>
        <w:rPr>
          <w:rFonts w:hint="eastAsia" w:ascii="宋体" w:hAnsi="宋体" w:eastAsia="宋体" w:cs="宋体"/>
          <w:sz w:val="10"/>
        </w:rPr>
        <w:t>，</w:t>
      </w:r>
      <w:r>
        <w:rPr>
          <w:rFonts w:hint="eastAsia" w:ascii="宋体" w:hAnsi="宋体" w:eastAsia="宋体" w:cs="宋体"/>
          <w:sz w:val="24"/>
        </w:rPr>
        <w:t>为公司带来持续稳定的收入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）公司在金融行业积累了深厚的业务基础</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公司具有多年的证券市场信息化服务经验</w:t>
      </w:r>
      <w:r>
        <w:rPr>
          <w:rFonts w:hint="eastAsia" w:ascii="宋体" w:hAnsi="宋体" w:eastAsia="宋体" w:cs="宋体"/>
          <w:sz w:val="10"/>
        </w:rPr>
        <w:t>。</w:t>
      </w:r>
      <w:r>
        <w:rPr>
          <w:rFonts w:hint="eastAsia" w:ascii="宋体" w:hAnsi="宋体" w:eastAsia="宋体" w:cs="宋体"/>
          <w:sz w:val="24"/>
        </w:rPr>
        <w:t>通过大量案例的实施和总结</w:t>
      </w:r>
      <w:r>
        <w:rPr>
          <w:rFonts w:hint="eastAsia" w:ascii="宋体" w:hAnsi="宋体" w:eastAsia="宋体" w:cs="宋体"/>
          <w:sz w:val="10"/>
        </w:rPr>
        <w:t>，</w:t>
      </w:r>
      <w:r>
        <w:rPr>
          <w:rFonts w:hint="eastAsia" w:ascii="宋体" w:hAnsi="宋体" w:eastAsia="宋体" w:cs="宋体"/>
          <w:sz w:val="24"/>
        </w:rPr>
        <w:t>公司建立了整套的业务知识收集</w:t>
      </w:r>
      <w:r>
        <w:rPr>
          <w:rFonts w:hint="eastAsia" w:ascii="宋体" w:hAnsi="宋体" w:eastAsia="宋体" w:cs="宋体"/>
          <w:sz w:val="10"/>
        </w:rPr>
        <w:t>、</w:t>
      </w:r>
      <w:r>
        <w:rPr>
          <w:rFonts w:hint="eastAsia" w:ascii="宋体" w:hAnsi="宋体" w:eastAsia="宋体" w:cs="宋体"/>
          <w:sz w:val="24"/>
        </w:rPr>
        <w:t>分析与总结的机制</w:t>
      </w:r>
      <w:r>
        <w:rPr>
          <w:rFonts w:hint="eastAsia" w:ascii="宋体" w:hAnsi="宋体" w:eastAsia="宋体" w:cs="宋体"/>
          <w:sz w:val="10"/>
        </w:rPr>
        <w:t>，</w:t>
      </w:r>
      <w:r>
        <w:rPr>
          <w:rFonts w:hint="eastAsia" w:ascii="宋体" w:hAnsi="宋体" w:eastAsia="宋体" w:cs="宋体"/>
          <w:sz w:val="24"/>
        </w:rPr>
        <w:t>通过高频度的客户交流研讨</w:t>
      </w:r>
      <w:r>
        <w:rPr>
          <w:rFonts w:hint="eastAsia" w:ascii="宋体" w:hAnsi="宋体" w:eastAsia="宋体" w:cs="宋体"/>
          <w:sz w:val="10"/>
        </w:rPr>
        <w:t>、</w:t>
      </w:r>
      <w:r>
        <w:rPr>
          <w:rFonts w:hint="eastAsia" w:ascii="宋体" w:hAnsi="宋体" w:eastAsia="宋体" w:cs="宋体"/>
          <w:sz w:val="24"/>
        </w:rPr>
        <w:t>项目实施的案例总结</w:t>
      </w:r>
      <w:r>
        <w:rPr>
          <w:rFonts w:hint="eastAsia" w:ascii="宋体" w:hAnsi="宋体" w:eastAsia="宋体" w:cs="宋体"/>
          <w:sz w:val="10"/>
        </w:rPr>
        <w:t>、</w:t>
      </w:r>
      <w:r>
        <w:rPr>
          <w:rFonts w:hint="eastAsia" w:ascii="宋体" w:hAnsi="宋体" w:eastAsia="宋体" w:cs="宋体"/>
          <w:sz w:val="24"/>
        </w:rPr>
        <w:t>咨询服务等方式</w:t>
      </w:r>
      <w:r>
        <w:rPr>
          <w:rFonts w:hint="eastAsia" w:ascii="宋体" w:hAnsi="宋体" w:eastAsia="宋体" w:cs="宋体"/>
          <w:sz w:val="10"/>
        </w:rPr>
        <w:t>，</w:t>
      </w:r>
      <w:r>
        <w:rPr>
          <w:rFonts w:hint="eastAsia" w:ascii="宋体" w:hAnsi="宋体" w:eastAsia="宋体" w:cs="宋体"/>
          <w:sz w:val="24"/>
        </w:rPr>
        <w:t>充分了解和掌握包括证券在内的金融机构</w:t>
      </w:r>
      <w:r>
        <w:rPr>
          <w:rFonts w:hint="eastAsia" w:ascii="Times New Roman" w:hAnsi="Times New Roman" w:eastAsia="Times New Roman" w:cs="Times New Roman"/>
          <w:sz w:val="24"/>
        </w:rPr>
        <w:t>IT</w:t>
      </w:r>
      <w:r>
        <w:rPr>
          <w:rFonts w:hint="eastAsia" w:ascii="宋体" w:hAnsi="宋体" w:eastAsia="宋体" w:cs="宋体"/>
          <w:sz w:val="24"/>
        </w:rPr>
        <w:t xml:space="preserve"> 系统及其业务的发展规划及建设思路</w:t>
      </w:r>
      <w:r>
        <w:rPr>
          <w:rFonts w:hint="eastAsia" w:ascii="宋体" w:hAnsi="宋体" w:eastAsia="宋体" w:cs="宋体"/>
          <w:sz w:val="10"/>
        </w:rPr>
        <w:t>，</w:t>
      </w:r>
      <w:r>
        <w:rPr>
          <w:rFonts w:hint="eastAsia" w:ascii="宋体" w:hAnsi="宋体" w:eastAsia="宋体" w:cs="宋体"/>
          <w:sz w:val="24"/>
        </w:rPr>
        <w:t>能够洞察金融行业的业务重点和热点</w:t>
      </w:r>
      <w:r>
        <w:rPr>
          <w:rFonts w:hint="eastAsia" w:ascii="宋体" w:hAnsi="宋体" w:eastAsia="宋体" w:cs="宋体"/>
          <w:sz w:val="10"/>
        </w:rPr>
        <w:t>，</w:t>
      </w:r>
      <w:r>
        <w:rPr>
          <w:rFonts w:hint="eastAsia" w:ascii="宋体" w:hAnsi="宋体" w:eastAsia="宋体" w:cs="宋体"/>
          <w:sz w:val="24"/>
        </w:rPr>
        <w:t>正确理解</w:t>
      </w:r>
      <w:r>
        <w:rPr>
          <w:rFonts w:hint="eastAsia" w:ascii="宋体" w:hAnsi="宋体" w:eastAsia="宋体" w:cs="宋体"/>
          <w:sz w:val="10"/>
        </w:rPr>
        <w:t>、</w:t>
      </w:r>
      <w:r>
        <w:rPr>
          <w:rFonts w:hint="eastAsia" w:ascii="宋体" w:hAnsi="宋体" w:eastAsia="宋体" w:cs="宋体"/>
          <w:sz w:val="24"/>
        </w:rPr>
        <w:t>把握客户需求</w:t>
      </w:r>
      <w:r>
        <w:rPr>
          <w:rFonts w:hint="eastAsia" w:ascii="宋体" w:hAnsi="宋体" w:eastAsia="宋体" w:cs="宋体"/>
          <w:sz w:val="10"/>
        </w:rPr>
        <w:t>，</w:t>
      </w:r>
      <w:r>
        <w:rPr>
          <w:rFonts w:hint="eastAsia" w:ascii="宋体" w:hAnsi="宋体" w:eastAsia="宋体" w:cs="宋体"/>
          <w:sz w:val="24"/>
        </w:rPr>
        <w:t>并根据客户的需求变化</w:t>
      </w:r>
      <w:r>
        <w:rPr>
          <w:rFonts w:hint="eastAsia" w:ascii="宋体" w:hAnsi="宋体" w:eastAsia="宋体" w:cs="宋体"/>
          <w:sz w:val="10"/>
        </w:rPr>
        <w:t>，</w:t>
      </w:r>
      <w:r>
        <w:rPr>
          <w:rFonts w:hint="eastAsia" w:ascii="宋体" w:hAnsi="宋体" w:eastAsia="宋体" w:cs="宋体"/>
          <w:sz w:val="24"/>
        </w:rPr>
        <w:t>主动调整产品和服务</w:t>
      </w:r>
      <w:r>
        <w:rPr>
          <w:rFonts w:hint="eastAsia" w:ascii="宋体" w:hAnsi="宋体" w:eastAsia="宋体" w:cs="宋体"/>
          <w:sz w:val="14"/>
        </w:rPr>
        <w:t>；</w:t>
      </w:r>
      <w:r>
        <w:rPr>
          <w:rFonts w:hint="eastAsia" w:ascii="宋体" w:hAnsi="宋体" w:eastAsia="宋体" w:cs="宋体"/>
          <w:sz w:val="24"/>
        </w:rPr>
        <w:t>能够通过深入分析和梳理</w:t>
      </w:r>
      <w:r>
        <w:rPr>
          <w:rFonts w:hint="eastAsia" w:ascii="宋体" w:hAnsi="宋体" w:eastAsia="宋体" w:cs="宋体"/>
          <w:sz w:val="10"/>
        </w:rPr>
        <w:t>，</w:t>
      </w:r>
      <w:r>
        <w:rPr>
          <w:rFonts w:hint="eastAsia" w:ascii="宋体" w:hAnsi="宋体" w:eastAsia="宋体" w:cs="宋体"/>
          <w:sz w:val="24"/>
        </w:rPr>
        <w:t>引导客户对业务流程管理进行优化</w:t>
      </w:r>
      <w:r>
        <w:rPr>
          <w:rFonts w:hint="eastAsia" w:ascii="宋体" w:hAnsi="宋体" w:eastAsia="宋体" w:cs="宋体"/>
          <w:sz w:val="10"/>
        </w:rPr>
        <w:t>，</w:t>
      </w:r>
      <w:r>
        <w:rPr>
          <w:rFonts w:hint="eastAsia" w:ascii="宋体" w:hAnsi="宋体" w:eastAsia="宋体" w:cs="宋体"/>
          <w:sz w:val="24"/>
        </w:rPr>
        <w:t>以类似提供管理咨询的方式</w:t>
      </w:r>
      <w:r>
        <w:rPr>
          <w:rFonts w:hint="eastAsia" w:ascii="宋体" w:hAnsi="宋体" w:eastAsia="宋体" w:cs="宋体"/>
          <w:sz w:val="10"/>
        </w:rPr>
        <w:t>，</w:t>
      </w:r>
      <w:r>
        <w:rPr>
          <w:rFonts w:hint="eastAsia" w:ascii="宋体" w:hAnsi="宋体" w:eastAsia="宋体" w:cs="宋体"/>
          <w:sz w:val="24"/>
        </w:rPr>
        <w:t>捕捉更多商业机会</w:t>
      </w:r>
      <w:r>
        <w:rPr>
          <w:rFonts w:hint="eastAsia" w:ascii="宋体" w:hAnsi="宋体" w:eastAsia="宋体" w:cs="宋体"/>
          <w:sz w:val="12"/>
        </w:rPr>
        <w:t>；</w:t>
      </w:r>
      <w:r>
        <w:rPr>
          <w:rFonts w:hint="eastAsia" w:ascii="宋体" w:hAnsi="宋体" w:eastAsia="宋体" w:cs="宋体"/>
          <w:sz w:val="24"/>
        </w:rPr>
        <w:t>能够预判行业趋势</w:t>
      </w:r>
      <w:r>
        <w:rPr>
          <w:rFonts w:hint="eastAsia" w:ascii="宋体" w:hAnsi="宋体" w:eastAsia="宋体" w:cs="宋体"/>
          <w:sz w:val="10"/>
        </w:rPr>
        <w:t>，</w:t>
      </w:r>
      <w:r>
        <w:rPr>
          <w:rFonts w:hint="eastAsia" w:ascii="宋体" w:hAnsi="宋体" w:eastAsia="宋体" w:cs="宋体"/>
          <w:sz w:val="24"/>
        </w:rPr>
        <w:t>预研并适时推出先进可行的业务支撑软件和解决方案</w:t>
      </w:r>
      <w:r>
        <w:rPr>
          <w:rFonts w:hint="eastAsia" w:ascii="宋体" w:hAnsi="宋体" w:eastAsia="宋体" w:cs="宋体"/>
          <w:sz w:val="10"/>
        </w:rPr>
        <w:t>，</w:t>
      </w:r>
      <w:r>
        <w:rPr>
          <w:rFonts w:hint="eastAsia" w:ascii="宋体" w:hAnsi="宋体" w:eastAsia="宋体" w:cs="宋体"/>
          <w:sz w:val="24"/>
        </w:rPr>
        <w:t>占得市场先机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运营资质的优势</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公司经过多年的经营发展</w:t>
      </w:r>
      <w:r>
        <w:rPr>
          <w:rFonts w:hint="eastAsia" w:ascii="宋体" w:hAnsi="宋体" w:eastAsia="宋体" w:cs="宋体"/>
          <w:sz w:val="10"/>
        </w:rPr>
        <w:t>，</w:t>
      </w:r>
      <w:r>
        <w:rPr>
          <w:rFonts w:hint="eastAsia" w:ascii="宋体" w:hAnsi="宋体" w:eastAsia="宋体" w:cs="宋体"/>
          <w:sz w:val="24"/>
        </w:rPr>
        <w:t>不仅积累了行业经验</w:t>
      </w:r>
      <w:r>
        <w:rPr>
          <w:rFonts w:hint="eastAsia" w:ascii="宋体" w:hAnsi="宋体" w:eastAsia="宋体" w:cs="宋体"/>
          <w:sz w:val="10"/>
        </w:rPr>
        <w:t>，</w:t>
      </w:r>
      <w:r>
        <w:rPr>
          <w:rFonts w:hint="eastAsia" w:ascii="宋体" w:hAnsi="宋体" w:eastAsia="宋体" w:cs="宋体"/>
          <w:sz w:val="24"/>
        </w:rPr>
        <w:t>取得了客户的认可</w:t>
      </w:r>
      <w:r>
        <w:rPr>
          <w:rFonts w:hint="eastAsia" w:ascii="宋体" w:hAnsi="宋体" w:eastAsia="宋体" w:cs="宋体"/>
          <w:sz w:val="10"/>
        </w:rPr>
        <w:t>，</w:t>
      </w:r>
      <w:r>
        <w:rPr>
          <w:rFonts w:hint="eastAsia" w:ascii="宋体" w:hAnsi="宋体" w:eastAsia="宋体" w:cs="宋体"/>
          <w:sz w:val="24"/>
        </w:rPr>
        <w:t>同时还获得了多项软件行业相关的认定资质</w:t>
      </w:r>
      <w:r>
        <w:rPr>
          <w:rFonts w:hint="eastAsia" w:ascii="宋体" w:hAnsi="宋体" w:eastAsia="宋体" w:cs="宋体"/>
          <w:sz w:val="10"/>
        </w:rPr>
        <w:t>。</w:t>
      </w:r>
      <w:r>
        <w:rPr>
          <w:rFonts w:hint="eastAsia" w:ascii="宋体" w:hAnsi="宋体" w:eastAsia="宋体" w:cs="宋体"/>
          <w:sz w:val="24"/>
        </w:rPr>
        <w:t>顶点软件及顶点数码</w:t>
      </w:r>
      <w:r>
        <w:rPr>
          <w:rFonts w:hint="eastAsia" w:ascii="宋体" w:hAnsi="宋体" w:eastAsia="宋体" w:cs="宋体"/>
          <w:sz w:val="10"/>
        </w:rPr>
        <w:t>、</w:t>
      </w:r>
      <w:r>
        <w:rPr>
          <w:rFonts w:hint="eastAsia" w:ascii="宋体" w:hAnsi="宋体" w:eastAsia="宋体" w:cs="宋体"/>
          <w:sz w:val="24"/>
        </w:rPr>
        <w:t>顶点信息</w:t>
      </w:r>
      <w:r>
        <w:rPr>
          <w:rFonts w:hint="eastAsia" w:ascii="宋体" w:hAnsi="宋体" w:eastAsia="宋体" w:cs="宋体"/>
          <w:sz w:val="10"/>
        </w:rPr>
        <w:t>、</w:t>
      </w:r>
      <w:r>
        <w:rPr>
          <w:rFonts w:hint="eastAsia" w:ascii="宋体" w:hAnsi="宋体" w:eastAsia="宋体" w:cs="宋体"/>
          <w:sz w:val="24"/>
        </w:rPr>
        <w:t>北京顶点</w:t>
      </w:r>
      <w:r>
        <w:rPr>
          <w:rFonts w:hint="eastAsia" w:ascii="宋体" w:hAnsi="宋体" w:eastAsia="宋体" w:cs="宋体"/>
          <w:b/>
          <w:sz w:val="10"/>
        </w:rPr>
        <w:t>、</w:t>
      </w:r>
      <w:r>
        <w:rPr>
          <w:rFonts w:hint="eastAsia" w:ascii="宋体" w:hAnsi="宋体" w:eastAsia="宋体" w:cs="宋体"/>
          <w:sz w:val="24"/>
        </w:rPr>
        <w:t>武汉顶点被认定为高新技术企业</w:t>
      </w:r>
      <w:r>
        <w:rPr>
          <w:rFonts w:hint="eastAsia" w:ascii="宋体" w:hAnsi="宋体" w:eastAsia="宋体" w:cs="宋体"/>
          <w:sz w:val="10"/>
        </w:rPr>
        <w:t>，</w:t>
      </w:r>
      <w:r>
        <w:rPr>
          <w:rFonts w:hint="eastAsia" w:ascii="宋体" w:hAnsi="宋体" w:eastAsia="宋体" w:cs="宋体"/>
          <w:sz w:val="24"/>
        </w:rPr>
        <w:t>顶点软件还被认定为</w:t>
      </w:r>
      <w:r>
        <w:rPr>
          <w:rFonts w:hint="eastAsia" w:ascii="宋体" w:hAnsi="宋体" w:eastAsia="宋体" w:cs="宋体"/>
          <w:sz w:val="10"/>
        </w:rPr>
        <w:t>“</w:t>
      </w:r>
      <w:r>
        <w:rPr>
          <w:rFonts w:hint="eastAsia" w:ascii="Times New Roman" w:hAnsi="Times New Roman" w:eastAsia="Times New Roman" w:cs="Times New Roman"/>
          <w:sz w:val="24"/>
        </w:rPr>
        <w:t>2013-2014</w:t>
      </w:r>
      <w:r>
        <w:rPr>
          <w:rFonts w:hint="eastAsia" w:ascii="宋体" w:hAnsi="宋体" w:eastAsia="宋体" w:cs="宋体"/>
          <w:sz w:val="24"/>
        </w:rPr>
        <w:t xml:space="preserve"> 年度国家规划布局内重点软件企业</w:t>
      </w:r>
      <w:r>
        <w:rPr>
          <w:rFonts w:hint="eastAsia" w:ascii="宋体" w:hAnsi="宋体" w:eastAsia="宋体" w:cs="宋体"/>
          <w:sz w:val="10"/>
        </w:rPr>
        <w:t>”。</w:t>
      </w:r>
      <w:r>
        <w:rPr>
          <w:rFonts w:hint="eastAsia" w:ascii="宋体" w:hAnsi="宋体" w:eastAsia="宋体" w:cs="宋体"/>
          <w:sz w:val="24"/>
        </w:rPr>
        <w:t>顶点软件及顶点数码</w:t>
      </w:r>
      <w:r>
        <w:rPr>
          <w:rFonts w:hint="eastAsia" w:ascii="宋体" w:hAnsi="宋体" w:eastAsia="宋体" w:cs="宋体"/>
          <w:sz w:val="10"/>
        </w:rPr>
        <w:t>、</w:t>
      </w:r>
      <w:r>
        <w:rPr>
          <w:rFonts w:hint="eastAsia" w:ascii="宋体" w:hAnsi="宋体" w:eastAsia="宋体" w:cs="宋体"/>
          <w:sz w:val="24"/>
        </w:rPr>
        <w:t>顶点信息</w:t>
      </w:r>
      <w:r>
        <w:rPr>
          <w:rFonts w:hint="eastAsia" w:ascii="宋体" w:hAnsi="宋体" w:eastAsia="宋体" w:cs="宋体"/>
          <w:sz w:val="10"/>
        </w:rPr>
        <w:t>、</w:t>
      </w:r>
      <w:r>
        <w:rPr>
          <w:rFonts w:hint="eastAsia" w:ascii="宋体" w:hAnsi="宋体" w:eastAsia="宋体" w:cs="宋体"/>
          <w:sz w:val="24"/>
        </w:rPr>
        <w:t>北京顶点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1-1-135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武汉顶点等公司取得了《软件企业认定证书》。</w:t>
      </w:r>
      <w:r>
        <w:rPr>
          <w:rFonts w:hint="eastAsia" w:ascii="宋体" w:hAnsi="宋体" w:eastAsia="宋体" w:cs="宋体"/>
          <w:sz w:val="24"/>
        </w:rPr>
        <w:t>顶点软件及顶点数码</w:t>
      </w:r>
      <w:r>
        <w:rPr>
          <w:rFonts w:hint="eastAsia" w:ascii="宋体" w:hAnsi="宋体" w:eastAsia="宋体" w:cs="宋体"/>
          <w:sz w:val="10"/>
        </w:rPr>
        <w:t>、</w:t>
      </w:r>
      <w:r>
        <w:rPr>
          <w:rFonts w:hint="eastAsia" w:ascii="宋体" w:hAnsi="宋体" w:eastAsia="宋体" w:cs="宋体"/>
          <w:sz w:val="24"/>
        </w:rPr>
        <w:t>顶点信息</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取得了《福建省技术贸易机构资格证》。</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上述资质不仅使得公司具备相应业务的经营许可</w:t>
      </w:r>
      <w:r>
        <w:rPr>
          <w:rFonts w:hint="eastAsia" w:ascii="宋体" w:hAnsi="宋体" w:eastAsia="宋体" w:cs="宋体"/>
          <w:sz w:val="10"/>
        </w:rPr>
        <w:t>，</w:t>
      </w:r>
      <w:r>
        <w:rPr>
          <w:rFonts w:hint="eastAsia" w:ascii="宋体" w:hAnsi="宋体" w:eastAsia="宋体" w:cs="宋体"/>
          <w:sz w:val="24"/>
        </w:rPr>
        <w:t>同时体现出公司丰富的业</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界经验以及经有关部门认可的行业地位及经营能力</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4"/>
        </w:rPr>
        <w:t>（四）竞争劣势</w:t>
      </w:r>
    </w:p>
    <w:p>
      <w:pPr>
        <w:spacing w:line="200" w:lineRule="exact"/>
        <w:rPr>
          <w:rFonts w:hint="eastAsia" w:ascii="宋体" w:hAnsi="宋体" w:eastAsia="宋体" w:cs="宋体"/>
          <w:sz w:val="20"/>
        </w:rPr>
      </w:pPr>
    </w:p>
    <w:p>
      <w:pPr>
        <w:autoSpaceDE w:val="false"/>
        <w:autoSpaceDN w:val="false"/>
        <w:spacing w:line="420" w:lineRule="exact"/>
        <w:ind w:left="22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规模较小</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近几年</w:t>
      </w:r>
      <w:r>
        <w:rPr>
          <w:rFonts w:hint="eastAsia" w:ascii="宋体" w:hAnsi="宋体" w:eastAsia="宋体" w:cs="宋体"/>
          <w:sz w:val="10"/>
        </w:rPr>
        <w:t>，</w:t>
      </w:r>
      <w:r>
        <w:rPr>
          <w:rFonts w:hint="eastAsia" w:ascii="宋体" w:hAnsi="宋体" w:eastAsia="宋体" w:cs="宋体"/>
          <w:sz w:val="24"/>
        </w:rPr>
        <w:t>公司虽然取得了长足的发展</w:t>
      </w:r>
      <w:r>
        <w:rPr>
          <w:rFonts w:hint="eastAsia" w:ascii="宋体" w:hAnsi="宋体" w:eastAsia="宋体" w:cs="宋体"/>
          <w:sz w:val="10"/>
        </w:rPr>
        <w:t>，</w:t>
      </w:r>
      <w:r>
        <w:rPr>
          <w:rFonts w:hint="eastAsia" w:ascii="宋体" w:hAnsi="宋体" w:eastAsia="宋体" w:cs="宋体"/>
          <w:sz w:val="24"/>
        </w:rPr>
        <w:t>但整体规模仍然较小</w:t>
      </w:r>
      <w:r>
        <w:rPr>
          <w:rFonts w:hint="eastAsia" w:ascii="宋体" w:hAnsi="宋体" w:eastAsia="宋体" w:cs="宋体"/>
          <w:sz w:val="10"/>
        </w:rPr>
        <w:t>。</w:t>
      </w:r>
      <w:r>
        <w:rPr>
          <w:rFonts w:hint="eastAsia" w:ascii="宋体" w:hAnsi="宋体" w:eastAsia="宋体" w:cs="宋体"/>
          <w:sz w:val="24"/>
        </w:rPr>
        <w:t>与国内外大型</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软件企业相比</w:t>
      </w:r>
      <w:r>
        <w:rPr>
          <w:rFonts w:hint="eastAsia" w:ascii="宋体" w:hAnsi="宋体" w:eastAsia="宋体" w:cs="宋体"/>
          <w:sz w:val="10"/>
        </w:rPr>
        <w:t>，</w:t>
      </w:r>
      <w:r>
        <w:rPr>
          <w:rFonts w:hint="eastAsia" w:ascii="宋体" w:hAnsi="宋体" w:eastAsia="宋体" w:cs="宋体"/>
          <w:sz w:val="24"/>
        </w:rPr>
        <w:t>在研发投入能力</w:t>
      </w:r>
      <w:r>
        <w:rPr>
          <w:rFonts w:hint="eastAsia" w:ascii="宋体" w:hAnsi="宋体" w:eastAsia="宋体" w:cs="宋体"/>
          <w:sz w:val="10"/>
        </w:rPr>
        <w:t>、</w:t>
      </w:r>
      <w:r>
        <w:rPr>
          <w:rFonts w:hint="eastAsia" w:ascii="宋体" w:hAnsi="宋体" w:eastAsia="宋体" w:cs="宋体"/>
          <w:sz w:val="24"/>
        </w:rPr>
        <w:t>咨询服务能力和资金实力等方面还有差距</w:t>
      </w:r>
      <w:r>
        <w:rPr>
          <w:rFonts w:hint="eastAsia" w:ascii="宋体" w:hAnsi="宋体" w:eastAsia="宋体" w:cs="宋体"/>
          <w:sz w:val="10"/>
        </w:rPr>
        <w:t>。</w:t>
      </w:r>
      <w:r>
        <w:rPr>
          <w:rFonts w:hint="eastAsia" w:ascii="宋体" w:hAnsi="宋体" w:eastAsia="宋体" w:cs="宋体"/>
          <w:sz w:val="24"/>
        </w:rPr>
        <w:t>虽</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然公司注重在核心技术平台研发的持续投入以及具有独特创新研发的商业模式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但相对较小的规模限制了公司技术的发展</w:t>
      </w:r>
      <w:r>
        <w:rPr>
          <w:rFonts w:hint="eastAsia" w:ascii="宋体" w:hAnsi="宋体" w:eastAsia="宋体" w:cs="宋体"/>
          <w:sz w:val="10"/>
        </w:rPr>
        <w:t>、</w:t>
      </w:r>
      <w:r>
        <w:rPr>
          <w:rFonts w:hint="eastAsia" w:ascii="宋体" w:hAnsi="宋体" w:eastAsia="宋体" w:cs="宋体"/>
          <w:sz w:val="24"/>
        </w:rPr>
        <w:t>服务能力以及企业品牌知名度的提</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高端行业人才储备尚待加强</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公司业务正处于从传统金融行业向</w:t>
      </w: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行业拓展的关键阶段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在相关领域</w:t>
      </w:r>
      <w:r>
        <w:rPr>
          <w:rFonts w:hint="eastAsia" w:ascii="宋体" w:hAnsi="宋体" w:eastAsia="宋体" w:cs="宋体"/>
          <w:sz w:val="10"/>
        </w:rPr>
        <w:t>，</w:t>
      </w:r>
      <w:r>
        <w:rPr>
          <w:rFonts w:hint="eastAsia" w:ascii="宋体" w:hAnsi="宋体" w:eastAsia="宋体" w:cs="宋体"/>
          <w:sz w:val="24"/>
        </w:rPr>
        <w:t>虽然公司通过自身培养和对外引进的方式储备了一些富有行业经验</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的专业人才</w:t>
      </w:r>
      <w:r>
        <w:rPr>
          <w:rFonts w:hint="eastAsia" w:ascii="宋体" w:hAnsi="宋体" w:eastAsia="宋体" w:cs="宋体"/>
          <w:sz w:val="10"/>
        </w:rPr>
        <w:t>，</w:t>
      </w:r>
      <w:r>
        <w:rPr>
          <w:rFonts w:hint="eastAsia" w:ascii="宋体" w:hAnsi="宋体" w:eastAsia="宋体" w:cs="宋体"/>
          <w:sz w:val="24"/>
        </w:rPr>
        <w:t>但是</w:t>
      </w:r>
      <w:r>
        <w:rPr>
          <w:rFonts w:hint="eastAsia" w:ascii="宋体" w:hAnsi="宋体" w:eastAsia="宋体" w:cs="宋体"/>
          <w:sz w:val="10"/>
        </w:rPr>
        <w:t>，</w:t>
      </w:r>
      <w:r>
        <w:rPr>
          <w:rFonts w:hint="eastAsia" w:ascii="宋体" w:hAnsi="宋体" w:eastAsia="宋体" w:cs="宋体"/>
          <w:sz w:val="24"/>
        </w:rPr>
        <w:t>相对传统金融行业来说</w:t>
      </w:r>
      <w:r>
        <w:rPr>
          <w:rFonts w:hint="eastAsia" w:ascii="宋体" w:hAnsi="宋体" w:eastAsia="宋体" w:cs="宋体"/>
          <w:sz w:val="10"/>
        </w:rPr>
        <w:t>，</w:t>
      </w:r>
      <w:r>
        <w:rPr>
          <w:rFonts w:hint="eastAsia" w:ascii="宋体" w:hAnsi="宋体" w:eastAsia="宋体" w:cs="宋体"/>
          <w:sz w:val="24"/>
        </w:rPr>
        <w:t>公司在</w:t>
      </w:r>
      <w:r>
        <w:rPr>
          <w:rFonts w:hint="eastAsia" w:ascii="宋体" w:hAnsi="宋体" w:eastAsia="宋体" w:cs="宋体"/>
          <w:sz w:val="10"/>
        </w:rPr>
        <w:t>“</w:t>
      </w:r>
      <w:r>
        <w:rPr>
          <w:rFonts w:hint="eastAsia" w:ascii="宋体" w:hAnsi="宋体" w:eastAsia="宋体" w:cs="宋体"/>
          <w:sz w:val="24"/>
        </w:rPr>
        <w:t>大金融</w:t>
      </w:r>
      <w:r>
        <w:rPr>
          <w:rFonts w:hint="eastAsia" w:ascii="宋体" w:hAnsi="宋体" w:eastAsia="宋体" w:cs="宋体"/>
          <w:sz w:val="10"/>
        </w:rPr>
        <w:t>”</w:t>
      </w:r>
      <w:r>
        <w:rPr>
          <w:rFonts w:hint="eastAsia" w:ascii="宋体" w:hAnsi="宋体" w:eastAsia="宋体" w:cs="宋体"/>
          <w:sz w:val="24"/>
        </w:rPr>
        <w:t>行业高端专业人</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才储备方面尚待加强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发行人的主营业务情况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800"/>
        <w:jc w:val="both"/>
      </w:pPr>
      <w:r>
        <w:rPr>
          <w:rFonts w:hint="eastAsia" w:ascii="宋体" w:hAnsi="宋体" w:eastAsia="宋体" w:cs="宋体"/>
          <w:b/>
          <w:sz w:val="30"/>
        </w:rPr>
        <w:t>（一）</w:t>
      </w:r>
      <w:r>
        <w:rPr>
          <w:rFonts w:hint="eastAsia" w:ascii="宋体" w:hAnsi="宋体" w:eastAsia="宋体" w:cs="宋体"/>
          <w:b/>
          <w:sz w:val="24"/>
        </w:rPr>
        <w:t>主要产品或服务的用途</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公司主要产品概况</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780" w:type="auto"/>
        <w:tblInd w:w="1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720"/>
        <w:gridCol w:w="720"/>
        <w:gridCol w:w="3680"/>
        <w:gridCol w:w="4640"/>
      </w:tblGrid>
      <w:tr>
        <w:trPr>
          <w:trHeight w:val="620" w:hRule="exact"/>
        </w:trPr>
        <w:tc>
          <w:tcPr>
            <w:tcW w:w="720" w:type="dxa"/>
            <w:tcMar>
              <w:top w:w="0" w:type="dxa"/>
              <w:left w:w="0" w:type="dxa"/>
              <w:bottom w:w="0" w:type="dxa"/>
              <w:right w:w="0" w:type="dxa"/>
            </w:tcMar>
          </w:tcPr>
          <w:p>
            <w:pPr>
              <w:spacing w:before="40"/>
              <w:ind w:left="140"/>
            </w:pPr>
            <w:r>
              <w:rPr>
                <w:rFonts w:hint="eastAsia" w:ascii="宋体" w:hAnsi="宋体" w:eastAsia="宋体" w:cs="宋体"/>
                <w:b/>
                <w:sz w:val="21"/>
              </w:rPr>
              <w:t>行业</w:t>
            </w:r>
          </w:p>
          <w:p>
            <w:pPr>
              <w:spacing w:before="100"/>
              <w:ind w:left="140"/>
            </w:pPr>
            <w:r>
              <w:rPr>
                <w:rFonts w:hint="eastAsia" w:ascii="宋体" w:hAnsi="宋体" w:eastAsia="宋体" w:cs="宋体"/>
                <w:b/>
                <w:sz w:val="21"/>
              </w:rPr>
              <w:t>领域</w:t>
            </w:r>
          </w:p>
        </w:tc>
        <w:tc>
          <w:tcPr>
            <w:tcW w:w="720" w:type="dxa"/>
            <w:tcMar>
              <w:top w:w="0" w:type="dxa"/>
              <w:left w:w="0" w:type="dxa"/>
              <w:bottom w:w="0" w:type="dxa"/>
              <w:right w:w="0" w:type="dxa"/>
            </w:tcMar>
          </w:tcPr>
          <w:p>
            <w:pPr>
              <w:spacing w:before="40"/>
              <w:ind w:left="140"/>
            </w:pPr>
            <w:r>
              <w:rPr>
                <w:rFonts w:hint="eastAsia" w:ascii="宋体" w:hAnsi="宋体" w:eastAsia="宋体" w:cs="宋体"/>
                <w:b/>
                <w:sz w:val="21"/>
              </w:rPr>
              <w:t>细分</w:t>
            </w:r>
          </w:p>
          <w:p>
            <w:pPr>
              <w:spacing w:before="100"/>
              <w:ind w:left="140"/>
            </w:pPr>
            <w:r>
              <w:rPr>
                <w:rFonts w:hint="eastAsia" w:ascii="宋体" w:hAnsi="宋体" w:eastAsia="宋体" w:cs="宋体"/>
                <w:b/>
                <w:sz w:val="21"/>
              </w:rPr>
              <w:t>行业</w:t>
            </w:r>
          </w:p>
        </w:tc>
        <w:tc>
          <w:tcPr>
            <w:tcW w:w="3680" w:type="dxa"/>
            <w:tcMar>
              <w:top w:w="0" w:type="dxa"/>
              <w:left w:w="0" w:type="dxa"/>
              <w:bottom w:w="0" w:type="dxa"/>
              <w:right w:w="0" w:type="dxa"/>
            </w:tcMar>
          </w:tcPr>
          <w:p>
            <w:pPr>
              <w:spacing w:before="180"/>
              <w:ind w:left="1080"/>
            </w:pPr>
            <w:r>
              <w:rPr>
                <w:rFonts w:hint="eastAsia" w:ascii="宋体" w:hAnsi="宋体" w:eastAsia="宋体" w:cs="宋体"/>
                <w:b/>
                <w:sz w:val="21"/>
              </w:rPr>
              <w:t>产品和解决方案</w:t>
            </w:r>
          </w:p>
        </w:tc>
        <w:tc>
          <w:tcPr>
            <w:tcW w:w="4640" w:type="dxa"/>
            <w:tcMar>
              <w:top w:w="0" w:type="dxa"/>
              <w:left w:w="0" w:type="dxa"/>
              <w:bottom w:w="0" w:type="dxa"/>
              <w:right w:w="0" w:type="dxa"/>
            </w:tcMar>
          </w:tcPr>
          <w:p>
            <w:pPr>
              <w:spacing w:before="180"/>
              <w:ind w:left="1360"/>
            </w:pPr>
            <w:r>
              <w:rPr>
                <w:rFonts w:hint="eastAsia" w:ascii="宋体" w:hAnsi="宋体" w:eastAsia="宋体" w:cs="宋体"/>
                <w:b/>
                <w:sz w:val="21"/>
              </w:rPr>
              <w:t>主要产品及相关服务</w:t>
            </w:r>
          </w:p>
        </w:tc>
      </w:tr>
      <w:tr>
        <w:trPr>
          <w:trHeight w:val="1260" w:hRule="exact"/>
        </w:trPr>
        <w:tc>
          <w:tcPr>
            <w:tcW w:w="720" w:type="dxa"/>
            <w:vMerge w:val="restart"/>
            <w:tcMar>
              <w:top w:w="0" w:type="dxa"/>
              <w:left w:w="0" w:type="dxa"/>
              <w:bottom w:w="0" w:type="dxa"/>
              <w:right w:w="0" w:type="dxa"/>
            </w:tcMar>
          </w:tcPr>
          <w:p>
            <w:pPr>
              <w:spacing w:before="980"/>
              <w:ind w:left="140"/>
            </w:pPr>
            <w:r>
              <w:rPr>
                <w:rFonts w:hint="eastAsia" w:ascii="宋体" w:hAnsi="宋体" w:eastAsia="宋体" w:cs="宋体"/>
                <w:sz w:val="21"/>
              </w:rPr>
              <w:t>金融</w:t>
            </w:r>
          </w:p>
          <w:p>
            <w:pPr>
              <w:spacing w:before="80"/>
              <w:ind w:left="140"/>
            </w:pPr>
            <w:r>
              <w:rPr>
                <w:rFonts w:hint="eastAsia" w:ascii="宋体" w:hAnsi="宋体" w:eastAsia="宋体" w:cs="宋体"/>
                <w:sz w:val="21"/>
              </w:rPr>
              <w:t>行业</w:t>
            </w:r>
          </w:p>
        </w:tc>
        <w:tc>
          <w:tcPr>
            <w:tcW w:w="720" w:type="dxa"/>
            <w:vMerge w:val="restart"/>
            <w:tcMar>
              <w:top w:w="0" w:type="dxa"/>
              <w:left w:w="0" w:type="dxa"/>
              <w:bottom w:w="0" w:type="dxa"/>
              <w:right w:w="0" w:type="dxa"/>
            </w:tcMar>
          </w:tcPr>
          <w:p>
            <w:pPr>
              <w:spacing w:before="980"/>
              <w:ind w:left="140"/>
            </w:pPr>
            <w:r>
              <w:rPr>
                <w:rFonts w:hint="eastAsia" w:ascii="宋体" w:hAnsi="宋体" w:eastAsia="宋体" w:cs="宋体"/>
                <w:sz w:val="21"/>
              </w:rPr>
              <w:t>证券</w:t>
            </w:r>
          </w:p>
          <w:p>
            <w:pPr>
              <w:spacing w:before="100"/>
              <w:ind w:left="240"/>
            </w:pPr>
            <w:r>
              <w:rPr>
                <w:rFonts w:hint="eastAsia" w:ascii="宋体" w:hAnsi="宋体" w:eastAsia="宋体" w:cs="宋体"/>
                <w:sz w:val="21"/>
              </w:rPr>
              <w:t>业</w:t>
            </w:r>
          </w:p>
        </w:tc>
        <w:tc>
          <w:tcPr>
            <w:tcW w:w="3680" w:type="dxa"/>
            <w:tcMar>
              <w:top w:w="0" w:type="dxa"/>
              <w:left w:w="0" w:type="dxa"/>
              <w:bottom w:w="0" w:type="dxa"/>
              <w:right w:w="0" w:type="dxa"/>
            </w:tcMar>
          </w:tcPr>
          <w:p>
            <w:pPr>
              <w:spacing w:before="340"/>
            </w:pPr>
            <w:r>
              <w:rPr>
                <w:rFonts w:hint="eastAsia" w:ascii="宋体" w:hAnsi="宋体" w:eastAsia="宋体" w:cs="宋体"/>
                <w:sz w:val="21"/>
              </w:rPr>
              <w:t>前台服务渠道与作业支持信息化解决</w:t>
            </w:r>
          </w:p>
          <w:p>
            <w:pPr>
              <w:spacing w:before="100"/>
            </w:pPr>
            <w:r>
              <w:rPr>
                <w:rFonts w:hint="eastAsia" w:ascii="宋体" w:hAnsi="宋体" w:eastAsia="宋体" w:cs="宋体"/>
                <w:sz w:val="21"/>
              </w:rPr>
              <w:t>方案</w:t>
            </w:r>
          </w:p>
        </w:tc>
        <w:tc>
          <w:tcPr>
            <w:tcW w:w="4640" w:type="dxa"/>
            <w:tcMar>
              <w:top w:w="0" w:type="dxa"/>
              <w:left w:w="0" w:type="dxa"/>
              <w:bottom w:w="0" w:type="dxa"/>
              <w:right w:w="0" w:type="dxa"/>
            </w:tcMar>
          </w:tcPr>
          <w:p>
            <w:pPr>
              <w:spacing w:before="40"/>
              <w:ind w:left="100"/>
            </w:pPr>
            <w:r>
              <w:rPr>
                <w:rFonts w:hint="eastAsia" w:ascii="宋体" w:hAnsi="宋体" w:eastAsia="宋体" w:cs="宋体"/>
                <w:sz w:val="21"/>
              </w:rPr>
              <w:t>网上产品商城</w:t>
            </w:r>
          </w:p>
          <w:p>
            <w:pPr>
              <w:spacing w:before="80"/>
              <w:ind w:left="100"/>
            </w:pPr>
            <w:r>
              <w:rPr>
                <w:rFonts w:hint="eastAsia" w:ascii="宋体" w:hAnsi="宋体" w:eastAsia="宋体" w:cs="宋体"/>
                <w:sz w:val="21"/>
              </w:rPr>
              <w:t>业务受理终端</w:t>
            </w:r>
          </w:p>
          <w:p>
            <w:pPr>
              <w:spacing w:before="100"/>
              <w:ind w:left="100"/>
            </w:pPr>
            <w:r>
              <w:rPr>
                <w:rFonts w:hint="eastAsia" w:ascii="宋体" w:hAnsi="宋体" w:eastAsia="宋体" w:cs="宋体"/>
                <w:sz w:val="21"/>
              </w:rPr>
              <w:t>微信客户服务系统</w:t>
            </w:r>
          </w:p>
          <w:p>
            <w:pPr>
              <w:spacing w:before="100"/>
              <w:ind w:left="100"/>
            </w:pPr>
            <w:r>
              <w:rPr>
                <w:rFonts w:hint="eastAsia" w:ascii="宋体" w:hAnsi="宋体" w:eastAsia="宋体" w:cs="宋体"/>
                <w:sz w:val="21"/>
              </w:rPr>
              <w:t>移动展业</w:t>
            </w:r>
            <w:r>
              <w:rPr>
                <w:rFonts w:hint="eastAsia" w:ascii="Times New Roman" w:hAnsi="Times New Roman" w:eastAsia="Times New Roman" w:cs="Times New Roman"/>
                <w:sz w:val="21"/>
              </w:rPr>
              <w:t xml:space="preserve"> APP</w:t>
            </w:r>
          </w:p>
        </w:tc>
      </w:tr>
      <w:tr>
        <w:trPr>
          <w:trHeight w:val="1260" w:hRule="exact"/>
        </w:trPr>
        <w:tc>
          <w:tcPr>
            <w:tcW w:w="720" w:type="dxa"/>
            <w:vMerge w:val="continue"/>
            <w:tcMar>
              <w:top w:w="0" w:type="dxa"/>
              <w:left w:w="0" w:type="dxa"/>
              <w:bottom w:w="0" w:type="dxa"/>
              <w:right w:w="0" w:type="dxa"/>
            </w:tcMar>
          </w:tcPr>
          <w:p/>
        </w:tc>
        <w:tc>
          <w:tcPr>
            <w:tcW w:w="720" w:type="dxa"/>
            <w:vMerge w:val="continue"/>
            <w:tcMar>
              <w:top w:w="0" w:type="dxa"/>
              <w:left w:w="0" w:type="dxa"/>
              <w:bottom w:w="0" w:type="dxa"/>
              <w:right w:w="0" w:type="dxa"/>
            </w:tcMar>
          </w:tcPr>
          <w:p/>
        </w:tc>
        <w:tc>
          <w:tcPr>
            <w:tcW w:w="3680" w:type="dxa"/>
            <w:tcMar>
              <w:top w:w="0" w:type="dxa"/>
              <w:left w:w="0" w:type="dxa"/>
              <w:bottom w:w="0" w:type="dxa"/>
              <w:right w:w="0" w:type="dxa"/>
            </w:tcMar>
          </w:tcPr>
          <w:p>
            <w:pPr>
              <w:spacing w:before="500"/>
            </w:pPr>
            <w:r>
              <w:rPr>
                <w:rFonts w:hint="eastAsia" w:ascii="宋体" w:hAnsi="宋体" w:eastAsia="宋体" w:cs="宋体"/>
                <w:sz w:val="21"/>
              </w:rPr>
              <w:t>中台流程信息化解决方案</w:t>
            </w:r>
          </w:p>
        </w:tc>
        <w:tc>
          <w:tcPr>
            <w:tcW w:w="4640" w:type="dxa"/>
            <w:tcMar>
              <w:top w:w="0" w:type="dxa"/>
              <w:left w:w="0" w:type="dxa"/>
              <w:bottom w:w="0" w:type="dxa"/>
              <w:right w:w="0" w:type="dxa"/>
            </w:tcMar>
          </w:tcPr>
          <w:p>
            <w:pPr>
              <w:spacing w:before="40"/>
              <w:ind w:left="100"/>
            </w:pPr>
            <w:r>
              <w:rPr>
                <w:rFonts w:hint="eastAsia" w:ascii="宋体" w:hAnsi="宋体" w:eastAsia="宋体" w:cs="宋体"/>
                <w:sz w:val="21"/>
              </w:rPr>
              <w:t>业务集中运营管理系统</w:t>
            </w:r>
            <w:r>
              <w:rPr>
                <w:rFonts w:hint="eastAsia" w:ascii="宋体" w:hAnsi="宋体" w:eastAsia="宋体" w:cs="宋体"/>
                <w:sz w:val="20"/>
              </w:rPr>
              <w:t>（</w:t>
            </w:r>
            <w:r>
              <w:rPr>
                <w:rFonts w:hint="eastAsia" w:ascii="宋体" w:hAnsi="宋体" w:eastAsia="宋体" w:cs="宋体"/>
                <w:sz w:val="21"/>
              </w:rPr>
              <w:t>如业务运营中台</w:t>
            </w:r>
            <w:r>
              <w:rPr>
                <w:rFonts w:hint="eastAsia" w:ascii="宋体" w:hAnsi="宋体" w:eastAsia="宋体" w:cs="宋体"/>
                <w:sz w:val="20"/>
              </w:rPr>
              <w:t>）</w:t>
            </w:r>
          </w:p>
          <w:p>
            <w:pPr>
              <w:spacing w:before="100"/>
              <w:ind w:left="100"/>
            </w:pPr>
            <w:r>
              <w:rPr>
                <w:rFonts w:hint="eastAsia" w:ascii="宋体" w:hAnsi="宋体" w:eastAsia="宋体" w:cs="宋体"/>
                <w:sz w:val="21"/>
              </w:rPr>
              <w:t>客户管理系统</w:t>
            </w:r>
          </w:p>
          <w:p>
            <w:pPr>
              <w:spacing w:before="100"/>
              <w:ind w:left="100"/>
            </w:pPr>
            <w:r>
              <w:rPr>
                <w:rFonts w:hint="eastAsia" w:ascii="宋体" w:hAnsi="宋体" w:eastAsia="宋体" w:cs="宋体"/>
                <w:sz w:val="21"/>
              </w:rPr>
              <w:t>营销服务</w:t>
            </w:r>
            <w:r>
              <w:rPr>
                <w:rFonts w:hint="eastAsia" w:ascii="宋体" w:hAnsi="宋体" w:eastAsia="宋体" w:cs="宋体"/>
                <w:sz w:val="20"/>
              </w:rPr>
              <w:t>一</w:t>
            </w:r>
            <w:r>
              <w:rPr>
                <w:rFonts w:hint="eastAsia" w:ascii="宋体" w:hAnsi="宋体" w:eastAsia="宋体" w:cs="宋体"/>
                <w:sz w:val="21"/>
              </w:rPr>
              <w:t>体化系统</w:t>
            </w:r>
            <w:r>
              <w:rPr>
                <w:rFonts w:hint="eastAsia" w:ascii="宋体" w:hAnsi="宋体" w:eastAsia="宋体" w:cs="宋体"/>
                <w:sz w:val="20"/>
              </w:rPr>
              <w:t>（</w:t>
            </w:r>
            <w:r>
              <w:rPr>
                <w:rFonts w:hint="eastAsia" w:ascii="宋体" w:hAnsi="宋体" w:eastAsia="宋体" w:cs="宋体"/>
                <w:sz w:val="21"/>
              </w:rPr>
              <w:t>如</w:t>
            </w:r>
            <w:r>
              <w:rPr>
                <w:rFonts w:hint="eastAsia" w:ascii="Times New Roman" w:hAnsi="Times New Roman" w:eastAsia="Times New Roman" w:cs="Times New Roman"/>
                <w:sz w:val="21"/>
              </w:rPr>
              <w:t xml:space="preserve"> CRM</w:t>
            </w:r>
            <w:r>
              <w:rPr>
                <w:rFonts w:hint="eastAsia" w:ascii="宋体" w:hAnsi="宋体" w:eastAsia="宋体" w:cs="宋体"/>
                <w:sz w:val="21"/>
              </w:rPr>
              <w:t xml:space="preserve"> 营销服务</w:t>
            </w:r>
            <w:r>
              <w:rPr>
                <w:rFonts w:hint="eastAsia" w:ascii="宋体" w:hAnsi="宋体" w:eastAsia="宋体" w:cs="宋体"/>
                <w:sz w:val="20"/>
              </w:rPr>
              <w:t>一</w:t>
            </w:r>
            <w:r>
              <w:rPr>
                <w:rFonts w:hint="eastAsia" w:ascii="宋体" w:hAnsi="宋体" w:eastAsia="宋体" w:cs="宋体"/>
                <w:sz w:val="21"/>
              </w:rPr>
              <w:t>体化</w:t>
            </w:r>
          </w:p>
          <w:p>
            <w:pPr>
              <w:spacing w:before="80"/>
              <w:ind w:left="100"/>
            </w:pPr>
            <w:r>
              <w:rPr>
                <w:rFonts w:hint="eastAsia" w:ascii="宋体" w:hAnsi="宋体" w:eastAsia="宋体" w:cs="宋体"/>
                <w:sz w:val="21"/>
              </w:rPr>
              <w:t>平台</w:t>
            </w:r>
            <w:r>
              <w:rPr>
                <w:rFonts w:hint="eastAsia" w:ascii="宋体" w:hAnsi="宋体" w:eastAsia="宋体" w:cs="宋体"/>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1-1-136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780" w:type="auto"/>
        <w:tblInd w:w="1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720"/>
        <w:gridCol w:w="720"/>
        <w:gridCol w:w="3680"/>
        <w:gridCol w:w="4640"/>
      </w:tblGrid>
      <w:tr>
        <w:trPr>
          <w:trHeight w:val="1880" w:hRule="exact"/>
        </w:trPr>
        <w:tc>
          <w:tcPr>
            <w:tcW w:w="720" w:type="dxa"/>
            <w:vMerge w:val="restart"/>
            <w:tcMar>
              <w:top w:w="0" w:type="dxa"/>
              <w:left w:w="0" w:type="dxa"/>
              <w:bottom w:w="0" w:type="dxa"/>
              <w:right w:w="0" w:type="dxa"/>
            </w:tcMar>
          </w:tcPr>
          <w:p/>
        </w:tc>
        <w:tc>
          <w:tcPr>
            <w:tcW w:w="720" w:type="dxa"/>
            <w:vMerge w:val="restart"/>
            <w:tcMar>
              <w:top w:w="0" w:type="dxa"/>
              <w:left w:w="0" w:type="dxa"/>
              <w:bottom w:w="0" w:type="dxa"/>
              <w:right w:w="0" w:type="dxa"/>
            </w:tcMar>
          </w:tcPr>
          <w:p/>
        </w:tc>
        <w:tc>
          <w:tcPr>
            <w:tcW w:w="3680" w:type="dxa"/>
            <w:tcMar>
              <w:top w:w="0" w:type="dxa"/>
              <w:left w:w="0" w:type="dxa"/>
              <w:bottom w:w="0" w:type="dxa"/>
              <w:right w:w="0" w:type="dxa"/>
            </w:tcMar>
          </w:tcPr>
          <w:p/>
        </w:tc>
        <w:tc>
          <w:tcPr>
            <w:tcW w:w="4640" w:type="dxa"/>
            <w:tcMar>
              <w:top w:w="0" w:type="dxa"/>
              <w:left w:w="0" w:type="dxa"/>
              <w:bottom w:w="0" w:type="dxa"/>
              <w:right w:w="0" w:type="dxa"/>
            </w:tcMar>
          </w:tcPr>
          <w:p>
            <w:pPr>
              <w:spacing w:before="40"/>
              <w:ind w:left="100"/>
            </w:pPr>
            <w:r>
              <w:rPr>
                <w:rFonts w:hint="eastAsia" w:ascii="宋体" w:hAnsi="宋体" w:eastAsia="宋体" w:cs="宋体"/>
                <w:sz w:val="21"/>
              </w:rPr>
              <w:t>产品中心系统</w:t>
            </w:r>
          </w:p>
          <w:p>
            <w:pPr>
              <w:spacing w:before="100"/>
              <w:ind w:left="100"/>
            </w:pPr>
            <w:r>
              <w:rPr>
                <w:rFonts w:hint="eastAsia" w:ascii="宋体" w:hAnsi="宋体" w:eastAsia="宋体" w:cs="宋体"/>
                <w:sz w:val="21"/>
              </w:rPr>
              <w:t>财富管理业务支持系统</w:t>
            </w:r>
          </w:p>
          <w:p>
            <w:pPr>
              <w:spacing w:before="100"/>
              <w:ind w:left="100"/>
            </w:pPr>
            <w:r>
              <w:rPr>
                <w:rFonts w:hint="eastAsia" w:ascii="宋体" w:hAnsi="宋体" w:eastAsia="宋体" w:cs="宋体"/>
                <w:sz w:val="21"/>
              </w:rPr>
              <w:t>机构客户管理系统</w:t>
            </w:r>
          </w:p>
          <w:p>
            <w:pPr>
              <w:spacing w:before="80"/>
              <w:ind w:left="100"/>
            </w:pPr>
            <w:r>
              <w:rPr>
                <w:rFonts w:hint="eastAsia" w:ascii="宋体" w:hAnsi="宋体" w:eastAsia="宋体" w:cs="宋体"/>
                <w:sz w:val="21"/>
              </w:rPr>
              <w:t>经纪人管理系统</w:t>
            </w:r>
          </w:p>
          <w:p>
            <w:pPr>
              <w:spacing w:before="100"/>
              <w:ind w:left="100"/>
            </w:pPr>
            <w:r>
              <w:rPr>
                <w:rFonts w:hint="eastAsia" w:ascii="宋体" w:hAnsi="宋体" w:eastAsia="宋体" w:cs="宋体"/>
                <w:sz w:val="21"/>
              </w:rPr>
              <w:t>投资顾问业务支持系统</w:t>
            </w:r>
          </w:p>
          <w:p>
            <w:pPr>
              <w:spacing w:before="100"/>
              <w:ind w:left="100"/>
            </w:pPr>
            <w:r>
              <w:rPr>
                <w:rFonts w:hint="eastAsia" w:ascii="宋体" w:hAnsi="宋体" w:eastAsia="宋体" w:cs="宋体"/>
                <w:sz w:val="21"/>
              </w:rPr>
              <w:t>其它专项业务支持系统</w:t>
            </w:r>
          </w:p>
        </w:tc>
      </w:tr>
      <w:tr>
        <w:trPr>
          <w:trHeight w:val="2500" w:hRule="exact"/>
        </w:trPr>
        <w:tc>
          <w:tcPr>
            <w:tcW w:w="720" w:type="dxa"/>
            <w:vMerge w:val="continue"/>
            <w:tcMar>
              <w:top w:w="0" w:type="dxa"/>
              <w:left w:w="0" w:type="dxa"/>
              <w:bottom w:w="0" w:type="dxa"/>
              <w:right w:w="0" w:type="dxa"/>
            </w:tcMar>
          </w:tcPr>
          <w:p/>
        </w:tc>
        <w:tc>
          <w:tcPr>
            <w:tcW w:w="720" w:type="dxa"/>
            <w:vMerge w:val="continue"/>
            <w:tcMar>
              <w:top w:w="0" w:type="dxa"/>
              <w:left w:w="0" w:type="dxa"/>
              <w:bottom w:w="0" w:type="dxa"/>
              <w:right w:w="0" w:type="dxa"/>
            </w:tcMar>
          </w:tcPr>
          <w:p/>
        </w:tc>
        <w:tc>
          <w:tcPr>
            <w:tcW w:w="3680" w:type="dxa"/>
            <w:tcMar>
              <w:top w:w="0" w:type="dxa"/>
              <w:left w:w="0" w:type="dxa"/>
              <w:bottom w:w="0" w:type="dxa"/>
              <w:right w:w="0" w:type="dxa"/>
            </w:tcMar>
          </w:tcPr>
          <w:p>
            <w:pPr>
              <w:spacing w:before="1140"/>
            </w:pPr>
            <w:r>
              <w:rPr>
                <w:rFonts w:hint="eastAsia" w:ascii="宋体" w:hAnsi="宋体" w:eastAsia="宋体" w:cs="宋体"/>
                <w:sz w:val="21"/>
              </w:rPr>
              <w:t>后台基础运营支持系统解决方案</w:t>
            </w:r>
          </w:p>
        </w:tc>
        <w:tc>
          <w:tcPr>
            <w:tcW w:w="4640" w:type="dxa"/>
            <w:tcMar>
              <w:top w:w="0" w:type="dxa"/>
              <w:left w:w="0" w:type="dxa"/>
              <w:bottom w:w="0" w:type="dxa"/>
              <w:right w:w="0" w:type="dxa"/>
            </w:tcMar>
          </w:tcPr>
          <w:p>
            <w:pPr>
              <w:spacing w:before="40"/>
              <w:ind w:left="100"/>
            </w:pPr>
            <w:r>
              <w:rPr>
                <w:rFonts w:hint="eastAsia" w:ascii="宋体" w:hAnsi="宋体" w:eastAsia="宋体" w:cs="宋体"/>
                <w:sz w:val="21"/>
              </w:rPr>
              <w:t>大规模集中交易系统</w:t>
            </w:r>
            <w:r>
              <w:rPr>
                <w:rFonts w:hint="eastAsia" w:ascii="宋体" w:hAnsi="宋体" w:eastAsia="宋体" w:cs="宋体"/>
                <w:sz w:val="20"/>
              </w:rPr>
              <w:t>（</w:t>
            </w:r>
            <w:r>
              <w:rPr>
                <w:rFonts w:hint="eastAsia" w:ascii="宋体" w:hAnsi="宋体" w:eastAsia="宋体" w:cs="宋体"/>
                <w:sz w:val="21"/>
              </w:rPr>
              <w:t>含</w:t>
            </w:r>
            <w:r>
              <w:rPr>
                <w:rFonts w:hint="eastAsia" w:ascii="Times New Roman" w:hAnsi="Times New Roman" w:eastAsia="Times New Roman" w:cs="Times New Roman"/>
                <w:sz w:val="21"/>
              </w:rPr>
              <w:t xml:space="preserve"> A</w:t>
            </w:r>
            <w:r>
              <w:rPr>
                <w:rFonts w:hint="eastAsia" w:ascii="宋体" w:hAnsi="宋体" w:eastAsia="宋体" w:cs="宋体"/>
                <w:sz w:val="10"/>
              </w:rPr>
              <w:t>、</w:t>
            </w:r>
            <w:r>
              <w:rPr>
                <w:rFonts w:hint="eastAsia" w:ascii="Times New Roman" w:hAnsi="Times New Roman" w:eastAsia="Times New Roman" w:cs="Times New Roman"/>
                <w:sz w:val="21"/>
              </w:rPr>
              <w:t>B</w:t>
            </w:r>
            <w:r>
              <w:rPr>
                <w:rFonts w:hint="eastAsia" w:ascii="宋体" w:hAnsi="宋体" w:eastAsia="宋体" w:cs="宋体"/>
                <w:sz w:val="21"/>
              </w:rPr>
              <w:t xml:space="preserve"> 股</w:t>
            </w:r>
            <w:r>
              <w:rPr>
                <w:rFonts w:hint="eastAsia" w:ascii="宋体" w:hAnsi="宋体" w:eastAsia="宋体" w:cs="宋体"/>
                <w:sz w:val="10"/>
              </w:rPr>
              <w:t>，</w:t>
            </w:r>
            <w:r>
              <w:rPr>
                <w:rFonts w:hint="eastAsia" w:ascii="宋体" w:hAnsi="宋体" w:eastAsia="宋体" w:cs="宋体"/>
                <w:sz w:val="21"/>
              </w:rPr>
              <w:t>三板</w:t>
            </w:r>
            <w:r>
              <w:rPr>
                <w:rFonts w:hint="eastAsia" w:ascii="宋体" w:hAnsi="宋体" w:eastAsia="宋体" w:cs="宋体"/>
                <w:sz w:val="10"/>
              </w:rPr>
              <w:t>，</w:t>
            </w:r>
            <w:r>
              <w:rPr>
                <w:rFonts w:hint="eastAsia" w:ascii="宋体" w:hAnsi="宋体" w:eastAsia="宋体" w:cs="宋体"/>
                <w:sz w:val="21"/>
              </w:rPr>
              <w:t>港股</w:t>
            </w:r>
          </w:p>
          <w:p>
            <w:pPr>
              <w:spacing w:before="80"/>
              <w:ind w:left="100"/>
            </w:pPr>
            <w:r>
              <w:rPr>
                <w:rFonts w:hint="eastAsia" w:ascii="宋体" w:hAnsi="宋体" w:eastAsia="宋体" w:cs="宋体"/>
                <w:sz w:val="21"/>
              </w:rPr>
              <w:t>通</w:t>
            </w:r>
            <w:r>
              <w:rPr>
                <w:rFonts w:hint="eastAsia" w:ascii="宋体" w:hAnsi="宋体" w:eastAsia="宋体" w:cs="宋体"/>
                <w:sz w:val="10"/>
              </w:rPr>
              <w:t>，</w:t>
            </w:r>
            <w:r>
              <w:rPr>
                <w:rFonts w:hint="eastAsia" w:ascii="宋体" w:hAnsi="宋体" w:eastAsia="宋体" w:cs="宋体"/>
                <w:sz w:val="21"/>
              </w:rPr>
              <w:t>融资融券等全品种交易系统</w:t>
            </w:r>
            <w:r>
              <w:rPr>
                <w:rFonts w:hint="eastAsia" w:ascii="宋体" w:hAnsi="宋体" w:eastAsia="宋体" w:cs="宋体"/>
                <w:sz w:val="20"/>
              </w:rPr>
              <w:t>）</w:t>
            </w:r>
          </w:p>
          <w:p>
            <w:pPr>
              <w:spacing w:before="100"/>
              <w:ind w:left="100"/>
            </w:pPr>
            <w:r>
              <w:rPr>
                <w:rFonts w:hint="eastAsia" w:ascii="宋体" w:hAnsi="宋体" w:eastAsia="宋体" w:cs="宋体"/>
                <w:sz w:val="21"/>
              </w:rPr>
              <w:t>期货交易系统</w:t>
            </w:r>
          </w:p>
          <w:p>
            <w:pPr>
              <w:spacing w:before="100"/>
              <w:ind w:left="100"/>
            </w:pPr>
            <w:r>
              <w:rPr>
                <w:rFonts w:hint="eastAsia" w:ascii="宋体" w:hAnsi="宋体" w:eastAsia="宋体" w:cs="宋体"/>
                <w:sz w:val="21"/>
              </w:rPr>
              <w:t>快速内存交易系统</w:t>
            </w:r>
          </w:p>
          <w:p>
            <w:pPr>
              <w:spacing w:before="80"/>
              <w:ind w:left="100"/>
            </w:pPr>
            <w:r>
              <w:rPr>
                <w:rFonts w:hint="eastAsia" w:ascii="宋体" w:hAnsi="宋体" w:eastAsia="宋体" w:cs="宋体"/>
                <w:sz w:val="21"/>
              </w:rPr>
              <w:t>私募产品业务支持系统</w:t>
            </w:r>
          </w:p>
          <w:p>
            <w:pPr>
              <w:spacing w:before="100"/>
              <w:ind w:left="100"/>
            </w:pPr>
            <w:r>
              <w:rPr>
                <w:rFonts w:hint="eastAsia" w:ascii="宋体" w:hAnsi="宋体" w:eastAsia="宋体" w:cs="宋体"/>
                <w:sz w:val="21"/>
              </w:rPr>
              <w:t>资金支付平台</w:t>
            </w:r>
          </w:p>
          <w:p>
            <w:pPr>
              <w:spacing w:before="80"/>
              <w:ind w:left="100"/>
            </w:pPr>
            <w:r>
              <w:rPr>
                <w:rFonts w:hint="eastAsia" w:ascii="宋体" w:hAnsi="宋体" w:eastAsia="宋体" w:cs="宋体"/>
                <w:sz w:val="21"/>
              </w:rPr>
              <w:t>后台支持系统</w:t>
            </w:r>
            <w:r>
              <w:rPr>
                <w:rFonts w:hint="eastAsia" w:ascii="宋体" w:hAnsi="宋体" w:eastAsia="宋体" w:cs="宋体"/>
                <w:sz w:val="20"/>
              </w:rPr>
              <w:t>（</w:t>
            </w:r>
            <w:r>
              <w:rPr>
                <w:rFonts w:hint="eastAsia" w:ascii="宋体" w:hAnsi="宋体" w:eastAsia="宋体" w:cs="宋体"/>
                <w:sz w:val="21"/>
              </w:rPr>
              <w:t>资金</w:t>
            </w:r>
            <w:r>
              <w:rPr>
                <w:rFonts w:hint="eastAsia" w:ascii="宋体" w:hAnsi="宋体" w:eastAsia="宋体" w:cs="宋体"/>
                <w:sz w:val="10"/>
              </w:rPr>
              <w:t>、</w:t>
            </w:r>
            <w:r>
              <w:rPr>
                <w:rFonts w:hint="eastAsia" w:ascii="宋体" w:hAnsi="宋体" w:eastAsia="宋体" w:cs="宋体"/>
                <w:sz w:val="21"/>
              </w:rPr>
              <w:t>账户</w:t>
            </w:r>
            <w:r>
              <w:rPr>
                <w:rFonts w:hint="eastAsia" w:ascii="宋体" w:hAnsi="宋体" w:eastAsia="宋体" w:cs="宋体"/>
                <w:sz w:val="10"/>
              </w:rPr>
              <w:t>、</w:t>
            </w:r>
            <w:r>
              <w:rPr>
                <w:rFonts w:hint="eastAsia" w:ascii="宋体" w:hAnsi="宋体" w:eastAsia="宋体" w:cs="宋体"/>
                <w:sz w:val="21"/>
              </w:rPr>
              <w:t>支付</w:t>
            </w:r>
            <w:r>
              <w:rPr>
                <w:rFonts w:hint="eastAsia" w:ascii="宋体" w:hAnsi="宋体" w:eastAsia="宋体" w:cs="宋体"/>
                <w:sz w:val="10"/>
              </w:rPr>
              <w:t>、</w:t>
            </w:r>
            <w:r>
              <w:rPr>
                <w:rFonts w:hint="eastAsia" w:ascii="宋体" w:hAnsi="宋体" w:eastAsia="宋体" w:cs="宋体"/>
                <w:sz w:val="21"/>
              </w:rPr>
              <w:t>理财</w:t>
            </w:r>
            <w:r>
              <w:rPr>
                <w:rFonts w:hint="eastAsia" w:ascii="宋体" w:hAnsi="宋体" w:eastAsia="宋体" w:cs="宋体"/>
                <w:sz w:val="20"/>
              </w:rPr>
              <w:t>）</w:t>
            </w:r>
          </w:p>
          <w:p>
            <w:pPr>
              <w:spacing w:before="100"/>
              <w:ind w:left="100"/>
            </w:pPr>
            <w:r>
              <w:rPr>
                <w:rFonts w:hint="eastAsia" w:ascii="宋体" w:hAnsi="宋体" w:eastAsia="宋体" w:cs="宋体"/>
                <w:sz w:val="21"/>
              </w:rPr>
              <w:t>综合理财账户管理系统</w:t>
            </w:r>
          </w:p>
        </w:tc>
      </w:tr>
      <w:tr>
        <w:trPr>
          <w:trHeight w:val="1580" w:hRule="exact"/>
        </w:trPr>
        <w:tc>
          <w:tcPr>
            <w:tcW w:w="720" w:type="dxa"/>
            <w:vMerge w:val="continue"/>
            <w:tcMar>
              <w:top w:w="0" w:type="dxa"/>
              <w:left w:w="0" w:type="dxa"/>
              <w:bottom w:w="0" w:type="dxa"/>
              <w:right w:w="0" w:type="dxa"/>
            </w:tcMar>
          </w:tcPr>
          <w:p/>
        </w:tc>
        <w:tc>
          <w:tcPr>
            <w:tcW w:w="720" w:type="dxa"/>
            <w:tcMar>
              <w:top w:w="0" w:type="dxa"/>
              <w:left w:w="0" w:type="dxa"/>
              <w:bottom w:w="0" w:type="dxa"/>
              <w:right w:w="0" w:type="dxa"/>
            </w:tcMar>
          </w:tcPr>
          <w:p>
            <w:pPr>
              <w:spacing w:before="360"/>
              <w:ind w:left="140"/>
            </w:pPr>
            <w:r>
              <w:rPr>
                <w:rFonts w:hint="eastAsia" w:ascii="宋体" w:hAnsi="宋体" w:eastAsia="宋体" w:cs="宋体"/>
                <w:sz w:val="21"/>
              </w:rPr>
              <w:t>电子</w:t>
            </w:r>
          </w:p>
          <w:p>
            <w:pPr>
              <w:spacing w:before="100"/>
              <w:ind w:left="140"/>
            </w:pPr>
            <w:r>
              <w:rPr>
                <w:rFonts w:hint="eastAsia" w:ascii="宋体" w:hAnsi="宋体" w:eastAsia="宋体" w:cs="宋体"/>
                <w:sz w:val="21"/>
              </w:rPr>
              <w:t>交易</w:t>
            </w:r>
          </w:p>
          <w:p>
            <w:pPr>
              <w:spacing w:before="100"/>
              <w:ind w:left="140"/>
            </w:pPr>
            <w:r>
              <w:rPr>
                <w:rFonts w:hint="eastAsia" w:ascii="宋体" w:hAnsi="宋体" w:eastAsia="宋体" w:cs="宋体"/>
                <w:sz w:val="21"/>
              </w:rPr>
              <w:t>市场</w:t>
            </w:r>
          </w:p>
        </w:tc>
        <w:tc>
          <w:tcPr>
            <w:tcW w:w="3680" w:type="dxa"/>
            <w:tcMar>
              <w:top w:w="0" w:type="dxa"/>
              <w:left w:w="0" w:type="dxa"/>
              <w:bottom w:w="0" w:type="dxa"/>
              <w:right w:w="0" w:type="dxa"/>
            </w:tcMar>
          </w:tcPr>
          <w:p>
            <w:pPr>
              <w:spacing w:before="680"/>
            </w:pPr>
            <w:r>
              <w:rPr>
                <w:rFonts w:hint="eastAsia" w:ascii="宋体" w:hAnsi="宋体" w:eastAsia="宋体" w:cs="宋体"/>
                <w:sz w:val="21"/>
              </w:rPr>
              <w:t>电子交易市场信息化解决方案</w:t>
            </w:r>
          </w:p>
        </w:tc>
        <w:tc>
          <w:tcPr>
            <w:tcW w:w="4640" w:type="dxa"/>
            <w:tcMar>
              <w:top w:w="0" w:type="dxa"/>
              <w:left w:w="0" w:type="dxa"/>
              <w:bottom w:w="0" w:type="dxa"/>
              <w:right w:w="0" w:type="dxa"/>
            </w:tcMar>
          </w:tcPr>
          <w:p>
            <w:pPr>
              <w:spacing w:before="40"/>
              <w:ind w:left="100"/>
            </w:pPr>
            <w:r>
              <w:rPr>
                <w:rFonts w:hint="eastAsia" w:ascii="宋体" w:hAnsi="宋体" w:eastAsia="宋体" w:cs="宋体"/>
                <w:sz w:val="21"/>
              </w:rPr>
              <w:t>股权交易与登记托管系统</w:t>
            </w:r>
          </w:p>
          <w:p>
            <w:pPr>
              <w:spacing w:before="100"/>
              <w:ind w:left="100"/>
            </w:pPr>
            <w:r>
              <w:rPr>
                <w:rFonts w:hint="eastAsia" w:ascii="宋体" w:hAnsi="宋体" w:eastAsia="宋体" w:cs="宋体"/>
                <w:sz w:val="21"/>
              </w:rPr>
              <w:t>金融资产交易综合业务系统</w:t>
            </w:r>
          </w:p>
          <w:p>
            <w:pPr>
              <w:spacing w:before="80"/>
              <w:ind w:left="100"/>
            </w:pPr>
            <w:r>
              <w:rPr>
                <w:rFonts w:hint="eastAsia" w:ascii="宋体" w:hAnsi="宋体" w:eastAsia="宋体" w:cs="宋体"/>
                <w:sz w:val="21"/>
              </w:rPr>
              <w:t>现货大宗商品交易系统</w:t>
            </w:r>
          </w:p>
          <w:p>
            <w:pPr>
              <w:spacing w:before="100"/>
              <w:ind w:left="100"/>
            </w:pPr>
            <w:r>
              <w:rPr>
                <w:rFonts w:hint="eastAsia" w:ascii="宋体" w:hAnsi="宋体" w:eastAsia="宋体" w:cs="宋体"/>
                <w:sz w:val="21"/>
              </w:rPr>
              <w:t>产权综合业务系统</w:t>
            </w:r>
          </w:p>
          <w:p>
            <w:pPr>
              <w:spacing w:before="80"/>
              <w:ind w:left="100"/>
            </w:pPr>
            <w:r>
              <w:rPr>
                <w:rFonts w:hint="eastAsia" w:ascii="宋体" w:hAnsi="宋体" w:eastAsia="宋体" w:cs="宋体"/>
                <w:sz w:val="21"/>
              </w:rPr>
              <w:t>电子交易综合业务系统</w:t>
            </w:r>
          </w:p>
        </w:tc>
      </w:tr>
      <w:tr>
        <w:trPr>
          <w:trHeight w:val="1880" w:hRule="exact"/>
        </w:trPr>
        <w:tc>
          <w:tcPr>
            <w:tcW w:w="720" w:type="dxa"/>
            <w:vMerge w:val="continue"/>
            <w:tcMar>
              <w:top w:w="0" w:type="dxa"/>
              <w:left w:w="0" w:type="dxa"/>
              <w:bottom w:w="0" w:type="dxa"/>
              <w:right w:w="0" w:type="dxa"/>
            </w:tcMar>
          </w:tcPr>
          <w:p/>
        </w:tc>
        <w:tc>
          <w:tcPr>
            <w:tcW w:w="720" w:type="dxa"/>
            <w:tcMar>
              <w:top w:w="0" w:type="dxa"/>
              <w:left w:w="0" w:type="dxa"/>
              <w:bottom w:w="0" w:type="dxa"/>
              <w:right w:w="0" w:type="dxa"/>
            </w:tcMar>
          </w:tcPr>
          <w:p>
            <w:pPr>
              <w:spacing w:before="660"/>
              <w:ind w:left="140"/>
            </w:pPr>
            <w:r>
              <w:rPr>
                <w:rFonts w:hint="eastAsia" w:ascii="宋体" w:hAnsi="宋体" w:eastAsia="宋体" w:cs="宋体"/>
                <w:sz w:val="21"/>
              </w:rPr>
              <w:t>银行</w:t>
            </w:r>
          </w:p>
          <w:p>
            <w:pPr>
              <w:spacing w:before="100"/>
              <w:ind w:left="240"/>
            </w:pPr>
            <w:r>
              <w:rPr>
                <w:rFonts w:hint="eastAsia" w:ascii="宋体" w:hAnsi="宋体" w:eastAsia="宋体" w:cs="宋体"/>
                <w:sz w:val="21"/>
              </w:rPr>
              <w:t>业</w:t>
            </w:r>
          </w:p>
        </w:tc>
        <w:tc>
          <w:tcPr>
            <w:tcW w:w="3680" w:type="dxa"/>
            <w:tcMar>
              <w:top w:w="0" w:type="dxa"/>
              <w:left w:w="0" w:type="dxa"/>
              <w:bottom w:w="0" w:type="dxa"/>
              <w:right w:w="0" w:type="dxa"/>
            </w:tcMar>
          </w:tcPr>
          <w:p>
            <w:pPr>
              <w:spacing w:before="820"/>
            </w:pPr>
            <w:r>
              <w:rPr>
                <w:rFonts w:hint="eastAsia" w:ascii="宋体" w:hAnsi="宋体" w:eastAsia="宋体" w:cs="宋体"/>
                <w:sz w:val="21"/>
              </w:rPr>
              <w:t>银行综合经营管理信息化解决方案</w:t>
            </w:r>
          </w:p>
        </w:tc>
        <w:tc>
          <w:tcPr>
            <w:tcW w:w="4640" w:type="dxa"/>
            <w:tcMar>
              <w:top w:w="0" w:type="dxa"/>
              <w:left w:w="0" w:type="dxa"/>
              <w:bottom w:w="0" w:type="dxa"/>
              <w:right w:w="0" w:type="dxa"/>
            </w:tcMar>
          </w:tcPr>
          <w:p>
            <w:pPr>
              <w:spacing w:before="40"/>
              <w:ind w:left="100"/>
            </w:pPr>
            <w:r>
              <w:rPr>
                <w:rFonts w:hint="eastAsia" w:ascii="宋体" w:hAnsi="宋体" w:eastAsia="宋体" w:cs="宋体"/>
                <w:sz w:val="21"/>
              </w:rPr>
              <w:t>客户建档与预授信系统</w:t>
            </w:r>
          </w:p>
          <w:p>
            <w:pPr>
              <w:spacing w:before="100"/>
              <w:ind w:left="100"/>
            </w:pPr>
            <w:r>
              <w:rPr>
                <w:rFonts w:hint="eastAsia" w:ascii="宋体" w:hAnsi="宋体" w:eastAsia="宋体" w:cs="宋体"/>
                <w:sz w:val="21"/>
              </w:rPr>
              <w:t>客户营销管理系统</w:t>
            </w:r>
          </w:p>
          <w:p>
            <w:pPr>
              <w:spacing w:before="100"/>
              <w:ind w:left="100"/>
            </w:pPr>
            <w:r>
              <w:rPr>
                <w:rFonts w:hint="eastAsia" w:ascii="宋体" w:hAnsi="宋体" w:eastAsia="宋体" w:cs="宋体"/>
                <w:sz w:val="21"/>
              </w:rPr>
              <w:t>精准营销系统</w:t>
            </w:r>
          </w:p>
          <w:p>
            <w:pPr>
              <w:spacing w:before="80"/>
              <w:ind w:left="100"/>
            </w:pPr>
            <w:r>
              <w:rPr>
                <w:rFonts w:hint="eastAsia" w:ascii="宋体" w:hAnsi="宋体" w:eastAsia="宋体" w:cs="宋体"/>
                <w:sz w:val="21"/>
              </w:rPr>
              <w:t>绩效管理系统</w:t>
            </w:r>
          </w:p>
          <w:p>
            <w:pPr>
              <w:spacing w:before="100"/>
              <w:ind w:left="100"/>
            </w:pPr>
            <w:r>
              <w:rPr>
                <w:rFonts w:hint="eastAsia" w:ascii="宋体" w:hAnsi="宋体" w:eastAsia="宋体" w:cs="宋体"/>
                <w:sz w:val="21"/>
              </w:rPr>
              <w:t>产业链客户管理系统</w:t>
            </w:r>
          </w:p>
          <w:p>
            <w:pPr>
              <w:spacing w:before="100"/>
              <w:ind w:left="100"/>
            </w:pPr>
            <w:r>
              <w:rPr>
                <w:rFonts w:hint="eastAsia" w:ascii="宋体" w:hAnsi="宋体" w:eastAsia="宋体" w:cs="宋体"/>
                <w:sz w:val="21"/>
              </w:rPr>
              <w:t>客户经理工作平台</w:t>
            </w:r>
          </w:p>
        </w:tc>
      </w:tr>
      <w:tr>
        <w:trPr>
          <w:trHeight w:val="1260" w:hRule="exact"/>
        </w:trPr>
        <w:tc>
          <w:tcPr>
            <w:tcW w:w="720" w:type="dxa"/>
            <w:vMerge w:val="restart"/>
            <w:tcMar>
              <w:top w:w="0" w:type="dxa"/>
              <w:left w:w="0" w:type="dxa"/>
              <w:bottom w:w="0" w:type="dxa"/>
              <w:right w:w="0" w:type="dxa"/>
            </w:tcMar>
          </w:tcPr>
          <w:p>
            <w:pPr>
              <w:spacing w:before="820"/>
              <w:ind w:left="140"/>
            </w:pPr>
            <w:r>
              <w:rPr>
                <w:rFonts w:hint="eastAsia" w:ascii="宋体" w:hAnsi="宋体" w:eastAsia="宋体" w:cs="宋体"/>
                <w:sz w:val="21"/>
              </w:rPr>
              <w:t>非金</w:t>
            </w:r>
          </w:p>
          <w:p>
            <w:pPr>
              <w:spacing w:before="100"/>
              <w:ind w:left="140"/>
            </w:pPr>
            <w:r>
              <w:rPr>
                <w:rFonts w:hint="eastAsia" w:ascii="宋体" w:hAnsi="宋体" w:eastAsia="宋体" w:cs="宋体"/>
                <w:sz w:val="21"/>
              </w:rPr>
              <w:t>融行</w:t>
            </w:r>
          </w:p>
          <w:p>
            <w:pPr>
              <w:spacing w:before="100"/>
              <w:ind w:left="240"/>
            </w:pPr>
            <w:r>
              <w:rPr>
                <w:rFonts w:hint="eastAsia" w:ascii="宋体" w:hAnsi="宋体" w:eastAsia="宋体" w:cs="宋体"/>
                <w:sz w:val="21"/>
              </w:rPr>
              <w:t>业</w:t>
            </w:r>
          </w:p>
        </w:tc>
        <w:tc>
          <w:tcPr>
            <w:tcW w:w="720" w:type="dxa"/>
            <w:tcMar>
              <w:top w:w="0" w:type="dxa"/>
              <w:left w:w="0" w:type="dxa"/>
              <w:bottom w:w="0" w:type="dxa"/>
              <w:right w:w="0" w:type="dxa"/>
            </w:tcMar>
          </w:tcPr>
          <w:p>
            <w:pPr>
              <w:spacing w:before="520"/>
              <w:ind w:left="140"/>
            </w:pPr>
            <w:r>
              <w:rPr>
                <w:rFonts w:hint="eastAsia" w:ascii="宋体" w:hAnsi="宋体" w:eastAsia="宋体" w:cs="宋体"/>
                <w:sz w:val="21"/>
              </w:rPr>
              <w:t>教育</w:t>
            </w:r>
          </w:p>
        </w:tc>
        <w:tc>
          <w:tcPr>
            <w:tcW w:w="3680" w:type="dxa"/>
            <w:tcMar>
              <w:top w:w="0" w:type="dxa"/>
              <w:left w:w="0" w:type="dxa"/>
              <w:bottom w:w="0" w:type="dxa"/>
              <w:right w:w="0" w:type="dxa"/>
            </w:tcMar>
          </w:tcPr>
          <w:p>
            <w:pPr>
              <w:spacing w:before="520"/>
            </w:pPr>
            <w:r>
              <w:rPr>
                <w:rFonts w:hint="eastAsia" w:ascii="宋体" w:hAnsi="宋体" w:eastAsia="宋体" w:cs="宋体"/>
                <w:sz w:val="21"/>
              </w:rPr>
              <w:t>数字化校园流程管理信息化解决方案</w:t>
            </w:r>
          </w:p>
        </w:tc>
        <w:tc>
          <w:tcPr>
            <w:tcW w:w="4640" w:type="dxa"/>
            <w:tcMar>
              <w:top w:w="0" w:type="dxa"/>
              <w:left w:w="0" w:type="dxa"/>
              <w:bottom w:w="0" w:type="dxa"/>
              <w:right w:w="0" w:type="dxa"/>
            </w:tcMar>
          </w:tcPr>
          <w:p>
            <w:pPr>
              <w:spacing w:before="40"/>
              <w:ind w:left="100"/>
            </w:pPr>
            <w:r>
              <w:rPr>
                <w:rFonts w:hint="eastAsia" w:ascii="宋体" w:hAnsi="宋体" w:eastAsia="宋体" w:cs="宋体"/>
                <w:sz w:val="21"/>
              </w:rPr>
              <w:t>招生与迎新系统</w:t>
            </w:r>
          </w:p>
          <w:p>
            <w:pPr>
              <w:spacing w:before="100"/>
              <w:ind w:left="100"/>
            </w:pPr>
            <w:r>
              <w:rPr>
                <w:rFonts w:hint="eastAsia" w:ascii="宋体" w:hAnsi="宋体" w:eastAsia="宋体" w:cs="宋体"/>
                <w:sz w:val="21"/>
              </w:rPr>
              <w:t>教务管理系统</w:t>
            </w:r>
          </w:p>
          <w:p>
            <w:pPr>
              <w:spacing w:before="100"/>
              <w:ind w:left="100"/>
            </w:pPr>
            <w:r>
              <w:rPr>
                <w:rFonts w:hint="eastAsia" w:ascii="宋体" w:hAnsi="宋体" w:eastAsia="宋体" w:cs="宋体"/>
                <w:sz w:val="21"/>
              </w:rPr>
              <w:t>收费管理系统</w:t>
            </w:r>
          </w:p>
          <w:p>
            <w:pPr>
              <w:spacing w:before="100"/>
              <w:ind w:left="100"/>
            </w:pPr>
            <w:r>
              <w:rPr>
                <w:rFonts w:hint="eastAsia" w:ascii="宋体" w:hAnsi="宋体" w:eastAsia="宋体" w:cs="宋体"/>
                <w:sz w:val="21"/>
              </w:rPr>
              <w:t>教师管理与考核系统</w:t>
            </w:r>
          </w:p>
        </w:tc>
      </w:tr>
      <w:tr>
        <w:trPr>
          <w:trHeight w:val="1240" w:hRule="exact"/>
        </w:trPr>
        <w:tc>
          <w:tcPr>
            <w:tcW w:w="720" w:type="dxa"/>
            <w:vMerge w:val="continue"/>
            <w:tcMar>
              <w:top w:w="0" w:type="dxa"/>
              <w:left w:w="0" w:type="dxa"/>
              <w:bottom w:w="0" w:type="dxa"/>
              <w:right w:w="0" w:type="dxa"/>
            </w:tcMar>
          </w:tcPr>
          <w:p/>
        </w:tc>
        <w:tc>
          <w:tcPr>
            <w:tcW w:w="720" w:type="dxa"/>
            <w:tcMar>
              <w:top w:w="0" w:type="dxa"/>
              <w:left w:w="0" w:type="dxa"/>
              <w:bottom w:w="0" w:type="dxa"/>
              <w:right w:w="0" w:type="dxa"/>
            </w:tcMar>
          </w:tcPr>
          <w:p>
            <w:pPr>
              <w:spacing w:before="180"/>
              <w:ind w:left="140"/>
            </w:pPr>
            <w:r>
              <w:rPr>
                <w:rFonts w:hint="eastAsia" w:ascii="宋体" w:hAnsi="宋体" w:eastAsia="宋体" w:cs="宋体"/>
                <w:sz w:val="21"/>
              </w:rPr>
              <w:t>大中</w:t>
            </w:r>
          </w:p>
          <w:p>
            <w:pPr>
              <w:spacing w:before="100"/>
              <w:ind w:left="140"/>
            </w:pPr>
            <w:r>
              <w:rPr>
                <w:rFonts w:hint="eastAsia" w:ascii="宋体" w:hAnsi="宋体" w:eastAsia="宋体" w:cs="宋体"/>
                <w:sz w:val="21"/>
              </w:rPr>
              <w:t>型企</w:t>
            </w:r>
          </w:p>
          <w:p>
            <w:pPr>
              <w:spacing w:before="120"/>
              <w:ind w:left="240"/>
            </w:pPr>
            <w:r>
              <w:rPr>
                <w:rFonts w:hint="eastAsia" w:ascii="宋体" w:hAnsi="宋体" w:eastAsia="宋体" w:cs="宋体"/>
                <w:sz w:val="21"/>
              </w:rPr>
              <w:t>业</w:t>
            </w:r>
          </w:p>
        </w:tc>
        <w:tc>
          <w:tcPr>
            <w:tcW w:w="3680" w:type="dxa"/>
            <w:tcMar>
              <w:top w:w="0" w:type="dxa"/>
              <w:left w:w="0" w:type="dxa"/>
              <w:bottom w:w="0" w:type="dxa"/>
              <w:right w:w="0" w:type="dxa"/>
            </w:tcMar>
          </w:tcPr>
          <w:p>
            <w:pPr>
              <w:spacing w:before="500"/>
            </w:pPr>
            <w:r>
              <w:rPr>
                <w:rFonts w:hint="eastAsia" w:ascii="宋体" w:hAnsi="宋体" w:eastAsia="宋体" w:cs="宋体"/>
                <w:sz w:val="21"/>
              </w:rPr>
              <w:t>企业流程管理信息化解决方案</w:t>
            </w:r>
          </w:p>
        </w:tc>
        <w:tc>
          <w:tcPr>
            <w:tcW w:w="4640" w:type="dxa"/>
            <w:tcMar>
              <w:top w:w="0" w:type="dxa"/>
              <w:left w:w="0" w:type="dxa"/>
              <w:bottom w:w="0" w:type="dxa"/>
              <w:right w:w="0" w:type="dxa"/>
            </w:tcMar>
          </w:tcPr>
          <w:p>
            <w:pPr>
              <w:spacing w:before="40"/>
              <w:ind w:left="100"/>
            </w:pPr>
            <w:r>
              <w:rPr>
                <w:rFonts w:hint="eastAsia" w:ascii="宋体" w:hAnsi="宋体" w:eastAsia="宋体" w:cs="宋体"/>
                <w:sz w:val="21"/>
              </w:rPr>
              <w:t>业务流程管理系统</w:t>
            </w:r>
          </w:p>
          <w:p>
            <w:pPr>
              <w:spacing w:before="100"/>
              <w:ind w:left="100"/>
            </w:pPr>
            <w:r>
              <w:rPr>
                <w:rFonts w:hint="eastAsia" w:ascii="宋体" w:hAnsi="宋体" w:eastAsia="宋体" w:cs="宋体"/>
                <w:sz w:val="21"/>
              </w:rPr>
              <w:t>财务预算管理系统</w:t>
            </w:r>
          </w:p>
          <w:p>
            <w:pPr>
              <w:spacing w:before="100"/>
              <w:ind w:left="100"/>
            </w:pPr>
            <w:r>
              <w:rPr>
                <w:rFonts w:hint="eastAsia" w:ascii="宋体" w:hAnsi="宋体" w:eastAsia="宋体" w:cs="宋体"/>
                <w:sz w:val="21"/>
              </w:rPr>
              <w:t>项目过程管理系统</w:t>
            </w:r>
          </w:p>
          <w:p>
            <w:pPr>
              <w:spacing w:before="80"/>
              <w:ind w:left="100"/>
            </w:pPr>
            <w:r>
              <w:rPr>
                <w:rFonts w:hint="eastAsia" w:ascii="宋体" w:hAnsi="宋体" w:eastAsia="宋体" w:cs="宋体"/>
                <w:sz w:val="21"/>
              </w:rPr>
              <w:t>人力资源管理系统</w:t>
            </w:r>
          </w:p>
        </w:tc>
      </w:tr>
    </w:tbl>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发行人产品在上述不同领域发挥的具体作用</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b/>
          <w:sz w:val="24"/>
        </w:rPr>
        <w:t>报告期内</w:t>
      </w:r>
      <w:r>
        <w:rPr>
          <w:rFonts w:hint="eastAsia" w:ascii="宋体" w:hAnsi="宋体" w:eastAsia="宋体" w:cs="宋体"/>
          <w:b/>
          <w:sz w:val="10"/>
        </w:rPr>
        <w:t>，</w:t>
      </w:r>
      <w:r>
        <w:rPr>
          <w:rFonts w:hint="eastAsia" w:ascii="宋体" w:hAnsi="宋体" w:eastAsia="宋体" w:cs="宋体"/>
          <w:b/>
          <w:sz w:val="24"/>
        </w:rPr>
        <w:t>公司主营业务收入的分布情况如下</w:t>
      </w:r>
      <w:r>
        <w:rPr>
          <w:rFonts w:hint="eastAsia" w:ascii="宋体" w:hAnsi="宋体" w:eastAsia="宋体" w:cs="宋体"/>
          <w:b/>
          <w:sz w:val="10"/>
        </w:rPr>
        <w:t>：</w:t>
      </w:r>
    </w:p>
    <w:p>
      <w:pPr>
        <w:spacing w:line="200" w:lineRule="exact"/>
        <w:rPr>
          <w:rFonts w:hint="eastAsia" w:ascii="宋体" w:hAnsi="宋体" w:eastAsia="宋体" w:cs="宋体"/>
          <w:sz w:val="20"/>
        </w:rPr>
      </w:pPr>
    </w:p>
    <w:p>
      <w:pPr>
        <w:autoSpaceDE w:val="false"/>
        <w:autoSpaceDN w:val="false"/>
        <w:spacing w:line="320" w:lineRule="exact"/>
        <w:ind w:left="90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40" w:lineRule="exact"/>
        <w:rPr>
          <w:rFonts w:hint="eastAsia" w:ascii="宋体" w:hAnsi="宋体" w:eastAsia="宋体" w:cs="宋体"/>
          <w:sz w:val="20"/>
        </w:rPr>
      </w:pPr>
    </w:p>
    <w:tbl>
      <w:tblPr>
        <w:tblW w:w="994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80"/>
        <w:gridCol w:w="840"/>
        <w:gridCol w:w="2540"/>
        <w:gridCol w:w="1000"/>
        <w:gridCol w:w="980"/>
        <w:gridCol w:w="1000"/>
        <w:gridCol w:w="1000"/>
        <w:gridCol w:w="1000"/>
        <w:gridCol w:w="980"/>
      </w:tblGrid>
      <w:tr>
        <w:trPr>
          <w:trHeight w:val="480" w:hRule="exact"/>
        </w:trPr>
        <w:tc>
          <w:tcPr>
            <w:tcW w:w="580" w:type="dxa"/>
            <w:vMerge w:val="restart"/>
            <w:tcMar>
              <w:top w:w="0" w:type="dxa"/>
              <w:left w:w="0" w:type="dxa"/>
              <w:bottom w:w="0" w:type="dxa"/>
              <w:right w:w="0" w:type="dxa"/>
            </w:tcMar>
          </w:tcPr>
          <w:p>
            <w:pPr>
              <w:spacing w:before="380"/>
            </w:pPr>
            <w:r>
              <w:rPr>
                <w:rFonts w:hint="eastAsia" w:ascii="宋体" w:hAnsi="宋体" w:eastAsia="宋体" w:cs="宋体"/>
                <w:b/>
                <w:sz w:val="18"/>
              </w:rPr>
              <w:t>行业</w:t>
            </w:r>
          </w:p>
        </w:tc>
        <w:tc>
          <w:tcPr>
            <w:tcW w:w="840" w:type="dxa"/>
            <w:vMerge w:val="restart"/>
            <w:tcMar>
              <w:top w:w="0" w:type="dxa"/>
              <w:left w:w="0" w:type="dxa"/>
              <w:bottom w:w="0" w:type="dxa"/>
              <w:right w:w="0" w:type="dxa"/>
            </w:tcMar>
          </w:tcPr>
          <w:p>
            <w:pPr>
              <w:spacing w:before="380"/>
              <w:ind w:left="220"/>
            </w:pPr>
            <w:r>
              <w:rPr>
                <w:rFonts w:hint="eastAsia" w:ascii="宋体" w:hAnsi="宋体" w:eastAsia="宋体" w:cs="宋体"/>
                <w:b/>
                <w:sz w:val="18"/>
              </w:rPr>
              <w:t>细分</w:t>
            </w:r>
          </w:p>
        </w:tc>
        <w:tc>
          <w:tcPr>
            <w:tcW w:w="2540" w:type="dxa"/>
            <w:vMerge w:val="restart"/>
            <w:tcMar>
              <w:top w:w="0" w:type="dxa"/>
              <w:left w:w="0" w:type="dxa"/>
              <w:bottom w:w="0" w:type="dxa"/>
              <w:right w:w="0" w:type="dxa"/>
            </w:tcMar>
          </w:tcPr>
          <w:p>
            <w:pPr>
              <w:spacing w:before="380"/>
              <w:ind w:left="620"/>
            </w:pPr>
            <w:r>
              <w:rPr>
                <w:rFonts w:hint="eastAsia" w:ascii="宋体" w:hAnsi="宋体" w:eastAsia="宋体" w:cs="宋体"/>
                <w:b/>
                <w:sz w:val="18"/>
              </w:rPr>
              <w:t>产品和解决方案</w:t>
            </w:r>
          </w:p>
        </w:tc>
        <w:tc>
          <w:tcPr>
            <w:tcW w:w="1980" w:type="dxa"/>
            <w:gridSpan w:val="2"/>
            <w:tcMar>
              <w:top w:w="0" w:type="dxa"/>
              <w:left w:w="0" w:type="dxa"/>
              <w:bottom w:w="0" w:type="dxa"/>
              <w:right w:w="0" w:type="dxa"/>
            </w:tcMar>
          </w:tcPr>
          <w:p>
            <w:pPr>
              <w:spacing w:before="140"/>
              <w:ind w:left="680"/>
            </w:pPr>
            <w:r>
              <w:rPr>
                <w:rFonts w:hint="eastAsia" w:ascii="Times New Roman Bold" w:hAnsi="Times New Roman Bold" w:eastAsia="Times New Roman Bold" w:cs="Times New Roman Bold"/>
                <w:b/>
                <w:sz w:val="18"/>
              </w:rPr>
              <w:t>2016</w:t>
            </w:r>
            <w:r>
              <w:rPr>
                <w:rFonts w:hint="eastAsia" w:ascii="宋体" w:hAnsi="宋体" w:eastAsia="宋体" w:cs="宋体"/>
                <w:b/>
                <w:sz w:val="18"/>
              </w:rPr>
              <w:t xml:space="preserve"> 年</w:t>
            </w:r>
          </w:p>
        </w:tc>
        <w:tc>
          <w:tcPr>
            <w:tcW w:w="2000" w:type="dxa"/>
            <w:gridSpan w:val="2"/>
            <w:tcMar>
              <w:top w:w="0" w:type="dxa"/>
              <w:left w:w="0" w:type="dxa"/>
              <w:bottom w:w="0" w:type="dxa"/>
              <w:right w:w="0" w:type="dxa"/>
            </w:tcMar>
          </w:tcPr>
          <w:p>
            <w:pPr>
              <w:spacing w:before="140"/>
              <w:ind w:left="700"/>
            </w:pPr>
            <w:r>
              <w:rPr>
                <w:rFonts w:hint="eastAsia" w:ascii="Times New Roman Bold" w:hAnsi="Times New Roman Bold" w:eastAsia="Times New Roman Bold" w:cs="Times New Roman Bold"/>
                <w:b/>
                <w:sz w:val="18"/>
              </w:rPr>
              <w:t>2015</w:t>
            </w:r>
            <w:r>
              <w:rPr>
                <w:rFonts w:hint="eastAsia" w:ascii="宋体" w:hAnsi="宋体" w:eastAsia="宋体" w:cs="宋体"/>
                <w:b/>
                <w:sz w:val="18"/>
              </w:rPr>
              <w:t xml:space="preserve"> 年</w:t>
            </w:r>
          </w:p>
        </w:tc>
        <w:tc>
          <w:tcPr>
            <w:tcW w:w="1980" w:type="dxa"/>
            <w:gridSpan w:val="2"/>
            <w:tcMar>
              <w:top w:w="0" w:type="dxa"/>
              <w:left w:w="0" w:type="dxa"/>
              <w:bottom w:w="0" w:type="dxa"/>
              <w:right w:w="0" w:type="dxa"/>
            </w:tcMar>
          </w:tcPr>
          <w:p>
            <w:pPr>
              <w:spacing w:before="140"/>
              <w:ind w:left="680"/>
            </w:pPr>
            <w:r>
              <w:rPr>
                <w:rFonts w:hint="eastAsia" w:ascii="Times New Roman Bold" w:hAnsi="Times New Roman Bold" w:eastAsia="Times New Roman Bold" w:cs="Times New Roman Bold"/>
                <w:b/>
                <w:sz w:val="18"/>
              </w:rPr>
              <w:t>2014</w:t>
            </w:r>
            <w:r>
              <w:rPr>
                <w:rFonts w:hint="eastAsia" w:ascii="宋体" w:hAnsi="宋体" w:eastAsia="宋体" w:cs="宋体"/>
                <w:b/>
                <w:sz w:val="18"/>
              </w:rPr>
              <w:t xml:space="preserve"> 年</w:t>
            </w:r>
          </w:p>
        </w:tc>
      </w:tr>
      <w:tr>
        <w:trPr>
          <w:trHeight w:val="480" w:hRule="exact"/>
        </w:trPr>
        <w:tc>
          <w:tcPr>
            <w:tcW w:w="580" w:type="dxa"/>
            <w:vMerge w:val="continue"/>
            <w:tcMar>
              <w:top w:w="0" w:type="dxa"/>
              <w:left w:w="0" w:type="dxa"/>
              <w:bottom w:w="0" w:type="dxa"/>
              <w:right w:w="0" w:type="dxa"/>
            </w:tcMar>
          </w:tcPr>
          <w:p/>
        </w:tc>
        <w:tc>
          <w:tcPr>
            <w:tcW w:w="840" w:type="dxa"/>
            <w:vMerge w:val="continue"/>
            <w:tcMar>
              <w:top w:w="0" w:type="dxa"/>
              <w:left w:w="0" w:type="dxa"/>
              <w:bottom w:w="0" w:type="dxa"/>
              <w:right w:w="0" w:type="dxa"/>
            </w:tcMar>
          </w:tcPr>
          <w:p/>
        </w:tc>
        <w:tc>
          <w:tcPr>
            <w:tcW w:w="25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40"/>
              <w:ind w:left="300"/>
            </w:pPr>
            <w:r>
              <w:rPr>
                <w:rFonts w:hint="eastAsia" w:ascii="宋体" w:hAnsi="宋体" w:eastAsia="宋体" w:cs="宋体"/>
                <w:b/>
                <w:sz w:val="18"/>
              </w:rPr>
              <w:t>金额</w:t>
            </w:r>
          </w:p>
        </w:tc>
        <w:tc>
          <w:tcPr>
            <w:tcW w:w="980" w:type="dxa"/>
            <w:tcMar>
              <w:top w:w="0" w:type="dxa"/>
              <w:left w:w="0" w:type="dxa"/>
              <w:bottom w:w="0" w:type="dxa"/>
              <w:right w:w="0" w:type="dxa"/>
            </w:tcMar>
          </w:tcPr>
          <w:p>
            <w:pPr>
              <w:spacing w:before="140"/>
              <w:ind w:left="300"/>
            </w:pPr>
            <w:r>
              <w:rPr>
                <w:rFonts w:hint="eastAsia" w:ascii="宋体" w:hAnsi="宋体" w:eastAsia="宋体" w:cs="宋体"/>
                <w:b/>
                <w:sz w:val="18"/>
              </w:rPr>
              <w:t>比例</w:t>
            </w:r>
          </w:p>
        </w:tc>
        <w:tc>
          <w:tcPr>
            <w:tcW w:w="1000" w:type="dxa"/>
            <w:tcMar>
              <w:top w:w="0" w:type="dxa"/>
              <w:left w:w="0" w:type="dxa"/>
              <w:bottom w:w="0" w:type="dxa"/>
              <w:right w:w="0" w:type="dxa"/>
            </w:tcMar>
          </w:tcPr>
          <w:p>
            <w:pPr>
              <w:spacing w:before="140"/>
              <w:ind w:left="300"/>
            </w:pPr>
            <w:r>
              <w:rPr>
                <w:rFonts w:hint="eastAsia" w:ascii="宋体" w:hAnsi="宋体" w:eastAsia="宋体" w:cs="宋体"/>
                <w:b/>
                <w:sz w:val="18"/>
              </w:rPr>
              <w:t>金额</w:t>
            </w:r>
          </w:p>
        </w:tc>
        <w:tc>
          <w:tcPr>
            <w:tcW w:w="1000" w:type="dxa"/>
            <w:tcMar>
              <w:top w:w="0" w:type="dxa"/>
              <w:left w:w="0" w:type="dxa"/>
              <w:bottom w:w="0" w:type="dxa"/>
              <w:right w:w="0" w:type="dxa"/>
            </w:tcMar>
          </w:tcPr>
          <w:p>
            <w:pPr>
              <w:spacing w:before="140"/>
              <w:ind w:left="300"/>
            </w:pPr>
            <w:r>
              <w:rPr>
                <w:rFonts w:hint="eastAsia" w:ascii="宋体" w:hAnsi="宋体" w:eastAsia="宋体" w:cs="宋体"/>
                <w:b/>
                <w:sz w:val="18"/>
              </w:rPr>
              <w:t>比例</w:t>
            </w:r>
          </w:p>
        </w:tc>
        <w:tc>
          <w:tcPr>
            <w:tcW w:w="1000" w:type="dxa"/>
            <w:tcMar>
              <w:top w:w="0" w:type="dxa"/>
              <w:left w:w="0" w:type="dxa"/>
              <w:bottom w:w="0" w:type="dxa"/>
              <w:right w:w="0" w:type="dxa"/>
            </w:tcMar>
          </w:tcPr>
          <w:p>
            <w:pPr>
              <w:spacing w:before="140"/>
              <w:ind w:left="300"/>
            </w:pPr>
            <w:r>
              <w:rPr>
                <w:rFonts w:hint="eastAsia" w:ascii="宋体" w:hAnsi="宋体" w:eastAsia="宋体" w:cs="宋体"/>
                <w:b/>
                <w:sz w:val="18"/>
              </w:rPr>
              <w:t>金额</w:t>
            </w:r>
          </w:p>
        </w:tc>
        <w:tc>
          <w:tcPr>
            <w:tcW w:w="980" w:type="dxa"/>
            <w:tcMar>
              <w:top w:w="0" w:type="dxa"/>
              <w:left w:w="0" w:type="dxa"/>
              <w:bottom w:w="0" w:type="dxa"/>
              <w:right w:w="0" w:type="dxa"/>
            </w:tcMar>
          </w:tcPr>
          <w:p>
            <w:pPr>
              <w:spacing w:before="140"/>
              <w:ind w:left="280"/>
            </w:pPr>
            <w:r>
              <w:rPr>
                <w:rFonts w:hint="eastAsia" w:ascii="宋体" w:hAnsi="宋体" w:eastAsia="宋体" w:cs="宋体"/>
                <w:b/>
                <w:sz w:val="18"/>
              </w:rPr>
              <w:t>比例</w:t>
            </w:r>
          </w:p>
        </w:tc>
      </w:tr>
      <w:tr>
        <w:trPr>
          <w:trHeight w:val="620" w:hRule="exact"/>
        </w:trPr>
        <w:tc>
          <w:tcPr>
            <w:tcW w:w="580" w:type="dxa"/>
            <w:tcMar>
              <w:top w:w="0" w:type="dxa"/>
              <w:left w:w="0" w:type="dxa"/>
              <w:bottom w:w="0" w:type="dxa"/>
              <w:right w:w="0" w:type="dxa"/>
            </w:tcMar>
          </w:tcPr>
          <w:p>
            <w:pPr>
              <w:spacing w:before="60"/>
            </w:pPr>
            <w:r>
              <w:rPr>
                <w:rFonts w:hint="eastAsia" w:ascii="宋体" w:hAnsi="宋体" w:eastAsia="宋体" w:cs="宋体"/>
                <w:sz w:val="18"/>
              </w:rPr>
              <w:t>金融</w:t>
            </w:r>
          </w:p>
          <w:p>
            <w:pPr>
              <w:spacing w:before="140"/>
            </w:pPr>
            <w:r>
              <w:rPr>
                <w:rFonts w:hint="eastAsia" w:ascii="宋体" w:hAnsi="宋体" w:eastAsia="宋体" w:cs="宋体"/>
                <w:sz w:val="18"/>
              </w:rPr>
              <w:t>行业</w:t>
            </w:r>
          </w:p>
        </w:tc>
        <w:tc>
          <w:tcPr>
            <w:tcW w:w="840" w:type="dxa"/>
            <w:tcMar>
              <w:top w:w="0" w:type="dxa"/>
              <w:left w:w="0" w:type="dxa"/>
              <w:bottom w:w="0" w:type="dxa"/>
              <w:right w:w="0" w:type="dxa"/>
            </w:tcMar>
          </w:tcPr>
          <w:p>
            <w:pPr>
              <w:spacing w:before="220"/>
              <w:ind w:left="120"/>
            </w:pPr>
            <w:r>
              <w:rPr>
                <w:rFonts w:hint="eastAsia" w:ascii="宋体" w:hAnsi="宋体" w:eastAsia="宋体" w:cs="宋体"/>
                <w:sz w:val="18"/>
              </w:rPr>
              <w:t>证券业</w:t>
            </w:r>
          </w:p>
        </w:tc>
        <w:tc>
          <w:tcPr>
            <w:tcW w:w="2540" w:type="dxa"/>
            <w:tcMar>
              <w:top w:w="0" w:type="dxa"/>
              <w:left w:w="0" w:type="dxa"/>
              <w:bottom w:w="0" w:type="dxa"/>
              <w:right w:w="0" w:type="dxa"/>
            </w:tcMar>
          </w:tcPr>
          <w:p>
            <w:pPr>
              <w:spacing w:before="60"/>
            </w:pPr>
            <w:r>
              <w:rPr>
                <w:rFonts w:hint="eastAsia" w:ascii="宋体" w:hAnsi="宋体" w:eastAsia="宋体" w:cs="宋体"/>
                <w:sz w:val="18"/>
              </w:rPr>
              <w:t>前台服务渠道与作业支持信</w:t>
            </w:r>
          </w:p>
          <w:p>
            <w:pPr>
              <w:spacing w:before="120"/>
            </w:pPr>
            <w:r>
              <w:rPr>
                <w:rFonts w:hint="eastAsia" w:ascii="宋体" w:hAnsi="宋体" w:eastAsia="宋体" w:cs="宋体"/>
                <w:sz w:val="18"/>
              </w:rPr>
              <w:t>息化解决方案</w:t>
            </w:r>
          </w:p>
        </w:tc>
        <w:tc>
          <w:tcPr>
            <w:tcW w:w="1000" w:type="dxa"/>
            <w:tcMar>
              <w:top w:w="0" w:type="dxa"/>
              <w:left w:w="0" w:type="dxa"/>
              <w:bottom w:w="0" w:type="dxa"/>
              <w:right w:w="0" w:type="dxa"/>
            </w:tcMar>
          </w:tcPr>
          <w:p>
            <w:pPr>
              <w:spacing w:before="260"/>
              <w:ind w:left="160"/>
            </w:pPr>
            <w:r>
              <w:rPr>
                <w:rFonts w:hint="eastAsia" w:ascii="Times New Roman" w:hAnsi="Times New Roman" w:eastAsia="Times New Roman" w:cs="Times New Roman"/>
                <w:sz w:val="18"/>
              </w:rPr>
              <w:t>15,210.99</w:t>
            </w:r>
          </w:p>
        </w:tc>
        <w:tc>
          <w:tcPr>
            <w:tcW w:w="980" w:type="dxa"/>
            <w:tcMar>
              <w:top w:w="0" w:type="dxa"/>
              <w:left w:w="0" w:type="dxa"/>
              <w:bottom w:w="0" w:type="dxa"/>
              <w:right w:w="0" w:type="dxa"/>
            </w:tcMar>
          </w:tcPr>
          <w:p>
            <w:pPr>
              <w:spacing w:before="260"/>
              <w:ind w:left="320"/>
            </w:pPr>
            <w:r>
              <w:rPr>
                <w:rFonts w:hint="eastAsia" w:ascii="Times New Roman" w:hAnsi="Times New Roman" w:eastAsia="Times New Roman" w:cs="Times New Roman"/>
                <w:sz w:val="18"/>
              </w:rPr>
              <w:t>74.31%</w:t>
            </w:r>
          </w:p>
        </w:tc>
        <w:tc>
          <w:tcPr>
            <w:tcW w:w="1000" w:type="dxa"/>
            <w:tcMar>
              <w:top w:w="0" w:type="dxa"/>
              <w:left w:w="0" w:type="dxa"/>
              <w:bottom w:w="0" w:type="dxa"/>
              <w:right w:w="0" w:type="dxa"/>
            </w:tcMar>
          </w:tcPr>
          <w:p>
            <w:pPr>
              <w:spacing w:before="260"/>
              <w:ind w:left="160"/>
            </w:pPr>
            <w:r>
              <w:rPr>
                <w:rFonts w:hint="eastAsia" w:ascii="Times New Roman" w:hAnsi="Times New Roman" w:eastAsia="Times New Roman" w:cs="Times New Roman"/>
                <w:sz w:val="18"/>
              </w:rPr>
              <w:t>14,765.51</w:t>
            </w:r>
          </w:p>
        </w:tc>
        <w:tc>
          <w:tcPr>
            <w:tcW w:w="1000" w:type="dxa"/>
            <w:tcMar>
              <w:top w:w="0" w:type="dxa"/>
              <w:left w:w="0" w:type="dxa"/>
              <w:bottom w:w="0" w:type="dxa"/>
              <w:right w:w="0" w:type="dxa"/>
            </w:tcMar>
          </w:tcPr>
          <w:p>
            <w:pPr>
              <w:spacing w:before="260"/>
              <w:ind w:left="320"/>
            </w:pPr>
            <w:r>
              <w:rPr>
                <w:rFonts w:hint="eastAsia" w:ascii="Times New Roman" w:hAnsi="Times New Roman" w:eastAsia="Times New Roman" w:cs="Times New Roman"/>
                <w:sz w:val="18"/>
              </w:rPr>
              <w:t>75.67%</w:t>
            </w:r>
          </w:p>
        </w:tc>
        <w:tc>
          <w:tcPr>
            <w:tcW w:w="1000" w:type="dxa"/>
            <w:tcMar>
              <w:top w:w="0" w:type="dxa"/>
              <w:left w:w="0" w:type="dxa"/>
              <w:bottom w:w="0" w:type="dxa"/>
              <w:right w:w="0" w:type="dxa"/>
            </w:tcMar>
          </w:tcPr>
          <w:p>
            <w:pPr>
              <w:spacing w:before="260"/>
              <w:ind w:left="140"/>
            </w:pPr>
            <w:r>
              <w:rPr>
                <w:rFonts w:hint="eastAsia" w:ascii="Times New Roman" w:hAnsi="Times New Roman" w:eastAsia="Times New Roman" w:cs="Times New Roman"/>
                <w:sz w:val="18"/>
              </w:rPr>
              <w:t>12,843.67</w:t>
            </w:r>
          </w:p>
        </w:tc>
        <w:tc>
          <w:tcPr>
            <w:tcW w:w="980" w:type="dxa"/>
            <w:tcMar>
              <w:top w:w="0" w:type="dxa"/>
              <w:left w:w="0" w:type="dxa"/>
              <w:bottom w:w="0" w:type="dxa"/>
              <w:right w:w="0" w:type="dxa"/>
            </w:tcMar>
          </w:tcPr>
          <w:p>
            <w:pPr>
              <w:spacing w:before="260"/>
              <w:ind w:left="300"/>
            </w:pPr>
            <w:r>
              <w:rPr>
                <w:rFonts w:hint="eastAsia" w:ascii="Times New Roman" w:hAnsi="Times New Roman" w:eastAsia="Times New Roman" w:cs="Times New Roman"/>
                <w:sz w:val="18"/>
              </w:rPr>
              <w:t>79.02%</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1-1-137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940" w:type="auto"/>
        <w:tblInd w:w="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80"/>
        <w:gridCol w:w="840"/>
        <w:gridCol w:w="2540"/>
        <w:gridCol w:w="1000"/>
        <w:gridCol w:w="980"/>
        <w:gridCol w:w="1000"/>
        <w:gridCol w:w="1000"/>
        <w:gridCol w:w="1000"/>
        <w:gridCol w:w="980"/>
      </w:tblGrid>
      <w:tr>
        <w:trPr>
          <w:trHeight w:val="320" w:hRule="exact"/>
        </w:trPr>
        <w:tc>
          <w:tcPr>
            <w:tcW w:w="580" w:type="dxa"/>
            <w:vMerge w:val="restart"/>
            <w:tcMar>
              <w:top w:w="0" w:type="dxa"/>
              <w:left w:w="0" w:type="dxa"/>
              <w:bottom w:w="0" w:type="dxa"/>
              <w:right w:w="0" w:type="dxa"/>
            </w:tcMar>
          </w:tcPr>
          <w:p/>
        </w:tc>
        <w:tc>
          <w:tcPr>
            <w:tcW w:w="840" w:type="dxa"/>
            <w:vMerge w:val="restart"/>
            <w:tcMar>
              <w:top w:w="0" w:type="dxa"/>
              <w:left w:w="0" w:type="dxa"/>
              <w:bottom w:w="0" w:type="dxa"/>
              <w:right w:w="0" w:type="dxa"/>
            </w:tcMar>
          </w:tcPr>
          <w:p/>
        </w:tc>
        <w:tc>
          <w:tcPr>
            <w:tcW w:w="2540" w:type="dxa"/>
            <w:tcMar>
              <w:top w:w="0" w:type="dxa"/>
              <w:left w:w="0" w:type="dxa"/>
              <w:bottom w:w="0" w:type="dxa"/>
              <w:right w:w="0" w:type="dxa"/>
            </w:tcMar>
          </w:tcPr>
          <w:p>
            <w:pPr>
              <w:spacing w:before="40"/>
            </w:pPr>
            <w:r>
              <w:rPr>
                <w:rFonts w:hint="eastAsia" w:ascii="宋体" w:hAnsi="宋体" w:eastAsia="宋体" w:cs="宋体"/>
                <w:sz w:val="18"/>
              </w:rPr>
              <w:t>中台流程信息化解决方案</w:t>
            </w:r>
          </w:p>
        </w:tc>
        <w:tc>
          <w:tcPr>
            <w:tcW w:w="1000" w:type="dxa"/>
            <w:vMerge w:val="restart"/>
            <w:tcMar>
              <w:top w:w="0" w:type="dxa"/>
              <w:left w:w="0" w:type="dxa"/>
              <w:bottom w:w="0" w:type="dxa"/>
              <w:right w:w="0" w:type="dxa"/>
            </w:tcMar>
          </w:tcPr>
          <w:p/>
        </w:tc>
        <w:tc>
          <w:tcPr>
            <w:tcW w:w="980" w:type="dxa"/>
            <w:vMerge w:val="restart"/>
            <w:tcMar>
              <w:top w:w="0" w:type="dxa"/>
              <w:left w:w="0" w:type="dxa"/>
              <w:bottom w:w="0" w:type="dxa"/>
              <w:right w:w="0" w:type="dxa"/>
            </w:tcMar>
          </w:tcPr>
          <w:p/>
        </w:tc>
        <w:tc>
          <w:tcPr>
            <w:tcW w:w="1000" w:type="dxa"/>
            <w:vMerge w:val="restart"/>
            <w:tcMar>
              <w:top w:w="0" w:type="dxa"/>
              <w:left w:w="0" w:type="dxa"/>
              <w:bottom w:w="0" w:type="dxa"/>
              <w:right w:w="0" w:type="dxa"/>
            </w:tcMar>
          </w:tcPr>
          <w:p/>
        </w:tc>
        <w:tc>
          <w:tcPr>
            <w:tcW w:w="1000" w:type="dxa"/>
            <w:vMerge w:val="restart"/>
            <w:tcMar>
              <w:top w:w="0" w:type="dxa"/>
              <w:left w:w="0" w:type="dxa"/>
              <w:bottom w:w="0" w:type="dxa"/>
              <w:right w:w="0" w:type="dxa"/>
            </w:tcMar>
          </w:tcPr>
          <w:p/>
        </w:tc>
        <w:tc>
          <w:tcPr>
            <w:tcW w:w="1000" w:type="dxa"/>
            <w:vMerge w:val="restart"/>
            <w:tcMar>
              <w:top w:w="0" w:type="dxa"/>
              <w:left w:w="0" w:type="dxa"/>
              <w:bottom w:w="0" w:type="dxa"/>
              <w:right w:w="0" w:type="dxa"/>
            </w:tcMar>
          </w:tcPr>
          <w:p/>
        </w:tc>
        <w:tc>
          <w:tcPr>
            <w:tcW w:w="980" w:type="dxa"/>
            <w:vMerge w:val="restart"/>
            <w:tcMar>
              <w:top w:w="0" w:type="dxa"/>
              <w:left w:w="0" w:type="dxa"/>
              <w:bottom w:w="0" w:type="dxa"/>
              <w:right w:w="0" w:type="dxa"/>
            </w:tcMar>
          </w:tcPr>
          <w:p/>
        </w:tc>
      </w:tr>
      <w:tr>
        <w:trPr>
          <w:trHeight w:val="620" w:hRule="exact"/>
        </w:trPr>
        <w:tc>
          <w:tcPr>
            <w:tcW w:w="580" w:type="dxa"/>
            <w:vMerge w:val="continue"/>
            <w:tcMar>
              <w:top w:w="0" w:type="dxa"/>
              <w:left w:w="0" w:type="dxa"/>
              <w:bottom w:w="0" w:type="dxa"/>
              <w:right w:w="0" w:type="dxa"/>
            </w:tcMar>
          </w:tcPr>
          <w:p/>
        </w:tc>
        <w:tc>
          <w:tcPr>
            <w:tcW w:w="840" w:type="dxa"/>
            <w:vMerge w:val="continue"/>
            <w:tcMar>
              <w:top w:w="0" w:type="dxa"/>
              <w:left w:w="0" w:type="dxa"/>
              <w:bottom w:w="0" w:type="dxa"/>
              <w:right w:w="0" w:type="dxa"/>
            </w:tcMar>
          </w:tcPr>
          <w:p/>
        </w:tc>
        <w:tc>
          <w:tcPr>
            <w:tcW w:w="2540" w:type="dxa"/>
            <w:tcMar>
              <w:top w:w="0" w:type="dxa"/>
              <w:left w:w="0" w:type="dxa"/>
              <w:bottom w:w="0" w:type="dxa"/>
              <w:right w:w="0" w:type="dxa"/>
            </w:tcMar>
          </w:tcPr>
          <w:p>
            <w:pPr>
              <w:spacing w:before="40"/>
            </w:pPr>
            <w:r>
              <w:rPr>
                <w:rFonts w:hint="eastAsia" w:ascii="宋体" w:hAnsi="宋体" w:eastAsia="宋体" w:cs="宋体"/>
                <w:sz w:val="18"/>
              </w:rPr>
              <w:t>后台基础运营支持系统解决</w:t>
            </w:r>
          </w:p>
          <w:p>
            <w:pPr>
              <w:spacing w:before="120"/>
            </w:pPr>
            <w:r>
              <w:rPr>
                <w:rFonts w:hint="eastAsia" w:ascii="宋体" w:hAnsi="宋体" w:eastAsia="宋体" w:cs="宋体"/>
                <w:sz w:val="18"/>
              </w:rPr>
              <w:t>方案</w:t>
            </w:r>
          </w:p>
        </w:tc>
        <w:tc>
          <w:tcPr>
            <w:tcW w:w="1000" w:type="dxa"/>
            <w:vMerge w:val="continue"/>
            <w:tcMar>
              <w:top w:w="0" w:type="dxa"/>
              <w:left w:w="0" w:type="dxa"/>
              <w:bottom w:w="0" w:type="dxa"/>
              <w:right w:w="0" w:type="dxa"/>
            </w:tcMar>
          </w:tcPr>
          <w:p/>
        </w:tc>
        <w:tc>
          <w:tcPr>
            <w:tcW w:w="980" w:type="dxa"/>
            <w:vMerge w:val="continue"/>
            <w:tcMar>
              <w:top w:w="0" w:type="dxa"/>
              <w:left w:w="0" w:type="dxa"/>
              <w:bottom w:w="0" w:type="dxa"/>
              <w:right w:w="0" w:type="dxa"/>
            </w:tcMar>
          </w:tcPr>
          <w:p/>
        </w:tc>
        <w:tc>
          <w:tcPr>
            <w:tcW w:w="1000" w:type="dxa"/>
            <w:vMerge w:val="continue"/>
            <w:tcMar>
              <w:top w:w="0" w:type="dxa"/>
              <w:left w:w="0" w:type="dxa"/>
              <w:bottom w:w="0" w:type="dxa"/>
              <w:right w:w="0" w:type="dxa"/>
            </w:tcMar>
          </w:tcPr>
          <w:p/>
        </w:tc>
        <w:tc>
          <w:tcPr>
            <w:tcW w:w="1000" w:type="dxa"/>
            <w:vMerge w:val="continue"/>
            <w:tcMar>
              <w:top w:w="0" w:type="dxa"/>
              <w:left w:w="0" w:type="dxa"/>
              <w:bottom w:w="0" w:type="dxa"/>
              <w:right w:w="0" w:type="dxa"/>
            </w:tcMar>
          </w:tcPr>
          <w:p/>
        </w:tc>
        <w:tc>
          <w:tcPr>
            <w:tcW w:w="1000" w:type="dxa"/>
            <w:vMerge w:val="continue"/>
            <w:tcMar>
              <w:top w:w="0" w:type="dxa"/>
              <w:left w:w="0" w:type="dxa"/>
              <w:bottom w:w="0" w:type="dxa"/>
              <w:right w:w="0" w:type="dxa"/>
            </w:tcMar>
          </w:tcPr>
          <w:p/>
        </w:tc>
        <w:tc>
          <w:tcPr>
            <w:tcW w:w="980" w:type="dxa"/>
            <w:vMerge w:val="continue"/>
            <w:tcMar>
              <w:top w:w="0" w:type="dxa"/>
              <w:left w:w="0" w:type="dxa"/>
              <w:bottom w:w="0" w:type="dxa"/>
              <w:right w:w="0" w:type="dxa"/>
            </w:tcMar>
          </w:tcPr>
          <w:p/>
        </w:tc>
      </w:tr>
      <w:tr>
        <w:trPr>
          <w:trHeight w:val="960" w:hRule="exact"/>
        </w:trPr>
        <w:tc>
          <w:tcPr>
            <w:tcW w:w="580" w:type="dxa"/>
            <w:vMerge w:val="continue"/>
            <w:tcMar>
              <w:top w:w="0" w:type="dxa"/>
              <w:left w:w="0" w:type="dxa"/>
              <w:bottom w:w="0" w:type="dxa"/>
              <w:right w:w="0" w:type="dxa"/>
            </w:tcMar>
          </w:tcPr>
          <w:p/>
        </w:tc>
        <w:tc>
          <w:tcPr>
            <w:tcW w:w="840" w:type="dxa"/>
            <w:tcMar>
              <w:top w:w="0" w:type="dxa"/>
              <w:left w:w="0" w:type="dxa"/>
              <w:bottom w:w="0" w:type="dxa"/>
              <w:right w:w="0" w:type="dxa"/>
            </w:tcMar>
          </w:tcPr>
          <w:p>
            <w:pPr>
              <w:spacing w:before="140"/>
              <w:ind w:left="120"/>
            </w:pPr>
            <w:r>
              <w:rPr>
                <w:rFonts w:hint="eastAsia" w:ascii="宋体" w:hAnsi="宋体" w:eastAsia="宋体" w:cs="宋体"/>
                <w:sz w:val="18"/>
              </w:rPr>
              <w:t>电子交</w:t>
            </w:r>
          </w:p>
          <w:p>
            <w:pPr>
              <w:spacing w:before="300"/>
              <w:ind w:left="120"/>
            </w:pPr>
            <w:r>
              <w:rPr>
                <w:rFonts w:hint="eastAsia" w:ascii="宋体" w:hAnsi="宋体" w:eastAsia="宋体" w:cs="宋体"/>
                <w:sz w:val="18"/>
              </w:rPr>
              <w:t>易市场</w:t>
            </w:r>
          </w:p>
        </w:tc>
        <w:tc>
          <w:tcPr>
            <w:tcW w:w="2540" w:type="dxa"/>
            <w:tcMar>
              <w:top w:w="0" w:type="dxa"/>
              <w:left w:w="0" w:type="dxa"/>
              <w:bottom w:w="0" w:type="dxa"/>
              <w:right w:w="0" w:type="dxa"/>
            </w:tcMar>
          </w:tcPr>
          <w:p>
            <w:pPr>
              <w:spacing w:before="220"/>
            </w:pPr>
            <w:r>
              <w:rPr>
                <w:rFonts w:hint="eastAsia" w:ascii="宋体" w:hAnsi="宋体" w:eastAsia="宋体" w:cs="宋体"/>
                <w:sz w:val="18"/>
              </w:rPr>
              <w:t>电子交易市场信息化解决方</w:t>
            </w:r>
          </w:p>
          <w:p>
            <w:pPr>
              <w:spacing w:before="140"/>
            </w:pPr>
            <w:r>
              <w:rPr>
                <w:rFonts w:hint="eastAsia" w:ascii="宋体" w:hAnsi="宋体" w:eastAsia="宋体" w:cs="宋体"/>
                <w:sz w:val="18"/>
              </w:rPr>
              <w:t>案</w:t>
            </w:r>
          </w:p>
        </w:tc>
        <w:tc>
          <w:tcPr>
            <w:tcW w:w="1000" w:type="dxa"/>
            <w:tcMar>
              <w:top w:w="0" w:type="dxa"/>
              <w:left w:w="0" w:type="dxa"/>
              <w:bottom w:w="0" w:type="dxa"/>
              <w:right w:w="0" w:type="dxa"/>
            </w:tcMar>
          </w:tcPr>
          <w:p>
            <w:pPr>
              <w:spacing w:before="420"/>
              <w:ind w:left="240"/>
            </w:pPr>
            <w:r>
              <w:rPr>
                <w:rFonts w:hint="eastAsia" w:ascii="Times New Roman" w:hAnsi="Times New Roman" w:eastAsia="Times New Roman" w:cs="Times New Roman"/>
                <w:sz w:val="18"/>
              </w:rPr>
              <w:t>1,835.80</w:t>
            </w:r>
          </w:p>
        </w:tc>
        <w:tc>
          <w:tcPr>
            <w:tcW w:w="980" w:type="dxa"/>
            <w:tcMar>
              <w:top w:w="0" w:type="dxa"/>
              <w:left w:w="0" w:type="dxa"/>
              <w:bottom w:w="0" w:type="dxa"/>
              <w:right w:w="0" w:type="dxa"/>
            </w:tcMar>
          </w:tcPr>
          <w:p>
            <w:pPr>
              <w:spacing w:before="420"/>
              <w:ind w:left="400"/>
            </w:pPr>
            <w:r>
              <w:rPr>
                <w:rFonts w:hint="eastAsia" w:ascii="Times New Roman" w:hAnsi="Times New Roman" w:eastAsia="Times New Roman" w:cs="Times New Roman"/>
                <w:sz w:val="18"/>
              </w:rPr>
              <w:t>8.97%</w:t>
            </w:r>
          </w:p>
        </w:tc>
        <w:tc>
          <w:tcPr>
            <w:tcW w:w="1000" w:type="dxa"/>
            <w:tcMar>
              <w:top w:w="0" w:type="dxa"/>
              <w:left w:w="0" w:type="dxa"/>
              <w:bottom w:w="0" w:type="dxa"/>
              <w:right w:w="0" w:type="dxa"/>
            </w:tcMar>
          </w:tcPr>
          <w:p>
            <w:pPr>
              <w:spacing w:before="420"/>
              <w:ind w:left="240"/>
            </w:pPr>
            <w:r>
              <w:rPr>
                <w:rFonts w:hint="eastAsia" w:ascii="Times New Roman" w:hAnsi="Times New Roman" w:eastAsia="Times New Roman" w:cs="Times New Roman"/>
                <w:sz w:val="18"/>
              </w:rPr>
              <w:t>1,944.02</w:t>
            </w:r>
          </w:p>
        </w:tc>
        <w:tc>
          <w:tcPr>
            <w:tcW w:w="1000" w:type="dxa"/>
            <w:tcMar>
              <w:top w:w="0" w:type="dxa"/>
              <w:left w:w="0" w:type="dxa"/>
              <w:bottom w:w="0" w:type="dxa"/>
              <w:right w:w="0" w:type="dxa"/>
            </w:tcMar>
          </w:tcPr>
          <w:p>
            <w:pPr>
              <w:spacing w:before="420"/>
              <w:ind w:left="400"/>
            </w:pPr>
            <w:r>
              <w:rPr>
                <w:rFonts w:hint="eastAsia" w:ascii="Times New Roman" w:hAnsi="Times New Roman" w:eastAsia="Times New Roman" w:cs="Times New Roman"/>
                <w:sz w:val="18"/>
              </w:rPr>
              <w:t>9.96%</w:t>
            </w:r>
          </w:p>
        </w:tc>
        <w:tc>
          <w:tcPr>
            <w:tcW w:w="1000" w:type="dxa"/>
            <w:tcMar>
              <w:top w:w="0" w:type="dxa"/>
              <w:left w:w="0" w:type="dxa"/>
              <w:bottom w:w="0" w:type="dxa"/>
              <w:right w:w="0" w:type="dxa"/>
            </w:tcMar>
          </w:tcPr>
          <w:p>
            <w:pPr>
              <w:spacing w:before="420"/>
              <w:ind w:left="380"/>
            </w:pPr>
            <w:r>
              <w:rPr>
                <w:rFonts w:hint="eastAsia" w:ascii="Times New Roman" w:hAnsi="Times New Roman" w:eastAsia="Times New Roman" w:cs="Times New Roman"/>
                <w:sz w:val="18"/>
              </w:rPr>
              <w:t>961.21</w:t>
            </w:r>
          </w:p>
        </w:tc>
        <w:tc>
          <w:tcPr>
            <w:tcW w:w="980" w:type="dxa"/>
            <w:tcMar>
              <w:top w:w="0" w:type="dxa"/>
              <w:left w:w="0" w:type="dxa"/>
              <w:bottom w:w="0" w:type="dxa"/>
              <w:right w:w="0" w:type="dxa"/>
            </w:tcMar>
          </w:tcPr>
          <w:p>
            <w:pPr>
              <w:spacing w:before="420"/>
              <w:ind w:left="400"/>
            </w:pPr>
            <w:r>
              <w:rPr>
                <w:rFonts w:hint="eastAsia" w:ascii="Times New Roman" w:hAnsi="Times New Roman" w:eastAsia="Times New Roman" w:cs="Times New Roman"/>
                <w:sz w:val="18"/>
              </w:rPr>
              <w:t>5.91%</w:t>
            </w:r>
          </w:p>
        </w:tc>
      </w:tr>
      <w:tr>
        <w:trPr>
          <w:trHeight w:val="640" w:hRule="exact"/>
        </w:trPr>
        <w:tc>
          <w:tcPr>
            <w:tcW w:w="580" w:type="dxa"/>
            <w:vMerge w:val="continue"/>
            <w:tcMar>
              <w:top w:w="0" w:type="dxa"/>
              <w:left w:w="0" w:type="dxa"/>
              <w:bottom w:w="0" w:type="dxa"/>
              <w:right w:w="0" w:type="dxa"/>
            </w:tcMar>
          </w:tcPr>
          <w:p/>
        </w:tc>
        <w:tc>
          <w:tcPr>
            <w:tcW w:w="840" w:type="dxa"/>
            <w:tcMar>
              <w:top w:w="0" w:type="dxa"/>
              <w:left w:w="0" w:type="dxa"/>
              <w:bottom w:w="0" w:type="dxa"/>
              <w:right w:w="0" w:type="dxa"/>
            </w:tcMar>
          </w:tcPr>
          <w:p>
            <w:pPr>
              <w:spacing w:before="220"/>
              <w:ind w:left="120"/>
            </w:pPr>
            <w:r>
              <w:rPr>
                <w:rFonts w:hint="eastAsia" w:ascii="宋体" w:hAnsi="宋体" w:eastAsia="宋体" w:cs="宋体"/>
                <w:sz w:val="18"/>
              </w:rPr>
              <w:t>银行业</w:t>
            </w:r>
          </w:p>
        </w:tc>
        <w:tc>
          <w:tcPr>
            <w:tcW w:w="2540" w:type="dxa"/>
            <w:tcMar>
              <w:top w:w="0" w:type="dxa"/>
              <w:left w:w="0" w:type="dxa"/>
              <w:bottom w:w="0" w:type="dxa"/>
              <w:right w:w="0" w:type="dxa"/>
            </w:tcMar>
          </w:tcPr>
          <w:p>
            <w:pPr>
              <w:spacing w:before="40"/>
            </w:pPr>
            <w:r>
              <w:rPr>
                <w:rFonts w:hint="eastAsia" w:ascii="宋体" w:hAnsi="宋体" w:eastAsia="宋体" w:cs="宋体"/>
                <w:sz w:val="18"/>
              </w:rPr>
              <w:t>银行及信托综合经营管理信</w:t>
            </w:r>
          </w:p>
          <w:p>
            <w:pPr>
              <w:spacing w:before="120"/>
            </w:pPr>
            <w:r>
              <w:rPr>
                <w:rFonts w:hint="eastAsia" w:ascii="宋体" w:hAnsi="宋体" w:eastAsia="宋体" w:cs="宋体"/>
                <w:sz w:val="18"/>
              </w:rPr>
              <w:t>息化解决方案</w:t>
            </w:r>
          </w:p>
        </w:tc>
        <w:tc>
          <w:tcPr>
            <w:tcW w:w="1000" w:type="dxa"/>
            <w:tcMar>
              <w:top w:w="0" w:type="dxa"/>
              <w:left w:w="0" w:type="dxa"/>
              <w:bottom w:w="0" w:type="dxa"/>
              <w:right w:w="0" w:type="dxa"/>
            </w:tcMar>
          </w:tcPr>
          <w:p>
            <w:pPr>
              <w:spacing w:before="180"/>
              <w:ind w:left="380"/>
            </w:pPr>
            <w:r>
              <w:rPr>
                <w:rFonts w:hint="eastAsia" w:ascii="Times New Roman" w:hAnsi="Times New Roman" w:eastAsia="Times New Roman" w:cs="Times New Roman"/>
                <w:sz w:val="18"/>
              </w:rPr>
              <w:t>680.63</w:t>
            </w:r>
          </w:p>
        </w:tc>
        <w:tc>
          <w:tcPr>
            <w:tcW w:w="98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18"/>
              </w:rPr>
              <w:t>3.33%</w:t>
            </w:r>
          </w:p>
        </w:tc>
        <w:tc>
          <w:tcPr>
            <w:tcW w:w="1000" w:type="dxa"/>
            <w:tcMar>
              <w:top w:w="0" w:type="dxa"/>
              <w:left w:w="0" w:type="dxa"/>
              <w:bottom w:w="0" w:type="dxa"/>
              <w:right w:w="0" w:type="dxa"/>
            </w:tcMar>
          </w:tcPr>
          <w:p>
            <w:pPr>
              <w:spacing w:before="180"/>
              <w:ind w:left="380"/>
            </w:pPr>
            <w:r>
              <w:rPr>
                <w:rFonts w:hint="eastAsia" w:ascii="Times New Roman" w:hAnsi="Times New Roman" w:eastAsia="Times New Roman" w:cs="Times New Roman"/>
                <w:sz w:val="18"/>
              </w:rPr>
              <w:t>603.78</w:t>
            </w:r>
          </w:p>
        </w:tc>
        <w:tc>
          <w:tcPr>
            <w:tcW w:w="100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18"/>
              </w:rPr>
              <w:t>3.09%</w:t>
            </w:r>
          </w:p>
        </w:tc>
        <w:tc>
          <w:tcPr>
            <w:tcW w:w="1000" w:type="dxa"/>
            <w:tcMar>
              <w:top w:w="0" w:type="dxa"/>
              <w:left w:w="0" w:type="dxa"/>
              <w:bottom w:w="0" w:type="dxa"/>
              <w:right w:w="0" w:type="dxa"/>
            </w:tcMar>
          </w:tcPr>
          <w:p>
            <w:pPr>
              <w:spacing w:before="180"/>
              <w:ind w:left="380"/>
            </w:pPr>
            <w:r>
              <w:rPr>
                <w:rFonts w:hint="eastAsia" w:ascii="Times New Roman" w:hAnsi="Times New Roman" w:eastAsia="Times New Roman" w:cs="Times New Roman"/>
                <w:sz w:val="18"/>
              </w:rPr>
              <w:t>817.66</w:t>
            </w:r>
          </w:p>
        </w:tc>
        <w:tc>
          <w:tcPr>
            <w:tcW w:w="98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18"/>
              </w:rPr>
              <w:t>5.03%</w:t>
            </w:r>
          </w:p>
        </w:tc>
      </w:tr>
      <w:tr>
        <w:trPr>
          <w:trHeight w:val="460" w:hRule="exact"/>
        </w:trPr>
        <w:tc>
          <w:tcPr>
            <w:tcW w:w="3960" w:type="dxa"/>
            <w:gridSpan w:val="3"/>
            <w:tcMar>
              <w:top w:w="0" w:type="dxa"/>
              <w:left w:w="0" w:type="dxa"/>
              <w:bottom w:w="0" w:type="dxa"/>
              <w:right w:w="0" w:type="dxa"/>
            </w:tcMar>
          </w:tcPr>
          <w:p>
            <w:pPr>
              <w:spacing w:before="120"/>
              <w:ind w:left="1780"/>
            </w:pPr>
            <w:r>
              <w:rPr>
                <w:rFonts w:hint="eastAsia" w:ascii="宋体" w:hAnsi="宋体" w:eastAsia="宋体" w:cs="宋体"/>
                <w:b/>
                <w:sz w:val="18"/>
              </w:rPr>
              <w:t>小计</w:t>
            </w:r>
          </w:p>
        </w:tc>
        <w:tc>
          <w:tcPr>
            <w:tcW w:w="1000" w:type="dxa"/>
            <w:tcMar>
              <w:top w:w="0" w:type="dxa"/>
              <w:left w:w="0" w:type="dxa"/>
              <w:bottom w:w="0" w:type="dxa"/>
              <w:right w:w="0" w:type="dxa"/>
            </w:tcMar>
          </w:tcPr>
          <w:p>
            <w:pPr>
              <w:spacing w:before="140"/>
              <w:ind w:left="160"/>
            </w:pPr>
            <w:r>
              <w:rPr>
                <w:rFonts w:hint="eastAsia" w:ascii="Times New Roman Bold" w:hAnsi="Times New Roman Bold" w:eastAsia="Times New Roman Bold" w:cs="Times New Roman Bold"/>
                <w:b/>
                <w:sz w:val="18"/>
              </w:rPr>
              <w:t>17,727.42</w:t>
            </w:r>
          </w:p>
        </w:tc>
        <w:tc>
          <w:tcPr>
            <w:tcW w:w="980" w:type="dxa"/>
            <w:tcMar>
              <w:top w:w="0" w:type="dxa"/>
              <w:left w:w="0" w:type="dxa"/>
              <w:bottom w:w="0" w:type="dxa"/>
              <w:right w:w="0" w:type="dxa"/>
            </w:tcMar>
          </w:tcPr>
          <w:p>
            <w:pPr>
              <w:spacing w:before="140"/>
              <w:ind w:left="280"/>
            </w:pPr>
            <w:r>
              <w:rPr>
                <w:rFonts w:hint="eastAsia" w:ascii="Times New Roman Bold" w:hAnsi="Times New Roman Bold" w:eastAsia="Times New Roman Bold" w:cs="Times New Roman Bold"/>
                <w:b/>
                <w:sz w:val="18"/>
              </w:rPr>
              <w:t>86.61%</w:t>
            </w:r>
          </w:p>
        </w:tc>
        <w:tc>
          <w:tcPr>
            <w:tcW w:w="1000" w:type="dxa"/>
            <w:tcMar>
              <w:top w:w="0" w:type="dxa"/>
              <w:left w:w="0" w:type="dxa"/>
              <w:bottom w:w="0" w:type="dxa"/>
              <w:right w:w="0" w:type="dxa"/>
            </w:tcMar>
          </w:tcPr>
          <w:p>
            <w:pPr>
              <w:spacing w:before="140"/>
              <w:ind w:left="160"/>
            </w:pPr>
            <w:r>
              <w:rPr>
                <w:rFonts w:hint="eastAsia" w:ascii="Times New Roman Bold" w:hAnsi="Times New Roman Bold" w:eastAsia="Times New Roman Bold" w:cs="Times New Roman Bold"/>
                <w:b/>
                <w:sz w:val="18"/>
              </w:rPr>
              <w:t>17,313.31</w:t>
            </w:r>
          </w:p>
        </w:tc>
        <w:tc>
          <w:tcPr>
            <w:tcW w:w="1000" w:type="dxa"/>
            <w:tcMar>
              <w:top w:w="0" w:type="dxa"/>
              <w:left w:w="0" w:type="dxa"/>
              <w:bottom w:w="0" w:type="dxa"/>
              <w:right w:w="0" w:type="dxa"/>
            </w:tcMar>
          </w:tcPr>
          <w:p>
            <w:pPr>
              <w:spacing w:before="140"/>
              <w:ind w:left="280"/>
            </w:pPr>
            <w:r>
              <w:rPr>
                <w:rFonts w:hint="eastAsia" w:ascii="Times New Roman Bold" w:hAnsi="Times New Roman Bold" w:eastAsia="Times New Roman Bold" w:cs="Times New Roman Bold"/>
                <w:b/>
                <w:sz w:val="18"/>
              </w:rPr>
              <w:t>88.73%</w:t>
            </w:r>
          </w:p>
        </w:tc>
        <w:tc>
          <w:tcPr>
            <w:tcW w:w="1000" w:type="dxa"/>
            <w:tcMar>
              <w:top w:w="0" w:type="dxa"/>
              <w:left w:w="0" w:type="dxa"/>
              <w:bottom w:w="0" w:type="dxa"/>
              <w:right w:w="0" w:type="dxa"/>
            </w:tcMar>
          </w:tcPr>
          <w:p>
            <w:pPr>
              <w:spacing w:before="140"/>
              <w:ind w:left="140"/>
            </w:pPr>
            <w:r>
              <w:rPr>
                <w:rFonts w:hint="eastAsia" w:ascii="Times New Roman Bold" w:hAnsi="Times New Roman Bold" w:eastAsia="Times New Roman Bold" w:cs="Times New Roman Bold"/>
                <w:b/>
                <w:sz w:val="18"/>
              </w:rPr>
              <w:t>14,622.53</w:t>
            </w:r>
          </w:p>
        </w:tc>
        <w:tc>
          <w:tcPr>
            <w:tcW w:w="980" w:type="dxa"/>
            <w:tcMar>
              <w:top w:w="0" w:type="dxa"/>
              <w:left w:w="0" w:type="dxa"/>
              <w:bottom w:w="0" w:type="dxa"/>
              <w:right w:w="0" w:type="dxa"/>
            </w:tcMar>
          </w:tcPr>
          <w:p>
            <w:pPr>
              <w:spacing w:before="140"/>
              <w:ind w:left="280"/>
            </w:pPr>
            <w:r>
              <w:rPr>
                <w:rFonts w:hint="eastAsia" w:ascii="Times New Roman Bold" w:hAnsi="Times New Roman Bold" w:eastAsia="Times New Roman Bold" w:cs="Times New Roman Bold"/>
                <w:b/>
                <w:sz w:val="18"/>
              </w:rPr>
              <w:t>89.96%</w:t>
            </w:r>
          </w:p>
        </w:tc>
      </w:tr>
      <w:tr>
        <w:trPr>
          <w:trHeight w:val="640" w:hRule="exact"/>
        </w:trPr>
        <w:tc>
          <w:tcPr>
            <w:tcW w:w="580" w:type="dxa"/>
            <w:vMerge w:val="restart"/>
            <w:tcMar>
              <w:top w:w="0" w:type="dxa"/>
              <w:left w:w="0" w:type="dxa"/>
              <w:bottom w:w="0" w:type="dxa"/>
              <w:right w:w="0" w:type="dxa"/>
            </w:tcMar>
          </w:tcPr>
          <w:p>
            <w:pPr>
              <w:spacing w:before="260"/>
            </w:pPr>
            <w:r>
              <w:rPr>
                <w:rFonts w:hint="eastAsia" w:ascii="宋体" w:hAnsi="宋体" w:eastAsia="宋体" w:cs="宋体"/>
                <w:sz w:val="18"/>
              </w:rPr>
              <w:t>非金</w:t>
            </w:r>
          </w:p>
          <w:p>
            <w:pPr>
              <w:spacing w:before="120"/>
            </w:pPr>
            <w:r>
              <w:rPr>
                <w:rFonts w:hint="eastAsia" w:ascii="宋体" w:hAnsi="宋体" w:eastAsia="宋体" w:cs="宋体"/>
                <w:sz w:val="18"/>
              </w:rPr>
              <w:t>融行</w:t>
            </w:r>
          </w:p>
          <w:p>
            <w:pPr>
              <w:spacing w:before="120"/>
              <w:ind w:left="180"/>
            </w:pPr>
            <w:r>
              <w:rPr>
                <w:rFonts w:hint="eastAsia" w:ascii="宋体" w:hAnsi="宋体" w:eastAsia="宋体" w:cs="宋体"/>
                <w:sz w:val="18"/>
              </w:rPr>
              <w:t>业</w:t>
            </w:r>
          </w:p>
        </w:tc>
        <w:tc>
          <w:tcPr>
            <w:tcW w:w="840" w:type="dxa"/>
            <w:tcMar>
              <w:top w:w="0" w:type="dxa"/>
              <w:left w:w="0" w:type="dxa"/>
              <w:bottom w:w="0" w:type="dxa"/>
              <w:right w:w="0" w:type="dxa"/>
            </w:tcMar>
          </w:tcPr>
          <w:p>
            <w:pPr>
              <w:spacing w:before="220"/>
              <w:ind w:left="220"/>
            </w:pPr>
            <w:r>
              <w:rPr>
                <w:rFonts w:hint="eastAsia" w:ascii="宋体" w:hAnsi="宋体" w:eastAsia="宋体" w:cs="宋体"/>
                <w:sz w:val="18"/>
              </w:rPr>
              <w:t>教育</w:t>
            </w:r>
          </w:p>
        </w:tc>
        <w:tc>
          <w:tcPr>
            <w:tcW w:w="2540" w:type="dxa"/>
            <w:tcMar>
              <w:top w:w="0" w:type="dxa"/>
              <w:left w:w="0" w:type="dxa"/>
              <w:bottom w:w="0" w:type="dxa"/>
              <w:right w:w="0" w:type="dxa"/>
            </w:tcMar>
          </w:tcPr>
          <w:p>
            <w:pPr>
              <w:spacing w:before="60"/>
            </w:pPr>
            <w:r>
              <w:rPr>
                <w:rFonts w:hint="eastAsia" w:ascii="宋体" w:hAnsi="宋体" w:eastAsia="宋体" w:cs="宋体"/>
                <w:sz w:val="18"/>
              </w:rPr>
              <w:t>数字化校园流程管理信息化</w:t>
            </w:r>
          </w:p>
          <w:p>
            <w:pPr>
              <w:spacing w:before="140"/>
            </w:pPr>
            <w:r>
              <w:rPr>
                <w:rFonts w:hint="eastAsia" w:ascii="宋体" w:hAnsi="宋体" w:eastAsia="宋体" w:cs="宋体"/>
                <w:sz w:val="18"/>
              </w:rPr>
              <w:t>解决方案</w:t>
            </w:r>
          </w:p>
        </w:tc>
        <w:tc>
          <w:tcPr>
            <w:tcW w:w="1000" w:type="dxa"/>
            <w:tcMar>
              <w:top w:w="0" w:type="dxa"/>
              <w:left w:w="0" w:type="dxa"/>
              <w:bottom w:w="0" w:type="dxa"/>
              <w:right w:w="0" w:type="dxa"/>
            </w:tcMar>
          </w:tcPr>
          <w:p>
            <w:pPr>
              <w:spacing w:before="260"/>
              <w:ind w:left="380"/>
            </w:pPr>
            <w:r>
              <w:rPr>
                <w:rFonts w:hint="eastAsia" w:ascii="Times New Roman" w:hAnsi="Times New Roman" w:eastAsia="Times New Roman" w:cs="Times New Roman"/>
                <w:sz w:val="18"/>
              </w:rPr>
              <w:t>947.27</w:t>
            </w:r>
          </w:p>
        </w:tc>
        <w:tc>
          <w:tcPr>
            <w:tcW w:w="98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4.63%</w:t>
            </w:r>
          </w:p>
        </w:tc>
        <w:tc>
          <w:tcPr>
            <w:tcW w:w="1000" w:type="dxa"/>
            <w:tcMar>
              <w:top w:w="0" w:type="dxa"/>
              <w:left w:w="0" w:type="dxa"/>
              <w:bottom w:w="0" w:type="dxa"/>
              <w:right w:w="0" w:type="dxa"/>
            </w:tcMar>
          </w:tcPr>
          <w:p>
            <w:pPr>
              <w:spacing w:before="260"/>
              <w:ind w:left="380"/>
            </w:pPr>
            <w:r>
              <w:rPr>
                <w:rFonts w:hint="eastAsia" w:ascii="Times New Roman" w:hAnsi="Times New Roman" w:eastAsia="Times New Roman" w:cs="Times New Roman"/>
                <w:sz w:val="18"/>
              </w:rPr>
              <w:t>544.42</w:t>
            </w:r>
          </w:p>
        </w:tc>
        <w:tc>
          <w:tcPr>
            <w:tcW w:w="100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2.79%</w:t>
            </w:r>
          </w:p>
        </w:tc>
        <w:tc>
          <w:tcPr>
            <w:tcW w:w="1000" w:type="dxa"/>
            <w:tcMar>
              <w:top w:w="0" w:type="dxa"/>
              <w:left w:w="0" w:type="dxa"/>
              <w:bottom w:w="0" w:type="dxa"/>
              <w:right w:w="0" w:type="dxa"/>
            </w:tcMar>
          </w:tcPr>
          <w:p>
            <w:pPr>
              <w:spacing w:before="260"/>
              <w:ind w:left="380"/>
            </w:pPr>
            <w:r>
              <w:rPr>
                <w:rFonts w:hint="eastAsia" w:ascii="Times New Roman" w:hAnsi="Times New Roman" w:eastAsia="Times New Roman" w:cs="Times New Roman"/>
                <w:sz w:val="18"/>
              </w:rPr>
              <w:t>254.03</w:t>
            </w:r>
          </w:p>
        </w:tc>
        <w:tc>
          <w:tcPr>
            <w:tcW w:w="98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1.56%</w:t>
            </w:r>
          </w:p>
        </w:tc>
      </w:tr>
      <w:tr>
        <w:trPr>
          <w:trHeight w:val="700" w:hRule="exact"/>
        </w:trPr>
        <w:tc>
          <w:tcPr>
            <w:tcW w:w="580" w:type="dxa"/>
            <w:vMerge w:val="continue"/>
            <w:tcMar>
              <w:top w:w="0" w:type="dxa"/>
              <w:left w:w="0" w:type="dxa"/>
              <w:bottom w:w="0" w:type="dxa"/>
              <w:right w:w="0" w:type="dxa"/>
            </w:tcMar>
          </w:tcPr>
          <w:p/>
        </w:tc>
        <w:tc>
          <w:tcPr>
            <w:tcW w:w="840" w:type="dxa"/>
            <w:tcMar>
              <w:top w:w="0" w:type="dxa"/>
              <w:left w:w="0" w:type="dxa"/>
              <w:bottom w:w="0" w:type="dxa"/>
              <w:right w:w="0" w:type="dxa"/>
            </w:tcMar>
          </w:tcPr>
          <w:p>
            <w:pPr>
              <w:spacing w:before="80"/>
              <w:ind w:left="120"/>
            </w:pPr>
            <w:r>
              <w:rPr>
                <w:rFonts w:hint="eastAsia" w:ascii="宋体" w:hAnsi="宋体" w:eastAsia="宋体" w:cs="宋体"/>
                <w:sz w:val="18"/>
              </w:rPr>
              <w:t>大中型</w:t>
            </w:r>
          </w:p>
          <w:p>
            <w:pPr>
              <w:spacing w:before="120"/>
              <w:ind w:left="220"/>
            </w:pPr>
            <w:r>
              <w:rPr>
                <w:rFonts w:hint="eastAsia" w:ascii="宋体" w:hAnsi="宋体" w:eastAsia="宋体" w:cs="宋体"/>
                <w:sz w:val="18"/>
              </w:rPr>
              <w:t>企业</w:t>
            </w:r>
          </w:p>
        </w:tc>
        <w:tc>
          <w:tcPr>
            <w:tcW w:w="2540" w:type="dxa"/>
            <w:tcMar>
              <w:top w:w="0" w:type="dxa"/>
              <w:left w:w="0" w:type="dxa"/>
              <w:bottom w:w="0" w:type="dxa"/>
              <w:right w:w="0" w:type="dxa"/>
            </w:tcMar>
          </w:tcPr>
          <w:p>
            <w:pPr>
              <w:spacing w:before="80"/>
            </w:pPr>
            <w:r>
              <w:rPr>
                <w:rFonts w:hint="eastAsia" w:ascii="宋体" w:hAnsi="宋体" w:eastAsia="宋体" w:cs="宋体"/>
                <w:sz w:val="18"/>
              </w:rPr>
              <w:t>企业流程管理信息化解决方</w:t>
            </w:r>
          </w:p>
          <w:p>
            <w:pPr>
              <w:spacing w:before="120"/>
            </w:pPr>
            <w:r>
              <w:rPr>
                <w:rFonts w:hint="eastAsia" w:ascii="宋体" w:hAnsi="宋体" w:eastAsia="宋体" w:cs="宋体"/>
                <w:sz w:val="18"/>
              </w:rPr>
              <w:t>案</w:t>
            </w:r>
          </w:p>
        </w:tc>
        <w:tc>
          <w:tcPr>
            <w:tcW w:w="1000" w:type="dxa"/>
            <w:tcMar>
              <w:top w:w="0" w:type="dxa"/>
              <w:left w:w="0" w:type="dxa"/>
              <w:bottom w:w="0" w:type="dxa"/>
              <w:right w:w="0" w:type="dxa"/>
            </w:tcMar>
          </w:tcPr>
          <w:p>
            <w:pPr>
              <w:spacing w:before="260"/>
              <w:ind w:left="240"/>
            </w:pPr>
            <w:r>
              <w:rPr>
                <w:rFonts w:hint="eastAsia" w:ascii="Times New Roman" w:hAnsi="Times New Roman" w:eastAsia="Times New Roman" w:cs="Times New Roman"/>
                <w:sz w:val="18"/>
              </w:rPr>
              <w:t>1,794.55</w:t>
            </w:r>
          </w:p>
        </w:tc>
        <w:tc>
          <w:tcPr>
            <w:tcW w:w="98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8.77%</w:t>
            </w:r>
          </w:p>
        </w:tc>
        <w:tc>
          <w:tcPr>
            <w:tcW w:w="1000" w:type="dxa"/>
            <w:tcMar>
              <w:top w:w="0" w:type="dxa"/>
              <w:left w:w="0" w:type="dxa"/>
              <w:bottom w:w="0" w:type="dxa"/>
              <w:right w:w="0" w:type="dxa"/>
            </w:tcMar>
          </w:tcPr>
          <w:p>
            <w:pPr>
              <w:spacing w:before="260"/>
              <w:ind w:left="240"/>
            </w:pPr>
            <w:r>
              <w:rPr>
                <w:rFonts w:hint="eastAsia" w:ascii="Times New Roman" w:hAnsi="Times New Roman" w:eastAsia="Times New Roman" w:cs="Times New Roman"/>
                <w:sz w:val="18"/>
              </w:rPr>
              <w:t>1,654.52</w:t>
            </w:r>
          </w:p>
        </w:tc>
        <w:tc>
          <w:tcPr>
            <w:tcW w:w="100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8.48%</w:t>
            </w:r>
          </w:p>
        </w:tc>
        <w:tc>
          <w:tcPr>
            <w:tcW w:w="1000" w:type="dxa"/>
            <w:tcMar>
              <w:top w:w="0" w:type="dxa"/>
              <w:left w:w="0" w:type="dxa"/>
              <w:bottom w:w="0" w:type="dxa"/>
              <w:right w:w="0" w:type="dxa"/>
            </w:tcMar>
          </w:tcPr>
          <w:p>
            <w:pPr>
              <w:spacing w:before="260"/>
              <w:ind w:left="240"/>
            </w:pPr>
            <w:r>
              <w:rPr>
                <w:rFonts w:hint="eastAsia" w:ascii="Times New Roman" w:hAnsi="Times New Roman" w:eastAsia="Times New Roman" w:cs="Times New Roman"/>
                <w:sz w:val="18"/>
              </w:rPr>
              <w:t>1,377.78</w:t>
            </w:r>
          </w:p>
        </w:tc>
        <w:tc>
          <w:tcPr>
            <w:tcW w:w="98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8.48%</w:t>
            </w:r>
          </w:p>
        </w:tc>
      </w:tr>
      <w:tr>
        <w:trPr>
          <w:trHeight w:val="480" w:hRule="exact"/>
        </w:trPr>
        <w:tc>
          <w:tcPr>
            <w:tcW w:w="3960" w:type="dxa"/>
            <w:gridSpan w:val="3"/>
            <w:tcMar>
              <w:top w:w="0" w:type="dxa"/>
              <w:left w:w="0" w:type="dxa"/>
              <w:bottom w:w="0" w:type="dxa"/>
              <w:right w:w="0" w:type="dxa"/>
            </w:tcMar>
          </w:tcPr>
          <w:p>
            <w:pPr>
              <w:spacing w:before="140"/>
              <w:ind w:left="1780"/>
            </w:pPr>
            <w:r>
              <w:rPr>
                <w:rFonts w:hint="eastAsia" w:ascii="宋体" w:hAnsi="宋体" w:eastAsia="宋体" w:cs="宋体"/>
                <w:b/>
                <w:sz w:val="18"/>
              </w:rPr>
              <w:t>小计</w:t>
            </w:r>
          </w:p>
        </w:tc>
        <w:tc>
          <w:tcPr>
            <w:tcW w:w="1000" w:type="dxa"/>
            <w:tcMar>
              <w:top w:w="0" w:type="dxa"/>
              <w:left w:w="0" w:type="dxa"/>
              <w:bottom w:w="0" w:type="dxa"/>
              <w:right w:w="0" w:type="dxa"/>
            </w:tcMar>
          </w:tcPr>
          <w:p>
            <w:pPr>
              <w:spacing w:before="160"/>
              <w:ind w:left="240"/>
            </w:pPr>
            <w:r>
              <w:rPr>
                <w:rFonts w:hint="eastAsia" w:ascii="Times New Roman Bold" w:hAnsi="Times New Roman Bold" w:eastAsia="Times New Roman Bold" w:cs="Times New Roman Bold"/>
                <w:b/>
                <w:sz w:val="18"/>
              </w:rPr>
              <w:t>2,741.83</w:t>
            </w:r>
          </w:p>
        </w:tc>
        <w:tc>
          <w:tcPr>
            <w:tcW w:w="980" w:type="dxa"/>
            <w:tcMar>
              <w:top w:w="0" w:type="dxa"/>
              <w:left w:w="0" w:type="dxa"/>
              <w:bottom w:w="0" w:type="dxa"/>
              <w:right w:w="0" w:type="dxa"/>
            </w:tcMar>
          </w:tcPr>
          <w:p>
            <w:pPr>
              <w:spacing w:before="160"/>
              <w:ind w:left="280"/>
            </w:pPr>
            <w:r>
              <w:rPr>
                <w:rFonts w:hint="eastAsia" w:ascii="Times New Roman Bold" w:hAnsi="Times New Roman Bold" w:eastAsia="Times New Roman Bold" w:cs="Times New Roman Bold"/>
                <w:b/>
                <w:sz w:val="18"/>
              </w:rPr>
              <w:t>13.39%</w:t>
            </w:r>
          </w:p>
        </w:tc>
        <w:tc>
          <w:tcPr>
            <w:tcW w:w="1000" w:type="dxa"/>
            <w:tcMar>
              <w:top w:w="0" w:type="dxa"/>
              <w:left w:w="0" w:type="dxa"/>
              <w:bottom w:w="0" w:type="dxa"/>
              <w:right w:w="0" w:type="dxa"/>
            </w:tcMar>
          </w:tcPr>
          <w:p>
            <w:pPr>
              <w:spacing w:before="160"/>
              <w:ind w:left="240"/>
            </w:pPr>
            <w:r>
              <w:rPr>
                <w:rFonts w:hint="eastAsia" w:ascii="Times New Roman Bold" w:hAnsi="Times New Roman Bold" w:eastAsia="Times New Roman Bold" w:cs="Times New Roman Bold"/>
                <w:b/>
                <w:sz w:val="18"/>
              </w:rPr>
              <w:t>2,198.94</w:t>
            </w:r>
          </w:p>
        </w:tc>
        <w:tc>
          <w:tcPr>
            <w:tcW w:w="1000" w:type="dxa"/>
            <w:tcMar>
              <w:top w:w="0" w:type="dxa"/>
              <w:left w:w="0" w:type="dxa"/>
              <w:bottom w:w="0" w:type="dxa"/>
              <w:right w:w="0" w:type="dxa"/>
            </w:tcMar>
          </w:tcPr>
          <w:p>
            <w:pPr>
              <w:spacing w:before="160"/>
              <w:ind w:left="300"/>
            </w:pPr>
            <w:r>
              <w:rPr>
                <w:rFonts w:hint="eastAsia" w:ascii="Times New Roman Bold" w:hAnsi="Times New Roman Bold" w:eastAsia="Times New Roman Bold" w:cs="Times New Roman Bold"/>
                <w:b/>
                <w:sz w:val="18"/>
              </w:rPr>
              <w:t>11.27%</w:t>
            </w:r>
          </w:p>
        </w:tc>
        <w:tc>
          <w:tcPr>
            <w:tcW w:w="1000" w:type="dxa"/>
            <w:tcMar>
              <w:top w:w="0" w:type="dxa"/>
              <w:left w:w="0" w:type="dxa"/>
              <w:bottom w:w="0" w:type="dxa"/>
              <w:right w:w="0" w:type="dxa"/>
            </w:tcMar>
          </w:tcPr>
          <w:p>
            <w:pPr>
              <w:spacing w:before="160"/>
              <w:ind w:left="240"/>
            </w:pPr>
            <w:r>
              <w:rPr>
                <w:rFonts w:hint="eastAsia" w:ascii="Times New Roman Bold" w:hAnsi="Times New Roman Bold" w:eastAsia="Times New Roman Bold" w:cs="Times New Roman Bold"/>
                <w:b/>
                <w:sz w:val="18"/>
              </w:rPr>
              <w:t>1,631.81</w:t>
            </w:r>
          </w:p>
        </w:tc>
        <w:tc>
          <w:tcPr>
            <w:tcW w:w="980" w:type="dxa"/>
            <w:tcMar>
              <w:top w:w="0" w:type="dxa"/>
              <w:left w:w="0" w:type="dxa"/>
              <w:bottom w:w="0" w:type="dxa"/>
              <w:right w:w="0" w:type="dxa"/>
            </w:tcMar>
          </w:tcPr>
          <w:p>
            <w:pPr>
              <w:spacing w:before="160"/>
              <w:ind w:left="280"/>
            </w:pPr>
            <w:r>
              <w:rPr>
                <w:rFonts w:hint="eastAsia" w:ascii="Times New Roman Bold" w:hAnsi="Times New Roman Bold" w:eastAsia="Times New Roman Bold" w:cs="Times New Roman Bold"/>
                <w:b/>
                <w:sz w:val="18"/>
              </w:rPr>
              <w:t>10.04%</w:t>
            </w:r>
          </w:p>
        </w:tc>
      </w:tr>
      <w:tr>
        <w:trPr>
          <w:trHeight w:val="480" w:hRule="exact"/>
        </w:trPr>
        <w:tc>
          <w:tcPr>
            <w:tcW w:w="3960" w:type="dxa"/>
            <w:gridSpan w:val="3"/>
            <w:tcMar>
              <w:top w:w="0" w:type="dxa"/>
              <w:left w:w="0" w:type="dxa"/>
              <w:bottom w:w="0" w:type="dxa"/>
              <w:right w:w="0" w:type="dxa"/>
            </w:tcMar>
          </w:tcPr>
          <w:p>
            <w:pPr>
              <w:spacing w:before="140"/>
              <w:ind w:left="1780"/>
            </w:pPr>
            <w:r>
              <w:rPr>
                <w:rFonts w:hint="eastAsia" w:ascii="宋体" w:hAnsi="宋体" w:eastAsia="宋体" w:cs="宋体"/>
                <w:b/>
                <w:sz w:val="18"/>
              </w:rPr>
              <w:t>合计</w:t>
            </w:r>
          </w:p>
        </w:tc>
        <w:tc>
          <w:tcPr>
            <w:tcW w:w="100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18"/>
              </w:rPr>
              <w:t>20,469.25</w:t>
            </w:r>
          </w:p>
        </w:tc>
        <w:tc>
          <w:tcPr>
            <w:tcW w:w="980" w:type="dxa"/>
            <w:tcMar>
              <w:top w:w="0" w:type="dxa"/>
              <w:left w:w="0" w:type="dxa"/>
              <w:bottom w:w="0" w:type="dxa"/>
              <w:right w:w="0" w:type="dxa"/>
            </w:tcMar>
          </w:tcPr>
          <w:p>
            <w:pPr>
              <w:spacing w:before="160"/>
              <w:ind w:left="200"/>
            </w:pPr>
            <w:r>
              <w:rPr>
                <w:rFonts w:hint="eastAsia" w:ascii="Times New Roman Bold" w:hAnsi="Times New Roman Bold" w:eastAsia="Times New Roman Bold" w:cs="Times New Roman Bold"/>
                <w:b/>
                <w:sz w:val="18"/>
              </w:rPr>
              <w:t>100.00%</w:t>
            </w:r>
          </w:p>
        </w:tc>
        <w:tc>
          <w:tcPr>
            <w:tcW w:w="100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18"/>
              </w:rPr>
              <w:t>19,512.25</w:t>
            </w:r>
          </w:p>
        </w:tc>
        <w:tc>
          <w:tcPr>
            <w:tcW w:w="1000" w:type="dxa"/>
            <w:tcMar>
              <w:top w:w="0" w:type="dxa"/>
              <w:left w:w="0" w:type="dxa"/>
              <w:bottom w:w="0" w:type="dxa"/>
              <w:right w:w="0" w:type="dxa"/>
            </w:tcMar>
          </w:tcPr>
          <w:p>
            <w:pPr>
              <w:spacing w:before="160"/>
              <w:ind w:left="200"/>
            </w:pPr>
            <w:r>
              <w:rPr>
                <w:rFonts w:hint="eastAsia" w:ascii="Times New Roman Bold" w:hAnsi="Times New Roman Bold" w:eastAsia="Times New Roman Bold" w:cs="Times New Roman Bold"/>
                <w:b/>
                <w:sz w:val="18"/>
              </w:rPr>
              <w:t>100.00%</w:t>
            </w:r>
          </w:p>
        </w:tc>
        <w:tc>
          <w:tcPr>
            <w:tcW w:w="1000" w:type="dxa"/>
            <w:tcMar>
              <w:top w:w="0" w:type="dxa"/>
              <w:left w:w="0" w:type="dxa"/>
              <w:bottom w:w="0" w:type="dxa"/>
              <w:right w:w="0" w:type="dxa"/>
            </w:tcMar>
          </w:tcPr>
          <w:p>
            <w:pPr>
              <w:spacing w:before="180"/>
              <w:ind w:left="140"/>
            </w:pPr>
            <w:r>
              <w:rPr>
                <w:rFonts w:hint="eastAsia" w:ascii="Times New Roman Bold" w:hAnsi="Times New Roman Bold" w:eastAsia="Times New Roman Bold" w:cs="Times New Roman Bold"/>
                <w:b/>
                <w:sz w:val="18"/>
              </w:rPr>
              <w:t>16,254.35</w:t>
            </w:r>
          </w:p>
        </w:tc>
        <w:tc>
          <w:tcPr>
            <w:tcW w:w="980" w:type="dxa"/>
            <w:tcMar>
              <w:top w:w="0" w:type="dxa"/>
              <w:left w:w="0" w:type="dxa"/>
              <w:bottom w:w="0" w:type="dxa"/>
              <w:right w:w="0" w:type="dxa"/>
            </w:tcMar>
          </w:tcPr>
          <w:p>
            <w:pPr>
              <w:spacing w:before="160"/>
              <w:ind w:left="180"/>
            </w:pPr>
            <w:r>
              <w:rPr>
                <w:rFonts w:hint="eastAsia" w:ascii="Times New Roman Bold" w:hAnsi="Times New Roman Bold" w:eastAsia="Times New Roman Bold" w:cs="Times New Roman Bold"/>
                <w:b/>
                <w:sz w:val="18"/>
              </w:rPr>
              <w:t>100.00%</w:t>
            </w:r>
          </w:p>
        </w:tc>
      </w:tr>
    </w:tbl>
    <w:p>
      <w:pPr>
        <w:autoSpaceDE w:val="false"/>
        <w:autoSpaceDN w:val="false"/>
        <w:spacing w:line="440" w:lineRule="exact"/>
        <w:ind w:left="2220"/>
        <w:jc w:val="both"/>
      </w:pPr>
      <w:r>
        <w:rPr>
          <w:rFonts w:hint="eastAsia" w:ascii="宋体" w:hAnsi="宋体" w:eastAsia="宋体" w:cs="宋体"/>
          <w:sz w:val="21"/>
        </w:rPr>
        <w:t>注</w:t>
      </w:r>
      <w:r>
        <w:rPr>
          <w:rFonts w:hint="eastAsia" w:ascii="宋体" w:hAnsi="宋体" w:eastAsia="宋体" w:cs="宋体"/>
          <w:sz w:val="10"/>
        </w:rPr>
        <w:t>：</w:t>
      </w:r>
      <w:r>
        <w:rPr>
          <w:rFonts w:hint="eastAsia" w:ascii="宋体" w:hAnsi="宋体" w:eastAsia="宋体" w:cs="宋体"/>
          <w:sz w:val="21"/>
        </w:rPr>
        <w:t>发行人营业收入的行业分布依据客户所属行业及公司为客户提供的软件产品和服务</w:t>
      </w:r>
    </w:p>
    <w:p>
      <w:pPr>
        <w:autoSpaceDE w:val="false"/>
        <w:autoSpaceDN w:val="false"/>
        <w:spacing w:line="300" w:lineRule="exact"/>
        <w:ind w:left="1800"/>
        <w:jc w:val="both"/>
      </w:pPr>
      <w:r>
        <w:rPr>
          <w:rFonts w:hint="eastAsia" w:ascii="宋体" w:hAnsi="宋体" w:eastAsia="宋体" w:cs="宋体"/>
          <w:sz w:val="21"/>
        </w:rPr>
        <w:t>的性质和特点加以划分</w:t>
      </w:r>
      <w:r>
        <w:rPr>
          <w:rFonts w:hint="eastAsia" w:ascii="宋体" w:hAnsi="宋体" w:eastAsia="宋体" w:cs="宋体"/>
          <w:sz w:val="12"/>
        </w:rPr>
        <w:t>；</w:t>
      </w: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证券业包含证券</w:t>
      </w:r>
      <w:r>
        <w:rPr>
          <w:rFonts w:hint="eastAsia" w:ascii="宋体" w:hAnsi="宋体" w:eastAsia="宋体" w:cs="宋体"/>
          <w:sz w:val="10"/>
        </w:rPr>
        <w:t>、</w:t>
      </w:r>
      <w:r>
        <w:rPr>
          <w:rFonts w:hint="eastAsia" w:ascii="宋体" w:hAnsi="宋体" w:eastAsia="宋体" w:cs="宋体"/>
          <w:sz w:val="21"/>
        </w:rPr>
        <w:t>期货等细分行业</w:t>
      </w:r>
      <w:r>
        <w:rPr>
          <w:rFonts w:hint="eastAsia" w:ascii="宋体" w:hAnsi="宋体" w:eastAsia="宋体" w:cs="宋体"/>
          <w:sz w:val="10"/>
        </w:rPr>
        <w:t>，</w:t>
      </w:r>
      <w:r>
        <w:rPr>
          <w:rFonts w:hint="eastAsia" w:ascii="宋体" w:hAnsi="宋体" w:eastAsia="宋体" w:cs="宋体"/>
          <w:sz w:val="21"/>
        </w:rPr>
        <w:t>银行业包括银行</w:t>
      </w:r>
      <w:r>
        <w:rPr>
          <w:rFonts w:hint="eastAsia" w:ascii="宋体" w:hAnsi="宋体" w:eastAsia="宋体" w:cs="宋体"/>
          <w:sz w:val="10"/>
        </w:rPr>
        <w:t>、</w:t>
      </w:r>
      <w:r>
        <w:rPr>
          <w:rFonts w:hint="eastAsia" w:ascii="宋体" w:hAnsi="宋体" w:eastAsia="宋体" w:cs="宋体"/>
          <w:sz w:val="21"/>
        </w:rPr>
        <w:t>信托</w:t>
      </w:r>
    </w:p>
    <w:p>
      <w:pPr>
        <w:autoSpaceDE w:val="false"/>
        <w:autoSpaceDN w:val="false"/>
        <w:spacing w:line="320" w:lineRule="exact"/>
        <w:ind w:left="1800"/>
        <w:jc w:val="both"/>
      </w:pPr>
      <w:r>
        <w:rPr>
          <w:rFonts w:hint="eastAsia" w:ascii="宋体" w:hAnsi="宋体" w:eastAsia="宋体" w:cs="宋体"/>
          <w:sz w:val="21"/>
        </w:rPr>
        <w:t>等细分行业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）发行人产品在证券行业发挥的具体作用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按照发行人为客户开发软件和提供服务的研发技术特征</w:t>
      </w:r>
      <w:r>
        <w:rPr>
          <w:rFonts w:hint="eastAsia" w:ascii="宋体" w:hAnsi="宋体" w:eastAsia="宋体" w:cs="宋体"/>
          <w:sz w:val="10"/>
        </w:rPr>
        <w:t>、</w:t>
      </w:r>
      <w:r>
        <w:rPr>
          <w:rFonts w:hint="eastAsia" w:ascii="宋体" w:hAnsi="宋体" w:eastAsia="宋体" w:cs="宋体"/>
          <w:sz w:val="24"/>
        </w:rPr>
        <w:t>内部研发产品线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证券行业软件使用者的角色划分</w:t>
      </w:r>
      <w:r>
        <w:rPr>
          <w:rFonts w:hint="eastAsia" w:ascii="宋体" w:hAnsi="宋体" w:eastAsia="宋体" w:cs="宋体"/>
          <w:sz w:val="10"/>
        </w:rPr>
        <w:t>，</w:t>
      </w:r>
      <w:r>
        <w:rPr>
          <w:rFonts w:hint="eastAsia" w:ascii="宋体" w:hAnsi="宋体" w:eastAsia="宋体" w:cs="宋体"/>
          <w:sz w:val="24"/>
        </w:rPr>
        <w:t>发行人的证券行业产品及解决方案主要分为前</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台服务渠道与作业支持信息化解决方案</w:t>
      </w:r>
      <w:r>
        <w:rPr>
          <w:rFonts w:hint="eastAsia" w:ascii="宋体" w:hAnsi="宋体" w:eastAsia="宋体" w:cs="宋体"/>
          <w:sz w:val="10"/>
        </w:rPr>
        <w:t>、</w:t>
      </w:r>
      <w:r>
        <w:rPr>
          <w:rFonts w:hint="eastAsia" w:ascii="宋体" w:hAnsi="宋体" w:eastAsia="宋体" w:cs="宋体"/>
          <w:sz w:val="24"/>
        </w:rPr>
        <w:t>中台流程信息化解决方案</w:t>
      </w:r>
      <w:r>
        <w:rPr>
          <w:rFonts w:hint="eastAsia" w:ascii="宋体" w:hAnsi="宋体" w:eastAsia="宋体" w:cs="宋体"/>
          <w:sz w:val="10"/>
        </w:rPr>
        <w:t>、</w:t>
      </w:r>
      <w:r>
        <w:rPr>
          <w:rFonts w:hint="eastAsia" w:ascii="宋体" w:hAnsi="宋体" w:eastAsia="宋体" w:cs="宋体"/>
          <w:sz w:val="24"/>
        </w:rPr>
        <w:t>后台基础运</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营支持系统解决方案</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前台服务渠道与作业支持信息化解决方案主要面向</w:t>
      </w:r>
      <w:r>
        <w:rPr>
          <w:rFonts w:hint="eastAsia" w:ascii="宋体" w:hAnsi="宋体" w:eastAsia="宋体" w:cs="宋体"/>
          <w:sz w:val="10"/>
        </w:rPr>
        <w:t>一</w:t>
      </w:r>
      <w:r>
        <w:rPr>
          <w:rFonts w:hint="eastAsia" w:ascii="宋体" w:hAnsi="宋体" w:eastAsia="宋体" w:cs="宋体"/>
          <w:sz w:val="24"/>
        </w:rPr>
        <w:t>线营销</w:t>
      </w:r>
      <w:r>
        <w:rPr>
          <w:rFonts w:hint="eastAsia" w:ascii="宋体" w:hAnsi="宋体" w:eastAsia="宋体" w:cs="宋体"/>
          <w:sz w:val="10"/>
        </w:rPr>
        <w:t>、</w:t>
      </w:r>
      <w:r>
        <w:rPr>
          <w:rFonts w:hint="eastAsia" w:ascii="宋体" w:hAnsi="宋体" w:eastAsia="宋体" w:cs="宋体"/>
          <w:sz w:val="24"/>
        </w:rPr>
        <w:t>服务人</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员</w:t>
      </w:r>
      <w:r>
        <w:rPr>
          <w:rFonts w:hint="eastAsia" w:ascii="宋体" w:hAnsi="宋体" w:eastAsia="宋体" w:cs="宋体"/>
          <w:sz w:val="10"/>
        </w:rPr>
        <w:t>，</w:t>
      </w:r>
      <w:r>
        <w:rPr>
          <w:rFonts w:hint="eastAsia" w:ascii="宋体" w:hAnsi="宋体" w:eastAsia="宋体" w:cs="宋体"/>
          <w:sz w:val="24"/>
        </w:rPr>
        <w:t>以及为证券投资者提供的自助服务与业务受理软件等</w:t>
      </w:r>
      <w:r>
        <w:rPr>
          <w:rFonts w:hint="eastAsia" w:ascii="宋体" w:hAnsi="宋体" w:eastAsia="宋体" w:cs="宋体"/>
          <w:sz w:val="10"/>
        </w:rPr>
        <w:t>。</w:t>
      </w:r>
      <w:r>
        <w:rPr>
          <w:rFonts w:hint="eastAsia" w:ascii="宋体" w:hAnsi="宋体" w:eastAsia="宋体" w:cs="宋体"/>
          <w:sz w:val="24"/>
        </w:rPr>
        <w:t>中台流程信息化解决</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方案主要面向券商业务的流程信息化需求</w:t>
      </w:r>
      <w:r>
        <w:rPr>
          <w:rFonts w:hint="eastAsia" w:ascii="宋体" w:hAnsi="宋体" w:eastAsia="宋体" w:cs="宋体"/>
          <w:sz w:val="10"/>
        </w:rPr>
        <w:t>，</w:t>
      </w:r>
      <w:r>
        <w:rPr>
          <w:rFonts w:hint="eastAsia" w:ascii="宋体" w:hAnsi="宋体" w:eastAsia="宋体" w:cs="宋体"/>
          <w:sz w:val="24"/>
        </w:rPr>
        <w:t>涉及客户管理</w:t>
      </w:r>
      <w:r>
        <w:rPr>
          <w:rFonts w:hint="eastAsia" w:ascii="宋体" w:hAnsi="宋体" w:eastAsia="宋体" w:cs="宋体"/>
          <w:sz w:val="10"/>
        </w:rPr>
        <w:t>、</w:t>
      </w:r>
      <w:r>
        <w:rPr>
          <w:rFonts w:hint="eastAsia" w:ascii="宋体" w:hAnsi="宋体" w:eastAsia="宋体" w:cs="宋体"/>
          <w:sz w:val="24"/>
        </w:rPr>
        <w:t>服务</w:t>
      </w:r>
      <w:r>
        <w:rPr>
          <w:rFonts w:hint="eastAsia" w:ascii="宋体" w:hAnsi="宋体" w:eastAsia="宋体" w:cs="宋体"/>
          <w:sz w:val="10"/>
        </w:rPr>
        <w:t>、</w:t>
      </w:r>
      <w:r>
        <w:rPr>
          <w:rFonts w:hint="eastAsia" w:ascii="宋体" w:hAnsi="宋体" w:eastAsia="宋体" w:cs="宋体"/>
          <w:sz w:val="24"/>
        </w:rPr>
        <w:t>营销绩效</w:t>
      </w:r>
      <w:r>
        <w:rPr>
          <w:rFonts w:hint="eastAsia" w:ascii="宋体" w:hAnsi="宋体" w:eastAsia="宋体" w:cs="宋体"/>
          <w:sz w:val="10"/>
        </w:rPr>
        <w:t>、</w:t>
      </w:r>
      <w:r>
        <w:rPr>
          <w:rFonts w:hint="eastAsia" w:ascii="宋体" w:hAnsi="宋体" w:eastAsia="宋体" w:cs="宋体"/>
          <w:sz w:val="24"/>
        </w:rPr>
        <w:t>投</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资者适当性</w:t>
      </w:r>
      <w:r>
        <w:rPr>
          <w:rFonts w:hint="eastAsia" w:ascii="宋体" w:hAnsi="宋体" w:eastAsia="宋体" w:cs="宋体"/>
          <w:sz w:val="10"/>
        </w:rPr>
        <w:t>、</w:t>
      </w:r>
      <w:r>
        <w:rPr>
          <w:rFonts w:hint="eastAsia" w:ascii="宋体" w:hAnsi="宋体" w:eastAsia="宋体" w:cs="宋体"/>
          <w:sz w:val="24"/>
        </w:rPr>
        <w:t>运营</w:t>
      </w:r>
      <w:r>
        <w:rPr>
          <w:rFonts w:hint="eastAsia" w:ascii="宋体" w:hAnsi="宋体" w:eastAsia="宋体" w:cs="宋体"/>
          <w:sz w:val="10"/>
        </w:rPr>
        <w:t>、</w:t>
      </w:r>
      <w:r>
        <w:rPr>
          <w:rFonts w:hint="eastAsia" w:ascii="宋体" w:hAnsi="宋体" w:eastAsia="宋体" w:cs="宋体"/>
          <w:sz w:val="24"/>
        </w:rPr>
        <w:t>审核</w:t>
      </w:r>
      <w:r>
        <w:rPr>
          <w:rFonts w:hint="eastAsia" w:ascii="宋体" w:hAnsi="宋体" w:eastAsia="宋体" w:cs="宋体"/>
          <w:sz w:val="10"/>
        </w:rPr>
        <w:t>、</w:t>
      </w:r>
      <w:r>
        <w:rPr>
          <w:rFonts w:hint="eastAsia" w:ascii="宋体" w:hAnsi="宋体" w:eastAsia="宋体" w:cs="宋体"/>
          <w:sz w:val="24"/>
        </w:rPr>
        <w:t>风控等事项</w:t>
      </w:r>
      <w:r>
        <w:rPr>
          <w:rFonts w:hint="eastAsia" w:ascii="宋体" w:hAnsi="宋体" w:eastAsia="宋体" w:cs="宋体"/>
          <w:sz w:val="10"/>
        </w:rPr>
        <w:t>。</w:t>
      </w:r>
      <w:r>
        <w:rPr>
          <w:rFonts w:hint="eastAsia" w:ascii="宋体" w:hAnsi="宋体" w:eastAsia="宋体" w:cs="宋体"/>
          <w:sz w:val="24"/>
        </w:rPr>
        <w:t>后台基础运营支持系统解决方案主要面</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向业务基础数据</w:t>
      </w:r>
      <w:r>
        <w:rPr>
          <w:rFonts w:hint="eastAsia" w:ascii="宋体" w:hAnsi="宋体" w:eastAsia="宋体" w:cs="宋体"/>
          <w:sz w:val="10"/>
        </w:rPr>
        <w:t>、</w:t>
      </w:r>
      <w:r>
        <w:rPr>
          <w:rFonts w:hint="eastAsia" w:ascii="宋体" w:hAnsi="宋体" w:eastAsia="宋体" w:cs="宋体"/>
          <w:sz w:val="24"/>
        </w:rPr>
        <w:t>信息的自动化处理</w:t>
      </w:r>
      <w:r>
        <w:rPr>
          <w:rFonts w:hint="eastAsia" w:ascii="宋体" w:hAnsi="宋体" w:eastAsia="宋体" w:cs="宋体"/>
          <w:sz w:val="10"/>
        </w:rPr>
        <w:t>，</w:t>
      </w:r>
      <w:r>
        <w:rPr>
          <w:rFonts w:hint="eastAsia" w:ascii="宋体" w:hAnsi="宋体" w:eastAsia="宋体" w:cs="宋体"/>
          <w:sz w:val="24"/>
        </w:rPr>
        <w:t>涉及资金管控</w:t>
      </w:r>
      <w:r>
        <w:rPr>
          <w:rFonts w:hint="eastAsia" w:ascii="宋体" w:hAnsi="宋体" w:eastAsia="宋体" w:cs="宋体"/>
          <w:sz w:val="10"/>
        </w:rPr>
        <w:t>、</w:t>
      </w:r>
      <w:r>
        <w:rPr>
          <w:rFonts w:hint="eastAsia" w:ascii="宋体" w:hAnsi="宋体" w:eastAsia="宋体" w:cs="宋体"/>
          <w:sz w:val="24"/>
        </w:rPr>
        <w:t>股份</w:t>
      </w:r>
      <w:r>
        <w:rPr>
          <w:rFonts w:hint="eastAsia" w:ascii="宋体" w:hAnsi="宋体" w:eastAsia="宋体" w:cs="宋体"/>
          <w:sz w:val="10"/>
        </w:rPr>
        <w:t>、</w:t>
      </w:r>
      <w:r>
        <w:rPr>
          <w:rFonts w:hint="eastAsia" w:ascii="宋体" w:hAnsi="宋体" w:eastAsia="宋体" w:cs="宋体"/>
          <w:sz w:val="24"/>
        </w:rPr>
        <w:t>订单</w:t>
      </w:r>
      <w:r>
        <w:rPr>
          <w:rFonts w:hint="eastAsia" w:ascii="宋体" w:hAnsi="宋体" w:eastAsia="宋体" w:cs="宋体"/>
          <w:sz w:val="10"/>
        </w:rPr>
        <w:t>、</w:t>
      </w:r>
      <w:r>
        <w:rPr>
          <w:rFonts w:hint="eastAsia" w:ascii="宋体" w:hAnsi="宋体" w:eastAsia="宋体" w:cs="宋体"/>
          <w:sz w:val="24"/>
        </w:rPr>
        <w:t>账户等内容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按照向客户提供的业务类别及合同内容</w:t>
      </w:r>
      <w:r>
        <w:rPr>
          <w:rFonts w:hint="eastAsia" w:ascii="宋体" w:hAnsi="宋体" w:eastAsia="宋体" w:cs="宋体"/>
          <w:sz w:val="10"/>
        </w:rPr>
        <w:t>，</w:t>
      </w:r>
      <w:r>
        <w:rPr>
          <w:rFonts w:hint="eastAsia" w:ascii="宋体" w:hAnsi="宋体" w:eastAsia="宋体" w:cs="宋体"/>
          <w:sz w:val="24"/>
        </w:rPr>
        <w:t>发行人的证券行业产品及解决方案</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包括交易系统信息化解决方案</w:t>
      </w:r>
      <w:r>
        <w:rPr>
          <w:rFonts w:hint="eastAsia" w:ascii="宋体" w:hAnsi="宋体" w:eastAsia="宋体" w:cs="宋体"/>
          <w:sz w:val="10"/>
        </w:rPr>
        <w:t>、</w:t>
      </w:r>
      <w:r>
        <w:rPr>
          <w:rFonts w:hint="eastAsia" w:ascii="Times New Roman" w:hAnsi="Times New Roman" w:eastAsia="Times New Roman" w:cs="Times New Roman"/>
          <w:sz w:val="24"/>
        </w:rPr>
        <w:t>CRM</w:t>
      </w:r>
      <w:r>
        <w:rPr>
          <w:rFonts w:hint="eastAsia" w:ascii="宋体" w:hAnsi="宋体" w:eastAsia="宋体" w:cs="宋体"/>
          <w:sz w:val="24"/>
        </w:rPr>
        <w:t xml:space="preserve"> 信息化解决方案</w:t>
      </w:r>
      <w:r>
        <w:rPr>
          <w:rFonts w:hint="eastAsia" w:ascii="宋体" w:hAnsi="宋体" w:eastAsia="宋体" w:cs="宋体"/>
          <w:sz w:val="10"/>
        </w:rPr>
        <w:t>、</w:t>
      </w:r>
      <w:r>
        <w:rPr>
          <w:rFonts w:hint="eastAsia" w:ascii="宋体" w:hAnsi="宋体" w:eastAsia="宋体" w:cs="宋体"/>
          <w:sz w:val="24"/>
        </w:rPr>
        <w:t>集中运营信息化解决方</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案等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交易系统信息化解决方案主要为证券公司</w:t>
      </w:r>
      <w:r>
        <w:rPr>
          <w:rFonts w:hint="eastAsia" w:ascii="宋体" w:hAnsi="宋体" w:eastAsia="宋体" w:cs="宋体"/>
          <w:sz w:val="10"/>
        </w:rPr>
        <w:t>、</w:t>
      </w:r>
      <w:r>
        <w:rPr>
          <w:rFonts w:hint="eastAsia" w:ascii="宋体" w:hAnsi="宋体" w:eastAsia="宋体" w:cs="宋体"/>
          <w:sz w:val="24"/>
        </w:rPr>
        <w:t>期货公司等提供集中交易</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1-1-138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jc w:val="both"/>
      </w:pPr>
      <w:r>
        <w:rPr>
          <w:rFonts w:hint="eastAsia" w:ascii="宋体" w:hAnsi="宋体" w:eastAsia="宋体" w:cs="宋体"/>
          <w:sz w:val="24"/>
        </w:rPr>
        <w:t>系统和内存快速交易等软件</w:t>
      </w:r>
      <w:r>
        <w:rPr>
          <w:rFonts w:hint="eastAsia" w:ascii="宋体" w:hAnsi="宋体" w:eastAsia="宋体" w:cs="宋体"/>
          <w:sz w:val="10"/>
        </w:rPr>
        <w:t>。</w:t>
      </w:r>
      <w:r>
        <w:rPr>
          <w:rFonts w:hint="eastAsia" w:ascii="宋体" w:hAnsi="宋体" w:eastAsia="宋体" w:cs="宋体"/>
          <w:sz w:val="24"/>
        </w:rPr>
        <w:t>该系统对接投资者</w:t>
      </w:r>
      <w:r>
        <w:rPr>
          <w:rFonts w:hint="eastAsia" w:ascii="宋体" w:hAnsi="宋体" w:eastAsia="宋体" w:cs="宋体"/>
          <w:sz w:val="10"/>
        </w:rPr>
        <w:t>、</w:t>
      </w:r>
      <w:r>
        <w:rPr>
          <w:rFonts w:hint="eastAsia" w:ascii="宋体" w:hAnsi="宋体" w:eastAsia="宋体" w:cs="宋体"/>
          <w:sz w:val="24"/>
        </w:rPr>
        <w:t>交易所</w:t>
      </w:r>
      <w:r>
        <w:rPr>
          <w:rFonts w:hint="eastAsia" w:ascii="宋体" w:hAnsi="宋体" w:eastAsia="宋体" w:cs="宋体"/>
          <w:sz w:val="10"/>
        </w:rPr>
        <w:t>、</w:t>
      </w:r>
      <w:r>
        <w:rPr>
          <w:rFonts w:hint="eastAsia" w:ascii="宋体" w:hAnsi="宋体" w:eastAsia="宋体" w:cs="宋体"/>
          <w:sz w:val="24"/>
        </w:rPr>
        <w:t>结算公司</w:t>
      </w:r>
      <w:r>
        <w:rPr>
          <w:rFonts w:hint="eastAsia" w:ascii="宋体" w:hAnsi="宋体" w:eastAsia="宋体" w:cs="宋体"/>
          <w:sz w:val="10"/>
        </w:rPr>
        <w:t>、</w:t>
      </w:r>
      <w:r>
        <w:rPr>
          <w:rFonts w:hint="eastAsia" w:ascii="宋体" w:hAnsi="宋体" w:eastAsia="宋体" w:cs="宋体"/>
          <w:sz w:val="24"/>
        </w:rPr>
        <w:t>托管银行等</w:t>
      </w:r>
      <w:r>
        <w:rPr>
          <w:rFonts w:hint="eastAsia" w:ascii="宋体" w:hAnsi="宋体" w:eastAsia="宋体" w:cs="宋体"/>
          <w:sz w:val="10"/>
        </w:rPr>
        <w:t>，</w:t>
      </w:r>
      <w:r>
        <w:rPr>
          <w:rFonts w:hint="eastAsia" w:ascii="宋体" w:hAnsi="宋体" w:eastAsia="宋体" w:cs="宋体"/>
          <w:sz w:val="24"/>
        </w:rPr>
        <w:t>接收投资者交易指令</w:t>
      </w:r>
      <w:r>
        <w:rPr>
          <w:rFonts w:hint="eastAsia" w:ascii="宋体" w:hAnsi="宋体" w:eastAsia="宋体" w:cs="宋体"/>
          <w:sz w:val="10"/>
        </w:rPr>
        <w:t>，</w:t>
      </w:r>
      <w:r>
        <w:rPr>
          <w:rFonts w:hint="eastAsia" w:ascii="宋体" w:hAnsi="宋体" w:eastAsia="宋体" w:cs="宋体"/>
          <w:sz w:val="24"/>
        </w:rPr>
        <w:t>完成资金</w:t>
      </w:r>
      <w:r>
        <w:rPr>
          <w:rFonts w:hint="eastAsia" w:ascii="宋体" w:hAnsi="宋体" w:eastAsia="宋体" w:cs="宋体"/>
          <w:sz w:val="10"/>
        </w:rPr>
        <w:t>、</w:t>
      </w:r>
      <w:r>
        <w:rPr>
          <w:rFonts w:hint="eastAsia" w:ascii="宋体" w:hAnsi="宋体" w:eastAsia="宋体" w:cs="宋体"/>
          <w:sz w:val="24"/>
        </w:rPr>
        <w:t>份额</w:t>
      </w:r>
      <w:r>
        <w:rPr>
          <w:rFonts w:hint="eastAsia" w:ascii="宋体" w:hAnsi="宋体" w:eastAsia="宋体" w:cs="宋体"/>
          <w:sz w:val="10"/>
        </w:rPr>
        <w:t>、</w:t>
      </w:r>
      <w:r>
        <w:rPr>
          <w:rFonts w:hint="eastAsia" w:ascii="宋体" w:hAnsi="宋体" w:eastAsia="宋体" w:cs="宋体"/>
          <w:sz w:val="24"/>
        </w:rPr>
        <w:t>权益校验和前端控制后申报到对应交易所</w:t>
      </w:r>
      <w:r>
        <w:rPr>
          <w:rFonts w:hint="eastAsia" w:ascii="宋体" w:hAnsi="宋体" w:eastAsia="宋体" w:cs="宋体"/>
          <w:sz w:val="10"/>
        </w:rPr>
        <w:t>，</w:t>
      </w:r>
      <w:r>
        <w:rPr>
          <w:rFonts w:hint="eastAsia" w:ascii="宋体" w:hAnsi="宋体" w:eastAsia="宋体" w:cs="宋体"/>
          <w:sz w:val="24"/>
        </w:rPr>
        <w:t>处理交易所回报信息和登记公司的结算信息</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系统定期和存管银行及登记公司对账</w:t>
      </w:r>
      <w:r>
        <w:rPr>
          <w:rFonts w:hint="eastAsia" w:ascii="宋体" w:hAnsi="宋体" w:eastAsia="宋体" w:cs="宋体"/>
          <w:sz w:val="10"/>
        </w:rPr>
        <w:t>，</w:t>
      </w:r>
      <w:r>
        <w:rPr>
          <w:rFonts w:hint="eastAsia" w:ascii="宋体" w:hAnsi="宋体" w:eastAsia="宋体" w:cs="宋体"/>
          <w:sz w:val="24"/>
        </w:rPr>
        <w:t>并向监管部门报送相关数据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CRM</w:t>
      </w:r>
      <w:r>
        <w:rPr>
          <w:rFonts w:hint="eastAsia" w:ascii="宋体" w:hAnsi="宋体" w:eastAsia="宋体" w:cs="宋体"/>
          <w:sz w:val="24"/>
        </w:rPr>
        <w:t xml:space="preserve"> 信息化解决方案</w:t>
      </w:r>
      <w:r>
        <w:rPr>
          <w:rFonts w:hint="eastAsia" w:ascii="宋体" w:hAnsi="宋体" w:eastAsia="宋体" w:cs="宋体"/>
          <w:sz w:val="10"/>
        </w:rPr>
        <w:t>，</w:t>
      </w:r>
      <w:r>
        <w:rPr>
          <w:rFonts w:hint="eastAsia" w:ascii="宋体" w:hAnsi="宋体" w:eastAsia="宋体" w:cs="宋体"/>
          <w:sz w:val="24"/>
        </w:rPr>
        <w:t>主要为证券公司</w:t>
      </w:r>
      <w:r>
        <w:rPr>
          <w:rFonts w:hint="eastAsia" w:ascii="宋体" w:hAnsi="宋体" w:eastAsia="宋体" w:cs="宋体"/>
          <w:sz w:val="10"/>
        </w:rPr>
        <w:t>、</w:t>
      </w:r>
      <w:r>
        <w:rPr>
          <w:rFonts w:hint="eastAsia" w:ascii="宋体" w:hAnsi="宋体" w:eastAsia="宋体" w:cs="宋体"/>
          <w:sz w:val="24"/>
        </w:rPr>
        <w:t>期货公司提供客户信息集成</w:t>
      </w:r>
      <w:r>
        <w:rPr>
          <w:rFonts w:hint="eastAsia" w:ascii="宋体" w:hAnsi="宋体" w:eastAsia="宋体" w:cs="宋体"/>
          <w:sz w:val="10"/>
        </w:rPr>
        <w:t>、</w:t>
      </w:r>
      <w:r>
        <w:rPr>
          <w:rFonts w:hint="eastAsia" w:ascii="宋体" w:hAnsi="宋体" w:eastAsia="宋体" w:cs="宋体"/>
          <w:sz w:val="24"/>
        </w:rPr>
        <w:t>客户分析</w:t>
      </w:r>
      <w:r>
        <w:rPr>
          <w:rFonts w:hint="eastAsia" w:ascii="宋体" w:hAnsi="宋体" w:eastAsia="宋体" w:cs="宋体"/>
          <w:sz w:val="10"/>
        </w:rPr>
        <w:t>、</w:t>
      </w:r>
      <w:r>
        <w:rPr>
          <w:rFonts w:hint="eastAsia" w:ascii="宋体" w:hAnsi="宋体" w:eastAsia="宋体" w:cs="宋体"/>
          <w:sz w:val="24"/>
        </w:rPr>
        <w:t>营销服务流程标准化</w:t>
      </w:r>
      <w:r>
        <w:rPr>
          <w:rFonts w:hint="eastAsia" w:ascii="宋体" w:hAnsi="宋体" w:eastAsia="宋体" w:cs="宋体"/>
          <w:sz w:val="10"/>
        </w:rPr>
        <w:t>、</w:t>
      </w:r>
      <w:r>
        <w:rPr>
          <w:rFonts w:hint="eastAsia" w:ascii="宋体" w:hAnsi="宋体" w:eastAsia="宋体" w:cs="宋体"/>
          <w:sz w:val="24"/>
        </w:rPr>
        <w:t>工作管理与绩效考核等</w:t>
      </w:r>
      <w:r>
        <w:rPr>
          <w:rFonts w:hint="eastAsia" w:ascii="宋体" w:hAnsi="宋体" w:eastAsia="宋体" w:cs="宋体"/>
          <w:sz w:val="10"/>
        </w:rPr>
        <w:t>。</w:t>
      </w:r>
      <w:r>
        <w:rPr>
          <w:rFonts w:hint="eastAsia" w:ascii="宋体" w:hAnsi="宋体" w:eastAsia="宋体" w:cs="宋体"/>
          <w:sz w:val="24"/>
        </w:rPr>
        <w:t>该系统从交易系统</w:t>
      </w:r>
      <w:r>
        <w:rPr>
          <w:rFonts w:hint="eastAsia" w:ascii="宋体" w:hAnsi="宋体" w:eastAsia="宋体" w:cs="宋体"/>
          <w:sz w:val="10"/>
        </w:rPr>
        <w:t>、</w:t>
      </w:r>
      <w:r>
        <w:rPr>
          <w:rFonts w:hint="eastAsia" w:ascii="宋体" w:hAnsi="宋体" w:eastAsia="宋体" w:cs="宋体"/>
          <w:sz w:val="24"/>
        </w:rPr>
        <w:t>呼叫中心等系统中抽取数据</w:t>
      </w:r>
      <w:r>
        <w:rPr>
          <w:rFonts w:hint="eastAsia" w:ascii="宋体" w:hAnsi="宋体" w:eastAsia="宋体" w:cs="宋体"/>
          <w:sz w:val="10"/>
        </w:rPr>
        <w:t>，</w:t>
      </w:r>
      <w:r>
        <w:rPr>
          <w:rFonts w:hint="eastAsia" w:ascii="宋体" w:hAnsi="宋体" w:eastAsia="宋体" w:cs="宋体"/>
          <w:sz w:val="24"/>
        </w:rPr>
        <w:t>按照业务类型进行分主题的数据深度加工</w:t>
      </w:r>
      <w:r>
        <w:rPr>
          <w:rFonts w:hint="eastAsia" w:ascii="宋体" w:hAnsi="宋体" w:eastAsia="宋体" w:cs="宋体"/>
          <w:sz w:val="10"/>
        </w:rPr>
        <w:t>。</w:t>
      </w:r>
      <w:r>
        <w:rPr>
          <w:rFonts w:hint="eastAsia" w:ascii="宋体" w:hAnsi="宋体" w:eastAsia="宋体" w:cs="宋体"/>
          <w:sz w:val="24"/>
        </w:rPr>
        <w:t>该系统涵盖客户全景视图</w:t>
      </w:r>
      <w:r>
        <w:rPr>
          <w:rFonts w:hint="eastAsia" w:ascii="宋体" w:hAnsi="宋体" w:eastAsia="宋体" w:cs="宋体"/>
          <w:sz w:val="10"/>
        </w:rPr>
        <w:t>、</w:t>
      </w:r>
      <w:r>
        <w:rPr>
          <w:rFonts w:hint="eastAsia" w:ascii="宋体" w:hAnsi="宋体" w:eastAsia="宋体" w:cs="宋体"/>
          <w:sz w:val="24"/>
        </w:rPr>
        <w:t>客户分级分类</w:t>
      </w:r>
      <w:r>
        <w:rPr>
          <w:rFonts w:hint="eastAsia" w:ascii="宋体" w:hAnsi="宋体" w:eastAsia="宋体" w:cs="宋体"/>
          <w:sz w:val="10"/>
        </w:rPr>
        <w:t>、</w:t>
      </w:r>
      <w:r>
        <w:rPr>
          <w:rFonts w:hint="eastAsia" w:ascii="宋体" w:hAnsi="宋体" w:eastAsia="宋体" w:cs="宋体"/>
          <w:sz w:val="24"/>
        </w:rPr>
        <w:t>客户生命周期管理</w:t>
      </w:r>
      <w:r>
        <w:rPr>
          <w:rFonts w:hint="eastAsia" w:ascii="宋体" w:hAnsi="宋体" w:eastAsia="宋体" w:cs="宋体"/>
          <w:sz w:val="10"/>
        </w:rPr>
        <w:t>，</w:t>
      </w:r>
      <w:r>
        <w:rPr>
          <w:rFonts w:hint="eastAsia" w:ascii="宋体" w:hAnsi="宋体" w:eastAsia="宋体" w:cs="宋体"/>
          <w:sz w:val="24"/>
        </w:rPr>
        <w:t>提供服务产品生产</w:t>
      </w:r>
      <w:r>
        <w:rPr>
          <w:rFonts w:hint="eastAsia" w:ascii="宋体" w:hAnsi="宋体" w:eastAsia="宋体" w:cs="宋体"/>
          <w:sz w:val="10"/>
        </w:rPr>
        <w:t>、</w:t>
      </w:r>
      <w:r>
        <w:rPr>
          <w:rFonts w:hint="eastAsia" w:ascii="宋体" w:hAnsi="宋体" w:eastAsia="宋体" w:cs="宋体"/>
          <w:sz w:val="24"/>
        </w:rPr>
        <w:t>加工和定价支持</w:t>
      </w:r>
      <w:r>
        <w:rPr>
          <w:rFonts w:hint="eastAsia" w:ascii="宋体" w:hAnsi="宋体" w:eastAsia="宋体" w:cs="宋体"/>
          <w:sz w:val="10"/>
        </w:rPr>
        <w:t>，</w:t>
      </w:r>
      <w:r>
        <w:rPr>
          <w:rFonts w:hint="eastAsia" w:ascii="宋体" w:hAnsi="宋体" w:eastAsia="宋体" w:cs="宋体"/>
          <w:sz w:val="24"/>
        </w:rPr>
        <w:t>提供营销服务流程管理以及工作绩效薪酬管理等内容</w:t>
      </w:r>
      <w:r>
        <w:rPr>
          <w:rFonts w:hint="eastAsia" w:ascii="宋体" w:hAnsi="宋体" w:eastAsia="宋体" w:cs="宋体"/>
          <w:sz w:val="10"/>
        </w:rPr>
        <w:t>。</w:t>
      </w:r>
      <w:r>
        <w:rPr>
          <w:rFonts w:hint="eastAsia" w:ascii="宋体" w:hAnsi="宋体" w:eastAsia="宋体" w:cs="宋体"/>
          <w:sz w:val="24"/>
        </w:rPr>
        <w:t>该系统是营销服人员业务拓展和客户服务的工作平台</w:t>
      </w:r>
      <w:r>
        <w:rPr>
          <w:rFonts w:hint="eastAsia" w:ascii="宋体" w:hAnsi="宋体" w:eastAsia="宋体" w:cs="宋体"/>
          <w:sz w:val="10"/>
        </w:rPr>
        <w:t>，</w:t>
      </w:r>
      <w:r>
        <w:rPr>
          <w:rFonts w:hint="eastAsia" w:ascii="宋体" w:hAnsi="宋体" w:eastAsia="宋体" w:cs="宋体"/>
          <w:sz w:val="24"/>
        </w:rPr>
        <w:t>也是管理人员的业务督导和执业风险控制平台</w:t>
      </w:r>
      <w:r>
        <w:rPr>
          <w:rFonts w:hint="eastAsia" w:ascii="宋体" w:hAnsi="宋体" w:eastAsia="宋体" w:cs="宋体"/>
          <w:sz w:val="10"/>
        </w:rPr>
        <w:t>，</w:t>
      </w:r>
      <w:r>
        <w:rPr>
          <w:rFonts w:hint="eastAsia" w:ascii="宋体" w:hAnsi="宋体" w:eastAsia="宋体" w:cs="宋体"/>
          <w:sz w:val="24"/>
        </w:rPr>
        <w:t>更是经营管理者决策的辅助工具</w:t>
      </w:r>
      <w:r>
        <w:rPr>
          <w:rFonts w:hint="eastAsia" w:ascii="宋体" w:hAnsi="宋体" w:eastAsia="宋体" w:cs="宋体"/>
          <w:sz w:val="10"/>
        </w:rPr>
        <w:t>。</w:t>
      </w:r>
      <w:r>
        <w:rPr>
          <w:rFonts w:hint="eastAsia" w:ascii="Times New Roman" w:hAnsi="Times New Roman" w:eastAsia="Times New Roman" w:cs="Times New Roman"/>
          <w:sz w:val="24"/>
        </w:rPr>
        <w:t>CRM</w:t>
      </w:r>
      <w:r>
        <w:rPr>
          <w:rFonts w:hint="eastAsia" w:ascii="宋体" w:hAnsi="宋体" w:eastAsia="宋体" w:cs="宋体"/>
          <w:sz w:val="24"/>
        </w:rPr>
        <w:t xml:space="preserve"> 信息化解决方案定制化特点突出</w:t>
      </w:r>
      <w:r>
        <w:rPr>
          <w:rFonts w:hint="eastAsia" w:ascii="宋体" w:hAnsi="宋体" w:eastAsia="宋体" w:cs="宋体"/>
          <w:sz w:val="10"/>
        </w:rPr>
        <w:t>，</w:t>
      </w:r>
      <w:r>
        <w:rPr>
          <w:rFonts w:hint="eastAsia" w:ascii="宋体" w:hAnsi="宋体" w:eastAsia="宋体" w:cs="宋体"/>
          <w:sz w:val="24"/>
        </w:rPr>
        <w:t>需要根据证券公司各自的个性化管理制度打造配套的信息化系统</w:t>
      </w:r>
      <w:r>
        <w:rPr>
          <w:rFonts w:hint="eastAsia" w:ascii="宋体" w:hAnsi="宋体" w:eastAsia="宋体" w:cs="宋体"/>
          <w:sz w:val="10"/>
        </w:rPr>
        <w:t>，</w:t>
      </w:r>
      <w:r>
        <w:rPr>
          <w:rFonts w:hint="eastAsia" w:ascii="宋体" w:hAnsi="宋体" w:eastAsia="宋体" w:cs="宋体"/>
          <w:sz w:val="24"/>
        </w:rPr>
        <w:t>要求软件提供商具有较强的软件定制化及服务能力</w:t>
      </w:r>
      <w:r>
        <w:rPr>
          <w:rFonts w:hint="eastAsia" w:ascii="宋体" w:hAnsi="宋体" w:eastAsia="宋体" w:cs="宋体"/>
          <w:sz w:val="10"/>
        </w:rPr>
        <w:t>。</w:t>
      </w:r>
      <w:r>
        <w:rPr>
          <w:rFonts w:hint="eastAsia" w:ascii="宋体" w:hAnsi="宋体" w:eastAsia="宋体" w:cs="宋体"/>
          <w:sz w:val="24"/>
        </w:rPr>
        <w:t>发行人在该领域处于领先优势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集中运营信息化解决方案</w:t>
      </w:r>
      <w:r>
        <w:rPr>
          <w:rFonts w:hint="eastAsia" w:ascii="宋体" w:hAnsi="宋体" w:eastAsia="宋体" w:cs="宋体"/>
          <w:sz w:val="10"/>
        </w:rPr>
        <w:t>，</w:t>
      </w:r>
      <w:r>
        <w:rPr>
          <w:rFonts w:hint="eastAsia" w:ascii="宋体" w:hAnsi="宋体" w:eastAsia="宋体" w:cs="宋体"/>
          <w:sz w:val="24"/>
        </w:rPr>
        <w:t>主要为证券公司提供业务流程和运营管理系统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jc w:val="both"/>
      </w:pPr>
      <w:r>
        <w:rPr>
          <w:rFonts w:hint="eastAsia" w:ascii="宋体" w:hAnsi="宋体" w:eastAsia="宋体" w:cs="宋体"/>
          <w:sz w:val="24"/>
        </w:rPr>
        <w:t>该系统对接证券公司运营人员</w:t>
      </w:r>
      <w:r>
        <w:rPr>
          <w:rFonts w:hint="eastAsia" w:ascii="宋体" w:hAnsi="宋体" w:eastAsia="宋体" w:cs="宋体"/>
          <w:sz w:val="10"/>
        </w:rPr>
        <w:t>、</w:t>
      </w:r>
      <w:r>
        <w:rPr>
          <w:rFonts w:hint="eastAsia" w:ascii="宋体" w:hAnsi="宋体" w:eastAsia="宋体" w:cs="宋体"/>
          <w:sz w:val="24"/>
        </w:rPr>
        <w:t>登记结算机构</w:t>
      </w:r>
      <w:r>
        <w:rPr>
          <w:rFonts w:hint="eastAsia" w:ascii="宋体" w:hAnsi="宋体" w:eastAsia="宋体" w:cs="宋体"/>
          <w:sz w:val="10"/>
        </w:rPr>
        <w:t>、</w:t>
      </w:r>
      <w:r>
        <w:rPr>
          <w:rFonts w:hint="eastAsia" w:ascii="宋体" w:hAnsi="宋体" w:eastAsia="宋体" w:cs="宋体"/>
          <w:sz w:val="24"/>
        </w:rPr>
        <w:t>托管银行</w:t>
      </w:r>
      <w:r>
        <w:rPr>
          <w:rFonts w:hint="eastAsia" w:ascii="宋体" w:hAnsi="宋体" w:eastAsia="宋体" w:cs="宋体"/>
          <w:sz w:val="10"/>
        </w:rPr>
        <w:t>、</w:t>
      </w:r>
      <w:r>
        <w:rPr>
          <w:rFonts w:hint="eastAsia" w:ascii="宋体" w:hAnsi="宋体" w:eastAsia="宋体" w:cs="宋体"/>
          <w:sz w:val="24"/>
        </w:rPr>
        <w:t>基金公司</w:t>
      </w:r>
      <w:r>
        <w:rPr>
          <w:rFonts w:hint="eastAsia" w:ascii="宋体" w:hAnsi="宋体" w:eastAsia="宋体" w:cs="宋体"/>
          <w:sz w:val="10"/>
        </w:rPr>
        <w:t>、</w:t>
      </w:r>
      <w:r>
        <w:rPr>
          <w:rFonts w:hint="eastAsia" w:ascii="宋体" w:hAnsi="宋体" w:eastAsia="宋体" w:cs="宋体"/>
          <w:sz w:val="24"/>
        </w:rPr>
        <w:t>全国公民身份信息系统等</w:t>
      </w:r>
      <w:r>
        <w:rPr>
          <w:rFonts w:hint="eastAsia" w:ascii="宋体" w:hAnsi="宋体" w:eastAsia="宋体" w:cs="宋体"/>
          <w:sz w:val="10"/>
        </w:rPr>
        <w:t>，</w:t>
      </w:r>
      <w:r>
        <w:rPr>
          <w:rFonts w:hint="eastAsia" w:ascii="宋体" w:hAnsi="宋体" w:eastAsia="宋体" w:cs="宋体"/>
          <w:sz w:val="24"/>
        </w:rPr>
        <w:t>完成投资者开户</w:t>
      </w:r>
      <w:r>
        <w:rPr>
          <w:rFonts w:hint="eastAsia" w:ascii="宋体" w:hAnsi="宋体" w:eastAsia="宋体" w:cs="宋体"/>
          <w:sz w:val="10"/>
        </w:rPr>
        <w:t>、</w:t>
      </w:r>
      <w:r>
        <w:rPr>
          <w:rFonts w:hint="eastAsia" w:ascii="宋体" w:hAnsi="宋体" w:eastAsia="宋体" w:cs="宋体"/>
          <w:sz w:val="24"/>
        </w:rPr>
        <w:t>销户</w:t>
      </w:r>
      <w:r>
        <w:rPr>
          <w:rFonts w:hint="eastAsia" w:ascii="宋体" w:hAnsi="宋体" w:eastAsia="宋体" w:cs="宋体"/>
          <w:sz w:val="10"/>
        </w:rPr>
        <w:t>、</w:t>
      </w:r>
      <w:r>
        <w:rPr>
          <w:rFonts w:hint="eastAsia" w:ascii="宋体" w:hAnsi="宋体" w:eastAsia="宋体" w:cs="宋体"/>
          <w:sz w:val="24"/>
        </w:rPr>
        <w:t>转户</w:t>
      </w:r>
      <w:r>
        <w:rPr>
          <w:rFonts w:hint="eastAsia" w:ascii="宋体" w:hAnsi="宋体" w:eastAsia="宋体" w:cs="宋体"/>
          <w:sz w:val="10"/>
        </w:rPr>
        <w:t>、</w:t>
      </w:r>
      <w:r>
        <w:rPr>
          <w:rFonts w:hint="eastAsia" w:ascii="宋体" w:hAnsi="宋体" w:eastAsia="宋体" w:cs="宋体"/>
          <w:sz w:val="24"/>
        </w:rPr>
        <w:t>业务权限开通</w:t>
      </w:r>
      <w:r>
        <w:rPr>
          <w:rFonts w:hint="eastAsia" w:ascii="宋体" w:hAnsi="宋体" w:eastAsia="宋体" w:cs="宋体"/>
          <w:sz w:val="10"/>
        </w:rPr>
        <w:t>、</w:t>
      </w:r>
      <w:r>
        <w:rPr>
          <w:rFonts w:hint="eastAsia" w:ascii="宋体" w:hAnsi="宋体" w:eastAsia="宋体" w:cs="宋体"/>
          <w:sz w:val="24"/>
        </w:rPr>
        <w:t>客户信息修改</w:t>
      </w:r>
      <w:r>
        <w:rPr>
          <w:rFonts w:hint="eastAsia" w:ascii="宋体" w:hAnsi="宋体" w:eastAsia="宋体" w:cs="宋体"/>
          <w:sz w:val="10"/>
        </w:rPr>
        <w:t>、</w:t>
      </w:r>
      <w:r>
        <w:rPr>
          <w:rFonts w:hint="eastAsia" w:ascii="宋体" w:hAnsi="宋体" w:eastAsia="宋体" w:cs="宋体"/>
          <w:sz w:val="24"/>
        </w:rPr>
        <w:t>适当性管理等业务的受理</w:t>
      </w:r>
      <w:r>
        <w:rPr>
          <w:rFonts w:hint="eastAsia" w:ascii="宋体" w:hAnsi="宋体" w:eastAsia="宋体" w:cs="宋体"/>
          <w:sz w:val="10"/>
        </w:rPr>
        <w:t>、</w:t>
      </w:r>
      <w:r>
        <w:rPr>
          <w:rFonts w:hint="eastAsia" w:ascii="宋体" w:hAnsi="宋体" w:eastAsia="宋体" w:cs="宋体"/>
          <w:sz w:val="24"/>
        </w:rPr>
        <w:t>审核和办结</w:t>
      </w:r>
      <w:r>
        <w:rPr>
          <w:rFonts w:hint="eastAsia" w:ascii="宋体" w:hAnsi="宋体" w:eastAsia="宋体" w:cs="宋体"/>
          <w:sz w:val="10"/>
        </w:rPr>
        <w:t>，</w:t>
      </w:r>
      <w:r>
        <w:rPr>
          <w:rFonts w:hint="eastAsia" w:ascii="宋体" w:hAnsi="宋体" w:eastAsia="宋体" w:cs="宋体"/>
          <w:sz w:val="24"/>
        </w:rPr>
        <w:t>涵盖券商柜面业务流程信息化及客户文件</w:t>
      </w:r>
      <w:r>
        <w:rPr>
          <w:rFonts w:hint="eastAsia" w:ascii="宋体" w:hAnsi="宋体" w:eastAsia="宋体" w:cs="宋体"/>
          <w:sz w:val="10"/>
        </w:rPr>
        <w:t>、</w:t>
      </w:r>
      <w:r>
        <w:rPr>
          <w:rFonts w:hint="eastAsia" w:ascii="宋体" w:hAnsi="宋体" w:eastAsia="宋体" w:cs="宋体"/>
          <w:sz w:val="24"/>
        </w:rPr>
        <w:t>电子影像档案管理</w:t>
      </w:r>
      <w:r>
        <w:rPr>
          <w:rFonts w:hint="eastAsia" w:ascii="宋体" w:hAnsi="宋体" w:eastAsia="宋体" w:cs="宋体"/>
          <w:sz w:val="10"/>
        </w:rPr>
        <w:t>。</w:t>
      </w:r>
      <w:r>
        <w:rPr>
          <w:rFonts w:hint="eastAsia" w:ascii="宋体" w:hAnsi="宋体" w:eastAsia="宋体" w:cs="宋体"/>
          <w:sz w:val="24"/>
        </w:rPr>
        <w:t>该系统将业务受理信息收集环节标准化</w:t>
      </w:r>
      <w:r>
        <w:rPr>
          <w:rFonts w:hint="eastAsia" w:ascii="宋体" w:hAnsi="宋体" w:eastAsia="宋体" w:cs="宋体"/>
          <w:sz w:val="10"/>
        </w:rPr>
        <w:t>，</w:t>
      </w:r>
      <w:r>
        <w:rPr>
          <w:rFonts w:hint="eastAsia" w:ascii="宋体" w:hAnsi="宋体" w:eastAsia="宋体" w:cs="宋体"/>
          <w:sz w:val="24"/>
        </w:rPr>
        <w:t>将受理环节打造成为清晰</w:t>
      </w:r>
      <w:r>
        <w:rPr>
          <w:rFonts w:hint="eastAsia" w:ascii="宋体" w:hAnsi="宋体" w:eastAsia="宋体" w:cs="宋体"/>
          <w:sz w:val="10"/>
        </w:rPr>
        <w:t>、</w:t>
      </w:r>
      <w:r>
        <w:rPr>
          <w:rFonts w:hint="eastAsia" w:ascii="宋体" w:hAnsi="宋体" w:eastAsia="宋体" w:cs="宋体"/>
          <w:sz w:val="24"/>
        </w:rPr>
        <w:t>简便</w:t>
      </w:r>
      <w:r>
        <w:rPr>
          <w:rFonts w:hint="eastAsia" w:ascii="宋体" w:hAnsi="宋体" w:eastAsia="宋体" w:cs="宋体"/>
          <w:sz w:val="10"/>
        </w:rPr>
        <w:t>、</w:t>
      </w:r>
      <w:r>
        <w:rPr>
          <w:rFonts w:hint="eastAsia" w:ascii="宋体" w:hAnsi="宋体" w:eastAsia="宋体" w:cs="宋体"/>
          <w:sz w:val="24"/>
        </w:rPr>
        <w:t>通用的录入性工作</w:t>
      </w:r>
      <w:r>
        <w:rPr>
          <w:rFonts w:hint="eastAsia" w:ascii="宋体" w:hAnsi="宋体" w:eastAsia="宋体" w:cs="宋体"/>
          <w:sz w:val="10"/>
        </w:rPr>
        <w:t>，</w:t>
      </w:r>
      <w:r>
        <w:rPr>
          <w:rFonts w:hint="eastAsia" w:ascii="宋体" w:hAnsi="宋体" w:eastAsia="宋体" w:cs="宋体"/>
          <w:sz w:val="24"/>
        </w:rPr>
        <w:t>以流程化的方式</w:t>
      </w:r>
      <w:r>
        <w:rPr>
          <w:rFonts w:hint="eastAsia" w:ascii="宋体" w:hAnsi="宋体" w:eastAsia="宋体" w:cs="宋体"/>
          <w:sz w:val="10"/>
        </w:rPr>
        <w:t>，</w:t>
      </w:r>
      <w:r>
        <w:rPr>
          <w:rFonts w:hint="eastAsia" w:ascii="宋体" w:hAnsi="宋体" w:eastAsia="宋体" w:cs="宋体"/>
          <w:sz w:val="24"/>
        </w:rPr>
        <w:t>完成业务的审核和办理</w:t>
      </w:r>
      <w:r>
        <w:rPr>
          <w:rFonts w:hint="eastAsia" w:ascii="宋体" w:hAnsi="宋体" w:eastAsia="宋体" w:cs="宋体"/>
          <w:sz w:val="10"/>
        </w:rPr>
        <w:t>，</w:t>
      </w:r>
      <w:r>
        <w:rPr>
          <w:rFonts w:hint="eastAsia" w:ascii="宋体" w:hAnsi="宋体" w:eastAsia="宋体" w:cs="宋体"/>
          <w:sz w:val="24"/>
        </w:rPr>
        <w:t>提高证券公司业务运营效率</w:t>
      </w:r>
      <w:r>
        <w:rPr>
          <w:rFonts w:hint="eastAsia" w:ascii="宋体" w:hAnsi="宋体" w:eastAsia="宋体" w:cs="宋体"/>
          <w:sz w:val="10"/>
        </w:rPr>
        <w:t>，</w:t>
      </w:r>
      <w:r>
        <w:rPr>
          <w:rFonts w:hint="eastAsia" w:ascii="宋体" w:hAnsi="宋体" w:eastAsia="宋体" w:cs="宋体"/>
          <w:sz w:val="24"/>
        </w:rPr>
        <w:t>降低业务风险</w:t>
      </w:r>
      <w:r>
        <w:rPr>
          <w:rFonts w:hint="eastAsia" w:ascii="宋体" w:hAnsi="宋体" w:eastAsia="宋体" w:cs="宋体"/>
          <w:sz w:val="10"/>
        </w:rPr>
        <w:t>，</w:t>
      </w:r>
      <w:r>
        <w:rPr>
          <w:rFonts w:hint="eastAsia" w:ascii="宋体" w:hAnsi="宋体" w:eastAsia="宋体" w:cs="宋体"/>
          <w:sz w:val="24"/>
        </w:rPr>
        <w:t>为证券公司营业网点数量扩张与业务综合化发展提供便利</w:t>
      </w:r>
      <w:r>
        <w:rPr>
          <w:rFonts w:hint="eastAsia" w:ascii="宋体" w:hAnsi="宋体" w:eastAsia="宋体" w:cs="宋体"/>
          <w:sz w:val="10"/>
        </w:rPr>
        <w:t>。</w:t>
      </w:r>
      <w:r>
        <w:rPr>
          <w:rFonts w:hint="eastAsia" w:ascii="宋体" w:hAnsi="宋体" w:eastAsia="宋体" w:cs="宋体"/>
          <w:sz w:val="24"/>
        </w:rPr>
        <w:t>业务办理功能早期为集中交易系统的模块</w:t>
      </w:r>
      <w:r>
        <w:rPr>
          <w:rFonts w:hint="eastAsia" w:ascii="宋体" w:hAnsi="宋体" w:eastAsia="宋体" w:cs="宋体"/>
          <w:sz w:val="10"/>
        </w:rPr>
        <w:t>，</w:t>
      </w:r>
      <w:r>
        <w:rPr>
          <w:rFonts w:hint="eastAsia" w:ascii="宋体" w:hAnsi="宋体" w:eastAsia="宋体" w:cs="宋体"/>
          <w:sz w:val="24"/>
        </w:rPr>
        <w:t>公司是业内较早提出把交易和业务运营分开的软件供应商</w:t>
      </w:r>
      <w:r>
        <w:rPr>
          <w:rFonts w:hint="eastAsia" w:ascii="宋体" w:hAnsi="宋体" w:eastAsia="宋体" w:cs="宋体"/>
          <w:sz w:val="10"/>
        </w:rPr>
        <w:t>，</w:t>
      </w:r>
      <w:r>
        <w:rPr>
          <w:rFonts w:hint="eastAsia" w:ascii="宋体" w:hAnsi="宋体" w:eastAsia="宋体" w:cs="宋体"/>
          <w:sz w:val="24"/>
        </w:rPr>
        <w:t>在该领域处于领先地位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上述信息化解决方案中</w:t>
      </w:r>
      <w:r>
        <w:rPr>
          <w:rFonts w:hint="eastAsia" w:ascii="宋体" w:hAnsi="宋体" w:eastAsia="宋体" w:cs="宋体"/>
          <w:sz w:val="10"/>
        </w:rPr>
        <w:t>，</w:t>
      </w:r>
      <w:r>
        <w:rPr>
          <w:rFonts w:hint="eastAsia" w:ascii="宋体" w:hAnsi="宋体" w:eastAsia="宋体" w:cs="宋体"/>
          <w:sz w:val="24"/>
        </w:rPr>
        <w:t>交易系统信息化解决方案偏向后台</w:t>
      </w:r>
      <w:r>
        <w:rPr>
          <w:rFonts w:hint="eastAsia" w:ascii="宋体" w:hAnsi="宋体" w:eastAsia="宋体" w:cs="宋体"/>
          <w:sz w:val="10"/>
        </w:rPr>
        <w:t>，</w:t>
      </w:r>
      <w:r>
        <w:rPr>
          <w:rFonts w:hint="eastAsia" w:ascii="宋体" w:hAnsi="宋体" w:eastAsia="宋体" w:cs="宋体"/>
          <w:sz w:val="24"/>
        </w:rPr>
        <w:t>集中运营</w:t>
      </w:r>
      <w:r>
        <w:rPr>
          <w:rFonts w:hint="eastAsia" w:ascii="宋体" w:hAnsi="宋体" w:eastAsia="宋体" w:cs="宋体"/>
          <w:sz w:val="10"/>
        </w:rPr>
        <w:t>、</w:t>
      </w:r>
      <w:r>
        <w:rPr>
          <w:rFonts w:hint="eastAsia" w:ascii="Times New Roman" w:hAnsi="Times New Roman" w:eastAsia="Times New Roman" w:cs="Times New Roman"/>
          <w:sz w:val="24"/>
        </w:rPr>
        <w:t>CRM</w:t>
      </w:r>
      <w:r>
        <w:rPr>
          <w:rFonts w:hint="eastAsia" w:ascii="宋体" w:hAnsi="宋体" w:eastAsia="宋体" w:cs="宋体"/>
          <w:sz w:val="24"/>
        </w:rPr>
        <w:t xml:space="preserve"> 信息化解决方案偏向中台</w:t>
      </w:r>
      <w:r>
        <w:rPr>
          <w:rFonts w:hint="eastAsia" w:ascii="宋体" w:hAnsi="宋体" w:eastAsia="宋体" w:cs="宋体"/>
          <w:sz w:val="10"/>
        </w:rPr>
        <w:t>，</w:t>
      </w:r>
      <w:r>
        <w:rPr>
          <w:rFonts w:hint="eastAsia" w:ascii="宋体" w:hAnsi="宋体" w:eastAsia="宋体" w:cs="宋体"/>
          <w:sz w:val="24"/>
        </w:rPr>
        <w:t>但在实际项目实施中</w:t>
      </w:r>
      <w:r>
        <w:rPr>
          <w:rFonts w:hint="eastAsia" w:ascii="宋体" w:hAnsi="宋体" w:eastAsia="宋体" w:cs="宋体"/>
          <w:sz w:val="10"/>
        </w:rPr>
        <w:t>，</w:t>
      </w:r>
      <w:r>
        <w:rPr>
          <w:rFonts w:hint="eastAsia" w:ascii="宋体" w:hAnsi="宋体" w:eastAsia="宋体" w:cs="宋体"/>
          <w:sz w:val="24"/>
        </w:rPr>
        <w:t>同一个项目或合同中可能同时覆盖多个种类的信息化解决方案</w:t>
      </w:r>
      <w:r>
        <w:rPr>
          <w:rFonts w:hint="eastAsia" w:ascii="宋体" w:hAnsi="宋体" w:eastAsia="宋体" w:cs="宋体"/>
          <w:sz w:val="10"/>
        </w:rPr>
        <w:t>，</w:t>
      </w:r>
      <w:r>
        <w:rPr>
          <w:rFonts w:hint="eastAsia" w:ascii="宋体" w:hAnsi="宋体" w:eastAsia="宋体" w:cs="宋体"/>
          <w:sz w:val="24"/>
        </w:rPr>
        <w:t>可能同时覆盖前</w:t>
      </w:r>
      <w:r>
        <w:rPr>
          <w:rFonts w:hint="eastAsia" w:ascii="宋体" w:hAnsi="宋体" w:eastAsia="宋体" w:cs="宋体"/>
          <w:sz w:val="10"/>
        </w:rPr>
        <w:t>、</w:t>
      </w:r>
      <w:r>
        <w:rPr>
          <w:rFonts w:hint="eastAsia" w:ascii="宋体" w:hAnsi="宋体" w:eastAsia="宋体" w:cs="宋体"/>
          <w:sz w:val="24"/>
        </w:rPr>
        <w:t>中</w:t>
      </w:r>
      <w:r>
        <w:rPr>
          <w:rFonts w:hint="eastAsia" w:ascii="宋体" w:hAnsi="宋体" w:eastAsia="宋体" w:cs="宋体"/>
          <w:sz w:val="10"/>
        </w:rPr>
        <w:t>、</w:t>
      </w:r>
      <w:r>
        <w:rPr>
          <w:rFonts w:hint="eastAsia" w:ascii="宋体" w:hAnsi="宋体" w:eastAsia="宋体" w:cs="宋体"/>
          <w:sz w:val="24"/>
        </w:rPr>
        <w:t>后台中的一个或多个产品及服务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）发行人产品在金融行业内其他领域发挥的具体作用</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发行人在电子交易市场为区域股权交易中心</w:t>
      </w:r>
      <w:r>
        <w:rPr>
          <w:rFonts w:hint="eastAsia" w:ascii="宋体" w:hAnsi="宋体" w:eastAsia="宋体" w:cs="宋体"/>
          <w:sz w:val="10"/>
        </w:rPr>
        <w:t>、</w:t>
      </w:r>
      <w:r>
        <w:rPr>
          <w:rFonts w:hint="eastAsia" w:ascii="宋体" w:hAnsi="宋体" w:eastAsia="宋体" w:cs="宋体"/>
          <w:sz w:val="24"/>
        </w:rPr>
        <w:t>产权交易所</w:t>
      </w:r>
      <w:r>
        <w:rPr>
          <w:rFonts w:hint="eastAsia" w:ascii="宋体" w:hAnsi="宋体" w:eastAsia="宋体" w:cs="宋体"/>
          <w:sz w:val="10"/>
        </w:rPr>
        <w:t>、</w:t>
      </w:r>
      <w:r>
        <w:rPr>
          <w:rFonts w:hint="eastAsia" w:ascii="宋体" w:hAnsi="宋体" w:eastAsia="宋体" w:cs="宋体"/>
          <w:sz w:val="24"/>
        </w:rPr>
        <w:t>金融资产交易所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1-1-139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jc w:val="both"/>
      </w:pPr>
      <w:r>
        <w:rPr>
          <w:rFonts w:hint="eastAsia" w:ascii="宋体" w:hAnsi="宋体" w:eastAsia="宋体" w:cs="宋体"/>
          <w:sz w:val="24"/>
        </w:rPr>
        <w:t>等机构提供软件产品和服务</w:t>
      </w:r>
      <w:r>
        <w:rPr>
          <w:rFonts w:hint="eastAsia" w:ascii="宋体" w:hAnsi="宋体" w:eastAsia="宋体" w:cs="宋体"/>
          <w:sz w:val="10"/>
        </w:rPr>
        <w:t>，</w:t>
      </w:r>
      <w:r>
        <w:rPr>
          <w:rFonts w:hint="eastAsia" w:ascii="宋体" w:hAnsi="宋体" w:eastAsia="宋体" w:cs="宋体"/>
          <w:sz w:val="24"/>
        </w:rPr>
        <w:t>主要功能包括会员管理</w:t>
      </w:r>
      <w:r>
        <w:rPr>
          <w:rFonts w:hint="eastAsia" w:ascii="宋体" w:hAnsi="宋体" w:eastAsia="宋体" w:cs="宋体"/>
          <w:sz w:val="10"/>
        </w:rPr>
        <w:t>、</w:t>
      </w:r>
      <w:r>
        <w:rPr>
          <w:rFonts w:hint="eastAsia" w:ascii="宋体" w:hAnsi="宋体" w:eastAsia="宋体" w:cs="宋体"/>
          <w:sz w:val="24"/>
        </w:rPr>
        <w:t>资金管理</w:t>
      </w:r>
      <w:r>
        <w:rPr>
          <w:rFonts w:hint="eastAsia" w:ascii="宋体" w:hAnsi="宋体" w:eastAsia="宋体" w:cs="宋体"/>
          <w:sz w:val="10"/>
        </w:rPr>
        <w:t>、</w:t>
      </w:r>
      <w:r>
        <w:rPr>
          <w:rFonts w:hint="eastAsia" w:ascii="宋体" w:hAnsi="宋体" w:eastAsia="宋体" w:cs="宋体"/>
          <w:sz w:val="24"/>
        </w:rPr>
        <w:t>登记托管</w:t>
      </w:r>
      <w:r>
        <w:rPr>
          <w:rFonts w:hint="eastAsia" w:ascii="宋体" w:hAnsi="宋体" w:eastAsia="宋体" w:cs="宋体"/>
          <w:sz w:val="10"/>
        </w:rPr>
        <w:t>、</w:t>
      </w:r>
      <w:r>
        <w:rPr>
          <w:rFonts w:hint="eastAsia" w:ascii="宋体" w:hAnsi="宋体" w:eastAsia="宋体" w:cs="宋体"/>
          <w:sz w:val="24"/>
        </w:rPr>
        <w:t>交易结算</w:t>
      </w:r>
      <w:r>
        <w:rPr>
          <w:rFonts w:hint="eastAsia" w:ascii="宋体" w:hAnsi="宋体" w:eastAsia="宋体" w:cs="宋体"/>
          <w:sz w:val="10"/>
        </w:rPr>
        <w:t>、</w:t>
      </w:r>
      <w:r>
        <w:rPr>
          <w:rFonts w:hint="eastAsia" w:ascii="宋体" w:hAnsi="宋体" w:eastAsia="宋体" w:cs="宋体"/>
          <w:sz w:val="24"/>
        </w:rPr>
        <w:t>交易标的管理</w:t>
      </w:r>
      <w:r>
        <w:rPr>
          <w:rFonts w:hint="eastAsia" w:ascii="宋体" w:hAnsi="宋体" w:eastAsia="宋体" w:cs="宋体"/>
          <w:sz w:val="10"/>
        </w:rPr>
        <w:t>、</w:t>
      </w:r>
      <w:r>
        <w:rPr>
          <w:rFonts w:hint="eastAsia" w:ascii="宋体" w:hAnsi="宋体" w:eastAsia="宋体" w:cs="宋体"/>
          <w:sz w:val="24"/>
        </w:rPr>
        <w:t>信息披露与展示以及合规与风险控制等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发行人为中小银行</w:t>
      </w:r>
      <w:r>
        <w:rPr>
          <w:rFonts w:hint="eastAsia" w:ascii="宋体" w:hAnsi="宋体" w:eastAsia="宋体" w:cs="宋体"/>
          <w:sz w:val="10"/>
        </w:rPr>
        <w:t>、</w:t>
      </w:r>
      <w:r>
        <w:rPr>
          <w:rFonts w:hint="eastAsia" w:ascii="宋体" w:hAnsi="宋体" w:eastAsia="宋体" w:cs="宋体"/>
          <w:sz w:val="24"/>
        </w:rPr>
        <w:t>信托公司提供客户信息管理</w:t>
      </w:r>
      <w:r>
        <w:rPr>
          <w:rFonts w:hint="eastAsia" w:ascii="宋体" w:hAnsi="宋体" w:eastAsia="宋体" w:cs="宋体"/>
          <w:sz w:val="10"/>
        </w:rPr>
        <w:t>，</w:t>
      </w:r>
      <w:r>
        <w:rPr>
          <w:rFonts w:hint="eastAsia" w:ascii="宋体" w:hAnsi="宋体" w:eastAsia="宋体" w:cs="宋体"/>
          <w:sz w:val="24"/>
        </w:rPr>
        <w:t>客户数据的分类</w:t>
      </w:r>
      <w:r>
        <w:rPr>
          <w:rFonts w:hint="eastAsia" w:ascii="宋体" w:hAnsi="宋体" w:eastAsia="宋体" w:cs="宋体"/>
          <w:sz w:val="10"/>
        </w:rPr>
        <w:t>、</w:t>
      </w:r>
      <w:r>
        <w:rPr>
          <w:rFonts w:hint="eastAsia" w:ascii="宋体" w:hAnsi="宋体" w:eastAsia="宋体" w:cs="宋体"/>
          <w:sz w:val="24"/>
        </w:rPr>
        <w:t>分析</w:t>
      </w:r>
      <w:r>
        <w:rPr>
          <w:rFonts w:hint="eastAsia" w:ascii="宋体" w:hAnsi="宋体" w:eastAsia="宋体" w:cs="宋体"/>
          <w:sz w:val="10"/>
        </w:rPr>
        <w:t>、</w:t>
      </w:r>
      <w:r>
        <w:rPr>
          <w:rFonts w:hint="eastAsia" w:ascii="宋体" w:hAnsi="宋体" w:eastAsia="宋体" w:cs="宋体"/>
          <w:sz w:val="24"/>
        </w:rPr>
        <w:t>授信评估基础信息管理以及信贷流程管理</w:t>
      </w:r>
      <w:r>
        <w:rPr>
          <w:rFonts w:hint="eastAsia" w:ascii="宋体" w:hAnsi="宋体" w:eastAsia="宋体" w:cs="宋体"/>
          <w:sz w:val="10"/>
        </w:rPr>
        <w:t>、</w:t>
      </w:r>
      <w:r>
        <w:rPr>
          <w:rFonts w:hint="eastAsia" w:ascii="宋体" w:hAnsi="宋体" w:eastAsia="宋体" w:cs="宋体"/>
          <w:sz w:val="24"/>
        </w:rPr>
        <w:t>信托计划项目管理等软件产品和服务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发行人主要产品典型案例</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公司的主要产品面向金融行业内的证券</w:t>
      </w:r>
      <w:r>
        <w:rPr>
          <w:rFonts w:hint="eastAsia" w:ascii="宋体" w:hAnsi="宋体" w:eastAsia="宋体" w:cs="宋体"/>
          <w:sz w:val="10"/>
        </w:rPr>
        <w:t>、</w:t>
      </w:r>
      <w:r>
        <w:rPr>
          <w:rFonts w:hint="eastAsia" w:ascii="宋体" w:hAnsi="宋体" w:eastAsia="宋体" w:cs="宋体"/>
          <w:sz w:val="24"/>
        </w:rPr>
        <w:t>电子交易市场</w:t>
      </w:r>
      <w:r>
        <w:rPr>
          <w:rFonts w:hint="eastAsia" w:ascii="宋体" w:hAnsi="宋体" w:eastAsia="宋体" w:cs="宋体"/>
          <w:sz w:val="10"/>
        </w:rPr>
        <w:t>、</w:t>
      </w:r>
      <w:r>
        <w:rPr>
          <w:rFonts w:hint="eastAsia" w:ascii="宋体" w:hAnsi="宋体" w:eastAsia="宋体" w:cs="宋体"/>
          <w:sz w:val="24"/>
        </w:rPr>
        <w:t>银行等多个分支领域</w:t>
      </w:r>
      <w:r>
        <w:rPr>
          <w:rFonts w:hint="eastAsia" w:ascii="宋体" w:hAnsi="宋体" w:eastAsia="宋体" w:cs="宋体"/>
          <w:sz w:val="10"/>
        </w:rPr>
        <w:t>，</w:t>
      </w:r>
      <w:r>
        <w:rPr>
          <w:rFonts w:hint="eastAsia" w:ascii="宋体" w:hAnsi="宋体" w:eastAsia="宋体" w:cs="宋体"/>
          <w:sz w:val="24"/>
        </w:rPr>
        <w:t>基于多年的行业积累及技术改进</w:t>
      </w:r>
      <w:r>
        <w:rPr>
          <w:rFonts w:hint="eastAsia" w:ascii="宋体" w:hAnsi="宋体" w:eastAsia="宋体" w:cs="宋体"/>
          <w:sz w:val="10"/>
        </w:rPr>
        <w:t>，</w:t>
      </w:r>
      <w:r>
        <w:rPr>
          <w:rFonts w:hint="eastAsia" w:ascii="宋体" w:hAnsi="宋体" w:eastAsia="宋体" w:cs="宋体"/>
          <w:sz w:val="24"/>
        </w:rPr>
        <w:t>已经取得了一定成果</w:t>
      </w:r>
      <w:r>
        <w:rPr>
          <w:rFonts w:hint="eastAsia" w:ascii="宋体" w:hAnsi="宋体" w:eastAsia="宋体" w:cs="宋体"/>
          <w:sz w:val="10"/>
        </w:rPr>
        <w:t>，</w:t>
      </w:r>
      <w:r>
        <w:rPr>
          <w:rFonts w:hint="eastAsia" w:ascii="宋体" w:hAnsi="宋体" w:eastAsia="宋体" w:cs="宋体"/>
          <w:sz w:val="24"/>
        </w:rPr>
        <w:t>提供了满足客户要求</w:t>
      </w:r>
      <w:r>
        <w:rPr>
          <w:rFonts w:hint="eastAsia" w:ascii="宋体" w:hAnsi="宋体" w:eastAsia="宋体" w:cs="宋体"/>
          <w:sz w:val="10"/>
        </w:rPr>
        <w:t>、</w:t>
      </w:r>
      <w:r>
        <w:rPr>
          <w:rFonts w:hint="eastAsia" w:ascii="宋体" w:hAnsi="宋体" w:eastAsia="宋体" w:cs="宋体"/>
          <w:sz w:val="24"/>
        </w:rPr>
        <w:t>符合行业及市场发展前沿特性的</w:t>
      </w:r>
      <w:r>
        <w:rPr>
          <w:rFonts w:hint="eastAsia" w:ascii="宋体" w:hAnsi="宋体" w:eastAsia="宋体" w:cs="宋体"/>
          <w:sz w:val="10"/>
        </w:rPr>
        <w:t>一</w:t>
      </w:r>
      <w:r>
        <w:rPr>
          <w:rFonts w:hint="eastAsia" w:ascii="宋体" w:hAnsi="宋体" w:eastAsia="宋体" w:cs="宋体"/>
          <w:sz w:val="24"/>
        </w:rPr>
        <w:t>系列产品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）前台服务渠道与作业支持信息化解决方案</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①业务受理终端</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业务受理终端主要供营销服务人员使用</w:t>
      </w:r>
      <w:r>
        <w:rPr>
          <w:rFonts w:hint="eastAsia" w:ascii="宋体" w:hAnsi="宋体" w:eastAsia="宋体" w:cs="宋体"/>
          <w:sz w:val="10"/>
        </w:rPr>
        <w:t>。</w:t>
      </w:r>
      <w:r>
        <w:rPr>
          <w:rFonts w:hint="eastAsia" w:ascii="宋体" w:hAnsi="宋体" w:eastAsia="宋体" w:cs="宋体"/>
          <w:sz w:val="24"/>
        </w:rPr>
        <w:t>采用前端受理</w:t>
      </w:r>
      <w:r>
        <w:rPr>
          <w:rFonts w:hint="eastAsia" w:ascii="宋体" w:hAnsi="宋体" w:eastAsia="宋体" w:cs="宋体"/>
          <w:sz w:val="10"/>
        </w:rPr>
        <w:t>、</w:t>
      </w:r>
      <w:r>
        <w:rPr>
          <w:rFonts w:hint="eastAsia" w:ascii="宋体" w:hAnsi="宋体" w:eastAsia="宋体" w:cs="宋体"/>
          <w:sz w:val="24"/>
        </w:rPr>
        <w:t>后端处理的业务模式</w:t>
      </w:r>
      <w:r>
        <w:rPr>
          <w:rFonts w:hint="eastAsia" w:ascii="宋体" w:hAnsi="宋体" w:eastAsia="宋体" w:cs="宋体"/>
          <w:sz w:val="10"/>
        </w:rPr>
        <w:t>，</w:t>
      </w:r>
      <w:r>
        <w:rPr>
          <w:rFonts w:hint="eastAsia" w:ascii="宋体" w:hAnsi="宋体" w:eastAsia="宋体" w:cs="宋体"/>
          <w:sz w:val="24"/>
        </w:rPr>
        <w:t>前端通过</w:t>
      </w:r>
      <w:r>
        <w:rPr>
          <w:rFonts w:hint="eastAsia" w:ascii="Times New Roman" w:hAnsi="Times New Roman" w:eastAsia="Times New Roman" w:cs="Times New Roman"/>
          <w:sz w:val="24"/>
        </w:rPr>
        <w:t xml:space="preserve"> WEB</w:t>
      </w:r>
      <w:r>
        <w:rPr>
          <w:rFonts w:hint="eastAsia" w:ascii="宋体" w:hAnsi="宋体" w:eastAsia="宋体" w:cs="宋体"/>
          <w:sz w:val="24"/>
        </w:rPr>
        <w:t xml:space="preserve"> 页面</w:t>
      </w:r>
      <w:r>
        <w:rPr>
          <w:rFonts w:hint="eastAsia" w:ascii="宋体" w:hAnsi="宋体" w:eastAsia="宋体" w:cs="宋体"/>
          <w:sz w:val="10"/>
        </w:rPr>
        <w:t>、</w:t>
      </w:r>
      <w:r>
        <w:rPr>
          <w:rFonts w:hint="eastAsia" w:ascii="宋体" w:hAnsi="宋体" w:eastAsia="宋体" w:cs="宋体"/>
          <w:sz w:val="24"/>
        </w:rPr>
        <w:t>手机</w:t>
      </w:r>
      <w:r>
        <w:rPr>
          <w:rFonts w:hint="eastAsia" w:ascii="Times New Roman" w:hAnsi="Times New Roman" w:eastAsia="Times New Roman" w:cs="Times New Roman"/>
          <w:sz w:val="24"/>
        </w:rPr>
        <w:t xml:space="preserve"> APP</w:t>
      </w:r>
      <w:r>
        <w:rPr>
          <w:rFonts w:hint="eastAsia" w:ascii="宋体" w:hAnsi="宋体" w:eastAsia="宋体" w:cs="宋体"/>
          <w:sz w:val="24"/>
        </w:rPr>
        <w:t xml:space="preserve"> 等界面完成业务信息收集</w:t>
      </w:r>
      <w:r>
        <w:rPr>
          <w:rFonts w:hint="eastAsia" w:ascii="宋体" w:hAnsi="宋体" w:eastAsia="宋体" w:cs="宋体"/>
          <w:sz w:val="10"/>
        </w:rPr>
        <w:t>。</w:t>
      </w:r>
      <w:r>
        <w:rPr>
          <w:rFonts w:hint="eastAsia" w:ascii="宋体" w:hAnsi="宋体" w:eastAsia="宋体" w:cs="宋体"/>
          <w:sz w:val="24"/>
        </w:rPr>
        <w:t>后端对接业务运营中台与流程处理中心</w:t>
      </w:r>
      <w:r>
        <w:rPr>
          <w:rFonts w:hint="eastAsia" w:ascii="宋体" w:hAnsi="宋体" w:eastAsia="宋体" w:cs="宋体"/>
          <w:sz w:val="10"/>
        </w:rPr>
        <w:t>、</w:t>
      </w:r>
      <w:r>
        <w:rPr>
          <w:rFonts w:hint="eastAsia" w:ascii="宋体" w:hAnsi="宋体" w:eastAsia="宋体" w:cs="宋体"/>
          <w:sz w:val="24"/>
        </w:rPr>
        <w:t>视频见证系统</w:t>
      </w:r>
      <w:r>
        <w:rPr>
          <w:rFonts w:hint="eastAsia" w:ascii="宋体" w:hAnsi="宋体" w:eastAsia="宋体" w:cs="宋体"/>
          <w:sz w:val="10"/>
        </w:rPr>
        <w:t>、</w:t>
      </w:r>
      <w:r>
        <w:rPr>
          <w:rFonts w:hint="eastAsia" w:ascii="宋体" w:hAnsi="宋体" w:eastAsia="宋体" w:cs="宋体"/>
          <w:sz w:val="24"/>
        </w:rPr>
        <w:t>账户系统整合</w:t>
      </w:r>
      <w:r>
        <w:rPr>
          <w:rFonts w:hint="eastAsia" w:ascii="宋体" w:hAnsi="宋体" w:eastAsia="宋体" w:cs="宋体"/>
          <w:sz w:val="10"/>
        </w:rPr>
        <w:t>，</w:t>
      </w:r>
      <w:r>
        <w:rPr>
          <w:rFonts w:hint="eastAsia" w:ascii="宋体" w:hAnsi="宋体" w:eastAsia="宋体" w:cs="宋体"/>
          <w:sz w:val="24"/>
        </w:rPr>
        <w:t>形成流水线的作业模式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其主要功能包括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80" w:firstLine="480"/>
        <w:jc w:val="both"/>
      </w:pPr>
      <w:r>
        <w:rPr>
          <w:rFonts w:hint="eastAsia" w:ascii="Times New Roman" w:hAnsi="Times New Roman" w:eastAsia="Times New Roman" w:cs="Times New Roman"/>
          <w:sz w:val="24"/>
        </w:rPr>
        <w:t>A.</w:t>
      </w:r>
      <w:r>
        <w:rPr>
          <w:rFonts w:hint="eastAsia" w:ascii="宋体" w:hAnsi="宋体" w:eastAsia="宋体" w:cs="宋体"/>
          <w:sz w:val="24"/>
        </w:rPr>
        <w:t>客户身份认证</w:t>
      </w:r>
      <w:r>
        <w:rPr>
          <w:rFonts w:hint="eastAsia" w:ascii="宋体" w:hAnsi="宋体" w:eastAsia="宋体" w:cs="宋体"/>
          <w:sz w:val="10"/>
        </w:rPr>
        <w:t>。</w:t>
      </w:r>
      <w:r>
        <w:rPr>
          <w:rFonts w:hint="eastAsia" w:ascii="宋体" w:hAnsi="宋体" w:eastAsia="宋体" w:cs="宋体"/>
          <w:sz w:val="24"/>
        </w:rPr>
        <w:t>支持二代证扫描等形式</w:t>
      </w:r>
      <w:r>
        <w:rPr>
          <w:rFonts w:hint="eastAsia" w:ascii="宋体" w:hAnsi="宋体" w:eastAsia="宋体" w:cs="宋体"/>
          <w:sz w:val="10"/>
        </w:rPr>
        <w:t>，</w:t>
      </w:r>
      <w:r>
        <w:rPr>
          <w:rFonts w:hint="eastAsia" w:ascii="宋体" w:hAnsi="宋体" w:eastAsia="宋体" w:cs="宋体"/>
          <w:sz w:val="24"/>
        </w:rPr>
        <w:t>对客户身份证件信息进行采集</w:t>
      </w:r>
      <w:r>
        <w:rPr>
          <w:rFonts w:hint="eastAsia" w:ascii="宋体" w:hAnsi="宋体" w:eastAsia="宋体" w:cs="宋体"/>
          <w:sz w:val="10"/>
        </w:rPr>
        <w:t>、</w:t>
      </w:r>
      <w:r>
        <w:rPr>
          <w:rFonts w:hint="eastAsia" w:ascii="宋体" w:hAnsi="宋体" w:eastAsia="宋体" w:cs="宋体"/>
          <w:sz w:val="24"/>
        </w:rPr>
        <w:t>对比</w:t>
      </w:r>
      <w:r>
        <w:rPr>
          <w:rFonts w:hint="eastAsia" w:ascii="宋体" w:hAnsi="宋体" w:eastAsia="宋体" w:cs="宋体"/>
          <w:sz w:val="10"/>
        </w:rPr>
        <w:t>、</w:t>
      </w:r>
      <w:r>
        <w:rPr>
          <w:rFonts w:hint="eastAsia" w:ascii="宋体" w:hAnsi="宋体" w:eastAsia="宋体" w:cs="宋体"/>
          <w:sz w:val="24"/>
        </w:rPr>
        <w:t>验证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B.</w:t>
      </w:r>
      <w:r>
        <w:rPr>
          <w:rFonts w:hint="eastAsia" w:ascii="宋体" w:hAnsi="宋体" w:eastAsia="宋体" w:cs="宋体"/>
          <w:sz w:val="24"/>
        </w:rPr>
        <w:t>根据业务办理要求</w:t>
      </w:r>
      <w:r>
        <w:rPr>
          <w:rFonts w:hint="eastAsia" w:ascii="宋体" w:hAnsi="宋体" w:eastAsia="宋体" w:cs="宋体"/>
          <w:sz w:val="10"/>
        </w:rPr>
        <w:t>，</w:t>
      </w:r>
      <w:r>
        <w:rPr>
          <w:rFonts w:hint="eastAsia" w:ascii="宋体" w:hAnsi="宋体" w:eastAsia="宋体" w:cs="宋体"/>
          <w:sz w:val="24"/>
        </w:rPr>
        <w:t>通过拍照等收集业务办理信息</w:t>
      </w:r>
      <w:r>
        <w:rPr>
          <w:rFonts w:hint="eastAsia" w:ascii="宋体" w:hAnsi="宋体" w:eastAsia="宋体" w:cs="宋体"/>
          <w:sz w:val="10"/>
        </w:rPr>
        <w:t>。</w:t>
      </w:r>
      <w:r>
        <w:rPr>
          <w:rFonts w:hint="eastAsia" w:ascii="宋体" w:hAnsi="宋体" w:eastAsia="宋体" w:cs="宋体"/>
          <w:sz w:val="24"/>
        </w:rPr>
        <w:t>根据客户需求和监管允许</w:t>
      </w:r>
      <w:r>
        <w:rPr>
          <w:rFonts w:hint="eastAsia" w:ascii="宋体" w:hAnsi="宋体" w:eastAsia="宋体" w:cs="宋体"/>
          <w:sz w:val="10"/>
        </w:rPr>
        <w:t>，</w:t>
      </w:r>
      <w:r>
        <w:rPr>
          <w:rFonts w:hint="eastAsia" w:ascii="宋体" w:hAnsi="宋体" w:eastAsia="宋体" w:cs="宋体"/>
          <w:sz w:val="24"/>
        </w:rPr>
        <w:t>在非现场受理终端上可以加载客户开户</w:t>
      </w:r>
      <w:r>
        <w:rPr>
          <w:rFonts w:hint="eastAsia" w:ascii="宋体" w:hAnsi="宋体" w:eastAsia="宋体" w:cs="宋体"/>
          <w:sz w:val="10"/>
        </w:rPr>
        <w:t>、</w:t>
      </w:r>
      <w:r>
        <w:rPr>
          <w:rFonts w:hint="eastAsia" w:ascii="宋体" w:hAnsi="宋体" w:eastAsia="宋体" w:cs="宋体"/>
          <w:sz w:val="24"/>
        </w:rPr>
        <w:t>信息开通</w:t>
      </w:r>
      <w:r>
        <w:rPr>
          <w:rFonts w:hint="eastAsia" w:ascii="宋体" w:hAnsi="宋体" w:eastAsia="宋体" w:cs="宋体"/>
          <w:sz w:val="10"/>
        </w:rPr>
        <w:t>、</w:t>
      </w:r>
      <w:r>
        <w:rPr>
          <w:rFonts w:hint="eastAsia" w:ascii="宋体" w:hAnsi="宋体" w:eastAsia="宋体" w:cs="宋体"/>
          <w:sz w:val="24"/>
        </w:rPr>
        <w:t>业务开通等业务种类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C.</w:t>
      </w:r>
      <w:r>
        <w:rPr>
          <w:rFonts w:hint="eastAsia" w:ascii="宋体" w:hAnsi="宋体" w:eastAsia="宋体" w:cs="宋体"/>
          <w:sz w:val="24"/>
        </w:rPr>
        <w:t>和中台业务流程系统对接</w:t>
      </w:r>
      <w:r>
        <w:rPr>
          <w:rFonts w:hint="eastAsia" w:ascii="宋体" w:hAnsi="宋体" w:eastAsia="宋体" w:cs="宋体"/>
          <w:sz w:val="10"/>
        </w:rPr>
        <w:t>，</w:t>
      </w:r>
      <w:r>
        <w:rPr>
          <w:rFonts w:hint="eastAsia" w:ascii="宋体" w:hAnsi="宋体" w:eastAsia="宋体" w:cs="宋体"/>
          <w:sz w:val="24"/>
        </w:rPr>
        <w:t>将业务受理信息</w:t>
      </w:r>
      <w:r>
        <w:rPr>
          <w:rFonts w:hint="eastAsia" w:ascii="宋体" w:hAnsi="宋体" w:eastAsia="宋体" w:cs="宋体"/>
          <w:sz w:val="10"/>
        </w:rPr>
        <w:t>、</w:t>
      </w:r>
      <w:r>
        <w:rPr>
          <w:rFonts w:hint="eastAsia" w:ascii="宋体" w:hAnsi="宋体" w:eastAsia="宋体" w:cs="宋体"/>
          <w:sz w:val="24"/>
        </w:rPr>
        <w:t>相关影像资料通过电子流实时传递到</w:t>
      </w:r>
      <w:r>
        <w:rPr>
          <w:rFonts w:hint="eastAsia" w:ascii="宋体" w:hAnsi="宋体" w:eastAsia="宋体" w:cs="宋体"/>
          <w:sz w:val="10"/>
        </w:rPr>
        <w:t>“一</w:t>
      </w:r>
      <w:r>
        <w:rPr>
          <w:rFonts w:hint="eastAsia" w:ascii="宋体" w:hAnsi="宋体" w:eastAsia="宋体" w:cs="宋体"/>
          <w:sz w:val="24"/>
        </w:rPr>
        <w:t>柜通</w:t>
      </w:r>
      <w:r>
        <w:rPr>
          <w:rFonts w:hint="eastAsia" w:ascii="宋体" w:hAnsi="宋体" w:eastAsia="宋体" w:cs="宋体"/>
          <w:sz w:val="10"/>
        </w:rPr>
        <w:t>”</w:t>
      </w:r>
      <w:r>
        <w:rPr>
          <w:rFonts w:hint="eastAsia" w:ascii="宋体" w:hAnsi="宋体" w:eastAsia="宋体" w:cs="宋体"/>
          <w:sz w:val="24"/>
        </w:rPr>
        <w:t>系统完成业务的复合审核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D.</w:t>
      </w:r>
      <w:r>
        <w:rPr>
          <w:rFonts w:hint="eastAsia" w:ascii="宋体" w:hAnsi="宋体" w:eastAsia="宋体" w:cs="宋体"/>
          <w:sz w:val="24"/>
        </w:rPr>
        <w:t>整合视频工具</w:t>
      </w:r>
      <w:r>
        <w:rPr>
          <w:rFonts w:hint="eastAsia" w:ascii="宋体" w:hAnsi="宋体" w:eastAsia="宋体" w:cs="宋体"/>
          <w:sz w:val="10"/>
        </w:rPr>
        <w:t>，</w:t>
      </w:r>
      <w:r>
        <w:rPr>
          <w:rFonts w:hint="eastAsia" w:ascii="宋体" w:hAnsi="宋体" w:eastAsia="宋体" w:cs="宋体"/>
          <w:sz w:val="24"/>
        </w:rPr>
        <w:t>对关键业务和风险业务通过实施联机视频的方式对业务的办理完成见证</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w:hAnsi="Times New Roman" w:eastAsia="Times New Roman" w:cs="Times New Roman"/>
          <w:sz w:val="24"/>
        </w:rPr>
        <w:t>E.</w:t>
      </w:r>
      <w:r>
        <w:rPr>
          <w:rFonts w:hint="eastAsia" w:ascii="宋体" w:hAnsi="宋体" w:eastAsia="宋体" w:cs="宋体"/>
          <w:sz w:val="24"/>
        </w:rPr>
        <w:t>跟踪业务办理的中后台审核过程</w:t>
      </w:r>
      <w:r>
        <w:rPr>
          <w:rFonts w:hint="eastAsia" w:ascii="宋体" w:hAnsi="宋体" w:eastAsia="宋体" w:cs="宋体"/>
          <w:sz w:val="10"/>
        </w:rPr>
        <w:t>。</w:t>
      </w:r>
      <w:r>
        <w:rPr>
          <w:rFonts w:hint="eastAsia" w:ascii="宋体" w:hAnsi="宋体" w:eastAsia="宋体" w:cs="宋体"/>
          <w:sz w:val="24"/>
        </w:rPr>
        <w:t>生成业务办理回执</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1-1-140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1143000</wp:posOffset>
            </wp:positionH>
            <wp:positionV relativeFrom="page">
              <wp:posOffset>952500</wp:posOffset>
            </wp:positionV>
            <wp:extent cx="5295900" cy="3289300"/>
            <wp:effectExtent l="0" t="0" r="0" b="0"/>
            <wp:wrapNone/>
            <wp:docPr id="6998" name="image6998" descr=""/>
            <wp:cNvGraphicFramePr>
              <a:graphicFrameLocks noChangeAspect="true"/>
            </wp:cNvGraphicFramePr>
            <a:graphic>
              <a:graphicData uri="http://schemas.openxmlformats.org/drawingml/2006/picture">
                <pic:pic>
                  <pic:nvPicPr>
                    <pic:cNvPr id="6998" name="image6998"/>
                    <pic:cNvPicPr/>
                  </pic:nvPicPr>
                  <pic:blipFill>
                    <a:blip r:embed="rId26"/>
                    <a:stretch>
                      <a:fillRect/>
                    </a:stretch>
                  </pic:blipFill>
                  <pic:spPr>
                    <a:xfrm>
                      <a:off x="0" y="0"/>
                      <a:ext cx="5295900" cy="32893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20" w:firstLine="480"/>
        <w:jc w:val="both"/>
      </w:pPr>
      <w:r>
        <w:rPr>
          <w:rFonts w:hint="eastAsia" w:ascii="宋体" w:hAnsi="宋体" w:eastAsia="宋体" w:cs="宋体"/>
          <w:sz w:val="24"/>
        </w:rPr>
        <w:t>非现场业务受理终端分为</w:t>
      </w:r>
      <w:r>
        <w:rPr>
          <w:rFonts w:hint="eastAsia" w:ascii="Times New Roman" w:hAnsi="Times New Roman" w:eastAsia="Times New Roman" w:cs="Times New Roman"/>
          <w:sz w:val="24"/>
        </w:rPr>
        <w:t xml:space="preserve"> PC</w:t>
      </w:r>
      <w:r>
        <w:rPr>
          <w:rFonts w:hint="eastAsia" w:ascii="宋体" w:hAnsi="宋体" w:eastAsia="宋体" w:cs="宋体"/>
          <w:sz w:val="24"/>
        </w:rPr>
        <w:t xml:space="preserve"> 版</w:t>
      </w:r>
      <w:r>
        <w:rPr>
          <w:rFonts w:hint="eastAsia" w:ascii="宋体" w:hAnsi="宋体" w:eastAsia="宋体" w:cs="宋体"/>
          <w:sz w:val="10"/>
        </w:rPr>
        <w:t>、</w:t>
      </w:r>
      <w:r>
        <w:rPr>
          <w:rFonts w:hint="eastAsia" w:ascii="Times New Roman" w:hAnsi="Times New Roman" w:eastAsia="Times New Roman" w:cs="Times New Roman"/>
          <w:sz w:val="24"/>
        </w:rPr>
        <w:t>Android</w:t>
      </w:r>
      <w:r>
        <w:rPr>
          <w:rFonts w:hint="eastAsia" w:ascii="宋体" w:hAnsi="宋体" w:eastAsia="宋体" w:cs="宋体"/>
          <w:sz w:val="24"/>
        </w:rPr>
        <w:t xml:space="preserve"> 和</w:t>
      </w:r>
      <w:r>
        <w:rPr>
          <w:rFonts w:hint="eastAsia" w:ascii="Times New Roman" w:hAnsi="Times New Roman" w:eastAsia="Times New Roman" w:cs="Times New Roman"/>
          <w:sz w:val="24"/>
        </w:rPr>
        <w:t xml:space="preserve"> iOS</w:t>
      </w:r>
      <w:r>
        <w:rPr>
          <w:rFonts w:hint="eastAsia" w:ascii="宋体" w:hAnsi="宋体" w:eastAsia="宋体" w:cs="宋体"/>
          <w:sz w:val="24"/>
        </w:rPr>
        <w:t xml:space="preserve"> 版本</w:t>
      </w:r>
      <w:r>
        <w:rPr>
          <w:rFonts w:hint="eastAsia" w:ascii="宋体" w:hAnsi="宋体" w:eastAsia="宋体" w:cs="宋体"/>
          <w:sz w:val="10"/>
        </w:rPr>
        <w:t>，</w:t>
      </w:r>
      <w:r>
        <w:rPr>
          <w:rFonts w:hint="eastAsia" w:ascii="宋体" w:hAnsi="宋体" w:eastAsia="宋体" w:cs="宋体"/>
          <w:sz w:val="24"/>
        </w:rPr>
        <w:t>可以运行在笔记本</w:t>
      </w:r>
      <w:r>
        <w:rPr>
          <w:rFonts w:hint="eastAsia" w:ascii="宋体" w:hAnsi="宋体" w:eastAsia="宋体" w:cs="宋体"/>
          <w:sz w:val="10"/>
        </w:rPr>
        <w:t>、</w:t>
      </w:r>
      <w:r>
        <w:rPr>
          <w:rFonts w:hint="eastAsia" w:ascii="宋体" w:hAnsi="宋体" w:eastAsia="宋体" w:cs="宋体"/>
          <w:sz w:val="24"/>
        </w:rPr>
        <w:t>手机和</w:t>
      </w:r>
      <w:r>
        <w:rPr>
          <w:rFonts w:hint="eastAsia" w:ascii="Times New Roman" w:hAnsi="Times New Roman" w:eastAsia="Times New Roman" w:cs="Times New Roman"/>
          <w:sz w:val="24"/>
        </w:rPr>
        <w:t xml:space="preserve"> PAD</w:t>
      </w:r>
      <w:r>
        <w:rPr>
          <w:rFonts w:hint="eastAsia" w:ascii="宋体" w:hAnsi="宋体" w:eastAsia="宋体" w:cs="宋体"/>
          <w:sz w:val="24"/>
        </w:rPr>
        <w:t xml:space="preserve"> 上</w:t>
      </w:r>
      <w:r>
        <w:rPr>
          <w:rFonts w:hint="eastAsia" w:ascii="宋体" w:hAnsi="宋体" w:eastAsia="宋体" w:cs="宋体"/>
          <w:sz w:val="10"/>
        </w:rPr>
        <w:t>，</w:t>
      </w:r>
      <w:r>
        <w:rPr>
          <w:rFonts w:hint="eastAsia" w:ascii="宋体" w:hAnsi="宋体" w:eastAsia="宋体" w:cs="宋体"/>
          <w:sz w:val="24"/>
        </w:rPr>
        <w:t>也可以运行在一体机（集成了打印机</w:t>
      </w:r>
      <w:r>
        <w:rPr>
          <w:rFonts w:hint="eastAsia" w:ascii="宋体" w:hAnsi="宋体" w:eastAsia="宋体" w:cs="宋体"/>
          <w:sz w:val="10"/>
        </w:rPr>
        <w:t>、</w:t>
      </w:r>
      <w:r>
        <w:rPr>
          <w:rFonts w:hint="eastAsia" w:ascii="宋体" w:hAnsi="宋体" w:eastAsia="宋体" w:cs="宋体"/>
          <w:sz w:val="24"/>
        </w:rPr>
        <w:t>多易拍</w:t>
      </w:r>
      <w:r>
        <w:rPr>
          <w:rFonts w:hint="eastAsia" w:ascii="宋体" w:hAnsi="宋体" w:eastAsia="宋体" w:cs="宋体"/>
          <w:sz w:val="10"/>
        </w:rPr>
        <w:t>、二</w:t>
      </w:r>
      <w:r>
        <w:rPr>
          <w:rFonts w:hint="eastAsia" w:ascii="宋体" w:hAnsi="宋体" w:eastAsia="宋体" w:cs="宋体"/>
          <w:sz w:val="24"/>
        </w:rPr>
        <w:t>代身份证阅读器等）上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目前该产品在华泰证券</w:t>
      </w:r>
      <w:r>
        <w:rPr>
          <w:rFonts w:hint="eastAsia" w:ascii="宋体" w:hAnsi="宋体" w:eastAsia="宋体" w:cs="宋体"/>
          <w:sz w:val="10"/>
        </w:rPr>
        <w:t>、</w:t>
      </w:r>
      <w:r>
        <w:rPr>
          <w:rFonts w:hint="eastAsia" w:ascii="宋体" w:hAnsi="宋体" w:eastAsia="宋体" w:cs="宋体"/>
          <w:sz w:val="24"/>
        </w:rPr>
        <w:t>海通证券</w:t>
      </w:r>
      <w:r>
        <w:rPr>
          <w:rFonts w:hint="eastAsia" w:ascii="宋体" w:hAnsi="宋体" w:eastAsia="宋体" w:cs="宋体"/>
          <w:sz w:val="10"/>
        </w:rPr>
        <w:t>、</w:t>
      </w:r>
      <w:r>
        <w:rPr>
          <w:rFonts w:hint="eastAsia" w:ascii="宋体" w:hAnsi="宋体" w:eastAsia="宋体" w:cs="宋体"/>
          <w:sz w:val="24"/>
        </w:rPr>
        <w:t>东兴证券</w:t>
      </w:r>
      <w:r>
        <w:rPr>
          <w:rFonts w:hint="eastAsia" w:ascii="宋体" w:hAnsi="宋体" w:eastAsia="宋体" w:cs="宋体"/>
          <w:sz w:val="10"/>
        </w:rPr>
        <w:t>、</w:t>
      </w:r>
      <w:r>
        <w:rPr>
          <w:rFonts w:hint="eastAsia" w:ascii="宋体" w:hAnsi="宋体" w:eastAsia="宋体" w:cs="宋体"/>
          <w:sz w:val="24"/>
        </w:rPr>
        <w:t>东吴证券等客户应用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②移动展业</w:t>
      </w:r>
      <w:r>
        <w:rPr>
          <w:rFonts w:hint="eastAsia" w:ascii="Times New Roman" w:hAnsi="Times New Roman" w:eastAsia="Times New Roman" w:cs="Times New Roman"/>
          <w:sz w:val="24"/>
        </w:rPr>
        <w:t xml:space="preserve"> APP</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移动展业</w:t>
      </w:r>
      <w:r>
        <w:rPr>
          <w:rFonts w:hint="eastAsia" w:ascii="Times New Roman" w:hAnsi="Times New Roman" w:eastAsia="Times New Roman" w:cs="Times New Roman"/>
          <w:sz w:val="24"/>
        </w:rPr>
        <w:t xml:space="preserve"> APP</w:t>
      </w:r>
      <w:r>
        <w:rPr>
          <w:rFonts w:hint="eastAsia" w:ascii="宋体" w:hAnsi="宋体" w:eastAsia="宋体" w:cs="宋体"/>
          <w:sz w:val="24"/>
        </w:rPr>
        <w:t xml:space="preserve"> 主要供金融企业营销服务相关员工使用</w:t>
      </w:r>
      <w:r>
        <w:rPr>
          <w:rFonts w:hint="eastAsia" w:ascii="宋体" w:hAnsi="宋体" w:eastAsia="宋体" w:cs="宋体"/>
          <w:sz w:val="10"/>
        </w:rPr>
        <w:t>，</w:t>
      </w:r>
      <w:r>
        <w:rPr>
          <w:rFonts w:hint="eastAsia" w:ascii="宋体" w:hAnsi="宋体" w:eastAsia="宋体" w:cs="宋体"/>
          <w:sz w:val="24"/>
        </w:rPr>
        <w:t>可安装在手机或平板电脑上</w:t>
      </w:r>
      <w:r>
        <w:rPr>
          <w:rFonts w:hint="eastAsia" w:ascii="宋体" w:hAnsi="宋体" w:eastAsia="宋体" w:cs="宋体"/>
          <w:sz w:val="10"/>
        </w:rPr>
        <w:t>。</w:t>
      </w:r>
      <w:r>
        <w:rPr>
          <w:rFonts w:hint="eastAsia" w:ascii="宋体" w:hAnsi="宋体" w:eastAsia="宋体" w:cs="宋体"/>
          <w:sz w:val="24"/>
        </w:rPr>
        <w:t>该产品主要功能包括</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Times New Roman" w:hAnsi="Times New Roman" w:eastAsia="Times New Roman" w:cs="Times New Roman"/>
          <w:sz w:val="24"/>
        </w:rPr>
        <w:t>A.</w:t>
      </w:r>
      <w:r>
        <w:rPr>
          <w:rFonts w:hint="eastAsia" w:ascii="宋体" w:hAnsi="宋体" w:eastAsia="宋体" w:cs="宋体"/>
          <w:sz w:val="24"/>
        </w:rPr>
        <w:t>客户管理</w:t>
      </w:r>
      <w:r>
        <w:rPr>
          <w:rFonts w:hint="eastAsia" w:ascii="宋体" w:hAnsi="宋体" w:eastAsia="宋体" w:cs="宋体"/>
          <w:sz w:val="10"/>
        </w:rPr>
        <w:t>，</w:t>
      </w:r>
      <w:r>
        <w:rPr>
          <w:rFonts w:hint="eastAsia" w:ascii="宋体" w:hAnsi="宋体" w:eastAsia="宋体" w:cs="宋体"/>
          <w:sz w:val="24"/>
        </w:rPr>
        <w:t>即帮助营销服务人员管理自己的客户</w:t>
      </w:r>
      <w:r>
        <w:rPr>
          <w:rFonts w:hint="eastAsia" w:ascii="宋体" w:hAnsi="宋体" w:eastAsia="宋体" w:cs="宋体"/>
          <w:sz w:val="10"/>
        </w:rPr>
        <w:t>。</w:t>
      </w:r>
      <w:r>
        <w:rPr>
          <w:rFonts w:hint="eastAsia" w:ascii="宋体" w:hAnsi="宋体" w:eastAsia="宋体" w:cs="宋体"/>
          <w:sz w:val="24"/>
        </w:rPr>
        <w:t>分为潜在客户</w:t>
      </w:r>
      <w:r>
        <w:rPr>
          <w:rFonts w:hint="eastAsia" w:ascii="宋体" w:hAnsi="宋体" w:eastAsia="宋体" w:cs="宋体"/>
          <w:sz w:val="10"/>
        </w:rPr>
        <w:t>、</w:t>
      </w:r>
      <w:r>
        <w:rPr>
          <w:rFonts w:hint="eastAsia" w:ascii="宋体" w:hAnsi="宋体" w:eastAsia="宋体" w:cs="宋体"/>
          <w:sz w:val="24"/>
        </w:rPr>
        <w:t>经纪客户和金融产品购买客户</w:t>
      </w:r>
      <w:r>
        <w:rPr>
          <w:rFonts w:hint="eastAsia" w:ascii="宋体" w:hAnsi="宋体" w:eastAsia="宋体" w:cs="宋体"/>
          <w:sz w:val="10"/>
        </w:rPr>
        <w:t>。</w:t>
      </w:r>
      <w:r>
        <w:rPr>
          <w:rFonts w:hint="eastAsia" w:ascii="宋体" w:hAnsi="宋体" w:eastAsia="宋体" w:cs="宋体"/>
          <w:sz w:val="24"/>
        </w:rPr>
        <w:t>可查看服务客户基本信息</w:t>
      </w:r>
      <w:r>
        <w:rPr>
          <w:rFonts w:hint="eastAsia" w:ascii="宋体" w:hAnsi="宋体" w:eastAsia="宋体" w:cs="宋体"/>
          <w:sz w:val="10"/>
        </w:rPr>
        <w:t>、</w:t>
      </w:r>
      <w:r>
        <w:rPr>
          <w:rFonts w:hint="eastAsia" w:ascii="宋体" w:hAnsi="宋体" w:eastAsia="宋体" w:cs="宋体"/>
          <w:sz w:val="24"/>
        </w:rPr>
        <w:t>业务开通</w:t>
      </w:r>
      <w:r>
        <w:rPr>
          <w:rFonts w:hint="eastAsia" w:ascii="宋体" w:hAnsi="宋体" w:eastAsia="宋体" w:cs="宋体"/>
          <w:sz w:val="10"/>
        </w:rPr>
        <w:t>、</w:t>
      </w:r>
      <w:r>
        <w:rPr>
          <w:rFonts w:hint="eastAsia" w:ascii="宋体" w:hAnsi="宋体" w:eastAsia="宋体" w:cs="宋体"/>
          <w:sz w:val="24"/>
        </w:rPr>
        <w:t>资产</w:t>
      </w:r>
      <w:r>
        <w:rPr>
          <w:rFonts w:hint="eastAsia" w:ascii="宋体" w:hAnsi="宋体" w:eastAsia="宋体" w:cs="宋体"/>
          <w:sz w:val="10"/>
        </w:rPr>
        <w:t>、</w:t>
      </w:r>
      <w:r>
        <w:rPr>
          <w:rFonts w:hint="eastAsia" w:ascii="宋体" w:hAnsi="宋体" w:eastAsia="宋体" w:cs="宋体"/>
          <w:sz w:val="24"/>
        </w:rPr>
        <w:t>交易等关键数据汇总信息</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Times New Roman" w:hAnsi="Times New Roman" w:eastAsia="Times New Roman" w:cs="Times New Roman"/>
          <w:sz w:val="24"/>
        </w:rPr>
        <w:t>B.</w:t>
      </w:r>
      <w:r>
        <w:rPr>
          <w:rFonts w:hint="eastAsia" w:ascii="宋体" w:hAnsi="宋体" w:eastAsia="宋体" w:cs="宋体"/>
          <w:sz w:val="24"/>
        </w:rPr>
        <w:t>产品管理</w:t>
      </w:r>
      <w:r>
        <w:rPr>
          <w:rFonts w:hint="eastAsia" w:ascii="宋体" w:hAnsi="宋体" w:eastAsia="宋体" w:cs="宋体"/>
          <w:sz w:val="10"/>
        </w:rPr>
        <w:t>，</w:t>
      </w:r>
      <w:r>
        <w:rPr>
          <w:rFonts w:hint="eastAsia" w:ascii="宋体" w:hAnsi="宋体" w:eastAsia="宋体" w:cs="宋体"/>
          <w:sz w:val="24"/>
        </w:rPr>
        <w:t>即查看可销售的金融产品和服务产品</w:t>
      </w:r>
      <w:r>
        <w:rPr>
          <w:rFonts w:hint="eastAsia" w:ascii="宋体" w:hAnsi="宋体" w:eastAsia="宋体" w:cs="宋体"/>
          <w:sz w:val="10"/>
        </w:rPr>
        <w:t>。</w:t>
      </w:r>
      <w:r>
        <w:rPr>
          <w:rFonts w:hint="eastAsia" w:ascii="宋体" w:hAnsi="宋体" w:eastAsia="宋体" w:cs="宋体"/>
          <w:sz w:val="24"/>
        </w:rPr>
        <w:t>根据客户需求检索</w:t>
      </w:r>
      <w:r>
        <w:rPr>
          <w:rFonts w:hint="eastAsia" w:ascii="宋体" w:hAnsi="宋体" w:eastAsia="宋体" w:cs="宋体"/>
          <w:sz w:val="10"/>
        </w:rPr>
        <w:t>，</w:t>
      </w:r>
      <w:r>
        <w:rPr>
          <w:rFonts w:hint="eastAsia" w:ascii="宋体" w:hAnsi="宋体" w:eastAsia="宋体" w:cs="宋体"/>
          <w:sz w:val="24"/>
        </w:rPr>
        <w:t>选择相关产品</w:t>
      </w:r>
      <w:r>
        <w:rPr>
          <w:rFonts w:hint="eastAsia" w:ascii="宋体" w:hAnsi="宋体" w:eastAsia="宋体" w:cs="宋体"/>
          <w:sz w:val="10"/>
        </w:rPr>
        <w:t>。</w:t>
      </w:r>
      <w:r>
        <w:rPr>
          <w:rFonts w:hint="eastAsia" w:ascii="宋体" w:hAnsi="宋体" w:eastAsia="宋体" w:cs="宋体"/>
          <w:sz w:val="24"/>
        </w:rPr>
        <w:t>代客户完成产品预约</w:t>
      </w:r>
      <w:r>
        <w:rPr>
          <w:rFonts w:hint="eastAsia" w:ascii="宋体" w:hAnsi="宋体" w:eastAsia="宋体" w:cs="宋体"/>
          <w:sz w:val="10"/>
        </w:rPr>
        <w:t>。</w:t>
      </w:r>
      <w:r>
        <w:rPr>
          <w:rFonts w:hint="eastAsia" w:ascii="宋体" w:hAnsi="宋体" w:eastAsia="宋体" w:cs="宋体"/>
          <w:sz w:val="24"/>
        </w:rPr>
        <w:t>查阅本人的金融产品销售确认汇总信息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60" w:firstLine="480"/>
        <w:jc w:val="both"/>
      </w:pPr>
      <w:r>
        <w:rPr>
          <w:rFonts w:hint="eastAsia" w:ascii="Times New Roman" w:hAnsi="Times New Roman" w:eastAsia="Times New Roman" w:cs="Times New Roman"/>
          <w:sz w:val="24"/>
        </w:rPr>
        <w:t>C.</w:t>
      </w:r>
      <w:r>
        <w:rPr>
          <w:rFonts w:hint="eastAsia" w:ascii="宋体" w:hAnsi="宋体" w:eastAsia="宋体" w:cs="宋体"/>
          <w:sz w:val="24"/>
        </w:rPr>
        <w:t>工作管理</w:t>
      </w:r>
      <w:r>
        <w:rPr>
          <w:rFonts w:hint="eastAsia" w:ascii="宋体" w:hAnsi="宋体" w:eastAsia="宋体" w:cs="宋体"/>
          <w:sz w:val="10"/>
        </w:rPr>
        <w:t>，</w:t>
      </w:r>
      <w:r>
        <w:rPr>
          <w:rFonts w:hint="eastAsia" w:ascii="宋体" w:hAnsi="宋体" w:eastAsia="宋体" w:cs="宋体"/>
          <w:sz w:val="24"/>
        </w:rPr>
        <w:t>即记录客户服务日志</w:t>
      </w:r>
      <w:r>
        <w:rPr>
          <w:rFonts w:hint="eastAsia" w:ascii="宋体" w:hAnsi="宋体" w:eastAsia="宋体" w:cs="宋体"/>
          <w:sz w:val="10"/>
        </w:rPr>
        <w:t>。</w:t>
      </w:r>
      <w:r>
        <w:rPr>
          <w:rFonts w:hint="eastAsia" w:ascii="宋体" w:hAnsi="宋体" w:eastAsia="宋体" w:cs="宋体"/>
          <w:sz w:val="24"/>
        </w:rPr>
        <w:t>由后台系统根据设置规则推送重要事件</w:t>
      </w:r>
      <w:r>
        <w:rPr>
          <w:rFonts w:hint="eastAsia" w:ascii="宋体" w:hAnsi="宋体" w:eastAsia="宋体" w:cs="宋体"/>
          <w:sz w:val="10"/>
        </w:rPr>
        <w:t>，</w:t>
      </w:r>
      <w:r>
        <w:rPr>
          <w:rFonts w:hint="eastAsia" w:ascii="宋体" w:hAnsi="宋体" w:eastAsia="宋体" w:cs="宋体"/>
          <w:sz w:val="24"/>
        </w:rPr>
        <w:t>完成必须的客户服务任务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1-1-141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2209800</wp:posOffset>
            </wp:positionH>
            <wp:positionV relativeFrom="page">
              <wp:posOffset>1016000</wp:posOffset>
            </wp:positionV>
            <wp:extent cx="1295400" cy="2730500"/>
            <wp:effectExtent l="0" t="0" r="0" b="0"/>
            <wp:wrapNone/>
            <wp:docPr id="7000" name="image7000" descr=""/>
            <wp:cNvGraphicFramePr>
              <a:graphicFrameLocks noChangeAspect="true"/>
            </wp:cNvGraphicFramePr>
            <a:graphic>
              <a:graphicData uri="http://schemas.openxmlformats.org/drawingml/2006/picture">
                <pic:pic>
                  <pic:nvPicPr>
                    <pic:cNvPr id="7000" name="image7000"/>
                    <pic:cNvPicPr/>
                  </pic:nvPicPr>
                  <pic:blipFill>
                    <a:blip r:embed="rId27"/>
                    <a:stretch>
                      <a:fillRect/>
                    </a:stretch>
                  </pic:blipFill>
                  <pic:spPr>
                    <a:xfrm>
                      <a:off x="0" y="0"/>
                      <a:ext cx="1295400" cy="2730500"/>
                    </a:xfrm>
                    <a:prstGeom prst="rect">
                      <a:avLst/>
                    </a:prstGeom>
                  </pic:spPr>
                </pic:pic>
              </a:graphicData>
            </a:graphic>
          </wp:anchor>
        </w:drawing>
      </w:r>
      <w:r>
        <w:drawing>
          <wp:anchor distT="0" distB="0" distL="114300" distR="114300" simplePos="false" relativeHeight="10253072" behindDoc="false" locked="false" layoutInCell="true" allowOverlap="true">
            <wp:simplePos x="0" y="0"/>
            <wp:positionH relativeFrom="page">
              <wp:posOffset>2298700</wp:posOffset>
            </wp:positionH>
            <wp:positionV relativeFrom="page">
              <wp:posOffset>1409700</wp:posOffset>
            </wp:positionV>
            <wp:extent cx="1130300" cy="1943100"/>
            <wp:effectExtent l="0" t="0" r="0" b="0"/>
            <wp:wrapNone/>
            <wp:docPr id="7001" name="image7001" descr=""/>
            <wp:cNvGraphicFramePr>
              <a:graphicFrameLocks noChangeAspect="true"/>
            </wp:cNvGraphicFramePr>
            <a:graphic>
              <a:graphicData uri="http://schemas.openxmlformats.org/drawingml/2006/picture">
                <pic:pic>
                  <pic:nvPicPr>
                    <pic:cNvPr id="7001" name="image7001"/>
                    <pic:cNvPicPr/>
                  </pic:nvPicPr>
                  <pic:blipFill>
                    <a:blip r:embed="rId28"/>
                    <a:stretch>
                      <a:fillRect/>
                    </a:stretch>
                  </pic:blipFill>
                  <pic:spPr>
                    <a:xfrm>
                      <a:off x="0" y="0"/>
                      <a:ext cx="1130300" cy="1943100"/>
                    </a:xfrm>
                    <a:prstGeom prst="rect">
                      <a:avLst/>
                    </a:prstGeom>
                  </pic:spPr>
                </pic:pic>
              </a:graphicData>
            </a:graphic>
          </wp:anchor>
        </w:drawing>
      </w:r>
      <w:r>
        <w:drawing>
          <wp:anchor distT="0" distB="0" distL="114300" distR="114300" simplePos="false" relativeHeight="10254096" behindDoc="false" locked="false" layoutInCell="true" allowOverlap="true">
            <wp:simplePos x="0" y="0"/>
            <wp:positionH relativeFrom="page">
              <wp:posOffset>3594100</wp:posOffset>
            </wp:positionH>
            <wp:positionV relativeFrom="page">
              <wp:posOffset>1016000</wp:posOffset>
            </wp:positionV>
            <wp:extent cx="1295400" cy="2730500"/>
            <wp:effectExtent l="0" t="0" r="0" b="0"/>
            <wp:wrapNone/>
            <wp:docPr id="7002" name="image7002" descr=""/>
            <wp:cNvGraphicFramePr>
              <a:graphicFrameLocks noChangeAspect="true"/>
            </wp:cNvGraphicFramePr>
            <a:graphic>
              <a:graphicData uri="http://schemas.openxmlformats.org/drawingml/2006/picture">
                <pic:pic>
                  <pic:nvPicPr>
                    <pic:cNvPr id="7002" name="image7002"/>
                    <pic:cNvPicPr/>
                  </pic:nvPicPr>
                  <pic:blipFill>
                    <a:blip r:embed="rId27"/>
                    <a:stretch>
                      <a:fillRect/>
                    </a:stretch>
                  </pic:blipFill>
                  <pic:spPr>
                    <a:xfrm>
                      <a:off x="0" y="0"/>
                      <a:ext cx="1295400" cy="2730500"/>
                    </a:xfrm>
                    <a:prstGeom prst="rect">
                      <a:avLst/>
                    </a:prstGeom>
                  </pic:spPr>
                </pic:pic>
              </a:graphicData>
            </a:graphic>
          </wp:anchor>
        </w:drawing>
      </w:r>
      <w:r>
        <w:drawing>
          <wp:anchor distT="0" distB="0" distL="114300" distR="114300" simplePos="false" relativeHeight="10255120" behindDoc="false" locked="false" layoutInCell="true" allowOverlap="true">
            <wp:simplePos x="0" y="0"/>
            <wp:positionH relativeFrom="page">
              <wp:posOffset>3670300</wp:posOffset>
            </wp:positionH>
            <wp:positionV relativeFrom="page">
              <wp:posOffset>1409700</wp:posOffset>
            </wp:positionV>
            <wp:extent cx="1143000" cy="1943100"/>
            <wp:effectExtent l="0" t="0" r="0" b="0"/>
            <wp:wrapNone/>
            <wp:docPr id="7003" name="image7003" descr=""/>
            <wp:cNvGraphicFramePr>
              <a:graphicFrameLocks noChangeAspect="true"/>
            </wp:cNvGraphicFramePr>
            <a:graphic>
              <a:graphicData uri="http://schemas.openxmlformats.org/drawingml/2006/picture">
                <pic:pic>
                  <pic:nvPicPr>
                    <pic:cNvPr id="7003" name="image7003"/>
                    <pic:cNvPicPr/>
                  </pic:nvPicPr>
                  <pic:blipFill>
                    <a:blip r:embed="rId29"/>
                    <a:stretch>
                      <a:fillRect/>
                    </a:stretch>
                  </pic:blipFill>
                  <pic:spPr>
                    <a:xfrm>
                      <a:off x="0" y="0"/>
                      <a:ext cx="1143000" cy="19431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2280"/>
        <w:jc w:val="both"/>
      </w:pPr>
      <w:r>
        <w:rPr>
          <w:rFonts w:hint="eastAsia" w:ascii="宋体" w:hAnsi="宋体" w:eastAsia="宋体" w:cs="宋体"/>
          <w:sz w:val="24"/>
        </w:rPr>
        <w:t>目前该产品在国海证券</w:t>
      </w:r>
      <w:r>
        <w:rPr>
          <w:rFonts w:hint="eastAsia" w:ascii="宋体" w:hAnsi="宋体" w:eastAsia="宋体" w:cs="宋体"/>
          <w:sz w:val="10"/>
        </w:rPr>
        <w:t>、</w:t>
      </w:r>
      <w:r>
        <w:rPr>
          <w:rFonts w:hint="eastAsia" w:ascii="宋体" w:hAnsi="宋体" w:eastAsia="宋体" w:cs="宋体"/>
          <w:sz w:val="24"/>
        </w:rPr>
        <w:t>世纪证券</w:t>
      </w:r>
      <w:r>
        <w:rPr>
          <w:rFonts w:hint="eastAsia" w:ascii="宋体" w:hAnsi="宋体" w:eastAsia="宋体" w:cs="宋体"/>
          <w:sz w:val="10"/>
        </w:rPr>
        <w:t>、</w:t>
      </w:r>
      <w:r>
        <w:rPr>
          <w:rFonts w:hint="eastAsia" w:ascii="宋体" w:hAnsi="宋体" w:eastAsia="宋体" w:cs="宋体"/>
          <w:sz w:val="24"/>
        </w:rPr>
        <w:t>中航证券</w:t>
      </w:r>
      <w:r>
        <w:rPr>
          <w:rFonts w:hint="eastAsia" w:ascii="宋体" w:hAnsi="宋体" w:eastAsia="宋体" w:cs="宋体"/>
          <w:sz w:val="10"/>
        </w:rPr>
        <w:t>、</w:t>
      </w:r>
      <w:r>
        <w:rPr>
          <w:rFonts w:hint="eastAsia" w:ascii="宋体" w:hAnsi="宋体" w:eastAsia="宋体" w:cs="宋体"/>
          <w:sz w:val="24"/>
        </w:rPr>
        <w:t>大通证券等客户使用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③网上产品商城</w:t>
      </w:r>
    </w:p>
    <w:p>
      <w:pPr>
        <w:spacing w:line="200" w:lineRule="exact"/>
        <w:rPr>
          <w:rFonts w:hint="eastAsia" w:ascii="宋体" w:hAnsi="宋体" w:eastAsia="宋体" w:cs="宋体"/>
          <w:sz w:val="20"/>
        </w:rPr>
      </w:pPr>
    </w:p>
    <w:p>
      <w:pPr>
        <w:autoSpaceDE w:val="false"/>
        <w:autoSpaceDN w:val="false"/>
        <w:spacing w:line="440" w:lineRule="exact"/>
        <w:ind w:left="1800" w:right="1640" w:firstLine="480"/>
        <w:jc w:val="both"/>
      </w:pPr>
      <w:r>
        <w:rPr>
          <w:rFonts w:hint="eastAsia" w:ascii="宋体" w:hAnsi="宋体" w:eastAsia="宋体" w:cs="宋体"/>
          <w:sz w:val="24"/>
        </w:rPr>
        <w:t>证券公司</w:t>
      </w:r>
      <w:r>
        <w:rPr>
          <w:rFonts w:hint="eastAsia" w:ascii="宋体" w:hAnsi="宋体" w:eastAsia="宋体" w:cs="宋体"/>
          <w:sz w:val="10"/>
        </w:rPr>
        <w:t>、</w:t>
      </w:r>
      <w:r>
        <w:rPr>
          <w:rFonts w:hint="eastAsia" w:ascii="宋体" w:hAnsi="宋体" w:eastAsia="宋体" w:cs="宋体"/>
          <w:sz w:val="24"/>
        </w:rPr>
        <w:t>信托</w:t>
      </w:r>
      <w:r>
        <w:rPr>
          <w:rFonts w:hint="eastAsia" w:ascii="宋体" w:hAnsi="宋体" w:eastAsia="宋体" w:cs="宋体"/>
          <w:sz w:val="10"/>
        </w:rPr>
        <w:t>、</w:t>
      </w:r>
      <w:r>
        <w:rPr>
          <w:rFonts w:hint="eastAsia" w:ascii="宋体" w:hAnsi="宋体" w:eastAsia="宋体" w:cs="宋体"/>
          <w:sz w:val="24"/>
        </w:rPr>
        <w:t>第三方理财</w:t>
      </w:r>
      <w:r>
        <w:rPr>
          <w:rFonts w:hint="eastAsia" w:ascii="宋体" w:hAnsi="宋体" w:eastAsia="宋体" w:cs="宋体"/>
          <w:sz w:val="10"/>
        </w:rPr>
        <w:t>、</w:t>
      </w:r>
      <w:r>
        <w:rPr>
          <w:rFonts w:hint="eastAsia" w:ascii="宋体" w:hAnsi="宋体" w:eastAsia="宋体" w:cs="宋体"/>
          <w:sz w:val="24"/>
        </w:rPr>
        <w:t>金融资产交易所</w:t>
      </w:r>
      <w:r>
        <w:rPr>
          <w:rFonts w:hint="eastAsia" w:ascii="宋体" w:hAnsi="宋体" w:eastAsia="宋体" w:cs="宋体"/>
          <w:sz w:val="10"/>
        </w:rPr>
        <w:t>、</w:t>
      </w:r>
      <w:r>
        <w:rPr>
          <w:rFonts w:hint="eastAsia" w:ascii="宋体" w:hAnsi="宋体" w:eastAsia="宋体" w:cs="宋体"/>
          <w:sz w:val="24"/>
        </w:rPr>
        <w:t>股权交易所等机构</w:t>
      </w:r>
      <w:r>
        <w:rPr>
          <w:rFonts w:hint="eastAsia" w:ascii="宋体" w:hAnsi="宋体" w:eastAsia="宋体" w:cs="宋体"/>
          <w:sz w:val="10"/>
        </w:rPr>
        <w:t>，</w:t>
      </w:r>
      <w:r>
        <w:rPr>
          <w:rFonts w:hint="eastAsia" w:ascii="宋体" w:hAnsi="宋体" w:eastAsia="宋体" w:cs="宋体"/>
          <w:sz w:val="24"/>
        </w:rPr>
        <w:t>可以采用自建商城的方式完成金融产品的销售和服务</w:t>
      </w:r>
      <w:r>
        <w:rPr>
          <w:rFonts w:hint="eastAsia" w:ascii="宋体" w:hAnsi="宋体" w:eastAsia="宋体" w:cs="宋体"/>
          <w:sz w:val="10"/>
        </w:rPr>
        <w:t>。</w:t>
      </w:r>
      <w:r>
        <w:rPr>
          <w:rFonts w:hint="eastAsia" w:ascii="宋体" w:hAnsi="宋体" w:eastAsia="宋体" w:cs="宋体"/>
          <w:sz w:val="24"/>
        </w:rPr>
        <w:t>该产品主要功能包括</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A.</w:t>
      </w:r>
      <w:r>
        <w:rPr>
          <w:rFonts w:hint="eastAsia" w:ascii="宋体" w:hAnsi="宋体" w:eastAsia="宋体" w:cs="宋体"/>
          <w:sz w:val="24"/>
        </w:rPr>
        <w:t>金融产品账号开设</w:t>
      </w:r>
      <w:r>
        <w:rPr>
          <w:rFonts w:hint="eastAsia" w:ascii="宋体" w:hAnsi="宋体" w:eastAsia="宋体" w:cs="宋体"/>
          <w:sz w:val="10"/>
        </w:rPr>
        <w:t>。</w:t>
      </w:r>
      <w:r>
        <w:rPr>
          <w:rFonts w:hint="eastAsia" w:ascii="宋体" w:hAnsi="宋体" w:eastAsia="宋体" w:cs="宋体"/>
          <w:sz w:val="24"/>
        </w:rPr>
        <w:t>客户可通过绑定银行卡等方式开设金融产品购买所需要的账户</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B.</w:t>
      </w:r>
      <w:r>
        <w:rPr>
          <w:rFonts w:hint="eastAsia" w:ascii="宋体" w:hAnsi="宋体" w:eastAsia="宋体" w:cs="宋体"/>
          <w:sz w:val="24"/>
        </w:rPr>
        <w:t>产品挑选</w:t>
      </w:r>
      <w:r>
        <w:rPr>
          <w:rFonts w:hint="eastAsia" w:ascii="宋体" w:hAnsi="宋体" w:eastAsia="宋体" w:cs="宋体"/>
          <w:sz w:val="10"/>
        </w:rPr>
        <w:t>。</w:t>
      </w:r>
      <w:r>
        <w:rPr>
          <w:rFonts w:hint="eastAsia" w:ascii="宋体" w:hAnsi="宋体" w:eastAsia="宋体" w:cs="宋体"/>
          <w:sz w:val="24"/>
        </w:rPr>
        <w:t>可以提供多金融产品的浏览</w:t>
      </w:r>
      <w:r>
        <w:rPr>
          <w:rFonts w:hint="eastAsia" w:ascii="宋体" w:hAnsi="宋体" w:eastAsia="宋体" w:cs="宋体"/>
          <w:sz w:val="10"/>
        </w:rPr>
        <w:t>、</w:t>
      </w:r>
      <w:r>
        <w:rPr>
          <w:rFonts w:hint="eastAsia" w:ascii="宋体" w:hAnsi="宋体" w:eastAsia="宋体" w:cs="宋体"/>
          <w:sz w:val="24"/>
        </w:rPr>
        <w:t>检索</w:t>
      </w:r>
      <w:r>
        <w:rPr>
          <w:rFonts w:hint="eastAsia" w:ascii="宋体" w:hAnsi="宋体" w:eastAsia="宋体" w:cs="宋体"/>
          <w:sz w:val="10"/>
        </w:rPr>
        <w:t>、</w:t>
      </w:r>
      <w:r>
        <w:rPr>
          <w:rFonts w:hint="eastAsia" w:ascii="宋体" w:hAnsi="宋体" w:eastAsia="宋体" w:cs="宋体"/>
          <w:sz w:val="24"/>
        </w:rPr>
        <w:t>比较和详细查询功能</w:t>
      </w:r>
      <w:r>
        <w:rPr>
          <w:rFonts w:hint="eastAsia" w:ascii="宋体" w:hAnsi="宋体" w:eastAsia="宋体" w:cs="宋体"/>
          <w:sz w:val="10"/>
        </w:rPr>
        <w:t>。</w:t>
      </w:r>
      <w:r>
        <w:rPr>
          <w:rFonts w:hint="eastAsia" w:ascii="宋体" w:hAnsi="宋体" w:eastAsia="宋体" w:cs="宋体"/>
          <w:sz w:val="24"/>
        </w:rPr>
        <w:t>供投资者选择合适的金融产品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C.</w:t>
      </w:r>
      <w:r>
        <w:rPr>
          <w:rFonts w:hint="eastAsia" w:ascii="宋体" w:hAnsi="宋体" w:eastAsia="宋体" w:cs="宋体"/>
          <w:sz w:val="24"/>
        </w:rPr>
        <w:t>产品购买</w:t>
      </w:r>
      <w:r>
        <w:rPr>
          <w:rFonts w:hint="eastAsia" w:ascii="宋体" w:hAnsi="宋体" w:eastAsia="宋体" w:cs="宋体"/>
          <w:sz w:val="10"/>
        </w:rPr>
        <w:t>。</w:t>
      </w:r>
      <w:r>
        <w:rPr>
          <w:rFonts w:hint="eastAsia" w:ascii="宋体" w:hAnsi="宋体" w:eastAsia="宋体" w:cs="宋体"/>
          <w:sz w:val="24"/>
        </w:rPr>
        <w:t>完成产品的预约</w:t>
      </w:r>
      <w:r>
        <w:rPr>
          <w:rFonts w:hint="eastAsia" w:ascii="宋体" w:hAnsi="宋体" w:eastAsia="宋体" w:cs="宋体"/>
          <w:sz w:val="10"/>
        </w:rPr>
        <w:t>、</w:t>
      </w:r>
      <w:r>
        <w:rPr>
          <w:rFonts w:hint="eastAsia" w:ascii="宋体" w:hAnsi="宋体" w:eastAsia="宋体" w:cs="宋体"/>
          <w:sz w:val="24"/>
        </w:rPr>
        <w:t>认购</w:t>
      </w:r>
      <w:r>
        <w:rPr>
          <w:rFonts w:hint="eastAsia" w:ascii="宋体" w:hAnsi="宋体" w:eastAsia="宋体" w:cs="宋体"/>
          <w:sz w:val="10"/>
        </w:rPr>
        <w:t>，</w:t>
      </w:r>
      <w:r>
        <w:rPr>
          <w:rFonts w:hint="eastAsia" w:ascii="宋体" w:hAnsi="宋体" w:eastAsia="宋体" w:cs="宋体"/>
          <w:sz w:val="24"/>
        </w:rPr>
        <w:t>申购</w:t>
      </w:r>
      <w:r>
        <w:rPr>
          <w:rFonts w:hint="eastAsia" w:ascii="宋体" w:hAnsi="宋体" w:eastAsia="宋体" w:cs="宋体"/>
          <w:sz w:val="10"/>
        </w:rPr>
        <w:t>、</w:t>
      </w:r>
      <w:r>
        <w:rPr>
          <w:rFonts w:hint="eastAsia" w:ascii="宋体" w:hAnsi="宋体" w:eastAsia="宋体" w:cs="宋体"/>
          <w:sz w:val="24"/>
        </w:rPr>
        <w:t>赎回等操作</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D.</w:t>
      </w:r>
      <w:r>
        <w:rPr>
          <w:rFonts w:hint="eastAsia" w:ascii="宋体" w:hAnsi="宋体" w:eastAsia="宋体" w:cs="宋体"/>
          <w:sz w:val="24"/>
        </w:rPr>
        <w:t>账户管理</w:t>
      </w:r>
      <w:r>
        <w:rPr>
          <w:rFonts w:hint="eastAsia" w:ascii="宋体" w:hAnsi="宋体" w:eastAsia="宋体" w:cs="宋体"/>
          <w:sz w:val="10"/>
        </w:rPr>
        <w:t>。</w:t>
      </w:r>
      <w:r>
        <w:rPr>
          <w:rFonts w:hint="eastAsia" w:ascii="宋体" w:hAnsi="宋体" w:eastAsia="宋体" w:cs="宋体"/>
          <w:sz w:val="24"/>
        </w:rPr>
        <w:t>查看账户资产情况</w:t>
      </w:r>
      <w:r>
        <w:rPr>
          <w:rFonts w:hint="eastAsia" w:ascii="宋体" w:hAnsi="宋体" w:eastAsia="宋体" w:cs="宋体"/>
          <w:sz w:val="10"/>
        </w:rPr>
        <w:t>。</w:t>
      </w:r>
      <w:r>
        <w:rPr>
          <w:rFonts w:hint="eastAsia" w:ascii="宋体" w:hAnsi="宋体" w:eastAsia="宋体" w:cs="宋体"/>
          <w:sz w:val="24"/>
        </w:rPr>
        <w:t>已购买产品的公告</w:t>
      </w:r>
      <w:r>
        <w:rPr>
          <w:rFonts w:hint="eastAsia" w:ascii="宋体" w:hAnsi="宋体" w:eastAsia="宋体" w:cs="宋体"/>
          <w:sz w:val="10"/>
        </w:rPr>
        <w:t>、</w:t>
      </w:r>
      <w:r>
        <w:rPr>
          <w:rFonts w:hint="eastAsia" w:ascii="宋体" w:hAnsi="宋体" w:eastAsia="宋体" w:cs="宋体"/>
          <w:sz w:val="24"/>
        </w:rPr>
        <w:t>资讯信息查阅等</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1-1-142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1143000</wp:posOffset>
            </wp:positionH>
            <wp:positionV relativeFrom="page">
              <wp:posOffset>1003300</wp:posOffset>
            </wp:positionV>
            <wp:extent cx="5257800" cy="4165600"/>
            <wp:effectExtent l="0" t="0" r="0" b="0"/>
            <wp:wrapNone/>
            <wp:docPr id="7005" name="image7005" descr=""/>
            <wp:cNvGraphicFramePr>
              <a:graphicFrameLocks noChangeAspect="true"/>
            </wp:cNvGraphicFramePr>
            <a:graphic>
              <a:graphicData uri="http://schemas.openxmlformats.org/drawingml/2006/picture">
                <pic:pic>
                  <pic:nvPicPr>
                    <pic:cNvPr id="7005" name="image7005"/>
                    <pic:cNvPicPr/>
                  </pic:nvPicPr>
                  <pic:blipFill>
                    <a:blip r:embed="rId30"/>
                    <a:stretch>
                      <a:fillRect/>
                    </a:stretch>
                  </pic:blipFill>
                  <pic:spPr>
                    <a:xfrm>
                      <a:off x="0" y="0"/>
                      <a:ext cx="5257800" cy="41656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firstLine="480"/>
        <w:jc w:val="both"/>
      </w:pPr>
      <w:r>
        <w:rPr>
          <w:rFonts w:hint="eastAsia" w:ascii="宋体" w:hAnsi="宋体" w:eastAsia="宋体" w:cs="宋体"/>
          <w:sz w:val="24"/>
        </w:rPr>
        <w:t>目前该产品在中证资本私募产品网</w:t>
      </w:r>
      <w:r>
        <w:rPr>
          <w:rFonts w:hint="eastAsia" w:ascii="宋体" w:hAnsi="宋体" w:eastAsia="宋体" w:cs="宋体"/>
          <w:sz w:val="10"/>
        </w:rPr>
        <w:t>、</w:t>
      </w:r>
      <w:r>
        <w:rPr>
          <w:rFonts w:hint="eastAsia" w:ascii="宋体" w:hAnsi="宋体" w:eastAsia="宋体" w:cs="宋体"/>
          <w:sz w:val="24"/>
        </w:rPr>
        <w:t>东海证券</w:t>
      </w:r>
      <w:r>
        <w:rPr>
          <w:rFonts w:hint="eastAsia" w:ascii="宋体" w:hAnsi="宋体" w:eastAsia="宋体" w:cs="宋体"/>
          <w:sz w:val="10"/>
        </w:rPr>
        <w:t>、</w:t>
      </w:r>
      <w:r>
        <w:rPr>
          <w:rFonts w:hint="eastAsia" w:ascii="宋体" w:hAnsi="宋体" w:eastAsia="宋体" w:cs="宋体"/>
          <w:sz w:val="24"/>
        </w:rPr>
        <w:t>民生证券</w:t>
      </w:r>
      <w:r>
        <w:rPr>
          <w:rFonts w:hint="eastAsia" w:ascii="宋体" w:hAnsi="宋体" w:eastAsia="宋体" w:cs="宋体"/>
          <w:sz w:val="10"/>
        </w:rPr>
        <w:t>、</w:t>
      </w:r>
      <w:r>
        <w:rPr>
          <w:rFonts w:hint="eastAsia" w:ascii="宋体" w:hAnsi="宋体" w:eastAsia="宋体" w:cs="宋体"/>
          <w:sz w:val="24"/>
        </w:rPr>
        <w:t>华鑫证券等客户使用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④微信客户服务系统</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微信是广大投资者常用的信息沟通工具</w:t>
      </w:r>
      <w:r>
        <w:rPr>
          <w:rFonts w:hint="eastAsia" w:ascii="宋体" w:hAnsi="宋体" w:eastAsia="宋体" w:cs="宋体"/>
          <w:sz w:val="10"/>
        </w:rPr>
        <w:t>。</w:t>
      </w:r>
      <w:r>
        <w:rPr>
          <w:rFonts w:hint="eastAsia" w:ascii="宋体" w:hAnsi="宋体" w:eastAsia="宋体" w:cs="宋体"/>
          <w:sz w:val="24"/>
        </w:rPr>
        <w:t>微信客户服务系统通过和微信工作平台</w:t>
      </w:r>
      <w:r>
        <w:rPr>
          <w:rFonts w:hint="eastAsia" w:ascii="宋体" w:hAnsi="宋体" w:eastAsia="宋体" w:cs="宋体"/>
          <w:sz w:val="10"/>
        </w:rPr>
        <w:t>、</w:t>
      </w:r>
      <w:r>
        <w:rPr>
          <w:rFonts w:hint="eastAsia" w:ascii="宋体" w:hAnsi="宋体" w:eastAsia="宋体" w:cs="宋体"/>
          <w:sz w:val="24"/>
        </w:rPr>
        <w:t>企业号的接口对接</w:t>
      </w:r>
      <w:r>
        <w:rPr>
          <w:rFonts w:hint="eastAsia" w:ascii="宋体" w:hAnsi="宋体" w:eastAsia="宋体" w:cs="宋体"/>
          <w:sz w:val="10"/>
        </w:rPr>
        <w:t>。</w:t>
      </w:r>
      <w:r>
        <w:rPr>
          <w:rFonts w:hint="eastAsia" w:ascii="宋体" w:hAnsi="宋体" w:eastAsia="宋体" w:cs="宋体"/>
          <w:sz w:val="24"/>
        </w:rPr>
        <w:t>通过微信前端和客户账号的绑定</w:t>
      </w:r>
      <w:r>
        <w:rPr>
          <w:rFonts w:hint="eastAsia" w:ascii="宋体" w:hAnsi="宋体" w:eastAsia="宋体" w:cs="宋体"/>
          <w:sz w:val="10"/>
        </w:rPr>
        <w:t>，</w:t>
      </w:r>
      <w:r>
        <w:rPr>
          <w:rFonts w:hint="eastAsia" w:ascii="宋体" w:hAnsi="宋体" w:eastAsia="宋体" w:cs="宋体"/>
          <w:sz w:val="24"/>
        </w:rPr>
        <w:t>将微信和中后台系统对接</w:t>
      </w:r>
      <w:r>
        <w:rPr>
          <w:rFonts w:hint="eastAsia" w:ascii="宋体" w:hAnsi="宋体" w:eastAsia="宋体" w:cs="宋体"/>
          <w:sz w:val="10"/>
        </w:rPr>
        <w:t>，</w:t>
      </w:r>
      <w:r>
        <w:rPr>
          <w:rFonts w:hint="eastAsia" w:ascii="宋体" w:hAnsi="宋体" w:eastAsia="宋体" w:cs="宋体"/>
          <w:sz w:val="24"/>
        </w:rPr>
        <w:t>该系统主要功能包括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A.</w:t>
      </w:r>
      <w:r>
        <w:rPr>
          <w:rFonts w:hint="eastAsia" w:ascii="宋体" w:hAnsi="宋体" w:eastAsia="宋体" w:cs="宋体"/>
          <w:sz w:val="24"/>
        </w:rPr>
        <w:t>微信账户绑定功能</w:t>
      </w:r>
      <w:r>
        <w:rPr>
          <w:rFonts w:hint="eastAsia" w:ascii="宋体" w:hAnsi="宋体" w:eastAsia="宋体" w:cs="宋体"/>
          <w:sz w:val="10"/>
        </w:rPr>
        <w:t>。</w:t>
      </w:r>
      <w:r>
        <w:rPr>
          <w:rFonts w:hint="eastAsia" w:ascii="宋体" w:hAnsi="宋体" w:eastAsia="宋体" w:cs="宋体"/>
          <w:sz w:val="24"/>
        </w:rPr>
        <w:t>将微信账户和客户业务账户绑定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Times New Roman" w:hAnsi="Times New Roman" w:eastAsia="Times New Roman" w:cs="Times New Roman"/>
          <w:sz w:val="24"/>
        </w:rPr>
        <w:t>B.</w:t>
      </w:r>
      <w:r>
        <w:rPr>
          <w:rFonts w:hint="eastAsia" w:ascii="宋体" w:hAnsi="宋体" w:eastAsia="宋体" w:cs="宋体"/>
          <w:sz w:val="24"/>
        </w:rPr>
        <w:t>资讯推送</w:t>
      </w:r>
      <w:r>
        <w:rPr>
          <w:rFonts w:hint="eastAsia" w:ascii="宋体" w:hAnsi="宋体" w:eastAsia="宋体" w:cs="宋体"/>
          <w:sz w:val="10"/>
        </w:rPr>
        <w:t>。</w:t>
      </w:r>
      <w:r>
        <w:rPr>
          <w:rFonts w:hint="eastAsia" w:ascii="宋体" w:hAnsi="宋体" w:eastAsia="宋体" w:cs="宋体"/>
          <w:sz w:val="24"/>
        </w:rPr>
        <w:t>后台根据公司销售策略</w:t>
      </w:r>
      <w:r>
        <w:rPr>
          <w:rFonts w:hint="eastAsia" w:ascii="宋体" w:hAnsi="宋体" w:eastAsia="宋体" w:cs="宋体"/>
          <w:sz w:val="10"/>
        </w:rPr>
        <w:t>、</w:t>
      </w:r>
      <w:r>
        <w:rPr>
          <w:rFonts w:hint="eastAsia" w:ascii="宋体" w:hAnsi="宋体" w:eastAsia="宋体" w:cs="宋体"/>
          <w:sz w:val="24"/>
        </w:rPr>
        <w:t>客户订阅或客户投资偏好等条件通过微信针对性推送资讯信息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C.</w:t>
      </w:r>
      <w:r>
        <w:rPr>
          <w:rFonts w:hint="eastAsia" w:ascii="宋体" w:hAnsi="宋体" w:eastAsia="宋体" w:cs="宋体"/>
          <w:sz w:val="24"/>
        </w:rPr>
        <w:t>账户提醒</w:t>
      </w:r>
      <w:r>
        <w:rPr>
          <w:rFonts w:hint="eastAsia" w:ascii="宋体" w:hAnsi="宋体" w:eastAsia="宋体" w:cs="宋体"/>
          <w:sz w:val="10"/>
        </w:rPr>
        <w:t>。</w:t>
      </w:r>
      <w:r>
        <w:rPr>
          <w:rFonts w:hint="eastAsia" w:ascii="宋体" w:hAnsi="宋体" w:eastAsia="宋体" w:cs="宋体"/>
          <w:sz w:val="24"/>
        </w:rPr>
        <w:t>根据客户设置的订阅列表可以在客户账户发生资金</w:t>
      </w:r>
      <w:r>
        <w:rPr>
          <w:rFonts w:hint="eastAsia" w:ascii="宋体" w:hAnsi="宋体" w:eastAsia="宋体" w:cs="宋体"/>
          <w:sz w:val="10"/>
        </w:rPr>
        <w:t>、</w:t>
      </w:r>
      <w:r>
        <w:rPr>
          <w:rFonts w:hint="eastAsia" w:ascii="宋体" w:hAnsi="宋体" w:eastAsia="宋体" w:cs="宋体"/>
          <w:sz w:val="24"/>
        </w:rPr>
        <w:t>交易</w:t>
      </w:r>
      <w:r>
        <w:rPr>
          <w:rFonts w:hint="eastAsia" w:ascii="宋体" w:hAnsi="宋体" w:eastAsia="宋体" w:cs="宋体"/>
          <w:sz w:val="10"/>
        </w:rPr>
        <w:t>、</w:t>
      </w:r>
      <w:r>
        <w:rPr>
          <w:rFonts w:hint="eastAsia" w:ascii="宋体" w:hAnsi="宋体" w:eastAsia="宋体" w:cs="宋体"/>
          <w:sz w:val="24"/>
        </w:rPr>
        <w:t>盈亏变动的时候推送相应信息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D.</w:t>
      </w:r>
      <w:r>
        <w:rPr>
          <w:rFonts w:hint="eastAsia" w:ascii="宋体" w:hAnsi="宋体" w:eastAsia="宋体" w:cs="宋体"/>
          <w:sz w:val="24"/>
        </w:rPr>
        <w:t>业务受理</w:t>
      </w:r>
      <w:r>
        <w:rPr>
          <w:rFonts w:hint="eastAsia" w:ascii="宋体" w:hAnsi="宋体" w:eastAsia="宋体" w:cs="宋体"/>
          <w:sz w:val="10"/>
        </w:rPr>
        <w:t>。</w:t>
      </w:r>
      <w:r>
        <w:rPr>
          <w:rFonts w:hint="eastAsia" w:ascii="宋体" w:hAnsi="宋体" w:eastAsia="宋体" w:cs="宋体"/>
          <w:sz w:val="24"/>
        </w:rPr>
        <w:t>可以通过微信开通</w:t>
      </w:r>
      <w:r>
        <w:rPr>
          <w:rFonts w:hint="eastAsia" w:ascii="宋体" w:hAnsi="宋体" w:eastAsia="宋体" w:cs="宋体"/>
          <w:sz w:val="10"/>
        </w:rPr>
        <w:t>、</w:t>
      </w:r>
      <w:r>
        <w:rPr>
          <w:rFonts w:hint="eastAsia" w:ascii="宋体" w:hAnsi="宋体" w:eastAsia="宋体" w:cs="宋体"/>
          <w:sz w:val="24"/>
        </w:rPr>
        <w:t>取消业务办理</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1-1-143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1143000</wp:posOffset>
            </wp:positionH>
            <wp:positionV relativeFrom="page">
              <wp:posOffset>2781300</wp:posOffset>
            </wp:positionV>
            <wp:extent cx="5638800" cy="3797300"/>
            <wp:effectExtent l="0" t="0" r="0" b="0"/>
            <wp:wrapNone/>
            <wp:docPr id="7007" name="image7007" descr=""/>
            <wp:cNvGraphicFramePr>
              <a:graphicFrameLocks noChangeAspect="true"/>
            </wp:cNvGraphicFramePr>
            <a:graphic>
              <a:graphicData uri="http://schemas.openxmlformats.org/drawingml/2006/picture">
                <pic:pic>
                  <pic:nvPicPr>
                    <pic:cNvPr id="7007" name="image7007"/>
                    <pic:cNvPicPr/>
                  </pic:nvPicPr>
                  <pic:blipFill>
                    <a:blip r:embed="rId31"/>
                    <a:stretch>
                      <a:fillRect/>
                    </a:stretch>
                  </pic:blipFill>
                  <pic:spPr>
                    <a:xfrm>
                      <a:off x="0" y="0"/>
                      <a:ext cx="5638800" cy="37973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Times New Roman" w:hAnsi="Times New Roman" w:eastAsia="Times New Roman" w:cs="Times New Roman"/>
          <w:sz w:val="24"/>
        </w:rPr>
        <w:t>E.</w:t>
      </w:r>
      <w:r>
        <w:rPr>
          <w:rFonts w:hint="eastAsia" w:ascii="宋体" w:hAnsi="宋体" w:eastAsia="宋体" w:cs="宋体"/>
          <w:sz w:val="24"/>
        </w:rPr>
        <w:t>产品购买</w:t>
      </w:r>
      <w:r>
        <w:rPr>
          <w:rFonts w:hint="eastAsia" w:ascii="宋体" w:hAnsi="宋体" w:eastAsia="宋体" w:cs="宋体"/>
          <w:sz w:val="10"/>
        </w:rPr>
        <w:t>。</w:t>
      </w:r>
      <w:r>
        <w:rPr>
          <w:rFonts w:hint="eastAsia" w:ascii="宋体" w:hAnsi="宋体" w:eastAsia="宋体" w:cs="宋体"/>
          <w:sz w:val="24"/>
        </w:rPr>
        <w:t>可集成产品购买界面</w:t>
      </w:r>
      <w:r>
        <w:rPr>
          <w:rFonts w:hint="eastAsia" w:ascii="宋体" w:hAnsi="宋体" w:eastAsia="宋体" w:cs="宋体"/>
          <w:sz w:val="10"/>
        </w:rPr>
        <w:t>，</w:t>
      </w:r>
      <w:r>
        <w:rPr>
          <w:rFonts w:hint="eastAsia" w:ascii="宋体" w:hAnsi="宋体" w:eastAsia="宋体" w:cs="宋体"/>
          <w:sz w:val="24"/>
        </w:rPr>
        <w:t>在微信上购买金融产品</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w:hAnsi="Times New Roman" w:eastAsia="Times New Roman" w:cs="Times New Roman"/>
          <w:sz w:val="24"/>
        </w:rPr>
        <w:t>F.</w:t>
      </w:r>
      <w:r>
        <w:rPr>
          <w:rFonts w:hint="eastAsia" w:ascii="宋体" w:hAnsi="宋体" w:eastAsia="宋体" w:cs="宋体"/>
          <w:sz w:val="24"/>
        </w:rPr>
        <w:t>账户管理</w:t>
      </w:r>
      <w:r>
        <w:rPr>
          <w:rFonts w:hint="eastAsia" w:ascii="宋体" w:hAnsi="宋体" w:eastAsia="宋体" w:cs="宋体"/>
          <w:sz w:val="10"/>
        </w:rPr>
        <w:t>。</w:t>
      </w:r>
      <w:r>
        <w:rPr>
          <w:rFonts w:hint="eastAsia" w:ascii="宋体" w:hAnsi="宋体" w:eastAsia="宋体" w:cs="宋体"/>
          <w:sz w:val="24"/>
        </w:rPr>
        <w:t>可以在微信上查看账户资产</w:t>
      </w:r>
      <w:r>
        <w:rPr>
          <w:rFonts w:hint="eastAsia" w:ascii="宋体" w:hAnsi="宋体" w:eastAsia="宋体" w:cs="宋体"/>
          <w:sz w:val="10"/>
        </w:rPr>
        <w:t>、</w:t>
      </w:r>
      <w:r>
        <w:rPr>
          <w:rFonts w:hint="eastAsia" w:ascii="宋体" w:hAnsi="宋体" w:eastAsia="宋体" w:cs="宋体"/>
          <w:sz w:val="24"/>
        </w:rPr>
        <w:t>持仓情况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G.</w:t>
      </w:r>
      <w:r>
        <w:rPr>
          <w:rFonts w:hint="eastAsia" w:ascii="宋体" w:hAnsi="宋体" w:eastAsia="宋体" w:cs="宋体"/>
          <w:sz w:val="24"/>
        </w:rPr>
        <w:t>客户服务</w:t>
      </w:r>
      <w:r>
        <w:rPr>
          <w:rFonts w:hint="eastAsia" w:ascii="宋体" w:hAnsi="宋体" w:eastAsia="宋体" w:cs="宋体"/>
          <w:sz w:val="10"/>
        </w:rPr>
        <w:t>。</w:t>
      </w:r>
      <w:r>
        <w:rPr>
          <w:rFonts w:hint="eastAsia" w:ascii="宋体" w:hAnsi="宋体" w:eastAsia="宋体" w:cs="宋体"/>
          <w:sz w:val="24"/>
        </w:rPr>
        <w:t>可通过微信向后台服务人员发送信息</w:t>
      </w:r>
      <w:r>
        <w:rPr>
          <w:rFonts w:hint="eastAsia" w:ascii="宋体" w:hAnsi="宋体" w:eastAsia="宋体" w:cs="宋体"/>
          <w:sz w:val="10"/>
        </w:rPr>
        <w:t>。</w:t>
      </w:r>
      <w:r>
        <w:rPr>
          <w:rFonts w:hint="eastAsia" w:ascii="宋体" w:hAnsi="宋体" w:eastAsia="宋体" w:cs="宋体"/>
          <w:sz w:val="24"/>
        </w:rPr>
        <w:t>系统可以通过机器人和知识库检索匹配答案</w:t>
      </w:r>
      <w:r>
        <w:rPr>
          <w:rFonts w:hint="eastAsia" w:ascii="宋体" w:hAnsi="宋体" w:eastAsia="宋体" w:cs="宋体"/>
          <w:sz w:val="10"/>
        </w:rPr>
        <w:t>、</w:t>
      </w:r>
      <w:r>
        <w:rPr>
          <w:rFonts w:hint="eastAsia" w:ascii="宋体" w:hAnsi="宋体" w:eastAsia="宋体" w:cs="宋体"/>
          <w:sz w:val="24"/>
        </w:rPr>
        <w:t>自动回复</w:t>
      </w:r>
      <w:r>
        <w:rPr>
          <w:rFonts w:hint="eastAsia" w:ascii="宋体" w:hAnsi="宋体" w:eastAsia="宋体" w:cs="宋体"/>
          <w:sz w:val="10"/>
        </w:rPr>
        <w:t>，</w:t>
      </w:r>
      <w:r>
        <w:rPr>
          <w:rFonts w:hint="eastAsia" w:ascii="宋体" w:hAnsi="宋体" w:eastAsia="宋体" w:cs="宋体"/>
          <w:sz w:val="24"/>
        </w:rPr>
        <w:t>也可以通过系统自动分配给相关服务人员处理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4380"/>
        <w:jc w:val="both"/>
      </w:pPr>
      <w:r>
        <w:rPr>
          <w:rFonts w:hint="eastAsia" w:ascii="宋体" w:hAnsi="宋体" w:eastAsia="宋体" w:cs="宋体"/>
          <w:b/>
          <w:sz w:val="24"/>
        </w:rPr>
        <w:t>微信客户服务系统系统架构图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该产品目前在中泰证券</w:t>
      </w:r>
      <w:r>
        <w:rPr>
          <w:rFonts w:hint="eastAsia" w:ascii="宋体" w:hAnsi="宋体" w:eastAsia="宋体" w:cs="宋体"/>
          <w:sz w:val="10"/>
        </w:rPr>
        <w:t>、</w:t>
      </w:r>
      <w:r>
        <w:rPr>
          <w:rFonts w:hint="eastAsia" w:ascii="宋体" w:hAnsi="宋体" w:eastAsia="宋体" w:cs="宋体"/>
          <w:sz w:val="24"/>
        </w:rPr>
        <w:t>长城证券</w:t>
      </w:r>
      <w:r>
        <w:rPr>
          <w:rFonts w:hint="eastAsia" w:ascii="宋体" w:hAnsi="宋体" w:eastAsia="宋体" w:cs="宋体"/>
          <w:sz w:val="10"/>
        </w:rPr>
        <w:t>、</w:t>
      </w:r>
      <w:r>
        <w:rPr>
          <w:rFonts w:hint="eastAsia" w:ascii="宋体" w:hAnsi="宋体" w:eastAsia="宋体" w:cs="宋体"/>
          <w:sz w:val="24"/>
        </w:rPr>
        <w:t>上海证券</w:t>
      </w:r>
      <w:r>
        <w:rPr>
          <w:rFonts w:hint="eastAsia" w:ascii="宋体" w:hAnsi="宋体" w:eastAsia="宋体" w:cs="宋体"/>
          <w:sz w:val="10"/>
        </w:rPr>
        <w:t>、</w:t>
      </w:r>
      <w:r>
        <w:rPr>
          <w:rFonts w:hint="eastAsia" w:ascii="宋体" w:hAnsi="宋体" w:eastAsia="宋体" w:cs="宋体"/>
          <w:sz w:val="24"/>
        </w:rPr>
        <w:t>中航信托等客户机构使用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）中台流程信息化解决方案</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①业务运营中台</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运营中台作为衔接受理终端和后台业务系统的中间层</w:t>
      </w:r>
      <w:r>
        <w:rPr>
          <w:rFonts w:hint="eastAsia" w:ascii="宋体" w:hAnsi="宋体" w:eastAsia="宋体" w:cs="宋体"/>
          <w:sz w:val="10"/>
        </w:rPr>
        <w:t>。</w:t>
      </w:r>
      <w:r>
        <w:rPr>
          <w:rFonts w:hint="eastAsia" w:ascii="宋体" w:hAnsi="宋体" w:eastAsia="宋体" w:cs="宋体"/>
          <w:sz w:val="24"/>
        </w:rPr>
        <w:t>采用受理和处理分离模式</w:t>
      </w:r>
      <w:r>
        <w:rPr>
          <w:rFonts w:hint="eastAsia" w:ascii="宋体" w:hAnsi="宋体" w:eastAsia="宋体" w:cs="宋体"/>
          <w:sz w:val="10"/>
        </w:rPr>
        <w:t>，</w:t>
      </w:r>
      <w:r>
        <w:rPr>
          <w:rFonts w:hint="eastAsia" w:ascii="宋体" w:hAnsi="宋体" w:eastAsia="宋体" w:cs="宋体"/>
          <w:sz w:val="24"/>
        </w:rPr>
        <w:t>通过流程驱动</w:t>
      </w:r>
      <w:r>
        <w:rPr>
          <w:rFonts w:hint="eastAsia" w:ascii="宋体" w:hAnsi="宋体" w:eastAsia="宋体" w:cs="宋体"/>
          <w:sz w:val="10"/>
        </w:rPr>
        <w:t>，</w:t>
      </w:r>
      <w:r>
        <w:rPr>
          <w:rFonts w:hint="eastAsia" w:ascii="宋体" w:hAnsi="宋体" w:eastAsia="宋体" w:cs="宋体"/>
          <w:sz w:val="24"/>
        </w:rPr>
        <w:t>完成前中后台人员的协同工作支持</w:t>
      </w:r>
      <w:r>
        <w:rPr>
          <w:rFonts w:hint="eastAsia" w:ascii="宋体" w:hAnsi="宋体" w:eastAsia="宋体" w:cs="宋体"/>
          <w:sz w:val="10"/>
        </w:rPr>
        <w:t>。</w:t>
      </w:r>
      <w:r>
        <w:rPr>
          <w:rFonts w:hint="eastAsia" w:ascii="宋体" w:hAnsi="宋体" w:eastAsia="宋体" w:cs="宋体"/>
          <w:sz w:val="24"/>
        </w:rPr>
        <w:t>该系统支持新型网点</w:t>
      </w:r>
      <w:r>
        <w:rPr>
          <w:rFonts w:hint="eastAsia" w:ascii="宋体" w:hAnsi="宋体" w:eastAsia="宋体" w:cs="宋体"/>
          <w:sz w:val="10"/>
        </w:rPr>
        <w:t>、</w:t>
      </w:r>
      <w:r>
        <w:rPr>
          <w:rFonts w:hint="eastAsia" w:ascii="宋体" w:hAnsi="宋体" w:eastAsia="宋体" w:cs="宋体"/>
          <w:sz w:val="24"/>
        </w:rPr>
        <w:t>移动业务受理终端等多渠道接入</w:t>
      </w:r>
      <w:r>
        <w:rPr>
          <w:rFonts w:hint="eastAsia" w:ascii="宋体" w:hAnsi="宋体" w:eastAsia="宋体" w:cs="宋体"/>
          <w:sz w:val="10"/>
        </w:rPr>
        <w:t>。</w:t>
      </w:r>
      <w:r>
        <w:rPr>
          <w:rFonts w:hint="eastAsia" w:ascii="宋体" w:hAnsi="宋体" w:eastAsia="宋体" w:cs="宋体"/>
          <w:sz w:val="24"/>
        </w:rPr>
        <w:t>运营中台提供业务缓存</w:t>
      </w:r>
      <w:r>
        <w:rPr>
          <w:rFonts w:hint="eastAsia" w:ascii="宋体" w:hAnsi="宋体" w:eastAsia="宋体" w:cs="宋体"/>
          <w:sz w:val="10"/>
        </w:rPr>
        <w:t>、</w:t>
      </w:r>
      <w:r>
        <w:rPr>
          <w:rFonts w:hint="eastAsia" w:ascii="宋体" w:hAnsi="宋体" w:eastAsia="宋体" w:cs="宋体"/>
          <w:sz w:val="24"/>
        </w:rPr>
        <w:t>调度和多系统的业务封装等功能</w:t>
      </w:r>
      <w:r>
        <w:rPr>
          <w:rFonts w:hint="eastAsia" w:ascii="宋体" w:hAnsi="宋体" w:eastAsia="宋体" w:cs="宋体"/>
          <w:sz w:val="10"/>
        </w:rPr>
        <w:t>，</w:t>
      </w:r>
      <w:r>
        <w:rPr>
          <w:rFonts w:hint="eastAsia" w:ascii="宋体" w:hAnsi="宋体" w:eastAsia="宋体" w:cs="宋体"/>
          <w:sz w:val="24"/>
        </w:rPr>
        <w:t>通过</w:t>
      </w:r>
      <w:r>
        <w:rPr>
          <w:rFonts w:hint="eastAsia" w:ascii="Times New Roman" w:hAnsi="Times New Roman" w:eastAsia="Times New Roman" w:cs="Times New Roman"/>
          <w:sz w:val="24"/>
        </w:rPr>
        <w:t xml:space="preserve"> ESB</w:t>
      </w:r>
      <w:r>
        <w:rPr>
          <w:rFonts w:hint="eastAsia" w:ascii="宋体" w:hAnsi="宋体" w:eastAsia="宋体" w:cs="宋体"/>
          <w:sz w:val="24"/>
        </w:rPr>
        <w:t>（企业服务总线）或接口适配器与各个基础业务系统实现交互</w:t>
      </w:r>
      <w:r>
        <w:rPr>
          <w:rFonts w:hint="eastAsia" w:ascii="宋体" w:hAnsi="宋体" w:eastAsia="宋体" w:cs="宋体"/>
          <w:sz w:val="10"/>
        </w:rPr>
        <w:t>，</w:t>
      </w:r>
      <w:r>
        <w:rPr>
          <w:rFonts w:hint="eastAsia" w:ascii="宋体" w:hAnsi="宋体" w:eastAsia="宋体" w:cs="宋体"/>
          <w:sz w:val="24"/>
        </w:rPr>
        <w:t>完成业务的对接</w:t>
      </w:r>
      <w:r>
        <w:rPr>
          <w:rFonts w:hint="eastAsia" w:ascii="宋体" w:hAnsi="宋体" w:eastAsia="宋体" w:cs="宋体"/>
          <w:sz w:val="10"/>
        </w:rPr>
        <w:t>。</w:t>
      </w:r>
      <w:r>
        <w:rPr>
          <w:rFonts w:hint="eastAsia" w:ascii="宋体" w:hAnsi="宋体" w:eastAsia="宋体" w:cs="宋体"/>
          <w:sz w:val="24"/>
        </w:rPr>
        <w:t>该系统主要功能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1-1-144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20" w:firstLine="480"/>
        <w:jc w:val="both"/>
      </w:pPr>
      <w:r>
        <w:rPr>
          <w:rFonts w:hint="eastAsia" w:ascii="Times New Roman" w:hAnsi="Times New Roman" w:eastAsia="Times New Roman" w:cs="Times New Roman"/>
          <w:sz w:val="24"/>
        </w:rPr>
        <w:t>A.</w:t>
      </w:r>
      <w:r>
        <w:rPr>
          <w:rFonts w:hint="eastAsia" w:ascii="宋体" w:hAnsi="宋体" w:eastAsia="宋体" w:cs="宋体"/>
          <w:sz w:val="24"/>
        </w:rPr>
        <w:t>常用业务处理</w:t>
      </w:r>
      <w:r>
        <w:rPr>
          <w:rFonts w:hint="eastAsia" w:ascii="宋体" w:hAnsi="宋体" w:eastAsia="宋体" w:cs="宋体"/>
          <w:sz w:val="10"/>
        </w:rPr>
        <w:t>。</w:t>
      </w:r>
      <w:r>
        <w:rPr>
          <w:rFonts w:hint="eastAsia" w:ascii="宋体" w:hAnsi="宋体" w:eastAsia="宋体" w:cs="宋体"/>
          <w:sz w:val="24"/>
        </w:rPr>
        <w:t>包括客户开户</w:t>
      </w:r>
      <w:r>
        <w:rPr>
          <w:rFonts w:hint="eastAsia" w:ascii="宋体" w:hAnsi="宋体" w:eastAsia="宋体" w:cs="宋体"/>
          <w:sz w:val="10"/>
        </w:rPr>
        <w:t>、</w:t>
      </w:r>
      <w:r>
        <w:rPr>
          <w:rFonts w:hint="eastAsia" w:ascii="宋体" w:hAnsi="宋体" w:eastAsia="宋体" w:cs="宋体"/>
          <w:sz w:val="24"/>
        </w:rPr>
        <w:t>中登业务</w:t>
      </w:r>
      <w:r>
        <w:rPr>
          <w:rFonts w:hint="eastAsia" w:ascii="宋体" w:hAnsi="宋体" w:eastAsia="宋体" w:cs="宋体"/>
          <w:sz w:val="10"/>
        </w:rPr>
        <w:t>、</w:t>
      </w:r>
      <w:r>
        <w:rPr>
          <w:rFonts w:hint="eastAsia" w:ascii="宋体" w:hAnsi="宋体" w:eastAsia="宋体" w:cs="宋体"/>
          <w:sz w:val="24"/>
        </w:rPr>
        <w:t>两融业务</w:t>
      </w:r>
      <w:r>
        <w:rPr>
          <w:rFonts w:hint="eastAsia" w:ascii="宋体" w:hAnsi="宋体" w:eastAsia="宋体" w:cs="宋体"/>
          <w:sz w:val="10"/>
        </w:rPr>
        <w:t>、</w:t>
      </w:r>
      <w:r>
        <w:rPr>
          <w:rFonts w:hint="eastAsia" w:ascii="宋体" w:hAnsi="宋体" w:eastAsia="宋体" w:cs="宋体"/>
          <w:sz w:val="24"/>
        </w:rPr>
        <w:t>股东账户管理</w:t>
      </w:r>
      <w:r>
        <w:rPr>
          <w:rFonts w:hint="eastAsia" w:ascii="宋体" w:hAnsi="宋体" w:eastAsia="宋体" w:cs="宋体"/>
          <w:sz w:val="10"/>
        </w:rPr>
        <w:t>、</w:t>
      </w:r>
      <w:r>
        <w:rPr>
          <w:rFonts w:hint="eastAsia" w:ascii="宋体" w:hAnsi="宋体" w:eastAsia="宋体" w:cs="宋体"/>
          <w:sz w:val="24"/>
        </w:rPr>
        <w:t>资产账户管理</w:t>
      </w:r>
      <w:r>
        <w:rPr>
          <w:rFonts w:hint="eastAsia" w:ascii="宋体" w:hAnsi="宋体" w:eastAsia="宋体" w:cs="宋体"/>
          <w:sz w:val="10"/>
        </w:rPr>
        <w:t>、</w:t>
      </w:r>
      <w:r>
        <w:rPr>
          <w:rFonts w:hint="eastAsia" w:ascii="宋体" w:hAnsi="宋体" w:eastAsia="宋体" w:cs="宋体"/>
          <w:sz w:val="24"/>
        </w:rPr>
        <w:t>银行账户管理</w:t>
      </w:r>
      <w:r>
        <w:rPr>
          <w:rFonts w:hint="eastAsia" w:ascii="宋体" w:hAnsi="宋体" w:eastAsia="宋体" w:cs="宋体"/>
          <w:sz w:val="10"/>
        </w:rPr>
        <w:t>、</w:t>
      </w:r>
      <w:r>
        <w:rPr>
          <w:rFonts w:hint="eastAsia" w:ascii="宋体" w:hAnsi="宋体" w:eastAsia="宋体" w:cs="宋体"/>
          <w:sz w:val="24"/>
        </w:rPr>
        <w:t>业务权限开通</w:t>
      </w:r>
      <w:r>
        <w:rPr>
          <w:rFonts w:hint="eastAsia" w:ascii="宋体" w:hAnsi="宋体" w:eastAsia="宋体" w:cs="宋体"/>
          <w:sz w:val="10"/>
        </w:rPr>
        <w:t>、</w:t>
      </w:r>
      <w:r>
        <w:rPr>
          <w:rFonts w:hint="eastAsia" w:ascii="宋体" w:hAnsi="宋体" w:eastAsia="宋体" w:cs="宋体"/>
          <w:sz w:val="24"/>
        </w:rPr>
        <w:t>基金账户管理</w:t>
      </w:r>
      <w:r>
        <w:rPr>
          <w:rFonts w:hint="eastAsia" w:ascii="宋体" w:hAnsi="宋体" w:eastAsia="宋体" w:cs="宋体"/>
          <w:sz w:val="10"/>
        </w:rPr>
        <w:t>、</w:t>
      </w:r>
      <w:r>
        <w:rPr>
          <w:rFonts w:hint="eastAsia" w:ascii="宋体" w:hAnsi="宋体" w:eastAsia="宋体" w:cs="宋体"/>
          <w:sz w:val="24"/>
        </w:rPr>
        <w:t>金融产品购买</w:t>
      </w:r>
      <w:r>
        <w:rPr>
          <w:rFonts w:hint="eastAsia" w:ascii="宋体" w:hAnsi="宋体" w:eastAsia="宋体" w:cs="宋体"/>
          <w:sz w:val="10"/>
        </w:rPr>
        <w:t>、</w:t>
      </w:r>
      <w:r>
        <w:rPr>
          <w:rFonts w:hint="eastAsia" w:ascii="宋体" w:hAnsi="宋体" w:eastAsia="宋体" w:cs="宋体"/>
          <w:sz w:val="24"/>
        </w:rPr>
        <w:t>资金业务等常用业务的办理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580" w:firstLine="480"/>
        <w:jc w:val="both"/>
      </w:pPr>
      <w:r>
        <w:rPr>
          <w:rFonts w:hint="eastAsia" w:ascii="Times New Roman" w:hAnsi="Times New Roman" w:eastAsia="Times New Roman" w:cs="Times New Roman"/>
          <w:sz w:val="24"/>
        </w:rPr>
        <w:t>B.</w:t>
      </w:r>
      <w:r>
        <w:rPr>
          <w:rFonts w:hint="eastAsia" w:ascii="宋体" w:hAnsi="宋体" w:eastAsia="宋体" w:cs="宋体"/>
          <w:sz w:val="24"/>
        </w:rPr>
        <w:t>业务流程管理</w:t>
      </w:r>
      <w:r>
        <w:rPr>
          <w:rFonts w:hint="eastAsia" w:ascii="宋体" w:hAnsi="宋体" w:eastAsia="宋体" w:cs="宋体"/>
          <w:sz w:val="10"/>
        </w:rPr>
        <w:t>。</w:t>
      </w:r>
      <w:r>
        <w:rPr>
          <w:rFonts w:hint="eastAsia" w:ascii="宋体" w:hAnsi="宋体" w:eastAsia="宋体" w:cs="宋体"/>
          <w:sz w:val="24"/>
        </w:rPr>
        <w:t>业务流程的电子化编制</w:t>
      </w:r>
      <w:r>
        <w:rPr>
          <w:rFonts w:hint="eastAsia" w:ascii="宋体" w:hAnsi="宋体" w:eastAsia="宋体" w:cs="宋体"/>
          <w:sz w:val="10"/>
        </w:rPr>
        <w:t>、</w:t>
      </w:r>
      <w:r>
        <w:rPr>
          <w:rFonts w:hint="eastAsia" w:ascii="宋体" w:hAnsi="宋体" w:eastAsia="宋体" w:cs="宋体"/>
          <w:sz w:val="24"/>
        </w:rPr>
        <w:t>发布和流程运营</w:t>
      </w:r>
      <w:r>
        <w:rPr>
          <w:rFonts w:hint="eastAsia" w:ascii="宋体" w:hAnsi="宋体" w:eastAsia="宋体" w:cs="宋体"/>
          <w:sz w:val="10"/>
        </w:rPr>
        <w:t>。</w:t>
      </w:r>
      <w:r>
        <w:rPr>
          <w:rFonts w:hint="eastAsia" w:ascii="宋体" w:hAnsi="宋体" w:eastAsia="宋体" w:cs="宋体"/>
          <w:sz w:val="24"/>
        </w:rPr>
        <w:t>根据不同的业务类型可定义相应的审批流程</w:t>
      </w:r>
      <w:r>
        <w:rPr>
          <w:rFonts w:hint="eastAsia" w:ascii="宋体" w:hAnsi="宋体" w:eastAsia="宋体" w:cs="宋体"/>
          <w:sz w:val="10"/>
        </w:rPr>
        <w:t>。</w:t>
      </w:r>
      <w:r>
        <w:rPr>
          <w:rFonts w:hint="eastAsia" w:ascii="宋体" w:hAnsi="宋体" w:eastAsia="宋体" w:cs="宋体"/>
          <w:sz w:val="24"/>
        </w:rPr>
        <w:t>提供各类业务的流程模版</w:t>
      </w:r>
      <w:r>
        <w:rPr>
          <w:rFonts w:hint="eastAsia" w:ascii="宋体" w:hAnsi="宋体" w:eastAsia="宋体" w:cs="宋体"/>
          <w:sz w:val="10"/>
        </w:rPr>
        <w:t>，</w:t>
      </w:r>
      <w:r>
        <w:rPr>
          <w:rFonts w:hint="eastAsia" w:ascii="宋体" w:hAnsi="宋体" w:eastAsia="宋体" w:cs="宋体"/>
          <w:sz w:val="24"/>
        </w:rPr>
        <w:t>简化流程设置和使用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C.</w:t>
      </w:r>
      <w:r>
        <w:rPr>
          <w:rFonts w:hint="eastAsia" w:ascii="宋体" w:hAnsi="宋体" w:eastAsia="宋体" w:cs="宋体"/>
          <w:sz w:val="24"/>
        </w:rPr>
        <w:t>业务规则管理</w:t>
      </w:r>
      <w:r>
        <w:rPr>
          <w:rFonts w:hint="eastAsia" w:ascii="宋体" w:hAnsi="宋体" w:eastAsia="宋体" w:cs="宋体"/>
          <w:sz w:val="10"/>
        </w:rPr>
        <w:t>。</w:t>
      </w:r>
      <w:r>
        <w:rPr>
          <w:rFonts w:hint="eastAsia" w:ascii="宋体" w:hAnsi="宋体" w:eastAsia="宋体" w:cs="宋体"/>
          <w:sz w:val="24"/>
        </w:rPr>
        <w:t>提供可定义</w:t>
      </w:r>
      <w:r>
        <w:rPr>
          <w:rFonts w:hint="eastAsia" w:ascii="宋体" w:hAnsi="宋体" w:eastAsia="宋体" w:cs="宋体"/>
          <w:sz w:val="10"/>
        </w:rPr>
        <w:t>、</w:t>
      </w:r>
      <w:r>
        <w:rPr>
          <w:rFonts w:hint="eastAsia" w:ascii="宋体" w:hAnsi="宋体" w:eastAsia="宋体" w:cs="宋体"/>
          <w:sz w:val="24"/>
        </w:rPr>
        <w:t>可调整的业务规则定义</w:t>
      </w:r>
      <w:r>
        <w:rPr>
          <w:rFonts w:hint="eastAsia" w:ascii="宋体" w:hAnsi="宋体" w:eastAsia="宋体" w:cs="宋体"/>
          <w:sz w:val="10"/>
        </w:rPr>
        <w:t>。</w:t>
      </w:r>
      <w:r>
        <w:rPr>
          <w:rFonts w:hint="eastAsia" w:ascii="宋体" w:hAnsi="宋体" w:eastAsia="宋体" w:cs="宋体"/>
          <w:sz w:val="24"/>
        </w:rPr>
        <w:t>根据业务需要封装业务服务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580" w:firstLine="480"/>
        <w:jc w:val="both"/>
      </w:pPr>
      <w:r>
        <w:rPr>
          <w:rFonts w:hint="eastAsia" w:ascii="Times New Roman" w:hAnsi="Times New Roman" w:eastAsia="Times New Roman" w:cs="Times New Roman"/>
          <w:sz w:val="24"/>
        </w:rPr>
        <w:t>D.</w:t>
      </w:r>
      <w:r>
        <w:rPr>
          <w:rFonts w:hint="eastAsia" w:ascii="宋体" w:hAnsi="宋体" w:eastAsia="宋体" w:cs="宋体"/>
          <w:sz w:val="24"/>
        </w:rPr>
        <w:t>视频见证</w:t>
      </w:r>
      <w:r>
        <w:rPr>
          <w:rFonts w:hint="eastAsia" w:ascii="宋体" w:hAnsi="宋体" w:eastAsia="宋体" w:cs="宋体"/>
          <w:sz w:val="10"/>
        </w:rPr>
        <w:t>。</w:t>
      </w:r>
      <w:r>
        <w:rPr>
          <w:rFonts w:hint="eastAsia" w:ascii="宋体" w:hAnsi="宋体" w:eastAsia="宋体" w:cs="宋体"/>
          <w:sz w:val="24"/>
        </w:rPr>
        <w:t>通过实时视频对业务受理提供见证服务</w:t>
      </w:r>
      <w:r>
        <w:rPr>
          <w:rFonts w:hint="eastAsia" w:ascii="宋体" w:hAnsi="宋体" w:eastAsia="宋体" w:cs="宋体"/>
          <w:sz w:val="10"/>
        </w:rPr>
        <w:t>。</w:t>
      </w:r>
      <w:r>
        <w:rPr>
          <w:rFonts w:hint="eastAsia" w:ascii="宋体" w:hAnsi="宋体" w:eastAsia="宋体" w:cs="宋体"/>
          <w:sz w:val="24"/>
        </w:rPr>
        <w:t>提供视频排队</w:t>
      </w:r>
      <w:r>
        <w:rPr>
          <w:rFonts w:hint="eastAsia" w:ascii="宋体" w:hAnsi="宋体" w:eastAsia="宋体" w:cs="宋体"/>
          <w:sz w:val="10"/>
        </w:rPr>
        <w:t>，</w:t>
      </w:r>
      <w:r>
        <w:rPr>
          <w:rFonts w:hint="eastAsia" w:ascii="宋体" w:hAnsi="宋体" w:eastAsia="宋体" w:cs="宋体"/>
          <w:sz w:val="24"/>
        </w:rPr>
        <w:t>提供移动视频插件供前端使用</w:t>
      </w:r>
      <w:r>
        <w:rPr>
          <w:rFonts w:hint="eastAsia" w:ascii="宋体" w:hAnsi="宋体" w:eastAsia="宋体" w:cs="宋体"/>
          <w:sz w:val="10"/>
        </w:rPr>
        <w:t>。</w:t>
      </w:r>
      <w:r>
        <w:rPr>
          <w:rFonts w:hint="eastAsia" w:ascii="宋体" w:hAnsi="宋体" w:eastAsia="宋体" w:cs="宋体"/>
          <w:sz w:val="24"/>
        </w:rPr>
        <w:t>提供专用视频见证工作台</w:t>
      </w:r>
      <w:r>
        <w:rPr>
          <w:rFonts w:hint="eastAsia" w:ascii="宋体" w:hAnsi="宋体" w:eastAsia="宋体" w:cs="宋体"/>
          <w:sz w:val="10"/>
        </w:rPr>
        <w:t>。</w:t>
      </w:r>
      <w:r>
        <w:rPr>
          <w:rFonts w:hint="eastAsia" w:ascii="宋体" w:hAnsi="宋体" w:eastAsia="宋体" w:cs="宋体"/>
          <w:sz w:val="24"/>
        </w:rPr>
        <w:t>视频核心通过优化能适应各种网络环境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E.</w:t>
      </w:r>
      <w:r>
        <w:rPr>
          <w:rFonts w:hint="eastAsia" w:ascii="宋体" w:hAnsi="宋体" w:eastAsia="宋体" w:cs="宋体"/>
          <w:sz w:val="24"/>
        </w:rPr>
        <w:t>影像处理</w:t>
      </w:r>
      <w:r>
        <w:rPr>
          <w:rFonts w:hint="eastAsia" w:ascii="宋体" w:hAnsi="宋体" w:eastAsia="宋体" w:cs="宋体"/>
          <w:sz w:val="10"/>
        </w:rPr>
        <w:t>。</w:t>
      </w:r>
      <w:r>
        <w:rPr>
          <w:rFonts w:hint="eastAsia" w:ascii="宋体" w:hAnsi="宋体" w:eastAsia="宋体" w:cs="宋体"/>
          <w:sz w:val="24"/>
        </w:rPr>
        <w:t>支持业务影像采集</w:t>
      </w:r>
      <w:r>
        <w:rPr>
          <w:rFonts w:hint="eastAsia" w:ascii="宋体" w:hAnsi="宋体" w:eastAsia="宋体" w:cs="宋体"/>
          <w:sz w:val="10"/>
        </w:rPr>
        <w:t>、</w:t>
      </w:r>
      <w:r>
        <w:rPr>
          <w:rFonts w:hint="eastAsia" w:ascii="宋体" w:hAnsi="宋体" w:eastAsia="宋体" w:cs="宋体"/>
          <w:sz w:val="24"/>
        </w:rPr>
        <w:t>质检和归档</w:t>
      </w:r>
      <w:r>
        <w:rPr>
          <w:rFonts w:hint="eastAsia" w:ascii="宋体" w:hAnsi="宋体" w:eastAsia="宋体" w:cs="宋体"/>
          <w:sz w:val="10"/>
        </w:rPr>
        <w:t>。</w:t>
      </w:r>
      <w:r>
        <w:rPr>
          <w:rFonts w:hint="eastAsia" w:ascii="宋体" w:hAnsi="宋体" w:eastAsia="宋体" w:cs="宋体"/>
          <w:sz w:val="24"/>
        </w:rPr>
        <w:t>支持第三方影像系统的集成</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F.</w:t>
      </w:r>
      <w:r>
        <w:rPr>
          <w:rFonts w:hint="eastAsia" w:ascii="宋体" w:hAnsi="宋体" w:eastAsia="宋体" w:cs="宋体"/>
          <w:sz w:val="24"/>
        </w:rPr>
        <w:t>渠道管理</w:t>
      </w:r>
      <w:r>
        <w:rPr>
          <w:rFonts w:hint="eastAsia" w:ascii="宋体" w:hAnsi="宋体" w:eastAsia="宋体" w:cs="宋体"/>
          <w:sz w:val="10"/>
        </w:rPr>
        <w:t>。</w:t>
      </w:r>
      <w:r>
        <w:rPr>
          <w:rFonts w:hint="eastAsia" w:ascii="宋体" w:hAnsi="宋体" w:eastAsia="宋体" w:cs="宋体"/>
          <w:sz w:val="24"/>
        </w:rPr>
        <w:t>业务渠道统一管理</w:t>
      </w:r>
      <w:r>
        <w:rPr>
          <w:rFonts w:hint="eastAsia" w:ascii="宋体" w:hAnsi="宋体" w:eastAsia="宋体" w:cs="宋体"/>
          <w:sz w:val="10"/>
        </w:rPr>
        <w:t>，</w:t>
      </w:r>
      <w:r>
        <w:rPr>
          <w:rFonts w:hint="eastAsia" w:ascii="宋体" w:hAnsi="宋体" w:eastAsia="宋体" w:cs="宋体"/>
          <w:sz w:val="24"/>
        </w:rPr>
        <w:t>包括渠道的业务权限</w:t>
      </w:r>
      <w:r>
        <w:rPr>
          <w:rFonts w:hint="eastAsia" w:ascii="宋体" w:hAnsi="宋体" w:eastAsia="宋体" w:cs="宋体"/>
          <w:sz w:val="10"/>
        </w:rPr>
        <w:t>，</w:t>
      </w:r>
      <w:r>
        <w:rPr>
          <w:rFonts w:hint="eastAsia" w:ascii="宋体" w:hAnsi="宋体" w:eastAsia="宋体" w:cs="宋体"/>
          <w:sz w:val="24"/>
        </w:rPr>
        <w:t>隶属关系</w:t>
      </w:r>
      <w:r>
        <w:rPr>
          <w:rFonts w:hint="eastAsia" w:ascii="宋体" w:hAnsi="宋体" w:eastAsia="宋体" w:cs="宋体"/>
          <w:sz w:val="10"/>
        </w:rPr>
        <w:t>，</w:t>
      </w:r>
      <w:r>
        <w:rPr>
          <w:rFonts w:hint="eastAsia" w:ascii="宋体" w:hAnsi="宋体" w:eastAsia="宋体" w:cs="宋体"/>
          <w:sz w:val="24"/>
        </w:rPr>
        <w:t>业务流程规范等</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firstLine="480"/>
        <w:jc w:val="both"/>
      </w:pPr>
      <w:r>
        <w:rPr>
          <w:rFonts w:hint="eastAsia" w:ascii="Times New Roman" w:hAnsi="Times New Roman" w:eastAsia="Times New Roman" w:cs="Times New Roman"/>
          <w:sz w:val="24"/>
        </w:rPr>
        <w:t>G.</w:t>
      </w:r>
      <w:r>
        <w:rPr>
          <w:rFonts w:hint="eastAsia" w:ascii="宋体" w:hAnsi="宋体" w:eastAsia="宋体" w:cs="宋体"/>
          <w:sz w:val="24"/>
        </w:rPr>
        <w:t>接入平台</w:t>
      </w:r>
      <w:r>
        <w:rPr>
          <w:rFonts w:hint="eastAsia" w:ascii="宋体" w:hAnsi="宋体" w:eastAsia="宋体" w:cs="宋体"/>
          <w:sz w:val="10"/>
        </w:rPr>
        <w:t>。</w:t>
      </w:r>
      <w:r>
        <w:rPr>
          <w:rFonts w:hint="eastAsia" w:ascii="宋体" w:hAnsi="宋体" w:eastAsia="宋体" w:cs="宋体"/>
          <w:sz w:val="24"/>
        </w:rPr>
        <w:t>接入平台加载业务运营中台封装好的业务服务</w:t>
      </w:r>
      <w:r>
        <w:rPr>
          <w:rFonts w:hint="eastAsia" w:ascii="宋体" w:hAnsi="宋体" w:eastAsia="宋体" w:cs="宋体"/>
          <w:sz w:val="10"/>
        </w:rPr>
        <w:t>，</w:t>
      </w:r>
      <w:r>
        <w:rPr>
          <w:rFonts w:hint="eastAsia" w:ascii="宋体" w:hAnsi="宋体" w:eastAsia="宋体" w:cs="宋体"/>
          <w:sz w:val="24"/>
        </w:rPr>
        <w:t>提供数据加密</w:t>
      </w:r>
      <w:r>
        <w:rPr>
          <w:rFonts w:hint="eastAsia" w:ascii="宋体" w:hAnsi="宋体" w:eastAsia="宋体" w:cs="宋体"/>
          <w:sz w:val="10"/>
        </w:rPr>
        <w:t>、</w:t>
      </w:r>
      <w:r>
        <w:rPr>
          <w:rFonts w:hint="eastAsia" w:ascii="宋体" w:hAnsi="宋体" w:eastAsia="宋体" w:cs="宋体"/>
          <w:sz w:val="24"/>
        </w:rPr>
        <w:t>证书服务</w:t>
      </w:r>
      <w:r>
        <w:rPr>
          <w:rFonts w:hint="eastAsia" w:ascii="宋体" w:hAnsi="宋体" w:eastAsia="宋体" w:cs="宋体"/>
          <w:sz w:val="10"/>
        </w:rPr>
        <w:t>、</w:t>
      </w:r>
      <w:r>
        <w:rPr>
          <w:rFonts w:hint="eastAsia" w:ascii="宋体" w:hAnsi="宋体" w:eastAsia="宋体" w:cs="宋体"/>
          <w:sz w:val="24"/>
        </w:rPr>
        <w:t>流量控制</w:t>
      </w:r>
      <w:r>
        <w:rPr>
          <w:rFonts w:hint="eastAsia" w:ascii="宋体" w:hAnsi="宋体" w:eastAsia="宋体" w:cs="宋体"/>
          <w:sz w:val="10"/>
        </w:rPr>
        <w:t>、</w:t>
      </w:r>
      <w:r>
        <w:rPr>
          <w:rFonts w:hint="eastAsia" w:ascii="宋体" w:hAnsi="宋体" w:eastAsia="宋体" w:cs="宋体"/>
          <w:sz w:val="24"/>
        </w:rPr>
        <w:t>业务授权等安全接入手段</w:t>
      </w:r>
      <w:r>
        <w:rPr>
          <w:rFonts w:hint="eastAsia" w:ascii="宋体" w:hAnsi="宋体" w:eastAsia="宋体" w:cs="宋体"/>
          <w:sz w:val="10"/>
        </w:rPr>
        <w:t>。</w:t>
      </w:r>
      <w:r>
        <w:rPr>
          <w:rFonts w:hint="eastAsia" w:ascii="宋体" w:hAnsi="宋体" w:eastAsia="宋体" w:cs="宋体"/>
          <w:sz w:val="24"/>
        </w:rPr>
        <w:t>常见的接入终端包括</w:t>
      </w:r>
      <w:r>
        <w:rPr>
          <w:rFonts w:hint="eastAsia" w:ascii="宋体" w:hAnsi="宋体" w:eastAsia="宋体" w:cs="宋体"/>
          <w:sz w:val="10"/>
        </w:rPr>
        <w:t>：</w:t>
      </w:r>
      <w:r>
        <w:rPr>
          <w:rFonts w:hint="eastAsia" w:ascii="宋体" w:hAnsi="宋体" w:eastAsia="宋体" w:cs="宋体"/>
          <w:sz w:val="24"/>
        </w:rPr>
        <w:t>网上营业厅</w:t>
      </w:r>
      <w:r>
        <w:rPr>
          <w:rFonts w:hint="eastAsia" w:ascii="宋体" w:hAnsi="宋体" w:eastAsia="宋体" w:cs="宋体"/>
          <w:sz w:val="10"/>
        </w:rPr>
        <w:t>、</w:t>
      </w:r>
      <w:r>
        <w:rPr>
          <w:rFonts w:hint="eastAsia" w:ascii="宋体" w:hAnsi="宋体" w:eastAsia="宋体" w:cs="宋体"/>
          <w:sz w:val="24"/>
        </w:rPr>
        <w:t>移动展业</w:t>
      </w:r>
      <w:r>
        <w:rPr>
          <w:rFonts w:hint="eastAsia" w:ascii="宋体" w:hAnsi="宋体" w:eastAsia="宋体" w:cs="宋体"/>
          <w:sz w:val="10"/>
        </w:rPr>
        <w:t>、</w:t>
      </w:r>
      <w:r>
        <w:rPr>
          <w:rFonts w:hint="eastAsia" w:ascii="宋体" w:hAnsi="宋体" w:eastAsia="宋体" w:cs="宋体"/>
          <w:sz w:val="24"/>
        </w:rPr>
        <w:t>柜员作业终端等</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该产品目前在华泰证券</w:t>
      </w:r>
      <w:r>
        <w:rPr>
          <w:rFonts w:hint="eastAsia" w:ascii="宋体" w:hAnsi="宋体" w:eastAsia="宋体" w:cs="宋体"/>
          <w:sz w:val="10"/>
        </w:rPr>
        <w:t>、</w:t>
      </w:r>
      <w:r>
        <w:rPr>
          <w:rFonts w:hint="eastAsia" w:ascii="宋体" w:hAnsi="宋体" w:eastAsia="宋体" w:cs="宋体"/>
          <w:sz w:val="24"/>
        </w:rPr>
        <w:t>光大证券</w:t>
      </w:r>
      <w:r>
        <w:rPr>
          <w:rFonts w:hint="eastAsia" w:ascii="宋体" w:hAnsi="宋体" w:eastAsia="宋体" w:cs="宋体"/>
          <w:sz w:val="10"/>
        </w:rPr>
        <w:t>、</w:t>
      </w:r>
      <w:r>
        <w:rPr>
          <w:rFonts w:hint="eastAsia" w:ascii="宋体" w:hAnsi="宋体" w:eastAsia="宋体" w:cs="宋体"/>
          <w:sz w:val="24"/>
        </w:rPr>
        <w:t>东海证券</w:t>
      </w:r>
      <w:r>
        <w:rPr>
          <w:rFonts w:hint="eastAsia" w:ascii="宋体" w:hAnsi="宋体" w:eastAsia="宋体" w:cs="宋体"/>
          <w:sz w:val="10"/>
        </w:rPr>
        <w:t>、</w:t>
      </w:r>
      <w:r>
        <w:rPr>
          <w:rFonts w:hint="eastAsia" w:ascii="宋体" w:hAnsi="宋体" w:eastAsia="宋体" w:cs="宋体"/>
          <w:sz w:val="24"/>
        </w:rPr>
        <w:t>东吴证券等客户使用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②</w:t>
      </w:r>
      <w:r>
        <w:rPr>
          <w:rFonts w:hint="eastAsia" w:ascii="Times New Roman" w:hAnsi="Times New Roman" w:eastAsia="Times New Roman" w:cs="Times New Roman"/>
          <w:sz w:val="24"/>
        </w:rPr>
        <w:t xml:space="preserve"> CRM</w:t>
      </w:r>
      <w:r>
        <w:rPr>
          <w:rFonts w:hint="eastAsia" w:ascii="宋体" w:hAnsi="宋体" w:eastAsia="宋体" w:cs="宋体"/>
          <w:sz w:val="24"/>
        </w:rPr>
        <w:t xml:space="preserve"> 营销服务一体化平台</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营销服务一体化是能够实现金融类对营销</w:t>
      </w:r>
      <w:r>
        <w:rPr>
          <w:rFonts w:hint="eastAsia" w:ascii="宋体" w:hAnsi="宋体" w:eastAsia="宋体" w:cs="宋体"/>
          <w:sz w:val="10"/>
        </w:rPr>
        <w:t>、</w:t>
      </w:r>
      <w:r>
        <w:rPr>
          <w:rFonts w:hint="eastAsia" w:ascii="宋体" w:hAnsi="宋体" w:eastAsia="宋体" w:cs="宋体"/>
          <w:sz w:val="24"/>
        </w:rPr>
        <w:t>服务业务精细化管理和支持营销服务人员完成精准化营销与深度的客户服务的软件平台</w:t>
      </w:r>
      <w:r>
        <w:rPr>
          <w:rFonts w:hint="eastAsia" w:ascii="宋体" w:hAnsi="宋体" w:eastAsia="宋体" w:cs="宋体"/>
          <w:sz w:val="10"/>
        </w:rPr>
        <w:t>。</w:t>
      </w:r>
      <w:r>
        <w:rPr>
          <w:rFonts w:hint="eastAsia" w:ascii="宋体" w:hAnsi="宋体" w:eastAsia="宋体" w:cs="宋体"/>
          <w:sz w:val="24"/>
        </w:rPr>
        <w:t>结合金融行业的特征</w:t>
      </w:r>
      <w:r>
        <w:rPr>
          <w:rFonts w:hint="eastAsia" w:ascii="宋体" w:hAnsi="宋体" w:eastAsia="宋体" w:cs="宋体"/>
          <w:sz w:val="10"/>
        </w:rPr>
        <w:t>，</w:t>
      </w:r>
      <w:r>
        <w:rPr>
          <w:rFonts w:hint="eastAsia" w:ascii="宋体" w:hAnsi="宋体" w:eastAsia="宋体" w:cs="宋体"/>
          <w:sz w:val="24"/>
        </w:rPr>
        <w:t>对金融行业客户</w:t>
      </w:r>
      <w:r>
        <w:rPr>
          <w:rFonts w:hint="eastAsia" w:ascii="宋体" w:hAnsi="宋体" w:eastAsia="宋体" w:cs="宋体"/>
          <w:sz w:val="10"/>
        </w:rPr>
        <w:t>、</w:t>
      </w:r>
      <w:r>
        <w:rPr>
          <w:rFonts w:hint="eastAsia" w:ascii="宋体" w:hAnsi="宋体" w:eastAsia="宋体" w:cs="宋体"/>
          <w:sz w:val="24"/>
        </w:rPr>
        <w:t>产品</w:t>
      </w:r>
      <w:r>
        <w:rPr>
          <w:rFonts w:hint="eastAsia" w:ascii="宋体" w:hAnsi="宋体" w:eastAsia="宋体" w:cs="宋体"/>
          <w:sz w:val="10"/>
        </w:rPr>
        <w:t>、</w:t>
      </w:r>
      <w:r>
        <w:rPr>
          <w:rFonts w:hint="eastAsia" w:ascii="宋体" w:hAnsi="宋体" w:eastAsia="宋体" w:cs="宋体"/>
          <w:sz w:val="24"/>
        </w:rPr>
        <w:t>人员与业务关系进行专业的数据加工和流程信息化支持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企业管理人员通过系统可以实时了解服务过程情况和目标达成情况</w:t>
      </w:r>
      <w:r>
        <w:rPr>
          <w:rFonts w:hint="eastAsia" w:ascii="宋体" w:hAnsi="宋体" w:eastAsia="宋体" w:cs="宋体"/>
          <w:sz w:val="10"/>
        </w:rPr>
        <w:t>，</w:t>
      </w:r>
      <w:r>
        <w:rPr>
          <w:rFonts w:hint="eastAsia" w:ascii="宋体" w:hAnsi="宋体" w:eastAsia="宋体" w:cs="宋体"/>
          <w:sz w:val="24"/>
        </w:rPr>
        <w:t>掌握工作动态</w:t>
      </w:r>
      <w:r>
        <w:rPr>
          <w:rFonts w:hint="eastAsia" w:ascii="宋体" w:hAnsi="宋体" w:eastAsia="宋体" w:cs="宋体"/>
          <w:sz w:val="10"/>
        </w:rPr>
        <w:t>，</w:t>
      </w:r>
      <w:r>
        <w:rPr>
          <w:rFonts w:hint="eastAsia" w:ascii="宋体" w:hAnsi="宋体" w:eastAsia="宋体" w:cs="宋体"/>
          <w:sz w:val="24"/>
        </w:rPr>
        <w:t>显著提高管理效率</w:t>
      </w:r>
      <w:r>
        <w:rPr>
          <w:rFonts w:hint="eastAsia" w:ascii="宋体" w:hAnsi="宋体" w:eastAsia="宋体" w:cs="宋体"/>
          <w:sz w:val="10"/>
        </w:rPr>
        <w:t>。</w:t>
      </w:r>
      <w:r>
        <w:rPr>
          <w:rFonts w:hint="eastAsia" w:ascii="宋体" w:hAnsi="宋体" w:eastAsia="宋体" w:cs="宋体"/>
          <w:sz w:val="24"/>
        </w:rPr>
        <w:t>营销服务人员通过系统可以获得营销服务策略的引导</w:t>
      </w:r>
      <w:r>
        <w:rPr>
          <w:rFonts w:hint="eastAsia" w:ascii="宋体" w:hAnsi="宋体" w:eastAsia="宋体" w:cs="宋体"/>
          <w:sz w:val="10"/>
        </w:rPr>
        <w:t>，</w:t>
      </w:r>
      <w:r>
        <w:rPr>
          <w:rFonts w:hint="eastAsia" w:ascii="宋体" w:hAnsi="宋体" w:eastAsia="宋体" w:cs="宋体"/>
          <w:sz w:val="24"/>
        </w:rPr>
        <w:t>明确工作安排和推进</w:t>
      </w:r>
      <w:r>
        <w:rPr>
          <w:rFonts w:hint="eastAsia" w:ascii="宋体" w:hAnsi="宋体" w:eastAsia="宋体" w:cs="宋体"/>
          <w:sz w:val="10"/>
        </w:rPr>
        <w:t>，</w:t>
      </w:r>
      <w:r>
        <w:rPr>
          <w:rFonts w:hint="eastAsia" w:ascii="宋体" w:hAnsi="宋体" w:eastAsia="宋体" w:cs="宋体"/>
          <w:sz w:val="24"/>
        </w:rPr>
        <w:t>提高营销服务效率</w:t>
      </w:r>
      <w:r>
        <w:rPr>
          <w:rFonts w:hint="eastAsia" w:ascii="宋体" w:hAnsi="宋体" w:eastAsia="宋体" w:cs="宋体"/>
          <w:sz w:val="10"/>
        </w:rPr>
        <w:t>、</w:t>
      </w:r>
      <w:r>
        <w:rPr>
          <w:rFonts w:hint="eastAsia" w:ascii="宋体" w:hAnsi="宋体" w:eastAsia="宋体" w:cs="宋体"/>
          <w:sz w:val="24"/>
        </w:rPr>
        <w:t>满意度和业务推广成功率</w:t>
      </w:r>
      <w:r>
        <w:rPr>
          <w:rFonts w:hint="eastAsia" w:ascii="宋体" w:hAnsi="宋体" w:eastAsia="宋体" w:cs="宋体"/>
          <w:sz w:val="12"/>
        </w:rPr>
        <w:t>；</w:t>
      </w:r>
      <w:r>
        <w:rPr>
          <w:rFonts w:hint="eastAsia" w:ascii="宋体" w:hAnsi="宋体" w:eastAsia="宋体" w:cs="宋体"/>
          <w:sz w:val="24"/>
        </w:rPr>
        <w:t>该系统主要功能包括</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w:hAnsi="Times New Roman" w:eastAsia="Times New Roman" w:cs="Times New Roman"/>
          <w:sz w:val="24"/>
        </w:rPr>
        <w:t>A.</w:t>
      </w:r>
      <w:r>
        <w:rPr>
          <w:rFonts w:hint="eastAsia" w:ascii="宋体" w:hAnsi="宋体" w:eastAsia="宋体" w:cs="宋体"/>
          <w:sz w:val="24"/>
        </w:rPr>
        <w:t>客户管理</w:t>
      </w:r>
      <w:r>
        <w:rPr>
          <w:rFonts w:hint="eastAsia" w:ascii="宋体" w:hAnsi="宋体" w:eastAsia="宋体" w:cs="宋体"/>
          <w:sz w:val="10"/>
        </w:rPr>
        <w:t>。</w:t>
      </w:r>
      <w:r>
        <w:rPr>
          <w:rFonts w:hint="eastAsia" w:ascii="宋体" w:hAnsi="宋体" w:eastAsia="宋体" w:cs="宋体"/>
          <w:sz w:val="24"/>
        </w:rPr>
        <w:t>包括客户信息管理</w:t>
      </w:r>
      <w:r>
        <w:rPr>
          <w:rFonts w:hint="eastAsia" w:ascii="宋体" w:hAnsi="宋体" w:eastAsia="宋体" w:cs="宋体"/>
          <w:sz w:val="10"/>
        </w:rPr>
        <w:t>、</w:t>
      </w:r>
      <w:r>
        <w:rPr>
          <w:rFonts w:hint="eastAsia" w:ascii="宋体" w:hAnsi="宋体" w:eastAsia="宋体" w:cs="宋体"/>
          <w:sz w:val="24"/>
        </w:rPr>
        <w:t>客户特征指标加工和客户分级分类</w:t>
      </w:r>
      <w:r>
        <w:rPr>
          <w:rFonts w:hint="eastAsia" w:ascii="宋体" w:hAnsi="宋体" w:eastAsia="宋体" w:cs="宋体"/>
          <w:sz w:val="10"/>
        </w:rPr>
        <w:t>，</w:t>
      </w:r>
      <w:r>
        <w:rPr>
          <w:rFonts w:hint="eastAsia" w:ascii="宋体" w:hAnsi="宋体" w:eastAsia="宋体" w:cs="宋体"/>
          <w:sz w:val="24"/>
        </w:rPr>
        <w:t>提供</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1-1-145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潜在</w:t>
      </w:r>
      <w:r>
        <w:rPr>
          <w:rFonts w:hint="eastAsia" w:ascii="宋体" w:hAnsi="宋体" w:eastAsia="宋体" w:cs="宋体"/>
          <w:sz w:val="10"/>
        </w:rPr>
        <w:t>、</w:t>
      </w:r>
      <w:r>
        <w:rPr>
          <w:rFonts w:hint="eastAsia" w:ascii="宋体" w:hAnsi="宋体" w:eastAsia="宋体" w:cs="宋体"/>
          <w:sz w:val="24"/>
        </w:rPr>
        <w:t>签约</w:t>
      </w:r>
      <w:r>
        <w:rPr>
          <w:rFonts w:hint="eastAsia" w:ascii="宋体" w:hAnsi="宋体" w:eastAsia="宋体" w:cs="宋体"/>
          <w:sz w:val="10"/>
        </w:rPr>
        <w:t>、</w:t>
      </w:r>
      <w:r>
        <w:rPr>
          <w:rFonts w:hint="eastAsia" w:ascii="宋体" w:hAnsi="宋体" w:eastAsia="宋体" w:cs="宋体"/>
          <w:sz w:val="24"/>
        </w:rPr>
        <w:t>流失等客户全生命周期管理</w:t>
      </w:r>
      <w:r>
        <w:rPr>
          <w:rFonts w:hint="eastAsia" w:ascii="宋体" w:hAnsi="宋体" w:eastAsia="宋体" w:cs="宋体"/>
          <w:sz w:val="10"/>
        </w:rPr>
        <w:t>。</w:t>
      </w:r>
      <w:r>
        <w:rPr>
          <w:rFonts w:hint="eastAsia" w:ascii="宋体" w:hAnsi="宋体" w:eastAsia="宋体" w:cs="宋体"/>
          <w:sz w:val="24"/>
        </w:rPr>
        <w:t>对外提供</w:t>
      </w:r>
      <w:r>
        <w:rPr>
          <w:rFonts w:hint="eastAsia" w:ascii="Times New Roman" w:hAnsi="Times New Roman" w:eastAsia="Times New Roman" w:cs="Times New Roman"/>
          <w:sz w:val="24"/>
        </w:rPr>
        <w:t xml:space="preserve"> 360</w:t>
      </w:r>
      <w:r>
        <w:rPr>
          <w:rFonts w:hint="eastAsia" w:ascii="宋体" w:hAnsi="宋体" w:eastAsia="宋体" w:cs="宋体"/>
          <w:sz w:val="24"/>
        </w:rPr>
        <w:t xml:space="preserve"> 度客户视图</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40" w:firstLine="480"/>
        <w:jc w:val="both"/>
      </w:pPr>
      <w:r>
        <w:rPr>
          <w:rFonts w:hint="eastAsia" w:ascii="Times New Roman" w:hAnsi="Times New Roman" w:eastAsia="Times New Roman" w:cs="Times New Roman"/>
          <w:sz w:val="24"/>
        </w:rPr>
        <w:t>B.</w:t>
      </w:r>
      <w:r>
        <w:rPr>
          <w:rFonts w:hint="eastAsia" w:ascii="宋体" w:hAnsi="宋体" w:eastAsia="宋体" w:cs="宋体"/>
          <w:sz w:val="24"/>
        </w:rPr>
        <w:t>关系管理</w:t>
      </w:r>
      <w:r>
        <w:rPr>
          <w:rFonts w:hint="eastAsia" w:ascii="宋体" w:hAnsi="宋体" w:eastAsia="宋体" w:cs="宋体"/>
          <w:sz w:val="10"/>
        </w:rPr>
        <w:t>。</w:t>
      </w:r>
      <w:r>
        <w:rPr>
          <w:rFonts w:hint="eastAsia" w:ascii="宋体" w:hAnsi="宋体" w:eastAsia="宋体" w:cs="宋体"/>
          <w:sz w:val="24"/>
        </w:rPr>
        <w:t>客户的签约关系</w:t>
      </w:r>
      <w:r>
        <w:rPr>
          <w:rFonts w:hint="eastAsia" w:ascii="宋体" w:hAnsi="宋体" w:eastAsia="宋体" w:cs="宋体"/>
          <w:sz w:val="10"/>
        </w:rPr>
        <w:t>、</w:t>
      </w:r>
      <w:r>
        <w:rPr>
          <w:rFonts w:hint="eastAsia" w:ascii="宋体" w:hAnsi="宋体" w:eastAsia="宋体" w:cs="宋体"/>
          <w:sz w:val="24"/>
        </w:rPr>
        <w:t>经纪关系</w:t>
      </w:r>
      <w:r>
        <w:rPr>
          <w:rFonts w:hint="eastAsia" w:ascii="宋体" w:hAnsi="宋体" w:eastAsia="宋体" w:cs="宋体"/>
          <w:sz w:val="10"/>
        </w:rPr>
        <w:t>、</w:t>
      </w:r>
      <w:r>
        <w:rPr>
          <w:rFonts w:hint="eastAsia" w:ascii="宋体" w:hAnsi="宋体" w:eastAsia="宋体" w:cs="宋体"/>
          <w:sz w:val="24"/>
        </w:rPr>
        <w:t>服务关系和产品销售关系的关联</w:t>
      </w:r>
      <w:r>
        <w:rPr>
          <w:rFonts w:hint="eastAsia" w:ascii="宋体" w:hAnsi="宋体" w:eastAsia="宋体" w:cs="宋体"/>
          <w:sz w:val="10"/>
        </w:rPr>
        <w:t>、</w:t>
      </w:r>
      <w:r>
        <w:rPr>
          <w:rFonts w:hint="eastAsia" w:ascii="宋体" w:hAnsi="宋体" w:eastAsia="宋体" w:cs="宋体"/>
          <w:sz w:val="24"/>
        </w:rPr>
        <w:t>确认和变更管理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C.</w:t>
      </w:r>
      <w:r>
        <w:rPr>
          <w:rFonts w:hint="eastAsia" w:ascii="宋体" w:hAnsi="宋体" w:eastAsia="宋体" w:cs="宋体"/>
          <w:sz w:val="24"/>
        </w:rPr>
        <w:t>产品管理</w:t>
      </w:r>
      <w:r>
        <w:rPr>
          <w:rFonts w:hint="eastAsia" w:ascii="宋体" w:hAnsi="宋体" w:eastAsia="宋体" w:cs="宋体"/>
          <w:sz w:val="10"/>
        </w:rPr>
        <w:t>。</w:t>
      </w:r>
      <w:r>
        <w:rPr>
          <w:rFonts w:hint="eastAsia" w:ascii="宋体" w:hAnsi="宋体" w:eastAsia="宋体" w:cs="宋体"/>
          <w:sz w:val="24"/>
        </w:rPr>
        <w:t>包括产品的销售目录管理</w:t>
      </w:r>
      <w:r>
        <w:rPr>
          <w:rFonts w:hint="eastAsia" w:ascii="宋体" w:hAnsi="宋体" w:eastAsia="宋体" w:cs="宋体"/>
          <w:sz w:val="10"/>
        </w:rPr>
        <w:t>，</w:t>
      </w:r>
      <w:r>
        <w:rPr>
          <w:rFonts w:hint="eastAsia" w:ascii="宋体" w:hAnsi="宋体" w:eastAsia="宋体" w:cs="宋体"/>
          <w:sz w:val="24"/>
        </w:rPr>
        <w:t>产品定价和促销策略管理等内容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D.</w:t>
      </w:r>
      <w:r>
        <w:rPr>
          <w:rFonts w:hint="eastAsia" w:ascii="宋体" w:hAnsi="宋体" w:eastAsia="宋体" w:cs="宋体"/>
          <w:sz w:val="24"/>
        </w:rPr>
        <w:t>组织机构与人员管理</w:t>
      </w:r>
      <w:r>
        <w:rPr>
          <w:rFonts w:hint="eastAsia" w:ascii="宋体" w:hAnsi="宋体" w:eastAsia="宋体" w:cs="宋体"/>
          <w:sz w:val="10"/>
        </w:rPr>
        <w:t>。</w:t>
      </w:r>
      <w:r>
        <w:rPr>
          <w:rFonts w:hint="eastAsia" w:ascii="宋体" w:hAnsi="宋体" w:eastAsia="宋体" w:cs="宋体"/>
          <w:sz w:val="24"/>
        </w:rPr>
        <w:t>支持复杂的营销服务人员类型和职级管理</w:t>
      </w:r>
      <w:r>
        <w:rPr>
          <w:rFonts w:hint="eastAsia" w:ascii="宋体" w:hAnsi="宋体" w:eastAsia="宋体" w:cs="宋体"/>
          <w:sz w:val="10"/>
        </w:rPr>
        <w:t>，</w:t>
      </w:r>
      <w:r>
        <w:rPr>
          <w:rFonts w:hint="eastAsia" w:ascii="宋体" w:hAnsi="宋体" w:eastAsia="宋体" w:cs="宋体"/>
          <w:sz w:val="24"/>
        </w:rPr>
        <w:t>支持</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10"/>
        </w:rPr>
        <w:t>“</w:t>
      </w:r>
      <w:r>
        <w:rPr>
          <w:rFonts w:hint="eastAsia" w:ascii="宋体" w:hAnsi="宋体" w:eastAsia="宋体" w:cs="宋体"/>
          <w:sz w:val="24"/>
        </w:rPr>
        <w:t>集团总部</w:t>
      </w:r>
      <w:r>
        <w:rPr>
          <w:rFonts w:hint="eastAsia" w:ascii="Times New Roman" w:hAnsi="Times New Roman" w:eastAsia="Times New Roman" w:cs="Times New Roman"/>
          <w:sz w:val="24"/>
        </w:rPr>
        <w:t>—</w:t>
      </w:r>
      <w:r>
        <w:rPr>
          <w:rFonts w:hint="eastAsia" w:ascii="宋体" w:hAnsi="宋体" w:eastAsia="宋体" w:cs="宋体"/>
          <w:sz w:val="24"/>
        </w:rPr>
        <w:t>分公司</w:t>
      </w:r>
      <w:r>
        <w:rPr>
          <w:rFonts w:hint="eastAsia" w:ascii="Times New Roman" w:hAnsi="Times New Roman" w:eastAsia="Times New Roman" w:cs="Times New Roman"/>
          <w:sz w:val="24"/>
        </w:rPr>
        <w:t>—</w:t>
      </w:r>
      <w:r>
        <w:rPr>
          <w:rFonts w:hint="eastAsia" w:ascii="宋体" w:hAnsi="宋体" w:eastAsia="宋体" w:cs="宋体"/>
          <w:sz w:val="24"/>
        </w:rPr>
        <w:t>网点</w:t>
      </w:r>
      <w:r>
        <w:rPr>
          <w:rFonts w:hint="eastAsia" w:ascii="Times New Roman" w:hAnsi="Times New Roman" w:eastAsia="Times New Roman" w:cs="Times New Roman"/>
          <w:sz w:val="24"/>
        </w:rPr>
        <w:t>—</w:t>
      </w:r>
      <w:r>
        <w:rPr>
          <w:rFonts w:hint="eastAsia" w:ascii="宋体" w:hAnsi="宋体" w:eastAsia="宋体" w:cs="宋体"/>
          <w:sz w:val="24"/>
        </w:rPr>
        <w:t>轻型网点</w:t>
      </w:r>
      <w:r>
        <w:rPr>
          <w:rFonts w:hint="eastAsia" w:ascii="Times New Roman" w:hAnsi="Times New Roman" w:eastAsia="Times New Roman" w:cs="Times New Roman"/>
          <w:sz w:val="24"/>
        </w:rPr>
        <w:t>—</w:t>
      </w:r>
      <w:r>
        <w:rPr>
          <w:rFonts w:hint="eastAsia" w:ascii="宋体" w:hAnsi="宋体" w:eastAsia="宋体" w:cs="宋体"/>
          <w:sz w:val="24"/>
        </w:rPr>
        <w:t>团队</w:t>
      </w:r>
      <w:r>
        <w:rPr>
          <w:rFonts w:hint="eastAsia" w:ascii="宋体" w:hAnsi="宋体" w:eastAsia="宋体" w:cs="宋体"/>
          <w:sz w:val="10"/>
        </w:rPr>
        <w:t>”</w:t>
      </w:r>
      <w:r>
        <w:rPr>
          <w:rFonts w:hint="eastAsia" w:ascii="宋体" w:hAnsi="宋体" w:eastAsia="宋体" w:cs="宋体"/>
          <w:sz w:val="24"/>
        </w:rPr>
        <w:t>的多级管理体系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E.</w:t>
      </w:r>
      <w:r>
        <w:rPr>
          <w:rFonts w:hint="eastAsia" w:ascii="宋体" w:hAnsi="宋体" w:eastAsia="宋体" w:cs="宋体"/>
          <w:sz w:val="24"/>
        </w:rPr>
        <w:t>营销活动与任务</w:t>
      </w:r>
      <w:r>
        <w:rPr>
          <w:rFonts w:hint="eastAsia" w:ascii="宋体" w:hAnsi="宋体" w:eastAsia="宋体" w:cs="宋体"/>
          <w:sz w:val="10"/>
        </w:rPr>
        <w:t>。</w:t>
      </w:r>
      <w:r>
        <w:rPr>
          <w:rFonts w:hint="eastAsia" w:ascii="宋体" w:hAnsi="宋体" w:eastAsia="宋体" w:cs="宋体"/>
          <w:sz w:val="24"/>
        </w:rPr>
        <w:t>支持营销任务的生成</w:t>
      </w:r>
      <w:r>
        <w:rPr>
          <w:rFonts w:hint="eastAsia" w:ascii="宋体" w:hAnsi="宋体" w:eastAsia="宋体" w:cs="宋体"/>
          <w:sz w:val="10"/>
        </w:rPr>
        <w:t>、</w:t>
      </w:r>
      <w:r>
        <w:rPr>
          <w:rFonts w:hint="eastAsia" w:ascii="宋体" w:hAnsi="宋体" w:eastAsia="宋体" w:cs="宋体"/>
          <w:sz w:val="24"/>
        </w:rPr>
        <w:t>逐级下派与跟踪</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F.</w:t>
      </w:r>
      <w:r>
        <w:rPr>
          <w:rFonts w:hint="eastAsia" w:ascii="宋体" w:hAnsi="宋体" w:eastAsia="宋体" w:cs="宋体"/>
          <w:sz w:val="24"/>
        </w:rPr>
        <w:t>服务管理</w:t>
      </w:r>
      <w:r>
        <w:rPr>
          <w:rFonts w:hint="eastAsia" w:ascii="宋体" w:hAnsi="宋体" w:eastAsia="宋体" w:cs="宋体"/>
          <w:sz w:val="10"/>
        </w:rPr>
        <w:t>。</w:t>
      </w:r>
      <w:r>
        <w:rPr>
          <w:rFonts w:hint="eastAsia" w:ascii="宋体" w:hAnsi="宋体" w:eastAsia="宋体" w:cs="宋体"/>
          <w:sz w:val="24"/>
        </w:rPr>
        <w:t>客户服务的记录</w:t>
      </w:r>
      <w:r>
        <w:rPr>
          <w:rFonts w:hint="eastAsia" w:ascii="宋体" w:hAnsi="宋体" w:eastAsia="宋体" w:cs="宋体"/>
          <w:sz w:val="10"/>
        </w:rPr>
        <w:t>、</w:t>
      </w:r>
      <w:r>
        <w:rPr>
          <w:rFonts w:hint="eastAsia" w:ascii="宋体" w:hAnsi="宋体" w:eastAsia="宋体" w:cs="宋体"/>
          <w:sz w:val="24"/>
        </w:rPr>
        <w:t>检索和统计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20" w:firstLine="480"/>
        <w:jc w:val="both"/>
      </w:pPr>
      <w:r>
        <w:rPr>
          <w:rFonts w:hint="eastAsia" w:ascii="Times New Roman" w:hAnsi="Times New Roman" w:eastAsia="Times New Roman" w:cs="Times New Roman"/>
          <w:sz w:val="24"/>
        </w:rPr>
        <w:t>G.</w:t>
      </w:r>
      <w:r>
        <w:rPr>
          <w:rFonts w:hint="eastAsia" w:ascii="宋体" w:hAnsi="宋体" w:eastAsia="宋体" w:cs="宋体"/>
          <w:sz w:val="24"/>
        </w:rPr>
        <w:t>工作管理</w:t>
      </w:r>
      <w:r>
        <w:rPr>
          <w:rFonts w:hint="eastAsia" w:ascii="宋体" w:hAnsi="宋体" w:eastAsia="宋体" w:cs="宋体"/>
          <w:sz w:val="10"/>
        </w:rPr>
        <w:t>。</w:t>
      </w:r>
      <w:r>
        <w:rPr>
          <w:rFonts w:hint="eastAsia" w:ascii="宋体" w:hAnsi="宋体" w:eastAsia="宋体" w:cs="宋体"/>
          <w:sz w:val="24"/>
        </w:rPr>
        <w:t>通过后台数据处理</w:t>
      </w:r>
      <w:r>
        <w:rPr>
          <w:rFonts w:hint="eastAsia" w:ascii="宋体" w:hAnsi="宋体" w:eastAsia="宋体" w:cs="宋体"/>
          <w:sz w:val="10"/>
        </w:rPr>
        <w:t>，</w:t>
      </w:r>
      <w:r>
        <w:rPr>
          <w:rFonts w:hint="eastAsia" w:ascii="宋体" w:hAnsi="宋体" w:eastAsia="宋体" w:cs="宋体"/>
          <w:sz w:val="24"/>
        </w:rPr>
        <w:t>根据定义规则生成关键事件</w:t>
      </w:r>
      <w:r>
        <w:rPr>
          <w:rFonts w:hint="eastAsia" w:ascii="宋体" w:hAnsi="宋体" w:eastAsia="宋体" w:cs="宋体"/>
          <w:sz w:val="10"/>
        </w:rPr>
        <w:t>，</w:t>
      </w:r>
      <w:r>
        <w:rPr>
          <w:rFonts w:hint="eastAsia" w:ascii="宋体" w:hAnsi="宋体" w:eastAsia="宋体" w:cs="宋体"/>
          <w:sz w:val="24"/>
        </w:rPr>
        <w:t>推送到相关人员工作台进行后续服务处理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80" w:firstLine="480"/>
        <w:jc w:val="both"/>
      </w:pPr>
      <w:r>
        <w:rPr>
          <w:rFonts w:hint="eastAsia" w:ascii="Times New Roman" w:hAnsi="Times New Roman" w:eastAsia="Times New Roman" w:cs="Times New Roman"/>
          <w:sz w:val="24"/>
        </w:rPr>
        <w:t>H.</w:t>
      </w:r>
      <w:r>
        <w:rPr>
          <w:rFonts w:hint="eastAsia" w:ascii="宋体" w:hAnsi="宋体" w:eastAsia="宋体" w:cs="宋体"/>
          <w:sz w:val="24"/>
        </w:rPr>
        <w:t>薪酬绩效管理</w:t>
      </w:r>
      <w:r>
        <w:rPr>
          <w:rFonts w:hint="eastAsia" w:ascii="宋体" w:hAnsi="宋体" w:eastAsia="宋体" w:cs="宋体"/>
          <w:sz w:val="10"/>
        </w:rPr>
        <w:t>。</w:t>
      </w:r>
      <w:r>
        <w:rPr>
          <w:rFonts w:hint="eastAsia" w:ascii="宋体" w:hAnsi="宋体" w:eastAsia="宋体" w:cs="宋体"/>
          <w:sz w:val="24"/>
        </w:rPr>
        <w:t>支持复杂的薪酬计算</w:t>
      </w:r>
      <w:r>
        <w:rPr>
          <w:rFonts w:hint="eastAsia" w:ascii="宋体" w:hAnsi="宋体" w:eastAsia="宋体" w:cs="宋体"/>
          <w:sz w:val="10"/>
        </w:rPr>
        <w:t>，</w:t>
      </w:r>
      <w:r>
        <w:rPr>
          <w:rFonts w:hint="eastAsia" w:ascii="宋体" w:hAnsi="宋体" w:eastAsia="宋体" w:cs="宋体"/>
          <w:sz w:val="24"/>
        </w:rPr>
        <w:t>在产品</w:t>
      </w:r>
      <w:r>
        <w:rPr>
          <w:rFonts w:hint="eastAsia" w:ascii="宋体" w:hAnsi="宋体" w:eastAsia="宋体" w:cs="宋体"/>
          <w:sz w:val="10"/>
        </w:rPr>
        <w:t>、</w:t>
      </w:r>
      <w:r>
        <w:rPr>
          <w:rFonts w:hint="eastAsia" w:ascii="宋体" w:hAnsi="宋体" w:eastAsia="宋体" w:cs="宋体"/>
          <w:sz w:val="24"/>
        </w:rPr>
        <w:t>客户</w:t>
      </w:r>
      <w:r>
        <w:rPr>
          <w:rFonts w:hint="eastAsia" w:ascii="宋体" w:hAnsi="宋体" w:eastAsia="宋体" w:cs="宋体"/>
          <w:sz w:val="10"/>
        </w:rPr>
        <w:t>、</w:t>
      </w:r>
      <w:r>
        <w:rPr>
          <w:rFonts w:hint="eastAsia" w:ascii="宋体" w:hAnsi="宋体" w:eastAsia="宋体" w:cs="宋体"/>
          <w:sz w:val="24"/>
        </w:rPr>
        <w:t>销售人员</w:t>
      </w:r>
      <w:r>
        <w:rPr>
          <w:rFonts w:hint="eastAsia" w:ascii="宋体" w:hAnsi="宋体" w:eastAsia="宋体" w:cs="宋体"/>
          <w:sz w:val="10"/>
        </w:rPr>
        <w:t>、</w:t>
      </w:r>
      <w:r>
        <w:rPr>
          <w:rFonts w:hint="eastAsia" w:ascii="宋体" w:hAnsi="宋体" w:eastAsia="宋体" w:cs="宋体"/>
          <w:sz w:val="24"/>
        </w:rPr>
        <w:t>团队</w:t>
      </w:r>
      <w:r>
        <w:rPr>
          <w:rFonts w:hint="eastAsia" w:ascii="宋体" w:hAnsi="宋体" w:eastAsia="宋体" w:cs="宋体"/>
          <w:sz w:val="10"/>
        </w:rPr>
        <w:t>、</w:t>
      </w:r>
      <w:r>
        <w:rPr>
          <w:rFonts w:hint="eastAsia" w:ascii="宋体" w:hAnsi="宋体" w:eastAsia="宋体" w:cs="宋体"/>
          <w:sz w:val="24"/>
        </w:rPr>
        <w:t>部门</w:t>
      </w:r>
      <w:r>
        <w:rPr>
          <w:rFonts w:hint="eastAsia" w:ascii="宋体" w:hAnsi="宋体" w:eastAsia="宋体" w:cs="宋体"/>
          <w:sz w:val="10"/>
        </w:rPr>
        <w:t>、</w:t>
      </w:r>
      <w:r>
        <w:rPr>
          <w:rFonts w:hint="eastAsia" w:ascii="宋体" w:hAnsi="宋体" w:eastAsia="宋体" w:cs="宋体"/>
          <w:sz w:val="24"/>
        </w:rPr>
        <w:t>营业部各层面支持规则定义和逻辑计算</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I.</w:t>
      </w:r>
      <w:r>
        <w:rPr>
          <w:rFonts w:hint="eastAsia" w:ascii="宋体" w:hAnsi="宋体" w:eastAsia="宋体" w:cs="宋体"/>
          <w:sz w:val="24"/>
        </w:rPr>
        <w:t>数据指标处理</w:t>
      </w:r>
      <w:r>
        <w:rPr>
          <w:rFonts w:hint="eastAsia" w:ascii="宋体" w:hAnsi="宋体" w:eastAsia="宋体" w:cs="宋体"/>
          <w:sz w:val="10"/>
        </w:rPr>
        <w:t>。</w:t>
      </w:r>
      <w:r>
        <w:rPr>
          <w:rFonts w:hint="eastAsia" w:ascii="宋体" w:hAnsi="宋体" w:eastAsia="宋体" w:cs="宋体"/>
          <w:sz w:val="24"/>
        </w:rPr>
        <w:t>提供标准化的数据采集加工和存储</w:t>
      </w:r>
      <w:r>
        <w:rPr>
          <w:rFonts w:hint="eastAsia" w:ascii="宋体" w:hAnsi="宋体" w:eastAsia="宋体" w:cs="宋体"/>
          <w:sz w:val="10"/>
        </w:rPr>
        <w:t>，</w:t>
      </w:r>
      <w:r>
        <w:rPr>
          <w:rFonts w:hint="eastAsia" w:ascii="宋体" w:hAnsi="宋体" w:eastAsia="宋体" w:cs="宋体"/>
          <w:sz w:val="24"/>
        </w:rPr>
        <w:t>根据业务需求进行原始业务数据指标的加工处理</w:t>
      </w:r>
      <w:r>
        <w:rPr>
          <w:rFonts w:hint="eastAsia" w:ascii="宋体" w:hAnsi="宋体" w:eastAsia="宋体" w:cs="宋体"/>
          <w:sz w:val="10"/>
        </w:rPr>
        <w:t>。</w:t>
      </w:r>
      <w:r>
        <w:rPr>
          <w:rFonts w:hint="eastAsia" w:ascii="宋体" w:hAnsi="宋体" w:eastAsia="宋体" w:cs="宋体"/>
          <w:sz w:val="24"/>
        </w:rPr>
        <w:t>在统计分析</w:t>
      </w:r>
      <w:r>
        <w:rPr>
          <w:rFonts w:hint="eastAsia" w:ascii="宋体" w:hAnsi="宋体" w:eastAsia="宋体" w:cs="宋体"/>
          <w:sz w:val="10"/>
        </w:rPr>
        <w:t>、</w:t>
      </w:r>
      <w:r>
        <w:rPr>
          <w:rFonts w:hint="eastAsia" w:ascii="宋体" w:hAnsi="宋体" w:eastAsia="宋体" w:cs="宋体"/>
          <w:sz w:val="24"/>
        </w:rPr>
        <w:t>报表</w:t>
      </w:r>
      <w:r>
        <w:rPr>
          <w:rFonts w:hint="eastAsia" w:ascii="宋体" w:hAnsi="宋体" w:eastAsia="宋体" w:cs="宋体"/>
          <w:sz w:val="10"/>
        </w:rPr>
        <w:t>、</w:t>
      </w:r>
      <w:r>
        <w:rPr>
          <w:rFonts w:hint="eastAsia" w:ascii="宋体" w:hAnsi="宋体" w:eastAsia="宋体" w:cs="宋体"/>
          <w:sz w:val="24"/>
        </w:rPr>
        <w:t>绩效</w:t>
      </w:r>
      <w:r>
        <w:rPr>
          <w:rFonts w:hint="eastAsia" w:ascii="宋体" w:hAnsi="宋体" w:eastAsia="宋体" w:cs="宋体"/>
          <w:sz w:val="10"/>
        </w:rPr>
        <w:t>、</w:t>
      </w:r>
      <w:r>
        <w:rPr>
          <w:rFonts w:hint="eastAsia" w:ascii="宋体" w:hAnsi="宋体" w:eastAsia="宋体" w:cs="宋体"/>
          <w:sz w:val="24"/>
        </w:rPr>
        <w:t>薪酬等应用中使用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J.</w:t>
      </w:r>
      <w:r>
        <w:rPr>
          <w:rFonts w:hint="eastAsia" w:ascii="宋体" w:hAnsi="宋体" w:eastAsia="宋体" w:cs="宋体"/>
          <w:sz w:val="24"/>
        </w:rPr>
        <w:t>统计与报表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该系统在广发证券</w:t>
      </w:r>
      <w:r>
        <w:rPr>
          <w:rFonts w:hint="eastAsia" w:ascii="宋体" w:hAnsi="宋体" w:eastAsia="宋体" w:cs="宋体"/>
          <w:sz w:val="10"/>
        </w:rPr>
        <w:t>、</w:t>
      </w:r>
      <w:r>
        <w:rPr>
          <w:rFonts w:hint="eastAsia" w:ascii="宋体" w:hAnsi="宋体" w:eastAsia="宋体" w:cs="宋体"/>
          <w:sz w:val="24"/>
        </w:rPr>
        <w:t>光大证券</w:t>
      </w:r>
      <w:r>
        <w:rPr>
          <w:rFonts w:hint="eastAsia" w:ascii="宋体" w:hAnsi="宋体" w:eastAsia="宋体" w:cs="宋体"/>
          <w:sz w:val="10"/>
        </w:rPr>
        <w:t>、</w:t>
      </w:r>
      <w:r>
        <w:rPr>
          <w:rFonts w:hint="eastAsia" w:ascii="宋体" w:hAnsi="宋体" w:eastAsia="宋体" w:cs="宋体"/>
          <w:sz w:val="24"/>
        </w:rPr>
        <w:t>中泰证券等券商</w:t>
      </w:r>
      <w:r>
        <w:rPr>
          <w:rFonts w:hint="eastAsia" w:ascii="宋体" w:hAnsi="宋体" w:eastAsia="宋体" w:cs="宋体"/>
          <w:sz w:val="10"/>
        </w:rPr>
        <w:t>，</w:t>
      </w:r>
      <w:r>
        <w:rPr>
          <w:rFonts w:hint="eastAsia" w:ascii="宋体" w:hAnsi="宋体" w:eastAsia="宋体" w:cs="宋体"/>
          <w:sz w:val="24"/>
        </w:rPr>
        <w:t>中粮期货</w:t>
      </w:r>
      <w:r>
        <w:rPr>
          <w:rFonts w:hint="eastAsia" w:ascii="宋体" w:hAnsi="宋体" w:eastAsia="宋体" w:cs="宋体"/>
          <w:sz w:val="10"/>
        </w:rPr>
        <w:t>、</w:t>
      </w:r>
      <w:r>
        <w:rPr>
          <w:rFonts w:hint="eastAsia" w:ascii="宋体" w:hAnsi="宋体" w:eastAsia="宋体" w:cs="宋体"/>
          <w:sz w:val="24"/>
        </w:rPr>
        <w:t>广发期货</w:t>
      </w:r>
      <w:r>
        <w:rPr>
          <w:rFonts w:hint="eastAsia" w:ascii="宋体" w:hAnsi="宋体" w:eastAsia="宋体" w:cs="宋体"/>
          <w:sz w:val="10"/>
        </w:rPr>
        <w:t>、</w:t>
      </w:r>
      <w:r>
        <w:rPr>
          <w:rFonts w:hint="eastAsia" w:ascii="宋体" w:hAnsi="宋体" w:eastAsia="宋体" w:cs="宋体"/>
          <w:sz w:val="24"/>
        </w:rPr>
        <w:t>新湖期货等期货公司</w:t>
      </w:r>
      <w:r>
        <w:rPr>
          <w:rFonts w:hint="eastAsia" w:ascii="宋体" w:hAnsi="宋体" w:eastAsia="宋体" w:cs="宋体"/>
          <w:sz w:val="10"/>
        </w:rPr>
        <w:t>，</w:t>
      </w:r>
      <w:r>
        <w:rPr>
          <w:rFonts w:hint="eastAsia" w:ascii="宋体" w:hAnsi="宋体" w:eastAsia="宋体" w:cs="宋体"/>
          <w:sz w:val="24"/>
        </w:rPr>
        <w:t>恒天财富</w:t>
      </w:r>
      <w:r>
        <w:rPr>
          <w:rFonts w:hint="eastAsia" w:ascii="宋体" w:hAnsi="宋体" w:eastAsia="宋体" w:cs="宋体"/>
          <w:sz w:val="10"/>
        </w:rPr>
        <w:t>、</w:t>
      </w:r>
      <w:r>
        <w:rPr>
          <w:rFonts w:hint="eastAsia" w:ascii="宋体" w:hAnsi="宋体" w:eastAsia="宋体" w:cs="宋体"/>
          <w:sz w:val="24"/>
        </w:rPr>
        <w:t>民生财富等第三方财富管理公司使用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③产品中心系统</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产品中心解决方案提供产品引入管理</w:t>
      </w:r>
      <w:r>
        <w:rPr>
          <w:rFonts w:hint="eastAsia" w:ascii="宋体" w:hAnsi="宋体" w:eastAsia="宋体" w:cs="宋体"/>
          <w:sz w:val="10"/>
        </w:rPr>
        <w:t>、</w:t>
      </w:r>
      <w:r>
        <w:rPr>
          <w:rFonts w:hint="eastAsia" w:ascii="宋体" w:hAnsi="宋体" w:eastAsia="宋体" w:cs="宋体"/>
          <w:sz w:val="24"/>
        </w:rPr>
        <w:t>发行机构管理</w:t>
      </w:r>
      <w:r>
        <w:rPr>
          <w:rFonts w:hint="eastAsia" w:ascii="宋体" w:hAnsi="宋体" w:eastAsia="宋体" w:cs="宋体"/>
          <w:sz w:val="10"/>
        </w:rPr>
        <w:t>、</w:t>
      </w:r>
      <w:r>
        <w:rPr>
          <w:rFonts w:hint="eastAsia" w:ascii="宋体" w:hAnsi="宋体" w:eastAsia="宋体" w:cs="宋体"/>
          <w:sz w:val="24"/>
        </w:rPr>
        <w:t>产品库管理</w:t>
      </w:r>
      <w:r>
        <w:rPr>
          <w:rFonts w:hint="eastAsia" w:ascii="宋体" w:hAnsi="宋体" w:eastAsia="宋体" w:cs="宋体"/>
          <w:sz w:val="10"/>
        </w:rPr>
        <w:t>、</w:t>
      </w:r>
      <w:r>
        <w:rPr>
          <w:rFonts w:hint="eastAsia" w:ascii="宋体" w:hAnsi="宋体" w:eastAsia="宋体" w:cs="宋体"/>
          <w:sz w:val="24"/>
        </w:rPr>
        <w:t>产品检索</w:t>
      </w:r>
      <w:r>
        <w:rPr>
          <w:rFonts w:hint="eastAsia" w:ascii="宋体" w:hAnsi="宋体" w:eastAsia="宋体" w:cs="宋体"/>
          <w:sz w:val="10"/>
        </w:rPr>
        <w:t>、</w:t>
      </w:r>
      <w:r>
        <w:rPr>
          <w:rFonts w:hint="eastAsia" w:ascii="宋体" w:hAnsi="宋体" w:eastAsia="宋体" w:cs="宋体"/>
          <w:sz w:val="24"/>
        </w:rPr>
        <w:t>产品销售</w:t>
      </w:r>
      <w:r>
        <w:rPr>
          <w:rFonts w:hint="eastAsia" w:ascii="宋体" w:hAnsi="宋体" w:eastAsia="宋体" w:cs="宋体"/>
          <w:sz w:val="10"/>
        </w:rPr>
        <w:t>、</w:t>
      </w:r>
      <w:r>
        <w:rPr>
          <w:rFonts w:hint="eastAsia" w:ascii="宋体" w:hAnsi="宋体" w:eastAsia="宋体" w:cs="宋体"/>
          <w:sz w:val="24"/>
        </w:rPr>
        <w:t>产品统计</w:t>
      </w:r>
      <w:r>
        <w:rPr>
          <w:rFonts w:hint="eastAsia" w:ascii="宋体" w:hAnsi="宋体" w:eastAsia="宋体" w:cs="宋体"/>
          <w:sz w:val="10"/>
        </w:rPr>
        <w:t>、</w:t>
      </w:r>
      <w:r>
        <w:rPr>
          <w:rFonts w:hint="eastAsia" w:ascii="宋体" w:hAnsi="宋体" w:eastAsia="宋体" w:cs="宋体"/>
          <w:sz w:val="24"/>
        </w:rPr>
        <w:t>产品评价</w:t>
      </w:r>
      <w:r>
        <w:rPr>
          <w:rFonts w:hint="eastAsia" w:ascii="宋体" w:hAnsi="宋体" w:eastAsia="宋体" w:cs="宋体"/>
          <w:sz w:val="10"/>
        </w:rPr>
        <w:t>、</w:t>
      </w:r>
      <w:r>
        <w:rPr>
          <w:rFonts w:hint="eastAsia" w:ascii="宋体" w:hAnsi="宋体" w:eastAsia="宋体" w:cs="宋体"/>
          <w:sz w:val="24"/>
        </w:rPr>
        <w:t>产品适配管理</w:t>
      </w:r>
      <w:r>
        <w:rPr>
          <w:rFonts w:hint="eastAsia" w:ascii="宋体" w:hAnsi="宋体" w:eastAsia="宋体" w:cs="宋体"/>
          <w:sz w:val="10"/>
        </w:rPr>
        <w:t>、</w:t>
      </w:r>
      <w:r>
        <w:rPr>
          <w:rFonts w:hint="eastAsia" w:ascii="宋体" w:hAnsi="宋体" w:eastAsia="宋体" w:cs="宋体"/>
          <w:sz w:val="24"/>
        </w:rPr>
        <w:t>产品风险管理</w:t>
      </w:r>
      <w:r>
        <w:rPr>
          <w:rFonts w:hint="eastAsia" w:ascii="宋体" w:hAnsi="宋体" w:eastAsia="宋体" w:cs="宋体"/>
          <w:sz w:val="10"/>
        </w:rPr>
        <w:t>、</w:t>
      </w:r>
      <w:r>
        <w:rPr>
          <w:rFonts w:hint="eastAsia" w:ascii="宋体" w:hAnsi="宋体" w:eastAsia="宋体" w:cs="宋体"/>
          <w:sz w:val="24"/>
        </w:rPr>
        <w:t>适当性管理</w:t>
      </w:r>
      <w:r>
        <w:rPr>
          <w:rFonts w:hint="eastAsia" w:ascii="宋体" w:hAnsi="宋体" w:eastAsia="宋体" w:cs="宋体"/>
          <w:sz w:val="10"/>
        </w:rPr>
        <w:t>、</w:t>
      </w:r>
      <w:r>
        <w:rPr>
          <w:rFonts w:hint="eastAsia" w:ascii="宋体" w:hAnsi="宋体" w:eastAsia="宋体" w:cs="宋体"/>
          <w:sz w:val="24"/>
        </w:rPr>
        <w:t>权限控制等多项功能</w:t>
      </w:r>
      <w:r>
        <w:rPr>
          <w:rFonts w:hint="eastAsia" w:ascii="宋体" w:hAnsi="宋体" w:eastAsia="宋体" w:cs="宋体"/>
          <w:sz w:val="10"/>
        </w:rPr>
        <w:t>。</w:t>
      </w:r>
      <w:r>
        <w:rPr>
          <w:rFonts w:hint="eastAsia" w:ascii="宋体" w:hAnsi="宋体" w:eastAsia="宋体" w:cs="宋体"/>
          <w:sz w:val="24"/>
        </w:rPr>
        <w:t>该系统主要功能为</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A.</w:t>
      </w:r>
      <w:r>
        <w:rPr>
          <w:rFonts w:hint="eastAsia" w:ascii="宋体" w:hAnsi="宋体" w:eastAsia="宋体" w:cs="宋体"/>
          <w:sz w:val="24"/>
        </w:rPr>
        <w:t>产品引入</w:t>
      </w:r>
      <w:r>
        <w:rPr>
          <w:rFonts w:hint="eastAsia" w:ascii="宋体" w:hAnsi="宋体" w:eastAsia="宋体" w:cs="宋体"/>
          <w:sz w:val="10"/>
        </w:rPr>
        <w:t>。</w:t>
      </w:r>
      <w:r>
        <w:rPr>
          <w:rFonts w:hint="eastAsia" w:ascii="宋体" w:hAnsi="宋体" w:eastAsia="宋体" w:cs="宋体"/>
          <w:sz w:val="24"/>
        </w:rPr>
        <w:t>提供完整产品引入</w:t>
      </w:r>
      <w:r>
        <w:rPr>
          <w:rFonts w:hint="eastAsia" w:ascii="宋体" w:hAnsi="宋体" w:eastAsia="宋体" w:cs="宋体"/>
          <w:sz w:val="10"/>
        </w:rPr>
        <w:t>、</w:t>
      </w:r>
      <w:r>
        <w:rPr>
          <w:rFonts w:hint="eastAsia" w:ascii="宋体" w:hAnsi="宋体" w:eastAsia="宋体" w:cs="宋体"/>
          <w:sz w:val="24"/>
        </w:rPr>
        <w:t>申报</w:t>
      </w:r>
      <w:r>
        <w:rPr>
          <w:rFonts w:hint="eastAsia" w:ascii="宋体" w:hAnsi="宋体" w:eastAsia="宋体" w:cs="宋体"/>
          <w:sz w:val="10"/>
        </w:rPr>
        <w:t>、</w:t>
      </w:r>
      <w:r>
        <w:rPr>
          <w:rFonts w:hint="eastAsia" w:ascii="宋体" w:hAnsi="宋体" w:eastAsia="宋体" w:cs="宋体"/>
          <w:sz w:val="24"/>
        </w:rPr>
        <w:t>评估</w:t>
      </w:r>
      <w:r>
        <w:rPr>
          <w:rFonts w:hint="eastAsia" w:ascii="宋体" w:hAnsi="宋体" w:eastAsia="宋体" w:cs="宋体"/>
          <w:sz w:val="10"/>
        </w:rPr>
        <w:t>、</w:t>
      </w:r>
      <w:r>
        <w:rPr>
          <w:rFonts w:hint="eastAsia" w:ascii="宋体" w:hAnsi="宋体" w:eastAsia="宋体" w:cs="宋体"/>
          <w:sz w:val="24"/>
        </w:rPr>
        <w:t>上下架管理功能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Times New Roman" w:hAnsi="Times New Roman" w:eastAsia="Times New Roman" w:cs="Times New Roman"/>
          <w:sz w:val="24"/>
        </w:rPr>
        <w:t>B.</w:t>
      </w:r>
      <w:r>
        <w:rPr>
          <w:rFonts w:hint="eastAsia" w:ascii="宋体" w:hAnsi="宋体" w:eastAsia="宋体" w:cs="宋体"/>
          <w:sz w:val="24"/>
        </w:rPr>
        <w:t>发行机构管理</w:t>
      </w:r>
      <w:r>
        <w:rPr>
          <w:rFonts w:hint="eastAsia" w:ascii="宋体" w:hAnsi="宋体" w:eastAsia="宋体" w:cs="宋体"/>
          <w:sz w:val="10"/>
        </w:rPr>
        <w:t>。</w:t>
      </w:r>
      <w:r>
        <w:rPr>
          <w:rFonts w:hint="eastAsia" w:ascii="宋体" w:hAnsi="宋体" w:eastAsia="宋体" w:cs="宋体"/>
          <w:sz w:val="24"/>
        </w:rPr>
        <w:t>提供发行人准入申请</w:t>
      </w:r>
      <w:r>
        <w:rPr>
          <w:rFonts w:hint="eastAsia" w:ascii="宋体" w:hAnsi="宋体" w:eastAsia="宋体" w:cs="宋体"/>
          <w:sz w:val="10"/>
        </w:rPr>
        <w:t>、</w:t>
      </w:r>
      <w:r>
        <w:rPr>
          <w:rFonts w:hint="eastAsia" w:ascii="宋体" w:hAnsi="宋体" w:eastAsia="宋体" w:cs="宋体"/>
          <w:sz w:val="24"/>
        </w:rPr>
        <w:t>发行机构信息管理</w:t>
      </w:r>
      <w:r>
        <w:rPr>
          <w:rFonts w:hint="eastAsia" w:ascii="宋体" w:hAnsi="宋体" w:eastAsia="宋体" w:cs="宋体"/>
          <w:sz w:val="10"/>
        </w:rPr>
        <w:t>、</w:t>
      </w:r>
      <w:r>
        <w:rPr>
          <w:rFonts w:hint="eastAsia" w:ascii="宋体" w:hAnsi="宋体" w:eastAsia="宋体" w:cs="宋体"/>
          <w:sz w:val="24"/>
        </w:rPr>
        <w:t>机构黑白名单管理</w:t>
      </w:r>
      <w:r>
        <w:rPr>
          <w:rFonts w:hint="eastAsia" w:ascii="宋体" w:hAnsi="宋体" w:eastAsia="宋体" w:cs="宋体"/>
          <w:sz w:val="10"/>
        </w:rPr>
        <w:t>、</w:t>
      </w:r>
      <w:r>
        <w:rPr>
          <w:rFonts w:hint="eastAsia" w:ascii="宋体" w:hAnsi="宋体" w:eastAsia="宋体" w:cs="宋体"/>
          <w:sz w:val="24"/>
        </w:rPr>
        <w:t>引入产品总量控制</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1-1-146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Times New Roman" w:hAnsi="Times New Roman" w:eastAsia="Times New Roman" w:cs="Times New Roman"/>
          <w:sz w:val="24"/>
        </w:rPr>
        <w:t>C.</w:t>
      </w:r>
      <w:r>
        <w:rPr>
          <w:rFonts w:hint="eastAsia" w:ascii="宋体" w:hAnsi="宋体" w:eastAsia="宋体" w:cs="宋体"/>
          <w:sz w:val="24"/>
        </w:rPr>
        <w:t>产品库管理</w:t>
      </w:r>
      <w:r>
        <w:rPr>
          <w:rFonts w:hint="eastAsia" w:ascii="宋体" w:hAnsi="宋体" w:eastAsia="宋体" w:cs="宋体"/>
          <w:sz w:val="10"/>
        </w:rPr>
        <w:t>。</w:t>
      </w:r>
      <w:r>
        <w:rPr>
          <w:rFonts w:hint="eastAsia" w:ascii="宋体" w:hAnsi="宋体" w:eastAsia="宋体" w:cs="宋体"/>
          <w:sz w:val="24"/>
        </w:rPr>
        <w:t>围绕产品生命周期</w:t>
      </w:r>
      <w:r>
        <w:rPr>
          <w:rFonts w:hint="eastAsia" w:ascii="宋体" w:hAnsi="宋体" w:eastAsia="宋体" w:cs="宋体"/>
          <w:sz w:val="10"/>
        </w:rPr>
        <w:t>，</w:t>
      </w:r>
      <w:r>
        <w:rPr>
          <w:rFonts w:hint="eastAsia" w:ascii="宋体" w:hAnsi="宋体" w:eastAsia="宋体" w:cs="宋体"/>
          <w:sz w:val="24"/>
        </w:rPr>
        <w:t>进行相关信息</w:t>
      </w:r>
      <w:r>
        <w:rPr>
          <w:rFonts w:hint="eastAsia" w:ascii="宋体" w:hAnsi="宋体" w:eastAsia="宋体" w:cs="宋体"/>
          <w:sz w:val="10"/>
        </w:rPr>
        <w:t>、</w:t>
      </w:r>
      <w:r>
        <w:rPr>
          <w:rFonts w:hint="eastAsia" w:ascii="宋体" w:hAnsi="宋体" w:eastAsia="宋体" w:cs="宋体"/>
          <w:sz w:val="24"/>
        </w:rPr>
        <w:t>档案</w:t>
      </w:r>
      <w:r>
        <w:rPr>
          <w:rFonts w:hint="eastAsia" w:ascii="宋体" w:hAnsi="宋体" w:eastAsia="宋体" w:cs="宋体"/>
          <w:sz w:val="10"/>
        </w:rPr>
        <w:t>、</w:t>
      </w:r>
      <w:r>
        <w:rPr>
          <w:rFonts w:hint="eastAsia" w:ascii="宋体" w:hAnsi="宋体" w:eastAsia="宋体" w:cs="宋体"/>
          <w:sz w:val="24"/>
        </w:rPr>
        <w:t>参数</w:t>
      </w:r>
      <w:r>
        <w:rPr>
          <w:rFonts w:hint="eastAsia" w:ascii="宋体" w:hAnsi="宋体" w:eastAsia="宋体" w:cs="宋体"/>
          <w:sz w:val="10"/>
        </w:rPr>
        <w:t>、</w:t>
      </w:r>
      <w:r>
        <w:rPr>
          <w:rFonts w:hint="eastAsia" w:ascii="宋体" w:hAnsi="宋体" w:eastAsia="宋体" w:cs="宋体"/>
          <w:sz w:val="24"/>
        </w:rPr>
        <w:t>分类</w:t>
      </w:r>
      <w:r>
        <w:rPr>
          <w:rFonts w:hint="eastAsia" w:ascii="宋体" w:hAnsi="宋体" w:eastAsia="宋体" w:cs="宋体"/>
          <w:sz w:val="10"/>
        </w:rPr>
        <w:t>、</w:t>
      </w:r>
      <w:r>
        <w:rPr>
          <w:rFonts w:hint="eastAsia" w:ascii="宋体" w:hAnsi="宋体" w:eastAsia="宋体" w:cs="宋体"/>
          <w:sz w:val="24"/>
        </w:rPr>
        <w:t>披露等全面产品</w:t>
      </w:r>
      <w:r>
        <w:rPr>
          <w:rFonts w:hint="eastAsia" w:ascii="Times New Roman" w:hAnsi="Times New Roman" w:eastAsia="Times New Roman" w:cs="Times New Roman"/>
          <w:sz w:val="24"/>
        </w:rPr>
        <w:t xml:space="preserve"> 360</w:t>
      </w:r>
      <w:r>
        <w:rPr>
          <w:rFonts w:hint="eastAsia" w:ascii="宋体" w:hAnsi="宋体" w:eastAsia="宋体" w:cs="宋体"/>
          <w:sz w:val="24"/>
        </w:rPr>
        <w:t xml:space="preserve"> 度视图管理</w:t>
      </w:r>
      <w:r>
        <w:rPr>
          <w:rFonts w:hint="eastAsia" w:ascii="宋体" w:hAnsi="宋体" w:eastAsia="宋体" w:cs="宋体"/>
          <w:sz w:val="10"/>
        </w:rPr>
        <w:t>，</w:t>
      </w:r>
      <w:r>
        <w:rPr>
          <w:rFonts w:hint="eastAsia" w:ascii="宋体" w:hAnsi="宋体" w:eastAsia="宋体" w:cs="宋体"/>
          <w:sz w:val="24"/>
        </w:rPr>
        <w:t>提供灵活的产品检索功能</w:t>
      </w:r>
      <w:r>
        <w:rPr>
          <w:rFonts w:hint="eastAsia" w:ascii="宋体" w:hAnsi="宋体" w:eastAsia="宋体" w:cs="宋体"/>
          <w:sz w:val="10"/>
        </w:rPr>
        <w:t>，</w:t>
      </w:r>
      <w:r>
        <w:rPr>
          <w:rFonts w:hint="eastAsia" w:ascii="宋体" w:hAnsi="宋体" w:eastAsia="宋体" w:cs="宋体"/>
          <w:sz w:val="24"/>
        </w:rPr>
        <w:t>提供关键字模糊检索</w:t>
      </w:r>
      <w:r>
        <w:rPr>
          <w:rFonts w:hint="eastAsia" w:ascii="宋体" w:hAnsi="宋体" w:eastAsia="宋体" w:cs="宋体"/>
          <w:sz w:val="10"/>
        </w:rPr>
        <w:t>、</w:t>
      </w:r>
      <w:r>
        <w:rPr>
          <w:rFonts w:hint="eastAsia" w:ascii="宋体" w:hAnsi="宋体" w:eastAsia="宋体" w:cs="宋体"/>
          <w:sz w:val="24"/>
        </w:rPr>
        <w:t>产品销售台历</w:t>
      </w:r>
      <w:r>
        <w:rPr>
          <w:rFonts w:hint="eastAsia" w:ascii="宋体" w:hAnsi="宋体" w:eastAsia="宋体" w:cs="宋体"/>
          <w:sz w:val="10"/>
        </w:rPr>
        <w:t>、</w:t>
      </w:r>
      <w:r>
        <w:rPr>
          <w:rFonts w:hint="eastAsia" w:ascii="宋体" w:hAnsi="宋体" w:eastAsia="宋体" w:cs="宋体"/>
          <w:sz w:val="24"/>
        </w:rPr>
        <w:t>产品的状态检索</w:t>
      </w:r>
      <w:r>
        <w:rPr>
          <w:rFonts w:hint="eastAsia" w:ascii="宋体" w:hAnsi="宋体" w:eastAsia="宋体" w:cs="宋体"/>
          <w:sz w:val="10"/>
        </w:rPr>
        <w:t>、</w:t>
      </w:r>
      <w:r>
        <w:rPr>
          <w:rFonts w:hint="eastAsia" w:ascii="宋体" w:hAnsi="宋体" w:eastAsia="宋体" w:cs="宋体"/>
          <w:sz w:val="24"/>
        </w:rPr>
        <w:t>产品的属性检索</w:t>
      </w:r>
      <w:r>
        <w:rPr>
          <w:rFonts w:hint="eastAsia" w:ascii="宋体" w:hAnsi="宋体" w:eastAsia="宋体" w:cs="宋体"/>
          <w:sz w:val="10"/>
        </w:rPr>
        <w:t>、</w:t>
      </w:r>
      <w:r>
        <w:rPr>
          <w:rFonts w:hint="eastAsia" w:ascii="宋体" w:hAnsi="宋体" w:eastAsia="宋体" w:cs="宋体"/>
          <w:sz w:val="24"/>
        </w:rPr>
        <w:t>智能筛选等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D.</w:t>
      </w:r>
      <w:r>
        <w:rPr>
          <w:rFonts w:hint="eastAsia" w:ascii="宋体" w:hAnsi="宋体" w:eastAsia="宋体" w:cs="宋体"/>
          <w:sz w:val="24"/>
        </w:rPr>
        <w:t>产品销售</w:t>
      </w:r>
      <w:r>
        <w:rPr>
          <w:rFonts w:hint="eastAsia" w:ascii="宋体" w:hAnsi="宋体" w:eastAsia="宋体" w:cs="宋体"/>
          <w:sz w:val="10"/>
        </w:rPr>
        <w:t>。</w:t>
      </w:r>
      <w:r>
        <w:rPr>
          <w:rFonts w:hint="eastAsia" w:ascii="宋体" w:hAnsi="宋体" w:eastAsia="宋体" w:cs="宋体"/>
          <w:sz w:val="24"/>
        </w:rPr>
        <w:t>通过渠道</w:t>
      </w:r>
      <w:r>
        <w:rPr>
          <w:rFonts w:hint="eastAsia" w:ascii="宋体" w:hAnsi="宋体" w:eastAsia="宋体" w:cs="宋体"/>
          <w:sz w:val="10"/>
        </w:rPr>
        <w:t>、</w:t>
      </w:r>
      <w:r>
        <w:rPr>
          <w:rFonts w:hint="eastAsia" w:ascii="宋体" w:hAnsi="宋体" w:eastAsia="宋体" w:cs="宋体"/>
          <w:sz w:val="24"/>
        </w:rPr>
        <w:t>任务</w:t>
      </w:r>
      <w:r>
        <w:rPr>
          <w:rFonts w:hint="eastAsia" w:ascii="宋体" w:hAnsi="宋体" w:eastAsia="宋体" w:cs="宋体"/>
          <w:sz w:val="10"/>
        </w:rPr>
        <w:t>、</w:t>
      </w:r>
      <w:r>
        <w:rPr>
          <w:rFonts w:hint="eastAsia" w:ascii="宋体" w:hAnsi="宋体" w:eastAsia="宋体" w:cs="宋体"/>
          <w:sz w:val="24"/>
        </w:rPr>
        <w:t>机会的管理</w:t>
      </w:r>
      <w:r>
        <w:rPr>
          <w:rFonts w:hint="eastAsia" w:ascii="宋体" w:hAnsi="宋体" w:eastAsia="宋体" w:cs="宋体"/>
          <w:sz w:val="10"/>
        </w:rPr>
        <w:t>，</w:t>
      </w:r>
      <w:r>
        <w:rPr>
          <w:rFonts w:hint="eastAsia" w:ascii="宋体" w:hAnsi="宋体" w:eastAsia="宋体" w:cs="宋体"/>
          <w:sz w:val="24"/>
        </w:rPr>
        <w:t>依据销售目标</w:t>
      </w:r>
      <w:r>
        <w:rPr>
          <w:rFonts w:hint="eastAsia" w:ascii="宋体" w:hAnsi="宋体" w:eastAsia="宋体" w:cs="宋体"/>
          <w:sz w:val="10"/>
        </w:rPr>
        <w:t>，</w:t>
      </w:r>
      <w:r>
        <w:rPr>
          <w:rFonts w:hint="eastAsia" w:ascii="宋体" w:hAnsi="宋体" w:eastAsia="宋体" w:cs="宋体"/>
          <w:sz w:val="24"/>
        </w:rPr>
        <w:t>支持产品逐级销售任务管理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E.</w:t>
      </w:r>
      <w:r>
        <w:rPr>
          <w:rFonts w:hint="eastAsia" w:ascii="宋体" w:hAnsi="宋体" w:eastAsia="宋体" w:cs="宋体"/>
          <w:sz w:val="24"/>
        </w:rPr>
        <w:t>产品统计</w:t>
      </w:r>
      <w:r>
        <w:rPr>
          <w:rFonts w:hint="eastAsia" w:ascii="宋体" w:hAnsi="宋体" w:eastAsia="宋体" w:cs="宋体"/>
          <w:sz w:val="10"/>
        </w:rPr>
        <w:t>。</w:t>
      </w:r>
      <w:r>
        <w:rPr>
          <w:rFonts w:hint="eastAsia" w:ascii="宋体" w:hAnsi="宋体" w:eastAsia="宋体" w:cs="宋体"/>
          <w:sz w:val="24"/>
        </w:rPr>
        <w:t>主要实现产品相关信息的统计</w:t>
      </w:r>
      <w:r>
        <w:rPr>
          <w:rFonts w:hint="eastAsia" w:ascii="宋体" w:hAnsi="宋体" w:eastAsia="宋体" w:cs="宋体"/>
          <w:sz w:val="10"/>
        </w:rPr>
        <w:t>，</w:t>
      </w:r>
      <w:r>
        <w:rPr>
          <w:rFonts w:hint="eastAsia" w:ascii="宋体" w:hAnsi="宋体" w:eastAsia="宋体" w:cs="宋体"/>
          <w:sz w:val="24"/>
        </w:rPr>
        <w:t>在客户认可以及数据可采集情况下</w:t>
      </w:r>
      <w:r>
        <w:rPr>
          <w:rFonts w:hint="eastAsia" w:ascii="宋体" w:hAnsi="宋体" w:eastAsia="宋体" w:cs="宋体"/>
          <w:sz w:val="10"/>
        </w:rPr>
        <w:t>，</w:t>
      </w:r>
      <w:r>
        <w:rPr>
          <w:rFonts w:hint="eastAsia" w:ascii="宋体" w:hAnsi="宋体" w:eastAsia="宋体" w:cs="宋体"/>
          <w:sz w:val="24"/>
        </w:rPr>
        <w:t>可提供产品销售相关统计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Times New Roman" w:hAnsi="Times New Roman" w:eastAsia="Times New Roman" w:cs="Times New Roman"/>
          <w:sz w:val="24"/>
        </w:rPr>
        <w:t>F.</w:t>
      </w:r>
      <w:r>
        <w:rPr>
          <w:rFonts w:hint="eastAsia" w:ascii="宋体" w:hAnsi="宋体" w:eastAsia="宋体" w:cs="宋体"/>
          <w:sz w:val="24"/>
        </w:rPr>
        <w:t>产品适配管理</w:t>
      </w:r>
      <w:r>
        <w:rPr>
          <w:rFonts w:hint="eastAsia" w:ascii="宋体" w:hAnsi="宋体" w:eastAsia="宋体" w:cs="宋体"/>
          <w:sz w:val="10"/>
        </w:rPr>
        <w:t>。</w:t>
      </w:r>
      <w:r>
        <w:rPr>
          <w:rFonts w:hint="eastAsia" w:ascii="宋体" w:hAnsi="宋体" w:eastAsia="宋体" w:cs="宋体"/>
          <w:sz w:val="24"/>
        </w:rPr>
        <w:t>通过对产品推荐策略设置</w:t>
      </w:r>
      <w:r>
        <w:rPr>
          <w:rFonts w:hint="eastAsia" w:ascii="宋体" w:hAnsi="宋体" w:eastAsia="宋体" w:cs="宋体"/>
          <w:sz w:val="10"/>
        </w:rPr>
        <w:t>，</w:t>
      </w:r>
      <w:r>
        <w:rPr>
          <w:rFonts w:hint="eastAsia" w:ascii="宋体" w:hAnsi="宋体" w:eastAsia="宋体" w:cs="宋体"/>
          <w:sz w:val="24"/>
        </w:rPr>
        <w:t>可对接外部系统</w:t>
      </w:r>
      <w:r>
        <w:rPr>
          <w:rFonts w:hint="eastAsia" w:ascii="宋体" w:hAnsi="宋体" w:eastAsia="宋体" w:cs="宋体"/>
          <w:sz w:val="10"/>
        </w:rPr>
        <w:t>，</w:t>
      </w:r>
      <w:r>
        <w:rPr>
          <w:rFonts w:hint="eastAsia" w:ascii="宋体" w:hAnsi="宋体" w:eastAsia="宋体" w:cs="宋体"/>
          <w:sz w:val="24"/>
        </w:rPr>
        <w:t>实现产品策略性精准营销</w:t>
      </w:r>
      <w:r>
        <w:rPr>
          <w:rFonts w:hint="eastAsia" w:ascii="宋体" w:hAnsi="宋体" w:eastAsia="宋体" w:cs="宋体"/>
          <w:sz w:val="12"/>
        </w:rPr>
        <w:t>；</w:t>
      </w:r>
      <w:r>
        <w:rPr>
          <w:rFonts w:hint="eastAsia" w:ascii="宋体" w:hAnsi="宋体" w:eastAsia="宋体" w:cs="宋体"/>
          <w:sz w:val="24"/>
        </w:rPr>
        <w:t>同时还提供推荐算法配置</w:t>
      </w:r>
      <w:r>
        <w:rPr>
          <w:rFonts w:hint="eastAsia" w:ascii="宋体" w:hAnsi="宋体" w:eastAsia="宋体" w:cs="宋体"/>
          <w:sz w:val="10"/>
        </w:rPr>
        <w:t>，</w:t>
      </w:r>
      <w:r>
        <w:rPr>
          <w:rFonts w:hint="eastAsia" w:ascii="宋体" w:hAnsi="宋体" w:eastAsia="宋体" w:cs="宋体"/>
          <w:sz w:val="24"/>
        </w:rPr>
        <w:t>推荐策略管理</w:t>
      </w:r>
      <w:r>
        <w:rPr>
          <w:rFonts w:hint="eastAsia" w:ascii="宋体" w:hAnsi="宋体" w:eastAsia="宋体" w:cs="宋体"/>
          <w:sz w:val="10"/>
        </w:rPr>
        <w:t>，</w:t>
      </w:r>
      <w:r>
        <w:rPr>
          <w:rFonts w:hint="eastAsia" w:ascii="宋体" w:hAnsi="宋体" w:eastAsia="宋体" w:cs="宋体"/>
          <w:sz w:val="24"/>
        </w:rPr>
        <w:t>产品投资类型设置</w:t>
      </w:r>
      <w:r>
        <w:rPr>
          <w:rFonts w:hint="eastAsia" w:ascii="宋体" w:hAnsi="宋体" w:eastAsia="宋体" w:cs="宋体"/>
          <w:sz w:val="10"/>
        </w:rPr>
        <w:t>，</w:t>
      </w:r>
      <w:r>
        <w:rPr>
          <w:rFonts w:hint="eastAsia" w:ascii="宋体" w:hAnsi="宋体" w:eastAsia="宋体" w:cs="宋体"/>
          <w:sz w:val="24"/>
        </w:rPr>
        <w:t>适配统计分析等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G.</w:t>
      </w:r>
      <w:r>
        <w:rPr>
          <w:rFonts w:hint="eastAsia" w:ascii="宋体" w:hAnsi="宋体" w:eastAsia="宋体" w:cs="宋体"/>
          <w:sz w:val="24"/>
        </w:rPr>
        <w:t>适当性管理</w:t>
      </w:r>
      <w:r>
        <w:rPr>
          <w:rFonts w:hint="eastAsia" w:ascii="宋体" w:hAnsi="宋体" w:eastAsia="宋体" w:cs="宋体"/>
          <w:sz w:val="10"/>
        </w:rPr>
        <w:t>。</w:t>
      </w:r>
      <w:r>
        <w:rPr>
          <w:rFonts w:hint="eastAsia" w:ascii="宋体" w:hAnsi="宋体" w:eastAsia="宋体" w:cs="宋体"/>
          <w:sz w:val="24"/>
        </w:rPr>
        <w:t>主要是针对产品销售过程提供风险认定以及适当性控制方面功能</w:t>
      </w:r>
      <w:r>
        <w:rPr>
          <w:rFonts w:hint="eastAsia" w:ascii="宋体" w:hAnsi="宋体" w:eastAsia="宋体" w:cs="宋体"/>
          <w:sz w:val="10"/>
        </w:rPr>
        <w:t>。</w:t>
      </w:r>
      <w:r>
        <w:rPr>
          <w:rFonts w:hint="eastAsia" w:ascii="宋体" w:hAnsi="宋体" w:eastAsia="宋体" w:cs="宋体"/>
          <w:sz w:val="24"/>
        </w:rPr>
        <w:t>功能包括证券产品相关问卷</w:t>
      </w:r>
      <w:r>
        <w:rPr>
          <w:rFonts w:hint="eastAsia" w:ascii="宋体" w:hAnsi="宋体" w:eastAsia="宋体" w:cs="宋体"/>
          <w:sz w:val="10"/>
        </w:rPr>
        <w:t>、</w:t>
      </w:r>
      <w:r>
        <w:rPr>
          <w:rFonts w:hint="eastAsia" w:ascii="宋体" w:hAnsi="宋体" w:eastAsia="宋体" w:cs="宋体"/>
          <w:sz w:val="24"/>
        </w:rPr>
        <w:t>评分标准等</w:t>
      </w:r>
      <w:r>
        <w:rPr>
          <w:rFonts w:hint="eastAsia" w:ascii="宋体" w:hAnsi="宋体" w:eastAsia="宋体" w:cs="宋体"/>
          <w:sz w:val="10"/>
        </w:rPr>
        <w:t>，</w:t>
      </w:r>
      <w:r>
        <w:rPr>
          <w:rFonts w:hint="eastAsia" w:ascii="宋体" w:hAnsi="宋体" w:eastAsia="宋体" w:cs="宋体"/>
          <w:sz w:val="24"/>
        </w:rPr>
        <w:t>以方便产品销售人员进行适当性销售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该系统在中证机构间报价系统股份有限公司</w:t>
      </w:r>
      <w:r>
        <w:rPr>
          <w:rFonts w:hint="eastAsia" w:ascii="宋体" w:hAnsi="宋体" w:eastAsia="宋体" w:cs="宋体"/>
          <w:sz w:val="10"/>
        </w:rPr>
        <w:t>、</w:t>
      </w:r>
      <w:r>
        <w:rPr>
          <w:rFonts w:hint="eastAsia" w:ascii="宋体" w:hAnsi="宋体" w:eastAsia="宋体" w:cs="宋体"/>
          <w:sz w:val="24"/>
        </w:rPr>
        <w:t>海通证券</w:t>
      </w:r>
      <w:r>
        <w:rPr>
          <w:rFonts w:hint="eastAsia" w:ascii="宋体" w:hAnsi="宋体" w:eastAsia="宋体" w:cs="宋体"/>
          <w:sz w:val="10"/>
        </w:rPr>
        <w:t>、</w:t>
      </w:r>
      <w:r>
        <w:rPr>
          <w:rFonts w:hint="eastAsia" w:ascii="宋体" w:hAnsi="宋体" w:eastAsia="宋体" w:cs="宋体"/>
          <w:sz w:val="24"/>
        </w:rPr>
        <w:t>广发证券</w:t>
      </w:r>
      <w:r>
        <w:rPr>
          <w:rFonts w:hint="eastAsia" w:ascii="宋体" w:hAnsi="宋体" w:eastAsia="宋体" w:cs="宋体"/>
          <w:sz w:val="10"/>
        </w:rPr>
        <w:t>、</w:t>
      </w:r>
      <w:r>
        <w:rPr>
          <w:rFonts w:hint="eastAsia" w:ascii="宋体" w:hAnsi="宋体" w:eastAsia="宋体" w:cs="宋体"/>
          <w:sz w:val="24"/>
        </w:rPr>
        <w:t>银河证券等客户使用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④专项业务支持系统</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根据业务的需要对专项业务提供信息化支持</w:t>
      </w:r>
      <w:r>
        <w:rPr>
          <w:rFonts w:hint="eastAsia" w:ascii="宋体" w:hAnsi="宋体" w:eastAsia="宋体" w:cs="宋体"/>
          <w:sz w:val="10"/>
        </w:rPr>
        <w:t>。</w:t>
      </w:r>
      <w:r>
        <w:rPr>
          <w:rFonts w:hint="eastAsia" w:ascii="宋体" w:hAnsi="宋体" w:eastAsia="宋体" w:cs="宋体"/>
          <w:sz w:val="24"/>
        </w:rPr>
        <w:t>在中台营销服务一体化基础上进行扩展</w:t>
      </w:r>
      <w:r>
        <w:rPr>
          <w:rFonts w:hint="eastAsia" w:ascii="宋体" w:hAnsi="宋体" w:eastAsia="宋体" w:cs="宋体"/>
          <w:sz w:val="10"/>
        </w:rPr>
        <w:t>，</w:t>
      </w:r>
      <w:r>
        <w:rPr>
          <w:rFonts w:hint="eastAsia" w:ascii="宋体" w:hAnsi="宋体" w:eastAsia="宋体" w:cs="宋体"/>
          <w:sz w:val="24"/>
        </w:rPr>
        <w:t>满足证券公司等客户的个性化需求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A.</w:t>
      </w:r>
      <w:r>
        <w:rPr>
          <w:rFonts w:hint="eastAsia" w:ascii="宋体" w:hAnsi="宋体" w:eastAsia="宋体" w:cs="宋体"/>
          <w:sz w:val="24"/>
        </w:rPr>
        <w:t>经纪人业务支持系统</w:t>
      </w:r>
      <w:r>
        <w:rPr>
          <w:rFonts w:hint="eastAsia" w:ascii="宋体" w:hAnsi="宋体" w:eastAsia="宋体" w:cs="宋体"/>
          <w:sz w:val="10"/>
        </w:rPr>
        <w:t>。</w:t>
      </w:r>
      <w:r>
        <w:rPr>
          <w:rFonts w:hint="eastAsia" w:ascii="宋体" w:hAnsi="宋体" w:eastAsia="宋体" w:cs="宋体"/>
          <w:sz w:val="24"/>
        </w:rPr>
        <w:t>针对经纪人的入职等核心业务流程提供电子化支持</w:t>
      </w:r>
      <w:r>
        <w:rPr>
          <w:rFonts w:hint="eastAsia" w:ascii="宋体" w:hAnsi="宋体" w:eastAsia="宋体" w:cs="宋体"/>
          <w:sz w:val="10"/>
        </w:rPr>
        <w:t>。</w:t>
      </w:r>
      <w:r>
        <w:rPr>
          <w:rFonts w:hint="eastAsia" w:ascii="宋体" w:hAnsi="宋体" w:eastAsia="宋体" w:cs="宋体"/>
          <w:sz w:val="24"/>
        </w:rPr>
        <w:t>通过系统对经纪人服务客户的过程进行记录</w:t>
      </w:r>
      <w:r>
        <w:rPr>
          <w:rFonts w:hint="eastAsia" w:ascii="宋体" w:hAnsi="宋体" w:eastAsia="宋体" w:cs="宋体"/>
          <w:sz w:val="10"/>
        </w:rPr>
        <w:t>。</w:t>
      </w:r>
      <w:r>
        <w:rPr>
          <w:rFonts w:hint="eastAsia" w:ascii="宋体" w:hAnsi="宋体" w:eastAsia="宋体" w:cs="宋体"/>
          <w:sz w:val="24"/>
        </w:rPr>
        <w:t>通过数据分析监控经纪人业务风险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B.</w:t>
      </w:r>
      <w:r>
        <w:rPr>
          <w:rFonts w:hint="eastAsia" w:ascii="宋体" w:hAnsi="宋体" w:eastAsia="宋体" w:cs="宋体"/>
          <w:sz w:val="24"/>
        </w:rPr>
        <w:t>投资顾问业务支持系统</w:t>
      </w:r>
      <w:r>
        <w:rPr>
          <w:rFonts w:hint="eastAsia" w:ascii="宋体" w:hAnsi="宋体" w:eastAsia="宋体" w:cs="宋体"/>
          <w:sz w:val="10"/>
        </w:rPr>
        <w:t>。</w:t>
      </w:r>
      <w:r>
        <w:rPr>
          <w:rFonts w:hint="eastAsia" w:ascii="宋体" w:hAnsi="宋体" w:eastAsia="宋体" w:cs="宋体"/>
          <w:sz w:val="24"/>
        </w:rPr>
        <w:t>对投资顾问人员的签约</w:t>
      </w:r>
      <w:r>
        <w:rPr>
          <w:rFonts w:hint="eastAsia" w:ascii="宋体" w:hAnsi="宋体" w:eastAsia="宋体" w:cs="宋体"/>
          <w:sz w:val="10"/>
        </w:rPr>
        <w:t>，</w:t>
      </w:r>
      <w:r>
        <w:rPr>
          <w:rFonts w:hint="eastAsia" w:ascii="宋体" w:hAnsi="宋体" w:eastAsia="宋体" w:cs="宋体"/>
          <w:sz w:val="24"/>
        </w:rPr>
        <w:t>服务产品的生成过程提供支持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C.</w:t>
      </w:r>
      <w:r>
        <w:rPr>
          <w:rFonts w:hint="eastAsia" w:ascii="宋体" w:hAnsi="宋体" w:eastAsia="宋体" w:cs="宋体"/>
          <w:sz w:val="24"/>
        </w:rPr>
        <w:t>财富管理业务支持系统</w:t>
      </w:r>
      <w:r>
        <w:rPr>
          <w:rFonts w:hint="eastAsia" w:ascii="宋体" w:hAnsi="宋体" w:eastAsia="宋体" w:cs="宋体"/>
          <w:sz w:val="10"/>
        </w:rPr>
        <w:t>。</w:t>
      </w:r>
      <w:r>
        <w:rPr>
          <w:rFonts w:hint="eastAsia" w:ascii="宋体" w:hAnsi="宋体" w:eastAsia="宋体" w:cs="宋体"/>
          <w:sz w:val="24"/>
        </w:rPr>
        <w:t>贯穿财富管理四部螺旋工作法</w:t>
      </w:r>
      <w:r>
        <w:rPr>
          <w:rFonts w:hint="eastAsia" w:ascii="宋体" w:hAnsi="宋体" w:eastAsia="宋体" w:cs="宋体"/>
          <w:sz w:val="10"/>
        </w:rPr>
        <w:t>，</w:t>
      </w:r>
      <w:r>
        <w:rPr>
          <w:rFonts w:hint="eastAsia" w:ascii="宋体" w:hAnsi="宋体" w:eastAsia="宋体" w:cs="宋体"/>
          <w:sz w:val="24"/>
        </w:rPr>
        <w:t>围绕财富管理的客户识别流程</w:t>
      </w:r>
      <w:r>
        <w:rPr>
          <w:rFonts w:hint="eastAsia" w:ascii="宋体" w:hAnsi="宋体" w:eastAsia="宋体" w:cs="宋体"/>
          <w:sz w:val="10"/>
        </w:rPr>
        <w:t>、</w:t>
      </w:r>
      <w:r>
        <w:rPr>
          <w:rFonts w:hint="eastAsia" w:ascii="宋体" w:hAnsi="宋体" w:eastAsia="宋体" w:cs="宋体"/>
          <w:sz w:val="24"/>
        </w:rPr>
        <w:t>产品配置与销售</w:t>
      </w:r>
      <w:r>
        <w:rPr>
          <w:rFonts w:hint="eastAsia" w:ascii="宋体" w:hAnsi="宋体" w:eastAsia="宋体" w:cs="宋体"/>
          <w:sz w:val="10"/>
        </w:rPr>
        <w:t>、</w:t>
      </w:r>
      <w:r>
        <w:rPr>
          <w:rFonts w:hint="eastAsia" w:ascii="宋体" w:hAnsi="宋体" w:eastAsia="宋体" w:cs="宋体"/>
          <w:sz w:val="24"/>
        </w:rPr>
        <w:t>财富规划</w:t>
      </w:r>
      <w:r>
        <w:rPr>
          <w:rFonts w:hint="eastAsia" w:ascii="宋体" w:hAnsi="宋体" w:eastAsia="宋体" w:cs="宋体"/>
          <w:sz w:val="10"/>
        </w:rPr>
        <w:t>、</w:t>
      </w:r>
      <w:r>
        <w:rPr>
          <w:rFonts w:hint="eastAsia" w:ascii="宋体" w:hAnsi="宋体" w:eastAsia="宋体" w:cs="宋体"/>
          <w:sz w:val="24"/>
        </w:rPr>
        <w:t>账户检视和日常管理等工作</w:t>
      </w:r>
      <w:r>
        <w:rPr>
          <w:rFonts w:hint="eastAsia" w:ascii="宋体" w:hAnsi="宋体" w:eastAsia="宋体" w:cs="宋体"/>
          <w:sz w:val="10"/>
        </w:rPr>
        <w:t>，</w:t>
      </w:r>
      <w:r>
        <w:rPr>
          <w:rFonts w:hint="eastAsia" w:ascii="宋体" w:hAnsi="宋体" w:eastAsia="宋体" w:cs="宋体"/>
          <w:sz w:val="24"/>
        </w:rPr>
        <w:t>为财富顾问日常工作提供支持</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1-1-147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该产品在长江证券</w:t>
      </w:r>
      <w:r>
        <w:rPr>
          <w:rFonts w:hint="eastAsia" w:ascii="宋体" w:hAnsi="宋体" w:eastAsia="宋体" w:cs="宋体"/>
          <w:sz w:val="10"/>
        </w:rPr>
        <w:t>、</w:t>
      </w:r>
      <w:r>
        <w:rPr>
          <w:rFonts w:hint="eastAsia" w:ascii="宋体" w:hAnsi="宋体" w:eastAsia="宋体" w:cs="宋体"/>
          <w:sz w:val="24"/>
        </w:rPr>
        <w:t>东北证券</w:t>
      </w:r>
      <w:r>
        <w:rPr>
          <w:rFonts w:hint="eastAsia" w:ascii="宋体" w:hAnsi="宋体" w:eastAsia="宋体" w:cs="宋体"/>
          <w:sz w:val="10"/>
        </w:rPr>
        <w:t>、</w:t>
      </w:r>
      <w:r>
        <w:rPr>
          <w:rFonts w:hint="eastAsia" w:ascii="宋体" w:hAnsi="宋体" w:eastAsia="宋体" w:cs="宋体"/>
          <w:sz w:val="24"/>
        </w:rPr>
        <w:t>广发证券</w:t>
      </w:r>
      <w:r>
        <w:rPr>
          <w:rFonts w:hint="eastAsia" w:ascii="宋体" w:hAnsi="宋体" w:eastAsia="宋体" w:cs="宋体"/>
          <w:sz w:val="10"/>
        </w:rPr>
        <w:t>、</w:t>
      </w:r>
      <w:r>
        <w:rPr>
          <w:rFonts w:hint="eastAsia" w:ascii="宋体" w:hAnsi="宋体" w:eastAsia="宋体" w:cs="宋体"/>
          <w:sz w:val="24"/>
        </w:rPr>
        <w:t>东海证券等客户使用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）后台基础运营支持系统解决方案</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①大规模集中交易系统</w:t>
      </w:r>
    </w:p>
    <w:p>
      <w:pPr>
        <w:spacing w:line="200" w:lineRule="exact"/>
        <w:rPr>
          <w:rFonts w:hint="eastAsia" w:ascii="宋体" w:hAnsi="宋体" w:eastAsia="宋体" w:cs="宋体"/>
          <w:sz w:val="20"/>
        </w:rPr>
      </w:pPr>
    </w:p>
    <w:p>
      <w:pPr>
        <w:autoSpaceDE w:val="false"/>
        <w:autoSpaceDN w:val="false"/>
        <w:spacing w:line="440" w:lineRule="exact"/>
        <w:ind w:left="1800" w:right="1580" w:firstLine="480"/>
        <w:jc w:val="both"/>
      </w:pPr>
      <w:r>
        <w:rPr>
          <w:rFonts w:hint="eastAsia" w:ascii="宋体" w:hAnsi="宋体" w:eastAsia="宋体" w:cs="宋体"/>
          <w:sz w:val="24"/>
        </w:rPr>
        <w:t>大规模集中交易系统采用</w:t>
      </w:r>
      <w:r>
        <w:rPr>
          <w:rFonts w:hint="eastAsia" w:ascii="宋体" w:hAnsi="宋体" w:eastAsia="宋体" w:cs="宋体"/>
          <w:sz w:val="10"/>
        </w:rPr>
        <w:t>“</w:t>
      </w:r>
      <w:r>
        <w:rPr>
          <w:rFonts w:hint="eastAsia" w:ascii="宋体" w:hAnsi="宋体" w:eastAsia="宋体" w:cs="宋体"/>
          <w:sz w:val="24"/>
        </w:rPr>
        <w:t>小核心大外延</w:t>
      </w:r>
      <w:r>
        <w:rPr>
          <w:rFonts w:hint="eastAsia" w:ascii="宋体" w:hAnsi="宋体" w:eastAsia="宋体" w:cs="宋体"/>
          <w:sz w:val="10"/>
        </w:rPr>
        <w:t>”</w:t>
      </w:r>
      <w:r>
        <w:rPr>
          <w:rFonts w:hint="eastAsia" w:ascii="宋体" w:hAnsi="宋体" w:eastAsia="宋体" w:cs="宋体"/>
          <w:sz w:val="24"/>
        </w:rPr>
        <w:t>设计</w:t>
      </w:r>
      <w:r>
        <w:rPr>
          <w:rFonts w:hint="eastAsia" w:ascii="宋体" w:hAnsi="宋体" w:eastAsia="宋体" w:cs="宋体"/>
          <w:sz w:val="10"/>
        </w:rPr>
        <w:t>，</w:t>
      </w:r>
      <w:r>
        <w:rPr>
          <w:rFonts w:hint="eastAsia" w:ascii="宋体" w:hAnsi="宋体" w:eastAsia="宋体" w:cs="宋体"/>
          <w:sz w:val="24"/>
        </w:rPr>
        <w:t>支持的业务品种包括</w:t>
      </w:r>
      <w:r>
        <w:rPr>
          <w:rFonts w:hint="eastAsia" w:ascii="Times New Roman" w:hAnsi="Times New Roman" w:eastAsia="Times New Roman" w:cs="Times New Roman"/>
          <w:sz w:val="24"/>
        </w:rPr>
        <w:t xml:space="preserve"> A</w:t>
      </w:r>
      <w:r>
        <w:rPr>
          <w:rFonts w:hint="eastAsia" w:ascii="宋体" w:hAnsi="宋体" w:eastAsia="宋体" w:cs="宋体"/>
          <w:sz w:val="24"/>
        </w:rPr>
        <w:t>股</w:t>
      </w:r>
      <w:r>
        <w:rPr>
          <w:rFonts w:hint="eastAsia" w:ascii="宋体" w:hAnsi="宋体" w:eastAsia="宋体" w:cs="宋体"/>
          <w:sz w:val="10"/>
        </w:rPr>
        <w:t>、</w:t>
      </w:r>
      <w:r>
        <w:rPr>
          <w:rFonts w:hint="eastAsia" w:ascii="Times New Roman" w:hAnsi="Times New Roman" w:eastAsia="Times New Roman" w:cs="Times New Roman"/>
          <w:sz w:val="24"/>
        </w:rPr>
        <w:t>B</w:t>
      </w:r>
      <w:r>
        <w:rPr>
          <w:rFonts w:hint="eastAsia" w:ascii="宋体" w:hAnsi="宋体" w:eastAsia="宋体" w:cs="宋体"/>
          <w:sz w:val="24"/>
        </w:rPr>
        <w:t xml:space="preserve"> 股</w:t>
      </w:r>
      <w:r>
        <w:rPr>
          <w:rFonts w:hint="eastAsia" w:ascii="宋体" w:hAnsi="宋体" w:eastAsia="宋体" w:cs="宋体"/>
          <w:sz w:val="10"/>
        </w:rPr>
        <w:t>、</w:t>
      </w:r>
      <w:r>
        <w:rPr>
          <w:rFonts w:hint="eastAsia" w:ascii="宋体" w:hAnsi="宋体" w:eastAsia="宋体" w:cs="宋体"/>
          <w:sz w:val="24"/>
        </w:rPr>
        <w:t>三板</w:t>
      </w:r>
      <w:r>
        <w:rPr>
          <w:rFonts w:hint="eastAsia" w:ascii="宋体" w:hAnsi="宋体" w:eastAsia="宋体" w:cs="宋体"/>
          <w:sz w:val="10"/>
        </w:rPr>
        <w:t>、</w:t>
      </w:r>
      <w:r>
        <w:rPr>
          <w:rFonts w:hint="eastAsia" w:ascii="宋体" w:hAnsi="宋体" w:eastAsia="宋体" w:cs="宋体"/>
          <w:sz w:val="24"/>
        </w:rPr>
        <w:t>港股通</w:t>
      </w:r>
      <w:r>
        <w:rPr>
          <w:rFonts w:hint="eastAsia" w:ascii="宋体" w:hAnsi="宋体" w:eastAsia="宋体" w:cs="宋体"/>
          <w:sz w:val="10"/>
        </w:rPr>
        <w:t>、</w:t>
      </w:r>
      <w:r>
        <w:rPr>
          <w:rFonts w:hint="eastAsia" w:ascii="宋体" w:hAnsi="宋体" w:eastAsia="宋体" w:cs="宋体"/>
          <w:sz w:val="24"/>
        </w:rPr>
        <w:t>融资融券等全品种</w:t>
      </w:r>
      <w:r>
        <w:rPr>
          <w:rFonts w:hint="eastAsia" w:ascii="宋体" w:hAnsi="宋体" w:eastAsia="宋体" w:cs="宋体"/>
          <w:sz w:val="10"/>
        </w:rPr>
        <w:t>，</w:t>
      </w:r>
      <w:r>
        <w:rPr>
          <w:rFonts w:hint="eastAsia" w:ascii="宋体" w:hAnsi="宋体" w:eastAsia="宋体" w:cs="宋体"/>
          <w:sz w:val="24"/>
        </w:rPr>
        <w:t>其主要功能包括</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Times New Roman" w:hAnsi="Times New Roman" w:eastAsia="Times New Roman" w:cs="Times New Roman"/>
          <w:sz w:val="24"/>
        </w:rPr>
        <w:t>A.</w:t>
      </w:r>
      <w:r>
        <w:rPr>
          <w:rFonts w:hint="eastAsia" w:ascii="宋体" w:hAnsi="宋体" w:eastAsia="宋体" w:cs="宋体"/>
          <w:sz w:val="24"/>
        </w:rPr>
        <w:t>账户管理中心</w:t>
      </w:r>
      <w:r>
        <w:rPr>
          <w:rFonts w:hint="eastAsia" w:ascii="宋体" w:hAnsi="宋体" w:eastAsia="宋体" w:cs="宋体"/>
          <w:sz w:val="10"/>
        </w:rPr>
        <w:t>。</w:t>
      </w:r>
      <w:r>
        <w:rPr>
          <w:rFonts w:hint="eastAsia" w:ascii="宋体" w:hAnsi="宋体" w:eastAsia="宋体" w:cs="宋体"/>
          <w:sz w:val="24"/>
        </w:rPr>
        <w:t>与统一账户管理配合完成交易账户管理</w:t>
      </w:r>
      <w:r>
        <w:rPr>
          <w:rFonts w:hint="eastAsia" w:ascii="宋体" w:hAnsi="宋体" w:eastAsia="宋体" w:cs="宋体"/>
          <w:sz w:val="10"/>
        </w:rPr>
        <w:t>，</w:t>
      </w:r>
      <w:r>
        <w:rPr>
          <w:rFonts w:hint="eastAsia" w:ascii="宋体" w:hAnsi="宋体" w:eastAsia="宋体" w:cs="宋体"/>
          <w:sz w:val="24"/>
        </w:rPr>
        <w:t>包括交易账户开通</w:t>
      </w:r>
      <w:r>
        <w:rPr>
          <w:rFonts w:hint="eastAsia" w:ascii="宋体" w:hAnsi="宋体" w:eastAsia="宋体" w:cs="宋体"/>
          <w:sz w:val="10"/>
        </w:rPr>
        <w:t>、</w:t>
      </w:r>
      <w:r>
        <w:rPr>
          <w:rFonts w:hint="eastAsia" w:ascii="宋体" w:hAnsi="宋体" w:eastAsia="宋体" w:cs="宋体"/>
          <w:sz w:val="24"/>
        </w:rPr>
        <w:t>交易权限控制等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B.</w:t>
      </w:r>
      <w:r>
        <w:rPr>
          <w:rFonts w:hint="eastAsia" w:ascii="宋体" w:hAnsi="宋体" w:eastAsia="宋体" w:cs="宋体"/>
          <w:sz w:val="24"/>
        </w:rPr>
        <w:t>集中银行存管系统</w:t>
      </w:r>
      <w:r>
        <w:rPr>
          <w:rFonts w:hint="eastAsia" w:ascii="宋体" w:hAnsi="宋体" w:eastAsia="宋体" w:cs="宋体"/>
          <w:sz w:val="10"/>
        </w:rPr>
        <w:t>。</w:t>
      </w:r>
      <w:r>
        <w:rPr>
          <w:rFonts w:hint="eastAsia" w:ascii="宋体" w:hAnsi="宋体" w:eastAsia="宋体" w:cs="宋体"/>
          <w:sz w:val="24"/>
        </w:rPr>
        <w:t>与第三方存管银行对接</w:t>
      </w:r>
      <w:r>
        <w:rPr>
          <w:rFonts w:hint="eastAsia" w:ascii="宋体" w:hAnsi="宋体" w:eastAsia="宋体" w:cs="宋体"/>
          <w:sz w:val="10"/>
        </w:rPr>
        <w:t>，</w:t>
      </w:r>
      <w:r>
        <w:rPr>
          <w:rFonts w:hint="eastAsia" w:ascii="宋体" w:hAnsi="宋体" w:eastAsia="宋体" w:cs="宋体"/>
          <w:sz w:val="24"/>
        </w:rPr>
        <w:t>完成出入金</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Times New Roman" w:hAnsi="Times New Roman" w:eastAsia="Times New Roman" w:cs="Times New Roman"/>
          <w:sz w:val="24"/>
        </w:rPr>
        <w:t>C.</w:t>
      </w:r>
      <w:r>
        <w:rPr>
          <w:rFonts w:hint="eastAsia" w:ascii="宋体" w:hAnsi="宋体" w:eastAsia="宋体" w:cs="宋体"/>
          <w:sz w:val="24"/>
        </w:rPr>
        <w:t>集中托管清算系统</w:t>
      </w:r>
      <w:r>
        <w:rPr>
          <w:rFonts w:hint="eastAsia" w:ascii="宋体" w:hAnsi="宋体" w:eastAsia="宋体" w:cs="宋体"/>
          <w:sz w:val="10"/>
        </w:rPr>
        <w:t>。</w:t>
      </w:r>
      <w:r>
        <w:rPr>
          <w:rFonts w:hint="eastAsia" w:ascii="宋体" w:hAnsi="宋体" w:eastAsia="宋体" w:cs="宋体"/>
          <w:sz w:val="24"/>
        </w:rPr>
        <w:t>集中多品种统一清算和份额统一托管</w:t>
      </w:r>
      <w:r>
        <w:rPr>
          <w:rFonts w:hint="eastAsia" w:ascii="宋体" w:hAnsi="宋体" w:eastAsia="宋体" w:cs="宋体"/>
          <w:sz w:val="10"/>
        </w:rPr>
        <w:t>，</w:t>
      </w:r>
      <w:r>
        <w:rPr>
          <w:rFonts w:hint="eastAsia" w:ascii="宋体" w:hAnsi="宋体" w:eastAsia="宋体" w:cs="宋体"/>
          <w:sz w:val="24"/>
        </w:rPr>
        <w:t>采用高速内存清算机制</w:t>
      </w:r>
      <w:r>
        <w:rPr>
          <w:rFonts w:hint="eastAsia" w:ascii="宋体" w:hAnsi="宋体" w:eastAsia="宋体" w:cs="宋体"/>
          <w:sz w:val="10"/>
        </w:rPr>
        <w:t>，</w:t>
      </w:r>
      <w:r>
        <w:rPr>
          <w:rFonts w:hint="eastAsia" w:ascii="宋体" w:hAnsi="宋体" w:eastAsia="宋体" w:cs="宋体"/>
          <w:sz w:val="24"/>
        </w:rPr>
        <w:t>可批量</w:t>
      </w:r>
      <w:r>
        <w:rPr>
          <w:rFonts w:hint="eastAsia" w:ascii="宋体" w:hAnsi="宋体" w:eastAsia="宋体" w:cs="宋体"/>
          <w:sz w:val="10"/>
        </w:rPr>
        <w:t>、</w:t>
      </w:r>
      <w:r>
        <w:rPr>
          <w:rFonts w:hint="eastAsia" w:ascii="宋体" w:hAnsi="宋体" w:eastAsia="宋体" w:cs="宋体"/>
          <w:sz w:val="24"/>
        </w:rPr>
        <w:t>自动化完成多品种的清算</w:t>
      </w:r>
      <w:r>
        <w:rPr>
          <w:rFonts w:hint="eastAsia" w:ascii="宋体" w:hAnsi="宋体" w:eastAsia="宋体" w:cs="宋体"/>
          <w:sz w:val="10"/>
        </w:rPr>
        <w:t>、</w:t>
      </w:r>
      <w:r>
        <w:rPr>
          <w:rFonts w:hint="eastAsia" w:ascii="宋体" w:hAnsi="宋体" w:eastAsia="宋体" w:cs="宋体"/>
          <w:sz w:val="24"/>
        </w:rPr>
        <w:t>对账和资金</w:t>
      </w:r>
      <w:r>
        <w:rPr>
          <w:rFonts w:hint="eastAsia" w:ascii="宋体" w:hAnsi="宋体" w:eastAsia="宋体" w:cs="宋体"/>
          <w:sz w:val="10"/>
        </w:rPr>
        <w:t>、</w:t>
      </w:r>
      <w:r>
        <w:rPr>
          <w:rFonts w:hint="eastAsia" w:ascii="宋体" w:hAnsi="宋体" w:eastAsia="宋体" w:cs="宋体"/>
          <w:sz w:val="24"/>
        </w:rPr>
        <w:t>份额的二级清算</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D.</w:t>
      </w:r>
      <w:r>
        <w:rPr>
          <w:rFonts w:hint="eastAsia" w:ascii="宋体" w:hAnsi="宋体" w:eastAsia="宋体" w:cs="宋体"/>
          <w:sz w:val="24"/>
        </w:rPr>
        <w:t>报表及查询分析系统</w:t>
      </w:r>
      <w:r>
        <w:rPr>
          <w:rFonts w:hint="eastAsia" w:ascii="宋体" w:hAnsi="宋体" w:eastAsia="宋体" w:cs="宋体"/>
          <w:sz w:val="10"/>
        </w:rPr>
        <w:t>。</w:t>
      </w:r>
      <w:r>
        <w:rPr>
          <w:rFonts w:hint="eastAsia" w:ascii="宋体" w:hAnsi="宋体" w:eastAsia="宋体" w:cs="宋体"/>
          <w:sz w:val="24"/>
        </w:rPr>
        <w:t>根据业务需求提供可自定义的格式</w:t>
      </w:r>
      <w:r>
        <w:rPr>
          <w:rFonts w:hint="eastAsia" w:ascii="宋体" w:hAnsi="宋体" w:eastAsia="宋体" w:cs="宋体"/>
          <w:sz w:val="10"/>
        </w:rPr>
        <w:t>、</w:t>
      </w:r>
      <w:r>
        <w:rPr>
          <w:rFonts w:hint="eastAsia" w:ascii="宋体" w:hAnsi="宋体" w:eastAsia="宋体" w:cs="宋体"/>
          <w:sz w:val="24"/>
        </w:rPr>
        <w:t>图形化报表查询及分析系统</w:t>
      </w:r>
      <w:r>
        <w:rPr>
          <w:rFonts w:hint="eastAsia" w:ascii="宋体" w:hAnsi="宋体" w:eastAsia="宋体" w:cs="宋体"/>
          <w:sz w:val="10"/>
        </w:rPr>
        <w:t>。</w:t>
      </w:r>
      <w:r>
        <w:rPr>
          <w:rFonts w:hint="eastAsia" w:ascii="宋体" w:hAnsi="宋体" w:eastAsia="宋体" w:cs="宋体"/>
          <w:sz w:val="24"/>
        </w:rPr>
        <w:t>报表系统的主要功能包括业务汇总情况</w:t>
      </w:r>
      <w:r>
        <w:rPr>
          <w:rFonts w:hint="eastAsia" w:ascii="宋体" w:hAnsi="宋体" w:eastAsia="宋体" w:cs="宋体"/>
          <w:sz w:val="10"/>
        </w:rPr>
        <w:t>、</w:t>
      </w:r>
      <w:r>
        <w:rPr>
          <w:rFonts w:hint="eastAsia" w:ascii="宋体" w:hAnsi="宋体" w:eastAsia="宋体" w:cs="宋体"/>
          <w:sz w:val="24"/>
        </w:rPr>
        <w:t>分主题业务分析</w:t>
      </w:r>
      <w:r>
        <w:rPr>
          <w:rFonts w:hint="eastAsia" w:ascii="宋体" w:hAnsi="宋体" w:eastAsia="宋体" w:cs="宋体"/>
          <w:sz w:val="10"/>
        </w:rPr>
        <w:t>、</w:t>
      </w:r>
      <w:r>
        <w:rPr>
          <w:rFonts w:hint="eastAsia" w:ascii="宋体" w:hAnsi="宋体" w:eastAsia="宋体" w:cs="宋体"/>
          <w:sz w:val="24"/>
        </w:rPr>
        <w:t>清算对账等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E.</w:t>
      </w:r>
      <w:r>
        <w:rPr>
          <w:rFonts w:hint="eastAsia" w:ascii="宋体" w:hAnsi="宋体" w:eastAsia="宋体" w:cs="宋体"/>
          <w:sz w:val="24"/>
        </w:rPr>
        <w:t>集中运营管理系统</w:t>
      </w:r>
      <w:r>
        <w:rPr>
          <w:rFonts w:hint="eastAsia" w:ascii="宋体" w:hAnsi="宋体" w:eastAsia="宋体" w:cs="宋体"/>
          <w:sz w:val="10"/>
        </w:rPr>
        <w:t>。</w:t>
      </w:r>
      <w:r>
        <w:rPr>
          <w:rFonts w:hint="eastAsia" w:ascii="宋体" w:hAnsi="宋体" w:eastAsia="宋体" w:cs="宋体"/>
          <w:sz w:val="24"/>
        </w:rPr>
        <w:t>提供图形化的运维管理界面</w:t>
      </w:r>
      <w:r>
        <w:rPr>
          <w:rFonts w:hint="eastAsia" w:ascii="宋体" w:hAnsi="宋体" w:eastAsia="宋体" w:cs="宋体"/>
          <w:sz w:val="10"/>
        </w:rPr>
        <w:t>，</w:t>
      </w:r>
      <w:r>
        <w:rPr>
          <w:rFonts w:hint="eastAsia" w:ascii="宋体" w:hAnsi="宋体" w:eastAsia="宋体" w:cs="宋体"/>
          <w:sz w:val="24"/>
        </w:rPr>
        <w:t>可在总部集中完成对全网中间件</w:t>
      </w:r>
      <w:r>
        <w:rPr>
          <w:rFonts w:hint="eastAsia" w:ascii="宋体" w:hAnsi="宋体" w:eastAsia="宋体" w:cs="宋体"/>
          <w:sz w:val="10"/>
        </w:rPr>
        <w:t>、</w:t>
      </w:r>
      <w:r>
        <w:rPr>
          <w:rFonts w:hint="eastAsia" w:ascii="宋体" w:hAnsi="宋体" w:eastAsia="宋体" w:cs="宋体"/>
          <w:sz w:val="24"/>
        </w:rPr>
        <w:t>消息中心</w:t>
      </w:r>
      <w:r>
        <w:rPr>
          <w:rFonts w:hint="eastAsia" w:ascii="宋体" w:hAnsi="宋体" w:eastAsia="宋体" w:cs="宋体"/>
          <w:sz w:val="10"/>
        </w:rPr>
        <w:t>、</w:t>
      </w:r>
      <w:r>
        <w:rPr>
          <w:rFonts w:hint="eastAsia" w:ascii="宋体" w:hAnsi="宋体" w:eastAsia="宋体" w:cs="宋体"/>
          <w:sz w:val="24"/>
        </w:rPr>
        <w:t>报盘机等关键业务节点的监控和配置管理</w:t>
      </w:r>
      <w:r>
        <w:rPr>
          <w:rFonts w:hint="eastAsia" w:ascii="宋体" w:hAnsi="宋体" w:eastAsia="宋体" w:cs="宋体"/>
          <w:sz w:val="10"/>
        </w:rPr>
        <w:t>，</w:t>
      </w:r>
      <w:r>
        <w:rPr>
          <w:rFonts w:hint="eastAsia" w:ascii="宋体" w:hAnsi="宋体" w:eastAsia="宋体" w:cs="宋体"/>
          <w:sz w:val="24"/>
        </w:rPr>
        <w:t>在关键业务节点发生超负载或故障的情况下</w:t>
      </w:r>
      <w:r>
        <w:rPr>
          <w:rFonts w:hint="eastAsia" w:ascii="宋体" w:hAnsi="宋体" w:eastAsia="宋体" w:cs="宋体"/>
          <w:sz w:val="10"/>
        </w:rPr>
        <w:t>，</w:t>
      </w:r>
      <w:r>
        <w:rPr>
          <w:rFonts w:hint="eastAsia" w:ascii="宋体" w:hAnsi="宋体" w:eastAsia="宋体" w:cs="宋体"/>
          <w:sz w:val="24"/>
        </w:rPr>
        <w:t>可提供智能诊断支持</w:t>
      </w:r>
      <w:r>
        <w:rPr>
          <w:rFonts w:hint="eastAsia" w:ascii="宋体" w:hAnsi="宋体" w:eastAsia="宋体" w:cs="宋体"/>
          <w:sz w:val="10"/>
        </w:rPr>
        <w:t>，</w:t>
      </w:r>
      <w:r>
        <w:rPr>
          <w:rFonts w:hint="eastAsia" w:ascii="宋体" w:hAnsi="宋体" w:eastAsia="宋体" w:cs="宋体"/>
          <w:sz w:val="24"/>
        </w:rPr>
        <w:t>缩短故障响应时间</w:t>
      </w:r>
      <w:r>
        <w:rPr>
          <w:rFonts w:hint="eastAsia" w:ascii="宋体" w:hAnsi="宋体" w:eastAsia="宋体" w:cs="宋体"/>
          <w:sz w:val="10"/>
        </w:rPr>
        <w:t>，</w:t>
      </w:r>
      <w:r>
        <w:rPr>
          <w:rFonts w:hint="eastAsia" w:ascii="宋体" w:hAnsi="宋体" w:eastAsia="宋体" w:cs="宋体"/>
          <w:sz w:val="24"/>
        </w:rPr>
        <w:t>提升运维水平</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w:hAnsi="Times New Roman" w:eastAsia="Times New Roman" w:cs="Times New Roman"/>
          <w:sz w:val="24"/>
        </w:rPr>
        <w:t>F.</w:t>
      </w:r>
      <w:r>
        <w:rPr>
          <w:rFonts w:hint="eastAsia" w:ascii="宋体" w:hAnsi="宋体" w:eastAsia="宋体" w:cs="宋体"/>
          <w:sz w:val="24"/>
        </w:rPr>
        <w:t>交易中心</w:t>
      </w:r>
      <w:r>
        <w:rPr>
          <w:rFonts w:hint="eastAsia" w:ascii="宋体" w:hAnsi="宋体" w:eastAsia="宋体" w:cs="宋体"/>
          <w:sz w:val="10"/>
        </w:rPr>
        <w:t>。</w:t>
      </w:r>
      <w:r>
        <w:rPr>
          <w:rFonts w:hint="eastAsia" w:ascii="宋体" w:hAnsi="宋体" w:eastAsia="宋体" w:cs="宋体"/>
          <w:sz w:val="24"/>
        </w:rPr>
        <w:t>根据需要可按照交易品种</w:t>
      </w:r>
      <w:r>
        <w:rPr>
          <w:rFonts w:hint="eastAsia" w:ascii="宋体" w:hAnsi="宋体" w:eastAsia="宋体" w:cs="宋体"/>
          <w:sz w:val="10"/>
        </w:rPr>
        <w:t>、</w:t>
      </w:r>
      <w:r>
        <w:rPr>
          <w:rFonts w:hint="eastAsia" w:ascii="宋体" w:hAnsi="宋体" w:eastAsia="宋体" w:cs="宋体"/>
          <w:sz w:val="24"/>
        </w:rPr>
        <w:t>交易客户范围等条件设置交易中心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交易中心可相互备份</w:t>
      </w:r>
      <w:r>
        <w:rPr>
          <w:rFonts w:hint="eastAsia" w:ascii="宋体" w:hAnsi="宋体" w:eastAsia="宋体" w:cs="宋体"/>
          <w:sz w:val="10"/>
        </w:rPr>
        <w:t>、</w:t>
      </w:r>
      <w:r>
        <w:rPr>
          <w:rFonts w:hint="eastAsia" w:ascii="宋体" w:hAnsi="宋体" w:eastAsia="宋体" w:cs="宋体"/>
          <w:sz w:val="24"/>
        </w:rPr>
        <w:t>负载均衡</w:t>
      </w:r>
      <w:r>
        <w:rPr>
          <w:rFonts w:hint="eastAsia" w:ascii="宋体" w:hAnsi="宋体" w:eastAsia="宋体" w:cs="宋体"/>
          <w:sz w:val="10"/>
        </w:rPr>
        <w:t>，</w:t>
      </w:r>
      <w:r>
        <w:rPr>
          <w:rFonts w:hint="eastAsia" w:ascii="宋体" w:hAnsi="宋体" w:eastAsia="宋体" w:cs="宋体"/>
          <w:sz w:val="24"/>
        </w:rPr>
        <w:t>实现集群交易</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目前该产品在东兴证券</w:t>
      </w:r>
      <w:r>
        <w:rPr>
          <w:rFonts w:hint="eastAsia" w:ascii="宋体" w:hAnsi="宋体" w:eastAsia="宋体" w:cs="宋体"/>
          <w:sz w:val="10"/>
        </w:rPr>
        <w:t>、</w:t>
      </w:r>
      <w:r>
        <w:rPr>
          <w:rFonts w:hint="eastAsia" w:ascii="宋体" w:hAnsi="宋体" w:eastAsia="宋体" w:cs="宋体"/>
          <w:sz w:val="24"/>
        </w:rPr>
        <w:t>东吴证券</w:t>
      </w:r>
      <w:r>
        <w:rPr>
          <w:rFonts w:hint="eastAsia" w:ascii="宋体" w:hAnsi="宋体" w:eastAsia="宋体" w:cs="宋体"/>
          <w:sz w:val="10"/>
        </w:rPr>
        <w:t>、</w:t>
      </w:r>
      <w:r>
        <w:rPr>
          <w:rFonts w:hint="eastAsia" w:ascii="宋体" w:hAnsi="宋体" w:eastAsia="宋体" w:cs="宋体"/>
          <w:sz w:val="24"/>
        </w:rPr>
        <w:t>上海证券等券商应用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②私募产品</w:t>
      </w:r>
      <w:r>
        <w:rPr>
          <w:rFonts w:hint="eastAsia" w:ascii="宋体" w:hAnsi="宋体" w:eastAsia="宋体" w:cs="宋体"/>
          <w:sz w:val="10"/>
        </w:rPr>
        <w:t>“</w:t>
      </w:r>
      <w:r>
        <w:rPr>
          <w:rFonts w:hint="eastAsia" w:ascii="宋体" w:hAnsi="宋体" w:eastAsia="宋体" w:cs="宋体"/>
          <w:sz w:val="24"/>
        </w:rPr>
        <w:t>云柜台</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私募产品</w:t>
      </w:r>
      <w:r>
        <w:rPr>
          <w:rFonts w:hint="eastAsia" w:ascii="宋体" w:hAnsi="宋体" w:eastAsia="宋体" w:cs="宋体"/>
          <w:sz w:val="10"/>
        </w:rPr>
        <w:t>“</w:t>
      </w:r>
      <w:r>
        <w:rPr>
          <w:rFonts w:hint="eastAsia" w:ascii="宋体" w:hAnsi="宋体" w:eastAsia="宋体" w:cs="宋体"/>
          <w:sz w:val="24"/>
        </w:rPr>
        <w:t>云柜台</w:t>
      </w:r>
      <w:r>
        <w:rPr>
          <w:rFonts w:hint="eastAsia" w:ascii="宋体" w:hAnsi="宋体" w:eastAsia="宋体" w:cs="宋体"/>
          <w:sz w:val="10"/>
        </w:rPr>
        <w:t>”，</w:t>
      </w:r>
      <w:r>
        <w:rPr>
          <w:rFonts w:hint="eastAsia" w:ascii="宋体" w:hAnsi="宋体" w:eastAsia="宋体" w:cs="宋体"/>
          <w:sz w:val="24"/>
        </w:rPr>
        <w:t>即私募产品报价与转让系统的云服务</w:t>
      </w:r>
      <w:r>
        <w:rPr>
          <w:rFonts w:hint="eastAsia" w:ascii="宋体" w:hAnsi="宋体" w:eastAsia="宋体" w:cs="宋体"/>
          <w:sz w:val="10"/>
        </w:rPr>
        <w:t>，</w:t>
      </w:r>
      <w:r>
        <w:rPr>
          <w:rFonts w:hint="eastAsia" w:ascii="宋体" w:hAnsi="宋体" w:eastAsia="宋体" w:cs="宋体"/>
          <w:sz w:val="24"/>
        </w:rPr>
        <w:t>是中证资本在互联网金融的背景下</w:t>
      </w:r>
      <w:r>
        <w:rPr>
          <w:rFonts w:hint="eastAsia" w:ascii="宋体" w:hAnsi="宋体" w:eastAsia="宋体" w:cs="宋体"/>
          <w:sz w:val="10"/>
        </w:rPr>
        <w:t>，</w:t>
      </w:r>
      <w:r>
        <w:rPr>
          <w:rFonts w:hint="eastAsia" w:ascii="宋体" w:hAnsi="宋体" w:eastAsia="宋体" w:cs="宋体"/>
          <w:sz w:val="24"/>
        </w:rPr>
        <w:t>根据场外市场发展的需要</w:t>
      </w:r>
      <w:r>
        <w:rPr>
          <w:rFonts w:hint="eastAsia" w:ascii="宋体" w:hAnsi="宋体" w:eastAsia="宋体" w:cs="宋体"/>
          <w:sz w:val="10"/>
        </w:rPr>
        <w:t>，</w:t>
      </w:r>
      <w:r>
        <w:rPr>
          <w:rFonts w:hint="eastAsia" w:ascii="宋体" w:hAnsi="宋体" w:eastAsia="宋体" w:cs="宋体"/>
          <w:sz w:val="24"/>
        </w:rPr>
        <w:t>为参与会员提供私募产品业务支持相关的全套服务</w:t>
      </w:r>
      <w:r>
        <w:rPr>
          <w:rFonts w:hint="eastAsia" w:ascii="宋体" w:hAnsi="宋体" w:eastAsia="宋体" w:cs="宋体"/>
          <w:sz w:val="10"/>
        </w:rPr>
        <w:t>。</w:t>
      </w:r>
      <w:r>
        <w:rPr>
          <w:rFonts w:hint="eastAsia" w:ascii="宋体" w:hAnsi="宋体" w:eastAsia="宋体" w:cs="宋体"/>
          <w:sz w:val="24"/>
        </w:rPr>
        <w:t>业务参与方不需要自建系统</w:t>
      </w:r>
      <w:r>
        <w:rPr>
          <w:rFonts w:hint="eastAsia" w:ascii="宋体" w:hAnsi="宋体" w:eastAsia="宋体" w:cs="宋体"/>
          <w:sz w:val="10"/>
        </w:rPr>
        <w:t>，</w:t>
      </w:r>
      <w:r>
        <w:rPr>
          <w:rFonts w:hint="eastAsia" w:ascii="宋体" w:hAnsi="宋体" w:eastAsia="宋体" w:cs="宋体"/>
          <w:sz w:val="24"/>
        </w:rPr>
        <w:t>通过云服务的方式接入</w:t>
      </w:r>
      <w:r>
        <w:rPr>
          <w:rFonts w:hint="eastAsia" w:ascii="宋体" w:hAnsi="宋体" w:eastAsia="宋体" w:cs="宋体"/>
          <w:sz w:val="10"/>
        </w:rPr>
        <w:t>，</w:t>
      </w:r>
      <w:r>
        <w:rPr>
          <w:rFonts w:hint="eastAsia" w:ascii="宋体" w:hAnsi="宋体" w:eastAsia="宋体" w:cs="宋体"/>
          <w:sz w:val="24"/>
        </w:rPr>
        <w:t>实现私募产品发布</w:t>
      </w:r>
      <w:r>
        <w:rPr>
          <w:rFonts w:hint="eastAsia" w:ascii="宋体" w:hAnsi="宋体" w:eastAsia="宋体" w:cs="宋体"/>
          <w:sz w:val="10"/>
        </w:rPr>
        <w:t>、</w:t>
      </w:r>
      <w:r>
        <w:rPr>
          <w:rFonts w:hint="eastAsia" w:ascii="宋体" w:hAnsi="宋体" w:eastAsia="宋体" w:cs="宋体"/>
          <w:sz w:val="24"/>
        </w:rPr>
        <w:t>登记托管</w:t>
      </w:r>
      <w:r>
        <w:rPr>
          <w:rFonts w:hint="eastAsia" w:ascii="宋体" w:hAnsi="宋体" w:eastAsia="宋体" w:cs="宋体"/>
          <w:sz w:val="10"/>
        </w:rPr>
        <w:t>、</w:t>
      </w:r>
      <w:r>
        <w:rPr>
          <w:rFonts w:hint="eastAsia" w:ascii="宋体" w:hAnsi="宋体" w:eastAsia="宋体" w:cs="宋体"/>
          <w:sz w:val="24"/>
        </w:rPr>
        <w:t>询价</w:t>
      </w:r>
      <w:r>
        <w:rPr>
          <w:rFonts w:hint="eastAsia" w:ascii="宋体" w:hAnsi="宋体" w:eastAsia="宋体" w:cs="宋体"/>
          <w:sz w:val="10"/>
        </w:rPr>
        <w:t>、</w:t>
      </w:r>
      <w:r>
        <w:rPr>
          <w:rFonts w:hint="eastAsia" w:ascii="宋体" w:hAnsi="宋体" w:eastAsia="宋体" w:cs="宋体"/>
          <w:sz w:val="24"/>
        </w:rPr>
        <w:t>谈判</w:t>
      </w:r>
      <w:r>
        <w:rPr>
          <w:rFonts w:hint="eastAsia" w:ascii="宋体" w:hAnsi="宋体" w:eastAsia="宋体" w:cs="宋体"/>
          <w:sz w:val="10"/>
        </w:rPr>
        <w:t>、</w:t>
      </w:r>
      <w:r>
        <w:rPr>
          <w:rFonts w:hint="eastAsia" w:ascii="宋体" w:hAnsi="宋体" w:eastAsia="宋体" w:cs="宋体"/>
          <w:sz w:val="24"/>
        </w:rPr>
        <w:t>报价</w:t>
      </w:r>
      <w:r>
        <w:rPr>
          <w:rFonts w:hint="eastAsia" w:ascii="宋体" w:hAnsi="宋体" w:eastAsia="宋体" w:cs="宋体"/>
          <w:sz w:val="10"/>
        </w:rPr>
        <w:t>、</w:t>
      </w:r>
      <w:r>
        <w:rPr>
          <w:rFonts w:hint="eastAsia" w:ascii="宋体" w:hAnsi="宋体" w:eastAsia="宋体" w:cs="宋体"/>
          <w:sz w:val="24"/>
        </w:rPr>
        <w:t>转让</w:t>
      </w:r>
      <w:r>
        <w:rPr>
          <w:rFonts w:hint="eastAsia" w:ascii="宋体" w:hAnsi="宋体" w:eastAsia="宋体" w:cs="宋体"/>
          <w:sz w:val="10"/>
        </w:rPr>
        <w:t>、</w:t>
      </w:r>
      <w:r>
        <w:rPr>
          <w:rFonts w:hint="eastAsia" w:ascii="宋体" w:hAnsi="宋体" w:eastAsia="宋体" w:cs="宋体"/>
          <w:sz w:val="24"/>
        </w:rPr>
        <w:t>签约</w:t>
      </w:r>
      <w:r>
        <w:rPr>
          <w:rFonts w:hint="eastAsia" w:ascii="宋体" w:hAnsi="宋体" w:eastAsia="宋体" w:cs="宋体"/>
          <w:sz w:val="10"/>
        </w:rPr>
        <w:t>、</w:t>
      </w:r>
      <w:r>
        <w:rPr>
          <w:rFonts w:hint="eastAsia" w:ascii="宋体" w:hAnsi="宋体" w:eastAsia="宋体" w:cs="宋体"/>
          <w:sz w:val="24"/>
        </w:rPr>
        <w:t>支付</w:t>
      </w:r>
      <w:r>
        <w:rPr>
          <w:rFonts w:hint="eastAsia" w:ascii="宋体" w:hAnsi="宋体" w:eastAsia="宋体" w:cs="宋体"/>
          <w:sz w:val="10"/>
        </w:rPr>
        <w:t>、</w:t>
      </w:r>
      <w:r>
        <w:rPr>
          <w:rFonts w:hint="eastAsia" w:ascii="宋体" w:hAnsi="宋体" w:eastAsia="宋体" w:cs="宋体"/>
          <w:sz w:val="24"/>
        </w:rPr>
        <w:t>结算等业</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1-1-148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93008" behindDoc="true" locked="false" layoutInCell="true" allowOverlap="true">
                <wp:simplePos x="0" y="0"/>
                <wp:positionH relativeFrom="page">
                  <wp:posOffset>5549900</wp:posOffset>
                </wp:positionH>
                <wp:positionV relativeFrom="page">
                  <wp:posOffset>1358900</wp:posOffset>
                </wp:positionV>
                <wp:extent cx="1155700" cy="749300"/>
                <wp:effectExtent l="0" t="0" r="22225" b="31115"/>
                <wp:wrapNone/>
                <wp:docPr id="7053" name="shape7053"/>
                <wp:cNvGraphicFramePr/>
                <a:graphic>
                  <a:graphicData uri="http://schemas.microsoft.com/office/word/2010/wordprocessingShape">
                    <wps:wsp>
                      <wps:cNvSpPr/>
                      <wps:spPr>
                        <a:xfrm>
                          <a:off x="0" y="0"/>
                          <a:ext cx="1155700" cy="749300"/>
                        </a:xfrm>
                        <a:custGeom>
                          <a:avLst/>
                          <a:rect l="l" t="t" r="r" b="b"/>
                          <a:pathLst>
                            <a:path w="1155700" h="749300">
                              <a:moveTo>
                                <a:pt x="1033132" y="743642"/>
                              </a:moveTo>
                              <a:cubicBezTo>
                                <a:pt x="1100333" y="743643"/>
                                <a:pt x="1154748" y="677728"/>
                                <a:pt x="1154748" y="596322"/>
                              </a:cubicBezTo>
                              <a:lnTo>
                                <a:pt x="1152516" y="593619"/>
                              </a:lnTo>
                              <a:lnTo>
                                <a:pt x="1152516" y="156960"/>
                              </a:lnTo>
                              <a:lnTo>
                                <a:pt x="1154748" y="154256"/>
                              </a:lnTo>
                              <a:cubicBezTo>
                                <a:pt x="1154748" y="72851"/>
                                <a:pt x="1100333" y="6936"/>
                                <a:pt x="1033132" y="6936"/>
                              </a:cubicBezTo>
                              <a:lnTo>
                                <a:pt x="1030213" y="8807"/>
                              </a:lnTo>
                              <a:lnTo>
                                <a:pt x="135471" y="8807"/>
                              </a:lnTo>
                              <a:lnTo>
                                <a:pt x="132982" y="6936"/>
                              </a:lnTo>
                              <a:cubicBezTo>
                                <a:pt x="65780" y="6936"/>
                                <a:pt x="11366" y="72851"/>
                                <a:pt x="11366" y="154256"/>
                              </a:cubicBezTo>
                              <a:lnTo>
                                <a:pt x="13168" y="156960"/>
                              </a:lnTo>
                              <a:lnTo>
                                <a:pt x="13168" y="593619"/>
                              </a:lnTo>
                              <a:lnTo>
                                <a:pt x="11366" y="596322"/>
                              </a:lnTo>
                              <a:cubicBezTo>
                                <a:pt x="11366" y="677728"/>
                                <a:pt x="65780" y="743643"/>
                                <a:pt x="132982" y="743643"/>
                              </a:cubicBezTo>
                              <a:lnTo>
                                <a:pt x="135471" y="741771"/>
                              </a:lnTo>
                              <a:lnTo>
                                <a:pt x="1030213" y="741771"/>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55700,749300" style="position:absolute;left:0;top:0;visibility:visible;mso-position-horizontal:absolute;mso-position-horizontal-relative:page;mso-position-vertical:absolute;mso-position-vertical-relative:page;width:91pt;height:59pt;margin-left:437pt;margin-top:107pt;mso-wrap-style:square;z-index:10293008;mso-wrap-distance-left:9pt;mso-wrap-distance-top:0pt;mso-wrap-distance-right:9pt;mso-wrap-distance-bottom:0pt" id="shape7053" o:spid="1618382349624" path="m1033132,743642c1100333,743643,1154748,677728,1154748,596322l1152516,593619l1152516,156960l1154748,154256c1154748,72851,1100333,6936,1033132,6936l1030213,8807l135471,8807l132982,6936c65780,6936,11366,72851,11366,154256l13168,156960l13168,593619l11366,596322c11366,677728,65780,743643,132982,743643l135471,741771l1030213,741771e" stroked="f" filled="t" fillcolor="#cdcdcd"/>
            </w:pict>
          </mc:Fallback>
        </mc:AlternateContent>
      </w:r>
      <w:r>
        <mc:AlternateContent>
          <mc:Choice Requires="wps">
            <w:drawing>
              <wp:anchor distT="0" distB="0" distL="114300" distR="114300" simplePos="false" relativeHeight="10295056" behindDoc="true" locked="false" layoutInCell="true" allowOverlap="true">
                <wp:simplePos x="0" y="0"/>
                <wp:positionH relativeFrom="page">
                  <wp:posOffset>3632200</wp:posOffset>
                </wp:positionH>
                <wp:positionV relativeFrom="page">
                  <wp:posOffset>1358900</wp:posOffset>
                </wp:positionV>
                <wp:extent cx="1181100" cy="749300"/>
                <wp:effectExtent l="0" t="0" r="22225" b="31115"/>
                <wp:wrapNone/>
                <wp:docPr id="7055" name="shape7055"/>
                <wp:cNvGraphicFramePr/>
                <a:graphic>
                  <a:graphicData uri="http://schemas.microsoft.com/office/word/2010/wordprocessingShape">
                    <wps:wsp>
                      <wps:cNvSpPr/>
                      <wps:spPr>
                        <a:xfrm>
                          <a:off x="0" y="0"/>
                          <a:ext cx="1181100" cy="749300"/>
                        </a:xfrm>
                        <a:custGeom>
                          <a:avLst/>
                          <a:rect l="l" t="t" r="r" b="b"/>
                          <a:pathLst>
                            <a:path w="1181100" h="749300">
                              <a:moveTo>
                                <a:pt x="1053206" y="743642"/>
                              </a:moveTo>
                              <a:cubicBezTo>
                                <a:pt x="1120409" y="743643"/>
                                <a:pt x="1174823" y="677728"/>
                                <a:pt x="1174823" y="596322"/>
                              </a:cubicBezTo>
                              <a:lnTo>
                                <a:pt x="1177741" y="593619"/>
                              </a:lnTo>
                              <a:lnTo>
                                <a:pt x="1177741" y="156960"/>
                              </a:lnTo>
                              <a:lnTo>
                                <a:pt x="1174823" y="154256"/>
                              </a:lnTo>
                              <a:cubicBezTo>
                                <a:pt x="1174823" y="72851"/>
                                <a:pt x="1120409" y="6936"/>
                                <a:pt x="1053206" y="6936"/>
                              </a:cubicBezTo>
                              <a:lnTo>
                                <a:pt x="1055438" y="8807"/>
                              </a:lnTo>
                              <a:lnTo>
                                <a:pt x="128511" y="8807"/>
                              </a:lnTo>
                              <a:lnTo>
                                <a:pt x="128683" y="6936"/>
                              </a:lnTo>
                              <a:cubicBezTo>
                                <a:pt x="61481" y="6936"/>
                                <a:pt x="7067" y="72851"/>
                                <a:pt x="7067" y="154256"/>
                              </a:cubicBezTo>
                              <a:lnTo>
                                <a:pt x="6208" y="156960"/>
                              </a:lnTo>
                              <a:lnTo>
                                <a:pt x="6208" y="593619"/>
                              </a:lnTo>
                              <a:lnTo>
                                <a:pt x="7067" y="596322"/>
                              </a:lnTo>
                              <a:cubicBezTo>
                                <a:pt x="7067" y="677728"/>
                                <a:pt x="61481" y="743643"/>
                                <a:pt x="128683" y="743643"/>
                              </a:cubicBezTo>
                              <a:lnTo>
                                <a:pt x="128511" y="741771"/>
                              </a:lnTo>
                              <a:lnTo>
                                <a:pt x="1055438" y="741771"/>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749300" style="position:absolute;left:0;top:0;visibility:visible;mso-position-horizontal:absolute;mso-position-horizontal-relative:page;mso-position-vertical:absolute;mso-position-vertical-relative:page;width:93pt;height:59pt;margin-left:286pt;margin-top:107pt;mso-wrap-style:square;z-index:10295056;mso-wrap-distance-left:9pt;mso-wrap-distance-top:0pt;mso-wrap-distance-right:9pt;mso-wrap-distance-bottom:0pt" id="shape7055" o:spid="1618382349625" path="m1053206,743642c1120409,743643,1174823,677728,1174823,596322l1177741,593619l1177741,156960l1174823,154256c1174823,72851,1120409,6936,1053206,6936l1055438,8807l128511,8807l128683,6936c61481,6936,7067,72851,7067,154256l6208,156960l6208,593619l7067,596322c7067,677728,61481,743643,128683,743643l128511,741771l1055438,741771e" stroked="f" filled="t" fillcolor="#cdcdcd"/>
            </w:pict>
          </mc:Fallback>
        </mc:AlternateContent>
      </w:r>
      <w:r>
        <mc:AlternateContent>
          <mc:Choice Requires="wps">
            <w:drawing>
              <wp:anchor distT="0" distB="0" distL="114300" distR="114300" simplePos="false" relativeHeight="10297104" behindDoc="true" locked="false" layoutInCell="true" allowOverlap="true">
                <wp:simplePos x="0" y="0"/>
                <wp:positionH relativeFrom="page">
                  <wp:posOffset>1739900</wp:posOffset>
                </wp:positionH>
                <wp:positionV relativeFrom="page">
                  <wp:posOffset>1358900</wp:posOffset>
                </wp:positionV>
                <wp:extent cx="1117600" cy="749300"/>
                <wp:effectExtent l="0" t="0" r="22225" b="31115"/>
                <wp:wrapNone/>
                <wp:docPr id="7057" name="shape7057"/>
                <wp:cNvGraphicFramePr/>
                <a:graphic>
                  <a:graphicData uri="http://schemas.microsoft.com/office/word/2010/wordprocessingShape">
                    <wps:wsp>
                      <wps:cNvSpPr/>
                      <wps:spPr>
                        <a:xfrm>
                          <a:off x="0" y="0"/>
                          <a:ext cx="1117600" cy="749300"/>
                        </a:xfrm>
                        <a:custGeom>
                          <a:avLst/>
                          <a:rect l="l" t="t" r="r" b="b"/>
                          <a:pathLst>
                            <a:path w="1117600" h="749300">
                              <a:moveTo>
                                <a:pt x="987031" y="743642"/>
                              </a:moveTo>
                              <a:cubicBezTo>
                                <a:pt x="1054233" y="743643"/>
                                <a:pt x="1108647" y="677728"/>
                                <a:pt x="1108647" y="596322"/>
                              </a:cubicBezTo>
                              <a:lnTo>
                                <a:pt x="1106758" y="593619"/>
                              </a:lnTo>
                              <a:lnTo>
                                <a:pt x="1106758" y="156960"/>
                              </a:lnTo>
                              <a:lnTo>
                                <a:pt x="1108647" y="154256"/>
                              </a:lnTo>
                              <a:cubicBezTo>
                                <a:pt x="1108647" y="72851"/>
                                <a:pt x="1054233" y="6936"/>
                                <a:pt x="987031" y="6936"/>
                              </a:cubicBezTo>
                              <a:lnTo>
                                <a:pt x="984456" y="8807"/>
                              </a:lnTo>
                              <a:lnTo>
                                <a:pt x="134773" y="8807"/>
                              </a:lnTo>
                              <a:lnTo>
                                <a:pt x="135520" y="6936"/>
                              </a:lnTo>
                              <a:cubicBezTo>
                                <a:pt x="68335" y="6936"/>
                                <a:pt x="13869" y="72851"/>
                                <a:pt x="13869" y="154256"/>
                              </a:cubicBezTo>
                              <a:lnTo>
                                <a:pt x="12470" y="156960"/>
                              </a:lnTo>
                              <a:lnTo>
                                <a:pt x="12470" y="593619"/>
                              </a:lnTo>
                              <a:lnTo>
                                <a:pt x="13869" y="596322"/>
                              </a:lnTo>
                              <a:cubicBezTo>
                                <a:pt x="13869" y="677728"/>
                                <a:pt x="68335" y="743643"/>
                                <a:pt x="135520" y="743643"/>
                              </a:cubicBezTo>
                              <a:lnTo>
                                <a:pt x="134773" y="741771"/>
                              </a:lnTo>
                              <a:lnTo>
                                <a:pt x="984456" y="741771"/>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17600,749300" style="position:absolute;left:0;top:0;visibility:visible;mso-position-horizontal:absolute;mso-position-horizontal-relative:page;mso-position-vertical:absolute;mso-position-vertical-relative:page;width:88pt;height:59pt;margin-left:137pt;margin-top:107pt;mso-wrap-style:square;z-index:10297104;mso-wrap-distance-left:9pt;mso-wrap-distance-top:0pt;mso-wrap-distance-right:9pt;mso-wrap-distance-bottom:0pt" id="shape7057" o:spid="1618382349626" path="m987031,743642c1054233,743643,1108647,677728,1108647,596322l1106758,593619l1106758,156960l1108647,154256c1108647,72851,1054233,6936,987031,6936l984456,8807l134773,8807l135520,6936c68335,6936,13869,72851,13869,154256l12470,156960l12470,593619l13869,596322c13869,677728,68335,743643,135520,743643l134773,741771l984456,741771e" stroked="f" filled="t" fillcolor="#cdcdcd"/>
            </w:pict>
          </mc:Fallback>
        </mc:AlternateContent>
      </w:r>
      <w:r>
        <mc:AlternateContent>
          <mc:Choice Requires="wps">
            <w:drawing>
              <wp:anchor distT="0" distB="0" distL="114300" distR="114300" simplePos="false" relativeHeight="10299152" behindDoc="true" locked="false" layoutInCell="true" allowOverlap="true">
                <wp:simplePos x="0" y="0"/>
                <wp:positionH relativeFrom="page">
                  <wp:posOffset>1473200</wp:posOffset>
                </wp:positionH>
                <wp:positionV relativeFrom="page">
                  <wp:posOffset>4622800</wp:posOffset>
                </wp:positionV>
                <wp:extent cx="5232400" cy="12700"/>
                <wp:effectExtent l="0" t="0" r="22225" b="31115"/>
                <wp:wrapNone/>
                <wp:docPr id="7059" name="shape7059"/>
                <wp:cNvGraphicFramePr/>
                <a:graphic>
                  <a:graphicData uri="http://schemas.microsoft.com/office/word/2010/wordprocessingShape">
                    <wps:wsp>
                      <wps:cNvSpPr/>
                      <wps:spPr>
                        <a:xfrm>
                          <a:off x="0" y="0"/>
                          <a:ext cx="5232400" cy="12700"/>
                        </a:xfrm>
                        <a:custGeom>
                          <a:avLst/>
                          <a:rect l="l" t="t" r="r" b="b"/>
                          <a:pathLst>
                            <a:path w="5232400" h="12700">
                              <a:moveTo>
                                <a:pt x="2379" y="12700"/>
                              </a:moveTo>
                              <a:lnTo>
                                <a:pt x="5229216" y="12700"/>
                              </a:lnTo>
                              <a:lnTo>
                                <a:pt x="5229216" y="4259"/>
                              </a:lnTo>
                              <a:lnTo>
                                <a:pt x="2379" y="4259"/>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232400,12700" style="position:absolute;left:0;top:0;visibility:visible;mso-position-horizontal:absolute;mso-position-horizontal-relative:page;mso-position-vertical:absolute;mso-position-vertical-relative:page;width:412pt;height:1pt;margin-left:116pt;margin-top:364pt;mso-wrap-style:square;z-index:10299152;mso-wrap-distance-left:9pt;mso-wrap-distance-top:0pt;mso-wrap-distance-right:9pt;mso-wrap-distance-bottom:0pt" id="shape7059" o:spid="1618382349626" path="m2379,12700l5229216,12700l5229216,4259l2379,4259e" stroked="f" filled="t" fillcolor="#cdcdcd"/>
            </w:pict>
          </mc:Fallback>
        </mc:AlternateContent>
      </w:r>
      <w:r>
        <mc:AlternateContent>
          <mc:Choice Requires="wps">
            <w:drawing>
              <wp:anchor distT="0" distB="0" distL="114300" distR="114300" simplePos="false" relativeHeight="10337040" behindDoc="false" locked="false" layoutInCell="true" allowOverlap="true">
                <wp:simplePos x="0" y="0"/>
                <wp:positionH relativeFrom="page">
                  <wp:posOffset>1854200</wp:posOffset>
                </wp:positionH>
                <wp:positionV relativeFrom="page">
                  <wp:posOffset>1422400</wp:posOffset>
                </wp:positionV>
                <wp:extent cx="838200" cy="609600"/>
                <wp:effectExtent l="0" t="0" r="22225" b="31115"/>
                <wp:wrapNone/>
                <wp:docPr id="7095" name="shape7095"/>
                <wp:cNvGraphicFramePr/>
                <a:graphic>
                  <a:graphicData uri="http://schemas.microsoft.com/office/word/2010/wordprocessingShape">
                    <wps:wsp>
                      <wps:cNvSpPr/>
                      <wps:spPr>
                        <a:xfrm>
                          <a:off x="0" y="0"/>
                          <a:ext cx="838200" cy="609600"/>
                        </a:xfrm>
                        <a:prstGeom prst="rect">
                          <a:avLst/>
                        </a:prstGeom>
                      </wps:spPr>
                      <wps:txbx>
                        <w:txbxContent>
                          <w:p>
                            <w:pPr>
                              <w:spacing w:line="-240" w:lineRule="exact"/>
                              <w:ind w:left="0"/>
                              <w:jc w:val="both"/>
                            </w:pPr>
                            <w:r>
                              <w:rPr>
                                <w:rFonts w:hint="eastAsia" w:ascii="宋体" w:hAnsi="宋体" w:eastAsia="宋体" w:cs="宋体"/>
                                <w:b/>
                                <w:color w:val="0070c0"/>
                                <w:w w:val="82"/>
                                <w:sz w:val="22"/>
                              </w:rPr>
                              <w:t>综合服务平台</w:t>
                            </w:r>
                          </w:p>
                          <w:p>
                            <w:pPr>
                              <w:spacing w:line="320" w:lineRule="exact"/>
                              <w:ind w:left="100"/>
                              <w:jc w:val="both"/>
                            </w:pPr>
                            <w:r>
                              <w:rPr>
                                <w:rFonts w:hint="eastAsia" w:ascii="宋体" w:hAnsi="宋体" w:eastAsia="宋体" w:cs="宋体"/>
                                <w:b/>
                                <w:color w:val="0070c0"/>
                                <w:w w:val="82"/>
                                <w:sz w:val="22"/>
                              </w:rPr>
                              <w:t>网上交易</w:t>
                            </w:r>
                          </w:p>
                          <w:p>
                            <w:pPr>
                              <w:spacing w:line="300" w:lineRule="exact"/>
                              <w:ind w:left="0"/>
                              <w:jc w:val="both"/>
                            </w:pPr>
                            <w:r>
                              <w:rPr>
                                <w:rFonts w:hint="eastAsia" w:ascii="宋体" w:hAnsi="宋体" w:eastAsia="宋体" w:cs="宋体"/>
                                <w:b/>
                                <w:color w:val="0070c0"/>
                                <w:w w:val="82"/>
                                <w:sz w:val="22"/>
                              </w:rPr>
                              <w:t>代理商柜台</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6pt;height:48pt;margin-left:146pt;margin-top:112pt;mso-wrap-style:none;z-index:10337040;mso-wrap-distance-left:9pt;mso-wrap-distance-top:0pt;mso-wrap-distance-right:9pt;mso-wrap-distance-bottom:0pt" id="shape7095" o:spid="1618382349627" stroked="f">
                <v:textbox>
                  <w:txbxContent>
                    <w:p>
                      <w:pPr>
                        <w:spacing w:line="-240" w:lineRule="exact"/>
                        <w:ind w:left="0"/>
                        <w:jc w:val="both"/>
                      </w:pPr>
                      <w:r>
                        <w:rPr>
                          <w:rFonts w:hint="eastAsia" w:ascii="宋体" w:hAnsi="宋体" w:eastAsia="宋体" w:cs="宋体"/>
                          <w:b/>
                          <w:color w:val="0070c0"/>
                          <w:w w:val="82"/>
                          <w:sz w:val="22"/>
                        </w:rPr>
                        <w:t>综合服务平台</w:t>
                      </w:r>
                    </w:p>
                    <w:p>
                      <w:pPr>
                        <w:spacing w:line="320" w:lineRule="exact"/>
                        <w:ind w:left="100"/>
                        <w:jc w:val="both"/>
                      </w:pPr>
                      <w:r>
                        <w:rPr>
                          <w:rFonts w:hint="eastAsia" w:ascii="宋体" w:hAnsi="宋体" w:eastAsia="宋体" w:cs="宋体"/>
                          <w:b/>
                          <w:color w:val="0070c0"/>
                          <w:w w:val="82"/>
                          <w:sz w:val="22"/>
                        </w:rPr>
                        <w:t>网上交易</w:t>
                      </w:r>
                    </w:p>
                    <w:p>
                      <w:pPr>
                        <w:spacing w:line="300" w:lineRule="exact"/>
                        <w:ind w:left="0"/>
                        <w:jc w:val="both"/>
                      </w:pPr>
                      <w:r>
                        <w:rPr>
                          <w:rFonts w:hint="eastAsia" w:ascii="宋体" w:hAnsi="宋体" w:eastAsia="宋体" w:cs="宋体"/>
                          <w:b/>
                          <w:color w:val="0070c0"/>
                          <w:w w:val="82"/>
                          <w:sz w:val="22"/>
                        </w:rPr>
                        <w:t>代理商柜台</w:t>
                      </w:r>
                    </w:p>
                  </w:txbxContent>
                </v:textbox>
              </v:rect>
            </w:pict>
          </mc:Fallback>
        </mc:AlternateContent>
      </w:r>
      <w:r>
        <mc:AlternateContent>
          <mc:Choice Requires="wps">
            <w:drawing>
              <wp:anchor distT="0" distB="0" distL="114300" distR="114300" simplePos="false" relativeHeight="10338064" behindDoc="false" locked="false" layoutInCell="true" allowOverlap="true">
                <wp:simplePos x="0" y="0"/>
                <wp:positionH relativeFrom="page">
                  <wp:posOffset>3835400</wp:posOffset>
                </wp:positionH>
                <wp:positionV relativeFrom="page">
                  <wp:posOffset>1422400</wp:posOffset>
                </wp:positionV>
                <wp:extent cx="723900" cy="609600"/>
                <wp:effectExtent l="0" t="0" r="22225" b="31115"/>
                <wp:wrapNone/>
                <wp:docPr id="7096" name="shape7096"/>
                <wp:cNvGraphicFramePr/>
                <a:graphic>
                  <a:graphicData uri="http://schemas.microsoft.com/office/word/2010/wordprocessingShape">
                    <wps:wsp>
                      <wps:cNvSpPr/>
                      <wps:spPr>
                        <a:xfrm>
                          <a:off x="0" y="0"/>
                          <a:ext cx="723900" cy="609600"/>
                        </a:xfrm>
                        <a:prstGeom prst="rect">
                          <a:avLst/>
                        </a:prstGeom>
                      </wps:spPr>
                      <wps:txbx>
                        <w:txbxContent>
                          <w:p>
                            <w:pPr>
                              <w:spacing w:line="-240" w:lineRule="exact"/>
                              <w:ind w:left="0"/>
                              <w:jc w:val="both"/>
                            </w:pPr>
                            <w:r>
                              <w:rPr>
                                <w:rFonts w:hint="eastAsia" w:ascii="宋体" w:hAnsi="宋体" w:eastAsia="宋体" w:cs="宋体"/>
                                <w:b/>
                                <w:color w:val="0070c0"/>
                                <w:w w:val="82"/>
                                <w:sz w:val="22"/>
                              </w:rPr>
                              <w:t>网站行情</w:t>
                            </w:r>
                          </w:p>
                          <w:p>
                            <w:pPr>
                              <w:spacing w:line="320" w:lineRule="exact"/>
                              <w:ind w:left="0"/>
                              <w:jc w:val="both"/>
                            </w:pPr>
                            <w:r>
                              <w:rPr>
                                <w:rFonts w:hint="eastAsia" w:ascii="宋体" w:hAnsi="宋体" w:eastAsia="宋体" w:cs="宋体"/>
                                <w:b/>
                                <w:color w:val="0070c0"/>
                                <w:w w:val="82"/>
                                <w:sz w:val="22"/>
                              </w:rPr>
                              <w:t>客户端行情</w:t>
                            </w:r>
                          </w:p>
                          <w:p>
                            <w:pPr>
                              <w:spacing w:line="300" w:lineRule="exact"/>
                              <w:ind w:left="0"/>
                              <w:jc w:val="both"/>
                            </w:pPr>
                            <w:r>
                              <w:rPr>
                                <w:rFonts w:hint="eastAsia" w:ascii="宋体" w:hAnsi="宋体" w:eastAsia="宋体" w:cs="宋体"/>
                                <w:b/>
                                <w:color w:val="0070c0"/>
                                <w:w w:val="82"/>
                                <w:sz w:val="22"/>
                              </w:rPr>
                              <w:t>柜台行情</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7pt;height:48pt;margin-left:302pt;margin-top:112pt;mso-wrap-style:none;z-index:10338064;mso-wrap-distance-left:9pt;mso-wrap-distance-top:0pt;mso-wrap-distance-right:9pt;mso-wrap-distance-bottom:0pt" id="shape7096" o:spid="1618382349627" stroked="f">
                <v:textbox>
                  <w:txbxContent>
                    <w:p>
                      <w:pPr>
                        <w:spacing w:line="-240" w:lineRule="exact"/>
                        <w:ind w:left="0"/>
                        <w:jc w:val="both"/>
                      </w:pPr>
                      <w:r>
                        <w:rPr>
                          <w:rFonts w:hint="eastAsia" w:ascii="宋体" w:hAnsi="宋体" w:eastAsia="宋体" w:cs="宋体"/>
                          <w:b/>
                          <w:color w:val="0070c0"/>
                          <w:w w:val="82"/>
                          <w:sz w:val="22"/>
                        </w:rPr>
                        <w:t>网站行情</w:t>
                      </w:r>
                    </w:p>
                    <w:p>
                      <w:pPr>
                        <w:spacing w:line="320" w:lineRule="exact"/>
                        <w:ind w:left="0"/>
                        <w:jc w:val="both"/>
                      </w:pPr>
                      <w:r>
                        <w:rPr>
                          <w:rFonts w:hint="eastAsia" w:ascii="宋体" w:hAnsi="宋体" w:eastAsia="宋体" w:cs="宋体"/>
                          <w:b/>
                          <w:color w:val="0070c0"/>
                          <w:w w:val="82"/>
                          <w:sz w:val="22"/>
                        </w:rPr>
                        <w:t>客户端行情</w:t>
                      </w:r>
                    </w:p>
                    <w:p>
                      <w:pPr>
                        <w:spacing w:line="300" w:lineRule="exact"/>
                        <w:ind w:left="0"/>
                        <w:jc w:val="both"/>
                      </w:pPr>
                      <w:r>
                        <w:rPr>
                          <w:rFonts w:hint="eastAsia" w:ascii="宋体" w:hAnsi="宋体" w:eastAsia="宋体" w:cs="宋体"/>
                          <w:b/>
                          <w:color w:val="0070c0"/>
                          <w:w w:val="82"/>
                          <w:sz w:val="22"/>
                        </w:rPr>
                        <w:t>柜台行情</w:t>
                      </w:r>
                    </w:p>
                  </w:txbxContent>
                </v:textbox>
              </v:rect>
            </w:pict>
          </mc:Fallback>
        </mc:AlternateContent>
      </w:r>
      <w:r>
        <mc:AlternateContent>
          <mc:Choice Requires="wps">
            <w:drawing>
              <wp:anchor distT="0" distB="0" distL="114300" distR="114300" simplePos="false" relativeHeight="10339088" behindDoc="false" locked="false" layoutInCell="true" allowOverlap="true">
                <wp:simplePos x="0" y="0"/>
                <wp:positionH relativeFrom="page">
                  <wp:posOffset>5689600</wp:posOffset>
                </wp:positionH>
                <wp:positionV relativeFrom="page">
                  <wp:posOffset>1422400</wp:posOffset>
                </wp:positionV>
                <wp:extent cx="825500" cy="609600"/>
                <wp:effectExtent l="0" t="0" r="22225" b="31115"/>
                <wp:wrapNone/>
                <wp:docPr id="7097" name="shape7097"/>
                <wp:cNvGraphicFramePr/>
                <a:graphic>
                  <a:graphicData uri="http://schemas.microsoft.com/office/word/2010/wordprocessingShape">
                    <wps:wsp>
                      <wps:cNvSpPr/>
                      <wps:spPr>
                        <a:xfrm>
                          <a:off x="0" y="0"/>
                          <a:ext cx="825500" cy="609600"/>
                        </a:xfrm>
                        <a:prstGeom prst="rect">
                          <a:avLst/>
                        </a:prstGeom>
                      </wps:spPr>
                      <wps:txbx>
                        <w:txbxContent>
                          <w:p>
                            <w:pPr>
                              <w:spacing w:line="-240" w:lineRule="exact"/>
                              <w:ind w:left="80"/>
                              <w:jc w:val="both"/>
                            </w:pPr>
                            <w:r>
                              <w:rPr>
                                <w:rFonts w:hint="eastAsia" w:ascii="宋体" w:hAnsi="宋体" w:eastAsia="宋体" w:cs="宋体"/>
                                <w:b/>
                                <w:color w:val="0070c0"/>
                                <w:w w:val="82"/>
                                <w:sz w:val="22"/>
                              </w:rPr>
                              <w:t>移动终端</w:t>
                            </w:r>
                          </w:p>
                          <w:p>
                            <w:pPr>
                              <w:spacing w:line="320" w:lineRule="exact"/>
                              <w:ind w:left="0"/>
                              <w:jc w:val="both"/>
                            </w:pPr>
                            <w:r>
                              <w:rPr>
                                <w:rFonts w:hint="eastAsia" w:ascii="宋体" w:hAnsi="宋体" w:eastAsia="宋体" w:cs="宋体"/>
                                <w:b/>
                                <w:color w:val="0070c0"/>
                                <w:w w:val="82"/>
                                <w:sz w:val="22"/>
                              </w:rPr>
                              <w:t>银行联网平台</w:t>
                            </w:r>
                          </w:p>
                          <w:p>
                            <w:pPr>
                              <w:spacing w:line="300" w:lineRule="exact"/>
                              <w:ind w:left="0"/>
                              <w:jc w:val="both"/>
                            </w:pPr>
                            <w:r>
                              <w:rPr>
                                <w:rFonts w:hint="eastAsia" w:ascii="宋体" w:hAnsi="宋体" w:eastAsia="宋体" w:cs="宋体"/>
                                <w:b/>
                                <w:color w:val="0070c0"/>
                                <w:w w:val="82"/>
                                <w:sz w:val="22"/>
                              </w:rPr>
                              <w:t>对外标准接口</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48pt;margin-left:448pt;margin-top:112pt;mso-wrap-style:none;z-index:10339088;mso-wrap-distance-left:9pt;mso-wrap-distance-top:0pt;mso-wrap-distance-right:9pt;mso-wrap-distance-bottom:0pt" id="shape7097" o:spid="1618382349628" stroked="f">
                <v:textbox>
                  <w:txbxContent>
                    <w:p>
                      <w:pPr>
                        <w:spacing w:line="-240" w:lineRule="exact"/>
                        <w:ind w:left="80"/>
                        <w:jc w:val="both"/>
                      </w:pPr>
                      <w:r>
                        <w:rPr>
                          <w:rFonts w:hint="eastAsia" w:ascii="宋体" w:hAnsi="宋体" w:eastAsia="宋体" w:cs="宋体"/>
                          <w:b/>
                          <w:color w:val="0070c0"/>
                          <w:w w:val="82"/>
                          <w:sz w:val="22"/>
                        </w:rPr>
                        <w:t>移动终端</w:t>
                      </w:r>
                    </w:p>
                    <w:p>
                      <w:pPr>
                        <w:spacing w:line="320" w:lineRule="exact"/>
                        <w:ind w:left="0"/>
                        <w:jc w:val="both"/>
                      </w:pPr>
                      <w:r>
                        <w:rPr>
                          <w:rFonts w:hint="eastAsia" w:ascii="宋体" w:hAnsi="宋体" w:eastAsia="宋体" w:cs="宋体"/>
                          <w:b/>
                          <w:color w:val="0070c0"/>
                          <w:w w:val="82"/>
                          <w:sz w:val="22"/>
                        </w:rPr>
                        <w:t>银行联网平台</w:t>
                      </w:r>
                    </w:p>
                    <w:p>
                      <w:pPr>
                        <w:spacing w:line="300" w:lineRule="exact"/>
                        <w:ind w:left="0"/>
                        <w:jc w:val="both"/>
                      </w:pPr>
                      <w:r>
                        <w:rPr>
                          <w:rFonts w:hint="eastAsia" w:ascii="宋体" w:hAnsi="宋体" w:eastAsia="宋体" w:cs="宋体"/>
                          <w:b/>
                          <w:color w:val="0070c0"/>
                          <w:w w:val="82"/>
                          <w:sz w:val="22"/>
                        </w:rPr>
                        <w:t>对外标准接口</w:t>
                      </w:r>
                    </w:p>
                  </w:txbxContent>
                </v:textbox>
              </v:rect>
            </w:pict>
          </mc:Fallback>
        </mc:AlternateContent>
      </w:r>
      <w:r>
        <w:drawing>
          <wp:anchor distT="0" distB="0" distL="114300" distR="114300" simplePos="false" relativeHeight="10254096" behindDoc="true" locked="false" layoutInCell="true" allowOverlap="true">
            <wp:simplePos x="0" y="0"/>
            <wp:positionH relativeFrom="page">
              <wp:posOffset>1714500</wp:posOffset>
            </wp:positionH>
            <wp:positionV relativeFrom="page">
              <wp:posOffset>2374900</wp:posOffset>
            </wp:positionV>
            <wp:extent cx="838200" cy="457200"/>
            <wp:effectExtent l="0" t="0" r="0" b="0"/>
            <wp:wrapNone/>
            <wp:docPr id="7098" name="image7098" descr=""/>
            <wp:cNvGraphicFramePr>
              <a:graphicFrameLocks noChangeAspect="true"/>
            </wp:cNvGraphicFramePr>
            <a:graphic>
              <a:graphicData uri="http://schemas.openxmlformats.org/drawingml/2006/picture">
                <pic:pic>
                  <pic:nvPicPr>
                    <pic:cNvPr id="7098" name="image7098"/>
                    <pic:cNvPicPr/>
                  </pic:nvPicPr>
                  <pic:blipFill>
                    <a:blip r:embed="rId32"/>
                    <a:stretch>
                      <a:fillRect/>
                    </a:stretch>
                  </pic:blipFill>
                  <pic:spPr>
                    <a:xfrm flipV="true">
                      <a:off x="0" y="0"/>
                      <a:ext cx="838200" cy="457200"/>
                    </a:xfrm>
                    <a:prstGeom prst="rect">
                      <a:avLst/>
                    </a:prstGeom>
                  </pic:spPr>
                </pic:pic>
              </a:graphicData>
            </a:graphic>
          </wp:anchor>
        </w:drawing>
      </w:r>
      <w:r>
        <w:drawing>
          <wp:anchor distT="0" distB="0" distL="114300" distR="114300" simplePos="false" relativeHeight="10258192" behindDoc="true" locked="false" layoutInCell="true" allowOverlap="true">
            <wp:simplePos x="0" y="0"/>
            <wp:positionH relativeFrom="page">
              <wp:posOffset>2527300</wp:posOffset>
            </wp:positionH>
            <wp:positionV relativeFrom="page">
              <wp:posOffset>2374900</wp:posOffset>
            </wp:positionV>
            <wp:extent cx="850900" cy="457200"/>
            <wp:effectExtent l="0" t="0" r="0" b="0"/>
            <wp:wrapNone/>
            <wp:docPr id="7099" name="image7099" descr=""/>
            <wp:cNvGraphicFramePr>
              <a:graphicFrameLocks noChangeAspect="true"/>
            </wp:cNvGraphicFramePr>
            <a:graphic>
              <a:graphicData uri="http://schemas.openxmlformats.org/drawingml/2006/picture">
                <pic:pic>
                  <pic:nvPicPr>
                    <pic:cNvPr id="7099" name="image7099"/>
                    <pic:cNvPicPr/>
                  </pic:nvPicPr>
                  <pic:blipFill>
                    <a:blip r:embed="rId33"/>
                    <a:stretch>
                      <a:fillRect/>
                    </a:stretch>
                  </pic:blipFill>
                  <pic:spPr>
                    <a:xfrm flipV="true">
                      <a:off x="0" y="0"/>
                      <a:ext cx="850900" cy="457200"/>
                    </a:xfrm>
                    <a:prstGeom prst="rect">
                      <a:avLst/>
                    </a:prstGeom>
                  </pic:spPr>
                </pic:pic>
              </a:graphicData>
            </a:graphic>
          </wp:anchor>
        </w:drawing>
      </w:r>
      <w:r>
        <w:drawing>
          <wp:anchor distT="0" distB="0" distL="114300" distR="114300" simplePos="false" relativeHeight="10262288" behindDoc="true" locked="false" layoutInCell="true" allowOverlap="true">
            <wp:simplePos x="0" y="0"/>
            <wp:positionH relativeFrom="page">
              <wp:posOffset>3365500</wp:posOffset>
            </wp:positionH>
            <wp:positionV relativeFrom="page">
              <wp:posOffset>2374900</wp:posOffset>
            </wp:positionV>
            <wp:extent cx="838200" cy="457200"/>
            <wp:effectExtent l="0" t="0" r="0" b="0"/>
            <wp:wrapNone/>
            <wp:docPr id="7100" name="image7100" descr=""/>
            <wp:cNvGraphicFramePr>
              <a:graphicFrameLocks noChangeAspect="true"/>
            </wp:cNvGraphicFramePr>
            <a:graphic>
              <a:graphicData uri="http://schemas.openxmlformats.org/drawingml/2006/picture">
                <pic:pic>
                  <pic:nvPicPr>
                    <pic:cNvPr id="7100" name="image7100"/>
                    <pic:cNvPicPr/>
                  </pic:nvPicPr>
                  <pic:blipFill>
                    <a:blip r:embed="rId34"/>
                    <a:stretch>
                      <a:fillRect/>
                    </a:stretch>
                  </pic:blipFill>
                  <pic:spPr>
                    <a:xfrm flipV="true">
                      <a:off x="0" y="0"/>
                      <a:ext cx="838200" cy="457200"/>
                    </a:xfrm>
                    <a:prstGeom prst="rect">
                      <a:avLst/>
                    </a:prstGeom>
                  </pic:spPr>
                </pic:pic>
              </a:graphicData>
            </a:graphic>
          </wp:anchor>
        </w:drawing>
      </w:r>
      <w:r>
        <w:drawing>
          <wp:anchor distT="0" distB="0" distL="114300" distR="114300" simplePos="false" relativeHeight="10266384" behindDoc="true" locked="false" layoutInCell="true" allowOverlap="true">
            <wp:simplePos x="0" y="0"/>
            <wp:positionH relativeFrom="page">
              <wp:posOffset>1714500</wp:posOffset>
            </wp:positionH>
            <wp:positionV relativeFrom="page">
              <wp:posOffset>4305300</wp:posOffset>
            </wp:positionV>
            <wp:extent cx="4978400" cy="317500"/>
            <wp:effectExtent l="0" t="0" r="0" b="0"/>
            <wp:wrapNone/>
            <wp:docPr id="7101" name="image7101" descr=""/>
            <wp:cNvGraphicFramePr>
              <a:graphicFrameLocks noChangeAspect="true"/>
            </wp:cNvGraphicFramePr>
            <a:graphic>
              <a:graphicData uri="http://schemas.openxmlformats.org/drawingml/2006/picture">
                <pic:pic>
                  <pic:nvPicPr>
                    <pic:cNvPr id="7101" name="image7101"/>
                    <pic:cNvPicPr/>
                  </pic:nvPicPr>
                  <pic:blipFill>
                    <a:blip r:embed="rId35"/>
                    <a:stretch>
                      <a:fillRect/>
                    </a:stretch>
                  </pic:blipFill>
                  <pic:spPr>
                    <a:xfrm flipV="true">
                      <a:off x="0" y="0"/>
                      <a:ext cx="4978400" cy="317500"/>
                    </a:xfrm>
                    <a:prstGeom prst="rect">
                      <a:avLst/>
                    </a:prstGeom>
                  </pic:spPr>
                </pic:pic>
              </a:graphicData>
            </a:graphic>
          </wp:anchor>
        </w:drawing>
      </w:r>
      <w:r>
        <w:drawing>
          <wp:anchor distT="0" distB="0" distL="114300" distR="114300" simplePos="false" relativeHeight="10270480" behindDoc="true" locked="false" layoutInCell="true" allowOverlap="true">
            <wp:simplePos x="0" y="0"/>
            <wp:positionH relativeFrom="page">
              <wp:posOffset>1701800</wp:posOffset>
            </wp:positionH>
            <wp:positionV relativeFrom="page">
              <wp:posOffset>3429000</wp:posOffset>
            </wp:positionV>
            <wp:extent cx="4991100" cy="304800"/>
            <wp:effectExtent l="0" t="0" r="0" b="0"/>
            <wp:wrapNone/>
            <wp:docPr id="7102" name="image7102" descr=""/>
            <wp:cNvGraphicFramePr>
              <a:graphicFrameLocks noChangeAspect="true"/>
            </wp:cNvGraphicFramePr>
            <a:graphic>
              <a:graphicData uri="http://schemas.openxmlformats.org/drawingml/2006/picture">
                <pic:pic>
                  <pic:nvPicPr>
                    <pic:cNvPr id="7102" name="image7102"/>
                    <pic:cNvPicPr/>
                  </pic:nvPicPr>
                  <pic:blipFill>
                    <a:blip r:embed="rId36"/>
                    <a:stretch>
                      <a:fillRect/>
                    </a:stretch>
                  </pic:blipFill>
                  <pic:spPr>
                    <a:xfrm flipV="true">
                      <a:off x="0" y="0"/>
                      <a:ext cx="4991100" cy="304800"/>
                    </a:xfrm>
                    <a:prstGeom prst="rect">
                      <a:avLst/>
                    </a:prstGeom>
                  </pic:spPr>
                </pic:pic>
              </a:graphicData>
            </a:graphic>
          </wp:anchor>
        </w:drawing>
      </w:r>
      <w:r>
        <w:drawing>
          <wp:anchor distT="0" distB="0" distL="114300" distR="114300" simplePos="false" relativeHeight="10274576" behindDoc="true" locked="false" layoutInCell="true" allowOverlap="true">
            <wp:simplePos x="0" y="0"/>
            <wp:positionH relativeFrom="page">
              <wp:posOffset>1714500</wp:posOffset>
            </wp:positionH>
            <wp:positionV relativeFrom="page">
              <wp:posOffset>2082800</wp:posOffset>
            </wp:positionV>
            <wp:extent cx="4978400" cy="304800"/>
            <wp:effectExtent l="0" t="0" r="0" b="0"/>
            <wp:wrapNone/>
            <wp:docPr id="7103" name="image7103" descr=""/>
            <wp:cNvGraphicFramePr>
              <a:graphicFrameLocks noChangeAspect="true"/>
            </wp:cNvGraphicFramePr>
            <a:graphic>
              <a:graphicData uri="http://schemas.openxmlformats.org/drawingml/2006/picture">
                <pic:pic>
                  <pic:nvPicPr>
                    <pic:cNvPr id="7103" name="image7103"/>
                    <pic:cNvPicPr/>
                  </pic:nvPicPr>
                  <pic:blipFill>
                    <a:blip r:embed="rId37"/>
                    <a:stretch>
                      <a:fillRect/>
                    </a:stretch>
                  </pic:blipFill>
                  <pic:spPr>
                    <a:xfrm flipV="true">
                      <a:off x="0" y="0"/>
                      <a:ext cx="4978400" cy="304800"/>
                    </a:xfrm>
                    <a:prstGeom prst="rect">
                      <a:avLst/>
                    </a:prstGeom>
                  </pic:spPr>
                </pic:pic>
              </a:graphicData>
            </a:graphic>
          </wp:anchor>
        </w:drawing>
      </w:r>
      <w:r>
        <w:drawing>
          <wp:anchor distT="0" distB="0" distL="114300" distR="114300" simplePos="false" relativeHeight="10278672" behindDoc="true" locked="false" layoutInCell="true" allowOverlap="true">
            <wp:simplePos x="0" y="0"/>
            <wp:positionH relativeFrom="page">
              <wp:posOffset>1714500</wp:posOffset>
            </wp:positionH>
            <wp:positionV relativeFrom="page">
              <wp:posOffset>3111500</wp:posOffset>
            </wp:positionV>
            <wp:extent cx="965200" cy="304800"/>
            <wp:effectExtent l="0" t="0" r="0" b="0"/>
            <wp:wrapNone/>
            <wp:docPr id="7104" name="image7104" descr=""/>
            <wp:cNvGraphicFramePr>
              <a:graphicFrameLocks noChangeAspect="true"/>
            </wp:cNvGraphicFramePr>
            <a:graphic>
              <a:graphicData uri="http://schemas.openxmlformats.org/drawingml/2006/picture">
                <pic:pic>
                  <pic:nvPicPr>
                    <pic:cNvPr id="7104" name="image7104"/>
                    <pic:cNvPicPr/>
                  </pic:nvPicPr>
                  <pic:blipFill>
                    <a:blip r:embed="rId38"/>
                    <a:stretch>
                      <a:fillRect/>
                    </a:stretch>
                  </pic:blipFill>
                  <pic:spPr>
                    <a:xfrm flipV="true">
                      <a:off x="0" y="0"/>
                      <a:ext cx="965200" cy="304800"/>
                    </a:xfrm>
                    <a:prstGeom prst="rect">
                      <a:avLst/>
                    </a:prstGeom>
                  </pic:spPr>
                </pic:pic>
              </a:graphicData>
            </a:graphic>
          </wp:anchor>
        </w:drawing>
      </w:r>
      <w:r>
        <w:drawing>
          <wp:anchor distT="0" distB="0" distL="114300" distR="114300" simplePos="false" relativeHeight="10282768" behindDoc="true" locked="false" layoutInCell="true" allowOverlap="true">
            <wp:simplePos x="0" y="0"/>
            <wp:positionH relativeFrom="page">
              <wp:posOffset>2667000</wp:posOffset>
            </wp:positionH>
            <wp:positionV relativeFrom="page">
              <wp:posOffset>3111500</wp:posOffset>
            </wp:positionV>
            <wp:extent cx="1041400" cy="304800"/>
            <wp:effectExtent l="0" t="0" r="0" b="0"/>
            <wp:wrapNone/>
            <wp:docPr id="7105" name="image7105" descr=""/>
            <wp:cNvGraphicFramePr>
              <a:graphicFrameLocks noChangeAspect="true"/>
            </wp:cNvGraphicFramePr>
            <a:graphic>
              <a:graphicData uri="http://schemas.openxmlformats.org/drawingml/2006/picture">
                <pic:pic>
                  <pic:nvPicPr>
                    <pic:cNvPr id="7105" name="image7105"/>
                    <pic:cNvPicPr/>
                  </pic:nvPicPr>
                  <pic:blipFill>
                    <a:blip r:embed="rId39"/>
                    <a:stretch>
                      <a:fillRect/>
                    </a:stretch>
                  </pic:blipFill>
                  <pic:spPr>
                    <a:xfrm flipV="true">
                      <a:off x="0" y="0"/>
                      <a:ext cx="1041400" cy="304800"/>
                    </a:xfrm>
                    <a:prstGeom prst="rect">
                      <a:avLst/>
                    </a:prstGeom>
                  </pic:spPr>
                </pic:pic>
              </a:graphicData>
            </a:graphic>
          </wp:anchor>
        </w:drawing>
      </w:r>
      <w:r>
        <w:drawing>
          <wp:anchor distT="0" distB="0" distL="114300" distR="114300" simplePos="false" relativeHeight="10286864" behindDoc="true" locked="false" layoutInCell="true" allowOverlap="true">
            <wp:simplePos x="0" y="0"/>
            <wp:positionH relativeFrom="page">
              <wp:posOffset>4686300</wp:posOffset>
            </wp:positionH>
            <wp:positionV relativeFrom="page">
              <wp:posOffset>3111500</wp:posOffset>
            </wp:positionV>
            <wp:extent cx="1231900" cy="304800"/>
            <wp:effectExtent l="0" t="0" r="0" b="0"/>
            <wp:wrapNone/>
            <wp:docPr id="7106" name="image7106" descr=""/>
            <wp:cNvGraphicFramePr>
              <a:graphicFrameLocks noChangeAspect="true"/>
            </wp:cNvGraphicFramePr>
            <a:graphic>
              <a:graphicData uri="http://schemas.openxmlformats.org/drawingml/2006/picture">
                <pic:pic>
                  <pic:nvPicPr>
                    <pic:cNvPr id="7106" name="image7106"/>
                    <pic:cNvPicPr/>
                  </pic:nvPicPr>
                  <pic:blipFill>
                    <a:blip r:embed="rId40"/>
                    <a:stretch>
                      <a:fillRect/>
                    </a:stretch>
                  </pic:blipFill>
                  <pic:spPr>
                    <a:xfrm flipV="true">
                      <a:off x="0" y="0"/>
                      <a:ext cx="1231900" cy="304800"/>
                    </a:xfrm>
                    <a:prstGeom prst="rect">
                      <a:avLst/>
                    </a:prstGeom>
                  </pic:spPr>
                </pic:pic>
              </a:graphicData>
            </a:graphic>
          </wp:anchor>
        </w:drawing>
      </w:r>
      <w:r>
        <w:drawing>
          <wp:anchor distT="0" distB="0" distL="114300" distR="114300" simplePos="false" relativeHeight="10290960" behindDoc="true" locked="false" layoutInCell="true" allowOverlap="true">
            <wp:simplePos x="0" y="0"/>
            <wp:positionH relativeFrom="page">
              <wp:posOffset>3695700</wp:posOffset>
            </wp:positionH>
            <wp:positionV relativeFrom="page">
              <wp:posOffset>3111500</wp:posOffset>
            </wp:positionV>
            <wp:extent cx="1003300" cy="304800"/>
            <wp:effectExtent l="0" t="0" r="0" b="0"/>
            <wp:wrapNone/>
            <wp:docPr id="7107" name="image7107" descr=""/>
            <wp:cNvGraphicFramePr>
              <a:graphicFrameLocks noChangeAspect="true"/>
            </wp:cNvGraphicFramePr>
            <a:graphic>
              <a:graphicData uri="http://schemas.openxmlformats.org/drawingml/2006/picture">
                <pic:pic>
                  <pic:nvPicPr>
                    <pic:cNvPr id="7107" name="image7107"/>
                    <pic:cNvPicPr/>
                  </pic:nvPicPr>
                  <pic:blipFill>
                    <a:blip r:embed="rId41"/>
                    <a:stretch>
                      <a:fillRect/>
                    </a:stretch>
                  </pic:blipFill>
                  <pic:spPr>
                    <a:xfrm flipV="true">
                      <a:off x="0" y="0"/>
                      <a:ext cx="1003300" cy="304800"/>
                    </a:xfrm>
                    <a:prstGeom prst="rect">
                      <a:avLst/>
                    </a:prstGeom>
                  </pic:spPr>
                </pic:pic>
              </a:graphicData>
            </a:graphic>
          </wp:anchor>
        </w:drawing>
      </w:r>
      <w:r>
        <w:drawing>
          <wp:anchor distT="0" distB="0" distL="114300" distR="114300" simplePos="false" relativeHeight="10294032" behindDoc="true" locked="false" layoutInCell="true" allowOverlap="true">
            <wp:simplePos x="0" y="0"/>
            <wp:positionH relativeFrom="page">
              <wp:posOffset>5537200</wp:posOffset>
            </wp:positionH>
            <wp:positionV relativeFrom="page">
              <wp:posOffset>1346200</wp:posOffset>
            </wp:positionV>
            <wp:extent cx="1155700" cy="749300"/>
            <wp:effectExtent l="0" t="0" r="0" b="0"/>
            <wp:wrapNone/>
            <wp:docPr id="7108" name="image7108" descr=""/>
            <wp:cNvGraphicFramePr>
              <a:graphicFrameLocks noChangeAspect="true"/>
            </wp:cNvGraphicFramePr>
            <a:graphic>
              <a:graphicData uri="http://schemas.openxmlformats.org/drawingml/2006/picture">
                <pic:pic>
                  <pic:nvPicPr>
                    <pic:cNvPr id="7108" name="image7108"/>
                    <pic:cNvPicPr/>
                  </pic:nvPicPr>
                  <pic:blipFill>
                    <a:blip r:embed="rId42"/>
                    <a:stretch>
                      <a:fillRect/>
                    </a:stretch>
                  </pic:blipFill>
                  <pic:spPr>
                    <a:xfrm flipV="true">
                      <a:off x="0" y="0"/>
                      <a:ext cx="1155700" cy="749300"/>
                    </a:xfrm>
                    <a:prstGeom prst="rect">
                      <a:avLst/>
                    </a:prstGeom>
                  </pic:spPr>
                </pic:pic>
              </a:graphicData>
            </a:graphic>
          </wp:anchor>
        </w:drawing>
      </w:r>
      <w:r>
        <w:drawing>
          <wp:anchor distT="0" distB="0" distL="114300" distR="114300" simplePos="false" relativeHeight="10296080" behindDoc="true" locked="false" layoutInCell="true" allowOverlap="true">
            <wp:simplePos x="0" y="0"/>
            <wp:positionH relativeFrom="page">
              <wp:posOffset>3619500</wp:posOffset>
            </wp:positionH>
            <wp:positionV relativeFrom="page">
              <wp:posOffset>1346200</wp:posOffset>
            </wp:positionV>
            <wp:extent cx="1181100" cy="749300"/>
            <wp:effectExtent l="0" t="0" r="0" b="0"/>
            <wp:wrapNone/>
            <wp:docPr id="7109" name="image7109" descr=""/>
            <wp:cNvGraphicFramePr>
              <a:graphicFrameLocks noChangeAspect="true"/>
            </wp:cNvGraphicFramePr>
            <a:graphic>
              <a:graphicData uri="http://schemas.openxmlformats.org/drawingml/2006/picture">
                <pic:pic>
                  <pic:nvPicPr>
                    <pic:cNvPr id="7109" name="image7109"/>
                    <pic:cNvPicPr/>
                  </pic:nvPicPr>
                  <pic:blipFill>
                    <a:blip r:embed="rId43"/>
                    <a:stretch>
                      <a:fillRect/>
                    </a:stretch>
                  </pic:blipFill>
                  <pic:spPr>
                    <a:xfrm flipV="true">
                      <a:off x="0" y="0"/>
                      <a:ext cx="1181100" cy="749300"/>
                    </a:xfrm>
                    <a:prstGeom prst="rect">
                      <a:avLst/>
                    </a:prstGeom>
                  </pic:spPr>
                </pic:pic>
              </a:graphicData>
            </a:graphic>
          </wp:anchor>
        </w:drawing>
      </w:r>
      <w:r>
        <w:drawing>
          <wp:anchor distT="0" distB="0" distL="114300" distR="114300" simplePos="false" relativeHeight="10298128" behindDoc="true" locked="false" layoutInCell="true" allowOverlap="true">
            <wp:simplePos x="0" y="0"/>
            <wp:positionH relativeFrom="page">
              <wp:posOffset>1727200</wp:posOffset>
            </wp:positionH>
            <wp:positionV relativeFrom="page">
              <wp:posOffset>1346200</wp:posOffset>
            </wp:positionV>
            <wp:extent cx="1117600" cy="749300"/>
            <wp:effectExtent l="0" t="0" r="0" b="0"/>
            <wp:wrapNone/>
            <wp:docPr id="7110" name="image7110" descr=""/>
            <wp:cNvGraphicFramePr>
              <a:graphicFrameLocks noChangeAspect="true"/>
            </wp:cNvGraphicFramePr>
            <a:graphic>
              <a:graphicData uri="http://schemas.openxmlformats.org/drawingml/2006/picture">
                <pic:pic>
                  <pic:nvPicPr>
                    <pic:cNvPr id="7110" name="image7110"/>
                    <pic:cNvPicPr/>
                  </pic:nvPicPr>
                  <pic:blipFill>
                    <a:blip r:embed="rId44"/>
                    <a:stretch>
                      <a:fillRect/>
                    </a:stretch>
                  </pic:blipFill>
                  <pic:spPr>
                    <a:xfrm flipV="true">
                      <a:off x="0" y="0"/>
                      <a:ext cx="1117600" cy="749300"/>
                    </a:xfrm>
                    <a:prstGeom prst="rect">
                      <a:avLst/>
                    </a:prstGeom>
                  </pic:spPr>
                </pic:pic>
              </a:graphicData>
            </a:graphic>
          </wp:anchor>
        </w:drawing>
      </w:r>
      <w:r>
        <w:drawing>
          <wp:anchor distT="0" distB="0" distL="114300" distR="114300" simplePos="false" relativeHeight="10301200" behindDoc="true" locked="false" layoutInCell="true" allowOverlap="true">
            <wp:simplePos x="0" y="0"/>
            <wp:positionH relativeFrom="page">
              <wp:posOffset>1460500</wp:posOffset>
            </wp:positionH>
            <wp:positionV relativeFrom="page">
              <wp:posOffset>4610100</wp:posOffset>
            </wp:positionV>
            <wp:extent cx="5232400" cy="25400"/>
            <wp:effectExtent l="0" t="0" r="0" b="0"/>
            <wp:wrapNone/>
            <wp:docPr id="7111" name="image7111" descr=""/>
            <wp:cNvGraphicFramePr>
              <a:graphicFrameLocks noChangeAspect="true"/>
            </wp:cNvGraphicFramePr>
            <a:graphic>
              <a:graphicData uri="http://schemas.openxmlformats.org/drawingml/2006/picture">
                <pic:pic>
                  <pic:nvPicPr>
                    <pic:cNvPr id="7111" name="image7111"/>
                    <pic:cNvPicPr/>
                  </pic:nvPicPr>
                  <pic:blipFill>
                    <a:blip r:embed="rId45"/>
                    <a:stretch>
                      <a:fillRect/>
                    </a:stretch>
                  </pic:blipFill>
                  <pic:spPr>
                    <a:xfrm flipV="true">
                      <a:off x="0" y="0"/>
                      <a:ext cx="5232400" cy="25400"/>
                    </a:xfrm>
                    <a:prstGeom prst="rect">
                      <a:avLst/>
                    </a:prstGeom>
                  </pic:spPr>
                </pic:pic>
              </a:graphicData>
            </a:graphic>
          </wp:anchor>
        </w:drawing>
      </w:r>
      <w:r>
        <w:drawing>
          <wp:anchor distT="0" distB="0" distL="114300" distR="114300" simplePos="false" relativeHeight="10305296" behindDoc="true" locked="false" layoutInCell="true" allowOverlap="true">
            <wp:simplePos x="0" y="0"/>
            <wp:positionH relativeFrom="page">
              <wp:posOffset>1714500</wp:posOffset>
            </wp:positionH>
            <wp:positionV relativeFrom="page">
              <wp:posOffset>4013200</wp:posOffset>
            </wp:positionV>
            <wp:extent cx="4978400" cy="304800"/>
            <wp:effectExtent l="0" t="0" r="0" b="0"/>
            <wp:wrapNone/>
            <wp:docPr id="7112" name="image7112" descr=""/>
            <wp:cNvGraphicFramePr>
              <a:graphicFrameLocks noChangeAspect="true"/>
            </wp:cNvGraphicFramePr>
            <a:graphic>
              <a:graphicData uri="http://schemas.openxmlformats.org/drawingml/2006/picture">
                <pic:pic>
                  <pic:nvPicPr>
                    <pic:cNvPr id="7112" name="image7112"/>
                    <pic:cNvPicPr/>
                  </pic:nvPicPr>
                  <pic:blipFill>
                    <a:blip r:embed="rId46"/>
                    <a:stretch>
                      <a:fillRect/>
                    </a:stretch>
                  </pic:blipFill>
                  <pic:spPr>
                    <a:xfrm flipV="true">
                      <a:off x="0" y="0"/>
                      <a:ext cx="4978400" cy="304800"/>
                    </a:xfrm>
                    <a:prstGeom prst="rect">
                      <a:avLst/>
                    </a:prstGeom>
                  </pic:spPr>
                </pic:pic>
              </a:graphicData>
            </a:graphic>
          </wp:anchor>
        </w:drawing>
      </w:r>
      <w:r>
        <w:drawing>
          <wp:anchor distT="0" distB="0" distL="114300" distR="114300" simplePos="false" relativeHeight="10309392" behindDoc="true" locked="false" layoutInCell="true" allowOverlap="true">
            <wp:simplePos x="0" y="0"/>
            <wp:positionH relativeFrom="page">
              <wp:posOffset>5905500</wp:posOffset>
            </wp:positionH>
            <wp:positionV relativeFrom="page">
              <wp:posOffset>3111500</wp:posOffset>
            </wp:positionV>
            <wp:extent cx="787400" cy="304800"/>
            <wp:effectExtent l="0" t="0" r="0" b="0"/>
            <wp:wrapNone/>
            <wp:docPr id="7113" name="image7113" descr=""/>
            <wp:cNvGraphicFramePr>
              <a:graphicFrameLocks noChangeAspect="true"/>
            </wp:cNvGraphicFramePr>
            <a:graphic>
              <a:graphicData uri="http://schemas.openxmlformats.org/drawingml/2006/picture">
                <pic:pic>
                  <pic:nvPicPr>
                    <pic:cNvPr id="7113" name="image7113"/>
                    <pic:cNvPicPr/>
                  </pic:nvPicPr>
                  <pic:blipFill>
                    <a:blip r:embed="rId47"/>
                    <a:stretch>
                      <a:fillRect/>
                    </a:stretch>
                  </pic:blipFill>
                  <pic:spPr>
                    <a:xfrm flipV="true">
                      <a:off x="0" y="0"/>
                      <a:ext cx="787400" cy="304800"/>
                    </a:xfrm>
                    <a:prstGeom prst="rect">
                      <a:avLst/>
                    </a:prstGeom>
                  </pic:spPr>
                </pic:pic>
              </a:graphicData>
            </a:graphic>
          </wp:anchor>
        </w:drawing>
      </w:r>
      <w:r>
        <w:drawing>
          <wp:anchor distT="0" distB="0" distL="114300" distR="114300" simplePos="false" relativeHeight="10313488" behindDoc="true" locked="false" layoutInCell="true" allowOverlap="true">
            <wp:simplePos x="0" y="0"/>
            <wp:positionH relativeFrom="page">
              <wp:posOffset>1714500</wp:posOffset>
            </wp:positionH>
            <wp:positionV relativeFrom="page">
              <wp:posOffset>2819400</wp:posOffset>
            </wp:positionV>
            <wp:extent cx="4978400" cy="304800"/>
            <wp:effectExtent l="0" t="0" r="0" b="0"/>
            <wp:wrapNone/>
            <wp:docPr id="7114" name="image7114" descr=""/>
            <wp:cNvGraphicFramePr>
              <a:graphicFrameLocks noChangeAspect="true"/>
            </wp:cNvGraphicFramePr>
            <a:graphic>
              <a:graphicData uri="http://schemas.openxmlformats.org/drawingml/2006/picture">
                <pic:pic>
                  <pic:nvPicPr>
                    <pic:cNvPr id="7114" name="image7114"/>
                    <pic:cNvPicPr/>
                  </pic:nvPicPr>
                  <pic:blipFill>
                    <a:blip r:embed="rId48"/>
                    <a:stretch>
                      <a:fillRect/>
                    </a:stretch>
                  </pic:blipFill>
                  <pic:spPr>
                    <a:xfrm flipV="true">
                      <a:off x="0" y="0"/>
                      <a:ext cx="4978400" cy="304800"/>
                    </a:xfrm>
                    <a:prstGeom prst="rect">
                      <a:avLst/>
                    </a:prstGeom>
                  </pic:spPr>
                </pic:pic>
              </a:graphicData>
            </a:graphic>
          </wp:anchor>
        </w:drawing>
      </w:r>
      <w:r>
        <w:drawing>
          <wp:anchor distT="0" distB="0" distL="114300" distR="114300" simplePos="false" relativeHeight="10317584" behindDoc="true" locked="false" layoutInCell="true" allowOverlap="true">
            <wp:simplePos x="0" y="0"/>
            <wp:positionH relativeFrom="page">
              <wp:posOffset>4191000</wp:posOffset>
            </wp:positionH>
            <wp:positionV relativeFrom="page">
              <wp:posOffset>2374900</wp:posOffset>
            </wp:positionV>
            <wp:extent cx="838200" cy="457200"/>
            <wp:effectExtent l="0" t="0" r="0" b="0"/>
            <wp:wrapNone/>
            <wp:docPr id="7115" name="image7115" descr=""/>
            <wp:cNvGraphicFramePr>
              <a:graphicFrameLocks noChangeAspect="true"/>
            </wp:cNvGraphicFramePr>
            <a:graphic>
              <a:graphicData uri="http://schemas.openxmlformats.org/drawingml/2006/picture">
                <pic:pic>
                  <pic:nvPicPr>
                    <pic:cNvPr id="7115" name="image7115"/>
                    <pic:cNvPicPr/>
                  </pic:nvPicPr>
                  <pic:blipFill>
                    <a:blip r:embed="rId49"/>
                    <a:stretch>
                      <a:fillRect/>
                    </a:stretch>
                  </pic:blipFill>
                  <pic:spPr>
                    <a:xfrm flipV="true">
                      <a:off x="0" y="0"/>
                      <a:ext cx="838200" cy="457200"/>
                    </a:xfrm>
                    <a:prstGeom prst="rect">
                      <a:avLst/>
                    </a:prstGeom>
                  </pic:spPr>
                </pic:pic>
              </a:graphicData>
            </a:graphic>
          </wp:anchor>
        </w:drawing>
      </w:r>
      <w:r>
        <w:drawing>
          <wp:anchor distT="0" distB="0" distL="114300" distR="114300" simplePos="false" relativeHeight="10321680" behindDoc="true" locked="false" layoutInCell="true" allowOverlap="true">
            <wp:simplePos x="0" y="0"/>
            <wp:positionH relativeFrom="page">
              <wp:posOffset>5016500</wp:posOffset>
            </wp:positionH>
            <wp:positionV relativeFrom="page">
              <wp:posOffset>2374900</wp:posOffset>
            </wp:positionV>
            <wp:extent cx="850900" cy="457200"/>
            <wp:effectExtent l="0" t="0" r="0" b="0"/>
            <wp:wrapNone/>
            <wp:docPr id="7116" name="image7116" descr=""/>
            <wp:cNvGraphicFramePr>
              <a:graphicFrameLocks noChangeAspect="true"/>
            </wp:cNvGraphicFramePr>
            <a:graphic>
              <a:graphicData uri="http://schemas.openxmlformats.org/drawingml/2006/picture">
                <pic:pic>
                  <pic:nvPicPr>
                    <pic:cNvPr id="7116" name="image7116"/>
                    <pic:cNvPicPr/>
                  </pic:nvPicPr>
                  <pic:blipFill>
                    <a:blip r:embed="rId50"/>
                    <a:stretch>
                      <a:fillRect/>
                    </a:stretch>
                  </pic:blipFill>
                  <pic:spPr>
                    <a:xfrm flipV="true">
                      <a:off x="0" y="0"/>
                      <a:ext cx="850900" cy="457200"/>
                    </a:xfrm>
                    <a:prstGeom prst="rect">
                      <a:avLst/>
                    </a:prstGeom>
                  </pic:spPr>
                </pic:pic>
              </a:graphicData>
            </a:graphic>
          </wp:anchor>
        </w:drawing>
      </w:r>
      <w:r>
        <w:drawing>
          <wp:anchor distT="0" distB="0" distL="114300" distR="114300" simplePos="false" relativeHeight="10325776" behindDoc="true" locked="false" layoutInCell="true" allowOverlap="true">
            <wp:simplePos x="0" y="0"/>
            <wp:positionH relativeFrom="page">
              <wp:posOffset>5854700</wp:posOffset>
            </wp:positionH>
            <wp:positionV relativeFrom="page">
              <wp:posOffset>2374900</wp:posOffset>
            </wp:positionV>
            <wp:extent cx="838200" cy="457200"/>
            <wp:effectExtent l="0" t="0" r="0" b="0"/>
            <wp:wrapNone/>
            <wp:docPr id="7117" name="image7117" descr=""/>
            <wp:cNvGraphicFramePr>
              <a:graphicFrameLocks noChangeAspect="true"/>
            </wp:cNvGraphicFramePr>
            <a:graphic>
              <a:graphicData uri="http://schemas.openxmlformats.org/drawingml/2006/picture">
                <pic:pic>
                  <pic:nvPicPr>
                    <pic:cNvPr id="7117" name="image7117"/>
                    <pic:cNvPicPr/>
                  </pic:nvPicPr>
                  <pic:blipFill>
                    <a:blip r:embed="rId51"/>
                    <a:stretch>
                      <a:fillRect/>
                    </a:stretch>
                  </pic:blipFill>
                  <pic:spPr>
                    <a:xfrm flipV="true">
                      <a:off x="0" y="0"/>
                      <a:ext cx="838200" cy="457200"/>
                    </a:xfrm>
                    <a:prstGeom prst="rect">
                      <a:avLst/>
                    </a:prstGeom>
                  </pic:spPr>
                </pic:pic>
              </a:graphicData>
            </a:graphic>
          </wp:anchor>
        </w:drawing>
      </w:r>
      <w:r>
        <w:drawing>
          <wp:anchor distT="0" distB="0" distL="114300" distR="114300" simplePos="false" relativeHeight="10329872" behindDoc="true" locked="false" layoutInCell="true" allowOverlap="true">
            <wp:simplePos x="0" y="0"/>
            <wp:positionH relativeFrom="page">
              <wp:posOffset>1460500</wp:posOffset>
            </wp:positionH>
            <wp:positionV relativeFrom="page">
              <wp:posOffset>2082800</wp:posOffset>
            </wp:positionV>
            <wp:extent cx="254000" cy="2540000"/>
            <wp:effectExtent l="0" t="0" r="0" b="0"/>
            <wp:wrapNone/>
            <wp:docPr id="7118" name="image7118" descr=""/>
            <wp:cNvGraphicFramePr>
              <a:graphicFrameLocks noChangeAspect="true"/>
            </wp:cNvGraphicFramePr>
            <a:graphic>
              <a:graphicData uri="http://schemas.openxmlformats.org/drawingml/2006/picture">
                <pic:pic>
                  <pic:nvPicPr>
                    <pic:cNvPr id="7118" name="image7118"/>
                    <pic:cNvPicPr/>
                  </pic:nvPicPr>
                  <pic:blipFill>
                    <a:blip r:embed="rId52"/>
                    <a:stretch>
                      <a:fillRect/>
                    </a:stretch>
                  </pic:blipFill>
                  <pic:spPr>
                    <a:xfrm flipV="true">
                      <a:off x="0" y="0"/>
                      <a:ext cx="254000" cy="2540000"/>
                    </a:xfrm>
                    <a:prstGeom prst="rect">
                      <a:avLst/>
                    </a:prstGeom>
                  </pic:spPr>
                </pic:pic>
              </a:graphicData>
            </a:graphic>
          </wp:anchor>
        </w:drawing>
      </w:r>
      <w:r>
        <w:drawing>
          <wp:anchor distT="0" distB="0" distL="114300" distR="114300" simplePos="false" relativeHeight="10333968" behindDoc="true" locked="false" layoutInCell="true" allowOverlap="true">
            <wp:simplePos x="0" y="0"/>
            <wp:positionH relativeFrom="page">
              <wp:posOffset>1701800</wp:posOffset>
            </wp:positionH>
            <wp:positionV relativeFrom="page">
              <wp:posOffset>3721100</wp:posOffset>
            </wp:positionV>
            <wp:extent cx="4991100" cy="304800"/>
            <wp:effectExtent l="0" t="0" r="0" b="0"/>
            <wp:wrapNone/>
            <wp:docPr id="7119" name="image7119" descr=""/>
            <wp:cNvGraphicFramePr>
              <a:graphicFrameLocks noChangeAspect="true"/>
            </wp:cNvGraphicFramePr>
            <a:graphic>
              <a:graphicData uri="http://schemas.openxmlformats.org/drawingml/2006/picture">
                <pic:pic>
                  <pic:nvPicPr>
                    <pic:cNvPr id="7119" name="image7119"/>
                    <pic:cNvPicPr/>
                  </pic:nvPicPr>
                  <pic:blipFill>
                    <a:blip r:embed="rId53"/>
                    <a:stretch>
                      <a:fillRect/>
                    </a:stretch>
                  </pic:blipFill>
                  <pic:spPr>
                    <a:xfrm flipV="true">
                      <a:off x="0" y="0"/>
                      <a:ext cx="4991100" cy="3048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务</w:t>
      </w:r>
      <w:r>
        <w:rPr>
          <w:rFonts w:hint="eastAsia" w:ascii="宋体" w:hAnsi="宋体" w:eastAsia="宋体" w:cs="宋体"/>
          <w:sz w:val="10"/>
        </w:rPr>
        <w:t>。</w:t>
      </w:r>
      <w:r>
        <w:rPr>
          <w:rFonts w:hint="eastAsia" w:ascii="宋体" w:hAnsi="宋体" w:eastAsia="宋体" w:cs="宋体"/>
          <w:sz w:val="24"/>
        </w:rPr>
        <w:t>该系统的整体结构如下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240" w:type="auto"/>
        <w:tblInd w:w="2300" w:type="dxa"/>
        <w:tblBorders>
          <w:top w:val="single" w:color="cdcdcd" w:sz="4" w:space="0"/>
          <w:left w:val="single" w:color="cdcdcd" w:sz="4" w:space="0"/>
          <w:bottom w:val="single" w:color="cdcdcd" w:sz="4" w:space="0"/>
          <w:right w:val="single" w:color="cdcdcd" w:sz="4" w:space="0"/>
          <w:insideH w:val="single" w:color="cdcdcd" w:sz="4" w:space="0"/>
          <w:insideV w:val="single" w:color="cdcdcd" w:sz="4" w:space="0"/>
        </w:tblBorders>
        <w:tblLayout w:type="fixed"/>
      </w:tblPr>
      <w:tblGrid>
        <w:gridCol w:w="380"/>
        <w:gridCol w:w="1300"/>
        <w:gridCol w:w="220"/>
        <w:gridCol w:w="1100"/>
        <w:gridCol w:w="520"/>
        <w:gridCol w:w="780"/>
        <w:gridCol w:w="780"/>
        <w:gridCol w:w="520"/>
        <w:gridCol w:w="1320"/>
        <w:gridCol w:w="1300"/>
      </w:tblGrid>
      <w:tr>
        <w:trPr>
          <w:trHeight w:val="460" w:hRule="exact"/>
        </w:trPr>
        <w:tc>
          <w:tcPr>
            <w:tcW w:w="380" w:type="dxa"/>
            <w:vMerge w:val="restart"/>
            <w:shd w:val="clear" w:color="auto" w:fill="cdcdcd"/>
            <w:tcMar>
              <w:top w:w="0" w:type="dxa"/>
              <w:left w:w="0" w:type="dxa"/>
              <w:bottom w:w="0" w:type="dxa"/>
              <w:right w:w="0" w:type="dxa"/>
            </w:tcMar>
          </w:tcPr>
          <w:p>
            <w:pPr>
              <w:spacing w:before="740"/>
            </w:pPr>
            <w:r>
              <w:rPr>
                <w:rFonts w:hint="eastAsia" w:ascii="宋体" w:hAnsi="宋体" w:eastAsia="宋体" w:cs="宋体"/>
                <w:b/>
                <w:color w:val="ffffff"/>
                <w:w w:val="82"/>
                <w:sz w:val="22"/>
              </w:rPr>
              <w:t>监</w:t>
            </w:r>
          </w:p>
          <w:p>
            <w:pPr>
              <w:spacing w:before="40"/>
            </w:pPr>
            <w:r>
              <w:rPr>
                <w:rFonts w:hint="eastAsia" w:ascii="宋体" w:hAnsi="宋体" w:eastAsia="宋体" w:cs="宋体"/>
                <w:b/>
                <w:color w:val="ffffff"/>
                <w:w w:val="82"/>
                <w:sz w:val="22"/>
              </w:rPr>
              <w:t>控</w:t>
            </w:r>
          </w:p>
          <w:p>
            <w:pPr>
              <w:spacing w:before="40"/>
            </w:pPr>
            <w:r>
              <w:rPr>
                <w:rFonts w:hint="eastAsia" w:ascii="宋体" w:hAnsi="宋体" w:eastAsia="宋体" w:cs="宋体"/>
                <w:b/>
                <w:color w:val="ffffff"/>
                <w:w w:val="82"/>
                <w:sz w:val="22"/>
              </w:rPr>
              <w:t>及</w:t>
            </w:r>
          </w:p>
          <w:p>
            <w:pPr>
              <w:spacing w:before="60"/>
            </w:pPr>
            <w:r>
              <w:rPr>
                <w:rFonts w:hint="eastAsia" w:ascii="宋体" w:hAnsi="宋体" w:eastAsia="宋体" w:cs="宋体"/>
                <w:b/>
                <w:color w:val="ffffff"/>
                <w:w w:val="82"/>
                <w:sz w:val="22"/>
              </w:rPr>
              <w:t>运</w:t>
            </w:r>
          </w:p>
          <w:p>
            <w:pPr>
              <w:spacing w:before="60"/>
            </w:pPr>
            <w:r>
              <w:rPr>
                <w:rFonts w:hint="eastAsia" w:ascii="宋体" w:hAnsi="宋体" w:eastAsia="宋体" w:cs="宋体"/>
                <w:b/>
                <w:color w:val="ffffff"/>
                <w:w w:val="82"/>
                <w:sz w:val="22"/>
              </w:rPr>
              <w:t>行</w:t>
            </w:r>
          </w:p>
          <w:p>
            <w:pPr>
              <w:spacing w:before="40"/>
            </w:pPr>
            <w:r>
              <w:rPr>
                <w:rFonts w:hint="eastAsia" w:ascii="宋体" w:hAnsi="宋体" w:eastAsia="宋体" w:cs="宋体"/>
                <w:b/>
                <w:color w:val="ffffff"/>
                <w:w w:val="82"/>
                <w:sz w:val="22"/>
              </w:rPr>
              <w:t>管</w:t>
            </w:r>
          </w:p>
          <w:p>
            <w:pPr>
              <w:spacing w:before="60"/>
            </w:pPr>
            <w:r>
              <w:rPr>
                <w:rFonts w:hint="eastAsia" w:ascii="宋体" w:hAnsi="宋体" w:eastAsia="宋体" w:cs="宋体"/>
                <w:b/>
                <w:color w:val="ffffff"/>
                <w:w w:val="82"/>
                <w:sz w:val="22"/>
              </w:rPr>
              <w:t>理</w:t>
            </w:r>
          </w:p>
          <w:p>
            <w:pPr>
              <w:spacing w:before="60"/>
            </w:pPr>
            <w:r>
              <w:rPr>
                <w:rFonts w:hint="eastAsia" w:ascii="宋体" w:hAnsi="宋体" w:eastAsia="宋体" w:cs="宋体"/>
                <w:b/>
                <w:color w:val="ffffff"/>
                <w:w w:val="82"/>
                <w:sz w:val="22"/>
              </w:rPr>
              <w:t>系</w:t>
            </w:r>
          </w:p>
          <w:p>
            <w:pPr>
              <w:spacing w:before="80"/>
            </w:pPr>
            <w:r>
              <w:rPr>
                <w:rFonts w:hint="eastAsia" w:ascii="宋体" w:hAnsi="宋体" w:eastAsia="宋体" w:cs="宋体"/>
                <w:b/>
                <w:color w:val="ffffff"/>
                <w:w w:val="82"/>
                <w:sz w:val="22"/>
              </w:rPr>
              <w:t>统</w:t>
            </w:r>
          </w:p>
        </w:tc>
        <w:tc>
          <w:tcPr>
            <w:tcW w:w="7840" w:type="dxa"/>
            <w:gridSpan w:val="9"/>
            <w:shd w:val="clear" w:color="auto" w:fill="cdcdcd"/>
            <w:tcMar>
              <w:top w:w="0" w:type="dxa"/>
              <w:left w:w="0" w:type="dxa"/>
              <w:bottom w:w="0" w:type="dxa"/>
              <w:right w:w="0" w:type="dxa"/>
            </w:tcMar>
          </w:tcPr>
          <w:p>
            <w:pPr>
              <w:spacing w:before="80"/>
              <w:ind w:left="3540"/>
            </w:pPr>
            <w:r>
              <w:rPr>
                <w:rFonts w:hint="eastAsia" w:ascii="宋体" w:hAnsi="宋体" w:eastAsia="宋体" w:cs="宋体"/>
                <w:b/>
                <w:color w:val="ffffff"/>
                <w:w w:val="82"/>
                <w:sz w:val="22"/>
              </w:rPr>
              <w:t>渠道接入</w:t>
            </w:r>
          </w:p>
        </w:tc>
      </w:tr>
      <w:tr>
        <w:trPr>
          <w:trHeight w:val="700" w:hRule="exact"/>
        </w:trPr>
        <w:tc>
          <w:tcPr>
            <w:tcW w:w="380" w:type="dxa"/>
            <w:vMerge w:val="continue"/>
            <w:shd w:val="clear" w:color="auto" w:fill="cdcdcd"/>
            <w:tcMar>
              <w:top w:w="0" w:type="dxa"/>
              <w:left w:w="0" w:type="dxa"/>
              <w:bottom w:w="0" w:type="dxa"/>
              <w:right w:w="0" w:type="dxa"/>
            </w:tcMar>
          </w:tcPr>
          <w:p/>
        </w:tc>
        <w:tc>
          <w:tcPr>
            <w:tcW w:w="1300" w:type="dxa"/>
            <w:shd w:val="clear" w:color="auto" w:fill="cdcdcd"/>
            <w:tcMar>
              <w:top w:w="0" w:type="dxa"/>
              <w:left w:w="0" w:type="dxa"/>
              <w:bottom w:w="0" w:type="dxa"/>
              <w:right w:w="0" w:type="dxa"/>
            </w:tcMar>
          </w:tcPr>
          <w:p>
            <w:pPr>
              <w:spacing w:before="180"/>
              <w:ind w:left="260"/>
            </w:pPr>
            <w:r>
              <w:rPr>
                <w:rFonts w:hint="eastAsia" w:ascii="宋体" w:hAnsi="宋体" w:eastAsia="宋体" w:cs="宋体"/>
                <w:b/>
                <w:color w:val="ffffff"/>
                <w:w w:val="82"/>
                <w:sz w:val="22"/>
              </w:rPr>
              <w:t>协议报价</w:t>
            </w:r>
          </w:p>
        </w:tc>
        <w:tc>
          <w:tcPr>
            <w:tcW w:w="1320" w:type="dxa"/>
            <w:gridSpan w:val="2"/>
            <w:shd w:val="clear" w:color="auto" w:fill="cdcdcd"/>
            <w:tcMar>
              <w:top w:w="0" w:type="dxa"/>
              <w:left w:w="0" w:type="dxa"/>
              <w:bottom w:w="0" w:type="dxa"/>
              <w:right w:w="0" w:type="dxa"/>
            </w:tcMar>
          </w:tcPr>
          <w:p>
            <w:pPr>
              <w:spacing w:before="200"/>
              <w:ind w:left="260"/>
            </w:pPr>
            <w:r>
              <w:rPr>
                <w:rFonts w:hint="eastAsia" w:ascii="宋体" w:hAnsi="宋体" w:eastAsia="宋体" w:cs="宋体"/>
                <w:b/>
                <w:color w:val="ffffff"/>
                <w:w w:val="82"/>
                <w:sz w:val="22"/>
              </w:rPr>
              <w:t>电子竞拍</w:t>
            </w:r>
          </w:p>
        </w:tc>
        <w:tc>
          <w:tcPr>
            <w:tcW w:w="1300" w:type="dxa"/>
            <w:gridSpan w:val="2"/>
            <w:shd w:val="clear" w:color="auto" w:fill="cdcdcd"/>
            <w:tcMar>
              <w:top w:w="0" w:type="dxa"/>
              <w:left w:w="0" w:type="dxa"/>
              <w:bottom w:w="0" w:type="dxa"/>
              <w:right w:w="0" w:type="dxa"/>
            </w:tcMar>
          </w:tcPr>
          <w:p>
            <w:pPr>
              <w:spacing w:before="180"/>
              <w:ind w:left="160"/>
            </w:pPr>
            <w:r>
              <w:rPr>
                <w:rFonts w:hint="eastAsia" w:ascii="宋体" w:hAnsi="宋体" w:eastAsia="宋体" w:cs="宋体"/>
                <w:b/>
                <w:color w:val="ffffff"/>
                <w:w w:val="82"/>
                <w:sz w:val="22"/>
              </w:rPr>
              <w:t>分段式报价</w:t>
            </w:r>
          </w:p>
        </w:tc>
        <w:tc>
          <w:tcPr>
            <w:tcW w:w="1300" w:type="dxa"/>
            <w:gridSpan w:val="2"/>
            <w:shd w:val="clear" w:color="auto" w:fill="cdcdcd"/>
            <w:tcMar>
              <w:top w:w="0" w:type="dxa"/>
              <w:left w:w="0" w:type="dxa"/>
              <w:bottom w:w="0" w:type="dxa"/>
              <w:right w:w="0" w:type="dxa"/>
            </w:tcMar>
          </w:tcPr>
          <w:p>
            <w:pPr>
              <w:spacing w:before="180"/>
              <w:ind w:left="260"/>
            </w:pPr>
            <w:r>
              <w:rPr>
                <w:rFonts w:hint="eastAsia" w:ascii="宋体" w:hAnsi="宋体" w:eastAsia="宋体" w:cs="宋体"/>
                <w:b/>
                <w:color w:val="ffffff"/>
                <w:w w:val="82"/>
                <w:sz w:val="22"/>
              </w:rPr>
              <w:t>定价报价</w:t>
            </w:r>
          </w:p>
        </w:tc>
        <w:tc>
          <w:tcPr>
            <w:tcW w:w="1320" w:type="dxa"/>
            <w:shd w:val="clear" w:color="auto" w:fill="cdcdcd"/>
            <w:tcMar>
              <w:top w:w="0" w:type="dxa"/>
              <w:left w:w="0" w:type="dxa"/>
              <w:bottom w:w="0" w:type="dxa"/>
              <w:right w:w="0" w:type="dxa"/>
            </w:tcMar>
          </w:tcPr>
          <w:p>
            <w:pPr>
              <w:spacing w:before="360"/>
              <w:ind w:left="460"/>
            </w:pPr>
            <w:r>
              <w:rPr>
                <w:rFonts w:hint="eastAsia" w:ascii="宋体" w:hAnsi="宋体" w:eastAsia="宋体" w:cs="宋体"/>
                <w:b/>
                <w:color w:val="ffffff"/>
                <w:w w:val="82"/>
                <w:sz w:val="10"/>
              </w:rPr>
              <w:t>„„</w:t>
            </w:r>
          </w:p>
        </w:tc>
        <w:tc>
          <w:tcPr>
            <w:tcW w:w="1300" w:type="dxa"/>
            <w:shd w:val="clear" w:color="auto" w:fill="cdcdcd"/>
            <w:tcMar>
              <w:top w:w="0" w:type="dxa"/>
              <w:left w:w="0" w:type="dxa"/>
              <w:bottom w:w="0" w:type="dxa"/>
              <w:right w:w="0" w:type="dxa"/>
            </w:tcMar>
          </w:tcPr>
          <w:p>
            <w:pPr>
              <w:spacing w:before="180"/>
              <w:ind w:left="260"/>
            </w:pPr>
            <w:r>
              <w:rPr>
                <w:rFonts w:hint="eastAsia" w:ascii="宋体" w:hAnsi="宋体" w:eastAsia="宋体" w:cs="宋体"/>
                <w:b/>
                <w:color w:val="ffffff"/>
                <w:w w:val="82"/>
                <w:sz w:val="22"/>
              </w:rPr>
              <w:t>其它交易</w:t>
            </w:r>
          </w:p>
        </w:tc>
      </w:tr>
      <w:tr>
        <w:trPr>
          <w:trHeight w:val="480" w:hRule="exact"/>
        </w:trPr>
        <w:tc>
          <w:tcPr>
            <w:tcW w:w="380" w:type="dxa"/>
            <w:vMerge w:val="continue"/>
            <w:shd w:val="clear" w:color="auto" w:fill="cdcdcd"/>
            <w:tcMar>
              <w:top w:w="0" w:type="dxa"/>
              <w:left w:w="0" w:type="dxa"/>
              <w:bottom w:w="0" w:type="dxa"/>
              <w:right w:w="0" w:type="dxa"/>
            </w:tcMar>
          </w:tcPr>
          <w:p/>
        </w:tc>
        <w:tc>
          <w:tcPr>
            <w:tcW w:w="7840" w:type="dxa"/>
            <w:gridSpan w:val="9"/>
            <w:shd w:val="clear" w:color="auto" w:fill="cdcdcd"/>
            <w:tcMar>
              <w:top w:w="0" w:type="dxa"/>
              <w:left w:w="0" w:type="dxa"/>
              <w:bottom w:w="0" w:type="dxa"/>
              <w:right w:w="0" w:type="dxa"/>
            </w:tcMar>
          </w:tcPr>
          <w:p>
            <w:pPr>
              <w:spacing w:before="80"/>
              <w:ind w:left="3160"/>
            </w:pPr>
            <w:r>
              <w:rPr>
                <w:rFonts w:hint="eastAsia" w:ascii="宋体" w:hAnsi="宋体" w:eastAsia="宋体" w:cs="宋体"/>
                <w:b/>
                <w:color w:val="ffffff"/>
                <w:w w:val="82"/>
                <w:sz w:val="22"/>
              </w:rPr>
              <w:t>统一交易流程控制</w:t>
            </w:r>
          </w:p>
        </w:tc>
      </w:tr>
      <w:tr>
        <w:trPr>
          <w:trHeight w:val="480" w:hRule="exact"/>
        </w:trPr>
        <w:tc>
          <w:tcPr>
            <w:tcW w:w="380" w:type="dxa"/>
            <w:vMerge w:val="continue"/>
            <w:shd w:val="clear" w:color="auto" w:fill="cdcdcd"/>
            <w:tcMar>
              <w:top w:w="0" w:type="dxa"/>
              <w:left w:w="0" w:type="dxa"/>
              <w:bottom w:w="0" w:type="dxa"/>
              <w:right w:w="0" w:type="dxa"/>
            </w:tcMar>
          </w:tcPr>
          <w:p/>
        </w:tc>
        <w:tc>
          <w:tcPr>
            <w:tcW w:w="1520" w:type="dxa"/>
            <w:gridSpan w:val="2"/>
            <w:shd w:val="clear" w:color="auto"/>
            <w:tcMar>
              <w:top w:w="0" w:type="dxa"/>
              <w:left w:w="0" w:type="dxa"/>
              <w:bottom w:w="0" w:type="dxa"/>
              <w:right w:w="0" w:type="dxa"/>
            </w:tcMar>
          </w:tcPr>
          <w:p>
            <w:pPr>
              <w:spacing w:before="80"/>
              <w:ind w:left="100"/>
            </w:pPr>
            <w:r>
              <w:rPr>
                <w:rFonts w:hint="eastAsia" w:ascii="宋体" w:hAnsi="宋体" w:eastAsia="宋体" w:cs="宋体"/>
                <w:b/>
                <w:color w:val="ffffff"/>
                <w:w w:val="82"/>
                <w:sz w:val="19"/>
              </w:rPr>
              <w:t>资管产品登记托管</w:t>
            </w:r>
          </w:p>
        </w:tc>
        <w:tc>
          <w:tcPr>
            <w:tcW w:w="1620" w:type="dxa"/>
            <w:gridSpan w:val="2"/>
            <w:shd w:val="clear" w:color="auto"/>
            <w:tcMar>
              <w:top w:w="0" w:type="dxa"/>
              <w:left w:w="0" w:type="dxa"/>
              <w:bottom w:w="0" w:type="dxa"/>
              <w:right w:w="0" w:type="dxa"/>
            </w:tcMar>
          </w:tcPr>
          <w:p>
            <w:pPr>
              <w:spacing w:before="80"/>
              <w:ind w:left="220"/>
            </w:pPr>
            <w:r>
              <w:rPr>
                <w:rFonts w:hint="eastAsia" w:ascii="宋体" w:hAnsi="宋体" w:eastAsia="宋体" w:cs="宋体"/>
                <w:b/>
                <w:color w:val="ffffff"/>
                <w:w w:val="82"/>
                <w:sz w:val="19"/>
              </w:rPr>
              <w:t>私募债登记托管</w:t>
            </w:r>
          </w:p>
        </w:tc>
        <w:tc>
          <w:tcPr>
            <w:tcW w:w="1560" w:type="dxa"/>
            <w:gridSpan w:val="2"/>
            <w:shd w:val="clear" w:color="auto"/>
            <w:tcMar>
              <w:top w:w="0" w:type="dxa"/>
              <w:left w:w="0" w:type="dxa"/>
              <w:bottom w:w="0" w:type="dxa"/>
              <w:right w:w="0" w:type="dxa"/>
            </w:tcMar>
          </w:tcPr>
          <w:p>
            <w:pPr>
              <w:spacing w:before="80"/>
              <w:ind w:left="100"/>
            </w:pPr>
            <w:r>
              <w:rPr>
                <w:rFonts w:hint="eastAsia" w:ascii="宋体" w:hAnsi="宋体" w:eastAsia="宋体" w:cs="宋体"/>
                <w:b/>
                <w:color w:val="ffffff"/>
                <w:w w:val="82"/>
                <w:sz w:val="19"/>
              </w:rPr>
              <w:t>私募股权登记托管</w:t>
            </w:r>
          </w:p>
        </w:tc>
        <w:tc>
          <w:tcPr>
            <w:tcW w:w="1840" w:type="dxa"/>
            <w:gridSpan w:val="2"/>
            <w:shd w:val="clear" w:color="auto"/>
            <w:tcMar>
              <w:top w:w="0" w:type="dxa"/>
              <w:left w:w="0" w:type="dxa"/>
              <w:bottom w:w="0" w:type="dxa"/>
              <w:right w:w="0" w:type="dxa"/>
            </w:tcMar>
          </w:tcPr>
          <w:p>
            <w:pPr>
              <w:spacing w:before="40"/>
              <w:ind w:left="180"/>
            </w:pPr>
            <w:r>
              <w:rPr>
                <w:rFonts w:hint="eastAsia" w:ascii="宋体" w:hAnsi="宋体" w:eastAsia="宋体" w:cs="宋体"/>
                <w:b/>
                <w:color w:val="ffffff"/>
                <w:w w:val="82"/>
                <w:sz w:val="22"/>
              </w:rPr>
              <w:t>金融衍生产品管理</w:t>
            </w:r>
          </w:p>
        </w:tc>
        <w:tc>
          <w:tcPr>
            <w:tcW w:w="1300" w:type="dxa"/>
            <w:shd w:val="clear" w:color="auto"/>
            <w:tcMar>
              <w:top w:w="0" w:type="dxa"/>
              <w:left w:w="0" w:type="dxa"/>
              <w:bottom w:w="0" w:type="dxa"/>
              <w:right w:w="0" w:type="dxa"/>
            </w:tcMar>
          </w:tcPr>
          <w:p>
            <w:pPr>
              <w:spacing w:before="80"/>
              <w:ind w:left="180"/>
            </w:pPr>
            <w:r>
              <w:rPr>
                <w:rFonts w:hint="eastAsia" w:ascii="宋体" w:hAnsi="宋体" w:eastAsia="宋体" w:cs="宋体"/>
                <w:b/>
                <w:color w:val="ffffff"/>
                <w:w w:val="82"/>
                <w:sz w:val="19"/>
              </w:rPr>
              <w:t>其它份额管理</w:t>
            </w:r>
          </w:p>
        </w:tc>
      </w:tr>
      <w:tr>
        <w:trPr>
          <w:trHeight w:val="460" w:hRule="exact"/>
        </w:trPr>
        <w:tc>
          <w:tcPr>
            <w:tcW w:w="380" w:type="dxa"/>
            <w:vMerge w:val="continue"/>
            <w:shd w:val="clear" w:color="auto" w:fill="cdcdcd"/>
            <w:tcMar>
              <w:top w:w="0" w:type="dxa"/>
              <w:left w:w="0" w:type="dxa"/>
              <w:bottom w:w="0" w:type="dxa"/>
              <w:right w:w="0" w:type="dxa"/>
            </w:tcMar>
          </w:tcPr>
          <w:p/>
        </w:tc>
        <w:tc>
          <w:tcPr>
            <w:tcW w:w="7840" w:type="dxa"/>
            <w:gridSpan w:val="9"/>
            <w:shd w:val="clear" w:color="auto" w:fill="cdcdcd"/>
            <w:tcMar>
              <w:top w:w="0" w:type="dxa"/>
              <w:left w:w="0" w:type="dxa"/>
              <w:bottom w:w="0" w:type="dxa"/>
              <w:right w:w="0" w:type="dxa"/>
            </w:tcMar>
          </w:tcPr>
          <w:p>
            <w:pPr>
              <w:spacing w:before="80"/>
              <w:ind w:left="3140"/>
            </w:pPr>
            <w:r>
              <w:rPr>
                <w:rFonts w:hint="eastAsia" w:ascii="宋体" w:hAnsi="宋体" w:eastAsia="宋体" w:cs="宋体"/>
                <w:b/>
                <w:color w:val="ffffff"/>
                <w:w w:val="82"/>
                <w:sz w:val="22"/>
              </w:rPr>
              <w:t>统一金融账户管理</w:t>
            </w:r>
          </w:p>
        </w:tc>
      </w:tr>
      <w:tr>
        <w:trPr>
          <w:trHeight w:val="460" w:hRule="exact"/>
        </w:trPr>
        <w:tc>
          <w:tcPr>
            <w:tcW w:w="380" w:type="dxa"/>
            <w:vMerge w:val="continue"/>
            <w:shd w:val="clear" w:color="auto" w:fill="cdcdcd"/>
            <w:tcMar>
              <w:top w:w="0" w:type="dxa"/>
              <w:left w:w="0" w:type="dxa"/>
              <w:bottom w:w="0" w:type="dxa"/>
              <w:right w:w="0" w:type="dxa"/>
            </w:tcMar>
          </w:tcPr>
          <w:p/>
        </w:tc>
        <w:tc>
          <w:tcPr>
            <w:tcW w:w="7840" w:type="dxa"/>
            <w:gridSpan w:val="9"/>
            <w:shd w:val="clear" w:color="auto" w:fill="cdcdcd"/>
            <w:tcMar>
              <w:top w:w="0" w:type="dxa"/>
              <w:left w:w="0" w:type="dxa"/>
              <w:bottom w:w="0" w:type="dxa"/>
              <w:right w:w="0" w:type="dxa"/>
            </w:tcMar>
          </w:tcPr>
          <w:p>
            <w:pPr>
              <w:spacing w:before="80"/>
              <w:ind w:left="3140"/>
            </w:pPr>
            <w:r>
              <w:rPr>
                <w:rFonts w:hint="eastAsia" w:ascii="宋体" w:hAnsi="宋体" w:eastAsia="宋体" w:cs="宋体"/>
                <w:b/>
                <w:color w:val="ffffff"/>
                <w:w w:val="82"/>
                <w:sz w:val="22"/>
              </w:rPr>
              <w:t>统一清算交收管理</w:t>
            </w:r>
          </w:p>
        </w:tc>
      </w:tr>
      <w:tr>
        <w:trPr>
          <w:trHeight w:val="480" w:hRule="exact"/>
        </w:trPr>
        <w:tc>
          <w:tcPr>
            <w:tcW w:w="380" w:type="dxa"/>
            <w:vMerge w:val="continue"/>
            <w:shd w:val="clear" w:color="auto" w:fill="cdcdcd"/>
            <w:tcMar>
              <w:top w:w="0" w:type="dxa"/>
              <w:left w:w="0" w:type="dxa"/>
              <w:bottom w:w="0" w:type="dxa"/>
              <w:right w:w="0" w:type="dxa"/>
            </w:tcMar>
          </w:tcPr>
          <w:p/>
        </w:tc>
        <w:tc>
          <w:tcPr>
            <w:tcW w:w="7840" w:type="dxa"/>
            <w:gridSpan w:val="9"/>
            <w:shd w:val="clear" w:color="auto" w:fill="cdcdcd"/>
            <w:tcMar>
              <w:top w:w="0" w:type="dxa"/>
              <w:left w:w="0" w:type="dxa"/>
              <w:bottom w:w="0" w:type="dxa"/>
              <w:right w:w="0" w:type="dxa"/>
            </w:tcMar>
          </w:tcPr>
          <w:p>
            <w:pPr>
              <w:spacing w:before="60"/>
              <w:ind w:left="2960"/>
            </w:pPr>
            <w:r>
              <w:rPr>
                <w:rFonts w:hint="eastAsia" w:ascii="宋体" w:hAnsi="宋体" w:eastAsia="宋体" w:cs="宋体"/>
                <w:b/>
                <w:color w:val="ffffff"/>
                <w:w w:val="82"/>
                <w:sz w:val="22"/>
              </w:rPr>
              <w:t>统一机构和代理商管理</w:t>
            </w:r>
          </w:p>
        </w:tc>
      </w:tr>
      <w:tr>
        <w:trPr>
          <w:trHeight w:val="460" w:hRule="exact"/>
        </w:trPr>
        <w:tc>
          <w:tcPr>
            <w:tcW w:w="380" w:type="dxa"/>
            <w:vMerge w:val="continue"/>
            <w:shd w:val="clear" w:color="auto" w:fill="cdcdcd"/>
            <w:tcMar>
              <w:top w:w="0" w:type="dxa"/>
              <w:left w:w="0" w:type="dxa"/>
              <w:bottom w:w="0" w:type="dxa"/>
              <w:right w:w="0" w:type="dxa"/>
            </w:tcMar>
          </w:tcPr>
          <w:p/>
        </w:tc>
        <w:tc>
          <w:tcPr>
            <w:tcW w:w="7840" w:type="dxa"/>
            <w:gridSpan w:val="9"/>
            <w:shd w:val="clear" w:color="auto" w:fill="cdcdcd"/>
            <w:tcMar>
              <w:top w:w="0" w:type="dxa"/>
              <w:left w:w="0" w:type="dxa"/>
              <w:bottom w:w="0" w:type="dxa"/>
              <w:right w:w="0" w:type="dxa"/>
            </w:tcMar>
          </w:tcPr>
          <w:p>
            <w:pPr>
              <w:spacing w:before="60"/>
              <w:ind w:left="3340"/>
            </w:pPr>
            <w:r>
              <w:rPr>
                <w:rFonts w:hint="eastAsia" w:ascii="宋体" w:hAnsi="宋体" w:eastAsia="宋体" w:cs="宋体"/>
                <w:b/>
                <w:color w:val="ffffff"/>
                <w:w w:val="82"/>
                <w:sz w:val="22"/>
              </w:rPr>
              <w:t>统一综合管理</w:t>
            </w:r>
          </w:p>
        </w:tc>
      </w:tr>
    </w:tbl>
    <w:p>
      <w:pPr>
        <w:spacing w:line="200" w:lineRule="exact"/>
        <w:rPr>
          <w:rFonts w:hint="eastAsia" w:ascii="宋体" w:hAnsi="宋体" w:eastAsia="宋体" w:cs="宋体"/>
          <w:sz w:val="20"/>
        </w:rPr>
      </w:pPr>
    </w:p>
    <w:p>
      <w:pPr>
        <w:autoSpaceDE w:val="false"/>
        <w:autoSpaceDN w:val="false"/>
        <w:spacing w:line="380" w:lineRule="exact"/>
        <w:ind w:left="2280"/>
        <w:jc w:val="both"/>
      </w:pPr>
      <w:r>
        <w:rPr>
          <w:rFonts w:hint="eastAsia" w:ascii="宋体" w:hAnsi="宋体" w:eastAsia="宋体" w:cs="宋体"/>
          <w:sz w:val="10"/>
        </w:rPr>
        <w:t>“</w:t>
      </w:r>
      <w:r>
        <w:rPr>
          <w:rFonts w:hint="eastAsia" w:ascii="宋体" w:hAnsi="宋体" w:eastAsia="宋体" w:cs="宋体"/>
          <w:sz w:val="24"/>
        </w:rPr>
        <w:t>云柜台</w:t>
      </w:r>
      <w:r>
        <w:rPr>
          <w:rFonts w:hint="eastAsia" w:ascii="宋体" w:hAnsi="宋体" w:eastAsia="宋体" w:cs="宋体"/>
          <w:sz w:val="10"/>
        </w:rPr>
        <w:t>”</w:t>
      </w:r>
      <w:r>
        <w:rPr>
          <w:rFonts w:hint="eastAsia" w:ascii="宋体" w:hAnsi="宋体" w:eastAsia="宋体" w:cs="宋体"/>
          <w:sz w:val="24"/>
        </w:rPr>
        <w:t>涉及的主要业务包括</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A.</w:t>
      </w:r>
      <w:r>
        <w:rPr>
          <w:rFonts w:hint="eastAsia" w:ascii="宋体" w:hAnsi="宋体" w:eastAsia="宋体" w:cs="宋体"/>
          <w:sz w:val="24"/>
        </w:rPr>
        <w:t>会员管理</w:t>
      </w:r>
      <w:r>
        <w:rPr>
          <w:rFonts w:hint="eastAsia" w:ascii="宋体" w:hAnsi="宋体" w:eastAsia="宋体" w:cs="宋体"/>
          <w:sz w:val="10"/>
        </w:rPr>
        <w:t>。</w:t>
      </w:r>
      <w:r>
        <w:rPr>
          <w:rFonts w:hint="eastAsia" w:ascii="宋体" w:hAnsi="宋体" w:eastAsia="宋体" w:cs="宋体"/>
          <w:sz w:val="24"/>
        </w:rPr>
        <w:t>包括自助牌照申请</w:t>
      </w:r>
      <w:r>
        <w:rPr>
          <w:rFonts w:hint="eastAsia" w:ascii="宋体" w:hAnsi="宋体" w:eastAsia="宋体" w:cs="宋体"/>
          <w:sz w:val="10"/>
        </w:rPr>
        <w:t>、</w:t>
      </w:r>
      <w:r>
        <w:rPr>
          <w:rFonts w:hint="eastAsia" w:ascii="宋体" w:hAnsi="宋体" w:eastAsia="宋体" w:cs="宋体"/>
          <w:sz w:val="24"/>
        </w:rPr>
        <w:t>操作员账号</w:t>
      </w:r>
      <w:r>
        <w:rPr>
          <w:rFonts w:hint="eastAsia" w:ascii="宋体" w:hAnsi="宋体" w:eastAsia="宋体" w:cs="宋体"/>
          <w:sz w:val="10"/>
        </w:rPr>
        <w:t>、</w:t>
      </w:r>
      <w:r>
        <w:rPr>
          <w:rFonts w:hint="eastAsia" w:ascii="宋体" w:hAnsi="宋体" w:eastAsia="宋体" w:cs="宋体"/>
          <w:sz w:val="24"/>
        </w:rPr>
        <w:t>权限管理等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B.</w:t>
      </w:r>
      <w:r>
        <w:rPr>
          <w:rFonts w:hint="eastAsia" w:ascii="宋体" w:hAnsi="宋体" w:eastAsia="宋体" w:cs="宋体"/>
          <w:sz w:val="24"/>
        </w:rPr>
        <w:t>产品注册</w:t>
      </w:r>
      <w:r>
        <w:rPr>
          <w:rFonts w:hint="eastAsia" w:ascii="宋体" w:hAnsi="宋体" w:eastAsia="宋体" w:cs="宋体"/>
          <w:sz w:val="10"/>
        </w:rPr>
        <w:t>。</w:t>
      </w:r>
      <w:r>
        <w:rPr>
          <w:rFonts w:hint="eastAsia" w:ascii="宋体" w:hAnsi="宋体" w:eastAsia="宋体" w:cs="宋体"/>
          <w:sz w:val="24"/>
        </w:rPr>
        <w:t>提供私募产品注册功能</w:t>
      </w:r>
      <w:r>
        <w:rPr>
          <w:rFonts w:hint="eastAsia" w:ascii="宋体" w:hAnsi="宋体" w:eastAsia="宋体" w:cs="宋体"/>
          <w:sz w:val="10"/>
        </w:rPr>
        <w:t>。</w:t>
      </w:r>
      <w:r>
        <w:rPr>
          <w:rFonts w:hint="eastAsia" w:ascii="宋体" w:hAnsi="宋体" w:eastAsia="宋体" w:cs="宋体"/>
          <w:sz w:val="24"/>
        </w:rPr>
        <w:t>按照系统规则生成标准产品代码</w:t>
      </w:r>
      <w:r>
        <w:rPr>
          <w:rFonts w:hint="eastAsia" w:ascii="宋体" w:hAnsi="宋体" w:eastAsia="宋体" w:cs="宋体"/>
          <w:sz w:val="10"/>
        </w:rPr>
        <w:t>，</w:t>
      </w:r>
      <w:r>
        <w:rPr>
          <w:rFonts w:hint="eastAsia" w:ascii="宋体" w:hAnsi="宋体" w:eastAsia="宋体" w:cs="宋体"/>
          <w:sz w:val="24"/>
        </w:rPr>
        <w:t>是产品交易</w:t>
      </w:r>
      <w:r>
        <w:rPr>
          <w:rFonts w:hint="eastAsia" w:ascii="宋体" w:hAnsi="宋体" w:eastAsia="宋体" w:cs="宋体"/>
          <w:sz w:val="10"/>
        </w:rPr>
        <w:t>、</w:t>
      </w:r>
      <w:r>
        <w:rPr>
          <w:rFonts w:hint="eastAsia" w:ascii="宋体" w:hAnsi="宋体" w:eastAsia="宋体" w:cs="宋体"/>
          <w:sz w:val="24"/>
        </w:rPr>
        <w:t>结算的基础</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C.</w:t>
      </w:r>
      <w:r>
        <w:rPr>
          <w:rFonts w:hint="eastAsia" w:ascii="宋体" w:hAnsi="宋体" w:eastAsia="宋体" w:cs="宋体"/>
          <w:sz w:val="24"/>
        </w:rPr>
        <w:t>信息披露</w:t>
      </w:r>
      <w:r>
        <w:rPr>
          <w:rFonts w:hint="eastAsia" w:ascii="宋体" w:hAnsi="宋体" w:eastAsia="宋体" w:cs="宋体"/>
          <w:sz w:val="10"/>
        </w:rPr>
        <w:t>。</w:t>
      </w:r>
      <w:r>
        <w:rPr>
          <w:rFonts w:hint="eastAsia" w:ascii="宋体" w:hAnsi="宋体" w:eastAsia="宋体" w:cs="宋体"/>
          <w:sz w:val="24"/>
        </w:rPr>
        <w:t>提供各类信息的发布</w:t>
      </w:r>
      <w:r>
        <w:rPr>
          <w:rFonts w:hint="eastAsia" w:ascii="宋体" w:hAnsi="宋体" w:eastAsia="宋体" w:cs="宋体"/>
          <w:sz w:val="10"/>
        </w:rPr>
        <w:t>、</w:t>
      </w:r>
      <w:r>
        <w:rPr>
          <w:rFonts w:hint="eastAsia" w:ascii="宋体" w:hAnsi="宋体" w:eastAsia="宋体" w:cs="宋体"/>
          <w:sz w:val="24"/>
        </w:rPr>
        <w:t>展示及管理功能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D.</w:t>
      </w:r>
      <w:r>
        <w:rPr>
          <w:rFonts w:hint="eastAsia" w:ascii="宋体" w:hAnsi="宋体" w:eastAsia="宋体" w:cs="宋体"/>
          <w:sz w:val="24"/>
        </w:rPr>
        <w:t>交易配对与签约</w:t>
      </w:r>
      <w:r>
        <w:rPr>
          <w:rFonts w:hint="eastAsia" w:ascii="宋体" w:hAnsi="宋体" w:eastAsia="宋体" w:cs="宋体"/>
          <w:sz w:val="10"/>
        </w:rPr>
        <w:t>。</w:t>
      </w:r>
      <w:r>
        <w:rPr>
          <w:rFonts w:hint="eastAsia" w:ascii="宋体" w:hAnsi="宋体" w:eastAsia="宋体" w:cs="宋体"/>
          <w:sz w:val="24"/>
        </w:rPr>
        <w:t>实现各类报价和转让方式及业务签约服务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E.</w:t>
      </w:r>
      <w:r>
        <w:rPr>
          <w:rFonts w:hint="eastAsia" w:ascii="宋体" w:hAnsi="宋体" w:eastAsia="宋体" w:cs="宋体"/>
          <w:sz w:val="24"/>
        </w:rPr>
        <w:t>支付</w:t>
      </w:r>
      <w:r>
        <w:rPr>
          <w:rFonts w:hint="eastAsia" w:ascii="宋体" w:hAnsi="宋体" w:eastAsia="宋体" w:cs="宋体"/>
          <w:sz w:val="10"/>
        </w:rPr>
        <w:t>。</w:t>
      </w:r>
      <w:r>
        <w:rPr>
          <w:rFonts w:hint="eastAsia" w:ascii="宋体" w:hAnsi="宋体" w:eastAsia="宋体" w:cs="宋体"/>
          <w:sz w:val="24"/>
        </w:rPr>
        <w:t>系统按照机构间市场资金管理模式与银行联接实现资金划转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F.</w:t>
      </w:r>
      <w:r>
        <w:rPr>
          <w:rFonts w:hint="eastAsia" w:ascii="宋体" w:hAnsi="宋体" w:eastAsia="宋体" w:cs="宋体"/>
          <w:sz w:val="24"/>
        </w:rPr>
        <w:t>登记托管及结算</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20" w:firstLine="480"/>
        <w:jc w:val="both"/>
      </w:pPr>
      <w:r>
        <w:rPr>
          <w:rFonts w:hint="eastAsia" w:ascii="Times New Roman" w:hAnsi="Times New Roman" w:eastAsia="Times New Roman" w:cs="Times New Roman"/>
          <w:sz w:val="24"/>
        </w:rPr>
        <w:t>G.</w:t>
      </w:r>
      <w:r>
        <w:rPr>
          <w:rFonts w:hint="eastAsia" w:ascii="宋体" w:hAnsi="宋体" w:eastAsia="宋体" w:cs="宋体"/>
          <w:sz w:val="24"/>
        </w:rPr>
        <w:t>在线即时沟通</w:t>
      </w:r>
      <w:r>
        <w:rPr>
          <w:rFonts w:hint="eastAsia" w:ascii="宋体" w:hAnsi="宋体" w:eastAsia="宋体" w:cs="宋体"/>
          <w:sz w:val="10"/>
        </w:rPr>
        <w:t>。</w:t>
      </w:r>
      <w:r>
        <w:rPr>
          <w:rFonts w:hint="eastAsia" w:ascii="宋体" w:hAnsi="宋体" w:eastAsia="宋体" w:cs="宋体"/>
          <w:sz w:val="24"/>
        </w:rPr>
        <w:t>交易双方可通过系统提供的</w:t>
      </w:r>
      <w:r>
        <w:rPr>
          <w:rFonts w:hint="eastAsia" w:ascii="Times New Roman" w:hAnsi="Times New Roman" w:eastAsia="Times New Roman" w:cs="Times New Roman"/>
          <w:sz w:val="24"/>
        </w:rPr>
        <w:t xml:space="preserve"> IM</w:t>
      </w:r>
      <w:r>
        <w:rPr>
          <w:rFonts w:hint="eastAsia" w:ascii="宋体" w:hAnsi="宋体" w:eastAsia="宋体" w:cs="宋体"/>
          <w:sz w:val="24"/>
        </w:rPr>
        <w:t xml:space="preserve"> 工具</w:t>
      </w:r>
      <w:r>
        <w:rPr>
          <w:rFonts w:hint="eastAsia" w:ascii="宋体" w:hAnsi="宋体" w:eastAsia="宋体" w:cs="宋体"/>
          <w:sz w:val="10"/>
        </w:rPr>
        <w:t>，</w:t>
      </w:r>
      <w:r>
        <w:rPr>
          <w:rFonts w:hint="eastAsia" w:ascii="宋体" w:hAnsi="宋体" w:eastAsia="宋体" w:cs="宋体"/>
          <w:sz w:val="24"/>
        </w:rPr>
        <w:t>采用实名或匿名的方式进行沟通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H.</w:t>
      </w:r>
      <w:r>
        <w:rPr>
          <w:rFonts w:hint="eastAsia" w:ascii="宋体" w:hAnsi="宋体" w:eastAsia="宋体" w:cs="宋体"/>
          <w:sz w:val="24"/>
        </w:rPr>
        <w:t>服务功能</w:t>
      </w:r>
      <w:r>
        <w:rPr>
          <w:rFonts w:hint="eastAsia" w:ascii="宋体" w:hAnsi="宋体" w:eastAsia="宋体" w:cs="宋体"/>
          <w:sz w:val="10"/>
        </w:rPr>
        <w:t>。</w:t>
      </w:r>
      <w:r>
        <w:rPr>
          <w:rFonts w:hint="eastAsia" w:ascii="宋体" w:hAnsi="宋体" w:eastAsia="宋体" w:cs="宋体"/>
          <w:sz w:val="24"/>
        </w:rPr>
        <w:t>为不同用户提供信息提醒</w:t>
      </w:r>
      <w:r>
        <w:rPr>
          <w:rFonts w:hint="eastAsia" w:ascii="宋体" w:hAnsi="宋体" w:eastAsia="宋体" w:cs="宋体"/>
          <w:sz w:val="10"/>
        </w:rPr>
        <w:t>、</w:t>
      </w:r>
      <w:r>
        <w:rPr>
          <w:rFonts w:hint="eastAsia" w:ascii="宋体" w:hAnsi="宋体" w:eastAsia="宋体" w:cs="宋体"/>
          <w:sz w:val="24"/>
        </w:rPr>
        <w:t>短信服务</w:t>
      </w:r>
      <w:r>
        <w:rPr>
          <w:rFonts w:hint="eastAsia" w:ascii="宋体" w:hAnsi="宋体" w:eastAsia="宋体" w:cs="宋体"/>
          <w:sz w:val="10"/>
        </w:rPr>
        <w:t>、</w:t>
      </w:r>
      <w:r>
        <w:rPr>
          <w:rFonts w:hint="eastAsia" w:ascii="宋体" w:hAnsi="宋体" w:eastAsia="宋体" w:cs="宋体"/>
          <w:sz w:val="24"/>
        </w:rPr>
        <w:t>即时信息</w:t>
      </w:r>
      <w:r>
        <w:rPr>
          <w:rFonts w:hint="eastAsia" w:ascii="宋体" w:hAnsi="宋体" w:eastAsia="宋体" w:cs="宋体"/>
          <w:sz w:val="10"/>
        </w:rPr>
        <w:t>、</w:t>
      </w:r>
      <w:r>
        <w:rPr>
          <w:rFonts w:hint="eastAsia" w:ascii="宋体" w:hAnsi="宋体" w:eastAsia="宋体" w:cs="宋体"/>
          <w:sz w:val="24"/>
        </w:rPr>
        <w:t>系统留痕等各类辅助功能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I.</w:t>
      </w:r>
      <w:r>
        <w:rPr>
          <w:rFonts w:hint="eastAsia" w:ascii="宋体" w:hAnsi="宋体" w:eastAsia="宋体" w:cs="宋体"/>
          <w:sz w:val="24"/>
        </w:rPr>
        <w:t>报表</w:t>
      </w:r>
      <w:r>
        <w:rPr>
          <w:rFonts w:hint="eastAsia" w:ascii="宋体" w:hAnsi="宋体" w:eastAsia="宋体" w:cs="宋体"/>
          <w:sz w:val="10"/>
        </w:rPr>
        <w:t>。</w:t>
      </w:r>
      <w:r>
        <w:rPr>
          <w:rFonts w:hint="eastAsia" w:ascii="宋体" w:hAnsi="宋体" w:eastAsia="宋体" w:cs="宋体"/>
          <w:sz w:val="24"/>
        </w:rPr>
        <w:t>定期生成市场各类运行情况报表</w:t>
      </w:r>
      <w:r>
        <w:rPr>
          <w:rFonts w:hint="eastAsia" w:ascii="宋体" w:hAnsi="宋体" w:eastAsia="宋体" w:cs="宋体"/>
          <w:sz w:val="12"/>
        </w:rPr>
        <w:t>；</w:t>
      </w:r>
      <w:r>
        <w:rPr>
          <w:rFonts w:hint="eastAsia" w:ascii="宋体" w:hAnsi="宋体" w:eastAsia="宋体" w:cs="宋体"/>
          <w:sz w:val="24"/>
        </w:rPr>
        <w:t>对日常业务运转和系统运行情况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1-1-149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1244600</wp:posOffset>
            </wp:positionH>
            <wp:positionV relativeFrom="page">
              <wp:posOffset>3416300</wp:posOffset>
            </wp:positionV>
            <wp:extent cx="5270500" cy="2908300"/>
            <wp:effectExtent l="0" t="0" r="0" b="0"/>
            <wp:wrapNone/>
            <wp:docPr id="7121" name="image7121" descr=""/>
            <wp:cNvGraphicFramePr>
              <a:graphicFrameLocks noChangeAspect="true"/>
            </wp:cNvGraphicFramePr>
            <a:graphic>
              <a:graphicData uri="http://schemas.openxmlformats.org/drawingml/2006/picture">
                <pic:pic>
                  <pic:nvPicPr>
                    <pic:cNvPr id="7121" name="image7121"/>
                    <pic:cNvPicPr/>
                  </pic:nvPicPr>
                  <pic:blipFill>
                    <a:blip r:embed="rId54"/>
                    <a:stretch>
                      <a:fillRect/>
                    </a:stretch>
                  </pic:blipFill>
                  <pic:spPr>
                    <a:xfrm>
                      <a:off x="0" y="0"/>
                      <a:ext cx="5270500" cy="29083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进行检测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该产品已经在中证机构间报价系统股份有限公司使用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③快速交易系统</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快速交易系统是为了满足高端投资者对订单速度的极致要求而诞生的</w:t>
      </w:r>
      <w:r>
        <w:rPr>
          <w:rFonts w:hint="eastAsia" w:ascii="宋体" w:hAnsi="宋体" w:eastAsia="宋体" w:cs="宋体"/>
          <w:sz w:val="10"/>
        </w:rPr>
        <w:t>。</w:t>
      </w:r>
      <w:r>
        <w:rPr>
          <w:rFonts w:hint="eastAsia" w:ascii="宋体" w:hAnsi="宋体" w:eastAsia="宋体" w:cs="宋体"/>
          <w:sz w:val="24"/>
        </w:rPr>
        <w:t>快速交易系统可以独立建设</w:t>
      </w:r>
      <w:r>
        <w:rPr>
          <w:rFonts w:hint="eastAsia" w:ascii="宋体" w:hAnsi="宋体" w:eastAsia="宋体" w:cs="宋体"/>
          <w:sz w:val="10"/>
        </w:rPr>
        <w:t>，</w:t>
      </w:r>
      <w:r>
        <w:rPr>
          <w:rFonts w:hint="eastAsia" w:ascii="宋体" w:hAnsi="宋体" w:eastAsia="宋体" w:cs="宋体"/>
          <w:sz w:val="24"/>
        </w:rPr>
        <w:t>融入了内存数据库等先进技术</w:t>
      </w:r>
      <w:r>
        <w:rPr>
          <w:rFonts w:hint="eastAsia" w:ascii="宋体" w:hAnsi="宋体" w:eastAsia="宋体" w:cs="宋体"/>
          <w:sz w:val="10"/>
        </w:rPr>
        <w:t>，</w:t>
      </w:r>
      <w:r>
        <w:rPr>
          <w:rFonts w:hint="eastAsia" w:ascii="宋体" w:hAnsi="宋体" w:eastAsia="宋体" w:cs="宋体"/>
          <w:sz w:val="24"/>
        </w:rPr>
        <w:t>在通讯</w:t>
      </w:r>
      <w:r>
        <w:rPr>
          <w:rFonts w:hint="eastAsia" w:ascii="宋体" w:hAnsi="宋体" w:eastAsia="宋体" w:cs="宋体"/>
          <w:sz w:val="10"/>
        </w:rPr>
        <w:t>、</w:t>
      </w:r>
      <w:r>
        <w:rPr>
          <w:rFonts w:hint="eastAsia" w:ascii="宋体" w:hAnsi="宋体" w:eastAsia="宋体" w:cs="宋体"/>
          <w:sz w:val="24"/>
        </w:rPr>
        <w:t>报盘等环节充分优化</w:t>
      </w:r>
      <w:r>
        <w:rPr>
          <w:rFonts w:hint="eastAsia" w:ascii="宋体" w:hAnsi="宋体" w:eastAsia="宋体" w:cs="宋体"/>
          <w:sz w:val="10"/>
        </w:rPr>
        <w:t>，</w:t>
      </w:r>
      <w:r>
        <w:rPr>
          <w:rFonts w:hint="eastAsia" w:ascii="宋体" w:hAnsi="宋体" w:eastAsia="宋体" w:cs="宋体"/>
          <w:sz w:val="24"/>
        </w:rPr>
        <w:t>既能满足私募等客户对交易通道的独立</w:t>
      </w:r>
      <w:r>
        <w:rPr>
          <w:rFonts w:hint="eastAsia" w:ascii="宋体" w:hAnsi="宋体" w:eastAsia="宋体" w:cs="宋体"/>
          <w:sz w:val="10"/>
        </w:rPr>
        <w:t>、</w:t>
      </w:r>
      <w:r>
        <w:rPr>
          <w:rFonts w:hint="eastAsia" w:ascii="宋体" w:hAnsi="宋体" w:eastAsia="宋体" w:cs="宋体"/>
          <w:sz w:val="24"/>
        </w:rPr>
        <w:t>私密要求</w:t>
      </w:r>
      <w:r>
        <w:rPr>
          <w:rFonts w:hint="eastAsia" w:ascii="宋体" w:hAnsi="宋体" w:eastAsia="宋体" w:cs="宋体"/>
          <w:sz w:val="10"/>
        </w:rPr>
        <w:t>，</w:t>
      </w:r>
      <w:r>
        <w:rPr>
          <w:rFonts w:hint="eastAsia" w:ascii="宋体" w:hAnsi="宋体" w:eastAsia="宋体" w:cs="宋体"/>
          <w:sz w:val="24"/>
        </w:rPr>
        <w:t>又能满足策略交易对批量</w:t>
      </w:r>
      <w:r>
        <w:rPr>
          <w:rFonts w:hint="eastAsia" w:ascii="宋体" w:hAnsi="宋体" w:eastAsia="宋体" w:cs="宋体"/>
          <w:sz w:val="10"/>
        </w:rPr>
        <w:t>、</w:t>
      </w:r>
      <w:r>
        <w:rPr>
          <w:rFonts w:hint="eastAsia" w:ascii="宋体" w:hAnsi="宋体" w:eastAsia="宋体" w:cs="宋体"/>
          <w:sz w:val="24"/>
        </w:rPr>
        <w:t>快速订单的极致要求</w:t>
      </w:r>
      <w:r>
        <w:rPr>
          <w:rFonts w:hint="eastAsia" w:ascii="宋体" w:hAnsi="宋体" w:eastAsia="宋体" w:cs="宋体"/>
          <w:sz w:val="10"/>
        </w:rPr>
        <w:t>。</w:t>
      </w:r>
      <w:r>
        <w:rPr>
          <w:rFonts w:hint="eastAsia" w:ascii="宋体" w:hAnsi="宋体" w:eastAsia="宋体" w:cs="宋体"/>
          <w:sz w:val="24"/>
        </w:rPr>
        <w:t>该系统的整体结构如下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2280"/>
        <w:jc w:val="both"/>
      </w:pPr>
      <w:r>
        <w:rPr>
          <w:rFonts w:hint="eastAsia" w:ascii="宋体" w:hAnsi="宋体" w:eastAsia="宋体" w:cs="宋体"/>
          <w:sz w:val="24"/>
        </w:rPr>
        <w:t>该系统主要功能如下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Times New Roman" w:hAnsi="Times New Roman" w:eastAsia="Times New Roman" w:cs="Times New Roman"/>
          <w:sz w:val="24"/>
        </w:rPr>
        <w:t>A.</w:t>
      </w:r>
      <w:r>
        <w:rPr>
          <w:rFonts w:hint="eastAsia" w:ascii="宋体" w:hAnsi="宋体" w:eastAsia="宋体" w:cs="宋体"/>
          <w:sz w:val="24"/>
        </w:rPr>
        <w:t>业务品种支持</w:t>
      </w:r>
      <w:r>
        <w:rPr>
          <w:rFonts w:hint="eastAsia" w:ascii="宋体" w:hAnsi="宋体" w:eastAsia="宋体" w:cs="宋体"/>
          <w:sz w:val="10"/>
        </w:rPr>
        <w:t>。</w:t>
      </w:r>
      <w:r>
        <w:rPr>
          <w:rFonts w:hint="eastAsia" w:ascii="宋体" w:hAnsi="宋体" w:eastAsia="宋体" w:cs="宋体"/>
          <w:sz w:val="24"/>
        </w:rPr>
        <w:t>系统支持所有</w:t>
      </w:r>
      <w:r>
        <w:rPr>
          <w:rFonts w:hint="eastAsia" w:ascii="Times New Roman" w:hAnsi="Times New Roman" w:eastAsia="Times New Roman" w:cs="Times New Roman"/>
          <w:sz w:val="24"/>
        </w:rPr>
        <w:t xml:space="preserve"> A</w:t>
      </w:r>
      <w:r>
        <w:rPr>
          <w:rFonts w:hint="eastAsia" w:ascii="宋体" w:hAnsi="宋体" w:eastAsia="宋体" w:cs="宋体"/>
          <w:sz w:val="24"/>
        </w:rPr>
        <w:t xml:space="preserve"> 股</w:t>
      </w:r>
      <w:r>
        <w:rPr>
          <w:rFonts w:hint="eastAsia" w:ascii="宋体" w:hAnsi="宋体" w:eastAsia="宋体" w:cs="宋体"/>
          <w:sz w:val="10"/>
        </w:rPr>
        <w:t>、</w:t>
      </w:r>
      <w:r>
        <w:rPr>
          <w:rFonts w:hint="eastAsia" w:ascii="宋体" w:hAnsi="宋体" w:eastAsia="宋体" w:cs="宋体"/>
          <w:sz w:val="24"/>
        </w:rPr>
        <w:t>投资基金</w:t>
      </w:r>
      <w:r>
        <w:rPr>
          <w:rFonts w:hint="eastAsia" w:ascii="宋体" w:hAnsi="宋体" w:eastAsia="宋体" w:cs="宋体"/>
          <w:sz w:val="10"/>
        </w:rPr>
        <w:t>、</w:t>
      </w:r>
      <w:r>
        <w:rPr>
          <w:rFonts w:hint="eastAsia" w:ascii="Times New Roman" w:hAnsi="Times New Roman" w:eastAsia="Times New Roman" w:cs="Times New Roman"/>
          <w:sz w:val="24"/>
        </w:rPr>
        <w:t>LOF</w:t>
      </w:r>
      <w:r>
        <w:rPr>
          <w:rFonts w:hint="eastAsia" w:ascii="宋体" w:hAnsi="宋体" w:eastAsia="宋体" w:cs="宋体"/>
          <w:sz w:val="24"/>
        </w:rPr>
        <w:t xml:space="preserve"> 基金</w:t>
      </w:r>
      <w:r>
        <w:rPr>
          <w:rFonts w:hint="eastAsia" w:ascii="宋体" w:hAnsi="宋体" w:eastAsia="宋体" w:cs="宋体"/>
          <w:sz w:val="10"/>
        </w:rPr>
        <w:t>、</w:t>
      </w:r>
      <w:r>
        <w:rPr>
          <w:rFonts w:hint="eastAsia" w:ascii="宋体" w:hAnsi="宋体" w:eastAsia="宋体" w:cs="宋体"/>
          <w:sz w:val="24"/>
        </w:rPr>
        <w:t>上证基金通</w:t>
      </w:r>
      <w:r>
        <w:rPr>
          <w:rFonts w:hint="eastAsia" w:ascii="宋体" w:hAnsi="宋体" w:eastAsia="宋体" w:cs="宋体"/>
          <w:sz w:val="10"/>
        </w:rPr>
        <w:t>、</w:t>
      </w:r>
      <w:r>
        <w:rPr>
          <w:rFonts w:hint="eastAsia" w:ascii="Times New Roman" w:hAnsi="Times New Roman" w:eastAsia="Times New Roman" w:cs="Times New Roman"/>
          <w:sz w:val="24"/>
        </w:rPr>
        <w:t>ETF</w:t>
      </w:r>
      <w:r>
        <w:rPr>
          <w:rFonts w:hint="eastAsia" w:ascii="宋体" w:hAnsi="宋体" w:eastAsia="宋体" w:cs="宋体"/>
          <w:sz w:val="24"/>
        </w:rPr>
        <w:t xml:space="preserve"> 基金</w:t>
      </w:r>
      <w:r>
        <w:rPr>
          <w:rFonts w:hint="eastAsia" w:ascii="宋体" w:hAnsi="宋体" w:eastAsia="宋体" w:cs="宋体"/>
          <w:sz w:val="10"/>
        </w:rPr>
        <w:t>、</w:t>
      </w:r>
      <w:r>
        <w:rPr>
          <w:rFonts w:hint="eastAsia" w:ascii="宋体" w:hAnsi="宋体" w:eastAsia="宋体" w:cs="宋体"/>
          <w:sz w:val="24"/>
        </w:rPr>
        <w:t>债券</w:t>
      </w:r>
      <w:r>
        <w:rPr>
          <w:rFonts w:hint="eastAsia" w:ascii="宋体" w:hAnsi="宋体" w:eastAsia="宋体" w:cs="宋体"/>
          <w:sz w:val="10"/>
        </w:rPr>
        <w:t>、</w:t>
      </w:r>
      <w:r>
        <w:rPr>
          <w:rFonts w:hint="eastAsia" w:ascii="宋体" w:hAnsi="宋体" w:eastAsia="宋体" w:cs="宋体"/>
          <w:sz w:val="24"/>
        </w:rPr>
        <w:t>债券质押式回购</w:t>
      </w:r>
      <w:r>
        <w:rPr>
          <w:rFonts w:hint="eastAsia" w:ascii="宋体" w:hAnsi="宋体" w:eastAsia="宋体" w:cs="宋体"/>
          <w:sz w:val="10"/>
        </w:rPr>
        <w:t>、</w:t>
      </w:r>
      <w:r>
        <w:rPr>
          <w:rFonts w:hint="eastAsia" w:ascii="Times New Roman" w:hAnsi="Times New Roman" w:eastAsia="Times New Roman" w:cs="Times New Roman"/>
          <w:sz w:val="24"/>
        </w:rPr>
        <w:t>ETF</w:t>
      </w:r>
      <w:r>
        <w:rPr>
          <w:rFonts w:hint="eastAsia" w:ascii="宋体" w:hAnsi="宋体" w:eastAsia="宋体" w:cs="宋体"/>
          <w:sz w:val="24"/>
        </w:rPr>
        <w:t xml:space="preserve"> 套利功能</w:t>
      </w:r>
      <w:r>
        <w:rPr>
          <w:rFonts w:hint="eastAsia" w:ascii="宋体" w:hAnsi="宋体" w:eastAsia="宋体" w:cs="宋体"/>
          <w:sz w:val="10"/>
        </w:rPr>
        <w:t>，</w:t>
      </w:r>
      <w:r>
        <w:rPr>
          <w:rFonts w:hint="eastAsia" w:ascii="宋体" w:hAnsi="宋体" w:eastAsia="宋体" w:cs="宋体"/>
          <w:sz w:val="24"/>
        </w:rPr>
        <w:t>支持融资融券</w:t>
      </w:r>
      <w:r>
        <w:rPr>
          <w:rFonts w:hint="eastAsia" w:ascii="宋体" w:hAnsi="宋体" w:eastAsia="宋体" w:cs="宋体"/>
          <w:sz w:val="10"/>
        </w:rPr>
        <w:t>、</w:t>
      </w:r>
      <w:r>
        <w:rPr>
          <w:rFonts w:hint="eastAsia" w:ascii="宋体" w:hAnsi="宋体" w:eastAsia="宋体" w:cs="宋体"/>
          <w:sz w:val="24"/>
        </w:rPr>
        <w:t>港股通等新业务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40" w:firstLine="480"/>
        <w:jc w:val="both"/>
      </w:pPr>
      <w:r>
        <w:rPr>
          <w:rFonts w:hint="eastAsia" w:ascii="Times New Roman" w:hAnsi="Times New Roman" w:eastAsia="Times New Roman" w:cs="Times New Roman"/>
          <w:sz w:val="24"/>
        </w:rPr>
        <w:t>B.</w:t>
      </w:r>
      <w:r>
        <w:rPr>
          <w:rFonts w:hint="eastAsia" w:ascii="宋体" w:hAnsi="宋体" w:eastAsia="宋体" w:cs="宋体"/>
          <w:sz w:val="24"/>
        </w:rPr>
        <w:t>交易接入</w:t>
      </w:r>
      <w:r>
        <w:rPr>
          <w:rFonts w:hint="eastAsia" w:ascii="宋体" w:hAnsi="宋体" w:eastAsia="宋体" w:cs="宋体"/>
          <w:sz w:val="10"/>
        </w:rPr>
        <w:t>。</w:t>
      </w:r>
      <w:r>
        <w:rPr>
          <w:rFonts w:hint="eastAsia" w:ascii="宋体" w:hAnsi="宋体" w:eastAsia="宋体" w:cs="宋体"/>
          <w:sz w:val="24"/>
        </w:rPr>
        <w:t>业务接口全面开放</w:t>
      </w:r>
      <w:r>
        <w:rPr>
          <w:rFonts w:hint="eastAsia" w:ascii="宋体" w:hAnsi="宋体" w:eastAsia="宋体" w:cs="宋体"/>
          <w:sz w:val="10"/>
        </w:rPr>
        <w:t>，</w:t>
      </w:r>
      <w:r>
        <w:rPr>
          <w:rFonts w:hint="eastAsia" w:ascii="宋体" w:hAnsi="宋体" w:eastAsia="宋体" w:cs="宋体"/>
          <w:sz w:val="24"/>
        </w:rPr>
        <w:t>提供多平台（包括</w:t>
      </w:r>
      <w:r>
        <w:rPr>
          <w:rFonts w:hint="eastAsia" w:ascii="Times New Roman" w:hAnsi="Times New Roman" w:eastAsia="Times New Roman" w:cs="Times New Roman"/>
          <w:sz w:val="24"/>
        </w:rPr>
        <w:t xml:space="preserve"> Windows</w:t>
      </w:r>
      <w:r>
        <w:rPr>
          <w:rFonts w:hint="eastAsia" w:ascii="宋体" w:hAnsi="宋体" w:eastAsia="宋体" w:cs="宋体"/>
          <w:sz w:val="10"/>
        </w:rPr>
        <w:t>、</w:t>
      </w:r>
      <w:r>
        <w:rPr>
          <w:rFonts w:hint="eastAsia" w:ascii="Times New Roman" w:hAnsi="Times New Roman" w:eastAsia="Times New Roman" w:cs="Times New Roman"/>
          <w:sz w:val="24"/>
        </w:rPr>
        <w:t>linux</w:t>
      </w:r>
      <w:r>
        <w:rPr>
          <w:rFonts w:hint="eastAsia" w:ascii="宋体" w:hAnsi="宋体" w:eastAsia="宋体" w:cs="宋体"/>
          <w:sz w:val="24"/>
        </w:rPr>
        <w:t xml:space="preserve"> 系统）、</w:t>
      </w:r>
      <w:r>
        <w:rPr>
          <w:rFonts w:hint="eastAsia" w:ascii="宋体" w:hAnsi="宋体" w:eastAsia="宋体" w:cs="宋体"/>
          <w:sz w:val="24"/>
        </w:rPr>
        <w:t>多语言（</w:t>
      </w:r>
      <w:r>
        <w:rPr>
          <w:rFonts w:hint="eastAsia" w:ascii="Times New Roman" w:hAnsi="Times New Roman" w:eastAsia="Times New Roman" w:cs="Times New Roman"/>
          <w:sz w:val="24"/>
        </w:rPr>
        <w:t>C</w:t>
      </w:r>
      <w:r>
        <w:rPr>
          <w:rFonts w:hint="eastAsia" w:ascii="宋体" w:hAnsi="宋体" w:eastAsia="宋体" w:cs="宋体"/>
          <w:sz w:val="24"/>
        </w:rPr>
        <w:t xml:space="preserve"> 语言和</w:t>
      </w:r>
      <w:r>
        <w:rPr>
          <w:rFonts w:hint="eastAsia" w:ascii="Times New Roman" w:hAnsi="Times New Roman" w:eastAsia="Times New Roman" w:cs="Times New Roman"/>
          <w:sz w:val="24"/>
        </w:rPr>
        <w:t xml:space="preserve"> JAVA</w:t>
      </w:r>
      <w:r>
        <w:rPr>
          <w:rFonts w:hint="eastAsia" w:ascii="宋体" w:hAnsi="宋体" w:eastAsia="宋体" w:cs="宋体"/>
          <w:sz w:val="24"/>
        </w:rPr>
        <w:t>）的统一接口</w:t>
      </w:r>
      <w:r>
        <w:rPr>
          <w:rFonts w:hint="eastAsia" w:ascii="宋体" w:hAnsi="宋体" w:eastAsia="宋体" w:cs="宋体"/>
          <w:sz w:val="10"/>
        </w:rPr>
        <w:t>，</w:t>
      </w:r>
      <w:r>
        <w:rPr>
          <w:rFonts w:hint="eastAsia" w:ascii="宋体" w:hAnsi="宋体" w:eastAsia="宋体" w:cs="宋体"/>
          <w:sz w:val="24"/>
        </w:rPr>
        <w:t>和主流</w:t>
      </w:r>
      <w:r>
        <w:rPr>
          <w:rFonts w:hint="eastAsia" w:ascii="Times New Roman" w:hAnsi="Times New Roman" w:eastAsia="Times New Roman" w:cs="Times New Roman"/>
          <w:sz w:val="24"/>
        </w:rPr>
        <w:t xml:space="preserve"> CEP</w:t>
      </w:r>
      <w:r>
        <w:rPr>
          <w:rFonts w:hint="eastAsia" w:ascii="宋体" w:hAnsi="宋体" w:eastAsia="宋体" w:cs="宋体"/>
          <w:sz w:val="24"/>
        </w:rPr>
        <w:t xml:space="preserve"> 平台（</w:t>
      </w:r>
      <w:r>
        <w:rPr>
          <w:rFonts w:hint="eastAsia" w:ascii="Times New Roman" w:hAnsi="Times New Roman" w:eastAsia="Times New Roman" w:cs="Times New Roman"/>
          <w:sz w:val="24"/>
        </w:rPr>
        <w:t>StreamBase</w:t>
      </w:r>
      <w:r>
        <w:rPr>
          <w:rFonts w:hint="eastAsia" w:ascii="宋体" w:hAnsi="宋体" w:eastAsia="宋体" w:cs="宋体"/>
          <w:sz w:val="10"/>
        </w:rPr>
        <w:t>、</w:t>
      </w:r>
      <w:r>
        <w:rPr>
          <w:rFonts w:hint="eastAsia" w:ascii="Times New Roman" w:hAnsi="Times New Roman" w:eastAsia="Times New Roman" w:cs="Times New Roman"/>
          <w:sz w:val="24"/>
        </w:rPr>
        <w:t>Apama</w:t>
      </w:r>
      <w:r>
        <w:rPr>
          <w:rFonts w:hint="eastAsia" w:ascii="宋体" w:hAnsi="宋体" w:eastAsia="宋体" w:cs="宋体"/>
          <w:sz w:val="10"/>
        </w:rPr>
        <w:t>、</w:t>
      </w:r>
      <w:r>
        <w:rPr>
          <w:rFonts w:hint="eastAsia" w:ascii="Times New Roman" w:hAnsi="Times New Roman" w:eastAsia="Times New Roman" w:cs="Times New Roman"/>
          <w:sz w:val="24"/>
        </w:rPr>
        <w:t>Sybase Aleri</w:t>
      </w:r>
      <w:r>
        <w:rPr>
          <w:rFonts w:hint="eastAsia" w:ascii="宋体" w:hAnsi="宋体" w:eastAsia="宋体" w:cs="宋体"/>
          <w:sz w:val="24"/>
        </w:rPr>
        <w:t>）均已实现对接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Times New Roman" w:hAnsi="Times New Roman" w:eastAsia="Times New Roman" w:cs="Times New Roman"/>
          <w:sz w:val="24"/>
        </w:rPr>
        <w:t>C.</w:t>
      </w:r>
      <w:r>
        <w:rPr>
          <w:rFonts w:hint="eastAsia" w:ascii="宋体" w:hAnsi="宋体" w:eastAsia="宋体" w:cs="宋体"/>
          <w:sz w:val="24"/>
        </w:rPr>
        <w:t>极速订单</w:t>
      </w:r>
      <w:r>
        <w:rPr>
          <w:rFonts w:hint="eastAsia" w:ascii="宋体" w:hAnsi="宋体" w:eastAsia="宋体" w:cs="宋体"/>
          <w:sz w:val="10"/>
        </w:rPr>
        <w:t>。</w:t>
      </w:r>
      <w:r>
        <w:rPr>
          <w:rFonts w:hint="eastAsia" w:ascii="宋体" w:hAnsi="宋体" w:eastAsia="宋体" w:cs="宋体"/>
          <w:sz w:val="24"/>
        </w:rPr>
        <w:t>快速交易系统采用内存数据库技术</w:t>
      </w:r>
      <w:r>
        <w:rPr>
          <w:rFonts w:hint="eastAsia" w:ascii="宋体" w:hAnsi="宋体" w:eastAsia="宋体" w:cs="宋体"/>
          <w:sz w:val="10"/>
        </w:rPr>
        <w:t>，</w:t>
      </w:r>
      <w:r>
        <w:rPr>
          <w:rFonts w:hint="eastAsia" w:ascii="宋体" w:hAnsi="宋体" w:eastAsia="宋体" w:cs="宋体"/>
          <w:sz w:val="24"/>
        </w:rPr>
        <w:t>在交易控制</w:t>
      </w:r>
      <w:r>
        <w:rPr>
          <w:rFonts w:hint="eastAsia" w:ascii="宋体" w:hAnsi="宋体" w:eastAsia="宋体" w:cs="宋体"/>
          <w:sz w:val="10"/>
        </w:rPr>
        <w:t>、</w:t>
      </w:r>
      <w:r>
        <w:rPr>
          <w:rFonts w:hint="eastAsia" w:ascii="宋体" w:hAnsi="宋体" w:eastAsia="宋体" w:cs="宋体"/>
          <w:sz w:val="24"/>
        </w:rPr>
        <w:t>接入</w:t>
      </w:r>
      <w:r>
        <w:rPr>
          <w:rFonts w:hint="eastAsia" w:ascii="宋体" w:hAnsi="宋体" w:eastAsia="宋体" w:cs="宋体"/>
          <w:sz w:val="10"/>
        </w:rPr>
        <w:t>、</w:t>
      </w:r>
      <w:r>
        <w:rPr>
          <w:rFonts w:hint="eastAsia" w:ascii="宋体" w:hAnsi="宋体" w:eastAsia="宋体" w:cs="宋体"/>
          <w:sz w:val="24"/>
        </w:rPr>
        <w:t>通讯与报盘通道上完全独立</w:t>
      </w:r>
      <w:r>
        <w:rPr>
          <w:rFonts w:hint="eastAsia" w:ascii="宋体" w:hAnsi="宋体" w:eastAsia="宋体" w:cs="宋体"/>
          <w:sz w:val="10"/>
        </w:rPr>
        <w:t>，</w:t>
      </w:r>
      <w:r>
        <w:rPr>
          <w:rFonts w:hint="eastAsia" w:ascii="宋体" w:hAnsi="宋体" w:eastAsia="宋体" w:cs="宋体"/>
          <w:sz w:val="24"/>
        </w:rPr>
        <w:t>可以实现毫秒级的订单处理速度</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1-1-150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firstLine="480"/>
        <w:jc w:val="both"/>
      </w:pPr>
      <w:r>
        <w:rPr>
          <w:rFonts w:hint="eastAsia" w:ascii="Times New Roman" w:hAnsi="Times New Roman" w:eastAsia="Times New Roman" w:cs="Times New Roman"/>
          <w:sz w:val="24"/>
        </w:rPr>
        <w:t>D.</w:t>
      </w:r>
      <w:r>
        <w:rPr>
          <w:rFonts w:hint="eastAsia" w:ascii="宋体" w:hAnsi="宋体" w:eastAsia="宋体" w:cs="宋体"/>
          <w:sz w:val="24"/>
        </w:rPr>
        <w:t>消息服务</w:t>
      </w:r>
      <w:r>
        <w:rPr>
          <w:rFonts w:hint="eastAsia" w:ascii="宋体" w:hAnsi="宋体" w:eastAsia="宋体" w:cs="宋体"/>
          <w:sz w:val="10"/>
        </w:rPr>
        <w:t>。</w:t>
      </w:r>
      <w:r>
        <w:rPr>
          <w:rFonts w:hint="eastAsia" w:ascii="宋体" w:hAnsi="宋体" w:eastAsia="宋体" w:cs="宋体"/>
          <w:sz w:val="24"/>
        </w:rPr>
        <w:t>提供可扩充的多指标消息服务</w:t>
      </w:r>
      <w:r>
        <w:rPr>
          <w:rFonts w:hint="eastAsia" w:ascii="宋体" w:hAnsi="宋体" w:eastAsia="宋体" w:cs="宋体"/>
          <w:sz w:val="10"/>
        </w:rPr>
        <w:t>。</w:t>
      </w:r>
      <w:r>
        <w:rPr>
          <w:rFonts w:hint="eastAsia" w:ascii="宋体" w:hAnsi="宋体" w:eastAsia="宋体" w:cs="宋体"/>
          <w:sz w:val="24"/>
        </w:rPr>
        <w:t>系统可以按业务类型分隔消息播报</w:t>
      </w:r>
      <w:r>
        <w:rPr>
          <w:rFonts w:hint="eastAsia" w:ascii="宋体" w:hAnsi="宋体" w:eastAsia="宋体" w:cs="宋体"/>
          <w:sz w:val="10"/>
        </w:rPr>
        <w:t>，</w:t>
      </w:r>
      <w:r>
        <w:rPr>
          <w:rFonts w:hint="eastAsia" w:ascii="宋体" w:hAnsi="宋体" w:eastAsia="宋体" w:cs="宋体"/>
          <w:sz w:val="24"/>
        </w:rPr>
        <w:t>可提供行情</w:t>
      </w:r>
      <w:r>
        <w:rPr>
          <w:rFonts w:hint="eastAsia" w:ascii="宋体" w:hAnsi="宋体" w:eastAsia="宋体" w:cs="宋体"/>
          <w:sz w:val="10"/>
        </w:rPr>
        <w:t>、</w:t>
      </w:r>
      <w:r>
        <w:rPr>
          <w:rFonts w:hint="eastAsia" w:ascii="宋体" w:hAnsi="宋体" w:eastAsia="宋体" w:cs="宋体"/>
          <w:sz w:val="24"/>
        </w:rPr>
        <w:t>市场指标</w:t>
      </w:r>
      <w:r>
        <w:rPr>
          <w:rFonts w:hint="eastAsia" w:ascii="宋体" w:hAnsi="宋体" w:eastAsia="宋体" w:cs="宋体"/>
          <w:sz w:val="10"/>
        </w:rPr>
        <w:t>、</w:t>
      </w:r>
      <w:r>
        <w:rPr>
          <w:rFonts w:hint="eastAsia" w:ascii="宋体" w:hAnsi="宋体" w:eastAsia="宋体" w:cs="宋体"/>
          <w:sz w:val="24"/>
        </w:rPr>
        <w:t>交易指标等多类消息主动推送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该产品已经在银河证券</w:t>
      </w:r>
      <w:r>
        <w:rPr>
          <w:rFonts w:hint="eastAsia" w:ascii="宋体" w:hAnsi="宋体" w:eastAsia="宋体" w:cs="宋体"/>
          <w:sz w:val="10"/>
        </w:rPr>
        <w:t>、</w:t>
      </w:r>
      <w:r>
        <w:rPr>
          <w:rFonts w:hint="eastAsia" w:ascii="宋体" w:hAnsi="宋体" w:eastAsia="宋体" w:cs="宋体"/>
          <w:sz w:val="24"/>
        </w:rPr>
        <w:t>华泰证券</w:t>
      </w:r>
      <w:r>
        <w:rPr>
          <w:rFonts w:hint="eastAsia" w:ascii="宋体" w:hAnsi="宋体" w:eastAsia="宋体" w:cs="宋体"/>
          <w:sz w:val="10"/>
        </w:rPr>
        <w:t>、</w:t>
      </w:r>
      <w:r>
        <w:rPr>
          <w:rFonts w:hint="eastAsia" w:ascii="宋体" w:hAnsi="宋体" w:eastAsia="宋体" w:cs="宋体"/>
          <w:sz w:val="24"/>
        </w:rPr>
        <w:t>招商证券</w:t>
      </w:r>
      <w:r>
        <w:rPr>
          <w:rFonts w:hint="eastAsia" w:ascii="宋体" w:hAnsi="宋体" w:eastAsia="宋体" w:cs="宋体"/>
          <w:sz w:val="10"/>
        </w:rPr>
        <w:t>、</w:t>
      </w:r>
      <w:r>
        <w:rPr>
          <w:rFonts w:hint="eastAsia" w:ascii="宋体" w:hAnsi="宋体" w:eastAsia="宋体" w:cs="宋体"/>
          <w:sz w:val="24"/>
        </w:rPr>
        <w:t>广发证券</w:t>
      </w:r>
      <w:r>
        <w:rPr>
          <w:rFonts w:hint="eastAsia" w:ascii="宋体" w:hAnsi="宋体" w:eastAsia="宋体" w:cs="宋体"/>
          <w:sz w:val="10"/>
        </w:rPr>
        <w:t>、</w:t>
      </w:r>
      <w:r>
        <w:rPr>
          <w:rFonts w:hint="eastAsia" w:ascii="宋体" w:hAnsi="宋体" w:eastAsia="宋体" w:cs="宋体"/>
          <w:sz w:val="24"/>
        </w:rPr>
        <w:t>国金证券等客户使用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④综合理财账户管理系统</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综合理财账户管理系统是为客户提供</w:t>
      </w:r>
      <w:r>
        <w:rPr>
          <w:rFonts w:hint="eastAsia" w:ascii="宋体" w:hAnsi="宋体" w:eastAsia="宋体" w:cs="宋体"/>
          <w:sz w:val="10"/>
        </w:rPr>
        <w:t>“</w:t>
      </w:r>
      <w:r>
        <w:rPr>
          <w:rFonts w:hint="eastAsia" w:ascii="宋体" w:hAnsi="宋体" w:eastAsia="宋体" w:cs="宋体"/>
          <w:sz w:val="24"/>
        </w:rPr>
        <w:t>综合金融服务</w:t>
      </w:r>
      <w:r>
        <w:rPr>
          <w:rFonts w:hint="eastAsia" w:ascii="宋体" w:hAnsi="宋体" w:eastAsia="宋体" w:cs="宋体"/>
          <w:sz w:val="10"/>
        </w:rPr>
        <w:t>”</w:t>
      </w:r>
      <w:r>
        <w:rPr>
          <w:rFonts w:hint="eastAsia" w:ascii="宋体" w:hAnsi="宋体" w:eastAsia="宋体" w:cs="宋体"/>
          <w:sz w:val="24"/>
        </w:rPr>
        <w:t>的基础支撑系统</w:t>
      </w:r>
      <w:r>
        <w:rPr>
          <w:rFonts w:hint="eastAsia" w:ascii="宋体" w:hAnsi="宋体" w:eastAsia="宋体" w:cs="宋体"/>
          <w:sz w:val="10"/>
        </w:rPr>
        <w:t>。</w:t>
      </w:r>
      <w:r>
        <w:rPr>
          <w:rFonts w:hint="eastAsia" w:ascii="宋体" w:hAnsi="宋体" w:eastAsia="宋体" w:cs="宋体"/>
          <w:sz w:val="24"/>
        </w:rPr>
        <w:t>以客户基础账户信息和账户设立</w:t>
      </w:r>
      <w:r>
        <w:rPr>
          <w:rFonts w:hint="eastAsia" w:ascii="宋体" w:hAnsi="宋体" w:eastAsia="宋体" w:cs="宋体"/>
          <w:sz w:val="10"/>
        </w:rPr>
        <w:t>、</w:t>
      </w:r>
      <w:r>
        <w:rPr>
          <w:rFonts w:hint="eastAsia" w:ascii="宋体" w:hAnsi="宋体" w:eastAsia="宋体" w:cs="宋体"/>
          <w:sz w:val="24"/>
        </w:rPr>
        <w:t>关联为主线</w:t>
      </w:r>
      <w:r>
        <w:rPr>
          <w:rFonts w:hint="eastAsia" w:ascii="宋体" w:hAnsi="宋体" w:eastAsia="宋体" w:cs="宋体"/>
          <w:sz w:val="10"/>
        </w:rPr>
        <w:t>，</w:t>
      </w:r>
      <w:r>
        <w:rPr>
          <w:rFonts w:hint="eastAsia" w:ascii="宋体" w:hAnsi="宋体" w:eastAsia="宋体" w:cs="宋体"/>
          <w:sz w:val="24"/>
        </w:rPr>
        <w:t>为各业务系统提供集中的客户资料管理</w:t>
      </w:r>
      <w:r>
        <w:rPr>
          <w:rFonts w:hint="eastAsia" w:ascii="宋体" w:hAnsi="宋体" w:eastAsia="宋体" w:cs="宋体"/>
          <w:sz w:val="10"/>
        </w:rPr>
        <w:t>、</w:t>
      </w:r>
      <w:r>
        <w:rPr>
          <w:rFonts w:hint="eastAsia" w:ascii="宋体" w:hAnsi="宋体" w:eastAsia="宋体" w:cs="宋体"/>
          <w:sz w:val="24"/>
        </w:rPr>
        <w:t>客户资产管理</w:t>
      </w:r>
      <w:r>
        <w:rPr>
          <w:rFonts w:hint="eastAsia" w:ascii="宋体" w:hAnsi="宋体" w:eastAsia="宋体" w:cs="宋体"/>
          <w:sz w:val="10"/>
        </w:rPr>
        <w:t>、</w:t>
      </w:r>
      <w:r>
        <w:rPr>
          <w:rFonts w:hint="eastAsia" w:ascii="宋体" w:hAnsi="宋体" w:eastAsia="宋体" w:cs="宋体"/>
          <w:sz w:val="24"/>
        </w:rPr>
        <w:t>客户业务办理中心</w:t>
      </w:r>
      <w:r>
        <w:rPr>
          <w:rFonts w:hint="eastAsia" w:ascii="宋体" w:hAnsi="宋体" w:eastAsia="宋体" w:cs="宋体"/>
          <w:sz w:val="10"/>
        </w:rPr>
        <w:t>。</w:t>
      </w:r>
      <w:r>
        <w:rPr>
          <w:rFonts w:hint="eastAsia" w:ascii="宋体" w:hAnsi="宋体" w:eastAsia="宋体" w:cs="宋体"/>
          <w:sz w:val="24"/>
        </w:rPr>
        <w:t>解决多头账户问题</w:t>
      </w:r>
      <w:r>
        <w:rPr>
          <w:rFonts w:hint="eastAsia" w:ascii="宋体" w:hAnsi="宋体" w:eastAsia="宋体" w:cs="宋体"/>
          <w:sz w:val="10"/>
        </w:rPr>
        <w:t>，</w:t>
      </w:r>
      <w:r>
        <w:rPr>
          <w:rFonts w:hint="eastAsia" w:ascii="宋体" w:hAnsi="宋体" w:eastAsia="宋体" w:cs="宋体"/>
          <w:sz w:val="24"/>
        </w:rPr>
        <w:t>实现客户统一管理</w:t>
      </w:r>
      <w:r>
        <w:rPr>
          <w:rFonts w:hint="eastAsia" w:ascii="宋体" w:hAnsi="宋体" w:eastAsia="宋体" w:cs="宋体"/>
          <w:sz w:val="10"/>
        </w:rPr>
        <w:t>，</w:t>
      </w:r>
      <w:r>
        <w:rPr>
          <w:rFonts w:hint="eastAsia" w:ascii="宋体" w:hAnsi="宋体" w:eastAsia="宋体" w:cs="宋体"/>
          <w:sz w:val="24"/>
        </w:rPr>
        <w:t>交易</w:t>
      </w:r>
      <w:r>
        <w:rPr>
          <w:rFonts w:hint="eastAsia" w:ascii="宋体" w:hAnsi="宋体" w:eastAsia="宋体" w:cs="宋体"/>
          <w:sz w:val="10"/>
        </w:rPr>
        <w:t>、</w:t>
      </w:r>
      <w:r>
        <w:rPr>
          <w:rFonts w:hint="eastAsia" w:ascii="宋体" w:hAnsi="宋体" w:eastAsia="宋体" w:cs="宋体"/>
          <w:sz w:val="24"/>
        </w:rPr>
        <w:t>服务等各类渠道的互通</w:t>
      </w:r>
      <w:r>
        <w:rPr>
          <w:rFonts w:hint="eastAsia" w:ascii="宋体" w:hAnsi="宋体" w:eastAsia="宋体" w:cs="宋体"/>
          <w:sz w:val="10"/>
        </w:rPr>
        <w:t>、</w:t>
      </w:r>
      <w:r>
        <w:rPr>
          <w:rFonts w:hint="eastAsia" w:ascii="宋体" w:hAnsi="宋体" w:eastAsia="宋体" w:cs="宋体"/>
          <w:sz w:val="24"/>
        </w:rPr>
        <w:t>互联</w:t>
      </w:r>
      <w:r>
        <w:rPr>
          <w:rFonts w:hint="eastAsia" w:ascii="宋体" w:hAnsi="宋体" w:eastAsia="宋体" w:cs="宋体"/>
          <w:sz w:val="10"/>
        </w:rPr>
        <w:t>。</w:t>
      </w:r>
      <w:r>
        <w:rPr>
          <w:rFonts w:hint="eastAsia" w:ascii="宋体" w:hAnsi="宋体" w:eastAsia="宋体" w:cs="宋体"/>
          <w:sz w:val="24"/>
        </w:rPr>
        <w:t>在综合理财账户的支持下</w:t>
      </w:r>
      <w:r>
        <w:rPr>
          <w:rFonts w:hint="eastAsia" w:ascii="宋体" w:hAnsi="宋体" w:eastAsia="宋体" w:cs="宋体"/>
          <w:sz w:val="10"/>
        </w:rPr>
        <w:t>，</w:t>
      </w:r>
      <w:r>
        <w:rPr>
          <w:rFonts w:hint="eastAsia" w:ascii="宋体" w:hAnsi="宋体" w:eastAsia="宋体" w:cs="宋体"/>
          <w:sz w:val="24"/>
        </w:rPr>
        <w:t>券商可以更加方便地为投资者开通互联网理财账户</w:t>
      </w:r>
      <w:r>
        <w:rPr>
          <w:rFonts w:hint="eastAsia" w:ascii="宋体" w:hAnsi="宋体" w:eastAsia="宋体" w:cs="宋体"/>
          <w:sz w:val="10"/>
        </w:rPr>
        <w:t>，</w:t>
      </w:r>
      <w:r>
        <w:rPr>
          <w:rFonts w:hint="eastAsia" w:ascii="宋体" w:hAnsi="宋体" w:eastAsia="宋体" w:cs="宋体"/>
          <w:sz w:val="24"/>
        </w:rPr>
        <w:t>开展互联网理财业务</w:t>
      </w:r>
      <w:r>
        <w:rPr>
          <w:rFonts w:hint="eastAsia" w:ascii="宋体" w:hAnsi="宋体" w:eastAsia="宋体" w:cs="宋体"/>
          <w:sz w:val="10"/>
        </w:rPr>
        <w:t>。</w:t>
      </w:r>
      <w:r>
        <w:rPr>
          <w:rFonts w:hint="eastAsia" w:ascii="宋体" w:hAnsi="宋体" w:eastAsia="宋体" w:cs="宋体"/>
          <w:sz w:val="24"/>
        </w:rPr>
        <w:t>其主要的功能包括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A.</w:t>
      </w:r>
      <w:r>
        <w:rPr>
          <w:rFonts w:hint="eastAsia" w:ascii="宋体" w:hAnsi="宋体" w:eastAsia="宋体" w:cs="宋体"/>
          <w:sz w:val="10"/>
        </w:rPr>
        <w:t>一</w:t>
      </w:r>
      <w:r>
        <w:rPr>
          <w:rFonts w:hint="eastAsia" w:ascii="宋体" w:hAnsi="宋体" w:eastAsia="宋体" w:cs="宋体"/>
          <w:sz w:val="24"/>
        </w:rPr>
        <w:t>户通</w:t>
      </w:r>
      <w:r>
        <w:rPr>
          <w:rFonts w:hint="eastAsia" w:ascii="宋体" w:hAnsi="宋体" w:eastAsia="宋体" w:cs="宋体"/>
          <w:sz w:val="10"/>
        </w:rPr>
        <w:t>。</w:t>
      </w:r>
      <w:r>
        <w:rPr>
          <w:rFonts w:hint="eastAsia" w:ascii="宋体" w:hAnsi="宋体" w:eastAsia="宋体" w:cs="宋体"/>
          <w:sz w:val="24"/>
        </w:rPr>
        <w:t>可为</w:t>
      </w:r>
      <w:r>
        <w:rPr>
          <w:rFonts w:hint="eastAsia" w:ascii="宋体" w:hAnsi="宋体" w:eastAsia="宋体" w:cs="宋体"/>
          <w:sz w:val="10"/>
        </w:rPr>
        <w:t>一</w:t>
      </w:r>
      <w:r>
        <w:rPr>
          <w:rFonts w:hint="eastAsia" w:ascii="宋体" w:hAnsi="宋体" w:eastAsia="宋体" w:cs="宋体"/>
          <w:sz w:val="24"/>
        </w:rPr>
        <w:t>个客户分配</w:t>
      </w:r>
      <w:r>
        <w:rPr>
          <w:rFonts w:hint="eastAsia" w:ascii="宋体" w:hAnsi="宋体" w:eastAsia="宋体" w:cs="宋体"/>
          <w:sz w:val="10"/>
        </w:rPr>
        <w:t>一</w:t>
      </w:r>
      <w:r>
        <w:rPr>
          <w:rFonts w:hint="eastAsia" w:ascii="宋体" w:hAnsi="宋体" w:eastAsia="宋体" w:cs="宋体"/>
          <w:sz w:val="24"/>
        </w:rPr>
        <w:t>个唯</w:t>
      </w:r>
      <w:r>
        <w:rPr>
          <w:rFonts w:hint="eastAsia" w:ascii="宋体" w:hAnsi="宋体" w:eastAsia="宋体" w:cs="宋体"/>
          <w:sz w:val="10"/>
        </w:rPr>
        <w:t>一</w:t>
      </w:r>
      <w:r>
        <w:rPr>
          <w:rFonts w:hint="eastAsia" w:ascii="宋体" w:hAnsi="宋体" w:eastAsia="宋体" w:cs="宋体"/>
          <w:sz w:val="24"/>
        </w:rPr>
        <w:t>的客户号</w:t>
      </w:r>
      <w:r>
        <w:rPr>
          <w:rFonts w:hint="eastAsia" w:ascii="宋体" w:hAnsi="宋体" w:eastAsia="宋体" w:cs="宋体"/>
          <w:sz w:val="10"/>
        </w:rPr>
        <w:t>，</w:t>
      </w:r>
      <w:r>
        <w:rPr>
          <w:rFonts w:hint="eastAsia" w:ascii="宋体" w:hAnsi="宋体" w:eastAsia="宋体" w:cs="宋体"/>
          <w:sz w:val="24"/>
        </w:rPr>
        <w:t>理财账户管理客户号的配号</w:t>
      </w:r>
      <w:r>
        <w:rPr>
          <w:rFonts w:hint="eastAsia" w:ascii="宋体" w:hAnsi="宋体" w:eastAsia="宋体" w:cs="宋体"/>
          <w:sz w:val="10"/>
        </w:rPr>
        <w:t>，</w:t>
      </w:r>
      <w:r>
        <w:rPr>
          <w:rFonts w:hint="eastAsia" w:ascii="宋体" w:hAnsi="宋体" w:eastAsia="宋体" w:cs="宋体"/>
          <w:sz w:val="24"/>
        </w:rPr>
        <w:t>多头账户的合并</w:t>
      </w:r>
      <w:r>
        <w:rPr>
          <w:rFonts w:hint="eastAsia" w:ascii="宋体" w:hAnsi="宋体" w:eastAsia="宋体" w:cs="宋体"/>
          <w:sz w:val="10"/>
        </w:rPr>
        <w:t>。</w:t>
      </w:r>
      <w:r>
        <w:rPr>
          <w:rFonts w:hint="eastAsia" w:ascii="宋体" w:hAnsi="宋体" w:eastAsia="宋体" w:cs="宋体"/>
          <w:sz w:val="24"/>
        </w:rPr>
        <w:t>实现一个账户全面管理</w:t>
      </w:r>
      <w:r>
        <w:rPr>
          <w:rFonts w:hint="eastAsia" w:ascii="宋体" w:hAnsi="宋体" w:eastAsia="宋体" w:cs="宋体"/>
          <w:sz w:val="10"/>
        </w:rPr>
        <w:t>，一</w:t>
      </w:r>
      <w:r>
        <w:rPr>
          <w:rFonts w:hint="eastAsia" w:ascii="宋体" w:hAnsi="宋体" w:eastAsia="宋体" w:cs="宋体"/>
          <w:sz w:val="24"/>
        </w:rPr>
        <w:t>套密码统一登录</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B.</w:t>
      </w:r>
      <w:r>
        <w:rPr>
          <w:rFonts w:hint="eastAsia" w:ascii="宋体" w:hAnsi="宋体" w:eastAsia="宋体" w:cs="宋体"/>
          <w:sz w:val="24"/>
        </w:rPr>
        <w:t>账户体系</w:t>
      </w:r>
      <w:r>
        <w:rPr>
          <w:rFonts w:hint="eastAsia" w:ascii="宋体" w:hAnsi="宋体" w:eastAsia="宋体" w:cs="宋体"/>
          <w:sz w:val="10"/>
        </w:rPr>
        <w:t>。</w:t>
      </w:r>
      <w:r>
        <w:rPr>
          <w:rFonts w:hint="eastAsia" w:ascii="宋体" w:hAnsi="宋体" w:eastAsia="宋体" w:cs="宋体"/>
          <w:sz w:val="24"/>
        </w:rPr>
        <w:t>支持注册</w:t>
      </w:r>
      <w:r>
        <w:rPr>
          <w:rFonts w:hint="eastAsia" w:ascii="宋体" w:hAnsi="宋体" w:eastAsia="宋体" w:cs="宋体"/>
          <w:sz w:val="10"/>
        </w:rPr>
        <w:t>、</w:t>
      </w:r>
      <w:r>
        <w:rPr>
          <w:rFonts w:hint="eastAsia" w:ascii="宋体" w:hAnsi="宋体" w:eastAsia="宋体" w:cs="宋体"/>
          <w:sz w:val="24"/>
        </w:rPr>
        <w:t>理财和交易的三层账户体系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C.</w:t>
      </w:r>
      <w:r>
        <w:rPr>
          <w:rFonts w:hint="eastAsia" w:ascii="宋体" w:hAnsi="宋体" w:eastAsia="宋体" w:cs="宋体"/>
          <w:sz w:val="24"/>
        </w:rPr>
        <w:t>批量开通</w:t>
      </w:r>
      <w:r>
        <w:rPr>
          <w:rFonts w:hint="eastAsia" w:ascii="宋体" w:hAnsi="宋体" w:eastAsia="宋体" w:cs="宋体"/>
          <w:sz w:val="10"/>
        </w:rPr>
        <w:t>。</w:t>
      </w:r>
      <w:r>
        <w:rPr>
          <w:rFonts w:hint="eastAsia" w:ascii="宋体" w:hAnsi="宋体" w:eastAsia="宋体" w:cs="宋体"/>
          <w:sz w:val="24"/>
        </w:rPr>
        <w:t>支持注册</w:t>
      </w:r>
      <w:r>
        <w:rPr>
          <w:rFonts w:hint="eastAsia" w:ascii="宋体" w:hAnsi="宋体" w:eastAsia="宋体" w:cs="宋体"/>
          <w:sz w:val="10"/>
        </w:rPr>
        <w:t>、</w:t>
      </w:r>
      <w:r>
        <w:rPr>
          <w:rFonts w:hint="eastAsia" w:ascii="宋体" w:hAnsi="宋体" w:eastAsia="宋体" w:cs="宋体"/>
          <w:sz w:val="24"/>
        </w:rPr>
        <w:t>理财账户的批量开通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D.</w:t>
      </w:r>
      <w:r>
        <w:rPr>
          <w:rFonts w:hint="eastAsia" w:ascii="宋体" w:hAnsi="宋体" w:eastAsia="宋体" w:cs="宋体"/>
          <w:sz w:val="24"/>
        </w:rPr>
        <w:t>账户签约</w:t>
      </w:r>
      <w:r>
        <w:rPr>
          <w:rFonts w:hint="eastAsia" w:ascii="宋体" w:hAnsi="宋体" w:eastAsia="宋体" w:cs="宋体"/>
          <w:sz w:val="10"/>
        </w:rPr>
        <w:t>。</w:t>
      </w:r>
      <w:r>
        <w:rPr>
          <w:rFonts w:hint="eastAsia" w:ascii="宋体" w:hAnsi="宋体" w:eastAsia="宋体" w:cs="宋体"/>
          <w:sz w:val="24"/>
        </w:rPr>
        <w:t>提供理财</w:t>
      </w:r>
      <w:r>
        <w:rPr>
          <w:rFonts w:hint="eastAsia" w:ascii="宋体" w:hAnsi="宋体" w:eastAsia="宋体" w:cs="宋体"/>
          <w:sz w:val="10"/>
        </w:rPr>
        <w:t>、</w:t>
      </w:r>
      <w:r>
        <w:rPr>
          <w:rFonts w:hint="eastAsia" w:ascii="宋体" w:hAnsi="宋体" w:eastAsia="宋体" w:cs="宋体"/>
          <w:sz w:val="24"/>
        </w:rPr>
        <w:t>交易账户签约功能</w:t>
      </w:r>
      <w:r>
        <w:rPr>
          <w:rFonts w:hint="eastAsia" w:ascii="宋体" w:hAnsi="宋体" w:eastAsia="宋体" w:cs="宋体"/>
          <w:sz w:val="10"/>
        </w:rPr>
        <w:t>，</w:t>
      </w:r>
      <w:r>
        <w:rPr>
          <w:rFonts w:hint="eastAsia" w:ascii="宋体" w:hAnsi="宋体" w:eastAsia="宋体" w:cs="宋体"/>
          <w:sz w:val="24"/>
        </w:rPr>
        <w:t>实现存量交易账户到</w:t>
      </w:r>
      <w:r>
        <w:rPr>
          <w:rFonts w:hint="eastAsia" w:ascii="宋体" w:hAnsi="宋体" w:eastAsia="宋体" w:cs="宋体"/>
          <w:sz w:val="10"/>
        </w:rPr>
        <w:t>一</w:t>
      </w:r>
      <w:r>
        <w:rPr>
          <w:rFonts w:hint="eastAsia" w:ascii="宋体" w:hAnsi="宋体" w:eastAsia="宋体" w:cs="宋体"/>
          <w:sz w:val="24"/>
        </w:rPr>
        <w:t>户通的归集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E.</w:t>
      </w:r>
      <w:r>
        <w:rPr>
          <w:rFonts w:hint="eastAsia" w:ascii="宋体" w:hAnsi="宋体" w:eastAsia="宋体" w:cs="宋体"/>
          <w:sz w:val="24"/>
        </w:rPr>
        <w:t>账户信息同步</w:t>
      </w:r>
      <w:r>
        <w:rPr>
          <w:rFonts w:hint="eastAsia" w:ascii="宋体" w:hAnsi="宋体" w:eastAsia="宋体" w:cs="宋体"/>
          <w:sz w:val="10"/>
        </w:rPr>
        <w:t>。</w:t>
      </w:r>
      <w:r>
        <w:rPr>
          <w:rFonts w:hint="eastAsia" w:ascii="宋体" w:hAnsi="宋体" w:eastAsia="宋体" w:cs="宋体"/>
          <w:sz w:val="24"/>
        </w:rPr>
        <w:t>允许其他业务系统订阅账户信息变更消息</w:t>
      </w:r>
      <w:r>
        <w:rPr>
          <w:rFonts w:hint="eastAsia" w:ascii="宋体" w:hAnsi="宋体" w:eastAsia="宋体" w:cs="宋体"/>
          <w:sz w:val="10"/>
        </w:rPr>
        <w:t>，</w:t>
      </w:r>
      <w:r>
        <w:rPr>
          <w:rFonts w:hint="eastAsia" w:ascii="宋体" w:hAnsi="宋体" w:eastAsia="宋体" w:cs="宋体"/>
          <w:sz w:val="24"/>
        </w:rPr>
        <w:t>账户变更信息实时或文件交互方式推送到相关业务系统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该系统已经在华泰证券</w:t>
      </w:r>
      <w:r>
        <w:rPr>
          <w:rFonts w:hint="eastAsia" w:ascii="宋体" w:hAnsi="宋体" w:eastAsia="宋体" w:cs="宋体"/>
          <w:sz w:val="10"/>
        </w:rPr>
        <w:t>、</w:t>
      </w:r>
      <w:r>
        <w:rPr>
          <w:rFonts w:hint="eastAsia" w:ascii="宋体" w:hAnsi="宋体" w:eastAsia="宋体" w:cs="宋体"/>
          <w:sz w:val="24"/>
        </w:rPr>
        <w:t>申万宏源证券</w:t>
      </w:r>
      <w:r>
        <w:rPr>
          <w:rFonts w:hint="eastAsia" w:ascii="宋体" w:hAnsi="宋体" w:eastAsia="宋体" w:cs="宋体"/>
          <w:sz w:val="10"/>
        </w:rPr>
        <w:t>、</w:t>
      </w:r>
      <w:r>
        <w:rPr>
          <w:rFonts w:hint="eastAsia" w:ascii="宋体" w:hAnsi="宋体" w:eastAsia="宋体" w:cs="宋体"/>
          <w:sz w:val="24"/>
        </w:rPr>
        <w:t>东吴证券</w:t>
      </w:r>
      <w:r>
        <w:rPr>
          <w:rFonts w:hint="eastAsia" w:ascii="宋体" w:hAnsi="宋体" w:eastAsia="宋体" w:cs="宋体"/>
          <w:sz w:val="10"/>
        </w:rPr>
        <w:t>、</w:t>
      </w:r>
      <w:r>
        <w:rPr>
          <w:rFonts w:hint="eastAsia" w:ascii="宋体" w:hAnsi="宋体" w:eastAsia="宋体" w:cs="宋体"/>
          <w:sz w:val="24"/>
        </w:rPr>
        <w:t>东兴证券等客户使用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⑤资金支付平台</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资金支付平台为券商提供便利的资金服务</w:t>
      </w:r>
      <w:r>
        <w:rPr>
          <w:rFonts w:hint="eastAsia" w:ascii="宋体" w:hAnsi="宋体" w:eastAsia="宋体" w:cs="宋体"/>
          <w:sz w:val="10"/>
        </w:rPr>
        <w:t>，</w:t>
      </w:r>
      <w:r>
        <w:rPr>
          <w:rFonts w:hint="eastAsia" w:ascii="宋体" w:hAnsi="宋体" w:eastAsia="宋体" w:cs="宋体"/>
          <w:sz w:val="24"/>
        </w:rPr>
        <w:t>提升客户在资金消费结算方面的服务体验</w:t>
      </w:r>
      <w:r>
        <w:rPr>
          <w:rFonts w:hint="eastAsia" w:ascii="宋体" w:hAnsi="宋体" w:eastAsia="宋体" w:cs="宋体"/>
          <w:sz w:val="10"/>
        </w:rPr>
        <w:t>。</w:t>
      </w:r>
      <w:r>
        <w:rPr>
          <w:rFonts w:hint="eastAsia" w:ascii="宋体" w:hAnsi="宋体" w:eastAsia="宋体" w:cs="宋体"/>
          <w:sz w:val="24"/>
        </w:rPr>
        <w:t>资金支付平台一方面将资金从业务系统中分离出来</w:t>
      </w:r>
      <w:r>
        <w:rPr>
          <w:rFonts w:hint="eastAsia" w:ascii="宋体" w:hAnsi="宋体" w:eastAsia="宋体" w:cs="宋体"/>
          <w:sz w:val="10"/>
        </w:rPr>
        <w:t>，</w:t>
      </w:r>
      <w:r>
        <w:rPr>
          <w:rFonts w:hint="eastAsia" w:ascii="宋体" w:hAnsi="宋体" w:eastAsia="宋体" w:cs="宋体"/>
          <w:sz w:val="24"/>
        </w:rPr>
        <w:t>赋予资金账户更多除了股票交易之外的</w:t>
      </w:r>
      <w:r>
        <w:rPr>
          <w:rFonts w:hint="eastAsia" w:ascii="宋体" w:hAnsi="宋体" w:eastAsia="宋体" w:cs="宋体"/>
          <w:sz w:val="10"/>
        </w:rPr>
        <w:t>，</w:t>
      </w:r>
      <w:r>
        <w:rPr>
          <w:rFonts w:hint="eastAsia" w:ascii="宋体" w:hAnsi="宋体" w:eastAsia="宋体" w:cs="宋体"/>
          <w:sz w:val="24"/>
        </w:rPr>
        <w:t>包括消费</w:t>
      </w:r>
      <w:r>
        <w:rPr>
          <w:rFonts w:hint="eastAsia" w:ascii="宋体" w:hAnsi="宋体" w:eastAsia="宋体" w:cs="宋体"/>
          <w:sz w:val="10"/>
        </w:rPr>
        <w:t>、</w:t>
      </w:r>
      <w:r>
        <w:rPr>
          <w:rFonts w:hint="eastAsia" w:ascii="宋体" w:hAnsi="宋体" w:eastAsia="宋体" w:cs="宋体"/>
          <w:sz w:val="24"/>
        </w:rPr>
        <w:t>生活服务等多项功能</w:t>
      </w:r>
      <w:r>
        <w:rPr>
          <w:rFonts w:hint="eastAsia" w:ascii="宋体" w:hAnsi="宋体" w:eastAsia="宋体" w:cs="宋体"/>
          <w:sz w:val="10"/>
        </w:rPr>
        <w:t>。</w:t>
      </w:r>
      <w:r>
        <w:rPr>
          <w:rFonts w:hint="eastAsia" w:ascii="宋体" w:hAnsi="宋体" w:eastAsia="宋体" w:cs="宋体"/>
          <w:sz w:val="24"/>
        </w:rPr>
        <w:t>另一方面将券商资金系统和第三方支付等外部支付源对接</w:t>
      </w:r>
      <w:r>
        <w:rPr>
          <w:rFonts w:hint="eastAsia" w:ascii="宋体" w:hAnsi="宋体" w:eastAsia="宋体" w:cs="宋体"/>
          <w:sz w:val="10"/>
        </w:rPr>
        <w:t>，</w:t>
      </w:r>
      <w:r>
        <w:rPr>
          <w:rFonts w:hint="eastAsia" w:ascii="宋体" w:hAnsi="宋体" w:eastAsia="宋体" w:cs="宋体"/>
          <w:sz w:val="24"/>
        </w:rPr>
        <w:t>提供更大的资金流动便利</w:t>
      </w:r>
      <w:r>
        <w:rPr>
          <w:rFonts w:hint="eastAsia" w:ascii="宋体" w:hAnsi="宋体" w:eastAsia="宋体" w:cs="宋体"/>
          <w:sz w:val="10"/>
        </w:rPr>
        <w:t>。</w:t>
      </w:r>
      <w:r>
        <w:rPr>
          <w:rFonts w:hint="eastAsia" w:ascii="宋体" w:hAnsi="宋体" w:eastAsia="宋体" w:cs="宋体"/>
          <w:sz w:val="24"/>
        </w:rPr>
        <w:t>该系统的功能包括</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1-1-151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1143000</wp:posOffset>
            </wp:positionH>
            <wp:positionV relativeFrom="page">
              <wp:posOffset>6350000</wp:posOffset>
            </wp:positionV>
            <wp:extent cx="5054600" cy="2578100"/>
            <wp:effectExtent l="0" t="0" r="0" b="0"/>
            <wp:wrapNone/>
            <wp:docPr id="7124" name="image7124" descr=""/>
            <wp:cNvGraphicFramePr>
              <a:graphicFrameLocks noChangeAspect="true"/>
            </wp:cNvGraphicFramePr>
            <a:graphic>
              <a:graphicData uri="http://schemas.openxmlformats.org/drawingml/2006/picture">
                <pic:pic>
                  <pic:nvPicPr>
                    <pic:cNvPr id="7124" name="image7124"/>
                    <pic:cNvPicPr/>
                  </pic:nvPicPr>
                  <pic:blipFill>
                    <a:blip r:embed="rId55"/>
                    <a:stretch>
                      <a:fillRect/>
                    </a:stretch>
                  </pic:blipFill>
                  <pic:spPr>
                    <a:xfrm>
                      <a:off x="0" y="0"/>
                      <a:ext cx="5054600" cy="25781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60" w:firstLine="480"/>
        <w:jc w:val="both"/>
      </w:pPr>
      <w:r>
        <w:rPr>
          <w:rFonts w:hint="eastAsia" w:ascii="Times New Roman" w:hAnsi="Times New Roman" w:eastAsia="Times New Roman" w:cs="Times New Roman"/>
          <w:sz w:val="24"/>
        </w:rPr>
        <w:t>A.</w:t>
      </w:r>
      <w:r>
        <w:rPr>
          <w:rFonts w:hint="eastAsia" w:ascii="宋体" w:hAnsi="宋体" w:eastAsia="宋体" w:cs="宋体"/>
          <w:sz w:val="24"/>
        </w:rPr>
        <w:t>资金渠道管理</w:t>
      </w:r>
      <w:r>
        <w:rPr>
          <w:rFonts w:hint="eastAsia" w:ascii="宋体" w:hAnsi="宋体" w:eastAsia="宋体" w:cs="宋体"/>
          <w:sz w:val="10"/>
        </w:rPr>
        <w:t>。</w:t>
      </w:r>
      <w:r>
        <w:rPr>
          <w:rFonts w:hint="eastAsia" w:ascii="宋体" w:hAnsi="宋体" w:eastAsia="宋体" w:cs="宋体"/>
          <w:sz w:val="24"/>
        </w:rPr>
        <w:t>打通证券公司客户保证金与银行</w:t>
      </w:r>
      <w:r>
        <w:rPr>
          <w:rFonts w:hint="eastAsia" w:ascii="宋体" w:hAnsi="宋体" w:eastAsia="宋体" w:cs="宋体"/>
          <w:sz w:val="10"/>
        </w:rPr>
        <w:t>、</w:t>
      </w:r>
      <w:r>
        <w:rPr>
          <w:rFonts w:hint="eastAsia" w:ascii="宋体" w:hAnsi="宋体" w:eastAsia="宋体" w:cs="宋体"/>
          <w:sz w:val="24"/>
        </w:rPr>
        <w:t>第三方支付的资金通道</w:t>
      </w:r>
      <w:r>
        <w:rPr>
          <w:rFonts w:hint="eastAsia" w:ascii="宋体" w:hAnsi="宋体" w:eastAsia="宋体" w:cs="宋体"/>
          <w:sz w:val="10"/>
        </w:rPr>
        <w:t>，</w:t>
      </w:r>
      <w:r>
        <w:rPr>
          <w:rFonts w:hint="eastAsia" w:ascii="宋体" w:hAnsi="宋体" w:eastAsia="宋体" w:cs="宋体"/>
          <w:sz w:val="24"/>
        </w:rPr>
        <w:t>为多路资金的归集提供平台支持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B.7</w:t>
      </w:r>
      <w:r>
        <w:rPr>
          <w:rFonts w:hint="eastAsia" w:ascii="Times New Roman" w:hAnsi="Times New Roman" w:eastAsia="Times New Roman" w:cs="Times New Roman"/>
          <w:sz w:val="12"/>
        </w:rPr>
        <w:t>×</w:t>
      </w:r>
      <w:r>
        <w:rPr>
          <w:rFonts w:hint="eastAsia" w:ascii="Times New Roman" w:hAnsi="Times New Roman" w:eastAsia="Times New Roman" w:cs="Times New Roman"/>
          <w:sz w:val="24"/>
        </w:rPr>
        <w:t>24</w:t>
      </w:r>
      <w:r>
        <w:rPr>
          <w:rFonts w:hint="eastAsia" w:ascii="宋体" w:hAnsi="宋体" w:eastAsia="宋体" w:cs="宋体"/>
          <w:sz w:val="24"/>
        </w:rPr>
        <w:t xml:space="preserve"> 转账</w:t>
      </w:r>
      <w:r>
        <w:rPr>
          <w:rFonts w:hint="eastAsia" w:ascii="宋体" w:hAnsi="宋体" w:eastAsia="宋体" w:cs="宋体"/>
          <w:sz w:val="10"/>
        </w:rPr>
        <w:t>。</w:t>
      </w:r>
      <w:r>
        <w:rPr>
          <w:rFonts w:hint="eastAsia" w:ascii="宋体" w:hAnsi="宋体" w:eastAsia="宋体" w:cs="宋体"/>
          <w:sz w:val="24"/>
        </w:rPr>
        <w:t>可实现</w:t>
      </w:r>
      <w:r>
        <w:rPr>
          <w:rFonts w:hint="eastAsia" w:ascii="Times New Roman" w:hAnsi="Times New Roman" w:eastAsia="Times New Roman" w:cs="Times New Roman"/>
          <w:sz w:val="24"/>
        </w:rPr>
        <w:t xml:space="preserve"> 7</w:t>
      </w:r>
      <w:r>
        <w:rPr>
          <w:rFonts w:hint="eastAsia" w:ascii="Times New Roman" w:hAnsi="Times New Roman" w:eastAsia="Times New Roman" w:cs="Times New Roman"/>
          <w:sz w:val="12"/>
        </w:rPr>
        <w:t>×</w:t>
      </w:r>
      <w:r>
        <w:rPr>
          <w:rFonts w:hint="eastAsia" w:ascii="Times New Roman" w:hAnsi="Times New Roman" w:eastAsia="Times New Roman" w:cs="Times New Roman"/>
          <w:sz w:val="24"/>
        </w:rPr>
        <w:t>24</w:t>
      </w:r>
      <w:r>
        <w:rPr>
          <w:rFonts w:hint="eastAsia" w:ascii="宋体" w:hAnsi="宋体" w:eastAsia="宋体" w:cs="宋体"/>
          <w:sz w:val="24"/>
        </w:rPr>
        <w:t xml:space="preserve"> 小时通过证券公司的</w:t>
      </w:r>
      <w:r>
        <w:rPr>
          <w:rFonts w:hint="eastAsia" w:ascii="宋体" w:hAnsi="宋体" w:eastAsia="宋体" w:cs="宋体"/>
          <w:sz w:val="10"/>
        </w:rPr>
        <w:t>“</w:t>
      </w:r>
      <w:r>
        <w:rPr>
          <w:rFonts w:hint="eastAsia" w:ascii="宋体" w:hAnsi="宋体" w:eastAsia="宋体" w:cs="宋体"/>
          <w:sz w:val="24"/>
        </w:rPr>
        <w:t>网银</w:t>
      </w:r>
      <w:r>
        <w:rPr>
          <w:rFonts w:hint="eastAsia" w:ascii="宋体" w:hAnsi="宋体" w:eastAsia="宋体" w:cs="宋体"/>
          <w:sz w:val="10"/>
        </w:rPr>
        <w:t>”</w:t>
      </w:r>
      <w:r>
        <w:rPr>
          <w:rFonts w:hint="eastAsia" w:ascii="宋体" w:hAnsi="宋体" w:eastAsia="宋体" w:cs="宋体"/>
          <w:sz w:val="24"/>
        </w:rPr>
        <w:t>进行资金转入</w:t>
      </w:r>
      <w:r>
        <w:rPr>
          <w:rFonts w:hint="eastAsia" w:ascii="宋体" w:hAnsi="宋体" w:eastAsia="宋体" w:cs="宋体"/>
          <w:sz w:val="10"/>
        </w:rPr>
        <w:t>、</w:t>
      </w:r>
      <w:r>
        <w:rPr>
          <w:rFonts w:hint="eastAsia" w:ascii="宋体" w:hAnsi="宋体" w:eastAsia="宋体" w:cs="宋体"/>
          <w:sz w:val="24"/>
        </w:rPr>
        <w:t>消费</w:t>
      </w:r>
      <w:r>
        <w:rPr>
          <w:rFonts w:hint="eastAsia" w:ascii="宋体" w:hAnsi="宋体" w:eastAsia="宋体" w:cs="宋体"/>
          <w:sz w:val="10"/>
        </w:rPr>
        <w:t>、</w:t>
      </w:r>
      <w:r>
        <w:rPr>
          <w:rFonts w:hint="eastAsia" w:ascii="宋体" w:hAnsi="宋体" w:eastAsia="宋体" w:cs="宋体"/>
          <w:sz w:val="24"/>
        </w:rPr>
        <w:t>退款业务</w:t>
      </w:r>
      <w:r>
        <w:rPr>
          <w:rFonts w:hint="eastAsia" w:ascii="宋体" w:hAnsi="宋体" w:eastAsia="宋体" w:cs="宋体"/>
          <w:sz w:val="10"/>
        </w:rPr>
        <w:t>，</w:t>
      </w:r>
      <w:r>
        <w:rPr>
          <w:rFonts w:hint="eastAsia" w:ascii="宋体" w:hAnsi="宋体" w:eastAsia="宋体" w:cs="宋体"/>
          <w:sz w:val="24"/>
        </w:rPr>
        <w:t>实现支付结算平台与资金调度中心的资金扣</w:t>
      </w:r>
      <w:r>
        <w:rPr>
          <w:rFonts w:hint="eastAsia" w:ascii="Times New Roman" w:hAnsi="Times New Roman" w:eastAsia="Times New Roman" w:cs="Times New Roman"/>
          <w:sz w:val="24"/>
        </w:rPr>
        <w:t>/</w:t>
      </w:r>
      <w:r>
        <w:rPr>
          <w:rFonts w:hint="eastAsia" w:ascii="宋体" w:hAnsi="宋体" w:eastAsia="宋体" w:cs="宋体"/>
          <w:sz w:val="24"/>
        </w:rPr>
        <w:t>退款接口</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w:hAnsi="Times New Roman" w:eastAsia="Times New Roman" w:cs="Times New Roman"/>
          <w:sz w:val="24"/>
        </w:rPr>
        <w:t>C.</w:t>
      </w:r>
      <w:r>
        <w:rPr>
          <w:rFonts w:hint="eastAsia" w:ascii="宋体" w:hAnsi="宋体" w:eastAsia="宋体" w:cs="宋体"/>
          <w:sz w:val="24"/>
        </w:rPr>
        <w:t>资金管理</w:t>
      </w:r>
      <w:r>
        <w:rPr>
          <w:rFonts w:hint="eastAsia" w:ascii="宋体" w:hAnsi="宋体" w:eastAsia="宋体" w:cs="宋体"/>
          <w:sz w:val="10"/>
        </w:rPr>
        <w:t>。</w:t>
      </w:r>
      <w:r>
        <w:rPr>
          <w:rFonts w:hint="eastAsia" w:ascii="宋体" w:hAnsi="宋体" w:eastAsia="宋体" w:cs="宋体"/>
          <w:sz w:val="24"/>
        </w:rPr>
        <w:t>提供资金归集</w:t>
      </w:r>
      <w:r>
        <w:rPr>
          <w:rFonts w:hint="eastAsia" w:ascii="宋体" w:hAnsi="宋体" w:eastAsia="宋体" w:cs="宋体"/>
          <w:sz w:val="10"/>
        </w:rPr>
        <w:t>、</w:t>
      </w:r>
      <w:r>
        <w:rPr>
          <w:rFonts w:hint="eastAsia" w:ascii="宋体" w:hAnsi="宋体" w:eastAsia="宋体" w:cs="宋体"/>
          <w:sz w:val="24"/>
        </w:rPr>
        <w:t>策略分配等灵活的资金管理功能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40" w:firstLine="480"/>
        <w:jc w:val="both"/>
      </w:pPr>
      <w:r>
        <w:rPr>
          <w:rFonts w:hint="eastAsia" w:ascii="Times New Roman" w:hAnsi="Times New Roman" w:eastAsia="Times New Roman" w:cs="Times New Roman"/>
          <w:sz w:val="24"/>
        </w:rPr>
        <w:t>D.</w:t>
      </w:r>
      <w:r>
        <w:rPr>
          <w:rFonts w:hint="eastAsia" w:ascii="宋体" w:hAnsi="宋体" w:eastAsia="宋体" w:cs="宋体"/>
          <w:sz w:val="24"/>
        </w:rPr>
        <w:t>支付功能</w:t>
      </w:r>
      <w:r>
        <w:rPr>
          <w:rFonts w:hint="eastAsia" w:ascii="宋体" w:hAnsi="宋体" w:eastAsia="宋体" w:cs="宋体"/>
          <w:sz w:val="10"/>
        </w:rPr>
        <w:t>。</w:t>
      </w:r>
      <w:r>
        <w:rPr>
          <w:rFonts w:hint="eastAsia" w:ascii="宋体" w:hAnsi="宋体" w:eastAsia="宋体" w:cs="宋体"/>
          <w:sz w:val="24"/>
        </w:rPr>
        <w:t>提供线上支付功能</w:t>
      </w:r>
      <w:r>
        <w:rPr>
          <w:rFonts w:hint="eastAsia" w:ascii="宋体" w:hAnsi="宋体" w:eastAsia="宋体" w:cs="宋体"/>
          <w:sz w:val="10"/>
        </w:rPr>
        <w:t>，</w:t>
      </w:r>
      <w:r>
        <w:rPr>
          <w:rFonts w:hint="eastAsia" w:ascii="宋体" w:hAnsi="宋体" w:eastAsia="宋体" w:cs="宋体"/>
          <w:sz w:val="24"/>
        </w:rPr>
        <w:t>包括消费支付</w:t>
      </w:r>
      <w:r>
        <w:rPr>
          <w:rFonts w:hint="eastAsia" w:ascii="宋体" w:hAnsi="宋体" w:eastAsia="宋体" w:cs="宋体"/>
          <w:sz w:val="10"/>
        </w:rPr>
        <w:t>、</w:t>
      </w:r>
      <w:r>
        <w:rPr>
          <w:rFonts w:hint="eastAsia" w:ascii="宋体" w:hAnsi="宋体" w:eastAsia="宋体" w:cs="宋体"/>
          <w:sz w:val="24"/>
        </w:rPr>
        <w:t>资讯产品购买</w:t>
      </w:r>
      <w:r>
        <w:rPr>
          <w:rFonts w:hint="eastAsia" w:ascii="宋体" w:hAnsi="宋体" w:eastAsia="宋体" w:cs="宋体"/>
          <w:sz w:val="10"/>
        </w:rPr>
        <w:t>、</w:t>
      </w:r>
      <w:r>
        <w:rPr>
          <w:rFonts w:hint="eastAsia" w:ascii="宋体" w:hAnsi="宋体" w:eastAsia="宋体" w:cs="宋体"/>
          <w:sz w:val="24"/>
        </w:rPr>
        <w:t>快捷支付</w:t>
      </w:r>
      <w:r>
        <w:rPr>
          <w:rFonts w:hint="eastAsia" w:ascii="宋体" w:hAnsi="宋体" w:eastAsia="宋体" w:cs="宋体"/>
          <w:sz w:val="10"/>
        </w:rPr>
        <w:t>、</w:t>
      </w:r>
      <w:r>
        <w:rPr>
          <w:rFonts w:hint="eastAsia" w:ascii="宋体" w:hAnsi="宋体" w:eastAsia="宋体" w:cs="宋体"/>
          <w:sz w:val="24"/>
        </w:rPr>
        <w:t>积分消费等功能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w:hAnsi="Times New Roman" w:eastAsia="Times New Roman" w:cs="Times New Roman"/>
          <w:sz w:val="24"/>
        </w:rPr>
        <w:t>E.</w:t>
      </w:r>
      <w:r>
        <w:rPr>
          <w:rFonts w:hint="eastAsia" w:ascii="宋体" w:hAnsi="宋体" w:eastAsia="宋体" w:cs="宋体"/>
          <w:sz w:val="24"/>
        </w:rPr>
        <w:t>中间业务</w:t>
      </w:r>
      <w:r>
        <w:rPr>
          <w:rFonts w:hint="eastAsia" w:ascii="宋体" w:hAnsi="宋体" w:eastAsia="宋体" w:cs="宋体"/>
          <w:sz w:val="10"/>
        </w:rPr>
        <w:t>。</w:t>
      </w:r>
      <w:r>
        <w:rPr>
          <w:rFonts w:hint="eastAsia" w:ascii="宋体" w:hAnsi="宋体" w:eastAsia="宋体" w:cs="宋体"/>
          <w:sz w:val="24"/>
        </w:rPr>
        <w:t>提供公共事业费用代缴</w:t>
      </w:r>
      <w:r>
        <w:rPr>
          <w:rFonts w:hint="eastAsia" w:ascii="宋体" w:hAnsi="宋体" w:eastAsia="宋体" w:cs="宋体"/>
          <w:sz w:val="10"/>
        </w:rPr>
        <w:t>、</w:t>
      </w:r>
      <w:r>
        <w:rPr>
          <w:rFonts w:hint="eastAsia" w:ascii="宋体" w:hAnsi="宋体" w:eastAsia="宋体" w:cs="宋体"/>
          <w:sz w:val="24"/>
        </w:rPr>
        <w:t>信用卡自动还款</w:t>
      </w:r>
      <w:r>
        <w:rPr>
          <w:rFonts w:hint="eastAsia" w:ascii="宋体" w:hAnsi="宋体" w:eastAsia="宋体" w:cs="宋体"/>
          <w:sz w:val="10"/>
        </w:rPr>
        <w:t>、</w:t>
      </w:r>
      <w:r>
        <w:rPr>
          <w:rFonts w:hint="eastAsia" w:ascii="宋体" w:hAnsi="宋体" w:eastAsia="宋体" w:cs="宋体"/>
          <w:sz w:val="24"/>
        </w:rPr>
        <w:t>联名卡等业务支持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该系统已经在华泰证券</w:t>
      </w:r>
      <w:r>
        <w:rPr>
          <w:rFonts w:hint="eastAsia" w:ascii="宋体" w:hAnsi="宋体" w:eastAsia="宋体" w:cs="宋体"/>
          <w:sz w:val="10"/>
        </w:rPr>
        <w:t>、</w:t>
      </w:r>
      <w:r>
        <w:rPr>
          <w:rFonts w:hint="eastAsia" w:ascii="宋体" w:hAnsi="宋体" w:eastAsia="宋体" w:cs="宋体"/>
          <w:sz w:val="24"/>
        </w:rPr>
        <w:t>银河证券</w:t>
      </w:r>
      <w:r>
        <w:rPr>
          <w:rFonts w:hint="eastAsia" w:ascii="宋体" w:hAnsi="宋体" w:eastAsia="宋体" w:cs="宋体"/>
          <w:sz w:val="10"/>
        </w:rPr>
        <w:t>、</w:t>
      </w:r>
      <w:r>
        <w:rPr>
          <w:rFonts w:hint="eastAsia" w:ascii="宋体" w:hAnsi="宋体" w:eastAsia="宋体" w:cs="宋体"/>
          <w:sz w:val="24"/>
        </w:rPr>
        <w:t>东吴证券</w:t>
      </w:r>
      <w:r>
        <w:rPr>
          <w:rFonts w:hint="eastAsia" w:ascii="宋体" w:hAnsi="宋体" w:eastAsia="宋体" w:cs="宋体"/>
          <w:sz w:val="10"/>
        </w:rPr>
        <w:t>、</w:t>
      </w:r>
      <w:r>
        <w:rPr>
          <w:rFonts w:hint="eastAsia" w:ascii="宋体" w:hAnsi="宋体" w:eastAsia="宋体" w:cs="宋体"/>
          <w:sz w:val="24"/>
        </w:rPr>
        <w:t>上海证券等客户使用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）银行综合经营管理信息化解决方案</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①客户建档与预授信系统</w:t>
      </w:r>
    </w:p>
    <w:p>
      <w:pPr>
        <w:spacing w:line="200" w:lineRule="exact"/>
        <w:rPr>
          <w:rFonts w:hint="eastAsia" w:ascii="宋体" w:hAnsi="宋体" w:eastAsia="宋体" w:cs="宋体"/>
          <w:sz w:val="20"/>
        </w:rPr>
      </w:pPr>
    </w:p>
    <w:p>
      <w:pPr>
        <w:autoSpaceDE w:val="false"/>
        <w:autoSpaceDN w:val="false"/>
        <w:spacing w:line="460" w:lineRule="exact"/>
        <w:ind w:left="1800" w:right="1620" w:firstLine="480"/>
        <w:jc w:val="both"/>
      </w:pPr>
      <w:r>
        <w:rPr>
          <w:rFonts w:hint="eastAsia" w:ascii="宋体" w:hAnsi="宋体" w:eastAsia="宋体" w:cs="宋体"/>
          <w:sz w:val="24"/>
        </w:rPr>
        <w:t>顶点软件提供</w:t>
      </w:r>
      <w:r>
        <w:rPr>
          <w:rFonts w:hint="eastAsia" w:ascii="宋体" w:hAnsi="宋体" w:eastAsia="宋体" w:cs="宋体"/>
          <w:sz w:val="10"/>
        </w:rPr>
        <w:t>“</w:t>
      </w:r>
      <w:r>
        <w:rPr>
          <w:rFonts w:hint="eastAsia" w:ascii="宋体" w:hAnsi="宋体" w:eastAsia="宋体" w:cs="宋体"/>
          <w:sz w:val="24"/>
        </w:rPr>
        <w:t>客户建档与预授信解决方案</w:t>
      </w:r>
      <w:r>
        <w:rPr>
          <w:rFonts w:hint="eastAsia" w:ascii="宋体" w:hAnsi="宋体" w:eastAsia="宋体" w:cs="宋体"/>
          <w:sz w:val="10"/>
        </w:rPr>
        <w:t>”，</w:t>
      </w:r>
      <w:r>
        <w:rPr>
          <w:rFonts w:hint="eastAsia" w:ascii="宋体" w:hAnsi="宋体" w:eastAsia="宋体" w:cs="宋体"/>
          <w:sz w:val="24"/>
        </w:rPr>
        <w:t>帮助行社建立完整客户档案</w:t>
      </w:r>
      <w:r>
        <w:rPr>
          <w:rFonts w:hint="eastAsia" w:ascii="宋体" w:hAnsi="宋体" w:eastAsia="宋体" w:cs="宋体"/>
          <w:sz w:val="10"/>
        </w:rPr>
        <w:t>、</w:t>
      </w:r>
      <w:r>
        <w:rPr>
          <w:rFonts w:hint="eastAsia" w:ascii="宋体" w:hAnsi="宋体" w:eastAsia="宋体" w:cs="宋体"/>
          <w:sz w:val="24"/>
        </w:rPr>
        <w:t>梳理信贷流程</w:t>
      </w:r>
      <w:r>
        <w:rPr>
          <w:rFonts w:hint="eastAsia" w:ascii="宋体" w:hAnsi="宋体" w:eastAsia="宋体" w:cs="宋体"/>
          <w:sz w:val="10"/>
        </w:rPr>
        <w:t>，</w:t>
      </w:r>
      <w:r>
        <w:rPr>
          <w:rFonts w:hint="eastAsia" w:ascii="宋体" w:hAnsi="宋体" w:eastAsia="宋体" w:cs="宋体"/>
          <w:sz w:val="24"/>
        </w:rPr>
        <w:t>搭建金融建档</w:t>
      </w:r>
      <w:r>
        <w:rPr>
          <w:rFonts w:hint="eastAsia" w:ascii="宋体" w:hAnsi="宋体" w:eastAsia="宋体" w:cs="宋体"/>
          <w:sz w:val="10"/>
        </w:rPr>
        <w:t>、</w:t>
      </w:r>
      <w:r>
        <w:rPr>
          <w:rFonts w:hint="eastAsia" w:ascii="宋体" w:hAnsi="宋体" w:eastAsia="宋体" w:cs="宋体"/>
          <w:sz w:val="24"/>
        </w:rPr>
        <w:t>申请</w:t>
      </w:r>
      <w:r>
        <w:rPr>
          <w:rFonts w:hint="eastAsia" w:ascii="宋体" w:hAnsi="宋体" w:eastAsia="宋体" w:cs="宋体"/>
          <w:sz w:val="10"/>
        </w:rPr>
        <w:t>、</w:t>
      </w:r>
      <w:r>
        <w:rPr>
          <w:rFonts w:hint="eastAsia" w:ascii="宋体" w:hAnsi="宋体" w:eastAsia="宋体" w:cs="宋体"/>
          <w:sz w:val="24"/>
        </w:rPr>
        <w:t>预授信与评级为一体的信息化平台</w:t>
      </w:r>
      <w:r>
        <w:rPr>
          <w:rFonts w:hint="eastAsia" w:ascii="宋体" w:hAnsi="宋体" w:eastAsia="宋体" w:cs="宋体"/>
          <w:sz w:val="10"/>
        </w:rPr>
        <w:t>，</w:t>
      </w:r>
      <w:r>
        <w:rPr>
          <w:rFonts w:hint="eastAsia" w:ascii="宋体" w:hAnsi="宋体" w:eastAsia="宋体" w:cs="宋体"/>
          <w:sz w:val="24"/>
        </w:rPr>
        <w:t>大幅提高贷款业务的办理效率</w:t>
      </w:r>
      <w:r>
        <w:rPr>
          <w:rFonts w:hint="eastAsia" w:ascii="宋体" w:hAnsi="宋体" w:eastAsia="宋体" w:cs="宋体"/>
          <w:sz w:val="10"/>
        </w:rPr>
        <w:t>，</w:t>
      </w:r>
      <w:r>
        <w:rPr>
          <w:rFonts w:hint="eastAsia" w:ascii="宋体" w:hAnsi="宋体" w:eastAsia="宋体" w:cs="宋体"/>
          <w:sz w:val="24"/>
        </w:rPr>
        <w:t>在为银行带来显著价值的同时</w:t>
      </w:r>
      <w:r>
        <w:rPr>
          <w:rFonts w:hint="eastAsia" w:ascii="宋体" w:hAnsi="宋体" w:eastAsia="宋体" w:cs="宋体"/>
          <w:sz w:val="10"/>
        </w:rPr>
        <w:t>，</w:t>
      </w:r>
      <w:r>
        <w:rPr>
          <w:rFonts w:hint="eastAsia" w:ascii="宋体" w:hAnsi="宋体" w:eastAsia="宋体" w:cs="宋体"/>
          <w:sz w:val="24"/>
        </w:rPr>
        <w:t>也让客户享受到现代化的金融服务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宋体" w:hAnsi="宋体" w:eastAsia="宋体" w:cs="宋体"/>
          <w:sz w:val="24"/>
        </w:rPr>
        <w:t>目前该系统浙江省多家农商行投入使用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1-1-152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②客户营销管理系统</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主要功能包括</w:t>
      </w:r>
      <w:r>
        <w:rPr>
          <w:rFonts w:hint="eastAsia" w:ascii="宋体" w:hAnsi="宋体" w:eastAsia="宋体" w:cs="宋体"/>
          <w:sz w:val="12"/>
        </w:rPr>
        <w:t>：</w:t>
      </w:r>
      <w:r>
        <w:rPr>
          <w:rFonts w:hint="eastAsia" w:ascii="宋体" w:hAnsi="宋体" w:eastAsia="宋体" w:cs="宋体"/>
          <w:sz w:val="24"/>
        </w:rPr>
        <w:t>客户关系分配</w:t>
      </w:r>
      <w:r>
        <w:rPr>
          <w:rFonts w:hint="eastAsia" w:ascii="宋体" w:hAnsi="宋体" w:eastAsia="宋体" w:cs="宋体"/>
          <w:sz w:val="10"/>
        </w:rPr>
        <w:t>、</w:t>
      </w:r>
      <w:r>
        <w:rPr>
          <w:rFonts w:hint="eastAsia" w:ascii="宋体" w:hAnsi="宋体" w:eastAsia="宋体" w:cs="宋体"/>
          <w:sz w:val="24"/>
        </w:rPr>
        <w:t>客户概况</w:t>
      </w:r>
      <w:r>
        <w:rPr>
          <w:rFonts w:hint="eastAsia" w:ascii="宋体" w:hAnsi="宋体" w:eastAsia="宋体" w:cs="宋体"/>
          <w:sz w:val="10"/>
        </w:rPr>
        <w:t>、</w:t>
      </w:r>
      <w:r>
        <w:rPr>
          <w:rFonts w:hint="eastAsia" w:ascii="宋体" w:hAnsi="宋体" w:eastAsia="宋体" w:cs="宋体"/>
          <w:sz w:val="24"/>
        </w:rPr>
        <w:t>客户网格信息管理</w:t>
      </w:r>
      <w:r>
        <w:rPr>
          <w:rFonts w:hint="eastAsia" w:ascii="宋体" w:hAnsi="宋体" w:eastAsia="宋体" w:cs="宋体"/>
          <w:sz w:val="10"/>
        </w:rPr>
        <w:t>、</w:t>
      </w:r>
      <w:r>
        <w:rPr>
          <w:rFonts w:hint="eastAsia" w:ascii="宋体" w:hAnsi="宋体" w:eastAsia="宋体" w:cs="宋体"/>
          <w:sz w:val="24"/>
        </w:rPr>
        <w:t>客户贡献度分析</w:t>
      </w:r>
      <w:r>
        <w:rPr>
          <w:rFonts w:hint="eastAsia" w:ascii="宋体" w:hAnsi="宋体" w:eastAsia="宋体" w:cs="宋体"/>
          <w:sz w:val="10"/>
        </w:rPr>
        <w:t>、</w:t>
      </w:r>
      <w:r>
        <w:rPr>
          <w:rFonts w:hint="eastAsia" w:ascii="宋体" w:hAnsi="宋体" w:eastAsia="宋体" w:cs="宋体"/>
          <w:sz w:val="24"/>
        </w:rPr>
        <w:t>客户担保链分析</w:t>
      </w:r>
      <w:r>
        <w:rPr>
          <w:rFonts w:hint="eastAsia" w:ascii="宋体" w:hAnsi="宋体" w:eastAsia="宋体" w:cs="宋体"/>
          <w:sz w:val="10"/>
        </w:rPr>
        <w:t>、</w:t>
      </w:r>
      <w:r>
        <w:rPr>
          <w:rFonts w:hint="eastAsia" w:ascii="宋体" w:hAnsi="宋体" w:eastAsia="宋体" w:cs="宋体"/>
          <w:sz w:val="24"/>
        </w:rPr>
        <w:t>单客户</w:t>
      </w:r>
      <w:r>
        <w:rPr>
          <w:rFonts w:hint="eastAsia" w:ascii="Times New Roman" w:hAnsi="Times New Roman" w:eastAsia="Times New Roman" w:cs="Times New Roman"/>
          <w:sz w:val="24"/>
        </w:rPr>
        <w:t xml:space="preserve"> 360</w:t>
      </w:r>
      <w:r>
        <w:rPr>
          <w:rFonts w:hint="eastAsia" w:ascii="宋体" w:hAnsi="宋体" w:eastAsia="宋体" w:cs="宋体"/>
          <w:sz w:val="24"/>
        </w:rPr>
        <w:t xml:space="preserve"> 度全景视图</w:t>
      </w:r>
      <w:r>
        <w:rPr>
          <w:rFonts w:hint="eastAsia" w:ascii="宋体" w:hAnsi="宋体" w:eastAsia="宋体" w:cs="宋体"/>
          <w:sz w:val="10"/>
        </w:rPr>
        <w:t>、</w:t>
      </w:r>
      <w:r>
        <w:rPr>
          <w:rFonts w:hint="eastAsia" w:ascii="宋体" w:hAnsi="宋体" w:eastAsia="宋体" w:cs="宋体"/>
          <w:sz w:val="24"/>
        </w:rPr>
        <w:t>担保链分析等功能</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客户关系分配功能包括</w:t>
      </w:r>
      <w:r>
        <w:rPr>
          <w:rFonts w:hint="eastAsia" w:ascii="宋体" w:hAnsi="宋体" w:eastAsia="宋体" w:cs="宋体"/>
          <w:sz w:val="12"/>
        </w:rPr>
        <w:t>：</w:t>
      </w:r>
      <w:r>
        <w:rPr>
          <w:rFonts w:hint="eastAsia" w:ascii="宋体" w:hAnsi="宋体" w:eastAsia="宋体" w:cs="宋体"/>
          <w:sz w:val="24"/>
        </w:rPr>
        <w:t>系统根据一定的业务规则对新进入客户</w:t>
      </w:r>
      <w:r>
        <w:rPr>
          <w:rFonts w:hint="eastAsia" w:ascii="宋体" w:hAnsi="宋体" w:eastAsia="宋体" w:cs="宋体"/>
          <w:sz w:val="10"/>
        </w:rPr>
        <w:t>，</w:t>
      </w:r>
      <w:r>
        <w:rPr>
          <w:rFonts w:hint="eastAsia" w:ascii="宋体" w:hAnsi="宋体" w:eastAsia="宋体" w:cs="宋体"/>
          <w:sz w:val="24"/>
        </w:rPr>
        <w:t>自动分配客户给客户经理</w:t>
      </w:r>
      <w:r>
        <w:rPr>
          <w:rFonts w:hint="eastAsia" w:ascii="宋体" w:hAnsi="宋体" w:eastAsia="宋体" w:cs="宋体"/>
          <w:sz w:val="12"/>
        </w:rPr>
        <w:t>；</w:t>
      </w:r>
      <w:r>
        <w:rPr>
          <w:rFonts w:hint="eastAsia" w:ascii="宋体" w:hAnsi="宋体" w:eastAsia="宋体" w:cs="宋体"/>
          <w:sz w:val="24"/>
        </w:rPr>
        <w:t>系统对各级用户提供客户手工分配</w:t>
      </w:r>
      <w:r>
        <w:rPr>
          <w:rFonts w:hint="eastAsia" w:ascii="宋体" w:hAnsi="宋体" w:eastAsia="宋体" w:cs="宋体"/>
          <w:sz w:val="10"/>
        </w:rPr>
        <w:t>、</w:t>
      </w:r>
      <w:r>
        <w:rPr>
          <w:rFonts w:hint="eastAsia" w:ascii="宋体" w:hAnsi="宋体" w:eastAsia="宋体" w:cs="宋体"/>
          <w:sz w:val="24"/>
        </w:rPr>
        <w:t>客户认定</w:t>
      </w:r>
      <w:r>
        <w:rPr>
          <w:rFonts w:hint="eastAsia" w:ascii="Times New Roman" w:hAnsi="Times New Roman" w:eastAsia="Times New Roman" w:cs="Times New Roman"/>
          <w:sz w:val="24"/>
        </w:rPr>
        <w:t>/</w:t>
      </w:r>
      <w:r>
        <w:rPr>
          <w:rFonts w:hint="eastAsia" w:ascii="宋体" w:hAnsi="宋体" w:eastAsia="宋体" w:cs="宋体"/>
          <w:sz w:val="24"/>
        </w:rPr>
        <w:t>审批的功能</w:t>
      </w:r>
      <w:r>
        <w:rPr>
          <w:rFonts w:hint="eastAsia" w:ascii="宋体" w:hAnsi="宋体" w:eastAsia="宋体" w:cs="宋体"/>
          <w:sz w:val="12"/>
        </w:rPr>
        <w:t>；</w:t>
      </w:r>
      <w:r>
        <w:rPr>
          <w:rFonts w:hint="eastAsia" w:ascii="宋体" w:hAnsi="宋体" w:eastAsia="宋体" w:cs="宋体"/>
          <w:sz w:val="24"/>
        </w:rPr>
        <w:t>系统提供对存量客户进行调配的功能</w:t>
      </w:r>
      <w:r>
        <w:rPr>
          <w:rFonts w:hint="eastAsia" w:ascii="宋体" w:hAnsi="宋体" w:eastAsia="宋体" w:cs="宋体"/>
          <w:sz w:val="10"/>
        </w:rPr>
        <w:t>，</w:t>
      </w:r>
      <w:r>
        <w:rPr>
          <w:rFonts w:hint="eastAsia" w:ascii="宋体" w:hAnsi="宋体" w:eastAsia="宋体" w:cs="宋体"/>
          <w:sz w:val="24"/>
        </w:rPr>
        <w:t>包括在客户经理之间</w:t>
      </w:r>
      <w:r>
        <w:rPr>
          <w:rFonts w:hint="eastAsia" w:ascii="宋体" w:hAnsi="宋体" w:eastAsia="宋体" w:cs="宋体"/>
          <w:sz w:val="10"/>
        </w:rPr>
        <w:t>、</w:t>
      </w:r>
      <w:r>
        <w:rPr>
          <w:rFonts w:hint="eastAsia" w:ascii="宋体" w:hAnsi="宋体" w:eastAsia="宋体" w:cs="宋体"/>
          <w:sz w:val="24"/>
        </w:rPr>
        <w:t>支行之间</w:t>
      </w:r>
      <w:r>
        <w:rPr>
          <w:rFonts w:hint="eastAsia" w:ascii="宋体" w:hAnsi="宋体" w:eastAsia="宋体" w:cs="宋体"/>
          <w:sz w:val="10"/>
        </w:rPr>
        <w:t>、</w:t>
      </w:r>
      <w:r>
        <w:rPr>
          <w:rFonts w:hint="eastAsia" w:ascii="宋体" w:hAnsi="宋体" w:eastAsia="宋体" w:cs="宋体"/>
          <w:sz w:val="24"/>
        </w:rPr>
        <w:t>分行之间进行调配</w:t>
      </w:r>
      <w:r>
        <w:rPr>
          <w:rFonts w:hint="eastAsia" w:ascii="宋体" w:hAnsi="宋体" w:eastAsia="宋体" w:cs="宋体"/>
          <w:sz w:val="10"/>
        </w:rPr>
        <w:t>，</w:t>
      </w:r>
      <w:r>
        <w:rPr>
          <w:rFonts w:hint="eastAsia" w:ascii="宋体" w:hAnsi="宋体" w:eastAsia="宋体" w:cs="宋体"/>
          <w:sz w:val="24"/>
        </w:rPr>
        <w:t>包括批量自动分配或逐个指定客户经理两种方式</w:t>
      </w:r>
      <w:r>
        <w:rPr>
          <w:rFonts w:hint="eastAsia" w:ascii="宋体" w:hAnsi="宋体" w:eastAsia="宋体" w:cs="宋体"/>
          <w:sz w:val="14"/>
        </w:rPr>
        <w:t>；</w:t>
      </w:r>
      <w:r>
        <w:rPr>
          <w:rFonts w:hint="eastAsia" w:ascii="宋体" w:hAnsi="宋体" w:eastAsia="宋体" w:cs="宋体"/>
          <w:sz w:val="24"/>
        </w:rPr>
        <w:t>系统提供客户共享</w:t>
      </w:r>
      <w:r>
        <w:rPr>
          <w:rFonts w:hint="eastAsia" w:ascii="宋体" w:hAnsi="宋体" w:eastAsia="宋体" w:cs="宋体"/>
          <w:sz w:val="10"/>
        </w:rPr>
        <w:t>、</w:t>
      </w:r>
      <w:r>
        <w:rPr>
          <w:rFonts w:hint="eastAsia" w:ascii="宋体" w:hAnsi="宋体" w:eastAsia="宋体" w:cs="宋体"/>
          <w:sz w:val="24"/>
        </w:rPr>
        <w:t>客户托管</w:t>
      </w:r>
      <w:r>
        <w:rPr>
          <w:rFonts w:hint="eastAsia" w:ascii="宋体" w:hAnsi="宋体" w:eastAsia="宋体" w:cs="宋体"/>
          <w:sz w:val="10"/>
        </w:rPr>
        <w:t>：</w:t>
      </w:r>
      <w:r>
        <w:rPr>
          <w:rFonts w:hint="eastAsia" w:ascii="宋体" w:hAnsi="宋体" w:eastAsia="宋体" w:cs="宋体"/>
          <w:sz w:val="24"/>
        </w:rPr>
        <w:t>支持实现多个客户经理对客户进行共同维护</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00" w:firstLine="480"/>
        <w:jc w:val="both"/>
      </w:pPr>
      <w:r>
        <w:rPr>
          <w:rFonts w:hint="eastAsia" w:ascii="宋体" w:hAnsi="宋体" w:eastAsia="宋体" w:cs="宋体"/>
          <w:sz w:val="24"/>
        </w:rPr>
        <w:t>客户概况功能包括</w:t>
      </w:r>
      <w:r>
        <w:rPr>
          <w:rFonts w:hint="eastAsia" w:ascii="宋体" w:hAnsi="宋体" w:eastAsia="宋体" w:cs="宋体"/>
          <w:sz w:val="12"/>
        </w:rPr>
        <w:t>：</w:t>
      </w:r>
      <w:r>
        <w:rPr>
          <w:rFonts w:hint="eastAsia" w:ascii="宋体" w:hAnsi="宋体" w:eastAsia="宋体" w:cs="宋体"/>
          <w:sz w:val="24"/>
        </w:rPr>
        <w:t>系统提供我的客户概况和我的客户列表两种视图</w:t>
      </w:r>
      <w:r>
        <w:rPr>
          <w:rFonts w:hint="eastAsia" w:ascii="宋体" w:hAnsi="宋体" w:eastAsia="宋体" w:cs="宋体"/>
          <w:sz w:val="10"/>
        </w:rPr>
        <w:t>，</w:t>
      </w:r>
      <w:r>
        <w:rPr>
          <w:rFonts w:hint="eastAsia" w:ascii="宋体" w:hAnsi="宋体" w:eastAsia="宋体" w:cs="宋体"/>
          <w:sz w:val="24"/>
        </w:rPr>
        <w:t>显示客户经理</w:t>
      </w:r>
      <w:r>
        <w:rPr>
          <w:rFonts w:hint="eastAsia" w:ascii="宋体" w:hAnsi="宋体" w:eastAsia="宋体" w:cs="宋体"/>
          <w:sz w:val="10"/>
        </w:rPr>
        <w:t>、</w:t>
      </w:r>
      <w:r>
        <w:rPr>
          <w:rFonts w:hint="eastAsia" w:ascii="宋体" w:hAnsi="宋体" w:eastAsia="宋体" w:cs="宋体"/>
          <w:sz w:val="24"/>
        </w:rPr>
        <w:t>支行所维护客户的总体分布情况</w:t>
      </w:r>
      <w:r>
        <w:rPr>
          <w:rFonts w:hint="eastAsia" w:ascii="宋体" w:hAnsi="宋体" w:eastAsia="宋体" w:cs="宋体"/>
          <w:sz w:val="10"/>
        </w:rPr>
        <w:t>、</w:t>
      </w:r>
      <w:r>
        <w:rPr>
          <w:rFonts w:hint="eastAsia" w:ascii="宋体" w:hAnsi="宋体" w:eastAsia="宋体" w:cs="宋体"/>
          <w:sz w:val="24"/>
        </w:rPr>
        <w:t>业务异动情况</w:t>
      </w:r>
      <w:r>
        <w:rPr>
          <w:rFonts w:hint="eastAsia" w:ascii="宋体" w:hAnsi="宋体" w:eastAsia="宋体" w:cs="宋体"/>
          <w:sz w:val="10"/>
        </w:rPr>
        <w:t>，</w:t>
      </w:r>
      <w:r>
        <w:rPr>
          <w:rFonts w:hint="eastAsia" w:ascii="宋体" w:hAnsi="宋体" w:eastAsia="宋体" w:cs="宋体"/>
          <w:sz w:val="24"/>
        </w:rPr>
        <w:t>并能快速定位查询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区域客户网格化管理功能包括</w:t>
      </w:r>
      <w:r>
        <w:rPr>
          <w:rFonts w:hint="eastAsia" w:ascii="宋体" w:hAnsi="宋体" w:eastAsia="宋体" w:cs="宋体"/>
          <w:sz w:val="12"/>
        </w:rPr>
        <w:t>：</w:t>
      </w:r>
      <w:r>
        <w:rPr>
          <w:rFonts w:hint="eastAsia" w:ascii="宋体" w:hAnsi="宋体" w:eastAsia="宋体" w:cs="宋体"/>
          <w:sz w:val="24"/>
        </w:rPr>
        <w:t>在地图上逐级展示客户信息</w:t>
      </w:r>
      <w:r>
        <w:rPr>
          <w:rFonts w:hint="eastAsia" w:ascii="宋体" w:hAnsi="宋体" w:eastAsia="宋体" w:cs="宋体"/>
          <w:sz w:val="10"/>
        </w:rPr>
        <w:t>。</w:t>
      </w:r>
      <w:r>
        <w:rPr>
          <w:rFonts w:hint="eastAsia" w:ascii="宋体" w:hAnsi="宋体" w:eastAsia="宋体" w:cs="宋体"/>
          <w:sz w:val="24"/>
        </w:rPr>
        <w:t>实现用图片展现客户住所</w:t>
      </w:r>
      <w:r>
        <w:rPr>
          <w:rFonts w:hint="eastAsia" w:ascii="宋体" w:hAnsi="宋体" w:eastAsia="宋体" w:cs="宋体"/>
          <w:sz w:val="10"/>
        </w:rPr>
        <w:t>、</w:t>
      </w:r>
      <w:r>
        <w:rPr>
          <w:rFonts w:hint="eastAsia" w:ascii="宋体" w:hAnsi="宋体" w:eastAsia="宋体" w:cs="宋体"/>
          <w:sz w:val="24"/>
        </w:rPr>
        <w:t>家庭情况</w:t>
      </w:r>
      <w:r>
        <w:rPr>
          <w:rFonts w:hint="eastAsia" w:ascii="宋体" w:hAnsi="宋体" w:eastAsia="宋体" w:cs="宋体"/>
          <w:sz w:val="10"/>
        </w:rPr>
        <w:t>、</w:t>
      </w:r>
      <w:r>
        <w:rPr>
          <w:rFonts w:hint="eastAsia" w:ascii="宋体" w:hAnsi="宋体" w:eastAsia="宋体" w:cs="宋体"/>
          <w:sz w:val="24"/>
        </w:rPr>
        <w:t>业务渗透</w:t>
      </w:r>
      <w:r>
        <w:rPr>
          <w:rFonts w:hint="eastAsia" w:ascii="宋体" w:hAnsi="宋体" w:eastAsia="宋体" w:cs="宋体"/>
          <w:sz w:val="10"/>
        </w:rPr>
        <w:t>、</w:t>
      </w:r>
      <w:r>
        <w:rPr>
          <w:rFonts w:hint="eastAsia" w:ascii="宋体" w:hAnsi="宋体" w:eastAsia="宋体" w:cs="宋体"/>
          <w:sz w:val="24"/>
        </w:rPr>
        <w:t>可营销的产品</w:t>
      </w:r>
      <w:r>
        <w:rPr>
          <w:rFonts w:hint="eastAsia" w:ascii="宋体" w:hAnsi="宋体" w:eastAsia="宋体" w:cs="宋体"/>
          <w:sz w:val="10"/>
        </w:rPr>
        <w:t>，</w:t>
      </w:r>
      <w:r>
        <w:rPr>
          <w:rFonts w:hint="eastAsia" w:ascii="宋体" w:hAnsi="宋体" w:eastAsia="宋体" w:cs="宋体"/>
          <w:sz w:val="24"/>
        </w:rPr>
        <w:t>以及客户对本行的贡献度</w:t>
      </w:r>
      <w:r>
        <w:rPr>
          <w:rFonts w:hint="eastAsia" w:ascii="宋体" w:hAnsi="宋体" w:eastAsia="宋体" w:cs="宋体"/>
          <w:sz w:val="10"/>
        </w:rPr>
        <w:t>，</w:t>
      </w:r>
      <w:r>
        <w:rPr>
          <w:rFonts w:hint="eastAsia" w:ascii="宋体" w:hAnsi="宋体" w:eastAsia="宋体" w:cs="宋体"/>
          <w:sz w:val="24"/>
        </w:rPr>
        <w:t>是否为重点营销客户</w:t>
      </w:r>
      <w:r>
        <w:rPr>
          <w:rFonts w:hint="eastAsia" w:ascii="宋体" w:hAnsi="宋体" w:eastAsia="宋体" w:cs="宋体"/>
          <w:sz w:val="10"/>
        </w:rPr>
        <w:t>，</w:t>
      </w:r>
      <w:r>
        <w:rPr>
          <w:rFonts w:hint="eastAsia" w:ascii="宋体" w:hAnsi="宋体" w:eastAsia="宋体" w:cs="宋体"/>
          <w:sz w:val="24"/>
        </w:rPr>
        <w:t>各类客户分颜色区别</w:t>
      </w:r>
      <w:r>
        <w:rPr>
          <w:rFonts w:hint="eastAsia" w:ascii="宋体" w:hAnsi="宋体" w:eastAsia="宋体" w:cs="宋体"/>
          <w:sz w:val="12"/>
        </w:rPr>
        <w:t>；</w:t>
      </w:r>
      <w:r>
        <w:rPr>
          <w:rFonts w:hint="eastAsia" w:ascii="宋体" w:hAnsi="宋体" w:eastAsia="宋体" w:cs="宋体"/>
          <w:sz w:val="24"/>
        </w:rPr>
        <w:t>按总行</w:t>
      </w:r>
      <w:r>
        <w:rPr>
          <w:rFonts w:hint="eastAsia" w:ascii="宋体" w:hAnsi="宋体" w:eastAsia="宋体" w:cs="宋体"/>
          <w:sz w:val="10"/>
        </w:rPr>
        <w:t>、</w:t>
      </w:r>
      <w:r>
        <w:rPr>
          <w:rFonts w:hint="eastAsia" w:ascii="宋体" w:hAnsi="宋体" w:eastAsia="宋体" w:cs="宋体"/>
          <w:sz w:val="24"/>
        </w:rPr>
        <w:t>支行</w:t>
      </w:r>
      <w:r>
        <w:rPr>
          <w:rFonts w:hint="eastAsia" w:ascii="宋体" w:hAnsi="宋体" w:eastAsia="宋体" w:cs="宋体"/>
          <w:sz w:val="10"/>
        </w:rPr>
        <w:t>、</w:t>
      </w:r>
      <w:r>
        <w:rPr>
          <w:rFonts w:hint="eastAsia" w:ascii="宋体" w:hAnsi="宋体" w:eastAsia="宋体" w:cs="宋体"/>
          <w:sz w:val="24"/>
        </w:rPr>
        <w:t>分理处（网点）、</w:t>
      </w:r>
      <w:r>
        <w:rPr>
          <w:rFonts w:hint="eastAsia" w:ascii="宋体" w:hAnsi="宋体" w:eastAsia="宋体" w:cs="宋体"/>
          <w:sz w:val="24"/>
        </w:rPr>
        <w:t>客户经理与街道</w:t>
      </w:r>
      <w:r>
        <w:rPr>
          <w:rFonts w:hint="eastAsia" w:ascii="宋体" w:hAnsi="宋体" w:eastAsia="宋体" w:cs="宋体"/>
          <w:sz w:val="10"/>
        </w:rPr>
        <w:t>、</w:t>
      </w:r>
      <w:r>
        <w:rPr>
          <w:rFonts w:hint="eastAsia" w:ascii="宋体" w:hAnsi="宋体" w:eastAsia="宋体" w:cs="宋体"/>
          <w:sz w:val="24"/>
        </w:rPr>
        <w:t>行政村两条主线对客户信息</w:t>
      </w:r>
      <w:r>
        <w:rPr>
          <w:rFonts w:hint="eastAsia" w:ascii="宋体" w:hAnsi="宋体" w:eastAsia="宋体" w:cs="宋体"/>
          <w:sz w:val="10"/>
        </w:rPr>
        <w:t>、</w:t>
      </w:r>
      <w:r>
        <w:rPr>
          <w:rFonts w:hint="eastAsia" w:ascii="宋体" w:hAnsi="宋体" w:eastAsia="宋体" w:cs="宋体"/>
          <w:sz w:val="24"/>
        </w:rPr>
        <w:t>业务开展状况进行统计</w:t>
      </w:r>
      <w:r>
        <w:rPr>
          <w:rFonts w:hint="eastAsia" w:ascii="宋体" w:hAnsi="宋体" w:eastAsia="宋体" w:cs="宋体"/>
          <w:sz w:val="10"/>
        </w:rPr>
        <w:t>、</w:t>
      </w:r>
      <w:r>
        <w:rPr>
          <w:rFonts w:hint="eastAsia" w:ascii="宋体" w:hAnsi="宋体" w:eastAsia="宋体" w:cs="宋体"/>
          <w:sz w:val="24"/>
        </w:rPr>
        <w:t>查询</w:t>
      </w:r>
      <w:r>
        <w:rPr>
          <w:rFonts w:hint="eastAsia" w:ascii="宋体" w:hAnsi="宋体" w:eastAsia="宋体" w:cs="宋体"/>
          <w:sz w:val="10"/>
        </w:rPr>
        <w:t>、</w:t>
      </w:r>
      <w:r>
        <w:rPr>
          <w:rFonts w:hint="eastAsia" w:ascii="宋体" w:hAnsi="宋体" w:eastAsia="宋体" w:cs="宋体"/>
          <w:sz w:val="24"/>
        </w:rPr>
        <w:t>分析形成网格化管理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20" w:firstLine="420"/>
        <w:jc w:val="both"/>
      </w:pPr>
      <w:r>
        <w:rPr>
          <w:rFonts w:hint="eastAsia" w:ascii="宋体" w:hAnsi="宋体" w:eastAsia="宋体" w:cs="宋体"/>
          <w:sz w:val="24"/>
        </w:rPr>
        <w:t>客户贡献度分析功能包括</w:t>
      </w:r>
      <w:r>
        <w:rPr>
          <w:rFonts w:hint="eastAsia" w:ascii="宋体" w:hAnsi="宋体" w:eastAsia="宋体" w:cs="宋体"/>
          <w:sz w:val="12"/>
        </w:rPr>
        <w:t>：</w:t>
      </w:r>
      <w:r>
        <w:rPr>
          <w:rFonts w:hint="eastAsia" w:ascii="宋体" w:hAnsi="宋体" w:eastAsia="宋体" w:cs="宋体"/>
          <w:sz w:val="24"/>
        </w:rPr>
        <w:t>按照客户单一产品贡献</w:t>
      </w:r>
      <w:r>
        <w:rPr>
          <w:rFonts w:hint="eastAsia" w:ascii="宋体" w:hAnsi="宋体" w:eastAsia="宋体" w:cs="宋体"/>
          <w:sz w:val="10"/>
        </w:rPr>
        <w:t>、</w:t>
      </w:r>
      <w:r>
        <w:rPr>
          <w:rFonts w:hint="eastAsia" w:ascii="宋体" w:hAnsi="宋体" w:eastAsia="宋体" w:cs="宋体"/>
          <w:sz w:val="24"/>
        </w:rPr>
        <w:t>综合利润贡献等对客户贡献度进行分析</w:t>
      </w:r>
      <w:r>
        <w:rPr>
          <w:rFonts w:hint="eastAsia" w:ascii="宋体" w:hAnsi="宋体" w:eastAsia="宋体" w:cs="宋体"/>
          <w:sz w:val="10"/>
        </w:rPr>
        <w:t>、</w:t>
      </w:r>
      <w:r>
        <w:rPr>
          <w:rFonts w:hint="eastAsia" w:ascii="宋体" w:hAnsi="宋体" w:eastAsia="宋体" w:cs="宋体"/>
          <w:sz w:val="24"/>
        </w:rPr>
        <w:t>统计</w:t>
      </w:r>
      <w:r>
        <w:rPr>
          <w:rFonts w:hint="eastAsia" w:ascii="宋体" w:hAnsi="宋体" w:eastAsia="宋体" w:cs="宋体"/>
          <w:sz w:val="10"/>
        </w:rPr>
        <w:t>、</w:t>
      </w:r>
      <w:r>
        <w:rPr>
          <w:rFonts w:hint="eastAsia" w:ascii="宋体" w:hAnsi="宋体" w:eastAsia="宋体" w:cs="宋体"/>
          <w:sz w:val="24"/>
        </w:rPr>
        <w:t>查询功能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800" w:right="1600" w:firstLine="420"/>
        <w:jc w:val="both"/>
      </w:pPr>
      <w:r>
        <w:rPr>
          <w:rFonts w:hint="eastAsia" w:ascii="宋体" w:hAnsi="宋体" w:eastAsia="宋体" w:cs="宋体"/>
          <w:sz w:val="24"/>
        </w:rPr>
        <w:t>单客户</w:t>
      </w:r>
      <w:r>
        <w:rPr>
          <w:rFonts w:hint="eastAsia" w:ascii="Times New Roman" w:hAnsi="Times New Roman" w:eastAsia="Times New Roman" w:cs="Times New Roman"/>
          <w:sz w:val="24"/>
        </w:rPr>
        <w:t xml:space="preserve"> 360</w:t>
      </w:r>
      <w:r>
        <w:rPr>
          <w:rFonts w:hint="eastAsia" w:ascii="宋体" w:hAnsi="宋体" w:eastAsia="宋体" w:cs="宋体"/>
          <w:sz w:val="24"/>
        </w:rPr>
        <w:t xml:space="preserve"> 度视图功能包括</w:t>
      </w:r>
      <w:r>
        <w:rPr>
          <w:rFonts w:hint="eastAsia" w:ascii="宋体" w:hAnsi="宋体" w:eastAsia="宋体" w:cs="宋体"/>
          <w:sz w:val="10"/>
        </w:rPr>
        <w:t>：</w:t>
      </w:r>
      <w:r>
        <w:rPr>
          <w:rFonts w:hint="eastAsia" w:ascii="宋体" w:hAnsi="宋体" w:eastAsia="宋体" w:cs="宋体"/>
          <w:sz w:val="24"/>
        </w:rPr>
        <w:t>系统提供</w:t>
      </w:r>
      <w:r>
        <w:rPr>
          <w:rFonts w:hint="eastAsia" w:ascii="宋体" w:hAnsi="宋体" w:eastAsia="宋体" w:cs="宋体"/>
          <w:sz w:val="10"/>
        </w:rPr>
        <w:t>一</w:t>
      </w:r>
      <w:r>
        <w:rPr>
          <w:rFonts w:hint="eastAsia" w:ascii="宋体" w:hAnsi="宋体" w:eastAsia="宋体" w:cs="宋体"/>
          <w:sz w:val="24"/>
        </w:rPr>
        <w:t>个完整的客户信息视图</w:t>
      </w:r>
      <w:r>
        <w:rPr>
          <w:rFonts w:hint="eastAsia" w:ascii="宋体" w:hAnsi="宋体" w:eastAsia="宋体" w:cs="宋体"/>
          <w:sz w:val="10"/>
        </w:rPr>
        <w:t>，</w:t>
      </w:r>
      <w:r>
        <w:rPr>
          <w:rFonts w:hint="eastAsia" w:ascii="宋体" w:hAnsi="宋体" w:eastAsia="宋体" w:cs="宋体"/>
          <w:sz w:val="24"/>
        </w:rPr>
        <w:t>多维度分析全面展示客户信息</w:t>
      </w:r>
      <w:r>
        <w:rPr>
          <w:rFonts w:hint="eastAsia" w:ascii="宋体" w:hAnsi="宋体" w:eastAsia="宋体" w:cs="宋体"/>
          <w:sz w:val="10"/>
        </w:rPr>
        <w:t>，</w:t>
      </w:r>
      <w:r>
        <w:rPr>
          <w:rFonts w:hint="eastAsia" w:ascii="宋体" w:hAnsi="宋体" w:eastAsia="宋体" w:cs="宋体"/>
          <w:sz w:val="24"/>
        </w:rPr>
        <w:t>主要包括客户基本信息</w:t>
      </w:r>
      <w:r>
        <w:rPr>
          <w:rFonts w:hint="eastAsia" w:ascii="宋体" w:hAnsi="宋体" w:eastAsia="宋体" w:cs="宋体"/>
          <w:sz w:val="10"/>
        </w:rPr>
        <w:t>、</w:t>
      </w:r>
      <w:r>
        <w:rPr>
          <w:rFonts w:hint="eastAsia" w:ascii="宋体" w:hAnsi="宋体" w:eastAsia="宋体" w:cs="宋体"/>
          <w:sz w:val="24"/>
        </w:rPr>
        <w:t>扩展信息</w:t>
      </w:r>
      <w:r>
        <w:rPr>
          <w:rFonts w:hint="eastAsia" w:ascii="宋体" w:hAnsi="宋体" w:eastAsia="宋体" w:cs="宋体"/>
          <w:sz w:val="10"/>
        </w:rPr>
        <w:t>、</w:t>
      </w:r>
      <w:r>
        <w:rPr>
          <w:rFonts w:hint="eastAsia" w:ascii="宋体" w:hAnsi="宋体" w:eastAsia="宋体" w:cs="宋体"/>
          <w:sz w:val="24"/>
        </w:rPr>
        <w:t>家庭概况</w:t>
      </w:r>
      <w:r>
        <w:rPr>
          <w:rFonts w:hint="eastAsia" w:ascii="宋体" w:hAnsi="宋体" w:eastAsia="宋体" w:cs="宋体"/>
          <w:sz w:val="10"/>
        </w:rPr>
        <w:t>、</w:t>
      </w:r>
      <w:r>
        <w:rPr>
          <w:rFonts w:hint="eastAsia" w:ascii="宋体" w:hAnsi="宋体" w:eastAsia="宋体" w:cs="宋体"/>
          <w:sz w:val="24"/>
        </w:rPr>
        <w:t>资债信息</w:t>
      </w:r>
      <w:r>
        <w:rPr>
          <w:rFonts w:hint="eastAsia" w:ascii="宋体" w:hAnsi="宋体" w:eastAsia="宋体" w:cs="宋体"/>
          <w:sz w:val="10"/>
        </w:rPr>
        <w:t>、</w:t>
      </w:r>
      <w:r>
        <w:rPr>
          <w:rFonts w:hint="eastAsia" w:ascii="宋体" w:hAnsi="宋体" w:eastAsia="宋体" w:cs="宋体"/>
          <w:sz w:val="24"/>
        </w:rPr>
        <w:t>收支信息</w:t>
      </w:r>
      <w:r>
        <w:rPr>
          <w:rFonts w:hint="eastAsia" w:ascii="宋体" w:hAnsi="宋体" w:eastAsia="宋体" w:cs="宋体"/>
          <w:sz w:val="10"/>
        </w:rPr>
        <w:t>、</w:t>
      </w:r>
      <w:r>
        <w:rPr>
          <w:rFonts w:hint="eastAsia" w:ascii="宋体" w:hAnsi="宋体" w:eastAsia="宋体" w:cs="宋体"/>
          <w:sz w:val="24"/>
        </w:rPr>
        <w:t>影像资料</w:t>
      </w:r>
      <w:r>
        <w:rPr>
          <w:rFonts w:hint="eastAsia" w:ascii="宋体" w:hAnsi="宋体" w:eastAsia="宋体" w:cs="宋体"/>
          <w:sz w:val="10"/>
        </w:rPr>
        <w:t>，</w:t>
      </w:r>
      <w:r>
        <w:rPr>
          <w:rFonts w:hint="eastAsia" w:ascii="宋体" w:hAnsi="宋体" w:eastAsia="宋体" w:cs="宋体"/>
          <w:sz w:val="24"/>
        </w:rPr>
        <w:t>业务信息</w:t>
      </w:r>
      <w:r>
        <w:rPr>
          <w:rFonts w:hint="eastAsia" w:ascii="宋体" w:hAnsi="宋体" w:eastAsia="宋体" w:cs="宋体"/>
          <w:sz w:val="10"/>
        </w:rPr>
        <w:t>、</w:t>
      </w:r>
      <w:r>
        <w:rPr>
          <w:rFonts w:hint="eastAsia" w:ascii="宋体" w:hAnsi="宋体" w:eastAsia="宋体" w:cs="宋体"/>
          <w:sz w:val="24"/>
        </w:rPr>
        <w:t>征信信息</w:t>
      </w:r>
      <w:r>
        <w:rPr>
          <w:rFonts w:hint="eastAsia" w:ascii="宋体" w:hAnsi="宋体" w:eastAsia="宋体" w:cs="宋体"/>
          <w:sz w:val="10"/>
        </w:rPr>
        <w:t>、</w:t>
      </w:r>
      <w:r>
        <w:rPr>
          <w:rFonts w:hint="eastAsia" w:ascii="宋体" w:hAnsi="宋体" w:eastAsia="宋体" w:cs="宋体"/>
          <w:sz w:val="24"/>
        </w:rPr>
        <w:t>客户评价分析信息等内容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1-1-153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false" locked="false" layoutInCell="true" allowOverlap="true">
            <wp:simplePos x="0" y="0"/>
            <wp:positionH relativeFrom="page">
              <wp:posOffset>1358900</wp:posOffset>
            </wp:positionH>
            <wp:positionV relativeFrom="page">
              <wp:posOffset>965200</wp:posOffset>
            </wp:positionV>
            <wp:extent cx="4826000" cy="2857500"/>
            <wp:effectExtent l="0" t="0" r="0" b="0"/>
            <wp:wrapNone/>
            <wp:docPr id="7127" name="image7127" descr=""/>
            <wp:cNvGraphicFramePr>
              <a:graphicFrameLocks noChangeAspect="true"/>
            </wp:cNvGraphicFramePr>
            <a:graphic>
              <a:graphicData uri="http://schemas.openxmlformats.org/drawingml/2006/picture">
                <pic:pic>
                  <pic:nvPicPr>
                    <pic:cNvPr id="7127" name="image7127"/>
                    <pic:cNvPicPr/>
                  </pic:nvPicPr>
                  <pic:blipFill>
                    <a:blip r:embed="rId56"/>
                    <a:stretch>
                      <a:fillRect/>
                    </a:stretch>
                  </pic:blipFill>
                  <pic:spPr>
                    <a:xfrm>
                      <a:off x="0" y="0"/>
                      <a:ext cx="4826000" cy="2857500"/>
                    </a:xfrm>
                    <a:prstGeom prst="rect">
                      <a:avLst/>
                    </a:prstGeom>
                  </pic:spPr>
                </pic:pic>
              </a:graphicData>
            </a:graphic>
          </wp:anchor>
        </w:drawing>
      </w:r>
      <w:r>
        <w:drawing>
          <wp:anchor distT="0" distB="0" distL="114300" distR="114300" simplePos="false" relativeHeight="10253072" behindDoc="false" locked="false" layoutInCell="true" allowOverlap="true">
            <wp:simplePos x="0" y="0"/>
            <wp:positionH relativeFrom="page">
              <wp:posOffset>1143000</wp:posOffset>
            </wp:positionH>
            <wp:positionV relativeFrom="page">
              <wp:posOffset>6616700</wp:posOffset>
            </wp:positionV>
            <wp:extent cx="5270500" cy="2857500"/>
            <wp:effectExtent l="0" t="0" r="0" b="0"/>
            <wp:wrapNone/>
            <wp:docPr id="7128" name="image7128" descr=""/>
            <wp:cNvGraphicFramePr>
              <a:graphicFrameLocks noChangeAspect="true"/>
            </wp:cNvGraphicFramePr>
            <a:graphic>
              <a:graphicData uri="http://schemas.openxmlformats.org/drawingml/2006/picture">
                <pic:pic>
                  <pic:nvPicPr>
                    <pic:cNvPr id="7128" name="image7128"/>
                    <pic:cNvPicPr/>
                  </pic:nvPicPr>
                  <pic:blipFill>
                    <a:blip r:embed="rId57"/>
                    <a:stretch>
                      <a:fillRect/>
                    </a:stretch>
                  </pic:blipFill>
                  <pic:spPr>
                    <a:xfrm>
                      <a:off x="0" y="0"/>
                      <a:ext cx="5270500" cy="28575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100"/>
        <w:jc w:val="both"/>
      </w:pPr>
      <w:r>
        <w:rPr>
          <w:rFonts w:hint="eastAsia" w:ascii="宋体" w:hAnsi="宋体" w:eastAsia="宋体" w:cs="宋体"/>
          <w:sz w:val="24"/>
        </w:rPr>
        <w:t>图</w:t>
      </w:r>
      <w:r>
        <w:rPr>
          <w:rFonts w:hint="eastAsia" w:ascii="宋体" w:hAnsi="宋体" w:eastAsia="宋体" w:cs="宋体"/>
          <w:sz w:val="12"/>
        </w:rPr>
        <w:t>：</w:t>
      </w:r>
      <w:r>
        <w:rPr>
          <w:rFonts w:hint="eastAsia" w:ascii="宋体" w:hAnsi="宋体" w:eastAsia="宋体" w:cs="宋体"/>
          <w:sz w:val="24"/>
        </w:rPr>
        <w:t>单客户智能分析</w:t>
      </w:r>
    </w:p>
    <w:p>
      <w:pPr>
        <w:spacing w:line="200" w:lineRule="exact"/>
        <w:rPr>
          <w:rFonts w:hint="eastAsia" w:ascii="宋体" w:hAnsi="宋体" w:eastAsia="宋体" w:cs="宋体"/>
          <w:sz w:val="20"/>
        </w:rPr>
      </w:pPr>
    </w:p>
    <w:p>
      <w:pPr>
        <w:autoSpaceDE w:val="false"/>
        <w:autoSpaceDN w:val="false"/>
        <w:spacing w:line="400" w:lineRule="exact"/>
        <w:ind w:left="1800" w:right="1660" w:firstLine="480"/>
        <w:jc w:val="both"/>
      </w:pPr>
      <w:r>
        <w:rPr>
          <w:rFonts w:hint="eastAsia" w:ascii="宋体" w:hAnsi="宋体" w:eastAsia="宋体" w:cs="宋体"/>
          <w:sz w:val="24"/>
        </w:rPr>
        <w:t>担保链分析功能包括</w:t>
      </w:r>
      <w:r>
        <w:rPr>
          <w:rFonts w:hint="eastAsia" w:ascii="宋体" w:hAnsi="宋体" w:eastAsia="宋体" w:cs="宋体"/>
          <w:sz w:val="10"/>
        </w:rPr>
        <w:t>：</w:t>
      </w:r>
      <w:r>
        <w:rPr>
          <w:rFonts w:hint="eastAsia" w:ascii="宋体" w:hAnsi="宋体" w:eastAsia="宋体" w:cs="宋体"/>
          <w:sz w:val="24"/>
        </w:rPr>
        <w:t>通过对个人客户或企业客户的信息</w:t>
      </w:r>
      <w:r>
        <w:rPr>
          <w:rFonts w:hint="eastAsia" w:ascii="宋体" w:hAnsi="宋体" w:eastAsia="宋体" w:cs="宋体"/>
          <w:sz w:val="10"/>
        </w:rPr>
        <w:t>、</w:t>
      </w:r>
      <w:r>
        <w:rPr>
          <w:rFonts w:hint="eastAsia" w:ascii="宋体" w:hAnsi="宋体" w:eastAsia="宋体" w:cs="宋体"/>
          <w:sz w:val="24"/>
        </w:rPr>
        <w:t>本行业务数据</w:t>
      </w:r>
      <w:r>
        <w:rPr>
          <w:rFonts w:hint="eastAsia" w:ascii="宋体" w:hAnsi="宋体" w:eastAsia="宋体" w:cs="宋体"/>
          <w:sz w:val="10"/>
        </w:rPr>
        <w:t>、</w:t>
      </w:r>
      <w:r>
        <w:rPr>
          <w:rFonts w:hint="eastAsia" w:ascii="宋体" w:hAnsi="宋体" w:eastAsia="宋体" w:cs="宋体"/>
          <w:sz w:val="24"/>
        </w:rPr>
        <w:t>产业链信息数据</w:t>
      </w:r>
      <w:r>
        <w:rPr>
          <w:rFonts w:hint="eastAsia" w:ascii="宋体" w:hAnsi="宋体" w:eastAsia="宋体" w:cs="宋体"/>
          <w:sz w:val="10"/>
        </w:rPr>
        <w:t>、</w:t>
      </w:r>
      <w:r>
        <w:rPr>
          <w:rFonts w:hint="eastAsia" w:ascii="宋体" w:hAnsi="宋体" w:eastAsia="宋体" w:cs="宋体"/>
          <w:sz w:val="24"/>
        </w:rPr>
        <w:t>征信数据</w:t>
      </w:r>
      <w:r>
        <w:rPr>
          <w:rFonts w:hint="eastAsia" w:ascii="宋体" w:hAnsi="宋体" w:eastAsia="宋体" w:cs="宋体"/>
          <w:sz w:val="10"/>
        </w:rPr>
        <w:t>、</w:t>
      </w:r>
      <w:r>
        <w:rPr>
          <w:rFonts w:hint="eastAsia" w:ascii="宋体" w:hAnsi="宋体" w:eastAsia="宋体" w:cs="宋体"/>
          <w:sz w:val="24"/>
        </w:rPr>
        <w:t>第三方数据等分析</w:t>
      </w:r>
      <w:r>
        <w:rPr>
          <w:rFonts w:hint="eastAsia" w:ascii="宋体" w:hAnsi="宋体" w:eastAsia="宋体" w:cs="宋体"/>
          <w:sz w:val="10"/>
        </w:rPr>
        <w:t>，</w:t>
      </w:r>
      <w:r>
        <w:rPr>
          <w:rFonts w:hint="eastAsia" w:ascii="宋体" w:hAnsi="宋体" w:eastAsia="宋体" w:cs="宋体"/>
          <w:sz w:val="24"/>
        </w:rPr>
        <w:t>找出形成闭环的信贷担保链</w:t>
      </w:r>
      <w:r>
        <w:rPr>
          <w:rFonts w:hint="eastAsia" w:ascii="宋体" w:hAnsi="宋体" w:eastAsia="宋体" w:cs="宋体"/>
          <w:sz w:val="10"/>
        </w:rPr>
        <w:t>，</w:t>
      </w:r>
      <w:r>
        <w:rPr>
          <w:rFonts w:hint="eastAsia" w:ascii="宋体" w:hAnsi="宋体" w:eastAsia="宋体" w:cs="宋体"/>
          <w:sz w:val="24"/>
        </w:rPr>
        <w:t>为行社业务开展提供风险防范辅助决策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客户经理工作平台功能包括</w:t>
      </w:r>
      <w:r>
        <w:rPr>
          <w:rFonts w:hint="eastAsia" w:ascii="宋体" w:hAnsi="宋体" w:eastAsia="宋体" w:cs="宋体"/>
          <w:sz w:val="10"/>
        </w:rPr>
        <w:t>：</w:t>
      </w:r>
      <w:r>
        <w:rPr>
          <w:rFonts w:hint="eastAsia" w:ascii="宋体" w:hAnsi="宋体" w:eastAsia="宋体" w:cs="宋体"/>
          <w:sz w:val="24"/>
        </w:rPr>
        <w:t>客户经理是</w:t>
      </w:r>
      <w:r>
        <w:rPr>
          <w:rFonts w:hint="eastAsia" w:ascii="Times New Roman" w:hAnsi="Times New Roman" w:eastAsia="Times New Roman" w:cs="Times New Roman"/>
          <w:sz w:val="24"/>
        </w:rPr>
        <w:t xml:space="preserve"> CRM</w:t>
      </w:r>
      <w:r>
        <w:rPr>
          <w:rFonts w:hint="eastAsia" w:ascii="宋体" w:hAnsi="宋体" w:eastAsia="宋体" w:cs="宋体"/>
          <w:sz w:val="24"/>
        </w:rPr>
        <w:t xml:space="preserve"> 系统中的主要用户</w:t>
      </w:r>
      <w:r>
        <w:rPr>
          <w:rFonts w:hint="eastAsia" w:ascii="宋体" w:hAnsi="宋体" w:eastAsia="宋体" w:cs="宋体"/>
          <w:sz w:val="10"/>
        </w:rPr>
        <w:t>，</w:t>
      </w:r>
      <w:r>
        <w:rPr>
          <w:rFonts w:hint="eastAsia" w:ascii="宋体" w:hAnsi="宋体" w:eastAsia="宋体" w:cs="宋体"/>
          <w:sz w:val="24"/>
        </w:rPr>
        <w:t>客户经理工作平台除了作为一般系统用户的管理以外</w:t>
      </w:r>
      <w:r>
        <w:rPr>
          <w:rFonts w:hint="eastAsia" w:ascii="宋体" w:hAnsi="宋体" w:eastAsia="宋体" w:cs="宋体"/>
          <w:sz w:val="10"/>
        </w:rPr>
        <w:t>，</w:t>
      </w:r>
      <w:r>
        <w:rPr>
          <w:rFonts w:hint="eastAsia" w:ascii="宋体" w:hAnsi="宋体" w:eastAsia="宋体" w:cs="宋体"/>
          <w:sz w:val="24"/>
        </w:rPr>
        <w:t>最重要的是为客户经理提供了一个高效的工作支撑平台</w:t>
      </w:r>
      <w:r>
        <w:rPr>
          <w:rFonts w:hint="eastAsia" w:ascii="宋体" w:hAnsi="宋体" w:eastAsia="宋体" w:cs="宋体"/>
          <w:sz w:val="10"/>
        </w:rPr>
        <w:t>：</w:t>
      </w:r>
      <w:r>
        <w:rPr>
          <w:rFonts w:hint="eastAsia" w:ascii="宋体" w:hAnsi="宋体" w:eastAsia="宋体" w:cs="宋体"/>
          <w:sz w:val="24"/>
        </w:rPr>
        <w:t>业务流程</w:t>
      </w:r>
      <w:r>
        <w:rPr>
          <w:rFonts w:hint="eastAsia" w:ascii="宋体" w:hAnsi="宋体" w:eastAsia="宋体" w:cs="宋体"/>
          <w:sz w:val="10"/>
        </w:rPr>
        <w:t>、</w:t>
      </w:r>
      <w:r>
        <w:rPr>
          <w:rFonts w:hint="eastAsia" w:ascii="宋体" w:hAnsi="宋体" w:eastAsia="宋体" w:cs="宋体"/>
          <w:sz w:val="24"/>
        </w:rPr>
        <w:t>风险提醒</w:t>
      </w:r>
      <w:r>
        <w:rPr>
          <w:rFonts w:hint="eastAsia" w:ascii="宋体" w:hAnsi="宋体" w:eastAsia="宋体" w:cs="宋体"/>
          <w:sz w:val="10"/>
        </w:rPr>
        <w:t>、</w:t>
      </w:r>
      <w:r>
        <w:rPr>
          <w:rFonts w:hint="eastAsia" w:ascii="宋体" w:hAnsi="宋体" w:eastAsia="宋体" w:cs="宋体"/>
          <w:sz w:val="24"/>
        </w:rPr>
        <w:t>动态信息</w:t>
      </w:r>
      <w:r>
        <w:rPr>
          <w:rFonts w:hint="eastAsia" w:ascii="宋体" w:hAnsi="宋体" w:eastAsia="宋体" w:cs="宋体"/>
          <w:sz w:val="10"/>
        </w:rPr>
        <w:t>、</w:t>
      </w:r>
      <w:r>
        <w:rPr>
          <w:rFonts w:hint="eastAsia" w:ascii="宋体" w:hAnsi="宋体" w:eastAsia="宋体" w:cs="宋体"/>
          <w:sz w:val="24"/>
        </w:rPr>
        <w:t>客户概况</w:t>
      </w:r>
      <w:r>
        <w:rPr>
          <w:rFonts w:hint="eastAsia" w:ascii="宋体" w:hAnsi="宋体" w:eastAsia="宋体" w:cs="宋体"/>
          <w:sz w:val="10"/>
        </w:rPr>
        <w:t>、</w:t>
      </w:r>
      <w:r>
        <w:rPr>
          <w:rFonts w:hint="eastAsia" w:ascii="宋体" w:hAnsi="宋体" w:eastAsia="宋体" w:cs="宋体"/>
          <w:sz w:val="24"/>
        </w:rPr>
        <w:t>分析支撑</w:t>
      </w:r>
      <w:r>
        <w:rPr>
          <w:rFonts w:hint="eastAsia" w:ascii="宋体" w:hAnsi="宋体" w:eastAsia="宋体" w:cs="宋体"/>
          <w:sz w:val="10"/>
        </w:rPr>
        <w:t>、</w:t>
      </w:r>
      <w:r>
        <w:rPr>
          <w:rFonts w:hint="eastAsia" w:ascii="宋体" w:hAnsi="宋体" w:eastAsia="宋体" w:cs="宋体"/>
          <w:sz w:val="24"/>
        </w:rPr>
        <w:t>绩效</w:t>
      </w:r>
      <w:r>
        <w:rPr>
          <w:rFonts w:hint="eastAsia" w:ascii="宋体" w:hAnsi="宋体" w:eastAsia="宋体" w:cs="宋体"/>
          <w:sz w:val="10"/>
        </w:rPr>
        <w:t>、</w:t>
      </w:r>
      <w:r>
        <w:rPr>
          <w:rFonts w:hint="eastAsia" w:ascii="宋体" w:hAnsi="宋体" w:eastAsia="宋体" w:cs="宋体"/>
          <w:sz w:val="24"/>
        </w:rPr>
        <w:t>业务报表</w:t>
      </w:r>
      <w:r>
        <w:rPr>
          <w:rFonts w:hint="eastAsia" w:ascii="宋体" w:hAnsi="宋体" w:eastAsia="宋体" w:cs="宋体"/>
          <w:sz w:val="10"/>
        </w:rPr>
        <w:t>、</w:t>
      </w:r>
      <w:r>
        <w:rPr>
          <w:rFonts w:hint="eastAsia" w:ascii="宋体" w:hAnsi="宋体" w:eastAsia="宋体" w:cs="宋体"/>
          <w:sz w:val="24"/>
        </w:rPr>
        <w:t>知识库等功能</w:t>
      </w:r>
      <w:r>
        <w:rPr>
          <w:rFonts w:hint="eastAsia" w:ascii="宋体" w:hAnsi="宋体" w:eastAsia="宋体" w:cs="宋体"/>
          <w:sz w:val="10"/>
        </w:rPr>
        <w:t>，</w:t>
      </w:r>
      <w:r>
        <w:rPr>
          <w:rFonts w:hint="eastAsia" w:ascii="宋体" w:hAnsi="宋体" w:eastAsia="宋体" w:cs="宋体"/>
          <w:sz w:val="24"/>
        </w:rPr>
        <w:t>通过数据的分析</w:t>
      </w:r>
      <w:r>
        <w:rPr>
          <w:rFonts w:hint="eastAsia" w:ascii="宋体" w:hAnsi="宋体" w:eastAsia="宋体" w:cs="宋体"/>
          <w:sz w:val="10"/>
        </w:rPr>
        <w:t>、</w:t>
      </w:r>
      <w:r>
        <w:rPr>
          <w:rFonts w:hint="eastAsia" w:ascii="宋体" w:hAnsi="宋体" w:eastAsia="宋体" w:cs="宋体"/>
          <w:sz w:val="24"/>
        </w:rPr>
        <w:t>消息推送</w:t>
      </w:r>
      <w:r>
        <w:rPr>
          <w:rFonts w:hint="eastAsia" w:ascii="宋体" w:hAnsi="宋体" w:eastAsia="宋体" w:cs="宋体"/>
          <w:sz w:val="10"/>
        </w:rPr>
        <w:t>，</w:t>
      </w:r>
      <w:r>
        <w:rPr>
          <w:rFonts w:hint="eastAsia" w:ascii="宋体" w:hAnsi="宋体" w:eastAsia="宋体" w:cs="宋体"/>
          <w:sz w:val="24"/>
        </w:rPr>
        <w:t>能够智能地对客户经理日常工作高效支撑</w:t>
      </w:r>
      <w:r>
        <w:rPr>
          <w:rFonts w:hint="eastAsia" w:ascii="宋体" w:hAnsi="宋体" w:eastAsia="宋体" w:cs="宋体"/>
          <w:sz w:val="10"/>
        </w:rPr>
        <w:t>，</w:t>
      </w:r>
      <w:r>
        <w:rPr>
          <w:rFonts w:hint="eastAsia" w:ascii="宋体" w:hAnsi="宋体" w:eastAsia="宋体" w:cs="宋体"/>
          <w:sz w:val="24"/>
        </w:rPr>
        <w:t>同时协助客户经理防范业务风险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1-1-154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目前顶点客户营销管理系统在浙江省多家农商行使用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发行人持续推出的创新产品</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证券交易所</w:t>
      </w:r>
      <w:r>
        <w:rPr>
          <w:rFonts w:hint="eastAsia" w:ascii="宋体" w:hAnsi="宋体" w:eastAsia="宋体" w:cs="宋体"/>
          <w:sz w:val="10"/>
        </w:rPr>
        <w:t>、</w:t>
      </w:r>
      <w:r>
        <w:rPr>
          <w:rFonts w:hint="eastAsia" w:ascii="宋体" w:hAnsi="宋体" w:eastAsia="宋体" w:cs="宋体"/>
          <w:sz w:val="24"/>
        </w:rPr>
        <w:t>期货交易所</w:t>
      </w:r>
      <w:r>
        <w:rPr>
          <w:rFonts w:hint="eastAsia" w:ascii="宋体" w:hAnsi="宋体" w:eastAsia="宋体" w:cs="宋体"/>
          <w:sz w:val="10"/>
        </w:rPr>
        <w:t>、</w:t>
      </w:r>
      <w:r>
        <w:rPr>
          <w:rFonts w:hint="eastAsia" w:ascii="宋体" w:hAnsi="宋体" w:eastAsia="宋体" w:cs="宋体"/>
          <w:sz w:val="24"/>
        </w:rPr>
        <w:t>登记结算公司等机构每年都会有创新业务推出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如</w:t>
      </w:r>
      <w:r>
        <w:rPr>
          <w:rFonts w:hint="eastAsia" w:ascii="Times New Roman" w:hAnsi="Times New Roman" w:eastAsia="Times New Roman" w:cs="Times New Roman"/>
          <w:sz w:val="24"/>
        </w:rPr>
        <w:t xml:space="preserve"> 2012</w:t>
      </w:r>
      <w:r>
        <w:rPr>
          <w:rFonts w:hint="eastAsia" w:ascii="宋体" w:hAnsi="宋体" w:eastAsia="宋体" w:cs="宋体"/>
          <w:sz w:val="24"/>
        </w:rPr>
        <w:t xml:space="preserve"> 年推出的</w:t>
      </w:r>
      <w:r>
        <w:rPr>
          <w:rFonts w:hint="eastAsia" w:ascii="Times New Roman" w:hAnsi="Times New Roman" w:eastAsia="Times New Roman" w:cs="Times New Roman"/>
          <w:sz w:val="24"/>
        </w:rPr>
        <w:t xml:space="preserve"> OTC</w:t>
      </w:r>
      <w:r>
        <w:rPr>
          <w:rFonts w:hint="eastAsia" w:ascii="宋体" w:hAnsi="宋体" w:eastAsia="宋体" w:cs="宋体"/>
          <w:sz w:val="10"/>
        </w:rPr>
        <w:t>、</w:t>
      </w:r>
      <w:r>
        <w:rPr>
          <w:rFonts w:hint="eastAsia" w:ascii="宋体" w:hAnsi="宋体" w:eastAsia="宋体" w:cs="宋体"/>
          <w:sz w:val="24"/>
        </w:rPr>
        <w:t>多金融产品代销</w:t>
      </w:r>
      <w:r>
        <w:rPr>
          <w:rFonts w:hint="eastAsia" w:ascii="宋体" w:hAnsi="宋体" w:eastAsia="宋体" w:cs="宋体"/>
          <w:sz w:val="10"/>
        </w:rPr>
        <w:t>，</w:t>
      </w:r>
      <w:r>
        <w:rPr>
          <w:rFonts w:hint="eastAsia" w:ascii="Times New Roman" w:hAnsi="Times New Roman" w:eastAsia="Times New Roman" w:cs="Times New Roman"/>
          <w:sz w:val="24"/>
        </w:rPr>
        <w:t>2013</w:t>
      </w:r>
      <w:r>
        <w:rPr>
          <w:rFonts w:hint="eastAsia" w:ascii="宋体" w:hAnsi="宋体" w:eastAsia="宋体" w:cs="宋体"/>
          <w:sz w:val="24"/>
        </w:rPr>
        <w:t xml:space="preserve"> 年推出的股票质押</w:t>
      </w:r>
      <w:r>
        <w:rPr>
          <w:rFonts w:hint="eastAsia" w:ascii="宋体" w:hAnsi="宋体" w:eastAsia="宋体" w:cs="宋体"/>
          <w:sz w:val="10"/>
        </w:rPr>
        <w:t>、</w:t>
      </w:r>
      <w:r>
        <w:rPr>
          <w:rFonts w:hint="eastAsia" w:ascii="宋体" w:hAnsi="宋体" w:eastAsia="宋体" w:cs="宋体"/>
          <w:sz w:val="24"/>
        </w:rPr>
        <w:t>约定购回</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年推出了沪港通</w:t>
      </w:r>
      <w:r>
        <w:rPr>
          <w:rFonts w:hint="eastAsia" w:ascii="宋体" w:hAnsi="宋体" w:eastAsia="宋体" w:cs="宋体"/>
          <w:sz w:val="10"/>
        </w:rPr>
        <w:t>、</w:t>
      </w:r>
      <w:r>
        <w:rPr>
          <w:rFonts w:hint="eastAsia" w:ascii="宋体" w:hAnsi="宋体" w:eastAsia="宋体" w:cs="宋体"/>
          <w:sz w:val="24"/>
        </w:rPr>
        <w:t>中登一码通</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年推出了深港通等</w:t>
      </w:r>
      <w:r>
        <w:rPr>
          <w:rFonts w:hint="eastAsia" w:ascii="宋体" w:hAnsi="宋体" w:eastAsia="宋体" w:cs="宋体"/>
          <w:sz w:val="10"/>
        </w:rPr>
        <w:t>。</w:t>
      </w:r>
      <w:r>
        <w:rPr>
          <w:rFonts w:hint="eastAsia" w:ascii="宋体" w:hAnsi="宋体" w:eastAsia="宋体" w:cs="宋体"/>
          <w:sz w:val="24"/>
        </w:rPr>
        <w:t>这些都需要新的</w:t>
      </w:r>
      <w:r>
        <w:rPr>
          <w:rFonts w:hint="eastAsia" w:ascii="Times New Roman" w:hAnsi="Times New Roman" w:eastAsia="Times New Roman" w:cs="Times New Roman"/>
          <w:sz w:val="24"/>
        </w:rPr>
        <w:t>IT</w:t>
      </w:r>
      <w:r>
        <w:rPr>
          <w:rFonts w:hint="eastAsia" w:ascii="宋体" w:hAnsi="宋体" w:eastAsia="宋体" w:cs="宋体"/>
          <w:sz w:val="24"/>
        </w:rPr>
        <w:t xml:space="preserve"> 系统支撑</w:t>
      </w:r>
      <w:r>
        <w:rPr>
          <w:rFonts w:hint="eastAsia" w:ascii="宋体" w:hAnsi="宋体" w:eastAsia="宋体" w:cs="宋体"/>
          <w:sz w:val="10"/>
        </w:rPr>
        <w:t>。</w:t>
      </w:r>
      <w:r>
        <w:rPr>
          <w:rFonts w:hint="eastAsia" w:ascii="宋体" w:hAnsi="宋体" w:eastAsia="宋体" w:cs="宋体"/>
          <w:sz w:val="24"/>
        </w:rPr>
        <w:t>发行人也与相关监管机构</w:t>
      </w:r>
      <w:r>
        <w:rPr>
          <w:rFonts w:hint="eastAsia" w:ascii="宋体" w:hAnsi="宋体" w:eastAsia="宋体" w:cs="宋体"/>
          <w:sz w:val="10"/>
        </w:rPr>
        <w:t>、</w:t>
      </w:r>
      <w:r>
        <w:rPr>
          <w:rFonts w:hint="eastAsia" w:ascii="宋体" w:hAnsi="宋体" w:eastAsia="宋体" w:cs="宋体"/>
          <w:sz w:val="24"/>
        </w:rPr>
        <w:t>行业协会</w:t>
      </w:r>
      <w:r>
        <w:rPr>
          <w:rFonts w:hint="eastAsia" w:ascii="宋体" w:hAnsi="宋体" w:eastAsia="宋体" w:cs="宋体"/>
          <w:sz w:val="10"/>
        </w:rPr>
        <w:t>、</w:t>
      </w:r>
      <w:r>
        <w:rPr>
          <w:rFonts w:hint="eastAsia" w:ascii="宋体" w:hAnsi="宋体" w:eastAsia="宋体" w:cs="宋体"/>
          <w:sz w:val="24"/>
        </w:rPr>
        <w:t>证券公司</w:t>
      </w:r>
      <w:r>
        <w:rPr>
          <w:rFonts w:hint="eastAsia" w:ascii="宋体" w:hAnsi="宋体" w:eastAsia="宋体" w:cs="宋体"/>
          <w:sz w:val="10"/>
        </w:rPr>
        <w:t>一</w:t>
      </w:r>
      <w:r>
        <w:rPr>
          <w:rFonts w:hint="eastAsia" w:ascii="宋体" w:hAnsi="宋体" w:eastAsia="宋体" w:cs="宋体"/>
          <w:sz w:val="24"/>
        </w:rPr>
        <w:t>同探讨</w:t>
      </w:r>
      <w:r>
        <w:rPr>
          <w:rFonts w:hint="eastAsia" w:ascii="宋体" w:hAnsi="宋体" w:eastAsia="宋体" w:cs="宋体"/>
          <w:sz w:val="10"/>
        </w:rPr>
        <w:t>、</w:t>
      </w:r>
      <w:r>
        <w:rPr>
          <w:rFonts w:hint="eastAsia" w:ascii="宋体" w:hAnsi="宋体" w:eastAsia="宋体" w:cs="宋体"/>
          <w:sz w:val="24"/>
        </w:rPr>
        <w:t>合作开发出了相应产品</w:t>
      </w:r>
      <w:r>
        <w:rPr>
          <w:rFonts w:hint="eastAsia" w:ascii="宋体" w:hAnsi="宋体" w:eastAsia="宋体" w:cs="宋体"/>
          <w:sz w:val="10"/>
        </w:rPr>
        <w:t>，</w:t>
      </w:r>
      <w:r>
        <w:rPr>
          <w:rFonts w:hint="eastAsia" w:ascii="宋体" w:hAnsi="宋体" w:eastAsia="宋体" w:cs="宋体"/>
          <w:sz w:val="24"/>
        </w:rPr>
        <w:t>或对原有系统进行改造</w:t>
      </w:r>
      <w:r>
        <w:rPr>
          <w:rFonts w:hint="eastAsia" w:ascii="宋体" w:hAnsi="宋体" w:eastAsia="宋体" w:cs="宋体"/>
          <w:sz w:val="10"/>
        </w:rPr>
        <w:t>、</w:t>
      </w:r>
      <w:r>
        <w:rPr>
          <w:rFonts w:hint="eastAsia" w:ascii="宋体" w:hAnsi="宋体" w:eastAsia="宋体" w:cs="宋体"/>
          <w:sz w:val="24"/>
        </w:rPr>
        <w:t>升级</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上述业务所涉及的交易及管理系统已在由发行人提供交易系统的证券公司中投入使用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在可预见的未来</w:t>
      </w:r>
      <w:r>
        <w:rPr>
          <w:rFonts w:hint="eastAsia" w:ascii="宋体" w:hAnsi="宋体" w:eastAsia="宋体" w:cs="宋体"/>
          <w:sz w:val="10"/>
        </w:rPr>
        <w:t>，</w:t>
      </w:r>
      <w:r>
        <w:rPr>
          <w:rFonts w:hint="eastAsia" w:ascii="宋体" w:hAnsi="宋体" w:eastAsia="宋体" w:cs="宋体"/>
          <w:sz w:val="24"/>
        </w:rPr>
        <w:t>随着新业务</w:t>
      </w:r>
      <w:r>
        <w:rPr>
          <w:rFonts w:hint="eastAsia" w:ascii="宋体" w:hAnsi="宋体" w:eastAsia="宋体" w:cs="宋体"/>
          <w:sz w:val="10"/>
        </w:rPr>
        <w:t>、</w:t>
      </w:r>
      <w:r>
        <w:rPr>
          <w:rFonts w:hint="eastAsia" w:ascii="宋体" w:hAnsi="宋体" w:eastAsia="宋体" w:cs="宋体"/>
          <w:sz w:val="24"/>
        </w:rPr>
        <w:t>新产品的不断推出</w:t>
      </w:r>
      <w:r>
        <w:rPr>
          <w:rFonts w:hint="eastAsia" w:ascii="宋体" w:hAnsi="宋体" w:eastAsia="宋体" w:cs="宋体"/>
          <w:sz w:val="10"/>
        </w:rPr>
        <w:t>，</w:t>
      </w:r>
      <w:r>
        <w:rPr>
          <w:rFonts w:hint="eastAsia" w:ascii="Times New Roman" w:hAnsi="Times New Roman" w:eastAsia="Times New Roman" w:cs="Times New Roman"/>
          <w:sz w:val="24"/>
        </w:rPr>
        <w:t>IT</w:t>
      </w:r>
      <w:r>
        <w:rPr>
          <w:rFonts w:hint="eastAsia" w:ascii="宋体" w:hAnsi="宋体" w:eastAsia="宋体" w:cs="宋体"/>
          <w:sz w:val="24"/>
        </w:rPr>
        <w:t xml:space="preserve"> 系统及软件产品的更新</w:t>
      </w:r>
      <w:r>
        <w:rPr>
          <w:rFonts w:hint="eastAsia" w:ascii="宋体" w:hAnsi="宋体" w:eastAsia="宋体" w:cs="宋体"/>
          <w:sz w:val="10"/>
        </w:rPr>
        <w:t>、</w:t>
      </w:r>
      <w:r>
        <w:rPr>
          <w:rFonts w:hint="eastAsia" w:ascii="宋体" w:hAnsi="宋体" w:eastAsia="宋体" w:cs="宋体"/>
          <w:sz w:val="24"/>
        </w:rPr>
        <w:t>推新的潜在需求仍然十分强烈</w:t>
      </w:r>
      <w:r>
        <w:rPr>
          <w:rFonts w:hint="eastAsia" w:ascii="宋体" w:hAnsi="宋体" w:eastAsia="宋体" w:cs="宋体"/>
          <w:sz w:val="10"/>
        </w:rPr>
        <w:t>。</w:t>
      </w:r>
      <w:r>
        <w:rPr>
          <w:rFonts w:hint="eastAsia" w:ascii="宋体" w:hAnsi="宋体" w:eastAsia="宋体" w:cs="宋体"/>
          <w:sz w:val="24"/>
        </w:rPr>
        <w:t>发行人也将在此方面持续投入</w:t>
      </w:r>
      <w:r>
        <w:rPr>
          <w:rFonts w:hint="eastAsia" w:ascii="宋体" w:hAnsi="宋体" w:eastAsia="宋体" w:cs="宋体"/>
          <w:sz w:val="10"/>
        </w:rPr>
        <w:t>，</w:t>
      </w:r>
      <w:r>
        <w:rPr>
          <w:rFonts w:hint="eastAsia" w:ascii="宋体" w:hAnsi="宋体" w:eastAsia="宋体" w:cs="宋体"/>
          <w:sz w:val="24"/>
        </w:rPr>
        <w:t>坚守和巩固行业前沿位置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（二）主要产品的工艺流程图或服务的流程图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应用系统开发流程图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1-1-155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14580"/>
        </w:tabs>
        <w:autoSpaceDE w:val="false"/>
        <w:autoSpaceDN w:val="false"/>
        <w:spacing w:line="260" w:lineRule="exact"/>
        <w:ind w:left="1440"/>
        <w:jc w:val="both"/>
      </w:pPr>
      <w:r>
        <w:rPr>
          <w:rFonts w:hint="eastAsia" w:ascii="宋体" w:hAnsi="宋体" w:eastAsia="宋体" w:cs="宋体"/>
          <w:sz w:val="18"/>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18"/>
          <w:u w:val="single" w:color="000000"/>
        </w:rPr>
        <w:t>招股说明</w:t>
      </w:r>
      <w:r>
        <w:rPr>
          <w:rFonts w:hint="eastAsia" w:ascii="宋体" w:hAnsi="宋体" w:eastAsia="宋体" w:cs="宋体"/>
          <w:sz w:val="18"/>
        </w:rPr>
        <w:t>书</w:t>
      </w:r>
      <w:r>
        <mc:AlternateContent>
          <mc:Choice Requires="wps">
            <w:drawing>
              <wp:anchor distT="0" distB="0" distL="114300" distR="114300" simplePos="false" relativeHeight="10304272" behindDoc="false" locked="false" layoutInCell="true" allowOverlap="true">
                <wp:simplePos x="0" y="0"/>
                <wp:positionH relativeFrom="page">
                  <wp:posOffset>1295400</wp:posOffset>
                </wp:positionH>
                <wp:positionV relativeFrom="page">
                  <wp:posOffset>1943100</wp:posOffset>
                </wp:positionV>
                <wp:extent cx="546100" cy="266700"/>
                <wp:effectExtent l="0" t="0" r="22225" b="31115"/>
                <wp:wrapNone/>
                <wp:docPr id="7182" name="shape7182"/>
                <wp:cNvGraphicFramePr/>
                <a:graphic>
                  <a:graphicData uri="http://schemas.microsoft.com/office/word/2010/wordprocessingShape">
                    <wps:wsp>
                      <wps:cNvSpPr/>
                      <wps:spPr>
                        <a:xfrm>
                          <a:off x="0" y="0"/>
                          <a:ext cx="546100" cy="266700"/>
                        </a:xfrm>
                        <a:custGeom>
                          <a:avLst/>
                          <a:rect l="l" t="t" r="r" b="b"/>
                          <a:pathLst>
                            <a:path w="546100" h="266700">
                              <a:moveTo>
                                <a:pt x="128960" y="261881"/>
                              </a:moveTo>
                              <a:lnTo>
                                <a:pt x="420808" y="261881"/>
                              </a:lnTo>
                              <a:lnTo>
                                <a:pt x="542425" y="134102"/>
                              </a:lnTo>
                              <a:lnTo>
                                <a:pt x="420808" y="6237"/>
                              </a:lnTo>
                              <a:lnTo>
                                <a:pt x="128960" y="6237"/>
                              </a:lnTo>
                              <a:lnTo>
                                <a:pt x="7359" y="134102"/>
                              </a:lnTo>
                              <a:lnTo>
                                <a:pt x="128960" y="261881"/>
                              </a:lnTo>
                              <a:close/>
                            </a:path>
                          </a:pathLst>
                        </a:custGeom>
                        <a:solidFill>
                          <a:srgbClr val="ffffff"/>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266700" style="position:absolute;left:0;top:0;visibility:visible;mso-position-horizontal:absolute;mso-position-horizontal-relative:page;mso-position-vertical:absolute;mso-position-vertical-relative:page;width:43pt;height:21pt;margin-left:102pt;margin-top:153pt;mso-wrap-style:square;z-index:10304272;mso-wrap-distance-left:9pt;mso-wrap-distance-top:0pt;mso-wrap-distance-right:9pt;mso-wrap-distance-bottom:0pt" id="shape7182" o:spid="1618382352307" path="m128960,261881l420808,261881l542425,134102l420808,6237l128960,6237l7359,134102l128960,261881e" stroked="f" filled="t" fillcolor="#ffffff"/>
            </w:pict>
          </mc:Fallback>
        </mc:AlternateContent>
      </w:r>
      <w:r>
        <mc:AlternateContent>
          <mc:Choice Requires="wps">
            <w:drawing>
              <wp:anchor distT="0" distB="0" distL="114300" distR="114300" simplePos="false" relativeHeight="10305296" behindDoc="false" locked="false" layoutInCell="true" allowOverlap="true">
                <wp:simplePos x="0" y="0"/>
                <wp:positionH relativeFrom="page">
                  <wp:posOffset>1295400</wp:posOffset>
                </wp:positionH>
                <wp:positionV relativeFrom="page">
                  <wp:posOffset>1943100</wp:posOffset>
                </wp:positionV>
                <wp:extent cx="546100" cy="266700"/>
                <wp:effectExtent l="0" t="0" r="22225" b="31115"/>
                <wp:wrapNone/>
                <wp:docPr id="7183" name="shape7183"/>
                <wp:cNvGraphicFramePr/>
                <a:graphic>
                  <a:graphicData uri="http://schemas.microsoft.com/office/word/2010/wordprocessingShape">
                    <wps:wsp>
                      <wps:cNvSpPr/>
                      <wps:spPr>
                        <a:xfrm>
                          <a:off x="0" y="0"/>
                          <a:ext cx="546100" cy="266700"/>
                        </a:xfrm>
                        <a:custGeom>
                          <a:avLst/>
                          <a:rect l="l" t="t" r="r" b="b"/>
                          <a:pathLst>
                            <a:path w="546100" h="266700">
                              <a:moveTo>
                                <a:pt x="128960" y="261881"/>
                              </a:moveTo>
                              <a:lnTo>
                                <a:pt x="420808" y="261881"/>
                              </a:lnTo>
                              <a:lnTo>
                                <a:pt x="542425" y="134102"/>
                              </a:lnTo>
                              <a:lnTo>
                                <a:pt x="420808" y="6237"/>
                              </a:lnTo>
                              <a:lnTo>
                                <a:pt x="128960" y="6237"/>
                              </a:lnTo>
                              <a:lnTo>
                                <a:pt x="7359" y="134102"/>
                              </a:lnTo>
                              <a:lnTo>
                                <a:pt x="128960" y="261881"/>
                              </a:lnTo>
                              <a:close/>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266700" style="position:absolute;left:0;top:0;visibility:visible;mso-position-horizontal:absolute;mso-position-horizontal-relative:page;mso-position-vertical:absolute;mso-position-vertical-relative:page;width:43pt;height:21pt;margin-left:102pt;margin-top:153pt;mso-wrap-style:square;z-index:10305296;mso-wrap-distance-left:9pt;mso-wrap-distance-top:0pt;mso-wrap-distance-right:9pt;mso-wrap-distance-bottom:0pt" id="shape7183" o:spid="1618382352307" path="m128960,261881l420808,261881l542425,134102l420808,6237l128960,6237l7359,134102l128960,261881e" stroked="t" strokecolor="#000000" strokeweight="1pt"/>
            </w:pict>
          </mc:Fallback>
        </mc:AlternateContent>
      </w:r>
      <w:r>
        <mc:AlternateContent>
          <mc:Choice Requires="wps">
            <w:drawing>
              <wp:anchor distT="0" distB="0" distL="114300" distR="114300" simplePos="false" relativeHeight="10314512" behindDoc="false" locked="false" layoutInCell="true" allowOverlap="true">
                <wp:simplePos x="0" y="0"/>
                <wp:positionH relativeFrom="page">
                  <wp:posOffset>1562100</wp:posOffset>
                </wp:positionH>
                <wp:positionV relativeFrom="page">
                  <wp:posOffset>4521200</wp:posOffset>
                </wp:positionV>
                <wp:extent cx="596900" cy="736600"/>
                <wp:effectExtent l="0" t="0" r="22225" b="31115"/>
                <wp:wrapNone/>
                <wp:docPr id="7192" name="shape7192"/>
                <wp:cNvGraphicFramePr/>
                <a:graphic>
                  <a:graphicData uri="http://schemas.microsoft.com/office/word/2010/wordprocessingShape">
                    <wps:wsp>
                      <wps:cNvSpPr/>
                      <wps:spPr>
                        <a:xfrm>
                          <a:off x="0" y="0"/>
                          <a:ext cx="596900" cy="736600"/>
                        </a:xfrm>
                        <a:custGeom>
                          <a:avLst/>
                          <a:rect l="l" t="t" r="r" b="b"/>
                          <a:pathLst>
                            <a:path w="596900" h="736600">
                              <a:moveTo>
                                <a:pt x="5653" y="3123"/>
                              </a:moveTo>
                              <a:lnTo>
                                <a:pt x="5653" y="732957"/>
                              </a:lnTo>
                              <a:lnTo>
                                <a:pt x="594290" y="732957"/>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736600" style="position:absolute;left:0;top:0;visibility:visible;mso-position-horizontal:absolute;mso-position-horizontal-relative:page;mso-position-vertical:absolute;mso-position-vertical-relative:page;width:47pt;height:58pt;margin-left:123pt;margin-top:356pt;mso-wrap-style:square;z-index:10314512;mso-wrap-distance-left:9pt;mso-wrap-distance-top:0pt;mso-wrap-distance-right:9pt;mso-wrap-distance-bottom:0pt" id="shape7192" o:spid="1618382352308" path="m5653,3123l5653,732957l594290,732957" stroked="t" strokecolor="#000000" strokeweight="1pt"/>
            </w:pict>
          </mc:Fallback>
        </mc:AlternateContent>
      </w:r>
      <w:r>
        <mc:AlternateContent>
          <mc:Choice Requires="wps">
            <w:drawing>
              <wp:anchor distT="0" distB="0" distL="114300" distR="114300" simplePos="false" relativeHeight="10322704" behindDoc="false" locked="false" layoutInCell="true" allowOverlap="true">
                <wp:simplePos x="0" y="0"/>
                <wp:positionH relativeFrom="page">
                  <wp:posOffset>3327400</wp:posOffset>
                </wp:positionH>
                <wp:positionV relativeFrom="page">
                  <wp:posOffset>3581400</wp:posOffset>
                </wp:positionV>
                <wp:extent cx="990600" cy="1676400"/>
                <wp:effectExtent l="0" t="0" r="22225" b="31115"/>
                <wp:wrapNone/>
                <wp:docPr id="7200" name="shape7200"/>
                <wp:cNvGraphicFramePr/>
                <a:graphic>
                  <a:graphicData uri="http://schemas.microsoft.com/office/word/2010/wordprocessingShape">
                    <wps:wsp>
                      <wps:cNvSpPr/>
                      <wps:spPr>
                        <a:xfrm>
                          <a:off x="0" y="0"/>
                          <a:ext cx="990600" cy="1676400"/>
                        </a:xfrm>
                        <a:custGeom>
                          <a:avLst/>
                          <a:rect l="l" t="t" r="r" b="b"/>
                          <a:pathLst>
                            <a:path w="990600" h="1676400">
                              <a:moveTo>
                                <a:pt x="981" y="12318"/>
                              </a:moveTo>
                              <a:lnTo>
                                <a:pt x="981" y="1672757"/>
                              </a:lnTo>
                              <a:lnTo>
                                <a:pt x="983531" y="1672757"/>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90600,1676400" style="position:absolute;left:0;top:0;visibility:visible;mso-position-horizontal:absolute;mso-position-horizontal-relative:page;mso-position-vertical:absolute;mso-position-vertical-relative:page;width:78pt;height:132pt;margin-left:262pt;margin-top:282pt;mso-wrap-style:square;z-index:10322704;mso-wrap-distance-left:9pt;mso-wrap-distance-top:0pt;mso-wrap-distance-right:9pt;mso-wrap-distance-bottom:0pt" id="shape7200" o:spid="1618382352308" path="m981,12318l981,1672757l983531,1672757" stroked="t" strokecolor="#000000" strokeweight="1pt"/>
            </w:pict>
          </mc:Fallback>
        </mc:AlternateContent>
      </w:r>
      <w:r>
        <mc:AlternateContent>
          <mc:Choice Requires="wps">
            <w:drawing>
              <wp:anchor distT="0" distB="0" distL="114300" distR="114300" simplePos="false" relativeHeight="10326800" behindDoc="false" locked="false" layoutInCell="true" allowOverlap="true">
                <wp:simplePos x="0" y="0"/>
                <wp:positionH relativeFrom="page">
                  <wp:posOffset>2768600</wp:posOffset>
                </wp:positionH>
                <wp:positionV relativeFrom="page">
                  <wp:posOffset>3022600</wp:posOffset>
                </wp:positionV>
                <wp:extent cx="317500" cy="419100"/>
                <wp:effectExtent l="0" t="0" r="22225" b="31115"/>
                <wp:wrapNone/>
                <wp:docPr id="7204" name="shape7204"/>
                <wp:cNvGraphicFramePr/>
                <a:graphic>
                  <a:graphicData uri="http://schemas.microsoft.com/office/word/2010/wordprocessingShape">
                    <wps:wsp>
                      <wps:cNvSpPr/>
                      <wps:spPr>
                        <a:xfrm>
                          <a:off x="0" y="0"/>
                          <a:ext cx="317500" cy="419100"/>
                        </a:xfrm>
                        <a:custGeom>
                          <a:avLst/>
                          <a:rect l="l" t="t" r="r" b="b"/>
                          <a:pathLst>
                            <a:path w="317500" h="419100">
                              <a:moveTo>
                                <a:pt x="8963" y="1523"/>
                              </a:moveTo>
                              <a:lnTo>
                                <a:pt x="100165" y="1523"/>
                              </a:lnTo>
                              <a:lnTo>
                                <a:pt x="100165" y="409849"/>
                              </a:lnTo>
                              <a:lnTo>
                                <a:pt x="306851" y="409849"/>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17500,419100" style="position:absolute;left:0;top:0;visibility:visible;mso-position-horizontal:absolute;mso-position-horizontal-relative:page;mso-position-vertical:absolute;mso-position-vertical-relative:page;width:25pt;height:33pt;margin-left:218pt;margin-top:238pt;mso-wrap-style:square;z-index:10326800;mso-wrap-distance-left:9pt;mso-wrap-distance-top:0pt;mso-wrap-distance-right:9pt;mso-wrap-distance-bottom:0pt" id="shape7204" o:spid="1618382352308" path="m8963,1523l100165,1523l100165,409849l306851,409849" stroked="t" strokecolor="#000000" strokeweight="1pt"/>
            </w:pict>
          </mc:Fallback>
        </mc:AlternateContent>
      </w:r>
      <w:r>
        <mc:AlternateContent>
          <mc:Choice Requires="wps">
            <w:drawing>
              <wp:anchor distT="0" distB="0" distL="114300" distR="114300" simplePos="false" relativeHeight="10332944" behindDoc="false" locked="false" layoutInCell="true" allowOverlap="true">
                <wp:simplePos x="0" y="0"/>
                <wp:positionH relativeFrom="page">
                  <wp:posOffset>4038600</wp:posOffset>
                </wp:positionH>
                <wp:positionV relativeFrom="page">
                  <wp:posOffset>2324100</wp:posOffset>
                </wp:positionV>
                <wp:extent cx="546100" cy="2730500"/>
                <wp:effectExtent l="0" t="0" r="22225" b="31115"/>
                <wp:wrapNone/>
                <wp:docPr id="7210" name="shape7210"/>
                <wp:cNvGraphicFramePr/>
                <a:graphic>
                  <a:graphicData uri="http://schemas.microsoft.com/office/word/2010/wordprocessingShape">
                    <wps:wsp>
                      <wps:cNvSpPr/>
                      <wps:spPr>
                        <a:xfrm>
                          <a:off x="0" y="0"/>
                          <a:ext cx="546100" cy="2730500"/>
                        </a:xfrm>
                        <a:custGeom>
                          <a:avLst/>
                          <a:rect l="l" t="t" r="r" b="b"/>
                          <a:pathLst>
                            <a:path w="546100" h="2730500">
                              <a:moveTo>
                                <a:pt x="4901" y="7801"/>
                              </a:moveTo>
                              <a:lnTo>
                                <a:pt x="534013" y="7801"/>
                              </a:lnTo>
                              <a:lnTo>
                                <a:pt x="534013" y="2727311"/>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46100,2730500" style="position:absolute;left:0;top:0;visibility:visible;mso-position-horizontal:absolute;mso-position-horizontal-relative:page;mso-position-vertical:absolute;mso-position-vertical-relative:page;width:43pt;height:215pt;margin-left:318pt;margin-top:183pt;mso-wrap-style:square;z-index:10332944;mso-wrap-distance-left:9pt;mso-wrap-distance-top:0pt;mso-wrap-distance-right:9pt;mso-wrap-distance-bottom:0pt" id="shape7210" o:spid="1618382352309" path="m4901,7801l534013,7801l534013,2727311" stroked="t" strokecolor="#000000" strokeweight="1pt"/>
            </w:pict>
          </mc:Fallback>
        </mc:AlternateContent>
      </w:r>
      <w:r>
        <mc:AlternateContent>
          <mc:Choice Requires="wps">
            <w:drawing>
              <wp:anchor distT="0" distB="0" distL="114300" distR="114300" simplePos="false" relativeHeight="10336016" behindDoc="false" locked="false" layoutInCell="true" allowOverlap="true">
                <wp:simplePos x="0" y="0"/>
                <wp:positionH relativeFrom="page">
                  <wp:posOffset>3568700</wp:posOffset>
                </wp:positionH>
                <wp:positionV relativeFrom="page">
                  <wp:posOffset>2603500</wp:posOffset>
                </wp:positionV>
                <wp:extent cx="165100" cy="838200"/>
                <wp:effectExtent l="0" t="0" r="22225" b="31115"/>
                <wp:wrapNone/>
                <wp:docPr id="7213" name="shape7213"/>
                <wp:cNvGraphicFramePr/>
                <a:graphic>
                  <a:graphicData uri="http://schemas.microsoft.com/office/word/2010/wordprocessingShape">
                    <wps:wsp>
                      <wps:cNvSpPr/>
                      <wps:spPr>
                        <a:xfrm>
                          <a:off x="0" y="0"/>
                          <a:ext cx="165100" cy="838200"/>
                        </a:xfrm>
                        <a:custGeom>
                          <a:avLst/>
                          <a:rect l="l" t="t" r="r" b="b"/>
                          <a:pathLst>
                            <a:path w="165100" h="838200">
                              <a:moveTo>
                                <a:pt x="159325" y="9892"/>
                              </a:moveTo>
                              <a:lnTo>
                                <a:pt x="159325" y="828949"/>
                              </a:lnTo>
                              <a:lnTo>
                                <a:pt x="12611" y="828949"/>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5100,838200" style="position:absolute;left:0;top:0;visibility:visible;mso-position-horizontal:absolute;mso-position-horizontal-relative:page;mso-position-vertical:absolute;mso-position-vertical-relative:page;width:13pt;height:66pt;margin-left:281pt;margin-top:205pt;mso-wrap-style:square;z-index:10336016;mso-wrap-distance-left:9pt;mso-wrap-distance-top:0pt;mso-wrap-distance-right:9pt;mso-wrap-distance-bottom:0pt" id="shape7213" o:spid="1618382352309" path="m159325,9892l159325,828949l12611,828949" stroked="t" strokecolor="#000000" strokeweight="1pt"/>
            </w:pict>
          </mc:Fallback>
        </mc:AlternateContent>
      </w:r>
      <w:r>
        <mc:AlternateContent>
          <mc:Choice Requires="wps">
            <w:drawing>
              <wp:anchor distT="0" distB="0" distL="114300" distR="114300" simplePos="false" relativeHeight="10339088" behindDoc="false" locked="false" layoutInCell="true" allowOverlap="true">
                <wp:simplePos x="0" y="0"/>
                <wp:positionH relativeFrom="page">
                  <wp:posOffset>4787900</wp:posOffset>
                </wp:positionH>
                <wp:positionV relativeFrom="page">
                  <wp:posOffset>4762500</wp:posOffset>
                </wp:positionV>
                <wp:extent cx="495300" cy="495300"/>
                <wp:effectExtent l="0" t="0" r="22225" b="31115"/>
                <wp:wrapNone/>
                <wp:docPr id="7216" name="shape7216"/>
                <wp:cNvGraphicFramePr/>
                <a:graphic>
                  <a:graphicData uri="http://schemas.microsoft.com/office/word/2010/wordprocessingShape">
                    <wps:wsp>
                      <wps:cNvSpPr/>
                      <wps:spPr>
                        <a:xfrm>
                          <a:off x="0" y="0"/>
                          <a:ext cx="495300" cy="495300"/>
                        </a:xfrm>
                        <a:custGeom>
                          <a:avLst/>
                          <a:rect l="l" t="t" r="r" b="b"/>
                          <a:pathLst>
                            <a:path w="495300" h="495300">
                              <a:moveTo>
                                <a:pt x="5040" y="491657"/>
                              </a:moveTo>
                              <a:lnTo>
                                <a:pt x="483789" y="491657"/>
                              </a:lnTo>
                              <a:lnTo>
                                <a:pt x="483789" y="893"/>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95300,495300" style="position:absolute;left:0;top:0;visibility:visible;mso-position-horizontal:absolute;mso-position-horizontal-relative:page;mso-position-vertical:absolute;mso-position-vertical-relative:page;width:39pt;height:39pt;margin-left:377pt;margin-top:375pt;mso-wrap-style:square;z-index:10339088;mso-wrap-distance-left:9pt;mso-wrap-distance-top:0pt;mso-wrap-distance-right:9pt;mso-wrap-distance-bottom:0pt" id="shape7216" o:spid="1618382352310" path="m5040,491657l483789,491657l483789,893" stroked="t" strokecolor="#000000" strokeweight="1pt"/>
            </w:pict>
          </mc:Fallback>
        </mc:AlternateContent>
      </w:r>
      <w:r>
        <mc:AlternateContent>
          <mc:Choice Requires="wps">
            <w:drawing>
              <wp:anchor distT="0" distB="0" distL="114300" distR="114300" simplePos="false" relativeHeight="10345232" behindDoc="false" locked="false" layoutInCell="true" allowOverlap="true">
                <wp:simplePos x="0" y="0"/>
                <wp:positionH relativeFrom="page">
                  <wp:posOffset>5842000</wp:posOffset>
                </wp:positionH>
                <wp:positionV relativeFrom="page">
                  <wp:posOffset>3022600</wp:posOffset>
                </wp:positionV>
                <wp:extent cx="609600" cy="2032000"/>
                <wp:effectExtent l="0" t="0" r="22225" b="31115"/>
                <wp:wrapNone/>
                <wp:docPr id="7222" name="shape7222"/>
                <wp:cNvGraphicFramePr/>
                <a:graphic>
                  <a:graphicData uri="http://schemas.microsoft.com/office/word/2010/wordprocessingShape">
                    <wps:wsp>
                      <wps:cNvSpPr/>
                      <wps:spPr>
                        <a:xfrm>
                          <a:off x="0" y="0"/>
                          <a:ext cx="609600" cy="2032000"/>
                        </a:xfrm>
                        <a:custGeom>
                          <a:avLst/>
                          <a:rect l="l" t="t" r="r" b="b"/>
                          <a:pathLst>
                            <a:path w="609600" h="2032000">
                              <a:moveTo>
                                <a:pt x="1785" y="1523"/>
                              </a:moveTo>
                              <a:lnTo>
                                <a:pt x="606998" y="1523"/>
                              </a:lnTo>
                              <a:lnTo>
                                <a:pt x="606998" y="2028811"/>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09600,2032000" style="position:absolute;left:0;top:0;visibility:visible;mso-position-horizontal:absolute;mso-position-horizontal-relative:page;mso-position-vertical:absolute;mso-position-vertical-relative:page;width:48pt;height:160pt;margin-left:460pt;margin-top:238pt;mso-wrap-style:square;z-index:10345232;mso-wrap-distance-left:9pt;mso-wrap-distance-top:0pt;mso-wrap-distance-right:9pt;mso-wrap-distance-bottom:0pt" id="shape7222" o:spid="1618382352310" path="m1785,1523l606998,1523l606998,2028811" stroked="t" strokecolor="#000000" strokeweight="1pt"/>
            </w:pict>
          </mc:Fallback>
        </mc:AlternateContent>
      </w:r>
      <w:r>
        <mc:AlternateContent>
          <mc:Choice Requires="wps">
            <w:drawing>
              <wp:anchor distT="0" distB="0" distL="114300" distR="114300" simplePos="false" relativeHeight="10348304" behindDoc="false" locked="false" layoutInCell="true" allowOverlap="true">
                <wp:simplePos x="0" y="0"/>
                <wp:positionH relativeFrom="page">
                  <wp:posOffset>5778500</wp:posOffset>
                </wp:positionH>
                <wp:positionV relativeFrom="page">
                  <wp:posOffset>3022600</wp:posOffset>
                </wp:positionV>
                <wp:extent cx="165100" cy="1066800"/>
                <wp:effectExtent l="0" t="0" r="22225" b="31115"/>
                <wp:wrapNone/>
                <wp:docPr id="7225" name="shape7225"/>
                <wp:cNvGraphicFramePr/>
                <a:graphic>
                  <a:graphicData uri="http://schemas.microsoft.com/office/word/2010/wordprocessingShape">
                    <wps:wsp>
                      <wps:cNvSpPr/>
                      <wps:spPr>
                        <a:xfrm>
                          <a:off x="0" y="0"/>
                          <a:ext cx="165100" cy="1066800"/>
                        </a:xfrm>
                        <a:custGeom>
                          <a:avLst/>
                          <a:rect l="l" t="t" r="r" b="b"/>
                          <a:pathLst>
                            <a:path w="165100" h="1066800">
                              <a:moveTo>
                                <a:pt x="65285" y="1523"/>
                              </a:moveTo>
                              <a:lnTo>
                                <a:pt x="156487" y="1523"/>
                              </a:lnTo>
                              <a:lnTo>
                                <a:pt x="156487" y="1057330"/>
                              </a:lnTo>
                              <a:lnTo>
                                <a:pt x="10288" y="1057330"/>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5100,1066800" style="position:absolute;left:0;top:0;visibility:visible;mso-position-horizontal:absolute;mso-position-horizontal-relative:page;mso-position-vertical:absolute;mso-position-vertical-relative:page;width:13pt;height:84pt;margin-left:455pt;margin-top:238pt;mso-wrap-style:square;z-index:10348304;mso-wrap-distance-left:9pt;mso-wrap-distance-top:0pt;mso-wrap-distance-right:9pt;mso-wrap-distance-bottom:0pt" id="shape7225" o:spid="1618382352310" path="m65285,1523l156487,1523l156487,1057330l10288,1057330" stroked="t" strokecolor="#000000" strokeweight="1pt"/>
            </w:pict>
          </mc:Fallback>
        </mc:AlternateContent>
      </w:r>
      <w:r>
        <mc:AlternateContent>
          <mc:Choice Requires="wps">
            <w:drawing>
              <wp:anchor distT="0" distB="0" distL="114300" distR="114300" simplePos="false" relativeHeight="10353424" behindDoc="false" locked="false" layoutInCell="true" allowOverlap="true">
                <wp:simplePos x="0" y="0"/>
                <wp:positionH relativeFrom="page">
                  <wp:posOffset>6667500</wp:posOffset>
                </wp:positionH>
                <wp:positionV relativeFrom="page">
                  <wp:posOffset>4356100</wp:posOffset>
                </wp:positionV>
                <wp:extent cx="279400" cy="901700"/>
                <wp:effectExtent l="0" t="0" r="22225" b="31115"/>
                <wp:wrapNone/>
                <wp:docPr id="7230" name="shape7230"/>
                <wp:cNvGraphicFramePr/>
                <a:graphic>
                  <a:graphicData uri="http://schemas.microsoft.com/office/word/2010/wordprocessingShape">
                    <wps:wsp>
                      <wps:cNvSpPr/>
                      <wps:spPr>
                        <a:xfrm>
                          <a:off x="0" y="0"/>
                          <a:ext cx="279400" cy="901700"/>
                        </a:xfrm>
                        <a:custGeom>
                          <a:avLst/>
                          <a:rect l="l" t="t" r="r" b="b"/>
                          <a:pathLst>
                            <a:path w="279400" h="901700">
                              <a:moveTo>
                                <a:pt x="1740" y="898057"/>
                              </a:moveTo>
                              <a:lnTo>
                                <a:pt x="92943" y="898057"/>
                              </a:lnTo>
                              <a:lnTo>
                                <a:pt x="92943" y="685"/>
                              </a:lnTo>
                              <a:lnTo>
                                <a:pt x="269171" y="685"/>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901700" style="position:absolute;left:0;top:0;visibility:visible;mso-position-horizontal:absolute;mso-position-horizontal-relative:page;mso-position-vertical:absolute;mso-position-vertical-relative:page;width:22pt;height:71pt;margin-left:525pt;margin-top:343pt;mso-wrap-style:square;z-index:10353424;mso-wrap-distance-left:9pt;mso-wrap-distance-top:0pt;mso-wrap-distance-right:9pt;mso-wrap-distance-bottom:0pt" id="shape7230" o:spid="1618382352311" path="m1740,898057l92943,898057l92943,685l269171,685" stroked="t" strokecolor="#000000" strokeweight="1pt"/>
            </w:pict>
          </mc:Fallback>
        </mc:AlternateContent>
      </w:r>
      <w:r>
        <mc:AlternateContent>
          <mc:Choice Requires="wps">
            <w:drawing>
              <wp:anchor distT="0" distB="0" distL="114300" distR="114300" simplePos="false" relativeHeight="10361616" behindDoc="false" locked="false" layoutInCell="true" allowOverlap="true">
                <wp:simplePos x="0" y="0"/>
                <wp:positionH relativeFrom="page">
                  <wp:posOffset>7416800</wp:posOffset>
                </wp:positionH>
                <wp:positionV relativeFrom="page">
                  <wp:posOffset>4559300</wp:posOffset>
                </wp:positionV>
                <wp:extent cx="533400" cy="1435100"/>
                <wp:effectExtent l="0" t="0" r="22225" b="31115"/>
                <wp:wrapNone/>
                <wp:docPr id="7238" name="shape7238"/>
                <wp:cNvGraphicFramePr/>
                <a:graphic>
                  <a:graphicData uri="http://schemas.microsoft.com/office/word/2010/wordprocessingShape">
                    <wps:wsp>
                      <wps:cNvSpPr/>
                      <wps:spPr>
                        <a:xfrm>
                          <a:off x="0" y="0"/>
                          <a:ext cx="533400" cy="1435100"/>
                        </a:xfrm>
                        <a:custGeom>
                          <a:avLst/>
                          <a:rect l="l" t="t" r="r" b="b"/>
                          <a:pathLst>
                            <a:path w="533400" h="1435100">
                              <a:moveTo>
                                <a:pt x="1965" y="1425155"/>
                              </a:moveTo>
                              <a:lnTo>
                                <a:pt x="531076" y="1425155"/>
                              </a:lnTo>
                              <a:lnTo>
                                <a:pt x="531076" y="231"/>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33400,1435100" style="position:absolute;left:0;top:0;visibility:visible;mso-position-horizontal:absolute;mso-position-horizontal-relative:page;mso-position-vertical:absolute;mso-position-vertical-relative:page;width:42pt;height:113pt;margin-left:584pt;margin-top:359pt;mso-wrap-style:square;z-index:10361616;mso-wrap-distance-left:9pt;mso-wrap-distance-top:0pt;mso-wrap-distance-right:9pt;mso-wrap-distance-bottom:0pt" id="shape7238" o:spid="1618382352311" path="m1965,1425155l531076,1425155l531076,231" stroked="t" strokecolor="#000000" strokeweight="1pt"/>
            </w:pict>
          </mc:Fallback>
        </mc:AlternateContent>
      </w:r>
      <w:r>
        <mc:AlternateContent>
          <mc:Choice Requires="wps">
            <w:drawing>
              <wp:anchor distT="0" distB="0" distL="114300" distR="114300" simplePos="false" relativeHeight="10368784" behindDoc="false" locked="false" layoutInCell="true" allowOverlap="true">
                <wp:simplePos x="0" y="0"/>
                <wp:positionH relativeFrom="page">
                  <wp:posOffset>8724900</wp:posOffset>
                </wp:positionH>
                <wp:positionV relativeFrom="page">
                  <wp:posOffset>2743200</wp:posOffset>
                </wp:positionV>
                <wp:extent cx="279400" cy="1625600"/>
                <wp:effectExtent l="0" t="0" r="22225" b="31115"/>
                <wp:wrapNone/>
                <wp:docPr id="7245" name="shape7245"/>
                <wp:cNvGraphicFramePr/>
                <a:graphic>
                  <a:graphicData uri="http://schemas.microsoft.com/office/word/2010/wordprocessingShape">
                    <wps:wsp>
                      <wps:cNvSpPr/>
                      <wps:spPr>
                        <a:xfrm>
                          <a:off x="0" y="0"/>
                          <a:ext cx="279400" cy="1625600"/>
                        </a:xfrm>
                        <a:custGeom>
                          <a:avLst/>
                          <a:rect l="l" t="t" r="r" b="b"/>
                          <a:pathLst>
                            <a:path w="279400" h="1625600">
                              <a:moveTo>
                                <a:pt x="5448" y="1613585"/>
                              </a:moveTo>
                              <a:lnTo>
                                <a:pt x="96650" y="1613585"/>
                              </a:lnTo>
                              <a:lnTo>
                                <a:pt x="96650" y="8362"/>
                              </a:lnTo>
                              <a:lnTo>
                                <a:pt x="272877" y="8362"/>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79400,1625600" style="position:absolute;left:0;top:0;visibility:visible;mso-position-horizontal:absolute;mso-position-horizontal-relative:page;mso-position-vertical:absolute;mso-position-vertical-relative:page;width:22pt;height:128pt;margin-left:687pt;margin-top:216pt;mso-wrap-style:square;z-index:10368784;mso-wrap-distance-left:9pt;mso-wrap-distance-top:0pt;mso-wrap-distance-right:9pt;mso-wrap-distance-bottom:0pt" id="shape7245" o:spid="1618382352312" path="m5448,1613585l96650,1613585l96650,8362l272877,8362" stroked="t" strokecolor="#000000" strokeweight="1pt"/>
            </w:pict>
          </mc:Fallback>
        </mc:AlternateContent>
      </w:r>
      <w:r>
        <mc:AlternateContent>
          <mc:Choice Requires="wps">
            <w:drawing>
              <wp:anchor distT="0" distB="0" distL="114300" distR="114300" simplePos="false" relativeHeight="10380048" behindDoc="false" locked="false" layoutInCell="true" allowOverlap="true">
                <wp:simplePos x="0" y="0"/>
                <wp:positionH relativeFrom="page">
                  <wp:posOffset>3327400</wp:posOffset>
                </wp:positionH>
                <wp:positionV relativeFrom="page">
                  <wp:posOffset>2324100</wp:posOffset>
                </wp:positionV>
                <wp:extent cx="50800" cy="952500"/>
                <wp:effectExtent l="0" t="0" r="22225" b="31115"/>
                <wp:wrapNone/>
                <wp:docPr id="7256" name="shape7256"/>
                <wp:cNvGraphicFramePr/>
                <a:graphic>
                  <a:graphicData uri="http://schemas.microsoft.com/office/word/2010/wordprocessingShape">
                    <wps:wsp>
                      <wps:cNvSpPr/>
                      <wps:spPr>
                        <a:xfrm>
                          <a:off x="0" y="0"/>
                          <a:ext cx="50800" cy="952500"/>
                        </a:xfrm>
                        <a:custGeom>
                          <a:avLst/>
                          <a:rect l="l" t="t" r="r" b="b"/>
                          <a:pathLst>
                            <a:path w="50800" h="952500">
                              <a:moveTo>
                                <a:pt x="981" y="947165"/>
                              </a:moveTo>
                              <a:lnTo>
                                <a:pt x="981" y="7801"/>
                              </a:lnTo>
                              <a:lnTo>
                                <a:pt x="43708" y="7801"/>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0800,952500" style="position:absolute;left:0;top:0;visibility:visible;mso-position-horizontal:absolute;mso-position-horizontal-relative:page;mso-position-vertical:absolute;mso-position-vertical-relative:page;width:4pt;height:75pt;margin-left:262pt;margin-top:183pt;mso-wrap-style:square;z-index:10380048;mso-wrap-distance-left:9pt;mso-wrap-distance-top:0pt;mso-wrap-distance-right:9pt;mso-wrap-distance-bottom:0pt" id="shape7256" o:spid="1618382352312" path="m981,947165l981,7801l43708,7801" stroked="t" strokecolor="#000000" strokeweight="1pt"/>
            </w:pict>
          </mc:Fallback>
        </mc:AlternateContent>
      </w:r>
      <w:r>
        <mc:AlternateContent>
          <mc:Choice Requires="wps">
            <w:drawing>
              <wp:anchor distT="0" distB="0" distL="114300" distR="114300" simplePos="false" relativeHeight="10384144" behindDoc="false" locked="false" layoutInCell="true" allowOverlap="true">
                <wp:simplePos x="0" y="0"/>
                <wp:positionH relativeFrom="page">
                  <wp:posOffset>4787900</wp:posOffset>
                </wp:positionH>
                <wp:positionV relativeFrom="page">
                  <wp:posOffset>4762500</wp:posOffset>
                </wp:positionV>
                <wp:extent cx="965200" cy="495300"/>
                <wp:effectExtent l="0" t="0" r="22225" b="31115"/>
                <wp:wrapNone/>
                <wp:docPr id="7260" name="shape7260"/>
                <wp:cNvGraphicFramePr/>
                <a:graphic>
                  <a:graphicData uri="http://schemas.microsoft.com/office/word/2010/wordprocessingShape">
                    <wps:wsp>
                      <wps:cNvSpPr/>
                      <wps:spPr>
                        <a:xfrm>
                          <a:off x="0" y="0"/>
                          <a:ext cx="965200" cy="495300"/>
                        </a:xfrm>
                        <a:custGeom>
                          <a:avLst/>
                          <a:rect l="l" t="t" r="r" b="b"/>
                          <a:pathLst>
                            <a:path w="965200" h="495300">
                              <a:moveTo>
                                <a:pt x="5040" y="491657"/>
                              </a:moveTo>
                              <a:lnTo>
                                <a:pt x="962023" y="491657"/>
                              </a:lnTo>
                              <a:lnTo>
                                <a:pt x="962023" y="893"/>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65200,495300" style="position:absolute;left:0;top:0;visibility:visible;mso-position-horizontal:absolute;mso-position-horizontal-relative:page;mso-position-vertical:absolute;mso-position-vertical-relative:page;width:76pt;height:39pt;margin-left:377pt;margin-top:375pt;mso-wrap-style:square;z-index:10384144;mso-wrap-distance-left:9pt;mso-wrap-distance-top:0pt;mso-wrap-distance-right:9pt;mso-wrap-distance-bottom:0pt" id="shape7260" o:spid="1618382352313" path="m5040,491657l962023,491657l962023,893" stroked="t" strokecolor="#000000" strokeweight="1pt"/>
            </w:pict>
          </mc:Fallback>
        </mc:AlternateContent>
      </w:r>
      <w:r>
        <mc:AlternateContent>
          <mc:Choice Requires="wps">
            <w:drawing>
              <wp:anchor distT="0" distB="0" distL="114300" distR="114300" simplePos="false" relativeHeight="10388240" behindDoc="false" locked="false" layoutInCell="true" allowOverlap="true">
                <wp:simplePos x="0" y="0"/>
                <wp:positionH relativeFrom="page">
                  <wp:posOffset>5270500</wp:posOffset>
                </wp:positionH>
                <wp:positionV relativeFrom="page">
                  <wp:posOffset>4279900</wp:posOffset>
                </wp:positionV>
                <wp:extent cx="266700" cy="101600"/>
                <wp:effectExtent l="0" t="0" r="22225" b="31115"/>
                <wp:wrapNone/>
                <wp:docPr id="7264" name="shape7264"/>
                <wp:cNvGraphicFramePr/>
                <a:graphic>
                  <a:graphicData uri="http://schemas.microsoft.com/office/word/2010/wordprocessingShape">
                    <wps:wsp>
                      <wps:cNvSpPr/>
                      <wps:spPr>
                        <a:xfrm>
                          <a:off x="0" y="0"/>
                          <a:ext cx="266700" cy="101600"/>
                        </a:xfrm>
                        <a:custGeom>
                          <a:avLst/>
                          <a:rect l="l" t="t" r="r" b="b"/>
                          <a:pathLst>
                            <a:path w="266700" h="101600">
                              <a:moveTo>
                                <a:pt x="1189" y="98267"/>
                              </a:moveTo>
                              <a:lnTo>
                                <a:pt x="1189" y="52583"/>
                              </a:lnTo>
                              <a:lnTo>
                                <a:pt x="256607" y="52583"/>
                              </a:lnTo>
                              <a:lnTo>
                                <a:pt x="256607" y="2776"/>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6700,101600" style="position:absolute;left:0;top:0;visibility:visible;mso-position-horizontal:absolute;mso-position-horizontal-relative:page;mso-position-vertical:absolute;mso-position-vertical-relative:page;width:21pt;height:8pt;margin-left:415pt;margin-top:337pt;mso-wrap-style:square;z-index:10388240;mso-wrap-distance-left:9pt;mso-wrap-distance-top:0pt;mso-wrap-distance-right:9pt;mso-wrap-distance-bottom:0pt" id="shape7264" o:spid="1618382352313" path="m1189,98267l1189,52583l256607,52583l256607,2776" stroked="t" strokecolor="#000000" strokeweight="1pt"/>
            </w:pict>
          </mc:Fallback>
        </mc:AlternateContent>
      </w:r>
      <w:r>
        <mc:AlternateContent>
          <mc:Choice Requires="wps">
            <w:drawing>
              <wp:anchor distT="0" distB="0" distL="114300" distR="114300" simplePos="false" relativeHeight="10390288" behindDoc="false" locked="false" layoutInCell="true" allowOverlap="true">
                <wp:simplePos x="0" y="0"/>
                <wp:positionH relativeFrom="page">
                  <wp:posOffset>5524500</wp:posOffset>
                </wp:positionH>
                <wp:positionV relativeFrom="page">
                  <wp:posOffset>4279900</wp:posOffset>
                </wp:positionV>
                <wp:extent cx="228600" cy="101600"/>
                <wp:effectExtent l="0" t="0" r="22225" b="31115"/>
                <wp:wrapNone/>
                <wp:docPr id="7266" name="shape7266"/>
                <wp:cNvGraphicFramePr/>
                <a:graphic>
                  <a:graphicData uri="http://schemas.microsoft.com/office/word/2010/wordprocessingShape">
                    <wps:wsp>
                      <wps:cNvSpPr/>
                      <wps:spPr>
                        <a:xfrm>
                          <a:off x="0" y="0"/>
                          <a:ext cx="228600" cy="101600"/>
                        </a:xfrm>
                        <a:custGeom>
                          <a:avLst/>
                          <a:rect l="l" t="t" r="r" b="b"/>
                          <a:pathLst>
                            <a:path w="228600" h="101600">
                              <a:moveTo>
                                <a:pt x="225423" y="98267"/>
                              </a:moveTo>
                              <a:lnTo>
                                <a:pt x="225423" y="52583"/>
                              </a:lnTo>
                              <a:lnTo>
                                <a:pt x="2607" y="52583"/>
                              </a:lnTo>
                              <a:lnTo>
                                <a:pt x="2607" y="2776"/>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8600,101600" style="position:absolute;left:0;top:0;visibility:visible;mso-position-horizontal:absolute;mso-position-horizontal-relative:page;mso-position-vertical:absolute;mso-position-vertical-relative:page;width:18pt;height:8pt;margin-left:435pt;margin-top:337pt;mso-wrap-style:square;z-index:10390288;mso-wrap-distance-left:9pt;mso-wrap-distance-top:0pt;mso-wrap-distance-right:9pt;mso-wrap-distance-bottom:0pt" id="shape7266" o:spid="1618382352314" path="m225423,98267l225423,52583l2607,52583l2607,2776" stroked="t" strokecolor="#000000" strokeweight="1pt"/>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40" w:lineRule="exact"/>
        <w:rPr>
          <w:rFonts w:hint="eastAsia" w:ascii="宋体" w:hAnsi="宋体" w:eastAsia="宋体" w:cs="宋体"/>
          <w:sz w:val="20"/>
        </w:rPr>
      </w:pPr>
    </w:p>
    <w:tbl>
      <w:tblPr>
        <w:tblW w:w="13940" w:type="auto"/>
        <w:tblInd w:w="14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40"/>
        <w:gridCol w:w="320"/>
        <w:gridCol w:w="300"/>
        <w:gridCol w:w="380"/>
        <w:gridCol w:w="320"/>
        <w:gridCol w:w="100"/>
        <w:gridCol w:w="560"/>
        <w:gridCol w:w="340"/>
        <w:gridCol w:w="160"/>
        <w:gridCol w:w="380"/>
        <w:gridCol w:w="160"/>
        <w:gridCol w:w="460"/>
        <w:gridCol w:w="280"/>
        <w:gridCol w:w="800"/>
        <w:gridCol w:w="240"/>
        <w:gridCol w:w="160"/>
        <w:gridCol w:w="400"/>
        <w:gridCol w:w="380"/>
        <w:gridCol w:w="240"/>
        <w:gridCol w:w="240"/>
        <w:gridCol w:w="180"/>
        <w:gridCol w:w="360"/>
        <w:gridCol w:w="100"/>
        <w:gridCol w:w="340"/>
        <w:gridCol w:w="200"/>
        <w:gridCol w:w="120"/>
        <w:gridCol w:w="240"/>
        <w:gridCol w:w="240"/>
        <w:gridCol w:w="300"/>
        <w:gridCol w:w="400"/>
        <w:gridCol w:w="240"/>
        <w:gridCol w:w="160"/>
        <w:gridCol w:w="380"/>
        <w:gridCol w:w="400"/>
        <w:gridCol w:w="240"/>
        <w:gridCol w:w="240"/>
        <w:gridCol w:w="300"/>
        <w:gridCol w:w="400"/>
        <w:gridCol w:w="180"/>
        <w:gridCol w:w="700"/>
        <w:gridCol w:w="240"/>
        <w:gridCol w:w="180"/>
        <w:gridCol w:w="420"/>
        <w:gridCol w:w="340"/>
        <w:gridCol w:w="240"/>
        <w:gridCol w:w="220"/>
      </w:tblGrid>
      <w:tr>
        <w:trPr>
          <w:trHeight w:val="400" w:hRule="exact"/>
        </w:trPr>
        <w:tc>
          <w:tcPr>
            <w:tcW w:w="13920" w:type="dxa"/>
            <w:gridSpan w:val="46"/>
            <w:shd w:val="clear" w:color="auto"/>
            <w:tcMar>
              <w:top w:w="0" w:type="dxa"/>
              <w:left w:w="0" w:type="dxa"/>
              <w:bottom w:w="0" w:type="dxa"/>
              <w:right w:w="0" w:type="dxa"/>
            </w:tcMar>
          </w:tcPr>
          <w:p>
            <w:pPr>
              <w:spacing w:before="120"/>
              <w:ind w:left="320"/>
            </w:pPr>
            <w:r>
              <w:rPr>
                <w:rFonts w:hint="eastAsia" w:ascii="宋体" w:hAnsi="宋体" w:eastAsia="宋体" w:cs="宋体"/>
                <w:b/>
                <w:w w:val="99"/>
                <w:sz w:val="16"/>
              </w:rPr>
              <w:t>应用系统开发流程图</w:t>
            </w:r>
          </w:p>
        </w:tc>
      </w:tr>
      <w:tr>
        <w:trPr>
          <w:trHeight w:val="180" w:hRule="exact"/>
        </w:trPr>
        <w:tc>
          <w:tcPr>
            <w:tcW w:w="1660" w:type="dxa"/>
            <w:gridSpan w:val="5"/>
            <w:shd w:val="clear" w:color="auto"/>
            <w:tcMar>
              <w:top w:w="0" w:type="dxa"/>
              <w:left w:w="0" w:type="dxa"/>
              <w:bottom w:w="0" w:type="dxa"/>
              <w:right w:w="0" w:type="dxa"/>
            </w:tcMar>
          </w:tcPr>
          <w:p>
            <w:pPr>
              <w:spacing w:before="0"/>
              <w:ind w:left="540"/>
            </w:pPr>
            <w:r>
              <w:rPr>
                <w:rFonts w:hint="eastAsia" w:ascii="宋体" w:hAnsi="宋体" w:eastAsia="宋体" w:cs="宋体"/>
                <w:w w:val="99"/>
                <w:sz w:val="13"/>
              </w:rPr>
              <w:t>启动阶段</w:t>
            </w:r>
          </w:p>
        </w:tc>
        <w:tc>
          <w:tcPr>
            <w:tcW w:w="1540" w:type="dxa"/>
            <w:gridSpan w:val="5"/>
            <w:shd w:val="clear" w:color="auto"/>
            <w:tcMar>
              <w:top w:w="0" w:type="dxa"/>
              <w:left w:w="0" w:type="dxa"/>
              <w:bottom w:w="0" w:type="dxa"/>
              <w:right w:w="0" w:type="dxa"/>
            </w:tcMar>
          </w:tcPr>
          <w:p>
            <w:pPr>
              <w:spacing w:before="0"/>
              <w:ind w:left="340"/>
            </w:pPr>
            <w:r>
              <w:rPr>
                <w:rFonts w:hint="eastAsia" w:ascii="宋体" w:hAnsi="宋体" w:eastAsia="宋体" w:cs="宋体"/>
                <w:w w:val="99"/>
                <w:sz w:val="13"/>
              </w:rPr>
              <w:t>项目范围阶段</w:t>
            </w:r>
          </w:p>
        </w:tc>
        <w:tc>
          <w:tcPr>
            <w:tcW w:w="1940" w:type="dxa"/>
            <w:gridSpan w:val="5"/>
            <w:shd w:val="clear" w:color="auto"/>
            <w:tcMar>
              <w:top w:w="0" w:type="dxa"/>
              <w:left w:w="0" w:type="dxa"/>
              <w:bottom w:w="0" w:type="dxa"/>
              <w:right w:w="0" w:type="dxa"/>
            </w:tcMar>
          </w:tcPr>
          <w:p>
            <w:pPr>
              <w:spacing w:before="0"/>
              <w:ind w:left="540"/>
            </w:pPr>
            <w:r>
              <w:rPr>
                <w:rFonts w:hint="eastAsia" w:ascii="宋体" w:hAnsi="宋体" w:eastAsia="宋体" w:cs="宋体"/>
                <w:w w:val="99"/>
                <w:sz w:val="13"/>
              </w:rPr>
              <w:t>项目计划阶段</w:t>
            </w:r>
          </w:p>
        </w:tc>
        <w:tc>
          <w:tcPr>
            <w:tcW w:w="1180" w:type="dxa"/>
            <w:gridSpan w:val="4"/>
            <w:shd w:val="clear" w:color="auto"/>
            <w:tcMar>
              <w:top w:w="0" w:type="dxa"/>
              <w:left w:w="0" w:type="dxa"/>
              <w:bottom w:w="0" w:type="dxa"/>
              <w:right w:w="0" w:type="dxa"/>
            </w:tcMar>
          </w:tcPr>
          <w:p>
            <w:pPr>
              <w:spacing w:before="0"/>
              <w:ind w:left="160"/>
            </w:pPr>
            <w:r>
              <w:rPr>
                <w:rFonts w:hint="eastAsia" w:ascii="宋体" w:hAnsi="宋体" w:eastAsia="宋体" w:cs="宋体"/>
                <w:w w:val="99"/>
                <w:sz w:val="13"/>
              </w:rPr>
              <w:t>概要设计阶段</w:t>
            </w:r>
          </w:p>
        </w:tc>
        <w:tc>
          <w:tcPr>
            <w:tcW w:w="1780" w:type="dxa"/>
            <w:gridSpan w:val="8"/>
            <w:shd w:val="clear" w:color="auto"/>
            <w:tcMar>
              <w:top w:w="0" w:type="dxa"/>
              <w:left w:w="0" w:type="dxa"/>
              <w:bottom w:w="0" w:type="dxa"/>
              <w:right w:w="0" w:type="dxa"/>
            </w:tcMar>
          </w:tcPr>
          <w:p>
            <w:pPr>
              <w:spacing w:before="0"/>
              <w:ind w:left="460"/>
            </w:pPr>
            <w:r>
              <w:rPr>
                <w:rFonts w:hint="eastAsia" w:ascii="宋体" w:hAnsi="宋体" w:eastAsia="宋体" w:cs="宋体"/>
                <w:w w:val="99"/>
                <w:sz w:val="13"/>
              </w:rPr>
              <w:t>原型设计阶段</w:t>
            </w:r>
          </w:p>
        </w:tc>
        <w:tc>
          <w:tcPr>
            <w:tcW w:w="1180" w:type="dxa"/>
            <w:gridSpan w:val="4"/>
            <w:shd w:val="clear" w:color="auto"/>
            <w:tcMar>
              <w:top w:w="0" w:type="dxa"/>
              <w:left w:w="0" w:type="dxa"/>
              <w:bottom w:w="0" w:type="dxa"/>
              <w:right w:w="0" w:type="dxa"/>
            </w:tcMar>
          </w:tcPr>
          <w:p>
            <w:pPr>
              <w:spacing w:before="0"/>
              <w:ind w:left="160"/>
            </w:pPr>
            <w:r>
              <w:rPr>
                <w:rFonts w:hint="eastAsia" w:ascii="宋体" w:hAnsi="宋体" w:eastAsia="宋体" w:cs="宋体"/>
                <w:w w:val="99"/>
                <w:sz w:val="13"/>
              </w:rPr>
              <w:t>详细设计阶段</w:t>
            </w:r>
          </w:p>
        </w:tc>
        <w:tc>
          <w:tcPr>
            <w:tcW w:w="1180" w:type="dxa"/>
            <w:gridSpan w:val="4"/>
            <w:shd w:val="clear" w:color="auto"/>
            <w:tcMar>
              <w:top w:w="0" w:type="dxa"/>
              <w:left w:w="0" w:type="dxa"/>
              <w:bottom w:w="0" w:type="dxa"/>
              <w:right w:w="0" w:type="dxa"/>
            </w:tcMar>
          </w:tcPr>
          <w:p>
            <w:pPr>
              <w:spacing w:before="0"/>
              <w:ind w:left="100"/>
            </w:pPr>
            <w:r>
              <w:rPr>
                <w:rFonts w:hint="eastAsia" w:ascii="宋体" w:hAnsi="宋体" w:eastAsia="宋体" w:cs="宋体"/>
                <w:w w:val="99"/>
                <w:sz w:val="13"/>
              </w:rPr>
              <w:t>开发</w:t>
            </w:r>
            <w:r>
              <w:rPr>
                <w:rFonts w:hint="eastAsia" w:ascii="宋体" w:hAnsi="宋体" w:eastAsia="宋体" w:cs="宋体"/>
                <w:w w:val="99"/>
                <w:sz w:val="10"/>
              </w:rPr>
              <w:t>、</w:t>
            </w:r>
            <w:r>
              <w:rPr>
                <w:rFonts w:hint="eastAsia" w:ascii="宋体" w:hAnsi="宋体" w:eastAsia="宋体" w:cs="宋体"/>
                <w:w w:val="99"/>
                <w:sz w:val="13"/>
              </w:rPr>
              <w:t>测试阶段</w:t>
            </w:r>
          </w:p>
        </w:tc>
        <w:tc>
          <w:tcPr>
            <w:tcW w:w="2060" w:type="dxa"/>
            <w:gridSpan w:val="6"/>
            <w:shd w:val="clear" w:color="auto"/>
            <w:tcMar>
              <w:top w:w="0" w:type="dxa"/>
              <w:left w:w="0" w:type="dxa"/>
              <w:bottom w:w="0" w:type="dxa"/>
              <w:right w:w="0" w:type="dxa"/>
            </w:tcMar>
          </w:tcPr>
          <w:p>
            <w:pPr>
              <w:spacing w:before="0"/>
              <w:ind w:left="680"/>
            </w:pPr>
            <w:r>
              <w:rPr>
                <w:rFonts w:hint="eastAsia" w:ascii="宋体" w:hAnsi="宋体" w:eastAsia="宋体" w:cs="宋体"/>
                <w:w w:val="99"/>
                <w:sz w:val="13"/>
              </w:rPr>
              <w:t>试运行阶段</w:t>
            </w:r>
          </w:p>
        </w:tc>
        <w:tc>
          <w:tcPr>
            <w:tcW w:w="1180" w:type="dxa"/>
            <w:gridSpan w:val="4"/>
            <w:shd w:val="clear" w:color="auto"/>
            <w:tcMar>
              <w:top w:w="0" w:type="dxa"/>
              <w:left w:w="0" w:type="dxa"/>
              <w:bottom w:w="0" w:type="dxa"/>
              <w:right w:w="0" w:type="dxa"/>
            </w:tcMar>
          </w:tcPr>
          <w:p>
            <w:pPr>
              <w:spacing w:before="0"/>
              <w:ind w:left="320"/>
            </w:pPr>
            <w:r>
              <w:rPr>
                <w:rFonts w:hint="eastAsia" w:ascii="宋体" w:hAnsi="宋体" w:eastAsia="宋体" w:cs="宋体"/>
                <w:w w:val="99"/>
                <w:sz w:val="13"/>
              </w:rPr>
              <w:t>验收阶段</w:t>
            </w:r>
          </w:p>
        </w:tc>
        <w:tc>
          <w:tcPr>
            <w:tcW w:w="220" w:type="dxa"/>
            <w:shd w:val="clear" w:color="auto"/>
            <w:tcMar>
              <w:top w:w="0" w:type="dxa"/>
              <w:left w:w="0" w:type="dxa"/>
              <w:bottom w:w="0" w:type="dxa"/>
              <w:right w:w="0" w:type="dxa"/>
            </w:tcMar>
          </w:tcPr>
          <w:p/>
        </w:tc>
      </w:tr>
      <w:tr>
        <w:trPr>
          <w:trHeight w:val="280" w:hRule="exact"/>
        </w:trPr>
        <w:tc>
          <w:tcPr>
            <w:tcW w:w="340" w:type="dxa"/>
            <w:vMerge w:val="restart"/>
            <w:shd w:val="clear" w:color="auto"/>
            <w:tcMar>
              <w:top w:w="0" w:type="dxa"/>
              <w:left w:w="0" w:type="dxa"/>
              <w:bottom w:w="0" w:type="dxa"/>
              <w:right w:w="0" w:type="dxa"/>
            </w:tcMar>
            <w:textDirection w:val="tbRl"/>
          </w:tcPr>
          <w:p>
            <w:r>
              <w:rPr>
                <w:rFonts w:hint="eastAsia" w:ascii="宋体" w:hAnsi="宋体" w:eastAsia="宋体" w:cs="宋体"/>
                <w:w w:val="99"/>
                <w:sz w:val="12"/>
              </w:rPr>
              <w:t>项目管理部</w:t>
            </w:r>
          </w:p>
        </w:tc>
        <w:tc>
          <w:tcPr>
            <w:tcW w:w="13580" w:type="dxa"/>
            <w:gridSpan w:val="45"/>
            <w:tcMar>
              <w:top w:w="0" w:type="dxa"/>
              <w:left w:w="0" w:type="dxa"/>
              <w:bottom w:w="0" w:type="dxa"/>
              <w:right w:w="0" w:type="dxa"/>
            </w:tcMar>
          </w:tcPr>
          <w:p/>
        </w:tc>
      </w:tr>
      <w:tr>
        <w:trPr>
          <w:trHeight w:val="300" w:hRule="exact"/>
        </w:trPr>
        <w:tc>
          <w:tcPr>
            <w:tcW w:w="340" w:type="dxa"/>
            <w:vMerge w:val="continue"/>
            <w:tcMar>
              <w:top w:w="0" w:type="dxa"/>
              <w:left w:w="0" w:type="dxa"/>
              <w:bottom w:w="0" w:type="dxa"/>
              <w:right w:w="0" w:type="dxa"/>
            </w:tcMar>
          </w:tcPr>
          <w:p/>
        </w:tc>
        <w:tc>
          <w:tcPr>
            <w:tcW w:w="12360" w:type="dxa"/>
            <w:gridSpan w:val="41"/>
            <w:tcMar>
              <w:top w:w="0" w:type="dxa"/>
              <w:left w:w="0" w:type="dxa"/>
              <w:bottom w:w="0" w:type="dxa"/>
              <w:right w:w="0" w:type="dxa"/>
            </w:tcMar>
          </w:tcPr>
          <w:p>
            <w:pPr>
              <w:spacing w:before="160"/>
              <w:ind w:left="440"/>
            </w:pPr>
            <w:r>
              <w:rPr>
                <w:rFonts w:hint="eastAsia" w:ascii="宋体" w:hAnsi="宋体" w:eastAsia="宋体" w:cs="宋体"/>
                <w:w w:val="99"/>
                <w:sz w:val="13"/>
              </w:rPr>
              <w:t>项目启</w:t>
            </w:r>
          </w:p>
        </w:tc>
        <w:tc>
          <w:tcPr>
            <w:tcW w:w="760" w:type="dxa"/>
            <w:gridSpan w:val="2"/>
            <w:vMerge w:val="restart"/>
            <w:shd w:val="clear" w:color="auto"/>
            <w:tcMar>
              <w:top w:w="0" w:type="dxa"/>
              <w:left w:w="0" w:type="dxa"/>
              <w:bottom w:w="0" w:type="dxa"/>
              <w:right w:w="0" w:type="dxa"/>
            </w:tcMar>
          </w:tcPr>
          <w:p>
            <w:pPr>
              <w:spacing w:before="140"/>
              <w:ind w:left="260"/>
            </w:pPr>
            <w:r>
              <w:rPr>
                <w:rFonts w:hint="eastAsia" w:ascii="宋体" w:hAnsi="宋体" w:eastAsia="宋体" w:cs="宋体"/>
                <w:w w:val="99"/>
                <w:sz w:val="13"/>
              </w:rPr>
              <w:t>收尾</w:t>
            </w:r>
          </w:p>
        </w:tc>
        <w:tc>
          <w:tcPr>
            <w:tcW w:w="460" w:type="dxa"/>
            <w:gridSpan w:val="2"/>
            <w:vMerge w:val="restart"/>
            <w:tcMar>
              <w:top w:w="0" w:type="dxa"/>
              <w:left w:w="0" w:type="dxa"/>
              <w:bottom w:w="0" w:type="dxa"/>
              <w:right w:w="0" w:type="dxa"/>
            </w:tcMar>
          </w:tcPr>
          <w:p/>
        </w:tc>
      </w:tr>
      <w:tr>
        <w:trPr>
          <w:trHeight w:val="240" w:hRule="exact"/>
        </w:trPr>
        <w:tc>
          <w:tcPr>
            <w:tcW w:w="340" w:type="dxa"/>
            <w:vMerge w:val="continue"/>
            <w:tcMar>
              <w:top w:w="0" w:type="dxa"/>
              <w:left w:w="0" w:type="dxa"/>
              <w:bottom w:w="0" w:type="dxa"/>
              <w:right w:w="0" w:type="dxa"/>
            </w:tcMar>
          </w:tcPr>
          <w:p/>
        </w:tc>
        <w:tc>
          <w:tcPr>
            <w:tcW w:w="3480" w:type="dxa"/>
            <w:gridSpan w:val="11"/>
            <w:tcMar>
              <w:top w:w="0" w:type="dxa"/>
              <w:left w:w="0" w:type="dxa"/>
              <w:bottom w:w="0" w:type="dxa"/>
              <w:right w:w="0" w:type="dxa"/>
            </w:tcMar>
          </w:tcPr>
          <w:p>
            <w:pPr>
              <w:spacing w:before="40"/>
              <w:ind w:left="580"/>
            </w:pPr>
            <w:r>
              <w:rPr>
                <w:rFonts w:hint="eastAsia" w:ascii="宋体" w:hAnsi="宋体" w:eastAsia="宋体" w:cs="宋体"/>
                <w:w w:val="99"/>
                <w:sz w:val="13"/>
              </w:rPr>
              <w:t>动</w:t>
            </w:r>
          </w:p>
        </w:tc>
        <w:tc>
          <w:tcPr>
            <w:tcW w:w="1080" w:type="dxa"/>
            <w:gridSpan w:val="2"/>
            <w:vMerge w:val="restart"/>
            <w:shd w:val="clear" w:color="auto"/>
            <w:tcMar>
              <w:top w:w="0" w:type="dxa"/>
              <w:left w:w="0" w:type="dxa"/>
              <w:bottom w:w="0" w:type="dxa"/>
              <w:right w:w="0" w:type="dxa"/>
            </w:tcMar>
          </w:tcPr>
          <w:p>
            <w:pPr>
              <w:spacing w:before="360"/>
              <w:ind w:left="300"/>
            </w:pPr>
            <w:r>
              <w:rPr>
                <w:rFonts w:hint="eastAsia" w:ascii="宋体" w:hAnsi="宋体" w:eastAsia="宋体" w:cs="宋体"/>
                <w:w w:val="99"/>
                <w:sz w:val="13"/>
              </w:rPr>
              <w:t>计划确认</w:t>
            </w:r>
          </w:p>
        </w:tc>
        <w:tc>
          <w:tcPr>
            <w:tcW w:w="7800" w:type="dxa"/>
            <w:gridSpan w:val="28"/>
            <w:tcMar>
              <w:top w:w="0" w:type="dxa"/>
              <w:left w:w="0" w:type="dxa"/>
              <w:bottom w:w="0" w:type="dxa"/>
              <w:right w:w="0" w:type="dxa"/>
            </w:tcMar>
          </w:tcPr>
          <w:p/>
        </w:tc>
        <w:tc>
          <w:tcPr>
            <w:tcW w:w="760" w:type="dxa"/>
            <w:gridSpan w:val="2"/>
            <w:vMerge w:val="continue"/>
            <w:tcMar>
              <w:top w:w="0" w:type="dxa"/>
              <w:left w:w="0" w:type="dxa"/>
              <w:bottom w:w="0" w:type="dxa"/>
              <w:right w:w="0" w:type="dxa"/>
            </w:tcMar>
          </w:tcPr>
          <w:p/>
        </w:tc>
        <w:tc>
          <w:tcPr>
            <w:tcW w:w="460" w:type="dxa"/>
            <w:gridSpan w:val="2"/>
            <w:vMerge w:val="continue"/>
            <w:tcMar>
              <w:top w:w="0" w:type="dxa"/>
              <w:left w:w="0" w:type="dxa"/>
              <w:bottom w:w="0" w:type="dxa"/>
              <w:right w:w="0" w:type="dxa"/>
            </w:tcMar>
          </w:tcPr>
          <w:p/>
        </w:tc>
      </w:tr>
      <w:tr>
        <w:trPr>
          <w:trHeight w:val="160" w:hRule="exact"/>
        </w:trPr>
        <w:tc>
          <w:tcPr>
            <w:tcW w:w="340" w:type="dxa"/>
            <w:vMerge w:val="continue"/>
            <w:tcMar>
              <w:top w:w="0" w:type="dxa"/>
              <w:left w:w="0" w:type="dxa"/>
              <w:bottom w:w="0" w:type="dxa"/>
              <w:right w:w="0" w:type="dxa"/>
            </w:tcMar>
          </w:tcPr>
          <w:p/>
        </w:tc>
        <w:tc>
          <w:tcPr>
            <w:tcW w:w="620" w:type="dxa"/>
            <w:gridSpan w:val="2"/>
            <w:vMerge w:val="restart"/>
            <w:tcMar>
              <w:top w:w="0" w:type="dxa"/>
              <w:left w:w="0" w:type="dxa"/>
              <w:bottom w:w="0" w:type="dxa"/>
              <w:right w:w="0" w:type="dxa"/>
            </w:tcMar>
          </w:tcPr>
          <w:p/>
        </w:tc>
        <w:tc>
          <w:tcPr>
            <w:tcW w:w="2860" w:type="dxa"/>
            <w:gridSpan w:val="9"/>
            <w:vMerge w:val="restart"/>
            <w:tcMar>
              <w:top w:w="0" w:type="dxa"/>
              <w:left w:w="0" w:type="dxa"/>
              <w:bottom w:w="0" w:type="dxa"/>
              <w:right w:w="0" w:type="dxa"/>
            </w:tcMar>
          </w:tcPr>
          <w:p/>
        </w:tc>
        <w:tc>
          <w:tcPr>
            <w:tcW w:w="1080" w:type="dxa"/>
            <w:gridSpan w:val="2"/>
            <w:vMerge w:val="continue"/>
            <w:tcMar>
              <w:top w:w="0" w:type="dxa"/>
              <w:left w:w="0" w:type="dxa"/>
              <w:bottom w:w="0" w:type="dxa"/>
              <w:right w:w="0" w:type="dxa"/>
            </w:tcMar>
          </w:tcPr>
          <w:p/>
        </w:tc>
        <w:tc>
          <w:tcPr>
            <w:tcW w:w="8220" w:type="dxa"/>
            <w:gridSpan w:val="29"/>
            <w:vMerge w:val="restart"/>
            <w:tcMar>
              <w:top w:w="0" w:type="dxa"/>
              <w:left w:w="0" w:type="dxa"/>
              <w:bottom w:w="0" w:type="dxa"/>
              <w:right w:w="0" w:type="dxa"/>
            </w:tcMar>
          </w:tcPr>
          <w:p/>
        </w:tc>
        <w:tc>
          <w:tcPr>
            <w:tcW w:w="800" w:type="dxa"/>
            <w:gridSpan w:val="3"/>
            <w:vMerge w:val="restart"/>
            <w:tcMar>
              <w:top w:w="0" w:type="dxa"/>
              <w:left w:w="0" w:type="dxa"/>
              <w:bottom w:w="0" w:type="dxa"/>
              <w:right w:w="0" w:type="dxa"/>
            </w:tcMar>
          </w:tcPr>
          <w:p/>
        </w:tc>
      </w:tr>
      <w:tr>
        <w:trPr>
          <w:trHeight w:val="120" w:hRule="exact"/>
        </w:trPr>
        <w:tc>
          <w:tcPr>
            <w:tcW w:w="340" w:type="dxa"/>
            <w:vMerge w:val="continue"/>
            <w:tcMar>
              <w:top w:w="0" w:type="dxa"/>
              <w:left w:w="0" w:type="dxa"/>
              <w:bottom w:w="0" w:type="dxa"/>
              <w:right w:w="0" w:type="dxa"/>
            </w:tcMar>
          </w:tcPr>
          <w:p/>
        </w:tc>
        <w:tc>
          <w:tcPr>
            <w:tcW w:w="620" w:type="dxa"/>
            <w:gridSpan w:val="2"/>
            <w:vMerge w:val="continue"/>
            <w:tcMar>
              <w:top w:w="0" w:type="dxa"/>
              <w:left w:w="0" w:type="dxa"/>
              <w:bottom w:w="0" w:type="dxa"/>
              <w:right w:w="0" w:type="dxa"/>
            </w:tcMar>
          </w:tcPr>
          <w:p/>
        </w:tc>
        <w:tc>
          <w:tcPr>
            <w:tcW w:w="2860" w:type="dxa"/>
            <w:gridSpan w:val="9"/>
            <w:vMerge w:val="continue"/>
            <w:tcMar>
              <w:top w:w="0" w:type="dxa"/>
              <w:left w:w="0" w:type="dxa"/>
              <w:bottom w:w="0" w:type="dxa"/>
              <w:right w:w="0" w:type="dxa"/>
            </w:tcMar>
          </w:tcPr>
          <w:p/>
        </w:tc>
        <w:tc>
          <w:tcPr>
            <w:tcW w:w="1080" w:type="dxa"/>
            <w:gridSpan w:val="2"/>
            <w:vMerge w:val="continue"/>
            <w:tcMar>
              <w:top w:w="0" w:type="dxa"/>
              <w:left w:w="0" w:type="dxa"/>
              <w:bottom w:w="0" w:type="dxa"/>
              <w:right w:w="0" w:type="dxa"/>
            </w:tcMar>
          </w:tcPr>
          <w:p/>
        </w:tc>
        <w:tc>
          <w:tcPr>
            <w:tcW w:w="8220" w:type="dxa"/>
            <w:gridSpan w:val="29"/>
            <w:vMerge w:val="continue"/>
            <w:tcMar>
              <w:top w:w="0" w:type="dxa"/>
              <w:left w:w="0" w:type="dxa"/>
              <w:bottom w:w="0" w:type="dxa"/>
              <w:right w:w="0" w:type="dxa"/>
            </w:tcMar>
          </w:tcPr>
          <w:p/>
        </w:tc>
        <w:tc>
          <w:tcPr>
            <w:tcW w:w="800" w:type="dxa"/>
            <w:gridSpan w:val="3"/>
            <w:vMerge w:val="continue"/>
            <w:tcMar>
              <w:top w:w="0" w:type="dxa"/>
              <w:left w:w="0" w:type="dxa"/>
              <w:bottom w:w="0" w:type="dxa"/>
              <w:right w:w="0" w:type="dxa"/>
            </w:tcMar>
          </w:tcPr>
          <w:p/>
        </w:tc>
      </w:tr>
      <w:tr>
        <w:trPr>
          <w:trHeight w:val="200" w:hRule="exact"/>
        </w:trPr>
        <w:tc>
          <w:tcPr>
            <w:tcW w:w="340" w:type="dxa"/>
            <w:vMerge w:val="restart"/>
            <w:shd w:val="clear" w:color="auto"/>
            <w:tcMar>
              <w:top w:w="0" w:type="dxa"/>
              <w:left w:w="0" w:type="dxa"/>
              <w:bottom w:w="0" w:type="dxa"/>
              <w:right w:w="0" w:type="dxa"/>
            </w:tcMar>
            <w:textDirection w:val="tbRl"/>
          </w:tcPr>
          <w:p>
            <w:r>
              <w:rPr>
                <w:rFonts w:hint="eastAsia" w:ascii="宋体" w:hAnsi="宋体" w:eastAsia="宋体" w:cs="宋体"/>
                <w:w w:val="99"/>
                <w:sz w:val="12"/>
              </w:rPr>
              <w:t>客户</w:t>
            </w:r>
          </w:p>
        </w:tc>
        <w:tc>
          <w:tcPr>
            <w:tcW w:w="620" w:type="dxa"/>
            <w:gridSpan w:val="2"/>
            <w:tcMar>
              <w:top w:w="0" w:type="dxa"/>
              <w:left w:w="0" w:type="dxa"/>
              <w:bottom w:w="0" w:type="dxa"/>
              <w:right w:w="0" w:type="dxa"/>
            </w:tcMar>
          </w:tcPr>
          <w:p/>
        </w:tc>
        <w:tc>
          <w:tcPr>
            <w:tcW w:w="2860" w:type="dxa"/>
            <w:gridSpan w:val="9"/>
            <w:tcMar>
              <w:top w:w="0" w:type="dxa"/>
              <w:left w:w="0" w:type="dxa"/>
              <w:bottom w:w="0" w:type="dxa"/>
              <w:right w:w="0" w:type="dxa"/>
            </w:tcMar>
          </w:tcPr>
          <w:p/>
        </w:tc>
        <w:tc>
          <w:tcPr>
            <w:tcW w:w="1080" w:type="dxa"/>
            <w:gridSpan w:val="2"/>
            <w:vMerge w:val="restart"/>
            <w:tcMar>
              <w:top w:w="0" w:type="dxa"/>
              <w:left w:w="0" w:type="dxa"/>
              <w:bottom w:w="0" w:type="dxa"/>
              <w:right w:w="0" w:type="dxa"/>
            </w:tcMar>
          </w:tcPr>
          <w:p/>
        </w:tc>
        <w:tc>
          <w:tcPr>
            <w:tcW w:w="8220" w:type="dxa"/>
            <w:gridSpan w:val="29"/>
            <w:vMerge w:val="restart"/>
            <w:tcMar>
              <w:top w:w="0" w:type="dxa"/>
              <w:left w:w="0" w:type="dxa"/>
              <w:bottom w:w="0" w:type="dxa"/>
              <w:right w:w="0" w:type="dxa"/>
            </w:tcMar>
          </w:tcPr>
          <w:p/>
        </w:tc>
        <w:tc>
          <w:tcPr>
            <w:tcW w:w="800" w:type="dxa"/>
            <w:gridSpan w:val="3"/>
            <w:vMerge w:val="restart"/>
            <w:tcMar>
              <w:top w:w="0" w:type="dxa"/>
              <w:left w:w="0" w:type="dxa"/>
              <w:bottom w:w="0" w:type="dxa"/>
              <w:right w:w="0" w:type="dxa"/>
            </w:tcMar>
          </w:tcPr>
          <w:p/>
        </w:tc>
      </w:tr>
      <w:tr>
        <w:trPr>
          <w:trHeight w:val="160" w:hRule="exact"/>
        </w:trPr>
        <w:tc>
          <w:tcPr>
            <w:tcW w:w="340" w:type="dxa"/>
            <w:vMerge w:val="continue"/>
            <w:tcMar>
              <w:top w:w="0" w:type="dxa"/>
              <w:left w:w="0" w:type="dxa"/>
              <w:bottom w:w="0" w:type="dxa"/>
              <w:right w:w="0" w:type="dxa"/>
            </w:tcMar>
          </w:tcPr>
          <w:p/>
        </w:tc>
        <w:tc>
          <w:tcPr>
            <w:tcW w:w="3480" w:type="dxa"/>
            <w:gridSpan w:val="11"/>
            <w:tcMar>
              <w:top w:w="0" w:type="dxa"/>
              <w:left w:w="0" w:type="dxa"/>
              <w:bottom w:w="0" w:type="dxa"/>
              <w:right w:w="0" w:type="dxa"/>
            </w:tcMar>
          </w:tcPr>
          <w:p/>
        </w:tc>
        <w:tc>
          <w:tcPr>
            <w:tcW w:w="1080" w:type="dxa"/>
            <w:gridSpan w:val="2"/>
            <w:vMerge w:val="continue"/>
            <w:tcMar>
              <w:top w:w="0" w:type="dxa"/>
              <w:left w:w="0" w:type="dxa"/>
              <w:bottom w:w="0" w:type="dxa"/>
              <w:right w:w="0" w:type="dxa"/>
            </w:tcMar>
          </w:tcPr>
          <w:p/>
        </w:tc>
        <w:tc>
          <w:tcPr>
            <w:tcW w:w="8220" w:type="dxa"/>
            <w:gridSpan w:val="29"/>
            <w:vMerge w:val="continue"/>
            <w:tcMar>
              <w:top w:w="0" w:type="dxa"/>
              <w:left w:w="0" w:type="dxa"/>
              <w:bottom w:w="0" w:type="dxa"/>
              <w:right w:w="0" w:type="dxa"/>
            </w:tcMar>
          </w:tcPr>
          <w:p/>
        </w:tc>
        <w:tc>
          <w:tcPr>
            <w:tcW w:w="800" w:type="dxa"/>
            <w:gridSpan w:val="3"/>
            <w:vMerge w:val="continue"/>
            <w:tcMar>
              <w:top w:w="0" w:type="dxa"/>
              <w:left w:w="0" w:type="dxa"/>
              <w:bottom w:w="0" w:type="dxa"/>
              <w:right w:w="0" w:type="dxa"/>
            </w:tcMar>
          </w:tcPr>
          <w:p/>
        </w:tc>
      </w:tr>
      <w:tr>
        <w:trPr>
          <w:trHeight w:val="200" w:hRule="exact"/>
        </w:trPr>
        <w:tc>
          <w:tcPr>
            <w:tcW w:w="340" w:type="dxa"/>
            <w:vMerge w:val="continue"/>
            <w:tcMar>
              <w:top w:w="0" w:type="dxa"/>
              <w:left w:w="0" w:type="dxa"/>
              <w:bottom w:w="0" w:type="dxa"/>
              <w:right w:w="0" w:type="dxa"/>
            </w:tcMar>
          </w:tcPr>
          <w:p/>
        </w:tc>
        <w:tc>
          <w:tcPr>
            <w:tcW w:w="320" w:type="dxa"/>
            <w:vMerge w:val="restart"/>
            <w:tcMar>
              <w:top w:w="0" w:type="dxa"/>
              <w:left w:w="0" w:type="dxa"/>
              <w:bottom w:w="0" w:type="dxa"/>
              <w:right w:w="0" w:type="dxa"/>
            </w:tcMar>
          </w:tcPr>
          <w:p/>
        </w:tc>
        <w:tc>
          <w:tcPr>
            <w:tcW w:w="680" w:type="dxa"/>
            <w:gridSpan w:val="2"/>
            <w:vMerge w:val="restart"/>
            <w:shd w:val="clear" w:color="auto"/>
            <w:tcMar>
              <w:top w:w="0" w:type="dxa"/>
              <w:left w:w="0" w:type="dxa"/>
              <w:bottom w:w="0" w:type="dxa"/>
              <w:right w:w="0" w:type="dxa"/>
            </w:tcMar>
          </w:tcPr>
          <w:p>
            <w:pPr>
              <w:spacing w:before="520"/>
            </w:pPr>
            <w:r>
              <w:rPr>
                <w:rFonts w:hint="eastAsia" w:ascii="宋体" w:hAnsi="宋体" w:eastAsia="宋体" w:cs="宋体"/>
                <w:w w:val="99"/>
                <w:sz w:val="13"/>
              </w:rPr>
              <w:t>甲乙双方</w:t>
            </w:r>
          </w:p>
          <w:p>
            <w:pPr>
              <w:spacing w:before="20"/>
            </w:pPr>
            <w:r>
              <w:rPr>
                <w:rFonts w:hint="eastAsia" w:ascii="宋体" w:hAnsi="宋体" w:eastAsia="宋体" w:cs="宋体"/>
                <w:w w:val="99"/>
                <w:sz w:val="13"/>
              </w:rPr>
              <w:t>启动会议</w:t>
            </w:r>
          </w:p>
        </w:tc>
        <w:tc>
          <w:tcPr>
            <w:tcW w:w="11360" w:type="dxa"/>
            <w:gridSpan w:val="38"/>
            <w:tcMar>
              <w:top w:w="0" w:type="dxa"/>
              <w:left w:w="0" w:type="dxa"/>
              <w:bottom w:w="0" w:type="dxa"/>
              <w:right w:w="0" w:type="dxa"/>
            </w:tcMar>
          </w:tcPr>
          <w:p/>
        </w:tc>
        <w:tc>
          <w:tcPr>
            <w:tcW w:w="760" w:type="dxa"/>
            <w:gridSpan w:val="2"/>
            <w:vMerge w:val="restart"/>
            <w:shd w:val="clear" w:color="auto"/>
            <w:tcMar>
              <w:top w:w="0" w:type="dxa"/>
              <w:left w:w="0" w:type="dxa"/>
              <w:bottom w:w="0" w:type="dxa"/>
              <w:right w:w="0" w:type="dxa"/>
            </w:tcMar>
          </w:tcPr>
          <w:p>
            <w:pPr>
              <w:spacing w:before="140"/>
              <w:ind w:left="140"/>
            </w:pPr>
            <w:r>
              <w:rPr>
                <w:rFonts w:hint="eastAsia" w:ascii="宋体" w:hAnsi="宋体" w:eastAsia="宋体" w:cs="宋体"/>
                <w:w w:val="99"/>
                <w:sz w:val="13"/>
              </w:rPr>
              <w:t>上线验收</w:t>
            </w:r>
          </w:p>
        </w:tc>
        <w:tc>
          <w:tcPr>
            <w:tcW w:w="460" w:type="dxa"/>
            <w:gridSpan w:val="2"/>
            <w:vMerge w:val="restart"/>
            <w:tcMar>
              <w:top w:w="0" w:type="dxa"/>
              <w:left w:w="0" w:type="dxa"/>
              <w:bottom w:w="0" w:type="dxa"/>
              <w:right w:w="0" w:type="dxa"/>
            </w:tcMar>
          </w:tcPr>
          <w:p/>
        </w:tc>
      </w:tr>
      <w:tr>
        <w:trPr>
          <w:trHeight w:val="280" w:hRule="exact"/>
        </w:trPr>
        <w:tc>
          <w:tcPr>
            <w:tcW w:w="340" w:type="dxa"/>
            <w:vMerge w:val="continue"/>
            <w:tcMar>
              <w:top w:w="0" w:type="dxa"/>
              <w:left w:w="0" w:type="dxa"/>
              <w:bottom w:w="0" w:type="dxa"/>
              <w:right w:w="0" w:type="dxa"/>
            </w:tcMar>
          </w:tcPr>
          <w:p/>
        </w:tc>
        <w:tc>
          <w:tcPr>
            <w:tcW w:w="320" w:type="dxa"/>
            <w:vMerge w:val="continue"/>
            <w:tcMar>
              <w:top w:w="0" w:type="dxa"/>
              <w:left w:w="0" w:type="dxa"/>
              <w:bottom w:w="0" w:type="dxa"/>
              <w:right w:w="0" w:type="dxa"/>
            </w:tcMar>
          </w:tcPr>
          <w:p/>
        </w:tc>
        <w:tc>
          <w:tcPr>
            <w:tcW w:w="680" w:type="dxa"/>
            <w:gridSpan w:val="2"/>
            <w:vMerge w:val="continue"/>
            <w:tcMar>
              <w:top w:w="0" w:type="dxa"/>
              <w:left w:w="0" w:type="dxa"/>
              <w:bottom w:w="0" w:type="dxa"/>
              <w:right w:w="0" w:type="dxa"/>
            </w:tcMar>
          </w:tcPr>
          <w:p/>
        </w:tc>
        <w:tc>
          <w:tcPr>
            <w:tcW w:w="420" w:type="dxa"/>
            <w:gridSpan w:val="2"/>
            <w:vMerge w:val="restart"/>
            <w:tcMar>
              <w:top w:w="0" w:type="dxa"/>
              <w:left w:w="0" w:type="dxa"/>
              <w:bottom w:w="0" w:type="dxa"/>
              <w:right w:w="0" w:type="dxa"/>
            </w:tcMar>
          </w:tcPr>
          <w:p/>
        </w:tc>
        <w:tc>
          <w:tcPr>
            <w:tcW w:w="1060" w:type="dxa"/>
            <w:gridSpan w:val="3"/>
            <w:vMerge w:val="restart"/>
            <w:shd w:val="clear" w:color="auto"/>
            <w:tcMar>
              <w:top w:w="0" w:type="dxa"/>
              <w:left w:w="0" w:type="dxa"/>
              <w:bottom w:w="0" w:type="dxa"/>
              <w:right w:w="0" w:type="dxa"/>
            </w:tcMar>
          </w:tcPr>
          <w:p>
            <w:pPr>
              <w:spacing w:before="280"/>
              <w:ind w:left="360"/>
            </w:pPr>
            <w:r>
              <w:rPr>
                <w:rFonts w:hint="eastAsia" w:ascii="宋体" w:hAnsi="宋体" w:eastAsia="宋体" w:cs="宋体"/>
                <w:w w:val="99"/>
                <w:sz w:val="13"/>
              </w:rPr>
              <w:t>项目范围</w:t>
            </w:r>
          </w:p>
        </w:tc>
        <w:tc>
          <w:tcPr>
            <w:tcW w:w="3920" w:type="dxa"/>
            <w:gridSpan w:val="12"/>
            <w:vMerge w:val="restart"/>
            <w:tcMar>
              <w:top w:w="0" w:type="dxa"/>
              <w:left w:w="0" w:type="dxa"/>
              <w:bottom w:w="0" w:type="dxa"/>
              <w:right w:w="0" w:type="dxa"/>
            </w:tcMar>
          </w:tcPr>
          <w:p>
            <w:pPr>
              <w:spacing w:before="540"/>
              <w:ind w:left="1500"/>
            </w:pPr>
            <w:r>
              <w:rPr>
                <w:rFonts w:hint="eastAsia" w:ascii="宋体" w:hAnsi="宋体" w:eastAsia="宋体" w:cs="宋体"/>
                <w:w w:val="99"/>
                <w:sz w:val="13"/>
              </w:rPr>
              <w:t>NO</w:t>
            </w:r>
          </w:p>
        </w:tc>
        <w:tc>
          <w:tcPr>
            <w:tcW w:w="1000" w:type="dxa"/>
            <w:gridSpan w:val="4"/>
            <w:vMerge w:val="restart"/>
            <w:shd w:val="clear" w:color="auto"/>
            <w:tcMar>
              <w:top w:w="0" w:type="dxa"/>
              <w:left w:w="0" w:type="dxa"/>
              <w:bottom w:w="0" w:type="dxa"/>
              <w:right w:w="0" w:type="dxa"/>
            </w:tcMar>
          </w:tcPr>
          <w:p>
            <w:pPr>
              <w:spacing w:before="360"/>
              <w:ind w:left="220"/>
            </w:pPr>
            <w:r>
              <w:rPr>
                <w:rFonts w:hint="eastAsia" w:ascii="宋体" w:hAnsi="宋体" w:eastAsia="宋体" w:cs="宋体"/>
                <w:w w:val="99"/>
                <w:sz w:val="13"/>
              </w:rPr>
              <w:t>原型确认</w:t>
            </w:r>
          </w:p>
        </w:tc>
        <w:tc>
          <w:tcPr>
            <w:tcW w:w="4960" w:type="dxa"/>
            <w:gridSpan w:val="17"/>
            <w:tcMar>
              <w:top w:w="0" w:type="dxa"/>
              <w:left w:w="0" w:type="dxa"/>
              <w:bottom w:w="0" w:type="dxa"/>
              <w:right w:w="0" w:type="dxa"/>
            </w:tcMar>
          </w:tcPr>
          <w:p/>
        </w:tc>
        <w:tc>
          <w:tcPr>
            <w:tcW w:w="760" w:type="dxa"/>
            <w:gridSpan w:val="2"/>
            <w:vMerge w:val="continue"/>
            <w:tcMar>
              <w:top w:w="0" w:type="dxa"/>
              <w:left w:w="0" w:type="dxa"/>
              <w:bottom w:w="0" w:type="dxa"/>
              <w:right w:w="0" w:type="dxa"/>
            </w:tcMar>
          </w:tcPr>
          <w:p/>
        </w:tc>
        <w:tc>
          <w:tcPr>
            <w:tcW w:w="460" w:type="dxa"/>
            <w:gridSpan w:val="2"/>
            <w:vMerge w:val="continue"/>
            <w:tcMar>
              <w:top w:w="0" w:type="dxa"/>
              <w:left w:w="0" w:type="dxa"/>
              <w:bottom w:w="0" w:type="dxa"/>
              <w:right w:w="0" w:type="dxa"/>
            </w:tcMar>
          </w:tcPr>
          <w:p/>
        </w:tc>
      </w:tr>
      <w:tr>
        <w:trPr>
          <w:trHeight w:val="180" w:hRule="exact"/>
        </w:trPr>
        <w:tc>
          <w:tcPr>
            <w:tcW w:w="340" w:type="dxa"/>
            <w:vMerge w:val="continue"/>
            <w:tcMar>
              <w:top w:w="0" w:type="dxa"/>
              <w:left w:w="0" w:type="dxa"/>
              <w:bottom w:w="0" w:type="dxa"/>
              <w:right w:w="0" w:type="dxa"/>
            </w:tcMar>
          </w:tcPr>
          <w:p/>
        </w:tc>
        <w:tc>
          <w:tcPr>
            <w:tcW w:w="320" w:type="dxa"/>
            <w:vMerge w:val="continue"/>
            <w:tcMar>
              <w:top w:w="0" w:type="dxa"/>
              <w:left w:w="0" w:type="dxa"/>
              <w:bottom w:w="0" w:type="dxa"/>
              <w:right w:w="0" w:type="dxa"/>
            </w:tcMar>
          </w:tcPr>
          <w:p/>
        </w:tc>
        <w:tc>
          <w:tcPr>
            <w:tcW w:w="680" w:type="dxa"/>
            <w:gridSpan w:val="2"/>
            <w:vMerge w:val="continue"/>
            <w:tcMar>
              <w:top w:w="0" w:type="dxa"/>
              <w:left w:w="0" w:type="dxa"/>
              <w:bottom w:w="0" w:type="dxa"/>
              <w:right w:w="0" w:type="dxa"/>
            </w:tcMar>
          </w:tcPr>
          <w:p/>
        </w:tc>
        <w:tc>
          <w:tcPr>
            <w:tcW w:w="420" w:type="dxa"/>
            <w:gridSpan w:val="2"/>
            <w:vMerge w:val="continue"/>
            <w:tcMar>
              <w:top w:w="0" w:type="dxa"/>
              <w:left w:w="0" w:type="dxa"/>
              <w:bottom w:w="0" w:type="dxa"/>
              <w:right w:w="0" w:type="dxa"/>
            </w:tcMar>
          </w:tcPr>
          <w:p/>
        </w:tc>
        <w:tc>
          <w:tcPr>
            <w:tcW w:w="1060" w:type="dxa"/>
            <w:gridSpan w:val="3"/>
            <w:vMerge w:val="continue"/>
            <w:tcMar>
              <w:top w:w="0" w:type="dxa"/>
              <w:left w:w="0" w:type="dxa"/>
              <w:bottom w:w="0" w:type="dxa"/>
              <w:right w:w="0" w:type="dxa"/>
            </w:tcMar>
          </w:tcPr>
          <w:p/>
        </w:tc>
        <w:tc>
          <w:tcPr>
            <w:tcW w:w="3920" w:type="dxa"/>
            <w:gridSpan w:val="12"/>
            <w:vMerge w:val="continue"/>
            <w:tcMar>
              <w:top w:w="0" w:type="dxa"/>
              <w:left w:w="0" w:type="dxa"/>
              <w:bottom w:w="0" w:type="dxa"/>
              <w:right w:w="0" w:type="dxa"/>
            </w:tcMar>
          </w:tcPr>
          <w:p/>
        </w:tc>
        <w:tc>
          <w:tcPr>
            <w:tcW w:w="1000" w:type="dxa"/>
            <w:gridSpan w:val="4"/>
            <w:vMerge w:val="continue"/>
            <w:tcMar>
              <w:top w:w="0" w:type="dxa"/>
              <w:left w:w="0" w:type="dxa"/>
              <w:bottom w:w="0" w:type="dxa"/>
              <w:right w:w="0" w:type="dxa"/>
            </w:tcMar>
          </w:tcPr>
          <w:p/>
        </w:tc>
        <w:tc>
          <w:tcPr>
            <w:tcW w:w="6180" w:type="dxa"/>
            <w:gridSpan w:val="21"/>
            <w:vMerge w:val="restart"/>
            <w:tcMar>
              <w:top w:w="0" w:type="dxa"/>
              <w:left w:w="0" w:type="dxa"/>
              <w:bottom w:w="0" w:type="dxa"/>
              <w:right w:w="0" w:type="dxa"/>
            </w:tcMar>
          </w:tcPr>
          <w:p/>
        </w:tc>
      </w:tr>
      <w:tr>
        <w:trPr>
          <w:trHeight w:val="140" w:hRule="exact"/>
        </w:trPr>
        <w:tc>
          <w:tcPr>
            <w:tcW w:w="340" w:type="dxa"/>
            <w:vMerge w:val="continue"/>
            <w:tcMar>
              <w:top w:w="0" w:type="dxa"/>
              <w:left w:w="0" w:type="dxa"/>
              <w:bottom w:w="0" w:type="dxa"/>
              <w:right w:w="0" w:type="dxa"/>
            </w:tcMar>
          </w:tcPr>
          <w:p/>
        </w:tc>
        <w:tc>
          <w:tcPr>
            <w:tcW w:w="320" w:type="dxa"/>
            <w:vMerge w:val="continue"/>
            <w:tcMar>
              <w:top w:w="0" w:type="dxa"/>
              <w:left w:w="0" w:type="dxa"/>
              <w:bottom w:w="0" w:type="dxa"/>
              <w:right w:w="0" w:type="dxa"/>
            </w:tcMar>
          </w:tcPr>
          <w:p/>
        </w:tc>
        <w:tc>
          <w:tcPr>
            <w:tcW w:w="680" w:type="dxa"/>
            <w:gridSpan w:val="2"/>
            <w:vMerge w:val="continue"/>
            <w:tcMar>
              <w:top w:w="0" w:type="dxa"/>
              <w:left w:w="0" w:type="dxa"/>
              <w:bottom w:w="0" w:type="dxa"/>
              <w:right w:w="0" w:type="dxa"/>
            </w:tcMar>
          </w:tcPr>
          <w:p/>
        </w:tc>
        <w:tc>
          <w:tcPr>
            <w:tcW w:w="420" w:type="dxa"/>
            <w:gridSpan w:val="2"/>
            <w:vMerge w:val="continue"/>
            <w:tcMar>
              <w:top w:w="0" w:type="dxa"/>
              <w:left w:w="0" w:type="dxa"/>
              <w:bottom w:w="0" w:type="dxa"/>
              <w:right w:w="0" w:type="dxa"/>
            </w:tcMar>
          </w:tcPr>
          <w:p/>
        </w:tc>
        <w:tc>
          <w:tcPr>
            <w:tcW w:w="560" w:type="dxa"/>
            <w:shd w:val="clear" w:color="auto"/>
            <w:tcMar>
              <w:top w:w="0" w:type="dxa"/>
              <w:left w:w="0" w:type="dxa"/>
              <w:bottom w:w="0" w:type="dxa"/>
              <w:right w:w="0" w:type="dxa"/>
            </w:tcMar>
          </w:tcPr>
          <w:p>
            <w:pPr>
              <w:spacing w:before="0"/>
              <w:ind w:left="500"/>
            </w:pPr>
            <w:r>
              <w:rPr>
                <w:rFonts w:hint="eastAsia" w:ascii="宋体" w:hAnsi="宋体" w:eastAsia="宋体" w:cs="宋体"/>
                <w:w w:val="99"/>
                <w:sz w:val="13"/>
              </w:rPr>
              <w:t>确</w:t>
            </w:r>
          </w:p>
        </w:tc>
        <w:tc>
          <w:tcPr>
            <w:tcW w:w="500" w:type="dxa"/>
            <w:gridSpan w:val="2"/>
            <w:tcMar>
              <w:top w:w="0" w:type="dxa"/>
              <w:left w:w="0" w:type="dxa"/>
              <w:bottom w:w="0" w:type="dxa"/>
              <w:right w:w="0" w:type="dxa"/>
            </w:tcMar>
          </w:tcPr>
          <w:p>
            <w:pPr>
              <w:spacing w:before="0"/>
            </w:pPr>
            <w:r>
              <w:rPr>
                <w:rFonts w:hint="eastAsia" w:ascii="宋体" w:hAnsi="宋体" w:eastAsia="宋体" w:cs="宋体"/>
                <w:w w:val="99"/>
                <w:sz w:val="13"/>
              </w:rPr>
              <w:t>认</w:t>
            </w:r>
          </w:p>
        </w:tc>
        <w:tc>
          <w:tcPr>
            <w:tcW w:w="3920" w:type="dxa"/>
            <w:gridSpan w:val="12"/>
            <w:vMerge w:val="continue"/>
            <w:tcMar>
              <w:top w:w="0" w:type="dxa"/>
              <w:left w:w="0" w:type="dxa"/>
              <w:bottom w:w="0" w:type="dxa"/>
              <w:right w:w="0" w:type="dxa"/>
            </w:tcMar>
          </w:tcPr>
          <w:p/>
        </w:tc>
        <w:tc>
          <w:tcPr>
            <w:tcW w:w="1000" w:type="dxa"/>
            <w:gridSpan w:val="4"/>
            <w:vMerge w:val="continue"/>
            <w:tcMar>
              <w:top w:w="0" w:type="dxa"/>
              <w:left w:w="0" w:type="dxa"/>
              <w:bottom w:w="0" w:type="dxa"/>
              <w:right w:w="0" w:type="dxa"/>
            </w:tcMar>
          </w:tcPr>
          <w:p/>
        </w:tc>
        <w:tc>
          <w:tcPr>
            <w:tcW w:w="6180" w:type="dxa"/>
            <w:gridSpan w:val="21"/>
            <w:vMerge w:val="continue"/>
            <w:tcMar>
              <w:top w:w="0" w:type="dxa"/>
              <w:left w:w="0" w:type="dxa"/>
              <w:bottom w:w="0" w:type="dxa"/>
              <w:right w:w="0" w:type="dxa"/>
            </w:tcMar>
          </w:tcPr>
          <w:p/>
        </w:tc>
      </w:tr>
      <w:tr>
        <w:trPr>
          <w:trHeight w:val="240" w:hRule="exact"/>
        </w:trPr>
        <w:tc>
          <w:tcPr>
            <w:tcW w:w="340" w:type="dxa"/>
            <w:vMerge w:val="restart"/>
            <w:shd w:val="clear" w:color="auto"/>
            <w:tcMar>
              <w:top w:w="0" w:type="dxa"/>
              <w:left w:w="0" w:type="dxa"/>
              <w:bottom w:w="0" w:type="dxa"/>
              <w:right w:w="0" w:type="dxa"/>
            </w:tcMar>
            <w:textDirection w:val="tbRl"/>
          </w:tcPr>
          <w:p>
            <w:r>
              <w:rPr>
                <w:rFonts w:hint="eastAsia" w:ascii="宋体" w:hAnsi="宋体" w:eastAsia="宋体" w:cs="宋体"/>
                <w:w w:val="99"/>
                <w:sz w:val="12"/>
              </w:rPr>
              <w:t>项目经理</w:t>
            </w:r>
          </w:p>
        </w:tc>
        <w:tc>
          <w:tcPr>
            <w:tcW w:w="320" w:type="dxa"/>
            <w:vMerge w:val="restart"/>
            <w:tcMar>
              <w:top w:w="0" w:type="dxa"/>
              <w:left w:w="0" w:type="dxa"/>
              <w:bottom w:w="0" w:type="dxa"/>
              <w:right w:w="0" w:type="dxa"/>
            </w:tcMar>
          </w:tcPr>
          <w:p/>
        </w:tc>
        <w:tc>
          <w:tcPr>
            <w:tcW w:w="680" w:type="dxa"/>
            <w:gridSpan w:val="2"/>
            <w:vMerge w:val="restart"/>
            <w:tcMar>
              <w:top w:w="0" w:type="dxa"/>
              <w:left w:w="0" w:type="dxa"/>
              <w:bottom w:w="0" w:type="dxa"/>
              <w:right w:w="0" w:type="dxa"/>
            </w:tcMar>
          </w:tcPr>
          <w:p/>
        </w:tc>
        <w:tc>
          <w:tcPr>
            <w:tcW w:w="420" w:type="dxa"/>
            <w:gridSpan w:val="2"/>
            <w:vMerge w:val="restart"/>
            <w:tcMar>
              <w:top w:w="0" w:type="dxa"/>
              <w:left w:w="0" w:type="dxa"/>
              <w:bottom w:w="0" w:type="dxa"/>
              <w:right w:w="0" w:type="dxa"/>
            </w:tcMar>
          </w:tcPr>
          <w:p/>
        </w:tc>
        <w:tc>
          <w:tcPr>
            <w:tcW w:w="560" w:type="dxa"/>
            <w:vMerge w:val="restart"/>
            <w:tcMar>
              <w:top w:w="0" w:type="dxa"/>
              <w:left w:w="0" w:type="dxa"/>
              <w:bottom w:w="0" w:type="dxa"/>
              <w:right w:w="0" w:type="dxa"/>
            </w:tcMar>
          </w:tcPr>
          <w:p/>
        </w:tc>
        <w:tc>
          <w:tcPr>
            <w:tcW w:w="500" w:type="dxa"/>
            <w:gridSpan w:val="2"/>
            <w:tcMar>
              <w:top w:w="0" w:type="dxa"/>
              <w:left w:w="0" w:type="dxa"/>
              <w:bottom w:w="0" w:type="dxa"/>
              <w:right w:w="0" w:type="dxa"/>
            </w:tcMar>
          </w:tcPr>
          <w:p/>
        </w:tc>
        <w:tc>
          <w:tcPr>
            <w:tcW w:w="3920" w:type="dxa"/>
            <w:gridSpan w:val="12"/>
            <w:tcMar>
              <w:top w:w="0" w:type="dxa"/>
              <w:left w:w="0" w:type="dxa"/>
              <w:bottom w:w="0" w:type="dxa"/>
              <w:right w:w="0" w:type="dxa"/>
            </w:tcMar>
          </w:tcPr>
          <w:p/>
        </w:tc>
        <w:tc>
          <w:tcPr>
            <w:tcW w:w="1000" w:type="dxa"/>
            <w:gridSpan w:val="4"/>
            <w:tcMar>
              <w:top w:w="0" w:type="dxa"/>
              <w:left w:w="0" w:type="dxa"/>
              <w:bottom w:w="0" w:type="dxa"/>
              <w:right w:w="0" w:type="dxa"/>
            </w:tcMar>
          </w:tcPr>
          <w:p/>
        </w:tc>
        <w:tc>
          <w:tcPr>
            <w:tcW w:w="6180" w:type="dxa"/>
            <w:gridSpan w:val="21"/>
            <w:tcMar>
              <w:top w:w="0" w:type="dxa"/>
              <w:left w:w="0" w:type="dxa"/>
              <w:bottom w:w="0" w:type="dxa"/>
              <w:right w:w="0" w:type="dxa"/>
            </w:tcMar>
          </w:tcPr>
          <w:p/>
        </w:tc>
      </w:tr>
      <w:tr>
        <w:trPr>
          <w:trHeight w:val="120" w:hRule="exact"/>
        </w:trPr>
        <w:tc>
          <w:tcPr>
            <w:tcW w:w="340" w:type="dxa"/>
            <w:vMerge w:val="continue"/>
            <w:tcMar>
              <w:top w:w="0" w:type="dxa"/>
              <w:left w:w="0" w:type="dxa"/>
              <w:bottom w:w="0" w:type="dxa"/>
              <w:right w:w="0" w:type="dxa"/>
            </w:tcMar>
          </w:tcPr>
          <w:p/>
        </w:tc>
        <w:tc>
          <w:tcPr>
            <w:tcW w:w="320" w:type="dxa"/>
            <w:vMerge w:val="continue"/>
            <w:tcMar>
              <w:top w:w="0" w:type="dxa"/>
              <w:left w:w="0" w:type="dxa"/>
              <w:bottom w:w="0" w:type="dxa"/>
              <w:right w:w="0" w:type="dxa"/>
            </w:tcMar>
          </w:tcPr>
          <w:p/>
        </w:tc>
        <w:tc>
          <w:tcPr>
            <w:tcW w:w="680" w:type="dxa"/>
            <w:gridSpan w:val="2"/>
            <w:vMerge w:val="continue"/>
            <w:tcMar>
              <w:top w:w="0" w:type="dxa"/>
              <w:left w:w="0" w:type="dxa"/>
              <w:bottom w:w="0" w:type="dxa"/>
              <w:right w:w="0" w:type="dxa"/>
            </w:tcMar>
          </w:tcPr>
          <w:p/>
        </w:tc>
        <w:tc>
          <w:tcPr>
            <w:tcW w:w="420" w:type="dxa"/>
            <w:gridSpan w:val="2"/>
            <w:vMerge w:val="continue"/>
            <w:tcMar>
              <w:top w:w="0" w:type="dxa"/>
              <w:left w:w="0" w:type="dxa"/>
              <w:bottom w:w="0" w:type="dxa"/>
              <w:right w:w="0" w:type="dxa"/>
            </w:tcMar>
          </w:tcPr>
          <w:p/>
        </w:tc>
        <w:tc>
          <w:tcPr>
            <w:tcW w:w="560" w:type="dxa"/>
            <w:vMerge w:val="continue"/>
            <w:tcMar>
              <w:top w:w="0" w:type="dxa"/>
              <w:left w:w="0" w:type="dxa"/>
              <w:bottom w:w="0" w:type="dxa"/>
              <w:right w:w="0" w:type="dxa"/>
            </w:tcMar>
          </w:tcPr>
          <w:p/>
        </w:tc>
        <w:tc>
          <w:tcPr>
            <w:tcW w:w="1040" w:type="dxa"/>
            <w:gridSpan w:val="4"/>
            <w:tcMar>
              <w:top w:w="0" w:type="dxa"/>
              <w:left w:w="0" w:type="dxa"/>
              <w:bottom w:w="0" w:type="dxa"/>
              <w:right w:w="0" w:type="dxa"/>
            </w:tcMar>
          </w:tcPr>
          <w:p>
            <w:pPr>
              <w:spacing w:before="0"/>
              <w:ind w:left="600"/>
            </w:pPr>
            <w:r>
              <w:rPr>
                <w:rFonts w:hint="eastAsia" w:ascii="宋体" w:hAnsi="宋体" w:eastAsia="宋体" w:cs="宋体"/>
                <w:w w:val="99"/>
                <w:sz w:val="13"/>
              </w:rPr>
              <w:t>YES</w:t>
            </w:r>
          </w:p>
        </w:tc>
        <w:tc>
          <w:tcPr>
            <w:tcW w:w="740" w:type="dxa"/>
            <w:gridSpan w:val="2"/>
            <w:vMerge w:val="restart"/>
            <w:shd w:val="clear" w:color="auto"/>
            <w:tcMar>
              <w:top w:w="0" w:type="dxa"/>
              <w:left w:w="0" w:type="dxa"/>
              <w:bottom w:w="0" w:type="dxa"/>
              <w:right w:w="0" w:type="dxa"/>
            </w:tcMar>
          </w:tcPr>
          <w:p>
            <w:pPr>
              <w:spacing w:before="80"/>
              <w:ind w:left="120"/>
            </w:pPr>
            <w:r>
              <w:rPr>
                <w:rFonts w:hint="eastAsia" w:ascii="宋体" w:hAnsi="宋体" w:eastAsia="宋体" w:cs="宋体"/>
                <w:w w:val="99"/>
                <w:sz w:val="13"/>
              </w:rPr>
              <w:t>初步项目</w:t>
            </w:r>
          </w:p>
          <w:p>
            <w:pPr>
              <w:spacing w:before="20"/>
              <w:ind w:left="120"/>
            </w:pPr>
            <w:r>
              <w:rPr>
                <w:rFonts w:hint="eastAsia" w:ascii="宋体" w:hAnsi="宋体" w:eastAsia="宋体" w:cs="宋体"/>
                <w:w w:val="99"/>
                <w:sz w:val="13"/>
              </w:rPr>
              <w:t>计划制订</w:t>
            </w:r>
          </w:p>
        </w:tc>
        <w:tc>
          <w:tcPr>
            <w:tcW w:w="9820" w:type="dxa"/>
            <w:gridSpan w:val="33"/>
            <w:tcMar>
              <w:top w:w="0" w:type="dxa"/>
              <w:left w:w="0" w:type="dxa"/>
              <w:bottom w:w="0" w:type="dxa"/>
              <w:right w:w="0" w:type="dxa"/>
            </w:tcMar>
          </w:tcPr>
          <w:p>
            <w:pPr>
              <w:spacing w:before="0"/>
              <w:ind w:left="4500"/>
            </w:pPr>
            <w:r>
              <w:rPr>
                <w:rFonts w:hint="eastAsia" w:ascii="宋体" w:hAnsi="宋体" w:eastAsia="宋体" w:cs="宋体"/>
                <w:w w:val="99"/>
                <w:sz w:val="13"/>
              </w:rPr>
              <w:t>YES</w:t>
            </w:r>
          </w:p>
        </w:tc>
      </w:tr>
      <w:tr>
        <w:trPr>
          <w:trHeight w:val="100" w:hRule="exact"/>
        </w:trPr>
        <w:tc>
          <w:tcPr>
            <w:tcW w:w="340" w:type="dxa"/>
            <w:vMerge w:val="continue"/>
            <w:tcMar>
              <w:top w:w="0" w:type="dxa"/>
              <w:left w:w="0" w:type="dxa"/>
              <w:bottom w:w="0" w:type="dxa"/>
              <w:right w:w="0" w:type="dxa"/>
            </w:tcMar>
          </w:tcPr>
          <w:p/>
        </w:tc>
        <w:tc>
          <w:tcPr>
            <w:tcW w:w="320" w:type="dxa"/>
            <w:vMerge w:val="continue"/>
            <w:tcMar>
              <w:top w:w="0" w:type="dxa"/>
              <w:left w:w="0" w:type="dxa"/>
              <w:bottom w:w="0" w:type="dxa"/>
              <w:right w:w="0" w:type="dxa"/>
            </w:tcMar>
          </w:tcPr>
          <w:p/>
        </w:tc>
        <w:tc>
          <w:tcPr>
            <w:tcW w:w="680" w:type="dxa"/>
            <w:gridSpan w:val="2"/>
            <w:vMerge w:val="continue"/>
            <w:tcMar>
              <w:top w:w="0" w:type="dxa"/>
              <w:left w:w="0" w:type="dxa"/>
              <w:bottom w:w="0" w:type="dxa"/>
              <w:right w:w="0" w:type="dxa"/>
            </w:tcMar>
          </w:tcPr>
          <w:p/>
        </w:tc>
        <w:tc>
          <w:tcPr>
            <w:tcW w:w="420" w:type="dxa"/>
            <w:gridSpan w:val="2"/>
            <w:vMerge w:val="continue"/>
            <w:tcMar>
              <w:top w:w="0" w:type="dxa"/>
              <w:left w:w="0" w:type="dxa"/>
              <w:bottom w:w="0" w:type="dxa"/>
              <w:right w:w="0" w:type="dxa"/>
            </w:tcMar>
          </w:tcPr>
          <w:p/>
        </w:tc>
        <w:tc>
          <w:tcPr>
            <w:tcW w:w="560" w:type="dxa"/>
            <w:vMerge w:val="restart"/>
            <w:tcMar>
              <w:top w:w="0" w:type="dxa"/>
              <w:left w:w="0" w:type="dxa"/>
              <w:bottom w:w="0" w:type="dxa"/>
              <w:right w:w="0" w:type="dxa"/>
            </w:tcMar>
          </w:tcPr>
          <w:p/>
        </w:tc>
        <w:tc>
          <w:tcPr>
            <w:tcW w:w="500" w:type="dxa"/>
            <w:gridSpan w:val="2"/>
            <w:vMerge w:val="restart"/>
            <w:shd w:val="clear" w:color="auto"/>
            <w:tcMar>
              <w:top w:w="0" w:type="dxa"/>
              <w:left w:w="0" w:type="dxa"/>
              <w:bottom w:w="0" w:type="dxa"/>
              <w:right w:w="0" w:type="dxa"/>
            </w:tcMar>
          </w:tcPr>
          <w:p/>
        </w:tc>
        <w:tc>
          <w:tcPr>
            <w:tcW w:w="540" w:type="dxa"/>
            <w:gridSpan w:val="2"/>
            <w:vMerge w:val="restart"/>
            <w:tcMar>
              <w:top w:w="0" w:type="dxa"/>
              <w:left w:w="0" w:type="dxa"/>
              <w:bottom w:w="0" w:type="dxa"/>
              <w:right w:w="0" w:type="dxa"/>
            </w:tcMar>
          </w:tcPr>
          <w:p/>
        </w:tc>
        <w:tc>
          <w:tcPr>
            <w:tcW w:w="740" w:type="dxa"/>
            <w:gridSpan w:val="2"/>
            <w:vMerge w:val="continue"/>
            <w:tcMar>
              <w:top w:w="0" w:type="dxa"/>
              <w:left w:w="0" w:type="dxa"/>
              <w:bottom w:w="0" w:type="dxa"/>
              <w:right w:w="0" w:type="dxa"/>
            </w:tcMar>
          </w:tcPr>
          <w:p/>
        </w:tc>
        <w:tc>
          <w:tcPr>
            <w:tcW w:w="3100" w:type="dxa"/>
            <w:gridSpan w:val="10"/>
            <w:vMerge w:val="restart"/>
            <w:tcMar>
              <w:top w:w="0" w:type="dxa"/>
              <w:left w:w="0" w:type="dxa"/>
              <w:bottom w:w="0" w:type="dxa"/>
              <w:right w:w="0" w:type="dxa"/>
            </w:tcMar>
          </w:tcPr>
          <w:p>
            <w:pPr>
              <w:spacing w:before="120"/>
              <w:ind w:left="1520"/>
            </w:pPr>
            <w:r>
              <w:rPr>
                <w:rFonts w:hint="eastAsia" w:ascii="宋体" w:hAnsi="宋体" w:eastAsia="宋体" w:cs="宋体"/>
                <w:w w:val="99"/>
                <w:sz w:val="13"/>
              </w:rPr>
              <w:t>YES</w:t>
            </w:r>
          </w:p>
        </w:tc>
        <w:tc>
          <w:tcPr>
            <w:tcW w:w="6720" w:type="dxa"/>
            <w:gridSpan w:val="23"/>
            <w:vMerge w:val="restart"/>
            <w:tcMar>
              <w:top w:w="0" w:type="dxa"/>
              <w:left w:w="0" w:type="dxa"/>
              <w:bottom w:w="0" w:type="dxa"/>
              <w:right w:w="0" w:type="dxa"/>
            </w:tcMar>
          </w:tcPr>
          <w:p>
            <w:pPr>
              <w:spacing w:before="360"/>
              <w:ind w:left="600"/>
            </w:pPr>
            <w:r>
              <w:rPr>
                <w:rFonts w:hint="eastAsia" w:ascii="宋体" w:hAnsi="宋体" w:eastAsia="宋体" w:cs="宋体"/>
                <w:w w:val="99"/>
                <w:sz w:val="13"/>
              </w:rPr>
              <w:t>NO</w:t>
            </w:r>
          </w:p>
        </w:tc>
      </w:tr>
      <w:tr>
        <w:trPr>
          <w:trHeight w:val="180" w:hRule="exact"/>
        </w:trPr>
        <w:tc>
          <w:tcPr>
            <w:tcW w:w="340" w:type="dxa"/>
            <w:vMerge w:val="continue"/>
            <w:tcMar>
              <w:top w:w="0" w:type="dxa"/>
              <w:left w:w="0" w:type="dxa"/>
              <w:bottom w:w="0" w:type="dxa"/>
              <w:right w:w="0" w:type="dxa"/>
            </w:tcMar>
          </w:tcPr>
          <w:p/>
        </w:tc>
        <w:tc>
          <w:tcPr>
            <w:tcW w:w="320" w:type="dxa"/>
            <w:vMerge w:val="continue"/>
            <w:tcMar>
              <w:top w:w="0" w:type="dxa"/>
              <w:left w:w="0" w:type="dxa"/>
              <w:bottom w:w="0" w:type="dxa"/>
              <w:right w:w="0" w:type="dxa"/>
            </w:tcMar>
          </w:tcPr>
          <w:p/>
        </w:tc>
        <w:tc>
          <w:tcPr>
            <w:tcW w:w="680" w:type="dxa"/>
            <w:gridSpan w:val="2"/>
            <w:vMerge w:val="continue"/>
            <w:tcMar>
              <w:top w:w="0" w:type="dxa"/>
              <w:left w:w="0" w:type="dxa"/>
              <w:bottom w:w="0" w:type="dxa"/>
              <w:right w:w="0" w:type="dxa"/>
            </w:tcMar>
          </w:tcPr>
          <w:p/>
        </w:tc>
        <w:tc>
          <w:tcPr>
            <w:tcW w:w="420" w:type="dxa"/>
            <w:gridSpan w:val="2"/>
            <w:vMerge w:val="continue"/>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540" w:type="dxa"/>
            <w:gridSpan w:val="2"/>
            <w:vMerge w:val="continue"/>
            <w:tcMar>
              <w:top w:w="0" w:type="dxa"/>
              <w:left w:w="0" w:type="dxa"/>
              <w:bottom w:w="0" w:type="dxa"/>
              <w:right w:w="0" w:type="dxa"/>
            </w:tcMar>
          </w:tcPr>
          <w:p/>
        </w:tc>
        <w:tc>
          <w:tcPr>
            <w:tcW w:w="740" w:type="dxa"/>
            <w:gridSpan w:val="2"/>
            <w:vMerge w:val="continue"/>
            <w:tcMar>
              <w:top w:w="0" w:type="dxa"/>
              <w:left w:w="0" w:type="dxa"/>
              <w:bottom w:w="0" w:type="dxa"/>
              <w:right w:w="0" w:type="dxa"/>
            </w:tcMar>
          </w:tcPr>
          <w:p/>
        </w:tc>
        <w:tc>
          <w:tcPr>
            <w:tcW w:w="3100" w:type="dxa"/>
            <w:gridSpan w:val="10"/>
            <w:vMerge w:val="continue"/>
            <w:tcMar>
              <w:top w:w="0" w:type="dxa"/>
              <w:left w:w="0" w:type="dxa"/>
              <w:bottom w:w="0" w:type="dxa"/>
              <w:right w:w="0" w:type="dxa"/>
            </w:tcMar>
          </w:tcPr>
          <w:p/>
        </w:tc>
        <w:tc>
          <w:tcPr>
            <w:tcW w:w="6720" w:type="dxa"/>
            <w:gridSpan w:val="23"/>
            <w:vMerge w:val="continue"/>
            <w:tcMar>
              <w:top w:w="0" w:type="dxa"/>
              <w:left w:w="0" w:type="dxa"/>
              <w:bottom w:w="0" w:type="dxa"/>
              <w:right w:w="0" w:type="dxa"/>
            </w:tcMar>
          </w:tcPr>
          <w:p/>
        </w:tc>
      </w:tr>
      <w:tr>
        <w:trPr>
          <w:trHeight w:val="100" w:hRule="exact"/>
        </w:trPr>
        <w:tc>
          <w:tcPr>
            <w:tcW w:w="340" w:type="dxa"/>
            <w:vMerge w:val="continue"/>
            <w:tcMar>
              <w:top w:w="0" w:type="dxa"/>
              <w:left w:w="0" w:type="dxa"/>
              <w:bottom w:w="0" w:type="dxa"/>
              <w:right w:w="0" w:type="dxa"/>
            </w:tcMar>
          </w:tcPr>
          <w:p/>
        </w:tc>
        <w:tc>
          <w:tcPr>
            <w:tcW w:w="620" w:type="dxa"/>
            <w:gridSpan w:val="2"/>
            <w:vMerge w:val="restart"/>
            <w:tcMar>
              <w:top w:w="0" w:type="dxa"/>
              <w:left w:w="0" w:type="dxa"/>
              <w:bottom w:w="0" w:type="dxa"/>
              <w:right w:w="0" w:type="dxa"/>
            </w:tcMar>
          </w:tcPr>
          <w:p/>
        </w:tc>
        <w:tc>
          <w:tcPr>
            <w:tcW w:w="800" w:type="dxa"/>
            <w:gridSpan w:val="3"/>
            <w:vMerge w:val="restart"/>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540" w:type="dxa"/>
            <w:gridSpan w:val="2"/>
            <w:vMerge w:val="continue"/>
            <w:tcMar>
              <w:top w:w="0" w:type="dxa"/>
              <w:left w:w="0" w:type="dxa"/>
              <w:bottom w:w="0" w:type="dxa"/>
              <w:right w:w="0" w:type="dxa"/>
            </w:tcMar>
          </w:tcPr>
          <w:p/>
        </w:tc>
        <w:tc>
          <w:tcPr>
            <w:tcW w:w="740" w:type="dxa"/>
            <w:gridSpan w:val="2"/>
            <w:vMerge w:val="continue"/>
            <w:tcMar>
              <w:top w:w="0" w:type="dxa"/>
              <w:left w:w="0" w:type="dxa"/>
              <w:bottom w:w="0" w:type="dxa"/>
              <w:right w:w="0" w:type="dxa"/>
            </w:tcMar>
          </w:tcPr>
          <w:p/>
        </w:tc>
        <w:tc>
          <w:tcPr>
            <w:tcW w:w="3100" w:type="dxa"/>
            <w:gridSpan w:val="10"/>
            <w:vMerge w:val="continue"/>
            <w:tcMar>
              <w:top w:w="0" w:type="dxa"/>
              <w:left w:w="0" w:type="dxa"/>
              <w:bottom w:w="0" w:type="dxa"/>
              <w:right w:w="0" w:type="dxa"/>
            </w:tcMar>
          </w:tcPr>
          <w:p/>
        </w:tc>
        <w:tc>
          <w:tcPr>
            <w:tcW w:w="6720" w:type="dxa"/>
            <w:gridSpan w:val="23"/>
            <w:vMerge w:val="continue"/>
            <w:tcMar>
              <w:top w:w="0" w:type="dxa"/>
              <w:left w:w="0" w:type="dxa"/>
              <w:bottom w:w="0" w:type="dxa"/>
              <w:right w:w="0" w:type="dxa"/>
            </w:tcMar>
          </w:tcPr>
          <w:p/>
        </w:tc>
      </w:tr>
      <w:tr>
        <w:trPr>
          <w:trHeight w:val="400" w:hRule="exact"/>
        </w:trPr>
        <w:tc>
          <w:tcPr>
            <w:tcW w:w="340" w:type="dxa"/>
            <w:vMerge w:val="continue"/>
            <w:tcMar>
              <w:top w:w="0" w:type="dxa"/>
              <w:left w:w="0" w:type="dxa"/>
              <w:bottom w:w="0" w:type="dxa"/>
              <w:right w:w="0" w:type="dxa"/>
            </w:tcMar>
          </w:tcPr>
          <w:p/>
        </w:tc>
        <w:tc>
          <w:tcPr>
            <w:tcW w:w="620" w:type="dxa"/>
            <w:gridSpan w:val="2"/>
            <w:vMerge w:val="continue"/>
            <w:tcMar>
              <w:top w:w="0" w:type="dxa"/>
              <w:left w:w="0" w:type="dxa"/>
              <w:bottom w:w="0" w:type="dxa"/>
              <w:right w:w="0" w:type="dxa"/>
            </w:tcMar>
          </w:tcPr>
          <w:p/>
        </w:tc>
        <w:tc>
          <w:tcPr>
            <w:tcW w:w="800" w:type="dxa"/>
            <w:gridSpan w:val="3"/>
            <w:vMerge w:val="continue"/>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4380" w:type="dxa"/>
            <w:gridSpan w:val="14"/>
            <w:tcMar>
              <w:top w:w="0" w:type="dxa"/>
              <w:left w:w="0" w:type="dxa"/>
              <w:bottom w:w="0" w:type="dxa"/>
              <w:right w:w="0" w:type="dxa"/>
            </w:tcMar>
          </w:tcPr>
          <w:p/>
        </w:tc>
        <w:tc>
          <w:tcPr>
            <w:tcW w:w="6720" w:type="dxa"/>
            <w:gridSpan w:val="23"/>
            <w:vMerge w:val="continue"/>
            <w:tcMar>
              <w:top w:w="0" w:type="dxa"/>
              <w:left w:w="0" w:type="dxa"/>
              <w:bottom w:w="0" w:type="dxa"/>
              <w:right w:w="0" w:type="dxa"/>
            </w:tcMar>
          </w:tcPr>
          <w:p/>
        </w:tc>
      </w:tr>
      <w:tr>
        <w:trPr>
          <w:trHeight w:val="120" w:hRule="exact"/>
        </w:trPr>
        <w:tc>
          <w:tcPr>
            <w:tcW w:w="340" w:type="dxa"/>
            <w:vMerge w:val="restart"/>
            <w:shd w:val="clear" w:color="auto"/>
            <w:tcMar>
              <w:top w:w="0" w:type="dxa"/>
              <w:left w:w="0" w:type="dxa"/>
              <w:bottom w:w="0" w:type="dxa"/>
              <w:right w:w="0" w:type="dxa"/>
            </w:tcMar>
            <w:textDirection w:val="tbRl"/>
          </w:tcPr>
          <w:p>
            <w:r>
              <w:rPr>
                <w:rFonts w:hint="eastAsia" w:ascii="宋体" w:hAnsi="宋体" w:eastAsia="宋体" w:cs="宋体"/>
                <w:w w:val="99"/>
                <w:sz w:val="12"/>
              </w:rPr>
              <w:t>项目组</w:t>
            </w:r>
          </w:p>
        </w:tc>
        <w:tc>
          <w:tcPr>
            <w:tcW w:w="620" w:type="dxa"/>
            <w:gridSpan w:val="2"/>
            <w:vMerge w:val="restart"/>
            <w:tcMar>
              <w:top w:w="0" w:type="dxa"/>
              <w:left w:w="0" w:type="dxa"/>
              <w:bottom w:w="0" w:type="dxa"/>
              <w:right w:w="0" w:type="dxa"/>
            </w:tcMar>
          </w:tcPr>
          <w:p/>
        </w:tc>
        <w:tc>
          <w:tcPr>
            <w:tcW w:w="800" w:type="dxa"/>
            <w:gridSpan w:val="3"/>
            <w:vMerge w:val="restart"/>
            <w:tcMar>
              <w:top w:w="0" w:type="dxa"/>
              <w:left w:w="0" w:type="dxa"/>
              <w:bottom w:w="0" w:type="dxa"/>
              <w:right w:w="0" w:type="dxa"/>
            </w:tcMar>
          </w:tcPr>
          <w:p/>
        </w:tc>
        <w:tc>
          <w:tcPr>
            <w:tcW w:w="560" w:type="dxa"/>
            <w:vMerge w:val="restart"/>
            <w:tcMar>
              <w:top w:w="0" w:type="dxa"/>
              <w:left w:w="0" w:type="dxa"/>
              <w:bottom w:w="0" w:type="dxa"/>
              <w:right w:w="0" w:type="dxa"/>
            </w:tcMar>
          </w:tcPr>
          <w:p/>
        </w:tc>
        <w:tc>
          <w:tcPr>
            <w:tcW w:w="500" w:type="dxa"/>
            <w:gridSpan w:val="2"/>
            <w:vMerge w:val="restart"/>
            <w:tcMar>
              <w:top w:w="0" w:type="dxa"/>
              <w:left w:w="0" w:type="dxa"/>
              <w:bottom w:w="0" w:type="dxa"/>
              <w:right w:w="0" w:type="dxa"/>
            </w:tcMar>
          </w:tcPr>
          <w:p>
            <w:pPr>
              <w:spacing w:before="520"/>
              <w:ind w:left="400"/>
            </w:pPr>
            <w:r>
              <w:rPr>
                <w:rFonts w:hint="eastAsia" w:ascii="宋体" w:hAnsi="宋体" w:eastAsia="宋体" w:cs="宋体"/>
                <w:w w:val="99"/>
                <w:sz w:val="13"/>
              </w:rPr>
              <w:t>N</w:t>
            </w:r>
          </w:p>
        </w:tc>
        <w:tc>
          <w:tcPr>
            <w:tcW w:w="4380" w:type="dxa"/>
            <w:gridSpan w:val="14"/>
            <w:tcMar>
              <w:top w:w="0" w:type="dxa"/>
              <w:left w:w="0" w:type="dxa"/>
              <w:bottom w:w="0" w:type="dxa"/>
              <w:right w:w="0" w:type="dxa"/>
            </w:tcMar>
          </w:tcPr>
          <w:p/>
        </w:tc>
        <w:tc>
          <w:tcPr>
            <w:tcW w:w="6720" w:type="dxa"/>
            <w:gridSpan w:val="23"/>
            <w:tcMar>
              <w:top w:w="0" w:type="dxa"/>
              <w:left w:w="0" w:type="dxa"/>
              <w:bottom w:w="0" w:type="dxa"/>
              <w:right w:w="0" w:type="dxa"/>
            </w:tcMar>
          </w:tcPr>
          <w:p/>
        </w:tc>
      </w:tr>
      <w:tr>
        <w:trPr>
          <w:trHeight w:val="220" w:hRule="exact"/>
        </w:trPr>
        <w:tc>
          <w:tcPr>
            <w:tcW w:w="340" w:type="dxa"/>
            <w:vMerge w:val="continue"/>
            <w:tcMar>
              <w:top w:w="0" w:type="dxa"/>
              <w:left w:w="0" w:type="dxa"/>
              <w:bottom w:w="0" w:type="dxa"/>
              <w:right w:w="0" w:type="dxa"/>
            </w:tcMar>
          </w:tcPr>
          <w:p/>
        </w:tc>
        <w:tc>
          <w:tcPr>
            <w:tcW w:w="620" w:type="dxa"/>
            <w:gridSpan w:val="2"/>
            <w:vMerge w:val="continue"/>
            <w:tcMar>
              <w:top w:w="0" w:type="dxa"/>
              <w:left w:w="0" w:type="dxa"/>
              <w:bottom w:w="0" w:type="dxa"/>
              <w:right w:w="0" w:type="dxa"/>
            </w:tcMar>
          </w:tcPr>
          <w:p/>
        </w:tc>
        <w:tc>
          <w:tcPr>
            <w:tcW w:w="800" w:type="dxa"/>
            <w:gridSpan w:val="3"/>
            <w:vMerge w:val="continue"/>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3920" w:type="dxa"/>
            <w:gridSpan w:val="12"/>
            <w:vMerge w:val="restart"/>
            <w:tcMar>
              <w:top w:w="0" w:type="dxa"/>
              <w:left w:w="0" w:type="dxa"/>
              <w:bottom w:w="0" w:type="dxa"/>
              <w:right w:w="0" w:type="dxa"/>
            </w:tcMar>
          </w:tcPr>
          <w:p>
            <w:pPr>
              <w:spacing w:before="400"/>
            </w:pPr>
            <w:r>
              <w:rPr>
                <w:rFonts w:hint="eastAsia" w:ascii="宋体" w:hAnsi="宋体" w:eastAsia="宋体" w:cs="宋体"/>
                <w:w w:val="99"/>
                <w:sz w:val="13"/>
              </w:rPr>
              <w:t>O</w:t>
            </w:r>
          </w:p>
        </w:tc>
        <w:tc>
          <w:tcPr>
            <w:tcW w:w="800" w:type="dxa"/>
            <w:gridSpan w:val="3"/>
            <w:vMerge w:val="restart"/>
            <w:shd w:val="clear" w:color="auto"/>
            <w:tcMar>
              <w:top w:w="0" w:type="dxa"/>
              <w:left w:w="0" w:type="dxa"/>
              <w:bottom w:w="0" w:type="dxa"/>
              <w:right w:w="0" w:type="dxa"/>
            </w:tcMar>
          </w:tcPr>
          <w:p>
            <w:pPr>
              <w:spacing w:before="80"/>
              <w:ind w:left="200"/>
            </w:pPr>
            <w:r>
              <w:rPr>
                <w:rFonts w:hint="eastAsia" w:ascii="宋体" w:hAnsi="宋体" w:eastAsia="宋体" w:cs="宋体"/>
                <w:w w:val="99"/>
                <w:sz w:val="13"/>
              </w:rPr>
              <w:t>软件系统</w:t>
            </w:r>
          </w:p>
          <w:p>
            <w:pPr>
              <w:spacing w:before="20"/>
              <w:ind w:left="340"/>
            </w:pPr>
            <w:r>
              <w:rPr>
                <w:rFonts w:hint="eastAsia" w:ascii="宋体" w:hAnsi="宋体" w:eastAsia="宋体" w:cs="宋体"/>
                <w:w w:val="99"/>
                <w:sz w:val="13"/>
              </w:rPr>
              <w:t>原型</w:t>
            </w:r>
          </w:p>
        </w:tc>
        <w:tc>
          <w:tcPr>
            <w:tcW w:w="6380" w:type="dxa"/>
            <w:gridSpan w:val="22"/>
            <w:vMerge w:val="restart"/>
            <w:tcMar>
              <w:top w:w="0" w:type="dxa"/>
              <w:left w:w="0" w:type="dxa"/>
              <w:bottom w:w="0" w:type="dxa"/>
              <w:right w:w="0" w:type="dxa"/>
            </w:tcMar>
          </w:tcPr>
          <w:p/>
        </w:tc>
      </w:tr>
      <w:tr>
        <w:trPr>
          <w:trHeight w:val="160" w:hRule="exact"/>
        </w:trPr>
        <w:tc>
          <w:tcPr>
            <w:tcW w:w="340" w:type="dxa"/>
            <w:vMerge w:val="continue"/>
            <w:tcMar>
              <w:top w:w="0" w:type="dxa"/>
              <w:left w:w="0" w:type="dxa"/>
              <w:bottom w:w="0" w:type="dxa"/>
              <w:right w:w="0" w:type="dxa"/>
            </w:tcMar>
          </w:tcPr>
          <w:p/>
        </w:tc>
        <w:tc>
          <w:tcPr>
            <w:tcW w:w="620" w:type="dxa"/>
            <w:gridSpan w:val="2"/>
            <w:vMerge w:val="continue"/>
            <w:tcMar>
              <w:top w:w="0" w:type="dxa"/>
              <w:left w:w="0" w:type="dxa"/>
              <w:bottom w:w="0" w:type="dxa"/>
              <w:right w:w="0" w:type="dxa"/>
            </w:tcMar>
          </w:tcPr>
          <w:p/>
        </w:tc>
        <w:tc>
          <w:tcPr>
            <w:tcW w:w="800" w:type="dxa"/>
            <w:gridSpan w:val="3"/>
            <w:vMerge w:val="continue"/>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3920" w:type="dxa"/>
            <w:gridSpan w:val="12"/>
            <w:vMerge w:val="continue"/>
            <w:tcMar>
              <w:top w:w="0" w:type="dxa"/>
              <w:left w:w="0" w:type="dxa"/>
              <w:bottom w:w="0" w:type="dxa"/>
              <w:right w:w="0" w:type="dxa"/>
            </w:tcMar>
          </w:tcPr>
          <w:p/>
        </w:tc>
        <w:tc>
          <w:tcPr>
            <w:tcW w:w="800" w:type="dxa"/>
            <w:gridSpan w:val="3"/>
            <w:vMerge w:val="continue"/>
            <w:tcMar>
              <w:top w:w="0" w:type="dxa"/>
              <w:left w:w="0" w:type="dxa"/>
              <w:bottom w:w="0" w:type="dxa"/>
              <w:right w:w="0" w:type="dxa"/>
            </w:tcMar>
          </w:tcPr>
          <w:p/>
        </w:tc>
        <w:tc>
          <w:tcPr>
            <w:tcW w:w="6380" w:type="dxa"/>
            <w:gridSpan w:val="22"/>
            <w:vMerge w:val="continue"/>
            <w:tcMar>
              <w:top w:w="0" w:type="dxa"/>
              <w:left w:w="0" w:type="dxa"/>
              <w:bottom w:w="0" w:type="dxa"/>
              <w:right w:w="0" w:type="dxa"/>
            </w:tcMar>
          </w:tcPr>
          <w:p/>
        </w:tc>
      </w:tr>
      <w:tr>
        <w:trPr>
          <w:trHeight w:val="120" w:hRule="exact"/>
        </w:trPr>
        <w:tc>
          <w:tcPr>
            <w:tcW w:w="340" w:type="dxa"/>
            <w:vMerge w:val="continue"/>
            <w:tcMar>
              <w:top w:w="0" w:type="dxa"/>
              <w:left w:w="0" w:type="dxa"/>
              <w:bottom w:w="0" w:type="dxa"/>
              <w:right w:w="0" w:type="dxa"/>
            </w:tcMar>
          </w:tcPr>
          <w:p/>
        </w:tc>
        <w:tc>
          <w:tcPr>
            <w:tcW w:w="1420" w:type="dxa"/>
            <w:gridSpan w:val="5"/>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3920" w:type="dxa"/>
            <w:gridSpan w:val="12"/>
            <w:vMerge w:val="continue"/>
            <w:tcMar>
              <w:top w:w="0" w:type="dxa"/>
              <w:left w:w="0" w:type="dxa"/>
              <w:bottom w:w="0" w:type="dxa"/>
              <w:right w:w="0" w:type="dxa"/>
            </w:tcMar>
          </w:tcPr>
          <w:p/>
        </w:tc>
        <w:tc>
          <w:tcPr>
            <w:tcW w:w="800" w:type="dxa"/>
            <w:gridSpan w:val="3"/>
            <w:vMerge w:val="continue"/>
            <w:tcMar>
              <w:top w:w="0" w:type="dxa"/>
              <w:left w:w="0" w:type="dxa"/>
              <w:bottom w:w="0" w:type="dxa"/>
              <w:right w:w="0" w:type="dxa"/>
            </w:tcMar>
          </w:tcPr>
          <w:p/>
        </w:tc>
        <w:tc>
          <w:tcPr>
            <w:tcW w:w="6380" w:type="dxa"/>
            <w:gridSpan w:val="22"/>
            <w:vMerge w:val="continue"/>
            <w:tcMar>
              <w:top w:w="0" w:type="dxa"/>
              <w:left w:w="0" w:type="dxa"/>
              <w:bottom w:w="0" w:type="dxa"/>
              <w:right w:w="0" w:type="dxa"/>
            </w:tcMar>
          </w:tcPr>
          <w:p/>
        </w:tc>
      </w:tr>
      <w:tr>
        <w:trPr>
          <w:trHeight w:val="220" w:hRule="exact"/>
        </w:trPr>
        <w:tc>
          <w:tcPr>
            <w:tcW w:w="340" w:type="dxa"/>
            <w:vMerge w:val="continue"/>
            <w:tcMar>
              <w:top w:w="0" w:type="dxa"/>
              <w:left w:w="0" w:type="dxa"/>
              <w:bottom w:w="0" w:type="dxa"/>
              <w:right w:w="0" w:type="dxa"/>
            </w:tcMar>
          </w:tcPr>
          <w:p/>
        </w:tc>
        <w:tc>
          <w:tcPr>
            <w:tcW w:w="320" w:type="dxa"/>
            <w:vMerge w:val="restart"/>
            <w:tcMar>
              <w:top w:w="0" w:type="dxa"/>
              <w:left w:w="0" w:type="dxa"/>
              <w:bottom w:w="0" w:type="dxa"/>
              <w:right w:w="0" w:type="dxa"/>
            </w:tcMar>
          </w:tcPr>
          <w:p/>
        </w:tc>
        <w:tc>
          <w:tcPr>
            <w:tcW w:w="680" w:type="dxa"/>
            <w:gridSpan w:val="2"/>
            <w:vMerge w:val="restart"/>
            <w:shd w:val="clear" w:color="auto"/>
            <w:tcMar>
              <w:top w:w="0" w:type="dxa"/>
              <w:left w:w="0" w:type="dxa"/>
              <w:bottom w:w="0" w:type="dxa"/>
              <w:right w:w="0" w:type="dxa"/>
            </w:tcMar>
          </w:tcPr>
          <w:p>
            <w:pPr>
              <w:spacing w:before="40"/>
            </w:pPr>
            <w:r>
              <w:rPr>
                <w:rFonts w:hint="eastAsia" w:ascii="宋体" w:hAnsi="宋体" w:eastAsia="宋体" w:cs="宋体"/>
                <w:w w:val="99"/>
                <w:sz w:val="13"/>
              </w:rPr>
              <w:t>开发环境</w:t>
            </w:r>
          </w:p>
          <w:p>
            <w:pPr>
              <w:spacing w:before="20"/>
              <w:ind w:left="180"/>
            </w:pPr>
            <w:r>
              <w:rPr>
                <w:rFonts w:hint="eastAsia" w:ascii="宋体" w:hAnsi="宋体" w:eastAsia="宋体" w:cs="宋体"/>
                <w:w w:val="99"/>
                <w:sz w:val="13"/>
              </w:rPr>
              <w:t>部署</w:t>
            </w:r>
          </w:p>
        </w:tc>
        <w:tc>
          <w:tcPr>
            <w:tcW w:w="420" w:type="dxa"/>
            <w:gridSpan w:val="2"/>
            <w:vMerge w:val="restart"/>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6620" w:type="dxa"/>
            <w:gridSpan w:val="23"/>
            <w:tcMar>
              <w:top w:w="0" w:type="dxa"/>
              <w:left w:w="0" w:type="dxa"/>
              <w:bottom w:w="0" w:type="dxa"/>
              <w:right w:w="0" w:type="dxa"/>
            </w:tcMar>
          </w:tcPr>
          <w:p/>
        </w:tc>
        <w:tc>
          <w:tcPr>
            <w:tcW w:w="780" w:type="dxa"/>
            <w:gridSpan w:val="2"/>
            <w:vMerge w:val="restart"/>
            <w:shd w:val="clear" w:color="auto"/>
            <w:tcMar>
              <w:top w:w="0" w:type="dxa"/>
              <w:left w:w="0" w:type="dxa"/>
              <w:bottom w:w="0" w:type="dxa"/>
              <w:right w:w="0" w:type="dxa"/>
            </w:tcMar>
          </w:tcPr>
          <w:p>
            <w:pPr>
              <w:spacing w:before="80"/>
              <w:ind w:left="140"/>
            </w:pPr>
            <w:r>
              <w:rPr>
                <w:rFonts w:hint="eastAsia" w:ascii="宋体" w:hAnsi="宋体" w:eastAsia="宋体" w:cs="宋体"/>
                <w:w w:val="99"/>
                <w:sz w:val="13"/>
              </w:rPr>
              <w:t>系统建模</w:t>
            </w:r>
          </w:p>
        </w:tc>
        <w:tc>
          <w:tcPr>
            <w:tcW w:w="480" w:type="dxa"/>
            <w:gridSpan w:val="2"/>
            <w:vMerge w:val="restart"/>
            <w:tcMar>
              <w:top w:w="0" w:type="dxa"/>
              <w:left w:w="0" w:type="dxa"/>
              <w:bottom w:w="0" w:type="dxa"/>
              <w:right w:w="0" w:type="dxa"/>
            </w:tcMar>
          </w:tcPr>
          <w:p/>
        </w:tc>
        <w:tc>
          <w:tcPr>
            <w:tcW w:w="700" w:type="dxa"/>
            <w:gridSpan w:val="2"/>
            <w:vMerge w:val="restart"/>
            <w:shd w:val="clear" w:color="auto"/>
            <w:tcMar>
              <w:top w:w="0" w:type="dxa"/>
              <w:left w:w="0" w:type="dxa"/>
              <w:bottom w:w="0" w:type="dxa"/>
              <w:right w:w="0" w:type="dxa"/>
            </w:tcMar>
          </w:tcPr>
          <w:p>
            <w:pPr>
              <w:spacing w:before="100"/>
              <w:ind w:left="140"/>
            </w:pPr>
            <w:r>
              <w:rPr>
                <w:rFonts w:hint="eastAsia" w:ascii="宋体" w:hAnsi="宋体" w:eastAsia="宋体" w:cs="宋体"/>
                <w:w w:val="99"/>
                <w:sz w:val="13"/>
              </w:rPr>
              <w:t>试运行</w:t>
            </w:r>
          </w:p>
        </w:tc>
        <w:tc>
          <w:tcPr>
            <w:tcW w:w="180" w:type="dxa"/>
            <w:tcMar>
              <w:top w:w="0" w:type="dxa"/>
              <w:left w:w="0" w:type="dxa"/>
              <w:bottom w:w="0" w:type="dxa"/>
              <w:right w:w="0" w:type="dxa"/>
            </w:tcMar>
          </w:tcPr>
          <w:p/>
        </w:tc>
        <w:tc>
          <w:tcPr>
            <w:tcW w:w="700" w:type="dxa"/>
            <w:vMerge w:val="restart"/>
            <w:shd w:val="clear" w:color="auto"/>
            <w:tcMar>
              <w:top w:w="0" w:type="dxa"/>
              <w:left w:w="0" w:type="dxa"/>
              <w:bottom w:w="0" w:type="dxa"/>
              <w:right w:w="0" w:type="dxa"/>
            </w:tcMar>
          </w:tcPr>
          <w:p>
            <w:pPr>
              <w:spacing w:before="100"/>
              <w:ind w:left="200"/>
            </w:pPr>
            <w:r>
              <w:rPr>
                <w:rFonts w:hint="eastAsia" w:ascii="宋体" w:hAnsi="宋体" w:eastAsia="宋体" w:cs="宋体"/>
                <w:w w:val="99"/>
                <w:sz w:val="13"/>
              </w:rPr>
              <w:t>培训</w:t>
            </w:r>
          </w:p>
        </w:tc>
        <w:tc>
          <w:tcPr>
            <w:tcW w:w="1640" w:type="dxa"/>
            <w:gridSpan w:val="6"/>
            <w:vMerge w:val="restart"/>
            <w:tcMar>
              <w:top w:w="0" w:type="dxa"/>
              <w:left w:w="0" w:type="dxa"/>
              <w:bottom w:w="0" w:type="dxa"/>
              <w:right w:w="0" w:type="dxa"/>
            </w:tcMar>
          </w:tcPr>
          <w:p/>
        </w:tc>
      </w:tr>
      <w:tr>
        <w:trPr>
          <w:trHeight w:val="240" w:hRule="exact"/>
        </w:trPr>
        <w:tc>
          <w:tcPr>
            <w:tcW w:w="340" w:type="dxa"/>
            <w:vMerge w:val="continue"/>
            <w:tcMar>
              <w:top w:w="0" w:type="dxa"/>
              <w:left w:w="0" w:type="dxa"/>
              <w:bottom w:w="0" w:type="dxa"/>
              <w:right w:w="0" w:type="dxa"/>
            </w:tcMar>
          </w:tcPr>
          <w:p/>
        </w:tc>
        <w:tc>
          <w:tcPr>
            <w:tcW w:w="320" w:type="dxa"/>
            <w:vMerge w:val="continue"/>
            <w:tcMar>
              <w:top w:w="0" w:type="dxa"/>
              <w:left w:w="0" w:type="dxa"/>
              <w:bottom w:w="0" w:type="dxa"/>
              <w:right w:w="0" w:type="dxa"/>
            </w:tcMar>
          </w:tcPr>
          <w:p/>
        </w:tc>
        <w:tc>
          <w:tcPr>
            <w:tcW w:w="680" w:type="dxa"/>
            <w:gridSpan w:val="2"/>
            <w:vMerge w:val="continue"/>
            <w:tcMar>
              <w:top w:w="0" w:type="dxa"/>
              <w:left w:w="0" w:type="dxa"/>
              <w:bottom w:w="0" w:type="dxa"/>
              <w:right w:w="0" w:type="dxa"/>
            </w:tcMar>
          </w:tcPr>
          <w:p/>
        </w:tc>
        <w:tc>
          <w:tcPr>
            <w:tcW w:w="420" w:type="dxa"/>
            <w:gridSpan w:val="2"/>
            <w:vMerge w:val="continue"/>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3740" w:type="dxa"/>
            <w:gridSpan w:val="11"/>
            <w:vMerge w:val="restart"/>
            <w:tcMar>
              <w:top w:w="0" w:type="dxa"/>
              <w:left w:w="0" w:type="dxa"/>
              <w:bottom w:w="0" w:type="dxa"/>
              <w:right w:w="0" w:type="dxa"/>
            </w:tcMar>
          </w:tcPr>
          <w:p/>
        </w:tc>
        <w:tc>
          <w:tcPr>
            <w:tcW w:w="540" w:type="dxa"/>
            <w:gridSpan w:val="2"/>
            <w:vMerge w:val="restart"/>
            <w:shd w:val="clear" w:color="auto"/>
            <w:tcMar>
              <w:top w:w="0" w:type="dxa"/>
              <w:left w:w="0" w:type="dxa"/>
              <w:bottom w:w="0" w:type="dxa"/>
              <w:right w:w="0" w:type="dxa"/>
            </w:tcMar>
          </w:tcPr>
          <w:p>
            <w:pPr>
              <w:spacing w:before="100"/>
            </w:pPr>
            <w:r>
              <w:rPr>
                <w:rFonts w:hint="eastAsia" w:ascii="宋体" w:hAnsi="宋体" w:eastAsia="宋体" w:cs="宋体"/>
                <w:w w:val="99"/>
                <w:sz w:val="13"/>
              </w:rPr>
              <w:t>个性化</w:t>
            </w:r>
          </w:p>
          <w:p>
            <w:pPr>
              <w:spacing w:before="40"/>
              <w:ind w:left="120"/>
            </w:pPr>
            <w:r>
              <w:rPr>
                <w:rFonts w:hint="eastAsia" w:ascii="宋体" w:hAnsi="宋体" w:eastAsia="宋体" w:cs="宋体"/>
                <w:w w:val="99"/>
                <w:sz w:val="13"/>
              </w:rPr>
              <w:t>需求</w:t>
            </w:r>
          </w:p>
        </w:tc>
        <w:tc>
          <w:tcPr>
            <w:tcW w:w="100" w:type="dxa"/>
            <w:vMerge w:val="restart"/>
            <w:tcMar>
              <w:top w:w="0" w:type="dxa"/>
              <w:left w:w="0" w:type="dxa"/>
              <w:bottom w:w="0" w:type="dxa"/>
              <w:right w:w="0" w:type="dxa"/>
            </w:tcMar>
          </w:tcPr>
          <w:p/>
        </w:tc>
        <w:tc>
          <w:tcPr>
            <w:tcW w:w="660" w:type="dxa"/>
            <w:gridSpan w:val="3"/>
            <w:vMerge w:val="restart"/>
            <w:shd w:val="clear" w:color="auto"/>
            <w:tcMar>
              <w:top w:w="0" w:type="dxa"/>
              <w:left w:w="0" w:type="dxa"/>
              <w:bottom w:w="0" w:type="dxa"/>
              <w:right w:w="0" w:type="dxa"/>
            </w:tcMar>
          </w:tcPr>
          <w:p>
            <w:pPr>
              <w:spacing w:before="100"/>
              <w:ind w:left="160"/>
            </w:pPr>
            <w:r>
              <w:rPr>
                <w:rFonts w:hint="eastAsia" w:ascii="宋体" w:hAnsi="宋体" w:eastAsia="宋体" w:cs="宋体"/>
                <w:w w:val="99"/>
                <w:sz w:val="13"/>
              </w:rPr>
              <w:t>产品化</w:t>
            </w:r>
          </w:p>
          <w:p>
            <w:pPr>
              <w:spacing w:before="40"/>
              <w:ind w:left="240"/>
            </w:pPr>
            <w:r>
              <w:rPr>
                <w:rFonts w:hint="eastAsia" w:ascii="宋体" w:hAnsi="宋体" w:eastAsia="宋体" w:cs="宋体"/>
                <w:w w:val="99"/>
                <w:sz w:val="13"/>
              </w:rPr>
              <w:t>需求</w:t>
            </w:r>
          </w:p>
        </w:tc>
        <w:tc>
          <w:tcPr>
            <w:tcW w:w="1580" w:type="dxa"/>
            <w:gridSpan w:val="6"/>
            <w:tcMar>
              <w:top w:w="0" w:type="dxa"/>
              <w:left w:w="0" w:type="dxa"/>
              <w:bottom w:w="0" w:type="dxa"/>
              <w:right w:w="0" w:type="dxa"/>
            </w:tcMar>
          </w:tcPr>
          <w:p/>
        </w:tc>
        <w:tc>
          <w:tcPr>
            <w:tcW w:w="780" w:type="dxa"/>
            <w:gridSpan w:val="2"/>
            <w:vMerge w:val="continue"/>
            <w:tcMar>
              <w:top w:w="0" w:type="dxa"/>
              <w:left w:w="0" w:type="dxa"/>
              <w:bottom w:w="0" w:type="dxa"/>
              <w:right w:w="0" w:type="dxa"/>
            </w:tcMar>
          </w:tcPr>
          <w:p/>
        </w:tc>
        <w:tc>
          <w:tcPr>
            <w:tcW w:w="480" w:type="dxa"/>
            <w:gridSpan w:val="2"/>
            <w:vMerge w:val="continue"/>
            <w:tcMar>
              <w:top w:w="0" w:type="dxa"/>
              <w:left w:w="0" w:type="dxa"/>
              <w:bottom w:w="0" w:type="dxa"/>
              <w:right w:w="0" w:type="dxa"/>
            </w:tcMar>
          </w:tcPr>
          <w:p/>
        </w:tc>
        <w:tc>
          <w:tcPr>
            <w:tcW w:w="700" w:type="dxa"/>
            <w:gridSpan w:val="2"/>
            <w:vMerge w:val="continue"/>
            <w:tcMar>
              <w:top w:w="0" w:type="dxa"/>
              <w:left w:w="0" w:type="dxa"/>
              <w:bottom w:w="0" w:type="dxa"/>
              <w:right w:w="0" w:type="dxa"/>
            </w:tcMar>
          </w:tcPr>
          <w:p/>
        </w:tc>
        <w:tc>
          <w:tcPr>
            <w:tcW w:w="180" w:type="dxa"/>
            <w:tcMar>
              <w:top w:w="0" w:type="dxa"/>
              <w:left w:w="0" w:type="dxa"/>
              <w:bottom w:w="0" w:type="dxa"/>
              <w:right w:w="0" w:type="dxa"/>
            </w:tcMar>
          </w:tcPr>
          <w:p/>
        </w:tc>
        <w:tc>
          <w:tcPr>
            <w:tcW w:w="700" w:type="dxa"/>
            <w:vMerge w:val="continue"/>
            <w:tcMar>
              <w:top w:w="0" w:type="dxa"/>
              <w:left w:w="0" w:type="dxa"/>
              <w:bottom w:w="0" w:type="dxa"/>
              <w:right w:w="0" w:type="dxa"/>
            </w:tcMar>
          </w:tcPr>
          <w:p/>
        </w:tc>
        <w:tc>
          <w:tcPr>
            <w:tcW w:w="1640" w:type="dxa"/>
            <w:gridSpan w:val="6"/>
            <w:vMerge w:val="continue"/>
            <w:tcMar>
              <w:top w:w="0" w:type="dxa"/>
              <w:left w:w="0" w:type="dxa"/>
              <w:bottom w:w="0" w:type="dxa"/>
              <w:right w:w="0" w:type="dxa"/>
            </w:tcMar>
          </w:tcPr>
          <w:p/>
        </w:tc>
      </w:tr>
      <w:tr>
        <w:trPr>
          <w:trHeight w:val="300" w:hRule="exact"/>
        </w:trPr>
        <w:tc>
          <w:tcPr>
            <w:tcW w:w="340" w:type="dxa"/>
            <w:vMerge w:val="continue"/>
            <w:tcMar>
              <w:top w:w="0" w:type="dxa"/>
              <w:left w:w="0" w:type="dxa"/>
              <w:bottom w:w="0" w:type="dxa"/>
              <w:right w:w="0" w:type="dxa"/>
            </w:tcMar>
          </w:tcPr>
          <w:p/>
        </w:tc>
        <w:tc>
          <w:tcPr>
            <w:tcW w:w="1420" w:type="dxa"/>
            <w:gridSpan w:val="5"/>
            <w:vMerge w:val="restart"/>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3740" w:type="dxa"/>
            <w:gridSpan w:val="11"/>
            <w:vMerge w:val="continue"/>
            <w:tcMar>
              <w:top w:w="0" w:type="dxa"/>
              <w:left w:w="0" w:type="dxa"/>
              <w:bottom w:w="0" w:type="dxa"/>
              <w:right w:w="0" w:type="dxa"/>
            </w:tcMar>
          </w:tcPr>
          <w:p/>
        </w:tc>
        <w:tc>
          <w:tcPr>
            <w:tcW w:w="540" w:type="dxa"/>
            <w:gridSpan w:val="2"/>
            <w:vMerge w:val="continue"/>
            <w:tcMar>
              <w:top w:w="0" w:type="dxa"/>
              <w:left w:w="0" w:type="dxa"/>
              <w:bottom w:w="0" w:type="dxa"/>
              <w:right w:w="0" w:type="dxa"/>
            </w:tcMar>
          </w:tcPr>
          <w:p/>
        </w:tc>
        <w:tc>
          <w:tcPr>
            <w:tcW w:w="100" w:type="dxa"/>
            <w:vMerge w:val="continue"/>
            <w:tcMar>
              <w:top w:w="0" w:type="dxa"/>
              <w:left w:w="0" w:type="dxa"/>
              <w:bottom w:w="0" w:type="dxa"/>
              <w:right w:w="0" w:type="dxa"/>
            </w:tcMar>
          </w:tcPr>
          <w:p/>
        </w:tc>
        <w:tc>
          <w:tcPr>
            <w:tcW w:w="660" w:type="dxa"/>
            <w:gridSpan w:val="3"/>
            <w:vMerge w:val="continue"/>
            <w:tcMar>
              <w:top w:w="0" w:type="dxa"/>
              <w:left w:w="0" w:type="dxa"/>
              <w:bottom w:w="0" w:type="dxa"/>
              <w:right w:w="0" w:type="dxa"/>
            </w:tcMar>
          </w:tcPr>
          <w:p/>
        </w:tc>
        <w:tc>
          <w:tcPr>
            <w:tcW w:w="1960" w:type="dxa"/>
            <w:gridSpan w:val="7"/>
            <w:tcMar>
              <w:top w:w="0" w:type="dxa"/>
              <w:left w:w="0" w:type="dxa"/>
              <w:bottom w:w="0" w:type="dxa"/>
              <w:right w:w="0" w:type="dxa"/>
            </w:tcMar>
          </w:tcPr>
          <w:p/>
        </w:tc>
        <w:tc>
          <w:tcPr>
            <w:tcW w:w="4100" w:type="dxa"/>
            <w:gridSpan w:val="13"/>
            <w:vMerge w:val="restart"/>
            <w:tcMar>
              <w:top w:w="0" w:type="dxa"/>
              <w:left w:w="0" w:type="dxa"/>
              <w:bottom w:w="0" w:type="dxa"/>
              <w:right w:w="0" w:type="dxa"/>
            </w:tcMar>
          </w:tcPr>
          <w:p/>
        </w:tc>
      </w:tr>
      <w:tr>
        <w:trPr>
          <w:trHeight w:val="260" w:hRule="exact"/>
        </w:trPr>
        <w:tc>
          <w:tcPr>
            <w:tcW w:w="340" w:type="dxa"/>
            <w:vMerge w:val="continue"/>
            <w:tcMar>
              <w:top w:w="0" w:type="dxa"/>
              <w:left w:w="0" w:type="dxa"/>
              <w:bottom w:w="0" w:type="dxa"/>
              <w:right w:w="0" w:type="dxa"/>
            </w:tcMar>
          </w:tcPr>
          <w:p/>
        </w:tc>
        <w:tc>
          <w:tcPr>
            <w:tcW w:w="1420" w:type="dxa"/>
            <w:gridSpan w:val="5"/>
            <w:vMerge w:val="continue"/>
            <w:tcMar>
              <w:top w:w="0" w:type="dxa"/>
              <w:left w:w="0" w:type="dxa"/>
              <w:bottom w:w="0" w:type="dxa"/>
              <w:right w:w="0" w:type="dxa"/>
            </w:tcMar>
          </w:tcPr>
          <w:p/>
        </w:tc>
        <w:tc>
          <w:tcPr>
            <w:tcW w:w="560" w:type="dxa"/>
            <w:vMerge w:val="continue"/>
            <w:tcMar>
              <w:top w:w="0" w:type="dxa"/>
              <w:left w:w="0" w:type="dxa"/>
              <w:bottom w:w="0" w:type="dxa"/>
              <w:right w:w="0" w:type="dxa"/>
            </w:tcMar>
          </w:tcPr>
          <w:p/>
        </w:tc>
        <w:tc>
          <w:tcPr>
            <w:tcW w:w="500" w:type="dxa"/>
            <w:gridSpan w:val="2"/>
            <w:vMerge w:val="continue"/>
            <w:tcMar>
              <w:top w:w="0" w:type="dxa"/>
              <w:left w:w="0" w:type="dxa"/>
              <w:bottom w:w="0" w:type="dxa"/>
              <w:right w:w="0" w:type="dxa"/>
            </w:tcMar>
          </w:tcPr>
          <w:p/>
        </w:tc>
        <w:tc>
          <w:tcPr>
            <w:tcW w:w="7000" w:type="dxa"/>
            <w:gridSpan w:val="24"/>
            <w:tcMar>
              <w:top w:w="0" w:type="dxa"/>
              <w:left w:w="0" w:type="dxa"/>
              <w:bottom w:w="0" w:type="dxa"/>
              <w:right w:w="0" w:type="dxa"/>
            </w:tcMar>
          </w:tcPr>
          <w:p/>
        </w:tc>
        <w:tc>
          <w:tcPr>
            <w:tcW w:w="4100" w:type="dxa"/>
            <w:gridSpan w:val="13"/>
            <w:vMerge w:val="continue"/>
            <w:tcMar>
              <w:top w:w="0" w:type="dxa"/>
              <w:left w:w="0" w:type="dxa"/>
              <w:bottom w:w="0" w:type="dxa"/>
              <w:right w:w="0" w:type="dxa"/>
            </w:tcMar>
          </w:tcPr>
          <w:p/>
        </w:tc>
      </w:tr>
      <w:tr>
        <w:trPr>
          <w:trHeight w:val="340" w:hRule="exact"/>
        </w:trPr>
        <w:tc>
          <w:tcPr>
            <w:tcW w:w="340" w:type="dxa"/>
            <w:vMerge w:val="restart"/>
            <w:shd w:val="clear" w:color="auto"/>
            <w:tcMar>
              <w:top w:w="0" w:type="dxa"/>
              <w:left w:w="0" w:type="dxa"/>
              <w:bottom w:w="0" w:type="dxa"/>
              <w:right w:w="0" w:type="dxa"/>
            </w:tcMar>
            <w:textDirection w:val="tbRl"/>
          </w:tcPr>
          <w:p>
            <w:r>
              <w:rPr>
                <w:rFonts w:hint="eastAsia" w:ascii="宋体" w:hAnsi="宋体" w:eastAsia="宋体" w:cs="宋体"/>
                <w:w w:val="99"/>
                <w:sz w:val="12"/>
              </w:rPr>
              <w:t>需求分析师</w:t>
            </w:r>
          </w:p>
        </w:tc>
        <w:tc>
          <w:tcPr>
            <w:tcW w:w="1420" w:type="dxa"/>
            <w:gridSpan w:val="5"/>
            <w:vMerge w:val="restart"/>
            <w:tcMar>
              <w:top w:w="0" w:type="dxa"/>
              <w:left w:w="0" w:type="dxa"/>
              <w:bottom w:w="0" w:type="dxa"/>
              <w:right w:w="0" w:type="dxa"/>
            </w:tcMar>
          </w:tcPr>
          <w:p/>
        </w:tc>
        <w:tc>
          <w:tcPr>
            <w:tcW w:w="560" w:type="dxa"/>
            <w:tcMar>
              <w:top w:w="0" w:type="dxa"/>
              <w:left w:w="0" w:type="dxa"/>
              <w:bottom w:w="0" w:type="dxa"/>
              <w:right w:w="0" w:type="dxa"/>
            </w:tcMar>
          </w:tcPr>
          <w:p/>
        </w:tc>
        <w:tc>
          <w:tcPr>
            <w:tcW w:w="500" w:type="dxa"/>
            <w:gridSpan w:val="2"/>
            <w:tcMar>
              <w:top w:w="0" w:type="dxa"/>
              <w:left w:w="0" w:type="dxa"/>
              <w:bottom w:w="0" w:type="dxa"/>
              <w:right w:w="0" w:type="dxa"/>
            </w:tcMar>
          </w:tcPr>
          <w:p/>
        </w:tc>
        <w:tc>
          <w:tcPr>
            <w:tcW w:w="7000" w:type="dxa"/>
            <w:gridSpan w:val="24"/>
            <w:tcMar>
              <w:top w:w="0" w:type="dxa"/>
              <w:left w:w="0" w:type="dxa"/>
              <w:bottom w:w="0" w:type="dxa"/>
              <w:right w:w="0" w:type="dxa"/>
            </w:tcMar>
          </w:tcPr>
          <w:p/>
        </w:tc>
        <w:tc>
          <w:tcPr>
            <w:tcW w:w="4100" w:type="dxa"/>
            <w:gridSpan w:val="13"/>
            <w:vMerge w:val="restart"/>
            <w:tcMar>
              <w:top w:w="0" w:type="dxa"/>
              <w:left w:w="0" w:type="dxa"/>
              <w:bottom w:w="0" w:type="dxa"/>
              <w:right w:w="0" w:type="dxa"/>
            </w:tcMar>
          </w:tcPr>
          <w:p/>
        </w:tc>
      </w:tr>
      <w:tr>
        <w:trPr>
          <w:trHeight w:val="240" w:hRule="exact"/>
        </w:trPr>
        <w:tc>
          <w:tcPr>
            <w:tcW w:w="340" w:type="dxa"/>
            <w:vMerge w:val="continue"/>
            <w:tcMar>
              <w:top w:w="0" w:type="dxa"/>
              <w:left w:w="0" w:type="dxa"/>
              <w:bottom w:w="0" w:type="dxa"/>
              <w:right w:w="0" w:type="dxa"/>
            </w:tcMar>
          </w:tcPr>
          <w:p/>
        </w:tc>
        <w:tc>
          <w:tcPr>
            <w:tcW w:w="1420" w:type="dxa"/>
            <w:gridSpan w:val="5"/>
            <w:vMerge w:val="continue"/>
            <w:tcMar>
              <w:top w:w="0" w:type="dxa"/>
              <w:left w:w="0" w:type="dxa"/>
              <w:bottom w:w="0" w:type="dxa"/>
              <w:right w:w="0" w:type="dxa"/>
            </w:tcMar>
          </w:tcPr>
          <w:p/>
        </w:tc>
        <w:tc>
          <w:tcPr>
            <w:tcW w:w="560" w:type="dxa"/>
            <w:shd w:val="clear" w:color="auto"/>
            <w:tcMar>
              <w:top w:w="0" w:type="dxa"/>
              <w:left w:w="0" w:type="dxa"/>
              <w:bottom w:w="0" w:type="dxa"/>
              <w:right w:w="0" w:type="dxa"/>
            </w:tcMar>
          </w:tcPr>
          <w:p>
            <w:pPr>
              <w:spacing w:before="80"/>
              <w:ind w:left="280"/>
            </w:pPr>
            <w:r>
              <w:rPr>
                <w:rFonts w:hint="eastAsia" w:ascii="宋体" w:hAnsi="宋体" w:eastAsia="宋体" w:cs="宋体"/>
                <w:w w:val="99"/>
                <w:sz w:val="13"/>
              </w:rPr>
              <w:t>项目</w:t>
            </w:r>
          </w:p>
        </w:tc>
        <w:tc>
          <w:tcPr>
            <w:tcW w:w="340" w:type="dxa"/>
            <w:tcMar>
              <w:top w:w="0" w:type="dxa"/>
              <w:left w:w="0" w:type="dxa"/>
              <w:bottom w:w="0" w:type="dxa"/>
              <w:right w:w="0" w:type="dxa"/>
            </w:tcMar>
          </w:tcPr>
          <w:p>
            <w:pPr>
              <w:spacing w:before="80"/>
            </w:pPr>
            <w:r>
              <w:rPr>
                <w:rFonts w:hint="eastAsia" w:ascii="宋体" w:hAnsi="宋体" w:eastAsia="宋体" w:cs="宋体"/>
                <w:w w:val="99"/>
                <w:sz w:val="13"/>
              </w:rPr>
              <w:t>范围</w:t>
            </w:r>
          </w:p>
        </w:tc>
        <w:tc>
          <w:tcPr>
            <w:tcW w:w="160" w:type="dxa"/>
            <w:tcMar>
              <w:top w:w="0" w:type="dxa"/>
              <w:left w:w="0" w:type="dxa"/>
              <w:bottom w:w="0" w:type="dxa"/>
              <w:right w:w="0" w:type="dxa"/>
            </w:tcMar>
          </w:tcPr>
          <w:p/>
        </w:tc>
        <w:tc>
          <w:tcPr>
            <w:tcW w:w="2480" w:type="dxa"/>
            <w:gridSpan w:val="7"/>
            <w:tcMar>
              <w:top w:w="0" w:type="dxa"/>
              <w:left w:w="0" w:type="dxa"/>
              <w:bottom w:w="0" w:type="dxa"/>
              <w:right w:w="0" w:type="dxa"/>
            </w:tcMar>
          </w:tcPr>
          <w:p/>
        </w:tc>
        <w:tc>
          <w:tcPr>
            <w:tcW w:w="780" w:type="dxa"/>
            <w:gridSpan w:val="2"/>
            <w:vMerge w:val="restart"/>
            <w:shd w:val="clear" w:color="auto"/>
            <w:tcMar>
              <w:top w:w="0" w:type="dxa"/>
              <w:left w:w="0" w:type="dxa"/>
              <w:bottom w:w="0" w:type="dxa"/>
              <w:right w:w="0" w:type="dxa"/>
            </w:tcMar>
          </w:tcPr>
          <w:p>
            <w:pPr>
              <w:spacing w:before="80"/>
              <w:ind w:left="140"/>
            </w:pPr>
            <w:r>
              <w:rPr>
                <w:rFonts w:hint="eastAsia" w:ascii="宋体" w:hAnsi="宋体" w:eastAsia="宋体" w:cs="宋体"/>
                <w:w w:val="99"/>
                <w:sz w:val="13"/>
              </w:rPr>
              <w:t>概要需求</w:t>
            </w:r>
          </w:p>
          <w:p>
            <w:pPr>
              <w:spacing w:before="20"/>
              <w:ind w:left="280"/>
            </w:pPr>
            <w:r>
              <w:rPr>
                <w:rFonts w:hint="eastAsia" w:ascii="宋体" w:hAnsi="宋体" w:eastAsia="宋体" w:cs="宋体"/>
                <w:w w:val="99"/>
                <w:sz w:val="13"/>
              </w:rPr>
              <w:t>分析</w:t>
            </w:r>
          </w:p>
        </w:tc>
        <w:tc>
          <w:tcPr>
            <w:tcW w:w="2260" w:type="dxa"/>
            <w:gridSpan w:val="10"/>
            <w:vMerge w:val="restart"/>
            <w:tcMar>
              <w:top w:w="0" w:type="dxa"/>
              <w:left w:w="0" w:type="dxa"/>
              <w:bottom w:w="0" w:type="dxa"/>
              <w:right w:w="0" w:type="dxa"/>
            </w:tcMar>
          </w:tcPr>
          <w:p/>
        </w:tc>
        <w:tc>
          <w:tcPr>
            <w:tcW w:w="700" w:type="dxa"/>
            <w:gridSpan w:val="2"/>
            <w:vMerge w:val="restart"/>
            <w:shd w:val="clear" w:color="auto"/>
            <w:tcMar>
              <w:top w:w="0" w:type="dxa"/>
              <w:left w:w="0" w:type="dxa"/>
              <w:bottom w:w="0" w:type="dxa"/>
              <w:right w:w="0" w:type="dxa"/>
            </w:tcMar>
          </w:tcPr>
          <w:p>
            <w:pPr>
              <w:spacing w:before="80"/>
            </w:pPr>
            <w:r>
              <w:rPr>
                <w:rFonts w:hint="eastAsia" w:ascii="宋体" w:hAnsi="宋体" w:eastAsia="宋体" w:cs="宋体"/>
                <w:w w:val="99"/>
                <w:sz w:val="13"/>
              </w:rPr>
              <w:t>详细需求</w:t>
            </w:r>
          </w:p>
          <w:p>
            <w:pPr>
              <w:spacing w:before="20"/>
              <w:ind w:left="200"/>
            </w:pPr>
            <w:r>
              <w:rPr>
                <w:rFonts w:hint="eastAsia" w:ascii="宋体" w:hAnsi="宋体" w:eastAsia="宋体" w:cs="宋体"/>
                <w:w w:val="99"/>
                <w:sz w:val="13"/>
              </w:rPr>
              <w:t>分析</w:t>
            </w:r>
          </w:p>
        </w:tc>
        <w:tc>
          <w:tcPr>
            <w:tcW w:w="780" w:type="dxa"/>
            <w:gridSpan w:val="3"/>
            <w:vMerge w:val="restart"/>
            <w:tcMar>
              <w:top w:w="0" w:type="dxa"/>
              <w:left w:w="0" w:type="dxa"/>
              <w:bottom w:w="0" w:type="dxa"/>
              <w:right w:w="0" w:type="dxa"/>
            </w:tcMar>
          </w:tcPr>
          <w:p/>
        </w:tc>
        <w:tc>
          <w:tcPr>
            <w:tcW w:w="4100" w:type="dxa"/>
            <w:gridSpan w:val="13"/>
            <w:vMerge w:val="continue"/>
            <w:tcMar>
              <w:top w:w="0" w:type="dxa"/>
              <w:left w:w="0" w:type="dxa"/>
              <w:bottom w:w="0" w:type="dxa"/>
              <w:right w:w="0" w:type="dxa"/>
            </w:tcMar>
          </w:tcPr>
          <w:p/>
        </w:tc>
      </w:tr>
      <w:tr>
        <w:trPr>
          <w:trHeight w:val="260" w:hRule="exact"/>
        </w:trPr>
        <w:tc>
          <w:tcPr>
            <w:tcW w:w="340" w:type="dxa"/>
            <w:vMerge w:val="continue"/>
            <w:tcMar>
              <w:top w:w="0" w:type="dxa"/>
              <w:left w:w="0" w:type="dxa"/>
              <w:bottom w:w="0" w:type="dxa"/>
              <w:right w:w="0" w:type="dxa"/>
            </w:tcMar>
          </w:tcPr>
          <w:p/>
        </w:tc>
        <w:tc>
          <w:tcPr>
            <w:tcW w:w="1420" w:type="dxa"/>
            <w:gridSpan w:val="5"/>
            <w:vMerge w:val="continue"/>
            <w:tcMar>
              <w:top w:w="0" w:type="dxa"/>
              <w:left w:w="0" w:type="dxa"/>
              <w:bottom w:w="0" w:type="dxa"/>
              <w:right w:w="0" w:type="dxa"/>
            </w:tcMar>
          </w:tcPr>
          <w:p/>
        </w:tc>
        <w:tc>
          <w:tcPr>
            <w:tcW w:w="900" w:type="dxa"/>
            <w:gridSpan w:val="2"/>
            <w:tcMar>
              <w:top w:w="0" w:type="dxa"/>
              <w:left w:w="0" w:type="dxa"/>
              <w:bottom w:w="0" w:type="dxa"/>
              <w:right w:w="0" w:type="dxa"/>
            </w:tcMar>
          </w:tcPr>
          <w:p>
            <w:pPr>
              <w:spacing w:before="0"/>
              <w:ind w:left="420"/>
            </w:pPr>
            <w:r>
              <w:rPr>
                <w:rFonts w:hint="eastAsia" w:ascii="宋体" w:hAnsi="宋体" w:eastAsia="宋体" w:cs="宋体"/>
                <w:w w:val="99"/>
                <w:sz w:val="13"/>
              </w:rPr>
              <w:t>制订</w:t>
            </w:r>
          </w:p>
        </w:tc>
        <w:tc>
          <w:tcPr>
            <w:tcW w:w="2640" w:type="dxa"/>
            <w:gridSpan w:val="8"/>
            <w:tcMar>
              <w:top w:w="0" w:type="dxa"/>
              <w:left w:w="0" w:type="dxa"/>
              <w:bottom w:w="0" w:type="dxa"/>
              <w:right w:w="0" w:type="dxa"/>
            </w:tcMar>
          </w:tcPr>
          <w:p/>
        </w:tc>
        <w:tc>
          <w:tcPr>
            <w:tcW w:w="780" w:type="dxa"/>
            <w:gridSpan w:val="2"/>
            <w:vMerge w:val="continue"/>
            <w:tcMar>
              <w:top w:w="0" w:type="dxa"/>
              <w:left w:w="0" w:type="dxa"/>
              <w:bottom w:w="0" w:type="dxa"/>
              <w:right w:w="0" w:type="dxa"/>
            </w:tcMar>
          </w:tcPr>
          <w:p/>
        </w:tc>
        <w:tc>
          <w:tcPr>
            <w:tcW w:w="2260" w:type="dxa"/>
            <w:gridSpan w:val="10"/>
            <w:vMerge w:val="continue"/>
            <w:tcMar>
              <w:top w:w="0" w:type="dxa"/>
              <w:left w:w="0" w:type="dxa"/>
              <w:bottom w:w="0" w:type="dxa"/>
              <w:right w:w="0" w:type="dxa"/>
            </w:tcMar>
          </w:tcPr>
          <w:p/>
        </w:tc>
        <w:tc>
          <w:tcPr>
            <w:tcW w:w="700" w:type="dxa"/>
            <w:gridSpan w:val="2"/>
            <w:vMerge w:val="continue"/>
            <w:tcMar>
              <w:top w:w="0" w:type="dxa"/>
              <w:left w:w="0" w:type="dxa"/>
              <w:bottom w:w="0" w:type="dxa"/>
              <w:right w:w="0" w:type="dxa"/>
            </w:tcMar>
          </w:tcPr>
          <w:p/>
        </w:tc>
        <w:tc>
          <w:tcPr>
            <w:tcW w:w="780" w:type="dxa"/>
            <w:gridSpan w:val="3"/>
            <w:vMerge w:val="continue"/>
            <w:tcMar>
              <w:top w:w="0" w:type="dxa"/>
              <w:left w:w="0" w:type="dxa"/>
              <w:bottom w:w="0" w:type="dxa"/>
              <w:right w:w="0" w:type="dxa"/>
            </w:tcMar>
          </w:tcPr>
          <w:p/>
        </w:tc>
        <w:tc>
          <w:tcPr>
            <w:tcW w:w="4100" w:type="dxa"/>
            <w:gridSpan w:val="13"/>
            <w:vMerge w:val="continue"/>
            <w:tcMar>
              <w:top w:w="0" w:type="dxa"/>
              <w:left w:w="0" w:type="dxa"/>
              <w:bottom w:w="0" w:type="dxa"/>
              <w:right w:w="0" w:type="dxa"/>
            </w:tcMar>
          </w:tcPr>
          <w:p/>
        </w:tc>
      </w:tr>
      <w:tr>
        <w:trPr>
          <w:trHeight w:val="320" w:hRule="exact"/>
        </w:trPr>
        <w:tc>
          <w:tcPr>
            <w:tcW w:w="340" w:type="dxa"/>
            <w:vMerge w:val="continue"/>
            <w:tcMar>
              <w:top w:w="0" w:type="dxa"/>
              <w:left w:w="0" w:type="dxa"/>
              <w:bottom w:w="0" w:type="dxa"/>
              <w:right w:w="0" w:type="dxa"/>
            </w:tcMar>
          </w:tcPr>
          <w:p/>
        </w:tc>
        <w:tc>
          <w:tcPr>
            <w:tcW w:w="9480" w:type="dxa"/>
            <w:gridSpan w:val="32"/>
            <w:tcMar>
              <w:top w:w="0" w:type="dxa"/>
              <w:left w:w="0" w:type="dxa"/>
              <w:bottom w:w="0" w:type="dxa"/>
              <w:right w:w="0" w:type="dxa"/>
            </w:tcMar>
          </w:tcPr>
          <w:p/>
        </w:tc>
        <w:tc>
          <w:tcPr>
            <w:tcW w:w="4100" w:type="dxa"/>
            <w:gridSpan w:val="13"/>
            <w:vMerge w:val="continue"/>
            <w:tcMar>
              <w:top w:w="0" w:type="dxa"/>
              <w:left w:w="0" w:type="dxa"/>
              <w:bottom w:w="0" w:type="dxa"/>
              <w:right w:w="0" w:type="dxa"/>
            </w:tcMar>
          </w:tcPr>
          <w:p/>
        </w:tc>
      </w:tr>
      <w:tr>
        <w:trPr>
          <w:trHeight w:val="320" w:hRule="exact"/>
        </w:trPr>
        <w:tc>
          <w:tcPr>
            <w:tcW w:w="340" w:type="dxa"/>
            <w:vMerge w:val="restart"/>
            <w:shd w:val="clear" w:color="auto"/>
            <w:tcMar>
              <w:top w:w="0" w:type="dxa"/>
              <w:left w:w="0" w:type="dxa"/>
              <w:bottom w:w="0" w:type="dxa"/>
              <w:right w:w="0" w:type="dxa"/>
            </w:tcMar>
            <w:textDirection w:val="tbRl"/>
          </w:tcPr>
          <w:p>
            <w:r>
              <w:rPr>
                <w:rFonts w:hint="eastAsia" w:ascii="宋体" w:hAnsi="宋体" w:eastAsia="宋体" w:cs="宋体"/>
                <w:w w:val="99"/>
                <w:sz w:val="12"/>
              </w:rPr>
              <w:t>测试组</w:t>
            </w:r>
          </w:p>
        </w:tc>
        <w:tc>
          <w:tcPr>
            <w:tcW w:w="9480" w:type="dxa"/>
            <w:gridSpan w:val="32"/>
            <w:tcMar>
              <w:top w:w="0" w:type="dxa"/>
              <w:left w:w="0" w:type="dxa"/>
              <w:bottom w:w="0" w:type="dxa"/>
              <w:right w:w="0" w:type="dxa"/>
            </w:tcMar>
          </w:tcPr>
          <w:p/>
        </w:tc>
        <w:tc>
          <w:tcPr>
            <w:tcW w:w="4100" w:type="dxa"/>
            <w:gridSpan w:val="13"/>
            <w:tcMar>
              <w:top w:w="0" w:type="dxa"/>
              <w:left w:w="0" w:type="dxa"/>
              <w:bottom w:w="0" w:type="dxa"/>
              <w:right w:w="0" w:type="dxa"/>
            </w:tcMar>
          </w:tcPr>
          <w:p/>
        </w:tc>
      </w:tr>
      <w:tr>
        <w:trPr>
          <w:trHeight w:val="500" w:hRule="exact"/>
        </w:trPr>
        <w:tc>
          <w:tcPr>
            <w:tcW w:w="340" w:type="dxa"/>
            <w:vMerge w:val="continue"/>
            <w:tcMar>
              <w:top w:w="0" w:type="dxa"/>
              <w:left w:w="0" w:type="dxa"/>
              <w:bottom w:w="0" w:type="dxa"/>
              <w:right w:w="0" w:type="dxa"/>
            </w:tcMar>
          </w:tcPr>
          <w:p/>
        </w:tc>
        <w:tc>
          <w:tcPr>
            <w:tcW w:w="9100" w:type="dxa"/>
            <w:gridSpan w:val="31"/>
            <w:tcMar>
              <w:top w:w="0" w:type="dxa"/>
              <w:left w:w="0" w:type="dxa"/>
              <w:bottom w:w="0" w:type="dxa"/>
              <w:right w:w="0" w:type="dxa"/>
            </w:tcMar>
          </w:tcPr>
          <w:p/>
        </w:tc>
        <w:tc>
          <w:tcPr>
            <w:tcW w:w="780" w:type="dxa"/>
            <w:gridSpan w:val="2"/>
            <w:shd w:val="clear" w:color="auto"/>
            <w:tcMar>
              <w:top w:w="0" w:type="dxa"/>
              <w:left w:w="0" w:type="dxa"/>
              <w:bottom w:w="0" w:type="dxa"/>
              <w:right w:w="0" w:type="dxa"/>
            </w:tcMar>
          </w:tcPr>
          <w:p>
            <w:pPr>
              <w:spacing w:before="180"/>
              <w:ind w:left="140"/>
            </w:pPr>
            <w:r>
              <w:rPr>
                <w:rFonts w:hint="eastAsia" w:ascii="宋体" w:hAnsi="宋体" w:eastAsia="宋体" w:cs="宋体"/>
                <w:w w:val="99"/>
                <w:sz w:val="13"/>
              </w:rPr>
              <w:t>测试发布</w:t>
            </w:r>
          </w:p>
        </w:tc>
        <w:tc>
          <w:tcPr>
            <w:tcW w:w="3700" w:type="dxa"/>
            <w:gridSpan w:val="12"/>
            <w:tcMar>
              <w:top w:w="0" w:type="dxa"/>
              <w:left w:w="0" w:type="dxa"/>
              <w:bottom w:w="0" w:type="dxa"/>
              <w:right w:w="0" w:type="dxa"/>
            </w:tcMar>
          </w:tcPr>
          <w:p/>
        </w:tc>
      </w:tr>
      <w:tr>
        <w:trPr>
          <w:trHeight w:val="260" w:hRule="exact"/>
        </w:trPr>
        <w:tc>
          <w:tcPr>
            <w:tcW w:w="340" w:type="dxa"/>
            <w:vMerge w:val="continue"/>
            <w:tcMar>
              <w:top w:w="0" w:type="dxa"/>
              <w:left w:w="0" w:type="dxa"/>
              <w:bottom w:w="0" w:type="dxa"/>
              <w:right w:w="0" w:type="dxa"/>
            </w:tcMar>
          </w:tcPr>
          <w:p/>
        </w:tc>
        <w:tc>
          <w:tcPr>
            <w:tcW w:w="13580" w:type="dxa"/>
            <w:gridSpan w:val="45"/>
            <w:tcMar>
              <w:top w:w="0" w:type="dxa"/>
              <w:left w:w="0" w:type="dxa"/>
              <w:bottom w:w="0" w:type="dxa"/>
              <w:right w:w="0" w:type="dxa"/>
            </w:tcMar>
          </w:tcP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8080"/>
        <w:jc w:val="both"/>
      </w:pPr>
      <w:r>
        <w:rPr>
          <w:rFonts w:hint="eastAsia" w:ascii="Times New Roman" w:hAnsi="Times New Roman" w:eastAsia="Times New Roman" w:cs="Times New Roman"/>
          <w:sz w:val="21"/>
        </w:rPr>
        <w:t>1-1-156</w:t>
      </w:r>
    </w:p>
    <w:p>
      <w:pPr>
        <w:sectPr>
          <w:type w:val="nextPage"/>
          <w:pgSz w:w="16820" w:h="1190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2048" behindDoc="true" locked="false" layoutInCell="true" allowOverlap="true">
                <wp:simplePos x="0" y="0"/>
                <wp:positionH relativeFrom="page">
                  <wp:posOffset>939800</wp:posOffset>
                </wp:positionH>
                <wp:positionV relativeFrom="page">
                  <wp:posOffset>4089400</wp:posOffset>
                </wp:positionV>
                <wp:extent cx="5194300" cy="38100"/>
                <wp:effectExtent l="0" t="0" r="22225" b="31115"/>
                <wp:wrapNone/>
                <wp:docPr id="7271" name="shape7271"/>
                <wp:cNvGraphicFramePr/>
                <a:graphic>
                  <a:graphicData uri="http://schemas.microsoft.com/office/word/2010/wordprocessingShape">
                    <wps:wsp>
                      <wps:cNvSpPr/>
                      <wps:spPr>
                        <a:xfrm>
                          <a:off x="0" y="0"/>
                          <a:ext cx="5194300" cy="38100"/>
                        </a:xfrm>
                        <a:custGeom>
                          <a:avLst/>
                          <a:rect l="l" t="t" r="r" b="b"/>
                          <a:pathLst>
                            <a:path w="5194300" h="38100">
                              <a:moveTo>
                                <a:pt x="9651" y="31400"/>
                              </a:moveTo>
                              <a:lnTo>
                                <a:pt x="2571097" y="31400"/>
                              </a:lnTo>
                              <a:cubicBezTo>
                                <a:pt x="2571097" y="14509"/>
                                <a:pt x="2584813" y="873"/>
                                <a:pt x="2601577" y="873"/>
                              </a:cubicBezTo>
                              <a:cubicBezTo>
                                <a:pt x="2618442" y="873"/>
                                <a:pt x="2632056" y="14509"/>
                                <a:pt x="2632056" y="31400"/>
                              </a:cubicBezTo>
                              <a:cubicBezTo>
                                <a:pt x="2632056" y="31400"/>
                                <a:pt x="2632056" y="31400"/>
                                <a:pt x="2632056" y="31400"/>
                              </a:cubicBezTo>
                              <a:lnTo>
                                <a:pt x="5193553" y="31400"/>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194300,38100" style="position:absolute;left:0;top:0;visibility:visible;mso-position-horizontal:absolute;mso-position-horizontal-relative:page;mso-position-vertical:absolute;mso-position-vertical-relative:page;width:409pt;height:3pt;margin-left:74pt;margin-top:322pt;mso-wrap-style:square;z-index:10252048;mso-wrap-distance-left:9pt;mso-wrap-distance-top:0pt;mso-wrap-distance-right:9pt;mso-wrap-distance-bottom:0pt" id="shape7271" o:spid="1618382352353" path="m9651,31400l2571097,31400c2571097,14509,2584813,873,2601577,873c2618442,873,2632056,14509,2632056,31400c2632056,31400,2632056,31400,2632056,31400l5193553,31400" stroked="t" strokecolor="#404040" strokeweight="1pt"/>
            </w:pict>
          </mc:Fallback>
        </mc:AlternateContent>
      </w:r>
      <w:r>
        <mc:AlternateContent>
          <mc:Choice Requires="wps">
            <w:drawing>
              <wp:anchor distT="0" distB="0" distL="114300" distR="114300" simplePos="false" relativeHeight="10256144" behindDoc="true" locked="false" layoutInCell="true" allowOverlap="true">
                <wp:simplePos x="0" y="0"/>
                <wp:positionH relativeFrom="page">
                  <wp:posOffset>3276600</wp:posOffset>
                </wp:positionH>
                <wp:positionV relativeFrom="page">
                  <wp:posOffset>6794500</wp:posOffset>
                </wp:positionV>
                <wp:extent cx="3124200" cy="533400"/>
                <wp:effectExtent l="0" t="0" r="22225" b="31115"/>
                <wp:wrapNone/>
                <wp:docPr id="7275" name="shape7275"/>
                <wp:cNvGraphicFramePr/>
                <a:graphic>
                  <a:graphicData uri="http://schemas.microsoft.com/office/word/2010/wordprocessingShape">
                    <wps:wsp>
                      <wps:cNvSpPr/>
                      <wps:spPr>
                        <a:xfrm>
                          <a:off x="0" y="0"/>
                          <a:ext cx="3124200" cy="533400"/>
                        </a:xfrm>
                        <a:prstGeom prst="rect">
                          <a:avLst/>
                        </a:pr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46pt;height:42pt;margin-left:258pt;margin-top:535pt;mso-wrap-style:square;z-index:10256144;mso-wrap-distance-left:9pt;mso-wrap-distance-top:0pt;mso-wrap-distance-right:9pt;mso-wrap-distance-bottom:0pt" id="shape7275" o:spid="1618382352353" stroked="t" strokecolor="#404040" strokeweight="1pt"/>
            </w:pict>
          </mc:Fallback>
        </mc:AlternateContent>
      </w:r>
      <w:r>
        <mc:AlternateContent>
          <mc:Choice Requires="wps">
            <w:drawing>
              <wp:anchor distT="0" distB="0" distL="114300" distR="114300" simplePos="false" relativeHeight="10257168" behindDoc="true" locked="false" layoutInCell="true" allowOverlap="true">
                <wp:simplePos x="0" y="0"/>
                <wp:positionH relativeFrom="page">
                  <wp:posOffset>3175000</wp:posOffset>
                </wp:positionH>
                <wp:positionV relativeFrom="page">
                  <wp:posOffset>1473200</wp:posOffset>
                </wp:positionV>
                <wp:extent cx="736600" cy="317500"/>
                <wp:effectExtent l="0" t="0" r="22225" b="31115"/>
                <wp:wrapNone/>
                <wp:docPr id="7276" name="shape7276"/>
                <wp:cNvGraphicFramePr/>
                <a:graphic>
                  <a:graphicData uri="http://schemas.microsoft.com/office/word/2010/wordprocessingShape">
                    <wps:wsp>
                      <wps:cNvSpPr/>
                      <wps:spPr>
                        <a:xfrm>
                          <a:off x="0" y="0"/>
                          <a:ext cx="7366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116pt;mso-wrap-style:square;z-index:10257168;mso-wrap-distance-left:9pt;mso-wrap-distance-top:0pt;mso-wrap-distance-right:9pt;mso-wrap-distance-bottom:0pt" id="shape7276" o:spid="1618382352354" stroked="f" filled="t" fillcolor="#cdcdcd"/>
            </w:pict>
          </mc:Fallback>
        </mc:AlternateContent>
      </w:r>
      <w:r>
        <mc:AlternateContent>
          <mc:Choice Requires="wps">
            <w:drawing>
              <wp:anchor distT="0" distB="0" distL="114300" distR="114300" simplePos="false" relativeHeight="10258192" behindDoc="true" locked="false" layoutInCell="true" allowOverlap="true">
                <wp:simplePos x="0" y="0"/>
                <wp:positionH relativeFrom="page">
                  <wp:posOffset>3175000</wp:posOffset>
                </wp:positionH>
                <wp:positionV relativeFrom="page">
                  <wp:posOffset>1473200</wp:posOffset>
                </wp:positionV>
                <wp:extent cx="736600" cy="317500"/>
                <wp:effectExtent l="0" t="0" r="22225" b="31115"/>
                <wp:wrapNone/>
                <wp:docPr id="7277" name="shape7277"/>
                <wp:cNvGraphicFramePr/>
                <a:graphic>
                  <a:graphicData uri="http://schemas.microsoft.com/office/word/2010/wordprocessingShape">
                    <wps:wsp>
                      <wps:cNvSpPr/>
                      <wps:spPr>
                        <a:xfrm>
                          <a:off x="0" y="0"/>
                          <a:ext cx="7366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116pt;mso-wrap-style:square;z-index:10258192;mso-wrap-distance-left:9pt;mso-wrap-distance-top:0pt;mso-wrap-distance-right:9pt;mso-wrap-distance-bottom:0pt" id="shape7277" o:spid="1618382352354" stroked="t" strokecolor="#cdcdcd" strokeweight="1pt"/>
            </w:pict>
          </mc:Fallback>
        </mc:AlternateContent>
      </w:r>
      <w:r>
        <mc:AlternateContent>
          <mc:Choice Requires="wps">
            <w:drawing>
              <wp:anchor distT="0" distB="0" distL="114300" distR="114300" simplePos="false" relativeHeight="10261264" behindDoc="true" locked="false" layoutInCell="true" allowOverlap="true">
                <wp:simplePos x="0" y="0"/>
                <wp:positionH relativeFrom="page">
                  <wp:posOffset>3175000</wp:posOffset>
                </wp:positionH>
                <wp:positionV relativeFrom="page">
                  <wp:posOffset>2628900</wp:posOffset>
                </wp:positionV>
                <wp:extent cx="736600" cy="304800"/>
                <wp:effectExtent l="0" t="0" r="22225" b="31115"/>
                <wp:wrapNone/>
                <wp:docPr id="7280" name="shape7280"/>
                <wp:cNvGraphicFramePr/>
                <a:graphic>
                  <a:graphicData uri="http://schemas.microsoft.com/office/word/2010/wordprocessingShape">
                    <wps:wsp>
                      <wps:cNvSpPr/>
                      <wps:spPr>
                        <a:xfrm>
                          <a:off x="0" y="0"/>
                          <a:ext cx="736600" cy="3048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4pt;margin-left:250pt;margin-top:207pt;mso-wrap-style:square;z-index:10261264;mso-wrap-distance-left:9pt;mso-wrap-distance-top:0pt;mso-wrap-distance-right:9pt;mso-wrap-distance-bottom:0pt" id="shape7280" o:spid="1618382352354" stroked="f" filled="t" fillcolor="#cdcdcd"/>
            </w:pict>
          </mc:Fallback>
        </mc:AlternateContent>
      </w:r>
      <w:r>
        <mc:AlternateContent>
          <mc:Choice Requires="wps">
            <w:drawing>
              <wp:anchor distT="0" distB="0" distL="114300" distR="114300" simplePos="false" relativeHeight="10262288" behindDoc="true" locked="false" layoutInCell="true" allowOverlap="true">
                <wp:simplePos x="0" y="0"/>
                <wp:positionH relativeFrom="page">
                  <wp:posOffset>3175000</wp:posOffset>
                </wp:positionH>
                <wp:positionV relativeFrom="page">
                  <wp:posOffset>2628900</wp:posOffset>
                </wp:positionV>
                <wp:extent cx="736600" cy="304800"/>
                <wp:effectExtent l="0" t="0" r="22225" b="31115"/>
                <wp:wrapNone/>
                <wp:docPr id="7281" name="shape7281"/>
                <wp:cNvGraphicFramePr/>
                <a:graphic>
                  <a:graphicData uri="http://schemas.microsoft.com/office/word/2010/wordprocessingShape">
                    <wps:wsp>
                      <wps:cNvSpPr/>
                      <wps:spPr>
                        <a:xfrm>
                          <a:off x="0" y="0"/>
                          <a:ext cx="736600" cy="3048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4pt;margin-left:250pt;margin-top:207pt;mso-wrap-style:square;z-index:10262288;mso-wrap-distance-left:9pt;mso-wrap-distance-top:0pt;mso-wrap-distance-right:9pt;mso-wrap-distance-bottom:0pt" id="shape7281" o:spid="1618382352355" stroked="t" strokecolor="#cdcdcd" strokeweight="1pt"/>
            </w:pict>
          </mc:Fallback>
        </mc:AlternateContent>
      </w:r>
      <w:r>
        <mc:AlternateContent>
          <mc:Choice Requires="wps">
            <w:drawing>
              <wp:anchor distT="0" distB="0" distL="114300" distR="114300" simplePos="false" relativeHeight="10265360" behindDoc="true" locked="false" layoutInCell="true" allowOverlap="true">
                <wp:simplePos x="0" y="0"/>
                <wp:positionH relativeFrom="page">
                  <wp:posOffset>2997200</wp:posOffset>
                </wp:positionH>
                <wp:positionV relativeFrom="page">
                  <wp:posOffset>4749800</wp:posOffset>
                </wp:positionV>
                <wp:extent cx="1092200" cy="317500"/>
                <wp:effectExtent l="0" t="0" r="22225" b="31115"/>
                <wp:wrapNone/>
                <wp:docPr id="7284" name="shape7284"/>
                <wp:cNvGraphicFramePr/>
                <a:graphic>
                  <a:graphicData uri="http://schemas.microsoft.com/office/word/2010/wordprocessingShape">
                    <wps:wsp>
                      <wps:cNvSpPr/>
                      <wps:spPr>
                        <a:xfrm>
                          <a:off x="0" y="0"/>
                          <a:ext cx="10922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25pt;margin-left:236pt;margin-top:374pt;mso-wrap-style:square;z-index:10265360;mso-wrap-distance-left:9pt;mso-wrap-distance-top:0pt;mso-wrap-distance-right:9pt;mso-wrap-distance-bottom:0pt" id="shape7284" o:spid="1618382352355" stroked="f" filled="t" fillcolor="#cdcdcd"/>
            </w:pict>
          </mc:Fallback>
        </mc:AlternateContent>
      </w:r>
      <w:r>
        <mc:AlternateContent>
          <mc:Choice Requires="wps">
            <w:drawing>
              <wp:anchor distT="0" distB="0" distL="114300" distR="114300" simplePos="false" relativeHeight="10266384" behindDoc="true" locked="false" layoutInCell="true" allowOverlap="true">
                <wp:simplePos x="0" y="0"/>
                <wp:positionH relativeFrom="page">
                  <wp:posOffset>2997200</wp:posOffset>
                </wp:positionH>
                <wp:positionV relativeFrom="page">
                  <wp:posOffset>4749800</wp:posOffset>
                </wp:positionV>
                <wp:extent cx="1092200" cy="317500"/>
                <wp:effectExtent l="0" t="0" r="22225" b="31115"/>
                <wp:wrapNone/>
                <wp:docPr id="7285" name="shape7285"/>
                <wp:cNvGraphicFramePr/>
                <a:graphic>
                  <a:graphicData uri="http://schemas.microsoft.com/office/word/2010/wordprocessingShape">
                    <wps:wsp>
                      <wps:cNvSpPr/>
                      <wps:spPr>
                        <a:xfrm>
                          <a:off x="0" y="0"/>
                          <a:ext cx="10922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25pt;margin-left:236pt;margin-top:374pt;mso-wrap-style:square;z-index:10266384;mso-wrap-distance-left:9pt;mso-wrap-distance-top:0pt;mso-wrap-distance-right:9pt;mso-wrap-distance-bottom:0pt" id="shape7285" o:spid="1618382352356" stroked="t" strokecolor="#cdcdcd" strokeweight="1pt"/>
            </w:pict>
          </mc:Fallback>
        </mc:AlternateContent>
      </w:r>
      <w:r>
        <mc:AlternateContent>
          <mc:Choice Requires="wps">
            <w:drawing>
              <wp:anchor distT="0" distB="0" distL="114300" distR="114300" simplePos="false" relativeHeight="10269456" behindDoc="true" locked="false" layoutInCell="true" allowOverlap="true">
                <wp:simplePos x="0" y="0"/>
                <wp:positionH relativeFrom="page">
                  <wp:posOffset>3175000</wp:posOffset>
                </wp:positionH>
                <wp:positionV relativeFrom="page">
                  <wp:posOffset>3708400</wp:posOffset>
                </wp:positionV>
                <wp:extent cx="736600" cy="317500"/>
                <wp:effectExtent l="0" t="0" r="22225" b="31115"/>
                <wp:wrapNone/>
                <wp:docPr id="7288" name="shape7288"/>
                <wp:cNvGraphicFramePr/>
                <a:graphic>
                  <a:graphicData uri="http://schemas.microsoft.com/office/word/2010/wordprocessingShape">
                    <wps:wsp>
                      <wps:cNvSpPr/>
                      <wps:spPr>
                        <a:xfrm>
                          <a:off x="0" y="0"/>
                          <a:ext cx="7366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292pt;mso-wrap-style:square;z-index:10269456;mso-wrap-distance-left:9pt;mso-wrap-distance-top:0pt;mso-wrap-distance-right:9pt;mso-wrap-distance-bottom:0pt" id="shape7288" o:spid="1618382352356" stroked="f" filled="t" fillcolor="#cdcdcd"/>
            </w:pict>
          </mc:Fallback>
        </mc:AlternateContent>
      </w:r>
      <w:r>
        <mc:AlternateContent>
          <mc:Choice Requires="wps">
            <w:drawing>
              <wp:anchor distT="0" distB="0" distL="114300" distR="114300" simplePos="false" relativeHeight="10270480" behindDoc="true" locked="false" layoutInCell="true" allowOverlap="true">
                <wp:simplePos x="0" y="0"/>
                <wp:positionH relativeFrom="page">
                  <wp:posOffset>3175000</wp:posOffset>
                </wp:positionH>
                <wp:positionV relativeFrom="page">
                  <wp:posOffset>3708400</wp:posOffset>
                </wp:positionV>
                <wp:extent cx="736600" cy="317500"/>
                <wp:effectExtent l="0" t="0" r="22225" b="31115"/>
                <wp:wrapNone/>
                <wp:docPr id="7289" name="shape7289"/>
                <wp:cNvGraphicFramePr/>
                <a:graphic>
                  <a:graphicData uri="http://schemas.microsoft.com/office/word/2010/wordprocessingShape">
                    <wps:wsp>
                      <wps:cNvSpPr/>
                      <wps:spPr>
                        <a:xfrm>
                          <a:off x="0" y="0"/>
                          <a:ext cx="7366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292pt;mso-wrap-style:square;z-index:10270480;mso-wrap-distance-left:9pt;mso-wrap-distance-top:0pt;mso-wrap-distance-right:9pt;mso-wrap-distance-bottom:0pt" id="shape7289" o:spid="1618382352357" stroked="t" strokecolor="#cdcdcd" strokeweight="1pt"/>
            </w:pict>
          </mc:Fallback>
        </mc:AlternateContent>
      </w:r>
      <w:r>
        <mc:AlternateContent>
          <mc:Choice Requires="wps">
            <w:drawing>
              <wp:anchor distT="0" distB="0" distL="114300" distR="114300" simplePos="false" relativeHeight="10273552" behindDoc="true" locked="false" layoutInCell="true" allowOverlap="true">
                <wp:simplePos x="0" y="0"/>
                <wp:positionH relativeFrom="page">
                  <wp:posOffset>3175000</wp:posOffset>
                </wp:positionH>
                <wp:positionV relativeFrom="page">
                  <wp:posOffset>3200400</wp:posOffset>
                </wp:positionV>
                <wp:extent cx="736600" cy="317500"/>
                <wp:effectExtent l="0" t="0" r="22225" b="31115"/>
                <wp:wrapNone/>
                <wp:docPr id="7292" name="shape7292"/>
                <wp:cNvGraphicFramePr/>
                <a:graphic>
                  <a:graphicData uri="http://schemas.microsoft.com/office/word/2010/wordprocessingShape">
                    <wps:wsp>
                      <wps:cNvSpPr/>
                      <wps:spPr>
                        <a:xfrm>
                          <a:off x="0" y="0"/>
                          <a:ext cx="7366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252pt;mso-wrap-style:square;z-index:10273552;mso-wrap-distance-left:9pt;mso-wrap-distance-top:0pt;mso-wrap-distance-right:9pt;mso-wrap-distance-bottom:0pt" id="shape7292" o:spid="1618382352357" stroked="f" filled="t" fillcolor="#cdcdcd"/>
            </w:pict>
          </mc:Fallback>
        </mc:AlternateContent>
      </w:r>
      <w:r>
        <mc:AlternateContent>
          <mc:Choice Requires="wps">
            <w:drawing>
              <wp:anchor distT="0" distB="0" distL="114300" distR="114300" simplePos="false" relativeHeight="10274576" behindDoc="true" locked="false" layoutInCell="true" allowOverlap="true">
                <wp:simplePos x="0" y="0"/>
                <wp:positionH relativeFrom="page">
                  <wp:posOffset>3175000</wp:posOffset>
                </wp:positionH>
                <wp:positionV relativeFrom="page">
                  <wp:posOffset>3200400</wp:posOffset>
                </wp:positionV>
                <wp:extent cx="736600" cy="317500"/>
                <wp:effectExtent l="0" t="0" r="22225" b="31115"/>
                <wp:wrapNone/>
                <wp:docPr id="7293" name="shape7293"/>
                <wp:cNvGraphicFramePr/>
                <a:graphic>
                  <a:graphicData uri="http://schemas.microsoft.com/office/word/2010/wordprocessingShape">
                    <wps:wsp>
                      <wps:cNvSpPr/>
                      <wps:spPr>
                        <a:xfrm>
                          <a:off x="0" y="0"/>
                          <a:ext cx="7366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252pt;mso-wrap-style:square;z-index:10274576;mso-wrap-distance-left:9pt;mso-wrap-distance-top:0pt;mso-wrap-distance-right:9pt;mso-wrap-distance-bottom:0pt" id="shape7293" o:spid="1618382352357" stroked="t" strokecolor="#cdcdcd" strokeweight="1pt"/>
            </w:pict>
          </mc:Fallback>
        </mc:AlternateContent>
      </w:r>
      <w:r>
        <mc:AlternateContent>
          <mc:Choice Requires="wps">
            <w:drawing>
              <wp:anchor distT="0" distB="0" distL="114300" distR="114300" simplePos="false" relativeHeight="10277648" behindDoc="true" locked="false" layoutInCell="true" allowOverlap="true">
                <wp:simplePos x="0" y="0"/>
                <wp:positionH relativeFrom="page">
                  <wp:posOffset>4025900</wp:posOffset>
                </wp:positionH>
                <wp:positionV relativeFrom="page">
                  <wp:posOffset>5295900</wp:posOffset>
                </wp:positionV>
                <wp:extent cx="1358900" cy="317500"/>
                <wp:effectExtent l="0" t="0" r="22225" b="31115"/>
                <wp:wrapNone/>
                <wp:docPr id="7296" name="shape7296"/>
                <wp:cNvGraphicFramePr/>
                <a:graphic>
                  <a:graphicData uri="http://schemas.microsoft.com/office/word/2010/wordprocessingShape">
                    <wps:wsp>
                      <wps:cNvSpPr/>
                      <wps:spPr>
                        <a:xfrm>
                          <a:off x="0" y="0"/>
                          <a:ext cx="13589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5pt;margin-left:317pt;margin-top:417pt;mso-wrap-style:square;z-index:10277648;mso-wrap-distance-left:9pt;mso-wrap-distance-top:0pt;mso-wrap-distance-right:9pt;mso-wrap-distance-bottom:0pt" id="shape7296" o:spid="1618382352358" stroked="f" filled="t" fillcolor="#cdcdcd"/>
            </w:pict>
          </mc:Fallback>
        </mc:AlternateContent>
      </w:r>
      <w:r>
        <mc:AlternateContent>
          <mc:Choice Requires="wps">
            <w:drawing>
              <wp:anchor distT="0" distB="0" distL="114300" distR="114300" simplePos="false" relativeHeight="10278672" behindDoc="true" locked="false" layoutInCell="true" allowOverlap="true">
                <wp:simplePos x="0" y="0"/>
                <wp:positionH relativeFrom="page">
                  <wp:posOffset>4025900</wp:posOffset>
                </wp:positionH>
                <wp:positionV relativeFrom="page">
                  <wp:posOffset>5295900</wp:posOffset>
                </wp:positionV>
                <wp:extent cx="1358900" cy="317500"/>
                <wp:effectExtent l="0" t="0" r="22225" b="31115"/>
                <wp:wrapNone/>
                <wp:docPr id="7297" name="shape7297"/>
                <wp:cNvGraphicFramePr/>
                <a:graphic>
                  <a:graphicData uri="http://schemas.microsoft.com/office/word/2010/wordprocessingShape">
                    <wps:wsp>
                      <wps:cNvSpPr/>
                      <wps:spPr>
                        <a:xfrm>
                          <a:off x="0" y="0"/>
                          <a:ext cx="13589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5pt;margin-left:317pt;margin-top:417pt;mso-wrap-style:square;z-index:10278672;mso-wrap-distance-left:9pt;mso-wrap-distance-top:0pt;mso-wrap-distance-right:9pt;mso-wrap-distance-bottom:0pt" id="shape7297" o:spid="1618382352358" stroked="t" strokecolor="#cdcdcd" strokeweight="1pt"/>
            </w:pict>
          </mc:Fallback>
        </mc:AlternateContent>
      </w:r>
      <w:r>
        <mc:AlternateContent>
          <mc:Choice Requires="wps">
            <w:drawing>
              <wp:anchor distT="0" distB="0" distL="114300" distR="114300" simplePos="false" relativeHeight="10281744" behindDoc="true" locked="false" layoutInCell="true" allowOverlap="true">
                <wp:simplePos x="0" y="0"/>
                <wp:positionH relativeFrom="page">
                  <wp:posOffset>5499100</wp:posOffset>
                </wp:positionH>
                <wp:positionV relativeFrom="page">
                  <wp:posOffset>6858000</wp:posOffset>
                </wp:positionV>
                <wp:extent cx="736600" cy="444500"/>
                <wp:effectExtent l="0" t="0" r="22225" b="31115"/>
                <wp:wrapNone/>
                <wp:docPr id="7300" name="shape7300"/>
                <wp:cNvGraphicFramePr/>
                <a:graphic>
                  <a:graphicData uri="http://schemas.microsoft.com/office/word/2010/wordprocessingShape">
                    <wps:wsp>
                      <wps:cNvSpPr/>
                      <wps:spPr>
                        <a:xfrm>
                          <a:off x="0" y="0"/>
                          <a:ext cx="736600" cy="444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35pt;margin-left:433pt;margin-top:540pt;mso-wrap-style:square;z-index:10281744;mso-wrap-distance-left:9pt;mso-wrap-distance-top:0pt;mso-wrap-distance-right:9pt;mso-wrap-distance-bottom:0pt" id="shape7300" o:spid="1618382352359" stroked="f" filled="t" fillcolor="#cdcdcd"/>
            </w:pict>
          </mc:Fallback>
        </mc:AlternateContent>
      </w:r>
      <w:r>
        <mc:AlternateContent>
          <mc:Choice Requires="wps">
            <w:drawing>
              <wp:anchor distT="0" distB="0" distL="114300" distR="114300" simplePos="false" relativeHeight="10282768" behindDoc="true" locked="false" layoutInCell="true" allowOverlap="true">
                <wp:simplePos x="0" y="0"/>
                <wp:positionH relativeFrom="page">
                  <wp:posOffset>5499100</wp:posOffset>
                </wp:positionH>
                <wp:positionV relativeFrom="page">
                  <wp:posOffset>6858000</wp:posOffset>
                </wp:positionV>
                <wp:extent cx="736600" cy="444500"/>
                <wp:effectExtent l="0" t="0" r="22225" b="31115"/>
                <wp:wrapNone/>
                <wp:docPr id="7301" name="shape7301"/>
                <wp:cNvGraphicFramePr/>
                <a:graphic>
                  <a:graphicData uri="http://schemas.microsoft.com/office/word/2010/wordprocessingShape">
                    <wps:wsp>
                      <wps:cNvSpPr/>
                      <wps:spPr>
                        <a:xfrm>
                          <a:off x="0" y="0"/>
                          <a:ext cx="736600" cy="444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35pt;margin-left:433pt;margin-top:540pt;mso-wrap-style:square;z-index:10282768;mso-wrap-distance-left:9pt;mso-wrap-distance-top:0pt;mso-wrap-distance-right:9pt;mso-wrap-distance-bottom:0pt" id="shape7301" o:spid="1618382352359" stroked="t" strokecolor="#cdcdcd" strokeweight="1pt"/>
            </w:pict>
          </mc:Fallback>
        </mc:AlternateContent>
      </w:r>
      <w:r>
        <mc:AlternateContent>
          <mc:Choice Requires="wps">
            <w:drawing>
              <wp:anchor distT="0" distB="0" distL="114300" distR="114300" simplePos="false" relativeHeight="10294032" behindDoc="true" locked="false" layoutInCell="true" allowOverlap="true">
                <wp:simplePos x="0" y="0"/>
                <wp:positionH relativeFrom="page">
                  <wp:posOffset>3530600</wp:posOffset>
                </wp:positionH>
                <wp:positionV relativeFrom="page">
                  <wp:posOffset>2908300</wp:posOffset>
                </wp:positionV>
                <wp:extent cx="12700" cy="241300"/>
                <wp:effectExtent l="0" t="0" r="22225" b="31115"/>
                <wp:wrapNone/>
                <wp:docPr id="7312" name="shape7312"/>
                <wp:cNvGraphicFramePr/>
                <a:graphic>
                  <a:graphicData uri="http://schemas.microsoft.com/office/word/2010/wordprocessingShape">
                    <wps:wsp>
                      <wps:cNvSpPr/>
                      <wps:spPr>
                        <a:xfrm>
                          <a:off x="0" y="0"/>
                          <a:ext cx="12700" cy="241300"/>
                        </a:xfrm>
                        <a:custGeom>
                          <a:avLst/>
                          <a:rect l="l" t="t" r="r" b="b"/>
                          <a:pathLst>
                            <a:path w="12700" h="241300">
                              <a:moveTo>
                                <a:pt x="10777" y="10050"/>
                              </a:moveTo>
                              <a:lnTo>
                                <a:pt x="10777" y="22984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41300" style="position:absolute;left:0;top:0;visibility:visible;mso-position-horizontal:absolute;mso-position-horizontal-relative:page;mso-position-vertical:absolute;mso-position-vertical-relative:page;width:1pt;height:19pt;margin-left:278pt;margin-top:229pt;mso-wrap-style:square;z-index:10294032;mso-wrap-distance-left:9pt;mso-wrap-distance-top:0pt;mso-wrap-distance-right:9pt;mso-wrap-distance-bottom:0pt" id="shape7312" o:spid="1618382352359" path="m10777,10050l10777,229844" stroked="t" strokecolor="#404040" strokeweight="1pt"/>
            </w:pict>
          </mc:Fallback>
        </mc:AlternateContent>
      </w:r>
      <w:r>
        <mc:AlternateContent>
          <mc:Choice Requires="wps">
            <w:drawing>
              <wp:anchor distT="0" distB="0" distL="114300" distR="114300" simplePos="false" relativeHeight="10295056" behindDoc="true" locked="false" layoutInCell="true" allowOverlap="true">
                <wp:simplePos x="0" y="0"/>
                <wp:positionH relativeFrom="page">
                  <wp:posOffset>3505200</wp:posOffset>
                </wp:positionH>
                <wp:positionV relativeFrom="page">
                  <wp:posOffset>3111500</wp:posOffset>
                </wp:positionV>
                <wp:extent cx="76200" cy="88900"/>
                <wp:effectExtent l="0" t="0" r="22225" b="31115"/>
                <wp:wrapNone/>
                <wp:docPr id="7313" name="shape7313"/>
                <wp:cNvGraphicFramePr/>
                <a:graphic>
                  <a:graphicData uri="http://schemas.microsoft.com/office/word/2010/wordprocessingShape">
                    <wps:wsp>
                      <wps:cNvSpPr/>
                      <wps:spPr>
                        <a:xfrm>
                          <a:off x="0" y="0"/>
                          <a:ext cx="76200" cy="88900"/>
                        </a:xfrm>
                        <a:custGeom>
                          <a:avLst/>
                          <a:rect l="l" t="t" r="r" b="b"/>
                          <a:pathLst>
                            <a:path w="76200" h="88900">
                              <a:moveTo>
                                <a:pt x="36177" y="80879"/>
                              </a:moveTo>
                              <a:lnTo>
                                <a:pt x="414" y="9243"/>
                              </a:lnTo>
                              <a:cubicBezTo>
                                <a:pt x="22969" y="20435"/>
                                <a:pt x="49486" y="20435"/>
                                <a:pt x="71939" y="9243"/>
                              </a:cubicBezTo>
                              <a:lnTo>
                                <a:pt x="36177" y="8087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88900" style="position:absolute;left:0;top:0;visibility:visible;mso-position-horizontal:absolute;mso-position-horizontal-relative:page;mso-position-vertical:absolute;mso-position-vertical-relative:page;width:6pt;height:7pt;margin-left:276pt;margin-top:245pt;mso-wrap-style:square;z-index:10295056;mso-wrap-distance-left:9pt;mso-wrap-distance-top:0pt;mso-wrap-distance-right:9pt;mso-wrap-distance-bottom:0pt" id="shape7313" o:spid="1618382352360" path="m36177,80879l414,9243c22969,20435,49486,20435,71939,9243l36177,80879e" stroked="f" filled="t" fillcolor="#404040"/>
            </w:pict>
          </mc:Fallback>
        </mc:AlternateContent>
      </w:r>
      <w:r>
        <mc:AlternateContent>
          <mc:Choice Requires="wps">
            <w:drawing>
              <wp:anchor distT="0" distB="0" distL="114300" distR="114300" simplePos="false" relativeHeight="10296080" behindDoc="true" locked="false" layoutInCell="true" allowOverlap="true">
                <wp:simplePos x="0" y="0"/>
                <wp:positionH relativeFrom="page">
                  <wp:posOffset>4470400</wp:posOffset>
                </wp:positionH>
                <wp:positionV relativeFrom="page">
                  <wp:posOffset>3200400</wp:posOffset>
                </wp:positionV>
                <wp:extent cx="736600" cy="317500"/>
                <wp:effectExtent l="0" t="0" r="22225" b="31115"/>
                <wp:wrapNone/>
                <wp:docPr id="7314" name="shape7314"/>
                <wp:cNvGraphicFramePr/>
                <a:graphic>
                  <a:graphicData uri="http://schemas.microsoft.com/office/word/2010/wordprocessingShape">
                    <wps:wsp>
                      <wps:cNvSpPr/>
                      <wps:spPr>
                        <a:xfrm>
                          <a:off x="0" y="0"/>
                          <a:ext cx="7366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352pt;margin-top:252pt;mso-wrap-style:square;z-index:10296080;mso-wrap-distance-left:9pt;mso-wrap-distance-top:0pt;mso-wrap-distance-right:9pt;mso-wrap-distance-bottom:0pt" id="shape7314" o:spid="1618382352360" stroked="f" filled="t" fillcolor="#cdcdcd"/>
            </w:pict>
          </mc:Fallback>
        </mc:AlternateContent>
      </w:r>
      <w:r>
        <mc:AlternateContent>
          <mc:Choice Requires="wps">
            <w:drawing>
              <wp:anchor distT="0" distB="0" distL="114300" distR="114300" simplePos="false" relativeHeight="10297104" behindDoc="true" locked="false" layoutInCell="true" allowOverlap="true">
                <wp:simplePos x="0" y="0"/>
                <wp:positionH relativeFrom="page">
                  <wp:posOffset>4470400</wp:posOffset>
                </wp:positionH>
                <wp:positionV relativeFrom="page">
                  <wp:posOffset>3200400</wp:posOffset>
                </wp:positionV>
                <wp:extent cx="736600" cy="317500"/>
                <wp:effectExtent l="0" t="0" r="22225" b="31115"/>
                <wp:wrapNone/>
                <wp:docPr id="7315" name="shape7315"/>
                <wp:cNvGraphicFramePr/>
                <a:graphic>
                  <a:graphicData uri="http://schemas.microsoft.com/office/word/2010/wordprocessingShape">
                    <wps:wsp>
                      <wps:cNvSpPr/>
                      <wps:spPr>
                        <a:xfrm>
                          <a:off x="0" y="0"/>
                          <a:ext cx="7366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352pt;margin-top:252pt;mso-wrap-style:square;z-index:10297104;mso-wrap-distance-left:9pt;mso-wrap-distance-top:0pt;mso-wrap-distance-right:9pt;mso-wrap-distance-bottom:0pt" id="shape7315" o:spid="1618382352361" stroked="t" strokecolor="#cdcdcd" strokeweight="1pt"/>
            </w:pict>
          </mc:Fallback>
        </mc:AlternateContent>
      </w:r>
      <w:r>
        <mc:AlternateContent>
          <mc:Choice Requires="wps">
            <w:drawing>
              <wp:anchor distT="0" distB="0" distL="114300" distR="114300" simplePos="false" relativeHeight="10300176" behindDoc="true" locked="false" layoutInCell="true" allowOverlap="true">
                <wp:simplePos x="0" y="0"/>
                <wp:positionH relativeFrom="page">
                  <wp:posOffset>3898900</wp:posOffset>
                </wp:positionH>
                <wp:positionV relativeFrom="page">
                  <wp:posOffset>3340100</wp:posOffset>
                </wp:positionV>
                <wp:extent cx="533400" cy="12700"/>
                <wp:effectExtent l="0" t="0" r="22225" b="31115"/>
                <wp:wrapNone/>
                <wp:docPr id="7318" name="shape7318"/>
                <wp:cNvGraphicFramePr/>
                <a:graphic>
                  <a:graphicData uri="http://schemas.microsoft.com/office/word/2010/wordprocessingShape">
                    <wps:wsp>
                      <wps:cNvSpPr/>
                      <wps:spPr>
                        <a:xfrm>
                          <a:off x="0" y="0"/>
                          <a:ext cx="533400" cy="12700"/>
                        </a:xfrm>
                        <a:custGeom>
                          <a:avLst/>
                          <a:rect l="l" t="t" r="r" b="b"/>
                          <a:pathLst>
                            <a:path w="533400" h="12700">
                              <a:moveTo>
                                <a:pt x="2541" y="3692"/>
                              </a:moveTo>
                              <a:lnTo>
                                <a:pt x="524350" y="3692"/>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33400,12700" style="position:absolute;left:0;top:0;visibility:visible;mso-position-horizontal:absolute;mso-position-horizontal-relative:page;mso-position-vertical:absolute;mso-position-vertical-relative:page;width:42pt;height:1pt;margin-left:307pt;margin-top:263pt;mso-wrap-style:square;z-index:10300176;mso-wrap-distance-left:9pt;mso-wrap-distance-top:0pt;mso-wrap-distance-right:9pt;mso-wrap-distance-bottom:0pt" id="shape7318" o:spid="1618382352361" path="m2541,3692l524350,3692" stroked="t" strokecolor="#404040" strokeweight="1pt"/>
            </w:pict>
          </mc:Fallback>
        </mc:AlternateContent>
      </w:r>
      <w:r>
        <mc:AlternateContent>
          <mc:Choice Requires="wps">
            <w:drawing>
              <wp:anchor distT="0" distB="0" distL="114300" distR="114300" simplePos="false" relativeHeight="10301200" behindDoc="true" locked="false" layoutInCell="true" allowOverlap="true">
                <wp:simplePos x="0" y="0"/>
                <wp:positionH relativeFrom="page">
                  <wp:posOffset>4394200</wp:posOffset>
                </wp:positionH>
                <wp:positionV relativeFrom="page">
                  <wp:posOffset>3302000</wp:posOffset>
                </wp:positionV>
                <wp:extent cx="88900" cy="88900"/>
                <wp:effectExtent l="0" t="0" r="22225" b="31115"/>
                <wp:wrapNone/>
                <wp:docPr id="7319" name="shape7319"/>
                <wp:cNvGraphicFramePr/>
                <a:graphic>
                  <a:graphicData uri="http://schemas.microsoft.com/office/word/2010/wordprocessingShape">
                    <wps:wsp>
                      <wps:cNvSpPr/>
                      <wps:spPr>
                        <a:xfrm>
                          <a:off x="0" y="0"/>
                          <a:ext cx="88900" cy="88900"/>
                        </a:xfrm>
                        <a:custGeom>
                          <a:avLst/>
                          <a:rect l="l" t="t" r="r" b="b"/>
                          <a:pathLst>
                            <a:path w="88900" h="88900">
                              <a:moveTo>
                                <a:pt x="83202" y="41792"/>
                              </a:moveTo>
                              <a:lnTo>
                                <a:pt x="11677" y="77609"/>
                              </a:lnTo>
                              <a:cubicBezTo>
                                <a:pt x="22954" y="55019"/>
                                <a:pt x="22954" y="28461"/>
                                <a:pt x="11677" y="5974"/>
                              </a:cubicBezTo>
                              <a:lnTo>
                                <a:pt x="11677" y="5974"/>
                              </a:lnTo>
                              <a:lnTo>
                                <a:pt x="83202" y="41792"/>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46pt;margin-top:260pt;mso-wrap-style:square;z-index:10301200;mso-wrap-distance-left:9pt;mso-wrap-distance-top:0pt;mso-wrap-distance-right:9pt;mso-wrap-distance-bottom:0pt" id="shape7319" o:spid="1618382352362" path="m83202,41792l11677,77609c22954,55019,22954,28461,11677,5974l11677,5974l83202,41792e" stroked="f" filled="t" fillcolor="#404040"/>
            </w:pict>
          </mc:Fallback>
        </mc:AlternateContent>
      </w:r>
      <w:r>
        <mc:AlternateContent>
          <mc:Choice Requires="wps">
            <w:drawing>
              <wp:anchor distT="0" distB="0" distL="114300" distR="114300" simplePos="false" relativeHeight="10302224" behindDoc="true" locked="false" layoutInCell="true" allowOverlap="true">
                <wp:simplePos x="0" y="0"/>
                <wp:positionH relativeFrom="page">
                  <wp:posOffset>4470400</wp:posOffset>
                </wp:positionH>
                <wp:positionV relativeFrom="page">
                  <wp:posOffset>2628900</wp:posOffset>
                </wp:positionV>
                <wp:extent cx="736600" cy="304800"/>
                <wp:effectExtent l="0" t="0" r="22225" b="31115"/>
                <wp:wrapNone/>
                <wp:docPr id="7320" name="shape7320"/>
                <wp:cNvGraphicFramePr/>
                <a:graphic>
                  <a:graphicData uri="http://schemas.microsoft.com/office/word/2010/wordprocessingShape">
                    <wps:wsp>
                      <wps:cNvSpPr/>
                      <wps:spPr>
                        <a:xfrm>
                          <a:off x="0" y="0"/>
                          <a:ext cx="736600" cy="3048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4pt;margin-left:352pt;margin-top:207pt;mso-wrap-style:square;z-index:10302224;mso-wrap-distance-left:9pt;mso-wrap-distance-top:0pt;mso-wrap-distance-right:9pt;mso-wrap-distance-bottom:0pt" id="shape7320" o:spid="1618382352362" stroked="f" filled="t" fillcolor="#cdcdcd"/>
            </w:pict>
          </mc:Fallback>
        </mc:AlternateContent>
      </w:r>
      <w:r>
        <mc:AlternateContent>
          <mc:Choice Requires="wps">
            <w:drawing>
              <wp:anchor distT="0" distB="0" distL="114300" distR="114300" simplePos="false" relativeHeight="10303248" behindDoc="true" locked="false" layoutInCell="true" allowOverlap="true">
                <wp:simplePos x="0" y="0"/>
                <wp:positionH relativeFrom="page">
                  <wp:posOffset>4470400</wp:posOffset>
                </wp:positionH>
                <wp:positionV relativeFrom="page">
                  <wp:posOffset>2628900</wp:posOffset>
                </wp:positionV>
                <wp:extent cx="736600" cy="304800"/>
                <wp:effectExtent l="0" t="0" r="22225" b="31115"/>
                <wp:wrapNone/>
                <wp:docPr id="7321" name="shape7321"/>
                <wp:cNvGraphicFramePr/>
                <a:graphic>
                  <a:graphicData uri="http://schemas.microsoft.com/office/word/2010/wordprocessingShape">
                    <wps:wsp>
                      <wps:cNvSpPr/>
                      <wps:spPr>
                        <a:xfrm>
                          <a:off x="0" y="0"/>
                          <a:ext cx="736600" cy="3048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4pt;margin-left:352pt;margin-top:207pt;mso-wrap-style:square;z-index:10303248;mso-wrap-distance-left:9pt;mso-wrap-distance-top:0pt;mso-wrap-distance-right:9pt;mso-wrap-distance-bottom:0pt" id="shape7321" o:spid="1618382352362" stroked="t" strokecolor="#cdcdcd" strokeweight="1pt"/>
            </w:pict>
          </mc:Fallback>
        </mc:AlternateContent>
      </w:r>
      <w:r>
        <mc:AlternateContent>
          <mc:Choice Requires="wps">
            <w:drawing>
              <wp:anchor distT="0" distB="0" distL="114300" distR="114300" simplePos="false" relativeHeight="10306320" behindDoc="true" locked="false" layoutInCell="true" allowOverlap="true">
                <wp:simplePos x="0" y="0"/>
                <wp:positionH relativeFrom="page">
                  <wp:posOffset>4826000</wp:posOffset>
                </wp:positionH>
                <wp:positionV relativeFrom="page">
                  <wp:posOffset>2971800</wp:posOffset>
                </wp:positionV>
                <wp:extent cx="12700" cy="228600"/>
                <wp:effectExtent l="0" t="0" r="22225" b="31115"/>
                <wp:wrapNone/>
                <wp:docPr id="7324" name="shape7324"/>
                <wp:cNvGraphicFramePr/>
                <a:graphic>
                  <a:graphicData uri="http://schemas.microsoft.com/office/word/2010/wordprocessingShape">
                    <wps:wsp>
                      <wps:cNvSpPr/>
                      <wps:spPr>
                        <a:xfrm>
                          <a:off x="0" y="0"/>
                          <a:ext cx="12700" cy="228600"/>
                        </a:xfrm>
                        <a:custGeom>
                          <a:avLst/>
                          <a:rect l="l" t="t" r="r" b="b"/>
                          <a:pathLst>
                            <a:path w="12700" h="228600">
                              <a:moveTo>
                                <a:pt x="11365" y="220579"/>
                              </a:moveTo>
                              <a:lnTo>
                                <a:pt x="11365" y="786"/>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28600" style="position:absolute;left:0;top:0;visibility:visible;mso-position-horizontal:absolute;mso-position-horizontal-relative:page;mso-position-vertical:absolute;mso-position-vertical-relative:page;width:1pt;height:18pt;margin-left:380pt;margin-top:234pt;mso-wrap-style:square;z-index:10306320;mso-wrap-distance-left:9pt;mso-wrap-distance-top:0pt;mso-wrap-distance-right:9pt;mso-wrap-distance-bottom:0pt" id="shape7324" o:spid="1618382352363" path="m11365,220579l11365,786" stroked="t" strokecolor="#404040" strokeweight="1pt"/>
            </w:pict>
          </mc:Fallback>
        </mc:AlternateContent>
      </w:r>
      <w:r>
        <mc:AlternateContent>
          <mc:Choice Requires="wps">
            <w:drawing>
              <wp:anchor distT="0" distB="0" distL="114300" distR="114300" simplePos="false" relativeHeight="10307344" behindDoc="true" locked="false" layoutInCell="true" allowOverlap="true">
                <wp:simplePos x="0" y="0"/>
                <wp:positionH relativeFrom="page">
                  <wp:posOffset>4800600</wp:posOffset>
                </wp:positionH>
                <wp:positionV relativeFrom="page">
                  <wp:posOffset>2908300</wp:posOffset>
                </wp:positionV>
                <wp:extent cx="76200" cy="88900"/>
                <wp:effectExtent l="0" t="0" r="22225" b="31115"/>
                <wp:wrapNone/>
                <wp:docPr id="7325" name="shape7325"/>
                <wp:cNvGraphicFramePr/>
                <a:graphic>
                  <a:graphicData uri="http://schemas.microsoft.com/office/word/2010/wordprocessingShape">
                    <wps:wsp>
                      <wps:cNvSpPr/>
                      <wps:spPr>
                        <a:xfrm>
                          <a:off x="0" y="0"/>
                          <a:ext cx="76200" cy="88900"/>
                        </a:xfrm>
                        <a:custGeom>
                          <a:avLst/>
                          <a:rect l="l" t="t" r="r" b="b"/>
                          <a:pathLst>
                            <a:path w="76200" h="88900">
                              <a:moveTo>
                                <a:pt x="36765" y="10050"/>
                              </a:moveTo>
                              <a:lnTo>
                                <a:pt x="72528" y="81687"/>
                              </a:lnTo>
                              <a:cubicBezTo>
                                <a:pt x="50074" y="70391"/>
                                <a:pt x="23557" y="70391"/>
                                <a:pt x="1002" y="81687"/>
                              </a:cubicBezTo>
                              <a:lnTo>
                                <a:pt x="1002" y="81687"/>
                              </a:lnTo>
                              <a:lnTo>
                                <a:pt x="36765" y="10050"/>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88900" style="position:absolute;left:0;top:0;visibility:visible;mso-position-horizontal:absolute;mso-position-horizontal-relative:page;mso-position-vertical:absolute;mso-position-vertical-relative:page;width:6pt;height:7pt;margin-left:378pt;margin-top:229pt;mso-wrap-style:square;z-index:10307344;mso-wrap-distance-left:9pt;mso-wrap-distance-top:0pt;mso-wrap-distance-right:9pt;mso-wrap-distance-bottom:0pt" id="shape7325" o:spid="1618382352363" path="m36765,10050l72528,81687c50074,70391,23557,70391,1002,81687l1002,81687l36765,10050e" stroked="f" filled="t" fillcolor="#404040"/>
            </w:pict>
          </mc:Fallback>
        </mc:AlternateContent>
      </w:r>
      <w:r>
        <mc:AlternateContent>
          <mc:Choice Requires="wps">
            <w:drawing>
              <wp:anchor distT="0" distB="0" distL="114300" distR="114300" simplePos="false" relativeHeight="10308368" behindDoc="true" locked="false" layoutInCell="true" allowOverlap="true">
                <wp:simplePos x="0" y="0"/>
                <wp:positionH relativeFrom="page">
                  <wp:posOffset>3594100</wp:posOffset>
                </wp:positionH>
                <wp:positionV relativeFrom="page">
                  <wp:posOffset>2755900</wp:posOffset>
                </wp:positionV>
                <wp:extent cx="889000" cy="304800"/>
                <wp:effectExtent l="0" t="0" r="22225" b="31115"/>
                <wp:wrapNone/>
                <wp:docPr id="7326" name="shape7326"/>
                <wp:cNvGraphicFramePr/>
                <a:graphic>
                  <a:graphicData uri="http://schemas.microsoft.com/office/word/2010/wordprocessingShape">
                    <wps:wsp>
                      <wps:cNvSpPr/>
                      <wps:spPr>
                        <a:xfrm>
                          <a:off x="0" y="0"/>
                          <a:ext cx="889000" cy="304800"/>
                        </a:xfrm>
                        <a:custGeom>
                          <a:avLst/>
                          <a:rect l="l" t="t" r="r" b="b"/>
                          <a:pathLst>
                            <a:path w="889000" h="304800">
                              <a:moveTo>
                                <a:pt x="883302" y="11038"/>
                              </a:moveTo>
                              <a:lnTo>
                                <a:pt x="667304" y="11038"/>
                              </a:lnTo>
                              <a:lnTo>
                                <a:pt x="667304" y="292189"/>
                              </a:lnTo>
                              <a:lnTo>
                                <a:pt x="1428" y="292189"/>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0,304800" style="position:absolute;left:0;top:0;visibility:visible;mso-position-horizontal:absolute;mso-position-horizontal-relative:page;mso-position-vertical:absolute;mso-position-vertical-relative:page;width:70pt;height:24pt;margin-left:283pt;margin-top:217pt;mso-wrap-style:square;z-index:10308368;mso-wrap-distance-left:9pt;mso-wrap-distance-top:0pt;mso-wrap-distance-right:9pt;mso-wrap-distance-bottom:0pt" id="shape7326" o:spid="1618382352364" path="m883302,11038l667304,11038l667304,292189l1428,292189" stroked="t" strokecolor="#404040" strokeweight="1pt"/>
            </w:pict>
          </mc:Fallback>
        </mc:AlternateContent>
      </w:r>
      <w:r>
        <mc:AlternateContent>
          <mc:Choice Requires="wps">
            <w:drawing>
              <wp:anchor distT="0" distB="0" distL="114300" distR="114300" simplePos="false" relativeHeight="10309392" behindDoc="true" locked="false" layoutInCell="true" allowOverlap="true">
                <wp:simplePos x="0" y="0"/>
                <wp:positionH relativeFrom="page">
                  <wp:posOffset>3530600</wp:posOffset>
                </wp:positionH>
                <wp:positionV relativeFrom="page">
                  <wp:posOffset>3009900</wp:posOffset>
                </wp:positionV>
                <wp:extent cx="88900" cy="76200"/>
                <wp:effectExtent l="0" t="0" r="22225" b="31115"/>
                <wp:wrapNone/>
                <wp:docPr id="7327" name="shape7327"/>
                <wp:cNvGraphicFramePr/>
                <a:graphic>
                  <a:graphicData uri="http://schemas.microsoft.com/office/word/2010/wordprocessingShape">
                    <wps:wsp>
                      <wps:cNvSpPr/>
                      <wps:spPr>
                        <a:xfrm>
                          <a:off x="0" y="0"/>
                          <a:ext cx="88900" cy="76200"/>
                        </a:xfrm>
                        <a:custGeom>
                          <a:avLst/>
                          <a:rect l="l" t="t" r="r" b="b"/>
                          <a:pathLst>
                            <a:path w="88900" h="76200">
                              <a:moveTo>
                                <a:pt x="10777" y="38189"/>
                              </a:moveTo>
                              <a:lnTo>
                                <a:pt x="82302" y="2371"/>
                              </a:lnTo>
                              <a:cubicBezTo>
                                <a:pt x="71126" y="24961"/>
                                <a:pt x="71126" y="51519"/>
                                <a:pt x="82302" y="74007"/>
                              </a:cubicBezTo>
                              <a:lnTo>
                                <a:pt x="82302" y="74007"/>
                              </a:lnTo>
                              <a:lnTo>
                                <a:pt x="10777" y="3818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278pt;margin-top:237pt;mso-wrap-style:square;z-index:10309392;mso-wrap-distance-left:9pt;mso-wrap-distance-top:0pt;mso-wrap-distance-right:9pt;mso-wrap-distance-bottom:0pt" id="shape7327" o:spid="1618382352364" path="m10777,38189l82302,2371c71126,24961,71126,51519,82302,74007l82302,74007l10777,38189e" stroked="f" filled="t" fillcolor="#404040"/>
            </w:pict>
          </mc:Fallback>
        </mc:AlternateContent>
      </w:r>
      <w:r>
        <mc:AlternateContent>
          <mc:Choice Requires="wps">
            <w:drawing>
              <wp:anchor distT="0" distB="0" distL="114300" distR="114300" simplePos="false" relativeHeight="10310416" behindDoc="true" locked="false" layoutInCell="true" allowOverlap="true">
                <wp:simplePos x="0" y="0"/>
                <wp:positionH relativeFrom="page">
                  <wp:posOffset>3530600</wp:posOffset>
                </wp:positionH>
                <wp:positionV relativeFrom="page">
                  <wp:posOffset>3492500</wp:posOffset>
                </wp:positionV>
                <wp:extent cx="12700" cy="165100"/>
                <wp:effectExtent l="0" t="0" r="22225" b="31115"/>
                <wp:wrapNone/>
                <wp:docPr id="7328" name="shape7328"/>
                <wp:cNvGraphicFramePr/>
                <a:graphic>
                  <a:graphicData uri="http://schemas.microsoft.com/office/word/2010/wordprocessingShape">
                    <wps:wsp>
                      <wps:cNvSpPr/>
                      <wps:spPr>
                        <a:xfrm>
                          <a:off x="0" y="0"/>
                          <a:ext cx="12700" cy="165100"/>
                        </a:xfrm>
                        <a:custGeom>
                          <a:avLst/>
                          <a:rect l="l" t="t" r="r" b="b"/>
                          <a:pathLst>
                            <a:path w="12700" h="165100">
                              <a:moveTo>
                                <a:pt x="10777" y="2705"/>
                              </a:moveTo>
                              <a:lnTo>
                                <a:pt x="10777" y="155847"/>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65100" style="position:absolute;left:0;top:0;visibility:visible;mso-position-horizontal:absolute;mso-position-horizontal-relative:page;mso-position-vertical:absolute;mso-position-vertical-relative:page;width:1pt;height:13pt;margin-left:278pt;margin-top:275pt;mso-wrap-style:square;z-index:10310416;mso-wrap-distance-left:9pt;mso-wrap-distance-top:0pt;mso-wrap-distance-right:9pt;mso-wrap-distance-bottom:0pt" id="shape7328" o:spid="1618382352365" path="m10777,2705l10777,155847" stroked="t" strokecolor="#404040" strokeweight="1pt"/>
            </w:pict>
          </mc:Fallback>
        </mc:AlternateContent>
      </w:r>
      <w:r>
        <mc:AlternateContent>
          <mc:Choice Requires="wps">
            <w:drawing>
              <wp:anchor distT="0" distB="0" distL="114300" distR="114300" simplePos="false" relativeHeight="10311440" behindDoc="true" locked="false" layoutInCell="true" allowOverlap="true">
                <wp:simplePos x="0" y="0"/>
                <wp:positionH relativeFrom="page">
                  <wp:posOffset>3505200</wp:posOffset>
                </wp:positionH>
                <wp:positionV relativeFrom="page">
                  <wp:posOffset>3619500</wp:posOffset>
                </wp:positionV>
                <wp:extent cx="76200" cy="88900"/>
                <wp:effectExtent l="0" t="0" r="22225" b="31115"/>
                <wp:wrapNone/>
                <wp:docPr id="7329" name="shape7329"/>
                <wp:cNvGraphicFramePr/>
                <a:graphic>
                  <a:graphicData uri="http://schemas.microsoft.com/office/word/2010/wordprocessingShape">
                    <wps:wsp>
                      <wps:cNvSpPr/>
                      <wps:spPr>
                        <a:xfrm>
                          <a:off x="0" y="0"/>
                          <a:ext cx="76200" cy="88900"/>
                        </a:xfrm>
                        <a:custGeom>
                          <a:avLst/>
                          <a:rect l="l" t="t" r="r" b="b"/>
                          <a:pathLst>
                            <a:path w="76200" h="88900">
                              <a:moveTo>
                                <a:pt x="36177" y="82981"/>
                              </a:moveTo>
                              <a:lnTo>
                                <a:pt x="414" y="11345"/>
                              </a:lnTo>
                              <a:cubicBezTo>
                                <a:pt x="22969" y="22640"/>
                                <a:pt x="49486" y="22640"/>
                                <a:pt x="71939" y="11345"/>
                              </a:cubicBezTo>
                              <a:lnTo>
                                <a:pt x="36177" y="8298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88900" style="position:absolute;left:0;top:0;visibility:visible;mso-position-horizontal:absolute;mso-position-horizontal-relative:page;mso-position-vertical:absolute;mso-position-vertical-relative:page;width:6pt;height:7pt;margin-left:276pt;margin-top:285pt;mso-wrap-style:square;z-index:10311440;mso-wrap-distance-left:9pt;mso-wrap-distance-top:0pt;mso-wrap-distance-right:9pt;mso-wrap-distance-bottom:0pt" id="shape7329" o:spid="1618382352365" path="m36177,82981l414,11345c22969,22640,49486,22640,71939,11345l36177,82981e" stroked="f" filled="t" fillcolor="#404040"/>
            </w:pict>
          </mc:Fallback>
        </mc:AlternateContent>
      </w:r>
      <w:r>
        <mc:AlternateContent>
          <mc:Choice Requires="wps">
            <w:drawing>
              <wp:anchor distT="0" distB="0" distL="114300" distR="114300" simplePos="false" relativeHeight="10312464" behindDoc="true" locked="false" layoutInCell="true" allowOverlap="true">
                <wp:simplePos x="0" y="0"/>
                <wp:positionH relativeFrom="page">
                  <wp:posOffset>3530600</wp:posOffset>
                </wp:positionH>
                <wp:positionV relativeFrom="page">
                  <wp:posOffset>4000500</wp:posOffset>
                </wp:positionV>
                <wp:extent cx="12700" cy="190500"/>
                <wp:effectExtent l="0" t="0" r="22225" b="31115"/>
                <wp:wrapNone/>
                <wp:docPr id="7330" name="shape7330"/>
                <wp:cNvGraphicFramePr/>
                <a:graphic>
                  <a:graphicData uri="http://schemas.microsoft.com/office/word/2010/wordprocessingShape">
                    <wps:wsp>
                      <wps:cNvSpPr/>
                      <wps:spPr>
                        <a:xfrm>
                          <a:off x="0" y="0"/>
                          <a:ext cx="12700" cy="190500"/>
                        </a:xfrm>
                        <a:custGeom>
                          <a:avLst/>
                          <a:rect l="l" t="t" r="r" b="b"/>
                          <a:pathLst>
                            <a:path w="12700" h="190500">
                              <a:moveTo>
                                <a:pt x="10777" y="4909"/>
                              </a:moveTo>
                              <a:lnTo>
                                <a:pt x="10777" y="181455"/>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90500" style="position:absolute;left:0;top:0;visibility:visible;mso-position-horizontal:absolute;mso-position-horizontal-relative:page;mso-position-vertical:absolute;mso-position-vertical-relative:page;width:1pt;height:15pt;margin-left:278pt;margin-top:315pt;mso-wrap-style:square;z-index:10312464;mso-wrap-distance-left:9pt;mso-wrap-distance-top:0pt;mso-wrap-distance-right:9pt;mso-wrap-distance-bottom:0pt" id="shape7330" o:spid="1618382352366" path="m10777,4909l10777,181455" stroked="t" strokecolor="#404040" strokeweight="1pt"/>
            </w:pict>
          </mc:Fallback>
        </mc:AlternateContent>
      </w:r>
      <w:r>
        <mc:AlternateContent>
          <mc:Choice Requires="wps">
            <w:drawing>
              <wp:anchor distT="0" distB="0" distL="114300" distR="114300" simplePos="false" relativeHeight="10313488" behindDoc="true" locked="false" layoutInCell="true" allowOverlap="true">
                <wp:simplePos x="0" y="0"/>
                <wp:positionH relativeFrom="page">
                  <wp:posOffset>3505200</wp:posOffset>
                </wp:positionH>
                <wp:positionV relativeFrom="page">
                  <wp:posOffset>4152900</wp:posOffset>
                </wp:positionV>
                <wp:extent cx="76200" cy="88900"/>
                <wp:effectExtent l="0" t="0" r="22225" b="31115"/>
                <wp:wrapNone/>
                <wp:docPr id="7331" name="shape7331"/>
                <wp:cNvGraphicFramePr/>
                <a:graphic>
                  <a:graphicData uri="http://schemas.microsoft.com/office/word/2010/wordprocessingShape">
                    <wps:wsp>
                      <wps:cNvSpPr/>
                      <wps:spPr>
                        <a:xfrm>
                          <a:off x="0" y="0"/>
                          <a:ext cx="76200" cy="88900"/>
                        </a:xfrm>
                        <a:custGeom>
                          <a:avLst/>
                          <a:rect l="l" t="t" r="r" b="b"/>
                          <a:pathLst>
                            <a:path w="76200" h="88900">
                              <a:moveTo>
                                <a:pt x="36177" y="83291"/>
                              </a:moveTo>
                              <a:lnTo>
                                <a:pt x="414" y="11655"/>
                              </a:lnTo>
                              <a:cubicBezTo>
                                <a:pt x="22969" y="22848"/>
                                <a:pt x="49486" y="22848"/>
                                <a:pt x="71939" y="11655"/>
                              </a:cubicBezTo>
                              <a:lnTo>
                                <a:pt x="71939" y="11655"/>
                              </a:lnTo>
                              <a:lnTo>
                                <a:pt x="36177" y="8329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88900" style="position:absolute;left:0;top:0;visibility:visible;mso-position-horizontal:absolute;mso-position-horizontal-relative:page;mso-position-vertical:absolute;mso-position-vertical-relative:page;width:6pt;height:7pt;margin-left:276pt;margin-top:327pt;mso-wrap-style:square;z-index:10313488;mso-wrap-distance-left:9pt;mso-wrap-distance-top:0pt;mso-wrap-distance-right:9pt;mso-wrap-distance-bottom:0pt" id="shape7331" o:spid="1618382352366" path="m36177,83291l414,11655c22969,22848,49486,22848,71939,11655l71939,11655l36177,83291e" stroked="f" filled="t" fillcolor="#404040"/>
            </w:pict>
          </mc:Fallback>
        </mc:AlternateContent>
      </w:r>
      <w:r>
        <mc:AlternateContent>
          <mc:Choice Requires="wps">
            <w:drawing>
              <wp:anchor distT="0" distB="0" distL="114300" distR="114300" simplePos="false" relativeHeight="10314512" behindDoc="true" locked="false" layoutInCell="true" allowOverlap="true">
                <wp:simplePos x="0" y="0"/>
                <wp:positionH relativeFrom="page">
                  <wp:posOffset>2933700</wp:posOffset>
                </wp:positionH>
                <wp:positionV relativeFrom="page">
                  <wp:posOffset>4597400</wp:posOffset>
                </wp:positionV>
                <wp:extent cx="2654300" cy="850900"/>
                <wp:effectExtent l="0" t="0" r="22225" b="31115"/>
                <wp:wrapNone/>
                <wp:docPr id="7332" name="shape7332"/>
                <wp:cNvGraphicFramePr/>
                <a:graphic>
                  <a:graphicData uri="http://schemas.microsoft.com/office/word/2010/wordprocessingShape">
                    <wps:wsp>
                      <wps:cNvSpPr/>
                      <wps:spPr>
                        <a:xfrm>
                          <a:off x="0" y="0"/>
                          <a:ext cx="2654300" cy="850900"/>
                        </a:xfrm>
                        <a:custGeom>
                          <a:avLst/>
                          <a:rect l="l" t="t" r="r" b="b"/>
                          <a:pathLst>
                            <a:path w="2654300" h="850900">
                              <a:moveTo>
                                <a:pt x="67681" y="294913"/>
                              </a:moveTo>
                              <a:lnTo>
                                <a:pt x="5097" y="294913"/>
                              </a:lnTo>
                              <a:lnTo>
                                <a:pt x="5097" y="33197"/>
                              </a:lnTo>
                              <a:lnTo>
                                <a:pt x="577197" y="33197"/>
                              </a:lnTo>
                              <a:cubicBezTo>
                                <a:pt x="577197" y="16305"/>
                                <a:pt x="590913" y="2670"/>
                                <a:pt x="607677" y="2670"/>
                              </a:cubicBezTo>
                              <a:cubicBezTo>
                                <a:pt x="624542" y="2670"/>
                                <a:pt x="638156" y="16305"/>
                                <a:pt x="638156" y="33197"/>
                              </a:cubicBezTo>
                              <a:cubicBezTo>
                                <a:pt x="638156" y="33197"/>
                                <a:pt x="638156" y="33197"/>
                                <a:pt x="638156" y="33197"/>
                              </a:cubicBezTo>
                              <a:lnTo>
                                <a:pt x="2652445" y="33197"/>
                              </a:lnTo>
                              <a:lnTo>
                                <a:pt x="2652445" y="842971"/>
                              </a:lnTo>
                              <a:lnTo>
                                <a:pt x="2490599" y="842971"/>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54300,850900" style="position:absolute;left:0;top:0;visibility:visible;mso-position-horizontal:absolute;mso-position-horizontal-relative:page;mso-position-vertical:absolute;mso-position-vertical-relative:page;width:209pt;height:67pt;margin-left:231pt;margin-top:362pt;mso-wrap-style:square;z-index:10314512;mso-wrap-distance-left:9pt;mso-wrap-distance-top:0pt;mso-wrap-distance-right:9pt;mso-wrap-distance-bottom:0pt" id="shape7332" o:spid="1618382352367" path="m67681,294913l5097,294913l5097,33197l577197,33197c577197,16305,590913,2670,607677,2670c624542,2670,638156,16305,638156,33197c638156,33197,638156,33197,638156,33197l2652445,33197l2652445,842971l2490599,842971" stroked="t" strokecolor="#404040" strokeweight="1pt"/>
            </w:pict>
          </mc:Fallback>
        </mc:AlternateContent>
      </w:r>
      <w:r>
        <mc:AlternateContent>
          <mc:Choice Requires="wps">
            <w:drawing>
              <wp:anchor distT="0" distB="0" distL="114300" distR="114300" simplePos="false" relativeHeight="10315536" behindDoc="true" locked="false" layoutInCell="true" allowOverlap="true">
                <wp:simplePos x="0" y="0"/>
                <wp:positionH relativeFrom="page">
                  <wp:posOffset>5359400</wp:posOffset>
                </wp:positionH>
                <wp:positionV relativeFrom="page">
                  <wp:posOffset>5397500</wp:posOffset>
                </wp:positionV>
                <wp:extent cx="88900" cy="88900"/>
                <wp:effectExtent l="0" t="0" r="22225" b="31115"/>
                <wp:wrapNone/>
                <wp:docPr id="7333" name="shape7333"/>
                <wp:cNvGraphicFramePr/>
                <a:graphic>
                  <a:graphicData uri="http://schemas.microsoft.com/office/word/2010/wordprocessingShape">
                    <wps:wsp>
                      <wps:cNvSpPr/>
                      <wps:spPr>
                        <a:xfrm>
                          <a:off x="0" y="0"/>
                          <a:ext cx="88900" cy="88900"/>
                        </a:xfrm>
                        <a:custGeom>
                          <a:avLst/>
                          <a:rect l="l" t="t" r="r" b="b"/>
                          <a:pathLst>
                            <a:path w="88900" h="88900">
                              <a:moveTo>
                                <a:pt x="10747" y="42871"/>
                              </a:moveTo>
                              <a:lnTo>
                                <a:pt x="82272" y="7053"/>
                              </a:lnTo>
                              <a:cubicBezTo>
                                <a:pt x="70994" y="29642"/>
                                <a:pt x="70994" y="56200"/>
                                <a:pt x="82272" y="78688"/>
                              </a:cubicBezTo>
                              <a:lnTo>
                                <a:pt x="82272" y="78688"/>
                              </a:lnTo>
                              <a:lnTo>
                                <a:pt x="10747" y="4287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422pt;margin-top:425pt;mso-wrap-style:square;z-index:10315536;mso-wrap-distance-left:9pt;mso-wrap-distance-top:0pt;mso-wrap-distance-right:9pt;mso-wrap-distance-bottom:0pt" id="shape7333" o:spid="1618382352367" path="m10747,42871l82272,7053c70994,29642,70994,56200,82272,78688l82272,78688l10747,42871e" stroked="f" filled="t" fillcolor="#404040"/>
            </w:pict>
          </mc:Fallback>
        </mc:AlternateContent>
      </w:r>
      <w:r>
        <mc:AlternateContent>
          <mc:Choice Requires="wps">
            <w:drawing>
              <wp:anchor distT="0" distB="0" distL="114300" distR="114300" simplePos="false" relativeHeight="10316560" behindDoc="true" locked="false" layoutInCell="true" allowOverlap="true">
                <wp:simplePos x="0" y="0"/>
                <wp:positionH relativeFrom="page">
                  <wp:posOffset>3175000</wp:posOffset>
                </wp:positionH>
                <wp:positionV relativeFrom="page">
                  <wp:posOffset>2044700</wp:posOffset>
                </wp:positionV>
                <wp:extent cx="736600" cy="317500"/>
                <wp:effectExtent l="0" t="0" r="22225" b="31115"/>
                <wp:wrapNone/>
                <wp:docPr id="7334" name="shape7334"/>
                <wp:cNvGraphicFramePr/>
                <a:graphic>
                  <a:graphicData uri="http://schemas.microsoft.com/office/word/2010/wordprocessingShape">
                    <wps:wsp>
                      <wps:cNvSpPr/>
                      <wps:spPr>
                        <a:xfrm>
                          <a:off x="0" y="0"/>
                          <a:ext cx="7366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161pt;mso-wrap-style:square;z-index:10316560;mso-wrap-distance-left:9pt;mso-wrap-distance-top:0pt;mso-wrap-distance-right:9pt;mso-wrap-distance-bottom:0pt" id="shape7334" o:spid="1618382352367" stroked="f" filled="t" fillcolor="#cdcdcd"/>
            </w:pict>
          </mc:Fallback>
        </mc:AlternateContent>
      </w:r>
      <w:r>
        <mc:AlternateContent>
          <mc:Choice Requires="wps">
            <w:drawing>
              <wp:anchor distT="0" distB="0" distL="114300" distR="114300" simplePos="false" relativeHeight="10317584" behindDoc="true" locked="false" layoutInCell="true" allowOverlap="true">
                <wp:simplePos x="0" y="0"/>
                <wp:positionH relativeFrom="page">
                  <wp:posOffset>3175000</wp:posOffset>
                </wp:positionH>
                <wp:positionV relativeFrom="page">
                  <wp:posOffset>2044700</wp:posOffset>
                </wp:positionV>
                <wp:extent cx="736600" cy="317500"/>
                <wp:effectExtent l="0" t="0" r="22225" b="31115"/>
                <wp:wrapNone/>
                <wp:docPr id="7335" name="shape7335"/>
                <wp:cNvGraphicFramePr/>
                <a:graphic>
                  <a:graphicData uri="http://schemas.microsoft.com/office/word/2010/wordprocessingShape">
                    <wps:wsp>
                      <wps:cNvSpPr/>
                      <wps:spPr>
                        <a:xfrm>
                          <a:off x="0" y="0"/>
                          <a:ext cx="7366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161pt;mso-wrap-style:square;z-index:10317584;mso-wrap-distance-left:9pt;mso-wrap-distance-top:0pt;mso-wrap-distance-right:9pt;mso-wrap-distance-bottom:0pt" id="shape7335" o:spid="1618382352368" stroked="t" strokecolor="#cdcdcd" strokeweight="1pt"/>
            </w:pict>
          </mc:Fallback>
        </mc:AlternateContent>
      </w:r>
      <w:r>
        <mc:AlternateContent>
          <mc:Choice Requires="wps">
            <w:drawing>
              <wp:anchor distT="0" distB="0" distL="114300" distR="114300" simplePos="false" relativeHeight="10320656" behindDoc="true" locked="false" layoutInCell="true" allowOverlap="true">
                <wp:simplePos x="0" y="0"/>
                <wp:positionH relativeFrom="page">
                  <wp:posOffset>3530600</wp:posOffset>
                </wp:positionH>
                <wp:positionV relativeFrom="page">
                  <wp:posOffset>1752600</wp:posOffset>
                </wp:positionV>
                <wp:extent cx="12700" cy="241300"/>
                <wp:effectExtent l="0" t="0" r="22225" b="31115"/>
                <wp:wrapNone/>
                <wp:docPr id="7338" name="shape7338"/>
                <wp:cNvGraphicFramePr/>
                <a:graphic>
                  <a:graphicData uri="http://schemas.microsoft.com/office/word/2010/wordprocessingShape">
                    <wps:wsp>
                      <wps:cNvSpPr/>
                      <wps:spPr>
                        <a:xfrm>
                          <a:off x="0" y="0"/>
                          <a:ext cx="12700" cy="241300"/>
                        </a:xfrm>
                        <a:custGeom>
                          <a:avLst/>
                          <a:rect l="l" t="t" r="r" b="b"/>
                          <a:pathLst>
                            <a:path w="12700" h="241300">
                              <a:moveTo>
                                <a:pt x="10777" y="11940"/>
                              </a:moveTo>
                              <a:lnTo>
                                <a:pt x="10777" y="231733"/>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41300" style="position:absolute;left:0;top:0;visibility:visible;mso-position-horizontal:absolute;mso-position-horizontal-relative:page;mso-position-vertical:absolute;mso-position-vertical-relative:page;width:1pt;height:19pt;margin-left:278pt;margin-top:138pt;mso-wrap-style:square;z-index:10320656;mso-wrap-distance-left:9pt;mso-wrap-distance-top:0pt;mso-wrap-distance-right:9pt;mso-wrap-distance-bottom:0pt" id="shape7338" o:spid="1618382352368" path="m10777,11940l10777,231733" stroked="t" strokecolor="#404040" strokeweight="1pt"/>
            </w:pict>
          </mc:Fallback>
        </mc:AlternateContent>
      </w:r>
      <w:r>
        <mc:AlternateContent>
          <mc:Choice Requires="wps">
            <w:drawing>
              <wp:anchor distT="0" distB="0" distL="114300" distR="114300" simplePos="false" relativeHeight="10321680" behindDoc="true" locked="false" layoutInCell="true" allowOverlap="true">
                <wp:simplePos x="0" y="0"/>
                <wp:positionH relativeFrom="page">
                  <wp:posOffset>3505200</wp:posOffset>
                </wp:positionH>
                <wp:positionV relativeFrom="page">
                  <wp:posOffset>1955800</wp:posOffset>
                </wp:positionV>
                <wp:extent cx="76200" cy="88900"/>
                <wp:effectExtent l="0" t="0" r="22225" b="31115"/>
                <wp:wrapNone/>
                <wp:docPr id="7339" name="shape7339"/>
                <wp:cNvGraphicFramePr/>
                <a:graphic>
                  <a:graphicData uri="http://schemas.microsoft.com/office/word/2010/wordprocessingShape">
                    <wps:wsp>
                      <wps:cNvSpPr/>
                      <wps:spPr>
                        <a:xfrm>
                          <a:off x="0" y="0"/>
                          <a:ext cx="76200" cy="88900"/>
                        </a:xfrm>
                        <a:custGeom>
                          <a:avLst/>
                          <a:rect l="l" t="t" r="r" b="b"/>
                          <a:pathLst>
                            <a:path w="76200" h="88900">
                              <a:moveTo>
                                <a:pt x="36177" y="82769"/>
                              </a:moveTo>
                              <a:lnTo>
                                <a:pt x="414" y="11132"/>
                              </a:lnTo>
                              <a:cubicBezTo>
                                <a:pt x="22969" y="22427"/>
                                <a:pt x="49486" y="22427"/>
                                <a:pt x="71939" y="11132"/>
                              </a:cubicBezTo>
                              <a:lnTo>
                                <a:pt x="36177" y="8276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88900" style="position:absolute;left:0;top:0;visibility:visible;mso-position-horizontal:absolute;mso-position-horizontal-relative:page;mso-position-vertical:absolute;mso-position-vertical-relative:page;width:6pt;height:7pt;margin-left:276pt;margin-top:154pt;mso-wrap-style:square;z-index:10321680;mso-wrap-distance-left:9pt;mso-wrap-distance-top:0pt;mso-wrap-distance-right:9pt;mso-wrap-distance-bottom:0pt" id="shape7339" o:spid="1618382352369" path="m36177,82769l414,11132c22969,22427,49486,22427,71939,11132l36177,82769e" stroked="f" filled="t" fillcolor="#404040"/>
            </w:pict>
          </mc:Fallback>
        </mc:AlternateContent>
      </w:r>
      <w:r>
        <mc:AlternateContent>
          <mc:Choice Requires="wps">
            <w:drawing>
              <wp:anchor distT="0" distB="0" distL="114300" distR="114300" simplePos="false" relativeHeight="10322704" behindDoc="true" locked="false" layoutInCell="true" allowOverlap="true">
                <wp:simplePos x="0" y="0"/>
                <wp:positionH relativeFrom="page">
                  <wp:posOffset>3530600</wp:posOffset>
                </wp:positionH>
                <wp:positionV relativeFrom="page">
                  <wp:posOffset>2336800</wp:posOffset>
                </wp:positionV>
                <wp:extent cx="12700" cy="228600"/>
                <wp:effectExtent l="0" t="0" r="22225" b="31115"/>
                <wp:wrapNone/>
                <wp:docPr id="7340" name="shape7340"/>
                <wp:cNvGraphicFramePr/>
                <a:graphic>
                  <a:graphicData uri="http://schemas.microsoft.com/office/word/2010/wordprocessingShape">
                    <wps:wsp>
                      <wps:cNvSpPr/>
                      <wps:spPr>
                        <a:xfrm>
                          <a:off x="0" y="0"/>
                          <a:ext cx="12700" cy="228600"/>
                        </a:xfrm>
                        <a:custGeom>
                          <a:avLst/>
                          <a:rect l="l" t="t" r="r" b="b"/>
                          <a:pathLst>
                            <a:path w="12700" h="228600">
                              <a:moveTo>
                                <a:pt x="10777" y="4594"/>
                              </a:moveTo>
                              <a:lnTo>
                                <a:pt x="10777" y="224387"/>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28600" style="position:absolute;left:0;top:0;visibility:visible;mso-position-horizontal:absolute;mso-position-horizontal-relative:page;mso-position-vertical:absolute;mso-position-vertical-relative:page;width:1pt;height:18pt;margin-left:278pt;margin-top:184pt;mso-wrap-style:square;z-index:10322704;mso-wrap-distance-left:9pt;mso-wrap-distance-top:0pt;mso-wrap-distance-right:9pt;mso-wrap-distance-bottom:0pt" id="shape7340" o:spid="1618382352369" path="m10777,4594l10777,224387" stroked="t" strokecolor="#404040" strokeweight="1pt"/>
            </w:pict>
          </mc:Fallback>
        </mc:AlternateContent>
      </w:r>
      <w:r>
        <mc:AlternateContent>
          <mc:Choice Requires="wps">
            <w:drawing>
              <wp:anchor distT="0" distB="0" distL="114300" distR="114300" simplePos="false" relativeHeight="10323728" behindDoc="true" locked="false" layoutInCell="true" allowOverlap="true">
                <wp:simplePos x="0" y="0"/>
                <wp:positionH relativeFrom="page">
                  <wp:posOffset>3505200</wp:posOffset>
                </wp:positionH>
                <wp:positionV relativeFrom="page">
                  <wp:posOffset>2540000</wp:posOffset>
                </wp:positionV>
                <wp:extent cx="76200" cy="76200"/>
                <wp:effectExtent l="0" t="0" r="22225" b="31115"/>
                <wp:wrapNone/>
                <wp:docPr id="7341" name="shape7341"/>
                <wp:cNvGraphicFramePr/>
                <a:graphic>
                  <a:graphicData uri="http://schemas.microsoft.com/office/word/2010/wordprocessingShape">
                    <wps:wsp>
                      <wps:cNvSpPr/>
                      <wps:spPr>
                        <a:xfrm>
                          <a:off x="0" y="0"/>
                          <a:ext cx="76200" cy="76200"/>
                        </a:xfrm>
                        <a:custGeom>
                          <a:avLst/>
                          <a:rect l="l" t="t" r="r" b="b"/>
                          <a:pathLst>
                            <a:path w="76200" h="76200">
                              <a:moveTo>
                                <a:pt x="36177" y="75423"/>
                              </a:moveTo>
                              <a:lnTo>
                                <a:pt x="414" y="3787"/>
                              </a:lnTo>
                              <a:cubicBezTo>
                                <a:pt x="22969" y="15082"/>
                                <a:pt x="49486" y="15082"/>
                                <a:pt x="71939" y="3787"/>
                              </a:cubicBezTo>
                              <a:lnTo>
                                <a:pt x="36177" y="75423"/>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76pt;margin-top:200pt;mso-wrap-style:square;z-index:10323728;mso-wrap-distance-left:9pt;mso-wrap-distance-top:0pt;mso-wrap-distance-right:9pt;mso-wrap-distance-bottom:0pt" id="shape7341" o:spid="1618382352370" path="m36177,75423l414,3787c22969,15082,49486,15082,71939,3787l36177,75423e" stroked="f" filled="t" fillcolor="#404040"/>
            </w:pict>
          </mc:Fallback>
        </mc:AlternateContent>
      </w:r>
      <w:r>
        <mc:AlternateContent>
          <mc:Choice Requires="wps">
            <w:drawing>
              <wp:anchor distT="0" distB="0" distL="114300" distR="114300" simplePos="false" relativeHeight="10324752" behindDoc="true" locked="false" layoutInCell="true" allowOverlap="true">
                <wp:simplePos x="0" y="0"/>
                <wp:positionH relativeFrom="page">
                  <wp:posOffset>4432300</wp:posOffset>
                </wp:positionH>
                <wp:positionV relativeFrom="page">
                  <wp:posOffset>6858000</wp:posOffset>
                </wp:positionV>
                <wp:extent cx="850900" cy="444500"/>
                <wp:effectExtent l="0" t="0" r="22225" b="31115"/>
                <wp:wrapNone/>
                <wp:docPr id="7342" name="shape7342"/>
                <wp:cNvGraphicFramePr/>
                <a:graphic>
                  <a:graphicData uri="http://schemas.microsoft.com/office/word/2010/wordprocessingShape">
                    <wps:wsp>
                      <wps:cNvSpPr/>
                      <wps:spPr>
                        <a:xfrm>
                          <a:off x="0" y="0"/>
                          <a:ext cx="850900" cy="444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7pt;height:35pt;margin-left:349pt;margin-top:540pt;mso-wrap-style:square;z-index:10324752;mso-wrap-distance-left:9pt;mso-wrap-distance-top:0pt;mso-wrap-distance-right:9pt;mso-wrap-distance-bottom:0pt" id="shape7342" o:spid="1618382352370" stroked="f" filled="t" fillcolor="#cdcdcd"/>
            </w:pict>
          </mc:Fallback>
        </mc:AlternateContent>
      </w:r>
      <w:r>
        <mc:AlternateContent>
          <mc:Choice Requires="wps">
            <w:drawing>
              <wp:anchor distT="0" distB="0" distL="114300" distR="114300" simplePos="false" relativeHeight="10325776" behindDoc="true" locked="false" layoutInCell="true" allowOverlap="true">
                <wp:simplePos x="0" y="0"/>
                <wp:positionH relativeFrom="page">
                  <wp:posOffset>4432300</wp:posOffset>
                </wp:positionH>
                <wp:positionV relativeFrom="page">
                  <wp:posOffset>6858000</wp:posOffset>
                </wp:positionV>
                <wp:extent cx="850900" cy="444500"/>
                <wp:effectExtent l="0" t="0" r="22225" b="31115"/>
                <wp:wrapNone/>
                <wp:docPr id="7343" name="shape7343"/>
                <wp:cNvGraphicFramePr/>
                <a:graphic>
                  <a:graphicData uri="http://schemas.microsoft.com/office/word/2010/wordprocessingShape">
                    <wps:wsp>
                      <wps:cNvSpPr/>
                      <wps:spPr>
                        <a:xfrm>
                          <a:off x="0" y="0"/>
                          <a:ext cx="850900" cy="444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7pt;height:35pt;margin-left:349pt;margin-top:540pt;mso-wrap-style:square;z-index:10325776;mso-wrap-distance-left:9pt;mso-wrap-distance-top:0pt;mso-wrap-distance-right:9pt;mso-wrap-distance-bottom:0pt" id="shape7343" o:spid="1618382352370" stroked="t" strokecolor="#cdcdcd" strokeweight="1pt"/>
            </w:pict>
          </mc:Fallback>
        </mc:AlternateContent>
      </w:r>
      <w:r>
        <mc:AlternateContent>
          <mc:Choice Requires="wps">
            <w:drawing>
              <wp:anchor distT="0" distB="0" distL="114300" distR="114300" simplePos="false" relativeHeight="10328848" behindDoc="true" locked="false" layoutInCell="true" allowOverlap="true">
                <wp:simplePos x="0" y="0"/>
                <wp:positionH relativeFrom="page">
                  <wp:posOffset>3454400</wp:posOffset>
                </wp:positionH>
                <wp:positionV relativeFrom="page">
                  <wp:posOffset>6858000</wp:posOffset>
                </wp:positionV>
                <wp:extent cx="762000" cy="444500"/>
                <wp:effectExtent l="0" t="0" r="22225" b="31115"/>
                <wp:wrapNone/>
                <wp:docPr id="7346" name="shape7346"/>
                <wp:cNvGraphicFramePr/>
                <a:graphic>
                  <a:graphicData uri="http://schemas.microsoft.com/office/word/2010/wordprocessingShape">
                    <wps:wsp>
                      <wps:cNvSpPr/>
                      <wps:spPr>
                        <a:xfrm>
                          <a:off x="0" y="0"/>
                          <a:ext cx="762000" cy="444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0pt;height:35pt;margin-left:272pt;margin-top:540pt;mso-wrap-style:square;z-index:10328848;mso-wrap-distance-left:9pt;mso-wrap-distance-top:0pt;mso-wrap-distance-right:9pt;mso-wrap-distance-bottom:0pt" id="shape7346" o:spid="1618382352371" stroked="f" filled="t" fillcolor="#cdcdcd"/>
            </w:pict>
          </mc:Fallback>
        </mc:AlternateContent>
      </w:r>
      <w:r>
        <mc:AlternateContent>
          <mc:Choice Requires="wps">
            <w:drawing>
              <wp:anchor distT="0" distB="0" distL="114300" distR="114300" simplePos="false" relativeHeight="10329872" behindDoc="true" locked="false" layoutInCell="true" allowOverlap="true">
                <wp:simplePos x="0" y="0"/>
                <wp:positionH relativeFrom="page">
                  <wp:posOffset>3454400</wp:posOffset>
                </wp:positionH>
                <wp:positionV relativeFrom="page">
                  <wp:posOffset>6858000</wp:posOffset>
                </wp:positionV>
                <wp:extent cx="762000" cy="444500"/>
                <wp:effectExtent l="0" t="0" r="22225" b="31115"/>
                <wp:wrapNone/>
                <wp:docPr id="7347" name="shape7347"/>
                <wp:cNvGraphicFramePr/>
                <a:graphic>
                  <a:graphicData uri="http://schemas.microsoft.com/office/word/2010/wordprocessingShape">
                    <wps:wsp>
                      <wps:cNvSpPr/>
                      <wps:spPr>
                        <a:xfrm>
                          <a:off x="0" y="0"/>
                          <a:ext cx="762000" cy="444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0pt;height:35pt;margin-left:272pt;margin-top:540pt;mso-wrap-style:square;z-index:10329872;mso-wrap-distance-left:9pt;mso-wrap-distance-top:0pt;mso-wrap-distance-right:9pt;mso-wrap-distance-bottom:0pt" id="shape7347" o:spid="1618382352371" stroked="t" strokecolor="#cdcdcd" strokeweight="1pt"/>
            </w:pict>
          </mc:Fallback>
        </mc:AlternateContent>
      </w:r>
      <w:r>
        <mc:AlternateContent>
          <mc:Choice Requires="wps">
            <w:drawing>
              <wp:anchor distT="0" distB="0" distL="114300" distR="114300" simplePos="false" relativeHeight="10333968" behindDoc="true" locked="false" layoutInCell="true" allowOverlap="true">
                <wp:simplePos x="0" y="0"/>
                <wp:positionH relativeFrom="page">
                  <wp:posOffset>3505200</wp:posOffset>
                </wp:positionH>
                <wp:positionV relativeFrom="page">
                  <wp:posOffset>8470900</wp:posOffset>
                </wp:positionV>
                <wp:extent cx="88900" cy="88900"/>
                <wp:effectExtent l="0" t="0" r="22225" b="31115"/>
                <wp:wrapNone/>
                <wp:docPr id="7351" name="shape7351"/>
                <wp:cNvGraphicFramePr/>
                <a:graphic>
                  <a:graphicData uri="http://schemas.microsoft.com/office/word/2010/wordprocessingShape">
                    <wps:wsp>
                      <wps:cNvSpPr/>
                      <wps:spPr>
                        <a:xfrm>
                          <a:off x="0" y="0"/>
                          <a:ext cx="88900" cy="88900"/>
                        </a:xfrm>
                        <a:custGeom>
                          <a:avLst/>
                          <a:rect l="l" t="t" r="r" b="b"/>
                          <a:pathLst>
                            <a:path w="88900" h="88900">
                              <a:moveTo>
                                <a:pt x="43390" y="77452"/>
                              </a:moveTo>
                              <a:lnTo>
                                <a:pt x="7627" y="5816"/>
                              </a:lnTo>
                              <a:cubicBezTo>
                                <a:pt x="30182" y="17091"/>
                                <a:pt x="56700" y="17091"/>
                                <a:pt x="79153" y="5816"/>
                              </a:cubicBezTo>
                              <a:lnTo>
                                <a:pt x="43390" y="77452"/>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276pt;margin-top:667pt;mso-wrap-style:square;z-index:10333968;mso-wrap-distance-left:9pt;mso-wrap-distance-top:0pt;mso-wrap-distance-right:9pt;mso-wrap-distance-bottom:0pt" id="shape7351" o:spid="1618382352372" path="m43390,77452l7627,5816c30182,17091,56700,17091,79153,5816l43390,77452e" stroked="f" filled="t" fillcolor="#404040"/>
            </w:pict>
          </mc:Fallback>
        </mc:AlternateContent>
      </w:r>
      <w:r>
        <mc:AlternateContent>
          <mc:Choice Requires="wps">
            <w:drawing>
              <wp:anchor distT="0" distB="0" distL="114300" distR="114300" simplePos="false" relativeHeight="10334992" behindDoc="true" locked="false" layoutInCell="true" allowOverlap="true">
                <wp:simplePos x="0" y="0"/>
                <wp:positionH relativeFrom="page">
                  <wp:posOffset>2997200</wp:posOffset>
                </wp:positionH>
                <wp:positionV relativeFrom="page">
                  <wp:posOffset>4241800</wp:posOffset>
                </wp:positionV>
                <wp:extent cx="1041400" cy="317500"/>
                <wp:effectExtent l="0" t="0" r="22225" b="31115"/>
                <wp:wrapNone/>
                <wp:docPr id="7352" name="shape7352"/>
                <wp:cNvGraphicFramePr/>
                <a:graphic>
                  <a:graphicData uri="http://schemas.microsoft.com/office/word/2010/wordprocessingShape">
                    <wps:wsp>
                      <wps:cNvSpPr/>
                      <wps:spPr>
                        <a:xfrm>
                          <a:off x="0" y="0"/>
                          <a:ext cx="10414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2pt;height:25pt;margin-left:236pt;margin-top:334pt;mso-wrap-style:square;z-index:10334992;mso-wrap-distance-left:9pt;mso-wrap-distance-top:0pt;mso-wrap-distance-right:9pt;mso-wrap-distance-bottom:0pt" id="shape7352" o:spid="1618382352372" stroked="f" filled="t" fillcolor="#cdcdcd"/>
            </w:pict>
          </mc:Fallback>
        </mc:AlternateContent>
      </w:r>
      <w:r>
        <mc:AlternateContent>
          <mc:Choice Requires="wps">
            <w:drawing>
              <wp:anchor distT="0" distB="0" distL="114300" distR="114300" simplePos="false" relativeHeight="10336016" behindDoc="true" locked="false" layoutInCell="true" allowOverlap="true">
                <wp:simplePos x="0" y="0"/>
                <wp:positionH relativeFrom="page">
                  <wp:posOffset>2997200</wp:posOffset>
                </wp:positionH>
                <wp:positionV relativeFrom="page">
                  <wp:posOffset>4241800</wp:posOffset>
                </wp:positionV>
                <wp:extent cx="1041400" cy="317500"/>
                <wp:effectExtent l="0" t="0" r="22225" b="31115"/>
                <wp:wrapNone/>
                <wp:docPr id="7353" name="shape7353"/>
                <wp:cNvGraphicFramePr/>
                <a:graphic>
                  <a:graphicData uri="http://schemas.microsoft.com/office/word/2010/wordprocessingShape">
                    <wps:wsp>
                      <wps:cNvSpPr/>
                      <wps:spPr>
                        <a:xfrm>
                          <a:off x="0" y="0"/>
                          <a:ext cx="10414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2pt;height:25pt;margin-left:236pt;margin-top:334pt;mso-wrap-style:square;z-index:10336016;mso-wrap-distance-left:9pt;mso-wrap-distance-top:0pt;mso-wrap-distance-right:9pt;mso-wrap-distance-bottom:0pt" id="shape7353" o:spid="1618382352372" stroked="t" strokecolor="#cdcdcd" strokeweight="1pt"/>
            </w:pict>
          </mc:Fallback>
        </mc:AlternateContent>
      </w:r>
      <w:r>
        <mc:AlternateContent>
          <mc:Choice Requires="wps">
            <w:drawing>
              <wp:anchor distT="0" distB="0" distL="114300" distR="114300" simplePos="false" relativeHeight="10339088" behindDoc="true" locked="false" layoutInCell="true" allowOverlap="true">
                <wp:simplePos x="0" y="0"/>
                <wp:positionH relativeFrom="page">
                  <wp:posOffset>3530600</wp:posOffset>
                </wp:positionH>
                <wp:positionV relativeFrom="page">
                  <wp:posOffset>4533900</wp:posOffset>
                </wp:positionV>
                <wp:extent cx="12700" cy="165100"/>
                <wp:effectExtent l="0" t="0" r="22225" b="31115"/>
                <wp:wrapNone/>
                <wp:docPr id="7356" name="shape7356"/>
                <wp:cNvGraphicFramePr/>
                <a:graphic>
                  <a:graphicData uri="http://schemas.microsoft.com/office/word/2010/wordprocessingShape">
                    <wps:wsp>
                      <wps:cNvSpPr/>
                      <wps:spPr>
                        <a:xfrm>
                          <a:off x="0" y="0"/>
                          <a:ext cx="12700" cy="165100"/>
                        </a:xfrm>
                        <a:custGeom>
                          <a:avLst/>
                          <a:rect l="l" t="t" r="r" b="b"/>
                          <a:pathLst>
                            <a:path w="12700" h="165100">
                              <a:moveTo>
                                <a:pt x="10777" y="5117"/>
                              </a:moveTo>
                              <a:lnTo>
                                <a:pt x="10777" y="15276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65100" style="position:absolute;left:0;top:0;visibility:visible;mso-position-horizontal:absolute;mso-position-horizontal-relative:page;mso-position-vertical:absolute;mso-position-vertical-relative:page;width:1pt;height:13pt;margin-left:278pt;margin-top:357pt;mso-wrap-style:square;z-index:10339088;mso-wrap-distance-left:9pt;mso-wrap-distance-top:0pt;mso-wrap-distance-right:9pt;mso-wrap-distance-bottom:0pt" id="shape7356" o:spid="1618382352373" path="m10777,5117l10777,152764" stroked="t" strokecolor="#404040" strokeweight="1pt"/>
            </w:pict>
          </mc:Fallback>
        </mc:AlternateContent>
      </w:r>
      <w:r>
        <mc:AlternateContent>
          <mc:Choice Requires="wps">
            <w:drawing>
              <wp:anchor distT="0" distB="0" distL="114300" distR="114300" simplePos="false" relativeHeight="10340112" behindDoc="true" locked="false" layoutInCell="true" allowOverlap="true">
                <wp:simplePos x="0" y="0"/>
                <wp:positionH relativeFrom="page">
                  <wp:posOffset>3505200</wp:posOffset>
                </wp:positionH>
                <wp:positionV relativeFrom="page">
                  <wp:posOffset>4660900</wp:posOffset>
                </wp:positionV>
                <wp:extent cx="76200" cy="88900"/>
                <wp:effectExtent l="0" t="0" r="22225" b="31115"/>
                <wp:wrapNone/>
                <wp:docPr id="7357" name="shape7357"/>
                <wp:cNvGraphicFramePr/>
                <a:graphic>
                  <a:graphicData uri="http://schemas.microsoft.com/office/word/2010/wordprocessingShape">
                    <wps:wsp>
                      <wps:cNvSpPr/>
                      <wps:spPr>
                        <a:xfrm>
                          <a:off x="0" y="0"/>
                          <a:ext cx="76200" cy="88900"/>
                        </a:xfrm>
                        <a:custGeom>
                          <a:avLst/>
                          <a:rect l="l" t="t" r="r" b="b"/>
                          <a:pathLst>
                            <a:path w="76200" h="88900">
                              <a:moveTo>
                                <a:pt x="36177" y="80000"/>
                              </a:moveTo>
                              <a:lnTo>
                                <a:pt x="414" y="8364"/>
                              </a:lnTo>
                              <a:cubicBezTo>
                                <a:pt x="22969" y="19659"/>
                                <a:pt x="49486" y="19659"/>
                                <a:pt x="71939" y="8364"/>
                              </a:cubicBezTo>
                              <a:lnTo>
                                <a:pt x="36177" y="80000"/>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88900" style="position:absolute;left:0;top:0;visibility:visible;mso-position-horizontal:absolute;mso-position-horizontal-relative:page;mso-position-vertical:absolute;mso-position-vertical-relative:page;width:6pt;height:7pt;margin-left:276pt;margin-top:367pt;mso-wrap-style:square;z-index:10340112;mso-wrap-distance-left:9pt;mso-wrap-distance-top:0pt;mso-wrap-distance-right:9pt;mso-wrap-distance-bottom:0pt" id="shape7357" o:spid="1618382352373" path="m36177,80000l414,8364c22969,19659,49486,19659,71939,8364l36177,80000e" stroked="f" filled="t" fillcolor="#404040"/>
            </w:pict>
          </mc:Fallback>
        </mc:AlternateContent>
      </w:r>
      <w:r>
        <mc:AlternateContent>
          <mc:Choice Requires="wps">
            <w:drawing>
              <wp:anchor distT="0" distB="0" distL="114300" distR="114300" simplePos="false" relativeHeight="10341136" behindDoc="true" locked="false" layoutInCell="true" allowOverlap="true">
                <wp:simplePos x="0" y="0"/>
                <wp:positionH relativeFrom="page">
                  <wp:posOffset>939800</wp:posOffset>
                </wp:positionH>
                <wp:positionV relativeFrom="page">
                  <wp:posOffset>7835900</wp:posOffset>
                </wp:positionV>
                <wp:extent cx="5194300" cy="38100"/>
                <wp:effectExtent l="0" t="0" r="22225" b="31115"/>
                <wp:wrapNone/>
                <wp:docPr id="7358" name="shape7358"/>
                <wp:cNvGraphicFramePr/>
                <a:graphic>
                  <a:graphicData uri="http://schemas.microsoft.com/office/word/2010/wordprocessingShape">
                    <wps:wsp>
                      <wps:cNvSpPr/>
                      <wps:spPr>
                        <a:xfrm>
                          <a:off x="0" y="0"/>
                          <a:ext cx="5194300" cy="38100"/>
                        </a:xfrm>
                        <a:custGeom>
                          <a:avLst/>
                          <a:rect l="l" t="t" r="r" b="b"/>
                          <a:pathLst>
                            <a:path w="5194300" h="38100">
                              <a:moveTo>
                                <a:pt x="9651" y="34605"/>
                              </a:moveTo>
                              <a:lnTo>
                                <a:pt x="1422731" y="34605"/>
                              </a:lnTo>
                              <a:cubicBezTo>
                                <a:pt x="1422731" y="17713"/>
                                <a:pt x="1436346" y="4078"/>
                                <a:pt x="1453211" y="4078"/>
                              </a:cubicBezTo>
                              <a:cubicBezTo>
                                <a:pt x="1470076" y="4078"/>
                                <a:pt x="1483690" y="17713"/>
                                <a:pt x="1483690" y="34605"/>
                              </a:cubicBezTo>
                              <a:cubicBezTo>
                                <a:pt x="1483690" y="34605"/>
                                <a:pt x="1483690" y="34605"/>
                                <a:pt x="1483690" y="34605"/>
                              </a:cubicBezTo>
                              <a:lnTo>
                                <a:pt x="5193553" y="34605"/>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194300,38100" style="position:absolute;left:0;top:0;visibility:visible;mso-position-horizontal:absolute;mso-position-horizontal-relative:page;mso-position-vertical:absolute;mso-position-vertical-relative:page;width:409pt;height:3pt;margin-left:74pt;margin-top:617pt;mso-wrap-style:square;z-index:10341136;mso-wrap-distance-left:9pt;mso-wrap-distance-top:0pt;mso-wrap-distance-right:9pt;mso-wrap-distance-bottom:0pt" id="shape7358" o:spid="1618382352374" path="m9651,34605l1422731,34605c1422731,17713,1436346,4078,1453211,4078c1470076,4078,1483690,17713,1483690,34605c1483690,34605,1483690,34605,1483690,34605l5193553,34605" stroked="t" strokecolor="#404040" strokeweight="1pt"/>
            </w:pict>
          </mc:Fallback>
        </mc:AlternateContent>
      </w:r>
      <w:r>
        <mc:AlternateContent>
          <mc:Choice Requires="wps">
            <w:drawing>
              <wp:anchor distT="0" distB="0" distL="114300" distR="114300" simplePos="false" relativeHeight="10342160" behindDoc="true" locked="false" layoutInCell="true" allowOverlap="true">
                <wp:simplePos x="0" y="0"/>
                <wp:positionH relativeFrom="page">
                  <wp:posOffset>939800</wp:posOffset>
                </wp:positionH>
                <wp:positionV relativeFrom="page">
                  <wp:posOffset>8928100</wp:posOffset>
                </wp:positionV>
                <wp:extent cx="5194300" cy="50800"/>
                <wp:effectExtent l="0" t="0" r="22225" b="31115"/>
                <wp:wrapNone/>
                <wp:docPr id="7359" name="shape7359"/>
                <wp:cNvGraphicFramePr/>
                <a:graphic>
                  <a:graphicData uri="http://schemas.microsoft.com/office/word/2010/wordprocessingShape">
                    <wps:wsp>
                      <wps:cNvSpPr/>
                      <wps:spPr>
                        <a:xfrm>
                          <a:off x="0" y="0"/>
                          <a:ext cx="5194300" cy="50800"/>
                        </a:xfrm>
                        <a:custGeom>
                          <a:avLst/>
                          <a:rect l="l" t="t" r="r" b="b"/>
                          <a:pathLst>
                            <a:path w="5194300" h="50800">
                              <a:moveTo>
                                <a:pt x="9651" y="38489"/>
                              </a:moveTo>
                              <a:lnTo>
                                <a:pt x="2578311" y="38489"/>
                              </a:lnTo>
                              <a:cubicBezTo>
                                <a:pt x="2578311" y="21638"/>
                                <a:pt x="2591925" y="7963"/>
                                <a:pt x="2608790" y="7963"/>
                              </a:cubicBezTo>
                              <a:cubicBezTo>
                                <a:pt x="2625656" y="7963"/>
                                <a:pt x="2639270" y="21638"/>
                                <a:pt x="2639270" y="38489"/>
                              </a:cubicBezTo>
                              <a:cubicBezTo>
                                <a:pt x="2639270" y="38489"/>
                                <a:pt x="2639270" y="38489"/>
                                <a:pt x="2639270" y="38489"/>
                              </a:cubicBezTo>
                              <a:lnTo>
                                <a:pt x="5193553" y="38489"/>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194300,50800" style="position:absolute;left:0;top:0;visibility:visible;mso-position-horizontal:absolute;mso-position-horizontal-relative:page;mso-position-vertical:absolute;mso-position-vertical-relative:page;width:409pt;height:4pt;margin-left:74pt;margin-top:703pt;mso-wrap-style:square;z-index:10342160;mso-wrap-distance-left:9pt;mso-wrap-distance-top:0pt;mso-wrap-distance-right:9pt;mso-wrap-distance-bottom:0pt" id="shape7359" o:spid="1618382352374" path="m9651,38489l2578311,38489c2578311,21638,2591925,7963,2608790,7963c2625656,7963,2639270,21638,2639270,38489c2639270,38489,2639270,38489,2639270,38489l5193553,38489" stroked="t" strokecolor="#404040" strokeweight="1pt"/>
            </w:pict>
          </mc:Fallback>
        </mc:AlternateContent>
      </w:r>
      <w:r>
        <mc:AlternateContent>
          <mc:Choice Requires="wps">
            <w:drawing>
              <wp:anchor distT="0" distB="0" distL="114300" distR="114300" simplePos="false" relativeHeight="10344208" behindDoc="true" locked="false" layoutInCell="true" allowOverlap="true">
                <wp:simplePos x="0" y="0"/>
                <wp:positionH relativeFrom="page">
                  <wp:posOffset>3505200</wp:posOffset>
                </wp:positionH>
                <wp:positionV relativeFrom="page">
                  <wp:posOffset>9055100</wp:posOffset>
                </wp:positionV>
                <wp:extent cx="88900" cy="88900"/>
                <wp:effectExtent l="0" t="0" r="22225" b="31115"/>
                <wp:wrapNone/>
                <wp:docPr id="7361" name="shape7361"/>
                <wp:cNvGraphicFramePr/>
                <a:graphic>
                  <a:graphicData uri="http://schemas.microsoft.com/office/word/2010/wordprocessingShape">
                    <wps:wsp>
                      <wps:cNvSpPr/>
                      <wps:spPr>
                        <a:xfrm>
                          <a:off x="0" y="0"/>
                          <a:ext cx="88900" cy="88900"/>
                        </a:xfrm>
                        <a:custGeom>
                          <a:avLst/>
                          <a:rect l="l" t="t" r="r" b="b"/>
                          <a:pathLst>
                            <a:path w="88900" h="88900">
                              <a:moveTo>
                                <a:pt x="43390" y="77351"/>
                              </a:moveTo>
                              <a:lnTo>
                                <a:pt x="7627" y="5715"/>
                              </a:lnTo>
                              <a:cubicBezTo>
                                <a:pt x="30182" y="16990"/>
                                <a:pt x="56700" y="16990"/>
                                <a:pt x="79153" y="5715"/>
                              </a:cubicBezTo>
                              <a:lnTo>
                                <a:pt x="43390" y="7735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276pt;margin-top:713pt;mso-wrap-style:square;z-index:10344208;mso-wrap-distance-left:9pt;mso-wrap-distance-top:0pt;mso-wrap-distance-right:9pt;mso-wrap-distance-bottom:0pt" id="shape7361" o:spid="1618382352375" path="m43390,77351l7627,5715c30182,16990,56700,16990,79153,5715l43390,77351e" stroked="f" filled="t" fillcolor="#404040"/>
            </w:pict>
          </mc:Fallback>
        </mc:AlternateContent>
      </w:r>
      <w:r>
        <mc:AlternateContent>
          <mc:Choice Requires="wps">
            <w:drawing>
              <wp:anchor distT="0" distB="0" distL="114300" distR="114300" simplePos="false" relativeHeight="10349328" behindDoc="true" locked="false" layoutInCell="true" allowOverlap="true">
                <wp:simplePos x="0" y="0"/>
                <wp:positionH relativeFrom="page">
                  <wp:posOffset>4013200</wp:posOffset>
                </wp:positionH>
                <wp:positionV relativeFrom="page">
                  <wp:posOffset>5803900</wp:posOffset>
                </wp:positionV>
                <wp:extent cx="1358900" cy="317500"/>
                <wp:effectExtent l="0" t="0" r="22225" b="31115"/>
                <wp:wrapNone/>
                <wp:docPr id="7366" name="shape7366"/>
                <wp:cNvGraphicFramePr/>
                <a:graphic>
                  <a:graphicData uri="http://schemas.microsoft.com/office/word/2010/wordprocessingShape">
                    <wps:wsp>
                      <wps:cNvSpPr/>
                      <wps:spPr>
                        <a:xfrm>
                          <a:off x="0" y="0"/>
                          <a:ext cx="13589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5pt;margin-left:316pt;margin-top:457pt;mso-wrap-style:square;z-index:10349328;mso-wrap-distance-left:9pt;mso-wrap-distance-top:0pt;mso-wrap-distance-right:9pt;mso-wrap-distance-bottom:0pt" id="shape7366" o:spid="1618382352375" stroked="f" filled="t" fillcolor="#cdcdcd"/>
            </w:pict>
          </mc:Fallback>
        </mc:AlternateContent>
      </w:r>
      <w:r>
        <mc:AlternateContent>
          <mc:Choice Requires="wps">
            <w:drawing>
              <wp:anchor distT="0" distB="0" distL="114300" distR="114300" simplePos="false" relativeHeight="10350352" behindDoc="true" locked="false" layoutInCell="true" allowOverlap="true">
                <wp:simplePos x="0" y="0"/>
                <wp:positionH relativeFrom="page">
                  <wp:posOffset>4013200</wp:posOffset>
                </wp:positionH>
                <wp:positionV relativeFrom="page">
                  <wp:posOffset>5803900</wp:posOffset>
                </wp:positionV>
                <wp:extent cx="1358900" cy="317500"/>
                <wp:effectExtent l="0" t="0" r="22225" b="31115"/>
                <wp:wrapNone/>
                <wp:docPr id="7367" name="shape7367"/>
                <wp:cNvGraphicFramePr/>
                <a:graphic>
                  <a:graphicData uri="http://schemas.microsoft.com/office/word/2010/wordprocessingShape">
                    <wps:wsp>
                      <wps:cNvSpPr/>
                      <wps:spPr>
                        <a:xfrm>
                          <a:off x="0" y="0"/>
                          <a:ext cx="13589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5pt;margin-left:316pt;margin-top:457pt;mso-wrap-style:square;z-index:10350352;mso-wrap-distance-left:9pt;mso-wrap-distance-top:0pt;mso-wrap-distance-right:9pt;mso-wrap-distance-bottom:0pt" id="shape7367" o:spid="1618382352376" stroked="t" strokecolor="#cdcdcd" strokeweight="1pt"/>
            </w:pict>
          </mc:Fallback>
        </mc:AlternateContent>
      </w:r>
      <w:r>
        <mc:AlternateContent>
          <mc:Choice Requires="wps">
            <w:drawing>
              <wp:anchor distT="0" distB="0" distL="114300" distR="114300" simplePos="false" relativeHeight="10353424" behindDoc="true" locked="false" layoutInCell="true" allowOverlap="true">
                <wp:simplePos x="0" y="0"/>
                <wp:positionH relativeFrom="page">
                  <wp:posOffset>4686300</wp:posOffset>
                </wp:positionH>
                <wp:positionV relativeFrom="page">
                  <wp:posOffset>5588000</wp:posOffset>
                </wp:positionV>
                <wp:extent cx="12700" cy="152400"/>
                <wp:effectExtent l="0" t="0" r="22225" b="31115"/>
                <wp:wrapNone/>
                <wp:docPr id="7370" name="shape7370"/>
                <wp:cNvGraphicFramePr/>
                <a:graphic>
                  <a:graphicData uri="http://schemas.microsoft.com/office/word/2010/wordprocessingShape">
                    <wps:wsp>
                      <wps:cNvSpPr/>
                      <wps:spPr>
                        <a:xfrm>
                          <a:off x="0" y="0"/>
                          <a:ext cx="12700" cy="152400"/>
                        </a:xfrm>
                        <a:custGeom>
                          <a:avLst/>
                          <a:rect l="l" t="t" r="r" b="b"/>
                          <a:pathLst>
                            <a:path w="12700" h="152400">
                              <a:moveTo>
                                <a:pt x="7100" y="3783"/>
                              </a:moveTo>
                              <a:lnTo>
                                <a:pt x="7100" y="151533"/>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52400" style="position:absolute;left:0;top:0;visibility:visible;mso-position-horizontal:absolute;mso-position-horizontal-relative:page;mso-position-vertical:absolute;mso-position-vertical-relative:page;width:1pt;height:12pt;margin-left:369pt;margin-top:440pt;mso-wrap-style:square;z-index:10353424;mso-wrap-distance-left:9pt;mso-wrap-distance-top:0pt;mso-wrap-distance-right:9pt;mso-wrap-distance-bottom:0pt" id="shape7370" o:spid="1618382352376" path="m7100,3783l7100,151533" stroked="t" strokecolor="#404040" strokeweight="1pt"/>
            </w:pict>
          </mc:Fallback>
        </mc:AlternateContent>
      </w:r>
      <w:r>
        <mc:AlternateContent>
          <mc:Choice Requires="wps">
            <w:drawing>
              <wp:anchor distT="0" distB="0" distL="114300" distR="114300" simplePos="false" relativeHeight="10354448" behindDoc="true" locked="false" layoutInCell="true" allowOverlap="true">
                <wp:simplePos x="0" y="0"/>
                <wp:positionH relativeFrom="page">
                  <wp:posOffset>4648200</wp:posOffset>
                </wp:positionH>
                <wp:positionV relativeFrom="page">
                  <wp:posOffset>5715000</wp:posOffset>
                </wp:positionV>
                <wp:extent cx="88900" cy="88900"/>
                <wp:effectExtent l="0" t="0" r="22225" b="31115"/>
                <wp:wrapNone/>
                <wp:docPr id="7371" name="shape7371"/>
                <wp:cNvGraphicFramePr/>
                <a:graphic>
                  <a:graphicData uri="http://schemas.microsoft.com/office/word/2010/wordprocessingShape">
                    <wps:wsp>
                      <wps:cNvSpPr/>
                      <wps:spPr>
                        <a:xfrm>
                          <a:off x="0" y="0"/>
                          <a:ext cx="88900" cy="88900"/>
                        </a:xfrm>
                        <a:custGeom>
                          <a:avLst/>
                          <a:rect l="l" t="t" r="r" b="b"/>
                          <a:pathLst>
                            <a:path w="88900" h="88900">
                              <a:moveTo>
                                <a:pt x="45200" y="78769"/>
                              </a:moveTo>
                              <a:lnTo>
                                <a:pt x="9437" y="7132"/>
                              </a:lnTo>
                              <a:cubicBezTo>
                                <a:pt x="31891" y="18326"/>
                                <a:pt x="58408" y="18326"/>
                                <a:pt x="80963" y="7132"/>
                              </a:cubicBezTo>
                              <a:lnTo>
                                <a:pt x="45200" y="7876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66pt;margin-top:450pt;mso-wrap-style:square;z-index:10354448;mso-wrap-distance-left:9pt;mso-wrap-distance-top:0pt;mso-wrap-distance-right:9pt;mso-wrap-distance-bottom:0pt" id="shape7371" o:spid="1618382352376" path="m45200,78769l9437,7132c31891,18326,58408,18326,80963,7132l45200,78769e" stroked="f" filled="t" fillcolor="#404040"/>
            </w:pict>
          </mc:Fallback>
        </mc:AlternateContent>
      </w:r>
      <w:r>
        <mc:AlternateContent>
          <mc:Choice Requires="wps">
            <w:drawing>
              <wp:anchor distT="0" distB="0" distL="114300" distR="114300" simplePos="false" relativeHeight="10355472" behindDoc="true" locked="false" layoutInCell="true" allowOverlap="true">
                <wp:simplePos x="0" y="0"/>
                <wp:positionH relativeFrom="page">
                  <wp:posOffset>4013200</wp:posOffset>
                </wp:positionH>
                <wp:positionV relativeFrom="page">
                  <wp:posOffset>6324600</wp:posOffset>
                </wp:positionV>
                <wp:extent cx="1358900" cy="317500"/>
                <wp:effectExtent l="0" t="0" r="22225" b="31115"/>
                <wp:wrapNone/>
                <wp:docPr id="7372" name="shape7372"/>
                <wp:cNvGraphicFramePr/>
                <a:graphic>
                  <a:graphicData uri="http://schemas.microsoft.com/office/word/2010/wordprocessingShape">
                    <wps:wsp>
                      <wps:cNvSpPr/>
                      <wps:spPr>
                        <a:xfrm>
                          <a:off x="0" y="0"/>
                          <a:ext cx="13589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5pt;margin-left:316pt;margin-top:498pt;mso-wrap-style:square;z-index:10355472;mso-wrap-distance-left:9pt;mso-wrap-distance-top:0pt;mso-wrap-distance-right:9pt;mso-wrap-distance-bottom:0pt" id="shape7372" o:spid="1618382352377" stroked="f" filled="t" fillcolor="#cdcdcd"/>
            </w:pict>
          </mc:Fallback>
        </mc:AlternateContent>
      </w:r>
      <w:r>
        <mc:AlternateContent>
          <mc:Choice Requires="wps">
            <w:drawing>
              <wp:anchor distT="0" distB="0" distL="114300" distR="114300" simplePos="false" relativeHeight="10356496" behindDoc="true" locked="false" layoutInCell="true" allowOverlap="true">
                <wp:simplePos x="0" y="0"/>
                <wp:positionH relativeFrom="page">
                  <wp:posOffset>4013200</wp:posOffset>
                </wp:positionH>
                <wp:positionV relativeFrom="page">
                  <wp:posOffset>6324600</wp:posOffset>
                </wp:positionV>
                <wp:extent cx="1358900" cy="317500"/>
                <wp:effectExtent l="0" t="0" r="22225" b="31115"/>
                <wp:wrapNone/>
                <wp:docPr id="7373" name="shape7373"/>
                <wp:cNvGraphicFramePr/>
                <a:graphic>
                  <a:graphicData uri="http://schemas.microsoft.com/office/word/2010/wordprocessingShape">
                    <wps:wsp>
                      <wps:cNvSpPr/>
                      <wps:spPr>
                        <a:xfrm>
                          <a:off x="0" y="0"/>
                          <a:ext cx="13589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5pt;margin-left:316pt;margin-top:498pt;mso-wrap-style:square;z-index:10356496;mso-wrap-distance-left:9pt;mso-wrap-distance-top:0pt;mso-wrap-distance-right:9pt;mso-wrap-distance-bottom:0pt" id="shape7373" o:spid="1618382352377" stroked="t" strokecolor="#cdcdcd" strokeweight="1pt"/>
            </w:pict>
          </mc:Fallback>
        </mc:AlternateContent>
      </w:r>
      <w:r>
        <mc:AlternateContent>
          <mc:Choice Requires="wps">
            <w:drawing>
              <wp:anchor distT="0" distB="0" distL="114300" distR="114300" simplePos="false" relativeHeight="10359568" behindDoc="true" locked="false" layoutInCell="true" allowOverlap="true">
                <wp:simplePos x="0" y="0"/>
                <wp:positionH relativeFrom="page">
                  <wp:posOffset>4686300</wp:posOffset>
                </wp:positionH>
                <wp:positionV relativeFrom="page">
                  <wp:posOffset>6096000</wp:posOffset>
                </wp:positionV>
                <wp:extent cx="12700" cy="177800"/>
                <wp:effectExtent l="0" t="0" r="22225" b="31115"/>
                <wp:wrapNone/>
                <wp:docPr id="7376" name="shape7376"/>
                <wp:cNvGraphicFramePr/>
                <a:graphic>
                  <a:graphicData uri="http://schemas.microsoft.com/office/word/2010/wordprocessingShape">
                    <wps:wsp>
                      <wps:cNvSpPr/>
                      <wps:spPr>
                        <a:xfrm>
                          <a:off x="0" y="0"/>
                          <a:ext cx="12700" cy="177800"/>
                        </a:xfrm>
                        <a:custGeom>
                          <a:avLst/>
                          <a:rect l="l" t="t" r="r" b="b"/>
                          <a:pathLst>
                            <a:path w="12700" h="177800">
                              <a:moveTo>
                                <a:pt x="7100" y="594"/>
                              </a:moveTo>
                              <a:lnTo>
                                <a:pt x="7100" y="169916"/>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77800" style="position:absolute;left:0;top:0;visibility:visible;mso-position-horizontal:absolute;mso-position-horizontal-relative:page;mso-position-vertical:absolute;mso-position-vertical-relative:page;width:1pt;height:14pt;margin-left:369pt;margin-top:480pt;mso-wrap-style:square;z-index:10359568;mso-wrap-distance-left:9pt;mso-wrap-distance-top:0pt;mso-wrap-distance-right:9pt;mso-wrap-distance-bottom:0pt" id="shape7376" o:spid="1618382352378" path="m7100,594l7100,169916" stroked="t" strokecolor="#404040" strokeweight="1pt"/>
            </w:pict>
          </mc:Fallback>
        </mc:AlternateContent>
      </w:r>
      <w:r>
        <mc:AlternateContent>
          <mc:Choice Requires="wps">
            <w:drawing>
              <wp:anchor distT="0" distB="0" distL="114300" distR="114300" simplePos="false" relativeHeight="10360592" behindDoc="true" locked="false" layoutInCell="true" allowOverlap="true">
                <wp:simplePos x="0" y="0"/>
                <wp:positionH relativeFrom="page">
                  <wp:posOffset>4648200</wp:posOffset>
                </wp:positionH>
                <wp:positionV relativeFrom="page">
                  <wp:posOffset>6248400</wp:posOffset>
                </wp:positionV>
                <wp:extent cx="88900" cy="76200"/>
                <wp:effectExtent l="0" t="0" r="22225" b="31115"/>
                <wp:wrapNone/>
                <wp:docPr id="7377" name="shape7377"/>
                <wp:cNvGraphicFramePr/>
                <a:graphic>
                  <a:graphicData uri="http://schemas.microsoft.com/office/word/2010/wordprocessingShape">
                    <wps:wsp>
                      <wps:cNvSpPr/>
                      <wps:spPr>
                        <a:xfrm>
                          <a:off x="0" y="0"/>
                          <a:ext cx="88900" cy="76200"/>
                        </a:xfrm>
                        <a:custGeom>
                          <a:avLst/>
                          <a:rect l="l" t="t" r="r" b="b"/>
                          <a:pathLst>
                            <a:path w="88900" h="76200">
                              <a:moveTo>
                                <a:pt x="45200" y="71752"/>
                              </a:moveTo>
                              <a:lnTo>
                                <a:pt x="9437" y="116"/>
                              </a:lnTo>
                              <a:cubicBezTo>
                                <a:pt x="31891" y="11411"/>
                                <a:pt x="58408" y="11411"/>
                                <a:pt x="80963" y="116"/>
                              </a:cubicBezTo>
                              <a:lnTo>
                                <a:pt x="45200" y="71752"/>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366pt;margin-top:492pt;mso-wrap-style:square;z-index:10360592;mso-wrap-distance-left:9pt;mso-wrap-distance-top:0pt;mso-wrap-distance-right:9pt;mso-wrap-distance-bottom:0pt" id="shape7377" o:spid="1618382352378" path="m45200,71752l9437,116c31891,11411,58408,11411,80963,116l45200,71752e" stroked="f" filled="t" fillcolor="#404040"/>
            </w:pict>
          </mc:Fallback>
        </mc:AlternateContent>
      </w:r>
      <w:r>
        <mc:AlternateContent>
          <mc:Choice Requires="wps">
            <w:drawing>
              <wp:anchor distT="0" distB="0" distL="114300" distR="114300" simplePos="false" relativeHeight="10361616" behindDoc="true" locked="false" layoutInCell="true" allowOverlap="true">
                <wp:simplePos x="0" y="0"/>
                <wp:positionH relativeFrom="page">
                  <wp:posOffset>4686300</wp:posOffset>
                </wp:positionH>
                <wp:positionV relativeFrom="page">
                  <wp:posOffset>6616700</wp:posOffset>
                </wp:positionV>
                <wp:extent cx="12700" cy="139700"/>
                <wp:effectExtent l="0" t="0" r="22225" b="31115"/>
                <wp:wrapNone/>
                <wp:docPr id="7378" name="shape7378"/>
                <wp:cNvGraphicFramePr/>
                <a:graphic>
                  <a:graphicData uri="http://schemas.microsoft.com/office/word/2010/wordprocessingShape">
                    <wps:wsp>
                      <wps:cNvSpPr/>
                      <wps:spPr>
                        <a:xfrm>
                          <a:off x="0" y="0"/>
                          <a:ext cx="12700" cy="139700"/>
                        </a:xfrm>
                        <a:custGeom>
                          <a:avLst/>
                          <a:rect l="l" t="t" r="r" b="b"/>
                          <a:pathLst>
                            <a:path w="12700" h="139700">
                              <a:moveTo>
                                <a:pt x="7100" y="6277"/>
                              </a:moveTo>
                              <a:lnTo>
                                <a:pt x="7100" y="132353"/>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39700" style="position:absolute;left:0;top:0;visibility:visible;mso-position-horizontal:absolute;mso-position-horizontal-relative:page;mso-position-vertical:absolute;mso-position-vertical-relative:page;width:1pt;height:11pt;margin-left:369pt;margin-top:521pt;mso-wrap-style:square;z-index:10361616;mso-wrap-distance-left:9pt;mso-wrap-distance-top:0pt;mso-wrap-distance-right:9pt;mso-wrap-distance-bottom:0pt" id="shape7378" o:spid="1618382352378" path="m7100,6277l7100,132353" stroked="t" strokecolor="#404040" strokeweight="1pt"/>
            </w:pict>
          </mc:Fallback>
        </mc:AlternateContent>
      </w:r>
      <w:r>
        <mc:AlternateContent>
          <mc:Choice Requires="wps">
            <w:drawing>
              <wp:anchor distT="0" distB="0" distL="114300" distR="114300" simplePos="false" relativeHeight="10362640" behindDoc="true" locked="false" layoutInCell="true" allowOverlap="true">
                <wp:simplePos x="0" y="0"/>
                <wp:positionH relativeFrom="page">
                  <wp:posOffset>4648200</wp:posOffset>
                </wp:positionH>
                <wp:positionV relativeFrom="page">
                  <wp:posOffset>6731000</wp:posOffset>
                </wp:positionV>
                <wp:extent cx="88900" cy="76200"/>
                <wp:effectExtent l="0" t="0" r="22225" b="31115"/>
                <wp:wrapNone/>
                <wp:docPr id="7379" name="shape7379"/>
                <wp:cNvGraphicFramePr/>
                <a:graphic>
                  <a:graphicData uri="http://schemas.microsoft.com/office/word/2010/wordprocessingShape">
                    <wps:wsp>
                      <wps:cNvSpPr/>
                      <wps:spPr>
                        <a:xfrm>
                          <a:off x="0" y="0"/>
                          <a:ext cx="88900" cy="76200"/>
                        </a:xfrm>
                        <a:custGeom>
                          <a:avLst/>
                          <a:rect l="l" t="t" r="r" b="b"/>
                          <a:pathLst>
                            <a:path w="88900" h="76200">
                              <a:moveTo>
                                <a:pt x="45200" y="72289"/>
                              </a:moveTo>
                              <a:lnTo>
                                <a:pt x="9437" y="653"/>
                              </a:lnTo>
                              <a:cubicBezTo>
                                <a:pt x="31891" y="11948"/>
                                <a:pt x="58408" y="11948"/>
                                <a:pt x="80963" y="653"/>
                              </a:cubicBezTo>
                              <a:lnTo>
                                <a:pt x="45200" y="7228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366pt;margin-top:530pt;mso-wrap-style:square;z-index:10362640;mso-wrap-distance-left:9pt;mso-wrap-distance-top:0pt;mso-wrap-distance-right:9pt;mso-wrap-distance-bottom:0pt" id="shape7379" o:spid="1618382352379" path="m45200,72289l9437,653c31891,11948,58408,11948,80963,653l45200,72289e" stroked="f" filled="t" fillcolor="#404040"/>
            </w:pict>
          </mc:Fallback>
        </mc:AlternateContent>
      </w:r>
      <w:r>
        <mc:AlternateContent>
          <mc:Choice Requires="wps">
            <w:drawing>
              <wp:anchor distT="0" distB="0" distL="114300" distR="114300" simplePos="false" relativeHeight="10363664" behindDoc="true" locked="false" layoutInCell="true" allowOverlap="true">
                <wp:simplePos x="0" y="0"/>
                <wp:positionH relativeFrom="page">
                  <wp:posOffset>1866900</wp:posOffset>
                </wp:positionH>
                <wp:positionV relativeFrom="page">
                  <wp:posOffset>5295900</wp:posOffset>
                </wp:positionV>
                <wp:extent cx="1282700" cy="317500"/>
                <wp:effectExtent l="0" t="0" r="22225" b="31115"/>
                <wp:wrapNone/>
                <wp:docPr id="7380" name="shape7380"/>
                <wp:cNvGraphicFramePr/>
                <a:graphic>
                  <a:graphicData uri="http://schemas.microsoft.com/office/word/2010/wordprocessingShape">
                    <wps:wsp>
                      <wps:cNvSpPr/>
                      <wps:spPr>
                        <a:xfrm>
                          <a:off x="0" y="0"/>
                          <a:ext cx="12827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1pt;height:25pt;margin-left:147pt;margin-top:417pt;mso-wrap-style:square;z-index:10363664;mso-wrap-distance-left:9pt;mso-wrap-distance-top:0pt;mso-wrap-distance-right:9pt;mso-wrap-distance-bottom:0pt" id="shape7380" o:spid="1618382352379" stroked="f" filled="t" fillcolor="#cdcdcd"/>
            </w:pict>
          </mc:Fallback>
        </mc:AlternateContent>
      </w:r>
      <w:r>
        <mc:AlternateContent>
          <mc:Choice Requires="wps">
            <w:drawing>
              <wp:anchor distT="0" distB="0" distL="114300" distR="114300" simplePos="false" relativeHeight="10364688" behindDoc="true" locked="false" layoutInCell="true" allowOverlap="true">
                <wp:simplePos x="0" y="0"/>
                <wp:positionH relativeFrom="page">
                  <wp:posOffset>1866900</wp:posOffset>
                </wp:positionH>
                <wp:positionV relativeFrom="page">
                  <wp:posOffset>5295900</wp:posOffset>
                </wp:positionV>
                <wp:extent cx="1282700" cy="317500"/>
                <wp:effectExtent l="0" t="0" r="22225" b="31115"/>
                <wp:wrapNone/>
                <wp:docPr id="7381" name="shape7381"/>
                <wp:cNvGraphicFramePr/>
                <a:graphic>
                  <a:graphicData uri="http://schemas.microsoft.com/office/word/2010/wordprocessingShape">
                    <wps:wsp>
                      <wps:cNvSpPr/>
                      <wps:spPr>
                        <a:xfrm>
                          <a:off x="0" y="0"/>
                          <a:ext cx="12827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1pt;height:25pt;margin-left:147pt;margin-top:417pt;mso-wrap-style:square;z-index:10364688;mso-wrap-distance-left:9pt;mso-wrap-distance-top:0pt;mso-wrap-distance-right:9pt;mso-wrap-distance-bottom:0pt" id="shape7381" o:spid="1618382352380" stroked="t" strokecolor="#cdcdcd" strokeweight="1pt"/>
            </w:pict>
          </mc:Fallback>
        </mc:AlternateContent>
      </w:r>
      <w:r>
        <mc:AlternateContent>
          <mc:Choice Requires="wps">
            <w:drawing>
              <wp:anchor distT="0" distB="0" distL="114300" distR="114300" simplePos="false" relativeHeight="10367760" behindDoc="true" locked="false" layoutInCell="true" allowOverlap="true">
                <wp:simplePos x="0" y="0"/>
                <wp:positionH relativeFrom="page">
                  <wp:posOffset>2908300</wp:posOffset>
                </wp:positionH>
                <wp:positionV relativeFrom="page">
                  <wp:posOffset>4889500</wp:posOffset>
                </wp:positionV>
                <wp:extent cx="431800" cy="558800"/>
                <wp:effectExtent l="0" t="0" r="22225" b="31115"/>
                <wp:wrapNone/>
                <wp:docPr id="7384" name="shape7384"/>
                <wp:cNvGraphicFramePr/>
                <a:graphic>
                  <a:graphicData uri="http://schemas.microsoft.com/office/word/2010/wordprocessingShape">
                    <wps:wsp>
                      <wps:cNvSpPr/>
                      <wps:spPr>
                        <a:xfrm>
                          <a:off x="0" y="0"/>
                          <a:ext cx="431800" cy="558800"/>
                        </a:xfrm>
                        <a:custGeom>
                          <a:avLst/>
                          <a:rect l="l" t="t" r="r" b="b"/>
                          <a:pathLst>
                            <a:path w="431800" h="558800">
                              <a:moveTo>
                                <a:pt x="93081" y="2813"/>
                              </a:moveTo>
                              <a:lnTo>
                                <a:pt x="1643" y="2813"/>
                              </a:lnTo>
                              <a:lnTo>
                                <a:pt x="1643" y="245908"/>
                              </a:lnTo>
                              <a:lnTo>
                                <a:pt x="431505" y="245908"/>
                              </a:lnTo>
                              <a:lnTo>
                                <a:pt x="431505" y="550871"/>
                              </a:lnTo>
                              <a:lnTo>
                                <a:pt x="269659" y="550871"/>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31800,558800" style="position:absolute;left:0;top:0;visibility:visible;mso-position-horizontal:absolute;mso-position-horizontal-relative:page;mso-position-vertical:absolute;mso-position-vertical-relative:page;width:34pt;height:44pt;margin-left:229pt;margin-top:385pt;mso-wrap-style:square;z-index:10367760;mso-wrap-distance-left:9pt;mso-wrap-distance-top:0pt;mso-wrap-distance-right:9pt;mso-wrap-distance-bottom:0pt" id="shape7384" o:spid="1618382352380" path="m93081,2813l1643,2813l1643,245908l431505,245908l431505,550871l269659,550871" stroked="t" strokecolor="#404040" strokeweight="1pt"/>
            </w:pict>
          </mc:Fallback>
        </mc:AlternateContent>
      </w:r>
      <w:r>
        <mc:AlternateContent>
          <mc:Choice Requires="wps">
            <w:drawing>
              <wp:anchor distT="0" distB="0" distL="114300" distR="114300" simplePos="false" relativeHeight="10368784" behindDoc="true" locked="false" layoutInCell="true" allowOverlap="true">
                <wp:simplePos x="0" y="0"/>
                <wp:positionH relativeFrom="page">
                  <wp:posOffset>3111500</wp:posOffset>
                </wp:positionH>
                <wp:positionV relativeFrom="page">
                  <wp:posOffset>5397500</wp:posOffset>
                </wp:positionV>
                <wp:extent cx="88900" cy="88900"/>
                <wp:effectExtent l="0" t="0" r="22225" b="31115"/>
                <wp:wrapNone/>
                <wp:docPr id="7385" name="shape7385"/>
                <wp:cNvGraphicFramePr/>
                <a:graphic>
                  <a:graphicData uri="http://schemas.microsoft.com/office/word/2010/wordprocessingShape">
                    <wps:wsp>
                      <wps:cNvSpPr/>
                      <wps:spPr>
                        <a:xfrm>
                          <a:off x="0" y="0"/>
                          <a:ext cx="88900" cy="88900"/>
                        </a:xfrm>
                        <a:custGeom>
                          <a:avLst/>
                          <a:rect l="l" t="t" r="r" b="b"/>
                          <a:pathLst>
                            <a:path w="88900" h="88900">
                              <a:moveTo>
                                <a:pt x="12307" y="42871"/>
                              </a:moveTo>
                              <a:lnTo>
                                <a:pt x="83833" y="7053"/>
                              </a:lnTo>
                              <a:cubicBezTo>
                                <a:pt x="72555" y="29642"/>
                                <a:pt x="72555" y="56200"/>
                                <a:pt x="83833" y="78688"/>
                              </a:cubicBezTo>
                              <a:lnTo>
                                <a:pt x="83833" y="78688"/>
                              </a:lnTo>
                              <a:lnTo>
                                <a:pt x="12307" y="4287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245pt;margin-top:425pt;mso-wrap-style:square;z-index:10368784;mso-wrap-distance-left:9pt;mso-wrap-distance-top:0pt;mso-wrap-distance-right:9pt;mso-wrap-distance-bottom:0pt" id="shape7385" o:spid="1618382352380" path="m12307,42871l83833,7053c72555,29642,72555,56200,83833,78688l83833,78688l12307,42871e" stroked="f" filled="t" fillcolor="#404040"/>
            </w:pict>
          </mc:Fallback>
        </mc:AlternateContent>
      </w:r>
      <w:r>
        <mc:AlternateContent>
          <mc:Choice Requires="wps">
            <w:drawing>
              <wp:anchor distT="0" distB="0" distL="114300" distR="114300" simplePos="false" relativeHeight="10369808" behindDoc="true" locked="false" layoutInCell="true" allowOverlap="true">
                <wp:simplePos x="0" y="0"/>
                <wp:positionH relativeFrom="page">
                  <wp:posOffset>1308100</wp:posOffset>
                </wp:positionH>
                <wp:positionV relativeFrom="page">
                  <wp:posOffset>5816600</wp:posOffset>
                </wp:positionV>
                <wp:extent cx="1066800" cy="317500"/>
                <wp:effectExtent l="0" t="0" r="22225" b="31115"/>
                <wp:wrapNone/>
                <wp:docPr id="7386" name="shape7386"/>
                <wp:cNvGraphicFramePr/>
                <a:graphic>
                  <a:graphicData uri="http://schemas.microsoft.com/office/word/2010/wordprocessingShape">
                    <wps:wsp>
                      <wps:cNvSpPr/>
                      <wps:spPr>
                        <a:xfrm>
                          <a:off x="0" y="0"/>
                          <a:ext cx="10668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4pt;height:25pt;margin-left:103pt;margin-top:458pt;mso-wrap-style:square;z-index:10369808;mso-wrap-distance-left:9pt;mso-wrap-distance-top:0pt;mso-wrap-distance-right:9pt;mso-wrap-distance-bottom:0pt" id="shape7386" o:spid="1618382352381" stroked="f" filled="t" fillcolor="#cdcdcd"/>
            </w:pict>
          </mc:Fallback>
        </mc:AlternateContent>
      </w:r>
      <w:r>
        <mc:AlternateContent>
          <mc:Choice Requires="wps">
            <w:drawing>
              <wp:anchor distT="0" distB="0" distL="114300" distR="114300" simplePos="false" relativeHeight="10370832" behindDoc="true" locked="false" layoutInCell="true" allowOverlap="true">
                <wp:simplePos x="0" y="0"/>
                <wp:positionH relativeFrom="page">
                  <wp:posOffset>1308100</wp:posOffset>
                </wp:positionH>
                <wp:positionV relativeFrom="page">
                  <wp:posOffset>5816600</wp:posOffset>
                </wp:positionV>
                <wp:extent cx="1066800" cy="317500"/>
                <wp:effectExtent l="0" t="0" r="22225" b="31115"/>
                <wp:wrapNone/>
                <wp:docPr id="7387" name="shape7387"/>
                <wp:cNvGraphicFramePr/>
                <a:graphic>
                  <a:graphicData uri="http://schemas.microsoft.com/office/word/2010/wordprocessingShape">
                    <wps:wsp>
                      <wps:cNvSpPr/>
                      <wps:spPr>
                        <a:xfrm>
                          <a:off x="0" y="0"/>
                          <a:ext cx="10668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4pt;height:25pt;margin-left:103pt;margin-top:458pt;mso-wrap-style:square;z-index:10370832;mso-wrap-distance-left:9pt;mso-wrap-distance-top:0pt;mso-wrap-distance-right:9pt;mso-wrap-distance-bottom:0pt" id="shape7387" o:spid="1618382352381" stroked="t" strokecolor="#cdcdcd" strokeweight="1pt"/>
            </w:pict>
          </mc:Fallback>
        </mc:AlternateContent>
      </w:r>
      <w:r>
        <mc:AlternateContent>
          <mc:Choice Requires="wps">
            <w:drawing>
              <wp:anchor distT="0" distB="0" distL="114300" distR="114300" simplePos="false" relativeHeight="10373904" behindDoc="true" locked="false" layoutInCell="true" allowOverlap="true">
                <wp:simplePos x="0" y="0"/>
                <wp:positionH relativeFrom="page">
                  <wp:posOffset>1714500</wp:posOffset>
                </wp:positionH>
                <wp:positionV relativeFrom="page">
                  <wp:posOffset>5435600</wp:posOffset>
                </wp:positionV>
                <wp:extent cx="800100" cy="533400"/>
                <wp:effectExtent l="0" t="0" r="22225" b="31115"/>
                <wp:wrapNone/>
                <wp:docPr id="7390" name="shape7390"/>
                <wp:cNvGraphicFramePr/>
                <a:graphic>
                  <a:graphicData uri="http://schemas.microsoft.com/office/word/2010/wordprocessingShape">
                    <wps:wsp>
                      <wps:cNvSpPr/>
                      <wps:spPr>
                        <a:xfrm>
                          <a:off x="0" y="0"/>
                          <a:ext cx="800100" cy="533400"/>
                        </a:xfrm>
                        <a:custGeom>
                          <a:avLst/>
                          <a:rect l="l" t="t" r="r" b="b"/>
                          <a:pathLst>
                            <a:path w="800100" h="533400">
                              <a:moveTo>
                                <a:pt x="149336" y="4771"/>
                              </a:moveTo>
                              <a:lnTo>
                                <a:pt x="11101" y="4771"/>
                              </a:lnTo>
                              <a:lnTo>
                                <a:pt x="11101" y="234128"/>
                              </a:lnTo>
                              <a:lnTo>
                                <a:pt x="791590" y="234128"/>
                              </a:lnTo>
                              <a:lnTo>
                                <a:pt x="791590" y="524031"/>
                              </a:lnTo>
                              <a:lnTo>
                                <a:pt x="707466" y="524031"/>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00100,533400" style="position:absolute;left:0;top:0;visibility:visible;mso-position-horizontal:absolute;mso-position-horizontal-relative:page;mso-position-vertical:absolute;mso-position-vertical-relative:page;width:63pt;height:42pt;margin-left:135pt;margin-top:428pt;mso-wrap-style:square;z-index:10373904;mso-wrap-distance-left:9pt;mso-wrap-distance-top:0pt;mso-wrap-distance-right:9pt;mso-wrap-distance-bottom:0pt" id="shape7390" o:spid="1618382352382" path="m149336,4771l11101,4771l11101,234128l791590,234128l791590,524031l707466,524031" stroked="t" strokecolor="#404040" strokeweight="1pt"/>
            </w:pict>
          </mc:Fallback>
        </mc:AlternateContent>
      </w:r>
      <w:r>
        <mc:AlternateContent>
          <mc:Choice Requires="wps">
            <w:drawing>
              <wp:anchor distT="0" distB="0" distL="114300" distR="114300" simplePos="false" relativeHeight="10374928" behindDoc="true" locked="false" layoutInCell="true" allowOverlap="true">
                <wp:simplePos x="0" y="0"/>
                <wp:positionH relativeFrom="page">
                  <wp:posOffset>2362200</wp:posOffset>
                </wp:positionH>
                <wp:positionV relativeFrom="page">
                  <wp:posOffset>5918200</wp:posOffset>
                </wp:positionV>
                <wp:extent cx="88900" cy="88900"/>
                <wp:effectExtent l="0" t="0" r="22225" b="31115"/>
                <wp:wrapNone/>
                <wp:docPr id="7391" name="shape7391"/>
                <wp:cNvGraphicFramePr/>
                <a:graphic>
                  <a:graphicData uri="http://schemas.microsoft.com/office/word/2010/wordprocessingShape">
                    <wps:wsp>
                      <wps:cNvSpPr/>
                      <wps:spPr>
                        <a:xfrm>
                          <a:off x="0" y="0"/>
                          <a:ext cx="88900" cy="88900"/>
                        </a:xfrm>
                        <a:custGeom>
                          <a:avLst/>
                          <a:rect l="l" t="t" r="r" b="b"/>
                          <a:pathLst>
                            <a:path w="88900" h="88900">
                              <a:moveTo>
                                <a:pt x="5614" y="41431"/>
                              </a:moveTo>
                              <a:lnTo>
                                <a:pt x="77140" y="5613"/>
                              </a:lnTo>
                              <a:cubicBezTo>
                                <a:pt x="65862" y="28101"/>
                                <a:pt x="65862" y="54659"/>
                                <a:pt x="77140" y="77249"/>
                              </a:cubicBezTo>
                              <a:lnTo>
                                <a:pt x="77140" y="77249"/>
                              </a:lnTo>
                              <a:lnTo>
                                <a:pt x="5614" y="4143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186pt;margin-top:466pt;mso-wrap-style:square;z-index:10374928;mso-wrap-distance-left:9pt;mso-wrap-distance-top:0pt;mso-wrap-distance-right:9pt;mso-wrap-distance-bottom:0pt" id="shape7391" o:spid="1618382352382" path="m5614,41431l77140,5613c65862,28101,65862,54659,77140,77249l77140,77249l5614,41431e" stroked="f" filled="t" fillcolor="#404040"/>
            </w:pict>
          </mc:Fallback>
        </mc:AlternateContent>
      </w:r>
      <w:r>
        <mc:AlternateContent>
          <mc:Choice Requires="wps">
            <w:drawing>
              <wp:anchor distT="0" distB="0" distL="114300" distR="114300" simplePos="false" relativeHeight="10375952" behindDoc="true" locked="false" layoutInCell="true" allowOverlap="true">
                <wp:simplePos x="0" y="0"/>
                <wp:positionH relativeFrom="page">
                  <wp:posOffset>2578100</wp:posOffset>
                </wp:positionH>
                <wp:positionV relativeFrom="page">
                  <wp:posOffset>5829300</wp:posOffset>
                </wp:positionV>
                <wp:extent cx="1066800" cy="304800"/>
                <wp:effectExtent l="0" t="0" r="22225" b="31115"/>
                <wp:wrapNone/>
                <wp:docPr id="7392" name="shape7392"/>
                <wp:cNvGraphicFramePr/>
                <a:graphic>
                  <a:graphicData uri="http://schemas.microsoft.com/office/word/2010/wordprocessingShape">
                    <wps:wsp>
                      <wps:cNvSpPr/>
                      <wps:spPr>
                        <a:xfrm>
                          <a:off x="0" y="0"/>
                          <a:ext cx="1066800" cy="3048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4pt;height:24pt;margin-left:203pt;margin-top:459pt;mso-wrap-style:square;z-index:10375952;mso-wrap-distance-left:9pt;mso-wrap-distance-top:0pt;mso-wrap-distance-right:9pt;mso-wrap-distance-bottom:0pt" id="shape7392" o:spid="1618382352383" stroked="f" filled="t" fillcolor="#cdcdcd"/>
            </w:pict>
          </mc:Fallback>
        </mc:AlternateContent>
      </w:r>
      <w:r>
        <mc:AlternateContent>
          <mc:Choice Requires="wps">
            <w:drawing>
              <wp:anchor distT="0" distB="0" distL="114300" distR="114300" simplePos="false" relativeHeight="10376976" behindDoc="true" locked="false" layoutInCell="true" allowOverlap="true">
                <wp:simplePos x="0" y="0"/>
                <wp:positionH relativeFrom="page">
                  <wp:posOffset>2578100</wp:posOffset>
                </wp:positionH>
                <wp:positionV relativeFrom="page">
                  <wp:posOffset>5829300</wp:posOffset>
                </wp:positionV>
                <wp:extent cx="1066800" cy="304800"/>
                <wp:effectExtent l="0" t="0" r="22225" b="31115"/>
                <wp:wrapNone/>
                <wp:docPr id="7393" name="shape7393"/>
                <wp:cNvGraphicFramePr/>
                <a:graphic>
                  <a:graphicData uri="http://schemas.microsoft.com/office/word/2010/wordprocessingShape">
                    <wps:wsp>
                      <wps:cNvSpPr/>
                      <wps:spPr>
                        <a:xfrm>
                          <a:off x="0" y="0"/>
                          <a:ext cx="1066800" cy="3048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4pt;height:24pt;margin-left:203pt;margin-top:459pt;mso-wrap-style:square;z-index:10376976;mso-wrap-distance-left:9pt;mso-wrap-distance-top:0pt;mso-wrap-distance-right:9pt;mso-wrap-distance-bottom:0pt" id="shape7393" o:spid="1618382352383" stroked="t" strokecolor="#cdcdcd" strokeweight="1pt"/>
            </w:pict>
          </mc:Fallback>
        </mc:AlternateContent>
      </w:r>
      <w:r>
        <mc:AlternateContent>
          <mc:Choice Requires="wps">
            <w:drawing>
              <wp:anchor distT="0" distB="0" distL="114300" distR="114300" simplePos="false" relativeHeight="10380048" behindDoc="true" locked="false" layoutInCell="true" allowOverlap="true">
                <wp:simplePos x="0" y="0"/>
                <wp:positionH relativeFrom="page">
                  <wp:posOffset>1638300</wp:posOffset>
                </wp:positionH>
                <wp:positionV relativeFrom="page">
                  <wp:posOffset>5435600</wp:posOffset>
                </wp:positionV>
                <wp:extent cx="2222500" cy="533400"/>
                <wp:effectExtent l="0" t="0" r="22225" b="31115"/>
                <wp:wrapNone/>
                <wp:docPr id="7396" name="shape7396"/>
                <wp:cNvGraphicFramePr/>
                <a:graphic>
                  <a:graphicData uri="http://schemas.microsoft.com/office/word/2010/wordprocessingShape">
                    <wps:wsp>
                      <wps:cNvSpPr/>
                      <wps:spPr>
                        <a:xfrm>
                          <a:off x="0" y="0"/>
                          <a:ext cx="2222500" cy="533400"/>
                        </a:xfrm>
                        <a:custGeom>
                          <a:avLst/>
                          <a:rect l="l" t="t" r="r" b="b"/>
                          <a:pathLst>
                            <a:path w="2222500" h="533400">
                              <a:moveTo>
                                <a:pt x="225536" y="4771"/>
                              </a:moveTo>
                              <a:lnTo>
                                <a:pt x="9538" y="4771"/>
                              </a:lnTo>
                              <a:lnTo>
                                <a:pt x="9538" y="280936"/>
                              </a:lnTo>
                              <a:lnTo>
                                <a:pt x="837310" y="280936"/>
                              </a:lnTo>
                              <a:cubicBezTo>
                                <a:pt x="837310" y="264146"/>
                                <a:pt x="850924" y="250409"/>
                                <a:pt x="867790" y="250409"/>
                              </a:cubicBezTo>
                              <a:cubicBezTo>
                                <a:pt x="884553" y="250409"/>
                                <a:pt x="898269" y="264146"/>
                                <a:pt x="898269" y="280936"/>
                              </a:cubicBezTo>
                              <a:cubicBezTo>
                                <a:pt x="898269" y="280936"/>
                                <a:pt x="898269" y="280936"/>
                                <a:pt x="898269" y="280936"/>
                              </a:cubicBezTo>
                              <a:lnTo>
                                <a:pt x="2219861" y="280936"/>
                              </a:lnTo>
                              <a:lnTo>
                                <a:pt x="2219861" y="531154"/>
                              </a:lnTo>
                              <a:lnTo>
                                <a:pt x="2058014" y="53115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222500,533400" style="position:absolute;left:0;top:0;visibility:visible;mso-position-horizontal:absolute;mso-position-horizontal-relative:page;mso-position-vertical:absolute;mso-position-vertical-relative:page;width:175pt;height:42pt;margin-left:129pt;margin-top:428pt;mso-wrap-style:square;z-index:10380048;mso-wrap-distance-left:9pt;mso-wrap-distance-top:0pt;mso-wrap-distance-right:9pt;mso-wrap-distance-bottom:0pt" id="shape7396" o:spid="1618382352383" path="m225536,4771l9538,4771l9538,280936l837310,280936c837310,264146,850924,250409,867790,250409c884553,250409,898269,264146,898269,280936c898269,280936,898269,280936,898269,280936l2219861,280936l2219861,531154l2058014,531154" stroked="t" strokecolor="#404040" strokeweight="1pt"/>
            </w:pict>
          </mc:Fallback>
        </mc:AlternateContent>
      </w:r>
      <w:r>
        <mc:AlternateContent>
          <mc:Choice Requires="wps">
            <w:drawing>
              <wp:anchor distT="0" distB="0" distL="114300" distR="114300" simplePos="false" relativeHeight="10381072" behindDoc="true" locked="false" layoutInCell="true" allowOverlap="true">
                <wp:simplePos x="0" y="0"/>
                <wp:positionH relativeFrom="page">
                  <wp:posOffset>3632200</wp:posOffset>
                </wp:positionH>
                <wp:positionV relativeFrom="page">
                  <wp:posOffset>5930900</wp:posOffset>
                </wp:positionV>
                <wp:extent cx="88900" cy="76200"/>
                <wp:effectExtent l="0" t="0" r="22225" b="31115"/>
                <wp:wrapNone/>
                <wp:docPr id="7397" name="shape7397"/>
                <wp:cNvGraphicFramePr/>
                <a:graphic>
                  <a:graphicData uri="http://schemas.microsoft.com/office/word/2010/wordprocessingShape">
                    <wps:wsp>
                      <wps:cNvSpPr/>
                      <wps:spPr>
                        <a:xfrm>
                          <a:off x="0" y="0"/>
                          <a:ext cx="88900" cy="76200"/>
                        </a:xfrm>
                        <a:custGeom>
                          <a:avLst/>
                          <a:rect l="l" t="t" r="r" b="b"/>
                          <a:pathLst>
                            <a:path w="88900" h="76200">
                              <a:moveTo>
                                <a:pt x="9962" y="35854"/>
                              </a:moveTo>
                              <a:lnTo>
                                <a:pt x="81488" y="36"/>
                              </a:lnTo>
                              <a:cubicBezTo>
                                <a:pt x="70311" y="22625"/>
                                <a:pt x="70311" y="49184"/>
                                <a:pt x="81488" y="71672"/>
                              </a:cubicBezTo>
                              <a:lnTo>
                                <a:pt x="81488" y="71672"/>
                              </a:lnTo>
                              <a:lnTo>
                                <a:pt x="9962" y="35854"/>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286pt;margin-top:467pt;mso-wrap-style:square;z-index:10381072;mso-wrap-distance-left:9pt;mso-wrap-distance-top:0pt;mso-wrap-distance-right:9pt;mso-wrap-distance-bottom:0pt" id="shape7397" o:spid="1618382352384" path="m9962,35854l81488,36c70311,22625,70311,49184,81488,71672l81488,71672l9962,35854e" stroked="f" filled="t" fillcolor="#404040"/>
            </w:pict>
          </mc:Fallback>
        </mc:AlternateContent>
      </w:r>
      <w:r>
        <mc:AlternateContent>
          <mc:Choice Requires="wps">
            <w:drawing>
              <wp:anchor distT="0" distB="0" distL="114300" distR="114300" simplePos="false" relativeHeight="10382096" behindDoc="true" locked="false" layoutInCell="true" allowOverlap="true">
                <wp:simplePos x="0" y="0"/>
                <wp:positionH relativeFrom="page">
                  <wp:posOffset>1854200</wp:posOffset>
                </wp:positionH>
                <wp:positionV relativeFrom="page">
                  <wp:posOffset>6375400</wp:posOffset>
                </wp:positionV>
                <wp:extent cx="1079500" cy="317500"/>
                <wp:effectExtent l="0" t="0" r="22225" b="31115"/>
                <wp:wrapNone/>
                <wp:docPr id="7398" name="shape7398"/>
                <wp:cNvGraphicFramePr/>
                <a:graphic>
                  <a:graphicData uri="http://schemas.microsoft.com/office/word/2010/wordprocessingShape">
                    <wps:wsp>
                      <wps:cNvSpPr/>
                      <wps:spPr>
                        <a:xfrm>
                          <a:off x="0" y="0"/>
                          <a:ext cx="10795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25pt;margin-left:146pt;margin-top:502pt;mso-wrap-style:square;z-index:10382096;mso-wrap-distance-left:9pt;mso-wrap-distance-top:0pt;mso-wrap-distance-right:9pt;mso-wrap-distance-bottom:0pt" id="shape7398" o:spid="1618382352384" stroked="f" filled="t" fillcolor="#cdcdcd"/>
            </w:pict>
          </mc:Fallback>
        </mc:AlternateContent>
      </w:r>
      <w:r>
        <mc:AlternateContent>
          <mc:Choice Requires="wps">
            <w:drawing>
              <wp:anchor distT="0" distB="0" distL="114300" distR="114300" simplePos="false" relativeHeight="10383120" behindDoc="true" locked="false" layoutInCell="true" allowOverlap="true">
                <wp:simplePos x="0" y="0"/>
                <wp:positionH relativeFrom="page">
                  <wp:posOffset>1854200</wp:posOffset>
                </wp:positionH>
                <wp:positionV relativeFrom="page">
                  <wp:posOffset>6375400</wp:posOffset>
                </wp:positionV>
                <wp:extent cx="1079500" cy="317500"/>
                <wp:effectExtent l="0" t="0" r="22225" b="31115"/>
                <wp:wrapNone/>
                <wp:docPr id="7399" name="shape7399"/>
                <wp:cNvGraphicFramePr/>
                <a:graphic>
                  <a:graphicData uri="http://schemas.microsoft.com/office/word/2010/wordprocessingShape">
                    <wps:wsp>
                      <wps:cNvSpPr/>
                      <wps:spPr>
                        <a:xfrm>
                          <a:off x="0" y="0"/>
                          <a:ext cx="10795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25pt;margin-left:146pt;margin-top:502pt;mso-wrap-style:square;z-index:10383120;mso-wrap-distance-left:9pt;mso-wrap-distance-top:0pt;mso-wrap-distance-right:9pt;mso-wrap-distance-bottom:0pt" id="shape7399" o:spid="1618382352385" stroked="t" strokecolor="#cdcdcd" strokeweight="1pt"/>
            </w:pict>
          </mc:Fallback>
        </mc:AlternateContent>
      </w:r>
      <w:r>
        <mc:AlternateContent>
          <mc:Choice Requires="wps">
            <w:drawing>
              <wp:anchor distT="0" distB="0" distL="114300" distR="114300" simplePos="false" relativeHeight="10386192" behindDoc="true" locked="false" layoutInCell="true" allowOverlap="true">
                <wp:simplePos x="0" y="0"/>
                <wp:positionH relativeFrom="page">
                  <wp:posOffset>1244600</wp:posOffset>
                </wp:positionH>
                <wp:positionV relativeFrom="page">
                  <wp:posOffset>5956300</wp:posOffset>
                </wp:positionV>
                <wp:extent cx="1739900" cy="558800"/>
                <wp:effectExtent l="0" t="0" r="22225" b="31115"/>
                <wp:wrapNone/>
                <wp:docPr id="7402" name="shape7402"/>
                <wp:cNvGraphicFramePr/>
                <a:graphic>
                  <a:graphicData uri="http://schemas.microsoft.com/office/word/2010/wordprocessingShape">
                    <wps:wsp>
                      <wps:cNvSpPr/>
                      <wps:spPr>
                        <a:xfrm>
                          <a:off x="0" y="0"/>
                          <a:ext cx="1739900" cy="558800"/>
                        </a:xfrm>
                        <a:custGeom>
                          <a:avLst/>
                          <a:rect l="l" t="t" r="r" b="b"/>
                          <a:pathLst>
                            <a:path w="1739900" h="558800">
                              <a:moveTo>
                                <a:pt x="64844" y="3331"/>
                              </a:moveTo>
                              <a:lnTo>
                                <a:pt x="10845" y="3331"/>
                              </a:lnTo>
                              <a:lnTo>
                                <a:pt x="10845" y="353066"/>
                              </a:lnTo>
                              <a:lnTo>
                                <a:pt x="1731585" y="353066"/>
                              </a:lnTo>
                              <a:lnTo>
                                <a:pt x="1731585" y="558511"/>
                              </a:lnTo>
                              <a:lnTo>
                                <a:pt x="1677636" y="558511"/>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39900,558800" style="position:absolute;left:0;top:0;visibility:visible;mso-position-horizontal:absolute;mso-position-horizontal-relative:page;mso-position-vertical:absolute;mso-position-vertical-relative:page;width:137pt;height:44pt;margin-left:98pt;margin-top:469pt;mso-wrap-style:square;z-index:10386192;mso-wrap-distance-left:9pt;mso-wrap-distance-top:0pt;mso-wrap-distance-right:9pt;mso-wrap-distance-bottom:0pt" id="shape7402" o:spid="1618382352385" path="m64844,3331l10845,3331l10845,353066l1731585,353066l1731585,558511l1677636,558511" stroked="t" strokecolor="#404040" strokeweight="1pt"/>
            </w:pict>
          </mc:Fallback>
        </mc:AlternateContent>
      </w:r>
      <w:r>
        <mc:AlternateContent>
          <mc:Choice Requires="wps">
            <w:drawing>
              <wp:anchor distT="0" distB="0" distL="114300" distR="114300" simplePos="false" relativeHeight="10387216" behindDoc="true" locked="false" layoutInCell="true" allowOverlap="true">
                <wp:simplePos x="0" y="0"/>
                <wp:positionH relativeFrom="page">
                  <wp:posOffset>2921000</wp:posOffset>
                </wp:positionH>
                <wp:positionV relativeFrom="page">
                  <wp:posOffset>6477000</wp:posOffset>
                </wp:positionV>
                <wp:extent cx="76200" cy="76200"/>
                <wp:effectExtent l="0" t="0" r="22225" b="31115"/>
                <wp:wrapNone/>
                <wp:docPr id="7403" name="shape7403"/>
                <wp:cNvGraphicFramePr/>
                <a:graphic>
                  <a:graphicData uri="http://schemas.microsoft.com/office/word/2010/wordprocessingShape">
                    <wps:wsp>
                      <wps:cNvSpPr/>
                      <wps:spPr>
                        <a:xfrm>
                          <a:off x="0" y="0"/>
                          <a:ext cx="76200" cy="76200"/>
                        </a:xfrm>
                        <a:custGeom>
                          <a:avLst/>
                          <a:rect l="l" t="t" r="r" b="b"/>
                          <a:pathLst>
                            <a:path w="76200" h="76200">
                              <a:moveTo>
                                <a:pt x="1236" y="37811"/>
                              </a:moveTo>
                              <a:lnTo>
                                <a:pt x="72762" y="1993"/>
                              </a:lnTo>
                              <a:cubicBezTo>
                                <a:pt x="61484" y="24583"/>
                                <a:pt x="61484" y="51141"/>
                                <a:pt x="72762" y="73629"/>
                              </a:cubicBezTo>
                              <a:lnTo>
                                <a:pt x="1236" y="3781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30pt;margin-top:510pt;mso-wrap-style:square;z-index:10387216;mso-wrap-distance-left:9pt;mso-wrap-distance-top:0pt;mso-wrap-distance-right:9pt;mso-wrap-distance-bottom:0pt" id="shape7403" o:spid="1618382352386" path="m1236,37811l72762,1993c61484,24583,61484,51141,72762,73629l1236,37811e" stroked="f" filled="t" fillcolor="#404040"/>
            </w:pict>
          </mc:Fallback>
        </mc:AlternateContent>
      </w:r>
      <w:r>
        <mc:AlternateContent>
          <mc:Choice Requires="wps">
            <w:drawing>
              <wp:anchor distT="0" distB="0" distL="114300" distR="114300" simplePos="false" relativeHeight="10388240" behindDoc="true" locked="false" layoutInCell="true" allowOverlap="true">
                <wp:simplePos x="0" y="0"/>
                <wp:positionH relativeFrom="page">
                  <wp:posOffset>2438400</wp:posOffset>
                </wp:positionH>
                <wp:positionV relativeFrom="page">
                  <wp:posOffset>5956300</wp:posOffset>
                </wp:positionV>
                <wp:extent cx="622300" cy="558800"/>
                <wp:effectExtent l="0" t="0" r="22225" b="31115"/>
                <wp:wrapNone/>
                <wp:docPr id="7404" name="shape7404"/>
                <wp:cNvGraphicFramePr/>
                <a:graphic>
                  <a:graphicData uri="http://schemas.microsoft.com/office/word/2010/wordprocessingShape">
                    <wps:wsp>
                      <wps:cNvSpPr/>
                      <wps:spPr>
                        <a:xfrm>
                          <a:off x="0" y="0"/>
                          <a:ext cx="622300" cy="558800"/>
                        </a:xfrm>
                        <a:custGeom>
                          <a:avLst/>
                          <a:rect l="l" t="t" r="r" b="b"/>
                          <a:pathLst>
                            <a:path w="622300" h="558800">
                              <a:moveTo>
                                <a:pt x="145413" y="10454"/>
                              </a:moveTo>
                              <a:lnTo>
                                <a:pt x="7137" y="10454"/>
                              </a:lnTo>
                              <a:lnTo>
                                <a:pt x="7137" y="268609"/>
                              </a:lnTo>
                              <a:lnTo>
                                <a:pt x="622010" y="268609"/>
                              </a:lnTo>
                              <a:lnTo>
                                <a:pt x="622010" y="558511"/>
                              </a:lnTo>
                              <a:lnTo>
                                <a:pt x="537988" y="558511"/>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22300,558800" style="position:absolute;left:0;top:0;visibility:visible;mso-position-horizontal:absolute;mso-position-horizontal-relative:page;mso-position-vertical:absolute;mso-position-vertical-relative:page;width:49pt;height:44pt;margin-left:192pt;margin-top:469pt;mso-wrap-style:square;z-index:10388240;mso-wrap-distance-left:9pt;mso-wrap-distance-top:0pt;mso-wrap-distance-right:9pt;mso-wrap-distance-bottom:0pt" id="shape7404" o:spid="1618382352386" path="m145413,10454l7137,10454l7137,268609l622010,268609l622010,558511l537988,558511" stroked="t" strokecolor="#404040" strokeweight="1pt"/>
            </w:pict>
          </mc:Fallback>
        </mc:AlternateContent>
      </w:r>
      <w:r>
        <mc:AlternateContent>
          <mc:Choice Requires="wps">
            <w:drawing>
              <wp:anchor distT="0" distB="0" distL="114300" distR="114300" simplePos="false" relativeHeight="10389264" behindDoc="true" locked="false" layoutInCell="true" allowOverlap="true">
                <wp:simplePos x="0" y="0"/>
                <wp:positionH relativeFrom="page">
                  <wp:posOffset>2921000</wp:posOffset>
                </wp:positionH>
                <wp:positionV relativeFrom="page">
                  <wp:posOffset>6477000</wp:posOffset>
                </wp:positionV>
                <wp:extent cx="76200" cy="76200"/>
                <wp:effectExtent l="0" t="0" r="22225" b="31115"/>
                <wp:wrapNone/>
                <wp:docPr id="7405" name="shape7405"/>
                <wp:cNvGraphicFramePr/>
                <a:graphic>
                  <a:graphicData uri="http://schemas.microsoft.com/office/word/2010/wordprocessingShape">
                    <wps:wsp>
                      <wps:cNvSpPr/>
                      <wps:spPr>
                        <a:xfrm>
                          <a:off x="0" y="0"/>
                          <a:ext cx="76200" cy="76200"/>
                        </a:xfrm>
                        <a:custGeom>
                          <a:avLst/>
                          <a:rect l="l" t="t" r="r" b="b"/>
                          <a:pathLst>
                            <a:path w="76200" h="76200">
                              <a:moveTo>
                                <a:pt x="1236" y="37811"/>
                              </a:moveTo>
                              <a:lnTo>
                                <a:pt x="72762" y="1993"/>
                              </a:lnTo>
                              <a:cubicBezTo>
                                <a:pt x="61484" y="24583"/>
                                <a:pt x="61484" y="51141"/>
                                <a:pt x="72762" y="73629"/>
                              </a:cubicBezTo>
                              <a:lnTo>
                                <a:pt x="1236" y="3781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30pt;margin-top:510pt;mso-wrap-style:square;z-index:10389264;mso-wrap-distance-left:9pt;mso-wrap-distance-top:0pt;mso-wrap-distance-right:9pt;mso-wrap-distance-bottom:0pt" id="shape7405" o:spid="1618382352386" path="m1236,37811l72762,1993c61484,24583,61484,51141,72762,73629l1236,37811e" stroked="f" filled="t" fillcolor="#404040"/>
            </w:pict>
          </mc:Fallback>
        </mc:AlternateContent>
      </w:r>
      <w:r>
        <mc:AlternateContent>
          <mc:Choice Requires="wps">
            <w:drawing>
              <wp:anchor distT="0" distB="0" distL="114300" distR="114300" simplePos="false" relativeHeight="10390288" behindDoc="true" locked="false" layoutInCell="true" allowOverlap="true">
                <wp:simplePos x="0" y="0"/>
                <wp:positionH relativeFrom="page">
                  <wp:posOffset>1854200</wp:posOffset>
                </wp:positionH>
                <wp:positionV relativeFrom="page">
                  <wp:posOffset>6921500</wp:posOffset>
                </wp:positionV>
                <wp:extent cx="1079500" cy="317500"/>
                <wp:effectExtent l="0" t="0" r="22225" b="31115"/>
                <wp:wrapNone/>
                <wp:docPr id="7406" name="shape7406"/>
                <wp:cNvGraphicFramePr/>
                <a:graphic>
                  <a:graphicData uri="http://schemas.microsoft.com/office/word/2010/wordprocessingShape">
                    <wps:wsp>
                      <wps:cNvSpPr/>
                      <wps:spPr>
                        <a:xfrm>
                          <a:off x="0" y="0"/>
                          <a:ext cx="10795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25pt;margin-left:146pt;margin-top:545pt;mso-wrap-style:square;z-index:10390288;mso-wrap-distance-left:9pt;mso-wrap-distance-top:0pt;mso-wrap-distance-right:9pt;mso-wrap-distance-bottom:0pt" id="shape7406" o:spid="1618382352387" stroked="f" filled="t" fillcolor="#cdcdcd"/>
            </w:pict>
          </mc:Fallback>
        </mc:AlternateContent>
      </w:r>
      <w:r>
        <mc:AlternateContent>
          <mc:Choice Requires="wps">
            <w:drawing>
              <wp:anchor distT="0" distB="0" distL="114300" distR="114300" simplePos="false" relativeHeight="10391312" behindDoc="true" locked="false" layoutInCell="true" allowOverlap="true">
                <wp:simplePos x="0" y="0"/>
                <wp:positionH relativeFrom="page">
                  <wp:posOffset>1854200</wp:posOffset>
                </wp:positionH>
                <wp:positionV relativeFrom="page">
                  <wp:posOffset>6921500</wp:posOffset>
                </wp:positionV>
                <wp:extent cx="1079500" cy="317500"/>
                <wp:effectExtent l="0" t="0" r="22225" b="31115"/>
                <wp:wrapNone/>
                <wp:docPr id="7407" name="shape7407"/>
                <wp:cNvGraphicFramePr/>
                <a:graphic>
                  <a:graphicData uri="http://schemas.microsoft.com/office/word/2010/wordprocessingShape">
                    <wps:wsp>
                      <wps:cNvSpPr/>
                      <wps:spPr>
                        <a:xfrm>
                          <a:off x="0" y="0"/>
                          <a:ext cx="10795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25pt;margin-left:146pt;margin-top:545pt;mso-wrap-style:square;z-index:10391312;mso-wrap-distance-left:9pt;mso-wrap-distance-top:0pt;mso-wrap-distance-right:9pt;mso-wrap-distance-bottom:0pt" id="shape7407" o:spid="1618382352387" stroked="t" strokecolor="#cdcdcd" strokeweight="1pt"/>
            </w:pict>
          </mc:Fallback>
        </mc:AlternateContent>
      </w:r>
      <w:r>
        <mc:AlternateContent>
          <mc:Choice Requires="wps">
            <w:drawing>
              <wp:anchor distT="0" distB="0" distL="114300" distR="114300" simplePos="false" relativeHeight="10394384" behindDoc="true" locked="false" layoutInCell="true" allowOverlap="true">
                <wp:simplePos x="0" y="0"/>
                <wp:positionH relativeFrom="page">
                  <wp:posOffset>2362200</wp:posOffset>
                </wp:positionH>
                <wp:positionV relativeFrom="page">
                  <wp:posOffset>6654800</wp:posOffset>
                </wp:positionV>
                <wp:extent cx="12700" cy="215900"/>
                <wp:effectExtent l="0" t="0" r="22225" b="31115"/>
                <wp:wrapNone/>
                <wp:docPr id="7410" name="shape7410"/>
                <wp:cNvGraphicFramePr/>
                <a:graphic>
                  <a:graphicData uri="http://schemas.microsoft.com/office/word/2010/wordprocessingShape">
                    <wps:wsp>
                      <wps:cNvSpPr/>
                      <wps:spPr>
                        <a:xfrm>
                          <a:off x="0" y="0"/>
                          <a:ext cx="12700" cy="215900"/>
                        </a:xfrm>
                        <a:custGeom>
                          <a:avLst/>
                          <a:rect l="l" t="t" r="r" b="b"/>
                          <a:pathLst>
                            <a:path w="12700" h="215900">
                              <a:moveTo>
                                <a:pt x="5411" y="11424"/>
                              </a:moveTo>
                              <a:lnTo>
                                <a:pt x="5411" y="20964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15900" style="position:absolute;left:0;top:0;visibility:visible;mso-position-horizontal:absolute;mso-position-horizontal-relative:page;mso-position-vertical:absolute;mso-position-vertical-relative:page;width:1pt;height:17pt;margin-left:186pt;margin-top:524pt;mso-wrap-style:square;z-index:10394384;mso-wrap-distance-left:9pt;mso-wrap-distance-top:0pt;mso-wrap-distance-right:9pt;mso-wrap-distance-bottom:0pt" id="shape7410" o:spid="1618382352388" path="m5411,11424l5411,209644" stroked="t" strokecolor="#404040" strokeweight="1pt"/>
            </w:pict>
          </mc:Fallback>
        </mc:AlternateContent>
      </w:r>
      <w:r>
        <mc:AlternateContent>
          <mc:Choice Requires="wps">
            <w:drawing>
              <wp:anchor distT="0" distB="0" distL="114300" distR="114300" simplePos="false" relativeHeight="10395408" behindDoc="true" locked="false" layoutInCell="true" allowOverlap="true">
                <wp:simplePos x="0" y="0"/>
                <wp:positionH relativeFrom="page">
                  <wp:posOffset>2349500</wp:posOffset>
                </wp:positionH>
                <wp:positionV relativeFrom="page">
                  <wp:posOffset>6845300</wp:posOffset>
                </wp:positionV>
                <wp:extent cx="88900" cy="76200"/>
                <wp:effectExtent l="0" t="0" r="22225" b="31115"/>
                <wp:wrapNone/>
                <wp:docPr id="7411" name="shape7411"/>
                <wp:cNvGraphicFramePr/>
                <a:graphic>
                  <a:graphicData uri="http://schemas.microsoft.com/office/word/2010/wordprocessingShape">
                    <wps:wsp>
                      <wps:cNvSpPr/>
                      <wps:spPr>
                        <a:xfrm>
                          <a:off x="0" y="0"/>
                          <a:ext cx="88900" cy="76200"/>
                        </a:xfrm>
                        <a:custGeom>
                          <a:avLst/>
                          <a:rect l="l" t="t" r="r" b="b"/>
                          <a:pathLst>
                            <a:path w="88900" h="76200">
                              <a:moveTo>
                                <a:pt x="43511" y="73380"/>
                              </a:moveTo>
                              <a:lnTo>
                                <a:pt x="7748" y="1744"/>
                              </a:lnTo>
                              <a:cubicBezTo>
                                <a:pt x="30303" y="13039"/>
                                <a:pt x="56820" y="13039"/>
                                <a:pt x="79273" y="1744"/>
                              </a:cubicBezTo>
                              <a:lnTo>
                                <a:pt x="43511" y="73380"/>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185pt;margin-top:539pt;mso-wrap-style:square;z-index:10395408;mso-wrap-distance-left:9pt;mso-wrap-distance-top:0pt;mso-wrap-distance-right:9pt;mso-wrap-distance-bottom:0pt" id="shape7411" o:spid="1618382352388" path="m43511,73380l7748,1744c30303,13039,56820,13039,79273,1744l43511,73380e" stroked="f" filled="t" fillcolor="#404040"/>
            </w:pict>
          </mc:Fallback>
        </mc:AlternateContent>
      </w:r>
      <w:r>
        <mc:AlternateContent>
          <mc:Choice Requires="wps">
            <w:drawing>
              <wp:anchor distT="0" distB="0" distL="114300" distR="114300" simplePos="false" relativeHeight="10396432" behindDoc="true" locked="false" layoutInCell="true" allowOverlap="true">
                <wp:simplePos x="0" y="0"/>
                <wp:positionH relativeFrom="page">
                  <wp:posOffset>2971800</wp:posOffset>
                </wp:positionH>
                <wp:positionV relativeFrom="page">
                  <wp:posOffset>7061200</wp:posOffset>
                </wp:positionV>
                <wp:extent cx="317500" cy="12700"/>
                <wp:effectExtent l="0" t="0" r="22225" b="31115"/>
                <wp:wrapNone/>
                <wp:docPr id="7412" name="shape7412"/>
                <wp:cNvGraphicFramePr/>
                <a:graphic>
                  <a:graphicData uri="http://schemas.microsoft.com/office/word/2010/wordprocessingShape">
                    <wps:wsp>
                      <wps:cNvSpPr/>
                      <wps:spPr>
                        <a:xfrm>
                          <a:off x="0" y="0"/>
                          <a:ext cx="317500" cy="12700"/>
                        </a:xfrm>
                        <a:custGeom>
                          <a:avLst/>
                          <a:rect l="l" t="t" r="r" b="b"/>
                          <a:pathLst>
                            <a:path w="317500" h="12700">
                              <a:moveTo>
                                <a:pt x="310399" y="1668"/>
                              </a:moveTo>
                              <a:lnTo>
                                <a:pt x="94401" y="1668"/>
                              </a:lnTo>
                              <a:lnTo>
                                <a:pt x="94401" y="8894"/>
                              </a:lnTo>
                              <a:lnTo>
                                <a:pt x="4588" y="889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17500,12700" style="position:absolute;left:0;top:0;visibility:visible;mso-position-horizontal:absolute;mso-position-horizontal-relative:page;mso-position-vertical:absolute;mso-position-vertical-relative:page;width:25pt;height:1pt;margin-left:234pt;margin-top:556pt;mso-wrap-style:square;z-index:10396432;mso-wrap-distance-left:9pt;mso-wrap-distance-top:0pt;mso-wrap-distance-right:9pt;mso-wrap-distance-bottom:0pt" id="shape7412" o:spid="1618382352388" path="m310399,1668l94401,1668l94401,8894l4588,8894" stroked="t" strokecolor="#404040" strokeweight="1pt"/>
            </w:pict>
          </mc:Fallback>
        </mc:AlternateContent>
      </w:r>
      <w:r>
        <mc:AlternateContent>
          <mc:Choice Requires="wps">
            <w:drawing>
              <wp:anchor distT="0" distB="0" distL="114300" distR="114300" simplePos="false" relativeHeight="10397456" behindDoc="true" locked="false" layoutInCell="true" allowOverlap="true">
                <wp:simplePos x="0" y="0"/>
                <wp:positionH relativeFrom="page">
                  <wp:posOffset>2921000</wp:posOffset>
                </wp:positionH>
                <wp:positionV relativeFrom="page">
                  <wp:posOffset>7023100</wp:posOffset>
                </wp:positionV>
                <wp:extent cx="76200" cy="88900"/>
                <wp:effectExtent l="0" t="0" r="22225" b="31115"/>
                <wp:wrapNone/>
                <wp:docPr id="7413" name="shape7413"/>
                <wp:cNvGraphicFramePr/>
                <a:graphic>
                  <a:graphicData uri="http://schemas.microsoft.com/office/word/2010/wordprocessingShape">
                    <wps:wsp>
                      <wps:cNvSpPr/>
                      <wps:spPr>
                        <a:xfrm>
                          <a:off x="0" y="0"/>
                          <a:ext cx="76200" cy="88900"/>
                        </a:xfrm>
                        <a:custGeom>
                          <a:avLst/>
                          <a:rect l="l" t="t" r="r" b="b"/>
                          <a:pathLst>
                            <a:path w="76200" h="88900">
                              <a:moveTo>
                                <a:pt x="1236" y="46994"/>
                              </a:moveTo>
                              <a:lnTo>
                                <a:pt x="72762" y="11175"/>
                              </a:lnTo>
                              <a:cubicBezTo>
                                <a:pt x="61484" y="33765"/>
                                <a:pt x="61484" y="60221"/>
                                <a:pt x="72762" y="82812"/>
                              </a:cubicBezTo>
                              <a:lnTo>
                                <a:pt x="1236" y="46994"/>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88900" style="position:absolute;left:0;top:0;visibility:visible;mso-position-horizontal:absolute;mso-position-horizontal-relative:page;mso-position-vertical:absolute;mso-position-vertical-relative:page;width:6pt;height:7pt;margin-left:230pt;margin-top:553pt;mso-wrap-style:square;z-index:10397456;mso-wrap-distance-left:9pt;mso-wrap-distance-top:0pt;mso-wrap-distance-right:9pt;mso-wrap-distance-bottom:0pt" id="shape7413" o:spid="1618382352389" path="m1236,46994l72762,11175c61484,33765,61484,60221,72762,82812l1236,46994e" stroked="f" filled="t" fillcolor="#404040"/>
            </w:pict>
          </mc:Fallback>
        </mc:AlternateContent>
      </w:r>
      <w:r>
        <mc:AlternateContent>
          <mc:Choice Requires="wps">
            <w:drawing>
              <wp:anchor distT="0" distB="0" distL="114300" distR="114300" simplePos="false" relativeHeight="10398480" behindDoc="true" locked="false" layoutInCell="true" allowOverlap="true">
                <wp:simplePos x="0" y="0"/>
                <wp:positionH relativeFrom="page">
                  <wp:posOffset>2362200</wp:posOffset>
                </wp:positionH>
                <wp:positionV relativeFrom="page">
                  <wp:posOffset>7213600</wp:posOffset>
                </wp:positionV>
                <wp:extent cx="12700" cy="165100"/>
                <wp:effectExtent l="0" t="0" r="22225" b="31115"/>
                <wp:wrapNone/>
                <wp:docPr id="7414" name="shape7414"/>
                <wp:cNvGraphicFramePr/>
                <a:graphic>
                  <a:graphicData uri="http://schemas.microsoft.com/office/word/2010/wordprocessingShape">
                    <wps:wsp>
                      <wps:cNvSpPr/>
                      <wps:spPr>
                        <a:xfrm>
                          <a:off x="0" y="0"/>
                          <a:ext cx="12700" cy="165100"/>
                        </a:xfrm>
                        <a:custGeom>
                          <a:avLst/>
                          <a:rect l="l" t="t" r="r" b="b"/>
                          <a:pathLst>
                            <a:path w="12700" h="165100">
                              <a:moveTo>
                                <a:pt x="5411" y="7906"/>
                              </a:moveTo>
                              <a:lnTo>
                                <a:pt x="5411" y="162779"/>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65100" style="position:absolute;left:0;top:0;visibility:visible;mso-position-horizontal:absolute;mso-position-horizontal-relative:page;mso-position-vertical:absolute;mso-position-vertical-relative:page;width:1pt;height:13pt;margin-left:186pt;margin-top:568pt;mso-wrap-style:square;z-index:10398480;mso-wrap-distance-left:9pt;mso-wrap-distance-top:0pt;mso-wrap-distance-right:9pt;mso-wrap-distance-bottom:0pt" id="shape7414" o:spid="1618382352389" path="m5411,7906l5411,162779" stroked="t" strokecolor="#404040" strokeweight="1pt"/>
            </w:pict>
          </mc:Fallback>
        </mc:AlternateContent>
      </w:r>
      <w:r>
        <mc:AlternateContent>
          <mc:Choice Requires="wps">
            <w:drawing>
              <wp:anchor distT="0" distB="0" distL="114300" distR="114300" simplePos="false" relativeHeight="10399504" behindDoc="true" locked="false" layoutInCell="true" allowOverlap="true">
                <wp:simplePos x="0" y="0"/>
                <wp:positionH relativeFrom="page">
                  <wp:posOffset>2349500</wp:posOffset>
                </wp:positionH>
                <wp:positionV relativeFrom="page">
                  <wp:posOffset>7353300</wp:posOffset>
                </wp:positionV>
                <wp:extent cx="88900" cy="88900"/>
                <wp:effectExtent l="0" t="0" r="22225" b="31115"/>
                <wp:wrapNone/>
                <wp:docPr id="7415" name="shape7415"/>
                <wp:cNvGraphicFramePr/>
                <a:graphic>
                  <a:graphicData uri="http://schemas.microsoft.com/office/word/2010/wordprocessingShape">
                    <wps:wsp>
                      <wps:cNvSpPr/>
                      <wps:spPr>
                        <a:xfrm>
                          <a:off x="0" y="0"/>
                          <a:ext cx="88900" cy="88900"/>
                        </a:xfrm>
                        <a:custGeom>
                          <a:avLst/>
                          <a:rect l="l" t="t" r="r" b="b"/>
                          <a:pathLst>
                            <a:path w="88900" h="88900">
                              <a:moveTo>
                                <a:pt x="43511" y="77314"/>
                              </a:moveTo>
                              <a:lnTo>
                                <a:pt x="7748" y="5678"/>
                              </a:lnTo>
                              <a:cubicBezTo>
                                <a:pt x="30303" y="16973"/>
                                <a:pt x="56820" y="16973"/>
                                <a:pt x="79273" y="5678"/>
                              </a:cubicBezTo>
                              <a:lnTo>
                                <a:pt x="43511" y="77314"/>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185pt;margin-top:579pt;mso-wrap-style:square;z-index:10399504;mso-wrap-distance-left:9pt;mso-wrap-distance-top:0pt;mso-wrap-distance-right:9pt;mso-wrap-distance-bottom:0pt" id="shape7415" o:spid="1618382352390" path="m43511,77314l7748,5678c30303,16973,56820,16973,79273,5678l43511,77314e" stroked="f" filled="t" fillcolor="#404040"/>
            </w:pict>
          </mc:Fallback>
        </mc:AlternateContent>
      </w:r>
      <w:r>
        <mc:AlternateContent>
          <mc:Choice Requires="wps">
            <w:drawing>
              <wp:anchor distT="0" distB="0" distL="114300" distR="114300" simplePos="false" relativeHeight="10400528" behindDoc="true" locked="false" layoutInCell="true" allowOverlap="true">
                <wp:simplePos x="0" y="0"/>
                <wp:positionH relativeFrom="page">
                  <wp:posOffset>1854200</wp:posOffset>
                </wp:positionH>
                <wp:positionV relativeFrom="page">
                  <wp:posOffset>7442200</wp:posOffset>
                </wp:positionV>
                <wp:extent cx="1079500" cy="317500"/>
                <wp:effectExtent l="0" t="0" r="22225" b="31115"/>
                <wp:wrapNone/>
                <wp:docPr id="7416" name="shape7416"/>
                <wp:cNvGraphicFramePr/>
                <a:graphic>
                  <a:graphicData uri="http://schemas.microsoft.com/office/word/2010/wordprocessingShape">
                    <wps:wsp>
                      <wps:cNvSpPr/>
                      <wps:spPr>
                        <a:xfrm>
                          <a:off x="0" y="0"/>
                          <a:ext cx="1079500" cy="3175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25pt;margin-left:146pt;margin-top:586pt;mso-wrap-style:square;z-index:10400528;mso-wrap-distance-left:9pt;mso-wrap-distance-top:0pt;mso-wrap-distance-right:9pt;mso-wrap-distance-bottom:0pt" id="shape7416" o:spid="1618382352390" stroked="f" filled="t" fillcolor="#cdcdcd"/>
            </w:pict>
          </mc:Fallback>
        </mc:AlternateContent>
      </w:r>
      <w:r>
        <mc:AlternateContent>
          <mc:Choice Requires="wps">
            <w:drawing>
              <wp:anchor distT="0" distB="0" distL="114300" distR="114300" simplePos="false" relativeHeight="10401552" behindDoc="true" locked="false" layoutInCell="true" allowOverlap="true">
                <wp:simplePos x="0" y="0"/>
                <wp:positionH relativeFrom="page">
                  <wp:posOffset>1854200</wp:posOffset>
                </wp:positionH>
                <wp:positionV relativeFrom="page">
                  <wp:posOffset>7442200</wp:posOffset>
                </wp:positionV>
                <wp:extent cx="1079500" cy="317500"/>
                <wp:effectExtent l="0" t="0" r="22225" b="31115"/>
                <wp:wrapNone/>
                <wp:docPr id="7417" name="shape7417"/>
                <wp:cNvGraphicFramePr/>
                <a:graphic>
                  <a:graphicData uri="http://schemas.microsoft.com/office/word/2010/wordprocessingShape">
                    <wps:wsp>
                      <wps:cNvSpPr/>
                      <wps:spPr>
                        <a:xfrm>
                          <a:off x="0" y="0"/>
                          <a:ext cx="1079500" cy="3175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25pt;margin-left:146pt;margin-top:586pt;mso-wrap-style:square;z-index:10401552;mso-wrap-distance-left:9pt;mso-wrap-distance-top:0pt;mso-wrap-distance-right:9pt;mso-wrap-distance-bottom:0pt" id="shape7417" o:spid="1618382352391" stroked="t" strokecolor="#cdcdcd" strokeweight="1pt"/>
            </w:pict>
          </mc:Fallback>
        </mc:AlternateContent>
      </w:r>
      <w:r>
        <mc:AlternateContent>
          <mc:Choice Requires="wps">
            <w:drawing>
              <wp:anchor distT="0" distB="0" distL="114300" distR="114300" simplePos="false" relativeHeight="10404624" behindDoc="true" locked="false" layoutInCell="true" allowOverlap="true">
                <wp:simplePos x="0" y="0"/>
                <wp:positionH relativeFrom="page">
                  <wp:posOffset>2387600</wp:posOffset>
                </wp:positionH>
                <wp:positionV relativeFrom="page">
                  <wp:posOffset>7721600</wp:posOffset>
                </wp:positionV>
                <wp:extent cx="647700" cy="444500"/>
                <wp:effectExtent l="0" t="0" r="22225" b="31115"/>
                <wp:wrapNone/>
                <wp:docPr id="7420" name="shape7420"/>
                <wp:cNvGraphicFramePr/>
                <a:graphic>
                  <a:graphicData uri="http://schemas.microsoft.com/office/word/2010/wordprocessingShape">
                    <wps:wsp>
                      <wps:cNvSpPr/>
                      <wps:spPr>
                        <a:xfrm>
                          <a:off x="0" y="0"/>
                          <a:ext cx="647700" cy="444500"/>
                        </a:xfrm>
                        <a:custGeom>
                          <a:avLst/>
                          <a:rect l="l" t="t" r="r" b="b"/>
                          <a:pathLst>
                            <a:path w="647700" h="444500">
                              <a:moveTo>
                                <a:pt x="5411" y="11941"/>
                              </a:moveTo>
                              <a:lnTo>
                                <a:pt x="5411" y="437383"/>
                              </a:lnTo>
                              <a:lnTo>
                                <a:pt x="638876" y="437383"/>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47700,444500" style="position:absolute;left:0;top:0;visibility:visible;mso-position-horizontal:absolute;mso-position-horizontal-relative:page;mso-position-vertical:absolute;mso-position-vertical-relative:page;width:51pt;height:35pt;margin-left:188pt;margin-top:608pt;mso-wrap-style:square;z-index:10404624;mso-wrap-distance-left:9pt;mso-wrap-distance-top:0pt;mso-wrap-distance-right:9pt;mso-wrap-distance-bottom:0pt" id="shape7420" o:spid="1618382352391" path="m5411,11941l5411,437383l638876,437383" stroked="t" strokecolor="#404040" strokeweight="1pt"/>
            </w:pict>
          </mc:Fallback>
        </mc:AlternateContent>
      </w:r>
      <w:r>
        <mc:AlternateContent>
          <mc:Choice Requires="wps">
            <w:drawing>
              <wp:anchor distT="0" distB="0" distL="114300" distR="114300" simplePos="false" relativeHeight="10405648" behindDoc="true" locked="false" layoutInCell="true" allowOverlap="true">
                <wp:simplePos x="0" y="0"/>
                <wp:positionH relativeFrom="page">
                  <wp:posOffset>2997200</wp:posOffset>
                </wp:positionH>
                <wp:positionV relativeFrom="page">
                  <wp:posOffset>8115300</wp:posOffset>
                </wp:positionV>
                <wp:extent cx="88900" cy="88900"/>
                <wp:effectExtent l="0" t="0" r="22225" b="31115"/>
                <wp:wrapNone/>
                <wp:docPr id="7421" name="shape7421"/>
                <wp:cNvGraphicFramePr/>
                <a:graphic>
                  <a:graphicData uri="http://schemas.microsoft.com/office/word/2010/wordprocessingShape">
                    <wps:wsp>
                      <wps:cNvSpPr/>
                      <wps:spPr>
                        <a:xfrm>
                          <a:off x="0" y="0"/>
                          <a:ext cx="88900" cy="88900"/>
                        </a:xfrm>
                        <a:custGeom>
                          <a:avLst/>
                          <a:rect l="l" t="t" r="r" b="b"/>
                          <a:pathLst>
                            <a:path w="88900" h="88900">
                              <a:moveTo>
                                <a:pt x="83428" y="43683"/>
                              </a:moveTo>
                              <a:lnTo>
                                <a:pt x="11903" y="79501"/>
                              </a:lnTo>
                              <a:cubicBezTo>
                                <a:pt x="23180" y="56912"/>
                                <a:pt x="23180" y="30353"/>
                                <a:pt x="11903" y="7865"/>
                              </a:cubicBezTo>
                              <a:lnTo>
                                <a:pt x="83428" y="43683"/>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236pt;margin-top:639pt;mso-wrap-style:square;z-index:10405648;mso-wrap-distance-left:9pt;mso-wrap-distance-top:0pt;mso-wrap-distance-right:9pt;mso-wrap-distance-bottom:0pt" id="shape7421" o:spid="1618382352392" path="m83428,43683l11903,79501c23180,56912,23180,30353,11903,7865l83428,43683e" stroked="f" filled="t" fillcolor="#404040"/>
            </w:pict>
          </mc:Fallback>
        </mc:AlternateContent>
      </w:r>
      <w:r>
        <mc:AlternateContent>
          <mc:Choice Requires="wps">
            <w:drawing>
              <wp:anchor distT="0" distB="0" distL="114300" distR="114300" simplePos="false" relativeHeight="10406672" behindDoc="true" locked="false" layoutInCell="true" allowOverlap="true">
                <wp:simplePos x="0" y="0"/>
                <wp:positionH relativeFrom="page">
                  <wp:posOffset>4203700</wp:posOffset>
                </wp:positionH>
                <wp:positionV relativeFrom="page">
                  <wp:posOffset>7061200</wp:posOffset>
                </wp:positionV>
                <wp:extent cx="177800" cy="12700"/>
                <wp:effectExtent l="0" t="0" r="22225" b="31115"/>
                <wp:wrapNone/>
                <wp:docPr id="7422" name="shape7422"/>
                <wp:cNvGraphicFramePr/>
                <a:graphic>
                  <a:graphicData uri="http://schemas.microsoft.com/office/word/2010/wordprocessingShape">
                    <wps:wsp>
                      <wps:cNvSpPr/>
                      <wps:spPr>
                        <a:xfrm>
                          <a:off x="0" y="0"/>
                          <a:ext cx="177800" cy="12700"/>
                        </a:xfrm>
                        <a:custGeom>
                          <a:avLst/>
                          <a:rect l="l" t="t" r="r" b="b"/>
                          <a:pathLst>
                            <a:path w="177800" h="12700">
                              <a:moveTo>
                                <a:pt x="98" y="1668"/>
                              </a:moveTo>
                              <a:lnTo>
                                <a:pt x="176371" y="1668"/>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7800,12700" style="position:absolute;left:0;top:0;visibility:visible;mso-position-horizontal:absolute;mso-position-horizontal-relative:page;mso-position-vertical:absolute;mso-position-vertical-relative:page;width:14pt;height:1pt;margin-left:331pt;margin-top:556pt;mso-wrap-style:square;z-index:10406672;mso-wrap-distance-left:9pt;mso-wrap-distance-top:0pt;mso-wrap-distance-right:9pt;mso-wrap-distance-bottom:0pt" id="shape7422" o:spid="1618382352392" path="m98,1668l176371,1668" stroked="t" strokecolor="#404040" strokeweight="1pt"/>
            </w:pict>
          </mc:Fallback>
        </mc:AlternateContent>
      </w:r>
      <w:r>
        <mc:AlternateContent>
          <mc:Choice Requires="wps">
            <w:drawing>
              <wp:anchor distT="0" distB="0" distL="114300" distR="114300" simplePos="false" relativeHeight="10407696" behindDoc="true" locked="false" layoutInCell="true" allowOverlap="true">
                <wp:simplePos x="0" y="0"/>
                <wp:positionH relativeFrom="page">
                  <wp:posOffset>4356100</wp:posOffset>
                </wp:positionH>
                <wp:positionV relativeFrom="page">
                  <wp:posOffset>7023100</wp:posOffset>
                </wp:positionV>
                <wp:extent cx="88900" cy="76200"/>
                <wp:effectExtent l="0" t="0" r="22225" b="31115"/>
                <wp:wrapNone/>
                <wp:docPr id="7423" name="shape7423"/>
                <wp:cNvGraphicFramePr/>
                <a:graphic>
                  <a:graphicData uri="http://schemas.microsoft.com/office/word/2010/wordprocessingShape">
                    <wps:wsp>
                      <wps:cNvSpPr/>
                      <wps:spPr>
                        <a:xfrm>
                          <a:off x="0" y="0"/>
                          <a:ext cx="88900" cy="76200"/>
                        </a:xfrm>
                        <a:custGeom>
                          <a:avLst/>
                          <a:rect l="l" t="t" r="r" b="b"/>
                          <a:pathLst>
                            <a:path w="88900" h="76200">
                              <a:moveTo>
                                <a:pt x="78123" y="39768"/>
                              </a:moveTo>
                              <a:lnTo>
                                <a:pt x="6598" y="75586"/>
                              </a:lnTo>
                              <a:cubicBezTo>
                                <a:pt x="17875" y="52996"/>
                                <a:pt x="17875" y="26541"/>
                                <a:pt x="6598" y="3950"/>
                              </a:cubicBezTo>
                              <a:lnTo>
                                <a:pt x="6598" y="3950"/>
                              </a:lnTo>
                              <a:lnTo>
                                <a:pt x="78123" y="39768"/>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343pt;margin-top:553pt;mso-wrap-style:square;z-index:10407696;mso-wrap-distance-left:9pt;mso-wrap-distance-top:0pt;mso-wrap-distance-right:9pt;mso-wrap-distance-bottom:0pt" id="shape7423" o:spid="1618382352392" path="m78123,39768l6598,75586c17875,52996,17875,26541,6598,3950l6598,3950l78123,39768e" stroked="f" filled="t" fillcolor="#404040"/>
            </w:pict>
          </mc:Fallback>
        </mc:AlternateContent>
      </w:r>
      <w:r>
        <mc:AlternateContent>
          <mc:Choice Requires="wps">
            <w:drawing>
              <wp:anchor distT="0" distB="0" distL="114300" distR="114300" simplePos="false" relativeHeight="10408720" behindDoc="true" locked="false" layoutInCell="true" allowOverlap="true">
                <wp:simplePos x="0" y="0"/>
                <wp:positionH relativeFrom="page">
                  <wp:posOffset>5257800</wp:posOffset>
                </wp:positionH>
                <wp:positionV relativeFrom="page">
                  <wp:posOffset>7061200</wp:posOffset>
                </wp:positionV>
                <wp:extent cx="190500" cy="12700"/>
                <wp:effectExtent l="0" t="0" r="22225" b="31115"/>
                <wp:wrapNone/>
                <wp:docPr id="7424" name="shape7424"/>
                <wp:cNvGraphicFramePr/>
                <a:graphic>
                  <a:graphicData uri="http://schemas.microsoft.com/office/word/2010/wordprocessingShape">
                    <wps:wsp>
                      <wps:cNvSpPr/>
                      <wps:spPr>
                        <a:xfrm>
                          <a:off x="0" y="0"/>
                          <a:ext cx="190500" cy="12700"/>
                        </a:xfrm>
                        <a:custGeom>
                          <a:avLst/>
                          <a:rect l="l" t="t" r="r" b="b"/>
                          <a:pathLst>
                            <a:path w="190500" h="12700">
                              <a:moveTo>
                                <a:pt x="11561" y="1668"/>
                              </a:moveTo>
                              <a:lnTo>
                                <a:pt x="187834" y="1668"/>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0500,12700" style="position:absolute;left:0;top:0;visibility:visible;mso-position-horizontal:absolute;mso-position-horizontal-relative:page;mso-position-vertical:absolute;mso-position-vertical-relative:page;width:15pt;height:1pt;margin-left:414pt;margin-top:556pt;mso-wrap-style:square;z-index:10408720;mso-wrap-distance-left:9pt;mso-wrap-distance-top:0pt;mso-wrap-distance-right:9pt;mso-wrap-distance-bottom:0pt" id="shape7424" o:spid="1618382352393" path="m11561,1668l187834,1668" stroked="t" strokecolor="#404040" strokeweight="1pt"/>
            </w:pict>
          </mc:Fallback>
        </mc:AlternateContent>
      </w:r>
      <w:r>
        <mc:AlternateContent>
          <mc:Choice Requires="wps">
            <w:drawing>
              <wp:anchor distT="0" distB="0" distL="114300" distR="114300" simplePos="false" relativeHeight="10409744" behindDoc="true" locked="false" layoutInCell="true" allowOverlap="true">
                <wp:simplePos x="0" y="0"/>
                <wp:positionH relativeFrom="page">
                  <wp:posOffset>5422900</wp:posOffset>
                </wp:positionH>
                <wp:positionV relativeFrom="page">
                  <wp:posOffset>7023100</wp:posOffset>
                </wp:positionV>
                <wp:extent cx="88900" cy="76200"/>
                <wp:effectExtent l="0" t="0" r="22225" b="31115"/>
                <wp:wrapNone/>
                <wp:docPr id="7425" name="shape7425"/>
                <wp:cNvGraphicFramePr/>
                <a:graphic>
                  <a:graphicData uri="http://schemas.microsoft.com/office/word/2010/wordprocessingShape">
                    <wps:wsp>
                      <wps:cNvSpPr/>
                      <wps:spPr>
                        <a:xfrm>
                          <a:off x="0" y="0"/>
                          <a:ext cx="88900" cy="76200"/>
                        </a:xfrm>
                        <a:custGeom>
                          <a:avLst/>
                          <a:rect l="l" t="t" r="r" b="b"/>
                          <a:pathLst>
                            <a:path w="88900" h="76200">
                              <a:moveTo>
                                <a:pt x="76886" y="39768"/>
                              </a:moveTo>
                              <a:lnTo>
                                <a:pt x="5361" y="75586"/>
                              </a:lnTo>
                              <a:cubicBezTo>
                                <a:pt x="16638" y="52996"/>
                                <a:pt x="16638" y="26541"/>
                                <a:pt x="5361" y="3950"/>
                              </a:cubicBezTo>
                              <a:lnTo>
                                <a:pt x="5361" y="3950"/>
                              </a:lnTo>
                              <a:lnTo>
                                <a:pt x="76886" y="39768"/>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427pt;margin-top:553pt;mso-wrap-style:square;z-index:10409744;mso-wrap-distance-left:9pt;mso-wrap-distance-top:0pt;mso-wrap-distance-right:9pt;mso-wrap-distance-bottom:0pt" id="shape7425" o:spid="1618382352393" path="m76886,39768l5361,75586c16638,52996,16638,26541,5361,3950l5361,3950l76886,39768e" stroked="f" filled="t" fillcolor="#404040"/>
            </w:pict>
          </mc:Fallback>
        </mc:AlternateContent>
      </w:r>
      <w:r>
        <mc:AlternateContent>
          <mc:Choice Requires="wps">
            <w:drawing>
              <wp:anchor distT="0" distB="0" distL="114300" distR="114300" simplePos="false" relativeHeight="10403600" behindDoc="true" locked="false" layoutInCell="true" allowOverlap="true">
                <wp:simplePos x="0" y="0"/>
                <wp:positionH relativeFrom="page">
                  <wp:posOffset>1854200</wp:posOffset>
                </wp:positionH>
                <wp:positionV relativeFrom="page">
                  <wp:posOffset>7429500</wp:posOffset>
                </wp:positionV>
                <wp:extent cx="1079500" cy="304800"/>
                <wp:effectExtent l="0" t="0" r="22225" b="31115"/>
                <wp:wrapNone/>
                <wp:docPr id="7419" name="shape7419"/>
                <wp:cNvGraphicFramePr/>
                <a:graphic>
                  <a:graphicData uri="http://schemas.microsoft.com/office/word/2010/wordprocessingShape">
                    <wps:wsp>
                      <wps:cNvSpPr/>
                      <wps:spPr>
                        <a:xfrm>
                          <a:off x="0" y="0"/>
                          <a:ext cx="1079500" cy="304800"/>
                        </a:xfrm>
                        <a:prstGeom prst="rect">
                          <a:avLst/>
                        </a:prstGeom>
                        <a:ln>
                          <a:solidFill>
                            <a:srgbClr val="404040"/>
                          </a:solidFill>
                        </a:ln>
                      </wps:spPr>
                      <wps:txbx>
                        <w:txbxContent>
                          <w:p>
                            <w:pPr>
                              <w:spacing w:line="-340" w:lineRule="exact"/>
                              <w:ind w:left="220"/>
                              <w:jc w:val="both"/>
                            </w:pPr>
                            <w:r>
                              <w:rPr>
                                <w:rFonts w:hint="eastAsia" w:ascii="宋体" w:hAnsi="宋体" w:eastAsia="宋体" w:cs="宋体"/>
                                <w:w w:val="99"/>
                                <w:sz w:val="25"/>
                              </w:rPr>
                              <w:t>教育培训</w:t>
                            </w:r>
                          </w:p>
                        </w:txbxContent>
                      </wps:txbx>
                      <wps:bodyPr rot="0" spcFirstLastPara="false" vertOverflow="overflow" horzOverflow="overflow" vert="horz" wrap="square" lIns="2032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24pt;margin-left:146pt;margin-top:585pt;mso-wrap-style:square;z-index:10403600;mso-wrap-distance-left:9pt;mso-wrap-distance-top:0pt;mso-wrap-distance-right:9pt;mso-wrap-distance-bottom:0pt" id="shape7419" o:spid="1618382352394" stroked="t" strokecolor="#404040" strokeweight="1pt">
                <v:textbox>
                  <w:txbxContent>
                    <w:p>
                      <w:pPr>
                        <w:spacing w:line="-340" w:lineRule="exact"/>
                        <w:ind w:left="220"/>
                        <w:jc w:val="both"/>
                      </w:pPr>
                      <w:r>
                        <w:rPr>
                          <w:rFonts w:hint="eastAsia" w:ascii="宋体" w:hAnsi="宋体" w:eastAsia="宋体" w:cs="宋体"/>
                          <w:w w:val="99"/>
                          <w:sz w:val="25"/>
                        </w:rPr>
                        <w:t>教育培训</w:t>
                      </w:r>
                    </w:p>
                  </w:txbxContent>
                </v:textbox>
              </v:rect>
            </w:pict>
          </mc:Fallback>
        </mc:AlternateContent>
      </w:r>
      <w:r>
        <mc:AlternateContent>
          <mc:Choice Requires="wps">
            <w:drawing>
              <wp:anchor distT="0" distB="0" distL="114300" distR="114300" simplePos="false" relativeHeight="10393360" behindDoc="true" locked="false" layoutInCell="true" allowOverlap="true">
                <wp:simplePos x="0" y="0"/>
                <wp:positionH relativeFrom="page">
                  <wp:posOffset>1854200</wp:posOffset>
                </wp:positionH>
                <wp:positionV relativeFrom="page">
                  <wp:posOffset>6908800</wp:posOffset>
                </wp:positionV>
                <wp:extent cx="1079500" cy="317500"/>
                <wp:effectExtent l="0" t="0" r="22225" b="31115"/>
                <wp:wrapNone/>
                <wp:docPr id="7409" name="shape7409"/>
                <wp:cNvGraphicFramePr/>
                <a:graphic>
                  <a:graphicData uri="http://schemas.microsoft.com/office/word/2010/wordprocessingShape">
                    <wps:wsp>
                      <wps:cNvSpPr/>
                      <wps:spPr>
                        <a:xfrm>
                          <a:off x="0" y="0"/>
                          <a:ext cx="1079500" cy="317500"/>
                        </a:xfrm>
                        <a:prstGeom prst="rect">
                          <a:avLst/>
                        </a:prstGeom>
                        <a:ln>
                          <a:solidFill>
                            <a:srgbClr val="404040"/>
                          </a:solidFill>
                        </a:ln>
                      </wps:spPr>
                      <wps:txbx>
                        <w:txbxContent>
                          <w:p>
                            <w:pPr>
                              <w:spacing w:line="-340" w:lineRule="exact"/>
                              <w:ind w:left="220"/>
                              <w:jc w:val="both"/>
                            </w:pPr>
                            <w:r>
                              <w:rPr>
                                <w:rFonts w:hint="eastAsia" w:ascii="宋体" w:hAnsi="宋体" w:eastAsia="宋体" w:cs="宋体"/>
                                <w:w w:val="99"/>
                                <w:sz w:val="25"/>
                              </w:rPr>
                              <w:t>集成测试</w:t>
                            </w:r>
                          </w:p>
                        </w:txbxContent>
                      </wps:txbx>
                      <wps:bodyPr rot="0" spcFirstLastPara="false" vertOverflow="overflow" horzOverflow="overflow" vert="horz" wrap="square" lIns="2032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25pt;margin-left:146pt;margin-top:544pt;mso-wrap-style:square;z-index:10393360;mso-wrap-distance-left:9pt;mso-wrap-distance-top:0pt;mso-wrap-distance-right:9pt;mso-wrap-distance-bottom:0pt" id="shape7409" o:spid="1618382352394" stroked="t" strokecolor="#404040" strokeweight="1pt">
                <v:textbox>
                  <w:txbxContent>
                    <w:p>
                      <w:pPr>
                        <w:spacing w:line="-340" w:lineRule="exact"/>
                        <w:ind w:left="220"/>
                        <w:jc w:val="both"/>
                      </w:pPr>
                      <w:r>
                        <w:rPr>
                          <w:rFonts w:hint="eastAsia" w:ascii="宋体" w:hAnsi="宋体" w:eastAsia="宋体" w:cs="宋体"/>
                          <w:w w:val="99"/>
                          <w:sz w:val="25"/>
                        </w:rPr>
                        <w:t>集成测试</w:t>
                      </w:r>
                    </w:p>
                  </w:txbxContent>
                </v:textbox>
              </v:rect>
            </w:pict>
          </mc:Fallback>
        </mc:AlternateContent>
      </w:r>
      <w:r>
        <mc:AlternateContent>
          <mc:Choice Requires="wps">
            <w:drawing>
              <wp:anchor distT="0" distB="0" distL="114300" distR="114300" simplePos="false" relativeHeight="10385168" behindDoc="true" locked="false" layoutInCell="true" allowOverlap="true">
                <wp:simplePos x="0" y="0"/>
                <wp:positionH relativeFrom="page">
                  <wp:posOffset>1854200</wp:posOffset>
                </wp:positionH>
                <wp:positionV relativeFrom="page">
                  <wp:posOffset>6362700</wp:posOffset>
                </wp:positionV>
                <wp:extent cx="1079500" cy="304800"/>
                <wp:effectExtent l="0" t="0" r="22225" b="31115"/>
                <wp:wrapNone/>
                <wp:docPr id="7401" name="shape7401"/>
                <wp:cNvGraphicFramePr/>
                <a:graphic>
                  <a:graphicData uri="http://schemas.microsoft.com/office/word/2010/wordprocessingShape">
                    <wps:wsp>
                      <wps:cNvSpPr/>
                      <wps:spPr>
                        <a:xfrm>
                          <a:off x="0" y="0"/>
                          <a:ext cx="1079500" cy="304800"/>
                        </a:xfrm>
                        <a:prstGeom prst="rect">
                          <a:avLst/>
                        </a:prstGeom>
                        <a:ln>
                          <a:solidFill>
                            <a:srgbClr val="404040"/>
                          </a:solidFill>
                        </a:ln>
                      </wps:spPr>
                      <wps:txbx>
                        <w:txbxContent>
                          <w:p>
                            <w:pPr>
                              <w:spacing w:line="-340" w:lineRule="exact"/>
                              <w:ind w:left="220"/>
                              <w:jc w:val="both"/>
                            </w:pPr>
                            <w:r>
                              <w:rPr>
                                <w:rFonts w:hint="eastAsia" w:ascii="宋体" w:hAnsi="宋体" w:eastAsia="宋体" w:cs="宋体"/>
                                <w:w w:val="99"/>
                                <w:sz w:val="25"/>
                              </w:rPr>
                              <w:t>功能测试</w:t>
                            </w:r>
                          </w:p>
                        </w:txbxContent>
                      </wps:txbx>
                      <wps:bodyPr rot="0" spcFirstLastPara="false" vertOverflow="overflow" horzOverflow="overflow" vert="horz" wrap="square" lIns="2032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24pt;margin-left:146pt;margin-top:501pt;mso-wrap-style:square;z-index:10385168;mso-wrap-distance-left:9pt;mso-wrap-distance-top:0pt;mso-wrap-distance-right:9pt;mso-wrap-distance-bottom:0pt" id="shape7401" o:spid="1618382352395" stroked="t" strokecolor="#404040" strokeweight="1pt">
                <v:textbox>
                  <w:txbxContent>
                    <w:p>
                      <w:pPr>
                        <w:spacing w:line="-340" w:lineRule="exact"/>
                        <w:ind w:left="220"/>
                        <w:jc w:val="both"/>
                      </w:pPr>
                      <w:r>
                        <w:rPr>
                          <w:rFonts w:hint="eastAsia" w:ascii="宋体" w:hAnsi="宋体" w:eastAsia="宋体" w:cs="宋体"/>
                          <w:w w:val="99"/>
                          <w:sz w:val="25"/>
                        </w:rPr>
                        <w:t>功能测试</w:t>
                      </w:r>
                    </w:p>
                  </w:txbxContent>
                </v:textbox>
              </v:rect>
            </w:pict>
          </mc:Fallback>
        </mc:AlternateContent>
      </w:r>
      <w:r>
        <mc:AlternateContent>
          <mc:Choice Requires="wps">
            <w:drawing>
              <wp:anchor distT="0" distB="0" distL="114300" distR="114300" simplePos="false" relativeHeight="10379024" behindDoc="true" locked="false" layoutInCell="true" allowOverlap="true">
                <wp:simplePos x="0" y="0"/>
                <wp:positionH relativeFrom="page">
                  <wp:posOffset>2578100</wp:posOffset>
                </wp:positionH>
                <wp:positionV relativeFrom="page">
                  <wp:posOffset>5803900</wp:posOffset>
                </wp:positionV>
                <wp:extent cx="1066800" cy="317500"/>
                <wp:effectExtent l="0" t="0" r="22225" b="31115"/>
                <wp:wrapNone/>
                <wp:docPr id="7395" name="shape7395"/>
                <wp:cNvGraphicFramePr/>
                <a:graphic>
                  <a:graphicData uri="http://schemas.microsoft.com/office/word/2010/wordprocessingShape">
                    <wps:wsp>
                      <wps:cNvSpPr/>
                      <wps:spPr>
                        <a:xfrm>
                          <a:off x="0" y="0"/>
                          <a:ext cx="1066800" cy="317500"/>
                        </a:xfrm>
                        <a:prstGeom prst="rect">
                          <a:avLst/>
                        </a:prstGeom>
                        <a:ln>
                          <a:solidFill>
                            <a:srgbClr val="404040"/>
                          </a:solidFill>
                        </a:ln>
                      </wps:spPr>
                      <wps:txbx>
                        <w:txbxContent>
                          <w:p>
                            <w:pPr>
                              <w:spacing w:line="-360" w:lineRule="exact"/>
                              <w:ind w:left="0"/>
                              <w:jc w:val="both"/>
                            </w:pPr>
                            <w:r>
                              <w:rPr>
                                <w:rFonts w:hint="eastAsia" w:ascii="宋体" w:hAnsi="宋体" w:eastAsia="宋体" w:cs="宋体"/>
                                <w:w w:val="99"/>
                                <w:sz w:val="25"/>
                              </w:rPr>
                              <w:t>业务建模设计</w:t>
                            </w:r>
                          </w:p>
                        </w:txbxContent>
                      </wps:txbx>
                      <wps:bodyPr rot="0" spcFirstLastPara="false" vertOverflow="overflow" horzOverflow="overflow" vert="horz" wrap="square" lIns="381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4pt;height:25pt;margin-left:203pt;margin-top:457pt;mso-wrap-style:square;z-index:10379024;mso-wrap-distance-left:9pt;mso-wrap-distance-top:0pt;mso-wrap-distance-right:9pt;mso-wrap-distance-bottom:0pt" id="shape7395" o:spid="1618382352395" stroked="t" strokecolor="#404040" strokeweight="1pt">
                <v:textbox>
                  <w:txbxContent>
                    <w:p>
                      <w:pPr>
                        <w:spacing w:line="-360" w:lineRule="exact"/>
                        <w:ind w:left="0"/>
                        <w:jc w:val="both"/>
                      </w:pPr>
                      <w:r>
                        <w:rPr>
                          <w:rFonts w:hint="eastAsia" w:ascii="宋体" w:hAnsi="宋体" w:eastAsia="宋体" w:cs="宋体"/>
                          <w:w w:val="99"/>
                          <w:sz w:val="25"/>
                        </w:rPr>
                        <w:t>业务建模设计</w:t>
                      </w:r>
                    </w:p>
                  </w:txbxContent>
                </v:textbox>
              </v:rect>
            </w:pict>
          </mc:Fallback>
        </mc:AlternateContent>
      </w:r>
      <w:r>
        <mc:AlternateContent>
          <mc:Choice Requires="wps">
            <w:drawing>
              <wp:anchor distT="0" distB="0" distL="114300" distR="114300" simplePos="false" relativeHeight="10372880" behindDoc="true" locked="false" layoutInCell="true" allowOverlap="true">
                <wp:simplePos x="0" y="0"/>
                <wp:positionH relativeFrom="page">
                  <wp:posOffset>1308100</wp:posOffset>
                </wp:positionH>
                <wp:positionV relativeFrom="page">
                  <wp:posOffset>5803900</wp:posOffset>
                </wp:positionV>
                <wp:extent cx="1066800" cy="317500"/>
                <wp:effectExtent l="0" t="0" r="22225" b="31115"/>
                <wp:wrapNone/>
                <wp:docPr id="7389" name="shape7389"/>
                <wp:cNvGraphicFramePr/>
                <a:graphic>
                  <a:graphicData uri="http://schemas.microsoft.com/office/word/2010/wordprocessingShape">
                    <wps:wsp>
                      <wps:cNvSpPr/>
                      <wps:spPr>
                        <a:xfrm>
                          <a:off x="0" y="0"/>
                          <a:ext cx="1066800" cy="317500"/>
                        </a:xfrm>
                        <a:prstGeom prst="rect">
                          <a:avLst/>
                        </a:prstGeom>
                        <a:ln>
                          <a:solidFill>
                            <a:srgbClr val="404040"/>
                          </a:solidFill>
                        </a:ln>
                      </wps:spPr>
                      <wps:txbx>
                        <w:txbxContent>
                          <w:p>
                            <w:pPr>
                              <w:spacing w:line="-340" w:lineRule="exact"/>
                              <w:ind w:left="0"/>
                              <w:jc w:val="both"/>
                            </w:pPr>
                            <w:r>
                              <w:rPr>
                                <w:rFonts w:hint="eastAsia" w:ascii="宋体" w:hAnsi="宋体" w:eastAsia="宋体" w:cs="宋体"/>
                                <w:w w:val="99"/>
                                <w:sz w:val="25"/>
                              </w:rPr>
                              <w:t>工作流程设计</w:t>
                            </w:r>
                          </w:p>
                        </w:txbxContent>
                      </wps:txbx>
                      <wps:bodyPr rot="0" spcFirstLastPara="false" vertOverflow="overflow" horzOverflow="overflow" vert="horz" wrap="square" lIns="381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4pt;height:25pt;margin-left:103pt;margin-top:457pt;mso-wrap-style:square;z-index:10372880;mso-wrap-distance-left:9pt;mso-wrap-distance-top:0pt;mso-wrap-distance-right:9pt;mso-wrap-distance-bottom:0pt" id="shape7389" o:spid="1618382352396" stroked="t" strokecolor="#404040" strokeweight="1pt">
                <v:textbox>
                  <w:txbxContent>
                    <w:p>
                      <w:pPr>
                        <w:spacing w:line="-340" w:lineRule="exact"/>
                        <w:ind w:left="0"/>
                        <w:jc w:val="both"/>
                      </w:pPr>
                      <w:r>
                        <w:rPr>
                          <w:rFonts w:hint="eastAsia" w:ascii="宋体" w:hAnsi="宋体" w:eastAsia="宋体" w:cs="宋体"/>
                          <w:w w:val="99"/>
                          <w:sz w:val="25"/>
                        </w:rPr>
                        <w:t>工作流程设计</w:t>
                      </w:r>
                    </w:p>
                  </w:txbxContent>
                </v:textbox>
              </v:rect>
            </w:pict>
          </mc:Fallback>
        </mc:AlternateContent>
      </w:r>
      <w:r>
        <mc:AlternateContent>
          <mc:Choice Requires="wps">
            <w:drawing>
              <wp:anchor distT="0" distB="0" distL="114300" distR="114300" simplePos="false" relativeHeight="10366736" behindDoc="true" locked="false" layoutInCell="true" allowOverlap="true">
                <wp:simplePos x="0" y="0"/>
                <wp:positionH relativeFrom="page">
                  <wp:posOffset>1854200</wp:posOffset>
                </wp:positionH>
                <wp:positionV relativeFrom="page">
                  <wp:posOffset>5283200</wp:posOffset>
                </wp:positionV>
                <wp:extent cx="1270000" cy="317500"/>
                <wp:effectExtent l="0" t="0" r="22225" b="31115"/>
                <wp:wrapNone/>
                <wp:docPr id="7383" name="shape7383"/>
                <wp:cNvGraphicFramePr/>
                <a:graphic>
                  <a:graphicData uri="http://schemas.microsoft.com/office/word/2010/wordprocessingShape">
                    <wps:wsp>
                      <wps:cNvSpPr/>
                      <wps:spPr>
                        <a:xfrm>
                          <a:off x="0" y="0"/>
                          <a:ext cx="1270000" cy="317500"/>
                        </a:xfrm>
                        <a:prstGeom prst="rect">
                          <a:avLst/>
                        </a:prstGeom>
                        <a:ln>
                          <a:solidFill>
                            <a:srgbClr val="404040"/>
                          </a:solidFill>
                        </a:ln>
                      </wps:spPr>
                      <wps:txbx>
                        <w:txbxContent>
                          <w:p>
                            <w:pPr>
                              <w:spacing w:line="-340" w:lineRule="exact"/>
                              <w:ind w:left="120"/>
                              <w:jc w:val="both"/>
                            </w:pPr>
                            <w:r>
                              <w:rPr>
                                <w:rFonts w:hint="eastAsia" w:ascii="宋体" w:hAnsi="宋体" w:eastAsia="宋体" w:cs="宋体"/>
                                <w:w w:val="99"/>
                                <w:sz w:val="25"/>
                              </w:rPr>
                              <w:t>详细需求分析</w:t>
                            </w:r>
                          </w:p>
                        </w:txbxContent>
                      </wps:txbx>
                      <wps:bodyPr rot="0" spcFirstLastPara="false" vertOverflow="overflow" horzOverflow="overflow" vert="horz" wrap="square" lIns="1397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0pt;height:25pt;margin-left:146pt;margin-top:416pt;mso-wrap-style:square;z-index:10366736;mso-wrap-distance-left:9pt;mso-wrap-distance-top:0pt;mso-wrap-distance-right:9pt;mso-wrap-distance-bottom:0pt" id="shape7383" o:spid="1618382352396" stroked="t" strokecolor="#404040" strokeweight="1pt">
                <v:textbox>
                  <w:txbxContent>
                    <w:p>
                      <w:pPr>
                        <w:spacing w:line="-340" w:lineRule="exact"/>
                        <w:ind w:left="120"/>
                        <w:jc w:val="both"/>
                      </w:pPr>
                      <w:r>
                        <w:rPr>
                          <w:rFonts w:hint="eastAsia" w:ascii="宋体" w:hAnsi="宋体" w:eastAsia="宋体" w:cs="宋体"/>
                          <w:w w:val="99"/>
                          <w:sz w:val="25"/>
                        </w:rPr>
                        <w:t>详细需求分析</w:t>
                      </w:r>
                    </w:p>
                  </w:txbxContent>
                </v:textbox>
              </v:rect>
            </w:pict>
          </mc:Fallback>
        </mc:AlternateContent>
      </w:r>
      <w:r>
        <mc:AlternateContent>
          <mc:Choice Requires="wps">
            <w:drawing>
              <wp:anchor distT="0" distB="0" distL="114300" distR="114300" simplePos="false" relativeHeight="10358544" behindDoc="true" locked="false" layoutInCell="true" allowOverlap="true">
                <wp:simplePos x="0" y="0"/>
                <wp:positionH relativeFrom="page">
                  <wp:posOffset>4013200</wp:posOffset>
                </wp:positionH>
                <wp:positionV relativeFrom="page">
                  <wp:posOffset>6311900</wp:posOffset>
                </wp:positionV>
                <wp:extent cx="1358900" cy="317500"/>
                <wp:effectExtent l="0" t="0" r="22225" b="31115"/>
                <wp:wrapNone/>
                <wp:docPr id="7375" name="shape7375"/>
                <wp:cNvGraphicFramePr/>
                <a:graphic>
                  <a:graphicData uri="http://schemas.microsoft.com/office/word/2010/wordprocessingShape">
                    <wps:wsp>
                      <wps:cNvSpPr/>
                      <wps:spPr>
                        <a:xfrm>
                          <a:off x="0" y="0"/>
                          <a:ext cx="1358900" cy="317500"/>
                        </a:xfrm>
                        <a:prstGeom prst="rect">
                          <a:avLst/>
                        </a:prstGeom>
                        <a:ln>
                          <a:solidFill>
                            <a:srgbClr val="404040"/>
                          </a:solidFill>
                        </a:ln>
                      </wps:spPr>
                      <wps:txbx>
                        <w:txbxContent>
                          <w:p>
                            <w:pPr>
                              <w:spacing w:line="-340" w:lineRule="exact"/>
                              <w:ind w:left="440"/>
                              <w:jc w:val="both"/>
                            </w:pPr>
                            <w:r>
                              <w:rPr>
                                <w:rFonts w:hint="eastAsia" w:ascii="宋体" w:hAnsi="宋体" w:eastAsia="宋体" w:cs="宋体"/>
                                <w:w w:val="99"/>
                                <w:sz w:val="25"/>
                              </w:rPr>
                              <w:t>设备交货</w:t>
                            </w:r>
                          </w:p>
                        </w:txbxContent>
                      </wps:txbx>
                      <wps:bodyPr rot="0" spcFirstLastPara="false" vertOverflow="overflow" horzOverflow="overflow" vert="horz" wrap="square" lIns="3429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5pt;margin-left:316pt;margin-top:497pt;mso-wrap-style:square;z-index:10358544;mso-wrap-distance-left:9pt;mso-wrap-distance-top:0pt;mso-wrap-distance-right:9pt;mso-wrap-distance-bottom:0pt" id="shape7375" o:spid="1618382352396" stroked="t" strokecolor="#404040" strokeweight="1pt">
                <v:textbox>
                  <w:txbxContent>
                    <w:p>
                      <w:pPr>
                        <w:spacing w:line="-340" w:lineRule="exact"/>
                        <w:ind w:left="440"/>
                        <w:jc w:val="both"/>
                      </w:pPr>
                      <w:r>
                        <w:rPr>
                          <w:rFonts w:hint="eastAsia" w:ascii="宋体" w:hAnsi="宋体" w:eastAsia="宋体" w:cs="宋体"/>
                          <w:w w:val="99"/>
                          <w:sz w:val="25"/>
                        </w:rPr>
                        <w:t>设备交货</w:t>
                      </w:r>
                    </w:p>
                  </w:txbxContent>
                </v:textbox>
              </v:rect>
            </w:pict>
          </mc:Fallback>
        </mc:AlternateContent>
      </w:r>
      <w:r>
        <mc:AlternateContent>
          <mc:Choice Requires="wps">
            <w:drawing>
              <wp:anchor distT="0" distB="0" distL="114300" distR="114300" simplePos="false" relativeHeight="10352400" behindDoc="true" locked="false" layoutInCell="true" allowOverlap="true">
                <wp:simplePos x="0" y="0"/>
                <wp:positionH relativeFrom="page">
                  <wp:posOffset>4013200</wp:posOffset>
                </wp:positionH>
                <wp:positionV relativeFrom="page">
                  <wp:posOffset>5791200</wp:posOffset>
                </wp:positionV>
                <wp:extent cx="1358900" cy="317500"/>
                <wp:effectExtent l="0" t="0" r="22225" b="31115"/>
                <wp:wrapNone/>
                <wp:docPr id="7369" name="shape7369"/>
                <wp:cNvGraphicFramePr/>
                <a:graphic>
                  <a:graphicData uri="http://schemas.microsoft.com/office/word/2010/wordprocessingShape">
                    <wps:wsp>
                      <wps:cNvSpPr/>
                      <wps:spPr>
                        <a:xfrm>
                          <a:off x="0" y="0"/>
                          <a:ext cx="1358900" cy="317500"/>
                        </a:xfrm>
                        <a:prstGeom prst="rect">
                          <a:avLst/>
                        </a:prstGeom>
                        <a:ln>
                          <a:solidFill>
                            <a:srgbClr val="404040"/>
                          </a:solidFill>
                        </a:ln>
                      </wps:spPr>
                      <wps:txbx>
                        <w:txbxContent>
                          <w:p>
                            <w:pPr>
                              <w:spacing w:line="-340" w:lineRule="exact"/>
                              <w:ind w:left="320"/>
                              <w:jc w:val="both"/>
                            </w:pPr>
                            <w:r>
                              <w:rPr>
                                <w:rFonts w:hint="eastAsia" w:ascii="宋体" w:hAnsi="宋体" w:eastAsia="宋体" w:cs="宋体"/>
                                <w:w w:val="99"/>
                                <w:sz w:val="25"/>
                              </w:rPr>
                              <w:t>软硬件采购</w:t>
                            </w:r>
                          </w:p>
                        </w:txbxContent>
                      </wps:txbx>
                      <wps:bodyPr rot="0" spcFirstLastPara="false" vertOverflow="overflow" horzOverflow="overflow" vert="horz" wrap="square" lIns="2667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5pt;margin-left:316pt;margin-top:456pt;mso-wrap-style:square;z-index:10352400;mso-wrap-distance-left:9pt;mso-wrap-distance-top:0pt;mso-wrap-distance-right:9pt;mso-wrap-distance-bottom:0pt" id="shape7369" o:spid="1618382352397" stroked="t" strokecolor="#404040" strokeweight="1pt">
                <v:textbox>
                  <w:txbxContent>
                    <w:p>
                      <w:pPr>
                        <w:spacing w:line="-340" w:lineRule="exact"/>
                        <w:ind w:left="320"/>
                        <w:jc w:val="both"/>
                      </w:pPr>
                      <w:r>
                        <w:rPr>
                          <w:rFonts w:hint="eastAsia" w:ascii="宋体" w:hAnsi="宋体" w:eastAsia="宋体" w:cs="宋体"/>
                          <w:w w:val="99"/>
                          <w:sz w:val="25"/>
                        </w:rPr>
                        <w:t>软硬件采购</w:t>
                      </w:r>
                    </w:p>
                  </w:txbxContent>
                </v:textbox>
              </v:rect>
            </w:pict>
          </mc:Fallback>
        </mc:AlternateContent>
      </w:r>
      <w:r>
        <mc:AlternateContent>
          <mc:Choice Requires="wps">
            <w:drawing>
              <wp:anchor distT="0" distB="0" distL="114300" distR="114300" simplePos="false" relativeHeight="10338064" behindDoc="true" locked="false" layoutInCell="true" allowOverlap="true">
                <wp:simplePos x="0" y="0"/>
                <wp:positionH relativeFrom="page">
                  <wp:posOffset>2997200</wp:posOffset>
                </wp:positionH>
                <wp:positionV relativeFrom="page">
                  <wp:posOffset>4229100</wp:posOffset>
                </wp:positionV>
                <wp:extent cx="1041400" cy="317500"/>
                <wp:effectExtent l="0" t="0" r="22225" b="31115"/>
                <wp:wrapNone/>
                <wp:docPr id="7355" name="shape7355"/>
                <wp:cNvGraphicFramePr/>
                <a:graphic>
                  <a:graphicData uri="http://schemas.microsoft.com/office/word/2010/wordprocessingShape">
                    <wps:wsp>
                      <wps:cNvSpPr/>
                      <wps:spPr>
                        <a:xfrm>
                          <a:off x="0" y="0"/>
                          <a:ext cx="1041400" cy="317500"/>
                        </a:xfrm>
                        <a:prstGeom prst="rect">
                          <a:avLst/>
                        </a:prstGeom>
                        <a:ln>
                          <a:solidFill>
                            <a:srgbClr val="404040"/>
                          </a:solidFill>
                        </a:ln>
                      </wps:spPr>
                      <wps:txbx>
                        <w:txbxContent>
                          <w:p>
                            <w:pPr>
                              <w:spacing w:line="-340" w:lineRule="exact"/>
                              <w:ind w:left="0"/>
                              <w:jc w:val="both"/>
                            </w:pPr>
                            <w:r>
                              <w:rPr>
                                <w:rFonts w:hint="eastAsia" w:ascii="宋体" w:hAnsi="宋体" w:eastAsia="宋体" w:cs="宋体"/>
                                <w:w w:val="99"/>
                                <w:sz w:val="25"/>
                              </w:rPr>
                              <w:t>组织项目团队</w:t>
                            </w:r>
                          </w:p>
                        </w:txbxContent>
                      </wps:txbx>
                      <wps:bodyPr rot="0" spcFirstLastPara="false" vertOverflow="overflow" horzOverflow="overflow" vert="horz" wrap="square" lIns="508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2pt;height:25pt;margin-left:236pt;margin-top:333pt;mso-wrap-style:square;z-index:10338064;mso-wrap-distance-left:9pt;mso-wrap-distance-top:0pt;mso-wrap-distance-right:9pt;mso-wrap-distance-bottom:0pt" id="shape7355" o:spid="1618382352397" stroked="t" strokecolor="#404040" strokeweight="1pt">
                <v:textbox>
                  <w:txbxContent>
                    <w:p>
                      <w:pPr>
                        <w:spacing w:line="-340" w:lineRule="exact"/>
                        <w:ind w:left="0"/>
                        <w:jc w:val="both"/>
                      </w:pPr>
                      <w:r>
                        <w:rPr>
                          <w:rFonts w:hint="eastAsia" w:ascii="宋体" w:hAnsi="宋体" w:eastAsia="宋体" w:cs="宋体"/>
                          <w:w w:val="99"/>
                          <w:sz w:val="25"/>
                        </w:rPr>
                        <w:t>组织项目团队</w:t>
                      </w:r>
                    </w:p>
                  </w:txbxContent>
                </v:textbox>
              </v:rect>
            </w:pict>
          </mc:Fallback>
        </mc:AlternateContent>
      </w:r>
      <w:r>
        <mc:AlternateContent>
          <mc:Choice Requires="wps">
            <w:drawing>
              <wp:anchor distT="0" distB="0" distL="114300" distR="114300" simplePos="false" relativeHeight="10331920" behindDoc="true" locked="false" layoutInCell="true" allowOverlap="true">
                <wp:simplePos x="0" y="0"/>
                <wp:positionH relativeFrom="page">
                  <wp:posOffset>3454400</wp:posOffset>
                </wp:positionH>
                <wp:positionV relativeFrom="page">
                  <wp:posOffset>6845300</wp:posOffset>
                </wp:positionV>
                <wp:extent cx="762000" cy="444500"/>
                <wp:effectExtent l="0" t="0" r="22225" b="31115"/>
                <wp:wrapNone/>
                <wp:docPr id="7349" name="shape7349"/>
                <wp:cNvGraphicFramePr/>
                <a:graphic>
                  <a:graphicData uri="http://schemas.microsoft.com/office/word/2010/wordprocessingShape">
                    <wps:wsp>
                      <wps:cNvSpPr/>
                      <wps:spPr>
                        <a:xfrm>
                          <a:off x="0" y="0"/>
                          <a:ext cx="762000" cy="444500"/>
                        </a:xfrm>
                        <a:prstGeom prst="rect">
                          <a:avLst/>
                        </a:prstGeom>
                        <a:ln>
                          <a:solidFill>
                            <a:srgbClr val="404040"/>
                          </a:solidFill>
                        </a:ln>
                      </wps:spPr>
                      <wps:txbx>
                        <w:txbxContent>
                          <w:p>
                            <w:pPr>
                              <w:spacing w:line="-260" w:lineRule="exact"/>
                              <w:ind w:left="0"/>
                              <w:jc w:val="both"/>
                            </w:pPr>
                            <w:r>
                              <w:rPr>
                                <w:rFonts w:hint="eastAsia" w:ascii="宋体" w:hAnsi="宋体" w:eastAsia="宋体" w:cs="宋体"/>
                                <w:w w:val="99"/>
                                <w:sz w:val="25"/>
                              </w:rPr>
                              <w:t>设备质量</w:t>
                            </w:r>
                          </w:p>
                          <w:p>
                            <w:pPr>
                              <w:spacing w:line="340" w:lineRule="exact"/>
                              <w:ind w:left="220"/>
                              <w:jc w:val="both"/>
                            </w:pPr>
                            <w:r>
                              <w:rPr>
                                <w:rFonts w:hint="eastAsia" w:ascii="宋体" w:hAnsi="宋体" w:eastAsia="宋体" w:cs="宋体"/>
                                <w:w w:val="99"/>
                                <w:sz w:val="25"/>
                              </w:rPr>
                              <w:t>检验</w:t>
                            </w:r>
                          </w:p>
                        </w:txbxContent>
                      </wps:txbx>
                      <wps:bodyPr rot="0" spcFirstLastPara="false" vertOverflow="overflow" horzOverflow="overflow" vert="horz" wrap="square" lIns="3810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0pt;height:35pt;margin-left:272pt;margin-top:539pt;mso-wrap-style:square;z-index:10331920;mso-wrap-distance-left:9pt;mso-wrap-distance-top:0pt;mso-wrap-distance-right:9pt;mso-wrap-distance-bottom:0pt" id="shape7349" o:spid="1618382352398" stroked="t" strokecolor="#404040" strokeweight="1pt">
                <v:textbox>
                  <w:txbxContent>
                    <w:p>
                      <w:pPr>
                        <w:spacing w:line="-260" w:lineRule="exact"/>
                        <w:ind w:left="0"/>
                        <w:jc w:val="both"/>
                      </w:pPr>
                      <w:r>
                        <w:rPr>
                          <w:rFonts w:hint="eastAsia" w:ascii="宋体" w:hAnsi="宋体" w:eastAsia="宋体" w:cs="宋体"/>
                          <w:w w:val="99"/>
                          <w:sz w:val="25"/>
                        </w:rPr>
                        <w:t>设备质量</w:t>
                      </w:r>
                    </w:p>
                    <w:p>
                      <w:pPr>
                        <w:spacing w:line="340" w:lineRule="exact"/>
                        <w:ind w:left="220"/>
                        <w:jc w:val="both"/>
                      </w:pPr>
                      <w:r>
                        <w:rPr>
                          <w:rFonts w:hint="eastAsia" w:ascii="宋体" w:hAnsi="宋体" w:eastAsia="宋体" w:cs="宋体"/>
                          <w:w w:val="99"/>
                          <w:sz w:val="25"/>
                        </w:rPr>
                        <w:t>检验</w:t>
                      </w:r>
                    </w:p>
                  </w:txbxContent>
                </v:textbox>
              </v:rect>
            </w:pict>
          </mc:Fallback>
        </mc:AlternateContent>
      </w:r>
      <w:r>
        <mc:AlternateContent>
          <mc:Choice Requires="wps">
            <w:drawing>
              <wp:anchor distT="0" distB="0" distL="114300" distR="114300" simplePos="false" relativeHeight="10327824" behindDoc="true" locked="false" layoutInCell="true" allowOverlap="true">
                <wp:simplePos x="0" y="0"/>
                <wp:positionH relativeFrom="page">
                  <wp:posOffset>4432300</wp:posOffset>
                </wp:positionH>
                <wp:positionV relativeFrom="page">
                  <wp:posOffset>6845300</wp:posOffset>
                </wp:positionV>
                <wp:extent cx="838200" cy="444500"/>
                <wp:effectExtent l="0" t="0" r="22225" b="31115"/>
                <wp:wrapNone/>
                <wp:docPr id="7345" name="shape7345"/>
                <wp:cNvGraphicFramePr/>
                <a:graphic>
                  <a:graphicData uri="http://schemas.microsoft.com/office/word/2010/wordprocessingShape">
                    <wps:wsp>
                      <wps:cNvSpPr/>
                      <wps:spPr>
                        <a:xfrm>
                          <a:off x="0" y="0"/>
                          <a:ext cx="838200" cy="444500"/>
                        </a:xfrm>
                        <a:prstGeom prst="rect">
                          <a:avLst/>
                        </a:prstGeom>
                        <a:ln>
                          <a:solidFill>
                            <a:srgbClr val="404040"/>
                          </a:solidFill>
                        </a:ln>
                      </wps:spPr>
                      <wps:txbx>
                        <w:txbxContent>
                          <w:p>
                            <w:pPr>
                              <w:spacing w:line="-260" w:lineRule="exact"/>
                              <w:ind w:left="40"/>
                              <w:jc w:val="both"/>
                            </w:pPr>
                            <w:r>
                              <w:rPr>
                                <w:rFonts w:hint="eastAsia" w:ascii="宋体" w:hAnsi="宋体" w:eastAsia="宋体" w:cs="宋体"/>
                                <w:w w:val="99"/>
                                <w:sz w:val="25"/>
                              </w:rPr>
                              <w:t>设备安装</w:t>
                            </w:r>
                          </w:p>
                          <w:p>
                            <w:pPr>
                              <w:spacing w:line="340" w:lineRule="exact"/>
                              <w:ind w:left="300"/>
                              <w:jc w:val="both"/>
                            </w:pPr>
                            <w:r>
                              <w:rPr>
                                <w:rFonts w:hint="eastAsia" w:ascii="宋体" w:hAnsi="宋体" w:eastAsia="宋体" w:cs="宋体"/>
                                <w:w w:val="99"/>
                                <w:sz w:val="25"/>
                              </w:rPr>
                              <w:t>调试</w:t>
                            </w:r>
                          </w:p>
                        </w:txbxContent>
                      </wps:txbx>
                      <wps:bodyPr rot="0" spcFirstLastPara="false" vertOverflow="overflow" horzOverflow="overflow" vert="horz" wrap="square" lIns="8890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6pt;height:35pt;margin-left:349pt;margin-top:539pt;mso-wrap-style:square;z-index:10327824;mso-wrap-distance-left:9pt;mso-wrap-distance-top:0pt;mso-wrap-distance-right:9pt;mso-wrap-distance-bottom:0pt" id="shape7345" o:spid="1618382352398" stroked="t" strokecolor="#404040" strokeweight="1pt">
                <v:textbox>
                  <w:txbxContent>
                    <w:p>
                      <w:pPr>
                        <w:spacing w:line="-260" w:lineRule="exact"/>
                        <w:ind w:left="40"/>
                        <w:jc w:val="both"/>
                      </w:pPr>
                      <w:r>
                        <w:rPr>
                          <w:rFonts w:hint="eastAsia" w:ascii="宋体" w:hAnsi="宋体" w:eastAsia="宋体" w:cs="宋体"/>
                          <w:w w:val="99"/>
                          <w:sz w:val="25"/>
                        </w:rPr>
                        <w:t>设备安装</w:t>
                      </w:r>
                    </w:p>
                    <w:p>
                      <w:pPr>
                        <w:spacing w:line="340" w:lineRule="exact"/>
                        <w:ind w:left="300"/>
                        <w:jc w:val="both"/>
                      </w:pPr>
                      <w:r>
                        <w:rPr>
                          <w:rFonts w:hint="eastAsia" w:ascii="宋体" w:hAnsi="宋体" w:eastAsia="宋体" w:cs="宋体"/>
                          <w:w w:val="99"/>
                          <w:sz w:val="25"/>
                        </w:rPr>
                        <w:t>调试</w:t>
                      </w:r>
                    </w:p>
                  </w:txbxContent>
                </v:textbox>
              </v:rect>
            </w:pict>
          </mc:Fallback>
        </mc:AlternateContent>
      </w:r>
      <w:r>
        <mc:AlternateContent>
          <mc:Choice Requires="wps">
            <w:drawing>
              <wp:anchor distT="0" distB="0" distL="114300" distR="114300" simplePos="false" relativeHeight="10319632" behindDoc="true" locked="false" layoutInCell="true" allowOverlap="true">
                <wp:simplePos x="0" y="0"/>
                <wp:positionH relativeFrom="page">
                  <wp:posOffset>3175000</wp:posOffset>
                </wp:positionH>
                <wp:positionV relativeFrom="page">
                  <wp:posOffset>2032000</wp:posOffset>
                </wp:positionV>
                <wp:extent cx="736600" cy="317500"/>
                <wp:effectExtent l="0" t="0" r="22225" b="31115"/>
                <wp:wrapNone/>
                <wp:docPr id="7337" name="shape7337"/>
                <wp:cNvGraphicFramePr/>
                <a:graphic>
                  <a:graphicData uri="http://schemas.microsoft.com/office/word/2010/wordprocessingShape">
                    <wps:wsp>
                      <wps:cNvSpPr/>
                      <wps:spPr>
                        <a:xfrm>
                          <a:off x="0" y="0"/>
                          <a:ext cx="736600" cy="317500"/>
                        </a:xfrm>
                        <a:prstGeom prst="rect">
                          <a:avLst/>
                        </a:prstGeom>
                        <a:ln>
                          <a:solidFill>
                            <a:srgbClr val="404040"/>
                          </a:solidFill>
                        </a:ln>
                      </wps:spPr>
                      <wps:txbx>
                        <w:txbxContent>
                          <w:p>
                            <w:pPr>
                              <w:spacing w:line="-340" w:lineRule="exact"/>
                              <w:ind w:left="0"/>
                              <w:jc w:val="both"/>
                            </w:pPr>
                            <w:r>
                              <w:rPr>
                                <w:rFonts w:hint="eastAsia" w:ascii="宋体" w:hAnsi="宋体" w:eastAsia="宋体" w:cs="宋体"/>
                                <w:w w:val="99"/>
                                <w:sz w:val="25"/>
                              </w:rPr>
                              <w:t>业务分析</w:t>
                            </w:r>
                          </w:p>
                        </w:txbxContent>
                      </wps:txbx>
                      <wps:bodyPr rot="0" spcFirstLastPara="false" vertOverflow="overflow" horzOverflow="overflow" vert="horz" wrap="square" lIns="381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160pt;mso-wrap-style:square;z-index:10319632;mso-wrap-distance-left:9pt;mso-wrap-distance-top:0pt;mso-wrap-distance-right:9pt;mso-wrap-distance-bottom:0pt" id="shape7337" o:spid="1618382352399" stroked="t" strokecolor="#404040" strokeweight="1pt">
                <v:textbox>
                  <w:txbxContent>
                    <w:p>
                      <w:pPr>
                        <w:spacing w:line="-340" w:lineRule="exact"/>
                        <w:ind w:left="0"/>
                        <w:jc w:val="both"/>
                      </w:pPr>
                      <w:r>
                        <w:rPr>
                          <w:rFonts w:hint="eastAsia" w:ascii="宋体" w:hAnsi="宋体" w:eastAsia="宋体" w:cs="宋体"/>
                          <w:w w:val="99"/>
                          <w:sz w:val="25"/>
                        </w:rPr>
                        <w:t>业务分析</w:t>
                      </w:r>
                    </w:p>
                  </w:txbxContent>
                </v:textbox>
              </v:rect>
            </w:pict>
          </mc:Fallback>
        </mc:AlternateContent>
      </w:r>
      <w:r>
        <mc:AlternateContent>
          <mc:Choice Requires="wps">
            <w:drawing>
              <wp:anchor distT="0" distB="0" distL="114300" distR="114300" simplePos="false" relativeHeight="10305296" behindDoc="true" locked="false" layoutInCell="true" allowOverlap="true">
                <wp:simplePos x="0" y="0"/>
                <wp:positionH relativeFrom="page">
                  <wp:posOffset>4470400</wp:posOffset>
                </wp:positionH>
                <wp:positionV relativeFrom="page">
                  <wp:posOffset>2603500</wp:posOffset>
                </wp:positionV>
                <wp:extent cx="736600" cy="317500"/>
                <wp:effectExtent l="0" t="0" r="22225" b="31115"/>
                <wp:wrapNone/>
                <wp:docPr id="7323" name="shape7323"/>
                <wp:cNvGraphicFramePr/>
                <a:graphic>
                  <a:graphicData uri="http://schemas.microsoft.com/office/word/2010/wordprocessingShape">
                    <wps:wsp>
                      <wps:cNvSpPr/>
                      <wps:spPr>
                        <a:xfrm>
                          <a:off x="0" y="0"/>
                          <a:ext cx="736600" cy="317500"/>
                        </a:xfrm>
                        <a:prstGeom prst="rect">
                          <a:avLst/>
                        </a:prstGeom>
                        <a:ln>
                          <a:solidFill>
                            <a:srgbClr val="404040"/>
                          </a:solidFill>
                        </a:ln>
                      </wps:spPr>
                      <wps:txbx>
                        <w:txbxContent>
                          <w:p>
                            <w:pPr>
                              <w:spacing w:line="-360" w:lineRule="exact"/>
                              <w:ind w:left="0"/>
                              <w:jc w:val="both"/>
                            </w:pPr>
                            <w:r>
                              <w:rPr>
                                <w:rFonts w:hint="eastAsia" w:ascii="宋体" w:hAnsi="宋体" w:eastAsia="宋体" w:cs="宋体"/>
                                <w:w w:val="99"/>
                                <w:sz w:val="25"/>
                              </w:rPr>
                              <w:t>方案修改</w:t>
                            </w:r>
                          </w:p>
                        </w:txbxContent>
                      </wps:txbx>
                      <wps:bodyPr rot="0" spcFirstLastPara="false" vertOverflow="overflow" horzOverflow="overflow" vert="horz" wrap="square" lIns="381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352pt;margin-top:205pt;mso-wrap-style:square;z-index:10305296;mso-wrap-distance-left:9pt;mso-wrap-distance-top:0pt;mso-wrap-distance-right:9pt;mso-wrap-distance-bottom:0pt" id="shape7323" o:spid="1618382352399" stroked="t" strokecolor="#404040" strokeweight="1pt">
                <v:textbox>
                  <w:txbxContent>
                    <w:p>
                      <w:pPr>
                        <w:spacing w:line="-360" w:lineRule="exact"/>
                        <w:ind w:left="0"/>
                        <w:jc w:val="both"/>
                      </w:pPr>
                      <w:r>
                        <w:rPr>
                          <w:rFonts w:hint="eastAsia" w:ascii="宋体" w:hAnsi="宋体" w:eastAsia="宋体" w:cs="宋体"/>
                          <w:w w:val="99"/>
                          <w:sz w:val="25"/>
                        </w:rPr>
                        <w:t>方案修改</w:t>
                      </w:r>
                    </w:p>
                  </w:txbxContent>
                </v:textbox>
              </v:rect>
            </w:pict>
          </mc:Fallback>
        </mc:AlternateContent>
      </w:r>
      <w:r>
        <mc:AlternateContent>
          <mc:Choice Requires="wps">
            <w:drawing>
              <wp:anchor distT="0" distB="0" distL="114300" distR="114300" simplePos="false" relativeHeight="10299152" behindDoc="true" locked="false" layoutInCell="true" allowOverlap="true">
                <wp:simplePos x="0" y="0"/>
                <wp:positionH relativeFrom="page">
                  <wp:posOffset>4470400</wp:posOffset>
                </wp:positionH>
                <wp:positionV relativeFrom="page">
                  <wp:posOffset>3187700</wp:posOffset>
                </wp:positionV>
                <wp:extent cx="736600" cy="317500"/>
                <wp:effectExtent l="0" t="0" r="22225" b="31115"/>
                <wp:wrapNone/>
                <wp:docPr id="7317" name="shape7317"/>
                <wp:cNvGraphicFramePr/>
                <a:graphic>
                  <a:graphicData uri="http://schemas.microsoft.com/office/word/2010/wordprocessingShape">
                    <wps:wsp>
                      <wps:cNvSpPr/>
                      <wps:spPr>
                        <a:xfrm>
                          <a:off x="0" y="0"/>
                          <a:ext cx="736600" cy="317500"/>
                        </a:xfrm>
                        <a:prstGeom prst="rect">
                          <a:avLst/>
                        </a:prstGeom>
                        <a:ln>
                          <a:solidFill>
                            <a:srgbClr val="404040"/>
                          </a:solidFill>
                        </a:ln>
                      </wps:spPr>
                      <wps:txbx>
                        <w:txbxContent>
                          <w:p>
                            <w:pPr>
                              <w:spacing w:line="-340" w:lineRule="exact"/>
                              <w:ind w:left="0"/>
                              <w:jc w:val="both"/>
                            </w:pPr>
                            <w:r>
                              <w:rPr>
                                <w:rFonts w:hint="eastAsia" w:ascii="宋体" w:hAnsi="宋体" w:eastAsia="宋体" w:cs="宋体"/>
                                <w:w w:val="99"/>
                                <w:sz w:val="25"/>
                              </w:rPr>
                              <w:t>客户意见</w:t>
                            </w:r>
                          </w:p>
                        </w:txbxContent>
                      </wps:txbx>
                      <wps:bodyPr rot="0" spcFirstLastPara="false" vertOverflow="overflow" horzOverflow="overflow" vert="horz" wrap="square" lIns="381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352pt;margin-top:251pt;mso-wrap-style:square;z-index:10299152;mso-wrap-distance-left:9pt;mso-wrap-distance-top:0pt;mso-wrap-distance-right:9pt;mso-wrap-distance-bottom:0pt" id="shape7317" o:spid="1618382352399" stroked="t" strokecolor="#404040" strokeweight="1pt">
                <v:textbox>
                  <w:txbxContent>
                    <w:p>
                      <w:pPr>
                        <w:spacing w:line="-340" w:lineRule="exact"/>
                        <w:ind w:left="0"/>
                        <w:jc w:val="both"/>
                      </w:pPr>
                      <w:r>
                        <w:rPr>
                          <w:rFonts w:hint="eastAsia" w:ascii="宋体" w:hAnsi="宋体" w:eastAsia="宋体" w:cs="宋体"/>
                          <w:w w:val="99"/>
                          <w:sz w:val="25"/>
                        </w:rPr>
                        <w:t>客户意见</w:t>
                      </w:r>
                    </w:p>
                  </w:txbxContent>
                </v:textbox>
              </v:rect>
            </w:pict>
          </mc:Fallback>
        </mc:AlternateContent>
      </w:r>
      <w:r>
        <mc:AlternateContent>
          <mc:Choice Requires="wps">
            <w:drawing>
              <wp:anchor distT="0" distB="0" distL="114300" distR="114300" simplePos="false" relativeHeight="10284816" behindDoc="true" locked="false" layoutInCell="true" allowOverlap="true">
                <wp:simplePos x="0" y="0"/>
                <wp:positionH relativeFrom="page">
                  <wp:posOffset>5499100</wp:posOffset>
                </wp:positionH>
                <wp:positionV relativeFrom="page">
                  <wp:posOffset>6845300</wp:posOffset>
                </wp:positionV>
                <wp:extent cx="736600" cy="444500"/>
                <wp:effectExtent l="0" t="0" r="22225" b="31115"/>
                <wp:wrapNone/>
                <wp:docPr id="7303" name="shape7303"/>
                <wp:cNvGraphicFramePr/>
                <a:graphic>
                  <a:graphicData uri="http://schemas.microsoft.com/office/word/2010/wordprocessingShape">
                    <wps:wsp>
                      <wps:cNvSpPr/>
                      <wps:spPr>
                        <a:xfrm>
                          <a:off x="0" y="0"/>
                          <a:ext cx="736600" cy="444500"/>
                        </a:xfrm>
                        <a:prstGeom prst="rect">
                          <a:avLst/>
                        </a:prstGeom>
                        <a:ln>
                          <a:solidFill>
                            <a:srgbClr val="404040"/>
                          </a:solidFill>
                        </a:ln>
                      </wps:spPr>
                      <wps:txbx>
                        <w:txbxContent>
                          <w:p>
                            <w:pPr>
                              <w:spacing w:line="-260" w:lineRule="exact"/>
                              <w:ind w:left="0"/>
                              <w:jc w:val="both"/>
                            </w:pPr>
                            <w:r>
                              <w:rPr>
                                <w:rFonts w:hint="eastAsia" w:ascii="宋体" w:hAnsi="宋体" w:eastAsia="宋体" w:cs="宋体"/>
                                <w:w w:val="99"/>
                                <w:sz w:val="25"/>
                              </w:rPr>
                              <w:t>性能指标</w:t>
                            </w:r>
                          </w:p>
                          <w:p>
                            <w:pPr>
                              <w:spacing w:line="340" w:lineRule="exact"/>
                              <w:ind w:left="200"/>
                              <w:jc w:val="both"/>
                            </w:pPr>
                            <w:r>
                              <w:rPr>
                                <w:rFonts w:hint="eastAsia" w:ascii="宋体" w:hAnsi="宋体" w:eastAsia="宋体" w:cs="宋体"/>
                                <w:w w:val="99"/>
                                <w:sz w:val="25"/>
                              </w:rPr>
                              <w:t>测试</w:t>
                            </w:r>
                          </w:p>
                        </w:txbxContent>
                      </wps:txbx>
                      <wps:bodyPr rot="0" spcFirstLastPara="false" vertOverflow="overflow" horzOverflow="overflow" vert="horz" wrap="square" lIns="3810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35pt;margin-left:433pt;margin-top:539pt;mso-wrap-style:square;z-index:10284816;mso-wrap-distance-left:9pt;mso-wrap-distance-top:0pt;mso-wrap-distance-right:9pt;mso-wrap-distance-bottom:0pt" id="shape7303" o:spid="1618382352400" stroked="t" strokecolor="#404040" strokeweight="1pt">
                <v:textbox>
                  <w:txbxContent>
                    <w:p>
                      <w:pPr>
                        <w:spacing w:line="-260" w:lineRule="exact"/>
                        <w:ind w:left="0"/>
                        <w:jc w:val="both"/>
                      </w:pPr>
                      <w:r>
                        <w:rPr>
                          <w:rFonts w:hint="eastAsia" w:ascii="宋体" w:hAnsi="宋体" w:eastAsia="宋体" w:cs="宋体"/>
                          <w:w w:val="99"/>
                          <w:sz w:val="25"/>
                        </w:rPr>
                        <w:t>性能指标</w:t>
                      </w:r>
                    </w:p>
                    <w:p>
                      <w:pPr>
                        <w:spacing w:line="340" w:lineRule="exact"/>
                        <w:ind w:left="200"/>
                        <w:jc w:val="both"/>
                      </w:pPr>
                      <w:r>
                        <w:rPr>
                          <w:rFonts w:hint="eastAsia" w:ascii="宋体" w:hAnsi="宋体" w:eastAsia="宋体" w:cs="宋体"/>
                          <w:w w:val="99"/>
                          <w:sz w:val="25"/>
                        </w:rPr>
                        <w:t>测试</w:t>
                      </w:r>
                    </w:p>
                  </w:txbxContent>
                </v:textbox>
              </v:rect>
            </w:pict>
          </mc:Fallback>
        </mc:AlternateContent>
      </w:r>
      <w:r>
        <mc:AlternateContent>
          <mc:Choice Requires="wps">
            <w:drawing>
              <wp:anchor distT="0" distB="0" distL="114300" distR="114300" simplePos="false" relativeHeight="10280720" behindDoc="true" locked="false" layoutInCell="true" allowOverlap="true">
                <wp:simplePos x="0" y="0"/>
                <wp:positionH relativeFrom="page">
                  <wp:posOffset>4013200</wp:posOffset>
                </wp:positionH>
                <wp:positionV relativeFrom="page">
                  <wp:posOffset>5283200</wp:posOffset>
                </wp:positionV>
                <wp:extent cx="1358900" cy="317500"/>
                <wp:effectExtent l="0" t="0" r="22225" b="31115"/>
                <wp:wrapNone/>
                <wp:docPr id="7299" name="shape7299"/>
                <wp:cNvGraphicFramePr/>
                <a:graphic>
                  <a:graphicData uri="http://schemas.microsoft.com/office/word/2010/wordprocessingShape">
                    <wps:wsp>
                      <wps:cNvSpPr/>
                      <wps:spPr>
                        <a:xfrm>
                          <a:off x="0" y="0"/>
                          <a:ext cx="1358900" cy="317500"/>
                        </a:xfrm>
                        <a:prstGeom prst="rect">
                          <a:avLst/>
                        </a:prstGeom>
                        <a:ln>
                          <a:solidFill>
                            <a:srgbClr val="404040"/>
                          </a:solidFill>
                        </a:ln>
                      </wps:spPr>
                      <wps:txbx>
                        <w:txbxContent>
                          <w:p>
                            <w:pPr>
                              <w:spacing w:line="-340" w:lineRule="exact"/>
                              <w:ind w:left="0"/>
                              <w:jc w:val="both"/>
                            </w:pPr>
                            <w:r>
                              <w:rPr>
                                <w:rFonts w:hint="eastAsia" w:ascii="宋体" w:hAnsi="宋体" w:eastAsia="宋体" w:cs="宋体"/>
                                <w:w w:val="99"/>
                                <w:sz w:val="25"/>
                              </w:rPr>
                              <w:t>系统集成详细方案</w:t>
                            </w:r>
                          </w:p>
                        </w:txbxContent>
                      </wps:txbx>
                      <wps:bodyPr rot="0" spcFirstLastPara="false" vertOverflow="overflow" horzOverflow="overflow" vert="horz" wrap="square" lIns="254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5pt;margin-left:316pt;margin-top:416pt;mso-wrap-style:square;z-index:10280720;mso-wrap-distance-left:9pt;mso-wrap-distance-top:0pt;mso-wrap-distance-right:9pt;mso-wrap-distance-bottom:0pt" id="shape7299" o:spid="1618382352400" stroked="t" strokecolor="#404040" strokeweight="1pt">
                <v:textbox>
                  <w:txbxContent>
                    <w:p>
                      <w:pPr>
                        <w:spacing w:line="-340" w:lineRule="exact"/>
                        <w:ind w:left="0"/>
                        <w:jc w:val="both"/>
                      </w:pPr>
                      <w:r>
                        <w:rPr>
                          <w:rFonts w:hint="eastAsia" w:ascii="宋体" w:hAnsi="宋体" w:eastAsia="宋体" w:cs="宋体"/>
                          <w:w w:val="99"/>
                          <w:sz w:val="25"/>
                        </w:rPr>
                        <w:t>系统集成详细方案</w:t>
                      </w:r>
                    </w:p>
                  </w:txbxContent>
                </v:textbox>
              </v:rect>
            </w:pict>
          </mc:Fallback>
        </mc:AlternateContent>
      </w:r>
      <w:r>
        <mc:AlternateContent>
          <mc:Choice Requires="wps">
            <w:drawing>
              <wp:anchor distT="0" distB="0" distL="114300" distR="114300" simplePos="false" relativeHeight="10276624" behindDoc="true" locked="false" layoutInCell="true" allowOverlap="true">
                <wp:simplePos x="0" y="0"/>
                <wp:positionH relativeFrom="page">
                  <wp:posOffset>3175000</wp:posOffset>
                </wp:positionH>
                <wp:positionV relativeFrom="page">
                  <wp:posOffset>3187700</wp:posOffset>
                </wp:positionV>
                <wp:extent cx="736600" cy="317500"/>
                <wp:effectExtent l="0" t="0" r="22225" b="31115"/>
                <wp:wrapNone/>
                <wp:docPr id="7295" name="shape7295"/>
                <wp:cNvGraphicFramePr/>
                <a:graphic>
                  <a:graphicData uri="http://schemas.microsoft.com/office/word/2010/wordprocessingShape">
                    <wps:wsp>
                      <wps:cNvSpPr/>
                      <wps:spPr>
                        <a:xfrm>
                          <a:off x="0" y="0"/>
                          <a:ext cx="736600" cy="317500"/>
                        </a:xfrm>
                        <a:prstGeom prst="rect">
                          <a:avLst/>
                        </a:prstGeom>
                        <a:ln>
                          <a:solidFill>
                            <a:srgbClr val="404040"/>
                          </a:solidFill>
                        </a:ln>
                      </wps:spPr>
                      <wps:txbx>
                        <w:txbxContent>
                          <w:p>
                            <w:pPr>
                              <w:spacing w:line="-340" w:lineRule="exact"/>
                              <w:ind w:left="0"/>
                              <w:jc w:val="both"/>
                            </w:pPr>
                            <w:r>
                              <w:rPr>
                                <w:rFonts w:hint="eastAsia" w:ascii="宋体" w:hAnsi="宋体" w:eastAsia="宋体" w:cs="宋体"/>
                                <w:w w:val="99"/>
                                <w:sz w:val="25"/>
                              </w:rPr>
                              <w:t>方案论证</w:t>
                            </w:r>
                          </w:p>
                        </w:txbxContent>
                      </wps:txbx>
                      <wps:bodyPr rot="0" spcFirstLastPara="false" vertOverflow="overflow" horzOverflow="overflow" vert="horz" wrap="square" lIns="381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251pt;mso-wrap-style:square;z-index:10276624;mso-wrap-distance-left:9pt;mso-wrap-distance-top:0pt;mso-wrap-distance-right:9pt;mso-wrap-distance-bottom:0pt" id="shape7295" o:spid="1618382352401" stroked="t" strokecolor="#404040" strokeweight="1pt">
                <v:textbox>
                  <w:txbxContent>
                    <w:p>
                      <w:pPr>
                        <w:spacing w:line="-340" w:lineRule="exact"/>
                        <w:ind w:left="0"/>
                        <w:jc w:val="both"/>
                      </w:pPr>
                      <w:r>
                        <w:rPr>
                          <w:rFonts w:hint="eastAsia" w:ascii="宋体" w:hAnsi="宋体" w:eastAsia="宋体" w:cs="宋体"/>
                          <w:w w:val="99"/>
                          <w:sz w:val="25"/>
                        </w:rPr>
                        <w:t>方案论证</w:t>
                      </w:r>
                    </w:p>
                  </w:txbxContent>
                </v:textbox>
              </v:rect>
            </w:pict>
          </mc:Fallback>
        </mc:AlternateContent>
      </w:r>
      <w:r>
        <mc:AlternateContent>
          <mc:Choice Requires="wps">
            <w:drawing>
              <wp:anchor distT="0" distB="0" distL="114300" distR="114300" simplePos="false" relativeHeight="10272528" behindDoc="true" locked="false" layoutInCell="true" allowOverlap="true">
                <wp:simplePos x="0" y="0"/>
                <wp:positionH relativeFrom="page">
                  <wp:posOffset>3175000</wp:posOffset>
                </wp:positionH>
                <wp:positionV relativeFrom="page">
                  <wp:posOffset>3695700</wp:posOffset>
                </wp:positionV>
                <wp:extent cx="736600" cy="317500"/>
                <wp:effectExtent l="0" t="0" r="22225" b="31115"/>
                <wp:wrapNone/>
                <wp:docPr id="7291" name="shape7291"/>
                <wp:cNvGraphicFramePr/>
                <a:graphic>
                  <a:graphicData uri="http://schemas.microsoft.com/office/word/2010/wordprocessingShape">
                    <wps:wsp>
                      <wps:cNvSpPr/>
                      <wps:spPr>
                        <a:xfrm>
                          <a:off x="0" y="0"/>
                          <a:ext cx="736600" cy="317500"/>
                        </a:xfrm>
                        <a:prstGeom prst="rect">
                          <a:avLst/>
                        </a:prstGeom>
                        <a:ln>
                          <a:solidFill>
                            <a:srgbClr val="404040"/>
                          </a:solidFill>
                        </a:ln>
                      </wps:spPr>
                      <wps:txbx>
                        <w:txbxContent>
                          <w:p>
                            <w:pPr>
                              <w:spacing w:line="-340" w:lineRule="exact"/>
                              <w:ind w:left="0"/>
                              <w:jc w:val="both"/>
                            </w:pPr>
                            <w:r>
                              <w:rPr>
                                <w:rFonts w:hint="eastAsia" w:ascii="宋体" w:hAnsi="宋体" w:eastAsia="宋体" w:cs="宋体"/>
                                <w:w w:val="99"/>
                                <w:sz w:val="25"/>
                              </w:rPr>
                              <w:t>签订合同</w:t>
                            </w:r>
                          </w:p>
                        </w:txbxContent>
                      </wps:txbx>
                      <wps:bodyPr rot="0" spcFirstLastPara="false" vertOverflow="overflow" horzOverflow="overflow" vert="horz" wrap="square" lIns="381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291pt;mso-wrap-style:square;z-index:10272528;mso-wrap-distance-left:9pt;mso-wrap-distance-top:0pt;mso-wrap-distance-right:9pt;mso-wrap-distance-bottom:0pt" id="shape7291" o:spid="1618382352401" stroked="t" strokecolor="#404040" strokeweight="1pt">
                <v:textbox>
                  <w:txbxContent>
                    <w:p>
                      <w:pPr>
                        <w:spacing w:line="-340" w:lineRule="exact"/>
                        <w:ind w:left="0"/>
                        <w:jc w:val="both"/>
                      </w:pPr>
                      <w:r>
                        <w:rPr>
                          <w:rFonts w:hint="eastAsia" w:ascii="宋体" w:hAnsi="宋体" w:eastAsia="宋体" w:cs="宋体"/>
                          <w:w w:val="99"/>
                          <w:sz w:val="25"/>
                        </w:rPr>
                        <w:t>签订合同</w:t>
                      </w:r>
                    </w:p>
                  </w:txbxContent>
                </v:textbox>
              </v:rect>
            </w:pict>
          </mc:Fallback>
        </mc:AlternateContent>
      </w:r>
      <w:r>
        <mc:AlternateContent>
          <mc:Choice Requires="wps">
            <w:drawing>
              <wp:anchor distT="0" distB="0" distL="114300" distR="114300" simplePos="false" relativeHeight="10268432" behindDoc="true" locked="false" layoutInCell="true" allowOverlap="true">
                <wp:simplePos x="0" y="0"/>
                <wp:positionH relativeFrom="page">
                  <wp:posOffset>2997200</wp:posOffset>
                </wp:positionH>
                <wp:positionV relativeFrom="page">
                  <wp:posOffset>4737100</wp:posOffset>
                </wp:positionV>
                <wp:extent cx="1092200" cy="317500"/>
                <wp:effectExtent l="0" t="0" r="22225" b="31115"/>
                <wp:wrapNone/>
                <wp:docPr id="7287" name="shape7287"/>
                <wp:cNvGraphicFramePr/>
                <a:graphic>
                  <a:graphicData uri="http://schemas.microsoft.com/office/word/2010/wordprocessingShape">
                    <wps:wsp>
                      <wps:cNvSpPr/>
                      <wps:spPr>
                        <a:xfrm>
                          <a:off x="0" y="0"/>
                          <a:ext cx="1092200" cy="317500"/>
                        </a:xfrm>
                        <a:prstGeom prst="rect">
                          <a:avLst/>
                        </a:prstGeom>
                        <a:ln>
                          <a:solidFill>
                            <a:srgbClr val="404040"/>
                          </a:solidFill>
                        </a:ln>
                      </wps:spPr>
                      <wps:txbx>
                        <w:txbxContent>
                          <w:p>
                            <w:pPr>
                              <w:spacing w:line="-340" w:lineRule="exact"/>
                              <w:ind w:left="0"/>
                              <w:jc w:val="both"/>
                            </w:pPr>
                            <w:r>
                              <w:rPr>
                                <w:rFonts w:hint="eastAsia" w:ascii="宋体" w:hAnsi="宋体" w:eastAsia="宋体" w:cs="宋体"/>
                                <w:w w:val="99"/>
                                <w:sz w:val="25"/>
                              </w:rPr>
                              <w:t>项目计划策划</w:t>
                            </w:r>
                          </w:p>
                        </w:txbxContent>
                      </wps:txbx>
                      <wps:bodyPr rot="0" spcFirstLastPara="false" vertOverflow="overflow" horzOverflow="overflow" vert="horz" wrap="square" lIns="508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25pt;margin-left:236pt;margin-top:373pt;mso-wrap-style:square;z-index:10268432;mso-wrap-distance-left:9pt;mso-wrap-distance-top:0pt;mso-wrap-distance-right:9pt;mso-wrap-distance-bottom:0pt" id="shape7287" o:spid="1618382352402" stroked="t" strokecolor="#404040" strokeweight="1pt">
                <v:textbox>
                  <w:txbxContent>
                    <w:p>
                      <w:pPr>
                        <w:spacing w:line="-340" w:lineRule="exact"/>
                        <w:ind w:left="0"/>
                        <w:jc w:val="both"/>
                      </w:pPr>
                      <w:r>
                        <w:rPr>
                          <w:rFonts w:hint="eastAsia" w:ascii="宋体" w:hAnsi="宋体" w:eastAsia="宋体" w:cs="宋体"/>
                          <w:w w:val="99"/>
                          <w:sz w:val="25"/>
                        </w:rPr>
                        <w:t>项目计划策划</w:t>
                      </w:r>
                    </w:p>
                  </w:txbxContent>
                </v:textbox>
              </v:rect>
            </w:pict>
          </mc:Fallback>
        </mc:AlternateContent>
      </w:r>
      <w:r>
        <mc:AlternateContent>
          <mc:Choice Requires="wps">
            <w:drawing>
              <wp:anchor distT="0" distB="0" distL="114300" distR="114300" simplePos="false" relativeHeight="10264336" behindDoc="true" locked="false" layoutInCell="true" allowOverlap="true">
                <wp:simplePos x="0" y="0"/>
                <wp:positionH relativeFrom="page">
                  <wp:posOffset>3175000</wp:posOffset>
                </wp:positionH>
                <wp:positionV relativeFrom="page">
                  <wp:posOffset>2603500</wp:posOffset>
                </wp:positionV>
                <wp:extent cx="736600" cy="317500"/>
                <wp:effectExtent l="0" t="0" r="22225" b="31115"/>
                <wp:wrapNone/>
                <wp:docPr id="7283" name="shape7283"/>
                <wp:cNvGraphicFramePr/>
                <a:graphic>
                  <a:graphicData uri="http://schemas.microsoft.com/office/word/2010/wordprocessingShape">
                    <wps:wsp>
                      <wps:cNvSpPr/>
                      <wps:spPr>
                        <a:xfrm>
                          <a:off x="0" y="0"/>
                          <a:ext cx="736600" cy="317500"/>
                        </a:xfrm>
                        <a:prstGeom prst="rect">
                          <a:avLst/>
                        </a:prstGeom>
                        <a:ln>
                          <a:solidFill>
                            <a:srgbClr val="404040"/>
                          </a:solidFill>
                        </a:ln>
                      </wps:spPr>
                      <wps:txbx>
                        <w:txbxContent>
                          <w:p>
                            <w:pPr>
                              <w:spacing w:line="-360" w:lineRule="exact"/>
                              <w:ind w:left="0"/>
                              <w:jc w:val="both"/>
                            </w:pPr>
                            <w:r>
                              <w:rPr>
                                <w:rFonts w:hint="eastAsia" w:ascii="宋体" w:hAnsi="宋体" w:eastAsia="宋体" w:cs="宋体"/>
                                <w:w w:val="99"/>
                                <w:sz w:val="25"/>
                              </w:rPr>
                              <w:t>方案设计</w:t>
                            </w:r>
                          </w:p>
                        </w:txbxContent>
                      </wps:txbx>
                      <wps:bodyPr rot="0" spcFirstLastPara="false" vertOverflow="overflow" horzOverflow="overflow" vert="horz" wrap="square" lIns="381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5pt;margin-left:250pt;margin-top:205pt;mso-wrap-style:square;z-index:10264336;mso-wrap-distance-left:9pt;mso-wrap-distance-top:0pt;mso-wrap-distance-right:9pt;mso-wrap-distance-bottom:0pt" id="shape7283" o:spid="1618382352402" stroked="t" strokecolor="#404040" strokeweight="1pt">
                <v:textbox>
                  <w:txbxContent>
                    <w:p>
                      <w:pPr>
                        <w:spacing w:line="-360" w:lineRule="exact"/>
                        <w:ind w:left="0"/>
                        <w:jc w:val="both"/>
                      </w:pPr>
                      <w:r>
                        <w:rPr>
                          <w:rFonts w:hint="eastAsia" w:ascii="宋体" w:hAnsi="宋体" w:eastAsia="宋体" w:cs="宋体"/>
                          <w:w w:val="99"/>
                          <w:sz w:val="25"/>
                        </w:rPr>
                        <w:t>方案设计</w:t>
                      </w:r>
                    </w:p>
                  </w:txbxContent>
                </v:textbox>
              </v:rect>
            </w:pict>
          </mc:Fallback>
        </mc:AlternateContent>
      </w:r>
      <w:r>
        <mc:AlternateContent>
          <mc:Choice Requires="wps">
            <w:drawing>
              <wp:anchor distT="0" distB="0" distL="114300" distR="114300" simplePos="false" relativeHeight="10260240" behindDoc="true" locked="false" layoutInCell="true" allowOverlap="true">
                <wp:simplePos x="0" y="0"/>
                <wp:positionH relativeFrom="page">
                  <wp:posOffset>3175000</wp:posOffset>
                </wp:positionH>
                <wp:positionV relativeFrom="page">
                  <wp:posOffset>1460500</wp:posOffset>
                </wp:positionV>
                <wp:extent cx="736600" cy="304800"/>
                <wp:effectExtent l="0" t="0" r="22225" b="31115"/>
                <wp:wrapNone/>
                <wp:docPr id="7279" name="shape7279"/>
                <wp:cNvGraphicFramePr/>
                <a:graphic>
                  <a:graphicData uri="http://schemas.microsoft.com/office/word/2010/wordprocessingShape">
                    <wps:wsp>
                      <wps:cNvSpPr/>
                      <wps:spPr>
                        <a:xfrm>
                          <a:off x="0" y="0"/>
                          <a:ext cx="736600" cy="304800"/>
                        </a:xfrm>
                        <a:prstGeom prst="rect">
                          <a:avLst/>
                        </a:prstGeom>
                        <a:ln>
                          <a:solidFill>
                            <a:srgbClr val="404040"/>
                          </a:solidFill>
                        </a:ln>
                      </wps:spPr>
                      <wps:txbx>
                        <w:txbxContent>
                          <w:p>
                            <w:pPr>
                              <w:spacing w:line="-340" w:lineRule="exact"/>
                              <w:ind w:left="0"/>
                              <w:jc w:val="both"/>
                            </w:pPr>
                            <w:r>
                              <w:rPr>
                                <w:rFonts w:hint="eastAsia" w:ascii="宋体" w:hAnsi="宋体" w:eastAsia="宋体" w:cs="宋体"/>
                                <w:w w:val="99"/>
                                <w:sz w:val="25"/>
                              </w:rPr>
                              <w:t>客户需求</w:t>
                            </w:r>
                          </w:p>
                        </w:txbxContent>
                      </wps:txbx>
                      <wps:bodyPr rot="0" spcFirstLastPara="false" vertOverflow="overflow" horzOverflow="overflow" vert="horz" wrap="square" lIns="381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4pt;margin-left:250pt;margin-top:115pt;mso-wrap-style:square;z-index:10260240;mso-wrap-distance-left:9pt;mso-wrap-distance-top:0pt;mso-wrap-distance-right:9pt;mso-wrap-distance-bottom:0pt" id="shape7279" o:spid="1618382352402" stroked="t" strokecolor="#404040" strokeweight="1pt">
                <v:textbox>
                  <w:txbxContent>
                    <w:p>
                      <w:pPr>
                        <w:spacing w:line="-340" w:lineRule="exact"/>
                        <w:ind w:left="0"/>
                        <w:jc w:val="both"/>
                      </w:pPr>
                      <w:r>
                        <w:rPr>
                          <w:rFonts w:hint="eastAsia" w:ascii="宋体" w:hAnsi="宋体" w:eastAsia="宋体" w:cs="宋体"/>
                          <w:w w:val="99"/>
                          <w:sz w:val="25"/>
                        </w:rPr>
                        <w:t>客户需求</w:t>
                      </w:r>
                    </w:p>
                  </w:txbxContent>
                </v:textbox>
              </v:rect>
            </w:pict>
          </mc:Fallback>
        </mc:AlternateContent>
      </w:r>
      <w:r>
        <mc:AlternateContent>
          <mc:Choice Requires="wps">
            <w:drawing>
              <wp:anchor distT="0" distB="0" distL="114300" distR="114300" simplePos="false" relativeHeight="10411792" behindDoc="true" locked="false" layoutInCell="true" allowOverlap="true">
                <wp:simplePos x="0" y="0"/>
                <wp:positionH relativeFrom="page">
                  <wp:posOffset>965200</wp:posOffset>
                </wp:positionH>
                <wp:positionV relativeFrom="page">
                  <wp:posOffset>2209800</wp:posOffset>
                </wp:positionV>
                <wp:extent cx="292100" cy="825500"/>
                <wp:effectExtent l="0" t="0" r="22225" b="31115"/>
                <wp:wrapNone/>
                <wp:docPr id="7426" name="shape7426"/>
                <wp:cNvGraphicFramePr/>
                <a:graphic>
                  <a:graphicData uri="http://schemas.microsoft.com/office/word/2010/wordprocessingShape">
                    <wps:wsp>
                      <wps:cNvSpPr/>
                      <wps:spPr>
                        <a:xfrm>
                          <a:off x="0" y="0"/>
                          <a:ext cx="292100" cy="825500"/>
                        </a:xfrm>
                        <a:prstGeom prst="rect">
                          <a:avLst/>
                        </a:prstGeom>
                      </wps:spPr>
                      <wps:txbx>
                        <w:txbxContent>
                          <w:p>
                            <w:pPr>
                              <w:spacing w:line="-240" w:lineRule="exact"/>
                              <w:ind w:left="0"/>
                              <w:jc w:val="both"/>
                            </w:pPr>
                            <w:r>
                              <w:rPr>
                                <w:rFonts w:hint="eastAsia" w:ascii="宋体" w:hAnsi="宋体" w:eastAsia="宋体" w:cs="宋体"/>
                                <w:b/>
                                <w:w w:val="99"/>
                                <w:sz w:val="25"/>
                              </w:rPr>
                              <w:t>立</w:t>
                            </w:r>
                          </w:p>
                          <w:p>
                            <w:pPr>
                              <w:spacing w:line="320" w:lineRule="exact"/>
                              <w:ind w:left="0"/>
                              <w:jc w:val="both"/>
                            </w:pPr>
                            <w:r>
                              <w:rPr>
                                <w:rFonts w:hint="eastAsia" w:ascii="宋体" w:hAnsi="宋体" w:eastAsia="宋体" w:cs="宋体"/>
                                <w:b/>
                                <w:w w:val="99"/>
                                <w:sz w:val="25"/>
                              </w:rPr>
                              <w:t>项</w:t>
                            </w:r>
                          </w:p>
                          <w:p>
                            <w:pPr>
                              <w:spacing w:line="300" w:lineRule="exact"/>
                              <w:ind w:left="0"/>
                              <w:jc w:val="both"/>
                            </w:pPr>
                            <w:r>
                              <w:rPr>
                                <w:rFonts w:hint="eastAsia" w:ascii="宋体" w:hAnsi="宋体" w:eastAsia="宋体" w:cs="宋体"/>
                                <w:b/>
                                <w:w w:val="99"/>
                                <w:sz w:val="25"/>
                              </w:rPr>
                              <w:t>阶</w:t>
                            </w:r>
                          </w:p>
                          <w:p>
                            <w:pPr>
                              <w:spacing w:line="340" w:lineRule="exact"/>
                              <w:ind w:left="0"/>
                              <w:jc w:val="both"/>
                            </w:pPr>
                            <w:r>
                              <w:rPr>
                                <w:rFonts w:hint="eastAsia" w:ascii="宋体" w:hAnsi="宋体" w:eastAsia="宋体" w:cs="宋体"/>
                                <w:b/>
                                <w:w w:val="99"/>
                                <w:sz w:val="25"/>
                              </w:rPr>
                              <w:t>段</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3pt;height:65pt;margin-left:76pt;margin-top:174pt;mso-wrap-style:none;z-index:10411792;mso-wrap-distance-left:9pt;mso-wrap-distance-top:0pt;mso-wrap-distance-right:9pt;mso-wrap-distance-bottom:0pt" id="shape7426" o:spid="1618382352403" stroked="f">
                <v:textbox>
                  <w:txbxContent>
                    <w:p>
                      <w:pPr>
                        <w:spacing w:line="-240" w:lineRule="exact"/>
                        <w:ind w:left="0"/>
                        <w:jc w:val="both"/>
                      </w:pPr>
                      <w:r>
                        <w:rPr>
                          <w:rFonts w:hint="eastAsia" w:ascii="宋体" w:hAnsi="宋体" w:eastAsia="宋体" w:cs="宋体"/>
                          <w:b/>
                          <w:w w:val="99"/>
                          <w:sz w:val="25"/>
                        </w:rPr>
                        <w:t>立</w:t>
                      </w:r>
                    </w:p>
                    <w:p>
                      <w:pPr>
                        <w:spacing w:line="320" w:lineRule="exact"/>
                        <w:ind w:left="0"/>
                        <w:jc w:val="both"/>
                      </w:pPr>
                      <w:r>
                        <w:rPr>
                          <w:rFonts w:hint="eastAsia" w:ascii="宋体" w:hAnsi="宋体" w:eastAsia="宋体" w:cs="宋体"/>
                          <w:b/>
                          <w:w w:val="99"/>
                          <w:sz w:val="25"/>
                        </w:rPr>
                        <w:t>项</w:t>
                      </w:r>
                    </w:p>
                    <w:p>
                      <w:pPr>
                        <w:spacing w:line="300" w:lineRule="exact"/>
                        <w:ind w:left="0"/>
                        <w:jc w:val="both"/>
                      </w:pPr>
                      <w:r>
                        <w:rPr>
                          <w:rFonts w:hint="eastAsia" w:ascii="宋体" w:hAnsi="宋体" w:eastAsia="宋体" w:cs="宋体"/>
                          <w:b/>
                          <w:w w:val="99"/>
                          <w:sz w:val="25"/>
                        </w:rPr>
                        <w:t>阶</w:t>
                      </w:r>
                    </w:p>
                    <w:p>
                      <w:pPr>
                        <w:spacing w:line="340" w:lineRule="exact"/>
                        <w:ind w:left="0"/>
                        <w:jc w:val="both"/>
                      </w:pPr>
                      <w:r>
                        <w:rPr>
                          <w:rFonts w:hint="eastAsia" w:ascii="宋体" w:hAnsi="宋体" w:eastAsia="宋体" w:cs="宋体"/>
                          <w:b/>
                          <w:w w:val="99"/>
                          <w:sz w:val="25"/>
                        </w:rPr>
                        <w:t>段</w:t>
                      </w:r>
                    </w:p>
                  </w:txbxContent>
                </v:textbox>
              </v:rect>
            </w:pict>
          </mc:Fallback>
        </mc:AlternateContent>
      </w:r>
      <w:r>
        <mc:AlternateContent>
          <mc:Choice Requires="wps">
            <w:drawing>
              <wp:anchor distT="0" distB="0" distL="114300" distR="114300" simplePos="false" relativeHeight="10412816" behindDoc="true" locked="false" layoutInCell="true" allowOverlap="true">
                <wp:simplePos x="0" y="0"/>
                <wp:positionH relativeFrom="page">
                  <wp:posOffset>952500</wp:posOffset>
                </wp:positionH>
                <wp:positionV relativeFrom="page">
                  <wp:posOffset>5638800</wp:posOffset>
                </wp:positionV>
                <wp:extent cx="292100" cy="825500"/>
                <wp:effectExtent l="0" t="0" r="22225" b="31115"/>
                <wp:wrapNone/>
                <wp:docPr id="7427" name="shape7427"/>
                <wp:cNvGraphicFramePr/>
                <a:graphic>
                  <a:graphicData uri="http://schemas.microsoft.com/office/word/2010/wordprocessingShape">
                    <wps:wsp>
                      <wps:cNvSpPr/>
                      <wps:spPr>
                        <a:xfrm>
                          <a:off x="0" y="0"/>
                          <a:ext cx="292100" cy="825500"/>
                        </a:xfrm>
                        <a:prstGeom prst="rect">
                          <a:avLst/>
                        </a:prstGeom>
                      </wps:spPr>
                      <wps:txbx>
                        <w:txbxContent>
                          <w:p>
                            <w:pPr>
                              <w:spacing w:line="-260" w:lineRule="exact"/>
                              <w:ind w:left="0"/>
                              <w:jc w:val="both"/>
                            </w:pPr>
                            <w:r>
                              <w:rPr>
                                <w:rFonts w:hint="eastAsia" w:ascii="宋体" w:hAnsi="宋体" w:eastAsia="宋体" w:cs="宋体"/>
                                <w:b/>
                                <w:w w:val="99"/>
                                <w:sz w:val="25"/>
                              </w:rPr>
                              <w:t>实</w:t>
                            </w:r>
                          </w:p>
                          <w:p>
                            <w:pPr>
                              <w:spacing w:line="300" w:lineRule="exact"/>
                              <w:ind w:left="0"/>
                              <w:jc w:val="both"/>
                            </w:pPr>
                            <w:r>
                              <w:rPr>
                                <w:rFonts w:hint="eastAsia" w:ascii="宋体" w:hAnsi="宋体" w:eastAsia="宋体" w:cs="宋体"/>
                                <w:b/>
                                <w:w w:val="99"/>
                                <w:sz w:val="25"/>
                              </w:rPr>
                              <w:t>施</w:t>
                            </w:r>
                          </w:p>
                          <w:p>
                            <w:pPr>
                              <w:spacing w:line="320" w:lineRule="exact"/>
                              <w:ind w:left="0"/>
                              <w:jc w:val="both"/>
                            </w:pPr>
                            <w:r>
                              <w:rPr>
                                <w:rFonts w:hint="eastAsia" w:ascii="宋体" w:hAnsi="宋体" w:eastAsia="宋体" w:cs="宋体"/>
                                <w:b/>
                                <w:w w:val="99"/>
                                <w:sz w:val="25"/>
                              </w:rPr>
                              <w:t>阶</w:t>
                            </w:r>
                          </w:p>
                          <w:p>
                            <w:pPr>
                              <w:spacing w:line="320" w:lineRule="exact"/>
                              <w:ind w:left="0"/>
                              <w:jc w:val="both"/>
                            </w:pPr>
                            <w:r>
                              <w:rPr>
                                <w:rFonts w:hint="eastAsia" w:ascii="宋体" w:hAnsi="宋体" w:eastAsia="宋体" w:cs="宋体"/>
                                <w:b/>
                                <w:w w:val="99"/>
                                <w:sz w:val="25"/>
                              </w:rPr>
                              <w:t>段</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3pt;height:65pt;margin-left:75pt;margin-top:444pt;mso-wrap-style:none;z-index:10412816;mso-wrap-distance-left:9pt;mso-wrap-distance-top:0pt;mso-wrap-distance-right:9pt;mso-wrap-distance-bottom:0pt" id="shape7427" o:spid="1618382352403" stroked="f">
                <v:textbox>
                  <w:txbxContent>
                    <w:p>
                      <w:pPr>
                        <w:spacing w:line="-260" w:lineRule="exact"/>
                        <w:ind w:left="0"/>
                        <w:jc w:val="both"/>
                      </w:pPr>
                      <w:r>
                        <w:rPr>
                          <w:rFonts w:hint="eastAsia" w:ascii="宋体" w:hAnsi="宋体" w:eastAsia="宋体" w:cs="宋体"/>
                          <w:b/>
                          <w:w w:val="99"/>
                          <w:sz w:val="25"/>
                        </w:rPr>
                        <w:t>实</w:t>
                      </w:r>
                    </w:p>
                    <w:p>
                      <w:pPr>
                        <w:spacing w:line="300" w:lineRule="exact"/>
                        <w:ind w:left="0"/>
                        <w:jc w:val="both"/>
                      </w:pPr>
                      <w:r>
                        <w:rPr>
                          <w:rFonts w:hint="eastAsia" w:ascii="宋体" w:hAnsi="宋体" w:eastAsia="宋体" w:cs="宋体"/>
                          <w:b/>
                          <w:w w:val="99"/>
                          <w:sz w:val="25"/>
                        </w:rPr>
                        <w:t>施</w:t>
                      </w:r>
                    </w:p>
                    <w:p>
                      <w:pPr>
                        <w:spacing w:line="320" w:lineRule="exact"/>
                        <w:ind w:left="0"/>
                        <w:jc w:val="both"/>
                      </w:pPr>
                      <w:r>
                        <w:rPr>
                          <w:rFonts w:hint="eastAsia" w:ascii="宋体" w:hAnsi="宋体" w:eastAsia="宋体" w:cs="宋体"/>
                          <w:b/>
                          <w:w w:val="99"/>
                          <w:sz w:val="25"/>
                        </w:rPr>
                        <w:t>阶</w:t>
                      </w:r>
                    </w:p>
                    <w:p>
                      <w:pPr>
                        <w:spacing w:line="320" w:lineRule="exact"/>
                        <w:ind w:left="0"/>
                        <w:jc w:val="both"/>
                      </w:pPr>
                      <w:r>
                        <w:rPr>
                          <w:rFonts w:hint="eastAsia" w:ascii="宋体" w:hAnsi="宋体" w:eastAsia="宋体" w:cs="宋体"/>
                          <w:b/>
                          <w:w w:val="99"/>
                          <w:sz w:val="25"/>
                        </w:rPr>
                        <w:t>段</w:t>
                      </w:r>
                    </w:p>
                  </w:txbxContent>
                </v:textbox>
              </v:rect>
            </w:pict>
          </mc:Fallback>
        </mc:AlternateContent>
      </w:r>
      <w:r>
        <mc:AlternateContent>
          <mc:Choice Requires="wps">
            <w:drawing>
              <wp:anchor distT="0" distB="0" distL="114300" distR="114300" simplePos="false" relativeHeight="10413840" behindDoc="true" locked="false" layoutInCell="true" allowOverlap="true">
                <wp:simplePos x="0" y="0"/>
                <wp:positionH relativeFrom="page">
                  <wp:posOffset>965200</wp:posOffset>
                </wp:positionH>
                <wp:positionV relativeFrom="page">
                  <wp:posOffset>7988300</wp:posOffset>
                </wp:positionV>
                <wp:extent cx="292100" cy="812800"/>
                <wp:effectExtent l="0" t="0" r="22225" b="31115"/>
                <wp:wrapNone/>
                <wp:docPr id="7428" name="shape7428"/>
                <wp:cNvGraphicFramePr/>
                <a:graphic>
                  <a:graphicData uri="http://schemas.microsoft.com/office/word/2010/wordprocessingShape">
                    <wps:wsp>
                      <wps:cNvSpPr/>
                      <wps:spPr>
                        <a:xfrm>
                          <a:off x="0" y="0"/>
                          <a:ext cx="292100" cy="812800"/>
                        </a:xfrm>
                        <a:prstGeom prst="rect">
                          <a:avLst/>
                        </a:prstGeom>
                      </wps:spPr>
                      <wps:txbx>
                        <w:txbxContent>
                          <w:p>
                            <w:pPr>
                              <w:spacing w:line="-240" w:lineRule="exact"/>
                              <w:ind w:left="0"/>
                              <w:jc w:val="both"/>
                            </w:pPr>
                            <w:r>
                              <w:rPr>
                                <w:rFonts w:hint="eastAsia" w:ascii="宋体" w:hAnsi="宋体" w:eastAsia="宋体" w:cs="宋体"/>
                                <w:b/>
                                <w:w w:val="99"/>
                                <w:sz w:val="25"/>
                              </w:rPr>
                              <w:t>验</w:t>
                            </w:r>
                          </w:p>
                          <w:p>
                            <w:pPr>
                              <w:spacing w:line="300" w:lineRule="exact"/>
                              <w:ind w:left="0"/>
                              <w:jc w:val="both"/>
                            </w:pPr>
                            <w:r>
                              <w:rPr>
                                <w:rFonts w:hint="eastAsia" w:ascii="宋体" w:hAnsi="宋体" w:eastAsia="宋体" w:cs="宋体"/>
                                <w:b/>
                                <w:w w:val="99"/>
                                <w:sz w:val="25"/>
                              </w:rPr>
                              <w:t>收</w:t>
                            </w:r>
                          </w:p>
                          <w:p>
                            <w:pPr>
                              <w:spacing w:line="320" w:lineRule="exact"/>
                              <w:ind w:left="0"/>
                              <w:jc w:val="both"/>
                            </w:pPr>
                            <w:r>
                              <w:rPr>
                                <w:rFonts w:hint="eastAsia" w:ascii="宋体" w:hAnsi="宋体" w:eastAsia="宋体" w:cs="宋体"/>
                                <w:b/>
                                <w:w w:val="99"/>
                                <w:sz w:val="25"/>
                              </w:rPr>
                              <w:t>阶</w:t>
                            </w:r>
                          </w:p>
                          <w:p>
                            <w:pPr>
                              <w:spacing w:line="320" w:lineRule="exact"/>
                              <w:ind w:left="0"/>
                              <w:jc w:val="both"/>
                            </w:pPr>
                            <w:r>
                              <w:rPr>
                                <w:rFonts w:hint="eastAsia" w:ascii="宋体" w:hAnsi="宋体" w:eastAsia="宋体" w:cs="宋体"/>
                                <w:b/>
                                <w:w w:val="99"/>
                                <w:sz w:val="25"/>
                              </w:rPr>
                              <w:t>段</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3pt;height:64pt;margin-left:76pt;margin-top:629pt;mso-wrap-style:none;z-index:10413840;mso-wrap-distance-left:9pt;mso-wrap-distance-top:0pt;mso-wrap-distance-right:9pt;mso-wrap-distance-bottom:0pt" id="shape7428" o:spid="1618382352404" stroked="f">
                <v:textbox>
                  <w:txbxContent>
                    <w:p>
                      <w:pPr>
                        <w:spacing w:line="-240" w:lineRule="exact"/>
                        <w:ind w:left="0"/>
                        <w:jc w:val="both"/>
                      </w:pPr>
                      <w:r>
                        <w:rPr>
                          <w:rFonts w:hint="eastAsia" w:ascii="宋体" w:hAnsi="宋体" w:eastAsia="宋体" w:cs="宋体"/>
                          <w:b/>
                          <w:w w:val="99"/>
                          <w:sz w:val="25"/>
                        </w:rPr>
                        <w:t>验</w:t>
                      </w:r>
                    </w:p>
                    <w:p>
                      <w:pPr>
                        <w:spacing w:line="300" w:lineRule="exact"/>
                        <w:ind w:left="0"/>
                        <w:jc w:val="both"/>
                      </w:pPr>
                      <w:r>
                        <w:rPr>
                          <w:rFonts w:hint="eastAsia" w:ascii="宋体" w:hAnsi="宋体" w:eastAsia="宋体" w:cs="宋体"/>
                          <w:b/>
                          <w:w w:val="99"/>
                          <w:sz w:val="25"/>
                        </w:rPr>
                        <w:t>收</w:t>
                      </w:r>
                    </w:p>
                    <w:p>
                      <w:pPr>
                        <w:spacing w:line="320" w:lineRule="exact"/>
                        <w:ind w:left="0"/>
                        <w:jc w:val="both"/>
                      </w:pPr>
                      <w:r>
                        <w:rPr>
                          <w:rFonts w:hint="eastAsia" w:ascii="宋体" w:hAnsi="宋体" w:eastAsia="宋体" w:cs="宋体"/>
                          <w:b/>
                          <w:w w:val="99"/>
                          <w:sz w:val="25"/>
                        </w:rPr>
                        <w:t>阶</w:t>
                      </w:r>
                    </w:p>
                    <w:p>
                      <w:pPr>
                        <w:spacing w:line="320" w:lineRule="exact"/>
                        <w:ind w:left="0"/>
                        <w:jc w:val="both"/>
                      </w:pPr>
                      <w:r>
                        <w:rPr>
                          <w:rFonts w:hint="eastAsia" w:ascii="宋体" w:hAnsi="宋体" w:eastAsia="宋体" w:cs="宋体"/>
                          <w:b/>
                          <w:w w:val="99"/>
                          <w:sz w:val="25"/>
                        </w:rPr>
                        <w:t>段</w:t>
                      </w:r>
                    </w:p>
                  </w:txbxContent>
                </v:textbox>
              </v:rect>
            </w:pict>
          </mc:Fallback>
        </mc:AlternateContent>
      </w:r>
      <w:r>
        <mc:AlternateContent>
          <mc:Choice Requires="wps">
            <w:drawing>
              <wp:anchor distT="0" distB="0" distL="114300" distR="114300" simplePos="false" relativeHeight="10414864" behindDoc="true" locked="false" layoutInCell="true" allowOverlap="true">
                <wp:simplePos x="0" y="0"/>
                <wp:positionH relativeFrom="page">
                  <wp:posOffset>1320800</wp:posOffset>
                </wp:positionH>
                <wp:positionV relativeFrom="page">
                  <wp:posOffset>9182100</wp:posOffset>
                </wp:positionV>
                <wp:extent cx="457200" cy="228600"/>
                <wp:effectExtent l="0" t="0" r="22225" b="31115"/>
                <wp:wrapNone/>
                <wp:docPr id="7429" name="shape7429"/>
                <wp:cNvGraphicFramePr/>
                <a:graphic>
                  <a:graphicData uri="http://schemas.microsoft.com/office/word/2010/wordprocessingShape">
                    <wps:wsp>
                      <wps:cNvSpPr/>
                      <wps:spPr>
                        <a:xfrm>
                          <a:off x="0" y="0"/>
                          <a:ext cx="457200" cy="228600"/>
                        </a:xfrm>
                        <a:prstGeom prst="rect">
                          <a:avLst/>
                        </a:prstGeom>
                      </wps:spPr>
                      <wps:txbx>
                        <w:txbxContent>
                          <w:p>
                            <w:pPr>
                              <w:spacing w:line="-260" w:lineRule="exact"/>
                              <w:ind w:left="0"/>
                              <w:jc w:val="both"/>
                            </w:pPr>
                            <w:r>
                              <w:rPr>
                                <w:rFonts w:hint="eastAsia" w:ascii="宋体" w:hAnsi="宋体" w:eastAsia="宋体" w:cs="宋体"/>
                                <w:b/>
                                <w:w w:val="99"/>
                                <w:sz w:val="25"/>
                              </w:rPr>
                              <w:t>阶段</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6pt;height:18pt;margin-left:104pt;margin-top:723pt;mso-wrap-style:none;z-index:10414864;mso-wrap-distance-left:9pt;mso-wrap-distance-top:0pt;mso-wrap-distance-right:9pt;mso-wrap-distance-bottom:0pt" id="shape7429" o:spid="1618382352404" stroked="f">
                <v:textbox>
                  <w:txbxContent>
                    <w:p>
                      <w:pPr>
                        <w:spacing w:line="-260" w:lineRule="exact"/>
                        <w:ind w:left="0"/>
                        <w:jc w:val="both"/>
                      </w:pPr>
                      <w:r>
                        <w:rPr>
                          <w:rFonts w:hint="eastAsia" w:ascii="宋体" w:hAnsi="宋体" w:eastAsia="宋体" w:cs="宋体"/>
                          <w:b/>
                          <w:w w:val="99"/>
                          <w:sz w:val="25"/>
                        </w:rPr>
                        <w:t>阶段</w:t>
                      </w:r>
                    </w:p>
                  </w:txbxContent>
                </v:textbox>
              </v:rect>
            </w:pict>
          </mc:Fallback>
        </mc:AlternateContent>
      </w:r>
      <w:r>
        <w:drawing>
          <wp:anchor distT="0" distB="0" distL="114300" distR="114300" simplePos="false" relativeHeight="10255120" behindDoc="true" locked="false" layoutInCell="true" allowOverlap="true">
            <wp:simplePos x="0" y="0"/>
            <wp:positionH relativeFrom="page">
              <wp:posOffset>3276600</wp:posOffset>
            </wp:positionH>
            <wp:positionV relativeFrom="page">
              <wp:posOffset>6794500</wp:posOffset>
            </wp:positionV>
            <wp:extent cx="3124200" cy="533400"/>
            <wp:effectExtent l="0" t="0" r="0" b="0"/>
            <wp:wrapNone/>
            <wp:docPr id="7430" name="image7430" descr=""/>
            <wp:cNvGraphicFramePr>
              <a:graphicFrameLocks noChangeAspect="true"/>
            </wp:cNvGraphicFramePr>
            <a:graphic>
              <a:graphicData uri="http://schemas.openxmlformats.org/drawingml/2006/picture">
                <pic:pic>
                  <pic:nvPicPr>
                    <pic:cNvPr id="7430" name="image7430"/>
                    <pic:cNvPicPr/>
                  </pic:nvPicPr>
                  <pic:blipFill>
                    <a:blip r:embed="rId58"/>
                    <a:stretch>
                      <a:fillRect/>
                    </a:stretch>
                  </pic:blipFill>
                  <pic:spPr>
                    <a:xfrm flipV="true">
                      <a:off x="0" y="0"/>
                      <a:ext cx="3124200" cy="533400"/>
                    </a:xfrm>
                    <a:prstGeom prst="rect">
                      <a:avLst/>
                    </a:prstGeom>
                  </pic:spPr>
                </pic:pic>
              </a:graphicData>
            </a:graphic>
          </wp:anchor>
        </w:drawing>
      </w:r>
      <w:r>
        <w:drawing>
          <wp:anchor distT="0" distB="0" distL="114300" distR="114300" simplePos="false" relativeHeight="10259216" behindDoc="true" locked="false" layoutInCell="true" allowOverlap="true">
            <wp:simplePos x="0" y="0"/>
            <wp:positionH relativeFrom="page">
              <wp:posOffset>3175000</wp:posOffset>
            </wp:positionH>
            <wp:positionV relativeFrom="page">
              <wp:posOffset>1460500</wp:posOffset>
            </wp:positionV>
            <wp:extent cx="736600" cy="304800"/>
            <wp:effectExtent l="0" t="0" r="0" b="0"/>
            <wp:wrapNone/>
            <wp:docPr id="7431" name="image7431" descr=""/>
            <wp:cNvGraphicFramePr>
              <a:graphicFrameLocks noChangeAspect="true"/>
            </wp:cNvGraphicFramePr>
            <a:graphic>
              <a:graphicData uri="http://schemas.openxmlformats.org/drawingml/2006/picture">
                <pic:pic>
                  <pic:nvPicPr>
                    <pic:cNvPr id="7431" name="image7431"/>
                    <pic:cNvPicPr/>
                  </pic:nvPicPr>
                  <pic:blipFill>
                    <a:blip r:embed="rId59"/>
                    <a:stretch>
                      <a:fillRect/>
                    </a:stretch>
                  </pic:blipFill>
                  <pic:spPr>
                    <a:xfrm flipV="true">
                      <a:off x="0" y="0"/>
                      <a:ext cx="736600" cy="304800"/>
                    </a:xfrm>
                    <a:prstGeom prst="rect">
                      <a:avLst/>
                    </a:prstGeom>
                  </pic:spPr>
                </pic:pic>
              </a:graphicData>
            </a:graphic>
          </wp:anchor>
        </w:drawing>
      </w:r>
      <w:r>
        <w:drawing>
          <wp:anchor distT="0" distB="0" distL="114300" distR="114300" simplePos="false" relativeHeight="10263312" behindDoc="true" locked="false" layoutInCell="true" allowOverlap="true">
            <wp:simplePos x="0" y="0"/>
            <wp:positionH relativeFrom="page">
              <wp:posOffset>3175000</wp:posOffset>
            </wp:positionH>
            <wp:positionV relativeFrom="page">
              <wp:posOffset>2603500</wp:posOffset>
            </wp:positionV>
            <wp:extent cx="736600" cy="317500"/>
            <wp:effectExtent l="0" t="0" r="0" b="0"/>
            <wp:wrapNone/>
            <wp:docPr id="7432" name="image7432" descr=""/>
            <wp:cNvGraphicFramePr>
              <a:graphicFrameLocks noChangeAspect="true"/>
            </wp:cNvGraphicFramePr>
            <a:graphic>
              <a:graphicData uri="http://schemas.openxmlformats.org/drawingml/2006/picture">
                <pic:pic>
                  <pic:nvPicPr>
                    <pic:cNvPr id="7432" name="image7432"/>
                    <pic:cNvPicPr/>
                  </pic:nvPicPr>
                  <pic:blipFill>
                    <a:blip r:embed="rId60"/>
                    <a:stretch>
                      <a:fillRect/>
                    </a:stretch>
                  </pic:blipFill>
                  <pic:spPr>
                    <a:xfrm flipV="true">
                      <a:off x="0" y="0"/>
                      <a:ext cx="736600" cy="317500"/>
                    </a:xfrm>
                    <a:prstGeom prst="rect">
                      <a:avLst/>
                    </a:prstGeom>
                  </pic:spPr>
                </pic:pic>
              </a:graphicData>
            </a:graphic>
          </wp:anchor>
        </w:drawing>
      </w:r>
      <w:r>
        <w:drawing>
          <wp:anchor distT="0" distB="0" distL="114300" distR="114300" simplePos="false" relativeHeight="10267408" behindDoc="true" locked="false" layoutInCell="true" allowOverlap="true">
            <wp:simplePos x="0" y="0"/>
            <wp:positionH relativeFrom="page">
              <wp:posOffset>2997200</wp:posOffset>
            </wp:positionH>
            <wp:positionV relativeFrom="page">
              <wp:posOffset>4737100</wp:posOffset>
            </wp:positionV>
            <wp:extent cx="1092200" cy="317500"/>
            <wp:effectExtent l="0" t="0" r="0" b="0"/>
            <wp:wrapNone/>
            <wp:docPr id="7433" name="image7433" descr=""/>
            <wp:cNvGraphicFramePr>
              <a:graphicFrameLocks noChangeAspect="true"/>
            </wp:cNvGraphicFramePr>
            <a:graphic>
              <a:graphicData uri="http://schemas.openxmlformats.org/drawingml/2006/picture">
                <pic:pic>
                  <pic:nvPicPr>
                    <pic:cNvPr id="7433" name="image7433"/>
                    <pic:cNvPicPr/>
                  </pic:nvPicPr>
                  <pic:blipFill>
                    <a:blip r:embed="rId61"/>
                    <a:stretch>
                      <a:fillRect/>
                    </a:stretch>
                  </pic:blipFill>
                  <pic:spPr>
                    <a:xfrm flipV="true">
                      <a:off x="0" y="0"/>
                      <a:ext cx="1092200" cy="317500"/>
                    </a:xfrm>
                    <a:prstGeom prst="rect">
                      <a:avLst/>
                    </a:prstGeom>
                  </pic:spPr>
                </pic:pic>
              </a:graphicData>
            </a:graphic>
          </wp:anchor>
        </w:drawing>
      </w:r>
      <w:r>
        <w:drawing>
          <wp:anchor distT="0" distB="0" distL="114300" distR="114300" simplePos="false" relativeHeight="10271504" behindDoc="true" locked="false" layoutInCell="true" allowOverlap="true">
            <wp:simplePos x="0" y="0"/>
            <wp:positionH relativeFrom="page">
              <wp:posOffset>3175000</wp:posOffset>
            </wp:positionH>
            <wp:positionV relativeFrom="page">
              <wp:posOffset>3695700</wp:posOffset>
            </wp:positionV>
            <wp:extent cx="736600" cy="317500"/>
            <wp:effectExtent l="0" t="0" r="0" b="0"/>
            <wp:wrapNone/>
            <wp:docPr id="7434" name="image7434" descr=""/>
            <wp:cNvGraphicFramePr>
              <a:graphicFrameLocks noChangeAspect="true"/>
            </wp:cNvGraphicFramePr>
            <a:graphic>
              <a:graphicData uri="http://schemas.openxmlformats.org/drawingml/2006/picture">
                <pic:pic>
                  <pic:nvPicPr>
                    <pic:cNvPr id="7434" name="image7434"/>
                    <pic:cNvPicPr/>
                  </pic:nvPicPr>
                  <pic:blipFill>
                    <a:blip r:embed="rId62"/>
                    <a:stretch>
                      <a:fillRect/>
                    </a:stretch>
                  </pic:blipFill>
                  <pic:spPr>
                    <a:xfrm flipV="true">
                      <a:off x="0" y="0"/>
                      <a:ext cx="736600" cy="317500"/>
                    </a:xfrm>
                    <a:prstGeom prst="rect">
                      <a:avLst/>
                    </a:prstGeom>
                  </pic:spPr>
                </pic:pic>
              </a:graphicData>
            </a:graphic>
          </wp:anchor>
        </w:drawing>
      </w:r>
      <w:r>
        <w:drawing>
          <wp:anchor distT="0" distB="0" distL="114300" distR="114300" simplePos="false" relativeHeight="10275600" behindDoc="true" locked="false" layoutInCell="true" allowOverlap="true">
            <wp:simplePos x="0" y="0"/>
            <wp:positionH relativeFrom="page">
              <wp:posOffset>3175000</wp:posOffset>
            </wp:positionH>
            <wp:positionV relativeFrom="page">
              <wp:posOffset>3187700</wp:posOffset>
            </wp:positionV>
            <wp:extent cx="736600" cy="317500"/>
            <wp:effectExtent l="0" t="0" r="0" b="0"/>
            <wp:wrapNone/>
            <wp:docPr id="7435" name="image7435" descr=""/>
            <wp:cNvGraphicFramePr>
              <a:graphicFrameLocks noChangeAspect="true"/>
            </wp:cNvGraphicFramePr>
            <a:graphic>
              <a:graphicData uri="http://schemas.openxmlformats.org/drawingml/2006/picture">
                <pic:pic>
                  <pic:nvPicPr>
                    <pic:cNvPr id="7435" name="image7435"/>
                    <pic:cNvPicPr/>
                  </pic:nvPicPr>
                  <pic:blipFill>
                    <a:blip r:embed="rId63"/>
                    <a:stretch>
                      <a:fillRect/>
                    </a:stretch>
                  </pic:blipFill>
                  <pic:spPr>
                    <a:xfrm flipV="true">
                      <a:off x="0" y="0"/>
                      <a:ext cx="736600" cy="317500"/>
                    </a:xfrm>
                    <a:prstGeom prst="rect">
                      <a:avLst/>
                    </a:prstGeom>
                  </pic:spPr>
                </pic:pic>
              </a:graphicData>
            </a:graphic>
          </wp:anchor>
        </w:drawing>
      </w:r>
      <w:r>
        <w:drawing>
          <wp:anchor distT="0" distB="0" distL="114300" distR="114300" simplePos="false" relativeHeight="10279696" behindDoc="true" locked="false" layoutInCell="true" allowOverlap="true">
            <wp:simplePos x="0" y="0"/>
            <wp:positionH relativeFrom="page">
              <wp:posOffset>4013200</wp:posOffset>
            </wp:positionH>
            <wp:positionV relativeFrom="page">
              <wp:posOffset>5283200</wp:posOffset>
            </wp:positionV>
            <wp:extent cx="1358900" cy="317500"/>
            <wp:effectExtent l="0" t="0" r="0" b="0"/>
            <wp:wrapNone/>
            <wp:docPr id="7436" name="image7436" descr=""/>
            <wp:cNvGraphicFramePr>
              <a:graphicFrameLocks noChangeAspect="true"/>
            </wp:cNvGraphicFramePr>
            <a:graphic>
              <a:graphicData uri="http://schemas.openxmlformats.org/drawingml/2006/picture">
                <pic:pic>
                  <pic:nvPicPr>
                    <pic:cNvPr id="7436" name="image7436"/>
                    <pic:cNvPicPr/>
                  </pic:nvPicPr>
                  <pic:blipFill>
                    <a:blip r:embed="rId64"/>
                    <a:stretch>
                      <a:fillRect/>
                    </a:stretch>
                  </pic:blipFill>
                  <pic:spPr>
                    <a:xfrm flipV="true">
                      <a:off x="0" y="0"/>
                      <a:ext cx="1358900" cy="317500"/>
                    </a:xfrm>
                    <a:prstGeom prst="rect">
                      <a:avLst/>
                    </a:prstGeom>
                  </pic:spPr>
                </pic:pic>
              </a:graphicData>
            </a:graphic>
          </wp:anchor>
        </w:drawing>
      </w:r>
      <w:r>
        <w:drawing>
          <wp:anchor distT="0" distB="0" distL="114300" distR="114300" simplePos="false" relativeHeight="10283792" behindDoc="true" locked="false" layoutInCell="true" allowOverlap="true">
            <wp:simplePos x="0" y="0"/>
            <wp:positionH relativeFrom="page">
              <wp:posOffset>5499100</wp:posOffset>
            </wp:positionH>
            <wp:positionV relativeFrom="page">
              <wp:posOffset>6845300</wp:posOffset>
            </wp:positionV>
            <wp:extent cx="736600" cy="444500"/>
            <wp:effectExtent l="0" t="0" r="0" b="0"/>
            <wp:wrapNone/>
            <wp:docPr id="7437" name="image7437" descr=""/>
            <wp:cNvGraphicFramePr>
              <a:graphicFrameLocks noChangeAspect="true"/>
            </wp:cNvGraphicFramePr>
            <a:graphic>
              <a:graphicData uri="http://schemas.openxmlformats.org/drawingml/2006/picture">
                <pic:pic>
                  <pic:nvPicPr>
                    <pic:cNvPr id="7437" name="image7437"/>
                    <pic:cNvPicPr/>
                  </pic:nvPicPr>
                  <pic:blipFill>
                    <a:blip r:embed="rId65"/>
                    <a:stretch>
                      <a:fillRect/>
                    </a:stretch>
                  </pic:blipFill>
                  <pic:spPr>
                    <a:xfrm flipV="true">
                      <a:off x="0" y="0"/>
                      <a:ext cx="736600" cy="444500"/>
                    </a:xfrm>
                    <a:prstGeom prst="rect">
                      <a:avLst/>
                    </a:prstGeom>
                  </pic:spPr>
                </pic:pic>
              </a:graphicData>
            </a:graphic>
          </wp:anchor>
        </w:drawing>
      </w:r>
      <w:r>
        <w:drawing>
          <wp:anchor distT="0" distB="0" distL="114300" distR="114300" simplePos="false" relativeHeight="10287888" behindDoc="true" locked="false" layoutInCell="true" allowOverlap="true">
            <wp:simplePos x="0" y="0"/>
            <wp:positionH relativeFrom="page">
              <wp:posOffset>3073400</wp:posOffset>
            </wp:positionH>
            <wp:positionV relativeFrom="page">
              <wp:posOffset>8001000</wp:posOffset>
            </wp:positionV>
            <wp:extent cx="952500" cy="317500"/>
            <wp:effectExtent l="0" t="0" r="0" b="0"/>
            <wp:wrapNone/>
            <wp:docPr id="7438" name="image7438" descr=""/>
            <wp:cNvGraphicFramePr>
              <a:graphicFrameLocks noChangeAspect="true"/>
            </wp:cNvGraphicFramePr>
            <a:graphic>
              <a:graphicData uri="http://schemas.openxmlformats.org/drawingml/2006/picture">
                <pic:pic>
                  <pic:nvPicPr>
                    <pic:cNvPr id="7438" name="image7438"/>
                    <pic:cNvPicPr/>
                  </pic:nvPicPr>
                  <pic:blipFill>
                    <a:blip r:embed="rId66"/>
                    <a:stretch>
                      <a:fillRect/>
                    </a:stretch>
                  </pic:blipFill>
                  <pic:spPr>
                    <a:xfrm flipV="true">
                      <a:off x="0" y="0"/>
                      <a:ext cx="952500" cy="317500"/>
                    </a:xfrm>
                    <a:prstGeom prst="rect">
                      <a:avLst/>
                    </a:prstGeom>
                  </pic:spPr>
                </pic:pic>
              </a:graphicData>
            </a:graphic>
          </wp:anchor>
        </w:drawing>
      </w:r>
      <w:r>
        <w:drawing>
          <wp:anchor distT="0" distB="0" distL="114300" distR="114300" simplePos="false" relativeHeight="10291984" behindDoc="true" locked="false" layoutInCell="true" allowOverlap="true">
            <wp:simplePos x="0" y="0"/>
            <wp:positionH relativeFrom="page">
              <wp:posOffset>3073400</wp:posOffset>
            </wp:positionH>
            <wp:positionV relativeFrom="page">
              <wp:posOffset>8547100</wp:posOffset>
            </wp:positionV>
            <wp:extent cx="952500" cy="304800"/>
            <wp:effectExtent l="0" t="0" r="0" b="0"/>
            <wp:wrapNone/>
            <wp:docPr id="7439" name="image7439" descr=""/>
            <wp:cNvGraphicFramePr>
              <a:graphicFrameLocks noChangeAspect="true"/>
            </wp:cNvGraphicFramePr>
            <a:graphic>
              <a:graphicData uri="http://schemas.openxmlformats.org/drawingml/2006/picture">
                <pic:pic>
                  <pic:nvPicPr>
                    <pic:cNvPr id="7439" name="image7439"/>
                    <pic:cNvPicPr/>
                  </pic:nvPicPr>
                  <pic:blipFill>
                    <a:blip r:embed="rId67"/>
                    <a:stretch>
                      <a:fillRect/>
                    </a:stretch>
                  </pic:blipFill>
                  <pic:spPr>
                    <a:xfrm flipV="true">
                      <a:off x="0" y="0"/>
                      <a:ext cx="952500" cy="304800"/>
                    </a:xfrm>
                    <a:prstGeom prst="rect">
                      <a:avLst/>
                    </a:prstGeom>
                  </pic:spPr>
                </pic:pic>
              </a:graphicData>
            </a:graphic>
          </wp:anchor>
        </w:drawing>
      </w:r>
      <w:r>
        <w:drawing>
          <wp:anchor distT="0" distB="0" distL="114300" distR="114300" simplePos="false" relativeHeight="10298128" behindDoc="true" locked="false" layoutInCell="true" allowOverlap="true">
            <wp:simplePos x="0" y="0"/>
            <wp:positionH relativeFrom="page">
              <wp:posOffset>4470400</wp:posOffset>
            </wp:positionH>
            <wp:positionV relativeFrom="page">
              <wp:posOffset>3187700</wp:posOffset>
            </wp:positionV>
            <wp:extent cx="736600" cy="317500"/>
            <wp:effectExtent l="0" t="0" r="0" b="0"/>
            <wp:wrapNone/>
            <wp:docPr id="7440" name="image7440" descr=""/>
            <wp:cNvGraphicFramePr>
              <a:graphicFrameLocks noChangeAspect="true"/>
            </wp:cNvGraphicFramePr>
            <a:graphic>
              <a:graphicData uri="http://schemas.openxmlformats.org/drawingml/2006/picture">
                <pic:pic>
                  <pic:nvPicPr>
                    <pic:cNvPr id="7440" name="image7440"/>
                    <pic:cNvPicPr/>
                  </pic:nvPicPr>
                  <pic:blipFill>
                    <a:blip r:embed="rId63"/>
                    <a:stretch>
                      <a:fillRect/>
                    </a:stretch>
                  </pic:blipFill>
                  <pic:spPr>
                    <a:xfrm flipV="true">
                      <a:off x="0" y="0"/>
                      <a:ext cx="736600" cy="317500"/>
                    </a:xfrm>
                    <a:prstGeom prst="rect">
                      <a:avLst/>
                    </a:prstGeom>
                  </pic:spPr>
                </pic:pic>
              </a:graphicData>
            </a:graphic>
          </wp:anchor>
        </w:drawing>
      </w:r>
      <w:r>
        <w:drawing>
          <wp:anchor distT="0" distB="0" distL="114300" distR="114300" simplePos="false" relativeHeight="10304272" behindDoc="true" locked="false" layoutInCell="true" allowOverlap="true">
            <wp:simplePos x="0" y="0"/>
            <wp:positionH relativeFrom="page">
              <wp:posOffset>4470400</wp:posOffset>
            </wp:positionH>
            <wp:positionV relativeFrom="page">
              <wp:posOffset>2603500</wp:posOffset>
            </wp:positionV>
            <wp:extent cx="736600" cy="317500"/>
            <wp:effectExtent l="0" t="0" r="0" b="0"/>
            <wp:wrapNone/>
            <wp:docPr id="7441" name="image7441" descr=""/>
            <wp:cNvGraphicFramePr>
              <a:graphicFrameLocks noChangeAspect="true"/>
            </wp:cNvGraphicFramePr>
            <a:graphic>
              <a:graphicData uri="http://schemas.openxmlformats.org/drawingml/2006/picture">
                <pic:pic>
                  <pic:nvPicPr>
                    <pic:cNvPr id="7441" name="image7441"/>
                    <pic:cNvPicPr/>
                  </pic:nvPicPr>
                  <pic:blipFill>
                    <a:blip r:embed="rId60"/>
                    <a:stretch>
                      <a:fillRect/>
                    </a:stretch>
                  </pic:blipFill>
                  <pic:spPr>
                    <a:xfrm flipV="true">
                      <a:off x="0" y="0"/>
                      <a:ext cx="736600" cy="317500"/>
                    </a:xfrm>
                    <a:prstGeom prst="rect">
                      <a:avLst/>
                    </a:prstGeom>
                  </pic:spPr>
                </pic:pic>
              </a:graphicData>
            </a:graphic>
          </wp:anchor>
        </w:drawing>
      </w:r>
      <w:r>
        <w:drawing>
          <wp:anchor distT="0" distB="0" distL="114300" distR="114300" simplePos="false" relativeHeight="10318608" behindDoc="true" locked="false" layoutInCell="true" allowOverlap="true">
            <wp:simplePos x="0" y="0"/>
            <wp:positionH relativeFrom="page">
              <wp:posOffset>3175000</wp:posOffset>
            </wp:positionH>
            <wp:positionV relativeFrom="page">
              <wp:posOffset>2032000</wp:posOffset>
            </wp:positionV>
            <wp:extent cx="736600" cy="317500"/>
            <wp:effectExtent l="0" t="0" r="0" b="0"/>
            <wp:wrapNone/>
            <wp:docPr id="7442" name="image7442" descr=""/>
            <wp:cNvGraphicFramePr>
              <a:graphicFrameLocks noChangeAspect="true"/>
            </wp:cNvGraphicFramePr>
            <a:graphic>
              <a:graphicData uri="http://schemas.openxmlformats.org/drawingml/2006/picture">
                <pic:pic>
                  <pic:nvPicPr>
                    <pic:cNvPr id="7442" name="image7442"/>
                    <pic:cNvPicPr/>
                  </pic:nvPicPr>
                  <pic:blipFill>
                    <a:blip r:embed="rId62"/>
                    <a:stretch>
                      <a:fillRect/>
                    </a:stretch>
                  </pic:blipFill>
                  <pic:spPr>
                    <a:xfrm flipV="true">
                      <a:off x="0" y="0"/>
                      <a:ext cx="736600" cy="317500"/>
                    </a:xfrm>
                    <a:prstGeom prst="rect">
                      <a:avLst/>
                    </a:prstGeom>
                  </pic:spPr>
                </pic:pic>
              </a:graphicData>
            </a:graphic>
          </wp:anchor>
        </w:drawing>
      </w:r>
      <w:r>
        <w:drawing>
          <wp:anchor distT="0" distB="0" distL="114300" distR="114300" simplePos="false" relativeHeight="10326800" behindDoc="true" locked="false" layoutInCell="true" allowOverlap="true">
            <wp:simplePos x="0" y="0"/>
            <wp:positionH relativeFrom="page">
              <wp:posOffset>4432300</wp:posOffset>
            </wp:positionH>
            <wp:positionV relativeFrom="page">
              <wp:posOffset>6845300</wp:posOffset>
            </wp:positionV>
            <wp:extent cx="838200" cy="444500"/>
            <wp:effectExtent l="0" t="0" r="0" b="0"/>
            <wp:wrapNone/>
            <wp:docPr id="7443" name="image7443" descr=""/>
            <wp:cNvGraphicFramePr>
              <a:graphicFrameLocks noChangeAspect="true"/>
            </wp:cNvGraphicFramePr>
            <a:graphic>
              <a:graphicData uri="http://schemas.openxmlformats.org/drawingml/2006/picture">
                <pic:pic>
                  <pic:nvPicPr>
                    <pic:cNvPr id="7443" name="image7443"/>
                    <pic:cNvPicPr/>
                  </pic:nvPicPr>
                  <pic:blipFill>
                    <a:blip r:embed="rId68"/>
                    <a:stretch>
                      <a:fillRect/>
                    </a:stretch>
                  </pic:blipFill>
                  <pic:spPr>
                    <a:xfrm flipV="true">
                      <a:off x="0" y="0"/>
                      <a:ext cx="838200" cy="444500"/>
                    </a:xfrm>
                    <a:prstGeom prst="rect">
                      <a:avLst/>
                    </a:prstGeom>
                  </pic:spPr>
                </pic:pic>
              </a:graphicData>
            </a:graphic>
          </wp:anchor>
        </w:drawing>
      </w:r>
      <w:r>
        <w:drawing>
          <wp:anchor distT="0" distB="0" distL="114300" distR="114300" simplePos="false" relativeHeight="10330896" behindDoc="true" locked="false" layoutInCell="true" allowOverlap="true">
            <wp:simplePos x="0" y="0"/>
            <wp:positionH relativeFrom="page">
              <wp:posOffset>3454400</wp:posOffset>
            </wp:positionH>
            <wp:positionV relativeFrom="page">
              <wp:posOffset>6845300</wp:posOffset>
            </wp:positionV>
            <wp:extent cx="762000" cy="444500"/>
            <wp:effectExtent l="0" t="0" r="0" b="0"/>
            <wp:wrapNone/>
            <wp:docPr id="7444" name="image7444" descr=""/>
            <wp:cNvGraphicFramePr>
              <a:graphicFrameLocks noChangeAspect="true"/>
            </wp:cNvGraphicFramePr>
            <a:graphic>
              <a:graphicData uri="http://schemas.openxmlformats.org/drawingml/2006/picture">
                <pic:pic>
                  <pic:nvPicPr>
                    <pic:cNvPr id="7444" name="image7444"/>
                    <pic:cNvPicPr/>
                  </pic:nvPicPr>
                  <pic:blipFill>
                    <a:blip r:embed="rId69"/>
                    <a:stretch>
                      <a:fillRect/>
                    </a:stretch>
                  </pic:blipFill>
                  <pic:spPr>
                    <a:xfrm flipV="true">
                      <a:off x="0" y="0"/>
                      <a:ext cx="762000" cy="444500"/>
                    </a:xfrm>
                    <a:prstGeom prst="rect">
                      <a:avLst/>
                    </a:prstGeom>
                  </pic:spPr>
                </pic:pic>
              </a:graphicData>
            </a:graphic>
          </wp:anchor>
        </w:drawing>
      </w:r>
      <w:r>
        <w:drawing>
          <wp:anchor distT="0" distB="0" distL="114300" distR="114300" simplePos="false" relativeHeight="10337040" behindDoc="true" locked="false" layoutInCell="true" allowOverlap="true">
            <wp:simplePos x="0" y="0"/>
            <wp:positionH relativeFrom="page">
              <wp:posOffset>3022600</wp:posOffset>
            </wp:positionH>
            <wp:positionV relativeFrom="page">
              <wp:posOffset>4229100</wp:posOffset>
            </wp:positionV>
            <wp:extent cx="1041400" cy="317500"/>
            <wp:effectExtent l="0" t="0" r="0" b="0"/>
            <wp:wrapNone/>
            <wp:docPr id="7445" name="image7445" descr=""/>
            <wp:cNvGraphicFramePr>
              <a:graphicFrameLocks noChangeAspect="true"/>
            </wp:cNvGraphicFramePr>
            <a:graphic>
              <a:graphicData uri="http://schemas.openxmlformats.org/drawingml/2006/picture">
                <pic:pic>
                  <pic:nvPicPr>
                    <pic:cNvPr id="7445" name="image7445"/>
                    <pic:cNvPicPr/>
                  </pic:nvPicPr>
                  <pic:blipFill>
                    <a:blip r:embed="rId70"/>
                    <a:stretch>
                      <a:fillRect/>
                    </a:stretch>
                  </pic:blipFill>
                  <pic:spPr>
                    <a:xfrm flipV="true">
                      <a:off x="0" y="0"/>
                      <a:ext cx="1041400" cy="317500"/>
                    </a:xfrm>
                    <a:prstGeom prst="rect">
                      <a:avLst/>
                    </a:prstGeom>
                  </pic:spPr>
                </pic:pic>
              </a:graphicData>
            </a:graphic>
          </wp:anchor>
        </w:drawing>
      </w:r>
      <w:r>
        <w:drawing>
          <wp:anchor distT="0" distB="0" distL="114300" distR="114300" simplePos="false" relativeHeight="10347280" behindDoc="true" locked="false" layoutInCell="true" allowOverlap="true">
            <wp:simplePos x="0" y="0"/>
            <wp:positionH relativeFrom="page">
              <wp:posOffset>3073400</wp:posOffset>
            </wp:positionH>
            <wp:positionV relativeFrom="page">
              <wp:posOffset>9131300</wp:posOffset>
            </wp:positionV>
            <wp:extent cx="952500" cy="304800"/>
            <wp:effectExtent l="0" t="0" r="0" b="0"/>
            <wp:wrapNone/>
            <wp:docPr id="7446" name="image7446" descr=""/>
            <wp:cNvGraphicFramePr>
              <a:graphicFrameLocks noChangeAspect="true"/>
            </wp:cNvGraphicFramePr>
            <a:graphic>
              <a:graphicData uri="http://schemas.openxmlformats.org/drawingml/2006/picture">
                <pic:pic>
                  <pic:nvPicPr>
                    <pic:cNvPr id="7446" name="image7446"/>
                    <pic:cNvPicPr/>
                  </pic:nvPicPr>
                  <pic:blipFill>
                    <a:blip r:embed="rId67"/>
                    <a:stretch>
                      <a:fillRect/>
                    </a:stretch>
                  </pic:blipFill>
                  <pic:spPr>
                    <a:xfrm flipV="true">
                      <a:off x="0" y="0"/>
                      <a:ext cx="952500" cy="304800"/>
                    </a:xfrm>
                    <a:prstGeom prst="rect">
                      <a:avLst/>
                    </a:prstGeom>
                  </pic:spPr>
                </pic:pic>
              </a:graphicData>
            </a:graphic>
          </wp:anchor>
        </w:drawing>
      </w:r>
      <w:r>
        <w:drawing>
          <wp:anchor distT="0" distB="0" distL="114300" distR="114300" simplePos="false" relativeHeight="10351376" behindDoc="true" locked="false" layoutInCell="true" allowOverlap="true">
            <wp:simplePos x="0" y="0"/>
            <wp:positionH relativeFrom="page">
              <wp:posOffset>4013200</wp:posOffset>
            </wp:positionH>
            <wp:positionV relativeFrom="page">
              <wp:posOffset>5791200</wp:posOffset>
            </wp:positionV>
            <wp:extent cx="1358900" cy="317500"/>
            <wp:effectExtent l="0" t="0" r="0" b="0"/>
            <wp:wrapNone/>
            <wp:docPr id="7447" name="image7447" descr=""/>
            <wp:cNvGraphicFramePr>
              <a:graphicFrameLocks noChangeAspect="true"/>
            </wp:cNvGraphicFramePr>
            <a:graphic>
              <a:graphicData uri="http://schemas.openxmlformats.org/drawingml/2006/picture">
                <pic:pic>
                  <pic:nvPicPr>
                    <pic:cNvPr id="7447" name="image7447"/>
                    <pic:cNvPicPr/>
                  </pic:nvPicPr>
                  <pic:blipFill>
                    <a:blip r:embed="rId71"/>
                    <a:stretch>
                      <a:fillRect/>
                    </a:stretch>
                  </pic:blipFill>
                  <pic:spPr>
                    <a:xfrm flipV="true">
                      <a:off x="0" y="0"/>
                      <a:ext cx="1358900" cy="317500"/>
                    </a:xfrm>
                    <a:prstGeom prst="rect">
                      <a:avLst/>
                    </a:prstGeom>
                  </pic:spPr>
                </pic:pic>
              </a:graphicData>
            </a:graphic>
          </wp:anchor>
        </w:drawing>
      </w:r>
      <w:r>
        <w:drawing>
          <wp:anchor distT="0" distB="0" distL="114300" distR="114300" simplePos="false" relativeHeight="10357520" behindDoc="true" locked="false" layoutInCell="true" allowOverlap="true">
            <wp:simplePos x="0" y="0"/>
            <wp:positionH relativeFrom="page">
              <wp:posOffset>4013200</wp:posOffset>
            </wp:positionH>
            <wp:positionV relativeFrom="page">
              <wp:posOffset>6311900</wp:posOffset>
            </wp:positionV>
            <wp:extent cx="1358900" cy="317500"/>
            <wp:effectExtent l="0" t="0" r="0" b="0"/>
            <wp:wrapNone/>
            <wp:docPr id="7448" name="image7448" descr=""/>
            <wp:cNvGraphicFramePr>
              <a:graphicFrameLocks noChangeAspect="true"/>
            </wp:cNvGraphicFramePr>
            <a:graphic>
              <a:graphicData uri="http://schemas.openxmlformats.org/drawingml/2006/picture">
                <pic:pic>
                  <pic:nvPicPr>
                    <pic:cNvPr id="7448" name="image7448"/>
                    <pic:cNvPicPr/>
                  </pic:nvPicPr>
                  <pic:blipFill>
                    <a:blip r:embed="rId72"/>
                    <a:stretch>
                      <a:fillRect/>
                    </a:stretch>
                  </pic:blipFill>
                  <pic:spPr>
                    <a:xfrm flipV="true">
                      <a:off x="0" y="0"/>
                      <a:ext cx="1358900" cy="317500"/>
                    </a:xfrm>
                    <a:prstGeom prst="rect">
                      <a:avLst/>
                    </a:prstGeom>
                  </pic:spPr>
                </pic:pic>
              </a:graphicData>
            </a:graphic>
          </wp:anchor>
        </w:drawing>
      </w:r>
      <w:r>
        <w:drawing>
          <wp:anchor distT="0" distB="0" distL="114300" distR="114300" simplePos="false" relativeHeight="10365712" behindDoc="true" locked="false" layoutInCell="true" allowOverlap="true">
            <wp:simplePos x="0" y="0"/>
            <wp:positionH relativeFrom="page">
              <wp:posOffset>1854200</wp:posOffset>
            </wp:positionH>
            <wp:positionV relativeFrom="page">
              <wp:posOffset>5283200</wp:posOffset>
            </wp:positionV>
            <wp:extent cx="1270000" cy="317500"/>
            <wp:effectExtent l="0" t="0" r="0" b="0"/>
            <wp:wrapNone/>
            <wp:docPr id="7449" name="image7449" descr=""/>
            <wp:cNvGraphicFramePr>
              <a:graphicFrameLocks noChangeAspect="true"/>
            </wp:cNvGraphicFramePr>
            <a:graphic>
              <a:graphicData uri="http://schemas.openxmlformats.org/drawingml/2006/picture">
                <pic:pic>
                  <pic:nvPicPr>
                    <pic:cNvPr id="7449" name="image7449"/>
                    <pic:cNvPicPr/>
                  </pic:nvPicPr>
                  <pic:blipFill>
                    <a:blip r:embed="rId73"/>
                    <a:stretch>
                      <a:fillRect/>
                    </a:stretch>
                  </pic:blipFill>
                  <pic:spPr>
                    <a:xfrm flipV="true">
                      <a:off x="0" y="0"/>
                      <a:ext cx="1270000" cy="317500"/>
                    </a:xfrm>
                    <a:prstGeom prst="rect">
                      <a:avLst/>
                    </a:prstGeom>
                  </pic:spPr>
                </pic:pic>
              </a:graphicData>
            </a:graphic>
          </wp:anchor>
        </w:drawing>
      </w:r>
      <w:r>
        <w:drawing>
          <wp:anchor distT="0" distB="0" distL="114300" distR="114300" simplePos="false" relativeHeight="10371856" behindDoc="true" locked="false" layoutInCell="true" allowOverlap="true">
            <wp:simplePos x="0" y="0"/>
            <wp:positionH relativeFrom="page">
              <wp:posOffset>1308100</wp:posOffset>
            </wp:positionH>
            <wp:positionV relativeFrom="page">
              <wp:posOffset>5803900</wp:posOffset>
            </wp:positionV>
            <wp:extent cx="1066800" cy="317500"/>
            <wp:effectExtent l="0" t="0" r="0" b="0"/>
            <wp:wrapNone/>
            <wp:docPr id="7450" name="image7450" descr=""/>
            <wp:cNvGraphicFramePr>
              <a:graphicFrameLocks noChangeAspect="true"/>
            </wp:cNvGraphicFramePr>
            <a:graphic>
              <a:graphicData uri="http://schemas.openxmlformats.org/drawingml/2006/picture">
                <pic:pic>
                  <pic:nvPicPr>
                    <pic:cNvPr id="7450" name="image7450"/>
                    <pic:cNvPicPr/>
                  </pic:nvPicPr>
                  <pic:blipFill>
                    <a:blip r:embed="rId74"/>
                    <a:stretch>
                      <a:fillRect/>
                    </a:stretch>
                  </pic:blipFill>
                  <pic:spPr>
                    <a:xfrm flipV="true">
                      <a:off x="0" y="0"/>
                      <a:ext cx="1066800" cy="317500"/>
                    </a:xfrm>
                    <a:prstGeom prst="rect">
                      <a:avLst/>
                    </a:prstGeom>
                  </pic:spPr>
                </pic:pic>
              </a:graphicData>
            </a:graphic>
          </wp:anchor>
        </w:drawing>
      </w:r>
      <w:r>
        <w:drawing>
          <wp:anchor distT="0" distB="0" distL="114300" distR="114300" simplePos="false" relativeHeight="10378000" behindDoc="true" locked="false" layoutInCell="true" allowOverlap="true">
            <wp:simplePos x="0" y="0"/>
            <wp:positionH relativeFrom="page">
              <wp:posOffset>2578100</wp:posOffset>
            </wp:positionH>
            <wp:positionV relativeFrom="page">
              <wp:posOffset>5803900</wp:posOffset>
            </wp:positionV>
            <wp:extent cx="1066800" cy="317500"/>
            <wp:effectExtent l="0" t="0" r="0" b="0"/>
            <wp:wrapNone/>
            <wp:docPr id="7451" name="image7451" descr=""/>
            <wp:cNvGraphicFramePr>
              <a:graphicFrameLocks noChangeAspect="true"/>
            </wp:cNvGraphicFramePr>
            <a:graphic>
              <a:graphicData uri="http://schemas.openxmlformats.org/drawingml/2006/picture">
                <pic:pic>
                  <pic:nvPicPr>
                    <pic:cNvPr id="7451" name="image7451"/>
                    <pic:cNvPicPr/>
                  </pic:nvPicPr>
                  <pic:blipFill>
                    <a:blip r:embed="rId75"/>
                    <a:stretch>
                      <a:fillRect/>
                    </a:stretch>
                  </pic:blipFill>
                  <pic:spPr>
                    <a:xfrm flipV="true">
                      <a:off x="0" y="0"/>
                      <a:ext cx="1066800" cy="317500"/>
                    </a:xfrm>
                    <a:prstGeom prst="rect">
                      <a:avLst/>
                    </a:prstGeom>
                  </pic:spPr>
                </pic:pic>
              </a:graphicData>
            </a:graphic>
          </wp:anchor>
        </w:drawing>
      </w:r>
      <w:r>
        <w:drawing>
          <wp:anchor distT="0" distB="0" distL="114300" distR="114300" simplePos="false" relativeHeight="10384144" behindDoc="true" locked="false" layoutInCell="true" allowOverlap="true">
            <wp:simplePos x="0" y="0"/>
            <wp:positionH relativeFrom="page">
              <wp:posOffset>1854200</wp:posOffset>
            </wp:positionH>
            <wp:positionV relativeFrom="page">
              <wp:posOffset>6362700</wp:posOffset>
            </wp:positionV>
            <wp:extent cx="1079500" cy="304800"/>
            <wp:effectExtent l="0" t="0" r="0" b="0"/>
            <wp:wrapNone/>
            <wp:docPr id="7452" name="image7452" descr=""/>
            <wp:cNvGraphicFramePr>
              <a:graphicFrameLocks noChangeAspect="true"/>
            </wp:cNvGraphicFramePr>
            <a:graphic>
              <a:graphicData uri="http://schemas.openxmlformats.org/drawingml/2006/picture">
                <pic:pic>
                  <pic:nvPicPr>
                    <pic:cNvPr id="7452" name="image7452"/>
                    <pic:cNvPicPr/>
                  </pic:nvPicPr>
                  <pic:blipFill>
                    <a:blip r:embed="rId76"/>
                    <a:stretch>
                      <a:fillRect/>
                    </a:stretch>
                  </pic:blipFill>
                  <pic:spPr>
                    <a:xfrm flipV="true">
                      <a:off x="0" y="0"/>
                      <a:ext cx="1079500" cy="304800"/>
                    </a:xfrm>
                    <a:prstGeom prst="rect">
                      <a:avLst/>
                    </a:prstGeom>
                  </pic:spPr>
                </pic:pic>
              </a:graphicData>
            </a:graphic>
          </wp:anchor>
        </w:drawing>
      </w:r>
      <w:r>
        <w:drawing>
          <wp:anchor distT="0" distB="0" distL="114300" distR="114300" simplePos="false" relativeHeight="10392336" behindDoc="true" locked="false" layoutInCell="true" allowOverlap="true">
            <wp:simplePos x="0" y="0"/>
            <wp:positionH relativeFrom="page">
              <wp:posOffset>1854200</wp:posOffset>
            </wp:positionH>
            <wp:positionV relativeFrom="page">
              <wp:posOffset>6908800</wp:posOffset>
            </wp:positionV>
            <wp:extent cx="1079500" cy="317500"/>
            <wp:effectExtent l="0" t="0" r="0" b="0"/>
            <wp:wrapNone/>
            <wp:docPr id="7453" name="image7453" descr=""/>
            <wp:cNvGraphicFramePr>
              <a:graphicFrameLocks noChangeAspect="true"/>
            </wp:cNvGraphicFramePr>
            <a:graphic>
              <a:graphicData uri="http://schemas.openxmlformats.org/drawingml/2006/picture">
                <pic:pic>
                  <pic:nvPicPr>
                    <pic:cNvPr id="7453" name="image7453"/>
                    <pic:cNvPicPr/>
                  </pic:nvPicPr>
                  <pic:blipFill>
                    <a:blip r:embed="rId77"/>
                    <a:stretch>
                      <a:fillRect/>
                    </a:stretch>
                  </pic:blipFill>
                  <pic:spPr>
                    <a:xfrm flipV="true">
                      <a:off x="0" y="0"/>
                      <a:ext cx="1079500" cy="317500"/>
                    </a:xfrm>
                    <a:prstGeom prst="rect">
                      <a:avLst/>
                    </a:prstGeom>
                  </pic:spPr>
                </pic:pic>
              </a:graphicData>
            </a:graphic>
          </wp:anchor>
        </w:drawing>
      </w:r>
      <w:r>
        <w:drawing>
          <wp:anchor distT="0" distB="0" distL="114300" distR="114300" simplePos="false" relativeHeight="10402576" behindDoc="true" locked="false" layoutInCell="true" allowOverlap="true">
            <wp:simplePos x="0" y="0"/>
            <wp:positionH relativeFrom="page">
              <wp:posOffset>1854200</wp:posOffset>
            </wp:positionH>
            <wp:positionV relativeFrom="page">
              <wp:posOffset>7429500</wp:posOffset>
            </wp:positionV>
            <wp:extent cx="1079500" cy="304800"/>
            <wp:effectExtent l="0" t="0" r="0" b="0"/>
            <wp:wrapNone/>
            <wp:docPr id="7454" name="image7454" descr=""/>
            <wp:cNvGraphicFramePr>
              <a:graphicFrameLocks noChangeAspect="true"/>
            </wp:cNvGraphicFramePr>
            <a:graphic>
              <a:graphicData uri="http://schemas.openxmlformats.org/drawingml/2006/picture">
                <pic:pic>
                  <pic:nvPicPr>
                    <pic:cNvPr id="7454" name="image7454"/>
                    <pic:cNvPicPr/>
                  </pic:nvPicPr>
                  <pic:blipFill>
                    <a:blip r:embed="rId78"/>
                    <a:stretch>
                      <a:fillRect/>
                    </a:stretch>
                  </pic:blipFill>
                  <pic:spPr>
                    <a:xfrm flipV="true">
                      <a:off x="0" y="0"/>
                      <a:ext cx="1079500" cy="3048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系统集成业务流程图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120" w:lineRule="exact"/>
        <w:rPr>
          <w:rFonts w:hint="eastAsia" w:ascii="宋体" w:hAnsi="宋体" w:eastAsia="宋体" w:cs="宋体"/>
          <w:sz w:val="20"/>
        </w:rPr>
      </w:pPr>
    </w:p>
    <w:tbl>
      <w:tblPr>
        <w:tblW w:w="1500" w:type="auto"/>
        <w:tblInd w:w="4840" w:type="dxa"/>
        <w:tblBorders>
          <w:top w:val="single" w:color="cdcdcd" w:sz="4" w:space="0"/>
          <w:left w:val="single" w:color="cdcdcd" w:sz="4" w:space="0"/>
          <w:bottom w:val="single" w:color="cdcdcd" w:sz="4" w:space="0"/>
          <w:right w:val="single" w:color="cdcdcd" w:sz="4" w:space="0"/>
          <w:insideH w:val="single" w:color="cdcdcd" w:sz="4" w:space="0"/>
          <w:insideV w:val="single" w:color="cdcdcd" w:sz="4" w:space="0"/>
        </w:tblBorders>
        <w:tblLayout w:type="fixed"/>
      </w:tblPr>
      <w:tblGrid>
        <w:gridCol w:w="740"/>
        <w:gridCol w:w="740"/>
      </w:tblGrid>
      <w:tr>
        <w:trPr>
          <w:trHeight w:val="480" w:hRule="exact"/>
        </w:trPr>
        <w:tc>
          <w:tcPr>
            <w:tcW w:w="1480" w:type="dxa"/>
            <w:gridSpan w:val="2"/>
            <w:shd w:val="clear" w:color="auto" w:fill="cdcdcd"/>
            <w:tcMar>
              <w:top w:w="0" w:type="dxa"/>
              <w:left w:w="0" w:type="dxa"/>
              <w:bottom w:w="0" w:type="dxa"/>
              <w:right w:w="0" w:type="dxa"/>
            </w:tcMar>
          </w:tcPr>
          <w:p>
            <w:pPr>
              <w:spacing w:before="60"/>
            </w:pPr>
            <w:r>
              <w:rPr>
                <w:rFonts w:hint="eastAsia" w:ascii="宋体" w:hAnsi="宋体" w:eastAsia="宋体" w:cs="宋体"/>
                <w:w w:val="99"/>
                <w:sz w:val="25"/>
              </w:rPr>
              <w:t>项目试运行</w:t>
            </w:r>
          </w:p>
        </w:tc>
      </w:tr>
      <w:tr>
        <w:trPr>
          <w:trHeight w:val="380" w:hRule="exact"/>
        </w:trPr>
        <w:tc>
          <w:tcPr>
            <w:tcW w:w="0" w:type="dxa"/>
            <w:tcMar>
              <w:top w:w="0" w:type="dxa"/>
              <w:left w:w="0" w:type="dxa"/>
              <w:bottom w:w="0" w:type="dxa"/>
              <w:right w:w="0" w:type="dxa"/>
            </w:tcMar>
          </w:tcPr>
          <w:p/>
        </w:tc>
        <w:tc>
          <w:tcPr>
            <w:tcW w:w="740" w:type="dxa"/>
            <w:tcMar>
              <w:top w:w="0" w:type="dxa"/>
              <w:left w:w="0" w:type="dxa"/>
              <w:bottom w:w="0" w:type="dxa"/>
              <w:right w:w="0" w:type="dxa"/>
            </w:tcMar>
          </w:tcPr>
          <w:p/>
        </w:tc>
      </w:tr>
      <w:tr>
        <w:trPr>
          <w:trHeight w:val="480" w:hRule="exact"/>
        </w:trPr>
        <w:tc>
          <w:tcPr>
            <w:tcW w:w="1480" w:type="dxa"/>
            <w:gridSpan w:val="2"/>
            <w:shd w:val="clear" w:color="auto" w:fill="cdcdcd"/>
            <w:tcMar>
              <w:top w:w="0" w:type="dxa"/>
              <w:left w:w="0" w:type="dxa"/>
              <w:bottom w:w="0" w:type="dxa"/>
              <w:right w:w="0" w:type="dxa"/>
            </w:tcMar>
          </w:tcPr>
          <w:p>
            <w:pPr>
              <w:spacing w:before="60"/>
              <w:ind w:left="200"/>
            </w:pPr>
            <w:r>
              <w:rPr>
                <w:rFonts w:hint="eastAsia" w:ascii="宋体" w:hAnsi="宋体" w:eastAsia="宋体" w:cs="宋体"/>
                <w:w w:val="99"/>
                <w:sz w:val="25"/>
              </w:rPr>
              <w:t>项目验收</w:t>
            </w:r>
          </w:p>
        </w:tc>
      </w:tr>
      <w:tr>
        <w:trPr>
          <w:trHeight w:val="440" w:hRule="exact"/>
        </w:trPr>
        <w:tc>
          <w:tcPr>
            <w:tcW w:w="0" w:type="dxa"/>
            <w:tcMar>
              <w:top w:w="0" w:type="dxa"/>
              <w:left w:w="0" w:type="dxa"/>
              <w:bottom w:w="0" w:type="dxa"/>
              <w:right w:w="0" w:type="dxa"/>
            </w:tcMar>
          </w:tcPr>
          <w:p/>
        </w:tc>
        <w:tc>
          <w:tcPr>
            <w:tcW w:w="740" w:type="dxa"/>
            <w:tcMar>
              <w:top w:w="0" w:type="dxa"/>
              <w:left w:w="0" w:type="dxa"/>
              <w:bottom w:w="0" w:type="dxa"/>
              <w:right w:w="0" w:type="dxa"/>
            </w:tcMar>
          </w:tcPr>
          <w:p/>
        </w:tc>
      </w:tr>
      <w:tr>
        <w:trPr>
          <w:trHeight w:val="480" w:hRule="exact"/>
        </w:trPr>
        <w:tc>
          <w:tcPr>
            <w:tcW w:w="1480" w:type="dxa"/>
            <w:gridSpan w:val="2"/>
            <w:shd w:val="clear" w:color="auto" w:fill="cdcdcd"/>
            <w:tcMar>
              <w:top w:w="0" w:type="dxa"/>
              <w:left w:w="0" w:type="dxa"/>
              <w:bottom w:w="0" w:type="dxa"/>
              <w:right w:w="0" w:type="dxa"/>
            </w:tcMar>
          </w:tcPr>
          <w:p>
            <w:pPr>
              <w:spacing w:before="60"/>
              <w:ind w:left="200"/>
            </w:pPr>
            <w:r>
              <w:rPr>
                <w:rFonts w:hint="eastAsia" w:ascii="宋体" w:hAnsi="宋体" w:eastAsia="宋体" w:cs="宋体"/>
                <w:w w:val="99"/>
                <w:sz w:val="25"/>
              </w:rPr>
              <w:t>运维服</w:t>
            </w:r>
            <w:r>
              <w:rPr>
                <w:rFonts w:hint="eastAsia" w:ascii="宋体" w:hAnsi="宋体" w:eastAsia="宋体" w:cs="宋体"/>
                <w:b/>
                <w:w w:val="99"/>
                <w:sz w:val="25"/>
              </w:rPr>
              <w:t>务</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1-1-157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2048" behindDoc="true" locked="false" layoutInCell="true" allowOverlap="true">
                <wp:simplePos x="0" y="0"/>
                <wp:positionH relativeFrom="page">
                  <wp:posOffset>4127500</wp:posOffset>
                </wp:positionH>
                <wp:positionV relativeFrom="page">
                  <wp:posOffset>5041900</wp:posOffset>
                </wp:positionV>
                <wp:extent cx="1333500" cy="1816100"/>
                <wp:effectExtent l="0" t="0" r="22225" b="31115"/>
                <wp:wrapNone/>
                <wp:docPr id="7456" name="shape7456"/>
                <wp:cNvGraphicFramePr/>
                <a:graphic>
                  <a:graphicData uri="http://schemas.microsoft.com/office/word/2010/wordprocessingShape">
                    <wps:wsp>
                      <wps:cNvSpPr/>
                      <wps:spPr>
                        <a:xfrm>
                          <a:off x="0" y="0"/>
                          <a:ext cx="1333500" cy="18161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5pt;height:143pt;margin-left:325pt;margin-top:397pt;mso-wrap-style:square;z-index:10252048;mso-wrap-distance-left:9pt;mso-wrap-distance-top:0pt;mso-wrap-distance-right:9pt;mso-wrap-distance-bottom:0pt" id="shape7456" o:spid="1618382354722" stroked="f" filled="t" fillcolor="#cdcdcd"/>
            </w:pict>
          </mc:Fallback>
        </mc:AlternateContent>
      </w:r>
      <w:r>
        <mc:AlternateContent>
          <mc:Choice Requires="wps">
            <w:drawing>
              <wp:anchor distT="0" distB="0" distL="114300" distR="114300" simplePos="false" relativeHeight="10253072" behindDoc="true" locked="false" layoutInCell="true" allowOverlap="true">
                <wp:simplePos x="0" y="0"/>
                <wp:positionH relativeFrom="page">
                  <wp:posOffset>4127500</wp:posOffset>
                </wp:positionH>
                <wp:positionV relativeFrom="page">
                  <wp:posOffset>5041900</wp:posOffset>
                </wp:positionV>
                <wp:extent cx="1333500" cy="1816100"/>
                <wp:effectExtent l="0" t="0" r="22225" b="31115"/>
                <wp:wrapNone/>
                <wp:docPr id="7457" name="shape7457"/>
                <wp:cNvGraphicFramePr/>
                <a:graphic>
                  <a:graphicData uri="http://schemas.microsoft.com/office/word/2010/wordprocessingShape">
                    <wps:wsp>
                      <wps:cNvSpPr/>
                      <wps:spPr>
                        <a:xfrm>
                          <a:off x="0" y="0"/>
                          <a:ext cx="1333500" cy="18161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5pt;height:143pt;margin-left:325pt;margin-top:397pt;mso-wrap-style:square;z-index:10253072;mso-wrap-distance-left:9pt;mso-wrap-distance-top:0pt;mso-wrap-distance-right:9pt;mso-wrap-distance-bottom:0pt" id="shape7457" o:spid="1618382354722" stroked="t" strokecolor="#cdcdcd" strokeweight="1pt"/>
            </w:pict>
          </mc:Fallback>
        </mc:AlternateContent>
      </w:r>
      <w:r>
        <mc:AlternateContent>
          <mc:Choice Requires="wps">
            <w:drawing>
              <wp:anchor distT="0" distB="0" distL="114300" distR="114300" simplePos="false" relativeHeight="10255120" behindDoc="true" locked="false" layoutInCell="true" allowOverlap="true">
                <wp:simplePos x="0" y="0"/>
                <wp:positionH relativeFrom="page">
                  <wp:posOffset>3289300</wp:posOffset>
                </wp:positionH>
                <wp:positionV relativeFrom="page">
                  <wp:posOffset>1244600</wp:posOffset>
                </wp:positionV>
                <wp:extent cx="990600" cy="279400"/>
                <wp:effectExtent l="0" t="0" r="22225" b="31115"/>
                <wp:wrapNone/>
                <wp:docPr id="7459" name="shape7459"/>
                <wp:cNvGraphicFramePr/>
                <a:graphic>
                  <a:graphicData uri="http://schemas.microsoft.com/office/word/2010/wordprocessingShape">
                    <wps:wsp>
                      <wps:cNvSpPr/>
                      <wps:spPr>
                        <a:xfrm>
                          <a:off x="0" y="0"/>
                          <a:ext cx="990600" cy="2794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8pt;height:22pt;margin-left:259pt;margin-top:98pt;mso-wrap-style:square;z-index:10255120;mso-wrap-distance-left:9pt;mso-wrap-distance-top:0pt;mso-wrap-distance-right:9pt;mso-wrap-distance-bottom:0pt" id="shape7459" o:spid="1618382354723" stroked="f" filled="t" fillcolor="#cdcdcd"/>
            </w:pict>
          </mc:Fallback>
        </mc:AlternateContent>
      </w:r>
      <w:r>
        <mc:AlternateContent>
          <mc:Choice Requires="wps">
            <w:drawing>
              <wp:anchor distT="0" distB="0" distL="114300" distR="114300" simplePos="false" relativeHeight="10256144" behindDoc="true" locked="false" layoutInCell="true" allowOverlap="true">
                <wp:simplePos x="0" y="0"/>
                <wp:positionH relativeFrom="page">
                  <wp:posOffset>3289300</wp:posOffset>
                </wp:positionH>
                <wp:positionV relativeFrom="page">
                  <wp:posOffset>1244600</wp:posOffset>
                </wp:positionV>
                <wp:extent cx="990600" cy="279400"/>
                <wp:effectExtent l="0" t="0" r="22225" b="31115"/>
                <wp:wrapNone/>
                <wp:docPr id="7460" name="shape7460"/>
                <wp:cNvGraphicFramePr/>
                <a:graphic>
                  <a:graphicData uri="http://schemas.microsoft.com/office/word/2010/wordprocessingShape">
                    <wps:wsp>
                      <wps:cNvSpPr/>
                      <wps:spPr>
                        <a:xfrm>
                          <a:off x="0" y="0"/>
                          <a:ext cx="990600" cy="2794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8pt;height:22pt;margin-left:259pt;margin-top:98pt;mso-wrap-style:square;z-index:10256144;mso-wrap-distance-left:9pt;mso-wrap-distance-top:0pt;mso-wrap-distance-right:9pt;mso-wrap-distance-bottom:0pt" id="shape7460" o:spid="1618382354723" stroked="t" strokecolor="#cdcdcd" strokeweight="1pt"/>
            </w:pict>
          </mc:Fallback>
        </mc:AlternateContent>
      </w:r>
      <w:r>
        <mc:AlternateContent>
          <mc:Choice Requires="wps">
            <w:drawing>
              <wp:anchor distT="0" distB="0" distL="114300" distR="114300" simplePos="false" relativeHeight="10259216" behindDoc="true" locked="false" layoutInCell="true" allowOverlap="true">
                <wp:simplePos x="0" y="0"/>
                <wp:positionH relativeFrom="page">
                  <wp:posOffset>1397000</wp:posOffset>
                </wp:positionH>
                <wp:positionV relativeFrom="page">
                  <wp:posOffset>1778000</wp:posOffset>
                </wp:positionV>
                <wp:extent cx="787400" cy="266700"/>
                <wp:effectExtent l="0" t="0" r="22225" b="31115"/>
                <wp:wrapNone/>
                <wp:docPr id="7463" name="shape7463"/>
                <wp:cNvGraphicFramePr/>
                <a:graphic>
                  <a:graphicData uri="http://schemas.microsoft.com/office/word/2010/wordprocessingShape">
                    <wps:wsp>
                      <wps:cNvSpPr/>
                      <wps:spPr>
                        <a:xfrm>
                          <a:off x="0" y="0"/>
                          <a:ext cx="787400" cy="2667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110pt;margin-top:140pt;mso-wrap-style:square;z-index:10259216;mso-wrap-distance-left:9pt;mso-wrap-distance-top:0pt;mso-wrap-distance-right:9pt;mso-wrap-distance-bottom:0pt" id="shape7463" o:spid="1618382354724" stroked="f" filled="t" fillcolor="#cdcdcd"/>
            </w:pict>
          </mc:Fallback>
        </mc:AlternateContent>
      </w:r>
      <w:r>
        <mc:AlternateContent>
          <mc:Choice Requires="wps">
            <w:drawing>
              <wp:anchor distT="0" distB="0" distL="114300" distR="114300" simplePos="false" relativeHeight="10260240" behindDoc="true" locked="false" layoutInCell="true" allowOverlap="true">
                <wp:simplePos x="0" y="0"/>
                <wp:positionH relativeFrom="page">
                  <wp:posOffset>1397000</wp:posOffset>
                </wp:positionH>
                <wp:positionV relativeFrom="page">
                  <wp:posOffset>1778000</wp:posOffset>
                </wp:positionV>
                <wp:extent cx="787400" cy="266700"/>
                <wp:effectExtent l="0" t="0" r="22225" b="31115"/>
                <wp:wrapNone/>
                <wp:docPr id="7464" name="shape7464"/>
                <wp:cNvGraphicFramePr/>
                <a:graphic>
                  <a:graphicData uri="http://schemas.microsoft.com/office/word/2010/wordprocessingShape">
                    <wps:wsp>
                      <wps:cNvSpPr/>
                      <wps:spPr>
                        <a:xfrm>
                          <a:off x="0" y="0"/>
                          <a:ext cx="787400" cy="2667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110pt;margin-top:140pt;mso-wrap-style:square;z-index:10260240;mso-wrap-distance-left:9pt;mso-wrap-distance-top:0pt;mso-wrap-distance-right:9pt;mso-wrap-distance-bottom:0pt" id="shape7464" o:spid="1618382354724" stroked="t" strokecolor="#cdcdcd" strokeweight="1pt"/>
            </w:pict>
          </mc:Fallback>
        </mc:AlternateContent>
      </w:r>
      <w:r>
        <mc:AlternateContent>
          <mc:Choice Requires="wps">
            <w:drawing>
              <wp:anchor distT="0" distB="0" distL="114300" distR="114300" simplePos="false" relativeHeight="10263312" behindDoc="true" locked="false" layoutInCell="true" allowOverlap="true">
                <wp:simplePos x="0" y="0"/>
                <wp:positionH relativeFrom="page">
                  <wp:posOffset>2654300</wp:posOffset>
                </wp:positionH>
                <wp:positionV relativeFrom="page">
                  <wp:posOffset>1778000</wp:posOffset>
                </wp:positionV>
                <wp:extent cx="787400" cy="266700"/>
                <wp:effectExtent l="0" t="0" r="22225" b="31115"/>
                <wp:wrapNone/>
                <wp:docPr id="7467" name="shape7467"/>
                <wp:cNvGraphicFramePr/>
                <a:graphic>
                  <a:graphicData uri="http://schemas.microsoft.com/office/word/2010/wordprocessingShape">
                    <wps:wsp>
                      <wps:cNvSpPr/>
                      <wps:spPr>
                        <a:xfrm>
                          <a:off x="0" y="0"/>
                          <a:ext cx="787400" cy="2667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209pt;margin-top:140pt;mso-wrap-style:square;z-index:10263312;mso-wrap-distance-left:9pt;mso-wrap-distance-top:0pt;mso-wrap-distance-right:9pt;mso-wrap-distance-bottom:0pt" id="shape7467" o:spid="1618382354725" stroked="f" filled="t" fillcolor="#cdcdcd"/>
            </w:pict>
          </mc:Fallback>
        </mc:AlternateContent>
      </w:r>
      <w:r>
        <mc:AlternateContent>
          <mc:Choice Requires="wps">
            <w:drawing>
              <wp:anchor distT="0" distB="0" distL="114300" distR="114300" simplePos="false" relativeHeight="10264336" behindDoc="true" locked="false" layoutInCell="true" allowOverlap="true">
                <wp:simplePos x="0" y="0"/>
                <wp:positionH relativeFrom="page">
                  <wp:posOffset>2654300</wp:posOffset>
                </wp:positionH>
                <wp:positionV relativeFrom="page">
                  <wp:posOffset>1778000</wp:posOffset>
                </wp:positionV>
                <wp:extent cx="787400" cy="266700"/>
                <wp:effectExtent l="0" t="0" r="22225" b="31115"/>
                <wp:wrapNone/>
                <wp:docPr id="7468" name="shape7468"/>
                <wp:cNvGraphicFramePr/>
                <a:graphic>
                  <a:graphicData uri="http://schemas.microsoft.com/office/word/2010/wordprocessingShape">
                    <wps:wsp>
                      <wps:cNvSpPr/>
                      <wps:spPr>
                        <a:xfrm>
                          <a:off x="0" y="0"/>
                          <a:ext cx="787400" cy="2667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209pt;margin-top:140pt;mso-wrap-style:square;z-index:10264336;mso-wrap-distance-left:9pt;mso-wrap-distance-top:0pt;mso-wrap-distance-right:9pt;mso-wrap-distance-bottom:0pt" id="shape7468" o:spid="1618382354725" stroked="t" strokecolor="#cdcdcd" strokeweight="1pt"/>
            </w:pict>
          </mc:Fallback>
        </mc:AlternateContent>
      </w:r>
      <w:r>
        <mc:AlternateContent>
          <mc:Choice Requires="wps">
            <w:drawing>
              <wp:anchor distT="0" distB="0" distL="114300" distR="114300" simplePos="false" relativeHeight="10267408" behindDoc="true" locked="false" layoutInCell="true" allowOverlap="true">
                <wp:simplePos x="0" y="0"/>
                <wp:positionH relativeFrom="page">
                  <wp:posOffset>4013200</wp:posOffset>
                </wp:positionH>
                <wp:positionV relativeFrom="page">
                  <wp:posOffset>1778000</wp:posOffset>
                </wp:positionV>
                <wp:extent cx="787400" cy="266700"/>
                <wp:effectExtent l="0" t="0" r="22225" b="31115"/>
                <wp:wrapNone/>
                <wp:docPr id="7471" name="shape7471"/>
                <wp:cNvGraphicFramePr/>
                <a:graphic>
                  <a:graphicData uri="http://schemas.microsoft.com/office/word/2010/wordprocessingShape">
                    <wps:wsp>
                      <wps:cNvSpPr/>
                      <wps:spPr>
                        <a:xfrm>
                          <a:off x="0" y="0"/>
                          <a:ext cx="787400" cy="2667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316pt;margin-top:140pt;mso-wrap-style:square;z-index:10267408;mso-wrap-distance-left:9pt;mso-wrap-distance-top:0pt;mso-wrap-distance-right:9pt;mso-wrap-distance-bottom:0pt" id="shape7471" o:spid="1618382354725" stroked="f" filled="t" fillcolor="#cdcdcd"/>
            </w:pict>
          </mc:Fallback>
        </mc:AlternateContent>
      </w:r>
      <w:r>
        <mc:AlternateContent>
          <mc:Choice Requires="wps">
            <w:drawing>
              <wp:anchor distT="0" distB="0" distL="114300" distR="114300" simplePos="false" relativeHeight="10268432" behindDoc="true" locked="false" layoutInCell="true" allowOverlap="true">
                <wp:simplePos x="0" y="0"/>
                <wp:positionH relativeFrom="page">
                  <wp:posOffset>4013200</wp:posOffset>
                </wp:positionH>
                <wp:positionV relativeFrom="page">
                  <wp:posOffset>1778000</wp:posOffset>
                </wp:positionV>
                <wp:extent cx="787400" cy="266700"/>
                <wp:effectExtent l="0" t="0" r="22225" b="31115"/>
                <wp:wrapNone/>
                <wp:docPr id="7472" name="shape7472"/>
                <wp:cNvGraphicFramePr/>
                <a:graphic>
                  <a:graphicData uri="http://schemas.microsoft.com/office/word/2010/wordprocessingShape">
                    <wps:wsp>
                      <wps:cNvSpPr/>
                      <wps:spPr>
                        <a:xfrm>
                          <a:off x="0" y="0"/>
                          <a:ext cx="787400" cy="2667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316pt;margin-top:140pt;mso-wrap-style:square;z-index:10268432;mso-wrap-distance-left:9pt;mso-wrap-distance-top:0pt;mso-wrap-distance-right:9pt;mso-wrap-distance-bottom:0pt" id="shape7472" o:spid="1618382354726" stroked="t" strokecolor="#cdcdcd" strokeweight="1pt"/>
            </w:pict>
          </mc:Fallback>
        </mc:AlternateContent>
      </w:r>
      <w:r>
        <mc:AlternateContent>
          <mc:Choice Requires="wps">
            <w:drawing>
              <wp:anchor distT="0" distB="0" distL="114300" distR="114300" simplePos="false" relativeHeight="10275600" behindDoc="true" locked="false" layoutInCell="true" allowOverlap="true">
                <wp:simplePos x="0" y="0"/>
                <wp:positionH relativeFrom="page">
                  <wp:posOffset>3759200</wp:posOffset>
                </wp:positionH>
                <wp:positionV relativeFrom="page">
                  <wp:posOffset>1498600</wp:posOffset>
                </wp:positionV>
                <wp:extent cx="1968500" cy="228600"/>
                <wp:effectExtent l="0" t="0" r="22225" b="31115"/>
                <wp:wrapNone/>
                <wp:docPr id="7479" name="shape7479"/>
                <wp:cNvGraphicFramePr/>
                <a:graphic>
                  <a:graphicData uri="http://schemas.microsoft.com/office/word/2010/wordprocessingShape">
                    <wps:wsp>
                      <wps:cNvSpPr/>
                      <wps:spPr>
                        <a:xfrm>
                          <a:off x="0" y="0"/>
                          <a:ext cx="1968500" cy="228600"/>
                        </a:xfrm>
                        <a:custGeom>
                          <a:avLst/>
                          <a:rect l="l" t="t" r="r" b="b"/>
                          <a:pathLst>
                            <a:path w="1968500" h="228600">
                              <a:moveTo>
                                <a:pt x="12662" y="6882"/>
                              </a:moveTo>
                              <a:lnTo>
                                <a:pt x="12662" y="118641"/>
                              </a:lnTo>
                              <a:lnTo>
                                <a:pt x="1957870" y="118641"/>
                              </a:lnTo>
                              <a:lnTo>
                                <a:pt x="1957870" y="22038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68500,228600" style="position:absolute;left:0;top:0;visibility:visible;mso-position-horizontal:absolute;mso-position-horizontal-relative:page;mso-position-vertical:absolute;mso-position-vertical-relative:page;width:155pt;height:18pt;margin-left:296pt;margin-top:118pt;mso-wrap-style:square;z-index:10275600;mso-wrap-distance-left:9pt;mso-wrap-distance-top:0pt;mso-wrap-distance-right:9pt;mso-wrap-distance-bottom:0pt" id="shape7479" o:spid="1618382354726" path="m12662,6882l12662,118641l1957870,118641l1957870,220384" stroked="t" strokecolor="#404040" strokeweight="1pt"/>
            </w:pict>
          </mc:Fallback>
        </mc:AlternateContent>
      </w:r>
      <w:r>
        <mc:AlternateContent>
          <mc:Choice Requires="wps">
            <w:drawing>
              <wp:anchor distT="0" distB="0" distL="114300" distR="114300" simplePos="false" relativeHeight="10276624" behindDoc="true" locked="false" layoutInCell="true" allowOverlap="true">
                <wp:simplePos x="0" y="0"/>
                <wp:positionH relativeFrom="page">
                  <wp:posOffset>5676900</wp:posOffset>
                </wp:positionH>
                <wp:positionV relativeFrom="page">
                  <wp:posOffset>1701800</wp:posOffset>
                </wp:positionV>
                <wp:extent cx="76200" cy="76200"/>
                <wp:effectExtent l="0" t="0" r="22225" b="31115"/>
                <wp:wrapNone/>
                <wp:docPr id="7480" name="shape7480"/>
                <wp:cNvGraphicFramePr/>
                <a:graphic>
                  <a:graphicData uri="http://schemas.microsoft.com/office/word/2010/wordprocessingShape">
                    <wps:wsp>
                      <wps:cNvSpPr/>
                      <wps:spPr>
                        <a:xfrm>
                          <a:off x="0" y="0"/>
                          <a:ext cx="76200" cy="76200"/>
                        </a:xfrm>
                        <a:custGeom>
                          <a:avLst/>
                          <a:rect l="l" t="t" r="r" b="b"/>
                          <a:pathLst>
                            <a:path w="76200" h="76200">
                              <a:moveTo>
                                <a:pt x="40170" y="66618"/>
                              </a:moveTo>
                              <a:lnTo>
                                <a:pt x="7527" y="1325"/>
                              </a:lnTo>
                              <a:cubicBezTo>
                                <a:pt x="28115" y="11527"/>
                                <a:pt x="52319" y="11527"/>
                                <a:pt x="72813" y="1325"/>
                              </a:cubicBezTo>
                              <a:lnTo>
                                <a:pt x="40170" y="66618"/>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447pt;margin-top:134pt;mso-wrap-style:square;z-index:10276624;mso-wrap-distance-left:9pt;mso-wrap-distance-top:0pt;mso-wrap-distance-right:9pt;mso-wrap-distance-bottom:0pt" id="shape7480" o:spid="1618382354727" path="m40170,66618l7527,1325c28115,11527,52319,11527,72813,1325l40170,66618e" stroked="f" filled="t" fillcolor="#404040"/>
            </w:pict>
          </mc:Fallback>
        </mc:AlternateContent>
      </w:r>
      <w:r>
        <mc:AlternateContent>
          <mc:Choice Requires="wps">
            <w:drawing>
              <wp:anchor distT="0" distB="0" distL="114300" distR="114300" simplePos="false" relativeHeight="10277648" behindDoc="true" locked="false" layoutInCell="true" allowOverlap="true">
                <wp:simplePos x="0" y="0"/>
                <wp:positionH relativeFrom="page">
                  <wp:posOffset>1778000</wp:posOffset>
                </wp:positionH>
                <wp:positionV relativeFrom="page">
                  <wp:posOffset>1600200</wp:posOffset>
                </wp:positionV>
                <wp:extent cx="2032000" cy="127000"/>
                <wp:effectExtent l="0" t="0" r="22225" b="31115"/>
                <wp:wrapNone/>
                <wp:docPr id="7481" name="shape7481"/>
                <wp:cNvGraphicFramePr/>
                <a:graphic>
                  <a:graphicData uri="http://schemas.microsoft.com/office/word/2010/wordprocessingShape">
                    <wps:wsp>
                      <wps:cNvSpPr/>
                      <wps:spPr>
                        <a:xfrm>
                          <a:off x="0" y="0"/>
                          <a:ext cx="2032000" cy="127000"/>
                        </a:xfrm>
                        <a:custGeom>
                          <a:avLst/>
                          <a:rect l="l" t="t" r="r" b="b"/>
                          <a:pathLst>
                            <a:path w="2032000" h="127000">
                              <a:moveTo>
                                <a:pt x="2020199" y="10456"/>
                              </a:moveTo>
                              <a:lnTo>
                                <a:pt x="9195" y="10456"/>
                              </a:lnTo>
                              <a:lnTo>
                                <a:pt x="9195" y="11878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32000,127000" style="position:absolute;left:0;top:0;visibility:visible;mso-position-horizontal:absolute;mso-position-horizontal-relative:page;mso-position-vertical:absolute;mso-position-vertical-relative:page;width:160pt;height:10pt;margin-left:140pt;margin-top:126pt;mso-wrap-style:square;z-index:10277648;mso-wrap-distance-left:9pt;mso-wrap-distance-top:0pt;mso-wrap-distance-right:9pt;mso-wrap-distance-bottom:0pt" id="shape7481" o:spid="1618382354727" path="m2020199,10456l9195,10456l9195,118784" stroked="t" strokecolor="#404040" strokeweight="1pt"/>
            </w:pict>
          </mc:Fallback>
        </mc:AlternateContent>
      </w:r>
      <w:r>
        <mc:AlternateContent>
          <mc:Choice Requires="wps">
            <w:drawing>
              <wp:anchor distT="0" distB="0" distL="114300" distR="114300" simplePos="false" relativeHeight="10278672" behindDoc="true" locked="false" layoutInCell="true" allowOverlap="true">
                <wp:simplePos x="0" y="0"/>
                <wp:positionH relativeFrom="page">
                  <wp:posOffset>1752600</wp:posOffset>
                </wp:positionH>
                <wp:positionV relativeFrom="page">
                  <wp:posOffset>1701800</wp:posOffset>
                </wp:positionV>
                <wp:extent cx="76200" cy="76200"/>
                <wp:effectExtent l="0" t="0" r="22225" b="31115"/>
                <wp:wrapNone/>
                <wp:docPr id="7482" name="shape7482"/>
                <wp:cNvGraphicFramePr/>
                <a:graphic>
                  <a:graphicData uri="http://schemas.microsoft.com/office/word/2010/wordprocessingShape">
                    <wps:wsp>
                      <wps:cNvSpPr/>
                      <wps:spPr>
                        <a:xfrm>
                          <a:off x="0" y="0"/>
                          <a:ext cx="76200" cy="76200"/>
                        </a:xfrm>
                        <a:custGeom>
                          <a:avLst/>
                          <a:rect l="l" t="t" r="r" b="b"/>
                          <a:pathLst>
                            <a:path w="76200" h="76200">
                              <a:moveTo>
                                <a:pt x="34595" y="66618"/>
                              </a:moveTo>
                              <a:lnTo>
                                <a:pt x="1952" y="1325"/>
                              </a:lnTo>
                              <a:cubicBezTo>
                                <a:pt x="22502" y="11527"/>
                                <a:pt x="46687" y="11527"/>
                                <a:pt x="67237" y="1325"/>
                              </a:cubicBezTo>
                              <a:lnTo>
                                <a:pt x="34595" y="66618"/>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138pt;margin-top:134pt;mso-wrap-style:square;z-index:10278672;mso-wrap-distance-left:9pt;mso-wrap-distance-top:0pt;mso-wrap-distance-right:9pt;mso-wrap-distance-bottom:0pt" id="shape7482" o:spid="1618382354727" path="m34595,66618l1952,1325c22502,11527,46687,11527,67237,1325l34595,66618e" stroked="f" filled="t" fillcolor="#404040"/>
            </w:pict>
          </mc:Fallback>
        </mc:AlternateContent>
      </w:r>
      <w:r>
        <mc:AlternateContent>
          <mc:Choice Requires="wps">
            <w:drawing>
              <wp:anchor distT="0" distB="0" distL="114300" distR="114300" simplePos="false" relativeHeight="10279696" behindDoc="true" locked="false" layoutInCell="true" allowOverlap="true">
                <wp:simplePos x="0" y="0"/>
                <wp:positionH relativeFrom="page">
                  <wp:posOffset>3086100</wp:posOffset>
                </wp:positionH>
                <wp:positionV relativeFrom="page">
                  <wp:posOffset>1600200</wp:posOffset>
                </wp:positionV>
                <wp:extent cx="12700" cy="127000"/>
                <wp:effectExtent l="0" t="0" r="22225" b="31115"/>
                <wp:wrapNone/>
                <wp:docPr id="7483" name="shape7483"/>
                <wp:cNvGraphicFramePr/>
                <a:graphic>
                  <a:graphicData uri="http://schemas.microsoft.com/office/word/2010/wordprocessingShape">
                    <wps:wsp>
                      <wps:cNvSpPr/>
                      <wps:spPr>
                        <a:xfrm>
                          <a:off x="0" y="0"/>
                          <a:ext cx="12700" cy="127000"/>
                        </a:xfrm>
                        <a:custGeom>
                          <a:avLst/>
                          <a:rect l="l" t="t" r="r" b="b"/>
                          <a:pathLst>
                            <a:path w="12700" h="127000">
                              <a:moveTo>
                                <a:pt x="8889" y="10456"/>
                              </a:moveTo>
                              <a:lnTo>
                                <a:pt x="8889" y="11878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27000" style="position:absolute;left:0;top:0;visibility:visible;mso-position-horizontal:absolute;mso-position-horizontal-relative:page;mso-position-vertical:absolute;mso-position-vertical-relative:page;width:1pt;height:10pt;margin-left:243pt;margin-top:126pt;mso-wrap-style:square;z-index:10279696;mso-wrap-distance-left:9pt;mso-wrap-distance-top:0pt;mso-wrap-distance-right:9pt;mso-wrap-distance-bottom:0pt" id="shape7483" o:spid="1618382354728" path="m8889,10456l8889,118784" stroked="t" strokecolor="#404040" strokeweight="1pt"/>
            </w:pict>
          </mc:Fallback>
        </mc:AlternateContent>
      </w:r>
      <w:r>
        <mc:AlternateContent>
          <mc:Choice Requires="wps">
            <w:drawing>
              <wp:anchor distT="0" distB="0" distL="114300" distR="114300" simplePos="false" relativeHeight="10280720" behindDoc="true" locked="false" layoutInCell="true" allowOverlap="true">
                <wp:simplePos x="0" y="0"/>
                <wp:positionH relativeFrom="page">
                  <wp:posOffset>3060700</wp:posOffset>
                </wp:positionH>
                <wp:positionV relativeFrom="page">
                  <wp:posOffset>1701800</wp:posOffset>
                </wp:positionV>
                <wp:extent cx="76200" cy="76200"/>
                <wp:effectExtent l="0" t="0" r="22225" b="31115"/>
                <wp:wrapNone/>
                <wp:docPr id="7484" name="shape7484"/>
                <wp:cNvGraphicFramePr/>
                <a:graphic>
                  <a:graphicData uri="http://schemas.microsoft.com/office/word/2010/wordprocessingShape">
                    <wps:wsp>
                      <wps:cNvSpPr/>
                      <wps:spPr>
                        <a:xfrm>
                          <a:off x="0" y="0"/>
                          <a:ext cx="76200" cy="76200"/>
                        </a:xfrm>
                        <a:custGeom>
                          <a:avLst/>
                          <a:rect l="l" t="t" r="r" b="b"/>
                          <a:pathLst>
                            <a:path w="76200" h="76200">
                              <a:moveTo>
                                <a:pt x="34289" y="66618"/>
                              </a:moveTo>
                              <a:lnTo>
                                <a:pt x="1647" y="1325"/>
                              </a:lnTo>
                              <a:cubicBezTo>
                                <a:pt x="22141" y="11527"/>
                                <a:pt x="46345" y="11527"/>
                                <a:pt x="66932" y="1325"/>
                              </a:cubicBezTo>
                              <a:lnTo>
                                <a:pt x="34289" y="66618"/>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41pt;margin-top:134pt;mso-wrap-style:square;z-index:10280720;mso-wrap-distance-left:9pt;mso-wrap-distance-top:0pt;mso-wrap-distance-right:9pt;mso-wrap-distance-bottom:0pt" id="shape7484" o:spid="1618382354728" path="m34289,66618l1647,1325c22141,11527,46345,11527,66932,1325l34289,66618e" stroked="f" filled="t" fillcolor="#404040"/>
            </w:pict>
          </mc:Fallback>
        </mc:AlternateContent>
      </w:r>
      <w:r>
        <mc:AlternateContent>
          <mc:Choice Requires="wps">
            <w:drawing>
              <wp:anchor distT="0" distB="0" distL="114300" distR="114300" simplePos="false" relativeHeight="10281744" behindDoc="true" locked="false" layoutInCell="true" allowOverlap="true">
                <wp:simplePos x="0" y="0"/>
                <wp:positionH relativeFrom="page">
                  <wp:posOffset>3429000</wp:posOffset>
                </wp:positionH>
                <wp:positionV relativeFrom="page">
                  <wp:posOffset>2349500</wp:posOffset>
                </wp:positionV>
                <wp:extent cx="800100" cy="469900"/>
                <wp:effectExtent l="0" t="0" r="22225" b="31115"/>
                <wp:wrapNone/>
                <wp:docPr id="7485" name="shape7485"/>
                <wp:cNvGraphicFramePr/>
                <a:graphic>
                  <a:graphicData uri="http://schemas.microsoft.com/office/word/2010/wordprocessingShape">
                    <wps:wsp>
                      <wps:cNvSpPr/>
                      <wps:spPr>
                        <a:xfrm>
                          <a:off x="0" y="0"/>
                          <a:ext cx="800100" cy="4699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3pt;height:37pt;margin-left:270pt;margin-top:185pt;mso-wrap-style:square;z-index:10281744;mso-wrap-distance-left:9pt;mso-wrap-distance-top:0pt;mso-wrap-distance-right:9pt;mso-wrap-distance-bottom:0pt" id="shape7485" o:spid="1618382354729" stroked="f" filled="t" fillcolor="#cdcdcd"/>
            </w:pict>
          </mc:Fallback>
        </mc:AlternateContent>
      </w:r>
      <w:r>
        <mc:AlternateContent>
          <mc:Choice Requires="wps">
            <w:drawing>
              <wp:anchor distT="0" distB="0" distL="114300" distR="114300" simplePos="false" relativeHeight="10282768" behindDoc="true" locked="false" layoutInCell="true" allowOverlap="true">
                <wp:simplePos x="0" y="0"/>
                <wp:positionH relativeFrom="page">
                  <wp:posOffset>3429000</wp:posOffset>
                </wp:positionH>
                <wp:positionV relativeFrom="page">
                  <wp:posOffset>2349500</wp:posOffset>
                </wp:positionV>
                <wp:extent cx="800100" cy="469900"/>
                <wp:effectExtent l="0" t="0" r="22225" b="31115"/>
                <wp:wrapNone/>
                <wp:docPr id="7486" name="shape7486"/>
                <wp:cNvGraphicFramePr/>
                <a:graphic>
                  <a:graphicData uri="http://schemas.microsoft.com/office/word/2010/wordprocessingShape">
                    <wps:wsp>
                      <wps:cNvSpPr/>
                      <wps:spPr>
                        <a:xfrm>
                          <a:off x="0" y="0"/>
                          <a:ext cx="800100" cy="4699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3pt;height:37pt;margin-left:270pt;margin-top:185pt;mso-wrap-style:square;z-index:10282768;mso-wrap-distance-left:9pt;mso-wrap-distance-top:0pt;mso-wrap-distance-right:9pt;mso-wrap-distance-bottom:0pt" id="shape7486" o:spid="1618382354729" stroked="t" strokecolor="#cdcdcd" strokeweight="1pt"/>
            </w:pict>
          </mc:Fallback>
        </mc:AlternateContent>
      </w:r>
      <w:r>
        <mc:AlternateContent>
          <mc:Choice Requires="wps">
            <w:drawing>
              <wp:anchor distT="0" distB="0" distL="114300" distR="114300" simplePos="false" relativeHeight="10285840" behindDoc="true" locked="false" layoutInCell="true" allowOverlap="true">
                <wp:simplePos x="0" y="0"/>
                <wp:positionH relativeFrom="page">
                  <wp:posOffset>3086100</wp:posOffset>
                </wp:positionH>
                <wp:positionV relativeFrom="page">
                  <wp:posOffset>2019300</wp:posOffset>
                </wp:positionV>
                <wp:extent cx="749300" cy="279400"/>
                <wp:effectExtent l="0" t="0" r="22225" b="31115"/>
                <wp:wrapNone/>
                <wp:docPr id="7489" name="shape7489"/>
                <wp:cNvGraphicFramePr/>
                <a:graphic>
                  <a:graphicData uri="http://schemas.microsoft.com/office/word/2010/wordprocessingShape">
                    <wps:wsp>
                      <wps:cNvSpPr/>
                      <wps:spPr>
                        <a:xfrm>
                          <a:off x="0" y="0"/>
                          <a:ext cx="749300" cy="279400"/>
                        </a:xfrm>
                        <a:custGeom>
                          <a:avLst/>
                          <a:rect l="l" t="t" r="r" b="b"/>
                          <a:pathLst>
                            <a:path w="749300" h="279400">
                              <a:moveTo>
                                <a:pt x="8889" y="11962"/>
                              </a:moveTo>
                              <a:lnTo>
                                <a:pt x="8889" y="130306"/>
                              </a:lnTo>
                              <a:lnTo>
                                <a:pt x="744927" y="130306"/>
                              </a:lnTo>
                              <a:lnTo>
                                <a:pt x="744927" y="278052"/>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279400" style="position:absolute;left:0;top:0;visibility:visible;mso-position-horizontal:absolute;mso-position-horizontal-relative:page;mso-position-vertical:absolute;mso-position-vertical-relative:page;width:59pt;height:22pt;margin-left:243pt;margin-top:159pt;mso-wrap-style:square;z-index:10285840;mso-wrap-distance-left:9pt;mso-wrap-distance-top:0pt;mso-wrap-distance-right:9pt;mso-wrap-distance-bottom:0pt" id="shape7489" o:spid="1618382354729" path="m8889,11962l8889,130306l744927,130306l744927,278052" stroked="t" strokecolor="#404040" strokeweight="1pt"/>
            </w:pict>
          </mc:Fallback>
        </mc:AlternateContent>
      </w:r>
      <w:r>
        <mc:AlternateContent>
          <mc:Choice Requires="wps">
            <w:drawing>
              <wp:anchor distT="0" distB="0" distL="114300" distR="114300" simplePos="false" relativeHeight="10286864" behindDoc="true" locked="false" layoutInCell="true" allowOverlap="true">
                <wp:simplePos x="0" y="0"/>
                <wp:positionH relativeFrom="page">
                  <wp:posOffset>3797300</wp:posOffset>
                </wp:positionH>
                <wp:positionV relativeFrom="page">
                  <wp:posOffset>2273300</wp:posOffset>
                </wp:positionV>
                <wp:extent cx="76200" cy="76200"/>
                <wp:effectExtent l="0" t="0" r="22225" b="31115"/>
                <wp:wrapNone/>
                <wp:docPr id="7490" name="shape7490"/>
                <wp:cNvGraphicFramePr/>
                <a:graphic>
                  <a:graphicData uri="http://schemas.microsoft.com/office/word/2010/wordprocessingShape">
                    <wps:wsp>
                      <wps:cNvSpPr/>
                      <wps:spPr>
                        <a:xfrm>
                          <a:off x="0" y="0"/>
                          <a:ext cx="76200" cy="76200"/>
                        </a:xfrm>
                        <a:custGeom>
                          <a:avLst/>
                          <a:rect l="l" t="t" r="r" b="b"/>
                          <a:pathLst>
                            <a:path w="76200" h="76200">
                              <a:moveTo>
                                <a:pt x="33727" y="73486"/>
                              </a:moveTo>
                              <a:lnTo>
                                <a:pt x="1084" y="8193"/>
                              </a:lnTo>
                              <a:cubicBezTo>
                                <a:pt x="21578" y="18488"/>
                                <a:pt x="45782" y="18488"/>
                                <a:pt x="66369" y="8193"/>
                              </a:cubicBezTo>
                              <a:lnTo>
                                <a:pt x="66369" y="8193"/>
                              </a:lnTo>
                              <a:lnTo>
                                <a:pt x="33727" y="73486"/>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99pt;margin-top:179pt;mso-wrap-style:square;z-index:10286864;mso-wrap-distance-left:9pt;mso-wrap-distance-top:0pt;mso-wrap-distance-right:9pt;mso-wrap-distance-bottom:0pt" id="shape7490" o:spid="1618382354730" path="m33727,73486l1084,8193c21578,18488,45782,18488,66369,8193l66369,8193l33727,73486e" stroked="f" filled="t" fillcolor="#404040"/>
            </w:pict>
          </mc:Fallback>
        </mc:AlternateContent>
      </w:r>
      <w:r>
        <mc:AlternateContent>
          <mc:Choice Requires="wps">
            <w:drawing>
              <wp:anchor distT="0" distB="0" distL="114300" distR="114300" simplePos="false" relativeHeight="10287888" behindDoc="true" locked="false" layoutInCell="true" allowOverlap="true">
                <wp:simplePos x="0" y="0"/>
                <wp:positionH relativeFrom="page">
                  <wp:posOffset>1676400</wp:posOffset>
                </wp:positionH>
                <wp:positionV relativeFrom="page">
                  <wp:posOffset>3695700</wp:posOffset>
                </wp:positionV>
                <wp:extent cx="1181100" cy="406400"/>
                <wp:effectExtent l="0" t="0" r="22225" b="31115"/>
                <wp:wrapNone/>
                <wp:docPr id="7491" name="shape7491"/>
                <wp:cNvGraphicFramePr/>
                <a:graphic>
                  <a:graphicData uri="http://schemas.microsoft.com/office/word/2010/wordprocessingShape">
                    <wps:wsp>
                      <wps:cNvSpPr/>
                      <wps:spPr>
                        <a:xfrm>
                          <a:off x="0" y="0"/>
                          <a:ext cx="1181100" cy="406400"/>
                        </a:xfrm>
                        <a:custGeom>
                          <a:avLst/>
                          <a:rect l="l" t="t" r="r" b="b"/>
                          <a:pathLst>
                            <a:path w="1181100" h="406400">
                              <a:moveTo>
                                <a:pt x="3013" y="202459"/>
                              </a:moveTo>
                              <a:lnTo>
                                <a:pt x="591213" y="5280"/>
                              </a:lnTo>
                              <a:lnTo>
                                <a:pt x="1179338" y="202459"/>
                              </a:lnTo>
                              <a:lnTo>
                                <a:pt x="591213" y="399638"/>
                              </a:lnTo>
                              <a:lnTo>
                                <a:pt x="3013" y="202459"/>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132pt;margin-top:291pt;mso-wrap-style:square;z-index:10287888;mso-wrap-distance-left:9pt;mso-wrap-distance-top:0pt;mso-wrap-distance-right:9pt;mso-wrap-distance-bottom:0pt" id="shape7491" o:spid="1618382354730" path="m3013,202459l591213,5280l1179338,202459l591213,399638l3013,202459e" stroked="f" filled="t" fillcolor="#cdcdcd"/>
            </w:pict>
          </mc:Fallback>
        </mc:AlternateContent>
      </w:r>
      <w:r>
        <mc:AlternateContent>
          <mc:Choice Requires="wps">
            <w:drawing>
              <wp:anchor distT="0" distB="0" distL="114300" distR="114300" simplePos="false" relativeHeight="10288912" behindDoc="true" locked="false" layoutInCell="true" allowOverlap="true">
                <wp:simplePos x="0" y="0"/>
                <wp:positionH relativeFrom="page">
                  <wp:posOffset>1676400</wp:posOffset>
                </wp:positionH>
                <wp:positionV relativeFrom="page">
                  <wp:posOffset>3695700</wp:posOffset>
                </wp:positionV>
                <wp:extent cx="1181100" cy="406400"/>
                <wp:effectExtent l="0" t="0" r="22225" b="31115"/>
                <wp:wrapNone/>
                <wp:docPr id="7492" name="shape7492"/>
                <wp:cNvGraphicFramePr/>
                <a:graphic>
                  <a:graphicData uri="http://schemas.microsoft.com/office/word/2010/wordprocessingShape">
                    <wps:wsp>
                      <wps:cNvSpPr/>
                      <wps:spPr>
                        <a:xfrm>
                          <a:off x="0" y="0"/>
                          <a:ext cx="1181100" cy="406400"/>
                        </a:xfrm>
                        <a:custGeom>
                          <a:avLst/>
                          <a:rect l="l" t="t" r="r" b="b"/>
                          <a:pathLst>
                            <a:path w="1181100" h="406400">
                              <a:moveTo>
                                <a:pt x="3013" y="202459"/>
                              </a:moveTo>
                              <a:lnTo>
                                <a:pt x="591213" y="5280"/>
                              </a:lnTo>
                              <a:lnTo>
                                <a:pt x="1179338" y="202459"/>
                              </a:lnTo>
                              <a:lnTo>
                                <a:pt x="591213" y="399638"/>
                              </a:lnTo>
                              <a:lnTo>
                                <a:pt x="3013" y="202459"/>
                              </a:lnTo>
                              <a:close/>
                            </a:path>
                          </a:pathLst>
                        </a:cu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132pt;margin-top:291pt;mso-wrap-style:square;z-index:10288912;mso-wrap-distance-left:9pt;mso-wrap-distance-top:0pt;mso-wrap-distance-right:9pt;mso-wrap-distance-bottom:0pt" id="shape7492" o:spid="1618382354731" path="m3013,202459l591213,5280l1179338,202459l591213,399638l3013,202459e" stroked="t" strokecolor="#cdcdcd" strokeweight="1pt"/>
            </w:pict>
          </mc:Fallback>
        </mc:AlternateContent>
      </w:r>
      <w:r>
        <mc:AlternateContent>
          <mc:Choice Requires="wps">
            <w:drawing>
              <wp:anchor distT="0" distB="0" distL="114300" distR="114300" simplePos="false" relativeHeight="10290960" behindDoc="true" locked="false" layoutInCell="true" allowOverlap="true">
                <wp:simplePos x="0" y="0"/>
                <wp:positionH relativeFrom="page">
                  <wp:posOffset>1676400</wp:posOffset>
                </wp:positionH>
                <wp:positionV relativeFrom="page">
                  <wp:posOffset>3683000</wp:posOffset>
                </wp:positionV>
                <wp:extent cx="1181100" cy="406400"/>
                <wp:effectExtent l="0" t="0" r="22225" b="31115"/>
                <wp:wrapNone/>
                <wp:docPr id="7494" name="shape7494"/>
                <wp:cNvGraphicFramePr/>
                <a:graphic>
                  <a:graphicData uri="http://schemas.microsoft.com/office/word/2010/wordprocessingShape">
                    <wps:wsp>
                      <wps:cNvSpPr/>
                      <wps:spPr>
                        <a:xfrm>
                          <a:off x="0" y="0"/>
                          <a:ext cx="1181100" cy="406400"/>
                        </a:xfrm>
                        <a:custGeom>
                          <a:avLst/>
                          <a:rect l="l" t="t" r="r" b="b"/>
                          <a:pathLst>
                            <a:path w="1181100" h="406400">
                              <a:moveTo>
                                <a:pt x="2360" y="201803"/>
                              </a:moveTo>
                              <a:lnTo>
                                <a:pt x="590559" y="4624"/>
                              </a:lnTo>
                              <a:lnTo>
                                <a:pt x="1178684" y="201803"/>
                              </a:lnTo>
                              <a:lnTo>
                                <a:pt x="590559" y="398983"/>
                              </a:lnTo>
                              <a:lnTo>
                                <a:pt x="2360" y="201803"/>
                              </a:lnTo>
                              <a:close/>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132pt;margin-top:290pt;mso-wrap-style:square;z-index:10290960;mso-wrap-distance-left:9pt;mso-wrap-distance-top:0pt;mso-wrap-distance-right:9pt;mso-wrap-distance-bottom:0pt" id="shape7494" o:spid="1618382354731" path="m2360,201803l590559,4624l1178684,201803l590559,398983l2360,201803e" stroked="t" strokecolor="#404040" strokeweight="1pt"/>
            </w:pict>
          </mc:Fallback>
        </mc:AlternateContent>
      </w:r>
      <w:r>
        <mc:AlternateContent>
          <mc:Choice Requires="wps">
            <w:drawing>
              <wp:anchor distT="0" distB="0" distL="114300" distR="114300" simplePos="false" relativeHeight="10291984" behindDoc="true" locked="false" layoutInCell="true" allowOverlap="true">
                <wp:simplePos x="0" y="0"/>
                <wp:positionH relativeFrom="page">
                  <wp:posOffset>2260600</wp:posOffset>
                </wp:positionH>
                <wp:positionV relativeFrom="page">
                  <wp:posOffset>3403600</wp:posOffset>
                </wp:positionV>
                <wp:extent cx="520700" cy="241300"/>
                <wp:effectExtent l="0" t="0" r="22225" b="31115"/>
                <wp:wrapNone/>
                <wp:docPr id="7495" name="shape7495"/>
                <wp:cNvGraphicFramePr/>
                <a:graphic>
                  <a:graphicData uri="http://schemas.microsoft.com/office/word/2010/wordprocessingShape">
                    <wps:wsp>
                      <wps:cNvSpPr/>
                      <wps:spPr>
                        <a:xfrm>
                          <a:off x="0" y="0"/>
                          <a:ext cx="520700" cy="241300"/>
                        </a:xfrm>
                        <a:custGeom>
                          <a:avLst/>
                          <a:rect l="l" t="t" r="r" b="b"/>
                          <a:pathLst>
                            <a:path w="520700" h="241300">
                              <a:moveTo>
                                <a:pt x="518905" y="34257"/>
                              </a:moveTo>
                              <a:lnTo>
                                <a:pt x="139341" y="34257"/>
                              </a:lnTo>
                              <a:cubicBezTo>
                                <a:pt x="139341" y="18861"/>
                                <a:pt x="126822" y="6433"/>
                                <a:pt x="111520" y="6433"/>
                              </a:cubicBezTo>
                              <a:cubicBezTo>
                                <a:pt x="96126" y="6433"/>
                                <a:pt x="83700" y="18861"/>
                                <a:pt x="83700" y="34257"/>
                              </a:cubicBezTo>
                              <a:lnTo>
                                <a:pt x="6359" y="34257"/>
                              </a:lnTo>
                              <a:lnTo>
                                <a:pt x="6359" y="234590"/>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20700,241300" style="position:absolute;left:0;top:0;visibility:visible;mso-position-horizontal:absolute;mso-position-horizontal-relative:page;mso-position-vertical:absolute;mso-position-vertical-relative:page;width:41pt;height:19pt;margin-left:178pt;margin-top:268pt;mso-wrap-style:square;z-index:10291984;mso-wrap-distance-left:9pt;mso-wrap-distance-top:0pt;mso-wrap-distance-right:9pt;mso-wrap-distance-bottom:0pt" id="shape7495" o:spid="1618382354731" path="m518905,34257l139341,34257c139341,18861,126822,6433,111520,6433c96126,6433,83700,18861,83700,34257l6359,34257l6359,234590" stroked="t" strokecolor="#404040" strokeweight="1pt"/>
            </w:pict>
          </mc:Fallback>
        </mc:AlternateContent>
      </w:r>
      <w:r>
        <mc:AlternateContent>
          <mc:Choice Requires="wps">
            <w:drawing>
              <wp:anchor distT="0" distB="0" distL="114300" distR="114300" simplePos="false" relativeHeight="10294032" behindDoc="true" locked="false" layoutInCell="true" allowOverlap="true">
                <wp:simplePos x="0" y="0"/>
                <wp:positionH relativeFrom="page">
                  <wp:posOffset>3848100</wp:posOffset>
                </wp:positionH>
                <wp:positionV relativeFrom="page">
                  <wp:posOffset>3721100</wp:posOffset>
                </wp:positionV>
                <wp:extent cx="977900" cy="279400"/>
                <wp:effectExtent l="0" t="0" r="22225" b="31115"/>
                <wp:wrapNone/>
                <wp:docPr id="7497" name="shape7497"/>
                <wp:cNvGraphicFramePr/>
                <a:graphic>
                  <a:graphicData uri="http://schemas.microsoft.com/office/word/2010/wordprocessingShape">
                    <wps:wsp>
                      <wps:cNvSpPr/>
                      <wps:spPr>
                        <a:xfrm>
                          <a:off x="0" y="0"/>
                          <a:ext cx="977900" cy="2794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7pt;height:22pt;margin-left:303pt;margin-top:293pt;mso-wrap-style:square;z-index:10294032;mso-wrap-distance-left:9pt;mso-wrap-distance-top:0pt;mso-wrap-distance-right:9pt;mso-wrap-distance-bottom:0pt" id="shape7497" o:spid="1618382354732" stroked="f" filled="t" fillcolor="#cdcdcd"/>
            </w:pict>
          </mc:Fallback>
        </mc:AlternateContent>
      </w:r>
      <w:r>
        <mc:AlternateContent>
          <mc:Choice Requires="wps">
            <w:drawing>
              <wp:anchor distT="0" distB="0" distL="114300" distR="114300" simplePos="false" relativeHeight="10295056" behindDoc="true" locked="false" layoutInCell="true" allowOverlap="true">
                <wp:simplePos x="0" y="0"/>
                <wp:positionH relativeFrom="page">
                  <wp:posOffset>3848100</wp:posOffset>
                </wp:positionH>
                <wp:positionV relativeFrom="page">
                  <wp:posOffset>3721100</wp:posOffset>
                </wp:positionV>
                <wp:extent cx="977900" cy="279400"/>
                <wp:effectExtent l="0" t="0" r="22225" b="31115"/>
                <wp:wrapNone/>
                <wp:docPr id="7498" name="shape7498"/>
                <wp:cNvGraphicFramePr/>
                <a:graphic>
                  <a:graphicData uri="http://schemas.microsoft.com/office/word/2010/wordprocessingShape">
                    <wps:wsp>
                      <wps:cNvSpPr/>
                      <wps:spPr>
                        <a:xfrm>
                          <a:off x="0" y="0"/>
                          <a:ext cx="977900" cy="2794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7pt;height:22pt;margin-left:303pt;margin-top:293pt;mso-wrap-style:square;z-index:10295056;mso-wrap-distance-left:9pt;mso-wrap-distance-top:0pt;mso-wrap-distance-right:9pt;mso-wrap-distance-bottom:0pt" id="shape7498" o:spid="1618382354732" stroked="t" strokecolor="#cdcdcd" strokeweight="1pt"/>
            </w:pict>
          </mc:Fallback>
        </mc:AlternateContent>
      </w:r>
      <w:r>
        <mc:AlternateContent>
          <mc:Choice Requires="wps">
            <w:drawing>
              <wp:anchor distT="0" distB="0" distL="114300" distR="114300" simplePos="false" relativeHeight="10298128" behindDoc="true" locked="false" layoutInCell="true" allowOverlap="true">
                <wp:simplePos x="0" y="0"/>
                <wp:positionH relativeFrom="page">
                  <wp:posOffset>1193800</wp:posOffset>
                </wp:positionH>
                <wp:positionV relativeFrom="page">
                  <wp:posOffset>2298700</wp:posOffset>
                </wp:positionV>
                <wp:extent cx="1181100" cy="406400"/>
                <wp:effectExtent l="0" t="0" r="22225" b="31115"/>
                <wp:wrapNone/>
                <wp:docPr id="7501" name="shape7501"/>
                <wp:cNvGraphicFramePr/>
                <a:graphic>
                  <a:graphicData uri="http://schemas.microsoft.com/office/word/2010/wordprocessingShape">
                    <wps:wsp>
                      <wps:cNvSpPr/>
                      <wps:spPr>
                        <a:xfrm>
                          <a:off x="0" y="0"/>
                          <a:ext cx="1181100" cy="406400"/>
                        </a:xfrm>
                        <a:custGeom>
                          <a:avLst/>
                          <a:rect l="l" t="t" r="r" b="b"/>
                          <a:pathLst>
                            <a:path w="1181100" h="406400">
                              <a:moveTo>
                                <a:pt x="2594" y="206033"/>
                              </a:moveTo>
                              <a:lnTo>
                                <a:pt x="590766" y="8855"/>
                              </a:lnTo>
                              <a:lnTo>
                                <a:pt x="1178974" y="206033"/>
                              </a:lnTo>
                              <a:lnTo>
                                <a:pt x="590766" y="403213"/>
                              </a:lnTo>
                              <a:lnTo>
                                <a:pt x="2594" y="206033"/>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94pt;margin-top:181pt;mso-wrap-style:square;z-index:10298128;mso-wrap-distance-left:9pt;mso-wrap-distance-top:0pt;mso-wrap-distance-right:9pt;mso-wrap-distance-bottom:0pt" id="shape7501" o:spid="1618382354732" path="m2594,206033l590766,8855l1178974,206033l590766,403213l2594,206033e" stroked="f" filled="t" fillcolor="#cdcdcd"/>
            </w:pict>
          </mc:Fallback>
        </mc:AlternateContent>
      </w:r>
      <w:r>
        <mc:AlternateContent>
          <mc:Choice Requires="wps">
            <w:drawing>
              <wp:anchor distT="0" distB="0" distL="114300" distR="114300" simplePos="false" relativeHeight="10299152" behindDoc="true" locked="false" layoutInCell="true" allowOverlap="true">
                <wp:simplePos x="0" y="0"/>
                <wp:positionH relativeFrom="page">
                  <wp:posOffset>1193800</wp:posOffset>
                </wp:positionH>
                <wp:positionV relativeFrom="page">
                  <wp:posOffset>2298700</wp:posOffset>
                </wp:positionV>
                <wp:extent cx="1181100" cy="406400"/>
                <wp:effectExtent l="0" t="0" r="22225" b="31115"/>
                <wp:wrapNone/>
                <wp:docPr id="7502" name="shape7502"/>
                <wp:cNvGraphicFramePr/>
                <a:graphic>
                  <a:graphicData uri="http://schemas.microsoft.com/office/word/2010/wordprocessingShape">
                    <wps:wsp>
                      <wps:cNvSpPr/>
                      <wps:spPr>
                        <a:xfrm>
                          <a:off x="0" y="0"/>
                          <a:ext cx="1181100" cy="406400"/>
                        </a:xfrm>
                        <a:custGeom>
                          <a:avLst/>
                          <a:rect l="l" t="t" r="r" b="b"/>
                          <a:pathLst>
                            <a:path w="1181100" h="406400">
                              <a:moveTo>
                                <a:pt x="2594" y="206033"/>
                              </a:moveTo>
                              <a:lnTo>
                                <a:pt x="590766" y="8855"/>
                              </a:lnTo>
                              <a:lnTo>
                                <a:pt x="1178974" y="206033"/>
                              </a:lnTo>
                              <a:lnTo>
                                <a:pt x="590766" y="403213"/>
                              </a:lnTo>
                              <a:lnTo>
                                <a:pt x="2594" y="206033"/>
                              </a:lnTo>
                              <a:close/>
                            </a:path>
                          </a:pathLst>
                        </a:cu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94pt;margin-top:181pt;mso-wrap-style:square;z-index:10299152;mso-wrap-distance-left:9pt;mso-wrap-distance-top:0pt;mso-wrap-distance-right:9pt;mso-wrap-distance-bottom:0pt" id="shape7502" o:spid="1618382354733" path="m2594,206033l590766,8855l1178974,206033l590766,403213l2594,206033e" stroked="t" strokecolor="#cdcdcd" strokeweight="1pt"/>
            </w:pict>
          </mc:Fallback>
        </mc:AlternateContent>
      </w:r>
      <w:r>
        <mc:AlternateContent>
          <mc:Choice Requires="wps">
            <w:drawing>
              <wp:anchor distT="0" distB="0" distL="114300" distR="114300" simplePos="false" relativeHeight="10301200" behindDoc="true" locked="false" layoutInCell="true" allowOverlap="true">
                <wp:simplePos x="0" y="0"/>
                <wp:positionH relativeFrom="page">
                  <wp:posOffset>1193800</wp:posOffset>
                </wp:positionH>
                <wp:positionV relativeFrom="page">
                  <wp:posOffset>2286000</wp:posOffset>
                </wp:positionV>
                <wp:extent cx="1181100" cy="406400"/>
                <wp:effectExtent l="0" t="0" r="22225" b="31115"/>
                <wp:wrapNone/>
                <wp:docPr id="7504" name="shape7504"/>
                <wp:cNvGraphicFramePr/>
                <a:graphic>
                  <a:graphicData uri="http://schemas.microsoft.com/office/word/2010/wordprocessingShape">
                    <wps:wsp>
                      <wps:cNvSpPr/>
                      <wps:spPr>
                        <a:xfrm>
                          <a:off x="0" y="0"/>
                          <a:ext cx="1181100" cy="406400"/>
                        </a:xfrm>
                        <a:custGeom>
                          <a:avLst/>
                          <a:rect l="l" t="t" r="r" b="b"/>
                          <a:pathLst>
                            <a:path w="1181100" h="406400">
                              <a:moveTo>
                                <a:pt x="1940" y="205378"/>
                              </a:moveTo>
                              <a:lnTo>
                                <a:pt x="590112" y="8199"/>
                              </a:lnTo>
                              <a:lnTo>
                                <a:pt x="1178320" y="205378"/>
                              </a:lnTo>
                              <a:lnTo>
                                <a:pt x="590112" y="402558"/>
                              </a:lnTo>
                              <a:lnTo>
                                <a:pt x="1940" y="205378"/>
                              </a:lnTo>
                              <a:close/>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94pt;margin-top:180pt;mso-wrap-style:square;z-index:10301200;mso-wrap-distance-left:9pt;mso-wrap-distance-top:0pt;mso-wrap-distance-right:9pt;mso-wrap-distance-bottom:0pt" id="shape7504" o:spid="1618382354733" path="m1940,205378l590112,8199l1178320,205378l590112,402558l1940,205378e" stroked="t" strokecolor="#404040" strokeweight="1pt"/>
            </w:pict>
          </mc:Fallback>
        </mc:AlternateContent>
      </w:r>
      <w:r>
        <mc:AlternateContent>
          <mc:Choice Requires="wps">
            <w:drawing>
              <wp:anchor distT="0" distB="0" distL="114300" distR="114300" simplePos="false" relativeHeight="10302224" behindDoc="true" locked="false" layoutInCell="true" allowOverlap="true">
                <wp:simplePos x="0" y="0"/>
                <wp:positionH relativeFrom="page">
                  <wp:posOffset>1193800</wp:posOffset>
                </wp:positionH>
                <wp:positionV relativeFrom="page">
                  <wp:posOffset>1892300</wp:posOffset>
                </wp:positionV>
                <wp:extent cx="558800" cy="355600"/>
                <wp:effectExtent l="0" t="0" r="22225" b="31115"/>
                <wp:wrapNone/>
                <wp:docPr id="7505" name="shape7505"/>
                <wp:cNvGraphicFramePr/>
                <a:graphic>
                  <a:graphicData uri="http://schemas.microsoft.com/office/word/2010/wordprocessingShape">
                    <wps:wsp>
                      <wps:cNvSpPr/>
                      <wps:spPr>
                        <a:xfrm>
                          <a:off x="0" y="0"/>
                          <a:ext cx="558800" cy="355600"/>
                        </a:xfrm>
                        <a:custGeom>
                          <a:avLst/>
                          <a:rect l="l" t="t" r="r" b="b"/>
                          <a:pathLst>
                            <a:path w="558800" h="355600">
                              <a:moveTo>
                                <a:pt x="167560" y="7540"/>
                              </a:moveTo>
                              <a:lnTo>
                                <a:pt x="9837" y="7540"/>
                              </a:lnTo>
                              <a:lnTo>
                                <a:pt x="9837" y="244137"/>
                              </a:lnTo>
                              <a:lnTo>
                                <a:pt x="552012" y="244137"/>
                              </a:lnTo>
                              <a:lnTo>
                                <a:pt x="552012" y="352465"/>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58800,355600" style="position:absolute;left:0;top:0;visibility:visible;mso-position-horizontal:absolute;mso-position-horizontal-relative:page;mso-position-vertical:absolute;mso-position-vertical-relative:page;width:44pt;height:28pt;margin-left:94pt;margin-top:149pt;mso-wrap-style:square;z-index:10302224;mso-wrap-distance-left:9pt;mso-wrap-distance-top:0pt;mso-wrap-distance-right:9pt;mso-wrap-distance-bottom:0pt" id="shape7505" o:spid="1618382354734" path="m167560,7540l9837,7540l9837,244137l552012,244137l552012,352465" stroked="t" strokecolor="#404040" strokeweight="1pt"/>
            </w:pict>
          </mc:Fallback>
        </mc:AlternateContent>
      </w:r>
      <w:r>
        <mc:AlternateContent>
          <mc:Choice Requires="wps">
            <w:drawing>
              <wp:anchor distT="0" distB="0" distL="114300" distR="114300" simplePos="false" relativeHeight="10303248" behindDoc="true" locked="false" layoutInCell="true" allowOverlap="true">
                <wp:simplePos x="0" y="0"/>
                <wp:positionH relativeFrom="page">
                  <wp:posOffset>1739900</wp:posOffset>
                </wp:positionH>
                <wp:positionV relativeFrom="page">
                  <wp:posOffset>2222500</wp:posOffset>
                </wp:positionV>
                <wp:extent cx="88900" cy="76200"/>
                <wp:effectExtent l="0" t="0" r="22225" b="31115"/>
                <wp:wrapNone/>
                <wp:docPr id="7506" name="shape7506"/>
                <wp:cNvGraphicFramePr/>
                <a:graphic>
                  <a:graphicData uri="http://schemas.microsoft.com/office/word/2010/wordprocessingShape">
                    <wps:wsp>
                      <wps:cNvSpPr/>
                      <wps:spPr>
                        <a:xfrm>
                          <a:off x="0" y="0"/>
                          <a:ext cx="88900" cy="76200"/>
                        </a:xfrm>
                        <a:custGeom>
                          <a:avLst/>
                          <a:rect l="l" t="t" r="r" b="b"/>
                          <a:pathLst>
                            <a:path w="88900" h="76200">
                              <a:moveTo>
                                <a:pt x="44012" y="71699"/>
                              </a:moveTo>
                              <a:lnTo>
                                <a:pt x="11369" y="6405"/>
                              </a:lnTo>
                              <a:cubicBezTo>
                                <a:pt x="31919" y="16700"/>
                                <a:pt x="56104" y="16700"/>
                                <a:pt x="76655" y="6405"/>
                              </a:cubicBezTo>
                              <a:lnTo>
                                <a:pt x="44012" y="7169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137pt;margin-top:175pt;mso-wrap-style:square;z-index:10303248;mso-wrap-distance-left:9pt;mso-wrap-distance-top:0pt;mso-wrap-distance-right:9pt;mso-wrap-distance-bottom:0pt" id="shape7506" o:spid="1618382354734" path="m44012,71699l11369,6405c31919,16700,56104,16700,76655,6405l44012,71699e" stroked="f" filled="t" fillcolor="#404040"/>
            </w:pict>
          </mc:Fallback>
        </mc:AlternateContent>
      </w:r>
      <w:r>
        <mc:AlternateContent>
          <mc:Choice Requires="wps">
            <w:drawing>
              <wp:anchor distT="0" distB="0" distL="114300" distR="114300" simplePos="false" relativeHeight="10304272" behindDoc="true" locked="false" layoutInCell="true" allowOverlap="true">
                <wp:simplePos x="0" y="0"/>
                <wp:positionH relativeFrom="page">
                  <wp:posOffset>2362200</wp:posOffset>
                </wp:positionH>
                <wp:positionV relativeFrom="page">
                  <wp:posOffset>2489200</wp:posOffset>
                </wp:positionV>
                <wp:extent cx="889000" cy="444500"/>
                <wp:effectExtent l="0" t="0" r="22225" b="31115"/>
                <wp:wrapNone/>
                <wp:docPr id="7507" name="shape7507"/>
                <wp:cNvGraphicFramePr/>
                <a:graphic>
                  <a:graphicData uri="http://schemas.microsoft.com/office/word/2010/wordprocessingShape">
                    <wps:wsp>
                      <wps:cNvSpPr/>
                      <wps:spPr>
                        <a:xfrm>
                          <a:off x="0" y="0"/>
                          <a:ext cx="889000" cy="444500"/>
                        </a:xfrm>
                        <a:custGeom>
                          <a:avLst/>
                          <a:rect l="l" t="t" r="r" b="b"/>
                          <a:pathLst>
                            <a:path w="889000" h="444500">
                              <a:moveTo>
                                <a:pt x="9920" y="2178"/>
                              </a:moveTo>
                              <a:lnTo>
                                <a:pt x="877363" y="2178"/>
                              </a:lnTo>
                              <a:lnTo>
                                <a:pt x="877363" y="439108"/>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0,444500" style="position:absolute;left:0;top:0;visibility:visible;mso-position-horizontal:absolute;mso-position-horizontal-relative:page;mso-position-vertical:absolute;mso-position-vertical-relative:page;width:70pt;height:35pt;margin-left:186pt;margin-top:196pt;mso-wrap-style:square;z-index:10304272;mso-wrap-distance-left:9pt;mso-wrap-distance-top:0pt;mso-wrap-distance-right:9pt;mso-wrap-distance-bottom:0pt" id="shape7507" o:spid="1618382354734" path="m9920,2178l877363,2178l877363,439108" stroked="t" strokecolor="#404040" strokeweight="1pt"/>
            </w:pict>
          </mc:Fallback>
        </mc:AlternateContent>
      </w:r>
      <w:r>
        <mc:AlternateContent>
          <mc:Choice Requires="wps">
            <w:drawing>
              <wp:anchor distT="0" distB="0" distL="114300" distR="114300" simplePos="false" relativeHeight="10305296" behindDoc="true" locked="false" layoutInCell="true" allowOverlap="true">
                <wp:simplePos x="0" y="0"/>
                <wp:positionH relativeFrom="page">
                  <wp:posOffset>3200400</wp:posOffset>
                </wp:positionH>
                <wp:positionV relativeFrom="page">
                  <wp:posOffset>2908300</wp:posOffset>
                </wp:positionV>
                <wp:extent cx="76200" cy="76200"/>
                <wp:effectExtent l="0" t="0" r="22225" b="31115"/>
                <wp:wrapNone/>
                <wp:docPr id="7508" name="shape7508"/>
                <wp:cNvGraphicFramePr/>
                <a:graphic>
                  <a:graphicData uri="http://schemas.microsoft.com/office/word/2010/wordprocessingShape">
                    <wps:wsp>
                      <wps:cNvSpPr/>
                      <wps:spPr>
                        <a:xfrm>
                          <a:off x="0" y="0"/>
                          <a:ext cx="76200" cy="76200"/>
                        </a:xfrm>
                        <a:custGeom>
                          <a:avLst/>
                          <a:rect l="l" t="t" r="r" b="b"/>
                          <a:pathLst>
                            <a:path w="76200" h="76200">
                              <a:moveTo>
                                <a:pt x="39163" y="69442"/>
                              </a:moveTo>
                              <a:lnTo>
                                <a:pt x="6521" y="4147"/>
                              </a:lnTo>
                              <a:cubicBezTo>
                                <a:pt x="27108" y="14443"/>
                                <a:pt x="51219" y="14443"/>
                                <a:pt x="71806" y="4147"/>
                              </a:cubicBezTo>
                              <a:lnTo>
                                <a:pt x="71806" y="4147"/>
                              </a:lnTo>
                              <a:lnTo>
                                <a:pt x="39163" y="69442"/>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52pt;margin-top:229pt;mso-wrap-style:square;z-index:10305296;mso-wrap-distance-left:9pt;mso-wrap-distance-top:0pt;mso-wrap-distance-right:9pt;mso-wrap-distance-bottom:0pt" id="shape7508" o:spid="1618382354735" path="m39163,69442l6521,4147c27108,14443,51219,14443,71806,4147l71806,4147l39163,69442e" stroked="f" filled="t" fillcolor="#404040"/>
            </w:pict>
          </mc:Fallback>
        </mc:AlternateContent>
      </w:r>
      <w:r>
        <mc:AlternateContent>
          <mc:Choice Requires="wps">
            <w:drawing>
              <wp:anchor distT="0" distB="0" distL="114300" distR="114300" simplePos="false" relativeHeight="10306320" behindDoc="true" locked="false" layoutInCell="true" allowOverlap="true">
                <wp:simplePos x="0" y="0"/>
                <wp:positionH relativeFrom="page">
                  <wp:posOffset>1193800</wp:posOffset>
                </wp:positionH>
                <wp:positionV relativeFrom="page">
                  <wp:posOffset>3035300</wp:posOffset>
                </wp:positionV>
                <wp:extent cx="990600" cy="279400"/>
                <wp:effectExtent l="0" t="0" r="22225" b="31115"/>
                <wp:wrapNone/>
                <wp:docPr id="7509" name="shape7509"/>
                <wp:cNvGraphicFramePr/>
                <a:graphic>
                  <a:graphicData uri="http://schemas.microsoft.com/office/word/2010/wordprocessingShape">
                    <wps:wsp>
                      <wps:cNvSpPr/>
                      <wps:spPr>
                        <a:xfrm>
                          <a:off x="0" y="0"/>
                          <a:ext cx="990600" cy="2794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8pt;height:22pt;margin-left:94pt;margin-top:239pt;mso-wrap-style:square;z-index:10306320;mso-wrap-distance-left:9pt;mso-wrap-distance-top:0pt;mso-wrap-distance-right:9pt;mso-wrap-distance-bottom:0pt" id="shape7509" o:spid="1618382354735" stroked="f" filled="t" fillcolor="#cdcdcd"/>
            </w:pict>
          </mc:Fallback>
        </mc:AlternateContent>
      </w:r>
      <w:r>
        <mc:AlternateContent>
          <mc:Choice Requires="wps">
            <w:drawing>
              <wp:anchor distT="0" distB="0" distL="114300" distR="114300" simplePos="false" relativeHeight="10307344" behindDoc="true" locked="false" layoutInCell="true" allowOverlap="true">
                <wp:simplePos x="0" y="0"/>
                <wp:positionH relativeFrom="page">
                  <wp:posOffset>1193800</wp:posOffset>
                </wp:positionH>
                <wp:positionV relativeFrom="page">
                  <wp:posOffset>3035300</wp:posOffset>
                </wp:positionV>
                <wp:extent cx="990600" cy="279400"/>
                <wp:effectExtent l="0" t="0" r="22225" b="31115"/>
                <wp:wrapNone/>
                <wp:docPr id="7510" name="shape7510"/>
                <wp:cNvGraphicFramePr/>
                <a:graphic>
                  <a:graphicData uri="http://schemas.microsoft.com/office/word/2010/wordprocessingShape">
                    <wps:wsp>
                      <wps:cNvSpPr/>
                      <wps:spPr>
                        <a:xfrm>
                          <a:off x="0" y="0"/>
                          <a:ext cx="990600" cy="2794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8pt;height:22pt;margin-left:94pt;margin-top:239pt;mso-wrap-style:square;z-index:10307344;mso-wrap-distance-left:9pt;mso-wrap-distance-top:0pt;mso-wrap-distance-right:9pt;mso-wrap-distance-bottom:0pt" id="shape7510" o:spid="1618382354736" stroked="t" strokecolor="#cdcdcd" strokeweight="1pt"/>
            </w:pict>
          </mc:Fallback>
        </mc:AlternateContent>
      </w:r>
      <w:r>
        <mc:AlternateContent>
          <mc:Choice Requires="wps">
            <w:drawing>
              <wp:anchor distT="0" distB="0" distL="114300" distR="114300" simplePos="false" relativeHeight="10310416" behindDoc="true" locked="false" layoutInCell="true" allowOverlap="true">
                <wp:simplePos x="0" y="0"/>
                <wp:positionH relativeFrom="page">
                  <wp:posOffset>3695700</wp:posOffset>
                </wp:positionH>
                <wp:positionV relativeFrom="page">
                  <wp:posOffset>3429000</wp:posOffset>
                </wp:positionV>
                <wp:extent cx="660400" cy="241300"/>
                <wp:effectExtent l="0" t="0" r="22225" b="31115"/>
                <wp:wrapNone/>
                <wp:docPr id="7513" name="shape7513"/>
                <wp:cNvGraphicFramePr/>
                <a:graphic>
                  <a:graphicData uri="http://schemas.microsoft.com/office/word/2010/wordprocessingShape">
                    <wps:wsp>
                      <wps:cNvSpPr/>
                      <wps:spPr>
                        <a:xfrm>
                          <a:off x="0" y="0"/>
                          <a:ext cx="660400" cy="241300"/>
                        </a:xfrm>
                        <a:custGeom>
                          <a:avLst/>
                          <a:rect l="l" t="t" r="r" b="b"/>
                          <a:pathLst>
                            <a:path w="660400" h="241300">
                              <a:moveTo>
                                <a:pt x="3921" y="8857"/>
                              </a:moveTo>
                              <a:lnTo>
                                <a:pt x="651211" y="8857"/>
                              </a:lnTo>
                              <a:lnTo>
                                <a:pt x="651211" y="235437"/>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660400,241300" style="position:absolute;left:0;top:0;visibility:visible;mso-position-horizontal:absolute;mso-position-horizontal-relative:page;mso-position-vertical:absolute;mso-position-vertical-relative:page;width:52pt;height:19pt;margin-left:291pt;margin-top:270pt;mso-wrap-style:square;z-index:10310416;mso-wrap-distance-left:9pt;mso-wrap-distance-top:0pt;mso-wrap-distance-right:9pt;mso-wrap-distance-bottom:0pt" id="shape7513" o:spid="1618382354736" path="m3921,8857l651211,8857l651211,235437" stroked="t" strokecolor="#404040" strokeweight="1pt"/>
            </w:pict>
          </mc:Fallback>
        </mc:AlternateContent>
      </w:r>
      <w:r>
        <mc:AlternateContent>
          <mc:Choice Requires="wps">
            <w:drawing>
              <wp:anchor distT="0" distB="0" distL="114300" distR="114300" simplePos="false" relativeHeight="10311440" behindDoc="true" locked="false" layoutInCell="true" allowOverlap="true">
                <wp:simplePos x="0" y="0"/>
                <wp:positionH relativeFrom="page">
                  <wp:posOffset>4305300</wp:posOffset>
                </wp:positionH>
                <wp:positionV relativeFrom="page">
                  <wp:posOffset>3644900</wp:posOffset>
                </wp:positionV>
                <wp:extent cx="76200" cy="76200"/>
                <wp:effectExtent l="0" t="0" r="22225" b="31115"/>
                <wp:wrapNone/>
                <wp:docPr id="7514" name="shape7514"/>
                <wp:cNvGraphicFramePr/>
                <a:graphic>
                  <a:graphicData uri="http://schemas.microsoft.com/office/word/2010/wordprocessingShape">
                    <wps:wsp>
                      <wps:cNvSpPr/>
                      <wps:spPr>
                        <a:xfrm>
                          <a:off x="0" y="0"/>
                          <a:ext cx="76200" cy="76200"/>
                        </a:xfrm>
                        <a:custGeom>
                          <a:avLst/>
                          <a:rect l="l" t="t" r="r" b="b"/>
                          <a:pathLst>
                            <a:path w="76200" h="76200">
                              <a:moveTo>
                                <a:pt x="41611" y="68971"/>
                              </a:moveTo>
                              <a:lnTo>
                                <a:pt x="8969" y="3678"/>
                              </a:lnTo>
                              <a:cubicBezTo>
                                <a:pt x="29463" y="13973"/>
                                <a:pt x="53667" y="13973"/>
                                <a:pt x="74254" y="3678"/>
                              </a:cubicBezTo>
                              <a:lnTo>
                                <a:pt x="41611" y="6897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339pt;margin-top:287pt;mso-wrap-style:square;z-index:10311440;mso-wrap-distance-left:9pt;mso-wrap-distance-top:0pt;mso-wrap-distance-right:9pt;mso-wrap-distance-bottom:0pt" id="shape7514" o:spid="1618382354737" path="m41611,68971l8969,3678c29463,13973,53667,13973,74254,3678l41611,68971e" stroked="f" filled="t" fillcolor="#404040"/>
            </w:pict>
          </mc:Fallback>
        </mc:AlternateContent>
      </w:r>
      <w:r>
        <mc:AlternateContent>
          <mc:Choice Requires="wps">
            <w:drawing>
              <wp:anchor distT="0" distB="0" distL="114300" distR="114300" simplePos="false" relativeHeight="10312464" behindDoc="true" locked="false" layoutInCell="true" allowOverlap="true">
                <wp:simplePos x="0" y="0"/>
                <wp:positionH relativeFrom="page">
                  <wp:posOffset>1866900</wp:posOffset>
                </wp:positionH>
                <wp:positionV relativeFrom="page">
                  <wp:posOffset>4356100</wp:posOffset>
                </wp:positionV>
                <wp:extent cx="787400" cy="266700"/>
                <wp:effectExtent l="0" t="0" r="22225" b="31115"/>
                <wp:wrapNone/>
                <wp:docPr id="7515" name="shape7515"/>
                <wp:cNvGraphicFramePr/>
                <a:graphic>
                  <a:graphicData uri="http://schemas.microsoft.com/office/word/2010/wordprocessingShape">
                    <wps:wsp>
                      <wps:cNvSpPr/>
                      <wps:spPr>
                        <a:xfrm>
                          <a:off x="0" y="0"/>
                          <a:ext cx="787400" cy="2667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147pt;margin-top:343pt;mso-wrap-style:square;z-index:10312464;mso-wrap-distance-left:9pt;mso-wrap-distance-top:0pt;mso-wrap-distance-right:9pt;mso-wrap-distance-bottom:0pt" id="shape7515" o:spid="1618382354737" stroked="f" filled="t" fillcolor="#cdcdcd"/>
            </w:pict>
          </mc:Fallback>
        </mc:AlternateContent>
      </w:r>
      <w:r>
        <mc:AlternateContent>
          <mc:Choice Requires="wps">
            <w:drawing>
              <wp:anchor distT="0" distB="0" distL="114300" distR="114300" simplePos="false" relativeHeight="10313488" behindDoc="true" locked="false" layoutInCell="true" allowOverlap="true">
                <wp:simplePos x="0" y="0"/>
                <wp:positionH relativeFrom="page">
                  <wp:posOffset>1866900</wp:posOffset>
                </wp:positionH>
                <wp:positionV relativeFrom="page">
                  <wp:posOffset>4356100</wp:posOffset>
                </wp:positionV>
                <wp:extent cx="787400" cy="266700"/>
                <wp:effectExtent l="0" t="0" r="22225" b="31115"/>
                <wp:wrapNone/>
                <wp:docPr id="7516" name="shape7516"/>
                <wp:cNvGraphicFramePr/>
                <a:graphic>
                  <a:graphicData uri="http://schemas.microsoft.com/office/word/2010/wordprocessingShape">
                    <wps:wsp>
                      <wps:cNvSpPr/>
                      <wps:spPr>
                        <a:xfrm>
                          <a:off x="0" y="0"/>
                          <a:ext cx="787400" cy="2667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147pt;margin-top:343pt;mso-wrap-style:square;z-index:10313488;mso-wrap-distance-left:9pt;mso-wrap-distance-top:0pt;mso-wrap-distance-right:9pt;mso-wrap-distance-bottom:0pt" id="shape7516" o:spid="1618382354737" stroked="t" strokecolor="#cdcdcd" strokeweight="1pt"/>
            </w:pict>
          </mc:Fallback>
        </mc:AlternateContent>
      </w:r>
      <w:r>
        <mc:AlternateContent>
          <mc:Choice Requires="wps">
            <w:drawing>
              <wp:anchor distT="0" distB="0" distL="114300" distR="114300" simplePos="false" relativeHeight="10316560" behindDoc="true" locked="false" layoutInCell="true" allowOverlap="true">
                <wp:simplePos x="0" y="0"/>
                <wp:positionH relativeFrom="page">
                  <wp:posOffset>1638300</wp:posOffset>
                </wp:positionH>
                <wp:positionV relativeFrom="page">
                  <wp:posOffset>4876800</wp:posOffset>
                </wp:positionV>
                <wp:extent cx="1257300" cy="381000"/>
                <wp:effectExtent l="0" t="0" r="22225" b="31115"/>
                <wp:wrapNone/>
                <wp:docPr id="7519" name="shape7519"/>
                <wp:cNvGraphicFramePr/>
                <a:graphic>
                  <a:graphicData uri="http://schemas.microsoft.com/office/word/2010/wordprocessingShape">
                    <wps:wsp>
                      <wps:cNvSpPr/>
                      <wps:spPr>
                        <a:xfrm>
                          <a:off x="0" y="0"/>
                          <a:ext cx="1257300" cy="3810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9pt;height:30pt;margin-left:129pt;margin-top:384pt;mso-wrap-style:square;z-index:10316560;mso-wrap-distance-left:9pt;mso-wrap-distance-top:0pt;mso-wrap-distance-right:9pt;mso-wrap-distance-bottom:0pt" id="shape7519" o:spid="1618382354738" stroked="f" filled="t" fillcolor="#cdcdcd"/>
            </w:pict>
          </mc:Fallback>
        </mc:AlternateContent>
      </w:r>
      <w:r>
        <mc:AlternateContent>
          <mc:Choice Requires="wps">
            <w:drawing>
              <wp:anchor distT="0" distB="0" distL="114300" distR="114300" simplePos="false" relativeHeight="10317584" behindDoc="true" locked="false" layoutInCell="true" allowOverlap="true">
                <wp:simplePos x="0" y="0"/>
                <wp:positionH relativeFrom="page">
                  <wp:posOffset>1638300</wp:posOffset>
                </wp:positionH>
                <wp:positionV relativeFrom="page">
                  <wp:posOffset>4876800</wp:posOffset>
                </wp:positionV>
                <wp:extent cx="1257300" cy="381000"/>
                <wp:effectExtent l="0" t="0" r="22225" b="31115"/>
                <wp:wrapNone/>
                <wp:docPr id="7520" name="shape7520"/>
                <wp:cNvGraphicFramePr/>
                <a:graphic>
                  <a:graphicData uri="http://schemas.microsoft.com/office/word/2010/wordprocessingShape">
                    <wps:wsp>
                      <wps:cNvSpPr/>
                      <wps:spPr>
                        <a:xfrm>
                          <a:off x="0" y="0"/>
                          <a:ext cx="1257300" cy="3810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9pt;height:30pt;margin-left:129pt;margin-top:384pt;mso-wrap-style:square;z-index:10317584;mso-wrap-distance-left:9pt;mso-wrap-distance-top:0pt;mso-wrap-distance-right:9pt;mso-wrap-distance-bottom:0pt" id="shape7520" o:spid="1618382354738" stroked="t" strokecolor="#cdcdcd" strokeweight="1pt"/>
            </w:pict>
          </mc:Fallback>
        </mc:AlternateContent>
      </w:r>
      <w:r>
        <mc:AlternateContent>
          <mc:Choice Requires="wps">
            <w:drawing>
              <wp:anchor distT="0" distB="0" distL="114300" distR="114300" simplePos="false" relativeHeight="10322704" behindDoc="true" locked="false" layoutInCell="true" allowOverlap="true">
                <wp:simplePos x="0" y="0"/>
                <wp:positionH relativeFrom="page">
                  <wp:posOffset>1676400</wp:posOffset>
                </wp:positionH>
                <wp:positionV relativeFrom="page">
                  <wp:posOffset>4470400</wp:posOffset>
                </wp:positionV>
                <wp:extent cx="1409700" cy="596900"/>
                <wp:effectExtent l="0" t="0" r="22225" b="31115"/>
                <wp:wrapNone/>
                <wp:docPr id="7525" name="shape7525"/>
                <wp:cNvGraphicFramePr/>
                <a:graphic>
                  <a:graphicData uri="http://schemas.microsoft.com/office/word/2010/wordprocessingShape">
                    <wps:wsp>
                      <wps:cNvSpPr/>
                      <wps:spPr>
                        <a:xfrm>
                          <a:off x="0" y="0"/>
                          <a:ext cx="1409700" cy="596900"/>
                        </a:xfrm>
                        <a:custGeom>
                          <a:avLst/>
                          <a:rect l="l" t="t" r="r" b="b"/>
                          <a:pathLst>
                            <a:path w="1409700" h="596900">
                              <a:moveTo>
                                <a:pt x="202834" y="5941"/>
                              </a:moveTo>
                              <a:lnTo>
                                <a:pt x="5652" y="5941"/>
                              </a:lnTo>
                              <a:lnTo>
                                <a:pt x="5652" y="316735"/>
                              </a:lnTo>
                              <a:lnTo>
                                <a:pt x="1408759" y="316735"/>
                              </a:lnTo>
                              <a:lnTo>
                                <a:pt x="1408759" y="584309"/>
                              </a:lnTo>
                              <a:lnTo>
                                <a:pt x="1261033" y="584309"/>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09700,596900" style="position:absolute;left:0;top:0;visibility:visible;mso-position-horizontal:absolute;mso-position-horizontal-relative:page;mso-position-vertical:absolute;mso-position-vertical-relative:page;width:111pt;height:47pt;margin-left:132pt;margin-top:352pt;mso-wrap-style:square;z-index:10322704;mso-wrap-distance-left:9pt;mso-wrap-distance-top:0pt;mso-wrap-distance-right:9pt;mso-wrap-distance-bottom:0pt" id="shape7525" o:spid="1618382354739" path="m202834,5941l5652,5941l5652,316735l1408759,316735l1408759,584309l1261033,584309" stroked="t" strokecolor="#404040" strokeweight="1pt"/>
            </w:pict>
          </mc:Fallback>
        </mc:AlternateContent>
      </w:r>
      <w:r>
        <mc:AlternateContent>
          <mc:Choice Requires="wps">
            <w:drawing>
              <wp:anchor distT="0" distB="0" distL="114300" distR="114300" simplePos="false" relativeHeight="10323728" behindDoc="true" locked="false" layoutInCell="true" allowOverlap="true">
                <wp:simplePos x="0" y="0"/>
                <wp:positionH relativeFrom="page">
                  <wp:posOffset>2882900</wp:posOffset>
                </wp:positionH>
                <wp:positionV relativeFrom="page">
                  <wp:posOffset>5016500</wp:posOffset>
                </wp:positionV>
                <wp:extent cx="76200" cy="76200"/>
                <wp:effectExtent l="0" t="0" r="22225" b="31115"/>
                <wp:wrapNone/>
                <wp:docPr id="7526" name="shape7526"/>
                <wp:cNvGraphicFramePr/>
                <a:graphic>
                  <a:graphicData uri="http://schemas.microsoft.com/office/word/2010/wordprocessingShape">
                    <wps:wsp>
                      <wps:cNvSpPr/>
                      <wps:spPr>
                        <a:xfrm>
                          <a:off x="0" y="0"/>
                          <a:ext cx="76200" cy="76200"/>
                        </a:xfrm>
                        <a:custGeom>
                          <a:avLst/>
                          <a:rect l="l" t="t" r="r" b="b"/>
                          <a:pathLst>
                            <a:path w="76200" h="76200">
                              <a:moveTo>
                                <a:pt x="5105" y="38209"/>
                              </a:moveTo>
                              <a:lnTo>
                                <a:pt x="70390" y="5563"/>
                              </a:lnTo>
                              <a:cubicBezTo>
                                <a:pt x="60097" y="26060"/>
                                <a:pt x="60097" y="50267"/>
                                <a:pt x="70390" y="70856"/>
                              </a:cubicBezTo>
                              <a:lnTo>
                                <a:pt x="5105" y="3820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27pt;margin-top:395pt;mso-wrap-style:square;z-index:10323728;mso-wrap-distance-left:9pt;mso-wrap-distance-top:0pt;mso-wrap-distance-right:9pt;mso-wrap-distance-bottom:0pt" id="shape7526" o:spid="1618382354739" path="m5105,38209l70390,5563c60097,26060,60097,50267,70390,70856l5105,38209e" stroked="f" filled="t" fillcolor="#404040"/>
            </w:pict>
          </mc:Fallback>
        </mc:AlternateContent>
      </w:r>
      <w:r>
        <mc:AlternateContent>
          <mc:Choice Requires="wps">
            <w:drawing>
              <wp:anchor distT="0" distB="0" distL="114300" distR="114300" simplePos="false" relativeHeight="10324752" behindDoc="true" locked="false" layoutInCell="true" allowOverlap="true">
                <wp:simplePos x="0" y="0"/>
                <wp:positionH relativeFrom="page">
                  <wp:posOffset>3848100</wp:posOffset>
                </wp:positionH>
                <wp:positionV relativeFrom="page">
                  <wp:posOffset>4216400</wp:posOffset>
                </wp:positionV>
                <wp:extent cx="1193800" cy="406400"/>
                <wp:effectExtent l="0" t="0" r="22225" b="31115"/>
                <wp:wrapNone/>
                <wp:docPr id="7527" name="shape7527"/>
                <wp:cNvGraphicFramePr/>
                <a:graphic>
                  <a:graphicData uri="http://schemas.microsoft.com/office/word/2010/wordprocessingShape">
                    <wps:wsp>
                      <wps:cNvSpPr/>
                      <wps:spPr>
                        <a:xfrm>
                          <a:off x="0" y="0"/>
                          <a:ext cx="1193800" cy="406400"/>
                        </a:xfrm>
                        <a:custGeom>
                          <a:avLst/>
                          <a:rect l="l" t="t" r="r" b="b"/>
                          <a:pathLst>
                            <a:path w="1193800" h="406400">
                              <a:moveTo>
                                <a:pt x="5021" y="207540"/>
                              </a:moveTo>
                              <a:lnTo>
                                <a:pt x="593239" y="10360"/>
                              </a:lnTo>
                              <a:lnTo>
                                <a:pt x="1181364" y="207540"/>
                              </a:lnTo>
                              <a:lnTo>
                                <a:pt x="593239" y="404719"/>
                              </a:lnTo>
                              <a:lnTo>
                                <a:pt x="5021" y="207540"/>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93800,406400" style="position:absolute;left:0;top:0;visibility:visible;mso-position-horizontal:absolute;mso-position-horizontal-relative:page;mso-position-vertical:absolute;mso-position-vertical-relative:page;width:94pt;height:32pt;margin-left:303pt;margin-top:332pt;mso-wrap-style:square;z-index:10324752;mso-wrap-distance-left:9pt;mso-wrap-distance-top:0pt;mso-wrap-distance-right:9pt;mso-wrap-distance-bottom:0pt" id="shape7527" o:spid="1618382354739" path="m5021,207540l593239,10360l1181364,207540l593239,404719l5021,207540e" stroked="f" filled="t" fillcolor="#cdcdcd"/>
            </w:pict>
          </mc:Fallback>
        </mc:AlternateContent>
      </w:r>
      <w:r>
        <mc:AlternateContent>
          <mc:Choice Requires="wps">
            <w:drawing>
              <wp:anchor distT="0" distB="0" distL="114300" distR="114300" simplePos="false" relativeHeight="10325776" behindDoc="true" locked="false" layoutInCell="true" allowOverlap="true">
                <wp:simplePos x="0" y="0"/>
                <wp:positionH relativeFrom="page">
                  <wp:posOffset>3848100</wp:posOffset>
                </wp:positionH>
                <wp:positionV relativeFrom="page">
                  <wp:posOffset>4216400</wp:posOffset>
                </wp:positionV>
                <wp:extent cx="1193800" cy="406400"/>
                <wp:effectExtent l="0" t="0" r="22225" b="31115"/>
                <wp:wrapNone/>
                <wp:docPr id="7528" name="shape7528"/>
                <wp:cNvGraphicFramePr/>
                <a:graphic>
                  <a:graphicData uri="http://schemas.microsoft.com/office/word/2010/wordprocessingShape">
                    <wps:wsp>
                      <wps:cNvSpPr/>
                      <wps:spPr>
                        <a:xfrm>
                          <a:off x="0" y="0"/>
                          <a:ext cx="1193800" cy="406400"/>
                        </a:xfrm>
                        <a:custGeom>
                          <a:avLst/>
                          <a:rect l="l" t="t" r="r" b="b"/>
                          <a:pathLst>
                            <a:path w="1193800" h="406400">
                              <a:moveTo>
                                <a:pt x="5021" y="207540"/>
                              </a:moveTo>
                              <a:lnTo>
                                <a:pt x="593239" y="10360"/>
                              </a:lnTo>
                              <a:lnTo>
                                <a:pt x="1181364" y="207540"/>
                              </a:lnTo>
                              <a:lnTo>
                                <a:pt x="593239" y="404719"/>
                              </a:lnTo>
                              <a:lnTo>
                                <a:pt x="5021" y="207540"/>
                              </a:lnTo>
                              <a:close/>
                            </a:path>
                          </a:pathLst>
                        </a:cu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93800,406400" style="position:absolute;left:0;top:0;visibility:visible;mso-position-horizontal:absolute;mso-position-horizontal-relative:page;mso-position-vertical:absolute;mso-position-vertical-relative:page;width:94pt;height:32pt;margin-left:303pt;margin-top:332pt;mso-wrap-style:square;z-index:10325776;mso-wrap-distance-left:9pt;mso-wrap-distance-top:0pt;mso-wrap-distance-right:9pt;mso-wrap-distance-bottom:0pt" id="shape7528" o:spid="1618382354740" path="m5021,207540l593239,10360l1181364,207540l593239,404719l5021,207540e" stroked="t" strokecolor="#cdcdcd" strokeweight="1pt"/>
            </w:pict>
          </mc:Fallback>
        </mc:AlternateContent>
      </w:r>
      <w:r>
        <mc:AlternateContent>
          <mc:Choice Requires="wps">
            <w:drawing>
              <wp:anchor distT="0" distB="0" distL="114300" distR="114300" simplePos="false" relativeHeight="10327824" behindDoc="true" locked="false" layoutInCell="true" allowOverlap="true">
                <wp:simplePos x="0" y="0"/>
                <wp:positionH relativeFrom="page">
                  <wp:posOffset>3848100</wp:posOffset>
                </wp:positionH>
                <wp:positionV relativeFrom="page">
                  <wp:posOffset>4203700</wp:posOffset>
                </wp:positionV>
                <wp:extent cx="1181100" cy="406400"/>
                <wp:effectExtent l="0" t="0" r="22225" b="31115"/>
                <wp:wrapNone/>
                <wp:docPr id="7530" name="shape7530"/>
                <wp:cNvGraphicFramePr/>
                <a:graphic>
                  <a:graphicData uri="http://schemas.microsoft.com/office/word/2010/wordprocessingShape">
                    <wps:wsp>
                      <wps:cNvSpPr/>
                      <wps:spPr>
                        <a:xfrm>
                          <a:off x="0" y="0"/>
                          <a:ext cx="1181100" cy="406400"/>
                        </a:xfrm>
                        <a:custGeom>
                          <a:avLst/>
                          <a:rect l="l" t="t" r="r" b="b"/>
                          <a:pathLst>
                            <a:path w="1181100" h="406400">
                              <a:moveTo>
                                <a:pt x="4367" y="206884"/>
                              </a:moveTo>
                              <a:lnTo>
                                <a:pt x="592585" y="9705"/>
                              </a:lnTo>
                              <a:lnTo>
                                <a:pt x="1180710" y="206884"/>
                              </a:lnTo>
                              <a:lnTo>
                                <a:pt x="592585" y="404063"/>
                              </a:lnTo>
                              <a:lnTo>
                                <a:pt x="4367" y="206884"/>
                              </a:lnTo>
                              <a:close/>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303pt;margin-top:331pt;mso-wrap-style:square;z-index:10327824;mso-wrap-distance-left:9pt;mso-wrap-distance-top:0pt;mso-wrap-distance-right:9pt;mso-wrap-distance-bottom:0pt" id="shape7530" o:spid="1618382354740" path="m4367,206884l592585,9705l1180710,206884l592585,404063l4367,206884e" stroked="t" strokecolor="#404040" strokeweight="1pt"/>
            </w:pict>
          </mc:Fallback>
        </mc:AlternateContent>
      </w:r>
      <w:r>
        <mc:AlternateContent>
          <mc:Choice Requires="wps">
            <w:drawing>
              <wp:anchor distT="0" distB="0" distL="114300" distR="114300" simplePos="false" relativeHeight="10328848" behindDoc="true" locked="false" layoutInCell="true" allowOverlap="true">
                <wp:simplePos x="0" y="0"/>
                <wp:positionH relativeFrom="page">
                  <wp:posOffset>4254500</wp:posOffset>
                </wp:positionH>
                <wp:positionV relativeFrom="page">
                  <wp:posOffset>5562600</wp:posOffset>
                </wp:positionV>
                <wp:extent cx="1130300" cy="279400"/>
                <wp:effectExtent l="0" t="0" r="22225" b="31115"/>
                <wp:wrapNone/>
                <wp:docPr id="7531" name="shape7531"/>
                <wp:cNvGraphicFramePr/>
                <a:graphic>
                  <a:graphicData uri="http://schemas.microsoft.com/office/word/2010/wordprocessingShape">
                    <wps:wsp>
                      <wps:cNvSpPr/>
                      <wps:spPr>
                        <a:xfrm>
                          <a:off x="0" y="0"/>
                          <a:ext cx="1130300" cy="2794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2pt;margin-left:335pt;margin-top:438pt;mso-wrap-style:square;z-index:10328848;mso-wrap-distance-left:9pt;mso-wrap-distance-top:0pt;mso-wrap-distance-right:9pt;mso-wrap-distance-bottom:0pt" id="shape7531" o:spid="1618382354741" stroked="f" filled="t" fillcolor="#cdcdcd"/>
            </w:pict>
          </mc:Fallback>
        </mc:AlternateContent>
      </w:r>
      <w:r>
        <mc:AlternateContent>
          <mc:Choice Requires="wps">
            <w:drawing>
              <wp:anchor distT="0" distB="0" distL="114300" distR="114300" simplePos="false" relativeHeight="10329872" behindDoc="true" locked="false" layoutInCell="true" allowOverlap="true">
                <wp:simplePos x="0" y="0"/>
                <wp:positionH relativeFrom="page">
                  <wp:posOffset>4254500</wp:posOffset>
                </wp:positionH>
                <wp:positionV relativeFrom="page">
                  <wp:posOffset>5562600</wp:posOffset>
                </wp:positionV>
                <wp:extent cx="1130300" cy="279400"/>
                <wp:effectExtent l="0" t="0" r="22225" b="31115"/>
                <wp:wrapNone/>
                <wp:docPr id="7532" name="shape7532"/>
                <wp:cNvGraphicFramePr/>
                <a:graphic>
                  <a:graphicData uri="http://schemas.microsoft.com/office/word/2010/wordprocessingShape">
                    <wps:wsp>
                      <wps:cNvSpPr/>
                      <wps:spPr>
                        <a:xfrm>
                          <a:off x="0" y="0"/>
                          <a:ext cx="1130300" cy="2794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2pt;margin-left:335pt;margin-top:438pt;mso-wrap-style:square;z-index:10329872;mso-wrap-distance-left:9pt;mso-wrap-distance-top:0pt;mso-wrap-distance-right:9pt;mso-wrap-distance-bottom:0pt" id="shape7532" o:spid="1618382354741" stroked="t" strokecolor="#cdcdcd" strokeweight="1pt"/>
            </w:pict>
          </mc:Fallback>
        </mc:AlternateContent>
      </w:r>
      <w:r>
        <mc:AlternateContent>
          <mc:Choice Requires="wps">
            <w:drawing>
              <wp:anchor distT="0" distB="0" distL="114300" distR="114300" simplePos="false" relativeHeight="10332944" behindDoc="true" locked="false" layoutInCell="true" allowOverlap="true">
                <wp:simplePos x="0" y="0"/>
                <wp:positionH relativeFrom="page">
                  <wp:posOffset>4254500</wp:posOffset>
                </wp:positionH>
                <wp:positionV relativeFrom="page">
                  <wp:posOffset>6032500</wp:posOffset>
                </wp:positionV>
                <wp:extent cx="1130300" cy="279400"/>
                <wp:effectExtent l="0" t="0" r="22225" b="31115"/>
                <wp:wrapNone/>
                <wp:docPr id="7535" name="shape7535"/>
                <wp:cNvGraphicFramePr/>
                <a:graphic>
                  <a:graphicData uri="http://schemas.microsoft.com/office/word/2010/wordprocessingShape">
                    <wps:wsp>
                      <wps:cNvSpPr/>
                      <wps:spPr>
                        <a:xfrm>
                          <a:off x="0" y="0"/>
                          <a:ext cx="1130300" cy="2794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2pt;margin-left:335pt;margin-top:475pt;mso-wrap-style:square;z-index:10332944;mso-wrap-distance-left:9pt;mso-wrap-distance-top:0pt;mso-wrap-distance-right:9pt;mso-wrap-distance-bottom:0pt" id="shape7535" o:spid="1618382354741" stroked="f" filled="t" fillcolor="#cdcdcd"/>
            </w:pict>
          </mc:Fallback>
        </mc:AlternateContent>
      </w:r>
      <w:r>
        <mc:AlternateContent>
          <mc:Choice Requires="wps">
            <w:drawing>
              <wp:anchor distT="0" distB="0" distL="114300" distR="114300" simplePos="false" relativeHeight="10333968" behindDoc="true" locked="false" layoutInCell="true" allowOverlap="true">
                <wp:simplePos x="0" y="0"/>
                <wp:positionH relativeFrom="page">
                  <wp:posOffset>4254500</wp:posOffset>
                </wp:positionH>
                <wp:positionV relativeFrom="page">
                  <wp:posOffset>6032500</wp:posOffset>
                </wp:positionV>
                <wp:extent cx="1130300" cy="279400"/>
                <wp:effectExtent l="0" t="0" r="22225" b="31115"/>
                <wp:wrapNone/>
                <wp:docPr id="7536" name="shape7536"/>
                <wp:cNvGraphicFramePr/>
                <a:graphic>
                  <a:graphicData uri="http://schemas.microsoft.com/office/word/2010/wordprocessingShape">
                    <wps:wsp>
                      <wps:cNvSpPr/>
                      <wps:spPr>
                        <a:xfrm>
                          <a:off x="0" y="0"/>
                          <a:ext cx="1130300" cy="2794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2pt;margin-left:335pt;margin-top:475pt;mso-wrap-style:square;z-index:10333968;mso-wrap-distance-left:9pt;mso-wrap-distance-top:0pt;mso-wrap-distance-right:9pt;mso-wrap-distance-bottom:0pt" id="shape7536" o:spid="1618382354742" stroked="t" strokecolor="#cdcdcd" strokeweight="1pt"/>
            </w:pict>
          </mc:Fallback>
        </mc:AlternateContent>
      </w:r>
      <w:r>
        <mc:AlternateContent>
          <mc:Choice Requires="wps">
            <w:drawing>
              <wp:anchor distT="0" distB="0" distL="114300" distR="114300" simplePos="false" relativeHeight="10337040" behindDoc="true" locked="false" layoutInCell="true" allowOverlap="true">
                <wp:simplePos x="0" y="0"/>
                <wp:positionH relativeFrom="page">
                  <wp:posOffset>3759200</wp:posOffset>
                </wp:positionH>
                <wp:positionV relativeFrom="page">
                  <wp:posOffset>3835400</wp:posOffset>
                </wp:positionV>
                <wp:extent cx="1422400" cy="584200"/>
                <wp:effectExtent l="0" t="0" r="22225" b="31115"/>
                <wp:wrapNone/>
                <wp:docPr id="7539" name="shape7539"/>
                <wp:cNvGraphicFramePr/>
                <a:graphic>
                  <a:graphicData uri="http://schemas.microsoft.com/office/word/2010/wordprocessingShape">
                    <wps:wsp>
                      <wps:cNvSpPr/>
                      <wps:spPr>
                        <a:xfrm>
                          <a:off x="0" y="0"/>
                          <a:ext cx="1422400" cy="584200"/>
                        </a:xfrm>
                        <a:custGeom>
                          <a:avLst/>
                          <a:rect l="l" t="t" r="r" b="b"/>
                          <a:pathLst>
                            <a:path w="1422400" h="584200">
                              <a:moveTo>
                                <a:pt x="101409" y="9893"/>
                              </a:moveTo>
                              <a:lnTo>
                                <a:pt x="421" y="9893"/>
                              </a:lnTo>
                              <a:lnTo>
                                <a:pt x="421" y="277004"/>
                              </a:lnTo>
                              <a:lnTo>
                                <a:pt x="1421399" y="277004"/>
                              </a:lnTo>
                              <a:lnTo>
                                <a:pt x="1421399" y="575184"/>
                              </a:lnTo>
                              <a:lnTo>
                                <a:pt x="1369838" y="57518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422400,584200" style="position:absolute;left:0;top:0;visibility:visible;mso-position-horizontal:absolute;mso-position-horizontal-relative:page;mso-position-vertical:absolute;mso-position-vertical-relative:page;width:112pt;height:46pt;margin-left:296pt;margin-top:302pt;mso-wrap-style:square;z-index:10337040;mso-wrap-distance-left:9pt;mso-wrap-distance-top:0pt;mso-wrap-distance-right:9pt;mso-wrap-distance-bottom:0pt" id="shape7539" o:spid="1618382354742" path="m101409,9893l421,9893l421,277004l1421399,277004l1421399,575184l1369838,575184" stroked="t" strokecolor="#404040" strokeweight="1pt"/>
            </w:pict>
          </mc:Fallback>
        </mc:AlternateContent>
      </w:r>
      <w:r>
        <mc:AlternateContent>
          <mc:Choice Requires="wps">
            <w:drawing>
              <wp:anchor distT="0" distB="0" distL="114300" distR="114300" simplePos="false" relativeHeight="10338064" behindDoc="true" locked="false" layoutInCell="true" allowOverlap="true">
                <wp:simplePos x="0" y="0"/>
                <wp:positionH relativeFrom="page">
                  <wp:posOffset>5067300</wp:posOffset>
                </wp:positionH>
                <wp:positionV relativeFrom="page">
                  <wp:posOffset>4368800</wp:posOffset>
                </wp:positionV>
                <wp:extent cx="88900" cy="76200"/>
                <wp:effectExtent l="0" t="0" r="22225" b="31115"/>
                <wp:wrapNone/>
                <wp:docPr id="7540" name="shape7540"/>
                <wp:cNvGraphicFramePr/>
                <a:graphic>
                  <a:graphicData uri="http://schemas.microsoft.com/office/word/2010/wordprocessingShape">
                    <wps:wsp>
                      <wps:cNvSpPr/>
                      <wps:spPr>
                        <a:xfrm>
                          <a:off x="0" y="0"/>
                          <a:ext cx="88900" cy="76200"/>
                        </a:xfrm>
                        <a:custGeom>
                          <a:avLst/>
                          <a:rect l="l" t="t" r="r" b="b"/>
                          <a:pathLst>
                            <a:path w="88900" h="76200">
                              <a:moveTo>
                                <a:pt x="12310" y="41784"/>
                              </a:moveTo>
                              <a:lnTo>
                                <a:pt x="77596" y="9137"/>
                              </a:lnTo>
                              <a:cubicBezTo>
                                <a:pt x="67395" y="29635"/>
                                <a:pt x="67395" y="53841"/>
                                <a:pt x="77596" y="74431"/>
                              </a:cubicBezTo>
                              <a:lnTo>
                                <a:pt x="77596" y="74431"/>
                              </a:lnTo>
                              <a:lnTo>
                                <a:pt x="12310" y="41784"/>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399pt;margin-top:344pt;mso-wrap-style:square;z-index:10338064;mso-wrap-distance-left:9pt;mso-wrap-distance-top:0pt;mso-wrap-distance-right:9pt;mso-wrap-distance-bottom:0pt" id="shape7540" o:spid="1618382354743" path="m12310,41784l77596,9137c67395,29635,67395,53841,77596,74431l77596,74431l12310,41784e" stroked="f" filled="t" fillcolor="#404040"/>
            </w:pict>
          </mc:Fallback>
        </mc:AlternateContent>
      </w:r>
      <w:r>
        <mc:AlternateContent>
          <mc:Choice Requires="wps">
            <w:drawing>
              <wp:anchor distT="0" distB="0" distL="114300" distR="114300" simplePos="false" relativeHeight="10339088" behindDoc="true" locked="false" layoutInCell="true" allowOverlap="true">
                <wp:simplePos x="0" y="0"/>
                <wp:positionH relativeFrom="page">
                  <wp:posOffset>4813300</wp:posOffset>
                </wp:positionH>
                <wp:positionV relativeFrom="page">
                  <wp:posOffset>5816600</wp:posOffset>
                </wp:positionV>
                <wp:extent cx="12700" cy="165100"/>
                <wp:effectExtent l="0" t="0" r="22225" b="31115"/>
                <wp:wrapNone/>
                <wp:docPr id="7541" name="shape7541"/>
                <wp:cNvGraphicFramePr/>
                <a:graphic>
                  <a:graphicData uri="http://schemas.microsoft.com/office/word/2010/wordprocessingShape">
                    <wps:wsp>
                      <wps:cNvSpPr/>
                      <wps:spPr>
                        <a:xfrm>
                          <a:off x="0" y="0"/>
                          <a:ext cx="12700" cy="165100"/>
                        </a:xfrm>
                        <a:custGeom>
                          <a:avLst/>
                          <a:rect l="l" t="t" r="r" b="b"/>
                          <a:pathLst>
                            <a:path w="12700" h="165100">
                              <a:moveTo>
                                <a:pt x="3500" y="487"/>
                              </a:moveTo>
                              <a:lnTo>
                                <a:pt x="3500" y="161402"/>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65100" style="position:absolute;left:0;top:0;visibility:visible;mso-position-horizontal:absolute;mso-position-horizontal-relative:page;mso-position-vertical:absolute;mso-position-vertical-relative:page;width:1pt;height:13pt;margin-left:379pt;margin-top:458pt;mso-wrap-style:square;z-index:10339088;mso-wrap-distance-left:9pt;mso-wrap-distance-top:0pt;mso-wrap-distance-right:9pt;mso-wrap-distance-bottom:0pt" id="shape7541" o:spid="1618382354743" path="m3500,487l3500,161402" stroked="t" strokecolor="#404040" strokeweight="1pt"/>
            </w:pict>
          </mc:Fallback>
        </mc:AlternateContent>
      </w:r>
      <w:r>
        <mc:AlternateContent>
          <mc:Choice Requires="wps">
            <w:drawing>
              <wp:anchor distT="0" distB="0" distL="114300" distR="114300" simplePos="false" relativeHeight="10340112" behindDoc="true" locked="false" layoutInCell="true" allowOverlap="true">
                <wp:simplePos x="0" y="0"/>
                <wp:positionH relativeFrom="page">
                  <wp:posOffset>4775200</wp:posOffset>
                </wp:positionH>
                <wp:positionV relativeFrom="page">
                  <wp:posOffset>5956300</wp:posOffset>
                </wp:positionV>
                <wp:extent cx="76200" cy="76200"/>
                <wp:effectExtent l="0" t="0" r="22225" b="31115"/>
                <wp:wrapNone/>
                <wp:docPr id="7542" name="shape7542"/>
                <wp:cNvGraphicFramePr/>
                <a:graphic>
                  <a:graphicData uri="http://schemas.microsoft.com/office/word/2010/wordprocessingShape">
                    <wps:wsp>
                      <wps:cNvSpPr/>
                      <wps:spPr>
                        <a:xfrm>
                          <a:off x="0" y="0"/>
                          <a:ext cx="76200" cy="76200"/>
                        </a:xfrm>
                        <a:custGeom>
                          <a:avLst/>
                          <a:rect l="l" t="t" r="r" b="b"/>
                          <a:pathLst>
                            <a:path w="76200" h="76200">
                              <a:moveTo>
                                <a:pt x="41600" y="71136"/>
                              </a:moveTo>
                              <a:lnTo>
                                <a:pt x="8957" y="5842"/>
                              </a:lnTo>
                              <a:cubicBezTo>
                                <a:pt x="29451" y="16137"/>
                                <a:pt x="53655" y="16137"/>
                                <a:pt x="74242" y="5842"/>
                              </a:cubicBezTo>
                              <a:lnTo>
                                <a:pt x="74242" y="5842"/>
                              </a:lnTo>
                              <a:lnTo>
                                <a:pt x="41600" y="71136"/>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376pt;margin-top:469pt;mso-wrap-style:square;z-index:10340112;mso-wrap-distance-left:9pt;mso-wrap-distance-top:0pt;mso-wrap-distance-right:9pt;mso-wrap-distance-bottom:0pt" id="shape7542" o:spid="1618382354743" path="m41600,71136l8957,5842c29451,16137,53655,16137,74242,5842l74242,5842l41600,71136e" stroked="f" filled="t" fillcolor="#404040"/>
            </w:pict>
          </mc:Fallback>
        </mc:AlternateContent>
      </w:r>
      <w:r>
        <mc:AlternateContent>
          <mc:Choice Requires="wps">
            <w:drawing>
              <wp:anchor distT="0" distB="0" distL="114300" distR="114300" simplePos="false" relativeHeight="10341136" behindDoc="true" locked="false" layoutInCell="true" allowOverlap="true">
                <wp:simplePos x="0" y="0"/>
                <wp:positionH relativeFrom="page">
                  <wp:posOffset>4406900</wp:posOffset>
                </wp:positionH>
                <wp:positionV relativeFrom="page">
                  <wp:posOffset>1612900</wp:posOffset>
                </wp:positionV>
                <wp:extent cx="12700" cy="114300"/>
                <wp:effectExtent l="0" t="0" r="22225" b="31115"/>
                <wp:wrapNone/>
                <wp:docPr id="7543" name="shape7543"/>
                <wp:cNvGraphicFramePr/>
                <a:graphic>
                  <a:graphicData uri="http://schemas.microsoft.com/office/word/2010/wordprocessingShape">
                    <wps:wsp>
                      <wps:cNvSpPr/>
                      <wps:spPr>
                        <a:xfrm>
                          <a:off x="0" y="0"/>
                          <a:ext cx="12700" cy="114300"/>
                        </a:xfrm>
                        <a:custGeom>
                          <a:avLst/>
                          <a:rect l="l" t="t" r="r" b="b"/>
                          <a:pathLst>
                            <a:path w="12700" h="114300">
                              <a:moveTo>
                                <a:pt x="2422" y="4341"/>
                              </a:moveTo>
                              <a:lnTo>
                                <a:pt x="2422" y="10608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14300" style="position:absolute;left:0;top:0;visibility:visible;mso-position-horizontal:absolute;mso-position-horizontal-relative:page;mso-position-vertical:absolute;mso-position-vertical-relative:page;width:1pt;height:9pt;margin-left:347pt;margin-top:127pt;mso-wrap-style:square;z-index:10341136;mso-wrap-distance-left:9pt;mso-wrap-distance-top:0pt;mso-wrap-distance-right:9pt;mso-wrap-distance-bottom:0pt" id="shape7543" o:spid="1618382354744" path="m2422,4341l2422,106084" stroked="t" strokecolor="#404040" strokeweight="1pt"/>
            </w:pict>
          </mc:Fallback>
        </mc:AlternateContent>
      </w:r>
      <w:r>
        <mc:AlternateContent>
          <mc:Choice Requires="wps">
            <w:drawing>
              <wp:anchor distT="0" distB="0" distL="114300" distR="114300" simplePos="false" relativeHeight="10342160" behindDoc="true" locked="false" layoutInCell="true" allowOverlap="true">
                <wp:simplePos x="0" y="0"/>
                <wp:positionH relativeFrom="page">
                  <wp:posOffset>4368800</wp:posOffset>
                </wp:positionH>
                <wp:positionV relativeFrom="page">
                  <wp:posOffset>1701800</wp:posOffset>
                </wp:positionV>
                <wp:extent cx="76200" cy="76200"/>
                <wp:effectExtent l="0" t="0" r="22225" b="31115"/>
                <wp:wrapNone/>
                <wp:docPr id="7544" name="shape7544"/>
                <wp:cNvGraphicFramePr/>
                <a:graphic>
                  <a:graphicData uri="http://schemas.microsoft.com/office/word/2010/wordprocessingShape">
                    <wps:wsp>
                      <wps:cNvSpPr/>
                      <wps:spPr>
                        <a:xfrm>
                          <a:off x="0" y="0"/>
                          <a:ext cx="76200" cy="76200"/>
                        </a:xfrm>
                        <a:custGeom>
                          <a:avLst/>
                          <a:rect l="l" t="t" r="r" b="b"/>
                          <a:pathLst>
                            <a:path w="76200" h="76200">
                              <a:moveTo>
                                <a:pt x="40522" y="66618"/>
                              </a:moveTo>
                              <a:lnTo>
                                <a:pt x="7879" y="1325"/>
                              </a:lnTo>
                              <a:cubicBezTo>
                                <a:pt x="28466" y="11527"/>
                                <a:pt x="52670" y="11527"/>
                                <a:pt x="73165" y="1325"/>
                              </a:cubicBezTo>
                              <a:lnTo>
                                <a:pt x="40522" y="66618"/>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344pt;margin-top:134pt;mso-wrap-style:square;z-index:10342160;mso-wrap-distance-left:9pt;mso-wrap-distance-top:0pt;mso-wrap-distance-right:9pt;mso-wrap-distance-bottom:0pt" id="shape7544" o:spid="1618382354744" path="m40522,66618l7879,1325c28466,11527,52670,11527,73165,1325l40522,66618e" stroked="f" filled="t" fillcolor="#404040"/>
            </w:pict>
          </mc:Fallback>
        </mc:AlternateContent>
      </w:r>
      <w:r>
        <mc:AlternateContent>
          <mc:Choice Requires="wps">
            <w:drawing>
              <wp:anchor distT="0" distB="0" distL="114300" distR="114300" simplePos="false" relativeHeight="10343184" behindDoc="true" locked="false" layoutInCell="true" allowOverlap="true">
                <wp:simplePos x="0" y="0"/>
                <wp:positionH relativeFrom="page">
                  <wp:posOffset>1638300</wp:posOffset>
                </wp:positionH>
                <wp:positionV relativeFrom="page">
                  <wp:posOffset>5524500</wp:posOffset>
                </wp:positionV>
                <wp:extent cx="1181100" cy="406400"/>
                <wp:effectExtent l="0" t="0" r="22225" b="31115"/>
                <wp:wrapNone/>
                <wp:docPr id="7545" name="shape7545"/>
                <wp:cNvGraphicFramePr/>
                <a:graphic>
                  <a:graphicData uri="http://schemas.microsoft.com/office/word/2010/wordprocessingShape">
                    <wps:wsp>
                      <wps:cNvSpPr/>
                      <wps:spPr>
                        <a:xfrm>
                          <a:off x="0" y="0"/>
                          <a:ext cx="1181100" cy="406400"/>
                        </a:xfrm>
                        <a:custGeom>
                          <a:avLst/>
                          <a:rect l="l" t="t" r="r" b="b"/>
                          <a:pathLst>
                            <a:path w="1181100" h="406400">
                              <a:moveTo>
                                <a:pt x="3013" y="200767"/>
                              </a:moveTo>
                              <a:lnTo>
                                <a:pt x="591213" y="3588"/>
                              </a:lnTo>
                              <a:lnTo>
                                <a:pt x="1179338" y="200767"/>
                              </a:lnTo>
                              <a:lnTo>
                                <a:pt x="591213" y="397947"/>
                              </a:lnTo>
                              <a:lnTo>
                                <a:pt x="3013" y="200767"/>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129pt;margin-top:435pt;mso-wrap-style:square;z-index:10343184;mso-wrap-distance-left:9pt;mso-wrap-distance-top:0pt;mso-wrap-distance-right:9pt;mso-wrap-distance-bottom:0pt" id="shape7545" o:spid="1618382354745" path="m3013,200767l591213,3588l1179338,200767l591213,397947l3013,200767e" stroked="f" filled="t" fillcolor="#cdcdcd"/>
            </w:pict>
          </mc:Fallback>
        </mc:AlternateContent>
      </w:r>
      <w:r>
        <mc:AlternateContent>
          <mc:Choice Requires="wps">
            <w:drawing>
              <wp:anchor distT="0" distB="0" distL="114300" distR="114300" simplePos="false" relativeHeight="10344208" behindDoc="true" locked="false" layoutInCell="true" allowOverlap="true">
                <wp:simplePos x="0" y="0"/>
                <wp:positionH relativeFrom="page">
                  <wp:posOffset>1638300</wp:posOffset>
                </wp:positionH>
                <wp:positionV relativeFrom="page">
                  <wp:posOffset>5524500</wp:posOffset>
                </wp:positionV>
                <wp:extent cx="1181100" cy="406400"/>
                <wp:effectExtent l="0" t="0" r="22225" b="31115"/>
                <wp:wrapNone/>
                <wp:docPr id="7546" name="shape7546"/>
                <wp:cNvGraphicFramePr/>
                <a:graphic>
                  <a:graphicData uri="http://schemas.microsoft.com/office/word/2010/wordprocessingShape">
                    <wps:wsp>
                      <wps:cNvSpPr/>
                      <wps:spPr>
                        <a:xfrm>
                          <a:off x="0" y="0"/>
                          <a:ext cx="1181100" cy="406400"/>
                        </a:xfrm>
                        <a:custGeom>
                          <a:avLst/>
                          <a:rect l="l" t="t" r="r" b="b"/>
                          <a:pathLst>
                            <a:path w="1181100" h="406400">
                              <a:moveTo>
                                <a:pt x="3013" y="200767"/>
                              </a:moveTo>
                              <a:lnTo>
                                <a:pt x="591213" y="3588"/>
                              </a:lnTo>
                              <a:lnTo>
                                <a:pt x="1179338" y="200767"/>
                              </a:lnTo>
                              <a:lnTo>
                                <a:pt x="591213" y="397947"/>
                              </a:lnTo>
                              <a:lnTo>
                                <a:pt x="3013" y="200767"/>
                              </a:lnTo>
                              <a:close/>
                            </a:path>
                          </a:pathLst>
                        </a:cu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129pt;margin-top:435pt;mso-wrap-style:square;z-index:10344208;mso-wrap-distance-left:9pt;mso-wrap-distance-top:0pt;mso-wrap-distance-right:9pt;mso-wrap-distance-bottom:0pt" id="shape7546" o:spid="1618382354745" path="m3013,200767l591213,3588l1179338,200767l591213,397947l3013,200767e" stroked="t" strokecolor="#cdcdcd" strokeweight="1pt"/>
            </w:pict>
          </mc:Fallback>
        </mc:AlternateContent>
      </w:r>
      <w:r>
        <mc:AlternateContent>
          <mc:Choice Requires="wps">
            <w:drawing>
              <wp:anchor distT="0" distB="0" distL="114300" distR="114300" simplePos="false" relativeHeight="10346256" behindDoc="true" locked="false" layoutInCell="true" allowOverlap="true">
                <wp:simplePos x="0" y="0"/>
                <wp:positionH relativeFrom="page">
                  <wp:posOffset>1638300</wp:posOffset>
                </wp:positionH>
                <wp:positionV relativeFrom="page">
                  <wp:posOffset>5511800</wp:posOffset>
                </wp:positionV>
                <wp:extent cx="1181100" cy="406400"/>
                <wp:effectExtent l="0" t="0" r="22225" b="31115"/>
                <wp:wrapNone/>
                <wp:docPr id="7548" name="shape7548"/>
                <wp:cNvGraphicFramePr/>
                <a:graphic>
                  <a:graphicData uri="http://schemas.microsoft.com/office/word/2010/wordprocessingShape">
                    <wps:wsp>
                      <wps:cNvSpPr/>
                      <wps:spPr>
                        <a:xfrm>
                          <a:off x="0" y="0"/>
                          <a:ext cx="1181100" cy="406400"/>
                        </a:xfrm>
                        <a:custGeom>
                          <a:avLst/>
                          <a:rect l="l" t="t" r="r" b="b"/>
                          <a:pathLst>
                            <a:path w="1181100" h="406400">
                              <a:moveTo>
                                <a:pt x="2360" y="200112"/>
                              </a:moveTo>
                              <a:lnTo>
                                <a:pt x="590559" y="2933"/>
                              </a:lnTo>
                              <a:lnTo>
                                <a:pt x="1178684" y="200112"/>
                              </a:lnTo>
                              <a:lnTo>
                                <a:pt x="590559" y="397291"/>
                              </a:lnTo>
                              <a:lnTo>
                                <a:pt x="2360" y="200112"/>
                              </a:lnTo>
                              <a:close/>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181100,406400" style="position:absolute;left:0;top:0;visibility:visible;mso-position-horizontal:absolute;mso-position-horizontal-relative:page;mso-position-vertical:absolute;mso-position-vertical-relative:page;width:93pt;height:32pt;margin-left:129pt;margin-top:434pt;mso-wrap-style:square;z-index:10346256;mso-wrap-distance-left:9pt;mso-wrap-distance-top:0pt;mso-wrap-distance-right:9pt;mso-wrap-distance-bottom:0pt" id="shape7548" o:spid="1618382354745" path="m2360,200112l590559,2933l1178684,200112l590559,397291l2360,200112e" stroked="t" strokecolor="#404040" strokeweight="1pt"/>
            </w:pict>
          </mc:Fallback>
        </mc:AlternateContent>
      </w:r>
      <w:r>
        <mc:AlternateContent>
          <mc:Choice Requires="wps">
            <w:drawing>
              <wp:anchor distT="0" distB="0" distL="114300" distR="114300" simplePos="false" relativeHeight="10347280" behindDoc="true" locked="false" layoutInCell="true" allowOverlap="true">
                <wp:simplePos x="0" y="0"/>
                <wp:positionH relativeFrom="page">
                  <wp:posOffset>1485900</wp:posOffset>
                </wp:positionH>
                <wp:positionV relativeFrom="page">
                  <wp:posOffset>5054600</wp:posOffset>
                </wp:positionV>
                <wp:extent cx="787400" cy="419100"/>
                <wp:effectExtent l="0" t="0" r="22225" b="31115"/>
                <wp:wrapNone/>
                <wp:docPr id="7549" name="shape7549"/>
                <wp:cNvGraphicFramePr/>
                <a:graphic>
                  <a:graphicData uri="http://schemas.microsoft.com/office/word/2010/wordprocessingShape">
                    <wps:wsp>
                      <wps:cNvSpPr/>
                      <wps:spPr>
                        <a:xfrm>
                          <a:off x="0" y="0"/>
                          <a:ext cx="787400" cy="419100"/>
                        </a:xfrm>
                        <a:custGeom>
                          <a:avLst/>
                          <a:rect l="l" t="t" r="r" b="b"/>
                          <a:pathLst>
                            <a:path w="787400" h="419100">
                              <a:moveTo>
                                <a:pt x="163286" y="109"/>
                              </a:moveTo>
                              <a:lnTo>
                                <a:pt x="5572" y="109"/>
                              </a:lnTo>
                              <a:lnTo>
                                <a:pt x="5572" y="302463"/>
                              </a:lnTo>
                              <a:lnTo>
                                <a:pt x="781059" y="302463"/>
                              </a:lnTo>
                              <a:lnTo>
                                <a:pt x="781059" y="410699"/>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87400,419100" style="position:absolute;left:0;top:0;visibility:visible;mso-position-horizontal:absolute;mso-position-horizontal-relative:page;mso-position-vertical:absolute;mso-position-vertical-relative:page;width:62pt;height:33pt;margin-left:117pt;margin-top:398pt;mso-wrap-style:square;z-index:10347280;mso-wrap-distance-left:9pt;mso-wrap-distance-top:0pt;mso-wrap-distance-right:9pt;mso-wrap-distance-bottom:0pt" id="shape7549" o:spid="1618382354746" path="m163286,109l5572,109l5572,302463l781059,302463l781059,410699" stroked="t" strokecolor="#404040" strokeweight="1pt"/>
            </w:pict>
          </mc:Fallback>
        </mc:AlternateContent>
      </w:r>
      <w:r>
        <mc:AlternateContent>
          <mc:Choice Requires="wps">
            <w:drawing>
              <wp:anchor distT="0" distB="0" distL="114300" distR="114300" simplePos="false" relativeHeight="10349328" behindDoc="true" locked="false" layoutInCell="true" allowOverlap="true">
                <wp:simplePos x="0" y="0"/>
                <wp:positionH relativeFrom="page">
                  <wp:posOffset>2844800</wp:posOffset>
                </wp:positionH>
                <wp:positionV relativeFrom="page">
                  <wp:posOffset>3873500</wp:posOffset>
                </wp:positionV>
                <wp:extent cx="241300" cy="1193800"/>
                <wp:effectExtent l="0" t="0" r="22225" b="31115"/>
                <wp:wrapNone/>
                <wp:docPr id="7551" name="shape7551"/>
                <wp:cNvGraphicFramePr/>
                <a:graphic>
                  <a:graphicData uri="http://schemas.microsoft.com/office/word/2010/wordprocessingShape">
                    <wps:wsp>
                      <wps:cNvSpPr/>
                      <wps:spPr>
                        <a:xfrm>
                          <a:off x="0" y="0"/>
                          <a:ext cx="241300" cy="1193800"/>
                        </a:xfrm>
                        <a:custGeom>
                          <a:avLst/>
                          <a:rect l="l" t="t" r="r" b="b"/>
                          <a:pathLst>
                            <a:path w="241300" h="1193800">
                              <a:moveTo>
                                <a:pt x="10284" y="11303"/>
                              </a:moveTo>
                              <a:lnTo>
                                <a:pt x="240359" y="11303"/>
                              </a:lnTo>
                              <a:lnTo>
                                <a:pt x="240359" y="1181209"/>
                              </a:lnTo>
                              <a:lnTo>
                                <a:pt x="92633" y="1181209"/>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1193800" style="position:absolute;left:0;top:0;visibility:visible;mso-position-horizontal:absolute;mso-position-horizontal-relative:page;mso-position-vertical:absolute;mso-position-vertical-relative:page;width:19pt;height:94pt;margin-left:224pt;margin-top:305pt;mso-wrap-style:square;z-index:10349328;mso-wrap-distance-left:9pt;mso-wrap-distance-top:0pt;mso-wrap-distance-right:9pt;mso-wrap-distance-bottom:0pt" id="shape7551" o:spid="1618382354746" path="m10284,11303l240359,11303l240359,1181209l92633,1181209" stroked="t" strokecolor="#404040" strokeweight="1pt"/>
            </w:pict>
          </mc:Fallback>
        </mc:AlternateContent>
      </w:r>
      <w:r>
        <mc:AlternateContent>
          <mc:Choice Requires="wps">
            <w:drawing>
              <wp:anchor distT="0" distB="0" distL="114300" distR="114300" simplePos="false" relativeHeight="10350352" behindDoc="true" locked="false" layoutInCell="true" allowOverlap="true">
                <wp:simplePos x="0" y="0"/>
                <wp:positionH relativeFrom="page">
                  <wp:posOffset>2882900</wp:posOffset>
                </wp:positionH>
                <wp:positionV relativeFrom="page">
                  <wp:posOffset>5016500</wp:posOffset>
                </wp:positionV>
                <wp:extent cx="76200" cy="76200"/>
                <wp:effectExtent l="0" t="0" r="22225" b="31115"/>
                <wp:wrapNone/>
                <wp:docPr id="7552" name="shape7552"/>
                <wp:cNvGraphicFramePr/>
                <a:graphic>
                  <a:graphicData uri="http://schemas.microsoft.com/office/word/2010/wordprocessingShape">
                    <wps:wsp>
                      <wps:cNvSpPr/>
                      <wps:spPr>
                        <a:xfrm>
                          <a:off x="0" y="0"/>
                          <a:ext cx="76200" cy="76200"/>
                        </a:xfrm>
                        <a:custGeom>
                          <a:avLst/>
                          <a:rect l="l" t="t" r="r" b="b"/>
                          <a:pathLst>
                            <a:path w="76200" h="76200">
                              <a:moveTo>
                                <a:pt x="5105" y="38209"/>
                              </a:moveTo>
                              <a:lnTo>
                                <a:pt x="70390" y="5563"/>
                              </a:lnTo>
                              <a:cubicBezTo>
                                <a:pt x="60097" y="26060"/>
                                <a:pt x="60097" y="50267"/>
                                <a:pt x="70390" y="70856"/>
                              </a:cubicBezTo>
                              <a:lnTo>
                                <a:pt x="5105" y="3820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27pt;margin-top:395pt;mso-wrap-style:square;z-index:10350352;mso-wrap-distance-left:9pt;mso-wrap-distance-top:0pt;mso-wrap-distance-right:9pt;mso-wrap-distance-bottom:0pt" id="shape7552" o:spid="1618382354747" path="m5105,38209l70390,5563c60097,26060,60097,50267,70390,70856l5105,38209e" stroked="f" filled="t" fillcolor="#404040"/>
            </w:pict>
          </mc:Fallback>
        </mc:AlternateContent>
      </w:r>
      <w:r>
        <mc:AlternateContent>
          <mc:Choice Requires="wps">
            <w:drawing>
              <wp:anchor distT="0" distB="0" distL="114300" distR="114300" simplePos="false" relativeHeight="10351376" behindDoc="true" locked="false" layoutInCell="true" allowOverlap="true">
                <wp:simplePos x="0" y="0"/>
                <wp:positionH relativeFrom="page">
                  <wp:posOffset>3695700</wp:posOffset>
                </wp:positionH>
                <wp:positionV relativeFrom="page">
                  <wp:posOffset>4406900</wp:posOffset>
                </wp:positionV>
                <wp:extent cx="1968500" cy="787400"/>
                <wp:effectExtent l="0" t="0" r="22225" b="31115"/>
                <wp:wrapNone/>
                <wp:docPr id="7553" name="shape7553"/>
                <wp:cNvGraphicFramePr/>
                <a:graphic>
                  <a:graphicData uri="http://schemas.microsoft.com/office/word/2010/wordprocessingShape">
                    <wps:wsp>
                      <wps:cNvSpPr/>
                      <wps:spPr>
                        <a:xfrm>
                          <a:off x="0" y="0"/>
                          <a:ext cx="1968500" cy="787400"/>
                        </a:xfrm>
                        <a:custGeom>
                          <a:avLst/>
                          <a:rect l="l" t="t" r="r" b="b"/>
                          <a:pathLst>
                            <a:path w="1968500" h="787400">
                              <a:moveTo>
                                <a:pt x="207567" y="3684"/>
                              </a:moveTo>
                              <a:lnTo>
                                <a:pt x="10413" y="3684"/>
                              </a:lnTo>
                              <a:lnTo>
                                <a:pt x="10413" y="547179"/>
                              </a:lnTo>
                              <a:lnTo>
                                <a:pt x="1963596" y="547179"/>
                              </a:lnTo>
                              <a:lnTo>
                                <a:pt x="1963596" y="779231"/>
                              </a:lnTo>
                              <a:lnTo>
                                <a:pt x="1732408" y="779231"/>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968500,787400" style="position:absolute;left:0;top:0;visibility:visible;mso-position-horizontal:absolute;mso-position-horizontal-relative:page;mso-position-vertical:absolute;mso-position-vertical-relative:page;width:155pt;height:62pt;margin-left:291pt;margin-top:347pt;mso-wrap-style:square;z-index:10351376;mso-wrap-distance-left:9pt;mso-wrap-distance-top:0pt;mso-wrap-distance-right:9pt;mso-wrap-distance-bottom:0pt" id="shape7553" o:spid="1618382354747" path="m207567,3684l10413,3684l10413,547179l1963596,547179l1963596,779231l1732408,779231" stroked="t" strokecolor="#404040" strokeweight="1pt"/>
            </w:pict>
          </mc:Fallback>
        </mc:AlternateContent>
      </w:r>
      <w:r>
        <mc:AlternateContent>
          <mc:Choice Requires="wps">
            <w:drawing>
              <wp:anchor distT="0" distB="0" distL="114300" distR="114300" simplePos="false" relativeHeight="10352400" behindDoc="true" locked="false" layoutInCell="true" allowOverlap="true">
                <wp:simplePos x="0" y="0"/>
                <wp:positionH relativeFrom="page">
                  <wp:posOffset>5372100</wp:posOffset>
                </wp:positionH>
                <wp:positionV relativeFrom="page">
                  <wp:posOffset>5143500</wp:posOffset>
                </wp:positionV>
                <wp:extent cx="76200" cy="76200"/>
                <wp:effectExtent l="0" t="0" r="22225" b="31115"/>
                <wp:wrapNone/>
                <wp:docPr id="7554" name="shape7554"/>
                <wp:cNvGraphicFramePr/>
                <a:graphic>
                  <a:graphicData uri="http://schemas.microsoft.com/office/word/2010/wordprocessingShape">
                    <wps:wsp>
                      <wps:cNvSpPr/>
                      <wps:spPr>
                        <a:xfrm>
                          <a:off x="0" y="0"/>
                          <a:ext cx="76200" cy="76200"/>
                        </a:xfrm>
                        <a:custGeom>
                          <a:avLst/>
                          <a:rect l="l" t="t" r="r" b="b"/>
                          <a:pathLst>
                            <a:path w="76200" h="76200">
                              <a:moveTo>
                                <a:pt x="6580" y="42631"/>
                              </a:moveTo>
                              <a:lnTo>
                                <a:pt x="71866" y="9985"/>
                              </a:lnTo>
                              <a:cubicBezTo>
                                <a:pt x="61572" y="30574"/>
                                <a:pt x="61572" y="54688"/>
                                <a:pt x="71866" y="75278"/>
                              </a:cubicBezTo>
                              <a:lnTo>
                                <a:pt x="71866" y="75278"/>
                              </a:lnTo>
                              <a:lnTo>
                                <a:pt x="6580" y="4263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423pt;margin-top:405pt;mso-wrap-style:square;z-index:10352400;mso-wrap-distance-left:9pt;mso-wrap-distance-top:0pt;mso-wrap-distance-right:9pt;mso-wrap-distance-bottom:0pt" id="shape7554" o:spid="1618382354747" path="m6580,42631l71866,9985c61572,30574,61572,54688,71866,75278l71866,75278l6580,42631e" stroked="f" filled="t" fillcolor="#404040"/>
            </w:pict>
          </mc:Fallback>
        </mc:AlternateContent>
      </w:r>
      <w:r>
        <mc:AlternateContent>
          <mc:Choice Requires="wps">
            <w:drawing>
              <wp:anchor distT="0" distB="0" distL="114300" distR="114300" simplePos="false" relativeHeight="10353424" behindDoc="true" locked="false" layoutInCell="true" allowOverlap="true">
                <wp:simplePos x="0" y="0"/>
                <wp:positionH relativeFrom="page">
                  <wp:posOffset>1638300</wp:posOffset>
                </wp:positionH>
                <wp:positionV relativeFrom="page">
                  <wp:posOffset>6286500</wp:posOffset>
                </wp:positionV>
                <wp:extent cx="1193800" cy="355600"/>
                <wp:effectExtent l="0" t="0" r="22225" b="31115"/>
                <wp:wrapNone/>
                <wp:docPr id="7555" name="shape7555"/>
                <wp:cNvGraphicFramePr/>
                <a:graphic>
                  <a:graphicData uri="http://schemas.microsoft.com/office/word/2010/wordprocessingShape">
                    <wps:wsp>
                      <wps:cNvSpPr/>
                      <wps:spPr>
                        <a:xfrm>
                          <a:off x="0" y="0"/>
                          <a:ext cx="1193800" cy="3556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4pt;height:28pt;margin-left:129pt;margin-top:495pt;mso-wrap-style:square;z-index:10353424;mso-wrap-distance-left:9pt;mso-wrap-distance-top:0pt;mso-wrap-distance-right:9pt;mso-wrap-distance-bottom:0pt" id="shape7555" o:spid="1618382354748" stroked="f" filled="t" fillcolor="#cdcdcd"/>
            </w:pict>
          </mc:Fallback>
        </mc:AlternateContent>
      </w:r>
      <w:r>
        <mc:AlternateContent>
          <mc:Choice Requires="wps">
            <w:drawing>
              <wp:anchor distT="0" distB="0" distL="114300" distR="114300" simplePos="false" relativeHeight="10354448" behindDoc="true" locked="false" layoutInCell="true" allowOverlap="true">
                <wp:simplePos x="0" y="0"/>
                <wp:positionH relativeFrom="page">
                  <wp:posOffset>1638300</wp:posOffset>
                </wp:positionH>
                <wp:positionV relativeFrom="page">
                  <wp:posOffset>6286500</wp:posOffset>
                </wp:positionV>
                <wp:extent cx="1193800" cy="355600"/>
                <wp:effectExtent l="0" t="0" r="22225" b="31115"/>
                <wp:wrapNone/>
                <wp:docPr id="7556" name="shape7556"/>
                <wp:cNvGraphicFramePr/>
                <a:graphic>
                  <a:graphicData uri="http://schemas.microsoft.com/office/word/2010/wordprocessingShape">
                    <wps:wsp>
                      <wps:cNvSpPr/>
                      <wps:spPr>
                        <a:xfrm>
                          <a:off x="0" y="0"/>
                          <a:ext cx="1193800" cy="3556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4pt;height:28pt;margin-left:129pt;margin-top:495pt;mso-wrap-style:square;z-index:10354448;mso-wrap-distance-left:9pt;mso-wrap-distance-top:0pt;mso-wrap-distance-right:9pt;mso-wrap-distance-bottom:0pt" id="shape7556" o:spid="1618382354748" stroked="t" strokecolor="#cdcdcd" strokeweight="1pt"/>
            </w:pict>
          </mc:Fallback>
        </mc:AlternateContent>
      </w:r>
      <w:r>
        <mc:AlternateContent>
          <mc:Choice Requires="wps">
            <w:drawing>
              <wp:anchor distT="0" distB="0" distL="114300" distR="114300" simplePos="false" relativeHeight="10357520" behindDoc="true" locked="false" layoutInCell="true" allowOverlap="true">
                <wp:simplePos x="0" y="0"/>
                <wp:positionH relativeFrom="page">
                  <wp:posOffset>990600</wp:posOffset>
                </wp:positionH>
                <wp:positionV relativeFrom="page">
                  <wp:posOffset>2489200</wp:posOffset>
                </wp:positionV>
                <wp:extent cx="1384300" cy="1092200"/>
                <wp:effectExtent l="0" t="0" r="22225" b="31115"/>
                <wp:wrapNone/>
                <wp:docPr id="7559" name="shape7559"/>
                <wp:cNvGraphicFramePr/>
                <a:graphic>
                  <a:graphicData uri="http://schemas.microsoft.com/office/word/2010/wordprocessingShape">
                    <wps:wsp>
                      <wps:cNvSpPr/>
                      <wps:spPr>
                        <a:xfrm>
                          <a:off x="0" y="0"/>
                          <a:ext cx="1384300" cy="1092200"/>
                        </a:xfrm>
                        <a:custGeom>
                          <a:avLst/>
                          <a:rect l="l" t="t" r="r" b="b"/>
                          <a:pathLst>
                            <a:path w="1384300" h="1092200">
                              <a:moveTo>
                                <a:pt x="205140" y="2178"/>
                              </a:moveTo>
                              <a:lnTo>
                                <a:pt x="7986" y="2178"/>
                              </a:lnTo>
                              <a:lnTo>
                                <a:pt x="7986" y="1084716"/>
                              </a:lnTo>
                              <a:lnTo>
                                <a:pt x="236466" y="1084716"/>
                              </a:lnTo>
                              <a:cubicBezTo>
                                <a:pt x="236466" y="1069321"/>
                                <a:pt x="248921" y="1056892"/>
                                <a:pt x="264287" y="1056892"/>
                              </a:cubicBezTo>
                              <a:cubicBezTo>
                                <a:pt x="279653" y="1056892"/>
                                <a:pt x="292107" y="1069321"/>
                                <a:pt x="292107" y="1084716"/>
                              </a:cubicBezTo>
                              <a:cubicBezTo>
                                <a:pt x="292107" y="1084716"/>
                                <a:pt x="292107" y="1084716"/>
                                <a:pt x="292107" y="1084716"/>
                              </a:cubicBezTo>
                              <a:lnTo>
                                <a:pt x="1248539" y="1084716"/>
                              </a:lnTo>
                              <a:cubicBezTo>
                                <a:pt x="1248539" y="1069321"/>
                                <a:pt x="1260965" y="1056892"/>
                                <a:pt x="1276359" y="1056892"/>
                              </a:cubicBezTo>
                              <a:cubicBezTo>
                                <a:pt x="1291660" y="1056892"/>
                                <a:pt x="1304180" y="1069321"/>
                                <a:pt x="1304180" y="1084716"/>
                              </a:cubicBezTo>
                              <a:cubicBezTo>
                                <a:pt x="1304180" y="1084716"/>
                                <a:pt x="1304180" y="1084716"/>
                                <a:pt x="1304180" y="1084716"/>
                              </a:cubicBezTo>
                              <a:lnTo>
                                <a:pt x="1381520" y="1084716"/>
                              </a:lnTo>
                              <a:lnTo>
                                <a:pt x="1381520" y="672551"/>
                              </a:lnTo>
                              <a:lnTo>
                                <a:pt x="1233794" y="672551"/>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384300,1092200" style="position:absolute;left:0;top:0;visibility:visible;mso-position-horizontal:absolute;mso-position-horizontal-relative:page;mso-position-vertical:absolute;mso-position-vertical-relative:page;width:109pt;height:86pt;margin-left:78pt;margin-top:196pt;mso-wrap-style:square;z-index:10357520;mso-wrap-distance-left:9pt;mso-wrap-distance-top:0pt;mso-wrap-distance-right:9pt;mso-wrap-distance-bottom:0pt" id="shape7559" o:spid="1618382354748" path="m205140,2178l7986,2178l7986,1084716l236466,1084716c236466,1069321,248921,1056892,264287,1056892c279653,1056892,292107,1069321,292107,1084716c292107,1084716,292107,1084716,292107,1084716l1248539,1084716c1248539,1069321,1260965,1056892,1276359,1056892c1291660,1056892,1304180,1069321,1304180,1084716c1304180,1084716,1304180,1084716,1304180,1084716l1381520,1084716l1381520,672551l1233794,672551" stroked="t" strokecolor="#404040" strokeweight="1pt"/>
            </w:pict>
          </mc:Fallback>
        </mc:AlternateContent>
      </w:r>
      <w:r>
        <mc:AlternateContent>
          <mc:Choice Requires="wps">
            <w:drawing>
              <wp:anchor distT="0" distB="0" distL="114300" distR="114300" simplePos="false" relativeHeight="10358544" behindDoc="true" locked="false" layoutInCell="true" allowOverlap="true">
                <wp:simplePos x="0" y="0"/>
                <wp:positionH relativeFrom="page">
                  <wp:posOffset>2171700</wp:posOffset>
                </wp:positionH>
                <wp:positionV relativeFrom="page">
                  <wp:posOffset>3124200</wp:posOffset>
                </wp:positionV>
                <wp:extent cx="76200" cy="76200"/>
                <wp:effectExtent l="0" t="0" r="22225" b="31115"/>
                <wp:wrapNone/>
                <wp:docPr id="7560" name="shape7560"/>
                <wp:cNvGraphicFramePr/>
                <a:graphic>
                  <a:graphicData uri="http://schemas.microsoft.com/office/word/2010/wordprocessingShape">
                    <wps:wsp>
                      <wps:cNvSpPr/>
                      <wps:spPr>
                        <a:xfrm>
                          <a:off x="0" y="0"/>
                          <a:ext cx="76200" cy="76200"/>
                        </a:xfrm>
                        <a:custGeom>
                          <a:avLst/>
                          <a:rect l="l" t="t" r="r" b="b"/>
                          <a:pathLst>
                            <a:path w="76200" h="76200">
                              <a:moveTo>
                                <a:pt x="3266" y="37551"/>
                              </a:moveTo>
                              <a:lnTo>
                                <a:pt x="68551" y="4904"/>
                              </a:lnTo>
                              <a:cubicBezTo>
                                <a:pt x="58258" y="25493"/>
                                <a:pt x="58258" y="49700"/>
                                <a:pt x="68551" y="70198"/>
                              </a:cubicBezTo>
                              <a:lnTo>
                                <a:pt x="68551" y="70198"/>
                              </a:lnTo>
                              <a:lnTo>
                                <a:pt x="3266" y="3755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171pt;margin-top:246pt;mso-wrap-style:square;z-index:10358544;mso-wrap-distance-left:9pt;mso-wrap-distance-top:0pt;mso-wrap-distance-right:9pt;mso-wrap-distance-bottom:0pt" id="shape7560" o:spid="1618382354749" path="m3266,37551l68551,4904c58258,25493,58258,49700,68551,70198l68551,70198l3266,37551e" stroked="f" filled="t" fillcolor="#404040"/>
            </w:pict>
          </mc:Fallback>
        </mc:AlternateContent>
      </w:r>
      <w:r>
        <mc:AlternateContent>
          <mc:Choice Requires="wps">
            <w:drawing>
              <wp:anchor distT="0" distB="0" distL="114300" distR="114300" simplePos="false" relativeHeight="10359568" behindDoc="true" locked="false" layoutInCell="true" allowOverlap="true">
                <wp:simplePos x="0" y="0"/>
                <wp:positionH relativeFrom="page">
                  <wp:posOffset>4254500</wp:posOffset>
                </wp:positionH>
                <wp:positionV relativeFrom="page">
                  <wp:posOffset>5067300</wp:posOffset>
                </wp:positionV>
                <wp:extent cx="1130300" cy="266700"/>
                <wp:effectExtent l="0" t="0" r="22225" b="31115"/>
                <wp:wrapNone/>
                <wp:docPr id="7561" name="shape7561"/>
                <wp:cNvGraphicFramePr/>
                <a:graphic>
                  <a:graphicData uri="http://schemas.microsoft.com/office/word/2010/wordprocessingShape">
                    <wps:wsp>
                      <wps:cNvSpPr/>
                      <wps:spPr>
                        <a:xfrm>
                          <a:off x="0" y="0"/>
                          <a:ext cx="1130300" cy="2667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1pt;margin-left:335pt;margin-top:399pt;mso-wrap-style:square;z-index:10359568;mso-wrap-distance-left:9pt;mso-wrap-distance-top:0pt;mso-wrap-distance-right:9pt;mso-wrap-distance-bottom:0pt" id="shape7561" o:spid="1618382354749" stroked="f" filled="t" fillcolor="#cdcdcd"/>
            </w:pict>
          </mc:Fallback>
        </mc:AlternateContent>
      </w:r>
      <w:r>
        <mc:AlternateContent>
          <mc:Choice Requires="wps">
            <w:drawing>
              <wp:anchor distT="0" distB="0" distL="114300" distR="114300" simplePos="false" relativeHeight="10360592" behindDoc="true" locked="false" layoutInCell="true" allowOverlap="true">
                <wp:simplePos x="0" y="0"/>
                <wp:positionH relativeFrom="page">
                  <wp:posOffset>4254500</wp:posOffset>
                </wp:positionH>
                <wp:positionV relativeFrom="page">
                  <wp:posOffset>5067300</wp:posOffset>
                </wp:positionV>
                <wp:extent cx="1130300" cy="266700"/>
                <wp:effectExtent l="0" t="0" r="22225" b="31115"/>
                <wp:wrapNone/>
                <wp:docPr id="7562" name="shape7562"/>
                <wp:cNvGraphicFramePr/>
                <a:graphic>
                  <a:graphicData uri="http://schemas.microsoft.com/office/word/2010/wordprocessingShape">
                    <wps:wsp>
                      <wps:cNvSpPr/>
                      <wps:spPr>
                        <a:xfrm>
                          <a:off x="0" y="0"/>
                          <a:ext cx="1130300" cy="2667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1pt;margin-left:335pt;margin-top:399pt;mso-wrap-style:square;z-index:10360592;mso-wrap-distance-left:9pt;mso-wrap-distance-top:0pt;mso-wrap-distance-right:9pt;mso-wrap-distance-bottom:0pt" id="shape7562" o:spid="1618382354750" stroked="t" strokecolor="#cdcdcd" strokeweight="1pt"/>
            </w:pict>
          </mc:Fallback>
        </mc:AlternateContent>
      </w:r>
      <w:r>
        <mc:AlternateContent>
          <mc:Choice Requires="wps">
            <w:drawing>
              <wp:anchor distT="0" distB="0" distL="114300" distR="114300" simplePos="false" relativeHeight="10363664" behindDoc="true" locked="false" layoutInCell="true" allowOverlap="true">
                <wp:simplePos x="0" y="0"/>
                <wp:positionH relativeFrom="page">
                  <wp:posOffset>4813300</wp:posOffset>
                </wp:positionH>
                <wp:positionV relativeFrom="page">
                  <wp:posOffset>5308600</wp:posOffset>
                </wp:positionV>
                <wp:extent cx="12700" cy="203200"/>
                <wp:effectExtent l="0" t="0" r="22225" b="31115"/>
                <wp:wrapNone/>
                <wp:docPr id="7565" name="shape7565"/>
                <wp:cNvGraphicFramePr/>
                <a:graphic>
                  <a:graphicData uri="http://schemas.microsoft.com/office/word/2010/wordprocessingShape">
                    <wps:wsp>
                      <wps:cNvSpPr/>
                      <wps:spPr>
                        <a:xfrm>
                          <a:off x="0" y="0"/>
                          <a:ext cx="12700" cy="203200"/>
                        </a:xfrm>
                        <a:custGeom>
                          <a:avLst/>
                          <a:rect l="l" t="t" r="r" b="b"/>
                          <a:pathLst>
                            <a:path w="12700" h="203200">
                              <a:moveTo>
                                <a:pt x="3500" y="8953"/>
                              </a:moveTo>
                              <a:lnTo>
                                <a:pt x="3500" y="196208"/>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03200" style="position:absolute;left:0;top:0;visibility:visible;mso-position-horizontal:absolute;mso-position-horizontal-relative:page;mso-position-vertical:absolute;mso-position-vertical-relative:page;width:1pt;height:16pt;margin-left:379pt;margin-top:418pt;mso-wrap-style:square;z-index:10363664;mso-wrap-distance-left:9pt;mso-wrap-distance-top:0pt;mso-wrap-distance-right:9pt;mso-wrap-distance-bottom:0pt" id="shape7565" o:spid="1618382354750" path="m3500,8953l3500,196208" stroked="t" strokecolor="#404040" strokeweight="1pt"/>
            </w:pict>
          </mc:Fallback>
        </mc:AlternateContent>
      </w:r>
      <w:r>
        <mc:AlternateContent>
          <mc:Choice Requires="wps">
            <w:drawing>
              <wp:anchor distT="0" distB="0" distL="114300" distR="114300" simplePos="false" relativeHeight="10364688" behindDoc="true" locked="false" layoutInCell="true" allowOverlap="true">
                <wp:simplePos x="0" y="0"/>
                <wp:positionH relativeFrom="page">
                  <wp:posOffset>4775200</wp:posOffset>
                </wp:positionH>
                <wp:positionV relativeFrom="page">
                  <wp:posOffset>5486400</wp:posOffset>
                </wp:positionV>
                <wp:extent cx="76200" cy="76200"/>
                <wp:effectExtent l="0" t="0" r="22225" b="31115"/>
                <wp:wrapNone/>
                <wp:docPr id="7566" name="shape7566"/>
                <wp:cNvGraphicFramePr/>
                <a:graphic>
                  <a:graphicData uri="http://schemas.microsoft.com/office/word/2010/wordprocessingShape">
                    <wps:wsp>
                      <wps:cNvSpPr/>
                      <wps:spPr>
                        <a:xfrm>
                          <a:off x="0" y="0"/>
                          <a:ext cx="76200" cy="76200"/>
                        </a:xfrm>
                        <a:custGeom>
                          <a:avLst/>
                          <a:rect l="l" t="t" r="r" b="b"/>
                          <a:pathLst>
                            <a:path w="76200" h="76200">
                              <a:moveTo>
                                <a:pt x="41600" y="67843"/>
                              </a:moveTo>
                              <a:lnTo>
                                <a:pt x="8957" y="2549"/>
                              </a:lnTo>
                              <a:cubicBezTo>
                                <a:pt x="29451" y="12751"/>
                                <a:pt x="53655" y="12751"/>
                                <a:pt x="74242" y="2549"/>
                              </a:cubicBezTo>
                              <a:lnTo>
                                <a:pt x="74242" y="2549"/>
                              </a:lnTo>
                              <a:lnTo>
                                <a:pt x="41600" y="67843"/>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376pt;margin-top:432pt;mso-wrap-style:square;z-index:10364688;mso-wrap-distance-left:9pt;mso-wrap-distance-top:0pt;mso-wrap-distance-right:9pt;mso-wrap-distance-bottom:0pt" id="shape7566" o:spid="1618382354750" path="m41600,67843l8957,2549c29451,12751,53655,12751,74242,2549l74242,2549l41600,67843e" stroked="f" filled="t" fillcolor="#404040"/>
            </w:pict>
          </mc:Fallback>
        </mc:AlternateContent>
      </w:r>
      <w:r>
        <mc:AlternateContent>
          <mc:Choice Requires="wps">
            <w:drawing>
              <wp:anchor distT="0" distB="0" distL="114300" distR="114300" simplePos="false" relativeHeight="10365712" behindDoc="true" locked="false" layoutInCell="true" allowOverlap="true">
                <wp:simplePos x="0" y="0"/>
                <wp:positionH relativeFrom="page">
                  <wp:posOffset>4254500</wp:posOffset>
                </wp:positionH>
                <wp:positionV relativeFrom="page">
                  <wp:posOffset>6527800</wp:posOffset>
                </wp:positionV>
                <wp:extent cx="1130300" cy="279400"/>
                <wp:effectExtent l="0" t="0" r="22225" b="31115"/>
                <wp:wrapNone/>
                <wp:docPr id="7567" name="shape7567"/>
                <wp:cNvGraphicFramePr/>
                <a:graphic>
                  <a:graphicData uri="http://schemas.microsoft.com/office/word/2010/wordprocessingShape">
                    <wps:wsp>
                      <wps:cNvSpPr/>
                      <wps:spPr>
                        <a:xfrm>
                          <a:off x="0" y="0"/>
                          <a:ext cx="1130300" cy="2794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2pt;margin-left:335pt;margin-top:514pt;mso-wrap-style:square;z-index:10365712;mso-wrap-distance-left:9pt;mso-wrap-distance-top:0pt;mso-wrap-distance-right:9pt;mso-wrap-distance-bottom:0pt" id="shape7567" o:spid="1618382354751" stroked="f" filled="t" fillcolor="#cdcdcd"/>
            </w:pict>
          </mc:Fallback>
        </mc:AlternateContent>
      </w:r>
      <w:r>
        <mc:AlternateContent>
          <mc:Choice Requires="wps">
            <w:drawing>
              <wp:anchor distT="0" distB="0" distL="114300" distR="114300" simplePos="false" relativeHeight="10366736" behindDoc="true" locked="false" layoutInCell="true" allowOverlap="true">
                <wp:simplePos x="0" y="0"/>
                <wp:positionH relativeFrom="page">
                  <wp:posOffset>4254500</wp:posOffset>
                </wp:positionH>
                <wp:positionV relativeFrom="page">
                  <wp:posOffset>6527800</wp:posOffset>
                </wp:positionV>
                <wp:extent cx="1130300" cy="279400"/>
                <wp:effectExtent l="0" t="0" r="22225" b="31115"/>
                <wp:wrapNone/>
                <wp:docPr id="7568" name="shape7568"/>
                <wp:cNvGraphicFramePr/>
                <a:graphic>
                  <a:graphicData uri="http://schemas.microsoft.com/office/word/2010/wordprocessingShape">
                    <wps:wsp>
                      <wps:cNvSpPr/>
                      <wps:spPr>
                        <a:xfrm>
                          <a:off x="0" y="0"/>
                          <a:ext cx="1130300" cy="2794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2pt;margin-left:335pt;margin-top:514pt;mso-wrap-style:square;z-index:10366736;mso-wrap-distance-left:9pt;mso-wrap-distance-top:0pt;mso-wrap-distance-right:9pt;mso-wrap-distance-bottom:0pt" id="shape7568" o:spid="1618382354751" stroked="t" strokecolor="#cdcdcd" strokeweight="1pt"/>
            </w:pict>
          </mc:Fallback>
        </mc:AlternateContent>
      </w:r>
      <w:r>
        <mc:AlternateContent>
          <mc:Choice Requires="wps">
            <w:drawing>
              <wp:anchor distT="0" distB="0" distL="114300" distR="114300" simplePos="false" relativeHeight="10369808" behindDoc="true" locked="false" layoutInCell="true" allowOverlap="true">
                <wp:simplePos x="0" y="0"/>
                <wp:positionH relativeFrom="page">
                  <wp:posOffset>4813300</wp:posOffset>
                </wp:positionH>
                <wp:positionV relativeFrom="page">
                  <wp:posOffset>6286500</wp:posOffset>
                </wp:positionV>
                <wp:extent cx="12700" cy="203200"/>
                <wp:effectExtent l="0" t="0" r="22225" b="31115"/>
                <wp:wrapNone/>
                <wp:docPr id="7571" name="shape7571"/>
                <wp:cNvGraphicFramePr/>
                <a:graphic>
                  <a:graphicData uri="http://schemas.microsoft.com/office/word/2010/wordprocessingShape">
                    <wps:wsp>
                      <wps:cNvSpPr/>
                      <wps:spPr>
                        <a:xfrm>
                          <a:off x="0" y="0"/>
                          <a:ext cx="12700" cy="203200"/>
                        </a:xfrm>
                        <a:custGeom>
                          <a:avLst/>
                          <a:rect l="l" t="t" r="r" b="b"/>
                          <a:pathLst>
                            <a:path w="12700" h="203200">
                              <a:moveTo>
                                <a:pt x="3500" y="3873"/>
                              </a:moveTo>
                              <a:lnTo>
                                <a:pt x="3500" y="191035"/>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03200" style="position:absolute;left:0;top:0;visibility:visible;mso-position-horizontal:absolute;mso-position-horizontal-relative:page;mso-position-vertical:absolute;mso-position-vertical-relative:page;width:1pt;height:16pt;margin-left:379pt;margin-top:495pt;mso-wrap-style:square;z-index:10369808;mso-wrap-distance-left:9pt;mso-wrap-distance-top:0pt;mso-wrap-distance-right:9pt;mso-wrap-distance-bottom:0pt" id="shape7571" o:spid="1618382354751" path="m3500,3873l3500,191035" stroked="t" strokecolor="#404040" strokeweight="1pt"/>
            </w:pict>
          </mc:Fallback>
        </mc:AlternateContent>
      </w:r>
      <w:r>
        <mc:AlternateContent>
          <mc:Choice Requires="wps">
            <w:drawing>
              <wp:anchor distT="0" distB="0" distL="114300" distR="114300" simplePos="false" relativeHeight="10370832" behindDoc="true" locked="false" layoutInCell="true" allowOverlap="true">
                <wp:simplePos x="0" y="0"/>
                <wp:positionH relativeFrom="page">
                  <wp:posOffset>4775200</wp:posOffset>
                </wp:positionH>
                <wp:positionV relativeFrom="page">
                  <wp:posOffset>6451600</wp:posOffset>
                </wp:positionV>
                <wp:extent cx="76200" cy="76200"/>
                <wp:effectExtent l="0" t="0" r="22225" b="31115"/>
                <wp:wrapNone/>
                <wp:docPr id="7572" name="shape7572"/>
                <wp:cNvGraphicFramePr/>
                <a:graphic>
                  <a:graphicData uri="http://schemas.microsoft.com/office/word/2010/wordprocessingShape">
                    <wps:wsp>
                      <wps:cNvSpPr/>
                      <wps:spPr>
                        <a:xfrm>
                          <a:off x="0" y="0"/>
                          <a:ext cx="76200" cy="76200"/>
                        </a:xfrm>
                        <a:custGeom>
                          <a:avLst/>
                          <a:rect l="l" t="t" r="r" b="b"/>
                          <a:pathLst>
                            <a:path w="76200" h="76200">
                              <a:moveTo>
                                <a:pt x="41600" y="75369"/>
                              </a:moveTo>
                              <a:lnTo>
                                <a:pt x="8957" y="10076"/>
                              </a:lnTo>
                              <a:cubicBezTo>
                                <a:pt x="29451" y="20371"/>
                                <a:pt x="53655" y="20371"/>
                                <a:pt x="74242" y="10076"/>
                              </a:cubicBezTo>
                              <a:lnTo>
                                <a:pt x="74242" y="10076"/>
                              </a:lnTo>
                              <a:lnTo>
                                <a:pt x="41600" y="7536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376pt;margin-top:508pt;mso-wrap-style:square;z-index:10370832;mso-wrap-distance-left:9pt;mso-wrap-distance-top:0pt;mso-wrap-distance-right:9pt;mso-wrap-distance-bottom:0pt" id="shape7572" o:spid="1618382354752" path="m41600,75369l8957,10076c29451,20371,53655,20371,74242,10076l74242,10076l41600,75369e" stroked="f" filled="t" fillcolor="#404040"/>
            </w:pict>
          </mc:Fallback>
        </mc:AlternateContent>
      </w:r>
      <w:r>
        <mc:AlternateContent>
          <mc:Choice Requires="wps">
            <w:drawing>
              <wp:anchor distT="0" distB="0" distL="114300" distR="114300" simplePos="false" relativeHeight="10371856" behindDoc="true" locked="false" layoutInCell="true" allowOverlap="true">
                <wp:simplePos x="0" y="0"/>
                <wp:positionH relativeFrom="page">
                  <wp:posOffset>2260600</wp:posOffset>
                </wp:positionH>
                <wp:positionV relativeFrom="page">
                  <wp:posOffset>5702300</wp:posOffset>
                </wp:positionV>
                <wp:extent cx="977900" cy="266700"/>
                <wp:effectExtent l="0" t="0" r="22225" b="31115"/>
                <wp:wrapNone/>
                <wp:docPr id="7573" name="shape7573"/>
                <wp:cNvGraphicFramePr/>
                <a:graphic>
                  <a:graphicData uri="http://schemas.microsoft.com/office/word/2010/wordprocessingShape">
                    <wps:wsp>
                      <wps:cNvSpPr/>
                      <wps:spPr>
                        <a:xfrm>
                          <a:off x="0" y="0"/>
                          <a:ext cx="977900" cy="266700"/>
                        </a:xfrm>
                        <a:custGeom>
                          <a:avLst/>
                          <a:rect l="l" t="t" r="r" b="b"/>
                          <a:pathLst>
                            <a:path w="977900" h="266700">
                              <a:moveTo>
                                <a:pt x="6359" y="206791"/>
                              </a:moveTo>
                              <a:lnTo>
                                <a:pt x="6359" y="256132"/>
                              </a:lnTo>
                              <a:lnTo>
                                <a:pt x="921004" y="256132"/>
                              </a:lnTo>
                              <a:lnTo>
                                <a:pt x="921004" y="9612"/>
                              </a:lnTo>
                              <a:lnTo>
                                <a:pt x="970339" y="9612"/>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77900,266700" style="position:absolute;left:0;top:0;visibility:visible;mso-position-horizontal:absolute;mso-position-horizontal-relative:page;mso-position-vertical:absolute;mso-position-vertical-relative:page;width:77pt;height:21pt;margin-left:178pt;margin-top:449pt;mso-wrap-style:square;z-index:10371856;mso-wrap-distance-left:9pt;mso-wrap-distance-top:0pt;mso-wrap-distance-right:9pt;mso-wrap-distance-bottom:0pt" id="shape7573" o:spid="1618382354752" path="m6359,206791l6359,256132l921004,256132l921004,9612l970339,9612" stroked="t" strokecolor="#404040" strokeweight="1pt"/>
            </w:pict>
          </mc:Fallback>
        </mc:AlternateContent>
      </w:r>
      <w:r>
        <mc:AlternateContent>
          <mc:Choice Requires="wps">
            <w:drawing>
              <wp:anchor distT="0" distB="0" distL="114300" distR="114300" simplePos="false" relativeHeight="10372880" behindDoc="true" locked="false" layoutInCell="true" allowOverlap="true">
                <wp:simplePos x="0" y="0"/>
                <wp:positionH relativeFrom="page">
                  <wp:posOffset>3162300</wp:posOffset>
                </wp:positionH>
                <wp:positionV relativeFrom="page">
                  <wp:posOffset>5676900</wp:posOffset>
                </wp:positionV>
                <wp:extent cx="76200" cy="76200"/>
                <wp:effectExtent l="0" t="0" r="22225" b="31115"/>
                <wp:wrapNone/>
                <wp:docPr id="7574" name="shape7574"/>
                <wp:cNvGraphicFramePr/>
                <a:graphic>
                  <a:graphicData uri="http://schemas.microsoft.com/office/word/2010/wordprocessingShape">
                    <wps:wsp>
                      <wps:cNvSpPr/>
                      <wps:spPr>
                        <a:xfrm>
                          <a:off x="0" y="0"/>
                          <a:ext cx="76200" cy="76200"/>
                        </a:xfrm>
                        <a:custGeom>
                          <a:avLst/>
                          <a:rect l="l" t="t" r="r" b="b"/>
                          <a:pathLst>
                            <a:path w="76200" h="76200">
                              <a:moveTo>
                                <a:pt x="68639" y="35012"/>
                              </a:moveTo>
                              <a:lnTo>
                                <a:pt x="3353" y="67659"/>
                              </a:lnTo>
                              <a:cubicBezTo>
                                <a:pt x="13647" y="47162"/>
                                <a:pt x="13647" y="22955"/>
                                <a:pt x="3353" y="2365"/>
                              </a:cubicBezTo>
                              <a:lnTo>
                                <a:pt x="68639" y="35012"/>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49pt;margin-top:447pt;mso-wrap-style:square;z-index:10372880;mso-wrap-distance-left:9pt;mso-wrap-distance-top:0pt;mso-wrap-distance-right:9pt;mso-wrap-distance-bottom:0pt" id="shape7574" o:spid="1618382354753" path="m68639,35012l3353,67659c13647,47162,13647,22955,3353,2365l68639,35012e" stroked="f" filled="t" fillcolor="#404040"/>
            </w:pict>
          </mc:Fallback>
        </mc:AlternateContent>
      </w:r>
      <w:r>
        <mc:AlternateContent>
          <mc:Choice Requires="wps">
            <w:drawing>
              <wp:anchor distT="0" distB="0" distL="114300" distR="114300" simplePos="false" relativeHeight="10382096" behindDoc="true" locked="false" layoutInCell="true" allowOverlap="true">
                <wp:simplePos x="0" y="0"/>
                <wp:positionH relativeFrom="page">
                  <wp:posOffset>2260600</wp:posOffset>
                </wp:positionH>
                <wp:positionV relativeFrom="page">
                  <wp:posOffset>5956300</wp:posOffset>
                </wp:positionV>
                <wp:extent cx="2006600" cy="711200"/>
                <wp:effectExtent l="0" t="0" r="22225" b="31115"/>
                <wp:wrapNone/>
                <wp:docPr id="7583" name="shape7583"/>
                <wp:cNvGraphicFramePr/>
                <a:graphic>
                  <a:graphicData uri="http://schemas.microsoft.com/office/word/2010/wordprocessingShape">
                    <wps:wsp>
                      <wps:cNvSpPr/>
                      <wps:spPr>
                        <a:xfrm>
                          <a:off x="0" y="0"/>
                          <a:ext cx="2006600" cy="711200"/>
                        </a:xfrm>
                        <a:custGeom>
                          <a:avLst/>
                          <a:rect l="l" t="t" r="r" b="b"/>
                          <a:pathLst>
                            <a:path w="2006600" h="711200">
                              <a:moveTo>
                                <a:pt x="1994318" y="702092"/>
                              </a:moveTo>
                              <a:lnTo>
                                <a:pt x="1389686" y="702092"/>
                              </a:lnTo>
                              <a:lnTo>
                                <a:pt x="1389686" y="149971"/>
                              </a:lnTo>
                              <a:lnTo>
                                <a:pt x="6359" y="149971"/>
                              </a:lnTo>
                              <a:lnTo>
                                <a:pt x="6359" y="2225"/>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006600,711200" style="position:absolute;left:0;top:0;visibility:visible;mso-position-horizontal:absolute;mso-position-horizontal-relative:page;mso-position-vertical:absolute;mso-position-vertical-relative:page;width:158pt;height:56pt;margin-left:178pt;margin-top:469pt;mso-wrap-style:square;z-index:10382096;mso-wrap-distance-left:9pt;mso-wrap-distance-top:0pt;mso-wrap-distance-right:9pt;mso-wrap-distance-bottom:0pt" id="shape7583" o:spid="1618382354753" path="m1994318,702092l1389686,702092l1389686,149971l6359,149971l6359,2225" stroked="t" strokecolor="#404040" strokeweight="1pt"/>
            </w:pict>
          </mc:Fallback>
        </mc:AlternateContent>
      </w:r>
      <w:r>
        <mc:AlternateContent>
          <mc:Choice Requires="wps">
            <w:drawing>
              <wp:anchor distT="0" distB="0" distL="114300" distR="114300" simplePos="false" relativeHeight="10384144" behindDoc="true" locked="false" layoutInCell="true" allowOverlap="true">
                <wp:simplePos x="0" y="0"/>
                <wp:positionH relativeFrom="page">
                  <wp:posOffset>1574800</wp:posOffset>
                </wp:positionH>
                <wp:positionV relativeFrom="page">
                  <wp:posOffset>5702300</wp:posOffset>
                </wp:positionV>
                <wp:extent cx="114300" cy="749300"/>
                <wp:effectExtent l="0" t="0" r="22225" b="31115"/>
                <wp:wrapNone/>
                <wp:docPr id="7585" name="shape7585"/>
                <wp:cNvGraphicFramePr/>
                <a:graphic>
                  <a:graphicData uri="http://schemas.microsoft.com/office/word/2010/wordprocessingShape">
                    <wps:wsp>
                      <wps:cNvSpPr/>
                      <wps:spPr>
                        <a:xfrm>
                          <a:off x="0" y="0"/>
                          <a:ext cx="114300" cy="749300"/>
                        </a:xfrm>
                        <a:prstGeom prst="rect">
                          <a:avLst/>
                        </a:pr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pt;height:59pt;margin-left:124pt;margin-top:449pt;mso-wrap-style:square;z-index:10384144;mso-wrap-distance-left:9pt;mso-wrap-distance-top:0pt;mso-wrap-distance-right:9pt;mso-wrap-distance-bottom:0pt" id="shape7585" o:spid="1618382354753" stroked="t" strokecolor="#404040" strokeweight="1pt"/>
            </w:pict>
          </mc:Fallback>
        </mc:AlternateContent>
      </w:r>
      <w:r>
        <mc:AlternateContent>
          <mc:Choice Requires="wps">
            <w:drawing>
              <wp:anchor distT="0" distB="0" distL="114300" distR="114300" simplePos="false" relativeHeight="10385168" behindDoc="true" locked="false" layoutInCell="true" allowOverlap="true">
                <wp:simplePos x="0" y="0"/>
                <wp:positionH relativeFrom="page">
                  <wp:posOffset>1663700</wp:posOffset>
                </wp:positionH>
                <wp:positionV relativeFrom="page">
                  <wp:posOffset>6413500</wp:posOffset>
                </wp:positionV>
                <wp:extent cx="76200" cy="76200"/>
                <wp:effectExtent l="0" t="0" r="22225" b="31115"/>
                <wp:wrapNone/>
                <wp:docPr id="7586" name="shape7586"/>
                <wp:cNvGraphicFramePr/>
                <a:graphic>
                  <a:graphicData uri="http://schemas.microsoft.com/office/word/2010/wordprocessingShape">
                    <wps:wsp>
                      <wps:cNvSpPr/>
                      <wps:spPr>
                        <a:xfrm>
                          <a:off x="0" y="0"/>
                          <a:ext cx="76200" cy="76200"/>
                        </a:xfrm>
                        <a:custGeom>
                          <a:avLst/>
                          <a:rect l="l" t="t" r="r" b="b"/>
                          <a:pathLst>
                            <a:path w="76200" h="76200">
                              <a:moveTo>
                                <a:pt x="74206" y="34542"/>
                              </a:moveTo>
                              <a:lnTo>
                                <a:pt x="8921" y="67189"/>
                              </a:lnTo>
                              <a:cubicBezTo>
                                <a:pt x="19196" y="46692"/>
                                <a:pt x="19196" y="22485"/>
                                <a:pt x="8921" y="1895"/>
                              </a:cubicBezTo>
                              <a:lnTo>
                                <a:pt x="74206" y="34542"/>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131pt;margin-top:505pt;mso-wrap-style:square;z-index:10385168;mso-wrap-distance-left:9pt;mso-wrap-distance-top:0pt;mso-wrap-distance-right:9pt;mso-wrap-distance-bottom:0pt" id="shape7586" o:spid="1618382354754" path="m74206,34542l8921,67189c19196,46692,19196,22485,8921,1895l74206,34542e" stroked="f" filled="t" fillcolor="#404040"/>
            </w:pict>
          </mc:Fallback>
        </mc:AlternateContent>
      </w:r>
      <w:r>
        <mc:AlternateContent>
          <mc:Choice Requires="wps">
            <w:drawing>
              <wp:anchor distT="0" distB="0" distL="114300" distR="114300" simplePos="false" relativeHeight="10387216" behindDoc="true" locked="false" layoutInCell="true" allowOverlap="true">
                <wp:simplePos x="0" y="0"/>
                <wp:positionH relativeFrom="page">
                  <wp:posOffset>5676900</wp:posOffset>
                </wp:positionH>
                <wp:positionV relativeFrom="page">
                  <wp:posOffset>2273300</wp:posOffset>
                </wp:positionV>
                <wp:extent cx="76200" cy="76200"/>
                <wp:effectExtent l="0" t="0" r="22225" b="31115"/>
                <wp:wrapNone/>
                <wp:docPr id="7588" name="shape7588"/>
                <wp:cNvGraphicFramePr/>
                <a:graphic>
                  <a:graphicData uri="http://schemas.microsoft.com/office/word/2010/wordprocessingShape">
                    <wps:wsp>
                      <wps:cNvSpPr/>
                      <wps:spPr>
                        <a:xfrm>
                          <a:off x="0" y="0"/>
                          <a:ext cx="76200" cy="76200"/>
                        </a:xfrm>
                        <a:custGeom>
                          <a:avLst/>
                          <a:rect l="l" t="t" r="r" b="b"/>
                          <a:pathLst>
                            <a:path w="76200" h="76200">
                              <a:moveTo>
                                <a:pt x="40170" y="73486"/>
                              </a:moveTo>
                              <a:lnTo>
                                <a:pt x="7527" y="8193"/>
                              </a:lnTo>
                              <a:cubicBezTo>
                                <a:pt x="28115" y="18488"/>
                                <a:pt x="52319" y="18488"/>
                                <a:pt x="72813" y="8193"/>
                              </a:cubicBezTo>
                              <a:lnTo>
                                <a:pt x="72813" y="8193"/>
                              </a:lnTo>
                              <a:lnTo>
                                <a:pt x="40170" y="73486"/>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447pt;margin-top:179pt;mso-wrap-style:square;z-index:10387216;mso-wrap-distance-left:9pt;mso-wrap-distance-top:0pt;mso-wrap-distance-right:9pt;mso-wrap-distance-bottom:0pt" id="shape7588" o:spid="1618382354754" path="m40170,73486l7527,8193c28115,18488,52319,18488,72813,8193l72813,8193l40170,73486e" stroked="f" filled="t" fillcolor="#404040"/>
            </w:pict>
          </mc:Fallback>
        </mc:AlternateContent>
      </w:r>
      <w:r>
        <mc:AlternateContent>
          <mc:Choice Requires="wps">
            <w:drawing>
              <wp:anchor distT="0" distB="0" distL="114300" distR="114300" simplePos="false" relativeHeight="10389264" behindDoc="true" locked="false" layoutInCell="true" allowOverlap="true">
                <wp:simplePos x="0" y="0"/>
                <wp:positionH relativeFrom="page">
                  <wp:posOffset>5676900</wp:posOffset>
                </wp:positionH>
                <wp:positionV relativeFrom="page">
                  <wp:posOffset>2959100</wp:posOffset>
                </wp:positionV>
                <wp:extent cx="76200" cy="76200"/>
                <wp:effectExtent l="0" t="0" r="22225" b="31115"/>
                <wp:wrapNone/>
                <wp:docPr id="7590" name="shape7590"/>
                <wp:cNvGraphicFramePr/>
                <a:graphic>
                  <a:graphicData uri="http://schemas.microsoft.com/office/word/2010/wordprocessingShape">
                    <wps:wsp>
                      <wps:cNvSpPr/>
                      <wps:spPr>
                        <a:xfrm>
                          <a:off x="0" y="0"/>
                          <a:ext cx="76200" cy="76200"/>
                        </a:xfrm>
                        <a:custGeom>
                          <a:avLst/>
                          <a:rect l="l" t="t" r="r" b="b"/>
                          <a:pathLst>
                            <a:path w="76200" h="76200">
                              <a:moveTo>
                                <a:pt x="40170" y="71228"/>
                              </a:moveTo>
                              <a:lnTo>
                                <a:pt x="7527" y="5936"/>
                              </a:lnTo>
                              <a:cubicBezTo>
                                <a:pt x="28115" y="16230"/>
                                <a:pt x="52319" y="16230"/>
                                <a:pt x="72813" y="5936"/>
                              </a:cubicBezTo>
                              <a:lnTo>
                                <a:pt x="72813" y="5936"/>
                              </a:lnTo>
                              <a:lnTo>
                                <a:pt x="40170" y="71228"/>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447pt;margin-top:233pt;mso-wrap-style:square;z-index:10389264;mso-wrap-distance-left:9pt;mso-wrap-distance-top:0pt;mso-wrap-distance-right:9pt;mso-wrap-distance-bottom:0pt" id="shape7590" o:spid="1618382354755" path="m40170,71228l7527,5936c28115,16230,52319,16230,72813,5936l72813,5936l40170,71228e" stroked="f" filled="t" fillcolor="#404040"/>
            </w:pict>
          </mc:Fallback>
        </mc:AlternateContent>
      </w:r>
      <w:r>
        <mc:AlternateContent>
          <mc:Choice Requires="wps">
            <w:drawing>
              <wp:anchor distT="0" distB="0" distL="114300" distR="114300" simplePos="false" relativeHeight="10390288" behindDoc="true" locked="false" layoutInCell="true" allowOverlap="true">
                <wp:simplePos x="0" y="0"/>
                <wp:positionH relativeFrom="page">
                  <wp:posOffset>3098800</wp:posOffset>
                </wp:positionH>
                <wp:positionV relativeFrom="page">
                  <wp:posOffset>7531100</wp:posOffset>
                </wp:positionV>
                <wp:extent cx="749300" cy="749300"/>
                <wp:effectExtent l="0" t="0" r="22225" b="31115"/>
                <wp:wrapNone/>
                <wp:docPr id="7591" name="shape7591"/>
                <wp:cNvGraphicFramePr/>
                <a:graphic>
                  <a:graphicData uri="http://schemas.microsoft.com/office/word/2010/wordprocessingShape">
                    <wps:wsp>
                      <wps:cNvSpPr/>
                      <wps:spPr>
                        <a:xfrm>
                          <a:off x="0" y="0"/>
                          <a:ext cx="749300" cy="749300"/>
                        </a:xfrm>
                        <a:custGeom>
                          <a:avLst/>
                          <a:rect l="l" t="t" r="r" b="b"/>
                          <a:pathLst>
                            <a:path w="749300" h="749300">
                              <a:moveTo>
                                <a:pt x="744282" y="221720"/>
                              </a:moveTo>
                              <a:cubicBezTo>
                                <a:pt x="744375" y="237626"/>
                                <a:pt x="741408" y="253486"/>
                                <a:pt x="735380" y="269002"/>
                              </a:cubicBezTo>
                              <a:cubicBezTo>
                                <a:pt x="741408" y="253486"/>
                                <a:pt x="744375" y="237626"/>
                                <a:pt x="744282" y="221720"/>
                              </a:cubicBezTo>
                              <a:lnTo>
                                <a:pt x="744282" y="221720"/>
                              </a:lnTo>
                              <a:lnTo>
                                <a:pt x="744282" y="221720"/>
                              </a:lnTo>
                              <a:close/>
                              <a:moveTo>
                                <a:pt x="744282" y="221720"/>
                              </a:moveTo>
                              <a:cubicBezTo>
                                <a:pt x="743541" y="103820"/>
                                <a:pt x="578472" y="8199"/>
                                <a:pt x="375568" y="8199"/>
                              </a:cubicBezTo>
                              <a:cubicBezTo>
                                <a:pt x="172757" y="8199"/>
                                <a:pt x="8801" y="103820"/>
                                <a:pt x="9543" y="221720"/>
                              </a:cubicBezTo>
                              <a:lnTo>
                                <a:pt x="9543" y="221720"/>
                              </a:lnTo>
                              <a:lnTo>
                                <a:pt x="9543" y="530891"/>
                              </a:lnTo>
                              <a:cubicBezTo>
                                <a:pt x="10285" y="648799"/>
                                <a:pt x="175261" y="744375"/>
                                <a:pt x="378165" y="744375"/>
                              </a:cubicBezTo>
                              <a:cubicBezTo>
                                <a:pt x="581069" y="744366"/>
                                <a:pt x="744932" y="648790"/>
                                <a:pt x="744282" y="530891"/>
                              </a:cubicBezTo>
                              <a:lnTo>
                                <a:pt x="744282" y="530891"/>
                              </a:lnTo>
                              <a:lnTo>
                                <a:pt x="745581" y="530891"/>
                              </a:lnTo>
                              <a:lnTo>
                                <a:pt x="745581" y="221720"/>
                              </a:lnTo>
                              <a:lnTo>
                                <a:pt x="744282" y="221720"/>
                              </a:lnTo>
                              <a:lnTo>
                                <a:pt x="744282" y="221720"/>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749300" style="position:absolute;left:0;top:0;visibility:visible;mso-position-horizontal:absolute;mso-position-horizontal-relative:page;mso-position-vertical:absolute;mso-position-vertical-relative:page;width:59pt;height:59pt;margin-left:244pt;margin-top:593pt;mso-wrap-style:square;z-index:10390288;mso-wrap-distance-left:9pt;mso-wrap-distance-top:0pt;mso-wrap-distance-right:9pt;mso-wrap-distance-bottom:0pt" id="shape7591" o:spid="1618382354755" path="m744282,221720c744375,237626,741408,253486,735380,269002c741408,253486,744375,237626,744282,221720l744282,221720l744282,221720em744282,221720c743541,103820,578472,8199,375568,8199c172757,8199,8801,103820,9543,221720l9543,221720l9543,530891c10285,648799,175261,744375,378165,744375c581069,744366,744932,648790,744282,530891l744282,530891l745581,530891l745581,221720l744282,221720l744282,221720e" stroked="f" filled="t" fillcolor="#cdcdcd"/>
            </w:pict>
          </mc:Fallback>
        </mc:AlternateContent>
      </w:r>
      <w:r>
        <mc:AlternateContent>
          <mc:Choice Requires="wps">
            <w:drawing>
              <wp:anchor distT="0" distB="0" distL="114300" distR="114300" simplePos="false" relativeHeight="10391312" behindDoc="true" locked="false" layoutInCell="true" allowOverlap="true">
                <wp:simplePos x="0" y="0"/>
                <wp:positionH relativeFrom="page">
                  <wp:posOffset>3098800</wp:posOffset>
                </wp:positionH>
                <wp:positionV relativeFrom="page">
                  <wp:posOffset>7531100</wp:posOffset>
                </wp:positionV>
                <wp:extent cx="749300" cy="749300"/>
                <wp:effectExtent l="0" t="0" r="22225" b="31115"/>
                <wp:wrapNone/>
                <wp:docPr id="7592" name="shape7592"/>
                <wp:cNvGraphicFramePr/>
                <a:graphic>
                  <a:graphicData uri="http://schemas.microsoft.com/office/word/2010/wordprocessingShape">
                    <wps:wsp>
                      <wps:cNvSpPr/>
                      <wps:spPr>
                        <a:xfrm>
                          <a:off x="0" y="0"/>
                          <a:ext cx="749300" cy="749300"/>
                        </a:xfrm>
                        <a:custGeom>
                          <a:avLst/>
                          <a:rect l="l" t="t" r="r" b="b"/>
                          <a:pathLst>
                            <a:path w="749300" h="749300">
                              <a:moveTo>
                                <a:pt x="744282" y="221720"/>
                              </a:moveTo>
                              <a:cubicBezTo>
                                <a:pt x="744375" y="237626"/>
                                <a:pt x="741408" y="253486"/>
                                <a:pt x="735380" y="269002"/>
                              </a:cubicBezTo>
                              <a:cubicBezTo>
                                <a:pt x="741408" y="253486"/>
                                <a:pt x="744375" y="237626"/>
                                <a:pt x="744282" y="221720"/>
                              </a:cubicBezTo>
                              <a:moveTo>
                                <a:pt x="744282" y="221720"/>
                              </a:moveTo>
                              <a:cubicBezTo>
                                <a:pt x="743541" y="103820"/>
                                <a:pt x="578472" y="8199"/>
                                <a:pt x="375568" y="8199"/>
                              </a:cubicBezTo>
                              <a:cubicBezTo>
                                <a:pt x="172757" y="8199"/>
                                <a:pt x="8801" y="103820"/>
                                <a:pt x="9543" y="221720"/>
                              </a:cubicBezTo>
                              <a:lnTo>
                                <a:pt x="9543" y="221720"/>
                              </a:lnTo>
                              <a:lnTo>
                                <a:pt x="9543" y="530891"/>
                              </a:lnTo>
                              <a:cubicBezTo>
                                <a:pt x="10285" y="648799"/>
                                <a:pt x="175261" y="744375"/>
                                <a:pt x="378165" y="744375"/>
                              </a:cubicBezTo>
                              <a:cubicBezTo>
                                <a:pt x="581069" y="744366"/>
                                <a:pt x="744932" y="648790"/>
                                <a:pt x="744282" y="530891"/>
                              </a:cubicBezTo>
                              <a:lnTo>
                                <a:pt x="744282" y="530891"/>
                              </a:lnTo>
                              <a:lnTo>
                                <a:pt x="745581" y="530891"/>
                              </a:lnTo>
                              <a:lnTo>
                                <a:pt x="745581" y="221720"/>
                              </a:lnTo>
                              <a:lnTo>
                                <a:pt x="744282" y="221720"/>
                              </a:lnTo>
                              <a:close/>
                            </a:path>
                          </a:pathLst>
                        </a:cu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749300" style="position:absolute;left:0;top:0;visibility:visible;mso-position-horizontal:absolute;mso-position-horizontal-relative:page;mso-position-vertical:absolute;mso-position-vertical-relative:page;width:59pt;height:59pt;margin-left:244pt;margin-top:593pt;mso-wrap-style:square;z-index:10391312;mso-wrap-distance-left:9pt;mso-wrap-distance-top:0pt;mso-wrap-distance-right:9pt;mso-wrap-distance-bottom:0pt" id="shape7592" o:spid="1618382354755" path="m744282,221720c744375,237626,741408,253486,735380,269002c741408,253486,744375,237626,744282,221720m744282,221720c743541,103820,578472,8199,375568,8199c172757,8199,8801,103820,9543,221720l9543,221720l9543,530891c10285,648799,175261,744375,378165,744375c581069,744366,744932,648790,744282,530891l744282,530891l745581,530891l745581,221720l744282,221720e" stroked="t" strokecolor="#cdcdcd" strokeweight="1pt"/>
            </w:pict>
          </mc:Fallback>
        </mc:AlternateContent>
      </w:r>
      <w:r>
        <mc:AlternateContent>
          <mc:Choice Requires="wps">
            <w:drawing>
              <wp:anchor distT="0" distB="0" distL="114300" distR="114300" simplePos="false" relativeHeight="10393360" behindDoc="true" locked="false" layoutInCell="true" allowOverlap="true">
                <wp:simplePos x="0" y="0"/>
                <wp:positionH relativeFrom="page">
                  <wp:posOffset>3086100</wp:posOffset>
                </wp:positionH>
                <wp:positionV relativeFrom="page">
                  <wp:posOffset>7518400</wp:posOffset>
                </wp:positionV>
                <wp:extent cx="749300" cy="444500"/>
                <wp:effectExtent l="0" t="0" r="22225" b="31115"/>
                <wp:wrapNone/>
                <wp:docPr id="7594" name="shape7594"/>
                <wp:cNvGraphicFramePr/>
                <a:graphic>
                  <a:graphicData uri="http://schemas.microsoft.com/office/word/2010/wordprocessingShape">
                    <wps:wsp>
                      <wps:cNvSpPr/>
                      <wps:spPr>
                        <a:xfrm>
                          <a:off x="0" y="0"/>
                          <a:ext cx="749300" cy="444500"/>
                        </a:xfrm>
                        <a:custGeom>
                          <a:avLst/>
                          <a:rect l="l" t="t" r="r" b="b"/>
                          <a:pathLst>
                            <a:path w="749300" h="444500">
                              <a:moveTo>
                                <a:pt x="8889" y="219933"/>
                              </a:moveTo>
                              <a:cubicBezTo>
                                <a:pt x="9260" y="102034"/>
                                <a:pt x="174051" y="6987"/>
                                <a:pt x="376862" y="7543"/>
                              </a:cubicBezTo>
                              <a:cubicBezTo>
                                <a:pt x="579766" y="8193"/>
                                <a:pt x="743999" y="104287"/>
                                <a:pt x="743629" y="222187"/>
                              </a:cubicBezTo>
                              <a:cubicBezTo>
                                <a:pt x="743258" y="340095"/>
                                <a:pt x="578468" y="435161"/>
                                <a:pt x="375563" y="434540"/>
                              </a:cubicBezTo>
                              <a:cubicBezTo>
                                <a:pt x="172660" y="433918"/>
                                <a:pt x="8519" y="337832"/>
                                <a:pt x="8889" y="219933"/>
                              </a:cubicBezTo>
                              <a:close/>
                            </a:path>
                          </a:pathLst>
                        </a:custGeom>
                        <a:ln>
                          <a:solidFill>
                            <a:srgbClr val="ffffff"/>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444500" style="position:absolute;left:0;top:0;visibility:visible;mso-position-horizontal:absolute;mso-position-horizontal-relative:page;mso-position-vertical:absolute;mso-position-vertical-relative:page;width:59pt;height:35pt;margin-left:243pt;margin-top:592pt;mso-wrap-style:square;z-index:10393360;mso-wrap-distance-left:9pt;mso-wrap-distance-top:0pt;mso-wrap-distance-right:9pt;mso-wrap-distance-bottom:0pt" id="shape7594" o:spid="1618382354756" path="m8889,219933c9260,102034,174051,6987,376862,7543c579766,8193,743999,104287,743629,222187c743258,340095,578468,435161,375563,434540c172660,433918,8519,337832,8889,219933e" stroked="t" strokecolor="#ffffff" strokeweight="1pt"/>
            </w:pict>
          </mc:Fallback>
        </mc:AlternateContent>
      </w:r>
      <w:r>
        <mc:AlternateContent>
          <mc:Choice Requires="wps">
            <w:drawing>
              <wp:anchor distT="0" distB="0" distL="114300" distR="114300" simplePos="false" relativeHeight="10395408" behindDoc="true" locked="false" layoutInCell="true" allowOverlap="true">
                <wp:simplePos x="0" y="0"/>
                <wp:positionH relativeFrom="page">
                  <wp:posOffset>3086100</wp:posOffset>
                </wp:positionH>
                <wp:positionV relativeFrom="page">
                  <wp:posOffset>7734300</wp:posOffset>
                </wp:positionV>
                <wp:extent cx="749300" cy="533400"/>
                <wp:effectExtent l="0" t="0" r="22225" b="31115"/>
                <wp:wrapNone/>
                <wp:docPr id="7596" name="shape7596"/>
                <wp:cNvGraphicFramePr/>
                <a:graphic>
                  <a:graphicData uri="http://schemas.microsoft.com/office/word/2010/wordprocessingShape">
                    <wps:wsp>
                      <wps:cNvSpPr/>
                      <wps:spPr>
                        <a:xfrm>
                          <a:off x="0" y="0"/>
                          <a:ext cx="749300" cy="533400"/>
                        </a:xfrm>
                        <a:custGeom>
                          <a:avLst/>
                          <a:rect l="l" t="t" r="r" b="b"/>
                          <a:pathLst>
                            <a:path w="749300" h="533400">
                              <a:moveTo>
                                <a:pt x="8889" y="5155"/>
                              </a:moveTo>
                              <a:lnTo>
                                <a:pt x="8889" y="314335"/>
                              </a:lnTo>
                              <a:cubicBezTo>
                                <a:pt x="9631" y="432235"/>
                                <a:pt x="174607" y="527811"/>
                                <a:pt x="377511" y="527811"/>
                              </a:cubicBezTo>
                              <a:cubicBezTo>
                                <a:pt x="580415" y="527811"/>
                                <a:pt x="744278" y="432235"/>
                                <a:pt x="743629" y="314335"/>
                              </a:cubicBezTo>
                              <a:lnTo>
                                <a:pt x="743629" y="314335"/>
                              </a:lnTo>
                              <a:lnTo>
                                <a:pt x="744927" y="314335"/>
                              </a:lnTo>
                              <a:lnTo>
                                <a:pt x="744927" y="5155"/>
                              </a:lnTo>
                              <a:lnTo>
                                <a:pt x="743629" y="5155"/>
                              </a:lnTo>
                              <a:cubicBezTo>
                                <a:pt x="744278" y="123064"/>
                                <a:pt x="580415" y="218640"/>
                                <a:pt x="377511" y="218640"/>
                              </a:cubicBezTo>
                              <a:cubicBezTo>
                                <a:pt x="174607" y="218640"/>
                                <a:pt x="9631" y="123064"/>
                                <a:pt x="8889" y="5155"/>
                              </a:cubicBezTo>
                              <a:cubicBezTo>
                                <a:pt x="8889" y="5155"/>
                                <a:pt x="8889" y="5155"/>
                                <a:pt x="8889" y="5155"/>
                              </a:cubicBezTo>
                              <a:close/>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533400" style="position:absolute;left:0;top:0;visibility:visible;mso-position-horizontal:absolute;mso-position-horizontal-relative:page;mso-position-vertical:absolute;mso-position-vertical-relative:page;width:59pt;height:42pt;margin-left:243pt;margin-top:609pt;mso-wrap-style:square;z-index:10395408;mso-wrap-distance-left:9pt;mso-wrap-distance-top:0pt;mso-wrap-distance-right:9pt;mso-wrap-distance-bottom:0pt" id="shape7596" o:spid="1618382354756" path="m8889,5155l8889,314335c9631,432235,174607,527811,377511,527811c580415,527811,744278,432235,743629,314335l743629,314335l744927,314335l744927,5155l743629,5155c744278,123064,580415,218640,377511,218640c174607,218640,9631,123064,8889,5155c8889,5155,8889,5155,8889,5155e" stroked="t" strokecolor="#000000" strokeweight="1pt"/>
            </w:pict>
          </mc:Fallback>
        </mc:AlternateContent>
      </w:r>
      <w:r>
        <mc:AlternateContent>
          <mc:Choice Requires="wps">
            <w:drawing>
              <wp:anchor distT="0" distB="0" distL="114300" distR="114300" simplePos="false" relativeHeight="10396432" behindDoc="true" locked="false" layoutInCell="true" allowOverlap="true">
                <wp:simplePos x="0" y="0"/>
                <wp:positionH relativeFrom="page">
                  <wp:posOffset>3086100</wp:posOffset>
                </wp:positionH>
                <wp:positionV relativeFrom="page">
                  <wp:posOffset>7518400</wp:posOffset>
                </wp:positionV>
                <wp:extent cx="749300" cy="749300"/>
                <wp:effectExtent l="0" t="0" r="22225" b="31115"/>
                <wp:wrapNone/>
                <wp:docPr id="7597" name="shape7597"/>
                <wp:cNvGraphicFramePr/>
                <a:graphic>
                  <a:graphicData uri="http://schemas.microsoft.com/office/word/2010/wordprocessingShape">
                    <wps:wsp>
                      <wps:cNvSpPr/>
                      <wps:spPr>
                        <a:xfrm>
                          <a:off x="0" y="0"/>
                          <a:ext cx="749300" cy="749300"/>
                        </a:xfrm>
                        <a:custGeom>
                          <a:avLst/>
                          <a:rect l="l" t="t" r="r" b="b"/>
                          <a:pathLst>
                            <a:path w="749300" h="749300">
                              <a:moveTo>
                                <a:pt x="743629" y="221064"/>
                              </a:moveTo>
                              <a:cubicBezTo>
                                <a:pt x="742887" y="103165"/>
                                <a:pt x="577819" y="7543"/>
                                <a:pt x="374914" y="7543"/>
                              </a:cubicBezTo>
                              <a:cubicBezTo>
                                <a:pt x="172103" y="7543"/>
                                <a:pt x="8147" y="103156"/>
                                <a:pt x="8889" y="221055"/>
                              </a:cubicBezTo>
                              <a:cubicBezTo>
                                <a:pt x="8889" y="221055"/>
                                <a:pt x="8889" y="221064"/>
                                <a:pt x="8889" y="221064"/>
                              </a:cubicBezTo>
                              <a:lnTo>
                                <a:pt x="8889" y="530235"/>
                              </a:lnTo>
                              <a:cubicBezTo>
                                <a:pt x="9631" y="648144"/>
                                <a:pt x="174607" y="743719"/>
                                <a:pt x="377511" y="743719"/>
                              </a:cubicBezTo>
                              <a:cubicBezTo>
                                <a:pt x="580415" y="743711"/>
                                <a:pt x="744278" y="648135"/>
                                <a:pt x="743629" y="530235"/>
                              </a:cubicBezTo>
                              <a:lnTo>
                                <a:pt x="743629" y="530235"/>
                              </a:lnTo>
                              <a:lnTo>
                                <a:pt x="744927" y="530235"/>
                              </a:lnTo>
                              <a:lnTo>
                                <a:pt x="744927" y="221064"/>
                              </a:lnTo>
                              <a:lnTo>
                                <a:pt x="743629" y="22106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49300,749300" style="position:absolute;left:0;top:0;visibility:visible;mso-position-horizontal:absolute;mso-position-horizontal-relative:page;mso-position-vertical:absolute;mso-position-vertical-relative:page;width:59pt;height:59pt;margin-left:243pt;margin-top:592pt;mso-wrap-style:square;z-index:10396432;mso-wrap-distance-left:9pt;mso-wrap-distance-top:0pt;mso-wrap-distance-right:9pt;mso-wrap-distance-bottom:0pt" id="shape7597" o:spid="1618382354757" path="m743629,221064c742887,103165,577819,7543,374914,7543c172103,7543,8147,103156,8889,221055c8889,221055,8889,221064,8889,221064l8889,530235c9631,648144,174607,743719,377511,743719c580415,743711,744278,648135,743629,530235l743629,530235l744927,530235l744927,221064l743629,221064" stroked="t" strokecolor="#404040" strokeweight="1pt"/>
            </w:pict>
          </mc:Fallback>
        </mc:AlternateContent>
      </w:r>
      <w:r>
        <mc:AlternateContent>
          <mc:Choice Requires="wps">
            <w:drawing>
              <wp:anchor distT="0" distB="0" distL="114300" distR="114300" simplePos="false" relativeHeight="10397456" behindDoc="true" locked="false" layoutInCell="true" allowOverlap="true">
                <wp:simplePos x="0" y="0"/>
                <wp:positionH relativeFrom="page">
                  <wp:posOffset>1244600</wp:posOffset>
                </wp:positionH>
                <wp:positionV relativeFrom="page">
                  <wp:posOffset>3289300</wp:posOffset>
                </wp:positionV>
                <wp:extent cx="1041400" cy="3797300"/>
                <wp:effectExtent l="0" t="0" r="22225" b="31115"/>
                <wp:wrapNone/>
                <wp:docPr id="7598" name="shape7598"/>
                <wp:cNvGraphicFramePr/>
                <a:graphic>
                  <a:graphicData uri="http://schemas.microsoft.com/office/word/2010/wordprocessingShape">
                    <wps:wsp>
                      <wps:cNvSpPr/>
                      <wps:spPr>
                        <a:xfrm>
                          <a:off x="0" y="0"/>
                          <a:ext cx="1041400" cy="3797300"/>
                        </a:xfrm>
                        <a:custGeom>
                          <a:avLst/>
                          <a:rect l="l" t="t" r="r" b="b"/>
                          <a:pathLst>
                            <a:path w="1041400" h="3797300">
                              <a:moveTo>
                                <a:pt x="444017" y="3965"/>
                              </a:moveTo>
                              <a:lnTo>
                                <a:pt x="261654" y="3965"/>
                              </a:lnTo>
                              <a:lnTo>
                                <a:pt x="261654" y="152917"/>
                              </a:lnTo>
                              <a:lnTo>
                                <a:pt x="10287" y="152917"/>
                              </a:lnTo>
                              <a:lnTo>
                                <a:pt x="10287" y="3789697"/>
                              </a:lnTo>
                              <a:lnTo>
                                <a:pt x="1038680" y="3789697"/>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41400,3797300" style="position:absolute;left:0;top:0;visibility:visible;mso-position-horizontal:absolute;mso-position-horizontal-relative:page;mso-position-vertical:absolute;mso-position-vertical-relative:page;width:82pt;height:299pt;margin-left:98pt;margin-top:259pt;mso-wrap-style:square;z-index:10397456;mso-wrap-distance-left:9pt;mso-wrap-distance-top:0pt;mso-wrap-distance-right:9pt;mso-wrap-distance-bottom:0pt" id="shape7598" o:spid="1618382354757" path="m444017,3965l261654,3965l261654,152917l10287,152917l10287,3789697l1038680,3789697" stroked="t" strokecolor="#404040" strokeweight="1pt"/>
            </w:pict>
          </mc:Fallback>
        </mc:AlternateContent>
      </w:r>
      <w:r>
        <mc:AlternateContent>
          <mc:Choice Requires="wps">
            <w:drawing>
              <wp:anchor distT="0" distB="0" distL="114300" distR="114300" simplePos="false" relativeHeight="10399504" behindDoc="true" locked="false" layoutInCell="true" allowOverlap="true">
                <wp:simplePos x="0" y="0"/>
                <wp:positionH relativeFrom="page">
                  <wp:posOffset>2324100</wp:posOffset>
                </wp:positionH>
                <wp:positionV relativeFrom="page">
                  <wp:posOffset>6616700</wp:posOffset>
                </wp:positionV>
                <wp:extent cx="508000" cy="469900"/>
                <wp:effectExtent l="0" t="0" r="22225" b="31115"/>
                <wp:wrapNone/>
                <wp:docPr id="7600" name="shape7600"/>
                <wp:cNvGraphicFramePr/>
                <a:graphic>
                  <a:graphicData uri="http://schemas.microsoft.com/office/word/2010/wordprocessingShape">
                    <wps:wsp>
                      <wps:cNvSpPr/>
                      <wps:spPr>
                        <a:xfrm>
                          <a:off x="0" y="0"/>
                          <a:ext cx="508000" cy="469900"/>
                        </a:xfrm>
                        <a:custGeom>
                          <a:avLst/>
                          <a:rect l="l" t="t" r="r" b="b"/>
                          <a:pathLst>
                            <a:path w="508000" h="469900">
                              <a:moveTo>
                                <a:pt x="2024" y="2274"/>
                              </a:moveTo>
                              <a:lnTo>
                                <a:pt x="2024" y="462297"/>
                              </a:lnTo>
                              <a:lnTo>
                                <a:pt x="505853" y="462297"/>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08000,469900" style="position:absolute;left:0;top:0;visibility:visible;mso-position-horizontal:absolute;mso-position-horizontal-relative:page;mso-position-vertical:absolute;mso-position-vertical-relative:page;width:40pt;height:37pt;margin-left:183pt;margin-top:521pt;mso-wrap-style:square;z-index:10399504;mso-wrap-distance-left:9pt;mso-wrap-distance-top:0pt;mso-wrap-distance-right:9pt;mso-wrap-distance-bottom:0pt" id="shape7600" o:spid="1618382354757" path="m2024,2274l2024,462297l505853,462297" stroked="t" strokecolor="#000000" strokeweight="1pt"/>
            </w:pict>
          </mc:Fallback>
        </mc:AlternateContent>
      </w:r>
      <w:r>
        <mc:AlternateContent>
          <mc:Choice Requires="wps">
            <w:drawing>
              <wp:anchor distT="0" distB="0" distL="114300" distR="114300" simplePos="false" relativeHeight="10400528" behindDoc="true" locked="false" layoutInCell="true" allowOverlap="true">
                <wp:simplePos x="0" y="0"/>
                <wp:positionH relativeFrom="page">
                  <wp:posOffset>2806700</wp:posOffset>
                </wp:positionH>
                <wp:positionV relativeFrom="page">
                  <wp:posOffset>7035800</wp:posOffset>
                </wp:positionV>
                <wp:extent cx="76200" cy="76200"/>
                <wp:effectExtent l="0" t="0" r="22225" b="31115"/>
                <wp:wrapNone/>
                <wp:docPr id="7601" name="shape7601"/>
                <wp:cNvGraphicFramePr/>
                <a:graphic>
                  <a:graphicData uri="http://schemas.microsoft.com/office/word/2010/wordprocessingShape">
                    <wps:wsp>
                      <wps:cNvSpPr/>
                      <wps:spPr>
                        <a:xfrm>
                          <a:off x="0" y="0"/>
                          <a:ext cx="76200" cy="76200"/>
                        </a:xfrm>
                        <a:custGeom>
                          <a:avLst/>
                          <a:rect l="l" t="t" r="r" b="b"/>
                          <a:pathLst>
                            <a:path w="76200" h="76200">
                              <a:moveTo>
                                <a:pt x="72681" y="43197"/>
                              </a:moveTo>
                              <a:lnTo>
                                <a:pt x="7395" y="75844"/>
                              </a:lnTo>
                              <a:cubicBezTo>
                                <a:pt x="17596" y="55347"/>
                                <a:pt x="17596" y="31140"/>
                                <a:pt x="7395" y="10551"/>
                              </a:cubicBezTo>
                              <a:lnTo>
                                <a:pt x="7395" y="10643"/>
                              </a:lnTo>
                              <a:lnTo>
                                <a:pt x="72681" y="43197"/>
                              </a:ln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21pt;margin-top:554pt;mso-wrap-style:square;z-index:10400528;mso-wrap-distance-left:9pt;mso-wrap-distance-top:0pt;mso-wrap-distance-right:9pt;mso-wrap-distance-bottom:0pt" id="shape7601" o:spid="1618382354758" path="m72681,43197l7395,75844c17596,55347,17596,31140,7395,10551l7395,10643l72681,43197e" stroked="f" filled="t" fillcolor="#000000"/>
            </w:pict>
          </mc:Fallback>
        </mc:AlternateContent>
      </w:r>
      <w:r>
        <mc:AlternateContent>
          <mc:Choice Requires="wps">
            <w:drawing>
              <wp:anchor distT="0" distB="0" distL="114300" distR="114300" simplePos="false" relativeHeight="10401552" behindDoc="true" locked="false" layoutInCell="true" allowOverlap="true">
                <wp:simplePos x="0" y="0"/>
                <wp:positionH relativeFrom="page">
                  <wp:posOffset>4102100</wp:posOffset>
                </wp:positionH>
                <wp:positionV relativeFrom="page">
                  <wp:posOffset>3289300</wp:posOffset>
                </wp:positionV>
                <wp:extent cx="1625600" cy="3797300"/>
                <wp:effectExtent l="0" t="0" r="22225" b="31115"/>
                <wp:wrapNone/>
                <wp:docPr id="7602" name="shape7602"/>
                <wp:cNvGraphicFramePr/>
                <a:graphic>
                  <a:graphicData uri="http://schemas.microsoft.com/office/word/2010/wordprocessingShape">
                    <wps:wsp>
                      <wps:cNvSpPr/>
                      <wps:spPr>
                        <a:xfrm>
                          <a:off x="0" y="0"/>
                          <a:ext cx="1625600" cy="3797300"/>
                        </a:xfrm>
                        <a:custGeom>
                          <a:avLst/>
                          <a:rect l="l" t="t" r="r" b="b"/>
                          <a:pathLst>
                            <a:path w="1625600" h="3797300">
                              <a:moveTo>
                                <a:pt x="1614970" y="3965"/>
                              </a:moveTo>
                              <a:lnTo>
                                <a:pt x="1614970" y="3789697"/>
                              </a:lnTo>
                              <a:lnTo>
                                <a:pt x="3051" y="3789697"/>
                              </a:lnTo>
                            </a:path>
                          </a:pathLst>
                        </a:custGeom>
                        <a:ln>
                          <a:solidFill>
                            <a:srgbClr val="00000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625600,3797300" style="position:absolute;left:0;top:0;visibility:visible;mso-position-horizontal:absolute;mso-position-horizontal-relative:page;mso-position-vertical:absolute;mso-position-vertical-relative:page;width:128pt;height:299pt;margin-left:323pt;margin-top:259pt;mso-wrap-style:square;z-index:10401552;mso-wrap-distance-left:9pt;mso-wrap-distance-top:0pt;mso-wrap-distance-right:9pt;mso-wrap-distance-bottom:0pt" id="shape7602" o:spid="1618382354758" path="m1614970,3965l1614970,3789697l3051,3789697" stroked="t" strokecolor="#000000" strokeweight="1pt"/>
            </w:pict>
          </mc:Fallback>
        </mc:AlternateContent>
      </w:r>
      <w:r>
        <mc:AlternateContent>
          <mc:Choice Requires="wps">
            <w:drawing>
              <wp:anchor distT="0" distB="0" distL="114300" distR="114300" simplePos="false" relativeHeight="10402576" behindDoc="true" locked="false" layoutInCell="true" allowOverlap="true">
                <wp:simplePos x="0" y="0"/>
                <wp:positionH relativeFrom="page">
                  <wp:posOffset>4051300</wp:posOffset>
                </wp:positionH>
                <wp:positionV relativeFrom="page">
                  <wp:posOffset>7035800</wp:posOffset>
                </wp:positionV>
                <wp:extent cx="76200" cy="76200"/>
                <wp:effectExtent l="0" t="0" r="22225" b="31115"/>
                <wp:wrapNone/>
                <wp:docPr id="7603" name="shape7603"/>
                <wp:cNvGraphicFramePr/>
                <a:graphic>
                  <a:graphicData uri="http://schemas.microsoft.com/office/word/2010/wordprocessingShape">
                    <wps:wsp>
                      <wps:cNvSpPr/>
                      <wps:spPr>
                        <a:xfrm>
                          <a:off x="0" y="0"/>
                          <a:ext cx="76200" cy="76200"/>
                        </a:xfrm>
                        <a:custGeom>
                          <a:avLst/>
                          <a:rect l="l" t="t" r="r" b="b"/>
                          <a:pathLst>
                            <a:path w="76200" h="76200">
                              <a:moveTo>
                                <a:pt x="4424" y="43197"/>
                              </a:moveTo>
                              <a:lnTo>
                                <a:pt x="69709" y="10643"/>
                              </a:lnTo>
                              <a:cubicBezTo>
                                <a:pt x="59415" y="31140"/>
                                <a:pt x="59415" y="55347"/>
                                <a:pt x="69709" y="75844"/>
                              </a:cubicBezTo>
                              <a:lnTo>
                                <a:pt x="69709" y="75844"/>
                              </a:lnTo>
                              <a:lnTo>
                                <a:pt x="4424" y="43197"/>
                              </a:lnTo>
                              <a:close/>
                            </a:path>
                          </a:pathLst>
                        </a:cu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319pt;margin-top:554pt;mso-wrap-style:square;z-index:10402576;mso-wrap-distance-left:9pt;mso-wrap-distance-top:0pt;mso-wrap-distance-right:9pt;mso-wrap-distance-bottom:0pt" id="shape7603" o:spid="1618382354759" path="m4424,43197l69709,10643c59415,31140,59415,55347,69709,75844l69709,75844l4424,43197e" stroked="f" filled="t" fillcolor="#000000"/>
            </w:pict>
          </mc:Fallback>
        </mc:AlternateContent>
      </w:r>
      <w:r>
        <mc:AlternateContent>
          <mc:Choice Requires="wps">
            <w:drawing>
              <wp:anchor distT="0" distB="0" distL="114300" distR="114300" simplePos="false" relativeHeight="10403600" behindDoc="true" locked="false" layoutInCell="true" allowOverlap="true">
                <wp:simplePos x="0" y="0"/>
                <wp:positionH relativeFrom="page">
                  <wp:posOffset>3225800</wp:posOffset>
                </wp:positionH>
                <wp:positionV relativeFrom="page">
                  <wp:posOffset>5588000</wp:posOffset>
                </wp:positionV>
                <wp:extent cx="825500" cy="279400"/>
                <wp:effectExtent l="0" t="0" r="22225" b="31115"/>
                <wp:wrapNone/>
                <wp:docPr id="7604" name="shape7604"/>
                <wp:cNvGraphicFramePr/>
                <a:graphic>
                  <a:graphicData uri="http://schemas.microsoft.com/office/word/2010/wordprocessingShape">
                    <wps:wsp>
                      <wps:cNvSpPr/>
                      <wps:spPr>
                        <a:xfrm>
                          <a:off x="0" y="0"/>
                          <a:ext cx="825500" cy="2794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22pt;margin-left:254pt;margin-top:440pt;mso-wrap-style:square;z-index:10403600;mso-wrap-distance-left:9pt;mso-wrap-distance-top:0pt;mso-wrap-distance-right:9pt;mso-wrap-distance-bottom:0pt" id="shape7604" o:spid="1618382354759" stroked="f" filled="t" fillcolor="#cdcdcd"/>
            </w:pict>
          </mc:Fallback>
        </mc:AlternateContent>
      </w:r>
      <w:r>
        <mc:AlternateContent>
          <mc:Choice Requires="wps">
            <w:drawing>
              <wp:anchor distT="0" distB="0" distL="114300" distR="114300" simplePos="false" relativeHeight="10404624" behindDoc="true" locked="false" layoutInCell="true" allowOverlap="true">
                <wp:simplePos x="0" y="0"/>
                <wp:positionH relativeFrom="page">
                  <wp:posOffset>3225800</wp:posOffset>
                </wp:positionH>
                <wp:positionV relativeFrom="page">
                  <wp:posOffset>5588000</wp:posOffset>
                </wp:positionV>
                <wp:extent cx="825500" cy="279400"/>
                <wp:effectExtent l="0" t="0" r="22225" b="31115"/>
                <wp:wrapNone/>
                <wp:docPr id="7605" name="shape7605"/>
                <wp:cNvGraphicFramePr/>
                <a:graphic>
                  <a:graphicData uri="http://schemas.microsoft.com/office/word/2010/wordprocessingShape">
                    <wps:wsp>
                      <wps:cNvSpPr/>
                      <wps:spPr>
                        <a:xfrm>
                          <a:off x="0" y="0"/>
                          <a:ext cx="825500" cy="2794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22pt;margin-left:254pt;margin-top:440pt;mso-wrap-style:square;z-index:10404624;mso-wrap-distance-left:9pt;mso-wrap-distance-top:0pt;mso-wrap-distance-right:9pt;mso-wrap-distance-bottom:0pt" id="shape7605" o:spid="1618382354759" stroked="t" strokecolor="#cdcdcd" strokeweight="1pt"/>
            </w:pict>
          </mc:Fallback>
        </mc:AlternateContent>
      </w:r>
      <w:r>
        <mc:AlternateContent>
          <mc:Choice Requires="wps">
            <w:drawing>
              <wp:anchor distT="0" distB="0" distL="114300" distR="114300" simplePos="false" relativeHeight="10407696" behindDoc="true" locked="false" layoutInCell="true" allowOverlap="true">
                <wp:simplePos x="0" y="0"/>
                <wp:positionH relativeFrom="page">
                  <wp:posOffset>2933700</wp:posOffset>
                </wp:positionH>
                <wp:positionV relativeFrom="page">
                  <wp:posOffset>4406900</wp:posOffset>
                </wp:positionV>
                <wp:extent cx="977900" cy="660400"/>
                <wp:effectExtent l="0" t="0" r="22225" b="31115"/>
                <wp:wrapNone/>
                <wp:docPr id="7608" name="shape7608"/>
                <wp:cNvGraphicFramePr/>
                <a:graphic>
                  <a:graphicData uri="http://schemas.microsoft.com/office/word/2010/wordprocessingShape">
                    <wps:wsp>
                      <wps:cNvSpPr/>
                      <wps:spPr>
                        <a:xfrm>
                          <a:off x="0" y="0"/>
                          <a:ext cx="977900" cy="660400"/>
                        </a:xfrm>
                        <a:custGeom>
                          <a:avLst/>
                          <a:rect l="l" t="t" r="r" b="b"/>
                          <a:pathLst>
                            <a:path w="977900" h="660400">
                              <a:moveTo>
                                <a:pt x="969567" y="3684"/>
                              </a:moveTo>
                              <a:lnTo>
                                <a:pt x="585181" y="3684"/>
                              </a:lnTo>
                              <a:lnTo>
                                <a:pt x="585181" y="647809"/>
                              </a:lnTo>
                              <a:lnTo>
                                <a:pt x="3733" y="647809"/>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77900,660400" style="position:absolute;left:0;top:0;visibility:visible;mso-position-horizontal:absolute;mso-position-horizontal-relative:page;mso-position-vertical:absolute;mso-position-vertical-relative:page;width:77pt;height:52pt;margin-left:231pt;margin-top:347pt;mso-wrap-style:square;z-index:10407696;mso-wrap-distance-left:9pt;mso-wrap-distance-top:0pt;mso-wrap-distance-right:9pt;mso-wrap-distance-bottom:0pt" id="shape7608" o:spid="1618382354760" path="m969567,3684l585181,3684l585181,647809l3733,647809" stroked="t" strokecolor="#404040" strokeweight="1pt"/>
            </w:pict>
          </mc:Fallback>
        </mc:AlternateContent>
      </w:r>
      <w:r>
        <mc:AlternateContent>
          <mc:Choice Requires="wps">
            <w:drawing>
              <wp:anchor distT="0" distB="0" distL="114300" distR="114300" simplePos="false" relativeHeight="10408720" behindDoc="true" locked="false" layoutInCell="true" allowOverlap="true">
                <wp:simplePos x="0" y="0"/>
                <wp:positionH relativeFrom="page">
                  <wp:posOffset>2882900</wp:posOffset>
                </wp:positionH>
                <wp:positionV relativeFrom="page">
                  <wp:posOffset>5016500</wp:posOffset>
                </wp:positionV>
                <wp:extent cx="76200" cy="76200"/>
                <wp:effectExtent l="0" t="0" r="22225" b="31115"/>
                <wp:wrapNone/>
                <wp:docPr id="7609" name="shape7609"/>
                <wp:cNvGraphicFramePr/>
                <a:graphic>
                  <a:graphicData uri="http://schemas.microsoft.com/office/word/2010/wordprocessingShape">
                    <wps:wsp>
                      <wps:cNvSpPr/>
                      <wps:spPr>
                        <a:xfrm>
                          <a:off x="0" y="0"/>
                          <a:ext cx="76200" cy="76200"/>
                        </a:xfrm>
                        <a:custGeom>
                          <a:avLst/>
                          <a:rect l="l" t="t" r="r" b="b"/>
                          <a:pathLst>
                            <a:path w="76200" h="76200">
                              <a:moveTo>
                                <a:pt x="5105" y="38209"/>
                              </a:moveTo>
                              <a:lnTo>
                                <a:pt x="70390" y="5563"/>
                              </a:lnTo>
                              <a:cubicBezTo>
                                <a:pt x="60097" y="26060"/>
                                <a:pt x="60097" y="50267"/>
                                <a:pt x="70390" y="70856"/>
                              </a:cubicBezTo>
                              <a:lnTo>
                                <a:pt x="5105" y="38209"/>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27pt;margin-top:395pt;mso-wrap-style:square;z-index:10408720;mso-wrap-distance-left:9pt;mso-wrap-distance-top:0pt;mso-wrap-distance-right:9pt;mso-wrap-distance-bottom:0pt" id="shape7609" o:spid="1618382354760" path="m5105,38209l70390,5563c60097,26060,60097,50267,70390,70856l5105,38209e" stroked="f" filled="t" fillcolor="#404040"/>
            </w:pict>
          </mc:Fallback>
        </mc:AlternateContent>
      </w:r>
      <w:r>
        <mc:AlternateContent>
          <mc:Choice Requires="wps">
            <w:drawing>
              <wp:anchor distT="0" distB="0" distL="114300" distR="114300" simplePos="false" relativeHeight="10409744" behindDoc="true" locked="false" layoutInCell="true" allowOverlap="true">
                <wp:simplePos x="0" y="0"/>
                <wp:positionH relativeFrom="page">
                  <wp:posOffset>3632200</wp:posOffset>
                </wp:positionH>
                <wp:positionV relativeFrom="page">
                  <wp:posOffset>5181600</wp:posOffset>
                </wp:positionV>
                <wp:extent cx="584200" cy="406400"/>
                <wp:effectExtent l="0" t="0" r="22225" b="31115"/>
                <wp:wrapNone/>
                <wp:docPr id="7610" name="shape7610"/>
                <wp:cNvGraphicFramePr/>
                <a:graphic>
                  <a:graphicData uri="http://schemas.microsoft.com/office/word/2010/wordprocessingShape">
                    <wps:wsp>
                      <wps:cNvSpPr/>
                      <wps:spPr>
                        <a:xfrm>
                          <a:off x="0" y="0"/>
                          <a:ext cx="584200" cy="406400"/>
                        </a:xfrm>
                        <a:custGeom>
                          <a:avLst/>
                          <a:rect l="l" t="t" r="r" b="b"/>
                          <a:pathLst>
                            <a:path w="584200" h="406400">
                              <a:moveTo>
                                <a:pt x="4083" y="398890"/>
                              </a:moveTo>
                              <a:lnTo>
                                <a:pt x="4083" y="4531"/>
                              </a:lnTo>
                              <a:lnTo>
                                <a:pt x="573290" y="4531"/>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84200,406400" style="position:absolute;left:0;top:0;visibility:visible;mso-position-horizontal:absolute;mso-position-horizontal-relative:page;mso-position-vertical:absolute;mso-position-vertical-relative:page;width:46pt;height:32pt;margin-left:286pt;margin-top:408pt;mso-wrap-style:square;z-index:10409744;mso-wrap-distance-left:9pt;mso-wrap-distance-top:0pt;mso-wrap-distance-right:9pt;mso-wrap-distance-bottom:0pt" id="shape7610" o:spid="1618382354760" path="m4083,398890l4083,4531l573290,4531" stroked="t" strokecolor="#404040" strokeweight="1pt"/>
            </w:pict>
          </mc:Fallback>
        </mc:AlternateContent>
      </w:r>
      <w:r>
        <mc:AlternateContent>
          <mc:Choice Requires="wps">
            <w:drawing>
              <wp:anchor distT="0" distB="0" distL="114300" distR="114300" simplePos="false" relativeHeight="10410768" behindDoc="true" locked="false" layoutInCell="true" allowOverlap="true">
                <wp:simplePos x="0" y="0"/>
                <wp:positionH relativeFrom="page">
                  <wp:posOffset>4178300</wp:posOffset>
                </wp:positionH>
                <wp:positionV relativeFrom="page">
                  <wp:posOffset>5143500</wp:posOffset>
                </wp:positionV>
                <wp:extent cx="88900" cy="76200"/>
                <wp:effectExtent l="0" t="0" r="22225" b="31115"/>
                <wp:wrapNone/>
                <wp:docPr id="7611" name="shape7611"/>
                <wp:cNvGraphicFramePr/>
                <a:graphic>
                  <a:graphicData uri="http://schemas.microsoft.com/office/word/2010/wordprocessingShape">
                    <wps:wsp>
                      <wps:cNvSpPr/>
                      <wps:spPr>
                        <a:xfrm>
                          <a:off x="0" y="0"/>
                          <a:ext cx="88900" cy="76200"/>
                        </a:xfrm>
                        <a:custGeom>
                          <a:avLst/>
                          <a:rect l="l" t="t" r="r" b="b"/>
                          <a:pathLst>
                            <a:path w="88900" h="76200">
                              <a:moveTo>
                                <a:pt x="76618" y="42631"/>
                              </a:moveTo>
                              <a:lnTo>
                                <a:pt x="11333" y="75278"/>
                              </a:lnTo>
                              <a:cubicBezTo>
                                <a:pt x="21626" y="54688"/>
                                <a:pt x="21626" y="30574"/>
                                <a:pt x="11333" y="9985"/>
                              </a:cubicBezTo>
                              <a:lnTo>
                                <a:pt x="11333" y="9985"/>
                              </a:lnTo>
                              <a:lnTo>
                                <a:pt x="76618" y="4263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329pt;margin-top:405pt;mso-wrap-style:square;z-index:10410768;mso-wrap-distance-left:9pt;mso-wrap-distance-top:0pt;mso-wrap-distance-right:9pt;mso-wrap-distance-bottom:0pt" id="shape7611" o:spid="1618382354761" path="m76618,42631l11333,75278c21626,54688,21626,30574,11333,9985l11333,9985l76618,42631e" stroked="f" filled="t" fillcolor="#404040"/>
            </w:pict>
          </mc:Fallback>
        </mc:AlternateContent>
      </w:r>
      <w:r>
        <mc:AlternateContent>
          <mc:Choice Requires="wps">
            <w:drawing>
              <wp:anchor distT="0" distB="0" distL="114300" distR="114300" simplePos="false" relativeHeight="10411792" behindDoc="true" locked="false" layoutInCell="true" allowOverlap="true">
                <wp:simplePos x="0" y="0"/>
                <wp:positionH relativeFrom="page">
                  <wp:posOffset>2654300</wp:posOffset>
                </wp:positionH>
                <wp:positionV relativeFrom="page">
                  <wp:posOffset>2984500</wp:posOffset>
                </wp:positionV>
                <wp:extent cx="939800" cy="927100"/>
                <wp:effectExtent l="0" t="0" r="22225" b="31115"/>
                <wp:wrapNone/>
                <wp:docPr id="7612" name="shape7612"/>
                <wp:cNvGraphicFramePr/>
                <a:graphic>
                  <a:graphicData uri="http://schemas.microsoft.com/office/word/2010/wordprocessingShape">
                    <wps:wsp>
                      <wps:cNvSpPr/>
                      <wps:spPr>
                        <a:xfrm>
                          <a:off x="0" y="0"/>
                          <a:ext cx="939800" cy="927100"/>
                        </a:xfrm>
                        <a:custGeom>
                          <a:avLst/>
                          <a:rect l="l" t="t" r="r" b="b"/>
                          <a:pathLst>
                            <a:path w="939800" h="927100">
                              <a:moveTo>
                                <a:pt x="471617" y="6597"/>
                              </a:moveTo>
                              <a:lnTo>
                                <a:pt x="931675" y="466713"/>
                              </a:lnTo>
                              <a:lnTo>
                                <a:pt x="471617" y="926736"/>
                              </a:lnTo>
                              <a:lnTo>
                                <a:pt x="11559" y="466713"/>
                              </a:lnTo>
                              <a:lnTo>
                                <a:pt x="471617" y="6597"/>
                              </a:lnTo>
                              <a:close/>
                            </a:path>
                          </a:pathLst>
                        </a:cu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927100" style="position:absolute;left:0;top:0;visibility:visible;mso-position-horizontal:absolute;mso-position-horizontal-relative:page;mso-position-vertical:absolute;mso-position-vertical-relative:page;width:74pt;height:73pt;margin-left:209pt;margin-top:235pt;mso-wrap-style:square;z-index:10411792;mso-wrap-distance-left:9pt;mso-wrap-distance-top:0pt;mso-wrap-distance-right:9pt;mso-wrap-distance-bottom:0pt" id="shape7612" o:spid="1618382354761" path="m471617,6597l931675,466713l471617,926736l11559,466713l471617,6597e" stroked="f" filled="t" fillcolor="#cdcdcd"/>
            </w:pict>
          </mc:Fallback>
        </mc:AlternateContent>
      </w:r>
      <w:r>
        <mc:AlternateContent>
          <mc:Choice Requires="wps">
            <w:drawing>
              <wp:anchor distT="0" distB="0" distL="114300" distR="114300" simplePos="false" relativeHeight="10412816" behindDoc="true" locked="false" layoutInCell="true" allowOverlap="true">
                <wp:simplePos x="0" y="0"/>
                <wp:positionH relativeFrom="page">
                  <wp:posOffset>2654300</wp:posOffset>
                </wp:positionH>
                <wp:positionV relativeFrom="page">
                  <wp:posOffset>2984500</wp:posOffset>
                </wp:positionV>
                <wp:extent cx="939800" cy="927100"/>
                <wp:effectExtent l="0" t="0" r="22225" b="31115"/>
                <wp:wrapNone/>
                <wp:docPr id="7613" name="shape7613"/>
                <wp:cNvGraphicFramePr/>
                <a:graphic>
                  <a:graphicData uri="http://schemas.microsoft.com/office/word/2010/wordprocessingShape">
                    <wps:wsp>
                      <wps:cNvSpPr/>
                      <wps:spPr>
                        <a:xfrm>
                          <a:off x="0" y="0"/>
                          <a:ext cx="939800" cy="927100"/>
                        </a:xfrm>
                        <a:custGeom>
                          <a:avLst/>
                          <a:rect l="l" t="t" r="r" b="b"/>
                          <a:pathLst>
                            <a:path w="939800" h="927100">
                              <a:moveTo>
                                <a:pt x="471617" y="6597"/>
                              </a:moveTo>
                              <a:lnTo>
                                <a:pt x="931675" y="466713"/>
                              </a:lnTo>
                              <a:lnTo>
                                <a:pt x="471617" y="926736"/>
                              </a:lnTo>
                              <a:lnTo>
                                <a:pt x="11559" y="466713"/>
                              </a:lnTo>
                              <a:lnTo>
                                <a:pt x="471617" y="6597"/>
                              </a:lnTo>
                              <a:close/>
                            </a:path>
                          </a:pathLst>
                        </a:cu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927100" style="position:absolute;left:0;top:0;visibility:visible;mso-position-horizontal:absolute;mso-position-horizontal-relative:page;mso-position-vertical:absolute;mso-position-vertical-relative:page;width:74pt;height:73pt;margin-left:209pt;margin-top:235pt;mso-wrap-style:square;z-index:10412816;mso-wrap-distance-left:9pt;mso-wrap-distance-top:0pt;mso-wrap-distance-right:9pt;mso-wrap-distance-bottom:0pt" id="shape7613" o:spid="1618382354762" path="m471617,6597l931675,466713l471617,926736l11559,466713l471617,6597e" stroked="t" strokecolor="#cdcdcd" strokeweight="1pt"/>
            </w:pict>
          </mc:Fallback>
        </mc:AlternateContent>
      </w:r>
      <w:r>
        <mc:AlternateContent>
          <mc:Choice Requires="wps">
            <w:drawing>
              <wp:anchor distT="0" distB="0" distL="114300" distR="114300" simplePos="false" relativeHeight="10413840" behindDoc="true" locked="false" layoutInCell="true" allowOverlap="true">
                <wp:simplePos x="0" y="0"/>
                <wp:positionH relativeFrom="page">
                  <wp:posOffset>3238500</wp:posOffset>
                </wp:positionH>
                <wp:positionV relativeFrom="page">
                  <wp:posOffset>2984500</wp:posOffset>
                </wp:positionV>
                <wp:extent cx="12700" cy="927100"/>
                <wp:effectExtent l="0" t="0" r="22225" b="31115"/>
                <wp:wrapNone/>
                <wp:docPr id="7614" name="shape7614"/>
                <wp:cNvGraphicFramePr/>
                <a:graphic>
                  <a:graphicData uri="http://schemas.microsoft.com/office/word/2010/wordprocessingShape">
                    <wps:wsp>
                      <wps:cNvSpPr/>
                      <wps:spPr>
                        <a:xfrm>
                          <a:off x="0" y="0"/>
                          <a:ext cx="12700" cy="927100"/>
                        </a:xfrm>
                        <a:custGeom>
                          <a:avLst/>
                          <a:rect l="l" t="t" r="r" b="b"/>
                          <a:pathLst>
                            <a:path w="12700" h="927100">
                              <a:moveTo>
                                <a:pt x="1717" y="6597"/>
                              </a:moveTo>
                              <a:lnTo>
                                <a:pt x="1717" y="926736"/>
                              </a:lnTo>
                              <a:close/>
                            </a:path>
                          </a:pathLst>
                        </a:cu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927100" style="position:absolute;left:0;top:0;visibility:visible;mso-position-horizontal:absolute;mso-position-horizontal-relative:page;mso-position-vertical:absolute;mso-position-vertical-relative:page;width:1pt;height:73pt;margin-left:255pt;margin-top:235pt;mso-wrap-style:square;z-index:10413840;mso-wrap-distance-left:9pt;mso-wrap-distance-top:0pt;mso-wrap-distance-right:9pt;mso-wrap-distance-bottom:0pt" id="shape7614" o:spid="1618382354762" path="m1717,6597l1717,926736e" stroked="t" strokecolor="#cdcdcd" strokeweight="1pt"/>
            </w:pict>
          </mc:Fallback>
        </mc:AlternateContent>
      </w:r>
      <w:r>
        <mc:AlternateContent>
          <mc:Choice Requires="wps">
            <w:drawing>
              <wp:anchor distT="0" distB="0" distL="114300" distR="114300" simplePos="false" relativeHeight="10415888" behindDoc="true" locked="false" layoutInCell="true" allowOverlap="true">
                <wp:simplePos x="0" y="0"/>
                <wp:positionH relativeFrom="page">
                  <wp:posOffset>2654300</wp:posOffset>
                </wp:positionH>
                <wp:positionV relativeFrom="page">
                  <wp:posOffset>2971800</wp:posOffset>
                </wp:positionV>
                <wp:extent cx="939800" cy="927100"/>
                <wp:effectExtent l="0" t="0" r="22225" b="31115"/>
                <wp:wrapNone/>
                <wp:docPr id="7616" name="shape7616"/>
                <wp:cNvGraphicFramePr/>
                <a:graphic>
                  <a:graphicData uri="http://schemas.microsoft.com/office/word/2010/wordprocessingShape">
                    <wps:wsp>
                      <wps:cNvSpPr/>
                      <wps:spPr>
                        <a:xfrm>
                          <a:off x="0" y="0"/>
                          <a:ext cx="939800" cy="927100"/>
                        </a:xfrm>
                        <a:custGeom>
                          <a:avLst/>
                          <a:rect l="l" t="t" r="r" b="b"/>
                          <a:pathLst>
                            <a:path w="939800" h="927100">
                              <a:moveTo>
                                <a:pt x="470963" y="5942"/>
                              </a:moveTo>
                              <a:lnTo>
                                <a:pt x="931021" y="466057"/>
                              </a:lnTo>
                              <a:lnTo>
                                <a:pt x="470963" y="926081"/>
                              </a:lnTo>
                              <a:lnTo>
                                <a:pt x="10905" y="466057"/>
                              </a:lnTo>
                              <a:lnTo>
                                <a:pt x="470963" y="5942"/>
                              </a:lnTo>
                              <a:close/>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939800,927100" style="position:absolute;left:0;top:0;visibility:visible;mso-position-horizontal:absolute;mso-position-horizontal-relative:page;mso-position-vertical:absolute;mso-position-vertical-relative:page;width:74pt;height:73pt;margin-left:209pt;margin-top:234pt;mso-wrap-style:square;z-index:10415888;mso-wrap-distance-left:9pt;mso-wrap-distance-top:0pt;mso-wrap-distance-right:9pt;mso-wrap-distance-bottom:0pt" id="shape7616" o:spid="1618382354762" path="m470963,5942l931021,466057l470963,926081l10905,466057l470963,5942e" stroked="t" strokecolor="#404040" strokeweight="1pt"/>
            </w:pict>
          </mc:Fallback>
        </mc:AlternateContent>
      </w:r>
      <w:r>
        <mc:AlternateContent>
          <mc:Choice Requires="wps">
            <w:drawing>
              <wp:anchor distT="0" distB="0" distL="114300" distR="114300" simplePos="false" relativeHeight="10416912" behindDoc="true" locked="false" layoutInCell="true" allowOverlap="true">
                <wp:simplePos x="0" y="0"/>
                <wp:positionH relativeFrom="page">
                  <wp:posOffset>3238500</wp:posOffset>
                </wp:positionH>
                <wp:positionV relativeFrom="page">
                  <wp:posOffset>2971800</wp:posOffset>
                </wp:positionV>
                <wp:extent cx="12700" cy="927100"/>
                <wp:effectExtent l="0" t="0" r="22225" b="31115"/>
                <wp:wrapNone/>
                <wp:docPr id="7617" name="shape7617"/>
                <wp:cNvGraphicFramePr/>
                <a:graphic>
                  <a:graphicData uri="http://schemas.microsoft.com/office/word/2010/wordprocessingShape">
                    <wps:wsp>
                      <wps:cNvSpPr/>
                      <wps:spPr>
                        <a:xfrm>
                          <a:off x="0" y="0"/>
                          <a:ext cx="12700" cy="927100"/>
                        </a:xfrm>
                        <a:custGeom>
                          <a:avLst/>
                          <a:rect l="l" t="t" r="r" b="b"/>
                          <a:pathLst>
                            <a:path w="12700" h="927100">
                              <a:moveTo>
                                <a:pt x="1063" y="5942"/>
                              </a:moveTo>
                              <a:lnTo>
                                <a:pt x="1063" y="926081"/>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927100" style="position:absolute;left:0;top:0;visibility:visible;mso-position-horizontal:absolute;mso-position-horizontal-relative:page;mso-position-vertical:absolute;mso-position-vertical-relative:page;width:1pt;height:73pt;margin-left:255pt;margin-top:234pt;mso-wrap-style:square;z-index:10416912;mso-wrap-distance-left:9pt;mso-wrap-distance-top:0pt;mso-wrap-distance-right:9pt;mso-wrap-distance-bottom:0pt" id="shape7617" o:spid="1618382354763" path="m1063,5942l1063,926081" stroked="t" strokecolor="#404040" strokeweight="1pt"/>
            </w:pict>
          </mc:Fallback>
        </mc:AlternateContent>
      </w:r>
      <w:r>
        <mc:AlternateContent>
          <mc:Choice Requires="wps">
            <w:drawing>
              <wp:anchor distT="0" distB="0" distL="114300" distR="114300" simplePos="false" relativeHeight="10417936" behindDoc="true" locked="false" layoutInCell="true" allowOverlap="true">
                <wp:simplePos x="0" y="0"/>
                <wp:positionH relativeFrom="page">
                  <wp:posOffset>3822700</wp:posOffset>
                </wp:positionH>
                <wp:positionV relativeFrom="page">
                  <wp:posOffset>2019300</wp:posOffset>
                </wp:positionV>
                <wp:extent cx="596900" cy="279400"/>
                <wp:effectExtent l="0" t="0" r="22225" b="31115"/>
                <wp:wrapNone/>
                <wp:docPr id="7618" name="shape7618"/>
                <wp:cNvGraphicFramePr/>
                <a:graphic>
                  <a:graphicData uri="http://schemas.microsoft.com/office/word/2010/wordprocessingShape">
                    <wps:wsp>
                      <wps:cNvSpPr/>
                      <wps:spPr>
                        <a:xfrm>
                          <a:off x="0" y="0"/>
                          <a:ext cx="596900" cy="279400"/>
                        </a:xfrm>
                        <a:custGeom>
                          <a:avLst/>
                          <a:rect l="l" t="t" r="r" b="b"/>
                          <a:pathLst>
                            <a:path w="596900" h="279400">
                              <a:moveTo>
                                <a:pt x="586622" y="11962"/>
                              </a:moveTo>
                              <a:lnTo>
                                <a:pt x="586622" y="139674"/>
                              </a:lnTo>
                              <a:lnTo>
                                <a:pt x="8327" y="139674"/>
                              </a:lnTo>
                              <a:lnTo>
                                <a:pt x="8327" y="278052"/>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279400" style="position:absolute;left:0;top:0;visibility:visible;mso-position-horizontal:absolute;mso-position-horizontal-relative:page;mso-position-vertical:absolute;mso-position-vertical-relative:page;width:47pt;height:22pt;margin-left:301pt;margin-top:159pt;mso-wrap-style:square;z-index:10417936;mso-wrap-distance-left:9pt;mso-wrap-distance-top:0pt;mso-wrap-distance-right:9pt;mso-wrap-distance-bottom:0pt" id="shape7618" o:spid="1618382354763" path="m586622,11962l586622,139674l8327,139674l8327,278052" stroked="t" strokecolor="#404040" strokeweight="1pt"/>
            </w:pict>
          </mc:Fallback>
        </mc:AlternateContent>
      </w:r>
      <w:r>
        <mc:AlternateContent>
          <mc:Choice Requires="wps">
            <w:drawing>
              <wp:anchor distT="0" distB="0" distL="114300" distR="114300" simplePos="false" relativeHeight="10418960" behindDoc="true" locked="false" layoutInCell="true" allowOverlap="true">
                <wp:simplePos x="0" y="0"/>
                <wp:positionH relativeFrom="page">
                  <wp:posOffset>3797300</wp:posOffset>
                </wp:positionH>
                <wp:positionV relativeFrom="page">
                  <wp:posOffset>2273300</wp:posOffset>
                </wp:positionV>
                <wp:extent cx="76200" cy="76200"/>
                <wp:effectExtent l="0" t="0" r="22225" b="31115"/>
                <wp:wrapNone/>
                <wp:docPr id="7619" name="shape7619"/>
                <wp:cNvGraphicFramePr/>
                <a:graphic>
                  <a:graphicData uri="http://schemas.microsoft.com/office/word/2010/wordprocessingShape">
                    <wps:wsp>
                      <wps:cNvSpPr/>
                      <wps:spPr>
                        <a:xfrm>
                          <a:off x="0" y="0"/>
                          <a:ext cx="76200" cy="76200"/>
                        </a:xfrm>
                        <a:custGeom>
                          <a:avLst/>
                          <a:rect l="l" t="t" r="r" b="b"/>
                          <a:pathLst>
                            <a:path w="76200" h="76200">
                              <a:moveTo>
                                <a:pt x="33727" y="73486"/>
                              </a:moveTo>
                              <a:lnTo>
                                <a:pt x="1084" y="8193"/>
                              </a:lnTo>
                              <a:cubicBezTo>
                                <a:pt x="21578" y="18488"/>
                                <a:pt x="45782" y="18488"/>
                                <a:pt x="66369" y="8193"/>
                              </a:cubicBezTo>
                              <a:lnTo>
                                <a:pt x="66369" y="8193"/>
                              </a:lnTo>
                              <a:lnTo>
                                <a:pt x="33727" y="73486"/>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99pt;margin-top:179pt;mso-wrap-style:square;z-index:10418960;mso-wrap-distance-left:9pt;mso-wrap-distance-top:0pt;mso-wrap-distance-right:9pt;mso-wrap-distance-bottom:0pt" id="shape7619" o:spid="1618382354763" path="m33727,73486l1084,8193c21578,18488,45782,18488,66369,8193l66369,8193l33727,73486e" stroked="f" filled="t" fillcolor="#404040"/>
            </w:pict>
          </mc:Fallback>
        </mc:AlternateContent>
      </w:r>
      <w:r>
        <mc:AlternateContent>
          <mc:Choice Requires="wps">
            <w:drawing>
              <wp:anchor distT="0" distB="0" distL="114300" distR="114300" simplePos="false" relativeHeight="10419984" behindDoc="true" locked="false" layoutInCell="true" allowOverlap="true">
                <wp:simplePos x="0" y="0"/>
                <wp:positionH relativeFrom="page">
                  <wp:posOffset>3238500</wp:posOffset>
                </wp:positionH>
                <wp:positionV relativeFrom="page">
                  <wp:posOffset>2781300</wp:posOffset>
                </wp:positionV>
                <wp:extent cx="596900" cy="152400"/>
                <wp:effectExtent l="0" t="0" r="22225" b="31115"/>
                <wp:wrapNone/>
                <wp:docPr id="7620" name="shape7620"/>
                <wp:cNvGraphicFramePr/>
                <a:graphic>
                  <a:graphicData uri="http://schemas.microsoft.com/office/word/2010/wordprocessingShape">
                    <wps:wsp>
                      <wps:cNvSpPr/>
                      <wps:spPr>
                        <a:xfrm>
                          <a:off x="0" y="0"/>
                          <a:ext cx="596900" cy="152400"/>
                        </a:xfrm>
                        <a:custGeom>
                          <a:avLst/>
                          <a:rect l="l" t="t" r="r" b="b"/>
                          <a:pathLst>
                            <a:path w="596900" h="152400">
                              <a:moveTo>
                                <a:pt x="592527" y="12432"/>
                              </a:moveTo>
                              <a:lnTo>
                                <a:pt x="592527" y="95904"/>
                              </a:lnTo>
                              <a:lnTo>
                                <a:pt x="1063" y="95904"/>
                              </a:lnTo>
                              <a:lnTo>
                                <a:pt x="1063" y="147008"/>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596900,152400" style="position:absolute;left:0;top:0;visibility:visible;mso-position-horizontal:absolute;mso-position-horizontal-relative:page;mso-position-vertical:absolute;mso-position-vertical-relative:page;width:47pt;height:12pt;margin-left:255pt;margin-top:219pt;mso-wrap-style:square;z-index:10419984;mso-wrap-distance-left:9pt;mso-wrap-distance-top:0pt;mso-wrap-distance-right:9pt;mso-wrap-distance-bottom:0pt" id="shape7620" o:spid="1618382354764" path="m592527,12432l592527,95904l1063,95904l1063,147008" stroked="t" strokecolor="#404040" strokeweight="1pt"/>
            </w:pict>
          </mc:Fallback>
        </mc:AlternateContent>
      </w:r>
      <w:r>
        <mc:AlternateContent>
          <mc:Choice Requires="wps">
            <w:drawing>
              <wp:anchor distT="0" distB="0" distL="114300" distR="114300" simplePos="false" relativeHeight="10421008" behindDoc="true" locked="false" layoutInCell="true" allowOverlap="true">
                <wp:simplePos x="0" y="0"/>
                <wp:positionH relativeFrom="page">
                  <wp:posOffset>3200400</wp:posOffset>
                </wp:positionH>
                <wp:positionV relativeFrom="page">
                  <wp:posOffset>2908300</wp:posOffset>
                </wp:positionV>
                <wp:extent cx="76200" cy="76200"/>
                <wp:effectExtent l="0" t="0" r="22225" b="31115"/>
                <wp:wrapNone/>
                <wp:docPr id="7621" name="shape7621"/>
                <wp:cNvGraphicFramePr/>
                <a:graphic>
                  <a:graphicData uri="http://schemas.microsoft.com/office/word/2010/wordprocessingShape">
                    <wps:wsp>
                      <wps:cNvSpPr/>
                      <wps:spPr>
                        <a:xfrm>
                          <a:off x="0" y="0"/>
                          <a:ext cx="76200" cy="76200"/>
                        </a:xfrm>
                        <a:custGeom>
                          <a:avLst/>
                          <a:rect l="l" t="t" r="r" b="b"/>
                          <a:pathLst>
                            <a:path w="76200" h="76200">
                              <a:moveTo>
                                <a:pt x="39163" y="69442"/>
                              </a:moveTo>
                              <a:lnTo>
                                <a:pt x="6521" y="4147"/>
                              </a:lnTo>
                              <a:cubicBezTo>
                                <a:pt x="27108" y="14443"/>
                                <a:pt x="51219" y="14443"/>
                                <a:pt x="71806" y="4147"/>
                              </a:cubicBezTo>
                              <a:lnTo>
                                <a:pt x="71806" y="4147"/>
                              </a:lnTo>
                              <a:lnTo>
                                <a:pt x="39163" y="69442"/>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52pt;margin-top:229pt;mso-wrap-style:square;z-index:10421008;mso-wrap-distance-left:9pt;mso-wrap-distance-top:0pt;mso-wrap-distance-right:9pt;mso-wrap-distance-bottom:0pt" id="shape7621" o:spid="1618382354764" path="m39163,69442l6521,4147c27108,14443,51219,14443,71806,4147l71806,4147l39163,69442e" stroked="f" filled="t" fillcolor="#404040"/>
            </w:pict>
          </mc:Fallback>
        </mc:AlternateContent>
      </w:r>
      <w:r>
        <mc:AlternateContent>
          <mc:Choice Requires="wps">
            <w:drawing>
              <wp:anchor distT="0" distB="0" distL="114300" distR="114300" simplePos="false" relativeHeight="10422032" behindDoc="true" locked="false" layoutInCell="true" allowOverlap="true">
                <wp:simplePos x="0" y="0"/>
                <wp:positionH relativeFrom="page">
                  <wp:posOffset>2844800</wp:posOffset>
                </wp:positionH>
                <wp:positionV relativeFrom="page">
                  <wp:posOffset>6921500</wp:posOffset>
                </wp:positionV>
                <wp:extent cx="1193800" cy="342900"/>
                <wp:effectExtent l="0" t="0" r="22225" b="31115"/>
                <wp:wrapNone/>
                <wp:docPr id="7622" name="shape7622"/>
                <wp:cNvGraphicFramePr/>
                <a:graphic>
                  <a:graphicData uri="http://schemas.microsoft.com/office/word/2010/wordprocessingShape">
                    <wps:wsp>
                      <wps:cNvSpPr/>
                      <wps:spPr>
                        <a:xfrm>
                          <a:off x="0" y="0"/>
                          <a:ext cx="1193800" cy="342900"/>
                        </a:xfrm>
                        <a:prstGeom prst="rect">
                          <a:avLst/>
                        </a:prstGeom>
                        <a:solidFill>
                          <a:srgbClr val="cdcdcd">
                            <a:alpha val="49804"/>
                          </a:srgbClr>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4pt;height:27pt;margin-left:224pt;margin-top:545pt;mso-wrap-style:square;z-index:10422032;mso-wrap-distance-left:9pt;mso-wrap-distance-top:0pt;mso-wrap-distance-right:9pt;mso-wrap-distance-bottom:0pt" id="shape7622" o:spid="1618382354765" stroked="f" filled="t" fillcolor="#cdcdcd"/>
            </w:pict>
          </mc:Fallback>
        </mc:AlternateContent>
      </w:r>
      <w:r>
        <mc:AlternateContent>
          <mc:Choice Requires="wps">
            <w:drawing>
              <wp:anchor distT="0" distB="0" distL="114300" distR="114300" simplePos="false" relativeHeight="10423056" behindDoc="true" locked="false" layoutInCell="true" allowOverlap="true">
                <wp:simplePos x="0" y="0"/>
                <wp:positionH relativeFrom="page">
                  <wp:posOffset>2844800</wp:posOffset>
                </wp:positionH>
                <wp:positionV relativeFrom="page">
                  <wp:posOffset>6921500</wp:posOffset>
                </wp:positionV>
                <wp:extent cx="1193800" cy="342900"/>
                <wp:effectExtent l="0" t="0" r="22225" b="31115"/>
                <wp:wrapNone/>
                <wp:docPr id="7623" name="shape7623"/>
                <wp:cNvGraphicFramePr/>
                <a:graphic>
                  <a:graphicData uri="http://schemas.microsoft.com/office/word/2010/wordprocessingShape">
                    <wps:wsp>
                      <wps:cNvSpPr/>
                      <wps:spPr>
                        <a:xfrm>
                          <a:off x="0" y="0"/>
                          <a:ext cx="1193800" cy="342900"/>
                        </a:xfrm>
                        <a:prstGeom prst="rect">
                          <a:avLst/>
                        </a:prstGeom>
                        <a:ln>
                          <a:solidFill>
                            <a:srgbClr val="cdcdcd"/>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4pt;height:27pt;margin-left:224pt;margin-top:545pt;mso-wrap-style:square;z-index:10423056;mso-wrap-distance-left:9pt;mso-wrap-distance-top:0pt;mso-wrap-distance-right:9pt;mso-wrap-distance-bottom:0pt" id="shape7623" o:spid="1618382354765" stroked="t" strokecolor="#cdcdcd" strokeweight="1pt"/>
            </w:pict>
          </mc:Fallback>
        </mc:AlternateContent>
      </w:r>
      <w:r>
        <mc:AlternateContent>
          <mc:Choice Requires="wps">
            <w:drawing>
              <wp:anchor distT="0" distB="0" distL="114300" distR="114300" simplePos="false" relativeHeight="10426128" behindDoc="true" locked="false" layoutInCell="true" allowOverlap="true">
                <wp:simplePos x="0" y="0"/>
                <wp:positionH relativeFrom="page">
                  <wp:posOffset>3467100</wp:posOffset>
                </wp:positionH>
                <wp:positionV relativeFrom="page">
                  <wp:posOffset>7239000</wp:posOffset>
                </wp:positionV>
                <wp:extent cx="12700" cy="241300"/>
                <wp:effectExtent l="0" t="0" r="22225" b="31115"/>
                <wp:wrapNone/>
                <wp:docPr id="7626" name="shape7626"/>
                <wp:cNvGraphicFramePr/>
                <a:graphic>
                  <a:graphicData uri="http://schemas.microsoft.com/office/word/2010/wordprocessingShape">
                    <wps:wsp>
                      <wps:cNvSpPr/>
                      <wps:spPr>
                        <a:xfrm>
                          <a:off x="0" y="0"/>
                          <a:ext cx="12700" cy="241300"/>
                        </a:xfrm>
                        <a:custGeom>
                          <a:avLst/>
                          <a:rect l="l" t="t" r="r" b="b"/>
                          <a:pathLst>
                            <a:path w="12700" h="241300">
                              <a:moveTo>
                                <a:pt x="406" y="10929"/>
                              </a:moveTo>
                              <a:lnTo>
                                <a:pt x="406" y="237602"/>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41300" style="position:absolute;left:0;top:0;visibility:visible;mso-position-horizontal:absolute;mso-position-horizontal-relative:page;mso-position-vertical:absolute;mso-position-vertical-relative:page;width:1pt;height:19pt;margin-left:273pt;margin-top:570pt;mso-wrap-style:square;z-index:10426128;mso-wrap-distance-left:9pt;mso-wrap-distance-top:0pt;mso-wrap-distance-right:9pt;mso-wrap-distance-bottom:0pt" id="shape7626" o:spid="1618382354765" path="m406,10929l406,237602" stroked="t" strokecolor="#404040" strokeweight="1pt"/>
            </w:pict>
          </mc:Fallback>
        </mc:AlternateContent>
      </w:r>
      <w:r>
        <mc:AlternateContent>
          <mc:Choice Requires="wps">
            <w:drawing>
              <wp:anchor distT="0" distB="0" distL="114300" distR="114300" simplePos="false" relativeHeight="10427152" behindDoc="true" locked="false" layoutInCell="true" allowOverlap="true">
                <wp:simplePos x="0" y="0"/>
                <wp:positionH relativeFrom="page">
                  <wp:posOffset>3429000</wp:posOffset>
                </wp:positionH>
                <wp:positionV relativeFrom="page">
                  <wp:posOffset>7454900</wp:posOffset>
                </wp:positionV>
                <wp:extent cx="76200" cy="76200"/>
                <wp:effectExtent l="0" t="0" r="22225" b="31115"/>
                <wp:wrapNone/>
                <wp:docPr id="7627" name="shape7627"/>
                <wp:cNvGraphicFramePr/>
                <a:graphic>
                  <a:graphicData uri="http://schemas.microsoft.com/office/word/2010/wordprocessingShape">
                    <wps:wsp>
                      <wps:cNvSpPr/>
                      <wps:spPr>
                        <a:xfrm>
                          <a:off x="0" y="0"/>
                          <a:ext cx="76200" cy="76200"/>
                        </a:xfrm>
                        <a:custGeom>
                          <a:avLst/>
                          <a:rect l="l" t="t" r="r" b="b"/>
                          <a:pathLst>
                            <a:path w="76200" h="76200">
                              <a:moveTo>
                                <a:pt x="38506" y="71136"/>
                              </a:moveTo>
                              <a:lnTo>
                                <a:pt x="5863" y="5843"/>
                              </a:lnTo>
                              <a:cubicBezTo>
                                <a:pt x="26450" y="16137"/>
                                <a:pt x="50654" y="16137"/>
                                <a:pt x="71149" y="5843"/>
                              </a:cubicBezTo>
                              <a:lnTo>
                                <a:pt x="71149" y="5843"/>
                              </a:lnTo>
                              <a:lnTo>
                                <a:pt x="38506" y="71136"/>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270pt;margin-top:587pt;mso-wrap-style:square;z-index:10427152;mso-wrap-distance-left:9pt;mso-wrap-distance-top:0pt;mso-wrap-distance-right:9pt;mso-wrap-distance-bottom:0pt" id="shape7627" o:spid="1618382354766" path="m38506,71136l5863,5843c26450,16137,50654,16137,71149,5843l71149,5843l38506,71136e" stroked="f" filled="t" fillcolor="#404040"/>
            </w:pict>
          </mc:Fallback>
        </mc:AlternateContent>
      </w:r>
      <w:r>
        <mc:AlternateContent>
          <mc:Choice Requires="wps">
            <w:drawing>
              <wp:anchor distT="0" distB="0" distL="114300" distR="114300" simplePos="false" relativeHeight="10429200" behindDoc="true" locked="false" layoutInCell="true" allowOverlap="true">
                <wp:simplePos x="0" y="0"/>
                <wp:positionH relativeFrom="page">
                  <wp:posOffset>2222500</wp:posOffset>
                </wp:positionH>
                <wp:positionV relativeFrom="page">
                  <wp:posOffset>3619500</wp:posOffset>
                </wp:positionV>
                <wp:extent cx="88900" cy="76200"/>
                <wp:effectExtent l="0" t="0" r="22225" b="31115"/>
                <wp:wrapNone/>
                <wp:docPr id="7496" name="shape7496"/>
                <wp:cNvGraphicFramePr/>
                <a:graphic>
                  <a:graphicData uri="http://schemas.microsoft.com/office/word/2010/wordprocessingShape">
                    <wps:wsp>
                      <wps:cNvSpPr/>
                      <wps:spPr>
                        <a:xfrm>
                          <a:off x="0" y="0"/>
                          <a:ext cx="88900" cy="76200"/>
                        </a:xfrm>
                        <a:custGeom>
                          <a:avLst/>
                          <a:rect l="l" t="t" r="r" b="b"/>
                          <a:pathLst>
                            <a:path w="88900" h="76200">
                              <a:moveTo>
                                <a:pt x="44459" y="68124"/>
                              </a:moveTo>
                              <a:lnTo>
                                <a:pt x="11816" y="2830"/>
                              </a:lnTo>
                              <a:cubicBezTo>
                                <a:pt x="32311" y="13033"/>
                                <a:pt x="56515" y="13033"/>
                                <a:pt x="77102" y="2830"/>
                              </a:cubicBezTo>
                              <a:lnTo>
                                <a:pt x="77102" y="2830"/>
                              </a:lnTo>
                              <a:lnTo>
                                <a:pt x="44459" y="68124"/>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175pt;margin-top:285pt;mso-wrap-style:square;z-index:10429200;mso-wrap-distance-left:9pt;mso-wrap-distance-top:0pt;mso-wrap-distance-right:9pt;mso-wrap-distance-bottom:0pt" id="shape7496" o:spid="1618382354766" path="m44459,68124l11816,2830c32311,13033,56515,13033,77102,2830l77102,2830l44459,68124e" stroked="f" filled="t" fillcolor="#404040"/>
            </w:pict>
          </mc:Fallback>
        </mc:AlternateContent>
      </w:r>
      <w:r>
        <mc:AlternateContent>
          <mc:Choice Requires="wps">
            <w:drawing>
              <wp:anchor distT="0" distB="0" distL="114300" distR="114300" simplePos="false" relativeHeight="10430224" behindDoc="true" locked="false" layoutInCell="true" allowOverlap="true">
                <wp:simplePos x="0" y="0"/>
                <wp:positionH relativeFrom="page">
                  <wp:posOffset>2260600</wp:posOffset>
                </wp:positionH>
                <wp:positionV relativeFrom="page">
                  <wp:posOffset>4076700</wp:posOffset>
                </wp:positionV>
                <wp:extent cx="12700" cy="228600"/>
                <wp:effectExtent l="0" t="0" r="22225" b="31115"/>
                <wp:wrapNone/>
                <wp:docPr id="7523" name="shape7523"/>
                <wp:cNvGraphicFramePr/>
                <a:graphic>
                  <a:graphicData uri="http://schemas.microsoft.com/office/word/2010/wordprocessingShape">
                    <wps:wsp>
                      <wps:cNvSpPr/>
                      <wps:spPr>
                        <a:xfrm>
                          <a:off x="0" y="0"/>
                          <a:ext cx="12700" cy="228600"/>
                        </a:xfrm>
                        <a:custGeom>
                          <a:avLst/>
                          <a:rect l="l" t="t" r="r" b="b"/>
                          <a:pathLst>
                            <a:path w="12700" h="228600">
                              <a:moveTo>
                                <a:pt x="6359" y="5283"/>
                              </a:moveTo>
                              <a:lnTo>
                                <a:pt x="6359" y="218693"/>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28600" style="position:absolute;left:0;top:0;visibility:visible;mso-position-horizontal:absolute;mso-position-horizontal-relative:page;mso-position-vertical:absolute;mso-position-vertical-relative:page;width:1pt;height:18pt;margin-left:178pt;margin-top:321pt;mso-wrap-style:square;z-index:10430224;mso-wrap-distance-left:9pt;mso-wrap-distance-top:0pt;mso-wrap-distance-right:9pt;mso-wrap-distance-bottom:0pt" id="shape7523" o:spid="1618382354766" path="m6359,5283l6359,218693" stroked="t" strokecolor="#404040" strokeweight="1pt"/>
            </w:pict>
          </mc:Fallback>
        </mc:AlternateContent>
      </w:r>
      <w:r>
        <mc:AlternateContent>
          <mc:Choice Requires="wps">
            <w:drawing>
              <wp:anchor distT="0" distB="0" distL="114300" distR="114300" simplePos="false" relativeHeight="10431248" behindDoc="true" locked="false" layoutInCell="true" allowOverlap="true">
                <wp:simplePos x="0" y="0"/>
                <wp:positionH relativeFrom="page">
                  <wp:posOffset>2222500</wp:posOffset>
                </wp:positionH>
                <wp:positionV relativeFrom="page">
                  <wp:posOffset>4267200</wp:posOffset>
                </wp:positionV>
                <wp:extent cx="88900" cy="88900"/>
                <wp:effectExtent l="0" t="0" r="22225" b="31115"/>
                <wp:wrapNone/>
                <wp:docPr id="7524" name="shape7524"/>
                <wp:cNvGraphicFramePr/>
                <a:graphic>
                  <a:graphicData uri="http://schemas.microsoft.com/office/word/2010/wordprocessingShape">
                    <wps:wsp>
                      <wps:cNvSpPr/>
                      <wps:spPr>
                        <a:xfrm>
                          <a:off x="0" y="0"/>
                          <a:ext cx="88900" cy="88900"/>
                        </a:xfrm>
                        <a:custGeom>
                          <a:avLst/>
                          <a:rect l="l" t="t" r="r" b="b"/>
                          <a:pathLst>
                            <a:path w="88900" h="88900">
                              <a:moveTo>
                                <a:pt x="44459" y="77627"/>
                              </a:moveTo>
                              <a:lnTo>
                                <a:pt x="11816" y="12333"/>
                              </a:lnTo>
                              <a:cubicBezTo>
                                <a:pt x="32311" y="22628"/>
                                <a:pt x="56515" y="22628"/>
                                <a:pt x="77102" y="12333"/>
                              </a:cubicBezTo>
                              <a:lnTo>
                                <a:pt x="77102" y="12333"/>
                              </a:lnTo>
                              <a:lnTo>
                                <a:pt x="44459" y="77627"/>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175pt;margin-top:336pt;mso-wrap-style:square;z-index:10431248;mso-wrap-distance-left:9pt;mso-wrap-distance-top:0pt;mso-wrap-distance-right:9pt;mso-wrap-distance-bottom:0pt" id="shape7524" o:spid="1618382354767" path="m44459,77627l11816,12333c32311,22628,56515,22628,77102,12333l77102,12333l44459,77627e" stroked="f" filled="t" fillcolor="#404040"/>
            </w:pict>
          </mc:Fallback>
        </mc:AlternateContent>
      </w:r>
      <w:r>
        <mc:AlternateContent>
          <mc:Choice Requires="wps">
            <w:drawing>
              <wp:anchor distT="0" distB="0" distL="114300" distR="114300" simplePos="false" relativeHeight="10432272" behindDoc="true" locked="false" layoutInCell="true" allowOverlap="true">
                <wp:simplePos x="0" y="0"/>
                <wp:positionH relativeFrom="page">
                  <wp:posOffset>2222500</wp:posOffset>
                </wp:positionH>
                <wp:positionV relativeFrom="page">
                  <wp:posOffset>5448300</wp:posOffset>
                </wp:positionV>
                <wp:extent cx="88900" cy="76200"/>
                <wp:effectExtent l="0" t="0" r="22225" b="31115"/>
                <wp:wrapNone/>
                <wp:docPr id="7550" name="shape7550"/>
                <wp:cNvGraphicFramePr/>
                <a:graphic>
                  <a:graphicData uri="http://schemas.microsoft.com/office/word/2010/wordprocessingShape">
                    <wps:wsp>
                      <wps:cNvSpPr/>
                      <wps:spPr>
                        <a:xfrm>
                          <a:off x="0" y="0"/>
                          <a:ext cx="88900" cy="76200"/>
                        </a:xfrm>
                        <a:custGeom>
                          <a:avLst/>
                          <a:rect l="l" t="t" r="r" b="b"/>
                          <a:pathLst>
                            <a:path w="88900" h="76200">
                              <a:moveTo>
                                <a:pt x="44459" y="66433"/>
                              </a:moveTo>
                              <a:lnTo>
                                <a:pt x="11816" y="1139"/>
                              </a:lnTo>
                              <a:cubicBezTo>
                                <a:pt x="32311" y="11434"/>
                                <a:pt x="56515" y="11434"/>
                                <a:pt x="77102" y="1139"/>
                              </a:cubicBezTo>
                              <a:lnTo>
                                <a:pt x="77102" y="1139"/>
                              </a:lnTo>
                              <a:lnTo>
                                <a:pt x="44459" y="66433"/>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175pt;margin-top:429pt;mso-wrap-style:square;z-index:10432272;mso-wrap-distance-left:9pt;mso-wrap-distance-top:0pt;mso-wrap-distance-right:9pt;mso-wrap-distance-bottom:0pt" id="shape7550" o:spid="1618382354767" path="m44459,66433l11816,1139c32311,11434,56515,11434,77102,1139l77102,1139l44459,66433e" stroked="f" filled="t" fillcolor="#404040"/>
            </w:pict>
          </mc:Fallback>
        </mc:AlternateContent>
      </w:r>
      <w:r>
        <mc:AlternateContent>
          <mc:Choice Requires="wps">
            <w:drawing>
              <wp:anchor distT="0" distB="0" distL="114300" distR="114300" simplePos="false" relativeHeight="10433296" behindDoc="true" locked="false" layoutInCell="true" allowOverlap="true">
                <wp:simplePos x="0" y="0"/>
                <wp:positionH relativeFrom="page">
                  <wp:posOffset>2222500</wp:posOffset>
                </wp:positionH>
                <wp:positionV relativeFrom="page">
                  <wp:posOffset>5905500</wp:posOffset>
                </wp:positionV>
                <wp:extent cx="88900" cy="76200"/>
                <wp:effectExtent l="0" t="0" r="22225" b="31115"/>
                <wp:wrapNone/>
                <wp:docPr id="7584" name="shape7584"/>
                <wp:cNvGraphicFramePr/>
                <a:graphic>
                  <a:graphicData uri="http://schemas.microsoft.com/office/word/2010/wordprocessingShape">
                    <wps:wsp>
                      <wps:cNvSpPr/>
                      <wps:spPr>
                        <a:xfrm>
                          <a:off x="0" y="0"/>
                          <a:ext cx="88900" cy="76200"/>
                        </a:xfrm>
                        <a:custGeom>
                          <a:avLst/>
                          <a:rect l="l" t="t" r="r" b="b"/>
                          <a:pathLst>
                            <a:path w="88900" h="76200">
                              <a:moveTo>
                                <a:pt x="44459" y="3591"/>
                              </a:moveTo>
                              <a:lnTo>
                                <a:pt x="77102" y="68885"/>
                              </a:lnTo>
                              <a:cubicBezTo>
                                <a:pt x="56515" y="58683"/>
                                <a:pt x="32311" y="58683"/>
                                <a:pt x="11816" y="68885"/>
                              </a:cubicBezTo>
                              <a:lnTo>
                                <a:pt x="44459" y="3591"/>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76200" style="position:absolute;left:0;top:0;visibility:visible;mso-position-horizontal:absolute;mso-position-horizontal-relative:page;mso-position-vertical:absolute;mso-position-vertical-relative:page;width:7pt;height:6pt;margin-left:175pt;margin-top:465pt;mso-wrap-style:square;z-index:10433296;mso-wrap-distance-left:9pt;mso-wrap-distance-top:0pt;mso-wrap-distance-right:9pt;mso-wrap-distance-bottom:0pt" id="shape7584" o:spid="1618382354767" path="m44459,3591l77102,68885c56515,58683,32311,58683,11816,68885l44459,3591e" stroked="f" filled="t" fillcolor="#404040"/>
            </w:pict>
          </mc:Fallback>
        </mc:AlternateContent>
      </w:r>
      <w:r>
        <mc:AlternateContent>
          <mc:Choice Requires="wps">
            <w:drawing>
              <wp:anchor distT="0" distB="0" distL="114300" distR="114300" simplePos="false" relativeHeight="10434320" behindDoc="true" locked="false" layoutInCell="true" allowOverlap="true">
                <wp:simplePos x="0" y="0"/>
                <wp:positionH relativeFrom="page">
                  <wp:posOffset>2260600</wp:posOffset>
                </wp:positionH>
                <wp:positionV relativeFrom="page">
                  <wp:posOffset>7035800</wp:posOffset>
                </wp:positionV>
                <wp:extent cx="76200" cy="76200"/>
                <wp:effectExtent l="0" t="0" r="22225" b="31115"/>
                <wp:wrapNone/>
                <wp:docPr id="7599" name="shape7599"/>
                <wp:cNvGraphicFramePr/>
                <a:graphic>
                  <a:graphicData uri="http://schemas.microsoft.com/office/word/2010/wordprocessingShape">
                    <wps:wsp>
                      <wps:cNvSpPr/>
                      <wps:spPr>
                        <a:xfrm>
                          <a:off x="0" y="0"/>
                          <a:ext cx="76200" cy="76200"/>
                        </a:xfrm>
                        <a:custGeom>
                          <a:avLst/>
                          <a:rect l="l" t="t" r="r" b="b"/>
                          <a:pathLst>
                            <a:path w="76200" h="76200">
                              <a:moveTo>
                                <a:pt x="72015" y="43197"/>
                              </a:moveTo>
                              <a:lnTo>
                                <a:pt x="6730" y="75844"/>
                              </a:lnTo>
                              <a:cubicBezTo>
                                <a:pt x="17023" y="55347"/>
                                <a:pt x="17023" y="31140"/>
                                <a:pt x="6730" y="10551"/>
                              </a:cubicBezTo>
                              <a:lnTo>
                                <a:pt x="6730" y="10643"/>
                              </a:lnTo>
                              <a:lnTo>
                                <a:pt x="72015" y="43197"/>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76200" style="position:absolute;left:0;top:0;visibility:visible;mso-position-horizontal:absolute;mso-position-horizontal-relative:page;mso-position-vertical:absolute;mso-position-vertical-relative:page;width:6pt;height:6pt;margin-left:178pt;margin-top:554pt;mso-wrap-style:square;z-index:10434320;mso-wrap-distance-left:9pt;mso-wrap-distance-top:0pt;mso-wrap-distance-right:9pt;mso-wrap-distance-bottom:0pt" id="shape7599" o:spid="1618382354768" path="m72015,43197l6730,75844c17023,55347,17023,31140,6730,10551l6730,10643l72015,43197e" stroked="f" filled="t" fillcolor="#404040"/>
            </w:pict>
          </mc:Fallback>
        </mc:AlternateContent>
      </w:r>
      <w:r>
        <mc:AlternateContent>
          <mc:Choice Requires="wps">
            <w:drawing>
              <wp:anchor distT="0" distB="0" distL="114300" distR="114300" simplePos="false" relativeHeight="10425104" behindDoc="true" locked="false" layoutInCell="true" allowOverlap="true">
                <wp:simplePos x="0" y="0"/>
                <wp:positionH relativeFrom="page">
                  <wp:posOffset>2844800</wp:posOffset>
                </wp:positionH>
                <wp:positionV relativeFrom="page">
                  <wp:posOffset>6896100</wp:posOffset>
                </wp:positionV>
                <wp:extent cx="1193800" cy="355600"/>
                <wp:effectExtent l="0" t="0" r="22225" b="31115"/>
                <wp:wrapNone/>
                <wp:docPr id="7625" name="shape7625"/>
                <wp:cNvGraphicFramePr/>
                <a:graphic>
                  <a:graphicData uri="http://schemas.microsoft.com/office/word/2010/wordprocessingShape">
                    <wps:wsp>
                      <wps:cNvSpPr/>
                      <wps:spPr>
                        <a:xfrm>
                          <a:off x="0" y="0"/>
                          <a:ext cx="1193800" cy="355600"/>
                        </a:xfrm>
                        <a:prstGeom prst="rect">
                          <a:avLst/>
                        </a:prstGeom>
                        <a:ln>
                          <a:solidFill>
                            <a:srgbClr val="404040"/>
                          </a:solidFill>
                        </a:ln>
                      </wps:spPr>
                      <wps:txbx>
                        <w:txbxContent>
                          <w:p>
                            <w:pPr>
                              <w:spacing w:line="-380" w:lineRule="exact"/>
                              <w:ind w:left="400"/>
                              <w:jc w:val="both"/>
                            </w:pPr>
                            <w:r>
                              <w:rPr>
                                <w:rFonts w:hint="eastAsia" w:ascii="宋体" w:hAnsi="宋体" w:eastAsia="宋体" w:cs="宋体"/>
                                <w:w w:val="99"/>
                                <w:sz w:val="23"/>
                              </w:rPr>
                              <w:t>服务存档</w:t>
                            </w:r>
                          </w:p>
                        </w:txbxContent>
                      </wps:txbx>
                      <wps:bodyPr rot="0" spcFirstLastPara="false" vertOverflow="overflow" horzOverflow="overflow" vert="horz" wrap="square" lIns="317500" tIns="889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4pt;height:28pt;margin-left:224pt;margin-top:543pt;mso-wrap-style:square;z-index:10425104;mso-wrap-distance-left:9pt;mso-wrap-distance-top:0pt;mso-wrap-distance-right:9pt;mso-wrap-distance-bottom:0pt" id="shape7625" o:spid="1618382354768" stroked="t" strokecolor="#404040" strokeweight="1pt">
                <v:textbox>
                  <w:txbxContent>
                    <w:p>
                      <w:pPr>
                        <w:spacing w:line="-380" w:lineRule="exact"/>
                        <w:ind w:left="400"/>
                        <w:jc w:val="both"/>
                      </w:pPr>
                      <w:r>
                        <w:rPr>
                          <w:rFonts w:hint="eastAsia" w:ascii="宋体" w:hAnsi="宋体" w:eastAsia="宋体" w:cs="宋体"/>
                          <w:w w:val="99"/>
                          <w:sz w:val="23"/>
                        </w:rPr>
                        <w:t>服务存档</w:t>
                      </w:r>
                    </w:p>
                  </w:txbxContent>
                </v:textbox>
              </v:rect>
            </w:pict>
          </mc:Fallback>
        </mc:AlternateContent>
      </w:r>
      <w:r>
        <mc:AlternateContent>
          <mc:Choice Requires="wps">
            <w:drawing>
              <wp:anchor distT="0" distB="0" distL="114300" distR="114300" simplePos="false" relativeHeight="10435344" behindDoc="true" locked="false" layoutInCell="true" allowOverlap="true">
                <wp:simplePos x="0" y="0"/>
                <wp:positionH relativeFrom="page">
                  <wp:posOffset>2895600</wp:posOffset>
                </wp:positionH>
                <wp:positionV relativeFrom="page">
                  <wp:posOffset>3238500</wp:posOffset>
                </wp:positionV>
                <wp:extent cx="749300" cy="406400"/>
                <wp:effectExtent l="0" t="0" r="22225" b="31115"/>
                <wp:wrapNone/>
                <wp:docPr id="7628" name="shape7628"/>
                <wp:cNvGraphicFramePr/>
                <a:graphic>
                  <a:graphicData uri="http://schemas.microsoft.com/office/word/2010/wordprocessingShape">
                    <wps:wsp>
                      <wps:cNvSpPr/>
                      <wps:spPr>
                        <a:xfrm>
                          <a:off x="0" y="0"/>
                          <a:ext cx="749300" cy="406400"/>
                        </a:xfrm>
                        <a:prstGeom prst="rect">
                          <a:avLst/>
                        </a:prstGeom>
                      </wps:spPr>
                      <wps:txbx>
                        <w:txbxContent>
                          <w:p>
                            <w:pPr>
                              <w:spacing w:line="-240" w:lineRule="exact"/>
                              <w:ind w:left="0"/>
                              <w:jc w:val="both"/>
                            </w:pPr>
                            <w:r>
                              <w:rPr>
                                <w:rFonts w:hint="eastAsia" w:ascii="宋体" w:hAnsi="宋体" w:eastAsia="宋体" w:cs="宋体"/>
                                <w:w w:val="99"/>
                                <w:sz w:val="23"/>
                              </w:rPr>
                              <w:t>维护</w:t>
                            </w:r>
                          </w:p>
                          <w:p>
                            <w:pPr>
                              <w:spacing w:line="160" w:lineRule="exact"/>
                              <w:ind w:left="500"/>
                              <w:jc w:val="both"/>
                            </w:pPr>
                            <w:r>
                              <w:rPr>
                                <w:rFonts w:hint="eastAsia" w:ascii="宋体" w:hAnsi="宋体" w:eastAsia="宋体" w:cs="宋体"/>
                                <w:w w:val="99"/>
                                <w:sz w:val="23"/>
                              </w:rPr>
                              <w:t>需求</w:t>
                            </w:r>
                          </w:p>
                          <w:p>
                            <w:pPr>
                              <w:spacing w:line="140" w:lineRule="exact"/>
                              <w:ind w:left="0"/>
                              <w:jc w:val="both"/>
                            </w:pPr>
                            <w:r>
                              <w:rPr>
                                <w:rFonts w:hint="eastAsia" w:ascii="宋体" w:hAnsi="宋体" w:eastAsia="宋体" w:cs="宋体"/>
                                <w:w w:val="99"/>
                                <w:sz w:val="23"/>
                              </w:rPr>
                              <w:t>问题</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9pt;height:32pt;margin-left:228pt;margin-top:255pt;mso-wrap-style:none;z-index:10435344;mso-wrap-distance-left:9pt;mso-wrap-distance-top:0pt;mso-wrap-distance-right:9pt;mso-wrap-distance-bottom:0pt" id="shape7628" o:spid="1618382354769" stroked="f">
                <v:textbox>
                  <w:txbxContent>
                    <w:p>
                      <w:pPr>
                        <w:spacing w:line="-240" w:lineRule="exact"/>
                        <w:ind w:left="0"/>
                        <w:jc w:val="both"/>
                      </w:pPr>
                      <w:r>
                        <w:rPr>
                          <w:rFonts w:hint="eastAsia" w:ascii="宋体" w:hAnsi="宋体" w:eastAsia="宋体" w:cs="宋体"/>
                          <w:w w:val="99"/>
                          <w:sz w:val="23"/>
                        </w:rPr>
                        <w:t>维护</w:t>
                      </w:r>
                    </w:p>
                    <w:p>
                      <w:pPr>
                        <w:spacing w:line="160" w:lineRule="exact"/>
                        <w:ind w:left="500"/>
                        <w:jc w:val="both"/>
                      </w:pPr>
                      <w:r>
                        <w:rPr>
                          <w:rFonts w:hint="eastAsia" w:ascii="宋体" w:hAnsi="宋体" w:eastAsia="宋体" w:cs="宋体"/>
                          <w:w w:val="99"/>
                          <w:sz w:val="23"/>
                        </w:rPr>
                        <w:t>需求</w:t>
                      </w:r>
                    </w:p>
                    <w:p>
                      <w:pPr>
                        <w:spacing w:line="140" w:lineRule="exact"/>
                        <w:ind w:left="0"/>
                        <w:jc w:val="both"/>
                      </w:pPr>
                      <w:r>
                        <w:rPr>
                          <w:rFonts w:hint="eastAsia" w:ascii="宋体" w:hAnsi="宋体" w:eastAsia="宋体" w:cs="宋体"/>
                          <w:w w:val="99"/>
                          <w:sz w:val="23"/>
                        </w:rPr>
                        <w:t>问题</w:t>
                      </w:r>
                    </w:p>
                  </w:txbxContent>
                </v:textbox>
              </v:rect>
            </w:pict>
          </mc:Fallback>
        </mc:AlternateContent>
      </w:r>
      <w:r>
        <mc:AlternateContent>
          <mc:Choice Requires="wps">
            <w:drawing>
              <wp:anchor distT="0" distB="0" distL="114300" distR="114300" simplePos="false" relativeHeight="10436368" behindDoc="true" locked="false" layoutInCell="true" allowOverlap="true">
                <wp:simplePos x="0" y="0"/>
                <wp:positionH relativeFrom="page">
                  <wp:posOffset>3352800</wp:posOffset>
                </wp:positionH>
                <wp:positionV relativeFrom="page">
                  <wp:posOffset>4597400</wp:posOffset>
                </wp:positionV>
                <wp:extent cx="203200" cy="203200"/>
                <wp:effectExtent l="0" t="0" r="22225" b="31115"/>
                <wp:wrapNone/>
                <wp:docPr id="7629" name="shape7629"/>
                <wp:cNvGraphicFramePr/>
                <a:graphic>
                  <a:graphicData uri="http://schemas.microsoft.com/office/word/2010/wordprocessingShape">
                    <wps:wsp>
                      <wps:cNvSpPr/>
                      <wps:spPr>
                        <a:xfrm>
                          <a:off x="0" y="0"/>
                          <a:ext cx="203200" cy="203200"/>
                        </a:xfrm>
                        <a:prstGeom prst="rect">
                          <a:avLst/>
                        </a:prstGeom>
                      </wps:spPr>
                      <wps:txbx>
                        <w:txbxContent>
                          <w:p>
                            <w:pPr>
                              <w:spacing w:line="-220" w:lineRule="exact"/>
                              <w:ind w:left="0"/>
                              <w:jc w:val="both"/>
                            </w:pPr>
                            <w:r>
                              <w:rPr>
                                <w:rFonts w:hint="eastAsia" w:ascii="宋体" w:hAnsi="宋体" w:eastAsia="宋体" w:cs="宋体"/>
                                <w:b/>
                                <w:w w:val="99"/>
                                <w:sz w:val="23"/>
                              </w:rPr>
                              <w:t>否</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6pt;height:16pt;margin-left:264pt;margin-top:362pt;mso-wrap-style:none;z-index:10436368;mso-wrap-distance-left:9pt;mso-wrap-distance-top:0pt;mso-wrap-distance-right:9pt;mso-wrap-distance-bottom:0pt" id="shape7629" o:spid="1618382354769" stroked="f">
                <v:textbox>
                  <w:txbxContent>
                    <w:p>
                      <w:pPr>
                        <w:spacing w:line="-220" w:lineRule="exact"/>
                        <w:ind w:left="0"/>
                        <w:jc w:val="both"/>
                      </w:pPr>
                      <w:r>
                        <w:rPr>
                          <w:rFonts w:hint="eastAsia" w:ascii="宋体" w:hAnsi="宋体" w:eastAsia="宋体" w:cs="宋体"/>
                          <w:b/>
                          <w:w w:val="99"/>
                          <w:sz w:val="23"/>
                        </w:rPr>
                        <w:t>否</w:t>
                      </w:r>
                    </w:p>
                  </w:txbxContent>
                </v:textbox>
              </v:rect>
            </w:pict>
          </mc:Fallback>
        </mc:AlternateContent>
      </w:r>
      <w:r>
        <mc:AlternateContent>
          <mc:Choice Requires="wps">
            <w:drawing>
              <wp:anchor distT="0" distB="0" distL="114300" distR="114300" simplePos="false" relativeHeight="10406672" behindDoc="true" locked="false" layoutInCell="true" allowOverlap="true">
                <wp:simplePos x="0" y="0"/>
                <wp:positionH relativeFrom="page">
                  <wp:posOffset>3225800</wp:posOffset>
                </wp:positionH>
                <wp:positionV relativeFrom="page">
                  <wp:posOffset>5575300</wp:posOffset>
                </wp:positionV>
                <wp:extent cx="825500" cy="279400"/>
                <wp:effectExtent l="0" t="0" r="22225" b="31115"/>
                <wp:wrapNone/>
                <wp:docPr id="7607" name="shape7607"/>
                <wp:cNvGraphicFramePr/>
                <a:graphic>
                  <a:graphicData uri="http://schemas.microsoft.com/office/word/2010/wordprocessingShape">
                    <wps:wsp>
                      <wps:cNvSpPr/>
                      <wps:spPr>
                        <a:xfrm>
                          <a:off x="0" y="0"/>
                          <a:ext cx="825500" cy="279400"/>
                        </a:xfrm>
                        <a:prstGeom prst="rect">
                          <a:avLst/>
                        </a:prstGeom>
                        <a:ln>
                          <a:solidFill>
                            <a:srgbClr val="404040"/>
                          </a:solidFill>
                        </a:ln>
                      </wps:spPr>
                      <wps:txbx>
                        <w:txbxContent>
                          <w:p>
                            <w:pPr>
                              <w:spacing w:line="-300" w:lineRule="exact"/>
                              <w:ind w:left="60"/>
                              <w:jc w:val="both"/>
                            </w:pPr>
                            <w:r>
                              <w:rPr>
                                <w:rFonts w:hint="eastAsia" w:ascii="宋体" w:hAnsi="宋体" w:eastAsia="宋体" w:cs="宋体"/>
                                <w:w w:val="99"/>
                                <w:sz w:val="23"/>
                              </w:rPr>
                              <w:t>问题汇总</w:t>
                            </w:r>
                          </w:p>
                        </w:txbxContent>
                      </wps:txbx>
                      <wps:bodyPr rot="0" spcFirstLastPara="false" vertOverflow="overflow" horzOverflow="overflow" vert="horz" wrap="square" lIns="1016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22pt;margin-left:254pt;margin-top:439pt;mso-wrap-style:square;z-index:10406672;mso-wrap-distance-left:9pt;mso-wrap-distance-top:0pt;mso-wrap-distance-right:9pt;mso-wrap-distance-bottom:0pt" id="shape7607" o:spid="1618382354769" stroked="t" strokecolor="#404040" strokeweight="1pt">
                <v:textbox>
                  <w:txbxContent>
                    <w:p>
                      <w:pPr>
                        <w:spacing w:line="-300" w:lineRule="exact"/>
                        <w:ind w:left="60"/>
                        <w:jc w:val="both"/>
                      </w:pPr>
                      <w:r>
                        <w:rPr>
                          <w:rFonts w:hint="eastAsia" w:ascii="宋体" w:hAnsi="宋体" w:eastAsia="宋体" w:cs="宋体"/>
                          <w:w w:val="99"/>
                          <w:sz w:val="23"/>
                        </w:rPr>
                        <w:t>问题汇总</w:t>
                      </w:r>
                    </w:p>
                  </w:txbxContent>
                </v:textbox>
              </v:rect>
            </w:pict>
          </mc:Fallback>
        </mc:AlternateContent>
      </w:r>
      <w:r>
        <mc:AlternateContent>
          <mc:Choice Requires="wps">
            <w:drawing>
              <wp:anchor distT="0" distB="0" distL="114300" distR="114300" simplePos="false" relativeHeight="10437392" behindDoc="true" locked="false" layoutInCell="true" allowOverlap="true">
                <wp:simplePos x="0" y="0"/>
                <wp:positionH relativeFrom="page">
                  <wp:posOffset>4508500</wp:posOffset>
                </wp:positionH>
                <wp:positionV relativeFrom="page">
                  <wp:posOffset>4648200</wp:posOffset>
                </wp:positionV>
                <wp:extent cx="203200" cy="203200"/>
                <wp:effectExtent l="0" t="0" r="22225" b="31115"/>
                <wp:wrapNone/>
                <wp:docPr id="7630" name="shape7630"/>
                <wp:cNvGraphicFramePr/>
                <a:graphic>
                  <a:graphicData uri="http://schemas.microsoft.com/office/word/2010/wordprocessingShape">
                    <wps:wsp>
                      <wps:cNvSpPr/>
                      <wps:spPr>
                        <a:xfrm>
                          <a:off x="0" y="0"/>
                          <a:ext cx="203200" cy="203200"/>
                        </a:xfrm>
                        <a:prstGeom prst="rect">
                          <a:avLst/>
                        </a:prstGeom>
                      </wps:spPr>
                      <wps:txbx>
                        <w:txbxContent>
                          <w:p>
                            <w:pPr>
                              <w:spacing w:line="-220" w:lineRule="exact"/>
                              <w:ind w:left="0"/>
                              <w:jc w:val="both"/>
                            </w:pPr>
                            <w:r>
                              <w:rPr>
                                <w:rFonts w:hint="eastAsia" w:ascii="宋体" w:hAnsi="宋体" w:eastAsia="宋体" w:cs="宋体"/>
                                <w:b/>
                                <w:w w:val="99"/>
                                <w:sz w:val="23"/>
                              </w:rPr>
                              <w:t>是</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6pt;height:16pt;margin-left:355pt;margin-top:366pt;mso-wrap-style:none;z-index:10437392;mso-wrap-distance-left:9pt;mso-wrap-distance-top:0pt;mso-wrap-distance-right:9pt;mso-wrap-distance-bottom:0pt" id="shape7630" o:spid="1618382354770" stroked="f">
                <v:textbox>
                  <w:txbxContent>
                    <w:p>
                      <w:pPr>
                        <w:spacing w:line="-220" w:lineRule="exact"/>
                        <w:ind w:left="0"/>
                        <w:jc w:val="both"/>
                      </w:pPr>
                      <w:r>
                        <w:rPr>
                          <w:rFonts w:hint="eastAsia" w:ascii="宋体" w:hAnsi="宋体" w:eastAsia="宋体" w:cs="宋体"/>
                          <w:b/>
                          <w:w w:val="99"/>
                          <w:sz w:val="23"/>
                        </w:rPr>
                        <w:t>是</w:t>
                      </w:r>
                    </w:p>
                  </w:txbxContent>
                </v:textbox>
              </v:rect>
            </w:pict>
          </mc:Fallback>
        </mc:AlternateContent>
      </w:r>
      <w:r>
        <mc:AlternateContent>
          <mc:Choice Requires="wps">
            <w:drawing>
              <wp:anchor distT="0" distB="0" distL="114300" distR="114300" simplePos="false" relativeHeight="10368784" behindDoc="true" locked="false" layoutInCell="true" allowOverlap="true">
                <wp:simplePos x="0" y="0"/>
                <wp:positionH relativeFrom="page">
                  <wp:posOffset>4254500</wp:posOffset>
                </wp:positionH>
                <wp:positionV relativeFrom="page">
                  <wp:posOffset>6515100</wp:posOffset>
                </wp:positionV>
                <wp:extent cx="1130300" cy="279400"/>
                <wp:effectExtent l="0" t="0" r="22225" b="31115"/>
                <wp:wrapNone/>
                <wp:docPr id="7570" name="shape7570"/>
                <wp:cNvGraphicFramePr/>
                <a:graphic>
                  <a:graphicData uri="http://schemas.microsoft.com/office/word/2010/wordprocessingShape">
                    <wps:wsp>
                      <wps:cNvSpPr/>
                      <wps:spPr>
                        <a:xfrm>
                          <a:off x="0" y="0"/>
                          <a:ext cx="1130300" cy="279400"/>
                        </a:xfrm>
                        <a:prstGeom prst="rect">
                          <a:avLst/>
                        </a:prstGeom>
                        <a:ln>
                          <a:solidFill>
                            <a:srgbClr val="404040"/>
                          </a:solidFill>
                        </a:ln>
                      </wps:spPr>
                      <wps:txbx>
                        <w:txbxContent>
                          <w:p>
                            <w:pPr>
                              <w:spacing w:line="-320" w:lineRule="exact"/>
                              <w:ind w:left="80"/>
                              <w:jc w:val="both"/>
                            </w:pPr>
                            <w:r>
                              <w:rPr>
                                <w:rFonts w:hint="eastAsia" w:ascii="宋体" w:hAnsi="宋体" w:eastAsia="宋体" w:cs="宋体"/>
                                <w:w w:val="99"/>
                                <w:sz w:val="23"/>
                              </w:rPr>
                              <w:t>修改软件发放</w:t>
                            </w:r>
                          </w:p>
                        </w:txbxContent>
                      </wps:txbx>
                      <wps:bodyPr rot="0" spcFirstLastPara="false" vertOverflow="overflow" horzOverflow="overflow" vert="horz" wrap="square" lIns="1143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2pt;margin-left:335pt;margin-top:513pt;mso-wrap-style:square;z-index:10368784;mso-wrap-distance-left:9pt;mso-wrap-distance-top:0pt;mso-wrap-distance-right:9pt;mso-wrap-distance-bottom:0pt" id="shape7570" o:spid="1618382354770" stroked="t" strokecolor="#404040" strokeweight="1pt">
                <v:textbox>
                  <w:txbxContent>
                    <w:p>
                      <w:pPr>
                        <w:spacing w:line="-320" w:lineRule="exact"/>
                        <w:ind w:left="80"/>
                        <w:jc w:val="both"/>
                      </w:pPr>
                      <w:r>
                        <w:rPr>
                          <w:rFonts w:hint="eastAsia" w:ascii="宋体" w:hAnsi="宋体" w:eastAsia="宋体" w:cs="宋体"/>
                          <w:w w:val="99"/>
                          <w:sz w:val="23"/>
                        </w:rPr>
                        <w:t>修改软件发放</w:t>
                      </w:r>
                    </w:p>
                  </w:txbxContent>
                </v:textbox>
              </v:rect>
            </w:pict>
          </mc:Fallback>
        </mc:AlternateContent>
      </w:r>
      <w:r>
        <mc:AlternateContent>
          <mc:Choice Requires="wps">
            <w:drawing>
              <wp:anchor distT="0" distB="0" distL="114300" distR="114300" simplePos="false" relativeHeight="10362640" behindDoc="true" locked="false" layoutInCell="true" allowOverlap="true">
                <wp:simplePos x="0" y="0"/>
                <wp:positionH relativeFrom="page">
                  <wp:posOffset>4254500</wp:posOffset>
                </wp:positionH>
                <wp:positionV relativeFrom="page">
                  <wp:posOffset>5054600</wp:posOffset>
                </wp:positionV>
                <wp:extent cx="1130300" cy="266700"/>
                <wp:effectExtent l="0" t="0" r="22225" b="31115"/>
                <wp:wrapNone/>
                <wp:docPr id="7564" name="shape7564"/>
                <wp:cNvGraphicFramePr/>
                <a:graphic>
                  <a:graphicData uri="http://schemas.microsoft.com/office/word/2010/wordprocessingShape">
                    <wps:wsp>
                      <wps:cNvSpPr/>
                      <wps:spPr>
                        <a:xfrm>
                          <a:off x="0" y="0"/>
                          <a:ext cx="1130300" cy="266700"/>
                        </a:xfrm>
                        <a:prstGeom prst="rect">
                          <a:avLst/>
                        </a:prstGeom>
                        <a:ln>
                          <a:solidFill>
                            <a:srgbClr val="404040"/>
                          </a:solidFill>
                        </a:ln>
                      </wps:spPr>
                      <wps:txbx>
                        <w:txbxContent>
                          <w:p>
                            <w:pPr>
                              <w:spacing w:line="-300" w:lineRule="exact"/>
                              <w:ind w:left="80"/>
                              <w:jc w:val="both"/>
                            </w:pPr>
                            <w:r>
                              <w:rPr>
                                <w:rFonts w:hint="eastAsia" w:ascii="宋体" w:hAnsi="宋体" w:eastAsia="宋体" w:cs="宋体"/>
                                <w:w w:val="99"/>
                                <w:sz w:val="23"/>
                              </w:rPr>
                              <w:t>总部研发支持</w:t>
                            </w:r>
                          </w:p>
                        </w:txbxContent>
                      </wps:txbx>
                      <wps:bodyPr rot="0" spcFirstLastPara="false" vertOverflow="overflow" horzOverflow="overflow" vert="horz" wrap="square" lIns="1143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1pt;margin-left:335pt;margin-top:398pt;mso-wrap-style:square;z-index:10362640;mso-wrap-distance-left:9pt;mso-wrap-distance-top:0pt;mso-wrap-distance-right:9pt;mso-wrap-distance-bottom:0pt" id="shape7564" o:spid="1618382354770" stroked="t" strokecolor="#404040" strokeweight="1pt">
                <v:textbox>
                  <w:txbxContent>
                    <w:p>
                      <w:pPr>
                        <w:spacing w:line="-300" w:lineRule="exact"/>
                        <w:ind w:left="80"/>
                        <w:jc w:val="both"/>
                      </w:pPr>
                      <w:r>
                        <w:rPr>
                          <w:rFonts w:hint="eastAsia" w:ascii="宋体" w:hAnsi="宋体" w:eastAsia="宋体" w:cs="宋体"/>
                          <w:w w:val="99"/>
                          <w:sz w:val="23"/>
                        </w:rPr>
                        <w:t>总部研发支持</w:t>
                      </w:r>
                    </w:p>
                  </w:txbxContent>
                </v:textbox>
              </v:rect>
            </w:pict>
          </mc:Fallback>
        </mc:AlternateContent>
      </w:r>
      <w:r>
        <mc:AlternateContent>
          <mc:Choice Requires="wps">
            <w:drawing>
              <wp:anchor distT="0" distB="0" distL="114300" distR="114300" simplePos="false" relativeHeight="10356496" behindDoc="true" locked="false" layoutInCell="true" allowOverlap="true">
                <wp:simplePos x="0" y="0"/>
                <wp:positionH relativeFrom="page">
                  <wp:posOffset>1638300</wp:posOffset>
                </wp:positionH>
                <wp:positionV relativeFrom="page">
                  <wp:posOffset>6273800</wp:posOffset>
                </wp:positionV>
                <wp:extent cx="1193800" cy="355600"/>
                <wp:effectExtent l="0" t="0" r="22225" b="31115"/>
                <wp:wrapNone/>
                <wp:docPr id="7558" name="shape7558"/>
                <wp:cNvGraphicFramePr/>
                <a:graphic>
                  <a:graphicData uri="http://schemas.microsoft.com/office/word/2010/wordprocessingShape">
                    <wps:wsp>
                      <wps:cNvSpPr/>
                      <wps:spPr>
                        <a:xfrm>
                          <a:off x="0" y="0"/>
                          <a:ext cx="1193800" cy="355600"/>
                        </a:xfrm>
                        <a:prstGeom prst="rect">
                          <a:avLst/>
                        </a:prstGeom>
                        <a:ln>
                          <a:solidFill>
                            <a:srgbClr val="404040"/>
                          </a:solidFill>
                        </a:ln>
                      </wps:spPr>
                      <wps:txbx>
                        <w:txbxContent>
                          <w:p>
                            <w:pPr>
                              <w:spacing w:line="-200" w:lineRule="exact"/>
                              <w:ind w:left="500"/>
                              <w:jc w:val="both"/>
                            </w:pPr>
                            <w:r>
                              <w:rPr>
                                <w:rFonts w:hint="eastAsia" w:ascii="宋体" w:hAnsi="宋体" w:eastAsia="宋体" w:cs="宋体"/>
                                <w:w w:val="99"/>
                                <w:sz w:val="23"/>
                              </w:rPr>
                              <w:t>网络服务</w:t>
                            </w:r>
                          </w:p>
                          <w:p>
                            <w:pPr>
                              <w:spacing w:line="320" w:lineRule="exact"/>
                              <w:ind w:left="500"/>
                              <w:jc w:val="both"/>
                            </w:pPr>
                            <w:r>
                              <w:rPr>
                                <w:rFonts w:hint="eastAsia" w:ascii="宋体" w:hAnsi="宋体" w:eastAsia="宋体" w:cs="宋体"/>
                                <w:w w:val="99"/>
                                <w:sz w:val="23"/>
                              </w:rPr>
                              <w:t>记录登记</w:t>
                            </w:r>
                          </w:p>
                        </w:txbxContent>
                      </wps:txbx>
                      <wps:bodyPr rot="0" spcFirstLastPara="false" vertOverflow="overflow" horzOverflow="overflow" vert="horz" wrap="square" lIns="381000" tIns="-254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4pt;height:28pt;margin-left:129pt;margin-top:494pt;mso-wrap-style:square;z-index:10356496;mso-wrap-distance-left:9pt;mso-wrap-distance-top:0pt;mso-wrap-distance-right:9pt;mso-wrap-distance-bottom:0pt" id="shape7558" o:spid="1618382354771" stroked="t" strokecolor="#404040" strokeweight="1pt">
                <v:textbox>
                  <w:txbxContent>
                    <w:p>
                      <w:pPr>
                        <w:spacing w:line="-200" w:lineRule="exact"/>
                        <w:ind w:left="500"/>
                        <w:jc w:val="both"/>
                      </w:pPr>
                      <w:r>
                        <w:rPr>
                          <w:rFonts w:hint="eastAsia" w:ascii="宋体" w:hAnsi="宋体" w:eastAsia="宋体" w:cs="宋体"/>
                          <w:w w:val="99"/>
                          <w:sz w:val="23"/>
                        </w:rPr>
                        <w:t>网络服务</w:t>
                      </w:r>
                    </w:p>
                    <w:p>
                      <w:pPr>
                        <w:spacing w:line="320" w:lineRule="exact"/>
                        <w:ind w:left="500"/>
                        <w:jc w:val="both"/>
                      </w:pPr>
                      <w:r>
                        <w:rPr>
                          <w:rFonts w:hint="eastAsia" w:ascii="宋体" w:hAnsi="宋体" w:eastAsia="宋体" w:cs="宋体"/>
                          <w:w w:val="99"/>
                          <w:sz w:val="23"/>
                        </w:rPr>
                        <w:t>记录登记</w:t>
                      </w:r>
                    </w:p>
                  </w:txbxContent>
                </v:textbox>
              </v:rect>
            </w:pict>
          </mc:Fallback>
        </mc:AlternateContent>
      </w:r>
      <w:r>
        <mc:AlternateContent>
          <mc:Choice Requires="wps">
            <w:drawing>
              <wp:anchor distT="0" distB="0" distL="114300" distR="114300" simplePos="false" relativeHeight="10438416" behindDoc="true" locked="false" layoutInCell="true" allowOverlap="true">
                <wp:simplePos x="0" y="0"/>
                <wp:positionH relativeFrom="page">
                  <wp:posOffset>1892300</wp:posOffset>
                </wp:positionH>
                <wp:positionV relativeFrom="page">
                  <wp:posOffset>5626100</wp:posOffset>
                </wp:positionV>
                <wp:extent cx="723900" cy="203200"/>
                <wp:effectExtent l="0" t="0" r="22225" b="31115"/>
                <wp:wrapNone/>
                <wp:docPr id="7631" name="shape7631"/>
                <wp:cNvGraphicFramePr/>
                <a:graphic>
                  <a:graphicData uri="http://schemas.microsoft.com/office/word/2010/wordprocessingShape">
                    <wps:wsp>
                      <wps:cNvSpPr/>
                      <wps:spPr>
                        <a:xfrm>
                          <a:off x="0" y="0"/>
                          <a:ext cx="723900" cy="203200"/>
                        </a:xfrm>
                        <a:prstGeom prst="rect">
                          <a:avLst/>
                        </a:prstGeom>
                      </wps:spPr>
                      <wps:txbx>
                        <w:txbxContent>
                          <w:p>
                            <w:pPr>
                              <w:spacing w:line="-220" w:lineRule="exact"/>
                              <w:ind w:left="0"/>
                              <w:jc w:val="both"/>
                            </w:pPr>
                            <w:r>
                              <w:rPr>
                                <w:rFonts w:hint="eastAsia" w:ascii="宋体" w:hAnsi="宋体" w:eastAsia="宋体" w:cs="宋体"/>
                                <w:w w:val="99"/>
                                <w:sz w:val="23"/>
                              </w:rPr>
                              <w:t>问题解决</w:t>
                            </w:r>
                            <w:r>
                              <w:rPr>
                                <w:rFonts w:hint="eastAsia" w:ascii="宋体" w:hAnsi="宋体" w:eastAsia="宋体" w:cs="宋体"/>
                                <w:w w:val="99"/>
                                <w:sz w:val="22"/>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7pt;height:16pt;margin-left:149pt;margin-top:443pt;mso-wrap-style:none;z-index:10438416;mso-wrap-distance-left:9pt;mso-wrap-distance-top:0pt;mso-wrap-distance-right:9pt;mso-wrap-distance-bottom:0pt" id="shape7631" o:spid="1618382354771" stroked="f">
                <v:textbox>
                  <w:txbxContent>
                    <w:p>
                      <w:pPr>
                        <w:spacing w:line="-220" w:lineRule="exact"/>
                        <w:ind w:left="0"/>
                        <w:jc w:val="both"/>
                      </w:pPr>
                      <w:r>
                        <w:rPr>
                          <w:rFonts w:hint="eastAsia" w:ascii="宋体" w:hAnsi="宋体" w:eastAsia="宋体" w:cs="宋体"/>
                          <w:w w:val="99"/>
                          <w:sz w:val="23"/>
                        </w:rPr>
                        <w:t>问题解决</w:t>
                      </w:r>
                      <w:r>
                        <w:rPr>
                          <w:rFonts w:hint="eastAsia" w:ascii="宋体" w:hAnsi="宋体" w:eastAsia="宋体" w:cs="宋体"/>
                          <w:w w:val="99"/>
                          <w:sz w:val="22"/>
                        </w:rPr>
                        <w:t>？</w:t>
                      </w:r>
                    </w:p>
                  </w:txbxContent>
                </v:textbox>
              </v:rect>
            </w:pict>
          </mc:Fallback>
        </mc:AlternateContent>
      </w:r>
      <w:r>
        <mc:AlternateContent>
          <mc:Choice Requires="wps">
            <w:drawing>
              <wp:anchor distT="0" distB="0" distL="114300" distR="114300" simplePos="false" relativeHeight="10336016" behindDoc="true" locked="false" layoutInCell="true" allowOverlap="true">
                <wp:simplePos x="0" y="0"/>
                <wp:positionH relativeFrom="page">
                  <wp:posOffset>4254500</wp:posOffset>
                </wp:positionH>
                <wp:positionV relativeFrom="page">
                  <wp:posOffset>6019800</wp:posOffset>
                </wp:positionV>
                <wp:extent cx="1130300" cy="279400"/>
                <wp:effectExtent l="0" t="0" r="22225" b="31115"/>
                <wp:wrapNone/>
                <wp:docPr id="7538" name="shape7538"/>
                <wp:cNvGraphicFramePr/>
                <a:graphic>
                  <a:graphicData uri="http://schemas.microsoft.com/office/word/2010/wordprocessingShape">
                    <wps:wsp>
                      <wps:cNvSpPr/>
                      <wps:spPr>
                        <a:xfrm>
                          <a:off x="0" y="0"/>
                          <a:ext cx="1130300" cy="279400"/>
                        </a:xfrm>
                        <a:prstGeom prst="rect">
                          <a:avLst/>
                        </a:prstGeom>
                        <a:ln>
                          <a:solidFill>
                            <a:srgbClr val="404040"/>
                          </a:solidFill>
                        </a:ln>
                      </wps:spPr>
                      <wps:txbx>
                        <w:txbxContent>
                          <w:p>
                            <w:pPr>
                              <w:spacing w:line="-300" w:lineRule="exact"/>
                              <w:ind w:left="0"/>
                              <w:jc w:val="both"/>
                            </w:pPr>
                            <w:r>
                              <w:rPr>
                                <w:rFonts w:hint="eastAsia" w:ascii="宋体" w:hAnsi="宋体" w:eastAsia="宋体" w:cs="宋体"/>
                                <w:w w:val="99"/>
                                <w:sz w:val="23"/>
                              </w:rPr>
                              <w:t>修改确认和反馈</w:t>
                            </w:r>
                          </w:p>
                        </w:txbxContent>
                      </wps:txbx>
                      <wps:bodyPr rot="0" spcFirstLastPara="false" vertOverflow="overflow" horzOverflow="overflow" vert="horz" wrap="square" lIns="381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2pt;margin-left:335pt;margin-top:474pt;mso-wrap-style:square;z-index:10336016;mso-wrap-distance-left:9pt;mso-wrap-distance-top:0pt;mso-wrap-distance-right:9pt;mso-wrap-distance-bottom:0pt" id="shape7538" o:spid="1618382354772" stroked="t" strokecolor="#404040" strokeweight="1pt">
                <v:textbox>
                  <w:txbxContent>
                    <w:p>
                      <w:pPr>
                        <w:spacing w:line="-300" w:lineRule="exact"/>
                        <w:ind w:left="0"/>
                        <w:jc w:val="both"/>
                      </w:pPr>
                      <w:r>
                        <w:rPr>
                          <w:rFonts w:hint="eastAsia" w:ascii="宋体" w:hAnsi="宋体" w:eastAsia="宋体" w:cs="宋体"/>
                          <w:w w:val="99"/>
                          <w:sz w:val="23"/>
                        </w:rPr>
                        <w:t>修改确认和反馈</w:t>
                      </w:r>
                    </w:p>
                  </w:txbxContent>
                </v:textbox>
              </v:rect>
            </w:pict>
          </mc:Fallback>
        </mc:AlternateContent>
      </w:r>
      <w:r>
        <mc:AlternateContent>
          <mc:Choice Requires="wps">
            <w:drawing>
              <wp:anchor distT="0" distB="0" distL="114300" distR="114300" simplePos="false" relativeHeight="10331920" behindDoc="true" locked="false" layoutInCell="true" allowOverlap="true">
                <wp:simplePos x="0" y="0"/>
                <wp:positionH relativeFrom="page">
                  <wp:posOffset>4254500</wp:posOffset>
                </wp:positionH>
                <wp:positionV relativeFrom="page">
                  <wp:posOffset>5549900</wp:posOffset>
                </wp:positionV>
                <wp:extent cx="1130300" cy="279400"/>
                <wp:effectExtent l="0" t="0" r="22225" b="31115"/>
                <wp:wrapNone/>
                <wp:docPr id="7534" name="shape7534"/>
                <wp:cNvGraphicFramePr/>
                <a:graphic>
                  <a:graphicData uri="http://schemas.microsoft.com/office/word/2010/wordprocessingShape">
                    <wps:wsp>
                      <wps:cNvSpPr/>
                      <wps:spPr>
                        <a:xfrm>
                          <a:off x="0" y="0"/>
                          <a:ext cx="1130300" cy="279400"/>
                        </a:xfrm>
                        <a:prstGeom prst="rect">
                          <a:avLst/>
                        </a:prstGeom>
                        <a:ln>
                          <a:solidFill>
                            <a:srgbClr val="404040"/>
                          </a:solidFill>
                        </a:ln>
                      </wps:spPr>
                      <wps:txbx>
                        <w:txbxContent>
                          <w:p>
                            <w:pPr>
                              <w:spacing w:line="-300" w:lineRule="exact"/>
                              <w:ind w:left="200"/>
                              <w:jc w:val="both"/>
                            </w:pPr>
                            <w:r>
                              <w:rPr>
                                <w:rFonts w:hint="eastAsia" w:ascii="宋体" w:hAnsi="宋体" w:eastAsia="宋体" w:cs="宋体"/>
                                <w:w w:val="99"/>
                                <w:sz w:val="23"/>
                              </w:rPr>
                              <w:t>修改和测试</w:t>
                            </w:r>
                          </w:p>
                        </w:txbxContent>
                      </wps:txbx>
                      <wps:bodyPr rot="0" spcFirstLastPara="false" vertOverflow="overflow" horzOverflow="overflow" vert="horz" wrap="square" lIns="1905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2pt;margin-left:335pt;margin-top:437pt;mso-wrap-style:square;z-index:10331920;mso-wrap-distance-left:9pt;mso-wrap-distance-top:0pt;mso-wrap-distance-right:9pt;mso-wrap-distance-bottom:0pt" id="shape7534" o:spid="1618382354772" stroked="t" strokecolor="#404040" strokeweight="1pt">
                <v:textbox>
                  <w:txbxContent>
                    <w:p>
                      <w:pPr>
                        <w:spacing w:line="-300" w:lineRule="exact"/>
                        <w:ind w:left="200"/>
                        <w:jc w:val="both"/>
                      </w:pPr>
                      <w:r>
                        <w:rPr>
                          <w:rFonts w:hint="eastAsia" w:ascii="宋体" w:hAnsi="宋体" w:eastAsia="宋体" w:cs="宋体"/>
                          <w:w w:val="99"/>
                          <w:sz w:val="23"/>
                        </w:rPr>
                        <w:t>修改和测试</w:t>
                      </w:r>
                    </w:p>
                  </w:txbxContent>
                </v:textbox>
              </v:rect>
            </w:pict>
          </mc:Fallback>
        </mc:AlternateContent>
      </w:r>
      <w:r>
        <mc:AlternateContent>
          <mc:Choice Requires="wps">
            <w:drawing>
              <wp:anchor distT="0" distB="0" distL="114300" distR="114300" simplePos="false" relativeHeight="10439440" behindDoc="true" locked="false" layoutInCell="true" allowOverlap="true">
                <wp:simplePos x="0" y="0"/>
                <wp:positionH relativeFrom="page">
                  <wp:posOffset>4267200</wp:posOffset>
                </wp:positionH>
                <wp:positionV relativeFrom="page">
                  <wp:posOffset>4318000</wp:posOffset>
                </wp:positionV>
                <wp:extent cx="419100" cy="215900"/>
                <wp:effectExtent l="0" t="0" r="22225" b="31115"/>
                <wp:wrapNone/>
                <wp:docPr id="7632" name="shape7632"/>
                <wp:cNvGraphicFramePr/>
                <a:graphic>
                  <a:graphicData uri="http://schemas.microsoft.com/office/word/2010/wordprocessingShape">
                    <wps:wsp>
                      <wps:cNvSpPr/>
                      <wps:spPr>
                        <a:xfrm>
                          <a:off x="0" y="0"/>
                          <a:ext cx="419100" cy="215900"/>
                        </a:xfrm>
                        <a:prstGeom prst="rect">
                          <a:avLst/>
                        </a:prstGeom>
                      </wps:spPr>
                      <wps:txbx>
                        <w:txbxContent>
                          <w:p>
                            <w:pPr>
                              <w:spacing w:line="-240" w:lineRule="exact"/>
                              <w:ind w:left="0"/>
                              <w:jc w:val="both"/>
                            </w:pPr>
                            <w:r>
                              <w:rPr>
                                <w:rFonts w:hint="eastAsia" w:ascii="宋体" w:hAnsi="宋体" w:eastAsia="宋体" w:cs="宋体"/>
                                <w:w w:val="99"/>
                                <w:sz w:val="23"/>
                              </w:rPr>
                              <w:t>修改</w:t>
                            </w:r>
                            <w:r>
                              <w:rPr>
                                <w:rFonts w:hint="eastAsia" w:ascii="宋体" w:hAnsi="宋体" w:eastAsia="宋体" w:cs="宋体"/>
                                <w:w w:val="99"/>
                                <w:sz w:val="22"/>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3pt;height:17pt;margin-left:336pt;margin-top:340pt;mso-wrap-style:none;z-index:10439440;mso-wrap-distance-left:9pt;mso-wrap-distance-top:0pt;mso-wrap-distance-right:9pt;mso-wrap-distance-bottom:0pt" id="shape7632" o:spid="1618382354772" stroked="f">
                <v:textbox>
                  <w:txbxContent>
                    <w:p>
                      <w:pPr>
                        <w:spacing w:line="-240" w:lineRule="exact"/>
                        <w:ind w:left="0"/>
                        <w:jc w:val="both"/>
                      </w:pPr>
                      <w:r>
                        <w:rPr>
                          <w:rFonts w:hint="eastAsia" w:ascii="宋体" w:hAnsi="宋体" w:eastAsia="宋体" w:cs="宋体"/>
                          <w:w w:val="99"/>
                          <w:sz w:val="23"/>
                        </w:rPr>
                        <w:t>修改</w:t>
                      </w:r>
                      <w:r>
                        <w:rPr>
                          <w:rFonts w:hint="eastAsia" w:ascii="宋体" w:hAnsi="宋体" w:eastAsia="宋体" w:cs="宋体"/>
                          <w:w w:val="99"/>
                          <w:sz w:val="22"/>
                        </w:rPr>
                        <w:t>？</w:t>
                      </w:r>
                    </w:p>
                  </w:txbxContent>
                </v:textbox>
              </v:rect>
            </w:pict>
          </mc:Fallback>
        </mc:AlternateContent>
      </w:r>
      <w:r>
        <mc:AlternateContent>
          <mc:Choice Requires="wps">
            <w:drawing>
              <wp:anchor distT="0" distB="0" distL="114300" distR="114300" simplePos="false" relativeHeight="10319632" behindDoc="true" locked="false" layoutInCell="true" allowOverlap="true">
                <wp:simplePos x="0" y="0"/>
                <wp:positionH relativeFrom="page">
                  <wp:posOffset>1638300</wp:posOffset>
                </wp:positionH>
                <wp:positionV relativeFrom="page">
                  <wp:posOffset>4864100</wp:posOffset>
                </wp:positionV>
                <wp:extent cx="1257300" cy="381000"/>
                <wp:effectExtent l="0" t="0" r="22225" b="31115"/>
                <wp:wrapNone/>
                <wp:docPr id="7522" name="shape7522"/>
                <wp:cNvGraphicFramePr/>
                <a:graphic>
                  <a:graphicData uri="http://schemas.microsoft.com/office/word/2010/wordprocessingShape">
                    <wps:wsp>
                      <wps:cNvSpPr/>
                      <wps:spPr>
                        <a:xfrm>
                          <a:off x="0" y="0"/>
                          <a:ext cx="1257300" cy="381000"/>
                        </a:xfrm>
                        <a:prstGeom prst="rect">
                          <a:avLst/>
                        </a:prstGeom>
                        <a:ln>
                          <a:solidFill>
                            <a:srgbClr val="404040"/>
                          </a:solidFill>
                        </a:ln>
                      </wps:spPr>
                      <wps:txbx>
                        <w:txbxContent>
                          <w:p>
                            <w:pPr>
                              <w:spacing w:line="-240" w:lineRule="exact"/>
                              <w:ind w:left="20"/>
                              <w:jc w:val="both"/>
                            </w:pPr>
                            <w:r>
                              <w:rPr>
                                <w:rFonts w:hint="eastAsia" w:ascii="宋体" w:hAnsi="宋体" w:eastAsia="宋体" w:cs="宋体"/>
                                <w:w w:val="99"/>
                                <w:sz w:val="23"/>
                              </w:rPr>
                              <w:t>现场处理</w:t>
                            </w:r>
                            <w:r>
                              <w:rPr>
                                <w:rFonts w:hint="eastAsia" w:ascii="Calibri" w:hAnsi="Calibri" w:eastAsia="Calibri" w:cs="Calibri"/>
                                <w:w w:val="99"/>
                                <w:sz w:val="23"/>
                              </w:rPr>
                              <w:t>/</w:t>
                            </w:r>
                            <w:r>
                              <w:rPr>
                                <w:rFonts w:hint="eastAsia" w:ascii="宋体" w:hAnsi="宋体" w:eastAsia="宋体" w:cs="宋体"/>
                                <w:w w:val="99"/>
                                <w:sz w:val="23"/>
                              </w:rPr>
                              <w:t>电话指</w:t>
                            </w:r>
                          </w:p>
                          <w:p>
                            <w:pPr>
                              <w:spacing w:line="300" w:lineRule="exact"/>
                              <w:ind w:left="20"/>
                              <w:jc w:val="both"/>
                            </w:pPr>
                            <w:r>
                              <w:rPr>
                                <w:rFonts w:hint="eastAsia" w:ascii="宋体" w:hAnsi="宋体" w:eastAsia="宋体" w:cs="宋体"/>
                                <w:w w:val="99"/>
                                <w:sz w:val="23"/>
                              </w:rPr>
                              <w:t>导</w:t>
                            </w:r>
                            <w:r>
                              <w:rPr>
                                <w:rFonts w:hint="eastAsia" w:ascii="Calibri" w:hAnsi="Calibri" w:eastAsia="Calibri" w:cs="Calibri"/>
                                <w:w w:val="99"/>
                                <w:sz w:val="23"/>
                              </w:rPr>
                              <w:t>/</w:t>
                            </w:r>
                            <w:r>
                              <w:rPr>
                                <w:rFonts w:hint="eastAsia" w:ascii="宋体" w:hAnsi="宋体" w:eastAsia="宋体" w:cs="宋体"/>
                                <w:w w:val="99"/>
                                <w:sz w:val="23"/>
                              </w:rPr>
                              <w:t>远程在线处理</w:t>
                            </w:r>
                          </w:p>
                        </w:txbxContent>
                      </wps:txbx>
                      <wps:bodyPr rot="0" spcFirstLastPara="false" vertOverflow="overflow" horzOverflow="overflow" vert="horz" wrap="square" lIns="7620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9pt;height:30pt;margin-left:129pt;margin-top:383pt;mso-wrap-style:square;z-index:10319632;mso-wrap-distance-left:9pt;mso-wrap-distance-top:0pt;mso-wrap-distance-right:9pt;mso-wrap-distance-bottom:0pt" id="shape7522" o:spid="1618382354773" stroked="t" strokecolor="#404040" strokeweight="1pt">
                <v:textbox>
                  <w:txbxContent>
                    <w:p>
                      <w:pPr>
                        <w:spacing w:line="-240" w:lineRule="exact"/>
                        <w:ind w:left="20"/>
                        <w:jc w:val="both"/>
                      </w:pPr>
                      <w:r>
                        <w:rPr>
                          <w:rFonts w:hint="eastAsia" w:ascii="宋体" w:hAnsi="宋体" w:eastAsia="宋体" w:cs="宋体"/>
                          <w:w w:val="99"/>
                          <w:sz w:val="23"/>
                        </w:rPr>
                        <w:t>现场处理</w:t>
                      </w:r>
                      <w:r>
                        <w:rPr>
                          <w:rFonts w:hint="eastAsia" w:ascii="Calibri" w:hAnsi="Calibri" w:eastAsia="Calibri" w:cs="Calibri"/>
                          <w:w w:val="99"/>
                          <w:sz w:val="23"/>
                        </w:rPr>
                        <w:t>/</w:t>
                      </w:r>
                      <w:r>
                        <w:rPr>
                          <w:rFonts w:hint="eastAsia" w:ascii="宋体" w:hAnsi="宋体" w:eastAsia="宋体" w:cs="宋体"/>
                          <w:w w:val="99"/>
                          <w:sz w:val="23"/>
                        </w:rPr>
                        <w:t>电话指</w:t>
                      </w:r>
                    </w:p>
                    <w:p>
                      <w:pPr>
                        <w:spacing w:line="300" w:lineRule="exact"/>
                        <w:ind w:left="20"/>
                        <w:jc w:val="both"/>
                      </w:pPr>
                      <w:r>
                        <w:rPr>
                          <w:rFonts w:hint="eastAsia" w:ascii="宋体" w:hAnsi="宋体" w:eastAsia="宋体" w:cs="宋体"/>
                          <w:w w:val="99"/>
                          <w:sz w:val="23"/>
                        </w:rPr>
                        <w:t>导</w:t>
                      </w:r>
                      <w:r>
                        <w:rPr>
                          <w:rFonts w:hint="eastAsia" w:ascii="Calibri" w:hAnsi="Calibri" w:eastAsia="Calibri" w:cs="Calibri"/>
                          <w:w w:val="99"/>
                          <w:sz w:val="23"/>
                        </w:rPr>
                        <w:t>/</w:t>
                      </w:r>
                      <w:r>
                        <w:rPr>
                          <w:rFonts w:hint="eastAsia" w:ascii="宋体" w:hAnsi="宋体" w:eastAsia="宋体" w:cs="宋体"/>
                          <w:w w:val="99"/>
                          <w:sz w:val="23"/>
                        </w:rPr>
                        <w:t>远程在线处理</w:t>
                      </w:r>
                    </w:p>
                  </w:txbxContent>
                </v:textbox>
              </v:rect>
            </w:pict>
          </mc:Fallback>
        </mc:AlternateContent>
      </w:r>
      <w:r>
        <mc:AlternateContent>
          <mc:Choice Requires="wps">
            <w:drawing>
              <wp:anchor distT="0" distB="0" distL="114300" distR="114300" simplePos="false" relativeHeight="10315536" behindDoc="true" locked="false" layoutInCell="true" allowOverlap="true">
                <wp:simplePos x="0" y="0"/>
                <wp:positionH relativeFrom="page">
                  <wp:posOffset>1866900</wp:posOffset>
                </wp:positionH>
                <wp:positionV relativeFrom="page">
                  <wp:posOffset>4343400</wp:posOffset>
                </wp:positionV>
                <wp:extent cx="800100" cy="266700"/>
                <wp:effectExtent l="0" t="0" r="22225" b="31115"/>
                <wp:wrapNone/>
                <wp:docPr id="7518" name="shape7518"/>
                <wp:cNvGraphicFramePr/>
                <a:graphic>
                  <a:graphicData uri="http://schemas.microsoft.com/office/word/2010/wordprocessingShape">
                    <wps:wsp>
                      <wps:cNvSpPr/>
                      <wps:spPr>
                        <a:xfrm>
                          <a:off x="0" y="0"/>
                          <a:ext cx="800100" cy="266700"/>
                        </a:xfrm>
                        <a:prstGeom prst="rect">
                          <a:avLst/>
                        </a:prstGeom>
                        <a:ln>
                          <a:solidFill>
                            <a:srgbClr val="404040"/>
                          </a:solidFill>
                        </a:ln>
                      </wps:spPr>
                      <wps:txbx>
                        <w:txbxContent>
                          <w:p>
                            <w:pPr>
                              <w:spacing w:line="-300" w:lineRule="exact"/>
                              <w:ind w:left="80"/>
                              <w:jc w:val="both"/>
                            </w:pPr>
                            <w:r>
                              <w:rPr>
                                <w:rFonts w:hint="eastAsia" w:ascii="宋体" w:hAnsi="宋体" w:eastAsia="宋体" w:cs="宋体"/>
                                <w:w w:val="99"/>
                                <w:sz w:val="23"/>
                              </w:rPr>
                              <w:t>问题上报</w:t>
                            </w:r>
                          </w:p>
                        </w:txbxContent>
                      </wps:txbx>
                      <wps:bodyPr rot="0" spcFirstLastPara="false" vertOverflow="overflow" horzOverflow="overflow" vert="horz" wrap="square" lIns="1143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3pt;height:21pt;margin-left:147pt;margin-top:342pt;mso-wrap-style:square;z-index:10315536;mso-wrap-distance-left:9pt;mso-wrap-distance-top:0pt;mso-wrap-distance-right:9pt;mso-wrap-distance-bottom:0pt" id="shape7518" o:spid="1618382354773" stroked="t" strokecolor="#404040" strokeweight="1pt">
                <v:textbox>
                  <w:txbxContent>
                    <w:p>
                      <w:pPr>
                        <w:spacing w:line="-300" w:lineRule="exact"/>
                        <w:ind w:left="80"/>
                        <w:jc w:val="both"/>
                      </w:pPr>
                      <w:r>
                        <w:rPr>
                          <w:rFonts w:hint="eastAsia" w:ascii="宋体" w:hAnsi="宋体" w:eastAsia="宋体" w:cs="宋体"/>
                          <w:w w:val="99"/>
                          <w:sz w:val="23"/>
                        </w:rPr>
                        <w:t>问题上报</w:t>
                      </w:r>
                    </w:p>
                  </w:txbxContent>
                </v:textbox>
              </v:rect>
            </w:pict>
          </mc:Fallback>
        </mc:AlternateContent>
      </w:r>
      <w:r>
        <mc:AlternateContent>
          <mc:Choice Requires="wps">
            <w:drawing>
              <wp:anchor distT="0" distB="0" distL="114300" distR="114300" simplePos="false" relativeHeight="10309392" behindDoc="true" locked="false" layoutInCell="true" allowOverlap="true">
                <wp:simplePos x="0" y="0"/>
                <wp:positionH relativeFrom="page">
                  <wp:posOffset>1193800</wp:posOffset>
                </wp:positionH>
                <wp:positionV relativeFrom="page">
                  <wp:posOffset>3022600</wp:posOffset>
                </wp:positionV>
                <wp:extent cx="990600" cy="279400"/>
                <wp:effectExtent l="0" t="0" r="22225" b="31115"/>
                <wp:wrapNone/>
                <wp:docPr id="7512" name="shape7512"/>
                <wp:cNvGraphicFramePr/>
                <a:graphic>
                  <a:graphicData uri="http://schemas.microsoft.com/office/word/2010/wordprocessingShape">
                    <wps:wsp>
                      <wps:cNvSpPr/>
                      <wps:spPr>
                        <a:xfrm>
                          <a:off x="0" y="0"/>
                          <a:ext cx="990600" cy="279400"/>
                        </a:xfrm>
                        <a:prstGeom prst="rect">
                          <a:avLst/>
                        </a:prstGeom>
                        <a:ln>
                          <a:solidFill>
                            <a:srgbClr val="404040"/>
                          </a:solidFill>
                        </a:ln>
                      </wps:spPr>
                      <wps:txbx>
                        <w:txbxContent>
                          <w:p>
                            <w:pPr>
                              <w:spacing w:line="-300" w:lineRule="exact"/>
                              <w:ind w:left="0"/>
                              <w:jc w:val="both"/>
                            </w:pPr>
                            <w:r>
                              <w:rPr>
                                <w:rFonts w:hint="eastAsia" w:ascii="宋体" w:hAnsi="宋体" w:eastAsia="宋体" w:cs="宋体"/>
                                <w:w w:val="99"/>
                                <w:sz w:val="23"/>
                              </w:rPr>
                              <w:t>现场服务报告</w:t>
                            </w:r>
                          </w:p>
                        </w:txbxContent>
                      </wps:txbx>
                      <wps:bodyPr rot="0" spcFirstLastPara="false" vertOverflow="overflow" horzOverflow="overflow" vert="horz" wrap="square" lIns="381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8pt;height:22pt;margin-left:94pt;margin-top:238pt;mso-wrap-style:square;z-index:10309392;mso-wrap-distance-left:9pt;mso-wrap-distance-top:0pt;mso-wrap-distance-right:9pt;mso-wrap-distance-bottom:0pt" id="shape7512" o:spid="1618382354774" stroked="t" strokecolor="#404040" strokeweight="1pt">
                <v:textbox>
                  <w:txbxContent>
                    <w:p>
                      <w:pPr>
                        <w:spacing w:line="-300" w:lineRule="exact"/>
                        <w:ind w:left="0"/>
                        <w:jc w:val="both"/>
                      </w:pPr>
                      <w:r>
                        <w:rPr>
                          <w:rFonts w:hint="eastAsia" w:ascii="宋体" w:hAnsi="宋体" w:eastAsia="宋体" w:cs="宋体"/>
                          <w:w w:val="99"/>
                          <w:sz w:val="23"/>
                        </w:rPr>
                        <w:t>现场服务报告</w:t>
                      </w:r>
                    </w:p>
                  </w:txbxContent>
                </v:textbox>
              </v:rect>
            </w:pict>
          </mc:Fallback>
        </mc:AlternateContent>
      </w:r>
      <w:r>
        <mc:AlternateContent>
          <mc:Choice Requires="wps">
            <w:drawing>
              <wp:anchor distT="0" distB="0" distL="114300" distR="114300" simplePos="false" relativeHeight="10440464" behindDoc="true" locked="false" layoutInCell="true" allowOverlap="true">
                <wp:simplePos x="0" y="0"/>
                <wp:positionH relativeFrom="page">
                  <wp:posOffset>1409700</wp:posOffset>
                </wp:positionH>
                <wp:positionV relativeFrom="page">
                  <wp:posOffset>2387600</wp:posOffset>
                </wp:positionV>
                <wp:extent cx="711200" cy="215900"/>
                <wp:effectExtent l="0" t="0" r="22225" b="31115"/>
                <wp:wrapNone/>
                <wp:docPr id="7633" name="shape7633"/>
                <wp:cNvGraphicFramePr/>
                <a:graphic>
                  <a:graphicData uri="http://schemas.microsoft.com/office/word/2010/wordprocessingShape">
                    <wps:wsp>
                      <wps:cNvSpPr/>
                      <wps:spPr>
                        <a:xfrm>
                          <a:off x="0" y="0"/>
                          <a:ext cx="711200" cy="215900"/>
                        </a:xfrm>
                        <a:prstGeom prst="rect">
                          <a:avLst/>
                        </a:prstGeom>
                      </wps:spPr>
                      <wps:txbx>
                        <w:txbxContent>
                          <w:p>
                            <w:pPr>
                              <w:spacing w:line="-240" w:lineRule="exact"/>
                              <w:ind w:left="0"/>
                              <w:jc w:val="both"/>
                            </w:pPr>
                            <w:r>
                              <w:rPr>
                                <w:rFonts w:hint="eastAsia" w:ascii="宋体" w:hAnsi="宋体" w:eastAsia="宋体" w:cs="宋体"/>
                                <w:w w:val="99"/>
                                <w:sz w:val="23"/>
                              </w:rPr>
                              <w:t>有无问题</w:t>
                            </w:r>
                            <w:r>
                              <w:rPr>
                                <w:rFonts w:hint="eastAsia" w:ascii="宋体" w:hAnsi="宋体" w:eastAsia="宋体" w:cs="宋体"/>
                                <w:w w:val="99"/>
                                <w:sz w:val="22"/>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6pt;height:17pt;margin-left:111pt;margin-top:188pt;mso-wrap-style:none;z-index:10440464;mso-wrap-distance-left:9pt;mso-wrap-distance-top:0pt;mso-wrap-distance-right:9pt;mso-wrap-distance-bottom:0pt" id="shape7633" o:spid="1618382354774" stroked="f">
                <v:textbox>
                  <w:txbxContent>
                    <w:p>
                      <w:pPr>
                        <w:spacing w:line="-240" w:lineRule="exact"/>
                        <w:ind w:left="0"/>
                        <w:jc w:val="both"/>
                      </w:pPr>
                      <w:r>
                        <w:rPr>
                          <w:rFonts w:hint="eastAsia" w:ascii="宋体" w:hAnsi="宋体" w:eastAsia="宋体" w:cs="宋体"/>
                          <w:w w:val="99"/>
                          <w:sz w:val="23"/>
                        </w:rPr>
                        <w:t>有无问题</w:t>
                      </w:r>
                      <w:r>
                        <w:rPr>
                          <w:rFonts w:hint="eastAsia" w:ascii="宋体" w:hAnsi="宋体" w:eastAsia="宋体" w:cs="宋体"/>
                          <w:w w:val="99"/>
                          <w:sz w:val="22"/>
                        </w:rPr>
                        <w:t>？</w:t>
                      </w:r>
                    </w:p>
                  </w:txbxContent>
                </v:textbox>
              </v:rect>
            </w:pict>
          </mc:Fallback>
        </mc:AlternateContent>
      </w:r>
      <w:r>
        <mc:AlternateContent>
          <mc:Choice Requires="wps">
            <w:drawing>
              <wp:anchor distT="0" distB="0" distL="114300" distR="114300" simplePos="false" relativeHeight="10297104" behindDoc="true" locked="false" layoutInCell="true" allowOverlap="true">
                <wp:simplePos x="0" y="0"/>
                <wp:positionH relativeFrom="page">
                  <wp:posOffset>3848100</wp:posOffset>
                </wp:positionH>
                <wp:positionV relativeFrom="page">
                  <wp:posOffset>3708400</wp:posOffset>
                </wp:positionV>
                <wp:extent cx="990600" cy="279400"/>
                <wp:effectExtent l="0" t="0" r="22225" b="31115"/>
                <wp:wrapNone/>
                <wp:docPr id="7500" name="shape7500"/>
                <wp:cNvGraphicFramePr/>
                <a:graphic>
                  <a:graphicData uri="http://schemas.microsoft.com/office/word/2010/wordprocessingShape">
                    <wps:wsp>
                      <wps:cNvSpPr/>
                      <wps:spPr>
                        <a:xfrm>
                          <a:off x="0" y="0"/>
                          <a:ext cx="990600" cy="279400"/>
                        </a:xfrm>
                        <a:prstGeom prst="rect">
                          <a:avLst/>
                        </a:prstGeom>
                        <a:ln>
                          <a:solidFill>
                            <a:srgbClr val="404040"/>
                          </a:solidFill>
                        </a:ln>
                      </wps:spPr>
                      <wps:txbx>
                        <w:txbxContent>
                          <w:p>
                            <w:pPr>
                              <w:spacing w:line="-300" w:lineRule="exact"/>
                              <w:ind w:left="200"/>
                              <w:jc w:val="both"/>
                            </w:pPr>
                            <w:r>
                              <w:rPr>
                                <w:rFonts w:hint="eastAsia" w:ascii="宋体" w:hAnsi="宋体" w:eastAsia="宋体" w:cs="宋体"/>
                                <w:w w:val="99"/>
                                <w:sz w:val="23"/>
                              </w:rPr>
                              <w:t>网络登记</w:t>
                            </w:r>
                          </w:p>
                        </w:txbxContent>
                      </wps:txbx>
                      <wps:bodyPr rot="0" spcFirstLastPara="false" vertOverflow="overflow" horzOverflow="overflow" vert="horz" wrap="square" lIns="190500" tIns="508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8pt;height:22pt;margin-left:303pt;margin-top:292pt;mso-wrap-style:square;z-index:10297104;mso-wrap-distance-left:9pt;mso-wrap-distance-top:0pt;mso-wrap-distance-right:9pt;mso-wrap-distance-bottom:0pt" id="shape7500" o:spid="1618382354774" stroked="t" strokecolor="#404040" strokeweight="1pt">
                <v:textbox>
                  <w:txbxContent>
                    <w:p>
                      <w:pPr>
                        <w:spacing w:line="-300" w:lineRule="exact"/>
                        <w:ind w:left="200"/>
                        <w:jc w:val="both"/>
                      </w:pPr>
                      <w:r>
                        <w:rPr>
                          <w:rFonts w:hint="eastAsia" w:ascii="宋体" w:hAnsi="宋体" w:eastAsia="宋体" w:cs="宋体"/>
                          <w:w w:val="99"/>
                          <w:sz w:val="23"/>
                        </w:rPr>
                        <w:t>网络登记</w:t>
                      </w:r>
                    </w:p>
                  </w:txbxContent>
                </v:textbox>
              </v:rect>
            </w:pict>
          </mc:Fallback>
        </mc:AlternateContent>
      </w:r>
      <w:r>
        <mc:AlternateContent>
          <mc:Choice Requires="wps">
            <w:drawing>
              <wp:anchor distT="0" distB="0" distL="114300" distR="114300" simplePos="false" relativeHeight="10284816" behindDoc="true" locked="false" layoutInCell="true" allowOverlap="true">
                <wp:simplePos x="0" y="0"/>
                <wp:positionH relativeFrom="page">
                  <wp:posOffset>3429000</wp:posOffset>
                </wp:positionH>
                <wp:positionV relativeFrom="page">
                  <wp:posOffset>2336800</wp:posOffset>
                </wp:positionV>
                <wp:extent cx="800100" cy="457200"/>
                <wp:effectExtent l="0" t="0" r="22225" b="31115"/>
                <wp:wrapNone/>
                <wp:docPr id="7488" name="shape7488"/>
                <wp:cNvGraphicFramePr/>
                <a:graphic>
                  <a:graphicData uri="http://schemas.microsoft.com/office/word/2010/wordprocessingShape">
                    <wps:wsp>
                      <wps:cNvSpPr/>
                      <wps:spPr>
                        <a:xfrm>
                          <a:off x="0" y="0"/>
                          <a:ext cx="800100" cy="457200"/>
                        </a:xfrm>
                        <a:prstGeom prst="rect">
                          <a:avLst/>
                        </a:prstGeom>
                        <a:ln>
                          <a:solidFill>
                            <a:srgbClr val="404040"/>
                          </a:solidFill>
                        </a:ln>
                      </wps:spPr>
                      <wps:txbx>
                        <w:txbxContent>
                          <w:p>
                            <w:pPr>
                              <w:spacing w:line="-300" w:lineRule="exact"/>
                              <w:ind w:left="60"/>
                              <w:jc w:val="both"/>
                            </w:pPr>
                            <w:r>
                              <w:rPr>
                                <w:rFonts w:hint="eastAsia" w:ascii="宋体" w:hAnsi="宋体" w:eastAsia="宋体" w:cs="宋体"/>
                                <w:w w:val="99"/>
                                <w:sz w:val="23"/>
                              </w:rPr>
                              <w:t>客服中心</w:t>
                            </w:r>
                          </w:p>
                          <w:p>
                            <w:pPr>
                              <w:spacing w:line="300" w:lineRule="exact"/>
                              <w:ind w:left="280"/>
                              <w:jc w:val="both"/>
                            </w:pPr>
                            <w:r>
                              <w:rPr>
                                <w:rFonts w:hint="eastAsia" w:ascii="宋体" w:hAnsi="宋体" w:eastAsia="宋体" w:cs="宋体"/>
                                <w:w w:val="99"/>
                                <w:sz w:val="23"/>
                              </w:rPr>
                              <w:t>热线</w:t>
                            </w:r>
                          </w:p>
                        </w:txbxContent>
                      </wps:txbx>
                      <wps:bodyPr rot="0" spcFirstLastPara="false" vertOverflow="overflow" horzOverflow="overflow" vert="horz" wrap="square" lIns="1016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3pt;height:36pt;margin-left:270pt;margin-top:184pt;mso-wrap-style:square;z-index:10284816;mso-wrap-distance-left:9pt;mso-wrap-distance-top:0pt;mso-wrap-distance-right:9pt;mso-wrap-distance-bottom:0pt" id="shape7488" o:spid="1618382354775" stroked="t" strokecolor="#404040" strokeweight="1pt">
                <v:textbox>
                  <w:txbxContent>
                    <w:p>
                      <w:pPr>
                        <w:spacing w:line="-300" w:lineRule="exact"/>
                        <w:ind w:left="60"/>
                        <w:jc w:val="both"/>
                      </w:pPr>
                      <w:r>
                        <w:rPr>
                          <w:rFonts w:hint="eastAsia" w:ascii="宋体" w:hAnsi="宋体" w:eastAsia="宋体" w:cs="宋体"/>
                          <w:w w:val="99"/>
                          <w:sz w:val="23"/>
                        </w:rPr>
                        <w:t>客服中心</w:t>
                      </w:r>
                    </w:p>
                    <w:p>
                      <w:pPr>
                        <w:spacing w:line="300" w:lineRule="exact"/>
                        <w:ind w:left="280"/>
                        <w:jc w:val="both"/>
                      </w:pPr>
                      <w:r>
                        <w:rPr>
                          <w:rFonts w:hint="eastAsia" w:ascii="宋体" w:hAnsi="宋体" w:eastAsia="宋体" w:cs="宋体"/>
                          <w:w w:val="99"/>
                          <w:sz w:val="23"/>
                        </w:rPr>
                        <w:t>热线</w:t>
                      </w:r>
                    </w:p>
                  </w:txbxContent>
                </v:textbox>
              </v:rect>
            </w:pict>
          </mc:Fallback>
        </mc:AlternateContent>
      </w:r>
      <w:r>
        <mc:AlternateContent>
          <mc:Choice Requires="wps">
            <w:drawing>
              <wp:anchor distT="0" distB="0" distL="114300" distR="114300" simplePos="false" relativeHeight="10270480" behindDoc="true" locked="false" layoutInCell="true" allowOverlap="true">
                <wp:simplePos x="0" y="0"/>
                <wp:positionH relativeFrom="page">
                  <wp:posOffset>4013200</wp:posOffset>
                </wp:positionH>
                <wp:positionV relativeFrom="page">
                  <wp:posOffset>1765300</wp:posOffset>
                </wp:positionV>
                <wp:extent cx="787400" cy="266700"/>
                <wp:effectExtent l="0" t="0" r="22225" b="31115"/>
                <wp:wrapNone/>
                <wp:docPr id="7474" name="shape7474"/>
                <wp:cNvGraphicFramePr/>
                <a:graphic>
                  <a:graphicData uri="http://schemas.microsoft.com/office/word/2010/wordprocessingShape">
                    <wps:wsp>
                      <wps:cNvSpPr/>
                      <wps:spPr>
                        <a:xfrm>
                          <a:off x="0" y="0"/>
                          <a:ext cx="787400" cy="266700"/>
                        </a:xfrm>
                        <a:prstGeom prst="rect">
                          <a:avLst/>
                        </a:prstGeom>
                        <a:ln>
                          <a:solidFill>
                            <a:srgbClr val="404040"/>
                          </a:solidFill>
                        </a:ln>
                      </wps:spPr>
                      <wps:txbx>
                        <w:txbxContent>
                          <w:p>
                            <w:pPr>
                              <w:spacing w:line="-300" w:lineRule="exact"/>
                              <w:ind w:left="40"/>
                              <w:jc w:val="both"/>
                            </w:pPr>
                            <w:r>
                              <w:rPr>
                                <w:rFonts w:hint="eastAsia" w:ascii="宋体" w:hAnsi="宋体" w:eastAsia="宋体" w:cs="宋体"/>
                                <w:w w:val="99"/>
                                <w:sz w:val="23"/>
                              </w:rPr>
                              <w:t>电话询访</w:t>
                            </w:r>
                          </w:p>
                        </w:txbxContent>
                      </wps:txbx>
                      <wps:bodyPr rot="0" spcFirstLastPara="false" vertOverflow="overflow" horzOverflow="overflow" vert="horz" wrap="square" lIns="889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316pt;margin-top:139pt;mso-wrap-style:square;z-index:10270480;mso-wrap-distance-left:9pt;mso-wrap-distance-top:0pt;mso-wrap-distance-right:9pt;mso-wrap-distance-bottom:0pt" id="shape7474" o:spid="1618382354775" stroked="t" strokecolor="#404040" strokeweight="1pt">
                <v:textbox>
                  <w:txbxContent>
                    <w:p>
                      <w:pPr>
                        <w:spacing w:line="-300" w:lineRule="exact"/>
                        <w:ind w:left="40"/>
                        <w:jc w:val="both"/>
                      </w:pPr>
                      <w:r>
                        <w:rPr>
                          <w:rFonts w:hint="eastAsia" w:ascii="宋体" w:hAnsi="宋体" w:eastAsia="宋体" w:cs="宋体"/>
                          <w:w w:val="99"/>
                          <w:sz w:val="23"/>
                        </w:rPr>
                        <w:t>电话询访</w:t>
                      </w:r>
                    </w:p>
                  </w:txbxContent>
                </v:textbox>
              </v:rect>
            </w:pict>
          </mc:Fallback>
        </mc:AlternateContent>
      </w:r>
      <w:r>
        <mc:AlternateContent>
          <mc:Choice Requires="wps">
            <w:drawing>
              <wp:anchor distT="0" distB="0" distL="114300" distR="114300" simplePos="false" relativeHeight="10266384" behindDoc="true" locked="false" layoutInCell="true" allowOverlap="true">
                <wp:simplePos x="0" y="0"/>
                <wp:positionH relativeFrom="page">
                  <wp:posOffset>2654300</wp:posOffset>
                </wp:positionH>
                <wp:positionV relativeFrom="page">
                  <wp:posOffset>1765300</wp:posOffset>
                </wp:positionV>
                <wp:extent cx="787400" cy="266700"/>
                <wp:effectExtent l="0" t="0" r="22225" b="31115"/>
                <wp:wrapNone/>
                <wp:docPr id="7470" name="shape7470"/>
                <wp:cNvGraphicFramePr/>
                <a:graphic>
                  <a:graphicData uri="http://schemas.microsoft.com/office/word/2010/wordprocessingShape">
                    <wps:wsp>
                      <wps:cNvSpPr/>
                      <wps:spPr>
                        <a:xfrm>
                          <a:off x="0" y="0"/>
                          <a:ext cx="787400" cy="266700"/>
                        </a:xfrm>
                        <a:prstGeom prst="rect">
                          <a:avLst/>
                        </a:prstGeom>
                        <a:ln>
                          <a:solidFill>
                            <a:srgbClr val="404040"/>
                          </a:solidFill>
                        </a:ln>
                      </wps:spPr>
                      <wps:txbx>
                        <w:txbxContent>
                          <w:p>
                            <w:pPr>
                              <w:spacing w:line="-300" w:lineRule="exact"/>
                              <w:ind w:left="120"/>
                              <w:jc w:val="both"/>
                            </w:pPr>
                            <w:r>
                              <w:rPr>
                                <w:rFonts w:hint="eastAsia" w:ascii="宋体" w:hAnsi="宋体" w:eastAsia="宋体" w:cs="宋体"/>
                                <w:w w:val="99"/>
                                <w:sz w:val="23"/>
                              </w:rPr>
                              <w:t>技术求助</w:t>
                            </w:r>
                          </w:p>
                        </w:txbxContent>
                      </wps:txbx>
                      <wps:bodyPr rot="0" spcFirstLastPara="false" vertOverflow="overflow" horzOverflow="overflow" vert="horz" wrap="square" lIns="1397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209pt;margin-top:139pt;mso-wrap-style:square;z-index:10266384;mso-wrap-distance-left:9pt;mso-wrap-distance-top:0pt;mso-wrap-distance-right:9pt;mso-wrap-distance-bottom:0pt" id="shape7470" o:spid="1618382354775" stroked="t" strokecolor="#404040" strokeweight="1pt">
                <v:textbox>
                  <w:txbxContent>
                    <w:p>
                      <w:pPr>
                        <w:spacing w:line="-300" w:lineRule="exact"/>
                        <w:ind w:left="120"/>
                        <w:jc w:val="both"/>
                      </w:pPr>
                      <w:r>
                        <w:rPr>
                          <w:rFonts w:hint="eastAsia" w:ascii="宋体" w:hAnsi="宋体" w:eastAsia="宋体" w:cs="宋体"/>
                          <w:w w:val="99"/>
                          <w:sz w:val="23"/>
                        </w:rPr>
                        <w:t>技术求助</w:t>
                      </w:r>
                    </w:p>
                  </w:txbxContent>
                </v:textbox>
              </v:rect>
            </w:pict>
          </mc:Fallback>
        </mc:AlternateContent>
      </w:r>
      <w:r>
        <mc:AlternateContent>
          <mc:Choice Requires="wps">
            <w:drawing>
              <wp:anchor distT="0" distB="0" distL="114300" distR="114300" simplePos="false" relativeHeight="10262288" behindDoc="true" locked="false" layoutInCell="true" allowOverlap="true">
                <wp:simplePos x="0" y="0"/>
                <wp:positionH relativeFrom="page">
                  <wp:posOffset>1397000</wp:posOffset>
                </wp:positionH>
                <wp:positionV relativeFrom="page">
                  <wp:posOffset>1765300</wp:posOffset>
                </wp:positionV>
                <wp:extent cx="787400" cy="266700"/>
                <wp:effectExtent l="0" t="0" r="22225" b="31115"/>
                <wp:wrapNone/>
                <wp:docPr id="7466" name="shape7466"/>
                <wp:cNvGraphicFramePr/>
                <a:graphic>
                  <a:graphicData uri="http://schemas.microsoft.com/office/word/2010/wordprocessingShape">
                    <wps:wsp>
                      <wps:cNvSpPr/>
                      <wps:spPr>
                        <a:xfrm>
                          <a:off x="0" y="0"/>
                          <a:ext cx="787400" cy="266700"/>
                        </a:xfrm>
                        <a:prstGeom prst="rect">
                          <a:avLst/>
                        </a:prstGeom>
                        <a:ln>
                          <a:solidFill>
                            <a:srgbClr val="404040"/>
                          </a:solidFill>
                        </a:ln>
                      </wps:spPr>
                      <wps:txbx>
                        <w:txbxContent>
                          <w:p>
                            <w:pPr>
                              <w:spacing w:line="-300" w:lineRule="exact"/>
                              <w:ind w:left="40"/>
                              <w:jc w:val="both"/>
                            </w:pPr>
                            <w:r>
                              <w:rPr>
                                <w:rFonts w:hint="eastAsia" w:ascii="宋体" w:hAnsi="宋体" w:eastAsia="宋体" w:cs="宋体"/>
                                <w:w w:val="99"/>
                                <w:sz w:val="23"/>
                              </w:rPr>
                              <w:t>现场巡检</w:t>
                            </w:r>
                          </w:p>
                        </w:txbxContent>
                      </wps:txbx>
                      <wps:bodyPr rot="0" spcFirstLastPara="false" vertOverflow="overflow" horzOverflow="overflow" vert="horz" wrap="square" lIns="889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1pt;margin-left:110pt;margin-top:139pt;mso-wrap-style:square;z-index:10262288;mso-wrap-distance-left:9pt;mso-wrap-distance-top:0pt;mso-wrap-distance-right:9pt;mso-wrap-distance-bottom:0pt" id="shape7466" o:spid="1618382354776" stroked="t" strokecolor="#404040" strokeweight="1pt">
                <v:textbox>
                  <w:txbxContent>
                    <w:p>
                      <w:pPr>
                        <w:spacing w:line="-300" w:lineRule="exact"/>
                        <w:ind w:left="40"/>
                        <w:jc w:val="both"/>
                      </w:pPr>
                      <w:r>
                        <w:rPr>
                          <w:rFonts w:hint="eastAsia" w:ascii="宋体" w:hAnsi="宋体" w:eastAsia="宋体" w:cs="宋体"/>
                          <w:w w:val="99"/>
                          <w:sz w:val="23"/>
                        </w:rPr>
                        <w:t>现场巡检</w:t>
                      </w:r>
                    </w:p>
                  </w:txbxContent>
                </v:textbox>
              </v:rect>
            </w:pict>
          </mc:Fallback>
        </mc:AlternateContent>
      </w:r>
      <w:r>
        <mc:AlternateContent>
          <mc:Choice Requires="wps">
            <w:drawing>
              <wp:anchor distT="0" distB="0" distL="114300" distR="114300" simplePos="false" relativeHeight="10258192" behindDoc="true" locked="false" layoutInCell="true" allowOverlap="true">
                <wp:simplePos x="0" y="0"/>
                <wp:positionH relativeFrom="page">
                  <wp:posOffset>3276600</wp:posOffset>
                </wp:positionH>
                <wp:positionV relativeFrom="page">
                  <wp:posOffset>1231900</wp:posOffset>
                </wp:positionV>
                <wp:extent cx="990600" cy="279400"/>
                <wp:effectExtent l="0" t="0" r="22225" b="31115"/>
                <wp:wrapNone/>
                <wp:docPr id="7462" name="shape7462"/>
                <wp:cNvGraphicFramePr/>
                <a:graphic>
                  <a:graphicData uri="http://schemas.microsoft.com/office/word/2010/wordprocessingShape">
                    <wps:wsp>
                      <wps:cNvSpPr/>
                      <wps:spPr>
                        <a:xfrm>
                          <a:off x="0" y="0"/>
                          <a:ext cx="990600" cy="279400"/>
                        </a:xfrm>
                        <a:prstGeom prst="rect">
                          <a:avLst/>
                        </a:prstGeom>
                        <a:ln>
                          <a:solidFill>
                            <a:srgbClr val="404040"/>
                          </a:solidFill>
                        </a:ln>
                      </wps:spPr>
                      <wps:txbx>
                        <w:txbxContent>
                          <w:p>
                            <w:pPr>
                              <w:spacing w:line="-300" w:lineRule="exact"/>
                              <w:ind w:left="0"/>
                              <w:jc w:val="both"/>
                            </w:pPr>
                            <w:r>
                              <w:rPr>
                                <w:rFonts w:hint="eastAsia" w:ascii="宋体" w:hAnsi="宋体" w:eastAsia="宋体" w:cs="宋体"/>
                                <w:w w:val="99"/>
                                <w:sz w:val="23"/>
                              </w:rPr>
                              <w:t>签订维护合同</w:t>
                            </w:r>
                          </w:p>
                        </w:txbxContent>
                      </wps:txbx>
                      <wps:bodyPr rot="0" spcFirstLastPara="false" vertOverflow="overflow" horzOverflow="overflow" vert="horz" wrap="square" lIns="38100" tIns="381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8pt;height:22pt;margin-left:258pt;margin-top:97pt;mso-wrap-style:square;z-index:10258192;mso-wrap-distance-left:9pt;mso-wrap-distance-top:0pt;mso-wrap-distance-right:9pt;mso-wrap-distance-bottom:0pt" id="shape7462" o:spid="1618382354776" stroked="t" strokecolor="#404040" strokeweight="1pt">
                <v:textbox>
                  <w:txbxContent>
                    <w:p>
                      <w:pPr>
                        <w:spacing w:line="-300" w:lineRule="exact"/>
                        <w:ind w:left="0"/>
                        <w:jc w:val="both"/>
                      </w:pPr>
                      <w:r>
                        <w:rPr>
                          <w:rFonts w:hint="eastAsia" w:ascii="宋体" w:hAnsi="宋体" w:eastAsia="宋体" w:cs="宋体"/>
                          <w:w w:val="99"/>
                          <w:sz w:val="23"/>
                        </w:rPr>
                        <w:t>签订维护合同</w:t>
                      </w:r>
                    </w:p>
                  </w:txbxContent>
                </v:textbox>
              </v:rect>
            </w:pict>
          </mc:Fallback>
        </mc:AlternateContent>
      </w:r>
      <w:r>
        <mc:AlternateContent>
          <mc:Choice Requires="wps">
            <w:drawing>
              <wp:anchor distT="0" distB="0" distL="114300" distR="114300" simplePos="false" relativeHeight="10441488" behindDoc="true" locked="false" layoutInCell="true" allowOverlap="true">
                <wp:simplePos x="0" y="0"/>
                <wp:positionH relativeFrom="page">
                  <wp:posOffset>1752600</wp:posOffset>
                </wp:positionH>
                <wp:positionV relativeFrom="page">
                  <wp:posOffset>3797300</wp:posOffset>
                </wp:positionV>
                <wp:extent cx="927100" cy="203200"/>
                <wp:effectExtent l="0" t="0" r="22225" b="31115"/>
                <wp:wrapNone/>
                <wp:docPr id="7634" name="shape7634"/>
                <wp:cNvGraphicFramePr/>
                <a:graphic>
                  <a:graphicData uri="http://schemas.microsoft.com/office/word/2010/wordprocessingShape">
                    <wps:wsp>
                      <wps:cNvSpPr/>
                      <wps:spPr>
                        <a:xfrm>
                          <a:off x="0" y="0"/>
                          <a:ext cx="927100" cy="203200"/>
                        </a:xfrm>
                        <a:prstGeom prst="rect">
                          <a:avLst/>
                        </a:prstGeom>
                      </wps:spPr>
                      <wps:txbx>
                        <w:txbxContent>
                          <w:p>
                            <w:pPr>
                              <w:spacing w:line="-220" w:lineRule="exact"/>
                              <w:ind w:left="0"/>
                              <w:jc w:val="both"/>
                            </w:pPr>
                            <w:r>
                              <w:rPr>
                                <w:rFonts w:hint="eastAsia" w:ascii="宋体" w:hAnsi="宋体" w:eastAsia="宋体" w:cs="宋体"/>
                                <w:w w:val="99"/>
                                <w:sz w:val="23"/>
                              </w:rPr>
                              <w:t>紧急</w:t>
                            </w:r>
                            <w:r>
                              <w:rPr>
                                <w:rFonts w:hint="eastAsia" w:ascii="宋体" w:hAnsi="宋体" w:eastAsia="宋体" w:cs="宋体"/>
                                <w:w w:val="99"/>
                                <w:sz w:val="10"/>
                              </w:rPr>
                              <w:t>、</w:t>
                            </w:r>
                            <w:r>
                              <w:rPr>
                                <w:rFonts w:hint="eastAsia" w:ascii="宋体" w:hAnsi="宋体" w:eastAsia="宋体" w:cs="宋体"/>
                                <w:w w:val="99"/>
                                <w:sz w:val="23"/>
                              </w:rPr>
                              <w:t>重大</w:t>
                            </w:r>
                            <w:r>
                              <w:rPr>
                                <w:rFonts w:hint="eastAsia" w:ascii="宋体" w:hAnsi="宋体" w:eastAsia="宋体" w:cs="宋体"/>
                                <w:w w:val="99"/>
                                <w:sz w:val="22"/>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3pt;height:16pt;margin-left:138pt;margin-top:299pt;mso-wrap-style:none;z-index:10441488;mso-wrap-distance-left:9pt;mso-wrap-distance-top:0pt;mso-wrap-distance-right:9pt;mso-wrap-distance-bottom:0pt" id="shape7634" o:spid="1618382354777" stroked="f">
                <v:textbox>
                  <w:txbxContent>
                    <w:p>
                      <w:pPr>
                        <w:spacing w:line="-220" w:lineRule="exact"/>
                        <w:ind w:left="0"/>
                        <w:jc w:val="both"/>
                      </w:pPr>
                      <w:r>
                        <w:rPr>
                          <w:rFonts w:hint="eastAsia" w:ascii="宋体" w:hAnsi="宋体" w:eastAsia="宋体" w:cs="宋体"/>
                          <w:w w:val="99"/>
                          <w:sz w:val="23"/>
                        </w:rPr>
                        <w:t>紧急</w:t>
                      </w:r>
                      <w:r>
                        <w:rPr>
                          <w:rFonts w:hint="eastAsia" w:ascii="宋体" w:hAnsi="宋体" w:eastAsia="宋体" w:cs="宋体"/>
                          <w:w w:val="99"/>
                          <w:sz w:val="10"/>
                        </w:rPr>
                        <w:t>、</w:t>
                      </w:r>
                      <w:r>
                        <w:rPr>
                          <w:rFonts w:hint="eastAsia" w:ascii="宋体" w:hAnsi="宋体" w:eastAsia="宋体" w:cs="宋体"/>
                          <w:w w:val="99"/>
                          <w:sz w:val="23"/>
                        </w:rPr>
                        <w:t>重大</w:t>
                      </w:r>
                      <w:r>
                        <w:rPr>
                          <w:rFonts w:hint="eastAsia" w:ascii="宋体" w:hAnsi="宋体" w:eastAsia="宋体" w:cs="宋体"/>
                          <w:w w:val="99"/>
                          <w:sz w:val="22"/>
                        </w:rPr>
                        <w:t>？</w:t>
                      </w:r>
                    </w:p>
                  </w:txbxContent>
                </v:textbox>
              </v:rect>
            </w:pict>
          </mc:Fallback>
        </mc:AlternateContent>
      </w:r>
      <w:r>
        <mc:AlternateContent>
          <mc:Choice Requires="wps">
            <w:drawing>
              <wp:anchor distT="0" distB="0" distL="114300" distR="114300" simplePos="false" relativeHeight="10442512" behindDoc="true" locked="false" layoutInCell="true" allowOverlap="true">
                <wp:simplePos x="0" y="0"/>
                <wp:positionH relativeFrom="page">
                  <wp:posOffset>1422400</wp:posOffset>
                </wp:positionH>
                <wp:positionV relativeFrom="page">
                  <wp:posOffset>2692400</wp:posOffset>
                </wp:positionV>
                <wp:extent cx="266700" cy="203200"/>
                <wp:effectExtent l="0" t="0" r="22225" b="31115"/>
                <wp:wrapNone/>
                <wp:docPr id="7635" name="shape7635"/>
                <wp:cNvGraphicFramePr/>
                <a:graphic>
                  <a:graphicData uri="http://schemas.microsoft.com/office/word/2010/wordprocessingShape">
                    <wps:wsp>
                      <wps:cNvSpPr/>
                      <wps:spPr>
                        <a:xfrm>
                          <a:off x="0" y="0"/>
                          <a:ext cx="266700" cy="203200"/>
                        </a:xfrm>
                        <a:prstGeom prst="rect">
                          <a:avLst/>
                        </a:prstGeom>
                      </wps:spPr>
                      <wps:txbx>
                        <w:txbxContent>
                          <w:p>
                            <w:pPr>
                              <w:spacing w:line="-220" w:lineRule="exact"/>
                              <w:ind w:left="0"/>
                              <w:jc w:val="both"/>
                            </w:pPr>
                            <w:r>
                              <w:rPr>
                                <w:rFonts w:hint="eastAsia" w:ascii="宋体" w:hAnsi="宋体" w:eastAsia="宋体" w:cs="宋体"/>
                                <w:b/>
                                <w:w w:val="99"/>
                                <w:sz w:val="23"/>
                              </w:rPr>
                              <w:t>无</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1pt;height:16pt;margin-left:112pt;margin-top:212pt;mso-wrap-style:none;z-index:10442512;mso-wrap-distance-left:9pt;mso-wrap-distance-top:0pt;mso-wrap-distance-right:9pt;mso-wrap-distance-bottom:0pt" id="shape7635" o:spid="1618382354777" stroked="f">
                <v:textbox>
                  <w:txbxContent>
                    <w:p>
                      <w:pPr>
                        <w:spacing w:line="-220" w:lineRule="exact"/>
                        <w:ind w:left="0"/>
                        <w:jc w:val="both"/>
                      </w:pPr>
                      <w:r>
                        <w:rPr>
                          <w:rFonts w:hint="eastAsia" w:ascii="宋体" w:hAnsi="宋体" w:eastAsia="宋体" w:cs="宋体"/>
                          <w:b/>
                          <w:w w:val="99"/>
                          <w:sz w:val="23"/>
                        </w:rPr>
                        <w:t>无</w:t>
                      </w:r>
                    </w:p>
                  </w:txbxContent>
                </v:textbox>
              </v:rect>
            </w:pict>
          </mc:Fallback>
        </mc:AlternateContent>
      </w:r>
      <w:r>
        <mc:AlternateContent>
          <mc:Choice Requires="wps">
            <w:drawing>
              <wp:anchor distT="0" distB="0" distL="114300" distR="114300" simplePos="false" relativeHeight="10443536" behindDoc="true" locked="false" layoutInCell="true" allowOverlap="true">
                <wp:simplePos x="0" y="0"/>
                <wp:positionH relativeFrom="page">
                  <wp:posOffset>3187700</wp:posOffset>
                </wp:positionH>
                <wp:positionV relativeFrom="page">
                  <wp:posOffset>7937500</wp:posOffset>
                </wp:positionV>
                <wp:extent cx="584200" cy="215900"/>
                <wp:effectExtent l="0" t="0" r="22225" b="31115"/>
                <wp:wrapNone/>
                <wp:docPr id="7636" name="shape7636"/>
                <wp:cNvGraphicFramePr/>
                <a:graphic>
                  <a:graphicData uri="http://schemas.microsoft.com/office/word/2010/wordprocessingShape">
                    <wps:wsp>
                      <wps:cNvSpPr/>
                      <wps:spPr>
                        <a:xfrm>
                          <a:off x="0" y="0"/>
                          <a:ext cx="584200" cy="215900"/>
                        </a:xfrm>
                        <a:prstGeom prst="rect">
                          <a:avLst/>
                        </a:prstGeom>
                      </wps:spPr>
                      <wps:txbx>
                        <w:txbxContent>
                          <w:p>
                            <w:pPr>
                              <w:spacing w:line="-240" w:lineRule="exact"/>
                              <w:ind w:left="0"/>
                              <w:jc w:val="both"/>
                            </w:pPr>
                            <w:r>
                              <w:rPr>
                                <w:rFonts w:hint="eastAsia" w:ascii="宋体" w:hAnsi="宋体" w:eastAsia="宋体" w:cs="宋体"/>
                                <w:b/>
                                <w:w w:val="99"/>
                                <w:sz w:val="23"/>
                              </w:rPr>
                              <w:t>知识库</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6pt;height:17pt;margin-left:251pt;margin-top:625pt;mso-wrap-style:none;z-index:10443536;mso-wrap-distance-left:9pt;mso-wrap-distance-top:0pt;mso-wrap-distance-right:9pt;mso-wrap-distance-bottom:0pt" id="shape7636" o:spid="1618382354777" stroked="f">
                <v:textbox>
                  <w:txbxContent>
                    <w:p>
                      <w:pPr>
                        <w:spacing w:line="-240" w:lineRule="exact"/>
                        <w:ind w:left="0"/>
                        <w:jc w:val="both"/>
                      </w:pPr>
                      <w:r>
                        <w:rPr>
                          <w:rFonts w:hint="eastAsia" w:ascii="宋体" w:hAnsi="宋体" w:eastAsia="宋体" w:cs="宋体"/>
                          <w:b/>
                          <w:w w:val="99"/>
                          <w:sz w:val="23"/>
                        </w:rPr>
                        <w:t>知识库</w:t>
                      </w:r>
                    </w:p>
                  </w:txbxContent>
                </v:textbox>
              </v:rect>
            </w:pict>
          </mc:Fallback>
        </mc:AlternateContent>
      </w:r>
      <w:r>
        <mc:AlternateContent>
          <mc:Choice Requires="wps">
            <w:drawing>
              <wp:anchor distT="0" distB="0" distL="114300" distR="114300" simplePos="false" relativeHeight="10444560" behindDoc="true" locked="false" layoutInCell="true" allowOverlap="true">
                <wp:simplePos x="0" y="0"/>
                <wp:positionH relativeFrom="page">
                  <wp:posOffset>1371600</wp:posOffset>
                </wp:positionH>
                <wp:positionV relativeFrom="page">
                  <wp:posOffset>5867400</wp:posOffset>
                </wp:positionV>
                <wp:extent cx="266700" cy="203200"/>
                <wp:effectExtent l="0" t="0" r="22225" b="31115"/>
                <wp:wrapNone/>
                <wp:docPr id="7637" name="shape7637"/>
                <wp:cNvGraphicFramePr/>
                <a:graphic>
                  <a:graphicData uri="http://schemas.microsoft.com/office/word/2010/wordprocessingShape">
                    <wps:wsp>
                      <wps:cNvSpPr/>
                      <wps:spPr>
                        <a:xfrm>
                          <a:off x="0" y="0"/>
                          <a:ext cx="266700" cy="203200"/>
                        </a:xfrm>
                        <a:prstGeom prst="rect">
                          <a:avLst/>
                        </a:prstGeom>
                      </wps:spPr>
                      <wps:txbx>
                        <w:txbxContent>
                          <w:p>
                            <w:pPr>
                              <w:spacing w:line="-220" w:lineRule="exact"/>
                              <w:ind w:left="0"/>
                              <w:jc w:val="both"/>
                            </w:pPr>
                            <w:r>
                              <w:rPr>
                                <w:rFonts w:hint="eastAsia" w:ascii="宋体" w:hAnsi="宋体" w:eastAsia="宋体" w:cs="宋体"/>
                                <w:b/>
                                <w:w w:val="99"/>
                                <w:sz w:val="23"/>
                              </w:rPr>
                              <w:t>是</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1pt;height:16pt;margin-left:108pt;margin-top:462pt;mso-wrap-style:none;z-index:10444560;mso-wrap-distance-left:9pt;mso-wrap-distance-top:0pt;mso-wrap-distance-right:9pt;mso-wrap-distance-bottom:0pt" id="shape7637" o:spid="1618382354778" stroked="f">
                <v:textbox>
                  <w:txbxContent>
                    <w:p>
                      <w:pPr>
                        <w:spacing w:line="-220" w:lineRule="exact"/>
                        <w:ind w:left="0"/>
                        <w:jc w:val="both"/>
                      </w:pPr>
                      <w:r>
                        <w:rPr>
                          <w:rFonts w:hint="eastAsia" w:ascii="宋体" w:hAnsi="宋体" w:eastAsia="宋体" w:cs="宋体"/>
                          <w:b/>
                          <w:w w:val="99"/>
                          <w:sz w:val="23"/>
                        </w:rPr>
                        <w:t>是</w:t>
                      </w:r>
                    </w:p>
                  </w:txbxContent>
                </v:textbox>
              </v:rect>
            </w:pict>
          </mc:Fallback>
        </mc:AlternateContent>
      </w:r>
      <w:r>
        <mc:AlternateContent>
          <mc:Choice Requires="wps">
            <w:drawing>
              <wp:anchor distT="0" distB="0" distL="114300" distR="114300" simplePos="false" relativeHeight="10445584" behindDoc="true" locked="false" layoutInCell="true" allowOverlap="true">
                <wp:simplePos x="0" y="0"/>
                <wp:positionH relativeFrom="page">
                  <wp:posOffset>2336800</wp:posOffset>
                </wp:positionH>
                <wp:positionV relativeFrom="page">
                  <wp:posOffset>2324100</wp:posOffset>
                </wp:positionV>
                <wp:extent cx="279400" cy="203200"/>
                <wp:effectExtent l="0" t="0" r="22225" b="31115"/>
                <wp:wrapNone/>
                <wp:docPr id="7638" name="shape7638"/>
                <wp:cNvGraphicFramePr/>
                <a:graphic>
                  <a:graphicData uri="http://schemas.microsoft.com/office/word/2010/wordprocessingShape">
                    <wps:wsp>
                      <wps:cNvSpPr/>
                      <wps:spPr>
                        <a:xfrm>
                          <a:off x="0" y="0"/>
                          <a:ext cx="279400" cy="203200"/>
                        </a:xfrm>
                        <a:prstGeom prst="rect">
                          <a:avLst/>
                        </a:prstGeom>
                      </wps:spPr>
                      <wps:txbx>
                        <w:txbxContent>
                          <w:p>
                            <w:pPr>
                              <w:spacing w:line="-220" w:lineRule="exact"/>
                              <w:ind w:left="0"/>
                              <w:jc w:val="both"/>
                            </w:pPr>
                            <w:r>
                              <w:rPr>
                                <w:rFonts w:hint="eastAsia" w:ascii="宋体" w:hAnsi="宋体" w:eastAsia="宋体" w:cs="宋体"/>
                                <w:b/>
                                <w:w w:val="99"/>
                                <w:sz w:val="23"/>
                              </w:rPr>
                              <w:t>有</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2pt;height:16pt;margin-left:184pt;margin-top:183pt;mso-wrap-style:none;z-index:10445584;mso-wrap-distance-left:9pt;mso-wrap-distance-top:0pt;mso-wrap-distance-right:9pt;mso-wrap-distance-bottom:0pt" id="shape7638" o:spid="1618382354778" stroked="f">
                <v:textbox>
                  <w:txbxContent>
                    <w:p>
                      <w:pPr>
                        <w:spacing w:line="-220" w:lineRule="exact"/>
                        <w:ind w:left="0"/>
                        <w:jc w:val="both"/>
                      </w:pPr>
                      <w:r>
                        <w:rPr>
                          <w:rFonts w:hint="eastAsia" w:ascii="宋体" w:hAnsi="宋体" w:eastAsia="宋体" w:cs="宋体"/>
                          <w:b/>
                          <w:w w:val="99"/>
                          <w:sz w:val="23"/>
                        </w:rPr>
                        <w:t>有</w:t>
                      </w:r>
                    </w:p>
                  </w:txbxContent>
                </v:textbox>
              </v:rect>
            </w:pict>
          </mc:Fallback>
        </mc:AlternateContent>
      </w:r>
      <w:r>
        <mc:AlternateContent>
          <mc:Choice Requires="wps">
            <w:drawing>
              <wp:anchor distT="0" distB="0" distL="114300" distR="114300" simplePos="false" relativeHeight="10446608" behindDoc="true" locked="false" layoutInCell="true" allowOverlap="true">
                <wp:simplePos x="0" y="0"/>
                <wp:positionH relativeFrom="page">
                  <wp:posOffset>2032000</wp:posOffset>
                </wp:positionH>
                <wp:positionV relativeFrom="page">
                  <wp:posOffset>4114800</wp:posOffset>
                </wp:positionV>
                <wp:extent cx="1079500" cy="215900"/>
                <wp:effectExtent l="0" t="0" r="22225" b="31115"/>
                <wp:wrapNone/>
                <wp:docPr id="7639" name="shape7639"/>
                <wp:cNvGraphicFramePr/>
                <a:graphic>
                  <a:graphicData uri="http://schemas.microsoft.com/office/word/2010/wordprocessingShape">
                    <wps:wsp>
                      <wps:cNvSpPr/>
                      <wps:spPr>
                        <a:xfrm>
                          <a:off x="0" y="0"/>
                          <a:ext cx="1079500" cy="215900"/>
                        </a:xfrm>
                        <a:prstGeom prst="rect">
                          <a:avLst/>
                        </a:prstGeom>
                      </wps:spPr>
                      <wps:txbx>
                        <w:txbxContent>
                          <w:p>
                            <w:pPr>
                              <w:tabs>
                                <w:tab w:val="left" w:pos="1380"/>
                              </w:tabs>
                              <w:spacing w:line="-240" w:lineRule="exact"/>
                              <w:ind w:left="0"/>
                              <w:jc w:val="both"/>
                            </w:pPr>
                            <w:r>
                              <w:rPr>
                                <w:rFonts w:hint="eastAsia" w:ascii="宋体" w:hAnsi="宋体" w:eastAsia="宋体" w:cs="宋体"/>
                                <w:b/>
                                <w:w w:val="99"/>
                                <w:sz w:val="23"/>
                              </w:rPr>
                              <w:t>是</w:t>
                            </w:r>
                            <w:r>
                              <w:tab/>
                            </w:r>
                            <w:r>
                              <w:rPr>
                                <w:rFonts w:hint="eastAsia" w:ascii="宋体" w:hAnsi="宋体" w:eastAsia="宋体" w:cs="宋体"/>
                                <w:b/>
                                <w:w w:val="99"/>
                                <w:sz w:val="23"/>
                              </w:rPr>
                              <w:t>否</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5pt;height:17pt;margin-left:160pt;margin-top:324pt;mso-wrap-style:none;z-index:10446608;mso-wrap-distance-left:9pt;mso-wrap-distance-top:0pt;mso-wrap-distance-right:9pt;mso-wrap-distance-bottom:0pt" id="shape7639" o:spid="1618382354779" stroked="f">
                <v:textbox>
                  <w:txbxContent>
                    <w:p>
                      <w:pPr>
                        <w:tabs>
                          <w:tab w:val="left" w:pos="1380"/>
                        </w:tabs>
                        <w:spacing w:line="-240" w:lineRule="exact"/>
                        <w:ind w:left="0"/>
                        <w:jc w:val="both"/>
                      </w:pPr>
                      <w:r>
                        <w:rPr>
                          <w:rFonts w:hint="eastAsia" w:ascii="宋体" w:hAnsi="宋体" w:eastAsia="宋体" w:cs="宋体"/>
                          <w:b/>
                          <w:w w:val="99"/>
                          <w:sz w:val="23"/>
                        </w:rPr>
                        <w:t>是</w:t>
                      </w:r>
                      <w:r>
                        <w:tab/>
                      </w:r>
                      <w:r>
                        <w:rPr>
                          <w:rFonts w:hint="eastAsia" w:ascii="宋体" w:hAnsi="宋体" w:eastAsia="宋体" w:cs="宋体"/>
                          <w:b/>
                          <w:w w:val="99"/>
                          <w:sz w:val="23"/>
                        </w:rPr>
                        <w:t>否</w:t>
                      </w:r>
                    </w:p>
                  </w:txbxContent>
                </v:textbox>
              </v:rect>
            </w:pict>
          </mc:Fallback>
        </mc:AlternateContent>
      </w:r>
      <w:r>
        <mc:AlternateContent>
          <mc:Choice Requires="wps">
            <w:drawing>
              <wp:anchor distT="0" distB="0" distL="114300" distR="114300" simplePos="false" relativeHeight="10447632" behindDoc="true" locked="false" layoutInCell="true" allowOverlap="true">
                <wp:simplePos x="0" y="0"/>
                <wp:positionH relativeFrom="page">
                  <wp:posOffset>2844800</wp:posOffset>
                </wp:positionH>
                <wp:positionV relativeFrom="page">
                  <wp:posOffset>5524500</wp:posOffset>
                </wp:positionV>
                <wp:extent cx="266700" cy="215900"/>
                <wp:effectExtent l="0" t="0" r="22225" b="31115"/>
                <wp:wrapNone/>
                <wp:docPr id="7640" name="shape7640"/>
                <wp:cNvGraphicFramePr/>
                <a:graphic>
                  <a:graphicData uri="http://schemas.microsoft.com/office/word/2010/wordprocessingShape">
                    <wps:wsp>
                      <wps:cNvSpPr/>
                      <wps:spPr>
                        <a:xfrm>
                          <a:off x="0" y="0"/>
                          <a:ext cx="266700" cy="215900"/>
                        </a:xfrm>
                        <a:prstGeom prst="rect">
                          <a:avLst/>
                        </a:prstGeom>
                      </wps:spPr>
                      <wps:txbx>
                        <w:txbxContent>
                          <w:p>
                            <w:pPr>
                              <w:spacing w:line="-240" w:lineRule="exact"/>
                              <w:ind w:left="0"/>
                              <w:jc w:val="both"/>
                            </w:pPr>
                            <w:r>
                              <w:rPr>
                                <w:rFonts w:hint="eastAsia" w:ascii="宋体" w:hAnsi="宋体" w:eastAsia="宋体" w:cs="宋体"/>
                                <w:b/>
                                <w:w w:val="99"/>
                                <w:sz w:val="23"/>
                              </w:rPr>
                              <w:t>否</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1pt;height:17pt;margin-left:224pt;margin-top:435pt;mso-wrap-style:none;z-index:10447632;mso-wrap-distance-left:9pt;mso-wrap-distance-top:0pt;mso-wrap-distance-right:9pt;mso-wrap-distance-bottom:0pt" id="shape7640" o:spid="1618382354779" stroked="f">
                <v:textbox>
                  <w:txbxContent>
                    <w:p>
                      <w:pPr>
                        <w:spacing w:line="-240" w:lineRule="exact"/>
                        <w:ind w:left="0"/>
                        <w:jc w:val="both"/>
                      </w:pPr>
                      <w:r>
                        <w:rPr>
                          <w:rFonts w:hint="eastAsia" w:ascii="宋体" w:hAnsi="宋体" w:eastAsia="宋体" w:cs="宋体"/>
                          <w:b/>
                          <w:w w:val="99"/>
                          <w:sz w:val="23"/>
                        </w:rPr>
                        <w:t>否</w:t>
                      </w:r>
                    </w:p>
                  </w:txbxContent>
                </v:textbox>
              </v:rect>
            </w:pict>
          </mc:Fallback>
        </mc:AlternateContent>
      </w:r>
      <w:r>
        <w:drawing>
          <wp:anchor distT="0" distB="0" distL="114300" distR="114300" simplePos="false" relativeHeight="10254096" behindDoc="true" locked="false" layoutInCell="true" allowOverlap="true">
            <wp:simplePos x="0" y="0"/>
            <wp:positionH relativeFrom="page">
              <wp:posOffset>4114800</wp:posOffset>
            </wp:positionH>
            <wp:positionV relativeFrom="page">
              <wp:posOffset>5029200</wp:posOffset>
            </wp:positionV>
            <wp:extent cx="1333500" cy="1816100"/>
            <wp:effectExtent l="0" t="0" r="0" b="0"/>
            <wp:wrapNone/>
            <wp:docPr id="7641" name="image7641" descr=""/>
            <wp:cNvGraphicFramePr>
              <a:graphicFrameLocks noChangeAspect="true"/>
            </wp:cNvGraphicFramePr>
            <a:graphic>
              <a:graphicData uri="http://schemas.openxmlformats.org/drawingml/2006/picture">
                <pic:pic>
                  <pic:nvPicPr>
                    <pic:cNvPr id="7641" name="image7641"/>
                    <pic:cNvPicPr/>
                  </pic:nvPicPr>
                  <pic:blipFill>
                    <a:blip r:embed="rId79"/>
                    <a:stretch>
                      <a:fillRect/>
                    </a:stretch>
                  </pic:blipFill>
                  <pic:spPr>
                    <a:xfrm flipV="true">
                      <a:off x="0" y="0"/>
                      <a:ext cx="1333500" cy="1816100"/>
                    </a:xfrm>
                    <a:prstGeom prst="rect">
                      <a:avLst/>
                    </a:prstGeom>
                  </pic:spPr>
                </pic:pic>
              </a:graphicData>
            </a:graphic>
          </wp:anchor>
        </w:drawing>
      </w:r>
      <w:r>
        <w:drawing>
          <wp:anchor distT="0" distB="0" distL="114300" distR="114300" simplePos="false" relativeHeight="10257168" behindDoc="true" locked="false" layoutInCell="true" allowOverlap="true">
            <wp:simplePos x="0" y="0"/>
            <wp:positionH relativeFrom="page">
              <wp:posOffset>3276600</wp:posOffset>
            </wp:positionH>
            <wp:positionV relativeFrom="page">
              <wp:posOffset>1231900</wp:posOffset>
            </wp:positionV>
            <wp:extent cx="990600" cy="279400"/>
            <wp:effectExtent l="0" t="0" r="0" b="0"/>
            <wp:wrapNone/>
            <wp:docPr id="7642" name="image7642" descr=""/>
            <wp:cNvGraphicFramePr>
              <a:graphicFrameLocks noChangeAspect="true"/>
            </wp:cNvGraphicFramePr>
            <a:graphic>
              <a:graphicData uri="http://schemas.openxmlformats.org/drawingml/2006/picture">
                <pic:pic>
                  <pic:nvPicPr>
                    <pic:cNvPr id="7642" name="image7642"/>
                    <pic:cNvPicPr/>
                  </pic:nvPicPr>
                  <pic:blipFill>
                    <a:blip r:embed="rId80"/>
                    <a:stretch>
                      <a:fillRect/>
                    </a:stretch>
                  </pic:blipFill>
                  <pic:spPr>
                    <a:xfrm flipV="true">
                      <a:off x="0" y="0"/>
                      <a:ext cx="990600" cy="279400"/>
                    </a:xfrm>
                    <a:prstGeom prst="rect">
                      <a:avLst/>
                    </a:prstGeom>
                  </pic:spPr>
                </pic:pic>
              </a:graphicData>
            </a:graphic>
          </wp:anchor>
        </w:drawing>
      </w:r>
      <w:r>
        <w:drawing>
          <wp:anchor distT="0" distB="0" distL="114300" distR="114300" simplePos="false" relativeHeight="10261264" behindDoc="true" locked="false" layoutInCell="true" allowOverlap="true">
            <wp:simplePos x="0" y="0"/>
            <wp:positionH relativeFrom="page">
              <wp:posOffset>1397000</wp:posOffset>
            </wp:positionH>
            <wp:positionV relativeFrom="page">
              <wp:posOffset>1765300</wp:posOffset>
            </wp:positionV>
            <wp:extent cx="787400" cy="266700"/>
            <wp:effectExtent l="0" t="0" r="0" b="0"/>
            <wp:wrapNone/>
            <wp:docPr id="7643" name="image7643" descr=""/>
            <wp:cNvGraphicFramePr>
              <a:graphicFrameLocks noChangeAspect="true"/>
            </wp:cNvGraphicFramePr>
            <a:graphic>
              <a:graphicData uri="http://schemas.openxmlformats.org/drawingml/2006/picture">
                <pic:pic>
                  <pic:nvPicPr>
                    <pic:cNvPr id="7643" name="image7643"/>
                    <pic:cNvPicPr/>
                  </pic:nvPicPr>
                  <pic:blipFill>
                    <a:blip r:embed="rId81"/>
                    <a:stretch>
                      <a:fillRect/>
                    </a:stretch>
                  </pic:blipFill>
                  <pic:spPr>
                    <a:xfrm flipV="true">
                      <a:off x="0" y="0"/>
                      <a:ext cx="787400" cy="266700"/>
                    </a:xfrm>
                    <a:prstGeom prst="rect">
                      <a:avLst/>
                    </a:prstGeom>
                  </pic:spPr>
                </pic:pic>
              </a:graphicData>
            </a:graphic>
          </wp:anchor>
        </w:drawing>
      </w:r>
      <w:r>
        <w:drawing>
          <wp:anchor distT="0" distB="0" distL="114300" distR="114300" simplePos="false" relativeHeight="10265360" behindDoc="true" locked="false" layoutInCell="true" allowOverlap="true">
            <wp:simplePos x="0" y="0"/>
            <wp:positionH relativeFrom="page">
              <wp:posOffset>2705100</wp:posOffset>
            </wp:positionH>
            <wp:positionV relativeFrom="page">
              <wp:posOffset>1765300</wp:posOffset>
            </wp:positionV>
            <wp:extent cx="787400" cy="266700"/>
            <wp:effectExtent l="0" t="0" r="0" b="0"/>
            <wp:wrapNone/>
            <wp:docPr id="7644" name="image7644" descr=""/>
            <wp:cNvGraphicFramePr>
              <a:graphicFrameLocks noChangeAspect="true"/>
            </wp:cNvGraphicFramePr>
            <a:graphic>
              <a:graphicData uri="http://schemas.openxmlformats.org/drawingml/2006/picture">
                <pic:pic>
                  <pic:nvPicPr>
                    <pic:cNvPr id="7644" name="image7644"/>
                    <pic:cNvPicPr/>
                  </pic:nvPicPr>
                  <pic:blipFill>
                    <a:blip r:embed="rId82"/>
                    <a:stretch>
                      <a:fillRect/>
                    </a:stretch>
                  </pic:blipFill>
                  <pic:spPr>
                    <a:xfrm flipV="true">
                      <a:off x="0" y="0"/>
                      <a:ext cx="787400" cy="266700"/>
                    </a:xfrm>
                    <a:prstGeom prst="rect">
                      <a:avLst/>
                    </a:prstGeom>
                  </pic:spPr>
                </pic:pic>
              </a:graphicData>
            </a:graphic>
          </wp:anchor>
        </w:drawing>
      </w:r>
      <w:r>
        <w:drawing>
          <wp:anchor distT="0" distB="0" distL="114300" distR="114300" simplePos="false" relativeHeight="10269456" behindDoc="true" locked="false" layoutInCell="true" allowOverlap="true">
            <wp:simplePos x="0" y="0"/>
            <wp:positionH relativeFrom="page">
              <wp:posOffset>4013200</wp:posOffset>
            </wp:positionH>
            <wp:positionV relativeFrom="page">
              <wp:posOffset>1765300</wp:posOffset>
            </wp:positionV>
            <wp:extent cx="787400" cy="266700"/>
            <wp:effectExtent l="0" t="0" r="0" b="0"/>
            <wp:wrapNone/>
            <wp:docPr id="7645" name="image7645" descr=""/>
            <wp:cNvGraphicFramePr>
              <a:graphicFrameLocks noChangeAspect="true"/>
            </wp:cNvGraphicFramePr>
            <a:graphic>
              <a:graphicData uri="http://schemas.openxmlformats.org/drawingml/2006/picture">
                <pic:pic>
                  <pic:nvPicPr>
                    <pic:cNvPr id="7645" name="image7645"/>
                    <pic:cNvPicPr/>
                  </pic:nvPicPr>
                  <pic:blipFill>
                    <a:blip r:embed="rId83"/>
                    <a:stretch>
                      <a:fillRect/>
                    </a:stretch>
                  </pic:blipFill>
                  <pic:spPr>
                    <a:xfrm flipV="true">
                      <a:off x="0" y="0"/>
                      <a:ext cx="787400" cy="266700"/>
                    </a:xfrm>
                    <a:prstGeom prst="rect">
                      <a:avLst/>
                    </a:prstGeom>
                  </pic:spPr>
                </pic:pic>
              </a:graphicData>
            </a:graphic>
          </wp:anchor>
        </w:drawing>
      </w:r>
      <w:r>
        <w:drawing>
          <wp:anchor distT="0" distB="0" distL="114300" distR="114300" simplePos="false" relativeHeight="10273552" behindDoc="true" locked="false" layoutInCell="true" allowOverlap="true">
            <wp:simplePos x="0" y="0"/>
            <wp:positionH relativeFrom="page">
              <wp:posOffset>5321300</wp:posOffset>
            </wp:positionH>
            <wp:positionV relativeFrom="page">
              <wp:posOffset>1765300</wp:posOffset>
            </wp:positionV>
            <wp:extent cx="787400" cy="266700"/>
            <wp:effectExtent l="0" t="0" r="0" b="0"/>
            <wp:wrapNone/>
            <wp:docPr id="7646" name="image7646" descr=""/>
            <wp:cNvGraphicFramePr>
              <a:graphicFrameLocks noChangeAspect="true"/>
            </wp:cNvGraphicFramePr>
            <a:graphic>
              <a:graphicData uri="http://schemas.openxmlformats.org/drawingml/2006/picture">
                <pic:pic>
                  <pic:nvPicPr>
                    <pic:cNvPr id="7646" name="image7646"/>
                    <pic:cNvPicPr/>
                  </pic:nvPicPr>
                  <pic:blipFill>
                    <a:blip r:embed="rId83"/>
                    <a:stretch>
                      <a:fillRect/>
                    </a:stretch>
                  </pic:blipFill>
                  <pic:spPr>
                    <a:xfrm flipV="true">
                      <a:off x="0" y="0"/>
                      <a:ext cx="787400" cy="266700"/>
                    </a:xfrm>
                    <a:prstGeom prst="rect">
                      <a:avLst/>
                    </a:prstGeom>
                  </pic:spPr>
                </pic:pic>
              </a:graphicData>
            </a:graphic>
          </wp:anchor>
        </w:drawing>
      </w:r>
      <w:r>
        <w:drawing>
          <wp:anchor distT="0" distB="0" distL="114300" distR="114300" simplePos="false" relativeHeight="10283792" behindDoc="true" locked="false" layoutInCell="true" allowOverlap="true">
            <wp:simplePos x="0" y="0"/>
            <wp:positionH relativeFrom="page">
              <wp:posOffset>3429000</wp:posOffset>
            </wp:positionH>
            <wp:positionV relativeFrom="page">
              <wp:posOffset>2336800</wp:posOffset>
            </wp:positionV>
            <wp:extent cx="800100" cy="457200"/>
            <wp:effectExtent l="0" t="0" r="0" b="0"/>
            <wp:wrapNone/>
            <wp:docPr id="7647" name="image7647" descr=""/>
            <wp:cNvGraphicFramePr>
              <a:graphicFrameLocks noChangeAspect="true"/>
            </wp:cNvGraphicFramePr>
            <a:graphic>
              <a:graphicData uri="http://schemas.openxmlformats.org/drawingml/2006/picture">
                <pic:pic>
                  <pic:nvPicPr>
                    <pic:cNvPr id="7647" name="image7647"/>
                    <pic:cNvPicPr/>
                  </pic:nvPicPr>
                  <pic:blipFill>
                    <a:blip r:embed="rId84"/>
                    <a:stretch>
                      <a:fillRect/>
                    </a:stretch>
                  </pic:blipFill>
                  <pic:spPr>
                    <a:xfrm flipV="true">
                      <a:off x="0" y="0"/>
                      <a:ext cx="800100" cy="457200"/>
                    </a:xfrm>
                    <a:prstGeom prst="rect">
                      <a:avLst/>
                    </a:prstGeom>
                  </pic:spPr>
                </pic:pic>
              </a:graphicData>
            </a:graphic>
          </wp:anchor>
        </w:drawing>
      </w:r>
      <w:r>
        <w:drawing>
          <wp:anchor distT="0" distB="0" distL="114300" distR="114300" simplePos="false" relativeHeight="10289936" behindDoc="true" locked="false" layoutInCell="true" allowOverlap="true">
            <wp:simplePos x="0" y="0"/>
            <wp:positionH relativeFrom="page">
              <wp:posOffset>1676400</wp:posOffset>
            </wp:positionH>
            <wp:positionV relativeFrom="page">
              <wp:posOffset>3683000</wp:posOffset>
            </wp:positionV>
            <wp:extent cx="1181100" cy="406400"/>
            <wp:effectExtent l="0" t="0" r="0" b="0"/>
            <wp:wrapNone/>
            <wp:docPr id="7648" name="image7648" descr=""/>
            <wp:cNvGraphicFramePr>
              <a:graphicFrameLocks noChangeAspect="true"/>
            </wp:cNvGraphicFramePr>
            <a:graphic>
              <a:graphicData uri="http://schemas.openxmlformats.org/drawingml/2006/picture">
                <pic:pic>
                  <pic:nvPicPr>
                    <pic:cNvPr id="7648" name="image7648"/>
                    <pic:cNvPicPr/>
                  </pic:nvPicPr>
                  <pic:blipFill>
                    <a:blip r:embed="rId85"/>
                    <a:stretch>
                      <a:fillRect/>
                    </a:stretch>
                  </pic:blipFill>
                  <pic:spPr>
                    <a:xfrm flipV="true">
                      <a:off x="0" y="0"/>
                      <a:ext cx="1181100" cy="406400"/>
                    </a:xfrm>
                    <a:prstGeom prst="rect">
                      <a:avLst/>
                    </a:prstGeom>
                  </pic:spPr>
                </pic:pic>
              </a:graphicData>
            </a:graphic>
          </wp:anchor>
        </w:drawing>
      </w:r>
      <w:r>
        <w:drawing>
          <wp:anchor distT="0" distB="0" distL="114300" distR="114300" simplePos="false" relativeHeight="10296080" behindDoc="true" locked="false" layoutInCell="true" allowOverlap="true">
            <wp:simplePos x="0" y="0"/>
            <wp:positionH relativeFrom="page">
              <wp:posOffset>3848100</wp:posOffset>
            </wp:positionH>
            <wp:positionV relativeFrom="page">
              <wp:posOffset>3708400</wp:posOffset>
            </wp:positionV>
            <wp:extent cx="990600" cy="279400"/>
            <wp:effectExtent l="0" t="0" r="0" b="0"/>
            <wp:wrapNone/>
            <wp:docPr id="7649" name="image7649" descr=""/>
            <wp:cNvGraphicFramePr>
              <a:graphicFrameLocks noChangeAspect="true"/>
            </wp:cNvGraphicFramePr>
            <a:graphic>
              <a:graphicData uri="http://schemas.openxmlformats.org/drawingml/2006/picture">
                <pic:pic>
                  <pic:nvPicPr>
                    <pic:cNvPr id="7649" name="image7649"/>
                    <pic:cNvPicPr/>
                  </pic:nvPicPr>
                  <pic:blipFill>
                    <a:blip r:embed="rId86"/>
                    <a:stretch>
                      <a:fillRect/>
                    </a:stretch>
                  </pic:blipFill>
                  <pic:spPr>
                    <a:xfrm flipV="true">
                      <a:off x="0" y="0"/>
                      <a:ext cx="990600" cy="279400"/>
                    </a:xfrm>
                    <a:prstGeom prst="rect">
                      <a:avLst/>
                    </a:prstGeom>
                  </pic:spPr>
                </pic:pic>
              </a:graphicData>
            </a:graphic>
          </wp:anchor>
        </w:drawing>
      </w:r>
      <w:r>
        <w:drawing>
          <wp:anchor distT="0" distB="0" distL="114300" distR="114300" simplePos="false" relativeHeight="10300176" behindDoc="true" locked="false" layoutInCell="true" allowOverlap="true">
            <wp:simplePos x="0" y="0"/>
            <wp:positionH relativeFrom="page">
              <wp:posOffset>1193800</wp:posOffset>
            </wp:positionH>
            <wp:positionV relativeFrom="page">
              <wp:posOffset>2286000</wp:posOffset>
            </wp:positionV>
            <wp:extent cx="1181100" cy="406400"/>
            <wp:effectExtent l="0" t="0" r="0" b="0"/>
            <wp:wrapNone/>
            <wp:docPr id="7650" name="image7650" descr=""/>
            <wp:cNvGraphicFramePr>
              <a:graphicFrameLocks noChangeAspect="true"/>
            </wp:cNvGraphicFramePr>
            <a:graphic>
              <a:graphicData uri="http://schemas.openxmlformats.org/drawingml/2006/picture">
                <pic:pic>
                  <pic:nvPicPr>
                    <pic:cNvPr id="7650" name="image7650"/>
                    <pic:cNvPicPr/>
                  </pic:nvPicPr>
                  <pic:blipFill>
                    <a:blip r:embed="rId87"/>
                    <a:stretch>
                      <a:fillRect/>
                    </a:stretch>
                  </pic:blipFill>
                  <pic:spPr>
                    <a:xfrm flipV="true">
                      <a:off x="0" y="0"/>
                      <a:ext cx="1181100" cy="406400"/>
                    </a:xfrm>
                    <a:prstGeom prst="rect">
                      <a:avLst/>
                    </a:prstGeom>
                  </pic:spPr>
                </pic:pic>
              </a:graphicData>
            </a:graphic>
          </wp:anchor>
        </w:drawing>
      </w:r>
      <w:r>
        <w:drawing>
          <wp:anchor distT="0" distB="0" distL="114300" distR="114300" simplePos="false" relativeHeight="10308368" behindDoc="true" locked="false" layoutInCell="true" allowOverlap="true">
            <wp:simplePos x="0" y="0"/>
            <wp:positionH relativeFrom="page">
              <wp:posOffset>1193800</wp:posOffset>
            </wp:positionH>
            <wp:positionV relativeFrom="page">
              <wp:posOffset>3022600</wp:posOffset>
            </wp:positionV>
            <wp:extent cx="990600" cy="279400"/>
            <wp:effectExtent l="0" t="0" r="0" b="0"/>
            <wp:wrapNone/>
            <wp:docPr id="7651" name="image7651" descr=""/>
            <wp:cNvGraphicFramePr>
              <a:graphicFrameLocks noChangeAspect="true"/>
            </wp:cNvGraphicFramePr>
            <a:graphic>
              <a:graphicData uri="http://schemas.openxmlformats.org/drawingml/2006/picture">
                <pic:pic>
                  <pic:nvPicPr>
                    <pic:cNvPr id="7651" name="image7651"/>
                    <pic:cNvPicPr/>
                  </pic:nvPicPr>
                  <pic:blipFill>
                    <a:blip r:embed="rId88"/>
                    <a:stretch>
                      <a:fillRect/>
                    </a:stretch>
                  </pic:blipFill>
                  <pic:spPr>
                    <a:xfrm flipV="true">
                      <a:off x="0" y="0"/>
                      <a:ext cx="990600" cy="279400"/>
                    </a:xfrm>
                    <a:prstGeom prst="rect">
                      <a:avLst/>
                    </a:prstGeom>
                  </pic:spPr>
                </pic:pic>
              </a:graphicData>
            </a:graphic>
          </wp:anchor>
        </w:drawing>
      </w:r>
      <w:r>
        <w:drawing>
          <wp:anchor distT="0" distB="0" distL="114300" distR="114300" simplePos="false" relativeHeight="10314512" behindDoc="true" locked="false" layoutInCell="true" allowOverlap="true">
            <wp:simplePos x="0" y="0"/>
            <wp:positionH relativeFrom="page">
              <wp:posOffset>1866900</wp:posOffset>
            </wp:positionH>
            <wp:positionV relativeFrom="page">
              <wp:posOffset>4343400</wp:posOffset>
            </wp:positionV>
            <wp:extent cx="800100" cy="266700"/>
            <wp:effectExtent l="0" t="0" r="0" b="0"/>
            <wp:wrapNone/>
            <wp:docPr id="7652" name="image7652" descr=""/>
            <wp:cNvGraphicFramePr>
              <a:graphicFrameLocks noChangeAspect="true"/>
            </wp:cNvGraphicFramePr>
            <a:graphic>
              <a:graphicData uri="http://schemas.openxmlformats.org/drawingml/2006/picture">
                <pic:pic>
                  <pic:nvPicPr>
                    <pic:cNvPr id="7652" name="image7652"/>
                    <pic:cNvPicPr/>
                  </pic:nvPicPr>
                  <pic:blipFill>
                    <a:blip r:embed="rId89"/>
                    <a:stretch>
                      <a:fillRect/>
                    </a:stretch>
                  </pic:blipFill>
                  <pic:spPr>
                    <a:xfrm flipV="true">
                      <a:off x="0" y="0"/>
                      <a:ext cx="800100" cy="266700"/>
                    </a:xfrm>
                    <a:prstGeom prst="rect">
                      <a:avLst/>
                    </a:prstGeom>
                  </pic:spPr>
                </pic:pic>
              </a:graphicData>
            </a:graphic>
          </wp:anchor>
        </w:drawing>
      </w:r>
      <w:r>
        <w:drawing>
          <wp:anchor distT="0" distB="0" distL="114300" distR="114300" simplePos="false" relativeHeight="10318608" behindDoc="true" locked="false" layoutInCell="true" allowOverlap="true">
            <wp:simplePos x="0" y="0"/>
            <wp:positionH relativeFrom="page">
              <wp:posOffset>1638300</wp:posOffset>
            </wp:positionH>
            <wp:positionV relativeFrom="page">
              <wp:posOffset>4864100</wp:posOffset>
            </wp:positionV>
            <wp:extent cx="1257300" cy="381000"/>
            <wp:effectExtent l="0" t="0" r="0" b="0"/>
            <wp:wrapNone/>
            <wp:docPr id="7653" name="image7653" descr=""/>
            <wp:cNvGraphicFramePr>
              <a:graphicFrameLocks noChangeAspect="true"/>
            </wp:cNvGraphicFramePr>
            <a:graphic>
              <a:graphicData uri="http://schemas.openxmlformats.org/drawingml/2006/picture">
                <pic:pic>
                  <pic:nvPicPr>
                    <pic:cNvPr id="7653" name="image7653"/>
                    <pic:cNvPicPr/>
                  </pic:nvPicPr>
                  <pic:blipFill>
                    <a:blip r:embed="rId90"/>
                    <a:stretch>
                      <a:fillRect/>
                    </a:stretch>
                  </pic:blipFill>
                  <pic:spPr>
                    <a:xfrm flipV="true">
                      <a:off x="0" y="0"/>
                      <a:ext cx="1257300" cy="381000"/>
                    </a:xfrm>
                    <a:prstGeom prst="rect">
                      <a:avLst/>
                    </a:prstGeom>
                  </pic:spPr>
                </pic:pic>
              </a:graphicData>
            </a:graphic>
          </wp:anchor>
        </w:drawing>
      </w:r>
      <w:r>
        <w:drawing>
          <wp:anchor distT="0" distB="0" distL="114300" distR="114300" simplePos="false" relativeHeight="10326800" behindDoc="true" locked="false" layoutInCell="true" allowOverlap="true">
            <wp:simplePos x="0" y="0"/>
            <wp:positionH relativeFrom="page">
              <wp:posOffset>3898900</wp:posOffset>
            </wp:positionH>
            <wp:positionV relativeFrom="page">
              <wp:posOffset>4203700</wp:posOffset>
            </wp:positionV>
            <wp:extent cx="1181100" cy="406400"/>
            <wp:effectExtent l="0" t="0" r="0" b="0"/>
            <wp:wrapNone/>
            <wp:docPr id="7654" name="image7654" descr=""/>
            <wp:cNvGraphicFramePr>
              <a:graphicFrameLocks noChangeAspect="true"/>
            </wp:cNvGraphicFramePr>
            <a:graphic>
              <a:graphicData uri="http://schemas.openxmlformats.org/drawingml/2006/picture">
                <pic:pic>
                  <pic:nvPicPr>
                    <pic:cNvPr id="7654" name="image7654"/>
                    <pic:cNvPicPr/>
                  </pic:nvPicPr>
                  <pic:blipFill>
                    <a:blip r:embed="rId91"/>
                    <a:stretch>
                      <a:fillRect/>
                    </a:stretch>
                  </pic:blipFill>
                  <pic:spPr>
                    <a:xfrm flipV="true">
                      <a:off x="0" y="0"/>
                      <a:ext cx="1181100" cy="406400"/>
                    </a:xfrm>
                    <a:prstGeom prst="rect">
                      <a:avLst/>
                    </a:prstGeom>
                  </pic:spPr>
                </pic:pic>
              </a:graphicData>
            </a:graphic>
          </wp:anchor>
        </w:drawing>
      </w:r>
      <w:r>
        <w:drawing>
          <wp:anchor distT="0" distB="0" distL="114300" distR="114300" simplePos="false" relativeHeight="10330896" behindDoc="true" locked="false" layoutInCell="true" allowOverlap="true">
            <wp:simplePos x="0" y="0"/>
            <wp:positionH relativeFrom="page">
              <wp:posOffset>4254500</wp:posOffset>
            </wp:positionH>
            <wp:positionV relativeFrom="page">
              <wp:posOffset>5549900</wp:posOffset>
            </wp:positionV>
            <wp:extent cx="1130300" cy="279400"/>
            <wp:effectExtent l="0" t="0" r="0" b="0"/>
            <wp:wrapNone/>
            <wp:docPr id="7655" name="image7655" descr=""/>
            <wp:cNvGraphicFramePr>
              <a:graphicFrameLocks noChangeAspect="true"/>
            </wp:cNvGraphicFramePr>
            <a:graphic>
              <a:graphicData uri="http://schemas.openxmlformats.org/drawingml/2006/picture">
                <pic:pic>
                  <pic:nvPicPr>
                    <pic:cNvPr id="7655" name="image7655"/>
                    <pic:cNvPicPr/>
                  </pic:nvPicPr>
                  <pic:blipFill>
                    <a:blip r:embed="rId92"/>
                    <a:stretch>
                      <a:fillRect/>
                    </a:stretch>
                  </pic:blipFill>
                  <pic:spPr>
                    <a:xfrm flipV="true">
                      <a:off x="0" y="0"/>
                      <a:ext cx="1130300" cy="279400"/>
                    </a:xfrm>
                    <a:prstGeom prst="rect">
                      <a:avLst/>
                    </a:prstGeom>
                  </pic:spPr>
                </pic:pic>
              </a:graphicData>
            </a:graphic>
          </wp:anchor>
        </w:drawing>
      </w:r>
      <w:r>
        <w:drawing>
          <wp:anchor distT="0" distB="0" distL="114300" distR="114300" simplePos="false" relativeHeight="10334992" behindDoc="true" locked="false" layoutInCell="true" allowOverlap="true">
            <wp:simplePos x="0" y="0"/>
            <wp:positionH relativeFrom="page">
              <wp:posOffset>4254500</wp:posOffset>
            </wp:positionH>
            <wp:positionV relativeFrom="page">
              <wp:posOffset>6019800</wp:posOffset>
            </wp:positionV>
            <wp:extent cx="1130300" cy="279400"/>
            <wp:effectExtent l="0" t="0" r="0" b="0"/>
            <wp:wrapNone/>
            <wp:docPr id="7656" name="image7656" descr=""/>
            <wp:cNvGraphicFramePr>
              <a:graphicFrameLocks noChangeAspect="true"/>
            </wp:cNvGraphicFramePr>
            <a:graphic>
              <a:graphicData uri="http://schemas.openxmlformats.org/drawingml/2006/picture">
                <pic:pic>
                  <pic:nvPicPr>
                    <pic:cNvPr id="7656" name="image7656"/>
                    <pic:cNvPicPr/>
                  </pic:nvPicPr>
                  <pic:blipFill>
                    <a:blip r:embed="rId93"/>
                    <a:stretch>
                      <a:fillRect/>
                    </a:stretch>
                  </pic:blipFill>
                  <pic:spPr>
                    <a:xfrm flipV="true">
                      <a:off x="0" y="0"/>
                      <a:ext cx="1130300" cy="279400"/>
                    </a:xfrm>
                    <a:prstGeom prst="rect">
                      <a:avLst/>
                    </a:prstGeom>
                  </pic:spPr>
                </pic:pic>
              </a:graphicData>
            </a:graphic>
          </wp:anchor>
        </w:drawing>
      </w:r>
      <w:r>
        <w:drawing>
          <wp:anchor distT="0" distB="0" distL="114300" distR="114300" simplePos="false" relativeHeight="10345232" behindDoc="true" locked="false" layoutInCell="true" allowOverlap="true">
            <wp:simplePos x="0" y="0"/>
            <wp:positionH relativeFrom="page">
              <wp:posOffset>1676400</wp:posOffset>
            </wp:positionH>
            <wp:positionV relativeFrom="page">
              <wp:posOffset>5511800</wp:posOffset>
            </wp:positionV>
            <wp:extent cx="1181100" cy="406400"/>
            <wp:effectExtent l="0" t="0" r="0" b="0"/>
            <wp:wrapNone/>
            <wp:docPr id="7657" name="image7657" descr=""/>
            <wp:cNvGraphicFramePr>
              <a:graphicFrameLocks noChangeAspect="true"/>
            </wp:cNvGraphicFramePr>
            <a:graphic>
              <a:graphicData uri="http://schemas.openxmlformats.org/drawingml/2006/picture">
                <pic:pic>
                  <pic:nvPicPr>
                    <pic:cNvPr id="7657" name="image7657"/>
                    <pic:cNvPicPr/>
                  </pic:nvPicPr>
                  <pic:blipFill>
                    <a:blip r:embed="rId94"/>
                    <a:stretch>
                      <a:fillRect/>
                    </a:stretch>
                  </pic:blipFill>
                  <pic:spPr>
                    <a:xfrm flipV="true">
                      <a:off x="0" y="0"/>
                      <a:ext cx="1181100" cy="406400"/>
                    </a:xfrm>
                    <a:prstGeom prst="rect">
                      <a:avLst/>
                    </a:prstGeom>
                  </pic:spPr>
                </pic:pic>
              </a:graphicData>
            </a:graphic>
          </wp:anchor>
        </w:drawing>
      </w:r>
      <w:r>
        <w:drawing>
          <wp:anchor distT="0" distB="0" distL="114300" distR="114300" simplePos="false" relativeHeight="10355472" behindDoc="true" locked="false" layoutInCell="true" allowOverlap="true">
            <wp:simplePos x="0" y="0"/>
            <wp:positionH relativeFrom="page">
              <wp:posOffset>1727200</wp:posOffset>
            </wp:positionH>
            <wp:positionV relativeFrom="page">
              <wp:posOffset>6273800</wp:posOffset>
            </wp:positionV>
            <wp:extent cx="1193800" cy="355600"/>
            <wp:effectExtent l="0" t="0" r="0" b="0"/>
            <wp:wrapNone/>
            <wp:docPr id="7658" name="image7658" descr=""/>
            <wp:cNvGraphicFramePr>
              <a:graphicFrameLocks noChangeAspect="true"/>
            </wp:cNvGraphicFramePr>
            <a:graphic>
              <a:graphicData uri="http://schemas.openxmlformats.org/drawingml/2006/picture">
                <pic:pic>
                  <pic:nvPicPr>
                    <pic:cNvPr id="7658" name="image7658"/>
                    <pic:cNvPicPr/>
                  </pic:nvPicPr>
                  <pic:blipFill>
                    <a:blip r:embed="rId95"/>
                    <a:stretch>
                      <a:fillRect/>
                    </a:stretch>
                  </pic:blipFill>
                  <pic:spPr>
                    <a:xfrm flipV="true">
                      <a:off x="0" y="0"/>
                      <a:ext cx="1193800" cy="355600"/>
                    </a:xfrm>
                    <a:prstGeom prst="rect">
                      <a:avLst/>
                    </a:prstGeom>
                  </pic:spPr>
                </pic:pic>
              </a:graphicData>
            </a:graphic>
          </wp:anchor>
        </w:drawing>
      </w:r>
      <w:r>
        <w:drawing>
          <wp:anchor distT="0" distB="0" distL="114300" distR="114300" simplePos="false" relativeHeight="10361616" behindDoc="true" locked="false" layoutInCell="true" allowOverlap="true">
            <wp:simplePos x="0" y="0"/>
            <wp:positionH relativeFrom="page">
              <wp:posOffset>4254500</wp:posOffset>
            </wp:positionH>
            <wp:positionV relativeFrom="page">
              <wp:posOffset>5054600</wp:posOffset>
            </wp:positionV>
            <wp:extent cx="1130300" cy="266700"/>
            <wp:effectExtent l="0" t="0" r="0" b="0"/>
            <wp:wrapNone/>
            <wp:docPr id="7659" name="image7659" descr=""/>
            <wp:cNvGraphicFramePr>
              <a:graphicFrameLocks noChangeAspect="true"/>
            </wp:cNvGraphicFramePr>
            <a:graphic>
              <a:graphicData uri="http://schemas.openxmlformats.org/drawingml/2006/picture">
                <pic:pic>
                  <pic:nvPicPr>
                    <pic:cNvPr id="7659" name="image7659"/>
                    <pic:cNvPicPr/>
                  </pic:nvPicPr>
                  <pic:blipFill>
                    <a:blip r:embed="rId96"/>
                    <a:stretch>
                      <a:fillRect/>
                    </a:stretch>
                  </pic:blipFill>
                  <pic:spPr>
                    <a:xfrm flipV="true">
                      <a:off x="0" y="0"/>
                      <a:ext cx="1130300" cy="266700"/>
                    </a:xfrm>
                    <a:prstGeom prst="rect">
                      <a:avLst/>
                    </a:prstGeom>
                  </pic:spPr>
                </pic:pic>
              </a:graphicData>
            </a:graphic>
          </wp:anchor>
        </w:drawing>
      </w:r>
      <w:r>
        <w:drawing>
          <wp:anchor distT="0" distB="0" distL="114300" distR="114300" simplePos="false" relativeHeight="10367760" behindDoc="true" locked="false" layoutInCell="true" allowOverlap="true">
            <wp:simplePos x="0" y="0"/>
            <wp:positionH relativeFrom="page">
              <wp:posOffset>4254500</wp:posOffset>
            </wp:positionH>
            <wp:positionV relativeFrom="page">
              <wp:posOffset>6515100</wp:posOffset>
            </wp:positionV>
            <wp:extent cx="1130300" cy="279400"/>
            <wp:effectExtent l="0" t="0" r="0" b="0"/>
            <wp:wrapNone/>
            <wp:docPr id="7660" name="image7660" descr=""/>
            <wp:cNvGraphicFramePr>
              <a:graphicFrameLocks noChangeAspect="true"/>
            </wp:cNvGraphicFramePr>
            <a:graphic>
              <a:graphicData uri="http://schemas.openxmlformats.org/drawingml/2006/picture">
                <pic:pic>
                  <pic:nvPicPr>
                    <pic:cNvPr id="7660" name="image7660"/>
                    <pic:cNvPicPr/>
                  </pic:nvPicPr>
                  <pic:blipFill>
                    <a:blip r:embed="rId97"/>
                    <a:stretch>
                      <a:fillRect/>
                    </a:stretch>
                  </pic:blipFill>
                  <pic:spPr>
                    <a:xfrm flipV="true">
                      <a:off x="0" y="0"/>
                      <a:ext cx="1130300" cy="279400"/>
                    </a:xfrm>
                    <a:prstGeom prst="rect">
                      <a:avLst/>
                    </a:prstGeom>
                  </pic:spPr>
                </pic:pic>
              </a:graphicData>
            </a:graphic>
          </wp:anchor>
        </w:drawing>
      </w:r>
      <w:r>
        <w:drawing>
          <wp:anchor distT="0" distB="0" distL="114300" distR="114300" simplePos="false" relativeHeight="10375952" behindDoc="true" locked="false" layoutInCell="true" allowOverlap="true">
            <wp:simplePos x="0" y="0"/>
            <wp:positionH relativeFrom="page">
              <wp:posOffset>5321300</wp:posOffset>
            </wp:positionH>
            <wp:positionV relativeFrom="page">
              <wp:posOffset>2336800</wp:posOffset>
            </wp:positionV>
            <wp:extent cx="787400" cy="279400"/>
            <wp:effectExtent l="0" t="0" r="0" b="0"/>
            <wp:wrapNone/>
            <wp:docPr id="7661" name="image7661" descr=""/>
            <wp:cNvGraphicFramePr>
              <a:graphicFrameLocks noChangeAspect="true"/>
            </wp:cNvGraphicFramePr>
            <a:graphic>
              <a:graphicData uri="http://schemas.openxmlformats.org/drawingml/2006/picture">
                <pic:pic>
                  <pic:nvPicPr>
                    <pic:cNvPr id="7661" name="image7661"/>
                    <pic:cNvPicPr/>
                  </pic:nvPicPr>
                  <pic:blipFill>
                    <a:blip r:embed="rId98"/>
                    <a:stretch>
                      <a:fillRect/>
                    </a:stretch>
                  </pic:blipFill>
                  <pic:spPr>
                    <a:xfrm flipV="true">
                      <a:off x="0" y="0"/>
                      <a:ext cx="787400" cy="279400"/>
                    </a:xfrm>
                    <a:prstGeom prst="rect">
                      <a:avLst/>
                    </a:prstGeom>
                  </pic:spPr>
                </pic:pic>
              </a:graphicData>
            </a:graphic>
          </wp:anchor>
        </w:drawing>
      </w:r>
      <w:r>
        <w:drawing>
          <wp:anchor distT="0" distB="0" distL="114300" distR="114300" simplePos="false" relativeHeight="10380048" behindDoc="true" locked="false" layoutInCell="true" allowOverlap="true">
            <wp:simplePos x="0" y="0"/>
            <wp:positionH relativeFrom="page">
              <wp:posOffset>5321300</wp:posOffset>
            </wp:positionH>
            <wp:positionV relativeFrom="page">
              <wp:posOffset>3022600</wp:posOffset>
            </wp:positionV>
            <wp:extent cx="787400" cy="279400"/>
            <wp:effectExtent l="0" t="0" r="0" b="0"/>
            <wp:wrapNone/>
            <wp:docPr id="7662" name="image7662" descr=""/>
            <wp:cNvGraphicFramePr>
              <a:graphicFrameLocks noChangeAspect="true"/>
            </wp:cNvGraphicFramePr>
            <a:graphic>
              <a:graphicData uri="http://schemas.openxmlformats.org/drawingml/2006/picture">
                <pic:pic>
                  <pic:nvPicPr>
                    <pic:cNvPr id="7662" name="image7662"/>
                    <pic:cNvPicPr/>
                  </pic:nvPicPr>
                  <pic:blipFill>
                    <a:blip r:embed="rId99"/>
                    <a:stretch>
                      <a:fillRect/>
                    </a:stretch>
                  </pic:blipFill>
                  <pic:spPr>
                    <a:xfrm flipV="true">
                      <a:off x="0" y="0"/>
                      <a:ext cx="787400" cy="279400"/>
                    </a:xfrm>
                    <a:prstGeom prst="rect">
                      <a:avLst/>
                    </a:prstGeom>
                  </pic:spPr>
                </pic:pic>
              </a:graphicData>
            </a:graphic>
          </wp:anchor>
        </w:drawing>
      </w:r>
      <w:r>
        <w:drawing>
          <wp:anchor distT="0" distB="0" distL="114300" distR="114300" simplePos="false" relativeHeight="10392336" behindDoc="true" locked="false" layoutInCell="true" allowOverlap="true">
            <wp:simplePos x="0" y="0"/>
            <wp:positionH relativeFrom="page">
              <wp:posOffset>3086100</wp:posOffset>
            </wp:positionH>
            <wp:positionV relativeFrom="page">
              <wp:posOffset>7518400</wp:posOffset>
            </wp:positionV>
            <wp:extent cx="749300" cy="444500"/>
            <wp:effectExtent l="0" t="0" r="0" b="0"/>
            <wp:wrapNone/>
            <wp:docPr id="7663" name="image7663" descr=""/>
            <wp:cNvGraphicFramePr>
              <a:graphicFrameLocks noChangeAspect="true"/>
            </wp:cNvGraphicFramePr>
            <a:graphic>
              <a:graphicData uri="http://schemas.openxmlformats.org/drawingml/2006/picture">
                <pic:pic>
                  <pic:nvPicPr>
                    <pic:cNvPr id="7663" name="image7663"/>
                    <pic:cNvPicPr/>
                  </pic:nvPicPr>
                  <pic:blipFill>
                    <a:blip r:embed="rId100"/>
                    <a:stretch>
                      <a:fillRect/>
                    </a:stretch>
                  </pic:blipFill>
                  <pic:spPr>
                    <a:xfrm flipV="true">
                      <a:off x="0" y="0"/>
                      <a:ext cx="749300" cy="444500"/>
                    </a:xfrm>
                    <a:prstGeom prst="rect">
                      <a:avLst/>
                    </a:prstGeom>
                  </pic:spPr>
                </pic:pic>
              </a:graphicData>
            </a:graphic>
          </wp:anchor>
        </w:drawing>
      </w:r>
      <w:r>
        <w:drawing>
          <wp:anchor distT="0" distB="0" distL="114300" distR="114300" simplePos="false" relativeHeight="10394384" behindDoc="true" locked="false" layoutInCell="true" allowOverlap="true">
            <wp:simplePos x="0" y="0"/>
            <wp:positionH relativeFrom="page">
              <wp:posOffset>3086100</wp:posOffset>
            </wp:positionH>
            <wp:positionV relativeFrom="page">
              <wp:posOffset>7734300</wp:posOffset>
            </wp:positionV>
            <wp:extent cx="749300" cy="533400"/>
            <wp:effectExtent l="0" t="0" r="0" b="0"/>
            <wp:wrapNone/>
            <wp:docPr id="7664" name="image7664" descr=""/>
            <wp:cNvGraphicFramePr>
              <a:graphicFrameLocks noChangeAspect="true"/>
            </wp:cNvGraphicFramePr>
            <a:graphic>
              <a:graphicData uri="http://schemas.openxmlformats.org/drawingml/2006/picture">
                <pic:pic>
                  <pic:nvPicPr>
                    <pic:cNvPr id="7664" name="image7664"/>
                    <pic:cNvPicPr/>
                  </pic:nvPicPr>
                  <pic:blipFill>
                    <a:blip r:embed="rId101"/>
                    <a:stretch>
                      <a:fillRect/>
                    </a:stretch>
                  </pic:blipFill>
                  <pic:spPr>
                    <a:xfrm flipV="true">
                      <a:off x="0" y="0"/>
                      <a:ext cx="749300" cy="533400"/>
                    </a:xfrm>
                    <a:prstGeom prst="rect">
                      <a:avLst/>
                    </a:prstGeom>
                  </pic:spPr>
                </pic:pic>
              </a:graphicData>
            </a:graphic>
          </wp:anchor>
        </w:drawing>
      </w:r>
      <w:r>
        <w:drawing>
          <wp:anchor distT="0" distB="0" distL="114300" distR="114300" simplePos="false" relativeHeight="10405648" behindDoc="true" locked="false" layoutInCell="true" allowOverlap="true">
            <wp:simplePos x="0" y="0"/>
            <wp:positionH relativeFrom="page">
              <wp:posOffset>3225800</wp:posOffset>
            </wp:positionH>
            <wp:positionV relativeFrom="page">
              <wp:posOffset>5575300</wp:posOffset>
            </wp:positionV>
            <wp:extent cx="825500" cy="279400"/>
            <wp:effectExtent l="0" t="0" r="0" b="0"/>
            <wp:wrapNone/>
            <wp:docPr id="7665" name="image7665" descr=""/>
            <wp:cNvGraphicFramePr>
              <a:graphicFrameLocks noChangeAspect="true"/>
            </wp:cNvGraphicFramePr>
            <a:graphic>
              <a:graphicData uri="http://schemas.openxmlformats.org/drawingml/2006/picture">
                <pic:pic>
                  <pic:nvPicPr>
                    <pic:cNvPr id="7665" name="image7665"/>
                    <pic:cNvPicPr/>
                  </pic:nvPicPr>
                  <pic:blipFill>
                    <a:blip r:embed="rId102"/>
                    <a:stretch>
                      <a:fillRect/>
                    </a:stretch>
                  </pic:blipFill>
                  <pic:spPr>
                    <a:xfrm flipV="true">
                      <a:off x="0" y="0"/>
                      <a:ext cx="825500" cy="279400"/>
                    </a:xfrm>
                    <a:prstGeom prst="rect">
                      <a:avLst/>
                    </a:prstGeom>
                  </pic:spPr>
                </pic:pic>
              </a:graphicData>
            </a:graphic>
          </wp:anchor>
        </w:drawing>
      </w:r>
      <w:r>
        <w:drawing>
          <wp:anchor distT="0" distB="0" distL="114300" distR="114300" simplePos="false" relativeHeight="10414864" behindDoc="true" locked="false" layoutInCell="true" allowOverlap="true">
            <wp:simplePos x="0" y="0"/>
            <wp:positionH relativeFrom="page">
              <wp:posOffset>2768600</wp:posOffset>
            </wp:positionH>
            <wp:positionV relativeFrom="page">
              <wp:posOffset>2971800</wp:posOffset>
            </wp:positionV>
            <wp:extent cx="939800" cy="927100"/>
            <wp:effectExtent l="0" t="0" r="0" b="0"/>
            <wp:wrapNone/>
            <wp:docPr id="7666" name="image7666" descr=""/>
            <wp:cNvGraphicFramePr>
              <a:graphicFrameLocks noChangeAspect="true"/>
            </wp:cNvGraphicFramePr>
            <a:graphic>
              <a:graphicData uri="http://schemas.openxmlformats.org/drawingml/2006/picture">
                <pic:pic>
                  <pic:nvPicPr>
                    <pic:cNvPr id="7666" name="image7666"/>
                    <pic:cNvPicPr/>
                  </pic:nvPicPr>
                  <pic:blipFill>
                    <a:blip r:embed="rId103"/>
                    <a:stretch>
                      <a:fillRect/>
                    </a:stretch>
                  </pic:blipFill>
                  <pic:spPr>
                    <a:xfrm flipV="true">
                      <a:off x="0" y="0"/>
                      <a:ext cx="939800" cy="927100"/>
                    </a:xfrm>
                    <a:prstGeom prst="rect">
                      <a:avLst/>
                    </a:prstGeom>
                  </pic:spPr>
                </pic:pic>
              </a:graphicData>
            </a:graphic>
          </wp:anchor>
        </w:drawing>
      </w:r>
      <w:r>
        <w:drawing>
          <wp:anchor distT="0" distB="0" distL="114300" distR="114300" simplePos="false" relativeHeight="10424080" behindDoc="true" locked="false" layoutInCell="true" allowOverlap="true">
            <wp:simplePos x="0" y="0"/>
            <wp:positionH relativeFrom="page">
              <wp:posOffset>2870200</wp:posOffset>
            </wp:positionH>
            <wp:positionV relativeFrom="page">
              <wp:posOffset>6896100</wp:posOffset>
            </wp:positionV>
            <wp:extent cx="1193800" cy="355600"/>
            <wp:effectExtent l="0" t="0" r="0" b="0"/>
            <wp:wrapNone/>
            <wp:docPr id="7667" name="image7667" descr=""/>
            <wp:cNvGraphicFramePr>
              <a:graphicFrameLocks noChangeAspect="true"/>
            </wp:cNvGraphicFramePr>
            <a:graphic>
              <a:graphicData uri="http://schemas.openxmlformats.org/drawingml/2006/picture">
                <pic:pic>
                  <pic:nvPicPr>
                    <pic:cNvPr id="7667" name="image7667"/>
                    <pic:cNvPicPr/>
                  </pic:nvPicPr>
                  <pic:blipFill>
                    <a:blip r:embed="rId104"/>
                    <a:stretch>
                      <a:fillRect/>
                    </a:stretch>
                  </pic:blipFill>
                  <pic:spPr>
                    <a:xfrm flipV="true">
                      <a:off x="0" y="0"/>
                      <a:ext cx="1193800" cy="3556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技术支持与服务流程图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60" w:lineRule="exact"/>
        <w:rPr>
          <w:rFonts w:hint="eastAsia" w:ascii="宋体" w:hAnsi="宋体" w:eastAsia="宋体" w:cs="宋体"/>
          <w:sz w:val="20"/>
        </w:rPr>
      </w:pPr>
    </w:p>
    <w:tbl>
      <w:tblPr>
        <w:tblW w:w="1240" w:type="auto"/>
        <w:tblInd w:w="8380" w:type="dxa"/>
        <w:tblBorders>
          <w:top w:val="single" w:color="cdcdcd" w:sz="4" w:space="0"/>
          <w:left w:val="single" w:color="cdcdcd" w:sz="4" w:space="0"/>
          <w:bottom w:val="single" w:color="cdcdcd" w:sz="4" w:space="0"/>
          <w:right w:val="single" w:color="cdcdcd" w:sz="4" w:space="0"/>
          <w:insideH w:val="single" w:color="cdcdcd" w:sz="4" w:space="0"/>
          <w:insideV w:val="single" w:color="cdcdcd" w:sz="4" w:space="0"/>
        </w:tblBorders>
        <w:tblLayout w:type="fixed"/>
      </w:tblPr>
      <w:tblGrid>
        <w:gridCol w:w="620"/>
        <w:gridCol w:w="600"/>
      </w:tblGrid>
      <w:tr>
        <w:trPr>
          <w:trHeight w:val="400" w:hRule="exact"/>
        </w:trPr>
        <w:tc>
          <w:tcPr>
            <w:tcW w:w="1220" w:type="dxa"/>
            <w:gridSpan w:val="2"/>
            <w:shd w:val="clear" w:color="auto" w:fill="cdcdcd"/>
            <w:tcMar>
              <w:top w:w="0" w:type="dxa"/>
              <w:left w:w="0" w:type="dxa"/>
              <w:bottom w:w="0" w:type="dxa"/>
              <w:right w:w="0" w:type="dxa"/>
            </w:tcMar>
          </w:tcPr>
          <w:p>
            <w:pPr>
              <w:spacing w:before="40"/>
              <w:ind w:left="120"/>
            </w:pPr>
            <w:r>
              <w:rPr>
                <w:rFonts w:hint="eastAsia" w:ascii="宋体" w:hAnsi="宋体" w:eastAsia="宋体" w:cs="宋体"/>
                <w:w w:val="99"/>
                <w:sz w:val="23"/>
              </w:rPr>
              <w:t>培训服务</w:t>
            </w:r>
          </w:p>
        </w:tc>
      </w:tr>
      <w:tr>
        <w:trPr>
          <w:trHeight w:val="500" w:hRule="exact"/>
        </w:trPr>
        <w:tc>
          <w:tcPr>
            <w:tcW w:w="0" w:type="dxa"/>
            <w:tcMar>
              <w:top w:w="0" w:type="dxa"/>
              <w:left w:w="0" w:type="dxa"/>
              <w:bottom w:w="0" w:type="dxa"/>
              <w:right w:w="0" w:type="dxa"/>
            </w:tcMar>
          </w:tcPr>
          <w:p/>
        </w:tc>
        <w:tc>
          <w:tcPr>
            <w:tcW w:w="600" w:type="dxa"/>
            <w:tcMar>
              <w:top w:w="0" w:type="dxa"/>
              <w:left w:w="0" w:type="dxa"/>
              <w:bottom w:w="0" w:type="dxa"/>
              <w:right w:w="0" w:type="dxa"/>
            </w:tcMar>
          </w:tcPr>
          <w:p/>
        </w:tc>
      </w:tr>
      <w:tr>
        <w:trPr>
          <w:trHeight w:val="420" w:hRule="exact"/>
        </w:trPr>
        <w:tc>
          <w:tcPr>
            <w:tcW w:w="1220" w:type="dxa"/>
            <w:gridSpan w:val="2"/>
            <w:shd w:val="clear" w:color="auto" w:fill="cdcdcd"/>
            <w:tcMar>
              <w:top w:w="0" w:type="dxa"/>
              <w:left w:w="0" w:type="dxa"/>
              <w:bottom w:w="0" w:type="dxa"/>
              <w:right w:w="0" w:type="dxa"/>
            </w:tcMar>
          </w:tcPr>
          <w:p>
            <w:pPr>
              <w:spacing w:before="40"/>
              <w:ind w:left="120"/>
            </w:pPr>
            <w:r>
              <w:rPr>
                <w:rFonts w:hint="eastAsia" w:ascii="宋体" w:hAnsi="宋体" w:eastAsia="宋体" w:cs="宋体"/>
                <w:w w:val="99"/>
                <w:sz w:val="23"/>
              </w:rPr>
              <w:t>培训实施</w:t>
            </w:r>
          </w:p>
        </w:tc>
      </w:tr>
      <w:tr>
        <w:trPr>
          <w:trHeight w:val="660" w:hRule="exact"/>
        </w:trPr>
        <w:tc>
          <w:tcPr>
            <w:tcW w:w="0" w:type="dxa"/>
            <w:tcMar>
              <w:top w:w="0" w:type="dxa"/>
              <w:left w:w="0" w:type="dxa"/>
              <w:bottom w:w="0" w:type="dxa"/>
              <w:right w:w="0" w:type="dxa"/>
            </w:tcMar>
          </w:tcPr>
          <w:p/>
        </w:tc>
        <w:tc>
          <w:tcPr>
            <w:tcW w:w="600" w:type="dxa"/>
            <w:tcMar>
              <w:top w:w="0" w:type="dxa"/>
              <w:left w:w="0" w:type="dxa"/>
              <w:bottom w:w="0" w:type="dxa"/>
              <w:right w:w="0" w:type="dxa"/>
            </w:tcMar>
          </w:tcPr>
          <w:p/>
        </w:tc>
      </w:tr>
      <w:tr>
        <w:trPr>
          <w:trHeight w:val="420" w:hRule="exact"/>
        </w:trPr>
        <w:tc>
          <w:tcPr>
            <w:tcW w:w="1220" w:type="dxa"/>
            <w:gridSpan w:val="2"/>
            <w:shd w:val="clear" w:color="auto" w:fill="cdcdcd"/>
            <w:tcMar>
              <w:top w:w="0" w:type="dxa"/>
              <w:left w:w="0" w:type="dxa"/>
              <w:bottom w:w="0" w:type="dxa"/>
              <w:right w:w="0" w:type="dxa"/>
            </w:tcMar>
          </w:tcPr>
          <w:p>
            <w:pPr>
              <w:spacing w:before="60"/>
              <w:ind w:left="120"/>
            </w:pPr>
            <w:r>
              <w:rPr>
                <w:rFonts w:hint="eastAsia" w:ascii="宋体" w:hAnsi="宋体" w:eastAsia="宋体" w:cs="宋体"/>
                <w:w w:val="99"/>
                <w:sz w:val="23"/>
              </w:rPr>
              <w:t>培训记录</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440"/>
        <w:jc w:val="both"/>
      </w:pPr>
      <w:r>
        <w:rPr>
          <w:rFonts w:hint="eastAsia" w:ascii="宋体" w:hAnsi="宋体" w:eastAsia="宋体" w:cs="宋体"/>
          <w:b/>
          <w:sz w:val="20"/>
        </w:rPr>
        <w:t>（</w:t>
      </w:r>
      <w:r>
        <w:rPr>
          <w:rFonts w:hint="eastAsia" w:ascii="宋体" w:hAnsi="宋体" w:eastAsia="宋体" w:cs="宋体"/>
          <w:b/>
          <w:sz w:val="24"/>
        </w:rPr>
        <w:t>三）主要经营模式</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软件开发模式</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公司自主研发的灵动业务架构平台（</w:t>
      </w:r>
      <w:r>
        <w:rPr>
          <w:rFonts w:hint="eastAsia" w:ascii="Times New Roman" w:hAnsi="Times New Roman" w:eastAsia="Times New Roman" w:cs="Times New Roman"/>
          <w:sz w:val="24"/>
        </w:rPr>
        <w:t>LiveBOS</w:t>
      </w:r>
      <w:r>
        <w:rPr>
          <w:rFonts w:hint="eastAsia" w:ascii="宋体" w:hAnsi="宋体" w:eastAsia="宋体" w:cs="宋体"/>
          <w:sz w:val="24"/>
        </w:rPr>
        <w:t>）属于创新一代的基于业务架构体系</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1-1-158</w:t>
      </w:r>
    </w:p>
    <w:p>
      <w:pPr>
        <w:sectPr>
          <w:type w:val="nextPage"/>
          <w:pgSz w:w="11900" w:h="16820"/>
          <w:pgMar w:top="0" w:right="0" w:bottom="0" w:left="0"/>
        </w:sectPr>
      </w:pPr>
    </w:p>
    <w:p>
      <w:pPr>
        <w:spacing w:line="1" w:lineRule="exact"/>
        <w:rPr>
          <w:rFonts w:hint="eastAsia" w:ascii="Arial" w:hAnsi="Arial" w:eastAsia="Arial" w:cs="Arial"/>
          <w:sz w:val="10"/>
        </w:rPr>
      </w:pPr>
    </w:p>
    <w:p>
      <w:r>
        <mc:AlternateContent>
          <mc:Choice Requires="wps">
            <w:drawing>
              <wp:anchor distT="0" distB="0" distL="114300" distR="114300" simplePos="false" relativeHeight="10254096" behindDoc="true" locked="false" layoutInCell="true" allowOverlap="true">
                <wp:simplePos x="0" y="0"/>
                <wp:positionH relativeFrom="page">
                  <wp:posOffset>3771900</wp:posOffset>
                </wp:positionH>
                <wp:positionV relativeFrom="page">
                  <wp:posOffset>5334000</wp:posOffset>
                </wp:positionV>
                <wp:extent cx="2870200" cy="3606800"/>
                <wp:effectExtent l="0" t="0" r="22225" b="31115"/>
                <wp:wrapNone/>
                <wp:docPr id="7670" name="shape7670"/>
                <wp:cNvGraphicFramePr/>
                <a:graphic>
                  <a:graphicData uri="http://schemas.microsoft.com/office/word/2010/wordprocessingShape">
                    <wps:wsp>
                      <wps:cNvSpPr/>
                      <wps:spPr>
                        <a:xfrm>
                          <a:off x="0" y="0"/>
                          <a:ext cx="2870200" cy="3606800"/>
                        </a:xfrm>
                        <a:custGeom>
                          <a:avLst/>
                          <a:rect l="l" t="t" r="r" b="b"/>
                          <a:pathLst>
                            <a:path w="2870200" h="3606800">
                              <a:moveTo>
                                <a:pt x="2705018" y="3599226"/>
                              </a:moveTo>
                              <a:cubicBezTo>
                                <a:pt x="2791472" y="3599225"/>
                                <a:pt x="2861674" y="3529269"/>
                                <a:pt x="2861674" y="3442974"/>
                              </a:cubicBezTo>
                              <a:lnTo>
                                <a:pt x="2861674" y="161727"/>
                              </a:lnTo>
                              <a:cubicBezTo>
                                <a:pt x="2861674" y="75405"/>
                                <a:pt x="2791472" y="5400"/>
                                <a:pt x="2705018" y="5400"/>
                              </a:cubicBezTo>
                              <a:lnTo>
                                <a:pt x="166573" y="5400"/>
                              </a:lnTo>
                              <a:cubicBezTo>
                                <a:pt x="80008" y="5400"/>
                                <a:pt x="9917" y="75405"/>
                                <a:pt x="9917" y="161727"/>
                              </a:cubicBezTo>
                              <a:lnTo>
                                <a:pt x="9917" y="3442974"/>
                              </a:lnTo>
                              <a:cubicBezTo>
                                <a:pt x="9917" y="3529269"/>
                                <a:pt x="80008" y="3599225"/>
                                <a:pt x="166573" y="3599226"/>
                              </a:cubicBezTo>
                              <a:lnTo>
                                <a:pt x="2705018" y="3599226"/>
                              </a:lnTo>
                              <a:close/>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870200,3606800" style="position:absolute;left:0;top:0;visibility:visible;mso-position-horizontal:absolute;mso-position-horizontal-relative:page;mso-position-vertical:absolute;mso-position-vertical-relative:page;width:226pt;height:284pt;margin-left:297pt;margin-top:420pt;mso-wrap-style:square;z-index:10254096;mso-wrap-distance-left:9pt;mso-wrap-distance-top:0pt;mso-wrap-distance-right:9pt;mso-wrap-distance-bottom:0pt" id="shape7670" o:spid="1618382356889" path="m2705018,3599226c2791472,3599225,2861674,3529269,2861674,3442974l2861674,161727c2861674,75405,2791472,5400,2705018,5400l166573,5400c80008,5400,9917,75405,9917,161727l9917,3442974c9917,3529269,80008,3599225,166573,3599226l2705018,3599226e" stroked="t" strokecolor="#404040" strokeweight="1pt"/>
            </w:pict>
          </mc:Fallback>
        </mc:AlternateContent>
      </w:r>
      <w:r>
        <mc:AlternateContent>
          <mc:Choice Requires="wps">
            <w:drawing>
              <wp:anchor distT="0" distB="0" distL="114300" distR="114300" simplePos="false" relativeHeight="10257168" behindDoc="true" locked="false" layoutInCell="true" allowOverlap="true">
                <wp:simplePos x="0" y="0"/>
                <wp:positionH relativeFrom="page">
                  <wp:posOffset>1333500</wp:posOffset>
                </wp:positionH>
                <wp:positionV relativeFrom="page">
                  <wp:posOffset>5334000</wp:posOffset>
                </wp:positionV>
                <wp:extent cx="2362200" cy="3606800"/>
                <wp:effectExtent l="0" t="0" r="22225" b="31115"/>
                <wp:wrapNone/>
                <wp:docPr id="7672" name="shape7672"/>
                <wp:cNvGraphicFramePr/>
                <a:graphic>
                  <a:graphicData uri="http://schemas.microsoft.com/office/word/2010/wordprocessingShape">
                    <wps:wsp>
                      <wps:cNvSpPr/>
                      <wps:spPr>
                        <a:xfrm>
                          <a:off x="0" y="0"/>
                          <a:ext cx="2362200" cy="3606800"/>
                        </a:xfrm>
                        <a:custGeom>
                          <a:avLst/>
                          <a:rect l="l" t="t" r="r" b="b"/>
                          <a:pathLst>
                            <a:path w="2362200" h="3606800">
                              <a:moveTo>
                                <a:pt x="2197579" y="3599226"/>
                              </a:moveTo>
                              <a:cubicBezTo>
                                <a:pt x="2284143" y="3599225"/>
                                <a:pt x="2354235" y="3529269"/>
                                <a:pt x="2354235" y="3442974"/>
                              </a:cubicBezTo>
                              <a:lnTo>
                                <a:pt x="2354234" y="161727"/>
                              </a:lnTo>
                              <a:cubicBezTo>
                                <a:pt x="2354235" y="75405"/>
                                <a:pt x="2284143" y="5400"/>
                                <a:pt x="2197579" y="5400"/>
                              </a:cubicBezTo>
                              <a:lnTo>
                                <a:pt x="160587" y="5400"/>
                              </a:lnTo>
                              <a:cubicBezTo>
                                <a:pt x="74051" y="5400"/>
                                <a:pt x="3899" y="75405"/>
                                <a:pt x="3898" y="161727"/>
                              </a:cubicBezTo>
                              <a:lnTo>
                                <a:pt x="3898" y="3442974"/>
                              </a:lnTo>
                              <a:cubicBezTo>
                                <a:pt x="3899" y="3529269"/>
                                <a:pt x="74051" y="3599225"/>
                                <a:pt x="160587" y="3599226"/>
                              </a:cubicBezTo>
                              <a:lnTo>
                                <a:pt x="2197579" y="3599226"/>
                              </a:lnTo>
                              <a:close/>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362200,3606800" style="position:absolute;left:0;top:0;visibility:visible;mso-position-horizontal:absolute;mso-position-horizontal-relative:page;mso-position-vertical:absolute;mso-position-vertical-relative:page;width:186pt;height:284pt;margin-left:105pt;margin-top:420pt;mso-wrap-style:square;z-index:10257168;mso-wrap-distance-left:9pt;mso-wrap-distance-top:0pt;mso-wrap-distance-right:9pt;mso-wrap-distance-bottom:0pt" id="shape7672" o:spid="1618382356889" path="m2197579,3599226c2284143,3599225,2354235,3529269,2354235,3442974l2354234,161727c2354235,75405,2284143,5400,2197579,5400l160587,5400c74051,5400,3899,75405,3898,161727l3898,3442974c3899,3529269,74051,3599225,160587,3599226l2197579,3599226e" stroked="t" strokecolor="#404040" strokeweight="1pt"/>
            </w:pict>
          </mc:Fallback>
        </mc:AlternateContent>
      </w:r>
      <w:r>
        <mc:AlternateContent>
          <mc:Choice Requires="wps">
            <w:drawing>
              <wp:anchor distT="0" distB="0" distL="114300" distR="114300" simplePos="false" relativeHeight="10265360" behindDoc="true" locked="false" layoutInCell="true" allowOverlap="true">
                <wp:simplePos x="0" y="0"/>
                <wp:positionH relativeFrom="page">
                  <wp:posOffset>1435100</wp:posOffset>
                </wp:positionH>
                <wp:positionV relativeFrom="page">
                  <wp:posOffset>6845300</wp:posOffset>
                </wp:positionV>
                <wp:extent cx="927100" cy="254000"/>
                <wp:effectExtent l="0" t="0" r="22225" b="31115"/>
                <wp:wrapNone/>
                <wp:docPr id="7677" name="shape7677"/>
                <wp:cNvGraphicFramePr/>
                <a:graphic>
                  <a:graphicData uri="http://schemas.microsoft.com/office/word/2010/wordprocessingShape">
                    <wps:wsp>
                      <wps:cNvSpPr/>
                      <wps:spPr>
                        <a:xfrm>
                          <a:off x="0" y="0"/>
                          <a:ext cx="927100" cy="254000"/>
                        </a:xfrm>
                        <a:prstGeom prst="rect">
                          <a:avLst/>
                        </a:pr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3pt;height:20pt;margin-left:113pt;margin-top:539pt;mso-wrap-style:square;z-index:10265360;mso-wrap-distance-left:9pt;mso-wrap-distance-top:0pt;mso-wrap-distance-right:9pt;mso-wrap-distance-bottom:0pt" id="shape7677" o:spid="1618382356890" stroked="t" strokecolor="#404040" strokeweight="1pt"/>
            </w:pict>
          </mc:Fallback>
        </mc:AlternateContent>
      </w:r>
      <w:r>
        <mc:AlternateContent>
          <mc:Choice Requires="wps">
            <w:drawing>
              <wp:anchor distT="0" distB="0" distL="114300" distR="114300" simplePos="false" relativeHeight="10273552" behindDoc="true" locked="false" layoutInCell="true" allowOverlap="true">
                <wp:simplePos x="0" y="0"/>
                <wp:positionH relativeFrom="page">
                  <wp:posOffset>3060700</wp:posOffset>
                </wp:positionH>
                <wp:positionV relativeFrom="page">
                  <wp:posOffset>5753100</wp:posOffset>
                </wp:positionV>
                <wp:extent cx="12700" cy="1016000"/>
                <wp:effectExtent l="0" t="0" r="22225" b="31115"/>
                <wp:wrapNone/>
                <wp:docPr id="7681" name="shape7681"/>
                <wp:cNvGraphicFramePr/>
                <a:graphic>
                  <a:graphicData uri="http://schemas.microsoft.com/office/word/2010/wordprocessingShape">
                    <wps:wsp>
                      <wps:cNvSpPr/>
                      <wps:spPr>
                        <a:xfrm>
                          <a:off x="0" y="0"/>
                          <a:ext cx="12700" cy="1016000"/>
                        </a:xfrm>
                        <a:custGeom>
                          <a:avLst/>
                          <a:rect l="l" t="t" r="r" b="b"/>
                          <a:pathLst>
                            <a:path w="12700" h="1016000">
                              <a:moveTo>
                                <a:pt x="5054" y="268"/>
                              </a:moveTo>
                              <a:lnTo>
                                <a:pt x="5054" y="117459"/>
                              </a:lnTo>
                              <a:lnTo>
                                <a:pt x="5938" y="117459"/>
                              </a:lnTo>
                              <a:lnTo>
                                <a:pt x="5938" y="1003496"/>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016000" style="position:absolute;left:0;top:0;visibility:visible;mso-position-horizontal:absolute;mso-position-horizontal-relative:page;mso-position-vertical:absolute;mso-position-vertical-relative:page;width:1pt;height:80pt;margin-left:241pt;margin-top:453pt;mso-wrap-style:square;z-index:10273552;mso-wrap-distance-left:9pt;mso-wrap-distance-top:0pt;mso-wrap-distance-right:9pt;mso-wrap-distance-bottom:0pt" id="shape7681" o:spid="1618382356890" path="m5054,268l5054,117459l5938,117459l5938,1003496" stroked="t" strokecolor="#404040" strokeweight="1pt"/>
            </w:pict>
          </mc:Fallback>
        </mc:AlternateContent>
      </w:r>
      <w:r>
        <mc:AlternateContent>
          <mc:Choice Requires="wps">
            <w:drawing>
              <wp:anchor distT="0" distB="0" distL="114300" distR="114300" simplePos="false" relativeHeight="10274576" behindDoc="false" locked="false" layoutInCell="true" allowOverlap="true">
                <wp:simplePos x="0" y="0"/>
                <wp:positionH relativeFrom="page">
                  <wp:posOffset>3022600</wp:posOffset>
                </wp:positionH>
                <wp:positionV relativeFrom="page">
                  <wp:posOffset>6731000</wp:posOffset>
                </wp:positionV>
                <wp:extent cx="88900" cy="88900"/>
                <wp:effectExtent l="0" t="0" r="22225" b="31115"/>
                <wp:wrapNone/>
                <wp:docPr id="7682" name="shape7682"/>
                <wp:cNvGraphicFramePr/>
                <a:graphic>
                  <a:graphicData uri="http://schemas.microsoft.com/office/word/2010/wordprocessingShape">
                    <wps:wsp>
                      <wps:cNvSpPr/>
                      <wps:spPr>
                        <a:xfrm>
                          <a:off x="0" y="0"/>
                          <a:ext cx="88900" cy="88900"/>
                        </a:xfrm>
                        <a:custGeom>
                          <a:avLst/>
                          <a:rect l="l" t="t" r="r" b="b"/>
                          <a:pathLst>
                            <a:path w="88900" h="88900">
                              <a:moveTo>
                                <a:pt x="44038" y="84356"/>
                              </a:moveTo>
                              <a:lnTo>
                                <a:pt x="5123" y="6744"/>
                              </a:lnTo>
                              <a:cubicBezTo>
                                <a:pt x="29666" y="18981"/>
                                <a:pt x="58411" y="18981"/>
                                <a:pt x="82954" y="6744"/>
                              </a:cubicBezTo>
                              <a:lnTo>
                                <a:pt x="44038" y="84356"/>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238pt;margin-top:530pt;mso-wrap-style:square;z-index:10274576;mso-wrap-distance-left:9pt;mso-wrap-distance-top:0pt;mso-wrap-distance-right:9pt;mso-wrap-distance-bottom:0pt" id="shape7682" o:spid="1618382356891" path="m44038,84356l5123,6744c29666,18981,58411,18981,82954,6744l44038,84356e" stroked="f" filled="t" fillcolor="#404040"/>
            </w:pict>
          </mc:Fallback>
        </mc:AlternateContent>
      </w:r>
      <w:r>
        <mc:AlternateContent>
          <mc:Choice Requires="wps">
            <w:drawing>
              <wp:anchor distT="0" distB="0" distL="114300" distR="114300" simplePos="false" relativeHeight="10275600" behindDoc="false" locked="false" layoutInCell="true" allowOverlap="true">
                <wp:simplePos x="0" y="0"/>
                <wp:positionH relativeFrom="page">
                  <wp:posOffset>3060700</wp:posOffset>
                </wp:positionH>
                <wp:positionV relativeFrom="page">
                  <wp:posOffset>7124700</wp:posOffset>
                </wp:positionV>
                <wp:extent cx="12700" cy="977900"/>
                <wp:effectExtent l="0" t="0" r="22225" b="31115"/>
                <wp:wrapNone/>
                <wp:docPr id="7683" name="shape7683"/>
                <wp:cNvGraphicFramePr/>
                <a:graphic>
                  <a:graphicData uri="http://schemas.microsoft.com/office/word/2010/wordprocessingShape">
                    <wps:wsp>
                      <wps:cNvSpPr/>
                      <wps:spPr>
                        <a:xfrm>
                          <a:off x="0" y="0"/>
                          <a:ext cx="12700" cy="977900"/>
                        </a:xfrm>
                        <a:custGeom>
                          <a:avLst/>
                          <a:rect l="l" t="t" r="r" b="b"/>
                          <a:pathLst>
                            <a:path w="12700" h="977900">
                              <a:moveTo>
                                <a:pt x="5938" y="3200"/>
                              </a:moveTo>
                              <a:lnTo>
                                <a:pt x="5938" y="120391"/>
                              </a:lnTo>
                              <a:lnTo>
                                <a:pt x="6934" y="120391"/>
                              </a:lnTo>
                              <a:lnTo>
                                <a:pt x="6934" y="975515"/>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977900" style="position:absolute;left:0;top:0;visibility:visible;mso-position-horizontal:absolute;mso-position-horizontal-relative:page;mso-position-vertical:absolute;mso-position-vertical-relative:page;width:1pt;height:77pt;margin-left:241pt;margin-top:561pt;mso-wrap-style:square;z-index:10275600;mso-wrap-distance-left:9pt;mso-wrap-distance-top:0pt;mso-wrap-distance-right:9pt;mso-wrap-distance-bottom:0pt" id="shape7683" o:spid="1618382356891" path="m5938,3200l5938,120391l6934,120391l6934,975515" stroked="t" strokecolor="#404040" strokeweight="1pt"/>
            </w:pict>
          </mc:Fallback>
        </mc:AlternateContent>
      </w:r>
      <w:r>
        <mc:AlternateContent>
          <mc:Choice Requires="wps">
            <w:drawing>
              <wp:anchor distT="0" distB="0" distL="114300" distR="114300" simplePos="false" relativeHeight="10276624" behindDoc="false" locked="false" layoutInCell="true" allowOverlap="true">
                <wp:simplePos x="0" y="0"/>
                <wp:positionH relativeFrom="page">
                  <wp:posOffset>3022600</wp:posOffset>
                </wp:positionH>
                <wp:positionV relativeFrom="page">
                  <wp:posOffset>8077200</wp:posOffset>
                </wp:positionV>
                <wp:extent cx="88900" cy="88900"/>
                <wp:effectExtent l="0" t="0" r="22225" b="31115"/>
                <wp:wrapNone/>
                <wp:docPr id="7684" name="shape7684"/>
                <wp:cNvGraphicFramePr/>
                <a:graphic>
                  <a:graphicData uri="http://schemas.microsoft.com/office/word/2010/wordprocessingShape">
                    <wps:wsp>
                      <wps:cNvSpPr/>
                      <wps:spPr>
                        <a:xfrm>
                          <a:off x="0" y="0"/>
                          <a:ext cx="88900" cy="88900"/>
                        </a:xfrm>
                        <a:custGeom>
                          <a:avLst/>
                          <a:rect l="l" t="t" r="r" b="b"/>
                          <a:pathLst>
                            <a:path w="88900" h="88900">
                              <a:moveTo>
                                <a:pt x="45034" y="81764"/>
                              </a:moveTo>
                              <a:lnTo>
                                <a:pt x="6118" y="4152"/>
                              </a:lnTo>
                              <a:cubicBezTo>
                                <a:pt x="30551" y="16367"/>
                                <a:pt x="59406" y="16367"/>
                                <a:pt x="83949" y="4152"/>
                              </a:cubicBezTo>
                              <a:lnTo>
                                <a:pt x="45034" y="81764"/>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238pt;margin-top:636pt;mso-wrap-style:square;z-index:10276624;mso-wrap-distance-left:9pt;mso-wrap-distance-top:0pt;mso-wrap-distance-right:9pt;mso-wrap-distance-bottom:0pt" id="shape7684" o:spid="1618382356891" path="m45034,81764l6118,4152c30551,16367,59406,16367,83949,4152l45034,81764e" stroked="f" filled="t" fillcolor="#404040"/>
            </w:pict>
          </mc:Fallback>
        </mc:AlternateContent>
      </w:r>
      <w:r>
        <mc:AlternateContent>
          <mc:Choice Requires="wps">
            <w:drawing>
              <wp:anchor distT="0" distB="0" distL="114300" distR="114300" simplePos="false" relativeHeight="10277648" behindDoc="false" locked="false" layoutInCell="true" allowOverlap="true">
                <wp:simplePos x="0" y="0"/>
                <wp:positionH relativeFrom="page">
                  <wp:posOffset>2349500</wp:posOffset>
                </wp:positionH>
                <wp:positionV relativeFrom="page">
                  <wp:posOffset>6959600</wp:posOffset>
                </wp:positionV>
                <wp:extent cx="215900" cy="25400"/>
                <wp:effectExtent l="0" t="0" r="22225" b="31115"/>
                <wp:wrapNone/>
                <wp:docPr id="7685" name="shape7685"/>
                <wp:cNvGraphicFramePr/>
                <a:graphic>
                  <a:graphicData uri="http://schemas.microsoft.com/office/word/2010/wordprocessingShape">
                    <wps:wsp>
                      <wps:cNvSpPr/>
                      <wps:spPr>
                        <a:xfrm>
                          <a:off x="0" y="0"/>
                          <a:ext cx="215900" cy="25400"/>
                        </a:xfrm>
                        <a:custGeom>
                          <a:avLst/>
                          <a:rect l="l" t="t" r="r" b="b"/>
                          <a:pathLst>
                            <a:path w="215900" h="25400">
                              <a:moveTo>
                                <a:pt x="12507" y="13737"/>
                              </a:moveTo>
                              <a:lnTo>
                                <a:pt x="129983" y="13737"/>
                              </a:lnTo>
                              <a:lnTo>
                                <a:pt x="129983" y="11973"/>
                              </a:lnTo>
                              <a:lnTo>
                                <a:pt x="204275" y="11973"/>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15900,25400" style="position:absolute;left:0;top:0;visibility:visible;mso-position-horizontal:absolute;mso-position-horizontal-relative:page;mso-position-vertical:absolute;mso-position-vertical-relative:page;width:17pt;height:2pt;margin-left:185pt;margin-top:548pt;mso-wrap-style:square;z-index:10277648;mso-wrap-distance-left:9pt;mso-wrap-distance-top:0pt;mso-wrap-distance-right:9pt;mso-wrap-distance-bottom:0pt" id="shape7685" o:spid="1618382356892" path="m12507,13737l129983,13737l129983,11973l204275,11973" stroked="t" strokecolor="#404040" strokeweight="1pt"/>
            </w:pict>
          </mc:Fallback>
        </mc:AlternateContent>
      </w:r>
      <w:r>
        <mc:AlternateContent>
          <mc:Choice Requires="wps">
            <w:drawing>
              <wp:anchor distT="0" distB="0" distL="114300" distR="114300" simplePos="false" relativeHeight="10278672" behindDoc="false" locked="false" layoutInCell="true" allowOverlap="true">
                <wp:simplePos x="0" y="0"/>
                <wp:positionH relativeFrom="page">
                  <wp:posOffset>2527300</wp:posOffset>
                </wp:positionH>
                <wp:positionV relativeFrom="page">
                  <wp:posOffset>6921500</wp:posOffset>
                </wp:positionV>
                <wp:extent cx="88900" cy="88900"/>
                <wp:effectExtent l="0" t="0" r="22225" b="31115"/>
                <wp:wrapNone/>
                <wp:docPr id="7686" name="shape7686"/>
                <wp:cNvGraphicFramePr/>
                <a:graphic>
                  <a:graphicData uri="http://schemas.microsoft.com/office/word/2010/wordprocessingShape">
                    <wps:wsp>
                      <wps:cNvSpPr/>
                      <wps:spPr>
                        <a:xfrm>
                          <a:off x="0" y="0"/>
                          <a:ext cx="88900" cy="88900"/>
                        </a:xfrm>
                        <a:custGeom>
                          <a:avLst/>
                          <a:rect l="l" t="t" r="r" b="b"/>
                          <a:pathLst>
                            <a:path w="88900" h="88900">
                              <a:moveTo>
                                <a:pt x="85401" y="50073"/>
                              </a:moveTo>
                              <a:lnTo>
                                <a:pt x="7571" y="88879"/>
                              </a:lnTo>
                              <a:cubicBezTo>
                                <a:pt x="19842" y="64515"/>
                                <a:pt x="19842" y="35742"/>
                                <a:pt x="7571" y="11267"/>
                              </a:cubicBezTo>
                              <a:lnTo>
                                <a:pt x="85401" y="50073"/>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199pt;margin-top:545pt;mso-wrap-style:square;z-index:10278672;mso-wrap-distance-left:9pt;mso-wrap-distance-top:0pt;mso-wrap-distance-right:9pt;mso-wrap-distance-bottom:0pt" id="shape7686" o:spid="1618382356892" path="m85401,50073l7571,88879c19842,64515,19842,35742,7571,11267l85401,50073e" stroked="f" filled="t" fillcolor="#404040"/>
            </w:pict>
          </mc:Fallback>
        </mc:AlternateContent>
      </w:r>
      <w:r>
        <mc:AlternateContent>
          <mc:Choice Requires="wps">
            <w:drawing>
              <wp:anchor distT="0" distB="0" distL="114300" distR="114300" simplePos="false" relativeHeight="10280720" behindDoc="false" locked="false" layoutInCell="true" allowOverlap="true">
                <wp:simplePos x="0" y="0"/>
                <wp:positionH relativeFrom="page">
                  <wp:posOffset>2565400</wp:posOffset>
                </wp:positionH>
                <wp:positionV relativeFrom="page">
                  <wp:posOffset>8267700</wp:posOffset>
                </wp:positionV>
                <wp:extent cx="88900" cy="88900"/>
                <wp:effectExtent l="0" t="0" r="22225" b="31115"/>
                <wp:wrapNone/>
                <wp:docPr id="7688" name="shape7688"/>
                <wp:cNvGraphicFramePr/>
                <a:graphic>
                  <a:graphicData uri="http://schemas.microsoft.com/office/word/2010/wordprocessingShape">
                    <wps:wsp>
                      <wps:cNvSpPr/>
                      <wps:spPr>
                        <a:xfrm>
                          <a:off x="0" y="0"/>
                          <a:ext cx="88900" cy="88900"/>
                        </a:xfrm>
                        <a:custGeom>
                          <a:avLst/>
                          <a:rect l="l" t="t" r="r" b="b"/>
                          <a:pathLst>
                            <a:path w="88900" h="88900">
                              <a:moveTo>
                                <a:pt x="79583" y="47514"/>
                              </a:moveTo>
                              <a:lnTo>
                                <a:pt x="1752" y="86320"/>
                              </a:lnTo>
                              <a:cubicBezTo>
                                <a:pt x="14024" y="61890"/>
                                <a:pt x="14024" y="33139"/>
                                <a:pt x="1752" y="8707"/>
                              </a:cubicBezTo>
                              <a:lnTo>
                                <a:pt x="79583" y="47514"/>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202pt;margin-top:651pt;mso-wrap-style:square;z-index:10280720;mso-wrap-distance-left:9pt;mso-wrap-distance-top:0pt;mso-wrap-distance-right:9pt;mso-wrap-distance-bottom:0pt" id="shape7688" o:spid="1618382356892" path="m79583,47514l1752,86320c14024,61890,14024,33139,1752,8707l79583,47514e" stroked="f" filled="t" fillcolor="#404040"/>
            </w:pict>
          </mc:Fallback>
        </mc:AlternateContent>
      </w:r>
      <w:r>
        <mc:AlternateContent>
          <mc:Choice Requires="wps">
            <w:drawing>
              <wp:anchor distT="0" distB="0" distL="114300" distR="114300" simplePos="false" relativeHeight="10281744" behindDoc="false" locked="false" layoutInCell="true" allowOverlap="true">
                <wp:simplePos x="0" y="0"/>
                <wp:positionH relativeFrom="page">
                  <wp:posOffset>2413000</wp:posOffset>
                </wp:positionH>
                <wp:positionV relativeFrom="page">
                  <wp:posOffset>7010400</wp:posOffset>
                </wp:positionV>
                <wp:extent cx="241300" cy="1308100"/>
                <wp:effectExtent l="0" t="0" r="22225" b="31115"/>
                <wp:wrapNone/>
                <wp:docPr id="7689" name="shape7689"/>
                <wp:cNvGraphicFramePr/>
                <a:graphic>
                  <a:graphicData uri="http://schemas.microsoft.com/office/word/2010/wordprocessingShape">
                    <wps:wsp>
                      <wps:cNvSpPr/>
                      <wps:spPr>
                        <a:xfrm>
                          <a:off x="0" y="0"/>
                          <a:ext cx="241300" cy="1308100"/>
                        </a:xfrm>
                        <a:custGeom>
                          <a:avLst/>
                          <a:rect l="l" t="t" r="r" b="b"/>
                          <a:pathLst>
                            <a:path w="241300" h="1308100">
                              <a:moveTo>
                                <a:pt x="231983" y="1304814"/>
                              </a:moveTo>
                              <a:lnTo>
                                <a:pt x="150615" y="1162102"/>
                              </a:lnTo>
                              <a:lnTo>
                                <a:pt x="87820" y="1019170"/>
                              </a:lnTo>
                              <a:lnTo>
                                <a:pt x="43708" y="876017"/>
                              </a:lnTo>
                              <a:lnTo>
                                <a:pt x="18281" y="732666"/>
                              </a:lnTo>
                              <a:lnTo>
                                <a:pt x="11570" y="589017"/>
                              </a:lnTo>
                              <a:lnTo>
                                <a:pt x="23477" y="445258"/>
                              </a:lnTo>
                              <a:lnTo>
                                <a:pt x="53990" y="301278"/>
                              </a:lnTo>
                              <a:lnTo>
                                <a:pt x="103187" y="156968"/>
                              </a:lnTo>
                              <a:lnTo>
                                <a:pt x="171067" y="12548"/>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41300,1308100" style="position:absolute;left:0;top:0;visibility:visible;mso-position-horizontal:absolute;mso-position-horizontal-relative:page;mso-position-vertical:absolute;mso-position-vertical-relative:page;width:19pt;height:103pt;margin-left:190pt;margin-top:552pt;mso-wrap-style:square;z-index:10281744;mso-wrap-distance-left:9pt;mso-wrap-distance-top:0pt;mso-wrap-distance-right:9pt;mso-wrap-distance-bottom:0pt" id="shape7689" o:spid="1618382356893" path="m231983,1304814l150615,1162102l87820,1019170l43708,876017l18281,732666l11570,589017l23477,445258l53990,301278l103187,156968l171067,12548" stroked="t" strokecolor="#404040" strokeweight="1pt"/>
            </w:pict>
          </mc:Fallback>
        </mc:AlternateContent>
      </w:r>
      <w:r>
        <mc:AlternateContent>
          <mc:Choice Requires="wps">
            <w:drawing>
              <wp:anchor distT="0" distB="0" distL="114300" distR="114300" simplePos="false" relativeHeight="10282768" behindDoc="false" locked="false" layoutInCell="true" allowOverlap="true">
                <wp:simplePos x="0" y="0"/>
                <wp:positionH relativeFrom="page">
                  <wp:posOffset>2540000</wp:posOffset>
                </wp:positionH>
                <wp:positionV relativeFrom="page">
                  <wp:posOffset>6959600</wp:posOffset>
                </wp:positionV>
                <wp:extent cx="76200" cy="101600"/>
                <wp:effectExtent l="0" t="0" r="22225" b="31115"/>
                <wp:wrapNone/>
                <wp:docPr id="7690" name="shape7690"/>
                <wp:cNvGraphicFramePr/>
                <a:graphic>
                  <a:graphicData uri="http://schemas.microsoft.com/office/word/2010/wordprocessingShape">
                    <wps:wsp>
                      <wps:cNvSpPr/>
                      <wps:spPr>
                        <a:xfrm>
                          <a:off x="0" y="0"/>
                          <a:ext cx="76200" cy="101600"/>
                        </a:xfrm>
                        <a:custGeom>
                          <a:avLst/>
                          <a:rect l="l" t="t" r="r" b="b"/>
                          <a:pathLst>
                            <a:path w="76200" h="101600">
                              <a:moveTo>
                                <a:pt x="72701" y="11973"/>
                              </a:moveTo>
                              <a:lnTo>
                                <a:pt x="68942" y="98736"/>
                              </a:lnTo>
                              <a:cubicBezTo>
                                <a:pt x="53464" y="76136"/>
                                <a:pt x="28258" y="62245"/>
                                <a:pt x="951" y="61032"/>
                              </a:cubicBezTo>
                              <a:lnTo>
                                <a:pt x="72701" y="11973"/>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76200,101600" style="position:absolute;left:0;top:0;visibility:visible;mso-position-horizontal:absolute;mso-position-horizontal-relative:page;mso-position-vertical:absolute;mso-position-vertical-relative:page;width:6pt;height:8pt;margin-left:200pt;margin-top:548pt;mso-wrap-style:square;z-index:10282768;mso-wrap-distance-left:9pt;mso-wrap-distance-top:0pt;mso-wrap-distance-right:9pt;mso-wrap-distance-bottom:0pt" id="shape7690" o:spid="1618382356893" path="m72701,11973l68942,98736c53464,76136,28258,62245,951,61032l72701,11973e" stroked="f" filled="t" fillcolor="#404040"/>
            </w:pict>
          </mc:Fallback>
        </mc:AlternateContent>
      </w:r>
      <w:r>
        <mc:AlternateContent>
          <mc:Choice Requires="wps">
            <w:drawing>
              <wp:anchor distT="0" distB="0" distL="114300" distR="114300" simplePos="false" relativeHeight="10285840" behindDoc="false" locked="false" layoutInCell="true" allowOverlap="true">
                <wp:simplePos x="0" y="0"/>
                <wp:positionH relativeFrom="page">
                  <wp:posOffset>2222500</wp:posOffset>
                </wp:positionH>
                <wp:positionV relativeFrom="page">
                  <wp:posOffset>7594600</wp:posOffset>
                </wp:positionV>
                <wp:extent cx="406400" cy="101600"/>
                <wp:effectExtent l="0" t="0" r="22225" b="31115"/>
                <wp:wrapNone/>
                <wp:docPr id="7692" name="shape7692"/>
                <wp:cNvGraphicFramePr/>
                <a:graphic>
                  <a:graphicData uri="http://schemas.microsoft.com/office/word/2010/wordprocessingShape">
                    <wps:wsp>
                      <wps:cNvSpPr/>
                      <wps:spPr>
                        <a:xfrm>
                          <a:off x="0" y="0"/>
                          <a:ext cx="406400" cy="101600"/>
                        </a:xfrm>
                        <a:custGeom>
                          <a:avLst/>
                          <a:rect l="l" t="t" r="r" b="b"/>
                          <a:pathLst>
                            <a:path w="406400" h="101600">
                              <a:moveTo>
                                <a:pt x="59952" y="72949"/>
                              </a:moveTo>
                              <a:lnTo>
                                <a:pt x="59952" y="84635"/>
                              </a:lnTo>
                              <a:lnTo>
                                <a:pt x="84827" y="84635"/>
                              </a:lnTo>
                              <a:lnTo>
                                <a:pt x="84827" y="72949"/>
                              </a:lnTo>
                              <a:close/>
                              <a:moveTo>
                                <a:pt x="30810" y="93564"/>
                              </a:moveTo>
                              <a:cubicBezTo>
                                <a:pt x="33143" y="89375"/>
                                <a:pt x="35409" y="84193"/>
                                <a:pt x="37609" y="78020"/>
                              </a:cubicBezTo>
                              <a:cubicBezTo>
                                <a:pt x="39809" y="71846"/>
                                <a:pt x="41235" y="63798"/>
                                <a:pt x="41888" y="53986"/>
                              </a:cubicBezTo>
                              <a:cubicBezTo>
                                <a:pt x="42529" y="44174"/>
                                <a:pt x="42860" y="35465"/>
                                <a:pt x="42860" y="27968"/>
                              </a:cubicBezTo>
                              <a:cubicBezTo>
                                <a:pt x="42595" y="20472"/>
                                <a:pt x="42462" y="14739"/>
                                <a:pt x="42462" y="10549"/>
                              </a:cubicBezTo>
                              <a:lnTo>
                                <a:pt x="47913" y="14408"/>
                              </a:lnTo>
                              <a:cubicBezTo>
                                <a:pt x="61378" y="11872"/>
                                <a:pt x="70510" y="9778"/>
                                <a:pt x="75308" y="8235"/>
                              </a:cubicBezTo>
                              <a:cubicBezTo>
                                <a:pt x="80106" y="6691"/>
                                <a:pt x="83401" y="5148"/>
                                <a:pt x="85225" y="3604"/>
                              </a:cubicBezTo>
                              <a:lnTo>
                                <a:pt x="91438" y="10991"/>
                              </a:lnTo>
                              <a:cubicBezTo>
                                <a:pt x="88586" y="10991"/>
                                <a:pt x="84573" y="11321"/>
                                <a:pt x="79388" y="11872"/>
                              </a:cubicBezTo>
                              <a:cubicBezTo>
                                <a:pt x="74203" y="12534"/>
                                <a:pt x="63711" y="14078"/>
                                <a:pt x="47913" y="16392"/>
                              </a:cubicBezTo>
                              <a:lnTo>
                                <a:pt x="47913" y="29181"/>
                              </a:lnTo>
                              <a:lnTo>
                                <a:pt x="68509" y="29181"/>
                              </a:lnTo>
                              <a:cubicBezTo>
                                <a:pt x="68763" y="23779"/>
                                <a:pt x="68763" y="19259"/>
                                <a:pt x="68509" y="15621"/>
                              </a:cubicBezTo>
                              <a:lnTo>
                                <a:pt x="77442" y="19480"/>
                              </a:lnTo>
                              <a:lnTo>
                                <a:pt x="74335" y="21795"/>
                              </a:lnTo>
                              <a:lnTo>
                                <a:pt x="73948" y="29181"/>
                              </a:lnTo>
                              <a:lnTo>
                                <a:pt x="86773" y="29181"/>
                              </a:lnTo>
                              <a:lnTo>
                                <a:pt x="91438" y="24551"/>
                              </a:lnTo>
                              <a:lnTo>
                                <a:pt x="98436" y="31496"/>
                              </a:lnTo>
                              <a:lnTo>
                                <a:pt x="73948" y="31496"/>
                              </a:lnTo>
                              <a:lnTo>
                                <a:pt x="73561" y="43953"/>
                              </a:lnTo>
                              <a:lnTo>
                                <a:pt x="84053" y="43953"/>
                              </a:lnTo>
                              <a:lnTo>
                                <a:pt x="87160" y="40426"/>
                              </a:lnTo>
                              <a:lnTo>
                                <a:pt x="92997" y="45056"/>
                              </a:lnTo>
                              <a:lnTo>
                                <a:pt x="90277" y="47041"/>
                              </a:lnTo>
                              <a:lnTo>
                                <a:pt x="90277" y="77247"/>
                              </a:lnTo>
                              <a:cubicBezTo>
                                <a:pt x="90277" y="82870"/>
                                <a:pt x="90399" y="87721"/>
                                <a:pt x="90664" y="91580"/>
                              </a:cubicBezTo>
                              <a:lnTo>
                                <a:pt x="84827" y="93895"/>
                              </a:lnTo>
                              <a:lnTo>
                                <a:pt x="84827" y="86949"/>
                              </a:lnTo>
                              <a:lnTo>
                                <a:pt x="59952" y="86949"/>
                              </a:lnTo>
                              <a:lnTo>
                                <a:pt x="59952" y="91910"/>
                              </a:lnTo>
                              <a:lnTo>
                                <a:pt x="54513" y="93895"/>
                              </a:lnTo>
                              <a:cubicBezTo>
                                <a:pt x="54778" y="87721"/>
                                <a:pt x="54900" y="78240"/>
                                <a:pt x="54900" y="65451"/>
                              </a:cubicBezTo>
                              <a:cubicBezTo>
                                <a:pt x="54900" y="52663"/>
                                <a:pt x="54778" y="44395"/>
                                <a:pt x="54513" y="40757"/>
                              </a:cubicBezTo>
                              <a:lnTo>
                                <a:pt x="59952" y="43953"/>
                              </a:lnTo>
                              <a:lnTo>
                                <a:pt x="68122" y="43953"/>
                              </a:lnTo>
                              <a:lnTo>
                                <a:pt x="68509" y="31496"/>
                              </a:lnTo>
                              <a:lnTo>
                                <a:pt x="58791" y="31496"/>
                              </a:lnTo>
                              <a:cubicBezTo>
                                <a:pt x="55939" y="31496"/>
                                <a:pt x="53352" y="31937"/>
                                <a:pt x="51019" y="32709"/>
                              </a:cubicBezTo>
                              <a:lnTo>
                                <a:pt x="47913" y="29512"/>
                              </a:lnTo>
                              <a:cubicBezTo>
                                <a:pt x="48167" y="43733"/>
                                <a:pt x="47393" y="55860"/>
                                <a:pt x="45580" y="65782"/>
                              </a:cubicBezTo>
                              <a:cubicBezTo>
                                <a:pt x="43767" y="75704"/>
                                <a:pt x="39223" y="85296"/>
                                <a:pt x="31971" y="94336"/>
                              </a:cubicBezTo>
                              <a:close/>
                              <a:moveTo>
                                <a:pt x="59952" y="46269"/>
                              </a:moveTo>
                              <a:lnTo>
                                <a:pt x="59952" y="57514"/>
                              </a:lnTo>
                              <a:lnTo>
                                <a:pt x="84827" y="57514"/>
                              </a:lnTo>
                              <a:lnTo>
                                <a:pt x="84827" y="46269"/>
                              </a:lnTo>
                              <a:close/>
                              <a:moveTo>
                                <a:pt x="59952" y="59829"/>
                              </a:moveTo>
                              <a:lnTo>
                                <a:pt x="59952" y="70633"/>
                              </a:lnTo>
                              <a:lnTo>
                                <a:pt x="84827" y="70633"/>
                              </a:lnTo>
                              <a:lnTo>
                                <a:pt x="84827" y="59829"/>
                              </a:lnTo>
                              <a:close/>
                              <a:moveTo>
                                <a:pt x="28477" y="4376"/>
                              </a:moveTo>
                              <a:lnTo>
                                <a:pt x="35475" y="10549"/>
                              </a:lnTo>
                              <a:cubicBezTo>
                                <a:pt x="32877" y="11652"/>
                                <a:pt x="29505" y="14408"/>
                                <a:pt x="25360" y="19149"/>
                              </a:cubicBezTo>
                              <a:cubicBezTo>
                                <a:pt x="20960" y="23779"/>
                                <a:pt x="15520" y="28519"/>
                                <a:pt x="9042" y="33480"/>
                              </a:cubicBezTo>
                              <a:lnTo>
                                <a:pt x="8268" y="32268"/>
                              </a:lnTo>
                              <a:cubicBezTo>
                                <a:pt x="13442" y="27086"/>
                                <a:pt x="17919" y="21795"/>
                                <a:pt x="21678" y="16172"/>
                              </a:cubicBezTo>
                              <a:cubicBezTo>
                                <a:pt x="25426" y="10660"/>
                                <a:pt x="27692" y="6691"/>
                                <a:pt x="28477" y="4376"/>
                              </a:cubicBezTo>
                              <a:close/>
                              <a:moveTo>
                                <a:pt x="32358" y="23338"/>
                              </a:moveTo>
                              <a:lnTo>
                                <a:pt x="39743" y="29181"/>
                              </a:lnTo>
                              <a:lnTo>
                                <a:pt x="35862" y="30725"/>
                              </a:lnTo>
                              <a:cubicBezTo>
                                <a:pt x="32490" y="35686"/>
                                <a:pt x="29505" y="39875"/>
                                <a:pt x="26918" y="43513"/>
                              </a:cubicBezTo>
                              <a:lnTo>
                                <a:pt x="26918" y="92351"/>
                              </a:lnTo>
                              <a:lnTo>
                                <a:pt x="21092" y="94336"/>
                              </a:lnTo>
                              <a:cubicBezTo>
                                <a:pt x="21346" y="88051"/>
                                <a:pt x="21479" y="82870"/>
                                <a:pt x="21479" y="78792"/>
                              </a:cubicBezTo>
                              <a:lnTo>
                                <a:pt x="21479" y="49356"/>
                              </a:lnTo>
                              <a:cubicBezTo>
                                <a:pt x="17068" y="54537"/>
                                <a:pt x="12535" y="58726"/>
                                <a:pt x="7870" y="62145"/>
                              </a:cubicBezTo>
                              <a:lnTo>
                                <a:pt x="7096" y="60931"/>
                              </a:lnTo>
                              <a:cubicBezTo>
                                <a:pt x="9694" y="58396"/>
                                <a:pt x="12989" y="54317"/>
                                <a:pt x="17013" y="48915"/>
                              </a:cubicBezTo>
                              <a:cubicBezTo>
                                <a:pt x="21026" y="43513"/>
                                <a:pt x="24332" y="38552"/>
                                <a:pt x="26918" y="34032"/>
                              </a:cubicBezTo>
                              <a:cubicBezTo>
                                <a:pt x="29505" y="29512"/>
                                <a:pt x="31330" y="25984"/>
                                <a:pt x="32358" y="23338"/>
                              </a:cubicBezTo>
                              <a:close/>
                              <a:moveTo>
                                <a:pt x="107369" y="12865"/>
                              </a:moveTo>
                              <a:lnTo>
                                <a:pt x="132244" y="12865"/>
                              </a:lnTo>
                              <a:lnTo>
                                <a:pt x="136909" y="8235"/>
                              </a:lnTo>
                              <a:lnTo>
                                <a:pt x="143520" y="14078"/>
                              </a:lnTo>
                              <a:lnTo>
                                <a:pt x="128750" y="14078"/>
                              </a:lnTo>
                              <a:lnTo>
                                <a:pt x="128750" y="37670"/>
                              </a:lnTo>
                              <a:lnTo>
                                <a:pt x="133029" y="37670"/>
                              </a:lnTo>
                              <a:lnTo>
                                <a:pt x="137296" y="33480"/>
                              </a:lnTo>
                              <a:lnTo>
                                <a:pt x="143520" y="39985"/>
                              </a:lnTo>
                              <a:lnTo>
                                <a:pt x="128750" y="39985"/>
                              </a:lnTo>
                              <a:lnTo>
                                <a:pt x="128750" y="62475"/>
                              </a:lnTo>
                              <a:lnTo>
                                <a:pt x="142360" y="56742"/>
                              </a:lnTo>
                              <a:lnTo>
                                <a:pt x="142747" y="58286"/>
                              </a:lnTo>
                              <a:cubicBezTo>
                                <a:pt x="126163" y="67326"/>
                                <a:pt x="115539" y="73500"/>
                                <a:pt x="110874" y="76807"/>
                              </a:cubicBezTo>
                              <a:lnTo>
                                <a:pt x="106595" y="69861"/>
                              </a:lnTo>
                              <a:cubicBezTo>
                                <a:pt x="112035" y="68539"/>
                                <a:pt x="117606" y="66774"/>
                                <a:pt x="123311" y="64459"/>
                              </a:cubicBezTo>
                              <a:lnTo>
                                <a:pt x="123311" y="39985"/>
                              </a:lnTo>
                              <a:lnTo>
                                <a:pt x="121752" y="39985"/>
                              </a:lnTo>
                              <a:cubicBezTo>
                                <a:pt x="118391" y="39985"/>
                                <a:pt x="115274" y="40426"/>
                                <a:pt x="112421" y="41198"/>
                              </a:cubicBezTo>
                              <a:lnTo>
                                <a:pt x="108928" y="37670"/>
                              </a:lnTo>
                              <a:lnTo>
                                <a:pt x="123311" y="37670"/>
                              </a:lnTo>
                              <a:lnTo>
                                <a:pt x="123311" y="15180"/>
                              </a:lnTo>
                              <a:lnTo>
                                <a:pt x="120204" y="15180"/>
                              </a:lnTo>
                              <a:cubicBezTo>
                                <a:pt x="116832" y="15180"/>
                                <a:pt x="113726" y="15621"/>
                                <a:pt x="110874" y="16392"/>
                              </a:cubicBezTo>
                              <a:close/>
                              <a:moveTo>
                                <a:pt x="168782" y="37670"/>
                              </a:moveTo>
                              <a:lnTo>
                                <a:pt x="168782" y="73389"/>
                              </a:lnTo>
                              <a:cubicBezTo>
                                <a:pt x="168782" y="80335"/>
                                <a:pt x="168915" y="85847"/>
                                <a:pt x="169169" y="90036"/>
                              </a:cubicBezTo>
                              <a:lnTo>
                                <a:pt x="162956" y="93123"/>
                              </a:lnTo>
                              <a:lnTo>
                                <a:pt x="163343" y="83863"/>
                              </a:lnTo>
                              <a:cubicBezTo>
                                <a:pt x="163343" y="78902"/>
                                <a:pt x="163343" y="63688"/>
                                <a:pt x="163343" y="38111"/>
                              </a:cubicBezTo>
                              <a:cubicBezTo>
                                <a:pt x="155571" y="52002"/>
                                <a:pt x="146373" y="62806"/>
                                <a:pt x="135748" y="70302"/>
                              </a:cubicBezTo>
                              <a:lnTo>
                                <a:pt x="134975" y="69090"/>
                              </a:lnTo>
                              <a:cubicBezTo>
                                <a:pt x="149479" y="54317"/>
                                <a:pt x="159971" y="36016"/>
                                <a:pt x="166449" y="14078"/>
                              </a:cubicBezTo>
                              <a:lnTo>
                                <a:pt x="155571" y="14078"/>
                              </a:lnTo>
                              <a:cubicBezTo>
                                <a:pt x="152199" y="14078"/>
                                <a:pt x="149092" y="14408"/>
                                <a:pt x="146240" y="15180"/>
                              </a:cubicBezTo>
                              <a:lnTo>
                                <a:pt x="142747" y="11762"/>
                              </a:lnTo>
                              <a:lnTo>
                                <a:pt x="185111" y="11762"/>
                              </a:lnTo>
                              <a:lnTo>
                                <a:pt x="190937" y="6691"/>
                              </a:lnTo>
                              <a:lnTo>
                                <a:pt x="197161" y="14078"/>
                              </a:lnTo>
                              <a:lnTo>
                                <a:pt x="172674" y="14078"/>
                              </a:lnTo>
                              <a:cubicBezTo>
                                <a:pt x="170595" y="20251"/>
                                <a:pt x="168395" y="26204"/>
                                <a:pt x="166063" y="31937"/>
                              </a:cubicBezTo>
                              <a:lnTo>
                                <a:pt x="171115" y="35024"/>
                              </a:lnTo>
                              <a:close/>
                              <a:moveTo>
                                <a:pt x="173834" y="40757"/>
                              </a:moveTo>
                              <a:cubicBezTo>
                                <a:pt x="183685" y="47482"/>
                                <a:pt x="189511" y="52112"/>
                                <a:pt x="191324" y="54537"/>
                              </a:cubicBezTo>
                              <a:cubicBezTo>
                                <a:pt x="193137" y="56963"/>
                                <a:pt x="194044" y="59278"/>
                                <a:pt x="194044" y="61373"/>
                              </a:cubicBezTo>
                              <a:cubicBezTo>
                                <a:pt x="194044" y="62916"/>
                                <a:pt x="193657" y="64349"/>
                                <a:pt x="192883" y="65782"/>
                              </a:cubicBezTo>
                              <a:cubicBezTo>
                                <a:pt x="192109" y="67216"/>
                                <a:pt x="191590" y="67877"/>
                                <a:pt x="191324" y="67877"/>
                              </a:cubicBezTo>
                              <a:cubicBezTo>
                                <a:pt x="190550" y="67877"/>
                                <a:pt x="189898" y="67105"/>
                                <a:pt x="189379" y="65561"/>
                              </a:cubicBezTo>
                              <a:cubicBezTo>
                                <a:pt x="188085" y="63027"/>
                                <a:pt x="186338" y="59829"/>
                                <a:pt x="184138" y="55860"/>
                              </a:cubicBezTo>
                              <a:cubicBezTo>
                                <a:pt x="181938" y="52002"/>
                                <a:pt x="178246" y="47372"/>
                                <a:pt x="173061" y="41969"/>
                              </a:cubicBezTo>
                              <a:close/>
                              <a:moveTo>
                                <a:pt x="221605" y="35024"/>
                              </a:moveTo>
                              <a:lnTo>
                                <a:pt x="265164" y="35024"/>
                              </a:lnTo>
                              <a:lnTo>
                                <a:pt x="269807" y="30284"/>
                              </a:lnTo>
                              <a:lnTo>
                                <a:pt x="276883" y="37339"/>
                              </a:lnTo>
                              <a:lnTo>
                                <a:pt x="234098" y="37339"/>
                              </a:lnTo>
                              <a:cubicBezTo>
                                <a:pt x="230450" y="37339"/>
                                <a:pt x="227465" y="37670"/>
                                <a:pt x="225143" y="38441"/>
                              </a:cubicBezTo>
                              <a:close/>
                              <a:moveTo>
                                <a:pt x="211545" y="51230"/>
                              </a:moveTo>
                              <a:lnTo>
                                <a:pt x="277656" y="51230"/>
                              </a:lnTo>
                              <a:lnTo>
                                <a:pt x="283405" y="45497"/>
                              </a:lnTo>
                              <a:lnTo>
                                <a:pt x="291586" y="53545"/>
                              </a:lnTo>
                              <a:lnTo>
                                <a:pt x="262068" y="53545"/>
                              </a:lnTo>
                              <a:lnTo>
                                <a:pt x="262068" y="79563"/>
                              </a:lnTo>
                              <a:cubicBezTo>
                                <a:pt x="261847" y="83422"/>
                                <a:pt x="264169" y="85406"/>
                                <a:pt x="269033" y="85406"/>
                              </a:cubicBezTo>
                              <a:lnTo>
                                <a:pt x="283405" y="85406"/>
                              </a:lnTo>
                              <a:cubicBezTo>
                                <a:pt x="286059" y="85075"/>
                                <a:pt x="287606" y="83863"/>
                                <a:pt x="288159" y="81657"/>
                              </a:cubicBezTo>
                              <a:cubicBezTo>
                                <a:pt x="288601" y="79453"/>
                                <a:pt x="289044" y="74492"/>
                                <a:pt x="289265" y="66774"/>
                              </a:cubicBezTo>
                              <a:lnTo>
                                <a:pt x="290812" y="66774"/>
                              </a:lnTo>
                              <a:cubicBezTo>
                                <a:pt x="291033" y="70853"/>
                                <a:pt x="291365" y="74602"/>
                                <a:pt x="291807" y="78020"/>
                              </a:cubicBezTo>
                              <a:cubicBezTo>
                                <a:pt x="292139" y="81327"/>
                                <a:pt x="293797" y="83532"/>
                                <a:pt x="296672" y="84635"/>
                              </a:cubicBezTo>
                              <a:cubicBezTo>
                                <a:pt x="294571" y="88493"/>
                                <a:pt x="290702" y="90257"/>
                                <a:pt x="284953" y="90036"/>
                              </a:cubicBezTo>
                              <a:lnTo>
                                <a:pt x="267154" y="90036"/>
                              </a:lnTo>
                              <a:cubicBezTo>
                                <a:pt x="260078" y="90257"/>
                                <a:pt x="256651" y="87390"/>
                                <a:pt x="256651" y="81547"/>
                              </a:cubicBezTo>
                              <a:lnTo>
                                <a:pt x="256651" y="53545"/>
                              </a:lnTo>
                              <a:lnTo>
                                <a:pt x="242611" y="53545"/>
                              </a:lnTo>
                              <a:cubicBezTo>
                                <a:pt x="241837" y="60821"/>
                                <a:pt x="240621" y="66995"/>
                                <a:pt x="238962" y="72176"/>
                              </a:cubicBezTo>
                              <a:cubicBezTo>
                                <a:pt x="237304" y="77358"/>
                                <a:pt x="234208" y="81547"/>
                                <a:pt x="229786" y="84745"/>
                              </a:cubicBezTo>
                              <a:cubicBezTo>
                                <a:pt x="225364" y="88051"/>
                                <a:pt x="217846" y="91138"/>
                                <a:pt x="207233" y="94336"/>
                              </a:cubicBezTo>
                              <a:lnTo>
                                <a:pt x="206901" y="92682"/>
                              </a:lnTo>
                              <a:cubicBezTo>
                                <a:pt x="219284" y="88051"/>
                                <a:pt x="227244" y="83091"/>
                                <a:pt x="230560" y="77578"/>
                              </a:cubicBezTo>
                              <a:cubicBezTo>
                                <a:pt x="233987" y="72176"/>
                                <a:pt x="235977" y="64129"/>
                                <a:pt x="236751" y="53545"/>
                              </a:cubicBezTo>
                              <a:lnTo>
                                <a:pt x="220057" y="53545"/>
                              </a:lnTo>
                              <a:lnTo>
                                <a:pt x="214640" y="54317"/>
                              </a:lnTo>
                              <a:close/>
                              <a:moveTo>
                                <a:pt x="244600" y="4376"/>
                              </a:moveTo>
                              <a:lnTo>
                                <a:pt x="245374" y="3604"/>
                              </a:lnTo>
                              <a:cubicBezTo>
                                <a:pt x="249797" y="5699"/>
                                <a:pt x="252782" y="7463"/>
                                <a:pt x="254330" y="9007"/>
                              </a:cubicBezTo>
                              <a:cubicBezTo>
                                <a:pt x="255877" y="10549"/>
                                <a:pt x="256651" y="11983"/>
                                <a:pt x="256651" y="13306"/>
                              </a:cubicBezTo>
                              <a:cubicBezTo>
                                <a:pt x="256651" y="14519"/>
                                <a:pt x="256098" y="15952"/>
                                <a:pt x="255103" y="17495"/>
                              </a:cubicBezTo>
                              <a:cubicBezTo>
                                <a:pt x="253998" y="19149"/>
                                <a:pt x="253224" y="19921"/>
                                <a:pt x="252782" y="19921"/>
                              </a:cubicBezTo>
                              <a:cubicBezTo>
                                <a:pt x="252008" y="19921"/>
                                <a:pt x="251344" y="18598"/>
                                <a:pt x="250792" y="15952"/>
                              </a:cubicBezTo>
                              <a:cubicBezTo>
                                <a:pt x="249797" y="12424"/>
                                <a:pt x="247696" y="8455"/>
                                <a:pt x="244600" y="4376"/>
                              </a:cubicBezTo>
                              <a:close/>
                              <a:moveTo>
                                <a:pt x="281084" y="31496"/>
                              </a:moveTo>
                              <a:lnTo>
                                <a:pt x="284953" y="22235"/>
                              </a:lnTo>
                              <a:lnTo>
                                <a:pt x="220500" y="22235"/>
                              </a:lnTo>
                              <a:cubicBezTo>
                                <a:pt x="220942" y="24220"/>
                                <a:pt x="221274" y="25653"/>
                                <a:pt x="221274" y="26425"/>
                              </a:cubicBezTo>
                              <a:cubicBezTo>
                                <a:pt x="221274" y="27968"/>
                                <a:pt x="220610" y="29512"/>
                                <a:pt x="219284" y="30945"/>
                              </a:cubicBezTo>
                              <a:cubicBezTo>
                                <a:pt x="218068" y="32378"/>
                                <a:pt x="216409" y="32929"/>
                                <a:pt x="214640" y="32709"/>
                              </a:cubicBezTo>
                              <a:cubicBezTo>
                                <a:pt x="212871" y="32378"/>
                                <a:pt x="211876" y="32047"/>
                                <a:pt x="211876" y="31496"/>
                              </a:cubicBezTo>
                              <a:cubicBezTo>
                                <a:pt x="211876" y="30725"/>
                                <a:pt x="212208" y="30063"/>
                                <a:pt x="212650" y="29512"/>
                              </a:cubicBezTo>
                              <a:cubicBezTo>
                                <a:pt x="213977" y="27968"/>
                                <a:pt x="215083" y="26094"/>
                                <a:pt x="215967" y="23779"/>
                              </a:cubicBezTo>
                              <a:cubicBezTo>
                                <a:pt x="216962" y="21464"/>
                                <a:pt x="217625" y="18598"/>
                                <a:pt x="218178" y="15180"/>
                              </a:cubicBezTo>
                              <a:lnTo>
                                <a:pt x="220057" y="15180"/>
                              </a:lnTo>
                              <a:lnTo>
                                <a:pt x="220500" y="19921"/>
                              </a:lnTo>
                              <a:lnTo>
                                <a:pt x="284179" y="19921"/>
                              </a:lnTo>
                              <a:lnTo>
                                <a:pt x="287275" y="15952"/>
                              </a:lnTo>
                              <a:lnTo>
                                <a:pt x="294350" y="22566"/>
                              </a:lnTo>
                              <a:cubicBezTo>
                                <a:pt x="290481" y="23117"/>
                                <a:pt x="286390" y="26315"/>
                                <a:pt x="282300" y="32268"/>
                              </a:cubicBezTo>
                              <a:close/>
                              <a:moveTo>
                                <a:pt x="325416" y="93564"/>
                              </a:moveTo>
                              <a:cubicBezTo>
                                <a:pt x="325637" y="88382"/>
                                <a:pt x="325858" y="83422"/>
                                <a:pt x="325858" y="78571"/>
                              </a:cubicBezTo>
                              <a:cubicBezTo>
                                <a:pt x="325858" y="73831"/>
                                <a:pt x="325637" y="68980"/>
                                <a:pt x="325416" y="64019"/>
                              </a:cubicBezTo>
                              <a:lnTo>
                                <a:pt x="331275" y="67105"/>
                              </a:lnTo>
                              <a:lnTo>
                                <a:pt x="370080" y="67105"/>
                              </a:lnTo>
                              <a:lnTo>
                                <a:pt x="372844" y="63688"/>
                              </a:lnTo>
                              <a:lnTo>
                                <a:pt x="379035" y="68318"/>
                              </a:lnTo>
                              <a:lnTo>
                                <a:pt x="375940" y="70633"/>
                              </a:lnTo>
                              <a:lnTo>
                                <a:pt x="375940" y="81547"/>
                              </a:lnTo>
                              <a:cubicBezTo>
                                <a:pt x="375940" y="84635"/>
                                <a:pt x="376050" y="87941"/>
                                <a:pt x="376382" y="91580"/>
                              </a:cubicBezTo>
                              <a:lnTo>
                                <a:pt x="370854" y="93564"/>
                              </a:lnTo>
                              <a:lnTo>
                                <a:pt x="370854" y="87721"/>
                              </a:lnTo>
                              <a:lnTo>
                                <a:pt x="330833" y="87721"/>
                              </a:lnTo>
                              <a:lnTo>
                                <a:pt x="330833" y="91580"/>
                              </a:lnTo>
                              <a:close/>
                              <a:moveTo>
                                <a:pt x="330833" y="69531"/>
                              </a:moveTo>
                              <a:lnTo>
                                <a:pt x="330833" y="85406"/>
                              </a:lnTo>
                              <a:lnTo>
                                <a:pt x="370854" y="85406"/>
                              </a:lnTo>
                              <a:lnTo>
                                <a:pt x="370854" y="69531"/>
                              </a:lnTo>
                              <a:close/>
                              <a:moveTo>
                                <a:pt x="311376" y="17936"/>
                              </a:moveTo>
                              <a:lnTo>
                                <a:pt x="338683" y="17936"/>
                              </a:lnTo>
                              <a:cubicBezTo>
                                <a:pt x="338130" y="13526"/>
                                <a:pt x="335919" y="9007"/>
                                <a:pt x="332049" y="4376"/>
                              </a:cubicBezTo>
                              <a:lnTo>
                                <a:pt x="332823" y="3604"/>
                              </a:lnTo>
                              <a:cubicBezTo>
                                <a:pt x="337467" y="5699"/>
                                <a:pt x="340562" y="7463"/>
                                <a:pt x="341889" y="9007"/>
                              </a:cubicBezTo>
                              <a:cubicBezTo>
                                <a:pt x="343326" y="10549"/>
                                <a:pt x="344100" y="11762"/>
                                <a:pt x="344100" y="12534"/>
                              </a:cubicBezTo>
                              <a:cubicBezTo>
                                <a:pt x="344100" y="14078"/>
                                <a:pt x="343215" y="15841"/>
                                <a:pt x="341336" y="17936"/>
                              </a:cubicBezTo>
                              <a:lnTo>
                                <a:pt x="355708" y="17936"/>
                              </a:lnTo>
                              <a:cubicBezTo>
                                <a:pt x="357256" y="15621"/>
                                <a:pt x="358693" y="13306"/>
                                <a:pt x="360020" y="11101"/>
                              </a:cubicBezTo>
                              <a:cubicBezTo>
                                <a:pt x="361346" y="9007"/>
                                <a:pt x="362452" y="6250"/>
                                <a:pt x="363557" y="3164"/>
                              </a:cubicBezTo>
                              <a:lnTo>
                                <a:pt x="370522" y="8235"/>
                              </a:lnTo>
                              <a:cubicBezTo>
                                <a:pt x="368643" y="8786"/>
                                <a:pt x="366764" y="9888"/>
                                <a:pt x="364884" y="11541"/>
                              </a:cubicBezTo>
                              <a:cubicBezTo>
                                <a:pt x="362894" y="13196"/>
                                <a:pt x="360683" y="15400"/>
                                <a:pt x="358030" y="17936"/>
                              </a:cubicBezTo>
                              <a:lnTo>
                                <a:pt x="376382" y="17936"/>
                              </a:lnTo>
                              <a:lnTo>
                                <a:pt x="381799" y="12534"/>
                              </a:lnTo>
                              <a:lnTo>
                                <a:pt x="389538" y="20251"/>
                              </a:lnTo>
                              <a:lnTo>
                                <a:pt x="353386" y="20251"/>
                              </a:lnTo>
                              <a:lnTo>
                                <a:pt x="353386" y="28409"/>
                              </a:lnTo>
                              <a:lnTo>
                                <a:pt x="371296" y="28409"/>
                              </a:lnTo>
                              <a:lnTo>
                                <a:pt x="375940" y="23779"/>
                              </a:lnTo>
                              <a:lnTo>
                                <a:pt x="382904" y="30725"/>
                              </a:lnTo>
                              <a:lnTo>
                                <a:pt x="353386" y="30725"/>
                              </a:lnTo>
                              <a:lnTo>
                                <a:pt x="353386" y="38441"/>
                              </a:lnTo>
                              <a:lnTo>
                                <a:pt x="380251" y="38441"/>
                              </a:lnTo>
                              <a:lnTo>
                                <a:pt x="385226" y="33480"/>
                              </a:lnTo>
                              <a:lnTo>
                                <a:pt x="392633" y="40757"/>
                              </a:lnTo>
                              <a:lnTo>
                                <a:pt x="353386" y="40757"/>
                              </a:lnTo>
                              <a:lnTo>
                                <a:pt x="353386" y="56742"/>
                              </a:lnTo>
                              <a:lnTo>
                                <a:pt x="363557" y="56742"/>
                              </a:lnTo>
                              <a:cubicBezTo>
                                <a:pt x="365105" y="53876"/>
                                <a:pt x="366432" y="51120"/>
                                <a:pt x="367537" y="48364"/>
                              </a:cubicBezTo>
                              <a:cubicBezTo>
                                <a:pt x="368754" y="45608"/>
                                <a:pt x="369638" y="43292"/>
                                <a:pt x="370080" y="41198"/>
                              </a:cubicBezTo>
                              <a:lnTo>
                                <a:pt x="377156" y="45828"/>
                              </a:lnTo>
                              <a:cubicBezTo>
                                <a:pt x="374724" y="46820"/>
                                <a:pt x="372623" y="48474"/>
                                <a:pt x="370744" y="50458"/>
                              </a:cubicBezTo>
                              <a:cubicBezTo>
                                <a:pt x="368754" y="52553"/>
                                <a:pt x="366985" y="54647"/>
                                <a:pt x="365437" y="56742"/>
                              </a:cubicBezTo>
                              <a:lnTo>
                                <a:pt x="382131" y="56742"/>
                              </a:lnTo>
                              <a:lnTo>
                                <a:pt x="387990" y="50899"/>
                              </a:lnTo>
                              <a:lnTo>
                                <a:pt x="396171" y="59057"/>
                              </a:lnTo>
                              <a:lnTo>
                                <a:pt x="319225" y="59057"/>
                              </a:lnTo>
                              <a:cubicBezTo>
                                <a:pt x="315798" y="59057"/>
                                <a:pt x="312702" y="59388"/>
                                <a:pt x="309828" y="60160"/>
                              </a:cubicBezTo>
                              <a:lnTo>
                                <a:pt x="306401" y="56742"/>
                              </a:lnTo>
                              <a:lnTo>
                                <a:pt x="347969" y="56742"/>
                              </a:lnTo>
                              <a:lnTo>
                                <a:pt x="347969" y="40757"/>
                              </a:lnTo>
                              <a:lnTo>
                                <a:pt x="321105" y="40757"/>
                              </a:lnTo>
                              <a:cubicBezTo>
                                <a:pt x="317788" y="40757"/>
                                <a:pt x="314692" y="41198"/>
                                <a:pt x="311818" y="41969"/>
                              </a:cubicBezTo>
                              <a:lnTo>
                                <a:pt x="308280" y="38441"/>
                              </a:lnTo>
                              <a:lnTo>
                                <a:pt x="347969" y="38441"/>
                              </a:lnTo>
                              <a:lnTo>
                                <a:pt x="347969" y="30725"/>
                              </a:lnTo>
                              <a:lnTo>
                                <a:pt x="331275" y="30725"/>
                              </a:lnTo>
                              <a:cubicBezTo>
                                <a:pt x="327848" y="30725"/>
                                <a:pt x="324753" y="31055"/>
                                <a:pt x="321878" y="31937"/>
                              </a:cubicBezTo>
                              <a:lnTo>
                                <a:pt x="318451" y="28409"/>
                              </a:lnTo>
                              <a:lnTo>
                                <a:pt x="347969" y="28409"/>
                              </a:lnTo>
                              <a:lnTo>
                                <a:pt x="347969" y="20251"/>
                              </a:lnTo>
                              <a:lnTo>
                                <a:pt x="324200" y="20251"/>
                              </a:lnTo>
                              <a:cubicBezTo>
                                <a:pt x="320883" y="20251"/>
                                <a:pt x="317788" y="20692"/>
                                <a:pt x="314913" y="21464"/>
                              </a:cubicBezTo>
                              <a:close/>
                              <a:moveTo>
                                <a:pt x="327406" y="41198"/>
                              </a:moveTo>
                              <a:cubicBezTo>
                                <a:pt x="332271" y="44284"/>
                                <a:pt x="335034" y="46490"/>
                                <a:pt x="335698" y="47812"/>
                              </a:cubicBezTo>
                              <a:cubicBezTo>
                                <a:pt x="336361" y="49025"/>
                                <a:pt x="336693" y="50238"/>
                                <a:pt x="336693" y="51230"/>
                              </a:cubicBezTo>
                              <a:cubicBezTo>
                                <a:pt x="336693" y="52553"/>
                                <a:pt x="336250" y="53765"/>
                                <a:pt x="335366" y="54757"/>
                              </a:cubicBezTo>
                              <a:cubicBezTo>
                                <a:pt x="334371" y="55750"/>
                                <a:pt x="333708" y="56301"/>
                                <a:pt x="333155" y="56301"/>
                              </a:cubicBezTo>
                              <a:cubicBezTo>
                                <a:pt x="332160" y="56301"/>
                                <a:pt x="331386" y="54978"/>
                                <a:pt x="330833" y="52443"/>
                              </a:cubicBezTo>
                              <a:cubicBezTo>
                                <a:pt x="330059" y="48804"/>
                                <a:pt x="328512" y="45277"/>
                                <a:pt x="326190" y="41969"/>
                              </a:cubicBezTo>
                              <a:close/>
                            </a:path>
                          </a:pathLst>
                        </a:custGeom>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06400,101600" style="position:absolute;left:0;top:0;visibility:visible;mso-position-horizontal:absolute;mso-position-horizontal-relative:page;mso-position-vertical:absolute;mso-position-vertical-relative:page;width:32pt;height:8pt;margin-left:175pt;margin-top:598pt;mso-wrap-style:square;z-index:10285840;mso-wrap-distance-left:9pt;mso-wrap-distance-top:0pt;mso-wrap-distance-right:9pt;mso-wrap-distance-bottom:0pt" id="shape7692" o:spid="1618382356895" path="m59952,72949l59952,84635l84827,84635l84827,72949em30810,93564c33143,89375,35409,84193,37609,78020c39809,71846,41235,63798,41888,53986c42529,44174,42860,35465,42860,27968c42595,20472,42462,14739,42462,10549l47913,14408c61378,11872,70510,9778,75308,8235c80106,6691,83401,5148,85225,3604l91438,10991c88586,10991,84573,11321,79388,11872c74203,12534,63711,14078,47913,16392l47913,29181l68509,29181c68763,23779,68763,19259,68509,15621l77442,19480l74335,21795l73948,29181l86773,29181l91438,24551l98436,31496l73948,31496l73561,43953l84053,43953l87160,40426l92997,45056l90277,47041l90277,77247c90277,82870,90399,87721,90664,91580l84827,93895l84827,86949l59952,86949l59952,91910l54513,93895c54778,87721,54900,78240,54900,65451c54900,52663,54778,44395,54513,40757l59952,43953l68122,43953l68509,31496l58791,31496c55939,31496,53352,31937,51019,32709l47913,29512c48167,43733,47393,55860,45580,65782c43767,75704,39223,85296,31971,94336em59952,46269l59952,57514l84827,57514l84827,46269em59952,59829l59952,70633l84827,70633l84827,59829em28477,4376l35475,10549c32877,11652,29505,14408,25360,19149c20960,23779,15520,28519,9042,33480l8268,32268c13442,27086,17919,21795,21678,16172c25426,10660,27692,6691,28477,4376em32358,23338l39743,29181l35862,30725c32490,35686,29505,39875,26918,43513l26918,92351l21092,94336c21346,88051,21479,82870,21479,78792l21479,49356c17068,54537,12535,58726,7870,62145l7096,60931c9694,58396,12989,54317,17013,48915c21026,43513,24332,38552,26918,34032c29505,29512,31330,25984,32358,23338em107369,12865l132244,12865l136909,8235l143520,14078l128750,14078l128750,37670l133029,37670l137296,33480l143520,39985l128750,39985l128750,62475l142360,56742l142747,58286c126163,67326,115539,73500,110874,76807l106595,69861c112035,68539,117606,66774,123311,64459l123311,39985l121752,39985c118391,39985,115274,40426,112421,41198l108928,37670l123311,37670l123311,15180l120204,15180c116832,15180,113726,15621,110874,16392em168782,37670l168782,73389c168782,80335,168915,85847,169169,90036l162956,93123l163343,83863c163343,78902,163343,63688,163343,38111c155571,52002,146373,62806,135748,70302l134975,69090c149479,54317,159971,36016,166449,14078l155571,14078c152199,14078,149092,14408,146240,15180l142747,11762l185111,11762l190937,6691l197161,14078l172674,14078c170595,20251,168395,26204,166063,31937l171115,35024em173834,40757c183685,47482,189511,52112,191324,54537c193137,56963,194044,59278,194044,61373c194044,62916,193657,64349,192883,65782c192109,67216,191590,67877,191324,67877c190550,67877,189898,67105,189379,65561c188085,63027,186338,59829,184138,55860c181938,52002,178246,47372,173061,41969em221605,35024l265164,35024l269807,30284l276883,37339l234098,37339c230450,37339,227465,37670,225143,38441em211545,51230l277656,51230l283405,45497l291586,53545l262068,53545l262068,79563c261847,83422,264169,85406,269033,85406l283405,85406c286059,85075,287606,83863,288159,81657c288601,79453,289044,74492,289265,66774l290812,66774c291033,70853,291365,74602,291807,78020c292139,81327,293797,83532,296672,84635c294571,88493,290702,90257,284953,90036l267154,90036c260078,90257,256651,87390,256651,81547l256651,53545l242611,53545c241837,60821,240621,66995,238962,72176c237304,77358,234208,81547,229786,84745c225364,88051,217846,91138,207233,94336l206901,92682c219284,88051,227244,83091,230560,77578c233987,72176,235977,64129,236751,53545l220057,53545l214640,54317em244600,4376l245374,3604c249797,5699,252782,7463,254330,9007c255877,10549,256651,11983,256651,13306c256651,14519,256098,15952,255103,17495c253998,19149,253224,19921,252782,19921c252008,19921,251344,18598,250792,15952c249797,12424,247696,8455,244600,4376em281084,31496l284953,22235l220500,22235c220942,24220,221274,25653,221274,26425c221274,27968,220610,29512,219284,30945c218068,32378,216409,32929,214640,32709c212871,32378,211876,32047,211876,31496c211876,30725,212208,30063,212650,29512c213977,27968,215083,26094,215967,23779c216962,21464,217625,18598,218178,15180l220057,15180l220500,19921l284179,19921l287275,15952l294350,22566c290481,23117,286390,26315,282300,32268em325416,93564c325637,88382,325858,83422,325858,78571c325858,73831,325637,68980,325416,64019l331275,67105l370080,67105l372844,63688l379035,68318l375940,70633l375940,81547c375940,84635,376050,87941,376382,91580l370854,93564l370854,87721l330833,87721l330833,91580em330833,69531l330833,85406l370854,85406l370854,69531em311376,17936l338683,17936c338130,13526,335919,9007,332049,4376l332823,3604c337467,5699,340562,7463,341889,9007c343326,10549,344100,11762,344100,12534c344100,14078,343215,15841,341336,17936l355708,17936c357256,15621,358693,13306,360020,11101c361346,9007,362452,6250,363557,3164l370522,8235c368643,8786,366764,9888,364884,11541c362894,13196,360683,15400,358030,17936l376382,17936l381799,12534l389538,20251l353386,20251l353386,28409l371296,28409l375940,23779l382904,30725l353386,30725l353386,38441l380251,38441l385226,33480l392633,40757l353386,40757l353386,56742l363557,56742c365105,53876,366432,51120,367537,48364c368754,45608,369638,43292,370080,41198l377156,45828c374724,46820,372623,48474,370744,50458c368754,52553,366985,54647,365437,56742l382131,56742l387990,50899l396171,59057l319225,59057c315798,59057,312702,59388,309828,60160l306401,56742l347969,56742l347969,40757l321105,40757c317788,40757,314692,41198,311818,41969l308280,38441l347969,38441l347969,30725l331275,30725c327848,30725,324753,31055,321878,31937l318451,28409l347969,28409l347969,20251l324200,20251c320883,20251,317788,20692,314913,21464em327406,41198c332271,44284,335034,46490,335698,47812c336361,49025,336693,50238,336693,51230c336693,52553,336250,53765,335366,54757c334371,55750,333708,56301,333155,56301c332160,56301,331386,54978,330833,52443c330059,48804,328512,45277,326190,41969e" stroked="f"/>
            </w:pict>
          </mc:Fallback>
        </mc:AlternateContent>
      </w:r>
      <w:r>
        <mc:AlternateContent>
          <mc:Choice Requires="wps">
            <w:drawing>
              <wp:anchor distT="0" distB="0" distL="114300" distR="114300" simplePos="false" relativeHeight="10288912" behindDoc="true" locked="false" layoutInCell="true" allowOverlap="true">
                <wp:simplePos x="0" y="0"/>
                <wp:positionH relativeFrom="page">
                  <wp:posOffset>4457700</wp:posOffset>
                </wp:positionH>
                <wp:positionV relativeFrom="page">
                  <wp:posOffset>7670800</wp:posOffset>
                </wp:positionV>
                <wp:extent cx="914400" cy="266700"/>
                <wp:effectExtent l="0" t="0" r="22225" b="31115"/>
                <wp:wrapNone/>
                <wp:docPr id="7694" name="shape7694"/>
                <wp:cNvGraphicFramePr/>
                <a:graphic>
                  <a:graphicData uri="http://schemas.microsoft.com/office/word/2010/wordprocessingShape">
                    <wps:wsp>
                      <wps:cNvSpPr/>
                      <wps:spPr>
                        <a:xfrm>
                          <a:off x="0" y="0"/>
                          <a:ext cx="914400" cy="266700"/>
                        </a:xfrm>
                        <a:prstGeom prst="rect">
                          <a:avLst/>
                        </a:pr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2pt;height:21pt;margin-left:351pt;margin-top:604pt;mso-wrap-style:square;z-index:10288912;mso-wrap-distance-left:9pt;mso-wrap-distance-top:0pt;mso-wrap-distance-right:9pt;mso-wrap-distance-bottom:0pt" id="shape7694" o:spid="1618382356895" stroked="t" strokecolor="#404040" strokeweight="1pt"/>
            </w:pict>
          </mc:Fallback>
        </mc:AlternateContent>
      </w:r>
      <w:r>
        <mc:AlternateContent>
          <mc:Choice Requires="wps">
            <w:drawing>
              <wp:anchor distT="0" distB="0" distL="114300" distR="114300" simplePos="false" relativeHeight="10295056" behindDoc="true" locked="false" layoutInCell="true" allowOverlap="true">
                <wp:simplePos x="0" y="0"/>
                <wp:positionH relativeFrom="page">
                  <wp:posOffset>4457700</wp:posOffset>
                </wp:positionH>
                <wp:positionV relativeFrom="page">
                  <wp:posOffset>7086600</wp:posOffset>
                </wp:positionV>
                <wp:extent cx="914400" cy="266700"/>
                <wp:effectExtent l="0" t="0" r="22225" b="31115"/>
                <wp:wrapNone/>
                <wp:docPr id="7698" name="shape7698"/>
                <wp:cNvGraphicFramePr/>
                <a:graphic>
                  <a:graphicData uri="http://schemas.microsoft.com/office/word/2010/wordprocessingShape">
                    <wps:wsp>
                      <wps:cNvSpPr/>
                      <wps:spPr>
                        <a:xfrm>
                          <a:off x="0" y="0"/>
                          <a:ext cx="914400" cy="266700"/>
                        </a:xfrm>
                        <a:prstGeom prst="rect">
                          <a:avLst/>
                        </a:pr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2pt;height:21pt;margin-left:351pt;margin-top:558pt;mso-wrap-style:square;z-index:10295056;mso-wrap-distance-left:9pt;mso-wrap-distance-top:0pt;mso-wrap-distance-right:9pt;mso-wrap-distance-bottom:0pt" id="shape7698" o:spid="1618382356895" stroked="t" strokecolor="#404040" strokeweight="1pt"/>
            </w:pict>
          </mc:Fallback>
        </mc:AlternateContent>
      </w:r>
      <w:r>
        <mc:AlternateContent>
          <mc:Choice Requires="wps">
            <w:drawing>
              <wp:anchor distT="0" distB="0" distL="114300" distR="114300" simplePos="false" relativeHeight="10317584" behindDoc="false" locked="false" layoutInCell="true" allowOverlap="true">
                <wp:simplePos x="0" y="0"/>
                <wp:positionH relativeFrom="page">
                  <wp:posOffset>4813300</wp:posOffset>
                </wp:positionH>
                <wp:positionV relativeFrom="page">
                  <wp:posOffset>5753100</wp:posOffset>
                </wp:positionV>
                <wp:extent cx="12700" cy="139700"/>
                <wp:effectExtent l="0" t="0" r="22225" b="31115"/>
                <wp:wrapNone/>
                <wp:docPr id="7713" name="shape7713"/>
                <wp:cNvGraphicFramePr/>
                <a:graphic>
                  <a:graphicData uri="http://schemas.microsoft.com/office/word/2010/wordprocessingShape">
                    <wps:wsp>
                      <wps:cNvSpPr/>
                      <wps:spPr>
                        <a:xfrm>
                          <a:off x="0" y="0"/>
                          <a:ext cx="12700" cy="139700"/>
                        </a:xfrm>
                        <a:custGeom>
                          <a:avLst/>
                          <a:rect l="l" t="t" r="r" b="b"/>
                          <a:pathLst>
                            <a:path w="12700" h="139700">
                              <a:moveTo>
                                <a:pt x="8725" y="268"/>
                              </a:moveTo>
                              <a:lnTo>
                                <a:pt x="8725" y="134988"/>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39700" style="position:absolute;left:0;top:0;visibility:visible;mso-position-horizontal:absolute;mso-position-horizontal-relative:page;mso-position-vertical:absolute;mso-position-vertical-relative:page;width:1pt;height:11pt;margin-left:379pt;margin-top:453pt;mso-wrap-style:square;z-index:10317584;mso-wrap-distance-left:9pt;mso-wrap-distance-top:0pt;mso-wrap-distance-right:9pt;mso-wrap-distance-bottom:0pt" id="shape7713" o:spid="1618382356896" path="m8725,268l8725,134988" stroked="t" strokecolor="#404040" strokeweight="1pt"/>
            </w:pict>
          </mc:Fallback>
        </mc:AlternateContent>
      </w:r>
      <w:r>
        <mc:AlternateContent>
          <mc:Choice Requires="wps">
            <w:drawing>
              <wp:anchor distT="0" distB="0" distL="114300" distR="114300" simplePos="false" relativeHeight="10318608" behindDoc="false" locked="false" layoutInCell="true" allowOverlap="true">
                <wp:simplePos x="0" y="0"/>
                <wp:positionH relativeFrom="page">
                  <wp:posOffset>4775200</wp:posOffset>
                </wp:positionH>
                <wp:positionV relativeFrom="page">
                  <wp:posOffset>5867400</wp:posOffset>
                </wp:positionV>
                <wp:extent cx="88900" cy="88900"/>
                <wp:effectExtent l="0" t="0" r="22225" b="31115"/>
                <wp:wrapNone/>
                <wp:docPr id="7714" name="shape7714"/>
                <wp:cNvGraphicFramePr/>
                <a:graphic>
                  <a:graphicData uri="http://schemas.microsoft.com/office/word/2010/wordprocessingShape">
                    <wps:wsp>
                      <wps:cNvSpPr/>
                      <wps:spPr>
                        <a:xfrm>
                          <a:off x="0" y="0"/>
                          <a:ext cx="88900" cy="88900"/>
                        </a:xfrm>
                        <a:custGeom>
                          <a:avLst/>
                          <a:rect l="l" t="t" r="r" b="b"/>
                          <a:pathLst>
                            <a:path w="88900" h="88900">
                              <a:moveTo>
                                <a:pt x="46825" y="79448"/>
                              </a:moveTo>
                              <a:lnTo>
                                <a:pt x="7910" y="1836"/>
                              </a:lnTo>
                              <a:cubicBezTo>
                                <a:pt x="32453" y="14073"/>
                                <a:pt x="61308" y="14073"/>
                                <a:pt x="85741" y="1836"/>
                              </a:cubicBezTo>
                              <a:lnTo>
                                <a:pt x="46825" y="79448"/>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76pt;margin-top:462pt;mso-wrap-style:square;z-index:10318608;mso-wrap-distance-left:9pt;mso-wrap-distance-top:0pt;mso-wrap-distance-right:9pt;mso-wrap-distance-bottom:0pt" id="shape7714" o:spid="1618382356896" path="m46825,79448l7910,1836c32453,14073,61308,14073,85741,1836l46825,79448e" stroked="f" filled="t" fillcolor="#404040"/>
            </w:pict>
          </mc:Fallback>
        </mc:AlternateContent>
      </w:r>
      <w:r>
        <mc:AlternateContent>
          <mc:Choice Requires="wps">
            <w:drawing>
              <wp:anchor distT="0" distB="0" distL="114300" distR="114300" simplePos="false" relativeHeight="10319632" behindDoc="false" locked="false" layoutInCell="true" allowOverlap="true">
                <wp:simplePos x="0" y="0"/>
                <wp:positionH relativeFrom="page">
                  <wp:posOffset>4813300</wp:posOffset>
                </wp:positionH>
                <wp:positionV relativeFrom="page">
                  <wp:posOffset>6184900</wp:posOffset>
                </wp:positionV>
                <wp:extent cx="12700" cy="139700"/>
                <wp:effectExtent l="0" t="0" r="22225" b="31115"/>
                <wp:wrapNone/>
                <wp:docPr id="7715" name="shape7715"/>
                <wp:cNvGraphicFramePr/>
                <a:graphic>
                  <a:graphicData uri="http://schemas.microsoft.com/office/word/2010/wordprocessingShape">
                    <wps:wsp>
                      <wps:cNvSpPr/>
                      <wps:spPr>
                        <a:xfrm>
                          <a:off x="0" y="0"/>
                          <a:ext cx="12700" cy="139700"/>
                        </a:xfrm>
                        <a:custGeom>
                          <a:avLst/>
                          <a:rect l="l" t="t" r="r" b="b"/>
                          <a:pathLst>
                            <a:path w="12700" h="139700">
                              <a:moveTo>
                                <a:pt x="8725" y="12645"/>
                              </a:moveTo>
                              <a:lnTo>
                                <a:pt x="8725" y="129284"/>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39700" style="position:absolute;left:0;top:0;visibility:visible;mso-position-horizontal:absolute;mso-position-horizontal-relative:page;mso-position-vertical:absolute;mso-position-vertical-relative:page;width:1pt;height:11pt;margin-left:379pt;margin-top:487pt;mso-wrap-style:square;z-index:10319632;mso-wrap-distance-left:9pt;mso-wrap-distance-top:0pt;mso-wrap-distance-right:9pt;mso-wrap-distance-bottom:0pt" id="shape7715" o:spid="1618382356897" path="m8725,12645l8725,129284" stroked="t" strokecolor="#404040" strokeweight="1pt"/>
            </w:pict>
          </mc:Fallback>
        </mc:AlternateContent>
      </w:r>
      <w:r>
        <mc:AlternateContent>
          <mc:Choice Requires="wps">
            <w:drawing>
              <wp:anchor distT="0" distB="0" distL="114300" distR="114300" simplePos="false" relativeHeight="10320656" behindDoc="false" locked="false" layoutInCell="true" allowOverlap="true">
                <wp:simplePos x="0" y="0"/>
                <wp:positionH relativeFrom="page">
                  <wp:posOffset>4775200</wp:posOffset>
                </wp:positionH>
                <wp:positionV relativeFrom="page">
                  <wp:posOffset>6286500</wp:posOffset>
                </wp:positionV>
                <wp:extent cx="88900" cy="88900"/>
                <wp:effectExtent l="0" t="0" r="22225" b="31115"/>
                <wp:wrapNone/>
                <wp:docPr id="7716" name="shape7716"/>
                <wp:cNvGraphicFramePr/>
                <a:graphic>
                  <a:graphicData uri="http://schemas.microsoft.com/office/word/2010/wordprocessingShape">
                    <wps:wsp>
                      <wps:cNvSpPr/>
                      <wps:spPr>
                        <a:xfrm>
                          <a:off x="0" y="0"/>
                          <a:ext cx="88900" cy="88900"/>
                        </a:xfrm>
                        <a:custGeom>
                          <a:avLst/>
                          <a:rect l="l" t="t" r="r" b="b"/>
                          <a:pathLst>
                            <a:path w="88900" h="88900">
                              <a:moveTo>
                                <a:pt x="46825" y="86444"/>
                              </a:moveTo>
                              <a:lnTo>
                                <a:pt x="7910" y="8832"/>
                              </a:lnTo>
                              <a:cubicBezTo>
                                <a:pt x="32453" y="21069"/>
                                <a:pt x="61308" y="21069"/>
                                <a:pt x="85741" y="8832"/>
                              </a:cubicBezTo>
                              <a:lnTo>
                                <a:pt x="46825" y="86444"/>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76pt;margin-top:495pt;mso-wrap-style:square;z-index:10320656;mso-wrap-distance-left:9pt;mso-wrap-distance-top:0pt;mso-wrap-distance-right:9pt;mso-wrap-distance-bottom:0pt" id="shape7716" o:spid="1618382356897" path="m46825,86444l7910,8832c32453,21069,61308,21069,85741,8832l46825,86444e" stroked="f" filled="t" fillcolor="#404040"/>
            </w:pict>
          </mc:Fallback>
        </mc:AlternateContent>
      </w:r>
      <w:r>
        <mc:AlternateContent>
          <mc:Choice Requires="wps">
            <w:drawing>
              <wp:anchor distT="0" distB="0" distL="114300" distR="114300" simplePos="false" relativeHeight="10321680" behindDoc="false" locked="false" layoutInCell="true" allowOverlap="true">
                <wp:simplePos x="0" y="0"/>
                <wp:positionH relativeFrom="page">
                  <wp:posOffset>4813300</wp:posOffset>
                </wp:positionH>
                <wp:positionV relativeFrom="page">
                  <wp:posOffset>6616700</wp:posOffset>
                </wp:positionV>
                <wp:extent cx="12700" cy="190500"/>
                <wp:effectExtent l="0" t="0" r="22225" b="31115"/>
                <wp:wrapNone/>
                <wp:docPr id="7717" name="shape7717"/>
                <wp:cNvGraphicFramePr/>
                <a:graphic>
                  <a:graphicData uri="http://schemas.microsoft.com/office/word/2010/wordprocessingShape">
                    <wps:wsp>
                      <wps:cNvSpPr/>
                      <wps:spPr>
                        <a:xfrm>
                          <a:off x="0" y="0"/>
                          <a:ext cx="12700" cy="190500"/>
                        </a:xfrm>
                        <a:custGeom>
                          <a:avLst/>
                          <a:rect l="l" t="t" r="r" b="b"/>
                          <a:pathLst>
                            <a:path w="12700" h="190500">
                              <a:moveTo>
                                <a:pt x="8725" y="6940"/>
                              </a:moveTo>
                              <a:lnTo>
                                <a:pt x="8725" y="186309"/>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190500" style="position:absolute;left:0;top:0;visibility:visible;mso-position-horizontal:absolute;mso-position-horizontal-relative:page;mso-position-vertical:absolute;mso-position-vertical-relative:page;width:1pt;height:15pt;margin-left:379pt;margin-top:521pt;mso-wrap-style:square;z-index:10321680;mso-wrap-distance-left:9pt;mso-wrap-distance-top:0pt;mso-wrap-distance-right:9pt;mso-wrap-distance-bottom:0pt" id="shape7717" o:spid="1618382356897" path="m8725,6940l8725,186309" stroked="t" strokecolor="#404040" strokeweight="1pt"/>
            </w:pict>
          </mc:Fallback>
        </mc:AlternateContent>
      </w:r>
      <w:r>
        <mc:AlternateContent>
          <mc:Choice Requires="wps">
            <w:drawing>
              <wp:anchor distT="0" distB="0" distL="114300" distR="114300" simplePos="false" relativeHeight="10322704" behindDoc="false" locked="false" layoutInCell="true" allowOverlap="true">
                <wp:simplePos x="0" y="0"/>
                <wp:positionH relativeFrom="page">
                  <wp:posOffset>4775200</wp:posOffset>
                </wp:positionH>
                <wp:positionV relativeFrom="page">
                  <wp:posOffset>6781800</wp:posOffset>
                </wp:positionV>
                <wp:extent cx="88900" cy="88900"/>
                <wp:effectExtent l="0" t="0" r="22225" b="31115"/>
                <wp:wrapNone/>
                <wp:docPr id="7718" name="shape7718"/>
                <wp:cNvGraphicFramePr/>
                <a:graphic>
                  <a:graphicData uri="http://schemas.microsoft.com/office/word/2010/wordprocessingShape">
                    <wps:wsp>
                      <wps:cNvSpPr/>
                      <wps:spPr>
                        <a:xfrm>
                          <a:off x="0" y="0"/>
                          <a:ext cx="88900" cy="88900"/>
                        </a:xfrm>
                        <a:custGeom>
                          <a:avLst/>
                          <a:rect l="l" t="t" r="r" b="b"/>
                          <a:pathLst>
                            <a:path w="88900" h="88900">
                              <a:moveTo>
                                <a:pt x="46825" y="79970"/>
                              </a:moveTo>
                              <a:lnTo>
                                <a:pt x="7910" y="2357"/>
                              </a:lnTo>
                              <a:cubicBezTo>
                                <a:pt x="32453" y="14594"/>
                                <a:pt x="61308" y="14594"/>
                                <a:pt x="85741" y="2357"/>
                              </a:cubicBezTo>
                              <a:lnTo>
                                <a:pt x="46825" y="79970"/>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76pt;margin-top:534pt;mso-wrap-style:square;z-index:10322704;mso-wrap-distance-left:9pt;mso-wrap-distance-top:0pt;mso-wrap-distance-right:9pt;mso-wrap-distance-bottom:0pt" id="shape7718" o:spid="1618382356898" path="m46825,79970l7910,2357c32453,14594,61308,14594,85741,2357l46825,79970e" stroked="f" filled="t" fillcolor="#404040"/>
            </w:pict>
          </mc:Fallback>
        </mc:AlternateContent>
      </w:r>
      <w:r>
        <mc:AlternateContent>
          <mc:Choice Requires="wps">
            <w:drawing>
              <wp:anchor distT="0" distB="0" distL="114300" distR="114300" simplePos="false" relativeHeight="10323728" behindDoc="false" locked="false" layoutInCell="true" allowOverlap="true">
                <wp:simplePos x="0" y="0"/>
                <wp:positionH relativeFrom="page">
                  <wp:posOffset>4813300</wp:posOffset>
                </wp:positionH>
                <wp:positionV relativeFrom="page">
                  <wp:posOffset>7112000</wp:posOffset>
                </wp:positionV>
                <wp:extent cx="12700" cy="292100"/>
                <wp:effectExtent l="0" t="0" r="22225" b="31115"/>
                <wp:wrapNone/>
                <wp:docPr id="7719" name="shape7719"/>
                <wp:cNvGraphicFramePr/>
                <a:graphic>
                  <a:graphicData uri="http://schemas.microsoft.com/office/word/2010/wordprocessingShape">
                    <wps:wsp>
                      <wps:cNvSpPr/>
                      <wps:spPr>
                        <a:xfrm>
                          <a:off x="0" y="0"/>
                          <a:ext cx="12700" cy="292100"/>
                        </a:xfrm>
                        <a:custGeom>
                          <a:avLst/>
                          <a:rect l="l" t="t" r="r" b="b"/>
                          <a:pathLst>
                            <a:path w="12700" h="292100">
                              <a:moveTo>
                                <a:pt x="8725" y="356"/>
                              </a:moveTo>
                              <a:lnTo>
                                <a:pt x="8725" y="280047"/>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292100" style="position:absolute;left:0;top:0;visibility:visible;mso-position-horizontal:absolute;mso-position-horizontal-relative:page;mso-position-vertical:absolute;mso-position-vertical-relative:page;width:1pt;height:23pt;margin-left:379pt;margin-top:560pt;mso-wrap-style:square;z-index:10323728;mso-wrap-distance-left:9pt;mso-wrap-distance-top:0pt;mso-wrap-distance-right:9pt;mso-wrap-distance-bottom:0pt" id="shape7719" o:spid="1618382356898" path="m8725,356l8725,280047" stroked="t" strokecolor="#404040" strokeweight="1pt"/>
            </w:pict>
          </mc:Fallback>
        </mc:AlternateContent>
      </w:r>
      <w:r>
        <mc:AlternateContent>
          <mc:Choice Requires="wps">
            <w:drawing>
              <wp:anchor distT="0" distB="0" distL="114300" distR="114300" simplePos="false" relativeHeight="10324752" behindDoc="false" locked="false" layoutInCell="true" allowOverlap="true">
                <wp:simplePos x="0" y="0"/>
                <wp:positionH relativeFrom="page">
                  <wp:posOffset>4775200</wp:posOffset>
                </wp:positionH>
                <wp:positionV relativeFrom="page">
                  <wp:posOffset>7366000</wp:posOffset>
                </wp:positionV>
                <wp:extent cx="88900" cy="88900"/>
                <wp:effectExtent l="0" t="0" r="22225" b="31115"/>
                <wp:wrapNone/>
                <wp:docPr id="7720" name="shape7720"/>
                <wp:cNvGraphicFramePr/>
                <a:graphic>
                  <a:graphicData uri="http://schemas.microsoft.com/office/word/2010/wordprocessingShape">
                    <wps:wsp>
                      <wps:cNvSpPr/>
                      <wps:spPr>
                        <a:xfrm>
                          <a:off x="0" y="0"/>
                          <a:ext cx="88900" cy="88900"/>
                        </a:xfrm>
                        <a:custGeom>
                          <a:avLst/>
                          <a:rect l="l" t="t" r="r" b="b"/>
                          <a:pathLst>
                            <a:path w="88900" h="88900">
                              <a:moveTo>
                                <a:pt x="46825" y="84807"/>
                              </a:moveTo>
                              <a:lnTo>
                                <a:pt x="7910" y="7194"/>
                              </a:lnTo>
                              <a:cubicBezTo>
                                <a:pt x="32453" y="19432"/>
                                <a:pt x="61308" y="19432"/>
                                <a:pt x="85741" y="7194"/>
                              </a:cubicBezTo>
                              <a:lnTo>
                                <a:pt x="46825" y="84807"/>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76pt;margin-top:580pt;mso-wrap-style:square;z-index:10324752;mso-wrap-distance-left:9pt;mso-wrap-distance-top:0pt;mso-wrap-distance-right:9pt;mso-wrap-distance-bottom:0pt" id="shape7720" o:spid="1618382356899" path="m46825,84807l7910,7194c32453,19432,61308,19432,85741,7194l46825,84807e" stroked="f" filled="t" fillcolor="#404040"/>
            </w:pict>
          </mc:Fallback>
        </mc:AlternateContent>
      </w:r>
      <w:r>
        <mc:AlternateContent>
          <mc:Choice Requires="wps">
            <w:drawing>
              <wp:anchor distT="0" distB="0" distL="114300" distR="114300" simplePos="false" relativeHeight="10325776" behindDoc="false" locked="false" layoutInCell="true" allowOverlap="true">
                <wp:simplePos x="0" y="0"/>
                <wp:positionH relativeFrom="page">
                  <wp:posOffset>4813300</wp:posOffset>
                </wp:positionH>
                <wp:positionV relativeFrom="page">
                  <wp:posOffset>7696200</wp:posOffset>
                </wp:positionV>
                <wp:extent cx="12700" cy="406400"/>
                <wp:effectExtent l="0" t="0" r="22225" b="31115"/>
                <wp:wrapNone/>
                <wp:docPr id="7721" name="shape7721"/>
                <wp:cNvGraphicFramePr/>
                <a:graphic>
                  <a:graphicData uri="http://schemas.microsoft.com/office/word/2010/wordprocessingShape">
                    <wps:wsp>
                      <wps:cNvSpPr/>
                      <wps:spPr>
                        <a:xfrm>
                          <a:off x="0" y="0"/>
                          <a:ext cx="12700" cy="406400"/>
                        </a:xfrm>
                        <a:custGeom>
                          <a:avLst/>
                          <a:rect l="l" t="t" r="r" b="b"/>
                          <a:pathLst>
                            <a:path w="12700" h="406400">
                              <a:moveTo>
                                <a:pt x="8725" y="5193"/>
                              </a:moveTo>
                              <a:lnTo>
                                <a:pt x="8725" y="404015"/>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2700,406400" style="position:absolute;left:0;top:0;visibility:visible;mso-position-horizontal:absolute;mso-position-horizontal-relative:page;mso-position-vertical:absolute;mso-position-vertical-relative:page;width:1pt;height:32pt;margin-left:379pt;margin-top:606pt;mso-wrap-style:square;z-index:10325776;mso-wrap-distance-left:9pt;mso-wrap-distance-top:0pt;mso-wrap-distance-right:9pt;mso-wrap-distance-bottom:0pt" id="shape7721" o:spid="1618382356899" path="m8725,5193l8725,404015" stroked="t" strokecolor="#404040" strokeweight="1pt"/>
            </w:pict>
          </mc:Fallback>
        </mc:AlternateContent>
      </w:r>
      <w:r>
        <mc:AlternateContent>
          <mc:Choice Requires="wps">
            <w:drawing>
              <wp:anchor distT="0" distB="0" distL="114300" distR="114300" simplePos="false" relativeHeight="10326800" behindDoc="false" locked="false" layoutInCell="true" allowOverlap="true">
                <wp:simplePos x="0" y="0"/>
                <wp:positionH relativeFrom="page">
                  <wp:posOffset>4775200</wp:posOffset>
                </wp:positionH>
                <wp:positionV relativeFrom="page">
                  <wp:posOffset>8077200</wp:posOffset>
                </wp:positionV>
                <wp:extent cx="88900" cy="88900"/>
                <wp:effectExtent l="0" t="0" r="22225" b="31115"/>
                <wp:wrapNone/>
                <wp:docPr id="7722" name="shape7722"/>
                <wp:cNvGraphicFramePr/>
                <a:graphic>
                  <a:graphicData uri="http://schemas.microsoft.com/office/word/2010/wordprocessingShape">
                    <wps:wsp>
                      <wps:cNvSpPr/>
                      <wps:spPr>
                        <a:xfrm>
                          <a:off x="0" y="0"/>
                          <a:ext cx="88900" cy="88900"/>
                        </a:xfrm>
                        <a:custGeom>
                          <a:avLst/>
                          <a:rect l="l" t="t" r="r" b="b"/>
                          <a:pathLst>
                            <a:path w="88900" h="88900">
                              <a:moveTo>
                                <a:pt x="46825" y="81764"/>
                              </a:moveTo>
                              <a:lnTo>
                                <a:pt x="7910" y="4152"/>
                              </a:lnTo>
                              <a:cubicBezTo>
                                <a:pt x="32453" y="16367"/>
                                <a:pt x="61308" y="16367"/>
                                <a:pt x="85741" y="4152"/>
                              </a:cubicBezTo>
                              <a:lnTo>
                                <a:pt x="46825" y="81764"/>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76pt;margin-top:636pt;mso-wrap-style:square;z-index:10326800;mso-wrap-distance-left:9pt;mso-wrap-distance-top:0pt;mso-wrap-distance-right:9pt;mso-wrap-distance-bottom:0pt" id="shape7722" o:spid="1618382356900" path="m46825,81764l7910,4152c32453,16367,61308,16367,85741,4152l46825,81764e" stroked="f" filled="t" fillcolor="#404040"/>
            </w:pict>
          </mc:Fallback>
        </mc:AlternateContent>
      </w:r>
      <w:r>
        <mc:AlternateContent>
          <mc:Choice Requires="wps">
            <w:drawing>
              <wp:anchor distT="0" distB="0" distL="114300" distR="114300" simplePos="false" relativeHeight="10327824" behindDoc="false" locked="false" layoutInCell="true" allowOverlap="true">
                <wp:simplePos x="0" y="0"/>
                <wp:positionH relativeFrom="page">
                  <wp:posOffset>4203700</wp:posOffset>
                </wp:positionH>
                <wp:positionV relativeFrom="page">
                  <wp:posOffset>7620000</wp:posOffset>
                </wp:positionV>
                <wp:extent cx="177800" cy="698500"/>
                <wp:effectExtent l="0" t="0" r="22225" b="31115"/>
                <wp:wrapNone/>
                <wp:docPr id="7723" name="shape7723"/>
                <wp:cNvGraphicFramePr/>
                <a:graphic>
                  <a:graphicData uri="http://schemas.microsoft.com/office/word/2010/wordprocessingShape">
                    <wps:wsp>
                      <wps:cNvSpPr/>
                      <wps:spPr>
                        <a:xfrm>
                          <a:off x="0" y="0"/>
                          <a:ext cx="177800" cy="698500"/>
                        </a:xfrm>
                        <a:custGeom>
                          <a:avLst/>
                          <a:rect l="l" t="t" r="r" b="b"/>
                          <a:pathLst>
                            <a:path w="177800" h="698500">
                              <a:moveTo>
                                <a:pt x="165383" y="695214"/>
                              </a:moveTo>
                              <a:lnTo>
                                <a:pt x="100488" y="608584"/>
                              </a:lnTo>
                              <a:lnTo>
                                <a:pt x="52839" y="521943"/>
                              </a:lnTo>
                              <a:lnTo>
                                <a:pt x="22436" y="435312"/>
                              </a:lnTo>
                              <a:lnTo>
                                <a:pt x="9280" y="348682"/>
                              </a:lnTo>
                              <a:lnTo>
                                <a:pt x="13370" y="262041"/>
                              </a:lnTo>
                              <a:lnTo>
                                <a:pt x="34597" y="175432"/>
                              </a:lnTo>
                              <a:lnTo>
                                <a:pt x="73070" y="88780"/>
                              </a:lnTo>
                              <a:lnTo>
                                <a:pt x="128789" y="2127"/>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77800,698500" style="position:absolute;left:0;top:0;visibility:visible;mso-position-horizontal:absolute;mso-position-horizontal-relative:page;mso-position-vertical:absolute;mso-position-vertical-relative:page;width:14pt;height:55pt;margin-left:331pt;margin-top:600pt;mso-wrap-style:square;z-index:10327824;mso-wrap-distance-left:9pt;mso-wrap-distance-top:0pt;mso-wrap-distance-right:9pt;mso-wrap-distance-bottom:0pt" id="shape7723" o:spid="1618382356900" path="m165383,695214l100488,608584l52839,521943l22436,435312l9280,348682l13370,262041l34597,175432l73070,88780l128789,2127" stroked="t" strokecolor="#404040" strokeweight="1pt"/>
            </w:pict>
          </mc:Fallback>
        </mc:AlternateContent>
      </w:r>
      <w:r>
        <mc:AlternateContent>
          <mc:Choice Requires="wps">
            <w:drawing>
              <wp:anchor distT="0" distB="0" distL="114300" distR="114300" simplePos="false" relativeHeight="10328848" behindDoc="false" locked="false" layoutInCell="true" allowOverlap="true">
                <wp:simplePos x="0" y="0"/>
                <wp:positionH relativeFrom="page">
                  <wp:posOffset>4279900</wp:posOffset>
                </wp:positionH>
                <wp:positionV relativeFrom="page">
                  <wp:posOffset>7569200</wp:posOffset>
                </wp:positionV>
                <wp:extent cx="101600" cy="101600"/>
                <wp:effectExtent l="0" t="0" r="22225" b="31115"/>
                <wp:wrapNone/>
                <wp:docPr id="7724" name="shape7724"/>
                <wp:cNvGraphicFramePr/>
                <a:graphic>
                  <a:graphicData uri="http://schemas.microsoft.com/office/word/2010/wordprocessingShape">
                    <wps:wsp>
                      <wps:cNvSpPr/>
                      <wps:spPr>
                        <a:xfrm>
                          <a:off x="0" y="0"/>
                          <a:ext cx="101600" cy="101600"/>
                        </a:xfrm>
                        <a:custGeom>
                          <a:avLst/>
                          <a:rect l="l" t="t" r="r" b="b"/>
                          <a:pathLst>
                            <a:path w="101600" h="101600">
                              <a:moveTo>
                                <a:pt x="89183" y="6956"/>
                              </a:moveTo>
                              <a:lnTo>
                                <a:pt x="71273" y="91844"/>
                              </a:lnTo>
                              <a:cubicBezTo>
                                <a:pt x="59665" y="67039"/>
                                <a:pt x="37112" y="49179"/>
                                <a:pt x="10357" y="43557"/>
                              </a:cubicBezTo>
                              <a:lnTo>
                                <a:pt x="89183" y="6956"/>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101600,101600" style="position:absolute;left:0;top:0;visibility:visible;mso-position-horizontal:absolute;mso-position-horizontal-relative:page;mso-position-vertical:absolute;mso-position-vertical-relative:page;width:8pt;height:8pt;margin-left:337pt;margin-top:596pt;mso-wrap-style:square;z-index:10328848;mso-wrap-distance-left:9pt;mso-wrap-distance-top:0pt;mso-wrap-distance-right:9pt;mso-wrap-distance-bottom:0pt" id="shape7724" o:spid="1618382356901" path="m89183,6956l71273,91844c59665,67039,37112,49179,10357,43557l89183,6956e" stroked="f" filled="t" fillcolor="#404040"/>
            </w:pict>
          </mc:Fallback>
        </mc:AlternateContent>
      </w:r>
      <w:r>
        <mc:AlternateContent>
          <mc:Choice Requires="wps">
            <w:drawing>
              <wp:anchor distT="0" distB="0" distL="114300" distR="114300" simplePos="false" relativeHeight="10329872" behindDoc="true" locked="false" layoutInCell="true" allowOverlap="true">
                <wp:simplePos x="0" y="0"/>
                <wp:positionH relativeFrom="page">
                  <wp:posOffset>4127500</wp:posOffset>
                </wp:positionH>
                <wp:positionV relativeFrom="page">
                  <wp:posOffset>7035800</wp:posOffset>
                </wp:positionV>
                <wp:extent cx="254000" cy="1282700"/>
                <wp:effectExtent l="0" t="0" r="22225" b="31115"/>
                <wp:wrapNone/>
                <wp:docPr id="7725" name="shape7725"/>
                <wp:cNvGraphicFramePr/>
                <a:graphic>
                  <a:graphicData uri="http://schemas.microsoft.com/office/word/2010/wordprocessingShape">
                    <wps:wsp>
                      <wps:cNvSpPr/>
                      <wps:spPr>
                        <a:xfrm>
                          <a:off x="0" y="0"/>
                          <a:ext cx="254000" cy="1282700"/>
                        </a:xfrm>
                        <a:custGeom>
                          <a:avLst/>
                          <a:rect l="l" t="t" r="r" b="b"/>
                          <a:pathLst>
                            <a:path w="254000" h="1282700">
                              <a:moveTo>
                                <a:pt x="241583" y="1279414"/>
                              </a:moveTo>
                              <a:lnTo>
                                <a:pt x="148496" y="1155234"/>
                              </a:lnTo>
                              <a:lnTo>
                                <a:pt x="77852" y="1026600"/>
                              </a:lnTo>
                              <a:lnTo>
                                <a:pt x="29650" y="893502"/>
                              </a:lnTo>
                              <a:lnTo>
                                <a:pt x="3780" y="755994"/>
                              </a:lnTo>
                              <a:lnTo>
                                <a:pt x="353" y="613888"/>
                              </a:lnTo>
                              <a:lnTo>
                                <a:pt x="19368" y="467483"/>
                              </a:lnTo>
                              <a:lnTo>
                                <a:pt x="60716" y="316558"/>
                              </a:lnTo>
                              <a:lnTo>
                                <a:pt x="124395" y="161114"/>
                              </a:lnTo>
                              <a:lnTo>
                                <a:pt x="210628" y="1258"/>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54000,1282700" style="position:absolute;left:0;top:0;visibility:visible;mso-position-horizontal:absolute;mso-position-horizontal-relative:page;mso-position-vertical:absolute;mso-position-vertical-relative:page;width:20pt;height:101pt;margin-left:325pt;margin-top:554pt;mso-wrap-style:square;z-index:10329872;mso-wrap-distance-left:9pt;mso-wrap-distance-top:0pt;mso-wrap-distance-right:9pt;mso-wrap-distance-bottom:0pt" id="shape7725" o:spid="1618382356901" path="m241583,1279414l148496,1155234l77852,1026600l29650,893502l3780,755994l353,613888l19368,467483l60716,316558l124395,161114l210628,1258" stroked="t" strokecolor="#404040" strokeweight="1pt"/>
            </w:pict>
          </mc:Fallback>
        </mc:AlternateContent>
      </w:r>
      <w:r>
        <mc:AlternateContent>
          <mc:Choice Requires="wps">
            <w:drawing>
              <wp:anchor distT="0" distB="0" distL="114300" distR="114300" simplePos="false" relativeHeight="10330896" behindDoc="false" locked="false" layoutInCell="true" allowOverlap="true">
                <wp:simplePos x="0" y="0"/>
                <wp:positionH relativeFrom="page">
                  <wp:posOffset>4292600</wp:posOffset>
                </wp:positionH>
                <wp:positionV relativeFrom="page">
                  <wp:posOffset>6985000</wp:posOffset>
                </wp:positionV>
                <wp:extent cx="88900" cy="88900"/>
                <wp:effectExtent l="0" t="0" r="22225" b="31115"/>
                <wp:wrapNone/>
                <wp:docPr id="7726" name="shape7726"/>
                <wp:cNvGraphicFramePr/>
                <a:graphic>
                  <a:graphicData uri="http://schemas.microsoft.com/office/word/2010/wordprocessingShape">
                    <wps:wsp>
                      <wps:cNvSpPr/>
                      <wps:spPr>
                        <a:xfrm>
                          <a:off x="0" y="0"/>
                          <a:ext cx="88900" cy="88900"/>
                        </a:xfrm>
                        <a:custGeom>
                          <a:avLst/>
                          <a:rect l="l" t="t" r="r" b="b"/>
                          <a:pathLst>
                            <a:path w="88900" h="88900">
                              <a:moveTo>
                                <a:pt x="76483" y="2117"/>
                              </a:moveTo>
                              <a:lnTo>
                                <a:pt x="68634" y="88549"/>
                              </a:lnTo>
                              <a:cubicBezTo>
                                <a:pt x="54261" y="65289"/>
                                <a:pt x="29718" y="50184"/>
                                <a:pt x="2411" y="47759"/>
                              </a:cubicBezTo>
                              <a:lnTo>
                                <a:pt x="76483" y="2117"/>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38pt;margin-top:550pt;mso-wrap-style:square;z-index:10330896;mso-wrap-distance-left:9pt;mso-wrap-distance-top:0pt;mso-wrap-distance-right:9pt;mso-wrap-distance-bottom:0pt" id="shape7726" o:spid="1618382356902" path="m76483,2117l68634,88549c54261,65289,29718,50184,2411,47759l76483,2117e" stroked="f" filled="t" fillcolor="#404040"/>
            </w:pict>
          </mc:Fallback>
        </mc:AlternateContent>
      </w:r>
      <w:r>
        <mc:AlternateContent>
          <mc:Choice Requires="wps">
            <w:drawing>
              <wp:anchor distT="0" distB="0" distL="114300" distR="114300" simplePos="false" relativeHeight="10331920" behindDoc="true" locked="false" layoutInCell="true" allowOverlap="true">
                <wp:simplePos x="0" y="0"/>
                <wp:positionH relativeFrom="page">
                  <wp:posOffset>4025900</wp:posOffset>
                </wp:positionH>
                <wp:positionV relativeFrom="page">
                  <wp:posOffset>6540500</wp:posOffset>
                </wp:positionV>
                <wp:extent cx="355600" cy="1778000"/>
                <wp:effectExtent l="0" t="0" r="22225" b="31115"/>
                <wp:wrapNone/>
                <wp:docPr id="7727" name="shape7727"/>
                <wp:cNvGraphicFramePr/>
                <a:graphic>
                  <a:graphicData uri="http://schemas.microsoft.com/office/word/2010/wordprocessingShape">
                    <wps:wsp>
                      <wps:cNvSpPr/>
                      <wps:spPr>
                        <a:xfrm>
                          <a:off x="0" y="0"/>
                          <a:ext cx="355600" cy="1778000"/>
                        </a:xfrm>
                        <a:custGeom>
                          <a:avLst/>
                          <a:rect l="l" t="t" r="r" b="b"/>
                          <a:pathLst>
                            <a:path w="355600" h="1778000">
                              <a:moveTo>
                                <a:pt x="343183" y="1774714"/>
                              </a:moveTo>
                              <a:lnTo>
                                <a:pt x="234397" y="1627416"/>
                              </a:lnTo>
                              <a:lnTo>
                                <a:pt x="146727" y="1477440"/>
                              </a:lnTo>
                              <a:lnTo>
                                <a:pt x="80284" y="1324772"/>
                              </a:lnTo>
                              <a:lnTo>
                                <a:pt x="35067" y="1169382"/>
                              </a:lnTo>
                              <a:lnTo>
                                <a:pt x="10966" y="1011401"/>
                              </a:lnTo>
                              <a:lnTo>
                                <a:pt x="7981" y="850665"/>
                              </a:lnTo>
                              <a:lnTo>
                                <a:pt x="26223" y="687282"/>
                              </a:lnTo>
                              <a:lnTo>
                                <a:pt x="65580" y="521143"/>
                              </a:lnTo>
                              <a:lnTo>
                                <a:pt x="126164" y="352358"/>
                              </a:lnTo>
                              <a:lnTo>
                                <a:pt x="207864" y="180928"/>
                              </a:lnTo>
                              <a:lnTo>
                                <a:pt x="310680" y="6852"/>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355600,1778000" style="position:absolute;left:0;top:0;visibility:visible;mso-position-horizontal:absolute;mso-position-horizontal-relative:page;mso-position-vertical:absolute;mso-position-vertical-relative:page;width:28pt;height:140pt;margin-left:317pt;margin-top:515pt;mso-wrap-style:square;z-index:10331920;mso-wrap-distance-left:9pt;mso-wrap-distance-top:0pt;mso-wrap-distance-right:9pt;mso-wrap-distance-bottom:0pt" id="shape7727" o:spid="1618382356902" path="m343183,1774714l234397,1627416l146727,1477440l80284,1324772l35067,1169382l10966,1011401l7981,850665l26223,687282l65580,521143l126164,352358l207864,180928l310680,6852" stroked="t" strokecolor="#404040" strokeweight="1pt"/>
            </w:pict>
          </mc:Fallback>
        </mc:AlternateContent>
      </w:r>
      <w:r>
        <mc:AlternateContent>
          <mc:Choice Requires="wps">
            <w:drawing>
              <wp:anchor distT="0" distB="0" distL="114300" distR="114300" simplePos="false" relativeHeight="10332944" behindDoc="false" locked="false" layoutInCell="true" allowOverlap="true">
                <wp:simplePos x="0" y="0"/>
                <wp:positionH relativeFrom="page">
                  <wp:posOffset>4292600</wp:posOffset>
                </wp:positionH>
                <wp:positionV relativeFrom="page">
                  <wp:posOffset>6489700</wp:posOffset>
                </wp:positionV>
                <wp:extent cx="88900" cy="101600"/>
                <wp:effectExtent l="0" t="0" r="22225" b="31115"/>
                <wp:wrapNone/>
                <wp:docPr id="7728" name="shape7728"/>
                <wp:cNvGraphicFramePr/>
                <a:graphic>
                  <a:graphicData uri="http://schemas.microsoft.com/office/word/2010/wordprocessingShape">
                    <wps:wsp>
                      <wps:cNvSpPr/>
                      <wps:spPr>
                        <a:xfrm>
                          <a:off x="0" y="0"/>
                          <a:ext cx="88900" cy="101600"/>
                        </a:xfrm>
                        <a:custGeom>
                          <a:avLst/>
                          <a:rect l="l" t="t" r="r" b="b"/>
                          <a:pathLst>
                            <a:path w="88900" h="101600">
                              <a:moveTo>
                                <a:pt x="76483" y="8592"/>
                              </a:moveTo>
                              <a:lnTo>
                                <a:pt x="66091" y="94694"/>
                              </a:lnTo>
                              <a:cubicBezTo>
                                <a:pt x="52382" y="71101"/>
                                <a:pt x="28281" y="55226"/>
                                <a:pt x="1085" y="52029"/>
                              </a:cubicBezTo>
                              <a:lnTo>
                                <a:pt x="76483" y="8592"/>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101600" style="position:absolute;left:0;top:0;visibility:visible;mso-position-horizontal:absolute;mso-position-horizontal-relative:page;mso-position-vertical:absolute;mso-position-vertical-relative:page;width:7pt;height:8pt;margin-left:338pt;margin-top:511pt;mso-wrap-style:square;z-index:10332944;mso-wrap-distance-left:9pt;mso-wrap-distance-top:0pt;mso-wrap-distance-right:9pt;mso-wrap-distance-bottom:0pt" id="shape7728" o:spid="1618382356903" path="m76483,8592l66091,94694c52382,71101,28281,55226,1085,52029l76483,8592e" stroked="f" filled="t" fillcolor="#404040"/>
            </w:pict>
          </mc:Fallback>
        </mc:AlternateContent>
      </w:r>
      <w:r>
        <mc:AlternateContent>
          <mc:Choice Requires="wps">
            <w:drawing>
              <wp:anchor distT="0" distB="0" distL="114300" distR="114300" simplePos="false" relativeHeight="10333968" behindDoc="true" locked="false" layoutInCell="true" allowOverlap="true">
                <wp:simplePos x="0" y="0"/>
                <wp:positionH relativeFrom="page">
                  <wp:posOffset>3962400</wp:posOffset>
                </wp:positionH>
                <wp:positionV relativeFrom="page">
                  <wp:posOffset>6121400</wp:posOffset>
                </wp:positionV>
                <wp:extent cx="419100" cy="2197100"/>
                <wp:effectExtent l="0" t="0" r="22225" b="31115"/>
                <wp:wrapNone/>
                <wp:docPr id="7729" name="shape7729"/>
                <wp:cNvGraphicFramePr/>
                <a:graphic>
                  <a:graphicData uri="http://schemas.microsoft.com/office/word/2010/wordprocessingShape">
                    <wps:wsp>
                      <wps:cNvSpPr/>
                      <wps:spPr>
                        <a:xfrm>
                          <a:off x="0" y="0"/>
                          <a:ext cx="419100" cy="2197100"/>
                        </a:xfrm>
                        <a:custGeom>
                          <a:avLst/>
                          <a:rect l="l" t="t" r="r" b="b"/>
                          <a:pathLst>
                            <a:path w="419100" h="2197100">
                              <a:moveTo>
                                <a:pt x="406683" y="2193814"/>
                              </a:moveTo>
                              <a:lnTo>
                                <a:pt x="286842" y="2033970"/>
                              </a:lnTo>
                              <a:lnTo>
                                <a:pt x="188338" y="1869959"/>
                              </a:lnTo>
                              <a:lnTo>
                                <a:pt x="111170" y="1701813"/>
                              </a:lnTo>
                              <a:lnTo>
                                <a:pt x="55340" y="1529391"/>
                              </a:lnTo>
                              <a:lnTo>
                                <a:pt x="20847" y="1352889"/>
                              </a:lnTo>
                              <a:lnTo>
                                <a:pt x="7581" y="1172308"/>
                              </a:lnTo>
                              <a:lnTo>
                                <a:pt x="15651" y="987428"/>
                              </a:lnTo>
                              <a:lnTo>
                                <a:pt x="45059" y="798469"/>
                              </a:lnTo>
                              <a:lnTo>
                                <a:pt x="95803" y="605319"/>
                              </a:lnTo>
                              <a:lnTo>
                                <a:pt x="167885" y="407982"/>
                              </a:lnTo>
                              <a:lnTo>
                                <a:pt x="261193" y="206564"/>
                              </a:lnTo>
                              <a:lnTo>
                                <a:pt x="375949" y="848"/>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19100,2197100" style="position:absolute;left:0;top:0;visibility:visible;mso-position-horizontal:absolute;mso-position-horizontal-relative:page;mso-position-vertical:absolute;mso-position-vertical-relative:page;width:33pt;height:173pt;margin-left:312pt;margin-top:482pt;mso-wrap-style:square;z-index:10333968;mso-wrap-distance-left:9pt;mso-wrap-distance-top:0pt;mso-wrap-distance-right:9pt;mso-wrap-distance-bottom:0pt" id="shape7729" o:spid="1618382356904" path="m406683,2193814l286842,2033970l188338,1869959l111170,1701813l55340,1529391l20847,1352889l7581,1172308l15651,987428l45059,798469l95803,605319l167885,407982l261193,206564l375949,848" stroked="t" strokecolor="#404040" strokeweight="1pt"/>
            </w:pict>
          </mc:Fallback>
        </mc:AlternateContent>
      </w:r>
      <w:r>
        <mc:AlternateContent>
          <mc:Choice Requires="wps">
            <w:drawing>
              <wp:anchor distT="0" distB="0" distL="114300" distR="114300" simplePos="false" relativeHeight="10334992" behindDoc="false" locked="false" layoutInCell="true" allowOverlap="true">
                <wp:simplePos x="0" y="0"/>
                <wp:positionH relativeFrom="page">
                  <wp:posOffset>4292600</wp:posOffset>
                </wp:positionH>
                <wp:positionV relativeFrom="page">
                  <wp:posOffset>6070600</wp:posOffset>
                </wp:positionV>
                <wp:extent cx="88900" cy="88900"/>
                <wp:effectExtent l="0" t="0" r="22225" b="31115"/>
                <wp:wrapNone/>
                <wp:docPr id="7730" name="shape7730"/>
                <wp:cNvGraphicFramePr/>
                <a:graphic>
                  <a:graphicData uri="http://schemas.microsoft.com/office/word/2010/wordprocessingShape">
                    <wps:wsp>
                      <wps:cNvSpPr/>
                      <wps:spPr>
                        <a:xfrm>
                          <a:off x="0" y="0"/>
                          <a:ext cx="88900" cy="88900"/>
                        </a:xfrm>
                        <a:custGeom>
                          <a:avLst/>
                          <a:rect l="l" t="t" r="r" b="b"/>
                          <a:pathLst>
                            <a:path w="88900" h="88900">
                              <a:moveTo>
                                <a:pt x="76483" y="1597"/>
                              </a:moveTo>
                              <a:lnTo>
                                <a:pt x="68965" y="88028"/>
                              </a:lnTo>
                              <a:cubicBezTo>
                                <a:pt x="54483" y="64877"/>
                                <a:pt x="29940" y="49884"/>
                                <a:pt x="2633" y="47458"/>
                              </a:cubicBezTo>
                              <a:lnTo>
                                <a:pt x="76483" y="1597"/>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38pt;margin-top:478pt;mso-wrap-style:square;z-index:10334992;mso-wrap-distance-left:9pt;mso-wrap-distance-top:0pt;mso-wrap-distance-right:9pt;mso-wrap-distance-bottom:0pt" id="shape7730" o:spid="1618382356904" path="m76483,1597l68965,88028c54483,64877,29940,49884,2633,47458l76483,1597e" stroked="f" filled="t" fillcolor="#404040"/>
            </w:pict>
          </mc:Fallback>
        </mc:AlternateContent>
      </w:r>
      <w:r>
        <mc:AlternateContent>
          <mc:Choice Requires="wps">
            <w:drawing>
              <wp:anchor distT="0" distB="0" distL="114300" distR="114300" simplePos="false" relativeHeight="10336016" behindDoc="true" locked="false" layoutInCell="true" allowOverlap="true">
                <wp:simplePos x="0" y="0"/>
                <wp:positionH relativeFrom="page">
                  <wp:posOffset>3898900</wp:posOffset>
                </wp:positionH>
                <wp:positionV relativeFrom="page">
                  <wp:posOffset>5676900</wp:posOffset>
                </wp:positionV>
                <wp:extent cx="482600" cy="2641600"/>
                <wp:effectExtent l="0" t="0" r="22225" b="31115"/>
                <wp:wrapNone/>
                <wp:docPr id="7731" name="shape7731"/>
                <wp:cNvGraphicFramePr/>
                <a:graphic>
                  <a:graphicData uri="http://schemas.microsoft.com/office/word/2010/wordprocessingShape">
                    <wps:wsp>
                      <wps:cNvSpPr/>
                      <wps:spPr>
                        <a:xfrm>
                          <a:off x="0" y="0"/>
                          <a:ext cx="482600" cy="2641600"/>
                        </a:xfrm>
                        <a:custGeom>
                          <a:avLst/>
                          <a:rect l="l" t="t" r="r" b="b"/>
                          <a:pathLst>
                            <a:path w="482600" h="2641600">
                              <a:moveTo>
                                <a:pt x="470183" y="2638314"/>
                              </a:moveTo>
                              <a:lnTo>
                                <a:pt x="340834" y="2482020"/>
                              </a:lnTo>
                              <a:lnTo>
                                <a:pt x="232712" y="2317987"/>
                              </a:lnTo>
                              <a:lnTo>
                                <a:pt x="145705" y="2146203"/>
                              </a:lnTo>
                              <a:lnTo>
                                <a:pt x="80036" y="1966725"/>
                              </a:lnTo>
                              <a:lnTo>
                                <a:pt x="35482" y="1779420"/>
                              </a:lnTo>
                              <a:lnTo>
                                <a:pt x="12045" y="1584507"/>
                              </a:lnTo>
                              <a:lnTo>
                                <a:pt x="9944" y="1381766"/>
                              </a:lnTo>
                              <a:lnTo>
                                <a:pt x="28959" y="1171199"/>
                              </a:lnTo>
                              <a:lnTo>
                                <a:pt x="69201" y="953025"/>
                              </a:lnTo>
                              <a:lnTo>
                                <a:pt x="130669" y="727023"/>
                              </a:lnTo>
                              <a:lnTo>
                                <a:pt x="213254" y="493414"/>
                              </a:lnTo>
                              <a:lnTo>
                                <a:pt x="317065" y="251978"/>
                              </a:lnTo>
                              <a:lnTo>
                                <a:pt x="442102" y="2715"/>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482600,2641600" style="position:absolute;left:0;top:0;visibility:visible;mso-position-horizontal:absolute;mso-position-horizontal-relative:page;mso-position-vertical:absolute;mso-position-vertical-relative:page;width:38pt;height:208pt;margin-left:307pt;margin-top:447pt;mso-wrap-style:square;z-index:10336016;mso-wrap-distance-left:9pt;mso-wrap-distance-top:0pt;mso-wrap-distance-right:9pt;mso-wrap-distance-bottom:0pt" id="shape7731" o:spid="1618382356904" path="m470183,2638314l340834,2482020l232712,2317987l145705,2146203l80036,1966725l35482,1779420l12045,1584507l9944,1381766l28959,1171199l69201,953025l130669,727023l213254,493414l317065,251978l442102,2715" stroked="t" strokecolor="#404040" strokeweight="1pt"/>
            </w:pict>
          </mc:Fallback>
        </mc:AlternateContent>
      </w:r>
      <w:r>
        <mc:AlternateContent>
          <mc:Choice Requires="wps">
            <w:drawing>
              <wp:anchor distT="0" distB="0" distL="114300" distR="114300" simplePos="false" relativeHeight="10337040" behindDoc="false" locked="false" layoutInCell="true" allowOverlap="true">
                <wp:simplePos x="0" y="0"/>
                <wp:positionH relativeFrom="page">
                  <wp:posOffset>4292600</wp:posOffset>
                </wp:positionH>
                <wp:positionV relativeFrom="page">
                  <wp:posOffset>5626100</wp:posOffset>
                </wp:positionV>
                <wp:extent cx="88900" cy="88900"/>
                <wp:effectExtent l="0" t="0" r="22225" b="31115"/>
                <wp:wrapNone/>
                <wp:docPr id="7732" name="shape7732"/>
                <wp:cNvGraphicFramePr/>
                <a:graphic>
                  <a:graphicData uri="http://schemas.microsoft.com/office/word/2010/wordprocessingShape">
                    <wps:wsp>
                      <wps:cNvSpPr/>
                      <wps:spPr>
                        <a:xfrm>
                          <a:off x="0" y="0"/>
                          <a:ext cx="88900" cy="88900"/>
                        </a:xfrm>
                        <a:custGeom>
                          <a:avLst/>
                          <a:rect l="l" t="t" r="r" b="b"/>
                          <a:pathLst>
                            <a:path w="88900" h="88900">
                              <a:moveTo>
                                <a:pt x="76483" y="1920"/>
                              </a:moveTo>
                              <a:lnTo>
                                <a:pt x="73609" y="88573"/>
                              </a:lnTo>
                              <a:cubicBezTo>
                                <a:pt x="57910" y="66303"/>
                                <a:pt x="32593" y="52523"/>
                                <a:pt x="5175" y="51641"/>
                              </a:cubicBezTo>
                              <a:lnTo>
                                <a:pt x="76483" y="1920"/>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338pt;margin-top:443pt;mso-wrap-style:square;z-index:10337040;mso-wrap-distance-left:9pt;mso-wrap-distance-top:0pt;mso-wrap-distance-right:9pt;mso-wrap-distance-bottom:0pt" id="shape7732" o:spid="1618382356905" path="m76483,1920l73609,88573c57910,66303,32593,52523,5175,51641l76483,1920e" stroked="f" filled="t" fillcolor="#404040"/>
            </w:pict>
          </mc:Fallback>
        </mc:AlternateContent>
      </w:r>
      <w:r>
        <mc:AlternateContent>
          <mc:Choice Requires="wps">
            <w:drawing>
              <wp:anchor distT="0" distB="0" distL="114300" distR="114300" simplePos="false" relativeHeight="10339088" behindDoc="false" locked="false" layoutInCell="true" allowOverlap="true">
                <wp:simplePos x="0" y="0"/>
                <wp:positionH relativeFrom="page">
                  <wp:posOffset>5334000</wp:posOffset>
                </wp:positionH>
                <wp:positionV relativeFrom="page">
                  <wp:posOffset>6070600</wp:posOffset>
                </wp:positionV>
                <wp:extent cx="266700" cy="177800"/>
                <wp:effectExtent l="0" t="0" r="22225" b="31115"/>
                <wp:wrapNone/>
                <wp:docPr id="7734" name="shape7734"/>
                <wp:cNvGraphicFramePr/>
                <a:graphic>
                  <a:graphicData uri="http://schemas.microsoft.com/office/word/2010/wordprocessingShape">
                    <wps:wsp>
                      <wps:cNvSpPr/>
                      <wps:spPr>
                        <a:xfrm>
                          <a:off x="0" y="0"/>
                          <a:ext cx="266700" cy="177800"/>
                        </a:xfrm>
                        <a:custGeom>
                          <a:avLst/>
                          <a:rect l="l" t="t" r="r" b="b"/>
                          <a:pathLst>
                            <a:path w="266700" h="177800">
                              <a:moveTo>
                                <a:pt x="265446" y="175122"/>
                              </a:moveTo>
                              <a:lnTo>
                                <a:pt x="147926" y="175122"/>
                              </a:lnTo>
                              <a:lnTo>
                                <a:pt x="147926" y="1597"/>
                              </a:lnTo>
                              <a:lnTo>
                                <a:pt x="4" y="1597"/>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6700,177800" style="position:absolute;left:0;top:0;visibility:visible;mso-position-horizontal:absolute;mso-position-horizontal-relative:page;mso-position-vertical:absolute;mso-position-vertical-relative:page;width:21pt;height:14pt;margin-left:420pt;margin-top:478pt;mso-wrap-style:square;z-index:10339088;mso-wrap-distance-left:9pt;mso-wrap-distance-top:0pt;mso-wrap-distance-right:9pt;mso-wrap-distance-bottom:0pt" id="shape7734" o:spid="1618382356905" path="m265446,175122l147926,175122l147926,1597l4,1597" stroked="t" strokecolor="#404040" strokeweight="1pt"/>
            </w:pict>
          </mc:Fallback>
        </mc:AlternateContent>
      </w:r>
      <w:r>
        <mc:AlternateContent>
          <mc:Choice Requires="wps">
            <w:drawing>
              <wp:anchor distT="0" distB="0" distL="114300" distR="114300" simplePos="false" relativeHeight="10340112" behindDoc="false" locked="false" layoutInCell="true" allowOverlap="true">
                <wp:simplePos x="0" y="0"/>
                <wp:positionH relativeFrom="page">
                  <wp:posOffset>5270500</wp:posOffset>
                </wp:positionH>
                <wp:positionV relativeFrom="page">
                  <wp:posOffset>6032500</wp:posOffset>
                </wp:positionV>
                <wp:extent cx="88900" cy="88900"/>
                <wp:effectExtent l="0" t="0" r="22225" b="31115"/>
                <wp:wrapNone/>
                <wp:docPr id="7735" name="shape7735"/>
                <wp:cNvGraphicFramePr/>
                <a:graphic>
                  <a:graphicData uri="http://schemas.microsoft.com/office/word/2010/wordprocessingShape">
                    <wps:wsp>
                      <wps:cNvSpPr/>
                      <wps:spPr>
                        <a:xfrm>
                          <a:off x="0" y="0"/>
                          <a:ext cx="88900" cy="88900"/>
                        </a:xfrm>
                        <a:custGeom>
                          <a:avLst/>
                          <a:rect l="l" t="t" r="r" b="b"/>
                          <a:pathLst>
                            <a:path w="88900" h="88900">
                              <a:moveTo>
                                <a:pt x="4578" y="39697"/>
                              </a:moveTo>
                              <a:lnTo>
                                <a:pt x="82409" y="890"/>
                              </a:lnTo>
                              <a:cubicBezTo>
                                <a:pt x="70137" y="25255"/>
                                <a:pt x="70137" y="54028"/>
                                <a:pt x="82409" y="78502"/>
                              </a:cubicBezTo>
                              <a:lnTo>
                                <a:pt x="4578" y="39697"/>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415pt;margin-top:475pt;mso-wrap-style:square;z-index:10340112;mso-wrap-distance-left:9pt;mso-wrap-distance-top:0pt;mso-wrap-distance-right:9pt;mso-wrap-distance-bottom:0pt" id="shape7735" o:spid="1618382356906" path="m4578,39697l82409,890c70137,25255,70137,54028,82409,78502l4578,39697e" stroked="f" filled="t" fillcolor="#404040"/>
            </w:pict>
          </mc:Fallback>
        </mc:AlternateContent>
      </w:r>
      <w:r>
        <mc:AlternateContent>
          <mc:Choice Requires="wps">
            <w:drawing>
              <wp:anchor distT="0" distB="0" distL="114300" distR="114300" simplePos="false" relativeHeight="10341136" behindDoc="false" locked="false" layoutInCell="true" allowOverlap="true">
                <wp:simplePos x="0" y="0"/>
                <wp:positionH relativeFrom="page">
                  <wp:posOffset>5334000</wp:posOffset>
                </wp:positionH>
                <wp:positionV relativeFrom="page">
                  <wp:posOffset>6235700</wp:posOffset>
                </wp:positionV>
                <wp:extent cx="266700" cy="266700"/>
                <wp:effectExtent l="0" t="0" r="22225" b="31115"/>
                <wp:wrapNone/>
                <wp:docPr id="7736" name="shape7736"/>
                <wp:cNvGraphicFramePr/>
                <a:graphic>
                  <a:graphicData uri="http://schemas.microsoft.com/office/word/2010/wordprocessingShape">
                    <wps:wsp>
                      <wps:cNvSpPr/>
                      <wps:spPr>
                        <a:xfrm>
                          <a:off x="0" y="0"/>
                          <a:ext cx="266700" cy="266700"/>
                        </a:xfrm>
                        <a:custGeom>
                          <a:avLst/>
                          <a:rect l="l" t="t" r="r" b="b"/>
                          <a:pathLst>
                            <a:path w="266700" h="266700">
                              <a:moveTo>
                                <a:pt x="265446" y="10022"/>
                              </a:moveTo>
                              <a:lnTo>
                                <a:pt x="147926" y="10022"/>
                              </a:lnTo>
                              <a:lnTo>
                                <a:pt x="147926" y="262592"/>
                              </a:lnTo>
                              <a:lnTo>
                                <a:pt x="4" y="262592"/>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6700,266700" style="position:absolute;left:0;top:0;visibility:visible;mso-position-horizontal:absolute;mso-position-horizontal-relative:page;mso-position-vertical:absolute;mso-position-vertical-relative:page;width:21pt;height:21pt;margin-left:420pt;margin-top:491pt;mso-wrap-style:square;z-index:10341136;mso-wrap-distance-left:9pt;mso-wrap-distance-top:0pt;mso-wrap-distance-right:9pt;mso-wrap-distance-bottom:0pt" id="shape7736" o:spid="1618382356906" path="m265446,10022l147926,10022l147926,262592l4,262592" stroked="t" strokecolor="#404040" strokeweight="1pt"/>
            </w:pict>
          </mc:Fallback>
        </mc:AlternateContent>
      </w:r>
      <w:r>
        <mc:AlternateContent>
          <mc:Choice Requires="wps">
            <w:drawing>
              <wp:anchor distT="0" distB="0" distL="114300" distR="114300" simplePos="false" relativeHeight="10342160" behindDoc="false" locked="false" layoutInCell="true" allowOverlap="true">
                <wp:simplePos x="0" y="0"/>
                <wp:positionH relativeFrom="page">
                  <wp:posOffset>5270500</wp:posOffset>
                </wp:positionH>
                <wp:positionV relativeFrom="page">
                  <wp:posOffset>6451600</wp:posOffset>
                </wp:positionV>
                <wp:extent cx="88900" cy="88900"/>
                <wp:effectExtent l="0" t="0" r="22225" b="31115"/>
                <wp:wrapNone/>
                <wp:docPr id="7737" name="shape7737"/>
                <wp:cNvGraphicFramePr/>
                <a:graphic>
                  <a:graphicData uri="http://schemas.microsoft.com/office/word/2010/wordprocessingShape">
                    <wps:wsp>
                      <wps:cNvSpPr/>
                      <wps:spPr>
                        <a:xfrm>
                          <a:off x="0" y="0"/>
                          <a:ext cx="88900" cy="88900"/>
                        </a:xfrm>
                        <a:custGeom>
                          <a:avLst/>
                          <a:rect l="l" t="t" r="r" b="b"/>
                          <a:pathLst>
                            <a:path w="88900" h="88900">
                              <a:moveTo>
                                <a:pt x="4578" y="46692"/>
                              </a:moveTo>
                              <a:lnTo>
                                <a:pt x="82409" y="7886"/>
                              </a:lnTo>
                              <a:cubicBezTo>
                                <a:pt x="70137" y="32361"/>
                                <a:pt x="70137" y="61024"/>
                                <a:pt x="82409" y="85498"/>
                              </a:cubicBezTo>
                              <a:lnTo>
                                <a:pt x="4578" y="46692"/>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415pt;margin-top:508pt;mso-wrap-style:square;z-index:10342160;mso-wrap-distance-left:9pt;mso-wrap-distance-top:0pt;mso-wrap-distance-right:9pt;mso-wrap-distance-bottom:0pt" id="shape7737" o:spid="1618382356906" path="m4578,46692l82409,7886c70137,32361,70137,61024,82409,85498l4578,46692e" stroked="f" filled="t" fillcolor="#404040"/>
            </w:pict>
          </mc:Fallback>
        </mc:AlternateContent>
      </w:r>
      <w:r>
        <mc:AlternateContent>
          <mc:Choice Requires="wps">
            <w:drawing>
              <wp:anchor distT="0" distB="0" distL="114300" distR="114300" simplePos="false" relativeHeight="10343184" behindDoc="false" locked="false" layoutInCell="true" allowOverlap="true">
                <wp:simplePos x="0" y="0"/>
                <wp:positionH relativeFrom="page">
                  <wp:posOffset>5334000</wp:posOffset>
                </wp:positionH>
                <wp:positionV relativeFrom="page">
                  <wp:posOffset>6985000</wp:posOffset>
                </wp:positionV>
                <wp:extent cx="266700" cy="12700"/>
                <wp:effectExtent l="0" t="0" r="22225" b="31115"/>
                <wp:wrapNone/>
                <wp:docPr id="7738" name="shape7738"/>
                <wp:cNvGraphicFramePr/>
                <a:graphic>
                  <a:graphicData uri="http://schemas.microsoft.com/office/word/2010/wordprocessingShape">
                    <wps:wsp>
                      <wps:cNvSpPr/>
                      <wps:spPr>
                        <a:xfrm>
                          <a:off x="0" y="0"/>
                          <a:ext cx="266700" cy="12700"/>
                        </a:xfrm>
                        <a:custGeom>
                          <a:avLst/>
                          <a:rect l="l" t="t" r="r" b="b"/>
                          <a:pathLst>
                            <a:path w="266700" h="12700">
                              <a:moveTo>
                                <a:pt x="265446" y="3992"/>
                              </a:moveTo>
                              <a:lnTo>
                                <a:pt x="147926" y="3992"/>
                              </a:lnTo>
                              <a:lnTo>
                                <a:pt x="147926" y="2117"/>
                              </a:lnTo>
                              <a:lnTo>
                                <a:pt x="4" y="2117"/>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6700,12700" style="position:absolute;left:0;top:0;visibility:visible;mso-position-horizontal:absolute;mso-position-horizontal-relative:page;mso-position-vertical:absolute;mso-position-vertical-relative:page;width:21pt;height:1pt;margin-left:420pt;margin-top:550pt;mso-wrap-style:square;z-index:10343184;mso-wrap-distance-left:9pt;mso-wrap-distance-top:0pt;mso-wrap-distance-right:9pt;mso-wrap-distance-bottom:0pt" id="shape7738" o:spid="1618382356907" path="m265446,3992l147926,3992l147926,2117l4,2117" stroked="t" strokecolor="#404040" strokeweight="1pt"/>
            </w:pict>
          </mc:Fallback>
        </mc:AlternateContent>
      </w:r>
      <w:r>
        <mc:AlternateContent>
          <mc:Choice Requires="wps">
            <w:drawing>
              <wp:anchor distT="0" distB="0" distL="114300" distR="114300" simplePos="false" relativeHeight="10344208" behindDoc="false" locked="false" layoutInCell="true" allowOverlap="true">
                <wp:simplePos x="0" y="0"/>
                <wp:positionH relativeFrom="page">
                  <wp:posOffset>5270500</wp:posOffset>
                </wp:positionH>
                <wp:positionV relativeFrom="page">
                  <wp:posOffset>6946900</wp:posOffset>
                </wp:positionV>
                <wp:extent cx="88900" cy="88900"/>
                <wp:effectExtent l="0" t="0" r="22225" b="31115"/>
                <wp:wrapNone/>
                <wp:docPr id="7739" name="shape7739"/>
                <wp:cNvGraphicFramePr/>
                <a:graphic>
                  <a:graphicData uri="http://schemas.microsoft.com/office/word/2010/wordprocessingShape">
                    <wps:wsp>
                      <wps:cNvSpPr/>
                      <wps:spPr>
                        <a:xfrm>
                          <a:off x="0" y="0"/>
                          <a:ext cx="88900" cy="88900"/>
                        </a:xfrm>
                        <a:custGeom>
                          <a:avLst/>
                          <a:rect l="l" t="t" r="r" b="b"/>
                          <a:pathLst>
                            <a:path w="88900" h="88900">
                              <a:moveTo>
                                <a:pt x="4578" y="40217"/>
                              </a:moveTo>
                              <a:lnTo>
                                <a:pt x="82409" y="1412"/>
                              </a:lnTo>
                              <a:cubicBezTo>
                                <a:pt x="70137" y="25775"/>
                                <a:pt x="70137" y="54550"/>
                                <a:pt x="82409" y="79024"/>
                              </a:cubicBezTo>
                              <a:lnTo>
                                <a:pt x="4578" y="40217"/>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415pt;margin-top:547pt;mso-wrap-style:square;z-index:10344208;mso-wrap-distance-left:9pt;mso-wrap-distance-top:0pt;mso-wrap-distance-right:9pt;mso-wrap-distance-bottom:0pt" id="shape7739" o:spid="1618382356907" path="m4578,40217l82409,1412c70137,25775,70137,54550,82409,79024l4578,40217e" stroked="f" filled="t" fillcolor="#404040"/>
            </w:pict>
          </mc:Fallback>
        </mc:AlternateContent>
      </w:r>
      <w:r>
        <mc:AlternateContent>
          <mc:Choice Requires="wps">
            <w:drawing>
              <wp:anchor distT="0" distB="0" distL="114300" distR="114300" simplePos="false" relativeHeight="10345232" behindDoc="false" locked="false" layoutInCell="true" allowOverlap="true">
                <wp:simplePos x="0" y="0"/>
                <wp:positionH relativeFrom="page">
                  <wp:posOffset>5334000</wp:posOffset>
                </wp:positionH>
                <wp:positionV relativeFrom="page">
                  <wp:posOffset>7569200</wp:posOffset>
                </wp:positionV>
                <wp:extent cx="266700" cy="12700"/>
                <wp:effectExtent l="0" t="0" r="22225" b="31115"/>
                <wp:wrapNone/>
                <wp:docPr id="7740" name="shape7740"/>
                <wp:cNvGraphicFramePr/>
                <a:graphic>
                  <a:graphicData uri="http://schemas.microsoft.com/office/word/2010/wordprocessingShape">
                    <wps:wsp>
                      <wps:cNvSpPr/>
                      <wps:spPr>
                        <a:xfrm>
                          <a:off x="0" y="0"/>
                          <a:ext cx="266700" cy="12700"/>
                        </a:xfrm>
                        <a:custGeom>
                          <a:avLst/>
                          <a:rect l="l" t="t" r="r" b="b"/>
                          <a:pathLst>
                            <a:path w="266700" h="12700">
                              <a:moveTo>
                                <a:pt x="265446" y="4640"/>
                              </a:moveTo>
                              <a:lnTo>
                                <a:pt x="147926" y="4640"/>
                              </a:lnTo>
                              <a:lnTo>
                                <a:pt x="147926" y="6956"/>
                              </a:lnTo>
                              <a:lnTo>
                                <a:pt x="4" y="6956"/>
                              </a:lnTo>
                            </a:path>
                          </a:pathLst>
                        </a:custGeom>
                        <a:ln>
                          <a:solidFill>
                            <a:srgbClr val="404040"/>
                          </a:solidFill>
                        </a:ln>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266700,12700" style="position:absolute;left:0;top:0;visibility:visible;mso-position-horizontal:absolute;mso-position-horizontal-relative:page;mso-position-vertical:absolute;mso-position-vertical-relative:page;width:21pt;height:1pt;margin-left:420pt;margin-top:596pt;mso-wrap-style:square;z-index:10345232;mso-wrap-distance-left:9pt;mso-wrap-distance-top:0pt;mso-wrap-distance-right:9pt;mso-wrap-distance-bottom:0pt" id="shape7740" o:spid="1618382356907" path="m265446,4640l147926,4640l147926,6956l4,6956" stroked="t" strokecolor="#404040" strokeweight="1pt"/>
            </w:pict>
          </mc:Fallback>
        </mc:AlternateContent>
      </w:r>
      <w:r>
        <mc:AlternateContent>
          <mc:Choice Requires="wps">
            <w:drawing>
              <wp:anchor distT="0" distB="0" distL="114300" distR="114300" simplePos="false" relativeHeight="10346256" behindDoc="false" locked="false" layoutInCell="true" allowOverlap="true">
                <wp:simplePos x="0" y="0"/>
                <wp:positionH relativeFrom="page">
                  <wp:posOffset>5270500</wp:posOffset>
                </wp:positionH>
                <wp:positionV relativeFrom="page">
                  <wp:posOffset>7531100</wp:posOffset>
                </wp:positionV>
                <wp:extent cx="88900" cy="88900"/>
                <wp:effectExtent l="0" t="0" r="22225" b="31115"/>
                <wp:wrapNone/>
                <wp:docPr id="7741" name="shape7741"/>
                <wp:cNvGraphicFramePr/>
                <a:graphic>
                  <a:graphicData uri="http://schemas.microsoft.com/office/word/2010/wordprocessingShape">
                    <wps:wsp>
                      <wps:cNvSpPr/>
                      <wps:spPr>
                        <a:xfrm>
                          <a:off x="0" y="0"/>
                          <a:ext cx="88900" cy="88900"/>
                        </a:xfrm>
                        <a:custGeom>
                          <a:avLst/>
                          <a:rect l="l" t="t" r="r" b="b"/>
                          <a:pathLst>
                            <a:path w="88900" h="88900">
                              <a:moveTo>
                                <a:pt x="4578" y="45056"/>
                              </a:moveTo>
                              <a:lnTo>
                                <a:pt x="82409" y="6249"/>
                              </a:lnTo>
                              <a:cubicBezTo>
                                <a:pt x="70137" y="30613"/>
                                <a:pt x="70137" y="59387"/>
                                <a:pt x="82409" y="83861"/>
                              </a:cubicBezTo>
                              <a:lnTo>
                                <a:pt x="4578" y="45056"/>
                              </a:lnTo>
                              <a:close/>
                            </a:path>
                          </a:pathLst>
                        </a:custGeom>
                        <a:solidFill>
                          <a:srgbClr val="40404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shape coordsize="88900,88900" style="position:absolute;left:0;top:0;visibility:visible;mso-position-horizontal:absolute;mso-position-horizontal-relative:page;mso-position-vertical:absolute;mso-position-vertical-relative:page;width:7pt;height:7pt;margin-left:415pt;margin-top:593pt;mso-wrap-style:square;z-index:10346256;mso-wrap-distance-left:9pt;mso-wrap-distance-top:0pt;mso-wrap-distance-right:9pt;mso-wrap-distance-bottom:0pt" id="shape7741" o:spid="1618382356908" path="m4578,45056l82409,6249c70137,30613,70137,59387,82409,83861l4578,45056e" stroked="f" filled="t" fillcolor="#404040"/>
            </w:pict>
          </mc:Fallback>
        </mc:AlternateContent>
      </w:r>
      <w:r>
        <mc:AlternateContent>
          <mc:Choice Requires="wps">
            <w:drawing>
              <wp:anchor distT="0" distB="0" distL="114300" distR="114300" simplePos="false" relativeHeight="10350352" behindDoc="true" locked="false" layoutInCell="true" allowOverlap="true">
                <wp:simplePos x="0" y="0"/>
                <wp:positionH relativeFrom="page">
                  <wp:posOffset>889000</wp:posOffset>
                </wp:positionH>
                <wp:positionV relativeFrom="page">
                  <wp:posOffset>711200</wp:posOffset>
                </wp:positionV>
                <wp:extent cx="5803900" cy="25400"/>
                <wp:effectExtent l="0" t="0" r="22225" b="31115"/>
                <wp:wrapNone/>
                <wp:docPr id="7668" name="shape7668"/>
                <wp:cNvGraphicFramePr/>
                <a:graphic>
                  <a:graphicData uri="http://schemas.microsoft.com/office/word/2010/wordprocessingShape">
                    <wps:wsp>
                      <wps:cNvSpPr/>
                      <wps:spPr>
                        <a:xfrm>
                          <a:off x="0" y="0"/>
                          <a:ext cx="5803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57pt;height:2pt;margin-left:70pt;margin-top:56pt;mso-wrap-style:square;z-index:10350352;mso-wrap-distance-left:9pt;mso-wrap-distance-top:0pt;mso-wrap-distance-right:9pt;mso-wrap-distance-bottom:0pt" id="shape7668" o:spid="1618382356908" stroked="f" filled="t" fillcolor="#000000"/>
            </w:pict>
          </mc:Fallback>
        </mc:AlternateContent>
      </w:r>
      <w:r>
        <mc:AlternateContent>
          <mc:Choice Requires="wps">
            <w:drawing>
              <wp:anchor distT="0" distB="0" distL="114300" distR="114300" simplePos="false" relativeHeight="10310416" behindDoc="false" locked="false" layoutInCell="true" allowOverlap="true">
                <wp:simplePos x="0" y="0"/>
                <wp:positionH relativeFrom="page">
                  <wp:posOffset>4368800</wp:posOffset>
                </wp:positionH>
                <wp:positionV relativeFrom="page">
                  <wp:posOffset>8153400</wp:posOffset>
                </wp:positionV>
                <wp:extent cx="914400" cy="330200"/>
                <wp:effectExtent l="0" t="0" r="22225" b="31115"/>
                <wp:wrapNone/>
                <wp:docPr id="7708" name="shape7708"/>
                <wp:cNvGraphicFramePr/>
                <a:graphic>
                  <a:graphicData uri="http://schemas.microsoft.com/office/word/2010/wordprocessingShape">
                    <wps:wsp>
                      <wps:cNvSpPr/>
                      <wps:spPr>
                        <a:xfrm>
                          <a:off x="0" y="0"/>
                          <a:ext cx="914400" cy="330200"/>
                        </a:xfrm>
                        <a:prstGeom prst="rect">
                          <a:avLst/>
                        </a:prstGeom>
                        <a:ln>
                          <a:solidFill>
                            <a:srgbClr val="404040"/>
                          </a:solidFill>
                        </a:ln>
                      </wps:spPr>
                      <wps:txbx>
                        <w:txbxContent>
                          <w:p>
                            <w:pPr>
                              <w:spacing w:line="-320" w:lineRule="exact"/>
                              <w:ind w:left="300"/>
                              <w:jc w:val="both"/>
                            </w:pPr>
                            <w:r>
                              <w:rPr>
                                <w:rFonts w:hint="eastAsia" w:ascii="宋体" w:hAnsi="宋体" w:eastAsia="宋体" w:cs="宋体"/>
                                <w:w w:val="100"/>
                                <w:sz w:val="15"/>
                              </w:rPr>
                              <w:t>应用软件</w:t>
                            </w:r>
                          </w:p>
                        </w:txbxContent>
                      </wps:txbx>
                      <wps:bodyPr rot="0" spcFirstLastPara="false" vertOverflow="overflow" horzOverflow="overflow" vert="horz" wrap="square" lIns="254000" tIns="1016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2pt;height:26pt;margin-left:344pt;margin-top:642pt;mso-wrap-style:square;z-index:10310416;mso-wrap-distance-left:9pt;mso-wrap-distance-top:0pt;mso-wrap-distance-right:9pt;mso-wrap-distance-bottom:0pt" id="shape7708" o:spid="1618382356909" stroked="t" strokecolor="#404040" strokeweight="1pt">
                <v:textbox>
                  <w:txbxContent>
                    <w:p>
                      <w:pPr>
                        <w:spacing w:line="-320" w:lineRule="exact"/>
                        <w:ind w:left="300"/>
                        <w:jc w:val="both"/>
                      </w:pPr>
                      <w:r>
                        <w:rPr>
                          <w:rFonts w:hint="eastAsia" w:ascii="宋体" w:hAnsi="宋体" w:eastAsia="宋体" w:cs="宋体"/>
                          <w:w w:val="100"/>
                          <w:sz w:val="15"/>
                        </w:rPr>
                        <w:t>应用软件</w:t>
                      </w:r>
                    </w:p>
                  </w:txbxContent>
                </v:textbox>
              </v:rect>
            </w:pict>
          </mc:Fallback>
        </mc:AlternateContent>
      </w:r>
      <w:r>
        <mc:AlternateContent>
          <mc:Choice Requires="wps">
            <w:drawing>
              <wp:anchor distT="0" distB="0" distL="114300" distR="114300" simplePos="false" relativeHeight="10304272" behindDoc="false" locked="false" layoutInCell="true" allowOverlap="true">
                <wp:simplePos x="0" y="0"/>
                <wp:positionH relativeFrom="page">
                  <wp:posOffset>4368800</wp:posOffset>
                </wp:positionH>
                <wp:positionV relativeFrom="page">
                  <wp:posOffset>5943600</wp:posOffset>
                </wp:positionV>
                <wp:extent cx="914400" cy="254000"/>
                <wp:effectExtent l="0" t="0" r="22225" b="31115"/>
                <wp:wrapNone/>
                <wp:docPr id="7704" name="shape7704"/>
                <wp:cNvGraphicFramePr/>
                <a:graphic>
                  <a:graphicData uri="http://schemas.microsoft.com/office/word/2010/wordprocessingShape">
                    <wps:wsp>
                      <wps:cNvSpPr/>
                      <wps:spPr>
                        <a:xfrm>
                          <a:off x="0" y="0"/>
                          <a:ext cx="914400" cy="254000"/>
                        </a:xfrm>
                        <a:prstGeom prst="rect">
                          <a:avLst/>
                        </a:prstGeom>
                        <a:ln>
                          <a:solidFill>
                            <a:srgbClr val="404040"/>
                          </a:solidFill>
                        </a:ln>
                      </wps:spPr>
                      <wps:txbx>
                        <w:txbxContent>
                          <w:p>
                            <w:pPr>
                              <w:spacing w:line="-260" w:lineRule="exact"/>
                              <w:ind w:left="140"/>
                              <w:jc w:val="both"/>
                            </w:pPr>
                            <w:r>
                              <w:rPr>
                                <w:rFonts w:hint="eastAsia" w:ascii="宋体" w:hAnsi="宋体" w:eastAsia="宋体" w:cs="宋体"/>
                                <w:w w:val="100"/>
                                <w:sz w:val="15"/>
                              </w:rPr>
                              <w:t>业务逻辑建模</w:t>
                            </w:r>
                          </w:p>
                        </w:txbxContent>
                      </wps:txbx>
                      <wps:bodyPr rot="0" spcFirstLastPara="false" vertOverflow="overflow" horzOverflow="overflow" vert="horz" wrap="square" lIns="1524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2pt;height:20pt;margin-left:344pt;margin-top:468pt;mso-wrap-style:square;z-index:10304272;mso-wrap-distance-left:9pt;mso-wrap-distance-top:0pt;mso-wrap-distance-right:9pt;mso-wrap-distance-bottom:0pt" id="shape7704" o:spid="1618382356909" stroked="t" strokecolor="#404040" strokeweight="1pt">
                <v:textbox>
                  <w:txbxContent>
                    <w:p>
                      <w:pPr>
                        <w:spacing w:line="-260" w:lineRule="exact"/>
                        <w:ind w:left="140"/>
                        <w:jc w:val="both"/>
                      </w:pPr>
                      <w:r>
                        <w:rPr>
                          <w:rFonts w:hint="eastAsia" w:ascii="宋体" w:hAnsi="宋体" w:eastAsia="宋体" w:cs="宋体"/>
                          <w:w w:val="100"/>
                          <w:sz w:val="15"/>
                        </w:rPr>
                        <w:t>业务逻辑建模</w:t>
                      </w:r>
                    </w:p>
                  </w:txbxContent>
                </v:textbox>
              </v:rect>
            </w:pict>
          </mc:Fallback>
        </mc:AlternateContent>
      </w:r>
      <w:r>
        <mc:AlternateContent>
          <mc:Choice Requires="wps">
            <w:drawing>
              <wp:anchor distT="0" distB="0" distL="114300" distR="114300" simplePos="false" relativeHeight="10301200" behindDoc="false" locked="false" layoutInCell="true" allowOverlap="true">
                <wp:simplePos x="0" y="0"/>
                <wp:positionH relativeFrom="page">
                  <wp:posOffset>4368800</wp:posOffset>
                </wp:positionH>
                <wp:positionV relativeFrom="page">
                  <wp:posOffset>6362700</wp:posOffset>
                </wp:positionV>
                <wp:extent cx="914400" cy="266700"/>
                <wp:effectExtent l="0" t="0" r="22225" b="31115"/>
                <wp:wrapNone/>
                <wp:docPr id="7702" name="shape7702"/>
                <wp:cNvGraphicFramePr/>
                <a:graphic>
                  <a:graphicData uri="http://schemas.microsoft.com/office/word/2010/wordprocessingShape">
                    <wps:wsp>
                      <wps:cNvSpPr/>
                      <wps:spPr>
                        <a:xfrm>
                          <a:off x="0" y="0"/>
                          <a:ext cx="914400" cy="266700"/>
                        </a:xfrm>
                        <a:prstGeom prst="rect">
                          <a:avLst/>
                        </a:prstGeom>
                        <a:ln>
                          <a:solidFill>
                            <a:srgbClr val="404040"/>
                          </a:solidFill>
                        </a:ln>
                      </wps:spPr>
                      <wps:txbx>
                        <w:txbxContent>
                          <w:p>
                            <w:pPr>
                              <w:spacing w:line="-280" w:lineRule="exact"/>
                              <w:ind w:left="140"/>
                              <w:jc w:val="both"/>
                            </w:pPr>
                            <w:r>
                              <w:rPr>
                                <w:rFonts w:hint="eastAsia" w:ascii="宋体" w:hAnsi="宋体" w:eastAsia="宋体" w:cs="宋体"/>
                                <w:w w:val="100"/>
                                <w:sz w:val="15"/>
                              </w:rPr>
                              <w:t>数据物理建模</w:t>
                            </w:r>
                          </w:p>
                        </w:txbxContent>
                      </wps:txbx>
                      <wps:bodyPr rot="0" spcFirstLastPara="false" vertOverflow="overflow" horzOverflow="overflow" vert="horz" wrap="square" lIns="152400" tIns="762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2pt;height:21pt;margin-left:344pt;margin-top:501pt;mso-wrap-style:square;z-index:10301200;mso-wrap-distance-left:9pt;mso-wrap-distance-top:0pt;mso-wrap-distance-right:9pt;mso-wrap-distance-bottom:0pt" id="shape7702" o:spid="1618382356909" stroked="t" strokecolor="#404040" strokeweight="1pt">
                <v:textbox>
                  <w:txbxContent>
                    <w:p>
                      <w:pPr>
                        <w:spacing w:line="-280" w:lineRule="exact"/>
                        <w:ind w:left="140"/>
                        <w:jc w:val="both"/>
                      </w:pPr>
                      <w:r>
                        <w:rPr>
                          <w:rFonts w:hint="eastAsia" w:ascii="宋体" w:hAnsi="宋体" w:eastAsia="宋体" w:cs="宋体"/>
                          <w:w w:val="100"/>
                          <w:sz w:val="15"/>
                        </w:rPr>
                        <w:t>数据物理建模</w:t>
                      </w:r>
                    </w:p>
                  </w:txbxContent>
                </v:textbox>
              </v:rect>
            </w:pict>
          </mc:Fallback>
        </mc:AlternateContent>
      </w:r>
      <w:r>
        <mc:AlternateContent>
          <mc:Choice Requires="wps">
            <w:drawing>
              <wp:anchor distT="0" distB="0" distL="114300" distR="114300" simplePos="false" relativeHeight="10298128" behindDoc="false" locked="false" layoutInCell="true" allowOverlap="true">
                <wp:simplePos x="0" y="0"/>
                <wp:positionH relativeFrom="page">
                  <wp:posOffset>4368800</wp:posOffset>
                </wp:positionH>
                <wp:positionV relativeFrom="page">
                  <wp:posOffset>6858000</wp:posOffset>
                </wp:positionV>
                <wp:extent cx="914400" cy="266700"/>
                <wp:effectExtent l="0" t="0" r="22225" b="31115"/>
                <wp:wrapNone/>
                <wp:docPr id="7700" name="shape7700"/>
                <wp:cNvGraphicFramePr/>
                <a:graphic>
                  <a:graphicData uri="http://schemas.microsoft.com/office/word/2010/wordprocessingShape">
                    <wps:wsp>
                      <wps:cNvSpPr/>
                      <wps:spPr>
                        <a:xfrm>
                          <a:off x="0" y="0"/>
                          <a:ext cx="914400" cy="266700"/>
                        </a:xfrm>
                        <a:prstGeom prst="rect">
                          <a:avLst/>
                        </a:prstGeom>
                        <a:ln>
                          <a:solidFill>
                            <a:srgbClr val="404040"/>
                          </a:solidFill>
                        </a:ln>
                      </wps:spPr>
                      <wps:txbx>
                        <w:txbxContent>
                          <w:p>
                            <w:pPr>
                              <w:spacing w:line="-260" w:lineRule="exact"/>
                              <w:ind w:left="140"/>
                              <w:jc w:val="both"/>
                            </w:pPr>
                            <w:r>
                              <w:rPr>
                                <w:rFonts w:hint="eastAsia" w:ascii="宋体" w:hAnsi="宋体" w:eastAsia="宋体" w:cs="宋体"/>
                                <w:w w:val="100"/>
                                <w:sz w:val="15"/>
                              </w:rPr>
                              <w:t>应用代码编程</w:t>
                            </w:r>
                          </w:p>
                        </w:txbxContent>
                      </wps:txbx>
                      <wps:bodyPr rot="0" spcFirstLastPara="false" vertOverflow="overflow" horzOverflow="overflow" vert="horz" wrap="square" lIns="1524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2pt;height:21pt;margin-left:344pt;margin-top:540pt;mso-wrap-style:square;z-index:10298128;mso-wrap-distance-left:9pt;mso-wrap-distance-top:0pt;mso-wrap-distance-right:9pt;mso-wrap-distance-bottom:0pt" id="shape7700" o:spid="1618382356910" stroked="t" strokecolor="#404040" strokeweight="1pt">
                <v:textbox>
                  <w:txbxContent>
                    <w:p>
                      <w:pPr>
                        <w:spacing w:line="-260" w:lineRule="exact"/>
                        <w:ind w:left="140"/>
                        <w:jc w:val="both"/>
                      </w:pPr>
                      <w:r>
                        <w:rPr>
                          <w:rFonts w:hint="eastAsia" w:ascii="宋体" w:hAnsi="宋体" w:eastAsia="宋体" w:cs="宋体"/>
                          <w:w w:val="100"/>
                          <w:sz w:val="15"/>
                        </w:rPr>
                        <w:t>应用代码编程</w:t>
                      </w:r>
                    </w:p>
                  </w:txbxContent>
                </v:textbox>
              </v:rect>
            </w:pict>
          </mc:Fallback>
        </mc:AlternateContent>
      </w:r>
      <w:r>
        <mc:AlternateContent>
          <mc:Choice Requires="wps">
            <w:drawing>
              <wp:anchor distT="0" distB="0" distL="114300" distR="114300" simplePos="false" relativeHeight="10291984" behindDoc="false" locked="false" layoutInCell="true" allowOverlap="true">
                <wp:simplePos x="0" y="0"/>
                <wp:positionH relativeFrom="page">
                  <wp:posOffset>4368800</wp:posOffset>
                </wp:positionH>
                <wp:positionV relativeFrom="page">
                  <wp:posOffset>7442200</wp:posOffset>
                </wp:positionV>
                <wp:extent cx="914400" cy="266700"/>
                <wp:effectExtent l="0" t="0" r="22225" b="31115"/>
                <wp:wrapNone/>
                <wp:docPr id="7696" name="shape7696"/>
                <wp:cNvGraphicFramePr/>
                <a:graphic>
                  <a:graphicData uri="http://schemas.microsoft.com/office/word/2010/wordprocessingShape">
                    <wps:wsp>
                      <wps:cNvSpPr/>
                      <wps:spPr>
                        <a:xfrm>
                          <a:off x="0" y="0"/>
                          <a:ext cx="914400" cy="266700"/>
                        </a:xfrm>
                        <a:prstGeom prst="rect">
                          <a:avLst/>
                        </a:prstGeom>
                        <a:ln>
                          <a:solidFill>
                            <a:srgbClr val="404040"/>
                          </a:solidFill>
                        </a:ln>
                      </wps:spPr>
                      <wps:txbx>
                        <w:txbxContent>
                          <w:p>
                            <w:pPr>
                              <w:spacing w:line="-280" w:lineRule="exact"/>
                              <w:ind w:left="140"/>
                              <w:jc w:val="both"/>
                            </w:pPr>
                            <w:r>
                              <w:rPr>
                                <w:rFonts w:hint="eastAsia" w:ascii="宋体" w:hAnsi="宋体" w:eastAsia="宋体" w:cs="宋体"/>
                                <w:w w:val="100"/>
                                <w:sz w:val="15"/>
                              </w:rPr>
                              <w:t>页面代码编程</w:t>
                            </w:r>
                          </w:p>
                        </w:txbxContent>
                      </wps:txbx>
                      <wps:bodyPr rot="0" spcFirstLastPara="false" vertOverflow="overflow" horzOverflow="overflow" vert="horz" wrap="square" lIns="152400" tIns="762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2pt;height:21pt;margin-left:344pt;margin-top:586pt;mso-wrap-style:square;z-index:10291984;mso-wrap-distance-left:9pt;mso-wrap-distance-top:0pt;mso-wrap-distance-right:9pt;mso-wrap-distance-bottom:0pt" id="shape7696" o:spid="1618382356910" stroked="t" strokecolor="#404040" strokeweight="1pt">
                <v:textbox>
                  <w:txbxContent>
                    <w:p>
                      <w:pPr>
                        <w:spacing w:line="-280" w:lineRule="exact"/>
                        <w:ind w:left="140"/>
                        <w:jc w:val="both"/>
                      </w:pPr>
                      <w:r>
                        <w:rPr>
                          <w:rFonts w:hint="eastAsia" w:ascii="宋体" w:hAnsi="宋体" w:eastAsia="宋体" w:cs="宋体"/>
                          <w:w w:val="100"/>
                          <w:sz w:val="15"/>
                        </w:rPr>
                        <w:t>页面代码编程</w:t>
                      </w:r>
                    </w:p>
                  </w:txbxContent>
                </v:textbox>
              </v:rect>
            </w:pict>
          </mc:Fallback>
        </mc:AlternateContent>
      </w:r>
      <w:r>
        <mc:AlternateContent>
          <mc:Choice Requires="wps">
            <w:drawing>
              <wp:anchor distT="0" distB="0" distL="114300" distR="114300" simplePos="false" relativeHeight="10269456" behindDoc="false" locked="false" layoutInCell="true" allowOverlap="true">
                <wp:simplePos x="0" y="0"/>
                <wp:positionH relativeFrom="page">
                  <wp:posOffset>4368800</wp:posOffset>
                </wp:positionH>
                <wp:positionV relativeFrom="page">
                  <wp:posOffset>5499100</wp:posOffset>
                </wp:positionV>
                <wp:extent cx="914400" cy="266700"/>
                <wp:effectExtent l="0" t="0" r="22225" b="31115"/>
                <wp:wrapNone/>
                <wp:docPr id="7679" name="shape7679"/>
                <wp:cNvGraphicFramePr/>
                <a:graphic>
                  <a:graphicData uri="http://schemas.microsoft.com/office/word/2010/wordprocessingShape">
                    <wps:wsp>
                      <wps:cNvSpPr/>
                      <wps:spPr>
                        <a:xfrm>
                          <a:off x="0" y="0"/>
                          <a:ext cx="914400" cy="266700"/>
                        </a:xfrm>
                        <a:prstGeom prst="rect">
                          <a:avLst/>
                        </a:prstGeom>
                        <a:ln>
                          <a:solidFill>
                            <a:srgbClr val="404040"/>
                          </a:solidFill>
                        </a:ln>
                      </wps:spPr>
                      <wps:txbx>
                        <w:txbxContent>
                          <w:p>
                            <w:pPr>
                              <w:spacing w:line="-260" w:lineRule="exact"/>
                              <w:ind w:left="300"/>
                              <w:jc w:val="both"/>
                            </w:pPr>
                            <w:r>
                              <w:rPr>
                                <w:rFonts w:hint="eastAsia" w:ascii="宋体" w:hAnsi="宋体" w:eastAsia="宋体" w:cs="宋体"/>
                                <w:w w:val="100"/>
                                <w:sz w:val="15"/>
                              </w:rPr>
                              <w:t>业务需求</w:t>
                            </w:r>
                          </w:p>
                        </w:txbxContent>
                      </wps:txbx>
                      <wps:bodyPr rot="0" spcFirstLastPara="false" vertOverflow="overflow" horzOverflow="overflow" vert="horz" wrap="square" lIns="254000" tIns="6350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2pt;height:21pt;margin-left:344pt;margin-top:433pt;mso-wrap-style:square;z-index:10269456;mso-wrap-distance-left:9pt;mso-wrap-distance-top:0pt;mso-wrap-distance-right:9pt;mso-wrap-distance-bottom:0pt" id="shape7679" o:spid="1618382356911" stroked="t" strokecolor="#404040" strokeweight="1pt">
                <v:textbox>
                  <w:txbxContent>
                    <w:p>
                      <w:pPr>
                        <w:spacing w:line="-260" w:lineRule="exact"/>
                        <w:ind w:left="300"/>
                        <w:jc w:val="both"/>
                      </w:pPr>
                      <w:r>
                        <w:rPr>
                          <w:rFonts w:hint="eastAsia" w:ascii="宋体" w:hAnsi="宋体" w:eastAsia="宋体" w:cs="宋体"/>
                          <w:w w:val="100"/>
                          <w:sz w:val="15"/>
                        </w:rPr>
                        <w:t>业务需求</w:t>
                      </w:r>
                    </w:p>
                  </w:txbxContent>
                </v:textbox>
              </v:rect>
            </w:pict>
          </mc:Fallback>
        </mc:AlternateContent>
      </w:r>
      <w:r>
        <mc:AlternateContent>
          <mc:Choice Requires="wps">
            <w:drawing>
              <wp:anchor distT="0" distB="0" distL="114300" distR="114300" simplePos="false" relativeHeight="10351376" behindDoc="false" locked="false" layoutInCell="true" allowOverlap="true">
                <wp:simplePos x="0" y="0"/>
                <wp:positionH relativeFrom="page">
                  <wp:posOffset>4762500</wp:posOffset>
                </wp:positionH>
                <wp:positionV relativeFrom="page">
                  <wp:posOffset>8712200</wp:posOffset>
                </wp:positionV>
                <wp:extent cx="927100" cy="177800"/>
                <wp:effectExtent l="0" t="0" r="22225" b="31115"/>
                <wp:wrapNone/>
                <wp:docPr id="7744" name="shape7744"/>
                <wp:cNvGraphicFramePr/>
                <a:graphic>
                  <a:graphicData uri="http://schemas.microsoft.com/office/word/2010/wordprocessingShape">
                    <wps:wsp>
                      <wps:cNvSpPr/>
                      <wps:spPr>
                        <a:xfrm>
                          <a:off x="0" y="0"/>
                          <a:ext cx="927100" cy="177800"/>
                        </a:xfrm>
                        <a:prstGeom prst="rect">
                          <a:avLst/>
                        </a:prstGeom>
                      </wps:spPr>
                      <wps:txbx>
                        <w:txbxContent>
                          <w:p>
                            <w:pPr>
                              <w:spacing w:line="-180" w:lineRule="exact"/>
                              <w:ind w:left="0"/>
                              <w:jc w:val="both"/>
                            </w:pPr>
                            <w:r>
                              <w:rPr>
                                <w:rFonts w:hint="eastAsia" w:ascii="宋体" w:hAnsi="宋体" w:eastAsia="宋体" w:cs="宋体"/>
                                <w:b/>
                                <w:w w:val="100"/>
                                <w:sz w:val="10"/>
                              </w:rPr>
                              <w:t>一</w:t>
                            </w:r>
                            <w:r>
                              <w:rPr>
                                <w:rFonts w:hint="eastAsia" w:ascii="宋体" w:hAnsi="宋体" w:eastAsia="宋体" w:cs="宋体"/>
                                <w:b/>
                                <w:w w:val="100"/>
                                <w:sz w:val="15"/>
                              </w:rPr>
                              <w:t>般软件开发过程</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3pt;height:14pt;margin-left:375pt;margin-top:686pt;mso-wrap-style:square;z-index:10351376;mso-wrap-distance-left:9pt;mso-wrap-distance-top:0pt;mso-wrap-distance-right:9pt;mso-wrap-distance-bottom:0pt" id="shape7744" o:spid="1618382356911" stroked="f">
                <v:textbox>
                  <w:txbxContent>
                    <w:p>
                      <w:pPr>
                        <w:spacing w:line="-180" w:lineRule="exact"/>
                        <w:ind w:left="0"/>
                        <w:jc w:val="both"/>
                      </w:pPr>
                      <w:r>
                        <w:rPr>
                          <w:rFonts w:hint="eastAsia" w:ascii="宋体" w:hAnsi="宋体" w:eastAsia="宋体" w:cs="宋体"/>
                          <w:b/>
                          <w:w w:val="100"/>
                          <w:sz w:val="10"/>
                        </w:rPr>
                        <w:t>一</w:t>
                      </w:r>
                      <w:r>
                        <w:rPr>
                          <w:rFonts w:hint="eastAsia" w:ascii="宋体" w:hAnsi="宋体" w:eastAsia="宋体" w:cs="宋体"/>
                          <w:b/>
                          <w:w w:val="100"/>
                          <w:sz w:val="15"/>
                        </w:rPr>
                        <w:t>般软件开发过程</w:t>
                      </w:r>
                    </w:p>
                  </w:txbxContent>
                </v:textbox>
              </v:rect>
            </w:pict>
          </mc:Fallback>
        </mc:AlternateContent>
      </w:r>
      <w:r>
        <mc:AlternateContent>
          <mc:Choice Requires="wps">
            <w:drawing>
              <wp:anchor distT="0" distB="0" distL="114300" distR="114300" simplePos="false" relativeHeight="10352400" behindDoc="false" locked="false" layoutInCell="true" allowOverlap="true">
                <wp:simplePos x="0" y="0"/>
                <wp:positionH relativeFrom="page">
                  <wp:posOffset>4546600</wp:posOffset>
                </wp:positionH>
                <wp:positionV relativeFrom="page">
                  <wp:posOffset>7734300</wp:posOffset>
                </wp:positionV>
                <wp:extent cx="736600" cy="177800"/>
                <wp:effectExtent l="0" t="0" r="22225" b="31115"/>
                <wp:wrapNone/>
                <wp:docPr id="7745" name="shape7745"/>
                <wp:cNvGraphicFramePr/>
                <a:graphic>
                  <a:graphicData uri="http://schemas.microsoft.com/office/word/2010/wordprocessingShape">
                    <wps:wsp>
                      <wps:cNvSpPr/>
                      <wps:spPr>
                        <a:xfrm>
                          <a:off x="0" y="0"/>
                          <a:ext cx="736600" cy="177800"/>
                        </a:xfrm>
                        <a:prstGeom prst="rect">
                          <a:avLst/>
                        </a:prstGeom>
                      </wps:spPr>
                      <wps:txbx>
                        <w:txbxContent>
                          <w:p>
                            <w:pPr>
                              <w:spacing w:line="-180" w:lineRule="exact"/>
                              <w:ind w:left="0"/>
                              <w:jc w:val="both"/>
                            </w:pPr>
                            <w:r>
                              <w:rPr>
                                <w:rFonts w:hint="eastAsia" w:ascii="宋体" w:hAnsi="宋体" w:eastAsia="宋体" w:cs="宋体"/>
                                <w:w w:val="100"/>
                                <w:sz w:val="15"/>
                              </w:rPr>
                              <w:t>页面代码测试</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14pt;margin-left:358pt;margin-top:609pt;mso-wrap-style:square;z-index:10352400;mso-wrap-distance-left:9pt;mso-wrap-distance-top:0pt;mso-wrap-distance-right:9pt;mso-wrap-distance-bottom:0pt" id="shape7745" o:spid="1618382356911" stroked="f">
                <v:textbox>
                  <w:txbxContent>
                    <w:p>
                      <w:pPr>
                        <w:spacing w:line="-180" w:lineRule="exact"/>
                        <w:ind w:left="0"/>
                        <w:jc w:val="both"/>
                      </w:pPr>
                      <w:r>
                        <w:rPr>
                          <w:rFonts w:hint="eastAsia" w:ascii="宋体" w:hAnsi="宋体" w:eastAsia="宋体" w:cs="宋体"/>
                          <w:w w:val="100"/>
                          <w:sz w:val="15"/>
                        </w:rPr>
                        <w:t>页面代码测试</w:t>
                      </w:r>
                    </w:p>
                  </w:txbxContent>
                </v:textbox>
              </v:rect>
            </w:pict>
          </mc:Fallback>
        </mc:AlternateContent>
      </w:r>
      <w:r>
        <mc:AlternateContent>
          <mc:Choice Requires="wps">
            <w:drawing>
              <wp:anchor distT="0" distB="0" distL="114300" distR="114300" simplePos="false" relativeHeight="10353424" behindDoc="false" locked="false" layoutInCell="true" allowOverlap="true">
                <wp:simplePos x="0" y="0"/>
                <wp:positionH relativeFrom="page">
                  <wp:posOffset>4546600</wp:posOffset>
                </wp:positionH>
                <wp:positionV relativeFrom="page">
                  <wp:posOffset>7150100</wp:posOffset>
                </wp:positionV>
                <wp:extent cx="736600" cy="177800"/>
                <wp:effectExtent l="0" t="0" r="22225" b="31115"/>
                <wp:wrapNone/>
                <wp:docPr id="7746" name="shape7746"/>
                <wp:cNvGraphicFramePr/>
                <a:graphic>
                  <a:graphicData uri="http://schemas.microsoft.com/office/word/2010/wordprocessingShape">
                    <wps:wsp>
                      <wps:cNvSpPr/>
                      <wps:spPr>
                        <a:xfrm>
                          <a:off x="0" y="0"/>
                          <a:ext cx="736600" cy="177800"/>
                        </a:xfrm>
                        <a:prstGeom prst="rect">
                          <a:avLst/>
                        </a:prstGeom>
                      </wps:spPr>
                      <wps:txbx>
                        <w:txbxContent>
                          <w:p>
                            <w:pPr>
                              <w:spacing w:line="-180" w:lineRule="exact"/>
                              <w:ind w:left="0"/>
                              <w:jc w:val="both"/>
                            </w:pPr>
                            <w:r>
                              <w:rPr>
                                <w:rFonts w:hint="eastAsia" w:ascii="宋体" w:hAnsi="宋体" w:eastAsia="宋体" w:cs="宋体"/>
                                <w:w w:val="100"/>
                                <w:sz w:val="15"/>
                              </w:rPr>
                              <w:t>应用代码测试</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14pt;margin-left:358pt;margin-top:563pt;mso-wrap-style:square;z-index:10353424;mso-wrap-distance-left:9pt;mso-wrap-distance-top:0pt;mso-wrap-distance-right:9pt;mso-wrap-distance-bottom:0pt" id="shape7746" o:spid="1618382356912" stroked="f">
                <v:textbox>
                  <w:txbxContent>
                    <w:p>
                      <w:pPr>
                        <w:spacing w:line="-180" w:lineRule="exact"/>
                        <w:ind w:left="0"/>
                        <w:jc w:val="both"/>
                      </w:pPr>
                      <w:r>
                        <w:rPr>
                          <w:rFonts w:hint="eastAsia" w:ascii="宋体" w:hAnsi="宋体" w:eastAsia="宋体" w:cs="宋体"/>
                          <w:w w:val="100"/>
                          <w:sz w:val="15"/>
                        </w:rPr>
                        <w:t>应用代码测试</w:t>
                      </w:r>
                    </w:p>
                  </w:txbxContent>
                </v:textbox>
              </v:rect>
            </w:pict>
          </mc:Fallback>
        </mc:AlternateContent>
      </w:r>
      <w:r>
        <mc:AlternateContent>
          <mc:Choice Requires="wps">
            <w:drawing>
              <wp:anchor distT="0" distB="0" distL="114300" distR="114300" simplePos="false" relativeHeight="10354448" behindDoc="false" locked="false" layoutInCell="true" allowOverlap="true">
                <wp:simplePos x="0" y="0"/>
                <wp:positionH relativeFrom="page">
                  <wp:posOffset>3810000</wp:posOffset>
                </wp:positionH>
                <wp:positionV relativeFrom="page">
                  <wp:posOffset>6985000</wp:posOffset>
                </wp:positionV>
                <wp:extent cx="533400" cy="165100"/>
                <wp:effectExtent l="0" t="0" r="22225" b="31115"/>
                <wp:wrapNone/>
                <wp:docPr id="7747" name="shape7747"/>
                <wp:cNvGraphicFramePr/>
                <a:graphic>
                  <a:graphicData uri="http://schemas.microsoft.com/office/word/2010/wordprocessingShape">
                    <wps:wsp>
                      <wps:cNvSpPr/>
                      <wps:spPr>
                        <a:xfrm>
                          <a:off x="0" y="0"/>
                          <a:ext cx="533400" cy="165100"/>
                        </a:xfrm>
                        <a:prstGeom prst="rect">
                          <a:avLst/>
                        </a:prstGeom>
                      </wps:spPr>
                      <wps:txbx>
                        <w:txbxContent>
                          <w:p>
                            <w:pPr>
                              <w:spacing w:line="-160" w:lineRule="exact"/>
                              <w:ind w:left="0"/>
                              <w:jc w:val="both"/>
                            </w:pPr>
                            <w:r>
                              <w:rPr>
                                <w:rFonts w:hint="eastAsia" w:ascii="宋体" w:hAnsi="宋体" w:eastAsia="宋体" w:cs="宋体"/>
                                <w:w w:val="100"/>
                                <w:sz w:val="15"/>
                              </w:rPr>
                              <w:t>循环完善</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2pt;height:13pt;margin-left:300pt;margin-top:550pt;mso-wrap-style:square;z-index:10354448;mso-wrap-distance-left:9pt;mso-wrap-distance-top:0pt;mso-wrap-distance-right:9pt;mso-wrap-distance-bottom:0pt" id="shape7747" o:spid="1618382356912" stroked="f">
                <v:textbox>
                  <w:txbxContent>
                    <w:p>
                      <w:pPr>
                        <w:spacing w:line="-160" w:lineRule="exact"/>
                        <w:ind w:left="0"/>
                        <w:jc w:val="both"/>
                      </w:pPr>
                      <w:r>
                        <w:rPr>
                          <w:rFonts w:hint="eastAsia" w:ascii="宋体" w:hAnsi="宋体" w:eastAsia="宋体" w:cs="宋体"/>
                          <w:w w:val="100"/>
                          <w:sz w:val="15"/>
                        </w:rPr>
                        <w:t>循环完善</w:t>
                      </w:r>
                    </w:p>
                  </w:txbxContent>
                </v:textbox>
              </v:rect>
            </w:pict>
          </mc:Fallback>
        </mc:AlternateContent>
      </w:r>
      <w:r>
        <mc:AlternateContent>
          <mc:Choice Requires="wps">
            <w:drawing>
              <wp:anchor distT="0" distB="0" distL="114300" distR="114300" simplePos="false" relativeHeight="10356496" behindDoc="false" locked="false" layoutInCell="true" allowOverlap="true">
                <wp:simplePos x="0" y="0"/>
                <wp:positionH relativeFrom="page">
                  <wp:posOffset>1981200</wp:posOffset>
                </wp:positionH>
                <wp:positionV relativeFrom="page">
                  <wp:posOffset>8712200</wp:posOffset>
                </wp:positionV>
                <wp:extent cx="1270000" cy="177800"/>
                <wp:effectExtent l="0" t="0" r="22225" b="31115"/>
                <wp:wrapNone/>
                <wp:docPr id="7749" name="shape7749"/>
                <wp:cNvGraphicFramePr/>
                <a:graphic>
                  <a:graphicData uri="http://schemas.microsoft.com/office/word/2010/wordprocessingShape">
                    <wps:wsp>
                      <wps:cNvSpPr/>
                      <wps:spPr>
                        <a:xfrm>
                          <a:off x="0" y="0"/>
                          <a:ext cx="1270000" cy="177800"/>
                        </a:xfrm>
                        <a:prstGeom prst="rect">
                          <a:avLst/>
                        </a:prstGeom>
                      </wps:spPr>
                      <wps:txbx>
                        <w:txbxContent>
                          <w:p>
                            <w:pPr>
                              <w:spacing w:line="-180" w:lineRule="exact"/>
                              <w:ind w:left="0"/>
                              <w:jc w:val="both"/>
                            </w:pPr>
                            <w:r>
                              <w:rPr>
                                <w:rFonts w:hint="eastAsia" w:ascii="CALIBRI,Bold" w:hAnsi="CALIBRI,Bold" w:eastAsia="CALIBRI,Bold" w:cs="CALIBRI,Bold"/>
                                <w:b/>
                                <w:w w:val="100"/>
                                <w:sz w:val="15"/>
                              </w:rPr>
                              <w:t>LiveBOS</w:t>
                            </w:r>
                            <w:r>
                              <w:rPr>
                                <w:rFonts w:hint="eastAsia" w:ascii="宋体" w:hAnsi="宋体" w:eastAsia="宋体" w:cs="宋体"/>
                                <w:b/>
                                <w:w w:val="100"/>
                                <w:sz w:val="15"/>
                              </w:rPr>
                              <w:t>平台应用开发过程</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0pt;height:14pt;margin-left:156pt;margin-top:686pt;mso-wrap-style:square;z-index:10356496;mso-wrap-distance-left:9pt;mso-wrap-distance-top:0pt;mso-wrap-distance-right:9pt;mso-wrap-distance-bottom:0pt" id="shape7749" o:spid="1618382356912" stroked="f">
                <v:textbox>
                  <w:txbxContent>
                    <w:p>
                      <w:pPr>
                        <w:spacing w:line="-180" w:lineRule="exact"/>
                        <w:ind w:left="0"/>
                        <w:jc w:val="both"/>
                      </w:pPr>
                      <w:r>
                        <w:rPr>
                          <w:rFonts w:hint="eastAsia" w:ascii="CALIBRI,Bold" w:hAnsi="CALIBRI,Bold" w:eastAsia="CALIBRI,Bold" w:cs="CALIBRI,Bold"/>
                          <w:b/>
                          <w:w w:val="100"/>
                          <w:sz w:val="15"/>
                        </w:rPr>
                        <w:t>LiveBOS</w:t>
                      </w:r>
                      <w:r>
                        <w:rPr>
                          <w:rFonts w:hint="eastAsia" w:ascii="宋体" w:hAnsi="宋体" w:eastAsia="宋体" w:cs="宋体"/>
                          <w:b/>
                          <w:w w:val="100"/>
                          <w:sz w:val="15"/>
                        </w:rPr>
                        <w:t>平台应用开发过程</w:t>
                      </w:r>
                    </w:p>
                  </w:txbxContent>
                </v:textbox>
              </v:rect>
            </w:pict>
          </mc:Fallback>
        </mc:AlternateContent>
      </w:r>
      <w:r>
        <mc:AlternateContent>
          <mc:Choice Requires="wps">
            <w:drawing>
              <wp:anchor distT="0" distB="0" distL="114300" distR="114300" simplePos="false" relativeHeight="10358544" behindDoc="false" locked="false" layoutInCell="true" allowOverlap="true">
                <wp:simplePos x="0" y="0"/>
                <wp:positionH relativeFrom="page">
                  <wp:posOffset>1460500</wp:posOffset>
                </wp:positionH>
                <wp:positionV relativeFrom="page">
                  <wp:posOffset>6908800</wp:posOffset>
                </wp:positionV>
                <wp:extent cx="876300" cy="165100"/>
                <wp:effectExtent l="0" t="0" r="22225" b="31115"/>
                <wp:wrapNone/>
                <wp:docPr id="7751" name="shape7751"/>
                <wp:cNvGraphicFramePr/>
                <a:graphic>
                  <a:graphicData uri="http://schemas.microsoft.com/office/word/2010/wordprocessingShape">
                    <wps:wsp>
                      <wps:cNvSpPr/>
                      <wps:spPr>
                        <a:xfrm>
                          <a:off x="0" y="0"/>
                          <a:ext cx="876300" cy="165100"/>
                        </a:xfrm>
                        <a:prstGeom prst="rect">
                          <a:avLst/>
                        </a:prstGeom>
                      </wps:spPr>
                      <wps:txbx>
                        <w:txbxContent>
                          <w:p>
                            <w:pPr>
                              <w:spacing w:line="-160" w:lineRule="exact"/>
                              <w:ind w:left="0"/>
                              <w:jc w:val="both"/>
                            </w:pPr>
                            <w:r>
                              <w:rPr>
                                <w:rFonts w:hint="eastAsia" w:ascii="Calibri" w:hAnsi="Calibri" w:eastAsia="Calibri" w:cs="Calibri"/>
                                <w:w w:val="100"/>
                                <w:sz w:val="15"/>
                              </w:rPr>
                              <w:t>LiveBOS</w:t>
                            </w:r>
                            <w:r>
                              <w:rPr>
                                <w:rFonts w:hint="eastAsia" w:ascii="宋体" w:hAnsi="宋体" w:eastAsia="宋体" w:cs="宋体"/>
                                <w:w w:val="100"/>
                                <w:sz w:val="15"/>
                              </w:rPr>
                              <w:t xml:space="preserve"> 建模工具</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9pt;height:13pt;margin-left:115pt;margin-top:544pt;mso-wrap-style:square;z-index:10358544;mso-wrap-distance-left:9pt;mso-wrap-distance-top:0pt;mso-wrap-distance-right:9pt;mso-wrap-distance-bottom:0pt" id="shape7751" o:spid="1618382356913" stroked="f">
                <v:textbox>
                  <w:txbxContent>
                    <w:p>
                      <w:pPr>
                        <w:spacing w:line="-160" w:lineRule="exact"/>
                        <w:ind w:left="0"/>
                        <w:jc w:val="both"/>
                      </w:pPr>
                      <w:r>
                        <w:rPr>
                          <w:rFonts w:hint="eastAsia" w:ascii="Calibri" w:hAnsi="Calibri" w:eastAsia="Calibri" w:cs="Calibri"/>
                          <w:w w:val="100"/>
                          <w:sz w:val="15"/>
                        </w:rPr>
                        <w:t>LiveBOS</w:t>
                      </w:r>
                      <w:r>
                        <w:rPr>
                          <w:rFonts w:hint="eastAsia" w:ascii="宋体" w:hAnsi="宋体" w:eastAsia="宋体" w:cs="宋体"/>
                          <w:w w:val="100"/>
                          <w:sz w:val="15"/>
                        </w:rPr>
                        <w:t xml:space="preserve"> 建模工具</w:t>
                      </w:r>
                    </w:p>
                  </w:txbxContent>
                </v:textbox>
              </v:rect>
            </w:pict>
          </mc:Fallback>
        </mc:AlternateContent>
      </w:r>
      <w:r>
        <mc:AlternateContent>
          <mc:Choice Requires="wps">
            <w:drawing>
              <wp:anchor distT="0" distB="0" distL="114300" distR="114300" simplePos="false" relativeHeight="10360592" behindDoc="false" locked="false" layoutInCell="true" allowOverlap="true">
                <wp:simplePos x="0" y="0"/>
                <wp:positionH relativeFrom="page">
                  <wp:posOffset>3505200</wp:posOffset>
                </wp:positionH>
                <wp:positionV relativeFrom="page">
                  <wp:posOffset>9918700</wp:posOffset>
                </wp:positionV>
                <wp:extent cx="546100" cy="165100"/>
                <wp:effectExtent l="0" t="0" r="22225" b="31115"/>
                <wp:wrapNone/>
                <wp:docPr id="7753" name="shape7753"/>
                <wp:cNvGraphicFramePr/>
                <a:graphic>
                  <a:graphicData uri="http://schemas.microsoft.com/office/word/2010/wordprocessingShape">
                    <wps:wsp>
                      <wps:cNvSpPr/>
                      <wps:spPr>
                        <a:xfrm>
                          <a:off x="0" y="0"/>
                          <a:ext cx="546100" cy="165100"/>
                        </a:xfrm>
                        <a:prstGeom prst="rect">
                          <a:avLst/>
                        </a:prstGeom>
                      </wps:spPr>
                      <wps:txbx>
                        <w:txbxContent>
                          <w:p>
                            <w:pPr>
                              <w:spacing w:line="-160" w:lineRule="exact"/>
                              <w:ind w:left="0"/>
                              <w:jc w:val="both"/>
                            </w:pPr>
                            <w:r>
                              <w:rPr>
                                <w:rFonts w:hint="eastAsia" w:ascii="Times New Roman" w:hAnsi="Times New Roman" w:eastAsia="Times New Roman" w:cs="Times New Roman"/>
                                <w:sz w:val="21"/>
                              </w:rPr>
                              <w:t>1-1-159</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3pt;height:13pt;margin-left:276pt;margin-top:781pt;mso-wrap-style:square;z-index:10360592;mso-wrap-distance-left:9pt;mso-wrap-distance-top:0pt;mso-wrap-distance-right:9pt;mso-wrap-distance-bottom:0pt" id="shape7753" o:spid="1618382356913" stroked="f">
                <v:textbox>
                  <w:txbxContent>
                    <w:p>
                      <w:pPr>
                        <w:spacing w:line="-160" w:lineRule="exact"/>
                        <w:ind w:left="0"/>
                        <w:jc w:val="both"/>
                      </w:pPr>
                      <w:r>
                        <w:rPr>
                          <w:rFonts w:hint="eastAsia" w:ascii="Times New Roman" w:hAnsi="Times New Roman" w:eastAsia="Times New Roman" w:cs="Times New Roman"/>
                          <w:sz w:val="21"/>
                        </w:rPr>
                        <w:t>1-1-159</w:t>
                      </w:r>
                    </w:p>
                  </w:txbxContent>
                </v:textbox>
              </v:rect>
            </w:pict>
          </mc:Fallback>
        </mc:AlternateContent>
      </w:r>
      <w:r>
        <mc:AlternateContent>
          <mc:Choice Requires="wps">
            <w:drawing>
              <wp:anchor distT="0" distB="0" distL="114300" distR="114300" simplePos="false" relativeHeight="10361616" behindDoc="false" locked="false" layoutInCell="true" allowOverlap="true">
                <wp:simplePos x="0" y="0"/>
                <wp:positionH relativeFrom="page">
                  <wp:posOffset>1155700</wp:posOffset>
                </wp:positionH>
                <wp:positionV relativeFrom="page">
                  <wp:posOffset>9550400</wp:posOffset>
                </wp:positionV>
                <wp:extent cx="5537200" cy="215900"/>
                <wp:effectExtent l="0" t="0" r="22225" b="31115"/>
                <wp:wrapNone/>
                <wp:docPr id="7754" name="shape7754"/>
                <wp:cNvGraphicFramePr/>
                <a:graphic>
                  <a:graphicData uri="http://schemas.microsoft.com/office/word/2010/wordprocessingShape">
                    <wps:wsp>
                      <wps:cNvSpPr/>
                      <wps:spPr>
                        <a:xfrm>
                          <a:off x="0" y="0"/>
                          <a:ext cx="5537200" cy="215900"/>
                        </a:xfrm>
                        <a:prstGeom prst="rect">
                          <a:avLst/>
                        </a:prstGeom>
                      </wps:spPr>
                      <wps:txbx>
                        <w:txbxContent>
                          <w:p>
                            <w:pPr>
                              <w:spacing w:line="-240" w:lineRule="exact"/>
                              <w:ind w:left="0"/>
                              <w:jc w:val="both"/>
                            </w:pPr>
                            <w:r>
                              <w:rPr>
                                <w:rFonts w:hint="eastAsia" w:ascii="宋体" w:hAnsi="宋体" w:eastAsia="宋体" w:cs="宋体"/>
                                <w:sz w:val="24"/>
                              </w:rPr>
                              <w:t>公司将经营所需的软硬件设备</w:t>
                            </w:r>
                            <w:r>
                              <w:rPr>
                                <w:rFonts w:hint="eastAsia" w:ascii="宋体" w:hAnsi="宋体" w:eastAsia="宋体" w:cs="宋体"/>
                                <w:sz w:val="10"/>
                              </w:rPr>
                              <w:t>、</w:t>
                            </w:r>
                            <w:r>
                              <w:rPr>
                                <w:rFonts w:hint="eastAsia" w:ascii="宋体" w:hAnsi="宋体" w:eastAsia="宋体" w:cs="宋体"/>
                                <w:sz w:val="24"/>
                              </w:rPr>
                              <w:t>原材料</w:t>
                            </w:r>
                            <w:r>
                              <w:rPr>
                                <w:rFonts w:hint="eastAsia" w:ascii="宋体" w:hAnsi="宋体" w:eastAsia="宋体" w:cs="宋体"/>
                                <w:sz w:val="10"/>
                              </w:rPr>
                              <w:t>、</w:t>
                            </w:r>
                            <w:r>
                              <w:rPr>
                                <w:rFonts w:hint="eastAsia" w:ascii="宋体" w:hAnsi="宋体" w:eastAsia="宋体" w:cs="宋体"/>
                                <w:sz w:val="24"/>
                              </w:rPr>
                              <w:t>物品均列入公司统一采购范畴</w:t>
                            </w:r>
                            <w:r>
                              <w:rPr>
                                <w:rFonts w:hint="eastAsia" w:ascii="宋体" w:hAnsi="宋体" w:eastAsia="宋体" w:cs="宋体"/>
                                <w:sz w:val="10"/>
                              </w:rPr>
                              <w:t>。</w:t>
                            </w:r>
                            <w:r>
                              <w:rPr>
                                <w:rFonts w:hint="eastAsia" w:ascii="宋体" w:hAnsi="宋体" w:eastAsia="宋体" w:cs="宋体"/>
                                <w:sz w:val="24"/>
                              </w:rPr>
                              <w:t>营销部门</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36pt;height:17pt;margin-left:91pt;margin-top:752pt;mso-wrap-style:square;z-index:10361616;mso-wrap-distance-left:9pt;mso-wrap-distance-top:0pt;mso-wrap-distance-right:9pt;mso-wrap-distance-bottom:0pt" id="shape7754" o:spid="1618382356913" stroked="f">
                <v:textbox>
                  <w:txbxContent>
                    <w:p>
                      <w:pPr>
                        <w:spacing w:line="-240" w:lineRule="exact"/>
                        <w:ind w:left="0"/>
                        <w:jc w:val="both"/>
                      </w:pPr>
                      <w:r>
                        <w:rPr>
                          <w:rFonts w:hint="eastAsia" w:ascii="宋体" w:hAnsi="宋体" w:eastAsia="宋体" w:cs="宋体"/>
                          <w:sz w:val="24"/>
                        </w:rPr>
                        <w:t>公司将经营所需的软硬件设备</w:t>
                      </w:r>
                      <w:r>
                        <w:rPr>
                          <w:rFonts w:hint="eastAsia" w:ascii="宋体" w:hAnsi="宋体" w:eastAsia="宋体" w:cs="宋体"/>
                          <w:sz w:val="10"/>
                        </w:rPr>
                        <w:t>、</w:t>
                      </w:r>
                      <w:r>
                        <w:rPr>
                          <w:rFonts w:hint="eastAsia" w:ascii="宋体" w:hAnsi="宋体" w:eastAsia="宋体" w:cs="宋体"/>
                          <w:sz w:val="24"/>
                        </w:rPr>
                        <w:t>原材料</w:t>
                      </w:r>
                      <w:r>
                        <w:rPr>
                          <w:rFonts w:hint="eastAsia" w:ascii="宋体" w:hAnsi="宋体" w:eastAsia="宋体" w:cs="宋体"/>
                          <w:sz w:val="10"/>
                        </w:rPr>
                        <w:t>、</w:t>
                      </w:r>
                      <w:r>
                        <w:rPr>
                          <w:rFonts w:hint="eastAsia" w:ascii="宋体" w:hAnsi="宋体" w:eastAsia="宋体" w:cs="宋体"/>
                          <w:sz w:val="24"/>
                        </w:rPr>
                        <w:t>物品均列入公司统一采购范畴</w:t>
                      </w:r>
                      <w:r>
                        <w:rPr>
                          <w:rFonts w:hint="eastAsia" w:ascii="宋体" w:hAnsi="宋体" w:eastAsia="宋体" w:cs="宋体"/>
                          <w:sz w:val="10"/>
                        </w:rPr>
                        <w:t>。</w:t>
                      </w:r>
                      <w:r>
                        <w:rPr>
                          <w:rFonts w:hint="eastAsia" w:ascii="宋体" w:hAnsi="宋体" w:eastAsia="宋体" w:cs="宋体"/>
                          <w:sz w:val="24"/>
                        </w:rPr>
                        <w:t>营销部门</w:t>
                      </w:r>
                    </w:p>
                  </w:txbxContent>
                </v:textbox>
              </v:rect>
            </w:pict>
          </mc:Fallback>
        </mc:AlternateContent>
      </w:r>
      <w:r>
        <mc:AlternateContent>
          <mc:Choice Requires="wps">
            <w:drawing>
              <wp:anchor distT="0" distB="0" distL="114300" distR="114300" simplePos="false" relativeHeight="10362640" behindDoc="false" locked="false" layoutInCell="true" allowOverlap="true">
                <wp:simplePos x="0" y="0"/>
                <wp:positionH relativeFrom="page">
                  <wp:posOffset>1155700</wp:posOffset>
                </wp:positionH>
                <wp:positionV relativeFrom="page">
                  <wp:posOffset>9144000</wp:posOffset>
                </wp:positionV>
                <wp:extent cx="1117600" cy="228600"/>
                <wp:effectExtent l="0" t="0" r="22225" b="31115"/>
                <wp:wrapNone/>
                <wp:docPr id="7755" name="shape7755"/>
                <wp:cNvGraphicFramePr/>
                <a:graphic>
                  <a:graphicData uri="http://schemas.microsoft.com/office/word/2010/wordprocessingShape">
                    <wps:wsp>
                      <wps:cNvSpPr/>
                      <wps:spPr>
                        <a:xfrm>
                          <a:off x="0" y="0"/>
                          <a:ext cx="1117600" cy="228600"/>
                        </a:xfrm>
                        <a:prstGeom prst="rect">
                          <a:avLst/>
                        </a:prstGeom>
                      </wps:spPr>
                      <wps:txbx>
                        <w:txbxContent>
                          <w:p>
                            <w:pPr>
                              <w:spacing w:line="-260" w:lineRule="exact"/>
                              <w:ind w:left="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采购模式</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8pt;height:18pt;margin-left:91pt;margin-top:720pt;mso-wrap-style:square;z-index:10362640;mso-wrap-distance-left:9pt;mso-wrap-distance-top:0pt;mso-wrap-distance-right:9pt;mso-wrap-distance-bottom:0pt" id="shape7755" o:spid="1618382356914" stroked="f">
                <v:textbox>
                  <w:txbxContent>
                    <w:p>
                      <w:pPr>
                        <w:spacing w:line="-260" w:lineRule="exact"/>
                        <w:ind w:left="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采购模式</w:t>
                      </w:r>
                    </w:p>
                  </w:txbxContent>
                </v:textbox>
              </v:rect>
            </w:pict>
          </mc:Fallback>
        </mc:AlternateContent>
      </w:r>
      <w:r>
        <mc:AlternateContent>
          <mc:Choice Requires="wps">
            <w:drawing>
              <wp:anchor distT="0" distB="0" distL="114300" distR="114300" simplePos="false" relativeHeight="10363664" behindDoc="false" locked="false" layoutInCell="true" allowOverlap="true">
                <wp:simplePos x="0" y="0"/>
                <wp:positionH relativeFrom="page">
                  <wp:posOffset>850900</wp:posOffset>
                </wp:positionH>
                <wp:positionV relativeFrom="page">
                  <wp:posOffset>3340100</wp:posOffset>
                </wp:positionV>
                <wp:extent cx="5867400" cy="1803400"/>
                <wp:effectExtent l="0" t="0" r="22225" b="31115"/>
                <wp:wrapNone/>
                <wp:docPr id="7756" name="shape7756"/>
                <wp:cNvGraphicFramePr/>
                <a:graphic>
                  <a:graphicData uri="http://schemas.microsoft.com/office/word/2010/wordprocessingShape">
                    <wps:wsp>
                      <wps:cNvSpPr/>
                      <wps:spPr>
                        <a:xfrm>
                          <a:off x="0" y="0"/>
                          <a:ext cx="5867400" cy="1803400"/>
                        </a:xfrm>
                        <a:prstGeom prst="rect">
                          <a:avLst/>
                        </a:prstGeom>
                      </wps:spPr>
                      <wps:txbx>
                        <w:txbxContent>
                          <w:p>
                            <w:pPr>
                              <w:spacing w:line="-240" w:lineRule="exact"/>
                              <w:ind w:left="380"/>
                              <w:jc w:val="both"/>
                            </w:pPr>
                            <w:r>
                              <w:rPr>
                                <w:rFonts w:hint="eastAsia" w:ascii="宋体" w:hAnsi="宋体" w:eastAsia="宋体" w:cs="宋体"/>
                                <w:sz w:val="24"/>
                              </w:rPr>
                              <w:t>③生成应用软件</w:t>
                            </w:r>
                            <w:r>
                              <w:rPr>
                                <w:rFonts w:hint="eastAsia" w:ascii="宋体" w:hAnsi="宋体" w:eastAsia="宋体" w:cs="宋体"/>
                                <w:sz w:val="12"/>
                              </w:rPr>
                              <w:t>：</w:t>
                            </w:r>
                            <w:r>
                              <w:rPr>
                                <w:rFonts w:hint="eastAsia" w:ascii="宋体" w:hAnsi="宋体" w:eastAsia="宋体" w:cs="宋体"/>
                                <w:sz w:val="24"/>
                              </w:rPr>
                              <w:t>利用</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运行平台来执行业务模型</w:t>
                            </w:r>
                            <w:r>
                              <w:rPr>
                                <w:rFonts w:hint="eastAsia" w:ascii="宋体" w:hAnsi="宋体" w:eastAsia="宋体" w:cs="宋体"/>
                                <w:sz w:val="10"/>
                              </w:rPr>
                              <w:t>，</w:t>
                            </w:r>
                            <w:r>
                              <w:rPr>
                                <w:rFonts w:hint="eastAsia" w:ascii="宋体" w:hAnsi="宋体" w:eastAsia="宋体" w:cs="宋体"/>
                                <w:sz w:val="24"/>
                              </w:rPr>
                              <w:t>最终实现应用软件的</w:t>
                            </w:r>
                          </w:p>
                          <w:p>
                            <w:pPr>
                              <w:spacing w:line="460" w:lineRule="exact"/>
                              <w:ind w:left="0"/>
                              <w:jc w:val="both"/>
                            </w:pPr>
                            <w:r>
                              <w:rPr>
                                <w:rFonts w:hint="eastAsia" w:ascii="宋体" w:hAnsi="宋体" w:eastAsia="宋体" w:cs="宋体"/>
                                <w:sz w:val="24"/>
                              </w:rPr>
                              <w:t>快捷开发</w:t>
                            </w:r>
                            <w:r>
                              <w:rPr>
                                <w:rFonts w:hint="eastAsia" w:ascii="宋体" w:hAnsi="宋体" w:eastAsia="宋体" w:cs="宋体"/>
                                <w:sz w:val="10"/>
                              </w:rPr>
                              <w:t>。</w:t>
                            </w:r>
                          </w:p>
                          <w:p>
                            <w:pPr>
                              <w:spacing w:line="620" w:lineRule="exact"/>
                              <w:ind w:left="380"/>
                              <w:jc w:val="both"/>
                            </w:pPr>
                            <w:r>
                              <w:rPr>
                                <w:rFonts w:hint="eastAsia" w:ascii="宋体" w:hAnsi="宋体" w:eastAsia="宋体" w:cs="宋体"/>
                                <w:sz w:val="24"/>
                              </w:rPr>
                              <w:t>与传统软件开发模式相比</w:t>
                            </w:r>
                            <w:r>
                              <w:rPr>
                                <w:rFonts w:hint="eastAsia" w:ascii="宋体" w:hAnsi="宋体" w:eastAsia="宋体" w:cs="宋体"/>
                                <w:sz w:val="10"/>
                              </w:rPr>
                              <w:t>，</w:t>
                            </w:r>
                            <w:r>
                              <w:rPr>
                                <w:rFonts w:hint="eastAsia" w:ascii="宋体" w:hAnsi="宋体" w:eastAsia="宋体" w:cs="宋体"/>
                                <w:sz w:val="24"/>
                              </w:rPr>
                              <w:t>基于</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平台的应用软件开发过程</w:t>
                            </w:r>
                            <w:r>
                              <w:rPr>
                                <w:rFonts w:hint="eastAsia" w:ascii="宋体" w:hAnsi="宋体" w:eastAsia="宋体" w:cs="宋体"/>
                                <w:sz w:val="10"/>
                              </w:rPr>
                              <w:t>，</w:t>
                            </w:r>
                            <w:r>
                              <w:rPr>
                                <w:rFonts w:hint="eastAsia" w:ascii="宋体" w:hAnsi="宋体" w:eastAsia="宋体" w:cs="宋体"/>
                                <w:sz w:val="24"/>
                              </w:rPr>
                              <w:t>就是业务建</w:t>
                            </w:r>
                          </w:p>
                          <w:p>
                            <w:pPr>
                              <w:spacing w:line="480" w:lineRule="exact"/>
                              <w:ind w:left="0"/>
                              <w:jc w:val="both"/>
                            </w:pPr>
                            <w:r>
                              <w:rPr>
                                <w:rFonts w:hint="eastAsia" w:ascii="宋体" w:hAnsi="宋体" w:eastAsia="宋体" w:cs="宋体"/>
                                <w:sz w:val="24"/>
                              </w:rPr>
                              <w:t>模的过程</w:t>
                            </w:r>
                            <w:r>
                              <w:rPr>
                                <w:rFonts w:hint="eastAsia" w:ascii="宋体" w:hAnsi="宋体" w:eastAsia="宋体" w:cs="宋体"/>
                                <w:sz w:val="10"/>
                              </w:rPr>
                              <w:t>，</w:t>
                            </w:r>
                            <w:r>
                              <w:rPr>
                                <w:rFonts w:hint="eastAsia" w:ascii="宋体" w:hAnsi="宋体" w:eastAsia="宋体" w:cs="宋体"/>
                                <w:sz w:val="24"/>
                              </w:rPr>
                              <w:t>它替代了一般开发模式中的数据物理建模</w:t>
                            </w:r>
                            <w:r>
                              <w:rPr>
                                <w:rFonts w:hint="eastAsia" w:ascii="宋体" w:hAnsi="宋体" w:eastAsia="宋体" w:cs="宋体"/>
                                <w:sz w:val="10"/>
                              </w:rPr>
                              <w:t>、</w:t>
                            </w:r>
                            <w:r>
                              <w:rPr>
                                <w:rFonts w:hint="eastAsia" w:ascii="宋体" w:hAnsi="宋体" w:eastAsia="宋体" w:cs="宋体"/>
                                <w:sz w:val="24"/>
                              </w:rPr>
                              <w:t>应用代码编程及测试</w:t>
                            </w:r>
                            <w:r>
                              <w:rPr>
                                <w:rFonts w:hint="eastAsia" w:ascii="宋体" w:hAnsi="宋体" w:eastAsia="宋体" w:cs="宋体"/>
                                <w:sz w:val="10"/>
                              </w:rPr>
                              <w:t>、</w:t>
                            </w:r>
                            <w:r>
                              <w:rPr>
                                <w:rFonts w:hint="eastAsia" w:ascii="宋体" w:hAnsi="宋体" w:eastAsia="宋体" w:cs="宋体"/>
                                <w:sz w:val="24"/>
                              </w:rPr>
                              <w:t>页面代码</w:t>
                            </w:r>
                          </w:p>
                          <w:p>
                            <w:pPr>
                              <w:spacing w:line="460" w:lineRule="exact"/>
                              <w:ind w:left="0"/>
                              <w:jc w:val="both"/>
                            </w:pPr>
                            <w:r>
                              <w:rPr>
                                <w:rFonts w:hint="eastAsia" w:ascii="宋体" w:hAnsi="宋体" w:eastAsia="宋体" w:cs="宋体"/>
                                <w:sz w:val="24"/>
                              </w:rPr>
                              <w:t>编程及测试等工作量较大并且需要反复循环的工作</w:t>
                            </w:r>
                            <w:r>
                              <w:rPr>
                                <w:rFonts w:hint="eastAsia" w:ascii="宋体" w:hAnsi="宋体" w:eastAsia="宋体" w:cs="宋体"/>
                                <w:sz w:val="10"/>
                              </w:rPr>
                              <w:t>，</w:t>
                            </w:r>
                            <w:r>
                              <w:rPr>
                                <w:rFonts w:hint="eastAsia" w:ascii="宋体" w:hAnsi="宋体" w:eastAsia="宋体" w:cs="宋体"/>
                                <w:sz w:val="24"/>
                              </w:rPr>
                              <w:t>从而大幅提升软件开发效率</w:t>
                            </w:r>
                            <w:r>
                              <w:rPr>
                                <w:rFonts w:hint="eastAsia" w:ascii="宋体" w:hAnsi="宋体" w:eastAsia="宋体" w:cs="宋体"/>
                                <w:sz w:val="10"/>
                              </w:rPr>
                              <w:t>，</w:t>
                            </w:r>
                            <w:r>
                              <w:rPr>
                                <w:rFonts w:hint="eastAsia" w:ascii="宋体" w:hAnsi="宋体" w:eastAsia="宋体" w:cs="宋体"/>
                                <w:sz w:val="24"/>
                              </w:rPr>
                              <w:t>缩短</w:t>
                            </w:r>
                          </w:p>
                          <w:p>
                            <w:pPr>
                              <w:spacing w:line="480" w:lineRule="exact"/>
                              <w:ind w:left="0"/>
                              <w:jc w:val="both"/>
                            </w:pPr>
                            <w:r>
                              <w:rPr>
                                <w:rFonts w:hint="eastAsia" w:ascii="宋体" w:hAnsi="宋体" w:eastAsia="宋体" w:cs="宋体"/>
                                <w:sz w:val="24"/>
                              </w:rPr>
                              <w:t>了软件推出周期</w:t>
                            </w:r>
                            <w:r>
                              <w:rPr>
                                <w:rFonts w:hint="eastAsia" w:ascii="宋体" w:hAnsi="宋体" w:eastAsia="宋体" w:cs="宋体"/>
                                <w:sz w:val="10"/>
                              </w:rPr>
                              <w:t>，</w:t>
                            </w:r>
                            <w:r>
                              <w:rPr>
                                <w:rFonts w:hint="eastAsia" w:ascii="宋体" w:hAnsi="宋体" w:eastAsia="宋体" w:cs="宋体"/>
                                <w:sz w:val="24"/>
                              </w:rPr>
                              <w:t>降低软件开发成本</w:t>
                            </w:r>
                            <w:r>
                              <w:rPr>
                                <w:rFonts w:hint="eastAsia" w:ascii="宋体" w:hAnsi="宋体" w:eastAsia="宋体" w:cs="宋体"/>
                                <w:sz w:val="10"/>
                              </w:rPr>
                              <w:t>，</w:t>
                            </w:r>
                            <w:r>
                              <w:rPr>
                                <w:rFonts w:hint="eastAsia" w:ascii="宋体" w:hAnsi="宋体" w:eastAsia="宋体" w:cs="宋体"/>
                                <w:sz w:val="24"/>
                              </w:rPr>
                              <w:t>具体内容见下图</w:t>
                            </w:r>
                            <w:r>
                              <w:rPr>
                                <w:rFonts w:hint="eastAsia" w:ascii="宋体" w:hAnsi="宋体" w:eastAsia="宋体" w:cs="宋体"/>
                                <w:sz w:val="12"/>
                              </w:rPr>
                              <w:t>：</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62pt;height:142pt;margin-left:67pt;margin-top:263pt;mso-wrap-style:square;z-index:10363664;mso-wrap-distance-left:9pt;mso-wrap-distance-top:0pt;mso-wrap-distance-right:9pt;mso-wrap-distance-bottom:0pt" id="shape7756" o:spid="1618382356914" stroked="f">
                <v:textbox>
                  <w:txbxContent>
                    <w:p>
                      <w:pPr>
                        <w:spacing w:line="-240" w:lineRule="exact"/>
                        <w:ind w:left="380"/>
                        <w:jc w:val="both"/>
                      </w:pPr>
                      <w:r>
                        <w:rPr>
                          <w:rFonts w:hint="eastAsia" w:ascii="宋体" w:hAnsi="宋体" w:eastAsia="宋体" w:cs="宋体"/>
                          <w:sz w:val="24"/>
                        </w:rPr>
                        <w:t>③生成应用软件</w:t>
                      </w:r>
                      <w:r>
                        <w:rPr>
                          <w:rFonts w:hint="eastAsia" w:ascii="宋体" w:hAnsi="宋体" w:eastAsia="宋体" w:cs="宋体"/>
                          <w:sz w:val="12"/>
                        </w:rPr>
                        <w:t>：</w:t>
                      </w:r>
                      <w:r>
                        <w:rPr>
                          <w:rFonts w:hint="eastAsia" w:ascii="宋体" w:hAnsi="宋体" w:eastAsia="宋体" w:cs="宋体"/>
                          <w:sz w:val="24"/>
                        </w:rPr>
                        <w:t>利用</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运行平台来执行业务模型</w:t>
                      </w:r>
                      <w:r>
                        <w:rPr>
                          <w:rFonts w:hint="eastAsia" w:ascii="宋体" w:hAnsi="宋体" w:eastAsia="宋体" w:cs="宋体"/>
                          <w:sz w:val="10"/>
                        </w:rPr>
                        <w:t>，</w:t>
                      </w:r>
                      <w:r>
                        <w:rPr>
                          <w:rFonts w:hint="eastAsia" w:ascii="宋体" w:hAnsi="宋体" w:eastAsia="宋体" w:cs="宋体"/>
                          <w:sz w:val="24"/>
                        </w:rPr>
                        <w:t>最终实现应用软件的</w:t>
                      </w:r>
                    </w:p>
                    <w:p>
                      <w:pPr>
                        <w:spacing w:line="460" w:lineRule="exact"/>
                        <w:ind w:left="0"/>
                        <w:jc w:val="both"/>
                      </w:pPr>
                      <w:r>
                        <w:rPr>
                          <w:rFonts w:hint="eastAsia" w:ascii="宋体" w:hAnsi="宋体" w:eastAsia="宋体" w:cs="宋体"/>
                          <w:sz w:val="24"/>
                        </w:rPr>
                        <w:t>快捷开发</w:t>
                      </w:r>
                      <w:r>
                        <w:rPr>
                          <w:rFonts w:hint="eastAsia" w:ascii="宋体" w:hAnsi="宋体" w:eastAsia="宋体" w:cs="宋体"/>
                          <w:sz w:val="10"/>
                        </w:rPr>
                        <w:t>。</w:t>
                      </w:r>
                    </w:p>
                    <w:p>
                      <w:pPr>
                        <w:spacing w:line="620" w:lineRule="exact"/>
                        <w:ind w:left="380"/>
                        <w:jc w:val="both"/>
                      </w:pPr>
                      <w:r>
                        <w:rPr>
                          <w:rFonts w:hint="eastAsia" w:ascii="宋体" w:hAnsi="宋体" w:eastAsia="宋体" w:cs="宋体"/>
                          <w:sz w:val="24"/>
                        </w:rPr>
                        <w:t>与传统软件开发模式相比</w:t>
                      </w:r>
                      <w:r>
                        <w:rPr>
                          <w:rFonts w:hint="eastAsia" w:ascii="宋体" w:hAnsi="宋体" w:eastAsia="宋体" w:cs="宋体"/>
                          <w:sz w:val="10"/>
                        </w:rPr>
                        <w:t>，</w:t>
                      </w:r>
                      <w:r>
                        <w:rPr>
                          <w:rFonts w:hint="eastAsia" w:ascii="宋体" w:hAnsi="宋体" w:eastAsia="宋体" w:cs="宋体"/>
                          <w:sz w:val="24"/>
                        </w:rPr>
                        <w:t>基于</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平台的应用软件开发过程</w:t>
                      </w:r>
                      <w:r>
                        <w:rPr>
                          <w:rFonts w:hint="eastAsia" w:ascii="宋体" w:hAnsi="宋体" w:eastAsia="宋体" w:cs="宋体"/>
                          <w:sz w:val="10"/>
                        </w:rPr>
                        <w:t>，</w:t>
                      </w:r>
                      <w:r>
                        <w:rPr>
                          <w:rFonts w:hint="eastAsia" w:ascii="宋体" w:hAnsi="宋体" w:eastAsia="宋体" w:cs="宋体"/>
                          <w:sz w:val="24"/>
                        </w:rPr>
                        <w:t>就是业务建</w:t>
                      </w:r>
                    </w:p>
                    <w:p>
                      <w:pPr>
                        <w:spacing w:line="480" w:lineRule="exact"/>
                        <w:ind w:left="0"/>
                        <w:jc w:val="both"/>
                      </w:pPr>
                      <w:r>
                        <w:rPr>
                          <w:rFonts w:hint="eastAsia" w:ascii="宋体" w:hAnsi="宋体" w:eastAsia="宋体" w:cs="宋体"/>
                          <w:sz w:val="24"/>
                        </w:rPr>
                        <w:t>模的过程</w:t>
                      </w:r>
                      <w:r>
                        <w:rPr>
                          <w:rFonts w:hint="eastAsia" w:ascii="宋体" w:hAnsi="宋体" w:eastAsia="宋体" w:cs="宋体"/>
                          <w:sz w:val="10"/>
                        </w:rPr>
                        <w:t>，</w:t>
                      </w:r>
                      <w:r>
                        <w:rPr>
                          <w:rFonts w:hint="eastAsia" w:ascii="宋体" w:hAnsi="宋体" w:eastAsia="宋体" w:cs="宋体"/>
                          <w:sz w:val="24"/>
                        </w:rPr>
                        <w:t>它替代了一般开发模式中的数据物理建模</w:t>
                      </w:r>
                      <w:r>
                        <w:rPr>
                          <w:rFonts w:hint="eastAsia" w:ascii="宋体" w:hAnsi="宋体" w:eastAsia="宋体" w:cs="宋体"/>
                          <w:sz w:val="10"/>
                        </w:rPr>
                        <w:t>、</w:t>
                      </w:r>
                      <w:r>
                        <w:rPr>
                          <w:rFonts w:hint="eastAsia" w:ascii="宋体" w:hAnsi="宋体" w:eastAsia="宋体" w:cs="宋体"/>
                          <w:sz w:val="24"/>
                        </w:rPr>
                        <w:t>应用代码编程及测试</w:t>
                      </w:r>
                      <w:r>
                        <w:rPr>
                          <w:rFonts w:hint="eastAsia" w:ascii="宋体" w:hAnsi="宋体" w:eastAsia="宋体" w:cs="宋体"/>
                          <w:sz w:val="10"/>
                        </w:rPr>
                        <w:t>、</w:t>
                      </w:r>
                      <w:r>
                        <w:rPr>
                          <w:rFonts w:hint="eastAsia" w:ascii="宋体" w:hAnsi="宋体" w:eastAsia="宋体" w:cs="宋体"/>
                          <w:sz w:val="24"/>
                        </w:rPr>
                        <w:t>页面代码</w:t>
                      </w:r>
                    </w:p>
                    <w:p>
                      <w:pPr>
                        <w:spacing w:line="460" w:lineRule="exact"/>
                        <w:ind w:left="0"/>
                        <w:jc w:val="both"/>
                      </w:pPr>
                      <w:r>
                        <w:rPr>
                          <w:rFonts w:hint="eastAsia" w:ascii="宋体" w:hAnsi="宋体" w:eastAsia="宋体" w:cs="宋体"/>
                          <w:sz w:val="24"/>
                        </w:rPr>
                        <w:t>编程及测试等工作量较大并且需要反复循环的工作</w:t>
                      </w:r>
                      <w:r>
                        <w:rPr>
                          <w:rFonts w:hint="eastAsia" w:ascii="宋体" w:hAnsi="宋体" w:eastAsia="宋体" w:cs="宋体"/>
                          <w:sz w:val="10"/>
                        </w:rPr>
                        <w:t>，</w:t>
                      </w:r>
                      <w:r>
                        <w:rPr>
                          <w:rFonts w:hint="eastAsia" w:ascii="宋体" w:hAnsi="宋体" w:eastAsia="宋体" w:cs="宋体"/>
                          <w:sz w:val="24"/>
                        </w:rPr>
                        <w:t>从而大幅提升软件开发效率</w:t>
                      </w:r>
                      <w:r>
                        <w:rPr>
                          <w:rFonts w:hint="eastAsia" w:ascii="宋体" w:hAnsi="宋体" w:eastAsia="宋体" w:cs="宋体"/>
                          <w:sz w:val="10"/>
                        </w:rPr>
                        <w:t>，</w:t>
                      </w:r>
                      <w:r>
                        <w:rPr>
                          <w:rFonts w:hint="eastAsia" w:ascii="宋体" w:hAnsi="宋体" w:eastAsia="宋体" w:cs="宋体"/>
                          <w:sz w:val="24"/>
                        </w:rPr>
                        <w:t>缩短</w:t>
                      </w:r>
                    </w:p>
                    <w:p>
                      <w:pPr>
                        <w:spacing w:line="480" w:lineRule="exact"/>
                        <w:ind w:left="0"/>
                        <w:jc w:val="both"/>
                      </w:pPr>
                      <w:r>
                        <w:rPr>
                          <w:rFonts w:hint="eastAsia" w:ascii="宋体" w:hAnsi="宋体" w:eastAsia="宋体" w:cs="宋体"/>
                          <w:sz w:val="24"/>
                        </w:rPr>
                        <w:t>了软件推出周期</w:t>
                      </w:r>
                      <w:r>
                        <w:rPr>
                          <w:rFonts w:hint="eastAsia" w:ascii="宋体" w:hAnsi="宋体" w:eastAsia="宋体" w:cs="宋体"/>
                          <w:sz w:val="10"/>
                        </w:rPr>
                        <w:t>，</w:t>
                      </w:r>
                      <w:r>
                        <w:rPr>
                          <w:rFonts w:hint="eastAsia" w:ascii="宋体" w:hAnsi="宋体" w:eastAsia="宋体" w:cs="宋体"/>
                          <w:sz w:val="24"/>
                        </w:rPr>
                        <w:t>降低软件开发成本</w:t>
                      </w:r>
                      <w:r>
                        <w:rPr>
                          <w:rFonts w:hint="eastAsia" w:ascii="宋体" w:hAnsi="宋体" w:eastAsia="宋体" w:cs="宋体"/>
                          <w:sz w:val="10"/>
                        </w:rPr>
                        <w:t>，</w:t>
                      </w:r>
                      <w:r>
                        <w:rPr>
                          <w:rFonts w:hint="eastAsia" w:ascii="宋体" w:hAnsi="宋体" w:eastAsia="宋体" w:cs="宋体"/>
                          <w:sz w:val="24"/>
                        </w:rPr>
                        <w:t>具体内容见下图</w:t>
                      </w:r>
                      <w:r>
                        <w:rPr>
                          <w:rFonts w:hint="eastAsia" w:ascii="宋体" w:hAnsi="宋体" w:eastAsia="宋体" w:cs="宋体"/>
                          <w:sz w:val="12"/>
                        </w:rPr>
                        <w:t>：</w:t>
                      </w:r>
                    </w:p>
                  </w:txbxContent>
                </v:textbox>
              </v:rect>
            </w:pict>
          </mc:Fallback>
        </mc:AlternateContent>
      </w:r>
      <w:r>
        <mc:AlternateContent>
          <mc:Choice Requires="wps">
            <w:drawing>
              <wp:anchor distT="0" distB="0" distL="114300" distR="114300" simplePos="false" relativeHeight="10364688" behindDoc="false" locked="false" layoutInCell="true" allowOverlap="true">
                <wp:simplePos x="0" y="0"/>
                <wp:positionH relativeFrom="page">
                  <wp:posOffset>850900</wp:posOffset>
                </wp:positionH>
                <wp:positionV relativeFrom="page">
                  <wp:posOffset>952500</wp:posOffset>
                </wp:positionV>
                <wp:extent cx="5880100" cy="2197100"/>
                <wp:effectExtent l="0" t="0" r="22225" b="31115"/>
                <wp:wrapNone/>
                <wp:docPr id="7757" name="shape7757"/>
                <wp:cNvGraphicFramePr/>
                <a:graphic>
                  <a:graphicData uri="http://schemas.microsoft.com/office/word/2010/wordprocessingShape">
                    <wps:wsp>
                      <wps:cNvSpPr/>
                      <wps:spPr>
                        <a:xfrm>
                          <a:off x="0" y="0"/>
                          <a:ext cx="5880100" cy="2197100"/>
                        </a:xfrm>
                        <a:prstGeom prst="rect">
                          <a:avLst/>
                        </a:prstGeom>
                      </wps:spPr>
                      <wps:txbx>
                        <w:txbxContent>
                          <w:p>
                            <w:pPr>
                              <w:spacing w:line="-240" w:lineRule="exact"/>
                              <w:ind w:left="0"/>
                              <w:jc w:val="both"/>
                            </w:pPr>
                            <w:r>
                              <w:rPr>
                                <w:rFonts w:hint="eastAsia" w:ascii="宋体" w:hAnsi="宋体" w:eastAsia="宋体" w:cs="宋体"/>
                                <w:sz w:val="24"/>
                              </w:rPr>
                              <w:t>的软件开发平台</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除交易系统以外的软件全部是基于该平台进行开发</w:t>
                            </w:r>
                            <w:r>
                              <w:rPr>
                                <w:rFonts w:hint="eastAsia" w:ascii="宋体" w:hAnsi="宋体" w:eastAsia="宋体" w:cs="宋体"/>
                                <w:sz w:val="10"/>
                              </w:rPr>
                              <w:t>。</w:t>
                            </w:r>
                            <w:r>
                              <w:rPr>
                                <w:rFonts w:hint="eastAsia" w:ascii="宋体" w:hAnsi="宋体" w:eastAsia="宋体" w:cs="宋体"/>
                                <w:sz w:val="24"/>
                              </w:rPr>
                              <w:t>该模式下</w:t>
                            </w:r>
                          </w:p>
                          <w:p>
                            <w:pPr>
                              <w:spacing w:line="480" w:lineRule="exact"/>
                              <w:ind w:left="0"/>
                              <w:jc w:val="both"/>
                            </w:pPr>
                            <w:r>
                              <w:rPr>
                                <w:rFonts w:hint="eastAsia" w:ascii="宋体" w:hAnsi="宋体" w:eastAsia="宋体" w:cs="宋体"/>
                                <w:sz w:val="24"/>
                              </w:rPr>
                              <w:t>的软件开发过程为</w:t>
                            </w:r>
                            <w:r>
                              <w:rPr>
                                <w:rFonts w:hint="eastAsia" w:ascii="宋体" w:hAnsi="宋体" w:eastAsia="宋体" w:cs="宋体"/>
                                <w:sz w:val="10"/>
                              </w:rPr>
                              <w:t>：</w:t>
                            </w:r>
                            <w:r>
                              <w:rPr>
                                <w:rFonts w:hint="eastAsia" w:ascii="宋体" w:hAnsi="宋体" w:eastAsia="宋体" w:cs="宋体"/>
                                <w:sz w:val="24"/>
                              </w:rPr>
                              <w:t>需求分析</w:t>
                            </w:r>
                            <w:r>
                              <w:rPr>
                                <w:rFonts w:hint="eastAsia" w:ascii="Times New Roman" w:hAnsi="Times New Roman" w:eastAsia="Times New Roman" w:cs="Times New Roman"/>
                                <w:sz w:val="24"/>
                              </w:rPr>
                              <w:t>—</w:t>
                            </w:r>
                            <w:r>
                              <w:rPr>
                                <w:rFonts w:hint="eastAsia" w:ascii="宋体" w:hAnsi="宋体" w:eastAsia="宋体" w:cs="宋体"/>
                                <w:sz w:val="24"/>
                              </w:rPr>
                              <w:t>建立并完善业务模型</w:t>
                            </w:r>
                            <w:r>
                              <w:rPr>
                                <w:rFonts w:hint="eastAsia" w:ascii="Times New Roman" w:hAnsi="Times New Roman" w:eastAsia="Times New Roman" w:cs="Times New Roman"/>
                                <w:sz w:val="24"/>
                              </w:rPr>
                              <w:t>—</w:t>
                            </w:r>
                            <w:r>
                              <w:rPr>
                                <w:rFonts w:hint="eastAsia" w:ascii="宋体" w:hAnsi="宋体" w:eastAsia="宋体" w:cs="宋体"/>
                                <w:sz w:val="24"/>
                              </w:rPr>
                              <w:t>生成应用软件产品</w:t>
                            </w:r>
                            <w:r>
                              <w:rPr>
                                <w:rFonts w:hint="eastAsia" w:ascii="宋体" w:hAnsi="宋体" w:eastAsia="宋体" w:cs="宋体"/>
                                <w:sz w:val="10"/>
                              </w:rPr>
                              <w:t>。</w:t>
                            </w:r>
                            <w:r>
                              <w:rPr>
                                <w:rFonts w:hint="eastAsia" w:ascii="宋体" w:hAnsi="宋体" w:eastAsia="宋体" w:cs="宋体"/>
                                <w:sz w:val="24"/>
                              </w:rPr>
                              <w:t>具体内容如</w:t>
                            </w:r>
                          </w:p>
                          <w:p>
                            <w:pPr>
                              <w:spacing w:line="460" w:lineRule="exact"/>
                              <w:ind w:left="0"/>
                              <w:jc w:val="both"/>
                            </w:pPr>
                            <w:r>
                              <w:rPr>
                                <w:rFonts w:hint="eastAsia" w:ascii="宋体" w:hAnsi="宋体" w:eastAsia="宋体" w:cs="宋体"/>
                                <w:sz w:val="24"/>
                              </w:rPr>
                              <w:t>下</w:t>
                            </w:r>
                            <w:r>
                              <w:rPr>
                                <w:rFonts w:hint="eastAsia" w:ascii="宋体" w:hAnsi="宋体" w:eastAsia="宋体" w:cs="宋体"/>
                                <w:sz w:val="12"/>
                              </w:rPr>
                              <w:t>：</w:t>
                            </w:r>
                          </w:p>
                          <w:p>
                            <w:pPr>
                              <w:spacing w:line="620" w:lineRule="exact"/>
                              <w:ind w:left="380"/>
                              <w:jc w:val="both"/>
                            </w:pPr>
                            <w:r>
                              <w:rPr>
                                <w:rFonts w:hint="eastAsia" w:ascii="宋体" w:hAnsi="宋体" w:eastAsia="宋体" w:cs="宋体"/>
                                <w:sz w:val="24"/>
                              </w:rPr>
                              <w:t>①业务需求分析</w:t>
                            </w:r>
                            <w:r>
                              <w:rPr>
                                <w:rFonts w:hint="eastAsia" w:ascii="宋体" w:hAnsi="宋体" w:eastAsia="宋体" w:cs="宋体"/>
                                <w:sz w:val="12"/>
                              </w:rPr>
                              <w:t>：</w:t>
                            </w:r>
                            <w:r>
                              <w:rPr>
                                <w:rFonts w:hint="eastAsia" w:ascii="宋体" w:hAnsi="宋体" w:eastAsia="宋体" w:cs="宋体"/>
                                <w:sz w:val="24"/>
                              </w:rPr>
                              <w:t>通过现场调研</w:t>
                            </w:r>
                            <w:r>
                              <w:rPr>
                                <w:rFonts w:hint="eastAsia" w:ascii="宋体" w:hAnsi="宋体" w:eastAsia="宋体" w:cs="宋体"/>
                                <w:sz w:val="10"/>
                              </w:rPr>
                              <w:t>，</w:t>
                            </w:r>
                            <w:r>
                              <w:rPr>
                                <w:rFonts w:hint="eastAsia" w:ascii="宋体" w:hAnsi="宋体" w:eastAsia="宋体" w:cs="宋体"/>
                                <w:sz w:val="24"/>
                              </w:rPr>
                              <w:t>分析客户的个性化需求和具体业务流程</w:t>
                            </w:r>
                            <w:r>
                              <w:rPr>
                                <w:rFonts w:hint="eastAsia" w:ascii="宋体" w:hAnsi="宋体" w:eastAsia="宋体" w:cs="宋体"/>
                                <w:sz w:val="10"/>
                              </w:rPr>
                              <w:t>，</w:t>
                            </w:r>
                            <w:r>
                              <w:rPr>
                                <w:rFonts w:hint="eastAsia" w:ascii="宋体" w:hAnsi="宋体" w:eastAsia="宋体" w:cs="宋体"/>
                                <w:sz w:val="24"/>
                              </w:rPr>
                              <w:t>并对业</w:t>
                            </w:r>
                          </w:p>
                          <w:p>
                            <w:pPr>
                              <w:spacing w:line="480" w:lineRule="exact"/>
                              <w:ind w:left="0"/>
                              <w:jc w:val="both"/>
                            </w:pPr>
                            <w:r>
                              <w:rPr>
                                <w:rFonts w:hint="eastAsia" w:ascii="宋体" w:hAnsi="宋体" w:eastAsia="宋体" w:cs="宋体"/>
                                <w:sz w:val="24"/>
                              </w:rPr>
                              <w:t>务流程进行梳理和优化</w:t>
                            </w:r>
                            <w:r>
                              <w:rPr>
                                <w:rFonts w:hint="eastAsia" w:ascii="宋体" w:hAnsi="宋体" w:eastAsia="宋体" w:cs="宋体"/>
                                <w:sz w:val="10"/>
                              </w:rPr>
                              <w:t>，</w:t>
                            </w:r>
                            <w:r>
                              <w:rPr>
                                <w:rFonts w:hint="eastAsia" w:ascii="宋体" w:hAnsi="宋体" w:eastAsia="宋体" w:cs="宋体"/>
                                <w:sz w:val="24"/>
                              </w:rPr>
                              <w:t>形成业务流程图</w:t>
                            </w:r>
                            <w:r>
                              <w:rPr>
                                <w:rFonts w:hint="eastAsia" w:ascii="宋体" w:hAnsi="宋体" w:eastAsia="宋体" w:cs="宋体"/>
                                <w:sz w:val="12"/>
                              </w:rPr>
                              <w:t>；</w:t>
                            </w:r>
                          </w:p>
                          <w:p>
                            <w:pPr>
                              <w:spacing w:line="620" w:lineRule="exact"/>
                              <w:ind w:left="380"/>
                              <w:jc w:val="both"/>
                            </w:pPr>
                            <w:r>
                              <w:rPr>
                                <w:rFonts w:hint="eastAsia" w:ascii="宋体" w:hAnsi="宋体" w:eastAsia="宋体" w:cs="宋体"/>
                                <w:sz w:val="24"/>
                              </w:rPr>
                              <w:t>②业务建模</w:t>
                            </w:r>
                            <w:r>
                              <w:rPr>
                                <w:rFonts w:hint="eastAsia" w:ascii="宋体" w:hAnsi="宋体" w:eastAsia="宋体" w:cs="宋体"/>
                                <w:sz w:val="10"/>
                              </w:rPr>
                              <w:t>：</w:t>
                            </w:r>
                            <w:r>
                              <w:rPr>
                                <w:rFonts w:hint="eastAsia" w:ascii="宋体" w:hAnsi="宋体" w:eastAsia="宋体" w:cs="宋体"/>
                                <w:sz w:val="24"/>
                              </w:rPr>
                              <w:t>利用</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建模工具完成业务建模</w:t>
                            </w:r>
                            <w:r>
                              <w:rPr>
                                <w:rFonts w:hint="eastAsia" w:ascii="宋体" w:hAnsi="宋体" w:eastAsia="宋体" w:cs="宋体"/>
                                <w:sz w:val="10"/>
                              </w:rPr>
                              <w:t>，</w:t>
                            </w:r>
                            <w:r>
                              <w:rPr>
                                <w:rFonts w:hint="eastAsia" w:ascii="宋体" w:hAnsi="宋体" w:eastAsia="宋体" w:cs="宋体"/>
                                <w:sz w:val="24"/>
                              </w:rPr>
                              <w:t>具体包括组织建模</w:t>
                            </w:r>
                            <w:r>
                              <w:rPr>
                                <w:rFonts w:hint="eastAsia" w:ascii="宋体" w:hAnsi="宋体" w:eastAsia="宋体" w:cs="宋体"/>
                                <w:sz w:val="10"/>
                              </w:rPr>
                              <w:t>、</w:t>
                            </w:r>
                            <w:r>
                              <w:rPr>
                                <w:rFonts w:hint="eastAsia" w:ascii="宋体" w:hAnsi="宋体" w:eastAsia="宋体" w:cs="宋体"/>
                                <w:sz w:val="24"/>
                              </w:rPr>
                              <w:t>业务元</w:t>
                            </w:r>
                          </w:p>
                          <w:p>
                            <w:pPr>
                              <w:spacing w:line="460" w:lineRule="exact"/>
                              <w:ind w:left="0"/>
                              <w:jc w:val="both"/>
                            </w:pPr>
                            <w:r>
                              <w:rPr>
                                <w:rFonts w:hint="eastAsia" w:ascii="宋体" w:hAnsi="宋体" w:eastAsia="宋体" w:cs="宋体"/>
                                <w:sz w:val="24"/>
                              </w:rPr>
                              <w:t>素对象建模</w:t>
                            </w:r>
                            <w:r>
                              <w:rPr>
                                <w:rFonts w:hint="eastAsia" w:ascii="宋体" w:hAnsi="宋体" w:eastAsia="宋体" w:cs="宋体"/>
                                <w:sz w:val="10"/>
                              </w:rPr>
                              <w:t>、</w:t>
                            </w:r>
                            <w:r>
                              <w:rPr>
                                <w:rFonts w:hint="eastAsia" w:ascii="宋体" w:hAnsi="宋体" w:eastAsia="宋体" w:cs="宋体"/>
                                <w:sz w:val="24"/>
                              </w:rPr>
                              <w:t>业务流程建模</w:t>
                            </w:r>
                            <w:r>
                              <w:rPr>
                                <w:rFonts w:hint="eastAsia" w:ascii="宋体" w:hAnsi="宋体" w:eastAsia="宋体" w:cs="宋体"/>
                                <w:sz w:val="10"/>
                              </w:rPr>
                              <w:t>、</w:t>
                            </w:r>
                            <w:r>
                              <w:rPr>
                                <w:rFonts w:hint="eastAsia" w:ascii="宋体" w:hAnsi="宋体" w:eastAsia="宋体" w:cs="宋体"/>
                                <w:sz w:val="24"/>
                              </w:rPr>
                              <w:t>菜单界面设计等</w:t>
                            </w:r>
                            <w:r>
                              <w:rPr>
                                <w:rFonts w:hint="eastAsia" w:ascii="宋体" w:hAnsi="宋体" w:eastAsia="宋体" w:cs="宋体"/>
                                <w:sz w:val="14"/>
                              </w:rPr>
                              <w:t>；</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63pt;height:173pt;margin-left:67pt;margin-top:75pt;mso-wrap-style:square;z-index:10364688;mso-wrap-distance-left:9pt;mso-wrap-distance-top:0pt;mso-wrap-distance-right:9pt;mso-wrap-distance-bottom:0pt" id="shape7757" o:spid="1618382356915" stroked="f">
                <v:textbox>
                  <w:txbxContent>
                    <w:p>
                      <w:pPr>
                        <w:spacing w:line="-240" w:lineRule="exact"/>
                        <w:ind w:left="0"/>
                        <w:jc w:val="both"/>
                      </w:pPr>
                      <w:r>
                        <w:rPr>
                          <w:rFonts w:hint="eastAsia" w:ascii="宋体" w:hAnsi="宋体" w:eastAsia="宋体" w:cs="宋体"/>
                          <w:sz w:val="24"/>
                        </w:rPr>
                        <w:t>的软件开发平台</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除交易系统以外的软件全部是基于该平台进行开发</w:t>
                      </w:r>
                      <w:r>
                        <w:rPr>
                          <w:rFonts w:hint="eastAsia" w:ascii="宋体" w:hAnsi="宋体" w:eastAsia="宋体" w:cs="宋体"/>
                          <w:sz w:val="10"/>
                        </w:rPr>
                        <w:t>。</w:t>
                      </w:r>
                      <w:r>
                        <w:rPr>
                          <w:rFonts w:hint="eastAsia" w:ascii="宋体" w:hAnsi="宋体" w:eastAsia="宋体" w:cs="宋体"/>
                          <w:sz w:val="24"/>
                        </w:rPr>
                        <w:t>该模式下</w:t>
                      </w:r>
                    </w:p>
                    <w:p>
                      <w:pPr>
                        <w:spacing w:line="480" w:lineRule="exact"/>
                        <w:ind w:left="0"/>
                        <w:jc w:val="both"/>
                      </w:pPr>
                      <w:r>
                        <w:rPr>
                          <w:rFonts w:hint="eastAsia" w:ascii="宋体" w:hAnsi="宋体" w:eastAsia="宋体" w:cs="宋体"/>
                          <w:sz w:val="24"/>
                        </w:rPr>
                        <w:t>的软件开发过程为</w:t>
                      </w:r>
                      <w:r>
                        <w:rPr>
                          <w:rFonts w:hint="eastAsia" w:ascii="宋体" w:hAnsi="宋体" w:eastAsia="宋体" w:cs="宋体"/>
                          <w:sz w:val="10"/>
                        </w:rPr>
                        <w:t>：</w:t>
                      </w:r>
                      <w:r>
                        <w:rPr>
                          <w:rFonts w:hint="eastAsia" w:ascii="宋体" w:hAnsi="宋体" w:eastAsia="宋体" w:cs="宋体"/>
                          <w:sz w:val="24"/>
                        </w:rPr>
                        <w:t>需求分析</w:t>
                      </w:r>
                      <w:r>
                        <w:rPr>
                          <w:rFonts w:hint="eastAsia" w:ascii="Times New Roman" w:hAnsi="Times New Roman" w:eastAsia="Times New Roman" w:cs="Times New Roman"/>
                          <w:sz w:val="24"/>
                        </w:rPr>
                        <w:t>—</w:t>
                      </w:r>
                      <w:r>
                        <w:rPr>
                          <w:rFonts w:hint="eastAsia" w:ascii="宋体" w:hAnsi="宋体" w:eastAsia="宋体" w:cs="宋体"/>
                          <w:sz w:val="24"/>
                        </w:rPr>
                        <w:t>建立并完善业务模型</w:t>
                      </w:r>
                      <w:r>
                        <w:rPr>
                          <w:rFonts w:hint="eastAsia" w:ascii="Times New Roman" w:hAnsi="Times New Roman" w:eastAsia="Times New Roman" w:cs="Times New Roman"/>
                          <w:sz w:val="24"/>
                        </w:rPr>
                        <w:t>—</w:t>
                      </w:r>
                      <w:r>
                        <w:rPr>
                          <w:rFonts w:hint="eastAsia" w:ascii="宋体" w:hAnsi="宋体" w:eastAsia="宋体" w:cs="宋体"/>
                          <w:sz w:val="24"/>
                        </w:rPr>
                        <w:t>生成应用软件产品</w:t>
                      </w:r>
                      <w:r>
                        <w:rPr>
                          <w:rFonts w:hint="eastAsia" w:ascii="宋体" w:hAnsi="宋体" w:eastAsia="宋体" w:cs="宋体"/>
                          <w:sz w:val="10"/>
                        </w:rPr>
                        <w:t>。</w:t>
                      </w:r>
                      <w:r>
                        <w:rPr>
                          <w:rFonts w:hint="eastAsia" w:ascii="宋体" w:hAnsi="宋体" w:eastAsia="宋体" w:cs="宋体"/>
                          <w:sz w:val="24"/>
                        </w:rPr>
                        <w:t>具体内容如</w:t>
                      </w:r>
                    </w:p>
                    <w:p>
                      <w:pPr>
                        <w:spacing w:line="460" w:lineRule="exact"/>
                        <w:ind w:left="0"/>
                        <w:jc w:val="both"/>
                      </w:pPr>
                      <w:r>
                        <w:rPr>
                          <w:rFonts w:hint="eastAsia" w:ascii="宋体" w:hAnsi="宋体" w:eastAsia="宋体" w:cs="宋体"/>
                          <w:sz w:val="24"/>
                        </w:rPr>
                        <w:t>下</w:t>
                      </w:r>
                      <w:r>
                        <w:rPr>
                          <w:rFonts w:hint="eastAsia" w:ascii="宋体" w:hAnsi="宋体" w:eastAsia="宋体" w:cs="宋体"/>
                          <w:sz w:val="12"/>
                        </w:rPr>
                        <w:t>：</w:t>
                      </w:r>
                    </w:p>
                    <w:p>
                      <w:pPr>
                        <w:spacing w:line="620" w:lineRule="exact"/>
                        <w:ind w:left="380"/>
                        <w:jc w:val="both"/>
                      </w:pPr>
                      <w:r>
                        <w:rPr>
                          <w:rFonts w:hint="eastAsia" w:ascii="宋体" w:hAnsi="宋体" w:eastAsia="宋体" w:cs="宋体"/>
                          <w:sz w:val="24"/>
                        </w:rPr>
                        <w:t>①业务需求分析</w:t>
                      </w:r>
                      <w:r>
                        <w:rPr>
                          <w:rFonts w:hint="eastAsia" w:ascii="宋体" w:hAnsi="宋体" w:eastAsia="宋体" w:cs="宋体"/>
                          <w:sz w:val="12"/>
                        </w:rPr>
                        <w:t>：</w:t>
                      </w:r>
                      <w:r>
                        <w:rPr>
                          <w:rFonts w:hint="eastAsia" w:ascii="宋体" w:hAnsi="宋体" w:eastAsia="宋体" w:cs="宋体"/>
                          <w:sz w:val="24"/>
                        </w:rPr>
                        <w:t>通过现场调研</w:t>
                      </w:r>
                      <w:r>
                        <w:rPr>
                          <w:rFonts w:hint="eastAsia" w:ascii="宋体" w:hAnsi="宋体" w:eastAsia="宋体" w:cs="宋体"/>
                          <w:sz w:val="10"/>
                        </w:rPr>
                        <w:t>，</w:t>
                      </w:r>
                      <w:r>
                        <w:rPr>
                          <w:rFonts w:hint="eastAsia" w:ascii="宋体" w:hAnsi="宋体" w:eastAsia="宋体" w:cs="宋体"/>
                          <w:sz w:val="24"/>
                        </w:rPr>
                        <w:t>分析客户的个性化需求和具体业务流程</w:t>
                      </w:r>
                      <w:r>
                        <w:rPr>
                          <w:rFonts w:hint="eastAsia" w:ascii="宋体" w:hAnsi="宋体" w:eastAsia="宋体" w:cs="宋体"/>
                          <w:sz w:val="10"/>
                        </w:rPr>
                        <w:t>，</w:t>
                      </w:r>
                      <w:r>
                        <w:rPr>
                          <w:rFonts w:hint="eastAsia" w:ascii="宋体" w:hAnsi="宋体" w:eastAsia="宋体" w:cs="宋体"/>
                          <w:sz w:val="24"/>
                        </w:rPr>
                        <w:t>并对业</w:t>
                      </w:r>
                    </w:p>
                    <w:p>
                      <w:pPr>
                        <w:spacing w:line="480" w:lineRule="exact"/>
                        <w:ind w:left="0"/>
                        <w:jc w:val="both"/>
                      </w:pPr>
                      <w:r>
                        <w:rPr>
                          <w:rFonts w:hint="eastAsia" w:ascii="宋体" w:hAnsi="宋体" w:eastAsia="宋体" w:cs="宋体"/>
                          <w:sz w:val="24"/>
                        </w:rPr>
                        <w:t>务流程进行梳理和优化</w:t>
                      </w:r>
                      <w:r>
                        <w:rPr>
                          <w:rFonts w:hint="eastAsia" w:ascii="宋体" w:hAnsi="宋体" w:eastAsia="宋体" w:cs="宋体"/>
                          <w:sz w:val="10"/>
                        </w:rPr>
                        <w:t>，</w:t>
                      </w:r>
                      <w:r>
                        <w:rPr>
                          <w:rFonts w:hint="eastAsia" w:ascii="宋体" w:hAnsi="宋体" w:eastAsia="宋体" w:cs="宋体"/>
                          <w:sz w:val="24"/>
                        </w:rPr>
                        <w:t>形成业务流程图</w:t>
                      </w:r>
                      <w:r>
                        <w:rPr>
                          <w:rFonts w:hint="eastAsia" w:ascii="宋体" w:hAnsi="宋体" w:eastAsia="宋体" w:cs="宋体"/>
                          <w:sz w:val="12"/>
                        </w:rPr>
                        <w:t>；</w:t>
                      </w:r>
                    </w:p>
                    <w:p>
                      <w:pPr>
                        <w:spacing w:line="620" w:lineRule="exact"/>
                        <w:ind w:left="380"/>
                        <w:jc w:val="both"/>
                      </w:pPr>
                      <w:r>
                        <w:rPr>
                          <w:rFonts w:hint="eastAsia" w:ascii="宋体" w:hAnsi="宋体" w:eastAsia="宋体" w:cs="宋体"/>
                          <w:sz w:val="24"/>
                        </w:rPr>
                        <w:t>②业务建模</w:t>
                      </w:r>
                      <w:r>
                        <w:rPr>
                          <w:rFonts w:hint="eastAsia" w:ascii="宋体" w:hAnsi="宋体" w:eastAsia="宋体" w:cs="宋体"/>
                          <w:sz w:val="10"/>
                        </w:rPr>
                        <w:t>：</w:t>
                      </w:r>
                      <w:r>
                        <w:rPr>
                          <w:rFonts w:hint="eastAsia" w:ascii="宋体" w:hAnsi="宋体" w:eastAsia="宋体" w:cs="宋体"/>
                          <w:sz w:val="24"/>
                        </w:rPr>
                        <w:t>利用</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建模工具完成业务建模</w:t>
                      </w:r>
                      <w:r>
                        <w:rPr>
                          <w:rFonts w:hint="eastAsia" w:ascii="宋体" w:hAnsi="宋体" w:eastAsia="宋体" w:cs="宋体"/>
                          <w:sz w:val="10"/>
                        </w:rPr>
                        <w:t>，</w:t>
                      </w:r>
                      <w:r>
                        <w:rPr>
                          <w:rFonts w:hint="eastAsia" w:ascii="宋体" w:hAnsi="宋体" w:eastAsia="宋体" w:cs="宋体"/>
                          <w:sz w:val="24"/>
                        </w:rPr>
                        <w:t>具体包括组织建模</w:t>
                      </w:r>
                      <w:r>
                        <w:rPr>
                          <w:rFonts w:hint="eastAsia" w:ascii="宋体" w:hAnsi="宋体" w:eastAsia="宋体" w:cs="宋体"/>
                          <w:sz w:val="10"/>
                        </w:rPr>
                        <w:t>、</w:t>
                      </w:r>
                      <w:r>
                        <w:rPr>
                          <w:rFonts w:hint="eastAsia" w:ascii="宋体" w:hAnsi="宋体" w:eastAsia="宋体" w:cs="宋体"/>
                          <w:sz w:val="24"/>
                        </w:rPr>
                        <w:t>业务元</w:t>
                      </w:r>
                    </w:p>
                    <w:p>
                      <w:pPr>
                        <w:spacing w:line="460" w:lineRule="exact"/>
                        <w:ind w:left="0"/>
                        <w:jc w:val="both"/>
                      </w:pPr>
                      <w:r>
                        <w:rPr>
                          <w:rFonts w:hint="eastAsia" w:ascii="宋体" w:hAnsi="宋体" w:eastAsia="宋体" w:cs="宋体"/>
                          <w:sz w:val="24"/>
                        </w:rPr>
                        <w:t>素对象建模</w:t>
                      </w:r>
                      <w:r>
                        <w:rPr>
                          <w:rFonts w:hint="eastAsia" w:ascii="宋体" w:hAnsi="宋体" w:eastAsia="宋体" w:cs="宋体"/>
                          <w:sz w:val="10"/>
                        </w:rPr>
                        <w:t>、</w:t>
                      </w:r>
                      <w:r>
                        <w:rPr>
                          <w:rFonts w:hint="eastAsia" w:ascii="宋体" w:hAnsi="宋体" w:eastAsia="宋体" w:cs="宋体"/>
                          <w:sz w:val="24"/>
                        </w:rPr>
                        <w:t>业务流程建模</w:t>
                      </w:r>
                      <w:r>
                        <w:rPr>
                          <w:rFonts w:hint="eastAsia" w:ascii="宋体" w:hAnsi="宋体" w:eastAsia="宋体" w:cs="宋体"/>
                          <w:sz w:val="10"/>
                        </w:rPr>
                        <w:t>、</w:t>
                      </w:r>
                      <w:r>
                        <w:rPr>
                          <w:rFonts w:hint="eastAsia" w:ascii="宋体" w:hAnsi="宋体" w:eastAsia="宋体" w:cs="宋体"/>
                          <w:sz w:val="24"/>
                        </w:rPr>
                        <w:t>菜单界面设计等</w:t>
                      </w:r>
                      <w:r>
                        <w:rPr>
                          <w:rFonts w:hint="eastAsia" w:ascii="宋体" w:hAnsi="宋体" w:eastAsia="宋体" w:cs="宋体"/>
                          <w:sz w:val="14"/>
                        </w:rPr>
                        <w:t>；</w:t>
                      </w:r>
                    </w:p>
                  </w:txbxContent>
                </v:textbox>
              </v:rect>
            </w:pict>
          </mc:Fallback>
        </mc:AlternateContent>
      </w:r>
      <w:r>
        <mc:AlternateContent>
          <mc:Choice Requires="wps">
            <w:drawing>
              <wp:anchor distT="0" distB="0" distL="114300" distR="114300" simplePos="false" relativeHeight="10365712" behindDoc="false" locked="false" layoutInCell="true" allowOverlap="true">
                <wp:simplePos x="0" y="0"/>
                <wp:positionH relativeFrom="page">
                  <wp:posOffset>850900</wp:posOffset>
                </wp:positionH>
                <wp:positionV relativeFrom="page">
                  <wp:posOffset>533400</wp:posOffset>
                </wp:positionV>
                <wp:extent cx="5981700" cy="203200"/>
                <wp:effectExtent l="0" t="0" r="22225" b="31115"/>
                <wp:wrapNone/>
                <wp:docPr id="7758" name="shape7758"/>
                <wp:cNvGraphicFramePr/>
                <a:graphic>
                  <a:graphicData uri="http://schemas.microsoft.com/office/word/2010/wordprocessingShape">
                    <wps:wsp>
                      <wps:cNvSpPr/>
                      <wps:spPr>
                        <a:xfrm>
                          <a:off x="0" y="0"/>
                          <a:ext cx="5981700" cy="203200"/>
                        </a:xfrm>
                        <a:prstGeom prst="rect">
                          <a:avLst/>
                        </a:prstGeom>
                      </wps:spPr>
                      <wps:txbx>
                        <w:txbxContent>
                          <w:p>
                            <w:pPr>
                              <w:tabs>
                                <w:tab w:val="left" w:leader="none" w:pos="8160"/>
                              </w:tabs>
                              <w:spacing w:line="-220" w:lineRule="exact"/>
                              <w:ind w:left="0"/>
                              <w:jc w:val="both"/>
                            </w:pPr>
                            <w:r>
                              <w:rPr>
                                <w:rFonts w:hint="eastAsia" w:ascii="宋体" w:hAnsi="宋体" w:eastAsia="宋体" w:cs="宋体"/>
                                <w:sz w:val="21"/>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rPr>
                              <w:t>招股说明书</w:t>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71pt;height:16pt;margin-left:67pt;margin-top:42pt;mso-wrap-style:square;z-index:10365712;mso-wrap-distance-left:9pt;mso-wrap-distance-top:0pt;mso-wrap-distance-right:9pt;mso-wrap-distance-bottom:0pt" id="shape7758" o:spid="1618382356915" stroked="f">
                <v:textbox>
                  <w:txbxContent>
                    <w:p>
                      <w:pPr>
                        <w:tabs>
                          <w:tab w:val="left" w:leader="none" w:pos="8160"/>
                        </w:tabs>
                        <w:spacing w:line="-220" w:lineRule="exact"/>
                        <w:ind w:left="0"/>
                        <w:jc w:val="both"/>
                      </w:pPr>
                      <w:r>
                        <w:rPr>
                          <w:rFonts w:hint="eastAsia" w:ascii="宋体" w:hAnsi="宋体" w:eastAsia="宋体" w:cs="宋体"/>
                          <w:sz w:val="21"/>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rPr>
                        <w:t>招股说明书</w:t>
                      </w:r>
                    </w:p>
                  </w:txbxContent>
                </v:textbox>
              </v:rect>
            </w:pict>
          </mc:Fallback>
        </mc:AlternateContent>
      </w:r>
      <w:r>
        <w:drawing>
          <wp:anchor distT="0" distB="0" distL="114300" distR="114300" simplePos="false" relativeHeight="10252048" behindDoc="true" locked="false" layoutInCell="true" allowOverlap="true">
            <wp:simplePos x="0" y="0"/>
            <wp:positionH relativeFrom="page">
              <wp:posOffset>3784600</wp:posOffset>
            </wp:positionH>
            <wp:positionV relativeFrom="page">
              <wp:posOffset>5346700</wp:posOffset>
            </wp:positionV>
            <wp:extent cx="2870200" cy="3619500"/>
            <wp:effectExtent l="0" t="0" r="0" b="0"/>
            <wp:wrapNone/>
            <wp:docPr id="7759" name="image7759" descr=""/>
            <wp:cNvGraphicFramePr>
              <a:graphicFrameLocks noChangeAspect="true"/>
            </wp:cNvGraphicFramePr>
            <a:graphic>
              <a:graphicData uri="http://schemas.openxmlformats.org/drawingml/2006/picture">
                <pic:pic>
                  <pic:nvPicPr>
                    <pic:cNvPr id="7759" name="image7759"/>
                    <pic:cNvPicPr/>
                  </pic:nvPicPr>
                  <pic:blipFill>
                    <a:blip r:embed="rId105"/>
                    <a:stretch>
                      <a:fillRect/>
                    </a:stretch>
                  </pic:blipFill>
                  <pic:spPr>
                    <a:xfrm>
                      <a:off x="0" y="0"/>
                      <a:ext cx="2870200" cy="3619500"/>
                    </a:xfrm>
                    <a:prstGeom prst="rect">
                      <a:avLst/>
                    </a:prstGeom>
                  </pic:spPr>
                </pic:pic>
              </a:graphicData>
            </a:graphic>
          </wp:anchor>
        </w:drawing>
      </w:r>
      <w:r>
        <w:drawing>
          <wp:anchor distT="0" distB="0" distL="114300" distR="114300" simplePos="false" relativeHeight="10253072" behindDoc="true" locked="false" layoutInCell="true" allowOverlap="true">
            <wp:simplePos x="0" y="0"/>
            <wp:positionH relativeFrom="page">
              <wp:posOffset>3771900</wp:posOffset>
            </wp:positionH>
            <wp:positionV relativeFrom="page">
              <wp:posOffset>5334000</wp:posOffset>
            </wp:positionV>
            <wp:extent cx="2870200" cy="3606800"/>
            <wp:effectExtent l="0" t="0" r="0" b="0"/>
            <wp:wrapNone/>
            <wp:docPr id="7760" name="image7760" descr=""/>
            <wp:cNvGraphicFramePr>
              <a:graphicFrameLocks noChangeAspect="true"/>
            </wp:cNvGraphicFramePr>
            <a:graphic>
              <a:graphicData uri="http://schemas.openxmlformats.org/drawingml/2006/picture">
                <pic:pic>
                  <pic:nvPicPr>
                    <pic:cNvPr id="7760" name="image7760"/>
                    <pic:cNvPicPr/>
                  </pic:nvPicPr>
                  <pic:blipFill>
                    <a:blip r:embed="rId106"/>
                    <a:stretch>
                      <a:fillRect/>
                    </a:stretch>
                  </pic:blipFill>
                  <pic:spPr>
                    <a:xfrm flipV="true">
                      <a:off x="0" y="0"/>
                      <a:ext cx="2870200" cy="3606800"/>
                    </a:xfrm>
                    <a:prstGeom prst="rect">
                      <a:avLst/>
                    </a:prstGeom>
                  </pic:spPr>
                </pic:pic>
              </a:graphicData>
            </a:graphic>
          </wp:anchor>
        </w:drawing>
      </w:r>
      <w:r>
        <w:drawing>
          <wp:anchor distT="0" distB="0" distL="114300" distR="114300" simplePos="false" relativeHeight="10255120" behindDoc="true" locked="false" layoutInCell="true" allowOverlap="true">
            <wp:simplePos x="0" y="0"/>
            <wp:positionH relativeFrom="page">
              <wp:posOffset>1333500</wp:posOffset>
            </wp:positionH>
            <wp:positionV relativeFrom="page">
              <wp:posOffset>5346700</wp:posOffset>
            </wp:positionV>
            <wp:extent cx="2374900" cy="3619500"/>
            <wp:effectExtent l="0" t="0" r="0" b="0"/>
            <wp:wrapNone/>
            <wp:docPr id="7761" name="image7761" descr=""/>
            <wp:cNvGraphicFramePr>
              <a:graphicFrameLocks noChangeAspect="true"/>
            </wp:cNvGraphicFramePr>
            <a:graphic>
              <a:graphicData uri="http://schemas.openxmlformats.org/drawingml/2006/picture">
                <pic:pic>
                  <pic:nvPicPr>
                    <pic:cNvPr id="7761" name="image7761"/>
                    <pic:cNvPicPr/>
                  </pic:nvPicPr>
                  <pic:blipFill>
                    <a:blip r:embed="rId107"/>
                    <a:stretch>
                      <a:fillRect/>
                    </a:stretch>
                  </pic:blipFill>
                  <pic:spPr>
                    <a:xfrm>
                      <a:off x="0" y="0"/>
                      <a:ext cx="2374900" cy="3619500"/>
                    </a:xfrm>
                    <a:prstGeom prst="rect">
                      <a:avLst/>
                    </a:prstGeom>
                  </pic:spPr>
                </pic:pic>
              </a:graphicData>
            </a:graphic>
          </wp:anchor>
        </w:drawing>
      </w:r>
      <w:r>
        <w:drawing>
          <wp:anchor distT="0" distB="0" distL="114300" distR="114300" simplePos="false" relativeHeight="10256144" behindDoc="true" locked="false" layoutInCell="true" allowOverlap="true">
            <wp:simplePos x="0" y="0"/>
            <wp:positionH relativeFrom="page">
              <wp:posOffset>1333500</wp:posOffset>
            </wp:positionH>
            <wp:positionV relativeFrom="page">
              <wp:posOffset>5334000</wp:posOffset>
            </wp:positionV>
            <wp:extent cx="2362200" cy="3606800"/>
            <wp:effectExtent l="0" t="0" r="0" b="0"/>
            <wp:wrapNone/>
            <wp:docPr id="7762" name="image7762" descr=""/>
            <wp:cNvGraphicFramePr>
              <a:graphicFrameLocks noChangeAspect="true"/>
            </wp:cNvGraphicFramePr>
            <a:graphic>
              <a:graphicData uri="http://schemas.openxmlformats.org/drawingml/2006/picture">
                <pic:pic>
                  <pic:nvPicPr>
                    <pic:cNvPr id="7762" name="image7762"/>
                    <pic:cNvPicPr/>
                  </pic:nvPicPr>
                  <pic:blipFill>
                    <a:blip r:embed="rId108"/>
                    <a:stretch>
                      <a:fillRect/>
                    </a:stretch>
                  </pic:blipFill>
                  <pic:spPr>
                    <a:xfrm flipV="true">
                      <a:off x="0" y="0"/>
                      <a:ext cx="2362200" cy="3606800"/>
                    </a:xfrm>
                    <a:prstGeom prst="rect">
                      <a:avLst/>
                    </a:prstGeom>
                  </pic:spPr>
                </pic:pic>
              </a:graphicData>
            </a:graphic>
          </wp:anchor>
        </w:drawing>
      </w:r>
      <w:r>
        <w:drawing>
          <wp:anchor distT="0" distB="0" distL="114300" distR="114300" simplePos="false" relativeHeight="10258192" behindDoc="true" locked="false" layoutInCell="true" allowOverlap="true">
            <wp:simplePos x="0" y="0"/>
            <wp:positionH relativeFrom="page">
              <wp:posOffset>2603500</wp:posOffset>
            </wp:positionH>
            <wp:positionV relativeFrom="page">
              <wp:posOffset>6832600</wp:posOffset>
            </wp:positionV>
            <wp:extent cx="927100" cy="330200"/>
            <wp:effectExtent l="0" t="0" r="0" b="0"/>
            <wp:wrapNone/>
            <wp:docPr id="7763" name="image7763" descr=""/>
            <wp:cNvGraphicFramePr>
              <a:graphicFrameLocks noChangeAspect="true"/>
            </wp:cNvGraphicFramePr>
            <a:graphic>
              <a:graphicData uri="http://schemas.openxmlformats.org/drawingml/2006/picture">
                <pic:pic>
                  <pic:nvPicPr>
                    <pic:cNvPr id="7763" name="image7763"/>
                    <pic:cNvPicPr/>
                  </pic:nvPicPr>
                  <pic:blipFill>
                    <a:blip r:embed="rId109"/>
                    <a:stretch>
                      <a:fillRect/>
                    </a:stretch>
                  </pic:blipFill>
                  <pic:spPr>
                    <a:xfrm>
                      <a:off x="0" y="0"/>
                      <a:ext cx="927100" cy="330200"/>
                    </a:xfrm>
                    <a:prstGeom prst="rect">
                      <a:avLst/>
                    </a:prstGeom>
                  </pic:spPr>
                </pic:pic>
              </a:graphicData>
            </a:graphic>
          </wp:anchor>
        </w:drawing>
      </w:r>
      <w:r>
        <w:drawing>
          <wp:anchor distT="0" distB="0" distL="114300" distR="114300" simplePos="false" relativeHeight="10259216" behindDoc="true" locked="false" layoutInCell="true" allowOverlap="true">
            <wp:simplePos x="0" y="0"/>
            <wp:positionH relativeFrom="page">
              <wp:posOffset>2603500</wp:posOffset>
            </wp:positionH>
            <wp:positionV relativeFrom="page">
              <wp:posOffset>6807200</wp:posOffset>
            </wp:positionV>
            <wp:extent cx="927100" cy="330200"/>
            <wp:effectExtent l="0" t="0" r="0" b="0"/>
            <wp:wrapNone/>
            <wp:docPr id="7764" name="image7764" descr=""/>
            <wp:cNvGraphicFramePr>
              <a:graphicFrameLocks noChangeAspect="true"/>
            </wp:cNvGraphicFramePr>
            <a:graphic>
              <a:graphicData uri="http://schemas.openxmlformats.org/drawingml/2006/picture">
                <pic:pic>
                  <pic:nvPicPr>
                    <pic:cNvPr id="7764" name="image7764"/>
                    <pic:cNvPicPr/>
                  </pic:nvPicPr>
                  <pic:blipFill>
                    <a:blip r:embed="rId110"/>
                    <a:stretch>
                      <a:fillRect/>
                    </a:stretch>
                  </pic:blipFill>
                  <pic:spPr>
                    <a:xfrm flipV="true">
                      <a:off x="0" y="0"/>
                      <a:ext cx="927100" cy="330200"/>
                    </a:xfrm>
                    <a:prstGeom prst="rect">
                      <a:avLst/>
                    </a:prstGeom>
                  </pic:spPr>
                </pic:pic>
              </a:graphicData>
            </a:graphic>
          </wp:anchor>
        </w:drawing>
      </w:r>
      <w:r>
        <w:drawing>
          <wp:anchor distT="0" distB="0" distL="114300" distR="114300" simplePos="false" relativeHeight="10261264" behindDoc="true" locked="false" layoutInCell="true" allowOverlap="true">
            <wp:simplePos x="0" y="0"/>
            <wp:positionH relativeFrom="page">
              <wp:posOffset>2641600</wp:posOffset>
            </wp:positionH>
            <wp:positionV relativeFrom="page">
              <wp:posOffset>8178800</wp:posOffset>
            </wp:positionV>
            <wp:extent cx="863600" cy="330200"/>
            <wp:effectExtent l="0" t="0" r="0" b="0"/>
            <wp:wrapNone/>
            <wp:docPr id="7765" name="image7765" descr=""/>
            <wp:cNvGraphicFramePr>
              <a:graphicFrameLocks noChangeAspect="true"/>
            </wp:cNvGraphicFramePr>
            <a:graphic>
              <a:graphicData uri="http://schemas.openxmlformats.org/drawingml/2006/picture">
                <pic:pic>
                  <pic:nvPicPr>
                    <pic:cNvPr id="7765" name="image7765"/>
                    <pic:cNvPicPr/>
                  </pic:nvPicPr>
                  <pic:blipFill>
                    <a:blip r:embed="rId111"/>
                    <a:stretch>
                      <a:fillRect/>
                    </a:stretch>
                  </pic:blipFill>
                  <pic:spPr>
                    <a:xfrm>
                      <a:off x="0" y="0"/>
                      <a:ext cx="863600" cy="330200"/>
                    </a:xfrm>
                    <a:prstGeom prst="rect">
                      <a:avLst/>
                    </a:prstGeom>
                  </pic:spPr>
                </pic:pic>
              </a:graphicData>
            </a:graphic>
          </wp:anchor>
        </w:drawing>
      </w:r>
      <w:r>
        <w:drawing>
          <wp:anchor distT="0" distB="0" distL="114300" distR="114300" simplePos="false" relativeHeight="10262288" behindDoc="true" locked="false" layoutInCell="true" allowOverlap="true">
            <wp:simplePos x="0" y="0"/>
            <wp:positionH relativeFrom="page">
              <wp:posOffset>2641600</wp:posOffset>
            </wp:positionH>
            <wp:positionV relativeFrom="page">
              <wp:posOffset>8153400</wp:posOffset>
            </wp:positionV>
            <wp:extent cx="850900" cy="330200"/>
            <wp:effectExtent l="0" t="0" r="0" b="0"/>
            <wp:wrapNone/>
            <wp:docPr id="7766" name="image7766" descr=""/>
            <wp:cNvGraphicFramePr>
              <a:graphicFrameLocks noChangeAspect="true"/>
            </wp:cNvGraphicFramePr>
            <a:graphic>
              <a:graphicData uri="http://schemas.openxmlformats.org/drawingml/2006/picture">
                <pic:pic>
                  <pic:nvPicPr>
                    <pic:cNvPr id="7766" name="image7766"/>
                    <pic:cNvPicPr/>
                  </pic:nvPicPr>
                  <pic:blipFill>
                    <a:blip r:embed="rId112"/>
                    <a:stretch>
                      <a:fillRect/>
                    </a:stretch>
                  </pic:blipFill>
                  <pic:spPr>
                    <a:xfrm flipV="true">
                      <a:off x="0" y="0"/>
                      <a:ext cx="850900" cy="330200"/>
                    </a:xfrm>
                    <a:prstGeom prst="rect">
                      <a:avLst/>
                    </a:prstGeom>
                  </pic:spPr>
                </pic:pic>
              </a:graphicData>
            </a:graphic>
          </wp:anchor>
        </w:drawing>
      </w:r>
      <w:r>
        <w:drawing>
          <wp:anchor distT="0" distB="0" distL="114300" distR="114300" simplePos="false" relativeHeight="10264336" behindDoc="true" locked="false" layoutInCell="true" allowOverlap="true">
            <wp:simplePos x="0" y="0"/>
            <wp:positionH relativeFrom="page">
              <wp:posOffset>1435100</wp:posOffset>
            </wp:positionH>
            <wp:positionV relativeFrom="page">
              <wp:posOffset>6870700</wp:posOffset>
            </wp:positionV>
            <wp:extent cx="939800" cy="266700"/>
            <wp:effectExtent l="0" t="0" r="0" b="0"/>
            <wp:wrapNone/>
            <wp:docPr id="7767" name="image7767" descr=""/>
            <wp:cNvGraphicFramePr>
              <a:graphicFrameLocks noChangeAspect="true"/>
            </wp:cNvGraphicFramePr>
            <a:graphic>
              <a:graphicData uri="http://schemas.openxmlformats.org/drawingml/2006/picture">
                <pic:pic>
                  <pic:nvPicPr>
                    <pic:cNvPr id="7767" name="image7767"/>
                    <pic:cNvPicPr/>
                  </pic:nvPicPr>
                  <pic:blipFill>
                    <a:blip r:embed="rId113"/>
                    <a:stretch>
                      <a:fillRect/>
                    </a:stretch>
                  </pic:blipFill>
                  <pic:spPr>
                    <a:xfrm>
                      <a:off x="0" y="0"/>
                      <a:ext cx="939800" cy="266700"/>
                    </a:xfrm>
                    <a:prstGeom prst="rect">
                      <a:avLst/>
                    </a:prstGeom>
                  </pic:spPr>
                </pic:pic>
              </a:graphicData>
            </a:graphic>
          </wp:anchor>
        </w:drawing>
      </w:r>
      <w:r>
        <w:drawing>
          <wp:anchor distT="0" distB="0" distL="114300" distR="114300" simplePos="false" relativeHeight="10266384" behindDoc="true" locked="false" layoutInCell="true" allowOverlap="true">
            <wp:simplePos x="0" y="0"/>
            <wp:positionH relativeFrom="page">
              <wp:posOffset>1485900</wp:posOffset>
            </wp:positionH>
            <wp:positionV relativeFrom="page">
              <wp:posOffset>6908800</wp:posOffset>
            </wp:positionV>
            <wp:extent cx="850900" cy="203200"/>
            <wp:effectExtent l="0" t="0" r="0" b="0"/>
            <wp:wrapNone/>
            <wp:docPr id="7768" name="image7768" descr=""/>
            <wp:cNvGraphicFramePr>
              <a:graphicFrameLocks noChangeAspect="true"/>
            </wp:cNvGraphicFramePr>
            <a:graphic>
              <a:graphicData uri="http://schemas.openxmlformats.org/drawingml/2006/picture">
                <pic:pic>
                  <pic:nvPicPr>
                    <pic:cNvPr id="7768" name="image7768"/>
                    <pic:cNvPicPr/>
                  </pic:nvPicPr>
                  <pic:blipFill>
                    <a:blip r:embed="rId114"/>
                    <a:stretch>
                      <a:fillRect/>
                    </a:stretch>
                  </pic:blipFill>
                  <pic:spPr>
                    <a:xfrm>
                      <a:off x="0" y="0"/>
                      <a:ext cx="850900" cy="203200"/>
                    </a:xfrm>
                    <a:prstGeom prst="rect">
                      <a:avLst/>
                    </a:prstGeom>
                  </pic:spPr>
                </pic:pic>
              </a:graphicData>
            </a:graphic>
          </wp:anchor>
        </w:drawing>
      </w:r>
      <w:r>
        <w:drawing>
          <wp:anchor distT="0" distB="0" distL="114300" distR="114300" simplePos="false" relativeHeight="10267408" behindDoc="false" locked="false" layoutInCell="true" allowOverlap="true">
            <wp:simplePos x="0" y="0"/>
            <wp:positionH relativeFrom="page">
              <wp:posOffset>4368800</wp:posOffset>
            </wp:positionH>
            <wp:positionV relativeFrom="page">
              <wp:posOffset>5524500</wp:posOffset>
            </wp:positionV>
            <wp:extent cx="927100" cy="266700"/>
            <wp:effectExtent l="0" t="0" r="0" b="0"/>
            <wp:wrapNone/>
            <wp:docPr id="7769" name="image7769" descr=""/>
            <wp:cNvGraphicFramePr>
              <a:graphicFrameLocks noChangeAspect="true"/>
            </wp:cNvGraphicFramePr>
            <a:graphic>
              <a:graphicData uri="http://schemas.openxmlformats.org/drawingml/2006/picture">
                <pic:pic>
                  <pic:nvPicPr>
                    <pic:cNvPr id="7769" name="image7769"/>
                    <pic:cNvPicPr/>
                  </pic:nvPicPr>
                  <pic:blipFill>
                    <a:blip r:embed="rId115"/>
                    <a:stretch>
                      <a:fillRect/>
                    </a:stretch>
                  </pic:blipFill>
                  <pic:spPr>
                    <a:xfrm>
                      <a:off x="0" y="0"/>
                      <a:ext cx="927100" cy="266700"/>
                    </a:xfrm>
                    <a:prstGeom prst="rect">
                      <a:avLst/>
                    </a:prstGeom>
                  </pic:spPr>
                </pic:pic>
              </a:graphicData>
            </a:graphic>
          </wp:anchor>
        </w:drawing>
      </w:r>
      <w:r>
        <w:drawing>
          <wp:anchor distT="0" distB="0" distL="114300" distR="114300" simplePos="false" relativeHeight="10268432" behindDoc="false" locked="false" layoutInCell="true" allowOverlap="true">
            <wp:simplePos x="0" y="0"/>
            <wp:positionH relativeFrom="page">
              <wp:posOffset>4368800</wp:posOffset>
            </wp:positionH>
            <wp:positionV relativeFrom="page">
              <wp:posOffset>5499100</wp:posOffset>
            </wp:positionV>
            <wp:extent cx="914400" cy="266700"/>
            <wp:effectExtent l="0" t="0" r="0" b="0"/>
            <wp:wrapNone/>
            <wp:docPr id="7770" name="image7770" descr=""/>
            <wp:cNvGraphicFramePr>
              <a:graphicFrameLocks noChangeAspect="true"/>
            </wp:cNvGraphicFramePr>
            <a:graphic>
              <a:graphicData uri="http://schemas.openxmlformats.org/drawingml/2006/picture">
                <pic:pic>
                  <pic:nvPicPr>
                    <pic:cNvPr id="7770" name="image7770"/>
                    <pic:cNvPicPr/>
                  </pic:nvPicPr>
                  <pic:blipFill>
                    <a:blip r:embed="rId116"/>
                    <a:stretch>
                      <a:fillRect/>
                    </a:stretch>
                  </pic:blipFill>
                  <pic:spPr>
                    <a:xfrm flipV="true">
                      <a:off x="0" y="0"/>
                      <a:ext cx="914400" cy="266700"/>
                    </a:xfrm>
                    <a:prstGeom prst="rect">
                      <a:avLst/>
                    </a:prstGeom>
                  </pic:spPr>
                </pic:pic>
              </a:graphicData>
            </a:graphic>
          </wp:anchor>
        </w:drawing>
      </w:r>
      <w:r>
        <w:drawing>
          <wp:anchor distT="0" distB="0" distL="114300" distR="114300" simplePos="false" relativeHeight="10270480" behindDoc="true" locked="false" layoutInCell="true" allowOverlap="true">
            <wp:simplePos x="0" y="0"/>
            <wp:positionH relativeFrom="page">
              <wp:posOffset>1435100</wp:posOffset>
            </wp:positionH>
            <wp:positionV relativeFrom="page">
              <wp:posOffset>8229600</wp:posOffset>
            </wp:positionV>
            <wp:extent cx="939800" cy="228600"/>
            <wp:effectExtent l="0" t="0" r="0" b="0"/>
            <wp:wrapNone/>
            <wp:docPr id="7771" name="image7771" descr=""/>
            <wp:cNvGraphicFramePr>
              <a:graphicFrameLocks noChangeAspect="true"/>
            </wp:cNvGraphicFramePr>
            <a:graphic>
              <a:graphicData uri="http://schemas.openxmlformats.org/drawingml/2006/picture">
                <pic:pic>
                  <pic:nvPicPr>
                    <pic:cNvPr id="7771" name="image7771"/>
                    <pic:cNvPicPr/>
                  </pic:nvPicPr>
                  <pic:blipFill>
                    <a:blip r:embed="rId117"/>
                    <a:stretch>
                      <a:fillRect/>
                    </a:stretch>
                  </pic:blipFill>
                  <pic:spPr>
                    <a:xfrm>
                      <a:off x="0" y="0"/>
                      <a:ext cx="939800" cy="228600"/>
                    </a:xfrm>
                    <a:prstGeom prst="rect">
                      <a:avLst/>
                    </a:prstGeom>
                  </pic:spPr>
                </pic:pic>
              </a:graphicData>
            </a:graphic>
          </wp:anchor>
        </w:drawing>
      </w:r>
      <w:r>
        <w:drawing>
          <wp:anchor distT="0" distB="0" distL="114300" distR="114300" simplePos="false" relativeHeight="10272528" behindDoc="true" locked="false" layoutInCell="true" allowOverlap="true">
            <wp:simplePos x="0" y="0"/>
            <wp:positionH relativeFrom="page">
              <wp:posOffset>1485900</wp:posOffset>
            </wp:positionH>
            <wp:positionV relativeFrom="page">
              <wp:posOffset>8255000</wp:posOffset>
            </wp:positionV>
            <wp:extent cx="850900" cy="203200"/>
            <wp:effectExtent l="0" t="0" r="0" b="0"/>
            <wp:wrapNone/>
            <wp:docPr id="7772" name="image7772" descr=""/>
            <wp:cNvGraphicFramePr>
              <a:graphicFrameLocks noChangeAspect="true"/>
            </wp:cNvGraphicFramePr>
            <a:graphic>
              <a:graphicData uri="http://schemas.openxmlformats.org/drawingml/2006/picture">
                <pic:pic>
                  <pic:nvPicPr>
                    <pic:cNvPr id="7772" name="image7772"/>
                    <pic:cNvPicPr/>
                  </pic:nvPicPr>
                  <pic:blipFill>
                    <a:blip r:embed="rId118"/>
                    <a:stretch>
                      <a:fillRect/>
                    </a:stretch>
                  </pic:blipFill>
                  <pic:spPr>
                    <a:xfrm>
                      <a:off x="0" y="0"/>
                      <a:ext cx="850900" cy="203200"/>
                    </a:xfrm>
                    <a:prstGeom prst="rect">
                      <a:avLst/>
                    </a:prstGeom>
                  </pic:spPr>
                </pic:pic>
              </a:graphicData>
            </a:graphic>
          </wp:anchor>
        </w:drawing>
      </w:r>
      <w:r>
        <w:drawing>
          <wp:anchor distT="0" distB="0" distL="114300" distR="114300" simplePos="false" relativeHeight="10286864" behindDoc="true" locked="false" layoutInCell="true" allowOverlap="true">
            <wp:simplePos x="0" y="0"/>
            <wp:positionH relativeFrom="page">
              <wp:posOffset>4457700</wp:posOffset>
            </wp:positionH>
            <wp:positionV relativeFrom="page">
              <wp:posOffset>7696200</wp:posOffset>
            </wp:positionV>
            <wp:extent cx="927100" cy="266700"/>
            <wp:effectExtent l="0" t="0" r="0" b="0"/>
            <wp:wrapNone/>
            <wp:docPr id="7773" name="image7773" descr=""/>
            <wp:cNvGraphicFramePr>
              <a:graphicFrameLocks noChangeAspect="true"/>
            </wp:cNvGraphicFramePr>
            <a:graphic>
              <a:graphicData uri="http://schemas.openxmlformats.org/drawingml/2006/picture">
                <pic:pic>
                  <pic:nvPicPr>
                    <pic:cNvPr id="7773" name="image7773"/>
                    <pic:cNvPicPr/>
                  </pic:nvPicPr>
                  <pic:blipFill>
                    <a:blip r:embed="rId119"/>
                    <a:stretch>
                      <a:fillRect/>
                    </a:stretch>
                  </pic:blipFill>
                  <pic:spPr>
                    <a:xfrm>
                      <a:off x="0" y="0"/>
                      <a:ext cx="927100" cy="266700"/>
                    </a:xfrm>
                    <a:prstGeom prst="rect">
                      <a:avLst/>
                    </a:prstGeom>
                  </pic:spPr>
                </pic:pic>
              </a:graphicData>
            </a:graphic>
          </wp:anchor>
        </w:drawing>
      </w:r>
      <w:r>
        <w:drawing>
          <wp:anchor distT="0" distB="0" distL="114300" distR="114300" simplePos="false" relativeHeight="10287888" behindDoc="true" locked="false" layoutInCell="true" allowOverlap="true">
            <wp:simplePos x="0" y="0"/>
            <wp:positionH relativeFrom="page">
              <wp:posOffset>4457700</wp:posOffset>
            </wp:positionH>
            <wp:positionV relativeFrom="page">
              <wp:posOffset>7670800</wp:posOffset>
            </wp:positionV>
            <wp:extent cx="914400" cy="266700"/>
            <wp:effectExtent l="0" t="0" r="0" b="0"/>
            <wp:wrapNone/>
            <wp:docPr id="7774" name="image7774" descr=""/>
            <wp:cNvGraphicFramePr>
              <a:graphicFrameLocks noChangeAspect="true"/>
            </wp:cNvGraphicFramePr>
            <a:graphic>
              <a:graphicData uri="http://schemas.openxmlformats.org/drawingml/2006/picture">
                <pic:pic>
                  <pic:nvPicPr>
                    <pic:cNvPr id="7774" name="image7774"/>
                    <pic:cNvPicPr/>
                  </pic:nvPicPr>
                  <pic:blipFill>
                    <a:blip r:embed="rId120"/>
                    <a:stretch>
                      <a:fillRect/>
                    </a:stretch>
                  </pic:blipFill>
                  <pic:spPr>
                    <a:xfrm flipV="true">
                      <a:off x="0" y="0"/>
                      <a:ext cx="914400" cy="266700"/>
                    </a:xfrm>
                    <a:prstGeom prst="rect">
                      <a:avLst/>
                    </a:prstGeom>
                  </pic:spPr>
                </pic:pic>
              </a:graphicData>
            </a:graphic>
          </wp:anchor>
        </w:drawing>
      </w:r>
      <w:r>
        <w:drawing>
          <wp:anchor distT="0" distB="0" distL="114300" distR="114300" simplePos="false" relativeHeight="10289936" behindDoc="false" locked="false" layoutInCell="true" allowOverlap="true">
            <wp:simplePos x="0" y="0"/>
            <wp:positionH relativeFrom="page">
              <wp:posOffset>4368800</wp:posOffset>
            </wp:positionH>
            <wp:positionV relativeFrom="page">
              <wp:posOffset>7467600</wp:posOffset>
            </wp:positionV>
            <wp:extent cx="927100" cy="266700"/>
            <wp:effectExtent l="0" t="0" r="0" b="0"/>
            <wp:wrapNone/>
            <wp:docPr id="7775" name="image7775" descr=""/>
            <wp:cNvGraphicFramePr>
              <a:graphicFrameLocks noChangeAspect="true"/>
            </wp:cNvGraphicFramePr>
            <a:graphic>
              <a:graphicData uri="http://schemas.openxmlformats.org/drawingml/2006/picture">
                <pic:pic>
                  <pic:nvPicPr>
                    <pic:cNvPr id="7775" name="image7775"/>
                    <pic:cNvPicPr/>
                  </pic:nvPicPr>
                  <pic:blipFill>
                    <a:blip r:embed="rId121"/>
                    <a:stretch>
                      <a:fillRect/>
                    </a:stretch>
                  </pic:blipFill>
                  <pic:spPr>
                    <a:xfrm>
                      <a:off x="0" y="0"/>
                      <a:ext cx="927100" cy="266700"/>
                    </a:xfrm>
                    <a:prstGeom prst="rect">
                      <a:avLst/>
                    </a:prstGeom>
                  </pic:spPr>
                </pic:pic>
              </a:graphicData>
            </a:graphic>
          </wp:anchor>
        </w:drawing>
      </w:r>
      <w:r>
        <w:drawing>
          <wp:anchor distT="0" distB="0" distL="114300" distR="114300" simplePos="false" relativeHeight="10290960" behindDoc="false" locked="false" layoutInCell="true" allowOverlap="true">
            <wp:simplePos x="0" y="0"/>
            <wp:positionH relativeFrom="page">
              <wp:posOffset>4368800</wp:posOffset>
            </wp:positionH>
            <wp:positionV relativeFrom="page">
              <wp:posOffset>7442200</wp:posOffset>
            </wp:positionV>
            <wp:extent cx="914400" cy="266700"/>
            <wp:effectExtent l="0" t="0" r="0" b="0"/>
            <wp:wrapNone/>
            <wp:docPr id="7776" name="image7776" descr=""/>
            <wp:cNvGraphicFramePr>
              <a:graphicFrameLocks noChangeAspect="true"/>
            </wp:cNvGraphicFramePr>
            <a:graphic>
              <a:graphicData uri="http://schemas.openxmlformats.org/drawingml/2006/picture">
                <pic:pic>
                  <pic:nvPicPr>
                    <pic:cNvPr id="7776" name="image7776"/>
                    <pic:cNvPicPr/>
                  </pic:nvPicPr>
                  <pic:blipFill>
                    <a:blip r:embed="rId122"/>
                    <a:stretch>
                      <a:fillRect/>
                    </a:stretch>
                  </pic:blipFill>
                  <pic:spPr>
                    <a:xfrm flipV="true">
                      <a:off x="0" y="0"/>
                      <a:ext cx="914400" cy="266700"/>
                    </a:xfrm>
                    <a:prstGeom prst="rect">
                      <a:avLst/>
                    </a:prstGeom>
                  </pic:spPr>
                </pic:pic>
              </a:graphicData>
            </a:graphic>
          </wp:anchor>
        </w:drawing>
      </w:r>
      <w:r>
        <w:drawing>
          <wp:anchor distT="0" distB="0" distL="114300" distR="114300" simplePos="false" relativeHeight="10293008" behindDoc="true" locked="false" layoutInCell="true" allowOverlap="true">
            <wp:simplePos x="0" y="0"/>
            <wp:positionH relativeFrom="page">
              <wp:posOffset>4457700</wp:posOffset>
            </wp:positionH>
            <wp:positionV relativeFrom="page">
              <wp:posOffset>7099300</wp:posOffset>
            </wp:positionV>
            <wp:extent cx="927100" cy="279400"/>
            <wp:effectExtent l="0" t="0" r="0" b="0"/>
            <wp:wrapNone/>
            <wp:docPr id="7777" name="image7777" descr=""/>
            <wp:cNvGraphicFramePr>
              <a:graphicFrameLocks noChangeAspect="true"/>
            </wp:cNvGraphicFramePr>
            <a:graphic>
              <a:graphicData uri="http://schemas.openxmlformats.org/drawingml/2006/picture">
                <pic:pic>
                  <pic:nvPicPr>
                    <pic:cNvPr id="7777" name="image7777"/>
                    <pic:cNvPicPr/>
                  </pic:nvPicPr>
                  <pic:blipFill>
                    <a:blip r:embed="rId123"/>
                    <a:stretch>
                      <a:fillRect/>
                    </a:stretch>
                  </pic:blipFill>
                  <pic:spPr>
                    <a:xfrm>
                      <a:off x="0" y="0"/>
                      <a:ext cx="927100" cy="279400"/>
                    </a:xfrm>
                    <a:prstGeom prst="rect">
                      <a:avLst/>
                    </a:prstGeom>
                  </pic:spPr>
                </pic:pic>
              </a:graphicData>
            </a:graphic>
          </wp:anchor>
        </w:drawing>
      </w:r>
      <w:r>
        <w:drawing>
          <wp:anchor distT="0" distB="0" distL="114300" distR="114300" simplePos="false" relativeHeight="10294032" behindDoc="true" locked="false" layoutInCell="true" allowOverlap="true">
            <wp:simplePos x="0" y="0"/>
            <wp:positionH relativeFrom="page">
              <wp:posOffset>4457700</wp:posOffset>
            </wp:positionH>
            <wp:positionV relativeFrom="page">
              <wp:posOffset>7086600</wp:posOffset>
            </wp:positionV>
            <wp:extent cx="914400" cy="266700"/>
            <wp:effectExtent l="0" t="0" r="0" b="0"/>
            <wp:wrapNone/>
            <wp:docPr id="7778" name="image7778" descr=""/>
            <wp:cNvGraphicFramePr>
              <a:graphicFrameLocks noChangeAspect="true"/>
            </wp:cNvGraphicFramePr>
            <a:graphic>
              <a:graphicData uri="http://schemas.openxmlformats.org/drawingml/2006/picture">
                <pic:pic>
                  <pic:nvPicPr>
                    <pic:cNvPr id="7778" name="image7778"/>
                    <pic:cNvPicPr/>
                  </pic:nvPicPr>
                  <pic:blipFill>
                    <a:blip r:embed="rId124"/>
                    <a:stretch>
                      <a:fillRect/>
                    </a:stretch>
                  </pic:blipFill>
                  <pic:spPr>
                    <a:xfrm flipV="true">
                      <a:off x="0" y="0"/>
                      <a:ext cx="914400" cy="266700"/>
                    </a:xfrm>
                    <a:prstGeom prst="rect">
                      <a:avLst/>
                    </a:prstGeom>
                  </pic:spPr>
                </pic:pic>
              </a:graphicData>
            </a:graphic>
          </wp:anchor>
        </w:drawing>
      </w:r>
      <w:r>
        <w:drawing>
          <wp:anchor distT="0" distB="0" distL="114300" distR="114300" simplePos="false" relativeHeight="10296080" behindDoc="false" locked="false" layoutInCell="true" allowOverlap="true">
            <wp:simplePos x="0" y="0"/>
            <wp:positionH relativeFrom="page">
              <wp:posOffset>4368800</wp:posOffset>
            </wp:positionH>
            <wp:positionV relativeFrom="page">
              <wp:posOffset>6870700</wp:posOffset>
            </wp:positionV>
            <wp:extent cx="927100" cy="279400"/>
            <wp:effectExtent l="0" t="0" r="0" b="0"/>
            <wp:wrapNone/>
            <wp:docPr id="7779" name="image7779" descr=""/>
            <wp:cNvGraphicFramePr>
              <a:graphicFrameLocks noChangeAspect="true"/>
            </wp:cNvGraphicFramePr>
            <a:graphic>
              <a:graphicData uri="http://schemas.openxmlformats.org/drawingml/2006/picture">
                <pic:pic>
                  <pic:nvPicPr>
                    <pic:cNvPr id="7779" name="image7779"/>
                    <pic:cNvPicPr/>
                  </pic:nvPicPr>
                  <pic:blipFill>
                    <a:blip r:embed="rId125"/>
                    <a:stretch>
                      <a:fillRect/>
                    </a:stretch>
                  </pic:blipFill>
                  <pic:spPr>
                    <a:xfrm>
                      <a:off x="0" y="0"/>
                      <a:ext cx="927100" cy="279400"/>
                    </a:xfrm>
                    <a:prstGeom prst="rect">
                      <a:avLst/>
                    </a:prstGeom>
                  </pic:spPr>
                </pic:pic>
              </a:graphicData>
            </a:graphic>
          </wp:anchor>
        </w:drawing>
      </w:r>
      <w:r>
        <w:drawing>
          <wp:anchor distT="0" distB="0" distL="114300" distR="114300" simplePos="false" relativeHeight="10297104" behindDoc="false" locked="false" layoutInCell="true" allowOverlap="true">
            <wp:simplePos x="0" y="0"/>
            <wp:positionH relativeFrom="page">
              <wp:posOffset>4368800</wp:posOffset>
            </wp:positionH>
            <wp:positionV relativeFrom="page">
              <wp:posOffset>6858000</wp:posOffset>
            </wp:positionV>
            <wp:extent cx="914400" cy="266700"/>
            <wp:effectExtent l="0" t="0" r="0" b="0"/>
            <wp:wrapNone/>
            <wp:docPr id="7780" name="image7780" descr=""/>
            <wp:cNvGraphicFramePr>
              <a:graphicFrameLocks noChangeAspect="true"/>
            </wp:cNvGraphicFramePr>
            <a:graphic>
              <a:graphicData uri="http://schemas.openxmlformats.org/drawingml/2006/picture">
                <pic:pic>
                  <pic:nvPicPr>
                    <pic:cNvPr id="7780" name="image7780"/>
                    <pic:cNvPicPr/>
                  </pic:nvPicPr>
                  <pic:blipFill>
                    <a:blip r:embed="rId126"/>
                    <a:stretch>
                      <a:fillRect/>
                    </a:stretch>
                  </pic:blipFill>
                  <pic:spPr>
                    <a:xfrm flipV="true">
                      <a:off x="0" y="0"/>
                      <a:ext cx="914400" cy="266700"/>
                    </a:xfrm>
                    <a:prstGeom prst="rect">
                      <a:avLst/>
                    </a:prstGeom>
                  </pic:spPr>
                </pic:pic>
              </a:graphicData>
            </a:graphic>
          </wp:anchor>
        </w:drawing>
      </w:r>
      <w:r>
        <w:drawing>
          <wp:anchor distT="0" distB="0" distL="114300" distR="114300" simplePos="false" relativeHeight="10299152" behindDoc="false" locked="false" layoutInCell="true" allowOverlap="true">
            <wp:simplePos x="0" y="0"/>
            <wp:positionH relativeFrom="page">
              <wp:posOffset>4368800</wp:posOffset>
            </wp:positionH>
            <wp:positionV relativeFrom="page">
              <wp:posOffset>6388100</wp:posOffset>
            </wp:positionV>
            <wp:extent cx="927100" cy="279400"/>
            <wp:effectExtent l="0" t="0" r="0" b="0"/>
            <wp:wrapNone/>
            <wp:docPr id="7781" name="image7781" descr=""/>
            <wp:cNvGraphicFramePr>
              <a:graphicFrameLocks noChangeAspect="true"/>
            </wp:cNvGraphicFramePr>
            <a:graphic>
              <a:graphicData uri="http://schemas.openxmlformats.org/drawingml/2006/picture">
                <pic:pic>
                  <pic:nvPicPr>
                    <pic:cNvPr id="7781" name="image7781"/>
                    <pic:cNvPicPr/>
                  </pic:nvPicPr>
                  <pic:blipFill>
                    <a:blip r:embed="rId123"/>
                    <a:stretch>
                      <a:fillRect/>
                    </a:stretch>
                  </pic:blipFill>
                  <pic:spPr>
                    <a:xfrm>
                      <a:off x="0" y="0"/>
                      <a:ext cx="927100" cy="279400"/>
                    </a:xfrm>
                    <a:prstGeom prst="rect">
                      <a:avLst/>
                    </a:prstGeom>
                  </pic:spPr>
                </pic:pic>
              </a:graphicData>
            </a:graphic>
          </wp:anchor>
        </w:drawing>
      </w:r>
      <w:r>
        <w:drawing>
          <wp:anchor distT="0" distB="0" distL="114300" distR="114300" simplePos="false" relativeHeight="10300176" behindDoc="false" locked="false" layoutInCell="true" allowOverlap="true">
            <wp:simplePos x="0" y="0"/>
            <wp:positionH relativeFrom="page">
              <wp:posOffset>4368800</wp:posOffset>
            </wp:positionH>
            <wp:positionV relativeFrom="page">
              <wp:posOffset>6362700</wp:posOffset>
            </wp:positionV>
            <wp:extent cx="914400" cy="266700"/>
            <wp:effectExtent l="0" t="0" r="0" b="0"/>
            <wp:wrapNone/>
            <wp:docPr id="7782" name="image7782" descr=""/>
            <wp:cNvGraphicFramePr>
              <a:graphicFrameLocks noChangeAspect="true"/>
            </wp:cNvGraphicFramePr>
            <a:graphic>
              <a:graphicData uri="http://schemas.openxmlformats.org/drawingml/2006/picture">
                <pic:pic>
                  <pic:nvPicPr>
                    <pic:cNvPr id="7782" name="image7782"/>
                    <pic:cNvPicPr/>
                  </pic:nvPicPr>
                  <pic:blipFill>
                    <a:blip r:embed="rId127"/>
                    <a:stretch>
                      <a:fillRect/>
                    </a:stretch>
                  </pic:blipFill>
                  <pic:spPr>
                    <a:xfrm flipV="true">
                      <a:off x="0" y="0"/>
                      <a:ext cx="914400" cy="266700"/>
                    </a:xfrm>
                    <a:prstGeom prst="rect">
                      <a:avLst/>
                    </a:prstGeom>
                  </pic:spPr>
                </pic:pic>
              </a:graphicData>
            </a:graphic>
          </wp:anchor>
        </w:drawing>
      </w:r>
      <w:r>
        <w:drawing>
          <wp:anchor distT="0" distB="0" distL="114300" distR="114300" simplePos="false" relativeHeight="10302224" behindDoc="false" locked="false" layoutInCell="true" allowOverlap="true">
            <wp:simplePos x="0" y="0"/>
            <wp:positionH relativeFrom="page">
              <wp:posOffset>4368800</wp:posOffset>
            </wp:positionH>
            <wp:positionV relativeFrom="page">
              <wp:posOffset>5969000</wp:posOffset>
            </wp:positionV>
            <wp:extent cx="927100" cy="266700"/>
            <wp:effectExtent l="0" t="0" r="0" b="0"/>
            <wp:wrapNone/>
            <wp:docPr id="7783" name="image7783" descr=""/>
            <wp:cNvGraphicFramePr>
              <a:graphicFrameLocks noChangeAspect="true"/>
            </wp:cNvGraphicFramePr>
            <a:graphic>
              <a:graphicData uri="http://schemas.openxmlformats.org/drawingml/2006/picture">
                <pic:pic>
                  <pic:nvPicPr>
                    <pic:cNvPr id="7783" name="image7783"/>
                    <pic:cNvPicPr/>
                  </pic:nvPicPr>
                  <pic:blipFill>
                    <a:blip r:embed="rId128"/>
                    <a:stretch>
                      <a:fillRect/>
                    </a:stretch>
                  </pic:blipFill>
                  <pic:spPr>
                    <a:xfrm>
                      <a:off x="0" y="0"/>
                      <a:ext cx="927100" cy="266700"/>
                    </a:xfrm>
                    <a:prstGeom prst="rect">
                      <a:avLst/>
                    </a:prstGeom>
                  </pic:spPr>
                </pic:pic>
              </a:graphicData>
            </a:graphic>
          </wp:anchor>
        </w:drawing>
      </w:r>
      <w:r>
        <w:drawing>
          <wp:anchor distT="0" distB="0" distL="114300" distR="114300" simplePos="false" relativeHeight="10303248" behindDoc="false" locked="false" layoutInCell="true" allowOverlap="true">
            <wp:simplePos x="0" y="0"/>
            <wp:positionH relativeFrom="page">
              <wp:posOffset>4368800</wp:posOffset>
            </wp:positionH>
            <wp:positionV relativeFrom="page">
              <wp:posOffset>5943600</wp:posOffset>
            </wp:positionV>
            <wp:extent cx="914400" cy="254000"/>
            <wp:effectExtent l="0" t="0" r="0" b="0"/>
            <wp:wrapNone/>
            <wp:docPr id="7784" name="image7784" descr=""/>
            <wp:cNvGraphicFramePr>
              <a:graphicFrameLocks noChangeAspect="true"/>
            </wp:cNvGraphicFramePr>
            <a:graphic>
              <a:graphicData uri="http://schemas.openxmlformats.org/drawingml/2006/picture">
                <pic:pic>
                  <pic:nvPicPr>
                    <pic:cNvPr id="7784" name="image7784"/>
                    <pic:cNvPicPr/>
                  </pic:nvPicPr>
                  <pic:blipFill>
                    <a:blip r:embed="rId129"/>
                    <a:stretch>
                      <a:fillRect/>
                    </a:stretch>
                  </pic:blipFill>
                  <pic:spPr>
                    <a:xfrm flipV="true">
                      <a:off x="0" y="0"/>
                      <a:ext cx="914400" cy="254000"/>
                    </a:xfrm>
                    <a:prstGeom prst="rect">
                      <a:avLst/>
                    </a:prstGeom>
                  </pic:spPr>
                </pic:pic>
              </a:graphicData>
            </a:graphic>
          </wp:anchor>
        </w:drawing>
      </w:r>
      <w:r>
        <w:drawing>
          <wp:anchor distT="0" distB="0" distL="114300" distR="114300" simplePos="false" relativeHeight="10305296" behindDoc="true" locked="false" layoutInCell="true" allowOverlap="true">
            <wp:simplePos x="0" y="0"/>
            <wp:positionH relativeFrom="page">
              <wp:posOffset>5588000</wp:posOffset>
            </wp:positionH>
            <wp:positionV relativeFrom="page">
              <wp:posOffset>6121400</wp:posOffset>
            </wp:positionV>
            <wp:extent cx="939800" cy="304800"/>
            <wp:effectExtent l="0" t="0" r="0" b="0"/>
            <wp:wrapNone/>
            <wp:docPr id="7785" name="image7785" descr=""/>
            <wp:cNvGraphicFramePr>
              <a:graphicFrameLocks noChangeAspect="true"/>
            </wp:cNvGraphicFramePr>
            <a:graphic>
              <a:graphicData uri="http://schemas.openxmlformats.org/drawingml/2006/picture">
                <pic:pic>
                  <pic:nvPicPr>
                    <pic:cNvPr id="7785" name="image7785"/>
                    <pic:cNvPicPr/>
                  </pic:nvPicPr>
                  <pic:blipFill>
                    <a:blip r:embed="rId130"/>
                    <a:stretch>
                      <a:fillRect/>
                    </a:stretch>
                  </pic:blipFill>
                  <pic:spPr>
                    <a:xfrm>
                      <a:off x="0" y="0"/>
                      <a:ext cx="939800" cy="304800"/>
                    </a:xfrm>
                    <a:prstGeom prst="rect">
                      <a:avLst/>
                    </a:prstGeom>
                  </pic:spPr>
                </pic:pic>
              </a:graphicData>
            </a:graphic>
          </wp:anchor>
        </w:drawing>
      </w:r>
      <w:r>
        <w:drawing>
          <wp:anchor distT="0" distB="0" distL="114300" distR="114300" simplePos="false" relativeHeight="10306320" behindDoc="true" locked="false" layoutInCell="true" allowOverlap="true">
            <wp:simplePos x="0" y="0"/>
            <wp:positionH relativeFrom="page">
              <wp:posOffset>5588000</wp:posOffset>
            </wp:positionH>
            <wp:positionV relativeFrom="page">
              <wp:posOffset>6096000</wp:posOffset>
            </wp:positionV>
            <wp:extent cx="939800" cy="292100"/>
            <wp:effectExtent l="0" t="0" r="0" b="0"/>
            <wp:wrapNone/>
            <wp:docPr id="7786" name="image7786" descr=""/>
            <wp:cNvGraphicFramePr>
              <a:graphicFrameLocks noChangeAspect="true"/>
            </wp:cNvGraphicFramePr>
            <a:graphic>
              <a:graphicData uri="http://schemas.openxmlformats.org/drawingml/2006/picture">
                <pic:pic>
                  <pic:nvPicPr>
                    <pic:cNvPr id="7786" name="image7786"/>
                    <pic:cNvPicPr/>
                  </pic:nvPicPr>
                  <pic:blipFill>
                    <a:blip r:embed="rId131"/>
                    <a:stretch>
                      <a:fillRect/>
                    </a:stretch>
                  </pic:blipFill>
                  <pic:spPr>
                    <a:xfrm flipV="true">
                      <a:off x="0" y="0"/>
                      <a:ext cx="939800" cy="292100"/>
                    </a:xfrm>
                    <a:prstGeom prst="rect">
                      <a:avLst/>
                    </a:prstGeom>
                  </pic:spPr>
                </pic:pic>
              </a:graphicData>
            </a:graphic>
          </wp:anchor>
        </w:drawing>
      </w:r>
      <w:r>
        <w:drawing>
          <wp:anchor distT="0" distB="0" distL="114300" distR="114300" simplePos="false" relativeHeight="10308368" behindDoc="false" locked="false" layoutInCell="true" allowOverlap="true">
            <wp:simplePos x="0" y="0"/>
            <wp:positionH relativeFrom="page">
              <wp:posOffset>4368800</wp:posOffset>
            </wp:positionH>
            <wp:positionV relativeFrom="page">
              <wp:posOffset>8178800</wp:posOffset>
            </wp:positionV>
            <wp:extent cx="927100" cy="330200"/>
            <wp:effectExtent l="0" t="0" r="0" b="0"/>
            <wp:wrapNone/>
            <wp:docPr id="7787" name="image7787" descr=""/>
            <wp:cNvGraphicFramePr>
              <a:graphicFrameLocks noChangeAspect="true"/>
            </wp:cNvGraphicFramePr>
            <a:graphic>
              <a:graphicData uri="http://schemas.openxmlformats.org/drawingml/2006/picture">
                <pic:pic>
                  <pic:nvPicPr>
                    <pic:cNvPr id="7787" name="image7787"/>
                    <pic:cNvPicPr/>
                  </pic:nvPicPr>
                  <pic:blipFill>
                    <a:blip r:embed="rId132"/>
                    <a:stretch>
                      <a:fillRect/>
                    </a:stretch>
                  </pic:blipFill>
                  <pic:spPr>
                    <a:xfrm>
                      <a:off x="0" y="0"/>
                      <a:ext cx="927100" cy="330200"/>
                    </a:xfrm>
                    <a:prstGeom prst="rect">
                      <a:avLst/>
                    </a:prstGeom>
                  </pic:spPr>
                </pic:pic>
              </a:graphicData>
            </a:graphic>
          </wp:anchor>
        </w:drawing>
      </w:r>
      <w:r>
        <w:drawing>
          <wp:anchor distT="0" distB="0" distL="114300" distR="114300" simplePos="false" relativeHeight="10309392" behindDoc="false" locked="false" layoutInCell="true" allowOverlap="true">
            <wp:simplePos x="0" y="0"/>
            <wp:positionH relativeFrom="page">
              <wp:posOffset>4368800</wp:posOffset>
            </wp:positionH>
            <wp:positionV relativeFrom="page">
              <wp:posOffset>8153400</wp:posOffset>
            </wp:positionV>
            <wp:extent cx="914400" cy="330200"/>
            <wp:effectExtent l="0" t="0" r="0" b="0"/>
            <wp:wrapNone/>
            <wp:docPr id="7788" name="image7788" descr=""/>
            <wp:cNvGraphicFramePr>
              <a:graphicFrameLocks noChangeAspect="true"/>
            </wp:cNvGraphicFramePr>
            <a:graphic>
              <a:graphicData uri="http://schemas.openxmlformats.org/drawingml/2006/picture">
                <pic:pic>
                  <pic:nvPicPr>
                    <pic:cNvPr id="7788" name="image7788"/>
                    <pic:cNvPicPr/>
                  </pic:nvPicPr>
                  <pic:blipFill>
                    <a:blip r:embed="rId133"/>
                    <a:stretch>
                      <a:fillRect/>
                    </a:stretch>
                  </pic:blipFill>
                  <pic:spPr>
                    <a:xfrm flipV="true">
                      <a:off x="0" y="0"/>
                      <a:ext cx="914400" cy="330200"/>
                    </a:xfrm>
                    <a:prstGeom prst="rect">
                      <a:avLst/>
                    </a:prstGeom>
                  </pic:spPr>
                </pic:pic>
              </a:graphicData>
            </a:graphic>
          </wp:anchor>
        </w:drawing>
      </w:r>
      <w:r>
        <w:drawing>
          <wp:anchor distT="0" distB="0" distL="114300" distR="114300" simplePos="false" relativeHeight="10311440" behindDoc="true" locked="false" layoutInCell="true" allowOverlap="true">
            <wp:simplePos x="0" y="0"/>
            <wp:positionH relativeFrom="page">
              <wp:posOffset>5588000</wp:posOffset>
            </wp:positionH>
            <wp:positionV relativeFrom="page">
              <wp:posOffset>6858000</wp:posOffset>
            </wp:positionV>
            <wp:extent cx="939800" cy="304800"/>
            <wp:effectExtent l="0" t="0" r="0" b="0"/>
            <wp:wrapNone/>
            <wp:docPr id="7789" name="image7789" descr=""/>
            <wp:cNvGraphicFramePr>
              <a:graphicFrameLocks noChangeAspect="true"/>
            </wp:cNvGraphicFramePr>
            <a:graphic>
              <a:graphicData uri="http://schemas.openxmlformats.org/drawingml/2006/picture">
                <pic:pic>
                  <pic:nvPicPr>
                    <pic:cNvPr id="7789" name="image7789"/>
                    <pic:cNvPicPr/>
                  </pic:nvPicPr>
                  <pic:blipFill>
                    <a:blip r:embed="rId134"/>
                    <a:stretch>
                      <a:fillRect/>
                    </a:stretch>
                  </pic:blipFill>
                  <pic:spPr>
                    <a:xfrm>
                      <a:off x="0" y="0"/>
                      <a:ext cx="939800" cy="304800"/>
                    </a:xfrm>
                    <a:prstGeom prst="rect">
                      <a:avLst/>
                    </a:prstGeom>
                  </pic:spPr>
                </pic:pic>
              </a:graphicData>
            </a:graphic>
          </wp:anchor>
        </w:drawing>
      </w:r>
      <w:r>
        <w:drawing>
          <wp:anchor distT="0" distB="0" distL="114300" distR="114300" simplePos="false" relativeHeight="10312464" behindDoc="true" locked="false" layoutInCell="true" allowOverlap="true">
            <wp:simplePos x="0" y="0"/>
            <wp:positionH relativeFrom="page">
              <wp:posOffset>5588000</wp:posOffset>
            </wp:positionH>
            <wp:positionV relativeFrom="page">
              <wp:posOffset>6845300</wp:posOffset>
            </wp:positionV>
            <wp:extent cx="939800" cy="292100"/>
            <wp:effectExtent l="0" t="0" r="0" b="0"/>
            <wp:wrapNone/>
            <wp:docPr id="7790" name="image7790" descr=""/>
            <wp:cNvGraphicFramePr>
              <a:graphicFrameLocks noChangeAspect="true"/>
            </wp:cNvGraphicFramePr>
            <a:graphic>
              <a:graphicData uri="http://schemas.openxmlformats.org/drawingml/2006/picture">
                <pic:pic>
                  <pic:nvPicPr>
                    <pic:cNvPr id="7790" name="image7790"/>
                    <pic:cNvPicPr/>
                  </pic:nvPicPr>
                  <pic:blipFill>
                    <a:blip r:embed="rId135"/>
                    <a:stretch>
                      <a:fillRect/>
                    </a:stretch>
                  </pic:blipFill>
                  <pic:spPr>
                    <a:xfrm flipV="true">
                      <a:off x="0" y="0"/>
                      <a:ext cx="939800" cy="292100"/>
                    </a:xfrm>
                    <a:prstGeom prst="rect">
                      <a:avLst/>
                    </a:prstGeom>
                  </pic:spPr>
                </pic:pic>
              </a:graphicData>
            </a:graphic>
          </wp:anchor>
        </w:drawing>
      </w:r>
      <w:r>
        <w:drawing>
          <wp:anchor distT="0" distB="0" distL="114300" distR="114300" simplePos="false" relativeHeight="10314512" behindDoc="true" locked="false" layoutInCell="true" allowOverlap="true">
            <wp:simplePos x="0" y="0"/>
            <wp:positionH relativeFrom="page">
              <wp:posOffset>5588000</wp:posOffset>
            </wp:positionH>
            <wp:positionV relativeFrom="page">
              <wp:posOffset>7442200</wp:posOffset>
            </wp:positionV>
            <wp:extent cx="939800" cy="304800"/>
            <wp:effectExtent l="0" t="0" r="0" b="0"/>
            <wp:wrapNone/>
            <wp:docPr id="7791" name="image7791" descr=""/>
            <wp:cNvGraphicFramePr>
              <a:graphicFrameLocks noChangeAspect="true"/>
            </wp:cNvGraphicFramePr>
            <a:graphic>
              <a:graphicData uri="http://schemas.openxmlformats.org/drawingml/2006/picture">
                <pic:pic>
                  <pic:nvPicPr>
                    <pic:cNvPr id="7791" name="image7791"/>
                    <pic:cNvPicPr/>
                  </pic:nvPicPr>
                  <pic:blipFill>
                    <a:blip r:embed="rId136"/>
                    <a:stretch>
                      <a:fillRect/>
                    </a:stretch>
                  </pic:blipFill>
                  <pic:spPr>
                    <a:xfrm>
                      <a:off x="0" y="0"/>
                      <a:ext cx="939800" cy="304800"/>
                    </a:xfrm>
                    <a:prstGeom prst="rect">
                      <a:avLst/>
                    </a:prstGeom>
                  </pic:spPr>
                </pic:pic>
              </a:graphicData>
            </a:graphic>
          </wp:anchor>
        </w:drawing>
      </w:r>
      <w:r>
        <w:drawing>
          <wp:anchor distT="0" distB="0" distL="114300" distR="114300" simplePos="false" relativeHeight="10315536" behindDoc="true" locked="false" layoutInCell="true" allowOverlap="true">
            <wp:simplePos x="0" y="0"/>
            <wp:positionH relativeFrom="page">
              <wp:posOffset>5588000</wp:posOffset>
            </wp:positionH>
            <wp:positionV relativeFrom="page">
              <wp:posOffset>7429500</wp:posOffset>
            </wp:positionV>
            <wp:extent cx="939800" cy="292100"/>
            <wp:effectExtent l="0" t="0" r="0" b="0"/>
            <wp:wrapNone/>
            <wp:docPr id="7792" name="image7792" descr=""/>
            <wp:cNvGraphicFramePr>
              <a:graphicFrameLocks noChangeAspect="true"/>
            </wp:cNvGraphicFramePr>
            <a:graphic>
              <a:graphicData uri="http://schemas.openxmlformats.org/drawingml/2006/picture">
                <pic:pic>
                  <pic:nvPicPr>
                    <pic:cNvPr id="7792" name="image7792"/>
                    <pic:cNvPicPr/>
                  </pic:nvPicPr>
                  <pic:blipFill>
                    <a:blip r:embed="rId137"/>
                    <a:stretch>
                      <a:fillRect/>
                    </a:stretch>
                  </pic:blipFill>
                  <pic:spPr>
                    <a:xfrm flipV="true">
                      <a:off x="0" y="0"/>
                      <a:ext cx="939800" cy="292100"/>
                    </a:xfrm>
                    <a:prstGeom prst="rect">
                      <a:avLst/>
                    </a:prstGeom>
                  </pic:spPr>
                </pic:pic>
              </a:graphicData>
            </a:graphic>
          </wp:anchor>
        </w:drawing>
      </w:r>
      <w:r>
        <w:drawing>
          <wp:anchor distT="0" distB="0" distL="114300" distR="114300" simplePos="false" relativeHeight="10347280" behindDoc="true" locked="false" layoutInCell="true" allowOverlap="true">
            <wp:simplePos x="0" y="0"/>
            <wp:positionH relativeFrom="page">
              <wp:posOffset>2603500</wp:posOffset>
            </wp:positionH>
            <wp:positionV relativeFrom="page">
              <wp:posOffset>5524500</wp:posOffset>
            </wp:positionV>
            <wp:extent cx="927100" cy="266700"/>
            <wp:effectExtent l="0" t="0" r="0" b="0"/>
            <wp:wrapNone/>
            <wp:docPr id="7793" name="image7793" descr=""/>
            <wp:cNvGraphicFramePr>
              <a:graphicFrameLocks noChangeAspect="true"/>
            </wp:cNvGraphicFramePr>
            <a:graphic>
              <a:graphicData uri="http://schemas.openxmlformats.org/drawingml/2006/picture">
                <pic:pic>
                  <pic:nvPicPr>
                    <pic:cNvPr id="7793" name="image7793"/>
                    <pic:cNvPicPr/>
                  </pic:nvPicPr>
                  <pic:blipFill>
                    <a:blip r:embed="rId138"/>
                    <a:stretch>
                      <a:fillRect/>
                    </a:stretch>
                  </pic:blipFill>
                  <pic:spPr>
                    <a:xfrm>
                      <a:off x="0" y="0"/>
                      <a:ext cx="927100" cy="266700"/>
                    </a:xfrm>
                    <a:prstGeom prst="rect">
                      <a:avLst/>
                    </a:prstGeom>
                  </pic:spPr>
                </pic:pic>
              </a:graphicData>
            </a:graphic>
          </wp:anchor>
        </w:drawing>
      </w:r>
      <w:r>
        <w:drawing>
          <wp:anchor distT="0" distB="0" distL="114300" distR="114300" simplePos="false" relativeHeight="10348304" behindDoc="true" locked="false" layoutInCell="true" allowOverlap="true">
            <wp:simplePos x="0" y="0"/>
            <wp:positionH relativeFrom="page">
              <wp:posOffset>2603500</wp:posOffset>
            </wp:positionH>
            <wp:positionV relativeFrom="page">
              <wp:posOffset>5499100</wp:posOffset>
            </wp:positionV>
            <wp:extent cx="927100" cy="266700"/>
            <wp:effectExtent l="0" t="0" r="0" b="0"/>
            <wp:wrapNone/>
            <wp:docPr id="7794" name="image7794" descr=""/>
            <wp:cNvGraphicFramePr>
              <a:graphicFrameLocks noChangeAspect="true"/>
            </wp:cNvGraphicFramePr>
            <a:graphic>
              <a:graphicData uri="http://schemas.openxmlformats.org/drawingml/2006/picture">
                <pic:pic>
                  <pic:nvPicPr>
                    <pic:cNvPr id="7794" name="image7794"/>
                    <pic:cNvPicPr/>
                  </pic:nvPicPr>
                  <pic:blipFill>
                    <a:blip r:embed="rId139"/>
                    <a:stretch>
                      <a:fillRect/>
                    </a:stretch>
                  </pic:blipFill>
                  <pic:spPr>
                    <a:xfrm flipV="true">
                      <a:off x="0" y="0"/>
                      <a:ext cx="927100" cy="266700"/>
                    </a:xfrm>
                    <a:prstGeom prst="rect">
                      <a:avLst/>
                    </a:prstGeom>
                  </pic:spPr>
                </pic:pic>
              </a:graphicData>
            </a:graphic>
          </wp:anchor>
        </w:drawing>
      </w:r>
      <w:r>
        <w:drawing>
          <wp:anchor distT="0" distB="0" distL="114300" distR="114300" simplePos="false" relativeHeight="10285840" behindDoc="true" locked="false" layoutInCell="true" allowOverlap="true">
            <wp:simplePos x="0" y="0"/>
            <wp:positionH relativeFrom="page">
              <wp:posOffset>0</wp:posOffset>
            </wp:positionH>
            <wp:positionV relativeFrom="page">
              <wp:posOffset>0</wp:posOffset>
            </wp:positionV>
            <wp:extent cx="7556500" cy="10680700"/>
            <wp:effectExtent l="0" t="0" r="0" b="0"/>
            <wp:wrapNone/>
            <wp:docPr id="7795" name="image7795" descr=""/>
            <wp:cNvGraphicFramePr>
              <a:graphicFrameLocks noChangeAspect="true"/>
            </wp:cNvGraphicFramePr>
            <a:graphic>
              <a:graphicData uri="http://schemas.openxmlformats.org/drawingml/2006/picture">
                <pic:pic>
                  <pic:nvPicPr>
                    <pic:cNvPr id="7795" name="image7795"/>
                    <pic:cNvPicPr/>
                  </pic:nvPicPr>
                  <pic:blipFill>
                    <a:blip r:embed="rId140"/>
                    <a:stretch>
                      <a:fillRect/>
                    </a:stretch>
                  </pic:blipFill>
                  <pic:spPr>
                    <a:xfrm>
                      <a:off x="0" y="0"/>
                      <a:ext cx="7556500" cy="10680700"/>
                    </a:xfrm>
                    <a:prstGeom prst="rect">
                      <a:avLst/>
                    </a:prstGeom>
                  </pic:spPr>
                </pic:pic>
              </a:graphicData>
            </a:graphic>
          </wp:anchor>
        </w:drawing>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440" w:right="1200"/>
        <w:jc w:val="both"/>
      </w:pPr>
      <w:r>
        <w:rPr>
          <w:rFonts w:hint="eastAsia" w:ascii="宋体" w:hAnsi="宋体" w:eastAsia="宋体" w:cs="宋体"/>
          <w:sz w:val="24"/>
        </w:rPr>
        <w:t>根据公司销售合同的实际需要编制《请购单》，</w:t>
      </w:r>
      <w:r>
        <w:rPr>
          <w:rFonts w:hint="eastAsia" w:ascii="宋体" w:hAnsi="宋体" w:eastAsia="宋体" w:cs="宋体"/>
          <w:sz w:val="24"/>
        </w:rPr>
        <w:t>经部门负责人批准后将其送交公司采购部门</w:t>
      </w:r>
      <w:r>
        <w:rPr>
          <w:rFonts w:hint="eastAsia" w:ascii="宋体" w:hAnsi="宋体" w:eastAsia="宋体" w:cs="宋体"/>
          <w:sz w:val="10"/>
        </w:rPr>
        <w:t>。</w:t>
      </w:r>
      <w:r>
        <w:rPr>
          <w:rFonts w:hint="eastAsia" w:ascii="宋体" w:hAnsi="宋体" w:eastAsia="宋体" w:cs="宋体"/>
          <w:sz w:val="24"/>
        </w:rPr>
        <w:t>采购部门收到《请购单》后审核其正确性和合法性</w:t>
      </w:r>
      <w:r>
        <w:rPr>
          <w:rFonts w:hint="eastAsia" w:ascii="宋体" w:hAnsi="宋体" w:eastAsia="宋体" w:cs="宋体"/>
          <w:sz w:val="10"/>
        </w:rPr>
        <w:t>，</w:t>
      </w:r>
      <w:r>
        <w:rPr>
          <w:rFonts w:hint="eastAsia" w:ascii="宋体" w:hAnsi="宋体" w:eastAsia="宋体" w:cs="宋体"/>
          <w:sz w:val="24"/>
        </w:rPr>
        <w:t>审核无误后着手编制商品采购计划</w:t>
      </w:r>
      <w:r>
        <w:rPr>
          <w:rFonts w:hint="eastAsia" w:ascii="宋体" w:hAnsi="宋体" w:eastAsia="宋体" w:cs="宋体"/>
          <w:sz w:val="10"/>
        </w:rPr>
        <w:t>，</w:t>
      </w:r>
      <w:r>
        <w:rPr>
          <w:rFonts w:hint="eastAsia" w:ascii="宋体" w:hAnsi="宋体" w:eastAsia="宋体" w:cs="宋体"/>
          <w:sz w:val="24"/>
        </w:rPr>
        <w:t>并从事先编制好的《合格供方名录》或《供方资料表》中挑选相关的供应商进行询价</w:t>
      </w:r>
      <w:r>
        <w:rPr>
          <w:rFonts w:hint="eastAsia" w:ascii="宋体" w:hAnsi="宋体" w:eastAsia="宋体" w:cs="宋体"/>
          <w:sz w:val="10"/>
        </w:rPr>
        <w:t>。</w:t>
      </w:r>
      <w:r>
        <w:rPr>
          <w:rFonts w:hint="eastAsia" w:ascii="宋体" w:hAnsi="宋体" w:eastAsia="宋体" w:cs="宋体"/>
          <w:sz w:val="24"/>
        </w:rPr>
        <w:t>采购人员同选定的供应商达成采购合同初步方案后</w:t>
      </w:r>
      <w:r>
        <w:rPr>
          <w:rFonts w:hint="eastAsia" w:ascii="宋体" w:hAnsi="宋体" w:eastAsia="宋体" w:cs="宋体"/>
          <w:sz w:val="10"/>
        </w:rPr>
        <w:t>，</w:t>
      </w:r>
      <w:r>
        <w:rPr>
          <w:rFonts w:hint="eastAsia" w:ascii="宋体" w:hAnsi="宋体" w:eastAsia="宋体" w:cs="宋体"/>
          <w:sz w:val="24"/>
        </w:rPr>
        <w:t>填写《合同会签单》，</w:t>
      </w:r>
      <w:r>
        <w:rPr>
          <w:rFonts w:hint="eastAsia" w:ascii="宋体" w:hAnsi="宋体" w:eastAsia="宋体" w:cs="宋体"/>
          <w:sz w:val="24"/>
        </w:rPr>
        <w:t>并交由采购部门</w:t>
      </w:r>
      <w:r>
        <w:rPr>
          <w:rFonts w:hint="eastAsia" w:ascii="宋体" w:hAnsi="宋体" w:eastAsia="宋体" w:cs="宋体"/>
          <w:sz w:val="10"/>
        </w:rPr>
        <w:t>、</w:t>
      </w:r>
      <w:r>
        <w:rPr>
          <w:rFonts w:hint="eastAsia" w:ascii="宋体" w:hAnsi="宋体" w:eastAsia="宋体" w:cs="宋体"/>
          <w:sz w:val="24"/>
        </w:rPr>
        <w:t>财务部门及其他按照公司规定应当参与采购合同会签的部门会签</w:t>
      </w:r>
      <w:r>
        <w:rPr>
          <w:rFonts w:hint="eastAsia" w:ascii="宋体" w:hAnsi="宋体" w:eastAsia="宋体" w:cs="宋体"/>
          <w:sz w:val="12"/>
        </w:rPr>
        <w:t>；</w:t>
      </w:r>
      <w:r>
        <w:rPr>
          <w:rFonts w:hint="eastAsia" w:ascii="宋体" w:hAnsi="宋体" w:eastAsia="宋体" w:cs="宋体"/>
          <w:sz w:val="24"/>
        </w:rPr>
        <w:t>公司总经理或其授权人在参考各部门的会签意见后做出决策</w:t>
      </w:r>
      <w:r>
        <w:rPr>
          <w:rFonts w:hint="eastAsia" w:ascii="宋体" w:hAnsi="宋体" w:eastAsia="宋体" w:cs="宋体"/>
          <w:sz w:val="10"/>
        </w:rPr>
        <w:t>，</w:t>
      </w:r>
      <w:r>
        <w:rPr>
          <w:rFonts w:hint="eastAsia" w:ascii="宋体" w:hAnsi="宋体" w:eastAsia="宋体" w:cs="宋体"/>
          <w:sz w:val="24"/>
        </w:rPr>
        <w:t>并在《合同会签单》上签署审批意见</w:t>
      </w:r>
      <w:r>
        <w:rPr>
          <w:rFonts w:hint="eastAsia" w:ascii="宋体" w:hAnsi="宋体" w:eastAsia="宋体" w:cs="宋体"/>
          <w:sz w:val="12"/>
        </w:rPr>
        <w:t>；</w:t>
      </w:r>
      <w:r>
        <w:rPr>
          <w:rFonts w:hint="eastAsia" w:ascii="宋体" w:hAnsi="宋体" w:eastAsia="宋体" w:cs="宋体"/>
          <w:sz w:val="24"/>
        </w:rPr>
        <w:t>最后采购人员同供应商订立正式的采购合同</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营销模式</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公司主要的客户是金融行业</w:t>
      </w:r>
      <w:r>
        <w:rPr>
          <w:rFonts w:hint="eastAsia" w:ascii="宋体" w:hAnsi="宋体" w:eastAsia="宋体" w:cs="宋体"/>
          <w:sz w:val="10"/>
        </w:rPr>
        <w:t>，</w:t>
      </w:r>
      <w:r>
        <w:rPr>
          <w:rFonts w:hint="eastAsia" w:ascii="宋体" w:hAnsi="宋体" w:eastAsia="宋体" w:cs="宋体"/>
          <w:sz w:val="24"/>
        </w:rPr>
        <w:t>该类客户对每个</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项目的提出</w:t>
      </w:r>
      <w:r>
        <w:rPr>
          <w:rFonts w:hint="eastAsia" w:ascii="宋体" w:hAnsi="宋体" w:eastAsia="宋体" w:cs="宋体"/>
          <w:sz w:val="10"/>
        </w:rPr>
        <w:t>、</w:t>
      </w:r>
      <w:r>
        <w:rPr>
          <w:rFonts w:hint="eastAsia" w:ascii="宋体" w:hAnsi="宋体" w:eastAsia="宋体" w:cs="宋体"/>
          <w:sz w:val="24"/>
        </w:rPr>
        <w:t>项目的论证</w:t>
      </w:r>
      <w:r>
        <w:rPr>
          <w:rFonts w:hint="eastAsia" w:ascii="宋体" w:hAnsi="宋体" w:eastAsia="宋体" w:cs="宋体"/>
          <w:sz w:val="10"/>
        </w:rPr>
        <w:t>、</w:t>
      </w:r>
      <w:r>
        <w:rPr>
          <w:rFonts w:hint="eastAsia" w:ascii="宋体" w:hAnsi="宋体" w:eastAsia="宋体" w:cs="宋体"/>
          <w:sz w:val="24"/>
        </w:rPr>
        <w:t>项目目标的确定以及供应商的选择通常需要一个较长的过程</w:t>
      </w:r>
      <w:r>
        <w:rPr>
          <w:rFonts w:hint="eastAsia" w:ascii="宋体" w:hAnsi="宋体" w:eastAsia="宋体" w:cs="宋体"/>
          <w:sz w:val="10"/>
        </w:rPr>
        <w:t>，</w:t>
      </w:r>
      <w:r>
        <w:rPr>
          <w:rFonts w:hint="eastAsia" w:ascii="宋体" w:hAnsi="宋体" w:eastAsia="宋体" w:cs="宋体"/>
          <w:sz w:val="24"/>
        </w:rPr>
        <w:t>需要大量的前期沟通交流工作</w:t>
      </w:r>
      <w:r>
        <w:rPr>
          <w:rFonts w:hint="eastAsia" w:ascii="宋体" w:hAnsi="宋体" w:eastAsia="宋体" w:cs="宋体"/>
          <w:sz w:val="10"/>
        </w:rPr>
        <w:t>。</w:t>
      </w:r>
      <w:r>
        <w:rPr>
          <w:rFonts w:hint="eastAsia" w:ascii="宋体" w:hAnsi="宋体" w:eastAsia="宋体" w:cs="宋体"/>
          <w:sz w:val="24"/>
        </w:rPr>
        <w:t>基于上述特点</w:t>
      </w:r>
      <w:r>
        <w:rPr>
          <w:rFonts w:hint="eastAsia" w:ascii="宋体" w:hAnsi="宋体" w:eastAsia="宋体" w:cs="宋体"/>
          <w:sz w:val="10"/>
        </w:rPr>
        <w:t>，</w:t>
      </w:r>
      <w:r>
        <w:rPr>
          <w:rFonts w:hint="eastAsia" w:ascii="宋体" w:hAnsi="宋体" w:eastAsia="宋体" w:cs="宋体"/>
          <w:sz w:val="24"/>
        </w:rPr>
        <w:t>公司金融行业的销售团队通常采用</w:t>
      </w:r>
      <w:r>
        <w:rPr>
          <w:rFonts w:hint="eastAsia" w:ascii="宋体" w:hAnsi="宋体" w:eastAsia="宋体" w:cs="宋体"/>
          <w:sz w:val="10"/>
        </w:rPr>
        <w:t>一</w:t>
      </w:r>
      <w:r>
        <w:rPr>
          <w:rFonts w:hint="eastAsia" w:ascii="宋体" w:hAnsi="宋体" w:eastAsia="宋体" w:cs="宋体"/>
          <w:sz w:val="24"/>
        </w:rPr>
        <w:t>个团队长搭配若干销售辅助人员的组织模式</w:t>
      </w:r>
      <w:r>
        <w:rPr>
          <w:rFonts w:hint="eastAsia" w:ascii="宋体" w:hAnsi="宋体" w:eastAsia="宋体" w:cs="宋体"/>
          <w:sz w:val="10"/>
        </w:rPr>
        <w:t>。</w:t>
      </w:r>
      <w:r>
        <w:rPr>
          <w:rFonts w:hint="eastAsia" w:ascii="宋体" w:hAnsi="宋体" w:eastAsia="宋体" w:cs="宋体"/>
          <w:sz w:val="24"/>
        </w:rPr>
        <w:t>除金融行业外</w:t>
      </w:r>
      <w:r>
        <w:rPr>
          <w:rFonts w:hint="eastAsia" w:ascii="宋体" w:hAnsi="宋体" w:eastAsia="宋体" w:cs="宋体"/>
          <w:sz w:val="10"/>
        </w:rPr>
        <w:t>，</w:t>
      </w:r>
      <w:r>
        <w:rPr>
          <w:rFonts w:hint="eastAsia" w:ascii="宋体" w:hAnsi="宋体" w:eastAsia="宋体" w:cs="宋体"/>
          <w:sz w:val="24"/>
        </w:rPr>
        <w:t>公司不断拓展业务领域</w:t>
      </w:r>
      <w:r>
        <w:rPr>
          <w:rFonts w:hint="eastAsia" w:ascii="宋体" w:hAnsi="宋体" w:eastAsia="宋体" w:cs="宋体"/>
          <w:sz w:val="10"/>
        </w:rPr>
        <w:t>，</w:t>
      </w:r>
      <w:r>
        <w:rPr>
          <w:rFonts w:hint="eastAsia" w:ascii="宋体" w:hAnsi="宋体" w:eastAsia="宋体" w:cs="宋体"/>
          <w:sz w:val="24"/>
        </w:rPr>
        <w:t>客户涵盖教育机构</w:t>
      </w:r>
      <w:r>
        <w:rPr>
          <w:rFonts w:hint="eastAsia" w:ascii="宋体" w:hAnsi="宋体" w:eastAsia="宋体" w:cs="宋体"/>
          <w:sz w:val="10"/>
        </w:rPr>
        <w:t>、</w:t>
      </w:r>
      <w:r>
        <w:rPr>
          <w:rFonts w:hint="eastAsia" w:ascii="宋体" w:hAnsi="宋体" w:eastAsia="宋体" w:cs="宋体"/>
          <w:sz w:val="24"/>
        </w:rPr>
        <w:t>企业等</w:t>
      </w:r>
      <w:r>
        <w:rPr>
          <w:rFonts w:hint="eastAsia" w:ascii="宋体" w:hAnsi="宋体" w:eastAsia="宋体" w:cs="宋体"/>
          <w:sz w:val="10"/>
        </w:rPr>
        <w:t>，</w:t>
      </w:r>
      <w:r>
        <w:rPr>
          <w:rFonts w:hint="eastAsia" w:ascii="宋体" w:hAnsi="宋体" w:eastAsia="宋体" w:cs="宋体"/>
          <w:sz w:val="24"/>
        </w:rPr>
        <w:t>为方便与不同类型的客户开展业务往来</w:t>
      </w:r>
      <w:r>
        <w:rPr>
          <w:rFonts w:hint="eastAsia" w:ascii="宋体" w:hAnsi="宋体" w:eastAsia="宋体" w:cs="宋体"/>
          <w:sz w:val="10"/>
        </w:rPr>
        <w:t>，</w:t>
      </w:r>
      <w:r>
        <w:rPr>
          <w:rFonts w:hint="eastAsia" w:ascii="宋体" w:hAnsi="宋体" w:eastAsia="宋体" w:cs="宋体"/>
          <w:sz w:val="24"/>
        </w:rPr>
        <w:t>并持续提升公司在该领域的影响力</w:t>
      </w:r>
      <w:r>
        <w:rPr>
          <w:rFonts w:hint="eastAsia" w:ascii="宋体" w:hAnsi="宋体" w:eastAsia="宋体" w:cs="宋体"/>
          <w:sz w:val="10"/>
        </w:rPr>
        <w:t>，</w:t>
      </w:r>
      <w:r>
        <w:rPr>
          <w:rFonts w:hint="eastAsia" w:ascii="宋体" w:hAnsi="宋体" w:eastAsia="宋体" w:cs="宋体"/>
          <w:sz w:val="24"/>
        </w:rPr>
        <w:t>公司配备了解不同行业业务类型的销售人员与客户进行对接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在销售环节</w:t>
      </w:r>
      <w:r>
        <w:rPr>
          <w:rFonts w:hint="eastAsia" w:ascii="宋体" w:hAnsi="宋体" w:eastAsia="宋体" w:cs="宋体"/>
          <w:sz w:val="10"/>
        </w:rPr>
        <w:t>，</w:t>
      </w:r>
      <w:r>
        <w:rPr>
          <w:rFonts w:hint="eastAsia" w:ascii="宋体" w:hAnsi="宋体" w:eastAsia="宋体" w:cs="宋体"/>
          <w:sz w:val="24"/>
        </w:rPr>
        <w:t>公司取得业务合同主要通过以下两种方式</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）老客户合作的延续</w:t>
      </w:r>
      <w:r>
        <w:rPr>
          <w:rFonts w:hint="eastAsia" w:ascii="宋体" w:hAnsi="宋体" w:eastAsia="宋体" w:cs="宋体"/>
          <w:sz w:val="12"/>
        </w:rPr>
        <w:t>：</w:t>
      </w:r>
      <w:r>
        <w:rPr>
          <w:rFonts w:hint="eastAsia" w:ascii="宋体" w:hAnsi="宋体" w:eastAsia="宋体" w:cs="宋体"/>
          <w:sz w:val="24"/>
        </w:rPr>
        <w:t>公司经过近</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年的经营</w:t>
      </w:r>
      <w:r>
        <w:rPr>
          <w:rFonts w:hint="eastAsia" w:ascii="宋体" w:hAnsi="宋体" w:eastAsia="宋体" w:cs="宋体"/>
          <w:sz w:val="10"/>
        </w:rPr>
        <w:t>，</w:t>
      </w:r>
      <w:r>
        <w:rPr>
          <w:rFonts w:hint="eastAsia" w:ascii="宋体" w:hAnsi="宋体" w:eastAsia="宋体" w:cs="宋体"/>
          <w:sz w:val="24"/>
        </w:rPr>
        <w:t>积累了一批具有稳定合作关系的客户</w:t>
      </w:r>
      <w:r>
        <w:rPr>
          <w:rFonts w:hint="eastAsia" w:ascii="宋体" w:hAnsi="宋体" w:eastAsia="宋体" w:cs="宋体"/>
          <w:sz w:val="10"/>
        </w:rPr>
        <w:t>。</w:t>
      </w:r>
      <w:r>
        <w:rPr>
          <w:rFonts w:hint="eastAsia" w:ascii="宋体" w:hAnsi="宋体" w:eastAsia="宋体" w:cs="宋体"/>
          <w:sz w:val="24"/>
        </w:rPr>
        <w:t>随着客户信赖度的提高而与客户建立长期的服务关系</w:t>
      </w:r>
      <w:r>
        <w:rPr>
          <w:rFonts w:hint="eastAsia" w:ascii="宋体" w:hAnsi="宋体" w:eastAsia="宋体" w:cs="宋体"/>
          <w:sz w:val="10"/>
        </w:rPr>
        <w:t>，</w:t>
      </w:r>
      <w:r>
        <w:rPr>
          <w:rFonts w:hint="eastAsia" w:ascii="宋体" w:hAnsi="宋体" w:eastAsia="宋体" w:cs="宋体"/>
          <w:sz w:val="24"/>
        </w:rPr>
        <w:t>部分合同在已承接项目进行扩容或者系统进行升级时成功实现续签</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在原有项目扩容方式中</w:t>
      </w:r>
      <w:r>
        <w:rPr>
          <w:rFonts w:hint="eastAsia" w:ascii="宋体" w:hAnsi="宋体" w:eastAsia="宋体" w:cs="宋体"/>
          <w:sz w:val="10"/>
        </w:rPr>
        <w:t>，</w:t>
      </w:r>
      <w:r>
        <w:rPr>
          <w:rFonts w:hint="eastAsia" w:ascii="宋体" w:hAnsi="宋体" w:eastAsia="宋体" w:cs="宋体"/>
          <w:sz w:val="24"/>
        </w:rPr>
        <w:t>本公司还会围绕专业技术服务项目获得新的合同</w:t>
      </w:r>
      <w:r>
        <w:rPr>
          <w:rFonts w:hint="eastAsia" w:ascii="宋体" w:hAnsi="宋体" w:eastAsia="宋体" w:cs="宋体"/>
          <w:sz w:val="10"/>
        </w:rPr>
        <w:t>，</w:t>
      </w:r>
      <w:r>
        <w:rPr>
          <w:rFonts w:hint="eastAsia" w:ascii="宋体" w:hAnsi="宋体" w:eastAsia="宋体" w:cs="宋体"/>
          <w:sz w:val="24"/>
        </w:rPr>
        <w:t>在向客户提供流程信息化解决方案的过程中</w:t>
      </w:r>
      <w:r>
        <w:rPr>
          <w:rFonts w:hint="eastAsia" w:ascii="宋体" w:hAnsi="宋体" w:eastAsia="宋体" w:cs="宋体"/>
          <w:sz w:val="10"/>
        </w:rPr>
        <w:t>，</w:t>
      </w:r>
      <w:r>
        <w:rPr>
          <w:rFonts w:hint="eastAsia" w:ascii="宋体" w:hAnsi="宋体" w:eastAsia="宋体" w:cs="宋体"/>
          <w:sz w:val="24"/>
        </w:rPr>
        <w:t>可以全面地掌握客户</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系统的整体状况</w:t>
      </w:r>
      <w:r>
        <w:rPr>
          <w:rFonts w:hint="eastAsia" w:ascii="宋体" w:hAnsi="宋体" w:eastAsia="宋体" w:cs="宋体"/>
          <w:sz w:val="10"/>
        </w:rPr>
        <w:t>，</w:t>
      </w:r>
      <w:r>
        <w:rPr>
          <w:rFonts w:hint="eastAsia" w:ascii="宋体" w:hAnsi="宋体" w:eastAsia="宋体" w:cs="宋体"/>
          <w:sz w:val="24"/>
        </w:rPr>
        <w:t>清晰地了解客户</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系统中有关应用软件及系统集成方面的新需求</w:t>
      </w:r>
      <w:r>
        <w:rPr>
          <w:rFonts w:hint="eastAsia" w:ascii="宋体" w:hAnsi="宋体" w:eastAsia="宋体" w:cs="宋体"/>
          <w:sz w:val="10"/>
        </w:rPr>
        <w:t>，</w:t>
      </w:r>
      <w:r>
        <w:rPr>
          <w:rFonts w:hint="eastAsia" w:ascii="宋体" w:hAnsi="宋体" w:eastAsia="宋体" w:cs="宋体"/>
          <w:sz w:val="24"/>
        </w:rPr>
        <w:t>为本公司直接承接此类项目提供了先机</w:t>
      </w:r>
      <w:r>
        <w:rPr>
          <w:rFonts w:hint="eastAsia" w:ascii="宋体" w:hAnsi="宋体" w:eastAsia="宋体" w:cs="宋体"/>
          <w:sz w:val="10"/>
        </w:rPr>
        <w:t>。</w:t>
      </w:r>
      <w:r>
        <w:rPr>
          <w:rFonts w:hint="eastAsia" w:ascii="宋体" w:hAnsi="宋体" w:eastAsia="宋体" w:cs="宋体"/>
          <w:sz w:val="24"/>
        </w:rPr>
        <w:t>不仅如此</w:t>
      </w:r>
      <w:r>
        <w:rPr>
          <w:rFonts w:hint="eastAsia" w:ascii="宋体" w:hAnsi="宋体" w:eastAsia="宋体" w:cs="宋体"/>
          <w:sz w:val="10"/>
        </w:rPr>
        <w:t>，</w:t>
      </w:r>
      <w:r>
        <w:rPr>
          <w:rFonts w:hint="eastAsia" w:ascii="宋体" w:hAnsi="宋体" w:eastAsia="宋体" w:cs="宋体"/>
          <w:sz w:val="24"/>
        </w:rPr>
        <w:t>公司还尝试与客户形成战略伙伴关系</w:t>
      </w:r>
      <w:r>
        <w:rPr>
          <w:rFonts w:hint="eastAsia" w:ascii="宋体" w:hAnsi="宋体" w:eastAsia="宋体" w:cs="宋体"/>
          <w:sz w:val="10"/>
        </w:rPr>
        <w:t>，</w:t>
      </w:r>
      <w:r>
        <w:rPr>
          <w:rFonts w:hint="eastAsia" w:ascii="宋体" w:hAnsi="宋体" w:eastAsia="宋体" w:cs="宋体"/>
          <w:sz w:val="24"/>
        </w:rPr>
        <w:t>依托于公司的业务积累和在信息化规划</w:t>
      </w:r>
      <w:r>
        <w:rPr>
          <w:rFonts w:hint="eastAsia" w:ascii="宋体" w:hAnsi="宋体" w:eastAsia="宋体" w:cs="宋体"/>
          <w:sz w:val="10"/>
        </w:rPr>
        <w:t>、</w:t>
      </w:r>
      <w:r>
        <w:rPr>
          <w:rFonts w:hint="eastAsia" w:ascii="宋体" w:hAnsi="宋体" w:eastAsia="宋体" w:cs="宋体"/>
          <w:sz w:val="24"/>
        </w:rPr>
        <w:t>业务流程管理研究</w:t>
      </w:r>
      <w:r>
        <w:rPr>
          <w:rFonts w:hint="eastAsia" w:ascii="宋体" w:hAnsi="宋体" w:eastAsia="宋体" w:cs="宋体"/>
          <w:sz w:val="10"/>
        </w:rPr>
        <w:t>、</w:t>
      </w:r>
      <w:r>
        <w:rPr>
          <w:rFonts w:hint="eastAsia" w:ascii="宋体" w:hAnsi="宋体" w:eastAsia="宋体" w:cs="宋体"/>
          <w:sz w:val="24"/>
        </w:rPr>
        <w:t>以业务流程为核心的前中后台一体化解决方案的丰富经验</w:t>
      </w:r>
      <w:r>
        <w:rPr>
          <w:rFonts w:hint="eastAsia" w:ascii="宋体" w:hAnsi="宋体" w:eastAsia="宋体" w:cs="宋体"/>
          <w:sz w:val="10"/>
        </w:rPr>
        <w:t>，</w:t>
      </w:r>
      <w:r>
        <w:rPr>
          <w:rFonts w:hint="eastAsia" w:ascii="宋体" w:hAnsi="宋体" w:eastAsia="宋体" w:cs="宋体"/>
          <w:sz w:val="24"/>
        </w:rPr>
        <w:t>以及灵动业务架构平台（</w:t>
      </w:r>
      <w:r>
        <w:rPr>
          <w:rFonts w:hint="eastAsia" w:ascii="Times New Roman" w:hAnsi="Times New Roman" w:eastAsia="Times New Roman" w:cs="Times New Roman"/>
          <w:sz w:val="24"/>
        </w:rPr>
        <w:t>LiveBOS</w:t>
      </w:r>
      <w:r>
        <w:rPr>
          <w:rFonts w:hint="eastAsia" w:ascii="宋体" w:hAnsi="宋体" w:eastAsia="宋体" w:cs="宋体"/>
          <w:sz w:val="24"/>
        </w:rPr>
        <w:t>）等基础技术</w:t>
      </w:r>
      <w:r>
        <w:rPr>
          <w:rFonts w:hint="eastAsia" w:ascii="宋体" w:hAnsi="宋体" w:eastAsia="宋体" w:cs="宋体"/>
          <w:sz w:val="10"/>
        </w:rPr>
        <w:t>，</w:t>
      </w:r>
      <w:r>
        <w:rPr>
          <w:rFonts w:hint="eastAsia" w:ascii="宋体" w:hAnsi="宋体" w:eastAsia="宋体" w:cs="宋体"/>
          <w:sz w:val="24"/>
        </w:rPr>
        <w:t>与客户结为战略发展伙伴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）新客户合作的拓展</w:t>
      </w:r>
      <w:r>
        <w:rPr>
          <w:rFonts w:hint="eastAsia" w:ascii="宋体" w:hAnsi="宋体" w:eastAsia="宋体" w:cs="宋体"/>
          <w:sz w:val="12"/>
        </w:rPr>
        <w:t>：</w:t>
      </w:r>
      <w:r>
        <w:rPr>
          <w:rFonts w:hint="eastAsia" w:ascii="宋体" w:hAnsi="宋体" w:eastAsia="宋体" w:cs="宋体"/>
          <w:sz w:val="24"/>
        </w:rPr>
        <w:t>公司通过参加投标并在竞标中胜出</w:t>
      </w:r>
      <w:r>
        <w:rPr>
          <w:rFonts w:hint="eastAsia" w:ascii="宋体" w:hAnsi="宋体" w:eastAsia="宋体" w:cs="宋体"/>
          <w:sz w:val="10"/>
        </w:rPr>
        <w:t>，</w:t>
      </w:r>
      <w:r>
        <w:rPr>
          <w:rFonts w:hint="eastAsia" w:ascii="宋体" w:hAnsi="宋体" w:eastAsia="宋体" w:cs="宋体"/>
          <w:sz w:val="24"/>
        </w:rPr>
        <w:t>完成新客户的拓展</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另外</w:t>
      </w:r>
      <w:r>
        <w:rPr>
          <w:rFonts w:hint="eastAsia" w:ascii="宋体" w:hAnsi="宋体" w:eastAsia="宋体" w:cs="宋体"/>
          <w:sz w:val="10"/>
        </w:rPr>
        <w:t>，</w:t>
      </w:r>
      <w:r>
        <w:rPr>
          <w:rFonts w:hint="eastAsia" w:ascii="宋体" w:hAnsi="宋体" w:eastAsia="宋体" w:cs="宋体"/>
          <w:sz w:val="24"/>
        </w:rPr>
        <w:t>定期举办行业应用主题研讨会和年度峰会等</w:t>
      </w:r>
      <w:r>
        <w:rPr>
          <w:rFonts w:hint="eastAsia" w:ascii="宋体" w:hAnsi="宋体" w:eastAsia="宋体" w:cs="宋体"/>
          <w:sz w:val="10"/>
        </w:rPr>
        <w:t>，</w:t>
      </w:r>
      <w:r>
        <w:rPr>
          <w:rFonts w:hint="eastAsia" w:ascii="宋体" w:hAnsi="宋体" w:eastAsia="宋体" w:cs="宋体"/>
          <w:sz w:val="24"/>
        </w:rPr>
        <w:t>邀请公司的现有客户和潜在客户参加</w:t>
      </w:r>
      <w:r>
        <w:rPr>
          <w:rFonts w:hint="eastAsia" w:ascii="宋体" w:hAnsi="宋体" w:eastAsia="宋体" w:cs="宋体"/>
          <w:sz w:val="10"/>
        </w:rPr>
        <w:t>，</w:t>
      </w:r>
      <w:r>
        <w:rPr>
          <w:rFonts w:hint="eastAsia" w:ascii="宋体" w:hAnsi="宋体" w:eastAsia="宋体" w:cs="宋体"/>
          <w:sz w:val="24"/>
        </w:rPr>
        <w:t>向用户展示行业应用系统建设的新理念</w:t>
      </w:r>
      <w:r>
        <w:rPr>
          <w:rFonts w:hint="eastAsia" w:ascii="宋体" w:hAnsi="宋体" w:eastAsia="宋体" w:cs="宋体"/>
          <w:sz w:val="10"/>
        </w:rPr>
        <w:t>、</w:t>
      </w:r>
      <w:r>
        <w:rPr>
          <w:rFonts w:hint="eastAsia" w:ascii="宋体" w:hAnsi="宋体" w:eastAsia="宋体" w:cs="宋体"/>
          <w:sz w:val="24"/>
        </w:rPr>
        <w:t>新技术和新产品</w:t>
      </w:r>
      <w:r>
        <w:rPr>
          <w:rFonts w:hint="eastAsia" w:ascii="宋体" w:hAnsi="宋体" w:eastAsia="宋体" w:cs="宋体"/>
          <w:sz w:val="10"/>
        </w:rPr>
        <w:t>，</w:t>
      </w:r>
      <w:r>
        <w:rPr>
          <w:rFonts w:hint="eastAsia" w:ascii="宋体" w:hAnsi="宋体" w:eastAsia="宋体" w:cs="宋体"/>
          <w:sz w:val="24"/>
        </w:rPr>
        <w:t>提升公司品牌的知名度和美誉度</w:t>
      </w:r>
      <w:r>
        <w:rPr>
          <w:rFonts w:hint="eastAsia" w:ascii="宋体" w:hAnsi="宋体" w:eastAsia="宋体" w:cs="宋体"/>
          <w:sz w:val="10"/>
        </w:rPr>
        <w:t>，</w:t>
      </w:r>
      <w:r>
        <w:rPr>
          <w:rFonts w:hint="eastAsia" w:ascii="宋体" w:hAnsi="宋体" w:eastAsia="宋体" w:cs="宋体"/>
          <w:sz w:val="24"/>
        </w:rPr>
        <w:t>引导用户对公司产品及应用解决方案的需求</w:t>
      </w:r>
      <w:r>
        <w:rPr>
          <w:rFonts w:hint="eastAsia" w:ascii="宋体" w:hAnsi="宋体" w:eastAsia="宋体" w:cs="宋体"/>
          <w:sz w:val="10"/>
        </w:rPr>
        <w:t>，</w:t>
      </w:r>
      <w:r>
        <w:rPr>
          <w:rFonts w:hint="eastAsia" w:ascii="宋体" w:hAnsi="宋体" w:eastAsia="宋体" w:cs="宋体"/>
          <w:sz w:val="24"/>
        </w:rPr>
        <w:t>从而赢得更多的订单</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1-1-160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在和新老客户的合作过程中</w:t>
      </w:r>
      <w:r>
        <w:rPr>
          <w:rFonts w:hint="eastAsia" w:ascii="宋体" w:hAnsi="宋体" w:eastAsia="宋体" w:cs="宋体"/>
          <w:sz w:val="10"/>
        </w:rPr>
        <w:t>，</w:t>
      </w:r>
      <w:r>
        <w:rPr>
          <w:rFonts w:hint="eastAsia" w:ascii="宋体" w:hAnsi="宋体" w:eastAsia="宋体" w:cs="宋体"/>
          <w:sz w:val="24"/>
        </w:rPr>
        <w:t>发行人获取各项业务的方式主要包括商业谈判和招投标</w:t>
      </w:r>
      <w:r>
        <w:rPr>
          <w:rFonts w:hint="eastAsia" w:ascii="宋体" w:hAnsi="宋体" w:eastAsia="宋体" w:cs="宋体"/>
          <w:sz w:val="10"/>
        </w:rPr>
        <w:t>。</w:t>
      </w:r>
      <w:r>
        <w:rPr>
          <w:rFonts w:hint="eastAsia" w:ascii="宋体" w:hAnsi="宋体" w:eastAsia="宋体" w:cs="宋体"/>
          <w:sz w:val="24"/>
        </w:rPr>
        <w:t>报告期内各年度各种获取订单方式下订单金额和占比的情况如下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1360"/>
        <w:gridCol w:w="1340"/>
        <w:gridCol w:w="1360"/>
        <w:gridCol w:w="1340"/>
        <w:gridCol w:w="1360"/>
        <w:gridCol w:w="1340"/>
      </w:tblGrid>
      <w:tr>
        <w:trPr>
          <w:trHeight w:val="640" w:hRule="exact"/>
        </w:trPr>
        <w:tc>
          <w:tcPr>
            <w:tcW w:w="1160" w:type="dxa"/>
            <w:vMerge w:val="restart"/>
            <w:tcMar>
              <w:top w:w="0" w:type="dxa"/>
              <w:left w:w="0" w:type="dxa"/>
              <w:bottom w:w="0" w:type="dxa"/>
              <w:right w:w="0" w:type="dxa"/>
            </w:tcMar>
          </w:tcPr>
          <w:p>
            <w:pPr>
              <w:spacing w:before="500"/>
              <w:ind w:left="360"/>
            </w:pPr>
            <w:r>
              <w:rPr>
                <w:rFonts w:hint="eastAsia" w:ascii="宋体" w:hAnsi="宋体" w:eastAsia="宋体" w:cs="宋体"/>
                <w:b/>
                <w:sz w:val="21"/>
              </w:rPr>
              <w:t>类型</w:t>
            </w:r>
          </w:p>
        </w:tc>
        <w:tc>
          <w:tcPr>
            <w:tcW w:w="2700" w:type="dxa"/>
            <w:gridSpan w:val="2"/>
            <w:tcMar>
              <w:top w:w="0" w:type="dxa"/>
              <w:left w:w="0" w:type="dxa"/>
              <w:bottom w:w="0" w:type="dxa"/>
              <w:right w:w="0" w:type="dxa"/>
            </w:tcMar>
          </w:tcPr>
          <w:p>
            <w:pPr>
              <w:spacing w:before="200"/>
              <w:ind w:left="90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700" w:type="dxa"/>
            <w:gridSpan w:val="2"/>
            <w:tcMar>
              <w:top w:w="0" w:type="dxa"/>
              <w:left w:w="0" w:type="dxa"/>
              <w:bottom w:w="0" w:type="dxa"/>
              <w:right w:w="0" w:type="dxa"/>
            </w:tcMar>
          </w:tcPr>
          <w:p>
            <w:pPr>
              <w:spacing w:before="200"/>
              <w:ind w:left="90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700" w:type="dxa"/>
            <w:gridSpan w:val="2"/>
            <w:tcMar>
              <w:top w:w="0" w:type="dxa"/>
              <w:left w:w="0" w:type="dxa"/>
              <w:bottom w:w="0" w:type="dxa"/>
              <w:right w:w="0" w:type="dxa"/>
            </w:tcMar>
          </w:tcPr>
          <w:p>
            <w:pPr>
              <w:spacing w:before="200"/>
              <w:ind w:left="9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40" w:hRule="exact"/>
        </w:trPr>
        <w:tc>
          <w:tcPr>
            <w:tcW w:w="1160" w:type="dxa"/>
            <w:vMerge w:val="continue"/>
            <w:tcMar>
              <w:top w:w="0" w:type="dxa"/>
              <w:left w:w="0" w:type="dxa"/>
              <w:bottom w:w="0" w:type="dxa"/>
              <w:right w:w="0" w:type="dxa"/>
            </w:tcMar>
          </w:tcPr>
          <w:p/>
        </w:tc>
        <w:tc>
          <w:tcPr>
            <w:tcW w:w="1360" w:type="dxa"/>
            <w:tcMar>
              <w:top w:w="0" w:type="dxa"/>
              <w:left w:w="0" w:type="dxa"/>
              <w:bottom w:w="0" w:type="dxa"/>
              <w:right w:w="0" w:type="dxa"/>
            </w:tcMar>
          </w:tcPr>
          <w:p>
            <w:pPr>
              <w:spacing w:before="180"/>
              <w:ind w:left="460"/>
            </w:pPr>
            <w:r>
              <w:rPr>
                <w:rFonts w:hint="eastAsia" w:ascii="宋体" w:hAnsi="宋体" w:eastAsia="宋体" w:cs="宋体"/>
                <w:b/>
                <w:sz w:val="21"/>
              </w:rPr>
              <w:t>金额</w:t>
            </w:r>
          </w:p>
        </w:tc>
        <w:tc>
          <w:tcPr>
            <w:tcW w:w="1340" w:type="dxa"/>
            <w:tcMar>
              <w:top w:w="0" w:type="dxa"/>
              <w:left w:w="0" w:type="dxa"/>
              <w:bottom w:w="0" w:type="dxa"/>
              <w:right w:w="0" w:type="dxa"/>
            </w:tcMar>
          </w:tcPr>
          <w:p>
            <w:pPr>
              <w:spacing w:before="200"/>
              <w:ind w:left="440"/>
            </w:pPr>
            <w:r>
              <w:rPr>
                <w:rFonts w:hint="eastAsia" w:ascii="宋体" w:hAnsi="宋体" w:eastAsia="宋体" w:cs="宋体"/>
                <w:b/>
                <w:sz w:val="21"/>
              </w:rPr>
              <w:t>比例</w:t>
            </w:r>
          </w:p>
        </w:tc>
        <w:tc>
          <w:tcPr>
            <w:tcW w:w="1360" w:type="dxa"/>
            <w:tcMar>
              <w:top w:w="0" w:type="dxa"/>
              <w:left w:w="0" w:type="dxa"/>
              <w:bottom w:w="0" w:type="dxa"/>
              <w:right w:w="0" w:type="dxa"/>
            </w:tcMar>
          </w:tcPr>
          <w:p>
            <w:pPr>
              <w:spacing w:before="180"/>
              <w:ind w:left="460"/>
            </w:pPr>
            <w:r>
              <w:rPr>
                <w:rFonts w:hint="eastAsia" w:ascii="宋体" w:hAnsi="宋体" w:eastAsia="宋体" w:cs="宋体"/>
                <w:b/>
                <w:sz w:val="21"/>
              </w:rPr>
              <w:t>金额</w:t>
            </w:r>
          </w:p>
        </w:tc>
        <w:tc>
          <w:tcPr>
            <w:tcW w:w="1340" w:type="dxa"/>
            <w:tcMar>
              <w:top w:w="0" w:type="dxa"/>
              <w:left w:w="0" w:type="dxa"/>
              <w:bottom w:w="0" w:type="dxa"/>
              <w:right w:w="0" w:type="dxa"/>
            </w:tcMar>
          </w:tcPr>
          <w:p>
            <w:pPr>
              <w:spacing w:before="200"/>
              <w:ind w:left="440"/>
            </w:pPr>
            <w:r>
              <w:rPr>
                <w:rFonts w:hint="eastAsia" w:ascii="宋体" w:hAnsi="宋体" w:eastAsia="宋体" w:cs="宋体"/>
                <w:b/>
                <w:sz w:val="21"/>
              </w:rPr>
              <w:t>比例</w:t>
            </w:r>
          </w:p>
        </w:tc>
        <w:tc>
          <w:tcPr>
            <w:tcW w:w="1360" w:type="dxa"/>
            <w:tcMar>
              <w:top w:w="0" w:type="dxa"/>
              <w:left w:w="0" w:type="dxa"/>
              <w:bottom w:w="0" w:type="dxa"/>
              <w:right w:w="0" w:type="dxa"/>
            </w:tcMar>
          </w:tcPr>
          <w:p>
            <w:pPr>
              <w:spacing w:before="180"/>
              <w:ind w:left="460"/>
            </w:pPr>
            <w:r>
              <w:rPr>
                <w:rFonts w:hint="eastAsia" w:ascii="宋体" w:hAnsi="宋体" w:eastAsia="宋体" w:cs="宋体"/>
                <w:b/>
                <w:sz w:val="21"/>
              </w:rPr>
              <w:t>金额</w:t>
            </w:r>
          </w:p>
        </w:tc>
        <w:tc>
          <w:tcPr>
            <w:tcW w:w="1340" w:type="dxa"/>
            <w:tcMar>
              <w:top w:w="0" w:type="dxa"/>
              <w:left w:w="0" w:type="dxa"/>
              <w:bottom w:w="0" w:type="dxa"/>
              <w:right w:w="0" w:type="dxa"/>
            </w:tcMar>
          </w:tcPr>
          <w:p>
            <w:pPr>
              <w:spacing w:before="200"/>
              <w:ind w:left="440"/>
            </w:pPr>
            <w:r>
              <w:rPr>
                <w:rFonts w:hint="eastAsia" w:ascii="宋体" w:hAnsi="宋体" w:eastAsia="宋体" w:cs="宋体"/>
                <w:b/>
                <w:sz w:val="21"/>
              </w:rPr>
              <w:t>比例</w:t>
            </w:r>
          </w:p>
        </w:tc>
      </w:tr>
      <w:tr>
        <w:trPr>
          <w:trHeight w:val="620" w:hRule="exact"/>
        </w:trPr>
        <w:tc>
          <w:tcPr>
            <w:tcW w:w="1160" w:type="dxa"/>
            <w:tcMar>
              <w:top w:w="0" w:type="dxa"/>
              <w:left w:w="0" w:type="dxa"/>
              <w:bottom w:w="0" w:type="dxa"/>
              <w:right w:w="0" w:type="dxa"/>
            </w:tcMar>
          </w:tcPr>
          <w:p>
            <w:pPr>
              <w:spacing w:before="180"/>
              <w:ind w:left="140"/>
            </w:pPr>
            <w:r>
              <w:rPr>
                <w:rFonts w:hint="eastAsia" w:ascii="宋体" w:hAnsi="宋体" w:eastAsia="宋体" w:cs="宋体"/>
                <w:sz w:val="21"/>
              </w:rPr>
              <w:t>商业谈判</w:t>
            </w:r>
          </w:p>
        </w:tc>
        <w:tc>
          <w:tcPr>
            <w:tcW w:w="1360" w:type="dxa"/>
            <w:tcMar>
              <w:top w:w="0" w:type="dxa"/>
              <w:left w:w="0" w:type="dxa"/>
              <w:bottom w:w="0" w:type="dxa"/>
              <w:right w:w="0" w:type="dxa"/>
            </w:tcMar>
          </w:tcPr>
          <w:p>
            <w:pPr>
              <w:spacing w:before="240"/>
              <w:ind w:left="40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1340" w:type="dxa"/>
            <w:tcMar>
              <w:top w:w="0" w:type="dxa"/>
              <w:left w:w="0" w:type="dxa"/>
              <w:bottom w:w="0" w:type="dxa"/>
              <w:right w:w="0" w:type="dxa"/>
            </w:tcMar>
          </w:tcPr>
          <w:p>
            <w:pPr>
              <w:spacing w:before="240"/>
              <w:ind w:left="58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1360" w:type="dxa"/>
            <w:tcMar>
              <w:top w:w="0" w:type="dxa"/>
              <w:left w:w="0" w:type="dxa"/>
              <w:bottom w:w="0" w:type="dxa"/>
              <w:right w:w="0" w:type="dxa"/>
            </w:tcMar>
          </w:tcPr>
          <w:p>
            <w:pPr>
              <w:spacing w:before="240"/>
              <w:ind w:left="40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340" w:type="dxa"/>
            <w:tcMar>
              <w:top w:w="0" w:type="dxa"/>
              <w:left w:w="0" w:type="dxa"/>
              <w:bottom w:w="0" w:type="dxa"/>
              <w:right w:w="0" w:type="dxa"/>
            </w:tcMar>
          </w:tcPr>
          <w:p>
            <w:pPr>
              <w:spacing w:before="240"/>
              <w:ind w:left="580"/>
            </w:pP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r>
              <w:rPr>
                <w:rFonts w:hint="eastAsia" w:ascii="Times New Roman" w:hAnsi="Times New Roman" w:eastAsia="Times New Roman" w:cs="Times New Roman"/>
                <w:sz w:val="20"/>
              </w:rPr>
              <w:t>%</w:t>
            </w:r>
          </w:p>
        </w:tc>
        <w:tc>
          <w:tcPr>
            <w:tcW w:w="1360" w:type="dxa"/>
            <w:tcMar>
              <w:top w:w="0" w:type="dxa"/>
              <w:left w:w="0" w:type="dxa"/>
              <w:bottom w:w="0" w:type="dxa"/>
              <w:right w:w="0" w:type="dxa"/>
            </w:tcMar>
          </w:tcPr>
          <w:p>
            <w:pPr>
              <w:spacing w:before="240"/>
              <w:ind w:left="4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1340" w:type="dxa"/>
            <w:tcMar>
              <w:top w:w="0" w:type="dxa"/>
              <w:left w:w="0" w:type="dxa"/>
              <w:bottom w:w="0" w:type="dxa"/>
              <w:right w:w="0" w:type="dxa"/>
            </w:tcMar>
          </w:tcPr>
          <w:p>
            <w:pPr>
              <w:spacing w:before="240"/>
              <w:ind w:left="580"/>
            </w:pP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p>
        </w:tc>
      </w:tr>
      <w:tr>
        <w:trPr>
          <w:trHeight w:val="640" w:hRule="exact"/>
        </w:trPr>
        <w:tc>
          <w:tcPr>
            <w:tcW w:w="1160" w:type="dxa"/>
            <w:tcMar>
              <w:top w:w="0" w:type="dxa"/>
              <w:left w:w="0" w:type="dxa"/>
              <w:bottom w:w="0" w:type="dxa"/>
              <w:right w:w="0" w:type="dxa"/>
            </w:tcMar>
          </w:tcPr>
          <w:p>
            <w:pPr>
              <w:spacing w:before="200"/>
              <w:ind w:left="260"/>
            </w:pPr>
            <w:r>
              <w:rPr>
                <w:rFonts w:hint="eastAsia" w:ascii="宋体" w:hAnsi="宋体" w:eastAsia="宋体" w:cs="宋体"/>
                <w:sz w:val="21"/>
              </w:rPr>
              <w:t>招投标</w:t>
            </w:r>
          </w:p>
        </w:tc>
        <w:tc>
          <w:tcPr>
            <w:tcW w:w="1360" w:type="dxa"/>
            <w:tcMar>
              <w:top w:w="0" w:type="dxa"/>
              <w:left w:w="0" w:type="dxa"/>
              <w:bottom w:w="0" w:type="dxa"/>
              <w:right w:w="0" w:type="dxa"/>
            </w:tcMar>
          </w:tcPr>
          <w:p>
            <w:pPr>
              <w:spacing w:before="260"/>
              <w:ind w:left="5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1340" w:type="dxa"/>
            <w:tcMar>
              <w:top w:w="0" w:type="dxa"/>
              <w:left w:w="0" w:type="dxa"/>
              <w:bottom w:w="0" w:type="dxa"/>
              <w:right w:w="0" w:type="dxa"/>
            </w:tcMar>
          </w:tcPr>
          <w:p>
            <w:pPr>
              <w:spacing w:before="260"/>
              <w:ind w:left="58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c>
          <w:tcPr>
            <w:tcW w:w="1360" w:type="dxa"/>
            <w:tcMar>
              <w:top w:w="0" w:type="dxa"/>
              <w:left w:w="0" w:type="dxa"/>
              <w:bottom w:w="0" w:type="dxa"/>
              <w:right w:w="0" w:type="dxa"/>
            </w:tcMar>
          </w:tcPr>
          <w:p>
            <w:pPr>
              <w:spacing w:before="260"/>
              <w:ind w:left="5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1340" w:type="dxa"/>
            <w:tcMar>
              <w:top w:w="0" w:type="dxa"/>
              <w:left w:w="0" w:type="dxa"/>
              <w:bottom w:w="0" w:type="dxa"/>
              <w:right w:w="0" w:type="dxa"/>
            </w:tcMar>
          </w:tcPr>
          <w:p>
            <w:pPr>
              <w:spacing w:before="260"/>
              <w:ind w:left="58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p>
        </w:tc>
        <w:tc>
          <w:tcPr>
            <w:tcW w:w="1360" w:type="dxa"/>
            <w:tcMar>
              <w:top w:w="0" w:type="dxa"/>
              <w:left w:w="0" w:type="dxa"/>
              <w:bottom w:w="0" w:type="dxa"/>
              <w:right w:w="0" w:type="dxa"/>
            </w:tcMar>
          </w:tcPr>
          <w:p>
            <w:pPr>
              <w:spacing w:before="260"/>
              <w:ind w:left="5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1340" w:type="dxa"/>
            <w:tcMar>
              <w:top w:w="0" w:type="dxa"/>
              <w:left w:w="0" w:type="dxa"/>
              <w:bottom w:w="0" w:type="dxa"/>
              <w:right w:w="0" w:type="dxa"/>
            </w:tcMar>
          </w:tcPr>
          <w:p>
            <w:pPr>
              <w:spacing w:before="260"/>
              <w:ind w:left="58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p>
        </w:tc>
      </w:tr>
      <w:tr>
        <w:trPr>
          <w:trHeight w:val="620" w:hRule="exact"/>
        </w:trPr>
        <w:tc>
          <w:tcPr>
            <w:tcW w:w="1160" w:type="dxa"/>
            <w:tcMar>
              <w:top w:w="0" w:type="dxa"/>
              <w:left w:w="0" w:type="dxa"/>
              <w:bottom w:w="0" w:type="dxa"/>
              <w:right w:w="0" w:type="dxa"/>
            </w:tcMar>
          </w:tcPr>
          <w:p>
            <w:pPr>
              <w:spacing w:before="200"/>
              <w:ind w:left="360"/>
            </w:pPr>
            <w:r>
              <w:rPr>
                <w:rFonts w:hint="eastAsia" w:ascii="宋体" w:hAnsi="宋体" w:eastAsia="宋体" w:cs="宋体"/>
                <w:b/>
                <w:sz w:val="21"/>
              </w:rPr>
              <w:t>合计</w:t>
            </w:r>
          </w:p>
        </w:tc>
        <w:tc>
          <w:tcPr>
            <w:tcW w:w="1360" w:type="dxa"/>
            <w:tcMar>
              <w:top w:w="0" w:type="dxa"/>
              <w:left w:w="0" w:type="dxa"/>
              <w:bottom w:w="0" w:type="dxa"/>
              <w:right w:w="0" w:type="dxa"/>
            </w:tcMar>
          </w:tcPr>
          <w:p>
            <w:pPr>
              <w:spacing w:before="240"/>
              <w:ind w:left="400"/>
            </w:pPr>
            <w:r>
              <w:rPr>
                <w:rFonts w:hint="eastAsia" w:ascii="Times New Roman Bold" w:hAnsi="Times New Roman Bold" w:eastAsia="Times New Roman Bold" w:cs="Times New Roman Bold"/>
                <w:b/>
                <w:sz w:val="21"/>
              </w:rPr>
              <w:t>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w:t>
            </w:r>
          </w:p>
        </w:tc>
        <w:tc>
          <w:tcPr>
            <w:tcW w:w="1340" w:type="dxa"/>
            <w:tcMar>
              <w:top w:w="0" w:type="dxa"/>
              <w:left w:w="0" w:type="dxa"/>
              <w:bottom w:w="0" w:type="dxa"/>
              <w:right w:w="0" w:type="dxa"/>
            </w:tcMar>
          </w:tcPr>
          <w:p>
            <w:pPr>
              <w:spacing w:before="240"/>
              <w:ind w:left="4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360" w:type="dxa"/>
            <w:tcMar>
              <w:top w:w="0" w:type="dxa"/>
              <w:left w:w="0" w:type="dxa"/>
              <w:bottom w:w="0" w:type="dxa"/>
              <w:right w:w="0" w:type="dxa"/>
            </w:tcMar>
          </w:tcPr>
          <w:p>
            <w:pPr>
              <w:spacing w:before="240"/>
              <w:ind w:left="400"/>
            </w:pPr>
            <w:r>
              <w:rPr>
                <w:rFonts w:hint="eastAsia" w:ascii="Times New Roman Bold" w:hAnsi="Times New Roman Bold" w:eastAsia="Times New Roman Bold" w:cs="Times New Roman Bold"/>
                <w:b/>
                <w:sz w:val="21"/>
              </w:rPr>
              <w:t>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01</w:t>
            </w:r>
          </w:p>
        </w:tc>
        <w:tc>
          <w:tcPr>
            <w:tcW w:w="1340" w:type="dxa"/>
            <w:tcMar>
              <w:top w:w="0" w:type="dxa"/>
              <w:left w:w="0" w:type="dxa"/>
              <w:bottom w:w="0" w:type="dxa"/>
              <w:right w:w="0" w:type="dxa"/>
            </w:tcMar>
          </w:tcPr>
          <w:p>
            <w:pPr>
              <w:spacing w:before="240"/>
              <w:ind w:left="4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360" w:type="dxa"/>
            <w:tcMar>
              <w:top w:w="0" w:type="dxa"/>
              <w:left w:w="0" w:type="dxa"/>
              <w:bottom w:w="0" w:type="dxa"/>
              <w:right w:w="0" w:type="dxa"/>
            </w:tcMar>
          </w:tcPr>
          <w:p>
            <w:pPr>
              <w:spacing w:before="240"/>
              <w:ind w:left="400"/>
            </w:pPr>
            <w:r>
              <w:rPr>
                <w:rFonts w:hint="eastAsia" w:ascii="Times New Roman Bold" w:hAnsi="Times New Roman Bold" w:eastAsia="Times New Roman Bold" w:cs="Times New Roman Bold"/>
                <w:b/>
                <w:sz w:val="21"/>
              </w:rPr>
              <w:t>21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92</w:t>
            </w:r>
          </w:p>
        </w:tc>
        <w:tc>
          <w:tcPr>
            <w:tcW w:w="1340" w:type="dxa"/>
            <w:tcMar>
              <w:top w:w="0" w:type="dxa"/>
              <w:left w:w="0" w:type="dxa"/>
              <w:bottom w:w="0" w:type="dxa"/>
              <w:right w:w="0" w:type="dxa"/>
            </w:tcMar>
          </w:tcPr>
          <w:p>
            <w:pPr>
              <w:spacing w:before="240"/>
              <w:ind w:left="4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发行人获取订单的方式以商业谈判为主</w:t>
      </w:r>
      <w:r>
        <w:rPr>
          <w:rFonts w:hint="eastAsia" w:ascii="宋体" w:hAnsi="宋体" w:eastAsia="宋体" w:cs="宋体"/>
          <w:sz w:val="10"/>
        </w:rPr>
        <w:t>，</w:t>
      </w:r>
      <w:r>
        <w:rPr>
          <w:rFonts w:hint="eastAsia" w:ascii="宋体" w:hAnsi="宋体" w:eastAsia="宋体" w:cs="宋体"/>
          <w:sz w:val="24"/>
        </w:rPr>
        <w:t>报告期内商业谈判的比重不低于</w:t>
      </w:r>
      <w:r>
        <w:rPr>
          <w:rFonts w:hint="eastAsia" w:ascii="Times New Roman" w:hAnsi="Times New Roman" w:eastAsia="Times New Roman" w:cs="Times New Roman"/>
          <w:sz w:val="24"/>
        </w:rPr>
        <w:t xml:space="preserve"> 70%</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定制软件业务获取方式主要为商业谈判</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基于良好的合作关系</w:t>
      </w:r>
      <w:r>
        <w:rPr>
          <w:rFonts w:hint="eastAsia" w:ascii="宋体" w:hAnsi="宋体" w:eastAsia="宋体" w:cs="宋体"/>
          <w:sz w:val="10"/>
        </w:rPr>
        <w:t>，</w:t>
      </w:r>
      <w:r>
        <w:rPr>
          <w:rFonts w:hint="eastAsia" w:ascii="宋体" w:hAnsi="宋体" w:eastAsia="宋体" w:cs="宋体"/>
          <w:sz w:val="24"/>
        </w:rPr>
        <w:t>发行人会与部分客户其签署战略合作协议</w:t>
      </w:r>
      <w:r>
        <w:rPr>
          <w:rFonts w:hint="eastAsia" w:ascii="宋体" w:hAnsi="宋体" w:eastAsia="宋体" w:cs="宋体"/>
          <w:sz w:val="10"/>
        </w:rPr>
        <w:t>，</w:t>
      </w:r>
      <w:r>
        <w:rPr>
          <w:rFonts w:hint="eastAsia" w:ascii="宋体" w:hAnsi="宋体" w:eastAsia="宋体" w:cs="宋体"/>
          <w:sz w:val="24"/>
        </w:rPr>
        <w:t>对合作的方向</w:t>
      </w:r>
      <w:r>
        <w:rPr>
          <w:rFonts w:hint="eastAsia" w:ascii="宋体" w:hAnsi="宋体" w:eastAsia="宋体" w:cs="宋体"/>
          <w:sz w:val="10"/>
        </w:rPr>
        <w:t>、</w:t>
      </w:r>
      <w:r>
        <w:rPr>
          <w:rFonts w:hint="eastAsia" w:ascii="宋体" w:hAnsi="宋体" w:eastAsia="宋体" w:cs="宋体"/>
          <w:sz w:val="24"/>
        </w:rPr>
        <w:t>内容</w:t>
      </w:r>
      <w:r>
        <w:rPr>
          <w:rFonts w:hint="eastAsia" w:ascii="宋体" w:hAnsi="宋体" w:eastAsia="宋体" w:cs="宋体"/>
          <w:sz w:val="10"/>
        </w:rPr>
        <w:t>、</w:t>
      </w:r>
      <w:r>
        <w:rPr>
          <w:rFonts w:hint="eastAsia" w:ascii="宋体" w:hAnsi="宋体" w:eastAsia="宋体" w:cs="宋体"/>
          <w:sz w:val="24"/>
        </w:rPr>
        <w:t>方式等进行框架性约定</w:t>
      </w:r>
      <w:r>
        <w:rPr>
          <w:rFonts w:hint="eastAsia" w:ascii="宋体" w:hAnsi="宋体" w:eastAsia="宋体" w:cs="宋体"/>
          <w:sz w:val="10"/>
        </w:rPr>
        <w:t>。</w:t>
      </w:r>
      <w:r>
        <w:rPr>
          <w:rFonts w:hint="eastAsia" w:ascii="宋体" w:hAnsi="宋体" w:eastAsia="宋体" w:cs="宋体"/>
          <w:sz w:val="24"/>
        </w:rPr>
        <w:t>报告期各期的前五大客户中</w:t>
      </w:r>
      <w:r>
        <w:rPr>
          <w:rFonts w:hint="eastAsia" w:ascii="宋体" w:hAnsi="宋体" w:eastAsia="宋体" w:cs="宋体"/>
          <w:sz w:val="10"/>
        </w:rPr>
        <w:t>，</w:t>
      </w:r>
      <w:r>
        <w:rPr>
          <w:rFonts w:hint="eastAsia" w:ascii="宋体" w:hAnsi="宋体" w:eastAsia="宋体" w:cs="宋体"/>
          <w:sz w:val="24"/>
        </w:rPr>
        <w:t>发行人与东吴证券及中信证券签署了战略合作协议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（四）发行人的销售情况和主要客户</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公司业务按照业务类别可以划分为定制软件</w:t>
      </w:r>
      <w:r>
        <w:rPr>
          <w:rFonts w:hint="eastAsia" w:ascii="宋体" w:hAnsi="宋体" w:eastAsia="宋体" w:cs="宋体"/>
          <w:sz w:val="10"/>
        </w:rPr>
        <w:t>、</w:t>
      </w:r>
      <w:r>
        <w:rPr>
          <w:rFonts w:hint="eastAsia" w:ascii="宋体" w:hAnsi="宋体" w:eastAsia="宋体" w:cs="宋体"/>
          <w:sz w:val="24"/>
        </w:rPr>
        <w:t>产品化软件</w:t>
      </w:r>
      <w:r>
        <w:rPr>
          <w:rFonts w:hint="eastAsia" w:ascii="宋体" w:hAnsi="宋体" w:eastAsia="宋体" w:cs="宋体"/>
          <w:sz w:val="10"/>
        </w:rPr>
        <w:t>、</w:t>
      </w:r>
      <w:r>
        <w:rPr>
          <w:rFonts w:hint="eastAsia" w:ascii="宋体" w:hAnsi="宋体" w:eastAsia="宋体" w:cs="宋体"/>
          <w:sz w:val="24"/>
        </w:rPr>
        <w:t>软件运维服务和系统集成</w:t>
      </w:r>
      <w:r>
        <w:rPr>
          <w:rFonts w:hint="eastAsia" w:ascii="宋体" w:hAnsi="宋体" w:eastAsia="宋体" w:cs="宋体"/>
          <w:sz w:val="10"/>
        </w:rPr>
        <w:t>。</w:t>
      </w:r>
      <w:r>
        <w:rPr>
          <w:rFonts w:hint="eastAsia" w:ascii="宋体" w:hAnsi="宋体" w:eastAsia="宋体" w:cs="宋体"/>
          <w:sz w:val="24"/>
        </w:rPr>
        <w:t>定制软件是指本公司根据合同的约定</w:t>
      </w:r>
      <w:r>
        <w:rPr>
          <w:rFonts w:hint="eastAsia" w:ascii="宋体" w:hAnsi="宋体" w:eastAsia="宋体" w:cs="宋体"/>
          <w:sz w:val="10"/>
        </w:rPr>
        <w:t>，</w:t>
      </w:r>
      <w:r>
        <w:rPr>
          <w:rFonts w:hint="eastAsia" w:ascii="宋体" w:hAnsi="宋体" w:eastAsia="宋体" w:cs="宋体"/>
          <w:sz w:val="24"/>
        </w:rPr>
        <w:t>自行研究开发以满足客户的特定要求的软件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24"/>
        </w:rPr>
        <w:t>产品化软件是指本公司自行研究开发的</w:t>
      </w:r>
      <w:r>
        <w:rPr>
          <w:rFonts w:hint="eastAsia" w:ascii="宋体" w:hAnsi="宋体" w:eastAsia="宋体" w:cs="宋体"/>
          <w:sz w:val="10"/>
        </w:rPr>
        <w:t>，</w:t>
      </w:r>
      <w:r>
        <w:rPr>
          <w:rFonts w:hint="eastAsia" w:ascii="宋体" w:hAnsi="宋体" w:eastAsia="宋体" w:cs="宋体"/>
          <w:sz w:val="24"/>
        </w:rPr>
        <w:t>拥有自主知识产权</w:t>
      </w:r>
      <w:r>
        <w:rPr>
          <w:rFonts w:hint="eastAsia" w:ascii="宋体" w:hAnsi="宋体" w:eastAsia="宋体" w:cs="宋体"/>
          <w:sz w:val="10"/>
        </w:rPr>
        <w:t>，</w:t>
      </w:r>
      <w:r>
        <w:rPr>
          <w:rFonts w:hint="eastAsia" w:ascii="宋体" w:hAnsi="宋体" w:eastAsia="宋体" w:cs="宋体"/>
          <w:sz w:val="24"/>
        </w:rPr>
        <w:t>可直接对外销售的软件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right="1220"/>
        <w:jc w:val="both"/>
      </w:pPr>
      <w:r>
        <w:rPr>
          <w:rFonts w:hint="eastAsia" w:ascii="宋体" w:hAnsi="宋体" w:eastAsia="宋体" w:cs="宋体"/>
          <w:sz w:val="24"/>
        </w:rPr>
        <w:t>软件运维服务业务主要指公司为存量客户提供的常年软件系统运营和维护服务</w:t>
      </w:r>
      <w:r>
        <w:rPr>
          <w:rFonts w:hint="eastAsia" w:ascii="宋体" w:hAnsi="宋体" w:eastAsia="宋体" w:cs="宋体"/>
          <w:sz w:val="10"/>
        </w:rPr>
        <w:t>。</w:t>
      </w:r>
      <w:r>
        <w:rPr>
          <w:rFonts w:hint="eastAsia" w:ascii="宋体" w:hAnsi="宋体" w:eastAsia="宋体" w:cs="宋体"/>
          <w:sz w:val="24"/>
        </w:rPr>
        <w:t>系统集成业务是指根据用户需要将整个系统中的外购软件</w:t>
      </w:r>
      <w:r>
        <w:rPr>
          <w:rFonts w:hint="eastAsia" w:ascii="宋体" w:hAnsi="宋体" w:eastAsia="宋体" w:cs="宋体"/>
          <w:sz w:val="10"/>
        </w:rPr>
        <w:t>、</w:t>
      </w:r>
      <w:r>
        <w:rPr>
          <w:rFonts w:hint="eastAsia" w:ascii="宋体" w:hAnsi="宋体" w:eastAsia="宋体" w:cs="宋体"/>
          <w:sz w:val="24"/>
        </w:rPr>
        <w:t>硬件按照合理的方式进行集成</w:t>
      </w:r>
      <w:r>
        <w:rPr>
          <w:rFonts w:hint="eastAsia" w:ascii="宋体" w:hAnsi="宋体" w:eastAsia="宋体" w:cs="宋体"/>
          <w:sz w:val="10"/>
        </w:rPr>
        <w:t>，</w:t>
      </w:r>
      <w:r>
        <w:rPr>
          <w:rFonts w:hint="eastAsia" w:ascii="宋体" w:hAnsi="宋体" w:eastAsia="宋体" w:cs="宋体"/>
          <w:sz w:val="24"/>
        </w:rPr>
        <w:t>将各个分离的子系统连接成为一个完整可靠和经济有效整体的业务</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产品化软件主要为发行人向客户销售的成套软件</w:t>
      </w:r>
      <w:r>
        <w:rPr>
          <w:rFonts w:hint="eastAsia" w:ascii="宋体" w:hAnsi="宋体" w:eastAsia="宋体" w:cs="宋体"/>
          <w:sz w:val="10"/>
        </w:rPr>
        <w:t>，</w:t>
      </w:r>
      <w:r>
        <w:rPr>
          <w:rFonts w:hint="eastAsia" w:ascii="宋体" w:hAnsi="宋体" w:eastAsia="宋体" w:cs="宋体"/>
          <w:sz w:val="24"/>
        </w:rPr>
        <w:t>如港股通交易系统软件</w:t>
      </w:r>
      <w:r>
        <w:rPr>
          <w:rFonts w:hint="eastAsia" w:ascii="宋体" w:hAnsi="宋体" w:eastAsia="宋体" w:cs="宋体"/>
          <w:sz w:val="10"/>
        </w:rPr>
        <w:t>、</w:t>
      </w:r>
      <w:r>
        <w:rPr>
          <w:rFonts w:hint="eastAsia" w:ascii="Times New Roman" w:hAnsi="Times New Roman" w:eastAsia="Times New Roman" w:cs="Times New Roman"/>
          <w:sz w:val="24"/>
        </w:rPr>
        <w:t>A.BOSS</w:t>
      </w:r>
      <w:r>
        <w:rPr>
          <w:rFonts w:hint="eastAsia" w:ascii="宋体" w:hAnsi="宋体" w:eastAsia="宋体" w:cs="宋体"/>
          <w:sz w:val="24"/>
        </w:rPr>
        <w:t xml:space="preserve"> 新一代证券综合运营支撑平台系统</w:t>
      </w:r>
      <w:r>
        <w:rPr>
          <w:rFonts w:hint="eastAsia" w:ascii="宋体" w:hAnsi="宋体" w:eastAsia="宋体" w:cs="宋体"/>
          <w:sz w:val="10"/>
        </w:rPr>
        <w:t>、</w:t>
      </w:r>
      <w:r>
        <w:rPr>
          <w:rFonts w:hint="eastAsia" w:ascii="宋体" w:hAnsi="宋体" w:eastAsia="宋体" w:cs="宋体"/>
          <w:sz w:val="24"/>
        </w:rPr>
        <w:t>转融通系统等</w:t>
      </w:r>
      <w:r>
        <w:rPr>
          <w:rFonts w:hint="eastAsia" w:ascii="宋体" w:hAnsi="宋体" w:eastAsia="宋体" w:cs="宋体"/>
          <w:sz w:val="10"/>
        </w:rPr>
        <w:t>。</w:t>
      </w:r>
      <w:r>
        <w:rPr>
          <w:rFonts w:hint="eastAsia" w:ascii="宋体" w:hAnsi="宋体" w:eastAsia="宋体" w:cs="宋体"/>
          <w:sz w:val="24"/>
        </w:rPr>
        <w:t>产品化软件的取得方式均为自主研发</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报告期各期内</w:t>
      </w:r>
      <w:r>
        <w:rPr>
          <w:rFonts w:hint="eastAsia" w:ascii="宋体" w:hAnsi="宋体" w:eastAsia="宋体" w:cs="宋体"/>
          <w:sz w:val="10"/>
        </w:rPr>
        <w:t>，</w:t>
      </w:r>
      <w:r>
        <w:rPr>
          <w:rFonts w:hint="eastAsia" w:ascii="宋体" w:hAnsi="宋体" w:eastAsia="宋体" w:cs="宋体"/>
          <w:sz w:val="24"/>
        </w:rPr>
        <w:t>发行人产品化软件业务的主要客户包括东兴证券股份有限公司</w:t>
      </w:r>
      <w:r>
        <w:rPr>
          <w:rFonts w:hint="eastAsia" w:ascii="宋体" w:hAnsi="宋体" w:eastAsia="宋体" w:cs="宋体"/>
          <w:sz w:val="10"/>
        </w:rPr>
        <w:t>、</w:t>
      </w:r>
      <w:r>
        <w:rPr>
          <w:rFonts w:hint="eastAsia" w:ascii="宋体" w:hAnsi="宋体" w:eastAsia="宋体" w:cs="宋体"/>
          <w:sz w:val="24"/>
        </w:rPr>
        <w:t>中天证券股份有限公司</w:t>
      </w:r>
      <w:r>
        <w:rPr>
          <w:rFonts w:hint="eastAsia" w:ascii="宋体" w:hAnsi="宋体" w:eastAsia="宋体" w:cs="宋体"/>
          <w:sz w:val="10"/>
        </w:rPr>
        <w:t>、</w:t>
      </w:r>
      <w:r>
        <w:rPr>
          <w:rFonts w:hint="eastAsia" w:ascii="宋体" w:hAnsi="宋体" w:eastAsia="宋体" w:cs="宋体"/>
          <w:sz w:val="24"/>
        </w:rPr>
        <w:t>爱建证券有限责任公司</w:t>
      </w:r>
      <w:r>
        <w:rPr>
          <w:rFonts w:hint="eastAsia" w:ascii="宋体" w:hAnsi="宋体" w:eastAsia="宋体" w:cs="宋体"/>
          <w:sz w:val="10"/>
        </w:rPr>
        <w:t>、</w:t>
      </w:r>
      <w:r>
        <w:rPr>
          <w:rFonts w:hint="eastAsia" w:ascii="宋体" w:hAnsi="宋体" w:eastAsia="宋体" w:cs="宋体"/>
          <w:sz w:val="24"/>
        </w:rPr>
        <w:t>东吴证券股份有限公司</w:t>
      </w:r>
      <w:r>
        <w:rPr>
          <w:rFonts w:hint="eastAsia" w:ascii="宋体" w:hAnsi="宋体" w:eastAsia="宋体" w:cs="宋体"/>
          <w:sz w:val="10"/>
        </w:rPr>
        <w:t>、</w:t>
      </w:r>
      <w:r>
        <w:rPr>
          <w:rFonts w:hint="eastAsia" w:ascii="宋体" w:hAnsi="宋体" w:eastAsia="宋体" w:cs="宋体"/>
          <w:sz w:val="24"/>
        </w:rPr>
        <w:t>南京证券股份有限公司等</w:t>
      </w:r>
      <w:r>
        <w:rPr>
          <w:rFonts w:hint="eastAsia" w:ascii="宋体" w:hAnsi="宋体" w:eastAsia="宋体" w:cs="宋体"/>
          <w:sz w:val="10"/>
        </w:rPr>
        <w:t>。</w:t>
      </w:r>
      <w:r>
        <w:rPr>
          <w:rFonts w:hint="eastAsia" w:ascii="宋体" w:hAnsi="宋体" w:eastAsia="宋体" w:cs="宋体"/>
          <w:sz w:val="24"/>
        </w:rPr>
        <w:t>主要产品化软件及开发完成时间情况如下</w:t>
      </w:r>
      <w:r>
        <w:rPr>
          <w:rFonts w:hint="eastAsia" w:ascii="宋体" w:hAnsi="宋体" w:eastAsia="宋体" w:cs="宋体"/>
          <w:sz w:val="12"/>
        </w:rPr>
        <w:t>：</w:t>
      </w:r>
      <w:r>
        <w:rPr>
          <w:rFonts w:hint="eastAsia" w:ascii="宋体" w:hAnsi="宋体" w:eastAsia="宋体" w:cs="宋体"/>
          <w:sz w:val="24"/>
        </w:rPr>
        <w:t>顶点港股通交易系统（沪市）</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24"/>
        </w:rPr>
        <w:t>顶点</w:t>
      </w:r>
      <w:r>
        <w:rPr>
          <w:rFonts w:hint="eastAsia" w:ascii="Times New Roman" w:hAnsi="Times New Roman" w:eastAsia="Times New Roman" w:cs="Times New Roman"/>
          <w:sz w:val="24"/>
        </w:rPr>
        <w:t xml:space="preserve"> A.BOSS</w:t>
      </w:r>
      <w:r>
        <w:rPr>
          <w:rFonts w:hint="eastAsia" w:ascii="宋体" w:hAnsi="宋体" w:eastAsia="宋体" w:cs="宋体"/>
          <w:sz w:val="24"/>
        </w:rPr>
        <w:t xml:space="preserve"> 新一代证券综合运营支撑平台系统（</w:t>
      </w:r>
      <w:r>
        <w:rPr>
          <w:rFonts w:hint="eastAsia" w:ascii="Times New Roman" w:hAnsi="Times New Roman" w:eastAsia="Times New Roman" w:cs="Times New Roman"/>
          <w:sz w:val="24"/>
        </w:rPr>
        <w:t>2013</w:t>
      </w:r>
      <w:r>
        <w:rPr>
          <w:rFonts w:hint="eastAsia" w:ascii="宋体" w:hAnsi="宋体" w:eastAsia="宋体" w:cs="宋体"/>
          <w:sz w:val="24"/>
        </w:rPr>
        <w:t xml:space="preserve"> 年）、</w:t>
      </w:r>
      <w:r>
        <w:rPr>
          <w:rFonts w:hint="eastAsia" w:ascii="宋体" w:hAnsi="宋体" w:eastAsia="宋体" w:cs="宋体"/>
          <w:sz w:val="24"/>
        </w:rPr>
        <w:t>顶点转融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1-1-161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通系统（</w:t>
      </w:r>
      <w:r>
        <w:rPr>
          <w:rFonts w:hint="eastAsia" w:ascii="Times New Roman" w:hAnsi="Times New Roman" w:eastAsia="Times New Roman" w:cs="Times New Roman"/>
          <w:sz w:val="24"/>
        </w:rPr>
        <w:t>2012</w:t>
      </w:r>
      <w:r>
        <w:rPr>
          <w:rFonts w:hint="eastAsia" w:ascii="宋体" w:hAnsi="宋体" w:eastAsia="宋体" w:cs="宋体"/>
          <w:sz w:val="24"/>
        </w:rPr>
        <w:t xml:space="preserve"> 年）等</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00" w:firstLine="480"/>
        <w:jc w:val="both"/>
      </w:pPr>
      <w:r>
        <w:rPr>
          <w:rFonts w:hint="eastAsia" w:ascii="宋体" w:hAnsi="宋体" w:eastAsia="宋体" w:cs="宋体"/>
          <w:sz w:val="24"/>
        </w:rPr>
        <w:t>产品化软件主要通过商业谈判向客户销售</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产品化软件业务通过商业谈判方式取得的订单金额占比为</w:t>
      </w:r>
      <w:r>
        <w:rPr>
          <w:rFonts w:hint="eastAsia" w:ascii="Times New Roman" w:hAnsi="Times New Roman" w:eastAsia="Times New Roman" w:cs="Times New Roman"/>
          <w:sz w:val="24"/>
        </w:rPr>
        <w:t xml:space="preserve"> 79.25%</w:t>
      </w:r>
      <w:r>
        <w:rPr>
          <w:rFonts w:hint="eastAsia" w:ascii="宋体" w:hAnsi="宋体" w:eastAsia="宋体" w:cs="宋体"/>
          <w:sz w:val="10"/>
        </w:rPr>
        <w:t>。</w:t>
      </w:r>
      <w:r>
        <w:rPr>
          <w:rFonts w:hint="eastAsia" w:ascii="宋体" w:hAnsi="宋体" w:eastAsia="宋体" w:cs="宋体"/>
          <w:sz w:val="24"/>
        </w:rPr>
        <w:t>产品化软件主要销售给证券公司</w:t>
      </w:r>
      <w:r>
        <w:rPr>
          <w:rFonts w:hint="eastAsia" w:ascii="宋体" w:hAnsi="宋体" w:eastAsia="宋体" w:cs="宋体"/>
          <w:sz w:val="10"/>
        </w:rPr>
        <w:t>，</w:t>
      </w:r>
      <w:r>
        <w:rPr>
          <w:rFonts w:hint="eastAsia" w:ascii="宋体" w:hAnsi="宋体" w:eastAsia="宋体" w:cs="宋体"/>
          <w:sz w:val="24"/>
        </w:rPr>
        <w:t>报告期各期内证券类客户销售占比均在</w:t>
      </w:r>
      <w:r>
        <w:rPr>
          <w:rFonts w:hint="eastAsia" w:ascii="Times New Roman" w:hAnsi="Times New Roman" w:eastAsia="Times New Roman" w:cs="Times New Roman"/>
          <w:sz w:val="24"/>
        </w:rPr>
        <w:t xml:space="preserve"> 85%</w:t>
      </w:r>
      <w:r>
        <w:rPr>
          <w:rFonts w:hint="eastAsia" w:ascii="宋体" w:hAnsi="宋体" w:eastAsia="宋体" w:cs="宋体"/>
          <w:sz w:val="24"/>
        </w:rPr>
        <w:t>以上</w:t>
      </w:r>
      <w:r>
        <w:rPr>
          <w:rFonts w:hint="eastAsia" w:ascii="宋体" w:hAnsi="宋体" w:eastAsia="宋体" w:cs="宋体"/>
          <w:sz w:val="10"/>
        </w:rPr>
        <w:t>。</w:t>
      </w:r>
      <w:r>
        <w:rPr>
          <w:rFonts w:hint="eastAsia" w:ascii="宋体" w:hAnsi="宋体" w:eastAsia="宋体" w:cs="宋体"/>
          <w:sz w:val="24"/>
        </w:rPr>
        <w:t>发行人主要向客户提供可下载版本软件并通过授权控制的方式销售产品化软件</w:t>
      </w:r>
      <w:r>
        <w:rPr>
          <w:rFonts w:hint="eastAsia" w:ascii="宋体" w:hAnsi="宋体" w:eastAsia="宋体" w:cs="宋体"/>
          <w:sz w:val="10"/>
        </w:rPr>
        <w:t>。</w:t>
      </w:r>
      <w:r>
        <w:rPr>
          <w:rFonts w:hint="eastAsia" w:ascii="宋体" w:hAnsi="宋体" w:eastAsia="宋体" w:cs="宋体"/>
          <w:sz w:val="24"/>
        </w:rPr>
        <w:t>产品化软件的研发支出均在前期通过研发费用归集</w:t>
      </w:r>
      <w:r>
        <w:rPr>
          <w:rFonts w:hint="eastAsia" w:ascii="宋体" w:hAnsi="宋体" w:eastAsia="宋体" w:cs="宋体"/>
          <w:sz w:val="10"/>
        </w:rPr>
        <w:t>、</w:t>
      </w:r>
      <w:r>
        <w:rPr>
          <w:rFonts w:hint="eastAsia" w:ascii="宋体" w:hAnsi="宋体" w:eastAsia="宋体" w:cs="宋体"/>
          <w:sz w:val="24"/>
        </w:rPr>
        <w:t>核算</w:t>
      </w:r>
      <w:r>
        <w:rPr>
          <w:rFonts w:hint="eastAsia" w:ascii="宋体" w:hAnsi="宋体" w:eastAsia="宋体" w:cs="宋体"/>
          <w:sz w:val="10"/>
        </w:rPr>
        <w:t>。</w:t>
      </w:r>
      <w:r>
        <w:rPr>
          <w:rFonts w:hint="eastAsia" w:ascii="宋体" w:hAnsi="宋体" w:eastAsia="宋体" w:cs="宋体"/>
          <w:sz w:val="24"/>
        </w:rPr>
        <w:t>发行人产品化软件的成本归集合理</w:t>
      </w:r>
      <w:r>
        <w:rPr>
          <w:rFonts w:hint="eastAsia" w:ascii="宋体" w:hAnsi="宋体" w:eastAsia="宋体" w:cs="宋体"/>
          <w:sz w:val="10"/>
        </w:rPr>
        <w:t>，</w:t>
      </w:r>
      <w:r>
        <w:rPr>
          <w:rFonts w:hint="eastAsia" w:ascii="宋体" w:hAnsi="宋体" w:eastAsia="宋体" w:cs="宋体"/>
          <w:sz w:val="24"/>
        </w:rPr>
        <w:t>符合配比原则</w:t>
      </w:r>
      <w:r>
        <w:rPr>
          <w:rFonts w:hint="eastAsia" w:ascii="宋体" w:hAnsi="宋体" w:eastAsia="宋体" w:cs="宋体"/>
          <w:sz w:val="10"/>
        </w:rPr>
        <w:t>，</w:t>
      </w:r>
      <w:r>
        <w:rPr>
          <w:rFonts w:hint="eastAsia" w:ascii="宋体" w:hAnsi="宋体" w:eastAsia="宋体" w:cs="宋体"/>
          <w:sz w:val="24"/>
        </w:rPr>
        <w:t>不存在利润调节的情况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发行人遵循市场导向定价原则</w:t>
      </w:r>
      <w:r>
        <w:rPr>
          <w:rFonts w:hint="eastAsia" w:ascii="宋体" w:hAnsi="宋体" w:eastAsia="宋体" w:cs="宋体"/>
          <w:sz w:val="10"/>
        </w:rPr>
        <w:t>，</w:t>
      </w:r>
      <w:r>
        <w:rPr>
          <w:rFonts w:hint="eastAsia" w:ascii="宋体" w:hAnsi="宋体" w:eastAsia="宋体" w:cs="宋体"/>
          <w:sz w:val="24"/>
        </w:rPr>
        <w:t>根据不同的业务类型</w:t>
      </w:r>
      <w:r>
        <w:rPr>
          <w:rFonts w:hint="eastAsia" w:ascii="宋体" w:hAnsi="宋体" w:eastAsia="宋体" w:cs="宋体"/>
          <w:sz w:val="10"/>
        </w:rPr>
        <w:t>，</w:t>
      </w:r>
      <w:r>
        <w:rPr>
          <w:rFonts w:hint="eastAsia" w:ascii="宋体" w:hAnsi="宋体" w:eastAsia="宋体" w:cs="宋体"/>
          <w:sz w:val="24"/>
        </w:rPr>
        <w:t>采取差异化的定价方式</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①</w:t>
      </w:r>
      <w:r>
        <w:rPr>
          <w:rFonts w:hint="eastAsia" w:ascii="Times New Roman" w:hAnsi="Times New Roman" w:eastAsia="Times New Roman" w:cs="Times New Roman"/>
          <w:sz w:val="24"/>
        </w:rPr>
        <w:t xml:space="preserve"> </w:t>
      </w:r>
      <w:r>
        <w:rPr>
          <w:rFonts w:hint="eastAsia" w:ascii="宋体" w:hAnsi="宋体" w:eastAsia="宋体" w:cs="宋体"/>
          <w:sz w:val="24"/>
        </w:rPr>
        <w:t>软件定制开发业务通常根据项目规模大小</w:t>
      </w:r>
      <w:r>
        <w:rPr>
          <w:rFonts w:hint="eastAsia" w:ascii="宋体" w:hAnsi="宋体" w:eastAsia="宋体" w:cs="宋体"/>
          <w:sz w:val="10"/>
        </w:rPr>
        <w:t>、</w:t>
      </w:r>
      <w:r>
        <w:rPr>
          <w:rFonts w:hint="eastAsia" w:ascii="宋体" w:hAnsi="宋体" w:eastAsia="宋体" w:cs="宋体"/>
          <w:sz w:val="24"/>
        </w:rPr>
        <w:t>结合预期将投入的人力成本</w:t>
      </w:r>
      <w:r>
        <w:rPr>
          <w:rFonts w:hint="eastAsia" w:ascii="宋体" w:hAnsi="宋体" w:eastAsia="宋体" w:cs="宋体"/>
          <w:sz w:val="10"/>
        </w:rPr>
        <w:t>，</w:t>
      </w:r>
      <w:r>
        <w:rPr>
          <w:rFonts w:hint="eastAsia" w:ascii="宋体" w:hAnsi="宋体" w:eastAsia="宋体" w:cs="宋体"/>
          <w:sz w:val="24"/>
        </w:rPr>
        <w:t>采取市场导向定价方式确定服务价格</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②</w:t>
      </w:r>
      <w:r>
        <w:rPr>
          <w:rFonts w:hint="eastAsia" w:ascii="Times New Roman" w:hAnsi="Times New Roman" w:eastAsia="Times New Roman" w:cs="Times New Roman"/>
          <w:sz w:val="24"/>
        </w:rPr>
        <w:t xml:space="preserve"> </w:t>
      </w:r>
      <w:r>
        <w:rPr>
          <w:rFonts w:hint="eastAsia" w:ascii="宋体" w:hAnsi="宋体" w:eastAsia="宋体" w:cs="宋体"/>
          <w:sz w:val="24"/>
        </w:rPr>
        <w:t>产品化软件业务通常依据市场竞争情况进行定价</w:t>
      </w:r>
      <w:r>
        <w:rPr>
          <w:rFonts w:hint="eastAsia" w:ascii="宋体" w:hAnsi="宋体" w:eastAsia="宋体" w:cs="宋体"/>
          <w:sz w:val="10"/>
        </w:rPr>
        <w:t>，</w:t>
      </w:r>
      <w:r>
        <w:rPr>
          <w:rFonts w:hint="eastAsia" w:ascii="宋体" w:hAnsi="宋体" w:eastAsia="宋体" w:cs="宋体"/>
          <w:sz w:val="24"/>
        </w:rPr>
        <w:t>同时考虑公司前期产品研发投入</w:t>
      </w:r>
      <w:r>
        <w:rPr>
          <w:rFonts w:hint="eastAsia" w:ascii="宋体" w:hAnsi="宋体" w:eastAsia="宋体" w:cs="宋体"/>
          <w:sz w:val="10"/>
        </w:rPr>
        <w:t>、</w:t>
      </w:r>
      <w:r>
        <w:rPr>
          <w:rFonts w:hint="eastAsia" w:ascii="宋体" w:hAnsi="宋体" w:eastAsia="宋体" w:cs="宋体"/>
          <w:sz w:val="24"/>
        </w:rPr>
        <w:t>投资回收期</w:t>
      </w:r>
      <w:r>
        <w:rPr>
          <w:rFonts w:hint="eastAsia" w:ascii="宋体" w:hAnsi="宋体" w:eastAsia="宋体" w:cs="宋体"/>
          <w:sz w:val="10"/>
        </w:rPr>
        <w:t>、</w:t>
      </w:r>
      <w:r>
        <w:rPr>
          <w:rFonts w:hint="eastAsia" w:ascii="宋体" w:hAnsi="宋体" w:eastAsia="宋体" w:cs="宋体"/>
          <w:sz w:val="24"/>
        </w:rPr>
        <w:t>产品升级更新情况等因素</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③</w:t>
      </w:r>
      <w:r>
        <w:rPr>
          <w:rFonts w:hint="eastAsia" w:ascii="Times New Roman" w:hAnsi="Times New Roman" w:eastAsia="Times New Roman" w:cs="Times New Roman"/>
          <w:sz w:val="24"/>
        </w:rPr>
        <w:t xml:space="preserve"> </w:t>
      </w:r>
      <w:r>
        <w:rPr>
          <w:rFonts w:hint="eastAsia" w:ascii="宋体" w:hAnsi="宋体" w:eastAsia="宋体" w:cs="宋体"/>
          <w:sz w:val="24"/>
        </w:rPr>
        <w:t>软件运维服务通常根据存量合同金额的一定比例按年收取运维费用</w:t>
      </w:r>
      <w:r>
        <w:rPr>
          <w:rFonts w:hint="eastAsia" w:ascii="宋体" w:hAnsi="宋体" w:eastAsia="宋体" w:cs="宋体"/>
          <w:sz w:val="12"/>
        </w:rPr>
        <w:t>；</w:t>
      </w:r>
      <w:r>
        <w:rPr>
          <w:rFonts w:hint="eastAsia" w:ascii="宋体" w:hAnsi="宋体" w:eastAsia="宋体" w:cs="宋体"/>
          <w:sz w:val="24"/>
        </w:rPr>
        <w:t>或者另行签署合同约定</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④</w:t>
      </w:r>
      <w:r>
        <w:rPr>
          <w:rFonts w:hint="eastAsia" w:ascii="Times New Roman" w:hAnsi="Times New Roman" w:eastAsia="Times New Roman" w:cs="Times New Roman"/>
          <w:sz w:val="24"/>
        </w:rPr>
        <w:t xml:space="preserve"> </w:t>
      </w:r>
      <w:r>
        <w:rPr>
          <w:rFonts w:hint="eastAsia" w:ascii="宋体" w:hAnsi="宋体" w:eastAsia="宋体" w:cs="宋体"/>
          <w:sz w:val="24"/>
        </w:rPr>
        <w:t>系统集成业务</w:t>
      </w:r>
      <w:r>
        <w:rPr>
          <w:rFonts w:hint="eastAsia" w:ascii="宋体" w:hAnsi="宋体" w:eastAsia="宋体" w:cs="宋体"/>
          <w:sz w:val="10"/>
        </w:rPr>
        <w:t>，</w:t>
      </w:r>
      <w:r>
        <w:rPr>
          <w:rFonts w:hint="eastAsia" w:ascii="宋体" w:hAnsi="宋体" w:eastAsia="宋体" w:cs="宋体"/>
          <w:sz w:val="24"/>
        </w:rPr>
        <w:t>通常根据项目复杂程度</w:t>
      </w:r>
      <w:r>
        <w:rPr>
          <w:rFonts w:hint="eastAsia" w:ascii="宋体" w:hAnsi="宋体" w:eastAsia="宋体" w:cs="宋体"/>
          <w:sz w:val="10"/>
        </w:rPr>
        <w:t>、</w:t>
      </w:r>
      <w:r>
        <w:rPr>
          <w:rFonts w:hint="eastAsia" w:ascii="宋体" w:hAnsi="宋体" w:eastAsia="宋体" w:cs="宋体"/>
          <w:sz w:val="24"/>
        </w:rPr>
        <w:t>技术含量</w:t>
      </w:r>
      <w:r>
        <w:rPr>
          <w:rFonts w:hint="eastAsia" w:ascii="宋体" w:hAnsi="宋体" w:eastAsia="宋体" w:cs="宋体"/>
          <w:sz w:val="10"/>
        </w:rPr>
        <w:t>、</w:t>
      </w:r>
      <w:r>
        <w:rPr>
          <w:rFonts w:hint="eastAsia" w:ascii="宋体" w:hAnsi="宋体" w:eastAsia="宋体" w:cs="宋体"/>
          <w:sz w:val="24"/>
        </w:rPr>
        <w:t>市场竞争情况</w:t>
      </w:r>
      <w:r>
        <w:rPr>
          <w:rFonts w:hint="eastAsia" w:ascii="宋体" w:hAnsi="宋体" w:eastAsia="宋体" w:cs="宋体"/>
          <w:sz w:val="10"/>
        </w:rPr>
        <w:t>、</w:t>
      </w:r>
      <w:r>
        <w:rPr>
          <w:rFonts w:hint="eastAsia" w:ascii="宋体" w:hAnsi="宋体" w:eastAsia="宋体" w:cs="宋体"/>
          <w:sz w:val="24"/>
        </w:rPr>
        <w:t>采购成本等因素综合确定价格</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按业务类别分类</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40"/>
        <w:gridCol w:w="1660"/>
        <w:gridCol w:w="1000"/>
        <w:gridCol w:w="1560"/>
        <w:gridCol w:w="1080"/>
        <w:gridCol w:w="1600"/>
        <w:gridCol w:w="1040"/>
      </w:tblGrid>
      <w:tr>
        <w:trPr>
          <w:trHeight w:val="540" w:hRule="exact"/>
        </w:trPr>
        <w:tc>
          <w:tcPr>
            <w:tcW w:w="1240" w:type="dxa"/>
            <w:vMerge w:val="restart"/>
            <w:tcMar>
              <w:top w:w="0" w:type="dxa"/>
              <w:left w:w="0" w:type="dxa"/>
              <w:bottom w:w="0" w:type="dxa"/>
              <w:right w:w="0" w:type="dxa"/>
            </w:tcMar>
          </w:tcPr>
          <w:p>
            <w:pPr>
              <w:spacing w:before="380"/>
              <w:ind w:left="400"/>
            </w:pPr>
            <w:r>
              <w:rPr>
                <w:rFonts w:hint="eastAsia" w:ascii="宋体" w:hAnsi="宋体" w:eastAsia="宋体" w:cs="宋体"/>
                <w:b/>
                <w:sz w:val="21"/>
              </w:rPr>
              <w:t>项目</w:t>
            </w:r>
          </w:p>
        </w:tc>
        <w:tc>
          <w:tcPr>
            <w:tcW w:w="2660" w:type="dxa"/>
            <w:gridSpan w:val="2"/>
            <w:tcMar>
              <w:top w:w="0" w:type="dxa"/>
              <w:left w:w="0" w:type="dxa"/>
              <w:bottom w:w="0" w:type="dxa"/>
              <w:right w:w="0" w:type="dxa"/>
            </w:tcMar>
          </w:tcPr>
          <w:p>
            <w:pPr>
              <w:spacing w:before="120"/>
              <w:ind w:left="86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640" w:type="dxa"/>
            <w:gridSpan w:val="2"/>
            <w:tcMar>
              <w:top w:w="0" w:type="dxa"/>
              <w:left w:w="0" w:type="dxa"/>
              <w:bottom w:w="0" w:type="dxa"/>
              <w:right w:w="0" w:type="dxa"/>
            </w:tcMar>
          </w:tcPr>
          <w:p>
            <w:pPr>
              <w:spacing w:before="120"/>
              <w:ind w:left="8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640" w:type="dxa"/>
            <w:gridSpan w:val="2"/>
            <w:tcMar>
              <w:top w:w="0" w:type="dxa"/>
              <w:left w:w="0" w:type="dxa"/>
              <w:bottom w:w="0" w:type="dxa"/>
              <w:right w:w="0" w:type="dxa"/>
            </w:tcMar>
          </w:tcPr>
          <w:p>
            <w:pPr>
              <w:spacing w:before="120"/>
              <w:ind w:left="8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20" w:hRule="exact"/>
        </w:trPr>
        <w:tc>
          <w:tcPr>
            <w:tcW w:w="1240" w:type="dxa"/>
            <w:vMerge w:val="continue"/>
            <w:tcMar>
              <w:top w:w="0" w:type="dxa"/>
              <w:left w:w="0" w:type="dxa"/>
              <w:bottom w:w="0" w:type="dxa"/>
              <w:right w:w="0" w:type="dxa"/>
            </w:tcMar>
          </w:tcPr>
          <w:p/>
        </w:tc>
        <w:tc>
          <w:tcPr>
            <w:tcW w:w="1660" w:type="dxa"/>
            <w:tcMar>
              <w:top w:w="0" w:type="dxa"/>
              <w:left w:w="0" w:type="dxa"/>
              <w:bottom w:w="0" w:type="dxa"/>
              <w:right w:w="0" w:type="dxa"/>
            </w:tcMar>
          </w:tcPr>
          <w:p>
            <w:pPr>
              <w:spacing w:before="100"/>
              <w:ind w:left="60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00"/>
              <w:ind w:left="26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00"/>
              <w:ind w:left="54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00"/>
              <w:ind w:left="300"/>
            </w:pPr>
            <w:r>
              <w:rPr>
                <w:rFonts w:hint="eastAsia" w:ascii="宋体" w:hAnsi="宋体" w:eastAsia="宋体" w:cs="宋体"/>
                <w:b/>
                <w:sz w:val="21"/>
              </w:rPr>
              <w:t>比例</w:t>
            </w:r>
          </w:p>
        </w:tc>
        <w:tc>
          <w:tcPr>
            <w:tcW w:w="1600" w:type="dxa"/>
            <w:tcMar>
              <w:top w:w="0" w:type="dxa"/>
              <w:left w:w="0" w:type="dxa"/>
              <w:bottom w:w="0" w:type="dxa"/>
              <w:right w:w="0" w:type="dxa"/>
            </w:tcMar>
          </w:tcPr>
          <w:p>
            <w:pPr>
              <w:spacing w:before="100"/>
              <w:ind w:left="580"/>
            </w:pPr>
            <w:r>
              <w:rPr>
                <w:rFonts w:hint="eastAsia" w:ascii="宋体" w:hAnsi="宋体" w:eastAsia="宋体" w:cs="宋体"/>
                <w:b/>
                <w:sz w:val="21"/>
              </w:rPr>
              <w:t>金额</w:t>
            </w:r>
          </w:p>
        </w:tc>
        <w:tc>
          <w:tcPr>
            <w:tcW w:w="1040" w:type="dxa"/>
            <w:tcMar>
              <w:top w:w="0" w:type="dxa"/>
              <w:left w:w="0" w:type="dxa"/>
              <w:bottom w:w="0" w:type="dxa"/>
              <w:right w:w="0" w:type="dxa"/>
            </w:tcMar>
          </w:tcPr>
          <w:p>
            <w:pPr>
              <w:spacing w:before="100"/>
              <w:ind w:left="300"/>
            </w:pPr>
            <w:r>
              <w:rPr>
                <w:rFonts w:hint="eastAsia" w:ascii="宋体" w:hAnsi="宋体" w:eastAsia="宋体" w:cs="宋体"/>
                <w:b/>
                <w:sz w:val="21"/>
              </w:rPr>
              <w:t>比例</w:t>
            </w:r>
          </w:p>
        </w:tc>
      </w:tr>
      <w:tr>
        <w:trPr>
          <w:trHeight w:val="540" w:hRule="exact"/>
        </w:trPr>
        <w:tc>
          <w:tcPr>
            <w:tcW w:w="1240" w:type="dxa"/>
            <w:tcMar>
              <w:top w:w="0" w:type="dxa"/>
              <w:left w:w="0" w:type="dxa"/>
              <w:bottom w:w="0" w:type="dxa"/>
              <w:right w:w="0" w:type="dxa"/>
            </w:tcMar>
          </w:tcPr>
          <w:p>
            <w:pPr>
              <w:spacing w:before="100"/>
              <w:ind w:left="200"/>
            </w:pPr>
            <w:r>
              <w:rPr>
                <w:rFonts w:hint="eastAsia" w:ascii="宋体" w:hAnsi="宋体" w:eastAsia="宋体" w:cs="宋体"/>
                <w:sz w:val="21"/>
              </w:rPr>
              <w:t>定制软件</w:t>
            </w:r>
          </w:p>
        </w:tc>
        <w:tc>
          <w:tcPr>
            <w:tcW w:w="16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c>
          <w:tcPr>
            <w:tcW w:w="10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116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08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p>
        </w:tc>
        <w:tc>
          <w:tcPr>
            <w:tcW w:w="160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112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p>
        </w:tc>
        <w:tc>
          <w:tcPr>
            <w:tcW w:w="104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r>
        <w:trPr>
          <w:trHeight w:val="520" w:hRule="exact"/>
        </w:trPr>
        <w:tc>
          <w:tcPr>
            <w:tcW w:w="1240" w:type="dxa"/>
            <w:tcMar>
              <w:top w:w="0" w:type="dxa"/>
              <w:left w:w="0" w:type="dxa"/>
              <w:bottom w:w="0" w:type="dxa"/>
              <w:right w:w="0" w:type="dxa"/>
            </w:tcMar>
          </w:tcPr>
          <w:p>
            <w:pPr>
              <w:spacing w:before="100"/>
            </w:pPr>
            <w:r>
              <w:rPr>
                <w:rFonts w:hint="eastAsia" w:ascii="宋体" w:hAnsi="宋体" w:eastAsia="宋体" w:cs="宋体"/>
                <w:sz w:val="21"/>
              </w:rPr>
              <w:t>产品化软件</w:t>
            </w:r>
          </w:p>
        </w:tc>
        <w:tc>
          <w:tcPr>
            <w:tcW w:w="166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p>
        </w:tc>
        <w:tc>
          <w:tcPr>
            <w:tcW w:w="10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c>
          <w:tcPr>
            <w:tcW w:w="108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160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c>
          <w:tcPr>
            <w:tcW w:w="104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p>
        </w:tc>
      </w:tr>
      <w:tr>
        <w:trPr>
          <w:trHeight w:val="620" w:hRule="exact"/>
        </w:trPr>
        <w:tc>
          <w:tcPr>
            <w:tcW w:w="1240" w:type="dxa"/>
            <w:tcMar>
              <w:top w:w="0" w:type="dxa"/>
              <w:left w:w="0" w:type="dxa"/>
              <w:bottom w:w="0" w:type="dxa"/>
              <w:right w:w="0" w:type="dxa"/>
            </w:tcMar>
          </w:tcPr>
          <w:p>
            <w:pPr>
              <w:spacing w:before="20"/>
            </w:pPr>
            <w:r>
              <w:rPr>
                <w:rFonts w:hint="eastAsia" w:ascii="宋体" w:hAnsi="宋体" w:eastAsia="宋体" w:cs="宋体"/>
                <w:sz w:val="21"/>
              </w:rPr>
              <w:t>软件运维服</w:t>
            </w:r>
          </w:p>
          <w:p>
            <w:pPr>
              <w:spacing w:before="60"/>
              <w:ind w:left="500"/>
            </w:pPr>
            <w:r>
              <w:rPr>
                <w:rFonts w:hint="eastAsia" w:ascii="宋体" w:hAnsi="宋体" w:eastAsia="宋体" w:cs="宋体"/>
                <w:sz w:val="21"/>
              </w:rPr>
              <w:t>务</w:t>
            </w:r>
          </w:p>
        </w:tc>
        <w:tc>
          <w:tcPr>
            <w:tcW w:w="1660" w:type="dxa"/>
            <w:tcMar>
              <w:top w:w="0" w:type="dxa"/>
              <w:left w:w="0" w:type="dxa"/>
              <w:bottom w:w="0" w:type="dxa"/>
              <w:right w:w="0" w:type="dxa"/>
            </w:tcMar>
          </w:tcPr>
          <w:p>
            <w:pPr>
              <w:spacing w:before="200"/>
              <w:ind w:left="380"/>
            </w:pP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1000" w:type="dxa"/>
            <w:tcMar>
              <w:top w:w="0" w:type="dxa"/>
              <w:left w:w="0" w:type="dxa"/>
              <w:bottom w:w="0" w:type="dxa"/>
              <w:right w:w="0" w:type="dxa"/>
            </w:tcMar>
          </w:tcPr>
          <w:p>
            <w:pPr>
              <w:spacing w:before="200"/>
              <w:ind w:left="28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200"/>
              <w:ind w:left="280"/>
            </w:pP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1080" w:type="dxa"/>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160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104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r>
      <w:tr>
        <w:trPr>
          <w:trHeight w:val="520" w:hRule="exact"/>
        </w:trPr>
        <w:tc>
          <w:tcPr>
            <w:tcW w:w="1240" w:type="dxa"/>
            <w:tcMar>
              <w:top w:w="0" w:type="dxa"/>
              <w:left w:w="0" w:type="dxa"/>
              <w:bottom w:w="0" w:type="dxa"/>
              <w:right w:w="0" w:type="dxa"/>
            </w:tcMar>
          </w:tcPr>
          <w:p>
            <w:pPr>
              <w:spacing w:before="100"/>
              <w:ind w:left="200"/>
            </w:pPr>
            <w:r>
              <w:rPr>
                <w:rFonts w:hint="eastAsia" w:ascii="宋体" w:hAnsi="宋体" w:eastAsia="宋体" w:cs="宋体"/>
                <w:sz w:val="21"/>
              </w:rPr>
              <w:t>系统集成</w:t>
            </w:r>
          </w:p>
        </w:tc>
        <w:tc>
          <w:tcPr>
            <w:tcW w:w="166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10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08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p>
        </w:tc>
        <w:tc>
          <w:tcPr>
            <w:tcW w:w="160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04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p>
        </w:tc>
      </w:tr>
      <w:tr>
        <w:trPr>
          <w:trHeight w:val="500" w:hRule="exact"/>
        </w:trPr>
        <w:tc>
          <w:tcPr>
            <w:tcW w:w="1240" w:type="dxa"/>
            <w:tcMar>
              <w:top w:w="0" w:type="dxa"/>
              <w:left w:w="0" w:type="dxa"/>
              <w:bottom w:w="0" w:type="dxa"/>
              <w:right w:w="0" w:type="dxa"/>
            </w:tcMar>
          </w:tcPr>
          <w:p>
            <w:pPr>
              <w:spacing w:before="120"/>
              <w:ind w:left="400"/>
            </w:pPr>
            <w:r>
              <w:rPr>
                <w:rFonts w:hint="eastAsia" w:ascii="宋体" w:hAnsi="宋体" w:eastAsia="宋体" w:cs="宋体"/>
                <w:b/>
                <w:sz w:val="21"/>
              </w:rPr>
              <w:t>合计</w:t>
            </w:r>
          </w:p>
        </w:tc>
        <w:tc>
          <w:tcPr>
            <w:tcW w:w="1660" w:type="dxa"/>
            <w:tcMar>
              <w:top w:w="0" w:type="dxa"/>
              <w:left w:w="0" w:type="dxa"/>
              <w:bottom w:w="0" w:type="dxa"/>
              <w:right w:w="0" w:type="dxa"/>
            </w:tcMar>
          </w:tcPr>
          <w:p>
            <w:pPr>
              <w:spacing w:before="180"/>
              <w:ind w:left="28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1000" w:type="dxa"/>
            <w:tcMar>
              <w:top w:w="0" w:type="dxa"/>
              <w:left w:w="0" w:type="dxa"/>
              <w:bottom w:w="0" w:type="dxa"/>
              <w:right w:w="0" w:type="dxa"/>
            </w:tcMar>
          </w:tcPr>
          <w:p>
            <w:pPr>
              <w:spacing w:before="160"/>
              <w:ind w:left="1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1080" w:type="dxa"/>
            <w:tcMar>
              <w:top w:w="0" w:type="dxa"/>
              <w:left w:w="0" w:type="dxa"/>
              <w:bottom w:w="0" w:type="dxa"/>
              <w:right w:w="0" w:type="dxa"/>
            </w:tcMar>
          </w:tcPr>
          <w:p>
            <w:pPr>
              <w:spacing w:before="18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600" w:type="dxa"/>
            <w:tcMar>
              <w:top w:w="0" w:type="dxa"/>
              <w:left w:w="0" w:type="dxa"/>
              <w:bottom w:w="0" w:type="dxa"/>
              <w:right w:w="0" w:type="dxa"/>
            </w:tcMar>
          </w:tcPr>
          <w:p>
            <w:pPr>
              <w:spacing w:before="180"/>
              <w:ind w:left="22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1040" w:type="dxa"/>
            <w:tcMar>
              <w:top w:w="0" w:type="dxa"/>
              <w:left w:w="0" w:type="dxa"/>
              <w:bottom w:w="0" w:type="dxa"/>
              <w:right w:w="0" w:type="dxa"/>
            </w:tcMar>
          </w:tcPr>
          <w:p>
            <w:pPr>
              <w:spacing w:before="180"/>
              <w:ind w:left="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按行业分类</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1-1-162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80"/>
        <w:gridCol w:w="1520"/>
        <w:gridCol w:w="1080"/>
        <w:gridCol w:w="1480"/>
        <w:gridCol w:w="1120"/>
        <w:gridCol w:w="1560"/>
        <w:gridCol w:w="1040"/>
      </w:tblGrid>
      <w:tr>
        <w:trPr>
          <w:trHeight w:val="540" w:hRule="exact"/>
        </w:trPr>
        <w:tc>
          <w:tcPr>
            <w:tcW w:w="1380" w:type="dxa"/>
            <w:vMerge w:val="restart"/>
            <w:tcMar>
              <w:top w:w="0" w:type="dxa"/>
              <w:left w:w="0" w:type="dxa"/>
              <w:bottom w:w="0" w:type="dxa"/>
              <w:right w:w="0" w:type="dxa"/>
            </w:tcMar>
          </w:tcPr>
          <w:p>
            <w:pPr>
              <w:spacing w:before="400"/>
              <w:ind w:left="260"/>
            </w:pPr>
            <w:r>
              <w:rPr>
                <w:rFonts w:hint="eastAsia" w:ascii="宋体" w:hAnsi="宋体" w:eastAsia="宋体" w:cs="宋体"/>
                <w:b/>
                <w:sz w:val="21"/>
              </w:rPr>
              <w:t>行业种类</w:t>
            </w:r>
          </w:p>
        </w:tc>
        <w:tc>
          <w:tcPr>
            <w:tcW w:w="2600" w:type="dxa"/>
            <w:gridSpan w:val="2"/>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600" w:type="dxa"/>
            <w:gridSpan w:val="2"/>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600" w:type="dxa"/>
            <w:gridSpan w:val="2"/>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40" w:hRule="exact"/>
        </w:trPr>
        <w:tc>
          <w:tcPr>
            <w:tcW w:w="1380" w:type="dxa"/>
            <w:vMerge w:val="continue"/>
            <w:tcMar>
              <w:top w:w="0" w:type="dxa"/>
              <w:left w:w="0" w:type="dxa"/>
              <w:bottom w:w="0" w:type="dxa"/>
              <w:right w:w="0" w:type="dxa"/>
            </w:tcMar>
          </w:tcPr>
          <w:p/>
        </w:tc>
        <w:tc>
          <w:tcPr>
            <w:tcW w:w="1520" w:type="dxa"/>
            <w:tcMar>
              <w:top w:w="0" w:type="dxa"/>
              <w:left w:w="0" w:type="dxa"/>
              <w:bottom w:w="0" w:type="dxa"/>
              <w:right w:w="0" w:type="dxa"/>
            </w:tcMar>
          </w:tcPr>
          <w:p>
            <w:pPr>
              <w:spacing w:before="100"/>
              <w:ind w:left="54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20"/>
              <w:ind w:left="320"/>
            </w:pPr>
            <w:r>
              <w:rPr>
                <w:rFonts w:hint="eastAsia" w:ascii="宋体" w:hAnsi="宋体" w:eastAsia="宋体" w:cs="宋体"/>
                <w:b/>
                <w:sz w:val="21"/>
              </w:rPr>
              <w:t>比例</w:t>
            </w:r>
          </w:p>
        </w:tc>
        <w:tc>
          <w:tcPr>
            <w:tcW w:w="1480" w:type="dxa"/>
            <w:tcMar>
              <w:top w:w="0" w:type="dxa"/>
              <w:left w:w="0" w:type="dxa"/>
              <w:bottom w:w="0" w:type="dxa"/>
              <w:right w:w="0" w:type="dxa"/>
            </w:tcMar>
          </w:tcPr>
          <w:p>
            <w:pPr>
              <w:spacing w:before="100"/>
              <w:ind w:left="500"/>
            </w:pPr>
            <w:r>
              <w:rPr>
                <w:rFonts w:hint="eastAsia" w:ascii="宋体" w:hAnsi="宋体" w:eastAsia="宋体" w:cs="宋体"/>
                <w:b/>
                <w:sz w:val="21"/>
              </w:rPr>
              <w:t>金额</w:t>
            </w:r>
          </w:p>
        </w:tc>
        <w:tc>
          <w:tcPr>
            <w:tcW w:w="1120" w:type="dxa"/>
            <w:tcMar>
              <w:top w:w="0" w:type="dxa"/>
              <w:left w:w="0" w:type="dxa"/>
              <w:bottom w:w="0" w:type="dxa"/>
              <w:right w:w="0" w:type="dxa"/>
            </w:tcMar>
          </w:tcPr>
          <w:p>
            <w:pPr>
              <w:spacing w:before="120"/>
              <w:ind w:left="32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00"/>
              <w:ind w:left="560"/>
            </w:pPr>
            <w:r>
              <w:rPr>
                <w:rFonts w:hint="eastAsia" w:ascii="宋体" w:hAnsi="宋体" w:eastAsia="宋体" w:cs="宋体"/>
                <w:b/>
                <w:sz w:val="21"/>
              </w:rPr>
              <w:t>金额</w:t>
            </w:r>
          </w:p>
        </w:tc>
        <w:tc>
          <w:tcPr>
            <w:tcW w:w="1040" w:type="dxa"/>
            <w:tcMar>
              <w:top w:w="0" w:type="dxa"/>
              <w:left w:w="0" w:type="dxa"/>
              <w:bottom w:w="0" w:type="dxa"/>
              <w:right w:w="0" w:type="dxa"/>
            </w:tcMar>
          </w:tcPr>
          <w:p>
            <w:pPr>
              <w:spacing w:before="120"/>
              <w:ind w:left="300"/>
            </w:pPr>
            <w:r>
              <w:rPr>
                <w:rFonts w:hint="eastAsia" w:ascii="宋体" w:hAnsi="宋体" w:eastAsia="宋体" w:cs="宋体"/>
                <w:b/>
                <w:sz w:val="21"/>
              </w:rPr>
              <w:t>比例</w:t>
            </w:r>
          </w:p>
        </w:tc>
      </w:tr>
      <w:tr>
        <w:trPr>
          <w:trHeight w:val="520" w:hRule="exact"/>
        </w:trPr>
        <w:tc>
          <w:tcPr>
            <w:tcW w:w="1380" w:type="dxa"/>
            <w:tcMar>
              <w:top w:w="0" w:type="dxa"/>
              <w:left w:w="0" w:type="dxa"/>
              <w:bottom w:w="0" w:type="dxa"/>
              <w:right w:w="0" w:type="dxa"/>
            </w:tcMar>
          </w:tcPr>
          <w:p>
            <w:pPr>
              <w:spacing w:before="100"/>
              <w:ind w:left="260"/>
            </w:pPr>
            <w:r>
              <w:rPr>
                <w:rFonts w:hint="eastAsia" w:ascii="宋体" w:hAnsi="宋体" w:eastAsia="宋体" w:cs="宋体"/>
                <w:sz w:val="21"/>
              </w:rPr>
              <w:t>金融行业</w:t>
            </w:r>
          </w:p>
        </w:tc>
        <w:tc>
          <w:tcPr>
            <w:tcW w:w="1520" w:type="dxa"/>
            <w:tcMar>
              <w:top w:w="0" w:type="dxa"/>
              <w:left w:w="0" w:type="dxa"/>
              <w:bottom w:w="0" w:type="dxa"/>
              <w:right w:w="0" w:type="dxa"/>
            </w:tcMar>
          </w:tcPr>
          <w:p>
            <w:pPr>
              <w:spacing w:before="160"/>
              <w:ind w:left="140"/>
            </w:pPr>
            <w:r>
              <w:rPr>
                <w:rFonts w:hint="eastAsia" w:ascii="Times New Roman" w:hAnsi="Times New Roman" w:eastAsia="Times New Roman" w:cs="Times New Roman"/>
                <w:sz w:val="21"/>
              </w:rPr>
              <w:t>177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108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60"/>
            </w:pPr>
            <w:r>
              <w:rPr>
                <w:rFonts w:hint="eastAsia" w:ascii="Times New Roman" w:hAnsi="Times New Roman" w:eastAsia="Times New Roman" w:cs="Times New Roman"/>
                <w:sz w:val="21"/>
              </w:rPr>
              <w:t>173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c>
          <w:tcPr>
            <w:tcW w:w="112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146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c>
          <w:tcPr>
            <w:tcW w:w="104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r>
      <w:tr>
        <w:trPr>
          <w:trHeight w:val="540" w:hRule="exact"/>
        </w:trPr>
        <w:tc>
          <w:tcPr>
            <w:tcW w:w="1380" w:type="dxa"/>
            <w:tcMar>
              <w:top w:w="0" w:type="dxa"/>
              <w:left w:w="0" w:type="dxa"/>
              <w:bottom w:w="0" w:type="dxa"/>
              <w:right w:w="0" w:type="dxa"/>
            </w:tcMar>
          </w:tcPr>
          <w:p>
            <w:pPr>
              <w:spacing w:before="100"/>
              <w:ind w:left="140"/>
            </w:pPr>
            <w:r>
              <w:rPr>
                <w:rFonts w:hint="eastAsia" w:ascii="宋体" w:hAnsi="宋体" w:eastAsia="宋体" w:cs="宋体"/>
                <w:sz w:val="21"/>
              </w:rPr>
              <w:t>非金融行业</w:t>
            </w:r>
          </w:p>
        </w:tc>
        <w:tc>
          <w:tcPr>
            <w:tcW w:w="152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108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40"/>
              <w:ind w:left="20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112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04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480" w:hRule="exact"/>
        </w:trPr>
        <w:tc>
          <w:tcPr>
            <w:tcW w:w="1380" w:type="dxa"/>
            <w:tcMar>
              <w:top w:w="0" w:type="dxa"/>
              <w:left w:w="0" w:type="dxa"/>
              <w:bottom w:w="0" w:type="dxa"/>
              <w:right w:w="0" w:type="dxa"/>
            </w:tcMar>
          </w:tcPr>
          <w:p>
            <w:pPr>
              <w:spacing w:before="100"/>
              <w:ind w:left="460"/>
            </w:pPr>
            <w:r>
              <w:rPr>
                <w:rFonts w:hint="eastAsia" w:ascii="宋体" w:hAnsi="宋体" w:eastAsia="宋体" w:cs="宋体"/>
                <w:b/>
                <w:sz w:val="21"/>
              </w:rPr>
              <w:t>合计</w:t>
            </w:r>
          </w:p>
        </w:tc>
        <w:tc>
          <w:tcPr>
            <w:tcW w:w="1520" w:type="dxa"/>
            <w:tcMar>
              <w:top w:w="0" w:type="dxa"/>
              <w:left w:w="0" w:type="dxa"/>
              <w:bottom w:w="0" w:type="dxa"/>
              <w:right w:w="0" w:type="dxa"/>
            </w:tcMar>
          </w:tcPr>
          <w:p>
            <w:pPr>
              <w:spacing w:before="160"/>
              <w:ind w:left="14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1080" w:type="dxa"/>
            <w:tcMar>
              <w:top w:w="0" w:type="dxa"/>
              <w:left w:w="0" w:type="dxa"/>
              <w:bottom w:w="0" w:type="dxa"/>
              <w:right w:w="0" w:type="dxa"/>
            </w:tcMar>
          </w:tcPr>
          <w:p>
            <w:pPr>
              <w:spacing w:before="16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80" w:type="dxa"/>
            <w:tcMar>
              <w:top w:w="0" w:type="dxa"/>
              <w:left w:w="0" w:type="dxa"/>
              <w:bottom w:w="0" w:type="dxa"/>
              <w:right w:w="0" w:type="dxa"/>
            </w:tcMar>
          </w:tcPr>
          <w:p>
            <w:pPr>
              <w:spacing w:before="16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1120" w:type="dxa"/>
            <w:tcMar>
              <w:top w:w="0" w:type="dxa"/>
              <w:left w:w="0" w:type="dxa"/>
              <w:bottom w:w="0" w:type="dxa"/>
              <w:right w:w="0" w:type="dxa"/>
            </w:tcMar>
          </w:tcPr>
          <w:p>
            <w:pPr>
              <w:spacing w:before="160"/>
              <w:ind w:left="2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60"/>
              <w:ind w:left="18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1040" w:type="dxa"/>
            <w:tcMar>
              <w:top w:w="0" w:type="dxa"/>
              <w:left w:w="0" w:type="dxa"/>
              <w:bottom w:w="0" w:type="dxa"/>
              <w:right w:w="0" w:type="dxa"/>
            </w:tcMar>
          </w:tcPr>
          <w:p>
            <w:pPr>
              <w:spacing w:before="160"/>
              <w:ind w:left="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0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按地区分类</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10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80"/>
        <w:gridCol w:w="1520"/>
        <w:gridCol w:w="1080"/>
        <w:gridCol w:w="1480"/>
        <w:gridCol w:w="1120"/>
        <w:gridCol w:w="1560"/>
        <w:gridCol w:w="1040"/>
      </w:tblGrid>
      <w:tr>
        <w:trPr>
          <w:trHeight w:val="520" w:hRule="exact"/>
        </w:trPr>
        <w:tc>
          <w:tcPr>
            <w:tcW w:w="1380" w:type="dxa"/>
            <w:vMerge w:val="restart"/>
            <w:tcMar>
              <w:top w:w="0" w:type="dxa"/>
              <w:left w:w="0" w:type="dxa"/>
              <w:bottom w:w="0" w:type="dxa"/>
              <w:right w:w="0" w:type="dxa"/>
            </w:tcMar>
          </w:tcPr>
          <w:p>
            <w:pPr>
              <w:spacing w:before="380"/>
              <w:ind w:left="260"/>
            </w:pPr>
            <w:r>
              <w:rPr>
                <w:rFonts w:hint="eastAsia" w:ascii="宋体" w:hAnsi="宋体" w:eastAsia="宋体" w:cs="宋体"/>
                <w:b/>
                <w:sz w:val="21"/>
              </w:rPr>
              <w:t>地区名称</w:t>
            </w:r>
          </w:p>
        </w:tc>
        <w:tc>
          <w:tcPr>
            <w:tcW w:w="2600" w:type="dxa"/>
            <w:gridSpan w:val="2"/>
            <w:tcMar>
              <w:top w:w="0" w:type="dxa"/>
              <w:left w:w="0" w:type="dxa"/>
              <w:bottom w:w="0" w:type="dxa"/>
              <w:right w:w="0" w:type="dxa"/>
            </w:tcMar>
          </w:tcPr>
          <w:p>
            <w:pPr>
              <w:spacing w:before="100"/>
              <w:ind w:left="8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600" w:type="dxa"/>
            <w:gridSpan w:val="2"/>
            <w:tcMar>
              <w:top w:w="0" w:type="dxa"/>
              <w:left w:w="0" w:type="dxa"/>
              <w:bottom w:w="0" w:type="dxa"/>
              <w:right w:w="0" w:type="dxa"/>
            </w:tcMar>
          </w:tcPr>
          <w:p>
            <w:pPr>
              <w:spacing w:before="100"/>
              <w:ind w:left="84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600" w:type="dxa"/>
            <w:gridSpan w:val="2"/>
            <w:tcMar>
              <w:top w:w="0" w:type="dxa"/>
              <w:left w:w="0" w:type="dxa"/>
              <w:bottom w:w="0" w:type="dxa"/>
              <w:right w:w="0" w:type="dxa"/>
            </w:tcMar>
          </w:tcPr>
          <w:p>
            <w:pPr>
              <w:spacing w:before="100"/>
              <w:ind w:left="8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40" w:hRule="exact"/>
        </w:trPr>
        <w:tc>
          <w:tcPr>
            <w:tcW w:w="1380" w:type="dxa"/>
            <w:vMerge w:val="continue"/>
            <w:tcMar>
              <w:top w:w="0" w:type="dxa"/>
              <w:left w:w="0" w:type="dxa"/>
              <w:bottom w:w="0" w:type="dxa"/>
              <w:right w:w="0" w:type="dxa"/>
            </w:tcMar>
          </w:tcPr>
          <w:p/>
        </w:tc>
        <w:tc>
          <w:tcPr>
            <w:tcW w:w="1520" w:type="dxa"/>
            <w:tcMar>
              <w:top w:w="0" w:type="dxa"/>
              <w:left w:w="0" w:type="dxa"/>
              <w:bottom w:w="0" w:type="dxa"/>
              <w:right w:w="0" w:type="dxa"/>
            </w:tcMar>
          </w:tcPr>
          <w:p>
            <w:pPr>
              <w:spacing w:before="100"/>
              <w:ind w:left="54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00"/>
              <w:ind w:left="320"/>
            </w:pPr>
            <w:r>
              <w:rPr>
                <w:rFonts w:hint="eastAsia" w:ascii="宋体" w:hAnsi="宋体" w:eastAsia="宋体" w:cs="宋体"/>
                <w:b/>
                <w:sz w:val="21"/>
              </w:rPr>
              <w:t>比例</w:t>
            </w:r>
          </w:p>
        </w:tc>
        <w:tc>
          <w:tcPr>
            <w:tcW w:w="1480" w:type="dxa"/>
            <w:tcMar>
              <w:top w:w="0" w:type="dxa"/>
              <w:left w:w="0" w:type="dxa"/>
              <w:bottom w:w="0" w:type="dxa"/>
              <w:right w:w="0" w:type="dxa"/>
            </w:tcMar>
          </w:tcPr>
          <w:p>
            <w:pPr>
              <w:spacing w:before="100"/>
              <w:ind w:left="520"/>
            </w:pPr>
            <w:r>
              <w:rPr>
                <w:rFonts w:hint="eastAsia" w:ascii="宋体" w:hAnsi="宋体" w:eastAsia="宋体" w:cs="宋体"/>
                <w:b/>
                <w:sz w:val="21"/>
              </w:rPr>
              <w:t>金额</w:t>
            </w:r>
          </w:p>
        </w:tc>
        <w:tc>
          <w:tcPr>
            <w:tcW w:w="1120" w:type="dxa"/>
            <w:tcMar>
              <w:top w:w="0" w:type="dxa"/>
              <w:left w:w="0" w:type="dxa"/>
              <w:bottom w:w="0" w:type="dxa"/>
              <w:right w:w="0" w:type="dxa"/>
            </w:tcMar>
          </w:tcPr>
          <w:p>
            <w:pPr>
              <w:spacing w:before="100"/>
              <w:ind w:left="32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00"/>
              <w:ind w:left="560"/>
            </w:pPr>
            <w:r>
              <w:rPr>
                <w:rFonts w:hint="eastAsia" w:ascii="宋体" w:hAnsi="宋体" w:eastAsia="宋体" w:cs="宋体"/>
                <w:b/>
                <w:sz w:val="21"/>
              </w:rPr>
              <w:t>金额</w:t>
            </w:r>
          </w:p>
        </w:tc>
        <w:tc>
          <w:tcPr>
            <w:tcW w:w="1040" w:type="dxa"/>
            <w:tcMar>
              <w:top w:w="0" w:type="dxa"/>
              <w:left w:w="0" w:type="dxa"/>
              <w:bottom w:w="0" w:type="dxa"/>
              <w:right w:w="0" w:type="dxa"/>
            </w:tcMar>
          </w:tcPr>
          <w:p>
            <w:pPr>
              <w:spacing w:before="100"/>
              <w:ind w:left="300"/>
            </w:pPr>
            <w:r>
              <w:rPr>
                <w:rFonts w:hint="eastAsia" w:ascii="宋体" w:hAnsi="宋体" w:eastAsia="宋体" w:cs="宋体"/>
                <w:b/>
                <w:sz w:val="21"/>
              </w:rPr>
              <w:t>比例</w:t>
            </w:r>
          </w:p>
        </w:tc>
      </w:tr>
      <w:tr>
        <w:trPr>
          <w:trHeight w:val="520" w:hRule="exact"/>
        </w:trPr>
        <w:tc>
          <w:tcPr>
            <w:tcW w:w="1380" w:type="dxa"/>
            <w:tcMar>
              <w:top w:w="0" w:type="dxa"/>
              <w:left w:w="0" w:type="dxa"/>
              <w:bottom w:w="0" w:type="dxa"/>
              <w:right w:w="0" w:type="dxa"/>
            </w:tcMar>
          </w:tcPr>
          <w:p>
            <w:pPr>
              <w:spacing w:before="100"/>
              <w:ind w:left="260"/>
            </w:pPr>
            <w:r>
              <w:rPr>
                <w:rFonts w:hint="eastAsia" w:ascii="宋体" w:hAnsi="宋体" w:eastAsia="宋体" w:cs="宋体"/>
                <w:sz w:val="21"/>
              </w:rPr>
              <w:t>华东地区</w:t>
            </w:r>
          </w:p>
        </w:tc>
        <w:tc>
          <w:tcPr>
            <w:tcW w:w="1520" w:type="dxa"/>
            <w:tcMar>
              <w:top w:w="0" w:type="dxa"/>
              <w:left w:w="0" w:type="dxa"/>
              <w:bottom w:w="0" w:type="dxa"/>
              <w:right w:w="0" w:type="dxa"/>
            </w:tcMar>
          </w:tcPr>
          <w:p>
            <w:pPr>
              <w:spacing w:before="160"/>
              <w:ind w:left="140"/>
            </w:pPr>
            <w:r>
              <w:rPr>
                <w:rFonts w:hint="eastAsia" w:ascii="Times New Roman" w:hAnsi="Times New Roman" w:eastAsia="Times New Roman" w:cs="Times New Roman"/>
                <w:sz w:val="21"/>
              </w:rPr>
              <w:t>107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108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112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04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2"/>
              </w:rPr>
              <w:t>47.95%</w:t>
            </w:r>
          </w:p>
        </w:tc>
      </w:tr>
      <w:tr>
        <w:trPr>
          <w:trHeight w:val="540" w:hRule="exact"/>
        </w:trPr>
        <w:tc>
          <w:tcPr>
            <w:tcW w:w="1380" w:type="dxa"/>
            <w:tcMar>
              <w:top w:w="0" w:type="dxa"/>
              <w:left w:w="0" w:type="dxa"/>
              <w:bottom w:w="0" w:type="dxa"/>
              <w:right w:w="0" w:type="dxa"/>
            </w:tcMar>
          </w:tcPr>
          <w:p>
            <w:pPr>
              <w:spacing w:before="120"/>
              <w:ind w:left="260"/>
            </w:pPr>
            <w:r>
              <w:rPr>
                <w:rFonts w:hint="eastAsia" w:ascii="宋体" w:hAnsi="宋体" w:eastAsia="宋体" w:cs="宋体"/>
                <w:sz w:val="21"/>
              </w:rPr>
              <w:t>华北地区</w:t>
            </w:r>
          </w:p>
        </w:tc>
        <w:tc>
          <w:tcPr>
            <w:tcW w:w="152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108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40"/>
              <w:ind w:left="20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112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104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2"/>
              </w:rPr>
              <w:t>25.59%</w:t>
            </w:r>
          </w:p>
        </w:tc>
      </w:tr>
      <w:tr>
        <w:trPr>
          <w:trHeight w:val="520" w:hRule="exact"/>
        </w:trPr>
        <w:tc>
          <w:tcPr>
            <w:tcW w:w="1380" w:type="dxa"/>
            <w:tcMar>
              <w:top w:w="0" w:type="dxa"/>
              <w:left w:w="0" w:type="dxa"/>
              <w:bottom w:w="0" w:type="dxa"/>
              <w:right w:w="0" w:type="dxa"/>
            </w:tcMar>
          </w:tcPr>
          <w:p>
            <w:pPr>
              <w:spacing w:before="120"/>
              <w:ind w:left="260"/>
            </w:pPr>
            <w:r>
              <w:rPr>
                <w:rFonts w:hint="eastAsia" w:ascii="宋体" w:hAnsi="宋体" w:eastAsia="宋体" w:cs="宋体"/>
                <w:sz w:val="21"/>
              </w:rPr>
              <w:t>华南地区</w:t>
            </w:r>
          </w:p>
        </w:tc>
        <w:tc>
          <w:tcPr>
            <w:tcW w:w="152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108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12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104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2"/>
              </w:rPr>
              <w:t>14.07%</w:t>
            </w:r>
          </w:p>
        </w:tc>
      </w:tr>
      <w:tr>
        <w:trPr>
          <w:trHeight w:val="540" w:hRule="exact"/>
        </w:trPr>
        <w:tc>
          <w:tcPr>
            <w:tcW w:w="1380" w:type="dxa"/>
            <w:tcMar>
              <w:top w:w="0" w:type="dxa"/>
              <w:left w:w="0" w:type="dxa"/>
              <w:bottom w:w="0" w:type="dxa"/>
              <w:right w:w="0" w:type="dxa"/>
            </w:tcMar>
          </w:tcPr>
          <w:p>
            <w:pPr>
              <w:spacing w:before="120"/>
              <w:ind w:left="260"/>
            </w:pPr>
            <w:r>
              <w:rPr>
                <w:rFonts w:hint="eastAsia" w:ascii="宋体" w:hAnsi="宋体" w:eastAsia="宋体" w:cs="宋体"/>
                <w:sz w:val="21"/>
              </w:rPr>
              <w:t>东北地区</w:t>
            </w:r>
          </w:p>
        </w:tc>
        <w:tc>
          <w:tcPr>
            <w:tcW w:w="1520" w:type="dxa"/>
            <w:tcMar>
              <w:top w:w="0" w:type="dxa"/>
              <w:left w:w="0" w:type="dxa"/>
              <w:bottom w:w="0" w:type="dxa"/>
              <w:right w:w="0" w:type="dxa"/>
            </w:tcMar>
          </w:tcPr>
          <w:p>
            <w:pPr>
              <w:spacing w:before="180"/>
              <w:ind w:left="24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10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80"/>
              <w:ind w:left="20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112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c>
          <w:tcPr>
            <w:tcW w:w="104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2"/>
              </w:rPr>
              <w:t>7.69%</w:t>
            </w:r>
          </w:p>
        </w:tc>
      </w:tr>
      <w:tr>
        <w:trPr>
          <w:trHeight w:val="540" w:hRule="exact"/>
        </w:trPr>
        <w:tc>
          <w:tcPr>
            <w:tcW w:w="1380" w:type="dxa"/>
            <w:tcMar>
              <w:top w:w="0" w:type="dxa"/>
              <w:left w:w="0" w:type="dxa"/>
              <w:bottom w:w="0" w:type="dxa"/>
              <w:right w:w="0" w:type="dxa"/>
            </w:tcMar>
          </w:tcPr>
          <w:p>
            <w:pPr>
              <w:spacing w:before="120"/>
              <w:ind w:left="260"/>
            </w:pPr>
            <w:r>
              <w:rPr>
                <w:rFonts w:hint="eastAsia" w:ascii="宋体" w:hAnsi="宋体" w:eastAsia="宋体" w:cs="宋体"/>
                <w:sz w:val="21"/>
              </w:rPr>
              <w:t>西南地区</w:t>
            </w:r>
          </w:p>
        </w:tc>
        <w:tc>
          <w:tcPr>
            <w:tcW w:w="15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108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112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04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2"/>
              </w:rPr>
              <w:t>1.91%</w:t>
            </w:r>
          </w:p>
        </w:tc>
      </w:tr>
      <w:tr>
        <w:trPr>
          <w:trHeight w:val="520" w:hRule="exact"/>
        </w:trPr>
        <w:tc>
          <w:tcPr>
            <w:tcW w:w="1380" w:type="dxa"/>
            <w:tcMar>
              <w:top w:w="0" w:type="dxa"/>
              <w:left w:w="0" w:type="dxa"/>
              <w:bottom w:w="0" w:type="dxa"/>
              <w:right w:w="0" w:type="dxa"/>
            </w:tcMar>
          </w:tcPr>
          <w:p>
            <w:pPr>
              <w:spacing w:before="100"/>
              <w:ind w:left="260"/>
            </w:pPr>
            <w:r>
              <w:rPr>
                <w:rFonts w:hint="eastAsia" w:ascii="宋体" w:hAnsi="宋体" w:eastAsia="宋体" w:cs="宋体"/>
                <w:sz w:val="21"/>
              </w:rPr>
              <w:t>西北地区</w:t>
            </w:r>
          </w:p>
        </w:tc>
        <w:tc>
          <w:tcPr>
            <w:tcW w:w="15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10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c>
          <w:tcPr>
            <w:tcW w:w="11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c>
          <w:tcPr>
            <w:tcW w:w="104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2"/>
              </w:rPr>
              <w:t>2.80%</w:t>
            </w:r>
          </w:p>
        </w:tc>
      </w:tr>
      <w:tr>
        <w:trPr>
          <w:trHeight w:val="500" w:hRule="exact"/>
        </w:trPr>
        <w:tc>
          <w:tcPr>
            <w:tcW w:w="1380" w:type="dxa"/>
            <w:tcMar>
              <w:top w:w="0" w:type="dxa"/>
              <w:left w:w="0" w:type="dxa"/>
              <w:bottom w:w="0" w:type="dxa"/>
              <w:right w:w="0" w:type="dxa"/>
            </w:tcMar>
          </w:tcPr>
          <w:p>
            <w:pPr>
              <w:spacing w:before="120"/>
              <w:ind w:left="460"/>
            </w:pPr>
            <w:r>
              <w:rPr>
                <w:rFonts w:hint="eastAsia" w:ascii="宋体" w:hAnsi="宋体" w:eastAsia="宋体" w:cs="宋体"/>
                <w:b/>
                <w:sz w:val="21"/>
              </w:rPr>
              <w:t>合计</w:t>
            </w:r>
          </w:p>
        </w:tc>
        <w:tc>
          <w:tcPr>
            <w:tcW w:w="1520" w:type="dxa"/>
            <w:tcMar>
              <w:top w:w="0" w:type="dxa"/>
              <w:left w:w="0" w:type="dxa"/>
              <w:bottom w:w="0" w:type="dxa"/>
              <w:right w:w="0" w:type="dxa"/>
            </w:tcMar>
          </w:tcPr>
          <w:p>
            <w:pPr>
              <w:spacing w:before="140"/>
              <w:ind w:left="14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1080" w:type="dxa"/>
            <w:tcMar>
              <w:top w:w="0" w:type="dxa"/>
              <w:left w:w="0" w:type="dxa"/>
              <w:bottom w:w="0" w:type="dxa"/>
              <w:right w:w="0" w:type="dxa"/>
            </w:tcMar>
          </w:tcPr>
          <w:p>
            <w:pPr>
              <w:spacing w:before="14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80" w:type="dxa"/>
            <w:tcMar>
              <w:top w:w="0" w:type="dxa"/>
              <w:left w:w="0" w:type="dxa"/>
              <w:bottom w:w="0" w:type="dxa"/>
              <w:right w:w="0" w:type="dxa"/>
            </w:tcMar>
          </w:tcPr>
          <w:p>
            <w:pPr>
              <w:spacing w:before="140"/>
              <w:ind w:left="10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1120" w:type="dxa"/>
            <w:tcMar>
              <w:top w:w="0" w:type="dxa"/>
              <w:left w:w="0" w:type="dxa"/>
              <w:bottom w:w="0" w:type="dxa"/>
              <w:right w:w="0" w:type="dxa"/>
            </w:tcMar>
          </w:tcPr>
          <w:p>
            <w:pPr>
              <w:spacing w:before="140"/>
              <w:ind w:left="2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40"/>
              <w:ind w:left="18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1040" w:type="dxa"/>
            <w:tcMar>
              <w:top w:w="0" w:type="dxa"/>
              <w:left w:w="0" w:type="dxa"/>
              <w:bottom w:w="0" w:type="dxa"/>
              <w:right w:w="0" w:type="dxa"/>
            </w:tcMar>
          </w:tcPr>
          <w:p>
            <w:pPr>
              <w:spacing w:before="160"/>
              <w:ind w:left="140"/>
            </w:pPr>
            <w:r>
              <w:rPr>
                <w:rFonts w:hint="eastAsia" w:ascii="Times New Roman Bold" w:hAnsi="Times New Roman Bold" w:eastAsia="Times New Roman Bold" w:cs="Times New Roman Bold"/>
                <w:b/>
                <w:sz w:val="22"/>
              </w:rPr>
              <w:t>100.00%</w:t>
            </w:r>
          </w:p>
        </w:tc>
      </w:tr>
    </w:tbl>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主要客户的销售情况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本公司在报告期内前五大客户情况如下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340" w:type="auto"/>
        <w:tblInd w:w="14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040"/>
        <w:gridCol w:w="780"/>
        <w:gridCol w:w="2960"/>
        <w:gridCol w:w="2620"/>
        <w:gridCol w:w="1920"/>
      </w:tblGrid>
      <w:tr>
        <w:trPr>
          <w:trHeight w:val="460" w:hRule="exact"/>
        </w:trPr>
        <w:tc>
          <w:tcPr>
            <w:tcW w:w="1040" w:type="dxa"/>
            <w:tcMar>
              <w:top w:w="0" w:type="dxa"/>
              <w:left w:w="0" w:type="dxa"/>
              <w:bottom w:w="0" w:type="dxa"/>
              <w:right w:w="0" w:type="dxa"/>
            </w:tcMar>
          </w:tcPr>
          <w:p>
            <w:pPr>
              <w:spacing w:before="120"/>
              <w:ind w:left="300"/>
            </w:pPr>
            <w:r>
              <w:rPr>
                <w:rFonts w:hint="eastAsia" w:ascii="宋体" w:hAnsi="宋体" w:eastAsia="宋体" w:cs="宋体"/>
                <w:b/>
                <w:sz w:val="21"/>
              </w:rPr>
              <w:t>期间</w:t>
            </w:r>
          </w:p>
        </w:tc>
        <w:tc>
          <w:tcPr>
            <w:tcW w:w="780" w:type="dxa"/>
            <w:tcMar>
              <w:top w:w="0" w:type="dxa"/>
              <w:left w:w="0" w:type="dxa"/>
              <w:bottom w:w="0" w:type="dxa"/>
              <w:right w:w="0" w:type="dxa"/>
            </w:tcMar>
          </w:tcPr>
          <w:p>
            <w:pPr>
              <w:spacing w:before="120"/>
              <w:ind w:left="160"/>
            </w:pPr>
            <w:r>
              <w:rPr>
                <w:rFonts w:hint="eastAsia" w:ascii="宋体" w:hAnsi="宋体" w:eastAsia="宋体" w:cs="宋体"/>
                <w:b/>
                <w:sz w:val="21"/>
              </w:rPr>
              <w:t>序号</w:t>
            </w:r>
          </w:p>
        </w:tc>
        <w:tc>
          <w:tcPr>
            <w:tcW w:w="2960" w:type="dxa"/>
            <w:tcMar>
              <w:top w:w="0" w:type="dxa"/>
              <w:left w:w="0" w:type="dxa"/>
              <w:bottom w:w="0" w:type="dxa"/>
              <w:right w:w="0" w:type="dxa"/>
            </w:tcMar>
          </w:tcPr>
          <w:p>
            <w:pPr>
              <w:spacing w:before="120"/>
              <w:ind w:left="1040"/>
            </w:pPr>
            <w:r>
              <w:rPr>
                <w:rFonts w:hint="eastAsia" w:ascii="宋体" w:hAnsi="宋体" w:eastAsia="宋体" w:cs="宋体"/>
                <w:b/>
                <w:sz w:val="21"/>
              </w:rPr>
              <w:t>客户名称</w:t>
            </w:r>
          </w:p>
        </w:tc>
        <w:tc>
          <w:tcPr>
            <w:tcW w:w="2620" w:type="dxa"/>
            <w:tcMar>
              <w:top w:w="0" w:type="dxa"/>
              <w:left w:w="0" w:type="dxa"/>
              <w:bottom w:w="0" w:type="dxa"/>
              <w:right w:w="0" w:type="dxa"/>
            </w:tcMar>
          </w:tcPr>
          <w:p>
            <w:pPr>
              <w:spacing w:before="120"/>
              <w:ind w:left="980"/>
            </w:pPr>
            <w:r>
              <w:rPr>
                <w:rFonts w:hint="eastAsia" w:ascii="宋体" w:hAnsi="宋体" w:eastAsia="宋体" w:cs="宋体"/>
                <w:b/>
                <w:sz w:val="21"/>
              </w:rPr>
              <w:t>销售额</w:t>
            </w:r>
          </w:p>
        </w:tc>
        <w:tc>
          <w:tcPr>
            <w:tcW w:w="1920" w:type="dxa"/>
            <w:tcMar>
              <w:top w:w="0" w:type="dxa"/>
              <w:left w:w="0" w:type="dxa"/>
              <w:bottom w:w="0" w:type="dxa"/>
              <w:right w:w="0" w:type="dxa"/>
            </w:tcMar>
          </w:tcPr>
          <w:p>
            <w:pPr>
              <w:spacing w:before="100"/>
              <w:ind w:left="200"/>
            </w:pPr>
            <w:r>
              <w:rPr>
                <w:rFonts w:hint="eastAsia" w:ascii="宋体" w:hAnsi="宋体" w:eastAsia="宋体" w:cs="宋体"/>
                <w:b/>
                <w:sz w:val="21"/>
              </w:rPr>
              <w:t>占营业收入比例</w:t>
            </w:r>
          </w:p>
        </w:tc>
      </w:tr>
      <w:tr>
        <w:trPr>
          <w:trHeight w:val="480" w:hRule="exact"/>
        </w:trPr>
        <w:tc>
          <w:tcPr>
            <w:tcW w:w="1040" w:type="dxa"/>
            <w:vMerge w:val="restart"/>
            <w:tcMar>
              <w:top w:w="0" w:type="dxa"/>
              <w:left w:w="0" w:type="dxa"/>
              <w:bottom w:w="0" w:type="dxa"/>
              <w:right w:w="0" w:type="dxa"/>
            </w:tcMar>
          </w:tcPr>
          <w:p>
            <w:pPr>
              <w:spacing w:before="920"/>
              <w:ind w:left="160"/>
            </w:pPr>
            <w:r>
              <w:rPr>
                <w:rFonts w:hint="eastAsia" w:ascii="Times New Roman" w:hAnsi="Times New Roman" w:eastAsia="Times New Roman" w:cs="Times New Roman"/>
                <w:sz w:val="21"/>
              </w:rPr>
              <w:t>2016</w:t>
            </w:r>
            <w:r>
              <w:rPr>
                <w:rFonts w:hint="eastAsia" w:ascii="宋体" w:hAnsi="宋体" w:eastAsia="宋体" w:cs="宋体"/>
                <w:sz w:val="21"/>
              </w:rPr>
              <w:t xml:space="preserve"> 年</w:t>
            </w:r>
          </w:p>
          <w:p>
            <w:pPr>
              <w:spacing w:before="100"/>
              <w:ind w:left="400"/>
            </w:pPr>
            <w:r>
              <w:rPr>
                <w:rFonts w:hint="eastAsia" w:ascii="宋体" w:hAnsi="宋体" w:eastAsia="宋体" w:cs="宋体"/>
                <w:sz w:val="21"/>
              </w:rPr>
              <w:t>度</w:t>
            </w:r>
          </w:p>
        </w:tc>
        <w:tc>
          <w:tcPr>
            <w:tcW w:w="78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1</w:t>
            </w:r>
          </w:p>
        </w:tc>
        <w:tc>
          <w:tcPr>
            <w:tcW w:w="2960" w:type="dxa"/>
            <w:tcMar>
              <w:top w:w="0" w:type="dxa"/>
              <w:left w:w="0" w:type="dxa"/>
              <w:bottom w:w="0" w:type="dxa"/>
              <w:right w:w="0" w:type="dxa"/>
            </w:tcMar>
          </w:tcPr>
          <w:p>
            <w:pPr>
              <w:spacing w:before="120"/>
            </w:pPr>
            <w:r>
              <w:rPr>
                <w:rFonts w:hint="eastAsia" w:ascii="宋体" w:hAnsi="宋体" w:eastAsia="宋体" w:cs="宋体"/>
                <w:sz w:val="21"/>
              </w:rPr>
              <w:t>东兴证券股份有限公司</w:t>
            </w:r>
          </w:p>
        </w:tc>
        <w:tc>
          <w:tcPr>
            <w:tcW w:w="2620" w:type="dxa"/>
            <w:tcMar>
              <w:top w:w="0" w:type="dxa"/>
              <w:left w:w="0" w:type="dxa"/>
              <w:bottom w:w="0" w:type="dxa"/>
              <w:right w:w="0" w:type="dxa"/>
            </w:tcMar>
          </w:tcPr>
          <w:p>
            <w:pPr>
              <w:spacing w:before="180"/>
              <w:ind w:left="14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p>
        </w:tc>
        <w:tc>
          <w:tcPr>
            <w:tcW w:w="1920" w:type="dxa"/>
            <w:tcMar>
              <w:top w:w="0" w:type="dxa"/>
              <w:left w:w="0" w:type="dxa"/>
              <w:bottom w:w="0" w:type="dxa"/>
              <w:right w:w="0" w:type="dxa"/>
            </w:tcMar>
          </w:tcPr>
          <w:p>
            <w:pPr>
              <w:spacing w:before="180"/>
              <w:ind w:left="12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p>
        </w:tc>
      </w:tr>
      <w:tr>
        <w:trPr>
          <w:trHeight w:val="48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2</w:t>
            </w:r>
          </w:p>
        </w:tc>
        <w:tc>
          <w:tcPr>
            <w:tcW w:w="2960" w:type="dxa"/>
            <w:tcMar>
              <w:top w:w="0" w:type="dxa"/>
              <w:left w:w="0" w:type="dxa"/>
              <w:bottom w:w="0" w:type="dxa"/>
              <w:right w:w="0" w:type="dxa"/>
            </w:tcMar>
          </w:tcPr>
          <w:p>
            <w:pPr>
              <w:spacing w:before="120"/>
            </w:pPr>
            <w:r>
              <w:rPr>
                <w:rFonts w:hint="eastAsia" w:ascii="宋体" w:hAnsi="宋体" w:eastAsia="宋体" w:cs="宋体"/>
                <w:sz w:val="21"/>
              </w:rPr>
              <w:t>中信证券及其控股子公司</w:t>
            </w:r>
          </w:p>
        </w:tc>
        <w:tc>
          <w:tcPr>
            <w:tcW w:w="262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19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p>
        </w:tc>
      </w:tr>
      <w:tr>
        <w:trPr>
          <w:trHeight w:val="48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3</w:t>
            </w:r>
          </w:p>
        </w:tc>
        <w:tc>
          <w:tcPr>
            <w:tcW w:w="2960" w:type="dxa"/>
            <w:tcMar>
              <w:top w:w="0" w:type="dxa"/>
              <w:left w:w="0" w:type="dxa"/>
              <w:bottom w:w="0" w:type="dxa"/>
              <w:right w:w="0" w:type="dxa"/>
            </w:tcMar>
          </w:tcPr>
          <w:p>
            <w:pPr>
              <w:spacing w:before="100"/>
            </w:pPr>
            <w:r>
              <w:rPr>
                <w:rFonts w:hint="eastAsia" w:ascii="宋体" w:hAnsi="宋体" w:eastAsia="宋体" w:cs="宋体"/>
                <w:sz w:val="21"/>
              </w:rPr>
              <w:t>华鑫证券有限责任公司</w:t>
            </w:r>
          </w:p>
        </w:tc>
        <w:tc>
          <w:tcPr>
            <w:tcW w:w="2620" w:type="dxa"/>
            <w:tcMar>
              <w:top w:w="0" w:type="dxa"/>
              <w:left w:w="0" w:type="dxa"/>
              <w:bottom w:w="0" w:type="dxa"/>
              <w:right w:w="0" w:type="dxa"/>
            </w:tcMar>
          </w:tcPr>
          <w:p>
            <w:pPr>
              <w:spacing w:before="140"/>
              <w:ind w:left="1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p>
        </w:tc>
        <w:tc>
          <w:tcPr>
            <w:tcW w:w="1920" w:type="dxa"/>
            <w:tcMar>
              <w:top w:w="0" w:type="dxa"/>
              <w:left w:w="0" w:type="dxa"/>
              <w:bottom w:w="0" w:type="dxa"/>
              <w:right w:w="0" w:type="dxa"/>
            </w:tcMar>
          </w:tcPr>
          <w:p>
            <w:pPr>
              <w:spacing w:before="14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p>
        </w:tc>
      </w:tr>
      <w:tr>
        <w:trPr>
          <w:trHeight w:val="46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4</w:t>
            </w:r>
          </w:p>
        </w:tc>
        <w:tc>
          <w:tcPr>
            <w:tcW w:w="2960" w:type="dxa"/>
            <w:tcMar>
              <w:top w:w="0" w:type="dxa"/>
              <w:left w:w="0" w:type="dxa"/>
              <w:bottom w:w="0" w:type="dxa"/>
              <w:right w:w="0" w:type="dxa"/>
            </w:tcMar>
          </w:tcPr>
          <w:p>
            <w:pPr>
              <w:spacing w:before="100"/>
            </w:pPr>
            <w:r>
              <w:rPr>
                <w:rFonts w:hint="eastAsia" w:ascii="宋体" w:hAnsi="宋体" w:eastAsia="宋体" w:cs="宋体"/>
                <w:sz w:val="21"/>
              </w:rPr>
              <w:t>华宝证券有限责任公司</w:t>
            </w:r>
          </w:p>
        </w:tc>
        <w:tc>
          <w:tcPr>
            <w:tcW w:w="262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c>
          <w:tcPr>
            <w:tcW w:w="19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r>
      <w:tr>
        <w:trPr>
          <w:trHeight w:val="48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5</w:t>
            </w:r>
          </w:p>
        </w:tc>
        <w:tc>
          <w:tcPr>
            <w:tcW w:w="2960" w:type="dxa"/>
            <w:tcMar>
              <w:top w:w="0" w:type="dxa"/>
              <w:left w:w="0" w:type="dxa"/>
              <w:bottom w:w="0" w:type="dxa"/>
              <w:right w:w="0" w:type="dxa"/>
            </w:tcMar>
          </w:tcPr>
          <w:p>
            <w:pPr>
              <w:spacing w:before="120"/>
            </w:pPr>
            <w:r>
              <w:rPr>
                <w:rFonts w:hint="eastAsia" w:ascii="宋体" w:hAnsi="宋体" w:eastAsia="宋体" w:cs="宋体"/>
                <w:sz w:val="21"/>
              </w:rPr>
              <w:t>华福证券有限责任公司</w:t>
            </w:r>
          </w:p>
        </w:tc>
        <w:tc>
          <w:tcPr>
            <w:tcW w:w="2620" w:type="dxa"/>
            <w:tcMar>
              <w:top w:w="0" w:type="dxa"/>
              <w:left w:w="0" w:type="dxa"/>
              <w:bottom w:w="0" w:type="dxa"/>
              <w:right w:w="0" w:type="dxa"/>
            </w:tcMar>
          </w:tcPr>
          <w:p>
            <w:pPr>
              <w:spacing w:before="180"/>
              <w:ind w:left="14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p>
        </w:tc>
        <w:tc>
          <w:tcPr>
            <w:tcW w:w="1920" w:type="dxa"/>
            <w:tcMar>
              <w:top w:w="0" w:type="dxa"/>
              <w:left w:w="0" w:type="dxa"/>
              <w:bottom w:w="0" w:type="dxa"/>
              <w:right w:w="0" w:type="dxa"/>
            </w:tcMar>
          </w:tcPr>
          <w:p>
            <w:pPr>
              <w:spacing w:before="180"/>
              <w:ind w:left="12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r>
              <w:rPr>
                <w:rFonts w:hint="eastAsia" w:ascii="Times New Roman" w:hAnsi="Times New Roman" w:eastAsia="Times New Roman" w:cs="Times New Roman"/>
                <w:sz w:val="20"/>
              </w:rPr>
              <w:t>%</w:t>
            </w:r>
          </w:p>
        </w:tc>
      </w:tr>
      <w:tr>
        <w:trPr>
          <w:trHeight w:val="480" w:hRule="exact"/>
        </w:trPr>
        <w:tc>
          <w:tcPr>
            <w:tcW w:w="4780" w:type="dxa"/>
            <w:gridSpan w:val="3"/>
            <w:tcMar>
              <w:top w:w="0" w:type="dxa"/>
              <w:left w:w="0" w:type="dxa"/>
              <w:bottom w:w="0" w:type="dxa"/>
              <w:right w:w="0" w:type="dxa"/>
            </w:tcMar>
          </w:tcPr>
          <w:p>
            <w:pPr>
              <w:spacing w:before="120"/>
              <w:ind w:left="2160"/>
            </w:pPr>
            <w:r>
              <w:rPr>
                <w:rFonts w:hint="eastAsia" w:ascii="宋体" w:hAnsi="宋体" w:eastAsia="宋体" w:cs="宋体"/>
                <w:b/>
                <w:sz w:val="21"/>
              </w:rPr>
              <w:t>合计</w:t>
            </w:r>
          </w:p>
        </w:tc>
        <w:tc>
          <w:tcPr>
            <w:tcW w:w="2620" w:type="dxa"/>
            <w:tcMar>
              <w:top w:w="0" w:type="dxa"/>
              <w:left w:w="0" w:type="dxa"/>
              <w:bottom w:w="0" w:type="dxa"/>
              <w:right w:w="0" w:type="dxa"/>
            </w:tcMar>
          </w:tcPr>
          <w:p>
            <w:pPr>
              <w:spacing w:before="180"/>
              <w:ind w:left="1300"/>
            </w:pPr>
            <w:r>
              <w:rPr>
                <w:rFonts w:hint="eastAsia" w:ascii="Times New Roman Bold" w:hAnsi="Times New Roman Bold" w:eastAsia="Times New Roman Bold" w:cs="Times New Roman Bold"/>
                <w:b/>
                <w:sz w:val="21"/>
              </w:rPr>
              <w:t>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282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55</w:t>
            </w:r>
          </w:p>
        </w:tc>
        <w:tc>
          <w:tcPr>
            <w:tcW w:w="1920" w:type="dxa"/>
            <w:tcMar>
              <w:top w:w="0" w:type="dxa"/>
              <w:left w:w="0" w:type="dxa"/>
              <w:bottom w:w="0" w:type="dxa"/>
              <w:right w:w="0" w:type="dxa"/>
            </w:tcMar>
          </w:tcPr>
          <w:p>
            <w:pPr>
              <w:spacing w:before="160"/>
              <w:ind w:left="1100"/>
            </w:pPr>
            <w:r>
              <w:rPr>
                <w:rFonts w:hint="eastAsia" w:ascii="Times New Roman Bold" w:hAnsi="Times New Roman Bold" w:eastAsia="Times New Roman Bold" w:cs="Times New Roman Bold"/>
                <w:b/>
                <w:sz w:val="21"/>
              </w:rPr>
              <w:t>17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74</w:t>
            </w:r>
            <w:r>
              <w:rPr>
                <w:rFonts w:hint="eastAsia" w:ascii="Times New Roman Bold" w:hAnsi="Times New Roman Bold" w:eastAsia="Times New Roman Bold" w:cs="Times New Roman Bold"/>
                <w:b/>
                <w:sz w:val="20"/>
              </w:rPr>
              <w:t>%</w:t>
            </w:r>
          </w:p>
        </w:tc>
      </w:tr>
      <w:tr>
        <w:trPr>
          <w:trHeight w:val="460" w:hRule="exact"/>
        </w:trPr>
        <w:tc>
          <w:tcPr>
            <w:tcW w:w="1040" w:type="dxa"/>
            <w:tcMar>
              <w:top w:w="0" w:type="dxa"/>
              <w:left w:w="0" w:type="dxa"/>
              <w:bottom w:w="0" w:type="dxa"/>
              <w:right w:w="0" w:type="dxa"/>
            </w:tcMar>
          </w:tcPr>
          <w:p>
            <w:pPr>
              <w:spacing w:before="120"/>
              <w:ind w:left="160"/>
            </w:pPr>
            <w:r>
              <w:rPr>
                <w:rFonts w:hint="eastAsia" w:ascii="Times New Roman" w:hAnsi="Times New Roman" w:eastAsia="Times New Roman" w:cs="Times New Roman"/>
                <w:sz w:val="21"/>
              </w:rPr>
              <w:t>2015</w:t>
            </w:r>
            <w:r>
              <w:rPr>
                <w:rFonts w:hint="eastAsia" w:ascii="宋体" w:hAnsi="宋体" w:eastAsia="宋体" w:cs="宋体"/>
                <w:sz w:val="21"/>
              </w:rPr>
              <w:t xml:space="preserve"> 年</w:t>
            </w: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w:t>
            </w:r>
          </w:p>
        </w:tc>
        <w:tc>
          <w:tcPr>
            <w:tcW w:w="2960" w:type="dxa"/>
            <w:tcMar>
              <w:top w:w="0" w:type="dxa"/>
              <w:left w:w="0" w:type="dxa"/>
              <w:bottom w:w="0" w:type="dxa"/>
              <w:right w:w="0" w:type="dxa"/>
            </w:tcMar>
          </w:tcPr>
          <w:p>
            <w:pPr>
              <w:spacing w:before="120"/>
            </w:pPr>
            <w:r>
              <w:rPr>
                <w:rFonts w:hint="eastAsia" w:ascii="宋体" w:hAnsi="宋体" w:eastAsia="宋体" w:cs="宋体"/>
                <w:sz w:val="21"/>
              </w:rPr>
              <w:t>东海证券股份有限公司</w:t>
            </w:r>
          </w:p>
        </w:tc>
        <w:tc>
          <w:tcPr>
            <w:tcW w:w="262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1920" w:type="dxa"/>
            <w:tcMar>
              <w:top w:w="0" w:type="dxa"/>
              <w:left w:w="0" w:type="dxa"/>
              <w:bottom w:w="0" w:type="dxa"/>
              <w:right w:w="0" w:type="dxa"/>
            </w:tcMar>
          </w:tcPr>
          <w:p>
            <w:pPr>
              <w:spacing w:before="140"/>
              <w:ind w:left="12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1-1-163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340" w:type="auto"/>
        <w:tblInd w:w="14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040"/>
        <w:gridCol w:w="780"/>
        <w:gridCol w:w="2960"/>
        <w:gridCol w:w="2620"/>
        <w:gridCol w:w="1920"/>
      </w:tblGrid>
      <w:tr>
        <w:trPr>
          <w:trHeight w:val="480" w:hRule="exact"/>
        </w:trPr>
        <w:tc>
          <w:tcPr>
            <w:tcW w:w="1040" w:type="dxa"/>
            <w:vMerge w:val="restart"/>
            <w:tcMar>
              <w:top w:w="0" w:type="dxa"/>
              <w:left w:w="0" w:type="dxa"/>
              <w:bottom w:w="0" w:type="dxa"/>
              <w:right w:w="0" w:type="dxa"/>
            </w:tcMar>
          </w:tcPr>
          <w:p>
            <w:pPr>
              <w:spacing w:before="40"/>
              <w:ind w:left="400"/>
            </w:pPr>
            <w:r>
              <w:rPr>
                <w:rFonts w:hint="eastAsia" w:ascii="宋体" w:hAnsi="宋体" w:eastAsia="宋体" w:cs="宋体"/>
                <w:sz w:val="21"/>
              </w:rPr>
              <w:t>度</w:t>
            </w: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2</w:t>
            </w:r>
          </w:p>
        </w:tc>
        <w:tc>
          <w:tcPr>
            <w:tcW w:w="2960" w:type="dxa"/>
            <w:tcMar>
              <w:top w:w="0" w:type="dxa"/>
              <w:left w:w="0" w:type="dxa"/>
              <w:bottom w:w="0" w:type="dxa"/>
              <w:right w:w="0" w:type="dxa"/>
            </w:tcMar>
          </w:tcPr>
          <w:p>
            <w:pPr>
              <w:spacing w:before="100"/>
            </w:pPr>
            <w:r>
              <w:rPr>
                <w:rFonts w:hint="eastAsia" w:ascii="宋体" w:hAnsi="宋体" w:eastAsia="宋体" w:cs="宋体"/>
                <w:sz w:val="21"/>
              </w:rPr>
              <w:t>中信证券及其控股子公司</w:t>
            </w:r>
          </w:p>
        </w:tc>
        <w:tc>
          <w:tcPr>
            <w:tcW w:w="2620" w:type="dxa"/>
            <w:tcMar>
              <w:top w:w="0" w:type="dxa"/>
              <w:left w:w="0" w:type="dxa"/>
              <w:bottom w:w="0" w:type="dxa"/>
              <w:right w:w="0" w:type="dxa"/>
            </w:tcMar>
          </w:tcPr>
          <w:p>
            <w:pPr>
              <w:spacing w:before="140"/>
              <w:ind w:left="14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920" w:type="dxa"/>
            <w:tcMar>
              <w:top w:w="0" w:type="dxa"/>
              <w:left w:w="0" w:type="dxa"/>
              <w:bottom w:w="0" w:type="dxa"/>
              <w:right w:w="0" w:type="dxa"/>
            </w:tcMar>
          </w:tcPr>
          <w:p>
            <w:pPr>
              <w:spacing w:before="14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r>
              <w:rPr>
                <w:rFonts w:hint="eastAsia" w:ascii="Times New Roman" w:hAnsi="Times New Roman" w:eastAsia="Times New Roman" w:cs="Times New Roman"/>
                <w:sz w:val="20"/>
              </w:rPr>
              <w:t>%</w:t>
            </w:r>
          </w:p>
        </w:tc>
      </w:tr>
      <w:tr>
        <w:trPr>
          <w:trHeight w:val="48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3</w:t>
            </w:r>
          </w:p>
        </w:tc>
        <w:tc>
          <w:tcPr>
            <w:tcW w:w="2960" w:type="dxa"/>
            <w:tcMar>
              <w:top w:w="0" w:type="dxa"/>
              <w:left w:w="0" w:type="dxa"/>
              <w:bottom w:w="0" w:type="dxa"/>
              <w:right w:w="0" w:type="dxa"/>
            </w:tcMar>
          </w:tcPr>
          <w:p>
            <w:pPr>
              <w:spacing w:before="120"/>
            </w:pPr>
            <w:r>
              <w:rPr>
                <w:rFonts w:hint="eastAsia" w:ascii="宋体" w:hAnsi="宋体" w:eastAsia="宋体" w:cs="宋体"/>
                <w:sz w:val="21"/>
              </w:rPr>
              <w:t>东兴证券股份有限公司</w:t>
            </w:r>
          </w:p>
        </w:tc>
        <w:tc>
          <w:tcPr>
            <w:tcW w:w="262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19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p>
        </w:tc>
      </w:tr>
      <w:tr>
        <w:trPr>
          <w:trHeight w:val="46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4</w:t>
            </w:r>
          </w:p>
        </w:tc>
        <w:tc>
          <w:tcPr>
            <w:tcW w:w="2960" w:type="dxa"/>
            <w:tcMar>
              <w:top w:w="0" w:type="dxa"/>
              <w:left w:w="0" w:type="dxa"/>
              <w:bottom w:w="0" w:type="dxa"/>
              <w:right w:w="0" w:type="dxa"/>
            </w:tcMar>
          </w:tcPr>
          <w:p>
            <w:pPr>
              <w:spacing w:before="100"/>
            </w:pPr>
            <w:r>
              <w:rPr>
                <w:rFonts w:hint="eastAsia" w:ascii="宋体" w:hAnsi="宋体" w:eastAsia="宋体" w:cs="宋体"/>
                <w:sz w:val="21"/>
              </w:rPr>
              <w:t>南京证券股份有限公司</w:t>
            </w:r>
          </w:p>
        </w:tc>
        <w:tc>
          <w:tcPr>
            <w:tcW w:w="262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19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p>
        </w:tc>
      </w:tr>
      <w:tr>
        <w:trPr>
          <w:trHeight w:val="48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5</w:t>
            </w:r>
          </w:p>
        </w:tc>
        <w:tc>
          <w:tcPr>
            <w:tcW w:w="2960" w:type="dxa"/>
            <w:tcMar>
              <w:top w:w="0" w:type="dxa"/>
              <w:left w:w="0" w:type="dxa"/>
              <w:bottom w:w="0" w:type="dxa"/>
              <w:right w:w="0" w:type="dxa"/>
            </w:tcMar>
          </w:tcPr>
          <w:p>
            <w:pPr>
              <w:spacing w:before="120"/>
            </w:pPr>
            <w:r>
              <w:rPr>
                <w:rFonts w:hint="eastAsia" w:ascii="宋体" w:hAnsi="宋体" w:eastAsia="宋体" w:cs="宋体"/>
                <w:sz w:val="21"/>
              </w:rPr>
              <w:t>华鑫证券有限责任公司</w:t>
            </w:r>
          </w:p>
        </w:tc>
        <w:tc>
          <w:tcPr>
            <w:tcW w:w="2620" w:type="dxa"/>
            <w:tcMar>
              <w:top w:w="0" w:type="dxa"/>
              <w:left w:w="0" w:type="dxa"/>
              <w:bottom w:w="0" w:type="dxa"/>
              <w:right w:w="0" w:type="dxa"/>
            </w:tcMar>
          </w:tcPr>
          <w:p>
            <w:pPr>
              <w:spacing w:before="180"/>
              <w:ind w:left="1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920" w:type="dxa"/>
            <w:tcMar>
              <w:top w:w="0" w:type="dxa"/>
              <w:left w:w="0" w:type="dxa"/>
              <w:bottom w:w="0" w:type="dxa"/>
              <w:right w:w="0" w:type="dxa"/>
            </w:tcMar>
          </w:tcPr>
          <w:p>
            <w:pPr>
              <w:spacing w:before="18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r>
      <w:tr>
        <w:trPr>
          <w:trHeight w:val="480" w:hRule="exact"/>
        </w:trPr>
        <w:tc>
          <w:tcPr>
            <w:tcW w:w="4780" w:type="dxa"/>
            <w:gridSpan w:val="3"/>
            <w:tcMar>
              <w:top w:w="0" w:type="dxa"/>
              <w:left w:w="0" w:type="dxa"/>
              <w:bottom w:w="0" w:type="dxa"/>
              <w:right w:w="0" w:type="dxa"/>
            </w:tcMar>
          </w:tcPr>
          <w:p>
            <w:pPr>
              <w:spacing w:before="120"/>
              <w:ind w:left="2160"/>
            </w:pPr>
            <w:r>
              <w:rPr>
                <w:rFonts w:hint="eastAsia" w:ascii="宋体" w:hAnsi="宋体" w:eastAsia="宋体" w:cs="宋体"/>
                <w:b/>
                <w:sz w:val="21"/>
              </w:rPr>
              <w:t>合计</w:t>
            </w:r>
          </w:p>
        </w:tc>
        <w:tc>
          <w:tcPr>
            <w:tcW w:w="2620" w:type="dxa"/>
            <w:tcMar>
              <w:top w:w="0" w:type="dxa"/>
              <w:left w:w="0" w:type="dxa"/>
              <w:bottom w:w="0" w:type="dxa"/>
              <w:right w:w="0" w:type="dxa"/>
            </w:tcMar>
          </w:tcPr>
          <w:p>
            <w:pPr>
              <w:spacing w:before="160"/>
              <w:ind w:left="1300"/>
            </w:pPr>
            <w:r>
              <w:rPr>
                <w:rFonts w:hint="eastAsia" w:ascii="Times New Roman Bold" w:hAnsi="Times New Roman Bold" w:eastAsia="Times New Roman Bold" w:cs="Times New Roman Bold"/>
                <w:b/>
                <w:sz w:val="21"/>
              </w:rPr>
              <w:t>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431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w:t>
            </w:r>
          </w:p>
        </w:tc>
        <w:tc>
          <w:tcPr>
            <w:tcW w:w="1920" w:type="dxa"/>
            <w:tcMar>
              <w:top w:w="0" w:type="dxa"/>
              <w:left w:w="0" w:type="dxa"/>
              <w:bottom w:w="0" w:type="dxa"/>
              <w:right w:w="0" w:type="dxa"/>
            </w:tcMar>
          </w:tcPr>
          <w:p>
            <w:pPr>
              <w:spacing w:before="160"/>
              <w:ind w:left="1100"/>
            </w:pPr>
            <w:r>
              <w:rPr>
                <w:rFonts w:hint="eastAsia" w:ascii="Times New Roman Bold" w:hAnsi="Times New Roman Bold" w:eastAsia="Times New Roman Bold" w:cs="Times New Roman Bold"/>
                <w:b/>
                <w:sz w:val="21"/>
              </w:rPr>
              <w:t>18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60</w:t>
            </w:r>
            <w:r>
              <w:rPr>
                <w:rFonts w:hint="eastAsia" w:ascii="Times New Roman Bold" w:hAnsi="Times New Roman Bold" w:eastAsia="Times New Roman Bold" w:cs="Times New Roman Bold"/>
                <w:b/>
                <w:sz w:val="20"/>
              </w:rPr>
              <w:t>%</w:t>
            </w:r>
          </w:p>
        </w:tc>
      </w:tr>
      <w:tr>
        <w:trPr>
          <w:trHeight w:val="480" w:hRule="exact"/>
        </w:trPr>
        <w:tc>
          <w:tcPr>
            <w:tcW w:w="1040" w:type="dxa"/>
            <w:vMerge w:val="restart"/>
            <w:tcMar>
              <w:top w:w="0" w:type="dxa"/>
              <w:left w:w="0" w:type="dxa"/>
              <w:bottom w:w="0" w:type="dxa"/>
              <w:right w:w="0" w:type="dxa"/>
            </w:tcMar>
          </w:tcPr>
          <w:p>
            <w:pPr>
              <w:spacing w:before="900"/>
              <w:ind w:left="160"/>
            </w:pPr>
            <w:r>
              <w:rPr>
                <w:rFonts w:hint="eastAsia" w:ascii="Times New Roman" w:hAnsi="Times New Roman" w:eastAsia="Times New Roman" w:cs="Times New Roman"/>
                <w:sz w:val="21"/>
              </w:rPr>
              <w:t>2014</w:t>
            </w:r>
            <w:r>
              <w:rPr>
                <w:rFonts w:hint="eastAsia" w:ascii="宋体" w:hAnsi="宋体" w:eastAsia="宋体" w:cs="宋体"/>
                <w:sz w:val="21"/>
              </w:rPr>
              <w:t xml:space="preserve"> 年</w:t>
            </w:r>
          </w:p>
          <w:p>
            <w:pPr>
              <w:spacing w:before="80"/>
              <w:ind w:left="400"/>
            </w:pPr>
            <w:r>
              <w:rPr>
                <w:rFonts w:hint="eastAsia" w:ascii="宋体" w:hAnsi="宋体" w:eastAsia="宋体" w:cs="宋体"/>
                <w:sz w:val="21"/>
              </w:rPr>
              <w:t>度</w:t>
            </w: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w:t>
            </w:r>
          </w:p>
        </w:tc>
        <w:tc>
          <w:tcPr>
            <w:tcW w:w="2960" w:type="dxa"/>
            <w:tcMar>
              <w:top w:w="0" w:type="dxa"/>
              <w:left w:w="0" w:type="dxa"/>
              <w:bottom w:w="0" w:type="dxa"/>
              <w:right w:w="0" w:type="dxa"/>
            </w:tcMar>
          </w:tcPr>
          <w:p>
            <w:pPr>
              <w:spacing w:before="120"/>
            </w:pPr>
            <w:r>
              <w:rPr>
                <w:rFonts w:hint="eastAsia" w:ascii="宋体" w:hAnsi="宋体" w:eastAsia="宋体" w:cs="宋体"/>
                <w:sz w:val="21"/>
              </w:rPr>
              <w:t>东海证券股份有限公司</w:t>
            </w:r>
          </w:p>
        </w:tc>
        <w:tc>
          <w:tcPr>
            <w:tcW w:w="262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1920" w:type="dxa"/>
            <w:tcMar>
              <w:top w:w="0" w:type="dxa"/>
              <w:left w:w="0" w:type="dxa"/>
              <w:bottom w:w="0" w:type="dxa"/>
              <w:right w:w="0" w:type="dxa"/>
            </w:tcMar>
          </w:tcPr>
          <w:p>
            <w:pPr>
              <w:spacing w:before="140"/>
              <w:ind w:left="12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r>
              <w:rPr>
                <w:rFonts w:hint="eastAsia" w:ascii="Times New Roman" w:hAnsi="Times New Roman" w:eastAsia="Times New Roman" w:cs="Times New Roman"/>
                <w:sz w:val="20"/>
              </w:rPr>
              <w:t>%</w:t>
            </w:r>
          </w:p>
        </w:tc>
      </w:tr>
      <w:tr>
        <w:trPr>
          <w:trHeight w:val="46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2</w:t>
            </w:r>
          </w:p>
        </w:tc>
        <w:tc>
          <w:tcPr>
            <w:tcW w:w="2960" w:type="dxa"/>
            <w:tcMar>
              <w:top w:w="0" w:type="dxa"/>
              <w:left w:w="0" w:type="dxa"/>
              <w:bottom w:w="0" w:type="dxa"/>
              <w:right w:w="0" w:type="dxa"/>
            </w:tcMar>
          </w:tcPr>
          <w:p>
            <w:pPr>
              <w:spacing w:before="100"/>
            </w:pPr>
            <w:r>
              <w:rPr>
                <w:rFonts w:hint="eastAsia" w:ascii="宋体" w:hAnsi="宋体" w:eastAsia="宋体" w:cs="宋体"/>
                <w:sz w:val="21"/>
              </w:rPr>
              <w:t>华福证券有限责任公司</w:t>
            </w:r>
          </w:p>
        </w:tc>
        <w:tc>
          <w:tcPr>
            <w:tcW w:w="262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p>
        </w:tc>
        <w:tc>
          <w:tcPr>
            <w:tcW w:w="19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p>
        </w:tc>
      </w:tr>
      <w:tr>
        <w:trPr>
          <w:trHeight w:val="48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3</w:t>
            </w:r>
          </w:p>
        </w:tc>
        <w:tc>
          <w:tcPr>
            <w:tcW w:w="2960" w:type="dxa"/>
            <w:tcMar>
              <w:top w:w="0" w:type="dxa"/>
              <w:left w:w="0" w:type="dxa"/>
              <w:bottom w:w="0" w:type="dxa"/>
              <w:right w:w="0" w:type="dxa"/>
            </w:tcMar>
          </w:tcPr>
          <w:p>
            <w:pPr>
              <w:spacing w:before="120"/>
            </w:pPr>
            <w:r>
              <w:rPr>
                <w:rFonts w:hint="eastAsia" w:ascii="宋体" w:hAnsi="宋体" w:eastAsia="宋体" w:cs="宋体"/>
                <w:sz w:val="21"/>
              </w:rPr>
              <w:t>东吴证券股份有限公司</w:t>
            </w:r>
          </w:p>
        </w:tc>
        <w:tc>
          <w:tcPr>
            <w:tcW w:w="2620" w:type="dxa"/>
            <w:tcMar>
              <w:top w:w="0" w:type="dxa"/>
              <w:left w:w="0" w:type="dxa"/>
              <w:bottom w:w="0" w:type="dxa"/>
              <w:right w:w="0" w:type="dxa"/>
            </w:tcMar>
          </w:tcPr>
          <w:p>
            <w:pPr>
              <w:spacing w:before="180"/>
              <w:ind w:left="1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19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r>
      <w:tr>
        <w:trPr>
          <w:trHeight w:val="48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4</w:t>
            </w:r>
          </w:p>
        </w:tc>
        <w:tc>
          <w:tcPr>
            <w:tcW w:w="2960" w:type="dxa"/>
            <w:tcMar>
              <w:top w:w="0" w:type="dxa"/>
              <w:left w:w="0" w:type="dxa"/>
              <w:bottom w:w="0" w:type="dxa"/>
              <w:right w:w="0" w:type="dxa"/>
            </w:tcMar>
          </w:tcPr>
          <w:p>
            <w:pPr>
              <w:spacing w:before="100"/>
            </w:pPr>
            <w:r>
              <w:rPr>
                <w:rFonts w:hint="eastAsia" w:ascii="宋体" w:hAnsi="宋体" w:eastAsia="宋体" w:cs="宋体"/>
                <w:sz w:val="21"/>
              </w:rPr>
              <w:t>齐鲁证券有限公司</w:t>
            </w:r>
          </w:p>
        </w:tc>
        <w:tc>
          <w:tcPr>
            <w:tcW w:w="2620" w:type="dxa"/>
            <w:tcMar>
              <w:top w:w="0" w:type="dxa"/>
              <w:left w:w="0" w:type="dxa"/>
              <w:bottom w:w="0" w:type="dxa"/>
              <w:right w:w="0" w:type="dxa"/>
            </w:tcMar>
          </w:tcPr>
          <w:p>
            <w:pPr>
              <w:spacing w:before="140"/>
              <w:ind w:left="14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1920" w:type="dxa"/>
            <w:tcMar>
              <w:top w:w="0" w:type="dxa"/>
              <w:left w:w="0" w:type="dxa"/>
              <w:bottom w:w="0" w:type="dxa"/>
              <w:right w:w="0" w:type="dxa"/>
            </w:tcMar>
          </w:tcPr>
          <w:p>
            <w:pPr>
              <w:spacing w:before="14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p>
        </w:tc>
      </w:tr>
      <w:tr>
        <w:trPr>
          <w:trHeight w:val="480" w:hRule="exact"/>
        </w:trPr>
        <w:tc>
          <w:tcPr>
            <w:tcW w:w="1040" w:type="dxa"/>
            <w:vMerge w:val="continue"/>
            <w:tcMar>
              <w:top w:w="0" w:type="dxa"/>
              <w:left w:w="0" w:type="dxa"/>
              <w:bottom w:w="0" w:type="dxa"/>
              <w:right w:w="0" w:type="dxa"/>
            </w:tcMar>
          </w:tcPr>
          <w:p/>
        </w:tc>
        <w:tc>
          <w:tcPr>
            <w:tcW w:w="7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5</w:t>
            </w:r>
          </w:p>
        </w:tc>
        <w:tc>
          <w:tcPr>
            <w:tcW w:w="2960" w:type="dxa"/>
            <w:tcMar>
              <w:top w:w="0" w:type="dxa"/>
              <w:left w:w="0" w:type="dxa"/>
              <w:bottom w:w="0" w:type="dxa"/>
              <w:right w:w="0" w:type="dxa"/>
            </w:tcMar>
          </w:tcPr>
          <w:p>
            <w:pPr>
              <w:spacing w:before="120"/>
            </w:pPr>
            <w:r>
              <w:rPr>
                <w:rFonts w:hint="eastAsia" w:ascii="宋体" w:hAnsi="宋体" w:eastAsia="宋体" w:cs="宋体"/>
                <w:sz w:val="21"/>
              </w:rPr>
              <w:t>大连飞创信息技术有限公司</w:t>
            </w:r>
          </w:p>
        </w:tc>
        <w:tc>
          <w:tcPr>
            <w:tcW w:w="262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19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p>
        </w:tc>
      </w:tr>
      <w:tr>
        <w:trPr>
          <w:trHeight w:val="460" w:hRule="exact"/>
        </w:trPr>
        <w:tc>
          <w:tcPr>
            <w:tcW w:w="4780" w:type="dxa"/>
            <w:gridSpan w:val="3"/>
            <w:tcMar>
              <w:top w:w="0" w:type="dxa"/>
              <w:left w:w="0" w:type="dxa"/>
              <w:bottom w:w="0" w:type="dxa"/>
              <w:right w:w="0" w:type="dxa"/>
            </w:tcMar>
          </w:tcPr>
          <w:p>
            <w:pPr>
              <w:spacing w:before="100"/>
              <w:ind w:left="2160"/>
            </w:pPr>
            <w:r>
              <w:rPr>
                <w:rFonts w:hint="eastAsia" w:ascii="宋体" w:hAnsi="宋体" w:eastAsia="宋体" w:cs="宋体"/>
                <w:b/>
                <w:sz w:val="21"/>
              </w:rPr>
              <w:t>合计</w:t>
            </w:r>
          </w:p>
        </w:tc>
        <w:tc>
          <w:tcPr>
            <w:tcW w:w="2620" w:type="dxa"/>
            <w:tcMar>
              <w:top w:w="0" w:type="dxa"/>
              <w:left w:w="0" w:type="dxa"/>
              <w:bottom w:w="0" w:type="dxa"/>
              <w:right w:w="0" w:type="dxa"/>
            </w:tcMar>
          </w:tcPr>
          <w:p>
            <w:pPr>
              <w:spacing w:before="160"/>
              <w:ind w:left="1300"/>
            </w:pPr>
            <w:r>
              <w:rPr>
                <w:rFonts w:hint="eastAsia" w:ascii="Times New Roman Bold" w:hAnsi="Times New Roman Bold" w:eastAsia="Times New Roman Bold" w:cs="Times New Roman Bold"/>
                <w:b/>
                <w:sz w:val="21"/>
              </w:rPr>
              <w:t>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c>
          <w:tcPr>
            <w:tcW w:w="1920" w:type="dxa"/>
            <w:tcMar>
              <w:top w:w="0" w:type="dxa"/>
              <w:left w:w="0" w:type="dxa"/>
              <w:bottom w:w="0" w:type="dxa"/>
              <w:right w:w="0" w:type="dxa"/>
            </w:tcMar>
          </w:tcPr>
          <w:p>
            <w:pPr>
              <w:spacing w:before="160"/>
              <w:ind w:left="1100"/>
            </w:pPr>
            <w:r>
              <w:rPr>
                <w:rFonts w:hint="eastAsia" w:ascii="Times New Roman Bold" w:hAnsi="Times New Roman Bold" w:eastAsia="Times New Roman Bold" w:cs="Times New Roman Bold"/>
                <w:b/>
                <w:sz w:val="21"/>
              </w:rPr>
              <w:t>18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77</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发行人前十大客户主要为证券公司</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发行人非证券客户主要为区域股权交易中心</w:t>
      </w:r>
      <w:r>
        <w:rPr>
          <w:rFonts w:hint="eastAsia" w:ascii="宋体" w:hAnsi="宋体" w:eastAsia="宋体" w:cs="宋体"/>
          <w:sz w:val="10"/>
        </w:rPr>
        <w:t>、</w:t>
      </w:r>
      <w:r>
        <w:rPr>
          <w:rFonts w:hint="eastAsia" w:ascii="宋体" w:hAnsi="宋体" w:eastAsia="宋体" w:cs="宋体"/>
          <w:sz w:val="24"/>
        </w:rPr>
        <w:t>产权交易所</w:t>
      </w:r>
      <w:r>
        <w:rPr>
          <w:rFonts w:hint="eastAsia" w:ascii="宋体" w:hAnsi="宋体" w:eastAsia="宋体" w:cs="宋体"/>
          <w:sz w:val="10"/>
        </w:rPr>
        <w:t>、</w:t>
      </w:r>
      <w:r>
        <w:rPr>
          <w:rFonts w:hint="eastAsia" w:ascii="宋体" w:hAnsi="宋体" w:eastAsia="宋体" w:cs="宋体"/>
          <w:sz w:val="24"/>
        </w:rPr>
        <w:t>金融资产交易所等电子交易市场客户</w:t>
      </w:r>
      <w:r>
        <w:rPr>
          <w:rFonts w:hint="eastAsia" w:ascii="宋体" w:hAnsi="宋体" w:eastAsia="宋体" w:cs="宋体"/>
          <w:sz w:val="10"/>
        </w:rPr>
        <w:t>，</w:t>
      </w:r>
      <w:r>
        <w:rPr>
          <w:rFonts w:hint="eastAsia" w:ascii="宋体" w:hAnsi="宋体" w:eastAsia="宋体" w:cs="宋体"/>
          <w:sz w:val="24"/>
        </w:rPr>
        <w:t>以及高校</w:t>
      </w:r>
      <w:r>
        <w:rPr>
          <w:rFonts w:hint="eastAsia" w:ascii="宋体" w:hAnsi="宋体" w:eastAsia="宋体" w:cs="宋体"/>
          <w:sz w:val="10"/>
        </w:rPr>
        <w:t>、</w:t>
      </w:r>
      <w:r>
        <w:rPr>
          <w:rFonts w:hint="eastAsia" w:ascii="宋体" w:hAnsi="宋体" w:eastAsia="宋体" w:cs="宋体"/>
          <w:sz w:val="24"/>
        </w:rPr>
        <w:t>国企等非金融行业客户</w:t>
      </w:r>
      <w:r>
        <w:rPr>
          <w:rFonts w:hint="eastAsia" w:ascii="宋体" w:hAnsi="宋体" w:eastAsia="宋体" w:cs="宋体"/>
          <w:sz w:val="10"/>
        </w:rPr>
        <w:t>。</w:t>
      </w:r>
      <w:r>
        <w:rPr>
          <w:rFonts w:hint="eastAsia" w:ascii="宋体" w:hAnsi="宋体" w:eastAsia="宋体" w:cs="宋体"/>
          <w:sz w:val="24"/>
        </w:rPr>
        <w:t>报告期各期内</w:t>
      </w:r>
      <w:r>
        <w:rPr>
          <w:rFonts w:hint="eastAsia" w:ascii="宋体" w:hAnsi="宋体" w:eastAsia="宋体" w:cs="宋体"/>
          <w:sz w:val="10"/>
        </w:rPr>
        <w:t>，</w:t>
      </w:r>
      <w:r>
        <w:rPr>
          <w:rFonts w:hint="eastAsia" w:ascii="宋体" w:hAnsi="宋体" w:eastAsia="宋体" w:cs="宋体"/>
          <w:sz w:val="24"/>
        </w:rPr>
        <w:t>发行人非金融业务前五大客户主要包括教育机构</w:t>
      </w:r>
      <w:r>
        <w:rPr>
          <w:rFonts w:hint="eastAsia" w:ascii="宋体" w:hAnsi="宋体" w:eastAsia="宋体" w:cs="宋体"/>
          <w:sz w:val="10"/>
        </w:rPr>
        <w:t>、</w:t>
      </w:r>
      <w:r>
        <w:rPr>
          <w:rFonts w:hint="eastAsia" w:ascii="宋体" w:hAnsi="宋体" w:eastAsia="宋体" w:cs="宋体"/>
          <w:sz w:val="24"/>
        </w:rPr>
        <w:t>企业等</w:t>
      </w:r>
      <w:r>
        <w:rPr>
          <w:rFonts w:hint="eastAsia" w:ascii="宋体" w:hAnsi="宋体" w:eastAsia="宋体" w:cs="宋体"/>
          <w:sz w:val="10"/>
        </w:rPr>
        <w:t>，</w:t>
      </w:r>
      <w:r>
        <w:rPr>
          <w:rFonts w:hint="eastAsia" w:ascii="宋体" w:hAnsi="宋体" w:eastAsia="宋体" w:cs="宋体"/>
          <w:sz w:val="24"/>
        </w:rPr>
        <w:t>业务获取方式多为招投标</w:t>
      </w:r>
      <w:r>
        <w:rPr>
          <w:rFonts w:hint="eastAsia" w:ascii="宋体" w:hAnsi="宋体" w:eastAsia="宋体" w:cs="宋体"/>
          <w:sz w:val="10"/>
        </w:rPr>
        <w:t>，</w:t>
      </w:r>
      <w:r>
        <w:rPr>
          <w:rFonts w:hint="eastAsia" w:ascii="宋体" w:hAnsi="宋体" w:eastAsia="宋体" w:cs="宋体"/>
          <w:sz w:val="24"/>
        </w:rPr>
        <w:t>主要客户包括上海市工艺美术职业学院</w:t>
      </w:r>
      <w:r>
        <w:rPr>
          <w:rFonts w:hint="eastAsia" w:ascii="宋体" w:hAnsi="宋体" w:eastAsia="宋体" w:cs="宋体"/>
          <w:sz w:val="10"/>
        </w:rPr>
        <w:t>、</w:t>
      </w:r>
      <w:r>
        <w:rPr>
          <w:rFonts w:hint="eastAsia" w:ascii="宋体" w:hAnsi="宋体" w:eastAsia="宋体" w:cs="宋体"/>
          <w:sz w:val="24"/>
        </w:rPr>
        <w:t>上海工会管理职业学院</w:t>
      </w:r>
      <w:r>
        <w:rPr>
          <w:rFonts w:hint="eastAsia" w:ascii="宋体" w:hAnsi="宋体" w:eastAsia="宋体" w:cs="宋体"/>
          <w:sz w:val="10"/>
        </w:rPr>
        <w:t>、</w:t>
      </w:r>
      <w:r>
        <w:rPr>
          <w:rFonts w:hint="eastAsia" w:ascii="宋体" w:hAnsi="宋体" w:eastAsia="宋体" w:cs="宋体"/>
          <w:sz w:val="24"/>
        </w:rPr>
        <w:t>中石化森美（福建）石油有限公司</w:t>
      </w:r>
      <w:r>
        <w:rPr>
          <w:rFonts w:hint="eastAsia" w:ascii="宋体" w:hAnsi="宋体" w:eastAsia="宋体" w:cs="宋体"/>
          <w:sz w:val="10"/>
        </w:rPr>
        <w:t>、</w:t>
      </w:r>
      <w:r>
        <w:rPr>
          <w:rFonts w:hint="eastAsia" w:ascii="宋体" w:hAnsi="宋体" w:eastAsia="宋体" w:cs="宋体"/>
          <w:sz w:val="24"/>
        </w:rPr>
        <w:t>厦门航空有限公司等</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本公司不存在向单个客户的销售额占营业收入总额的比例超过</w:t>
      </w:r>
      <w:r>
        <w:rPr>
          <w:rFonts w:hint="eastAsia" w:ascii="Times New Roman" w:hAnsi="Times New Roman" w:eastAsia="Times New Roman" w:cs="Times New Roman"/>
          <w:sz w:val="24"/>
        </w:rPr>
        <w:t xml:space="preserve"> 50%</w:t>
      </w:r>
      <w:r>
        <w:rPr>
          <w:rFonts w:hint="eastAsia" w:ascii="宋体" w:hAnsi="宋体" w:eastAsia="宋体" w:cs="宋体"/>
          <w:sz w:val="24"/>
        </w:rPr>
        <w:t>的情况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发行人前五名客户中新增客户所占的比例</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发行人前五大客户均为原有客户</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（五）发行人的采购情况和主要供应商情况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主要原材料</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公司的业务分为定制软件</w:t>
      </w:r>
      <w:r>
        <w:rPr>
          <w:rFonts w:hint="eastAsia" w:ascii="宋体" w:hAnsi="宋体" w:eastAsia="宋体" w:cs="宋体"/>
          <w:sz w:val="10"/>
        </w:rPr>
        <w:t>、</w:t>
      </w:r>
      <w:r>
        <w:rPr>
          <w:rFonts w:hint="eastAsia" w:ascii="宋体" w:hAnsi="宋体" w:eastAsia="宋体" w:cs="宋体"/>
          <w:sz w:val="24"/>
        </w:rPr>
        <w:t>产品化软件</w:t>
      </w:r>
      <w:r>
        <w:rPr>
          <w:rFonts w:hint="eastAsia" w:ascii="宋体" w:hAnsi="宋体" w:eastAsia="宋体" w:cs="宋体"/>
          <w:sz w:val="10"/>
        </w:rPr>
        <w:t>、</w:t>
      </w:r>
      <w:r>
        <w:rPr>
          <w:rFonts w:hint="eastAsia" w:ascii="宋体" w:hAnsi="宋体" w:eastAsia="宋体" w:cs="宋体"/>
          <w:sz w:val="24"/>
        </w:rPr>
        <w:t>运维服务</w:t>
      </w:r>
      <w:r>
        <w:rPr>
          <w:rFonts w:hint="eastAsia" w:ascii="宋体" w:hAnsi="宋体" w:eastAsia="宋体" w:cs="宋体"/>
          <w:sz w:val="10"/>
        </w:rPr>
        <w:t>、</w:t>
      </w:r>
      <w:r>
        <w:rPr>
          <w:rFonts w:hint="eastAsia" w:ascii="宋体" w:hAnsi="宋体" w:eastAsia="宋体" w:cs="宋体"/>
          <w:sz w:val="24"/>
        </w:rPr>
        <w:t>系统集成四大类</w:t>
      </w:r>
      <w:r>
        <w:rPr>
          <w:rFonts w:hint="eastAsia" w:ascii="宋体" w:hAnsi="宋体" w:eastAsia="宋体" w:cs="宋体"/>
          <w:sz w:val="10"/>
        </w:rPr>
        <w:t>，</w:t>
      </w:r>
      <w:r>
        <w:rPr>
          <w:rFonts w:hint="eastAsia" w:ascii="宋体" w:hAnsi="宋体" w:eastAsia="宋体" w:cs="宋体"/>
          <w:sz w:val="24"/>
        </w:rPr>
        <w:t>其中系统集成业务采购原材料较多</w:t>
      </w:r>
      <w:r>
        <w:rPr>
          <w:rFonts w:hint="eastAsia" w:ascii="宋体" w:hAnsi="宋体" w:eastAsia="宋体" w:cs="宋体"/>
          <w:sz w:val="10"/>
        </w:rPr>
        <w:t>，</w:t>
      </w:r>
      <w:r>
        <w:rPr>
          <w:rFonts w:hint="eastAsia" w:ascii="宋体" w:hAnsi="宋体" w:eastAsia="宋体" w:cs="宋体"/>
          <w:sz w:val="24"/>
        </w:rPr>
        <w:t>公司采购主要原材料包括</w:t>
      </w:r>
      <w:r>
        <w:rPr>
          <w:rFonts w:hint="eastAsia" w:ascii="宋体" w:hAnsi="宋体" w:eastAsia="宋体" w:cs="宋体"/>
          <w:sz w:val="12"/>
        </w:rPr>
        <w:t>：</w:t>
      </w:r>
      <w:r>
        <w:rPr>
          <w:rFonts w:hint="eastAsia" w:ascii="宋体" w:hAnsi="宋体" w:eastAsia="宋体" w:cs="宋体"/>
          <w:sz w:val="24"/>
        </w:rPr>
        <w:t>数据库等各种系统软件</w:t>
      </w:r>
      <w:r>
        <w:rPr>
          <w:rFonts w:hint="eastAsia" w:ascii="宋体" w:hAnsi="宋体" w:eastAsia="宋体" w:cs="宋体"/>
          <w:sz w:val="10"/>
        </w:rPr>
        <w:t>、</w:t>
      </w:r>
      <w:r>
        <w:rPr>
          <w:rFonts w:hint="eastAsia" w:ascii="宋体" w:hAnsi="宋体" w:eastAsia="宋体" w:cs="宋体"/>
          <w:sz w:val="24"/>
        </w:rPr>
        <w:t>服务器</w:t>
      </w:r>
      <w:r>
        <w:rPr>
          <w:rFonts w:hint="eastAsia" w:ascii="宋体" w:hAnsi="宋体" w:eastAsia="宋体" w:cs="宋体"/>
          <w:sz w:val="10"/>
        </w:rPr>
        <w:t>、</w:t>
      </w:r>
      <w:r>
        <w:rPr>
          <w:rFonts w:hint="eastAsia" w:ascii="宋体" w:hAnsi="宋体" w:eastAsia="宋体" w:cs="宋体"/>
          <w:sz w:val="24"/>
        </w:rPr>
        <w:t>交换机等硬件设备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公司自成立以来</w:t>
      </w:r>
      <w:r>
        <w:rPr>
          <w:rFonts w:hint="eastAsia" w:ascii="宋体" w:hAnsi="宋体" w:eastAsia="宋体" w:cs="宋体"/>
          <w:sz w:val="10"/>
        </w:rPr>
        <w:t>一</w:t>
      </w:r>
      <w:r>
        <w:rPr>
          <w:rFonts w:hint="eastAsia" w:ascii="宋体" w:hAnsi="宋体" w:eastAsia="宋体" w:cs="宋体"/>
          <w:sz w:val="24"/>
        </w:rPr>
        <w:t>直专注于软件行业</w:t>
      </w:r>
      <w:r>
        <w:rPr>
          <w:rFonts w:hint="eastAsia" w:ascii="宋体" w:hAnsi="宋体" w:eastAsia="宋体" w:cs="宋体"/>
          <w:sz w:val="10"/>
        </w:rPr>
        <w:t>，</w:t>
      </w:r>
      <w:r>
        <w:rPr>
          <w:rFonts w:hint="eastAsia" w:ascii="宋体" w:hAnsi="宋体" w:eastAsia="宋体" w:cs="宋体"/>
          <w:sz w:val="24"/>
        </w:rPr>
        <w:t>与各主要供应商保持良好的合作关系</w:t>
      </w:r>
      <w:r>
        <w:rPr>
          <w:rFonts w:hint="eastAsia" w:ascii="宋体" w:hAnsi="宋体" w:eastAsia="宋体" w:cs="宋体"/>
          <w:sz w:val="10"/>
        </w:rPr>
        <w:t>，</w:t>
      </w:r>
      <w:r>
        <w:rPr>
          <w:rFonts w:hint="eastAsia" w:ascii="宋体" w:hAnsi="宋体" w:eastAsia="宋体" w:cs="宋体"/>
          <w:sz w:val="24"/>
        </w:rPr>
        <w:t>原材料供应良好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前五大供应商的采购情况</w:t>
      </w: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1-1-164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38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340" w:type="auto"/>
        <w:tblInd w:w="14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40"/>
        <w:gridCol w:w="700"/>
        <w:gridCol w:w="160"/>
        <w:gridCol w:w="3540"/>
        <w:gridCol w:w="1720"/>
        <w:gridCol w:w="2060"/>
      </w:tblGrid>
      <w:tr>
        <w:trPr>
          <w:trHeight w:val="620" w:hRule="exact"/>
        </w:trPr>
        <w:tc>
          <w:tcPr>
            <w:tcW w:w="1140" w:type="dxa"/>
            <w:tcMar>
              <w:top w:w="0" w:type="dxa"/>
              <w:left w:w="0" w:type="dxa"/>
              <w:bottom w:w="0" w:type="dxa"/>
              <w:right w:w="0" w:type="dxa"/>
            </w:tcMar>
          </w:tcPr>
          <w:p>
            <w:pPr>
              <w:spacing w:before="200"/>
              <w:ind w:left="340"/>
            </w:pPr>
            <w:r>
              <w:rPr>
                <w:rFonts w:hint="eastAsia" w:ascii="宋体" w:hAnsi="宋体" w:eastAsia="宋体" w:cs="宋体"/>
                <w:b/>
                <w:sz w:val="21"/>
              </w:rPr>
              <w:t>时间</w:t>
            </w:r>
          </w:p>
        </w:tc>
        <w:tc>
          <w:tcPr>
            <w:tcW w:w="700" w:type="dxa"/>
            <w:tcMar>
              <w:top w:w="0" w:type="dxa"/>
              <w:left w:w="0" w:type="dxa"/>
              <w:bottom w:w="0" w:type="dxa"/>
              <w:right w:w="0" w:type="dxa"/>
            </w:tcMar>
          </w:tcPr>
          <w:p>
            <w:pPr>
              <w:spacing w:before="200"/>
              <w:ind w:left="120"/>
            </w:pPr>
            <w:r>
              <w:rPr>
                <w:rFonts w:hint="eastAsia" w:ascii="宋体" w:hAnsi="宋体" w:eastAsia="宋体" w:cs="宋体"/>
                <w:b/>
                <w:sz w:val="21"/>
              </w:rPr>
              <w:t>序号</w:t>
            </w:r>
          </w:p>
        </w:tc>
        <w:tc>
          <w:tcPr>
            <w:tcW w:w="3700" w:type="dxa"/>
            <w:gridSpan w:val="2"/>
            <w:tcMar>
              <w:top w:w="0" w:type="dxa"/>
              <w:left w:w="0" w:type="dxa"/>
              <w:bottom w:w="0" w:type="dxa"/>
              <w:right w:w="0" w:type="dxa"/>
            </w:tcMar>
          </w:tcPr>
          <w:p>
            <w:pPr>
              <w:spacing w:before="200"/>
              <w:ind w:left="1300"/>
            </w:pPr>
            <w:r>
              <w:rPr>
                <w:rFonts w:hint="eastAsia" w:ascii="宋体" w:hAnsi="宋体" w:eastAsia="宋体" w:cs="宋体"/>
                <w:b/>
                <w:sz w:val="21"/>
              </w:rPr>
              <w:t>供应商名称</w:t>
            </w:r>
          </w:p>
        </w:tc>
        <w:tc>
          <w:tcPr>
            <w:tcW w:w="1720" w:type="dxa"/>
            <w:tcMar>
              <w:top w:w="0" w:type="dxa"/>
              <w:left w:w="0" w:type="dxa"/>
              <w:bottom w:w="0" w:type="dxa"/>
              <w:right w:w="0" w:type="dxa"/>
            </w:tcMar>
          </w:tcPr>
          <w:p>
            <w:pPr>
              <w:spacing w:before="200"/>
              <w:ind w:left="420"/>
            </w:pPr>
            <w:r>
              <w:rPr>
                <w:rFonts w:hint="eastAsia" w:ascii="宋体" w:hAnsi="宋体" w:eastAsia="宋体" w:cs="宋体"/>
                <w:b/>
                <w:sz w:val="21"/>
              </w:rPr>
              <w:t>采购金额</w:t>
            </w:r>
          </w:p>
        </w:tc>
        <w:tc>
          <w:tcPr>
            <w:tcW w:w="2060" w:type="dxa"/>
            <w:tcMar>
              <w:top w:w="0" w:type="dxa"/>
              <w:left w:w="0" w:type="dxa"/>
              <w:bottom w:w="0" w:type="dxa"/>
              <w:right w:w="0" w:type="dxa"/>
            </w:tcMar>
          </w:tcPr>
          <w:p>
            <w:pPr>
              <w:spacing w:before="20"/>
              <w:ind w:left="160"/>
            </w:pPr>
            <w:r>
              <w:rPr>
                <w:rFonts w:hint="eastAsia" w:ascii="宋体" w:hAnsi="宋体" w:eastAsia="宋体" w:cs="宋体"/>
                <w:b/>
                <w:sz w:val="21"/>
              </w:rPr>
              <w:t>占当期采购总额的</w:t>
            </w:r>
          </w:p>
          <w:p>
            <w:pPr>
              <w:spacing w:before="100"/>
              <w:ind w:left="800"/>
            </w:pPr>
            <w:r>
              <w:rPr>
                <w:rFonts w:hint="eastAsia" w:ascii="宋体" w:hAnsi="宋体" w:eastAsia="宋体" w:cs="宋体"/>
                <w:b/>
                <w:sz w:val="21"/>
              </w:rPr>
              <w:t>比例</w:t>
            </w:r>
          </w:p>
        </w:tc>
      </w:tr>
      <w:tr>
        <w:trPr>
          <w:trHeight w:val="480" w:hRule="exact"/>
        </w:trPr>
        <w:tc>
          <w:tcPr>
            <w:tcW w:w="1140" w:type="dxa"/>
            <w:vMerge w:val="restart"/>
            <w:tcMar>
              <w:top w:w="0" w:type="dxa"/>
              <w:left w:w="0" w:type="dxa"/>
              <w:bottom w:w="0" w:type="dxa"/>
              <w:right w:w="0" w:type="dxa"/>
            </w:tcMar>
          </w:tcPr>
          <w:p>
            <w:pPr>
              <w:spacing w:before="1060"/>
              <w:ind w:left="100"/>
            </w:pPr>
            <w:r>
              <w:rPr>
                <w:rFonts w:hint="eastAsia" w:ascii="Times New Roman" w:hAnsi="Times New Roman" w:eastAsia="Times New Roman" w:cs="Times New Roman"/>
                <w:sz w:val="21"/>
              </w:rPr>
              <w:t>2016</w:t>
            </w:r>
            <w:r>
              <w:rPr>
                <w:rFonts w:hint="eastAsia" w:ascii="宋体" w:hAnsi="宋体" w:eastAsia="宋体" w:cs="宋体"/>
                <w:sz w:val="21"/>
              </w:rPr>
              <w:t xml:space="preserve"> 年度</w:t>
            </w:r>
          </w:p>
        </w:tc>
        <w:tc>
          <w:tcPr>
            <w:tcW w:w="70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1</w:t>
            </w:r>
          </w:p>
        </w:tc>
        <w:tc>
          <w:tcPr>
            <w:tcW w:w="3700" w:type="dxa"/>
            <w:gridSpan w:val="2"/>
            <w:tcMar>
              <w:top w:w="0" w:type="dxa"/>
              <w:left w:w="0" w:type="dxa"/>
              <w:bottom w:w="0" w:type="dxa"/>
              <w:right w:w="0" w:type="dxa"/>
            </w:tcMar>
          </w:tcPr>
          <w:p>
            <w:pPr>
              <w:spacing w:before="120"/>
              <w:ind w:left="100"/>
            </w:pPr>
            <w:r>
              <w:rPr>
                <w:rFonts w:hint="eastAsia" w:ascii="宋体" w:hAnsi="宋体" w:eastAsia="宋体" w:cs="宋体"/>
                <w:sz w:val="21"/>
              </w:rPr>
              <w:t>上海四吉计算机信息有限公司</w:t>
            </w:r>
          </w:p>
        </w:tc>
        <w:tc>
          <w:tcPr>
            <w:tcW w:w="172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c>
          <w:tcPr>
            <w:tcW w:w="2060" w:type="dxa"/>
            <w:tcMar>
              <w:top w:w="0" w:type="dxa"/>
              <w:left w:w="0" w:type="dxa"/>
              <w:bottom w:w="0" w:type="dxa"/>
              <w:right w:w="0" w:type="dxa"/>
            </w:tcMar>
          </w:tcPr>
          <w:p>
            <w:pPr>
              <w:spacing w:before="180"/>
              <w:ind w:left="128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80" w:hRule="exact"/>
        </w:trPr>
        <w:tc>
          <w:tcPr>
            <w:tcW w:w="1140" w:type="dxa"/>
            <w:vMerge w:val="continue"/>
            <w:tcMar>
              <w:top w:w="0" w:type="dxa"/>
              <w:left w:w="0" w:type="dxa"/>
              <w:bottom w:w="0" w:type="dxa"/>
              <w:right w:w="0" w:type="dxa"/>
            </w:tcMar>
          </w:tcPr>
          <w:p/>
        </w:tc>
        <w:tc>
          <w:tcPr>
            <w:tcW w:w="70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2</w:t>
            </w:r>
          </w:p>
        </w:tc>
        <w:tc>
          <w:tcPr>
            <w:tcW w:w="3700" w:type="dxa"/>
            <w:gridSpan w:val="2"/>
            <w:tcMar>
              <w:top w:w="0" w:type="dxa"/>
              <w:left w:w="0" w:type="dxa"/>
              <w:bottom w:w="0" w:type="dxa"/>
              <w:right w:w="0" w:type="dxa"/>
            </w:tcMar>
          </w:tcPr>
          <w:p>
            <w:pPr>
              <w:spacing w:before="120"/>
              <w:ind w:left="100"/>
            </w:pPr>
            <w:r>
              <w:rPr>
                <w:rFonts w:hint="eastAsia" w:ascii="宋体" w:hAnsi="宋体" w:eastAsia="宋体" w:cs="宋体"/>
                <w:sz w:val="21"/>
              </w:rPr>
              <w:t>厦门巅峰科技有限公司</w:t>
            </w:r>
          </w:p>
        </w:tc>
        <w:tc>
          <w:tcPr>
            <w:tcW w:w="172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c>
          <w:tcPr>
            <w:tcW w:w="2060" w:type="dxa"/>
            <w:tcMar>
              <w:top w:w="0" w:type="dxa"/>
              <w:left w:w="0" w:type="dxa"/>
              <w:bottom w:w="0" w:type="dxa"/>
              <w:right w:w="0" w:type="dxa"/>
            </w:tcMar>
          </w:tcPr>
          <w:p>
            <w:pPr>
              <w:spacing w:before="140"/>
              <w:ind w:left="128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480" w:hRule="exact"/>
        </w:trPr>
        <w:tc>
          <w:tcPr>
            <w:tcW w:w="1140" w:type="dxa"/>
            <w:vMerge w:val="continue"/>
            <w:tcMar>
              <w:top w:w="0" w:type="dxa"/>
              <w:left w:w="0" w:type="dxa"/>
              <w:bottom w:w="0" w:type="dxa"/>
              <w:right w:w="0" w:type="dxa"/>
            </w:tcMar>
          </w:tcPr>
          <w:p/>
        </w:tc>
        <w:tc>
          <w:tcPr>
            <w:tcW w:w="7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3</w:t>
            </w:r>
          </w:p>
        </w:tc>
        <w:tc>
          <w:tcPr>
            <w:tcW w:w="3700" w:type="dxa"/>
            <w:gridSpan w:val="2"/>
            <w:tcMar>
              <w:top w:w="0" w:type="dxa"/>
              <w:left w:w="0" w:type="dxa"/>
              <w:bottom w:w="0" w:type="dxa"/>
              <w:right w:w="0" w:type="dxa"/>
            </w:tcMar>
          </w:tcPr>
          <w:p>
            <w:pPr>
              <w:spacing w:before="100"/>
              <w:ind w:left="100"/>
            </w:pPr>
            <w:r>
              <w:rPr>
                <w:rFonts w:hint="eastAsia" w:ascii="宋体" w:hAnsi="宋体" w:eastAsia="宋体" w:cs="宋体"/>
                <w:sz w:val="21"/>
              </w:rPr>
              <w:t>北京伟利创科技发展有限公司</w:t>
            </w:r>
          </w:p>
        </w:tc>
        <w:tc>
          <w:tcPr>
            <w:tcW w:w="172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594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c>
          <w:tcPr>
            <w:tcW w:w="2060" w:type="dxa"/>
            <w:tcMar>
              <w:top w:w="0" w:type="dxa"/>
              <w:left w:w="0" w:type="dxa"/>
              <w:bottom w:w="0" w:type="dxa"/>
              <w:right w:w="0" w:type="dxa"/>
            </w:tcMar>
          </w:tcPr>
          <w:p>
            <w:pPr>
              <w:spacing w:before="140"/>
              <w:ind w:left="14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p>
        </w:tc>
      </w:tr>
      <w:tr>
        <w:trPr>
          <w:trHeight w:val="460" w:hRule="exact"/>
        </w:trPr>
        <w:tc>
          <w:tcPr>
            <w:tcW w:w="1140" w:type="dxa"/>
            <w:vMerge w:val="continue"/>
            <w:tcMar>
              <w:top w:w="0" w:type="dxa"/>
              <w:left w:w="0" w:type="dxa"/>
              <w:bottom w:w="0" w:type="dxa"/>
              <w:right w:w="0" w:type="dxa"/>
            </w:tcMar>
          </w:tcPr>
          <w:p/>
        </w:tc>
        <w:tc>
          <w:tcPr>
            <w:tcW w:w="7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4</w:t>
            </w:r>
          </w:p>
        </w:tc>
        <w:tc>
          <w:tcPr>
            <w:tcW w:w="3700" w:type="dxa"/>
            <w:gridSpan w:val="2"/>
            <w:tcMar>
              <w:top w:w="0" w:type="dxa"/>
              <w:left w:w="0" w:type="dxa"/>
              <w:bottom w:w="0" w:type="dxa"/>
              <w:right w:w="0" w:type="dxa"/>
            </w:tcMar>
          </w:tcPr>
          <w:p>
            <w:pPr>
              <w:spacing w:before="100"/>
              <w:ind w:left="100"/>
            </w:pPr>
            <w:r>
              <w:rPr>
                <w:rFonts w:hint="eastAsia" w:ascii="宋体" w:hAnsi="宋体" w:eastAsia="宋体" w:cs="宋体"/>
                <w:sz w:val="21"/>
              </w:rPr>
              <w:t>上海数聚软件系统股份有限公司</w:t>
            </w:r>
          </w:p>
        </w:tc>
        <w:tc>
          <w:tcPr>
            <w:tcW w:w="172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496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206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r>
      <w:tr>
        <w:trPr>
          <w:trHeight w:val="480" w:hRule="exact"/>
        </w:trPr>
        <w:tc>
          <w:tcPr>
            <w:tcW w:w="1140" w:type="dxa"/>
            <w:vMerge w:val="continue"/>
            <w:tcMar>
              <w:top w:w="0" w:type="dxa"/>
              <w:left w:w="0" w:type="dxa"/>
              <w:bottom w:w="0" w:type="dxa"/>
              <w:right w:w="0" w:type="dxa"/>
            </w:tcMar>
          </w:tcPr>
          <w:p/>
        </w:tc>
        <w:tc>
          <w:tcPr>
            <w:tcW w:w="70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5</w:t>
            </w:r>
          </w:p>
        </w:tc>
        <w:tc>
          <w:tcPr>
            <w:tcW w:w="3700" w:type="dxa"/>
            <w:gridSpan w:val="2"/>
            <w:tcMar>
              <w:top w:w="0" w:type="dxa"/>
              <w:left w:w="0" w:type="dxa"/>
              <w:bottom w:w="0" w:type="dxa"/>
              <w:right w:w="0" w:type="dxa"/>
            </w:tcMar>
          </w:tcPr>
          <w:p>
            <w:pPr>
              <w:spacing w:before="120"/>
              <w:ind w:left="100"/>
            </w:pPr>
            <w:r>
              <w:rPr>
                <w:rFonts w:hint="eastAsia" w:ascii="宋体" w:hAnsi="宋体" w:eastAsia="宋体" w:cs="宋体"/>
                <w:sz w:val="21"/>
              </w:rPr>
              <w:t>翰林汇力</w:t>
            </w:r>
            <w:r>
              <w:rPr>
                <w:rFonts w:hint="eastAsia" w:ascii="Times New Roman" w:hAnsi="Times New Roman" w:eastAsia="Times New Roman" w:cs="Times New Roman"/>
                <w:sz w:val="20"/>
              </w:rPr>
              <w:t>(</w:t>
            </w:r>
            <w:r>
              <w:rPr>
                <w:rFonts w:hint="eastAsia" w:ascii="宋体" w:hAnsi="宋体" w:eastAsia="宋体" w:cs="宋体"/>
                <w:sz w:val="21"/>
              </w:rPr>
              <w:t>福建</w:t>
            </w:r>
            <w:r>
              <w:rPr>
                <w:rFonts w:hint="eastAsia" w:ascii="Times New Roman" w:hAnsi="Times New Roman" w:eastAsia="Times New Roman" w:cs="Times New Roman"/>
                <w:sz w:val="20"/>
              </w:rPr>
              <w:t>)</w:t>
            </w:r>
            <w:r>
              <w:rPr>
                <w:rFonts w:hint="eastAsia" w:ascii="宋体" w:hAnsi="宋体" w:eastAsia="宋体" w:cs="宋体"/>
                <w:sz w:val="21"/>
              </w:rPr>
              <w:t>信息技术有限公司</w:t>
            </w:r>
          </w:p>
        </w:tc>
        <w:tc>
          <w:tcPr>
            <w:tcW w:w="1720" w:type="dxa"/>
            <w:tcMar>
              <w:top w:w="0" w:type="dxa"/>
              <w:left w:w="0" w:type="dxa"/>
              <w:bottom w:w="0" w:type="dxa"/>
              <w:right w:w="0" w:type="dxa"/>
            </w:tcMar>
          </w:tcPr>
          <w:p>
            <w:pPr>
              <w:spacing w:before="180"/>
              <w:ind w:left="660"/>
            </w:pPr>
            <w:r>
              <w:rPr>
                <w:rFonts w:hint="eastAsia" w:ascii="Times New Roman" w:hAnsi="Times New Roman" w:eastAsia="Times New Roman" w:cs="Times New Roman"/>
                <w:sz w:val="21"/>
              </w:rPr>
              <w:t>465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2060" w:type="dxa"/>
            <w:tcMar>
              <w:top w:w="0" w:type="dxa"/>
              <w:left w:w="0" w:type="dxa"/>
              <w:bottom w:w="0" w:type="dxa"/>
              <w:right w:w="0" w:type="dxa"/>
            </w:tcMar>
          </w:tcPr>
          <w:p>
            <w:pPr>
              <w:spacing w:before="180"/>
              <w:ind w:left="14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p>
        </w:tc>
      </w:tr>
      <w:tr>
        <w:trPr>
          <w:trHeight w:val="480" w:hRule="exact"/>
        </w:trPr>
        <w:tc>
          <w:tcPr>
            <w:tcW w:w="5540" w:type="dxa"/>
            <w:gridSpan w:val="4"/>
            <w:tcMar>
              <w:top w:w="0" w:type="dxa"/>
              <w:left w:w="0" w:type="dxa"/>
              <w:bottom w:w="0" w:type="dxa"/>
              <w:right w:w="0" w:type="dxa"/>
            </w:tcMar>
          </w:tcPr>
          <w:p>
            <w:pPr>
              <w:spacing w:before="120"/>
              <w:ind w:left="2540"/>
            </w:pPr>
            <w:r>
              <w:rPr>
                <w:rFonts w:hint="eastAsia" w:ascii="宋体" w:hAnsi="宋体" w:eastAsia="宋体" w:cs="宋体"/>
                <w:b/>
                <w:sz w:val="21"/>
              </w:rPr>
              <w:t>合计</w:t>
            </w:r>
          </w:p>
        </w:tc>
        <w:tc>
          <w:tcPr>
            <w:tcW w:w="1720" w:type="dxa"/>
            <w:tcMar>
              <w:top w:w="0" w:type="dxa"/>
              <w:left w:w="0" w:type="dxa"/>
              <w:bottom w:w="0" w:type="dxa"/>
              <w:right w:w="0" w:type="dxa"/>
            </w:tcMar>
          </w:tcPr>
          <w:p>
            <w:pPr>
              <w:spacing w:before="160"/>
              <w:ind w:left="500"/>
            </w:pPr>
            <w:r>
              <w:rPr>
                <w:rFonts w:hint="eastAsia" w:ascii="Times New Roman Bold" w:hAnsi="Times New Roman Bold" w:eastAsia="Times New Roman Bold" w:cs="Times New Roman Bold"/>
                <w:b/>
                <w:sz w:val="21"/>
              </w:rPr>
              <w:t>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w:t>
            </w:r>
          </w:p>
        </w:tc>
        <w:tc>
          <w:tcPr>
            <w:tcW w:w="2060" w:type="dxa"/>
            <w:tcMar>
              <w:top w:w="0" w:type="dxa"/>
              <w:left w:w="0" w:type="dxa"/>
              <w:bottom w:w="0" w:type="dxa"/>
              <w:right w:w="0" w:type="dxa"/>
            </w:tcMar>
          </w:tcPr>
          <w:p>
            <w:pPr>
              <w:spacing w:before="160"/>
              <w:ind w:left="1260"/>
            </w:pPr>
            <w:r>
              <w:rPr>
                <w:rFonts w:hint="eastAsia" w:ascii="Times New Roman Bold" w:hAnsi="Times New Roman Bold" w:eastAsia="Times New Roman Bold" w:cs="Times New Roman Bold"/>
                <w:b/>
                <w:sz w:val="21"/>
              </w:rPr>
              <w:t>55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p>
        </w:tc>
      </w:tr>
      <w:tr>
        <w:trPr>
          <w:trHeight w:val="480" w:hRule="exact"/>
        </w:trPr>
        <w:tc>
          <w:tcPr>
            <w:tcW w:w="1140" w:type="dxa"/>
            <w:vMerge w:val="restart"/>
            <w:tcMar>
              <w:top w:w="0" w:type="dxa"/>
              <w:left w:w="0" w:type="dxa"/>
              <w:bottom w:w="0" w:type="dxa"/>
              <w:right w:w="0" w:type="dxa"/>
            </w:tcMar>
          </w:tcPr>
          <w:p>
            <w:pPr>
              <w:spacing w:before="1060"/>
              <w:ind w:left="100"/>
            </w:pPr>
            <w:r>
              <w:rPr>
                <w:rFonts w:hint="eastAsia" w:ascii="Times New Roman" w:hAnsi="Times New Roman" w:eastAsia="Times New Roman" w:cs="Times New Roman"/>
                <w:sz w:val="21"/>
              </w:rPr>
              <w:t>2015</w:t>
            </w:r>
            <w:r>
              <w:rPr>
                <w:rFonts w:hint="eastAsia" w:ascii="宋体" w:hAnsi="宋体" w:eastAsia="宋体" w:cs="宋体"/>
                <w:sz w:val="21"/>
              </w:rPr>
              <w:t xml:space="preserve"> 年度</w:t>
            </w:r>
          </w:p>
        </w:tc>
        <w:tc>
          <w:tcPr>
            <w:tcW w:w="7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w:t>
            </w:r>
          </w:p>
        </w:tc>
        <w:tc>
          <w:tcPr>
            <w:tcW w:w="3700" w:type="dxa"/>
            <w:gridSpan w:val="2"/>
            <w:tcMar>
              <w:top w:w="0" w:type="dxa"/>
              <w:left w:w="0" w:type="dxa"/>
              <w:bottom w:w="0" w:type="dxa"/>
              <w:right w:w="0" w:type="dxa"/>
            </w:tcMar>
          </w:tcPr>
          <w:p>
            <w:pPr>
              <w:spacing w:before="100"/>
              <w:ind w:left="100"/>
            </w:pPr>
            <w:r>
              <w:rPr>
                <w:rFonts w:hint="eastAsia" w:ascii="宋体" w:hAnsi="宋体" w:eastAsia="宋体" w:cs="宋体"/>
                <w:sz w:val="21"/>
              </w:rPr>
              <w:t>上海四吉计算机信息有限公司</w:t>
            </w:r>
          </w:p>
        </w:tc>
        <w:tc>
          <w:tcPr>
            <w:tcW w:w="17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2060" w:type="dxa"/>
            <w:tcMar>
              <w:top w:w="0" w:type="dxa"/>
              <w:left w:w="0" w:type="dxa"/>
              <w:bottom w:w="0" w:type="dxa"/>
              <w:right w:w="0" w:type="dxa"/>
            </w:tcMar>
          </w:tcPr>
          <w:p>
            <w:pPr>
              <w:spacing w:before="140"/>
              <w:ind w:left="128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60" w:hRule="exact"/>
        </w:trPr>
        <w:tc>
          <w:tcPr>
            <w:tcW w:w="1140" w:type="dxa"/>
            <w:vMerge w:val="continue"/>
            <w:tcMar>
              <w:top w:w="0" w:type="dxa"/>
              <w:left w:w="0" w:type="dxa"/>
              <w:bottom w:w="0" w:type="dxa"/>
              <w:right w:w="0" w:type="dxa"/>
            </w:tcMar>
          </w:tcPr>
          <w:p/>
        </w:tc>
        <w:tc>
          <w:tcPr>
            <w:tcW w:w="7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w:t>
            </w:r>
          </w:p>
        </w:tc>
        <w:tc>
          <w:tcPr>
            <w:tcW w:w="3700" w:type="dxa"/>
            <w:gridSpan w:val="2"/>
            <w:tcMar>
              <w:top w:w="0" w:type="dxa"/>
              <w:left w:w="0" w:type="dxa"/>
              <w:bottom w:w="0" w:type="dxa"/>
              <w:right w:w="0" w:type="dxa"/>
            </w:tcMar>
          </w:tcPr>
          <w:p>
            <w:pPr>
              <w:spacing w:before="100"/>
              <w:ind w:left="100"/>
            </w:pPr>
            <w:r>
              <w:rPr>
                <w:rFonts w:hint="eastAsia" w:ascii="宋体" w:hAnsi="宋体" w:eastAsia="宋体" w:cs="宋体"/>
                <w:sz w:val="21"/>
              </w:rPr>
              <w:t>北京辉蓝保盈科技发展有限公司</w:t>
            </w:r>
          </w:p>
        </w:tc>
        <w:tc>
          <w:tcPr>
            <w:tcW w:w="17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206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r>
        <w:trPr>
          <w:trHeight w:val="480" w:hRule="exact"/>
        </w:trPr>
        <w:tc>
          <w:tcPr>
            <w:tcW w:w="1140" w:type="dxa"/>
            <w:vMerge w:val="continue"/>
            <w:tcMar>
              <w:top w:w="0" w:type="dxa"/>
              <w:left w:w="0" w:type="dxa"/>
              <w:bottom w:w="0" w:type="dxa"/>
              <w:right w:w="0" w:type="dxa"/>
            </w:tcMar>
          </w:tcPr>
          <w:p/>
        </w:tc>
        <w:tc>
          <w:tcPr>
            <w:tcW w:w="70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3</w:t>
            </w:r>
          </w:p>
        </w:tc>
        <w:tc>
          <w:tcPr>
            <w:tcW w:w="3700" w:type="dxa"/>
            <w:gridSpan w:val="2"/>
            <w:tcMar>
              <w:top w:w="0" w:type="dxa"/>
              <w:left w:w="0" w:type="dxa"/>
              <w:bottom w:w="0" w:type="dxa"/>
              <w:right w:w="0" w:type="dxa"/>
            </w:tcMar>
          </w:tcPr>
          <w:p>
            <w:pPr>
              <w:spacing w:before="120"/>
              <w:ind w:left="100"/>
            </w:pPr>
            <w:r>
              <w:rPr>
                <w:rFonts w:hint="eastAsia" w:ascii="宋体" w:hAnsi="宋体" w:eastAsia="宋体" w:cs="宋体"/>
                <w:sz w:val="21"/>
              </w:rPr>
              <w:t>厦门巅峰科技有限公司</w:t>
            </w:r>
          </w:p>
        </w:tc>
        <w:tc>
          <w:tcPr>
            <w:tcW w:w="1720" w:type="dxa"/>
            <w:tcMar>
              <w:top w:w="0" w:type="dxa"/>
              <w:left w:w="0" w:type="dxa"/>
              <w:bottom w:w="0" w:type="dxa"/>
              <w:right w:w="0" w:type="dxa"/>
            </w:tcMar>
          </w:tcPr>
          <w:p>
            <w:pPr>
              <w:spacing w:before="180"/>
              <w:ind w:left="660"/>
            </w:pPr>
            <w:r>
              <w:rPr>
                <w:rFonts w:hint="eastAsia" w:ascii="Times New Roman" w:hAnsi="Times New Roman" w:eastAsia="Times New Roman" w:cs="Times New Roman"/>
                <w:sz w:val="21"/>
              </w:rPr>
              <w:t>488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2060" w:type="dxa"/>
            <w:tcMar>
              <w:top w:w="0" w:type="dxa"/>
              <w:left w:w="0" w:type="dxa"/>
              <w:bottom w:w="0" w:type="dxa"/>
              <w:right w:w="0" w:type="dxa"/>
            </w:tcMar>
          </w:tcPr>
          <w:p>
            <w:pPr>
              <w:spacing w:before="180"/>
              <w:ind w:left="14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r>
              <w:rPr>
                <w:rFonts w:hint="eastAsia" w:ascii="Times New Roman" w:hAnsi="Times New Roman" w:eastAsia="Times New Roman" w:cs="Times New Roman"/>
                <w:sz w:val="20"/>
              </w:rPr>
              <w:t>%</w:t>
            </w:r>
          </w:p>
        </w:tc>
      </w:tr>
      <w:tr>
        <w:trPr>
          <w:trHeight w:val="480" w:hRule="exact"/>
        </w:trPr>
        <w:tc>
          <w:tcPr>
            <w:tcW w:w="1140" w:type="dxa"/>
            <w:vMerge w:val="continue"/>
            <w:tcMar>
              <w:top w:w="0" w:type="dxa"/>
              <w:left w:w="0" w:type="dxa"/>
              <w:bottom w:w="0" w:type="dxa"/>
              <w:right w:w="0" w:type="dxa"/>
            </w:tcMar>
          </w:tcPr>
          <w:p/>
        </w:tc>
        <w:tc>
          <w:tcPr>
            <w:tcW w:w="70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4</w:t>
            </w:r>
          </w:p>
        </w:tc>
        <w:tc>
          <w:tcPr>
            <w:tcW w:w="3700" w:type="dxa"/>
            <w:gridSpan w:val="2"/>
            <w:tcMar>
              <w:top w:w="0" w:type="dxa"/>
              <w:left w:w="0" w:type="dxa"/>
              <w:bottom w:w="0" w:type="dxa"/>
              <w:right w:w="0" w:type="dxa"/>
            </w:tcMar>
          </w:tcPr>
          <w:p>
            <w:pPr>
              <w:spacing w:before="120"/>
              <w:ind w:left="100"/>
            </w:pPr>
            <w:r>
              <w:rPr>
                <w:rFonts w:hint="eastAsia" w:ascii="宋体" w:hAnsi="宋体" w:eastAsia="宋体" w:cs="宋体"/>
                <w:sz w:val="21"/>
              </w:rPr>
              <w:t>四川长虹佳华信息产品有限责任公司</w:t>
            </w:r>
          </w:p>
        </w:tc>
        <w:tc>
          <w:tcPr>
            <w:tcW w:w="172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460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2060" w:type="dxa"/>
            <w:tcMar>
              <w:top w:w="0" w:type="dxa"/>
              <w:left w:w="0" w:type="dxa"/>
              <w:bottom w:w="0" w:type="dxa"/>
              <w:right w:w="0" w:type="dxa"/>
            </w:tcMar>
          </w:tcPr>
          <w:p>
            <w:pPr>
              <w:spacing w:before="140"/>
              <w:ind w:left="14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p>
        </w:tc>
      </w:tr>
      <w:tr>
        <w:trPr>
          <w:trHeight w:val="480" w:hRule="exact"/>
        </w:trPr>
        <w:tc>
          <w:tcPr>
            <w:tcW w:w="1140" w:type="dxa"/>
            <w:vMerge w:val="continue"/>
            <w:tcMar>
              <w:top w:w="0" w:type="dxa"/>
              <w:left w:w="0" w:type="dxa"/>
              <w:bottom w:w="0" w:type="dxa"/>
              <w:right w:w="0" w:type="dxa"/>
            </w:tcMar>
          </w:tcPr>
          <w:p/>
        </w:tc>
        <w:tc>
          <w:tcPr>
            <w:tcW w:w="7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5</w:t>
            </w:r>
          </w:p>
        </w:tc>
        <w:tc>
          <w:tcPr>
            <w:tcW w:w="3700" w:type="dxa"/>
            <w:gridSpan w:val="2"/>
            <w:tcMar>
              <w:top w:w="0" w:type="dxa"/>
              <w:left w:w="0" w:type="dxa"/>
              <w:bottom w:w="0" w:type="dxa"/>
              <w:right w:w="0" w:type="dxa"/>
            </w:tcMar>
          </w:tcPr>
          <w:p>
            <w:pPr>
              <w:spacing w:before="100"/>
              <w:ind w:left="100"/>
            </w:pPr>
            <w:r>
              <w:rPr>
                <w:rFonts w:hint="eastAsia" w:ascii="宋体" w:hAnsi="宋体" w:eastAsia="宋体" w:cs="宋体"/>
                <w:sz w:val="21"/>
              </w:rPr>
              <w:t>上海数聚软件系统股份有限公司</w:t>
            </w:r>
          </w:p>
        </w:tc>
        <w:tc>
          <w:tcPr>
            <w:tcW w:w="172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458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c>
          <w:tcPr>
            <w:tcW w:w="2060" w:type="dxa"/>
            <w:tcMar>
              <w:top w:w="0" w:type="dxa"/>
              <w:left w:w="0" w:type="dxa"/>
              <w:bottom w:w="0" w:type="dxa"/>
              <w:right w:w="0" w:type="dxa"/>
            </w:tcMar>
          </w:tcPr>
          <w:p>
            <w:pPr>
              <w:spacing w:before="140"/>
              <w:ind w:left="14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r>
      <w:tr>
        <w:trPr>
          <w:trHeight w:val="460" w:hRule="exact"/>
        </w:trPr>
        <w:tc>
          <w:tcPr>
            <w:tcW w:w="5540" w:type="dxa"/>
            <w:gridSpan w:val="4"/>
            <w:tcMar>
              <w:top w:w="0" w:type="dxa"/>
              <w:left w:w="0" w:type="dxa"/>
              <w:bottom w:w="0" w:type="dxa"/>
              <w:right w:w="0" w:type="dxa"/>
            </w:tcMar>
          </w:tcPr>
          <w:p>
            <w:pPr>
              <w:spacing w:before="120"/>
              <w:ind w:left="2540"/>
            </w:pPr>
            <w:r>
              <w:rPr>
                <w:rFonts w:hint="eastAsia" w:ascii="宋体" w:hAnsi="宋体" w:eastAsia="宋体" w:cs="宋体"/>
                <w:b/>
                <w:sz w:val="21"/>
              </w:rPr>
              <w:t>合计</w:t>
            </w:r>
          </w:p>
        </w:tc>
        <w:tc>
          <w:tcPr>
            <w:tcW w:w="1720" w:type="dxa"/>
            <w:tcMar>
              <w:top w:w="0" w:type="dxa"/>
              <w:left w:w="0" w:type="dxa"/>
              <w:bottom w:w="0" w:type="dxa"/>
              <w:right w:w="0" w:type="dxa"/>
            </w:tcMar>
          </w:tcPr>
          <w:p>
            <w:pPr>
              <w:spacing w:before="160"/>
              <w:ind w:left="500"/>
            </w:pPr>
            <w:r>
              <w:rPr>
                <w:rFonts w:hint="eastAsia" w:ascii="Times New Roman Bold" w:hAnsi="Times New Roman Bold" w:eastAsia="Times New Roman Bold" w:cs="Times New Roman Bold"/>
                <w:b/>
                <w:sz w:val="21"/>
              </w:rPr>
              <w:t>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09</w:t>
            </w:r>
          </w:p>
        </w:tc>
        <w:tc>
          <w:tcPr>
            <w:tcW w:w="2060" w:type="dxa"/>
            <w:tcMar>
              <w:top w:w="0" w:type="dxa"/>
              <w:left w:w="0" w:type="dxa"/>
              <w:bottom w:w="0" w:type="dxa"/>
              <w:right w:w="0" w:type="dxa"/>
            </w:tcMar>
          </w:tcPr>
          <w:p>
            <w:pPr>
              <w:spacing w:before="160"/>
              <w:ind w:left="1260"/>
            </w:pPr>
            <w:r>
              <w:rPr>
                <w:rFonts w:hint="eastAsia" w:ascii="Times New Roman Bold" w:hAnsi="Times New Roman Bold" w:eastAsia="Times New Roman Bold" w:cs="Times New Roman Bold"/>
                <w:b/>
                <w:sz w:val="21"/>
              </w:rPr>
              <w:t>59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r>
              <w:rPr>
                <w:rFonts w:hint="eastAsia" w:ascii="Times New Roman Bold" w:hAnsi="Times New Roman Bold" w:eastAsia="Times New Roman Bold" w:cs="Times New Roman Bold"/>
                <w:b/>
                <w:sz w:val="20"/>
              </w:rPr>
              <w:t>%</w:t>
            </w:r>
          </w:p>
        </w:tc>
      </w:tr>
      <w:tr>
        <w:trPr>
          <w:trHeight w:val="480" w:hRule="exact"/>
        </w:trPr>
        <w:tc>
          <w:tcPr>
            <w:tcW w:w="1140" w:type="dxa"/>
            <w:vMerge w:val="restart"/>
            <w:tcMar>
              <w:top w:w="0" w:type="dxa"/>
              <w:left w:w="0" w:type="dxa"/>
              <w:bottom w:w="0" w:type="dxa"/>
              <w:right w:w="0" w:type="dxa"/>
            </w:tcMar>
          </w:tcPr>
          <w:p>
            <w:pPr>
              <w:spacing w:before="1060"/>
              <w:ind w:left="100"/>
            </w:pPr>
            <w:r>
              <w:rPr>
                <w:rFonts w:hint="eastAsia" w:ascii="Times New Roman" w:hAnsi="Times New Roman" w:eastAsia="Times New Roman" w:cs="Times New Roman"/>
                <w:sz w:val="21"/>
              </w:rPr>
              <w:t>2014</w:t>
            </w:r>
            <w:r>
              <w:rPr>
                <w:rFonts w:hint="eastAsia" w:ascii="宋体" w:hAnsi="宋体" w:eastAsia="宋体" w:cs="宋体"/>
                <w:sz w:val="21"/>
              </w:rPr>
              <w:t xml:space="preserve"> 年度</w:t>
            </w:r>
          </w:p>
        </w:tc>
        <w:tc>
          <w:tcPr>
            <w:tcW w:w="860" w:type="dxa"/>
            <w:gridSpan w:val="2"/>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1</w:t>
            </w:r>
          </w:p>
        </w:tc>
        <w:tc>
          <w:tcPr>
            <w:tcW w:w="3540" w:type="dxa"/>
            <w:tcMar>
              <w:top w:w="0" w:type="dxa"/>
              <w:left w:w="0" w:type="dxa"/>
              <w:bottom w:w="0" w:type="dxa"/>
              <w:right w:w="0" w:type="dxa"/>
            </w:tcMar>
          </w:tcPr>
          <w:p>
            <w:pPr>
              <w:spacing w:before="120"/>
            </w:pPr>
            <w:r>
              <w:rPr>
                <w:rFonts w:hint="eastAsia" w:ascii="宋体" w:hAnsi="宋体" w:eastAsia="宋体" w:cs="宋体"/>
                <w:sz w:val="21"/>
              </w:rPr>
              <w:t>中国软件与技术服务股份有限公司</w:t>
            </w:r>
          </w:p>
        </w:tc>
        <w:tc>
          <w:tcPr>
            <w:tcW w:w="172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2060" w:type="dxa"/>
            <w:tcMar>
              <w:top w:w="0" w:type="dxa"/>
              <w:left w:w="0" w:type="dxa"/>
              <w:bottom w:w="0" w:type="dxa"/>
              <w:right w:w="0" w:type="dxa"/>
            </w:tcMar>
          </w:tcPr>
          <w:p>
            <w:pPr>
              <w:spacing w:before="180"/>
              <w:ind w:left="12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r>
      <w:tr>
        <w:trPr>
          <w:trHeight w:val="480" w:hRule="exact"/>
        </w:trPr>
        <w:tc>
          <w:tcPr>
            <w:tcW w:w="1140" w:type="dxa"/>
            <w:vMerge w:val="continue"/>
            <w:tcMar>
              <w:top w:w="0" w:type="dxa"/>
              <w:left w:w="0" w:type="dxa"/>
              <w:bottom w:w="0" w:type="dxa"/>
              <w:right w:w="0" w:type="dxa"/>
            </w:tcMar>
          </w:tcPr>
          <w:p/>
        </w:tc>
        <w:tc>
          <w:tcPr>
            <w:tcW w:w="860" w:type="dxa"/>
            <w:gridSpan w:val="2"/>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2</w:t>
            </w:r>
          </w:p>
        </w:tc>
        <w:tc>
          <w:tcPr>
            <w:tcW w:w="3540" w:type="dxa"/>
            <w:tcMar>
              <w:top w:w="0" w:type="dxa"/>
              <w:left w:w="0" w:type="dxa"/>
              <w:bottom w:w="0" w:type="dxa"/>
              <w:right w:w="0" w:type="dxa"/>
            </w:tcMar>
          </w:tcPr>
          <w:p>
            <w:pPr>
              <w:spacing w:before="120"/>
            </w:pPr>
            <w:r>
              <w:rPr>
                <w:rFonts w:hint="eastAsia" w:ascii="宋体" w:hAnsi="宋体" w:eastAsia="宋体" w:cs="宋体"/>
                <w:sz w:val="21"/>
              </w:rPr>
              <w:t>福建佳迅电子有限公司</w:t>
            </w:r>
          </w:p>
        </w:tc>
        <w:tc>
          <w:tcPr>
            <w:tcW w:w="17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c>
          <w:tcPr>
            <w:tcW w:w="2060" w:type="dxa"/>
            <w:tcMar>
              <w:top w:w="0" w:type="dxa"/>
              <w:left w:w="0" w:type="dxa"/>
              <w:bottom w:w="0" w:type="dxa"/>
              <w:right w:w="0" w:type="dxa"/>
            </w:tcMar>
          </w:tcPr>
          <w:p>
            <w:pPr>
              <w:spacing w:before="160"/>
              <w:ind w:left="128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r>
      <w:tr>
        <w:trPr>
          <w:trHeight w:val="480" w:hRule="exact"/>
        </w:trPr>
        <w:tc>
          <w:tcPr>
            <w:tcW w:w="1140" w:type="dxa"/>
            <w:vMerge w:val="continue"/>
            <w:tcMar>
              <w:top w:w="0" w:type="dxa"/>
              <w:left w:w="0" w:type="dxa"/>
              <w:bottom w:w="0" w:type="dxa"/>
              <w:right w:w="0" w:type="dxa"/>
            </w:tcMar>
          </w:tcPr>
          <w:p/>
        </w:tc>
        <w:tc>
          <w:tcPr>
            <w:tcW w:w="860" w:type="dxa"/>
            <w:gridSpan w:val="2"/>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3</w:t>
            </w:r>
          </w:p>
        </w:tc>
        <w:tc>
          <w:tcPr>
            <w:tcW w:w="3540" w:type="dxa"/>
            <w:tcMar>
              <w:top w:w="0" w:type="dxa"/>
              <w:left w:w="0" w:type="dxa"/>
              <w:bottom w:w="0" w:type="dxa"/>
              <w:right w:w="0" w:type="dxa"/>
            </w:tcMar>
          </w:tcPr>
          <w:p>
            <w:pPr>
              <w:spacing w:before="100"/>
            </w:pPr>
            <w:r>
              <w:rPr>
                <w:rFonts w:hint="eastAsia" w:ascii="宋体" w:hAnsi="宋体" w:eastAsia="宋体" w:cs="宋体"/>
                <w:sz w:val="21"/>
              </w:rPr>
              <w:t>福州卓普计算机有限公司</w:t>
            </w:r>
          </w:p>
        </w:tc>
        <w:tc>
          <w:tcPr>
            <w:tcW w:w="172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p>
        </w:tc>
        <w:tc>
          <w:tcPr>
            <w:tcW w:w="2060" w:type="dxa"/>
            <w:tcMar>
              <w:top w:w="0" w:type="dxa"/>
              <w:left w:w="0" w:type="dxa"/>
              <w:bottom w:w="0" w:type="dxa"/>
              <w:right w:w="0" w:type="dxa"/>
            </w:tcMar>
          </w:tcPr>
          <w:p>
            <w:pPr>
              <w:spacing w:before="140"/>
              <w:ind w:left="14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p>
        </w:tc>
      </w:tr>
      <w:tr>
        <w:trPr>
          <w:trHeight w:val="460" w:hRule="exact"/>
        </w:trPr>
        <w:tc>
          <w:tcPr>
            <w:tcW w:w="1140" w:type="dxa"/>
            <w:vMerge w:val="continue"/>
            <w:tcMar>
              <w:top w:w="0" w:type="dxa"/>
              <w:left w:w="0" w:type="dxa"/>
              <w:bottom w:w="0" w:type="dxa"/>
              <w:right w:w="0" w:type="dxa"/>
            </w:tcMar>
          </w:tcPr>
          <w:p/>
        </w:tc>
        <w:tc>
          <w:tcPr>
            <w:tcW w:w="860" w:type="dxa"/>
            <w:gridSpan w:val="2"/>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4</w:t>
            </w:r>
          </w:p>
        </w:tc>
        <w:tc>
          <w:tcPr>
            <w:tcW w:w="3540" w:type="dxa"/>
            <w:tcMar>
              <w:top w:w="0" w:type="dxa"/>
              <w:left w:w="0" w:type="dxa"/>
              <w:bottom w:w="0" w:type="dxa"/>
              <w:right w:w="0" w:type="dxa"/>
            </w:tcMar>
          </w:tcPr>
          <w:p>
            <w:pPr>
              <w:spacing w:before="100"/>
            </w:pPr>
            <w:r>
              <w:rPr>
                <w:rFonts w:hint="eastAsia" w:ascii="宋体" w:hAnsi="宋体" w:eastAsia="宋体" w:cs="宋体"/>
                <w:sz w:val="21"/>
              </w:rPr>
              <w:t>上海四吉计算机信息有限公司</w:t>
            </w:r>
          </w:p>
        </w:tc>
        <w:tc>
          <w:tcPr>
            <w:tcW w:w="17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2060" w:type="dxa"/>
            <w:tcMar>
              <w:top w:w="0" w:type="dxa"/>
              <w:left w:w="0" w:type="dxa"/>
              <w:bottom w:w="0" w:type="dxa"/>
              <w:right w:w="0" w:type="dxa"/>
            </w:tcMar>
          </w:tcPr>
          <w:p>
            <w:pPr>
              <w:spacing w:before="160"/>
              <w:ind w:left="14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p>
        </w:tc>
      </w:tr>
      <w:tr>
        <w:trPr>
          <w:trHeight w:val="480" w:hRule="exact"/>
        </w:trPr>
        <w:tc>
          <w:tcPr>
            <w:tcW w:w="1140" w:type="dxa"/>
            <w:vMerge w:val="continue"/>
            <w:tcMar>
              <w:top w:w="0" w:type="dxa"/>
              <w:left w:w="0" w:type="dxa"/>
              <w:bottom w:w="0" w:type="dxa"/>
              <w:right w:w="0" w:type="dxa"/>
            </w:tcMar>
          </w:tcPr>
          <w:p/>
        </w:tc>
        <w:tc>
          <w:tcPr>
            <w:tcW w:w="860" w:type="dxa"/>
            <w:gridSpan w:val="2"/>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5</w:t>
            </w:r>
          </w:p>
        </w:tc>
        <w:tc>
          <w:tcPr>
            <w:tcW w:w="3540" w:type="dxa"/>
            <w:tcMar>
              <w:top w:w="0" w:type="dxa"/>
              <w:left w:w="0" w:type="dxa"/>
              <w:bottom w:w="0" w:type="dxa"/>
              <w:right w:w="0" w:type="dxa"/>
            </w:tcMar>
          </w:tcPr>
          <w:p>
            <w:pPr>
              <w:spacing w:before="120"/>
            </w:pPr>
            <w:r>
              <w:rPr>
                <w:rFonts w:hint="eastAsia" w:ascii="宋体" w:hAnsi="宋体" w:eastAsia="宋体" w:cs="宋体"/>
                <w:sz w:val="21"/>
              </w:rPr>
              <w:t>厦门云脉技术有限公司</w:t>
            </w:r>
          </w:p>
        </w:tc>
        <w:tc>
          <w:tcPr>
            <w:tcW w:w="1720" w:type="dxa"/>
            <w:tcMar>
              <w:top w:w="0" w:type="dxa"/>
              <w:left w:w="0" w:type="dxa"/>
              <w:bottom w:w="0" w:type="dxa"/>
              <w:right w:w="0" w:type="dxa"/>
            </w:tcMar>
          </w:tcPr>
          <w:p>
            <w:pPr>
              <w:spacing w:before="180"/>
              <w:ind w:left="660"/>
            </w:pPr>
            <w:r>
              <w:rPr>
                <w:rFonts w:hint="eastAsia" w:ascii="Times New Roman" w:hAnsi="Times New Roman" w:eastAsia="Times New Roman" w:cs="Times New Roman"/>
                <w:sz w:val="21"/>
              </w:rPr>
              <w:t>683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c>
          <w:tcPr>
            <w:tcW w:w="2060" w:type="dxa"/>
            <w:tcMar>
              <w:top w:w="0" w:type="dxa"/>
              <w:left w:w="0" w:type="dxa"/>
              <w:bottom w:w="0" w:type="dxa"/>
              <w:right w:w="0" w:type="dxa"/>
            </w:tcMar>
          </w:tcPr>
          <w:p>
            <w:pPr>
              <w:spacing w:before="180"/>
              <w:ind w:left="14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60" w:hRule="exact"/>
        </w:trPr>
        <w:tc>
          <w:tcPr>
            <w:tcW w:w="5540" w:type="dxa"/>
            <w:gridSpan w:val="4"/>
            <w:tcMar>
              <w:top w:w="0" w:type="dxa"/>
              <w:left w:w="0" w:type="dxa"/>
              <w:bottom w:w="0" w:type="dxa"/>
              <w:right w:w="0" w:type="dxa"/>
            </w:tcMar>
          </w:tcPr>
          <w:p>
            <w:pPr>
              <w:spacing w:before="120"/>
              <w:ind w:left="2540"/>
            </w:pPr>
            <w:r>
              <w:rPr>
                <w:rFonts w:hint="eastAsia" w:ascii="宋体" w:hAnsi="宋体" w:eastAsia="宋体" w:cs="宋体"/>
                <w:b/>
                <w:sz w:val="21"/>
              </w:rPr>
              <w:t>合计</w:t>
            </w:r>
          </w:p>
        </w:tc>
        <w:tc>
          <w:tcPr>
            <w:tcW w:w="1720" w:type="dxa"/>
            <w:tcMar>
              <w:top w:w="0" w:type="dxa"/>
              <w:left w:w="0" w:type="dxa"/>
              <w:bottom w:w="0" w:type="dxa"/>
              <w:right w:w="0" w:type="dxa"/>
            </w:tcMar>
          </w:tcPr>
          <w:p>
            <w:pPr>
              <w:spacing w:before="180"/>
              <w:ind w:left="500"/>
            </w:pPr>
            <w:r>
              <w:rPr>
                <w:rFonts w:hint="eastAsia" w:ascii="Times New Roman Bold" w:hAnsi="Times New Roman Bold" w:eastAsia="Times New Roman Bold" w:cs="Times New Roman Bold"/>
                <w:b/>
                <w:sz w:val="21"/>
              </w:rPr>
              <w:t>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2060" w:type="dxa"/>
            <w:tcMar>
              <w:top w:w="0" w:type="dxa"/>
              <w:left w:w="0" w:type="dxa"/>
              <w:bottom w:w="0" w:type="dxa"/>
              <w:right w:w="0" w:type="dxa"/>
            </w:tcMar>
          </w:tcPr>
          <w:p>
            <w:pPr>
              <w:spacing w:before="160"/>
              <w:ind w:left="1260"/>
            </w:pPr>
            <w:r>
              <w:rPr>
                <w:rFonts w:hint="eastAsia" w:ascii="Times New Roman Bold" w:hAnsi="Times New Roman Bold" w:eastAsia="Times New Roman Bold" w:cs="Times New Roman Bold"/>
                <w:b/>
                <w:sz w:val="21"/>
              </w:rPr>
              <w:t>45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本公司不存在向单个供应商的采购金额占采购总额的比例超过</w:t>
      </w:r>
      <w:r>
        <w:rPr>
          <w:rFonts w:hint="eastAsia" w:ascii="Times New Roman" w:hAnsi="Times New Roman" w:eastAsia="Times New Roman" w:cs="Times New Roman"/>
          <w:sz w:val="24"/>
        </w:rPr>
        <w:t xml:space="preserve"> 50%</w:t>
      </w:r>
      <w:r>
        <w:rPr>
          <w:rFonts w:hint="eastAsia" w:ascii="宋体" w:hAnsi="宋体" w:eastAsia="宋体" w:cs="宋体"/>
          <w:sz w:val="24"/>
        </w:rPr>
        <w:t>的情况</w:t>
      </w:r>
      <w:r>
        <w:rPr>
          <w:rFonts w:hint="eastAsia" w:ascii="宋体" w:hAnsi="宋体" w:eastAsia="宋体" w:cs="宋体"/>
          <w:sz w:val="10"/>
        </w:rPr>
        <w:t>，</w:t>
      </w:r>
      <w:r>
        <w:rPr>
          <w:rFonts w:hint="eastAsia" w:ascii="宋体" w:hAnsi="宋体" w:eastAsia="宋体" w:cs="宋体"/>
          <w:sz w:val="24"/>
        </w:rPr>
        <w:t>本公司董事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w:t>
      </w:r>
      <w:r>
        <w:rPr>
          <w:rFonts w:hint="eastAsia" w:ascii="宋体" w:hAnsi="宋体" w:eastAsia="宋体" w:cs="宋体"/>
          <w:sz w:val="10"/>
        </w:rPr>
        <w:t>，</w:t>
      </w:r>
      <w:r>
        <w:rPr>
          <w:rFonts w:hint="eastAsia" w:ascii="宋体" w:hAnsi="宋体" w:eastAsia="宋体" w:cs="宋体"/>
          <w:sz w:val="24"/>
        </w:rPr>
        <w:t>主要关联方及持本公司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以上股份的股东未持有上述供应商的任何权益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b/>
          <w:sz w:val="24"/>
        </w:rPr>
        <w:t>（六）安全生产和环境保护</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发行人属于软件行业企业</w:t>
      </w:r>
      <w:r>
        <w:rPr>
          <w:rFonts w:hint="eastAsia" w:ascii="宋体" w:hAnsi="宋体" w:eastAsia="宋体" w:cs="宋体"/>
          <w:sz w:val="10"/>
        </w:rPr>
        <w:t>，</w:t>
      </w:r>
      <w:r>
        <w:rPr>
          <w:rFonts w:hint="eastAsia" w:ascii="宋体" w:hAnsi="宋体" w:eastAsia="宋体" w:cs="宋体"/>
          <w:sz w:val="24"/>
        </w:rPr>
        <w:t>其经营不涉及危及员工及他人安全的情形</w:t>
      </w:r>
      <w:r>
        <w:rPr>
          <w:rFonts w:hint="eastAsia" w:ascii="宋体" w:hAnsi="宋体" w:eastAsia="宋体" w:cs="宋体"/>
          <w:sz w:val="10"/>
        </w:rPr>
        <w:t>，</w:t>
      </w:r>
      <w:r>
        <w:rPr>
          <w:rFonts w:hint="eastAsia" w:ascii="宋体" w:hAnsi="宋体" w:eastAsia="宋体" w:cs="宋体"/>
          <w:sz w:val="24"/>
        </w:rPr>
        <w:t>不涉及对环境造成污染的工序</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发行人未发生过环保事故</w:t>
      </w:r>
      <w:r>
        <w:rPr>
          <w:rFonts w:hint="eastAsia" w:ascii="宋体" w:hAnsi="宋体" w:eastAsia="宋体" w:cs="宋体"/>
          <w:sz w:val="10"/>
        </w:rPr>
        <w:t>，</w:t>
      </w:r>
      <w:r>
        <w:rPr>
          <w:rFonts w:hint="eastAsia" w:ascii="宋体" w:hAnsi="宋体" w:eastAsia="宋体" w:cs="宋体"/>
          <w:sz w:val="24"/>
        </w:rPr>
        <w:t>未因环保问题受到处罚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440"/>
        <w:jc w:val="both"/>
      </w:pPr>
      <w:r>
        <w:rPr>
          <w:rFonts w:hint="eastAsia" w:ascii="ºÚÌå" w:hAnsi="ºÚÌå" w:eastAsia="ºÚÌå" w:cs="ºÚÌå"/>
          <w:sz w:val="30"/>
        </w:rPr>
        <w:t>五</w:t>
      </w:r>
      <w:r>
        <w:rPr>
          <w:rFonts w:hint="eastAsia" w:ascii="ºÚÌå" w:hAnsi="ºÚÌå" w:eastAsia="ºÚÌå" w:cs="ºÚÌå"/>
          <w:sz w:val="10"/>
        </w:rPr>
        <w:t>、</w:t>
      </w:r>
      <w:r>
        <w:rPr>
          <w:rFonts w:hint="eastAsia" w:ascii="ºÚÌå" w:hAnsi="ºÚÌå" w:eastAsia="ºÚÌå" w:cs="ºÚÌå"/>
          <w:sz w:val="30"/>
        </w:rPr>
        <w:t>发行人主要资产情况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1-1-165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b/>
          <w:sz w:val="20"/>
        </w:rPr>
        <w:t>（一）</w:t>
      </w:r>
      <w:r>
        <w:rPr>
          <w:rFonts w:hint="eastAsia" w:ascii="宋体" w:hAnsi="宋体" w:eastAsia="宋体" w:cs="宋体"/>
          <w:b/>
          <w:sz w:val="24"/>
        </w:rPr>
        <w:t>本公司拥有固定资产情况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6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本公司主要固定资产情况如下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1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520"/>
        <w:gridCol w:w="1560"/>
        <w:gridCol w:w="1540"/>
        <w:gridCol w:w="1540"/>
        <w:gridCol w:w="1560"/>
        <w:gridCol w:w="1540"/>
      </w:tblGrid>
      <w:tr>
        <w:trPr>
          <w:trHeight w:val="560" w:hRule="exact"/>
        </w:trPr>
        <w:tc>
          <w:tcPr>
            <w:tcW w:w="1520" w:type="dxa"/>
            <w:tcMar>
              <w:top w:w="0" w:type="dxa"/>
              <w:left w:w="0" w:type="dxa"/>
              <w:bottom w:w="0" w:type="dxa"/>
              <w:right w:w="0" w:type="dxa"/>
            </w:tcMar>
          </w:tcPr>
          <w:p>
            <w:pPr>
              <w:spacing w:before="120"/>
              <w:ind w:left="540"/>
            </w:pPr>
            <w:r>
              <w:rPr>
                <w:rFonts w:hint="eastAsia" w:ascii="宋体" w:hAnsi="宋体" w:eastAsia="宋体" w:cs="宋体"/>
                <w:b/>
                <w:sz w:val="21"/>
              </w:rPr>
              <w:t>项目</w:t>
            </w:r>
          </w:p>
        </w:tc>
        <w:tc>
          <w:tcPr>
            <w:tcW w:w="1560" w:type="dxa"/>
            <w:tcMar>
              <w:top w:w="0" w:type="dxa"/>
              <w:left w:w="0" w:type="dxa"/>
              <w:bottom w:w="0" w:type="dxa"/>
              <w:right w:w="0" w:type="dxa"/>
            </w:tcMar>
          </w:tcPr>
          <w:p>
            <w:pPr>
              <w:spacing w:before="120"/>
              <w:ind w:left="560"/>
            </w:pPr>
            <w:r>
              <w:rPr>
                <w:rFonts w:hint="eastAsia" w:ascii="宋体" w:hAnsi="宋体" w:eastAsia="宋体" w:cs="宋体"/>
                <w:b/>
                <w:sz w:val="21"/>
              </w:rPr>
              <w:t>原值</w:t>
            </w:r>
          </w:p>
        </w:tc>
        <w:tc>
          <w:tcPr>
            <w:tcW w:w="1540" w:type="dxa"/>
            <w:tcMar>
              <w:top w:w="0" w:type="dxa"/>
              <w:left w:w="0" w:type="dxa"/>
              <w:bottom w:w="0" w:type="dxa"/>
              <w:right w:w="0" w:type="dxa"/>
            </w:tcMar>
          </w:tcPr>
          <w:p>
            <w:pPr>
              <w:spacing w:before="120"/>
              <w:ind w:left="340"/>
            </w:pPr>
            <w:r>
              <w:rPr>
                <w:rFonts w:hint="eastAsia" w:ascii="宋体" w:hAnsi="宋体" w:eastAsia="宋体" w:cs="宋体"/>
                <w:b/>
                <w:sz w:val="21"/>
              </w:rPr>
              <w:t>折旧年限</w:t>
            </w:r>
          </w:p>
        </w:tc>
        <w:tc>
          <w:tcPr>
            <w:tcW w:w="1540" w:type="dxa"/>
            <w:tcMar>
              <w:top w:w="0" w:type="dxa"/>
              <w:left w:w="0" w:type="dxa"/>
              <w:bottom w:w="0" w:type="dxa"/>
              <w:right w:w="0" w:type="dxa"/>
            </w:tcMar>
          </w:tcPr>
          <w:p>
            <w:pPr>
              <w:spacing w:before="120"/>
              <w:ind w:left="340"/>
            </w:pPr>
            <w:r>
              <w:rPr>
                <w:rFonts w:hint="eastAsia" w:ascii="宋体" w:hAnsi="宋体" w:eastAsia="宋体" w:cs="宋体"/>
                <w:b/>
                <w:sz w:val="21"/>
              </w:rPr>
              <w:t>累计折旧</w:t>
            </w:r>
          </w:p>
        </w:tc>
        <w:tc>
          <w:tcPr>
            <w:tcW w:w="1560" w:type="dxa"/>
            <w:tcMar>
              <w:top w:w="0" w:type="dxa"/>
              <w:left w:w="0" w:type="dxa"/>
              <w:bottom w:w="0" w:type="dxa"/>
              <w:right w:w="0" w:type="dxa"/>
            </w:tcMar>
          </w:tcPr>
          <w:p>
            <w:pPr>
              <w:spacing w:before="120"/>
              <w:ind w:left="340"/>
            </w:pPr>
            <w:r>
              <w:rPr>
                <w:rFonts w:hint="eastAsia" w:ascii="宋体" w:hAnsi="宋体" w:eastAsia="宋体" w:cs="宋体"/>
                <w:b/>
                <w:sz w:val="21"/>
              </w:rPr>
              <w:t>账面净值</w:t>
            </w:r>
          </w:p>
        </w:tc>
        <w:tc>
          <w:tcPr>
            <w:tcW w:w="1540" w:type="dxa"/>
            <w:tcMar>
              <w:top w:w="0" w:type="dxa"/>
              <w:left w:w="0" w:type="dxa"/>
              <w:bottom w:w="0" w:type="dxa"/>
              <w:right w:w="0" w:type="dxa"/>
            </w:tcMar>
          </w:tcPr>
          <w:p>
            <w:pPr>
              <w:spacing w:before="120"/>
              <w:ind w:left="440"/>
            </w:pPr>
            <w:r>
              <w:rPr>
                <w:rFonts w:hint="eastAsia" w:ascii="宋体" w:hAnsi="宋体" w:eastAsia="宋体" w:cs="宋体"/>
                <w:b/>
                <w:sz w:val="21"/>
              </w:rPr>
              <w:t>成新率</w:t>
            </w:r>
          </w:p>
        </w:tc>
      </w:tr>
      <w:tr>
        <w:trPr>
          <w:trHeight w:val="640" w:hRule="exact"/>
        </w:trPr>
        <w:tc>
          <w:tcPr>
            <w:tcW w:w="1520" w:type="dxa"/>
            <w:tcMar>
              <w:top w:w="0" w:type="dxa"/>
              <w:left w:w="0" w:type="dxa"/>
              <w:bottom w:w="0" w:type="dxa"/>
              <w:right w:w="0" w:type="dxa"/>
            </w:tcMar>
          </w:tcPr>
          <w:p>
            <w:pPr>
              <w:spacing w:before="200"/>
              <w:ind w:left="100"/>
            </w:pPr>
            <w:r>
              <w:rPr>
                <w:rFonts w:hint="eastAsia" w:ascii="宋体" w:hAnsi="宋体" w:eastAsia="宋体" w:cs="宋体"/>
                <w:sz w:val="21"/>
              </w:rPr>
              <w:t>房屋及建筑物</w:t>
            </w:r>
          </w:p>
        </w:tc>
        <w:tc>
          <w:tcPr>
            <w:tcW w:w="1560" w:type="dxa"/>
            <w:tcMar>
              <w:top w:w="0" w:type="dxa"/>
              <w:left w:w="0" w:type="dxa"/>
              <w:bottom w:w="0" w:type="dxa"/>
              <w:right w:w="0" w:type="dxa"/>
            </w:tcMar>
          </w:tcPr>
          <w:p>
            <w:pPr>
              <w:spacing w:before="260"/>
              <w:ind w:left="22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c>
          <w:tcPr>
            <w:tcW w:w="1540" w:type="dxa"/>
            <w:tcMar>
              <w:top w:w="0" w:type="dxa"/>
              <w:left w:w="0" w:type="dxa"/>
              <w:bottom w:w="0" w:type="dxa"/>
              <w:right w:w="0" w:type="dxa"/>
            </w:tcMar>
          </w:tcPr>
          <w:p>
            <w:pPr>
              <w:spacing w:before="260"/>
              <w:ind w:left="1200"/>
            </w:pPr>
            <w:r>
              <w:rPr>
                <w:rFonts w:hint="eastAsia" w:ascii="Times New Roman" w:hAnsi="Times New Roman" w:eastAsia="Times New Roman" w:cs="Times New Roman"/>
                <w:sz w:val="21"/>
              </w:rPr>
              <w:t>20</w:t>
            </w:r>
          </w:p>
        </w:tc>
        <w:tc>
          <w:tcPr>
            <w:tcW w:w="1540" w:type="dxa"/>
            <w:tcMar>
              <w:top w:w="0" w:type="dxa"/>
              <w:left w:w="0" w:type="dxa"/>
              <w:bottom w:w="0" w:type="dxa"/>
              <w:right w:w="0" w:type="dxa"/>
            </w:tcMar>
          </w:tcPr>
          <w:p>
            <w:pPr>
              <w:spacing w:before="260"/>
              <w:ind w:left="22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1560" w:type="dxa"/>
            <w:tcMar>
              <w:top w:w="0" w:type="dxa"/>
              <w:left w:w="0" w:type="dxa"/>
              <w:bottom w:w="0" w:type="dxa"/>
              <w:right w:w="0" w:type="dxa"/>
            </w:tcMar>
          </w:tcPr>
          <w:p>
            <w:pPr>
              <w:spacing w:before="260"/>
              <w:ind w:left="22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1540" w:type="dxa"/>
            <w:tcMar>
              <w:top w:w="0" w:type="dxa"/>
              <w:left w:w="0" w:type="dxa"/>
              <w:bottom w:w="0" w:type="dxa"/>
              <w:right w:w="0" w:type="dxa"/>
            </w:tcMar>
          </w:tcPr>
          <w:p>
            <w:pPr>
              <w:spacing w:before="260"/>
              <w:ind w:left="78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640" w:hRule="exact"/>
        </w:trPr>
        <w:tc>
          <w:tcPr>
            <w:tcW w:w="1520" w:type="dxa"/>
            <w:tcMar>
              <w:top w:w="0" w:type="dxa"/>
              <w:left w:w="0" w:type="dxa"/>
              <w:bottom w:w="0" w:type="dxa"/>
              <w:right w:w="0" w:type="dxa"/>
            </w:tcMar>
          </w:tcPr>
          <w:p>
            <w:pPr>
              <w:spacing w:before="220"/>
              <w:ind w:left="100"/>
            </w:pPr>
            <w:r>
              <w:rPr>
                <w:rFonts w:hint="eastAsia" w:ascii="宋体" w:hAnsi="宋体" w:eastAsia="宋体" w:cs="宋体"/>
                <w:sz w:val="21"/>
              </w:rPr>
              <w:t>运输设备</w:t>
            </w:r>
          </w:p>
        </w:tc>
        <w:tc>
          <w:tcPr>
            <w:tcW w:w="1560" w:type="dxa"/>
            <w:tcMar>
              <w:top w:w="0" w:type="dxa"/>
              <w:left w:w="0" w:type="dxa"/>
              <w:bottom w:w="0" w:type="dxa"/>
              <w:right w:w="0" w:type="dxa"/>
            </w:tcMar>
          </w:tcPr>
          <w:p>
            <w:pPr>
              <w:spacing w:before="260"/>
              <w:ind w:left="3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1540" w:type="dxa"/>
            <w:tcMar>
              <w:top w:w="0" w:type="dxa"/>
              <w:left w:w="0" w:type="dxa"/>
              <w:bottom w:w="0" w:type="dxa"/>
              <w:right w:w="0" w:type="dxa"/>
            </w:tcMar>
          </w:tcPr>
          <w:p>
            <w:pPr>
              <w:spacing w:before="260"/>
              <w:ind w:left="1320"/>
            </w:pPr>
            <w:r>
              <w:rPr>
                <w:rFonts w:hint="eastAsia" w:ascii="Times New Roman" w:hAnsi="Times New Roman" w:eastAsia="Times New Roman" w:cs="Times New Roman"/>
                <w:sz w:val="21"/>
              </w:rPr>
              <w:t>8</w:t>
            </w:r>
          </w:p>
        </w:tc>
        <w:tc>
          <w:tcPr>
            <w:tcW w:w="1540" w:type="dxa"/>
            <w:tcMar>
              <w:top w:w="0" w:type="dxa"/>
              <w:left w:w="0" w:type="dxa"/>
              <w:bottom w:w="0" w:type="dxa"/>
              <w:right w:w="0" w:type="dxa"/>
            </w:tcMar>
          </w:tcPr>
          <w:p>
            <w:pPr>
              <w:spacing w:before="26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1560" w:type="dxa"/>
            <w:tcMar>
              <w:top w:w="0" w:type="dxa"/>
              <w:left w:w="0" w:type="dxa"/>
              <w:bottom w:w="0" w:type="dxa"/>
              <w:right w:w="0" w:type="dxa"/>
            </w:tcMar>
          </w:tcPr>
          <w:p>
            <w:pPr>
              <w:spacing w:before="26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540" w:type="dxa"/>
            <w:tcMar>
              <w:top w:w="0" w:type="dxa"/>
              <w:left w:w="0" w:type="dxa"/>
              <w:bottom w:w="0" w:type="dxa"/>
              <w:right w:w="0" w:type="dxa"/>
            </w:tcMar>
          </w:tcPr>
          <w:p>
            <w:pPr>
              <w:spacing w:before="260"/>
              <w:ind w:left="780"/>
            </w:pPr>
            <w:r>
              <w:rPr>
                <w:rFonts w:hint="eastAsia" w:ascii="Times New Roman" w:hAnsi="Times New Roman" w:eastAsia="Times New Roman" w:cs="Times New Roman"/>
                <w:sz w:val="21"/>
              </w:rPr>
              <w:t>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r>
              <w:rPr>
                <w:rFonts w:hint="eastAsia" w:ascii="Times New Roman" w:hAnsi="Times New Roman" w:eastAsia="Times New Roman" w:cs="Times New Roman"/>
                <w:sz w:val="20"/>
              </w:rPr>
              <w:t>%</w:t>
            </w:r>
          </w:p>
        </w:tc>
      </w:tr>
      <w:tr>
        <w:trPr>
          <w:trHeight w:val="740" w:hRule="exact"/>
        </w:trPr>
        <w:tc>
          <w:tcPr>
            <w:tcW w:w="1520" w:type="dxa"/>
            <w:tcMar>
              <w:top w:w="0" w:type="dxa"/>
              <w:left w:w="0" w:type="dxa"/>
              <w:bottom w:w="0" w:type="dxa"/>
              <w:right w:w="0" w:type="dxa"/>
            </w:tcMar>
          </w:tcPr>
          <w:p>
            <w:pPr>
              <w:spacing w:before="200"/>
              <w:ind w:left="100"/>
            </w:pPr>
            <w:r>
              <w:rPr>
                <w:rFonts w:hint="eastAsia" w:ascii="宋体" w:hAnsi="宋体" w:eastAsia="宋体" w:cs="宋体"/>
                <w:sz w:val="21"/>
              </w:rPr>
              <w:t>电子设备</w:t>
            </w:r>
          </w:p>
        </w:tc>
        <w:tc>
          <w:tcPr>
            <w:tcW w:w="1560" w:type="dxa"/>
            <w:tcMar>
              <w:top w:w="0" w:type="dxa"/>
              <w:left w:w="0" w:type="dxa"/>
              <w:bottom w:w="0" w:type="dxa"/>
              <w:right w:w="0" w:type="dxa"/>
            </w:tcMar>
          </w:tcPr>
          <w:p>
            <w:pPr>
              <w:spacing w:before="240"/>
              <w:ind w:left="32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c>
          <w:tcPr>
            <w:tcW w:w="1540" w:type="dxa"/>
            <w:tcMar>
              <w:top w:w="0" w:type="dxa"/>
              <w:left w:w="0" w:type="dxa"/>
              <w:bottom w:w="0" w:type="dxa"/>
              <w:right w:w="0" w:type="dxa"/>
            </w:tcMar>
          </w:tcPr>
          <w:p>
            <w:pPr>
              <w:spacing w:before="240"/>
              <w:ind w:left="1320"/>
            </w:pPr>
            <w:r>
              <w:rPr>
                <w:rFonts w:hint="eastAsia" w:ascii="Times New Roman" w:hAnsi="Times New Roman" w:eastAsia="Times New Roman" w:cs="Times New Roman"/>
                <w:sz w:val="21"/>
              </w:rPr>
              <w:t>3</w:t>
            </w:r>
          </w:p>
        </w:tc>
        <w:tc>
          <w:tcPr>
            <w:tcW w:w="1540" w:type="dxa"/>
            <w:tcMar>
              <w:top w:w="0" w:type="dxa"/>
              <w:left w:w="0" w:type="dxa"/>
              <w:bottom w:w="0" w:type="dxa"/>
              <w:right w:w="0" w:type="dxa"/>
            </w:tcMar>
          </w:tcPr>
          <w:p>
            <w:pPr>
              <w:spacing w:before="240"/>
              <w:ind w:left="3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c>
          <w:tcPr>
            <w:tcW w:w="1560" w:type="dxa"/>
            <w:tcMar>
              <w:top w:w="0" w:type="dxa"/>
              <w:left w:w="0" w:type="dxa"/>
              <w:bottom w:w="0" w:type="dxa"/>
              <w:right w:w="0" w:type="dxa"/>
            </w:tcMar>
          </w:tcPr>
          <w:p>
            <w:pPr>
              <w:spacing w:before="24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540" w:type="dxa"/>
            <w:tcMar>
              <w:top w:w="0" w:type="dxa"/>
              <w:left w:w="0" w:type="dxa"/>
              <w:bottom w:w="0" w:type="dxa"/>
              <w:right w:w="0" w:type="dxa"/>
            </w:tcMar>
          </w:tcPr>
          <w:p>
            <w:pPr>
              <w:spacing w:before="240"/>
              <w:ind w:left="78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r>
        <w:trPr>
          <w:trHeight w:val="560" w:hRule="exact"/>
        </w:trPr>
        <w:tc>
          <w:tcPr>
            <w:tcW w:w="1520" w:type="dxa"/>
            <w:tcMar>
              <w:top w:w="0" w:type="dxa"/>
              <w:left w:w="0" w:type="dxa"/>
              <w:bottom w:w="0" w:type="dxa"/>
              <w:right w:w="0" w:type="dxa"/>
            </w:tcMar>
          </w:tcPr>
          <w:p>
            <w:pPr>
              <w:spacing w:before="120"/>
              <w:ind w:left="100"/>
            </w:pPr>
            <w:r>
              <w:rPr>
                <w:rFonts w:hint="eastAsia" w:ascii="宋体" w:hAnsi="宋体" w:eastAsia="宋体" w:cs="宋体"/>
                <w:sz w:val="21"/>
              </w:rPr>
              <w:t>办公设备</w:t>
            </w:r>
          </w:p>
        </w:tc>
        <w:tc>
          <w:tcPr>
            <w:tcW w:w="156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1540" w:type="dxa"/>
            <w:tcMar>
              <w:top w:w="0" w:type="dxa"/>
              <w:left w:w="0" w:type="dxa"/>
              <w:bottom w:w="0" w:type="dxa"/>
              <w:right w:w="0" w:type="dxa"/>
            </w:tcMar>
          </w:tcPr>
          <w:p>
            <w:pPr>
              <w:spacing w:before="180"/>
              <w:ind w:left="1320"/>
            </w:pPr>
            <w:r>
              <w:rPr>
                <w:rFonts w:hint="eastAsia" w:ascii="Times New Roman" w:hAnsi="Times New Roman" w:eastAsia="Times New Roman" w:cs="Times New Roman"/>
                <w:sz w:val="21"/>
              </w:rPr>
              <w:t>5</w:t>
            </w:r>
          </w:p>
        </w:tc>
        <w:tc>
          <w:tcPr>
            <w:tcW w:w="154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c>
          <w:tcPr>
            <w:tcW w:w="156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961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540" w:type="dxa"/>
            <w:tcMar>
              <w:top w:w="0" w:type="dxa"/>
              <w:left w:w="0" w:type="dxa"/>
              <w:bottom w:w="0" w:type="dxa"/>
              <w:right w:w="0" w:type="dxa"/>
            </w:tcMar>
          </w:tcPr>
          <w:p>
            <w:pPr>
              <w:spacing w:before="180"/>
              <w:ind w:left="780"/>
            </w:pP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r>
      <w:tr>
        <w:trPr>
          <w:trHeight w:val="640" w:hRule="exact"/>
        </w:trPr>
        <w:tc>
          <w:tcPr>
            <w:tcW w:w="1520" w:type="dxa"/>
            <w:tcMar>
              <w:top w:w="0" w:type="dxa"/>
              <w:left w:w="0" w:type="dxa"/>
              <w:bottom w:w="0" w:type="dxa"/>
              <w:right w:w="0" w:type="dxa"/>
            </w:tcMar>
          </w:tcPr>
          <w:p>
            <w:pPr>
              <w:spacing w:before="220"/>
              <w:ind w:left="540"/>
            </w:pPr>
            <w:r>
              <w:rPr>
                <w:rFonts w:hint="eastAsia" w:ascii="宋体" w:hAnsi="宋体" w:eastAsia="宋体" w:cs="宋体"/>
                <w:b/>
                <w:sz w:val="21"/>
              </w:rPr>
              <w:t>合计</w:t>
            </w:r>
          </w:p>
        </w:tc>
        <w:tc>
          <w:tcPr>
            <w:tcW w:w="1560" w:type="dxa"/>
            <w:tcMar>
              <w:top w:w="0" w:type="dxa"/>
              <w:left w:w="0" w:type="dxa"/>
              <w:bottom w:w="0" w:type="dxa"/>
              <w:right w:w="0" w:type="dxa"/>
            </w:tcMar>
          </w:tcPr>
          <w:p>
            <w:pPr>
              <w:spacing w:before="260"/>
              <w:ind w:left="220"/>
            </w:pPr>
            <w:r>
              <w:rPr>
                <w:rFonts w:hint="eastAsia" w:ascii="Times New Roman Bold" w:hAnsi="Times New Roman Bold" w:eastAsia="Times New Roman Bold" w:cs="Times New Roman Bold"/>
                <w:b/>
                <w:sz w:val="21"/>
              </w:rPr>
              <w:t>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07</w:t>
            </w:r>
          </w:p>
        </w:tc>
        <w:tc>
          <w:tcPr>
            <w:tcW w:w="1540" w:type="dxa"/>
            <w:tcMar>
              <w:top w:w="0" w:type="dxa"/>
              <w:left w:w="0" w:type="dxa"/>
              <w:bottom w:w="0" w:type="dxa"/>
              <w:right w:w="0" w:type="dxa"/>
            </w:tcMar>
          </w:tcPr>
          <w:p>
            <w:pPr>
              <w:spacing w:before="380"/>
              <w:ind w:left="1340"/>
            </w:pPr>
            <w:r>
              <w:rPr>
                <w:rFonts w:hint="eastAsia" w:ascii="Times New Roman Bold" w:hAnsi="Times New Roman Bold" w:eastAsia="Times New Roman Bold" w:cs="Times New Roman Bold"/>
                <w:b/>
                <w:sz w:val="21"/>
              </w:rPr>
              <w:t>-</w:t>
            </w:r>
          </w:p>
        </w:tc>
        <w:tc>
          <w:tcPr>
            <w:tcW w:w="1540" w:type="dxa"/>
            <w:tcMar>
              <w:top w:w="0" w:type="dxa"/>
              <w:left w:w="0" w:type="dxa"/>
              <w:bottom w:w="0" w:type="dxa"/>
              <w:right w:w="0" w:type="dxa"/>
            </w:tcMar>
          </w:tcPr>
          <w:p>
            <w:pPr>
              <w:spacing w:before="260"/>
              <w:ind w:left="220"/>
            </w:pPr>
            <w:r>
              <w:rPr>
                <w:rFonts w:hint="eastAsia" w:ascii="Times New Roman Bold" w:hAnsi="Times New Roman Bold" w:eastAsia="Times New Roman Bold" w:cs="Times New Roman Bold"/>
                <w:b/>
                <w:sz w:val="21"/>
              </w:rPr>
              <w:t>20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184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w:t>
            </w:r>
          </w:p>
        </w:tc>
        <w:tc>
          <w:tcPr>
            <w:tcW w:w="1560" w:type="dxa"/>
            <w:tcMar>
              <w:top w:w="0" w:type="dxa"/>
              <w:left w:w="0" w:type="dxa"/>
              <w:bottom w:w="0" w:type="dxa"/>
              <w:right w:w="0" w:type="dxa"/>
            </w:tcMar>
          </w:tcPr>
          <w:p>
            <w:pPr>
              <w:spacing w:before="260"/>
              <w:ind w:left="220"/>
            </w:pPr>
            <w:r>
              <w:rPr>
                <w:rFonts w:hint="eastAsia" w:ascii="Times New Roman Bold" w:hAnsi="Times New Roman Bold" w:eastAsia="Times New Roman Bold" w:cs="Times New Roman Bold"/>
                <w:b/>
                <w:sz w:val="21"/>
              </w:rPr>
              <w:t>41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22</w:t>
            </w:r>
          </w:p>
        </w:tc>
        <w:tc>
          <w:tcPr>
            <w:tcW w:w="1540" w:type="dxa"/>
            <w:tcMar>
              <w:top w:w="0" w:type="dxa"/>
              <w:left w:w="0" w:type="dxa"/>
              <w:bottom w:w="0" w:type="dxa"/>
              <w:right w:w="0" w:type="dxa"/>
            </w:tcMar>
          </w:tcPr>
          <w:p>
            <w:pPr>
              <w:spacing w:before="260"/>
              <w:ind w:left="740"/>
            </w:pPr>
            <w:r>
              <w:rPr>
                <w:rFonts w:hint="eastAsia" w:ascii="Times New Roman Bold" w:hAnsi="Times New Roman Bold" w:eastAsia="Times New Roman Bold" w:cs="Times New Roman Bold"/>
                <w:b/>
                <w:sz w:val="21"/>
              </w:rPr>
              <w:t>67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宋体" w:hAnsi="宋体" w:eastAsia="宋体" w:cs="宋体"/>
          <w:sz w:val="24"/>
        </w:rPr>
        <w:t>发行人的主要固定资产为房屋及建筑物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房产情况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）自有房产</w:t>
      </w:r>
    </w:p>
    <w:p>
      <w:pPr>
        <w:spacing w:line="200" w:lineRule="exact"/>
        <w:rPr>
          <w:rFonts w:hint="eastAsia" w:ascii="宋体" w:hAnsi="宋体" w:eastAsia="宋体" w:cs="宋体"/>
          <w:sz w:val="20"/>
        </w:rPr>
      </w:pPr>
    </w:p>
    <w:p>
      <w:pPr>
        <w:autoSpaceDE w:val="false"/>
        <w:autoSpaceDN w:val="false"/>
        <w:spacing w:line="420" w:lineRule="exact"/>
        <w:ind w:left="186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公司拥有的房地产情况如下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680"/>
        <w:gridCol w:w="1420"/>
        <w:gridCol w:w="3040"/>
        <w:gridCol w:w="2320"/>
        <w:gridCol w:w="1800"/>
      </w:tblGrid>
      <w:tr>
        <w:trPr>
          <w:trHeight w:val="620" w:hRule="exact"/>
        </w:trPr>
        <w:tc>
          <w:tcPr>
            <w:tcW w:w="680" w:type="dxa"/>
            <w:tcMar>
              <w:top w:w="0" w:type="dxa"/>
              <w:left w:w="0" w:type="dxa"/>
              <w:bottom w:w="0" w:type="dxa"/>
              <w:right w:w="0" w:type="dxa"/>
            </w:tcMar>
          </w:tcPr>
          <w:p>
            <w:pPr>
              <w:spacing w:before="200"/>
              <w:ind w:left="100"/>
            </w:pPr>
            <w:r>
              <w:rPr>
                <w:rFonts w:hint="eastAsia" w:ascii="宋体" w:hAnsi="宋体" w:eastAsia="宋体" w:cs="宋体"/>
                <w:b/>
                <w:sz w:val="21"/>
              </w:rPr>
              <w:t>序号</w:t>
            </w:r>
          </w:p>
        </w:tc>
        <w:tc>
          <w:tcPr>
            <w:tcW w:w="1420" w:type="dxa"/>
            <w:tcMar>
              <w:top w:w="0" w:type="dxa"/>
              <w:left w:w="0" w:type="dxa"/>
              <w:bottom w:w="0" w:type="dxa"/>
              <w:right w:w="0" w:type="dxa"/>
            </w:tcMar>
          </w:tcPr>
          <w:p>
            <w:pPr>
              <w:spacing w:before="200"/>
              <w:ind w:left="380"/>
            </w:pPr>
            <w:r>
              <w:rPr>
                <w:rFonts w:hint="eastAsia" w:ascii="宋体" w:hAnsi="宋体" w:eastAsia="宋体" w:cs="宋体"/>
                <w:b/>
                <w:sz w:val="21"/>
              </w:rPr>
              <w:t>权利人</w:t>
            </w:r>
          </w:p>
        </w:tc>
        <w:tc>
          <w:tcPr>
            <w:tcW w:w="3040" w:type="dxa"/>
            <w:tcMar>
              <w:top w:w="0" w:type="dxa"/>
              <w:left w:w="0" w:type="dxa"/>
              <w:bottom w:w="0" w:type="dxa"/>
              <w:right w:w="0" w:type="dxa"/>
            </w:tcMar>
          </w:tcPr>
          <w:p>
            <w:pPr>
              <w:spacing w:before="200"/>
              <w:ind w:left="1080"/>
            </w:pPr>
            <w:r>
              <w:rPr>
                <w:rFonts w:hint="eastAsia" w:ascii="宋体" w:hAnsi="宋体" w:eastAsia="宋体" w:cs="宋体"/>
                <w:b/>
                <w:sz w:val="21"/>
              </w:rPr>
              <w:t>房屋坐落</w:t>
            </w:r>
          </w:p>
        </w:tc>
        <w:tc>
          <w:tcPr>
            <w:tcW w:w="2320" w:type="dxa"/>
            <w:tcMar>
              <w:top w:w="0" w:type="dxa"/>
              <w:left w:w="0" w:type="dxa"/>
              <w:bottom w:w="0" w:type="dxa"/>
              <w:right w:w="0" w:type="dxa"/>
            </w:tcMar>
          </w:tcPr>
          <w:p>
            <w:pPr>
              <w:spacing w:before="200"/>
              <w:ind w:left="820"/>
            </w:pPr>
            <w:r>
              <w:rPr>
                <w:rFonts w:hint="eastAsia" w:ascii="宋体" w:hAnsi="宋体" w:eastAsia="宋体" w:cs="宋体"/>
                <w:b/>
                <w:sz w:val="21"/>
              </w:rPr>
              <w:t>证书号</w:t>
            </w:r>
          </w:p>
        </w:tc>
        <w:tc>
          <w:tcPr>
            <w:tcW w:w="1800" w:type="dxa"/>
            <w:tcMar>
              <w:top w:w="0" w:type="dxa"/>
              <w:left w:w="0" w:type="dxa"/>
              <w:bottom w:w="0" w:type="dxa"/>
              <w:right w:w="0" w:type="dxa"/>
            </w:tcMar>
          </w:tcPr>
          <w:p>
            <w:pPr>
              <w:spacing w:before="40"/>
              <w:ind w:left="460"/>
            </w:pPr>
            <w:r>
              <w:rPr>
                <w:rFonts w:hint="eastAsia" w:ascii="宋体" w:hAnsi="宋体" w:eastAsia="宋体" w:cs="宋体"/>
                <w:b/>
                <w:sz w:val="21"/>
              </w:rPr>
              <w:t>建筑面积</w:t>
            </w:r>
          </w:p>
          <w:p>
            <w:pPr>
              <w:spacing w:before="100"/>
              <w:ind w:left="100"/>
            </w:pPr>
            <w:r>
              <w:rPr>
                <w:rFonts w:hint="eastAsia" w:ascii="宋体" w:hAnsi="宋体" w:eastAsia="宋体" w:cs="宋体"/>
                <w:b/>
                <w:sz w:val="20"/>
              </w:rPr>
              <w:t>（</w:t>
            </w:r>
            <w:r>
              <w:rPr>
                <w:rFonts w:hint="eastAsia" w:ascii="宋体" w:hAnsi="宋体" w:eastAsia="宋体" w:cs="宋体"/>
                <w:b/>
                <w:sz w:val="21"/>
              </w:rPr>
              <w:t>单位</w:t>
            </w:r>
            <w:r>
              <w:rPr>
                <w:rFonts w:hint="eastAsia" w:ascii="宋体" w:hAnsi="宋体" w:eastAsia="宋体" w:cs="宋体"/>
                <w:b/>
                <w:sz w:val="10"/>
              </w:rPr>
              <w:t>：</w:t>
            </w:r>
            <w:r>
              <w:rPr>
                <w:rFonts w:hint="eastAsia" w:ascii="宋体" w:hAnsi="宋体" w:eastAsia="宋体" w:cs="宋体"/>
                <w:b/>
                <w:sz w:val="21"/>
              </w:rPr>
              <w:t>平方米</w:t>
            </w:r>
            <w:r>
              <w:rPr>
                <w:rFonts w:hint="eastAsia" w:ascii="宋体" w:hAnsi="宋体" w:eastAsia="宋体" w:cs="宋体"/>
                <w:b/>
                <w:sz w:val="20"/>
              </w:rPr>
              <w:t>）</w:t>
            </w:r>
          </w:p>
        </w:tc>
      </w:tr>
      <w:tr>
        <w:trPr>
          <w:trHeight w:val="640" w:hRule="exact"/>
        </w:trPr>
        <w:tc>
          <w:tcPr>
            <w:tcW w:w="680" w:type="dxa"/>
            <w:tcMar>
              <w:top w:w="0" w:type="dxa"/>
              <w:left w:w="0" w:type="dxa"/>
              <w:bottom w:w="0" w:type="dxa"/>
              <w:right w:w="0" w:type="dxa"/>
            </w:tcMar>
          </w:tcPr>
          <w:p>
            <w:pPr>
              <w:spacing w:before="260"/>
              <w:ind w:left="260"/>
            </w:pPr>
            <w:r>
              <w:rPr>
                <w:rFonts w:hint="eastAsia" w:ascii="Times New Roman" w:hAnsi="Times New Roman" w:eastAsia="Times New Roman" w:cs="Times New Roman"/>
                <w:sz w:val="21"/>
              </w:rPr>
              <w:t>1</w:t>
            </w:r>
          </w:p>
        </w:tc>
        <w:tc>
          <w:tcPr>
            <w:tcW w:w="1420" w:type="dxa"/>
            <w:tcMar>
              <w:top w:w="0" w:type="dxa"/>
              <w:left w:w="0" w:type="dxa"/>
              <w:bottom w:w="0" w:type="dxa"/>
              <w:right w:w="0" w:type="dxa"/>
            </w:tcMar>
          </w:tcPr>
          <w:p>
            <w:pPr>
              <w:spacing w:before="200"/>
            </w:pPr>
            <w:r>
              <w:rPr>
                <w:rFonts w:hint="eastAsia" w:ascii="宋体" w:hAnsi="宋体" w:eastAsia="宋体" w:cs="宋体"/>
                <w:sz w:val="21"/>
              </w:rPr>
              <w:t>发行人</w:t>
            </w:r>
          </w:p>
        </w:tc>
        <w:tc>
          <w:tcPr>
            <w:tcW w:w="3040" w:type="dxa"/>
            <w:tcMar>
              <w:top w:w="0" w:type="dxa"/>
              <w:left w:w="0" w:type="dxa"/>
              <w:bottom w:w="0" w:type="dxa"/>
              <w:right w:w="0" w:type="dxa"/>
            </w:tcMar>
          </w:tcPr>
          <w:p>
            <w:pPr>
              <w:spacing w:before="40"/>
            </w:pPr>
            <w:r>
              <w:rPr>
                <w:rFonts w:hint="eastAsia" w:ascii="宋体" w:hAnsi="宋体" w:eastAsia="宋体" w:cs="宋体"/>
                <w:sz w:val="21"/>
              </w:rPr>
              <w:t>福州市鼓楼区软件大道</w:t>
            </w:r>
            <w:r>
              <w:rPr>
                <w:rFonts w:hint="eastAsia" w:ascii="Times New Roman" w:hAnsi="Times New Roman" w:eastAsia="Times New Roman" w:cs="Times New Roman"/>
                <w:sz w:val="21"/>
              </w:rPr>
              <w:t>89</w:t>
            </w:r>
            <w:r>
              <w:rPr>
                <w:rFonts w:hint="eastAsia" w:ascii="宋体" w:hAnsi="宋体" w:eastAsia="宋体" w:cs="宋体"/>
                <w:sz w:val="21"/>
              </w:rPr>
              <w:t>号</w:t>
            </w:r>
          </w:p>
          <w:p>
            <w:pPr>
              <w:spacing w:before="100"/>
            </w:pPr>
            <w:r>
              <w:rPr>
                <w:rFonts w:hint="eastAsia" w:ascii="Times New Roman" w:hAnsi="Times New Roman" w:eastAsia="Times New Roman" w:cs="Times New Roman"/>
                <w:sz w:val="21"/>
              </w:rPr>
              <w:t>13#</w:t>
            </w:r>
            <w:r>
              <w:rPr>
                <w:rFonts w:hint="eastAsia" w:ascii="宋体" w:hAnsi="宋体" w:eastAsia="宋体" w:cs="宋体"/>
                <w:sz w:val="21"/>
              </w:rPr>
              <w:t>楼</w:t>
            </w:r>
          </w:p>
        </w:tc>
        <w:tc>
          <w:tcPr>
            <w:tcW w:w="2320" w:type="dxa"/>
            <w:tcMar>
              <w:top w:w="0" w:type="dxa"/>
              <w:left w:w="0" w:type="dxa"/>
              <w:bottom w:w="0" w:type="dxa"/>
              <w:right w:w="0" w:type="dxa"/>
            </w:tcMar>
          </w:tcPr>
          <w:p>
            <w:pPr>
              <w:spacing w:before="40"/>
            </w:pPr>
            <w:r>
              <w:rPr>
                <w:rFonts w:hint="eastAsia" w:ascii="宋体" w:hAnsi="宋体" w:eastAsia="宋体" w:cs="宋体"/>
                <w:sz w:val="21"/>
              </w:rPr>
              <w:t>榕 房 权 证</w:t>
            </w:r>
            <w:r>
              <w:rPr>
                <w:rFonts w:hint="eastAsia" w:ascii="Times New Roman" w:hAnsi="Times New Roman" w:eastAsia="Times New Roman" w:cs="Times New Roman"/>
                <w:sz w:val="21"/>
              </w:rPr>
              <w:t xml:space="preserve"> R</w:t>
            </w:r>
            <w:r>
              <w:rPr>
                <w:rFonts w:hint="eastAsia" w:ascii="宋体" w:hAnsi="宋体" w:eastAsia="宋体" w:cs="宋体"/>
                <w:sz w:val="21"/>
              </w:rPr>
              <w:t xml:space="preserve"> 字 第</w:t>
            </w:r>
          </w:p>
          <w:p>
            <w:pPr>
              <w:spacing w:before="100"/>
            </w:pPr>
            <w:r>
              <w:rPr>
                <w:rFonts w:hint="eastAsia" w:ascii="Times New Roman" w:hAnsi="Times New Roman" w:eastAsia="Times New Roman" w:cs="Times New Roman"/>
                <w:sz w:val="21"/>
              </w:rPr>
              <w:t>0842075</w:t>
            </w:r>
            <w:r>
              <w:rPr>
                <w:rFonts w:hint="eastAsia" w:ascii="宋体" w:hAnsi="宋体" w:eastAsia="宋体" w:cs="宋体"/>
                <w:sz w:val="21"/>
              </w:rPr>
              <w:t>号</w:t>
            </w:r>
          </w:p>
        </w:tc>
        <w:tc>
          <w:tcPr>
            <w:tcW w:w="1800" w:type="dxa"/>
            <w:tcMar>
              <w:top w:w="0" w:type="dxa"/>
              <w:left w:w="0" w:type="dxa"/>
              <w:bottom w:w="0" w:type="dxa"/>
              <w:right w:w="0" w:type="dxa"/>
            </w:tcMar>
          </w:tcPr>
          <w:p>
            <w:pPr>
              <w:spacing w:before="260"/>
              <w:ind w:left="9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940" w:hRule="exact"/>
        </w:trPr>
        <w:tc>
          <w:tcPr>
            <w:tcW w:w="680" w:type="dxa"/>
            <w:tcMar>
              <w:top w:w="0" w:type="dxa"/>
              <w:left w:w="0" w:type="dxa"/>
              <w:bottom w:w="0" w:type="dxa"/>
              <w:right w:w="0" w:type="dxa"/>
            </w:tcMar>
          </w:tcPr>
          <w:p>
            <w:pPr>
              <w:spacing w:before="400"/>
              <w:ind w:left="260"/>
            </w:pPr>
            <w:r>
              <w:rPr>
                <w:rFonts w:hint="eastAsia" w:ascii="Times New Roman" w:hAnsi="Times New Roman" w:eastAsia="Times New Roman" w:cs="Times New Roman"/>
                <w:sz w:val="21"/>
              </w:rPr>
              <w:t>2</w:t>
            </w:r>
          </w:p>
        </w:tc>
        <w:tc>
          <w:tcPr>
            <w:tcW w:w="1420" w:type="dxa"/>
            <w:tcMar>
              <w:top w:w="0" w:type="dxa"/>
              <w:left w:w="0" w:type="dxa"/>
              <w:bottom w:w="0" w:type="dxa"/>
              <w:right w:w="0" w:type="dxa"/>
            </w:tcMar>
          </w:tcPr>
          <w:p>
            <w:pPr>
              <w:spacing w:before="360"/>
            </w:pPr>
            <w:r>
              <w:rPr>
                <w:rFonts w:hint="eastAsia" w:ascii="宋体" w:hAnsi="宋体" w:eastAsia="宋体" w:cs="宋体"/>
                <w:sz w:val="21"/>
              </w:rPr>
              <w:t>发行人</w:t>
            </w:r>
          </w:p>
        </w:tc>
        <w:tc>
          <w:tcPr>
            <w:tcW w:w="3040" w:type="dxa"/>
            <w:tcMar>
              <w:top w:w="0" w:type="dxa"/>
              <w:left w:w="0" w:type="dxa"/>
              <w:bottom w:w="0" w:type="dxa"/>
              <w:right w:w="0" w:type="dxa"/>
            </w:tcMar>
          </w:tcPr>
          <w:p>
            <w:pPr>
              <w:spacing w:before="40"/>
            </w:pPr>
            <w:r>
              <w:rPr>
                <w:rFonts w:hint="eastAsia" w:ascii="宋体" w:hAnsi="宋体" w:eastAsia="宋体" w:cs="宋体"/>
                <w:sz w:val="21"/>
              </w:rPr>
              <w:t>福州市台江区广达路</w:t>
            </w:r>
            <w:r>
              <w:rPr>
                <w:rFonts w:hint="eastAsia" w:ascii="Times New Roman" w:hAnsi="Times New Roman" w:eastAsia="Times New Roman" w:cs="Times New Roman"/>
                <w:sz w:val="21"/>
              </w:rPr>
              <w:t>76</w:t>
            </w:r>
            <w:r>
              <w:rPr>
                <w:rFonts w:hint="eastAsia" w:ascii="宋体" w:hAnsi="宋体" w:eastAsia="宋体" w:cs="宋体"/>
                <w:sz w:val="21"/>
              </w:rPr>
              <w:t>号裕达</w:t>
            </w:r>
          </w:p>
          <w:p>
            <w:pPr>
              <w:spacing w:before="80"/>
            </w:pPr>
            <w:r>
              <w:rPr>
                <w:rFonts w:hint="eastAsia" w:ascii="宋体" w:hAnsi="宋体" w:eastAsia="宋体" w:cs="宋体"/>
                <w:sz w:val="21"/>
              </w:rPr>
              <w:t>楼</w:t>
            </w:r>
            <w:r>
              <w:rPr>
                <w:rFonts w:hint="eastAsia" w:ascii="Times New Roman" w:hAnsi="Times New Roman" w:eastAsia="Times New Roman" w:cs="Times New Roman"/>
                <w:sz w:val="21"/>
              </w:rPr>
              <w:t>1#</w:t>
            </w:r>
            <w:r>
              <w:rPr>
                <w:rFonts w:hint="eastAsia" w:ascii="宋体" w:hAnsi="宋体" w:eastAsia="宋体" w:cs="宋体"/>
                <w:sz w:val="21"/>
              </w:rPr>
              <w:t>楼</w:t>
            </w:r>
            <w:r>
              <w:rPr>
                <w:rFonts w:hint="eastAsia" w:ascii="Times New Roman" w:hAnsi="Times New Roman" w:eastAsia="Times New Roman" w:cs="Times New Roman"/>
                <w:sz w:val="21"/>
              </w:rPr>
              <w:t>104</w:t>
            </w:r>
            <w:r>
              <w:rPr>
                <w:rFonts w:hint="eastAsia" w:ascii="宋体" w:hAnsi="宋体" w:eastAsia="宋体" w:cs="宋体"/>
                <w:sz w:val="10"/>
              </w:rPr>
              <w:t>、</w:t>
            </w:r>
            <w:r>
              <w:rPr>
                <w:rFonts w:hint="eastAsia" w:ascii="Times New Roman" w:hAnsi="Times New Roman" w:eastAsia="Times New Roman" w:cs="Times New Roman"/>
                <w:sz w:val="21"/>
              </w:rPr>
              <w:t>106</w:t>
            </w:r>
            <w:r>
              <w:rPr>
                <w:rFonts w:hint="eastAsia" w:ascii="宋体" w:hAnsi="宋体" w:eastAsia="宋体" w:cs="宋体"/>
                <w:sz w:val="21"/>
              </w:rPr>
              <w:t>单元及</w:t>
            </w:r>
            <w:r>
              <w:rPr>
                <w:rFonts w:hint="eastAsia" w:ascii="Times New Roman" w:hAnsi="Times New Roman" w:eastAsia="Times New Roman" w:cs="Times New Roman"/>
                <w:sz w:val="21"/>
              </w:rPr>
              <w:t>05</w:t>
            </w:r>
            <w:r>
              <w:rPr>
                <w:rFonts w:hint="eastAsia" w:ascii="宋体" w:hAnsi="宋体" w:eastAsia="宋体" w:cs="宋体"/>
                <w:sz w:val="21"/>
              </w:rPr>
              <w:t>附属</w:t>
            </w:r>
          </w:p>
          <w:p>
            <w:pPr>
              <w:spacing w:before="100"/>
            </w:pPr>
            <w:r>
              <w:rPr>
                <w:rFonts w:hint="eastAsia" w:ascii="宋体" w:hAnsi="宋体" w:eastAsia="宋体" w:cs="宋体"/>
                <w:sz w:val="21"/>
              </w:rPr>
              <w:t>间</w:t>
            </w:r>
          </w:p>
        </w:tc>
        <w:tc>
          <w:tcPr>
            <w:tcW w:w="2320" w:type="dxa"/>
            <w:tcMar>
              <w:top w:w="0" w:type="dxa"/>
              <w:left w:w="0" w:type="dxa"/>
              <w:bottom w:w="0" w:type="dxa"/>
              <w:right w:w="0" w:type="dxa"/>
            </w:tcMar>
          </w:tcPr>
          <w:p>
            <w:pPr>
              <w:spacing w:before="200"/>
            </w:pPr>
            <w:r>
              <w:rPr>
                <w:rFonts w:hint="eastAsia" w:ascii="宋体" w:hAnsi="宋体" w:eastAsia="宋体" w:cs="宋体"/>
                <w:sz w:val="21"/>
              </w:rPr>
              <w:t>榕 房 权 证</w:t>
            </w:r>
            <w:r>
              <w:rPr>
                <w:rFonts w:hint="eastAsia" w:ascii="Times New Roman" w:hAnsi="Times New Roman" w:eastAsia="Times New Roman" w:cs="Times New Roman"/>
                <w:sz w:val="21"/>
              </w:rPr>
              <w:t xml:space="preserve"> R</w:t>
            </w:r>
            <w:r>
              <w:rPr>
                <w:rFonts w:hint="eastAsia" w:ascii="宋体" w:hAnsi="宋体" w:eastAsia="宋体" w:cs="宋体"/>
                <w:sz w:val="21"/>
              </w:rPr>
              <w:t xml:space="preserve"> 字 第</w:t>
            </w:r>
          </w:p>
          <w:p>
            <w:pPr>
              <w:spacing w:before="100"/>
            </w:pPr>
            <w:r>
              <w:rPr>
                <w:rFonts w:hint="eastAsia" w:ascii="Times New Roman" w:hAnsi="Times New Roman" w:eastAsia="Times New Roman" w:cs="Times New Roman"/>
                <w:sz w:val="21"/>
              </w:rPr>
              <w:t>0749176</w:t>
            </w:r>
            <w:r>
              <w:rPr>
                <w:rFonts w:hint="eastAsia" w:ascii="宋体" w:hAnsi="宋体" w:eastAsia="宋体" w:cs="宋体"/>
                <w:sz w:val="21"/>
              </w:rPr>
              <w:t>号</w:t>
            </w:r>
          </w:p>
        </w:tc>
        <w:tc>
          <w:tcPr>
            <w:tcW w:w="1800" w:type="dxa"/>
            <w:tcMar>
              <w:top w:w="0" w:type="dxa"/>
              <w:left w:w="0" w:type="dxa"/>
              <w:bottom w:w="0" w:type="dxa"/>
              <w:right w:w="0" w:type="dxa"/>
            </w:tcMar>
          </w:tcPr>
          <w:p>
            <w:pPr>
              <w:spacing w:before="400"/>
              <w:ind w:left="1100"/>
            </w:pPr>
            <w:r>
              <w:rPr>
                <w:rFonts w:hint="eastAsia" w:ascii="Times New Roman" w:hAnsi="Times New Roman" w:eastAsia="Times New Roman" w:cs="Times New Roman"/>
                <w:sz w:val="21"/>
              </w:rPr>
              <w:t>259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r>
        <w:trPr>
          <w:trHeight w:val="960" w:hRule="exact"/>
        </w:trPr>
        <w:tc>
          <w:tcPr>
            <w:tcW w:w="680" w:type="dxa"/>
            <w:tcMar>
              <w:top w:w="0" w:type="dxa"/>
              <w:left w:w="0" w:type="dxa"/>
              <w:bottom w:w="0" w:type="dxa"/>
              <w:right w:w="0" w:type="dxa"/>
            </w:tcMar>
          </w:tcPr>
          <w:p>
            <w:pPr>
              <w:spacing w:before="400"/>
              <w:ind w:left="260"/>
            </w:pPr>
            <w:r>
              <w:rPr>
                <w:rFonts w:hint="eastAsia" w:ascii="Times New Roman" w:hAnsi="Times New Roman" w:eastAsia="Times New Roman" w:cs="Times New Roman"/>
                <w:sz w:val="21"/>
              </w:rPr>
              <w:t>3</w:t>
            </w:r>
          </w:p>
        </w:tc>
        <w:tc>
          <w:tcPr>
            <w:tcW w:w="1420" w:type="dxa"/>
            <w:tcMar>
              <w:top w:w="0" w:type="dxa"/>
              <w:left w:w="0" w:type="dxa"/>
              <w:bottom w:w="0" w:type="dxa"/>
              <w:right w:w="0" w:type="dxa"/>
            </w:tcMar>
          </w:tcPr>
          <w:p>
            <w:pPr>
              <w:spacing w:before="360"/>
            </w:pPr>
            <w:r>
              <w:rPr>
                <w:rFonts w:hint="eastAsia" w:ascii="宋体" w:hAnsi="宋体" w:eastAsia="宋体" w:cs="宋体"/>
                <w:sz w:val="21"/>
              </w:rPr>
              <w:t>发行人</w:t>
            </w:r>
          </w:p>
        </w:tc>
        <w:tc>
          <w:tcPr>
            <w:tcW w:w="3040" w:type="dxa"/>
            <w:tcMar>
              <w:top w:w="0" w:type="dxa"/>
              <w:left w:w="0" w:type="dxa"/>
              <w:bottom w:w="0" w:type="dxa"/>
              <w:right w:w="0" w:type="dxa"/>
            </w:tcMar>
          </w:tcPr>
          <w:p>
            <w:pPr>
              <w:spacing w:before="40"/>
            </w:pPr>
            <w:r>
              <w:rPr>
                <w:rFonts w:hint="eastAsia" w:ascii="宋体" w:hAnsi="宋体" w:eastAsia="宋体" w:cs="宋体"/>
                <w:sz w:val="21"/>
              </w:rPr>
              <w:t>上海市东方路</w:t>
            </w:r>
            <w:r>
              <w:rPr>
                <w:rFonts w:hint="eastAsia" w:ascii="Times New Roman" w:hAnsi="Times New Roman" w:eastAsia="Times New Roman" w:cs="Times New Roman"/>
                <w:sz w:val="21"/>
              </w:rPr>
              <w:t>989</w:t>
            </w:r>
            <w:r>
              <w:rPr>
                <w:rFonts w:hint="eastAsia" w:ascii="宋体" w:hAnsi="宋体" w:eastAsia="宋体" w:cs="宋体"/>
                <w:sz w:val="21"/>
              </w:rPr>
              <w:t>号</w:t>
            </w:r>
            <w:r>
              <w:rPr>
                <w:rFonts w:hint="eastAsia" w:ascii="Times New Roman" w:hAnsi="Times New Roman" w:eastAsia="Times New Roman" w:cs="Times New Roman"/>
                <w:sz w:val="21"/>
              </w:rPr>
              <w:t>28</w:t>
            </w:r>
            <w:r>
              <w:rPr>
                <w:rFonts w:hint="eastAsia" w:ascii="宋体" w:hAnsi="宋体" w:eastAsia="宋体" w:cs="宋体"/>
                <w:sz w:val="21"/>
              </w:rPr>
              <w:t>层</w:t>
            </w:r>
            <w:r>
              <w:rPr>
                <w:rFonts w:hint="eastAsia" w:ascii="宋体" w:hAnsi="宋体" w:eastAsia="宋体" w:cs="宋体"/>
                <w:sz w:val="20"/>
              </w:rPr>
              <w:t>（</w:t>
            </w:r>
            <w:r>
              <w:rPr>
                <w:rFonts w:hint="eastAsia" w:ascii="宋体" w:hAnsi="宋体" w:eastAsia="宋体" w:cs="宋体"/>
                <w:sz w:val="21"/>
              </w:rPr>
              <w:t>含地</w:t>
            </w:r>
          </w:p>
          <w:p>
            <w:pPr>
              <w:spacing w:before="100"/>
            </w:pPr>
            <w:r>
              <w:rPr>
                <w:rFonts w:hint="eastAsia" w:ascii="宋体" w:hAnsi="宋体" w:eastAsia="宋体" w:cs="宋体"/>
                <w:sz w:val="21"/>
              </w:rPr>
              <w:t>下</w:t>
            </w:r>
            <w:r>
              <w:rPr>
                <w:rFonts w:hint="eastAsia" w:ascii="宋体" w:hAnsi="宋体" w:eastAsia="宋体" w:cs="宋体"/>
                <w:sz w:val="20"/>
              </w:rPr>
              <w:t>二</w:t>
            </w:r>
            <w:r>
              <w:rPr>
                <w:rFonts w:hint="eastAsia" w:ascii="宋体" w:hAnsi="宋体" w:eastAsia="宋体" w:cs="宋体"/>
                <w:sz w:val="21"/>
              </w:rPr>
              <w:t>层车位</w:t>
            </w:r>
            <w:r>
              <w:rPr>
                <w:rFonts w:hint="eastAsia" w:ascii="Times New Roman" w:hAnsi="Times New Roman" w:eastAsia="Times New Roman" w:cs="Times New Roman"/>
                <w:sz w:val="21"/>
              </w:rPr>
              <w:t>82</w:t>
            </w:r>
            <w:r>
              <w:rPr>
                <w:rFonts w:hint="eastAsia" w:ascii="宋体" w:hAnsi="宋体" w:eastAsia="宋体" w:cs="宋体"/>
                <w:sz w:val="10"/>
              </w:rPr>
              <w:t>、</w:t>
            </w:r>
            <w:r>
              <w:rPr>
                <w:rFonts w:hint="eastAsia" w:ascii="Times New Roman" w:hAnsi="Times New Roman" w:eastAsia="Times New Roman" w:cs="Times New Roman"/>
                <w:sz w:val="21"/>
              </w:rPr>
              <w:t>83</w:t>
            </w:r>
            <w:r>
              <w:rPr>
                <w:rFonts w:hint="eastAsia" w:ascii="宋体" w:hAnsi="宋体" w:eastAsia="宋体" w:cs="宋体"/>
                <w:sz w:val="10"/>
              </w:rPr>
              <w:t>、</w:t>
            </w:r>
            <w:r>
              <w:rPr>
                <w:rFonts w:hint="eastAsia" w:ascii="Times New Roman" w:hAnsi="Times New Roman" w:eastAsia="Times New Roman" w:cs="Times New Roman"/>
                <w:sz w:val="21"/>
              </w:rPr>
              <w:t>84</w:t>
            </w:r>
            <w:r>
              <w:rPr>
                <w:rFonts w:hint="eastAsia" w:ascii="宋体" w:hAnsi="宋体" w:eastAsia="宋体" w:cs="宋体"/>
                <w:sz w:val="10"/>
              </w:rPr>
              <w:t>、</w:t>
            </w:r>
            <w:r>
              <w:rPr>
                <w:rFonts w:hint="eastAsia" w:ascii="Times New Roman" w:hAnsi="Times New Roman" w:eastAsia="Times New Roman" w:cs="Times New Roman"/>
                <w:sz w:val="21"/>
              </w:rPr>
              <w:t>85</w:t>
            </w:r>
            <w:r>
              <w:rPr>
                <w:rFonts w:hint="eastAsia" w:ascii="宋体" w:hAnsi="宋体" w:eastAsia="宋体" w:cs="宋体"/>
                <w:sz w:val="10"/>
              </w:rPr>
              <w:t>、</w:t>
            </w:r>
          </w:p>
          <w:p>
            <w:pPr>
              <w:spacing w:before="100"/>
            </w:pPr>
            <w:r>
              <w:rPr>
                <w:rFonts w:hint="eastAsia" w:ascii="Times New Roman" w:hAnsi="Times New Roman" w:eastAsia="Times New Roman" w:cs="Times New Roman"/>
                <w:sz w:val="21"/>
              </w:rPr>
              <w:t>86</w:t>
            </w:r>
            <w:r>
              <w:rPr>
                <w:rFonts w:hint="eastAsia" w:ascii="宋体" w:hAnsi="宋体" w:eastAsia="宋体" w:cs="宋体"/>
                <w:sz w:val="20"/>
              </w:rPr>
              <w:t>）</w:t>
            </w:r>
          </w:p>
        </w:tc>
        <w:tc>
          <w:tcPr>
            <w:tcW w:w="2320" w:type="dxa"/>
            <w:tcMar>
              <w:top w:w="0" w:type="dxa"/>
              <w:left w:w="0" w:type="dxa"/>
              <w:bottom w:w="0" w:type="dxa"/>
              <w:right w:w="0" w:type="dxa"/>
            </w:tcMar>
          </w:tcPr>
          <w:p>
            <w:pPr>
              <w:spacing w:before="200"/>
            </w:pPr>
            <w:r>
              <w:rPr>
                <w:rFonts w:hint="eastAsia" w:ascii="宋体" w:hAnsi="宋体" w:eastAsia="宋体" w:cs="宋体"/>
                <w:sz w:val="21"/>
              </w:rPr>
              <w:t>沪房地浦字</w:t>
            </w:r>
            <w:r>
              <w:rPr>
                <w:rFonts w:hint="eastAsia" w:ascii="宋体" w:hAnsi="宋体" w:eastAsia="宋体" w:cs="宋体"/>
                <w:sz w:val="20"/>
              </w:rPr>
              <w:t>（</w:t>
            </w:r>
            <w:r>
              <w:rPr>
                <w:rFonts w:hint="eastAsia" w:ascii="Times New Roman" w:hAnsi="Times New Roman" w:eastAsia="Times New Roman" w:cs="Times New Roman"/>
                <w:sz w:val="21"/>
              </w:rPr>
              <w:t>2011</w:t>
            </w:r>
            <w:r>
              <w:rPr>
                <w:rFonts w:hint="eastAsia" w:ascii="宋体" w:hAnsi="宋体" w:eastAsia="宋体" w:cs="宋体"/>
                <w:sz w:val="20"/>
              </w:rPr>
              <w:t>）</w:t>
            </w:r>
            <w:r>
              <w:rPr>
                <w:rFonts w:hint="eastAsia" w:ascii="宋体" w:hAnsi="宋体" w:eastAsia="宋体" w:cs="宋体"/>
                <w:sz w:val="21"/>
              </w:rPr>
              <w:t>第</w:t>
            </w:r>
          </w:p>
          <w:p>
            <w:pPr>
              <w:spacing w:before="80"/>
            </w:pPr>
            <w:r>
              <w:rPr>
                <w:rFonts w:hint="eastAsia" w:ascii="Times New Roman" w:hAnsi="Times New Roman" w:eastAsia="Times New Roman" w:cs="Times New Roman"/>
                <w:sz w:val="21"/>
              </w:rPr>
              <w:t>034070</w:t>
            </w:r>
            <w:r>
              <w:rPr>
                <w:rFonts w:hint="eastAsia" w:ascii="宋体" w:hAnsi="宋体" w:eastAsia="宋体" w:cs="宋体"/>
                <w:sz w:val="21"/>
              </w:rPr>
              <w:t>号</w:t>
            </w:r>
          </w:p>
        </w:tc>
        <w:tc>
          <w:tcPr>
            <w:tcW w:w="1800" w:type="dxa"/>
            <w:tcMar>
              <w:top w:w="0" w:type="dxa"/>
              <w:left w:w="0" w:type="dxa"/>
              <w:bottom w:w="0" w:type="dxa"/>
              <w:right w:w="0" w:type="dxa"/>
            </w:tcMar>
          </w:tcPr>
          <w:p>
            <w:pPr>
              <w:spacing w:before="400"/>
              <w:ind w:left="9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r>
      <w:tr>
        <w:trPr>
          <w:trHeight w:val="940" w:hRule="exact"/>
        </w:trPr>
        <w:tc>
          <w:tcPr>
            <w:tcW w:w="680" w:type="dxa"/>
            <w:tcMar>
              <w:top w:w="0" w:type="dxa"/>
              <w:left w:w="0" w:type="dxa"/>
              <w:bottom w:w="0" w:type="dxa"/>
              <w:right w:w="0" w:type="dxa"/>
            </w:tcMar>
          </w:tcPr>
          <w:p>
            <w:pPr>
              <w:spacing w:before="400"/>
              <w:ind w:left="260"/>
            </w:pPr>
            <w:r>
              <w:rPr>
                <w:rFonts w:hint="eastAsia" w:ascii="Times New Roman" w:hAnsi="Times New Roman" w:eastAsia="Times New Roman" w:cs="Times New Roman"/>
                <w:sz w:val="21"/>
              </w:rPr>
              <w:t>4</w:t>
            </w:r>
          </w:p>
        </w:tc>
        <w:tc>
          <w:tcPr>
            <w:tcW w:w="1420" w:type="dxa"/>
            <w:tcMar>
              <w:top w:w="0" w:type="dxa"/>
              <w:left w:w="0" w:type="dxa"/>
              <w:bottom w:w="0" w:type="dxa"/>
              <w:right w:w="0" w:type="dxa"/>
            </w:tcMar>
          </w:tcPr>
          <w:p>
            <w:pPr>
              <w:spacing w:before="340"/>
            </w:pPr>
            <w:r>
              <w:rPr>
                <w:rFonts w:hint="eastAsia" w:ascii="宋体" w:hAnsi="宋体" w:eastAsia="宋体" w:cs="宋体"/>
                <w:sz w:val="21"/>
              </w:rPr>
              <w:t>武汉顶点</w:t>
            </w:r>
          </w:p>
        </w:tc>
        <w:tc>
          <w:tcPr>
            <w:tcW w:w="3040" w:type="dxa"/>
            <w:tcMar>
              <w:top w:w="0" w:type="dxa"/>
              <w:left w:w="0" w:type="dxa"/>
              <w:bottom w:w="0" w:type="dxa"/>
              <w:right w:w="0" w:type="dxa"/>
            </w:tcMar>
          </w:tcPr>
          <w:p>
            <w:pPr>
              <w:spacing w:before="20"/>
            </w:pPr>
            <w:r>
              <w:rPr>
                <w:rFonts w:hint="eastAsia" w:ascii="宋体" w:hAnsi="宋体" w:eastAsia="宋体" w:cs="宋体"/>
                <w:sz w:val="21"/>
              </w:rPr>
              <w:t>武汉市东湖新技术开发区软件</w:t>
            </w:r>
          </w:p>
          <w:p>
            <w:pPr>
              <w:spacing w:before="100"/>
            </w:pPr>
            <w:r>
              <w:rPr>
                <w:rFonts w:hint="eastAsia" w:ascii="宋体" w:hAnsi="宋体" w:eastAsia="宋体" w:cs="宋体"/>
                <w:sz w:val="21"/>
              </w:rPr>
              <w:t>园东路</w:t>
            </w:r>
            <w:r>
              <w:rPr>
                <w:rFonts w:hint="eastAsia" w:ascii="Times New Roman" w:hAnsi="Times New Roman" w:eastAsia="Times New Roman" w:cs="Times New Roman"/>
                <w:sz w:val="21"/>
              </w:rPr>
              <w:t>1</w:t>
            </w:r>
            <w:r>
              <w:rPr>
                <w:rFonts w:hint="eastAsia" w:ascii="宋体" w:hAnsi="宋体" w:eastAsia="宋体" w:cs="宋体"/>
                <w:sz w:val="21"/>
              </w:rPr>
              <w:t>号软件产业</w:t>
            </w: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r>
              <w:rPr>
                <w:rFonts w:hint="eastAsia" w:ascii="宋体" w:hAnsi="宋体" w:eastAsia="宋体" w:cs="宋体"/>
                <w:sz w:val="21"/>
              </w:rPr>
              <w:t>期</w:t>
            </w:r>
            <w:r>
              <w:rPr>
                <w:rFonts w:hint="eastAsia" w:ascii="Times New Roman" w:hAnsi="Times New Roman" w:eastAsia="Times New Roman" w:cs="Times New Roman"/>
                <w:sz w:val="21"/>
              </w:rPr>
              <w:t>B3</w:t>
            </w:r>
            <w:r>
              <w:rPr>
                <w:rFonts w:hint="eastAsia" w:ascii="宋体" w:hAnsi="宋体" w:eastAsia="宋体" w:cs="宋体"/>
                <w:sz w:val="21"/>
              </w:rPr>
              <w:t>栋</w:t>
            </w:r>
            <w:r>
              <w:rPr>
                <w:rFonts w:hint="eastAsia" w:ascii="Times New Roman" w:hAnsi="Times New Roman" w:eastAsia="Times New Roman" w:cs="Times New Roman"/>
                <w:sz w:val="21"/>
              </w:rPr>
              <w:t>7</w:t>
            </w:r>
          </w:p>
          <w:p>
            <w:pPr>
              <w:spacing w:before="100"/>
            </w:pPr>
            <w:r>
              <w:rPr>
                <w:rFonts w:hint="eastAsia" w:ascii="宋体" w:hAnsi="宋体" w:eastAsia="宋体" w:cs="宋体"/>
                <w:sz w:val="21"/>
              </w:rPr>
              <w:t>层</w:t>
            </w:r>
            <w:r>
              <w:rPr>
                <w:rFonts w:hint="eastAsia" w:ascii="Times New Roman" w:hAnsi="Times New Roman" w:eastAsia="Times New Roman" w:cs="Times New Roman"/>
                <w:sz w:val="21"/>
              </w:rPr>
              <w:t>01</w:t>
            </w:r>
            <w:r>
              <w:rPr>
                <w:rFonts w:hint="eastAsia" w:ascii="宋体" w:hAnsi="宋体" w:eastAsia="宋体" w:cs="宋体"/>
                <w:sz w:val="21"/>
              </w:rPr>
              <w:t>室</w:t>
            </w:r>
          </w:p>
        </w:tc>
        <w:tc>
          <w:tcPr>
            <w:tcW w:w="2320" w:type="dxa"/>
            <w:tcMar>
              <w:top w:w="0" w:type="dxa"/>
              <w:left w:w="0" w:type="dxa"/>
              <w:bottom w:w="0" w:type="dxa"/>
              <w:right w:w="0" w:type="dxa"/>
            </w:tcMar>
          </w:tcPr>
          <w:p>
            <w:pPr>
              <w:spacing w:before="200"/>
            </w:pPr>
            <w:r>
              <w:rPr>
                <w:rFonts w:hint="eastAsia" w:ascii="宋体" w:hAnsi="宋体" w:eastAsia="宋体" w:cs="宋体"/>
                <w:sz w:val="21"/>
              </w:rPr>
              <w:t>武 房 权 证 湖 字 第</w:t>
            </w:r>
          </w:p>
          <w:p>
            <w:pPr>
              <w:spacing w:before="100"/>
            </w:pPr>
            <w:r>
              <w:rPr>
                <w:rFonts w:hint="eastAsia" w:ascii="Times New Roman" w:hAnsi="Times New Roman" w:eastAsia="Times New Roman" w:cs="Times New Roman"/>
                <w:sz w:val="21"/>
              </w:rPr>
              <w:t>2015009794</w:t>
            </w:r>
            <w:r>
              <w:rPr>
                <w:rFonts w:hint="eastAsia" w:ascii="宋体" w:hAnsi="宋体" w:eastAsia="宋体" w:cs="宋体"/>
                <w:sz w:val="21"/>
              </w:rPr>
              <w:t>号</w:t>
            </w:r>
          </w:p>
        </w:tc>
        <w:tc>
          <w:tcPr>
            <w:tcW w:w="1800" w:type="dxa"/>
            <w:tcMar>
              <w:top w:w="0" w:type="dxa"/>
              <w:left w:w="0" w:type="dxa"/>
              <w:bottom w:w="0" w:type="dxa"/>
              <w:right w:w="0" w:type="dxa"/>
            </w:tcMar>
          </w:tcPr>
          <w:p>
            <w:pPr>
              <w:spacing w:before="400"/>
              <w:ind w:left="9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发行人自有的房屋</w:t>
      </w:r>
      <w:r>
        <w:rPr>
          <w:rFonts w:hint="eastAsia" w:ascii="宋体" w:hAnsi="宋体" w:eastAsia="宋体" w:cs="宋体"/>
          <w:sz w:val="10"/>
        </w:rPr>
        <w:t>、</w:t>
      </w:r>
      <w:r>
        <w:rPr>
          <w:rFonts w:hint="eastAsia" w:ascii="宋体" w:hAnsi="宋体" w:eastAsia="宋体" w:cs="宋体"/>
          <w:sz w:val="24"/>
        </w:rPr>
        <w:t>土地使用权均拥有产权证明</w:t>
      </w:r>
      <w:r>
        <w:rPr>
          <w:rFonts w:hint="eastAsia" w:ascii="宋体" w:hAnsi="宋体" w:eastAsia="宋体" w:cs="宋体"/>
          <w:sz w:val="10"/>
        </w:rPr>
        <w:t>，</w:t>
      </w:r>
      <w:r>
        <w:rPr>
          <w:rFonts w:hint="eastAsia" w:ascii="宋体" w:hAnsi="宋体" w:eastAsia="宋体" w:cs="宋体"/>
          <w:sz w:val="24"/>
        </w:rPr>
        <w:t>权利人均为发行人及其控股子公司</w:t>
      </w:r>
      <w:r>
        <w:rPr>
          <w:rFonts w:hint="eastAsia" w:ascii="宋体" w:hAnsi="宋体" w:eastAsia="宋体" w:cs="宋体"/>
          <w:sz w:val="10"/>
        </w:rPr>
        <w:t>，</w:t>
      </w:r>
      <w:r>
        <w:rPr>
          <w:rFonts w:hint="eastAsia" w:ascii="宋体" w:hAnsi="宋体" w:eastAsia="宋体" w:cs="宋体"/>
          <w:sz w:val="24"/>
        </w:rPr>
        <w:t>权属不存在瑕疵</w:t>
      </w:r>
      <w:r>
        <w:rPr>
          <w:rFonts w:hint="eastAsia" w:ascii="宋体" w:hAnsi="宋体" w:eastAsia="宋体" w:cs="宋体"/>
          <w:sz w:val="10"/>
        </w:rPr>
        <w:t>。</w:t>
      </w:r>
      <w:r>
        <w:rPr>
          <w:rFonts w:hint="eastAsia" w:ascii="宋体" w:hAnsi="宋体" w:eastAsia="宋体" w:cs="宋体"/>
          <w:sz w:val="24"/>
        </w:rPr>
        <w:t>发行人报告期内不存在借款及对外担保等事项</w:t>
      </w:r>
      <w:r>
        <w:rPr>
          <w:rFonts w:hint="eastAsia" w:ascii="宋体" w:hAnsi="宋体" w:eastAsia="宋体" w:cs="宋体"/>
          <w:sz w:val="10"/>
        </w:rPr>
        <w:t>，</w:t>
      </w:r>
      <w:r>
        <w:rPr>
          <w:rFonts w:hint="eastAsia" w:ascii="宋体" w:hAnsi="宋体" w:eastAsia="宋体" w:cs="宋体"/>
          <w:sz w:val="24"/>
        </w:rPr>
        <w:t>其自有房产</w:t>
      </w:r>
      <w:r>
        <w:rPr>
          <w:rFonts w:hint="eastAsia" w:ascii="宋体" w:hAnsi="宋体" w:eastAsia="宋体" w:cs="宋体"/>
          <w:sz w:val="10"/>
        </w:rPr>
        <w:t>、</w:t>
      </w:r>
      <w:r>
        <w:rPr>
          <w:rFonts w:hint="eastAsia" w:ascii="宋体" w:hAnsi="宋体" w:eastAsia="宋体" w:cs="宋体"/>
          <w:sz w:val="24"/>
        </w:rPr>
        <w:t>土地不存在质押</w:t>
      </w:r>
      <w:r>
        <w:rPr>
          <w:rFonts w:hint="eastAsia" w:ascii="宋体" w:hAnsi="宋体" w:eastAsia="宋体" w:cs="宋体"/>
          <w:sz w:val="10"/>
        </w:rPr>
        <w:t>、</w:t>
      </w:r>
      <w:r>
        <w:rPr>
          <w:rFonts w:hint="eastAsia" w:ascii="宋体" w:hAnsi="宋体" w:eastAsia="宋体" w:cs="宋体"/>
          <w:sz w:val="24"/>
        </w:rPr>
        <w:t>抵押等权利限制</w:t>
      </w:r>
      <w:r>
        <w:rPr>
          <w:rFonts w:hint="eastAsia" w:ascii="宋体" w:hAnsi="宋体" w:eastAsia="宋体" w:cs="宋体"/>
          <w:sz w:val="10"/>
        </w:rPr>
        <w:t>，</w:t>
      </w:r>
      <w:r>
        <w:rPr>
          <w:rFonts w:hint="eastAsia" w:ascii="宋体" w:hAnsi="宋体" w:eastAsia="宋体" w:cs="宋体"/>
          <w:sz w:val="24"/>
        </w:rPr>
        <w:t>不存在由于存在他项权利而导致对其占有</w:t>
      </w:r>
      <w:r>
        <w:rPr>
          <w:rFonts w:hint="eastAsia" w:ascii="宋体" w:hAnsi="宋体" w:eastAsia="宋体" w:cs="宋体"/>
          <w:sz w:val="10"/>
        </w:rPr>
        <w:t>、</w:t>
      </w:r>
      <w:r>
        <w:rPr>
          <w:rFonts w:hint="eastAsia" w:ascii="宋体" w:hAnsi="宋体" w:eastAsia="宋体" w:cs="宋体"/>
          <w:sz w:val="24"/>
        </w:rPr>
        <w:t>收益</w:t>
      </w:r>
      <w:r>
        <w:rPr>
          <w:rFonts w:hint="eastAsia" w:ascii="宋体" w:hAnsi="宋体" w:eastAsia="宋体" w:cs="宋体"/>
          <w:sz w:val="10"/>
        </w:rPr>
        <w:t>、</w:t>
      </w:r>
      <w:r>
        <w:rPr>
          <w:rFonts w:hint="eastAsia" w:ascii="宋体" w:hAnsi="宋体" w:eastAsia="宋体" w:cs="宋体"/>
          <w:sz w:val="24"/>
        </w:rPr>
        <w:t>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1-1-166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分等权利受到限制的情形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）租赁房产</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发行人部分子公司租赁母公司自有房产作为办公场所</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发行人及其子公司主要办公场所对外租赁房产情况如下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080" w:type="auto"/>
        <w:tblInd w:w="14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620"/>
        <w:gridCol w:w="1420"/>
        <w:gridCol w:w="2860"/>
        <w:gridCol w:w="1780"/>
        <w:gridCol w:w="2380"/>
      </w:tblGrid>
      <w:tr>
        <w:trPr>
          <w:trHeight w:val="480" w:hRule="exact"/>
        </w:trPr>
        <w:tc>
          <w:tcPr>
            <w:tcW w:w="620" w:type="dxa"/>
            <w:tcMar>
              <w:top w:w="0" w:type="dxa"/>
              <w:left w:w="0" w:type="dxa"/>
              <w:bottom w:w="0" w:type="dxa"/>
              <w:right w:w="0" w:type="dxa"/>
            </w:tcMar>
          </w:tcPr>
          <w:p>
            <w:pPr>
              <w:spacing w:before="100"/>
            </w:pPr>
            <w:r>
              <w:rPr>
                <w:rFonts w:hint="eastAsia" w:ascii="宋体" w:hAnsi="宋体" w:eastAsia="宋体" w:cs="宋体"/>
                <w:b/>
                <w:sz w:val="21"/>
              </w:rPr>
              <w:t>序号</w:t>
            </w:r>
          </w:p>
        </w:tc>
        <w:tc>
          <w:tcPr>
            <w:tcW w:w="1420" w:type="dxa"/>
            <w:tcMar>
              <w:top w:w="0" w:type="dxa"/>
              <w:left w:w="0" w:type="dxa"/>
              <w:bottom w:w="0" w:type="dxa"/>
              <w:right w:w="0" w:type="dxa"/>
            </w:tcMar>
          </w:tcPr>
          <w:p>
            <w:pPr>
              <w:spacing w:before="100"/>
              <w:ind w:left="380"/>
            </w:pPr>
            <w:r>
              <w:rPr>
                <w:rFonts w:hint="eastAsia" w:ascii="宋体" w:hAnsi="宋体" w:eastAsia="宋体" w:cs="宋体"/>
                <w:b/>
                <w:sz w:val="21"/>
              </w:rPr>
              <w:t>承租方</w:t>
            </w:r>
          </w:p>
        </w:tc>
        <w:tc>
          <w:tcPr>
            <w:tcW w:w="2860" w:type="dxa"/>
            <w:tcMar>
              <w:top w:w="0" w:type="dxa"/>
              <w:left w:w="0" w:type="dxa"/>
              <w:bottom w:w="0" w:type="dxa"/>
              <w:right w:w="0" w:type="dxa"/>
            </w:tcMar>
          </w:tcPr>
          <w:p>
            <w:pPr>
              <w:spacing w:before="100"/>
              <w:ind w:left="980"/>
            </w:pPr>
            <w:r>
              <w:rPr>
                <w:rFonts w:hint="eastAsia" w:ascii="宋体" w:hAnsi="宋体" w:eastAsia="宋体" w:cs="宋体"/>
                <w:b/>
                <w:sz w:val="21"/>
              </w:rPr>
              <w:t>房屋座落</w:t>
            </w:r>
          </w:p>
        </w:tc>
        <w:tc>
          <w:tcPr>
            <w:tcW w:w="1780" w:type="dxa"/>
            <w:tcMar>
              <w:top w:w="0" w:type="dxa"/>
              <w:left w:w="0" w:type="dxa"/>
              <w:bottom w:w="0" w:type="dxa"/>
              <w:right w:w="0" w:type="dxa"/>
            </w:tcMar>
          </w:tcPr>
          <w:p>
            <w:pPr>
              <w:spacing w:before="100"/>
              <w:ind w:left="240"/>
            </w:pPr>
            <w:r>
              <w:rPr>
                <w:rFonts w:hint="eastAsia" w:ascii="宋体" w:hAnsi="宋体" w:eastAsia="宋体" w:cs="宋体"/>
                <w:b/>
                <w:sz w:val="21"/>
              </w:rPr>
              <w:t>是否有房产证</w:t>
            </w:r>
          </w:p>
        </w:tc>
        <w:tc>
          <w:tcPr>
            <w:tcW w:w="2380" w:type="dxa"/>
            <w:tcMar>
              <w:top w:w="0" w:type="dxa"/>
              <w:left w:w="0" w:type="dxa"/>
              <w:bottom w:w="0" w:type="dxa"/>
              <w:right w:w="0" w:type="dxa"/>
            </w:tcMar>
          </w:tcPr>
          <w:p>
            <w:pPr>
              <w:spacing w:before="100"/>
              <w:ind w:left="760"/>
            </w:pPr>
            <w:r>
              <w:rPr>
                <w:rFonts w:hint="eastAsia" w:ascii="宋体" w:hAnsi="宋体" w:eastAsia="宋体" w:cs="宋体"/>
                <w:b/>
                <w:sz w:val="21"/>
              </w:rPr>
              <w:t>租赁期限</w:t>
            </w:r>
          </w:p>
        </w:tc>
      </w:tr>
      <w:tr>
        <w:trPr>
          <w:trHeight w:val="940" w:hRule="exact"/>
        </w:trPr>
        <w:tc>
          <w:tcPr>
            <w:tcW w:w="620" w:type="dxa"/>
            <w:tcMar>
              <w:top w:w="0" w:type="dxa"/>
              <w:left w:w="0" w:type="dxa"/>
              <w:bottom w:w="0" w:type="dxa"/>
              <w:right w:w="0" w:type="dxa"/>
            </w:tcMar>
          </w:tcPr>
          <w:p>
            <w:pPr>
              <w:spacing w:before="400"/>
              <w:ind w:left="240"/>
            </w:pPr>
            <w:r>
              <w:rPr>
                <w:rFonts w:hint="eastAsia" w:ascii="Times New Roman" w:hAnsi="Times New Roman" w:eastAsia="Times New Roman" w:cs="Times New Roman"/>
                <w:sz w:val="21"/>
              </w:rPr>
              <w:t>1</w:t>
            </w:r>
          </w:p>
        </w:tc>
        <w:tc>
          <w:tcPr>
            <w:tcW w:w="1420" w:type="dxa"/>
            <w:tcMar>
              <w:top w:w="0" w:type="dxa"/>
              <w:left w:w="0" w:type="dxa"/>
              <w:bottom w:w="0" w:type="dxa"/>
              <w:right w:w="0" w:type="dxa"/>
            </w:tcMar>
          </w:tcPr>
          <w:p>
            <w:pPr>
              <w:spacing w:before="340"/>
              <w:ind w:left="380"/>
            </w:pPr>
            <w:r>
              <w:rPr>
                <w:rFonts w:hint="eastAsia" w:ascii="宋体" w:hAnsi="宋体" w:eastAsia="宋体" w:cs="宋体"/>
                <w:sz w:val="21"/>
              </w:rPr>
              <w:t>发行人</w:t>
            </w:r>
          </w:p>
        </w:tc>
        <w:tc>
          <w:tcPr>
            <w:tcW w:w="2860" w:type="dxa"/>
            <w:tcMar>
              <w:top w:w="0" w:type="dxa"/>
              <w:left w:w="0" w:type="dxa"/>
              <w:bottom w:w="0" w:type="dxa"/>
              <w:right w:w="0" w:type="dxa"/>
            </w:tcMar>
          </w:tcPr>
          <w:p>
            <w:pPr>
              <w:spacing w:before="20"/>
            </w:pPr>
            <w:r>
              <w:rPr>
                <w:rFonts w:hint="eastAsia" w:ascii="宋体" w:hAnsi="宋体" w:eastAsia="宋体" w:cs="宋体"/>
                <w:sz w:val="21"/>
              </w:rPr>
              <w:t>福州市台江区新港街道五</w:t>
            </w:r>
            <w:r>
              <w:rPr>
                <w:rFonts w:hint="eastAsia" w:ascii="宋体" w:hAnsi="宋体" w:eastAsia="宋体" w:cs="宋体"/>
                <w:sz w:val="20"/>
              </w:rPr>
              <w:t>一</w:t>
            </w:r>
            <w:r>
              <w:rPr>
                <w:rFonts w:hint="eastAsia" w:ascii="宋体" w:hAnsi="宋体" w:eastAsia="宋体" w:cs="宋体"/>
                <w:sz w:val="21"/>
              </w:rPr>
              <w:t>中</w:t>
            </w:r>
          </w:p>
          <w:p>
            <w:pPr>
              <w:spacing w:before="100"/>
            </w:pPr>
            <w:r>
              <w:rPr>
                <w:rFonts w:hint="eastAsia" w:ascii="宋体" w:hAnsi="宋体" w:eastAsia="宋体" w:cs="宋体"/>
                <w:sz w:val="21"/>
              </w:rPr>
              <w:t>路</w:t>
            </w:r>
            <w:r>
              <w:rPr>
                <w:rFonts w:hint="eastAsia" w:ascii="Times New Roman" w:hAnsi="Times New Roman" w:eastAsia="Times New Roman" w:cs="Times New Roman"/>
                <w:sz w:val="21"/>
              </w:rPr>
              <w:t xml:space="preserve"> 169</w:t>
            </w:r>
            <w:r>
              <w:rPr>
                <w:rFonts w:hint="eastAsia" w:ascii="宋体" w:hAnsi="宋体" w:eastAsia="宋体" w:cs="宋体"/>
                <w:sz w:val="21"/>
              </w:rPr>
              <w:t xml:space="preserve"> 号利嘉城</w:t>
            </w:r>
            <w:r>
              <w:rPr>
                <w:rFonts w:hint="eastAsia" w:ascii="宋体" w:hAnsi="宋体" w:eastAsia="宋体" w:cs="宋体"/>
                <w:sz w:val="20"/>
              </w:rPr>
              <w:t>二</w:t>
            </w:r>
            <w:r>
              <w:rPr>
                <w:rFonts w:hint="eastAsia" w:ascii="宋体" w:hAnsi="宋体" w:eastAsia="宋体" w:cs="宋体"/>
                <w:sz w:val="21"/>
              </w:rPr>
              <w:t>期</w:t>
            </w:r>
            <w:r>
              <w:rPr>
                <w:rFonts w:hint="eastAsia" w:ascii="Times New Roman" w:hAnsi="Times New Roman" w:eastAsia="Times New Roman" w:cs="Times New Roman"/>
                <w:sz w:val="21"/>
              </w:rPr>
              <w:t xml:space="preserve"> 16</w:t>
            </w:r>
            <w:r>
              <w:rPr>
                <w:rFonts w:hint="eastAsia" w:ascii="宋体" w:hAnsi="宋体" w:eastAsia="宋体" w:cs="宋体"/>
                <w:sz w:val="21"/>
              </w:rPr>
              <w:t xml:space="preserve"> 号楼</w:t>
            </w:r>
            <w:r>
              <w:rPr>
                <w:rFonts w:hint="eastAsia" w:ascii="Times New Roman" w:hAnsi="Times New Roman" w:eastAsia="Times New Roman" w:cs="Times New Roman"/>
                <w:sz w:val="21"/>
              </w:rPr>
              <w:t xml:space="preserve"> 24</w:t>
            </w:r>
          </w:p>
          <w:p>
            <w:pPr>
              <w:spacing w:before="100"/>
            </w:pPr>
            <w:r>
              <w:rPr>
                <w:rFonts w:hint="eastAsia" w:ascii="宋体" w:hAnsi="宋体" w:eastAsia="宋体" w:cs="宋体"/>
                <w:sz w:val="21"/>
              </w:rPr>
              <w:t>层</w:t>
            </w:r>
            <w:r>
              <w:rPr>
                <w:rFonts w:hint="eastAsia" w:ascii="Times New Roman" w:hAnsi="Times New Roman" w:eastAsia="Times New Roman" w:cs="Times New Roman"/>
                <w:sz w:val="21"/>
              </w:rPr>
              <w:t xml:space="preserve"> 07</w:t>
            </w:r>
            <w:r>
              <w:rPr>
                <w:rFonts w:hint="eastAsia" w:ascii="宋体" w:hAnsi="宋体" w:eastAsia="宋体" w:cs="宋体"/>
                <w:sz w:val="21"/>
              </w:rPr>
              <w:t xml:space="preserve"> 室</w:t>
            </w:r>
          </w:p>
        </w:tc>
        <w:tc>
          <w:tcPr>
            <w:tcW w:w="1780" w:type="dxa"/>
            <w:tcMar>
              <w:top w:w="0" w:type="dxa"/>
              <w:left w:w="0" w:type="dxa"/>
              <w:bottom w:w="0" w:type="dxa"/>
              <w:right w:w="0" w:type="dxa"/>
            </w:tcMar>
          </w:tcPr>
          <w:p>
            <w:pPr>
              <w:spacing w:before="360"/>
              <w:ind w:left="760"/>
            </w:pPr>
            <w:r>
              <w:rPr>
                <w:rFonts w:hint="eastAsia" w:ascii="宋体" w:hAnsi="宋体" w:eastAsia="宋体" w:cs="宋体"/>
                <w:sz w:val="21"/>
              </w:rPr>
              <w:t>是</w:t>
            </w:r>
          </w:p>
        </w:tc>
        <w:tc>
          <w:tcPr>
            <w:tcW w:w="2380" w:type="dxa"/>
            <w:tcMar>
              <w:top w:w="0" w:type="dxa"/>
              <w:left w:w="0" w:type="dxa"/>
              <w:bottom w:w="0" w:type="dxa"/>
              <w:right w:w="0" w:type="dxa"/>
            </w:tcMar>
          </w:tcPr>
          <w:p>
            <w:pPr>
              <w:spacing w:before="20"/>
              <w:ind w:left="360"/>
            </w:pPr>
            <w:r>
              <w:rPr>
                <w:rFonts w:hint="eastAsia" w:ascii="Times New Roman" w:hAnsi="Times New Roman" w:eastAsia="Times New Roman" w:cs="Times New Roman"/>
                <w:sz w:val="21"/>
              </w:rPr>
              <w:t>2012</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12</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日</w:t>
            </w:r>
          </w:p>
          <w:p>
            <w:pPr>
              <w:spacing w:before="140"/>
              <w:ind w:left="1060"/>
            </w:pPr>
            <w:r>
              <w:rPr>
                <w:rFonts w:hint="eastAsia" w:ascii="宋体" w:hAnsi="宋体" w:eastAsia="宋体" w:cs="宋体"/>
                <w:sz w:val="21"/>
              </w:rPr>
              <w:t>至</w:t>
            </w:r>
          </w:p>
          <w:p>
            <w:pPr>
              <w:spacing w:before="100"/>
              <w:ind w:left="300"/>
            </w:pPr>
            <w:r>
              <w:rPr>
                <w:rFonts w:hint="eastAsia" w:ascii="Times New Roman" w:hAnsi="Times New Roman" w:eastAsia="Times New Roman" w:cs="Times New Roman"/>
                <w:sz w:val="21"/>
              </w:rPr>
              <w:t>2018</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11</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30</w:t>
            </w:r>
            <w:r>
              <w:rPr>
                <w:rFonts w:hint="eastAsia" w:ascii="宋体" w:hAnsi="宋体" w:eastAsia="宋体" w:cs="宋体"/>
                <w:sz w:val="21"/>
              </w:rPr>
              <w:t xml:space="preserve"> 日</w:t>
            </w:r>
          </w:p>
        </w:tc>
      </w:tr>
      <w:tr>
        <w:trPr>
          <w:trHeight w:val="940" w:hRule="exact"/>
        </w:trPr>
        <w:tc>
          <w:tcPr>
            <w:tcW w:w="620" w:type="dxa"/>
            <w:tcMar>
              <w:top w:w="0" w:type="dxa"/>
              <w:left w:w="0" w:type="dxa"/>
              <w:bottom w:w="0" w:type="dxa"/>
              <w:right w:w="0" w:type="dxa"/>
            </w:tcMar>
          </w:tcPr>
          <w:p>
            <w:pPr>
              <w:spacing w:before="400"/>
              <w:ind w:left="240"/>
            </w:pPr>
            <w:r>
              <w:rPr>
                <w:rFonts w:hint="eastAsia" w:ascii="Times New Roman" w:hAnsi="Times New Roman" w:eastAsia="Times New Roman" w:cs="Times New Roman"/>
                <w:sz w:val="21"/>
              </w:rPr>
              <w:t>2</w:t>
            </w:r>
          </w:p>
        </w:tc>
        <w:tc>
          <w:tcPr>
            <w:tcW w:w="1420" w:type="dxa"/>
            <w:tcMar>
              <w:top w:w="0" w:type="dxa"/>
              <w:left w:w="0" w:type="dxa"/>
              <w:bottom w:w="0" w:type="dxa"/>
              <w:right w:w="0" w:type="dxa"/>
            </w:tcMar>
          </w:tcPr>
          <w:p>
            <w:pPr>
              <w:spacing w:before="340"/>
              <w:ind w:left="260"/>
            </w:pPr>
            <w:r>
              <w:rPr>
                <w:rFonts w:hint="eastAsia" w:ascii="宋体" w:hAnsi="宋体" w:eastAsia="宋体" w:cs="宋体"/>
                <w:sz w:val="21"/>
              </w:rPr>
              <w:t>北京顶点</w:t>
            </w:r>
          </w:p>
        </w:tc>
        <w:tc>
          <w:tcPr>
            <w:tcW w:w="2860" w:type="dxa"/>
            <w:tcMar>
              <w:top w:w="0" w:type="dxa"/>
              <w:left w:w="0" w:type="dxa"/>
              <w:bottom w:w="0" w:type="dxa"/>
              <w:right w:w="0" w:type="dxa"/>
            </w:tcMar>
          </w:tcPr>
          <w:p>
            <w:pPr>
              <w:spacing w:before="200"/>
            </w:pPr>
            <w:r>
              <w:rPr>
                <w:rFonts w:hint="eastAsia" w:ascii="宋体" w:hAnsi="宋体" w:eastAsia="宋体" w:cs="宋体"/>
                <w:sz w:val="21"/>
              </w:rPr>
              <w:t>北京市海淀区中关村南大街</w:t>
            </w:r>
            <w:r>
              <w:rPr>
                <w:rFonts w:hint="eastAsia" w:ascii="Times New Roman" w:hAnsi="Times New Roman" w:eastAsia="Times New Roman" w:cs="Times New Roman"/>
                <w:sz w:val="21"/>
              </w:rPr>
              <w:t xml:space="preserve"> 2</w:t>
            </w:r>
          </w:p>
          <w:p>
            <w:pPr>
              <w:spacing w:before="100"/>
            </w:pPr>
            <w:r>
              <w:rPr>
                <w:rFonts w:hint="eastAsia" w:ascii="宋体" w:hAnsi="宋体" w:eastAsia="宋体" w:cs="宋体"/>
                <w:sz w:val="21"/>
              </w:rPr>
              <w:t>号</w:t>
            </w:r>
            <w:r>
              <w:rPr>
                <w:rFonts w:hint="eastAsia" w:ascii="Times New Roman" w:hAnsi="Times New Roman" w:eastAsia="Times New Roman" w:cs="Times New Roman"/>
                <w:sz w:val="21"/>
              </w:rPr>
              <w:t xml:space="preserve"> 2</w:t>
            </w:r>
            <w:r>
              <w:rPr>
                <w:rFonts w:hint="eastAsia" w:ascii="宋体" w:hAnsi="宋体" w:eastAsia="宋体" w:cs="宋体"/>
                <w:sz w:val="21"/>
              </w:rPr>
              <w:t xml:space="preserve"> 号楼</w:t>
            </w:r>
            <w:r>
              <w:rPr>
                <w:rFonts w:hint="eastAsia" w:ascii="Times New Roman" w:hAnsi="Times New Roman" w:eastAsia="Times New Roman" w:cs="Times New Roman"/>
                <w:sz w:val="21"/>
              </w:rPr>
              <w:t xml:space="preserve"> 8</w:t>
            </w:r>
            <w:r>
              <w:rPr>
                <w:rFonts w:hint="eastAsia" w:ascii="宋体" w:hAnsi="宋体" w:eastAsia="宋体" w:cs="宋体"/>
                <w:sz w:val="21"/>
              </w:rPr>
              <w:t xml:space="preserve"> 层</w:t>
            </w:r>
            <w:r>
              <w:rPr>
                <w:rFonts w:hint="eastAsia" w:ascii="Times New Roman" w:hAnsi="Times New Roman" w:eastAsia="Times New Roman" w:cs="Times New Roman"/>
                <w:sz w:val="21"/>
              </w:rPr>
              <w:t xml:space="preserve"> B</w:t>
            </w:r>
            <w:r>
              <w:rPr>
                <w:rFonts w:hint="eastAsia" w:ascii="宋体" w:hAnsi="宋体" w:eastAsia="宋体" w:cs="宋体"/>
                <w:sz w:val="21"/>
              </w:rPr>
              <w:t xml:space="preserve"> 座</w:t>
            </w:r>
            <w:r>
              <w:rPr>
                <w:rFonts w:hint="eastAsia" w:ascii="Times New Roman" w:hAnsi="Times New Roman" w:eastAsia="Times New Roman" w:cs="Times New Roman"/>
                <w:sz w:val="21"/>
              </w:rPr>
              <w:t xml:space="preserve"> 901</w:t>
            </w:r>
          </w:p>
        </w:tc>
        <w:tc>
          <w:tcPr>
            <w:tcW w:w="1780" w:type="dxa"/>
            <w:tcMar>
              <w:top w:w="0" w:type="dxa"/>
              <w:left w:w="0" w:type="dxa"/>
              <w:bottom w:w="0" w:type="dxa"/>
              <w:right w:w="0" w:type="dxa"/>
            </w:tcMar>
          </w:tcPr>
          <w:p>
            <w:pPr>
              <w:spacing w:before="360"/>
              <w:ind w:left="760"/>
            </w:pPr>
            <w:r>
              <w:rPr>
                <w:rFonts w:hint="eastAsia" w:ascii="宋体" w:hAnsi="宋体" w:eastAsia="宋体" w:cs="宋体"/>
                <w:sz w:val="21"/>
              </w:rPr>
              <w:t>是</w:t>
            </w:r>
          </w:p>
        </w:tc>
        <w:tc>
          <w:tcPr>
            <w:tcW w:w="2380" w:type="dxa"/>
            <w:tcMar>
              <w:top w:w="0" w:type="dxa"/>
              <w:left w:w="0" w:type="dxa"/>
              <w:bottom w:w="0" w:type="dxa"/>
              <w:right w:w="0" w:type="dxa"/>
            </w:tcMar>
          </w:tcPr>
          <w:p>
            <w:pPr>
              <w:spacing w:before="40"/>
              <w:ind w:left="300"/>
            </w:pPr>
            <w:r>
              <w:rPr>
                <w:rFonts w:hint="eastAsia" w:ascii="Times New Roman" w:hAnsi="Times New Roman" w:eastAsia="Times New Roman" w:cs="Times New Roman"/>
                <w:sz w:val="21"/>
              </w:rPr>
              <w:t>2016</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12</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18</w:t>
            </w:r>
            <w:r>
              <w:rPr>
                <w:rFonts w:hint="eastAsia" w:ascii="宋体" w:hAnsi="宋体" w:eastAsia="宋体" w:cs="宋体"/>
                <w:sz w:val="21"/>
              </w:rPr>
              <w:t xml:space="preserve"> 日</w:t>
            </w:r>
          </w:p>
          <w:p>
            <w:pPr>
              <w:spacing w:before="100"/>
              <w:ind w:left="1060"/>
            </w:pPr>
            <w:r>
              <w:rPr>
                <w:rFonts w:hint="eastAsia" w:ascii="宋体" w:hAnsi="宋体" w:eastAsia="宋体" w:cs="宋体"/>
                <w:sz w:val="21"/>
              </w:rPr>
              <w:t>至</w:t>
            </w:r>
          </w:p>
          <w:p>
            <w:pPr>
              <w:spacing w:before="100"/>
              <w:ind w:left="300"/>
            </w:pPr>
            <w:r>
              <w:rPr>
                <w:rFonts w:hint="eastAsia" w:ascii="Times New Roman" w:hAnsi="Times New Roman" w:eastAsia="Times New Roman" w:cs="Times New Roman"/>
                <w:sz w:val="21"/>
              </w:rPr>
              <w:t>2018</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12</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17</w:t>
            </w:r>
            <w:r>
              <w:rPr>
                <w:rFonts w:hint="eastAsia" w:ascii="宋体" w:hAnsi="宋体" w:eastAsia="宋体" w:cs="宋体"/>
                <w:sz w:val="21"/>
              </w:rPr>
              <w:t xml:space="preserve"> 日</w:t>
            </w:r>
          </w:p>
        </w:tc>
      </w:tr>
      <w:tr>
        <w:trPr>
          <w:trHeight w:val="960" w:hRule="exact"/>
        </w:trPr>
        <w:tc>
          <w:tcPr>
            <w:tcW w:w="620" w:type="dxa"/>
            <w:tcMar>
              <w:top w:w="0" w:type="dxa"/>
              <w:left w:w="0" w:type="dxa"/>
              <w:bottom w:w="0" w:type="dxa"/>
              <w:right w:w="0" w:type="dxa"/>
            </w:tcMar>
          </w:tcPr>
          <w:p>
            <w:pPr>
              <w:spacing w:before="380"/>
              <w:ind w:left="240"/>
            </w:pPr>
            <w:r>
              <w:rPr>
                <w:rFonts w:hint="eastAsia" w:ascii="Times New Roman" w:hAnsi="Times New Roman" w:eastAsia="Times New Roman" w:cs="Times New Roman"/>
                <w:sz w:val="21"/>
              </w:rPr>
              <w:t>3</w:t>
            </w:r>
          </w:p>
        </w:tc>
        <w:tc>
          <w:tcPr>
            <w:tcW w:w="1420" w:type="dxa"/>
            <w:tcMar>
              <w:top w:w="0" w:type="dxa"/>
              <w:left w:w="0" w:type="dxa"/>
              <w:bottom w:w="0" w:type="dxa"/>
              <w:right w:w="0" w:type="dxa"/>
            </w:tcMar>
          </w:tcPr>
          <w:p>
            <w:pPr>
              <w:spacing w:before="360"/>
              <w:ind w:left="260"/>
            </w:pPr>
            <w:r>
              <w:rPr>
                <w:rFonts w:hint="eastAsia" w:ascii="宋体" w:hAnsi="宋体" w:eastAsia="宋体" w:cs="宋体"/>
                <w:sz w:val="21"/>
              </w:rPr>
              <w:t>顶点数码</w:t>
            </w:r>
          </w:p>
        </w:tc>
        <w:tc>
          <w:tcPr>
            <w:tcW w:w="2860" w:type="dxa"/>
            <w:tcMar>
              <w:top w:w="0" w:type="dxa"/>
              <w:left w:w="0" w:type="dxa"/>
              <w:bottom w:w="0" w:type="dxa"/>
              <w:right w:w="0" w:type="dxa"/>
            </w:tcMar>
          </w:tcPr>
          <w:p>
            <w:pPr>
              <w:spacing w:before="200"/>
            </w:pPr>
            <w:r>
              <w:rPr>
                <w:rFonts w:hint="eastAsia" w:ascii="宋体" w:hAnsi="宋体" w:eastAsia="宋体" w:cs="宋体"/>
                <w:sz w:val="21"/>
              </w:rPr>
              <w:t>福州市马尾区快安延伸区</w:t>
            </w:r>
            <w:r>
              <w:rPr>
                <w:rFonts w:hint="eastAsia" w:ascii="Times New Roman" w:hAnsi="Times New Roman" w:eastAsia="Times New Roman" w:cs="Times New Roman"/>
                <w:sz w:val="21"/>
              </w:rPr>
              <w:t xml:space="preserve"> 14#</w:t>
            </w:r>
          </w:p>
          <w:p>
            <w:pPr>
              <w:spacing w:before="80"/>
            </w:pPr>
            <w:r>
              <w:rPr>
                <w:rFonts w:hint="eastAsia" w:ascii="宋体" w:hAnsi="宋体" w:eastAsia="宋体" w:cs="宋体"/>
                <w:sz w:val="21"/>
              </w:rPr>
              <w:t>地创新楼</w:t>
            </w:r>
            <w:r>
              <w:rPr>
                <w:rFonts w:hint="eastAsia" w:ascii="Times New Roman" w:hAnsi="Times New Roman" w:eastAsia="Times New Roman" w:cs="Times New Roman"/>
                <w:sz w:val="21"/>
              </w:rPr>
              <w:t xml:space="preserve"> 6</w:t>
            </w:r>
            <w:r>
              <w:rPr>
                <w:rFonts w:hint="eastAsia" w:ascii="宋体" w:hAnsi="宋体" w:eastAsia="宋体" w:cs="宋体"/>
                <w:sz w:val="21"/>
              </w:rPr>
              <w:t xml:space="preserve"> 层</w:t>
            </w:r>
            <w:r>
              <w:rPr>
                <w:rFonts w:hint="eastAsia" w:ascii="Times New Roman" w:hAnsi="Times New Roman" w:eastAsia="Times New Roman" w:cs="Times New Roman"/>
                <w:sz w:val="21"/>
              </w:rPr>
              <w:t xml:space="preserve"> 8</w:t>
            </w:r>
            <w:r>
              <w:rPr>
                <w:rFonts w:hint="eastAsia" w:ascii="宋体" w:hAnsi="宋体" w:eastAsia="宋体" w:cs="宋体"/>
                <w:sz w:val="21"/>
              </w:rPr>
              <w:t xml:space="preserve"> 房</w:t>
            </w:r>
          </w:p>
        </w:tc>
        <w:tc>
          <w:tcPr>
            <w:tcW w:w="1780" w:type="dxa"/>
            <w:tcMar>
              <w:top w:w="0" w:type="dxa"/>
              <w:left w:w="0" w:type="dxa"/>
              <w:bottom w:w="0" w:type="dxa"/>
              <w:right w:w="0" w:type="dxa"/>
            </w:tcMar>
          </w:tcPr>
          <w:p>
            <w:pPr>
              <w:spacing w:before="360"/>
              <w:ind w:left="760"/>
            </w:pPr>
            <w:r>
              <w:rPr>
                <w:rFonts w:hint="eastAsia" w:ascii="宋体" w:hAnsi="宋体" w:eastAsia="宋体" w:cs="宋体"/>
                <w:sz w:val="21"/>
              </w:rPr>
              <w:t>是</w:t>
            </w:r>
          </w:p>
        </w:tc>
        <w:tc>
          <w:tcPr>
            <w:tcW w:w="2380" w:type="dxa"/>
            <w:tcMar>
              <w:top w:w="0" w:type="dxa"/>
              <w:left w:w="0" w:type="dxa"/>
              <w:bottom w:w="0" w:type="dxa"/>
              <w:right w:w="0" w:type="dxa"/>
            </w:tcMar>
          </w:tcPr>
          <w:p>
            <w:pPr>
              <w:spacing w:before="40"/>
              <w:ind w:left="420"/>
            </w:pPr>
            <w:r>
              <w:rPr>
                <w:rFonts w:hint="eastAsia" w:ascii="Times New Roman" w:hAnsi="Times New Roman" w:eastAsia="Times New Roman" w:cs="Times New Roman"/>
                <w:sz w:val="21"/>
              </w:rPr>
              <w:t>2016</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6</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8</w:t>
            </w:r>
            <w:r>
              <w:rPr>
                <w:rFonts w:hint="eastAsia" w:ascii="宋体" w:hAnsi="宋体" w:eastAsia="宋体" w:cs="宋体"/>
                <w:sz w:val="21"/>
              </w:rPr>
              <w:t xml:space="preserve"> 日</w:t>
            </w:r>
          </w:p>
          <w:p>
            <w:pPr>
              <w:spacing w:before="120"/>
              <w:ind w:left="1060"/>
            </w:pPr>
            <w:r>
              <w:rPr>
                <w:rFonts w:hint="eastAsia" w:ascii="宋体" w:hAnsi="宋体" w:eastAsia="宋体" w:cs="宋体"/>
                <w:sz w:val="21"/>
              </w:rPr>
              <w:t>至</w:t>
            </w:r>
          </w:p>
          <w:p>
            <w:pPr>
              <w:spacing w:before="100"/>
              <w:ind w:left="420"/>
            </w:pPr>
            <w:r>
              <w:rPr>
                <w:rFonts w:hint="eastAsia" w:ascii="Times New Roman" w:hAnsi="Times New Roman" w:eastAsia="Times New Roman" w:cs="Times New Roman"/>
                <w:sz w:val="21"/>
              </w:rPr>
              <w:t>2017</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6</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7</w:t>
            </w:r>
            <w:r>
              <w:rPr>
                <w:rFonts w:hint="eastAsia" w:ascii="宋体" w:hAnsi="宋体" w:eastAsia="宋体" w:cs="宋体"/>
                <w:sz w:val="21"/>
              </w:rPr>
              <w:t xml:space="preserve"> 日</w:t>
            </w:r>
          </w:p>
        </w:tc>
      </w:tr>
      <w:tr>
        <w:trPr>
          <w:trHeight w:val="940" w:hRule="exact"/>
        </w:trPr>
        <w:tc>
          <w:tcPr>
            <w:tcW w:w="620" w:type="dxa"/>
            <w:tcMar>
              <w:top w:w="0" w:type="dxa"/>
              <w:left w:w="0" w:type="dxa"/>
              <w:bottom w:w="0" w:type="dxa"/>
              <w:right w:w="0" w:type="dxa"/>
            </w:tcMar>
          </w:tcPr>
          <w:p>
            <w:pPr>
              <w:spacing w:before="400"/>
              <w:ind w:left="240"/>
            </w:pPr>
            <w:r>
              <w:rPr>
                <w:rFonts w:hint="eastAsia" w:ascii="Times New Roman" w:hAnsi="Times New Roman" w:eastAsia="Times New Roman" w:cs="Times New Roman"/>
                <w:sz w:val="21"/>
              </w:rPr>
              <w:t>4</w:t>
            </w:r>
          </w:p>
        </w:tc>
        <w:tc>
          <w:tcPr>
            <w:tcW w:w="1420" w:type="dxa"/>
            <w:tcMar>
              <w:top w:w="0" w:type="dxa"/>
              <w:left w:w="0" w:type="dxa"/>
              <w:bottom w:w="0" w:type="dxa"/>
              <w:right w:w="0" w:type="dxa"/>
            </w:tcMar>
          </w:tcPr>
          <w:p>
            <w:pPr>
              <w:spacing w:before="340"/>
              <w:ind w:left="260"/>
            </w:pPr>
            <w:r>
              <w:rPr>
                <w:rFonts w:hint="eastAsia" w:ascii="宋体" w:hAnsi="宋体" w:eastAsia="宋体" w:cs="宋体"/>
                <w:sz w:val="21"/>
              </w:rPr>
              <w:t>上海顶点</w:t>
            </w:r>
          </w:p>
        </w:tc>
        <w:tc>
          <w:tcPr>
            <w:tcW w:w="2860" w:type="dxa"/>
            <w:tcMar>
              <w:top w:w="0" w:type="dxa"/>
              <w:left w:w="0" w:type="dxa"/>
              <w:bottom w:w="0" w:type="dxa"/>
              <w:right w:w="0" w:type="dxa"/>
            </w:tcMar>
          </w:tcPr>
          <w:p>
            <w:pPr>
              <w:spacing w:before="200"/>
            </w:pPr>
            <w:r>
              <w:rPr>
                <w:rFonts w:hint="eastAsia" w:ascii="宋体" w:hAnsi="宋体" w:eastAsia="宋体" w:cs="宋体"/>
                <w:sz w:val="21"/>
              </w:rPr>
              <w:t>上海市张江高科技园区郭守敬</w:t>
            </w:r>
          </w:p>
          <w:p>
            <w:pPr>
              <w:spacing w:before="100"/>
            </w:pPr>
            <w:r>
              <w:rPr>
                <w:rFonts w:hint="eastAsia" w:ascii="宋体" w:hAnsi="宋体" w:eastAsia="宋体" w:cs="宋体"/>
                <w:sz w:val="21"/>
              </w:rPr>
              <w:t>路</w:t>
            </w:r>
            <w:r>
              <w:rPr>
                <w:rFonts w:hint="eastAsia" w:ascii="Times New Roman" w:hAnsi="Times New Roman" w:eastAsia="Times New Roman" w:cs="Times New Roman"/>
                <w:sz w:val="21"/>
              </w:rPr>
              <w:t xml:space="preserve"> 498</w:t>
            </w:r>
            <w:r>
              <w:rPr>
                <w:rFonts w:hint="eastAsia" w:ascii="宋体" w:hAnsi="宋体" w:eastAsia="宋体" w:cs="宋体"/>
                <w:sz w:val="21"/>
              </w:rPr>
              <w:t xml:space="preserve"> 号</w:t>
            </w:r>
            <w:r>
              <w:rPr>
                <w:rFonts w:hint="eastAsia" w:ascii="Times New Roman" w:hAnsi="Times New Roman" w:eastAsia="Times New Roman" w:cs="Times New Roman"/>
                <w:sz w:val="21"/>
              </w:rPr>
              <w:t xml:space="preserve"> 14</w:t>
            </w:r>
            <w:r>
              <w:rPr>
                <w:rFonts w:hint="eastAsia" w:ascii="宋体" w:hAnsi="宋体" w:eastAsia="宋体" w:cs="宋体"/>
                <w:sz w:val="21"/>
              </w:rPr>
              <w:t xml:space="preserve"> 幢</w:t>
            </w:r>
            <w:r>
              <w:rPr>
                <w:rFonts w:hint="eastAsia" w:ascii="Times New Roman" w:hAnsi="Times New Roman" w:eastAsia="Times New Roman" w:cs="Times New Roman"/>
                <w:sz w:val="21"/>
              </w:rPr>
              <w:t xml:space="preserve"> 22301-677</w:t>
            </w:r>
            <w:r>
              <w:rPr>
                <w:rFonts w:hint="eastAsia" w:ascii="宋体" w:hAnsi="宋体" w:eastAsia="宋体" w:cs="宋体"/>
                <w:sz w:val="21"/>
              </w:rPr>
              <w:t xml:space="preserve"> 座</w:t>
            </w:r>
          </w:p>
        </w:tc>
        <w:tc>
          <w:tcPr>
            <w:tcW w:w="1780" w:type="dxa"/>
            <w:tcMar>
              <w:top w:w="0" w:type="dxa"/>
              <w:left w:w="0" w:type="dxa"/>
              <w:bottom w:w="0" w:type="dxa"/>
              <w:right w:w="0" w:type="dxa"/>
            </w:tcMar>
          </w:tcPr>
          <w:p>
            <w:pPr>
              <w:spacing w:before="360"/>
              <w:ind w:left="760"/>
            </w:pPr>
            <w:r>
              <w:rPr>
                <w:rFonts w:hint="eastAsia" w:ascii="宋体" w:hAnsi="宋体" w:eastAsia="宋体" w:cs="宋体"/>
                <w:sz w:val="21"/>
              </w:rPr>
              <w:t>是</w:t>
            </w:r>
          </w:p>
        </w:tc>
        <w:tc>
          <w:tcPr>
            <w:tcW w:w="2380" w:type="dxa"/>
            <w:tcMar>
              <w:top w:w="0" w:type="dxa"/>
              <w:left w:w="0" w:type="dxa"/>
              <w:bottom w:w="0" w:type="dxa"/>
              <w:right w:w="0" w:type="dxa"/>
            </w:tcMar>
          </w:tcPr>
          <w:p>
            <w:pPr>
              <w:spacing w:before="20"/>
              <w:ind w:left="420"/>
            </w:pPr>
            <w:r>
              <w:rPr>
                <w:rFonts w:hint="eastAsia" w:ascii="Times New Roman" w:hAnsi="Times New Roman" w:eastAsia="Times New Roman" w:cs="Times New Roman"/>
                <w:sz w:val="21"/>
              </w:rPr>
              <w:t>2016</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6</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日</w:t>
            </w:r>
          </w:p>
          <w:p>
            <w:pPr>
              <w:spacing w:before="140"/>
              <w:ind w:left="1060"/>
            </w:pPr>
            <w:r>
              <w:rPr>
                <w:rFonts w:hint="eastAsia" w:ascii="宋体" w:hAnsi="宋体" w:eastAsia="宋体" w:cs="宋体"/>
                <w:sz w:val="21"/>
              </w:rPr>
              <w:t>至</w:t>
            </w:r>
          </w:p>
          <w:p>
            <w:pPr>
              <w:spacing w:before="100"/>
              <w:ind w:left="360"/>
            </w:pPr>
            <w:r>
              <w:rPr>
                <w:rFonts w:hint="eastAsia" w:ascii="Times New Roman" w:hAnsi="Times New Roman" w:eastAsia="Times New Roman" w:cs="Times New Roman"/>
                <w:sz w:val="21"/>
              </w:rPr>
              <w:t>2017</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5</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31</w:t>
            </w:r>
            <w:r>
              <w:rPr>
                <w:rFonts w:hint="eastAsia" w:ascii="宋体" w:hAnsi="宋体" w:eastAsia="宋体" w:cs="宋体"/>
                <w:sz w:val="21"/>
              </w:rPr>
              <w:t xml:space="preserve"> 日</w:t>
            </w:r>
          </w:p>
        </w:tc>
      </w:tr>
      <w:tr>
        <w:trPr>
          <w:trHeight w:val="940" w:hRule="exact"/>
        </w:trPr>
        <w:tc>
          <w:tcPr>
            <w:tcW w:w="620" w:type="dxa"/>
            <w:tcMar>
              <w:top w:w="0" w:type="dxa"/>
              <w:left w:w="0" w:type="dxa"/>
              <w:bottom w:w="0" w:type="dxa"/>
              <w:right w:w="0" w:type="dxa"/>
            </w:tcMar>
          </w:tcPr>
          <w:p>
            <w:pPr>
              <w:spacing w:before="400"/>
              <w:ind w:left="240"/>
            </w:pPr>
            <w:r>
              <w:rPr>
                <w:rFonts w:hint="eastAsia" w:ascii="Times New Roman" w:hAnsi="Times New Roman" w:eastAsia="Times New Roman" w:cs="Times New Roman"/>
                <w:sz w:val="21"/>
              </w:rPr>
              <w:t>5</w:t>
            </w:r>
          </w:p>
        </w:tc>
        <w:tc>
          <w:tcPr>
            <w:tcW w:w="1420" w:type="dxa"/>
            <w:tcMar>
              <w:top w:w="0" w:type="dxa"/>
              <w:left w:w="0" w:type="dxa"/>
              <w:bottom w:w="0" w:type="dxa"/>
              <w:right w:w="0" w:type="dxa"/>
            </w:tcMar>
          </w:tcPr>
          <w:p>
            <w:pPr>
              <w:spacing w:before="360"/>
              <w:ind w:left="380"/>
            </w:pPr>
            <w:r>
              <w:rPr>
                <w:rFonts w:hint="eastAsia" w:ascii="宋体" w:hAnsi="宋体" w:eastAsia="宋体" w:cs="宋体"/>
                <w:sz w:val="21"/>
              </w:rPr>
              <w:t>发行人</w:t>
            </w:r>
          </w:p>
        </w:tc>
        <w:tc>
          <w:tcPr>
            <w:tcW w:w="2860" w:type="dxa"/>
            <w:tcMar>
              <w:top w:w="0" w:type="dxa"/>
              <w:left w:w="0" w:type="dxa"/>
              <w:bottom w:w="0" w:type="dxa"/>
              <w:right w:w="0" w:type="dxa"/>
            </w:tcMar>
          </w:tcPr>
          <w:p>
            <w:pPr>
              <w:spacing w:before="180"/>
            </w:pPr>
            <w:r>
              <w:rPr>
                <w:rFonts w:hint="eastAsia" w:ascii="宋体" w:hAnsi="宋体" w:eastAsia="宋体" w:cs="宋体"/>
                <w:sz w:val="21"/>
              </w:rPr>
              <w:t>福州市鼓楼区软件大道</w:t>
            </w:r>
            <w:r>
              <w:rPr>
                <w:rFonts w:hint="eastAsia" w:ascii="Times New Roman" w:hAnsi="Times New Roman" w:eastAsia="Times New Roman" w:cs="Times New Roman"/>
                <w:sz w:val="21"/>
              </w:rPr>
              <w:t xml:space="preserve"> 89</w:t>
            </w:r>
            <w:r>
              <w:rPr>
                <w:rFonts w:hint="eastAsia" w:ascii="宋体" w:hAnsi="宋体" w:eastAsia="宋体" w:cs="宋体"/>
                <w:sz w:val="21"/>
              </w:rPr>
              <w:t xml:space="preserve"> 号福</w:t>
            </w:r>
          </w:p>
          <w:p>
            <w:pPr>
              <w:spacing w:before="100"/>
            </w:pPr>
            <w:r>
              <w:rPr>
                <w:rFonts w:hint="eastAsia" w:ascii="宋体" w:hAnsi="宋体" w:eastAsia="宋体" w:cs="宋体"/>
                <w:sz w:val="21"/>
              </w:rPr>
              <w:t>州软件园</w:t>
            </w:r>
            <w:r>
              <w:rPr>
                <w:rFonts w:hint="eastAsia" w:ascii="Times New Roman" w:hAnsi="Times New Roman" w:eastAsia="Times New Roman" w:cs="Times New Roman"/>
                <w:sz w:val="21"/>
              </w:rPr>
              <w:t xml:space="preserve"> A</w:t>
            </w:r>
            <w:r>
              <w:rPr>
                <w:rFonts w:hint="eastAsia" w:ascii="宋体" w:hAnsi="宋体" w:eastAsia="宋体" w:cs="宋体"/>
                <w:sz w:val="21"/>
              </w:rPr>
              <w:t xml:space="preserve"> 区</w:t>
            </w:r>
            <w:r>
              <w:rPr>
                <w:rFonts w:hint="eastAsia" w:ascii="Times New Roman" w:hAnsi="Times New Roman" w:eastAsia="Times New Roman" w:cs="Times New Roman"/>
                <w:sz w:val="21"/>
              </w:rPr>
              <w:t xml:space="preserve"> 30</w:t>
            </w:r>
            <w:r>
              <w:rPr>
                <w:rFonts w:hint="eastAsia" w:ascii="宋体" w:hAnsi="宋体" w:eastAsia="宋体" w:cs="宋体"/>
                <w:sz w:val="21"/>
              </w:rPr>
              <w:t xml:space="preserve"> 号楼</w:t>
            </w:r>
            <w:r>
              <w:rPr>
                <w:rFonts w:hint="eastAsia" w:ascii="Times New Roman" w:hAnsi="Times New Roman" w:eastAsia="Times New Roman" w:cs="Times New Roman"/>
                <w:sz w:val="21"/>
              </w:rPr>
              <w:t xml:space="preserve"> 5</w:t>
            </w:r>
            <w:r>
              <w:rPr>
                <w:rFonts w:hint="eastAsia" w:ascii="宋体" w:hAnsi="宋体" w:eastAsia="宋体" w:cs="宋体"/>
                <w:sz w:val="21"/>
              </w:rPr>
              <w:t xml:space="preserve"> 层</w:t>
            </w:r>
          </w:p>
        </w:tc>
        <w:tc>
          <w:tcPr>
            <w:tcW w:w="1780" w:type="dxa"/>
            <w:tcMar>
              <w:top w:w="0" w:type="dxa"/>
              <w:left w:w="0" w:type="dxa"/>
              <w:bottom w:w="0" w:type="dxa"/>
              <w:right w:w="0" w:type="dxa"/>
            </w:tcMar>
          </w:tcPr>
          <w:p>
            <w:pPr>
              <w:spacing w:before="360"/>
            </w:pPr>
            <w:r>
              <w:rPr>
                <w:rFonts w:hint="eastAsia" w:ascii="宋体" w:hAnsi="宋体" w:eastAsia="宋体" w:cs="宋体"/>
                <w:sz w:val="21"/>
              </w:rPr>
              <w:t>否</w:t>
            </w:r>
            <w:r>
              <w:rPr>
                <w:rFonts w:hint="eastAsia" w:ascii="宋体" w:hAnsi="宋体" w:eastAsia="宋体" w:cs="宋体"/>
                <w:sz w:val="10"/>
              </w:rPr>
              <w:t>，</w:t>
            </w:r>
            <w:r>
              <w:rPr>
                <w:rFonts w:hint="eastAsia" w:ascii="宋体" w:hAnsi="宋体" w:eastAsia="宋体" w:cs="宋体"/>
                <w:sz w:val="21"/>
              </w:rPr>
              <w:t>签署购房合同</w:t>
            </w:r>
          </w:p>
        </w:tc>
        <w:tc>
          <w:tcPr>
            <w:tcW w:w="2380" w:type="dxa"/>
            <w:tcMar>
              <w:top w:w="0" w:type="dxa"/>
              <w:left w:w="0" w:type="dxa"/>
              <w:bottom w:w="0" w:type="dxa"/>
              <w:right w:w="0" w:type="dxa"/>
            </w:tcMar>
          </w:tcPr>
          <w:p>
            <w:pPr>
              <w:spacing w:before="40"/>
              <w:ind w:left="360"/>
            </w:pPr>
            <w:r>
              <w:rPr>
                <w:rFonts w:hint="eastAsia" w:ascii="Times New Roman" w:hAnsi="Times New Roman" w:eastAsia="Times New Roman" w:cs="Times New Roman"/>
                <w:sz w:val="21"/>
              </w:rPr>
              <w:t>2015</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5</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15</w:t>
            </w:r>
            <w:r>
              <w:rPr>
                <w:rFonts w:hint="eastAsia" w:ascii="宋体" w:hAnsi="宋体" w:eastAsia="宋体" w:cs="宋体"/>
                <w:sz w:val="21"/>
              </w:rPr>
              <w:t xml:space="preserve"> 日</w:t>
            </w:r>
          </w:p>
          <w:p>
            <w:pPr>
              <w:spacing w:before="100"/>
              <w:ind w:left="1060"/>
            </w:pPr>
            <w:r>
              <w:rPr>
                <w:rFonts w:hint="eastAsia" w:ascii="宋体" w:hAnsi="宋体" w:eastAsia="宋体" w:cs="宋体"/>
                <w:sz w:val="21"/>
              </w:rPr>
              <w:t>至</w:t>
            </w:r>
          </w:p>
          <w:p>
            <w:pPr>
              <w:spacing w:before="100"/>
              <w:ind w:left="360"/>
            </w:pPr>
            <w:r>
              <w:rPr>
                <w:rFonts w:hint="eastAsia" w:ascii="Times New Roman" w:hAnsi="Times New Roman" w:eastAsia="Times New Roman" w:cs="Times New Roman"/>
                <w:sz w:val="21"/>
              </w:rPr>
              <w:t>2017</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5</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14</w:t>
            </w:r>
            <w:r>
              <w:rPr>
                <w:rFonts w:hint="eastAsia" w:ascii="宋体" w:hAnsi="宋体" w:eastAsia="宋体" w:cs="宋体"/>
                <w:sz w:val="21"/>
              </w:rPr>
              <w:t xml:space="preserve"> 日</w:t>
            </w:r>
          </w:p>
        </w:tc>
      </w:tr>
      <w:tr>
        <w:trPr>
          <w:trHeight w:val="960" w:hRule="exact"/>
        </w:trPr>
        <w:tc>
          <w:tcPr>
            <w:tcW w:w="620" w:type="dxa"/>
            <w:tcMar>
              <w:top w:w="0" w:type="dxa"/>
              <w:left w:w="0" w:type="dxa"/>
              <w:bottom w:w="0" w:type="dxa"/>
              <w:right w:w="0" w:type="dxa"/>
            </w:tcMar>
          </w:tcPr>
          <w:p>
            <w:pPr>
              <w:spacing w:before="380"/>
              <w:ind w:left="240"/>
            </w:pPr>
            <w:r>
              <w:rPr>
                <w:rFonts w:hint="eastAsia" w:ascii="Times New Roman" w:hAnsi="Times New Roman" w:eastAsia="Times New Roman" w:cs="Times New Roman"/>
                <w:sz w:val="21"/>
              </w:rPr>
              <w:t>6</w:t>
            </w:r>
          </w:p>
        </w:tc>
        <w:tc>
          <w:tcPr>
            <w:tcW w:w="1420" w:type="dxa"/>
            <w:tcMar>
              <w:top w:w="0" w:type="dxa"/>
              <w:left w:w="0" w:type="dxa"/>
              <w:bottom w:w="0" w:type="dxa"/>
              <w:right w:w="0" w:type="dxa"/>
            </w:tcMar>
          </w:tcPr>
          <w:p>
            <w:pPr>
              <w:spacing w:before="360"/>
              <w:ind w:left="380"/>
            </w:pPr>
            <w:r>
              <w:rPr>
                <w:rFonts w:hint="eastAsia" w:ascii="宋体" w:hAnsi="宋体" w:eastAsia="宋体" w:cs="宋体"/>
                <w:sz w:val="21"/>
              </w:rPr>
              <w:t>发行人</w:t>
            </w:r>
          </w:p>
        </w:tc>
        <w:tc>
          <w:tcPr>
            <w:tcW w:w="2860" w:type="dxa"/>
            <w:tcMar>
              <w:top w:w="0" w:type="dxa"/>
              <w:left w:w="0" w:type="dxa"/>
              <w:bottom w:w="0" w:type="dxa"/>
              <w:right w:w="0" w:type="dxa"/>
            </w:tcMar>
          </w:tcPr>
          <w:p>
            <w:pPr>
              <w:spacing w:before="200"/>
            </w:pPr>
            <w:r>
              <w:rPr>
                <w:rFonts w:hint="eastAsia" w:ascii="宋体" w:hAnsi="宋体" w:eastAsia="宋体" w:cs="宋体"/>
                <w:sz w:val="21"/>
              </w:rPr>
              <w:t>深圳市福田联合广场</w:t>
            </w:r>
            <w:r>
              <w:rPr>
                <w:rFonts w:hint="eastAsia" w:ascii="Times New Roman" w:hAnsi="Times New Roman" w:eastAsia="Times New Roman" w:cs="Times New Roman"/>
                <w:sz w:val="21"/>
              </w:rPr>
              <w:t xml:space="preserve"> A</w:t>
            </w:r>
            <w:r>
              <w:rPr>
                <w:rFonts w:hint="eastAsia" w:ascii="宋体" w:hAnsi="宋体" w:eastAsia="宋体" w:cs="宋体"/>
                <w:sz w:val="21"/>
              </w:rPr>
              <w:t xml:space="preserve"> 栋</w:t>
            </w:r>
            <w:r>
              <w:rPr>
                <w:rFonts w:hint="eastAsia" w:ascii="Times New Roman" w:hAnsi="Times New Roman" w:eastAsia="Times New Roman" w:cs="Times New Roman"/>
                <w:sz w:val="21"/>
              </w:rPr>
              <w:t xml:space="preserve"> 1102</w:t>
            </w:r>
          </w:p>
          <w:p>
            <w:pPr>
              <w:spacing w:before="100"/>
            </w:pPr>
            <w:r>
              <w:rPr>
                <w:rFonts w:hint="eastAsia" w:ascii="宋体" w:hAnsi="宋体" w:eastAsia="宋体" w:cs="宋体"/>
                <w:sz w:val="21"/>
              </w:rPr>
              <w:t>室</w:t>
            </w:r>
            <w:r>
              <w:rPr>
                <w:rFonts w:hint="eastAsia" w:ascii="Times New Roman" w:hAnsi="Times New Roman" w:eastAsia="Times New Roman" w:cs="Times New Roman"/>
                <w:sz w:val="21"/>
              </w:rPr>
              <w:t xml:space="preserve"> b5</w:t>
            </w:r>
            <w:r>
              <w:rPr>
                <w:rFonts w:hint="eastAsia" w:ascii="宋体" w:hAnsi="宋体" w:eastAsia="宋体" w:cs="宋体"/>
                <w:sz w:val="21"/>
              </w:rPr>
              <w:t xml:space="preserve"> 房</w:t>
            </w:r>
          </w:p>
        </w:tc>
        <w:tc>
          <w:tcPr>
            <w:tcW w:w="1780" w:type="dxa"/>
            <w:tcMar>
              <w:top w:w="0" w:type="dxa"/>
              <w:left w:w="0" w:type="dxa"/>
              <w:bottom w:w="0" w:type="dxa"/>
              <w:right w:w="0" w:type="dxa"/>
            </w:tcMar>
          </w:tcPr>
          <w:p>
            <w:pPr>
              <w:spacing w:before="360"/>
              <w:ind w:left="760"/>
            </w:pPr>
            <w:r>
              <w:rPr>
                <w:rFonts w:hint="eastAsia" w:ascii="宋体" w:hAnsi="宋体" w:eastAsia="宋体" w:cs="宋体"/>
                <w:sz w:val="21"/>
              </w:rPr>
              <w:t>是</w:t>
            </w:r>
          </w:p>
        </w:tc>
        <w:tc>
          <w:tcPr>
            <w:tcW w:w="2380" w:type="dxa"/>
            <w:tcMar>
              <w:top w:w="0" w:type="dxa"/>
              <w:left w:w="0" w:type="dxa"/>
              <w:bottom w:w="0" w:type="dxa"/>
              <w:right w:w="0" w:type="dxa"/>
            </w:tcMar>
          </w:tcPr>
          <w:p>
            <w:pPr>
              <w:spacing w:before="40"/>
              <w:ind w:left="420"/>
            </w:pPr>
            <w:r>
              <w:rPr>
                <w:rFonts w:hint="eastAsia" w:ascii="Times New Roman" w:hAnsi="Times New Roman" w:eastAsia="Times New Roman" w:cs="Times New Roman"/>
                <w:sz w:val="21"/>
              </w:rPr>
              <w:t>2016</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7</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日</w:t>
            </w:r>
          </w:p>
          <w:p>
            <w:pPr>
              <w:spacing w:before="120"/>
              <w:ind w:left="1060"/>
            </w:pPr>
            <w:r>
              <w:rPr>
                <w:rFonts w:hint="eastAsia" w:ascii="宋体" w:hAnsi="宋体" w:eastAsia="宋体" w:cs="宋体"/>
                <w:sz w:val="21"/>
              </w:rPr>
              <w:t>至</w:t>
            </w:r>
          </w:p>
          <w:p>
            <w:pPr>
              <w:spacing w:before="100"/>
              <w:ind w:left="360"/>
            </w:pPr>
            <w:r>
              <w:rPr>
                <w:rFonts w:hint="eastAsia" w:ascii="Times New Roman" w:hAnsi="Times New Roman" w:eastAsia="Times New Roman" w:cs="Times New Roman"/>
                <w:sz w:val="21"/>
              </w:rPr>
              <w:t>2017</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6</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30</w:t>
            </w:r>
            <w:r>
              <w:rPr>
                <w:rFonts w:hint="eastAsia" w:ascii="宋体" w:hAnsi="宋体" w:eastAsia="宋体" w:cs="宋体"/>
                <w:sz w:val="21"/>
              </w:rPr>
              <w:t xml:space="preserve"> 日</w:t>
            </w:r>
          </w:p>
        </w:tc>
      </w:tr>
      <w:tr>
        <w:trPr>
          <w:trHeight w:val="920" w:hRule="exact"/>
        </w:trPr>
        <w:tc>
          <w:tcPr>
            <w:tcW w:w="620" w:type="dxa"/>
            <w:tcMar>
              <w:top w:w="0" w:type="dxa"/>
              <w:left w:w="0" w:type="dxa"/>
              <w:bottom w:w="0" w:type="dxa"/>
              <w:right w:w="0" w:type="dxa"/>
            </w:tcMar>
          </w:tcPr>
          <w:p>
            <w:pPr>
              <w:spacing w:before="400"/>
              <w:ind w:left="240"/>
            </w:pPr>
            <w:r>
              <w:rPr>
                <w:rFonts w:hint="eastAsia" w:ascii="Times New Roman" w:hAnsi="Times New Roman" w:eastAsia="Times New Roman" w:cs="Times New Roman"/>
                <w:sz w:val="21"/>
              </w:rPr>
              <w:t>7</w:t>
            </w:r>
          </w:p>
        </w:tc>
        <w:tc>
          <w:tcPr>
            <w:tcW w:w="1420" w:type="dxa"/>
            <w:tcMar>
              <w:top w:w="0" w:type="dxa"/>
              <w:left w:w="0" w:type="dxa"/>
              <w:bottom w:w="0" w:type="dxa"/>
              <w:right w:w="0" w:type="dxa"/>
            </w:tcMar>
          </w:tcPr>
          <w:p>
            <w:pPr>
              <w:spacing w:before="340"/>
              <w:ind w:left="160"/>
            </w:pPr>
            <w:r>
              <w:rPr>
                <w:rFonts w:hint="eastAsia" w:ascii="宋体" w:hAnsi="宋体" w:eastAsia="宋体" w:cs="宋体"/>
                <w:sz w:val="21"/>
              </w:rPr>
              <w:t>亿维航软件</w:t>
            </w:r>
          </w:p>
        </w:tc>
        <w:tc>
          <w:tcPr>
            <w:tcW w:w="2860" w:type="dxa"/>
            <w:tcMar>
              <w:top w:w="0" w:type="dxa"/>
              <w:left w:w="0" w:type="dxa"/>
              <w:bottom w:w="0" w:type="dxa"/>
              <w:right w:w="0" w:type="dxa"/>
            </w:tcMar>
          </w:tcPr>
          <w:p>
            <w:pPr>
              <w:spacing w:before="180"/>
            </w:pPr>
            <w:r>
              <w:rPr>
                <w:rFonts w:hint="eastAsia" w:ascii="宋体" w:hAnsi="宋体" w:eastAsia="宋体" w:cs="宋体"/>
                <w:sz w:val="21"/>
              </w:rPr>
              <w:t>上海市宝山区淞发路</w:t>
            </w:r>
            <w:r>
              <w:rPr>
                <w:rFonts w:hint="eastAsia" w:ascii="Times New Roman" w:hAnsi="Times New Roman" w:eastAsia="Times New Roman" w:cs="Times New Roman"/>
                <w:sz w:val="21"/>
              </w:rPr>
              <w:t xml:space="preserve"> 901</w:t>
            </w:r>
            <w:r>
              <w:rPr>
                <w:rFonts w:hint="eastAsia" w:ascii="宋体" w:hAnsi="宋体" w:eastAsia="宋体" w:cs="宋体"/>
                <w:sz w:val="21"/>
              </w:rPr>
              <w:t xml:space="preserve"> 弄</w:t>
            </w:r>
            <w:r>
              <w:rPr>
                <w:rFonts w:hint="eastAsia" w:ascii="Times New Roman" w:hAnsi="Times New Roman" w:eastAsia="Times New Roman" w:cs="Times New Roman"/>
                <w:sz w:val="21"/>
              </w:rPr>
              <w:t xml:space="preserve"> 8</w:t>
            </w:r>
          </w:p>
          <w:p>
            <w:pPr>
              <w:spacing w:before="100"/>
            </w:pPr>
            <w:r>
              <w:rPr>
                <w:rFonts w:hint="eastAsia" w:ascii="宋体" w:hAnsi="宋体" w:eastAsia="宋体" w:cs="宋体"/>
                <w:sz w:val="21"/>
              </w:rPr>
              <w:t>号</w:t>
            </w:r>
            <w:r>
              <w:rPr>
                <w:rFonts w:hint="eastAsia" w:ascii="Times New Roman" w:hAnsi="Times New Roman" w:eastAsia="Times New Roman" w:cs="Times New Roman"/>
                <w:sz w:val="21"/>
              </w:rPr>
              <w:t xml:space="preserve"> 917</w:t>
            </w:r>
            <w:r>
              <w:rPr>
                <w:rFonts w:hint="eastAsia" w:ascii="宋体" w:hAnsi="宋体" w:eastAsia="宋体" w:cs="宋体"/>
                <w:sz w:val="21"/>
              </w:rPr>
              <w:t xml:space="preserve"> 室</w:t>
            </w:r>
          </w:p>
        </w:tc>
        <w:tc>
          <w:tcPr>
            <w:tcW w:w="1780" w:type="dxa"/>
            <w:tcMar>
              <w:top w:w="0" w:type="dxa"/>
              <w:left w:w="0" w:type="dxa"/>
              <w:bottom w:w="0" w:type="dxa"/>
              <w:right w:w="0" w:type="dxa"/>
            </w:tcMar>
          </w:tcPr>
          <w:p>
            <w:pPr>
              <w:spacing w:before="340"/>
              <w:ind w:left="760"/>
            </w:pPr>
            <w:r>
              <w:rPr>
                <w:rFonts w:hint="eastAsia" w:ascii="宋体" w:hAnsi="宋体" w:eastAsia="宋体" w:cs="宋体"/>
                <w:sz w:val="21"/>
              </w:rPr>
              <w:t>是</w:t>
            </w:r>
          </w:p>
        </w:tc>
        <w:tc>
          <w:tcPr>
            <w:tcW w:w="2380" w:type="dxa"/>
            <w:tcMar>
              <w:top w:w="0" w:type="dxa"/>
              <w:left w:w="0" w:type="dxa"/>
              <w:bottom w:w="0" w:type="dxa"/>
              <w:right w:w="0" w:type="dxa"/>
            </w:tcMar>
          </w:tcPr>
          <w:p>
            <w:pPr>
              <w:spacing w:before="40"/>
              <w:ind w:left="360"/>
            </w:pPr>
            <w:r>
              <w:rPr>
                <w:rFonts w:hint="eastAsia" w:ascii="Times New Roman" w:hAnsi="Times New Roman" w:eastAsia="Times New Roman" w:cs="Times New Roman"/>
                <w:sz w:val="21"/>
              </w:rPr>
              <w:t>2017</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3</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14</w:t>
            </w:r>
            <w:r>
              <w:rPr>
                <w:rFonts w:hint="eastAsia" w:ascii="宋体" w:hAnsi="宋体" w:eastAsia="宋体" w:cs="宋体"/>
                <w:sz w:val="21"/>
              </w:rPr>
              <w:t xml:space="preserve"> 日</w:t>
            </w:r>
          </w:p>
          <w:p>
            <w:pPr>
              <w:spacing w:before="140"/>
              <w:ind w:left="1060"/>
            </w:pPr>
            <w:r>
              <w:rPr>
                <w:rFonts w:hint="eastAsia" w:ascii="宋体" w:hAnsi="宋体" w:eastAsia="宋体" w:cs="宋体"/>
                <w:sz w:val="21"/>
              </w:rPr>
              <w:t>至</w:t>
            </w:r>
          </w:p>
          <w:p>
            <w:pPr>
              <w:spacing w:before="80"/>
              <w:ind w:left="360"/>
            </w:pPr>
            <w:r>
              <w:rPr>
                <w:rFonts w:hint="eastAsia" w:ascii="Times New Roman" w:hAnsi="Times New Roman" w:eastAsia="Times New Roman" w:cs="Times New Roman"/>
                <w:sz w:val="21"/>
              </w:rPr>
              <w:t>2018</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3</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13</w:t>
            </w:r>
            <w:r>
              <w:rPr>
                <w:rFonts w:hint="eastAsia" w:ascii="宋体" w:hAnsi="宋体" w:eastAsia="宋体" w:cs="宋体"/>
                <w:sz w:val="21"/>
              </w:rPr>
              <w:t xml:space="preserve"> 日</w:t>
            </w:r>
          </w:p>
        </w:tc>
      </w:tr>
    </w:tbl>
    <w:p>
      <w:pPr>
        <w:spacing w:line="200" w:lineRule="exact"/>
        <w:rPr>
          <w:rFonts w:hint="eastAsia" w:ascii="宋体" w:hAnsi="宋体" w:eastAsia="宋体" w:cs="宋体"/>
          <w:sz w:val="20"/>
        </w:rPr>
      </w:pPr>
    </w:p>
    <w:p>
      <w:pPr>
        <w:autoSpaceDE w:val="false"/>
        <w:autoSpaceDN w:val="false"/>
        <w:spacing w:line="420" w:lineRule="exact"/>
        <w:ind w:left="1440" w:right="1200" w:firstLine="480"/>
        <w:jc w:val="both"/>
      </w:pPr>
      <w:r>
        <w:rPr>
          <w:rFonts w:hint="eastAsia" w:ascii="宋体" w:hAnsi="宋体" w:eastAsia="宋体" w:cs="宋体"/>
          <w:sz w:val="24"/>
        </w:rPr>
        <w:t>上述租赁房产均有房产证或取得购房合同并签署租赁协议</w:t>
      </w:r>
      <w:r>
        <w:rPr>
          <w:rFonts w:hint="eastAsia" w:ascii="宋体" w:hAnsi="宋体" w:eastAsia="宋体" w:cs="宋体"/>
          <w:sz w:val="10"/>
        </w:rPr>
        <w:t>，</w:t>
      </w:r>
      <w:r>
        <w:rPr>
          <w:rFonts w:hint="eastAsia" w:ascii="宋体" w:hAnsi="宋体" w:eastAsia="宋体" w:cs="宋体"/>
          <w:sz w:val="24"/>
        </w:rPr>
        <w:t>租金标准参照当地一般水平并与出租方协商</w:t>
      </w:r>
      <w:r>
        <w:rPr>
          <w:rFonts w:hint="eastAsia" w:ascii="宋体" w:hAnsi="宋体" w:eastAsia="宋体" w:cs="宋体"/>
          <w:sz w:val="10"/>
        </w:rPr>
        <w:t>一</w:t>
      </w:r>
      <w:r>
        <w:rPr>
          <w:rFonts w:hint="eastAsia" w:ascii="宋体" w:hAnsi="宋体" w:eastAsia="宋体" w:cs="宋体"/>
          <w:sz w:val="24"/>
        </w:rPr>
        <w:t>致</w:t>
      </w:r>
      <w:r>
        <w:rPr>
          <w:rFonts w:hint="eastAsia" w:ascii="宋体" w:hAnsi="宋体" w:eastAsia="宋体" w:cs="宋体"/>
          <w:sz w:val="10"/>
        </w:rPr>
        <w:t>。</w:t>
      </w:r>
      <w:r>
        <w:rPr>
          <w:rFonts w:hint="eastAsia" w:ascii="宋体" w:hAnsi="宋体" w:eastAsia="宋体" w:cs="宋体"/>
          <w:sz w:val="24"/>
        </w:rPr>
        <w:t>除发行人</w:t>
      </w:r>
      <w:r>
        <w:rPr>
          <w:rFonts w:hint="eastAsia" w:ascii="宋体" w:hAnsi="宋体" w:eastAsia="宋体" w:cs="宋体"/>
          <w:sz w:val="10"/>
        </w:rPr>
        <w:t>、</w:t>
      </w:r>
      <w:r>
        <w:rPr>
          <w:rFonts w:hint="eastAsia" w:ascii="宋体" w:hAnsi="宋体" w:eastAsia="宋体" w:cs="宋体"/>
          <w:sz w:val="24"/>
        </w:rPr>
        <w:t>北京顶点的办公场地外</w:t>
      </w:r>
      <w:r>
        <w:rPr>
          <w:rFonts w:hint="eastAsia" w:ascii="宋体" w:hAnsi="宋体" w:eastAsia="宋体" w:cs="宋体"/>
          <w:sz w:val="10"/>
        </w:rPr>
        <w:t>，</w:t>
      </w:r>
      <w:r>
        <w:rPr>
          <w:rFonts w:hint="eastAsia" w:ascii="宋体" w:hAnsi="宋体" w:eastAsia="宋体" w:cs="宋体"/>
          <w:sz w:val="24"/>
        </w:rPr>
        <w:t>其他租赁房产租赁备案手续正在办理中</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发行人主要客户集中在北上广深等一线城市</w:t>
      </w:r>
      <w:r>
        <w:rPr>
          <w:rFonts w:hint="eastAsia" w:ascii="宋体" w:hAnsi="宋体" w:eastAsia="宋体" w:cs="宋体"/>
          <w:sz w:val="10"/>
        </w:rPr>
        <w:t>，</w:t>
      </w:r>
      <w:r>
        <w:rPr>
          <w:rFonts w:hint="eastAsia" w:ascii="宋体" w:hAnsi="宋体" w:eastAsia="宋体" w:cs="宋体"/>
          <w:sz w:val="24"/>
        </w:rPr>
        <w:t>为及时</w:t>
      </w:r>
      <w:r>
        <w:rPr>
          <w:rFonts w:hint="eastAsia" w:ascii="宋体" w:hAnsi="宋体" w:eastAsia="宋体" w:cs="宋体"/>
          <w:sz w:val="10"/>
        </w:rPr>
        <w:t>、</w:t>
      </w:r>
      <w:r>
        <w:rPr>
          <w:rFonts w:hint="eastAsia" w:ascii="宋体" w:hAnsi="宋体" w:eastAsia="宋体" w:cs="宋体"/>
          <w:sz w:val="24"/>
        </w:rPr>
        <w:t>高质量地为客户提供研发和服务</w:t>
      </w:r>
      <w:r>
        <w:rPr>
          <w:rFonts w:hint="eastAsia" w:ascii="宋体" w:hAnsi="宋体" w:eastAsia="宋体" w:cs="宋体"/>
          <w:sz w:val="10"/>
        </w:rPr>
        <w:t>，</w:t>
      </w:r>
      <w:r>
        <w:rPr>
          <w:rFonts w:hint="eastAsia" w:ascii="宋体" w:hAnsi="宋体" w:eastAsia="宋体" w:cs="宋体"/>
          <w:sz w:val="24"/>
        </w:rPr>
        <w:t>除上述办公用租赁房产外</w:t>
      </w:r>
      <w:r>
        <w:rPr>
          <w:rFonts w:hint="eastAsia" w:ascii="宋体" w:hAnsi="宋体" w:eastAsia="宋体" w:cs="宋体"/>
          <w:sz w:val="10"/>
        </w:rPr>
        <w:t>，</w:t>
      </w:r>
      <w:r>
        <w:rPr>
          <w:rFonts w:hint="eastAsia" w:ascii="宋体" w:hAnsi="宋体" w:eastAsia="宋体" w:cs="宋体"/>
          <w:sz w:val="24"/>
        </w:rPr>
        <w:t>发行人还在主要项目所在地为公司出差员工租赁住宅供其居住使用</w:t>
      </w:r>
      <w:r>
        <w:rPr>
          <w:rFonts w:hint="eastAsia" w:ascii="宋体" w:hAnsi="宋体" w:eastAsia="宋体" w:cs="宋体"/>
          <w:sz w:val="10"/>
        </w:rPr>
        <w:t>，</w:t>
      </w:r>
      <w:r>
        <w:rPr>
          <w:rFonts w:hint="eastAsia" w:ascii="宋体" w:hAnsi="宋体" w:eastAsia="宋体" w:cs="宋体"/>
          <w:sz w:val="24"/>
        </w:rPr>
        <w:t>发行人绝大多数租赁的住宿用房产拥有房产证</w:t>
      </w:r>
      <w:r>
        <w:rPr>
          <w:rFonts w:hint="eastAsia" w:ascii="宋体" w:hAnsi="宋体" w:eastAsia="宋体" w:cs="宋体"/>
          <w:sz w:val="10"/>
        </w:rPr>
        <w:t>。</w:t>
      </w:r>
      <w:r>
        <w:rPr>
          <w:rFonts w:hint="eastAsia" w:ascii="宋体" w:hAnsi="宋体" w:eastAsia="宋体" w:cs="宋体"/>
          <w:sz w:val="24"/>
        </w:rPr>
        <w:t>由于住宿用租赁房产仅供出差人员居住使用</w:t>
      </w:r>
      <w:r>
        <w:rPr>
          <w:rFonts w:hint="eastAsia" w:ascii="宋体" w:hAnsi="宋体" w:eastAsia="宋体" w:cs="宋体"/>
          <w:sz w:val="10"/>
        </w:rPr>
        <w:t>，</w:t>
      </w:r>
      <w:r>
        <w:rPr>
          <w:rFonts w:hint="eastAsia" w:ascii="宋体" w:hAnsi="宋体" w:eastAsia="宋体" w:cs="宋体"/>
          <w:sz w:val="24"/>
        </w:rPr>
        <w:t>如果相关房屋涉及搬迁等风险无法继续租用</w:t>
      </w:r>
      <w:r>
        <w:rPr>
          <w:rFonts w:hint="eastAsia" w:ascii="宋体" w:hAnsi="宋体" w:eastAsia="宋体" w:cs="宋体"/>
          <w:sz w:val="10"/>
        </w:rPr>
        <w:t>，</w:t>
      </w:r>
      <w:r>
        <w:rPr>
          <w:rFonts w:hint="eastAsia" w:ascii="宋体" w:hAnsi="宋体" w:eastAsia="宋体" w:cs="宋体"/>
          <w:sz w:val="24"/>
        </w:rPr>
        <w:t>发行人可在客户附近就近另行租赁住宅</w:t>
      </w:r>
      <w:r>
        <w:rPr>
          <w:rFonts w:hint="eastAsia" w:ascii="宋体" w:hAnsi="宋体" w:eastAsia="宋体" w:cs="宋体"/>
          <w:sz w:val="10"/>
        </w:rPr>
        <w:t>，</w:t>
      </w:r>
      <w:r>
        <w:rPr>
          <w:rFonts w:hint="eastAsia" w:ascii="宋体" w:hAnsi="宋体" w:eastAsia="宋体" w:cs="宋体"/>
          <w:sz w:val="24"/>
        </w:rPr>
        <w:t>选择范围较广</w:t>
      </w:r>
      <w:r>
        <w:rPr>
          <w:rFonts w:hint="eastAsia" w:ascii="宋体" w:hAnsi="宋体" w:eastAsia="宋体" w:cs="宋体"/>
          <w:sz w:val="10"/>
        </w:rPr>
        <w:t>，</w:t>
      </w:r>
      <w:r>
        <w:rPr>
          <w:rFonts w:hint="eastAsia" w:ascii="宋体" w:hAnsi="宋体" w:eastAsia="宋体" w:cs="宋体"/>
          <w:sz w:val="24"/>
        </w:rPr>
        <w:t>租赁相对方便</w:t>
      </w:r>
      <w:r>
        <w:rPr>
          <w:rFonts w:hint="eastAsia" w:ascii="宋体" w:hAnsi="宋体" w:eastAsia="宋体" w:cs="宋体"/>
          <w:sz w:val="10"/>
        </w:rPr>
        <w:t>，</w:t>
      </w:r>
      <w:r>
        <w:rPr>
          <w:rFonts w:hint="eastAsia" w:ascii="宋体" w:hAnsi="宋体" w:eastAsia="宋体" w:cs="宋体"/>
          <w:sz w:val="24"/>
        </w:rPr>
        <w:t>居住用品转移相对简便</w:t>
      </w:r>
      <w:r>
        <w:rPr>
          <w:rFonts w:hint="eastAsia" w:ascii="宋体" w:hAnsi="宋体" w:eastAsia="宋体" w:cs="宋体"/>
          <w:sz w:val="10"/>
        </w:rPr>
        <w:t>，</w:t>
      </w:r>
      <w:r>
        <w:rPr>
          <w:rFonts w:hint="eastAsia" w:ascii="宋体" w:hAnsi="宋体" w:eastAsia="宋体" w:cs="宋体"/>
          <w:sz w:val="24"/>
        </w:rPr>
        <w:t>不会对发行人的生产经营产生重大影响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1-1-167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电子设备</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60" w:firstLine="480"/>
        <w:jc w:val="both"/>
      </w:pPr>
      <w:r>
        <w:rPr>
          <w:rFonts w:hint="eastAsia" w:ascii="宋体" w:hAnsi="宋体" w:eastAsia="宋体" w:cs="宋体"/>
          <w:sz w:val="24"/>
        </w:rPr>
        <w:t>公司的电子设备主要为台式计算机</w:t>
      </w:r>
      <w:r>
        <w:rPr>
          <w:rFonts w:hint="eastAsia" w:ascii="宋体" w:hAnsi="宋体" w:eastAsia="宋体" w:cs="宋体"/>
          <w:sz w:val="10"/>
        </w:rPr>
        <w:t>、</w:t>
      </w:r>
      <w:r>
        <w:rPr>
          <w:rFonts w:hint="eastAsia" w:ascii="宋体" w:hAnsi="宋体" w:eastAsia="宋体" w:cs="宋体"/>
          <w:sz w:val="24"/>
        </w:rPr>
        <w:t>笔记本电脑</w:t>
      </w:r>
      <w:r>
        <w:rPr>
          <w:rFonts w:hint="eastAsia" w:ascii="宋体" w:hAnsi="宋体" w:eastAsia="宋体" w:cs="宋体"/>
          <w:sz w:val="10"/>
        </w:rPr>
        <w:t>、</w:t>
      </w:r>
      <w:r>
        <w:rPr>
          <w:rFonts w:hint="eastAsia" w:ascii="宋体" w:hAnsi="宋体" w:eastAsia="宋体" w:cs="宋体"/>
          <w:sz w:val="24"/>
        </w:rPr>
        <w:t>服务器等</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公司电子设备净额为</w:t>
      </w:r>
      <w:r>
        <w:rPr>
          <w:rFonts w:hint="eastAsia" w:ascii="Times New Roman" w:hAnsi="Times New Roman" w:eastAsia="Times New Roman" w:cs="Times New Roman"/>
          <w:sz w:val="24"/>
        </w:rPr>
        <w:t xml:space="preserve"> 2,410,038.20</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设备大修或改造计划</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公司尚无设备大修或技术改造计划</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（二）主要无形资产</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计算机软件著作权</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本公司拥有多项计算机软件著作权</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报告期内取得的主要计算机软件著作权情况如下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660"/>
        <w:gridCol w:w="1980"/>
        <w:gridCol w:w="1700"/>
        <w:gridCol w:w="1920"/>
      </w:tblGrid>
      <w:tr>
        <w:trPr>
          <w:trHeight w:val="480" w:hRule="exact"/>
        </w:trPr>
        <w:tc>
          <w:tcPr>
            <w:tcW w:w="3660" w:type="dxa"/>
            <w:tcMar>
              <w:top w:w="0" w:type="dxa"/>
              <w:left w:w="0" w:type="dxa"/>
              <w:bottom w:w="0" w:type="dxa"/>
              <w:right w:w="0" w:type="dxa"/>
            </w:tcMar>
          </w:tcPr>
          <w:p>
            <w:pPr>
              <w:spacing w:before="120"/>
              <w:ind w:left="1380"/>
            </w:pPr>
            <w:r>
              <w:rPr>
                <w:rFonts w:hint="eastAsia" w:ascii="宋体" w:hAnsi="宋体" w:eastAsia="宋体" w:cs="宋体"/>
                <w:b/>
                <w:sz w:val="21"/>
              </w:rPr>
              <w:t>软件名称</w:t>
            </w:r>
          </w:p>
        </w:tc>
        <w:tc>
          <w:tcPr>
            <w:tcW w:w="1980" w:type="dxa"/>
            <w:tcMar>
              <w:top w:w="0" w:type="dxa"/>
              <w:left w:w="0" w:type="dxa"/>
              <w:bottom w:w="0" w:type="dxa"/>
              <w:right w:w="0" w:type="dxa"/>
            </w:tcMar>
          </w:tcPr>
          <w:p>
            <w:pPr>
              <w:spacing w:before="120"/>
              <w:ind w:left="660"/>
            </w:pPr>
            <w:r>
              <w:rPr>
                <w:rFonts w:hint="eastAsia" w:ascii="宋体" w:hAnsi="宋体" w:eastAsia="宋体" w:cs="宋体"/>
                <w:b/>
                <w:sz w:val="21"/>
              </w:rPr>
              <w:t>登记号</w:t>
            </w:r>
          </w:p>
        </w:tc>
        <w:tc>
          <w:tcPr>
            <w:tcW w:w="1700" w:type="dxa"/>
            <w:tcMar>
              <w:top w:w="0" w:type="dxa"/>
              <w:left w:w="0" w:type="dxa"/>
              <w:bottom w:w="0" w:type="dxa"/>
              <w:right w:w="0" w:type="dxa"/>
            </w:tcMar>
          </w:tcPr>
          <w:p>
            <w:pPr>
              <w:spacing w:before="120"/>
              <w:ind w:left="200"/>
            </w:pPr>
            <w:r>
              <w:rPr>
                <w:rFonts w:hint="eastAsia" w:ascii="宋体" w:hAnsi="宋体" w:eastAsia="宋体" w:cs="宋体"/>
                <w:b/>
                <w:sz w:val="21"/>
              </w:rPr>
              <w:t>权利取得方式</w:t>
            </w:r>
          </w:p>
        </w:tc>
        <w:tc>
          <w:tcPr>
            <w:tcW w:w="1920" w:type="dxa"/>
            <w:tcMar>
              <w:top w:w="0" w:type="dxa"/>
              <w:left w:w="0" w:type="dxa"/>
              <w:bottom w:w="0" w:type="dxa"/>
              <w:right w:w="0" w:type="dxa"/>
            </w:tcMar>
          </w:tcPr>
          <w:p>
            <w:pPr>
              <w:spacing w:before="120"/>
              <w:ind w:left="520"/>
            </w:pPr>
            <w:r>
              <w:rPr>
                <w:rFonts w:hint="eastAsia" w:ascii="宋体" w:hAnsi="宋体" w:eastAsia="宋体" w:cs="宋体"/>
                <w:b/>
                <w:sz w:val="21"/>
              </w:rPr>
              <w:t>发证日期</w:t>
            </w:r>
          </w:p>
        </w:tc>
      </w:tr>
      <w:tr>
        <w:trPr>
          <w:trHeight w:val="480" w:hRule="exact"/>
        </w:trPr>
        <w:tc>
          <w:tcPr>
            <w:tcW w:w="9260" w:type="dxa"/>
            <w:gridSpan w:val="4"/>
            <w:tcMar>
              <w:top w:w="0" w:type="dxa"/>
              <w:left w:w="0" w:type="dxa"/>
              <w:bottom w:w="0" w:type="dxa"/>
              <w:right w:w="0" w:type="dxa"/>
            </w:tcMar>
          </w:tcPr>
          <w:p>
            <w:pPr>
              <w:spacing w:before="100"/>
              <w:ind w:left="3360"/>
            </w:pPr>
            <w:r>
              <w:rPr>
                <w:rFonts w:hint="eastAsia" w:ascii="宋体" w:hAnsi="宋体" w:eastAsia="宋体" w:cs="宋体"/>
                <w:b/>
                <w:sz w:val="21"/>
              </w:rPr>
              <w:t>福建顶点软件股份有限公司</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教务管理系统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2014SR110668</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学生综合管理系统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2014SR110751</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协同办公系统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2014SR119449</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人事管理系统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2014SR119386</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顶点综合理财账户系统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2014SR150336</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顶点新三板交易系统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2014SR150341</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顶点个股期权交易系统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2014SR153223</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顶点小微贷系统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2014SR153907</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顶点双活版期权交易系统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2014SR189276</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顶点非现场综合管理系统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2014SR190497</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顶点金融资产交易系统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2014SR190918</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顶点资金支付平台</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2014SR191143</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顶点港股通交易系统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2014SR198581</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r>
      <w:tr>
        <w:trPr>
          <w:trHeight w:val="62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顶点数字化校园综合服务门户平台</w:t>
            </w:r>
          </w:p>
          <w:p>
            <w:pPr>
              <w:spacing w:before="160"/>
              <w:ind w:left="100"/>
            </w:pP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2014SR205512</w:t>
            </w:r>
          </w:p>
        </w:tc>
        <w:tc>
          <w:tcPr>
            <w:tcW w:w="1700" w:type="dxa"/>
            <w:tcMar>
              <w:top w:w="0" w:type="dxa"/>
              <w:left w:w="0" w:type="dxa"/>
              <w:bottom w:w="0" w:type="dxa"/>
              <w:right w:w="0" w:type="dxa"/>
            </w:tcMar>
          </w:tcPr>
          <w:p>
            <w:pPr>
              <w:spacing w:before="18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顶点统</w:t>
            </w:r>
            <w:r>
              <w:rPr>
                <w:rFonts w:hint="eastAsia" w:ascii="宋体" w:hAnsi="宋体" w:eastAsia="宋体" w:cs="宋体"/>
                <w:sz w:val="20"/>
              </w:rPr>
              <w:t>一</w:t>
            </w:r>
            <w:r>
              <w:rPr>
                <w:rFonts w:hint="eastAsia" w:ascii="宋体" w:hAnsi="宋体" w:eastAsia="宋体" w:cs="宋体"/>
                <w:sz w:val="21"/>
              </w:rPr>
              <w:t>流程中心系统软件</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2014SR204662</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1-1-168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660"/>
        <w:gridCol w:w="1980"/>
        <w:gridCol w:w="1700"/>
        <w:gridCol w:w="1920"/>
      </w:tblGrid>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职业院校质量标准体系管理系统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2015SR167154</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顶点营销服务薪酬考核系统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2016SR141052</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顶点新</w:t>
            </w:r>
            <w:r>
              <w:rPr>
                <w:rFonts w:hint="eastAsia" w:ascii="宋体" w:hAnsi="宋体" w:eastAsia="宋体" w:cs="宋体"/>
                <w:sz w:val="20"/>
              </w:rPr>
              <w:t>一</w:t>
            </w:r>
            <w:r>
              <w:rPr>
                <w:rFonts w:hint="eastAsia" w:ascii="宋体" w:hAnsi="宋体" w:eastAsia="宋体" w:cs="宋体"/>
                <w:sz w:val="21"/>
              </w:rPr>
              <w:t>代集中交易报盘系统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2016SR140520</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顶点远程视频柜员机系统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2016SR141121</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顶点主经纪商业务系统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2016SR141418</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顶点信托网上商城系统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2016SR140622</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r>
      <w:tr>
        <w:trPr>
          <w:trHeight w:val="62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顶点学分银行信息平台软件</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2"/>
              </w:rPr>
              <w:t>：</w:t>
            </w:r>
            <w:r>
              <w:rPr>
                <w:rFonts w:hint="eastAsia" w:ascii="宋体" w:hAnsi="宋体" w:eastAsia="宋体" w:cs="宋体"/>
                <w:sz w:val="21"/>
              </w:rPr>
              <w:t>学</w:t>
            </w:r>
          </w:p>
          <w:p>
            <w:pPr>
              <w:spacing w:before="100"/>
              <w:ind w:left="100"/>
            </w:pPr>
            <w:r>
              <w:rPr>
                <w:rFonts w:hint="eastAsia" w:ascii="宋体" w:hAnsi="宋体" w:eastAsia="宋体" w:cs="宋体"/>
                <w:sz w:val="21"/>
              </w:rPr>
              <w:t>分银行信息平台</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2016SR327568</w:t>
            </w:r>
          </w:p>
        </w:tc>
        <w:tc>
          <w:tcPr>
            <w:tcW w:w="1700" w:type="dxa"/>
            <w:tcMar>
              <w:top w:w="0" w:type="dxa"/>
              <w:left w:w="0" w:type="dxa"/>
              <w:bottom w:w="0" w:type="dxa"/>
              <w:right w:w="0" w:type="dxa"/>
            </w:tcMar>
          </w:tcPr>
          <w:p>
            <w:pPr>
              <w:spacing w:before="18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480" w:hRule="exact"/>
        </w:trPr>
        <w:tc>
          <w:tcPr>
            <w:tcW w:w="9260" w:type="dxa"/>
            <w:gridSpan w:val="4"/>
            <w:tcMar>
              <w:top w:w="0" w:type="dxa"/>
              <w:left w:w="0" w:type="dxa"/>
              <w:bottom w:w="0" w:type="dxa"/>
              <w:right w:w="0" w:type="dxa"/>
            </w:tcMar>
          </w:tcPr>
          <w:p>
            <w:pPr>
              <w:spacing w:before="120"/>
              <w:ind w:left="3360"/>
            </w:pPr>
            <w:r>
              <w:rPr>
                <w:rFonts w:hint="eastAsia" w:ascii="宋体" w:hAnsi="宋体" w:eastAsia="宋体" w:cs="宋体"/>
                <w:b/>
                <w:sz w:val="21"/>
              </w:rPr>
              <w:t>福州顶点数码科技有限公司</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顶点股票质押式回购系统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2014SR020345</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560" w:hRule="exact"/>
        </w:trPr>
        <w:tc>
          <w:tcPr>
            <w:tcW w:w="3660" w:type="dxa"/>
            <w:tcMar>
              <w:top w:w="0" w:type="dxa"/>
              <w:left w:w="0" w:type="dxa"/>
              <w:bottom w:w="0" w:type="dxa"/>
              <w:right w:w="0" w:type="dxa"/>
            </w:tcMar>
          </w:tcPr>
          <w:p>
            <w:pPr>
              <w:spacing w:before="0"/>
              <w:ind w:left="100"/>
            </w:pPr>
            <w:r>
              <w:rPr>
                <w:rFonts w:hint="eastAsia" w:ascii="宋体" w:hAnsi="宋体" w:eastAsia="宋体" w:cs="宋体"/>
                <w:sz w:val="21"/>
              </w:rPr>
              <w:t>顶点关键事件驱动流程管理系统</w:t>
            </w:r>
            <w:r>
              <w:rPr>
                <w:rFonts w:hint="eastAsia" w:ascii="Times New Roman" w:hAnsi="Times New Roman" w:eastAsia="Times New Roman" w:cs="Times New Roman"/>
                <w:sz w:val="20"/>
              </w:rPr>
              <w:t>[</w:t>
            </w:r>
            <w:r>
              <w:rPr>
                <w:rFonts w:hint="eastAsia" w:ascii="宋体" w:hAnsi="宋体" w:eastAsia="宋体" w:cs="宋体"/>
                <w:sz w:val="21"/>
              </w:rPr>
              <w:t>简</w:t>
            </w:r>
          </w:p>
          <w:p>
            <w:pPr>
              <w:spacing w:before="60"/>
              <w:ind w:left="100"/>
            </w:pPr>
            <w:r>
              <w:rPr>
                <w:rFonts w:hint="eastAsia" w:ascii="宋体" w:hAnsi="宋体" w:eastAsia="宋体" w:cs="宋体"/>
                <w:sz w:val="21"/>
              </w:rPr>
              <w:t>称</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KPM</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00"/>
              <w:ind w:left="540"/>
            </w:pPr>
            <w:r>
              <w:rPr>
                <w:rFonts w:hint="eastAsia" w:ascii="Times New Roman" w:hAnsi="Times New Roman" w:eastAsia="Times New Roman" w:cs="Times New Roman"/>
                <w:sz w:val="21"/>
              </w:rPr>
              <w:t>2014SR045423</w:t>
            </w:r>
          </w:p>
        </w:tc>
        <w:tc>
          <w:tcPr>
            <w:tcW w:w="1700" w:type="dxa"/>
            <w:tcMar>
              <w:top w:w="0" w:type="dxa"/>
              <w:left w:w="0" w:type="dxa"/>
              <w:bottom w:w="0" w:type="dxa"/>
              <w:right w:w="0" w:type="dxa"/>
            </w:tcMar>
          </w:tcPr>
          <w:p>
            <w:pPr>
              <w:spacing w:before="14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0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w:t>
            </w:r>
            <w:r>
              <w:rPr>
                <w:rFonts w:hint="eastAsia" w:ascii="宋体" w:hAnsi="宋体" w:eastAsia="宋体" w:cs="宋体"/>
                <w:sz w:val="20"/>
              </w:rPr>
              <w:t>一</w:t>
            </w:r>
            <w:r>
              <w:rPr>
                <w:rFonts w:hint="eastAsia" w:ascii="宋体" w:hAnsi="宋体" w:eastAsia="宋体" w:cs="宋体"/>
                <w:sz w:val="21"/>
              </w:rPr>
              <w:t>码通系统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2014SR198600</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顶点金股在线系统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2016SR293042</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14</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顶点第三方安全接入软件</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2016SR293826</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14</w:t>
            </w:r>
          </w:p>
        </w:tc>
      </w:tr>
      <w:tr>
        <w:trPr>
          <w:trHeight w:val="520" w:hRule="exact"/>
        </w:trPr>
        <w:tc>
          <w:tcPr>
            <w:tcW w:w="3660" w:type="dxa"/>
            <w:tcMar>
              <w:top w:w="0" w:type="dxa"/>
              <w:left w:w="0" w:type="dxa"/>
              <w:bottom w:w="0" w:type="dxa"/>
              <w:right w:w="0" w:type="dxa"/>
            </w:tcMar>
          </w:tcPr>
          <w:p>
            <w:pPr>
              <w:spacing w:before="0"/>
              <w:ind w:left="100"/>
            </w:pPr>
            <w:r>
              <w:rPr>
                <w:rFonts w:hint="eastAsia" w:ascii="宋体" w:hAnsi="宋体" w:eastAsia="宋体" w:cs="宋体"/>
                <w:sz w:val="21"/>
              </w:rPr>
              <w:t>顶点证券客户业务集中运营受理系统</w:t>
            </w:r>
          </w:p>
          <w:p>
            <w:pPr>
              <w:spacing w:before="100"/>
              <w:ind w:left="100"/>
            </w:pP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2016SR293251</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14</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顶点信用卡进件管理系统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2016SR292729</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14</w:t>
            </w:r>
          </w:p>
        </w:tc>
      </w:tr>
      <w:tr>
        <w:trPr>
          <w:trHeight w:val="520" w:hRule="exact"/>
        </w:trPr>
        <w:tc>
          <w:tcPr>
            <w:tcW w:w="3660" w:type="dxa"/>
            <w:tcMar>
              <w:top w:w="0" w:type="dxa"/>
              <w:left w:w="0" w:type="dxa"/>
              <w:bottom w:w="0" w:type="dxa"/>
              <w:right w:w="0" w:type="dxa"/>
            </w:tcMar>
          </w:tcPr>
          <w:p>
            <w:pPr>
              <w:spacing w:before="0"/>
              <w:ind w:left="100"/>
            </w:pPr>
            <w:r>
              <w:rPr>
                <w:rFonts w:hint="eastAsia" w:ascii="宋体" w:hAnsi="宋体" w:eastAsia="宋体" w:cs="宋体"/>
                <w:sz w:val="21"/>
              </w:rPr>
              <w:t>顶点核心交易自动化测试管理系统</w:t>
            </w:r>
          </w:p>
          <w:p>
            <w:pPr>
              <w:spacing w:before="100"/>
              <w:ind w:left="100"/>
            </w:pP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2016SR293824</w:t>
            </w:r>
          </w:p>
        </w:tc>
        <w:tc>
          <w:tcPr>
            <w:tcW w:w="1700" w:type="dxa"/>
            <w:tcMar>
              <w:top w:w="0" w:type="dxa"/>
              <w:left w:w="0" w:type="dxa"/>
              <w:bottom w:w="0" w:type="dxa"/>
              <w:right w:w="0" w:type="dxa"/>
            </w:tcMar>
          </w:tcPr>
          <w:p>
            <w:pPr>
              <w:spacing w:before="14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14</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顶点新市值配售系统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2016SR293272</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14</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顶点银行客户档案管理系统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2016SR295953</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17</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顶点托管业务综合管理系统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2016SR298847</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19</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顶点深圳个股期权交易系统</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2016SR297939</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19</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顶点无纸化办公软件</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2016SR297429</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18</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顶点优先股交易软件</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2016SR297421</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18</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顶点投保数据报送系统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2016SR300262</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19"/>
              </w:rPr>
              <w:t>2016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20</w:t>
            </w:r>
          </w:p>
        </w:tc>
      </w:tr>
      <w:tr>
        <w:trPr>
          <w:trHeight w:val="480" w:hRule="exact"/>
        </w:trPr>
        <w:tc>
          <w:tcPr>
            <w:tcW w:w="9260" w:type="dxa"/>
            <w:gridSpan w:val="4"/>
            <w:tcMar>
              <w:top w:w="0" w:type="dxa"/>
              <w:left w:w="0" w:type="dxa"/>
              <w:bottom w:w="0" w:type="dxa"/>
              <w:right w:w="0" w:type="dxa"/>
            </w:tcMar>
          </w:tcPr>
          <w:p>
            <w:pPr>
              <w:spacing w:before="120"/>
              <w:ind w:left="3140"/>
            </w:pPr>
            <w:r>
              <w:rPr>
                <w:rFonts w:hint="eastAsia" w:ascii="宋体" w:hAnsi="宋体" w:eastAsia="宋体" w:cs="宋体"/>
                <w:b/>
                <w:sz w:val="21"/>
              </w:rPr>
              <w:t>北京顶点时代软件技术有限公司</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顶点电子交易网上开户系统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2015SR221488</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顶点股权激励融资行权系统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2015SR221855</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r>
      <w:tr>
        <w:trPr>
          <w:trHeight w:val="540" w:hRule="exact"/>
        </w:trPr>
        <w:tc>
          <w:tcPr>
            <w:tcW w:w="3660" w:type="dxa"/>
            <w:tcMar>
              <w:top w:w="0" w:type="dxa"/>
              <w:left w:w="0" w:type="dxa"/>
              <w:bottom w:w="0" w:type="dxa"/>
              <w:right w:w="0" w:type="dxa"/>
            </w:tcMar>
          </w:tcPr>
          <w:p>
            <w:pPr>
              <w:spacing w:before="20"/>
              <w:ind w:left="100"/>
            </w:pPr>
            <w:r>
              <w:rPr>
                <w:rFonts w:hint="eastAsia" w:ascii="宋体" w:hAnsi="宋体" w:eastAsia="宋体" w:cs="宋体"/>
                <w:sz w:val="21"/>
              </w:rPr>
              <w:t>顶点深圳债券质押式协议回购系统</w:t>
            </w:r>
          </w:p>
          <w:p>
            <w:pPr>
              <w:spacing w:before="100"/>
              <w:ind w:left="100"/>
            </w:pP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00"/>
              <w:ind w:left="560"/>
            </w:pPr>
            <w:r>
              <w:rPr>
                <w:rFonts w:hint="eastAsia" w:ascii="Times New Roman" w:hAnsi="Times New Roman" w:eastAsia="Times New Roman" w:cs="Times New Roman"/>
                <w:sz w:val="21"/>
              </w:rPr>
              <w:t>2015SR221136</w:t>
            </w:r>
          </w:p>
        </w:tc>
        <w:tc>
          <w:tcPr>
            <w:tcW w:w="1700" w:type="dxa"/>
            <w:tcMar>
              <w:top w:w="0" w:type="dxa"/>
              <w:left w:w="0" w:type="dxa"/>
              <w:bottom w:w="0" w:type="dxa"/>
              <w:right w:w="0" w:type="dxa"/>
            </w:tcMar>
          </w:tcPr>
          <w:p>
            <w:pPr>
              <w:spacing w:before="14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0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顶点货币基金取现业务系统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2015SR221474</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1-1-169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660"/>
        <w:gridCol w:w="1980"/>
        <w:gridCol w:w="1700"/>
        <w:gridCol w:w="1920"/>
      </w:tblGrid>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顶点私募市场交易云平台</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2016SR239253</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顶点港股通客户关系管理系统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2016SR253865</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顶点做市快速递交易系统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2016SR326996</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顶点个股期权快速交易系统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2016SR327015</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顶点信托账户管理系统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2016SR327256</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顶点期货员工手机</w:t>
            </w:r>
            <w:r>
              <w:rPr>
                <w:rFonts w:hint="eastAsia" w:ascii="Times New Roman" w:hAnsi="Times New Roman" w:eastAsia="Times New Roman" w:cs="Times New Roman"/>
                <w:sz w:val="21"/>
              </w:rPr>
              <w:t xml:space="preserve"> APP</w:t>
            </w:r>
            <w:r>
              <w:rPr>
                <w:rFonts w:hint="eastAsia" w:ascii="宋体" w:hAnsi="宋体" w:eastAsia="宋体" w:cs="宋体"/>
                <w:sz w:val="21"/>
              </w:rPr>
              <w:t xml:space="preserve"> 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2016SR327010</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顶点融资融券快速交易系统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2016SR327007</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顶点互联网金融支付平台</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2016SR335396</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r>
      <w:tr>
        <w:trPr>
          <w:trHeight w:val="480" w:hRule="exact"/>
        </w:trPr>
        <w:tc>
          <w:tcPr>
            <w:tcW w:w="9260" w:type="dxa"/>
            <w:gridSpan w:val="4"/>
            <w:tcMar>
              <w:top w:w="0" w:type="dxa"/>
              <w:left w:w="0" w:type="dxa"/>
              <w:bottom w:w="0" w:type="dxa"/>
              <w:right w:w="0" w:type="dxa"/>
            </w:tcMar>
          </w:tcPr>
          <w:p>
            <w:pPr>
              <w:spacing w:before="60"/>
              <w:ind w:left="3360"/>
            </w:pPr>
            <w:r>
              <w:rPr>
                <w:rFonts w:hint="eastAsia" w:ascii="宋体" w:hAnsi="宋体" w:eastAsia="宋体" w:cs="宋体"/>
                <w:b/>
                <w:sz w:val="21"/>
              </w:rPr>
              <w:t>福州顶点信息管理有限公司</w:t>
            </w:r>
          </w:p>
        </w:tc>
      </w:tr>
      <w:tr>
        <w:trPr>
          <w:trHeight w:val="640" w:hRule="exact"/>
        </w:trPr>
        <w:tc>
          <w:tcPr>
            <w:tcW w:w="3660" w:type="dxa"/>
            <w:tcMar>
              <w:top w:w="0" w:type="dxa"/>
              <w:left w:w="0" w:type="dxa"/>
              <w:bottom w:w="0" w:type="dxa"/>
              <w:right w:w="0" w:type="dxa"/>
            </w:tcMar>
          </w:tcPr>
          <w:p>
            <w:pPr>
              <w:spacing w:before="20"/>
              <w:ind w:left="100"/>
            </w:pPr>
            <w:r>
              <w:rPr>
                <w:rFonts w:hint="eastAsia" w:ascii="宋体" w:hAnsi="宋体" w:eastAsia="宋体" w:cs="宋体"/>
                <w:sz w:val="21"/>
              </w:rPr>
              <w:t>顶点移动应用平台顶点</w:t>
            </w:r>
            <w:r>
              <w:rPr>
                <w:rFonts w:hint="eastAsia" w:ascii="Times New Roman" w:hAnsi="Times New Roman" w:eastAsia="Times New Roman" w:cs="Times New Roman"/>
                <w:sz w:val="21"/>
              </w:rPr>
              <w:t xml:space="preserve"> Cowork</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p>
          <w:p>
            <w:pPr>
              <w:spacing w:before="100"/>
              <w:ind w:left="100"/>
            </w:pPr>
            <w:r>
              <w:rPr>
                <w:rFonts w:hint="eastAsia" w:ascii="宋体" w:hAnsi="宋体" w:eastAsia="宋体" w:cs="宋体"/>
                <w:sz w:val="21"/>
              </w:rPr>
              <w:t>顶点</w:t>
            </w:r>
            <w:r>
              <w:rPr>
                <w:rFonts w:hint="eastAsia" w:ascii="Times New Roman" w:hAnsi="Times New Roman" w:eastAsia="Times New Roman" w:cs="Times New Roman"/>
                <w:sz w:val="21"/>
              </w:rPr>
              <w:t xml:space="preserve"> Cowork</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2014SR001861</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顶点合同管理系统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2014SR203675</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顶点任务管理平台</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2014SR213298</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顶点统</w:t>
            </w:r>
            <w:r>
              <w:rPr>
                <w:rFonts w:hint="eastAsia" w:ascii="宋体" w:hAnsi="宋体" w:eastAsia="宋体" w:cs="宋体"/>
                <w:sz w:val="10"/>
              </w:rPr>
              <w:t>一</w:t>
            </w:r>
            <w:r>
              <w:rPr>
                <w:rFonts w:hint="eastAsia" w:ascii="宋体" w:hAnsi="宋体" w:eastAsia="宋体" w:cs="宋体"/>
                <w:sz w:val="21"/>
              </w:rPr>
              <w:t>门户平台</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2015SR002444</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顶点资产管理系统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2015SR010958</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w:t>
            </w:r>
            <w:r>
              <w:rPr>
                <w:rFonts w:hint="eastAsia" w:ascii="Times New Roman" w:hAnsi="Times New Roman" w:eastAsia="Times New Roman" w:cs="Times New Roman"/>
                <w:sz w:val="21"/>
              </w:rPr>
              <w:t xml:space="preserve"> LiveBPM</w:t>
            </w:r>
            <w:r>
              <w:rPr>
                <w:rFonts w:hint="eastAsia" w:ascii="宋体" w:hAnsi="宋体" w:eastAsia="宋体" w:cs="宋体"/>
                <w:sz w:val="21"/>
              </w:rPr>
              <w:t xml:space="preserve"> 平台</w:t>
            </w:r>
            <w:r>
              <w:rPr>
                <w:rFonts w:hint="eastAsia" w:ascii="Times New Roman" w:hAnsi="Times New Roman" w:eastAsia="Times New Roman" w:cs="Times New Roman"/>
                <w:sz w:val="21"/>
              </w:rPr>
              <w:t xml:space="preserve"> V2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2015SR261206</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r>
      <w:tr>
        <w:trPr>
          <w:trHeight w:val="64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顶点流程财务管理系统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r>
              <w:rPr>
                <w:rFonts w:hint="eastAsia" w:ascii="宋体" w:hAnsi="宋体" w:eastAsia="宋体" w:cs="宋体"/>
                <w:sz w:val="21"/>
              </w:rPr>
              <w:t>顶点</w:t>
            </w:r>
          </w:p>
          <w:p>
            <w:pPr>
              <w:spacing w:before="80"/>
              <w:ind w:left="100"/>
            </w:pPr>
            <w:r>
              <w:rPr>
                <w:rFonts w:hint="eastAsia" w:ascii="Times New Roman" w:hAnsi="Times New Roman" w:eastAsia="Times New Roman" w:cs="Times New Roman"/>
                <w:sz w:val="21"/>
              </w:rPr>
              <w:t>LiveFM</w:t>
            </w:r>
            <w:r>
              <w:rPr>
                <w:rFonts w:hint="eastAsia" w:ascii="宋体" w:hAnsi="宋体" w:eastAsia="宋体" w:cs="宋体"/>
                <w:sz w:val="21"/>
              </w:rPr>
              <w:t xml:space="preserve"> 系统</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2015SR263414</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6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r>
      <w:tr>
        <w:trPr>
          <w:trHeight w:val="64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顶点人力资源管理系统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r>
              <w:rPr>
                <w:rFonts w:hint="eastAsia" w:ascii="宋体" w:hAnsi="宋体" w:eastAsia="宋体" w:cs="宋体"/>
                <w:sz w:val="21"/>
              </w:rPr>
              <w:t>顶点</w:t>
            </w:r>
          </w:p>
          <w:p>
            <w:pPr>
              <w:spacing w:before="100"/>
              <w:ind w:left="100"/>
            </w:pPr>
            <w:r>
              <w:rPr>
                <w:rFonts w:hint="eastAsia" w:ascii="Times New Roman" w:hAnsi="Times New Roman" w:eastAsia="Times New Roman" w:cs="Times New Roman"/>
                <w:sz w:val="21"/>
              </w:rPr>
              <w:t>LiveHR</w:t>
            </w:r>
            <w:r>
              <w:rPr>
                <w:rFonts w:hint="eastAsia" w:ascii="宋体" w:hAnsi="宋体" w:eastAsia="宋体" w:cs="宋体"/>
                <w:sz w:val="21"/>
              </w:rPr>
              <w:t xml:space="preserve"> 系统</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60"/>
            </w:pPr>
            <w:r>
              <w:rPr>
                <w:rFonts w:hint="eastAsia" w:ascii="Times New Roman" w:hAnsi="Times New Roman" w:eastAsia="Times New Roman" w:cs="Times New Roman"/>
                <w:sz w:val="21"/>
              </w:rPr>
              <w:t>2015SR261102</w:t>
            </w:r>
          </w:p>
        </w:tc>
        <w:tc>
          <w:tcPr>
            <w:tcW w:w="1700" w:type="dxa"/>
            <w:tcMar>
              <w:top w:w="0" w:type="dxa"/>
              <w:left w:w="0" w:type="dxa"/>
              <w:bottom w:w="0" w:type="dxa"/>
              <w:right w:w="0" w:type="dxa"/>
            </w:tcMar>
          </w:tcPr>
          <w:p>
            <w:pPr>
              <w:spacing w:before="18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r>
      <w:tr>
        <w:trPr>
          <w:trHeight w:val="62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顶点供应链管理系统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2"/>
              </w:rPr>
              <w:t>：</w:t>
            </w:r>
            <w:r>
              <w:rPr>
                <w:rFonts w:hint="eastAsia" w:ascii="宋体" w:hAnsi="宋体" w:eastAsia="宋体" w:cs="宋体"/>
                <w:sz w:val="21"/>
              </w:rPr>
              <w:t>顶点</w:t>
            </w:r>
          </w:p>
          <w:p>
            <w:pPr>
              <w:spacing w:before="100"/>
              <w:ind w:left="100"/>
            </w:pPr>
            <w:r>
              <w:rPr>
                <w:rFonts w:hint="eastAsia" w:ascii="Times New Roman" w:hAnsi="Times New Roman" w:eastAsia="Times New Roman" w:cs="Times New Roman"/>
                <w:sz w:val="21"/>
              </w:rPr>
              <w:t>LiveSCM</w:t>
            </w:r>
            <w:r>
              <w:rPr>
                <w:rFonts w:hint="eastAsia" w:ascii="宋体" w:hAnsi="宋体" w:eastAsia="宋体" w:cs="宋体"/>
                <w:sz w:val="21"/>
              </w:rPr>
              <w:t xml:space="preserve"> 系统</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2015SR285175</w:t>
            </w:r>
          </w:p>
        </w:tc>
        <w:tc>
          <w:tcPr>
            <w:tcW w:w="1700" w:type="dxa"/>
            <w:tcMar>
              <w:top w:w="0" w:type="dxa"/>
              <w:left w:w="0" w:type="dxa"/>
              <w:bottom w:w="0" w:type="dxa"/>
              <w:right w:w="0" w:type="dxa"/>
            </w:tcMar>
          </w:tcPr>
          <w:p>
            <w:pPr>
              <w:spacing w:before="18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顶点统</w:t>
            </w:r>
            <w:r>
              <w:rPr>
                <w:rFonts w:hint="eastAsia" w:ascii="宋体" w:hAnsi="宋体" w:eastAsia="宋体" w:cs="宋体"/>
                <w:sz w:val="20"/>
              </w:rPr>
              <w:t>一</w:t>
            </w:r>
            <w:r>
              <w:rPr>
                <w:rFonts w:hint="eastAsia" w:ascii="宋体" w:hAnsi="宋体" w:eastAsia="宋体" w:cs="宋体"/>
                <w:sz w:val="21"/>
              </w:rPr>
              <w:t>认证管理系统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2016SR347608</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顶点绩效管理系统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2016SR348407</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r>
      <w:tr>
        <w:trPr>
          <w:trHeight w:val="640" w:hRule="exact"/>
        </w:trPr>
        <w:tc>
          <w:tcPr>
            <w:tcW w:w="3660" w:type="dxa"/>
            <w:tcMar>
              <w:top w:w="0" w:type="dxa"/>
              <w:left w:w="0" w:type="dxa"/>
              <w:bottom w:w="0" w:type="dxa"/>
              <w:right w:w="0" w:type="dxa"/>
            </w:tcMar>
          </w:tcPr>
          <w:p>
            <w:pPr>
              <w:spacing w:before="20"/>
              <w:ind w:left="100"/>
            </w:pPr>
            <w:r>
              <w:rPr>
                <w:rFonts w:hint="eastAsia" w:ascii="宋体" w:hAnsi="宋体" w:eastAsia="宋体" w:cs="宋体"/>
                <w:sz w:val="21"/>
              </w:rPr>
              <w:t>顶点</w:t>
            </w:r>
            <w:r>
              <w:rPr>
                <w:rFonts w:hint="eastAsia" w:ascii="Times New Roman" w:hAnsi="Times New Roman" w:eastAsia="Times New Roman" w:cs="Times New Roman"/>
                <w:sz w:val="21"/>
              </w:rPr>
              <w:t xml:space="preserve"> ESB</w:t>
            </w:r>
            <w:r>
              <w:rPr>
                <w:rFonts w:hint="eastAsia" w:ascii="宋体" w:hAnsi="宋体" w:eastAsia="宋体" w:cs="宋体"/>
                <w:sz w:val="21"/>
              </w:rPr>
              <w:t xml:space="preserve"> 管理平台</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r>
              <w:rPr>
                <w:rFonts w:hint="eastAsia" w:ascii="宋体" w:hAnsi="宋体" w:eastAsia="宋体" w:cs="宋体"/>
                <w:sz w:val="21"/>
              </w:rPr>
              <w:t>顶点</w:t>
            </w:r>
          </w:p>
          <w:p>
            <w:pPr>
              <w:spacing w:before="120"/>
              <w:ind w:left="100"/>
            </w:pPr>
            <w:r>
              <w:rPr>
                <w:rFonts w:hint="eastAsia" w:ascii="Times New Roman" w:hAnsi="Times New Roman" w:eastAsia="Times New Roman" w:cs="Times New Roman"/>
                <w:sz w:val="21"/>
              </w:rPr>
              <w:t>ESB</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2016SR355032</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顶点知识管理系统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2016SR355038</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顶点督察督办管理平台</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2016SR355040</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80" w:hRule="exact"/>
        </w:trPr>
        <w:tc>
          <w:tcPr>
            <w:tcW w:w="9260" w:type="dxa"/>
            <w:gridSpan w:val="4"/>
            <w:tcMar>
              <w:top w:w="0" w:type="dxa"/>
              <w:left w:w="0" w:type="dxa"/>
              <w:bottom w:w="0" w:type="dxa"/>
              <w:right w:w="0" w:type="dxa"/>
            </w:tcMar>
          </w:tcPr>
          <w:p>
            <w:pPr>
              <w:spacing w:before="120"/>
              <w:ind w:left="3560"/>
            </w:pPr>
            <w:r>
              <w:rPr>
                <w:rFonts w:hint="eastAsia" w:ascii="宋体" w:hAnsi="宋体" w:eastAsia="宋体" w:cs="宋体"/>
                <w:b/>
                <w:sz w:val="21"/>
              </w:rPr>
              <w:t>武汉顶点软件有限公司</w:t>
            </w:r>
          </w:p>
        </w:tc>
      </w:tr>
      <w:tr>
        <w:trPr>
          <w:trHeight w:val="640" w:hRule="exact"/>
        </w:trPr>
        <w:tc>
          <w:tcPr>
            <w:tcW w:w="3660" w:type="dxa"/>
            <w:tcMar>
              <w:top w:w="0" w:type="dxa"/>
              <w:left w:w="0" w:type="dxa"/>
              <w:bottom w:w="0" w:type="dxa"/>
              <w:right w:w="0" w:type="dxa"/>
            </w:tcMar>
          </w:tcPr>
          <w:p>
            <w:pPr>
              <w:spacing w:before="20"/>
              <w:ind w:left="100"/>
            </w:pPr>
            <w:r>
              <w:rPr>
                <w:rFonts w:hint="eastAsia" w:ascii="宋体" w:hAnsi="宋体" w:eastAsia="宋体" w:cs="宋体"/>
                <w:sz w:val="21"/>
              </w:rPr>
              <w:t>顶点财富管理系统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r>
              <w:rPr>
                <w:rFonts w:hint="eastAsia" w:ascii="宋体" w:hAnsi="宋体" w:eastAsia="宋体" w:cs="宋体"/>
                <w:sz w:val="21"/>
              </w:rPr>
              <w:t>财富管理系</w:t>
            </w:r>
          </w:p>
          <w:p>
            <w:pPr>
              <w:spacing w:before="100"/>
              <w:ind w:left="100"/>
            </w:pPr>
            <w:r>
              <w:rPr>
                <w:rFonts w:hint="eastAsia" w:ascii="宋体" w:hAnsi="宋体" w:eastAsia="宋体" w:cs="宋体"/>
                <w:sz w:val="21"/>
              </w:rPr>
              <w:t>统</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2014SR202984</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62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顶点移动</w:t>
            </w:r>
            <w:r>
              <w:rPr>
                <w:rFonts w:hint="eastAsia" w:ascii="Times New Roman" w:hAnsi="Times New Roman" w:eastAsia="Times New Roman" w:cs="Times New Roman"/>
                <w:sz w:val="21"/>
              </w:rPr>
              <w:t xml:space="preserve"> CRM</w:t>
            </w:r>
            <w:r>
              <w:rPr>
                <w:rFonts w:hint="eastAsia" w:ascii="宋体" w:hAnsi="宋体" w:eastAsia="宋体" w:cs="宋体"/>
                <w:sz w:val="21"/>
              </w:rPr>
              <w:t xml:space="preserve"> 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2"/>
              </w:rPr>
              <w:t>：</w:t>
            </w:r>
            <w:r>
              <w:rPr>
                <w:rFonts w:hint="eastAsia" w:ascii="宋体" w:hAnsi="宋体" w:eastAsia="宋体" w:cs="宋体"/>
                <w:sz w:val="21"/>
              </w:rPr>
              <w:t>移动</w:t>
            </w:r>
          </w:p>
          <w:p>
            <w:pPr>
              <w:spacing w:before="120"/>
              <w:ind w:left="100"/>
            </w:pPr>
            <w:r>
              <w:rPr>
                <w:rFonts w:hint="eastAsia" w:ascii="Times New Roman" w:hAnsi="Times New Roman" w:eastAsia="Times New Roman" w:cs="Times New Roman"/>
                <w:sz w:val="21"/>
              </w:rPr>
              <w:t>CRM</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2014SR203168</w:t>
            </w:r>
          </w:p>
        </w:tc>
        <w:tc>
          <w:tcPr>
            <w:tcW w:w="1700" w:type="dxa"/>
            <w:tcMar>
              <w:top w:w="0" w:type="dxa"/>
              <w:left w:w="0" w:type="dxa"/>
              <w:bottom w:w="0" w:type="dxa"/>
              <w:right w:w="0" w:type="dxa"/>
            </w:tcMar>
          </w:tcPr>
          <w:p>
            <w:pPr>
              <w:spacing w:before="18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顶点信托</w:t>
            </w:r>
            <w:r>
              <w:rPr>
                <w:rFonts w:hint="eastAsia" w:ascii="Times New Roman" w:hAnsi="Times New Roman" w:eastAsia="Times New Roman" w:cs="Times New Roman"/>
                <w:sz w:val="21"/>
              </w:rPr>
              <w:t xml:space="preserve"> CRM</w:t>
            </w:r>
            <w:r>
              <w:rPr>
                <w:rFonts w:hint="eastAsia" w:ascii="宋体" w:hAnsi="宋体" w:eastAsia="宋体" w:cs="宋体"/>
                <w:sz w:val="21"/>
              </w:rPr>
              <w:t xml:space="preserve"> 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r>
              <w:rPr>
                <w:rFonts w:hint="eastAsia" w:ascii="宋体" w:hAnsi="宋体" w:eastAsia="宋体" w:cs="宋体"/>
                <w:sz w:val="21"/>
              </w:rPr>
              <w:t>信托</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2014SR203174</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bl>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1-1-170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660"/>
        <w:gridCol w:w="1980"/>
        <w:gridCol w:w="1700"/>
        <w:gridCol w:w="1920"/>
      </w:tblGrid>
      <w:tr>
        <w:trPr>
          <w:trHeight w:val="480" w:hRule="exact"/>
        </w:trPr>
        <w:tc>
          <w:tcPr>
            <w:tcW w:w="3660" w:type="dxa"/>
            <w:tcMar>
              <w:top w:w="0" w:type="dxa"/>
              <w:left w:w="0" w:type="dxa"/>
              <w:bottom w:w="0" w:type="dxa"/>
              <w:right w:w="0" w:type="dxa"/>
            </w:tcMar>
          </w:tcPr>
          <w:p>
            <w:pPr>
              <w:spacing w:before="40"/>
              <w:ind w:left="100"/>
            </w:pPr>
            <w:r>
              <w:rPr>
                <w:rFonts w:hint="eastAsia" w:ascii="Times New Roman" w:hAnsi="Times New Roman" w:eastAsia="Times New Roman" w:cs="Times New Roman"/>
                <w:sz w:val="21"/>
              </w:rPr>
              <w:t>CRM</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tc>
        <w:tc>
          <w:tcPr>
            <w:tcW w:w="1700" w:type="dxa"/>
            <w:tcMar>
              <w:top w:w="0" w:type="dxa"/>
              <w:left w:w="0" w:type="dxa"/>
              <w:bottom w:w="0" w:type="dxa"/>
              <w:right w:w="0" w:type="dxa"/>
            </w:tcMar>
          </w:tcPr>
          <w:p/>
        </w:tc>
        <w:tc>
          <w:tcPr>
            <w:tcW w:w="1920" w:type="dxa"/>
            <w:tcMar>
              <w:top w:w="0" w:type="dxa"/>
              <w:left w:w="0" w:type="dxa"/>
              <w:bottom w:w="0" w:type="dxa"/>
              <w:right w:w="0" w:type="dxa"/>
            </w:tcMar>
          </w:tcPr>
          <w:p/>
        </w:tc>
      </w:tr>
      <w:tr>
        <w:trPr>
          <w:trHeight w:val="640" w:hRule="exact"/>
        </w:trPr>
        <w:tc>
          <w:tcPr>
            <w:tcW w:w="3660" w:type="dxa"/>
            <w:tcMar>
              <w:top w:w="0" w:type="dxa"/>
              <w:left w:w="0" w:type="dxa"/>
              <w:bottom w:w="0" w:type="dxa"/>
              <w:right w:w="0" w:type="dxa"/>
            </w:tcMar>
          </w:tcPr>
          <w:p>
            <w:pPr>
              <w:spacing w:before="20"/>
              <w:ind w:left="100"/>
            </w:pPr>
            <w:r>
              <w:rPr>
                <w:rFonts w:hint="eastAsia" w:ascii="宋体" w:hAnsi="宋体" w:eastAsia="宋体" w:cs="宋体"/>
                <w:sz w:val="21"/>
              </w:rPr>
              <w:t>顶点分支机构经营考核管理系统</w:t>
            </w:r>
            <w:r>
              <w:rPr>
                <w:rFonts w:hint="eastAsia" w:ascii="Times New Roman" w:hAnsi="Times New Roman" w:eastAsia="Times New Roman" w:cs="Times New Roman"/>
                <w:sz w:val="20"/>
              </w:rPr>
              <w:t>[</w:t>
            </w:r>
            <w:r>
              <w:rPr>
                <w:rFonts w:hint="eastAsia" w:ascii="宋体" w:hAnsi="宋体" w:eastAsia="宋体" w:cs="宋体"/>
                <w:sz w:val="21"/>
              </w:rPr>
              <w:t>简</w:t>
            </w:r>
          </w:p>
          <w:p>
            <w:pPr>
              <w:spacing w:before="100"/>
              <w:ind w:left="100"/>
            </w:pPr>
            <w:r>
              <w:rPr>
                <w:rFonts w:hint="eastAsia" w:ascii="宋体" w:hAnsi="宋体" w:eastAsia="宋体" w:cs="宋体"/>
                <w:sz w:val="21"/>
              </w:rPr>
              <w:t>称</w:t>
            </w:r>
            <w:r>
              <w:rPr>
                <w:rFonts w:hint="eastAsia" w:ascii="宋体" w:hAnsi="宋体" w:eastAsia="宋体" w:cs="宋体"/>
                <w:sz w:val="10"/>
              </w:rPr>
              <w:t>：</w:t>
            </w:r>
            <w:r>
              <w:rPr>
                <w:rFonts w:hint="eastAsia" w:ascii="宋体" w:hAnsi="宋体" w:eastAsia="宋体" w:cs="宋体"/>
                <w:sz w:val="21"/>
              </w:rPr>
              <w:t>分支机构经营考核</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2015SR273205</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r>
      <w:tr>
        <w:trPr>
          <w:trHeight w:val="620" w:hRule="exact"/>
        </w:trPr>
        <w:tc>
          <w:tcPr>
            <w:tcW w:w="3660" w:type="dxa"/>
            <w:tcMar>
              <w:top w:w="0" w:type="dxa"/>
              <w:left w:w="0" w:type="dxa"/>
              <w:bottom w:w="0" w:type="dxa"/>
              <w:right w:w="0" w:type="dxa"/>
            </w:tcMar>
          </w:tcPr>
          <w:p>
            <w:pPr>
              <w:spacing w:before="20"/>
              <w:ind w:left="100"/>
            </w:pPr>
            <w:r>
              <w:rPr>
                <w:rFonts w:hint="eastAsia" w:ascii="宋体" w:hAnsi="宋体" w:eastAsia="宋体" w:cs="宋体"/>
                <w:sz w:val="21"/>
              </w:rPr>
              <w:t>顶点社交化投资顾问信息平台</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p>
          <w:p>
            <w:pPr>
              <w:spacing w:before="100"/>
              <w:ind w:left="100"/>
            </w:pPr>
            <w:r>
              <w:rPr>
                <w:rFonts w:hint="eastAsia" w:ascii="宋体" w:hAnsi="宋体" w:eastAsia="宋体" w:cs="宋体"/>
                <w:sz w:val="21"/>
              </w:rPr>
              <w:t>社交化投顾平台</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2016SR166222</w:t>
            </w:r>
          </w:p>
        </w:tc>
        <w:tc>
          <w:tcPr>
            <w:tcW w:w="1700" w:type="dxa"/>
            <w:tcMar>
              <w:top w:w="0" w:type="dxa"/>
              <w:left w:w="0" w:type="dxa"/>
              <w:bottom w:w="0" w:type="dxa"/>
              <w:right w:w="0" w:type="dxa"/>
            </w:tcMar>
          </w:tcPr>
          <w:p>
            <w:pPr>
              <w:spacing w:before="18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r>
      <w:tr>
        <w:trPr>
          <w:trHeight w:val="64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顶点企业级</w:t>
            </w:r>
            <w:r>
              <w:rPr>
                <w:rFonts w:hint="eastAsia" w:ascii="Times New Roman" w:hAnsi="Times New Roman" w:eastAsia="Times New Roman" w:cs="Times New Roman"/>
                <w:sz w:val="21"/>
              </w:rPr>
              <w:t xml:space="preserve"> CRM</w:t>
            </w:r>
            <w:r>
              <w:rPr>
                <w:rFonts w:hint="eastAsia" w:ascii="宋体" w:hAnsi="宋体" w:eastAsia="宋体" w:cs="宋体"/>
                <w:sz w:val="21"/>
              </w:rPr>
              <w:t xml:space="preserve"> 综合平台</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r>
              <w:rPr>
                <w:rFonts w:hint="eastAsia" w:ascii="宋体" w:hAnsi="宋体" w:eastAsia="宋体" w:cs="宋体"/>
                <w:sz w:val="21"/>
              </w:rPr>
              <w:t>企</w:t>
            </w:r>
          </w:p>
          <w:p>
            <w:pPr>
              <w:spacing w:before="80"/>
              <w:ind w:left="100"/>
            </w:pPr>
            <w:r>
              <w:rPr>
                <w:rFonts w:hint="eastAsia" w:ascii="宋体" w:hAnsi="宋体" w:eastAsia="宋体" w:cs="宋体"/>
                <w:sz w:val="21"/>
              </w:rPr>
              <w:t>业级</w:t>
            </w:r>
            <w:r>
              <w:rPr>
                <w:rFonts w:hint="eastAsia" w:ascii="Times New Roman" w:hAnsi="Times New Roman" w:eastAsia="Times New Roman" w:cs="Times New Roman"/>
                <w:sz w:val="21"/>
              </w:rPr>
              <w:t xml:space="preserve"> CRM</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20"/>
              <w:ind w:left="540"/>
            </w:pPr>
            <w:r>
              <w:rPr>
                <w:rFonts w:hint="eastAsia" w:ascii="Times New Roman" w:hAnsi="Times New Roman" w:eastAsia="Times New Roman" w:cs="Times New Roman"/>
                <w:sz w:val="21"/>
              </w:rPr>
              <w:t>2016SR166888</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2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顶点私募股权项目管理系统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2016SR211477</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顶点互联网抢单服务系统</w:t>
            </w:r>
            <w:r>
              <w:rPr>
                <w:rFonts w:hint="eastAsia" w:ascii="宋体" w:hAnsi="宋体" w:eastAsia="宋体" w:cs="宋体"/>
                <w:sz w:val="20"/>
              </w:rPr>
              <w:t>（</w:t>
            </w:r>
            <w:r>
              <w:rPr>
                <w:rFonts w:hint="eastAsia" w:ascii="Times New Roman" w:hAnsi="Times New Roman" w:eastAsia="Times New Roman" w:cs="Times New Roman"/>
                <w:sz w:val="21"/>
              </w:rPr>
              <w:t>PC</w:t>
            </w:r>
            <w:r>
              <w:rPr>
                <w:rFonts w:hint="eastAsia" w:ascii="宋体" w:hAnsi="宋体" w:eastAsia="宋体" w:cs="宋体"/>
                <w:sz w:val="21"/>
              </w:rPr>
              <w:t>版</w:t>
            </w:r>
            <w:r>
              <w:rPr>
                <w:rFonts w:hint="eastAsia" w:ascii="宋体" w:hAnsi="宋体" w:eastAsia="宋体" w:cs="宋体"/>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2016SR266454</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顶点营销服务任务中心系统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2016SR266597</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顶点营销服务资讯分享系统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2016SR266603</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64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顶点零售客户全资产管理系统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p>
          <w:p>
            <w:pPr>
              <w:spacing w:before="80"/>
              <w:ind w:left="100"/>
            </w:pPr>
            <w:r>
              <w:rPr>
                <w:rFonts w:hint="eastAsia" w:ascii="宋体" w:hAnsi="宋体" w:eastAsia="宋体" w:cs="宋体"/>
                <w:sz w:val="21"/>
              </w:rPr>
              <w:t>客户全资产管理系统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2016SR267047</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46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顶点互联网渠道管理系统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2016SR267219</w:t>
            </w:r>
          </w:p>
        </w:tc>
        <w:tc>
          <w:tcPr>
            <w:tcW w:w="1700" w:type="dxa"/>
            <w:tcMar>
              <w:top w:w="0" w:type="dxa"/>
              <w:left w:w="0" w:type="dxa"/>
              <w:bottom w:w="0" w:type="dxa"/>
              <w:right w:w="0" w:type="dxa"/>
            </w:tcMar>
          </w:tcPr>
          <w:p>
            <w:pPr>
              <w:spacing w:before="1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顶点业务撮合平台</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2016SR269313</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p>
        </w:tc>
      </w:tr>
      <w:tr>
        <w:trPr>
          <w:trHeight w:val="480" w:hRule="exact"/>
        </w:trPr>
        <w:tc>
          <w:tcPr>
            <w:tcW w:w="3660" w:type="dxa"/>
            <w:tcMar>
              <w:top w:w="0" w:type="dxa"/>
              <w:left w:w="0" w:type="dxa"/>
              <w:bottom w:w="0" w:type="dxa"/>
              <w:right w:w="0" w:type="dxa"/>
            </w:tcMar>
          </w:tcPr>
          <w:p>
            <w:pPr>
              <w:spacing w:before="120"/>
              <w:ind w:left="100"/>
            </w:pPr>
            <w:r>
              <w:rPr>
                <w:rFonts w:hint="eastAsia" w:ascii="宋体" w:hAnsi="宋体" w:eastAsia="宋体" w:cs="宋体"/>
                <w:sz w:val="21"/>
              </w:rPr>
              <w:t>顶点</w:t>
            </w:r>
            <w:r>
              <w:rPr>
                <w:rFonts w:hint="eastAsia" w:ascii="Times New Roman" w:hAnsi="Times New Roman" w:eastAsia="Times New Roman" w:cs="Times New Roman"/>
                <w:sz w:val="21"/>
              </w:rPr>
              <w:t xml:space="preserve"> DSC</w:t>
            </w:r>
            <w:r>
              <w:rPr>
                <w:rFonts w:hint="eastAsia" w:ascii="宋体" w:hAnsi="宋体" w:eastAsia="宋体" w:cs="宋体"/>
                <w:sz w:val="21"/>
              </w:rPr>
              <w:t xml:space="preserve"> 数据服务中心系统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2015SR128249</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顶点机构</w:t>
            </w:r>
            <w:r>
              <w:rPr>
                <w:rFonts w:hint="eastAsia" w:ascii="Times New Roman" w:hAnsi="Times New Roman" w:eastAsia="Times New Roman" w:cs="Times New Roman"/>
                <w:sz w:val="21"/>
              </w:rPr>
              <w:t xml:space="preserve"> CRM</w:t>
            </w:r>
            <w:r>
              <w:rPr>
                <w:rFonts w:hint="eastAsia" w:ascii="宋体" w:hAnsi="宋体" w:eastAsia="宋体" w:cs="宋体"/>
                <w:sz w:val="21"/>
              </w:rPr>
              <w:t xml:space="preserve"> 管理系统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2015SR125749</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2015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r>
      <w:tr>
        <w:trPr>
          <w:trHeight w:val="460" w:hRule="exact"/>
        </w:trPr>
        <w:tc>
          <w:tcPr>
            <w:tcW w:w="9260" w:type="dxa"/>
            <w:gridSpan w:val="4"/>
            <w:tcMar>
              <w:top w:w="0" w:type="dxa"/>
              <w:left w:w="0" w:type="dxa"/>
              <w:bottom w:w="0" w:type="dxa"/>
              <w:right w:w="0" w:type="dxa"/>
            </w:tcMar>
          </w:tcPr>
          <w:p>
            <w:pPr>
              <w:spacing w:before="100"/>
              <w:ind w:left="3460"/>
            </w:pPr>
            <w:r>
              <w:rPr>
                <w:rFonts w:hint="eastAsia" w:ascii="宋体" w:hAnsi="宋体" w:eastAsia="宋体" w:cs="宋体"/>
                <w:b/>
                <w:sz w:val="21"/>
              </w:rPr>
              <w:t>上海亿维航软件有限公司</w:t>
            </w:r>
          </w:p>
        </w:tc>
      </w:tr>
      <w:tr>
        <w:trPr>
          <w:trHeight w:val="64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亿维航高校资产管理信息系统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p>
          <w:p>
            <w:pPr>
              <w:spacing w:before="100"/>
              <w:ind w:left="100"/>
            </w:pPr>
            <w:r>
              <w:rPr>
                <w:rFonts w:hint="eastAsia" w:ascii="宋体" w:hAnsi="宋体" w:eastAsia="宋体" w:cs="宋体"/>
                <w:sz w:val="21"/>
              </w:rPr>
              <w:t>资产管理信息系统</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21"/>
              </w:rPr>
              <w:t>2016SR104719</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r>
      <w:tr>
        <w:trPr>
          <w:trHeight w:val="64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亿维航高校教务管理信息系统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p>
          <w:p>
            <w:pPr>
              <w:spacing w:before="100"/>
              <w:ind w:left="100"/>
            </w:pPr>
            <w:r>
              <w:rPr>
                <w:rFonts w:hint="eastAsia" w:ascii="宋体" w:hAnsi="宋体" w:eastAsia="宋体" w:cs="宋体"/>
                <w:sz w:val="21"/>
              </w:rPr>
              <w:t>教务管理信息系统</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20"/>
              <w:ind w:left="540"/>
            </w:pPr>
            <w:r>
              <w:rPr>
                <w:rFonts w:hint="eastAsia" w:ascii="Times New Roman" w:hAnsi="Times New Roman" w:eastAsia="Times New Roman" w:cs="Times New Roman"/>
                <w:sz w:val="21"/>
              </w:rPr>
              <w:t>2016SR104686</w:t>
            </w:r>
          </w:p>
        </w:tc>
        <w:tc>
          <w:tcPr>
            <w:tcW w:w="1700" w:type="dxa"/>
            <w:tcMar>
              <w:top w:w="0" w:type="dxa"/>
              <w:left w:w="0" w:type="dxa"/>
              <w:bottom w:w="0" w:type="dxa"/>
              <w:right w:w="0" w:type="dxa"/>
            </w:tcMar>
          </w:tcPr>
          <w:p>
            <w:pPr>
              <w:spacing w:before="18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2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r>
      <w:tr>
        <w:trPr>
          <w:trHeight w:val="620" w:hRule="exact"/>
        </w:trPr>
        <w:tc>
          <w:tcPr>
            <w:tcW w:w="3660" w:type="dxa"/>
            <w:tcMar>
              <w:top w:w="0" w:type="dxa"/>
              <w:left w:w="0" w:type="dxa"/>
              <w:bottom w:w="0" w:type="dxa"/>
              <w:right w:w="0" w:type="dxa"/>
            </w:tcMar>
          </w:tcPr>
          <w:p>
            <w:pPr>
              <w:spacing w:before="20"/>
              <w:ind w:left="100"/>
            </w:pPr>
            <w:r>
              <w:rPr>
                <w:rFonts w:hint="eastAsia" w:ascii="宋体" w:hAnsi="宋体" w:eastAsia="宋体" w:cs="宋体"/>
                <w:sz w:val="21"/>
              </w:rPr>
              <w:t>亿维航高校学工管理信息系统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p>
          <w:p>
            <w:pPr>
              <w:spacing w:before="100"/>
              <w:ind w:left="100"/>
            </w:pPr>
            <w:r>
              <w:rPr>
                <w:rFonts w:hint="eastAsia" w:ascii="宋体" w:hAnsi="宋体" w:eastAsia="宋体" w:cs="宋体"/>
                <w:sz w:val="21"/>
              </w:rPr>
              <w:t>学工管理信息系统</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2016SR104751</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r>
      <w:tr>
        <w:trPr>
          <w:trHeight w:val="64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亿维航教学资源库系统</w:t>
            </w:r>
            <w:r>
              <w:rPr>
                <w:rFonts w:hint="eastAsia" w:ascii="Times New Roman" w:hAnsi="Times New Roman" w:eastAsia="Times New Roman" w:cs="Times New Roman"/>
                <w:sz w:val="20"/>
              </w:rPr>
              <w:t>[</w:t>
            </w:r>
            <w:r>
              <w:rPr>
                <w:rFonts w:hint="eastAsia" w:ascii="宋体" w:hAnsi="宋体" w:eastAsia="宋体" w:cs="宋体"/>
                <w:sz w:val="21"/>
              </w:rPr>
              <w:t>简称</w:t>
            </w:r>
            <w:r>
              <w:rPr>
                <w:rFonts w:hint="eastAsia" w:ascii="宋体" w:hAnsi="宋体" w:eastAsia="宋体" w:cs="宋体"/>
                <w:sz w:val="10"/>
              </w:rPr>
              <w:t>：</w:t>
            </w:r>
            <w:r>
              <w:rPr>
                <w:rFonts w:hint="eastAsia" w:ascii="宋体" w:hAnsi="宋体" w:eastAsia="宋体" w:cs="宋体"/>
                <w:sz w:val="21"/>
              </w:rPr>
              <w:t>教学资</w:t>
            </w:r>
          </w:p>
          <w:p>
            <w:pPr>
              <w:spacing w:before="100"/>
              <w:ind w:left="100"/>
            </w:pPr>
            <w:r>
              <w:rPr>
                <w:rFonts w:hint="eastAsia" w:ascii="宋体" w:hAnsi="宋体" w:eastAsia="宋体" w:cs="宋体"/>
                <w:sz w:val="21"/>
              </w:rPr>
              <w:t>源库系统</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21"/>
              </w:rPr>
              <w:t>2016SR106622</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r>
      <w:tr>
        <w:trPr>
          <w:trHeight w:val="480" w:hRule="exact"/>
        </w:trPr>
        <w:tc>
          <w:tcPr>
            <w:tcW w:w="9260" w:type="dxa"/>
            <w:gridSpan w:val="4"/>
            <w:tcMar>
              <w:top w:w="0" w:type="dxa"/>
              <w:left w:w="0" w:type="dxa"/>
              <w:bottom w:w="0" w:type="dxa"/>
              <w:right w:w="0" w:type="dxa"/>
            </w:tcMar>
          </w:tcPr>
          <w:p>
            <w:pPr>
              <w:spacing w:before="120"/>
              <w:ind w:left="3560"/>
            </w:pPr>
            <w:r>
              <w:rPr>
                <w:rFonts w:hint="eastAsia" w:ascii="宋体" w:hAnsi="宋体" w:eastAsia="宋体" w:cs="宋体"/>
                <w:b/>
                <w:sz w:val="21"/>
              </w:rPr>
              <w:t>上海顶点软件有限公司</w:t>
            </w:r>
          </w:p>
        </w:tc>
      </w:tr>
      <w:tr>
        <w:trPr>
          <w:trHeight w:val="480" w:hRule="exact"/>
        </w:trPr>
        <w:tc>
          <w:tcPr>
            <w:tcW w:w="3660" w:type="dxa"/>
            <w:tcMar>
              <w:top w:w="0" w:type="dxa"/>
              <w:left w:w="0" w:type="dxa"/>
              <w:bottom w:w="0" w:type="dxa"/>
              <w:right w:w="0" w:type="dxa"/>
            </w:tcMar>
          </w:tcPr>
          <w:p>
            <w:pPr>
              <w:spacing w:before="100"/>
              <w:ind w:left="100"/>
            </w:pPr>
            <w:r>
              <w:rPr>
                <w:rFonts w:hint="eastAsia" w:ascii="宋体" w:hAnsi="宋体" w:eastAsia="宋体" w:cs="宋体"/>
                <w:sz w:val="21"/>
              </w:rPr>
              <w:t>顶点证券网上营业厅系统</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2016SR124840</w:t>
            </w:r>
          </w:p>
        </w:tc>
        <w:tc>
          <w:tcPr>
            <w:tcW w:w="1700" w:type="dxa"/>
            <w:tcMar>
              <w:top w:w="0" w:type="dxa"/>
              <w:left w:w="0" w:type="dxa"/>
              <w:bottom w:w="0" w:type="dxa"/>
              <w:right w:w="0" w:type="dxa"/>
            </w:tcMar>
          </w:tcPr>
          <w:p>
            <w:pPr>
              <w:spacing w:before="12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r>
      <w:tr>
        <w:trPr>
          <w:trHeight w:val="62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顶点客户关系管理系统第三方接入平</w:t>
            </w:r>
          </w:p>
          <w:p>
            <w:pPr>
              <w:spacing w:before="100"/>
              <w:ind w:left="100"/>
            </w:pPr>
            <w:r>
              <w:rPr>
                <w:rFonts w:hint="eastAsia" w:ascii="宋体" w:hAnsi="宋体" w:eastAsia="宋体" w:cs="宋体"/>
                <w:sz w:val="21"/>
              </w:rPr>
              <w:t>台</w:t>
            </w:r>
            <w:r>
              <w:rPr>
                <w:rFonts w:hint="eastAsia" w:ascii="Times New Roman" w:hAnsi="Times New Roman" w:eastAsia="Times New Roman" w:cs="Times New Roman"/>
                <w:sz w:val="21"/>
              </w:rPr>
              <w:t xml:space="preserve"> 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2016SR125601</w:t>
            </w:r>
          </w:p>
        </w:tc>
        <w:tc>
          <w:tcPr>
            <w:tcW w:w="1700" w:type="dxa"/>
            <w:tcMar>
              <w:top w:w="0" w:type="dxa"/>
              <w:left w:w="0" w:type="dxa"/>
              <w:bottom w:w="0" w:type="dxa"/>
              <w:right w:w="0" w:type="dxa"/>
            </w:tcMar>
          </w:tcPr>
          <w:p>
            <w:pPr>
              <w:spacing w:before="18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40"/>
              <w:ind w:left="52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p>
        </w:tc>
      </w:tr>
      <w:tr>
        <w:trPr>
          <w:trHeight w:val="64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顶点融资融券客户关系管理系统</w:t>
            </w:r>
          </w:p>
          <w:p>
            <w:pPr>
              <w:spacing w:before="160"/>
              <w:ind w:left="100"/>
            </w:pP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21"/>
              </w:rPr>
              <w:t>2016SR126765</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60"/>
              <w:ind w:left="5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r>
      <w:tr>
        <w:trPr>
          <w:trHeight w:val="620" w:hRule="exact"/>
        </w:trPr>
        <w:tc>
          <w:tcPr>
            <w:tcW w:w="3660" w:type="dxa"/>
            <w:tcMar>
              <w:top w:w="0" w:type="dxa"/>
              <w:left w:w="0" w:type="dxa"/>
              <w:bottom w:w="0" w:type="dxa"/>
              <w:right w:w="0" w:type="dxa"/>
            </w:tcMar>
          </w:tcPr>
          <w:p>
            <w:pPr>
              <w:spacing w:before="40"/>
              <w:ind w:left="100"/>
            </w:pPr>
            <w:r>
              <w:rPr>
                <w:rFonts w:hint="eastAsia" w:ascii="宋体" w:hAnsi="宋体" w:eastAsia="宋体" w:cs="宋体"/>
                <w:sz w:val="21"/>
              </w:rPr>
              <w:t>顶点个股期权客户关系管理系统</w:t>
            </w:r>
          </w:p>
          <w:p>
            <w:pPr>
              <w:spacing w:before="140"/>
              <w:ind w:left="100"/>
            </w:pPr>
            <w:r>
              <w:rPr>
                <w:rFonts w:hint="eastAsia" w:ascii="Times New Roman" w:hAnsi="Times New Roman" w:eastAsia="Times New Roman" w:cs="Times New Roman"/>
                <w:sz w:val="21"/>
              </w:rPr>
              <w:t>V1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p>
        </w:tc>
        <w:tc>
          <w:tcPr>
            <w:tcW w:w="1980" w:type="dxa"/>
            <w:tcMar>
              <w:top w:w="0" w:type="dxa"/>
              <w:left w:w="0" w:type="dxa"/>
              <w:bottom w:w="0" w:type="dxa"/>
              <w:right w:w="0" w:type="dxa"/>
            </w:tcMar>
          </w:tcPr>
          <w:p>
            <w:pPr>
              <w:spacing w:before="220"/>
              <w:ind w:left="540"/>
            </w:pPr>
            <w:r>
              <w:rPr>
                <w:rFonts w:hint="eastAsia" w:ascii="Times New Roman" w:hAnsi="Times New Roman" w:eastAsia="Times New Roman" w:cs="Times New Roman"/>
                <w:sz w:val="21"/>
              </w:rPr>
              <w:t>2016SR126767</w:t>
            </w:r>
          </w:p>
        </w:tc>
        <w:tc>
          <w:tcPr>
            <w:tcW w:w="1700" w:type="dxa"/>
            <w:tcMar>
              <w:top w:w="0" w:type="dxa"/>
              <w:left w:w="0" w:type="dxa"/>
              <w:bottom w:w="0" w:type="dxa"/>
              <w:right w:w="0" w:type="dxa"/>
            </w:tcMar>
          </w:tcPr>
          <w:p>
            <w:pPr>
              <w:spacing w:before="200"/>
              <w:ind w:left="420"/>
            </w:pPr>
            <w:r>
              <w:rPr>
                <w:rFonts w:hint="eastAsia" w:ascii="宋体" w:hAnsi="宋体" w:eastAsia="宋体" w:cs="宋体"/>
                <w:sz w:val="21"/>
              </w:rPr>
              <w:t>原始取得</w:t>
            </w:r>
          </w:p>
        </w:tc>
        <w:tc>
          <w:tcPr>
            <w:tcW w:w="1920" w:type="dxa"/>
            <w:tcMar>
              <w:top w:w="0" w:type="dxa"/>
              <w:left w:w="0" w:type="dxa"/>
              <w:bottom w:w="0" w:type="dxa"/>
              <w:right w:w="0" w:type="dxa"/>
            </w:tcMar>
          </w:tcPr>
          <w:p>
            <w:pPr>
              <w:spacing w:before="220"/>
              <w:ind w:left="580"/>
            </w:pPr>
            <w:r>
              <w:rPr>
                <w:rFonts w:hint="eastAsia" w:ascii="Times New Roman" w:hAnsi="Times New Roman" w:eastAsia="Times New Roman" w:cs="Times New Roman"/>
                <w:sz w:val="21"/>
              </w:rPr>
              <w:t>2016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r>
    </w:tbl>
    <w:p>
      <w:pPr>
        <w:spacing w:line="200" w:lineRule="exact"/>
        <w:rPr>
          <w:rFonts w:hint="eastAsia" w:ascii="宋体" w:hAnsi="宋体" w:eastAsia="宋体" w:cs="宋体"/>
          <w:sz w:val="20"/>
        </w:rPr>
      </w:pPr>
    </w:p>
    <w:p>
      <w:pPr>
        <w:autoSpaceDE w:val="false"/>
        <w:autoSpaceDN w:val="false"/>
        <w:spacing w:line="30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专利</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公司将核心技术</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灵动业务开发平台涉及到的软件开发方法及软件系统向</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1-1-171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63312" behindDoc="false" locked="false" layoutInCell="true" allowOverlap="true">
            <wp:simplePos x="0" y="0"/>
            <wp:positionH relativeFrom="page">
              <wp:posOffset>2755900</wp:posOffset>
            </wp:positionH>
            <wp:positionV relativeFrom="page">
              <wp:posOffset>2946400</wp:posOffset>
            </wp:positionV>
            <wp:extent cx="635000" cy="317500"/>
            <wp:effectExtent l="0" t="0" r="0" b="0"/>
            <wp:wrapNone/>
            <wp:docPr id="9809" name="image9809" descr=""/>
            <wp:cNvGraphicFramePr>
              <a:graphicFrameLocks noChangeAspect="true"/>
            </wp:cNvGraphicFramePr>
            <a:graphic>
              <a:graphicData uri="http://schemas.openxmlformats.org/drawingml/2006/picture">
                <pic:pic>
                  <pic:nvPicPr>
                    <pic:cNvPr id="9809" name="image9809"/>
                    <pic:cNvPicPr/>
                  </pic:nvPicPr>
                  <pic:blipFill>
                    <a:blip r:embed="rId141"/>
                    <a:stretch>
                      <a:fillRect/>
                    </a:stretch>
                  </pic:blipFill>
                  <pic:spPr>
                    <a:xfrm>
                      <a:off x="0" y="0"/>
                      <a:ext cx="635000" cy="317500"/>
                    </a:xfrm>
                    <a:prstGeom prst="rect">
                      <a:avLst/>
                    </a:prstGeom>
                  </pic:spPr>
                </pic:pic>
              </a:graphicData>
            </a:graphic>
          </wp:anchor>
        </w:drawing>
      </w:r>
      <w:r>
        <w:drawing>
          <wp:anchor distT="0" distB="0" distL="114300" distR="114300" simplePos="false" relativeHeight="10275600" behindDoc="false" locked="false" layoutInCell="true" allowOverlap="true">
            <wp:simplePos x="0" y="0"/>
            <wp:positionH relativeFrom="page">
              <wp:posOffset>2870200</wp:posOffset>
            </wp:positionH>
            <wp:positionV relativeFrom="page">
              <wp:posOffset>3340100</wp:posOffset>
            </wp:positionV>
            <wp:extent cx="406400" cy="342900"/>
            <wp:effectExtent l="0" t="0" r="0" b="0"/>
            <wp:wrapNone/>
            <wp:docPr id="9810" name="image9810" descr=""/>
            <wp:cNvGraphicFramePr>
              <a:graphicFrameLocks noChangeAspect="true"/>
            </wp:cNvGraphicFramePr>
            <a:graphic>
              <a:graphicData uri="http://schemas.openxmlformats.org/drawingml/2006/picture">
                <pic:pic>
                  <pic:nvPicPr>
                    <pic:cNvPr id="9810" name="image9810"/>
                    <pic:cNvPicPr/>
                  </pic:nvPicPr>
                  <pic:blipFill>
                    <a:blip r:embed="rId142"/>
                    <a:stretch>
                      <a:fillRect/>
                    </a:stretch>
                  </pic:blipFill>
                  <pic:spPr>
                    <a:xfrm>
                      <a:off x="0" y="0"/>
                      <a:ext cx="406400" cy="3429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国家知识产权局申请了发明专利保护</w:t>
      </w:r>
      <w:r>
        <w:rPr>
          <w:rFonts w:hint="eastAsia" w:ascii="宋体" w:hAnsi="宋体" w:eastAsia="宋体" w:cs="宋体"/>
          <w:sz w:val="10"/>
        </w:rPr>
        <w:t>，</w:t>
      </w:r>
      <w:r>
        <w:rPr>
          <w:rFonts w:hint="eastAsia" w:ascii="宋体" w:hAnsi="宋体" w:eastAsia="宋体" w:cs="宋体"/>
          <w:sz w:val="24"/>
        </w:rPr>
        <w:t>名称为</w:t>
      </w:r>
      <w:r>
        <w:rPr>
          <w:rFonts w:hint="eastAsia" w:ascii="宋体" w:hAnsi="宋体" w:eastAsia="宋体" w:cs="宋体"/>
          <w:sz w:val="10"/>
        </w:rPr>
        <w:t>“一</w:t>
      </w:r>
      <w:r>
        <w:rPr>
          <w:rFonts w:hint="eastAsia" w:ascii="宋体" w:hAnsi="宋体" w:eastAsia="宋体" w:cs="宋体"/>
          <w:sz w:val="24"/>
        </w:rPr>
        <w:t>种以直接对象模型定义为核心的灵活快捷的软件开发方法及支持系统</w:t>
      </w:r>
      <w:r>
        <w:rPr>
          <w:rFonts w:hint="eastAsia" w:ascii="宋体" w:hAnsi="宋体" w:eastAsia="宋体" w:cs="宋体"/>
          <w:sz w:val="10"/>
        </w:rPr>
        <w:t>”，</w:t>
      </w:r>
      <w:r>
        <w:rPr>
          <w:rFonts w:hint="eastAsia" w:ascii="宋体" w:hAnsi="宋体" w:eastAsia="宋体" w:cs="宋体"/>
          <w:sz w:val="24"/>
        </w:rPr>
        <w:t>专利号为</w:t>
      </w:r>
      <w:r>
        <w:rPr>
          <w:rFonts w:hint="eastAsia" w:ascii="宋体" w:hAnsi="宋体" w:eastAsia="宋体" w:cs="宋体"/>
          <w:sz w:val="10"/>
        </w:rPr>
        <w:t>“</w:t>
      </w:r>
      <w:r>
        <w:rPr>
          <w:rFonts w:hint="eastAsia" w:ascii="Times New Roman" w:hAnsi="Times New Roman" w:eastAsia="Times New Roman" w:cs="Times New Roman"/>
          <w:sz w:val="24"/>
        </w:rPr>
        <w:t>ZL200610149091.0</w:t>
      </w:r>
      <w:r>
        <w:rPr>
          <w:rFonts w:hint="eastAsia" w:ascii="宋体" w:hAnsi="宋体" w:eastAsia="宋体" w:cs="宋体"/>
          <w:sz w:val="10"/>
        </w:rPr>
        <w:t>”，</w:t>
      </w:r>
      <w:r>
        <w:rPr>
          <w:rFonts w:hint="eastAsia" w:ascii="宋体" w:hAnsi="宋体" w:eastAsia="宋体" w:cs="宋体"/>
          <w:sz w:val="24"/>
        </w:rPr>
        <w:t>专利证书号为</w:t>
      </w:r>
      <w:r>
        <w:rPr>
          <w:rFonts w:hint="eastAsia" w:ascii="Times New Roman" w:hAnsi="Times New Roman" w:eastAsia="Times New Roman" w:cs="Times New Roman"/>
          <w:sz w:val="24"/>
        </w:rPr>
        <w:t>798833</w:t>
      </w:r>
      <w:r>
        <w:rPr>
          <w:rFonts w:hint="eastAsia" w:ascii="宋体" w:hAnsi="宋体" w:eastAsia="宋体" w:cs="宋体"/>
          <w:sz w:val="12"/>
        </w:rPr>
        <w:t>；</w:t>
      </w:r>
      <w:r>
        <w:rPr>
          <w:rFonts w:hint="eastAsia" w:ascii="宋体" w:hAnsi="宋体" w:eastAsia="宋体" w:cs="宋体"/>
          <w:sz w:val="24"/>
        </w:rPr>
        <w:t>专利期限为</w:t>
      </w:r>
      <w:r>
        <w:rPr>
          <w:rFonts w:hint="eastAsia" w:ascii="Times New Roman" w:hAnsi="Times New Roman" w:eastAsia="Times New Roman" w:cs="Times New Roman"/>
          <w:sz w:val="24"/>
        </w:rPr>
        <w:t xml:space="preserve"> 2006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23</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2026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22</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注册商标</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发行人拥有的中国境内注册商标情况如下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580"/>
        <w:gridCol w:w="1880"/>
        <w:gridCol w:w="1240"/>
        <w:gridCol w:w="940"/>
        <w:gridCol w:w="2620"/>
      </w:tblGrid>
      <w:tr>
        <w:trPr>
          <w:trHeight w:val="340" w:hRule="exact"/>
        </w:trPr>
        <w:tc>
          <w:tcPr>
            <w:tcW w:w="2580" w:type="dxa"/>
            <w:tcMar>
              <w:top w:w="0" w:type="dxa"/>
              <w:left w:w="0" w:type="dxa"/>
              <w:bottom w:w="0" w:type="dxa"/>
              <w:right w:w="0" w:type="dxa"/>
            </w:tcMar>
          </w:tcPr>
          <w:p>
            <w:pPr>
              <w:spacing w:before="40"/>
              <w:ind w:left="840"/>
            </w:pPr>
            <w:r>
              <w:rPr>
                <w:rFonts w:hint="eastAsia" w:ascii="宋体" w:hAnsi="宋体" w:eastAsia="宋体" w:cs="宋体"/>
                <w:b/>
                <w:sz w:val="21"/>
              </w:rPr>
              <w:t>商标名称</w:t>
            </w:r>
          </w:p>
        </w:tc>
        <w:tc>
          <w:tcPr>
            <w:tcW w:w="1880" w:type="dxa"/>
            <w:tcMar>
              <w:top w:w="0" w:type="dxa"/>
              <w:left w:w="0" w:type="dxa"/>
              <w:bottom w:w="0" w:type="dxa"/>
              <w:right w:w="0" w:type="dxa"/>
            </w:tcMar>
          </w:tcPr>
          <w:p>
            <w:pPr>
              <w:spacing w:before="40"/>
              <w:ind w:left="720"/>
            </w:pPr>
            <w:r>
              <w:rPr>
                <w:rFonts w:hint="eastAsia" w:ascii="宋体" w:hAnsi="宋体" w:eastAsia="宋体" w:cs="宋体"/>
                <w:b/>
                <w:sz w:val="21"/>
              </w:rPr>
              <w:t>图案</w:t>
            </w:r>
          </w:p>
        </w:tc>
        <w:tc>
          <w:tcPr>
            <w:tcW w:w="1240" w:type="dxa"/>
            <w:tcMar>
              <w:top w:w="0" w:type="dxa"/>
              <w:left w:w="0" w:type="dxa"/>
              <w:bottom w:w="0" w:type="dxa"/>
              <w:right w:w="0" w:type="dxa"/>
            </w:tcMar>
          </w:tcPr>
          <w:p>
            <w:pPr>
              <w:spacing w:before="60"/>
              <w:ind w:left="280"/>
            </w:pPr>
            <w:r>
              <w:rPr>
                <w:rFonts w:hint="eastAsia" w:ascii="宋体" w:hAnsi="宋体" w:eastAsia="宋体" w:cs="宋体"/>
                <w:b/>
                <w:sz w:val="21"/>
              </w:rPr>
              <w:t>注册号</w:t>
            </w:r>
          </w:p>
        </w:tc>
        <w:tc>
          <w:tcPr>
            <w:tcW w:w="940" w:type="dxa"/>
            <w:tcMar>
              <w:top w:w="0" w:type="dxa"/>
              <w:left w:w="0" w:type="dxa"/>
              <w:bottom w:w="0" w:type="dxa"/>
              <w:right w:w="0" w:type="dxa"/>
            </w:tcMar>
          </w:tcPr>
          <w:p>
            <w:pPr>
              <w:spacing w:before="40"/>
              <w:ind w:left="240"/>
            </w:pPr>
            <w:r>
              <w:rPr>
                <w:rFonts w:hint="eastAsia" w:ascii="宋体" w:hAnsi="宋体" w:eastAsia="宋体" w:cs="宋体"/>
                <w:b/>
                <w:sz w:val="21"/>
              </w:rPr>
              <w:t>类号</w:t>
            </w:r>
          </w:p>
        </w:tc>
        <w:tc>
          <w:tcPr>
            <w:tcW w:w="2620" w:type="dxa"/>
            <w:tcMar>
              <w:top w:w="0" w:type="dxa"/>
              <w:left w:w="0" w:type="dxa"/>
              <w:bottom w:w="0" w:type="dxa"/>
              <w:right w:w="0" w:type="dxa"/>
            </w:tcMar>
          </w:tcPr>
          <w:p>
            <w:pPr>
              <w:spacing w:before="40"/>
              <w:ind w:left="980"/>
            </w:pPr>
            <w:r>
              <w:rPr>
                <w:rFonts w:hint="eastAsia" w:ascii="宋体" w:hAnsi="宋体" w:eastAsia="宋体" w:cs="宋体"/>
                <w:b/>
                <w:sz w:val="21"/>
              </w:rPr>
              <w:t>有效期</w:t>
            </w:r>
          </w:p>
        </w:tc>
      </w:tr>
      <w:tr>
        <w:trPr>
          <w:trHeight w:val="620" w:hRule="exact"/>
        </w:trPr>
        <w:tc>
          <w:tcPr>
            <w:tcW w:w="2580" w:type="dxa"/>
            <w:tcMar>
              <w:top w:w="0" w:type="dxa"/>
              <w:left w:w="0" w:type="dxa"/>
              <w:bottom w:w="0" w:type="dxa"/>
              <w:right w:w="0" w:type="dxa"/>
            </w:tcMar>
          </w:tcPr>
          <w:p>
            <w:pPr>
              <w:spacing w:before="180"/>
              <w:ind w:left="1060"/>
            </w:pPr>
            <w:r>
              <w:rPr>
                <w:rFonts w:hint="eastAsia" w:ascii="宋体" w:hAnsi="宋体" w:eastAsia="宋体" w:cs="宋体"/>
                <w:sz w:val="21"/>
              </w:rPr>
              <w:t>顶点</w:t>
            </w:r>
          </w:p>
        </w:tc>
        <w:tc>
          <w:tcPr>
            <w:tcW w:w="1880" w:type="dxa"/>
            <w:tcMar>
              <w:top w:w="0" w:type="dxa"/>
              <w:left w:w="0" w:type="dxa"/>
              <w:bottom w:w="0" w:type="dxa"/>
              <w:right w:w="0" w:type="dxa"/>
            </w:tcMar>
          </w:tcPr>
          <w:p/>
        </w:tc>
        <w:tc>
          <w:tcPr>
            <w:tcW w:w="1240" w:type="dxa"/>
            <w:tcMar>
              <w:top w:w="0" w:type="dxa"/>
              <w:left w:w="0" w:type="dxa"/>
              <w:bottom w:w="0" w:type="dxa"/>
              <w:right w:w="0" w:type="dxa"/>
            </w:tcMar>
          </w:tcPr>
          <w:p>
            <w:pPr>
              <w:spacing w:before="240"/>
              <w:ind w:left="240"/>
            </w:pPr>
            <w:r>
              <w:rPr>
                <w:rFonts w:hint="eastAsia" w:ascii="Times New Roman" w:hAnsi="Times New Roman" w:eastAsia="Times New Roman" w:cs="Times New Roman"/>
                <w:sz w:val="21"/>
              </w:rPr>
              <w:t>1627912</w:t>
            </w:r>
          </w:p>
        </w:tc>
        <w:tc>
          <w:tcPr>
            <w:tcW w:w="940" w:type="dxa"/>
            <w:tcMar>
              <w:top w:w="0" w:type="dxa"/>
              <w:left w:w="0" w:type="dxa"/>
              <w:bottom w:w="0" w:type="dxa"/>
              <w:right w:w="0" w:type="dxa"/>
            </w:tcMar>
          </w:tcPr>
          <w:p>
            <w:pPr>
              <w:spacing w:before="240"/>
              <w:ind w:left="340"/>
            </w:pPr>
            <w:r>
              <w:rPr>
                <w:rFonts w:hint="eastAsia" w:ascii="Times New Roman" w:hAnsi="Times New Roman" w:eastAsia="Times New Roman" w:cs="Times New Roman"/>
                <w:sz w:val="21"/>
              </w:rPr>
              <w:t>42</w:t>
            </w:r>
          </w:p>
        </w:tc>
        <w:tc>
          <w:tcPr>
            <w:tcW w:w="2620" w:type="dxa"/>
            <w:tcMar>
              <w:top w:w="0" w:type="dxa"/>
              <w:left w:w="0" w:type="dxa"/>
              <w:bottom w:w="0" w:type="dxa"/>
              <w:right w:w="0" w:type="dxa"/>
            </w:tcMar>
          </w:tcPr>
          <w:p>
            <w:pPr>
              <w:spacing w:before="20"/>
              <w:ind w:left="100"/>
            </w:pPr>
            <w:r>
              <w:rPr>
                <w:rFonts w:hint="eastAsia" w:ascii="Times New Roman" w:hAnsi="Times New Roman" w:eastAsia="Times New Roman" w:cs="Times New Roman"/>
                <w:sz w:val="21"/>
              </w:rPr>
              <w:t>2011</w:t>
            </w:r>
            <w:r>
              <w:rPr>
                <w:rFonts w:hint="eastAsia" w:ascii="宋体" w:hAnsi="宋体" w:eastAsia="宋体" w:cs="宋体"/>
                <w:sz w:val="21"/>
              </w:rPr>
              <w:t>年</w:t>
            </w:r>
            <w:r>
              <w:rPr>
                <w:rFonts w:hint="eastAsia" w:ascii="Times New Roman" w:hAnsi="Times New Roman" w:eastAsia="Times New Roman" w:cs="Times New Roman"/>
                <w:sz w:val="21"/>
              </w:rPr>
              <w:t>8</w:t>
            </w:r>
            <w:r>
              <w:rPr>
                <w:rFonts w:hint="eastAsia" w:ascii="宋体" w:hAnsi="宋体" w:eastAsia="宋体" w:cs="宋体"/>
                <w:sz w:val="21"/>
              </w:rPr>
              <w:t>月</w:t>
            </w:r>
            <w:r>
              <w:rPr>
                <w:rFonts w:hint="eastAsia" w:ascii="Times New Roman" w:hAnsi="Times New Roman" w:eastAsia="Times New Roman" w:cs="Times New Roman"/>
                <w:sz w:val="21"/>
              </w:rPr>
              <w:t>28</w:t>
            </w:r>
            <w:r>
              <w:rPr>
                <w:rFonts w:hint="eastAsia" w:ascii="宋体" w:hAnsi="宋体" w:eastAsia="宋体" w:cs="宋体"/>
                <w:sz w:val="21"/>
              </w:rPr>
              <w:t>日－</w:t>
            </w:r>
            <w:r>
              <w:rPr>
                <w:rFonts w:hint="eastAsia" w:ascii="Times New Roman" w:hAnsi="Times New Roman" w:eastAsia="Times New Roman" w:cs="Times New Roman"/>
                <w:sz w:val="21"/>
              </w:rPr>
              <w:t>2021</w:t>
            </w:r>
            <w:r>
              <w:rPr>
                <w:rFonts w:hint="eastAsia" w:ascii="宋体" w:hAnsi="宋体" w:eastAsia="宋体" w:cs="宋体"/>
                <w:sz w:val="21"/>
              </w:rPr>
              <w:t>年</w:t>
            </w:r>
            <w:r>
              <w:rPr>
                <w:rFonts w:hint="eastAsia" w:ascii="Times New Roman" w:hAnsi="Times New Roman" w:eastAsia="Times New Roman" w:cs="Times New Roman"/>
                <w:sz w:val="21"/>
              </w:rPr>
              <w:t>8</w:t>
            </w:r>
          </w:p>
          <w:p>
            <w:pPr>
              <w:spacing w:before="100"/>
              <w:ind w:left="100"/>
            </w:pPr>
            <w:r>
              <w:rPr>
                <w:rFonts w:hint="eastAsia" w:ascii="宋体" w:hAnsi="宋体" w:eastAsia="宋体" w:cs="宋体"/>
                <w:sz w:val="21"/>
              </w:rPr>
              <w:t>月</w:t>
            </w:r>
            <w:r>
              <w:rPr>
                <w:rFonts w:hint="eastAsia" w:ascii="Times New Roman" w:hAnsi="Times New Roman" w:eastAsia="Times New Roman" w:cs="Times New Roman"/>
                <w:sz w:val="21"/>
              </w:rPr>
              <w:t>27</w:t>
            </w:r>
            <w:r>
              <w:rPr>
                <w:rFonts w:hint="eastAsia" w:ascii="宋体" w:hAnsi="宋体" w:eastAsia="宋体" w:cs="宋体"/>
                <w:sz w:val="21"/>
              </w:rPr>
              <w:t>日</w:t>
            </w:r>
          </w:p>
        </w:tc>
      </w:tr>
      <w:tr>
        <w:trPr>
          <w:trHeight w:val="640" w:hRule="exact"/>
        </w:trPr>
        <w:tc>
          <w:tcPr>
            <w:tcW w:w="2580" w:type="dxa"/>
            <w:tcMar>
              <w:top w:w="0" w:type="dxa"/>
              <w:left w:w="0" w:type="dxa"/>
              <w:bottom w:w="0" w:type="dxa"/>
              <w:right w:w="0" w:type="dxa"/>
            </w:tcMar>
          </w:tcPr>
          <w:p>
            <w:pPr>
              <w:spacing w:before="240"/>
              <w:ind w:left="1000"/>
            </w:pPr>
            <w:r>
              <w:rPr>
                <w:rFonts w:hint="eastAsia" w:ascii="Times New Roman" w:hAnsi="Times New Roman" w:eastAsia="Times New Roman" w:cs="Times New Roman"/>
                <w:sz w:val="21"/>
              </w:rPr>
              <w:t>APEX</w:t>
            </w:r>
          </w:p>
        </w:tc>
        <w:tc>
          <w:tcPr>
            <w:tcW w:w="1880" w:type="dxa"/>
            <w:tcMar>
              <w:top w:w="0" w:type="dxa"/>
              <w:left w:w="0" w:type="dxa"/>
              <w:bottom w:w="0" w:type="dxa"/>
              <w:right w:w="0" w:type="dxa"/>
            </w:tcMar>
          </w:tcPr>
          <w:p/>
        </w:tc>
        <w:tc>
          <w:tcPr>
            <w:tcW w:w="1240" w:type="dxa"/>
            <w:tcMar>
              <w:top w:w="0" w:type="dxa"/>
              <w:left w:w="0" w:type="dxa"/>
              <w:bottom w:w="0" w:type="dxa"/>
              <w:right w:w="0" w:type="dxa"/>
            </w:tcMar>
          </w:tcPr>
          <w:p>
            <w:pPr>
              <w:spacing w:before="240"/>
              <w:ind w:left="240"/>
            </w:pPr>
            <w:r>
              <w:rPr>
                <w:rFonts w:hint="eastAsia" w:ascii="Times New Roman" w:hAnsi="Times New Roman" w:eastAsia="Times New Roman" w:cs="Times New Roman"/>
                <w:sz w:val="21"/>
              </w:rPr>
              <w:t>1631909</w:t>
            </w:r>
          </w:p>
        </w:tc>
        <w:tc>
          <w:tcPr>
            <w:tcW w:w="940" w:type="dxa"/>
            <w:tcMar>
              <w:top w:w="0" w:type="dxa"/>
              <w:left w:w="0" w:type="dxa"/>
              <w:bottom w:w="0" w:type="dxa"/>
              <w:right w:w="0" w:type="dxa"/>
            </w:tcMar>
          </w:tcPr>
          <w:p>
            <w:pPr>
              <w:spacing w:before="240"/>
              <w:ind w:left="340"/>
            </w:pPr>
            <w:r>
              <w:rPr>
                <w:rFonts w:hint="eastAsia" w:ascii="Times New Roman" w:hAnsi="Times New Roman" w:eastAsia="Times New Roman" w:cs="Times New Roman"/>
                <w:sz w:val="21"/>
              </w:rPr>
              <w:t>42</w:t>
            </w:r>
          </w:p>
        </w:tc>
        <w:tc>
          <w:tcPr>
            <w:tcW w:w="2620" w:type="dxa"/>
            <w:tcMar>
              <w:top w:w="0" w:type="dxa"/>
              <w:left w:w="0" w:type="dxa"/>
              <w:bottom w:w="0" w:type="dxa"/>
              <w:right w:w="0" w:type="dxa"/>
            </w:tcMar>
          </w:tcPr>
          <w:p>
            <w:pPr>
              <w:spacing w:before="40"/>
              <w:ind w:left="100"/>
            </w:pPr>
            <w:r>
              <w:rPr>
                <w:rFonts w:hint="eastAsia" w:ascii="Times New Roman" w:hAnsi="Times New Roman" w:eastAsia="Times New Roman" w:cs="Times New Roman"/>
                <w:sz w:val="21"/>
              </w:rPr>
              <w:t>2011</w:t>
            </w:r>
            <w:r>
              <w:rPr>
                <w:rFonts w:hint="eastAsia" w:ascii="宋体" w:hAnsi="宋体" w:eastAsia="宋体" w:cs="宋体"/>
                <w:sz w:val="21"/>
              </w:rPr>
              <w:t>年</w:t>
            </w:r>
            <w:r>
              <w:rPr>
                <w:rFonts w:hint="eastAsia" w:ascii="Times New Roman" w:hAnsi="Times New Roman" w:eastAsia="Times New Roman" w:cs="Times New Roman"/>
                <w:sz w:val="21"/>
              </w:rPr>
              <w:t>9</w:t>
            </w:r>
            <w:r>
              <w:rPr>
                <w:rFonts w:hint="eastAsia" w:ascii="宋体" w:hAnsi="宋体" w:eastAsia="宋体" w:cs="宋体"/>
                <w:sz w:val="21"/>
              </w:rPr>
              <w:t>月</w:t>
            </w:r>
            <w:r>
              <w:rPr>
                <w:rFonts w:hint="eastAsia" w:ascii="Times New Roman" w:hAnsi="Times New Roman" w:eastAsia="Times New Roman" w:cs="Times New Roman"/>
                <w:sz w:val="21"/>
              </w:rPr>
              <w:t>7</w:t>
            </w:r>
            <w:r>
              <w:rPr>
                <w:rFonts w:hint="eastAsia" w:ascii="宋体" w:hAnsi="宋体" w:eastAsia="宋体" w:cs="宋体"/>
                <w:sz w:val="21"/>
              </w:rPr>
              <w:t>日－</w:t>
            </w:r>
            <w:r>
              <w:rPr>
                <w:rFonts w:hint="eastAsia" w:ascii="Times New Roman" w:hAnsi="Times New Roman" w:eastAsia="Times New Roman" w:cs="Times New Roman"/>
                <w:sz w:val="21"/>
              </w:rPr>
              <w:t>2021</w:t>
            </w:r>
            <w:r>
              <w:rPr>
                <w:rFonts w:hint="eastAsia" w:ascii="宋体" w:hAnsi="宋体" w:eastAsia="宋体" w:cs="宋体"/>
                <w:sz w:val="21"/>
              </w:rPr>
              <w:t>年</w:t>
            </w:r>
            <w:r>
              <w:rPr>
                <w:rFonts w:hint="eastAsia" w:ascii="Times New Roman" w:hAnsi="Times New Roman" w:eastAsia="Times New Roman" w:cs="Times New Roman"/>
                <w:sz w:val="21"/>
              </w:rPr>
              <w:t>9</w:t>
            </w:r>
          </w:p>
          <w:p>
            <w:pPr>
              <w:spacing w:before="80"/>
              <w:ind w:left="100"/>
            </w:pPr>
            <w:r>
              <w:rPr>
                <w:rFonts w:hint="eastAsia" w:ascii="宋体" w:hAnsi="宋体" w:eastAsia="宋体" w:cs="宋体"/>
                <w:sz w:val="21"/>
              </w:rPr>
              <w:t>月</w:t>
            </w:r>
            <w:r>
              <w:rPr>
                <w:rFonts w:hint="eastAsia" w:ascii="Times New Roman" w:hAnsi="Times New Roman" w:eastAsia="Times New Roman" w:cs="Times New Roman"/>
                <w:sz w:val="21"/>
              </w:rPr>
              <w:t>6</w:t>
            </w:r>
            <w:r>
              <w:rPr>
                <w:rFonts w:hint="eastAsia" w:ascii="宋体" w:hAnsi="宋体" w:eastAsia="宋体" w:cs="宋体"/>
                <w:sz w:val="21"/>
              </w:rPr>
              <w:t>日</w:t>
            </w:r>
          </w:p>
        </w:tc>
      </w:tr>
    </w:tbl>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土地使用权</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公司拥有的土地使用权证具体如下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00"/>
        <w:gridCol w:w="4100"/>
        <w:gridCol w:w="2360"/>
        <w:gridCol w:w="1700"/>
      </w:tblGrid>
      <w:tr>
        <w:trPr>
          <w:trHeight w:val="640" w:hRule="exact"/>
        </w:trPr>
        <w:tc>
          <w:tcPr>
            <w:tcW w:w="1100" w:type="dxa"/>
            <w:tcMar>
              <w:top w:w="0" w:type="dxa"/>
              <w:left w:w="0" w:type="dxa"/>
              <w:bottom w:w="0" w:type="dxa"/>
              <w:right w:w="0" w:type="dxa"/>
            </w:tcMar>
          </w:tcPr>
          <w:p>
            <w:pPr>
              <w:spacing w:before="60"/>
              <w:ind w:left="320"/>
            </w:pPr>
            <w:r>
              <w:rPr>
                <w:rFonts w:hint="eastAsia" w:ascii="宋体" w:hAnsi="宋体" w:eastAsia="宋体" w:cs="宋体"/>
                <w:b/>
                <w:sz w:val="21"/>
              </w:rPr>
              <w:t>土地</w:t>
            </w:r>
          </w:p>
          <w:p>
            <w:pPr>
              <w:spacing w:before="100"/>
              <w:ind w:left="120"/>
            </w:pPr>
            <w:r>
              <w:rPr>
                <w:rFonts w:hint="eastAsia" w:ascii="宋体" w:hAnsi="宋体" w:eastAsia="宋体" w:cs="宋体"/>
                <w:b/>
                <w:sz w:val="21"/>
              </w:rPr>
              <w:t>使用权人</w:t>
            </w:r>
          </w:p>
        </w:tc>
        <w:tc>
          <w:tcPr>
            <w:tcW w:w="4100" w:type="dxa"/>
            <w:tcMar>
              <w:top w:w="0" w:type="dxa"/>
              <w:left w:w="0" w:type="dxa"/>
              <w:bottom w:w="0" w:type="dxa"/>
              <w:right w:w="0" w:type="dxa"/>
            </w:tcMar>
          </w:tcPr>
          <w:p>
            <w:pPr>
              <w:spacing w:before="200"/>
              <w:ind w:left="1820"/>
            </w:pPr>
            <w:r>
              <w:rPr>
                <w:rFonts w:hint="eastAsia" w:ascii="宋体" w:hAnsi="宋体" w:eastAsia="宋体" w:cs="宋体"/>
                <w:b/>
                <w:sz w:val="21"/>
              </w:rPr>
              <w:t>座落</w:t>
            </w:r>
          </w:p>
        </w:tc>
        <w:tc>
          <w:tcPr>
            <w:tcW w:w="2360" w:type="dxa"/>
            <w:tcMar>
              <w:top w:w="0" w:type="dxa"/>
              <w:left w:w="0" w:type="dxa"/>
              <w:bottom w:w="0" w:type="dxa"/>
              <w:right w:w="0" w:type="dxa"/>
            </w:tcMar>
          </w:tcPr>
          <w:p>
            <w:pPr>
              <w:spacing w:before="180"/>
              <w:ind w:left="860"/>
            </w:pPr>
            <w:r>
              <w:rPr>
                <w:rFonts w:hint="eastAsia" w:ascii="宋体" w:hAnsi="宋体" w:eastAsia="宋体" w:cs="宋体"/>
                <w:b/>
                <w:sz w:val="21"/>
              </w:rPr>
              <w:t>证书号</w:t>
            </w:r>
          </w:p>
        </w:tc>
        <w:tc>
          <w:tcPr>
            <w:tcW w:w="1700" w:type="dxa"/>
            <w:tcMar>
              <w:top w:w="0" w:type="dxa"/>
              <w:left w:w="0" w:type="dxa"/>
              <w:bottom w:w="0" w:type="dxa"/>
              <w:right w:w="0" w:type="dxa"/>
            </w:tcMar>
          </w:tcPr>
          <w:p>
            <w:pPr>
              <w:spacing w:before="40"/>
              <w:ind w:left="320"/>
            </w:pPr>
            <w:r>
              <w:rPr>
                <w:rFonts w:hint="eastAsia" w:ascii="宋体" w:hAnsi="宋体" w:eastAsia="宋体" w:cs="宋体"/>
                <w:b/>
                <w:sz w:val="21"/>
              </w:rPr>
              <w:t>使用权面积</w:t>
            </w:r>
          </w:p>
          <w:p>
            <w:pPr>
              <w:spacing w:before="80"/>
              <w:ind w:left="100"/>
            </w:pPr>
            <w:r>
              <w:rPr>
                <w:rFonts w:hint="eastAsia" w:ascii="宋体" w:hAnsi="宋体" w:eastAsia="宋体" w:cs="宋体"/>
                <w:b/>
                <w:sz w:val="20"/>
              </w:rPr>
              <w:t>（</w:t>
            </w:r>
            <w:r>
              <w:rPr>
                <w:rFonts w:hint="eastAsia" w:ascii="宋体" w:hAnsi="宋体" w:eastAsia="宋体" w:cs="宋体"/>
                <w:b/>
                <w:sz w:val="21"/>
              </w:rPr>
              <w:t>单位</w:t>
            </w:r>
            <w:r>
              <w:rPr>
                <w:rFonts w:hint="eastAsia" w:ascii="宋体" w:hAnsi="宋体" w:eastAsia="宋体" w:cs="宋体"/>
                <w:b/>
                <w:sz w:val="10"/>
              </w:rPr>
              <w:t>：</w:t>
            </w:r>
            <w:r>
              <w:rPr>
                <w:rFonts w:hint="eastAsia" w:ascii="宋体" w:hAnsi="宋体" w:eastAsia="宋体" w:cs="宋体"/>
                <w:b/>
                <w:sz w:val="21"/>
              </w:rPr>
              <w:t>平方米</w:t>
            </w:r>
            <w:r>
              <w:rPr>
                <w:rFonts w:hint="eastAsia" w:ascii="宋体" w:hAnsi="宋体" w:eastAsia="宋体" w:cs="宋体"/>
                <w:b/>
                <w:sz w:val="20"/>
              </w:rPr>
              <w:t>）</w:t>
            </w:r>
          </w:p>
        </w:tc>
      </w:tr>
      <w:tr>
        <w:trPr>
          <w:trHeight w:val="620" w:hRule="exact"/>
        </w:trPr>
        <w:tc>
          <w:tcPr>
            <w:tcW w:w="1100" w:type="dxa"/>
            <w:tcMar>
              <w:top w:w="0" w:type="dxa"/>
              <w:left w:w="0" w:type="dxa"/>
              <w:bottom w:w="0" w:type="dxa"/>
              <w:right w:w="0" w:type="dxa"/>
            </w:tcMar>
          </w:tcPr>
          <w:p>
            <w:pPr>
              <w:spacing w:before="180"/>
              <w:ind w:left="220"/>
            </w:pPr>
            <w:r>
              <w:rPr>
                <w:rFonts w:hint="eastAsia" w:ascii="宋体" w:hAnsi="宋体" w:eastAsia="宋体" w:cs="宋体"/>
                <w:sz w:val="21"/>
              </w:rPr>
              <w:t>发行人</w:t>
            </w:r>
          </w:p>
        </w:tc>
        <w:tc>
          <w:tcPr>
            <w:tcW w:w="4100" w:type="dxa"/>
            <w:tcMar>
              <w:top w:w="0" w:type="dxa"/>
              <w:left w:w="0" w:type="dxa"/>
              <w:bottom w:w="0" w:type="dxa"/>
              <w:right w:w="0" w:type="dxa"/>
            </w:tcMar>
          </w:tcPr>
          <w:p>
            <w:pPr>
              <w:spacing w:before="180"/>
              <w:ind w:left="100"/>
            </w:pPr>
            <w:r>
              <w:rPr>
                <w:rFonts w:hint="eastAsia" w:ascii="宋体" w:hAnsi="宋体" w:eastAsia="宋体" w:cs="宋体"/>
                <w:sz w:val="21"/>
              </w:rPr>
              <w:t>福州市鼓楼区五凤村铜盘路福州软件园内</w:t>
            </w:r>
          </w:p>
        </w:tc>
        <w:tc>
          <w:tcPr>
            <w:tcW w:w="2360" w:type="dxa"/>
            <w:tcMar>
              <w:top w:w="0" w:type="dxa"/>
              <w:left w:w="0" w:type="dxa"/>
              <w:bottom w:w="0" w:type="dxa"/>
              <w:right w:w="0" w:type="dxa"/>
            </w:tcMar>
          </w:tcPr>
          <w:p>
            <w:pPr>
              <w:spacing w:before="40"/>
              <w:ind w:left="100"/>
            </w:pPr>
            <w:r>
              <w:rPr>
                <w:rFonts w:hint="eastAsia" w:ascii="宋体" w:hAnsi="宋体" w:eastAsia="宋体" w:cs="宋体"/>
                <w:sz w:val="21"/>
              </w:rPr>
              <w:t>榕 国 用</w:t>
            </w:r>
            <w:r>
              <w:rPr>
                <w:rFonts w:hint="eastAsia" w:ascii="Times New Roman" w:hAnsi="Times New Roman" w:eastAsia="Times New Roman" w:cs="Times New Roman"/>
                <w:sz w:val="21"/>
              </w:rPr>
              <w:t xml:space="preserve"> 2008</w:t>
            </w:r>
            <w:r>
              <w:rPr>
                <w:rFonts w:hint="eastAsia" w:ascii="宋体" w:hAnsi="宋体" w:eastAsia="宋体" w:cs="宋体"/>
                <w:sz w:val="21"/>
              </w:rPr>
              <w:t xml:space="preserve"> 字 第</w:t>
            </w:r>
          </w:p>
          <w:p>
            <w:pPr>
              <w:spacing w:before="100"/>
              <w:ind w:left="100"/>
            </w:pPr>
            <w:r>
              <w:rPr>
                <w:rFonts w:hint="eastAsia" w:ascii="Times New Roman" w:hAnsi="Times New Roman" w:eastAsia="Times New Roman" w:cs="Times New Roman"/>
                <w:sz w:val="21"/>
              </w:rPr>
              <w:t>00111906890</w:t>
            </w:r>
            <w:r>
              <w:rPr>
                <w:rFonts w:hint="eastAsia" w:ascii="宋体" w:hAnsi="宋体" w:eastAsia="宋体" w:cs="宋体"/>
                <w:sz w:val="21"/>
              </w:rPr>
              <w:t>号</w:t>
            </w:r>
          </w:p>
        </w:tc>
        <w:tc>
          <w:tcPr>
            <w:tcW w:w="1700" w:type="dxa"/>
            <w:tcMar>
              <w:top w:w="0" w:type="dxa"/>
              <w:left w:w="0" w:type="dxa"/>
              <w:bottom w:w="0" w:type="dxa"/>
              <w:right w:w="0" w:type="dxa"/>
            </w:tcMar>
          </w:tcPr>
          <w:p>
            <w:pPr>
              <w:spacing w:before="240"/>
              <w:ind w:left="8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640" w:hRule="exact"/>
        </w:trPr>
        <w:tc>
          <w:tcPr>
            <w:tcW w:w="1100" w:type="dxa"/>
            <w:tcMar>
              <w:top w:w="0" w:type="dxa"/>
              <w:left w:w="0" w:type="dxa"/>
              <w:bottom w:w="0" w:type="dxa"/>
              <w:right w:w="0" w:type="dxa"/>
            </w:tcMar>
          </w:tcPr>
          <w:p>
            <w:pPr>
              <w:spacing w:before="200"/>
              <w:ind w:left="220"/>
            </w:pPr>
            <w:r>
              <w:rPr>
                <w:rFonts w:hint="eastAsia" w:ascii="宋体" w:hAnsi="宋体" w:eastAsia="宋体" w:cs="宋体"/>
                <w:sz w:val="21"/>
              </w:rPr>
              <w:t>发行人</w:t>
            </w:r>
          </w:p>
        </w:tc>
        <w:tc>
          <w:tcPr>
            <w:tcW w:w="4100" w:type="dxa"/>
            <w:tcMar>
              <w:top w:w="0" w:type="dxa"/>
              <w:left w:w="0" w:type="dxa"/>
              <w:bottom w:w="0" w:type="dxa"/>
              <w:right w:w="0" w:type="dxa"/>
            </w:tcMar>
          </w:tcPr>
          <w:p>
            <w:pPr>
              <w:spacing w:before="40"/>
              <w:ind w:left="100"/>
            </w:pPr>
            <w:r>
              <w:rPr>
                <w:rFonts w:hint="eastAsia" w:ascii="宋体" w:hAnsi="宋体" w:eastAsia="宋体" w:cs="宋体"/>
                <w:sz w:val="21"/>
              </w:rPr>
              <w:t>福州市台江区广达路</w:t>
            </w:r>
            <w:r>
              <w:rPr>
                <w:rFonts w:hint="eastAsia" w:ascii="Times New Roman" w:hAnsi="Times New Roman" w:eastAsia="Times New Roman" w:cs="Times New Roman"/>
                <w:sz w:val="21"/>
              </w:rPr>
              <w:t>76</w:t>
            </w:r>
            <w:r>
              <w:rPr>
                <w:rFonts w:hint="eastAsia" w:ascii="宋体" w:hAnsi="宋体" w:eastAsia="宋体" w:cs="宋体"/>
                <w:sz w:val="21"/>
              </w:rPr>
              <w:t>号裕达楼</w:t>
            </w:r>
            <w:r>
              <w:rPr>
                <w:rFonts w:hint="eastAsia" w:ascii="Times New Roman" w:hAnsi="Times New Roman" w:eastAsia="Times New Roman" w:cs="Times New Roman"/>
                <w:sz w:val="21"/>
              </w:rPr>
              <w:t>1</w:t>
            </w:r>
            <w:r>
              <w:rPr>
                <w:rFonts w:hint="eastAsia" w:ascii="宋体" w:hAnsi="宋体" w:eastAsia="宋体" w:cs="宋体"/>
                <w:sz w:val="21"/>
              </w:rPr>
              <w:t>座</w:t>
            </w:r>
            <w:r>
              <w:rPr>
                <w:rFonts w:hint="eastAsia" w:ascii="宋体" w:hAnsi="宋体" w:eastAsia="宋体" w:cs="宋体"/>
                <w:sz w:val="20"/>
              </w:rPr>
              <w:t>（</w:t>
            </w:r>
            <w:r>
              <w:rPr>
                <w:rFonts w:hint="eastAsia" w:ascii="宋体" w:hAnsi="宋体" w:eastAsia="宋体" w:cs="宋体"/>
                <w:sz w:val="21"/>
              </w:rPr>
              <w:t>北楼</w:t>
            </w:r>
            <w:r>
              <w:rPr>
                <w:rFonts w:hint="eastAsia" w:ascii="宋体" w:hAnsi="宋体" w:eastAsia="宋体" w:cs="宋体"/>
                <w:sz w:val="20"/>
              </w:rPr>
              <w:t>）</w:t>
            </w:r>
          </w:p>
          <w:p>
            <w:pPr>
              <w:spacing w:before="80"/>
              <w:ind w:left="100"/>
            </w:pPr>
            <w:r>
              <w:rPr>
                <w:rFonts w:hint="eastAsia" w:ascii="Times New Roman" w:hAnsi="Times New Roman" w:eastAsia="Times New Roman" w:cs="Times New Roman"/>
                <w:sz w:val="21"/>
              </w:rPr>
              <w:t>104</w:t>
            </w:r>
            <w:r>
              <w:rPr>
                <w:rFonts w:hint="eastAsia" w:ascii="宋体" w:hAnsi="宋体" w:eastAsia="宋体" w:cs="宋体"/>
                <w:sz w:val="10"/>
              </w:rPr>
              <w:t>、</w:t>
            </w:r>
            <w:r>
              <w:rPr>
                <w:rFonts w:hint="eastAsia" w:ascii="Times New Roman" w:hAnsi="Times New Roman" w:eastAsia="Times New Roman" w:cs="Times New Roman"/>
                <w:sz w:val="21"/>
              </w:rPr>
              <w:t>106</w:t>
            </w:r>
            <w:r>
              <w:rPr>
                <w:rFonts w:hint="eastAsia" w:ascii="宋体" w:hAnsi="宋体" w:eastAsia="宋体" w:cs="宋体"/>
                <w:sz w:val="21"/>
              </w:rPr>
              <w:t>单元及</w:t>
            </w:r>
            <w:r>
              <w:rPr>
                <w:rFonts w:hint="eastAsia" w:ascii="Times New Roman" w:hAnsi="Times New Roman" w:eastAsia="Times New Roman" w:cs="Times New Roman"/>
                <w:sz w:val="21"/>
              </w:rPr>
              <w:t>05</w:t>
            </w:r>
            <w:r>
              <w:rPr>
                <w:rFonts w:hint="eastAsia" w:ascii="宋体" w:hAnsi="宋体" w:eastAsia="宋体" w:cs="宋体"/>
                <w:sz w:val="21"/>
              </w:rPr>
              <w:t>附属间</w:t>
            </w:r>
          </w:p>
        </w:tc>
        <w:tc>
          <w:tcPr>
            <w:tcW w:w="2360" w:type="dxa"/>
            <w:tcMar>
              <w:top w:w="0" w:type="dxa"/>
              <w:left w:w="0" w:type="dxa"/>
              <w:bottom w:w="0" w:type="dxa"/>
              <w:right w:w="0" w:type="dxa"/>
            </w:tcMar>
          </w:tcPr>
          <w:p>
            <w:pPr>
              <w:spacing w:before="40"/>
              <w:ind w:left="100"/>
            </w:pPr>
            <w:r>
              <w:rPr>
                <w:rFonts w:hint="eastAsia" w:ascii="宋体" w:hAnsi="宋体" w:eastAsia="宋体" w:cs="宋体"/>
                <w:sz w:val="21"/>
              </w:rPr>
              <w:t>榕 台 国 用</w:t>
            </w:r>
            <w:r>
              <w:rPr>
                <w:rFonts w:hint="eastAsia" w:ascii="Times New Roman" w:hAnsi="Times New Roman" w:eastAsia="Times New Roman" w:cs="Times New Roman"/>
                <w:sz w:val="21"/>
              </w:rPr>
              <w:t xml:space="preserve"> 2007</w:t>
            </w:r>
            <w:r>
              <w:rPr>
                <w:rFonts w:hint="eastAsia" w:ascii="宋体" w:hAnsi="宋体" w:eastAsia="宋体" w:cs="宋体"/>
                <w:sz w:val="21"/>
              </w:rPr>
              <w:t xml:space="preserve"> 第</w:t>
            </w:r>
          </w:p>
          <w:p>
            <w:pPr>
              <w:spacing w:before="80"/>
              <w:ind w:left="100"/>
            </w:pPr>
            <w:r>
              <w:rPr>
                <w:rFonts w:hint="eastAsia" w:ascii="Times New Roman" w:hAnsi="Times New Roman" w:eastAsia="Times New Roman" w:cs="Times New Roman"/>
                <w:sz w:val="21"/>
              </w:rPr>
              <w:t>00253512283</w:t>
            </w:r>
            <w:r>
              <w:rPr>
                <w:rFonts w:hint="eastAsia" w:ascii="宋体" w:hAnsi="宋体" w:eastAsia="宋体" w:cs="宋体"/>
                <w:sz w:val="21"/>
              </w:rPr>
              <w:t>号</w:t>
            </w:r>
          </w:p>
        </w:tc>
        <w:tc>
          <w:tcPr>
            <w:tcW w:w="1700" w:type="dxa"/>
            <w:tcMar>
              <w:top w:w="0" w:type="dxa"/>
              <w:left w:w="0" w:type="dxa"/>
              <w:bottom w:w="0" w:type="dxa"/>
              <w:right w:w="0" w:type="dxa"/>
            </w:tcMar>
          </w:tcPr>
          <w:p>
            <w:pPr>
              <w:spacing w:before="240"/>
              <w:ind w:left="1100"/>
            </w:pPr>
            <w:r>
              <w:rPr>
                <w:rFonts w:hint="eastAsia" w:ascii="Times New Roman" w:hAnsi="Times New Roman" w:eastAsia="Times New Roman" w:cs="Times New Roman"/>
                <w:sz w:val="21"/>
              </w:rPr>
              <w:t>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r>
      <w:tr>
        <w:trPr>
          <w:trHeight w:val="640" w:hRule="exact"/>
        </w:trPr>
        <w:tc>
          <w:tcPr>
            <w:tcW w:w="1100" w:type="dxa"/>
            <w:tcMar>
              <w:top w:w="0" w:type="dxa"/>
              <w:left w:w="0" w:type="dxa"/>
              <w:bottom w:w="0" w:type="dxa"/>
              <w:right w:w="0" w:type="dxa"/>
            </w:tcMar>
          </w:tcPr>
          <w:p>
            <w:pPr>
              <w:spacing w:before="200"/>
              <w:ind w:left="220"/>
            </w:pPr>
            <w:r>
              <w:rPr>
                <w:rFonts w:hint="eastAsia" w:ascii="宋体" w:hAnsi="宋体" w:eastAsia="宋体" w:cs="宋体"/>
                <w:sz w:val="21"/>
              </w:rPr>
              <w:t>发行人</w:t>
            </w:r>
          </w:p>
        </w:tc>
        <w:tc>
          <w:tcPr>
            <w:tcW w:w="4100" w:type="dxa"/>
            <w:tcMar>
              <w:top w:w="0" w:type="dxa"/>
              <w:left w:w="0" w:type="dxa"/>
              <w:bottom w:w="0" w:type="dxa"/>
              <w:right w:w="0" w:type="dxa"/>
            </w:tcMar>
          </w:tcPr>
          <w:p>
            <w:pPr>
              <w:spacing w:before="180"/>
              <w:ind w:left="100"/>
            </w:pPr>
            <w:r>
              <w:rPr>
                <w:rFonts w:hint="eastAsia" w:ascii="宋体" w:hAnsi="宋体" w:eastAsia="宋体" w:cs="宋体"/>
                <w:sz w:val="21"/>
              </w:rPr>
              <w:t>上海市东方路</w:t>
            </w:r>
            <w:r>
              <w:rPr>
                <w:rFonts w:hint="eastAsia" w:ascii="Times New Roman" w:hAnsi="Times New Roman" w:eastAsia="Times New Roman" w:cs="Times New Roman"/>
                <w:sz w:val="21"/>
              </w:rPr>
              <w:t>989</w:t>
            </w:r>
            <w:r>
              <w:rPr>
                <w:rFonts w:hint="eastAsia" w:ascii="宋体" w:hAnsi="宋体" w:eastAsia="宋体" w:cs="宋体"/>
                <w:sz w:val="21"/>
              </w:rPr>
              <w:t>号</w:t>
            </w:r>
          </w:p>
        </w:tc>
        <w:tc>
          <w:tcPr>
            <w:tcW w:w="2360" w:type="dxa"/>
            <w:tcMar>
              <w:top w:w="0" w:type="dxa"/>
              <w:left w:w="0" w:type="dxa"/>
              <w:bottom w:w="0" w:type="dxa"/>
              <w:right w:w="0" w:type="dxa"/>
            </w:tcMar>
          </w:tcPr>
          <w:p>
            <w:pPr>
              <w:spacing w:before="40"/>
              <w:ind w:left="100"/>
            </w:pPr>
            <w:r>
              <w:rPr>
                <w:rFonts w:hint="eastAsia" w:ascii="宋体" w:hAnsi="宋体" w:eastAsia="宋体" w:cs="宋体"/>
                <w:sz w:val="21"/>
              </w:rPr>
              <w:t>沪房地浦字</w:t>
            </w:r>
            <w:r>
              <w:rPr>
                <w:rFonts w:hint="eastAsia" w:ascii="宋体" w:hAnsi="宋体" w:eastAsia="宋体" w:cs="宋体"/>
                <w:sz w:val="20"/>
              </w:rPr>
              <w:t>（</w:t>
            </w:r>
            <w:r>
              <w:rPr>
                <w:rFonts w:hint="eastAsia" w:ascii="Times New Roman" w:hAnsi="Times New Roman" w:eastAsia="Times New Roman" w:cs="Times New Roman"/>
                <w:sz w:val="21"/>
              </w:rPr>
              <w:t>2011</w:t>
            </w:r>
            <w:r>
              <w:rPr>
                <w:rFonts w:hint="eastAsia" w:ascii="宋体" w:hAnsi="宋体" w:eastAsia="宋体" w:cs="宋体"/>
                <w:sz w:val="20"/>
              </w:rPr>
              <w:t>）</w:t>
            </w:r>
            <w:r>
              <w:rPr>
                <w:rFonts w:hint="eastAsia" w:ascii="宋体" w:hAnsi="宋体" w:eastAsia="宋体" w:cs="宋体"/>
                <w:sz w:val="21"/>
              </w:rPr>
              <w:t>第</w:t>
            </w:r>
          </w:p>
          <w:p>
            <w:pPr>
              <w:spacing w:before="100"/>
              <w:ind w:left="100"/>
            </w:pPr>
            <w:r>
              <w:rPr>
                <w:rFonts w:hint="eastAsia" w:ascii="Times New Roman" w:hAnsi="Times New Roman" w:eastAsia="Times New Roman" w:cs="Times New Roman"/>
                <w:sz w:val="21"/>
              </w:rPr>
              <w:t>034070</w:t>
            </w:r>
            <w:r>
              <w:rPr>
                <w:rFonts w:hint="eastAsia" w:ascii="宋体" w:hAnsi="宋体" w:eastAsia="宋体" w:cs="宋体"/>
                <w:sz w:val="21"/>
              </w:rPr>
              <w:t>号</w:t>
            </w:r>
          </w:p>
        </w:tc>
        <w:tc>
          <w:tcPr>
            <w:tcW w:w="1700" w:type="dxa"/>
            <w:tcMar>
              <w:top w:w="0" w:type="dxa"/>
              <w:left w:w="0" w:type="dxa"/>
              <w:bottom w:w="0" w:type="dxa"/>
              <w:right w:w="0" w:type="dxa"/>
            </w:tcMar>
          </w:tcPr>
          <w:p>
            <w:pPr>
              <w:spacing w:before="240"/>
              <w:ind w:left="1000"/>
            </w:pPr>
            <w:r>
              <w:rPr>
                <w:rFonts w:hint="eastAsia" w:ascii="Times New Roman" w:hAnsi="Times New Roman" w:eastAsia="Times New Roman" w:cs="Times New Roman"/>
                <w:sz w:val="21"/>
              </w:rPr>
              <w:t>148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r>
      <w:tr>
        <w:trPr>
          <w:trHeight w:val="620" w:hRule="exact"/>
        </w:trPr>
        <w:tc>
          <w:tcPr>
            <w:tcW w:w="1100" w:type="dxa"/>
            <w:tcMar>
              <w:top w:w="0" w:type="dxa"/>
              <w:left w:w="0" w:type="dxa"/>
              <w:bottom w:w="0" w:type="dxa"/>
              <w:right w:w="0" w:type="dxa"/>
            </w:tcMar>
          </w:tcPr>
          <w:p>
            <w:pPr>
              <w:spacing w:before="180"/>
              <w:ind w:left="120"/>
            </w:pPr>
            <w:r>
              <w:rPr>
                <w:rFonts w:hint="eastAsia" w:ascii="宋体" w:hAnsi="宋体" w:eastAsia="宋体" w:cs="宋体"/>
                <w:sz w:val="21"/>
              </w:rPr>
              <w:t>武汉顶点</w:t>
            </w:r>
          </w:p>
        </w:tc>
        <w:tc>
          <w:tcPr>
            <w:tcW w:w="4100" w:type="dxa"/>
            <w:tcMar>
              <w:top w:w="0" w:type="dxa"/>
              <w:left w:w="0" w:type="dxa"/>
              <w:bottom w:w="0" w:type="dxa"/>
              <w:right w:w="0" w:type="dxa"/>
            </w:tcMar>
          </w:tcPr>
          <w:p>
            <w:pPr>
              <w:spacing w:before="40"/>
              <w:ind w:left="100"/>
            </w:pPr>
            <w:r>
              <w:rPr>
                <w:rFonts w:hint="eastAsia" w:ascii="宋体" w:hAnsi="宋体" w:eastAsia="宋体" w:cs="宋体"/>
                <w:sz w:val="21"/>
              </w:rPr>
              <w:t>武汉市东湖新技术开发区软件园东路</w:t>
            </w:r>
            <w:r>
              <w:rPr>
                <w:rFonts w:hint="eastAsia" w:ascii="Times New Roman" w:hAnsi="Times New Roman" w:eastAsia="Times New Roman" w:cs="Times New Roman"/>
                <w:sz w:val="21"/>
              </w:rPr>
              <w:t>1</w:t>
            </w:r>
            <w:r>
              <w:rPr>
                <w:rFonts w:hint="eastAsia" w:ascii="宋体" w:hAnsi="宋体" w:eastAsia="宋体" w:cs="宋体"/>
                <w:sz w:val="21"/>
              </w:rPr>
              <w:t>号软</w:t>
            </w:r>
          </w:p>
          <w:p>
            <w:pPr>
              <w:spacing w:before="100"/>
              <w:ind w:left="100"/>
            </w:pPr>
            <w:r>
              <w:rPr>
                <w:rFonts w:hint="eastAsia" w:ascii="宋体" w:hAnsi="宋体" w:eastAsia="宋体" w:cs="宋体"/>
                <w:sz w:val="21"/>
              </w:rPr>
              <w:t>件产业</w:t>
            </w: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r>
              <w:rPr>
                <w:rFonts w:hint="eastAsia" w:ascii="宋体" w:hAnsi="宋体" w:eastAsia="宋体" w:cs="宋体"/>
                <w:sz w:val="21"/>
              </w:rPr>
              <w:t>期</w:t>
            </w:r>
            <w:r>
              <w:rPr>
                <w:rFonts w:hint="eastAsia" w:ascii="Times New Roman" w:hAnsi="Times New Roman" w:eastAsia="Times New Roman" w:cs="Times New Roman"/>
                <w:sz w:val="21"/>
              </w:rPr>
              <w:t>B3</w:t>
            </w:r>
            <w:r>
              <w:rPr>
                <w:rFonts w:hint="eastAsia" w:ascii="宋体" w:hAnsi="宋体" w:eastAsia="宋体" w:cs="宋体"/>
                <w:sz w:val="21"/>
              </w:rPr>
              <w:t>栋</w:t>
            </w:r>
            <w:r>
              <w:rPr>
                <w:rFonts w:hint="eastAsia" w:ascii="Times New Roman" w:hAnsi="Times New Roman" w:eastAsia="Times New Roman" w:cs="Times New Roman"/>
                <w:sz w:val="21"/>
              </w:rPr>
              <w:t>7</w:t>
            </w:r>
            <w:r>
              <w:rPr>
                <w:rFonts w:hint="eastAsia" w:ascii="宋体" w:hAnsi="宋体" w:eastAsia="宋体" w:cs="宋体"/>
                <w:sz w:val="21"/>
              </w:rPr>
              <w:t>层</w:t>
            </w:r>
            <w:r>
              <w:rPr>
                <w:rFonts w:hint="eastAsia" w:ascii="Times New Roman" w:hAnsi="Times New Roman" w:eastAsia="Times New Roman" w:cs="Times New Roman"/>
                <w:sz w:val="21"/>
              </w:rPr>
              <w:t>01</w:t>
            </w:r>
            <w:r>
              <w:rPr>
                <w:rFonts w:hint="eastAsia" w:ascii="宋体" w:hAnsi="宋体" w:eastAsia="宋体" w:cs="宋体"/>
                <w:sz w:val="21"/>
              </w:rPr>
              <w:t>室</w:t>
            </w:r>
          </w:p>
        </w:tc>
        <w:tc>
          <w:tcPr>
            <w:tcW w:w="2360" w:type="dxa"/>
            <w:tcMar>
              <w:top w:w="0" w:type="dxa"/>
              <w:left w:w="0" w:type="dxa"/>
              <w:bottom w:w="0" w:type="dxa"/>
              <w:right w:w="0" w:type="dxa"/>
            </w:tcMar>
          </w:tcPr>
          <w:p>
            <w:pPr>
              <w:spacing w:before="40"/>
              <w:ind w:left="100"/>
            </w:pPr>
            <w:r>
              <w:rPr>
                <w:rFonts w:hint="eastAsia" w:ascii="宋体" w:hAnsi="宋体" w:eastAsia="宋体" w:cs="宋体"/>
                <w:sz w:val="21"/>
              </w:rPr>
              <w:t>武新国用</w:t>
            </w:r>
            <w:r>
              <w:rPr>
                <w:rFonts w:hint="eastAsia" w:ascii="宋体" w:hAnsi="宋体" w:eastAsia="宋体" w:cs="宋体"/>
                <w:sz w:val="20"/>
              </w:rPr>
              <w:t>（</w:t>
            </w:r>
            <w:r>
              <w:rPr>
                <w:rFonts w:hint="eastAsia" w:ascii="宋体" w:hAnsi="宋体" w:eastAsia="宋体" w:cs="宋体"/>
                <w:sz w:val="21"/>
              </w:rPr>
              <w:t>商</w:t>
            </w:r>
            <w:r>
              <w:rPr>
                <w:rFonts w:hint="eastAsia" w:ascii="Times New Roman" w:hAnsi="Times New Roman" w:eastAsia="Times New Roman" w:cs="Times New Roman"/>
                <w:sz w:val="21"/>
              </w:rPr>
              <w:t>2015</w:t>
            </w:r>
            <w:r>
              <w:rPr>
                <w:rFonts w:hint="eastAsia" w:ascii="宋体" w:hAnsi="宋体" w:eastAsia="宋体" w:cs="宋体"/>
                <w:sz w:val="20"/>
              </w:rPr>
              <w:t>）</w:t>
            </w:r>
            <w:r>
              <w:rPr>
                <w:rFonts w:hint="eastAsia" w:ascii="宋体" w:hAnsi="宋体" w:eastAsia="宋体" w:cs="宋体"/>
                <w:sz w:val="21"/>
              </w:rPr>
              <w:t>第</w:t>
            </w:r>
          </w:p>
          <w:p>
            <w:pPr>
              <w:spacing w:before="100"/>
              <w:ind w:left="100"/>
            </w:pPr>
            <w:r>
              <w:rPr>
                <w:rFonts w:hint="eastAsia" w:ascii="Times New Roman" w:hAnsi="Times New Roman" w:eastAsia="Times New Roman" w:cs="Times New Roman"/>
                <w:sz w:val="21"/>
              </w:rPr>
              <w:t>63221</w:t>
            </w:r>
            <w:r>
              <w:rPr>
                <w:rFonts w:hint="eastAsia" w:ascii="宋体" w:hAnsi="宋体" w:eastAsia="宋体" w:cs="宋体"/>
                <w:sz w:val="21"/>
              </w:rPr>
              <w:t>号</w:t>
            </w:r>
          </w:p>
        </w:tc>
        <w:tc>
          <w:tcPr>
            <w:tcW w:w="1700" w:type="dxa"/>
            <w:tcMar>
              <w:top w:w="0" w:type="dxa"/>
              <w:left w:w="0" w:type="dxa"/>
              <w:bottom w:w="0" w:type="dxa"/>
              <w:right w:w="0" w:type="dxa"/>
            </w:tcMar>
          </w:tcPr>
          <w:p>
            <w:pPr>
              <w:spacing w:before="240"/>
              <w:ind w:left="1020"/>
            </w:pPr>
            <w:r>
              <w:rPr>
                <w:rFonts w:hint="eastAsia" w:ascii="Times New Roman" w:hAnsi="Times New Roman" w:eastAsia="Times New Roman" w:cs="Times New Roman"/>
                <w:sz w:val="21"/>
              </w:rPr>
              <w:t>118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r>
    </w:tbl>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保荐机构</w:t>
      </w:r>
      <w:r>
        <w:rPr>
          <w:rFonts w:hint="eastAsia" w:ascii="宋体" w:hAnsi="宋体" w:eastAsia="宋体" w:cs="宋体"/>
          <w:b/>
          <w:sz w:val="10"/>
        </w:rPr>
        <w:t>、</w:t>
      </w:r>
      <w:r>
        <w:rPr>
          <w:rFonts w:hint="eastAsia" w:ascii="宋体" w:hAnsi="宋体" w:eastAsia="宋体" w:cs="宋体"/>
          <w:b/>
          <w:sz w:val="24"/>
        </w:rPr>
        <w:t>发行人的核查意见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经核查</w:t>
      </w:r>
      <w:r>
        <w:rPr>
          <w:rFonts w:hint="eastAsia" w:ascii="宋体" w:hAnsi="宋体" w:eastAsia="宋体" w:cs="宋体"/>
          <w:sz w:val="10"/>
        </w:rPr>
        <w:t>，</w:t>
      </w:r>
      <w:r>
        <w:rPr>
          <w:rFonts w:hint="eastAsia" w:ascii="宋体" w:hAnsi="宋体" w:eastAsia="宋体" w:cs="宋体"/>
          <w:sz w:val="24"/>
        </w:rPr>
        <w:t>保荐机构</w:t>
      </w:r>
      <w:r>
        <w:rPr>
          <w:rFonts w:hint="eastAsia" w:ascii="宋体" w:hAnsi="宋体" w:eastAsia="宋体" w:cs="宋体"/>
          <w:sz w:val="10"/>
        </w:rPr>
        <w:t>、</w:t>
      </w:r>
      <w:r>
        <w:rPr>
          <w:rFonts w:hint="eastAsia" w:ascii="宋体" w:hAnsi="宋体" w:eastAsia="宋体" w:cs="宋体"/>
          <w:sz w:val="24"/>
        </w:rPr>
        <w:t>发行人律师认为</w:t>
      </w:r>
      <w:r>
        <w:rPr>
          <w:rFonts w:hint="eastAsia" w:ascii="宋体" w:hAnsi="宋体" w:eastAsia="宋体" w:cs="宋体"/>
          <w:sz w:val="12"/>
        </w:rPr>
        <w:t>：</w:t>
      </w:r>
      <w:r>
        <w:rPr>
          <w:rFonts w:hint="eastAsia" w:ascii="宋体" w:hAnsi="宋体" w:eastAsia="宋体" w:cs="宋体"/>
          <w:sz w:val="24"/>
        </w:rPr>
        <w:t>发行人招股书中关于知识产权的披露真实</w:t>
      </w:r>
      <w:r>
        <w:rPr>
          <w:rFonts w:hint="eastAsia" w:ascii="宋体" w:hAnsi="宋体" w:eastAsia="宋体" w:cs="宋体"/>
          <w:sz w:val="10"/>
        </w:rPr>
        <w:t>、</w:t>
      </w:r>
      <w:r>
        <w:rPr>
          <w:rFonts w:hint="eastAsia" w:ascii="宋体" w:hAnsi="宋体" w:eastAsia="宋体" w:cs="宋体"/>
          <w:sz w:val="24"/>
        </w:rPr>
        <w:t>完整</w:t>
      </w:r>
      <w:r>
        <w:rPr>
          <w:rFonts w:hint="eastAsia" w:ascii="宋体" w:hAnsi="宋体" w:eastAsia="宋体" w:cs="宋体"/>
          <w:sz w:val="10"/>
        </w:rPr>
        <w:t>，</w:t>
      </w:r>
      <w:r>
        <w:rPr>
          <w:rFonts w:hint="eastAsia" w:ascii="宋体" w:hAnsi="宋体" w:eastAsia="宋体" w:cs="宋体"/>
          <w:sz w:val="24"/>
        </w:rPr>
        <w:t>且相关知识产权均在有效期内</w:t>
      </w:r>
      <w:r>
        <w:rPr>
          <w:rFonts w:hint="eastAsia" w:ascii="宋体" w:hAnsi="宋体" w:eastAsia="宋体" w:cs="宋体"/>
          <w:sz w:val="12"/>
        </w:rPr>
        <w:t>；</w:t>
      </w:r>
      <w:r>
        <w:rPr>
          <w:rFonts w:hint="eastAsia" w:ascii="宋体" w:hAnsi="宋体" w:eastAsia="宋体" w:cs="宋体"/>
          <w:sz w:val="24"/>
        </w:rPr>
        <w:t>发行人相关知识产权不存在权属瑕疵</w:t>
      </w:r>
      <w:r>
        <w:rPr>
          <w:rFonts w:hint="eastAsia" w:ascii="宋体" w:hAnsi="宋体" w:eastAsia="宋体" w:cs="宋体"/>
          <w:sz w:val="10"/>
        </w:rPr>
        <w:t>、</w:t>
      </w:r>
      <w:r>
        <w:rPr>
          <w:rFonts w:hint="eastAsia" w:ascii="宋体" w:hAnsi="宋体" w:eastAsia="宋体" w:cs="宋体"/>
          <w:sz w:val="24"/>
        </w:rPr>
        <w:t>纠纷</w:t>
      </w:r>
      <w:r>
        <w:rPr>
          <w:rFonts w:hint="eastAsia" w:ascii="宋体" w:hAnsi="宋体" w:eastAsia="宋体" w:cs="宋体"/>
          <w:sz w:val="10"/>
        </w:rPr>
        <w:t>，</w:t>
      </w:r>
      <w:r>
        <w:rPr>
          <w:rFonts w:hint="eastAsia" w:ascii="宋体" w:hAnsi="宋体" w:eastAsia="宋体" w:cs="宋体"/>
          <w:sz w:val="24"/>
        </w:rPr>
        <w:t>发行人拥有经营所需的相关知识产权</w:t>
      </w:r>
      <w:r>
        <w:rPr>
          <w:rFonts w:hint="eastAsia" w:ascii="宋体" w:hAnsi="宋体" w:eastAsia="宋体" w:cs="宋体"/>
          <w:sz w:val="14"/>
        </w:rPr>
        <w:t>；</w:t>
      </w:r>
      <w:r>
        <w:rPr>
          <w:rFonts w:hint="eastAsia" w:ascii="宋体" w:hAnsi="宋体" w:eastAsia="宋体" w:cs="宋体"/>
          <w:sz w:val="24"/>
        </w:rPr>
        <w:t>报告期内发行人不存在知识产权侵权或纠纷的情形</w:t>
      </w:r>
      <w:r>
        <w:rPr>
          <w:rFonts w:hint="eastAsia" w:ascii="宋体" w:hAnsi="宋体" w:eastAsia="宋体" w:cs="宋体"/>
          <w:sz w:val="10"/>
        </w:rPr>
        <w:t>，</w:t>
      </w:r>
      <w:r>
        <w:rPr>
          <w:rFonts w:hint="eastAsia" w:ascii="宋体" w:hAnsi="宋体" w:eastAsia="宋体" w:cs="宋体"/>
          <w:sz w:val="24"/>
        </w:rPr>
        <w:t>不存在转让知识产权的情形</w:t>
      </w:r>
      <w:r>
        <w:rPr>
          <w:rFonts w:hint="eastAsia" w:ascii="宋体" w:hAnsi="宋体" w:eastAsia="宋体" w:cs="宋体"/>
          <w:sz w:val="10"/>
        </w:rPr>
        <w:t>，</w:t>
      </w:r>
      <w:r>
        <w:rPr>
          <w:rFonts w:hint="eastAsia" w:ascii="宋体" w:hAnsi="宋体" w:eastAsia="宋体" w:cs="宋体"/>
          <w:sz w:val="24"/>
        </w:rPr>
        <w:t>不存在知识产权许可使用的情形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（三）特许经营权</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本公司无特许经营权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440"/>
        <w:jc w:val="both"/>
      </w:pPr>
      <w:r>
        <w:rPr>
          <w:rFonts w:hint="eastAsia" w:ascii="ºÚÌå" w:hAnsi="ºÚÌå" w:eastAsia="ºÚÌå" w:cs="ºÚÌå"/>
          <w:sz w:val="30"/>
        </w:rPr>
        <w:t>六</w:t>
      </w:r>
      <w:r>
        <w:rPr>
          <w:rFonts w:hint="eastAsia" w:ascii="ºÚÌå" w:hAnsi="ºÚÌå" w:eastAsia="ºÚÌå" w:cs="ºÚÌå"/>
          <w:sz w:val="10"/>
        </w:rPr>
        <w:t>、</w:t>
      </w:r>
      <w:r>
        <w:rPr>
          <w:rFonts w:hint="eastAsia" w:ascii="ºÚÌå" w:hAnsi="ºÚÌå" w:eastAsia="ºÚÌå" w:cs="ºÚÌå"/>
          <w:sz w:val="30"/>
        </w:rPr>
        <w:t>主要产品或服务的核心技术情况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1-1-172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b/>
          <w:sz w:val="20"/>
        </w:rPr>
        <w:t>（一）</w:t>
      </w:r>
      <w:r>
        <w:rPr>
          <w:rFonts w:hint="eastAsia" w:ascii="宋体" w:hAnsi="宋体" w:eastAsia="宋体" w:cs="宋体"/>
          <w:b/>
          <w:sz w:val="24"/>
        </w:rPr>
        <w:t>核心技术</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公司的核心技术主要包括两大平台</w:t>
      </w:r>
      <w:r>
        <w:rPr>
          <w:rFonts w:hint="eastAsia" w:ascii="宋体" w:hAnsi="宋体" w:eastAsia="宋体" w:cs="宋体"/>
          <w:sz w:val="10"/>
        </w:rPr>
        <w:t>，</w:t>
      </w:r>
      <w:r>
        <w:rPr>
          <w:rFonts w:hint="eastAsia" w:ascii="宋体" w:hAnsi="宋体" w:eastAsia="宋体" w:cs="宋体"/>
          <w:sz w:val="24"/>
        </w:rPr>
        <w:t>即</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灵动业务架构平台和</w:t>
      </w:r>
      <w:r>
        <w:rPr>
          <w:rFonts w:hint="eastAsia" w:ascii="Times New Roman" w:hAnsi="Times New Roman" w:eastAsia="Times New Roman" w:cs="Times New Roman"/>
          <w:sz w:val="24"/>
        </w:rPr>
        <w:t xml:space="preserve"> Losap</w:t>
      </w:r>
      <w:r>
        <w:rPr>
          <w:rFonts w:hint="eastAsia" w:ascii="宋体" w:hAnsi="宋体" w:eastAsia="宋体" w:cs="宋体"/>
          <w:sz w:val="24"/>
        </w:rPr>
        <w:t xml:space="preserve"> 业务操作服务架构平台</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灵动业务架构平台（</w:t>
      </w:r>
      <w:r>
        <w:rPr>
          <w:rFonts w:hint="eastAsia" w:ascii="Times New Roman" w:hAnsi="Times New Roman" w:eastAsia="Times New Roman" w:cs="Times New Roman"/>
          <w:sz w:val="24"/>
        </w:rPr>
        <w:t>LiveBOS</w:t>
      </w:r>
      <w:r>
        <w:rPr>
          <w:rFonts w:hint="eastAsia" w:ascii="宋体" w:hAnsi="宋体" w:eastAsia="宋体" w:cs="宋体"/>
          <w:sz w:val="24"/>
        </w:rPr>
        <w:t>）是以业务对象建模为核心的业务架构中间件及其集成开发工具</w:t>
      </w:r>
      <w:r>
        <w:rPr>
          <w:rFonts w:hint="eastAsia" w:ascii="宋体" w:hAnsi="宋体" w:eastAsia="宋体" w:cs="宋体"/>
          <w:sz w:val="10"/>
        </w:rPr>
        <w:t>。</w:t>
      </w:r>
      <w:r>
        <w:rPr>
          <w:rFonts w:hint="eastAsia" w:ascii="宋体" w:hAnsi="宋体" w:eastAsia="宋体" w:cs="宋体"/>
          <w:sz w:val="24"/>
        </w:rPr>
        <w:t>它适合于各类基于</w:t>
      </w:r>
      <w:r>
        <w:rPr>
          <w:rFonts w:hint="eastAsia" w:ascii="Times New Roman" w:hAnsi="Times New Roman" w:eastAsia="Times New Roman" w:cs="Times New Roman"/>
          <w:sz w:val="24"/>
        </w:rPr>
        <w:t xml:space="preserve"> WEB</w:t>
      </w:r>
      <w:r>
        <w:rPr>
          <w:rFonts w:hint="eastAsia" w:ascii="宋体" w:hAnsi="宋体" w:eastAsia="宋体" w:cs="宋体"/>
          <w:sz w:val="24"/>
        </w:rPr>
        <w:t xml:space="preserve"> 的专业应用软件与行业应用的开发</w:t>
      </w:r>
      <w:r>
        <w:rPr>
          <w:rFonts w:hint="eastAsia" w:ascii="宋体" w:hAnsi="宋体" w:eastAsia="宋体" w:cs="宋体"/>
          <w:sz w:val="10"/>
        </w:rPr>
        <w:t>，</w:t>
      </w:r>
      <w:r>
        <w:rPr>
          <w:rFonts w:hint="eastAsia" w:ascii="宋体" w:hAnsi="宋体" w:eastAsia="宋体" w:cs="宋体"/>
          <w:sz w:val="24"/>
        </w:rPr>
        <w:t>它实现了创新的</w:t>
      </w:r>
      <w:r>
        <w:rPr>
          <w:rFonts w:hint="eastAsia" w:ascii="宋体" w:hAnsi="宋体" w:eastAsia="宋体" w:cs="宋体"/>
          <w:sz w:val="10"/>
        </w:rPr>
        <w:t>“</w:t>
      </w:r>
      <w:r>
        <w:rPr>
          <w:rFonts w:hint="eastAsia" w:ascii="宋体" w:hAnsi="宋体" w:eastAsia="宋体" w:cs="宋体"/>
          <w:sz w:val="24"/>
        </w:rPr>
        <w:t>模型即软件</w:t>
      </w:r>
      <w:r>
        <w:rPr>
          <w:rFonts w:hint="eastAsia" w:ascii="宋体" w:hAnsi="宋体" w:eastAsia="宋体" w:cs="宋体"/>
          <w:sz w:val="10"/>
        </w:rPr>
        <w:t>、</w:t>
      </w:r>
      <w:r>
        <w:rPr>
          <w:rFonts w:hint="eastAsia" w:ascii="宋体" w:hAnsi="宋体" w:eastAsia="宋体" w:cs="宋体"/>
          <w:sz w:val="24"/>
        </w:rPr>
        <w:t>建模即开发</w:t>
      </w:r>
      <w:r>
        <w:rPr>
          <w:rFonts w:hint="eastAsia" w:ascii="宋体" w:hAnsi="宋体" w:eastAsia="宋体" w:cs="宋体"/>
          <w:sz w:val="10"/>
        </w:rPr>
        <w:t>”</w:t>
      </w:r>
      <w:r>
        <w:rPr>
          <w:rFonts w:hint="eastAsia" w:ascii="宋体" w:hAnsi="宋体" w:eastAsia="宋体" w:cs="宋体"/>
          <w:sz w:val="24"/>
        </w:rPr>
        <w:t>的应用软件开发过程</w:t>
      </w:r>
      <w:r>
        <w:rPr>
          <w:rFonts w:hint="eastAsia" w:ascii="宋体" w:hAnsi="宋体" w:eastAsia="宋体" w:cs="宋体"/>
          <w:sz w:val="10"/>
        </w:rPr>
        <w:t>。</w:t>
      </w:r>
      <w:r>
        <w:rPr>
          <w:rFonts w:hint="eastAsia" w:ascii="Times New Roman" w:hAnsi="Times New Roman" w:eastAsia="Times New Roman" w:cs="Times New Roman"/>
          <w:sz w:val="24"/>
        </w:rPr>
        <w:t>LiveBOS</w:t>
      </w:r>
      <w:r>
        <w:rPr>
          <w:rFonts w:hint="eastAsia" w:ascii="宋体" w:hAnsi="宋体" w:eastAsia="宋体" w:cs="宋体"/>
          <w:sz w:val="24"/>
        </w:rPr>
        <w:t xml:space="preserve"> 包括</w:t>
      </w:r>
      <w:r>
        <w:rPr>
          <w:rFonts w:hint="eastAsia" w:ascii="Times New Roman" w:hAnsi="Times New Roman" w:eastAsia="Times New Roman" w:cs="Times New Roman"/>
          <w:sz w:val="24"/>
        </w:rPr>
        <w:t xml:space="preserve"> LiveBOSServer</w:t>
      </w:r>
      <w:r>
        <w:rPr>
          <w:rFonts w:hint="eastAsia" w:ascii="宋体" w:hAnsi="宋体" w:eastAsia="宋体" w:cs="宋体"/>
          <w:sz w:val="24"/>
        </w:rPr>
        <w:t xml:space="preserve"> 业务架构中间件</w:t>
      </w:r>
      <w:r>
        <w:rPr>
          <w:rFonts w:hint="eastAsia" w:ascii="宋体" w:hAnsi="宋体" w:eastAsia="宋体" w:cs="宋体"/>
          <w:sz w:val="10"/>
        </w:rPr>
        <w:t>，</w:t>
      </w:r>
      <w:r>
        <w:rPr>
          <w:rFonts w:hint="eastAsia" w:ascii="Times New Roman" w:hAnsi="Times New Roman" w:eastAsia="Times New Roman" w:cs="Times New Roman"/>
          <w:sz w:val="24"/>
        </w:rPr>
        <w:t xml:space="preserve">LiveBOS Studio </w:t>
      </w:r>
      <w:r>
        <w:rPr>
          <w:rFonts w:hint="eastAsia" w:ascii="宋体" w:hAnsi="宋体" w:eastAsia="宋体" w:cs="宋体"/>
          <w:sz w:val="24"/>
        </w:rPr>
        <w:t>集成开发工具以及</w:t>
      </w:r>
      <w:r>
        <w:rPr>
          <w:rFonts w:hint="eastAsia" w:ascii="Times New Roman" w:hAnsi="Times New Roman" w:eastAsia="Times New Roman" w:cs="Times New Roman"/>
          <w:sz w:val="24"/>
        </w:rPr>
        <w:t xml:space="preserve"> LiveBOS Manager</w:t>
      </w:r>
      <w:r>
        <w:rPr>
          <w:rFonts w:hint="eastAsia" w:ascii="宋体" w:hAnsi="宋体" w:eastAsia="宋体" w:cs="宋体"/>
          <w:sz w:val="24"/>
        </w:rPr>
        <w:t xml:space="preserve"> 集成管理工具</w:t>
      </w:r>
      <w:r>
        <w:rPr>
          <w:rFonts w:hint="eastAsia" w:ascii="宋体" w:hAnsi="宋体" w:eastAsia="宋体" w:cs="宋体"/>
          <w:sz w:val="10"/>
        </w:rPr>
        <w:t>。</w:t>
      </w:r>
      <w:r>
        <w:rPr>
          <w:rFonts w:hint="eastAsia" w:ascii="宋体" w:hAnsi="宋体" w:eastAsia="宋体" w:cs="宋体"/>
          <w:sz w:val="24"/>
        </w:rPr>
        <w:t>而灵动业务架构平台（</w:t>
      </w:r>
      <w:r>
        <w:rPr>
          <w:rFonts w:hint="eastAsia" w:ascii="Times New Roman" w:hAnsi="Times New Roman" w:eastAsia="Times New Roman" w:cs="Times New Roman"/>
          <w:sz w:val="24"/>
        </w:rPr>
        <w:t>LiveBOS</w:t>
      </w:r>
      <w:r>
        <w:rPr>
          <w:rFonts w:hint="eastAsia" w:ascii="宋体" w:hAnsi="宋体" w:eastAsia="宋体" w:cs="宋体"/>
          <w:sz w:val="24"/>
        </w:rPr>
        <w:t>）本身集成了业务对象模型引擎</w:t>
      </w:r>
      <w:r>
        <w:rPr>
          <w:rFonts w:hint="eastAsia" w:ascii="宋体" w:hAnsi="宋体" w:eastAsia="宋体" w:cs="宋体"/>
          <w:sz w:val="10"/>
        </w:rPr>
        <w:t>，</w:t>
      </w:r>
      <w:r>
        <w:rPr>
          <w:rFonts w:hint="eastAsia" w:ascii="宋体" w:hAnsi="宋体" w:eastAsia="宋体" w:cs="宋体"/>
          <w:sz w:val="24"/>
        </w:rPr>
        <w:t>业务流程引擎</w:t>
      </w:r>
      <w:r>
        <w:rPr>
          <w:rFonts w:hint="eastAsia" w:ascii="宋体" w:hAnsi="宋体" w:eastAsia="宋体" w:cs="宋体"/>
          <w:sz w:val="10"/>
        </w:rPr>
        <w:t>，</w:t>
      </w:r>
      <w:r>
        <w:rPr>
          <w:rFonts w:hint="eastAsia" w:ascii="宋体" w:hAnsi="宋体" w:eastAsia="宋体" w:cs="宋体"/>
          <w:sz w:val="24"/>
        </w:rPr>
        <w:t>报表引擎与门户引擎</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0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业务操作服务架构平台（</w:t>
      </w:r>
      <w:r>
        <w:rPr>
          <w:rFonts w:hint="eastAsia" w:ascii="Times New Roman" w:hAnsi="Times New Roman" w:eastAsia="Times New Roman" w:cs="Times New Roman"/>
          <w:sz w:val="24"/>
        </w:rPr>
        <w:t>Losap</w:t>
      </w:r>
      <w:r>
        <w:rPr>
          <w:rFonts w:hint="eastAsia" w:ascii="宋体" w:hAnsi="宋体" w:eastAsia="宋体" w:cs="宋体"/>
          <w:sz w:val="24"/>
        </w:rPr>
        <w:t>）是顶点软件自主研发的面向证券</w:t>
      </w:r>
      <w:r>
        <w:rPr>
          <w:rFonts w:hint="eastAsia" w:ascii="宋体" w:hAnsi="宋体" w:eastAsia="宋体" w:cs="宋体"/>
          <w:sz w:val="10"/>
        </w:rPr>
        <w:t>、</w:t>
      </w:r>
      <w:r>
        <w:rPr>
          <w:rFonts w:hint="eastAsia" w:ascii="宋体" w:hAnsi="宋体" w:eastAsia="宋体" w:cs="宋体"/>
          <w:sz w:val="24"/>
        </w:rPr>
        <w:t>期货等行业大规模集中交易系统应用的中间件系统</w:t>
      </w:r>
      <w:r>
        <w:rPr>
          <w:rFonts w:hint="eastAsia" w:ascii="宋体" w:hAnsi="宋体" w:eastAsia="宋体" w:cs="宋体"/>
          <w:sz w:val="10"/>
        </w:rPr>
        <w:t>，</w:t>
      </w:r>
      <w:r>
        <w:rPr>
          <w:rFonts w:hint="eastAsia" w:ascii="宋体" w:hAnsi="宋体" w:eastAsia="宋体" w:cs="宋体"/>
          <w:sz w:val="24"/>
        </w:rPr>
        <w:t>它为分布式计算架构提供基础平台</w:t>
      </w:r>
      <w:r>
        <w:rPr>
          <w:rFonts w:hint="eastAsia" w:ascii="宋体" w:hAnsi="宋体" w:eastAsia="宋体" w:cs="宋体"/>
          <w:sz w:val="10"/>
        </w:rPr>
        <w:t>、</w:t>
      </w:r>
      <w:r>
        <w:rPr>
          <w:rFonts w:hint="eastAsia" w:ascii="宋体" w:hAnsi="宋体" w:eastAsia="宋体" w:cs="宋体"/>
          <w:sz w:val="24"/>
        </w:rPr>
        <w:t>配套的开发接口</w:t>
      </w:r>
      <w:r>
        <w:rPr>
          <w:rFonts w:hint="eastAsia" w:ascii="宋体" w:hAnsi="宋体" w:eastAsia="宋体" w:cs="宋体"/>
          <w:sz w:val="10"/>
        </w:rPr>
        <w:t>、</w:t>
      </w:r>
      <w:r>
        <w:rPr>
          <w:rFonts w:hint="eastAsia" w:ascii="宋体" w:hAnsi="宋体" w:eastAsia="宋体" w:cs="宋体"/>
          <w:sz w:val="24"/>
        </w:rPr>
        <w:t>接入规范以及相应的运维管理与配置工具</w:t>
      </w:r>
      <w:r>
        <w:rPr>
          <w:rFonts w:hint="eastAsia" w:ascii="宋体" w:hAnsi="宋体" w:eastAsia="宋体" w:cs="宋体"/>
          <w:sz w:val="10"/>
        </w:rPr>
        <w:t>，</w:t>
      </w:r>
      <w:r>
        <w:rPr>
          <w:rFonts w:hint="eastAsia" w:ascii="宋体" w:hAnsi="宋体" w:eastAsia="宋体" w:cs="宋体"/>
          <w:sz w:val="24"/>
        </w:rPr>
        <w:t>帮助客户构建面向服务的</w:t>
      </w:r>
      <w:r>
        <w:rPr>
          <w:rFonts w:hint="eastAsia" w:ascii="宋体" w:hAnsi="宋体" w:eastAsia="宋体" w:cs="宋体"/>
          <w:sz w:val="10"/>
        </w:rPr>
        <w:t>、</w:t>
      </w:r>
      <w:r>
        <w:rPr>
          <w:rFonts w:hint="eastAsia" w:ascii="宋体" w:hAnsi="宋体" w:eastAsia="宋体" w:cs="宋体"/>
          <w:sz w:val="24"/>
        </w:rPr>
        <w:t>高性能</w:t>
      </w:r>
      <w:r>
        <w:rPr>
          <w:rFonts w:hint="eastAsia" w:ascii="宋体" w:hAnsi="宋体" w:eastAsia="宋体" w:cs="宋体"/>
          <w:sz w:val="10"/>
        </w:rPr>
        <w:t>、</w:t>
      </w:r>
      <w:r>
        <w:rPr>
          <w:rFonts w:hint="eastAsia" w:ascii="宋体" w:hAnsi="宋体" w:eastAsia="宋体" w:cs="宋体"/>
          <w:sz w:val="24"/>
        </w:rPr>
        <w:t>高可靠的实时联机交易系统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核心技术的竞争优势如下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）平台型软件企业的软件开发模式</w:t>
      </w:r>
      <w:r>
        <w:rPr>
          <w:rFonts w:hint="eastAsia" w:ascii="宋体" w:hAnsi="宋体" w:eastAsia="宋体" w:cs="宋体"/>
          <w:sz w:val="10"/>
        </w:rPr>
        <w:t>，</w:t>
      </w:r>
      <w:r>
        <w:rPr>
          <w:rFonts w:hint="eastAsia" w:ascii="宋体" w:hAnsi="宋体" w:eastAsia="宋体" w:cs="宋体"/>
          <w:sz w:val="24"/>
        </w:rPr>
        <w:t>降低了客户信息化的实施成本</w:t>
      </w:r>
      <w:r>
        <w:rPr>
          <w:rFonts w:hint="eastAsia" w:ascii="宋体" w:hAnsi="宋体" w:eastAsia="宋体" w:cs="宋体"/>
          <w:sz w:val="10"/>
        </w:rPr>
        <w:t>，</w:t>
      </w:r>
      <w:r>
        <w:rPr>
          <w:rFonts w:hint="eastAsia" w:ascii="宋体" w:hAnsi="宋体" w:eastAsia="宋体" w:cs="宋体"/>
          <w:sz w:val="24"/>
        </w:rPr>
        <w:t>缩短了客户的信息化实施时间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）软件开发平台使公司所有软件符合</w:t>
      </w:r>
      <w:r>
        <w:rPr>
          <w:rFonts w:hint="eastAsia" w:ascii="宋体" w:hAnsi="宋体" w:eastAsia="宋体" w:cs="宋体"/>
          <w:sz w:val="10"/>
        </w:rPr>
        <w:t>“</w:t>
      </w:r>
      <w:r>
        <w:rPr>
          <w:rFonts w:hint="eastAsia" w:ascii="宋体" w:hAnsi="宋体" w:eastAsia="宋体" w:cs="宋体"/>
          <w:sz w:val="24"/>
        </w:rPr>
        <w:t>统一用户</w:t>
      </w:r>
      <w:r>
        <w:rPr>
          <w:rFonts w:hint="eastAsia" w:ascii="宋体" w:hAnsi="宋体" w:eastAsia="宋体" w:cs="宋体"/>
          <w:sz w:val="10"/>
        </w:rPr>
        <w:t>、</w:t>
      </w:r>
      <w:r>
        <w:rPr>
          <w:rFonts w:hint="eastAsia" w:ascii="宋体" w:hAnsi="宋体" w:eastAsia="宋体" w:cs="宋体"/>
          <w:sz w:val="24"/>
        </w:rPr>
        <w:t>统一流程</w:t>
      </w:r>
      <w:r>
        <w:rPr>
          <w:rFonts w:hint="eastAsia" w:ascii="宋体" w:hAnsi="宋体" w:eastAsia="宋体" w:cs="宋体"/>
          <w:sz w:val="10"/>
        </w:rPr>
        <w:t>、</w:t>
      </w:r>
      <w:r>
        <w:rPr>
          <w:rFonts w:hint="eastAsia" w:ascii="宋体" w:hAnsi="宋体" w:eastAsia="宋体" w:cs="宋体"/>
          <w:sz w:val="24"/>
        </w:rPr>
        <w:t>统一接口</w:t>
      </w:r>
      <w:r>
        <w:rPr>
          <w:rFonts w:hint="eastAsia" w:ascii="宋体" w:hAnsi="宋体" w:eastAsia="宋体" w:cs="宋体"/>
          <w:sz w:val="10"/>
        </w:rPr>
        <w:t>、</w:t>
      </w:r>
      <w:r>
        <w:rPr>
          <w:rFonts w:hint="eastAsia" w:ascii="宋体" w:hAnsi="宋体" w:eastAsia="宋体" w:cs="宋体"/>
          <w:sz w:val="24"/>
        </w:rPr>
        <w:t>统一认证</w:t>
      </w:r>
      <w:r>
        <w:rPr>
          <w:rFonts w:hint="eastAsia" w:ascii="宋体" w:hAnsi="宋体" w:eastAsia="宋体" w:cs="宋体"/>
          <w:sz w:val="10"/>
        </w:rPr>
        <w:t>、</w:t>
      </w:r>
      <w:r>
        <w:rPr>
          <w:rFonts w:hint="eastAsia" w:ascii="宋体" w:hAnsi="宋体" w:eastAsia="宋体" w:cs="宋体"/>
          <w:sz w:val="24"/>
        </w:rPr>
        <w:t>统</w:t>
      </w:r>
      <w:r>
        <w:rPr>
          <w:rFonts w:hint="eastAsia" w:ascii="宋体" w:hAnsi="宋体" w:eastAsia="宋体" w:cs="宋体"/>
          <w:sz w:val="10"/>
        </w:rPr>
        <w:t>一</w:t>
      </w:r>
      <w:r>
        <w:rPr>
          <w:rFonts w:hint="eastAsia" w:ascii="宋体" w:hAnsi="宋体" w:eastAsia="宋体" w:cs="宋体"/>
          <w:sz w:val="24"/>
        </w:rPr>
        <w:t>日志</w:t>
      </w:r>
      <w:r>
        <w:rPr>
          <w:rFonts w:hint="eastAsia" w:ascii="宋体" w:hAnsi="宋体" w:eastAsia="宋体" w:cs="宋体"/>
          <w:sz w:val="10"/>
        </w:rPr>
        <w:t>”</w:t>
      </w:r>
      <w:r>
        <w:rPr>
          <w:rFonts w:hint="eastAsia" w:ascii="宋体" w:hAnsi="宋体" w:eastAsia="宋体" w:cs="宋体"/>
          <w:sz w:val="24"/>
        </w:rPr>
        <w:t>的高度协同要求</w:t>
      </w:r>
      <w:r>
        <w:rPr>
          <w:rFonts w:hint="eastAsia" w:ascii="宋体" w:hAnsi="宋体" w:eastAsia="宋体" w:cs="宋体"/>
          <w:sz w:val="10"/>
        </w:rPr>
        <w:t>，</w:t>
      </w:r>
      <w:r>
        <w:rPr>
          <w:rFonts w:hint="eastAsia" w:ascii="宋体" w:hAnsi="宋体" w:eastAsia="宋体" w:cs="宋体"/>
          <w:sz w:val="24"/>
        </w:rPr>
        <w:t>特别适合企业分阶段信息化实施到</w:t>
      </w:r>
      <w:r>
        <w:rPr>
          <w:rFonts w:hint="eastAsia" w:ascii="宋体" w:hAnsi="宋体" w:eastAsia="宋体" w:cs="宋体"/>
          <w:sz w:val="10"/>
        </w:rPr>
        <w:t>一</w:t>
      </w:r>
      <w:r>
        <w:rPr>
          <w:rFonts w:hint="eastAsia" w:ascii="宋体" w:hAnsi="宋体" w:eastAsia="宋体" w:cs="宋体"/>
          <w:sz w:val="24"/>
        </w:rPr>
        <w:t>定程度后的跨部门流程的协同整合</w:t>
      </w:r>
      <w:r>
        <w:rPr>
          <w:rFonts w:hint="eastAsia" w:ascii="宋体" w:hAnsi="宋体" w:eastAsia="宋体" w:cs="宋体"/>
          <w:sz w:val="10"/>
        </w:rPr>
        <w:t>，</w:t>
      </w:r>
      <w:r>
        <w:rPr>
          <w:rFonts w:hint="eastAsia" w:ascii="宋体" w:hAnsi="宋体" w:eastAsia="宋体" w:cs="宋体"/>
          <w:sz w:val="24"/>
        </w:rPr>
        <w:t>各个部门系统之间的信息快速实现无缝交换</w:t>
      </w:r>
      <w:r>
        <w:rPr>
          <w:rFonts w:hint="eastAsia" w:ascii="宋体" w:hAnsi="宋体" w:eastAsia="宋体" w:cs="宋体"/>
          <w:sz w:val="10"/>
        </w:rPr>
        <w:t>，</w:t>
      </w:r>
      <w:r>
        <w:rPr>
          <w:rFonts w:hint="eastAsia" w:ascii="宋体" w:hAnsi="宋体" w:eastAsia="宋体" w:cs="宋体"/>
          <w:sz w:val="24"/>
        </w:rPr>
        <w:t>有利于分阶段实施流程管理信息化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）公司借助软件开发平台</w:t>
      </w:r>
      <w:r>
        <w:rPr>
          <w:rFonts w:hint="eastAsia" w:ascii="宋体" w:hAnsi="宋体" w:eastAsia="宋体" w:cs="宋体"/>
          <w:sz w:val="10"/>
        </w:rPr>
        <w:t>，</w:t>
      </w:r>
      <w:r>
        <w:rPr>
          <w:rFonts w:hint="eastAsia" w:ascii="宋体" w:hAnsi="宋体" w:eastAsia="宋体" w:cs="宋体"/>
          <w:sz w:val="24"/>
        </w:rPr>
        <w:t>采用</w:t>
      </w:r>
      <w:r>
        <w:rPr>
          <w:rFonts w:hint="eastAsia" w:ascii="宋体" w:hAnsi="宋体" w:eastAsia="宋体" w:cs="宋体"/>
          <w:sz w:val="10"/>
        </w:rPr>
        <w:t>“</w:t>
      </w:r>
      <w:r>
        <w:rPr>
          <w:rFonts w:hint="eastAsia" w:ascii="宋体" w:hAnsi="宋体" w:eastAsia="宋体" w:cs="宋体"/>
          <w:sz w:val="24"/>
        </w:rPr>
        <w:t>基础平台</w:t>
      </w:r>
      <w:r>
        <w:rPr>
          <w:rFonts w:hint="eastAsia" w:ascii="Times New Roman" w:hAnsi="Times New Roman" w:eastAsia="Times New Roman" w:cs="Times New Roman"/>
          <w:sz w:val="24"/>
        </w:rPr>
        <w:t>+</w:t>
      </w:r>
      <w:r>
        <w:rPr>
          <w:rFonts w:hint="eastAsia" w:ascii="宋体" w:hAnsi="宋体" w:eastAsia="宋体" w:cs="宋体"/>
          <w:sz w:val="24"/>
        </w:rPr>
        <w:t>应用方案</w:t>
      </w:r>
      <w:r>
        <w:rPr>
          <w:rFonts w:hint="eastAsia" w:ascii="宋体" w:hAnsi="宋体" w:eastAsia="宋体" w:cs="宋体"/>
          <w:sz w:val="10"/>
        </w:rPr>
        <w:t>”</w:t>
      </w:r>
      <w:r>
        <w:rPr>
          <w:rFonts w:hint="eastAsia" w:ascii="宋体" w:hAnsi="宋体" w:eastAsia="宋体" w:cs="宋体"/>
          <w:sz w:val="24"/>
        </w:rPr>
        <w:t>模式</w:t>
      </w:r>
      <w:r>
        <w:rPr>
          <w:rFonts w:hint="eastAsia" w:ascii="宋体" w:hAnsi="宋体" w:eastAsia="宋体" w:cs="宋体"/>
          <w:sz w:val="10"/>
        </w:rPr>
        <w:t>，</w:t>
      </w:r>
      <w:r>
        <w:rPr>
          <w:rFonts w:hint="eastAsia" w:ascii="宋体" w:hAnsi="宋体" w:eastAsia="宋体" w:cs="宋体"/>
          <w:sz w:val="24"/>
        </w:rPr>
        <w:t>通过应用方案的市场优势</w:t>
      </w:r>
      <w:r>
        <w:rPr>
          <w:rFonts w:hint="eastAsia" w:ascii="宋体" w:hAnsi="宋体" w:eastAsia="宋体" w:cs="宋体"/>
          <w:sz w:val="10"/>
        </w:rPr>
        <w:t>，</w:t>
      </w:r>
      <w:r>
        <w:rPr>
          <w:rFonts w:hint="eastAsia" w:ascii="宋体" w:hAnsi="宋体" w:eastAsia="宋体" w:cs="宋体"/>
          <w:sz w:val="24"/>
        </w:rPr>
        <w:t>扩大了平台的专业影响力和在业界的认知度</w:t>
      </w:r>
      <w:r>
        <w:rPr>
          <w:rFonts w:hint="eastAsia" w:ascii="宋体" w:hAnsi="宋体" w:eastAsia="宋体" w:cs="宋体"/>
          <w:sz w:val="10"/>
        </w:rPr>
        <w:t>，</w:t>
      </w:r>
      <w:r>
        <w:rPr>
          <w:rFonts w:hint="eastAsia" w:ascii="宋体" w:hAnsi="宋体" w:eastAsia="宋体" w:cs="宋体"/>
          <w:sz w:val="24"/>
        </w:rPr>
        <w:t>提升了公司品牌</w:t>
      </w:r>
      <w:r>
        <w:rPr>
          <w:rFonts w:hint="eastAsia" w:ascii="宋体" w:hAnsi="宋体" w:eastAsia="宋体" w:cs="宋体"/>
          <w:sz w:val="10"/>
        </w:rPr>
        <w:t>，</w:t>
      </w:r>
      <w:r>
        <w:rPr>
          <w:rFonts w:hint="eastAsia" w:ascii="宋体" w:hAnsi="宋体" w:eastAsia="宋体" w:cs="宋体"/>
          <w:sz w:val="24"/>
        </w:rPr>
        <w:t>对公司扩大市场份额</w:t>
      </w:r>
      <w:r>
        <w:rPr>
          <w:rFonts w:hint="eastAsia" w:ascii="宋体" w:hAnsi="宋体" w:eastAsia="宋体" w:cs="宋体"/>
          <w:sz w:val="10"/>
        </w:rPr>
        <w:t>、</w:t>
      </w:r>
      <w:r>
        <w:rPr>
          <w:rFonts w:hint="eastAsia" w:ascii="宋体" w:hAnsi="宋体" w:eastAsia="宋体" w:cs="宋体"/>
          <w:sz w:val="24"/>
        </w:rPr>
        <w:t>持续增长形成良性循环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）公司</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平台的开发早于行业主要竞争对手</w:t>
      </w:r>
      <w:r>
        <w:rPr>
          <w:rFonts w:hint="eastAsia" w:ascii="宋体" w:hAnsi="宋体" w:eastAsia="宋体" w:cs="宋体"/>
          <w:sz w:val="10"/>
        </w:rPr>
        <w:t>，</w:t>
      </w:r>
      <w:r>
        <w:rPr>
          <w:rFonts w:hint="eastAsia" w:ascii="宋体" w:hAnsi="宋体" w:eastAsia="宋体" w:cs="宋体"/>
          <w:sz w:val="24"/>
        </w:rPr>
        <w:t>有利于公司在</w:t>
      </w:r>
      <w:r>
        <w:rPr>
          <w:rFonts w:hint="eastAsia" w:ascii="Times New Roman" w:hAnsi="Times New Roman" w:eastAsia="Times New Roman" w:cs="Times New Roman"/>
          <w:sz w:val="24"/>
        </w:rPr>
        <w:t xml:space="preserve"> CRM</w:t>
      </w:r>
      <w:r>
        <w:rPr>
          <w:rFonts w:hint="eastAsia" w:ascii="宋体" w:hAnsi="宋体" w:eastAsia="宋体" w:cs="宋体"/>
          <w:sz w:val="24"/>
        </w:rPr>
        <w:t xml:space="preserve"> 和集中运营领域积累市场和品牌优势</w:t>
      </w:r>
      <w:r>
        <w:rPr>
          <w:rFonts w:hint="eastAsia" w:ascii="宋体" w:hAnsi="宋体" w:eastAsia="宋体" w:cs="宋体"/>
          <w:sz w:val="10"/>
        </w:rPr>
        <w:t>，</w:t>
      </w:r>
      <w:r>
        <w:rPr>
          <w:rFonts w:hint="eastAsia" w:ascii="宋体" w:hAnsi="宋体" w:eastAsia="宋体" w:cs="宋体"/>
          <w:sz w:val="24"/>
        </w:rPr>
        <w:t>而集中运营信息化解决方案客户数量的积累</w:t>
      </w:r>
      <w:r>
        <w:rPr>
          <w:rFonts w:hint="eastAsia" w:ascii="宋体" w:hAnsi="宋体" w:eastAsia="宋体" w:cs="宋体"/>
          <w:sz w:val="10"/>
        </w:rPr>
        <w:t>，</w:t>
      </w:r>
      <w:r>
        <w:rPr>
          <w:rFonts w:hint="eastAsia" w:ascii="宋体" w:hAnsi="宋体" w:eastAsia="宋体" w:cs="宋体"/>
          <w:sz w:val="24"/>
        </w:rPr>
        <w:t>有利于公司在交易系统等其他领域不断拓展客户</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1-1-173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0"/>
        </w:rPr>
        <w:t>（</w:t>
      </w:r>
      <w:r>
        <w:rPr>
          <w:rFonts w:hint="eastAsia" w:ascii="Times New Roman" w:hAnsi="Times New Roman" w:eastAsia="Times New Roman" w:cs="Times New Roman"/>
          <w:sz w:val="24"/>
        </w:rPr>
        <w:t>5</w:t>
      </w:r>
      <w:r>
        <w:rPr>
          <w:rFonts w:hint="eastAsia" w:ascii="宋体" w:hAnsi="宋体" w:eastAsia="宋体" w:cs="宋体"/>
          <w:sz w:val="24"/>
        </w:rPr>
        <w:t>）针对</w:t>
      </w:r>
      <w:r>
        <w:rPr>
          <w:rFonts w:hint="eastAsia" w:ascii="Times New Roman" w:hAnsi="Times New Roman" w:eastAsia="Times New Roman" w:cs="Times New Roman"/>
          <w:sz w:val="24"/>
        </w:rPr>
        <w:t xml:space="preserve"> CRM</w:t>
      </w:r>
      <w:r>
        <w:rPr>
          <w:rFonts w:hint="eastAsia" w:ascii="宋体" w:hAnsi="宋体" w:eastAsia="宋体" w:cs="宋体"/>
          <w:sz w:val="10"/>
        </w:rPr>
        <w:t>、</w:t>
      </w:r>
      <w:r>
        <w:rPr>
          <w:rFonts w:hint="eastAsia" w:ascii="宋体" w:hAnsi="宋体" w:eastAsia="宋体" w:cs="宋体"/>
          <w:sz w:val="24"/>
        </w:rPr>
        <w:t>集中运营和交易系统业务的迭代和升级</w:t>
      </w:r>
      <w:r>
        <w:rPr>
          <w:rFonts w:hint="eastAsia" w:ascii="宋体" w:hAnsi="宋体" w:eastAsia="宋体" w:cs="宋体"/>
          <w:sz w:val="10"/>
        </w:rPr>
        <w:t>，</w:t>
      </w:r>
      <w:r>
        <w:rPr>
          <w:rFonts w:hint="eastAsia" w:ascii="宋体" w:hAnsi="宋体" w:eastAsia="宋体" w:cs="宋体"/>
          <w:sz w:val="24"/>
        </w:rPr>
        <w:t>根据行业发展及客户需</w:t>
      </w:r>
    </w:p>
    <w:p>
      <w:pPr>
        <w:spacing w:line="200" w:lineRule="exact"/>
        <w:rPr>
          <w:rFonts w:hint="eastAsia" w:ascii="宋体" w:hAnsi="宋体" w:eastAsia="宋体" w:cs="宋体"/>
          <w:sz w:val="20"/>
        </w:rPr>
      </w:pPr>
    </w:p>
    <w:p>
      <w:pPr>
        <w:autoSpaceDE w:val="false"/>
        <w:autoSpaceDN w:val="false"/>
        <w:spacing w:line="360" w:lineRule="exact"/>
        <w:ind w:left="1440" w:right="1200"/>
        <w:jc w:val="both"/>
      </w:pPr>
      <w:r>
        <w:rPr>
          <w:rFonts w:hint="eastAsia" w:ascii="宋体" w:hAnsi="宋体" w:eastAsia="宋体" w:cs="宋体"/>
          <w:sz w:val="24"/>
        </w:rPr>
        <w:t>求的变化</w:t>
      </w:r>
      <w:r>
        <w:rPr>
          <w:rFonts w:hint="eastAsia" w:ascii="宋体" w:hAnsi="宋体" w:eastAsia="宋体" w:cs="宋体"/>
          <w:sz w:val="10"/>
        </w:rPr>
        <w:t>，</w:t>
      </w:r>
      <w:r>
        <w:rPr>
          <w:rFonts w:hint="eastAsia" w:ascii="宋体" w:hAnsi="宋体" w:eastAsia="宋体" w:cs="宋体"/>
          <w:sz w:val="24"/>
        </w:rPr>
        <w:t>不断升级</w:t>
      </w:r>
      <w:r>
        <w:rPr>
          <w:rFonts w:hint="eastAsia" w:ascii="宋体" w:hAnsi="宋体" w:eastAsia="宋体" w:cs="宋体"/>
          <w:sz w:val="10"/>
        </w:rPr>
        <w:t>、</w:t>
      </w:r>
      <w:r>
        <w:rPr>
          <w:rFonts w:hint="eastAsia" w:ascii="宋体" w:hAnsi="宋体" w:eastAsia="宋体" w:cs="宋体"/>
          <w:sz w:val="24"/>
        </w:rPr>
        <w:t>改进软件开发平台</w:t>
      </w:r>
      <w:r>
        <w:rPr>
          <w:rFonts w:hint="eastAsia" w:ascii="宋体" w:hAnsi="宋体" w:eastAsia="宋体" w:cs="宋体"/>
          <w:sz w:val="10"/>
        </w:rPr>
        <w:t>，</w:t>
      </w:r>
      <w:r>
        <w:rPr>
          <w:rFonts w:hint="eastAsia" w:ascii="宋体" w:hAnsi="宋体" w:eastAsia="宋体" w:cs="宋体"/>
          <w:sz w:val="24"/>
        </w:rPr>
        <w:t>即可持续为下游客户提供满足其要求的软件产品和服务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恒生电子</w:t>
      </w:r>
      <w:r>
        <w:rPr>
          <w:rFonts w:hint="eastAsia" w:ascii="宋体" w:hAnsi="宋体" w:eastAsia="宋体" w:cs="宋体"/>
          <w:sz w:val="10"/>
        </w:rPr>
        <w:t>、</w:t>
      </w:r>
      <w:r>
        <w:rPr>
          <w:rFonts w:hint="eastAsia" w:ascii="宋体" w:hAnsi="宋体" w:eastAsia="宋体" w:cs="宋体"/>
          <w:sz w:val="24"/>
        </w:rPr>
        <w:t>金证股份以及发行人均为业内较早从事证券行业信息化的软件企业</w:t>
      </w:r>
      <w:r>
        <w:rPr>
          <w:rFonts w:hint="eastAsia" w:ascii="宋体" w:hAnsi="宋体" w:eastAsia="宋体" w:cs="宋体"/>
          <w:sz w:val="10"/>
        </w:rPr>
        <w:t>。</w:t>
      </w:r>
      <w:r>
        <w:rPr>
          <w:rFonts w:hint="eastAsia" w:ascii="宋体" w:hAnsi="宋体" w:eastAsia="宋体" w:cs="宋体"/>
          <w:sz w:val="24"/>
        </w:rPr>
        <w:t>恒生电子</w:t>
      </w:r>
      <w:r>
        <w:rPr>
          <w:rFonts w:hint="eastAsia" w:ascii="宋体" w:hAnsi="宋体" w:eastAsia="宋体" w:cs="宋体"/>
          <w:sz w:val="10"/>
        </w:rPr>
        <w:t>、</w:t>
      </w:r>
      <w:r>
        <w:rPr>
          <w:rFonts w:hint="eastAsia" w:ascii="宋体" w:hAnsi="宋体" w:eastAsia="宋体" w:cs="宋体"/>
          <w:sz w:val="24"/>
        </w:rPr>
        <w:t>金证股份在交易系统信息化解决方案领域介入较早</w:t>
      </w:r>
      <w:r>
        <w:rPr>
          <w:rFonts w:hint="eastAsia" w:ascii="宋体" w:hAnsi="宋体" w:eastAsia="宋体" w:cs="宋体"/>
          <w:sz w:val="10"/>
        </w:rPr>
        <w:t>，</w:t>
      </w:r>
      <w:r>
        <w:rPr>
          <w:rFonts w:hint="eastAsia" w:ascii="宋体" w:hAnsi="宋体" w:eastAsia="宋体" w:cs="宋体"/>
          <w:sz w:val="24"/>
        </w:rPr>
        <w:t>在该领域具备一定优势</w:t>
      </w:r>
      <w:r>
        <w:rPr>
          <w:rFonts w:hint="eastAsia" w:ascii="宋体" w:hAnsi="宋体" w:eastAsia="宋体" w:cs="宋体"/>
          <w:sz w:val="12"/>
        </w:rPr>
        <w:t>；</w:t>
      </w:r>
      <w:r>
        <w:rPr>
          <w:rFonts w:hint="eastAsia" w:ascii="宋体" w:hAnsi="宋体" w:eastAsia="宋体" w:cs="宋体"/>
          <w:sz w:val="24"/>
        </w:rPr>
        <w:t>由于发行人较早开发出</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软件开发平台</w:t>
      </w:r>
      <w:r>
        <w:rPr>
          <w:rFonts w:hint="eastAsia" w:ascii="宋体" w:hAnsi="宋体" w:eastAsia="宋体" w:cs="宋体"/>
          <w:sz w:val="10"/>
        </w:rPr>
        <w:t>，</w:t>
      </w:r>
      <w:r>
        <w:rPr>
          <w:rFonts w:hint="eastAsia" w:ascii="宋体" w:hAnsi="宋体" w:eastAsia="宋体" w:cs="宋体"/>
          <w:sz w:val="24"/>
        </w:rPr>
        <w:t>个性化定制能力较强</w:t>
      </w:r>
      <w:r>
        <w:rPr>
          <w:rFonts w:hint="eastAsia" w:ascii="宋体" w:hAnsi="宋体" w:eastAsia="宋体" w:cs="宋体"/>
          <w:sz w:val="10"/>
        </w:rPr>
        <w:t>，</w:t>
      </w:r>
      <w:r>
        <w:rPr>
          <w:rFonts w:hint="eastAsia" w:ascii="宋体" w:hAnsi="宋体" w:eastAsia="宋体" w:cs="宋体"/>
          <w:sz w:val="24"/>
        </w:rPr>
        <w:t>拥有一整套客户需求定制的研发</w:t>
      </w:r>
      <w:r>
        <w:rPr>
          <w:rFonts w:hint="eastAsia" w:ascii="宋体" w:hAnsi="宋体" w:eastAsia="宋体" w:cs="宋体"/>
          <w:sz w:val="10"/>
        </w:rPr>
        <w:t>、</w:t>
      </w:r>
      <w:r>
        <w:rPr>
          <w:rFonts w:hint="eastAsia" w:ascii="宋体" w:hAnsi="宋体" w:eastAsia="宋体" w:cs="宋体"/>
          <w:sz w:val="24"/>
        </w:rPr>
        <w:t>交付和服务过程方法</w:t>
      </w:r>
      <w:r>
        <w:rPr>
          <w:rFonts w:hint="eastAsia" w:ascii="宋体" w:hAnsi="宋体" w:eastAsia="宋体" w:cs="宋体"/>
          <w:sz w:val="10"/>
        </w:rPr>
        <w:t>，</w:t>
      </w:r>
      <w:r>
        <w:rPr>
          <w:rFonts w:hint="eastAsia" w:ascii="宋体" w:hAnsi="宋体" w:eastAsia="宋体" w:cs="宋体"/>
          <w:sz w:val="24"/>
        </w:rPr>
        <w:t>且在业内拥有较多成功案例和市场美誉度</w:t>
      </w:r>
      <w:r>
        <w:rPr>
          <w:rFonts w:hint="eastAsia" w:ascii="宋体" w:hAnsi="宋体" w:eastAsia="宋体" w:cs="宋体"/>
          <w:sz w:val="10"/>
        </w:rPr>
        <w:t>，</w:t>
      </w:r>
      <w:r>
        <w:rPr>
          <w:rFonts w:hint="eastAsia" w:ascii="宋体" w:hAnsi="宋体" w:eastAsia="宋体" w:cs="宋体"/>
          <w:sz w:val="24"/>
        </w:rPr>
        <w:t>因此发行人在集中运营和</w:t>
      </w:r>
      <w:r>
        <w:rPr>
          <w:rFonts w:hint="eastAsia" w:ascii="Times New Roman" w:hAnsi="Times New Roman" w:eastAsia="Times New Roman" w:cs="Times New Roman"/>
          <w:sz w:val="24"/>
        </w:rPr>
        <w:t xml:space="preserve"> CRM</w:t>
      </w:r>
      <w:r>
        <w:rPr>
          <w:rFonts w:hint="eastAsia" w:ascii="宋体" w:hAnsi="宋体" w:eastAsia="宋体" w:cs="宋体"/>
          <w:sz w:val="24"/>
        </w:rPr>
        <w:t xml:space="preserve"> 领域处于领先地位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（二）报告期公司研发投入占营业收入的比例</w:t>
      </w:r>
    </w:p>
    <w:p>
      <w:pPr>
        <w:spacing w:line="200" w:lineRule="exact"/>
        <w:rPr>
          <w:rFonts w:hint="eastAsia" w:ascii="宋体" w:hAnsi="宋体" w:eastAsia="宋体" w:cs="宋体"/>
          <w:sz w:val="20"/>
        </w:rPr>
      </w:pPr>
    </w:p>
    <w:p>
      <w:pPr>
        <w:autoSpaceDE w:val="false"/>
        <w:autoSpaceDN w:val="false"/>
        <w:spacing w:line="340" w:lineRule="exact"/>
        <w:ind w:left="9640"/>
        <w:jc w:val="both"/>
      </w:pPr>
      <w:r>
        <w:rPr>
          <w:rFonts w:hint="eastAsia" w:ascii="宋体" w:hAnsi="宋体" w:eastAsia="宋体" w:cs="宋体"/>
          <w:sz w:val="21"/>
        </w:rPr>
        <w:t>单位</w:t>
      </w:r>
      <w:r>
        <w:rPr>
          <w:rFonts w:hint="eastAsia" w:ascii="宋体" w:hAnsi="宋体" w:eastAsia="宋体" w:cs="宋体"/>
          <w:sz w:val="12"/>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520"/>
        <w:gridCol w:w="2260"/>
        <w:gridCol w:w="2240"/>
        <w:gridCol w:w="2240"/>
      </w:tblGrid>
      <w:tr>
        <w:trPr>
          <w:trHeight w:val="480" w:hRule="exact"/>
        </w:trPr>
        <w:tc>
          <w:tcPr>
            <w:tcW w:w="2520" w:type="dxa"/>
            <w:tcMar>
              <w:top w:w="0" w:type="dxa"/>
              <w:left w:w="0" w:type="dxa"/>
              <w:bottom w:w="0" w:type="dxa"/>
              <w:right w:w="0" w:type="dxa"/>
            </w:tcMar>
          </w:tcPr>
          <w:p>
            <w:pPr>
              <w:spacing w:before="120"/>
              <w:ind w:left="1040"/>
            </w:pPr>
            <w:r>
              <w:rPr>
                <w:rFonts w:hint="eastAsia" w:ascii="宋体" w:hAnsi="宋体" w:eastAsia="宋体" w:cs="宋体"/>
                <w:b/>
                <w:sz w:val="21"/>
              </w:rPr>
              <w:t>项目</w:t>
            </w:r>
          </w:p>
        </w:tc>
        <w:tc>
          <w:tcPr>
            <w:tcW w:w="2260" w:type="dxa"/>
            <w:tcMar>
              <w:top w:w="0" w:type="dxa"/>
              <w:left w:w="0" w:type="dxa"/>
              <w:bottom w:w="0" w:type="dxa"/>
              <w:right w:w="0" w:type="dxa"/>
            </w:tcMar>
          </w:tcPr>
          <w:p>
            <w:pPr>
              <w:spacing w:before="100"/>
              <w:ind w:left="7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tc>
        <w:tc>
          <w:tcPr>
            <w:tcW w:w="2240" w:type="dxa"/>
            <w:tcMar>
              <w:top w:w="0" w:type="dxa"/>
              <w:left w:w="0" w:type="dxa"/>
              <w:bottom w:w="0" w:type="dxa"/>
              <w:right w:w="0" w:type="dxa"/>
            </w:tcMar>
          </w:tcPr>
          <w:p>
            <w:pPr>
              <w:spacing w:before="100"/>
              <w:ind w:left="7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tc>
        <w:tc>
          <w:tcPr>
            <w:tcW w:w="2240" w:type="dxa"/>
            <w:tcMar>
              <w:top w:w="0" w:type="dxa"/>
              <w:left w:w="0" w:type="dxa"/>
              <w:bottom w:w="0" w:type="dxa"/>
              <w:right w:w="0" w:type="dxa"/>
            </w:tcMar>
          </w:tcPr>
          <w:p>
            <w:pPr>
              <w:spacing w:before="100"/>
              <w:ind w:left="7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tc>
      </w:tr>
      <w:tr>
        <w:trPr>
          <w:trHeight w:val="460" w:hRule="exact"/>
        </w:trPr>
        <w:tc>
          <w:tcPr>
            <w:tcW w:w="2520" w:type="dxa"/>
            <w:tcMar>
              <w:top w:w="0" w:type="dxa"/>
              <w:left w:w="0" w:type="dxa"/>
              <w:bottom w:w="0" w:type="dxa"/>
              <w:right w:w="0" w:type="dxa"/>
            </w:tcMar>
          </w:tcPr>
          <w:p>
            <w:pPr>
              <w:spacing w:before="100"/>
              <w:ind w:left="820"/>
            </w:pPr>
            <w:r>
              <w:rPr>
                <w:rFonts w:hint="eastAsia" w:ascii="宋体" w:hAnsi="宋体" w:eastAsia="宋体" w:cs="宋体"/>
                <w:sz w:val="21"/>
              </w:rPr>
              <w:t>营业收入</w:t>
            </w:r>
          </w:p>
        </w:tc>
        <w:tc>
          <w:tcPr>
            <w:tcW w:w="2260" w:type="dxa"/>
            <w:tcMar>
              <w:top w:w="0" w:type="dxa"/>
              <w:left w:w="0" w:type="dxa"/>
              <w:bottom w:w="0" w:type="dxa"/>
              <w:right w:w="0" w:type="dxa"/>
            </w:tcMar>
          </w:tcPr>
          <w:p>
            <w:pPr>
              <w:spacing w:before="160"/>
              <w:ind w:left="820"/>
            </w:pPr>
            <w:r>
              <w:rPr>
                <w:rFonts w:hint="eastAsia" w:ascii="Times New Roman" w:hAnsi="Times New Roman" w:eastAsia="Times New Roman" w:cs="Times New Roman"/>
                <w:sz w:val="21"/>
              </w:rPr>
              <w:t>204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2240" w:type="dxa"/>
            <w:tcMar>
              <w:top w:w="0" w:type="dxa"/>
              <w:left w:w="0" w:type="dxa"/>
              <w:bottom w:w="0" w:type="dxa"/>
              <w:right w:w="0" w:type="dxa"/>
            </w:tcMar>
          </w:tcPr>
          <w:p>
            <w:pPr>
              <w:spacing w:before="160"/>
              <w:ind w:left="800"/>
            </w:pPr>
            <w:r>
              <w:rPr>
                <w:rFonts w:hint="eastAsia" w:ascii="Times New Roman" w:hAnsi="Times New Roman" w:eastAsia="Times New Roman" w:cs="Times New Roman"/>
                <w:sz w:val="21"/>
              </w:rPr>
              <w:t>195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p>
        </w:tc>
        <w:tc>
          <w:tcPr>
            <w:tcW w:w="2240" w:type="dxa"/>
            <w:tcMar>
              <w:top w:w="0" w:type="dxa"/>
              <w:left w:w="0" w:type="dxa"/>
              <w:bottom w:w="0" w:type="dxa"/>
              <w:right w:w="0" w:type="dxa"/>
            </w:tcMar>
          </w:tcPr>
          <w:p>
            <w:pPr>
              <w:spacing w:before="160"/>
              <w:ind w:left="800"/>
            </w:pPr>
            <w:r>
              <w:rPr>
                <w:rFonts w:hint="eastAsia" w:ascii="Times New Roman" w:hAnsi="Times New Roman" w:eastAsia="Times New Roman" w:cs="Times New Roman"/>
                <w:sz w:val="21"/>
              </w:rPr>
              <w:t>162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r>
      <w:tr>
        <w:trPr>
          <w:trHeight w:val="480" w:hRule="exact"/>
        </w:trPr>
        <w:tc>
          <w:tcPr>
            <w:tcW w:w="2520" w:type="dxa"/>
            <w:tcMar>
              <w:top w:w="0" w:type="dxa"/>
              <w:left w:w="0" w:type="dxa"/>
              <w:bottom w:w="0" w:type="dxa"/>
              <w:right w:w="0" w:type="dxa"/>
            </w:tcMar>
          </w:tcPr>
          <w:p>
            <w:pPr>
              <w:spacing w:before="120"/>
              <w:ind w:left="820"/>
            </w:pPr>
            <w:r>
              <w:rPr>
                <w:rFonts w:hint="eastAsia" w:ascii="宋体" w:hAnsi="宋体" w:eastAsia="宋体" w:cs="宋体"/>
                <w:sz w:val="21"/>
              </w:rPr>
              <w:t>研发费用</w:t>
            </w:r>
          </w:p>
        </w:tc>
        <w:tc>
          <w:tcPr>
            <w:tcW w:w="2260" w:type="dxa"/>
            <w:tcMar>
              <w:top w:w="0" w:type="dxa"/>
              <w:left w:w="0" w:type="dxa"/>
              <w:bottom w:w="0" w:type="dxa"/>
              <w:right w:w="0" w:type="dxa"/>
            </w:tcMar>
          </w:tcPr>
          <w:p>
            <w:pPr>
              <w:spacing w:before="180"/>
              <w:ind w:left="92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2240" w:type="dxa"/>
            <w:tcMar>
              <w:top w:w="0" w:type="dxa"/>
              <w:left w:w="0" w:type="dxa"/>
              <w:bottom w:w="0" w:type="dxa"/>
              <w:right w:w="0" w:type="dxa"/>
            </w:tcMar>
          </w:tcPr>
          <w:p>
            <w:pPr>
              <w:spacing w:before="180"/>
              <w:ind w:left="92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p>
        </w:tc>
        <w:tc>
          <w:tcPr>
            <w:tcW w:w="2240" w:type="dxa"/>
            <w:tcMar>
              <w:top w:w="0" w:type="dxa"/>
              <w:left w:w="0" w:type="dxa"/>
              <w:bottom w:w="0" w:type="dxa"/>
              <w:right w:w="0" w:type="dxa"/>
            </w:tcMar>
          </w:tcPr>
          <w:p>
            <w:pPr>
              <w:spacing w:before="180"/>
              <w:ind w:left="9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r>
        <w:trPr>
          <w:trHeight w:val="480" w:hRule="exact"/>
        </w:trPr>
        <w:tc>
          <w:tcPr>
            <w:tcW w:w="2520" w:type="dxa"/>
            <w:tcMar>
              <w:top w:w="0" w:type="dxa"/>
              <w:left w:w="0" w:type="dxa"/>
              <w:bottom w:w="0" w:type="dxa"/>
              <w:right w:w="0" w:type="dxa"/>
            </w:tcMar>
          </w:tcPr>
          <w:p>
            <w:pPr>
              <w:spacing w:before="120"/>
              <w:ind w:left="400"/>
            </w:pPr>
            <w:r>
              <w:rPr>
                <w:rFonts w:hint="eastAsia" w:ascii="宋体" w:hAnsi="宋体" w:eastAsia="宋体" w:cs="宋体"/>
                <w:sz w:val="21"/>
              </w:rPr>
              <w:t>占营业收入的比例</w:t>
            </w:r>
          </w:p>
        </w:tc>
        <w:tc>
          <w:tcPr>
            <w:tcW w:w="2260" w:type="dxa"/>
            <w:tcMar>
              <w:top w:w="0" w:type="dxa"/>
              <w:left w:w="0" w:type="dxa"/>
              <w:bottom w:w="0" w:type="dxa"/>
              <w:right w:w="0" w:type="dxa"/>
            </w:tcMar>
          </w:tcPr>
          <w:p>
            <w:pPr>
              <w:spacing w:before="180"/>
              <w:ind w:left="148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p>
        </w:tc>
        <w:tc>
          <w:tcPr>
            <w:tcW w:w="2240" w:type="dxa"/>
            <w:tcMar>
              <w:top w:w="0" w:type="dxa"/>
              <w:left w:w="0" w:type="dxa"/>
              <w:bottom w:w="0" w:type="dxa"/>
              <w:right w:w="0" w:type="dxa"/>
            </w:tcMar>
          </w:tcPr>
          <w:p>
            <w:pPr>
              <w:spacing w:before="180"/>
              <w:ind w:left="146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p>
        </w:tc>
        <w:tc>
          <w:tcPr>
            <w:tcW w:w="2240" w:type="dxa"/>
            <w:tcMar>
              <w:top w:w="0" w:type="dxa"/>
              <w:left w:w="0" w:type="dxa"/>
              <w:bottom w:w="0" w:type="dxa"/>
              <w:right w:w="0" w:type="dxa"/>
            </w:tcMar>
          </w:tcPr>
          <w:p>
            <w:pPr>
              <w:spacing w:before="180"/>
              <w:ind w:left="148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公司将与内部研究开发项目相关的人工</w:t>
      </w:r>
      <w:r>
        <w:rPr>
          <w:rFonts w:hint="eastAsia" w:ascii="宋体" w:hAnsi="宋体" w:eastAsia="宋体" w:cs="宋体"/>
          <w:sz w:val="10"/>
        </w:rPr>
        <w:t>、</w:t>
      </w:r>
      <w:r>
        <w:rPr>
          <w:rFonts w:hint="eastAsia" w:ascii="宋体" w:hAnsi="宋体" w:eastAsia="宋体" w:cs="宋体"/>
          <w:sz w:val="24"/>
        </w:rPr>
        <w:t>差旅费等计入研发费用</w:t>
      </w:r>
      <w:r>
        <w:rPr>
          <w:rFonts w:hint="eastAsia" w:ascii="宋体" w:hAnsi="宋体" w:eastAsia="宋体" w:cs="宋体"/>
          <w:sz w:val="10"/>
        </w:rPr>
        <w:t>，</w:t>
      </w:r>
      <w:r>
        <w:rPr>
          <w:rFonts w:hint="eastAsia" w:ascii="宋体" w:hAnsi="宋体" w:eastAsia="宋体" w:cs="宋体"/>
          <w:sz w:val="24"/>
        </w:rPr>
        <w:t>将与定制软件开发业务</w:t>
      </w:r>
      <w:r>
        <w:rPr>
          <w:rFonts w:hint="eastAsia" w:ascii="宋体" w:hAnsi="宋体" w:eastAsia="宋体" w:cs="宋体"/>
          <w:sz w:val="10"/>
        </w:rPr>
        <w:t>、</w:t>
      </w:r>
      <w:r>
        <w:rPr>
          <w:rFonts w:hint="eastAsia" w:ascii="宋体" w:hAnsi="宋体" w:eastAsia="宋体" w:cs="宋体"/>
          <w:sz w:val="24"/>
        </w:rPr>
        <w:t>软件运维服务业务</w:t>
      </w:r>
      <w:r>
        <w:rPr>
          <w:rFonts w:hint="eastAsia" w:ascii="宋体" w:hAnsi="宋体" w:eastAsia="宋体" w:cs="宋体"/>
          <w:sz w:val="10"/>
        </w:rPr>
        <w:t>、</w:t>
      </w:r>
      <w:r>
        <w:rPr>
          <w:rFonts w:hint="eastAsia" w:ascii="宋体" w:hAnsi="宋体" w:eastAsia="宋体" w:cs="宋体"/>
          <w:sz w:val="24"/>
        </w:rPr>
        <w:t>系统集成业务项目相关的人工</w:t>
      </w:r>
      <w:r>
        <w:rPr>
          <w:rFonts w:hint="eastAsia" w:ascii="宋体" w:hAnsi="宋体" w:eastAsia="宋体" w:cs="宋体"/>
          <w:sz w:val="10"/>
        </w:rPr>
        <w:t>、</w:t>
      </w:r>
      <w:r>
        <w:rPr>
          <w:rFonts w:hint="eastAsia" w:ascii="宋体" w:hAnsi="宋体" w:eastAsia="宋体" w:cs="宋体"/>
          <w:sz w:val="24"/>
        </w:rPr>
        <w:t>差旅费等计入生产成本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40"/>
        <w:jc w:val="both"/>
      </w:pP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公司不存在研发费用与生产成本混同的情况</w:t>
      </w:r>
      <w:r>
        <w:rPr>
          <w:rFonts w:hint="eastAsia" w:ascii="宋体" w:hAnsi="宋体" w:eastAsia="宋体" w:cs="宋体"/>
          <w:sz w:val="10"/>
        </w:rPr>
        <w:t>。</w:t>
      </w:r>
      <w:r>
        <w:rPr>
          <w:rFonts w:hint="eastAsia" w:ascii="宋体" w:hAnsi="宋体" w:eastAsia="宋体" w:cs="宋体"/>
          <w:sz w:val="24"/>
        </w:rPr>
        <w:t>基于谨慎性考虑</w:t>
      </w:r>
      <w:r>
        <w:rPr>
          <w:rFonts w:hint="eastAsia" w:ascii="宋体" w:hAnsi="宋体" w:eastAsia="宋体" w:cs="宋体"/>
          <w:sz w:val="10"/>
        </w:rPr>
        <w:t>，</w:t>
      </w:r>
      <w:r>
        <w:rPr>
          <w:rFonts w:hint="eastAsia" w:ascii="宋体" w:hAnsi="宋体" w:eastAsia="宋体" w:cs="宋体"/>
          <w:sz w:val="24"/>
        </w:rPr>
        <w:t>公司将各期研发项目的研发费用全部费用化</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公司不存在研发费用资本化的情况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jc w:val="both"/>
      </w:pPr>
      <w:r>
        <w:rPr>
          <w:rFonts w:hint="eastAsia" w:ascii="宋体" w:hAnsi="宋体" w:eastAsia="宋体" w:cs="宋体"/>
          <w:b/>
          <w:sz w:val="24"/>
        </w:rPr>
        <w:t>（三）公司核心技术人员及研发人员情况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年</w:t>
      </w:r>
      <w:r>
        <w:rPr>
          <w:rFonts w:hint="eastAsia" w:ascii="Times New Roman" w:hAnsi="Times New Roman" w:eastAsia="Times New Roman" w:cs="Times New Roman"/>
          <w:sz w:val="24"/>
        </w:rPr>
        <w:t xml:space="preserve"> 12</w:t>
      </w:r>
      <w:r>
        <w:rPr>
          <w:rFonts w:hint="eastAsia" w:ascii="宋体" w:hAnsi="宋体" w:eastAsia="宋体" w:cs="宋体"/>
          <w:sz w:val="24"/>
        </w:rPr>
        <w:t>月</w:t>
      </w:r>
      <w:r>
        <w:rPr>
          <w:rFonts w:hint="eastAsia" w:ascii="Times New Roman" w:hAnsi="Times New Roman" w:eastAsia="Times New Roman" w:cs="Times New Roman"/>
          <w:sz w:val="24"/>
        </w:rPr>
        <w:t xml:space="preserve"> 31</w:t>
      </w:r>
      <w:r>
        <w:rPr>
          <w:rFonts w:hint="eastAsia" w:ascii="宋体" w:hAnsi="宋体" w:eastAsia="宋体" w:cs="宋体"/>
          <w:sz w:val="24"/>
        </w:rPr>
        <w:t>日</w:t>
      </w:r>
      <w:r>
        <w:rPr>
          <w:rFonts w:hint="eastAsia" w:ascii="宋体" w:hAnsi="宋体" w:eastAsia="宋体" w:cs="宋体"/>
          <w:sz w:val="10"/>
        </w:rPr>
        <w:t>，</w:t>
      </w:r>
      <w:r>
        <w:rPr>
          <w:rFonts w:hint="eastAsia" w:ascii="宋体" w:hAnsi="宋体" w:eastAsia="宋体" w:cs="宋体"/>
          <w:sz w:val="24"/>
        </w:rPr>
        <w:t>公司技术及研发人员共计</w:t>
      </w:r>
      <w:r>
        <w:rPr>
          <w:rFonts w:hint="eastAsia" w:ascii="Times New Roman" w:hAnsi="Times New Roman" w:eastAsia="Times New Roman" w:cs="Times New Roman"/>
          <w:sz w:val="24"/>
        </w:rPr>
        <w:t xml:space="preserve"> 554</w:t>
      </w:r>
      <w:r>
        <w:rPr>
          <w:rFonts w:hint="eastAsia" w:ascii="宋体" w:hAnsi="宋体" w:eastAsia="宋体" w:cs="宋体"/>
          <w:sz w:val="24"/>
        </w:rPr>
        <w:t>人</w:t>
      </w:r>
      <w:r>
        <w:rPr>
          <w:rFonts w:hint="eastAsia" w:ascii="宋体" w:hAnsi="宋体" w:eastAsia="宋体" w:cs="宋体"/>
          <w:sz w:val="10"/>
        </w:rPr>
        <w:t>，</w:t>
      </w:r>
      <w:r>
        <w:rPr>
          <w:rFonts w:hint="eastAsia" w:ascii="宋体" w:hAnsi="宋体" w:eastAsia="宋体" w:cs="宋体"/>
          <w:sz w:val="24"/>
        </w:rPr>
        <w:t>占员工总人数的</w:t>
      </w:r>
      <w:r>
        <w:rPr>
          <w:rFonts w:hint="eastAsia" w:ascii="Times New Roman" w:hAnsi="Times New Roman" w:eastAsia="Times New Roman" w:cs="Times New Roman"/>
          <w:sz w:val="24"/>
        </w:rPr>
        <w:t xml:space="preserve"> 79.26%</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40"/>
        <w:jc w:val="both"/>
      </w:pP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核心技术人员有八名</w:t>
      </w:r>
      <w:r>
        <w:rPr>
          <w:rFonts w:hint="eastAsia" w:ascii="宋体" w:hAnsi="宋体" w:eastAsia="宋体" w:cs="宋体"/>
          <w:sz w:val="10"/>
        </w:rPr>
        <w:t>，</w:t>
      </w:r>
      <w:r>
        <w:rPr>
          <w:rFonts w:hint="eastAsia" w:ascii="宋体" w:hAnsi="宋体" w:eastAsia="宋体" w:cs="宋体"/>
          <w:sz w:val="24"/>
        </w:rPr>
        <w:t>分别为</w:t>
      </w:r>
      <w:r>
        <w:rPr>
          <w:rFonts w:hint="eastAsia" w:ascii="宋体" w:hAnsi="宋体" w:eastAsia="宋体" w:cs="宋体"/>
          <w:sz w:val="12"/>
        </w:rPr>
        <w:t>：</w:t>
      </w:r>
      <w:r>
        <w:rPr>
          <w:rFonts w:hint="eastAsia" w:ascii="宋体" w:hAnsi="宋体" w:eastAsia="宋体" w:cs="宋体"/>
          <w:sz w:val="24"/>
        </w:rPr>
        <w:t>严孟宇</w:t>
      </w:r>
      <w:r>
        <w:rPr>
          <w:rFonts w:hint="eastAsia" w:ascii="宋体" w:hAnsi="宋体" w:eastAsia="宋体" w:cs="宋体"/>
          <w:sz w:val="10"/>
        </w:rPr>
        <w:t>、</w:t>
      </w:r>
      <w:r>
        <w:rPr>
          <w:rFonts w:hint="eastAsia" w:ascii="宋体" w:hAnsi="宋体" w:eastAsia="宋体" w:cs="宋体"/>
          <w:sz w:val="24"/>
        </w:rPr>
        <w:t>郑元通</w:t>
      </w:r>
      <w:r>
        <w:rPr>
          <w:rFonts w:hint="eastAsia" w:ascii="宋体" w:hAnsi="宋体" w:eastAsia="宋体" w:cs="宋体"/>
          <w:sz w:val="10"/>
        </w:rPr>
        <w:t>、</w:t>
      </w:r>
      <w:r>
        <w:rPr>
          <w:rFonts w:hint="eastAsia" w:ascii="宋体" w:hAnsi="宋体" w:eastAsia="宋体" w:cs="宋体"/>
          <w:sz w:val="24"/>
        </w:rPr>
        <w:t>戴小戈</w:t>
      </w:r>
      <w:r>
        <w:rPr>
          <w:rFonts w:hint="eastAsia" w:ascii="宋体" w:hAnsi="宋体" w:eastAsia="宋体" w:cs="宋体"/>
          <w:sz w:val="10"/>
        </w:rPr>
        <w:t>、</w:t>
      </w:r>
      <w:r>
        <w:rPr>
          <w:rFonts w:hint="eastAsia" w:ascii="宋体" w:hAnsi="宋体" w:eastAsia="宋体" w:cs="宋体"/>
          <w:sz w:val="24"/>
        </w:rPr>
        <w:t>赵林</w:t>
      </w:r>
      <w:r>
        <w:rPr>
          <w:rFonts w:hint="eastAsia" w:ascii="宋体" w:hAnsi="宋体" w:eastAsia="宋体" w:cs="宋体"/>
          <w:sz w:val="10"/>
        </w:rPr>
        <w:t>、</w:t>
      </w:r>
      <w:r>
        <w:rPr>
          <w:rFonts w:hint="eastAsia" w:ascii="宋体" w:hAnsi="宋体" w:eastAsia="宋体" w:cs="宋体"/>
          <w:sz w:val="24"/>
        </w:rPr>
        <w:t>徐传秋</w:t>
      </w:r>
      <w:r>
        <w:rPr>
          <w:rFonts w:hint="eastAsia" w:ascii="宋体" w:hAnsi="宋体" w:eastAsia="宋体" w:cs="宋体"/>
          <w:sz w:val="10"/>
        </w:rPr>
        <w:t>、</w:t>
      </w:r>
      <w:r>
        <w:rPr>
          <w:rFonts w:hint="eastAsia" w:ascii="宋体" w:hAnsi="宋体" w:eastAsia="宋体" w:cs="宋体"/>
          <w:sz w:val="24"/>
        </w:rPr>
        <w:t>鄢继华</w:t>
      </w:r>
      <w:r>
        <w:rPr>
          <w:rFonts w:hint="eastAsia" w:ascii="宋体" w:hAnsi="宋体" w:eastAsia="宋体" w:cs="宋体"/>
          <w:sz w:val="10"/>
        </w:rPr>
        <w:t>、</w:t>
      </w:r>
      <w:r>
        <w:rPr>
          <w:rFonts w:hint="eastAsia" w:ascii="宋体" w:hAnsi="宋体" w:eastAsia="宋体" w:cs="宋体"/>
          <w:sz w:val="24"/>
        </w:rPr>
        <w:t>王腊云</w:t>
      </w:r>
      <w:r>
        <w:rPr>
          <w:rFonts w:hint="eastAsia" w:ascii="宋体" w:hAnsi="宋体" w:eastAsia="宋体" w:cs="宋体"/>
          <w:sz w:val="10"/>
        </w:rPr>
        <w:t>、</w:t>
      </w:r>
      <w:r>
        <w:rPr>
          <w:rFonts w:hint="eastAsia" w:ascii="宋体" w:hAnsi="宋体" w:eastAsia="宋体" w:cs="宋体"/>
          <w:sz w:val="24"/>
        </w:rPr>
        <w:t>刘丽红</w:t>
      </w:r>
      <w:r>
        <w:rPr>
          <w:rFonts w:hint="eastAsia" w:ascii="宋体" w:hAnsi="宋体" w:eastAsia="宋体" w:cs="宋体"/>
          <w:sz w:val="10"/>
        </w:rPr>
        <w:t>。</w:t>
      </w:r>
      <w:r>
        <w:rPr>
          <w:rFonts w:hint="eastAsia" w:ascii="宋体" w:hAnsi="宋体" w:eastAsia="宋体" w:cs="宋体"/>
          <w:sz w:val="24"/>
        </w:rPr>
        <w:t>最近三年</w:t>
      </w:r>
      <w:r>
        <w:rPr>
          <w:rFonts w:hint="eastAsia" w:ascii="宋体" w:hAnsi="宋体" w:eastAsia="宋体" w:cs="宋体"/>
          <w:sz w:val="10"/>
        </w:rPr>
        <w:t>，</w:t>
      </w:r>
      <w:r>
        <w:rPr>
          <w:rFonts w:hint="eastAsia" w:ascii="宋体" w:hAnsi="宋体" w:eastAsia="宋体" w:cs="宋体"/>
          <w:sz w:val="24"/>
        </w:rPr>
        <w:t>公司的核心技术人员没有发生变更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（四）正在进行的研发项目情况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公司的主要研发内容</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公司研发内容包括基础技术研发和行业应用研发两个方向</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）基础技术研发</w:t>
      </w:r>
      <w:r>
        <w:rPr>
          <w:rFonts w:hint="eastAsia" w:ascii="宋体" w:hAnsi="宋体" w:eastAsia="宋体" w:cs="宋体"/>
          <w:sz w:val="10"/>
        </w:rPr>
        <w:t>，</w:t>
      </w:r>
      <w:r>
        <w:rPr>
          <w:rFonts w:hint="eastAsia" w:ascii="宋体" w:hAnsi="宋体" w:eastAsia="宋体" w:cs="宋体"/>
          <w:sz w:val="24"/>
        </w:rPr>
        <w:t>主要是公司根据</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行业的发展趋势</w:t>
      </w:r>
      <w:r>
        <w:rPr>
          <w:rFonts w:hint="eastAsia" w:ascii="宋体" w:hAnsi="宋体" w:eastAsia="宋体" w:cs="宋体"/>
          <w:sz w:val="10"/>
        </w:rPr>
        <w:t>，</w:t>
      </w:r>
      <w:r>
        <w:rPr>
          <w:rFonts w:hint="eastAsia" w:ascii="宋体" w:hAnsi="宋体" w:eastAsia="宋体" w:cs="宋体"/>
          <w:sz w:val="24"/>
        </w:rPr>
        <w:t>以及公司未来应用软件</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1-1-174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研发与项目定制可能涉及的关键技术与平台进行研究</w:t>
      </w:r>
      <w:r>
        <w:rPr>
          <w:rFonts w:hint="eastAsia" w:ascii="宋体" w:hAnsi="宋体" w:eastAsia="宋体" w:cs="宋体"/>
          <w:sz w:val="10"/>
        </w:rPr>
        <w:t>，</w:t>
      </w:r>
      <w:r>
        <w:rPr>
          <w:rFonts w:hint="eastAsia" w:ascii="宋体" w:hAnsi="宋体" w:eastAsia="宋体" w:cs="宋体"/>
          <w:sz w:val="24"/>
        </w:rPr>
        <w:t>其成果主要是形成公司的基础技术平台</w:t>
      </w:r>
      <w:r>
        <w:rPr>
          <w:rFonts w:hint="eastAsia" w:ascii="宋体" w:hAnsi="宋体" w:eastAsia="宋体" w:cs="宋体"/>
          <w:sz w:val="10"/>
        </w:rPr>
        <w:t>，</w:t>
      </w:r>
      <w:r>
        <w:rPr>
          <w:rFonts w:hint="eastAsia" w:ascii="宋体" w:hAnsi="宋体" w:eastAsia="宋体" w:cs="宋体"/>
          <w:sz w:val="24"/>
        </w:rPr>
        <w:t>如业务架构平台</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与交易中间件</w:t>
      </w:r>
      <w:r>
        <w:rPr>
          <w:rFonts w:hint="eastAsia" w:ascii="Times New Roman" w:hAnsi="Times New Roman" w:eastAsia="Times New Roman" w:cs="Times New Roman"/>
          <w:sz w:val="24"/>
        </w:rPr>
        <w:t xml:space="preserve"> Losap</w:t>
      </w:r>
      <w:r>
        <w:rPr>
          <w:rFonts w:hint="eastAsia" w:ascii="宋体" w:hAnsi="宋体" w:eastAsia="宋体" w:cs="宋体"/>
          <w:sz w:val="10"/>
        </w:rPr>
        <w:t>。</w:t>
      </w:r>
      <w:r>
        <w:rPr>
          <w:rFonts w:hint="eastAsia" w:ascii="宋体" w:hAnsi="宋体" w:eastAsia="宋体" w:cs="宋体"/>
          <w:sz w:val="24"/>
        </w:rPr>
        <w:t>公司根据行业发展方向及下游客户需求</w:t>
      </w:r>
      <w:r>
        <w:rPr>
          <w:rFonts w:hint="eastAsia" w:ascii="宋体" w:hAnsi="宋体" w:eastAsia="宋体" w:cs="宋体"/>
          <w:sz w:val="10"/>
        </w:rPr>
        <w:t>，</w:t>
      </w:r>
      <w:r>
        <w:rPr>
          <w:rFonts w:hint="eastAsia" w:ascii="宋体" w:hAnsi="宋体" w:eastAsia="宋体" w:cs="宋体"/>
          <w:sz w:val="24"/>
        </w:rPr>
        <w:t>不断对研发平台进行升级改造</w:t>
      </w:r>
      <w:r>
        <w:rPr>
          <w:rFonts w:hint="eastAsia" w:ascii="宋体" w:hAnsi="宋体" w:eastAsia="宋体" w:cs="宋体"/>
          <w:sz w:val="10"/>
        </w:rPr>
        <w:t>，</w:t>
      </w:r>
      <w:r>
        <w:rPr>
          <w:rFonts w:hint="eastAsia" w:ascii="宋体" w:hAnsi="宋体" w:eastAsia="宋体" w:cs="宋体"/>
          <w:sz w:val="24"/>
        </w:rPr>
        <w:t>持续提升公司的核心竞争力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）行业应用研发</w:t>
      </w:r>
      <w:r>
        <w:rPr>
          <w:rFonts w:hint="eastAsia" w:ascii="宋体" w:hAnsi="宋体" w:eastAsia="宋体" w:cs="宋体"/>
          <w:sz w:val="10"/>
        </w:rPr>
        <w:t>，</w:t>
      </w:r>
      <w:r>
        <w:rPr>
          <w:rFonts w:hint="eastAsia" w:ascii="宋体" w:hAnsi="宋体" w:eastAsia="宋体" w:cs="宋体"/>
          <w:sz w:val="24"/>
        </w:rPr>
        <w:t>主要针对证券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中小银行</w:t>
      </w:r>
      <w:r>
        <w:rPr>
          <w:rFonts w:hint="eastAsia" w:ascii="宋体" w:hAnsi="宋体" w:eastAsia="宋体" w:cs="宋体"/>
          <w:sz w:val="10"/>
        </w:rPr>
        <w:t>、</w:t>
      </w:r>
      <w:r>
        <w:rPr>
          <w:rFonts w:hint="eastAsia" w:ascii="宋体" w:hAnsi="宋体" w:eastAsia="宋体" w:cs="宋体"/>
          <w:sz w:val="24"/>
        </w:rPr>
        <w:t>电子交易市场等具体的业务需求</w:t>
      </w:r>
      <w:r>
        <w:rPr>
          <w:rFonts w:hint="eastAsia" w:ascii="宋体" w:hAnsi="宋体" w:eastAsia="宋体" w:cs="宋体"/>
          <w:sz w:val="10"/>
        </w:rPr>
        <w:t>，</w:t>
      </w:r>
      <w:r>
        <w:rPr>
          <w:rFonts w:hint="eastAsia" w:ascii="宋体" w:hAnsi="宋体" w:eastAsia="宋体" w:cs="宋体"/>
          <w:sz w:val="24"/>
        </w:rPr>
        <w:t>进行产品的研究</w:t>
      </w:r>
      <w:r>
        <w:rPr>
          <w:rFonts w:hint="eastAsia" w:ascii="宋体" w:hAnsi="宋体" w:eastAsia="宋体" w:cs="宋体"/>
          <w:sz w:val="10"/>
        </w:rPr>
        <w:t>、</w:t>
      </w:r>
      <w:r>
        <w:rPr>
          <w:rFonts w:hint="eastAsia" w:ascii="宋体" w:hAnsi="宋体" w:eastAsia="宋体" w:cs="宋体"/>
          <w:sz w:val="24"/>
        </w:rPr>
        <w:t>开发</w:t>
      </w:r>
      <w:r>
        <w:rPr>
          <w:rFonts w:hint="eastAsia" w:ascii="宋体" w:hAnsi="宋体" w:eastAsia="宋体" w:cs="宋体"/>
          <w:sz w:val="10"/>
        </w:rPr>
        <w:t>，</w:t>
      </w:r>
      <w:r>
        <w:rPr>
          <w:rFonts w:hint="eastAsia" w:ascii="宋体" w:hAnsi="宋体" w:eastAsia="宋体" w:cs="宋体"/>
          <w:sz w:val="24"/>
        </w:rPr>
        <w:t>这些行业应用研发</w:t>
      </w:r>
      <w:r>
        <w:rPr>
          <w:rFonts w:hint="eastAsia" w:ascii="宋体" w:hAnsi="宋体" w:eastAsia="宋体" w:cs="宋体"/>
          <w:sz w:val="10"/>
        </w:rPr>
        <w:t>，</w:t>
      </w:r>
      <w:r>
        <w:rPr>
          <w:rFonts w:hint="eastAsia" w:ascii="宋体" w:hAnsi="宋体" w:eastAsia="宋体" w:cs="宋体"/>
          <w:sz w:val="24"/>
        </w:rPr>
        <w:t>可以有效提升公司具体项目的执行效率和收益</w:t>
      </w:r>
      <w:r>
        <w:rPr>
          <w:rFonts w:hint="eastAsia" w:ascii="宋体" w:hAnsi="宋体" w:eastAsia="宋体" w:cs="宋体"/>
          <w:sz w:val="10"/>
        </w:rPr>
        <w:t>，</w:t>
      </w:r>
      <w:r>
        <w:rPr>
          <w:rFonts w:hint="eastAsia" w:ascii="宋体" w:hAnsi="宋体" w:eastAsia="宋体" w:cs="宋体"/>
          <w:sz w:val="24"/>
        </w:rPr>
        <w:t>增强公司整体的盈利能力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发行人通过持续的研发投入</w:t>
      </w:r>
      <w:r>
        <w:rPr>
          <w:rFonts w:hint="eastAsia" w:ascii="宋体" w:hAnsi="宋体" w:eastAsia="宋体" w:cs="宋体"/>
          <w:sz w:val="10"/>
        </w:rPr>
        <w:t>，</w:t>
      </w:r>
      <w:r>
        <w:rPr>
          <w:rFonts w:hint="eastAsia" w:ascii="宋体" w:hAnsi="宋体" w:eastAsia="宋体" w:cs="宋体"/>
          <w:sz w:val="24"/>
        </w:rPr>
        <w:t>先后开发出一系列软件产品和系统</w:t>
      </w:r>
      <w:r>
        <w:rPr>
          <w:rFonts w:hint="eastAsia" w:ascii="宋体" w:hAnsi="宋体" w:eastAsia="宋体" w:cs="宋体"/>
          <w:sz w:val="10"/>
        </w:rPr>
        <w:t>，</w:t>
      </w:r>
      <w:r>
        <w:rPr>
          <w:rFonts w:hint="eastAsia" w:ascii="宋体" w:hAnsi="宋体" w:eastAsia="宋体" w:cs="宋体"/>
          <w:sz w:val="24"/>
        </w:rPr>
        <w:t>并且取得了数十项相关软件著作权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公司正在进行的研发项目</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公司一直在不断努力提高自身产品及技术服务的质量和技术水平</w:t>
      </w:r>
      <w:r>
        <w:rPr>
          <w:rFonts w:hint="eastAsia" w:ascii="宋体" w:hAnsi="宋体" w:eastAsia="宋体" w:cs="宋体"/>
          <w:sz w:val="10"/>
        </w:rPr>
        <w:t>，</w:t>
      </w:r>
      <w:r>
        <w:rPr>
          <w:rFonts w:hint="eastAsia" w:ascii="宋体" w:hAnsi="宋体" w:eastAsia="宋体" w:cs="宋体"/>
          <w:sz w:val="24"/>
        </w:rPr>
        <w:t>根据客户及市场不断变化的需求进行技术研究和产品功能的开发</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公司正在研发的项目主要有</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20"/>
        <w:gridCol w:w="1420"/>
        <w:gridCol w:w="1780"/>
        <w:gridCol w:w="5540"/>
      </w:tblGrid>
      <w:tr>
        <w:trPr>
          <w:trHeight w:val="540" w:hRule="exact"/>
        </w:trPr>
        <w:tc>
          <w:tcPr>
            <w:tcW w:w="520" w:type="dxa"/>
            <w:tcMar>
              <w:top w:w="0" w:type="dxa"/>
              <w:left w:w="0" w:type="dxa"/>
              <w:bottom w:w="0" w:type="dxa"/>
              <w:right w:w="0" w:type="dxa"/>
            </w:tcMar>
          </w:tcPr>
          <w:p>
            <w:pPr>
              <w:spacing w:before="0"/>
              <w:ind w:left="140"/>
            </w:pPr>
            <w:r>
              <w:rPr>
                <w:rFonts w:hint="eastAsia" w:ascii="宋体" w:hAnsi="宋体" w:eastAsia="宋体" w:cs="宋体"/>
                <w:b/>
                <w:sz w:val="21"/>
              </w:rPr>
              <w:t>序</w:t>
            </w:r>
          </w:p>
          <w:p>
            <w:pPr>
              <w:spacing w:before="60"/>
              <w:ind w:left="140"/>
            </w:pPr>
            <w:r>
              <w:rPr>
                <w:rFonts w:hint="eastAsia" w:ascii="宋体" w:hAnsi="宋体" w:eastAsia="宋体" w:cs="宋体"/>
                <w:b/>
                <w:sz w:val="21"/>
              </w:rPr>
              <w:t>号</w:t>
            </w:r>
          </w:p>
        </w:tc>
        <w:tc>
          <w:tcPr>
            <w:tcW w:w="1420" w:type="dxa"/>
            <w:tcMar>
              <w:top w:w="0" w:type="dxa"/>
              <w:left w:w="0" w:type="dxa"/>
              <w:bottom w:w="0" w:type="dxa"/>
              <w:right w:w="0" w:type="dxa"/>
            </w:tcMar>
          </w:tcPr>
          <w:p>
            <w:pPr>
              <w:spacing w:before="140"/>
              <w:ind w:left="280"/>
            </w:pPr>
            <w:r>
              <w:rPr>
                <w:rFonts w:hint="eastAsia" w:ascii="宋体" w:hAnsi="宋体" w:eastAsia="宋体" w:cs="宋体"/>
                <w:b/>
                <w:sz w:val="21"/>
              </w:rPr>
              <w:t>项目名称</w:t>
            </w:r>
          </w:p>
        </w:tc>
        <w:tc>
          <w:tcPr>
            <w:tcW w:w="1780" w:type="dxa"/>
            <w:tcMar>
              <w:top w:w="0" w:type="dxa"/>
              <w:left w:w="0" w:type="dxa"/>
              <w:bottom w:w="0" w:type="dxa"/>
              <w:right w:w="0" w:type="dxa"/>
            </w:tcMar>
          </w:tcPr>
          <w:p>
            <w:pPr>
              <w:spacing w:before="140"/>
              <w:ind w:left="240"/>
            </w:pPr>
            <w:r>
              <w:rPr>
                <w:rFonts w:hint="eastAsia" w:ascii="宋体" w:hAnsi="宋体" w:eastAsia="宋体" w:cs="宋体"/>
                <w:b/>
                <w:sz w:val="21"/>
              </w:rPr>
              <w:t>研发进展情况</w:t>
            </w:r>
          </w:p>
        </w:tc>
        <w:tc>
          <w:tcPr>
            <w:tcW w:w="5540" w:type="dxa"/>
            <w:tcMar>
              <w:top w:w="0" w:type="dxa"/>
              <w:left w:w="0" w:type="dxa"/>
              <w:bottom w:w="0" w:type="dxa"/>
              <w:right w:w="0" w:type="dxa"/>
            </w:tcMar>
          </w:tcPr>
          <w:p>
            <w:pPr>
              <w:spacing w:before="140"/>
              <w:ind w:left="1600"/>
            </w:pPr>
            <w:r>
              <w:rPr>
                <w:rFonts w:hint="eastAsia" w:ascii="宋体" w:hAnsi="宋体" w:eastAsia="宋体" w:cs="宋体"/>
                <w:b/>
                <w:sz w:val="21"/>
              </w:rPr>
              <w:t>拟达到的目标及新增功能</w:t>
            </w:r>
          </w:p>
        </w:tc>
      </w:tr>
      <w:tr>
        <w:trPr>
          <w:trHeight w:val="3820" w:hRule="exact"/>
        </w:trPr>
        <w:tc>
          <w:tcPr>
            <w:tcW w:w="520" w:type="dxa"/>
            <w:tcMar>
              <w:top w:w="0" w:type="dxa"/>
              <w:left w:w="0" w:type="dxa"/>
              <w:bottom w:w="0" w:type="dxa"/>
              <w:right w:w="0" w:type="dxa"/>
            </w:tcMar>
          </w:tcPr>
          <w:p>
            <w:pPr>
              <w:spacing w:before="1840"/>
              <w:ind w:left="180"/>
            </w:pPr>
            <w:r>
              <w:rPr>
                <w:rFonts w:hint="eastAsia" w:ascii="Times New Roman" w:hAnsi="Times New Roman" w:eastAsia="Times New Roman" w:cs="Times New Roman"/>
                <w:sz w:val="21"/>
              </w:rPr>
              <w:t>1</w:t>
            </w:r>
          </w:p>
        </w:tc>
        <w:tc>
          <w:tcPr>
            <w:tcW w:w="1420" w:type="dxa"/>
            <w:tcMar>
              <w:top w:w="0" w:type="dxa"/>
              <w:left w:w="0" w:type="dxa"/>
              <w:bottom w:w="0" w:type="dxa"/>
              <w:right w:w="0" w:type="dxa"/>
            </w:tcMar>
          </w:tcPr>
          <w:p>
            <w:pPr>
              <w:spacing w:before="1380"/>
              <w:ind w:left="180"/>
            </w:pPr>
            <w:r>
              <w:rPr>
                <w:rFonts w:hint="eastAsia" w:ascii="宋体" w:hAnsi="宋体" w:eastAsia="宋体" w:cs="宋体"/>
                <w:sz w:val="21"/>
              </w:rPr>
              <w:t>灵动业务架</w:t>
            </w:r>
          </w:p>
          <w:p>
            <w:pPr>
              <w:spacing w:before="40"/>
              <w:ind w:left="380"/>
            </w:pPr>
            <w:r>
              <w:rPr>
                <w:rFonts w:hint="eastAsia" w:ascii="宋体" w:hAnsi="宋体" w:eastAsia="宋体" w:cs="宋体"/>
                <w:sz w:val="21"/>
              </w:rPr>
              <w:t>构平台</w:t>
            </w:r>
          </w:p>
          <w:p>
            <w:pPr>
              <w:spacing w:before="80"/>
              <w:ind w:left="100"/>
            </w:pPr>
            <w:r>
              <w:rPr>
                <w:rFonts w:hint="eastAsia" w:ascii="宋体" w:hAnsi="宋体" w:eastAsia="宋体" w:cs="宋体"/>
                <w:sz w:val="20"/>
              </w:rPr>
              <w:t>（</w:t>
            </w:r>
            <w:r>
              <w:rPr>
                <w:rFonts w:hint="eastAsia" w:ascii="Times New Roman" w:hAnsi="Times New Roman" w:eastAsia="Times New Roman" w:cs="Times New Roman"/>
                <w:sz w:val="21"/>
              </w:rPr>
              <w:t>LiveBOS</w:t>
            </w:r>
            <w:r>
              <w:rPr>
                <w:rFonts w:hint="eastAsia" w:ascii="宋体" w:hAnsi="宋体" w:eastAsia="宋体" w:cs="宋体"/>
                <w:sz w:val="20"/>
              </w:rPr>
              <w:t>）</w:t>
            </w:r>
          </w:p>
          <w:p>
            <w:pPr>
              <w:spacing w:before="60"/>
              <w:ind w:left="280"/>
            </w:pPr>
            <w:r>
              <w:rPr>
                <w:rFonts w:hint="eastAsia" w:ascii="宋体" w:hAnsi="宋体" w:eastAsia="宋体" w:cs="宋体"/>
                <w:sz w:val="21"/>
              </w:rPr>
              <w:t>升级版本</w:t>
            </w:r>
          </w:p>
        </w:tc>
        <w:tc>
          <w:tcPr>
            <w:tcW w:w="1780" w:type="dxa"/>
            <w:tcMar>
              <w:top w:w="0" w:type="dxa"/>
              <w:left w:w="0" w:type="dxa"/>
              <w:bottom w:w="0" w:type="dxa"/>
              <w:right w:w="0" w:type="dxa"/>
            </w:tcMar>
          </w:tcPr>
          <w:p>
            <w:pPr>
              <w:spacing w:before="20"/>
              <w:ind w:left="120"/>
            </w:pPr>
            <w:r>
              <w:rPr>
                <w:rFonts w:hint="eastAsia" w:ascii="宋体" w:hAnsi="宋体" w:eastAsia="宋体" w:cs="宋体"/>
                <w:sz w:val="21"/>
              </w:rPr>
              <w:t>已经推出</w:t>
            </w:r>
            <w:r>
              <w:rPr>
                <w:rFonts w:hint="eastAsia" w:ascii="Times New Roman" w:hAnsi="Times New Roman" w:eastAsia="Times New Roman" w:cs="Times New Roman"/>
                <w:sz w:val="21"/>
              </w:rPr>
              <w:t xml:space="preserve"> Tianma</w:t>
            </w:r>
          </w:p>
          <w:p>
            <w:pPr>
              <w:spacing w:before="40"/>
              <w:ind w:left="140"/>
            </w:pPr>
            <w:r>
              <w:rPr>
                <w:rFonts w:hint="eastAsia" w:ascii="宋体" w:hAnsi="宋体" w:eastAsia="宋体" w:cs="宋体"/>
                <w:sz w:val="21"/>
              </w:rPr>
              <w:t>版本</w:t>
            </w:r>
            <w:r>
              <w:rPr>
                <w:rFonts w:hint="eastAsia" w:ascii="宋体" w:hAnsi="宋体" w:eastAsia="宋体" w:cs="宋体"/>
                <w:sz w:val="10"/>
              </w:rPr>
              <w:t>，</w:t>
            </w:r>
            <w:r>
              <w:rPr>
                <w:rFonts w:hint="eastAsia" w:ascii="宋体" w:hAnsi="宋体" w:eastAsia="宋体" w:cs="宋体"/>
                <w:sz w:val="21"/>
              </w:rPr>
              <w:t>继续升级</w:t>
            </w:r>
          </w:p>
          <w:p>
            <w:pPr>
              <w:spacing w:before="60"/>
              <w:ind w:left="680"/>
            </w:pPr>
            <w:r>
              <w:rPr>
                <w:rFonts w:hint="eastAsia" w:ascii="宋体" w:hAnsi="宋体" w:eastAsia="宋体" w:cs="宋体"/>
                <w:sz w:val="21"/>
              </w:rPr>
              <w:t>中</w:t>
            </w:r>
            <w:r>
              <w:rPr>
                <w:rFonts w:hint="eastAsia" w:ascii="宋体" w:hAnsi="宋体" w:eastAsia="宋体" w:cs="宋体"/>
                <w:sz w:val="10"/>
              </w:rPr>
              <w:t>。</w:t>
            </w:r>
          </w:p>
          <w:p>
            <w:pPr>
              <w:spacing w:before="60"/>
              <w:ind w:left="100"/>
            </w:pPr>
            <w:r>
              <w:rPr>
                <w:rFonts w:hint="eastAsia" w:ascii="Times New Roman" w:hAnsi="Times New Roman" w:eastAsia="Times New Roman" w:cs="Times New Roman"/>
                <w:sz w:val="21"/>
              </w:rPr>
              <w:t>1</w:t>
            </w:r>
            <w:r>
              <w:rPr>
                <w:rFonts w:hint="eastAsia" w:ascii="宋体" w:hAnsi="宋体" w:eastAsia="宋体" w:cs="宋体"/>
                <w:sz w:val="20"/>
              </w:rPr>
              <w:t>）</w:t>
            </w:r>
            <w:r>
              <w:rPr>
                <w:rFonts w:hint="eastAsia" w:ascii="宋体" w:hAnsi="宋体" w:eastAsia="宋体" w:cs="宋体"/>
                <w:sz w:val="21"/>
              </w:rPr>
              <w:t>新版本架构进</w:t>
            </w:r>
          </w:p>
          <w:p>
            <w:pPr>
              <w:spacing w:before="60"/>
              <w:ind w:left="140"/>
            </w:pPr>
            <w:r>
              <w:rPr>
                <w:rFonts w:hint="eastAsia" w:ascii="宋体" w:hAnsi="宋体" w:eastAsia="宋体" w:cs="宋体"/>
                <w:sz w:val="21"/>
              </w:rPr>
              <w:t>行了重大改进</w:t>
            </w:r>
            <w:r>
              <w:rPr>
                <w:rFonts w:hint="eastAsia" w:ascii="宋体" w:hAnsi="宋体" w:eastAsia="宋体" w:cs="宋体"/>
                <w:sz w:val="10"/>
              </w:rPr>
              <w:t>，</w:t>
            </w:r>
          </w:p>
          <w:p>
            <w:pPr>
              <w:spacing w:before="60"/>
              <w:ind w:left="200"/>
            </w:pPr>
            <w:r>
              <w:rPr>
                <w:rFonts w:hint="eastAsia" w:ascii="宋体" w:hAnsi="宋体" w:eastAsia="宋体" w:cs="宋体"/>
                <w:sz w:val="21"/>
              </w:rPr>
              <w:t>底层采用</w:t>
            </w:r>
            <w:r>
              <w:rPr>
                <w:rFonts w:hint="eastAsia" w:ascii="Times New Roman" w:hAnsi="Times New Roman" w:eastAsia="Times New Roman" w:cs="Times New Roman"/>
                <w:sz w:val="21"/>
              </w:rPr>
              <w:t xml:space="preserve"> OSGi</w:t>
            </w:r>
          </w:p>
          <w:p>
            <w:pPr>
              <w:spacing w:before="40"/>
              <w:ind w:left="680"/>
            </w:pPr>
            <w:r>
              <w:rPr>
                <w:rFonts w:hint="eastAsia" w:ascii="宋体" w:hAnsi="宋体" w:eastAsia="宋体" w:cs="宋体"/>
                <w:sz w:val="21"/>
              </w:rPr>
              <w:t>框架</w:t>
            </w:r>
          </w:p>
          <w:p>
            <w:pPr>
              <w:spacing w:before="80"/>
              <w:ind w:left="100"/>
            </w:pPr>
            <w:r>
              <w:rPr>
                <w:rFonts w:hint="eastAsia" w:ascii="Times New Roman" w:hAnsi="Times New Roman" w:eastAsia="Times New Roman" w:cs="Times New Roman"/>
                <w:sz w:val="21"/>
              </w:rPr>
              <w:t>2</w:t>
            </w:r>
            <w:r>
              <w:rPr>
                <w:rFonts w:hint="eastAsia" w:ascii="宋体" w:hAnsi="宋体" w:eastAsia="宋体" w:cs="宋体"/>
                <w:sz w:val="20"/>
              </w:rPr>
              <w:t>）</w:t>
            </w:r>
            <w:r>
              <w:rPr>
                <w:rFonts w:hint="eastAsia" w:ascii="宋体" w:hAnsi="宋体" w:eastAsia="宋体" w:cs="宋体"/>
                <w:sz w:val="21"/>
              </w:rPr>
              <w:t>已经开发完成</w:t>
            </w:r>
          </w:p>
          <w:p>
            <w:pPr>
              <w:spacing w:before="60"/>
              <w:ind w:left="140"/>
            </w:pPr>
            <w:r>
              <w:rPr>
                <w:rFonts w:hint="eastAsia" w:ascii="宋体" w:hAnsi="宋体" w:eastAsia="宋体" w:cs="宋体"/>
                <w:sz w:val="21"/>
              </w:rPr>
              <w:t>企业微博模块</w:t>
            </w:r>
            <w:r>
              <w:rPr>
                <w:rFonts w:hint="eastAsia" w:ascii="宋体" w:hAnsi="宋体" w:eastAsia="宋体" w:cs="宋体"/>
                <w:sz w:val="10"/>
              </w:rPr>
              <w:t>、</w:t>
            </w:r>
          </w:p>
          <w:p>
            <w:pPr>
              <w:spacing w:before="40"/>
              <w:ind w:left="140"/>
            </w:pPr>
            <w:r>
              <w:rPr>
                <w:rFonts w:hint="eastAsia" w:ascii="宋体" w:hAnsi="宋体" w:eastAsia="宋体" w:cs="宋体"/>
                <w:sz w:val="21"/>
              </w:rPr>
              <w:t>消息通知中心模</w:t>
            </w:r>
          </w:p>
          <w:p>
            <w:pPr>
              <w:spacing w:before="60"/>
              <w:ind w:left="140"/>
            </w:pPr>
            <w:r>
              <w:rPr>
                <w:rFonts w:hint="eastAsia" w:ascii="宋体" w:hAnsi="宋体" w:eastAsia="宋体" w:cs="宋体"/>
                <w:sz w:val="21"/>
              </w:rPr>
              <w:t>块</w:t>
            </w:r>
            <w:r>
              <w:rPr>
                <w:rFonts w:hint="eastAsia" w:ascii="宋体" w:hAnsi="宋体" w:eastAsia="宋体" w:cs="宋体"/>
                <w:sz w:val="10"/>
              </w:rPr>
              <w:t>，</w:t>
            </w:r>
            <w:r>
              <w:rPr>
                <w:rFonts w:hint="eastAsia" w:ascii="宋体" w:hAnsi="宋体" w:eastAsia="宋体" w:cs="宋体"/>
                <w:sz w:val="21"/>
              </w:rPr>
              <w:t>继续完善中</w:t>
            </w:r>
          </w:p>
          <w:p>
            <w:pPr>
              <w:spacing w:before="40"/>
              <w:ind w:left="100"/>
            </w:pPr>
            <w:r>
              <w:rPr>
                <w:rFonts w:hint="eastAsia" w:ascii="Times New Roman" w:hAnsi="Times New Roman" w:eastAsia="Times New Roman" w:cs="Times New Roman"/>
                <w:sz w:val="21"/>
              </w:rPr>
              <w:t>3</w:t>
            </w:r>
            <w:r>
              <w:rPr>
                <w:rFonts w:hint="eastAsia" w:ascii="宋体" w:hAnsi="宋体" w:eastAsia="宋体" w:cs="宋体"/>
                <w:sz w:val="20"/>
              </w:rPr>
              <w:t>）</w:t>
            </w:r>
            <w:r>
              <w:rPr>
                <w:rFonts w:hint="eastAsia" w:ascii="宋体" w:hAnsi="宋体" w:eastAsia="宋体" w:cs="宋体"/>
                <w:sz w:val="21"/>
              </w:rPr>
              <w:t>已经开发完成</w:t>
            </w:r>
          </w:p>
          <w:p>
            <w:pPr>
              <w:spacing w:before="80"/>
              <w:ind w:left="260"/>
            </w:pPr>
            <w:r>
              <w:rPr>
                <w:rFonts w:hint="eastAsia" w:ascii="宋体" w:hAnsi="宋体" w:eastAsia="宋体" w:cs="宋体"/>
                <w:sz w:val="21"/>
              </w:rPr>
              <w:t>知识库管理模</w:t>
            </w:r>
          </w:p>
          <w:p>
            <w:pPr>
              <w:spacing w:before="60"/>
              <w:ind w:left="140"/>
            </w:pPr>
            <w:r>
              <w:rPr>
                <w:rFonts w:hint="eastAsia" w:ascii="宋体" w:hAnsi="宋体" w:eastAsia="宋体" w:cs="宋体"/>
                <w:sz w:val="21"/>
              </w:rPr>
              <w:t>块</w:t>
            </w:r>
            <w:r>
              <w:rPr>
                <w:rFonts w:hint="eastAsia" w:ascii="宋体" w:hAnsi="宋体" w:eastAsia="宋体" w:cs="宋体"/>
                <w:sz w:val="10"/>
              </w:rPr>
              <w:t>，</w:t>
            </w:r>
            <w:r>
              <w:rPr>
                <w:rFonts w:hint="eastAsia" w:ascii="宋体" w:hAnsi="宋体" w:eastAsia="宋体" w:cs="宋体"/>
                <w:sz w:val="21"/>
              </w:rPr>
              <w:t>继续改进中</w:t>
            </w:r>
          </w:p>
        </w:tc>
        <w:tc>
          <w:tcPr>
            <w:tcW w:w="5540" w:type="dxa"/>
            <w:tcMar>
              <w:top w:w="0" w:type="dxa"/>
              <w:left w:w="0" w:type="dxa"/>
              <w:bottom w:w="0" w:type="dxa"/>
              <w:right w:w="0" w:type="dxa"/>
            </w:tcMar>
          </w:tcPr>
          <w:p>
            <w:pPr>
              <w:spacing w:before="40"/>
              <w:ind w:left="100"/>
            </w:pPr>
            <w:r>
              <w:rPr>
                <w:rFonts w:hint="eastAsia" w:ascii="Times New Roman" w:hAnsi="Times New Roman" w:eastAsia="Times New Roman" w:cs="Times New Roman"/>
                <w:sz w:val="21"/>
              </w:rPr>
              <w:t>1</w:t>
            </w:r>
            <w:r>
              <w:rPr>
                <w:rFonts w:hint="eastAsia" w:ascii="宋体" w:hAnsi="宋体" w:eastAsia="宋体" w:cs="宋体"/>
                <w:sz w:val="20"/>
              </w:rPr>
              <w:t>）</w:t>
            </w:r>
            <w:r>
              <w:rPr>
                <w:rFonts w:hint="eastAsia" w:ascii="宋体" w:hAnsi="宋体" w:eastAsia="宋体" w:cs="宋体"/>
                <w:sz w:val="21"/>
              </w:rPr>
              <w:t>继续优化系统架构</w:t>
            </w:r>
            <w:r>
              <w:rPr>
                <w:rFonts w:hint="eastAsia" w:ascii="宋体" w:hAnsi="宋体" w:eastAsia="宋体" w:cs="宋体"/>
                <w:sz w:val="10"/>
              </w:rPr>
              <w:t>，</w:t>
            </w:r>
            <w:r>
              <w:rPr>
                <w:rFonts w:hint="eastAsia" w:ascii="宋体" w:hAnsi="宋体" w:eastAsia="宋体" w:cs="宋体"/>
                <w:sz w:val="21"/>
              </w:rPr>
              <w:t>完整实现面向服务架构</w:t>
            </w:r>
            <w:r>
              <w:rPr>
                <w:rFonts w:hint="eastAsia" w:ascii="宋体" w:hAnsi="宋体" w:eastAsia="宋体" w:cs="宋体"/>
                <w:sz w:val="20"/>
              </w:rPr>
              <w:t>（</w:t>
            </w:r>
            <w:r>
              <w:rPr>
                <w:rFonts w:hint="eastAsia" w:ascii="Times New Roman" w:hAnsi="Times New Roman" w:eastAsia="Times New Roman" w:cs="Times New Roman"/>
                <w:sz w:val="21"/>
              </w:rPr>
              <w:t>SOA</w:t>
            </w:r>
            <w:r>
              <w:rPr>
                <w:rFonts w:hint="eastAsia" w:ascii="宋体" w:hAnsi="宋体" w:eastAsia="宋体" w:cs="宋体"/>
                <w:sz w:val="20"/>
              </w:rPr>
              <w:t>）</w:t>
            </w:r>
            <w:r>
              <w:rPr>
                <w:rFonts w:hint="eastAsia" w:ascii="宋体" w:hAnsi="宋体" w:eastAsia="宋体" w:cs="宋体"/>
                <w:sz w:val="21"/>
              </w:rPr>
              <w:t>下</w:t>
            </w:r>
          </w:p>
          <w:p>
            <w:pPr>
              <w:spacing w:before="80"/>
              <w:ind w:left="100"/>
            </w:pPr>
            <w:r>
              <w:rPr>
                <w:rFonts w:hint="eastAsia" w:ascii="宋体" w:hAnsi="宋体" w:eastAsia="宋体" w:cs="宋体"/>
                <w:sz w:val="21"/>
              </w:rPr>
              <w:t>的服务数据对象</w:t>
            </w:r>
            <w:r>
              <w:rPr>
                <w:rFonts w:hint="eastAsia" w:ascii="宋体" w:hAnsi="宋体" w:eastAsia="宋体" w:cs="宋体"/>
                <w:sz w:val="20"/>
              </w:rPr>
              <w:t>（</w:t>
            </w:r>
            <w:r>
              <w:rPr>
                <w:rFonts w:hint="eastAsia" w:ascii="Times New Roman" w:hAnsi="Times New Roman" w:eastAsia="Times New Roman" w:cs="Times New Roman"/>
                <w:sz w:val="21"/>
              </w:rPr>
              <w:t>SDO</w:t>
            </w:r>
            <w:r>
              <w:rPr>
                <w:rFonts w:hint="eastAsia" w:ascii="宋体" w:hAnsi="宋体" w:eastAsia="宋体" w:cs="宋体"/>
                <w:sz w:val="20"/>
              </w:rPr>
              <w:t>）、</w:t>
            </w:r>
            <w:r>
              <w:rPr>
                <w:rFonts w:hint="eastAsia" w:ascii="宋体" w:hAnsi="宋体" w:eastAsia="宋体" w:cs="宋体"/>
                <w:sz w:val="21"/>
              </w:rPr>
              <w:t>服务组件架构</w:t>
            </w:r>
            <w:r>
              <w:rPr>
                <w:rFonts w:hint="eastAsia" w:ascii="宋体" w:hAnsi="宋体" w:eastAsia="宋体" w:cs="宋体"/>
                <w:sz w:val="20"/>
              </w:rPr>
              <w:t>（</w:t>
            </w:r>
            <w:r>
              <w:rPr>
                <w:rFonts w:hint="eastAsia" w:ascii="Times New Roman" w:hAnsi="Times New Roman" w:eastAsia="Times New Roman" w:cs="Times New Roman"/>
                <w:sz w:val="21"/>
              </w:rPr>
              <w:t>SCA</w:t>
            </w:r>
            <w:r>
              <w:rPr>
                <w:rFonts w:hint="eastAsia" w:ascii="宋体" w:hAnsi="宋体" w:eastAsia="宋体" w:cs="宋体"/>
                <w:sz w:val="20"/>
              </w:rPr>
              <w:t>）</w:t>
            </w:r>
            <w:r>
              <w:rPr>
                <w:rFonts w:hint="eastAsia" w:ascii="宋体" w:hAnsi="宋体" w:eastAsia="宋体" w:cs="宋体"/>
                <w:sz w:val="21"/>
              </w:rPr>
              <w:t>等标准</w:t>
            </w:r>
          </w:p>
          <w:p>
            <w:pPr>
              <w:spacing w:before="100"/>
              <w:ind w:left="100"/>
            </w:pPr>
            <w:r>
              <w:rPr>
                <w:rFonts w:hint="eastAsia" w:ascii="宋体" w:hAnsi="宋体" w:eastAsia="宋体" w:cs="宋体"/>
                <w:sz w:val="21"/>
              </w:rPr>
              <w:t>规范</w:t>
            </w:r>
            <w:r>
              <w:rPr>
                <w:rFonts w:hint="eastAsia" w:ascii="宋体" w:hAnsi="宋体" w:eastAsia="宋体" w:cs="宋体"/>
                <w:sz w:val="12"/>
              </w:rPr>
              <w:t>；</w:t>
            </w:r>
          </w:p>
          <w:p>
            <w:pPr>
              <w:spacing w:before="100"/>
              <w:ind w:left="100"/>
            </w:pPr>
            <w:r>
              <w:rPr>
                <w:rFonts w:hint="eastAsia" w:ascii="Times New Roman" w:hAnsi="Times New Roman" w:eastAsia="Times New Roman" w:cs="Times New Roman"/>
                <w:sz w:val="21"/>
              </w:rPr>
              <w:t>2</w:t>
            </w:r>
            <w:r>
              <w:rPr>
                <w:rFonts w:hint="eastAsia" w:ascii="宋体" w:hAnsi="宋体" w:eastAsia="宋体" w:cs="宋体"/>
                <w:sz w:val="20"/>
              </w:rPr>
              <w:t>）</w:t>
            </w:r>
            <w:r>
              <w:rPr>
                <w:rFonts w:hint="eastAsia" w:ascii="宋体" w:hAnsi="宋体" w:eastAsia="宋体" w:cs="宋体"/>
                <w:sz w:val="21"/>
              </w:rPr>
              <w:t>继续改进展示界面交互功能</w:t>
            </w:r>
            <w:r>
              <w:rPr>
                <w:rFonts w:hint="eastAsia" w:ascii="宋体" w:hAnsi="宋体" w:eastAsia="宋体" w:cs="宋体"/>
                <w:sz w:val="10"/>
              </w:rPr>
              <w:t>，</w:t>
            </w:r>
            <w:r>
              <w:rPr>
                <w:rFonts w:hint="eastAsia" w:ascii="宋体" w:hAnsi="宋体" w:eastAsia="宋体" w:cs="宋体"/>
                <w:sz w:val="21"/>
              </w:rPr>
              <w:t>提升用户操作体验</w:t>
            </w:r>
            <w:r>
              <w:rPr>
                <w:rFonts w:hint="eastAsia" w:ascii="宋体" w:hAnsi="宋体" w:eastAsia="宋体" w:cs="宋体"/>
                <w:sz w:val="12"/>
              </w:rPr>
              <w:t>；</w:t>
            </w:r>
          </w:p>
          <w:p>
            <w:pPr>
              <w:spacing w:before="100"/>
              <w:ind w:left="100"/>
            </w:pPr>
            <w:r>
              <w:rPr>
                <w:rFonts w:hint="eastAsia" w:ascii="Times New Roman" w:hAnsi="Times New Roman" w:eastAsia="Times New Roman" w:cs="Times New Roman"/>
                <w:sz w:val="21"/>
              </w:rPr>
              <w:t>3</w:t>
            </w:r>
            <w:r>
              <w:rPr>
                <w:rFonts w:hint="eastAsia" w:ascii="宋体" w:hAnsi="宋体" w:eastAsia="宋体" w:cs="宋体"/>
                <w:sz w:val="20"/>
              </w:rPr>
              <w:t>）</w:t>
            </w:r>
            <w:r>
              <w:rPr>
                <w:rFonts w:hint="eastAsia" w:ascii="宋体" w:hAnsi="宋体" w:eastAsia="宋体" w:cs="宋体"/>
                <w:sz w:val="21"/>
              </w:rPr>
              <w:t>拓展</w:t>
            </w:r>
            <w:r>
              <w:rPr>
                <w:rFonts w:hint="eastAsia" w:ascii="Times New Roman" w:hAnsi="Times New Roman" w:eastAsia="Times New Roman" w:cs="Times New Roman"/>
                <w:sz w:val="21"/>
              </w:rPr>
              <w:t xml:space="preserve"> LiveBOS Studio</w:t>
            </w:r>
            <w:r>
              <w:rPr>
                <w:rFonts w:hint="eastAsia" w:ascii="宋体" w:hAnsi="宋体" w:eastAsia="宋体" w:cs="宋体"/>
                <w:sz w:val="21"/>
              </w:rPr>
              <w:t xml:space="preserve"> 工具的功能</w:t>
            </w:r>
            <w:r>
              <w:rPr>
                <w:rFonts w:hint="eastAsia" w:ascii="宋体" w:hAnsi="宋体" w:eastAsia="宋体" w:cs="宋体"/>
                <w:sz w:val="10"/>
              </w:rPr>
              <w:t>，</w:t>
            </w:r>
            <w:r>
              <w:rPr>
                <w:rFonts w:hint="eastAsia" w:ascii="宋体" w:hAnsi="宋体" w:eastAsia="宋体" w:cs="宋体"/>
                <w:sz w:val="21"/>
              </w:rPr>
              <w:t>增加产品经理</w:t>
            </w:r>
            <w:r>
              <w:rPr>
                <w:rFonts w:hint="eastAsia" w:ascii="宋体" w:hAnsi="宋体" w:eastAsia="宋体" w:cs="宋体"/>
                <w:sz w:val="10"/>
              </w:rPr>
              <w:t>、</w:t>
            </w:r>
            <w:r>
              <w:rPr>
                <w:rFonts w:hint="eastAsia" w:ascii="宋体" w:hAnsi="宋体" w:eastAsia="宋体" w:cs="宋体"/>
                <w:sz w:val="21"/>
              </w:rPr>
              <w:t>系统</w:t>
            </w:r>
          </w:p>
          <w:p>
            <w:pPr>
              <w:spacing w:before="100"/>
              <w:ind w:left="100"/>
            </w:pPr>
            <w:r>
              <w:rPr>
                <w:rFonts w:hint="eastAsia" w:ascii="宋体" w:hAnsi="宋体" w:eastAsia="宋体" w:cs="宋体"/>
                <w:sz w:val="21"/>
              </w:rPr>
              <w:t>分析员等不同角色的功能支持</w:t>
            </w:r>
            <w:r>
              <w:rPr>
                <w:rFonts w:hint="eastAsia" w:ascii="宋体" w:hAnsi="宋体" w:eastAsia="宋体" w:cs="宋体"/>
                <w:sz w:val="12"/>
              </w:rPr>
              <w:t>；</w:t>
            </w:r>
            <w:r>
              <w:rPr>
                <w:rFonts w:hint="eastAsia" w:ascii="宋体" w:hAnsi="宋体" w:eastAsia="宋体" w:cs="宋体"/>
                <w:sz w:val="21"/>
              </w:rPr>
              <w:t>研发全新的</w:t>
            </w:r>
            <w:r>
              <w:rPr>
                <w:rFonts w:hint="eastAsia" w:ascii="Times New Roman" w:hAnsi="Times New Roman" w:eastAsia="Times New Roman" w:cs="Times New Roman"/>
                <w:sz w:val="21"/>
              </w:rPr>
              <w:t xml:space="preserve"> LiveBOS Studio</w:t>
            </w:r>
          </w:p>
          <w:p>
            <w:pPr>
              <w:spacing w:before="80"/>
              <w:ind w:left="100"/>
            </w:pPr>
            <w:r>
              <w:rPr>
                <w:rFonts w:hint="eastAsia" w:ascii="宋体" w:hAnsi="宋体" w:eastAsia="宋体" w:cs="宋体"/>
                <w:sz w:val="21"/>
              </w:rPr>
              <w:t>工具</w:t>
            </w:r>
            <w:r>
              <w:rPr>
                <w:rFonts w:hint="eastAsia" w:ascii="宋体" w:hAnsi="宋体" w:eastAsia="宋体" w:cs="宋体"/>
                <w:sz w:val="10"/>
              </w:rPr>
              <w:t>，</w:t>
            </w:r>
            <w:r>
              <w:rPr>
                <w:rFonts w:hint="eastAsia" w:ascii="宋体" w:hAnsi="宋体" w:eastAsia="宋体" w:cs="宋体"/>
                <w:sz w:val="21"/>
              </w:rPr>
              <w:t>对设计</w:t>
            </w:r>
            <w:r>
              <w:rPr>
                <w:rFonts w:hint="eastAsia" w:ascii="宋体" w:hAnsi="宋体" w:eastAsia="宋体" w:cs="宋体"/>
                <w:sz w:val="10"/>
              </w:rPr>
              <w:t>，</w:t>
            </w:r>
            <w:r>
              <w:rPr>
                <w:rFonts w:hint="eastAsia" w:ascii="宋体" w:hAnsi="宋体" w:eastAsia="宋体" w:cs="宋体"/>
                <w:sz w:val="21"/>
              </w:rPr>
              <w:t>开发功能做重大改进</w:t>
            </w:r>
            <w:r>
              <w:rPr>
                <w:rFonts w:hint="eastAsia" w:ascii="宋体" w:hAnsi="宋体" w:eastAsia="宋体" w:cs="宋体"/>
                <w:sz w:val="10"/>
              </w:rPr>
              <w:t>；</w:t>
            </w:r>
          </w:p>
          <w:p>
            <w:pPr>
              <w:spacing w:before="100"/>
              <w:ind w:left="100"/>
            </w:pPr>
            <w:r>
              <w:rPr>
                <w:rFonts w:hint="eastAsia" w:ascii="Times New Roman" w:hAnsi="Times New Roman" w:eastAsia="Times New Roman" w:cs="Times New Roman"/>
                <w:sz w:val="21"/>
              </w:rPr>
              <w:t>4</w:t>
            </w:r>
            <w:r>
              <w:rPr>
                <w:rFonts w:hint="eastAsia" w:ascii="宋体" w:hAnsi="宋体" w:eastAsia="宋体" w:cs="宋体"/>
                <w:sz w:val="20"/>
              </w:rPr>
              <w:t>）</w:t>
            </w:r>
            <w:r>
              <w:rPr>
                <w:rFonts w:hint="eastAsia" w:ascii="宋体" w:hAnsi="宋体" w:eastAsia="宋体" w:cs="宋体"/>
                <w:sz w:val="21"/>
              </w:rPr>
              <w:t>改进基于社会性网络服务</w:t>
            </w:r>
            <w:r>
              <w:rPr>
                <w:rFonts w:hint="eastAsia" w:ascii="宋体" w:hAnsi="宋体" w:eastAsia="宋体" w:cs="宋体"/>
                <w:sz w:val="20"/>
              </w:rPr>
              <w:t>（</w:t>
            </w:r>
            <w:r>
              <w:rPr>
                <w:rFonts w:hint="eastAsia" w:ascii="Times New Roman" w:hAnsi="Times New Roman" w:eastAsia="Times New Roman" w:cs="Times New Roman"/>
                <w:sz w:val="21"/>
              </w:rPr>
              <w:t>SNS</w:t>
            </w:r>
            <w:r>
              <w:rPr>
                <w:rFonts w:hint="eastAsia" w:ascii="宋体" w:hAnsi="宋体" w:eastAsia="宋体" w:cs="宋体"/>
                <w:sz w:val="20"/>
              </w:rPr>
              <w:t>）</w:t>
            </w:r>
            <w:r>
              <w:rPr>
                <w:rFonts w:hint="eastAsia" w:ascii="宋体" w:hAnsi="宋体" w:eastAsia="宋体" w:cs="宋体"/>
                <w:sz w:val="21"/>
              </w:rPr>
              <w:t>的功能</w:t>
            </w:r>
            <w:r>
              <w:rPr>
                <w:rFonts w:hint="eastAsia" w:ascii="宋体" w:hAnsi="宋体" w:eastAsia="宋体" w:cs="宋体"/>
                <w:sz w:val="10"/>
              </w:rPr>
              <w:t>，</w:t>
            </w:r>
            <w:r>
              <w:rPr>
                <w:rFonts w:hint="eastAsia" w:ascii="宋体" w:hAnsi="宋体" w:eastAsia="宋体" w:cs="宋体"/>
                <w:sz w:val="21"/>
              </w:rPr>
              <w:t>实现应用级</w:t>
            </w:r>
          </w:p>
          <w:p>
            <w:pPr>
              <w:spacing w:before="100"/>
              <w:ind w:left="100"/>
            </w:pPr>
            <w:r>
              <w:rPr>
                <w:rFonts w:hint="eastAsia" w:ascii="宋体" w:hAnsi="宋体" w:eastAsia="宋体" w:cs="宋体"/>
                <w:sz w:val="21"/>
              </w:rPr>
              <w:t>别的信息共享和流通</w:t>
            </w:r>
            <w:r>
              <w:rPr>
                <w:rFonts w:hint="eastAsia" w:ascii="宋体" w:hAnsi="宋体" w:eastAsia="宋体" w:cs="宋体"/>
                <w:sz w:val="12"/>
              </w:rPr>
              <w:t>；</w:t>
            </w:r>
          </w:p>
          <w:p>
            <w:pPr>
              <w:spacing w:before="80"/>
              <w:ind w:left="100"/>
            </w:pPr>
            <w:r>
              <w:rPr>
                <w:rFonts w:hint="eastAsia" w:ascii="Times New Roman" w:hAnsi="Times New Roman" w:eastAsia="Times New Roman" w:cs="Times New Roman"/>
                <w:sz w:val="21"/>
              </w:rPr>
              <w:t>5</w:t>
            </w:r>
            <w:r>
              <w:rPr>
                <w:rFonts w:hint="eastAsia" w:ascii="宋体" w:hAnsi="宋体" w:eastAsia="宋体" w:cs="宋体"/>
                <w:sz w:val="20"/>
              </w:rPr>
              <w:t>）</w:t>
            </w:r>
            <w:r>
              <w:rPr>
                <w:rFonts w:hint="eastAsia" w:ascii="宋体" w:hAnsi="宋体" w:eastAsia="宋体" w:cs="宋体"/>
                <w:sz w:val="21"/>
              </w:rPr>
              <w:t>改进检索引擎</w:t>
            </w:r>
            <w:r>
              <w:rPr>
                <w:rFonts w:hint="eastAsia" w:ascii="宋体" w:hAnsi="宋体" w:eastAsia="宋体" w:cs="宋体"/>
                <w:sz w:val="10"/>
              </w:rPr>
              <w:t>，</w:t>
            </w:r>
            <w:r>
              <w:rPr>
                <w:rFonts w:hint="eastAsia" w:ascii="宋体" w:hAnsi="宋体" w:eastAsia="宋体" w:cs="宋体"/>
                <w:sz w:val="21"/>
              </w:rPr>
              <w:t>实现全文检索功能</w:t>
            </w:r>
            <w:r>
              <w:rPr>
                <w:rFonts w:hint="eastAsia" w:ascii="宋体" w:hAnsi="宋体" w:eastAsia="宋体" w:cs="宋体"/>
                <w:sz w:val="12"/>
              </w:rPr>
              <w:t>；</w:t>
            </w:r>
          </w:p>
          <w:p>
            <w:pPr>
              <w:spacing w:before="100"/>
              <w:ind w:left="100"/>
            </w:pPr>
            <w:r>
              <w:rPr>
                <w:rFonts w:hint="eastAsia" w:ascii="Times New Roman" w:hAnsi="Times New Roman" w:eastAsia="Times New Roman" w:cs="Times New Roman"/>
                <w:sz w:val="21"/>
              </w:rPr>
              <w:t>6</w:t>
            </w:r>
            <w:r>
              <w:rPr>
                <w:rFonts w:hint="eastAsia" w:ascii="宋体" w:hAnsi="宋体" w:eastAsia="宋体" w:cs="宋体"/>
                <w:sz w:val="20"/>
              </w:rPr>
              <w:t>）</w:t>
            </w:r>
            <w:r>
              <w:rPr>
                <w:rFonts w:hint="eastAsia" w:ascii="宋体" w:hAnsi="宋体" w:eastAsia="宋体" w:cs="宋体"/>
                <w:sz w:val="21"/>
              </w:rPr>
              <w:t>研发新版自由工作流模块和协同任务管理平台</w:t>
            </w:r>
          </w:p>
        </w:tc>
      </w:tr>
      <w:tr>
        <w:trPr>
          <w:trHeight w:val="2200" w:hRule="exact"/>
        </w:trPr>
        <w:tc>
          <w:tcPr>
            <w:tcW w:w="520" w:type="dxa"/>
            <w:tcMar>
              <w:top w:w="0" w:type="dxa"/>
              <w:left w:w="0" w:type="dxa"/>
              <w:bottom w:w="0" w:type="dxa"/>
              <w:right w:w="0" w:type="dxa"/>
            </w:tcMar>
          </w:tcPr>
          <w:p>
            <w:pPr>
              <w:spacing w:before="1020"/>
              <w:ind w:left="180"/>
            </w:pPr>
            <w:r>
              <w:rPr>
                <w:rFonts w:hint="eastAsia" w:ascii="Times New Roman" w:hAnsi="Times New Roman" w:eastAsia="Times New Roman" w:cs="Times New Roman"/>
                <w:sz w:val="21"/>
              </w:rPr>
              <w:t>2</w:t>
            </w:r>
          </w:p>
        </w:tc>
        <w:tc>
          <w:tcPr>
            <w:tcW w:w="1420" w:type="dxa"/>
            <w:tcMar>
              <w:top w:w="0" w:type="dxa"/>
              <w:left w:w="0" w:type="dxa"/>
              <w:bottom w:w="0" w:type="dxa"/>
              <w:right w:w="0" w:type="dxa"/>
            </w:tcMar>
          </w:tcPr>
          <w:p>
            <w:pPr>
              <w:spacing w:before="700"/>
              <w:ind w:left="180"/>
            </w:pPr>
            <w:r>
              <w:rPr>
                <w:rFonts w:hint="eastAsia" w:ascii="宋体" w:hAnsi="宋体" w:eastAsia="宋体" w:cs="宋体"/>
                <w:sz w:val="21"/>
              </w:rPr>
              <w:t>移动智能终</w:t>
            </w:r>
          </w:p>
          <w:p>
            <w:pPr>
              <w:spacing w:before="60"/>
              <w:ind w:left="180"/>
            </w:pPr>
            <w:r>
              <w:rPr>
                <w:rFonts w:hint="eastAsia" w:ascii="宋体" w:hAnsi="宋体" w:eastAsia="宋体" w:cs="宋体"/>
                <w:sz w:val="21"/>
              </w:rPr>
              <w:t>端的流程与</w:t>
            </w:r>
          </w:p>
          <w:p>
            <w:pPr>
              <w:spacing w:before="60"/>
              <w:ind w:left="280"/>
            </w:pPr>
            <w:r>
              <w:rPr>
                <w:rFonts w:hint="eastAsia" w:ascii="宋体" w:hAnsi="宋体" w:eastAsia="宋体" w:cs="宋体"/>
                <w:sz w:val="21"/>
              </w:rPr>
              <w:t>信息门户</w:t>
            </w:r>
          </w:p>
        </w:tc>
        <w:tc>
          <w:tcPr>
            <w:tcW w:w="1780" w:type="dxa"/>
            <w:tcMar>
              <w:top w:w="0" w:type="dxa"/>
              <w:left w:w="0" w:type="dxa"/>
              <w:bottom w:w="0" w:type="dxa"/>
              <w:right w:w="0" w:type="dxa"/>
            </w:tcMar>
          </w:tcPr>
          <w:p>
            <w:pPr>
              <w:spacing w:before="840"/>
              <w:ind w:left="180"/>
            </w:pPr>
            <w:r>
              <w:rPr>
                <w:rFonts w:hint="eastAsia" w:ascii="宋体" w:hAnsi="宋体" w:eastAsia="宋体" w:cs="宋体"/>
                <w:sz w:val="21"/>
              </w:rPr>
              <w:t>已经推出</w:t>
            </w:r>
            <w:r>
              <w:rPr>
                <w:rFonts w:hint="eastAsia" w:ascii="Times New Roman" w:hAnsi="Times New Roman" w:eastAsia="Times New Roman" w:cs="Times New Roman"/>
                <w:sz w:val="21"/>
              </w:rPr>
              <w:t xml:space="preserve"> 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r>
              <w:rPr>
                <w:rFonts w:hint="eastAsia" w:ascii="宋体" w:hAnsi="宋体" w:eastAsia="宋体" w:cs="宋体"/>
                <w:sz w:val="21"/>
              </w:rPr>
              <w:t xml:space="preserve"> 版</w:t>
            </w:r>
          </w:p>
          <w:p>
            <w:pPr>
              <w:spacing w:before="40"/>
              <w:ind w:left="780"/>
            </w:pPr>
            <w:r>
              <w:rPr>
                <w:rFonts w:hint="eastAsia" w:ascii="宋体" w:hAnsi="宋体" w:eastAsia="宋体" w:cs="宋体"/>
                <w:sz w:val="21"/>
              </w:rPr>
              <w:t>本</w:t>
            </w:r>
          </w:p>
        </w:tc>
        <w:tc>
          <w:tcPr>
            <w:tcW w:w="5540" w:type="dxa"/>
            <w:tcMar>
              <w:top w:w="0" w:type="dxa"/>
              <w:left w:w="0" w:type="dxa"/>
              <w:bottom w:w="0" w:type="dxa"/>
              <w:right w:w="0" w:type="dxa"/>
            </w:tcMar>
          </w:tcPr>
          <w:p>
            <w:pPr>
              <w:spacing w:before="20"/>
              <w:ind w:left="100"/>
            </w:pPr>
            <w:r>
              <w:rPr>
                <w:rFonts w:hint="eastAsia" w:ascii="Times New Roman" w:hAnsi="Times New Roman" w:eastAsia="Times New Roman" w:cs="Times New Roman"/>
                <w:sz w:val="21"/>
              </w:rPr>
              <w:t>1</w:t>
            </w:r>
            <w:r>
              <w:rPr>
                <w:rFonts w:hint="eastAsia" w:ascii="宋体" w:hAnsi="宋体" w:eastAsia="宋体" w:cs="宋体"/>
                <w:sz w:val="20"/>
              </w:rPr>
              <w:t>）</w:t>
            </w:r>
            <w:r>
              <w:rPr>
                <w:rFonts w:hint="eastAsia" w:ascii="宋体" w:hAnsi="宋体" w:eastAsia="宋体" w:cs="宋体"/>
                <w:sz w:val="21"/>
              </w:rPr>
              <w:t>业务整合平台实现对移动智能终端的支持</w:t>
            </w:r>
            <w:r>
              <w:rPr>
                <w:rFonts w:hint="eastAsia" w:ascii="宋体" w:hAnsi="宋体" w:eastAsia="宋体" w:cs="宋体"/>
                <w:sz w:val="10"/>
              </w:rPr>
              <w:t>，</w:t>
            </w:r>
            <w:r>
              <w:rPr>
                <w:rFonts w:hint="eastAsia" w:ascii="宋体" w:hAnsi="宋体" w:eastAsia="宋体" w:cs="宋体"/>
                <w:sz w:val="21"/>
              </w:rPr>
              <w:t>实现专业化</w:t>
            </w:r>
          </w:p>
          <w:p>
            <w:pPr>
              <w:spacing w:before="60"/>
              <w:ind w:left="100"/>
            </w:pPr>
            <w:r>
              <w:rPr>
                <w:rFonts w:hint="eastAsia" w:ascii="宋体" w:hAnsi="宋体" w:eastAsia="宋体" w:cs="宋体"/>
                <w:sz w:val="21"/>
              </w:rPr>
              <w:t>的协同</w:t>
            </w:r>
            <w:r>
              <w:rPr>
                <w:rFonts w:hint="eastAsia" w:ascii="宋体" w:hAnsi="宋体" w:eastAsia="宋体" w:cs="宋体"/>
                <w:sz w:val="10"/>
              </w:rPr>
              <w:t>、</w:t>
            </w:r>
            <w:r>
              <w:rPr>
                <w:rFonts w:hint="eastAsia" w:ascii="宋体" w:hAnsi="宋体" w:eastAsia="宋体" w:cs="宋体"/>
                <w:sz w:val="21"/>
              </w:rPr>
              <w:t>交流</w:t>
            </w:r>
            <w:r>
              <w:rPr>
                <w:rFonts w:hint="eastAsia" w:ascii="宋体" w:hAnsi="宋体" w:eastAsia="宋体" w:cs="宋体"/>
                <w:sz w:val="10"/>
              </w:rPr>
              <w:t>、</w:t>
            </w:r>
            <w:r>
              <w:rPr>
                <w:rFonts w:hint="eastAsia" w:ascii="宋体" w:hAnsi="宋体" w:eastAsia="宋体" w:cs="宋体"/>
                <w:sz w:val="21"/>
              </w:rPr>
              <w:t>服务</w:t>
            </w:r>
            <w:r>
              <w:rPr>
                <w:rFonts w:hint="eastAsia" w:ascii="宋体" w:hAnsi="宋体" w:eastAsia="宋体" w:cs="宋体"/>
                <w:sz w:val="10"/>
              </w:rPr>
              <w:t>、</w:t>
            </w:r>
            <w:r>
              <w:rPr>
                <w:rFonts w:hint="eastAsia" w:ascii="宋体" w:hAnsi="宋体" w:eastAsia="宋体" w:cs="宋体"/>
                <w:sz w:val="21"/>
              </w:rPr>
              <w:t>流程等远端业务功能</w:t>
            </w:r>
            <w:r>
              <w:rPr>
                <w:rFonts w:hint="eastAsia" w:ascii="宋体" w:hAnsi="宋体" w:eastAsia="宋体" w:cs="宋体"/>
                <w:sz w:val="12"/>
              </w:rPr>
              <w:t>；</w:t>
            </w:r>
          </w:p>
          <w:p>
            <w:pPr>
              <w:spacing w:before="60"/>
              <w:ind w:left="100"/>
            </w:pPr>
            <w:r>
              <w:rPr>
                <w:rFonts w:hint="eastAsia" w:ascii="Times New Roman" w:hAnsi="Times New Roman" w:eastAsia="Times New Roman" w:cs="Times New Roman"/>
                <w:sz w:val="21"/>
              </w:rPr>
              <w:t>2</w:t>
            </w:r>
            <w:r>
              <w:rPr>
                <w:rFonts w:hint="eastAsia" w:ascii="宋体" w:hAnsi="宋体" w:eastAsia="宋体" w:cs="宋体"/>
                <w:sz w:val="20"/>
              </w:rPr>
              <w:t>）</w:t>
            </w:r>
            <w:r>
              <w:rPr>
                <w:rFonts w:hint="eastAsia" w:ascii="宋体" w:hAnsi="宋体" w:eastAsia="宋体" w:cs="宋体"/>
                <w:sz w:val="21"/>
              </w:rPr>
              <w:t>提供对技术</w:t>
            </w:r>
            <w:r>
              <w:rPr>
                <w:rFonts w:hint="eastAsia" w:ascii="宋体" w:hAnsi="宋体" w:eastAsia="宋体" w:cs="宋体"/>
                <w:sz w:val="10"/>
              </w:rPr>
              <w:t>、</w:t>
            </w:r>
            <w:r>
              <w:rPr>
                <w:rFonts w:hint="eastAsia" w:ascii="宋体" w:hAnsi="宋体" w:eastAsia="宋体" w:cs="宋体"/>
                <w:sz w:val="21"/>
              </w:rPr>
              <w:t>业务平台</w:t>
            </w:r>
            <w:r>
              <w:rPr>
                <w:rFonts w:hint="eastAsia" w:ascii="宋体" w:hAnsi="宋体" w:eastAsia="宋体" w:cs="宋体"/>
                <w:sz w:val="20"/>
              </w:rPr>
              <w:t>（</w:t>
            </w:r>
            <w:r>
              <w:rPr>
                <w:rFonts w:hint="eastAsia" w:ascii="Times New Roman" w:hAnsi="Times New Roman" w:eastAsia="Times New Roman" w:cs="Times New Roman"/>
                <w:sz w:val="21"/>
              </w:rPr>
              <w:t>LiveBOS</w:t>
            </w:r>
            <w:r>
              <w:rPr>
                <w:rFonts w:hint="eastAsia" w:ascii="宋体" w:hAnsi="宋体" w:eastAsia="宋体" w:cs="宋体"/>
                <w:sz w:val="10"/>
              </w:rPr>
              <w:t>、</w:t>
            </w:r>
            <w:r>
              <w:rPr>
                <w:rFonts w:hint="eastAsia" w:ascii="Times New Roman" w:hAnsi="Times New Roman" w:eastAsia="Times New Roman" w:cs="Times New Roman"/>
                <w:sz w:val="21"/>
              </w:rPr>
              <w:t>CallCenter</w:t>
            </w:r>
            <w:r>
              <w:rPr>
                <w:rFonts w:hint="eastAsia" w:ascii="宋体" w:hAnsi="宋体" w:eastAsia="宋体" w:cs="宋体"/>
                <w:sz w:val="20"/>
              </w:rPr>
              <w:t>）</w:t>
            </w:r>
            <w:r>
              <w:rPr>
                <w:rFonts w:hint="eastAsia" w:ascii="宋体" w:hAnsi="宋体" w:eastAsia="宋体" w:cs="宋体"/>
                <w:sz w:val="21"/>
              </w:rPr>
              <w:t>的整合</w:t>
            </w:r>
            <w:r>
              <w:rPr>
                <w:rFonts w:hint="eastAsia" w:ascii="宋体" w:hAnsi="宋体" w:eastAsia="宋体" w:cs="宋体"/>
                <w:sz w:val="10"/>
              </w:rPr>
              <w:t>，</w:t>
            </w:r>
          </w:p>
          <w:p>
            <w:pPr>
              <w:spacing w:before="60"/>
              <w:ind w:left="100"/>
            </w:pPr>
            <w:r>
              <w:rPr>
                <w:rFonts w:hint="eastAsia" w:ascii="宋体" w:hAnsi="宋体" w:eastAsia="宋体" w:cs="宋体"/>
                <w:sz w:val="21"/>
              </w:rPr>
              <w:t>提供完整的端到端的解决方案</w:t>
            </w:r>
            <w:r>
              <w:rPr>
                <w:rFonts w:hint="eastAsia" w:ascii="宋体" w:hAnsi="宋体" w:eastAsia="宋体" w:cs="宋体"/>
                <w:sz w:val="12"/>
              </w:rPr>
              <w:t>；</w:t>
            </w:r>
          </w:p>
          <w:p>
            <w:pPr>
              <w:spacing w:before="40"/>
              <w:ind w:left="100"/>
            </w:pPr>
            <w:r>
              <w:rPr>
                <w:rFonts w:hint="eastAsia" w:ascii="Times New Roman" w:hAnsi="Times New Roman" w:eastAsia="Times New Roman" w:cs="Times New Roman"/>
                <w:sz w:val="21"/>
              </w:rPr>
              <w:t>3</w:t>
            </w:r>
            <w:r>
              <w:rPr>
                <w:rFonts w:hint="eastAsia" w:ascii="宋体" w:hAnsi="宋体" w:eastAsia="宋体" w:cs="宋体"/>
                <w:sz w:val="20"/>
              </w:rPr>
              <w:t>）</w:t>
            </w:r>
            <w:r>
              <w:rPr>
                <w:rFonts w:hint="eastAsia" w:ascii="宋体" w:hAnsi="宋体" w:eastAsia="宋体" w:cs="宋体"/>
                <w:sz w:val="21"/>
              </w:rPr>
              <w:t>新增流程协作</w:t>
            </w:r>
            <w:r>
              <w:rPr>
                <w:rFonts w:hint="eastAsia" w:ascii="宋体" w:hAnsi="宋体" w:eastAsia="宋体" w:cs="宋体"/>
                <w:sz w:val="10"/>
              </w:rPr>
              <w:t>、</w:t>
            </w:r>
            <w:r>
              <w:rPr>
                <w:rFonts w:hint="eastAsia" w:ascii="宋体" w:hAnsi="宋体" w:eastAsia="宋体" w:cs="宋体"/>
                <w:sz w:val="21"/>
              </w:rPr>
              <w:t>企业营销服务</w:t>
            </w:r>
            <w:r>
              <w:rPr>
                <w:rFonts w:hint="eastAsia" w:ascii="宋体" w:hAnsi="宋体" w:eastAsia="宋体" w:cs="宋体"/>
                <w:sz w:val="10"/>
              </w:rPr>
              <w:t>、</w:t>
            </w:r>
            <w:r>
              <w:rPr>
                <w:rFonts w:hint="eastAsia" w:ascii="宋体" w:hAnsi="宋体" w:eastAsia="宋体" w:cs="宋体"/>
                <w:sz w:val="21"/>
              </w:rPr>
              <w:t>社会化服务</w:t>
            </w:r>
            <w:r>
              <w:rPr>
                <w:rFonts w:hint="eastAsia" w:ascii="宋体" w:hAnsi="宋体" w:eastAsia="宋体" w:cs="宋体"/>
                <w:sz w:val="10"/>
              </w:rPr>
              <w:t>、</w:t>
            </w:r>
            <w:r>
              <w:rPr>
                <w:rFonts w:hint="eastAsia" w:ascii="宋体" w:hAnsi="宋体" w:eastAsia="宋体" w:cs="宋体"/>
                <w:sz w:val="21"/>
              </w:rPr>
              <w:t>非现场业</w:t>
            </w:r>
          </w:p>
          <w:p>
            <w:pPr>
              <w:spacing w:before="60"/>
              <w:ind w:left="100"/>
            </w:pPr>
            <w:r>
              <w:rPr>
                <w:rFonts w:hint="eastAsia" w:ascii="宋体" w:hAnsi="宋体" w:eastAsia="宋体" w:cs="宋体"/>
                <w:sz w:val="21"/>
              </w:rPr>
              <w:t>务办理等新业务应用</w:t>
            </w:r>
            <w:r>
              <w:rPr>
                <w:rFonts w:hint="eastAsia" w:ascii="宋体" w:hAnsi="宋体" w:eastAsia="宋体" w:cs="宋体"/>
                <w:sz w:val="12"/>
              </w:rPr>
              <w:t>；</w:t>
            </w:r>
          </w:p>
          <w:p>
            <w:pPr>
              <w:spacing w:before="60"/>
              <w:ind w:left="100"/>
            </w:pPr>
            <w:r>
              <w:rPr>
                <w:rFonts w:hint="eastAsia" w:ascii="Times New Roman" w:hAnsi="Times New Roman" w:eastAsia="Times New Roman" w:cs="Times New Roman"/>
                <w:sz w:val="21"/>
              </w:rPr>
              <w:t>4</w:t>
            </w:r>
            <w:r>
              <w:rPr>
                <w:rFonts w:hint="eastAsia" w:ascii="宋体" w:hAnsi="宋体" w:eastAsia="宋体" w:cs="宋体"/>
                <w:sz w:val="20"/>
              </w:rPr>
              <w:t>）</w:t>
            </w:r>
            <w:r>
              <w:rPr>
                <w:rFonts w:hint="eastAsia" w:ascii="宋体" w:hAnsi="宋体" w:eastAsia="宋体" w:cs="宋体"/>
                <w:sz w:val="21"/>
              </w:rPr>
              <w:t>加入座席</w:t>
            </w:r>
            <w:r>
              <w:rPr>
                <w:rFonts w:hint="eastAsia" w:ascii="宋体" w:hAnsi="宋体" w:eastAsia="宋体" w:cs="宋体"/>
                <w:sz w:val="10"/>
              </w:rPr>
              <w:t>、</w:t>
            </w:r>
            <w:r>
              <w:rPr>
                <w:rFonts w:hint="eastAsia" w:ascii="宋体" w:hAnsi="宋体" w:eastAsia="宋体" w:cs="宋体"/>
                <w:sz w:val="21"/>
              </w:rPr>
              <w:t>远程会议</w:t>
            </w:r>
            <w:r>
              <w:rPr>
                <w:rFonts w:hint="eastAsia" w:ascii="宋体" w:hAnsi="宋体" w:eastAsia="宋体" w:cs="宋体"/>
                <w:sz w:val="10"/>
              </w:rPr>
              <w:t>、</w:t>
            </w:r>
            <w:r>
              <w:rPr>
                <w:rFonts w:hint="eastAsia" w:ascii="宋体" w:hAnsi="宋体" w:eastAsia="宋体" w:cs="宋体"/>
                <w:sz w:val="21"/>
              </w:rPr>
              <w:t>多媒体等技术服务</w:t>
            </w:r>
            <w:r>
              <w:rPr>
                <w:rFonts w:hint="eastAsia" w:ascii="宋体" w:hAnsi="宋体" w:eastAsia="宋体" w:cs="宋体"/>
                <w:sz w:val="12"/>
              </w:rPr>
              <w:t>；</w:t>
            </w:r>
          </w:p>
          <w:p>
            <w:pPr>
              <w:spacing w:before="60"/>
              <w:ind w:left="100"/>
            </w:pPr>
            <w:r>
              <w:rPr>
                <w:rFonts w:hint="eastAsia" w:ascii="Times New Roman" w:hAnsi="Times New Roman" w:eastAsia="Times New Roman" w:cs="Times New Roman"/>
                <w:sz w:val="21"/>
              </w:rPr>
              <w:t>5</w:t>
            </w:r>
            <w:r>
              <w:rPr>
                <w:rFonts w:hint="eastAsia" w:ascii="宋体" w:hAnsi="宋体" w:eastAsia="宋体" w:cs="宋体"/>
                <w:sz w:val="20"/>
              </w:rPr>
              <w:t>）</w:t>
            </w:r>
            <w:r>
              <w:rPr>
                <w:rFonts w:hint="eastAsia" w:ascii="宋体" w:hAnsi="宋体" w:eastAsia="宋体" w:cs="宋体"/>
                <w:sz w:val="21"/>
              </w:rPr>
              <w:t>支持更多的智能终端系统</w:t>
            </w:r>
            <w:r>
              <w:rPr>
                <w:rFonts w:hint="eastAsia" w:ascii="宋体" w:hAnsi="宋体" w:eastAsia="宋体" w:cs="宋体"/>
                <w:sz w:val="10"/>
              </w:rPr>
              <w:t>，</w:t>
            </w:r>
            <w:r>
              <w:rPr>
                <w:rFonts w:hint="eastAsia" w:ascii="宋体" w:hAnsi="宋体" w:eastAsia="宋体" w:cs="宋体"/>
                <w:sz w:val="21"/>
              </w:rPr>
              <w:t>包括</w:t>
            </w:r>
            <w:r>
              <w:rPr>
                <w:rFonts w:hint="eastAsia" w:ascii="Times New Roman" w:hAnsi="Times New Roman" w:eastAsia="Times New Roman" w:cs="Times New Roman"/>
                <w:sz w:val="21"/>
              </w:rPr>
              <w:t xml:space="preserve"> iOS</w:t>
            </w:r>
            <w:r>
              <w:rPr>
                <w:rFonts w:hint="eastAsia" w:ascii="宋体" w:hAnsi="宋体" w:eastAsia="宋体" w:cs="宋体"/>
                <w:sz w:val="10"/>
              </w:rPr>
              <w:t>、</w:t>
            </w:r>
            <w:r>
              <w:rPr>
                <w:rFonts w:hint="eastAsia" w:ascii="Times New Roman" w:hAnsi="Times New Roman" w:eastAsia="Times New Roman" w:cs="Times New Roman"/>
                <w:sz w:val="21"/>
              </w:rPr>
              <w:t>android</w:t>
            </w:r>
          </w:p>
        </w:tc>
      </w:tr>
      <w:tr>
        <w:trPr>
          <w:trHeight w:val="1360" w:hRule="exact"/>
        </w:trPr>
        <w:tc>
          <w:tcPr>
            <w:tcW w:w="520" w:type="dxa"/>
            <w:tcMar>
              <w:top w:w="0" w:type="dxa"/>
              <w:left w:w="0" w:type="dxa"/>
              <w:bottom w:w="0" w:type="dxa"/>
              <w:right w:w="0" w:type="dxa"/>
            </w:tcMar>
          </w:tcPr>
          <w:p>
            <w:pPr>
              <w:spacing w:before="600"/>
              <w:ind w:left="180"/>
            </w:pPr>
            <w:r>
              <w:rPr>
                <w:rFonts w:hint="eastAsia" w:ascii="Times New Roman" w:hAnsi="Times New Roman" w:eastAsia="Times New Roman" w:cs="Times New Roman"/>
                <w:sz w:val="21"/>
              </w:rPr>
              <w:t>3</w:t>
            </w:r>
          </w:p>
        </w:tc>
        <w:tc>
          <w:tcPr>
            <w:tcW w:w="1420" w:type="dxa"/>
            <w:tcMar>
              <w:top w:w="0" w:type="dxa"/>
              <w:left w:w="0" w:type="dxa"/>
              <w:bottom w:w="0" w:type="dxa"/>
              <w:right w:w="0" w:type="dxa"/>
            </w:tcMar>
          </w:tcPr>
          <w:p>
            <w:pPr>
              <w:spacing w:before="20"/>
              <w:ind w:left="180"/>
            </w:pPr>
            <w:r>
              <w:rPr>
                <w:rFonts w:hint="eastAsia" w:ascii="宋体" w:hAnsi="宋体" w:eastAsia="宋体" w:cs="宋体"/>
                <w:sz w:val="21"/>
              </w:rPr>
              <w:t>跨系统统</w:t>
            </w:r>
            <w:r>
              <w:rPr>
                <w:rFonts w:hint="eastAsia" w:ascii="宋体" w:hAnsi="宋体" w:eastAsia="宋体" w:cs="宋体"/>
                <w:sz w:val="20"/>
              </w:rPr>
              <w:t>一</w:t>
            </w:r>
          </w:p>
          <w:p>
            <w:pPr>
              <w:spacing w:before="60"/>
              <w:ind w:left="100"/>
            </w:pPr>
            <w:r>
              <w:rPr>
                <w:rFonts w:hint="eastAsia" w:ascii="宋体" w:hAnsi="宋体" w:eastAsia="宋体" w:cs="宋体"/>
                <w:sz w:val="21"/>
              </w:rPr>
              <w:t>用户</w:t>
            </w:r>
            <w:r>
              <w:rPr>
                <w:rFonts w:hint="eastAsia" w:ascii="宋体" w:hAnsi="宋体" w:eastAsia="宋体" w:cs="宋体"/>
                <w:sz w:val="10"/>
              </w:rPr>
              <w:t>、</w:t>
            </w:r>
            <w:r>
              <w:rPr>
                <w:rFonts w:hint="eastAsia" w:ascii="宋体" w:hAnsi="宋体" w:eastAsia="宋体" w:cs="宋体"/>
                <w:sz w:val="21"/>
              </w:rPr>
              <w:t>流程</w:t>
            </w:r>
            <w:r>
              <w:rPr>
                <w:rFonts w:hint="eastAsia" w:ascii="宋体" w:hAnsi="宋体" w:eastAsia="宋体" w:cs="宋体"/>
                <w:sz w:val="10"/>
              </w:rPr>
              <w:t>、</w:t>
            </w:r>
          </w:p>
          <w:p>
            <w:pPr>
              <w:spacing w:before="60"/>
              <w:ind w:left="180"/>
            </w:pPr>
            <w:r>
              <w:rPr>
                <w:rFonts w:hint="eastAsia" w:ascii="宋体" w:hAnsi="宋体" w:eastAsia="宋体" w:cs="宋体"/>
                <w:sz w:val="21"/>
              </w:rPr>
              <w:t>权限整合管</w:t>
            </w:r>
          </w:p>
          <w:p>
            <w:pPr>
              <w:spacing w:before="60"/>
              <w:ind w:left="180"/>
            </w:pPr>
            <w:r>
              <w:rPr>
                <w:rFonts w:hint="eastAsia" w:ascii="宋体" w:hAnsi="宋体" w:eastAsia="宋体" w:cs="宋体"/>
                <w:sz w:val="21"/>
              </w:rPr>
              <w:t>理与认证系</w:t>
            </w:r>
          </w:p>
          <w:p>
            <w:pPr>
              <w:spacing w:before="60"/>
              <w:ind w:left="600"/>
            </w:pPr>
            <w:r>
              <w:rPr>
                <w:rFonts w:hint="eastAsia" w:ascii="宋体" w:hAnsi="宋体" w:eastAsia="宋体" w:cs="宋体"/>
                <w:sz w:val="21"/>
              </w:rPr>
              <w:t>统</w:t>
            </w:r>
          </w:p>
        </w:tc>
        <w:tc>
          <w:tcPr>
            <w:tcW w:w="1780" w:type="dxa"/>
            <w:tcMar>
              <w:top w:w="0" w:type="dxa"/>
              <w:left w:w="0" w:type="dxa"/>
              <w:bottom w:w="0" w:type="dxa"/>
              <w:right w:w="0" w:type="dxa"/>
            </w:tcMar>
          </w:tcPr>
          <w:p>
            <w:pPr>
              <w:spacing w:before="420"/>
              <w:ind w:left="180"/>
            </w:pPr>
            <w:r>
              <w:rPr>
                <w:rFonts w:hint="eastAsia" w:ascii="宋体" w:hAnsi="宋体" w:eastAsia="宋体" w:cs="宋体"/>
                <w:sz w:val="21"/>
              </w:rPr>
              <w:t>已经推出</w:t>
            </w:r>
            <w:r>
              <w:rPr>
                <w:rFonts w:hint="eastAsia" w:ascii="Times New Roman" w:hAnsi="Times New Roman" w:eastAsia="Times New Roman" w:cs="Times New Roman"/>
                <w:sz w:val="21"/>
              </w:rPr>
              <w:t xml:space="preserve"> 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w:t>
            </w:r>
            <w:r>
              <w:rPr>
                <w:rFonts w:hint="eastAsia" w:ascii="宋体" w:hAnsi="宋体" w:eastAsia="宋体" w:cs="宋体"/>
                <w:sz w:val="21"/>
              </w:rPr>
              <w:t xml:space="preserve"> 版</w:t>
            </w:r>
          </w:p>
          <w:p>
            <w:pPr>
              <w:spacing w:before="40"/>
              <w:ind w:left="780"/>
            </w:pPr>
            <w:r>
              <w:rPr>
                <w:rFonts w:hint="eastAsia" w:ascii="宋体" w:hAnsi="宋体" w:eastAsia="宋体" w:cs="宋体"/>
                <w:sz w:val="21"/>
              </w:rPr>
              <w:t>本</w:t>
            </w:r>
          </w:p>
        </w:tc>
        <w:tc>
          <w:tcPr>
            <w:tcW w:w="5540" w:type="dxa"/>
            <w:tcMar>
              <w:top w:w="0" w:type="dxa"/>
              <w:left w:w="0" w:type="dxa"/>
              <w:bottom w:w="0" w:type="dxa"/>
              <w:right w:w="0" w:type="dxa"/>
            </w:tcMar>
          </w:tcPr>
          <w:p>
            <w:pPr>
              <w:spacing w:before="0"/>
              <w:ind w:left="100"/>
            </w:pPr>
            <w:r>
              <w:rPr>
                <w:rFonts w:hint="eastAsia" w:ascii="Times New Roman" w:hAnsi="Times New Roman" w:eastAsia="Times New Roman" w:cs="Times New Roman"/>
                <w:sz w:val="21"/>
              </w:rPr>
              <w:t>1</w:t>
            </w:r>
            <w:r>
              <w:rPr>
                <w:rFonts w:hint="eastAsia" w:ascii="宋体" w:hAnsi="宋体" w:eastAsia="宋体" w:cs="宋体"/>
                <w:sz w:val="20"/>
              </w:rPr>
              <w:t>）</w:t>
            </w:r>
            <w:r>
              <w:rPr>
                <w:rFonts w:hint="eastAsia" w:ascii="宋体" w:hAnsi="宋体" w:eastAsia="宋体" w:cs="宋体"/>
                <w:sz w:val="21"/>
              </w:rPr>
              <w:t>增加身份认证的识别方式</w:t>
            </w:r>
            <w:r>
              <w:rPr>
                <w:rFonts w:hint="eastAsia" w:ascii="宋体" w:hAnsi="宋体" w:eastAsia="宋体" w:cs="宋体"/>
                <w:sz w:val="10"/>
              </w:rPr>
              <w:t>，</w:t>
            </w:r>
            <w:r>
              <w:rPr>
                <w:rFonts w:hint="eastAsia" w:ascii="宋体" w:hAnsi="宋体" w:eastAsia="宋体" w:cs="宋体"/>
                <w:sz w:val="21"/>
              </w:rPr>
              <w:t>包括动态令牌</w:t>
            </w:r>
            <w:r>
              <w:rPr>
                <w:rFonts w:hint="eastAsia" w:ascii="宋体" w:hAnsi="宋体" w:eastAsia="宋体" w:cs="宋体"/>
                <w:sz w:val="10"/>
              </w:rPr>
              <w:t>、</w:t>
            </w:r>
            <w:r>
              <w:rPr>
                <w:rFonts w:hint="eastAsia" w:ascii="宋体" w:hAnsi="宋体" w:eastAsia="宋体" w:cs="宋体"/>
                <w:sz w:val="21"/>
              </w:rPr>
              <w:t>第三方</w:t>
            </w:r>
            <w:r>
              <w:rPr>
                <w:rFonts w:hint="eastAsia" w:ascii="Times New Roman" w:hAnsi="Times New Roman" w:eastAsia="Times New Roman" w:cs="Times New Roman"/>
                <w:sz w:val="21"/>
              </w:rPr>
              <w:t xml:space="preserve"> CA</w:t>
            </w:r>
          </w:p>
          <w:p>
            <w:pPr>
              <w:spacing w:before="60"/>
              <w:ind w:left="100"/>
            </w:pPr>
            <w:r>
              <w:rPr>
                <w:rFonts w:hint="eastAsia" w:ascii="宋体" w:hAnsi="宋体" w:eastAsia="宋体" w:cs="宋体"/>
                <w:sz w:val="21"/>
              </w:rPr>
              <w:t>证书的支持</w:t>
            </w:r>
            <w:r>
              <w:rPr>
                <w:rFonts w:hint="eastAsia" w:ascii="宋体" w:hAnsi="宋体" w:eastAsia="宋体" w:cs="宋体"/>
                <w:sz w:val="12"/>
              </w:rPr>
              <w:t>；</w:t>
            </w:r>
          </w:p>
          <w:p>
            <w:pPr>
              <w:spacing w:before="60"/>
              <w:ind w:left="100"/>
            </w:pPr>
            <w:r>
              <w:rPr>
                <w:rFonts w:hint="eastAsia" w:ascii="Times New Roman" w:hAnsi="Times New Roman" w:eastAsia="Times New Roman" w:cs="Times New Roman"/>
                <w:sz w:val="21"/>
              </w:rPr>
              <w:t>2</w:t>
            </w:r>
            <w:r>
              <w:rPr>
                <w:rFonts w:hint="eastAsia" w:ascii="宋体" w:hAnsi="宋体" w:eastAsia="宋体" w:cs="宋体"/>
                <w:sz w:val="20"/>
              </w:rPr>
              <w:t>）</w:t>
            </w:r>
            <w:r>
              <w:rPr>
                <w:rFonts w:hint="eastAsia" w:ascii="宋体" w:hAnsi="宋体" w:eastAsia="宋体" w:cs="宋体"/>
                <w:sz w:val="21"/>
              </w:rPr>
              <w:t>在权限管理实现上进</w:t>
            </w:r>
            <w:r>
              <w:rPr>
                <w:rFonts w:hint="eastAsia" w:ascii="宋体" w:hAnsi="宋体" w:eastAsia="宋体" w:cs="宋体"/>
                <w:sz w:val="20"/>
              </w:rPr>
              <w:t>一</w:t>
            </w:r>
            <w:r>
              <w:rPr>
                <w:rFonts w:hint="eastAsia" w:ascii="宋体" w:hAnsi="宋体" w:eastAsia="宋体" w:cs="宋体"/>
                <w:sz w:val="21"/>
              </w:rPr>
              <w:t>步系统化</w:t>
            </w:r>
            <w:r>
              <w:rPr>
                <w:rFonts w:hint="eastAsia" w:ascii="宋体" w:hAnsi="宋体" w:eastAsia="宋体" w:cs="宋体"/>
                <w:sz w:val="10"/>
              </w:rPr>
              <w:t>，</w:t>
            </w:r>
            <w:r>
              <w:rPr>
                <w:rFonts w:hint="eastAsia" w:ascii="宋体" w:hAnsi="宋体" w:eastAsia="宋体" w:cs="宋体"/>
                <w:sz w:val="21"/>
              </w:rPr>
              <w:t>提高被整合系统管理</w:t>
            </w:r>
          </w:p>
          <w:p>
            <w:pPr>
              <w:spacing w:before="60"/>
              <w:ind w:left="100"/>
            </w:pPr>
            <w:r>
              <w:rPr>
                <w:rFonts w:hint="eastAsia" w:ascii="宋体" w:hAnsi="宋体" w:eastAsia="宋体" w:cs="宋体"/>
                <w:sz w:val="21"/>
              </w:rPr>
              <w:t>操作的友好性</w:t>
            </w:r>
            <w:r>
              <w:rPr>
                <w:rFonts w:hint="eastAsia" w:ascii="宋体" w:hAnsi="宋体" w:eastAsia="宋体" w:cs="宋体"/>
                <w:sz w:val="10"/>
              </w:rPr>
              <w:t>，</w:t>
            </w:r>
            <w:r>
              <w:rPr>
                <w:rFonts w:hint="eastAsia" w:ascii="宋体" w:hAnsi="宋体" w:eastAsia="宋体" w:cs="宋体"/>
                <w:sz w:val="21"/>
              </w:rPr>
              <w:t>简化操作步骤</w:t>
            </w:r>
            <w:r>
              <w:rPr>
                <w:rFonts w:hint="eastAsia" w:ascii="宋体" w:hAnsi="宋体" w:eastAsia="宋体" w:cs="宋体"/>
                <w:sz w:val="10"/>
              </w:rPr>
              <w:t>；</w:t>
            </w:r>
          </w:p>
          <w:p>
            <w:pPr>
              <w:spacing w:before="60"/>
              <w:ind w:left="1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宋体" w:hAnsi="宋体" w:eastAsia="宋体" w:cs="宋体"/>
                <w:sz w:val="21"/>
              </w:rPr>
              <w:t xml:space="preserve"> 加入更为多样的开放协议</w:t>
            </w:r>
          </w:p>
        </w:tc>
      </w:tr>
    </w:tbl>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1-1-175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20"/>
        <w:gridCol w:w="1420"/>
        <w:gridCol w:w="1780"/>
        <w:gridCol w:w="5540"/>
      </w:tblGrid>
      <w:tr>
        <w:trPr>
          <w:trHeight w:val="1100" w:hRule="exact"/>
        </w:trPr>
        <w:tc>
          <w:tcPr>
            <w:tcW w:w="520" w:type="dxa"/>
            <w:tcMar>
              <w:top w:w="0" w:type="dxa"/>
              <w:left w:w="0" w:type="dxa"/>
              <w:bottom w:w="0" w:type="dxa"/>
              <w:right w:w="0" w:type="dxa"/>
            </w:tcMar>
          </w:tcPr>
          <w:p>
            <w:pPr>
              <w:spacing w:before="480"/>
              <w:ind w:left="180"/>
            </w:pPr>
            <w:r>
              <w:rPr>
                <w:rFonts w:hint="eastAsia" w:ascii="Times New Roman" w:hAnsi="Times New Roman" w:eastAsia="Times New Roman" w:cs="Times New Roman"/>
                <w:sz w:val="21"/>
              </w:rPr>
              <w:t>4</w:t>
            </w:r>
          </w:p>
        </w:tc>
        <w:tc>
          <w:tcPr>
            <w:tcW w:w="1420" w:type="dxa"/>
            <w:tcMar>
              <w:top w:w="0" w:type="dxa"/>
              <w:left w:w="0" w:type="dxa"/>
              <w:bottom w:w="0" w:type="dxa"/>
              <w:right w:w="0" w:type="dxa"/>
            </w:tcMar>
          </w:tcPr>
          <w:p>
            <w:pPr>
              <w:spacing w:before="420"/>
              <w:ind w:left="180"/>
            </w:pPr>
            <w:r>
              <w:rPr>
                <w:rFonts w:hint="eastAsia" w:ascii="宋体" w:hAnsi="宋体" w:eastAsia="宋体" w:cs="宋体"/>
                <w:sz w:val="21"/>
              </w:rPr>
              <w:t>云计算技术</w:t>
            </w:r>
          </w:p>
        </w:tc>
        <w:tc>
          <w:tcPr>
            <w:tcW w:w="1780" w:type="dxa"/>
            <w:tcMar>
              <w:top w:w="0" w:type="dxa"/>
              <w:left w:w="0" w:type="dxa"/>
              <w:bottom w:w="0" w:type="dxa"/>
              <w:right w:w="0" w:type="dxa"/>
            </w:tcMar>
          </w:tcPr>
          <w:p>
            <w:pPr>
              <w:spacing w:before="420"/>
              <w:ind w:left="360"/>
            </w:pPr>
            <w:r>
              <w:rPr>
                <w:rFonts w:hint="eastAsia" w:ascii="宋体" w:hAnsi="宋体" w:eastAsia="宋体" w:cs="宋体"/>
                <w:sz w:val="21"/>
              </w:rPr>
              <w:t>继续升级中</w:t>
            </w:r>
          </w:p>
        </w:tc>
        <w:tc>
          <w:tcPr>
            <w:tcW w:w="5540" w:type="dxa"/>
            <w:tcMar>
              <w:top w:w="0" w:type="dxa"/>
              <w:left w:w="0" w:type="dxa"/>
              <w:bottom w:w="0" w:type="dxa"/>
              <w:right w:w="0" w:type="dxa"/>
            </w:tcMar>
          </w:tcPr>
          <w:p>
            <w:pPr>
              <w:spacing w:before="20"/>
              <w:ind w:left="100"/>
            </w:pPr>
            <w:r>
              <w:rPr>
                <w:rFonts w:hint="eastAsia" w:ascii="Times New Roman" w:hAnsi="Times New Roman" w:eastAsia="Times New Roman" w:cs="Times New Roman"/>
                <w:sz w:val="21"/>
              </w:rPr>
              <w:t>1</w:t>
            </w:r>
            <w:r>
              <w:rPr>
                <w:rFonts w:hint="eastAsia" w:ascii="宋体" w:hAnsi="宋体" w:eastAsia="宋体" w:cs="宋体"/>
                <w:sz w:val="20"/>
              </w:rPr>
              <w:t>）</w:t>
            </w:r>
            <w:r>
              <w:rPr>
                <w:rFonts w:hint="eastAsia" w:ascii="宋体" w:hAnsi="宋体" w:eastAsia="宋体" w:cs="宋体"/>
                <w:sz w:val="21"/>
              </w:rPr>
              <w:t>实现对单个或多个数据库下多租户</w:t>
            </w:r>
            <w:r>
              <w:rPr>
                <w:rFonts w:hint="eastAsia" w:ascii="宋体" w:hAnsi="宋体" w:eastAsia="宋体" w:cs="宋体"/>
                <w:sz w:val="20"/>
              </w:rPr>
              <w:t>（</w:t>
            </w:r>
            <w:r>
              <w:rPr>
                <w:rFonts w:hint="eastAsia" w:ascii="宋体" w:hAnsi="宋体" w:eastAsia="宋体" w:cs="宋体"/>
                <w:sz w:val="21"/>
              </w:rPr>
              <w:t>用户</w:t>
            </w:r>
            <w:r>
              <w:rPr>
                <w:rFonts w:hint="eastAsia" w:ascii="宋体" w:hAnsi="宋体" w:eastAsia="宋体" w:cs="宋体"/>
                <w:sz w:val="20"/>
              </w:rPr>
              <w:t>）</w:t>
            </w:r>
            <w:r>
              <w:rPr>
                <w:rFonts w:hint="eastAsia" w:ascii="宋体" w:hAnsi="宋体" w:eastAsia="宋体" w:cs="宋体"/>
                <w:sz w:val="21"/>
              </w:rPr>
              <w:t>的支持</w:t>
            </w:r>
            <w:r>
              <w:rPr>
                <w:rFonts w:hint="eastAsia" w:ascii="宋体" w:hAnsi="宋体" w:eastAsia="宋体" w:cs="宋体"/>
                <w:sz w:val="12"/>
              </w:rPr>
              <w:t>；</w:t>
            </w:r>
          </w:p>
          <w:p>
            <w:pPr>
              <w:spacing w:before="40"/>
              <w:ind w:left="100"/>
            </w:pPr>
            <w:r>
              <w:rPr>
                <w:rFonts w:hint="eastAsia" w:ascii="Times New Roman" w:hAnsi="Times New Roman" w:eastAsia="Times New Roman" w:cs="Times New Roman"/>
                <w:sz w:val="21"/>
              </w:rPr>
              <w:t>2</w:t>
            </w:r>
            <w:r>
              <w:rPr>
                <w:rFonts w:hint="eastAsia" w:ascii="宋体" w:hAnsi="宋体" w:eastAsia="宋体" w:cs="宋体"/>
                <w:sz w:val="20"/>
              </w:rPr>
              <w:t>）</w:t>
            </w:r>
            <w:r>
              <w:rPr>
                <w:rFonts w:hint="eastAsia" w:ascii="宋体" w:hAnsi="宋体" w:eastAsia="宋体" w:cs="宋体"/>
                <w:sz w:val="21"/>
              </w:rPr>
              <w:t>数据存储实现分布式存储的功能</w:t>
            </w:r>
            <w:r>
              <w:rPr>
                <w:rFonts w:hint="eastAsia" w:ascii="宋体" w:hAnsi="宋体" w:eastAsia="宋体" w:cs="宋体"/>
                <w:sz w:val="10"/>
              </w:rPr>
              <w:t>；</w:t>
            </w:r>
          </w:p>
          <w:p>
            <w:pPr>
              <w:spacing w:before="60"/>
              <w:ind w:left="100"/>
            </w:pPr>
            <w:r>
              <w:rPr>
                <w:rFonts w:hint="eastAsia" w:ascii="Times New Roman" w:hAnsi="Times New Roman" w:eastAsia="Times New Roman" w:cs="Times New Roman"/>
                <w:sz w:val="21"/>
              </w:rPr>
              <w:t>3</w:t>
            </w:r>
            <w:r>
              <w:rPr>
                <w:rFonts w:hint="eastAsia" w:ascii="宋体" w:hAnsi="宋体" w:eastAsia="宋体" w:cs="宋体"/>
                <w:sz w:val="20"/>
              </w:rPr>
              <w:t>）</w:t>
            </w:r>
            <w:r>
              <w:rPr>
                <w:rFonts w:hint="eastAsia" w:ascii="Times New Roman" w:hAnsi="Times New Roman" w:eastAsia="Times New Roman" w:cs="Times New Roman"/>
                <w:sz w:val="21"/>
              </w:rPr>
              <w:t>PAAS</w:t>
            </w:r>
            <w:r>
              <w:rPr>
                <w:rFonts w:hint="eastAsia" w:ascii="宋体" w:hAnsi="宋体" w:eastAsia="宋体" w:cs="宋体"/>
                <w:sz w:val="21"/>
              </w:rPr>
              <w:t xml:space="preserve"> 的平台性能全面支持</w:t>
            </w:r>
            <w:r>
              <w:rPr>
                <w:rFonts w:hint="eastAsia" w:ascii="宋体" w:hAnsi="宋体" w:eastAsia="宋体" w:cs="宋体"/>
                <w:sz w:val="12"/>
              </w:rPr>
              <w:t>；</w:t>
            </w:r>
          </w:p>
          <w:p>
            <w:pPr>
              <w:spacing w:before="40"/>
              <w:ind w:left="100"/>
            </w:pPr>
            <w:r>
              <w:rPr>
                <w:rFonts w:hint="eastAsia" w:ascii="Times New Roman" w:hAnsi="Times New Roman" w:eastAsia="Times New Roman" w:cs="Times New Roman"/>
                <w:sz w:val="21"/>
              </w:rPr>
              <w:t>4</w:t>
            </w:r>
            <w:r>
              <w:rPr>
                <w:rFonts w:hint="eastAsia" w:ascii="宋体" w:hAnsi="宋体" w:eastAsia="宋体" w:cs="宋体"/>
                <w:sz w:val="20"/>
              </w:rPr>
              <w:t>）</w:t>
            </w:r>
            <w:r>
              <w:rPr>
                <w:rFonts w:hint="eastAsia" w:ascii="宋体" w:hAnsi="宋体" w:eastAsia="宋体" w:cs="宋体"/>
                <w:sz w:val="21"/>
              </w:rPr>
              <w:t>建立企业账户系统私有云服务</w:t>
            </w:r>
          </w:p>
        </w:tc>
      </w:tr>
      <w:tr>
        <w:trPr>
          <w:trHeight w:val="1100" w:hRule="exact"/>
        </w:trPr>
        <w:tc>
          <w:tcPr>
            <w:tcW w:w="520" w:type="dxa"/>
            <w:tcMar>
              <w:top w:w="0" w:type="dxa"/>
              <w:left w:w="0" w:type="dxa"/>
              <w:bottom w:w="0" w:type="dxa"/>
              <w:right w:w="0" w:type="dxa"/>
            </w:tcMar>
          </w:tcPr>
          <w:p>
            <w:pPr>
              <w:spacing w:before="480"/>
              <w:ind w:left="180"/>
            </w:pPr>
            <w:r>
              <w:rPr>
                <w:rFonts w:hint="eastAsia" w:ascii="Times New Roman" w:hAnsi="Times New Roman" w:eastAsia="Times New Roman" w:cs="Times New Roman"/>
                <w:sz w:val="21"/>
              </w:rPr>
              <w:t>5</w:t>
            </w:r>
          </w:p>
        </w:tc>
        <w:tc>
          <w:tcPr>
            <w:tcW w:w="1420" w:type="dxa"/>
            <w:tcMar>
              <w:top w:w="0" w:type="dxa"/>
              <w:left w:w="0" w:type="dxa"/>
              <w:bottom w:w="0" w:type="dxa"/>
              <w:right w:w="0" w:type="dxa"/>
            </w:tcMar>
          </w:tcPr>
          <w:p>
            <w:pPr>
              <w:spacing w:before="420"/>
              <w:ind w:left="380"/>
            </w:pPr>
            <w:r>
              <w:rPr>
                <w:rFonts w:hint="eastAsia" w:ascii="宋体" w:hAnsi="宋体" w:eastAsia="宋体" w:cs="宋体"/>
                <w:sz w:val="21"/>
              </w:rPr>
              <w:t>大数据</w:t>
            </w:r>
          </w:p>
        </w:tc>
        <w:tc>
          <w:tcPr>
            <w:tcW w:w="1780" w:type="dxa"/>
            <w:tcMar>
              <w:top w:w="0" w:type="dxa"/>
              <w:left w:w="0" w:type="dxa"/>
              <w:bottom w:w="0" w:type="dxa"/>
              <w:right w:w="0" w:type="dxa"/>
            </w:tcMar>
          </w:tcPr>
          <w:p>
            <w:pPr>
              <w:spacing w:before="420"/>
              <w:ind w:left="360"/>
            </w:pPr>
            <w:r>
              <w:rPr>
                <w:rFonts w:hint="eastAsia" w:ascii="宋体" w:hAnsi="宋体" w:eastAsia="宋体" w:cs="宋体"/>
                <w:sz w:val="21"/>
              </w:rPr>
              <w:t>继续升级中</w:t>
            </w:r>
          </w:p>
        </w:tc>
        <w:tc>
          <w:tcPr>
            <w:tcW w:w="5540" w:type="dxa"/>
            <w:tcMar>
              <w:top w:w="0" w:type="dxa"/>
              <w:left w:w="0" w:type="dxa"/>
              <w:bottom w:w="0" w:type="dxa"/>
              <w:right w:w="0" w:type="dxa"/>
            </w:tcMar>
          </w:tcPr>
          <w:p>
            <w:pPr>
              <w:spacing w:before="20"/>
              <w:ind w:left="1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宋体" w:hAnsi="宋体" w:eastAsia="宋体" w:cs="宋体"/>
                <w:sz w:val="21"/>
              </w:rPr>
              <w:t>针对金融产品</w:t>
            </w:r>
            <w:r>
              <w:rPr>
                <w:rFonts w:hint="eastAsia" w:ascii="宋体" w:hAnsi="宋体" w:eastAsia="宋体" w:cs="宋体"/>
                <w:sz w:val="10"/>
              </w:rPr>
              <w:t>、</w:t>
            </w:r>
            <w:r>
              <w:rPr>
                <w:rFonts w:hint="eastAsia" w:ascii="宋体" w:hAnsi="宋体" w:eastAsia="宋体" w:cs="宋体"/>
                <w:sz w:val="21"/>
              </w:rPr>
              <w:t>金融账户</w:t>
            </w:r>
            <w:r>
              <w:rPr>
                <w:rFonts w:hint="eastAsia" w:ascii="宋体" w:hAnsi="宋体" w:eastAsia="宋体" w:cs="宋体"/>
                <w:sz w:val="10"/>
              </w:rPr>
              <w:t>、</w:t>
            </w:r>
            <w:r>
              <w:rPr>
                <w:rFonts w:hint="eastAsia" w:ascii="宋体" w:hAnsi="宋体" w:eastAsia="宋体" w:cs="宋体"/>
                <w:sz w:val="21"/>
              </w:rPr>
              <w:t>客户行为</w:t>
            </w:r>
            <w:r>
              <w:rPr>
                <w:rFonts w:hint="eastAsia" w:ascii="宋体" w:hAnsi="宋体" w:eastAsia="宋体" w:cs="宋体"/>
                <w:sz w:val="10"/>
              </w:rPr>
              <w:t>、</w:t>
            </w:r>
            <w:r>
              <w:rPr>
                <w:rFonts w:hint="eastAsia" w:ascii="宋体" w:hAnsi="宋体" w:eastAsia="宋体" w:cs="宋体"/>
                <w:sz w:val="21"/>
              </w:rPr>
              <w:t>订单交易等数据</w:t>
            </w:r>
            <w:r>
              <w:rPr>
                <w:rFonts w:hint="eastAsia" w:ascii="宋体" w:hAnsi="宋体" w:eastAsia="宋体" w:cs="宋体"/>
                <w:sz w:val="10"/>
              </w:rPr>
              <w:t>，</w:t>
            </w:r>
          </w:p>
          <w:p>
            <w:pPr>
              <w:spacing w:before="60"/>
              <w:ind w:left="100"/>
            </w:pPr>
            <w:r>
              <w:rPr>
                <w:rFonts w:hint="eastAsia" w:ascii="宋体" w:hAnsi="宋体" w:eastAsia="宋体" w:cs="宋体"/>
                <w:sz w:val="21"/>
              </w:rPr>
              <w:t>完成多来源</w:t>
            </w:r>
            <w:r>
              <w:rPr>
                <w:rFonts w:hint="eastAsia" w:ascii="宋体" w:hAnsi="宋体" w:eastAsia="宋体" w:cs="宋体"/>
                <w:sz w:val="10"/>
              </w:rPr>
              <w:t>、</w:t>
            </w:r>
            <w:r>
              <w:rPr>
                <w:rFonts w:hint="eastAsia" w:ascii="宋体" w:hAnsi="宋体" w:eastAsia="宋体" w:cs="宋体"/>
                <w:sz w:val="21"/>
              </w:rPr>
              <w:t>多类型数据的收集</w:t>
            </w:r>
            <w:r>
              <w:rPr>
                <w:rFonts w:hint="eastAsia" w:ascii="宋体" w:hAnsi="宋体" w:eastAsia="宋体" w:cs="宋体"/>
                <w:sz w:val="10"/>
              </w:rPr>
              <w:t>、</w:t>
            </w:r>
            <w:r>
              <w:rPr>
                <w:rFonts w:hint="eastAsia" w:ascii="宋体" w:hAnsi="宋体" w:eastAsia="宋体" w:cs="宋体"/>
                <w:sz w:val="21"/>
              </w:rPr>
              <w:t>清洗</w:t>
            </w:r>
            <w:r>
              <w:rPr>
                <w:rFonts w:hint="eastAsia" w:ascii="宋体" w:hAnsi="宋体" w:eastAsia="宋体" w:cs="宋体"/>
                <w:sz w:val="10"/>
              </w:rPr>
              <w:t>、</w:t>
            </w:r>
            <w:r>
              <w:rPr>
                <w:rFonts w:hint="eastAsia" w:ascii="宋体" w:hAnsi="宋体" w:eastAsia="宋体" w:cs="宋体"/>
                <w:sz w:val="21"/>
              </w:rPr>
              <w:t>分析和可视化</w:t>
            </w:r>
            <w:r>
              <w:rPr>
                <w:rFonts w:hint="eastAsia" w:ascii="宋体" w:hAnsi="宋体" w:eastAsia="宋体" w:cs="宋体"/>
                <w:sz w:val="12"/>
              </w:rPr>
              <w:t>；</w:t>
            </w:r>
          </w:p>
          <w:p>
            <w:pPr>
              <w:spacing w:before="60"/>
              <w:ind w:left="100"/>
            </w:pPr>
            <w:r>
              <w:rPr>
                <w:rFonts w:hint="eastAsia" w:ascii="Times New Roman" w:hAnsi="Times New Roman" w:eastAsia="Times New Roman" w:cs="Times New Roman"/>
                <w:sz w:val="21"/>
              </w:rPr>
              <w:t>2</w:t>
            </w:r>
            <w:r>
              <w:rPr>
                <w:rFonts w:hint="eastAsia" w:ascii="宋体" w:hAnsi="宋体" w:eastAsia="宋体" w:cs="宋体"/>
                <w:sz w:val="20"/>
              </w:rPr>
              <w:t>）</w:t>
            </w:r>
            <w:r>
              <w:rPr>
                <w:rFonts w:hint="eastAsia" w:ascii="宋体" w:hAnsi="宋体" w:eastAsia="宋体" w:cs="宋体"/>
                <w:sz w:val="21"/>
              </w:rPr>
              <w:t>通过整合大数据和数据仓库</w:t>
            </w:r>
            <w:r>
              <w:rPr>
                <w:rFonts w:hint="eastAsia" w:ascii="宋体" w:hAnsi="宋体" w:eastAsia="宋体" w:cs="宋体"/>
                <w:sz w:val="10"/>
              </w:rPr>
              <w:t>，</w:t>
            </w:r>
            <w:r>
              <w:rPr>
                <w:rFonts w:hint="eastAsia" w:ascii="宋体" w:hAnsi="宋体" w:eastAsia="宋体" w:cs="宋体"/>
                <w:sz w:val="21"/>
              </w:rPr>
              <w:t>提高数据存储和访问效率</w:t>
            </w:r>
            <w:r>
              <w:rPr>
                <w:rFonts w:hint="eastAsia" w:ascii="宋体" w:hAnsi="宋体" w:eastAsia="宋体" w:cs="宋体"/>
                <w:sz w:val="10"/>
              </w:rPr>
              <w:t>。</w:t>
            </w:r>
          </w:p>
          <w:p>
            <w:pPr>
              <w:spacing w:before="40"/>
              <w:ind w:left="100"/>
            </w:pPr>
            <w:r>
              <w:rPr>
                <w:rFonts w:hint="eastAsia" w:ascii="宋体" w:hAnsi="宋体" w:eastAsia="宋体" w:cs="宋体"/>
                <w:sz w:val="21"/>
              </w:rPr>
              <w:t>为金融服务提供基础数据服务</w:t>
            </w:r>
          </w:p>
        </w:tc>
      </w:tr>
      <w:tr>
        <w:trPr>
          <w:trHeight w:val="560" w:hRule="exact"/>
        </w:trPr>
        <w:tc>
          <w:tcPr>
            <w:tcW w:w="520" w:type="dxa"/>
            <w:tcMar>
              <w:top w:w="0" w:type="dxa"/>
              <w:left w:w="0" w:type="dxa"/>
              <w:bottom w:w="0" w:type="dxa"/>
              <w:right w:w="0" w:type="dxa"/>
            </w:tcMar>
          </w:tcPr>
          <w:p>
            <w:pPr>
              <w:spacing w:before="200"/>
              <w:ind w:left="180"/>
            </w:pPr>
            <w:r>
              <w:rPr>
                <w:rFonts w:hint="eastAsia" w:ascii="Times New Roman" w:hAnsi="Times New Roman" w:eastAsia="Times New Roman" w:cs="Times New Roman"/>
                <w:sz w:val="21"/>
              </w:rPr>
              <w:t>6</w:t>
            </w:r>
          </w:p>
        </w:tc>
        <w:tc>
          <w:tcPr>
            <w:tcW w:w="1420" w:type="dxa"/>
            <w:tcMar>
              <w:top w:w="0" w:type="dxa"/>
              <w:left w:w="0" w:type="dxa"/>
              <w:bottom w:w="0" w:type="dxa"/>
              <w:right w:w="0" w:type="dxa"/>
            </w:tcMar>
          </w:tcPr>
          <w:p>
            <w:pPr>
              <w:spacing w:before="0"/>
              <w:ind w:left="180"/>
            </w:pPr>
            <w:r>
              <w:rPr>
                <w:rFonts w:hint="eastAsia" w:ascii="宋体" w:hAnsi="宋体" w:eastAsia="宋体" w:cs="宋体"/>
                <w:sz w:val="21"/>
              </w:rPr>
              <w:t>异构双活交</w:t>
            </w:r>
          </w:p>
          <w:p>
            <w:pPr>
              <w:spacing w:before="80"/>
              <w:ind w:left="380"/>
            </w:pPr>
            <w:r>
              <w:rPr>
                <w:rFonts w:hint="eastAsia" w:ascii="宋体" w:hAnsi="宋体" w:eastAsia="宋体" w:cs="宋体"/>
                <w:sz w:val="21"/>
              </w:rPr>
              <w:t>易系统</w:t>
            </w:r>
          </w:p>
        </w:tc>
        <w:tc>
          <w:tcPr>
            <w:tcW w:w="1780" w:type="dxa"/>
            <w:tcMar>
              <w:top w:w="0" w:type="dxa"/>
              <w:left w:w="0" w:type="dxa"/>
              <w:bottom w:w="0" w:type="dxa"/>
              <w:right w:w="0" w:type="dxa"/>
            </w:tcMar>
          </w:tcPr>
          <w:p>
            <w:pPr>
              <w:spacing w:before="140"/>
              <w:ind w:left="360"/>
            </w:pPr>
            <w:r>
              <w:rPr>
                <w:rFonts w:hint="eastAsia" w:ascii="宋体" w:hAnsi="宋体" w:eastAsia="宋体" w:cs="宋体"/>
                <w:sz w:val="21"/>
              </w:rPr>
              <w:t>继续升级中</w:t>
            </w:r>
          </w:p>
        </w:tc>
        <w:tc>
          <w:tcPr>
            <w:tcW w:w="5540" w:type="dxa"/>
            <w:tcMar>
              <w:top w:w="0" w:type="dxa"/>
              <w:left w:w="0" w:type="dxa"/>
              <w:bottom w:w="0" w:type="dxa"/>
              <w:right w:w="0" w:type="dxa"/>
            </w:tcMar>
          </w:tcPr>
          <w:p>
            <w:pPr>
              <w:spacing w:before="0"/>
              <w:ind w:left="100"/>
            </w:pPr>
            <w:r>
              <w:rPr>
                <w:rFonts w:hint="eastAsia" w:ascii="Times New Roman" w:hAnsi="Times New Roman" w:eastAsia="Times New Roman" w:cs="Times New Roman"/>
                <w:sz w:val="21"/>
              </w:rPr>
              <w:t>1</w:t>
            </w:r>
            <w:r>
              <w:rPr>
                <w:rFonts w:hint="eastAsia" w:ascii="宋体" w:hAnsi="宋体" w:eastAsia="宋体" w:cs="宋体"/>
                <w:sz w:val="20"/>
              </w:rPr>
              <w:t>）</w:t>
            </w:r>
            <w:r>
              <w:rPr>
                <w:rFonts w:hint="eastAsia" w:ascii="宋体" w:hAnsi="宋体" w:eastAsia="宋体" w:cs="宋体"/>
                <w:sz w:val="21"/>
              </w:rPr>
              <w:t>增加对不同厂商的异构交易系统的支持</w:t>
            </w:r>
            <w:r>
              <w:rPr>
                <w:rFonts w:hint="eastAsia" w:ascii="宋体" w:hAnsi="宋体" w:eastAsia="宋体" w:cs="宋体"/>
                <w:sz w:val="12"/>
              </w:rPr>
              <w:t>；</w:t>
            </w:r>
          </w:p>
          <w:p>
            <w:pPr>
              <w:spacing w:before="80"/>
              <w:ind w:left="100"/>
            </w:pPr>
            <w:r>
              <w:rPr>
                <w:rFonts w:hint="eastAsia" w:ascii="Times New Roman" w:hAnsi="Times New Roman" w:eastAsia="Times New Roman" w:cs="Times New Roman"/>
                <w:sz w:val="21"/>
              </w:rPr>
              <w:t>2</w:t>
            </w:r>
            <w:r>
              <w:rPr>
                <w:rFonts w:hint="eastAsia" w:ascii="宋体" w:hAnsi="宋体" w:eastAsia="宋体" w:cs="宋体"/>
                <w:sz w:val="20"/>
              </w:rPr>
              <w:t>）</w:t>
            </w:r>
            <w:r>
              <w:rPr>
                <w:rFonts w:hint="eastAsia" w:ascii="宋体" w:hAnsi="宋体" w:eastAsia="宋体" w:cs="宋体"/>
                <w:sz w:val="21"/>
              </w:rPr>
              <w:t>提高故障切换等运维管理的便利性</w:t>
            </w:r>
          </w:p>
        </w:tc>
      </w:tr>
      <w:tr>
        <w:trPr>
          <w:trHeight w:val="1620" w:hRule="exact"/>
        </w:trPr>
        <w:tc>
          <w:tcPr>
            <w:tcW w:w="520" w:type="dxa"/>
            <w:tcMar>
              <w:top w:w="0" w:type="dxa"/>
              <w:left w:w="0" w:type="dxa"/>
              <w:bottom w:w="0" w:type="dxa"/>
              <w:right w:w="0" w:type="dxa"/>
            </w:tcMar>
          </w:tcPr>
          <w:p>
            <w:pPr>
              <w:spacing w:before="740"/>
              <w:ind w:left="180"/>
            </w:pPr>
            <w:r>
              <w:rPr>
                <w:rFonts w:hint="eastAsia" w:ascii="Times New Roman" w:hAnsi="Times New Roman" w:eastAsia="Times New Roman" w:cs="Times New Roman"/>
                <w:sz w:val="21"/>
              </w:rPr>
              <w:t>7</w:t>
            </w:r>
          </w:p>
        </w:tc>
        <w:tc>
          <w:tcPr>
            <w:tcW w:w="1420" w:type="dxa"/>
            <w:tcMar>
              <w:top w:w="0" w:type="dxa"/>
              <w:left w:w="0" w:type="dxa"/>
              <w:bottom w:w="0" w:type="dxa"/>
              <w:right w:w="0" w:type="dxa"/>
            </w:tcMar>
          </w:tcPr>
          <w:p>
            <w:pPr>
              <w:spacing w:before="540"/>
              <w:ind w:left="180"/>
            </w:pPr>
            <w:r>
              <w:rPr>
                <w:rFonts w:hint="eastAsia" w:ascii="宋体" w:hAnsi="宋体" w:eastAsia="宋体" w:cs="宋体"/>
                <w:sz w:val="21"/>
              </w:rPr>
              <w:t>企业统</w:t>
            </w:r>
            <w:r>
              <w:rPr>
                <w:rFonts w:hint="eastAsia" w:ascii="宋体" w:hAnsi="宋体" w:eastAsia="宋体" w:cs="宋体"/>
                <w:sz w:val="10"/>
              </w:rPr>
              <w:t>一</w:t>
            </w:r>
            <w:r>
              <w:rPr>
                <w:rFonts w:hint="eastAsia" w:ascii="宋体" w:hAnsi="宋体" w:eastAsia="宋体" w:cs="宋体"/>
                <w:sz w:val="21"/>
              </w:rPr>
              <w:t>应</w:t>
            </w:r>
          </w:p>
          <w:p>
            <w:pPr>
              <w:spacing w:before="80"/>
              <w:ind w:left="180"/>
            </w:pPr>
            <w:r>
              <w:rPr>
                <w:rFonts w:hint="eastAsia" w:ascii="宋体" w:hAnsi="宋体" w:eastAsia="宋体" w:cs="宋体"/>
                <w:sz w:val="21"/>
              </w:rPr>
              <w:t>用架构技术</w:t>
            </w:r>
          </w:p>
        </w:tc>
        <w:tc>
          <w:tcPr>
            <w:tcW w:w="1780" w:type="dxa"/>
            <w:tcMar>
              <w:top w:w="0" w:type="dxa"/>
              <w:left w:w="0" w:type="dxa"/>
              <w:bottom w:w="0" w:type="dxa"/>
              <w:right w:w="0" w:type="dxa"/>
            </w:tcMar>
          </w:tcPr>
          <w:p>
            <w:pPr>
              <w:spacing w:before="700"/>
              <w:ind w:left="360"/>
            </w:pPr>
            <w:r>
              <w:rPr>
                <w:rFonts w:hint="eastAsia" w:ascii="宋体" w:hAnsi="宋体" w:eastAsia="宋体" w:cs="宋体"/>
                <w:sz w:val="21"/>
              </w:rPr>
              <w:t>继续升级中</w:t>
            </w:r>
          </w:p>
        </w:tc>
        <w:tc>
          <w:tcPr>
            <w:tcW w:w="5540" w:type="dxa"/>
            <w:tcMar>
              <w:top w:w="0" w:type="dxa"/>
              <w:left w:w="0" w:type="dxa"/>
              <w:bottom w:w="0" w:type="dxa"/>
              <w:right w:w="0" w:type="dxa"/>
            </w:tcMar>
          </w:tcPr>
          <w:p>
            <w:pPr>
              <w:spacing w:before="0"/>
              <w:ind w:left="100"/>
            </w:pPr>
            <w:r>
              <w:rPr>
                <w:rFonts w:hint="eastAsia" w:ascii="Times New Roman" w:hAnsi="Times New Roman" w:eastAsia="Times New Roman" w:cs="Times New Roman"/>
                <w:sz w:val="21"/>
              </w:rPr>
              <w:t>1</w:t>
            </w:r>
            <w:r>
              <w:rPr>
                <w:rFonts w:hint="eastAsia" w:ascii="宋体" w:hAnsi="宋体" w:eastAsia="宋体" w:cs="宋体"/>
                <w:sz w:val="20"/>
              </w:rPr>
              <w:t>）</w:t>
            </w:r>
            <w:r>
              <w:rPr>
                <w:rFonts w:hint="eastAsia" w:ascii="宋体" w:hAnsi="宋体" w:eastAsia="宋体" w:cs="宋体"/>
                <w:sz w:val="21"/>
              </w:rPr>
              <w:t>构建企业级信息总线平台</w:t>
            </w:r>
            <w:r>
              <w:rPr>
                <w:rFonts w:hint="eastAsia" w:ascii="Times New Roman" w:hAnsi="Times New Roman" w:eastAsia="Times New Roman" w:cs="Times New Roman"/>
                <w:sz w:val="20"/>
              </w:rPr>
              <w:t>(</w:t>
            </w:r>
            <w:r>
              <w:rPr>
                <w:rFonts w:hint="eastAsia" w:ascii="宋体" w:hAnsi="宋体" w:eastAsia="宋体" w:cs="宋体"/>
                <w:sz w:val="21"/>
              </w:rPr>
              <w:t>包含服务引擎</w:t>
            </w:r>
            <w:r>
              <w:rPr>
                <w:rFonts w:hint="eastAsia" w:ascii="宋体" w:hAnsi="宋体" w:eastAsia="宋体" w:cs="宋体"/>
                <w:sz w:val="10"/>
              </w:rPr>
              <w:t>、</w:t>
            </w:r>
            <w:r>
              <w:rPr>
                <w:rFonts w:hint="eastAsia" w:ascii="宋体" w:hAnsi="宋体" w:eastAsia="宋体" w:cs="宋体"/>
                <w:sz w:val="21"/>
              </w:rPr>
              <w:t>消息引擎</w:t>
            </w:r>
            <w:r>
              <w:rPr>
                <w:rFonts w:hint="eastAsia" w:ascii="宋体" w:hAnsi="宋体" w:eastAsia="宋体" w:cs="宋体"/>
                <w:sz w:val="10"/>
              </w:rPr>
              <w:t>、</w:t>
            </w:r>
            <w:r>
              <w:rPr>
                <w:rFonts w:hint="eastAsia" w:ascii="宋体" w:hAnsi="宋体" w:eastAsia="宋体" w:cs="宋体"/>
                <w:sz w:val="21"/>
              </w:rPr>
              <w:t>开</w:t>
            </w:r>
          </w:p>
          <w:p>
            <w:pPr>
              <w:spacing w:before="60"/>
              <w:ind w:left="100"/>
            </w:pPr>
            <w:r>
              <w:rPr>
                <w:rFonts w:hint="eastAsia" w:ascii="宋体" w:hAnsi="宋体" w:eastAsia="宋体" w:cs="宋体"/>
                <w:sz w:val="21"/>
              </w:rPr>
              <w:t>发引擎等</w:t>
            </w:r>
            <w:r>
              <w:rPr>
                <w:rFonts w:hint="eastAsia" w:ascii="Times New Roman" w:hAnsi="Times New Roman" w:eastAsia="Times New Roman" w:cs="Times New Roman"/>
                <w:sz w:val="20"/>
              </w:rPr>
              <w:t>)</w:t>
            </w:r>
            <w:r>
              <w:rPr>
                <w:rFonts w:hint="eastAsia" w:ascii="宋体" w:hAnsi="宋体" w:eastAsia="宋体" w:cs="宋体"/>
                <w:sz w:val="12"/>
              </w:rPr>
              <w:t>；</w:t>
            </w:r>
          </w:p>
          <w:p>
            <w:pPr>
              <w:spacing w:before="40"/>
              <w:ind w:left="100"/>
            </w:pPr>
            <w:r>
              <w:rPr>
                <w:rFonts w:hint="eastAsia" w:ascii="Times New Roman" w:hAnsi="Times New Roman" w:eastAsia="Times New Roman" w:cs="Times New Roman"/>
                <w:sz w:val="21"/>
              </w:rPr>
              <w:t>2</w:t>
            </w:r>
            <w:r>
              <w:rPr>
                <w:rFonts w:hint="eastAsia" w:ascii="宋体" w:hAnsi="宋体" w:eastAsia="宋体" w:cs="宋体"/>
                <w:sz w:val="20"/>
              </w:rPr>
              <w:t>）</w:t>
            </w:r>
            <w:r>
              <w:rPr>
                <w:rFonts w:hint="eastAsia" w:ascii="宋体" w:hAnsi="宋体" w:eastAsia="宋体" w:cs="宋体"/>
                <w:sz w:val="21"/>
              </w:rPr>
              <w:t>支持与现有技术平台</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LiveBOS</w:t>
            </w:r>
            <w:r>
              <w:rPr>
                <w:rFonts w:hint="eastAsia" w:ascii="宋体" w:hAnsi="宋体" w:eastAsia="宋体" w:cs="宋体"/>
                <w:sz w:val="10"/>
              </w:rPr>
              <w:t>、</w:t>
            </w:r>
            <w:r>
              <w:rPr>
                <w:rFonts w:hint="eastAsia" w:ascii="宋体" w:hAnsi="宋体" w:eastAsia="宋体" w:cs="宋体"/>
                <w:sz w:val="21"/>
              </w:rPr>
              <w:t>交易平台</w:t>
            </w:r>
            <w:r>
              <w:rPr>
                <w:rFonts w:hint="eastAsia" w:ascii="Times New Roman" w:hAnsi="Times New Roman" w:eastAsia="Times New Roman" w:cs="Times New Roman"/>
                <w:sz w:val="20"/>
              </w:rPr>
              <w:t>)</w:t>
            </w:r>
            <w:r>
              <w:rPr>
                <w:rFonts w:hint="eastAsia" w:ascii="宋体" w:hAnsi="宋体" w:eastAsia="宋体" w:cs="宋体"/>
                <w:sz w:val="21"/>
              </w:rPr>
              <w:t>的对接</w:t>
            </w:r>
            <w:r>
              <w:rPr>
                <w:rFonts w:hint="eastAsia" w:ascii="宋体" w:hAnsi="宋体" w:eastAsia="宋体" w:cs="宋体"/>
                <w:sz w:val="10"/>
              </w:rPr>
              <w:t>；</w:t>
            </w:r>
          </w:p>
          <w:p>
            <w:pPr>
              <w:spacing w:before="80"/>
              <w:ind w:left="100"/>
            </w:pPr>
            <w:r>
              <w:rPr>
                <w:rFonts w:hint="eastAsia" w:ascii="Times New Roman" w:hAnsi="Times New Roman" w:eastAsia="Times New Roman" w:cs="Times New Roman"/>
                <w:sz w:val="21"/>
              </w:rPr>
              <w:t>3</w:t>
            </w:r>
            <w:r>
              <w:rPr>
                <w:rFonts w:hint="eastAsia" w:ascii="宋体" w:hAnsi="宋体" w:eastAsia="宋体" w:cs="宋体"/>
                <w:sz w:val="20"/>
              </w:rPr>
              <w:t>）</w:t>
            </w:r>
            <w:r>
              <w:rPr>
                <w:rFonts w:hint="eastAsia" w:ascii="宋体" w:hAnsi="宋体" w:eastAsia="宋体" w:cs="宋体"/>
                <w:sz w:val="21"/>
              </w:rPr>
              <w:t>建立面向企业数据应用层的统</w:t>
            </w:r>
            <w:r>
              <w:rPr>
                <w:rFonts w:hint="eastAsia" w:ascii="宋体" w:hAnsi="宋体" w:eastAsia="宋体" w:cs="宋体"/>
                <w:sz w:val="20"/>
              </w:rPr>
              <w:t>一</w:t>
            </w:r>
            <w:r>
              <w:rPr>
                <w:rFonts w:hint="eastAsia" w:ascii="宋体" w:hAnsi="宋体" w:eastAsia="宋体" w:cs="宋体"/>
                <w:sz w:val="21"/>
              </w:rPr>
              <w:t>流程</w:t>
            </w:r>
            <w:r>
              <w:rPr>
                <w:rFonts w:hint="eastAsia" w:ascii="宋体" w:hAnsi="宋体" w:eastAsia="宋体" w:cs="宋体"/>
                <w:sz w:val="10"/>
              </w:rPr>
              <w:t>、</w:t>
            </w:r>
            <w:r>
              <w:rPr>
                <w:rFonts w:hint="eastAsia" w:ascii="宋体" w:hAnsi="宋体" w:eastAsia="宋体" w:cs="宋体"/>
                <w:sz w:val="21"/>
              </w:rPr>
              <w:t>统</w:t>
            </w:r>
            <w:r>
              <w:rPr>
                <w:rFonts w:hint="eastAsia" w:ascii="宋体" w:hAnsi="宋体" w:eastAsia="宋体" w:cs="宋体"/>
                <w:sz w:val="20"/>
              </w:rPr>
              <w:t>一</w:t>
            </w:r>
            <w:r>
              <w:rPr>
                <w:rFonts w:hint="eastAsia" w:ascii="宋体" w:hAnsi="宋体" w:eastAsia="宋体" w:cs="宋体"/>
                <w:sz w:val="21"/>
              </w:rPr>
              <w:t>用户</w:t>
            </w:r>
            <w:r>
              <w:rPr>
                <w:rFonts w:hint="eastAsia" w:ascii="宋体" w:hAnsi="宋体" w:eastAsia="宋体" w:cs="宋体"/>
                <w:sz w:val="10"/>
              </w:rPr>
              <w:t>、</w:t>
            </w:r>
            <w:r>
              <w:rPr>
                <w:rFonts w:hint="eastAsia" w:ascii="宋体" w:hAnsi="宋体" w:eastAsia="宋体" w:cs="宋体"/>
                <w:sz w:val="21"/>
              </w:rPr>
              <w:t>统</w:t>
            </w:r>
            <w:r>
              <w:rPr>
                <w:rFonts w:hint="eastAsia" w:ascii="宋体" w:hAnsi="宋体" w:eastAsia="宋体" w:cs="宋体"/>
                <w:sz w:val="20"/>
              </w:rPr>
              <w:t>一</w:t>
            </w:r>
          </w:p>
          <w:p>
            <w:pPr>
              <w:spacing w:before="60"/>
              <w:ind w:left="100"/>
            </w:pPr>
            <w:r>
              <w:rPr>
                <w:rFonts w:hint="eastAsia" w:ascii="宋体" w:hAnsi="宋体" w:eastAsia="宋体" w:cs="宋体"/>
                <w:sz w:val="21"/>
              </w:rPr>
              <w:t>消息的业务平台</w:t>
            </w:r>
            <w:r>
              <w:rPr>
                <w:rFonts w:hint="eastAsia" w:ascii="宋体" w:hAnsi="宋体" w:eastAsia="宋体" w:cs="宋体"/>
                <w:sz w:val="12"/>
              </w:rPr>
              <w:t>；</w:t>
            </w:r>
          </w:p>
          <w:p>
            <w:pPr>
              <w:spacing w:before="40"/>
              <w:ind w:left="100"/>
            </w:pPr>
            <w:r>
              <w:rPr>
                <w:rFonts w:hint="eastAsia" w:ascii="Times New Roman" w:hAnsi="Times New Roman" w:eastAsia="Times New Roman" w:cs="Times New Roman"/>
                <w:sz w:val="21"/>
              </w:rPr>
              <w:t>4</w:t>
            </w:r>
            <w:r>
              <w:rPr>
                <w:rFonts w:hint="eastAsia" w:ascii="宋体" w:hAnsi="宋体" w:eastAsia="宋体" w:cs="宋体"/>
                <w:sz w:val="20"/>
              </w:rPr>
              <w:t>）</w:t>
            </w:r>
            <w:r>
              <w:rPr>
                <w:rFonts w:hint="eastAsia" w:ascii="宋体" w:hAnsi="宋体" w:eastAsia="宋体" w:cs="宋体"/>
                <w:sz w:val="21"/>
              </w:rPr>
              <w:t>完成安全</w:t>
            </w:r>
            <w:r>
              <w:rPr>
                <w:rFonts w:hint="eastAsia" w:ascii="宋体" w:hAnsi="宋体" w:eastAsia="宋体" w:cs="宋体"/>
                <w:sz w:val="10"/>
              </w:rPr>
              <w:t>、</w:t>
            </w:r>
            <w:r>
              <w:rPr>
                <w:rFonts w:hint="eastAsia" w:ascii="宋体" w:hAnsi="宋体" w:eastAsia="宋体" w:cs="宋体"/>
                <w:sz w:val="21"/>
              </w:rPr>
              <w:t>高效的服务转换与服务质量控制</w:t>
            </w:r>
          </w:p>
        </w:tc>
      </w:tr>
    </w:tbl>
    <w:p>
      <w:pPr>
        <w:spacing w:line="200" w:lineRule="exact"/>
        <w:rPr>
          <w:rFonts w:hint="eastAsia" w:ascii="宋体" w:hAnsi="宋体" w:eastAsia="宋体" w:cs="宋体"/>
          <w:sz w:val="20"/>
        </w:rPr>
      </w:pPr>
    </w:p>
    <w:p>
      <w:pPr>
        <w:autoSpaceDE w:val="false"/>
        <w:autoSpaceDN w:val="false"/>
        <w:spacing w:line="300" w:lineRule="exact"/>
        <w:ind w:left="1440"/>
        <w:jc w:val="both"/>
      </w:pPr>
      <w:r>
        <w:rPr>
          <w:rFonts w:hint="eastAsia" w:ascii="宋体" w:hAnsi="宋体" w:eastAsia="宋体" w:cs="宋体"/>
          <w:b/>
          <w:sz w:val="20"/>
        </w:rPr>
        <w:t>（</w:t>
      </w:r>
      <w:r>
        <w:rPr>
          <w:rFonts w:hint="eastAsia" w:ascii="宋体" w:hAnsi="宋体" w:eastAsia="宋体" w:cs="宋体"/>
          <w:b/>
          <w:sz w:val="24"/>
        </w:rPr>
        <w:t>五）公司技术创新机制及持续研发能力</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公司在研发体系之上</w:t>
      </w:r>
      <w:r>
        <w:rPr>
          <w:rFonts w:hint="eastAsia" w:ascii="宋体" w:hAnsi="宋体" w:eastAsia="宋体" w:cs="宋体"/>
          <w:sz w:val="10"/>
        </w:rPr>
        <w:t>，</w:t>
      </w:r>
      <w:r>
        <w:rPr>
          <w:rFonts w:hint="eastAsia" w:ascii="宋体" w:hAnsi="宋体" w:eastAsia="宋体" w:cs="宋体"/>
          <w:sz w:val="24"/>
        </w:rPr>
        <w:t>设有产品委员会</w:t>
      </w:r>
      <w:r>
        <w:rPr>
          <w:rFonts w:hint="eastAsia" w:ascii="宋体" w:hAnsi="宋体" w:eastAsia="宋体" w:cs="宋体"/>
          <w:sz w:val="10"/>
        </w:rPr>
        <w:t>，</w:t>
      </w:r>
      <w:r>
        <w:rPr>
          <w:rFonts w:hint="eastAsia" w:ascii="宋体" w:hAnsi="宋体" w:eastAsia="宋体" w:cs="宋体"/>
          <w:sz w:val="24"/>
        </w:rPr>
        <w:t>制定产品战略和进行产品评估</w:t>
      </w:r>
      <w:r>
        <w:rPr>
          <w:rFonts w:hint="eastAsia" w:ascii="宋体" w:hAnsi="宋体" w:eastAsia="宋体" w:cs="宋体"/>
          <w:sz w:val="10"/>
        </w:rPr>
        <w:t>。</w:t>
      </w:r>
      <w:r>
        <w:rPr>
          <w:rFonts w:hint="eastAsia" w:ascii="宋体" w:hAnsi="宋体" w:eastAsia="宋体" w:cs="宋体"/>
          <w:sz w:val="24"/>
        </w:rPr>
        <w:t>产品委员会由公司的高级管理人员</w:t>
      </w:r>
      <w:r>
        <w:rPr>
          <w:rFonts w:hint="eastAsia" w:ascii="宋体" w:hAnsi="宋体" w:eastAsia="宋体" w:cs="宋体"/>
          <w:sz w:val="10"/>
        </w:rPr>
        <w:t>、</w:t>
      </w:r>
      <w:r>
        <w:rPr>
          <w:rFonts w:hint="eastAsia" w:ascii="宋体" w:hAnsi="宋体" w:eastAsia="宋体" w:cs="宋体"/>
          <w:sz w:val="24"/>
        </w:rPr>
        <w:t>市场主管</w:t>
      </w:r>
      <w:r>
        <w:rPr>
          <w:rFonts w:hint="eastAsia" w:ascii="宋体" w:hAnsi="宋体" w:eastAsia="宋体" w:cs="宋体"/>
          <w:sz w:val="10"/>
        </w:rPr>
        <w:t>、</w:t>
      </w:r>
      <w:r>
        <w:rPr>
          <w:rFonts w:hint="eastAsia" w:ascii="宋体" w:hAnsi="宋体" w:eastAsia="宋体" w:cs="宋体"/>
          <w:sz w:val="24"/>
        </w:rPr>
        <w:t>产品经理</w:t>
      </w:r>
      <w:r>
        <w:rPr>
          <w:rFonts w:hint="eastAsia" w:ascii="宋体" w:hAnsi="宋体" w:eastAsia="宋体" w:cs="宋体"/>
          <w:sz w:val="10"/>
        </w:rPr>
        <w:t>、</w:t>
      </w:r>
      <w:r>
        <w:rPr>
          <w:rFonts w:hint="eastAsia" w:ascii="宋体" w:hAnsi="宋体" w:eastAsia="宋体" w:cs="宋体"/>
          <w:sz w:val="24"/>
        </w:rPr>
        <w:t>对市场与技术敏锐的优秀核心技术人员构成</w:t>
      </w:r>
      <w:r>
        <w:rPr>
          <w:rFonts w:hint="eastAsia" w:ascii="宋体" w:hAnsi="宋体" w:eastAsia="宋体" w:cs="宋体"/>
          <w:sz w:val="12"/>
        </w:rPr>
        <w:t>；</w:t>
      </w:r>
      <w:r>
        <w:rPr>
          <w:rFonts w:hint="eastAsia" w:ascii="宋体" w:hAnsi="宋体" w:eastAsia="宋体" w:cs="宋体"/>
          <w:sz w:val="24"/>
        </w:rPr>
        <w:t>其职责是制定产品发展战略</w:t>
      </w:r>
      <w:r>
        <w:rPr>
          <w:rFonts w:hint="eastAsia" w:ascii="宋体" w:hAnsi="宋体" w:eastAsia="宋体" w:cs="宋体"/>
          <w:sz w:val="10"/>
        </w:rPr>
        <w:t>、</w:t>
      </w:r>
      <w:r>
        <w:rPr>
          <w:rFonts w:hint="eastAsia" w:ascii="宋体" w:hAnsi="宋体" w:eastAsia="宋体" w:cs="宋体"/>
          <w:sz w:val="24"/>
        </w:rPr>
        <w:t>决定不同重点产品的发展目标与阶段性目标</w:t>
      </w:r>
      <w:r>
        <w:rPr>
          <w:rFonts w:hint="eastAsia" w:ascii="宋体" w:hAnsi="宋体" w:eastAsia="宋体" w:cs="宋体"/>
          <w:sz w:val="10"/>
        </w:rPr>
        <w:t>、</w:t>
      </w:r>
      <w:r>
        <w:rPr>
          <w:rFonts w:hint="eastAsia" w:ascii="宋体" w:hAnsi="宋体" w:eastAsia="宋体" w:cs="宋体"/>
          <w:sz w:val="24"/>
        </w:rPr>
        <w:t>评估重点产品研发</w:t>
      </w:r>
      <w:r>
        <w:rPr>
          <w:rFonts w:hint="eastAsia" w:ascii="宋体" w:hAnsi="宋体" w:eastAsia="宋体" w:cs="宋体"/>
          <w:sz w:val="10"/>
        </w:rPr>
        <w:t>，</w:t>
      </w:r>
      <w:r>
        <w:rPr>
          <w:rFonts w:hint="eastAsia" w:ascii="宋体" w:hAnsi="宋体" w:eastAsia="宋体" w:cs="宋体"/>
          <w:sz w:val="24"/>
        </w:rPr>
        <w:t>以及根据公司高级管理层或产品部门的申请</w:t>
      </w:r>
      <w:r>
        <w:rPr>
          <w:rFonts w:hint="eastAsia" w:ascii="宋体" w:hAnsi="宋体" w:eastAsia="宋体" w:cs="宋体"/>
          <w:sz w:val="10"/>
        </w:rPr>
        <w:t>，</w:t>
      </w:r>
      <w:r>
        <w:rPr>
          <w:rFonts w:hint="eastAsia" w:ascii="宋体" w:hAnsi="宋体" w:eastAsia="宋体" w:cs="宋体"/>
          <w:sz w:val="24"/>
        </w:rPr>
        <w:t>对专项产品进行评估</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宋体" w:hAnsi="宋体" w:eastAsia="宋体" w:cs="宋体"/>
          <w:sz w:val="24"/>
        </w:rPr>
        <w:t>公司现有的研发体系全面分为相对独立的基础技术研发体系与业务应用研发体系</w:t>
      </w:r>
      <w:r>
        <w:rPr>
          <w:rFonts w:hint="eastAsia" w:ascii="宋体" w:hAnsi="宋体" w:eastAsia="宋体" w:cs="宋体"/>
          <w:sz w:val="10"/>
        </w:rPr>
        <w:t>，</w:t>
      </w:r>
      <w:r>
        <w:rPr>
          <w:rFonts w:hint="eastAsia" w:ascii="宋体" w:hAnsi="宋体" w:eastAsia="宋体" w:cs="宋体"/>
          <w:sz w:val="24"/>
        </w:rPr>
        <w:t>经过多年来的运行</w:t>
      </w:r>
      <w:r>
        <w:rPr>
          <w:rFonts w:hint="eastAsia" w:ascii="宋体" w:hAnsi="宋体" w:eastAsia="宋体" w:cs="宋体"/>
          <w:sz w:val="10"/>
        </w:rPr>
        <w:t>，</w:t>
      </w:r>
      <w:r>
        <w:rPr>
          <w:rFonts w:hint="eastAsia" w:ascii="宋体" w:hAnsi="宋体" w:eastAsia="宋体" w:cs="宋体"/>
          <w:sz w:val="24"/>
        </w:rPr>
        <w:t>已经取得了很好的效果</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基础技术研发体系主要由公司的平台研发部门构成</w:t>
      </w:r>
      <w:r>
        <w:rPr>
          <w:rFonts w:hint="eastAsia" w:ascii="宋体" w:hAnsi="宋体" w:eastAsia="宋体" w:cs="宋体"/>
          <w:sz w:val="10"/>
        </w:rPr>
        <w:t>，</w:t>
      </w:r>
      <w:r>
        <w:rPr>
          <w:rFonts w:hint="eastAsia" w:ascii="宋体" w:hAnsi="宋体" w:eastAsia="宋体" w:cs="宋体"/>
          <w:sz w:val="24"/>
        </w:rPr>
        <w:t>人员主要为高级软件技术人员</w:t>
      </w:r>
      <w:r>
        <w:rPr>
          <w:rFonts w:hint="eastAsia" w:ascii="宋体" w:hAnsi="宋体" w:eastAsia="宋体" w:cs="宋体"/>
          <w:sz w:val="10"/>
        </w:rPr>
        <w:t>，</w:t>
      </w:r>
      <w:r>
        <w:rPr>
          <w:rFonts w:hint="eastAsia" w:ascii="宋体" w:hAnsi="宋体" w:eastAsia="宋体" w:cs="宋体"/>
          <w:sz w:val="24"/>
        </w:rPr>
        <w:t>包括技术架构师</w:t>
      </w:r>
      <w:r>
        <w:rPr>
          <w:rFonts w:hint="eastAsia" w:ascii="宋体" w:hAnsi="宋体" w:eastAsia="宋体" w:cs="宋体"/>
          <w:sz w:val="10"/>
        </w:rPr>
        <w:t>、</w:t>
      </w:r>
      <w:r>
        <w:rPr>
          <w:rFonts w:hint="eastAsia" w:ascii="宋体" w:hAnsi="宋体" w:eastAsia="宋体" w:cs="宋体"/>
          <w:sz w:val="24"/>
        </w:rPr>
        <w:t>高级技术经理与程序员</w:t>
      </w:r>
      <w:r>
        <w:rPr>
          <w:rFonts w:hint="eastAsia" w:ascii="宋体" w:hAnsi="宋体" w:eastAsia="宋体" w:cs="宋体"/>
          <w:sz w:val="10"/>
        </w:rPr>
        <w:t>。</w:t>
      </w:r>
      <w:r>
        <w:rPr>
          <w:rFonts w:hint="eastAsia" w:ascii="宋体" w:hAnsi="宋体" w:eastAsia="宋体" w:cs="宋体"/>
          <w:sz w:val="24"/>
        </w:rPr>
        <w:t>他们专注于</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核心技术的研发</w:t>
      </w:r>
      <w:r>
        <w:rPr>
          <w:rFonts w:hint="eastAsia" w:ascii="宋体" w:hAnsi="宋体" w:eastAsia="宋体" w:cs="宋体"/>
          <w:sz w:val="10"/>
        </w:rPr>
        <w:t>，</w:t>
      </w:r>
      <w:r>
        <w:rPr>
          <w:rFonts w:hint="eastAsia" w:ascii="宋体" w:hAnsi="宋体" w:eastAsia="宋体" w:cs="宋体"/>
          <w:sz w:val="24"/>
        </w:rPr>
        <w:t>主要承担以</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平台为核心的基础业务中间件的研发</w:t>
      </w:r>
      <w:r>
        <w:rPr>
          <w:rFonts w:hint="eastAsia" w:ascii="宋体" w:hAnsi="宋体" w:eastAsia="宋体" w:cs="宋体"/>
          <w:sz w:val="10"/>
        </w:rPr>
        <w:t>，</w:t>
      </w:r>
      <w:r>
        <w:rPr>
          <w:rFonts w:hint="eastAsia" w:ascii="宋体" w:hAnsi="宋体" w:eastAsia="宋体" w:cs="宋体"/>
          <w:sz w:val="24"/>
        </w:rPr>
        <w:t>研发成果主要体现在</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平台技术层面的丰富</w:t>
      </w:r>
      <w:r>
        <w:rPr>
          <w:rFonts w:hint="eastAsia" w:ascii="宋体" w:hAnsi="宋体" w:eastAsia="宋体" w:cs="宋体"/>
          <w:sz w:val="10"/>
        </w:rPr>
        <w:t>、</w:t>
      </w:r>
      <w:r>
        <w:rPr>
          <w:rFonts w:hint="eastAsia" w:ascii="宋体" w:hAnsi="宋体" w:eastAsia="宋体" w:cs="宋体"/>
          <w:sz w:val="24"/>
        </w:rPr>
        <w:t>完善和提升</w:t>
      </w:r>
      <w:r>
        <w:rPr>
          <w:rFonts w:hint="eastAsia" w:ascii="宋体" w:hAnsi="宋体" w:eastAsia="宋体" w:cs="宋体"/>
          <w:sz w:val="10"/>
        </w:rPr>
        <w:t>。</w:t>
      </w:r>
      <w:r>
        <w:rPr>
          <w:rFonts w:hint="eastAsia" w:ascii="宋体" w:hAnsi="宋体" w:eastAsia="宋体" w:cs="宋体"/>
          <w:sz w:val="24"/>
        </w:rPr>
        <w:t>该体系的技术研发人员</w:t>
      </w:r>
      <w:r>
        <w:rPr>
          <w:rFonts w:hint="eastAsia" w:ascii="宋体" w:hAnsi="宋体" w:eastAsia="宋体" w:cs="宋体"/>
          <w:sz w:val="10"/>
        </w:rPr>
        <w:t>，</w:t>
      </w:r>
      <w:r>
        <w:rPr>
          <w:rFonts w:hint="eastAsia" w:ascii="宋体" w:hAnsi="宋体" w:eastAsia="宋体" w:cs="宋体"/>
          <w:sz w:val="24"/>
        </w:rPr>
        <w:t>无需关注</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平台上应用的具体业务</w:t>
      </w:r>
      <w:r>
        <w:rPr>
          <w:rFonts w:hint="eastAsia" w:ascii="宋体" w:hAnsi="宋体" w:eastAsia="宋体" w:cs="宋体"/>
          <w:sz w:val="10"/>
        </w:rPr>
        <w:t>。</w:t>
      </w:r>
      <w:r>
        <w:rPr>
          <w:rFonts w:hint="eastAsia" w:ascii="宋体" w:hAnsi="宋体" w:eastAsia="宋体" w:cs="宋体"/>
          <w:sz w:val="24"/>
        </w:rPr>
        <w:t>业务应用研发体系主要由各事业部的不同产品研发部门组成</w:t>
      </w:r>
      <w:r>
        <w:rPr>
          <w:rFonts w:hint="eastAsia" w:ascii="宋体" w:hAnsi="宋体" w:eastAsia="宋体" w:cs="宋体"/>
          <w:sz w:val="10"/>
        </w:rPr>
        <w:t>，</w:t>
      </w:r>
      <w:r>
        <w:rPr>
          <w:rFonts w:hint="eastAsia" w:ascii="宋体" w:hAnsi="宋体" w:eastAsia="宋体" w:cs="宋体"/>
          <w:sz w:val="24"/>
        </w:rPr>
        <w:t>专注于各种行业的具体业务应用研究</w:t>
      </w:r>
      <w:r>
        <w:rPr>
          <w:rFonts w:hint="eastAsia" w:ascii="宋体" w:hAnsi="宋体" w:eastAsia="宋体" w:cs="宋体"/>
          <w:sz w:val="10"/>
        </w:rPr>
        <w:t>，</w:t>
      </w:r>
      <w:r>
        <w:rPr>
          <w:rFonts w:hint="eastAsia" w:ascii="宋体" w:hAnsi="宋体" w:eastAsia="宋体" w:cs="宋体"/>
          <w:sz w:val="24"/>
        </w:rPr>
        <w:t>人员主要为业务架构师和业务应用工程师</w:t>
      </w:r>
      <w:r>
        <w:rPr>
          <w:rFonts w:hint="eastAsia" w:ascii="宋体" w:hAnsi="宋体" w:eastAsia="宋体" w:cs="宋体"/>
          <w:sz w:val="10"/>
        </w:rPr>
        <w:t>。</w:t>
      </w:r>
      <w:r>
        <w:rPr>
          <w:rFonts w:hint="eastAsia" w:ascii="宋体" w:hAnsi="宋体" w:eastAsia="宋体" w:cs="宋体"/>
          <w:sz w:val="24"/>
        </w:rPr>
        <w:t>他们重点关注应用产品的需求设计和业务模型设计</w:t>
      </w:r>
      <w:r>
        <w:rPr>
          <w:rFonts w:hint="eastAsia" w:ascii="宋体" w:hAnsi="宋体" w:eastAsia="宋体" w:cs="宋体"/>
          <w:sz w:val="10"/>
        </w:rPr>
        <w:t>，</w:t>
      </w:r>
      <w:r>
        <w:rPr>
          <w:rFonts w:hint="eastAsia" w:ascii="宋体" w:hAnsi="宋体" w:eastAsia="宋体" w:cs="宋体"/>
          <w:sz w:val="24"/>
        </w:rPr>
        <w:t>而无需关注软件实现的技术细节</w:t>
      </w:r>
      <w:r>
        <w:rPr>
          <w:rFonts w:hint="eastAsia" w:ascii="宋体" w:hAnsi="宋体" w:eastAsia="宋体" w:cs="宋体"/>
          <w:sz w:val="10"/>
        </w:rPr>
        <w:t>，</w:t>
      </w:r>
      <w:r>
        <w:rPr>
          <w:rFonts w:hint="eastAsia" w:ascii="宋体" w:hAnsi="宋体" w:eastAsia="宋体" w:cs="宋体"/>
          <w:sz w:val="24"/>
        </w:rPr>
        <w:t>仅需要使用</w:t>
      </w:r>
      <w:r>
        <w:rPr>
          <w:rFonts w:hint="eastAsia" w:ascii="Times New Roman" w:hAnsi="Times New Roman" w:eastAsia="Times New Roman" w:cs="Times New Roman"/>
          <w:sz w:val="24"/>
        </w:rPr>
        <w:t xml:space="preserve"> LiveBOS  Studio</w:t>
      </w:r>
      <w:r>
        <w:rPr>
          <w:rFonts w:hint="eastAsia" w:ascii="宋体" w:hAnsi="宋体" w:eastAsia="宋体" w:cs="宋体"/>
          <w:sz w:val="24"/>
        </w:rPr>
        <w:t xml:space="preserve"> 工具进行软件产品的研发</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80" w:lineRule="exact"/>
        <w:ind w:left="1440"/>
        <w:jc w:val="both"/>
      </w:pPr>
      <w:r>
        <w:rPr>
          <w:rFonts w:hint="eastAsia" w:ascii="宋体" w:hAnsi="宋体" w:eastAsia="宋体" w:cs="宋体"/>
          <w:b/>
          <w:sz w:val="24"/>
        </w:rPr>
        <w:t>（六）合作研发情况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发行人不存在与其他机构合作研发的情况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440"/>
        <w:jc w:val="both"/>
      </w:pPr>
      <w:r>
        <w:rPr>
          <w:rFonts w:hint="eastAsia" w:ascii="ºÚÌå" w:hAnsi="ºÚÌå" w:eastAsia="ºÚÌå" w:cs="ºÚÌå"/>
          <w:sz w:val="30"/>
        </w:rPr>
        <w:t>七</w:t>
      </w:r>
      <w:r>
        <w:rPr>
          <w:rFonts w:hint="eastAsia" w:ascii="ºÚÌå" w:hAnsi="ºÚÌå" w:eastAsia="ºÚÌå" w:cs="ºÚÌå"/>
          <w:sz w:val="10"/>
        </w:rPr>
        <w:t>、</w:t>
      </w:r>
      <w:r>
        <w:rPr>
          <w:rFonts w:hint="eastAsia" w:ascii="ºÚÌå" w:hAnsi="ºÚÌå" w:eastAsia="ºÚÌå" w:cs="ºÚÌå"/>
          <w:sz w:val="30"/>
        </w:rPr>
        <w:t>境外经营情况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1-1-176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080"/>
        <w:jc w:val="both"/>
      </w:pPr>
      <w:r>
        <w:rPr>
          <w:rFonts w:hint="eastAsia" w:ascii="宋体" w:hAnsi="宋体" w:eastAsia="宋体" w:cs="宋体"/>
          <w:sz w:val="24"/>
        </w:rPr>
        <w:t>截至招股说明书签署日</w:t>
      </w:r>
      <w:r>
        <w:rPr>
          <w:rFonts w:hint="eastAsia" w:ascii="宋体" w:hAnsi="宋体" w:eastAsia="宋体" w:cs="宋体"/>
          <w:sz w:val="10"/>
        </w:rPr>
        <w:t>，</w:t>
      </w:r>
      <w:r>
        <w:rPr>
          <w:rFonts w:hint="eastAsia" w:ascii="宋体" w:hAnsi="宋体" w:eastAsia="宋体" w:cs="宋体"/>
          <w:sz w:val="24"/>
        </w:rPr>
        <w:t>公司全部产品</w:t>
      </w:r>
      <w:r>
        <w:rPr>
          <w:rFonts w:hint="eastAsia" w:ascii="宋体" w:hAnsi="宋体" w:eastAsia="宋体" w:cs="宋体"/>
          <w:sz w:val="10"/>
        </w:rPr>
        <w:t>、</w:t>
      </w:r>
      <w:r>
        <w:rPr>
          <w:rFonts w:hint="eastAsia" w:ascii="宋体" w:hAnsi="宋体" w:eastAsia="宋体" w:cs="宋体"/>
          <w:sz w:val="24"/>
        </w:rPr>
        <w:t>服务均在中国境内销售</w:t>
      </w:r>
      <w:r>
        <w:rPr>
          <w:rFonts w:hint="eastAsia" w:ascii="宋体" w:hAnsi="宋体" w:eastAsia="宋体" w:cs="宋体"/>
          <w:sz w:val="10"/>
        </w:rPr>
        <w:t>，</w:t>
      </w:r>
      <w:r>
        <w:rPr>
          <w:rFonts w:hint="eastAsia" w:ascii="宋体" w:hAnsi="宋体" w:eastAsia="宋体" w:cs="宋体"/>
          <w:sz w:val="24"/>
        </w:rPr>
        <w:t>公司及子公司</w:t>
      </w:r>
    </w:p>
    <w:p>
      <w:pPr>
        <w:spacing w:line="200" w:lineRule="exact"/>
        <w:rPr>
          <w:rFonts w:hint="eastAsia" w:ascii="宋体" w:hAnsi="宋体" w:eastAsia="宋体" w:cs="宋体"/>
          <w:sz w:val="20"/>
        </w:rPr>
      </w:pPr>
    </w:p>
    <w:p>
      <w:pPr>
        <w:autoSpaceDE w:val="false"/>
        <w:autoSpaceDN w:val="false"/>
        <w:spacing w:line="360" w:lineRule="exact"/>
        <w:ind w:left="1440" w:right="1220"/>
        <w:jc w:val="both"/>
      </w:pPr>
      <w:r>
        <w:rPr>
          <w:rFonts w:hint="eastAsia" w:ascii="宋体" w:hAnsi="宋体" w:eastAsia="宋体" w:cs="宋体"/>
          <w:sz w:val="24"/>
        </w:rPr>
        <w:t>所有注册及办公场所均在中国境内</w:t>
      </w:r>
      <w:r>
        <w:rPr>
          <w:rFonts w:hint="eastAsia" w:ascii="宋体" w:hAnsi="宋体" w:eastAsia="宋体" w:cs="宋体"/>
          <w:sz w:val="10"/>
        </w:rPr>
        <w:t>，</w:t>
      </w:r>
      <w:r>
        <w:rPr>
          <w:rFonts w:hint="eastAsia" w:ascii="宋体" w:hAnsi="宋体" w:eastAsia="宋体" w:cs="宋体"/>
          <w:sz w:val="24"/>
        </w:rPr>
        <w:t>公司未在中华人民共和国境外开展经营活动</w:t>
      </w:r>
      <w:r>
        <w:rPr>
          <w:rFonts w:hint="eastAsia" w:ascii="宋体" w:hAnsi="宋体" w:eastAsia="宋体" w:cs="宋体"/>
          <w:sz w:val="10"/>
        </w:rPr>
        <w:t>，</w:t>
      </w:r>
      <w:r>
        <w:rPr>
          <w:rFonts w:hint="eastAsia" w:ascii="宋体" w:hAnsi="宋体" w:eastAsia="宋体" w:cs="宋体"/>
          <w:sz w:val="24"/>
        </w:rPr>
        <w:t>不存在拥有境外资产的情形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440"/>
        <w:jc w:val="both"/>
      </w:pPr>
      <w:r>
        <w:rPr>
          <w:rFonts w:hint="eastAsia" w:ascii="ºÚÌå" w:hAnsi="ºÚÌå" w:eastAsia="ºÚÌå" w:cs="ºÚÌå"/>
          <w:sz w:val="30"/>
        </w:rPr>
        <w:t>八</w:t>
      </w:r>
      <w:r>
        <w:rPr>
          <w:rFonts w:hint="eastAsia" w:ascii="ºÚÌå" w:hAnsi="ºÚÌå" w:eastAsia="ºÚÌå" w:cs="ºÚÌå"/>
          <w:sz w:val="10"/>
        </w:rPr>
        <w:t>、</w:t>
      </w:r>
      <w:r>
        <w:rPr>
          <w:rFonts w:hint="eastAsia" w:ascii="ºÚÌå" w:hAnsi="ºÚÌå" w:eastAsia="ºÚÌå" w:cs="ºÚÌå"/>
          <w:sz w:val="30"/>
        </w:rPr>
        <w:t>质量控制情况</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质量控制运行情况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公司自成立以来</w:t>
      </w:r>
      <w:r>
        <w:rPr>
          <w:rFonts w:hint="eastAsia" w:ascii="宋体" w:hAnsi="宋体" w:eastAsia="宋体" w:cs="宋体"/>
          <w:sz w:val="10"/>
        </w:rPr>
        <w:t>，</w:t>
      </w:r>
      <w:r>
        <w:rPr>
          <w:rFonts w:hint="eastAsia" w:ascii="宋体" w:hAnsi="宋体" w:eastAsia="宋体" w:cs="宋体"/>
          <w:sz w:val="24"/>
        </w:rPr>
        <w:t>始终注重产品的质量保证</w:t>
      </w:r>
      <w:r>
        <w:rPr>
          <w:rFonts w:hint="eastAsia" w:ascii="宋体" w:hAnsi="宋体" w:eastAsia="宋体" w:cs="宋体"/>
          <w:sz w:val="10"/>
        </w:rPr>
        <w:t>，</w:t>
      </w:r>
      <w:r>
        <w:rPr>
          <w:rFonts w:hint="eastAsia" w:ascii="宋体" w:hAnsi="宋体" w:eastAsia="宋体" w:cs="宋体"/>
          <w:sz w:val="24"/>
        </w:rPr>
        <w:t>根据实际情况制定了详细全面的控制计划和切实可行的控制措施</w:t>
      </w:r>
      <w:r>
        <w:rPr>
          <w:rFonts w:hint="eastAsia" w:ascii="宋体" w:hAnsi="宋体" w:eastAsia="宋体" w:cs="宋体"/>
          <w:sz w:val="10"/>
        </w:rPr>
        <w:t>，</w:t>
      </w:r>
      <w:r>
        <w:rPr>
          <w:rFonts w:hint="eastAsia" w:ascii="宋体" w:hAnsi="宋体" w:eastAsia="宋体" w:cs="宋体"/>
          <w:sz w:val="24"/>
        </w:rPr>
        <w:t>对软件开发过程中的每</w:t>
      </w:r>
      <w:r>
        <w:rPr>
          <w:rFonts w:hint="eastAsia" w:ascii="宋体" w:hAnsi="宋体" w:eastAsia="宋体" w:cs="宋体"/>
          <w:sz w:val="10"/>
        </w:rPr>
        <w:t>一</w:t>
      </w:r>
      <w:r>
        <w:rPr>
          <w:rFonts w:hint="eastAsia" w:ascii="宋体" w:hAnsi="宋体" w:eastAsia="宋体" w:cs="宋体"/>
          <w:sz w:val="24"/>
        </w:rPr>
        <w:t>个环节进行严格的质控管理和反复调试</w:t>
      </w:r>
      <w:r>
        <w:rPr>
          <w:rFonts w:hint="eastAsia" w:ascii="宋体" w:hAnsi="宋体" w:eastAsia="宋体" w:cs="宋体"/>
          <w:sz w:val="10"/>
        </w:rPr>
        <w:t>、</w:t>
      </w:r>
      <w:r>
        <w:rPr>
          <w:rFonts w:hint="eastAsia" w:ascii="宋体" w:hAnsi="宋体" w:eastAsia="宋体" w:cs="宋体"/>
          <w:sz w:val="24"/>
        </w:rPr>
        <w:t>测试</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公司还建立了完善的服务体系</w:t>
      </w:r>
      <w:r>
        <w:rPr>
          <w:rFonts w:hint="eastAsia" w:ascii="宋体" w:hAnsi="宋体" w:eastAsia="宋体" w:cs="宋体"/>
          <w:sz w:val="10"/>
        </w:rPr>
        <w:t>，</w:t>
      </w:r>
      <w:r>
        <w:rPr>
          <w:rFonts w:hint="eastAsia" w:ascii="宋体" w:hAnsi="宋体" w:eastAsia="宋体" w:cs="宋体"/>
          <w:sz w:val="24"/>
        </w:rPr>
        <w:t>凭借出众的产品质量和健全的服务体系树立了良好的品牌形象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本公司软件产品和服务以国家颁布的涉及计算机软件的各类标准为质量管理标准</w:t>
      </w:r>
      <w:r>
        <w:rPr>
          <w:rFonts w:hint="eastAsia" w:ascii="宋体" w:hAnsi="宋体" w:eastAsia="宋体" w:cs="宋体"/>
          <w:sz w:val="10"/>
        </w:rPr>
        <w:t>，</w:t>
      </w:r>
      <w:r>
        <w:rPr>
          <w:rFonts w:hint="eastAsia" w:ascii="宋体" w:hAnsi="宋体" w:eastAsia="宋体" w:cs="宋体"/>
          <w:sz w:val="24"/>
        </w:rPr>
        <w:t>如软件设计文档国家标准</w:t>
      </w:r>
      <w:r>
        <w:rPr>
          <w:rFonts w:hint="eastAsia" w:ascii="Times New Roman" w:hAnsi="Times New Roman" w:eastAsia="Times New Roman" w:cs="Times New Roman"/>
          <w:sz w:val="24"/>
        </w:rPr>
        <w:t xml:space="preserve"> GB/T8567-2006</w:t>
      </w:r>
      <w:r>
        <w:rPr>
          <w:rFonts w:hint="eastAsia" w:ascii="宋体" w:hAnsi="宋体" w:eastAsia="宋体" w:cs="宋体"/>
          <w:sz w:val="24"/>
        </w:rPr>
        <w:t xml:space="preserve"> 等</w:t>
      </w:r>
      <w:r>
        <w:rPr>
          <w:rFonts w:hint="eastAsia" w:ascii="宋体" w:hAnsi="宋体" w:eastAsia="宋体" w:cs="宋体"/>
          <w:sz w:val="10"/>
        </w:rPr>
        <w:t>。</w:t>
      </w:r>
      <w:r>
        <w:rPr>
          <w:rFonts w:hint="eastAsia" w:ascii="宋体" w:hAnsi="宋体" w:eastAsia="宋体" w:cs="宋体"/>
          <w:sz w:val="24"/>
        </w:rPr>
        <w:t>本公司从行业和自身实际出发</w:t>
      </w:r>
      <w:r>
        <w:rPr>
          <w:rFonts w:hint="eastAsia" w:ascii="宋体" w:hAnsi="宋体" w:eastAsia="宋体" w:cs="宋体"/>
          <w:sz w:val="10"/>
        </w:rPr>
        <w:t>，</w:t>
      </w:r>
      <w:r>
        <w:rPr>
          <w:rFonts w:hint="eastAsia" w:ascii="宋体" w:hAnsi="宋体" w:eastAsia="宋体" w:cs="宋体"/>
          <w:sz w:val="24"/>
        </w:rPr>
        <w:t>不断建立和完善质量控制体系的各种规范性文件</w:t>
      </w:r>
      <w:r>
        <w:rPr>
          <w:rFonts w:hint="eastAsia" w:ascii="宋体" w:hAnsi="宋体" w:eastAsia="宋体" w:cs="宋体"/>
          <w:sz w:val="10"/>
        </w:rPr>
        <w:t>，</w:t>
      </w:r>
      <w:r>
        <w:rPr>
          <w:rFonts w:hint="eastAsia" w:ascii="宋体" w:hAnsi="宋体" w:eastAsia="宋体" w:cs="宋体"/>
          <w:sz w:val="24"/>
        </w:rPr>
        <w:t>按照</w:t>
      </w:r>
      <w:r>
        <w:rPr>
          <w:rFonts w:hint="eastAsia" w:ascii="Times New Roman" w:hAnsi="Times New Roman" w:eastAsia="Times New Roman" w:cs="Times New Roman"/>
          <w:sz w:val="24"/>
        </w:rPr>
        <w:t xml:space="preserve"> GB/T19001-2008 idt ISO9001:2008</w:t>
      </w:r>
      <w:r>
        <w:rPr>
          <w:rFonts w:hint="eastAsia" w:ascii="宋体" w:hAnsi="宋体" w:eastAsia="宋体" w:cs="宋体"/>
          <w:sz w:val="24"/>
        </w:rPr>
        <w:t xml:space="preserve"> 和</w:t>
      </w:r>
      <w:r>
        <w:rPr>
          <w:rFonts w:hint="eastAsia" w:ascii="Times New Roman" w:hAnsi="Times New Roman" w:eastAsia="Times New Roman" w:cs="Times New Roman"/>
          <w:sz w:val="24"/>
        </w:rPr>
        <w:t>ISO9001:2008</w:t>
      </w:r>
      <w:r>
        <w:rPr>
          <w:rFonts w:hint="eastAsia" w:ascii="宋体" w:hAnsi="宋体" w:eastAsia="宋体" w:cs="宋体"/>
          <w:sz w:val="24"/>
        </w:rPr>
        <w:t xml:space="preserve"> 标准要求建立并实施了质量管理体系</w:t>
      </w:r>
      <w:r>
        <w:rPr>
          <w:rFonts w:hint="eastAsia" w:ascii="宋体" w:hAnsi="宋体" w:eastAsia="宋体" w:cs="宋体"/>
          <w:sz w:val="10"/>
        </w:rPr>
        <w:t>。</w:t>
      </w:r>
      <w:r>
        <w:rPr>
          <w:rFonts w:hint="eastAsia" w:ascii="宋体" w:hAnsi="宋体" w:eastAsia="宋体" w:cs="宋体"/>
          <w:sz w:val="24"/>
        </w:rPr>
        <w:t>公司通过制订严格的开发规程</w:t>
      </w:r>
      <w:r>
        <w:rPr>
          <w:rFonts w:hint="eastAsia" w:ascii="宋体" w:hAnsi="宋体" w:eastAsia="宋体" w:cs="宋体"/>
          <w:sz w:val="10"/>
        </w:rPr>
        <w:t>，</w:t>
      </w:r>
      <w:r>
        <w:rPr>
          <w:rFonts w:hint="eastAsia" w:ascii="宋体" w:hAnsi="宋体" w:eastAsia="宋体" w:cs="宋体"/>
          <w:sz w:val="24"/>
        </w:rPr>
        <w:t>通过制度化来保证产品质量</w:t>
      </w:r>
      <w:r>
        <w:rPr>
          <w:rFonts w:hint="eastAsia" w:ascii="宋体" w:hAnsi="宋体" w:eastAsia="宋体" w:cs="宋体"/>
          <w:sz w:val="10"/>
        </w:rPr>
        <w:t>，</w:t>
      </w:r>
      <w:r>
        <w:rPr>
          <w:rFonts w:hint="eastAsia" w:ascii="宋体" w:hAnsi="宋体" w:eastAsia="宋体" w:cs="宋体"/>
          <w:sz w:val="24"/>
        </w:rPr>
        <w:t>对产品和服务过程实行全方位的质量控制</w:t>
      </w:r>
      <w:r>
        <w:rPr>
          <w:rFonts w:hint="eastAsia" w:ascii="宋体" w:hAnsi="宋体" w:eastAsia="宋体" w:cs="宋体"/>
          <w:sz w:val="10"/>
        </w:rPr>
        <w:t>，</w:t>
      </w:r>
      <w:r>
        <w:rPr>
          <w:rFonts w:hint="eastAsia" w:ascii="宋体" w:hAnsi="宋体" w:eastAsia="宋体" w:cs="宋体"/>
          <w:sz w:val="24"/>
        </w:rPr>
        <w:t>以确保符合质量管理的标准要求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（二）质量纠纷情况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本公司未发生过重大质量纠纷</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（三）发行人经营资质</w:t>
      </w:r>
      <w:r>
        <w:rPr>
          <w:rFonts w:hint="eastAsia" w:ascii="宋体" w:hAnsi="宋体" w:eastAsia="宋体" w:cs="宋体"/>
          <w:b/>
          <w:sz w:val="10"/>
        </w:rPr>
        <w:t>、</w:t>
      </w:r>
      <w:r>
        <w:rPr>
          <w:rFonts w:hint="eastAsia" w:ascii="宋体" w:hAnsi="宋体" w:eastAsia="宋体" w:cs="宋体"/>
          <w:b/>
          <w:sz w:val="24"/>
        </w:rPr>
        <w:t>履行的法律程序</w:t>
      </w:r>
      <w:r>
        <w:rPr>
          <w:rFonts w:hint="eastAsia" w:ascii="宋体" w:hAnsi="宋体" w:eastAsia="宋体" w:cs="宋体"/>
          <w:b/>
          <w:sz w:val="10"/>
        </w:rPr>
        <w:t>、</w:t>
      </w:r>
      <w:r>
        <w:rPr>
          <w:rFonts w:hint="eastAsia" w:ascii="宋体" w:hAnsi="宋体" w:eastAsia="宋体" w:cs="宋体"/>
          <w:b/>
          <w:sz w:val="24"/>
        </w:rPr>
        <w:t>满足的标准规范情况</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发行人已取得生产经营所必备的相关许可</w:t>
      </w:r>
      <w:r>
        <w:rPr>
          <w:rFonts w:hint="eastAsia" w:ascii="宋体" w:hAnsi="宋体" w:eastAsia="宋体" w:cs="宋体"/>
          <w:sz w:val="10"/>
        </w:rPr>
        <w:t>、</w:t>
      </w:r>
      <w:r>
        <w:rPr>
          <w:rFonts w:hint="eastAsia" w:ascii="宋体" w:hAnsi="宋体" w:eastAsia="宋体" w:cs="宋体"/>
          <w:sz w:val="24"/>
        </w:rPr>
        <w:t>资质</w:t>
      </w:r>
      <w:r>
        <w:rPr>
          <w:rFonts w:hint="eastAsia" w:ascii="宋体" w:hAnsi="宋体" w:eastAsia="宋体" w:cs="宋体"/>
          <w:sz w:val="10"/>
        </w:rPr>
        <w:t>、</w:t>
      </w:r>
      <w:r>
        <w:rPr>
          <w:rFonts w:hint="eastAsia" w:ascii="宋体" w:hAnsi="宋体" w:eastAsia="宋体" w:cs="宋体"/>
          <w:sz w:val="24"/>
        </w:rPr>
        <w:t>认证</w:t>
      </w:r>
      <w:r>
        <w:rPr>
          <w:rFonts w:hint="eastAsia" w:ascii="宋体" w:hAnsi="宋体" w:eastAsia="宋体" w:cs="宋体"/>
          <w:sz w:val="10"/>
        </w:rPr>
        <w:t>，</w:t>
      </w:r>
      <w:r>
        <w:rPr>
          <w:rFonts w:hint="eastAsia" w:ascii="宋体" w:hAnsi="宋体" w:eastAsia="宋体" w:cs="宋体"/>
          <w:sz w:val="24"/>
        </w:rPr>
        <w:t>研发</w:t>
      </w:r>
      <w:r>
        <w:rPr>
          <w:rFonts w:hint="eastAsia" w:ascii="宋体" w:hAnsi="宋体" w:eastAsia="宋体" w:cs="宋体"/>
          <w:sz w:val="10"/>
        </w:rPr>
        <w:t>、</w:t>
      </w:r>
      <w:r>
        <w:rPr>
          <w:rFonts w:hint="eastAsia" w:ascii="宋体" w:hAnsi="宋体" w:eastAsia="宋体" w:cs="宋体"/>
          <w:sz w:val="24"/>
        </w:rPr>
        <w:t>销售软件产品无须履行法律程序</w:t>
      </w:r>
      <w:r>
        <w:rPr>
          <w:rFonts w:hint="eastAsia" w:ascii="宋体" w:hAnsi="宋体" w:eastAsia="宋体" w:cs="宋体"/>
          <w:sz w:val="10"/>
        </w:rPr>
        <w:t>，</w:t>
      </w:r>
      <w:r>
        <w:rPr>
          <w:rFonts w:hint="eastAsia" w:ascii="宋体" w:hAnsi="宋体" w:eastAsia="宋体" w:cs="宋体"/>
          <w:sz w:val="24"/>
        </w:rPr>
        <w:t>满足所必需的国家</w:t>
      </w:r>
      <w:r>
        <w:rPr>
          <w:rFonts w:hint="eastAsia" w:ascii="宋体" w:hAnsi="宋体" w:eastAsia="宋体" w:cs="宋体"/>
          <w:sz w:val="10"/>
        </w:rPr>
        <w:t>、</w:t>
      </w:r>
      <w:r>
        <w:rPr>
          <w:rFonts w:hint="eastAsia" w:ascii="宋体" w:hAnsi="宋体" w:eastAsia="宋体" w:cs="宋体"/>
          <w:sz w:val="24"/>
        </w:rPr>
        <w:t>行业及地方标准规范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1-1-177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3700"/>
        <w:jc w:val="both"/>
      </w:pPr>
      <w:r>
        <w:rPr>
          <w:rFonts w:hint="eastAsia" w:ascii="ºÚÌå" w:hAnsi="ºÚÌå" w:eastAsia="ºÚÌå" w:cs="ºÚÌå"/>
          <w:b/>
          <w:sz w:val="36"/>
        </w:rPr>
        <w:t>第七节</w:t>
      </w:r>
      <w:r>
        <w:rPr>
          <w:rFonts w:hint="eastAsia" w:ascii="ºÚÌå" w:hAnsi="ºÚÌå" w:eastAsia="ºÚÌå" w:cs="ºÚÌå"/>
          <w:b/>
          <w:sz w:val="36"/>
        </w:rPr>
        <w:t xml:space="preserve"> </w:t>
      </w:r>
      <w:r>
        <w:rPr>
          <w:rFonts w:hint="eastAsia" w:ascii="ºÚÌå" w:hAnsi="ºÚÌå" w:eastAsia="ºÚÌå" w:cs="ºÚÌå"/>
          <w:b/>
          <w:sz w:val="36"/>
        </w:rPr>
        <w:t>同业竞争与关联交易</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6"/>
        </w:rPr>
        <w:t>一、</w:t>
      </w:r>
      <w:r>
        <w:rPr>
          <w:rFonts w:hint="eastAsia" w:ascii="ºÚÌå" w:hAnsi="ºÚÌå" w:eastAsia="ºÚÌå" w:cs="ºÚÌå"/>
          <w:sz w:val="30"/>
        </w:rPr>
        <w:t>发行人独立经营情况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本公司成立以来</w:t>
      </w:r>
      <w:r>
        <w:rPr>
          <w:rFonts w:hint="eastAsia" w:ascii="宋体" w:hAnsi="宋体" w:eastAsia="宋体" w:cs="宋体"/>
          <w:sz w:val="10"/>
        </w:rPr>
        <w:t>，</w:t>
      </w:r>
      <w:r>
        <w:rPr>
          <w:rFonts w:hint="eastAsia" w:ascii="宋体" w:hAnsi="宋体" w:eastAsia="宋体" w:cs="宋体"/>
          <w:sz w:val="24"/>
        </w:rPr>
        <w:t>均严格按照《公司法》、《</w:t>
      </w:r>
      <w:r>
        <w:rPr>
          <w:rFonts w:hint="eastAsia" w:ascii="宋体" w:hAnsi="宋体" w:eastAsia="宋体" w:cs="宋体"/>
          <w:sz w:val="24"/>
        </w:rPr>
        <w:t>证券法》等有关法律法规和《公司章程》的要求规范运作</w:t>
      </w:r>
      <w:r>
        <w:rPr>
          <w:rFonts w:hint="eastAsia" w:ascii="宋体" w:hAnsi="宋体" w:eastAsia="宋体" w:cs="宋体"/>
          <w:sz w:val="10"/>
        </w:rPr>
        <w:t>。</w:t>
      </w: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本公司在资产</w:t>
      </w:r>
      <w:r>
        <w:rPr>
          <w:rFonts w:hint="eastAsia" w:ascii="宋体" w:hAnsi="宋体" w:eastAsia="宋体" w:cs="宋体"/>
          <w:sz w:val="10"/>
        </w:rPr>
        <w:t>、</w:t>
      </w:r>
      <w:r>
        <w:rPr>
          <w:rFonts w:hint="eastAsia" w:ascii="宋体" w:hAnsi="宋体" w:eastAsia="宋体" w:cs="宋体"/>
          <w:sz w:val="24"/>
        </w:rPr>
        <w:t>人员</w:t>
      </w:r>
      <w:r>
        <w:rPr>
          <w:rFonts w:hint="eastAsia" w:ascii="宋体" w:hAnsi="宋体" w:eastAsia="宋体" w:cs="宋体"/>
          <w:sz w:val="10"/>
        </w:rPr>
        <w:t>、</w:t>
      </w:r>
      <w:r>
        <w:rPr>
          <w:rFonts w:hint="eastAsia" w:ascii="宋体" w:hAnsi="宋体" w:eastAsia="宋体" w:cs="宋体"/>
          <w:sz w:val="24"/>
        </w:rPr>
        <w:t>财务</w:t>
      </w:r>
      <w:r>
        <w:rPr>
          <w:rFonts w:hint="eastAsia" w:ascii="宋体" w:hAnsi="宋体" w:eastAsia="宋体" w:cs="宋体"/>
          <w:sz w:val="10"/>
        </w:rPr>
        <w:t>、</w:t>
      </w:r>
      <w:r>
        <w:rPr>
          <w:rFonts w:hint="eastAsia" w:ascii="宋体" w:hAnsi="宋体" w:eastAsia="宋体" w:cs="宋体"/>
          <w:sz w:val="24"/>
        </w:rPr>
        <w:t>机构</w:t>
      </w:r>
      <w:r>
        <w:rPr>
          <w:rFonts w:hint="eastAsia" w:ascii="宋体" w:hAnsi="宋体" w:eastAsia="宋体" w:cs="宋体"/>
          <w:sz w:val="10"/>
        </w:rPr>
        <w:t>、</w:t>
      </w:r>
      <w:r>
        <w:rPr>
          <w:rFonts w:hint="eastAsia" w:ascii="宋体" w:hAnsi="宋体" w:eastAsia="宋体" w:cs="宋体"/>
          <w:sz w:val="24"/>
        </w:rPr>
        <w:t>业务等方面与实际控制人及其控制的其他企业完全分开</w:t>
      </w:r>
      <w:r>
        <w:rPr>
          <w:rFonts w:hint="eastAsia" w:ascii="宋体" w:hAnsi="宋体" w:eastAsia="宋体" w:cs="宋体"/>
          <w:sz w:val="10"/>
        </w:rPr>
        <w:t>，</w:t>
      </w:r>
      <w:r>
        <w:rPr>
          <w:rFonts w:hint="eastAsia" w:ascii="宋体" w:hAnsi="宋体" w:eastAsia="宋体" w:cs="宋体"/>
          <w:sz w:val="24"/>
        </w:rPr>
        <w:t>具有独立</w:t>
      </w:r>
      <w:r>
        <w:rPr>
          <w:rFonts w:hint="eastAsia" w:ascii="宋体" w:hAnsi="宋体" w:eastAsia="宋体" w:cs="宋体"/>
          <w:sz w:val="10"/>
        </w:rPr>
        <w:t>、</w:t>
      </w:r>
      <w:r>
        <w:rPr>
          <w:rFonts w:hint="eastAsia" w:ascii="宋体" w:hAnsi="宋体" w:eastAsia="宋体" w:cs="宋体"/>
          <w:sz w:val="24"/>
        </w:rPr>
        <w:t>完整的业务体系及面向市场独立经营的能力</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（一）资产完整情况</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公司系由有限责任公司整体变更而来</w:t>
      </w:r>
      <w:r>
        <w:rPr>
          <w:rFonts w:hint="eastAsia" w:ascii="宋体" w:hAnsi="宋体" w:eastAsia="宋体" w:cs="宋体"/>
          <w:sz w:val="10"/>
        </w:rPr>
        <w:t>，</w:t>
      </w:r>
      <w:r>
        <w:rPr>
          <w:rFonts w:hint="eastAsia" w:ascii="宋体" w:hAnsi="宋体" w:eastAsia="宋体" w:cs="宋体"/>
          <w:sz w:val="24"/>
        </w:rPr>
        <w:t>公司依法办理了相关资产和产权的变更手续</w:t>
      </w:r>
      <w:r>
        <w:rPr>
          <w:rFonts w:hint="eastAsia" w:ascii="宋体" w:hAnsi="宋体" w:eastAsia="宋体" w:cs="宋体"/>
          <w:sz w:val="10"/>
        </w:rPr>
        <w:t>。</w:t>
      </w:r>
      <w:r>
        <w:rPr>
          <w:rFonts w:hint="eastAsia" w:ascii="宋体" w:hAnsi="宋体" w:eastAsia="宋体" w:cs="宋体"/>
          <w:sz w:val="24"/>
        </w:rPr>
        <w:t>公司已具备开展业务所需的技术</w:t>
      </w:r>
      <w:r>
        <w:rPr>
          <w:rFonts w:hint="eastAsia" w:ascii="宋体" w:hAnsi="宋体" w:eastAsia="宋体" w:cs="宋体"/>
          <w:sz w:val="10"/>
        </w:rPr>
        <w:t>、</w:t>
      </w:r>
      <w:r>
        <w:rPr>
          <w:rFonts w:hint="eastAsia" w:ascii="宋体" w:hAnsi="宋体" w:eastAsia="宋体" w:cs="宋体"/>
          <w:sz w:val="24"/>
        </w:rPr>
        <w:t>场所和必要设备</w:t>
      </w:r>
      <w:r>
        <w:rPr>
          <w:rFonts w:hint="eastAsia" w:ascii="宋体" w:hAnsi="宋体" w:eastAsia="宋体" w:cs="宋体"/>
          <w:sz w:val="10"/>
        </w:rPr>
        <w:t>、</w:t>
      </w:r>
      <w:r>
        <w:rPr>
          <w:rFonts w:hint="eastAsia" w:ascii="宋体" w:hAnsi="宋体" w:eastAsia="宋体" w:cs="宋体"/>
          <w:sz w:val="24"/>
        </w:rPr>
        <w:t>设施</w:t>
      </w:r>
      <w:r>
        <w:rPr>
          <w:rFonts w:hint="eastAsia" w:ascii="宋体" w:hAnsi="宋体" w:eastAsia="宋体" w:cs="宋体"/>
          <w:sz w:val="10"/>
        </w:rPr>
        <w:t>，</w:t>
      </w:r>
      <w:r>
        <w:rPr>
          <w:rFonts w:hint="eastAsia" w:ascii="宋体" w:hAnsi="宋体" w:eastAsia="宋体" w:cs="宋体"/>
          <w:sz w:val="24"/>
        </w:rPr>
        <w:t>同时合法拥有与经营有关的土地</w:t>
      </w:r>
      <w:r>
        <w:rPr>
          <w:rFonts w:hint="eastAsia" w:ascii="宋体" w:hAnsi="宋体" w:eastAsia="宋体" w:cs="宋体"/>
          <w:sz w:val="10"/>
        </w:rPr>
        <w:t>、</w:t>
      </w:r>
      <w:r>
        <w:rPr>
          <w:rFonts w:hint="eastAsia" w:ascii="宋体" w:hAnsi="宋体" w:eastAsia="宋体" w:cs="宋体"/>
          <w:sz w:val="24"/>
        </w:rPr>
        <w:t>品牌</w:t>
      </w:r>
      <w:r>
        <w:rPr>
          <w:rFonts w:hint="eastAsia" w:ascii="宋体" w:hAnsi="宋体" w:eastAsia="宋体" w:cs="宋体"/>
          <w:sz w:val="10"/>
        </w:rPr>
        <w:t>、</w:t>
      </w:r>
      <w:r>
        <w:rPr>
          <w:rFonts w:hint="eastAsia" w:ascii="宋体" w:hAnsi="宋体" w:eastAsia="宋体" w:cs="宋体"/>
          <w:sz w:val="24"/>
        </w:rPr>
        <w:t>商标</w:t>
      </w:r>
      <w:r>
        <w:rPr>
          <w:rFonts w:hint="eastAsia" w:ascii="宋体" w:hAnsi="宋体" w:eastAsia="宋体" w:cs="宋体"/>
          <w:sz w:val="10"/>
        </w:rPr>
        <w:t>、</w:t>
      </w:r>
      <w:r>
        <w:rPr>
          <w:rFonts w:hint="eastAsia" w:ascii="宋体" w:hAnsi="宋体" w:eastAsia="宋体" w:cs="宋体"/>
          <w:sz w:val="24"/>
        </w:rPr>
        <w:t>专有技术及技术服务系统</w:t>
      </w:r>
      <w:r>
        <w:rPr>
          <w:rFonts w:hint="eastAsia" w:ascii="宋体" w:hAnsi="宋体" w:eastAsia="宋体" w:cs="宋体"/>
          <w:sz w:val="10"/>
        </w:rPr>
        <w:t>、</w:t>
      </w:r>
      <w:r>
        <w:rPr>
          <w:rFonts w:hint="eastAsia" w:ascii="宋体" w:hAnsi="宋体" w:eastAsia="宋体" w:cs="宋体"/>
          <w:sz w:val="24"/>
        </w:rPr>
        <w:t>研发系统和独立的市场营销系统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公司资产权属清晰</w:t>
      </w:r>
      <w:r>
        <w:rPr>
          <w:rFonts w:hint="eastAsia" w:ascii="宋体" w:hAnsi="宋体" w:eastAsia="宋体" w:cs="宋体"/>
          <w:sz w:val="10"/>
        </w:rPr>
        <w:t>、</w:t>
      </w:r>
      <w:r>
        <w:rPr>
          <w:rFonts w:hint="eastAsia" w:ascii="宋体" w:hAnsi="宋体" w:eastAsia="宋体" w:cs="宋体"/>
          <w:sz w:val="24"/>
        </w:rPr>
        <w:t>完整</w:t>
      </w:r>
      <w:r>
        <w:rPr>
          <w:rFonts w:hint="eastAsia" w:ascii="宋体" w:hAnsi="宋体" w:eastAsia="宋体" w:cs="宋体"/>
          <w:sz w:val="10"/>
        </w:rPr>
        <w:t>，</w:t>
      </w:r>
      <w:r>
        <w:rPr>
          <w:rFonts w:hint="eastAsia" w:ascii="宋体" w:hAnsi="宋体" w:eastAsia="宋体" w:cs="宋体"/>
          <w:sz w:val="24"/>
        </w:rPr>
        <w:t>不存在对股东及其他机构依赖的情况</w:t>
      </w:r>
      <w:r>
        <w:rPr>
          <w:rFonts w:hint="eastAsia" w:ascii="宋体" w:hAnsi="宋体" w:eastAsia="宋体" w:cs="宋体"/>
          <w:sz w:val="10"/>
        </w:rPr>
        <w:t>。</w:t>
      </w:r>
      <w:r>
        <w:rPr>
          <w:rFonts w:hint="eastAsia" w:ascii="宋体" w:hAnsi="宋体" w:eastAsia="宋体" w:cs="宋体"/>
          <w:sz w:val="24"/>
        </w:rPr>
        <w:t>截至本招股说明书签署日</w:t>
      </w:r>
      <w:r>
        <w:rPr>
          <w:rFonts w:hint="eastAsia" w:ascii="宋体" w:hAnsi="宋体" w:eastAsia="宋体" w:cs="宋体"/>
          <w:sz w:val="10"/>
        </w:rPr>
        <w:t>，</w:t>
      </w:r>
      <w:r>
        <w:rPr>
          <w:rFonts w:hint="eastAsia" w:ascii="宋体" w:hAnsi="宋体" w:eastAsia="宋体" w:cs="宋体"/>
          <w:sz w:val="24"/>
        </w:rPr>
        <w:t>公司不存在以公司资产</w:t>
      </w:r>
      <w:r>
        <w:rPr>
          <w:rFonts w:hint="eastAsia" w:ascii="宋体" w:hAnsi="宋体" w:eastAsia="宋体" w:cs="宋体"/>
          <w:sz w:val="10"/>
        </w:rPr>
        <w:t>、</w:t>
      </w:r>
      <w:r>
        <w:rPr>
          <w:rFonts w:hint="eastAsia" w:ascii="宋体" w:hAnsi="宋体" w:eastAsia="宋体" w:cs="宋体"/>
          <w:sz w:val="24"/>
        </w:rPr>
        <w:t>信用为控股股东</w:t>
      </w:r>
      <w:r>
        <w:rPr>
          <w:rFonts w:hint="eastAsia" w:ascii="宋体" w:hAnsi="宋体" w:eastAsia="宋体" w:cs="宋体"/>
          <w:sz w:val="10"/>
        </w:rPr>
        <w:t>、</w:t>
      </w:r>
      <w:r>
        <w:rPr>
          <w:rFonts w:hint="eastAsia" w:ascii="宋体" w:hAnsi="宋体" w:eastAsia="宋体" w:cs="宋体"/>
          <w:sz w:val="24"/>
        </w:rPr>
        <w:t>实际控制人及其控制的其他企业进行违规担保的情形</w:t>
      </w:r>
      <w:r>
        <w:rPr>
          <w:rFonts w:hint="eastAsia" w:ascii="宋体" w:hAnsi="宋体" w:eastAsia="宋体" w:cs="宋体"/>
          <w:sz w:val="10"/>
        </w:rPr>
        <w:t>，</w:t>
      </w:r>
      <w:r>
        <w:rPr>
          <w:rFonts w:hint="eastAsia" w:ascii="宋体" w:hAnsi="宋体" w:eastAsia="宋体" w:cs="宋体"/>
          <w:sz w:val="24"/>
        </w:rPr>
        <w:t>不存在资金被控股股东</w:t>
      </w:r>
      <w:r>
        <w:rPr>
          <w:rFonts w:hint="eastAsia" w:ascii="宋体" w:hAnsi="宋体" w:eastAsia="宋体" w:cs="宋体"/>
          <w:sz w:val="10"/>
        </w:rPr>
        <w:t>、</w:t>
      </w:r>
      <w:r>
        <w:rPr>
          <w:rFonts w:hint="eastAsia" w:ascii="宋体" w:hAnsi="宋体" w:eastAsia="宋体" w:cs="宋体"/>
          <w:sz w:val="24"/>
        </w:rPr>
        <w:t>实际控制人及其控制的其他企业以借款</w:t>
      </w:r>
      <w:r>
        <w:rPr>
          <w:rFonts w:hint="eastAsia" w:ascii="宋体" w:hAnsi="宋体" w:eastAsia="宋体" w:cs="宋体"/>
          <w:sz w:val="10"/>
        </w:rPr>
        <w:t>、</w:t>
      </w:r>
      <w:r>
        <w:rPr>
          <w:rFonts w:hint="eastAsia" w:ascii="宋体" w:hAnsi="宋体" w:eastAsia="宋体" w:cs="宋体"/>
          <w:sz w:val="24"/>
        </w:rPr>
        <w:t>代偿债务</w:t>
      </w:r>
      <w:r>
        <w:rPr>
          <w:rFonts w:hint="eastAsia" w:ascii="宋体" w:hAnsi="宋体" w:eastAsia="宋体" w:cs="宋体"/>
          <w:sz w:val="10"/>
        </w:rPr>
        <w:t>、</w:t>
      </w:r>
      <w:r>
        <w:rPr>
          <w:rFonts w:hint="eastAsia" w:ascii="宋体" w:hAnsi="宋体" w:eastAsia="宋体" w:cs="宋体"/>
          <w:sz w:val="24"/>
        </w:rPr>
        <w:t>代垫款项或者其他方式占用的情形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（二）人员独立情况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00" w:firstLine="480"/>
        <w:jc w:val="both"/>
      </w:pPr>
      <w:r>
        <w:rPr>
          <w:rFonts w:hint="eastAsia" w:ascii="宋体" w:hAnsi="宋体" w:eastAsia="宋体" w:cs="宋体"/>
          <w:sz w:val="24"/>
        </w:rPr>
        <w:t>公司拥有独立</w:t>
      </w:r>
      <w:r>
        <w:rPr>
          <w:rFonts w:hint="eastAsia" w:ascii="宋体" w:hAnsi="宋体" w:eastAsia="宋体" w:cs="宋体"/>
          <w:sz w:val="10"/>
        </w:rPr>
        <w:t>、</w:t>
      </w:r>
      <w:r>
        <w:rPr>
          <w:rFonts w:hint="eastAsia" w:ascii="宋体" w:hAnsi="宋体" w:eastAsia="宋体" w:cs="宋体"/>
          <w:sz w:val="24"/>
        </w:rPr>
        <w:t>完整的人事管理体系</w:t>
      </w:r>
      <w:r>
        <w:rPr>
          <w:rFonts w:hint="eastAsia" w:ascii="宋体" w:hAnsi="宋体" w:eastAsia="宋体" w:cs="宋体"/>
          <w:sz w:val="10"/>
        </w:rPr>
        <w:t>。</w:t>
      </w: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监事和高级管理人员的选举和聘任均严格按照《公司法》和《公司章程》的有关规定执行</w:t>
      </w:r>
      <w:r>
        <w:rPr>
          <w:rFonts w:hint="eastAsia" w:ascii="宋体" w:hAnsi="宋体" w:eastAsia="宋体" w:cs="宋体"/>
          <w:sz w:val="10"/>
        </w:rPr>
        <w:t>，</w:t>
      </w:r>
      <w:r>
        <w:rPr>
          <w:rFonts w:hint="eastAsia" w:ascii="宋体" w:hAnsi="宋体" w:eastAsia="宋体" w:cs="宋体"/>
          <w:sz w:val="24"/>
        </w:rPr>
        <w:t>不存在受其他机构或个人干预的情形</w:t>
      </w:r>
      <w:r>
        <w:rPr>
          <w:rFonts w:hint="eastAsia" w:ascii="宋体" w:hAnsi="宋体" w:eastAsia="宋体" w:cs="宋体"/>
          <w:sz w:val="10"/>
        </w:rPr>
        <w:t>。</w:t>
      </w:r>
      <w:r>
        <w:rPr>
          <w:rFonts w:hint="eastAsia" w:ascii="宋体" w:hAnsi="宋体" w:eastAsia="宋体" w:cs="宋体"/>
          <w:sz w:val="24"/>
        </w:rPr>
        <w:t>公司总经理</w:t>
      </w:r>
      <w:r>
        <w:rPr>
          <w:rFonts w:hint="eastAsia" w:ascii="宋体" w:hAnsi="宋体" w:eastAsia="宋体" w:cs="宋体"/>
          <w:sz w:val="10"/>
        </w:rPr>
        <w:t>、</w:t>
      </w:r>
      <w:r>
        <w:rPr>
          <w:rFonts w:hint="eastAsia" w:ascii="宋体" w:hAnsi="宋体" w:eastAsia="宋体" w:cs="宋体"/>
          <w:sz w:val="24"/>
        </w:rPr>
        <w:t>副总经理</w:t>
      </w:r>
      <w:r>
        <w:rPr>
          <w:rFonts w:hint="eastAsia" w:ascii="宋体" w:hAnsi="宋体" w:eastAsia="宋体" w:cs="宋体"/>
          <w:sz w:val="10"/>
        </w:rPr>
        <w:t>、</w:t>
      </w:r>
      <w:r>
        <w:rPr>
          <w:rFonts w:hint="eastAsia" w:ascii="宋体" w:hAnsi="宋体" w:eastAsia="宋体" w:cs="宋体"/>
          <w:sz w:val="24"/>
        </w:rPr>
        <w:t>财务负责人和董事会秘书等高级管理人员未在控股股东</w:t>
      </w:r>
      <w:r>
        <w:rPr>
          <w:rFonts w:hint="eastAsia" w:ascii="宋体" w:hAnsi="宋体" w:eastAsia="宋体" w:cs="宋体"/>
          <w:sz w:val="10"/>
        </w:rPr>
        <w:t>、</w:t>
      </w:r>
      <w:r>
        <w:rPr>
          <w:rFonts w:hint="eastAsia" w:ascii="宋体" w:hAnsi="宋体" w:eastAsia="宋体" w:cs="宋体"/>
          <w:sz w:val="24"/>
        </w:rPr>
        <w:t>实际控制人及其控制的其他企业中担任除董事</w:t>
      </w:r>
      <w:r>
        <w:rPr>
          <w:rFonts w:hint="eastAsia" w:ascii="宋体" w:hAnsi="宋体" w:eastAsia="宋体" w:cs="宋体"/>
          <w:sz w:val="10"/>
        </w:rPr>
        <w:t>、</w:t>
      </w:r>
      <w:r>
        <w:rPr>
          <w:rFonts w:hint="eastAsia" w:ascii="宋体" w:hAnsi="宋体" w:eastAsia="宋体" w:cs="宋体"/>
          <w:sz w:val="24"/>
        </w:rPr>
        <w:t>监事以外的其他职务</w:t>
      </w:r>
      <w:r>
        <w:rPr>
          <w:rFonts w:hint="eastAsia" w:ascii="宋体" w:hAnsi="宋体" w:eastAsia="宋体" w:cs="宋体"/>
          <w:sz w:val="10"/>
        </w:rPr>
        <w:t>，</w:t>
      </w:r>
      <w:r>
        <w:rPr>
          <w:rFonts w:hint="eastAsia" w:ascii="宋体" w:hAnsi="宋体" w:eastAsia="宋体" w:cs="宋体"/>
          <w:sz w:val="24"/>
        </w:rPr>
        <w:t>未在控股股东</w:t>
      </w:r>
      <w:r>
        <w:rPr>
          <w:rFonts w:hint="eastAsia" w:ascii="宋体" w:hAnsi="宋体" w:eastAsia="宋体" w:cs="宋体"/>
          <w:sz w:val="10"/>
        </w:rPr>
        <w:t>、</w:t>
      </w:r>
      <w:r>
        <w:rPr>
          <w:rFonts w:hint="eastAsia" w:ascii="宋体" w:hAnsi="宋体" w:eastAsia="宋体" w:cs="宋体"/>
          <w:sz w:val="24"/>
        </w:rPr>
        <w:t>实际控制人及其控制的其他企业领薪</w:t>
      </w:r>
      <w:r>
        <w:rPr>
          <w:rFonts w:hint="eastAsia" w:ascii="宋体" w:hAnsi="宋体" w:eastAsia="宋体" w:cs="宋体"/>
          <w:sz w:val="10"/>
        </w:rPr>
        <w:t>。</w:t>
      </w:r>
      <w:r>
        <w:rPr>
          <w:rFonts w:hint="eastAsia" w:ascii="宋体" w:hAnsi="宋体" w:eastAsia="宋体" w:cs="宋体"/>
          <w:sz w:val="24"/>
        </w:rPr>
        <w:t>公司财务人员未在控股股东</w:t>
      </w:r>
      <w:r>
        <w:rPr>
          <w:rFonts w:hint="eastAsia" w:ascii="宋体" w:hAnsi="宋体" w:eastAsia="宋体" w:cs="宋体"/>
          <w:sz w:val="10"/>
        </w:rPr>
        <w:t>、</w:t>
      </w:r>
      <w:r>
        <w:rPr>
          <w:rFonts w:hint="eastAsia" w:ascii="宋体" w:hAnsi="宋体" w:eastAsia="宋体" w:cs="宋体"/>
          <w:sz w:val="24"/>
        </w:rPr>
        <w:t>实际控制人及其控制的其他企业中兼职</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（三）财务独立情况</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公司设立了独立的财务部门</w:t>
      </w:r>
      <w:r>
        <w:rPr>
          <w:rFonts w:hint="eastAsia" w:ascii="宋体" w:hAnsi="宋体" w:eastAsia="宋体" w:cs="宋体"/>
          <w:sz w:val="10"/>
        </w:rPr>
        <w:t>，</w:t>
      </w:r>
      <w:r>
        <w:rPr>
          <w:rFonts w:hint="eastAsia" w:ascii="宋体" w:hAnsi="宋体" w:eastAsia="宋体" w:cs="宋体"/>
          <w:sz w:val="24"/>
        </w:rPr>
        <w:t>配备了专职的财务人员</w:t>
      </w:r>
      <w:r>
        <w:rPr>
          <w:rFonts w:hint="eastAsia" w:ascii="宋体" w:hAnsi="宋体" w:eastAsia="宋体" w:cs="宋体"/>
          <w:sz w:val="10"/>
        </w:rPr>
        <w:t>，</w:t>
      </w:r>
      <w:r>
        <w:rPr>
          <w:rFonts w:hint="eastAsia" w:ascii="宋体" w:hAnsi="宋体" w:eastAsia="宋体" w:cs="宋体"/>
          <w:sz w:val="24"/>
        </w:rPr>
        <w:t>建立了独立的财务会计核算体系及内部控制制度</w:t>
      </w:r>
      <w:r>
        <w:rPr>
          <w:rFonts w:hint="eastAsia" w:ascii="宋体" w:hAnsi="宋体" w:eastAsia="宋体" w:cs="宋体"/>
          <w:sz w:val="10"/>
        </w:rPr>
        <w:t>，</w:t>
      </w:r>
      <w:r>
        <w:rPr>
          <w:rFonts w:hint="eastAsia" w:ascii="宋体" w:hAnsi="宋体" w:eastAsia="宋体" w:cs="宋体"/>
          <w:sz w:val="24"/>
        </w:rPr>
        <w:t>独立进行财务决策</w:t>
      </w:r>
      <w:r>
        <w:rPr>
          <w:rFonts w:hint="eastAsia" w:ascii="宋体" w:hAnsi="宋体" w:eastAsia="宋体" w:cs="宋体"/>
          <w:sz w:val="10"/>
        </w:rPr>
        <w:t>，</w:t>
      </w:r>
      <w:r>
        <w:rPr>
          <w:rFonts w:hint="eastAsia" w:ascii="宋体" w:hAnsi="宋体" w:eastAsia="宋体" w:cs="宋体"/>
          <w:sz w:val="24"/>
        </w:rPr>
        <w:t>具有规范的财务会计制度和对子公司的财务管理制度</w:t>
      </w:r>
      <w:r>
        <w:rPr>
          <w:rFonts w:hint="eastAsia" w:ascii="宋体" w:hAnsi="宋体" w:eastAsia="宋体" w:cs="宋体"/>
          <w:sz w:val="10"/>
        </w:rPr>
        <w:t>。</w:t>
      </w:r>
      <w:r>
        <w:rPr>
          <w:rFonts w:hint="eastAsia" w:ascii="宋体" w:hAnsi="宋体" w:eastAsia="宋体" w:cs="宋体"/>
          <w:sz w:val="24"/>
        </w:rPr>
        <w:t>公司成立以来</w:t>
      </w:r>
      <w:r>
        <w:rPr>
          <w:rFonts w:hint="eastAsia" w:ascii="宋体" w:hAnsi="宋体" w:eastAsia="宋体" w:cs="宋体"/>
          <w:sz w:val="10"/>
        </w:rPr>
        <w:t>，</w:t>
      </w:r>
      <w:r>
        <w:rPr>
          <w:rFonts w:hint="eastAsia" w:ascii="宋体" w:hAnsi="宋体" w:eastAsia="宋体" w:cs="宋体"/>
          <w:sz w:val="24"/>
        </w:rPr>
        <w:t>在银行开设了独立账户</w:t>
      </w:r>
      <w:r>
        <w:rPr>
          <w:rFonts w:hint="eastAsia" w:ascii="宋体" w:hAnsi="宋体" w:eastAsia="宋体" w:cs="宋体"/>
          <w:sz w:val="10"/>
        </w:rPr>
        <w:t>。</w:t>
      </w:r>
      <w:r>
        <w:rPr>
          <w:rFonts w:hint="eastAsia" w:ascii="宋体" w:hAnsi="宋体" w:eastAsia="宋体" w:cs="宋体"/>
          <w:sz w:val="24"/>
        </w:rPr>
        <w:t>公司作为独立的纳税人进行纳税申报及履行纳税义务</w:t>
      </w:r>
      <w:r>
        <w:rPr>
          <w:rFonts w:hint="eastAsia" w:ascii="宋体" w:hAnsi="宋体" w:eastAsia="宋体" w:cs="宋体"/>
          <w:sz w:val="10"/>
        </w:rPr>
        <w:t>，</w:t>
      </w:r>
      <w:r>
        <w:rPr>
          <w:rFonts w:hint="eastAsia" w:ascii="宋体" w:hAnsi="宋体" w:eastAsia="宋体" w:cs="宋体"/>
          <w:sz w:val="24"/>
        </w:rPr>
        <w:t>不存在与控股股东</w:t>
      </w:r>
      <w:r>
        <w:rPr>
          <w:rFonts w:hint="eastAsia" w:ascii="宋体" w:hAnsi="宋体" w:eastAsia="宋体" w:cs="宋体"/>
          <w:sz w:val="10"/>
        </w:rPr>
        <w:t>、</w:t>
      </w:r>
      <w:r>
        <w:rPr>
          <w:rFonts w:hint="eastAsia" w:ascii="宋体" w:hAnsi="宋体" w:eastAsia="宋体" w:cs="宋体"/>
          <w:sz w:val="24"/>
        </w:rPr>
        <w:t>实际控制人及其控制的其他企业共用银行账户</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1-1-178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的情形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（四）机构独立情况</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本公司按照《公司法》和《证券法》等法律</w:t>
      </w:r>
      <w:r>
        <w:rPr>
          <w:rFonts w:hint="eastAsia" w:ascii="宋体" w:hAnsi="宋体" w:eastAsia="宋体" w:cs="宋体"/>
          <w:sz w:val="10"/>
        </w:rPr>
        <w:t>、</w:t>
      </w:r>
      <w:r>
        <w:rPr>
          <w:rFonts w:hint="eastAsia" w:ascii="宋体" w:hAnsi="宋体" w:eastAsia="宋体" w:cs="宋体"/>
          <w:sz w:val="24"/>
        </w:rPr>
        <w:t>法规及相关规定建立了股东大会</w:t>
      </w:r>
      <w:r>
        <w:rPr>
          <w:rFonts w:hint="eastAsia" w:ascii="宋体" w:hAnsi="宋体" w:eastAsia="宋体" w:cs="宋体"/>
          <w:sz w:val="10"/>
        </w:rPr>
        <w:t>、</w:t>
      </w:r>
      <w:r>
        <w:rPr>
          <w:rFonts w:hint="eastAsia" w:ascii="宋体" w:hAnsi="宋体" w:eastAsia="宋体" w:cs="宋体"/>
          <w:sz w:val="24"/>
        </w:rPr>
        <w:t>董事会</w:t>
      </w:r>
      <w:r>
        <w:rPr>
          <w:rFonts w:hint="eastAsia" w:ascii="宋体" w:hAnsi="宋体" w:eastAsia="宋体" w:cs="宋体"/>
          <w:sz w:val="10"/>
        </w:rPr>
        <w:t>、</w:t>
      </w:r>
      <w:r>
        <w:rPr>
          <w:rFonts w:hint="eastAsia" w:ascii="宋体" w:hAnsi="宋体" w:eastAsia="宋体" w:cs="宋体"/>
          <w:sz w:val="24"/>
        </w:rPr>
        <w:t>监事会等有效的法人治理结构</w:t>
      </w:r>
      <w:r>
        <w:rPr>
          <w:rFonts w:hint="eastAsia" w:ascii="宋体" w:hAnsi="宋体" w:eastAsia="宋体" w:cs="宋体"/>
          <w:sz w:val="10"/>
        </w:rPr>
        <w:t>。</w:t>
      </w:r>
      <w:r>
        <w:rPr>
          <w:rFonts w:hint="eastAsia" w:ascii="宋体" w:hAnsi="宋体" w:eastAsia="宋体" w:cs="宋体"/>
          <w:sz w:val="24"/>
        </w:rPr>
        <w:t>公司根据经营发展的需要</w:t>
      </w:r>
      <w:r>
        <w:rPr>
          <w:rFonts w:hint="eastAsia" w:ascii="宋体" w:hAnsi="宋体" w:eastAsia="宋体" w:cs="宋体"/>
          <w:sz w:val="10"/>
        </w:rPr>
        <w:t>，</w:t>
      </w:r>
      <w:r>
        <w:rPr>
          <w:rFonts w:hint="eastAsia" w:ascii="宋体" w:hAnsi="宋体" w:eastAsia="宋体" w:cs="宋体"/>
          <w:sz w:val="24"/>
        </w:rPr>
        <w:t>建立了一套符合公司实际情况的独立</w:t>
      </w:r>
      <w:r>
        <w:rPr>
          <w:rFonts w:hint="eastAsia" w:ascii="宋体" w:hAnsi="宋体" w:eastAsia="宋体" w:cs="宋体"/>
          <w:sz w:val="10"/>
        </w:rPr>
        <w:t>、</w:t>
      </w:r>
      <w:r>
        <w:rPr>
          <w:rFonts w:hint="eastAsia" w:ascii="宋体" w:hAnsi="宋体" w:eastAsia="宋体" w:cs="宋体"/>
          <w:sz w:val="24"/>
        </w:rPr>
        <w:t>完整的内部组织管理机构</w:t>
      </w:r>
      <w:r>
        <w:rPr>
          <w:rFonts w:hint="eastAsia" w:ascii="宋体" w:hAnsi="宋体" w:eastAsia="宋体" w:cs="宋体"/>
          <w:sz w:val="10"/>
        </w:rPr>
        <w:t>，</w:t>
      </w:r>
      <w:r>
        <w:rPr>
          <w:rFonts w:hint="eastAsia" w:ascii="宋体" w:hAnsi="宋体" w:eastAsia="宋体" w:cs="宋体"/>
          <w:sz w:val="24"/>
        </w:rPr>
        <w:t>明确了各机构的职能</w:t>
      </w:r>
      <w:r>
        <w:rPr>
          <w:rFonts w:hint="eastAsia" w:ascii="宋体" w:hAnsi="宋体" w:eastAsia="宋体" w:cs="宋体"/>
          <w:sz w:val="10"/>
        </w:rPr>
        <w:t>，</w:t>
      </w:r>
      <w:r>
        <w:rPr>
          <w:rFonts w:hint="eastAsia" w:ascii="宋体" w:hAnsi="宋体" w:eastAsia="宋体" w:cs="宋体"/>
          <w:sz w:val="24"/>
        </w:rPr>
        <w:t>并制定了相应的内部管理与控制制度</w:t>
      </w:r>
      <w:r>
        <w:rPr>
          <w:rFonts w:hint="eastAsia" w:ascii="宋体" w:hAnsi="宋体" w:eastAsia="宋体" w:cs="宋体"/>
          <w:sz w:val="10"/>
        </w:rPr>
        <w:t>。</w:t>
      </w:r>
      <w:r>
        <w:rPr>
          <w:rFonts w:hint="eastAsia" w:ascii="宋体" w:hAnsi="宋体" w:eastAsia="宋体" w:cs="宋体"/>
          <w:sz w:val="24"/>
        </w:rPr>
        <w:t>公司独立行使管理职权</w:t>
      </w:r>
      <w:r>
        <w:rPr>
          <w:rFonts w:hint="eastAsia" w:ascii="宋体" w:hAnsi="宋体" w:eastAsia="宋体" w:cs="宋体"/>
          <w:sz w:val="10"/>
        </w:rPr>
        <w:t>，</w:t>
      </w:r>
      <w:r>
        <w:rPr>
          <w:rFonts w:hint="eastAsia" w:ascii="宋体" w:hAnsi="宋体" w:eastAsia="宋体" w:cs="宋体"/>
          <w:sz w:val="24"/>
        </w:rPr>
        <w:t>不存在与实际控制人及其所控制的其他企业机构混同的情形</w:t>
      </w:r>
      <w:r>
        <w:rPr>
          <w:rFonts w:hint="eastAsia" w:ascii="宋体" w:hAnsi="宋体" w:eastAsia="宋体" w:cs="宋体"/>
          <w:sz w:val="10"/>
        </w:rPr>
        <w:t>。</w:t>
      </w:r>
      <w:r>
        <w:rPr>
          <w:rFonts w:hint="eastAsia" w:ascii="宋体" w:hAnsi="宋体" w:eastAsia="宋体" w:cs="宋体"/>
          <w:sz w:val="24"/>
        </w:rPr>
        <w:t>公司拥有独立的生产经营和办公场所</w:t>
      </w:r>
      <w:r>
        <w:rPr>
          <w:rFonts w:hint="eastAsia" w:ascii="宋体" w:hAnsi="宋体" w:eastAsia="宋体" w:cs="宋体"/>
          <w:sz w:val="10"/>
        </w:rPr>
        <w:t>，</w:t>
      </w:r>
      <w:r>
        <w:rPr>
          <w:rFonts w:hint="eastAsia" w:ascii="宋体" w:hAnsi="宋体" w:eastAsia="宋体" w:cs="宋体"/>
          <w:sz w:val="24"/>
        </w:rPr>
        <w:t>与关联企业不存在混合经营</w:t>
      </w:r>
      <w:r>
        <w:rPr>
          <w:rFonts w:hint="eastAsia" w:ascii="宋体" w:hAnsi="宋体" w:eastAsia="宋体" w:cs="宋体"/>
          <w:sz w:val="10"/>
        </w:rPr>
        <w:t>、</w:t>
      </w:r>
      <w:r>
        <w:rPr>
          <w:rFonts w:hint="eastAsia" w:ascii="宋体" w:hAnsi="宋体" w:eastAsia="宋体" w:cs="宋体"/>
          <w:sz w:val="24"/>
        </w:rPr>
        <w:t>合署办公的情形</w:t>
      </w:r>
      <w:r>
        <w:rPr>
          <w:rFonts w:hint="eastAsia" w:ascii="宋体" w:hAnsi="宋体" w:eastAsia="宋体" w:cs="宋体"/>
          <w:sz w:val="10"/>
        </w:rPr>
        <w:t>。</w:t>
      </w:r>
      <w:r>
        <w:rPr>
          <w:rFonts w:hint="eastAsia" w:ascii="宋体" w:hAnsi="宋体" w:eastAsia="宋体" w:cs="宋体"/>
          <w:sz w:val="24"/>
        </w:rPr>
        <w:t>公司的机构设置均独立于其他关联企业</w:t>
      </w:r>
      <w:r>
        <w:rPr>
          <w:rFonts w:hint="eastAsia" w:ascii="宋体" w:hAnsi="宋体" w:eastAsia="宋体" w:cs="宋体"/>
          <w:sz w:val="10"/>
        </w:rPr>
        <w:t>，</w:t>
      </w:r>
      <w:r>
        <w:rPr>
          <w:rFonts w:hint="eastAsia" w:ascii="宋体" w:hAnsi="宋体" w:eastAsia="宋体" w:cs="宋体"/>
          <w:sz w:val="24"/>
        </w:rPr>
        <w:t>也未发生控股股东或其他股东干预发行人机构设置和生产经营活动的情况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（五）业务独立情况</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本公司是一家国内领先的专业化平台型软件及信息化服务提供商</w:t>
      </w:r>
      <w:r>
        <w:rPr>
          <w:rFonts w:hint="eastAsia" w:ascii="宋体" w:hAnsi="宋体" w:eastAsia="宋体" w:cs="宋体"/>
          <w:sz w:val="10"/>
        </w:rPr>
        <w:t>，</w:t>
      </w:r>
      <w:r>
        <w:rPr>
          <w:rFonts w:hint="eastAsia" w:ascii="宋体" w:hAnsi="宋体" w:eastAsia="宋体" w:cs="宋体"/>
          <w:sz w:val="24"/>
        </w:rPr>
        <w:t>为包括证券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电子交易市场等在内的金融行业及其他行业提供以业务流程管理（</w:t>
      </w:r>
      <w:r>
        <w:rPr>
          <w:rFonts w:hint="eastAsia" w:ascii="Times New Roman" w:hAnsi="Times New Roman" w:eastAsia="Times New Roman" w:cs="Times New Roman"/>
          <w:sz w:val="24"/>
        </w:rPr>
        <w:t>BPM</w:t>
      </w:r>
      <w:r>
        <w:rPr>
          <w:rFonts w:hint="eastAsia" w:ascii="宋体" w:hAnsi="宋体" w:eastAsia="宋体" w:cs="宋体"/>
          <w:sz w:val="24"/>
        </w:rPr>
        <w:t>）为核心</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应用为重点方向的信息化解决方案</w:t>
      </w:r>
      <w:r>
        <w:rPr>
          <w:rFonts w:hint="eastAsia" w:ascii="宋体" w:hAnsi="宋体" w:eastAsia="宋体" w:cs="宋体"/>
          <w:sz w:val="10"/>
        </w:rPr>
        <w:t>，</w:t>
      </w:r>
      <w:r>
        <w:rPr>
          <w:rFonts w:hint="eastAsia" w:ascii="宋体" w:hAnsi="宋体" w:eastAsia="宋体" w:cs="宋体"/>
          <w:sz w:val="24"/>
        </w:rPr>
        <w:t>拥有完整</w:t>
      </w:r>
      <w:r>
        <w:rPr>
          <w:rFonts w:hint="eastAsia" w:ascii="宋体" w:hAnsi="宋体" w:eastAsia="宋体" w:cs="宋体"/>
          <w:sz w:val="10"/>
        </w:rPr>
        <w:t>、</w:t>
      </w:r>
      <w:r>
        <w:rPr>
          <w:rFonts w:hint="eastAsia" w:ascii="宋体" w:hAnsi="宋体" w:eastAsia="宋体" w:cs="宋体"/>
          <w:sz w:val="24"/>
        </w:rPr>
        <w:t>独立的技术研发体系和销售体系</w:t>
      </w:r>
      <w:r>
        <w:rPr>
          <w:rFonts w:hint="eastAsia" w:ascii="宋体" w:hAnsi="宋体" w:eastAsia="宋体" w:cs="宋体"/>
          <w:sz w:val="10"/>
        </w:rPr>
        <w:t>，</w:t>
      </w:r>
      <w:r>
        <w:rPr>
          <w:rFonts w:hint="eastAsia" w:ascii="宋体" w:hAnsi="宋体" w:eastAsia="宋体" w:cs="宋体"/>
          <w:sz w:val="24"/>
        </w:rPr>
        <w:t>所有业务均独立于控股股东</w:t>
      </w:r>
      <w:r>
        <w:rPr>
          <w:rFonts w:hint="eastAsia" w:ascii="宋体" w:hAnsi="宋体" w:eastAsia="宋体" w:cs="宋体"/>
          <w:sz w:val="10"/>
        </w:rPr>
        <w:t>、</w:t>
      </w:r>
      <w:r>
        <w:rPr>
          <w:rFonts w:hint="eastAsia" w:ascii="宋体" w:hAnsi="宋体" w:eastAsia="宋体" w:cs="宋体"/>
          <w:sz w:val="24"/>
        </w:rPr>
        <w:t>实际控制人及其控制的其他企业</w:t>
      </w:r>
      <w:r>
        <w:rPr>
          <w:rFonts w:hint="eastAsia" w:ascii="宋体" w:hAnsi="宋体" w:eastAsia="宋体" w:cs="宋体"/>
          <w:sz w:val="10"/>
        </w:rPr>
        <w:t>，</w:t>
      </w:r>
      <w:r>
        <w:rPr>
          <w:rFonts w:hint="eastAsia" w:ascii="宋体" w:hAnsi="宋体" w:eastAsia="宋体" w:cs="宋体"/>
          <w:sz w:val="24"/>
        </w:rPr>
        <w:t>与控股股东</w:t>
      </w:r>
      <w:r>
        <w:rPr>
          <w:rFonts w:hint="eastAsia" w:ascii="宋体" w:hAnsi="宋体" w:eastAsia="宋体" w:cs="宋体"/>
          <w:sz w:val="10"/>
        </w:rPr>
        <w:t>、</w:t>
      </w:r>
      <w:r>
        <w:rPr>
          <w:rFonts w:hint="eastAsia" w:ascii="宋体" w:hAnsi="宋体" w:eastAsia="宋体" w:cs="宋体"/>
          <w:sz w:val="24"/>
        </w:rPr>
        <w:t>实际控制人及其控制的其他企业间不存在同业竞争或者显失公平的关联交易</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保荐机构认为</w:t>
      </w:r>
      <w:r>
        <w:rPr>
          <w:rFonts w:hint="eastAsia" w:ascii="宋体" w:hAnsi="宋体" w:eastAsia="宋体" w:cs="宋体"/>
          <w:sz w:val="10"/>
        </w:rPr>
        <w:t>，</w:t>
      </w:r>
      <w:r>
        <w:rPr>
          <w:rFonts w:hint="eastAsia" w:ascii="宋体" w:hAnsi="宋体" w:eastAsia="宋体" w:cs="宋体"/>
          <w:sz w:val="24"/>
        </w:rPr>
        <w:t>发行人已达到发行监管对公司独立性的基本要求</w:t>
      </w:r>
      <w:r>
        <w:rPr>
          <w:rFonts w:hint="eastAsia" w:ascii="宋体" w:hAnsi="宋体" w:eastAsia="宋体" w:cs="宋体"/>
          <w:sz w:val="10"/>
        </w:rPr>
        <w:t>，</w:t>
      </w:r>
      <w:r>
        <w:rPr>
          <w:rFonts w:hint="eastAsia" w:ascii="宋体" w:hAnsi="宋体" w:eastAsia="宋体" w:cs="宋体"/>
          <w:sz w:val="24"/>
        </w:rPr>
        <w:t>发行人上述独立经营情况真实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完整</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24"/>
        </w:rPr>
        <w:t>二、</w:t>
      </w:r>
      <w:r>
        <w:rPr>
          <w:rFonts w:hint="eastAsia" w:ascii="ºÚÌå" w:hAnsi="ºÚÌå" w:eastAsia="ºÚÌå" w:cs="ºÚÌå"/>
          <w:sz w:val="30"/>
        </w:rPr>
        <w:t>同业竞争</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控股股东</w:t>
      </w:r>
      <w:r>
        <w:rPr>
          <w:rFonts w:hint="eastAsia" w:ascii="宋体" w:hAnsi="宋体" w:eastAsia="宋体" w:cs="宋体"/>
          <w:b/>
          <w:sz w:val="10"/>
        </w:rPr>
        <w:t>、</w:t>
      </w:r>
      <w:r>
        <w:rPr>
          <w:rFonts w:hint="eastAsia" w:ascii="宋体" w:hAnsi="宋体" w:eastAsia="宋体" w:cs="宋体"/>
          <w:b/>
          <w:sz w:val="24"/>
        </w:rPr>
        <w:t>实际控制人及其控制的企业与本公司的同业竞争情况</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公司是</w:t>
      </w:r>
      <w:r>
        <w:rPr>
          <w:rFonts w:hint="eastAsia" w:ascii="宋体" w:hAnsi="宋体" w:eastAsia="宋体" w:cs="宋体"/>
          <w:sz w:val="10"/>
        </w:rPr>
        <w:t>一</w:t>
      </w:r>
      <w:r>
        <w:rPr>
          <w:rFonts w:hint="eastAsia" w:ascii="宋体" w:hAnsi="宋体" w:eastAsia="宋体" w:cs="宋体"/>
          <w:sz w:val="24"/>
        </w:rPr>
        <w:t>家国内领先的专业化平台型软件及信息化服务提供商</w:t>
      </w:r>
      <w:r>
        <w:rPr>
          <w:rFonts w:hint="eastAsia" w:ascii="宋体" w:hAnsi="宋体" w:eastAsia="宋体" w:cs="宋体"/>
          <w:sz w:val="10"/>
        </w:rPr>
        <w:t>，</w:t>
      </w:r>
      <w:r>
        <w:rPr>
          <w:rFonts w:hint="eastAsia" w:ascii="宋体" w:hAnsi="宋体" w:eastAsia="宋体" w:cs="宋体"/>
          <w:sz w:val="24"/>
        </w:rPr>
        <w:t>致力于利用自主研发的</w:t>
      </w:r>
      <w:r>
        <w:rPr>
          <w:rFonts w:hint="eastAsia" w:ascii="宋体" w:hAnsi="宋体" w:eastAsia="宋体" w:cs="宋体"/>
          <w:sz w:val="10"/>
        </w:rPr>
        <w:t>“</w:t>
      </w:r>
      <w:r>
        <w:rPr>
          <w:rFonts w:hint="eastAsia" w:ascii="宋体" w:hAnsi="宋体" w:eastAsia="宋体" w:cs="宋体"/>
          <w:sz w:val="24"/>
        </w:rPr>
        <w:t>灵动业务架构平台（</w:t>
      </w:r>
      <w:r>
        <w:rPr>
          <w:rFonts w:hint="eastAsia" w:ascii="Times New Roman" w:hAnsi="Times New Roman" w:eastAsia="Times New Roman" w:cs="Times New Roman"/>
          <w:sz w:val="24"/>
        </w:rPr>
        <w:t>LiveBOS</w:t>
      </w:r>
      <w:r>
        <w:rPr>
          <w:rFonts w:hint="eastAsia" w:ascii="宋体" w:hAnsi="宋体" w:eastAsia="宋体" w:cs="宋体"/>
          <w:sz w:val="24"/>
        </w:rPr>
        <w:t>）”，</w:t>
      </w:r>
      <w:r>
        <w:rPr>
          <w:rFonts w:hint="eastAsia" w:ascii="宋体" w:hAnsi="宋体" w:eastAsia="宋体" w:cs="宋体"/>
          <w:sz w:val="24"/>
        </w:rPr>
        <w:t>为包括证券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电子交易市场等在内的金融行业及其他行业提供以业务流程管理（</w:t>
      </w:r>
      <w:r>
        <w:rPr>
          <w:rFonts w:hint="eastAsia" w:ascii="Times New Roman" w:hAnsi="Times New Roman" w:eastAsia="Times New Roman" w:cs="Times New Roman"/>
          <w:sz w:val="24"/>
        </w:rPr>
        <w:t>BPM</w:t>
      </w:r>
      <w:r>
        <w:rPr>
          <w:rFonts w:hint="eastAsia" w:ascii="宋体" w:hAnsi="宋体" w:eastAsia="宋体" w:cs="宋体"/>
          <w:sz w:val="24"/>
        </w:rPr>
        <w:t>）为核心</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应用为重点方向的信息化解决方案</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60" w:firstLine="480"/>
        <w:jc w:val="both"/>
      </w:pPr>
      <w:r>
        <w:rPr>
          <w:rFonts w:hint="eastAsia" w:ascii="宋体" w:hAnsi="宋体" w:eastAsia="宋体" w:cs="宋体"/>
          <w:sz w:val="24"/>
        </w:rPr>
        <w:t>本公司控股股东</w:t>
      </w:r>
      <w:r>
        <w:rPr>
          <w:rFonts w:hint="eastAsia" w:ascii="宋体" w:hAnsi="宋体" w:eastAsia="宋体" w:cs="宋体"/>
          <w:sz w:val="10"/>
        </w:rPr>
        <w:t>、</w:t>
      </w:r>
      <w:r>
        <w:rPr>
          <w:rFonts w:hint="eastAsia" w:ascii="宋体" w:hAnsi="宋体" w:eastAsia="宋体" w:cs="宋体"/>
          <w:sz w:val="24"/>
        </w:rPr>
        <w:t>实际控制人严孟宇未从事与本公司相同或相似的业务</w:t>
      </w:r>
      <w:r>
        <w:rPr>
          <w:rFonts w:hint="eastAsia" w:ascii="宋体" w:hAnsi="宋体" w:eastAsia="宋体" w:cs="宋体"/>
          <w:sz w:val="10"/>
        </w:rPr>
        <w:t>，</w:t>
      </w:r>
      <w:r>
        <w:rPr>
          <w:rFonts w:hint="eastAsia" w:ascii="宋体" w:hAnsi="宋体" w:eastAsia="宋体" w:cs="宋体"/>
          <w:sz w:val="24"/>
        </w:rPr>
        <w:t>与本公司不存在同业竞争</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1-1-179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发行人控股股东</w:t>
      </w:r>
      <w:r>
        <w:rPr>
          <w:rFonts w:hint="eastAsia" w:ascii="宋体" w:hAnsi="宋体" w:eastAsia="宋体" w:cs="宋体"/>
          <w:sz w:val="10"/>
        </w:rPr>
        <w:t>、</w:t>
      </w:r>
      <w:r>
        <w:rPr>
          <w:rFonts w:hint="eastAsia" w:ascii="宋体" w:hAnsi="宋体" w:eastAsia="宋体" w:cs="宋体"/>
          <w:sz w:val="24"/>
        </w:rPr>
        <w:t>实际控制人及其配偶的近亲属所控制的企业情况如下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成都市武侯区鸿意五金厂（以下简称</w:t>
      </w:r>
      <w:r>
        <w:rPr>
          <w:rFonts w:hint="eastAsia" w:ascii="宋体" w:hAnsi="宋体" w:eastAsia="宋体" w:cs="宋体"/>
          <w:sz w:val="10"/>
        </w:rPr>
        <w:t>“</w:t>
      </w:r>
      <w:r>
        <w:rPr>
          <w:rFonts w:hint="eastAsia" w:ascii="宋体" w:hAnsi="宋体" w:eastAsia="宋体" w:cs="宋体"/>
          <w:sz w:val="24"/>
        </w:rPr>
        <w:t>鸿意五金厂</w:t>
      </w:r>
      <w:r>
        <w:rPr>
          <w:rFonts w:hint="eastAsia" w:ascii="宋体" w:hAnsi="宋体" w:eastAsia="宋体" w:cs="宋体"/>
          <w:sz w:val="10"/>
        </w:rPr>
        <w:t>”），</w:t>
      </w:r>
      <w:r>
        <w:rPr>
          <w:rFonts w:hint="eastAsia" w:ascii="宋体" w:hAnsi="宋体" w:eastAsia="宋体" w:cs="宋体"/>
          <w:sz w:val="24"/>
        </w:rPr>
        <w:t>系发行人实际控制人严孟宇之弟媳邹丽华申请注册登记并持有《个体工商户营业执照</w:t>
      </w:r>
      <w:r>
        <w:rPr>
          <w:rFonts w:hint="eastAsia" w:ascii="宋体" w:hAnsi="宋体" w:eastAsia="宋体" w:cs="宋体"/>
          <w:spacing w:val="-120"/>
          <w:sz w:val="24"/>
        </w:rPr>
        <w:t>》</w:t>
      </w:r>
      <w:r>
        <w:rPr>
          <w:rFonts w:hint="eastAsia" w:ascii="宋体" w:hAnsi="宋体" w:eastAsia="宋体" w:cs="宋体"/>
          <w:sz w:val="24"/>
        </w:rPr>
        <w:t>（注册号</w:t>
      </w:r>
      <w:r>
        <w:rPr>
          <w:rFonts w:hint="eastAsia" w:ascii="Times New Roman" w:hAnsi="Times New Roman" w:eastAsia="Times New Roman" w:cs="Times New Roman"/>
          <w:sz w:val="24"/>
        </w:rPr>
        <w:t xml:space="preserve"> 510107500367650</w:t>
      </w:r>
      <w:r>
        <w:rPr>
          <w:rFonts w:hint="eastAsia" w:ascii="宋体" w:hAnsi="宋体" w:eastAsia="宋体" w:cs="宋体"/>
          <w:sz w:val="24"/>
        </w:rPr>
        <w:t>）</w:t>
      </w: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的个体工商户</w:t>
      </w:r>
      <w:r>
        <w:rPr>
          <w:rFonts w:hint="eastAsia" w:ascii="宋体" w:hAnsi="宋体" w:eastAsia="宋体" w:cs="宋体"/>
          <w:sz w:val="10"/>
        </w:rPr>
        <w:t>。</w:t>
      </w:r>
      <w:r>
        <w:rPr>
          <w:rFonts w:hint="eastAsia" w:ascii="宋体" w:hAnsi="宋体" w:eastAsia="宋体" w:cs="宋体"/>
          <w:sz w:val="24"/>
        </w:rPr>
        <w:t>根据《个体工商户营业执照》记载</w:t>
      </w:r>
      <w:r>
        <w:rPr>
          <w:rFonts w:hint="eastAsia" w:ascii="宋体" w:hAnsi="宋体" w:eastAsia="宋体" w:cs="宋体"/>
          <w:sz w:val="10"/>
        </w:rPr>
        <w:t>，</w:t>
      </w:r>
      <w:r>
        <w:rPr>
          <w:rFonts w:hint="eastAsia" w:ascii="宋体" w:hAnsi="宋体" w:eastAsia="宋体" w:cs="宋体"/>
          <w:sz w:val="24"/>
        </w:rPr>
        <w:t>鸿意五金厂经营者</w:t>
      </w:r>
      <w:r>
        <w:rPr>
          <w:rFonts w:hint="eastAsia" w:ascii="宋体" w:hAnsi="宋体" w:eastAsia="宋体" w:cs="宋体"/>
          <w:sz w:val="12"/>
        </w:rPr>
        <w:t>：</w:t>
      </w:r>
      <w:r>
        <w:rPr>
          <w:rFonts w:hint="eastAsia" w:ascii="宋体" w:hAnsi="宋体" w:eastAsia="宋体" w:cs="宋体"/>
          <w:sz w:val="24"/>
        </w:rPr>
        <w:t>邹丽华</w:t>
      </w:r>
      <w:r>
        <w:rPr>
          <w:rFonts w:hint="eastAsia" w:ascii="宋体" w:hAnsi="宋体" w:eastAsia="宋体" w:cs="宋体"/>
          <w:sz w:val="14"/>
        </w:rPr>
        <w:t>；</w:t>
      </w:r>
      <w:r>
        <w:rPr>
          <w:rFonts w:hint="eastAsia" w:ascii="宋体" w:hAnsi="宋体" w:eastAsia="宋体" w:cs="宋体"/>
          <w:sz w:val="24"/>
        </w:rPr>
        <w:t>组成形式为个人经营</w:t>
      </w:r>
      <w:r>
        <w:rPr>
          <w:rFonts w:hint="eastAsia" w:ascii="宋体" w:hAnsi="宋体" w:eastAsia="宋体" w:cs="宋体"/>
          <w:sz w:val="12"/>
        </w:rPr>
        <w:t>；</w:t>
      </w:r>
      <w:r>
        <w:rPr>
          <w:rFonts w:hint="eastAsia" w:ascii="宋体" w:hAnsi="宋体" w:eastAsia="宋体" w:cs="宋体"/>
          <w:sz w:val="24"/>
        </w:rPr>
        <w:t>经营场所为成都市武侯区金花街道新苗村</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组</w:t>
      </w:r>
      <w:r>
        <w:rPr>
          <w:rFonts w:hint="eastAsia" w:ascii="宋体" w:hAnsi="宋体" w:eastAsia="宋体" w:cs="宋体"/>
          <w:sz w:val="12"/>
        </w:rPr>
        <w:t>；</w:t>
      </w:r>
      <w:r>
        <w:rPr>
          <w:rFonts w:hint="eastAsia" w:ascii="宋体" w:hAnsi="宋体" w:eastAsia="宋体" w:cs="宋体"/>
          <w:sz w:val="24"/>
        </w:rPr>
        <w:t>经营范围为自产销五金配件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爱派克为发行人实际控制人严孟宇之岳父控制并担任法人的有限责任公司</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经核查</w:t>
      </w:r>
      <w:r>
        <w:rPr>
          <w:rFonts w:hint="eastAsia" w:ascii="宋体" w:hAnsi="宋体" w:eastAsia="宋体" w:cs="宋体"/>
          <w:sz w:val="10"/>
        </w:rPr>
        <w:t>，</w:t>
      </w:r>
      <w:r>
        <w:rPr>
          <w:rFonts w:hint="eastAsia" w:ascii="宋体" w:hAnsi="宋体" w:eastAsia="宋体" w:cs="宋体"/>
          <w:sz w:val="24"/>
        </w:rPr>
        <w:t>保荐机构</w:t>
      </w:r>
      <w:r>
        <w:rPr>
          <w:rFonts w:hint="eastAsia" w:ascii="宋体" w:hAnsi="宋体" w:eastAsia="宋体" w:cs="宋体"/>
          <w:sz w:val="10"/>
        </w:rPr>
        <w:t>、</w:t>
      </w:r>
      <w:r>
        <w:rPr>
          <w:rFonts w:hint="eastAsia" w:ascii="宋体" w:hAnsi="宋体" w:eastAsia="宋体" w:cs="宋体"/>
          <w:sz w:val="24"/>
        </w:rPr>
        <w:t>发行人律师认为</w:t>
      </w:r>
      <w:r>
        <w:rPr>
          <w:rFonts w:hint="eastAsia" w:ascii="宋体" w:hAnsi="宋体" w:eastAsia="宋体" w:cs="宋体"/>
          <w:sz w:val="12"/>
        </w:rPr>
        <w:t>：</w:t>
      </w:r>
      <w:r>
        <w:rPr>
          <w:rFonts w:hint="eastAsia" w:ascii="宋体" w:hAnsi="宋体" w:eastAsia="宋体" w:cs="宋体"/>
          <w:sz w:val="24"/>
        </w:rPr>
        <w:t>鸿意五金厂主要从事鞋钉等五金件的生产</w:t>
      </w:r>
      <w:r>
        <w:rPr>
          <w:rFonts w:hint="eastAsia" w:ascii="宋体" w:hAnsi="宋体" w:eastAsia="宋体" w:cs="宋体"/>
          <w:sz w:val="10"/>
        </w:rPr>
        <w:t>，</w:t>
      </w:r>
      <w:r>
        <w:rPr>
          <w:rFonts w:hint="eastAsia" w:ascii="宋体" w:hAnsi="宋体" w:eastAsia="宋体" w:cs="宋体"/>
          <w:sz w:val="24"/>
        </w:rPr>
        <w:t>没有其他业务</w:t>
      </w:r>
      <w:r>
        <w:rPr>
          <w:rFonts w:hint="eastAsia" w:ascii="宋体" w:hAnsi="宋体" w:eastAsia="宋体" w:cs="宋体"/>
          <w:sz w:val="10"/>
        </w:rPr>
        <w:t>，</w:t>
      </w:r>
      <w:r>
        <w:rPr>
          <w:rFonts w:hint="eastAsia" w:ascii="宋体" w:hAnsi="宋体" w:eastAsia="宋体" w:cs="宋体"/>
          <w:sz w:val="24"/>
        </w:rPr>
        <w:t>报告期内鸿意五金厂与发行人之间未发生过交易或资金往来</w:t>
      </w:r>
      <w:r>
        <w:rPr>
          <w:rFonts w:hint="eastAsia" w:ascii="宋体" w:hAnsi="宋体" w:eastAsia="宋体" w:cs="宋体"/>
          <w:sz w:val="12"/>
        </w:rPr>
        <w:t>；</w:t>
      </w:r>
      <w:r>
        <w:rPr>
          <w:rFonts w:hint="eastAsia" w:ascii="宋体" w:hAnsi="宋体" w:eastAsia="宋体" w:cs="宋体"/>
          <w:sz w:val="24"/>
        </w:rPr>
        <w:t>爱派克系发行人员工持股平台</w:t>
      </w:r>
      <w:r>
        <w:rPr>
          <w:rFonts w:hint="eastAsia" w:ascii="宋体" w:hAnsi="宋体" w:eastAsia="宋体" w:cs="宋体"/>
          <w:sz w:val="10"/>
        </w:rPr>
        <w:t>，</w:t>
      </w:r>
      <w:r>
        <w:rPr>
          <w:rFonts w:hint="eastAsia" w:ascii="宋体" w:hAnsi="宋体" w:eastAsia="宋体" w:cs="宋体"/>
          <w:sz w:val="24"/>
        </w:rPr>
        <w:t>报告期内亦未发生关联交易及资金往来</w:t>
      </w:r>
      <w:r>
        <w:rPr>
          <w:rFonts w:hint="eastAsia" w:ascii="宋体" w:hAnsi="宋体" w:eastAsia="宋体" w:cs="宋体"/>
          <w:sz w:val="10"/>
        </w:rPr>
        <w:t>。</w:t>
      </w:r>
      <w:r>
        <w:rPr>
          <w:rFonts w:hint="eastAsia" w:ascii="宋体" w:hAnsi="宋体" w:eastAsia="宋体" w:cs="宋体"/>
          <w:sz w:val="24"/>
        </w:rPr>
        <w:t>除鸿意五金厂及爱派克外</w:t>
      </w:r>
      <w:r>
        <w:rPr>
          <w:rFonts w:hint="eastAsia" w:ascii="宋体" w:hAnsi="宋体" w:eastAsia="宋体" w:cs="宋体"/>
          <w:sz w:val="10"/>
        </w:rPr>
        <w:t>，</w:t>
      </w:r>
      <w:r>
        <w:rPr>
          <w:rFonts w:hint="eastAsia" w:ascii="宋体" w:hAnsi="宋体" w:eastAsia="宋体" w:cs="宋体"/>
          <w:sz w:val="24"/>
        </w:rPr>
        <w:t>发行人控股股东</w:t>
      </w:r>
      <w:r>
        <w:rPr>
          <w:rFonts w:hint="eastAsia" w:ascii="宋体" w:hAnsi="宋体" w:eastAsia="宋体" w:cs="宋体"/>
          <w:sz w:val="10"/>
        </w:rPr>
        <w:t>、</w:t>
      </w:r>
      <w:r>
        <w:rPr>
          <w:rFonts w:hint="eastAsia" w:ascii="宋体" w:hAnsi="宋体" w:eastAsia="宋体" w:cs="宋体"/>
          <w:sz w:val="24"/>
        </w:rPr>
        <w:t>实际控制人夫妻双方的直系亲属和其他亲属未控制其他公司</w:t>
      </w:r>
      <w:r>
        <w:rPr>
          <w:rFonts w:hint="eastAsia" w:ascii="宋体" w:hAnsi="宋体" w:eastAsia="宋体" w:cs="宋体"/>
          <w:sz w:val="10"/>
        </w:rPr>
        <w:t>，</w:t>
      </w:r>
      <w:r>
        <w:rPr>
          <w:rFonts w:hint="eastAsia" w:ascii="宋体" w:hAnsi="宋体" w:eastAsia="宋体" w:cs="宋体"/>
          <w:sz w:val="24"/>
        </w:rPr>
        <w:t>没有从事与发行人相同或相似业务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除招股书披露内容外</w:t>
      </w:r>
      <w:r>
        <w:rPr>
          <w:rFonts w:hint="eastAsia" w:ascii="宋体" w:hAnsi="宋体" w:eastAsia="宋体" w:cs="宋体"/>
          <w:sz w:val="10"/>
        </w:rPr>
        <w:t>，</w:t>
      </w:r>
      <w:r>
        <w:rPr>
          <w:rFonts w:hint="eastAsia" w:ascii="宋体" w:hAnsi="宋体" w:eastAsia="宋体" w:cs="宋体"/>
          <w:sz w:val="24"/>
        </w:rPr>
        <w:t>发行人及其控股股东</w:t>
      </w:r>
      <w:r>
        <w:rPr>
          <w:rFonts w:hint="eastAsia" w:ascii="宋体" w:hAnsi="宋体" w:eastAsia="宋体" w:cs="宋体"/>
          <w:sz w:val="10"/>
        </w:rPr>
        <w:t>、</w:t>
      </w:r>
      <w:r>
        <w:rPr>
          <w:rFonts w:hint="eastAsia" w:ascii="宋体" w:hAnsi="宋体" w:eastAsia="宋体" w:cs="宋体"/>
          <w:sz w:val="24"/>
        </w:rPr>
        <w:t>实际控制人在报告期内不存在控制其他公司的情形</w:t>
      </w:r>
      <w:r>
        <w:rPr>
          <w:rFonts w:hint="eastAsia" w:ascii="宋体" w:hAnsi="宋体" w:eastAsia="宋体" w:cs="宋体"/>
          <w:sz w:val="10"/>
        </w:rPr>
        <w:t>。</w:t>
      </w:r>
      <w:r>
        <w:rPr>
          <w:rFonts w:hint="eastAsia" w:ascii="宋体" w:hAnsi="宋体" w:eastAsia="宋体" w:cs="宋体"/>
          <w:sz w:val="24"/>
        </w:rPr>
        <w:t>除发行人对外转让软件园产业公司股权外</w:t>
      </w:r>
      <w:r>
        <w:rPr>
          <w:rFonts w:hint="eastAsia" w:ascii="宋体" w:hAnsi="宋体" w:eastAsia="宋体" w:cs="宋体"/>
          <w:sz w:val="10"/>
        </w:rPr>
        <w:t>，</w:t>
      </w:r>
      <w:r>
        <w:rPr>
          <w:rFonts w:hint="eastAsia" w:ascii="宋体" w:hAnsi="宋体" w:eastAsia="宋体" w:cs="宋体"/>
          <w:sz w:val="24"/>
        </w:rPr>
        <w:t>发行人及其控股股东</w:t>
      </w:r>
      <w:r>
        <w:rPr>
          <w:rFonts w:hint="eastAsia" w:ascii="宋体" w:hAnsi="宋体" w:eastAsia="宋体" w:cs="宋体"/>
          <w:sz w:val="10"/>
        </w:rPr>
        <w:t>、</w:t>
      </w:r>
      <w:r>
        <w:rPr>
          <w:rFonts w:hint="eastAsia" w:ascii="宋体" w:hAnsi="宋体" w:eastAsia="宋体" w:cs="宋体"/>
          <w:sz w:val="24"/>
        </w:rPr>
        <w:t>实际控制人报告期内不存在其他注销子公司</w:t>
      </w:r>
      <w:r>
        <w:rPr>
          <w:rFonts w:hint="eastAsia" w:ascii="宋体" w:hAnsi="宋体" w:eastAsia="宋体" w:cs="宋体"/>
          <w:sz w:val="10"/>
        </w:rPr>
        <w:t>、</w:t>
      </w:r>
      <w:r>
        <w:rPr>
          <w:rFonts w:hint="eastAsia" w:ascii="宋体" w:hAnsi="宋体" w:eastAsia="宋体" w:cs="宋体"/>
          <w:sz w:val="24"/>
        </w:rPr>
        <w:t>转让其他公司股权或资产重组的情形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（二）避免同业竞争的承诺</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为避免今后与公司之间可能出现同业竞争</w:t>
      </w:r>
      <w:r>
        <w:rPr>
          <w:rFonts w:hint="eastAsia" w:ascii="宋体" w:hAnsi="宋体" w:eastAsia="宋体" w:cs="宋体"/>
          <w:sz w:val="10"/>
        </w:rPr>
        <w:t>，</w:t>
      </w:r>
      <w:r>
        <w:rPr>
          <w:rFonts w:hint="eastAsia" w:ascii="宋体" w:hAnsi="宋体" w:eastAsia="宋体" w:cs="宋体"/>
          <w:sz w:val="24"/>
        </w:rPr>
        <w:t>维护公司的利益和保证公司的长期稳定发展</w:t>
      </w:r>
      <w:r>
        <w:rPr>
          <w:rFonts w:hint="eastAsia" w:ascii="宋体" w:hAnsi="宋体" w:eastAsia="宋体" w:cs="宋体"/>
          <w:sz w:val="10"/>
        </w:rPr>
        <w:t>，</w:t>
      </w:r>
      <w:r>
        <w:rPr>
          <w:rFonts w:hint="eastAsia" w:ascii="宋体" w:hAnsi="宋体" w:eastAsia="宋体" w:cs="宋体"/>
          <w:sz w:val="24"/>
        </w:rPr>
        <w:t>公司控股股东</w:t>
      </w:r>
      <w:r>
        <w:rPr>
          <w:rFonts w:hint="eastAsia" w:ascii="宋体" w:hAnsi="宋体" w:eastAsia="宋体" w:cs="宋体"/>
          <w:sz w:val="10"/>
        </w:rPr>
        <w:t>、</w:t>
      </w:r>
      <w:r>
        <w:rPr>
          <w:rFonts w:hint="eastAsia" w:ascii="宋体" w:hAnsi="宋体" w:eastAsia="宋体" w:cs="宋体"/>
          <w:sz w:val="24"/>
        </w:rPr>
        <w:t>实际控制人严孟宇于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日出具了《避免同业竞争的承诺函》，</w:t>
      </w:r>
      <w:r>
        <w:rPr>
          <w:rFonts w:hint="eastAsia" w:ascii="宋体" w:hAnsi="宋体" w:eastAsia="宋体" w:cs="宋体"/>
          <w:sz w:val="24"/>
        </w:rPr>
        <w:t>承诺如下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1860"/>
        <w:jc w:val="both"/>
      </w:pPr>
      <w:r>
        <w:rPr>
          <w:rFonts w:hint="eastAsia" w:ascii="宋体" w:hAnsi="宋体" w:eastAsia="宋体" w:cs="宋体"/>
          <w:sz w:val="10"/>
        </w:rPr>
        <w:t>“</w:t>
      </w:r>
      <w:r>
        <w:rPr>
          <w:rFonts w:hint="eastAsia" w:ascii="宋体" w:hAnsi="宋体" w:eastAsia="宋体" w:cs="宋体"/>
          <w:sz w:val="24"/>
        </w:rPr>
        <w:t>本人承诺</w:t>
      </w:r>
      <w:r>
        <w:rPr>
          <w:rFonts w:hint="eastAsia" w:ascii="宋体" w:hAnsi="宋体" w:eastAsia="宋体" w:cs="宋体"/>
          <w:sz w:val="12"/>
        </w:rPr>
        <w:t>：</w:t>
      </w:r>
      <w:r>
        <w:rPr>
          <w:rFonts w:hint="eastAsia" w:ascii="宋体" w:hAnsi="宋体" w:eastAsia="宋体" w:cs="宋体"/>
          <w:sz w:val="24"/>
        </w:rPr>
        <w:t>目前没有从事</w:t>
      </w:r>
      <w:r>
        <w:rPr>
          <w:rFonts w:hint="eastAsia" w:ascii="宋体" w:hAnsi="宋体" w:eastAsia="宋体" w:cs="宋体"/>
          <w:sz w:val="10"/>
        </w:rPr>
        <w:t>、</w:t>
      </w:r>
      <w:r>
        <w:rPr>
          <w:rFonts w:hint="eastAsia" w:ascii="宋体" w:hAnsi="宋体" w:eastAsia="宋体" w:cs="宋体"/>
          <w:sz w:val="24"/>
        </w:rPr>
        <w:t>将来也不会从事任何直接或间接与发行人及其子公司</w:t>
      </w: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的业务构成竞争的业务</w:t>
      </w:r>
      <w:r>
        <w:rPr>
          <w:rFonts w:hint="eastAsia" w:ascii="宋体" w:hAnsi="宋体" w:eastAsia="宋体" w:cs="宋体"/>
          <w:sz w:val="10"/>
        </w:rPr>
        <w:t>，</w:t>
      </w:r>
      <w:r>
        <w:rPr>
          <w:rFonts w:hint="eastAsia" w:ascii="宋体" w:hAnsi="宋体" w:eastAsia="宋体" w:cs="宋体"/>
          <w:sz w:val="24"/>
        </w:rPr>
        <w:t>亦不会以任何其他形式从事与发行人及其子公司有竞争或构成竞争的业务</w:t>
      </w:r>
      <w:r>
        <w:rPr>
          <w:rFonts w:hint="eastAsia" w:ascii="宋体" w:hAnsi="宋体" w:eastAsia="宋体" w:cs="宋体"/>
          <w:sz w:val="14"/>
        </w:rPr>
        <w:t>；</w:t>
      </w:r>
      <w:r>
        <w:rPr>
          <w:rFonts w:hint="eastAsia" w:ascii="宋体" w:hAnsi="宋体" w:eastAsia="宋体" w:cs="宋体"/>
          <w:sz w:val="24"/>
        </w:rPr>
        <w:t>若将来出现其控股</w:t>
      </w:r>
      <w:r>
        <w:rPr>
          <w:rFonts w:hint="eastAsia" w:ascii="宋体" w:hAnsi="宋体" w:eastAsia="宋体" w:cs="宋体"/>
          <w:sz w:val="10"/>
        </w:rPr>
        <w:t>、</w:t>
      </w:r>
      <w:r>
        <w:rPr>
          <w:rFonts w:hint="eastAsia" w:ascii="宋体" w:hAnsi="宋体" w:eastAsia="宋体" w:cs="宋体"/>
          <w:sz w:val="24"/>
        </w:rPr>
        <w:t>参股企业所从事的业务与发行人及其子公司有竞争或构成竞争的情况</w:t>
      </w:r>
      <w:r>
        <w:rPr>
          <w:rFonts w:hint="eastAsia" w:ascii="宋体" w:hAnsi="宋体" w:eastAsia="宋体" w:cs="宋体"/>
          <w:sz w:val="10"/>
        </w:rPr>
        <w:t>，</w:t>
      </w:r>
      <w:r>
        <w:rPr>
          <w:rFonts w:hint="eastAsia" w:ascii="宋体" w:hAnsi="宋体" w:eastAsia="宋体" w:cs="宋体"/>
          <w:sz w:val="24"/>
        </w:rPr>
        <w:t>将在发行人提出要求时出让其在该等企业中的全部出资或股权</w:t>
      </w:r>
      <w:r>
        <w:rPr>
          <w:rFonts w:hint="eastAsia" w:ascii="宋体" w:hAnsi="宋体" w:eastAsia="宋体" w:cs="宋体"/>
          <w:sz w:val="10"/>
        </w:rPr>
        <w:t>，</w:t>
      </w:r>
      <w:r>
        <w:rPr>
          <w:rFonts w:hint="eastAsia" w:ascii="宋体" w:hAnsi="宋体" w:eastAsia="宋体" w:cs="宋体"/>
          <w:sz w:val="24"/>
        </w:rPr>
        <w:t>在同等条件下给予发行人及其子公司对该等出资或股权的优先购买权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在本人及本人控制的公司（如有）与发行人存在关联关系期间</w:t>
      </w:r>
      <w:r>
        <w:rPr>
          <w:rFonts w:hint="eastAsia" w:ascii="宋体" w:hAnsi="宋体" w:eastAsia="宋体" w:cs="宋体"/>
          <w:sz w:val="10"/>
        </w:rPr>
        <w:t>，</w:t>
      </w:r>
      <w:r>
        <w:rPr>
          <w:rFonts w:hint="eastAsia" w:ascii="宋体" w:hAnsi="宋体" w:eastAsia="宋体" w:cs="宋体"/>
          <w:sz w:val="24"/>
        </w:rPr>
        <w:t>如本人违反上述承诺</w:t>
      </w:r>
      <w:r>
        <w:rPr>
          <w:rFonts w:hint="eastAsia" w:ascii="宋体" w:hAnsi="宋体" w:eastAsia="宋体" w:cs="宋体"/>
          <w:sz w:val="10"/>
        </w:rPr>
        <w:t>，</w:t>
      </w:r>
      <w:r>
        <w:rPr>
          <w:rFonts w:hint="eastAsia" w:ascii="宋体" w:hAnsi="宋体" w:eastAsia="宋体" w:cs="宋体"/>
          <w:sz w:val="24"/>
        </w:rPr>
        <w:t>本人将在公司股东大会及中国证监会指定报刊上公开说明未履行上述承诺的原因并向公司股东和社会公众投资者道歉</w:t>
      </w:r>
      <w:r>
        <w:rPr>
          <w:rFonts w:hint="eastAsia" w:ascii="宋体" w:hAnsi="宋体" w:eastAsia="宋体" w:cs="宋体"/>
          <w:sz w:val="10"/>
        </w:rPr>
        <w:t>，</w:t>
      </w:r>
      <w:r>
        <w:rPr>
          <w:rFonts w:hint="eastAsia" w:ascii="宋体" w:hAnsi="宋体" w:eastAsia="宋体" w:cs="宋体"/>
          <w:sz w:val="24"/>
        </w:rPr>
        <w:t>并以违反上述承诺发生之日起当年度及以后年度公</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1-1-180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司利润分配方案中本人享有的现金分红暂不分配直至本人履行完本承诺为止</w:t>
      </w:r>
      <w:r>
        <w:rPr>
          <w:rFonts w:hint="eastAsia" w:ascii="宋体" w:hAnsi="宋体" w:eastAsia="宋体" w:cs="宋体"/>
          <w:sz w:val="10"/>
        </w:rPr>
        <w:t>，</w:t>
      </w:r>
      <w:r>
        <w:rPr>
          <w:rFonts w:hint="eastAsia" w:ascii="宋体" w:hAnsi="宋体" w:eastAsia="宋体" w:cs="宋体"/>
          <w:sz w:val="24"/>
        </w:rPr>
        <w:t>同时本人持有的公司股份将不得转让</w:t>
      </w:r>
      <w:r>
        <w:rPr>
          <w:rFonts w:hint="eastAsia" w:ascii="宋体" w:hAnsi="宋体" w:eastAsia="宋体" w:cs="宋体"/>
          <w:sz w:val="12"/>
        </w:rPr>
        <w:t>；</w:t>
      </w:r>
      <w:r>
        <w:rPr>
          <w:rFonts w:hint="eastAsia" w:ascii="宋体" w:hAnsi="宋体" w:eastAsia="宋体" w:cs="宋体"/>
          <w:sz w:val="24"/>
        </w:rPr>
        <w:t>如本人未履行承诺</w:t>
      </w:r>
      <w:r>
        <w:rPr>
          <w:rFonts w:hint="eastAsia" w:ascii="宋体" w:hAnsi="宋体" w:eastAsia="宋体" w:cs="宋体"/>
          <w:sz w:val="10"/>
        </w:rPr>
        <w:t>，</w:t>
      </w:r>
      <w:r>
        <w:rPr>
          <w:rFonts w:hint="eastAsia" w:ascii="宋体" w:hAnsi="宋体" w:eastAsia="宋体" w:cs="宋体"/>
          <w:sz w:val="24"/>
        </w:rPr>
        <w:t>本人愿依法赔偿投资者的相应损失</w:t>
      </w:r>
      <w:r>
        <w:rPr>
          <w:rFonts w:hint="eastAsia" w:ascii="宋体" w:hAnsi="宋体" w:eastAsia="宋体" w:cs="宋体"/>
          <w:sz w:val="10"/>
        </w:rPr>
        <w:t>，</w:t>
      </w:r>
      <w:r>
        <w:rPr>
          <w:rFonts w:hint="eastAsia" w:ascii="宋体" w:hAnsi="宋体" w:eastAsia="宋体" w:cs="宋体"/>
          <w:sz w:val="24"/>
        </w:rPr>
        <w:t>并承担相应的法律责任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上述承诺不可撤销</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关联交易</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关联方及关联关系</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发行人控股股东</w:t>
      </w:r>
      <w:r>
        <w:rPr>
          <w:rFonts w:hint="eastAsia" w:ascii="宋体" w:hAnsi="宋体" w:eastAsia="宋体" w:cs="宋体"/>
          <w:b/>
          <w:sz w:val="10"/>
        </w:rPr>
        <w:t>、</w:t>
      </w:r>
      <w:r>
        <w:rPr>
          <w:rFonts w:hint="eastAsia" w:ascii="宋体" w:hAnsi="宋体" w:eastAsia="宋体" w:cs="宋体"/>
          <w:b/>
          <w:sz w:val="24"/>
        </w:rPr>
        <w:t>实际控制人</w:t>
      </w:r>
    </w:p>
    <w:p>
      <w:pPr>
        <w:spacing w:line="200" w:lineRule="exact"/>
        <w:rPr>
          <w:rFonts w:hint="eastAsia" w:ascii="宋体" w:hAnsi="宋体" w:eastAsia="宋体" w:cs="宋体"/>
          <w:sz w:val="20"/>
        </w:rPr>
      </w:pPr>
    </w:p>
    <w:p>
      <w:pPr>
        <w:autoSpaceDE w:val="false"/>
        <w:autoSpaceDN w:val="false"/>
        <w:spacing w:line="440" w:lineRule="exact"/>
        <w:ind w:left="1440" w:right="1400" w:firstLine="480"/>
        <w:jc w:val="both"/>
      </w:pPr>
      <w:r>
        <w:rPr>
          <w:rFonts w:hint="eastAsia" w:ascii="宋体" w:hAnsi="宋体" w:eastAsia="宋体" w:cs="宋体"/>
          <w:sz w:val="24"/>
        </w:rPr>
        <w:t>本公司的控股股东</w:t>
      </w:r>
      <w:r>
        <w:rPr>
          <w:rFonts w:hint="eastAsia" w:ascii="宋体" w:hAnsi="宋体" w:eastAsia="宋体" w:cs="宋体"/>
          <w:sz w:val="10"/>
        </w:rPr>
        <w:t>、</w:t>
      </w:r>
      <w:r>
        <w:rPr>
          <w:rFonts w:hint="eastAsia" w:ascii="宋体" w:hAnsi="宋体" w:eastAsia="宋体" w:cs="宋体"/>
          <w:sz w:val="24"/>
        </w:rPr>
        <w:t>实际控制人为严孟宇</w:t>
      </w:r>
      <w:r>
        <w:rPr>
          <w:rFonts w:hint="eastAsia" w:ascii="宋体" w:hAnsi="宋体" w:eastAsia="宋体" w:cs="宋体"/>
          <w:sz w:val="10"/>
        </w:rPr>
        <w:t>，</w:t>
      </w:r>
      <w:r>
        <w:rPr>
          <w:rFonts w:hint="eastAsia" w:ascii="宋体" w:hAnsi="宋体" w:eastAsia="宋体" w:cs="宋体"/>
          <w:sz w:val="24"/>
        </w:rPr>
        <w:t>具体情况请见</w:t>
      </w:r>
      <w:r>
        <w:rPr>
          <w:rFonts w:hint="eastAsia" w:ascii="宋体" w:hAnsi="宋体" w:eastAsia="宋体" w:cs="宋体"/>
          <w:sz w:val="10"/>
        </w:rPr>
        <w:t>“</w:t>
      </w:r>
      <w:r>
        <w:rPr>
          <w:rFonts w:hint="eastAsia" w:ascii="宋体" w:hAnsi="宋体" w:eastAsia="宋体" w:cs="宋体"/>
          <w:sz w:val="24"/>
        </w:rPr>
        <w:t>第八节</w:t>
      </w:r>
      <w:r>
        <w:rPr>
          <w:rFonts w:hint="eastAsia" w:ascii="Times New Roman" w:hAnsi="Times New Roman" w:eastAsia="Times New Roman" w:cs="Times New Roman"/>
          <w:sz w:val="24"/>
        </w:rPr>
        <w:t xml:space="preserve"> </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高级管理人员与核心技术人员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发行人控股股东</w:t>
      </w:r>
      <w:r>
        <w:rPr>
          <w:rFonts w:hint="eastAsia" w:ascii="宋体" w:hAnsi="宋体" w:eastAsia="宋体" w:cs="宋体"/>
          <w:b/>
          <w:sz w:val="10"/>
        </w:rPr>
        <w:t>、</w:t>
      </w:r>
      <w:r>
        <w:rPr>
          <w:rFonts w:hint="eastAsia" w:ascii="宋体" w:hAnsi="宋体" w:eastAsia="宋体" w:cs="宋体"/>
          <w:b/>
          <w:sz w:val="24"/>
        </w:rPr>
        <w:t>实际控制人控制的其他企业</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本公司控股股东</w:t>
      </w:r>
      <w:r>
        <w:rPr>
          <w:rFonts w:hint="eastAsia" w:ascii="宋体" w:hAnsi="宋体" w:eastAsia="宋体" w:cs="宋体"/>
          <w:sz w:val="10"/>
        </w:rPr>
        <w:t>、</w:t>
      </w:r>
      <w:r>
        <w:rPr>
          <w:rFonts w:hint="eastAsia" w:ascii="宋体" w:hAnsi="宋体" w:eastAsia="宋体" w:cs="宋体"/>
          <w:sz w:val="24"/>
        </w:rPr>
        <w:t>实际控制人不存在控制的除本公司外的其他企业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持有发行人</w:t>
      </w:r>
      <w:r>
        <w:rPr>
          <w:rFonts w:hint="eastAsia" w:ascii="Times New Roman Bold" w:hAnsi="Times New Roman Bold" w:eastAsia="Times New Roman Bold" w:cs="Times New Roman Bold"/>
          <w:b/>
          <w:sz w:val="24"/>
        </w:rPr>
        <w:t xml:space="preserve"> 5%</w:t>
      </w:r>
      <w:r>
        <w:rPr>
          <w:rFonts w:hint="eastAsia" w:ascii="宋体" w:hAnsi="宋体" w:eastAsia="宋体" w:cs="宋体"/>
          <w:b/>
          <w:sz w:val="24"/>
        </w:rPr>
        <w:t>及以上股份的其他股东</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持有发行人</w:t>
      </w:r>
      <w:r>
        <w:rPr>
          <w:rFonts w:hint="eastAsia" w:ascii="Times New Roman" w:hAnsi="Times New Roman" w:eastAsia="Times New Roman" w:cs="Times New Roman"/>
          <w:sz w:val="24"/>
        </w:rPr>
        <w:t xml:space="preserve"> 5%</w:t>
      </w:r>
      <w:r>
        <w:rPr>
          <w:rFonts w:hint="eastAsia" w:ascii="宋体" w:hAnsi="宋体" w:eastAsia="宋体" w:cs="宋体"/>
          <w:sz w:val="24"/>
        </w:rPr>
        <w:t>及以上股份的其他自然人股东为赵伟</w:t>
      </w:r>
      <w:r>
        <w:rPr>
          <w:rFonts w:hint="eastAsia" w:ascii="宋体" w:hAnsi="宋体" w:eastAsia="宋体" w:cs="宋体"/>
          <w:sz w:val="10"/>
        </w:rPr>
        <w:t>、</w:t>
      </w:r>
      <w:r>
        <w:rPr>
          <w:rFonts w:hint="eastAsia" w:ascii="宋体" w:hAnsi="宋体" w:eastAsia="宋体" w:cs="宋体"/>
          <w:sz w:val="24"/>
        </w:rPr>
        <w:t>林永正</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赵伟直接持有公司股份</w:t>
      </w:r>
      <w:r>
        <w:rPr>
          <w:rFonts w:hint="eastAsia" w:ascii="Times New Roman" w:hAnsi="Times New Roman" w:eastAsia="Times New Roman" w:cs="Times New Roman"/>
          <w:sz w:val="24"/>
        </w:rPr>
        <w:t xml:space="preserve"> 9.79%</w:t>
      </w:r>
      <w:r>
        <w:rPr>
          <w:rFonts w:hint="eastAsia" w:ascii="宋体" w:hAnsi="宋体" w:eastAsia="宋体" w:cs="宋体"/>
          <w:sz w:val="10"/>
        </w:rPr>
        <w:t>，</w:t>
      </w:r>
      <w:r>
        <w:rPr>
          <w:rFonts w:hint="eastAsia" w:ascii="宋体" w:hAnsi="宋体" w:eastAsia="宋体" w:cs="宋体"/>
          <w:sz w:val="24"/>
        </w:rPr>
        <w:t>通过爱派克间接持有公司股份</w:t>
      </w:r>
      <w:r>
        <w:rPr>
          <w:rFonts w:hint="eastAsia" w:ascii="Times New Roman" w:hAnsi="Times New Roman" w:eastAsia="Times New Roman" w:cs="Times New Roman"/>
          <w:sz w:val="24"/>
        </w:rPr>
        <w:t>0.40%</w:t>
      </w:r>
      <w:r>
        <w:rPr>
          <w:rFonts w:hint="eastAsia" w:ascii="宋体" w:hAnsi="宋体" w:eastAsia="宋体" w:cs="宋体"/>
          <w:sz w:val="10"/>
        </w:rPr>
        <w:t>，</w:t>
      </w:r>
      <w:r>
        <w:rPr>
          <w:rFonts w:hint="eastAsia" w:ascii="宋体" w:hAnsi="宋体" w:eastAsia="宋体" w:cs="宋体"/>
          <w:sz w:val="24"/>
        </w:rPr>
        <w:t>合计持有公司股份</w:t>
      </w:r>
      <w:r>
        <w:rPr>
          <w:rFonts w:hint="eastAsia" w:ascii="Times New Roman" w:hAnsi="Times New Roman" w:eastAsia="Times New Roman" w:cs="Times New Roman"/>
          <w:sz w:val="24"/>
        </w:rPr>
        <w:t xml:space="preserve"> 10.19%</w:t>
      </w:r>
      <w:r>
        <w:rPr>
          <w:rFonts w:hint="eastAsia" w:ascii="宋体" w:hAnsi="宋体" w:eastAsia="宋体" w:cs="宋体"/>
          <w:sz w:val="14"/>
        </w:rPr>
        <w:t>；</w:t>
      </w:r>
      <w:r>
        <w:rPr>
          <w:rFonts w:hint="eastAsia" w:ascii="宋体" w:hAnsi="宋体" w:eastAsia="宋体" w:cs="宋体"/>
          <w:sz w:val="24"/>
        </w:rPr>
        <w:t>林永正通过爱派克间接持有公司股份</w:t>
      </w:r>
      <w:r>
        <w:rPr>
          <w:rFonts w:hint="eastAsia" w:ascii="Times New Roman" w:hAnsi="Times New Roman" w:eastAsia="Times New Roman" w:cs="Times New Roman"/>
          <w:sz w:val="24"/>
        </w:rPr>
        <w:t xml:space="preserve"> 10.14%</w:t>
      </w:r>
      <w:r>
        <w:rPr>
          <w:rFonts w:hint="eastAsia" w:ascii="宋体" w:hAnsi="宋体" w:eastAsia="宋体" w:cs="宋体"/>
          <w:sz w:val="14"/>
        </w:rPr>
        <w:t>；</w:t>
      </w:r>
      <w:r>
        <w:rPr>
          <w:rFonts w:hint="eastAsia" w:ascii="宋体" w:hAnsi="宋体" w:eastAsia="宋体" w:cs="宋体"/>
          <w:sz w:val="24"/>
        </w:rPr>
        <w:t>雷世潘直接持有公司股份</w:t>
      </w:r>
      <w:r>
        <w:rPr>
          <w:rFonts w:hint="eastAsia" w:ascii="Times New Roman" w:hAnsi="Times New Roman" w:eastAsia="Times New Roman" w:cs="Times New Roman"/>
          <w:sz w:val="24"/>
        </w:rPr>
        <w:t xml:space="preserve"> 4.40%</w:t>
      </w:r>
      <w:r>
        <w:rPr>
          <w:rFonts w:hint="eastAsia" w:ascii="宋体" w:hAnsi="宋体" w:eastAsia="宋体" w:cs="宋体"/>
          <w:sz w:val="10"/>
        </w:rPr>
        <w:t>，</w:t>
      </w:r>
      <w:r>
        <w:rPr>
          <w:rFonts w:hint="eastAsia" w:ascii="宋体" w:hAnsi="宋体" w:eastAsia="宋体" w:cs="宋体"/>
          <w:sz w:val="24"/>
        </w:rPr>
        <w:t>通过爱派克间接持有公司股份</w:t>
      </w:r>
      <w:r>
        <w:rPr>
          <w:rFonts w:hint="eastAsia" w:ascii="Times New Roman" w:hAnsi="Times New Roman" w:eastAsia="Times New Roman" w:cs="Times New Roman"/>
          <w:sz w:val="24"/>
        </w:rPr>
        <w:t xml:space="preserve"> 0.77%</w:t>
      </w:r>
      <w:r>
        <w:rPr>
          <w:rFonts w:hint="eastAsia" w:ascii="宋体" w:hAnsi="宋体" w:eastAsia="宋体" w:cs="宋体"/>
          <w:sz w:val="10"/>
        </w:rPr>
        <w:t>，</w:t>
      </w:r>
      <w:r>
        <w:rPr>
          <w:rFonts w:hint="eastAsia" w:ascii="宋体" w:hAnsi="宋体" w:eastAsia="宋体" w:cs="宋体"/>
          <w:sz w:val="24"/>
        </w:rPr>
        <w:t>合计持有公司股份</w:t>
      </w:r>
      <w:r>
        <w:rPr>
          <w:rFonts w:hint="eastAsia" w:ascii="Times New Roman" w:hAnsi="Times New Roman" w:eastAsia="Times New Roman" w:cs="Times New Roman"/>
          <w:sz w:val="24"/>
        </w:rPr>
        <w:t>5.17%</w:t>
      </w:r>
      <w:r>
        <w:rPr>
          <w:rFonts w:hint="eastAsia" w:ascii="宋体" w:hAnsi="宋体" w:eastAsia="宋体" w:cs="宋体"/>
          <w:sz w:val="10"/>
        </w:rPr>
        <w:t>。</w:t>
      </w:r>
      <w:r>
        <w:rPr>
          <w:rFonts w:hint="eastAsia" w:ascii="宋体" w:hAnsi="宋体" w:eastAsia="宋体" w:cs="宋体"/>
          <w:sz w:val="24"/>
        </w:rPr>
        <w:t>法人股东为金石投资</w:t>
      </w:r>
      <w:r>
        <w:rPr>
          <w:rFonts w:hint="eastAsia" w:ascii="宋体" w:hAnsi="宋体" w:eastAsia="宋体" w:cs="宋体"/>
          <w:sz w:val="10"/>
        </w:rPr>
        <w:t>、</w:t>
      </w:r>
      <w:r>
        <w:rPr>
          <w:rFonts w:hint="eastAsia" w:ascii="宋体" w:hAnsi="宋体" w:eastAsia="宋体" w:cs="宋体"/>
          <w:sz w:val="24"/>
        </w:rPr>
        <w:t>爱派克</w:t>
      </w:r>
      <w:r>
        <w:rPr>
          <w:rFonts w:hint="eastAsia" w:ascii="宋体" w:hAnsi="宋体" w:eastAsia="宋体" w:cs="宋体"/>
          <w:sz w:val="10"/>
        </w:rPr>
        <w:t>，</w:t>
      </w:r>
      <w:r>
        <w:rPr>
          <w:rFonts w:hint="eastAsia" w:ascii="宋体" w:hAnsi="宋体" w:eastAsia="宋体" w:cs="宋体"/>
          <w:sz w:val="24"/>
        </w:rPr>
        <w:t>分别持有发行人</w:t>
      </w:r>
      <w:r>
        <w:rPr>
          <w:rFonts w:hint="eastAsia" w:ascii="Times New Roman" w:hAnsi="Times New Roman" w:eastAsia="Times New Roman" w:cs="Times New Roman"/>
          <w:sz w:val="24"/>
        </w:rPr>
        <w:t xml:space="preserve"> 20.81%</w:t>
      </w:r>
      <w:r>
        <w:rPr>
          <w:rFonts w:hint="eastAsia" w:ascii="宋体" w:hAnsi="宋体" w:eastAsia="宋体" w:cs="宋体"/>
          <w:sz w:val="10"/>
        </w:rPr>
        <w:t>、</w:t>
      </w:r>
      <w:r>
        <w:rPr>
          <w:rFonts w:hint="eastAsia" w:ascii="Times New Roman" w:hAnsi="Times New Roman" w:eastAsia="Times New Roman" w:cs="Times New Roman"/>
          <w:sz w:val="24"/>
        </w:rPr>
        <w:t>19.39%</w:t>
      </w:r>
      <w:r>
        <w:rPr>
          <w:rFonts w:hint="eastAsia" w:ascii="宋体" w:hAnsi="宋体" w:eastAsia="宋体" w:cs="宋体"/>
          <w:sz w:val="24"/>
        </w:rPr>
        <w:t>的股份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40"/>
        <w:jc w:val="both"/>
      </w:pPr>
      <w:r>
        <w:rPr>
          <w:rFonts w:hint="eastAsia" w:ascii="宋体" w:hAnsi="宋体" w:eastAsia="宋体" w:cs="宋体"/>
          <w:sz w:val="24"/>
        </w:rPr>
        <w:t>金石投资为中信证券股份有限公司的全资子公司</w:t>
      </w:r>
      <w:r>
        <w:rPr>
          <w:rFonts w:hint="eastAsia" w:ascii="宋体" w:hAnsi="宋体" w:eastAsia="宋体" w:cs="宋体"/>
          <w:sz w:val="10"/>
        </w:rPr>
        <w:t>，</w:t>
      </w:r>
      <w:r>
        <w:rPr>
          <w:rFonts w:hint="eastAsia" w:ascii="宋体" w:hAnsi="宋体" w:eastAsia="宋体" w:cs="宋体"/>
          <w:sz w:val="24"/>
        </w:rPr>
        <w:t>因此金石投资完成增资成为公司股东后</w:t>
      </w:r>
      <w:r>
        <w:rPr>
          <w:rFonts w:hint="eastAsia" w:ascii="宋体" w:hAnsi="宋体" w:eastAsia="宋体" w:cs="宋体"/>
          <w:sz w:val="10"/>
        </w:rPr>
        <w:t>，</w:t>
      </w:r>
      <w:r>
        <w:rPr>
          <w:rFonts w:hint="eastAsia" w:ascii="宋体" w:hAnsi="宋体" w:eastAsia="宋体" w:cs="宋体"/>
          <w:sz w:val="24"/>
        </w:rPr>
        <w:t>中信证券及其控股子公司亦成为公司关联方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发行人控股</w:t>
      </w:r>
      <w:r>
        <w:rPr>
          <w:rFonts w:hint="eastAsia" w:ascii="宋体" w:hAnsi="宋体" w:eastAsia="宋体" w:cs="宋体"/>
          <w:b/>
          <w:sz w:val="10"/>
        </w:rPr>
        <w:t>、</w:t>
      </w:r>
      <w:r>
        <w:rPr>
          <w:rFonts w:hint="eastAsia" w:ascii="宋体" w:hAnsi="宋体" w:eastAsia="宋体" w:cs="宋体"/>
          <w:b/>
          <w:sz w:val="24"/>
        </w:rPr>
        <w:t>参股子公司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本公司共有</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家控股子公司</w:t>
      </w:r>
      <w:r>
        <w:rPr>
          <w:rFonts w:hint="eastAsia" w:ascii="宋体" w:hAnsi="宋体" w:eastAsia="宋体" w:cs="宋体"/>
          <w:sz w:val="10"/>
        </w:rPr>
        <w:t>，</w:t>
      </w:r>
      <w:r>
        <w:rPr>
          <w:rFonts w:hint="eastAsia" w:ascii="宋体" w:hAnsi="宋体" w:eastAsia="宋体" w:cs="宋体"/>
          <w:sz w:val="24"/>
        </w:rPr>
        <w:t>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月全部转让所持有的</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家原参股公司股份</w:t>
      </w:r>
      <w:r>
        <w:rPr>
          <w:rFonts w:hint="eastAsia" w:ascii="宋体" w:hAnsi="宋体" w:eastAsia="宋体" w:cs="宋体"/>
          <w:sz w:val="10"/>
        </w:rPr>
        <w:t>。</w:t>
      </w:r>
      <w:r>
        <w:rPr>
          <w:rFonts w:hint="eastAsia" w:ascii="宋体" w:hAnsi="宋体" w:eastAsia="宋体" w:cs="宋体"/>
          <w:sz w:val="24"/>
        </w:rPr>
        <w:t>具体情况参见本招股说明书</w:t>
      </w:r>
      <w:r>
        <w:rPr>
          <w:rFonts w:hint="eastAsia" w:ascii="宋体" w:hAnsi="宋体" w:eastAsia="宋体" w:cs="宋体"/>
          <w:sz w:val="10"/>
        </w:rPr>
        <w:t>“</w:t>
      </w:r>
      <w:r>
        <w:rPr>
          <w:rFonts w:hint="eastAsia" w:ascii="宋体" w:hAnsi="宋体" w:eastAsia="宋体" w:cs="宋体"/>
          <w:sz w:val="24"/>
        </w:rPr>
        <w:t>第五节</w:t>
      </w:r>
      <w:r>
        <w:rPr>
          <w:rFonts w:hint="eastAsia" w:ascii="Times New Roman" w:hAnsi="Times New Roman" w:eastAsia="Times New Roman" w:cs="Times New Roman"/>
          <w:sz w:val="24"/>
        </w:rPr>
        <w:t xml:space="preserve"> </w:t>
      </w:r>
      <w:r>
        <w:rPr>
          <w:rFonts w:hint="eastAsia" w:ascii="宋体" w:hAnsi="宋体" w:eastAsia="宋体" w:cs="宋体"/>
          <w:sz w:val="24"/>
        </w:rPr>
        <w:t>发行人基本情况</w:t>
      </w:r>
      <w:r>
        <w:rPr>
          <w:rFonts w:hint="eastAsia" w:ascii="宋体" w:hAnsi="宋体" w:eastAsia="宋体" w:cs="宋体"/>
          <w:sz w:val="10"/>
        </w:rPr>
        <w:t>”</w:t>
      </w:r>
      <w:r>
        <w:rPr>
          <w:rFonts w:hint="eastAsia" w:ascii="宋体" w:hAnsi="宋体" w:eastAsia="宋体" w:cs="宋体"/>
          <w:sz w:val="24"/>
        </w:rPr>
        <w:t>的相关内容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关联自然人</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直接或者间接持有本公司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以上股份的自然人</w:t>
      </w:r>
      <w:r>
        <w:rPr>
          <w:rFonts w:hint="eastAsia" w:ascii="宋体" w:hAnsi="宋体" w:eastAsia="宋体" w:cs="宋体"/>
          <w:sz w:val="10"/>
        </w:rPr>
        <w:t>，</w:t>
      </w:r>
      <w:r>
        <w:rPr>
          <w:rFonts w:hint="eastAsia" w:ascii="宋体" w:hAnsi="宋体" w:eastAsia="宋体" w:cs="宋体"/>
          <w:sz w:val="24"/>
        </w:rPr>
        <w:t>本公司董事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1-1-181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69456" behindDoc="false" locked="false" layoutInCell="true" allowOverlap="true">
                <wp:simplePos x="0" y="0"/>
                <wp:positionH relativeFrom="page">
                  <wp:posOffset>723900</wp:posOffset>
                </wp:positionH>
                <wp:positionV relativeFrom="page">
                  <wp:posOffset>5181600</wp:posOffset>
                </wp:positionV>
                <wp:extent cx="3365500" cy="25400"/>
                <wp:effectExtent l="0" t="0" r="22225" b="31115"/>
                <wp:wrapNone/>
                <wp:docPr id="9958" name="shape9958"/>
                <wp:cNvGraphicFramePr/>
                <a:graphic>
                  <a:graphicData uri="http://schemas.microsoft.com/office/word/2010/wordprocessingShape">
                    <wps:wsp>
                      <wps:cNvSpPr/>
                      <wps:spPr>
                        <a:xfrm>
                          <a:off x="0" y="0"/>
                          <a:ext cx="33655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65pt;height:2pt;margin-left:57pt;margin-top:408pt;mso-wrap-style:square;z-index:10269456;mso-wrap-distance-left:9pt;mso-wrap-distance-top:0pt;mso-wrap-distance-right:9pt;mso-wrap-distance-bottom:0pt" id="shape9958" o:spid="1618382360124" stroked="f" filled="t" fillcolor="#000000"/>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员</w:t>
      </w:r>
      <w:r>
        <w:rPr>
          <w:rFonts w:hint="eastAsia" w:ascii="宋体" w:hAnsi="宋体" w:eastAsia="宋体" w:cs="宋体"/>
          <w:sz w:val="10"/>
        </w:rPr>
        <w:t>，</w:t>
      </w:r>
      <w:r>
        <w:rPr>
          <w:rFonts w:hint="eastAsia" w:ascii="宋体" w:hAnsi="宋体" w:eastAsia="宋体" w:cs="宋体"/>
          <w:sz w:val="24"/>
        </w:rPr>
        <w:t>以及上述人员关系密切的家庭成员均为本公司的关联自然人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直接或间接持有本公司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以上股份的自然人为控股股东</w:t>
      </w:r>
      <w:r>
        <w:rPr>
          <w:rFonts w:hint="eastAsia" w:ascii="宋体" w:hAnsi="宋体" w:eastAsia="宋体" w:cs="宋体"/>
          <w:sz w:val="10"/>
        </w:rPr>
        <w:t>、</w:t>
      </w:r>
      <w:r>
        <w:rPr>
          <w:rFonts w:hint="eastAsia" w:ascii="宋体" w:hAnsi="宋体" w:eastAsia="宋体" w:cs="宋体"/>
          <w:sz w:val="24"/>
        </w:rPr>
        <w:t>实际控制人严孟宇</w:t>
      </w:r>
      <w:r>
        <w:rPr>
          <w:rFonts w:hint="eastAsia" w:ascii="宋体" w:hAnsi="宋体" w:eastAsia="宋体" w:cs="宋体"/>
          <w:sz w:val="10"/>
        </w:rPr>
        <w:t>，</w:t>
      </w:r>
      <w:r>
        <w:rPr>
          <w:rFonts w:hint="eastAsia" w:ascii="宋体" w:hAnsi="宋体" w:eastAsia="宋体" w:cs="宋体"/>
          <w:sz w:val="24"/>
        </w:rPr>
        <w:t>爱派克法定代表人林永正</w:t>
      </w:r>
      <w:r>
        <w:rPr>
          <w:rFonts w:hint="eastAsia" w:ascii="宋体" w:hAnsi="宋体" w:eastAsia="宋体" w:cs="宋体"/>
          <w:sz w:val="10"/>
        </w:rPr>
        <w:t>，</w:t>
      </w:r>
      <w:r>
        <w:rPr>
          <w:rFonts w:hint="eastAsia" w:ascii="宋体" w:hAnsi="宋体" w:eastAsia="宋体" w:cs="宋体"/>
          <w:sz w:val="24"/>
        </w:rPr>
        <w:t>公司股东</w:t>
      </w:r>
      <w:r>
        <w:rPr>
          <w:rFonts w:hint="eastAsia" w:ascii="宋体" w:hAnsi="宋体" w:eastAsia="宋体" w:cs="宋体"/>
          <w:sz w:val="10"/>
        </w:rPr>
        <w:t>、</w:t>
      </w:r>
      <w:r>
        <w:rPr>
          <w:rFonts w:hint="eastAsia" w:ascii="宋体" w:hAnsi="宋体" w:eastAsia="宋体" w:cs="宋体"/>
          <w:sz w:val="24"/>
        </w:rPr>
        <w:t>副董事长</w:t>
      </w:r>
      <w:r>
        <w:rPr>
          <w:rFonts w:hint="eastAsia" w:ascii="宋体" w:hAnsi="宋体" w:eastAsia="宋体" w:cs="宋体"/>
          <w:sz w:val="10"/>
        </w:rPr>
        <w:t>、</w:t>
      </w:r>
      <w:r>
        <w:rPr>
          <w:rFonts w:hint="eastAsia" w:ascii="宋体" w:hAnsi="宋体" w:eastAsia="宋体" w:cs="宋体"/>
          <w:sz w:val="24"/>
        </w:rPr>
        <w:t>副总经理</w:t>
      </w:r>
      <w:r>
        <w:rPr>
          <w:rFonts w:hint="eastAsia" w:ascii="宋体" w:hAnsi="宋体" w:eastAsia="宋体" w:cs="宋体"/>
          <w:sz w:val="10"/>
        </w:rPr>
        <w:t>、</w:t>
      </w:r>
      <w:r>
        <w:rPr>
          <w:rFonts w:hint="eastAsia" w:ascii="宋体" w:hAnsi="宋体" w:eastAsia="宋体" w:cs="宋体"/>
          <w:sz w:val="24"/>
        </w:rPr>
        <w:t>董事会秘书</w:t>
      </w:r>
      <w:r>
        <w:rPr>
          <w:rFonts w:hint="eastAsia" w:ascii="宋体" w:hAnsi="宋体" w:eastAsia="宋体" w:cs="宋体"/>
          <w:sz w:val="10"/>
        </w:rPr>
        <w:t>、</w:t>
      </w:r>
      <w:r>
        <w:rPr>
          <w:rFonts w:hint="eastAsia" w:ascii="宋体" w:hAnsi="宋体" w:eastAsia="宋体" w:cs="宋体"/>
          <w:sz w:val="24"/>
        </w:rPr>
        <w:t>财务总监赵伟</w:t>
      </w:r>
      <w:r>
        <w:rPr>
          <w:rFonts w:hint="eastAsia" w:ascii="宋体" w:hAnsi="宋体" w:eastAsia="宋体" w:cs="宋体"/>
          <w:sz w:val="10"/>
        </w:rPr>
        <w:t>，</w:t>
      </w: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副总经理雷世潘</w:t>
      </w:r>
      <w:r>
        <w:rPr>
          <w:rFonts w:hint="eastAsia" w:ascii="宋体" w:hAnsi="宋体" w:eastAsia="宋体" w:cs="宋体"/>
          <w:sz w:val="10"/>
        </w:rPr>
        <w:t>。</w:t>
      </w:r>
      <w:r>
        <w:rPr>
          <w:rFonts w:hint="eastAsia" w:ascii="宋体" w:hAnsi="宋体" w:eastAsia="宋体" w:cs="宋体"/>
          <w:sz w:val="24"/>
        </w:rPr>
        <w:t>其中林永正为严孟宇的岳父</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60" w:firstLine="480"/>
        <w:jc w:val="both"/>
      </w:pPr>
      <w:r>
        <w:rPr>
          <w:rFonts w:hint="eastAsia" w:ascii="宋体" w:hAnsi="宋体" w:eastAsia="宋体" w:cs="宋体"/>
          <w:sz w:val="24"/>
        </w:rPr>
        <w:t>本公司董事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高级管理人员为严孟宇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黄义青</w:t>
      </w:r>
      <w:r>
        <w:rPr>
          <w:rFonts w:hint="eastAsia" w:ascii="宋体" w:hAnsi="宋体" w:eastAsia="宋体" w:cs="宋体"/>
          <w:sz w:val="10"/>
        </w:rPr>
        <w:t>、</w:t>
      </w:r>
      <w:r>
        <w:rPr>
          <w:rFonts w:hint="eastAsia" w:ascii="宋体" w:hAnsi="宋体" w:eastAsia="宋体" w:cs="宋体"/>
          <w:sz w:val="24"/>
        </w:rPr>
        <w:t>李军</w:t>
      </w:r>
      <w:r>
        <w:rPr>
          <w:rFonts w:hint="eastAsia" w:ascii="宋体" w:hAnsi="宋体" w:eastAsia="宋体" w:cs="宋体"/>
          <w:sz w:val="10"/>
        </w:rPr>
        <w:t>、</w:t>
      </w:r>
      <w:r>
        <w:rPr>
          <w:rFonts w:hint="eastAsia" w:ascii="宋体" w:hAnsi="宋体" w:eastAsia="宋体" w:cs="宋体"/>
          <w:sz w:val="24"/>
        </w:rPr>
        <w:t>徐青</w:t>
      </w:r>
      <w:r>
        <w:rPr>
          <w:rFonts w:hint="eastAsia" w:ascii="宋体" w:hAnsi="宋体" w:eastAsia="宋体" w:cs="宋体"/>
          <w:sz w:val="10"/>
        </w:rPr>
        <w:t>、</w:t>
      </w:r>
      <w:r>
        <w:rPr>
          <w:rFonts w:hint="eastAsia" w:ascii="宋体" w:hAnsi="宋体" w:eastAsia="宋体" w:cs="宋体"/>
          <w:sz w:val="24"/>
        </w:rPr>
        <w:t>齐伟</w:t>
      </w:r>
      <w:r>
        <w:rPr>
          <w:rFonts w:hint="eastAsia" w:ascii="宋体" w:hAnsi="宋体" w:eastAsia="宋体" w:cs="宋体"/>
          <w:sz w:val="10"/>
        </w:rPr>
        <w:t>、</w:t>
      </w:r>
      <w:r>
        <w:rPr>
          <w:rFonts w:hint="eastAsia" w:ascii="宋体" w:hAnsi="宋体" w:eastAsia="宋体" w:cs="宋体"/>
          <w:sz w:val="24"/>
        </w:rPr>
        <w:t>叶东毅</w:t>
      </w:r>
      <w:r>
        <w:rPr>
          <w:rFonts w:hint="eastAsia" w:ascii="宋体" w:hAnsi="宋体" w:eastAsia="宋体" w:cs="宋体"/>
          <w:sz w:val="10"/>
        </w:rPr>
        <w:t>、</w:t>
      </w:r>
      <w:r>
        <w:rPr>
          <w:rFonts w:hint="eastAsia" w:ascii="宋体" w:hAnsi="宋体" w:eastAsia="宋体" w:cs="宋体"/>
          <w:sz w:val="24"/>
        </w:rPr>
        <w:t>欧永</w:t>
      </w:r>
      <w:r>
        <w:rPr>
          <w:rFonts w:hint="eastAsia" w:ascii="宋体" w:hAnsi="宋体" w:eastAsia="宋体" w:cs="宋体"/>
          <w:sz w:val="10"/>
        </w:rPr>
        <w:t>、</w:t>
      </w:r>
      <w:r>
        <w:rPr>
          <w:rFonts w:hint="eastAsia" w:ascii="宋体" w:hAnsi="宋体" w:eastAsia="宋体" w:cs="宋体"/>
          <w:sz w:val="24"/>
        </w:rPr>
        <w:t>张家荣</w:t>
      </w:r>
      <w:r>
        <w:rPr>
          <w:rFonts w:hint="eastAsia" w:ascii="宋体" w:hAnsi="宋体" w:eastAsia="宋体" w:cs="宋体"/>
          <w:sz w:val="10"/>
        </w:rPr>
        <w:t>、</w:t>
      </w:r>
      <w:r>
        <w:rPr>
          <w:rFonts w:hint="eastAsia" w:ascii="宋体" w:hAnsi="宋体" w:eastAsia="宋体" w:cs="宋体"/>
          <w:sz w:val="24"/>
        </w:rPr>
        <w:t>郑元通</w:t>
      </w:r>
      <w:r>
        <w:rPr>
          <w:rFonts w:hint="eastAsia" w:ascii="宋体" w:hAnsi="宋体" w:eastAsia="宋体" w:cs="宋体"/>
          <w:sz w:val="10"/>
        </w:rPr>
        <w:t>，</w:t>
      </w:r>
      <w:r>
        <w:rPr>
          <w:rFonts w:hint="eastAsia" w:ascii="宋体" w:hAnsi="宋体" w:eastAsia="宋体" w:cs="宋体"/>
          <w:sz w:val="24"/>
        </w:rPr>
        <w:t>其基本情况参见本招股说明书</w:t>
      </w:r>
      <w:r>
        <w:rPr>
          <w:rFonts w:hint="eastAsia" w:ascii="宋体" w:hAnsi="宋体" w:eastAsia="宋体" w:cs="宋体"/>
          <w:sz w:val="10"/>
        </w:rPr>
        <w:t>“</w:t>
      </w:r>
      <w:r>
        <w:rPr>
          <w:rFonts w:hint="eastAsia" w:ascii="宋体" w:hAnsi="宋体" w:eastAsia="宋体" w:cs="宋体"/>
          <w:sz w:val="24"/>
        </w:rPr>
        <w:t>第八节</w:t>
      </w:r>
      <w:r>
        <w:rPr>
          <w:rFonts w:hint="eastAsia" w:ascii="Times New Roman" w:hAnsi="Times New Roman" w:eastAsia="Times New Roman" w:cs="Times New Roman"/>
          <w:sz w:val="24"/>
        </w:rPr>
        <w:t xml:space="preserve"> </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高级管理人员与核心技术人员</w:t>
      </w:r>
      <w:r>
        <w:rPr>
          <w:rFonts w:hint="eastAsia" w:ascii="宋体" w:hAnsi="宋体" w:eastAsia="宋体" w:cs="宋体"/>
          <w:sz w:val="10"/>
        </w:rPr>
        <w:t>”</w:t>
      </w:r>
      <w:r>
        <w:rPr>
          <w:rFonts w:hint="eastAsia" w:ascii="宋体" w:hAnsi="宋体" w:eastAsia="宋体" w:cs="宋体"/>
          <w:sz w:val="24"/>
        </w:rPr>
        <w:t>相关内容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6</w:t>
      </w:r>
      <w:r>
        <w:rPr>
          <w:rFonts w:hint="eastAsia" w:ascii="宋体" w:hAnsi="宋体" w:eastAsia="宋体" w:cs="宋体"/>
          <w:b/>
          <w:sz w:val="10"/>
        </w:rPr>
        <w:t>、</w:t>
      </w:r>
      <w:r>
        <w:rPr>
          <w:rFonts w:hint="eastAsia" w:ascii="宋体" w:hAnsi="宋体" w:eastAsia="宋体" w:cs="宋体"/>
          <w:b/>
          <w:sz w:val="24"/>
        </w:rPr>
        <w:t>关联自然人直接或间接控制的或者担任董事</w:t>
      </w:r>
      <w:r>
        <w:rPr>
          <w:rFonts w:hint="eastAsia" w:ascii="宋体" w:hAnsi="宋体" w:eastAsia="宋体" w:cs="宋体"/>
          <w:b/>
          <w:sz w:val="10"/>
        </w:rPr>
        <w:t>、</w:t>
      </w:r>
      <w:r>
        <w:rPr>
          <w:rFonts w:hint="eastAsia" w:ascii="宋体" w:hAnsi="宋体" w:eastAsia="宋体" w:cs="宋体"/>
          <w:b/>
          <w:sz w:val="24"/>
        </w:rPr>
        <w:t>高级管理人员的其他法人或组织</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本公司关联自然人直接或间接控制的</w:t>
      </w:r>
      <w:r>
        <w:rPr>
          <w:rFonts w:hint="eastAsia" w:ascii="宋体" w:hAnsi="宋体" w:eastAsia="宋体" w:cs="宋体"/>
          <w:sz w:val="10"/>
        </w:rPr>
        <w:t>、</w:t>
      </w:r>
      <w:r>
        <w:rPr>
          <w:rFonts w:hint="eastAsia" w:ascii="宋体" w:hAnsi="宋体" w:eastAsia="宋体" w:cs="宋体"/>
          <w:sz w:val="24"/>
        </w:rPr>
        <w:t>或者担任董事</w:t>
      </w:r>
      <w:r>
        <w:rPr>
          <w:rFonts w:hint="eastAsia" w:ascii="宋体" w:hAnsi="宋体" w:eastAsia="宋体" w:cs="宋体"/>
          <w:sz w:val="10"/>
        </w:rPr>
        <w:t>、</w:t>
      </w:r>
      <w:r>
        <w:rPr>
          <w:rFonts w:hint="eastAsia" w:ascii="宋体" w:hAnsi="宋体" w:eastAsia="宋体" w:cs="宋体"/>
          <w:sz w:val="24"/>
        </w:rPr>
        <w:t>高级管理人员的其他法人或组织如下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9660" w:type="auto"/>
        <w:tblInd w:w="11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280"/>
        <w:gridCol w:w="4360"/>
      </w:tblGrid>
      <w:tr>
        <w:trPr>
          <w:trHeight w:val="560" w:hRule="exact"/>
        </w:trPr>
        <w:tc>
          <w:tcPr>
            <w:tcW w:w="5280" w:type="dxa"/>
            <w:tcMar>
              <w:top w:w="0" w:type="dxa"/>
              <w:left w:w="0" w:type="dxa"/>
              <w:bottom w:w="0" w:type="dxa"/>
              <w:right w:w="0" w:type="dxa"/>
            </w:tcMar>
          </w:tcPr>
          <w:p>
            <w:pPr>
              <w:spacing w:before="120"/>
              <w:ind w:left="2300"/>
            </w:pPr>
            <w:r>
              <w:rPr>
                <w:rFonts w:hint="eastAsia" w:ascii="宋体" w:hAnsi="宋体" w:eastAsia="宋体" w:cs="宋体"/>
                <w:b/>
                <w:sz w:val="21"/>
              </w:rPr>
              <w:t>关联方</w:t>
            </w:r>
          </w:p>
        </w:tc>
        <w:tc>
          <w:tcPr>
            <w:tcW w:w="4360" w:type="dxa"/>
            <w:tcMar>
              <w:top w:w="0" w:type="dxa"/>
              <w:left w:w="0" w:type="dxa"/>
              <w:bottom w:w="0" w:type="dxa"/>
              <w:right w:w="0" w:type="dxa"/>
            </w:tcMar>
          </w:tcPr>
          <w:p>
            <w:pPr>
              <w:spacing w:before="120"/>
              <w:ind w:left="1740"/>
            </w:pPr>
            <w:r>
              <w:rPr>
                <w:rFonts w:hint="eastAsia" w:ascii="宋体" w:hAnsi="宋体" w:eastAsia="宋体" w:cs="宋体"/>
                <w:b/>
                <w:sz w:val="21"/>
              </w:rPr>
              <w:t>关联关系</w:t>
            </w:r>
          </w:p>
        </w:tc>
      </w:tr>
      <w:tr>
        <w:trPr>
          <w:trHeight w:val="1300" w:hRule="exact"/>
        </w:trPr>
        <w:tc>
          <w:tcPr>
            <w:tcW w:w="5280" w:type="dxa"/>
            <w:tcMar>
              <w:top w:w="0" w:type="dxa"/>
              <w:left w:w="0" w:type="dxa"/>
              <w:bottom w:w="0" w:type="dxa"/>
              <w:right w:w="0" w:type="dxa"/>
            </w:tcMar>
          </w:tcPr>
          <w:p>
            <w:pPr>
              <w:spacing w:before="220"/>
              <w:ind w:left="1160"/>
            </w:pPr>
            <w:r>
              <w:rPr>
                <w:rFonts w:hint="eastAsia" w:ascii="宋体" w:hAnsi="宋体" w:eastAsia="宋体" w:cs="宋体"/>
                <w:sz w:val="21"/>
              </w:rPr>
              <w:t>福建星网锐捷通讯股份有限公司</w:t>
            </w:r>
          </w:p>
          <w:p>
            <w:pPr>
              <w:spacing w:before="440"/>
              <w:ind w:left="1360"/>
            </w:pPr>
            <w:r>
              <w:rPr>
                <w:rFonts w:hint="eastAsia" w:ascii="宋体" w:hAnsi="宋体" w:eastAsia="宋体" w:cs="宋体"/>
                <w:sz w:val="21"/>
              </w:rPr>
              <w:t>福建博思软件股份有限公司</w:t>
            </w:r>
          </w:p>
        </w:tc>
        <w:tc>
          <w:tcPr>
            <w:tcW w:w="4360" w:type="dxa"/>
            <w:tcMar>
              <w:top w:w="0" w:type="dxa"/>
              <w:left w:w="0" w:type="dxa"/>
              <w:bottom w:w="0" w:type="dxa"/>
              <w:right w:w="0" w:type="dxa"/>
            </w:tcMar>
          </w:tcPr>
          <w:p>
            <w:pPr>
              <w:spacing w:before="520"/>
              <w:ind w:left="480"/>
            </w:pPr>
            <w:r>
              <w:rPr>
                <w:rFonts w:hint="eastAsia" w:ascii="宋体" w:hAnsi="宋体" w:eastAsia="宋体" w:cs="宋体"/>
                <w:sz w:val="21"/>
              </w:rPr>
              <w:t>本公司独立董事叶东毅担任独立董事</w:t>
            </w:r>
          </w:p>
        </w:tc>
      </w:tr>
    </w:tbl>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不存在其他关联自然人直接或间接控制的或者担任董事</w:t>
      </w:r>
      <w:r>
        <w:rPr>
          <w:rFonts w:hint="eastAsia" w:ascii="宋体" w:hAnsi="宋体" w:eastAsia="宋体" w:cs="宋体"/>
          <w:sz w:val="10"/>
        </w:rPr>
        <w:t>、</w:t>
      </w:r>
      <w:r>
        <w:rPr>
          <w:rFonts w:hint="eastAsia" w:ascii="宋体" w:hAnsi="宋体" w:eastAsia="宋体" w:cs="宋体"/>
          <w:sz w:val="24"/>
        </w:rPr>
        <w:t>高级管理人员的其他法人或组织</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（二）经常性关联交易</w:t>
      </w: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金石投资通过增资及股权转让的方式成为本公司股东</w:t>
      </w:r>
      <w:r>
        <w:rPr>
          <w:rFonts w:hint="eastAsia" w:ascii="宋体" w:hAnsi="宋体" w:eastAsia="宋体" w:cs="宋体"/>
          <w:sz w:val="10"/>
        </w:rPr>
        <w:t>，</w:t>
      </w:r>
      <w:r>
        <w:rPr>
          <w:rFonts w:hint="eastAsia" w:ascii="宋体" w:hAnsi="宋体" w:eastAsia="宋体" w:cs="宋体"/>
          <w:sz w:val="24"/>
        </w:rPr>
        <w:t>持有发行人</w:t>
      </w:r>
      <w:r>
        <w:rPr>
          <w:rFonts w:hint="eastAsia" w:ascii="Times New Roman" w:hAnsi="Times New Roman" w:eastAsia="Times New Roman" w:cs="Times New Roman"/>
          <w:sz w:val="24"/>
        </w:rPr>
        <w:t>20.81%</w:t>
      </w:r>
      <w:r>
        <w:rPr>
          <w:rFonts w:hint="eastAsia" w:ascii="宋体" w:hAnsi="宋体" w:eastAsia="宋体" w:cs="宋体"/>
          <w:sz w:val="24"/>
        </w:rPr>
        <w:t>的股份</w:t>
      </w:r>
      <w:r>
        <w:rPr>
          <w:rFonts w:hint="eastAsia" w:ascii="宋体" w:hAnsi="宋体" w:eastAsia="宋体" w:cs="宋体"/>
          <w:sz w:val="10"/>
        </w:rPr>
        <w:t>。</w:t>
      </w:r>
      <w:r>
        <w:rPr>
          <w:rFonts w:hint="eastAsia" w:ascii="宋体" w:hAnsi="宋体" w:eastAsia="宋体" w:cs="宋体"/>
          <w:sz w:val="24"/>
        </w:rPr>
        <w:t>金石投资为中信证券股份有限公司的全资子公司</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公司与中信证券股份有限公司签署《</w:t>
      </w:r>
      <w:r>
        <w:rPr>
          <w:rFonts w:hint="eastAsia" w:ascii="Times New Roman" w:hAnsi="Times New Roman" w:eastAsia="Times New Roman" w:cs="Times New Roman"/>
          <w:sz w:val="24"/>
        </w:rPr>
        <w:t>IT</w:t>
      </w:r>
      <w:r>
        <w:rPr>
          <w:rFonts w:hint="eastAsia" w:ascii="宋体" w:hAnsi="宋体" w:eastAsia="宋体" w:cs="宋体"/>
          <w:sz w:val="24"/>
        </w:rPr>
        <w:t xml:space="preserve"> 战略合作协议》，</w:t>
      </w:r>
      <w:r>
        <w:rPr>
          <w:rFonts w:hint="eastAsia" w:ascii="宋体" w:hAnsi="宋体" w:eastAsia="宋体" w:cs="宋体"/>
          <w:sz w:val="24"/>
        </w:rPr>
        <w:t>就双方在信息系统建设与服务等领域进行合作的事宜达成一致</w:t>
      </w:r>
      <w:r>
        <w:rPr>
          <w:rFonts w:hint="eastAsia" w:ascii="宋体" w:hAnsi="宋体" w:eastAsia="宋体" w:cs="宋体"/>
          <w:sz w:val="10"/>
        </w:rPr>
        <w:t>，</w:t>
      </w:r>
      <w:r>
        <w:rPr>
          <w:rFonts w:hint="eastAsia" w:ascii="宋体" w:hAnsi="宋体" w:eastAsia="宋体" w:cs="宋体"/>
          <w:sz w:val="24"/>
        </w:rPr>
        <w:t>合作期限为</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金石投资完成增资成为公司股东后至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中信证券及其控股子公司与公司之间存在关联交易</w:t>
      </w:r>
      <w:r>
        <w:rPr>
          <w:rFonts w:hint="eastAsia" w:ascii="宋体" w:hAnsi="宋体" w:eastAsia="宋体" w:cs="宋体"/>
          <w:sz w:val="10"/>
        </w:rPr>
        <w:t>，</w:t>
      </w:r>
      <w:r>
        <w:rPr>
          <w:rFonts w:hint="eastAsia" w:ascii="宋体" w:hAnsi="宋体" w:eastAsia="宋体" w:cs="宋体"/>
          <w:sz w:val="24"/>
        </w:rPr>
        <w:t>主要为发行人向其提供软件产品和软件服务</w:t>
      </w:r>
      <w:r>
        <w:rPr>
          <w:rFonts w:hint="eastAsia" w:ascii="宋体" w:hAnsi="宋体" w:eastAsia="宋体" w:cs="宋体"/>
          <w:sz w:val="10"/>
        </w:rPr>
        <w:t>，</w:t>
      </w:r>
      <w:r>
        <w:rPr>
          <w:rFonts w:hint="eastAsia" w:ascii="宋体" w:hAnsi="宋体" w:eastAsia="宋体" w:cs="宋体"/>
          <w:sz w:val="24"/>
        </w:rPr>
        <w:t>包括证券</w:t>
      </w:r>
      <w:r>
        <w:rPr>
          <w:rFonts w:hint="eastAsia" w:ascii="Times New Roman" w:hAnsi="Times New Roman" w:eastAsia="Times New Roman" w:cs="Times New Roman"/>
          <w:sz w:val="24"/>
        </w:rPr>
        <w:t>CRM</w:t>
      </w:r>
      <w:r>
        <w:rPr>
          <w:rFonts w:hint="eastAsia" w:ascii="宋体" w:hAnsi="宋体" w:eastAsia="宋体" w:cs="宋体"/>
          <w:sz w:val="24"/>
        </w:rPr>
        <w:t xml:space="preserve"> 系统</w:t>
      </w:r>
      <w:r>
        <w:rPr>
          <w:rFonts w:hint="eastAsia" w:ascii="宋体" w:hAnsi="宋体" w:eastAsia="宋体" w:cs="宋体"/>
          <w:sz w:val="10"/>
        </w:rPr>
        <w:t>、</w:t>
      </w:r>
      <w:r>
        <w:rPr>
          <w:rFonts w:hint="eastAsia" w:ascii="宋体" w:hAnsi="宋体" w:eastAsia="宋体" w:cs="宋体"/>
          <w:sz w:val="24"/>
        </w:rPr>
        <w:t>机构客户及业务管理系统</w:t>
      </w:r>
      <w:r>
        <w:rPr>
          <w:rFonts w:hint="eastAsia" w:ascii="宋体" w:hAnsi="宋体" w:eastAsia="宋体" w:cs="宋体"/>
          <w:sz w:val="10"/>
        </w:rPr>
        <w:t>、</w:t>
      </w:r>
      <w:r>
        <w:rPr>
          <w:rFonts w:hint="eastAsia" w:ascii="宋体" w:hAnsi="宋体" w:eastAsia="宋体" w:cs="宋体"/>
          <w:sz w:val="24"/>
        </w:rPr>
        <w:t>证券交易类技术服务等</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增资成为股东后至</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年末收入金额为</w:t>
      </w:r>
      <w:r>
        <w:rPr>
          <w:rFonts w:hint="eastAsia" w:ascii="Times New Roman" w:hAnsi="Times New Roman" w:eastAsia="Times New Roman" w:cs="Times New Roman"/>
          <w:sz w:val="24"/>
        </w:rPr>
        <w:t xml:space="preserve"> 726.61</w:t>
      </w:r>
      <w:r>
        <w:rPr>
          <w:rFonts w:hint="eastAsia" w:ascii="宋体" w:hAnsi="宋体" w:eastAsia="宋体" w:cs="宋体"/>
          <w:sz w:val="24"/>
        </w:rPr>
        <w:t xml:space="preserve"> 万元</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年收入金额为</w:t>
      </w:r>
      <w:r>
        <w:rPr>
          <w:rFonts w:hint="eastAsia" w:ascii="Times New Roman" w:hAnsi="Times New Roman" w:eastAsia="Times New Roman" w:cs="Times New Roman"/>
          <w:sz w:val="24"/>
        </w:rPr>
        <w:t xml:space="preserve"> 846.42</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公司与中信证券及其控股子公司的销售收入分</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1-1-182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40" w:lineRule="exact"/>
        <w:ind w:left="1440" w:right="1220"/>
        <w:jc w:val="both"/>
      </w:pPr>
      <w:r>
        <w:rPr>
          <w:rFonts w:hint="eastAsia" w:ascii="宋体" w:hAnsi="宋体" w:eastAsia="宋体" w:cs="宋体"/>
          <w:sz w:val="24"/>
        </w:rPr>
        <w:t>别为</w:t>
      </w:r>
      <w:r>
        <w:rPr>
          <w:rFonts w:hint="eastAsia" w:ascii="Times New Roman" w:hAnsi="Times New Roman" w:eastAsia="Times New Roman" w:cs="Times New Roman"/>
          <w:sz w:val="24"/>
        </w:rPr>
        <w:t xml:space="preserve"> 316.39</w:t>
      </w:r>
      <w:r>
        <w:rPr>
          <w:rFonts w:hint="eastAsia" w:ascii="宋体" w:hAnsi="宋体" w:eastAsia="宋体" w:cs="宋体"/>
          <w:sz w:val="24"/>
        </w:rPr>
        <w:t xml:space="preserve"> 万元</w:t>
      </w:r>
      <w:r>
        <w:rPr>
          <w:rFonts w:hint="eastAsia" w:ascii="宋体" w:hAnsi="宋体" w:eastAsia="宋体" w:cs="宋体"/>
          <w:sz w:val="10"/>
        </w:rPr>
        <w:t>、</w:t>
      </w:r>
      <w:r>
        <w:rPr>
          <w:rFonts w:hint="eastAsia" w:ascii="Times New Roman" w:hAnsi="Times New Roman" w:eastAsia="Times New Roman" w:cs="Times New Roman"/>
          <w:sz w:val="24"/>
        </w:rPr>
        <w:t>762.56</w:t>
      </w:r>
      <w:r>
        <w:rPr>
          <w:rFonts w:hint="eastAsia" w:ascii="宋体" w:hAnsi="宋体" w:eastAsia="宋体" w:cs="宋体"/>
          <w:sz w:val="24"/>
        </w:rPr>
        <w:t xml:space="preserve"> 万元</w:t>
      </w:r>
      <w:r>
        <w:rPr>
          <w:rFonts w:hint="eastAsia" w:ascii="宋体" w:hAnsi="宋体" w:eastAsia="宋体" w:cs="宋体"/>
          <w:sz w:val="10"/>
        </w:rPr>
        <w:t>、</w:t>
      </w:r>
      <w:r>
        <w:rPr>
          <w:rFonts w:hint="eastAsia" w:ascii="Times New Roman" w:hAnsi="Times New Roman" w:eastAsia="Times New Roman" w:cs="Times New Roman"/>
          <w:sz w:val="24"/>
        </w:rPr>
        <w:t>846.42</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占营业收入比例分别为</w:t>
      </w:r>
      <w:r>
        <w:rPr>
          <w:rFonts w:hint="eastAsia" w:ascii="Times New Roman" w:hAnsi="Times New Roman" w:eastAsia="Times New Roman" w:cs="Times New Roman"/>
          <w:sz w:val="24"/>
        </w:rPr>
        <w:t xml:space="preserve"> 1.95%</w:t>
      </w:r>
      <w:r>
        <w:rPr>
          <w:rFonts w:hint="eastAsia" w:ascii="宋体" w:hAnsi="宋体" w:eastAsia="宋体" w:cs="宋体"/>
          <w:sz w:val="10"/>
        </w:rPr>
        <w:t>、</w:t>
      </w:r>
      <w:r>
        <w:rPr>
          <w:rFonts w:hint="eastAsia" w:ascii="Times New Roman" w:hAnsi="Times New Roman" w:eastAsia="Times New Roman" w:cs="Times New Roman"/>
          <w:sz w:val="24"/>
        </w:rPr>
        <w:t>3.91%</w:t>
      </w:r>
      <w:r>
        <w:rPr>
          <w:rFonts w:hint="eastAsia" w:ascii="宋体" w:hAnsi="宋体" w:eastAsia="宋体" w:cs="宋体"/>
          <w:sz w:val="10"/>
        </w:rPr>
        <w:t>、</w:t>
      </w:r>
      <w:r>
        <w:rPr>
          <w:rFonts w:hint="eastAsia" w:ascii="Times New Roman" w:hAnsi="Times New Roman" w:eastAsia="Times New Roman" w:cs="Times New Roman"/>
          <w:sz w:val="24"/>
        </w:rPr>
        <w:t>4.13%</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交易总体金额较小</w:t>
      </w:r>
      <w:r>
        <w:rPr>
          <w:rFonts w:hint="eastAsia" w:ascii="宋体" w:hAnsi="宋体" w:eastAsia="宋体" w:cs="宋体"/>
          <w:sz w:val="10"/>
        </w:rPr>
        <w:t>，</w:t>
      </w:r>
      <w:r>
        <w:rPr>
          <w:rFonts w:hint="eastAsia" w:ascii="宋体" w:hAnsi="宋体" w:eastAsia="宋体" w:cs="宋体"/>
          <w:sz w:val="24"/>
        </w:rPr>
        <w:t>占营业收入的比例较低</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日</w:t>
      </w:r>
      <w:r>
        <w:rPr>
          <w:rFonts w:hint="eastAsia" w:ascii="宋体" w:hAnsi="宋体" w:eastAsia="宋体" w:cs="宋体"/>
          <w:sz w:val="10"/>
        </w:rPr>
        <w:t>，</w:t>
      </w:r>
      <w:r>
        <w:rPr>
          <w:rFonts w:hint="eastAsia" w:ascii="宋体" w:hAnsi="宋体" w:eastAsia="宋体" w:cs="宋体"/>
          <w:sz w:val="24"/>
        </w:rPr>
        <w:t>公司涉及中信证券及其控股子公司的应收账款期末账面价值为</w:t>
      </w:r>
      <w:r>
        <w:rPr>
          <w:rFonts w:hint="eastAsia" w:ascii="Times New Roman" w:hAnsi="Times New Roman" w:eastAsia="Times New Roman" w:cs="Times New Roman"/>
          <w:sz w:val="24"/>
        </w:rPr>
        <w:t xml:space="preserve"> 34.09</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占应收账款期末账面价值的比例为</w:t>
      </w:r>
      <w:r>
        <w:rPr>
          <w:rFonts w:hint="eastAsia" w:ascii="Times New Roman" w:hAnsi="Times New Roman" w:eastAsia="Times New Roman" w:cs="Times New Roman"/>
          <w:sz w:val="24"/>
        </w:rPr>
        <w:t xml:space="preserve"> 1.92%</w:t>
      </w:r>
      <w:r>
        <w:rPr>
          <w:rFonts w:hint="eastAsia" w:ascii="宋体" w:hAnsi="宋体" w:eastAsia="宋体" w:cs="宋体"/>
          <w:sz w:val="14"/>
        </w:rPr>
        <w:t>；</w:t>
      </w:r>
      <w:r>
        <w:rPr>
          <w:rFonts w:hint="eastAsia" w:ascii="宋体" w:hAnsi="宋体" w:eastAsia="宋体" w:cs="宋体"/>
          <w:sz w:val="24"/>
        </w:rPr>
        <w:t>预收账款账面余额为</w:t>
      </w:r>
      <w:r>
        <w:rPr>
          <w:rFonts w:hint="eastAsia" w:ascii="Times New Roman" w:hAnsi="Times New Roman" w:eastAsia="Times New Roman" w:cs="Times New Roman"/>
          <w:sz w:val="24"/>
        </w:rPr>
        <w:t xml:space="preserve"> 286.13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占预收账款期末账面余额的比例为</w:t>
      </w:r>
      <w:r>
        <w:rPr>
          <w:rFonts w:hint="eastAsia" w:ascii="Times New Roman" w:hAnsi="Times New Roman" w:eastAsia="Times New Roman" w:cs="Times New Roman"/>
          <w:sz w:val="24"/>
        </w:rPr>
        <w:t xml:space="preserve"> 2.26%</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公司与中信证券及其控股子公司开展业务</w:t>
      </w:r>
      <w:r>
        <w:rPr>
          <w:rFonts w:hint="eastAsia" w:ascii="宋体" w:hAnsi="宋体" w:eastAsia="宋体" w:cs="宋体"/>
          <w:sz w:val="10"/>
        </w:rPr>
        <w:t>、</w:t>
      </w:r>
      <w:r>
        <w:rPr>
          <w:rFonts w:hint="eastAsia" w:ascii="宋体" w:hAnsi="宋体" w:eastAsia="宋体" w:cs="宋体"/>
          <w:sz w:val="24"/>
        </w:rPr>
        <w:t>获取订单的方式主要是商业谈判</w:t>
      </w:r>
      <w:r>
        <w:rPr>
          <w:rFonts w:hint="eastAsia" w:ascii="宋体" w:hAnsi="宋体" w:eastAsia="宋体" w:cs="宋体"/>
          <w:sz w:val="10"/>
        </w:rPr>
        <w:t>，</w:t>
      </w:r>
      <w:r>
        <w:rPr>
          <w:rFonts w:hint="eastAsia" w:ascii="宋体" w:hAnsi="宋体" w:eastAsia="宋体" w:cs="宋体"/>
          <w:sz w:val="24"/>
        </w:rPr>
        <w:t>少部分是通过招投标方式</w:t>
      </w:r>
      <w:r>
        <w:rPr>
          <w:rFonts w:hint="eastAsia" w:ascii="宋体" w:hAnsi="宋体" w:eastAsia="宋体" w:cs="宋体"/>
          <w:sz w:val="10"/>
        </w:rPr>
        <w:t>。</w:t>
      </w:r>
      <w:r>
        <w:rPr>
          <w:rFonts w:hint="eastAsia" w:ascii="宋体" w:hAnsi="宋体" w:eastAsia="宋体" w:cs="宋体"/>
          <w:sz w:val="24"/>
        </w:rPr>
        <w:t>中信证券及其控股子公司会就每一笔交易与供应商进行商业谈判或履行招投标程序</w:t>
      </w:r>
      <w:r>
        <w:rPr>
          <w:rFonts w:hint="eastAsia" w:ascii="宋体" w:hAnsi="宋体" w:eastAsia="宋体" w:cs="宋体"/>
          <w:sz w:val="10"/>
        </w:rPr>
        <w:t>，</w:t>
      </w:r>
      <w:r>
        <w:rPr>
          <w:rFonts w:hint="eastAsia" w:ascii="宋体" w:hAnsi="宋体" w:eastAsia="宋体" w:cs="宋体"/>
          <w:sz w:val="24"/>
        </w:rPr>
        <w:t>综合考虑报价</w:t>
      </w:r>
      <w:r>
        <w:rPr>
          <w:rFonts w:hint="eastAsia" w:ascii="宋体" w:hAnsi="宋体" w:eastAsia="宋体" w:cs="宋体"/>
          <w:sz w:val="10"/>
        </w:rPr>
        <w:t>、</w:t>
      </w:r>
      <w:r>
        <w:rPr>
          <w:rFonts w:hint="eastAsia" w:ascii="宋体" w:hAnsi="宋体" w:eastAsia="宋体" w:cs="宋体"/>
          <w:sz w:val="24"/>
        </w:rPr>
        <w:t>业务实力等方面后</w:t>
      </w:r>
      <w:r>
        <w:rPr>
          <w:rFonts w:hint="eastAsia" w:ascii="宋体" w:hAnsi="宋体" w:eastAsia="宋体" w:cs="宋体"/>
          <w:sz w:val="10"/>
        </w:rPr>
        <w:t>，</w:t>
      </w:r>
      <w:r>
        <w:rPr>
          <w:rFonts w:hint="eastAsia" w:ascii="宋体" w:hAnsi="宋体" w:eastAsia="宋体" w:cs="宋体"/>
          <w:sz w:val="24"/>
        </w:rPr>
        <w:t>选定合作的供应商</w:t>
      </w:r>
      <w:r>
        <w:rPr>
          <w:rFonts w:hint="eastAsia" w:ascii="宋体" w:hAnsi="宋体" w:eastAsia="宋体" w:cs="宋体"/>
          <w:sz w:val="10"/>
        </w:rPr>
        <w:t>。</w:t>
      </w:r>
      <w:r>
        <w:rPr>
          <w:rFonts w:hint="eastAsia" w:ascii="宋体" w:hAnsi="宋体" w:eastAsia="宋体" w:cs="宋体"/>
          <w:sz w:val="24"/>
        </w:rPr>
        <w:t>公司与中信证券及其控股子公司开展业务均履行了相关的内部审批程序</w:t>
      </w:r>
      <w:r>
        <w:rPr>
          <w:rFonts w:hint="eastAsia" w:ascii="宋体" w:hAnsi="宋体" w:eastAsia="宋体" w:cs="宋体"/>
          <w:sz w:val="10"/>
        </w:rPr>
        <w:t>，</w:t>
      </w:r>
      <w:r>
        <w:rPr>
          <w:rFonts w:hint="eastAsia" w:ascii="宋体" w:hAnsi="宋体" w:eastAsia="宋体" w:cs="宋体"/>
          <w:sz w:val="24"/>
        </w:rPr>
        <w:t>不存在违反法律法规和《公司章程》的情形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40" w:firstLine="480"/>
        <w:jc w:val="both"/>
      </w:pPr>
      <w:r>
        <w:rPr>
          <w:rFonts w:hint="eastAsia" w:ascii="宋体" w:hAnsi="宋体" w:eastAsia="宋体" w:cs="宋体"/>
          <w:sz w:val="24"/>
        </w:rPr>
        <w:t>公司与中信证券及其控股子公司的关联交易主要是定制软件业务</w:t>
      </w:r>
      <w:r>
        <w:rPr>
          <w:rFonts w:hint="eastAsia" w:ascii="宋体" w:hAnsi="宋体" w:eastAsia="宋体" w:cs="宋体"/>
          <w:sz w:val="10"/>
        </w:rPr>
        <w:t>，</w:t>
      </w:r>
      <w:r>
        <w:rPr>
          <w:rFonts w:hint="eastAsia" w:ascii="宋体" w:hAnsi="宋体" w:eastAsia="宋体" w:cs="宋体"/>
          <w:sz w:val="24"/>
        </w:rPr>
        <w:t>定价方式与非关联交易相同</w:t>
      </w:r>
      <w:r>
        <w:rPr>
          <w:rFonts w:hint="eastAsia" w:ascii="宋体" w:hAnsi="宋体" w:eastAsia="宋体" w:cs="宋体"/>
          <w:sz w:val="10"/>
        </w:rPr>
        <w:t>，</w:t>
      </w:r>
      <w:r>
        <w:rPr>
          <w:rFonts w:hint="eastAsia" w:ascii="宋体" w:hAnsi="宋体" w:eastAsia="宋体" w:cs="宋体"/>
          <w:sz w:val="24"/>
        </w:rPr>
        <w:t>主要是根据项目规模大小</w:t>
      </w:r>
      <w:r>
        <w:rPr>
          <w:rFonts w:hint="eastAsia" w:ascii="宋体" w:hAnsi="宋体" w:eastAsia="宋体" w:cs="宋体"/>
          <w:sz w:val="10"/>
        </w:rPr>
        <w:t>、</w:t>
      </w:r>
      <w:r>
        <w:rPr>
          <w:rFonts w:hint="eastAsia" w:ascii="宋体" w:hAnsi="宋体" w:eastAsia="宋体" w:cs="宋体"/>
          <w:sz w:val="24"/>
        </w:rPr>
        <w:t>结合预期需要投入的人力成本</w:t>
      </w:r>
      <w:r>
        <w:rPr>
          <w:rFonts w:hint="eastAsia" w:ascii="宋体" w:hAnsi="宋体" w:eastAsia="宋体" w:cs="宋体"/>
          <w:sz w:val="10"/>
        </w:rPr>
        <w:t>，</w:t>
      </w:r>
      <w:r>
        <w:rPr>
          <w:rFonts w:hint="eastAsia" w:ascii="宋体" w:hAnsi="宋体" w:eastAsia="宋体" w:cs="宋体"/>
          <w:sz w:val="24"/>
        </w:rPr>
        <w:t>采取市场导向定价方式确定服务价格</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公司关联交易与定制软件总体毛利率的比较情况如下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856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660"/>
        <w:gridCol w:w="1960"/>
        <w:gridCol w:w="1960"/>
        <w:gridCol w:w="1960"/>
      </w:tblGrid>
      <w:tr>
        <w:trPr>
          <w:trHeight w:val="640" w:hRule="exact"/>
        </w:trPr>
        <w:tc>
          <w:tcPr>
            <w:tcW w:w="2660" w:type="dxa"/>
            <w:tcMar>
              <w:top w:w="0" w:type="dxa"/>
              <w:left w:w="0" w:type="dxa"/>
              <w:bottom w:w="0" w:type="dxa"/>
              <w:right w:w="0" w:type="dxa"/>
            </w:tcMar>
          </w:tcPr>
          <w:p/>
        </w:tc>
        <w:tc>
          <w:tcPr>
            <w:tcW w:w="1960" w:type="dxa"/>
            <w:tcMar>
              <w:top w:w="0" w:type="dxa"/>
              <w:left w:w="0" w:type="dxa"/>
              <w:bottom w:w="0" w:type="dxa"/>
              <w:right w:w="0" w:type="dxa"/>
            </w:tcMar>
          </w:tcPr>
          <w:p>
            <w:pPr>
              <w:spacing w:before="200"/>
              <w:ind w:left="6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tc>
        <w:tc>
          <w:tcPr>
            <w:tcW w:w="1960" w:type="dxa"/>
            <w:tcMar>
              <w:top w:w="0" w:type="dxa"/>
              <w:left w:w="0" w:type="dxa"/>
              <w:bottom w:w="0" w:type="dxa"/>
              <w:right w:w="0" w:type="dxa"/>
            </w:tcMar>
          </w:tcPr>
          <w:p>
            <w:pPr>
              <w:spacing w:before="200"/>
              <w:ind w:left="62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tc>
        <w:tc>
          <w:tcPr>
            <w:tcW w:w="1960" w:type="dxa"/>
            <w:tcMar>
              <w:top w:w="0" w:type="dxa"/>
              <w:left w:w="0" w:type="dxa"/>
              <w:bottom w:w="0" w:type="dxa"/>
              <w:right w:w="0" w:type="dxa"/>
            </w:tcMar>
          </w:tcPr>
          <w:p>
            <w:pPr>
              <w:spacing w:before="200"/>
              <w:ind w:left="62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tc>
      </w:tr>
      <w:tr>
        <w:trPr>
          <w:trHeight w:val="640" w:hRule="exact"/>
        </w:trPr>
        <w:tc>
          <w:tcPr>
            <w:tcW w:w="2660" w:type="dxa"/>
            <w:tcMar>
              <w:top w:w="0" w:type="dxa"/>
              <w:left w:w="0" w:type="dxa"/>
              <w:bottom w:w="0" w:type="dxa"/>
              <w:right w:w="0" w:type="dxa"/>
            </w:tcMar>
          </w:tcPr>
          <w:p>
            <w:pPr>
              <w:spacing w:before="180"/>
              <w:ind w:left="100"/>
            </w:pPr>
            <w:r>
              <w:rPr>
                <w:rFonts w:hint="eastAsia" w:ascii="宋体" w:hAnsi="宋体" w:eastAsia="宋体" w:cs="宋体"/>
                <w:sz w:val="21"/>
              </w:rPr>
              <w:t>与中信证券业务的毛利率</w:t>
            </w:r>
          </w:p>
        </w:tc>
        <w:tc>
          <w:tcPr>
            <w:tcW w:w="1960" w:type="dxa"/>
            <w:tcMar>
              <w:top w:w="0" w:type="dxa"/>
              <w:left w:w="0" w:type="dxa"/>
              <w:bottom w:w="0" w:type="dxa"/>
              <w:right w:w="0" w:type="dxa"/>
            </w:tcMar>
          </w:tcPr>
          <w:p>
            <w:pPr>
              <w:spacing w:before="220"/>
              <w:ind w:left="120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c>
          <w:tcPr>
            <w:tcW w:w="1960" w:type="dxa"/>
            <w:tcMar>
              <w:top w:w="0" w:type="dxa"/>
              <w:left w:w="0" w:type="dxa"/>
              <w:bottom w:w="0" w:type="dxa"/>
              <w:right w:w="0" w:type="dxa"/>
            </w:tcMar>
          </w:tcPr>
          <w:p>
            <w:pPr>
              <w:spacing w:before="220"/>
              <w:ind w:left="118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p>
        </w:tc>
        <w:tc>
          <w:tcPr>
            <w:tcW w:w="1960" w:type="dxa"/>
            <w:tcMar>
              <w:top w:w="0" w:type="dxa"/>
              <w:left w:w="0" w:type="dxa"/>
              <w:bottom w:w="0" w:type="dxa"/>
              <w:right w:w="0" w:type="dxa"/>
            </w:tcMar>
          </w:tcPr>
          <w:p>
            <w:pPr>
              <w:spacing w:before="220"/>
              <w:ind w:left="1180"/>
            </w:pP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r>
              <w:rPr>
                <w:rFonts w:hint="eastAsia" w:ascii="Times New Roman" w:hAnsi="Times New Roman" w:eastAsia="Times New Roman" w:cs="Times New Roman"/>
                <w:sz w:val="20"/>
              </w:rPr>
              <w:t>%</w:t>
            </w:r>
          </w:p>
        </w:tc>
      </w:tr>
      <w:tr>
        <w:trPr>
          <w:trHeight w:val="620" w:hRule="exact"/>
        </w:trPr>
        <w:tc>
          <w:tcPr>
            <w:tcW w:w="2660" w:type="dxa"/>
            <w:tcMar>
              <w:top w:w="0" w:type="dxa"/>
              <w:left w:w="0" w:type="dxa"/>
              <w:bottom w:w="0" w:type="dxa"/>
              <w:right w:w="0" w:type="dxa"/>
            </w:tcMar>
          </w:tcPr>
          <w:p>
            <w:pPr>
              <w:spacing w:before="200"/>
              <w:ind w:left="100"/>
            </w:pPr>
            <w:r>
              <w:rPr>
                <w:rFonts w:hint="eastAsia" w:ascii="宋体" w:hAnsi="宋体" w:eastAsia="宋体" w:cs="宋体"/>
                <w:sz w:val="21"/>
              </w:rPr>
              <w:t>定制软件总体毛利率</w:t>
            </w:r>
          </w:p>
        </w:tc>
        <w:tc>
          <w:tcPr>
            <w:tcW w:w="1960" w:type="dxa"/>
            <w:tcMar>
              <w:top w:w="0" w:type="dxa"/>
              <w:left w:w="0" w:type="dxa"/>
              <w:bottom w:w="0" w:type="dxa"/>
              <w:right w:w="0" w:type="dxa"/>
            </w:tcMar>
          </w:tcPr>
          <w:p>
            <w:pPr>
              <w:spacing w:before="240"/>
              <w:ind w:left="120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1960" w:type="dxa"/>
            <w:tcMar>
              <w:top w:w="0" w:type="dxa"/>
              <w:left w:w="0" w:type="dxa"/>
              <w:bottom w:w="0" w:type="dxa"/>
              <w:right w:w="0" w:type="dxa"/>
            </w:tcMar>
          </w:tcPr>
          <w:p>
            <w:pPr>
              <w:spacing w:before="240"/>
              <w:ind w:left="1180"/>
            </w:pP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c>
          <w:tcPr>
            <w:tcW w:w="1960" w:type="dxa"/>
            <w:tcMar>
              <w:top w:w="0" w:type="dxa"/>
              <w:left w:w="0" w:type="dxa"/>
              <w:bottom w:w="0" w:type="dxa"/>
              <w:right w:w="0" w:type="dxa"/>
            </w:tcMar>
          </w:tcPr>
          <w:p>
            <w:pPr>
              <w:spacing w:before="240"/>
              <w:ind w:left="1180"/>
            </w:pP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公司与中信证券及其控股子公司的关联交易主要是定制软件开发及销售</w:t>
      </w:r>
      <w:r>
        <w:rPr>
          <w:rFonts w:hint="eastAsia" w:ascii="宋体" w:hAnsi="宋体" w:eastAsia="宋体" w:cs="宋体"/>
          <w:sz w:val="10"/>
        </w:rPr>
        <w:t>，</w:t>
      </w:r>
      <w:r>
        <w:rPr>
          <w:rFonts w:hint="eastAsia" w:ascii="宋体" w:hAnsi="宋体" w:eastAsia="宋体" w:cs="宋体"/>
          <w:sz w:val="24"/>
        </w:rPr>
        <w:t>其毛利率略低于公司定制软件总体毛利率</w:t>
      </w:r>
      <w:r>
        <w:rPr>
          <w:rFonts w:hint="eastAsia" w:ascii="宋体" w:hAnsi="宋体" w:eastAsia="宋体" w:cs="宋体"/>
          <w:sz w:val="10"/>
        </w:rPr>
        <w:t>，</w:t>
      </w:r>
      <w:r>
        <w:rPr>
          <w:rFonts w:hint="eastAsia" w:ascii="宋体" w:hAnsi="宋体" w:eastAsia="宋体" w:cs="宋体"/>
          <w:sz w:val="24"/>
        </w:rPr>
        <w:t>主要是因为中信证券是业内著名券商</w:t>
      </w:r>
      <w:r>
        <w:rPr>
          <w:rFonts w:hint="eastAsia" w:ascii="宋体" w:hAnsi="宋体" w:eastAsia="宋体" w:cs="宋体"/>
          <w:sz w:val="10"/>
        </w:rPr>
        <w:t>，</w:t>
      </w:r>
      <w:r>
        <w:rPr>
          <w:rFonts w:hint="eastAsia" w:ascii="宋体" w:hAnsi="宋体" w:eastAsia="宋体" w:cs="宋体"/>
          <w:sz w:val="24"/>
        </w:rPr>
        <w:t>尽管毛利率较低</w:t>
      </w:r>
      <w:r>
        <w:rPr>
          <w:rFonts w:hint="eastAsia" w:ascii="宋体" w:hAnsi="宋体" w:eastAsia="宋体" w:cs="宋体"/>
          <w:sz w:val="10"/>
        </w:rPr>
        <w:t>，</w:t>
      </w:r>
      <w:r>
        <w:rPr>
          <w:rFonts w:hint="eastAsia" w:ascii="宋体" w:hAnsi="宋体" w:eastAsia="宋体" w:cs="宋体"/>
          <w:sz w:val="24"/>
        </w:rPr>
        <w:t>但是公司承接其项目具有良好的示范效应</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中信证券作为大型券商</w:t>
      </w:r>
      <w:r>
        <w:rPr>
          <w:rFonts w:hint="eastAsia" w:ascii="宋体" w:hAnsi="宋体" w:eastAsia="宋体" w:cs="宋体"/>
          <w:sz w:val="10"/>
        </w:rPr>
        <w:t>，</w:t>
      </w:r>
      <w:r>
        <w:rPr>
          <w:rFonts w:hint="eastAsia" w:ascii="宋体" w:hAnsi="宋体" w:eastAsia="宋体" w:cs="宋体"/>
          <w:sz w:val="24"/>
        </w:rPr>
        <w:t>在商业谈判</w:t>
      </w:r>
      <w:r>
        <w:rPr>
          <w:rFonts w:hint="eastAsia" w:ascii="宋体" w:hAnsi="宋体" w:eastAsia="宋体" w:cs="宋体"/>
          <w:sz w:val="10"/>
        </w:rPr>
        <w:t>、</w:t>
      </w:r>
      <w:r>
        <w:rPr>
          <w:rFonts w:hint="eastAsia" w:ascii="宋体" w:hAnsi="宋体" w:eastAsia="宋体" w:cs="宋体"/>
          <w:sz w:val="24"/>
        </w:rPr>
        <w:t>招投标时</w:t>
      </w:r>
      <w:r>
        <w:rPr>
          <w:rFonts w:hint="eastAsia" w:ascii="宋体" w:hAnsi="宋体" w:eastAsia="宋体" w:cs="宋体"/>
          <w:sz w:val="10"/>
        </w:rPr>
        <w:t>，</w:t>
      </w:r>
      <w:r>
        <w:rPr>
          <w:rFonts w:hint="eastAsia" w:ascii="宋体" w:hAnsi="宋体" w:eastAsia="宋体" w:cs="宋体"/>
          <w:sz w:val="24"/>
        </w:rPr>
        <w:t>有更多的供应商参与竞争</w:t>
      </w:r>
      <w:r>
        <w:rPr>
          <w:rFonts w:hint="eastAsia" w:ascii="宋体" w:hAnsi="宋体" w:eastAsia="宋体" w:cs="宋体"/>
          <w:sz w:val="10"/>
        </w:rPr>
        <w:t>，</w:t>
      </w:r>
      <w:r>
        <w:rPr>
          <w:rFonts w:hint="eastAsia" w:ascii="宋体" w:hAnsi="宋体" w:eastAsia="宋体" w:cs="宋体"/>
          <w:sz w:val="24"/>
        </w:rPr>
        <w:t>公司为争取客户</w:t>
      </w:r>
      <w:r>
        <w:rPr>
          <w:rFonts w:hint="eastAsia" w:ascii="宋体" w:hAnsi="宋体" w:eastAsia="宋体" w:cs="宋体"/>
          <w:sz w:val="10"/>
        </w:rPr>
        <w:t>，</w:t>
      </w:r>
      <w:r>
        <w:rPr>
          <w:rFonts w:hint="eastAsia" w:ascii="宋体" w:hAnsi="宋体" w:eastAsia="宋体" w:cs="宋体"/>
          <w:sz w:val="24"/>
        </w:rPr>
        <w:t>提供了更具竞争性的价格</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金石投资入股后</w:t>
      </w:r>
      <w:r>
        <w:rPr>
          <w:rFonts w:hint="eastAsia" w:ascii="宋体" w:hAnsi="宋体" w:eastAsia="宋体" w:cs="宋体"/>
          <w:sz w:val="10"/>
        </w:rPr>
        <w:t>，</w:t>
      </w:r>
      <w:r>
        <w:rPr>
          <w:rFonts w:hint="eastAsia" w:ascii="宋体" w:hAnsi="宋体" w:eastAsia="宋体" w:cs="宋体"/>
          <w:sz w:val="24"/>
        </w:rPr>
        <w:t>公司与中信证券及其控股子公司的交易毛利率略有下降</w:t>
      </w:r>
      <w:r>
        <w:rPr>
          <w:rFonts w:hint="eastAsia" w:ascii="宋体" w:hAnsi="宋体" w:eastAsia="宋体" w:cs="宋体"/>
          <w:sz w:val="10"/>
        </w:rPr>
        <w:t>，</w:t>
      </w:r>
      <w:r>
        <w:rPr>
          <w:rFonts w:hint="eastAsia" w:ascii="宋体" w:hAnsi="宋体" w:eastAsia="宋体" w:cs="宋体"/>
          <w:sz w:val="24"/>
        </w:rPr>
        <w:t>主要系交易以市场导向定价方式确定服务价格</w:t>
      </w:r>
      <w:r>
        <w:rPr>
          <w:rFonts w:hint="eastAsia" w:ascii="宋体" w:hAnsi="宋体" w:eastAsia="宋体" w:cs="宋体"/>
          <w:sz w:val="10"/>
        </w:rPr>
        <w:t>，</w:t>
      </w:r>
      <w:r>
        <w:rPr>
          <w:rFonts w:hint="eastAsia" w:ascii="宋体" w:hAnsi="宋体" w:eastAsia="宋体" w:cs="宋体"/>
          <w:sz w:val="24"/>
        </w:rPr>
        <w:t>与公司定制软件总体毛利率略有下降的波动趋势一致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宋体" w:hAnsi="宋体" w:eastAsia="宋体" w:cs="宋体"/>
          <w:sz w:val="24"/>
        </w:rPr>
        <w:t>综上</w:t>
      </w:r>
      <w:r>
        <w:rPr>
          <w:rFonts w:hint="eastAsia" w:ascii="宋体" w:hAnsi="宋体" w:eastAsia="宋体" w:cs="宋体"/>
          <w:sz w:val="10"/>
        </w:rPr>
        <w:t>，</w:t>
      </w:r>
      <w:r>
        <w:rPr>
          <w:rFonts w:hint="eastAsia" w:ascii="宋体" w:hAnsi="宋体" w:eastAsia="宋体" w:cs="宋体"/>
          <w:sz w:val="24"/>
        </w:rPr>
        <w:t>公司与中信证券及其控股子公司的关联交易均履行了商业谈判或招投标程</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1-1-183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40" w:lineRule="exact"/>
        <w:ind w:left="1440" w:right="1240"/>
        <w:jc w:val="both"/>
      </w:pPr>
      <w:r>
        <w:rPr>
          <w:rFonts w:hint="eastAsia" w:ascii="宋体" w:hAnsi="宋体" w:eastAsia="宋体" w:cs="宋体"/>
          <w:sz w:val="24"/>
        </w:rPr>
        <w:t>序</w:t>
      </w:r>
      <w:r>
        <w:rPr>
          <w:rFonts w:hint="eastAsia" w:ascii="宋体" w:hAnsi="宋体" w:eastAsia="宋体" w:cs="宋体"/>
          <w:sz w:val="10"/>
        </w:rPr>
        <w:t>，</w:t>
      </w:r>
      <w:r>
        <w:rPr>
          <w:rFonts w:hint="eastAsia" w:ascii="宋体" w:hAnsi="宋体" w:eastAsia="宋体" w:cs="宋体"/>
          <w:sz w:val="24"/>
        </w:rPr>
        <w:t>遵循定价的市场导向</w:t>
      </w:r>
      <w:r>
        <w:rPr>
          <w:rFonts w:hint="eastAsia" w:ascii="宋体" w:hAnsi="宋体" w:eastAsia="宋体" w:cs="宋体"/>
          <w:sz w:val="10"/>
        </w:rPr>
        <w:t>，</w:t>
      </w:r>
      <w:r>
        <w:rPr>
          <w:rFonts w:hint="eastAsia" w:ascii="宋体" w:hAnsi="宋体" w:eastAsia="宋体" w:cs="宋体"/>
          <w:sz w:val="24"/>
        </w:rPr>
        <w:t>根据项目规模大小</w:t>
      </w:r>
      <w:r>
        <w:rPr>
          <w:rFonts w:hint="eastAsia" w:ascii="宋体" w:hAnsi="宋体" w:eastAsia="宋体" w:cs="宋体"/>
          <w:sz w:val="10"/>
        </w:rPr>
        <w:t>、</w:t>
      </w:r>
      <w:r>
        <w:rPr>
          <w:rFonts w:hint="eastAsia" w:ascii="宋体" w:hAnsi="宋体" w:eastAsia="宋体" w:cs="宋体"/>
          <w:sz w:val="24"/>
        </w:rPr>
        <w:t>结合预期需要投入的人力成本</w:t>
      </w:r>
      <w:r>
        <w:rPr>
          <w:rFonts w:hint="eastAsia" w:ascii="宋体" w:hAnsi="宋体" w:eastAsia="宋体" w:cs="宋体"/>
          <w:sz w:val="10"/>
        </w:rPr>
        <w:t>，</w:t>
      </w:r>
      <w:r>
        <w:rPr>
          <w:rFonts w:hint="eastAsia" w:ascii="宋体" w:hAnsi="宋体" w:eastAsia="宋体" w:cs="宋体"/>
          <w:sz w:val="24"/>
        </w:rPr>
        <w:t>采取市场导向定价方式确定服务价格</w:t>
      </w:r>
      <w:r>
        <w:rPr>
          <w:rFonts w:hint="eastAsia" w:ascii="宋体" w:hAnsi="宋体" w:eastAsia="宋体" w:cs="宋体"/>
          <w:sz w:val="10"/>
        </w:rPr>
        <w:t>。</w:t>
      </w:r>
      <w:r>
        <w:rPr>
          <w:rFonts w:hint="eastAsia" w:ascii="宋体" w:hAnsi="宋体" w:eastAsia="宋体" w:cs="宋体"/>
          <w:sz w:val="24"/>
        </w:rPr>
        <w:t>与中信证券业务的毛利率略低于定制软件总体毛利率</w:t>
      </w:r>
      <w:r>
        <w:rPr>
          <w:rFonts w:hint="eastAsia" w:ascii="宋体" w:hAnsi="宋体" w:eastAsia="宋体" w:cs="宋体"/>
          <w:sz w:val="10"/>
        </w:rPr>
        <w:t>，</w:t>
      </w:r>
      <w:r>
        <w:rPr>
          <w:rFonts w:hint="eastAsia" w:ascii="宋体" w:hAnsi="宋体" w:eastAsia="宋体" w:cs="宋体"/>
          <w:sz w:val="24"/>
        </w:rPr>
        <w:t>没有明显差异</w:t>
      </w:r>
      <w:r>
        <w:rPr>
          <w:rFonts w:hint="eastAsia" w:ascii="宋体" w:hAnsi="宋体" w:eastAsia="宋体" w:cs="宋体"/>
          <w:sz w:val="10"/>
        </w:rPr>
        <w:t>。</w:t>
      </w:r>
      <w:r>
        <w:rPr>
          <w:rFonts w:hint="eastAsia" w:ascii="宋体" w:hAnsi="宋体" w:eastAsia="宋体" w:cs="宋体"/>
          <w:sz w:val="24"/>
        </w:rPr>
        <w:t>关联交易价格公允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公司经常性关联交易金额占比较小</w:t>
      </w:r>
      <w:r>
        <w:rPr>
          <w:rFonts w:hint="eastAsia" w:ascii="宋体" w:hAnsi="宋体" w:eastAsia="宋体" w:cs="宋体"/>
          <w:sz w:val="10"/>
        </w:rPr>
        <w:t>，</w:t>
      </w:r>
      <w:r>
        <w:rPr>
          <w:rFonts w:hint="eastAsia" w:ascii="宋体" w:hAnsi="宋体" w:eastAsia="宋体" w:cs="宋体"/>
          <w:sz w:val="24"/>
        </w:rPr>
        <w:t>对公司财务状况和经营成果的影响较小</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440"/>
        <w:jc w:val="both"/>
      </w:pPr>
      <w:r>
        <w:rPr>
          <w:rFonts w:hint="eastAsia" w:ascii="宋体" w:hAnsi="宋体" w:eastAsia="宋体" w:cs="宋体"/>
          <w:b/>
          <w:sz w:val="24"/>
        </w:rPr>
        <w:t>（三）偶发性关联交易</w:t>
      </w:r>
    </w:p>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公司未发生偶发性关联交易事项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440"/>
        <w:jc w:val="both"/>
      </w:pPr>
      <w:r>
        <w:rPr>
          <w:rFonts w:hint="eastAsia" w:ascii="宋体" w:hAnsi="宋体" w:eastAsia="宋体" w:cs="宋体"/>
          <w:b/>
          <w:sz w:val="24"/>
        </w:rPr>
        <w:t>（四）公司有关关联交易决策权力和程序的制度规定</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为了避免和消除可能出现的控股股东或其他股东利用对公司经营和财务决策的影响</w:t>
      </w:r>
      <w:r>
        <w:rPr>
          <w:rFonts w:hint="eastAsia" w:ascii="宋体" w:hAnsi="宋体" w:eastAsia="宋体" w:cs="宋体"/>
          <w:sz w:val="10"/>
        </w:rPr>
        <w:t>，</w:t>
      </w:r>
      <w:r>
        <w:rPr>
          <w:rFonts w:hint="eastAsia" w:ascii="宋体" w:hAnsi="宋体" w:eastAsia="宋体" w:cs="宋体"/>
          <w:sz w:val="24"/>
        </w:rPr>
        <w:t>在有关商业交易中有损害公司及其他股东利益的行为</w:t>
      </w:r>
      <w:r>
        <w:rPr>
          <w:rFonts w:hint="eastAsia" w:ascii="宋体" w:hAnsi="宋体" w:eastAsia="宋体" w:cs="宋体"/>
          <w:sz w:val="10"/>
        </w:rPr>
        <w:t>，</w:t>
      </w:r>
      <w:r>
        <w:rPr>
          <w:rFonts w:hint="eastAsia" w:ascii="宋体" w:hAnsi="宋体" w:eastAsia="宋体" w:cs="宋体"/>
          <w:sz w:val="24"/>
        </w:rPr>
        <w:t>本公司已在《公司章程》中对关联交易决策权力和程序</w:t>
      </w:r>
      <w:r>
        <w:rPr>
          <w:rFonts w:hint="eastAsia" w:ascii="宋体" w:hAnsi="宋体" w:eastAsia="宋体" w:cs="宋体"/>
          <w:sz w:val="10"/>
        </w:rPr>
        <w:t>、</w:t>
      </w:r>
      <w:r>
        <w:rPr>
          <w:rFonts w:hint="eastAsia" w:ascii="宋体" w:hAnsi="宋体" w:eastAsia="宋体" w:cs="宋体"/>
          <w:sz w:val="24"/>
        </w:rPr>
        <w:t>关联股东或利益冲突的董事在关联交易表决中的回避制度等作出了规定</w:t>
      </w:r>
      <w:r>
        <w:rPr>
          <w:rFonts w:hint="eastAsia" w:ascii="宋体" w:hAnsi="宋体" w:eastAsia="宋体" w:cs="宋体"/>
          <w:sz w:val="10"/>
        </w:rPr>
        <w:t>，</w:t>
      </w:r>
      <w:r>
        <w:rPr>
          <w:rFonts w:hint="eastAsia" w:ascii="宋体" w:hAnsi="宋体" w:eastAsia="宋体" w:cs="宋体"/>
          <w:sz w:val="24"/>
        </w:rPr>
        <w:t>主要包括</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《公司章程》第七十六条规定</w:t>
      </w:r>
      <w:r>
        <w:rPr>
          <w:rFonts w:hint="eastAsia" w:ascii="宋体" w:hAnsi="宋体" w:eastAsia="宋体" w:cs="宋体"/>
          <w:sz w:val="12"/>
        </w:rPr>
        <w:t>：</w:t>
      </w:r>
      <w:r>
        <w:rPr>
          <w:rFonts w:hint="eastAsia" w:ascii="宋体" w:hAnsi="宋体" w:eastAsia="宋体" w:cs="宋体"/>
          <w:sz w:val="24"/>
        </w:rPr>
        <w:t>股东大会审议有关关联交易事项时</w:t>
      </w:r>
      <w:r>
        <w:rPr>
          <w:rFonts w:hint="eastAsia" w:ascii="宋体" w:hAnsi="宋体" w:eastAsia="宋体" w:cs="宋体"/>
          <w:sz w:val="10"/>
        </w:rPr>
        <w:t>，</w:t>
      </w:r>
      <w:r>
        <w:rPr>
          <w:rFonts w:hint="eastAsia" w:ascii="宋体" w:hAnsi="宋体" w:eastAsia="宋体" w:cs="宋体"/>
          <w:sz w:val="24"/>
        </w:rPr>
        <w:t>关联股东不应当参与投票表决</w:t>
      </w:r>
      <w:r>
        <w:rPr>
          <w:rFonts w:hint="eastAsia" w:ascii="宋体" w:hAnsi="宋体" w:eastAsia="宋体" w:cs="宋体"/>
          <w:sz w:val="10"/>
        </w:rPr>
        <w:t>，</w:t>
      </w:r>
      <w:r>
        <w:rPr>
          <w:rFonts w:hint="eastAsia" w:ascii="宋体" w:hAnsi="宋体" w:eastAsia="宋体" w:cs="宋体"/>
          <w:sz w:val="24"/>
        </w:rPr>
        <w:t>其所代表的有表决权的股份数不计入有效表决总数</w:t>
      </w:r>
      <w:r>
        <w:rPr>
          <w:rFonts w:hint="eastAsia" w:ascii="宋体" w:hAnsi="宋体" w:eastAsia="宋体" w:cs="宋体"/>
          <w:sz w:val="12"/>
        </w:rPr>
        <w:t>；</w:t>
      </w:r>
      <w:r>
        <w:rPr>
          <w:rFonts w:hint="eastAsia" w:ascii="宋体" w:hAnsi="宋体" w:eastAsia="宋体" w:cs="宋体"/>
          <w:sz w:val="24"/>
        </w:rPr>
        <w:t>股东大会决议的公告应当充分披露非关联股东的表决情况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在股东大会召开时</w:t>
      </w:r>
      <w:r>
        <w:rPr>
          <w:rFonts w:hint="eastAsia" w:ascii="宋体" w:hAnsi="宋体" w:eastAsia="宋体" w:cs="宋体"/>
          <w:sz w:val="10"/>
        </w:rPr>
        <w:t>，</w:t>
      </w:r>
      <w:r>
        <w:rPr>
          <w:rFonts w:hint="eastAsia" w:ascii="宋体" w:hAnsi="宋体" w:eastAsia="宋体" w:cs="宋体"/>
          <w:sz w:val="24"/>
        </w:rPr>
        <w:t>关联股东应主动提出回避申请</w:t>
      </w:r>
      <w:r>
        <w:rPr>
          <w:rFonts w:hint="eastAsia" w:ascii="宋体" w:hAnsi="宋体" w:eastAsia="宋体" w:cs="宋体"/>
          <w:sz w:val="10"/>
        </w:rPr>
        <w:t>，</w:t>
      </w:r>
      <w:r>
        <w:rPr>
          <w:rFonts w:hint="eastAsia" w:ascii="宋体" w:hAnsi="宋体" w:eastAsia="宋体" w:cs="宋体"/>
          <w:sz w:val="24"/>
        </w:rPr>
        <w:t>其他股东也有权向召集人提出该股东回避</w:t>
      </w:r>
      <w:r>
        <w:rPr>
          <w:rFonts w:hint="eastAsia" w:ascii="宋体" w:hAnsi="宋体" w:eastAsia="宋体" w:cs="宋体"/>
          <w:sz w:val="10"/>
        </w:rPr>
        <w:t>。</w:t>
      </w:r>
      <w:r>
        <w:rPr>
          <w:rFonts w:hint="eastAsia" w:ascii="宋体" w:hAnsi="宋体" w:eastAsia="宋体" w:cs="宋体"/>
          <w:sz w:val="24"/>
        </w:rPr>
        <w:t>召集人应依据有关规定审查该股东是否属关联股东</w:t>
      </w:r>
      <w:r>
        <w:rPr>
          <w:rFonts w:hint="eastAsia" w:ascii="宋体" w:hAnsi="宋体" w:eastAsia="宋体" w:cs="宋体"/>
          <w:sz w:val="10"/>
        </w:rPr>
        <w:t>，</w:t>
      </w:r>
      <w:r>
        <w:rPr>
          <w:rFonts w:hint="eastAsia" w:ascii="宋体" w:hAnsi="宋体" w:eastAsia="宋体" w:cs="宋体"/>
          <w:sz w:val="24"/>
        </w:rPr>
        <w:t>并有权决定该股东是否回避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应予回避的关联股东可以参加审议涉及自己的关联交易</w:t>
      </w:r>
      <w:r>
        <w:rPr>
          <w:rFonts w:hint="eastAsia" w:ascii="宋体" w:hAnsi="宋体" w:eastAsia="宋体" w:cs="宋体"/>
          <w:sz w:val="10"/>
        </w:rPr>
        <w:t>，</w:t>
      </w:r>
      <w:r>
        <w:rPr>
          <w:rFonts w:hint="eastAsia" w:ascii="宋体" w:hAnsi="宋体" w:eastAsia="宋体" w:cs="宋体"/>
          <w:sz w:val="24"/>
        </w:rPr>
        <w:t>并可就该关联交易是否公平</w:t>
      </w:r>
      <w:r>
        <w:rPr>
          <w:rFonts w:hint="eastAsia" w:ascii="宋体" w:hAnsi="宋体" w:eastAsia="宋体" w:cs="宋体"/>
          <w:sz w:val="10"/>
        </w:rPr>
        <w:t>、</w:t>
      </w:r>
      <w:r>
        <w:rPr>
          <w:rFonts w:hint="eastAsia" w:ascii="宋体" w:hAnsi="宋体" w:eastAsia="宋体" w:cs="宋体"/>
          <w:sz w:val="24"/>
        </w:rPr>
        <w:t>合法及产生的原因等向股东大会作出解释和说明</w:t>
      </w:r>
      <w:r>
        <w:rPr>
          <w:rFonts w:hint="eastAsia" w:ascii="宋体" w:hAnsi="宋体" w:eastAsia="宋体" w:cs="宋体"/>
          <w:sz w:val="10"/>
        </w:rPr>
        <w:t>，</w:t>
      </w:r>
      <w:r>
        <w:rPr>
          <w:rFonts w:hint="eastAsia" w:ascii="宋体" w:hAnsi="宋体" w:eastAsia="宋体" w:cs="宋体"/>
          <w:sz w:val="24"/>
        </w:rPr>
        <w:t>但该股东无权就该事项参与表决</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《公司章程》第一百零六条规定</w:t>
      </w:r>
      <w:r>
        <w:rPr>
          <w:rFonts w:hint="eastAsia" w:ascii="宋体" w:hAnsi="宋体" w:eastAsia="宋体" w:cs="宋体"/>
          <w:sz w:val="12"/>
        </w:rPr>
        <w:t>：</w:t>
      </w:r>
      <w:r>
        <w:rPr>
          <w:rFonts w:hint="eastAsia" w:ascii="宋体" w:hAnsi="宋体" w:eastAsia="宋体" w:cs="宋体"/>
          <w:sz w:val="24"/>
        </w:rPr>
        <w:t>董事会应当确定对外投资</w:t>
      </w:r>
      <w:r>
        <w:rPr>
          <w:rFonts w:hint="eastAsia" w:ascii="宋体" w:hAnsi="宋体" w:eastAsia="宋体" w:cs="宋体"/>
          <w:sz w:val="10"/>
        </w:rPr>
        <w:t>、</w:t>
      </w:r>
      <w:r>
        <w:rPr>
          <w:rFonts w:hint="eastAsia" w:ascii="宋体" w:hAnsi="宋体" w:eastAsia="宋体" w:cs="宋体"/>
          <w:sz w:val="24"/>
        </w:rPr>
        <w:t>收购出售资产</w:t>
      </w:r>
      <w:r>
        <w:rPr>
          <w:rFonts w:hint="eastAsia" w:ascii="宋体" w:hAnsi="宋体" w:eastAsia="宋体" w:cs="宋体"/>
          <w:sz w:val="10"/>
        </w:rPr>
        <w:t>、</w:t>
      </w:r>
      <w:r>
        <w:rPr>
          <w:rFonts w:hint="eastAsia" w:ascii="宋体" w:hAnsi="宋体" w:eastAsia="宋体" w:cs="宋体"/>
          <w:sz w:val="24"/>
        </w:rPr>
        <w:t>资产抵押</w:t>
      </w:r>
      <w:r>
        <w:rPr>
          <w:rFonts w:hint="eastAsia" w:ascii="宋体" w:hAnsi="宋体" w:eastAsia="宋体" w:cs="宋体"/>
          <w:sz w:val="10"/>
        </w:rPr>
        <w:t>、</w:t>
      </w:r>
      <w:r>
        <w:rPr>
          <w:rFonts w:hint="eastAsia" w:ascii="宋体" w:hAnsi="宋体" w:eastAsia="宋体" w:cs="宋体"/>
          <w:sz w:val="24"/>
        </w:rPr>
        <w:t>对外担保</w:t>
      </w:r>
      <w:r>
        <w:rPr>
          <w:rFonts w:hint="eastAsia" w:ascii="宋体" w:hAnsi="宋体" w:eastAsia="宋体" w:cs="宋体"/>
          <w:sz w:val="10"/>
        </w:rPr>
        <w:t>、</w:t>
      </w:r>
      <w:r>
        <w:rPr>
          <w:rFonts w:hint="eastAsia" w:ascii="宋体" w:hAnsi="宋体" w:eastAsia="宋体" w:cs="宋体"/>
          <w:sz w:val="24"/>
        </w:rPr>
        <w:t>委托理财</w:t>
      </w:r>
      <w:r>
        <w:rPr>
          <w:rFonts w:hint="eastAsia" w:ascii="宋体" w:hAnsi="宋体" w:eastAsia="宋体" w:cs="宋体"/>
          <w:sz w:val="10"/>
        </w:rPr>
        <w:t>、</w:t>
      </w:r>
      <w:r>
        <w:rPr>
          <w:rFonts w:hint="eastAsia" w:ascii="宋体" w:hAnsi="宋体" w:eastAsia="宋体" w:cs="宋体"/>
          <w:sz w:val="24"/>
        </w:rPr>
        <w:t>关联交易的权限</w:t>
      </w:r>
      <w:r>
        <w:rPr>
          <w:rFonts w:hint="eastAsia" w:ascii="宋体" w:hAnsi="宋体" w:eastAsia="宋体" w:cs="宋体"/>
          <w:sz w:val="10"/>
        </w:rPr>
        <w:t>，</w:t>
      </w:r>
      <w:r>
        <w:rPr>
          <w:rFonts w:hint="eastAsia" w:ascii="宋体" w:hAnsi="宋体" w:eastAsia="宋体" w:cs="宋体"/>
          <w:sz w:val="24"/>
        </w:rPr>
        <w:t>建立严格的审查和决策程序</w:t>
      </w:r>
      <w:r>
        <w:rPr>
          <w:rFonts w:hint="eastAsia" w:ascii="宋体" w:hAnsi="宋体" w:eastAsia="宋体" w:cs="宋体"/>
          <w:sz w:val="12"/>
        </w:rPr>
        <w:t>；</w:t>
      </w:r>
      <w:r>
        <w:rPr>
          <w:rFonts w:hint="eastAsia" w:ascii="宋体" w:hAnsi="宋体" w:eastAsia="宋体" w:cs="宋体"/>
          <w:sz w:val="24"/>
        </w:rPr>
        <w:t>重大投资项目应当组织有关专家</w:t>
      </w:r>
      <w:r>
        <w:rPr>
          <w:rFonts w:hint="eastAsia" w:ascii="宋体" w:hAnsi="宋体" w:eastAsia="宋体" w:cs="宋体"/>
          <w:sz w:val="10"/>
        </w:rPr>
        <w:t>、</w:t>
      </w:r>
      <w:r>
        <w:rPr>
          <w:rFonts w:hint="eastAsia" w:ascii="宋体" w:hAnsi="宋体" w:eastAsia="宋体" w:cs="宋体"/>
          <w:sz w:val="24"/>
        </w:rPr>
        <w:t>专业人员进行评审</w:t>
      </w:r>
      <w:r>
        <w:rPr>
          <w:rFonts w:hint="eastAsia" w:ascii="宋体" w:hAnsi="宋体" w:eastAsia="宋体" w:cs="宋体"/>
          <w:sz w:val="10"/>
        </w:rPr>
        <w:t>，</w:t>
      </w:r>
      <w:r>
        <w:rPr>
          <w:rFonts w:hint="eastAsia" w:ascii="宋体" w:hAnsi="宋体" w:eastAsia="宋体" w:cs="宋体"/>
          <w:sz w:val="24"/>
        </w:rPr>
        <w:t>并报股东大会批准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董事会审议交易的具体权限参见</w:t>
      </w:r>
      <w:r>
        <w:rPr>
          <w:rFonts w:hint="eastAsia" w:ascii="宋体" w:hAnsi="宋体" w:eastAsia="宋体" w:cs="宋体"/>
          <w:sz w:val="10"/>
        </w:rPr>
        <w:t>“</w:t>
      </w:r>
      <w:r>
        <w:rPr>
          <w:rFonts w:hint="eastAsia" w:ascii="宋体" w:hAnsi="宋体" w:eastAsia="宋体" w:cs="宋体"/>
          <w:sz w:val="24"/>
        </w:rPr>
        <w:t>第九节</w:t>
      </w:r>
      <w:r>
        <w:rPr>
          <w:rFonts w:hint="eastAsia" w:ascii="Times New Roman" w:hAnsi="Times New Roman" w:eastAsia="Times New Roman" w:cs="Times New Roman"/>
          <w:sz w:val="24"/>
        </w:rPr>
        <w:t xml:space="preserve"> </w:t>
      </w:r>
      <w:r>
        <w:rPr>
          <w:rFonts w:hint="eastAsia" w:ascii="宋体" w:hAnsi="宋体" w:eastAsia="宋体" w:cs="宋体"/>
          <w:sz w:val="24"/>
        </w:rPr>
        <w:t>公司治理</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“（二）</w:t>
      </w:r>
      <w:r>
        <w:rPr>
          <w:rFonts w:hint="eastAsia" w:ascii="宋体" w:hAnsi="宋体" w:eastAsia="宋体" w:cs="宋体"/>
          <w:sz w:val="24"/>
        </w:rPr>
        <w:t>董事会制度建立及运行情况</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董事会职权</w:t>
      </w:r>
      <w:r>
        <w:rPr>
          <w:rFonts w:hint="eastAsia" w:ascii="宋体" w:hAnsi="宋体" w:eastAsia="宋体" w:cs="宋体"/>
          <w:sz w:val="10"/>
        </w:rPr>
        <w:t>”。《</w:t>
      </w:r>
      <w:r>
        <w:rPr>
          <w:rFonts w:hint="eastAsia" w:ascii="宋体" w:hAnsi="宋体" w:eastAsia="宋体" w:cs="宋体"/>
          <w:sz w:val="24"/>
        </w:rPr>
        <w:t>公司章程》第一百一十五条规定</w:t>
      </w:r>
      <w:r>
        <w:rPr>
          <w:rFonts w:hint="eastAsia" w:ascii="宋体" w:hAnsi="宋体" w:eastAsia="宋体" w:cs="宋体"/>
          <w:sz w:val="10"/>
        </w:rPr>
        <w:t>：</w:t>
      </w:r>
      <w:r>
        <w:rPr>
          <w:rFonts w:hint="eastAsia" w:ascii="宋体" w:hAnsi="宋体" w:eastAsia="宋体" w:cs="宋体"/>
          <w:sz w:val="24"/>
        </w:rPr>
        <w:t>董事与董事会会议决议事项所涉及的企业有关联关系的</w:t>
      </w:r>
      <w:r>
        <w:rPr>
          <w:rFonts w:hint="eastAsia" w:ascii="宋体" w:hAnsi="宋体" w:eastAsia="宋体" w:cs="宋体"/>
          <w:sz w:val="10"/>
        </w:rPr>
        <w:t>，</w:t>
      </w:r>
      <w:r>
        <w:rPr>
          <w:rFonts w:hint="eastAsia" w:ascii="宋体" w:hAnsi="宋体" w:eastAsia="宋体" w:cs="宋体"/>
          <w:sz w:val="24"/>
        </w:rPr>
        <w:t>不得对该项决议行使表决权</w:t>
      </w:r>
      <w:r>
        <w:rPr>
          <w:rFonts w:hint="eastAsia" w:ascii="宋体" w:hAnsi="宋体" w:eastAsia="宋体" w:cs="宋体"/>
          <w:sz w:val="10"/>
        </w:rPr>
        <w:t>，</w:t>
      </w:r>
      <w:r>
        <w:rPr>
          <w:rFonts w:hint="eastAsia" w:ascii="宋体" w:hAnsi="宋体" w:eastAsia="宋体" w:cs="宋体"/>
          <w:sz w:val="24"/>
        </w:rPr>
        <w:t>也不得代理其</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1-1-184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3072" behindDoc="false" locked="false" layoutInCell="true" allowOverlap="true">
                <wp:simplePos x="0" y="0"/>
                <wp:positionH relativeFrom="page">
                  <wp:posOffset>850900</wp:posOffset>
                </wp:positionH>
                <wp:positionV relativeFrom="page">
                  <wp:posOffset>2933700</wp:posOffset>
                </wp:positionV>
                <wp:extent cx="584200" cy="215900"/>
                <wp:effectExtent l="0" t="0" r="22225" b="31115"/>
                <wp:wrapNone/>
                <wp:docPr id="10000" name="shape10000"/>
                <wp:cNvGraphicFramePr/>
                <a:graphic>
                  <a:graphicData uri="http://schemas.microsoft.com/office/word/2010/wordprocessingShape">
                    <wps:wsp>
                      <wps:cNvSpPr/>
                      <wps:spPr>
                        <a:xfrm>
                          <a:off x="0" y="0"/>
                          <a:ext cx="584200" cy="215900"/>
                        </a:xfrm>
                        <a:prstGeom prst="rect">
                          <a:avLst/>
                        </a:prstGeom>
                      </wps:spPr>
                      <wps:txbx>
                        <w:txbxContent>
                          <w:p>
                            <w:pPr>
                              <w:spacing w:line="-240" w:lineRule="exact"/>
                              <w:ind w:left="0"/>
                              <w:jc w:val="both"/>
                            </w:pPr>
                            <w:r>
                              <w:rPr>
                                <w:rFonts w:hint="eastAsia" w:ascii="宋体" w:hAnsi="宋体" w:eastAsia="宋体" w:cs="宋体"/>
                                <w:sz w:val="24"/>
                              </w:rPr>
                              <w:t>议</w:t>
                            </w:r>
                            <w:r>
                              <w:rPr>
                                <w:rFonts w:hint="eastAsia" w:ascii="宋体" w:hAnsi="宋体" w:eastAsia="宋体" w:cs="宋体"/>
                                <w:sz w:val="10"/>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6pt;height:17pt;margin-left:67pt;margin-top:231pt;mso-wrap-style:none;z-index:10253072;mso-wrap-distance-left:9pt;mso-wrap-distance-top:0pt;mso-wrap-distance-right:9pt;mso-wrap-distance-bottom:0pt" id="shape10000" o:spid="1618382360138" stroked="f">
                <v:textbox>
                  <w:txbxContent>
                    <w:p>
                      <w:pPr>
                        <w:spacing w:line="-240" w:lineRule="exact"/>
                        <w:ind w:left="0"/>
                        <w:jc w:val="both"/>
                      </w:pPr>
                      <w:r>
                        <w:rPr>
                          <w:rFonts w:hint="eastAsia" w:ascii="宋体" w:hAnsi="宋体" w:eastAsia="宋体" w:cs="宋体"/>
                          <w:sz w:val="24"/>
                        </w:rPr>
                        <w:t>议</w:t>
                      </w:r>
                      <w:r>
                        <w:rPr>
                          <w:rFonts w:hint="eastAsia" w:ascii="宋体" w:hAnsi="宋体" w:eastAsia="宋体" w:cs="宋体"/>
                          <w:sz w:val="10"/>
                        </w:rPr>
                        <w:t>。</w:t>
                      </w:r>
                    </w:p>
                  </w:txbxContent>
                </v:textbox>
              </v:rect>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他董事行使表决权</w:t>
      </w:r>
      <w:r>
        <w:rPr>
          <w:rFonts w:hint="eastAsia" w:ascii="宋体" w:hAnsi="宋体" w:eastAsia="宋体" w:cs="宋体"/>
          <w:sz w:val="10"/>
        </w:rPr>
        <w:t>。</w:t>
      </w:r>
      <w:r>
        <w:rPr>
          <w:rFonts w:hint="eastAsia" w:ascii="宋体" w:hAnsi="宋体" w:eastAsia="宋体" w:cs="宋体"/>
          <w:sz w:val="24"/>
        </w:rPr>
        <w:t>该董事会会议由过半数的无关联关系董事出席即可举行</w:t>
      </w:r>
      <w:r>
        <w:rPr>
          <w:rFonts w:hint="eastAsia" w:ascii="宋体" w:hAnsi="宋体" w:eastAsia="宋体" w:cs="宋体"/>
          <w:sz w:val="10"/>
        </w:rPr>
        <w:t>，</w:t>
      </w:r>
      <w:r>
        <w:rPr>
          <w:rFonts w:hint="eastAsia" w:ascii="宋体" w:hAnsi="宋体" w:eastAsia="宋体" w:cs="宋体"/>
          <w:sz w:val="24"/>
        </w:rPr>
        <w:t>董事会会议所作决议须经无关联关系董事过半数通过</w:t>
      </w:r>
      <w:r>
        <w:rPr>
          <w:rFonts w:hint="eastAsia" w:ascii="宋体" w:hAnsi="宋体" w:eastAsia="宋体" w:cs="宋体"/>
          <w:sz w:val="10"/>
        </w:rPr>
        <w:t>。</w:t>
      </w:r>
      <w:r>
        <w:rPr>
          <w:rFonts w:hint="eastAsia" w:ascii="宋体" w:hAnsi="宋体" w:eastAsia="宋体" w:cs="宋体"/>
          <w:sz w:val="24"/>
        </w:rPr>
        <w:t>出席董事会的无关联董事人数不足</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人的</w:t>
      </w:r>
      <w:r>
        <w:rPr>
          <w:rFonts w:hint="eastAsia" w:ascii="宋体" w:hAnsi="宋体" w:eastAsia="宋体" w:cs="宋体"/>
          <w:sz w:val="10"/>
        </w:rPr>
        <w:t>，</w:t>
      </w:r>
      <w:r>
        <w:rPr>
          <w:rFonts w:hint="eastAsia" w:ascii="宋体" w:hAnsi="宋体" w:eastAsia="宋体" w:cs="宋体"/>
          <w:sz w:val="24"/>
        </w:rPr>
        <w:t>应当将该事项提交股东大会审议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本公司制定了《关联交易管理制度》，</w:t>
      </w:r>
      <w:r>
        <w:rPr>
          <w:rFonts w:hint="eastAsia" w:ascii="宋体" w:hAnsi="宋体" w:eastAsia="宋体" w:cs="宋体"/>
          <w:sz w:val="24"/>
        </w:rPr>
        <w:t>对公司关联交易的决策权限</w:t>
      </w:r>
      <w:r>
        <w:rPr>
          <w:rFonts w:hint="eastAsia" w:ascii="宋体" w:hAnsi="宋体" w:eastAsia="宋体" w:cs="宋体"/>
          <w:sz w:val="10"/>
        </w:rPr>
        <w:t>、</w:t>
      </w:r>
      <w:r>
        <w:rPr>
          <w:rFonts w:hint="eastAsia" w:ascii="宋体" w:hAnsi="宋体" w:eastAsia="宋体" w:cs="宋体"/>
          <w:sz w:val="24"/>
        </w:rPr>
        <w:t>决策程序</w:t>
      </w:r>
      <w:r>
        <w:rPr>
          <w:rFonts w:hint="eastAsia" w:ascii="宋体" w:hAnsi="宋体" w:eastAsia="宋体" w:cs="宋体"/>
          <w:sz w:val="10"/>
        </w:rPr>
        <w:t>、</w:t>
      </w:r>
      <w:r>
        <w:rPr>
          <w:rFonts w:hint="eastAsia" w:ascii="宋体" w:hAnsi="宋体" w:eastAsia="宋体" w:cs="宋体"/>
          <w:sz w:val="24"/>
        </w:rPr>
        <w:t>回避制度等作出了进一步的细化规定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公司按照《公司章程》及相关制度的规定</w:t>
      </w:r>
      <w:r>
        <w:rPr>
          <w:rFonts w:hint="eastAsia" w:ascii="宋体" w:hAnsi="宋体" w:eastAsia="宋体" w:cs="宋体"/>
          <w:sz w:val="10"/>
        </w:rPr>
        <w:t>，</w:t>
      </w:r>
      <w:r>
        <w:rPr>
          <w:rFonts w:hint="eastAsia" w:ascii="宋体" w:hAnsi="宋体" w:eastAsia="宋体" w:cs="宋体"/>
          <w:sz w:val="24"/>
        </w:rPr>
        <w:t>对发生的关联交易进行了审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440"/>
        <w:jc w:val="both"/>
      </w:pPr>
      <w:r>
        <w:rPr>
          <w:rFonts w:hint="eastAsia" w:ascii="宋体" w:hAnsi="宋体" w:eastAsia="宋体" w:cs="宋体"/>
          <w:b/>
          <w:sz w:val="24"/>
        </w:rPr>
        <w:t>（五）减少关联交易的措施</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公司在资产</w:t>
      </w:r>
      <w:r>
        <w:rPr>
          <w:rFonts w:hint="eastAsia" w:ascii="宋体" w:hAnsi="宋体" w:eastAsia="宋体" w:cs="宋体"/>
          <w:sz w:val="10"/>
        </w:rPr>
        <w:t>、</w:t>
      </w:r>
      <w:r>
        <w:rPr>
          <w:rFonts w:hint="eastAsia" w:ascii="宋体" w:hAnsi="宋体" w:eastAsia="宋体" w:cs="宋体"/>
          <w:sz w:val="24"/>
        </w:rPr>
        <w:t>业务</w:t>
      </w:r>
      <w:r>
        <w:rPr>
          <w:rFonts w:hint="eastAsia" w:ascii="宋体" w:hAnsi="宋体" w:eastAsia="宋体" w:cs="宋体"/>
          <w:sz w:val="10"/>
        </w:rPr>
        <w:t>、</w:t>
      </w:r>
      <w:r>
        <w:rPr>
          <w:rFonts w:hint="eastAsia" w:ascii="宋体" w:hAnsi="宋体" w:eastAsia="宋体" w:cs="宋体"/>
          <w:sz w:val="24"/>
        </w:rPr>
        <w:t>人员</w:t>
      </w:r>
      <w:r>
        <w:rPr>
          <w:rFonts w:hint="eastAsia" w:ascii="宋体" w:hAnsi="宋体" w:eastAsia="宋体" w:cs="宋体"/>
          <w:sz w:val="10"/>
        </w:rPr>
        <w:t>、</w:t>
      </w:r>
      <w:r>
        <w:rPr>
          <w:rFonts w:hint="eastAsia" w:ascii="宋体" w:hAnsi="宋体" w:eastAsia="宋体" w:cs="宋体"/>
          <w:sz w:val="24"/>
        </w:rPr>
        <w:t>机构</w:t>
      </w:r>
      <w:r>
        <w:rPr>
          <w:rFonts w:hint="eastAsia" w:ascii="宋体" w:hAnsi="宋体" w:eastAsia="宋体" w:cs="宋体"/>
          <w:sz w:val="10"/>
        </w:rPr>
        <w:t>、</w:t>
      </w:r>
      <w:r>
        <w:rPr>
          <w:rFonts w:hint="eastAsia" w:ascii="宋体" w:hAnsi="宋体" w:eastAsia="宋体" w:cs="宋体"/>
          <w:sz w:val="24"/>
        </w:rPr>
        <w:t>财务等方面均独立于各关联方</w:t>
      </w:r>
      <w:r>
        <w:rPr>
          <w:rFonts w:hint="eastAsia" w:ascii="宋体" w:hAnsi="宋体" w:eastAsia="宋体" w:cs="宋体"/>
          <w:sz w:val="10"/>
        </w:rPr>
        <w:t>，</w:t>
      </w:r>
      <w:r>
        <w:rPr>
          <w:rFonts w:hint="eastAsia" w:ascii="宋体" w:hAnsi="宋体" w:eastAsia="宋体" w:cs="宋体"/>
          <w:sz w:val="24"/>
        </w:rPr>
        <w:t>具备面向市场的独立经营能力</w:t>
      </w:r>
      <w:r>
        <w:rPr>
          <w:rFonts w:hint="eastAsia" w:ascii="宋体" w:hAnsi="宋体" w:eastAsia="宋体" w:cs="宋体"/>
          <w:sz w:val="10"/>
        </w:rPr>
        <w:t>。</w:t>
      </w:r>
      <w:r>
        <w:rPr>
          <w:rFonts w:hint="eastAsia" w:ascii="宋体" w:hAnsi="宋体" w:eastAsia="宋体" w:cs="宋体"/>
          <w:sz w:val="24"/>
        </w:rPr>
        <w:t>除与中信证券及其控股子公司发生的关联交易外</w:t>
      </w:r>
      <w:r>
        <w:rPr>
          <w:rFonts w:hint="eastAsia" w:ascii="宋体" w:hAnsi="宋体" w:eastAsia="宋体" w:cs="宋体"/>
          <w:sz w:val="10"/>
        </w:rPr>
        <w:t>，</w:t>
      </w:r>
      <w:r>
        <w:rPr>
          <w:rFonts w:hint="eastAsia" w:ascii="宋体" w:hAnsi="宋体" w:eastAsia="宋体" w:cs="宋体"/>
          <w:sz w:val="24"/>
        </w:rPr>
        <w:t>报告期内公司与关联方未发生交易</w:t>
      </w:r>
      <w:r>
        <w:rPr>
          <w:rFonts w:hint="eastAsia" w:ascii="宋体" w:hAnsi="宋体" w:eastAsia="宋体" w:cs="宋体"/>
          <w:sz w:val="10"/>
        </w:rPr>
        <w:t>，</w:t>
      </w:r>
      <w:r>
        <w:rPr>
          <w:rFonts w:hint="eastAsia" w:ascii="宋体" w:hAnsi="宋体" w:eastAsia="宋体" w:cs="宋体"/>
          <w:sz w:val="24"/>
        </w:rPr>
        <w:t>对公司的经营未产生影响</w:t>
      </w:r>
      <w:r>
        <w:rPr>
          <w:rFonts w:hint="eastAsia" w:ascii="宋体" w:hAnsi="宋体" w:eastAsia="宋体" w:cs="宋体"/>
          <w:sz w:val="10"/>
        </w:rPr>
        <w:t>，</w:t>
      </w:r>
      <w:r>
        <w:rPr>
          <w:rFonts w:hint="eastAsia" w:ascii="宋体" w:hAnsi="宋体" w:eastAsia="宋体" w:cs="宋体"/>
          <w:sz w:val="24"/>
        </w:rPr>
        <w:t>未来公司将尽可能避免关联交易的发生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对于正常的</w:t>
      </w:r>
      <w:r>
        <w:rPr>
          <w:rFonts w:hint="eastAsia" w:ascii="宋体" w:hAnsi="宋体" w:eastAsia="宋体" w:cs="宋体"/>
          <w:sz w:val="10"/>
        </w:rPr>
        <w:t>、</w:t>
      </w:r>
      <w:r>
        <w:rPr>
          <w:rFonts w:hint="eastAsia" w:ascii="宋体" w:hAnsi="宋体" w:eastAsia="宋体" w:cs="宋体"/>
          <w:sz w:val="24"/>
        </w:rPr>
        <w:t>不可避免的且有利于公司发展的关联交易</w:t>
      </w:r>
      <w:r>
        <w:rPr>
          <w:rFonts w:hint="eastAsia" w:ascii="宋体" w:hAnsi="宋体" w:eastAsia="宋体" w:cs="宋体"/>
          <w:sz w:val="10"/>
        </w:rPr>
        <w:t>，</w:t>
      </w:r>
      <w:r>
        <w:rPr>
          <w:rFonts w:hint="eastAsia" w:ascii="宋体" w:hAnsi="宋体" w:eastAsia="宋体" w:cs="宋体"/>
          <w:sz w:val="24"/>
        </w:rPr>
        <w:t>公司将继续遵循公开</w:t>
      </w:r>
      <w:r>
        <w:rPr>
          <w:rFonts w:hint="eastAsia" w:ascii="宋体" w:hAnsi="宋体" w:eastAsia="宋体" w:cs="宋体"/>
          <w:sz w:val="10"/>
        </w:rPr>
        <w:t>、</w:t>
      </w:r>
      <w:r>
        <w:rPr>
          <w:rFonts w:hint="eastAsia" w:ascii="宋体" w:hAnsi="宋体" w:eastAsia="宋体" w:cs="宋体"/>
          <w:sz w:val="24"/>
        </w:rPr>
        <w:t>公平</w:t>
      </w:r>
      <w:r>
        <w:rPr>
          <w:rFonts w:hint="eastAsia" w:ascii="宋体" w:hAnsi="宋体" w:eastAsia="宋体" w:cs="宋体"/>
          <w:sz w:val="10"/>
        </w:rPr>
        <w:t>、</w:t>
      </w:r>
      <w:r>
        <w:rPr>
          <w:rFonts w:hint="eastAsia" w:ascii="宋体" w:hAnsi="宋体" w:eastAsia="宋体" w:cs="宋体"/>
          <w:sz w:val="24"/>
        </w:rPr>
        <w:t>公正的市场原则</w:t>
      </w:r>
      <w:r>
        <w:rPr>
          <w:rFonts w:hint="eastAsia" w:ascii="宋体" w:hAnsi="宋体" w:eastAsia="宋体" w:cs="宋体"/>
          <w:sz w:val="10"/>
        </w:rPr>
        <w:t>，</w:t>
      </w:r>
      <w:r>
        <w:rPr>
          <w:rFonts w:hint="eastAsia" w:ascii="宋体" w:hAnsi="宋体" w:eastAsia="宋体" w:cs="宋体"/>
          <w:sz w:val="24"/>
        </w:rPr>
        <w:t>严格按照有关法律</w:t>
      </w:r>
      <w:r>
        <w:rPr>
          <w:rFonts w:hint="eastAsia" w:ascii="宋体" w:hAnsi="宋体" w:eastAsia="宋体" w:cs="宋体"/>
          <w:sz w:val="10"/>
        </w:rPr>
        <w:t>、</w:t>
      </w:r>
      <w:r>
        <w:rPr>
          <w:rFonts w:hint="eastAsia" w:ascii="宋体" w:hAnsi="宋体" w:eastAsia="宋体" w:cs="宋体"/>
          <w:sz w:val="24"/>
        </w:rPr>
        <w:t>法规</w:t>
      </w:r>
      <w:r>
        <w:rPr>
          <w:rFonts w:hint="eastAsia" w:ascii="宋体" w:hAnsi="宋体" w:eastAsia="宋体" w:cs="宋体"/>
          <w:sz w:val="10"/>
        </w:rPr>
        <w:t>、</w:t>
      </w:r>
      <w:r>
        <w:rPr>
          <w:rFonts w:hint="eastAsia" w:ascii="宋体" w:hAnsi="宋体" w:eastAsia="宋体" w:cs="宋体"/>
          <w:sz w:val="24"/>
        </w:rPr>
        <w:t>规范性文件及《公司章程》、《</w:t>
      </w:r>
      <w:r>
        <w:rPr>
          <w:rFonts w:hint="eastAsia" w:ascii="宋体" w:hAnsi="宋体" w:eastAsia="宋体" w:cs="宋体"/>
          <w:sz w:val="24"/>
        </w:rPr>
        <w:t>股东大会议事规则》、《</w:t>
      </w:r>
      <w:r>
        <w:rPr>
          <w:rFonts w:hint="eastAsia" w:ascii="宋体" w:hAnsi="宋体" w:eastAsia="宋体" w:cs="宋体"/>
          <w:sz w:val="24"/>
        </w:rPr>
        <w:t>董事会议事规则》和《关联交易决策制度》等有关规定</w:t>
      </w:r>
      <w:r>
        <w:rPr>
          <w:rFonts w:hint="eastAsia" w:ascii="宋体" w:hAnsi="宋体" w:eastAsia="宋体" w:cs="宋体"/>
          <w:sz w:val="10"/>
        </w:rPr>
        <w:t>，</w:t>
      </w:r>
      <w:r>
        <w:rPr>
          <w:rFonts w:hint="eastAsia" w:ascii="宋体" w:hAnsi="宋体" w:eastAsia="宋体" w:cs="宋体"/>
          <w:sz w:val="24"/>
        </w:rPr>
        <w:t>严格执行关联交易基本原则</w:t>
      </w:r>
      <w:r>
        <w:rPr>
          <w:rFonts w:hint="eastAsia" w:ascii="宋体" w:hAnsi="宋体" w:eastAsia="宋体" w:cs="宋体"/>
          <w:sz w:val="10"/>
        </w:rPr>
        <w:t>、</w:t>
      </w:r>
      <w:r>
        <w:rPr>
          <w:rFonts w:hint="eastAsia" w:ascii="宋体" w:hAnsi="宋体" w:eastAsia="宋体" w:cs="宋体"/>
          <w:sz w:val="24"/>
        </w:rPr>
        <w:t>决策程序</w:t>
      </w:r>
      <w:r>
        <w:rPr>
          <w:rFonts w:hint="eastAsia" w:ascii="宋体" w:hAnsi="宋体" w:eastAsia="宋体" w:cs="宋体"/>
          <w:sz w:val="10"/>
        </w:rPr>
        <w:t>、</w:t>
      </w:r>
      <w:r>
        <w:rPr>
          <w:rFonts w:hint="eastAsia" w:ascii="宋体" w:hAnsi="宋体" w:eastAsia="宋体" w:cs="宋体"/>
          <w:sz w:val="24"/>
        </w:rPr>
        <w:t>回避制度</w:t>
      </w:r>
      <w:r>
        <w:rPr>
          <w:rFonts w:hint="eastAsia" w:ascii="宋体" w:hAnsi="宋体" w:eastAsia="宋体" w:cs="宋体"/>
          <w:sz w:val="10"/>
        </w:rPr>
        <w:t>、</w:t>
      </w:r>
      <w:r>
        <w:rPr>
          <w:rFonts w:hint="eastAsia" w:ascii="宋体" w:hAnsi="宋体" w:eastAsia="宋体" w:cs="宋体"/>
          <w:sz w:val="24"/>
        </w:rPr>
        <w:t>信息披露等措施来规范该等关联交易</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公司控股股东</w:t>
      </w:r>
      <w:r>
        <w:rPr>
          <w:rFonts w:hint="eastAsia" w:ascii="宋体" w:hAnsi="宋体" w:eastAsia="宋体" w:cs="宋体"/>
          <w:sz w:val="10"/>
        </w:rPr>
        <w:t>、</w:t>
      </w:r>
      <w:r>
        <w:rPr>
          <w:rFonts w:hint="eastAsia" w:ascii="宋体" w:hAnsi="宋体" w:eastAsia="宋体" w:cs="宋体"/>
          <w:sz w:val="24"/>
        </w:rPr>
        <w:t>实际控制人严孟宇向公司出具了《关于减少和避免关联交易的声明与承诺函》，</w:t>
      </w:r>
      <w:r>
        <w:rPr>
          <w:rFonts w:hint="eastAsia" w:ascii="宋体" w:hAnsi="宋体" w:eastAsia="宋体" w:cs="宋体"/>
          <w:sz w:val="24"/>
        </w:rPr>
        <w:t>承诺</w:t>
      </w:r>
      <w:r>
        <w:rPr>
          <w:rFonts w:hint="eastAsia" w:ascii="宋体" w:hAnsi="宋体" w:eastAsia="宋体" w:cs="宋体"/>
          <w:sz w:val="12"/>
        </w:rPr>
        <w:t>：“</w:t>
      </w:r>
      <w:r>
        <w:rPr>
          <w:rFonts w:hint="eastAsia" w:ascii="宋体" w:hAnsi="宋体" w:eastAsia="宋体" w:cs="宋体"/>
          <w:sz w:val="24"/>
        </w:rPr>
        <w:t>本人将根据公平</w:t>
      </w:r>
      <w:r>
        <w:rPr>
          <w:rFonts w:hint="eastAsia" w:ascii="宋体" w:hAnsi="宋体" w:eastAsia="宋体" w:cs="宋体"/>
          <w:sz w:val="10"/>
        </w:rPr>
        <w:t>、</w:t>
      </w:r>
      <w:r>
        <w:rPr>
          <w:rFonts w:hint="eastAsia" w:ascii="宋体" w:hAnsi="宋体" w:eastAsia="宋体" w:cs="宋体"/>
          <w:sz w:val="24"/>
        </w:rPr>
        <w:t>公正</w:t>
      </w:r>
      <w:r>
        <w:rPr>
          <w:rFonts w:hint="eastAsia" w:ascii="宋体" w:hAnsi="宋体" w:eastAsia="宋体" w:cs="宋体"/>
          <w:sz w:val="10"/>
        </w:rPr>
        <w:t>、</w:t>
      </w:r>
      <w:r>
        <w:rPr>
          <w:rFonts w:hint="eastAsia" w:ascii="宋体" w:hAnsi="宋体" w:eastAsia="宋体" w:cs="宋体"/>
          <w:sz w:val="24"/>
        </w:rPr>
        <w:t>等价</w:t>
      </w:r>
      <w:r>
        <w:rPr>
          <w:rFonts w:hint="eastAsia" w:ascii="宋体" w:hAnsi="宋体" w:eastAsia="宋体" w:cs="宋体"/>
          <w:sz w:val="10"/>
        </w:rPr>
        <w:t>、</w:t>
      </w:r>
      <w:r>
        <w:rPr>
          <w:rFonts w:hint="eastAsia" w:ascii="宋体" w:hAnsi="宋体" w:eastAsia="宋体" w:cs="宋体"/>
          <w:sz w:val="24"/>
        </w:rPr>
        <w:t>有偿的市场原则</w:t>
      </w:r>
      <w:r>
        <w:rPr>
          <w:rFonts w:hint="eastAsia" w:ascii="宋体" w:hAnsi="宋体" w:eastAsia="宋体" w:cs="宋体"/>
          <w:sz w:val="10"/>
        </w:rPr>
        <w:t>，</w:t>
      </w:r>
      <w:r>
        <w:rPr>
          <w:rFonts w:hint="eastAsia" w:ascii="宋体" w:hAnsi="宋体" w:eastAsia="宋体" w:cs="宋体"/>
          <w:sz w:val="24"/>
        </w:rPr>
        <w:t>按照一般的商业条款</w:t>
      </w:r>
      <w:r>
        <w:rPr>
          <w:rFonts w:hint="eastAsia" w:ascii="宋体" w:hAnsi="宋体" w:eastAsia="宋体" w:cs="宋体"/>
          <w:sz w:val="10"/>
        </w:rPr>
        <w:t>，</w:t>
      </w:r>
      <w:r>
        <w:rPr>
          <w:rFonts w:hint="eastAsia" w:ascii="宋体" w:hAnsi="宋体" w:eastAsia="宋体" w:cs="宋体"/>
          <w:sz w:val="24"/>
        </w:rPr>
        <w:t>减少本人及</w:t>
      </w:r>
      <w:r>
        <w:rPr>
          <w:rFonts w:hint="eastAsia" w:ascii="Times New Roman" w:hAnsi="Times New Roman" w:eastAsia="Times New Roman" w:cs="Times New Roman"/>
          <w:sz w:val="24"/>
        </w:rPr>
        <w:t>/</w:t>
      </w:r>
      <w:r>
        <w:rPr>
          <w:rFonts w:hint="eastAsia" w:ascii="宋体" w:hAnsi="宋体" w:eastAsia="宋体" w:cs="宋体"/>
          <w:sz w:val="24"/>
        </w:rPr>
        <w:t>或本人控制的其他企业与发行人的交易</w:t>
      </w:r>
      <w:r>
        <w:rPr>
          <w:rFonts w:hint="eastAsia" w:ascii="宋体" w:hAnsi="宋体" w:eastAsia="宋体" w:cs="宋体"/>
          <w:sz w:val="10"/>
        </w:rPr>
        <w:t>，</w:t>
      </w:r>
      <w:r>
        <w:rPr>
          <w:rFonts w:hint="eastAsia" w:ascii="宋体" w:hAnsi="宋体" w:eastAsia="宋体" w:cs="宋体"/>
          <w:sz w:val="24"/>
        </w:rPr>
        <w:t>严格遵守与尊重发行人的关联交易决策程序</w:t>
      </w:r>
      <w:r>
        <w:rPr>
          <w:rFonts w:hint="eastAsia" w:ascii="宋体" w:hAnsi="宋体" w:eastAsia="宋体" w:cs="宋体"/>
          <w:sz w:val="10"/>
        </w:rPr>
        <w:t>，</w:t>
      </w:r>
      <w:r>
        <w:rPr>
          <w:rFonts w:hint="eastAsia" w:ascii="宋体" w:hAnsi="宋体" w:eastAsia="宋体" w:cs="宋体"/>
          <w:sz w:val="24"/>
        </w:rPr>
        <w:t>与发行人以公允价格进行公平交易</w:t>
      </w:r>
      <w:r>
        <w:rPr>
          <w:rFonts w:hint="eastAsia" w:ascii="宋体" w:hAnsi="宋体" w:eastAsia="宋体" w:cs="宋体"/>
          <w:sz w:val="10"/>
        </w:rPr>
        <w:t>，</w:t>
      </w:r>
      <w:r>
        <w:rPr>
          <w:rFonts w:hint="eastAsia" w:ascii="宋体" w:hAnsi="宋体" w:eastAsia="宋体" w:cs="宋体"/>
          <w:sz w:val="24"/>
        </w:rPr>
        <w:t>不谋求本人及</w:t>
      </w:r>
      <w:r>
        <w:rPr>
          <w:rFonts w:hint="eastAsia" w:ascii="Times New Roman" w:hAnsi="Times New Roman" w:eastAsia="Times New Roman" w:cs="Times New Roman"/>
          <w:sz w:val="24"/>
        </w:rPr>
        <w:t>/</w:t>
      </w:r>
      <w:r>
        <w:rPr>
          <w:rFonts w:hint="eastAsia" w:ascii="宋体" w:hAnsi="宋体" w:eastAsia="宋体" w:cs="宋体"/>
          <w:sz w:val="24"/>
        </w:rPr>
        <w:t>或本人控制的其他企业的非法利益</w:t>
      </w:r>
      <w:r>
        <w:rPr>
          <w:rFonts w:hint="eastAsia" w:ascii="宋体" w:hAnsi="宋体" w:eastAsia="宋体" w:cs="宋体"/>
          <w:sz w:val="10"/>
        </w:rPr>
        <w:t>。</w:t>
      </w:r>
      <w:r>
        <w:rPr>
          <w:rFonts w:hint="eastAsia" w:ascii="宋体" w:hAnsi="宋体" w:eastAsia="宋体" w:cs="宋体"/>
          <w:sz w:val="24"/>
        </w:rPr>
        <w:t>如存在利用控股地位在关联交易中损害发行人及小股东的权益或通过关联交易操纵发行人利润的情形</w:t>
      </w:r>
      <w:r>
        <w:rPr>
          <w:rFonts w:hint="eastAsia" w:ascii="宋体" w:hAnsi="宋体" w:eastAsia="宋体" w:cs="宋体"/>
          <w:sz w:val="10"/>
        </w:rPr>
        <w:t>，</w:t>
      </w:r>
      <w:r>
        <w:rPr>
          <w:rFonts w:hint="eastAsia" w:ascii="宋体" w:hAnsi="宋体" w:eastAsia="宋体" w:cs="宋体"/>
          <w:sz w:val="24"/>
        </w:rPr>
        <w:t>本人将承担相应的法律责任</w:t>
      </w:r>
      <w:r>
        <w:rPr>
          <w:rFonts w:hint="eastAsia" w:ascii="宋体" w:hAnsi="宋体" w:eastAsia="宋体" w:cs="宋体"/>
          <w:sz w:val="10"/>
        </w:rPr>
        <w:t>。</w:t>
      </w:r>
      <w:r>
        <w:rPr>
          <w:rFonts w:hint="eastAsia" w:ascii="宋体" w:hAnsi="宋体" w:eastAsia="宋体" w:cs="宋体"/>
          <w:sz w:val="24"/>
        </w:rPr>
        <w:t>在本人及本人控制的公司（如有）与发行人存在关联关系期间</w:t>
      </w:r>
      <w:r>
        <w:rPr>
          <w:rFonts w:hint="eastAsia" w:ascii="宋体" w:hAnsi="宋体" w:eastAsia="宋体" w:cs="宋体"/>
          <w:sz w:val="10"/>
        </w:rPr>
        <w:t>，</w:t>
      </w:r>
      <w:r>
        <w:rPr>
          <w:rFonts w:hint="eastAsia" w:ascii="宋体" w:hAnsi="宋体" w:eastAsia="宋体" w:cs="宋体"/>
          <w:sz w:val="24"/>
        </w:rPr>
        <w:t>如本人违反上述承诺</w:t>
      </w:r>
      <w:r>
        <w:rPr>
          <w:rFonts w:hint="eastAsia" w:ascii="宋体" w:hAnsi="宋体" w:eastAsia="宋体" w:cs="宋体"/>
          <w:sz w:val="10"/>
        </w:rPr>
        <w:t>，</w:t>
      </w:r>
      <w:r>
        <w:rPr>
          <w:rFonts w:hint="eastAsia" w:ascii="宋体" w:hAnsi="宋体" w:eastAsia="宋体" w:cs="宋体"/>
          <w:sz w:val="24"/>
        </w:rPr>
        <w:t>本人将在公司股东大会及中国证监会指定报刊上公开说明未履行上述承诺的原因并向公司股东和社会公众投资者道歉</w:t>
      </w:r>
      <w:r>
        <w:rPr>
          <w:rFonts w:hint="eastAsia" w:ascii="宋体" w:hAnsi="宋体" w:eastAsia="宋体" w:cs="宋体"/>
          <w:sz w:val="10"/>
        </w:rPr>
        <w:t>，</w:t>
      </w:r>
      <w:r>
        <w:rPr>
          <w:rFonts w:hint="eastAsia" w:ascii="宋体" w:hAnsi="宋体" w:eastAsia="宋体" w:cs="宋体"/>
          <w:sz w:val="24"/>
        </w:rPr>
        <w:t>并以违反上述承诺发生之日起当年度及以后年度公司利润分配方案中本人享有的现金分红暂不分配直至本人履行完本承诺为止</w:t>
      </w:r>
      <w:r>
        <w:rPr>
          <w:rFonts w:hint="eastAsia" w:ascii="宋体" w:hAnsi="宋体" w:eastAsia="宋体" w:cs="宋体"/>
          <w:sz w:val="10"/>
        </w:rPr>
        <w:t>，</w:t>
      </w:r>
      <w:r>
        <w:rPr>
          <w:rFonts w:hint="eastAsia" w:ascii="宋体" w:hAnsi="宋体" w:eastAsia="宋体" w:cs="宋体"/>
          <w:sz w:val="24"/>
        </w:rPr>
        <w:t>同时本人持有的公司股份将不得转让</w:t>
      </w:r>
      <w:r>
        <w:rPr>
          <w:rFonts w:hint="eastAsia" w:ascii="宋体" w:hAnsi="宋体" w:eastAsia="宋体" w:cs="宋体"/>
          <w:sz w:val="14"/>
        </w:rPr>
        <w:t>；</w:t>
      </w:r>
      <w:r>
        <w:rPr>
          <w:rFonts w:hint="eastAsia" w:ascii="宋体" w:hAnsi="宋体" w:eastAsia="宋体" w:cs="宋体"/>
          <w:sz w:val="24"/>
        </w:rPr>
        <w:t>如本人未履行承诺</w:t>
      </w:r>
      <w:r>
        <w:rPr>
          <w:rFonts w:hint="eastAsia" w:ascii="宋体" w:hAnsi="宋体" w:eastAsia="宋体" w:cs="宋体"/>
          <w:sz w:val="10"/>
        </w:rPr>
        <w:t>，</w:t>
      </w:r>
      <w:r>
        <w:rPr>
          <w:rFonts w:hint="eastAsia" w:ascii="宋体" w:hAnsi="宋体" w:eastAsia="宋体" w:cs="宋体"/>
          <w:sz w:val="24"/>
        </w:rPr>
        <w:t>本人愿依法赔偿投资者的相应损失</w:t>
      </w:r>
      <w:r>
        <w:rPr>
          <w:rFonts w:hint="eastAsia" w:ascii="宋体" w:hAnsi="宋体" w:eastAsia="宋体" w:cs="宋体"/>
          <w:sz w:val="10"/>
        </w:rPr>
        <w:t>，</w:t>
      </w:r>
      <w:r>
        <w:rPr>
          <w:rFonts w:hint="eastAsia" w:ascii="宋体" w:hAnsi="宋体" w:eastAsia="宋体" w:cs="宋体"/>
          <w:sz w:val="24"/>
        </w:rPr>
        <w:t>并承担相应的法律责任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1-1-185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40" w:lineRule="exact"/>
        <w:ind w:left="1880"/>
        <w:jc w:val="both"/>
      </w:pPr>
      <w:r>
        <w:rPr>
          <w:rFonts w:hint="eastAsia" w:ascii="ºÚÌå" w:hAnsi="ºÚÌå" w:eastAsia="ºÚÌå" w:cs="ºÚÌå"/>
          <w:b/>
          <w:sz w:val="36"/>
        </w:rPr>
        <w:t>第八节</w:t>
      </w:r>
      <w:r>
        <w:rPr>
          <w:rFonts w:hint="eastAsia" w:ascii="ºÚÌå" w:hAnsi="ºÚÌå" w:eastAsia="ºÚÌå" w:cs="ºÚÌå"/>
          <w:b/>
          <w:sz w:val="36"/>
        </w:rPr>
        <w:t xml:space="preserve"> </w:t>
      </w:r>
      <w:r>
        <w:rPr>
          <w:rFonts w:hint="eastAsia" w:ascii="ºÚÌå" w:hAnsi="ºÚÌå" w:eastAsia="ºÚÌå" w:cs="ºÚÌå"/>
          <w:b/>
          <w:sz w:val="36"/>
        </w:rPr>
        <w:t>董事</w:t>
      </w:r>
      <w:r>
        <w:rPr>
          <w:rFonts w:hint="eastAsia" w:ascii="ºÚÌå" w:hAnsi="ºÚÌå" w:eastAsia="ºÚÌå" w:cs="ºÚÌå"/>
          <w:b/>
          <w:sz w:val="10"/>
        </w:rPr>
        <w:t>、</w:t>
      </w:r>
      <w:r>
        <w:rPr>
          <w:rFonts w:hint="eastAsia" w:ascii="ºÚÌå" w:hAnsi="ºÚÌå" w:eastAsia="ºÚÌå" w:cs="ºÚÌå"/>
          <w:b/>
          <w:sz w:val="36"/>
        </w:rPr>
        <w:t>监事</w:t>
      </w:r>
      <w:r>
        <w:rPr>
          <w:rFonts w:hint="eastAsia" w:ascii="ºÚÌå" w:hAnsi="ºÚÌå" w:eastAsia="ºÚÌå" w:cs="ºÚÌå"/>
          <w:b/>
          <w:sz w:val="10"/>
        </w:rPr>
        <w:t>、</w:t>
      </w:r>
      <w:r>
        <w:rPr>
          <w:rFonts w:hint="eastAsia" w:ascii="ºÚÌå" w:hAnsi="ºÚÌå" w:eastAsia="ºÚÌå" w:cs="ºÚÌå"/>
          <w:b/>
          <w:sz w:val="36"/>
        </w:rPr>
        <w:t>高级管理人员与核心技术人员</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36"/>
        </w:rPr>
        <w:t>一、</w:t>
      </w:r>
      <w:r>
        <w:rPr>
          <w:rFonts w:hint="eastAsia" w:ascii="ºÚÌå" w:hAnsi="ºÚÌå" w:eastAsia="ºÚÌå" w:cs="ºÚÌå"/>
          <w:sz w:val="30"/>
        </w:rPr>
        <w:t>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高级管理人员及核心技术人员的简要情况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董事</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本公司董事会由</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名董事组成</w:t>
      </w:r>
      <w:r>
        <w:rPr>
          <w:rFonts w:hint="eastAsia" w:ascii="宋体" w:hAnsi="宋体" w:eastAsia="宋体" w:cs="宋体"/>
          <w:sz w:val="10"/>
        </w:rPr>
        <w:t>，</w:t>
      </w:r>
      <w:r>
        <w:rPr>
          <w:rFonts w:hint="eastAsia" w:ascii="宋体" w:hAnsi="宋体" w:eastAsia="宋体" w:cs="宋体"/>
          <w:sz w:val="24"/>
        </w:rPr>
        <w:t>其中</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名为独立董事</w:t>
      </w:r>
      <w:r>
        <w:rPr>
          <w:rFonts w:hint="eastAsia" w:ascii="宋体" w:hAnsi="宋体" w:eastAsia="宋体" w:cs="宋体"/>
          <w:sz w:val="10"/>
        </w:rPr>
        <w:t>，</w:t>
      </w:r>
      <w:r>
        <w:rPr>
          <w:rFonts w:hint="eastAsia" w:ascii="宋体" w:hAnsi="宋体" w:eastAsia="宋体" w:cs="宋体"/>
          <w:sz w:val="24"/>
        </w:rPr>
        <w:t>基本情况如下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7340" w:type="auto"/>
        <w:tblInd w:w="22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060"/>
        <w:gridCol w:w="5260"/>
      </w:tblGrid>
      <w:tr>
        <w:trPr>
          <w:trHeight w:val="640" w:hRule="exact"/>
        </w:trPr>
        <w:tc>
          <w:tcPr>
            <w:tcW w:w="7320" w:type="dxa"/>
            <w:gridSpan w:val="2"/>
            <w:tcMar>
              <w:top w:w="0" w:type="dxa"/>
              <w:left w:w="0" w:type="dxa"/>
              <w:bottom w:w="0" w:type="dxa"/>
              <w:right w:w="0" w:type="dxa"/>
            </w:tcMar>
          </w:tcPr>
          <w:p>
            <w:pPr>
              <w:tabs>
                <w:tab w:val="left" w:pos="4360"/>
              </w:tabs>
              <w:spacing w:before="220"/>
              <w:ind w:left="800"/>
            </w:pPr>
            <w:r>
              <w:rPr>
                <w:rFonts w:hint="eastAsia" w:ascii="宋体" w:hAnsi="宋体" w:eastAsia="宋体" w:cs="宋体"/>
                <w:b/>
                <w:sz w:val="21"/>
              </w:rPr>
              <w:t>姓名</w:t>
            </w:r>
            <w:r>
              <w:tab/>
            </w:r>
            <w:r>
              <w:rPr>
                <w:rFonts w:hint="eastAsia" w:ascii="宋体" w:hAnsi="宋体" w:eastAsia="宋体" w:cs="宋体"/>
                <w:b/>
                <w:sz w:val="21"/>
              </w:rPr>
              <w:t>职 位</w:t>
            </w:r>
          </w:p>
        </w:tc>
      </w:tr>
      <w:tr>
        <w:trPr>
          <w:trHeight w:val="740" w:hRule="exact"/>
        </w:trPr>
        <w:tc>
          <w:tcPr>
            <w:tcW w:w="2060" w:type="dxa"/>
            <w:tcMar>
              <w:top w:w="0" w:type="dxa"/>
              <w:left w:w="0" w:type="dxa"/>
              <w:bottom w:w="0" w:type="dxa"/>
              <w:right w:w="0" w:type="dxa"/>
            </w:tcMar>
          </w:tcPr>
          <w:p>
            <w:pPr>
              <w:spacing w:before="220"/>
              <w:ind w:left="700"/>
            </w:pPr>
            <w:r>
              <w:rPr>
                <w:rFonts w:hint="eastAsia" w:ascii="宋体" w:hAnsi="宋体" w:eastAsia="宋体" w:cs="宋体"/>
                <w:sz w:val="21"/>
              </w:rPr>
              <w:t>严孟宇</w:t>
            </w:r>
          </w:p>
        </w:tc>
        <w:tc>
          <w:tcPr>
            <w:tcW w:w="5260" w:type="dxa"/>
            <w:tcMar>
              <w:top w:w="0" w:type="dxa"/>
              <w:left w:w="0" w:type="dxa"/>
              <w:bottom w:w="0" w:type="dxa"/>
              <w:right w:w="0" w:type="dxa"/>
            </w:tcMar>
          </w:tcPr>
          <w:p>
            <w:pPr>
              <w:spacing w:before="220"/>
              <w:ind w:left="1880"/>
            </w:pPr>
            <w:r>
              <w:rPr>
                <w:rFonts w:hint="eastAsia" w:ascii="宋体" w:hAnsi="宋体" w:eastAsia="宋体" w:cs="宋体"/>
                <w:sz w:val="21"/>
              </w:rPr>
              <w:t>董事长</w:t>
            </w:r>
            <w:r>
              <w:rPr>
                <w:rFonts w:hint="eastAsia" w:ascii="宋体" w:hAnsi="宋体" w:eastAsia="宋体" w:cs="宋体"/>
                <w:sz w:val="10"/>
              </w:rPr>
              <w:t>、</w:t>
            </w:r>
            <w:r>
              <w:rPr>
                <w:rFonts w:hint="eastAsia" w:ascii="宋体" w:hAnsi="宋体" w:eastAsia="宋体" w:cs="宋体"/>
                <w:sz w:val="21"/>
              </w:rPr>
              <w:t>总经理</w:t>
            </w:r>
          </w:p>
        </w:tc>
      </w:tr>
      <w:tr>
        <w:trPr>
          <w:trHeight w:val="560" w:hRule="exact"/>
        </w:trPr>
        <w:tc>
          <w:tcPr>
            <w:tcW w:w="2060" w:type="dxa"/>
            <w:tcMar>
              <w:top w:w="0" w:type="dxa"/>
              <w:left w:w="0" w:type="dxa"/>
              <w:bottom w:w="0" w:type="dxa"/>
              <w:right w:w="0" w:type="dxa"/>
            </w:tcMar>
          </w:tcPr>
          <w:p>
            <w:pPr>
              <w:spacing w:before="120"/>
              <w:ind w:left="800"/>
            </w:pPr>
            <w:r>
              <w:rPr>
                <w:rFonts w:hint="eastAsia" w:ascii="宋体" w:hAnsi="宋体" w:eastAsia="宋体" w:cs="宋体"/>
                <w:sz w:val="21"/>
              </w:rPr>
              <w:t>赵伟</w:t>
            </w:r>
          </w:p>
        </w:tc>
        <w:tc>
          <w:tcPr>
            <w:tcW w:w="5260" w:type="dxa"/>
            <w:tcMar>
              <w:top w:w="0" w:type="dxa"/>
              <w:left w:w="0" w:type="dxa"/>
              <w:bottom w:w="0" w:type="dxa"/>
              <w:right w:w="0" w:type="dxa"/>
            </w:tcMar>
          </w:tcPr>
          <w:p>
            <w:pPr>
              <w:spacing w:before="120"/>
              <w:ind w:left="520"/>
            </w:pPr>
            <w:r>
              <w:rPr>
                <w:rFonts w:hint="eastAsia" w:ascii="宋体" w:hAnsi="宋体" w:eastAsia="宋体" w:cs="宋体"/>
                <w:sz w:val="21"/>
              </w:rPr>
              <w:t>副董事长</w:t>
            </w:r>
            <w:r>
              <w:rPr>
                <w:rFonts w:hint="eastAsia" w:ascii="宋体" w:hAnsi="宋体" w:eastAsia="宋体" w:cs="宋体"/>
                <w:sz w:val="10"/>
              </w:rPr>
              <w:t>、</w:t>
            </w:r>
            <w:r>
              <w:rPr>
                <w:rFonts w:hint="eastAsia" w:ascii="宋体" w:hAnsi="宋体" w:eastAsia="宋体" w:cs="宋体"/>
                <w:sz w:val="21"/>
              </w:rPr>
              <w:t>副总经理</w:t>
            </w:r>
            <w:r>
              <w:rPr>
                <w:rFonts w:hint="eastAsia" w:ascii="宋体" w:hAnsi="宋体" w:eastAsia="宋体" w:cs="宋体"/>
                <w:sz w:val="10"/>
              </w:rPr>
              <w:t>、</w:t>
            </w:r>
            <w:r>
              <w:rPr>
                <w:rFonts w:hint="eastAsia" w:ascii="宋体" w:hAnsi="宋体" w:eastAsia="宋体" w:cs="宋体"/>
                <w:sz w:val="21"/>
              </w:rPr>
              <w:t>财务总监</w:t>
            </w:r>
            <w:r>
              <w:rPr>
                <w:rFonts w:hint="eastAsia" w:ascii="宋体" w:hAnsi="宋体" w:eastAsia="宋体" w:cs="宋体"/>
                <w:sz w:val="10"/>
              </w:rPr>
              <w:t>、</w:t>
            </w:r>
            <w:r>
              <w:rPr>
                <w:rFonts w:hint="eastAsia" w:ascii="宋体" w:hAnsi="宋体" w:eastAsia="宋体" w:cs="宋体"/>
                <w:sz w:val="21"/>
              </w:rPr>
              <w:t>董事会秘书</w:t>
            </w:r>
          </w:p>
        </w:tc>
      </w:tr>
      <w:tr>
        <w:trPr>
          <w:trHeight w:val="640" w:hRule="exact"/>
        </w:trPr>
        <w:tc>
          <w:tcPr>
            <w:tcW w:w="2060" w:type="dxa"/>
            <w:tcMar>
              <w:top w:w="0" w:type="dxa"/>
              <w:left w:w="0" w:type="dxa"/>
              <w:bottom w:w="0" w:type="dxa"/>
              <w:right w:w="0" w:type="dxa"/>
            </w:tcMar>
          </w:tcPr>
          <w:p>
            <w:pPr>
              <w:spacing w:before="220"/>
              <w:ind w:left="700"/>
            </w:pPr>
            <w:r>
              <w:rPr>
                <w:rFonts w:hint="eastAsia" w:ascii="宋体" w:hAnsi="宋体" w:eastAsia="宋体" w:cs="宋体"/>
                <w:sz w:val="21"/>
              </w:rPr>
              <w:t>雷世潘</w:t>
            </w:r>
          </w:p>
        </w:tc>
        <w:tc>
          <w:tcPr>
            <w:tcW w:w="5260" w:type="dxa"/>
            <w:tcMar>
              <w:top w:w="0" w:type="dxa"/>
              <w:left w:w="0" w:type="dxa"/>
              <w:bottom w:w="0" w:type="dxa"/>
              <w:right w:w="0" w:type="dxa"/>
            </w:tcMar>
          </w:tcPr>
          <w:p>
            <w:pPr>
              <w:spacing w:before="220"/>
              <w:ind w:left="1880"/>
            </w:pPr>
            <w:r>
              <w:rPr>
                <w:rFonts w:hint="eastAsia" w:ascii="宋体" w:hAnsi="宋体" w:eastAsia="宋体" w:cs="宋体"/>
                <w:sz w:val="21"/>
              </w:rPr>
              <w:t>董事</w:t>
            </w:r>
            <w:r>
              <w:rPr>
                <w:rFonts w:hint="eastAsia" w:ascii="宋体" w:hAnsi="宋体" w:eastAsia="宋体" w:cs="宋体"/>
                <w:sz w:val="10"/>
              </w:rPr>
              <w:t>、</w:t>
            </w:r>
            <w:r>
              <w:rPr>
                <w:rFonts w:hint="eastAsia" w:ascii="宋体" w:hAnsi="宋体" w:eastAsia="宋体" w:cs="宋体"/>
                <w:sz w:val="21"/>
              </w:rPr>
              <w:t>副总经理</w:t>
            </w:r>
          </w:p>
        </w:tc>
      </w:tr>
      <w:tr>
        <w:trPr>
          <w:trHeight w:val="740" w:hRule="exact"/>
        </w:trPr>
        <w:tc>
          <w:tcPr>
            <w:tcW w:w="2060" w:type="dxa"/>
            <w:tcMar>
              <w:top w:w="0" w:type="dxa"/>
              <w:left w:w="0" w:type="dxa"/>
              <w:bottom w:w="0" w:type="dxa"/>
              <w:right w:w="0" w:type="dxa"/>
            </w:tcMar>
          </w:tcPr>
          <w:p>
            <w:pPr>
              <w:spacing w:before="200"/>
              <w:ind w:left="700"/>
            </w:pPr>
            <w:r>
              <w:rPr>
                <w:rFonts w:hint="eastAsia" w:ascii="宋体" w:hAnsi="宋体" w:eastAsia="宋体" w:cs="宋体"/>
                <w:sz w:val="21"/>
              </w:rPr>
              <w:t>黄义青</w:t>
            </w:r>
          </w:p>
        </w:tc>
        <w:tc>
          <w:tcPr>
            <w:tcW w:w="5260" w:type="dxa"/>
            <w:tcMar>
              <w:top w:w="0" w:type="dxa"/>
              <w:left w:w="0" w:type="dxa"/>
              <w:bottom w:w="0" w:type="dxa"/>
              <w:right w:w="0" w:type="dxa"/>
            </w:tcMar>
          </w:tcPr>
          <w:p>
            <w:pPr>
              <w:spacing w:before="220"/>
              <w:ind w:left="1880"/>
            </w:pPr>
            <w:r>
              <w:rPr>
                <w:rFonts w:hint="eastAsia" w:ascii="宋体" w:hAnsi="宋体" w:eastAsia="宋体" w:cs="宋体"/>
                <w:sz w:val="21"/>
              </w:rPr>
              <w:t>董事</w:t>
            </w:r>
            <w:r>
              <w:rPr>
                <w:rFonts w:hint="eastAsia" w:ascii="宋体" w:hAnsi="宋体" w:eastAsia="宋体" w:cs="宋体"/>
                <w:sz w:val="10"/>
              </w:rPr>
              <w:t>、</w:t>
            </w:r>
            <w:r>
              <w:rPr>
                <w:rFonts w:hint="eastAsia" w:ascii="宋体" w:hAnsi="宋体" w:eastAsia="宋体" w:cs="宋体"/>
                <w:sz w:val="21"/>
              </w:rPr>
              <w:t>市场总监</w:t>
            </w:r>
          </w:p>
        </w:tc>
      </w:tr>
      <w:tr>
        <w:trPr>
          <w:trHeight w:val="640" w:hRule="exact"/>
        </w:trPr>
        <w:tc>
          <w:tcPr>
            <w:tcW w:w="2060" w:type="dxa"/>
            <w:tcMar>
              <w:top w:w="0" w:type="dxa"/>
              <w:left w:w="0" w:type="dxa"/>
              <w:bottom w:w="0" w:type="dxa"/>
              <w:right w:w="0" w:type="dxa"/>
            </w:tcMar>
          </w:tcPr>
          <w:p>
            <w:pPr>
              <w:spacing w:before="120"/>
              <w:ind w:left="800"/>
            </w:pPr>
            <w:r>
              <w:rPr>
                <w:rFonts w:hint="eastAsia" w:ascii="宋体" w:hAnsi="宋体" w:eastAsia="宋体" w:cs="宋体"/>
                <w:sz w:val="21"/>
              </w:rPr>
              <w:t>李军</w:t>
            </w:r>
          </w:p>
        </w:tc>
        <w:tc>
          <w:tcPr>
            <w:tcW w:w="5260" w:type="dxa"/>
            <w:tcMar>
              <w:top w:w="0" w:type="dxa"/>
              <w:left w:w="0" w:type="dxa"/>
              <w:bottom w:w="0" w:type="dxa"/>
              <w:right w:w="0" w:type="dxa"/>
            </w:tcMar>
          </w:tcPr>
          <w:p>
            <w:pPr>
              <w:spacing w:before="120"/>
              <w:ind w:left="2400"/>
            </w:pPr>
            <w:r>
              <w:rPr>
                <w:rFonts w:hint="eastAsia" w:ascii="宋体" w:hAnsi="宋体" w:eastAsia="宋体" w:cs="宋体"/>
                <w:sz w:val="21"/>
              </w:rPr>
              <w:t>董事</w:t>
            </w:r>
          </w:p>
        </w:tc>
      </w:tr>
      <w:tr>
        <w:trPr>
          <w:trHeight w:val="560" w:hRule="exact"/>
        </w:trPr>
        <w:tc>
          <w:tcPr>
            <w:tcW w:w="2060" w:type="dxa"/>
            <w:tcMar>
              <w:top w:w="0" w:type="dxa"/>
              <w:left w:w="0" w:type="dxa"/>
              <w:bottom w:w="0" w:type="dxa"/>
              <w:right w:w="0" w:type="dxa"/>
            </w:tcMar>
          </w:tcPr>
          <w:p>
            <w:pPr>
              <w:spacing w:before="120"/>
              <w:ind w:left="800"/>
            </w:pPr>
            <w:r>
              <w:rPr>
                <w:rFonts w:hint="eastAsia" w:ascii="宋体" w:hAnsi="宋体" w:eastAsia="宋体" w:cs="宋体"/>
                <w:sz w:val="21"/>
              </w:rPr>
              <w:t>徐青</w:t>
            </w:r>
          </w:p>
        </w:tc>
        <w:tc>
          <w:tcPr>
            <w:tcW w:w="5260" w:type="dxa"/>
            <w:tcMar>
              <w:top w:w="0" w:type="dxa"/>
              <w:left w:w="0" w:type="dxa"/>
              <w:bottom w:w="0" w:type="dxa"/>
              <w:right w:w="0" w:type="dxa"/>
            </w:tcMar>
          </w:tcPr>
          <w:p>
            <w:pPr>
              <w:spacing w:before="120"/>
              <w:ind w:left="2200"/>
            </w:pPr>
            <w:r>
              <w:rPr>
                <w:rFonts w:hint="eastAsia" w:ascii="宋体" w:hAnsi="宋体" w:eastAsia="宋体" w:cs="宋体"/>
                <w:sz w:val="21"/>
              </w:rPr>
              <w:t>独立董事</w:t>
            </w:r>
          </w:p>
        </w:tc>
      </w:tr>
      <w:tr>
        <w:trPr>
          <w:trHeight w:val="640" w:hRule="exact"/>
        </w:trPr>
        <w:tc>
          <w:tcPr>
            <w:tcW w:w="2060" w:type="dxa"/>
            <w:tcMar>
              <w:top w:w="0" w:type="dxa"/>
              <w:left w:w="0" w:type="dxa"/>
              <w:bottom w:w="0" w:type="dxa"/>
              <w:right w:w="0" w:type="dxa"/>
            </w:tcMar>
          </w:tcPr>
          <w:p>
            <w:pPr>
              <w:spacing w:before="220"/>
              <w:ind w:left="700"/>
            </w:pPr>
            <w:r>
              <w:rPr>
                <w:rFonts w:hint="eastAsia" w:ascii="宋体" w:hAnsi="宋体" w:eastAsia="宋体" w:cs="宋体"/>
                <w:sz w:val="21"/>
              </w:rPr>
              <w:t>叶东毅</w:t>
            </w:r>
          </w:p>
        </w:tc>
        <w:tc>
          <w:tcPr>
            <w:tcW w:w="5260" w:type="dxa"/>
            <w:tcMar>
              <w:top w:w="0" w:type="dxa"/>
              <w:left w:w="0" w:type="dxa"/>
              <w:bottom w:w="0" w:type="dxa"/>
              <w:right w:w="0" w:type="dxa"/>
            </w:tcMar>
          </w:tcPr>
          <w:p>
            <w:pPr>
              <w:spacing w:before="220"/>
              <w:ind w:left="2200"/>
            </w:pPr>
            <w:r>
              <w:rPr>
                <w:rFonts w:hint="eastAsia" w:ascii="宋体" w:hAnsi="宋体" w:eastAsia="宋体" w:cs="宋体"/>
                <w:sz w:val="21"/>
              </w:rPr>
              <w:t>独立董事</w:t>
            </w:r>
          </w:p>
        </w:tc>
      </w:tr>
      <w:tr>
        <w:trPr>
          <w:trHeight w:val="660" w:hRule="exact"/>
        </w:trPr>
        <w:tc>
          <w:tcPr>
            <w:tcW w:w="2060" w:type="dxa"/>
            <w:tcMar>
              <w:top w:w="0" w:type="dxa"/>
              <w:left w:w="0" w:type="dxa"/>
              <w:bottom w:w="0" w:type="dxa"/>
              <w:right w:w="0" w:type="dxa"/>
            </w:tcMar>
          </w:tcPr>
          <w:p>
            <w:pPr>
              <w:spacing w:before="220"/>
              <w:ind w:left="800"/>
            </w:pPr>
            <w:r>
              <w:rPr>
                <w:rFonts w:hint="eastAsia" w:ascii="宋体" w:hAnsi="宋体" w:eastAsia="宋体" w:cs="宋体"/>
                <w:sz w:val="21"/>
              </w:rPr>
              <w:t>齐伟</w:t>
            </w:r>
          </w:p>
        </w:tc>
        <w:tc>
          <w:tcPr>
            <w:tcW w:w="5260" w:type="dxa"/>
            <w:tcMar>
              <w:top w:w="0" w:type="dxa"/>
              <w:left w:w="0" w:type="dxa"/>
              <w:bottom w:w="0" w:type="dxa"/>
              <w:right w:w="0" w:type="dxa"/>
            </w:tcMar>
          </w:tcPr>
          <w:p>
            <w:pPr>
              <w:spacing w:before="220"/>
              <w:ind w:left="2200"/>
            </w:pPr>
            <w:r>
              <w:rPr>
                <w:rFonts w:hint="eastAsia" w:ascii="宋体" w:hAnsi="宋体" w:eastAsia="宋体" w:cs="宋体"/>
                <w:sz w:val="21"/>
              </w:rPr>
              <w:t>独立董事</w:t>
            </w:r>
          </w:p>
        </w:tc>
      </w:tr>
    </w:tbl>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本公司董事任期</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任期届满后可以连选连任</w:t>
      </w:r>
      <w:r>
        <w:rPr>
          <w:rFonts w:hint="eastAsia" w:ascii="宋体" w:hAnsi="宋体" w:eastAsia="宋体" w:cs="宋体"/>
          <w:sz w:val="10"/>
        </w:rPr>
        <w:t>，</w:t>
      </w:r>
      <w:r>
        <w:rPr>
          <w:rFonts w:hint="eastAsia" w:ascii="宋体" w:hAnsi="宋体" w:eastAsia="宋体" w:cs="宋体"/>
          <w:sz w:val="24"/>
        </w:rPr>
        <w:t>但是独立董事连任时间不得超过六年</w:t>
      </w:r>
      <w:r>
        <w:rPr>
          <w:rFonts w:hint="eastAsia" w:ascii="宋体" w:hAnsi="宋体" w:eastAsia="宋体" w:cs="宋体"/>
          <w:sz w:val="10"/>
        </w:rPr>
        <w:t>。</w:t>
      </w:r>
      <w:r>
        <w:rPr>
          <w:rFonts w:hint="eastAsia" w:ascii="宋体" w:hAnsi="宋体" w:eastAsia="宋体" w:cs="宋体"/>
          <w:sz w:val="24"/>
        </w:rPr>
        <w:t>本届董事任期至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本公司现任董事简历如下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严孟宇先生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1969</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毕业于北京理工大学机械设计与制造专业</w:t>
      </w:r>
      <w:r>
        <w:rPr>
          <w:rFonts w:hint="eastAsia" w:ascii="宋体" w:hAnsi="宋体" w:eastAsia="宋体" w:cs="宋体"/>
          <w:sz w:val="10"/>
        </w:rPr>
        <w:t>，</w:t>
      </w:r>
      <w:r>
        <w:rPr>
          <w:rFonts w:hint="eastAsia" w:ascii="宋体" w:hAnsi="宋体" w:eastAsia="宋体" w:cs="宋体"/>
          <w:sz w:val="24"/>
        </w:rPr>
        <w:t>工学学士</w:t>
      </w:r>
      <w:r>
        <w:rPr>
          <w:rFonts w:hint="eastAsia" w:ascii="宋体" w:hAnsi="宋体" w:eastAsia="宋体" w:cs="宋体"/>
          <w:sz w:val="10"/>
        </w:rPr>
        <w:t>。</w:t>
      </w:r>
      <w:r>
        <w:rPr>
          <w:rFonts w:hint="eastAsia" w:ascii="宋体" w:hAnsi="宋体" w:eastAsia="宋体" w:cs="宋体"/>
          <w:sz w:val="24"/>
        </w:rPr>
        <w:t>曾任福建拖拉机（集团）公司软件开发员</w:t>
      </w:r>
      <w:r>
        <w:rPr>
          <w:rFonts w:hint="eastAsia" w:ascii="宋体" w:hAnsi="宋体" w:eastAsia="宋体" w:cs="宋体"/>
          <w:sz w:val="10"/>
        </w:rPr>
        <w:t>，</w:t>
      </w:r>
      <w:r>
        <w:rPr>
          <w:rFonts w:hint="eastAsia" w:ascii="宋体" w:hAnsi="宋体" w:eastAsia="宋体" w:cs="宋体"/>
          <w:sz w:val="24"/>
        </w:rPr>
        <w:t>福州海天计算机网络技术公司软件事业部经理</w:t>
      </w:r>
      <w:r>
        <w:rPr>
          <w:rFonts w:hint="eastAsia" w:ascii="宋体" w:hAnsi="宋体" w:eastAsia="宋体" w:cs="宋体"/>
          <w:sz w:val="10"/>
        </w:rPr>
        <w:t>。</w:t>
      </w:r>
      <w:r>
        <w:rPr>
          <w:rFonts w:hint="eastAsia" w:ascii="Times New Roman" w:hAnsi="Times New Roman" w:eastAsia="Times New Roman" w:cs="Times New Roman"/>
          <w:sz w:val="24"/>
        </w:rPr>
        <w:t>1996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月参与创立顶点有限</w:t>
      </w:r>
      <w:r>
        <w:rPr>
          <w:rFonts w:hint="eastAsia" w:ascii="宋体" w:hAnsi="宋体" w:eastAsia="宋体" w:cs="宋体"/>
          <w:sz w:val="10"/>
        </w:rPr>
        <w:t>，</w:t>
      </w:r>
      <w:r>
        <w:rPr>
          <w:rFonts w:hint="eastAsia" w:ascii="宋体" w:hAnsi="宋体" w:eastAsia="宋体" w:cs="宋体"/>
          <w:sz w:val="24"/>
        </w:rPr>
        <w:t>现任公司董事长兼总经理</w:t>
      </w:r>
      <w:r>
        <w:rPr>
          <w:rFonts w:hint="eastAsia" w:ascii="宋体" w:hAnsi="宋体" w:eastAsia="宋体" w:cs="宋体"/>
          <w:sz w:val="10"/>
        </w:rPr>
        <w:t>，</w:t>
      </w:r>
      <w:r>
        <w:rPr>
          <w:rFonts w:hint="eastAsia" w:ascii="宋体" w:hAnsi="宋体" w:eastAsia="宋体" w:cs="宋体"/>
          <w:sz w:val="24"/>
        </w:rPr>
        <w:t>全面负责公司的运营管理工作</w:t>
      </w:r>
      <w:r>
        <w:rPr>
          <w:rFonts w:hint="eastAsia" w:ascii="宋体" w:hAnsi="宋体" w:eastAsia="宋体" w:cs="宋体"/>
          <w:sz w:val="14"/>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严孟宇先生还兼任福州市政协委员</w:t>
      </w:r>
      <w:r>
        <w:rPr>
          <w:rFonts w:hint="eastAsia" w:ascii="宋体" w:hAnsi="宋体" w:eastAsia="宋体" w:cs="宋体"/>
          <w:sz w:val="10"/>
        </w:rPr>
        <w:t>，</w:t>
      </w:r>
      <w:r>
        <w:rPr>
          <w:rFonts w:hint="eastAsia" w:ascii="宋体" w:hAnsi="宋体" w:eastAsia="宋体" w:cs="宋体"/>
          <w:sz w:val="24"/>
        </w:rPr>
        <w:t>福州大学软件学院客座教授</w:t>
      </w:r>
      <w:r>
        <w:rPr>
          <w:rFonts w:hint="eastAsia" w:ascii="宋体" w:hAnsi="宋体" w:eastAsia="宋体" w:cs="宋体"/>
          <w:sz w:val="10"/>
        </w:rPr>
        <w:t>、</w:t>
      </w:r>
      <w:r>
        <w:rPr>
          <w:rFonts w:hint="eastAsia" w:ascii="宋体" w:hAnsi="宋体" w:eastAsia="宋体" w:cs="宋体"/>
          <w:sz w:val="24"/>
        </w:rPr>
        <w:t>福建师范大学董事会董事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严孟宇先生曾获</w:t>
      </w:r>
      <w:r>
        <w:rPr>
          <w:rFonts w:hint="eastAsia" w:ascii="Times New Roman" w:hAnsi="Times New Roman" w:eastAsia="Times New Roman" w:cs="Times New Roman"/>
          <w:sz w:val="24"/>
        </w:rPr>
        <w:t xml:space="preserve"> 2003</w:t>
      </w:r>
      <w:r>
        <w:rPr>
          <w:rFonts w:hint="eastAsia" w:ascii="宋体" w:hAnsi="宋体" w:eastAsia="宋体" w:cs="宋体"/>
          <w:sz w:val="24"/>
        </w:rPr>
        <w:t xml:space="preserve"> 年福建省首届软件杰出人才奖</w:t>
      </w:r>
      <w:r>
        <w:rPr>
          <w:rFonts w:hint="eastAsia" w:ascii="宋体" w:hAnsi="宋体" w:eastAsia="宋体" w:cs="宋体"/>
          <w:sz w:val="10"/>
        </w:rPr>
        <w:t>、</w:t>
      </w:r>
      <w:r>
        <w:rPr>
          <w:rFonts w:hint="eastAsia" w:ascii="Times New Roman" w:hAnsi="Times New Roman" w:eastAsia="Times New Roman" w:cs="Times New Roman"/>
          <w:sz w:val="24"/>
        </w:rPr>
        <w:t>2009</w:t>
      </w:r>
      <w:r>
        <w:rPr>
          <w:rFonts w:hint="eastAsia" w:ascii="宋体" w:hAnsi="宋体" w:eastAsia="宋体" w:cs="宋体"/>
          <w:sz w:val="24"/>
        </w:rPr>
        <w:t xml:space="preserve"> 年度十大金融科技企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1-1-186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业杰出人物</w:t>
      </w:r>
      <w:r>
        <w:rPr>
          <w:rFonts w:hint="eastAsia" w:ascii="宋体" w:hAnsi="宋体" w:eastAsia="宋体" w:cs="宋体"/>
          <w:sz w:val="10"/>
        </w:rPr>
        <w:t>、</w:t>
      </w:r>
      <w:r>
        <w:rPr>
          <w:rFonts w:hint="eastAsia" w:ascii="Times New Roman" w:hAnsi="Times New Roman" w:eastAsia="Times New Roman" w:cs="Times New Roman"/>
          <w:sz w:val="24"/>
        </w:rPr>
        <w:t>2009</w:t>
      </w:r>
      <w:r>
        <w:rPr>
          <w:rFonts w:hint="eastAsia" w:ascii="宋体" w:hAnsi="宋体" w:eastAsia="宋体" w:cs="宋体"/>
          <w:sz w:val="24"/>
        </w:rPr>
        <w:t xml:space="preserve"> 年福建省软件骨干人才带领产业化科技项目领头人</w:t>
      </w:r>
      <w:r>
        <w:rPr>
          <w:rFonts w:hint="eastAsia" w:ascii="宋体" w:hAnsi="宋体" w:eastAsia="宋体" w:cs="宋体"/>
          <w:sz w:val="10"/>
        </w:rPr>
        <w:t>、</w:t>
      </w:r>
      <w:r>
        <w:rPr>
          <w:rFonts w:hint="eastAsia" w:ascii="Times New Roman" w:hAnsi="Times New Roman" w:eastAsia="Times New Roman" w:cs="Times New Roman"/>
          <w:sz w:val="24"/>
        </w:rPr>
        <w:t>2010</w:t>
      </w:r>
      <w:r>
        <w:rPr>
          <w:rFonts w:hint="eastAsia" w:ascii="宋体" w:hAnsi="宋体" w:eastAsia="宋体" w:cs="宋体"/>
          <w:sz w:val="24"/>
        </w:rPr>
        <w:t xml:space="preserve"> 年福建省软件杰出人才</w:t>
      </w:r>
      <w:r>
        <w:rPr>
          <w:rFonts w:hint="eastAsia" w:ascii="宋体" w:hAnsi="宋体" w:eastAsia="宋体" w:cs="宋体"/>
          <w:sz w:val="10"/>
        </w:rPr>
        <w:t>、</w:t>
      </w:r>
      <w:r>
        <w:rPr>
          <w:rFonts w:hint="eastAsia" w:ascii="Times New Roman" w:hAnsi="Times New Roman" w:eastAsia="Times New Roman" w:cs="Times New Roman"/>
          <w:sz w:val="24"/>
        </w:rPr>
        <w:t>2010</w:t>
      </w:r>
      <w:r>
        <w:rPr>
          <w:rFonts w:hint="eastAsia" w:ascii="宋体" w:hAnsi="宋体" w:eastAsia="宋体" w:cs="宋体"/>
          <w:sz w:val="24"/>
        </w:rPr>
        <w:t xml:space="preserve"> 年福州市科技进步二等奖</w:t>
      </w:r>
      <w:r>
        <w:rPr>
          <w:rFonts w:hint="eastAsia" w:ascii="宋体" w:hAnsi="宋体" w:eastAsia="宋体" w:cs="宋体"/>
          <w:sz w:val="10"/>
        </w:rPr>
        <w:t>。</w:t>
      </w:r>
      <w:r>
        <w:rPr>
          <w:rFonts w:hint="eastAsia" w:ascii="宋体" w:hAnsi="宋体" w:eastAsia="宋体" w:cs="宋体"/>
          <w:sz w:val="24"/>
        </w:rPr>
        <w:t>严孟宇先生担任发行人董事的任期为</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赵伟先生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1972</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理学学士</w:t>
      </w:r>
      <w:r>
        <w:rPr>
          <w:rFonts w:hint="eastAsia" w:ascii="宋体" w:hAnsi="宋体" w:eastAsia="宋体" w:cs="宋体"/>
          <w:sz w:val="10"/>
        </w:rPr>
        <w:t>，</w:t>
      </w:r>
      <w:r>
        <w:rPr>
          <w:rFonts w:hint="eastAsia" w:ascii="宋体" w:hAnsi="宋体" w:eastAsia="宋体" w:cs="宋体"/>
          <w:sz w:val="24"/>
        </w:rPr>
        <w:t>清华大学计算机技术工程硕士</w:t>
      </w:r>
      <w:r>
        <w:rPr>
          <w:rFonts w:hint="eastAsia" w:ascii="宋体" w:hAnsi="宋体" w:eastAsia="宋体" w:cs="宋体"/>
          <w:sz w:val="10"/>
        </w:rPr>
        <w:t>，</w:t>
      </w:r>
      <w:r>
        <w:rPr>
          <w:rFonts w:hint="eastAsia" w:ascii="宋体" w:hAnsi="宋体" w:eastAsia="宋体" w:cs="宋体"/>
          <w:sz w:val="24"/>
        </w:rPr>
        <w:t>中欧国际工商管理学院</w:t>
      </w:r>
      <w:r>
        <w:rPr>
          <w:rFonts w:hint="eastAsia" w:ascii="Times New Roman" w:hAnsi="Times New Roman" w:eastAsia="Times New Roman" w:cs="Times New Roman"/>
          <w:sz w:val="24"/>
        </w:rPr>
        <w:t xml:space="preserve"> EMBA</w:t>
      </w:r>
      <w:r>
        <w:rPr>
          <w:rFonts w:hint="eastAsia" w:ascii="宋体" w:hAnsi="宋体" w:eastAsia="宋体" w:cs="宋体"/>
          <w:sz w:val="10"/>
        </w:rPr>
        <w:t>。</w:t>
      </w:r>
      <w:r>
        <w:rPr>
          <w:rFonts w:hint="eastAsia" w:ascii="宋体" w:hAnsi="宋体" w:eastAsia="宋体" w:cs="宋体"/>
          <w:sz w:val="24"/>
        </w:rPr>
        <w:t>曾任福州海天计算机网络技术公司软件事业部副经理</w:t>
      </w:r>
      <w:r>
        <w:rPr>
          <w:rFonts w:hint="eastAsia" w:ascii="宋体" w:hAnsi="宋体" w:eastAsia="宋体" w:cs="宋体"/>
          <w:sz w:val="10"/>
        </w:rPr>
        <w:t>，</w:t>
      </w:r>
      <w:r>
        <w:rPr>
          <w:rFonts w:hint="eastAsia" w:ascii="宋体" w:hAnsi="宋体" w:eastAsia="宋体" w:cs="宋体"/>
          <w:sz w:val="24"/>
        </w:rPr>
        <w:t>顶点软件研发中心经理</w:t>
      </w:r>
      <w:r>
        <w:rPr>
          <w:rFonts w:hint="eastAsia" w:ascii="宋体" w:hAnsi="宋体" w:eastAsia="宋体" w:cs="宋体"/>
          <w:sz w:val="10"/>
        </w:rPr>
        <w:t>、</w:t>
      </w:r>
      <w:r>
        <w:rPr>
          <w:rFonts w:hint="eastAsia" w:ascii="宋体" w:hAnsi="宋体" w:eastAsia="宋体" w:cs="宋体"/>
          <w:sz w:val="24"/>
        </w:rPr>
        <w:t>副总经理</w:t>
      </w:r>
      <w:r>
        <w:rPr>
          <w:rFonts w:hint="eastAsia" w:ascii="宋体" w:hAnsi="宋体" w:eastAsia="宋体" w:cs="宋体"/>
          <w:sz w:val="10"/>
        </w:rPr>
        <w:t>。</w:t>
      </w:r>
      <w:r>
        <w:rPr>
          <w:rFonts w:hint="eastAsia" w:ascii="Times New Roman" w:hAnsi="Times New Roman" w:eastAsia="Times New Roman" w:cs="Times New Roman"/>
          <w:sz w:val="24"/>
        </w:rPr>
        <w:t>1996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月参与创立顶点有限</w:t>
      </w:r>
      <w:r>
        <w:rPr>
          <w:rFonts w:hint="eastAsia" w:ascii="宋体" w:hAnsi="宋体" w:eastAsia="宋体" w:cs="宋体"/>
          <w:sz w:val="10"/>
        </w:rPr>
        <w:t>，</w:t>
      </w:r>
      <w:r>
        <w:rPr>
          <w:rFonts w:hint="eastAsia" w:ascii="宋体" w:hAnsi="宋体" w:eastAsia="宋体" w:cs="宋体"/>
          <w:sz w:val="24"/>
        </w:rPr>
        <w:t>现任公司副董事长</w:t>
      </w:r>
      <w:r>
        <w:rPr>
          <w:rFonts w:hint="eastAsia" w:ascii="宋体" w:hAnsi="宋体" w:eastAsia="宋体" w:cs="宋体"/>
          <w:sz w:val="10"/>
        </w:rPr>
        <w:t>、</w:t>
      </w:r>
      <w:r>
        <w:rPr>
          <w:rFonts w:hint="eastAsia" w:ascii="宋体" w:hAnsi="宋体" w:eastAsia="宋体" w:cs="宋体"/>
          <w:sz w:val="24"/>
        </w:rPr>
        <w:t>副总经理</w:t>
      </w:r>
      <w:r>
        <w:rPr>
          <w:rFonts w:hint="eastAsia" w:ascii="宋体" w:hAnsi="宋体" w:eastAsia="宋体" w:cs="宋体"/>
          <w:sz w:val="10"/>
        </w:rPr>
        <w:t>、</w:t>
      </w:r>
      <w:r>
        <w:rPr>
          <w:rFonts w:hint="eastAsia" w:ascii="宋体" w:hAnsi="宋体" w:eastAsia="宋体" w:cs="宋体"/>
          <w:sz w:val="24"/>
        </w:rPr>
        <w:t>董事会秘书</w:t>
      </w:r>
      <w:r>
        <w:rPr>
          <w:rFonts w:hint="eastAsia" w:ascii="宋体" w:hAnsi="宋体" w:eastAsia="宋体" w:cs="宋体"/>
          <w:sz w:val="10"/>
        </w:rPr>
        <w:t>、</w:t>
      </w:r>
      <w:r>
        <w:rPr>
          <w:rFonts w:hint="eastAsia" w:ascii="宋体" w:hAnsi="宋体" w:eastAsia="宋体" w:cs="宋体"/>
          <w:sz w:val="24"/>
        </w:rPr>
        <w:t>财务总监</w:t>
      </w:r>
      <w:r>
        <w:rPr>
          <w:rFonts w:hint="eastAsia" w:ascii="宋体" w:hAnsi="宋体" w:eastAsia="宋体" w:cs="宋体"/>
          <w:sz w:val="10"/>
        </w:rPr>
        <w:t>，</w:t>
      </w:r>
      <w:r>
        <w:rPr>
          <w:rFonts w:hint="eastAsia" w:ascii="宋体" w:hAnsi="宋体" w:eastAsia="宋体" w:cs="宋体"/>
          <w:sz w:val="24"/>
        </w:rPr>
        <w:t>分管公司财务</w:t>
      </w:r>
      <w:r>
        <w:rPr>
          <w:rFonts w:hint="eastAsia" w:ascii="宋体" w:hAnsi="宋体" w:eastAsia="宋体" w:cs="宋体"/>
          <w:sz w:val="10"/>
        </w:rPr>
        <w:t>、</w:t>
      </w:r>
      <w:r>
        <w:rPr>
          <w:rFonts w:hint="eastAsia" w:ascii="宋体" w:hAnsi="宋体" w:eastAsia="宋体" w:cs="宋体"/>
          <w:sz w:val="24"/>
        </w:rPr>
        <w:t>行政及董事会秘书事务</w:t>
      </w:r>
      <w:r>
        <w:rPr>
          <w:rFonts w:hint="eastAsia" w:ascii="宋体" w:hAnsi="宋体" w:eastAsia="宋体" w:cs="宋体"/>
          <w:sz w:val="10"/>
        </w:rPr>
        <w:t>。</w:t>
      </w:r>
      <w:r>
        <w:rPr>
          <w:rFonts w:hint="eastAsia" w:ascii="宋体" w:hAnsi="宋体" w:eastAsia="宋体" w:cs="宋体"/>
          <w:sz w:val="24"/>
        </w:rPr>
        <w:t>赵伟先生曾获首届福建</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行业十大杰出青年奖</w:t>
      </w:r>
      <w:r>
        <w:rPr>
          <w:rFonts w:hint="eastAsia" w:ascii="宋体" w:hAnsi="宋体" w:eastAsia="宋体" w:cs="宋体"/>
          <w:sz w:val="10"/>
        </w:rPr>
        <w:t>、</w:t>
      </w:r>
      <w:r>
        <w:rPr>
          <w:rFonts w:hint="eastAsia" w:ascii="宋体" w:hAnsi="宋体" w:eastAsia="宋体" w:cs="宋体"/>
          <w:sz w:val="24"/>
        </w:rPr>
        <w:t>福建省科技进步奖</w:t>
      </w:r>
      <w:r>
        <w:rPr>
          <w:rFonts w:hint="eastAsia" w:ascii="宋体" w:hAnsi="宋体" w:eastAsia="宋体" w:cs="宋体"/>
          <w:sz w:val="10"/>
        </w:rPr>
        <w:t>、</w:t>
      </w:r>
      <w:r>
        <w:rPr>
          <w:rFonts w:hint="eastAsia" w:ascii="宋体" w:hAnsi="宋体" w:eastAsia="宋体" w:cs="宋体"/>
          <w:sz w:val="24"/>
        </w:rPr>
        <w:t>福州市科技进步奖</w:t>
      </w:r>
      <w:r>
        <w:rPr>
          <w:rFonts w:hint="eastAsia" w:ascii="宋体" w:hAnsi="宋体" w:eastAsia="宋体" w:cs="宋体"/>
          <w:sz w:val="10"/>
        </w:rPr>
        <w:t>。</w:t>
      </w:r>
      <w:r>
        <w:rPr>
          <w:rFonts w:hint="eastAsia" w:ascii="宋体" w:hAnsi="宋体" w:eastAsia="宋体" w:cs="宋体"/>
          <w:sz w:val="24"/>
        </w:rPr>
        <w:t>赵伟先生担任发行人董事的任期为</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雷世潘先生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1969</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毕业于中南民族学院电子技术专业</w:t>
      </w:r>
      <w:r>
        <w:rPr>
          <w:rFonts w:hint="eastAsia" w:ascii="宋体" w:hAnsi="宋体" w:eastAsia="宋体" w:cs="宋体"/>
          <w:sz w:val="10"/>
        </w:rPr>
        <w:t>。</w:t>
      </w:r>
      <w:r>
        <w:rPr>
          <w:rFonts w:hint="eastAsia" w:ascii="宋体" w:hAnsi="宋体" w:eastAsia="宋体" w:cs="宋体"/>
          <w:sz w:val="24"/>
        </w:rPr>
        <w:t>曾任福州市无线电二厂技术人员</w:t>
      </w:r>
      <w:r>
        <w:rPr>
          <w:rFonts w:hint="eastAsia" w:ascii="宋体" w:hAnsi="宋体" w:eastAsia="宋体" w:cs="宋体"/>
          <w:sz w:val="10"/>
        </w:rPr>
        <w:t>，</w:t>
      </w:r>
      <w:r>
        <w:rPr>
          <w:rFonts w:hint="eastAsia" w:ascii="宋体" w:hAnsi="宋体" w:eastAsia="宋体" w:cs="宋体"/>
          <w:sz w:val="24"/>
        </w:rPr>
        <w:t>福建顶点软件股份有限公司技术部经理</w:t>
      </w:r>
      <w:r>
        <w:rPr>
          <w:rFonts w:hint="eastAsia" w:ascii="宋体" w:hAnsi="宋体" w:eastAsia="宋体" w:cs="宋体"/>
          <w:sz w:val="10"/>
        </w:rPr>
        <w:t>、</w:t>
      </w:r>
      <w:r>
        <w:rPr>
          <w:rFonts w:hint="eastAsia" w:ascii="宋体" w:hAnsi="宋体" w:eastAsia="宋体" w:cs="宋体"/>
          <w:sz w:val="24"/>
        </w:rPr>
        <w:t>副总经理</w:t>
      </w:r>
      <w:r>
        <w:rPr>
          <w:rFonts w:hint="eastAsia" w:ascii="宋体" w:hAnsi="宋体" w:eastAsia="宋体" w:cs="宋体"/>
          <w:sz w:val="10"/>
        </w:rPr>
        <w:t>。</w:t>
      </w:r>
      <w:r>
        <w:rPr>
          <w:rFonts w:hint="eastAsia" w:ascii="宋体" w:hAnsi="宋体" w:eastAsia="宋体" w:cs="宋体"/>
          <w:sz w:val="24"/>
        </w:rPr>
        <w:t>现任公司副总经理</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分管公司市场营销及软件开发业务</w:t>
      </w:r>
      <w:r>
        <w:rPr>
          <w:rFonts w:hint="eastAsia" w:ascii="宋体" w:hAnsi="宋体" w:eastAsia="宋体" w:cs="宋体"/>
          <w:sz w:val="10"/>
        </w:rPr>
        <w:t>。</w:t>
      </w:r>
      <w:r>
        <w:rPr>
          <w:rFonts w:hint="eastAsia" w:ascii="宋体" w:hAnsi="宋体" w:eastAsia="宋体" w:cs="宋体"/>
          <w:sz w:val="24"/>
        </w:rPr>
        <w:t>雷世潘先生曾获福建省科技进步奖</w:t>
      </w:r>
      <w:r>
        <w:rPr>
          <w:rFonts w:hint="eastAsia" w:ascii="宋体" w:hAnsi="宋体" w:eastAsia="宋体" w:cs="宋体"/>
          <w:sz w:val="10"/>
        </w:rPr>
        <w:t>、</w:t>
      </w:r>
      <w:r>
        <w:rPr>
          <w:rFonts w:hint="eastAsia" w:ascii="宋体" w:hAnsi="宋体" w:eastAsia="宋体" w:cs="宋体"/>
          <w:sz w:val="24"/>
        </w:rPr>
        <w:t>福州市科技进步奖</w:t>
      </w:r>
      <w:r>
        <w:rPr>
          <w:rFonts w:hint="eastAsia" w:ascii="宋体" w:hAnsi="宋体" w:eastAsia="宋体" w:cs="宋体"/>
          <w:sz w:val="10"/>
        </w:rPr>
        <w:t>、</w:t>
      </w:r>
      <w:r>
        <w:rPr>
          <w:rFonts w:hint="eastAsia" w:ascii="Times New Roman" w:hAnsi="Times New Roman" w:eastAsia="Times New Roman" w:cs="Times New Roman"/>
          <w:sz w:val="24"/>
        </w:rPr>
        <w:t>2010</w:t>
      </w:r>
      <w:r>
        <w:rPr>
          <w:rFonts w:hint="eastAsia" w:ascii="宋体" w:hAnsi="宋体" w:eastAsia="宋体" w:cs="宋体"/>
          <w:sz w:val="24"/>
        </w:rPr>
        <w:t xml:space="preserve"> 年福建省软件骨干人才带领产业化科技项目领头人</w:t>
      </w:r>
      <w:r>
        <w:rPr>
          <w:rFonts w:hint="eastAsia" w:ascii="宋体" w:hAnsi="宋体" w:eastAsia="宋体" w:cs="宋体"/>
          <w:sz w:val="10"/>
        </w:rPr>
        <w:t>。</w:t>
      </w:r>
      <w:r>
        <w:rPr>
          <w:rFonts w:hint="eastAsia" w:ascii="宋体" w:hAnsi="宋体" w:eastAsia="宋体" w:cs="宋体"/>
          <w:sz w:val="24"/>
        </w:rPr>
        <w:t>雷世潘先生担任发行人董事的任期为</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黄义青先生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1970</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毕业于北方工业大学工业自动化仪表专业</w:t>
      </w:r>
      <w:r>
        <w:rPr>
          <w:rFonts w:hint="eastAsia" w:ascii="宋体" w:hAnsi="宋体" w:eastAsia="宋体" w:cs="宋体"/>
          <w:sz w:val="10"/>
        </w:rPr>
        <w:t>，</w:t>
      </w:r>
      <w:r>
        <w:rPr>
          <w:rFonts w:hint="eastAsia" w:ascii="宋体" w:hAnsi="宋体" w:eastAsia="宋体" w:cs="宋体"/>
          <w:sz w:val="24"/>
        </w:rPr>
        <w:t>工学学士</w:t>
      </w:r>
      <w:r>
        <w:rPr>
          <w:rFonts w:hint="eastAsia" w:ascii="宋体" w:hAnsi="宋体" w:eastAsia="宋体" w:cs="宋体"/>
          <w:sz w:val="10"/>
        </w:rPr>
        <w:t>，</w:t>
      </w:r>
      <w:r>
        <w:rPr>
          <w:rFonts w:hint="eastAsia" w:ascii="宋体" w:hAnsi="宋体" w:eastAsia="宋体" w:cs="宋体"/>
          <w:sz w:val="24"/>
        </w:rPr>
        <w:t>新加坡南洋理工大学高级工商管理硕士学位</w:t>
      </w:r>
      <w:r>
        <w:rPr>
          <w:rFonts w:hint="eastAsia" w:ascii="宋体" w:hAnsi="宋体" w:eastAsia="宋体" w:cs="宋体"/>
          <w:sz w:val="10"/>
        </w:rPr>
        <w:t>。</w:t>
      </w:r>
      <w:r>
        <w:rPr>
          <w:rFonts w:hint="eastAsia" w:ascii="宋体" w:hAnsi="宋体" w:eastAsia="宋体" w:cs="宋体"/>
          <w:sz w:val="24"/>
        </w:rPr>
        <w:t>曾任职于福建省电子联合发展有限公司</w:t>
      </w:r>
      <w:r>
        <w:rPr>
          <w:rFonts w:hint="eastAsia" w:ascii="宋体" w:hAnsi="宋体" w:eastAsia="宋体" w:cs="宋体"/>
          <w:sz w:val="10"/>
        </w:rPr>
        <w:t>、</w:t>
      </w:r>
      <w:r>
        <w:rPr>
          <w:rFonts w:hint="eastAsia" w:ascii="宋体" w:hAnsi="宋体" w:eastAsia="宋体" w:cs="宋体"/>
          <w:sz w:val="24"/>
        </w:rPr>
        <w:t>北京达因力合科技发展股份有限公司福州分公司</w:t>
      </w:r>
      <w:r>
        <w:rPr>
          <w:rFonts w:hint="eastAsia" w:ascii="宋体" w:hAnsi="宋体" w:eastAsia="宋体" w:cs="宋体"/>
          <w:sz w:val="10"/>
        </w:rPr>
        <w:t>、</w:t>
      </w:r>
      <w:r>
        <w:rPr>
          <w:rFonts w:hint="eastAsia" w:ascii="宋体" w:hAnsi="宋体" w:eastAsia="宋体" w:cs="宋体"/>
          <w:sz w:val="24"/>
        </w:rPr>
        <w:t>北京达因博达系统集成技术有限公司</w:t>
      </w:r>
      <w:r>
        <w:rPr>
          <w:rFonts w:hint="eastAsia" w:ascii="宋体" w:hAnsi="宋体" w:eastAsia="宋体" w:cs="宋体"/>
          <w:sz w:val="10"/>
        </w:rPr>
        <w:t>、</w:t>
      </w:r>
      <w:r>
        <w:rPr>
          <w:rFonts w:hint="eastAsia" w:ascii="宋体" w:hAnsi="宋体" w:eastAsia="宋体" w:cs="宋体"/>
          <w:sz w:val="24"/>
        </w:rPr>
        <w:t>北京融汇兴业网络技术有限公司</w:t>
      </w:r>
      <w:r>
        <w:rPr>
          <w:rFonts w:hint="eastAsia" w:ascii="宋体" w:hAnsi="宋体" w:eastAsia="宋体" w:cs="宋体"/>
          <w:sz w:val="10"/>
        </w:rPr>
        <w:t>。</w:t>
      </w:r>
      <w:r>
        <w:rPr>
          <w:rFonts w:hint="eastAsia" w:ascii="Times New Roman" w:hAnsi="Times New Roman" w:eastAsia="Times New Roman" w:cs="Times New Roman"/>
          <w:sz w:val="24"/>
        </w:rPr>
        <w:t>2002</w:t>
      </w:r>
      <w:r>
        <w:rPr>
          <w:rFonts w:hint="eastAsia" w:ascii="宋体" w:hAnsi="宋体" w:eastAsia="宋体" w:cs="宋体"/>
          <w:sz w:val="24"/>
        </w:rPr>
        <w:t xml:space="preserve"> 年任福建顶点软件股份有限公司市场总监</w:t>
      </w:r>
      <w:r>
        <w:rPr>
          <w:rFonts w:hint="eastAsia" w:ascii="宋体" w:hAnsi="宋体" w:eastAsia="宋体" w:cs="宋体"/>
          <w:sz w:val="10"/>
        </w:rPr>
        <w:t>，</w:t>
      </w:r>
      <w:r>
        <w:rPr>
          <w:rFonts w:hint="eastAsia" w:ascii="宋体" w:hAnsi="宋体" w:eastAsia="宋体" w:cs="宋体"/>
          <w:sz w:val="24"/>
        </w:rPr>
        <w:t>现任公司董事</w:t>
      </w:r>
      <w:r>
        <w:rPr>
          <w:rFonts w:hint="eastAsia" w:ascii="宋体" w:hAnsi="宋体" w:eastAsia="宋体" w:cs="宋体"/>
          <w:sz w:val="10"/>
        </w:rPr>
        <w:t>、</w:t>
      </w:r>
      <w:r>
        <w:rPr>
          <w:rFonts w:hint="eastAsia" w:ascii="宋体" w:hAnsi="宋体" w:eastAsia="宋体" w:cs="宋体"/>
          <w:sz w:val="24"/>
        </w:rPr>
        <w:t>市场总监</w:t>
      </w:r>
      <w:r>
        <w:rPr>
          <w:rFonts w:hint="eastAsia" w:ascii="宋体" w:hAnsi="宋体" w:eastAsia="宋体" w:cs="宋体"/>
          <w:sz w:val="10"/>
        </w:rPr>
        <w:t>，</w:t>
      </w:r>
      <w:r>
        <w:rPr>
          <w:rFonts w:hint="eastAsia" w:ascii="宋体" w:hAnsi="宋体" w:eastAsia="宋体" w:cs="宋体"/>
          <w:sz w:val="24"/>
        </w:rPr>
        <w:t>主持公司证券行业市场营销工作</w:t>
      </w:r>
      <w:r>
        <w:rPr>
          <w:rFonts w:hint="eastAsia" w:ascii="宋体" w:hAnsi="宋体" w:eastAsia="宋体" w:cs="宋体"/>
          <w:sz w:val="10"/>
        </w:rPr>
        <w:t>。</w:t>
      </w:r>
      <w:r>
        <w:rPr>
          <w:rFonts w:hint="eastAsia" w:ascii="宋体" w:hAnsi="宋体" w:eastAsia="宋体" w:cs="宋体"/>
          <w:sz w:val="24"/>
        </w:rPr>
        <w:t>黄义青先生担任发行人董事的任期为</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李军先生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1967</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研究生学历</w:t>
      </w:r>
      <w:r>
        <w:rPr>
          <w:rFonts w:hint="eastAsia" w:ascii="宋体" w:hAnsi="宋体" w:eastAsia="宋体" w:cs="宋体"/>
          <w:sz w:val="10"/>
        </w:rPr>
        <w:t>，</w:t>
      </w:r>
      <w:r>
        <w:rPr>
          <w:rFonts w:hint="eastAsia" w:ascii="宋体" w:hAnsi="宋体" w:eastAsia="宋体" w:cs="宋体"/>
          <w:sz w:val="24"/>
        </w:rPr>
        <w:t>毕业于电子科技大学</w:t>
      </w:r>
      <w:r>
        <w:rPr>
          <w:rFonts w:hint="eastAsia" w:ascii="宋体" w:hAnsi="宋体" w:eastAsia="宋体" w:cs="宋体"/>
          <w:sz w:val="10"/>
        </w:rPr>
        <w:t>。</w:t>
      </w:r>
      <w:r>
        <w:rPr>
          <w:rFonts w:hint="eastAsia" w:ascii="宋体" w:hAnsi="宋体" w:eastAsia="宋体" w:cs="宋体"/>
          <w:sz w:val="24"/>
        </w:rPr>
        <w:t>曾任职于湖南省衡阳市南华大学</w:t>
      </w:r>
      <w:r>
        <w:rPr>
          <w:rFonts w:hint="eastAsia" w:ascii="宋体" w:hAnsi="宋体" w:eastAsia="宋体" w:cs="宋体"/>
          <w:sz w:val="10"/>
        </w:rPr>
        <w:t>、</w:t>
      </w:r>
      <w:r>
        <w:rPr>
          <w:rFonts w:hint="eastAsia" w:ascii="宋体" w:hAnsi="宋体" w:eastAsia="宋体" w:cs="宋体"/>
          <w:sz w:val="24"/>
        </w:rPr>
        <w:t>深圳华彤科技公司</w:t>
      </w:r>
      <w:r>
        <w:rPr>
          <w:rFonts w:hint="eastAsia" w:ascii="宋体" w:hAnsi="宋体" w:eastAsia="宋体" w:cs="宋体"/>
          <w:sz w:val="10"/>
        </w:rPr>
        <w:t>、</w:t>
      </w:r>
      <w:r>
        <w:rPr>
          <w:rFonts w:hint="eastAsia" w:ascii="宋体" w:hAnsi="宋体" w:eastAsia="宋体" w:cs="宋体"/>
          <w:sz w:val="24"/>
        </w:rPr>
        <w:t>国泰君安证券股份有限公司</w:t>
      </w:r>
      <w:r>
        <w:rPr>
          <w:rFonts w:hint="eastAsia" w:ascii="宋体" w:hAnsi="宋体" w:eastAsia="宋体" w:cs="宋体"/>
          <w:sz w:val="10"/>
        </w:rPr>
        <w:t>，</w:t>
      </w:r>
      <w:r>
        <w:rPr>
          <w:rFonts w:hint="eastAsia" w:ascii="Times New Roman" w:hAnsi="Times New Roman" w:eastAsia="Times New Roman" w:cs="Times New Roman"/>
          <w:sz w:val="24"/>
        </w:rPr>
        <w:t>2000</w:t>
      </w:r>
      <w:r>
        <w:rPr>
          <w:rFonts w:hint="eastAsia" w:ascii="宋体" w:hAnsi="宋体" w:eastAsia="宋体" w:cs="宋体"/>
          <w:sz w:val="24"/>
        </w:rPr>
        <w:t xml:space="preserve"> 年起就职于中信证券</w:t>
      </w:r>
      <w:r>
        <w:rPr>
          <w:rFonts w:hint="eastAsia" w:ascii="宋体" w:hAnsi="宋体" w:eastAsia="宋体" w:cs="宋体"/>
          <w:sz w:val="10"/>
        </w:rPr>
        <w:t>。</w:t>
      </w:r>
      <w:r>
        <w:rPr>
          <w:rFonts w:hint="eastAsia" w:ascii="宋体" w:hAnsi="宋体" w:eastAsia="宋体" w:cs="宋体"/>
          <w:sz w:val="24"/>
        </w:rPr>
        <w:t>现任中信证券执行总经理（</w:t>
      </w:r>
      <w:r>
        <w:rPr>
          <w:rFonts w:hint="eastAsia" w:ascii="Times New Roman" w:hAnsi="Times New Roman" w:eastAsia="Times New Roman" w:cs="Times New Roman"/>
          <w:sz w:val="24"/>
        </w:rPr>
        <w:t>ED</w:t>
      </w:r>
      <w:r>
        <w:rPr>
          <w:rFonts w:hint="eastAsia" w:ascii="宋体" w:hAnsi="宋体" w:eastAsia="宋体" w:cs="宋体"/>
          <w:sz w:val="24"/>
        </w:rPr>
        <w:t>）。</w:t>
      </w:r>
      <w:r>
        <w:rPr>
          <w:rFonts w:hint="eastAsia" w:ascii="宋体" w:hAnsi="宋体" w:eastAsia="宋体" w:cs="宋体"/>
          <w:sz w:val="24"/>
        </w:rPr>
        <w:t>李军先生担任发行人董事的任期为</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徐青女士</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1974</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研究生学历</w:t>
      </w:r>
      <w:r>
        <w:rPr>
          <w:rFonts w:hint="eastAsia" w:ascii="宋体" w:hAnsi="宋体" w:eastAsia="宋体" w:cs="宋体"/>
          <w:sz w:val="10"/>
        </w:rPr>
        <w:t>，</w:t>
      </w:r>
      <w:r>
        <w:rPr>
          <w:rFonts w:hint="eastAsia" w:ascii="宋体" w:hAnsi="宋体" w:eastAsia="宋体" w:cs="宋体"/>
          <w:sz w:val="24"/>
        </w:rPr>
        <w:t>毕业</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1-1-187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于江苏大学</w:t>
      </w:r>
      <w:r>
        <w:rPr>
          <w:rFonts w:hint="eastAsia" w:ascii="宋体" w:hAnsi="宋体" w:eastAsia="宋体" w:cs="宋体"/>
          <w:sz w:val="10"/>
        </w:rPr>
        <w:t>，</w:t>
      </w:r>
      <w:r>
        <w:rPr>
          <w:rFonts w:hint="eastAsia" w:ascii="宋体" w:hAnsi="宋体" w:eastAsia="宋体" w:cs="宋体"/>
          <w:sz w:val="24"/>
        </w:rPr>
        <w:t>中国注册会计师</w:t>
      </w:r>
      <w:r>
        <w:rPr>
          <w:rFonts w:hint="eastAsia" w:ascii="宋体" w:hAnsi="宋体" w:eastAsia="宋体" w:cs="宋体"/>
          <w:sz w:val="10"/>
        </w:rPr>
        <w:t>、</w:t>
      </w:r>
      <w:r>
        <w:rPr>
          <w:rFonts w:hint="eastAsia" w:ascii="宋体" w:hAnsi="宋体" w:eastAsia="宋体" w:cs="宋体"/>
          <w:sz w:val="24"/>
        </w:rPr>
        <w:t>注册税务师</w:t>
      </w:r>
      <w:r>
        <w:rPr>
          <w:rFonts w:hint="eastAsia" w:ascii="宋体" w:hAnsi="宋体" w:eastAsia="宋体" w:cs="宋体"/>
          <w:sz w:val="10"/>
        </w:rPr>
        <w:t>。</w:t>
      </w:r>
      <w:r>
        <w:rPr>
          <w:rFonts w:hint="eastAsia" w:ascii="Times New Roman" w:hAnsi="Times New Roman" w:eastAsia="Times New Roman" w:cs="Times New Roman"/>
          <w:sz w:val="24"/>
        </w:rPr>
        <w:t>2004</w:t>
      </w:r>
      <w:r>
        <w:rPr>
          <w:rFonts w:hint="eastAsia" w:ascii="宋体" w:hAnsi="宋体" w:eastAsia="宋体" w:cs="宋体"/>
          <w:sz w:val="24"/>
        </w:rPr>
        <w:t xml:space="preserve"> 年至今</w:t>
      </w:r>
      <w:r>
        <w:rPr>
          <w:rFonts w:hint="eastAsia" w:ascii="宋体" w:hAnsi="宋体" w:eastAsia="宋体" w:cs="宋体"/>
          <w:sz w:val="10"/>
        </w:rPr>
        <w:t>，</w:t>
      </w:r>
      <w:r>
        <w:rPr>
          <w:rFonts w:hint="eastAsia" w:ascii="宋体" w:hAnsi="宋体" w:eastAsia="宋体" w:cs="宋体"/>
          <w:sz w:val="24"/>
        </w:rPr>
        <w:t>任教于福建江夏学院</w:t>
      </w:r>
      <w:r>
        <w:rPr>
          <w:rFonts w:hint="eastAsia" w:ascii="宋体" w:hAnsi="宋体" w:eastAsia="宋体" w:cs="宋体"/>
          <w:sz w:val="10"/>
        </w:rPr>
        <w:t>，</w:t>
      </w:r>
      <w:r>
        <w:rPr>
          <w:rFonts w:hint="eastAsia" w:ascii="宋体" w:hAnsi="宋体" w:eastAsia="宋体" w:cs="宋体"/>
          <w:sz w:val="24"/>
        </w:rPr>
        <w:t>现任会计学院副教授</w:t>
      </w:r>
      <w:r>
        <w:rPr>
          <w:rFonts w:hint="eastAsia" w:ascii="宋体" w:hAnsi="宋体" w:eastAsia="宋体" w:cs="宋体"/>
          <w:sz w:val="10"/>
        </w:rPr>
        <w:t>。</w:t>
      </w:r>
      <w:r>
        <w:rPr>
          <w:rFonts w:hint="eastAsia" w:ascii="宋体" w:hAnsi="宋体" w:eastAsia="宋体" w:cs="宋体"/>
          <w:sz w:val="24"/>
        </w:rPr>
        <w:t>徐青女士担任发行人董事的任期为</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叶东毅先生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1964</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法国图卢兹大学毕业</w:t>
      </w:r>
      <w:r>
        <w:rPr>
          <w:rFonts w:hint="eastAsia" w:ascii="宋体" w:hAnsi="宋体" w:eastAsia="宋体" w:cs="宋体"/>
          <w:sz w:val="10"/>
        </w:rPr>
        <w:t>，</w:t>
      </w:r>
      <w:r>
        <w:rPr>
          <w:rFonts w:hint="eastAsia" w:ascii="宋体" w:hAnsi="宋体" w:eastAsia="宋体" w:cs="宋体"/>
          <w:sz w:val="24"/>
        </w:rPr>
        <w:t>博士学位</w:t>
      </w:r>
      <w:r>
        <w:rPr>
          <w:rFonts w:hint="eastAsia" w:ascii="宋体" w:hAnsi="宋体" w:eastAsia="宋体" w:cs="宋体"/>
          <w:sz w:val="10"/>
        </w:rPr>
        <w:t>，</w:t>
      </w:r>
      <w:r>
        <w:rPr>
          <w:rFonts w:hint="eastAsia" w:ascii="宋体" w:hAnsi="宋体" w:eastAsia="宋体" w:cs="宋体"/>
          <w:sz w:val="24"/>
        </w:rPr>
        <w:t>研究生学历</w:t>
      </w:r>
      <w:r>
        <w:rPr>
          <w:rFonts w:hint="eastAsia" w:ascii="宋体" w:hAnsi="宋体" w:eastAsia="宋体" w:cs="宋体"/>
          <w:sz w:val="10"/>
        </w:rPr>
        <w:t>，</w:t>
      </w:r>
      <w:r>
        <w:rPr>
          <w:rFonts w:hint="eastAsia" w:ascii="宋体" w:hAnsi="宋体" w:eastAsia="宋体" w:cs="宋体"/>
          <w:sz w:val="24"/>
        </w:rPr>
        <w:t>福州大学数学与计算机科学学院教授</w:t>
      </w:r>
      <w:r>
        <w:rPr>
          <w:rFonts w:hint="eastAsia" w:ascii="宋体" w:hAnsi="宋体" w:eastAsia="宋体" w:cs="宋体"/>
          <w:sz w:val="10"/>
        </w:rPr>
        <w:t>、</w:t>
      </w:r>
      <w:r>
        <w:rPr>
          <w:rFonts w:hint="eastAsia" w:ascii="宋体" w:hAnsi="宋体" w:eastAsia="宋体" w:cs="宋体"/>
          <w:sz w:val="24"/>
        </w:rPr>
        <w:t>博士生导师</w:t>
      </w:r>
      <w:r>
        <w:rPr>
          <w:rFonts w:hint="eastAsia" w:ascii="宋体" w:hAnsi="宋体" w:eastAsia="宋体" w:cs="宋体"/>
          <w:sz w:val="10"/>
        </w:rPr>
        <w:t>，</w:t>
      </w:r>
      <w:r>
        <w:rPr>
          <w:rFonts w:hint="eastAsia" w:ascii="宋体" w:hAnsi="宋体" w:eastAsia="宋体" w:cs="宋体"/>
          <w:sz w:val="24"/>
        </w:rPr>
        <w:t>福建省信息产业专家委员会委员</w:t>
      </w:r>
      <w:r>
        <w:rPr>
          <w:rFonts w:hint="eastAsia" w:ascii="宋体" w:hAnsi="宋体" w:eastAsia="宋体" w:cs="宋体"/>
          <w:sz w:val="10"/>
        </w:rPr>
        <w:t>，</w:t>
      </w:r>
      <w:r>
        <w:rPr>
          <w:rFonts w:hint="eastAsia" w:ascii="宋体" w:hAnsi="宋体" w:eastAsia="宋体" w:cs="宋体"/>
          <w:sz w:val="24"/>
        </w:rPr>
        <w:t>福建省计算机学会副理事长</w:t>
      </w:r>
      <w:r>
        <w:rPr>
          <w:rFonts w:hint="eastAsia" w:ascii="宋体" w:hAnsi="宋体" w:eastAsia="宋体" w:cs="宋体"/>
          <w:sz w:val="10"/>
        </w:rPr>
        <w:t>，</w:t>
      </w:r>
      <w:r>
        <w:rPr>
          <w:rFonts w:hint="eastAsia" w:ascii="宋体" w:hAnsi="宋体" w:eastAsia="宋体" w:cs="宋体"/>
          <w:sz w:val="24"/>
        </w:rPr>
        <w:t>福建省人工智能学会常务理事</w:t>
      </w:r>
      <w:r>
        <w:rPr>
          <w:rFonts w:hint="eastAsia" w:ascii="宋体" w:hAnsi="宋体" w:eastAsia="宋体" w:cs="宋体"/>
          <w:sz w:val="10"/>
        </w:rPr>
        <w:t>，</w:t>
      </w:r>
      <w:r>
        <w:rPr>
          <w:rFonts w:hint="eastAsia" w:ascii="宋体" w:hAnsi="宋体" w:eastAsia="宋体" w:cs="宋体"/>
          <w:sz w:val="24"/>
        </w:rPr>
        <w:t>福建省软件行业协会理事</w:t>
      </w:r>
      <w:r>
        <w:rPr>
          <w:rFonts w:hint="eastAsia" w:ascii="宋体" w:hAnsi="宋体" w:eastAsia="宋体" w:cs="宋体"/>
          <w:sz w:val="10"/>
        </w:rPr>
        <w:t>，</w:t>
      </w:r>
      <w:r>
        <w:rPr>
          <w:rFonts w:hint="eastAsia" w:ascii="宋体" w:hAnsi="宋体" w:eastAsia="宋体" w:cs="宋体"/>
          <w:sz w:val="24"/>
        </w:rPr>
        <w:t>主要从事计算智能与数据挖掘等领域的教学与科研工作</w:t>
      </w:r>
      <w:r>
        <w:rPr>
          <w:rFonts w:hint="eastAsia" w:ascii="宋体" w:hAnsi="宋体" w:eastAsia="宋体" w:cs="宋体"/>
          <w:sz w:val="10"/>
        </w:rPr>
        <w:t>，</w:t>
      </w:r>
      <w:r>
        <w:rPr>
          <w:rFonts w:hint="eastAsia" w:ascii="宋体" w:hAnsi="宋体" w:eastAsia="宋体" w:cs="宋体"/>
          <w:sz w:val="24"/>
        </w:rPr>
        <w:t>研究成果分别获得国家科技进步二等奖</w:t>
      </w:r>
      <w:r>
        <w:rPr>
          <w:rFonts w:hint="eastAsia" w:ascii="宋体" w:hAnsi="宋体" w:eastAsia="宋体" w:cs="宋体"/>
          <w:sz w:val="10"/>
        </w:rPr>
        <w:t>、</w:t>
      </w:r>
      <w:r>
        <w:rPr>
          <w:rFonts w:hint="eastAsia" w:ascii="宋体" w:hAnsi="宋体" w:eastAsia="宋体" w:cs="宋体"/>
          <w:sz w:val="24"/>
        </w:rPr>
        <w:t>福建省科学技术三等奖</w:t>
      </w:r>
      <w:r>
        <w:rPr>
          <w:rFonts w:hint="eastAsia" w:ascii="宋体" w:hAnsi="宋体" w:eastAsia="宋体" w:cs="宋体"/>
          <w:sz w:val="10"/>
        </w:rPr>
        <w:t>、二</w:t>
      </w:r>
      <w:r>
        <w:rPr>
          <w:rFonts w:hint="eastAsia" w:ascii="宋体" w:hAnsi="宋体" w:eastAsia="宋体" w:cs="宋体"/>
          <w:sz w:val="24"/>
        </w:rPr>
        <w:t>等奖</w:t>
      </w:r>
      <w:r>
        <w:rPr>
          <w:rFonts w:hint="eastAsia" w:ascii="宋体" w:hAnsi="宋体" w:eastAsia="宋体" w:cs="宋体"/>
          <w:sz w:val="10"/>
        </w:rPr>
        <w:t>。</w:t>
      </w:r>
      <w:r>
        <w:rPr>
          <w:rFonts w:hint="eastAsia" w:ascii="宋体" w:hAnsi="宋体" w:eastAsia="宋体" w:cs="宋体"/>
          <w:sz w:val="24"/>
        </w:rPr>
        <w:t>叶东毅同时福建星网锐捷通讯股份有限公司</w:t>
      </w:r>
      <w:r>
        <w:rPr>
          <w:rFonts w:hint="eastAsia" w:ascii="宋体" w:hAnsi="宋体" w:eastAsia="宋体" w:cs="宋体"/>
          <w:sz w:val="10"/>
        </w:rPr>
        <w:t>、</w:t>
      </w:r>
      <w:r>
        <w:rPr>
          <w:rFonts w:hint="eastAsia" w:ascii="宋体" w:hAnsi="宋体" w:eastAsia="宋体" w:cs="宋体"/>
          <w:sz w:val="24"/>
        </w:rPr>
        <w:t>福建博思软件股份有限公司独立董事</w:t>
      </w:r>
      <w:r>
        <w:rPr>
          <w:rFonts w:hint="eastAsia" w:ascii="宋体" w:hAnsi="宋体" w:eastAsia="宋体" w:cs="宋体"/>
          <w:sz w:val="10"/>
        </w:rPr>
        <w:t>。</w:t>
      </w:r>
      <w:r>
        <w:rPr>
          <w:rFonts w:hint="eastAsia" w:ascii="宋体" w:hAnsi="宋体" w:eastAsia="宋体" w:cs="宋体"/>
          <w:sz w:val="24"/>
        </w:rPr>
        <w:t>叶东毅担任发行人独立董事的任期为</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29</w:t>
      </w:r>
      <w:r>
        <w:rPr>
          <w:rFonts w:hint="eastAsia" w:ascii="宋体" w:hAnsi="宋体" w:eastAsia="宋体" w:cs="宋体"/>
          <w:sz w:val="24"/>
        </w:rPr>
        <w:t>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齐伟先生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1977</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上海华东政法学院法学学士</w:t>
      </w:r>
      <w:r>
        <w:rPr>
          <w:rFonts w:hint="eastAsia" w:ascii="宋体" w:hAnsi="宋体" w:eastAsia="宋体" w:cs="宋体"/>
          <w:sz w:val="10"/>
        </w:rPr>
        <w:t>，</w:t>
      </w:r>
      <w:r>
        <w:rPr>
          <w:rFonts w:hint="eastAsia" w:ascii="宋体" w:hAnsi="宋体" w:eastAsia="宋体" w:cs="宋体"/>
          <w:sz w:val="24"/>
        </w:rPr>
        <w:t>具有律师执业资格</w:t>
      </w:r>
      <w:r>
        <w:rPr>
          <w:rFonts w:hint="eastAsia" w:ascii="宋体" w:hAnsi="宋体" w:eastAsia="宋体" w:cs="宋体"/>
          <w:sz w:val="10"/>
        </w:rPr>
        <w:t>。</w:t>
      </w:r>
      <w:r>
        <w:rPr>
          <w:rFonts w:hint="eastAsia" w:ascii="Times New Roman" w:hAnsi="Times New Roman" w:eastAsia="Times New Roman" w:cs="Times New Roman"/>
          <w:sz w:val="24"/>
        </w:rPr>
        <w:t>2000</w:t>
      </w:r>
      <w:r>
        <w:rPr>
          <w:rFonts w:hint="eastAsia" w:ascii="宋体" w:hAnsi="宋体" w:eastAsia="宋体" w:cs="宋体"/>
          <w:sz w:val="24"/>
        </w:rPr>
        <w:t xml:space="preserve"> 年加入创元律师事务所</w:t>
      </w:r>
      <w:r>
        <w:rPr>
          <w:rFonts w:hint="eastAsia" w:ascii="宋体" w:hAnsi="宋体" w:eastAsia="宋体" w:cs="宋体"/>
          <w:sz w:val="10"/>
        </w:rPr>
        <w:t>，</w:t>
      </w:r>
      <w:r>
        <w:rPr>
          <w:rFonts w:hint="eastAsia" w:ascii="Times New Roman" w:hAnsi="Times New Roman" w:eastAsia="Times New Roman" w:cs="Times New Roman"/>
          <w:sz w:val="24"/>
        </w:rPr>
        <w:t>2005</w:t>
      </w:r>
      <w:r>
        <w:rPr>
          <w:rFonts w:hint="eastAsia" w:ascii="宋体" w:hAnsi="宋体" w:eastAsia="宋体" w:cs="宋体"/>
          <w:sz w:val="24"/>
        </w:rPr>
        <w:t xml:space="preserve"> 年成为创元律师事务所合伙人</w:t>
      </w:r>
      <w:r>
        <w:rPr>
          <w:rFonts w:hint="eastAsia" w:ascii="宋体" w:hAnsi="宋体" w:eastAsia="宋体" w:cs="宋体"/>
          <w:sz w:val="10"/>
        </w:rPr>
        <w:t>，</w:t>
      </w:r>
      <w:r>
        <w:rPr>
          <w:rFonts w:hint="eastAsia" w:ascii="Times New Roman" w:hAnsi="Times New Roman" w:eastAsia="Times New Roman" w:cs="Times New Roman"/>
          <w:sz w:val="24"/>
        </w:rPr>
        <w:t>2013</w:t>
      </w:r>
      <w:r>
        <w:rPr>
          <w:rFonts w:hint="eastAsia" w:ascii="宋体" w:hAnsi="宋体" w:eastAsia="宋体" w:cs="宋体"/>
          <w:sz w:val="24"/>
        </w:rPr>
        <w:t xml:space="preserve"> 年至</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月担任创元律师事务所主任</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10</w:t>
      </w:r>
      <w:r>
        <w:rPr>
          <w:rFonts w:hint="eastAsia" w:ascii="宋体" w:hAnsi="宋体" w:eastAsia="宋体" w:cs="宋体"/>
          <w:sz w:val="24"/>
        </w:rPr>
        <w:t xml:space="preserve"> 月加入北京大成（福州）律师事务所</w:t>
      </w:r>
      <w:r>
        <w:rPr>
          <w:rFonts w:hint="eastAsia" w:ascii="宋体" w:hAnsi="宋体" w:eastAsia="宋体" w:cs="宋体"/>
          <w:sz w:val="10"/>
        </w:rPr>
        <w:t>，</w:t>
      </w:r>
      <w:r>
        <w:rPr>
          <w:rFonts w:hint="eastAsia" w:ascii="宋体" w:hAnsi="宋体" w:eastAsia="宋体" w:cs="宋体"/>
          <w:sz w:val="24"/>
        </w:rPr>
        <w:t>现任高级合伙人并担任事务所管理委员会执行委员</w:t>
      </w:r>
      <w:r>
        <w:rPr>
          <w:rFonts w:hint="eastAsia" w:ascii="宋体" w:hAnsi="宋体" w:eastAsia="宋体" w:cs="宋体"/>
          <w:sz w:val="10"/>
        </w:rPr>
        <w:t>。</w:t>
      </w:r>
      <w:r>
        <w:rPr>
          <w:rFonts w:hint="eastAsia" w:ascii="宋体" w:hAnsi="宋体" w:eastAsia="宋体" w:cs="宋体"/>
          <w:sz w:val="24"/>
        </w:rPr>
        <w:t>齐伟先生担任发行人独立董事的任期为</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29</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年</w:t>
      </w:r>
      <w:r>
        <w:rPr>
          <w:rFonts w:hint="eastAsia" w:ascii="Times New Roman" w:hAnsi="Times New Roman" w:eastAsia="Times New Roman" w:cs="Times New Roman"/>
          <w:sz w:val="24"/>
        </w:rPr>
        <w:t>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（二）监事</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本公司监事会由</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名监事组成</w:t>
      </w:r>
      <w:r>
        <w:rPr>
          <w:rFonts w:hint="eastAsia" w:ascii="宋体" w:hAnsi="宋体" w:eastAsia="宋体" w:cs="宋体"/>
          <w:sz w:val="10"/>
        </w:rPr>
        <w:t>，</w:t>
      </w:r>
      <w:r>
        <w:rPr>
          <w:rFonts w:hint="eastAsia" w:ascii="宋体" w:hAnsi="宋体" w:eastAsia="宋体" w:cs="宋体"/>
          <w:sz w:val="24"/>
        </w:rPr>
        <w:t>其基本情况如下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7660" w:type="auto"/>
        <w:tblInd w:w="2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680"/>
        <w:gridCol w:w="3960"/>
      </w:tblGrid>
      <w:tr>
        <w:trPr>
          <w:trHeight w:val="740" w:hRule="exact"/>
        </w:trPr>
        <w:tc>
          <w:tcPr>
            <w:tcW w:w="7640" w:type="dxa"/>
            <w:gridSpan w:val="2"/>
            <w:tcMar>
              <w:top w:w="0" w:type="dxa"/>
              <w:left w:w="0" w:type="dxa"/>
              <w:bottom w:w="0" w:type="dxa"/>
              <w:right w:w="0" w:type="dxa"/>
            </w:tcMar>
          </w:tcPr>
          <w:p>
            <w:pPr>
              <w:tabs>
                <w:tab w:val="left" w:pos="5320"/>
              </w:tabs>
              <w:spacing w:before="220"/>
              <w:ind w:left="1520"/>
            </w:pPr>
            <w:r>
              <w:rPr>
                <w:rFonts w:hint="eastAsia" w:ascii="宋体" w:hAnsi="宋体" w:eastAsia="宋体" w:cs="宋体"/>
                <w:b/>
                <w:sz w:val="21"/>
              </w:rPr>
              <w:t>姓 名</w:t>
            </w:r>
            <w:r>
              <w:tab/>
            </w:r>
            <w:r>
              <w:rPr>
                <w:rFonts w:hint="eastAsia" w:ascii="宋体" w:hAnsi="宋体" w:eastAsia="宋体" w:cs="宋体"/>
                <w:b/>
                <w:sz w:val="21"/>
              </w:rPr>
              <w:t>职 位</w:t>
            </w:r>
          </w:p>
        </w:tc>
      </w:tr>
      <w:tr>
        <w:trPr>
          <w:trHeight w:val="640" w:hRule="exact"/>
        </w:trPr>
        <w:tc>
          <w:tcPr>
            <w:tcW w:w="3680" w:type="dxa"/>
            <w:tcMar>
              <w:top w:w="0" w:type="dxa"/>
              <w:left w:w="0" w:type="dxa"/>
              <w:bottom w:w="0" w:type="dxa"/>
              <w:right w:w="0" w:type="dxa"/>
            </w:tcMar>
          </w:tcPr>
          <w:p>
            <w:pPr>
              <w:spacing w:before="120"/>
              <w:ind w:left="1620"/>
            </w:pPr>
            <w:r>
              <w:rPr>
                <w:rFonts w:hint="eastAsia" w:ascii="宋体" w:hAnsi="宋体" w:eastAsia="宋体" w:cs="宋体"/>
                <w:sz w:val="21"/>
              </w:rPr>
              <w:t>欧永</w:t>
            </w:r>
          </w:p>
        </w:tc>
        <w:tc>
          <w:tcPr>
            <w:tcW w:w="3960" w:type="dxa"/>
            <w:tcMar>
              <w:top w:w="0" w:type="dxa"/>
              <w:left w:w="0" w:type="dxa"/>
              <w:bottom w:w="0" w:type="dxa"/>
              <w:right w:w="0" w:type="dxa"/>
            </w:tcMar>
          </w:tcPr>
          <w:p>
            <w:pPr>
              <w:spacing w:before="120"/>
              <w:ind w:left="240"/>
            </w:pPr>
            <w:r>
              <w:rPr>
                <w:rFonts w:hint="eastAsia" w:ascii="宋体" w:hAnsi="宋体" w:eastAsia="宋体" w:cs="宋体"/>
                <w:sz w:val="21"/>
              </w:rPr>
              <w:t>监事会主席</w:t>
            </w:r>
            <w:r>
              <w:rPr>
                <w:rFonts w:hint="eastAsia" w:ascii="宋体" w:hAnsi="宋体" w:eastAsia="宋体" w:cs="宋体"/>
                <w:sz w:val="10"/>
              </w:rPr>
              <w:t>、</w:t>
            </w:r>
            <w:r>
              <w:rPr>
                <w:rFonts w:hint="eastAsia" w:ascii="Times New Roman" w:hAnsi="Times New Roman" w:eastAsia="Times New Roman" w:cs="Times New Roman"/>
                <w:sz w:val="21"/>
              </w:rPr>
              <w:t>BPM</w:t>
            </w:r>
            <w:r>
              <w:rPr>
                <w:rFonts w:hint="eastAsia" w:ascii="宋体" w:hAnsi="宋体" w:eastAsia="宋体" w:cs="宋体"/>
                <w:sz w:val="21"/>
              </w:rPr>
              <w:t xml:space="preserve"> 发展事业部总经理</w:t>
            </w:r>
          </w:p>
        </w:tc>
      </w:tr>
      <w:tr>
        <w:trPr>
          <w:trHeight w:val="560" w:hRule="exact"/>
        </w:trPr>
        <w:tc>
          <w:tcPr>
            <w:tcW w:w="3680" w:type="dxa"/>
            <w:tcMar>
              <w:top w:w="0" w:type="dxa"/>
              <w:left w:w="0" w:type="dxa"/>
              <w:bottom w:w="0" w:type="dxa"/>
              <w:right w:w="0" w:type="dxa"/>
            </w:tcMar>
          </w:tcPr>
          <w:p>
            <w:pPr>
              <w:spacing w:before="120"/>
              <w:ind w:left="1520"/>
            </w:pPr>
            <w:r>
              <w:rPr>
                <w:rFonts w:hint="eastAsia" w:ascii="宋体" w:hAnsi="宋体" w:eastAsia="宋体" w:cs="宋体"/>
                <w:sz w:val="21"/>
              </w:rPr>
              <w:t>张家荣</w:t>
            </w:r>
          </w:p>
        </w:tc>
        <w:tc>
          <w:tcPr>
            <w:tcW w:w="3960" w:type="dxa"/>
            <w:tcMar>
              <w:top w:w="0" w:type="dxa"/>
              <w:left w:w="0" w:type="dxa"/>
              <w:bottom w:w="0" w:type="dxa"/>
              <w:right w:w="0" w:type="dxa"/>
            </w:tcMar>
          </w:tcPr>
          <w:p>
            <w:pPr>
              <w:spacing w:before="120"/>
              <w:ind w:left="1740"/>
            </w:pPr>
            <w:r>
              <w:rPr>
                <w:rFonts w:hint="eastAsia" w:ascii="宋体" w:hAnsi="宋体" w:eastAsia="宋体" w:cs="宋体"/>
                <w:sz w:val="21"/>
              </w:rPr>
              <w:t>监事</w:t>
            </w:r>
          </w:p>
        </w:tc>
      </w:tr>
      <w:tr>
        <w:trPr>
          <w:trHeight w:val="640" w:hRule="exact"/>
        </w:trPr>
        <w:tc>
          <w:tcPr>
            <w:tcW w:w="3680" w:type="dxa"/>
            <w:tcMar>
              <w:top w:w="0" w:type="dxa"/>
              <w:left w:w="0" w:type="dxa"/>
              <w:bottom w:w="0" w:type="dxa"/>
              <w:right w:w="0" w:type="dxa"/>
            </w:tcMar>
          </w:tcPr>
          <w:p>
            <w:pPr>
              <w:spacing w:before="220"/>
              <w:ind w:left="1520"/>
            </w:pPr>
            <w:r>
              <w:rPr>
                <w:rFonts w:hint="eastAsia" w:ascii="宋体" w:hAnsi="宋体" w:eastAsia="宋体" w:cs="宋体"/>
                <w:sz w:val="21"/>
              </w:rPr>
              <w:t>郑元通</w:t>
            </w:r>
          </w:p>
        </w:tc>
        <w:tc>
          <w:tcPr>
            <w:tcW w:w="3960" w:type="dxa"/>
            <w:tcMar>
              <w:top w:w="0" w:type="dxa"/>
              <w:left w:w="0" w:type="dxa"/>
              <w:bottom w:w="0" w:type="dxa"/>
              <w:right w:w="0" w:type="dxa"/>
            </w:tcMar>
          </w:tcPr>
          <w:p>
            <w:pPr>
              <w:spacing w:before="220"/>
              <w:ind w:left="100"/>
            </w:pPr>
            <w:r>
              <w:rPr>
                <w:rFonts w:hint="eastAsia" w:ascii="宋体" w:hAnsi="宋体" w:eastAsia="宋体" w:cs="宋体"/>
                <w:sz w:val="21"/>
              </w:rPr>
              <w:t>职工代表监事</w:t>
            </w:r>
            <w:r>
              <w:rPr>
                <w:rFonts w:hint="eastAsia" w:ascii="宋体" w:hAnsi="宋体" w:eastAsia="宋体" w:cs="宋体"/>
                <w:sz w:val="10"/>
              </w:rPr>
              <w:t>、</w:t>
            </w:r>
            <w:r>
              <w:rPr>
                <w:rFonts w:hint="eastAsia" w:ascii="宋体" w:hAnsi="宋体" w:eastAsia="宋体" w:cs="宋体"/>
                <w:sz w:val="21"/>
              </w:rPr>
              <w:t>金融证券事业部技术总监</w:t>
            </w:r>
          </w:p>
        </w:tc>
      </w:tr>
    </w:tbl>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本公司监事任期</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任期届满后可以连选连任</w:t>
      </w:r>
      <w:r>
        <w:rPr>
          <w:rFonts w:hint="eastAsia" w:ascii="宋体" w:hAnsi="宋体" w:eastAsia="宋体" w:cs="宋体"/>
          <w:sz w:val="10"/>
        </w:rPr>
        <w:t>。</w:t>
      </w:r>
      <w:r>
        <w:rPr>
          <w:rFonts w:hint="eastAsia" w:ascii="宋体" w:hAnsi="宋体" w:eastAsia="宋体" w:cs="宋体"/>
          <w:sz w:val="24"/>
        </w:rPr>
        <w:t>本届监事任期至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8</w:t>
      </w:r>
      <w:r>
        <w:rPr>
          <w:rFonts w:hint="eastAsia" w:ascii="宋体" w:hAnsi="宋体" w:eastAsia="宋体" w:cs="宋体"/>
          <w:sz w:val="24"/>
        </w:rPr>
        <w:t>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本公司现任监事简历如下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1-1-188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87888" behindDoc="false" locked="false" layoutInCell="true" allowOverlap="true">
                <wp:simplePos x="0" y="0"/>
                <wp:positionH relativeFrom="page">
                  <wp:posOffset>1079500</wp:posOffset>
                </wp:positionH>
                <wp:positionV relativeFrom="page">
                  <wp:posOffset>6413500</wp:posOffset>
                </wp:positionV>
                <wp:extent cx="584200" cy="215900"/>
                <wp:effectExtent l="0" t="0" r="22225" b="31115"/>
                <wp:wrapNone/>
                <wp:docPr id="10147" name="shape10147"/>
                <wp:cNvGraphicFramePr/>
                <a:graphic>
                  <a:graphicData uri="http://schemas.microsoft.com/office/word/2010/wordprocessingShape">
                    <wps:wsp>
                      <wps:cNvSpPr/>
                      <wps:spPr>
                        <a:xfrm>
                          <a:off x="0" y="0"/>
                          <a:ext cx="584200" cy="215900"/>
                        </a:xfrm>
                        <a:prstGeom prst="rect">
                          <a:avLst/>
                        </a:prstGeom>
                      </wps:spPr>
                      <wps:txbx>
                        <w:txbxContent>
                          <w:p>
                            <w:pPr>
                              <w:spacing w:line="-240" w:lineRule="exact"/>
                              <w:ind w:left="0"/>
                              <w:jc w:val="both"/>
                            </w:pPr>
                            <w:r>
                              <w:rPr>
                                <w:rFonts w:hint="eastAsia" w:ascii="宋体" w:hAnsi="宋体" w:eastAsia="宋体" w:cs="宋体"/>
                                <w:sz w:val="24"/>
                              </w:rPr>
                              <w:t>下</w:t>
                            </w:r>
                            <w:r>
                              <w:rPr>
                                <w:rFonts w:hint="eastAsia" w:ascii="宋体" w:hAnsi="宋体" w:eastAsia="宋体" w:cs="宋体"/>
                                <w:sz w:val="12"/>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6pt;height:17pt;margin-left:85pt;margin-top:505pt;mso-wrap-style:none;z-index:10287888;mso-wrap-distance-left:9pt;mso-wrap-distance-top:0pt;mso-wrap-distance-right:9pt;mso-wrap-distance-bottom:0pt" id="shape10147" o:spid="1618382360156" stroked="f">
                <v:textbox>
                  <w:txbxContent>
                    <w:p>
                      <w:pPr>
                        <w:spacing w:line="-240" w:lineRule="exact"/>
                        <w:ind w:left="0"/>
                        <w:jc w:val="both"/>
                      </w:pPr>
                      <w:r>
                        <w:rPr>
                          <w:rFonts w:hint="eastAsia" w:ascii="宋体" w:hAnsi="宋体" w:eastAsia="宋体" w:cs="宋体"/>
                          <w:sz w:val="24"/>
                        </w:rPr>
                        <w:t>下</w:t>
                      </w:r>
                      <w:r>
                        <w:rPr>
                          <w:rFonts w:hint="eastAsia" w:ascii="宋体" w:hAnsi="宋体" w:eastAsia="宋体" w:cs="宋体"/>
                          <w:sz w:val="12"/>
                        </w:rPr>
                        <w:t>：</w:t>
                      </w:r>
                    </w:p>
                  </w:txbxContent>
                </v:textbox>
              </v:rect>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欧永先生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1971</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中专学历</w:t>
      </w:r>
      <w:r>
        <w:rPr>
          <w:rFonts w:hint="eastAsia" w:ascii="宋体" w:hAnsi="宋体" w:eastAsia="宋体" w:cs="宋体"/>
          <w:sz w:val="10"/>
        </w:rPr>
        <w:t>。</w:t>
      </w:r>
      <w:r>
        <w:rPr>
          <w:rFonts w:hint="eastAsia" w:ascii="宋体" w:hAnsi="宋体" w:eastAsia="宋体" w:cs="宋体"/>
          <w:sz w:val="24"/>
        </w:rPr>
        <w:t>曾担任淮南轴瓦厂技术员</w:t>
      </w:r>
      <w:r>
        <w:rPr>
          <w:rFonts w:hint="eastAsia" w:ascii="宋体" w:hAnsi="宋体" w:eastAsia="宋体" w:cs="宋体"/>
          <w:sz w:val="10"/>
        </w:rPr>
        <w:t>，</w:t>
      </w:r>
      <w:r>
        <w:rPr>
          <w:rFonts w:hint="eastAsia" w:ascii="宋体" w:hAnsi="宋体" w:eastAsia="宋体" w:cs="宋体"/>
          <w:sz w:val="24"/>
        </w:rPr>
        <w:t>福建顶点软件股份有限公司业务经理</w:t>
      </w:r>
      <w:r>
        <w:rPr>
          <w:rFonts w:hint="eastAsia" w:ascii="宋体" w:hAnsi="宋体" w:eastAsia="宋体" w:cs="宋体"/>
          <w:sz w:val="10"/>
        </w:rPr>
        <w:t>。</w:t>
      </w:r>
      <w:r>
        <w:rPr>
          <w:rFonts w:hint="eastAsia" w:ascii="宋体" w:hAnsi="宋体" w:eastAsia="宋体" w:cs="宋体"/>
          <w:sz w:val="24"/>
        </w:rPr>
        <w:t>现任发行人</w:t>
      </w:r>
      <w:r>
        <w:rPr>
          <w:rFonts w:hint="eastAsia" w:ascii="Times New Roman" w:hAnsi="Times New Roman" w:eastAsia="Times New Roman" w:cs="Times New Roman"/>
          <w:sz w:val="24"/>
        </w:rPr>
        <w:t xml:space="preserve"> BPM</w:t>
      </w:r>
      <w:r>
        <w:rPr>
          <w:rFonts w:hint="eastAsia" w:ascii="宋体" w:hAnsi="宋体" w:eastAsia="宋体" w:cs="宋体"/>
          <w:sz w:val="24"/>
        </w:rPr>
        <w:t xml:space="preserve"> 发展事业部总经理</w:t>
      </w:r>
      <w:r>
        <w:rPr>
          <w:rFonts w:hint="eastAsia" w:ascii="宋体" w:hAnsi="宋体" w:eastAsia="宋体" w:cs="宋体"/>
          <w:sz w:val="10"/>
        </w:rPr>
        <w:t>、</w:t>
      </w:r>
      <w:r>
        <w:rPr>
          <w:rFonts w:hint="eastAsia" w:ascii="宋体" w:hAnsi="宋体" w:eastAsia="宋体" w:cs="宋体"/>
          <w:sz w:val="24"/>
        </w:rPr>
        <w:t>监事会主席</w:t>
      </w:r>
      <w:r>
        <w:rPr>
          <w:rFonts w:hint="eastAsia" w:ascii="宋体" w:hAnsi="宋体" w:eastAsia="宋体" w:cs="宋体"/>
          <w:sz w:val="10"/>
        </w:rPr>
        <w:t>，</w:t>
      </w:r>
      <w:r>
        <w:rPr>
          <w:rFonts w:hint="eastAsia" w:ascii="宋体" w:hAnsi="宋体" w:eastAsia="宋体" w:cs="宋体"/>
          <w:sz w:val="24"/>
        </w:rPr>
        <w:t>主持公司证券以外市场营销工作</w:t>
      </w:r>
      <w:r>
        <w:rPr>
          <w:rFonts w:hint="eastAsia" w:ascii="宋体" w:hAnsi="宋体" w:eastAsia="宋体" w:cs="宋体"/>
          <w:sz w:val="10"/>
        </w:rPr>
        <w:t>。</w:t>
      </w:r>
      <w:r>
        <w:rPr>
          <w:rFonts w:hint="eastAsia" w:ascii="宋体" w:hAnsi="宋体" w:eastAsia="宋体" w:cs="宋体"/>
          <w:sz w:val="24"/>
        </w:rPr>
        <w:t>欧永先生担任发行人监事的任期为</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张家荣先生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1981</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拥有英国伦敦大学亚非学院法学硕士和深圳大学法学学士学位</w:t>
      </w:r>
      <w:r>
        <w:rPr>
          <w:rFonts w:hint="eastAsia" w:ascii="宋体" w:hAnsi="宋体" w:eastAsia="宋体" w:cs="宋体"/>
          <w:sz w:val="10"/>
        </w:rPr>
        <w:t>，</w:t>
      </w:r>
      <w:r>
        <w:rPr>
          <w:rFonts w:hint="eastAsia" w:ascii="宋体" w:hAnsi="宋体" w:eastAsia="宋体" w:cs="宋体"/>
          <w:sz w:val="24"/>
        </w:rPr>
        <w:t>曾先后任职于深圳仲裁委员会</w:t>
      </w:r>
      <w:r>
        <w:rPr>
          <w:rFonts w:hint="eastAsia" w:ascii="宋体" w:hAnsi="宋体" w:eastAsia="宋体" w:cs="宋体"/>
          <w:sz w:val="10"/>
        </w:rPr>
        <w:t>、</w:t>
      </w:r>
      <w:r>
        <w:rPr>
          <w:rFonts w:hint="eastAsia" w:ascii="宋体" w:hAnsi="宋体" w:eastAsia="宋体" w:cs="宋体"/>
          <w:sz w:val="24"/>
        </w:rPr>
        <w:t>地平线律师事务所</w:t>
      </w:r>
      <w:r>
        <w:rPr>
          <w:rFonts w:hint="eastAsia" w:ascii="宋体" w:hAnsi="宋体" w:eastAsia="宋体" w:cs="宋体"/>
          <w:sz w:val="10"/>
        </w:rPr>
        <w:t>、</w:t>
      </w:r>
      <w:r>
        <w:rPr>
          <w:rFonts w:hint="eastAsia" w:ascii="宋体" w:hAnsi="宋体" w:eastAsia="宋体" w:cs="宋体"/>
          <w:sz w:val="24"/>
        </w:rPr>
        <w:t>中信证券及中信建投证券</w:t>
      </w:r>
      <w:r>
        <w:rPr>
          <w:rFonts w:hint="eastAsia" w:ascii="宋体" w:hAnsi="宋体" w:eastAsia="宋体" w:cs="宋体"/>
          <w:sz w:val="10"/>
        </w:rPr>
        <w:t>，</w:t>
      </w:r>
      <w:r>
        <w:rPr>
          <w:rFonts w:hint="eastAsia" w:ascii="宋体" w:hAnsi="宋体" w:eastAsia="宋体" w:cs="宋体"/>
          <w:sz w:val="24"/>
        </w:rPr>
        <w:t>现任金石投资有限公司法律合规部副总裁</w:t>
      </w:r>
      <w:r>
        <w:rPr>
          <w:rFonts w:hint="eastAsia" w:ascii="宋体" w:hAnsi="宋体" w:eastAsia="宋体" w:cs="宋体"/>
          <w:sz w:val="10"/>
        </w:rPr>
        <w:t>。</w:t>
      </w:r>
      <w:r>
        <w:rPr>
          <w:rFonts w:hint="eastAsia" w:ascii="宋体" w:hAnsi="宋体" w:eastAsia="宋体" w:cs="宋体"/>
          <w:sz w:val="24"/>
        </w:rPr>
        <w:t>张家荣先生担任发行人监事的任期为</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29</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月</w:t>
      </w:r>
      <w:r>
        <w:rPr>
          <w:rFonts w:hint="eastAsia" w:ascii="Times New Roman" w:hAnsi="Times New Roman" w:eastAsia="Times New Roman" w:cs="Times New Roman"/>
          <w:sz w:val="24"/>
        </w:rPr>
        <w:t>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郑元通先生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1975</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毕业于福州大学技术软件及应用专业</w:t>
      </w:r>
      <w:r>
        <w:rPr>
          <w:rFonts w:hint="eastAsia" w:ascii="宋体" w:hAnsi="宋体" w:eastAsia="宋体" w:cs="宋体"/>
          <w:sz w:val="10"/>
        </w:rPr>
        <w:t>。</w:t>
      </w:r>
      <w:r>
        <w:rPr>
          <w:rFonts w:hint="eastAsia" w:ascii="宋体" w:hAnsi="宋体" w:eastAsia="宋体" w:cs="宋体"/>
          <w:sz w:val="24"/>
        </w:rPr>
        <w:t>曾担任福州智联科技有限公司软件开发经理</w:t>
      </w:r>
      <w:r>
        <w:rPr>
          <w:rFonts w:hint="eastAsia" w:ascii="宋体" w:hAnsi="宋体" w:eastAsia="宋体" w:cs="宋体"/>
          <w:sz w:val="10"/>
        </w:rPr>
        <w:t>，</w:t>
      </w:r>
      <w:r>
        <w:rPr>
          <w:rFonts w:hint="eastAsia" w:ascii="宋体" w:hAnsi="宋体" w:eastAsia="宋体" w:cs="宋体"/>
          <w:sz w:val="24"/>
        </w:rPr>
        <w:t>福建顶点软件股份有限公司软件开发工程师</w:t>
      </w:r>
      <w:r>
        <w:rPr>
          <w:rFonts w:hint="eastAsia" w:ascii="宋体" w:hAnsi="宋体" w:eastAsia="宋体" w:cs="宋体"/>
          <w:sz w:val="10"/>
        </w:rPr>
        <w:t>、</w:t>
      </w:r>
      <w:r>
        <w:rPr>
          <w:rFonts w:hint="eastAsia" w:ascii="宋体" w:hAnsi="宋体" w:eastAsia="宋体" w:cs="宋体"/>
          <w:sz w:val="24"/>
        </w:rPr>
        <w:t>开发经理</w:t>
      </w:r>
      <w:r>
        <w:rPr>
          <w:rFonts w:hint="eastAsia" w:ascii="宋体" w:hAnsi="宋体" w:eastAsia="宋体" w:cs="宋体"/>
          <w:sz w:val="10"/>
        </w:rPr>
        <w:t>、</w:t>
      </w:r>
      <w:r>
        <w:rPr>
          <w:rFonts w:hint="eastAsia" w:ascii="宋体" w:hAnsi="宋体" w:eastAsia="宋体" w:cs="宋体"/>
          <w:sz w:val="24"/>
        </w:rPr>
        <w:t>证券事业部技术总监</w:t>
      </w:r>
      <w:r>
        <w:rPr>
          <w:rFonts w:hint="eastAsia" w:ascii="宋体" w:hAnsi="宋体" w:eastAsia="宋体" w:cs="宋体"/>
          <w:sz w:val="10"/>
        </w:rPr>
        <w:t>。</w:t>
      </w:r>
      <w:r>
        <w:rPr>
          <w:rFonts w:hint="eastAsia" w:ascii="宋体" w:hAnsi="宋体" w:eastAsia="宋体" w:cs="宋体"/>
          <w:sz w:val="24"/>
        </w:rPr>
        <w:t>现任发行人金融证券事业部技术总监</w:t>
      </w:r>
      <w:r>
        <w:rPr>
          <w:rFonts w:hint="eastAsia" w:ascii="宋体" w:hAnsi="宋体" w:eastAsia="宋体" w:cs="宋体"/>
          <w:sz w:val="10"/>
        </w:rPr>
        <w:t>，</w:t>
      </w:r>
      <w:r>
        <w:rPr>
          <w:rFonts w:hint="eastAsia" w:ascii="宋体" w:hAnsi="宋体" w:eastAsia="宋体" w:cs="宋体"/>
          <w:sz w:val="24"/>
        </w:rPr>
        <w:t>负责证券行业的软件开发业务</w:t>
      </w:r>
      <w:r>
        <w:rPr>
          <w:rFonts w:hint="eastAsia" w:ascii="宋体" w:hAnsi="宋体" w:eastAsia="宋体" w:cs="宋体"/>
          <w:sz w:val="12"/>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郑元通先生还兼任中国证券期货行业应急处置技术顾问</w:t>
      </w:r>
      <w:r>
        <w:rPr>
          <w:rFonts w:hint="eastAsia" w:ascii="宋体" w:hAnsi="宋体" w:eastAsia="宋体" w:cs="宋体"/>
          <w:sz w:val="10"/>
        </w:rPr>
        <w:t>。</w:t>
      </w:r>
      <w:r>
        <w:rPr>
          <w:rFonts w:hint="eastAsia" w:ascii="宋体" w:hAnsi="宋体" w:eastAsia="宋体" w:cs="宋体"/>
          <w:sz w:val="24"/>
        </w:rPr>
        <w:t>郑元通先生担任发行人监事的任期为</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（三）高级管理人员</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本公司共有高级管理人员</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名</w:t>
      </w:r>
      <w:r>
        <w:rPr>
          <w:rFonts w:hint="eastAsia" w:ascii="宋体" w:hAnsi="宋体" w:eastAsia="宋体" w:cs="宋体"/>
          <w:sz w:val="10"/>
        </w:rPr>
        <w:t>，</w:t>
      </w:r>
      <w:r>
        <w:rPr>
          <w:rFonts w:hint="eastAsia" w:ascii="宋体" w:hAnsi="宋体" w:eastAsia="宋体" w:cs="宋体"/>
          <w:sz w:val="24"/>
        </w:rPr>
        <w:t>其基本情况如</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6900" w:type="auto"/>
        <w:tblInd w:w="25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980"/>
        <w:gridCol w:w="4900"/>
      </w:tblGrid>
      <w:tr>
        <w:trPr>
          <w:trHeight w:val="640" w:hRule="exact"/>
        </w:trPr>
        <w:tc>
          <w:tcPr>
            <w:tcW w:w="1980" w:type="dxa"/>
            <w:tcMar>
              <w:top w:w="0" w:type="dxa"/>
              <w:left w:w="0" w:type="dxa"/>
              <w:bottom w:w="0" w:type="dxa"/>
              <w:right w:w="0" w:type="dxa"/>
            </w:tcMar>
          </w:tcPr>
          <w:p>
            <w:pPr>
              <w:spacing w:before="200"/>
              <w:ind w:left="660"/>
            </w:pPr>
            <w:r>
              <w:rPr>
                <w:rFonts w:hint="eastAsia" w:ascii="宋体" w:hAnsi="宋体" w:eastAsia="宋体" w:cs="宋体"/>
                <w:b/>
                <w:sz w:val="21"/>
              </w:rPr>
              <w:t>姓 名</w:t>
            </w:r>
          </w:p>
        </w:tc>
        <w:tc>
          <w:tcPr>
            <w:tcW w:w="4900" w:type="dxa"/>
            <w:tcMar>
              <w:top w:w="0" w:type="dxa"/>
              <w:left w:w="0" w:type="dxa"/>
              <w:bottom w:w="0" w:type="dxa"/>
              <w:right w:w="0" w:type="dxa"/>
            </w:tcMar>
          </w:tcPr>
          <w:p>
            <w:pPr>
              <w:spacing w:before="200"/>
              <w:ind w:left="2120"/>
            </w:pPr>
            <w:r>
              <w:rPr>
                <w:rFonts w:hint="eastAsia" w:ascii="宋体" w:hAnsi="宋体" w:eastAsia="宋体" w:cs="宋体"/>
                <w:b/>
                <w:sz w:val="21"/>
              </w:rPr>
              <w:t>职 位</w:t>
            </w:r>
          </w:p>
        </w:tc>
      </w:tr>
      <w:tr>
        <w:trPr>
          <w:trHeight w:val="640" w:hRule="exact"/>
        </w:trPr>
        <w:tc>
          <w:tcPr>
            <w:tcW w:w="1980" w:type="dxa"/>
            <w:tcMar>
              <w:top w:w="0" w:type="dxa"/>
              <w:left w:w="0" w:type="dxa"/>
              <w:bottom w:w="0" w:type="dxa"/>
              <w:right w:w="0" w:type="dxa"/>
            </w:tcMar>
          </w:tcPr>
          <w:p>
            <w:pPr>
              <w:spacing w:before="220"/>
              <w:ind w:left="660"/>
            </w:pPr>
            <w:r>
              <w:rPr>
                <w:rFonts w:hint="eastAsia" w:ascii="宋体" w:hAnsi="宋体" w:eastAsia="宋体" w:cs="宋体"/>
                <w:sz w:val="21"/>
              </w:rPr>
              <w:t>严孟宇</w:t>
            </w:r>
          </w:p>
        </w:tc>
        <w:tc>
          <w:tcPr>
            <w:tcW w:w="4900" w:type="dxa"/>
            <w:tcMar>
              <w:top w:w="0" w:type="dxa"/>
              <w:left w:w="0" w:type="dxa"/>
              <w:bottom w:w="0" w:type="dxa"/>
              <w:right w:w="0" w:type="dxa"/>
            </w:tcMar>
          </w:tcPr>
          <w:p>
            <w:pPr>
              <w:spacing w:before="220"/>
              <w:ind w:left="1700"/>
            </w:pPr>
            <w:r>
              <w:rPr>
                <w:rFonts w:hint="eastAsia" w:ascii="宋体" w:hAnsi="宋体" w:eastAsia="宋体" w:cs="宋体"/>
                <w:sz w:val="21"/>
              </w:rPr>
              <w:t>董事长</w:t>
            </w:r>
            <w:r>
              <w:rPr>
                <w:rFonts w:hint="eastAsia" w:ascii="宋体" w:hAnsi="宋体" w:eastAsia="宋体" w:cs="宋体"/>
                <w:sz w:val="10"/>
              </w:rPr>
              <w:t>、</w:t>
            </w:r>
            <w:r>
              <w:rPr>
                <w:rFonts w:hint="eastAsia" w:ascii="宋体" w:hAnsi="宋体" w:eastAsia="宋体" w:cs="宋体"/>
                <w:sz w:val="21"/>
              </w:rPr>
              <w:t>总经理</w:t>
            </w:r>
          </w:p>
        </w:tc>
      </w:tr>
      <w:tr>
        <w:trPr>
          <w:trHeight w:val="740" w:hRule="exact"/>
        </w:trPr>
        <w:tc>
          <w:tcPr>
            <w:tcW w:w="1980" w:type="dxa"/>
            <w:tcMar>
              <w:top w:w="0" w:type="dxa"/>
              <w:left w:w="0" w:type="dxa"/>
              <w:bottom w:w="0" w:type="dxa"/>
              <w:right w:w="0" w:type="dxa"/>
            </w:tcMar>
          </w:tcPr>
          <w:p>
            <w:pPr>
              <w:spacing w:before="200"/>
              <w:ind w:left="760"/>
            </w:pPr>
            <w:r>
              <w:rPr>
                <w:rFonts w:hint="eastAsia" w:ascii="宋体" w:hAnsi="宋体" w:eastAsia="宋体" w:cs="宋体"/>
                <w:sz w:val="21"/>
              </w:rPr>
              <w:t>赵伟</w:t>
            </w:r>
          </w:p>
        </w:tc>
        <w:tc>
          <w:tcPr>
            <w:tcW w:w="4900" w:type="dxa"/>
            <w:tcMar>
              <w:top w:w="0" w:type="dxa"/>
              <w:left w:w="0" w:type="dxa"/>
              <w:bottom w:w="0" w:type="dxa"/>
              <w:right w:w="0" w:type="dxa"/>
            </w:tcMar>
          </w:tcPr>
          <w:p>
            <w:pPr>
              <w:spacing w:before="200"/>
              <w:ind w:left="340"/>
            </w:pPr>
            <w:r>
              <w:rPr>
                <w:rFonts w:hint="eastAsia" w:ascii="宋体" w:hAnsi="宋体" w:eastAsia="宋体" w:cs="宋体"/>
                <w:sz w:val="21"/>
              </w:rPr>
              <w:t>副董事长</w:t>
            </w:r>
            <w:r>
              <w:rPr>
                <w:rFonts w:hint="eastAsia" w:ascii="宋体" w:hAnsi="宋体" w:eastAsia="宋体" w:cs="宋体"/>
                <w:sz w:val="10"/>
              </w:rPr>
              <w:t>、</w:t>
            </w:r>
            <w:r>
              <w:rPr>
                <w:rFonts w:hint="eastAsia" w:ascii="宋体" w:hAnsi="宋体" w:eastAsia="宋体" w:cs="宋体"/>
                <w:sz w:val="21"/>
              </w:rPr>
              <w:t>副总经理</w:t>
            </w:r>
            <w:r>
              <w:rPr>
                <w:rFonts w:hint="eastAsia" w:ascii="宋体" w:hAnsi="宋体" w:eastAsia="宋体" w:cs="宋体"/>
                <w:sz w:val="10"/>
              </w:rPr>
              <w:t>、</w:t>
            </w:r>
            <w:r>
              <w:rPr>
                <w:rFonts w:hint="eastAsia" w:ascii="宋体" w:hAnsi="宋体" w:eastAsia="宋体" w:cs="宋体"/>
                <w:sz w:val="21"/>
              </w:rPr>
              <w:t>财务总监</w:t>
            </w:r>
            <w:r>
              <w:rPr>
                <w:rFonts w:hint="eastAsia" w:ascii="宋体" w:hAnsi="宋体" w:eastAsia="宋体" w:cs="宋体"/>
                <w:sz w:val="10"/>
              </w:rPr>
              <w:t>、</w:t>
            </w:r>
            <w:r>
              <w:rPr>
                <w:rFonts w:hint="eastAsia" w:ascii="宋体" w:hAnsi="宋体" w:eastAsia="宋体" w:cs="宋体"/>
                <w:sz w:val="21"/>
              </w:rPr>
              <w:t>董事会秘书</w:t>
            </w:r>
          </w:p>
        </w:tc>
      </w:tr>
      <w:tr>
        <w:trPr>
          <w:trHeight w:val="560" w:hRule="exact"/>
        </w:trPr>
        <w:tc>
          <w:tcPr>
            <w:tcW w:w="1980" w:type="dxa"/>
            <w:tcMar>
              <w:top w:w="0" w:type="dxa"/>
              <w:left w:w="0" w:type="dxa"/>
              <w:bottom w:w="0" w:type="dxa"/>
              <w:right w:w="0" w:type="dxa"/>
            </w:tcMar>
          </w:tcPr>
          <w:p>
            <w:pPr>
              <w:spacing w:before="120"/>
              <w:ind w:left="660"/>
            </w:pPr>
            <w:r>
              <w:rPr>
                <w:rFonts w:hint="eastAsia" w:ascii="宋体" w:hAnsi="宋体" w:eastAsia="宋体" w:cs="宋体"/>
                <w:sz w:val="21"/>
              </w:rPr>
              <w:t>雷世潘</w:t>
            </w:r>
          </w:p>
        </w:tc>
        <w:tc>
          <w:tcPr>
            <w:tcW w:w="4900" w:type="dxa"/>
            <w:tcMar>
              <w:top w:w="0" w:type="dxa"/>
              <w:left w:w="0" w:type="dxa"/>
              <w:bottom w:w="0" w:type="dxa"/>
              <w:right w:w="0" w:type="dxa"/>
            </w:tcMar>
          </w:tcPr>
          <w:p>
            <w:pPr>
              <w:spacing w:before="120"/>
              <w:ind w:left="1700"/>
            </w:pPr>
            <w:r>
              <w:rPr>
                <w:rFonts w:hint="eastAsia" w:ascii="宋体" w:hAnsi="宋体" w:eastAsia="宋体" w:cs="宋体"/>
                <w:sz w:val="21"/>
              </w:rPr>
              <w:t>董事</w:t>
            </w:r>
            <w:r>
              <w:rPr>
                <w:rFonts w:hint="eastAsia" w:ascii="宋体" w:hAnsi="宋体" w:eastAsia="宋体" w:cs="宋体"/>
                <w:sz w:val="10"/>
              </w:rPr>
              <w:t>、</w:t>
            </w:r>
            <w:r>
              <w:rPr>
                <w:rFonts w:hint="eastAsia" w:ascii="宋体" w:hAnsi="宋体" w:eastAsia="宋体" w:cs="宋体"/>
                <w:sz w:val="21"/>
              </w:rPr>
              <w:t>副总经理</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宋体" w:hAnsi="宋体" w:eastAsia="宋体" w:cs="宋体"/>
          <w:sz w:val="24"/>
        </w:rPr>
        <w:t>严孟宇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雷世潘简历参见本部分之</w:t>
      </w:r>
      <w:r>
        <w:rPr>
          <w:rFonts w:hint="eastAsia" w:ascii="宋体" w:hAnsi="宋体" w:eastAsia="宋体" w:cs="宋体"/>
          <w:sz w:val="10"/>
        </w:rPr>
        <w:t>“（一）</w:t>
      </w:r>
      <w:r>
        <w:rPr>
          <w:rFonts w:hint="eastAsia" w:ascii="宋体" w:hAnsi="宋体" w:eastAsia="宋体" w:cs="宋体"/>
          <w:sz w:val="24"/>
        </w:rPr>
        <w:t>董事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（四）核心技术人员</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本公司共有核心技术人员</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名</w:t>
      </w:r>
      <w:r>
        <w:rPr>
          <w:rFonts w:hint="eastAsia" w:ascii="宋体" w:hAnsi="宋体" w:eastAsia="宋体" w:cs="宋体"/>
          <w:sz w:val="10"/>
        </w:rPr>
        <w:t>，</w:t>
      </w:r>
      <w:r>
        <w:rPr>
          <w:rFonts w:hint="eastAsia" w:ascii="宋体" w:hAnsi="宋体" w:eastAsia="宋体" w:cs="宋体"/>
          <w:sz w:val="24"/>
        </w:rPr>
        <w:t>其基本情况如</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1-1-189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328848" behindDoc="false" locked="false" layoutInCell="true" allowOverlap="true">
                <wp:simplePos x="0" y="0"/>
                <wp:positionH relativeFrom="page">
                  <wp:posOffset>1079500</wp:posOffset>
                </wp:positionH>
                <wp:positionV relativeFrom="page">
                  <wp:posOffset>952500</wp:posOffset>
                </wp:positionV>
                <wp:extent cx="584200" cy="215900"/>
                <wp:effectExtent l="0" t="0" r="22225" b="31115"/>
                <wp:wrapNone/>
                <wp:docPr id="10223" name="shape10223"/>
                <wp:cNvGraphicFramePr/>
                <a:graphic>
                  <a:graphicData uri="http://schemas.microsoft.com/office/word/2010/wordprocessingShape">
                    <wps:wsp>
                      <wps:cNvSpPr/>
                      <wps:spPr>
                        <a:xfrm>
                          <a:off x="0" y="0"/>
                          <a:ext cx="584200" cy="215900"/>
                        </a:xfrm>
                        <a:prstGeom prst="rect">
                          <a:avLst/>
                        </a:prstGeom>
                      </wps:spPr>
                      <wps:txbx>
                        <w:txbxContent>
                          <w:p>
                            <w:pPr>
                              <w:spacing w:line="-240" w:lineRule="exact"/>
                              <w:ind w:left="0"/>
                              <w:jc w:val="both"/>
                            </w:pPr>
                            <w:r>
                              <w:rPr>
                                <w:rFonts w:hint="eastAsia" w:ascii="宋体" w:hAnsi="宋体" w:eastAsia="宋体" w:cs="宋体"/>
                                <w:sz w:val="24"/>
                              </w:rPr>
                              <w:t>下</w:t>
                            </w:r>
                            <w:r>
                              <w:rPr>
                                <w:rFonts w:hint="eastAsia" w:ascii="宋体" w:hAnsi="宋体" w:eastAsia="宋体" w:cs="宋体"/>
                                <w:sz w:val="12"/>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6pt;height:17pt;margin-left:85pt;margin-top:75pt;mso-wrap-style:none;z-index:10328848;mso-wrap-distance-left:9pt;mso-wrap-distance-top:0pt;mso-wrap-distance-right:9pt;mso-wrap-distance-bottom:0pt" id="shape10223" o:spid="1618382360161" stroked="f">
                <v:textbox>
                  <w:txbxContent>
                    <w:p>
                      <w:pPr>
                        <w:spacing w:line="-240" w:lineRule="exact"/>
                        <w:ind w:left="0"/>
                        <w:jc w:val="both"/>
                      </w:pPr>
                      <w:r>
                        <w:rPr>
                          <w:rFonts w:hint="eastAsia" w:ascii="宋体" w:hAnsi="宋体" w:eastAsia="宋体" w:cs="宋体"/>
                          <w:sz w:val="24"/>
                        </w:rPr>
                        <w:t>下</w:t>
                      </w:r>
                      <w:r>
                        <w:rPr>
                          <w:rFonts w:hint="eastAsia" w:ascii="宋体" w:hAnsi="宋体" w:eastAsia="宋体" w:cs="宋体"/>
                          <w:sz w:val="12"/>
                        </w:rPr>
                        <w:t>：</w:t>
                      </w:r>
                    </w:p>
                  </w:txbxContent>
                </v:textbox>
              </v:rect>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6900" w:type="auto"/>
        <w:tblInd w:w="25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980"/>
        <w:gridCol w:w="4900"/>
      </w:tblGrid>
      <w:tr>
        <w:trPr>
          <w:trHeight w:val="640" w:hRule="exact"/>
        </w:trPr>
        <w:tc>
          <w:tcPr>
            <w:tcW w:w="1980" w:type="dxa"/>
            <w:tcMar>
              <w:top w:w="0" w:type="dxa"/>
              <w:left w:w="0" w:type="dxa"/>
              <w:bottom w:w="0" w:type="dxa"/>
              <w:right w:w="0" w:type="dxa"/>
            </w:tcMar>
          </w:tcPr>
          <w:p>
            <w:pPr>
              <w:spacing w:before="200"/>
              <w:ind w:left="660"/>
            </w:pPr>
            <w:r>
              <w:rPr>
                <w:rFonts w:hint="eastAsia" w:ascii="宋体" w:hAnsi="宋体" w:eastAsia="宋体" w:cs="宋体"/>
                <w:b/>
                <w:sz w:val="21"/>
              </w:rPr>
              <w:t>姓 名</w:t>
            </w:r>
          </w:p>
        </w:tc>
        <w:tc>
          <w:tcPr>
            <w:tcW w:w="4900" w:type="dxa"/>
            <w:tcMar>
              <w:top w:w="0" w:type="dxa"/>
              <w:left w:w="0" w:type="dxa"/>
              <w:bottom w:w="0" w:type="dxa"/>
              <w:right w:w="0" w:type="dxa"/>
            </w:tcMar>
          </w:tcPr>
          <w:p>
            <w:pPr>
              <w:spacing w:before="200"/>
              <w:ind w:left="2120"/>
            </w:pPr>
            <w:r>
              <w:rPr>
                <w:rFonts w:hint="eastAsia" w:ascii="宋体" w:hAnsi="宋体" w:eastAsia="宋体" w:cs="宋体"/>
                <w:b/>
                <w:sz w:val="21"/>
              </w:rPr>
              <w:t>职 位</w:t>
            </w:r>
          </w:p>
        </w:tc>
      </w:tr>
      <w:tr>
        <w:trPr>
          <w:trHeight w:val="640" w:hRule="exact"/>
        </w:trPr>
        <w:tc>
          <w:tcPr>
            <w:tcW w:w="1980" w:type="dxa"/>
            <w:tcMar>
              <w:top w:w="0" w:type="dxa"/>
              <w:left w:w="0" w:type="dxa"/>
              <w:bottom w:w="0" w:type="dxa"/>
              <w:right w:w="0" w:type="dxa"/>
            </w:tcMar>
          </w:tcPr>
          <w:p>
            <w:pPr>
              <w:spacing w:before="220"/>
              <w:ind w:left="660"/>
            </w:pPr>
            <w:r>
              <w:rPr>
                <w:rFonts w:hint="eastAsia" w:ascii="宋体" w:hAnsi="宋体" w:eastAsia="宋体" w:cs="宋体"/>
                <w:sz w:val="21"/>
              </w:rPr>
              <w:t>严孟宇</w:t>
            </w:r>
          </w:p>
        </w:tc>
        <w:tc>
          <w:tcPr>
            <w:tcW w:w="4900" w:type="dxa"/>
            <w:tcMar>
              <w:top w:w="0" w:type="dxa"/>
              <w:left w:w="0" w:type="dxa"/>
              <w:bottom w:w="0" w:type="dxa"/>
              <w:right w:w="0" w:type="dxa"/>
            </w:tcMar>
          </w:tcPr>
          <w:p>
            <w:pPr>
              <w:spacing w:before="220"/>
              <w:ind w:left="1700"/>
            </w:pPr>
            <w:r>
              <w:rPr>
                <w:rFonts w:hint="eastAsia" w:ascii="宋体" w:hAnsi="宋体" w:eastAsia="宋体" w:cs="宋体"/>
                <w:sz w:val="21"/>
              </w:rPr>
              <w:t>董事长</w:t>
            </w:r>
            <w:r>
              <w:rPr>
                <w:rFonts w:hint="eastAsia" w:ascii="宋体" w:hAnsi="宋体" w:eastAsia="宋体" w:cs="宋体"/>
                <w:sz w:val="10"/>
              </w:rPr>
              <w:t>、</w:t>
            </w:r>
            <w:r>
              <w:rPr>
                <w:rFonts w:hint="eastAsia" w:ascii="宋体" w:hAnsi="宋体" w:eastAsia="宋体" w:cs="宋体"/>
                <w:sz w:val="21"/>
              </w:rPr>
              <w:t>总经理</w:t>
            </w:r>
          </w:p>
        </w:tc>
      </w:tr>
      <w:tr>
        <w:trPr>
          <w:trHeight w:val="740" w:hRule="exact"/>
        </w:trPr>
        <w:tc>
          <w:tcPr>
            <w:tcW w:w="1980" w:type="dxa"/>
            <w:tcMar>
              <w:top w:w="0" w:type="dxa"/>
              <w:left w:w="0" w:type="dxa"/>
              <w:bottom w:w="0" w:type="dxa"/>
              <w:right w:w="0" w:type="dxa"/>
            </w:tcMar>
          </w:tcPr>
          <w:p>
            <w:pPr>
              <w:spacing w:before="200"/>
              <w:ind w:left="660"/>
            </w:pPr>
            <w:r>
              <w:rPr>
                <w:rFonts w:hint="eastAsia" w:ascii="宋体" w:hAnsi="宋体" w:eastAsia="宋体" w:cs="宋体"/>
                <w:sz w:val="21"/>
              </w:rPr>
              <w:t>郑元通</w:t>
            </w:r>
          </w:p>
        </w:tc>
        <w:tc>
          <w:tcPr>
            <w:tcW w:w="4900" w:type="dxa"/>
            <w:tcMar>
              <w:top w:w="0" w:type="dxa"/>
              <w:left w:w="0" w:type="dxa"/>
              <w:bottom w:w="0" w:type="dxa"/>
              <w:right w:w="0" w:type="dxa"/>
            </w:tcMar>
          </w:tcPr>
          <w:p>
            <w:pPr>
              <w:spacing w:before="200"/>
              <w:ind w:left="960"/>
            </w:pPr>
            <w:r>
              <w:rPr>
                <w:rFonts w:hint="eastAsia" w:ascii="宋体" w:hAnsi="宋体" w:eastAsia="宋体" w:cs="宋体"/>
                <w:sz w:val="21"/>
              </w:rPr>
              <w:t>监事</w:t>
            </w:r>
            <w:r>
              <w:rPr>
                <w:rFonts w:hint="eastAsia" w:ascii="宋体" w:hAnsi="宋体" w:eastAsia="宋体" w:cs="宋体"/>
                <w:sz w:val="10"/>
              </w:rPr>
              <w:t>、</w:t>
            </w:r>
            <w:r>
              <w:rPr>
                <w:rFonts w:hint="eastAsia" w:ascii="宋体" w:hAnsi="宋体" w:eastAsia="宋体" w:cs="宋体"/>
                <w:sz w:val="21"/>
              </w:rPr>
              <w:t>金融证券事业部技术总监</w:t>
            </w:r>
          </w:p>
        </w:tc>
      </w:tr>
      <w:tr>
        <w:trPr>
          <w:trHeight w:val="560" w:hRule="exact"/>
        </w:trPr>
        <w:tc>
          <w:tcPr>
            <w:tcW w:w="1980" w:type="dxa"/>
            <w:tcMar>
              <w:top w:w="0" w:type="dxa"/>
              <w:left w:w="0" w:type="dxa"/>
              <w:bottom w:w="0" w:type="dxa"/>
              <w:right w:w="0" w:type="dxa"/>
            </w:tcMar>
          </w:tcPr>
          <w:p>
            <w:pPr>
              <w:spacing w:before="120"/>
              <w:ind w:left="660"/>
            </w:pPr>
            <w:r>
              <w:rPr>
                <w:rFonts w:hint="eastAsia" w:ascii="宋体" w:hAnsi="宋体" w:eastAsia="宋体" w:cs="宋体"/>
                <w:sz w:val="21"/>
              </w:rPr>
              <w:t>戴小戈</w:t>
            </w:r>
          </w:p>
        </w:tc>
        <w:tc>
          <w:tcPr>
            <w:tcW w:w="4900" w:type="dxa"/>
            <w:tcMar>
              <w:top w:w="0" w:type="dxa"/>
              <w:left w:w="0" w:type="dxa"/>
              <w:bottom w:w="0" w:type="dxa"/>
              <w:right w:w="0" w:type="dxa"/>
            </w:tcMar>
          </w:tcPr>
          <w:p>
            <w:pPr>
              <w:spacing w:before="120"/>
              <w:ind w:left="960"/>
            </w:pPr>
            <w:r>
              <w:rPr>
                <w:rFonts w:hint="eastAsia" w:ascii="宋体" w:hAnsi="宋体" w:eastAsia="宋体" w:cs="宋体"/>
                <w:sz w:val="21"/>
              </w:rPr>
              <w:t>金融证券事业部研发中心副经理</w:t>
            </w:r>
          </w:p>
        </w:tc>
      </w:tr>
      <w:tr>
        <w:trPr>
          <w:trHeight w:val="640" w:hRule="exact"/>
        </w:trPr>
        <w:tc>
          <w:tcPr>
            <w:tcW w:w="1980" w:type="dxa"/>
            <w:tcMar>
              <w:top w:w="0" w:type="dxa"/>
              <w:left w:w="0" w:type="dxa"/>
              <w:bottom w:w="0" w:type="dxa"/>
              <w:right w:w="0" w:type="dxa"/>
            </w:tcMar>
          </w:tcPr>
          <w:p>
            <w:pPr>
              <w:spacing w:before="200"/>
              <w:ind w:left="760"/>
            </w:pPr>
            <w:r>
              <w:rPr>
                <w:rFonts w:hint="eastAsia" w:ascii="宋体" w:hAnsi="宋体" w:eastAsia="宋体" w:cs="宋体"/>
                <w:sz w:val="21"/>
              </w:rPr>
              <w:t>赵林</w:t>
            </w:r>
          </w:p>
        </w:tc>
        <w:tc>
          <w:tcPr>
            <w:tcW w:w="4900" w:type="dxa"/>
            <w:tcMar>
              <w:top w:w="0" w:type="dxa"/>
              <w:left w:w="0" w:type="dxa"/>
              <w:bottom w:w="0" w:type="dxa"/>
              <w:right w:w="0" w:type="dxa"/>
            </w:tcMar>
          </w:tcPr>
          <w:p>
            <w:pPr>
              <w:spacing w:before="200"/>
              <w:ind w:left="1080"/>
            </w:pPr>
            <w:r>
              <w:rPr>
                <w:rFonts w:hint="eastAsia" w:ascii="宋体" w:hAnsi="宋体" w:eastAsia="宋体" w:cs="宋体"/>
                <w:sz w:val="21"/>
              </w:rPr>
              <w:t>金融证券事业部研发中心经理</w:t>
            </w:r>
          </w:p>
        </w:tc>
      </w:tr>
      <w:tr>
        <w:trPr>
          <w:trHeight w:val="640" w:hRule="exact"/>
        </w:trPr>
        <w:tc>
          <w:tcPr>
            <w:tcW w:w="1980" w:type="dxa"/>
            <w:tcMar>
              <w:top w:w="0" w:type="dxa"/>
              <w:left w:w="0" w:type="dxa"/>
              <w:bottom w:w="0" w:type="dxa"/>
              <w:right w:w="0" w:type="dxa"/>
            </w:tcMar>
          </w:tcPr>
          <w:p>
            <w:pPr>
              <w:spacing w:before="200"/>
              <w:ind w:left="660"/>
            </w:pPr>
            <w:r>
              <w:rPr>
                <w:rFonts w:hint="eastAsia" w:ascii="宋体" w:hAnsi="宋体" w:eastAsia="宋体" w:cs="宋体"/>
                <w:sz w:val="21"/>
              </w:rPr>
              <w:t>徐传秋</w:t>
            </w:r>
          </w:p>
        </w:tc>
        <w:tc>
          <w:tcPr>
            <w:tcW w:w="4900" w:type="dxa"/>
            <w:tcMar>
              <w:top w:w="0" w:type="dxa"/>
              <w:left w:w="0" w:type="dxa"/>
              <w:bottom w:w="0" w:type="dxa"/>
              <w:right w:w="0" w:type="dxa"/>
            </w:tcMar>
          </w:tcPr>
          <w:p>
            <w:pPr>
              <w:spacing w:before="220"/>
              <w:ind w:left="1380"/>
            </w:pPr>
            <w:r>
              <w:rPr>
                <w:rFonts w:hint="eastAsia" w:ascii="宋体" w:hAnsi="宋体" w:eastAsia="宋体" w:cs="宋体"/>
                <w:sz w:val="21"/>
              </w:rPr>
              <w:t>核心平台研发中心经理</w:t>
            </w:r>
          </w:p>
        </w:tc>
      </w:tr>
      <w:tr>
        <w:trPr>
          <w:trHeight w:val="740" w:hRule="exact"/>
        </w:trPr>
        <w:tc>
          <w:tcPr>
            <w:tcW w:w="1980" w:type="dxa"/>
            <w:tcMar>
              <w:top w:w="0" w:type="dxa"/>
              <w:left w:w="0" w:type="dxa"/>
              <w:bottom w:w="0" w:type="dxa"/>
              <w:right w:w="0" w:type="dxa"/>
            </w:tcMar>
          </w:tcPr>
          <w:p>
            <w:pPr>
              <w:spacing w:before="200"/>
              <w:ind w:left="660"/>
            </w:pPr>
            <w:r>
              <w:rPr>
                <w:rFonts w:hint="eastAsia" w:ascii="宋体" w:hAnsi="宋体" w:eastAsia="宋体" w:cs="宋体"/>
                <w:sz w:val="21"/>
              </w:rPr>
              <w:t>鄢继华</w:t>
            </w:r>
          </w:p>
        </w:tc>
        <w:tc>
          <w:tcPr>
            <w:tcW w:w="4900" w:type="dxa"/>
            <w:tcMar>
              <w:top w:w="0" w:type="dxa"/>
              <w:left w:w="0" w:type="dxa"/>
              <w:bottom w:w="0" w:type="dxa"/>
              <w:right w:w="0" w:type="dxa"/>
            </w:tcMar>
          </w:tcPr>
          <w:p>
            <w:pPr>
              <w:spacing w:before="200"/>
              <w:ind w:left="960"/>
            </w:pPr>
            <w:r>
              <w:rPr>
                <w:rFonts w:hint="eastAsia" w:ascii="宋体" w:hAnsi="宋体" w:eastAsia="宋体" w:cs="宋体"/>
                <w:sz w:val="21"/>
              </w:rPr>
              <w:t>总经理助理</w:t>
            </w:r>
            <w:r>
              <w:rPr>
                <w:rFonts w:hint="eastAsia" w:ascii="宋体" w:hAnsi="宋体" w:eastAsia="宋体" w:cs="宋体"/>
                <w:sz w:val="10"/>
              </w:rPr>
              <w:t>、</w:t>
            </w:r>
            <w:r>
              <w:rPr>
                <w:rFonts w:hint="eastAsia" w:ascii="宋体" w:hAnsi="宋体" w:eastAsia="宋体" w:cs="宋体"/>
                <w:sz w:val="21"/>
              </w:rPr>
              <w:t>营销管理总部经理</w:t>
            </w:r>
          </w:p>
        </w:tc>
      </w:tr>
      <w:tr>
        <w:trPr>
          <w:trHeight w:val="560" w:hRule="exact"/>
        </w:trPr>
        <w:tc>
          <w:tcPr>
            <w:tcW w:w="1980" w:type="dxa"/>
            <w:tcMar>
              <w:top w:w="0" w:type="dxa"/>
              <w:left w:w="0" w:type="dxa"/>
              <w:bottom w:w="0" w:type="dxa"/>
              <w:right w:w="0" w:type="dxa"/>
            </w:tcMar>
          </w:tcPr>
          <w:p>
            <w:pPr>
              <w:spacing w:before="120"/>
              <w:ind w:left="660"/>
            </w:pPr>
            <w:r>
              <w:rPr>
                <w:rFonts w:hint="eastAsia" w:ascii="宋体" w:hAnsi="宋体" w:eastAsia="宋体" w:cs="宋体"/>
                <w:sz w:val="21"/>
              </w:rPr>
              <w:t>王腊云</w:t>
            </w:r>
          </w:p>
        </w:tc>
        <w:tc>
          <w:tcPr>
            <w:tcW w:w="4900" w:type="dxa"/>
            <w:tcMar>
              <w:top w:w="0" w:type="dxa"/>
              <w:left w:w="0" w:type="dxa"/>
              <w:bottom w:w="0" w:type="dxa"/>
              <w:right w:w="0" w:type="dxa"/>
            </w:tcMar>
          </w:tcPr>
          <w:p>
            <w:pPr>
              <w:spacing w:before="120"/>
              <w:ind w:left="960"/>
            </w:pPr>
            <w:r>
              <w:rPr>
                <w:rFonts w:hint="eastAsia" w:ascii="宋体" w:hAnsi="宋体" w:eastAsia="宋体" w:cs="宋体"/>
                <w:sz w:val="21"/>
              </w:rPr>
              <w:t>金融证券事业部研发中心副经理</w:t>
            </w:r>
          </w:p>
        </w:tc>
      </w:tr>
      <w:tr>
        <w:trPr>
          <w:trHeight w:val="640" w:hRule="exact"/>
        </w:trPr>
        <w:tc>
          <w:tcPr>
            <w:tcW w:w="1980" w:type="dxa"/>
            <w:tcMar>
              <w:top w:w="0" w:type="dxa"/>
              <w:left w:w="0" w:type="dxa"/>
              <w:bottom w:w="0" w:type="dxa"/>
              <w:right w:w="0" w:type="dxa"/>
            </w:tcMar>
          </w:tcPr>
          <w:p>
            <w:pPr>
              <w:spacing w:before="200"/>
              <w:ind w:left="660"/>
            </w:pPr>
            <w:r>
              <w:rPr>
                <w:rFonts w:hint="eastAsia" w:ascii="宋体" w:hAnsi="宋体" w:eastAsia="宋体" w:cs="宋体"/>
                <w:sz w:val="21"/>
              </w:rPr>
              <w:t>刘丽红</w:t>
            </w:r>
          </w:p>
        </w:tc>
        <w:tc>
          <w:tcPr>
            <w:tcW w:w="4900" w:type="dxa"/>
            <w:tcMar>
              <w:top w:w="0" w:type="dxa"/>
              <w:left w:w="0" w:type="dxa"/>
              <w:bottom w:w="0" w:type="dxa"/>
              <w:right w:w="0" w:type="dxa"/>
            </w:tcMar>
          </w:tcPr>
          <w:p>
            <w:pPr>
              <w:spacing w:before="200"/>
              <w:ind w:left="1240"/>
            </w:pPr>
            <w:r>
              <w:rPr>
                <w:rFonts w:hint="eastAsia" w:ascii="Times New Roman" w:hAnsi="Times New Roman" w:eastAsia="Times New Roman" w:cs="Times New Roman"/>
                <w:sz w:val="21"/>
              </w:rPr>
              <w:t>BPM</w:t>
            </w:r>
            <w:r>
              <w:rPr>
                <w:rFonts w:hint="eastAsia" w:ascii="宋体" w:hAnsi="宋体" w:eastAsia="宋体" w:cs="宋体"/>
                <w:sz w:val="21"/>
              </w:rPr>
              <w:t xml:space="preserve"> 发展事业部技术经理</w:t>
            </w:r>
          </w:p>
        </w:tc>
      </w:tr>
    </w:tbl>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宋体" w:hAnsi="宋体" w:eastAsia="宋体" w:cs="宋体"/>
          <w:sz w:val="24"/>
        </w:rPr>
        <w:t>本公司核心技术人员简历如下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严孟宇</w:t>
      </w:r>
      <w:r>
        <w:rPr>
          <w:rFonts w:hint="eastAsia" w:ascii="宋体" w:hAnsi="宋体" w:eastAsia="宋体" w:cs="宋体"/>
          <w:sz w:val="10"/>
        </w:rPr>
        <w:t>、</w:t>
      </w:r>
      <w:r>
        <w:rPr>
          <w:rFonts w:hint="eastAsia" w:ascii="宋体" w:hAnsi="宋体" w:eastAsia="宋体" w:cs="宋体"/>
          <w:sz w:val="24"/>
        </w:rPr>
        <w:t>郑元通简历参见本部分之</w:t>
      </w:r>
      <w:r>
        <w:rPr>
          <w:rFonts w:hint="eastAsia" w:ascii="宋体" w:hAnsi="宋体" w:eastAsia="宋体" w:cs="宋体"/>
          <w:sz w:val="10"/>
        </w:rPr>
        <w:t>“（一）</w:t>
      </w:r>
      <w:r>
        <w:rPr>
          <w:rFonts w:hint="eastAsia" w:ascii="宋体" w:hAnsi="宋体" w:eastAsia="宋体" w:cs="宋体"/>
          <w:sz w:val="24"/>
        </w:rPr>
        <w:t>董事</w:t>
      </w:r>
      <w:r>
        <w:rPr>
          <w:rFonts w:hint="eastAsia" w:ascii="宋体" w:hAnsi="宋体" w:eastAsia="宋体" w:cs="宋体"/>
          <w:sz w:val="10"/>
        </w:rPr>
        <w:t>”、“（二）</w:t>
      </w:r>
      <w:r>
        <w:rPr>
          <w:rFonts w:hint="eastAsia" w:ascii="宋体" w:hAnsi="宋体" w:eastAsia="宋体" w:cs="宋体"/>
          <w:sz w:val="24"/>
        </w:rPr>
        <w:t>监事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戴小戈先生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1976</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毕业于北京理工大学检测技术与仪器仪表专业</w:t>
      </w:r>
      <w:r>
        <w:rPr>
          <w:rFonts w:hint="eastAsia" w:ascii="宋体" w:hAnsi="宋体" w:eastAsia="宋体" w:cs="宋体"/>
          <w:sz w:val="10"/>
        </w:rPr>
        <w:t>，</w:t>
      </w:r>
      <w:r>
        <w:rPr>
          <w:rFonts w:hint="eastAsia" w:ascii="宋体" w:hAnsi="宋体" w:eastAsia="宋体" w:cs="宋体"/>
          <w:sz w:val="24"/>
        </w:rPr>
        <w:t>工学学士</w:t>
      </w:r>
      <w:r>
        <w:rPr>
          <w:rFonts w:hint="eastAsia" w:ascii="宋体" w:hAnsi="宋体" w:eastAsia="宋体" w:cs="宋体"/>
          <w:sz w:val="10"/>
        </w:rPr>
        <w:t>。</w:t>
      </w:r>
      <w:r>
        <w:rPr>
          <w:rFonts w:hint="eastAsia" w:ascii="宋体" w:hAnsi="宋体" w:eastAsia="宋体" w:cs="宋体"/>
          <w:sz w:val="24"/>
        </w:rPr>
        <w:t>曾担任福建顶点软件股份有限公司工程师</w:t>
      </w:r>
      <w:r>
        <w:rPr>
          <w:rFonts w:hint="eastAsia" w:ascii="宋体" w:hAnsi="宋体" w:eastAsia="宋体" w:cs="宋体"/>
          <w:sz w:val="10"/>
        </w:rPr>
        <w:t>、</w:t>
      </w:r>
      <w:r>
        <w:rPr>
          <w:rFonts w:hint="eastAsia" w:ascii="宋体" w:hAnsi="宋体" w:eastAsia="宋体" w:cs="宋体"/>
          <w:sz w:val="24"/>
        </w:rPr>
        <w:t>项目经理</w:t>
      </w:r>
      <w:r>
        <w:rPr>
          <w:rFonts w:hint="eastAsia" w:ascii="宋体" w:hAnsi="宋体" w:eastAsia="宋体" w:cs="宋体"/>
          <w:sz w:val="10"/>
        </w:rPr>
        <w:t>，</w:t>
      </w:r>
      <w:r>
        <w:rPr>
          <w:rFonts w:hint="eastAsia" w:ascii="宋体" w:hAnsi="宋体" w:eastAsia="宋体" w:cs="宋体"/>
          <w:sz w:val="24"/>
        </w:rPr>
        <w:t>北京顶点副总经理</w:t>
      </w:r>
      <w:r>
        <w:rPr>
          <w:rFonts w:hint="eastAsia" w:ascii="宋体" w:hAnsi="宋体" w:eastAsia="宋体" w:cs="宋体"/>
          <w:sz w:val="10"/>
        </w:rPr>
        <w:t>、</w:t>
      </w:r>
      <w:r>
        <w:rPr>
          <w:rFonts w:hint="eastAsia" w:ascii="宋体" w:hAnsi="宋体" w:eastAsia="宋体" w:cs="宋体"/>
          <w:sz w:val="24"/>
        </w:rPr>
        <w:t>客户服务中心总经理</w:t>
      </w:r>
      <w:r>
        <w:rPr>
          <w:rFonts w:hint="eastAsia" w:ascii="宋体" w:hAnsi="宋体" w:eastAsia="宋体" w:cs="宋体"/>
          <w:sz w:val="10"/>
        </w:rPr>
        <w:t>。</w:t>
      </w:r>
      <w:r>
        <w:rPr>
          <w:rFonts w:hint="eastAsia" w:ascii="宋体" w:hAnsi="宋体" w:eastAsia="宋体" w:cs="宋体"/>
          <w:sz w:val="24"/>
        </w:rPr>
        <w:t>现任发行人金融证券事业部研发中心副经理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赵林女士</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1973</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毕业于浙江大学</w:t>
      </w:r>
      <w:r>
        <w:rPr>
          <w:rFonts w:hint="eastAsia" w:ascii="宋体" w:hAnsi="宋体" w:eastAsia="宋体" w:cs="宋体"/>
          <w:sz w:val="10"/>
        </w:rPr>
        <w:t>，</w:t>
      </w:r>
      <w:r>
        <w:rPr>
          <w:rFonts w:hint="eastAsia" w:ascii="宋体" w:hAnsi="宋体" w:eastAsia="宋体" w:cs="宋体"/>
          <w:sz w:val="24"/>
        </w:rPr>
        <w:t>工学学士</w:t>
      </w:r>
      <w:r>
        <w:rPr>
          <w:rFonts w:hint="eastAsia" w:ascii="宋体" w:hAnsi="宋体" w:eastAsia="宋体" w:cs="宋体"/>
          <w:sz w:val="10"/>
        </w:rPr>
        <w:t>，</w:t>
      </w:r>
      <w:r>
        <w:rPr>
          <w:rFonts w:hint="eastAsia" w:ascii="宋体" w:hAnsi="宋体" w:eastAsia="宋体" w:cs="宋体"/>
          <w:sz w:val="24"/>
        </w:rPr>
        <w:t>清华大学计算机工程硕士</w:t>
      </w:r>
      <w:r>
        <w:rPr>
          <w:rFonts w:hint="eastAsia" w:ascii="宋体" w:hAnsi="宋体" w:eastAsia="宋体" w:cs="宋体"/>
          <w:sz w:val="10"/>
        </w:rPr>
        <w:t>，</w:t>
      </w:r>
      <w:r>
        <w:rPr>
          <w:rFonts w:hint="eastAsia" w:ascii="宋体" w:hAnsi="宋体" w:eastAsia="宋体" w:cs="宋体"/>
          <w:sz w:val="24"/>
        </w:rPr>
        <w:t>为本公司董事长</w:t>
      </w:r>
      <w:r>
        <w:rPr>
          <w:rFonts w:hint="eastAsia" w:ascii="宋体" w:hAnsi="宋体" w:eastAsia="宋体" w:cs="宋体"/>
          <w:sz w:val="10"/>
        </w:rPr>
        <w:t>、</w:t>
      </w:r>
      <w:r>
        <w:rPr>
          <w:rFonts w:hint="eastAsia" w:ascii="宋体" w:hAnsi="宋体" w:eastAsia="宋体" w:cs="宋体"/>
          <w:sz w:val="24"/>
        </w:rPr>
        <w:t>总经理严孟宇先生之配偶</w:t>
      </w:r>
      <w:r>
        <w:rPr>
          <w:rFonts w:hint="eastAsia" w:ascii="宋体" w:hAnsi="宋体" w:eastAsia="宋体" w:cs="宋体"/>
          <w:sz w:val="10"/>
        </w:rPr>
        <w:t>。</w:t>
      </w:r>
      <w:r>
        <w:rPr>
          <w:rFonts w:hint="eastAsia" w:ascii="Times New Roman" w:hAnsi="Times New Roman" w:eastAsia="Times New Roman" w:cs="Times New Roman"/>
          <w:sz w:val="24"/>
        </w:rPr>
        <w:t>1996</w:t>
      </w:r>
      <w:r>
        <w:rPr>
          <w:rFonts w:hint="eastAsia" w:ascii="宋体" w:hAnsi="宋体" w:eastAsia="宋体" w:cs="宋体"/>
          <w:sz w:val="24"/>
        </w:rPr>
        <w:t xml:space="preserve"> 年加入公司</w:t>
      </w:r>
      <w:r>
        <w:rPr>
          <w:rFonts w:hint="eastAsia" w:ascii="宋体" w:hAnsi="宋体" w:eastAsia="宋体" w:cs="宋体"/>
          <w:sz w:val="10"/>
        </w:rPr>
        <w:t>，</w:t>
      </w:r>
      <w:r>
        <w:rPr>
          <w:rFonts w:hint="eastAsia" w:ascii="宋体" w:hAnsi="宋体" w:eastAsia="宋体" w:cs="宋体"/>
          <w:sz w:val="24"/>
        </w:rPr>
        <w:t>曾任福建顶点软件股份有限公司工程师</w:t>
      </w:r>
      <w:r>
        <w:rPr>
          <w:rFonts w:hint="eastAsia" w:ascii="宋体" w:hAnsi="宋体" w:eastAsia="宋体" w:cs="宋体"/>
          <w:sz w:val="10"/>
        </w:rPr>
        <w:t>、</w:t>
      </w:r>
      <w:r>
        <w:rPr>
          <w:rFonts w:hint="eastAsia" w:ascii="宋体" w:hAnsi="宋体" w:eastAsia="宋体" w:cs="宋体"/>
          <w:sz w:val="24"/>
        </w:rPr>
        <w:t>开发经理</w:t>
      </w:r>
      <w:r>
        <w:rPr>
          <w:rFonts w:hint="eastAsia" w:ascii="宋体" w:hAnsi="宋体" w:eastAsia="宋体" w:cs="宋体"/>
          <w:sz w:val="10"/>
        </w:rPr>
        <w:t>，</w:t>
      </w:r>
      <w:r>
        <w:rPr>
          <w:rFonts w:hint="eastAsia" w:ascii="宋体" w:hAnsi="宋体" w:eastAsia="宋体" w:cs="宋体"/>
          <w:sz w:val="24"/>
        </w:rPr>
        <w:t>拥有近</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年证券行业信息化经验</w:t>
      </w:r>
      <w:r>
        <w:rPr>
          <w:rFonts w:hint="eastAsia" w:ascii="宋体" w:hAnsi="宋体" w:eastAsia="宋体" w:cs="宋体"/>
          <w:sz w:val="10"/>
        </w:rPr>
        <w:t>，</w:t>
      </w:r>
      <w:r>
        <w:rPr>
          <w:rFonts w:hint="eastAsia" w:ascii="宋体" w:hAnsi="宋体" w:eastAsia="宋体" w:cs="宋体"/>
          <w:sz w:val="24"/>
        </w:rPr>
        <w:t>现任发行人金融证券事业部研发中心经理</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徐传秋先生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1977</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毕业于福建水利电力职业技术学院</w:t>
      </w:r>
      <w:r>
        <w:rPr>
          <w:rFonts w:hint="eastAsia" w:ascii="宋体" w:hAnsi="宋体" w:eastAsia="宋体" w:cs="宋体"/>
          <w:sz w:val="10"/>
        </w:rPr>
        <w:t>。</w:t>
      </w:r>
      <w:r>
        <w:rPr>
          <w:rFonts w:hint="eastAsia" w:ascii="Times New Roman" w:hAnsi="Times New Roman" w:eastAsia="Times New Roman" w:cs="Times New Roman"/>
          <w:sz w:val="24"/>
        </w:rPr>
        <w:t>1998</w:t>
      </w:r>
      <w:r>
        <w:rPr>
          <w:rFonts w:hint="eastAsia" w:ascii="宋体" w:hAnsi="宋体" w:eastAsia="宋体" w:cs="宋体"/>
          <w:sz w:val="24"/>
        </w:rPr>
        <w:t xml:space="preserve"> 年加入公司</w:t>
      </w:r>
      <w:r>
        <w:rPr>
          <w:rFonts w:hint="eastAsia" w:ascii="宋体" w:hAnsi="宋体" w:eastAsia="宋体" w:cs="宋体"/>
          <w:sz w:val="10"/>
        </w:rPr>
        <w:t>，</w:t>
      </w:r>
      <w:r>
        <w:rPr>
          <w:rFonts w:hint="eastAsia" w:ascii="宋体" w:hAnsi="宋体" w:eastAsia="宋体" w:cs="宋体"/>
          <w:sz w:val="24"/>
        </w:rPr>
        <w:t>曾担任福建顶点软件股份有限公司软件开发工程师</w:t>
      </w:r>
      <w:r>
        <w:rPr>
          <w:rFonts w:hint="eastAsia" w:ascii="宋体" w:hAnsi="宋体" w:eastAsia="宋体" w:cs="宋体"/>
          <w:sz w:val="10"/>
        </w:rPr>
        <w:t>、</w:t>
      </w:r>
      <w:r>
        <w:rPr>
          <w:rFonts w:hint="eastAsia" w:ascii="宋体" w:hAnsi="宋体" w:eastAsia="宋体" w:cs="宋体"/>
          <w:sz w:val="24"/>
        </w:rPr>
        <w:t>开发经理</w:t>
      </w:r>
      <w:r>
        <w:rPr>
          <w:rFonts w:hint="eastAsia" w:ascii="宋体" w:hAnsi="宋体" w:eastAsia="宋体" w:cs="宋体"/>
          <w:sz w:val="10"/>
        </w:rPr>
        <w:t>、</w:t>
      </w:r>
      <w:r>
        <w:rPr>
          <w:rFonts w:hint="eastAsia" w:ascii="宋体" w:hAnsi="宋体" w:eastAsia="宋体" w:cs="宋体"/>
          <w:sz w:val="24"/>
        </w:rPr>
        <w:t>管理应用产品部技术总监</w:t>
      </w:r>
      <w:r>
        <w:rPr>
          <w:rFonts w:hint="eastAsia" w:ascii="宋体" w:hAnsi="宋体" w:eastAsia="宋体" w:cs="宋体"/>
          <w:sz w:val="10"/>
        </w:rPr>
        <w:t>。</w:t>
      </w:r>
      <w:r>
        <w:rPr>
          <w:rFonts w:hint="eastAsia" w:ascii="宋体" w:hAnsi="宋体" w:eastAsia="宋体" w:cs="宋体"/>
          <w:sz w:val="24"/>
        </w:rPr>
        <w:t>拥有</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年以上的业务架构中间件研发经验</w:t>
      </w:r>
      <w:r>
        <w:rPr>
          <w:rFonts w:hint="eastAsia" w:ascii="宋体" w:hAnsi="宋体" w:eastAsia="宋体" w:cs="宋体"/>
          <w:sz w:val="10"/>
        </w:rPr>
        <w:t>，</w:t>
      </w:r>
      <w:r>
        <w:rPr>
          <w:rFonts w:hint="eastAsia" w:ascii="宋体" w:hAnsi="宋体" w:eastAsia="宋体" w:cs="宋体"/>
          <w:sz w:val="24"/>
        </w:rPr>
        <w:t>现任发行人核心平台研发中心经理</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1-1-190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鄢继华先生</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1976</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毕业于哈尔滨工程大学</w:t>
      </w:r>
      <w:r>
        <w:rPr>
          <w:rFonts w:hint="eastAsia" w:ascii="宋体" w:hAnsi="宋体" w:eastAsia="宋体" w:cs="宋体"/>
          <w:sz w:val="10"/>
        </w:rPr>
        <w:t>，</w:t>
      </w:r>
      <w:r>
        <w:rPr>
          <w:rFonts w:hint="eastAsia" w:ascii="宋体" w:hAnsi="宋体" w:eastAsia="宋体" w:cs="宋体"/>
          <w:sz w:val="24"/>
        </w:rPr>
        <w:t>检测技术与仪器仪表专业</w:t>
      </w:r>
      <w:r>
        <w:rPr>
          <w:rFonts w:hint="eastAsia" w:ascii="宋体" w:hAnsi="宋体" w:eastAsia="宋体" w:cs="宋体"/>
          <w:sz w:val="10"/>
        </w:rPr>
        <w:t>。</w:t>
      </w:r>
      <w:r>
        <w:rPr>
          <w:rFonts w:hint="eastAsia" w:ascii="Times New Roman" w:hAnsi="Times New Roman" w:eastAsia="Times New Roman" w:cs="Times New Roman"/>
          <w:sz w:val="24"/>
        </w:rPr>
        <w:t>1998</w:t>
      </w:r>
      <w:r>
        <w:rPr>
          <w:rFonts w:hint="eastAsia" w:ascii="宋体" w:hAnsi="宋体" w:eastAsia="宋体" w:cs="宋体"/>
          <w:sz w:val="24"/>
        </w:rPr>
        <w:t xml:space="preserve"> 年加入公司</w:t>
      </w:r>
      <w:r>
        <w:rPr>
          <w:rFonts w:hint="eastAsia" w:ascii="宋体" w:hAnsi="宋体" w:eastAsia="宋体" w:cs="宋体"/>
          <w:sz w:val="10"/>
        </w:rPr>
        <w:t>，</w:t>
      </w:r>
      <w:r>
        <w:rPr>
          <w:rFonts w:hint="eastAsia" w:ascii="宋体" w:hAnsi="宋体" w:eastAsia="宋体" w:cs="宋体"/>
          <w:sz w:val="24"/>
        </w:rPr>
        <w:t>曾担任福建顶点软件股份有限公司工程师</w:t>
      </w:r>
      <w:r>
        <w:rPr>
          <w:rFonts w:hint="eastAsia" w:ascii="宋体" w:hAnsi="宋体" w:eastAsia="宋体" w:cs="宋体"/>
          <w:sz w:val="10"/>
        </w:rPr>
        <w:t>、</w:t>
      </w:r>
      <w:r>
        <w:rPr>
          <w:rFonts w:hint="eastAsia" w:ascii="宋体" w:hAnsi="宋体" w:eastAsia="宋体" w:cs="宋体"/>
          <w:sz w:val="24"/>
        </w:rPr>
        <w:t>项目经理</w:t>
      </w:r>
      <w:r>
        <w:rPr>
          <w:rFonts w:hint="eastAsia" w:ascii="宋体" w:hAnsi="宋体" w:eastAsia="宋体" w:cs="宋体"/>
          <w:sz w:val="10"/>
        </w:rPr>
        <w:t>、</w:t>
      </w:r>
      <w:r>
        <w:rPr>
          <w:rFonts w:hint="eastAsia" w:ascii="宋体" w:hAnsi="宋体" w:eastAsia="宋体" w:cs="宋体"/>
          <w:sz w:val="24"/>
        </w:rPr>
        <w:t>客户服务中心总经理</w:t>
      </w:r>
      <w:r>
        <w:rPr>
          <w:rFonts w:hint="eastAsia" w:ascii="宋体" w:hAnsi="宋体" w:eastAsia="宋体" w:cs="宋体"/>
          <w:sz w:val="10"/>
        </w:rPr>
        <w:t>。</w:t>
      </w:r>
      <w:r>
        <w:rPr>
          <w:rFonts w:hint="eastAsia" w:ascii="宋体" w:hAnsi="宋体" w:eastAsia="宋体" w:cs="宋体"/>
          <w:sz w:val="24"/>
        </w:rPr>
        <w:t>拥有</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年以上证券行业信息化经验</w:t>
      </w:r>
      <w:r>
        <w:rPr>
          <w:rFonts w:hint="eastAsia" w:ascii="宋体" w:hAnsi="宋体" w:eastAsia="宋体" w:cs="宋体"/>
          <w:sz w:val="10"/>
        </w:rPr>
        <w:t>，</w:t>
      </w:r>
      <w:r>
        <w:rPr>
          <w:rFonts w:hint="eastAsia" w:ascii="宋体" w:hAnsi="宋体" w:eastAsia="宋体" w:cs="宋体"/>
          <w:sz w:val="24"/>
        </w:rPr>
        <w:t>现任发行人总经理助理</w:t>
      </w:r>
      <w:r>
        <w:rPr>
          <w:rFonts w:hint="eastAsia" w:ascii="宋体" w:hAnsi="宋体" w:eastAsia="宋体" w:cs="宋体"/>
          <w:sz w:val="10"/>
        </w:rPr>
        <w:t>、</w:t>
      </w:r>
      <w:r>
        <w:rPr>
          <w:rFonts w:hint="eastAsia" w:ascii="宋体" w:hAnsi="宋体" w:eastAsia="宋体" w:cs="宋体"/>
          <w:sz w:val="24"/>
        </w:rPr>
        <w:t>营销管理总部经理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王腊云女士</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1967</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毕业于西安交通大学系统工程专业</w:t>
      </w:r>
      <w:r>
        <w:rPr>
          <w:rFonts w:hint="eastAsia" w:ascii="宋体" w:hAnsi="宋体" w:eastAsia="宋体" w:cs="宋体"/>
          <w:sz w:val="10"/>
        </w:rPr>
        <w:t>，</w:t>
      </w:r>
      <w:r>
        <w:rPr>
          <w:rFonts w:hint="eastAsia" w:ascii="宋体" w:hAnsi="宋体" w:eastAsia="宋体" w:cs="宋体"/>
          <w:sz w:val="24"/>
        </w:rPr>
        <w:t>工学硕士</w:t>
      </w:r>
      <w:r>
        <w:rPr>
          <w:rFonts w:hint="eastAsia" w:ascii="宋体" w:hAnsi="宋体" w:eastAsia="宋体" w:cs="宋体"/>
          <w:sz w:val="10"/>
        </w:rPr>
        <w:t>。</w:t>
      </w:r>
      <w:r>
        <w:rPr>
          <w:rFonts w:hint="eastAsia" w:ascii="宋体" w:hAnsi="宋体" w:eastAsia="宋体" w:cs="宋体"/>
          <w:sz w:val="24"/>
        </w:rPr>
        <w:t>曾担任西南证券飞虎网开发部经理</w:t>
      </w:r>
      <w:r>
        <w:rPr>
          <w:rFonts w:hint="eastAsia" w:ascii="宋体" w:hAnsi="宋体" w:eastAsia="宋体" w:cs="宋体"/>
          <w:sz w:val="10"/>
        </w:rPr>
        <w:t>，</w:t>
      </w:r>
      <w:r>
        <w:rPr>
          <w:rFonts w:hint="eastAsia" w:ascii="宋体" w:hAnsi="宋体" w:eastAsia="宋体" w:cs="宋体"/>
          <w:sz w:val="24"/>
        </w:rPr>
        <w:t>北京融汇兴业网络技术公司产品规划部经理</w:t>
      </w:r>
      <w:r>
        <w:rPr>
          <w:rFonts w:hint="eastAsia" w:ascii="宋体" w:hAnsi="宋体" w:eastAsia="宋体" w:cs="宋体"/>
          <w:sz w:val="10"/>
        </w:rPr>
        <w:t>、</w:t>
      </w:r>
      <w:r>
        <w:rPr>
          <w:rFonts w:hint="eastAsia" w:ascii="宋体" w:hAnsi="宋体" w:eastAsia="宋体" w:cs="宋体"/>
          <w:sz w:val="24"/>
        </w:rPr>
        <w:t>项目总监</w:t>
      </w:r>
      <w:r>
        <w:rPr>
          <w:rFonts w:hint="eastAsia" w:ascii="宋体" w:hAnsi="宋体" w:eastAsia="宋体" w:cs="宋体"/>
          <w:sz w:val="10"/>
        </w:rPr>
        <w:t>。</w:t>
      </w:r>
      <w:r>
        <w:rPr>
          <w:rFonts w:hint="eastAsia" w:ascii="宋体" w:hAnsi="宋体" w:eastAsia="宋体" w:cs="宋体"/>
          <w:sz w:val="24"/>
        </w:rPr>
        <w:t>拥有</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年以上信息化经验</w:t>
      </w:r>
      <w:r>
        <w:rPr>
          <w:rFonts w:hint="eastAsia" w:ascii="宋体" w:hAnsi="宋体" w:eastAsia="宋体" w:cs="宋体"/>
          <w:sz w:val="10"/>
        </w:rPr>
        <w:t>，</w:t>
      </w:r>
      <w:r>
        <w:rPr>
          <w:rFonts w:hint="eastAsia" w:ascii="宋体" w:hAnsi="宋体" w:eastAsia="宋体" w:cs="宋体"/>
          <w:sz w:val="24"/>
        </w:rPr>
        <w:t>现任发行人金融证券事业部研发中心副经理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刘丽红女士</w:t>
      </w:r>
      <w:r>
        <w:rPr>
          <w:rFonts w:hint="eastAsia" w:ascii="宋体" w:hAnsi="宋体" w:eastAsia="宋体" w:cs="宋体"/>
          <w:sz w:val="10"/>
        </w:rPr>
        <w:t>，</w:t>
      </w:r>
      <w:r>
        <w:rPr>
          <w:rFonts w:hint="eastAsia" w:ascii="宋体" w:hAnsi="宋体" w:eastAsia="宋体" w:cs="宋体"/>
          <w:sz w:val="24"/>
        </w:rPr>
        <w:t>中国国籍</w:t>
      </w:r>
      <w:r>
        <w:rPr>
          <w:rFonts w:hint="eastAsia" w:ascii="宋体" w:hAnsi="宋体" w:eastAsia="宋体" w:cs="宋体"/>
          <w:sz w:val="10"/>
        </w:rPr>
        <w:t>，</w:t>
      </w:r>
      <w:r>
        <w:rPr>
          <w:rFonts w:hint="eastAsia" w:ascii="宋体" w:hAnsi="宋体" w:eastAsia="宋体" w:cs="宋体"/>
          <w:sz w:val="24"/>
        </w:rPr>
        <w:t>无境外永久居留权</w:t>
      </w:r>
      <w:r>
        <w:rPr>
          <w:rFonts w:hint="eastAsia" w:ascii="宋体" w:hAnsi="宋体" w:eastAsia="宋体" w:cs="宋体"/>
          <w:sz w:val="10"/>
        </w:rPr>
        <w:t>，</w:t>
      </w:r>
      <w:r>
        <w:rPr>
          <w:rFonts w:hint="eastAsia" w:ascii="Times New Roman" w:hAnsi="Times New Roman" w:eastAsia="Times New Roman" w:cs="Times New Roman"/>
          <w:sz w:val="24"/>
        </w:rPr>
        <w:t>1976</w:t>
      </w:r>
      <w:r>
        <w:rPr>
          <w:rFonts w:hint="eastAsia" w:ascii="宋体" w:hAnsi="宋体" w:eastAsia="宋体" w:cs="宋体"/>
          <w:sz w:val="24"/>
        </w:rPr>
        <w:t xml:space="preserve"> 年生</w:t>
      </w:r>
      <w:r>
        <w:rPr>
          <w:rFonts w:hint="eastAsia" w:ascii="宋体" w:hAnsi="宋体" w:eastAsia="宋体" w:cs="宋体"/>
          <w:sz w:val="10"/>
        </w:rPr>
        <w:t>，</w:t>
      </w:r>
      <w:r>
        <w:rPr>
          <w:rFonts w:hint="eastAsia" w:ascii="宋体" w:hAnsi="宋体" w:eastAsia="宋体" w:cs="宋体"/>
          <w:sz w:val="24"/>
        </w:rPr>
        <w:t>毕业于福州大学软件专业</w:t>
      </w:r>
      <w:r>
        <w:rPr>
          <w:rFonts w:hint="eastAsia" w:ascii="宋体" w:hAnsi="宋体" w:eastAsia="宋体" w:cs="宋体"/>
          <w:sz w:val="10"/>
        </w:rPr>
        <w:t>，</w:t>
      </w:r>
      <w:r>
        <w:rPr>
          <w:rFonts w:hint="eastAsia" w:ascii="宋体" w:hAnsi="宋体" w:eastAsia="宋体" w:cs="宋体"/>
          <w:sz w:val="24"/>
        </w:rPr>
        <w:t>工学学士</w:t>
      </w:r>
      <w:r>
        <w:rPr>
          <w:rFonts w:hint="eastAsia" w:ascii="宋体" w:hAnsi="宋体" w:eastAsia="宋体" w:cs="宋体"/>
          <w:sz w:val="10"/>
        </w:rPr>
        <w:t>。</w:t>
      </w:r>
      <w:r>
        <w:rPr>
          <w:rFonts w:hint="eastAsia" w:ascii="宋体" w:hAnsi="宋体" w:eastAsia="宋体" w:cs="宋体"/>
          <w:sz w:val="24"/>
        </w:rPr>
        <w:t>曾担任福建顶点软件股份有限公司工程师</w:t>
      </w:r>
      <w:r>
        <w:rPr>
          <w:rFonts w:hint="eastAsia" w:ascii="宋体" w:hAnsi="宋体" w:eastAsia="宋体" w:cs="宋体"/>
          <w:sz w:val="10"/>
        </w:rPr>
        <w:t>，</w:t>
      </w:r>
      <w:r>
        <w:rPr>
          <w:rFonts w:hint="eastAsia" w:ascii="宋体" w:hAnsi="宋体" w:eastAsia="宋体" w:cs="宋体"/>
          <w:sz w:val="24"/>
        </w:rPr>
        <w:t>项目经理</w:t>
      </w:r>
      <w:r>
        <w:rPr>
          <w:rFonts w:hint="eastAsia" w:ascii="宋体" w:hAnsi="宋体" w:eastAsia="宋体" w:cs="宋体"/>
          <w:sz w:val="10"/>
        </w:rPr>
        <w:t>。</w:t>
      </w:r>
      <w:r>
        <w:rPr>
          <w:rFonts w:hint="eastAsia" w:ascii="宋体" w:hAnsi="宋体" w:eastAsia="宋体" w:cs="宋体"/>
          <w:sz w:val="24"/>
        </w:rPr>
        <w:t>现任</w:t>
      </w:r>
      <w:r>
        <w:rPr>
          <w:rFonts w:hint="eastAsia" w:ascii="Times New Roman" w:hAnsi="Times New Roman" w:eastAsia="Times New Roman" w:cs="Times New Roman"/>
          <w:sz w:val="24"/>
        </w:rPr>
        <w:t>BPM</w:t>
      </w:r>
      <w:r>
        <w:rPr>
          <w:rFonts w:hint="eastAsia" w:ascii="宋体" w:hAnsi="宋体" w:eastAsia="宋体" w:cs="宋体"/>
          <w:sz w:val="24"/>
        </w:rPr>
        <w:t xml:space="preserve"> 发展事业部技术经理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本公司之董事</w:t>
      </w:r>
      <w:r>
        <w:rPr>
          <w:rFonts w:hint="eastAsia" w:ascii="宋体" w:hAnsi="宋体" w:eastAsia="宋体" w:cs="宋体"/>
          <w:sz w:val="10"/>
        </w:rPr>
        <w:t>、</w:t>
      </w:r>
      <w:r>
        <w:rPr>
          <w:rFonts w:hint="eastAsia" w:ascii="宋体" w:hAnsi="宋体" w:eastAsia="宋体" w:cs="宋体"/>
          <w:sz w:val="24"/>
        </w:rPr>
        <w:t>监事和高级管理人员均已通过学习及培训了解股票发行上市相关法律法规及其法定义务责任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（五）董事</w:t>
      </w:r>
      <w:r>
        <w:rPr>
          <w:rFonts w:hint="eastAsia" w:ascii="宋体" w:hAnsi="宋体" w:eastAsia="宋体" w:cs="宋体"/>
          <w:b/>
          <w:sz w:val="10"/>
        </w:rPr>
        <w:t>、</w:t>
      </w:r>
      <w:r>
        <w:rPr>
          <w:rFonts w:hint="eastAsia" w:ascii="宋体" w:hAnsi="宋体" w:eastAsia="宋体" w:cs="宋体"/>
          <w:b/>
          <w:sz w:val="24"/>
        </w:rPr>
        <w:t>监事的提名和选聘情况</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40"/>
        <w:gridCol w:w="1000"/>
        <w:gridCol w:w="1340"/>
        <w:gridCol w:w="5040"/>
      </w:tblGrid>
      <w:tr>
        <w:trPr>
          <w:trHeight w:val="460" w:hRule="exact"/>
        </w:trPr>
        <w:tc>
          <w:tcPr>
            <w:tcW w:w="1140" w:type="dxa"/>
            <w:tcMar>
              <w:top w:w="0" w:type="dxa"/>
              <w:left w:w="0" w:type="dxa"/>
              <w:bottom w:w="0" w:type="dxa"/>
              <w:right w:w="0" w:type="dxa"/>
            </w:tcMar>
          </w:tcPr>
          <w:p>
            <w:pPr>
              <w:spacing w:before="120"/>
              <w:ind w:left="340"/>
            </w:pPr>
            <w:r>
              <w:rPr>
                <w:rFonts w:hint="eastAsia" w:ascii="宋体" w:hAnsi="宋体" w:eastAsia="宋体" w:cs="宋体"/>
                <w:b/>
                <w:sz w:val="21"/>
              </w:rPr>
              <w:t>类别</w:t>
            </w:r>
          </w:p>
        </w:tc>
        <w:tc>
          <w:tcPr>
            <w:tcW w:w="1000" w:type="dxa"/>
            <w:tcMar>
              <w:top w:w="0" w:type="dxa"/>
              <w:left w:w="0" w:type="dxa"/>
              <w:bottom w:w="0" w:type="dxa"/>
              <w:right w:w="0" w:type="dxa"/>
            </w:tcMar>
          </w:tcPr>
          <w:p>
            <w:pPr>
              <w:spacing w:before="120"/>
              <w:ind w:left="280"/>
            </w:pPr>
            <w:r>
              <w:rPr>
                <w:rFonts w:hint="eastAsia" w:ascii="宋体" w:hAnsi="宋体" w:eastAsia="宋体" w:cs="宋体"/>
                <w:b/>
                <w:sz w:val="21"/>
              </w:rPr>
              <w:t>姓名</w:t>
            </w:r>
          </w:p>
        </w:tc>
        <w:tc>
          <w:tcPr>
            <w:tcW w:w="1340" w:type="dxa"/>
            <w:tcMar>
              <w:top w:w="0" w:type="dxa"/>
              <w:left w:w="0" w:type="dxa"/>
              <w:bottom w:w="0" w:type="dxa"/>
              <w:right w:w="0" w:type="dxa"/>
            </w:tcMar>
          </w:tcPr>
          <w:p>
            <w:pPr>
              <w:spacing w:before="120"/>
              <w:ind w:left="440"/>
            </w:pPr>
            <w:r>
              <w:rPr>
                <w:rFonts w:hint="eastAsia" w:ascii="宋体" w:hAnsi="宋体" w:eastAsia="宋体" w:cs="宋体"/>
                <w:b/>
                <w:sz w:val="21"/>
              </w:rPr>
              <w:t>职务</w:t>
            </w:r>
          </w:p>
        </w:tc>
        <w:tc>
          <w:tcPr>
            <w:tcW w:w="5040" w:type="dxa"/>
            <w:tcMar>
              <w:top w:w="0" w:type="dxa"/>
              <w:left w:w="0" w:type="dxa"/>
              <w:bottom w:w="0" w:type="dxa"/>
              <w:right w:w="0" w:type="dxa"/>
            </w:tcMar>
          </w:tcPr>
          <w:p>
            <w:pPr>
              <w:spacing w:before="120"/>
              <w:ind w:left="1760"/>
            </w:pPr>
            <w:r>
              <w:rPr>
                <w:rFonts w:hint="eastAsia" w:ascii="宋体" w:hAnsi="宋体" w:eastAsia="宋体" w:cs="宋体"/>
                <w:b/>
                <w:sz w:val="21"/>
              </w:rPr>
              <w:t>提名与选聘情况</w:t>
            </w:r>
          </w:p>
        </w:tc>
      </w:tr>
      <w:tr>
        <w:trPr>
          <w:trHeight w:val="480" w:hRule="exact"/>
        </w:trPr>
        <w:tc>
          <w:tcPr>
            <w:tcW w:w="1140" w:type="dxa"/>
            <w:vMerge w:val="restart"/>
            <w:tcMar>
              <w:top w:w="0" w:type="dxa"/>
              <w:left w:w="0" w:type="dxa"/>
              <w:bottom w:w="0" w:type="dxa"/>
              <w:right w:w="0" w:type="dxa"/>
            </w:tcMar>
          </w:tcPr>
          <w:p>
            <w:pPr>
              <w:spacing w:before="1780"/>
              <w:ind w:left="240"/>
            </w:pPr>
            <w:r>
              <w:rPr>
                <w:rFonts w:hint="eastAsia" w:ascii="宋体" w:hAnsi="宋体" w:eastAsia="宋体" w:cs="宋体"/>
                <w:sz w:val="21"/>
              </w:rPr>
              <w:t>董事会</w:t>
            </w:r>
          </w:p>
        </w:tc>
        <w:tc>
          <w:tcPr>
            <w:tcW w:w="1000" w:type="dxa"/>
            <w:tcMar>
              <w:top w:w="0" w:type="dxa"/>
              <w:left w:w="0" w:type="dxa"/>
              <w:bottom w:w="0" w:type="dxa"/>
              <w:right w:w="0" w:type="dxa"/>
            </w:tcMar>
          </w:tcPr>
          <w:p>
            <w:pPr>
              <w:spacing w:before="120"/>
              <w:ind w:left="160"/>
            </w:pPr>
            <w:r>
              <w:rPr>
                <w:rFonts w:hint="eastAsia" w:ascii="宋体" w:hAnsi="宋体" w:eastAsia="宋体" w:cs="宋体"/>
                <w:sz w:val="21"/>
              </w:rPr>
              <w:t>严孟宇</w:t>
            </w:r>
          </w:p>
        </w:tc>
        <w:tc>
          <w:tcPr>
            <w:tcW w:w="1340" w:type="dxa"/>
            <w:tcMar>
              <w:top w:w="0" w:type="dxa"/>
              <w:left w:w="0" w:type="dxa"/>
              <w:bottom w:w="0" w:type="dxa"/>
              <w:right w:w="0" w:type="dxa"/>
            </w:tcMar>
          </w:tcPr>
          <w:p>
            <w:pPr>
              <w:spacing w:before="120"/>
              <w:ind w:left="440"/>
            </w:pPr>
            <w:r>
              <w:rPr>
                <w:rFonts w:hint="eastAsia" w:ascii="宋体" w:hAnsi="宋体" w:eastAsia="宋体" w:cs="宋体"/>
                <w:sz w:val="21"/>
              </w:rPr>
              <w:t>董事</w:t>
            </w:r>
          </w:p>
        </w:tc>
        <w:tc>
          <w:tcPr>
            <w:tcW w:w="504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2014</w:t>
            </w:r>
            <w:r>
              <w:rPr>
                <w:rFonts w:hint="eastAsia" w:ascii="宋体" w:hAnsi="宋体" w:eastAsia="宋体" w:cs="宋体"/>
                <w:sz w:val="21"/>
              </w:rPr>
              <w:t>年</w:t>
            </w:r>
            <w:r>
              <w:rPr>
                <w:rFonts w:hint="eastAsia" w:ascii="Times New Roman" w:hAnsi="Times New Roman" w:eastAsia="Times New Roman" w:cs="Times New Roman"/>
                <w:sz w:val="21"/>
              </w:rPr>
              <w:t>8</w:t>
            </w:r>
            <w:r>
              <w:rPr>
                <w:rFonts w:hint="eastAsia" w:ascii="宋体" w:hAnsi="宋体" w:eastAsia="宋体" w:cs="宋体"/>
                <w:sz w:val="21"/>
              </w:rPr>
              <w:t>月</w:t>
            </w:r>
            <w:r>
              <w:rPr>
                <w:rFonts w:hint="eastAsia" w:ascii="Times New Roman" w:hAnsi="Times New Roman" w:eastAsia="Times New Roman" w:cs="Times New Roman"/>
                <w:sz w:val="21"/>
              </w:rPr>
              <w:t>4</w:t>
            </w:r>
            <w:r>
              <w:rPr>
                <w:rFonts w:hint="eastAsia" w:ascii="宋体" w:hAnsi="宋体" w:eastAsia="宋体" w:cs="宋体"/>
                <w:sz w:val="21"/>
              </w:rPr>
              <w:t>日</w:t>
            </w:r>
            <w:r>
              <w:rPr>
                <w:rFonts w:hint="eastAsia" w:ascii="Times New Roman" w:hAnsi="Times New Roman" w:eastAsia="Times New Roman" w:cs="Times New Roman"/>
                <w:sz w:val="21"/>
              </w:rPr>
              <w:t>2014</w:t>
            </w:r>
            <w:r>
              <w:rPr>
                <w:rFonts w:hint="eastAsia" w:ascii="宋体" w:hAnsi="宋体" w:eastAsia="宋体" w:cs="宋体"/>
                <w:sz w:val="21"/>
              </w:rPr>
              <w:t>年第三次临时股东大会</w:t>
            </w:r>
          </w:p>
        </w:tc>
      </w:tr>
      <w:tr>
        <w:trPr>
          <w:trHeight w:val="480" w:hRule="exact"/>
        </w:trPr>
        <w:tc>
          <w:tcPr>
            <w:tcW w:w="11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20"/>
              <w:ind w:left="280"/>
            </w:pPr>
            <w:r>
              <w:rPr>
                <w:rFonts w:hint="eastAsia" w:ascii="宋体" w:hAnsi="宋体" w:eastAsia="宋体" w:cs="宋体"/>
                <w:sz w:val="21"/>
              </w:rPr>
              <w:t>赵伟</w:t>
            </w:r>
          </w:p>
        </w:tc>
        <w:tc>
          <w:tcPr>
            <w:tcW w:w="1340" w:type="dxa"/>
            <w:tcMar>
              <w:top w:w="0" w:type="dxa"/>
              <w:left w:w="0" w:type="dxa"/>
              <w:bottom w:w="0" w:type="dxa"/>
              <w:right w:w="0" w:type="dxa"/>
            </w:tcMar>
          </w:tcPr>
          <w:p>
            <w:pPr>
              <w:spacing w:before="120"/>
              <w:ind w:left="440"/>
            </w:pPr>
            <w:r>
              <w:rPr>
                <w:rFonts w:hint="eastAsia" w:ascii="宋体" w:hAnsi="宋体" w:eastAsia="宋体" w:cs="宋体"/>
                <w:sz w:val="21"/>
              </w:rPr>
              <w:t>董事</w:t>
            </w:r>
          </w:p>
        </w:tc>
        <w:tc>
          <w:tcPr>
            <w:tcW w:w="504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2014</w:t>
            </w:r>
            <w:r>
              <w:rPr>
                <w:rFonts w:hint="eastAsia" w:ascii="宋体" w:hAnsi="宋体" w:eastAsia="宋体" w:cs="宋体"/>
                <w:sz w:val="21"/>
              </w:rPr>
              <w:t>年</w:t>
            </w:r>
            <w:r>
              <w:rPr>
                <w:rFonts w:hint="eastAsia" w:ascii="Times New Roman" w:hAnsi="Times New Roman" w:eastAsia="Times New Roman" w:cs="Times New Roman"/>
                <w:sz w:val="21"/>
              </w:rPr>
              <w:t>8</w:t>
            </w:r>
            <w:r>
              <w:rPr>
                <w:rFonts w:hint="eastAsia" w:ascii="宋体" w:hAnsi="宋体" w:eastAsia="宋体" w:cs="宋体"/>
                <w:sz w:val="21"/>
              </w:rPr>
              <w:t>月</w:t>
            </w:r>
            <w:r>
              <w:rPr>
                <w:rFonts w:hint="eastAsia" w:ascii="Times New Roman" w:hAnsi="Times New Roman" w:eastAsia="Times New Roman" w:cs="Times New Roman"/>
                <w:sz w:val="21"/>
              </w:rPr>
              <w:t>4</w:t>
            </w:r>
            <w:r>
              <w:rPr>
                <w:rFonts w:hint="eastAsia" w:ascii="宋体" w:hAnsi="宋体" w:eastAsia="宋体" w:cs="宋体"/>
                <w:sz w:val="21"/>
              </w:rPr>
              <w:t>日</w:t>
            </w:r>
            <w:r>
              <w:rPr>
                <w:rFonts w:hint="eastAsia" w:ascii="Times New Roman" w:hAnsi="Times New Roman" w:eastAsia="Times New Roman" w:cs="Times New Roman"/>
                <w:sz w:val="21"/>
              </w:rPr>
              <w:t>2014</w:t>
            </w:r>
            <w:r>
              <w:rPr>
                <w:rFonts w:hint="eastAsia" w:ascii="宋体" w:hAnsi="宋体" w:eastAsia="宋体" w:cs="宋体"/>
                <w:sz w:val="21"/>
              </w:rPr>
              <w:t>年第三次临时股东大会</w:t>
            </w:r>
          </w:p>
        </w:tc>
      </w:tr>
      <w:tr>
        <w:trPr>
          <w:trHeight w:val="480" w:hRule="exact"/>
        </w:trPr>
        <w:tc>
          <w:tcPr>
            <w:tcW w:w="11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00"/>
              <w:ind w:left="160"/>
            </w:pPr>
            <w:r>
              <w:rPr>
                <w:rFonts w:hint="eastAsia" w:ascii="宋体" w:hAnsi="宋体" w:eastAsia="宋体" w:cs="宋体"/>
                <w:sz w:val="21"/>
              </w:rPr>
              <w:t>雷世潘</w:t>
            </w:r>
          </w:p>
        </w:tc>
        <w:tc>
          <w:tcPr>
            <w:tcW w:w="1340" w:type="dxa"/>
            <w:tcMar>
              <w:top w:w="0" w:type="dxa"/>
              <w:left w:w="0" w:type="dxa"/>
              <w:bottom w:w="0" w:type="dxa"/>
              <w:right w:w="0" w:type="dxa"/>
            </w:tcMar>
          </w:tcPr>
          <w:p>
            <w:pPr>
              <w:spacing w:before="100"/>
              <w:ind w:left="440"/>
            </w:pPr>
            <w:r>
              <w:rPr>
                <w:rFonts w:hint="eastAsia" w:ascii="宋体" w:hAnsi="宋体" w:eastAsia="宋体" w:cs="宋体"/>
                <w:sz w:val="21"/>
              </w:rPr>
              <w:t>董事</w:t>
            </w:r>
          </w:p>
        </w:tc>
        <w:tc>
          <w:tcPr>
            <w:tcW w:w="504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2014</w:t>
            </w:r>
            <w:r>
              <w:rPr>
                <w:rFonts w:hint="eastAsia" w:ascii="宋体" w:hAnsi="宋体" w:eastAsia="宋体" w:cs="宋体"/>
                <w:sz w:val="21"/>
              </w:rPr>
              <w:t>年</w:t>
            </w:r>
            <w:r>
              <w:rPr>
                <w:rFonts w:hint="eastAsia" w:ascii="Times New Roman" w:hAnsi="Times New Roman" w:eastAsia="Times New Roman" w:cs="Times New Roman"/>
                <w:sz w:val="21"/>
              </w:rPr>
              <w:t>8</w:t>
            </w:r>
            <w:r>
              <w:rPr>
                <w:rFonts w:hint="eastAsia" w:ascii="宋体" w:hAnsi="宋体" w:eastAsia="宋体" w:cs="宋体"/>
                <w:sz w:val="21"/>
              </w:rPr>
              <w:t>月</w:t>
            </w:r>
            <w:r>
              <w:rPr>
                <w:rFonts w:hint="eastAsia" w:ascii="Times New Roman" w:hAnsi="Times New Roman" w:eastAsia="Times New Roman" w:cs="Times New Roman"/>
                <w:sz w:val="21"/>
              </w:rPr>
              <w:t>4</w:t>
            </w:r>
            <w:r>
              <w:rPr>
                <w:rFonts w:hint="eastAsia" w:ascii="宋体" w:hAnsi="宋体" w:eastAsia="宋体" w:cs="宋体"/>
                <w:sz w:val="21"/>
              </w:rPr>
              <w:t>日</w:t>
            </w:r>
            <w:r>
              <w:rPr>
                <w:rFonts w:hint="eastAsia" w:ascii="Times New Roman" w:hAnsi="Times New Roman" w:eastAsia="Times New Roman" w:cs="Times New Roman"/>
                <w:sz w:val="21"/>
              </w:rPr>
              <w:t>2014</w:t>
            </w:r>
            <w:r>
              <w:rPr>
                <w:rFonts w:hint="eastAsia" w:ascii="宋体" w:hAnsi="宋体" w:eastAsia="宋体" w:cs="宋体"/>
                <w:sz w:val="21"/>
              </w:rPr>
              <w:t>年第三次临时股东大会</w:t>
            </w:r>
          </w:p>
        </w:tc>
      </w:tr>
      <w:tr>
        <w:trPr>
          <w:trHeight w:val="480" w:hRule="exact"/>
        </w:trPr>
        <w:tc>
          <w:tcPr>
            <w:tcW w:w="11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00"/>
              <w:ind w:left="160"/>
            </w:pPr>
            <w:r>
              <w:rPr>
                <w:rFonts w:hint="eastAsia" w:ascii="宋体" w:hAnsi="宋体" w:eastAsia="宋体" w:cs="宋体"/>
                <w:sz w:val="21"/>
              </w:rPr>
              <w:t>黄义青</w:t>
            </w:r>
          </w:p>
        </w:tc>
        <w:tc>
          <w:tcPr>
            <w:tcW w:w="1340" w:type="dxa"/>
            <w:tcMar>
              <w:top w:w="0" w:type="dxa"/>
              <w:left w:w="0" w:type="dxa"/>
              <w:bottom w:w="0" w:type="dxa"/>
              <w:right w:w="0" w:type="dxa"/>
            </w:tcMar>
          </w:tcPr>
          <w:p>
            <w:pPr>
              <w:spacing w:before="120"/>
              <w:ind w:left="440"/>
            </w:pPr>
            <w:r>
              <w:rPr>
                <w:rFonts w:hint="eastAsia" w:ascii="宋体" w:hAnsi="宋体" w:eastAsia="宋体" w:cs="宋体"/>
                <w:sz w:val="21"/>
              </w:rPr>
              <w:t>董事</w:t>
            </w:r>
          </w:p>
        </w:tc>
        <w:tc>
          <w:tcPr>
            <w:tcW w:w="504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2014</w:t>
            </w:r>
            <w:r>
              <w:rPr>
                <w:rFonts w:hint="eastAsia" w:ascii="宋体" w:hAnsi="宋体" w:eastAsia="宋体" w:cs="宋体"/>
                <w:sz w:val="21"/>
              </w:rPr>
              <w:t>年</w:t>
            </w:r>
            <w:r>
              <w:rPr>
                <w:rFonts w:hint="eastAsia" w:ascii="Times New Roman" w:hAnsi="Times New Roman" w:eastAsia="Times New Roman" w:cs="Times New Roman"/>
                <w:sz w:val="21"/>
              </w:rPr>
              <w:t>8</w:t>
            </w:r>
            <w:r>
              <w:rPr>
                <w:rFonts w:hint="eastAsia" w:ascii="宋体" w:hAnsi="宋体" w:eastAsia="宋体" w:cs="宋体"/>
                <w:sz w:val="21"/>
              </w:rPr>
              <w:t>月</w:t>
            </w:r>
            <w:r>
              <w:rPr>
                <w:rFonts w:hint="eastAsia" w:ascii="Times New Roman" w:hAnsi="Times New Roman" w:eastAsia="Times New Roman" w:cs="Times New Roman"/>
                <w:sz w:val="21"/>
              </w:rPr>
              <w:t>4</w:t>
            </w:r>
            <w:r>
              <w:rPr>
                <w:rFonts w:hint="eastAsia" w:ascii="宋体" w:hAnsi="宋体" w:eastAsia="宋体" w:cs="宋体"/>
                <w:sz w:val="21"/>
              </w:rPr>
              <w:t>日</w:t>
            </w:r>
            <w:r>
              <w:rPr>
                <w:rFonts w:hint="eastAsia" w:ascii="Times New Roman" w:hAnsi="Times New Roman" w:eastAsia="Times New Roman" w:cs="Times New Roman"/>
                <w:sz w:val="21"/>
              </w:rPr>
              <w:t>2014</w:t>
            </w:r>
            <w:r>
              <w:rPr>
                <w:rFonts w:hint="eastAsia" w:ascii="宋体" w:hAnsi="宋体" w:eastAsia="宋体" w:cs="宋体"/>
                <w:sz w:val="21"/>
              </w:rPr>
              <w:t>年第三次临时股东大会</w:t>
            </w:r>
          </w:p>
        </w:tc>
      </w:tr>
      <w:tr>
        <w:trPr>
          <w:trHeight w:val="460" w:hRule="exact"/>
        </w:trPr>
        <w:tc>
          <w:tcPr>
            <w:tcW w:w="11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00"/>
              <w:ind w:left="280"/>
            </w:pPr>
            <w:r>
              <w:rPr>
                <w:rFonts w:hint="eastAsia" w:ascii="宋体" w:hAnsi="宋体" w:eastAsia="宋体" w:cs="宋体"/>
                <w:sz w:val="21"/>
              </w:rPr>
              <w:t>李军</w:t>
            </w:r>
          </w:p>
        </w:tc>
        <w:tc>
          <w:tcPr>
            <w:tcW w:w="1340" w:type="dxa"/>
            <w:tcMar>
              <w:top w:w="0" w:type="dxa"/>
              <w:left w:w="0" w:type="dxa"/>
              <w:bottom w:w="0" w:type="dxa"/>
              <w:right w:w="0" w:type="dxa"/>
            </w:tcMar>
          </w:tcPr>
          <w:p>
            <w:pPr>
              <w:spacing w:before="100"/>
              <w:ind w:left="440"/>
            </w:pPr>
            <w:r>
              <w:rPr>
                <w:rFonts w:hint="eastAsia" w:ascii="宋体" w:hAnsi="宋体" w:eastAsia="宋体" w:cs="宋体"/>
                <w:sz w:val="21"/>
              </w:rPr>
              <w:t>董事</w:t>
            </w:r>
          </w:p>
        </w:tc>
        <w:tc>
          <w:tcPr>
            <w:tcW w:w="504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2016</w:t>
            </w:r>
            <w:r>
              <w:rPr>
                <w:rFonts w:hint="eastAsia" w:ascii="宋体" w:hAnsi="宋体" w:eastAsia="宋体" w:cs="宋体"/>
                <w:sz w:val="21"/>
              </w:rPr>
              <w:t>年</w:t>
            </w:r>
            <w:r>
              <w:rPr>
                <w:rFonts w:hint="eastAsia" w:ascii="Times New Roman" w:hAnsi="Times New Roman" w:eastAsia="Times New Roman" w:cs="Times New Roman"/>
                <w:sz w:val="21"/>
              </w:rPr>
              <w:t>6</w:t>
            </w:r>
            <w:r>
              <w:rPr>
                <w:rFonts w:hint="eastAsia" w:ascii="宋体" w:hAnsi="宋体" w:eastAsia="宋体" w:cs="宋体"/>
                <w:sz w:val="21"/>
              </w:rPr>
              <w:t>月</w:t>
            </w:r>
            <w:r>
              <w:rPr>
                <w:rFonts w:hint="eastAsia" w:ascii="Times New Roman" w:hAnsi="Times New Roman" w:eastAsia="Times New Roman" w:cs="Times New Roman"/>
                <w:sz w:val="21"/>
              </w:rPr>
              <w:t>3</w:t>
            </w:r>
            <w:r>
              <w:rPr>
                <w:rFonts w:hint="eastAsia" w:ascii="宋体" w:hAnsi="宋体" w:eastAsia="宋体" w:cs="宋体"/>
                <w:sz w:val="21"/>
              </w:rPr>
              <w:t>日</w:t>
            </w:r>
            <w:r>
              <w:rPr>
                <w:rFonts w:hint="eastAsia" w:ascii="Times New Roman" w:hAnsi="Times New Roman" w:eastAsia="Times New Roman" w:cs="Times New Roman"/>
                <w:sz w:val="21"/>
              </w:rPr>
              <w:t>2015</w:t>
            </w:r>
            <w:r>
              <w:rPr>
                <w:rFonts w:hint="eastAsia" w:ascii="宋体" w:hAnsi="宋体" w:eastAsia="宋体" w:cs="宋体"/>
                <w:sz w:val="21"/>
              </w:rPr>
              <w:t>年年度股东大会</w:t>
            </w:r>
          </w:p>
        </w:tc>
      </w:tr>
      <w:tr>
        <w:trPr>
          <w:trHeight w:val="480" w:hRule="exact"/>
        </w:trPr>
        <w:tc>
          <w:tcPr>
            <w:tcW w:w="11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20"/>
              <w:ind w:left="160"/>
            </w:pPr>
            <w:r>
              <w:rPr>
                <w:rFonts w:hint="eastAsia" w:ascii="宋体" w:hAnsi="宋体" w:eastAsia="宋体" w:cs="宋体"/>
                <w:sz w:val="21"/>
              </w:rPr>
              <w:t>叶东毅</w:t>
            </w:r>
          </w:p>
        </w:tc>
        <w:tc>
          <w:tcPr>
            <w:tcW w:w="1340" w:type="dxa"/>
            <w:tcMar>
              <w:top w:w="0" w:type="dxa"/>
              <w:left w:w="0" w:type="dxa"/>
              <w:bottom w:w="0" w:type="dxa"/>
              <w:right w:w="0" w:type="dxa"/>
            </w:tcMar>
          </w:tcPr>
          <w:p>
            <w:pPr>
              <w:spacing w:before="120"/>
              <w:ind w:left="240"/>
            </w:pPr>
            <w:r>
              <w:rPr>
                <w:rFonts w:hint="eastAsia" w:ascii="宋体" w:hAnsi="宋体" w:eastAsia="宋体" w:cs="宋体"/>
                <w:sz w:val="21"/>
              </w:rPr>
              <w:t>独立董事</w:t>
            </w:r>
          </w:p>
        </w:tc>
        <w:tc>
          <w:tcPr>
            <w:tcW w:w="504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2015</w:t>
            </w:r>
            <w:r>
              <w:rPr>
                <w:rFonts w:hint="eastAsia" w:ascii="宋体" w:hAnsi="宋体" w:eastAsia="宋体" w:cs="宋体"/>
                <w:sz w:val="21"/>
              </w:rPr>
              <w:t>年</w:t>
            </w:r>
            <w:r>
              <w:rPr>
                <w:rFonts w:hint="eastAsia" w:ascii="Times New Roman" w:hAnsi="Times New Roman" w:eastAsia="Times New Roman" w:cs="Times New Roman"/>
                <w:sz w:val="21"/>
              </w:rPr>
              <w:t>6</w:t>
            </w:r>
            <w:r>
              <w:rPr>
                <w:rFonts w:hint="eastAsia" w:ascii="宋体" w:hAnsi="宋体" w:eastAsia="宋体" w:cs="宋体"/>
                <w:sz w:val="21"/>
              </w:rPr>
              <w:t>月</w:t>
            </w:r>
            <w:r>
              <w:rPr>
                <w:rFonts w:hint="eastAsia" w:ascii="Times New Roman" w:hAnsi="Times New Roman" w:eastAsia="Times New Roman" w:cs="Times New Roman"/>
                <w:sz w:val="21"/>
              </w:rPr>
              <w:t>29</w:t>
            </w:r>
            <w:r>
              <w:rPr>
                <w:rFonts w:hint="eastAsia" w:ascii="宋体" w:hAnsi="宋体" w:eastAsia="宋体" w:cs="宋体"/>
                <w:sz w:val="21"/>
              </w:rPr>
              <w:t>日</w:t>
            </w:r>
            <w:r>
              <w:rPr>
                <w:rFonts w:hint="eastAsia" w:ascii="Times New Roman" w:hAnsi="Times New Roman" w:eastAsia="Times New Roman" w:cs="Times New Roman"/>
                <w:sz w:val="21"/>
              </w:rPr>
              <w:t>2014</w:t>
            </w:r>
            <w:r>
              <w:rPr>
                <w:rFonts w:hint="eastAsia" w:ascii="宋体" w:hAnsi="宋体" w:eastAsia="宋体" w:cs="宋体"/>
                <w:sz w:val="21"/>
              </w:rPr>
              <w:t>年年度股东大会</w:t>
            </w:r>
          </w:p>
        </w:tc>
      </w:tr>
      <w:tr>
        <w:trPr>
          <w:trHeight w:val="480" w:hRule="exact"/>
        </w:trPr>
        <w:tc>
          <w:tcPr>
            <w:tcW w:w="11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20"/>
              <w:ind w:left="280"/>
            </w:pPr>
            <w:r>
              <w:rPr>
                <w:rFonts w:hint="eastAsia" w:ascii="宋体" w:hAnsi="宋体" w:eastAsia="宋体" w:cs="宋体"/>
                <w:sz w:val="21"/>
              </w:rPr>
              <w:t>齐伟</w:t>
            </w:r>
          </w:p>
        </w:tc>
        <w:tc>
          <w:tcPr>
            <w:tcW w:w="1340" w:type="dxa"/>
            <w:tcMar>
              <w:top w:w="0" w:type="dxa"/>
              <w:left w:w="0" w:type="dxa"/>
              <w:bottom w:w="0" w:type="dxa"/>
              <w:right w:w="0" w:type="dxa"/>
            </w:tcMar>
          </w:tcPr>
          <w:p>
            <w:pPr>
              <w:spacing w:before="120"/>
              <w:ind w:left="240"/>
            </w:pPr>
            <w:r>
              <w:rPr>
                <w:rFonts w:hint="eastAsia" w:ascii="宋体" w:hAnsi="宋体" w:eastAsia="宋体" w:cs="宋体"/>
                <w:sz w:val="21"/>
              </w:rPr>
              <w:t>独立董事</w:t>
            </w:r>
          </w:p>
        </w:tc>
        <w:tc>
          <w:tcPr>
            <w:tcW w:w="504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2015</w:t>
            </w:r>
            <w:r>
              <w:rPr>
                <w:rFonts w:hint="eastAsia" w:ascii="宋体" w:hAnsi="宋体" w:eastAsia="宋体" w:cs="宋体"/>
                <w:sz w:val="21"/>
              </w:rPr>
              <w:t>年</w:t>
            </w:r>
            <w:r>
              <w:rPr>
                <w:rFonts w:hint="eastAsia" w:ascii="Times New Roman" w:hAnsi="Times New Roman" w:eastAsia="Times New Roman" w:cs="Times New Roman"/>
                <w:sz w:val="21"/>
              </w:rPr>
              <w:t>6</w:t>
            </w:r>
            <w:r>
              <w:rPr>
                <w:rFonts w:hint="eastAsia" w:ascii="宋体" w:hAnsi="宋体" w:eastAsia="宋体" w:cs="宋体"/>
                <w:sz w:val="21"/>
              </w:rPr>
              <w:t>月</w:t>
            </w:r>
            <w:r>
              <w:rPr>
                <w:rFonts w:hint="eastAsia" w:ascii="Times New Roman" w:hAnsi="Times New Roman" w:eastAsia="Times New Roman" w:cs="Times New Roman"/>
                <w:sz w:val="21"/>
              </w:rPr>
              <w:t>29</w:t>
            </w:r>
            <w:r>
              <w:rPr>
                <w:rFonts w:hint="eastAsia" w:ascii="宋体" w:hAnsi="宋体" w:eastAsia="宋体" w:cs="宋体"/>
                <w:sz w:val="21"/>
              </w:rPr>
              <w:t>日</w:t>
            </w:r>
            <w:r>
              <w:rPr>
                <w:rFonts w:hint="eastAsia" w:ascii="Times New Roman" w:hAnsi="Times New Roman" w:eastAsia="Times New Roman" w:cs="Times New Roman"/>
                <w:sz w:val="21"/>
              </w:rPr>
              <w:t>2014</w:t>
            </w:r>
            <w:r>
              <w:rPr>
                <w:rFonts w:hint="eastAsia" w:ascii="宋体" w:hAnsi="宋体" w:eastAsia="宋体" w:cs="宋体"/>
                <w:sz w:val="21"/>
              </w:rPr>
              <w:t>年年度股东大会</w:t>
            </w:r>
          </w:p>
        </w:tc>
      </w:tr>
      <w:tr>
        <w:trPr>
          <w:trHeight w:val="460" w:hRule="exact"/>
        </w:trPr>
        <w:tc>
          <w:tcPr>
            <w:tcW w:w="11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00"/>
              <w:ind w:left="280"/>
            </w:pPr>
            <w:r>
              <w:rPr>
                <w:rFonts w:hint="eastAsia" w:ascii="宋体" w:hAnsi="宋体" w:eastAsia="宋体" w:cs="宋体"/>
                <w:sz w:val="21"/>
              </w:rPr>
              <w:t>徐青</w:t>
            </w:r>
          </w:p>
        </w:tc>
        <w:tc>
          <w:tcPr>
            <w:tcW w:w="1340" w:type="dxa"/>
            <w:tcMar>
              <w:top w:w="0" w:type="dxa"/>
              <w:left w:w="0" w:type="dxa"/>
              <w:bottom w:w="0" w:type="dxa"/>
              <w:right w:w="0" w:type="dxa"/>
            </w:tcMar>
          </w:tcPr>
          <w:p>
            <w:pPr>
              <w:spacing w:before="100"/>
              <w:ind w:left="240"/>
            </w:pPr>
            <w:r>
              <w:rPr>
                <w:rFonts w:hint="eastAsia" w:ascii="宋体" w:hAnsi="宋体" w:eastAsia="宋体" w:cs="宋体"/>
                <w:sz w:val="21"/>
              </w:rPr>
              <w:t>独立董事</w:t>
            </w:r>
          </w:p>
        </w:tc>
        <w:tc>
          <w:tcPr>
            <w:tcW w:w="504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2016</w:t>
            </w:r>
            <w:r>
              <w:rPr>
                <w:rFonts w:hint="eastAsia" w:ascii="宋体" w:hAnsi="宋体" w:eastAsia="宋体" w:cs="宋体"/>
                <w:sz w:val="21"/>
              </w:rPr>
              <w:t>年</w:t>
            </w:r>
            <w:r>
              <w:rPr>
                <w:rFonts w:hint="eastAsia" w:ascii="Times New Roman" w:hAnsi="Times New Roman" w:eastAsia="Times New Roman" w:cs="Times New Roman"/>
                <w:sz w:val="21"/>
              </w:rPr>
              <w:t>7</w:t>
            </w:r>
            <w:r>
              <w:rPr>
                <w:rFonts w:hint="eastAsia" w:ascii="宋体" w:hAnsi="宋体" w:eastAsia="宋体" w:cs="宋体"/>
                <w:sz w:val="21"/>
              </w:rPr>
              <w:t>月</w:t>
            </w:r>
            <w:r>
              <w:rPr>
                <w:rFonts w:hint="eastAsia" w:ascii="Times New Roman" w:hAnsi="Times New Roman" w:eastAsia="Times New Roman" w:cs="Times New Roman"/>
                <w:sz w:val="21"/>
              </w:rPr>
              <w:t>25</w:t>
            </w:r>
            <w:r>
              <w:rPr>
                <w:rFonts w:hint="eastAsia" w:ascii="宋体" w:hAnsi="宋体" w:eastAsia="宋体" w:cs="宋体"/>
                <w:sz w:val="21"/>
              </w:rPr>
              <w:t>日</w:t>
            </w:r>
            <w:r>
              <w:rPr>
                <w:rFonts w:hint="eastAsia" w:ascii="Times New Roman" w:hAnsi="Times New Roman" w:eastAsia="Times New Roman" w:cs="Times New Roman"/>
                <w:sz w:val="21"/>
              </w:rPr>
              <w:t>2016</w:t>
            </w:r>
            <w:r>
              <w:rPr>
                <w:rFonts w:hint="eastAsia" w:ascii="宋体" w:hAnsi="宋体" w:eastAsia="宋体" w:cs="宋体"/>
                <w:sz w:val="21"/>
              </w:rPr>
              <w:t>年第</w:t>
            </w:r>
            <w:r>
              <w:rPr>
                <w:rFonts w:hint="eastAsia" w:ascii="宋体" w:hAnsi="宋体" w:eastAsia="宋体" w:cs="宋体"/>
                <w:sz w:val="20"/>
              </w:rPr>
              <w:t>二</w:t>
            </w:r>
            <w:r>
              <w:rPr>
                <w:rFonts w:hint="eastAsia" w:ascii="宋体" w:hAnsi="宋体" w:eastAsia="宋体" w:cs="宋体"/>
                <w:sz w:val="21"/>
              </w:rPr>
              <w:t>次临时股东大会</w:t>
            </w:r>
          </w:p>
        </w:tc>
      </w:tr>
      <w:tr>
        <w:trPr>
          <w:trHeight w:val="480" w:hRule="exact"/>
        </w:trPr>
        <w:tc>
          <w:tcPr>
            <w:tcW w:w="1140" w:type="dxa"/>
            <w:vMerge w:val="restart"/>
            <w:tcMar>
              <w:top w:w="0" w:type="dxa"/>
              <w:left w:w="0" w:type="dxa"/>
              <w:bottom w:w="0" w:type="dxa"/>
              <w:right w:w="0" w:type="dxa"/>
            </w:tcMar>
          </w:tcPr>
          <w:p>
            <w:pPr>
              <w:spacing w:before="600"/>
              <w:ind w:left="240"/>
            </w:pPr>
            <w:r>
              <w:rPr>
                <w:rFonts w:hint="eastAsia" w:ascii="宋体" w:hAnsi="宋体" w:eastAsia="宋体" w:cs="宋体"/>
                <w:sz w:val="21"/>
              </w:rPr>
              <w:t>监事会</w:t>
            </w:r>
          </w:p>
        </w:tc>
        <w:tc>
          <w:tcPr>
            <w:tcW w:w="1000" w:type="dxa"/>
            <w:tcMar>
              <w:top w:w="0" w:type="dxa"/>
              <w:left w:w="0" w:type="dxa"/>
              <w:bottom w:w="0" w:type="dxa"/>
              <w:right w:w="0" w:type="dxa"/>
            </w:tcMar>
          </w:tcPr>
          <w:p>
            <w:pPr>
              <w:spacing w:before="120"/>
              <w:ind w:left="280"/>
            </w:pPr>
            <w:r>
              <w:rPr>
                <w:rFonts w:hint="eastAsia" w:ascii="宋体" w:hAnsi="宋体" w:eastAsia="宋体" w:cs="宋体"/>
                <w:sz w:val="21"/>
              </w:rPr>
              <w:t>欧永</w:t>
            </w:r>
          </w:p>
        </w:tc>
        <w:tc>
          <w:tcPr>
            <w:tcW w:w="1340" w:type="dxa"/>
            <w:tcMar>
              <w:top w:w="0" w:type="dxa"/>
              <w:left w:w="0" w:type="dxa"/>
              <w:bottom w:w="0" w:type="dxa"/>
              <w:right w:w="0" w:type="dxa"/>
            </w:tcMar>
          </w:tcPr>
          <w:p>
            <w:pPr>
              <w:spacing w:before="120"/>
              <w:ind w:left="440"/>
            </w:pPr>
            <w:r>
              <w:rPr>
                <w:rFonts w:hint="eastAsia" w:ascii="宋体" w:hAnsi="宋体" w:eastAsia="宋体" w:cs="宋体"/>
                <w:sz w:val="21"/>
              </w:rPr>
              <w:t>监事</w:t>
            </w:r>
          </w:p>
        </w:tc>
        <w:tc>
          <w:tcPr>
            <w:tcW w:w="504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2014</w:t>
            </w:r>
            <w:r>
              <w:rPr>
                <w:rFonts w:hint="eastAsia" w:ascii="宋体" w:hAnsi="宋体" w:eastAsia="宋体" w:cs="宋体"/>
                <w:sz w:val="21"/>
              </w:rPr>
              <w:t>年</w:t>
            </w:r>
            <w:r>
              <w:rPr>
                <w:rFonts w:hint="eastAsia" w:ascii="Times New Roman" w:hAnsi="Times New Roman" w:eastAsia="Times New Roman" w:cs="Times New Roman"/>
                <w:sz w:val="21"/>
              </w:rPr>
              <w:t>8</w:t>
            </w:r>
            <w:r>
              <w:rPr>
                <w:rFonts w:hint="eastAsia" w:ascii="宋体" w:hAnsi="宋体" w:eastAsia="宋体" w:cs="宋体"/>
                <w:sz w:val="21"/>
              </w:rPr>
              <w:t>月</w:t>
            </w:r>
            <w:r>
              <w:rPr>
                <w:rFonts w:hint="eastAsia" w:ascii="Times New Roman" w:hAnsi="Times New Roman" w:eastAsia="Times New Roman" w:cs="Times New Roman"/>
                <w:sz w:val="21"/>
              </w:rPr>
              <w:t>4</w:t>
            </w:r>
            <w:r>
              <w:rPr>
                <w:rFonts w:hint="eastAsia" w:ascii="宋体" w:hAnsi="宋体" w:eastAsia="宋体" w:cs="宋体"/>
                <w:sz w:val="21"/>
              </w:rPr>
              <w:t>日</w:t>
            </w:r>
            <w:r>
              <w:rPr>
                <w:rFonts w:hint="eastAsia" w:ascii="Times New Roman" w:hAnsi="Times New Roman" w:eastAsia="Times New Roman" w:cs="Times New Roman"/>
                <w:sz w:val="21"/>
              </w:rPr>
              <w:t>2014</w:t>
            </w:r>
            <w:r>
              <w:rPr>
                <w:rFonts w:hint="eastAsia" w:ascii="宋体" w:hAnsi="宋体" w:eastAsia="宋体" w:cs="宋体"/>
                <w:sz w:val="21"/>
              </w:rPr>
              <w:t>年第三次临时股东大会</w:t>
            </w:r>
          </w:p>
        </w:tc>
      </w:tr>
      <w:tr>
        <w:trPr>
          <w:trHeight w:val="480" w:hRule="exact"/>
        </w:trPr>
        <w:tc>
          <w:tcPr>
            <w:tcW w:w="11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20"/>
              <w:ind w:left="160"/>
            </w:pPr>
            <w:r>
              <w:rPr>
                <w:rFonts w:hint="eastAsia" w:ascii="宋体" w:hAnsi="宋体" w:eastAsia="宋体" w:cs="宋体"/>
                <w:sz w:val="21"/>
              </w:rPr>
              <w:t>张家荣</w:t>
            </w:r>
          </w:p>
        </w:tc>
        <w:tc>
          <w:tcPr>
            <w:tcW w:w="1340" w:type="dxa"/>
            <w:tcMar>
              <w:top w:w="0" w:type="dxa"/>
              <w:left w:w="0" w:type="dxa"/>
              <w:bottom w:w="0" w:type="dxa"/>
              <w:right w:w="0" w:type="dxa"/>
            </w:tcMar>
          </w:tcPr>
          <w:p>
            <w:pPr>
              <w:spacing w:before="120"/>
              <w:ind w:left="440"/>
            </w:pPr>
            <w:r>
              <w:rPr>
                <w:rFonts w:hint="eastAsia" w:ascii="宋体" w:hAnsi="宋体" w:eastAsia="宋体" w:cs="宋体"/>
                <w:sz w:val="21"/>
              </w:rPr>
              <w:t>监事</w:t>
            </w:r>
          </w:p>
        </w:tc>
        <w:tc>
          <w:tcPr>
            <w:tcW w:w="504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2015</w:t>
            </w:r>
            <w:r>
              <w:rPr>
                <w:rFonts w:hint="eastAsia" w:ascii="宋体" w:hAnsi="宋体" w:eastAsia="宋体" w:cs="宋体"/>
                <w:sz w:val="21"/>
              </w:rPr>
              <w:t>年</w:t>
            </w:r>
            <w:r>
              <w:rPr>
                <w:rFonts w:hint="eastAsia" w:ascii="Times New Roman" w:hAnsi="Times New Roman" w:eastAsia="Times New Roman" w:cs="Times New Roman"/>
                <w:sz w:val="21"/>
              </w:rPr>
              <w:t>6</w:t>
            </w:r>
            <w:r>
              <w:rPr>
                <w:rFonts w:hint="eastAsia" w:ascii="宋体" w:hAnsi="宋体" w:eastAsia="宋体" w:cs="宋体"/>
                <w:sz w:val="21"/>
              </w:rPr>
              <w:t>月</w:t>
            </w:r>
            <w:r>
              <w:rPr>
                <w:rFonts w:hint="eastAsia" w:ascii="Times New Roman" w:hAnsi="Times New Roman" w:eastAsia="Times New Roman" w:cs="Times New Roman"/>
                <w:sz w:val="21"/>
              </w:rPr>
              <w:t>29</w:t>
            </w:r>
            <w:r>
              <w:rPr>
                <w:rFonts w:hint="eastAsia" w:ascii="宋体" w:hAnsi="宋体" w:eastAsia="宋体" w:cs="宋体"/>
                <w:sz w:val="21"/>
              </w:rPr>
              <w:t>日</w:t>
            </w:r>
            <w:r>
              <w:rPr>
                <w:rFonts w:hint="eastAsia" w:ascii="Times New Roman" w:hAnsi="Times New Roman" w:eastAsia="Times New Roman" w:cs="Times New Roman"/>
                <w:sz w:val="21"/>
              </w:rPr>
              <w:t>2014</w:t>
            </w:r>
            <w:r>
              <w:rPr>
                <w:rFonts w:hint="eastAsia" w:ascii="宋体" w:hAnsi="宋体" w:eastAsia="宋体" w:cs="宋体"/>
                <w:sz w:val="21"/>
              </w:rPr>
              <w:t>年年度股东大会</w:t>
            </w:r>
          </w:p>
        </w:tc>
      </w:tr>
      <w:tr>
        <w:trPr>
          <w:trHeight w:val="460" w:hRule="exact"/>
        </w:trPr>
        <w:tc>
          <w:tcPr>
            <w:tcW w:w="1140" w:type="dxa"/>
            <w:vMerge w:val="continue"/>
            <w:tcMar>
              <w:top w:w="0" w:type="dxa"/>
              <w:left w:w="0" w:type="dxa"/>
              <w:bottom w:w="0" w:type="dxa"/>
              <w:right w:w="0" w:type="dxa"/>
            </w:tcMar>
          </w:tcPr>
          <w:p/>
        </w:tc>
        <w:tc>
          <w:tcPr>
            <w:tcW w:w="1000" w:type="dxa"/>
            <w:tcMar>
              <w:top w:w="0" w:type="dxa"/>
              <w:left w:w="0" w:type="dxa"/>
              <w:bottom w:w="0" w:type="dxa"/>
              <w:right w:w="0" w:type="dxa"/>
            </w:tcMar>
          </w:tcPr>
          <w:p>
            <w:pPr>
              <w:spacing w:before="100"/>
              <w:ind w:left="160"/>
            </w:pPr>
            <w:r>
              <w:rPr>
                <w:rFonts w:hint="eastAsia" w:ascii="宋体" w:hAnsi="宋体" w:eastAsia="宋体" w:cs="宋体"/>
                <w:sz w:val="21"/>
              </w:rPr>
              <w:t>郑元通</w:t>
            </w:r>
          </w:p>
        </w:tc>
        <w:tc>
          <w:tcPr>
            <w:tcW w:w="1340" w:type="dxa"/>
            <w:tcMar>
              <w:top w:w="0" w:type="dxa"/>
              <w:left w:w="0" w:type="dxa"/>
              <w:bottom w:w="0" w:type="dxa"/>
              <w:right w:w="0" w:type="dxa"/>
            </w:tcMar>
          </w:tcPr>
          <w:p>
            <w:pPr>
              <w:spacing w:before="100"/>
              <w:ind w:left="440"/>
            </w:pPr>
            <w:r>
              <w:rPr>
                <w:rFonts w:hint="eastAsia" w:ascii="宋体" w:hAnsi="宋体" w:eastAsia="宋体" w:cs="宋体"/>
                <w:sz w:val="21"/>
              </w:rPr>
              <w:t>监事</w:t>
            </w:r>
          </w:p>
        </w:tc>
        <w:tc>
          <w:tcPr>
            <w:tcW w:w="5040" w:type="dxa"/>
            <w:tcMar>
              <w:top w:w="0" w:type="dxa"/>
              <w:left w:w="0" w:type="dxa"/>
              <w:bottom w:w="0" w:type="dxa"/>
              <w:right w:w="0" w:type="dxa"/>
            </w:tcMar>
          </w:tcPr>
          <w:p>
            <w:pPr>
              <w:spacing w:before="100"/>
              <w:ind w:left="100"/>
            </w:pPr>
            <w:r>
              <w:rPr>
                <w:rFonts w:hint="eastAsia" w:ascii="宋体" w:hAnsi="宋体" w:eastAsia="宋体" w:cs="宋体"/>
                <w:sz w:val="21"/>
              </w:rPr>
              <w:t>职工代表大会选举产生</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jc w:val="both"/>
      </w:pPr>
      <w:r>
        <w:rPr>
          <w:rFonts w:hint="eastAsia" w:ascii="ºÚÌå" w:hAnsi="ºÚÌå" w:eastAsia="ºÚÌå" w:cs="ºÚÌå"/>
          <w:sz w:val="20"/>
        </w:rPr>
        <w:t>二、</w:t>
      </w:r>
      <w:r>
        <w:rPr>
          <w:rFonts w:hint="eastAsia" w:ascii="ºÚÌå" w:hAnsi="ºÚÌå" w:eastAsia="ºÚÌå" w:cs="ºÚÌå"/>
          <w:sz w:val="30"/>
        </w:rPr>
        <w:t>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高级管理人员及核心技术人员及其近亲属持有</w:t>
      </w: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1-1-191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jc w:val="both"/>
      </w:pPr>
      <w:r>
        <w:rPr>
          <w:rFonts w:hint="eastAsia" w:ascii="ºÚÌå" w:hAnsi="ºÚÌå" w:eastAsia="ºÚÌå" w:cs="ºÚÌå"/>
          <w:sz w:val="30"/>
        </w:rPr>
        <w:t>本公司股份情况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公司董事</w:t>
      </w:r>
      <w:r>
        <w:rPr>
          <w:rFonts w:hint="eastAsia" w:ascii="宋体" w:hAnsi="宋体" w:eastAsia="宋体" w:cs="宋体"/>
          <w:b/>
          <w:sz w:val="10"/>
        </w:rPr>
        <w:t>、</w:t>
      </w:r>
      <w:r>
        <w:rPr>
          <w:rFonts w:hint="eastAsia" w:ascii="宋体" w:hAnsi="宋体" w:eastAsia="宋体" w:cs="宋体"/>
          <w:b/>
          <w:sz w:val="24"/>
        </w:rPr>
        <w:t>监事</w:t>
      </w:r>
      <w:r>
        <w:rPr>
          <w:rFonts w:hint="eastAsia" w:ascii="宋体" w:hAnsi="宋体" w:eastAsia="宋体" w:cs="宋体"/>
          <w:b/>
          <w:sz w:val="10"/>
        </w:rPr>
        <w:t>、</w:t>
      </w:r>
      <w:r>
        <w:rPr>
          <w:rFonts w:hint="eastAsia" w:ascii="宋体" w:hAnsi="宋体" w:eastAsia="宋体" w:cs="宋体"/>
          <w:b/>
          <w:sz w:val="24"/>
        </w:rPr>
        <w:t>高级管理人员及核心技术人员直接或间接持股情况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20" w:firstLine="480"/>
        <w:jc w:val="both"/>
      </w:pPr>
      <w:r>
        <w:rPr>
          <w:rFonts w:hint="eastAsia" w:ascii="宋体" w:hAnsi="宋体" w:eastAsia="宋体" w:cs="宋体"/>
          <w:sz w:val="24"/>
        </w:rPr>
        <w:t>报告期期末</w:t>
      </w:r>
      <w:r>
        <w:rPr>
          <w:rFonts w:hint="eastAsia" w:ascii="宋体" w:hAnsi="宋体" w:eastAsia="宋体" w:cs="宋体"/>
          <w:sz w:val="10"/>
        </w:rPr>
        <w:t>，</w:t>
      </w: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高级管理人员及核心技术人员直接或间接持有本公司股权的情况参见下表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00"/>
        <w:gridCol w:w="880"/>
        <w:gridCol w:w="1140"/>
        <w:gridCol w:w="1140"/>
        <w:gridCol w:w="980"/>
        <w:gridCol w:w="3880"/>
      </w:tblGrid>
      <w:tr>
        <w:trPr>
          <w:trHeight w:val="640" w:hRule="exact"/>
        </w:trPr>
        <w:tc>
          <w:tcPr>
            <w:tcW w:w="500" w:type="dxa"/>
            <w:tcMar>
              <w:top w:w="0" w:type="dxa"/>
              <w:left w:w="0" w:type="dxa"/>
              <w:bottom w:w="0" w:type="dxa"/>
              <w:right w:w="0" w:type="dxa"/>
            </w:tcMar>
          </w:tcPr>
          <w:p>
            <w:pPr>
              <w:spacing w:before="20"/>
              <w:ind w:left="120"/>
            </w:pPr>
            <w:r>
              <w:rPr>
                <w:rFonts w:hint="eastAsia" w:ascii="宋体" w:hAnsi="宋体" w:eastAsia="宋体" w:cs="宋体"/>
                <w:b/>
                <w:sz w:val="21"/>
              </w:rPr>
              <w:t>序</w:t>
            </w:r>
          </w:p>
          <w:p>
            <w:pPr>
              <w:spacing w:before="120"/>
              <w:ind w:left="120"/>
            </w:pPr>
            <w:r>
              <w:rPr>
                <w:rFonts w:hint="eastAsia" w:ascii="宋体" w:hAnsi="宋体" w:eastAsia="宋体" w:cs="宋体"/>
                <w:b/>
                <w:sz w:val="21"/>
              </w:rPr>
              <w:t>号</w:t>
            </w:r>
          </w:p>
        </w:tc>
        <w:tc>
          <w:tcPr>
            <w:tcW w:w="880" w:type="dxa"/>
            <w:tcMar>
              <w:top w:w="0" w:type="dxa"/>
              <w:left w:w="0" w:type="dxa"/>
              <w:bottom w:w="0" w:type="dxa"/>
              <w:right w:w="0" w:type="dxa"/>
            </w:tcMar>
          </w:tcPr>
          <w:p>
            <w:pPr>
              <w:spacing w:before="200"/>
              <w:ind w:left="200"/>
            </w:pPr>
            <w:r>
              <w:rPr>
                <w:rFonts w:hint="eastAsia" w:ascii="宋体" w:hAnsi="宋体" w:eastAsia="宋体" w:cs="宋体"/>
                <w:b/>
                <w:sz w:val="21"/>
              </w:rPr>
              <w:t>股东</w:t>
            </w:r>
          </w:p>
        </w:tc>
        <w:tc>
          <w:tcPr>
            <w:tcW w:w="1140" w:type="dxa"/>
            <w:tcMar>
              <w:top w:w="0" w:type="dxa"/>
              <w:left w:w="0" w:type="dxa"/>
              <w:bottom w:w="0" w:type="dxa"/>
              <w:right w:w="0" w:type="dxa"/>
            </w:tcMar>
          </w:tcPr>
          <w:p>
            <w:pPr>
              <w:spacing w:before="200"/>
              <w:ind w:left="140"/>
            </w:pPr>
            <w:r>
              <w:rPr>
                <w:rFonts w:hint="eastAsia" w:ascii="宋体" w:hAnsi="宋体" w:eastAsia="宋体" w:cs="宋体"/>
                <w:b/>
                <w:sz w:val="21"/>
              </w:rPr>
              <w:t>直接持股</w:t>
            </w:r>
          </w:p>
        </w:tc>
        <w:tc>
          <w:tcPr>
            <w:tcW w:w="1140" w:type="dxa"/>
            <w:tcMar>
              <w:top w:w="0" w:type="dxa"/>
              <w:left w:w="0" w:type="dxa"/>
              <w:bottom w:w="0" w:type="dxa"/>
              <w:right w:w="0" w:type="dxa"/>
            </w:tcMar>
          </w:tcPr>
          <w:p>
            <w:pPr>
              <w:spacing w:before="200"/>
              <w:ind w:left="120"/>
            </w:pPr>
            <w:r>
              <w:rPr>
                <w:rFonts w:hint="eastAsia" w:ascii="宋体" w:hAnsi="宋体" w:eastAsia="宋体" w:cs="宋体"/>
                <w:b/>
                <w:sz w:val="21"/>
              </w:rPr>
              <w:t>间接持股</w:t>
            </w:r>
          </w:p>
        </w:tc>
        <w:tc>
          <w:tcPr>
            <w:tcW w:w="980" w:type="dxa"/>
            <w:tcMar>
              <w:top w:w="0" w:type="dxa"/>
              <w:left w:w="0" w:type="dxa"/>
              <w:bottom w:w="0" w:type="dxa"/>
              <w:right w:w="0" w:type="dxa"/>
            </w:tcMar>
          </w:tcPr>
          <w:p>
            <w:pPr>
              <w:spacing w:before="200"/>
              <w:ind w:left="260"/>
            </w:pPr>
            <w:r>
              <w:rPr>
                <w:rFonts w:hint="eastAsia" w:ascii="宋体" w:hAnsi="宋体" w:eastAsia="宋体" w:cs="宋体"/>
                <w:b/>
                <w:sz w:val="21"/>
              </w:rPr>
              <w:t>合计</w:t>
            </w:r>
          </w:p>
        </w:tc>
        <w:tc>
          <w:tcPr>
            <w:tcW w:w="3880" w:type="dxa"/>
            <w:tcMar>
              <w:top w:w="0" w:type="dxa"/>
              <w:left w:w="0" w:type="dxa"/>
              <w:bottom w:w="0" w:type="dxa"/>
              <w:right w:w="0" w:type="dxa"/>
            </w:tcMar>
          </w:tcPr>
          <w:p>
            <w:pPr>
              <w:spacing w:before="200"/>
              <w:ind w:left="1720"/>
            </w:pPr>
            <w:r>
              <w:rPr>
                <w:rFonts w:hint="eastAsia" w:ascii="宋体" w:hAnsi="宋体" w:eastAsia="宋体" w:cs="宋体"/>
                <w:b/>
                <w:sz w:val="21"/>
              </w:rPr>
              <w:t>职务</w:t>
            </w:r>
          </w:p>
        </w:tc>
      </w:tr>
      <w:tr>
        <w:trPr>
          <w:trHeight w:val="460" w:hRule="exact"/>
        </w:trPr>
        <w:tc>
          <w:tcPr>
            <w:tcW w:w="50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1</w:t>
            </w:r>
          </w:p>
        </w:tc>
        <w:tc>
          <w:tcPr>
            <w:tcW w:w="880" w:type="dxa"/>
            <w:tcMar>
              <w:top w:w="0" w:type="dxa"/>
              <w:left w:w="0" w:type="dxa"/>
              <w:bottom w:w="0" w:type="dxa"/>
              <w:right w:w="0" w:type="dxa"/>
            </w:tcMar>
          </w:tcPr>
          <w:p>
            <w:pPr>
              <w:spacing w:before="100"/>
              <w:ind w:left="100"/>
            </w:pPr>
            <w:r>
              <w:rPr>
                <w:rFonts w:hint="eastAsia" w:ascii="宋体" w:hAnsi="宋体" w:eastAsia="宋体" w:cs="宋体"/>
                <w:sz w:val="21"/>
              </w:rPr>
              <w:t>严孟宇</w:t>
            </w:r>
          </w:p>
        </w:tc>
        <w:tc>
          <w:tcPr>
            <w:tcW w:w="114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c>
          <w:tcPr>
            <w:tcW w:w="1140" w:type="dxa"/>
            <w:tcMar>
              <w:top w:w="0" w:type="dxa"/>
              <w:left w:w="0" w:type="dxa"/>
              <w:bottom w:w="0" w:type="dxa"/>
              <w:right w:w="0" w:type="dxa"/>
            </w:tcMar>
          </w:tcPr>
          <w:p>
            <w:pPr>
              <w:spacing w:before="280"/>
              <w:ind w:left="940"/>
            </w:pPr>
            <w:r>
              <w:rPr>
                <w:rFonts w:hint="eastAsia" w:ascii="Times New Roman" w:hAnsi="Times New Roman" w:eastAsia="Times New Roman" w:cs="Times New Roman"/>
                <w:sz w:val="21"/>
              </w:rPr>
              <w:t>-</w:t>
            </w:r>
          </w:p>
        </w:tc>
        <w:tc>
          <w:tcPr>
            <w:tcW w:w="98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100"/>
              <w:ind w:left="100"/>
            </w:pPr>
            <w:r>
              <w:rPr>
                <w:rFonts w:hint="eastAsia" w:ascii="宋体" w:hAnsi="宋体" w:eastAsia="宋体" w:cs="宋体"/>
                <w:sz w:val="21"/>
              </w:rPr>
              <w:t>董事长</w:t>
            </w:r>
            <w:r>
              <w:rPr>
                <w:rFonts w:hint="eastAsia" w:ascii="宋体" w:hAnsi="宋体" w:eastAsia="宋体" w:cs="宋体"/>
                <w:sz w:val="10"/>
              </w:rPr>
              <w:t>、</w:t>
            </w:r>
            <w:r>
              <w:rPr>
                <w:rFonts w:hint="eastAsia" w:ascii="宋体" w:hAnsi="宋体" w:eastAsia="宋体" w:cs="宋体"/>
                <w:sz w:val="21"/>
              </w:rPr>
              <w:t>总经理</w:t>
            </w:r>
          </w:p>
        </w:tc>
      </w:tr>
      <w:tr>
        <w:trPr>
          <w:trHeight w:val="480" w:hRule="exact"/>
        </w:trPr>
        <w:tc>
          <w:tcPr>
            <w:tcW w:w="500" w:type="dxa"/>
            <w:tcMar>
              <w:top w:w="0" w:type="dxa"/>
              <w:left w:w="0" w:type="dxa"/>
              <w:bottom w:w="0" w:type="dxa"/>
              <w:right w:w="0" w:type="dxa"/>
            </w:tcMar>
          </w:tcPr>
          <w:p>
            <w:pPr>
              <w:spacing w:before="180"/>
              <w:ind w:left="180"/>
            </w:pPr>
            <w:r>
              <w:rPr>
                <w:rFonts w:hint="eastAsia" w:ascii="Times New Roman" w:hAnsi="Times New Roman" w:eastAsia="Times New Roman" w:cs="Times New Roman"/>
                <w:sz w:val="21"/>
              </w:rPr>
              <w:t>2</w:t>
            </w:r>
          </w:p>
        </w:tc>
        <w:tc>
          <w:tcPr>
            <w:tcW w:w="880" w:type="dxa"/>
            <w:tcMar>
              <w:top w:w="0" w:type="dxa"/>
              <w:left w:w="0" w:type="dxa"/>
              <w:bottom w:w="0" w:type="dxa"/>
              <w:right w:w="0" w:type="dxa"/>
            </w:tcMar>
          </w:tcPr>
          <w:p>
            <w:pPr>
              <w:spacing w:before="120"/>
              <w:ind w:left="220"/>
            </w:pPr>
            <w:r>
              <w:rPr>
                <w:rFonts w:hint="eastAsia" w:ascii="宋体" w:hAnsi="宋体" w:eastAsia="宋体" w:cs="宋体"/>
                <w:sz w:val="21"/>
              </w:rPr>
              <w:t>赵伟</w:t>
            </w:r>
          </w:p>
        </w:tc>
        <w:tc>
          <w:tcPr>
            <w:tcW w:w="114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c>
          <w:tcPr>
            <w:tcW w:w="114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c>
          <w:tcPr>
            <w:tcW w:w="980" w:type="dxa"/>
            <w:tcMar>
              <w:top w:w="0" w:type="dxa"/>
              <w:left w:w="0" w:type="dxa"/>
              <w:bottom w:w="0" w:type="dxa"/>
              <w:right w:w="0" w:type="dxa"/>
            </w:tcMar>
          </w:tcPr>
          <w:p>
            <w:pPr>
              <w:spacing w:before="180"/>
              <w:ind w:left="2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120"/>
              <w:ind w:left="100"/>
            </w:pPr>
            <w:r>
              <w:rPr>
                <w:rFonts w:hint="eastAsia" w:ascii="宋体" w:hAnsi="宋体" w:eastAsia="宋体" w:cs="宋体"/>
                <w:sz w:val="21"/>
              </w:rPr>
              <w:t>副董事长</w:t>
            </w:r>
            <w:r>
              <w:rPr>
                <w:rFonts w:hint="eastAsia" w:ascii="宋体" w:hAnsi="宋体" w:eastAsia="宋体" w:cs="宋体"/>
                <w:sz w:val="10"/>
              </w:rPr>
              <w:t>、</w:t>
            </w:r>
            <w:r>
              <w:rPr>
                <w:rFonts w:hint="eastAsia" w:ascii="宋体" w:hAnsi="宋体" w:eastAsia="宋体" w:cs="宋体"/>
                <w:sz w:val="21"/>
              </w:rPr>
              <w:t>副总经理</w:t>
            </w:r>
            <w:r>
              <w:rPr>
                <w:rFonts w:hint="eastAsia" w:ascii="宋体" w:hAnsi="宋体" w:eastAsia="宋体" w:cs="宋体"/>
                <w:sz w:val="10"/>
              </w:rPr>
              <w:t>、</w:t>
            </w:r>
            <w:r>
              <w:rPr>
                <w:rFonts w:hint="eastAsia" w:ascii="宋体" w:hAnsi="宋体" w:eastAsia="宋体" w:cs="宋体"/>
                <w:sz w:val="21"/>
              </w:rPr>
              <w:t>财务总监</w:t>
            </w:r>
            <w:r>
              <w:rPr>
                <w:rFonts w:hint="eastAsia" w:ascii="宋体" w:hAnsi="宋体" w:eastAsia="宋体" w:cs="宋体"/>
                <w:sz w:val="10"/>
              </w:rPr>
              <w:t>、</w:t>
            </w:r>
            <w:r>
              <w:rPr>
                <w:rFonts w:hint="eastAsia" w:ascii="宋体" w:hAnsi="宋体" w:eastAsia="宋体" w:cs="宋体"/>
                <w:sz w:val="21"/>
              </w:rPr>
              <w:t>董秘</w:t>
            </w:r>
          </w:p>
        </w:tc>
      </w:tr>
      <w:tr>
        <w:trPr>
          <w:trHeight w:val="480" w:hRule="exact"/>
        </w:trPr>
        <w:tc>
          <w:tcPr>
            <w:tcW w:w="500" w:type="dxa"/>
            <w:tcMar>
              <w:top w:w="0" w:type="dxa"/>
              <w:left w:w="0" w:type="dxa"/>
              <w:bottom w:w="0" w:type="dxa"/>
              <w:right w:w="0" w:type="dxa"/>
            </w:tcMar>
          </w:tcPr>
          <w:p>
            <w:pPr>
              <w:spacing w:before="140"/>
              <w:ind w:left="180"/>
            </w:pPr>
            <w:r>
              <w:rPr>
                <w:rFonts w:hint="eastAsia" w:ascii="Times New Roman" w:hAnsi="Times New Roman" w:eastAsia="Times New Roman" w:cs="Times New Roman"/>
                <w:sz w:val="21"/>
              </w:rPr>
              <w:t>3</w:t>
            </w:r>
          </w:p>
        </w:tc>
        <w:tc>
          <w:tcPr>
            <w:tcW w:w="880" w:type="dxa"/>
            <w:tcMar>
              <w:top w:w="0" w:type="dxa"/>
              <w:left w:w="0" w:type="dxa"/>
              <w:bottom w:w="0" w:type="dxa"/>
              <w:right w:w="0" w:type="dxa"/>
            </w:tcMar>
          </w:tcPr>
          <w:p>
            <w:pPr>
              <w:spacing w:before="120"/>
              <w:ind w:left="100"/>
            </w:pPr>
            <w:r>
              <w:rPr>
                <w:rFonts w:hint="eastAsia" w:ascii="宋体" w:hAnsi="宋体" w:eastAsia="宋体" w:cs="宋体"/>
                <w:sz w:val="21"/>
              </w:rPr>
              <w:t>雷世潘</w:t>
            </w:r>
          </w:p>
        </w:tc>
        <w:tc>
          <w:tcPr>
            <w:tcW w:w="114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c>
          <w:tcPr>
            <w:tcW w:w="114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p>
        </w:tc>
        <w:tc>
          <w:tcPr>
            <w:tcW w:w="98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120"/>
              <w:ind w:left="100"/>
            </w:pPr>
            <w:r>
              <w:rPr>
                <w:rFonts w:hint="eastAsia" w:ascii="宋体" w:hAnsi="宋体" w:eastAsia="宋体" w:cs="宋体"/>
                <w:sz w:val="21"/>
              </w:rPr>
              <w:t>董事</w:t>
            </w:r>
            <w:r>
              <w:rPr>
                <w:rFonts w:hint="eastAsia" w:ascii="宋体" w:hAnsi="宋体" w:eastAsia="宋体" w:cs="宋体"/>
                <w:sz w:val="10"/>
              </w:rPr>
              <w:t>、</w:t>
            </w:r>
            <w:r>
              <w:rPr>
                <w:rFonts w:hint="eastAsia" w:ascii="宋体" w:hAnsi="宋体" w:eastAsia="宋体" w:cs="宋体"/>
                <w:sz w:val="21"/>
              </w:rPr>
              <w:t>副总经理</w:t>
            </w:r>
          </w:p>
        </w:tc>
      </w:tr>
      <w:tr>
        <w:trPr>
          <w:trHeight w:val="480" w:hRule="exact"/>
        </w:trPr>
        <w:tc>
          <w:tcPr>
            <w:tcW w:w="50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4</w:t>
            </w:r>
          </w:p>
        </w:tc>
        <w:tc>
          <w:tcPr>
            <w:tcW w:w="880" w:type="dxa"/>
            <w:tcMar>
              <w:top w:w="0" w:type="dxa"/>
              <w:left w:w="0" w:type="dxa"/>
              <w:bottom w:w="0" w:type="dxa"/>
              <w:right w:w="0" w:type="dxa"/>
            </w:tcMar>
          </w:tcPr>
          <w:p>
            <w:pPr>
              <w:spacing w:before="100"/>
              <w:ind w:left="100"/>
            </w:pPr>
            <w:r>
              <w:rPr>
                <w:rFonts w:hint="eastAsia" w:ascii="宋体" w:hAnsi="宋体" w:eastAsia="宋体" w:cs="宋体"/>
                <w:sz w:val="21"/>
              </w:rPr>
              <w:t>黄义青</w:t>
            </w:r>
          </w:p>
        </w:tc>
        <w:tc>
          <w:tcPr>
            <w:tcW w:w="1140" w:type="dxa"/>
            <w:tcMar>
              <w:top w:w="0" w:type="dxa"/>
              <w:left w:w="0" w:type="dxa"/>
              <w:bottom w:w="0" w:type="dxa"/>
              <w:right w:w="0" w:type="dxa"/>
            </w:tcMar>
          </w:tcPr>
          <w:p>
            <w:pPr>
              <w:spacing w:before="280"/>
              <w:ind w:left="940"/>
            </w:pPr>
            <w:r>
              <w:rPr>
                <w:rFonts w:hint="eastAsia" w:ascii="Times New Roman" w:hAnsi="Times New Roman" w:eastAsia="Times New Roman" w:cs="Times New Roman"/>
                <w:sz w:val="21"/>
              </w:rPr>
              <w:t>-</w:t>
            </w:r>
          </w:p>
        </w:tc>
        <w:tc>
          <w:tcPr>
            <w:tcW w:w="114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98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120"/>
              <w:ind w:left="100"/>
            </w:pPr>
            <w:r>
              <w:rPr>
                <w:rFonts w:hint="eastAsia" w:ascii="宋体" w:hAnsi="宋体" w:eastAsia="宋体" w:cs="宋体"/>
                <w:sz w:val="21"/>
              </w:rPr>
              <w:t>董事</w:t>
            </w:r>
            <w:r>
              <w:rPr>
                <w:rFonts w:hint="eastAsia" w:ascii="宋体" w:hAnsi="宋体" w:eastAsia="宋体" w:cs="宋体"/>
                <w:sz w:val="10"/>
              </w:rPr>
              <w:t>、</w:t>
            </w:r>
            <w:r>
              <w:rPr>
                <w:rFonts w:hint="eastAsia" w:ascii="宋体" w:hAnsi="宋体" w:eastAsia="宋体" w:cs="宋体"/>
                <w:sz w:val="21"/>
              </w:rPr>
              <w:t>市场总监</w:t>
            </w:r>
          </w:p>
        </w:tc>
      </w:tr>
      <w:tr>
        <w:trPr>
          <w:trHeight w:val="460" w:hRule="exact"/>
        </w:trPr>
        <w:tc>
          <w:tcPr>
            <w:tcW w:w="50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5</w:t>
            </w:r>
          </w:p>
        </w:tc>
        <w:tc>
          <w:tcPr>
            <w:tcW w:w="880" w:type="dxa"/>
            <w:tcMar>
              <w:top w:w="0" w:type="dxa"/>
              <w:left w:w="0" w:type="dxa"/>
              <w:bottom w:w="0" w:type="dxa"/>
              <w:right w:w="0" w:type="dxa"/>
            </w:tcMar>
          </w:tcPr>
          <w:p>
            <w:pPr>
              <w:spacing w:before="100"/>
              <w:ind w:left="220"/>
            </w:pPr>
            <w:r>
              <w:rPr>
                <w:rFonts w:hint="eastAsia" w:ascii="宋体" w:hAnsi="宋体" w:eastAsia="宋体" w:cs="宋体"/>
                <w:sz w:val="21"/>
              </w:rPr>
              <w:t>欧永</w:t>
            </w:r>
          </w:p>
        </w:tc>
        <w:tc>
          <w:tcPr>
            <w:tcW w:w="114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p>
        </w:tc>
        <w:tc>
          <w:tcPr>
            <w:tcW w:w="114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c>
          <w:tcPr>
            <w:tcW w:w="9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100"/>
              <w:ind w:left="100"/>
            </w:pPr>
            <w:r>
              <w:rPr>
                <w:rFonts w:hint="eastAsia" w:ascii="宋体" w:hAnsi="宋体" w:eastAsia="宋体" w:cs="宋体"/>
                <w:sz w:val="21"/>
              </w:rPr>
              <w:t>监事会主席</w:t>
            </w:r>
            <w:r>
              <w:rPr>
                <w:rFonts w:hint="eastAsia" w:ascii="宋体" w:hAnsi="宋体" w:eastAsia="宋体" w:cs="宋体"/>
                <w:sz w:val="10"/>
              </w:rPr>
              <w:t>、</w:t>
            </w:r>
            <w:r>
              <w:rPr>
                <w:rFonts w:hint="eastAsia" w:ascii="Times New Roman" w:hAnsi="Times New Roman" w:eastAsia="Times New Roman" w:cs="Times New Roman"/>
                <w:sz w:val="21"/>
              </w:rPr>
              <w:t>BPM</w:t>
            </w:r>
            <w:r>
              <w:rPr>
                <w:rFonts w:hint="eastAsia" w:ascii="宋体" w:hAnsi="宋体" w:eastAsia="宋体" w:cs="宋体"/>
                <w:sz w:val="21"/>
              </w:rPr>
              <w:t xml:space="preserve"> 发展事业部总经理</w:t>
            </w:r>
          </w:p>
        </w:tc>
      </w:tr>
      <w:tr>
        <w:trPr>
          <w:trHeight w:val="480" w:hRule="exact"/>
        </w:trPr>
        <w:tc>
          <w:tcPr>
            <w:tcW w:w="500" w:type="dxa"/>
            <w:tcMar>
              <w:top w:w="0" w:type="dxa"/>
              <w:left w:w="0" w:type="dxa"/>
              <w:bottom w:w="0" w:type="dxa"/>
              <w:right w:w="0" w:type="dxa"/>
            </w:tcMar>
          </w:tcPr>
          <w:p>
            <w:pPr>
              <w:spacing w:before="180"/>
              <w:ind w:left="180"/>
            </w:pPr>
            <w:r>
              <w:rPr>
                <w:rFonts w:hint="eastAsia" w:ascii="Times New Roman" w:hAnsi="Times New Roman" w:eastAsia="Times New Roman" w:cs="Times New Roman"/>
                <w:sz w:val="21"/>
              </w:rPr>
              <w:t>6</w:t>
            </w:r>
          </w:p>
        </w:tc>
        <w:tc>
          <w:tcPr>
            <w:tcW w:w="880" w:type="dxa"/>
            <w:tcMar>
              <w:top w:w="0" w:type="dxa"/>
              <w:left w:w="0" w:type="dxa"/>
              <w:bottom w:w="0" w:type="dxa"/>
              <w:right w:w="0" w:type="dxa"/>
            </w:tcMar>
          </w:tcPr>
          <w:p>
            <w:pPr>
              <w:spacing w:before="120"/>
              <w:ind w:left="100"/>
            </w:pPr>
            <w:r>
              <w:rPr>
                <w:rFonts w:hint="eastAsia" w:ascii="宋体" w:hAnsi="宋体" w:eastAsia="宋体" w:cs="宋体"/>
                <w:sz w:val="21"/>
              </w:rPr>
              <w:t>戴小戈</w:t>
            </w:r>
          </w:p>
        </w:tc>
        <w:tc>
          <w:tcPr>
            <w:tcW w:w="114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1140" w:type="dxa"/>
            <w:tcMar>
              <w:top w:w="0" w:type="dxa"/>
              <w:left w:w="0" w:type="dxa"/>
              <w:bottom w:w="0" w:type="dxa"/>
              <w:right w:w="0" w:type="dxa"/>
            </w:tcMar>
          </w:tcPr>
          <w:p>
            <w:pPr>
              <w:spacing w:before="300"/>
              <w:ind w:left="940"/>
            </w:pPr>
            <w:r>
              <w:rPr>
                <w:rFonts w:hint="eastAsia" w:ascii="Times New Roman" w:hAnsi="Times New Roman" w:eastAsia="Times New Roman" w:cs="Times New Roman"/>
                <w:sz w:val="21"/>
              </w:rPr>
              <w:t>-</w:t>
            </w:r>
          </w:p>
        </w:tc>
        <w:tc>
          <w:tcPr>
            <w:tcW w:w="98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120"/>
              <w:ind w:left="100"/>
            </w:pPr>
            <w:r>
              <w:rPr>
                <w:rFonts w:hint="eastAsia" w:ascii="宋体" w:hAnsi="宋体" w:eastAsia="宋体" w:cs="宋体"/>
                <w:sz w:val="21"/>
              </w:rPr>
              <w:t>核心技术人员</w:t>
            </w:r>
          </w:p>
        </w:tc>
      </w:tr>
      <w:tr>
        <w:trPr>
          <w:trHeight w:val="640" w:hRule="exact"/>
        </w:trPr>
        <w:tc>
          <w:tcPr>
            <w:tcW w:w="50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7</w:t>
            </w:r>
          </w:p>
        </w:tc>
        <w:tc>
          <w:tcPr>
            <w:tcW w:w="880" w:type="dxa"/>
            <w:tcMar>
              <w:top w:w="0" w:type="dxa"/>
              <w:left w:w="0" w:type="dxa"/>
              <w:bottom w:w="0" w:type="dxa"/>
              <w:right w:w="0" w:type="dxa"/>
            </w:tcMar>
          </w:tcPr>
          <w:p>
            <w:pPr>
              <w:spacing w:before="200"/>
              <w:ind w:left="100"/>
            </w:pPr>
            <w:r>
              <w:rPr>
                <w:rFonts w:hint="eastAsia" w:ascii="宋体" w:hAnsi="宋体" w:eastAsia="宋体" w:cs="宋体"/>
                <w:sz w:val="21"/>
              </w:rPr>
              <w:t>郑元通</w:t>
            </w:r>
          </w:p>
        </w:tc>
        <w:tc>
          <w:tcPr>
            <w:tcW w:w="1140" w:type="dxa"/>
            <w:tcMar>
              <w:top w:w="0" w:type="dxa"/>
              <w:left w:w="0" w:type="dxa"/>
              <w:bottom w:w="0" w:type="dxa"/>
              <w:right w:w="0" w:type="dxa"/>
            </w:tcMar>
          </w:tcPr>
          <w:p>
            <w:pPr>
              <w:spacing w:before="220"/>
              <w:ind w:left="4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c>
          <w:tcPr>
            <w:tcW w:w="1140" w:type="dxa"/>
            <w:tcMar>
              <w:top w:w="0" w:type="dxa"/>
              <w:left w:w="0" w:type="dxa"/>
              <w:bottom w:w="0" w:type="dxa"/>
              <w:right w:w="0" w:type="dxa"/>
            </w:tcMar>
          </w:tcPr>
          <w:p>
            <w:pPr>
              <w:spacing w:before="380"/>
              <w:ind w:left="940"/>
            </w:pPr>
            <w:r>
              <w:rPr>
                <w:rFonts w:hint="eastAsia" w:ascii="Times New Roman" w:hAnsi="Times New Roman" w:eastAsia="Times New Roman" w:cs="Times New Roman"/>
                <w:sz w:val="21"/>
              </w:rPr>
              <w:t>-</w:t>
            </w:r>
          </w:p>
        </w:tc>
        <w:tc>
          <w:tcPr>
            <w:tcW w:w="980" w:type="dxa"/>
            <w:tcMar>
              <w:top w:w="0" w:type="dxa"/>
              <w:left w:w="0" w:type="dxa"/>
              <w:bottom w:w="0" w:type="dxa"/>
              <w:right w:w="0" w:type="dxa"/>
            </w:tcMar>
          </w:tcPr>
          <w:p>
            <w:pPr>
              <w:spacing w:before="220"/>
              <w:ind w:left="3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40"/>
              <w:ind w:left="100"/>
            </w:pPr>
            <w:r>
              <w:rPr>
                <w:rFonts w:hint="eastAsia" w:ascii="宋体" w:hAnsi="宋体" w:eastAsia="宋体" w:cs="宋体"/>
                <w:sz w:val="21"/>
              </w:rPr>
              <w:t>监事</w:t>
            </w:r>
            <w:r>
              <w:rPr>
                <w:rFonts w:hint="eastAsia" w:ascii="宋体" w:hAnsi="宋体" w:eastAsia="宋体" w:cs="宋体"/>
                <w:sz w:val="10"/>
              </w:rPr>
              <w:t>、</w:t>
            </w:r>
            <w:r>
              <w:rPr>
                <w:rFonts w:hint="eastAsia" w:ascii="宋体" w:hAnsi="宋体" w:eastAsia="宋体" w:cs="宋体"/>
                <w:sz w:val="21"/>
              </w:rPr>
              <w:t>核心技术人员</w:t>
            </w:r>
            <w:r>
              <w:rPr>
                <w:rFonts w:hint="eastAsia" w:ascii="宋体" w:hAnsi="宋体" w:eastAsia="宋体" w:cs="宋体"/>
                <w:sz w:val="10"/>
              </w:rPr>
              <w:t>、</w:t>
            </w:r>
            <w:r>
              <w:rPr>
                <w:rFonts w:hint="eastAsia" w:ascii="宋体" w:hAnsi="宋体" w:eastAsia="宋体" w:cs="宋体"/>
                <w:sz w:val="21"/>
              </w:rPr>
              <w:t>金融证券事业部</w:t>
            </w:r>
          </w:p>
          <w:p>
            <w:pPr>
              <w:spacing w:before="100"/>
              <w:ind w:left="100"/>
            </w:pPr>
            <w:r>
              <w:rPr>
                <w:rFonts w:hint="eastAsia" w:ascii="宋体" w:hAnsi="宋体" w:eastAsia="宋体" w:cs="宋体"/>
                <w:sz w:val="21"/>
              </w:rPr>
              <w:t>技术总监</w:t>
            </w:r>
          </w:p>
        </w:tc>
      </w:tr>
      <w:tr>
        <w:trPr>
          <w:trHeight w:val="480" w:hRule="exact"/>
        </w:trPr>
        <w:tc>
          <w:tcPr>
            <w:tcW w:w="50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8</w:t>
            </w:r>
          </w:p>
        </w:tc>
        <w:tc>
          <w:tcPr>
            <w:tcW w:w="880" w:type="dxa"/>
            <w:tcMar>
              <w:top w:w="0" w:type="dxa"/>
              <w:left w:w="0" w:type="dxa"/>
              <w:bottom w:w="0" w:type="dxa"/>
              <w:right w:w="0" w:type="dxa"/>
            </w:tcMar>
          </w:tcPr>
          <w:p>
            <w:pPr>
              <w:spacing w:before="100"/>
              <w:ind w:left="100"/>
            </w:pPr>
            <w:r>
              <w:rPr>
                <w:rFonts w:hint="eastAsia" w:ascii="宋体" w:hAnsi="宋体" w:eastAsia="宋体" w:cs="宋体"/>
                <w:sz w:val="21"/>
              </w:rPr>
              <w:t>徐传秋</w:t>
            </w:r>
          </w:p>
        </w:tc>
        <w:tc>
          <w:tcPr>
            <w:tcW w:w="114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c>
          <w:tcPr>
            <w:tcW w:w="1140" w:type="dxa"/>
            <w:tcMar>
              <w:top w:w="0" w:type="dxa"/>
              <w:left w:w="0" w:type="dxa"/>
              <w:bottom w:w="0" w:type="dxa"/>
              <w:right w:w="0" w:type="dxa"/>
            </w:tcMar>
          </w:tcPr>
          <w:p>
            <w:pPr>
              <w:spacing w:before="280"/>
              <w:ind w:left="940"/>
            </w:pPr>
            <w:r>
              <w:rPr>
                <w:rFonts w:hint="eastAsia" w:ascii="Times New Roman" w:hAnsi="Times New Roman" w:eastAsia="Times New Roman" w:cs="Times New Roman"/>
                <w:sz w:val="21"/>
              </w:rPr>
              <w:t>-</w:t>
            </w:r>
          </w:p>
        </w:tc>
        <w:tc>
          <w:tcPr>
            <w:tcW w:w="9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120"/>
              <w:ind w:left="100"/>
            </w:pPr>
            <w:r>
              <w:rPr>
                <w:rFonts w:hint="eastAsia" w:ascii="宋体" w:hAnsi="宋体" w:eastAsia="宋体" w:cs="宋体"/>
                <w:sz w:val="21"/>
              </w:rPr>
              <w:t>核心技术人员</w:t>
            </w:r>
            <w:r>
              <w:rPr>
                <w:rFonts w:hint="eastAsia" w:ascii="宋体" w:hAnsi="宋体" w:eastAsia="宋体" w:cs="宋体"/>
                <w:sz w:val="10"/>
              </w:rPr>
              <w:t>、</w:t>
            </w:r>
            <w:r>
              <w:rPr>
                <w:rFonts w:hint="eastAsia" w:ascii="宋体" w:hAnsi="宋体" w:eastAsia="宋体" w:cs="宋体"/>
                <w:sz w:val="21"/>
              </w:rPr>
              <w:t>核心平台研发中心经理</w:t>
            </w:r>
          </w:p>
        </w:tc>
      </w:tr>
      <w:tr>
        <w:trPr>
          <w:trHeight w:val="620" w:hRule="exact"/>
        </w:trPr>
        <w:tc>
          <w:tcPr>
            <w:tcW w:w="500" w:type="dxa"/>
            <w:tcMar>
              <w:top w:w="0" w:type="dxa"/>
              <w:left w:w="0" w:type="dxa"/>
              <w:bottom w:w="0" w:type="dxa"/>
              <w:right w:w="0" w:type="dxa"/>
            </w:tcMar>
          </w:tcPr>
          <w:p>
            <w:pPr>
              <w:spacing w:before="240"/>
              <w:ind w:left="180"/>
            </w:pPr>
            <w:r>
              <w:rPr>
                <w:rFonts w:hint="eastAsia" w:ascii="Times New Roman" w:hAnsi="Times New Roman" w:eastAsia="Times New Roman" w:cs="Times New Roman"/>
                <w:sz w:val="21"/>
              </w:rPr>
              <w:t>9</w:t>
            </w:r>
          </w:p>
        </w:tc>
        <w:tc>
          <w:tcPr>
            <w:tcW w:w="880" w:type="dxa"/>
            <w:tcMar>
              <w:top w:w="0" w:type="dxa"/>
              <w:left w:w="0" w:type="dxa"/>
              <w:bottom w:w="0" w:type="dxa"/>
              <w:right w:w="0" w:type="dxa"/>
            </w:tcMar>
          </w:tcPr>
          <w:p>
            <w:pPr>
              <w:spacing w:before="180"/>
              <w:ind w:left="100"/>
            </w:pPr>
            <w:r>
              <w:rPr>
                <w:rFonts w:hint="eastAsia" w:ascii="宋体" w:hAnsi="宋体" w:eastAsia="宋体" w:cs="宋体"/>
                <w:sz w:val="21"/>
              </w:rPr>
              <w:t>鄢继华</w:t>
            </w:r>
          </w:p>
        </w:tc>
        <w:tc>
          <w:tcPr>
            <w:tcW w:w="114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c>
          <w:tcPr>
            <w:tcW w:w="1140" w:type="dxa"/>
            <w:tcMar>
              <w:top w:w="0" w:type="dxa"/>
              <w:left w:w="0" w:type="dxa"/>
              <w:bottom w:w="0" w:type="dxa"/>
              <w:right w:w="0" w:type="dxa"/>
            </w:tcMar>
          </w:tcPr>
          <w:p>
            <w:pPr>
              <w:spacing w:before="360"/>
              <w:ind w:left="940"/>
            </w:pPr>
            <w:r>
              <w:rPr>
                <w:rFonts w:hint="eastAsia" w:ascii="Times New Roman" w:hAnsi="Times New Roman" w:eastAsia="Times New Roman" w:cs="Times New Roman"/>
                <w:sz w:val="21"/>
              </w:rPr>
              <w:t>-</w:t>
            </w:r>
          </w:p>
        </w:tc>
        <w:tc>
          <w:tcPr>
            <w:tcW w:w="980" w:type="dxa"/>
            <w:tcMar>
              <w:top w:w="0" w:type="dxa"/>
              <w:left w:w="0" w:type="dxa"/>
              <w:bottom w:w="0" w:type="dxa"/>
              <w:right w:w="0" w:type="dxa"/>
            </w:tcMar>
          </w:tcPr>
          <w:p>
            <w:pPr>
              <w:spacing w:before="240"/>
              <w:ind w:left="3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40"/>
              <w:ind w:left="100"/>
            </w:pPr>
            <w:r>
              <w:rPr>
                <w:rFonts w:hint="eastAsia" w:ascii="宋体" w:hAnsi="宋体" w:eastAsia="宋体" w:cs="宋体"/>
                <w:sz w:val="21"/>
              </w:rPr>
              <w:t>核心技术人员</w:t>
            </w:r>
            <w:r>
              <w:rPr>
                <w:rFonts w:hint="eastAsia" w:ascii="宋体" w:hAnsi="宋体" w:eastAsia="宋体" w:cs="宋体"/>
                <w:sz w:val="10"/>
              </w:rPr>
              <w:t>、</w:t>
            </w:r>
            <w:r>
              <w:rPr>
                <w:rFonts w:hint="eastAsia" w:ascii="宋体" w:hAnsi="宋体" w:eastAsia="宋体" w:cs="宋体"/>
                <w:sz w:val="21"/>
              </w:rPr>
              <w:t>总经理助理</w:t>
            </w:r>
            <w:r>
              <w:rPr>
                <w:rFonts w:hint="eastAsia" w:ascii="宋体" w:hAnsi="宋体" w:eastAsia="宋体" w:cs="宋体"/>
                <w:sz w:val="10"/>
              </w:rPr>
              <w:t>、</w:t>
            </w:r>
            <w:r>
              <w:rPr>
                <w:rFonts w:hint="eastAsia" w:ascii="宋体" w:hAnsi="宋体" w:eastAsia="宋体" w:cs="宋体"/>
                <w:sz w:val="21"/>
              </w:rPr>
              <w:t>营销管理</w:t>
            </w:r>
          </w:p>
          <w:p>
            <w:pPr>
              <w:spacing w:before="100"/>
              <w:ind w:left="100"/>
            </w:pPr>
            <w:r>
              <w:rPr>
                <w:rFonts w:hint="eastAsia" w:ascii="宋体" w:hAnsi="宋体" w:eastAsia="宋体" w:cs="宋体"/>
                <w:sz w:val="21"/>
              </w:rPr>
              <w:t>总部经理</w:t>
            </w:r>
          </w:p>
        </w:tc>
      </w:tr>
      <w:tr>
        <w:trPr>
          <w:trHeight w:val="640" w:hRule="exact"/>
        </w:trPr>
        <w:tc>
          <w:tcPr>
            <w:tcW w:w="500" w:type="dxa"/>
            <w:tcMar>
              <w:top w:w="0" w:type="dxa"/>
              <w:left w:w="0" w:type="dxa"/>
              <w:bottom w:w="0" w:type="dxa"/>
              <w:right w:w="0" w:type="dxa"/>
            </w:tcMar>
          </w:tcPr>
          <w:p>
            <w:pPr>
              <w:spacing w:before="240"/>
              <w:ind w:left="120"/>
            </w:pPr>
            <w:r>
              <w:rPr>
                <w:rFonts w:hint="eastAsia" w:ascii="Times New Roman" w:hAnsi="Times New Roman" w:eastAsia="Times New Roman" w:cs="Times New Roman"/>
                <w:sz w:val="21"/>
              </w:rPr>
              <w:t>10</w:t>
            </w:r>
          </w:p>
        </w:tc>
        <w:tc>
          <w:tcPr>
            <w:tcW w:w="880" w:type="dxa"/>
            <w:tcMar>
              <w:top w:w="0" w:type="dxa"/>
              <w:left w:w="0" w:type="dxa"/>
              <w:bottom w:w="0" w:type="dxa"/>
              <w:right w:w="0" w:type="dxa"/>
            </w:tcMar>
          </w:tcPr>
          <w:p>
            <w:pPr>
              <w:spacing w:before="200"/>
              <w:ind w:left="100"/>
            </w:pPr>
            <w:r>
              <w:rPr>
                <w:rFonts w:hint="eastAsia" w:ascii="宋体" w:hAnsi="宋体" w:eastAsia="宋体" w:cs="宋体"/>
                <w:sz w:val="21"/>
              </w:rPr>
              <w:t>王腊云</w:t>
            </w:r>
          </w:p>
        </w:tc>
        <w:tc>
          <w:tcPr>
            <w:tcW w:w="1140" w:type="dxa"/>
            <w:tcMar>
              <w:top w:w="0" w:type="dxa"/>
              <w:left w:w="0" w:type="dxa"/>
              <w:bottom w:w="0" w:type="dxa"/>
              <w:right w:w="0" w:type="dxa"/>
            </w:tcMar>
          </w:tcPr>
          <w:p>
            <w:pPr>
              <w:spacing w:before="380"/>
              <w:ind w:left="940"/>
            </w:pPr>
            <w:r>
              <w:rPr>
                <w:rFonts w:hint="eastAsia" w:ascii="Times New Roman" w:hAnsi="Times New Roman" w:eastAsia="Times New Roman" w:cs="Times New Roman"/>
                <w:sz w:val="21"/>
              </w:rPr>
              <w:t>-</w:t>
            </w:r>
          </w:p>
        </w:tc>
        <w:tc>
          <w:tcPr>
            <w:tcW w:w="1140" w:type="dxa"/>
            <w:tcMar>
              <w:top w:w="0" w:type="dxa"/>
              <w:left w:w="0" w:type="dxa"/>
              <w:bottom w:w="0" w:type="dxa"/>
              <w:right w:w="0" w:type="dxa"/>
            </w:tcMar>
          </w:tcPr>
          <w:p>
            <w:pPr>
              <w:spacing w:before="240"/>
              <w:ind w:left="4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c>
          <w:tcPr>
            <w:tcW w:w="980" w:type="dxa"/>
            <w:tcMar>
              <w:top w:w="0" w:type="dxa"/>
              <w:left w:w="0" w:type="dxa"/>
              <w:bottom w:w="0" w:type="dxa"/>
              <w:right w:w="0" w:type="dxa"/>
            </w:tcMar>
          </w:tcPr>
          <w:p>
            <w:pPr>
              <w:spacing w:before="240"/>
              <w:ind w:left="3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c>
          <w:tcPr>
            <w:tcW w:w="3880" w:type="dxa"/>
            <w:tcMar>
              <w:top w:w="0" w:type="dxa"/>
              <w:left w:w="0" w:type="dxa"/>
              <w:bottom w:w="0" w:type="dxa"/>
              <w:right w:w="0" w:type="dxa"/>
            </w:tcMar>
          </w:tcPr>
          <w:p>
            <w:pPr>
              <w:spacing w:before="40"/>
              <w:ind w:left="100"/>
            </w:pPr>
            <w:r>
              <w:rPr>
                <w:rFonts w:hint="eastAsia" w:ascii="宋体" w:hAnsi="宋体" w:eastAsia="宋体" w:cs="宋体"/>
                <w:sz w:val="21"/>
              </w:rPr>
              <w:t>核心技术人员</w:t>
            </w:r>
            <w:r>
              <w:rPr>
                <w:rFonts w:hint="eastAsia" w:ascii="宋体" w:hAnsi="宋体" w:eastAsia="宋体" w:cs="宋体"/>
                <w:sz w:val="10"/>
              </w:rPr>
              <w:t>、</w:t>
            </w:r>
            <w:r>
              <w:rPr>
                <w:rFonts w:hint="eastAsia" w:ascii="宋体" w:hAnsi="宋体" w:eastAsia="宋体" w:cs="宋体"/>
                <w:sz w:val="21"/>
              </w:rPr>
              <w:t>金融证券事业部研发中</w:t>
            </w:r>
          </w:p>
          <w:p>
            <w:pPr>
              <w:spacing w:before="80"/>
              <w:ind w:left="100"/>
            </w:pPr>
            <w:r>
              <w:rPr>
                <w:rFonts w:hint="eastAsia" w:ascii="宋体" w:hAnsi="宋体" w:eastAsia="宋体" w:cs="宋体"/>
                <w:sz w:val="21"/>
              </w:rPr>
              <w:t>心副经理</w:t>
            </w:r>
          </w:p>
        </w:tc>
      </w:tr>
      <w:tr>
        <w:trPr>
          <w:trHeight w:val="460" w:hRule="exact"/>
        </w:trPr>
        <w:tc>
          <w:tcPr>
            <w:tcW w:w="1380" w:type="dxa"/>
            <w:gridSpan w:val="2"/>
            <w:tcMar>
              <w:top w:w="0" w:type="dxa"/>
              <w:left w:w="0" w:type="dxa"/>
              <w:bottom w:w="0" w:type="dxa"/>
              <w:right w:w="0" w:type="dxa"/>
            </w:tcMar>
          </w:tcPr>
          <w:p>
            <w:pPr>
              <w:spacing w:before="120"/>
              <w:ind w:left="460"/>
            </w:pPr>
            <w:r>
              <w:rPr>
                <w:rFonts w:hint="eastAsia" w:ascii="宋体" w:hAnsi="宋体" w:eastAsia="宋体" w:cs="宋体"/>
                <w:b/>
                <w:sz w:val="21"/>
              </w:rPr>
              <w:t>合计</w:t>
            </w:r>
          </w:p>
        </w:tc>
        <w:tc>
          <w:tcPr>
            <w:tcW w:w="1140" w:type="dxa"/>
            <w:tcMar>
              <w:top w:w="0" w:type="dxa"/>
              <w:left w:w="0" w:type="dxa"/>
              <w:bottom w:w="0" w:type="dxa"/>
              <w:right w:w="0" w:type="dxa"/>
            </w:tcMar>
          </w:tcPr>
          <w:p>
            <w:pPr>
              <w:spacing w:before="140"/>
              <w:ind w:left="340"/>
            </w:pPr>
            <w:r>
              <w:rPr>
                <w:rFonts w:hint="eastAsia" w:ascii="Times New Roman Bold" w:hAnsi="Times New Roman Bold" w:eastAsia="Times New Roman Bold" w:cs="Times New Roman Bold"/>
                <w:b/>
                <w:sz w:val="21"/>
              </w:rPr>
              <w:t>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98</w:t>
            </w:r>
            <w:r>
              <w:rPr>
                <w:rFonts w:hint="eastAsia" w:ascii="Times New Roman Bold" w:hAnsi="Times New Roman Bold" w:eastAsia="Times New Roman Bold" w:cs="Times New Roman Bold"/>
                <w:b/>
                <w:sz w:val="20"/>
              </w:rPr>
              <w:t>%</w:t>
            </w:r>
          </w:p>
        </w:tc>
        <w:tc>
          <w:tcPr>
            <w:tcW w:w="1140" w:type="dxa"/>
            <w:tcMar>
              <w:top w:w="0" w:type="dxa"/>
              <w:left w:w="0" w:type="dxa"/>
              <w:bottom w:w="0" w:type="dxa"/>
              <w:right w:w="0" w:type="dxa"/>
            </w:tcMar>
          </w:tcPr>
          <w:p>
            <w:pPr>
              <w:spacing w:before="140"/>
              <w:ind w:left="420"/>
            </w:pPr>
            <w:r>
              <w:rPr>
                <w:rFonts w:hint="eastAsia" w:ascii="Times New Roman Bold" w:hAnsi="Times New Roman Bold" w:eastAsia="Times New Roman Bold" w:cs="Times New Roman Bold"/>
                <w:b/>
                <w:sz w:val="21"/>
              </w:rPr>
              <w:t>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65</w:t>
            </w:r>
            <w:r>
              <w:rPr>
                <w:rFonts w:hint="eastAsia" w:ascii="Times New Roman Bold" w:hAnsi="Times New Roman Bold" w:eastAsia="Times New Roman Bold" w:cs="Times New Roman Bold"/>
                <w:b/>
                <w:sz w:val="20"/>
              </w:rPr>
              <w:t>%</w:t>
            </w:r>
          </w:p>
        </w:tc>
        <w:tc>
          <w:tcPr>
            <w:tcW w:w="980" w:type="dxa"/>
            <w:tcMar>
              <w:top w:w="0" w:type="dxa"/>
              <w:left w:w="0" w:type="dxa"/>
              <w:bottom w:w="0" w:type="dxa"/>
              <w:right w:w="0" w:type="dxa"/>
            </w:tcMar>
          </w:tcPr>
          <w:p>
            <w:pPr>
              <w:spacing w:before="140"/>
              <w:ind w:left="180"/>
            </w:pPr>
            <w:r>
              <w:rPr>
                <w:rFonts w:hint="eastAsia" w:ascii="Times New Roman Bold" w:hAnsi="Times New Roman Bold" w:eastAsia="Times New Roman Bold" w:cs="Times New Roman Bold"/>
                <w:b/>
                <w:sz w:val="21"/>
              </w:rPr>
              <w:t>51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w:t>
            </w:r>
            <w:r>
              <w:rPr>
                <w:rFonts w:hint="eastAsia" w:ascii="Times New Roman Bold" w:hAnsi="Times New Roman Bold" w:eastAsia="Times New Roman Bold" w:cs="Times New Roman Bold"/>
                <w:b/>
                <w:sz w:val="20"/>
              </w:rPr>
              <w:t>%</w:t>
            </w:r>
          </w:p>
        </w:tc>
        <w:tc>
          <w:tcPr>
            <w:tcW w:w="3880" w:type="dxa"/>
            <w:tcMar>
              <w:top w:w="0" w:type="dxa"/>
              <w:left w:w="0" w:type="dxa"/>
              <w:bottom w:w="0" w:type="dxa"/>
              <w:right w:w="0" w:type="dxa"/>
            </w:tcMar>
          </w:tcPr>
          <w:p>
            <w:pPr>
              <w:spacing w:before="260"/>
              <w:ind w:left="1900"/>
            </w:pPr>
            <w:r>
              <w:rPr>
                <w:rFonts w:hint="eastAsia" w:ascii="Times New Roman Bold" w:hAnsi="Times New Roman Bold" w:eastAsia="Times New Roman Bold" w:cs="Times New Roman Bold"/>
                <w:b/>
                <w:sz w:val="21"/>
              </w:rPr>
              <w:t>-</w:t>
            </w:r>
          </w:p>
        </w:tc>
      </w:tr>
    </w:tbl>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上述股份目前不存在质押</w:t>
      </w:r>
      <w:r>
        <w:rPr>
          <w:rFonts w:hint="eastAsia" w:ascii="宋体" w:hAnsi="宋体" w:eastAsia="宋体" w:cs="宋体"/>
          <w:sz w:val="10"/>
        </w:rPr>
        <w:t>、</w:t>
      </w:r>
      <w:r>
        <w:rPr>
          <w:rFonts w:hint="eastAsia" w:ascii="宋体" w:hAnsi="宋体" w:eastAsia="宋体" w:cs="宋体"/>
          <w:sz w:val="24"/>
        </w:rPr>
        <w:t>冻结的情况</w:t>
      </w:r>
      <w:r>
        <w:rPr>
          <w:rFonts w:hint="eastAsia" w:ascii="宋体" w:hAnsi="宋体" w:eastAsia="宋体" w:cs="宋体"/>
          <w:sz w:val="10"/>
        </w:rPr>
        <w:t>。</w:t>
      </w:r>
      <w:r>
        <w:rPr>
          <w:rFonts w:hint="eastAsia" w:ascii="宋体" w:hAnsi="宋体" w:eastAsia="宋体" w:cs="宋体"/>
          <w:sz w:val="24"/>
        </w:rPr>
        <w:t>除上述人员持有本公司股份外</w:t>
      </w:r>
      <w:r>
        <w:rPr>
          <w:rFonts w:hint="eastAsia" w:ascii="宋体" w:hAnsi="宋体" w:eastAsia="宋体" w:cs="宋体"/>
          <w:sz w:val="10"/>
        </w:rPr>
        <w:t>，</w:t>
      </w:r>
      <w:r>
        <w:rPr>
          <w:rFonts w:hint="eastAsia" w:ascii="宋体" w:hAnsi="宋体" w:eastAsia="宋体" w:cs="宋体"/>
          <w:sz w:val="24"/>
        </w:rPr>
        <w:t>本公司其他董事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高级管理人员及核心技术人员不存在直接持有公司股票的情况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jc w:val="both"/>
      </w:pPr>
      <w:r>
        <w:rPr>
          <w:rFonts w:hint="eastAsia" w:ascii="宋体" w:hAnsi="宋体" w:eastAsia="宋体" w:cs="宋体"/>
          <w:b/>
          <w:sz w:val="24"/>
        </w:rPr>
        <w:t>（二）公司董事</w:t>
      </w:r>
      <w:r>
        <w:rPr>
          <w:rFonts w:hint="eastAsia" w:ascii="宋体" w:hAnsi="宋体" w:eastAsia="宋体" w:cs="宋体"/>
          <w:b/>
          <w:sz w:val="10"/>
        </w:rPr>
        <w:t>、</w:t>
      </w:r>
      <w:r>
        <w:rPr>
          <w:rFonts w:hint="eastAsia" w:ascii="宋体" w:hAnsi="宋体" w:eastAsia="宋体" w:cs="宋体"/>
          <w:b/>
          <w:sz w:val="24"/>
        </w:rPr>
        <w:t>监事</w:t>
      </w:r>
      <w:r>
        <w:rPr>
          <w:rFonts w:hint="eastAsia" w:ascii="宋体" w:hAnsi="宋体" w:eastAsia="宋体" w:cs="宋体"/>
          <w:b/>
          <w:sz w:val="10"/>
        </w:rPr>
        <w:t>、</w:t>
      </w:r>
      <w:r>
        <w:rPr>
          <w:rFonts w:hint="eastAsia" w:ascii="宋体" w:hAnsi="宋体" w:eastAsia="宋体" w:cs="宋体"/>
          <w:b/>
          <w:sz w:val="24"/>
        </w:rPr>
        <w:t>高级管理人员及核心技术人员的近亲属最近三年及一期内的直接持股情况</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爱派克与公司董事长</w:t>
      </w:r>
      <w:r>
        <w:rPr>
          <w:rFonts w:hint="eastAsia" w:ascii="宋体" w:hAnsi="宋体" w:eastAsia="宋体" w:cs="宋体"/>
          <w:sz w:val="10"/>
        </w:rPr>
        <w:t>、</w:t>
      </w:r>
      <w:r>
        <w:rPr>
          <w:rFonts w:hint="eastAsia" w:ascii="宋体" w:hAnsi="宋体" w:eastAsia="宋体" w:cs="宋体"/>
          <w:sz w:val="24"/>
        </w:rPr>
        <w:t>总经理严孟宇先生之岳父林永正签署股权转让协议</w:t>
      </w:r>
      <w:r>
        <w:rPr>
          <w:rFonts w:hint="eastAsia" w:ascii="宋体" w:hAnsi="宋体" w:eastAsia="宋体" w:cs="宋体"/>
          <w:sz w:val="10"/>
        </w:rPr>
        <w:t>，</w:t>
      </w:r>
      <w:r>
        <w:rPr>
          <w:rFonts w:hint="eastAsia" w:ascii="宋体" w:hAnsi="宋体" w:eastAsia="宋体" w:cs="宋体"/>
          <w:sz w:val="24"/>
        </w:rPr>
        <w:t>爱派克将其持有的顶点软件</w:t>
      </w:r>
      <w:r>
        <w:rPr>
          <w:rFonts w:hint="eastAsia" w:ascii="Times New Roman" w:hAnsi="Times New Roman" w:eastAsia="Times New Roman" w:cs="Times New Roman"/>
          <w:sz w:val="24"/>
        </w:rPr>
        <w:t xml:space="preserve"> 3.60%</w:t>
      </w:r>
      <w:r>
        <w:rPr>
          <w:rFonts w:hint="eastAsia" w:ascii="宋体" w:hAnsi="宋体" w:eastAsia="宋体" w:cs="宋体"/>
          <w:sz w:val="24"/>
        </w:rPr>
        <w:t>的股权（合计</w:t>
      </w:r>
      <w:r>
        <w:rPr>
          <w:rFonts w:hint="eastAsia" w:ascii="Times New Roman" w:hAnsi="Times New Roman" w:eastAsia="Times New Roman" w:cs="Times New Roman"/>
          <w:sz w:val="24"/>
        </w:rPr>
        <w:t xml:space="preserve"> 108.00</w:t>
      </w:r>
      <w:r>
        <w:rPr>
          <w:rFonts w:hint="eastAsia" w:ascii="宋体" w:hAnsi="宋体" w:eastAsia="宋体" w:cs="宋体"/>
          <w:sz w:val="24"/>
        </w:rPr>
        <w:t xml:space="preserve"> 万股）</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转让给林永正</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年第三次临时股东大会审议通过</w:t>
      </w:r>
      <w:r>
        <w:rPr>
          <w:rFonts w:hint="eastAsia" w:ascii="宋体" w:hAnsi="宋体" w:eastAsia="宋体" w:cs="宋体"/>
          <w:sz w:val="10"/>
        </w:rPr>
        <w:t>，</w:t>
      </w:r>
      <w:r>
        <w:rPr>
          <w:rFonts w:hint="eastAsia" w:ascii="宋体" w:hAnsi="宋体" w:eastAsia="宋体" w:cs="宋体"/>
          <w:sz w:val="24"/>
        </w:rPr>
        <w:t>金石投资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1-1-192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与顶点软件达成协议</w:t>
      </w:r>
      <w:r>
        <w:rPr>
          <w:rFonts w:hint="eastAsia" w:ascii="宋体" w:hAnsi="宋体" w:eastAsia="宋体" w:cs="宋体"/>
          <w:sz w:val="10"/>
        </w:rPr>
        <w:t>，</w:t>
      </w:r>
      <w:r>
        <w:rPr>
          <w:rFonts w:hint="eastAsia" w:ascii="宋体" w:hAnsi="宋体" w:eastAsia="宋体" w:cs="宋体"/>
          <w:sz w:val="24"/>
        </w:rPr>
        <w:t>金石投资受让严孟宇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赵莹</w:t>
      </w:r>
      <w:r>
        <w:rPr>
          <w:rFonts w:hint="eastAsia" w:ascii="宋体" w:hAnsi="宋体" w:eastAsia="宋体" w:cs="宋体"/>
          <w:sz w:val="10"/>
        </w:rPr>
        <w:t>、</w:t>
      </w:r>
      <w:r>
        <w:rPr>
          <w:rFonts w:hint="eastAsia" w:ascii="宋体" w:hAnsi="宋体" w:eastAsia="宋体" w:cs="宋体"/>
          <w:sz w:val="24"/>
        </w:rPr>
        <w:t>余养成</w:t>
      </w:r>
      <w:r>
        <w:rPr>
          <w:rFonts w:hint="eastAsia" w:ascii="宋体" w:hAnsi="宋体" w:eastAsia="宋体" w:cs="宋体"/>
          <w:sz w:val="10"/>
        </w:rPr>
        <w:t>、</w:t>
      </w:r>
      <w:r>
        <w:rPr>
          <w:rFonts w:hint="eastAsia" w:ascii="宋体" w:hAnsi="宋体" w:eastAsia="宋体" w:cs="宋体"/>
          <w:sz w:val="24"/>
        </w:rPr>
        <w:t>林永正</w:t>
      </w:r>
      <w:r>
        <w:rPr>
          <w:rFonts w:hint="eastAsia" w:ascii="宋体" w:hAnsi="宋体" w:eastAsia="宋体" w:cs="宋体"/>
          <w:sz w:val="10"/>
        </w:rPr>
        <w:t>、</w:t>
      </w:r>
      <w:r>
        <w:rPr>
          <w:rFonts w:hint="eastAsia" w:ascii="宋体" w:hAnsi="宋体" w:eastAsia="宋体" w:cs="宋体"/>
          <w:sz w:val="24"/>
        </w:rPr>
        <w:t>董南勇</w:t>
      </w:r>
      <w:r>
        <w:rPr>
          <w:rFonts w:hint="eastAsia" w:ascii="宋体" w:hAnsi="宋体" w:eastAsia="宋体" w:cs="宋体"/>
          <w:sz w:val="10"/>
        </w:rPr>
        <w:t>、</w:t>
      </w:r>
      <w:r>
        <w:rPr>
          <w:rFonts w:hint="eastAsia" w:ascii="宋体" w:hAnsi="宋体" w:eastAsia="宋体" w:cs="宋体"/>
          <w:sz w:val="24"/>
        </w:rPr>
        <w:t>欧永</w:t>
      </w:r>
      <w:r>
        <w:rPr>
          <w:rFonts w:hint="eastAsia" w:ascii="宋体" w:hAnsi="宋体" w:eastAsia="宋体" w:cs="宋体"/>
          <w:sz w:val="10"/>
        </w:rPr>
        <w:t>、</w:t>
      </w:r>
      <w:r>
        <w:rPr>
          <w:rFonts w:hint="eastAsia" w:ascii="宋体" w:hAnsi="宋体" w:eastAsia="宋体" w:cs="宋体"/>
          <w:sz w:val="24"/>
        </w:rPr>
        <w:t>张玉</w:t>
      </w:r>
      <w:r>
        <w:rPr>
          <w:rFonts w:hint="eastAsia" w:ascii="宋体" w:hAnsi="宋体" w:eastAsia="宋体" w:cs="宋体"/>
          <w:sz w:val="10"/>
        </w:rPr>
        <w:t>、</w:t>
      </w:r>
      <w:r>
        <w:rPr>
          <w:rFonts w:hint="eastAsia" w:ascii="宋体" w:hAnsi="宋体" w:eastAsia="宋体" w:cs="宋体"/>
          <w:sz w:val="24"/>
        </w:rPr>
        <w:t>刘法先</w:t>
      </w:r>
      <w:r>
        <w:rPr>
          <w:rFonts w:hint="eastAsia" w:ascii="宋体" w:hAnsi="宋体" w:eastAsia="宋体" w:cs="宋体"/>
          <w:sz w:val="10"/>
        </w:rPr>
        <w:t>、</w:t>
      </w:r>
      <w:r>
        <w:rPr>
          <w:rFonts w:hint="eastAsia" w:ascii="宋体" w:hAnsi="宋体" w:eastAsia="宋体" w:cs="宋体"/>
          <w:sz w:val="24"/>
        </w:rPr>
        <w:t>林秀红</w:t>
      </w:r>
      <w:r>
        <w:rPr>
          <w:rFonts w:hint="eastAsia" w:ascii="宋体" w:hAnsi="宋体" w:eastAsia="宋体" w:cs="宋体"/>
          <w:sz w:val="10"/>
        </w:rPr>
        <w:t>、</w:t>
      </w:r>
      <w:r>
        <w:rPr>
          <w:rFonts w:hint="eastAsia" w:ascii="宋体" w:hAnsi="宋体" w:eastAsia="宋体" w:cs="宋体"/>
          <w:sz w:val="24"/>
        </w:rPr>
        <w:t>徐传秋</w:t>
      </w:r>
      <w:r>
        <w:rPr>
          <w:rFonts w:hint="eastAsia" w:ascii="宋体" w:hAnsi="宋体" w:eastAsia="宋体" w:cs="宋体"/>
          <w:sz w:val="10"/>
        </w:rPr>
        <w:t>、</w:t>
      </w:r>
      <w:r>
        <w:rPr>
          <w:rFonts w:hint="eastAsia" w:ascii="宋体" w:hAnsi="宋体" w:eastAsia="宋体" w:cs="宋体"/>
          <w:sz w:val="24"/>
        </w:rPr>
        <w:t>邓志强</w:t>
      </w:r>
      <w:r>
        <w:rPr>
          <w:rFonts w:hint="eastAsia" w:ascii="宋体" w:hAnsi="宋体" w:eastAsia="宋体" w:cs="宋体"/>
          <w:sz w:val="10"/>
        </w:rPr>
        <w:t>、</w:t>
      </w:r>
      <w:r>
        <w:rPr>
          <w:rFonts w:hint="eastAsia" w:ascii="宋体" w:hAnsi="宋体" w:eastAsia="宋体" w:cs="宋体"/>
          <w:sz w:val="24"/>
        </w:rPr>
        <w:t>王敏航</w:t>
      </w:r>
      <w:r>
        <w:rPr>
          <w:rFonts w:hint="eastAsia" w:ascii="宋体" w:hAnsi="宋体" w:eastAsia="宋体" w:cs="宋体"/>
          <w:sz w:val="10"/>
        </w:rPr>
        <w:t>、</w:t>
      </w:r>
      <w:r>
        <w:rPr>
          <w:rFonts w:hint="eastAsia" w:ascii="宋体" w:hAnsi="宋体" w:eastAsia="宋体" w:cs="宋体"/>
          <w:sz w:val="24"/>
        </w:rPr>
        <w:t>张雄金</w:t>
      </w:r>
      <w:r>
        <w:rPr>
          <w:rFonts w:hint="eastAsia" w:ascii="宋体" w:hAnsi="宋体" w:eastAsia="宋体" w:cs="宋体"/>
          <w:sz w:val="10"/>
        </w:rPr>
        <w:t>、</w:t>
      </w:r>
      <w:r>
        <w:rPr>
          <w:rFonts w:hint="eastAsia" w:ascii="宋体" w:hAnsi="宋体" w:eastAsia="宋体" w:cs="宋体"/>
          <w:sz w:val="24"/>
        </w:rPr>
        <w:t>鄢继华</w:t>
      </w:r>
      <w:r>
        <w:rPr>
          <w:rFonts w:hint="eastAsia" w:ascii="宋体" w:hAnsi="宋体" w:eastAsia="宋体" w:cs="宋体"/>
          <w:sz w:val="10"/>
        </w:rPr>
        <w:t>、</w:t>
      </w:r>
      <w:r>
        <w:rPr>
          <w:rFonts w:hint="eastAsia" w:ascii="宋体" w:hAnsi="宋体" w:eastAsia="宋体" w:cs="宋体"/>
          <w:sz w:val="24"/>
        </w:rPr>
        <w:t>谢淑仁</w:t>
      </w:r>
      <w:r>
        <w:rPr>
          <w:rFonts w:hint="eastAsia" w:ascii="宋体" w:hAnsi="宋体" w:eastAsia="宋体" w:cs="宋体"/>
          <w:sz w:val="10"/>
        </w:rPr>
        <w:t>、</w:t>
      </w:r>
      <w:r>
        <w:rPr>
          <w:rFonts w:hint="eastAsia" w:ascii="宋体" w:hAnsi="宋体" w:eastAsia="宋体" w:cs="宋体"/>
          <w:sz w:val="24"/>
        </w:rPr>
        <w:t>陈瑞德</w:t>
      </w:r>
      <w:r>
        <w:rPr>
          <w:rFonts w:hint="eastAsia" w:ascii="宋体" w:hAnsi="宋体" w:eastAsia="宋体" w:cs="宋体"/>
          <w:sz w:val="10"/>
        </w:rPr>
        <w:t>、</w:t>
      </w:r>
      <w:r>
        <w:rPr>
          <w:rFonts w:hint="eastAsia" w:ascii="宋体" w:hAnsi="宋体" w:eastAsia="宋体" w:cs="宋体"/>
          <w:sz w:val="24"/>
        </w:rPr>
        <w:t>陈建国共计</w:t>
      </w:r>
      <w:r>
        <w:rPr>
          <w:rFonts w:hint="eastAsia" w:ascii="Times New Roman" w:hAnsi="Times New Roman" w:eastAsia="Times New Roman" w:cs="Times New Roman"/>
          <w:sz w:val="24"/>
        </w:rPr>
        <w:t xml:space="preserve"> 19</w:t>
      </w:r>
      <w:r>
        <w:rPr>
          <w:rFonts w:hint="eastAsia" w:ascii="宋体" w:hAnsi="宋体" w:eastAsia="宋体" w:cs="宋体"/>
          <w:sz w:val="24"/>
        </w:rPr>
        <w:t xml:space="preserve"> 名自然人股东所持有</w:t>
      </w:r>
      <w:r>
        <w:rPr>
          <w:rFonts w:hint="eastAsia" w:ascii="Times New Roman" w:hAnsi="Times New Roman" w:eastAsia="Times New Roman" w:cs="Times New Roman"/>
          <w:sz w:val="24"/>
        </w:rPr>
        <w:t xml:space="preserve"> 500</w:t>
      </w:r>
      <w:r>
        <w:rPr>
          <w:rFonts w:hint="eastAsia" w:ascii="宋体" w:hAnsi="宋体" w:eastAsia="宋体" w:cs="宋体"/>
          <w:sz w:val="24"/>
        </w:rPr>
        <w:t xml:space="preserve"> 万股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00"/>
        <w:jc w:val="both"/>
      </w:pP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林永正将其持有的</w:t>
      </w:r>
      <w:r>
        <w:rPr>
          <w:rFonts w:hint="eastAsia" w:ascii="Times New Roman" w:hAnsi="Times New Roman" w:eastAsia="Times New Roman" w:cs="Times New Roman"/>
          <w:sz w:val="24"/>
        </w:rPr>
        <w:t xml:space="preserve"> 108.00</w:t>
      </w:r>
      <w:r>
        <w:rPr>
          <w:rFonts w:hint="eastAsia" w:ascii="宋体" w:hAnsi="宋体" w:eastAsia="宋体" w:cs="宋体"/>
          <w:sz w:val="24"/>
        </w:rPr>
        <w:t xml:space="preserve"> 万股全部转让给金石投资</w:t>
      </w:r>
      <w:r>
        <w:rPr>
          <w:rFonts w:hint="eastAsia" w:ascii="宋体" w:hAnsi="宋体" w:eastAsia="宋体" w:cs="宋体"/>
          <w:sz w:val="10"/>
        </w:rPr>
        <w:t>。</w:t>
      </w:r>
      <w:r>
        <w:rPr>
          <w:rFonts w:hint="eastAsia" w:ascii="宋体" w:hAnsi="宋体" w:eastAsia="宋体" w:cs="宋体"/>
          <w:sz w:val="24"/>
        </w:rPr>
        <w:t>转让完成后</w:t>
      </w:r>
      <w:r>
        <w:rPr>
          <w:rFonts w:hint="eastAsia" w:ascii="宋体" w:hAnsi="宋体" w:eastAsia="宋体" w:cs="宋体"/>
          <w:sz w:val="10"/>
        </w:rPr>
        <w:t>，</w:t>
      </w:r>
      <w:r>
        <w:rPr>
          <w:rFonts w:hint="eastAsia" w:ascii="宋体" w:hAnsi="宋体" w:eastAsia="宋体" w:cs="宋体"/>
          <w:sz w:val="24"/>
        </w:rPr>
        <w:t>林永正不再直接持有本公司的股份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除上述情形外</w:t>
      </w:r>
      <w:r>
        <w:rPr>
          <w:rFonts w:hint="eastAsia" w:ascii="宋体" w:hAnsi="宋体" w:eastAsia="宋体" w:cs="宋体"/>
          <w:sz w:val="10"/>
        </w:rPr>
        <w:t>，</w:t>
      </w:r>
      <w:r>
        <w:rPr>
          <w:rFonts w:hint="eastAsia" w:ascii="宋体" w:hAnsi="宋体" w:eastAsia="宋体" w:cs="宋体"/>
          <w:sz w:val="24"/>
        </w:rPr>
        <w:t>不存在公司董事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高级管理人员及核心技术人员的近亲属最近三年直接持有公司股份的情形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jc w:val="both"/>
      </w:pPr>
      <w:r>
        <w:rPr>
          <w:rFonts w:hint="eastAsia" w:ascii="宋体" w:hAnsi="宋体" w:eastAsia="宋体" w:cs="宋体"/>
          <w:b/>
          <w:sz w:val="24"/>
        </w:rPr>
        <w:t>（三）公司董事</w:t>
      </w:r>
      <w:r>
        <w:rPr>
          <w:rFonts w:hint="eastAsia" w:ascii="宋体" w:hAnsi="宋体" w:eastAsia="宋体" w:cs="宋体"/>
          <w:b/>
          <w:sz w:val="10"/>
        </w:rPr>
        <w:t>、</w:t>
      </w:r>
      <w:r>
        <w:rPr>
          <w:rFonts w:hint="eastAsia" w:ascii="宋体" w:hAnsi="宋体" w:eastAsia="宋体" w:cs="宋体"/>
          <w:b/>
          <w:sz w:val="24"/>
        </w:rPr>
        <w:t>监事</w:t>
      </w:r>
      <w:r>
        <w:rPr>
          <w:rFonts w:hint="eastAsia" w:ascii="宋体" w:hAnsi="宋体" w:eastAsia="宋体" w:cs="宋体"/>
          <w:b/>
          <w:sz w:val="10"/>
        </w:rPr>
        <w:t>、</w:t>
      </w:r>
      <w:r>
        <w:rPr>
          <w:rFonts w:hint="eastAsia" w:ascii="宋体" w:hAnsi="宋体" w:eastAsia="宋体" w:cs="宋体"/>
          <w:b/>
          <w:sz w:val="24"/>
        </w:rPr>
        <w:t>高级管理人员</w:t>
      </w:r>
      <w:r>
        <w:rPr>
          <w:rFonts w:hint="eastAsia" w:ascii="宋体" w:hAnsi="宋体" w:eastAsia="宋体" w:cs="宋体"/>
          <w:b/>
          <w:sz w:val="10"/>
        </w:rPr>
        <w:t>、</w:t>
      </w:r>
      <w:r>
        <w:rPr>
          <w:rFonts w:hint="eastAsia" w:ascii="宋体" w:hAnsi="宋体" w:eastAsia="宋体" w:cs="宋体"/>
          <w:b/>
          <w:sz w:val="24"/>
        </w:rPr>
        <w:t>核心技术人员的近亲属最近三年及一期内的间接持股情况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公司董事长</w:t>
      </w:r>
      <w:r>
        <w:rPr>
          <w:rFonts w:hint="eastAsia" w:ascii="宋体" w:hAnsi="宋体" w:eastAsia="宋体" w:cs="宋体"/>
          <w:sz w:val="10"/>
        </w:rPr>
        <w:t>、</w:t>
      </w:r>
      <w:r>
        <w:rPr>
          <w:rFonts w:hint="eastAsia" w:ascii="宋体" w:hAnsi="宋体" w:eastAsia="宋体" w:cs="宋体"/>
          <w:sz w:val="24"/>
        </w:rPr>
        <w:t>总经理严孟宇先生之岳父林永正先生持有公司股东爱派克</w:t>
      </w:r>
      <w:r>
        <w:rPr>
          <w:rFonts w:hint="eastAsia" w:ascii="Times New Roman" w:hAnsi="Times New Roman" w:eastAsia="Times New Roman" w:cs="Times New Roman"/>
          <w:sz w:val="24"/>
        </w:rPr>
        <w:t xml:space="preserve"> 52.29%</w:t>
      </w:r>
      <w:r>
        <w:rPr>
          <w:rFonts w:hint="eastAsia" w:ascii="宋体" w:hAnsi="宋体" w:eastAsia="宋体" w:cs="宋体"/>
          <w:sz w:val="24"/>
        </w:rPr>
        <w:t>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报告期期初</w:t>
      </w:r>
      <w:r>
        <w:rPr>
          <w:rFonts w:hint="eastAsia" w:ascii="宋体" w:hAnsi="宋体" w:eastAsia="宋体" w:cs="宋体"/>
          <w:sz w:val="10"/>
        </w:rPr>
        <w:t>，</w:t>
      </w:r>
      <w:r>
        <w:rPr>
          <w:rFonts w:hint="eastAsia" w:ascii="宋体" w:hAnsi="宋体" w:eastAsia="宋体" w:cs="宋体"/>
          <w:sz w:val="24"/>
        </w:rPr>
        <w:t>爱派克持有公司股份的比例为</w:t>
      </w:r>
      <w:r>
        <w:rPr>
          <w:rFonts w:hint="eastAsia" w:ascii="Times New Roman" w:hAnsi="Times New Roman" w:eastAsia="Times New Roman" w:cs="Times New Roman"/>
          <w:sz w:val="24"/>
        </w:rPr>
        <w:t xml:space="preserve"> 24.00%</w:t>
      </w:r>
      <w:r>
        <w:rPr>
          <w:rFonts w:hint="eastAsia" w:ascii="宋体" w:hAnsi="宋体" w:eastAsia="宋体" w:cs="宋体"/>
          <w:sz w:val="10"/>
        </w:rPr>
        <w:t>，</w:t>
      </w:r>
      <w:r>
        <w:rPr>
          <w:rFonts w:hint="eastAsia" w:ascii="宋体" w:hAnsi="宋体" w:eastAsia="宋体" w:cs="宋体"/>
          <w:sz w:val="24"/>
        </w:rPr>
        <w:t>林永正通过爱派克控制公司</w:t>
      </w:r>
      <w:r>
        <w:rPr>
          <w:rFonts w:hint="eastAsia" w:ascii="Times New Roman" w:hAnsi="Times New Roman" w:eastAsia="Times New Roman" w:cs="Times New Roman"/>
          <w:sz w:val="24"/>
        </w:rPr>
        <w:t xml:space="preserve"> 24.00%</w:t>
      </w:r>
      <w:r>
        <w:rPr>
          <w:rFonts w:hint="eastAsia" w:ascii="宋体" w:hAnsi="宋体" w:eastAsia="宋体" w:cs="宋体"/>
          <w:sz w:val="24"/>
        </w:rPr>
        <w:t>的表决权</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爱派克将其持有的顶点软件</w:t>
      </w:r>
      <w:r>
        <w:rPr>
          <w:rFonts w:hint="eastAsia" w:ascii="Times New Roman" w:hAnsi="Times New Roman" w:eastAsia="Times New Roman" w:cs="Times New Roman"/>
          <w:sz w:val="24"/>
        </w:rPr>
        <w:t xml:space="preserve"> 3.60%</w:t>
      </w:r>
      <w:r>
        <w:rPr>
          <w:rFonts w:hint="eastAsia" w:ascii="宋体" w:hAnsi="宋体" w:eastAsia="宋体" w:cs="宋体"/>
          <w:sz w:val="24"/>
        </w:rPr>
        <w:t>的股权（合计</w:t>
      </w:r>
      <w:r>
        <w:rPr>
          <w:rFonts w:hint="eastAsia" w:ascii="Times New Roman" w:hAnsi="Times New Roman" w:eastAsia="Times New Roman" w:cs="Times New Roman"/>
          <w:sz w:val="24"/>
        </w:rPr>
        <w:t xml:space="preserve"> 108.00</w:t>
      </w:r>
      <w:r>
        <w:rPr>
          <w:rFonts w:hint="eastAsia" w:ascii="宋体" w:hAnsi="宋体" w:eastAsia="宋体" w:cs="宋体"/>
          <w:sz w:val="24"/>
        </w:rPr>
        <w:t xml:space="preserve"> 万股）转让给林永正</w:t>
      </w:r>
      <w:r>
        <w:rPr>
          <w:rFonts w:hint="eastAsia" w:ascii="宋体" w:hAnsi="宋体" w:eastAsia="宋体" w:cs="宋体"/>
          <w:sz w:val="10"/>
        </w:rPr>
        <w:t>，</w:t>
      </w:r>
      <w:r>
        <w:rPr>
          <w:rFonts w:hint="eastAsia" w:ascii="宋体" w:hAnsi="宋体" w:eastAsia="宋体" w:cs="宋体"/>
          <w:sz w:val="24"/>
        </w:rPr>
        <w:t>林永正持有公司股份的比例为</w:t>
      </w:r>
      <w:r>
        <w:rPr>
          <w:rFonts w:hint="eastAsia" w:ascii="Times New Roman" w:hAnsi="Times New Roman" w:eastAsia="Times New Roman" w:cs="Times New Roman"/>
          <w:sz w:val="24"/>
        </w:rPr>
        <w:t xml:space="preserve"> 3.60%</w:t>
      </w:r>
      <w:r>
        <w:rPr>
          <w:rFonts w:hint="eastAsia" w:ascii="宋体" w:hAnsi="宋体" w:eastAsia="宋体" w:cs="宋体"/>
          <w:sz w:val="10"/>
        </w:rPr>
        <w:t>，</w:t>
      </w:r>
      <w:r>
        <w:rPr>
          <w:rFonts w:hint="eastAsia" w:ascii="宋体" w:hAnsi="宋体" w:eastAsia="宋体" w:cs="宋体"/>
          <w:sz w:val="24"/>
        </w:rPr>
        <w:t>通过爱派克控制公司</w:t>
      </w:r>
      <w:r>
        <w:rPr>
          <w:rFonts w:hint="eastAsia" w:ascii="Times New Roman" w:hAnsi="Times New Roman" w:eastAsia="Times New Roman" w:cs="Times New Roman"/>
          <w:sz w:val="24"/>
        </w:rPr>
        <w:t xml:space="preserve"> 20.40%</w:t>
      </w:r>
      <w:r>
        <w:rPr>
          <w:rFonts w:hint="eastAsia" w:ascii="宋体" w:hAnsi="宋体" w:eastAsia="宋体" w:cs="宋体"/>
          <w:sz w:val="24"/>
        </w:rPr>
        <w:t>的表决权</w:t>
      </w:r>
      <w:r>
        <w:rPr>
          <w:rFonts w:hint="eastAsia" w:ascii="宋体" w:hAnsi="宋体" w:eastAsia="宋体" w:cs="宋体"/>
          <w:sz w:val="10"/>
        </w:rPr>
        <w:t>，</w:t>
      </w:r>
      <w:r>
        <w:rPr>
          <w:rFonts w:hint="eastAsia" w:ascii="宋体" w:hAnsi="宋体" w:eastAsia="宋体" w:cs="宋体"/>
          <w:sz w:val="24"/>
        </w:rPr>
        <w:t>合计持有公司</w:t>
      </w:r>
      <w:r>
        <w:rPr>
          <w:rFonts w:hint="eastAsia" w:ascii="Times New Roman" w:hAnsi="Times New Roman" w:eastAsia="Times New Roman" w:cs="Times New Roman"/>
          <w:sz w:val="24"/>
        </w:rPr>
        <w:t xml:space="preserve"> 24.00%</w:t>
      </w:r>
      <w:r>
        <w:rPr>
          <w:rFonts w:hint="eastAsia" w:ascii="宋体" w:hAnsi="宋体" w:eastAsia="宋体" w:cs="宋体"/>
          <w:sz w:val="24"/>
        </w:rPr>
        <w:t>表决权</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金石投资通过股份转让及增资成为公司股东</w:t>
      </w:r>
      <w:r>
        <w:rPr>
          <w:rFonts w:hint="eastAsia" w:ascii="宋体" w:hAnsi="宋体" w:eastAsia="宋体" w:cs="宋体"/>
          <w:sz w:val="10"/>
        </w:rPr>
        <w:t>，</w:t>
      </w:r>
      <w:r>
        <w:rPr>
          <w:rFonts w:hint="eastAsia" w:ascii="宋体" w:hAnsi="宋体" w:eastAsia="宋体" w:cs="宋体"/>
          <w:sz w:val="24"/>
        </w:rPr>
        <w:t>爱派克持有公司股份的比例为</w:t>
      </w:r>
      <w:r>
        <w:rPr>
          <w:rFonts w:hint="eastAsia" w:ascii="Times New Roman" w:hAnsi="Times New Roman" w:eastAsia="Times New Roman" w:cs="Times New Roman"/>
          <w:sz w:val="24"/>
        </w:rPr>
        <w:t>19.39%</w:t>
      </w:r>
      <w:r>
        <w:rPr>
          <w:rFonts w:hint="eastAsia" w:ascii="宋体" w:hAnsi="宋体" w:eastAsia="宋体" w:cs="宋体"/>
          <w:sz w:val="10"/>
        </w:rPr>
        <w:t>，</w:t>
      </w:r>
      <w:r>
        <w:rPr>
          <w:rFonts w:hint="eastAsia" w:ascii="宋体" w:hAnsi="宋体" w:eastAsia="宋体" w:cs="宋体"/>
          <w:sz w:val="24"/>
        </w:rPr>
        <w:t>林永正通过爱派克持有公司</w:t>
      </w:r>
      <w:r>
        <w:rPr>
          <w:rFonts w:hint="eastAsia" w:ascii="Times New Roman" w:hAnsi="Times New Roman" w:eastAsia="Times New Roman" w:cs="Times New Roman"/>
          <w:sz w:val="24"/>
        </w:rPr>
        <w:t xml:space="preserve"> 19.39%</w:t>
      </w:r>
      <w:r>
        <w:rPr>
          <w:rFonts w:hint="eastAsia" w:ascii="宋体" w:hAnsi="宋体" w:eastAsia="宋体" w:cs="宋体"/>
          <w:sz w:val="24"/>
        </w:rPr>
        <w:t>的表决权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高级管理人员及核心技术人员的对外投资情况</w:t>
      </w:r>
    </w:p>
    <w:p>
      <w:pPr>
        <w:spacing w:line="200" w:lineRule="exact"/>
        <w:rPr>
          <w:rFonts w:hint="eastAsia" w:ascii="宋体" w:hAnsi="宋体" w:eastAsia="宋体" w:cs="宋体"/>
          <w:sz w:val="20"/>
        </w:rPr>
      </w:pPr>
    </w:p>
    <w:p>
      <w:pPr>
        <w:autoSpaceDE w:val="false"/>
        <w:autoSpaceDN w:val="false"/>
        <w:spacing w:line="420" w:lineRule="exact"/>
        <w:ind w:left="1800" w:right="164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高级管理人员和核心技术人员中</w:t>
      </w:r>
      <w:r>
        <w:rPr>
          <w:rFonts w:hint="eastAsia" w:ascii="宋体" w:hAnsi="宋体" w:eastAsia="宋体" w:cs="宋体"/>
          <w:sz w:val="10"/>
        </w:rPr>
        <w:t>，</w:t>
      </w:r>
      <w:r>
        <w:rPr>
          <w:rFonts w:hint="eastAsia" w:ascii="宋体" w:hAnsi="宋体" w:eastAsia="宋体" w:cs="宋体"/>
          <w:sz w:val="24"/>
        </w:rPr>
        <w:t>除部分人员持有爱派克的股权外</w:t>
      </w:r>
      <w:r>
        <w:rPr>
          <w:rFonts w:hint="eastAsia" w:ascii="宋体" w:hAnsi="宋体" w:eastAsia="宋体" w:cs="宋体"/>
          <w:sz w:val="10"/>
        </w:rPr>
        <w:t>，</w:t>
      </w:r>
      <w:r>
        <w:rPr>
          <w:rFonts w:hint="eastAsia" w:ascii="宋体" w:hAnsi="宋体" w:eastAsia="宋体" w:cs="宋体"/>
          <w:sz w:val="24"/>
        </w:rPr>
        <w:t>不存在其它对外投资的情况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高级管理人员及核心技术人员的薪酬情况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本公司独立董事在本公司上市前领取独立董事津贴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本公司监事</w:t>
      </w:r>
      <w:r>
        <w:rPr>
          <w:rFonts w:hint="eastAsia" w:ascii="宋体" w:hAnsi="宋体" w:eastAsia="宋体" w:cs="宋体"/>
          <w:sz w:val="10"/>
        </w:rPr>
        <w:t>、</w:t>
      </w:r>
      <w:r>
        <w:rPr>
          <w:rFonts w:hint="eastAsia" w:ascii="宋体" w:hAnsi="宋体" w:eastAsia="宋体" w:cs="宋体"/>
          <w:sz w:val="24"/>
        </w:rPr>
        <w:t>职工监事在本公司领取其本职工作所得的薪酬</w:t>
      </w:r>
      <w:r>
        <w:rPr>
          <w:rFonts w:hint="eastAsia" w:ascii="宋体" w:hAnsi="宋体" w:eastAsia="宋体" w:cs="宋体"/>
          <w:sz w:val="10"/>
        </w:rPr>
        <w:t>，</w:t>
      </w:r>
      <w:r>
        <w:rPr>
          <w:rFonts w:hint="eastAsia" w:ascii="宋体" w:hAnsi="宋体" w:eastAsia="宋体" w:cs="宋体"/>
          <w:sz w:val="24"/>
        </w:rPr>
        <w:t>不因其监事身份而获取额外报酬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在公司担任职务的董事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高级管理人员及其他核心技术人员的薪酬由</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1-1-193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473232" behindDoc="false" locked="false" layoutInCell="true" allowOverlap="true">
                <wp:simplePos x="0" y="0"/>
                <wp:positionH relativeFrom="page">
                  <wp:posOffset>1676400</wp:posOffset>
                </wp:positionH>
                <wp:positionV relativeFrom="page">
                  <wp:posOffset>9131300</wp:posOffset>
                </wp:positionV>
                <wp:extent cx="12700" cy="406400"/>
                <wp:effectExtent l="0" t="0" r="22225" b="31115"/>
                <wp:wrapNone/>
                <wp:docPr id="10707" name="shape10707"/>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132pt;margin-top:719pt;mso-wrap-style:square;z-index:10473232;mso-wrap-distance-left:9pt;mso-wrap-distance-top:0pt;mso-wrap-distance-right:9pt;mso-wrap-distance-bottom:0pt" id="shape10707" o:spid="1618382360185" stroked="f" filled="t" fillcolor="#000000"/>
            </w:pict>
          </mc:Fallback>
        </mc:AlternateContent>
      </w:r>
      <w:r>
        <mc:AlternateContent>
          <mc:Choice Requires="wps">
            <w:drawing>
              <wp:anchor distT="0" distB="0" distL="114300" distR="114300" simplePos="false" relativeHeight="10475280" behindDoc="false" locked="false" layoutInCell="true" allowOverlap="true">
                <wp:simplePos x="0" y="0"/>
                <wp:positionH relativeFrom="page">
                  <wp:posOffset>2489200</wp:posOffset>
                </wp:positionH>
                <wp:positionV relativeFrom="page">
                  <wp:posOffset>9131300</wp:posOffset>
                </wp:positionV>
                <wp:extent cx="12700" cy="406400"/>
                <wp:effectExtent l="0" t="0" r="22225" b="31115"/>
                <wp:wrapNone/>
                <wp:docPr id="10709" name="shape10709"/>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196pt;margin-top:719pt;mso-wrap-style:square;z-index:10475280;mso-wrap-distance-left:9pt;mso-wrap-distance-top:0pt;mso-wrap-distance-right:9pt;mso-wrap-distance-bottom:0pt" id="shape10709" o:spid="1618382360185" stroked="f" filled="t" fillcolor="#000000"/>
            </w:pict>
          </mc:Fallback>
        </mc:AlternateContent>
      </w:r>
      <w:r>
        <mc:AlternateContent>
          <mc:Choice Requires="wps">
            <w:drawing>
              <wp:anchor distT="0" distB="0" distL="114300" distR="114300" simplePos="false" relativeHeight="10477328" behindDoc="false" locked="false" layoutInCell="true" allowOverlap="true">
                <wp:simplePos x="0" y="0"/>
                <wp:positionH relativeFrom="page">
                  <wp:posOffset>4737100</wp:posOffset>
                </wp:positionH>
                <wp:positionV relativeFrom="page">
                  <wp:posOffset>9131300</wp:posOffset>
                </wp:positionV>
                <wp:extent cx="12700" cy="406400"/>
                <wp:effectExtent l="0" t="0" r="22225" b="31115"/>
                <wp:wrapNone/>
                <wp:docPr id="10711" name="shape10711"/>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373pt;margin-top:719pt;mso-wrap-style:square;z-index:10477328;mso-wrap-distance-left:9pt;mso-wrap-distance-top:0pt;mso-wrap-distance-right:9pt;mso-wrap-distance-bottom:0pt" id="shape10711" o:spid="1618382360185" stroked="f" filled="t" fillcolor="#000000"/>
            </w:pict>
          </mc:Fallback>
        </mc:AlternateContent>
      </w:r>
      <w:r>
        <mc:AlternateContent>
          <mc:Choice Requires="wps">
            <w:drawing>
              <wp:anchor distT="0" distB="0" distL="114300" distR="114300" simplePos="false" relativeHeight="10479376" behindDoc="false" locked="false" layoutInCell="true" allowOverlap="true">
                <wp:simplePos x="0" y="0"/>
                <wp:positionH relativeFrom="page">
                  <wp:posOffset>5549900</wp:posOffset>
                </wp:positionH>
                <wp:positionV relativeFrom="page">
                  <wp:posOffset>9131300</wp:posOffset>
                </wp:positionV>
                <wp:extent cx="12700" cy="406400"/>
                <wp:effectExtent l="0" t="0" r="22225" b="31115"/>
                <wp:wrapNone/>
                <wp:docPr id="10713" name="shape10713"/>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437pt;margin-top:719pt;mso-wrap-style:square;z-index:10479376;mso-wrap-distance-left:9pt;mso-wrap-distance-top:0pt;mso-wrap-distance-right:9pt;mso-wrap-distance-bottom:0pt" id="shape10713" o:spid="1618382360186" stroked="f" filled="t" fillcolor="#000000"/>
            </w:pict>
          </mc:Fallback>
        </mc:AlternateContent>
      </w:r>
      <w:r>
        <mc:AlternateContent>
          <mc:Choice Requires="wps">
            <w:drawing>
              <wp:anchor distT="0" distB="0" distL="114300" distR="114300" simplePos="false" relativeHeight="10481424" behindDoc="false" locked="false" layoutInCell="true" allowOverlap="true">
                <wp:simplePos x="0" y="0"/>
                <wp:positionH relativeFrom="page">
                  <wp:posOffset>6477000</wp:posOffset>
                </wp:positionH>
                <wp:positionV relativeFrom="page">
                  <wp:posOffset>9131300</wp:posOffset>
                </wp:positionV>
                <wp:extent cx="25400" cy="406400"/>
                <wp:effectExtent l="0" t="0" r="22225" b="31115"/>
                <wp:wrapNone/>
                <wp:docPr id="10715" name="shape10715"/>
                <wp:cNvGraphicFramePr/>
                <a:graphic>
                  <a:graphicData uri="http://schemas.microsoft.com/office/word/2010/wordprocessingShape">
                    <wps:wsp>
                      <wps:cNvSpPr/>
                      <wps:spPr>
                        <a:xfrm>
                          <a:off x="0" y="0"/>
                          <a:ext cx="254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2pt;margin-left:510pt;margin-top:719pt;mso-wrap-style:square;z-index:10481424;mso-wrap-distance-left:9pt;mso-wrap-distance-top:0pt;mso-wrap-distance-right:9pt;mso-wrap-distance-bottom:0pt" id="shape10715" o:spid="1618382360186" stroked="f" filled="t" fillcolor="#000000"/>
            </w:pict>
          </mc:Fallback>
        </mc:AlternateContent>
      </w:r>
      <w:r>
        <mc:AlternateContent>
          <mc:Choice Requires="wps">
            <w:drawing>
              <wp:anchor distT="0" distB="0" distL="114300" distR="114300" simplePos="false" relativeHeight="10483472" behindDoc="false" locked="false" layoutInCell="true" allowOverlap="true">
                <wp:simplePos x="0" y="0"/>
                <wp:positionH relativeFrom="page">
                  <wp:posOffset>1066800</wp:posOffset>
                </wp:positionH>
                <wp:positionV relativeFrom="page">
                  <wp:posOffset>9131300</wp:posOffset>
                </wp:positionV>
                <wp:extent cx="12700" cy="406400"/>
                <wp:effectExtent l="0" t="0" r="22225" b="31115"/>
                <wp:wrapNone/>
                <wp:docPr id="10705" name="shape10705"/>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84pt;margin-top:719pt;mso-wrap-style:square;z-index:10483472;mso-wrap-distance-left:9pt;mso-wrap-distance-top:0pt;mso-wrap-distance-right:9pt;mso-wrap-distance-bottom:0pt" id="shape10705" o:spid="1618382360186" stroked="f" filled="t" fillcolor="#000000"/>
            </w:pict>
          </mc:Fallback>
        </mc:AlternateContent>
      </w:r>
      <w:r>
        <mc:AlternateContent>
          <mc:Choice Requires="wps">
            <w:drawing>
              <wp:anchor distT="0" distB="0" distL="114300" distR="114300" simplePos="false" relativeHeight="10466064" behindDoc="false" locked="false" layoutInCell="true" allowOverlap="true">
                <wp:simplePos x="0" y="0"/>
                <wp:positionH relativeFrom="page">
                  <wp:posOffset>1066800</wp:posOffset>
                </wp:positionH>
                <wp:positionV relativeFrom="page">
                  <wp:posOffset>9118600</wp:posOffset>
                </wp:positionV>
                <wp:extent cx="622300" cy="25400"/>
                <wp:effectExtent l="0" t="0" r="22225" b="31115"/>
                <wp:wrapNone/>
                <wp:docPr id="10700" name="shape10700"/>
                <wp:cNvGraphicFramePr/>
                <a:graphic>
                  <a:graphicData uri="http://schemas.microsoft.com/office/word/2010/wordprocessingShape">
                    <wps:wsp>
                      <wps:cNvSpPr/>
                      <wps:spPr>
                        <a:xfrm>
                          <a:off x="0" y="0"/>
                          <a:ext cx="6223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9pt;height:2pt;margin-left:84pt;margin-top:718pt;mso-wrap-style:square;z-index:10466064;mso-wrap-distance-left:9pt;mso-wrap-distance-top:0pt;mso-wrap-distance-right:9pt;mso-wrap-distance-bottom:0pt" id="shape10700" o:spid="1618382360187" stroked="f" filled="t" fillcolor="#000000"/>
            </w:pict>
          </mc:Fallback>
        </mc:AlternateContent>
      </w:r>
      <w:r>
        <mc:AlternateContent>
          <mc:Choice Requires="wps">
            <w:drawing>
              <wp:anchor distT="0" distB="0" distL="114300" distR="114300" simplePos="false" relativeHeight="10467088" behindDoc="false" locked="false" layoutInCell="true" allowOverlap="true">
                <wp:simplePos x="0" y="0"/>
                <wp:positionH relativeFrom="page">
                  <wp:posOffset>1676400</wp:posOffset>
                </wp:positionH>
                <wp:positionV relativeFrom="page">
                  <wp:posOffset>9118600</wp:posOffset>
                </wp:positionV>
                <wp:extent cx="825500" cy="25400"/>
                <wp:effectExtent l="0" t="0" r="22225" b="31115"/>
                <wp:wrapNone/>
                <wp:docPr id="10701" name="shape10701"/>
                <wp:cNvGraphicFramePr/>
                <a:graphic>
                  <a:graphicData uri="http://schemas.microsoft.com/office/word/2010/wordprocessingShape">
                    <wps:wsp>
                      <wps:cNvSpPr/>
                      <wps:spPr>
                        <a:xfrm>
                          <a:off x="0" y="0"/>
                          <a:ext cx="8255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2pt;margin-left:132pt;margin-top:718pt;mso-wrap-style:square;z-index:10467088;mso-wrap-distance-left:9pt;mso-wrap-distance-top:0pt;mso-wrap-distance-right:9pt;mso-wrap-distance-bottom:0pt" id="shape10701" o:spid="1618382360187" stroked="f" filled="t" fillcolor="#000000"/>
            </w:pict>
          </mc:Fallback>
        </mc:AlternateContent>
      </w:r>
      <w:r>
        <mc:AlternateContent>
          <mc:Choice Requires="wps">
            <w:drawing>
              <wp:anchor distT="0" distB="0" distL="114300" distR="114300" simplePos="false" relativeHeight="10468112" behindDoc="false" locked="false" layoutInCell="true" allowOverlap="true">
                <wp:simplePos x="0" y="0"/>
                <wp:positionH relativeFrom="page">
                  <wp:posOffset>2489200</wp:posOffset>
                </wp:positionH>
                <wp:positionV relativeFrom="page">
                  <wp:posOffset>9118600</wp:posOffset>
                </wp:positionV>
                <wp:extent cx="2260600" cy="25400"/>
                <wp:effectExtent l="0" t="0" r="22225" b="31115"/>
                <wp:wrapNone/>
                <wp:docPr id="10702" name="shape10702"/>
                <wp:cNvGraphicFramePr/>
                <a:graphic>
                  <a:graphicData uri="http://schemas.microsoft.com/office/word/2010/wordprocessingShape">
                    <wps:wsp>
                      <wps:cNvSpPr/>
                      <wps:spPr>
                        <a:xfrm>
                          <a:off x="0" y="0"/>
                          <a:ext cx="22606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78pt;height:2pt;margin-left:196pt;margin-top:718pt;mso-wrap-style:square;z-index:10468112;mso-wrap-distance-left:9pt;mso-wrap-distance-top:0pt;mso-wrap-distance-right:9pt;mso-wrap-distance-bottom:0pt" id="shape10702" o:spid="1618382360187" stroked="f" filled="t" fillcolor="#000000"/>
            </w:pict>
          </mc:Fallback>
        </mc:AlternateContent>
      </w:r>
      <w:r>
        <mc:AlternateContent>
          <mc:Choice Requires="wps">
            <w:drawing>
              <wp:anchor distT="0" distB="0" distL="114300" distR="114300" simplePos="false" relativeHeight="10469136" behindDoc="false" locked="false" layoutInCell="true" allowOverlap="true">
                <wp:simplePos x="0" y="0"/>
                <wp:positionH relativeFrom="page">
                  <wp:posOffset>4737100</wp:posOffset>
                </wp:positionH>
                <wp:positionV relativeFrom="page">
                  <wp:posOffset>9118600</wp:posOffset>
                </wp:positionV>
                <wp:extent cx="825500" cy="25400"/>
                <wp:effectExtent l="0" t="0" r="22225" b="31115"/>
                <wp:wrapNone/>
                <wp:docPr id="10703" name="shape10703"/>
                <wp:cNvGraphicFramePr/>
                <a:graphic>
                  <a:graphicData uri="http://schemas.microsoft.com/office/word/2010/wordprocessingShape">
                    <wps:wsp>
                      <wps:cNvSpPr/>
                      <wps:spPr>
                        <a:xfrm>
                          <a:off x="0" y="0"/>
                          <a:ext cx="8255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2pt;margin-left:373pt;margin-top:718pt;mso-wrap-style:square;z-index:10469136;mso-wrap-distance-left:9pt;mso-wrap-distance-top:0pt;mso-wrap-distance-right:9pt;mso-wrap-distance-bottom:0pt" id="shape10703" o:spid="1618382360188" stroked="f" filled="t" fillcolor="#000000"/>
            </w:pict>
          </mc:Fallback>
        </mc:AlternateContent>
      </w:r>
      <w:r>
        <mc:AlternateContent>
          <mc:Choice Requires="wps">
            <w:drawing>
              <wp:anchor distT="0" distB="0" distL="114300" distR="114300" simplePos="false" relativeHeight="10470160" behindDoc="false" locked="false" layoutInCell="true" allowOverlap="true">
                <wp:simplePos x="0" y="0"/>
                <wp:positionH relativeFrom="page">
                  <wp:posOffset>5549900</wp:posOffset>
                </wp:positionH>
                <wp:positionV relativeFrom="page">
                  <wp:posOffset>9118600</wp:posOffset>
                </wp:positionV>
                <wp:extent cx="939800" cy="25400"/>
                <wp:effectExtent l="0" t="0" r="22225" b="31115"/>
                <wp:wrapNone/>
                <wp:docPr id="10704" name="shape10704"/>
                <wp:cNvGraphicFramePr/>
                <a:graphic>
                  <a:graphicData uri="http://schemas.microsoft.com/office/word/2010/wordprocessingShape">
                    <wps:wsp>
                      <wps:cNvSpPr/>
                      <wps:spPr>
                        <a:xfrm>
                          <a:off x="0" y="0"/>
                          <a:ext cx="9398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4pt;height:2pt;margin-left:437pt;margin-top:718pt;mso-wrap-style:square;z-index:10470160;mso-wrap-distance-left:9pt;mso-wrap-distance-top:0pt;mso-wrap-distance-right:9pt;mso-wrap-distance-bottom:0pt" id="shape10704" o:spid="1618382360188" stroked="f" filled="t" fillcolor="#000000"/>
            </w:pict>
          </mc:Fallback>
        </mc:AlternateContent>
      </w:r>
      <w:r>
        <mc:AlternateContent>
          <mc:Choice Requires="wps">
            <w:drawing>
              <wp:anchor distT="0" distB="0" distL="114300" distR="114300" simplePos="false" relativeHeight="10472208" behindDoc="false" locked="false" layoutInCell="true" allowOverlap="true">
                <wp:simplePos x="0" y="0"/>
                <wp:positionH relativeFrom="page">
                  <wp:posOffset>1066800</wp:posOffset>
                </wp:positionH>
                <wp:positionV relativeFrom="page">
                  <wp:posOffset>9525000</wp:posOffset>
                </wp:positionV>
                <wp:extent cx="622300" cy="12700"/>
                <wp:effectExtent l="0" t="0" r="22225" b="31115"/>
                <wp:wrapNone/>
                <wp:docPr id="10706" name="shape10706"/>
                <wp:cNvGraphicFramePr/>
                <a:graphic>
                  <a:graphicData uri="http://schemas.microsoft.com/office/word/2010/wordprocessingShape">
                    <wps:wsp>
                      <wps:cNvSpPr/>
                      <wps:spPr>
                        <a:xfrm>
                          <a:off x="0" y="0"/>
                          <a:ext cx="6223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9pt;height:1pt;margin-left:84pt;margin-top:750pt;mso-wrap-style:square;z-index:10472208;mso-wrap-distance-left:9pt;mso-wrap-distance-top:0pt;mso-wrap-distance-right:9pt;mso-wrap-distance-bottom:0pt" id="shape10706" o:spid="1618382360188" stroked="f" filled="t" fillcolor="#000000"/>
            </w:pict>
          </mc:Fallback>
        </mc:AlternateContent>
      </w:r>
      <w:r>
        <mc:AlternateContent>
          <mc:Choice Requires="wps">
            <w:drawing>
              <wp:anchor distT="0" distB="0" distL="114300" distR="114300" simplePos="false" relativeHeight="10474256" behindDoc="false" locked="false" layoutInCell="true" allowOverlap="true">
                <wp:simplePos x="0" y="0"/>
                <wp:positionH relativeFrom="page">
                  <wp:posOffset>1676400</wp:posOffset>
                </wp:positionH>
                <wp:positionV relativeFrom="page">
                  <wp:posOffset>9525000</wp:posOffset>
                </wp:positionV>
                <wp:extent cx="825500" cy="12700"/>
                <wp:effectExtent l="0" t="0" r="22225" b="31115"/>
                <wp:wrapNone/>
                <wp:docPr id="10708" name="shape10708"/>
                <wp:cNvGraphicFramePr/>
                <a:graphic>
                  <a:graphicData uri="http://schemas.microsoft.com/office/word/2010/wordprocessingShape">
                    <wps:wsp>
                      <wps:cNvSpPr/>
                      <wps:spPr>
                        <a:xfrm>
                          <a:off x="0" y="0"/>
                          <a:ext cx="8255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1pt;margin-left:132pt;margin-top:750pt;mso-wrap-style:square;z-index:10474256;mso-wrap-distance-left:9pt;mso-wrap-distance-top:0pt;mso-wrap-distance-right:9pt;mso-wrap-distance-bottom:0pt" id="shape10708" o:spid="1618382360189" stroked="f" filled="t" fillcolor="#000000"/>
            </w:pict>
          </mc:Fallback>
        </mc:AlternateContent>
      </w:r>
      <w:r>
        <mc:AlternateContent>
          <mc:Choice Requires="wps">
            <w:drawing>
              <wp:anchor distT="0" distB="0" distL="114300" distR="114300" simplePos="false" relativeHeight="10476304" behindDoc="false" locked="false" layoutInCell="true" allowOverlap="true">
                <wp:simplePos x="0" y="0"/>
                <wp:positionH relativeFrom="page">
                  <wp:posOffset>2489200</wp:posOffset>
                </wp:positionH>
                <wp:positionV relativeFrom="page">
                  <wp:posOffset>9525000</wp:posOffset>
                </wp:positionV>
                <wp:extent cx="2260600" cy="12700"/>
                <wp:effectExtent l="0" t="0" r="22225" b="31115"/>
                <wp:wrapNone/>
                <wp:docPr id="10710" name="shape10710"/>
                <wp:cNvGraphicFramePr/>
                <a:graphic>
                  <a:graphicData uri="http://schemas.microsoft.com/office/word/2010/wordprocessingShape">
                    <wps:wsp>
                      <wps:cNvSpPr/>
                      <wps:spPr>
                        <a:xfrm>
                          <a:off x="0" y="0"/>
                          <a:ext cx="22606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78pt;height:1pt;margin-left:196pt;margin-top:750pt;mso-wrap-style:square;z-index:10476304;mso-wrap-distance-left:9pt;mso-wrap-distance-top:0pt;mso-wrap-distance-right:9pt;mso-wrap-distance-bottom:0pt" id="shape10710" o:spid="1618382360189" stroked="f" filled="t" fillcolor="#000000"/>
            </w:pict>
          </mc:Fallback>
        </mc:AlternateContent>
      </w:r>
      <w:r>
        <mc:AlternateContent>
          <mc:Choice Requires="wps">
            <w:drawing>
              <wp:anchor distT="0" distB="0" distL="114300" distR="114300" simplePos="false" relativeHeight="10478352" behindDoc="false" locked="false" layoutInCell="true" allowOverlap="true">
                <wp:simplePos x="0" y="0"/>
                <wp:positionH relativeFrom="page">
                  <wp:posOffset>4737100</wp:posOffset>
                </wp:positionH>
                <wp:positionV relativeFrom="page">
                  <wp:posOffset>9525000</wp:posOffset>
                </wp:positionV>
                <wp:extent cx="825500" cy="12700"/>
                <wp:effectExtent l="0" t="0" r="22225" b="31115"/>
                <wp:wrapNone/>
                <wp:docPr id="10712" name="shape10712"/>
                <wp:cNvGraphicFramePr/>
                <a:graphic>
                  <a:graphicData uri="http://schemas.microsoft.com/office/word/2010/wordprocessingShape">
                    <wps:wsp>
                      <wps:cNvSpPr/>
                      <wps:spPr>
                        <a:xfrm>
                          <a:off x="0" y="0"/>
                          <a:ext cx="8255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1pt;margin-left:373pt;margin-top:750pt;mso-wrap-style:square;z-index:10478352;mso-wrap-distance-left:9pt;mso-wrap-distance-top:0pt;mso-wrap-distance-right:9pt;mso-wrap-distance-bottom:0pt" id="shape10712" o:spid="1618382360189" stroked="f" filled="t" fillcolor="#000000"/>
            </w:pict>
          </mc:Fallback>
        </mc:AlternateContent>
      </w:r>
      <w:r>
        <mc:AlternateContent>
          <mc:Choice Requires="wps">
            <w:drawing>
              <wp:anchor distT="0" distB="0" distL="114300" distR="114300" simplePos="false" relativeHeight="10480400" behindDoc="false" locked="false" layoutInCell="true" allowOverlap="true">
                <wp:simplePos x="0" y="0"/>
                <wp:positionH relativeFrom="page">
                  <wp:posOffset>5549900</wp:posOffset>
                </wp:positionH>
                <wp:positionV relativeFrom="page">
                  <wp:posOffset>9525000</wp:posOffset>
                </wp:positionV>
                <wp:extent cx="939800" cy="12700"/>
                <wp:effectExtent l="0" t="0" r="22225" b="31115"/>
                <wp:wrapNone/>
                <wp:docPr id="10714" name="shape10714"/>
                <wp:cNvGraphicFramePr/>
                <a:graphic>
                  <a:graphicData uri="http://schemas.microsoft.com/office/word/2010/wordprocessingShape">
                    <wps:wsp>
                      <wps:cNvSpPr/>
                      <wps:spPr>
                        <a:xfrm>
                          <a:off x="0" y="0"/>
                          <a:ext cx="9398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4pt;height:1pt;margin-left:437pt;margin-top:750pt;mso-wrap-style:square;z-index:10480400;mso-wrap-distance-left:9pt;mso-wrap-distance-top:0pt;mso-wrap-distance-right:9pt;mso-wrap-distance-bottom:0pt" id="shape10714" o:spid="1618382360189" stroked="f" filled="t" fillcolor="#000000"/>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jc w:val="both"/>
      </w:pPr>
      <w:r>
        <w:rPr>
          <w:rFonts w:hint="eastAsia" w:ascii="宋体" w:hAnsi="宋体" w:eastAsia="宋体" w:cs="宋体"/>
          <w:sz w:val="24"/>
        </w:rPr>
        <w:t>其为公司工作而获得的个人基本报酬和为公司所做贡献的奖励构成</w:t>
      </w:r>
      <w:r>
        <w:rPr>
          <w:rFonts w:hint="eastAsia" w:ascii="宋体" w:hAnsi="宋体" w:eastAsia="宋体" w:cs="宋体"/>
          <w:sz w:val="10"/>
        </w:rPr>
        <w:t>。</w:t>
      </w:r>
      <w:r>
        <w:rPr>
          <w:rFonts w:hint="eastAsia" w:ascii="宋体" w:hAnsi="宋体" w:eastAsia="宋体" w:cs="宋体"/>
          <w:sz w:val="24"/>
        </w:rPr>
        <w:t>高级管理人员的薪酬由董事会决定</w:t>
      </w:r>
      <w:r>
        <w:rPr>
          <w:rFonts w:hint="eastAsia" w:ascii="宋体" w:hAnsi="宋体" w:eastAsia="宋体" w:cs="宋体"/>
          <w:sz w:val="10"/>
        </w:rPr>
        <w:t>，</w:t>
      </w:r>
      <w:r>
        <w:rPr>
          <w:rFonts w:hint="eastAsia" w:ascii="宋体" w:hAnsi="宋体" w:eastAsia="宋体" w:cs="宋体"/>
          <w:sz w:val="24"/>
        </w:rPr>
        <w:t>独立董事薪酬由股东大会审议决定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本公司董事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年度从本公司及关联企业领取薪酬情况如下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020" w:type="auto"/>
        <w:tblInd w:w="1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740"/>
        <w:gridCol w:w="1280"/>
        <w:gridCol w:w="3680"/>
        <w:gridCol w:w="1160"/>
        <w:gridCol w:w="2140"/>
      </w:tblGrid>
      <w:tr>
        <w:trPr>
          <w:trHeight w:val="800" w:hRule="exact"/>
        </w:trPr>
        <w:tc>
          <w:tcPr>
            <w:tcW w:w="740" w:type="dxa"/>
            <w:tcMar>
              <w:top w:w="0" w:type="dxa"/>
              <w:left w:w="0" w:type="dxa"/>
              <w:bottom w:w="0" w:type="dxa"/>
              <w:right w:w="0" w:type="dxa"/>
            </w:tcMar>
          </w:tcPr>
          <w:p>
            <w:pPr>
              <w:spacing w:before="280"/>
              <w:ind w:left="140"/>
            </w:pPr>
            <w:r>
              <w:rPr>
                <w:rFonts w:hint="eastAsia" w:ascii="宋体" w:hAnsi="宋体" w:eastAsia="宋体" w:cs="宋体"/>
                <w:b/>
                <w:sz w:val="21"/>
              </w:rPr>
              <w:t>序号</w:t>
            </w:r>
          </w:p>
        </w:tc>
        <w:tc>
          <w:tcPr>
            <w:tcW w:w="1280" w:type="dxa"/>
            <w:tcMar>
              <w:top w:w="0" w:type="dxa"/>
              <w:left w:w="0" w:type="dxa"/>
              <w:bottom w:w="0" w:type="dxa"/>
              <w:right w:w="0" w:type="dxa"/>
            </w:tcMar>
          </w:tcPr>
          <w:p>
            <w:pPr>
              <w:spacing w:before="280"/>
              <w:ind w:left="420"/>
            </w:pPr>
            <w:r>
              <w:rPr>
                <w:rFonts w:hint="eastAsia" w:ascii="宋体" w:hAnsi="宋体" w:eastAsia="宋体" w:cs="宋体"/>
                <w:b/>
                <w:sz w:val="21"/>
              </w:rPr>
              <w:t>姓名</w:t>
            </w:r>
          </w:p>
        </w:tc>
        <w:tc>
          <w:tcPr>
            <w:tcW w:w="3680" w:type="dxa"/>
            <w:tcMar>
              <w:top w:w="0" w:type="dxa"/>
              <w:left w:w="0" w:type="dxa"/>
              <w:bottom w:w="0" w:type="dxa"/>
              <w:right w:w="0" w:type="dxa"/>
            </w:tcMar>
          </w:tcPr>
          <w:p>
            <w:pPr>
              <w:spacing w:before="280"/>
              <w:ind w:left="1200"/>
            </w:pPr>
            <w:r>
              <w:rPr>
                <w:rFonts w:hint="eastAsia" w:ascii="宋体" w:hAnsi="宋体" w:eastAsia="宋体" w:cs="宋体"/>
                <w:b/>
                <w:sz w:val="21"/>
              </w:rPr>
              <w:t>在本公司任职</w:t>
            </w:r>
          </w:p>
        </w:tc>
        <w:tc>
          <w:tcPr>
            <w:tcW w:w="1160" w:type="dxa"/>
            <w:tcMar>
              <w:top w:w="0" w:type="dxa"/>
              <w:left w:w="0" w:type="dxa"/>
              <w:bottom w:w="0" w:type="dxa"/>
              <w:right w:w="0" w:type="dxa"/>
            </w:tcMar>
          </w:tcPr>
          <w:p>
            <w:pPr>
              <w:spacing w:before="140"/>
              <w:ind w:left="360"/>
            </w:pPr>
            <w:r>
              <w:rPr>
                <w:rFonts w:hint="eastAsia" w:ascii="宋体" w:hAnsi="宋体" w:eastAsia="宋体" w:cs="宋体"/>
                <w:b/>
                <w:sz w:val="21"/>
              </w:rPr>
              <w:t>薪酬</w:t>
            </w:r>
          </w:p>
          <w:p>
            <w:pPr>
              <w:spacing w:before="120"/>
              <w:ind w:left="140"/>
            </w:pPr>
            <w:r>
              <w:rPr>
                <w:rFonts w:hint="eastAsia" w:ascii="宋体" w:hAnsi="宋体" w:eastAsia="宋体" w:cs="宋体"/>
                <w:b/>
                <w:sz w:val="20"/>
              </w:rPr>
              <w:t>（</w:t>
            </w:r>
            <w:r>
              <w:rPr>
                <w:rFonts w:hint="eastAsia" w:ascii="宋体" w:hAnsi="宋体" w:eastAsia="宋体" w:cs="宋体"/>
                <w:b/>
                <w:sz w:val="21"/>
              </w:rPr>
              <w:t>万元</w:t>
            </w:r>
            <w:r>
              <w:rPr>
                <w:rFonts w:hint="eastAsia" w:ascii="宋体" w:hAnsi="宋体" w:eastAsia="宋体" w:cs="宋体"/>
                <w:b/>
                <w:sz w:val="20"/>
              </w:rPr>
              <w:t>）</w:t>
            </w:r>
          </w:p>
        </w:tc>
        <w:tc>
          <w:tcPr>
            <w:tcW w:w="2140" w:type="dxa"/>
            <w:tcMar>
              <w:top w:w="0" w:type="dxa"/>
              <w:left w:w="0" w:type="dxa"/>
              <w:bottom w:w="0" w:type="dxa"/>
              <w:right w:w="0" w:type="dxa"/>
            </w:tcMar>
          </w:tcPr>
          <w:p>
            <w:pPr>
              <w:spacing w:before="280"/>
              <w:ind w:left="640"/>
            </w:pPr>
            <w:r>
              <w:rPr>
                <w:rFonts w:hint="eastAsia" w:ascii="宋体" w:hAnsi="宋体" w:eastAsia="宋体" w:cs="宋体"/>
                <w:b/>
                <w:sz w:val="21"/>
              </w:rPr>
              <w:t>领薪单位</w:t>
            </w:r>
          </w:p>
        </w:tc>
      </w:tr>
      <w:tr>
        <w:trPr>
          <w:trHeight w:val="640" w:hRule="exact"/>
        </w:trPr>
        <w:tc>
          <w:tcPr>
            <w:tcW w:w="740" w:type="dxa"/>
            <w:tcMar>
              <w:top w:w="0" w:type="dxa"/>
              <w:left w:w="0" w:type="dxa"/>
              <w:bottom w:w="0" w:type="dxa"/>
              <w:right w:w="0" w:type="dxa"/>
            </w:tcMar>
          </w:tcPr>
          <w:p>
            <w:pPr>
              <w:spacing w:before="260"/>
              <w:ind w:left="300"/>
            </w:pPr>
            <w:r>
              <w:rPr>
                <w:rFonts w:hint="eastAsia" w:ascii="Times New Roman" w:hAnsi="Times New Roman" w:eastAsia="Times New Roman" w:cs="Times New Roman"/>
                <w:sz w:val="21"/>
              </w:rPr>
              <w:t>1</w:t>
            </w:r>
          </w:p>
        </w:tc>
        <w:tc>
          <w:tcPr>
            <w:tcW w:w="1280" w:type="dxa"/>
            <w:tcMar>
              <w:top w:w="0" w:type="dxa"/>
              <w:left w:w="0" w:type="dxa"/>
              <w:bottom w:w="0" w:type="dxa"/>
              <w:right w:w="0" w:type="dxa"/>
            </w:tcMar>
          </w:tcPr>
          <w:p>
            <w:pPr>
              <w:spacing w:before="200"/>
              <w:ind w:left="320"/>
            </w:pPr>
            <w:r>
              <w:rPr>
                <w:rFonts w:hint="eastAsia" w:ascii="宋体" w:hAnsi="宋体" w:eastAsia="宋体" w:cs="宋体"/>
                <w:sz w:val="21"/>
              </w:rPr>
              <w:t>严孟宇</w:t>
            </w:r>
          </w:p>
        </w:tc>
        <w:tc>
          <w:tcPr>
            <w:tcW w:w="3680" w:type="dxa"/>
            <w:tcMar>
              <w:top w:w="0" w:type="dxa"/>
              <w:left w:w="0" w:type="dxa"/>
              <w:bottom w:w="0" w:type="dxa"/>
              <w:right w:w="0" w:type="dxa"/>
            </w:tcMar>
          </w:tcPr>
          <w:p>
            <w:pPr>
              <w:spacing w:before="200"/>
              <w:ind w:left="1080"/>
            </w:pPr>
            <w:r>
              <w:rPr>
                <w:rFonts w:hint="eastAsia" w:ascii="宋体" w:hAnsi="宋体" w:eastAsia="宋体" w:cs="宋体"/>
                <w:sz w:val="21"/>
              </w:rPr>
              <w:t>董事长</w:t>
            </w:r>
            <w:r>
              <w:rPr>
                <w:rFonts w:hint="eastAsia" w:ascii="宋体" w:hAnsi="宋体" w:eastAsia="宋体" w:cs="宋体"/>
                <w:sz w:val="10"/>
              </w:rPr>
              <w:t>、</w:t>
            </w:r>
            <w:r>
              <w:rPr>
                <w:rFonts w:hint="eastAsia" w:ascii="宋体" w:hAnsi="宋体" w:eastAsia="宋体" w:cs="宋体"/>
                <w:sz w:val="21"/>
              </w:rPr>
              <w:t>总经理</w:t>
            </w:r>
          </w:p>
        </w:tc>
        <w:tc>
          <w:tcPr>
            <w:tcW w:w="1160" w:type="dxa"/>
            <w:tcMar>
              <w:top w:w="0" w:type="dxa"/>
              <w:left w:w="0" w:type="dxa"/>
              <w:bottom w:w="0" w:type="dxa"/>
              <w:right w:w="0" w:type="dxa"/>
            </w:tcMar>
          </w:tcPr>
          <w:p>
            <w:pPr>
              <w:spacing w:before="260"/>
              <w:ind w:left="320"/>
            </w:pP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140" w:type="dxa"/>
            <w:tcMar>
              <w:top w:w="0" w:type="dxa"/>
              <w:left w:w="0" w:type="dxa"/>
              <w:bottom w:w="0" w:type="dxa"/>
              <w:right w:w="0" w:type="dxa"/>
            </w:tcMar>
          </w:tcPr>
          <w:p>
            <w:pPr>
              <w:spacing w:before="200"/>
              <w:ind w:left="640"/>
            </w:pPr>
            <w:r>
              <w:rPr>
                <w:rFonts w:hint="eastAsia" w:ascii="宋体" w:hAnsi="宋体" w:eastAsia="宋体" w:cs="宋体"/>
                <w:sz w:val="21"/>
              </w:rPr>
              <w:t>顶点软件</w:t>
            </w:r>
          </w:p>
        </w:tc>
      </w:tr>
      <w:tr>
        <w:trPr>
          <w:trHeight w:val="900" w:hRule="exact"/>
        </w:trPr>
        <w:tc>
          <w:tcPr>
            <w:tcW w:w="740" w:type="dxa"/>
            <w:tcMar>
              <w:top w:w="0" w:type="dxa"/>
              <w:left w:w="0" w:type="dxa"/>
              <w:bottom w:w="0" w:type="dxa"/>
              <w:right w:w="0" w:type="dxa"/>
            </w:tcMar>
          </w:tcPr>
          <w:p>
            <w:pPr>
              <w:spacing w:before="340"/>
              <w:ind w:left="300"/>
            </w:pPr>
            <w:r>
              <w:rPr>
                <w:rFonts w:hint="eastAsia" w:ascii="Times New Roman" w:hAnsi="Times New Roman" w:eastAsia="Times New Roman" w:cs="Times New Roman"/>
                <w:sz w:val="21"/>
              </w:rPr>
              <w:t>2</w:t>
            </w:r>
          </w:p>
        </w:tc>
        <w:tc>
          <w:tcPr>
            <w:tcW w:w="1280" w:type="dxa"/>
            <w:tcMar>
              <w:top w:w="0" w:type="dxa"/>
              <w:left w:w="0" w:type="dxa"/>
              <w:bottom w:w="0" w:type="dxa"/>
              <w:right w:w="0" w:type="dxa"/>
            </w:tcMar>
          </w:tcPr>
          <w:p>
            <w:pPr>
              <w:spacing w:before="280"/>
              <w:ind w:left="420"/>
            </w:pPr>
            <w:r>
              <w:rPr>
                <w:rFonts w:hint="eastAsia" w:ascii="宋体" w:hAnsi="宋体" w:eastAsia="宋体" w:cs="宋体"/>
                <w:sz w:val="21"/>
              </w:rPr>
              <w:t>赵伟</w:t>
            </w:r>
          </w:p>
        </w:tc>
        <w:tc>
          <w:tcPr>
            <w:tcW w:w="3680" w:type="dxa"/>
            <w:tcMar>
              <w:top w:w="0" w:type="dxa"/>
              <w:left w:w="0" w:type="dxa"/>
              <w:bottom w:w="0" w:type="dxa"/>
              <w:right w:w="0" w:type="dxa"/>
            </w:tcMar>
          </w:tcPr>
          <w:p>
            <w:pPr>
              <w:spacing w:before="140"/>
              <w:ind w:left="140"/>
            </w:pPr>
            <w:r>
              <w:rPr>
                <w:rFonts w:hint="eastAsia" w:ascii="宋体" w:hAnsi="宋体" w:eastAsia="宋体" w:cs="宋体"/>
                <w:sz w:val="21"/>
              </w:rPr>
              <w:t>董事</w:t>
            </w:r>
            <w:r>
              <w:rPr>
                <w:rFonts w:hint="eastAsia" w:ascii="宋体" w:hAnsi="宋体" w:eastAsia="宋体" w:cs="宋体"/>
                <w:sz w:val="10"/>
              </w:rPr>
              <w:t>、</w:t>
            </w:r>
            <w:r>
              <w:rPr>
                <w:rFonts w:hint="eastAsia" w:ascii="宋体" w:hAnsi="宋体" w:eastAsia="宋体" w:cs="宋体"/>
                <w:sz w:val="21"/>
              </w:rPr>
              <w:t>副总经理</w:t>
            </w:r>
            <w:r>
              <w:rPr>
                <w:rFonts w:hint="eastAsia" w:ascii="宋体" w:hAnsi="宋体" w:eastAsia="宋体" w:cs="宋体"/>
                <w:sz w:val="10"/>
              </w:rPr>
              <w:t>、</w:t>
            </w:r>
            <w:r>
              <w:rPr>
                <w:rFonts w:hint="eastAsia" w:ascii="宋体" w:hAnsi="宋体" w:eastAsia="宋体" w:cs="宋体"/>
                <w:sz w:val="21"/>
              </w:rPr>
              <w:t>财务总监</w:t>
            </w:r>
            <w:r>
              <w:rPr>
                <w:rFonts w:hint="eastAsia" w:ascii="宋体" w:hAnsi="宋体" w:eastAsia="宋体" w:cs="宋体"/>
                <w:sz w:val="10"/>
              </w:rPr>
              <w:t>、</w:t>
            </w:r>
            <w:r>
              <w:rPr>
                <w:rFonts w:hint="eastAsia" w:ascii="宋体" w:hAnsi="宋体" w:eastAsia="宋体" w:cs="宋体"/>
                <w:sz w:val="21"/>
              </w:rPr>
              <w:t>董事会</w:t>
            </w:r>
          </w:p>
          <w:p>
            <w:pPr>
              <w:spacing w:before="100"/>
              <w:ind w:left="1620"/>
            </w:pPr>
            <w:r>
              <w:rPr>
                <w:rFonts w:hint="eastAsia" w:ascii="宋体" w:hAnsi="宋体" w:eastAsia="宋体" w:cs="宋体"/>
                <w:sz w:val="21"/>
              </w:rPr>
              <w:t>秘书</w:t>
            </w:r>
          </w:p>
        </w:tc>
        <w:tc>
          <w:tcPr>
            <w:tcW w:w="1160" w:type="dxa"/>
            <w:tcMar>
              <w:top w:w="0" w:type="dxa"/>
              <w:left w:w="0" w:type="dxa"/>
              <w:bottom w:w="0" w:type="dxa"/>
              <w:right w:w="0" w:type="dxa"/>
            </w:tcMar>
          </w:tcPr>
          <w:p>
            <w:pPr>
              <w:spacing w:before="340"/>
              <w:ind w:left="320"/>
            </w:pPr>
            <w:r>
              <w:rPr>
                <w:rFonts w:hint="eastAsia" w:ascii="Times New Roman" w:hAnsi="Times New Roman" w:eastAsia="Times New Roman" w:cs="Times New Roman"/>
                <w:sz w:val="21"/>
              </w:rPr>
              <w:t>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p>
        </w:tc>
        <w:tc>
          <w:tcPr>
            <w:tcW w:w="2140" w:type="dxa"/>
            <w:tcMar>
              <w:top w:w="0" w:type="dxa"/>
              <w:left w:w="0" w:type="dxa"/>
              <w:bottom w:w="0" w:type="dxa"/>
              <w:right w:w="0" w:type="dxa"/>
            </w:tcMar>
          </w:tcPr>
          <w:p>
            <w:pPr>
              <w:spacing w:before="280"/>
              <w:ind w:left="640"/>
            </w:pPr>
            <w:r>
              <w:rPr>
                <w:rFonts w:hint="eastAsia" w:ascii="宋体" w:hAnsi="宋体" w:eastAsia="宋体" w:cs="宋体"/>
                <w:sz w:val="21"/>
              </w:rPr>
              <w:t>顶点软件</w:t>
            </w:r>
          </w:p>
        </w:tc>
      </w:tr>
      <w:tr>
        <w:trPr>
          <w:trHeight w:val="640" w:hRule="exact"/>
        </w:trPr>
        <w:tc>
          <w:tcPr>
            <w:tcW w:w="740" w:type="dxa"/>
            <w:tcMar>
              <w:top w:w="0" w:type="dxa"/>
              <w:left w:w="0" w:type="dxa"/>
              <w:bottom w:w="0" w:type="dxa"/>
              <w:right w:w="0" w:type="dxa"/>
            </w:tcMar>
          </w:tcPr>
          <w:p>
            <w:pPr>
              <w:spacing w:before="140"/>
              <w:ind w:left="300"/>
            </w:pPr>
            <w:r>
              <w:rPr>
                <w:rFonts w:hint="eastAsia" w:ascii="Times New Roman" w:hAnsi="Times New Roman" w:eastAsia="Times New Roman" w:cs="Times New Roman"/>
                <w:sz w:val="21"/>
              </w:rPr>
              <w:t>3</w:t>
            </w:r>
          </w:p>
        </w:tc>
        <w:tc>
          <w:tcPr>
            <w:tcW w:w="1280" w:type="dxa"/>
            <w:tcMar>
              <w:top w:w="0" w:type="dxa"/>
              <w:left w:w="0" w:type="dxa"/>
              <w:bottom w:w="0" w:type="dxa"/>
              <w:right w:w="0" w:type="dxa"/>
            </w:tcMar>
          </w:tcPr>
          <w:p>
            <w:pPr>
              <w:spacing w:before="120"/>
              <w:ind w:left="320"/>
            </w:pPr>
            <w:r>
              <w:rPr>
                <w:rFonts w:hint="eastAsia" w:ascii="宋体" w:hAnsi="宋体" w:eastAsia="宋体" w:cs="宋体"/>
                <w:sz w:val="21"/>
              </w:rPr>
              <w:t>雷世潘</w:t>
            </w:r>
          </w:p>
        </w:tc>
        <w:tc>
          <w:tcPr>
            <w:tcW w:w="3680" w:type="dxa"/>
            <w:tcMar>
              <w:top w:w="0" w:type="dxa"/>
              <w:left w:w="0" w:type="dxa"/>
              <w:bottom w:w="0" w:type="dxa"/>
              <w:right w:w="0" w:type="dxa"/>
            </w:tcMar>
          </w:tcPr>
          <w:p>
            <w:pPr>
              <w:spacing w:before="120"/>
              <w:ind w:left="1080"/>
            </w:pPr>
            <w:r>
              <w:rPr>
                <w:rFonts w:hint="eastAsia" w:ascii="宋体" w:hAnsi="宋体" w:eastAsia="宋体" w:cs="宋体"/>
                <w:sz w:val="21"/>
              </w:rPr>
              <w:t>董事</w:t>
            </w:r>
            <w:r>
              <w:rPr>
                <w:rFonts w:hint="eastAsia" w:ascii="宋体" w:hAnsi="宋体" w:eastAsia="宋体" w:cs="宋体"/>
                <w:sz w:val="10"/>
              </w:rPr>
              <w:t>、</w:t>
            </w:r>
            <w:r>
              <w:rPr>
                <w:rFonts w:hint="eastAsia" w:ascii="宋体" w:hAnsi="宋体" w:eastAsia="宋体" w:cs="宋体"/>
                <w:sz w:val="21"/>
              </w:rPr>
              <w:t>副总经理</w:t>
            </w:r>
          </w:p>
        </w:tc>
        <w:tc>
          <w:tcPr>
            <w:tcW w:w="116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p>
        </w:tc>
        <w:tc>
          <w:tcPr>
            <w:tcW w:w="2140" w:type="dxa"/>
            <w:tcMar>
              <w:top w:w="0" w:type="dxa"/>
              <w:left w:w="0" w:type="dxa"/>
              <w:bottom w:w="0" w:type="dxa"/>
              <w:right w:w="0" w:type="dxa"/>
            </w:tcMar>
          </w:tcPr>
          <w:p>
            <w:pPr>
              <w:spacing w:before="120"/>
              <w:ind w:left="640"/>
            </w:pPr>
            <w:r>
              <w:rPr>
                <w:rFonts w:hint="eastAsia" w:ascii="宋体" w:hAnsi="宋体" w:eastAsia="宋体" w:cs="宋体"/>
                <w:sz w:val="21"/>
              </w:rPr>
              <w:t>顶点软件</w:t>
            </w:r>
          </w:p>
        </w:tc>
      </w:tr>
      <w:tr>
        <w:trPr>
          <w:trHeight w:val="560" w:hRule="exact"/>
        </w:trPr>
        <w:tc>
          <w:tcPr>
            <w:tcW w:w="740" w:type="dxa"/>
            <w:tcMar>
              <w:top w:w="0" w:type="dxa"/>
              <w:left w:w="0" w:type="dxa"/>
              <w:bottom w:w="0" w:type="dxa"/>
              <w:right w:w="0" w:type="dxa"/>
            </w:tcMar>
          </w:tcPr>
          <w:p>
            <w:pPr>
              <w:spacing w:before="180"/>
              <w:ind w:left="300"/>
            </w:pPr>
            <w:r>
              <w:rPr>
                <w:rFonts w:hint="eastAsia" w:ascii="Times New Roman" w:hAnsi="Times New Roman" w:eastAsia="Times New Roman" w:cs="Times New Roman"/>
                <w:sz w:val="21"/>
              </w:rPr>
              <w:t>4</w:t>
            </w:r>
          </w:p>
        </w:tc>
        <w:tc>
          <w:tcPr>
            <w:tcW w:w="1280" w:type="dxa"/>
            <w:tcMar>
              <w:top w:w="0" w:type="dxa"/>
              <w:left w:w="0" w:type="dxa"/>
              <w:bottom w:w="0" w:type="dxa"/>
              <w:right w:w="0" w:type="dxa"/>
            </w:tcMar>
          </w:tcPr>
          <w:p>
            <w:pPr>
              <w:spacing w:before="120"/>
              <w:ind w:left="320"/>
            </w:pPr>
            <w:r>
              <w:rPr>
                <w:rFonts w:hint="eastAsia" w:ascii="宋体" w:hAnsi="宋体" w:eastAsia="宋体" w:cs="宋体"/>
                <w:sz w:val="21"/>
              </w:rPr>
              <w:t>黄义青</w:t>
            </w:r>
          </w:p>
        </w:tc>
        <w:tc>
          <w:tcPr>
            <w:tcW w:w="3680" w:type="dxa"/>
            <w:tcMar>
              <w:top w:w="0" w:type="dxa"/>
              <w:left w:w="0" w:type="dxa"/>
              <w:bottom w:w="0" w:type="dxa"/>
              <w:right w:w="0" w:type="dxa"/>
            </w:tcMar>
          </w:tcPr>
          <w:p>
            <w:pPr>
              <w:spacing w:before="120"/>
              <w:ind w:left="1080"/>
            </w:pPr>
            <w:r>
              <w:rPr>
                <w:rFonts w:hint="eastAsia" w:ascii="宋体" w:hAnsi="宋体" w:eastAsia="宋体" w:cs="宋体"/>
                <w:sz w:val="21"/>
              </w:rPr>
              <w:t>董事</w:t>
            </w:r>
            <w:r>
              <w:rPr>
                <w:rFonts w:hint="eastAsia" w:ascii="宋体" w:hAnsi="宋体" w:eastAsia="宋体" w:cs="宋体"/>
                <w:sz w:val="10"/>
              </w:rPr>
              <w:t>、</w:t>
            </w:r>
            <w:r>
              <w:rPr>
                <w:rFonts w:hint="eastAsia" w:ascii="宋体" w:hAnsi="宋体" w:eastAsia="宋体" w:cs="宋体"/>
                <w:sz w:val="21"/>
              </w:rPr>
              <w:t>市场总监</w:t>
            </w:r>
          </w:p>
        </w:tc>
        <w:tc>
          <w:tcPr>
            <w:tcW w:w="116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p>
        </w:tc>
        <w:tc>
          <w:tcPr>
            <w:tcW w:w="2140" w:type="dxa"/>
            <w:tcMar>
              <w:top w:w="0" w:type="dxa"/>
              <w:left w:w="0" w:type="dxa"/>
              <w:bottom w:w="0" w:type="dxa"/>
              <w:right w:w="0" w:type="dxa"/>
            </w:tcMar>
          </w:tcPr>
          <w:p>
            <w:pPr>
              <w:spacing w:before="120"/>
              <w:ind w:left="640"/>
            </w:pPr>
            <w:r>
              <w:rPr>
                <w:rFonts w:hint="eastAsia" w:ascii="宋体" w:hAnsi="宋体" w:eastAsia="宋体" w:cs="宋体"/>
                <w:sz w:val="21"/>
              </w:rPr>
              <w:t>顶点软件</w:t>
            </w:r>
          </w:p>
        </w:tc>
      </w:tr>
      <w:tr>
        <w:trPr>
          <w:trHeight w:val="640" w:hRule="exact"/>
        </w:trPr>
        <w:tc>
          <w:tcPr>
            <w:tcW w:w="740" w:type="dxa"/>
            <w:tcMar>
              <w:top w:w="0" w:type="dxa"/>
              <w:left w:w="0" w:type="dxa"/>
              <w:bottom w:w="0" w:type="dxa"/>
              <w:right w:w="0" w:type="dxa"/>
            </w:tcMar>
          </w:tcPr>
          <w:p>
            <w:pPr>
              <w:spacing w:before="260"/>
              <w:ind w:left="300"/>
            </w:pPr>
            <w:r>
              <w:rPr>
                <w:rFonts w:hint="eastAsia" w:ascii="Times New Roman" w:hAnsi="Times New Roman" w:eastAsia="Times New Roman" w:cs="Times New Roman"/>
                <w:sz w:val="21"/>
              </w:rPr>
              <w:t>5</w:t>
            </w:r>
          </w:p>
        </w:tc>
        <w:tc>
          <w:tcPr>
            <w:tcW w:w="1280" w:type="dxa"/>
            <w:tcMar>
              <w:top w:w="0" w:type="dxa"/>
              <w:left w:w="0" w:type="dxa"/>
              <w:bottom w:w="0" w:type="dxa"/>
              <w:right w:w="0" w:type="dxa"/>
            </w:tcMar>
          </w:tcPr>
          <w:p>
            <w:pPr>
              <w:spacing w:before="220"/>
              <w:ind w:left="420"/>
            </w:pPr>
            <w:r>
              <w:rPr>
                <w:rFonts w:hint="eastAsia" w:ascii="宋体" w:hAnsi="宋体" w:eastAsia="宋体" w:cs="宋体"/>
                <w:sz w:val="21"/>
              </w:rPr>
              <w:t>李军</w:t>
            </w:r>
          </w:p>
        </w:tc>
        <w:tc>
          <w:tcPr>
            <w:tcW w:w="3680" w:type="dxa"/>
            <w:tcMar>
              <w:top w:w="0" w:type="dxa"/>
              <w:left w:w="0" w:type="dxa"/>
              <w:bottom w:w="0" w:type="dxa"/>
              <w:right w:w="0" w:type="dxa"/>
            </w:tcMar>
          </w:tcPr>
          <w:p>
            <w:pPr>
              <w:spacing w:before="220"/>
              <w:ind w:left="1620"/>
            </w:pPr>
            <w:r>
              <w:rPr>
                <w:rFonts w:hint="eastAsia" w:ascii="宋体" w:hAnsi="宋体" w:eastAsia="宋体" w:cs="宋体"/>
                <w:sz w:val="21"/>
              </w:rPr>
              <w:t>董事</w:t>
            </w:r>
          </w:p>
        </w:tc>
        <w:tc>
          <w:tcPr>
            <w:tcW w:w="1160" w:type="dxa"/>
            <w:tcMar>
              <w:top w:w="0" w:type="dxa"/>
              <w:left w:w="0" w:type="dxa"/>
              <w:bottom w:w="0" w:type="dxa"/>
              <w:right w:w="0" w:type="dxa"/>
            </w:tcMar>
          </w:tcPr>
          <w:p>
            <w:pPr>
              <w:spacing w:before="380"/>
              <w:ind w:left="540"/>
            </w:pPr>
            <w:r>
              <w:rPr>
                <w:rFonts w:hint="eastAsia" w:ascii="Times New Roman" w:hAnsi="Times New Roman" w:eastAsia="Times New Roman" w:cs="Times New Roman"/>
                <w:sz w:val="21"/>
              </w:rPr>
              <w:t>-</w:t>
            </w:r>
          </w:p>
        </w:tc>
        <w:tc>
          <w:tcPr>
            <w:tcW w:w="2140" w:type="dxa"/>
            <w:tcMar>
              <w:top w:w="0" w:type="dxa"/>
              <w:left w:w="0" w:type="dxa"/>
              <w:bottom w:w="0" w:type="dxa"/>
              <w:right w:w="0" w:type="dxa"/>
            </w:tcMar>
          </w:tcPr>
          <w:p>
            <w:pPr>
              <w:spacing w:before="220"/>
              <w:ind w:left="320"/>
            </w:pPr>
            <w:r>
              <w:rPr>
                <w:rFonts w:hint="eastAsia" w:ascii="宋体" w:hAnsi="宋体" w:eastAsia="宋体" w:cs="宋体"/>
                <w:sz w:val="21"/>
              </w:rPr>
              <w:t>未在本公司领薪</w:t>
            </w:r>
          </w:p>
        </w:tc>
      </w:tr>
      <w:tr>
        <w:trPr>
          <w:trHeight w:val="740" w:hRule="exact"/>
        </w:trPr>
        <w:tc>
          <w:tcPr>
            <w:tcW w:w="740" w:type="dxa"/>
            <w:tcMar>
              <w:top w:w="0" w:type="dxa"/>
              <w:left w:w="0" w:type="dxa"/>
              <w:bottom w:w="0" w:type="dxa"/>
              <w:right w:w="0" w:type="dxa"/>
            </w:tcMar>
          </w:tcPr>
          <w:p>
            <w:pPr>
              <w:spacing w:before="260"/>
              <w:ind w:left="300"/>
            </w:pPr>
            <w:r>
              <w:rPr>
                <w:rFonts w:hint="eastAsia" w:ascii="Times New Roman" w:hAnsi="Times New Roman" w:eastAsia="Times New Roman" w:cs="Times New Roman"/>
                <w:sz w:val="21"/>
              </w:rPr>
              <w:t>6</w:t>
            </w:r>
          </w:p>
        </w:tc>
        <w:tc>
          <w:tcPr>
            <w:tcW w:w="1280" w:type="dxa"/>
            <w:tcMar>
              <w:top w:w="0" w:type="dxa"/>
              <w:left w:w="0" w:type="dxa"/>
              <w:bottom w:w="0" w:type="dxa"/>
              <w:right w:w="0" w:type="dxa"/>
            </w:tcMar>
          </w:tcPr>
          <w:p>
            <w:pPr>
              <w:spacing w:before="220"/>
              <w:ind w:left="420"/>
            </w:pPr>
            <w:r>
              <w:rPr>
                <w:rFonts w:hint="eastAsia" w:ascii="宋体" w:hAnsi="宋体" w:eastAsia="宋体" w:cs="宋体"/>
                <w:sz w:val="21"/>
              </w:rPr>
              <w:t>齐伟</w:t>
            </w:r>
          </w:p>
        </w:tc>
        <w:tc>
          <w:tcPr>
            <w:tcW w:w="3680" w:type="dxa"/>
            <w:tcMar>
              <w:top w:w="0" w:type="dxa"/>
              <w:left w:w="0" w:type="dxa"/>
              <w:bottom w:w="0" w:type="dxa"/>
              <w:right w:w="0" w:type="dxa"/>
            </w:tcMar>
          </w:tcPr>
          <w:p>
            <w:pPr>
              <w:spacing w:before="220"/>
              <w:ind w:left="1400"/>
            </w:pPr>
            <w:r>
              <w:rPr>
                <w:rFonts w:hint="eastAsia" w:ascii="宋体" w:hAnsi="宋体" w:eastAsia="宋体" w:cs="宋体"/>
                <w:sz w:val="21"/>
              </w:rPr>
              <w:t>独立董事</w:t>
            </w:r>
          </w:p>
        </w:tc>
        <w:tc>
          <w:tcPr>
            <w:tcW w:w="1160" w:type="dxa"/>
            <w:tcMar>
              <w:top w:w="0" w:type="dxa"/>
              <w:left w:w="0" w:type="dxa"/>
              <w:bottom w:w="0" w:type="dxa"/>
              <w:right w:w="0" w:type="dxa"/>
            </w:tcMar>
          </w:tcPr>
          <w:p>
            <w:pPr>
              <w:spacing w:before="260"/>
              <w:ind w:left="3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200"/>
              <w:ind w:left="640"/>
            </w:pPr>
            <w:r>
              <w:rPr>
                <w:rFonts w:hint="eastAsia" w:ascii="宋体" w:hAnsi="宋体" w:eastAsia="宋体" w:cs="宋体"/>
                <w:sz w:val="21"/>
              </w:rPr>
              <w:t>顶点软件</w:t>
            </w:r>
          </w:p>
        </w:tc>
      </w:tr>
      <w:tr>
        <w:trPr>
          <w:trHeight w:val="640" w:hRule="exact"/>
        </w:trPr>
        <w:tc>
          <w:tcPr>
            <w:tcW w:w="74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7</w:t>
            </w:r>
          </w:p>
        </w:tc>
        <w:tc>
          <w:tcPr>
            <w:tcW w:w="1280" w:type="dxa"/>
            <w:tcMar>
              <w:top w:w="0" w:type="dxa"/>
              <w:left w:w="0" w:type="dxa"/>
              <w:bottom w:w="0" w:type="dxa"/>
              <w:right w:w="0" w:type="dxa"/>
            </w:tcMar>
          </w:tcPr>
          <w:p>
            <w:pPr>
              <w:spacing w:before="120"/>
              <w:ind w:left="320"/>
            </w:pPr>
            <w:r>
              <w:rPr>
                <w:rFonts w:hint="eastAsia" w:ascii="宋体" w:hAnsi="宋体" w:eastAsia="宋体" w:cs="宋体"/>
                <w:sz w:val="21"/>
              </w:rPr>
              <w:t>叶东毅</w:t>
            </w:r>
          </w:p>
        </w:tc>
        <w:tc>
          <w:tcPr>
            <w:tcW w:w="3680" w:type="dxa"/>
            <w:tcMar>
              <w:top w:w="0" w:type="dxa"/>
              <w:left w:w="0" w:type="dxa"/>
              <w:bottom w:w="0" w:type="dxa"/>
              <w:right w:w="0" w:type="dxa"/>
            </w:tcMar>
          </w:tcPr>
          <w:p>
            <w:pPr>
              <w:spacing w:before="120"/>
              <w:ind w:left="1400"/>
            </w:pPr>
            <w:r>
              <w:rPr>
                <w:rFonts w:hint="eastAsia" w:ascii="宋体" w:hAnsi="宋体" w:eastAsia="宋体" w:cs="宋体"/>
                <w:sz w:val="21"/>
              </w:rPr>
              <w:t>独立董事</w:t>
            </w:r>
          </w:p>
        </w:tc>
        <w:tc>
          <w:tcPr>
            <w:tcW w:w="1160" w:type="dxa"/>
            <w:tcMar>
              <w:top w:w="0" w:type="dxa"/>
              <w:left w:w="0" w:type="dxa"/>
              <w:bottom w:w="0" w:type="dxa"/>
              <w:right w:w="0" w:type="dxa"/>
            </w:tcMar>
          </w:tcPr>
          <w:p>
            <w:pPr>
              <w:spacing w:before="140"/>
              <w:ind w:left="3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120"/>
              <w:ind w:left="640"/>
            </w:pPr>
            <w:r>
              <w:rPr>
                <w:rFonts w:hint="eastAsia" w:ascii="宋体" w:hAnsi="宋体" w:eastAsia="宋体" w:cs="宋体"/>
                <w:sz w:val="21"/>
              </w:rPr>
              <w:t>顶点软件</w:t>
            </w:r>
          </w:p>
        </w:tc>
      </w:tr>
      <w:tr>
        <w:trPr>
          <w:trHeight w:val="560" w:hRule="exact"/>
        </w:trPr>
        <w:tc>
          <w:tcPr>
            <w:tcW w:w="740" w:type="dxa"/>
            <w:tcMar>
              <w:top w:w="0" w:type="dxa"/>
              <w:left w:w="0" w:type="dxa"/>
              <w:bottom w:w="0" w:type="dxa"/>
              <w:right w:w="0" w:type="dxa"/>
            </w:tcMar>
          </w:tcPr>
          <w:p>
            <w:pPr>
              <w:spacing w:before="180"/>
              <w:ind w:left="300"/>
            </w:pPr>
            <w:r>
              <w:rPr>
                <w:rFonts w:hint="eastAsia" w:ascii="Times New Roman" w:hAnsi="Times New Roman" w:eastAsia="Times New Roman" w:cs="Times New Roman"/>
                <w:sz w:val="21"/>
              </w:rPr>
              <w:t>8</w:t>
            </w:r>
          </w:p>
        </w:tc>
        <w:tc>
          <w:tcPr>
            <w:tcW w:w="1280" w:type="dxa"/>
            <w:tcMar>
              <w:top w:w="0" w:type="dxa"/>
              <w:left w:w="0" w:type="dxa"/>
              <w:bottom w:w="0" w:type="dxa"/>
              <w:right w:w="0" w:type="dxa"/>
            </w:tcMar>
          </w:tcPr>
          <w:p>
            <w:pPr>
              <w:spacing w:before="120"/>
              <w:ind w:left="420"/>
            </w:pPr>
            <w:r>
              <w:rPr>
                <w:rFonts w:hint="eastAsia" w:ascii="宋体" w:hAnsi="宋体" w:eastAsia="宋体" w:cs="宋体"/>
                <w:sz w:val="21"/>
              </w:rPr>
              <w:t>徐青</w:t>
            </w:r>
          </w:p>
        </w:tc>
        <w:tc>
          <w:tcPr>
            <w:tcW w:w="3680" w:type="dxa"/>
            <w:tcMar>
              <w:top w:w="0" w:type="dxa"/>
              <w:left w:w="0" w:type="dxa"/>
              <w:bottom w:w="0" w:type="dxa"/>
              <w:right w:w="0" w:type="dxa"/>
            </w:tcMar>
          </w:tcPr>
          <w:p>
            <w:pPr>
              <w:spacing w:before="120"/>
              <w:ind w:left="1400"/>
            </w:pPr>
            <w:r>
              <w:rPr>
                <w:rFonts w:hint="eastAsia" w:ascii="宋体" w:hAnsi="宋体" w:eastAsia="宋体" w:cs="宋体"/>
                <w:sz w:val="21"/>
              </w:rPr>
              <w:t>独立董事</w:t>
            </w:r>
          </w:p>
        </w:tc>
        <w:tc>
          <w:tcPr>
            <w:tcW w:w="1160" w:type="dxa"/>
            <w:tcMar>
              <w:top w:w="0" w:type="dxa"/>
              <w:left w:w="0" w:type="dxa"/>
              <w:bottom w:w="0" w:type="dxa"/>
              <w:right w:w="0" w:type="dxa"/>
            </w:tcMar>
          </w:tcPr>
          <w:p>
            <w:pPr>
              <w:spacing w:before="180"/>
              <w:ind w:left="3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120"/>
              <w:ind w:left="640"/>
            </w:pPr>
            <w:r>
              <w:rPr>
                <w:rFonts w:hint="eastAsia" w:ascii="宋体" w:hAnsi="宋体" w:eastAsia="宋体" w:cs="宋体"/>
                <w:sz w:val="21"/>
              </w:rPr>
              <w:t>顶点软件</w:t>
            </w:r>
          </w:p>
        </w:tc>
      </w:tr>
      <w:tr>
        <w:trPr>
          <w:trHeight w:val="640" w:hRule="exact"/>
        </w:trPr>
        <w:tc>
          <w:tcPr>
            <w:tcW w:w="740" w:type="dxa"/>
            <w:tcMar>
              <w:top w:w="0" w:type="dxa"/>
              <w:left w:w="0" w:type="dxa"/>
              <w:bottom w:w="0" w:type="dxa"/>
              <w:right w:w="0" w:type="dxa"/>
            </w:tcMar>
          </w:tcPr>
          <w:p>
            <w:pPr>
              <w:spacing w:before="260"/>
              <w:ind w:left="300"/>
            </w:pPr>
            <w:r>
              <w:rPr>
                <w:rFonts w:hint="eastAsia" w:ascii="Times New Roman" w:hAnsi="Times New Roman" w:eastAsia="Times New Roman" w:cs="Times New Roman"/>
                <w:sz w:val="21"/>
              </w:rPr>
              <w:t>9</w:t>
            </w:r>
          </w:p>
        </w:tc>
        <w:tc>
          <w:tcPr>
            <w:tcW w:w="1280" w:type="dxa"/>
            <w:tcMar>
              <w:top w:w="0" w:type="dxa"/>
              <w:left w:w="0" w:type="dxa"/>
              <w:bottom w:w="0" w:type="dxa"/>
              <w:right w:w="0" w:type="dxa"/>
            </w:tcMar>
          </w:tcPr>
          <w:p>
            <w:pPr>
              <w:spacing w:before="220"/>
              <w:ind w:left="420"/>
            </w:pPr>
            <w:r>
              <w:rPr>
                <w:rFonts w:hint="eastAsia" w:ascii="宋体" w:hAnsi="宋体" w:eastAsia="宋体" w:cs="宋体"/>
                <w:sz w:val="21"/>
              </w:rPr>
              <w:t>欧永</w:t>
            </w:r>
          </w:p>
        </w:tc>
        <w:tc>
          <w:tcPr>
            <w:tcW w:w="3680" w:type="dxa"/>
            <w:tcMar>
              <w:top w:w="0" w:type="dxa"/>
              <w:left w:w="0" w:type="dxa"/>
              <w:bottom w:w="0" w:type="dxa"/>
              <w:right w:w="0" w:type="dxa"/>
            </w:tcMar>
          </w:tcPr>
          <w:p>
            <w:pPr>
              <w:spacing w:before="200"/>
              <w:ind w:left="200"/>
            </w:pPr>
            <w:r>
              <w:rPr>
                <w:rFonts w:hint="eastAsia" w:ascii="宋体" w:hAnsi="宋体" w:eastAsia="宋体" w:cs="宋体"/>
                <w:sz w:val="21"/>
              </w:rPr>
              <w:t>监事会主席</w:t>
            </w:r>
            <w:r>
              <w:rPr>
                <w:rFonts w:hint="eastAsia" w:ascii="宋体" w:hAnsi="宋体" w:eastAsia="宋体" w:cs="宋体"/>
                <w:sz w:val="10"/>
              </w:rPr>
              <w:t>、</w:t>
            </w:r>
            <w:r>
              <w:rPr>
                <w:rFonts w:hint="eastAsia" w:ascii="Times New Roman" w:hAnsi="Times New Roman" w:eastAsia="Times New Roman" w:cs="Times New Roman"/>
                <w:sz w:val="21"/>
              </w:rPr>
              <w:t>BPM</w:t>
            </w:r>
            <w:r>
              <w:rPr>
                <w:rFonts w:hint="eastAsia" w:ascii="宋体" w:hAnsi="宋体" w:eastAsia="宋体" w:cs="宋体"/>
                <w:sz w:val="21"/>
              </w:rPr>
              <w:t xml:space="preserve"> 发展事业部经理</w:t>
            </w:r>
          </w:p>
        </w:tc>
        <w:tc>
          <w:tcPr>
            <w:tcW w:w="1160" w:type="dxa"/>
            <w:tcMar>
              <w:top w:w="0" w:type="dxa"/>
              <w:left w:w="0" w:type="dxa"/>
              <w:bottom w:w="0" w:type="dxa"/>
              <w:right w:w="0" w:type="dxa"/>
            </w:tcMar>
          </w:tcPr>
          <w:p>
            <w:pPr>
              <w:spacing w:before="260"/>
              <w:ind w:left="320"/>
            </w:pP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140" w:type="dxa"/>
            <w:tcMar>
              <w:top w:w="0" w:type="dxa"/>
              <w:left w:w="0" w:type="dxa"/>
              <w:bottom w:w="0" w:type="dxa"/>
              <w:right w:w="0" w:type="dxa"/>
            </w:tcMar>
          </w:tcPr>
          <w:p>
            <w:pPr>
              <w:spacing w:before="220"/>
              <w:ind w:left="640"/>
            </w:pPr>
            <w:r>
              <w:rPr>
                <w:rFonts w:hint="eastAsia" w:ascii="宋体" w:hAnsi="宋体" w:eastAsia="宋体" w:cs="宋体"/>
                <w:sz w:val="21"/>
              </w:rPr>
              <w:t>顶点软件</w:t>
            </w:r>
          </w:p>
        </w:tc>
      </w:tr>
      <w:tr>
        <w:trPr>
          <w:trHeight w:val="740" w:hRule="exact"/>
        </w:trPr>
        <w:tc>
          <w:tcPr>
            <w:tcW w:w="740" w:type="dxa"/>
            <w:tcMar>
              <w:top w:w="0" w:type="dxa"/>
              <w:left w:w="0" w:type="dxa"/>
              <w:bottom w:w="0" w:type="dxa"/>
              <w:right w:w="0" w:type="dxa"/>
            </w:tcMar>
          </w:tcPr>
          <w:p>
            <w:pPr>
              <w:spacing w:before="260"/>
              <w:ind w:left="240"/>
            </w:pPr>
            <w:r>
              <w:rPr>
                <w:rFonts w:hint="eastAsia" w:ascii="Times New Roman" w:hAnsi="Times New Roman" w:eastAsia="Times New Roman" w:cs="Times New Roman"/>
                <w:sz w:val="21"/>
              </w:rPr>
              <w:t>10</w:t>
            </w:r>
          </w:p>
        </w:tc>
        <w:tc>
          <w:tcPr>
            <w:tcW w:w="1280" w:type="dxa"/>
            <w:tcMar>
              <w:top w:w="0" w:type="dxa"/>
              <w:left w:w="0" w:type="dxa"/>
              <w:bottom w:w="0" w:type="dxa"/>
              <w:right w:w="0" w:type="dxa"/>
            </w:tcMar>
          </w:tcPr>
          <w:p>
            <w:pPr>
              <w:spacing w:before="220"/>
              <w:ind w:left="320"/>
            </w:pPr>
            <w:r>
              <w:rPr>
                <w:rFonts w:hint="eastAsia" w:ascii="宋体" w:hAnsi="宋体" w:eastAsia="宋体" w:cs="宋体"/>
                <w:sz w:val="21"/>
              </w:rPr>
              <w:t>张家荣</w:t>
            </w:r>
          </w:p>
        </w:tc>
        <w:tc>
          <w:tcPr>
            <w:tcW w:w="3680" w:type="dxa"/>
            <w:tcMar>
              <w:top w:w="0" w:type="dxa"/>
              <w:left w:w="0" w:type="dxa"/>
              <w:bottom w:w="0" w:type="dxa"/>
              <w:right w:w="0" w:type="dxa"/>
            </w:tcMar>
          </w:tcPr>
          <w:p>
            <w:pPr>
              <w:spacing w:before="220"/>
              <w:ind w:left="1620"/>
            </w:pPr>
            <w:r>
              <w:rPr>
                <w:rFonts w:hint="eastAsia" w:ascii="宋体" w:hAnsi="宋体" w:eastAsia="宋体" w:cs="宋体"/>
                <w:sz w:val="21"/>
              </w:rPr>
              <w:t>监事</w:t>
            </w:r>
          </w:p>
        </w:tc>
        <w:tc>
          <w:tcPr>
            <w:tcW w:w="1160" w:type="dxa"/>
            <w:tcMar>
              <w:top w:w="0" w:type="dxa"/>
              <w:left w:w="0" w:type="dxa"/>
              <w:bottom w:w="0" w:type="dxa"/>
              <w:right w:w="0" w:type="dxa"/>
            </w:tcMar>
          </w:tcPr>
          <w:p>
            <w:pPr>
              <w:spacing w:before="400"/>
              <w:ind w:left="540"/>
            </w:pPr>
            <w:r>
              <w:rPr>
                <w:rFonts w:hint="eastAsia" w:ascii="Times New Roman" w:hAnsi="Times New Roman" w:eastAsia="Times New Roman" w:cs="Times New Roman"/>
                <w:sz w:val="21"/>
              </w:rPr>
              <w:t>-</w:t>
            </w:r>
          </w:p>
        </w:tc>
        <w:tc>
          <w:tcPr>
            <w:tcW w:w="2140" w:type="dxa"/>
            <w:tcMar>
              <w:top w:w="0" w:type="dxa"/>
              <w:left w:w="0" w:type="dxa"/>
              <w:bottom w:w="0" w:type="dxa"/>
              <w:right w:w="0" w:type="dxa"/>
            </w:tcMar>
          </w:tcPr>
          <w:p>
            <w:pPr>
              <w:spacing w:before="200"/>
              <w:ind w:left="320"/>
            </w:pPr>
            <w:r>
              <w:rPr>
                <w:rFonts w:hint="eastAsia" w:ascii="宋体" w:hAnsi="宋体" w:eastAsia="宋体" w:cs="宋体"/>
                <w:sz w:val="21"/>
              </w:rPr>
              <w:t>未在本公司领薪</w:t>
            </w:r>
          </w:p>
        </w:tc>
      </w:tr>
      <w:tr>
        <w:trPr>
          <w:trHeight w:val="560" w:hRule="exact"/>
        </w:trPr>
        <w:tc>
          <w:tcPr>
            <w:tcW w:w="74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11</w:t>
            </w:r>
          </w:p>
        </w:tc>
        <w:tc>
          <w:tcPr>
            <w:tcW w:w="1280" w:type="dxa"/>
            <w:tcMar>
              <w:top w:w="0" w:type="dxa"/>
              <w:left w:w="0" w:type="dxa"/>
              <w:bottom w:w="0" w:type="dxa"/>
              <w:right w:w="0" w:type="dxa"/>
            </w:tcMar>
          </w:tcPr>
          <w:p>
            <w:pPr>
              <w:spacing w:before="120"/>
              <w:ind w:left="320"/>
            </w:pPr>
            <w:r>
              <w:rPr>
                <w:rFonts w:hint="eastAsia" w:ascii="宋体" w:hAnsi="宋体" w:eastAsia="宋体" w:cs="宋体"/>
                <w:sz w:val="21"/>
              </w:rPr>
              <w:t>郑元通</w:t>
            </w:r>
          </w:p>
        </w:tc>
        <w:tc>
          <w:tcPr>
            <w:tcW w:w="3680" w:type="dxa"/>
            <w:tcMar>
              <w:top w:w="0" w:type="dxa"/>
              <w:left w:w="0" w:type="dxa"/>
              <w:bottom w:w="0" w:type="dxa"/>
              <w:right w:w="0" w:type="dxa"/>
            </w:tcMar>
          </w:tcPr>
          <w:p>
            <w:pPr>
              <w:spacing w:before="120"/>
              <w:ind w:left="360"/>
            </w:pPr>
            <w:r>
              <w:rPr>
                <w:rFonts w:hint="eastAsia" w:ascii="宋体" w:hAnsi="宋体" w:eastAsia="宋体" w:cs="宋体"/>
                <w:sz w:val="21"/>
              </w:rPr>
              <w:t>监事</w:t>
            </w:r>
            <w:r>
              <w:rPr>
                <w:rFonts w:hint="eastAsia" w:ascii="宋体" w:hAnsi="宋体" w:eastAsia="宋体" w:cs="宋体"/>
                <w:sz w:val="10"/>
              </w:rPr>
              <w:t>、</w:t>
            </w:r>
            <w:r>
              <w:rPr>
                <w:rFonts w:hint="eastAsia" w:ascii="宋体" w:hAnsi="宋体" w:eastAsia="宋体" w:cs="宋体"/>
                <w:sz w:val="21"/>
              </w:rPr>
              <w:t>金融证券事业部技术总监</w:t>
            </w:r>
          </w:p>
        </w:tc>
        <w:tc>
          <w:tcPr>
            <w:tcW w:w="116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2140" w:type="dxa"/>
            <w:tcMar>
              <w:top w:w="0" w:type="dxa"/>
              <w:left w:w="0" w:type="dxa"/>
              <w:bottom w:w="0" w:type="dxa"/>
              <w:right w:w="0" w:type="dxa"/>
            </w:tcMar>
          </w:tcPr>
          <w:p>
            <w:pPr>
              <w:spacing w:before="120"/>
              <w:ind w:left="640"/>
            </w:pPr>
            <w:r>
              <w:rPr>
                <w:rFonts w:hint="eastAsia" w:ascii="宋体" w:hAnsi="宋体" w:eastAsia="宋体" w:cs="宋体"/>
                <w:sz w:val="21"/>
              </w:rPr>
              <w:t>顶点软件</w:t>
            </w:r>
          </w:p>
        </w:tc>
      </w:tr>
    </w:tbl>
    <w:p>
      <w:pPr>
        <w:autoSpaceDE w:val="false"/>
        <w:autoSpaceDN w:val="false"/>
        <w:spacing w:line="400" w:lineRule="exact"/>
        <w:ind w:left="1800" w:right="1640" w:firstLine="480"/>
        <w:jc w:val="both"/>
      </w:pPr>
      <w:r>
        <w:rPr>
          <w:rFonts w:hint="eastAsia" w:ascii="宋体" w:hAnsi="宋体" w:eastAsia="宋体" w:cs="宋体"/>
          <w:sz w:val="24"/>
        </w:rPr>
        <w:t>上述董事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高级管理人员及核心技术人员除领取薪酬外</w:t>
      </w:r>
      <w:r>
        <w:rPr>
          <w:rFonts w:hint="eastAsia" w:ascii="宋体" w:hAnsi="宋体" w:eastAsia="宋体" w:cs="宋体"/>
          <w:sz w:val="10"/>
        </w:rPr>
        <w:t>，</w:t>
      </w:r>
      <w:r>
        <w:rPr>
          <w:rFonts w:hint="eastAsia" w:ascii="宋体" w:hAnsi="宋体" w:eastAsia="宋体" w:cs="宋体"/>
          <w:sz w:val="24"/>
        </w:rPr>
        <w:t>未在本公司及关联企业享受其他待遇和退休金计划等</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1800"/>
        <w:jc w:val="both"/>
      </w:pPr>
      <w:r>
        <w:rPr>
          <w:rFonts w:hint="eastAsia" w:ascii="ºÚÌå" w:hAnsi="ºÚÌå" w:eastAsia="ºÚÌå" w:cs="ºÚÌå"/>
          <w:sz w:val="30"/>
        </w:rPr>
        <w:t>五</w:t>
      </w:r>
      <w:r>
        <w:rPr>
          <w:rFonts w:hint="eastAsia" w:ascii="ºÚÌå" w:hAnsi="ºÚÌå" w:eastAsia="ºÚÌå" w:cs="ºÚÌå"/>
          <w:sz w:val="10"/>
        </w:rPr>
        <w:t>、</w:t>
      </w:r>
      <w:r>
        <w:rPr>
          <w:rFonts w:hint="eastAsia" w:ascii="ºÚÌå" w:hAnsi="ºÚÌå" w:eastAsia="ºÚÌå" w:cs="ºÚÌå"/>
          <w:sz w:val="30"/>
        </w:rPr>
        <w:t>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高级管理人员及核心技术人员的兼职情况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本公司董事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高级管理人员及核心技术人员的兼职情况如下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5260"/>
          <w:tab w:val="left" w:pos="7680"/>
        </w:tabs>
        <w:autoSpaceDE w:val="false"/>
        <w:autoSpaceDN w:val="false"/>
        <w:spacing w:line="300" w:lineRule="exact"/>
        <w:ind w:left="1960"/>
        <w:jc w:val="both"/>
      </w:pPr>
      <w:r>
        <w:rPr>
          <w:rFonts w:hint="eastAsia" w:ascii="宋体" w:hAnsi="宋体" w:eastAsia="宋体" w:cs="宋体"/>
          <w:b/>
          <w:sz w:val="21"/>
        </w:rPr>
        <w:t>姓名 本公司任职</w:t>
      </w:r>
      <w:r>
        <w:tab/>
      </w:r>
      <w:r>
        <w:rPr>
          <w:rFonts w:hint="eastAsia" w:ascii="宋体" w:hAnsi="宋体" w:eastAsia="宋体" w:cs="宋体"/>
          <w:b/>
          <w:sz w:val="21"/>
        </w:rPr>
        <w:t>兼职单位</w:t>
      </w:r>
      <w:r>
        <w:tab/>
      </w:r>
      <w:r>
        <w:rPr>
          <w:rFonts w:hint="eastAsia" w:ascii="宋体" w:hAnsi="宋体" w:eastAsia="宋体" w:cs="宋体"/>
          <w:b/>
          <w:sz w:val="21"/>
        </w:rPr>
        <w:t>兼职职务</w:t>
      </w:r>
      <w:r>
        <w:rPr>
          <w:rFonts w:hint="eastAsia" w:ascii="宋体" w:hAnsi="宋体" w:eastAsia="宋体" w:cs="宋体"/>
          <w:b/>
          <w:spacing w:val="-100"/>
          <w:sz w:val="21"/>
        </w:rPr>
        <w:t xml:space="preserve"> 兼</w:t>
      </w:r>
      <w:r>
        <w:rPr>
          <w:rFonts w:hint="eastAsia" w:ascii="宋体" w:hAnsi="宋体" w:eastAsia="宋体" w:cs="宋体"/>
          <w:b/>
          <w:sz w:val="21"/>
        </w:rPr>
        <w:t>本</w:t>
      </w:r>
      <w:r>
        <w:rPr>
          <w:rFonts w:hint="eastAsia" w:ascii="宋体" w:hAnsi="宋体" w:eastAsia="宋体" w:cs="宋体"/>
          <w:b/>
          <w:spacing w:val="-100"/>
          <w:sz w:val="21"/>
        </w:rPr>
        <w:t>职</w:t>
      </w:r>
      <w:r>
        <w:rPr>
          <w:rFonts w:hint="eastAsia" w:ascii="宋体" w:hAnsi="宋体" w:eastAsia="宋体" w:cs="宋体"/>
          <w:b/>
          <w:sz w:val="21"/>
        </w:rPr>
        <w:t>公</w:t>
      </w:r>
      <w:r>
        <w:rPr>
          <w:rFonts w:hint="eastAsia" w:ascii="宋体" w:hAnsi="宋体" w:eastAsia="宋体" w:cs="宋体"/>
          <w:b/>
          <w:spacing w:val="-100"/>
          <w:sz w:val="21"/>
        </w:rPr>
        <w:t>单</w:t>
      </w:r>
      <w:r>
        <w:rPr>
          <w:rFonts w:hint="eastAsia" w:ascii="宋体" w:hAnsi="宋体" w:eastAsia="宋体" w:cs="宋体"/>
          <w:b/>
          <w:sz w:val="21"/>
        </w:rPr>
        <w:t>司</w:t>
      </w:r>
      <w:r>
        <w:rPr>
          <w:rFonts w:hint="eastAsia" w:ascii="宋体" w:hAnsi="宋体" w:eastAsia="宋体" w:cs="宋体"/>
          <w:b/>
          <w:spacing w:val="-100"/>
          <w:sz w:val="21"/>
        </w:rPr>
        <w:t>位</w:t>
      </w:r>
      <w:r>
        <w:rPr>
          <w:rFonts w:hint="eastAsia" w:ascii="宋体" w:hAnsi="宋体" w:eastAsia="宋体" w:cs="宋体"/>
          <w:b/>
          <w:sz w:val="21"/>
        </w:rPr>
        <w:t>关</w:t>
      </w:r>
      <w:r>
        <w:rPr>
          <w:rFonts w:hint="eastAsia" w:ascii="宋体" w:hAnsi="宋体" w:eastAsia="宋体" w:cs="宋体"/>
          <w:b/>
          <w:spacing w:val="-100"/>
          <w:sz w:val="21"/>
        </w:rPr>
        <w:t>与</w:t>
      </w:r>
      <w:r>
        <w:rPr>
          <w:rFonts w:hint="eastAsia" w:ascii="宋体" w:hAnsi="宋体" w:eastAsia="宋体" w:cs="宋体"/>
          <w:b/>
          <w:sz w:val="21"/>
        </w:rPr>
        <w:t>系</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1-1-194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324752" behindDoc="false" locked="false" layoutInCell="true" allowOverlap="true">
                <wp:simplePos x="0" y="0"/>
                <wp:positionH relativeFrom="page">
                  <wp:posOffset>1079500</wp:posOffset>
                </wp:positionH>
                <wp:positionV relativeFrom="page">
                  <wp:posOffset>8089900</wp:posOffset>
                </wp:positionV>
                <wp:extent cx="508000" cy="228600"/>
                <wp:effectExtent l="0" t="0" r="22225" b="31115"/>
                <wp:wrapNone/>
                <wp:docPr id="10787" name="shape10787"/>
                <wp:cNvGraphicFramePr/>
                <a:graphic>
                  <a:graphicData uri="http://schemas.microsoft.com/office/word/2010/wordprocessingShape">
                    <wps:wsp>
                      <wps:cNvSpPr/>
                      <wps:spPr>
                        <a:xfrm>
                          <a:off x="0" y="0"/>
                          <a:ext cx="508000" cy="228600"/>
                        </a:xfrm>
                        <a:prstGeom prst="rect">
                          <a:avLst/>
                        </a:prstGeom>
                      </wps:spPr>
                      <wps:txbx>
                        <w:txbxContent>
                          <w:p>
                            <w:pPr>
                              <w:spacing w:line="-260" w:lineRule="exact"/>
                              <w:ind w:left="0"/>
                              <w:jc w:val="both"/>
                            </w:pPr>
                            <w:r>
                              <w:rPr>
                                <w:rFonts w:hint="eastAsia" w:ascii="ºÚÌå" w:hAnsi="ºÚÌå" w:eastAsia="ºÚÌå" w:cs="ºÚÌå"/>
                                <w:sz w:val="30"/>
                              </w:rPr>
                              <w:t>况</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0pt;height:18pt;margin-left:85pt;margin-top:637pt;mso-wrap-style:none;z-index:10324752;mso-wrap-distance-left:9pt;mso-wrap-distance-top:0pt;mso-wrap-distance-right:9pt;mso-wrap-distance-bottom:0pt" id="shape10787" o:spid="1618382360194" stroked="f">
                <v:textbox>
                  <w:txbxContent>
                    <w:p>
                      <w:pPr>
                        <w:spacing w:line="-260" w:lineRule="exact"/>
                        <w:ind w:left="0"/>
                        <w:jc w:val="both"/>
                      </w:pPr>
                      <w:r>
                        <w:rPr>
                          <w:rFonts w:hint="eastAsia" w:ascii="ºÚÌå" w:hAnsi="ºÚÌå" w:eastAsia="ºÚÌå" w:cs="ºÚÌå"/>
                          <w:sz w:val="30"/>
                        </w:rPr>
                        <w:t>况</w:t>
                      </w:r>
                    </w:p>
                  </w:txbxContent>
                </v:textbox>
              </v:rect>
            </w:pict>
          </mc:Fallback>
        </mc:AlternateConten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8540" w:type="auto"/>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60"/>
        <w:gridCol w:w="1280"/>
        <w:gridCol w:w="3540"/>
        <w:gridCol w:w="1280"/>
        <w:gridCol w:w="1460"/>
      </w:tblGrid>
      <w:tr>
        <w:trPr>
          <w:trHeight w:val="460" w:hRule="exact"/>
        </w:trPr>
        <w:tc>
          <w:tcPr>
            <w:tcW w:w="960" w:type="dxa"/>
            <w:vMerge w:val="restart"/>
            <w:tcMar>
              <w:top w:w="0" w:type="dxa"/>
              <w:left w:w="0" w:type="dxa"/>
              <w:bottom w:w="0" w:type="dxa"/>
              <w:right w:w="0" w:type="dxa"/>
            </w:tcMar>
          </w:tcPr>
          <w:p>
            <w:pPr>
              <w:spacing w:before="580"/>
              <w:ind w:left="140"/>
            </w:pPr>
            <w:r>
              <w:rPr>
                <w:rFonts w:hint="eastAsia" w:ascii="宋体" w:hAnsi="宋体" w:eastAsia="宋体" w:cs="宋体"/>
                <w:sz w:val="21"/>
              </w:rPr>
              <w:t>叶东毅</w:t>
            </w:r>
          </w:p>
        </w:tc>
        <w:tc>
          <w:tcPr>
            <w:tcW w:w="1280" w:type="dxa"/>
            <w:vMerge w:val="restart"/>
            <w:tcMar>
              <w:top w:w="0" w:type="dxa"/>
              <w:left w:w="0" w:type="dxa"/>
              <w:bottom w:w="0" w:type="dxa"/>
              <w:right w:w="0" w:type="dxa"/>
            </w:tcMar>
          </w:tcPr>
          <w:p>
            <w:pPr>
              <w:spacing w:before="580"/>
              <w:ind w:left="200"/>
            </w:pPr>
            <w:r>
              <w:rPr>
                <w:rFonts w:hint="eastAsia" w:ascii="宋体" w:hAnsi="宋体" w:eastAsia="宋体" w:cs="宋体"/>
                <w:sz w:val="21"/>
              </w:rPr>
              <w:t>独立董事</w:t>
            </w:r>
          </w:p>
        </w:tc>
        <w:tc>
          <w:tcPr>
            <w:tcW w:w="3540" w:type="dxa"/>
            <w:tcMar>
              <w:top w:w="0" w:type="dxa"/>
              <w:left w:w="0" w:type="dxa"/>
              <w:bottom w:w="0" w:type="dxa"/>
              <w:right w:w="0" w:type="dxa"/>
            </w:tcMar>
          </w:tcPr>
          <w:p>
            <w:pPr>
              <w:spacing w:before="100"/>
              <w:ind w:left="1320"/>
            </w:pPr>
            <w:r>
              <w:rPr>
                <w:rFonts w:hint="eastAsia" w:ascii="宋体" w:hAnsi="宋体" w:eastAsia="宋体" w:cs="宋体"/>
                <w:sz w:val="21"/>
              </w:rPr>
              <w:t>福州大学</w:t>
            </w:r>
          </w:p>
        </w:tc>
        <w:tc>
          <w:tcPr>
            <w:tcW w:w="1280" w:type="dxa"/>
            <w:tcMar>
              <w:top w:w="0" w:type="dxa"/>
              <w:left w:w="0" w:type="dxa"/>
              <w:bottom w:w="0" w:type="dxa"/>
              <w:right w:w="0" w:type="dxa"/>
            </w:tcMar>
          </w:tcPr>
          <w:p>
            <w:pPr>
              <w:spacing w:before="100"/>
              <w:ind w:left="400"/>
            </w:pPr>
            <w:r>
              <w:rPr>
                <w:rFonts w:hint="eastAsia" w:ascii="宋体" w:hAnsi="宋体" w:eastAsia="宋体" w:cs="宋体"/>
                <w:sz w:val="21"/>
              </w:rPr>
              <w:t>教授</w:t>
            </w:r>
          </w:p>
        </w:tc>
        <w:tc>
          <w:tcPr>
            <w:tcW w:w="1460" w:type="dxa"/>
            <w:vMerge w:val="restart"/>
            <w:tcMar>
              <w:top w:w="0" w:type="dxa"/>
              <w:left w:w="0" w:type="dxa"/>
              <w:bottom w:w="0" w:type="dxa"/>
              <w:right w:w="0" w:type="dxa"/>
            </w:tcMar>
          </w:tcPr>
          <w:p>
            <w:pPr>
              <w:spacing w:before="580"/>
              <w:ind w:left="180"/>
            </w:pPr>
            <w:r>
              <w:rPr>
                <w:rFonts w:hint="eastAsia" w:ascii="宋体" w:hAnsi="宋体" w:eastAsia="宋体" w:cs="宋体"/>
                <w:sz w:val="21"/>
              </w:rPr>
              <w:t>无关联关系</w:t>
            </w:r>
          </w:p>
        </w:tc>
      </w:tr>
      <w:tr>
        <w:trPr>
          <w:trHeight w:val="480" w:hRule="exact"/>
        </w:trPr>
        <w:tc>
          <w:tcPr>
            <w:tcW w:w="960" w:type="dxa"/>
            <w:vMerge w:val="continue"/>
            <w:tcMar>
              <w:top w:w="0" w:type="dxa"/>
              <w:left w:w="0" w:type="dxa"/>
              <w:bottom w:w="0" w:type="dxa"/>
              <w:right w:w="0" w:type="dxa"/>
            </w:tcMar>
          </w:tcPr>
          <w:p/>
        </w:tc>
        <w:tc>
          <w:tcPr>
            <w:tcW w:w="1280" w:type="dxa"/>
            <w:vMerge w:val="continue"/>
            <w:tcMar>
              <w:top w:w="0" w:type="dxa"/>
              <w:left w:w="0" w:type="dxa"/>
              <w:bottom w:w="0" w:type="dxa"/>
              <w:right w:w="0" w:type="dxa"/>
            </w:tcMar>
          </w:tcPr>
          <w:p/>
        </w:tc>
        <w:tc>
          <w:tcPr>
            <w:tcW w:w="3540" w:type="dxa"/>
            <w:tcMar>
              <w:top w:w="0" w:type="dxa"/>
              <w:left w:w="0" w:type="dxa"/>
              <w:bottom w:w="0" w:type="dxa"/>
              <w:right w:w="0" w:type="dxa"/>
            </w:tcMar>
          </w:tcPr>
          <w:p>
            <w:pPr>
              <w:spacing w:before="120"/>
              <w:ind w:left="280"/>
            </w:pPr>
            <w:r>
              <w:rPr>
                <w:rFonts w:hint="eastAsia" w:ascii="宋体" w:hAnsi="宋体" w:eastAsia="宋体" w:cs="宋体"/>
                <w:sz w:val="21"/>
              </w:rPr>
              <w:t>福建星网锐捷通讯股份有限公司</w:t>
            </w:r>
          </w:p>
        </w:tc>
        <w:tc>
          <w:tcPr>
            <w:tcW w:w="1280" w:type="dxa"/>
            <w:vMerge w:val="restart"/>
            <w:tcMar>
              <w:top w:w="0" w:type="dxa"/>
              <w:left w:w="0" w:type="dxa"/>
              <w:bottom w:w="0" w:type="dxa"/>
              <w:right w:w="0" w:type="dxa"/>
            </w:tcMar>
          </w:tcPr>
          <w:p>
            <w:pPr>
              <w:spacing w:before="360"/>
              <w:ind w:left="200"/>
            </w:pPr>
            <w:r>
              <w:rPr>
                <w:rFonts w:hint="eastAsia" w:ascii="宋体" w:hAnsi="宋体" w:eastAsia="宋体" w:cs="宋体"/>
                <w:sz w:val="21"/>
              </w:rPr>
              <w:t>独立董事</w:t>
            </w:r>
          </w:p>
        </w:tc>
        <w:tc>
          <w:tcPr>
            <w:tcW w:w="1460" w:type="dxa"/>
            <w:vMerge w:val="continue"/>
            <w:tcMar>
              <w:top w:w="0" w:type="dxa"/>
              <w:left w:w="0" w:type="dxa"/>
              <w:bottom w:w="0" w:type="dxa"/>
              <w:right w:w="0" w:type="dxa"/>
            </w:tcMar>
          </w:tcPr>
          <w:p/>
        </w:tc>
      </w:tr>
      <w:tr>
        <w:trPr>
          <w:trHeight w:val="480" w:hRule="exact"/>
        </w:trPr>
        <w:tc>
          <w:tcPr>
            <w:tcW w:w="960" w:type="dxa"/>
            <w:vMerge w:val="continue"/>
            <w:tcMar>
              <w:top w:w="0" w:type="dxa"/>
              <w:left w:w="0" w:type="dxa"/>
              <w:bottom w:w="0" w:type="dxa"/>
              <w:right w:w="0" w:type="dxa"/>
            </w:tcMar>
          </w:tcPr>
          <w:p/>
        </w:tc>
        <w:tc>
          <w:tcPr>
            <w:tcW w:w="1280" w:type="dxa"/>
            <w:vMerge w:val="continue"/>
            <w:tcMar>
              <w:top w:w="0" w:type="dxa"/>
              <w:left w:w="0" w:type="dxa"/>
              <w:bottom w:w="0" w:type="dxa"/>
              <w:right w:w="0" w:type="dxa"/>
            </w:tcMar>
          </w:tcPr>
          <w:p/>
        </w:tc>
        <w:tc>
          <w:tcPr>
            <w:tcW w:w="3540" w:type="dxa"/>
            <w:tcMar>
              <w:top w:w="0" w:type="dxa"/>
              <w:left w:w="0" w:type="dxa"/>
              <w:bottom w:w="0" w:type="dxa"/>
              <w:right w:w="0" w:type="dxa"/>
            </w:tcMar>
          </w:tcPr>
          <w:p>
            <w:pPr>
              <w:spacing w:before="120"/>
              <w:ind w:left="480"/>
            </w:pPr>
            <w:r>
              <w:rPr>
                <w:rFonts w:hint="eastAsia" w:ascii="宋体" w:hAnsi="宋体" w:eastAsia="宋体" w:cs="宋体"/>
                <w:sz w:val="21"/>
              </w:rPr>
              <w:t>福建博思软件股份有限公司</w:t>
            </w:r>
          </w:p>
        </w:tc>
        <w:tc>
          <w:tcPr>
            <w:tcW w:w="1280" w:type="dxa"/>
            <w:vMerge w:val="continue"/>
            <w:tcMar>
              <w:top w:w="0" w:type="dxa"/>
              <w:left w:w="0" w:type="dxa"/>
              <w:bottom w:w="0" w:type="dxa"/>
              <w:right w:w="0" w:type="dxa"/>
            </w:tcMar>
          </w:tcPr>
          <w:p/>
        </w:tc>
        <w:tc>
          <w:tcPr>
            <w:tcW w:w="1460" w:type="dxa"/>
            <w:vMerge w:val="continue"/>
            <w:tcMar>
              <w:top w:w="0" w:type="dxa"/>
              <w:left w:w="0" w:type="dxa"/>
              <w:bottom w:w="0" w:type="dxa"/>
              <w:right w:w="0" w:type="dxa"/>
            </w:tcMar>
          </w:tcPr>
          <w:p/>
        </w:tc>
      </w:tr>
      <w:tr>
        <w:trPr>
          <w:trHeight w:val="480" w:hRule="exact"/>
        </w:trPr>
        <w:tc>
          <w:tcPr>
            <w:tcW w:w="960" w:type="dxa"/>
            <w:tcMar>
              <w:top w:w="0" w:type="dxa"/>
              <w:left w:w="0" w:type="dxa"/>
              <w:bottom w:w="0" w:type="dxa"/>
              <w:right w:w="0" w:type="dxa"/>
            </w:tcMar>
          </w:tcPr>
          <w:p>
            <w:pPr>
              <w:spacing w:before="120"/>
              <w:ind w:left="260"/>
            </w:pPr>
            <w:r>
              <w:rPr>
                <w:rFonts w:hint="eastAsia" w:ascii="宋体" w:hAnsi="宋体" w:eastAsia="宋体" w:cs="宋体"/>
                <w:sz w:val="21"/>
              </w:rPr>
              <w:t>齐伟</w:t>
            </w:r>
          </w:p>
        </w:tc>
        <w:tc>
          <w:tcPr>
            <w:tcW w:w="1280" w:type="dxa"/>
            <w:tcMar>
              <w:top w:w="0" w:type="dxa"/>
              <w:left w:w="0" w:type="dxa"/>
              <w:bottom w:w="0" w:type="dxa"/>
              <w:right w:w="0" w:type="dxa"/>
            </w:tcMar>
          </w:tcPr>
          <w:p>
            <w:pPr>
              <w:spacing w:before="120"/>
              <w:ind w:left="200"/>
            </w:pPr>
            <w:r>
              <w:rPr>
                <w:rFonts w:hint="eastAsia" w:ascii="宋体" w:hAnsi="宋体" w:eastAsia="宋体" w:cs="宋体"/>
                <w:sz w:val="21"/>
              </w:rPr>
              <w:t>独立董事</w:t>
            </w:r>
          </w:p>
        </w:tc>
        <w:tc>
          <w:tcPr>
            <w:tcW w:w="3540" w:type="dxa"/>
            <w:tcMar>
              <w:top w:w="0" w:type="dxa"/>
              <w:left w:w="0" w:type="dxa"/>
              <w:bottom w:w="0" w:type="dxa"/>
              <w:right w:w="0" w:type="dxa"/>
            </w:tcMar>
          </w:tcPr>
          <w:p>
            <w:pPr>
              <w:spacing w:before="120"/>
              <w:ind w:left="380"/>
            </w:pPr>
            <w:r>
              <w:rPr>
                <w:rFonts w:hint="eastAsia" w:ascii="宋体" w:hAnsi="宋体" w:eastAsia="宋体" w:cs="宋体"/>
                <w:sz w:val="21"/>
              </w:rPr>
              <w:t>北京大成</w:t>
            </w:r>
            <w:r>
              <w:rPr>
                <w:rFonts w:hint="eastAsia" w:ascii="宋体" w:hAnsi="宋体" w:eastAsia="宋体" w:cs="宋体"/>
                <w:sz w:val="20"/>
              </w:rPr>
              <w:t>（</w:t>
            </w:r>
            <w:r>
              <w:rPr>
                <w:rFonts w:hint="eastAsia" w:ascii="宋体" w:hAnsi="宋体" w:eastAsia="宋体" w:cs="宋体"/>
                <w:sz w:val="21"/>
              </w:rPr>
              <w:t>福州</w:t>
            </w:r>
            <w:r>
              <w:rPr>
                <w:rFonts w:hint="eastAsia" w:ascii="宋体" w:hAnsi="宋体" w:eastAsia="宋体" w:cs="宋体"/>
                <w:sz w:val="20"/>
              </w:rPr>
              <w:t>）</w:t>
            </w:r>
            <w:r>
              <w:rPr>
                <w:rFonts w:hint="eastAsia" w:ascii="宋体" w:hAnsi="宋体" w:eastAsia="宋体" w:cs="宋体"/>
                <w:sz w:val="21"/>
              </w:rPr>
              <w:t>律师事务所</w:t>
            </w:r>
          </w:p>
        </w:tc>
        <w:tc>
          <w:tcPr>
            <w:tcW w:w="1280" w:type="dxa"/>
            <w:tcMar>
              <w:top w:w="0" w:type="dxa"/>
              <w:left w:w="0" w:type="dxa"/>
              <w:bottom w:w="0" w:type="dxa"/>
              <w:right w:w="0" w:type="dxa"/>
            </w:tcMar>
          </w:tcPr>
          <w:p>
            <w:pPr>
              <w:spacing w:before="120"/>
              <w:ind w:left="100"/>
            </w:pPr>
            <w:r>
              <w:rPr>
                <w:rFonts w:hint="eastAsia" w:ascii="宋体" w:hAnsi="宋体" w:eastAsia="宋体" w:cs="宋体"/>
                <w:sz w:val="21"/>
              </w:rPr>
              <w:t>高级合伙人</w:t>
            </w:r>
          </w:p>
        </w:tc>
        <w:tc>
          <w:tcPr>
            <w:tcW w:w="1460" w:type="dxa"/>
            <w:tcMar>
              <w:top w:w="0" w:type="dxa"/>
              <w:left w:w="0" w:type="dxa"/>
              <w:bottom w:w="0" w:type="dxa"/>
              <w:right w:w="0" w:type="dxa"/>
            </w:tcMar>
          </w:tcPr>
          <w:p>
            <w:pPr>
              <w:spacing w:before="120"/>
              <w:ind w:left="180"/>
            </w:pPr>
            <w:r>
              <w:rPr>
                <w:rFonts w:hint="eastAsia" w:ascii="宋体" w:hAnsi="宋体" w:eastAsia="宋体" w:cs="宋体"/>
                <w:sz w:val="21"/>
              </w:rPr>
              <w:t>无关联关系</w:t>
            </w:r>
          </w:p>
        </w:tc>
      </w:tr>
      <w:tr>
        <w:trPr>
          <w:trHeight w:val="480" w:hRule="exact"/>
        </w:trPr>
        <w:tc>
          <w:tcPr>
            <w:tcW w:w="960" w:type="dxa"/>
            <w:tcMar>
              <w:top w:w="0" w:type="dxa"/>
              <w:left w:w="0" w:type="dxa"/>
              <w:bottom w:w="0" w:type="dxa"/>
              <w:right w:w="0" w:type="dxa"/>
            </w:tcMar>
          </w:tcPr>
          <w:p>
            <w:pPr>
              <w:spacing w:before="120"/>
              <w:ind w:left="260"/>
            </w:pPr>
            <w:r>
              <w:rPr>
                <w:rFonts w:hint="eastAsia" w:ascii="宋体" w:hAnsi="宋体" w:eastAsia="宋体" w:cs="宋体"/>
                <w:sz w:val="21"/>
              </w:rPr>
              <w:t>徐青</w:t>
            </w:r>
          </w:p>
        </w:tc>
        <w:tc>
          <w:tcPr>
            <w:tcW w:w="1280" w:type="dxa"/>
            <w:tcMar>
              <w:top w:w="0" w:type="dxa"/>
              <w:left w:w="0" w:type="dxa"/>
              <w:bottom w:w="0" w:type="dxa"/>
              <w:right w:w="0" w:type="dxa"/>
            </w:tcMar>
          </w:tcPr>
          <w:p>
            <w:pPr>
              <w:spacing w:before="120"/>
              <w:ind w:left="200"/>
            </w:pPr>
            <w:r>
              <w:rPr>
                <w:rFonts w:hint="eastAsia" w:ascii="宋体" w:hAnsi="宋体" w:eastAsia="宋体" w:cs="宋体"/>
                <w:sz w:val="21"/>
              </w:rPr>
              <w:t>独立董事</w:t>
            </w:r>
          </w:p>
        </w:tc>
        <w:tc>
          <w:tcPr>
            <w:tcW w:w="3540" w:type="dxa"/>
            <w:tcMar>
              <w:top w:w="0" w:type="dxa"/>
              <w:left w:w="0" w:type="dxa"/>
              <w:bottom w:w="0" w:type="dxa"/>
              <w:right w:w="0" w:type="dxa"/>
            </w:tcMar>
          </w:tcPr>
          <w:p>
            <w:pPr>
              <w:spacing w:before="120"/>
              <w:ind w:left="1120"/>
            </w:pPr>
            <w:r>
              <w:rPr>
                <w:rFonts w:hint="eastAsia" w:ascii="宋体" w:hAnsi="宋体" w:eastAsia="宋体" w:cs="宋体"/>
                <w:sz w:val="21"/>
              </w:rPr>
              <w:t>福建江夏学院</w:t>
            </w:r>
          </w:p>
        </w:tc>
        <w:tc>
          <w:tcPr>
            <w:tcW w:w="1280" w:type="dxa"/>
            <w:tcMar>
              <w:top w:w="0" w:type="dxa"/>
              <w:left w:w="0" w:type="dxa"/>
              <w:bottom w:w="0" w:type="dxa"/>
              <w:right w:w="0" w:type="dxa"/>
            </w:tcMar>
          </w:tcPr>
          <w:p>
            <w:pPr>
              <w:spacing w:before="120"/>
              <w:ind w:left="300"/>
            </w:pPr>
            <w:r>
              <w:rPr>
                <w:rFonts w:hint="eastAsia" w:ascii="宋体" w:hAnsi="宋体" w:eastAsia="宋体" w:cs="宋体"/>
                <w:sz w:val="21"/>
              </w:rPr>
              <w:t>副教授</w:t>
            </w:r>
          </w:p>
        </w:tc>
        <w:tc>
          <w:tcPr>
            <w:tcW w:w="1460" w:type="dxa"/>
            <w:tcMar>
              <w:top w:w="0" w:type="dxa"/>
              <w:left w:w="0" w:type="dxa"/>
              <w:bottom w:w="0" w:type="dxa"/>
              <w:right w:w="0" w:type="dxa"/>
            </w:tcMar>
          </w:tcPr>
          <w:p>
            <w:pPr>
              <w:spacing w:before="120"/>
              <w:ind w:left="180"/>
            </w:pPr>
            <w:r>
              <w:rPr>
                <w:rFonts w:hint="eastAsia" w:ascii="宋体" w:hAnsi="宋体" w:eastAsia="宋体" w:cs="宋体"/>
                <w:sz w:val="21"/>
              </w:rPr>
              <w:t>无关联关系</w:t>
            </w:r>
          </w:p>
        </w:tc>
      </w:tr>
      <w:tr>
        <w:trPr>
          <w:trHeight w:val="940" w:hRule="exact"/>
        </w:trPr>
        <w:tc>
          <w:tcPr>
            <w:tcW w:w="960" w:type="dxa"/>
            <w:tcMar>
              <w:top w:w="0" w:type="dxa"/>
              <w:left w:w="0" w:type="dxa"/>
              <w:bottom w:w="0" w:type="dxa"/>
              <w:right w:w="0" w:type="dxa"/>
            </w:tcMar>
          </w:tcPr>
          <w:p>
            <w:pPr>
              <w:spacing w:before="360"/>
              <w:ind w:left="260"/>
            </w:pPr>
            <w:r>
              <w:rPr>
                <w:rFonts w:hint="eastAsia" w:ascii="宋体" w:hAnsi="宋体" w:eastAsia="宋体" w:cs="宋体"/>
                <w:sz w:val="21"/>
              </w:rPr>
              <w:t>李军</w:t>
            </w:r>
          </w:p>
        </w:tc>
        <w:tc>
          <w:tcPr>
            <w:tcW w:w="1280" w:type="dxa"/>
            <w:tcMar>
              <w:top w:w="0" w:type="dxa"/>
              <w:left w:w="0" w:type="dxa"/>
              <w:bottom w:w="0" w:type="dxa"/>
              <w:right w:w="0" w:type="dxa"/>
            </w:tcMar>
          </w:tcPr>
          <w:p>
            <w:pPr>
              <w:spacing w:before="360"/>
              <w:ind w:left="400"/>
            </w:pPr>
            <w:r>
              <w:rPr>
                <w:rFonts w:hint="eastAsia" w:ascii="宋体" w:hAnsi="宋体" w:eastAsia="宋体" w:cs="宋体"/>
                <w:sz w:val="21"/>
              </w:rPr>
              <w:t>董事</w:t>
            </w:r>
          </w:p>
        </w:tc>
        <w:tc>
          <w:tcPr>
            <w:tcW w:w="3540" w:type="dxa"/>
            <w:tcMar>
              <w:top w:w="0" w:type="dxa"/>
              <w:left w:w="0" w:type="dxa"/>
              <w:bottom w:w="0" w:type="dxa"/>
              <w:right w:w="0" w:type="dxa"/>
            </w:tcMar>
          </w:tcPr>
          <w:p>
            <w:pPr>
              <w:spacing w:before="360"/>
              <w:ind w:left="700"/>
            </w:pPr>
            <w:r>
              <w:rPr>
                <w:rFonts w:hint="eastAsia" w:ascii="宋体" w:hAnsi="宋体" w:eastAsia="宋体" w:cs="宋体"/>
                <w:sz w:val="21"/>
              </w:rPr>
              <w:t>中信证券股份有限公司</w:t>
            </w:r>
          </w:p>
        </w:tc>
        <w:tc>
          <w:tcPr>
            <w:tcW w:w="1280" w:type="dxa"/>
            <w:tcMar>
              <w:top w:w="0" w:type="dxa"/>
              <w:left w:w="0" w:type="dxa"/>
              <w:bottom w:w="0" w:type="dxa"/>
              <w:right w:w="0" w:type="dxa"/>
            </w:tcMar>
          </w:tcPr>
          <w:p>
            <w:pPr>
              <w:spacing w:before="120"/>
              <w:ind w:left="100"/>
            </w:pPr>
            <w:r>
              <w:rPr>
                <w:rFonts w:hint="eastAsia" w:ascii="宋体" w:hAnsi="宋体" w:eastAsia="宋体" w:cs="宋体"/>
                <w:sz w:val="21"/>
              </w:rPr>
              <w:t>执行总经理</w:t>
            </w:r>
          </w:p>
          <w:p>
            <w:pPr>
              <w:spacing w:before="280"/>
              <w:ind w:left="260"/>
            </w:pPr>
            <w:r>
              <w:rPr>
                <w:rFonts w:hint="eastAsia" w:ascii="宋体" w:hAnsi="宋体" w:eastAsia="宋体" w:cs="宋体"/>
                <w:sz w:val="20"/>
              </w:rPr>
              <w:t>（</w:t>
            </w:r>
            <w:r>
              <w:rPr>
                <w:rFonts w:hint="eastAsia" w:ascii="Times New Roman" w:hAnsi="Times New Roman" w:eastAsia="Times New Roman" w:cs="Times New Roman"/>
                <w:sz w:val="21"/>
              </w:rPr>
              <w:t>ED</w:t>
            </w:r>
            <w:r>
              <w:rPr>
                <w:rFonts w:hint="eastAsia" w:ascii="宋体" w:hAnsi="宋体" w:eastAsia="宋体" w:cs="宋体"/>
                <w:sz w:val="20"/>
              </w:rPr>
              <w:t>）</w:t>
            </w:r>
          </w:p>
        </w:tc>
        <w:tc>
          <w:tcPr>
            <w:tcW w:w="1460" w:type="dxa"/>
            <w:tcMar>
              <w:top w:w="0" w:type="dxa"/>
              <w:left w:w="0" w:type="dxa"/>
              <w:bottom w:w="0" w:type="dxa"/>
              <w:right w:w="0" w:type="dxa"/>
            </w:tcMar>
          </w:tcPr>
          <w:p>
            <w:pPr>
              <w:spacing w:before="120"/>
              <w:ind w:left="180"/>
            </w:pPr>
            <w:r>
              <w:rPr>
                <w:rFonts w:hint="eastAsia" w:ascii="宋体" w:hAnsi="宋体" w:eastAsia="宋体" w:cs="宋体"/>
                <w:sz w:val="21"/>
              </w:rPr>
              <w:t>本公司股东</w:t>
            </w:r>
          </w:p>
          <w:p>
            <w:pPr>
              <w:spacing w:before="240"/>
              <w:ind w:left="300"/>
            </w:pPr>
            <w:r>
              <w:rPr>
                <w:rFonts w:hint="eastAsia" w:ascii="宋体" w:hAnsi="宋体" w:eastAsia="宋体" w:cs="宋体"/>
                <w:sz w:val="21"/>
              </w:rPr>
              <w:t>之母公司</w:t>
            </w:r>
          </w:p>
        </w:tc>
      </w:tr>
      <w:tr>
        <w:trPr>
          <w:trHeight w:val="640" w:hRule="exact"/>
        </w:trPr>
        <w:tc>
          <w:tcPr>
            <w:tcW w:w="960" w:type="dxa"/>
            <w:tcMar>
              <w:top w:w="0" w:type="dxa"/>
              <w:left w:w="0" w:type="dxa"/>
              <w:bottom w:w="0" w:type="dxa"/>
              <w:right w:w="0" w:type="dxa"/>
            </w:tcMar>
          </w:tcPr>
          <w:p>
            <w:pPr>
              <w:spacing w:before="200"/>
              <w:ind w:left="140"/>
            </w:pPr>
            <w:r>
              <w:rPr>
                <w:rFonts w:hint="eastAsia" w:ascii="宋体" w:hAnsi="宋体" w:eastAsia="宋体" w:cs="宋体"/>
                <w:sz w:val="21"/>
              </w:rPr>
              <w:t>张家荣</w:t>
            </w:r>
          </w:p>
        </w:tc>
        <w:tc>
          <w:tcPr>
            <w:tcW w:w="1280" w:type="dxa"/>
            <w:tcMar>
              <w:top w:w="0" w:type="dxa"/>
              <w:left w:w="0" w:type="dxa"/>
              <w:bottom w:w="0" w:type="dxa"/>
              <w:right w:w="0" w:type="dxa"/>
            </w:tcMar>
          </w:tcPr>
          <w:p>
            <w:pPr>
              <w:spacing w:before="200"/>
              <w:ind w:left="400"/>
            </w:pPr>
            <w:r>
              <w:rPr>
                <w:rFonts w:hint="eastAsia" w:ascii="宋体" w:hAnsi="宋体" w:eastAsia="宋体" w:cs="宋体"/>
                <w:sz w:val="21"/>
              </w:rPr>
              <w:t>监事</w:t>
            </w:r>
          </w:p>
        </w:tc>
        <w:tc>
          <w:tcPr>
            <w:tcW w:w="3540" w:type="dxa"/>
            <w:tcMar>
              <w:top w:w="0" w:type="dxa"/>
              <w:left w:w="0" w:type="dxa"/>
              <w:bottom w:w="0" w:type="dxa"/>
              <w:right w:w="0" w:type="dxa"/>
            </w:tcMar>
          </w:tcPr>
          <w:p>
            <w:pPr>
              <w:spacing w:before="200"/>
              <w:ind w:left="1320"/>
            </w:pPr>
            <w:r>
              <w:rPr>
                <w:rFonts w:hint="eastAsia" w:ascii="宋体" w:hAnsi="宋体" w:eastAsia="宋体" w:cs="宋体"/>
                <w:sz w:val="21"/>
              </w:rPr>
              <w:t>金石投资</w:t>
            </w:r>
          </w:p>
        </w:tc>
        <w:tc>
          <w:tcPr>
            <w:tcW w:w="1280" w:type="dxa"/>
            <w:tcMar>
              <w:top w:w="0" w:type="dxa"/>
              <w:left w:w="0" w:type="dxa"/>
              <w:bottom w:w="0" w:type="dxa"/>
              <w:right w:w="0" w:type="dxa"/>
            </w:tcMar>
          </w:tcPr>
          <w:p>
            <w:pPr>
              <w:spacing w:before="40"/>
              <w:ind w:left="100"/>
            </w:pPr>
            <w:r>
              <w:rPr>
                <w:rFonts w:hint="eastAsia" w:ascii="宋体" w:hAnsi="宋体" w:eastAsia="宋体" w:cs="宋体"/>
                <w:sz w:val="21"/>
              </w:rPr>
              <w:t>法律合规部</w:t>
            </w:r>
          </w:p>
          <w:p>
            <w:pPr>
              <w:spacing w:before="100"/>
              <w:ind w:left="300"/>
            </w:pPr>
            <w:r>
              <w:rPr>
                <w:rFonts w:hint="eastAsia" w:ascii="宋体" w:hAnsi="宋体" w:eastAsia="宋体" w:cs="宋体"/>
                <w:sz w:val="21"/>
              </w:rPr>
              <w:t>副总裁</w:t>
            </w:r>
          </w:p>
        </w:tc>
        <w:tc>
          <w:tcPr>
            <w:tcW w:w="1460" w:type="dxa"/>
            <w:tcMar>
              <w:top w:w="0" w:type="dxa"/>
              <w:left w:w="0" w:type="dxa"/>
              <w:bottom w:w="0" w:type="dxa"/>
              <w:right w:w="0" w:type="dxa"/>
            </w:tcMar>
          </w:tcPr>
          <w:p>
            <w:pPr>
              <w:spacing w:before="200"/>
              <w:ind w:left="180"/>
            </w:pPr>
            <w:r>
              <w:rPr>
                <w:rFonts w:hint="eastAsia" w:ascii="宋体" w:hAnsi="宋体" w:eastAsia="宋体" w:cs="宋体"/>
                <w:sz w:val="21"/>
              </w:rPr>
              <w:t>本公司股东</w:t>
            </w:r>
          </w:p>
        </w:tc>
      </w:tr>
    </w:tbl>
    <w:p>
      <w:pPr>
        <w:autoSpaceDE w:val="false"/>
        <w:autoSpaceDN w:val="false"/>
        <w:spacing w:line="440" w:lineRule="exact"/>
        <w:ind w:left="1800" w:right="1620" w:firstLine="480"/>
        <w:jc w:val="both"/>
      </w:pPr>
      <w:r>
        <w:rPr>
          <w:rFonts w:hint="eastAsia" w:ascii="宋体" w:hAnsi="宋体" w:eastAsia="宋体" w:cs="宋体"/>
          <w:sz w:val="24"/>
        </w:rPr>
        <w:t>除上述人员外</w:t>
      </w:r>
      <w:r>
        <w:rPr>
          <w:rFonts w:hint="eastAsia" w:ascii="宋体" w:hAnsi="宋体" w:eastAsia="宋体" w:cs="宋体"/>
          <w:sz w:val="10"/>
        </w:rPr>
        <w:t>，</w:t>
      </w:r>
      <w:r>
        <w:rPr>
          <w:rFonts w:hint="eastAsia" w:ascii="宋体" w:hAnsi="宋体" w:eastAsia="宋体" w:cs="宋体"/>
          <w:sz w:val="24"/>
        </w:rPr>
        <w:t>本公司的其他董事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高级管理人员及核心技术人员没有在外兼职的情况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right="1640"/>
        <w:jc w:val="both"/>
      </w:pPr>
      <w:r>
        <w:rPr>
          <w:rFonts w:hint="eastAsia" w:ascii="ºÚÌå" w:hAnsi="ºÚÌå" w:eastAsia="ºÚÌå" w:cs="ºÚÌå"/>
          <w:sz w:val="30"/>
        </w:rPr>
        <w:t>六</w:t>
      </w:r>
      <w:r>
        <w:rPr>
          <w:rFonts w:hint="eastAsia" w:ascii="ºÚÌå" w:hAnsi="ºÚÌå" w:eastAsia="ºÚÌå" w:cs="ºÚÌå"/>
          <w:sz w:val="10"/>
        </w:rPr>
        <w:t>、</w:t>
      </w:r>
      <w:r>
        <w:rPr>
          <w:rFonts w:hint="eastAsia" w:ascii="ºÚÌå" w:hAnsi="ºÚÌå" w:eastAsia="ºÚÌå" w:cs="ºÚÌå"/>
          <w:sz w:val="30"/>
        </w:rPr>
        <w:t>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高级管理人员及核心技术人员相互之间的亲属关系</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60" w:firstLine="480"/>
        <w:jc w:val="both"/>
      </w:pPr>
      <w:r>
        <w:rPr>
          <w:rFonts w:hint="eastAsia" w:ascii="宋体" w:hAnsi="宋体" w:eastAsia="宋体" w:cs="宋体"/>
          <w:sz w:val="24"/>
        </w:rPr>
        <w:t>公司核心技术人员赵林与公司董事长</w:t>
      </w:r>
      <w:r>
        <w:rPr>
          <w:rFonts w:hint="eastAsia" w:ascii="宋体" w:hAnsi="宋体" w:eastAsia="宋体" w:cs="宋体"/>
          <w:sz w:val="10"/>
        </w:rPr>
        <w:t>、</w:t>
      </w:r>
      <w:r>
        <w:rPr>
          <w:rFonts w:hint="eastAsia" w:ascii="宋体" w:hAnsi="宋体" w:eastAsia="宋体" w:cs="宋体"/>
          <w:sz w:val="24"/>
        </w:rPr>
        <w:t>总经理严孟宇为夫妻关系</w:t>
      </w:r>
      <w:r>
        <w:rPr>
          <w:rFonts w:hint="eastAsia" w:ascii="宋体" w:hAnsi="宋体" w:eastAsia="宋体" w:cs="宋体"/>
          <w:sz w:val="10"/>
        </w:rPr>
        <w:t>，</w:t>
      </w:r>
      <w:r>
        <w:rPr>
          <w:rFonts w:hint="eastAsia" w:ascii="宋体" w:hAnsi="宋体" w:eastAsia="宋体" w:cs="宋体"/>
          <w:sz w:val="24"/>
        </w:rPr>
        <w:t>除此之外</w:t>
      </w:r>
      <w:r>
        <w:rPr>
          <w:rFonts w:hint="eastAsia" w:ascii="宋体" w:hAnsi="宋体" w:eastAsia="宋体" w:cs="宋体"/>
          <w:sz w:val="10"/>
        </w:rPr>
        <w:t>，</w:t>
      </w: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高级管理人员及其他核心技术人员之间不存在亲属关系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40" w:lineRule="exact"/>
        <w:ind w:left="1800" w:right="1640"/>
        <w:jc w:val="both"/>
      </w:pPr>
      <w:r>
        <w:rPr>
          <w:rFonts w:hint="eastAsia" w:ascii="ºÚÌå" w:hAnsi="ºÚÌå" w:eastAsia="ºÚÌå" w:cs="ºÚÌå"/>
          <w:sz w:val="30"/>
        </w:rPr>
        <w:t>七</w:t>
      </w:r>
      <w:r>
        <w:rPr>
          <w:rFonts w:hint="eastAsia" w:ascii="ºÚÌå" w:hAnsi="ºÚÌå" w:eastAsia="ºÚÌå" w:cs="ºÚÌå"/>
          <w:sz w:val="10"/>
        </w:rPr>
        <w:t>、</w:t>
      </w:r>
      <w:r>
        <w:rPr>
          <w:rFonts w:hint="eastAsia" w:ascii="ºÚÌå" w:hAnsi="ºÚÌå" w:eastAsia="ºÚÌå" w:cs="ºÚÌå"/>
          <w:sz w:val="30"/>
        </w:rPr>
        <w:t>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高级管理人员及核心技术人员与本公司签署的协议及承诺</w:t>
      </w:r>
    </w:p>
    <w:p>
      <w:pPr>
        <w:spacing w:line="200" w:lineRule="exact"/>
        <w:rPr>
          <w:rFonts w:hint="eastAsia" w:ascii="宋体" w:hAnsi="宋体" w:eastAsia="宋体" w:cs="宋体"/>
          <w:sz w:val="20"/>
        </w:rPr>
      </w:pPr>
    </w:p>
    <w:p>
      <w:pPr>
        <w:autoSpaceDE w:val="false"/>
        <w:autoSpaceDN w:val="false"/>
        <w:spacing w:line="420" w:lineRule="exact"/>
        <w:ind w:left="1800" w:right="1640" w:firstLine="480"/>
        <w:jc w:val="both"/>
      </w:pPr>
      <w:r>
        <w:rPr>
          <w:rFonts w:hint="eastAsia" w:ascii="宋体" w:hAnsi="宋体" w:eastAsia="宋体" w:cs="宋体"/>
          <w:sz w:val="24"/>
        </w:rPr>
        <w:t>公司与前述在公司专职的董事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高级管理人员及核心技术人员签订了《劳动合同》和《保密合同》，</w:t>
      </w:r>
      <w:r>
        <w:rPr>
          <w:rFonts w:hint="eastAsia" w:ascii="宋体" w:hAnsi="宋体" w:eastAsia="宋体" w:cs="宋体"/>
          <w:sz w:val="24"/>
        </w:rPr>
        <w:t>对双方的权利和义务给出了明确的规定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jc w:val="both"/>
      </w:pPr>
      <w:r>
        <w:rPr>
          <w:rFonts w:hint="eastAsia" w:ascii="ºÚÌå" w:hAnsi="ºÚÌå" w:eastAsia="ºÚÌå" w:cs="ºÚÌå"/>
          <w:sz w:val="30"/>
        </w:rPr>
        <w:t>八</w:t>
      </w:r>
      <w:r>
        <w:rPr>
          <w:rFonts w:hint="eastAsia" w:ascii="ºÚÌå" w:hAnsi="ºÚÌå" w:eastAsia="ºÚÌå" w:cs="ºÚÌå"/>
          <w:sz w:val="10"/>
        </w:rPr>
        <w:t>、</w:t>
      </w:r>
      <w:r>
        <w:rPr>
          <w:rFonts w:hint="eastAsia" w:ascii="ºÚÌå" w:hAnsi="ºÚÌå" w:eastAsia="ºÚÌå" w:cs="ºÚÌå"/>
          <w:sz w:val="30"/>
        </w:rPr>
        <w:t>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高级管理人员及核心技术人员的承诺及履行情</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高级管理人员及核心技术人员的承诺及履行情况请参见本招股说明书之</w:t>
      </w:r>
      <w:r>
        <w:rPr>
          <w:rFonts w:hint="eastAsia" w:ascii="宋体" w:hAnsi="宋体" w:eastAsia="宋体" w:cs="宋体"/>
          <w:sz w:val="10"/>
        </w:rPr>
        <w:t>“</w:t>
      </w:r>
      <w:r>
        <w:rPr>
          <w:rFonts w:hint="eastAsia" w:ascii="宋体" w:hAnsi="宋体" w:eastAsia="宋体" w:cs="宋体"/>
          <w:sz w:val="24"/>
        </w:rPr>
        <w:t>第五节</w:t>
      </w:r>
      <w:r>
        <w:rPr>
          <w:rFonts w:hint="eastAsia" w:ascii="Times New Roman" w:hAnsi="Times New Roman" w:eastAsia="Times New Roman" w:cs="Times New Roman"/>
          <w:sz w:val="24"/>
        </w:rPr>
        <w:t xml:space="preserve"> </w:t>
      </w:r>
      <w:r>
        <w:rPr>
          <w:rFonts w:hint="eastAsia" w:ascii="宋体" w:hAnsi="宋体" w:eastAsia="宋体" w:cs="宋体"/>
          <w:sz w:val="24"/>
        </w:rPr>
        <w:t>发行人基本情况</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十二、</w:t>
      </w:r>
      <w:r>
        <w:rPr>
          <w:rFonts w:hint="eastAsia" w:ascii="宋体" w:hAnsi="宋体" w:eastAsia="宋体" w:cs="宋体"/>
          <w:sz w:val="24"/>
        </w:rPr>
        <w:t>持有公司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以上股份的主要股东及作为股东的董事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高级管理人员作出的重要承诺及履行情况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1-1-195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00" w:lineRule="exact"/>
        <w:ind w:left="1800" w:right="1620"/>
        <w:jc w:val="both"/>
      </w:pPr>
      <w:r>
        <w:rPr>
          <w:rFonts w:hint="eastAsia" w:ascii="ºÚÌå" w:hAnsi="ºÚÌå" w:eastAsia="ºÚÌå" w:cs="ºÚÌå"/>
          <w:sz w:val="30"/>
        </w:rPr>
        <w:t>九</w:t>
      </w:r>
      <w:r>
        <w:rPr>
          <w:rFonts w:hint="eastAsia" w:ascii="ºÚÌå" w:hAnsi="ºÚÌå" w:eastAsia="ºÚÌå" w:cs="ºÚÌå"/>
          <w:sz w:val="10"/>
        </w:rPr>
        <w:t>、</w:t>
      </w:r>
      <w:r>
        <w:rPr>
          <w:rFonts w:hint="eastAsia" w:ascii="ºÚÌå" w:hAnsi="ºÚÌå" w:eastAsia="ºÚÌå" w:cs="ºÚÌå"/>
          <w:sz w:val="30"/>
        </w:rPr>
        <w:t>董事</w:t>
      </w:r>
      <w:r>
        <w:rPr>
          <w:rFonts w:hint="eastAsia" w:ascii="ºÚÌå" w:hAnsi="ºÚÌå" w:eastAsia="ºÚÌå" w:cs="ºÚÌå"/>
          <w:sz w:val="10"/>
        </w:rPr>
        <w:t>、</w:t>
      </w:r>
      <w:r>
        <w:rPr>
          <w:rFonts w:hint="eastAsia" w:ascii="ºÚÌå" w:hAnsi="ºÚÌå" w:eastAsia="ºÚÌå" w:cs="ºÚÌå"/>
          <w:sz w:val="30"/>
        </w:rPr>
        <w:t>监事</w:t>
      </w:r>
      <w:r>
        <w:rPr>
          <w:rFonts w:hint="eastAsia" w:ascii="ºÚÌå" w:hAnsi="ºÚÌå" w:eastAsia="ºÚÌå" w:cs="ºÚÌå"/>
          <w:sz w:val="10"/>
        </w:rPr>
        <w:t>、</w:t>
      </w:r>
      <w:r>
        <w:rPr>
          <w:rFonts w:hint="eastAsia" w:ascii="ºÚÌå" w:hAnsi="ºÚÌå" w:eastAsia="ºÚÌå" w:cs="ºÚÌå"/>
          <w:sz w:val="30"/>
        </w:rPr>
        <w:t>高级管理人员是否符合法律法规规定的任职资格</w:t>
      </w:r>
    </w:p>
    <w:p>
      <w:pPr>
        <w:spacing w:line="200" w:lineRule="exact"/>
        <w:rPr>
          <w:rFonts w:hint="eastAsia" w:ascii="宋体" w:hAnsi="宋体" w:eastAsia="宋体" w:cs="宋体"/>
          <w:sz w:val="20"/>
        </w:rPr>
      </w:pPr>
    </w:p>
    <w:p>
      <w:pPr>
        <w:autoSpaceDE w:val="false"/>
        <w:autoSpaceDN w:val="false"/>
        <w:spacing w:line="420" w:lineRule="exact"/>
        <w:ind w:left="1800" w:right="1620" w:firstLine="480"/>
        <w:jc w:val="both"/>
      </w:pPr>
      <w:r>
        <w:rPr>
          <w:rFonts w:hint="eastAsia" w:ascii="宋体" w:hAnsi="宋体" w:eastAsia="宋体" w:cs="宋体"/>
          <w:sz w:val="24"/>
        </w:rPr>
        <w:t>经保荐机构和发行人律师核查</w:t>
      </w:r>
      <w:r>
        <w:rPr>
          <w:rFonts w:hint="eastAsia" w:ascii="宋体" w:hAnsi="宋体" w:eastAsia="宋体" w:cs="宋体"/>
          <w:sz w:val="10"/>
        </w:rPr>
        <w:t>，</w:t>
      </w: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监事及高级管理人员均符合《公司法》及国家有关法律法规规定的任职资格条件</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1800"/>
        <w:jc w:val="both"/>
      </w:pPr>
      <w:r>
        <w:rPr>
          <w:rFonts w:hint="eastAsia" w:ascii="ºÚÌå" w:hAnsi="ºÚÌå" w:eastAsia="ºÚÌå" w:cs="ºÚÌå"/>
          <w:sz w:val="30"/>
        </w:rPr>
        <w:t>十</w:t>
      </w:r>
      <w:r>
        <w:rPr>
          <w:rFonts w:hint="eastAsia" w:ascii="ºÚÌå" w:hAnsi="ºÚÌå" w:eastAsia="ºÚÌå" w:cs="ºÚÌå"/>
          <w:sz w:val="10"/>
        </w:rPr>
        <w:t>、</w:t>
      </w:r>
      <w:r>
        <w:rPr>
          <w:rFonts w:hint="eastAsia" w:ascii="ºÚÌå" w:hAnsi="ºÚÌå" w:eastAsia="ºÚÌå" w:cs="ºÚÌå"/>
          <w:sz w:val="30"/>
        </w:rPr>
        <w:t>近三年内董事</w:t>
      </w:r>
      <w:r>
        <w:rPr>
          <w:rFonts w:hint="eastAsia" w:ascii="ºÚÌå" w:hAnsi="ºÚÌå" w:eastAsia="ºÚÌå" w:cs="ºÚÌå"/>
          <w:sz w:val="10"/>
        </w:rPr>
        <w:t>、</w:t>
      </w:r>
      <w:r>
        <w:rPr>
          <w:rFonts w:hint="eastAsia" w:ascii="ºÚÌå" w:hAnsi="ºÚÌå" w:eastAsia="ºÚÌå" w:cs="ºÚÌå"/>
          <w:sz w:val="30"/>
        </w:rPr>
        <w:t>监事及高级管理人员变动情况</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董事变动情况</w:t>
      </w:r>
    </w:p>
    <w:p>
      <w:pPr>
        <w:spacing w:line="200" w:lineRule="exact"/>
        <w:rPr>
          <w:rFonts w:hint="eastAsia" w:ascii="宋体" w:hAnsi="宋体" w:eastAsia="宋体" w:cs="宋体"/>
          <w:sz w:val="20"/>
        </w:rPr>
      </w:pPr>
    </w:p>
    <w:p>
      <w:pPr>
        <w:autoSpaceDE w:val="false"/>
        <w:autoSpaceDN w:val="false"/>
        <w:spacing w:line="400" w:lineRule="exact"/>
        <w:ind w:left="1800" w:right="164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年初</w:t>
      </w:r>
      <w:r>
        <w:rPr>
          <w:rFonts w:hint="eastAsia" w:ascii="宋体" w:hAnsi="宋体" w:eastAsia="宋体" w:cs="宋体"/>
          <w:sz w:val="10"/>
        </w:rPr>
        <w:t>，</w:t>
      </w:r>
      <w:r>
        <w:rPr>
          <w:rFonts w:hint="eastAsia" w:ascii="宋体" w:hAnsi="宋体" w:eastAsia="宋体" w:cs="宋体"/>
          <w:sz w:val="24"/>
        </w:rPr>
        <w:t>本公司董事会成员为严孟宇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黄义青</w:t>
      </w:r>
      <w:r>
        <w:rPr>
          <w:rFonts w:hint="eastAsia" w:ascii="宋体" w:hAnsi="宋体" w:eastAsia="宋体" w:cs="宋体"/>
          <w:sz w:val="10"/>
        </w:rPr>
        <w:t>、</w:t>
      </w:r>
      <w:r>
        <w:rPr>
          <w:rFonts w:hint="eastAsia" w:ascii="宋体" w:hAnsi="宋体" w:eastAsia="宋体" w:cs="宋体"/>
          <w:sz w:val="24"/>
        </w:rPr>
        <w:t>戴小戈</w:t>
      </w:r>
      <w:r>
        <w:rPr>
          <w:rFonts w:hint="eastAsia" w:ascii="宋体" w:hAnsi="宋体" w:eastAsia="宋体" w:cs="宋体"/>
          <w:sz w:val="10"/>
        </w:rPr>
        <w:t>、</w:t>
      </w:r>
      <w:r>
        <w:rPr>
          <w:rFonts w:hint="eastAsia" w:ascii="宋体" w:hAnsi="宋体" w:eastAsia="宋体" w:cs="宋体"/>
          <w:sz w:val="24"/>
        </w:rPr>
        <w:t>许萍</w:t>
      </w:r>
      <w:r>
        <w:rPr>
          <w:rFonts w:hint="eastAsia" w:ascii="宋体" w:hAnsi="宋体" w:eastAsia="宋体" w:cs="宋体"/>
          <w:sz w:val="10"/>
        </w:rPr>
        <w:t>、</w:t>
      </w:r>
      <w:r>
        <w:rPr>
          <w:rFonts w:hint="eastAsia" w:ascii="宋体" w:hAnsi="宋体" w:eastAsia="宋体" w:cs="宋体"/>
          <w:sz w:val="24"/>
        </w:rPr>
        <w:t>方加春</w:t>
      </w:r>
      <w:r>
        <w:rPr>
          <w:rFonts w:hint="eastAsia" w:ascii="宋体" w:hAnsi="宋体" w:eastAsia="宋体" w:cs="宋体"/>
          <w:sz w:val="10"/>
        </w:rPr>
        <w:t>、</w:t>
      </w:r>
      <w:r>
        <w:rPr>
          <w:rFonts w:hint="eastAsia" w:ascii="宋体" w:hAnsi="宋体" w:eastAsia="宋体" w:cs="宋体"/>
          <w:sz w:val="24"/>
        </w:rPr>
        <w:t>卢建康</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戴小戈</w:t>
      </w:r>
      <w:r>
        <w:rPr>
          <w:rFonts w:hint="eastAsia" w:ascii="宋体" w:hAnsi="宋体" w:eastAsia="宋体" w:cs="宋体"/>
          <w:sz w:val="10"/>
        </w:rPr>
        <w:t>、</w:t>
      </w:r>
      <w:r>
        <w:rPr>
          <w:rFonts w:hint="eastAsia" w:ascii="宋体" w:hAnsi="宋体" w:eastAsia="宋体" w:cs="宋体"/>
          <w:sz w:val="24"/>
        </w:rPr>
        <w:t>方加春</w:t>
      </w:r>
      <w:r>
        <w:rPr>
          <w:rFonts w:hint="eastAsia" w:ascii="宋体" w:hAnsi="宋体" w:eastAsia="宋体" w:cs="宋体"/>
          <w:sz w:val="10"/>
        </w:rPr>
        <w:t>、</w:t>
      </w:r>
      <w:r>
        <w:rPr>
          <w:rFonts w:hint="eastAsia" w:ascii="宋体" w:hAnsi="宋体" w:eastAsia="宋体" w:cs="宋体"/>
          <w:sz w:val="24"/>
        </w:rPr>
        <w:t>卢建康辞去发行人对应董事</w:t>
      </w:r>
      <w:r>
        <w:rPr>
          <w:rFonts w:hint="eastAsia" w:ascii="宋体" w:hAnsi="宋体" w:eastAsia="宋体" w:cs="宋体"/>
          <w:sz w:val="10"/>
        </w:rPr>
        <w:t>、</w:t>
      </w:r>
      <w:r>
        <w:rPr>
          <w:rFonts w:hint="eastAsia" w:ascii="宋体" w:hAnsi="宋体" w:eastAsia="宋体" w:cs="宋体"/>
          <w:sz w:val="24"/>
        </w:rPr>
        <w:t>独立董事职务</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发行人股东金石投资推荐孙垚担任公司董事</w:t>
      </w:r>
      <w:r>
        <w:rPr>
          <w:rFonts w:hint="eastAsia" w:ascii="宋体" w:hAnsi="宋体" w:eastAsia="宋体" w:cs="宋体"/>
          <w:sz w:val="10"/>
        </w:rPr>
        <w:t>。</w:t>
      </w:r>
      <w:r>
        <w:rPr>
          <w:rFonts w:hint="eastAsia" w:ascii="宋体" w:hAnsi="宋体" w:eastAsia="宋体" w:cs="宋体"/>
          <w:sz w:val="24"/>
        </w:rPr>
        <w:t>同月</w:t>
      </w:r>
      <w:r>
        <w:rPr>
          <w:rFonts w:hint="eastAsia" w:ascii="宋体" w:hAnsi="宋体" w:eastAsia="宋体" w:cs="宋体"/>
          <w:sz w:val="10"/>
        </w:rPr>
        <w:t>，</w:t>
      </w:r>
      <w:r>
        <w:rPr>
          <w:rFonts w:hint="eastAsia" w:ascii="宋体" w:hAnsi="宋体" w:eastAsia="宋体" w:cs="宋体"/>
          <w:sz w:val="24"/>
        </w:rPr>
        <w:t>发行人召开</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年年度股东大会</w:t>
      </w:r>
      <w:r>
        <w:rPr>
          <w:rFonts w:hint="eastAsia" w:ascii="宋体" w:hAnsi="宋体" w:eastAsia="宋体" w:cs="宋体"/>
          <w:sz w:val="10"/>
        </w:rPr>
        <w:t>，</w:t>
      </w:r>
      <w:r>
        <w:rPr>
          <w:rFonts w:hint="eastAsia" w:ascii="宋体" w:hAnsi="宋体" w:eastAsia="宋体" w:cs="宋体"/>
          <w:sz w:val="24"/>
        </w:rPr>
        <w:t>选举孙垚为公司董事</w:t>
      </w:r>
      <w:r>
        <w:rPr>
          <w:rFonts w:hint="eastAsia" w:ascii="宋体" w:hAnsi="宋体" w:eastAsia="宋体" w:cs="宋体"/>
          <w:sz w:val="10"/>
        </w:rPr>
        <w:t>，</w:t>
      </w:r>
      <w:r>
        <w:rPr>
          <w:rFonts w:hint="eastAsia" w:ascii="宋体" w:hAnsi="宋体" w:eastAsia="宋体" w:cs="宋体"/>
          <w:sz w:val="24"/>
        </w:rPr>
        <w:t>同时选举叶东毅</w:t>
      </w:r>
      <w:r>
        <w:rPr>
          <w:rFonts w:hint="eastAsia" w:ascii="宋体" w:hAnsi="宋体" w:eastAsia="宋体" w:cs="宋体"/>
          <w:sz w:val="10"/>
        </w:rPr>
        <w:t>、</w:t>
      </w:r>
      <w:r>
        <w:rPr>
          <w:rFonts w:hint="eastAsia" w:ascii="宋体" w:hAnsi="宋体" w:eastAsia="宋体" w:cs="宋体"/>
          <w:sz w:val="24"/>
        </w:rPr>
        <w:t>齐伟为公司独立董事</w:t>
      </w:r>
      <w:r>
        <w:rPr>
          <w:rFonts w:hint="eastAsia" w:ascii="宋体" w:hAnsi="宋体" w:eastAsia="宋体" w:cs="宋体"/>
          <w:sz w:val="10"/>
        </w:rPr>
        <w:t>，</w:t>
      </w:r>
      <w:r>
        <w:rPr>
          <w:rFonts w:hint="eastAsia" w:ascii="宋体" w:hAnsi="宋体" w:eastAsia="宋体" w:cs="宋体"/>
          <w:sz w:val="24"/>
        </w:rPr>
        <w:t>任期自</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29</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孙垚辞去发行人董事职务</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发行人股东金石投资推荐李军担任公司董事</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发行人召开</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年度股东大会</w:t>
      </w:r>
      <w:r>
        <w:rPr>
          <w:rFonts w:hint="eastAsia" w:ascii="宋体" w:hAnsi="宋体" w:eastAsia="宋体" w:cs="宋体"/>
          <w:sz w:val="10"/>
        </w:rPr>
        <w:t>，</w:t>
      </w:r>
      <w:r>
        <w:rPr>
          <w:rFonts w:hint="eastAsia" w:ascii="宋体" w:hAnsi="宋体" w:eastAsia="宋体" w:cs="宋体"/>
          <w:sz w:val="24"/>
        </w:rPr>
        <w:t>选举李军为公司董事</w:t>
      </w:r>
      <w:r>
        <w:rPr>
          <w:rFonts w:hint="eastAsia" w:ascii="宋体" w:hAnsi="宋体" w:eastAsia="宋体" w:cs="宋体"/>
          <w:sz w:val="10"/>
        </w:rPr>
        <w:t>，</w:t>
      </w:r>
      <w:r>
        <w:rPr>
          <w:rFonts w:hint="eastAsia" w:ascii="宋体" w:hAnsi="宋体" w:eastAsia="宋体" w:cs="宋体"/>
          <w:sz w:val="24"/>
        </w:rPr>
        <w:t>任期自</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许萍辞去发行人独立董事职务</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发行人召开</w:t>
      </w:r>
      <w:r>
        <w:rPr>
          <w:rFonts w:hint="eastAsia" w:ascii="Times New Roman" w:hAnsi="Times New Roman" w:eastAsia="Times New Roman" w:cs="Times New Roman"/>
          <w:sz w:val="24"/>
        </w:rPr>
        <w:t xml:space="preserve"> 2016</w:t>
      </w:r>
      <w:r>
        <w:rPr>
          <w:rFonts w:hint="eastAsia" w:ascii="宋体" w:hAnsi="宋体" w:eastAsia="宋体" w:cs="宋体"/>
          <w:sz w:val="24"/>
        </w:rPr>
        <w:t>年第二次临时股东大会</w:t>
      </w:r>
      <w:r>
        <w:rPr>
          <w:rFonts w:hint="eastAsia" w:ascii="宋体" w:hAnsi="宋体" w:eastAsia="宋体" w:cs="宋体"/>
          <w:sz w:val="10"/>
        </w:rPr>
        <w:t>，</w:t>
      </w:r>
      <w:r>
        <w:rPr>
          <w:rFonts w:hint="eastAsia" w:ascii="宋体" w:hAnsi="宋体" w:eastAsia="宋体" w:cs="宋体"/>
          <w:sz w:val="24"/>
        </w:rPr>
        <w:t>选举徐青为独立董事</w:t>
      </w:r>
      <w:r>
        <w:rPr>
          <w:rFonts w:hint="eastAsia" w:ascii="宋体" w:hAnsi="宋体" w:eastAsia="宋体" w:cs="宋体"/>
          <w:sz w:val="10"/>
        </w:rPr>
        <w:t>，</w:t>
      </w:r>
      <w:r>
        <w:rPr>
          <w:rFonts w:hint="eastAsia" w:ascii="宋体" w:hAnsi="宋体" w:eastAsia="宋体" w:cs="宋体"/>
          <w:sz w:val="24"/>
        </w:rPr>
        <w:t>任期自</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年</w:t>
      </w:r>
      <w:r>
        <w:rPr>
          <w:rFonts w:hint="eastAsia" w:ascii="Times New Roman" w:hAnsi="Times New Roman" w:eastAsia="Times New Roman" w:cs="Times New Roman"/>
          <w:sz w:val="24"/>
        </w:rPr>
        <w:t>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宋体" w:hAnsi="宋体" w:eastAsia="宋体" w:cs="宋体"/>
          <w:b/>
          <w:sz w:val="24"/>
        </w:rPr>
        <w:t>（二）监事变动情况</w:t>
      </w:r>
    </w:p>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年初</w:t>
      </w:r>
      <w:r>
        <w:rPr>
          <w:rFonts w:hint="eastAsia" w:ascii="宋体" w:hAnsi="宋体" w:eastAsia="宋体" w:cs="宋体"/>
          <w:sz w:val="10"/>
        </w:rPr>
        <w:t>，</w:t>
      </w:r>
      <w:r>
        <w:rPr>
          <w:rFonts w:hint="eastAsia" w:ascii="宋体" w:hAnsi="宋体" w:eastAsia="宋体" w:cs="宋体"/>
          <w:sz w:val="24"/>
        </w:rPr>
        <w:t>本公司监事会成员为欧永</w:t>
      </w:r>
      <w:r>
        <w:rPr>
          <w:rFonts w:hint="eastAsia" w:ascii="宋体" w:hAnsi="宋体" w:eastAsia="宋体" w:cs="宋体"/>
          <w:sz w:val="10"/>
        </w:rPr>
        <w:t>、</w:t>
      </w:r>
      <w:r>
        <w:rPr>
          <w:rFonts w:hint="eastAsia" w:ascii="宋体" w:hAnsi="宋体" w:eastAsia="宋体" w:cs="宋体"/>
          <w:sz w:val="24"/>
        </w:rPr>
        <w:t>林秀红</w:t>
      </w:r>
      <w:r>
        <w:rPr>
          <w:rFonts w:hint="eastAsia" w:ascii="宋体" w:hAnsi="宋体" w:eastAsia="宋体" w:cs="宋体"/>
          <w:sz w:val="10"/>
        </w:rPr>
        <w:t>、</w:t>
      </w:r>
      <w:r>
        <w:rPr>
          <w:rFonts w:hint="eastAsia" w:ascii="宋体" w:hAnsi="宋体" w:eastAsia="宋体" w:cs="宋体"/>
          <w:sz w:val="24"/>
        </w:rPr>
        <w:t>郑元通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林秀红辞去监事职务</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发行人召开</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年年度股东大会</w:t>
      </w:r>
      <w:r>
        <w:rPr>
          <w:rFonts w:hint="eastAsia" w:ascii="宋体" w:hAnsi="宋体" w:eastAsia="宋体" w:cs="宋体"/>
          <w:sz w:val="10"/>
        </w:rPr>
        <w:t>，</w:t>
      </w:r>
      <w:r>
        <w:rPr>
          <w:rFonts w:hint="eastAsia" w:ascii="宋体" w:hAnsi="宋体" w:eastAsia="宋体" w:cs="宋体"/>
          <w:sz w:val="24"/>
        </w:rPr>
        <w:t>选举张家荣为监事</w:t>
      </w:r>
      <w:r>
        <w:rPr>
          <w:rFonts w:hint="eastAsia" w:ascii="宋体" w:hAnsi="宋体" w:eastAsia="宋体" w:cs="宋体"/>
          <w:sz w:val="10"/>
        </w:rPr>
        <w:t>，</w:t>
      </w:r>
      <w:r>
        <w:rPr>
          <w:rFonts w:hint="eastAsia" w:ascii="宋体" w:hAnsi="宋体" w:eastAsia="宋体" w:cs="宋体"/>
          <w:sz w:val="24"/>
        </w:rPr>
        <w:t>任期自</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29</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800"/>
        <w:jc w:val="both"/>
      </w:pPr>
      <w:r>
        <w:rPr>
          <w:rFonts w:hint="eastAsia" w:ascii="宋体" w:hAnsi="宋体" w:eastAsia="宋体" w:cs="宋体"/>
          <w:b/>
          <w:sz w:val="24"/>
        </w:rPr>
        <w:t>（三）高级管理人员变动情况</w:t>
      </w:r>
    </w:p>
    <w:p>
      <w:pPr>
        <w:spacing w:line="200" w:lineRule="exact"/>
        <w:rPr>
          <w:rFonts w:hint="eastAsia" w:ascii="宋体" w:hAnsi="宋体" w:eastAsia="宋体" w:cs="宋体"/>
          <w:sz w:val="20"/>
        </w:rPr>
      </w:pPr>
    </w:p>
    <w:p>
      <w:pPr>
        <w:autoSpaceDE w:val="false"/>
        <w:autoSpaceDN w:val="false"/>
        <w:spacing w:line="340" w:lineRule="exact"/>
        <w:ind w:left="2280"/>
        <w:jc w:val="both"/>
      </w:pPr>
      <w:r>
        <w:rPr>
          <w:rFonts w:hint="eastAsia" w:ascii="宋体" w:hAnsi="宋体" w:eastAsia="宋体" w:cs="宋体"/>
          <w:sz w:val="24"/>
        </w:rPr>
        <w:t>本公司高级管理人员为严孟宇</w:t>
      </w:r>
      <w:r>
        <w:rPr>
          <w:rFonts w:hint="eastAsia" w:ascii="宋体" w:hAnsi="宋体" w:eastAsia="宋体" w:cs="宋体"/>
          <w:sz w:val="10"/>
        </w:rPr>
        <w:t>、</w:t>
      </w:r>
      <w:r>
        <w:rPr>
          <w:rFonts w:hint="eastAsia" w:ascii="宋体" w:hAnsi="宋体" w:eastAsia="宋体" w:cs="宋体"/>
          <w:sz w:val="24"/>
        </w:rPr>
        <w:t>赵伟</w:t>
      </w:r>
      <w:r>
        <w:rPr>
          <w:rFonts w:hint="eastAsia" w:ascii="宋体" w:hAnsi="宋体" w:eastAsia="宋体" w:cs="宋体"/>
          <w:sz w:val="10"/>
        </w:rPr>
        <w:t>、</w:t>
      </w:r>
      <w:r>
        <w:rPr>
          <w:rFonts w:hint="eastAsia" w:ascii="宋体" w:hAnsi="宋体" w:eastAsia="宋体" w:cs="宋体"/>
          <w:sz w:val="24"/>
        </w:rPr>
        <w:t>雷世潘</w:t>
      </w:r>
      <w:r>
        <w:rPr>
          <w:rFonts w:hint="eastAsia" w:ascii="宋体" w:hAnsi="宋体" w:eastAsia="宋体" w:cs="宋体"/>
          <w:sz w:val="10"/>
        </w:rPr>
        <w:t>。</w:t>
      </w:r>
      <w:r>
        <w:rPr>
          <w:rFonts w:hint="eastAsia" w:ascii="宋体" w:hAnsi="宋体" w:eastAsia="宋体" w:cs="宋体"/>
          <w:sz w:val="24"/>
        </w:rPr>
        <w:t>最近三年内公司高级管理人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1-1-196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sz w:val="24"/>
        </w:rPr>
        <w:t>员未发生变动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jc w:val="both"/>
      </w:pPr>
      <w:r>
        <w:rPr>
          <w:rFonts w:hint="eastAsia" w:ascii="宋体" w:hAnsi="宋体" w:eastAsia="宋体" w:cs="宋体"/>
          <w:b/>
          <w:sz w:val="24"/>
        </w:rPr>
        <w:t>（四）报告期内发行人董事</w:t>
      </w:r>
      <w:r>
        <w:rPr>
          <w:rFonts w:hint="eastAsia" w:ascii="宋体" w:hAnsi="宋体" w:eastAsia="宋体" w:cs="宋体"/>
          <w:b/>
          <w:sz w:val="10"/>
        </w:rPr>
        <w:t>、</w:t>
      </w:r>
      <w:r>
        <w:rPr>
          <w:rFonts w:hint="eastAsia" w:ascii="宋体" w:hAnsi="宋体" w:eastAsia="宋体" w:cs="宋体"/>
          <w:b/>
          <w:sz w:val="24"/>
        </w:rPr>
        <w:t>监事</w:t>
      </w:r>
      <w:r>
        <w:rPr>
          <w:rFonts w:hint="eastAsia" w:ascii="宋体" w:hAnsi="宋体" w:eastAsia="宋体" w:cs="宋体"/>
          <w:b/>
          <w:sz w:val="10"/>
        </w:rPr>
        <w:t>、</w:t>
      </w:r>
      <w:r>
        <w:rPr>
          <w:rFonts w:hint="eastAsia" w:ascii="宋体" w:hAnsi="宋体" w:eastAsia="宋体" w:cs="宋体"/>
          <w:b/>
          <w:sz w:val="24"/>
        </w:rPr>
        <w:t>高级管理人员变动的原因及中介机构的核查意见</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孙垚担任及辞去董事</w:t>
      </w:r>
      <w:r>
        <w:rPr>
          <w:rFonts w:hint="eastAsia" w:ascii="宋体" w:hAnsi="宋体" w:eastAsia="宋体" w:cs="宋体"/>
          <w:sz w:val="10"/>
        </w:rPr>
        <w:t>、</w:t>
      </w:r>
      <w:r>
        <w:rPr>
          <w:rFonts w:hint="eastAsia" w:ascii="宋体" w:hAnsi="宋体" w:eastAsia="宋体" w:cs="宋体"/>
          <w:sz w:val="24"/>
        </w:rPr>
        <w:t>李军担任发行人董事</w:t>
      </w:r>
      <w:r>
        <w:rPr>
          <w:rFonts w:hint="eastAsia" w:ascii="宋体" w:hAnsi="宋体" w:eastAsia="宋体" w:cs="宋体"/>
          <w:sz w:val="10"/>
        </w:rPr>
        <w:t>、</w:t>
      </w:r>
      <w:r>
        <w:rPr>
          <w:rFonts w:hint="eastAsia" w:ascii="宋体" w:hAnsi="宋体" w:eastAsia="宋体" w:cs="宋体"/>
          <w:sz w:val="24"/>
        </w:rPr>
        <w:t>张家荣担任发行人监事等变动是由于股东金石投资的推荐及其内部人员就职变动及调整所致</w:t>
      </w:r>
      <w:r>
        <w:rPr>
          <w:rFonts w:hint="eastAsia" w:ascii="宋体" w:hAnsi="宋体" w:eastAsia="宋体" w:cs="宋体"/>
          <w:sz w:val="10"/>
        </w:rPr>
        <w:t>。</w:t>
      </w:r>
      <w:r>
        <w:rPr>
          <w:rFonts w:hint="eastAsia" w:ascii="宋体" w:hAnsi="宋体" w:eastAsia="宋体" w:cs="宋体"/>
          <w:sz w:val="24"/>
        </w:rPr>
        <w:t>其他人员任职的变更为其因个人原因辞去相应职务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最近三年内</w:t>
      </w:r>
      <w:r>
        <w:rPr>
          <w:rFonts w:hint="eastAsia" w:ascii="宋体" w:hAnsi="宋体" w:eastAsia="宋体" w:cs="宋体"/>
          <w:sz w:val="10"/>
        </w:rPr>
        <w:t>，</w:t>
      </w:r>
      <w:r>
        <w:rPr>
          <w:rFonts w:hint="eastAsia" w:ascii="宋体" w:hAnsi="宋体" w:eastAsia="宋体" w:cs="宋体"/>
          <w:sz w:val="24"/>
        </w:rPr>
        <w:t>公司董事和高级管理人员未发生重大变化</w:t>
      </w:r>
      <w:r>
        <w:rPr>
          <w:rFonts w:hint="eastAsia" w:ascii="宋体" w:hAnsi="宋体" w:eastAsia="宋体" w:cs="宋体"/>
          <w:sz w:val="10"/>
        </w:rPr>
        <w:t>。</w:t>
      </w:r>
      <w:r>
        <w:rPr>
          <w:rFonts w:hint="eastAsia" w:ascii="宋体" w:hAnsi="宋体" w:eastAsia="宋体" w:cs="宋体"/>
          <w:sz w:val="24"/>
        </w:rPr>
        <w:t>公司上述董事</w:t>
      </w:r>
      <w:r>
        <w:rPr>
          <w:rFonts w:hint="eastAsia" w:ascii="宋体" w:hAnsi="宋体" w:eastAsia="宋体" w:cs="宋体"/>
          <w:sz w:val="10"/>
        </w:rPr>
        <w:t>、</w:t>
      </w:r>
      <w:r>
        <w:rPr>
          <w:rFonts w:hint="eastAsia" w:ascii="宋体" w:hAnsi="宋体" w:eastAsia="宋体" w:cs="宋体"/>
          <w:sz w:val="24"/>
        </w:rPr>
        <w:t>监事和高级管理人员变化系为规范公司法人治理结构</w:t>
      </w:r>
      <w:r>
        <w:rPr>
          <w:rFonts w:hint="eastAsia" w:ascii="宋体" w:hAnsi="宋体" w:eastAsia="宋体" w:cs="宋体"/>
          <w:sz w:val="10"/>
        </w:rPr>
        <w:t>，</w:t>
      </w:r>
      <w:r>
        <w:rPr>
          <w:rFonts w:hint="eastAsia" w:ascii="宋体" w:hAnsi="宋体" w:eastAsia="宋体" w:cs="宋体"/>
          <w:sz w:val="24"/>
        </w:rPr>
        <w:t>进一步提升公司的治理水平</w:t>
      </w:r>
      <w:r>
        <w:rPr>
          <w:rFonts w:hint="eastAsia" w:ascii="宋体" w:hAnsi="宋体" w:eastAsia="宋体" w:cs="宋体"/>
          <w:sz w:val="10"/>
        </w:rPr>
        <w:t>，</w:t>
      </w:r>
      <w:r>
        <w:rPr>
          <w:rFonts w:hint="eastAsia" w:ascii="宋体" w:hAnsi="宋体" w:eastAsia="宋体" w:cs="宋体"/>
          <w:sz w:val="24"/>
        </w:rPr>
        <w:t>且履行了必要的法律程序</w:t>
      </w:r>
      <w:r>
        <w:rPr>
          <w:rFonts w:hint="eastAsia" w:ascii="宋体" w:hAnsi="宋体" w:eastAsia="宋体" w:cs="宋体"/>
          <w:sz w:val="10"/>
        </w:rPr>
        <w:t>，</w:t>
      </w:r>
      <w:r>
        <w:rPr>
          <w:rFonts w:hint="eastAsia" w:ascii="宋体" w:hAnsi="宋体" w:eastAsia="宋体" w:cs="宋体"/>
          <w:sz w:val="24"/>
        </w:rPr>
        <w:t>符合法律</w:t>
      </w:r>
      <w:r>
        <w:rPr>
          <w:rFonts w:hint="eastAsia" w:ascii="宋体" w:hAnsi="宋体" w:eastAsia="宋体" w:cs="宋体"/>
          <w:sz w:val="10"/>
        </w:rPr>
        <w:t>、</w:t>
      </w:r>
      <w:r>
        <w:rPr>
          <w:rFonts w:hint="eastAsia" w:ascii="宋体" w:hAnsi="宋体" w:eastAsia="宋体" w:cs="宋体"/>
          <w:sz w:val="24"/>
        </w:rPr>
        <w:t>法规及有关规范性文件和《公司章程》的规定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经核查</w:t>
      </w:r>
      <w:r>
        <w:rPr>
          <w:rFonts w:hint="eastAsia" w:ascii="宋体" w:hAnsi="宋体" w:eastAsia="宋体" w:cs="宋体"/>
          <w:sz w:val="10"/>
        </w:rPr>
        <w:t>，</w:t>
      </w:r>
      <w:r>
        <w:rPr>
          <w:rFonts w:hint="eastAsia" w:ascii="宋体" w:hAnsi="宋体" w:eastAsia="宋体" w:cs="宋体"/>
          <w:sz w:val="24"/>
        </w:rPr>
        <w:t>保荐机构</w:t>
      </w:r>
      <w:r>
        <w:rPr>
          <w:rFonts w:hint="eastAsia" w:ascii="宋体" w:hAnsi="宋体" w:eastAsia="宋体" w:cs="宋体"/>
          <w:sz w:val="10"/>
        </w:rPr>
        <w:t>、</w:t>
      </w:r>
      <w:r>
        <w:rPr>
          <w:rFonts w:hint="eastAsia" w:ascii="宋体" w:hAnsi="宋体" w:eastAsia="宋体" w:cs="宋体"/>
          <w:sz w:val="24"/>
        </w:rPr>
        <w:t>发行人律师认为</w:t>
      </w:r>
      <w:r>
        <w:rPr>
          <w:rFonts w:hint="eastAsia" w:ascii="宋体" w:hAnsi="宋体" w:eastAsia="宋体" w:cs="宋体"/>
          <w:sz w:val="12"/>
        </w:rPr>
        <w:t>：</w:t>
      </w:r>
      <w:r>
        <w:rPr>
          <w:rFonts w:hint="eastAsia" w:ascii="宋体" w:hAnsi="宋体" w:eastAsia="宋体" w:cs="宋体"/>
          <w:sz w:val="24"/>
        </w:rPr>
        <w:t>发行人上述董事</w:t>
      </w:r>
      <w:r>
        <w:rPr>
          <w:rFonts w:hint="eastAsia" w:ascii="宋体" w:hAnsi="宋体" w:eastAsia="宋体" w:cs="宋体"/>
          <w:sz w:val="10"/>
        </w:rPr>
        <w:t>、</w:t>
      </w:r>
      <w:r>
        <w:rPr>
          <w:rFonts w:hint="eastAsia" w:ascii="宋体" w:hAnsi="宋体" w:eastAsia="宋体" w:cs="宋体"/>
          <w:sz w:val="24"/>
        </w:rPr>
        <w:t>监事及高级管理人员的变动均履行了必要的程序</w:t>
      </w:r>
      <w:r>
        <w:rPr>
          <w:rFonts w:hint="eastAsia" w:ascii="宋体" w:hAnsi="宋体" w:eastAsia="宋体" w:cs="宋体"/>
          <w:sz w:val="10"/>
        </w:rPr>
        <w:t>，</w:t>
      </w:r>
      <w:r>
        <w:rPr>
          <w:rFonts w:hint="eastAsia" w:ascii="宋体" w:hAnsi="宋体" w:eastAsia="宋体" w:cs="宋体"/>
          <w:sz w:val="24"/>
        </w:rPr>
        <w:t>符合法律法规和公司章程的规定</w:t>
      </w:r>
      <w:r>
        <w:rPr>
          <w:rFonts w:hint="eastAsia" w:ascii="宋体" w:hAnsi="宋体" w:eastAsia="宋体" w:cs="宋体"/>
          <w:sz w:val="10"/>
        </w:rPr>
        <w:t>。</w:t>
      </w:r>
      <w:r>
        <w:rPr>
          <w:rFonts w:hint="eastAsia" w:ascii="宋体" w:hAnsi="宋体" w:eastAsia="宋体" w:cs="宋体"/>
          <w:sz w:val="24"/>
        </w:rPr>
        <w:t>报告期内发行人董事</w:t>
      </w:r>
      <w:r>
        <w:rPr>
          <w:rFonts w:hint="eastAsia" w:ascii="宋体" w:hAnsi="宋体" w:eastAsia="宋体" w:cs="宋体"/>
          <w:sz w:val="10"/>
        </w:rPr>
        <w:t>、</w:t>
      </w:r>
      <w:r>
        <w:rPr>
          <w:rFonts w:hint="eastAsia" w:ascii="宋体" w:hAnsi="宋体" w:eastAsia="宋体" w:cs="宋体"/>
          <w:sz w:val="24"/>
        </w:rPr>
        <w:t>监事及高级管理人员除上述变动外</w:t>
      </w:r>
      <w:r>
        <w:rPr>
          <w:rFonts w:hint="eastAsia" w:ascii="宋体" w:hAnsi="宋体" w:eastAsia="宋体" w:cs="宋体"/>
          <w:sz w:val="10"/>
        </w:rPr>
        <w:t>，</w:t>
      </w:r>
      <w:r>
        <w:rPr>
          <w:rFonts w:hint="eastAsia" w:ascii="宋体" w:hAnsi="宋体" w:eastAsia="宋体" w:cs="宋体"/>
          <w:sz w:val="24"/>
        </w:rPr>
        <w:t>以严孟宇为核心的经营管理层未发生变动</w:t>
      </w:r>
      <w:r>
        <w:rPr>
          <w:rFonts w:hint="eastAsia" w:ascii="宋体" w:hAnsi="宋体" w:eastAsia="宋体" w:cs="宋体"/>
          <w:sz w:val="10"/>
        </w:rPr>
        <w:t>，</w:t>
      </w:r>
      <w:r>
        <w:rPr>
          <w:rFonts w:hint="eastAsia" w:ascii="宋体" w:hAnsi="宋体" w:eastAsia="宋体" w:cs="宋体"/>
          <w:sz w:val="24"/>
        </w:rPr>
        <w:t>不影响公司经营决策的连续性和一贯性</w:t>
      </w:r>
      <w:r>
        <w:rPr>
          <w:rFonts w:hint="eastAsia" w:ascii="宋体" w:hAnsi="宋体" w:eastAsia="宋体" w:cs="宋体"/>
          <w:sz w:val="10"/>
        </w:rPr>
        <w:t>，</w:t>
      </w:r>
      <w:r>
        <w:rPr>
          <w:rFonts w:hint="eastAsia" w:ascii="宋体" w:hAnsi="宋体" w:eastAsia="宋体" w:cs="宋体"/>
          <w:sz w:val="24"/>
        </w:rPr>
        <w:t>不会对公司的经营管理构成不利影响</w:t>
      </w:r>
      <w:r>
        <w:rPr>
          <w:rFonts w:hint="eastAsia" w:ascii="宋体" w:hAnsi="宋体" w:eastAsia="宋体" w:cs="宋体"/>
          <w:sz w:val="10"/>
        </w:rPr>
        <w:t>，</w:t>
      </w:r>
      <w:r>
        <w:rPr>
          <w:rFonts w:hint="eastAsia" w:ascii="宋体" w:hAnsi="宋体" w:eastAsia="宋体" w:cs="宋体"/>
          <w:sz w:val="24"/>
        </w:rPr>
        <w:t>符合《首发管理办法》第十二条的规定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1-1-197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4580"/>
        <w:jc w:val="both"/>
      </w:pPr>
      <w:r>
        <w:rPr>
          <w:rFonts w:hint="eastAsia" w:ascii="ºÚÌå" w:hAnsi="ºÚÌå" w:eastAsia="ºÚÌå" w:cs="ºÚÌå"/>
          <w:b/>
          <w:sz w:val="36"/>
        </w:rPr>
        <w:t>第九节</w:t>
      </w:r>
      <w:r>
        <w:rPr>
          <w:rFonts w:hint="eastAsia" w:ascii="ºÚÌå" w:hAnsi="ºÚÌå" w:eastAsia="ºÚÌå" w:cs="ºÚÌå"/>
          <w:b/>
          <w:sz w:val="36"/>
        </w:rPr>
        <w:t xml:space="preserve"> </w:t>
      </w:r>
      <w:r>
        <w:rPr>
          <w:rFonts w:hint="eastAsia" w:ascii="ºÚÌå" w:hAnsi="ºÚÌå" w:eastAsia="ºÚÌå" w:cs="ºÚÌå"/>
          <w:b/>
          <w:sz w:val="36"/>
        </w:rPr>
        <w:t>公司治理</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20" w:lineRule="exact"/>
        <w:ind w:left="1800"/>
        <w:jc w:val="both"/>
      </w:pPr>
      <w:r>
        <w:rPr>
          <w:rFonts w:hint="eastAsia" w:ascii="ºÚÌå" w:hAnsi="ºÚÌå" w:eastAsia="ºÚÌå" w:cs="ºÚÌå"/>
          <w:sz w:val="36"/>
        </w:rPr>
        <w:t>一、</w:t>
      </w:r>
      <w:r>
        <w:rPr>
          <w:rFonts w:hint="eastAsia" w:ascii="ºÚÌå" w:hAnsi="ºÚÌå" w:eastAsia="ºÚÌå" w:cs="ºÚÌå"/>
          <w:sz w:val="30"/>
        </w:rPr>
        <w:t>公司法人治理结构建立</w:t>
      </w:r>
      <w:r>
        <w:rPr>
          <w:rFonts w:hint="eastAsia" w:ascii="ºÚÌå" w:hAnsi="ºÚÌå" w:eastAsia="ºÚÌå" w:cs="ºÚÌå"/>
          <w:sz w:val="10"/>
        </w:rPr>
        <w:t>、</w:t>
      </w:r>
      <w:r>
        <w:rPr>
          <w:rFonts w:hint="eastAsia" w:ascii="ºÚÌå" w:hAnsi="ºÚÌå" w:eastAsia="ºÚÌå" w:cs="ºÚÌå"/>
          <w:sz w:val="30"/>
        </w:rPr>
        <w:t>健全及运行情况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本公司根据《公司法》、《</w:t>
      </w:r>
      <w:r>
        <w:rPr>
          <w:rFonts w:hint="eastAsia" w:ascii="宋体" w:hAnsi="宋体" w:eastAsia="宋体" w:cs="宋体"/>
          <w:sz w:val="24"/>
        </w:rPr>
        <w:t>证券法》、《</w:t>
      </w:r>
      <w:r>
        <w:rPr>
          <w:rFonts w:hint="eastAsia" w:ascii="宋体" w:hAnsi="宋体" w:eastAsia="宋体" w:cs="宋体"/>
          <w:sz w:val="24"/>
        </w:rPr>
        <w:t>上市公司章程指引》及其他法律法规要求</w:t>
      </w:r>
      <w:r>
        <w:rPr>
          <w:rFonts w:hint="eastAsia" w:ascii="宋体" w:hAnsi="宋体" w:eastAsia="宋体" w:cs="宋体"/>
          <w:sz w:val="10"/>
        </w:rPr>
        <w:t>，</w:t>
      </w:r>
      <w:r>
        <w:rPr>
          <w:rFonts w:hint="eastAsia" w:ascii="宋体" w:hAnsi="宋体" w:eastAsia="宋体" w:cs="宋体"/>
          <w:sz w:val="24"/>
        </w:rPr>
        <w:t>已形成了股东大会</w:t>
      </w:r>
      <w:r>
        <w:rPr>
          <w:rFonts w:hint="eastAsia" w:ascii="宋体" w:hAnsi="宋体" w:eastAsia="宋体" w:cs="宋体"/>
          <w:sz w:val="10"/>
        </w:rPr>
        <w:t>、</w:t>
      </w:r>
      <w:r>
        <w:rPr>
          <w:rFonts w:hint="eastAsia" w:ascii="宋体" w:hAnsi="宋体" w:eastAsia="宋体" w:cs="宋体"/>
          <w:sz w:val="24"/>
        </w:rPr>
        <w:t>董事会</w:t>
      </w:r>
      <w:r>
        <w:rPr>
          <w:rFonts w:hint="eastAsia" w:ascii="宋体" w:hAnsi="宋体" w:eastAsia="宋体" w:cs="宋体"/>
          <w:sz w:val="10"/>
        </w:rPr>
        <w:t>、</w:t>
      </w:r>
      <w:r>
        <w:rPr>
          <w:rFonts w:hint="eastAsia" w:ascii="宋体" w:hAnsi="宋体" w:eastAsia="宋体" w:cs="宋体"/>
          <w:sz w:val="24"/>
        </w:rPr>
        <w:t>监事会和管理层之间职责分工明确</w:t>
      </w:r>
      <w:r>
        <w:rPr>
          <w:rFonts w:hint="eastAsia" w:ascii="宋体" w:hAnsi="宋体" w:eastAsia="宋体" w:cs="宋体"/>
          <w:sz w:val="10"/>
        </w:rPr>
        <w:t>、</w:t>
      </w:r>
      <w:r>
        <w:rPr>
          <w:rFonts w:hint="eastAsia" w:ascii="宋体" w:hAnsi="宋体" w:eastAsia="宋体" w:cs="宋体"/>
          <w:sz w:val="24"/>
        </w:rPr>
        <w:t>依法规范运作的法人治理结构</w:t>
      </w:r>
      <w:r>
        <w:rPr>
          <w:rFonts w:hint="eastAsia" w:ascii="宋体" w:hAnsi="宋体" w:eastAsia="宋体" w:cs="宋体"/>
          <w:sz w:val="14"/>
        </w:rPr>
        <w:t>；</w:t>
      </w:r>
      <w:r>
        <w:rPr>
          <w:rFonts w:hint="eastAsia" w:ascii="宋体" w:hAnsi="宋体" w:eastAsia="宋体" w:cs="宋体"/>
          <w:sz w:val="24"/>
        </w:rPr>
        <w:t>并制订了股东大会</w:t>
      </w:r>
      <w:r>
        <w:rPr>
          <w:rFonts w:hint="eastAsia" w:ascii="宋体" w:hAnsi="宋体" w:eastAsia="宋体" w:cs="宋体"/>
          <w:sz w:val="10"/>
        </w:rPr>
        <w:t>、</w:t>
      </w:r>
      <w:r>
        <w:rPr>
          <w:rFonts w:hint="eastAsia" w:ascii="宋体" w:hAnsi="宋体" w:eastAsia="宋体" w:cs="宋体"/>
          <w:sz w:val="24"/>
        </w:rPr>
        <w:t>董事会</w:t>
      </w:r>
      <w:r>
        <w:rPr>
          <w:rFonts w:hint="eastAsia" w:ascii="宋体" w:hAnsi="宋体" w:eastAsia="宋体" w:cs="宋体"/>
          <w:sz w:val="10"/>
        </w:rPr>
        <w:t>、</w:t>
      </w:r>
      <w:r>
        <w:rPr>
          <w:rFonts w:hint="eastAsia" w:ascii="宋体" w:hAnsi="宋体" w:eastAsia="宋体" w:cs="宋体"/>
          <w:sz w:val="24"/>
        </w:rPr>
        <w:t>监事会的职权和议事规则</w:t>
      </w:r>
      <w:r>
        <w:rPr>
          <w:rFonts w:hint="eastAsia" w:ascii="宋体" w:hAnsi="宋体" w:eastAsia="宋体" w:cs="宋体"/>
          <w:sz w:val="10"/>
        </w:rPr>
        <w:t>，</w:t>
      </w:r>
      <w:r>
        <w:rPr>
          <w:rFonts w:hint="eastAsia" w:ascii="宋体" w:hAnsi="宋体" w:eastAsia="宋体" w:cs="宋体"/>
          <w:sz w:val="24"/>
        </w:rPr>
        <w:t>对独立董事产生办法及发挥作用的制度进行了具体规定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（一）股东大会制度的建立</w:t>
      </w:r>
      <w:r>
        <w:rPr>
          <w:rFonts w:hint="eastAsia" w:ascii="宋体" w:hAnsi="宋体" w:eastAsia="宋体" w:cs="宋体"/>
          <w:b/>
          <w:sz w:val="10"/>
        </w:rPr>
        <w:t>、</w:t>
      </w:r>
      <w:r>
        <w:rPr>
          <w:rFonts w:hint="eastAsia" w:ascii="宋体" w:hAnsi="宋体" w:eastAsia="宋体" w:cs="宋体"/>
          <w:b/>
          <w:sz w:val="24"/>
        </w:rPr>
        <w:t>健全及运行情况</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公司于</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日召开创立大会</w:t>
      </w:r>
      <w:r>
        <w:rPr>
          <w:rFonts w:hint="eastAsia" w:ascii="宋体" w:hAnsi="宋体" w:eastAsia="宋体" w:cs="宋体"/>
          <w:sz w:val="10"/>
        </w:rPr>
        <w:t>，</w:t>
      </w:r>
      <w:r>
        <w:rPr>
          <w:rFonts w:hint="eastAsia" w:ascii="宋体" w:hAnsi="宋体" w:eastAsia="宋体" w:cs="宋体"/>
          <w:sz w:val="24"/>
        </w:rPr>
        <w:t>审议通过了《公司章程》及《股东大会议事规则》，</w:t>
      </w:r>
      <w:r>
        <w:rPr>
          <w:rFonts w:hint="eastAsia" w:ascii="宋体" w:hAnsi="宋体" w:eastAsia="宋体" w:cs="宋体"/>
          <w:sz w:val="24"/>
        </w:rPr>
        <w:t>选举产生了第一届董事会成员和第一届监事会中由股东代表出任的监事</w:t>
      </w:r>
      <w:r>
        <w:rPr>
          <w:rFonts w:hint="eastAsia" w:ascii="宋体" w:hAnsi="宋体" w:eastAsia="宋体" w:cs="宋体"/>
          <w:sz w:val="10"/>
        </w:rPr>
        <w:t>。</w:t>
      </w:r>
      <w:r>
        <w:rPr>
          <w:rFonts w:hint="eastAsia" w:ascii="宋体" w:hAnsi="宋体" w:eastAsia="宋体" w:cs="宋体"/>
          <w:sz w:val="24"/>
        </w:rPr>
        <w:t>此后</w:t>
      </w:r>
      <w:r>
        <w:rPr>
          <w:rFonts w:hint="eastAsia" w:ascii="宋体" w:hAnsi="宋体" w:eastAsia="宋体" w:cs="宋体"/>
          <w:sz w:val="10"/>
        </w:rPr>
        <w:t>，</w:t>
      </w:r>
      <w:r>
        <w:rPr>
          <w:rFonts w:hint="eastAsia" w:ascii="宋体" w:hAnsi="宋体" w:eastAsia="宋体" w:cs="宋体"/>
          <w:sz w:val="24"/>
        </w:rPr>
        <w:t>根据《公司法》及有关规定</w:t>
      </w:r>
      <w:r>
        <w:rPr>
          <w:rFonts w:hint="eastAsia" w:ascii="宋体" w:hAnsi="宋体" w:eastAsia="宋体" w:cs="宋体"/>
          <w:sz w:val="10"/>
        </w:rPr>
        <w:t>，</w:t>
      </w:r>
      <w:r>
        <w:rPr>
          <w:rFonts w:hint="eastAsia" w:ascii="宋体" w:hAnsi="宋体" w:eastAsia="宋体" w:cs="宋体"/>
          <w:sz w:val="24"/>
        </w:rPr>
        <w:t>公司进一步健全了《公司章程》和《股东大会议事规则》。</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股东权利和义务</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公司股东为依法持有公司股份的人</w:t>
      </w:r>
      <w:r>
        <w:rPr>
          <w:rFonts w:hint="eastAsia" w:ascii="宋体" w:hAnsi="宋体" w:eastAsia="宋体" w:cs="宋体"/>
          <w:sz w:val="10"/>
        </w:rPr>
        <w:t>，</w:t>
      </w:r>
      <w:r>
        <w:rPr>
          <w:rFonts w:hint="eastAsia" w:ascii="宋体" w:hAnsi="宋体" w:eastAsia="宋体" w:cs="宋体"/>
          <w:sz w:val="24"/>
        </w:rPr>
        <w:t>按照《公司章程》规定</w:t>
      </w:r>
      <w:r>
        <w:rPr>
          <w:rFonts w:hint="eastAsia" w:ascii="宋体" w:hAnsi="宋体" w:eastAsia="宋体" w:cs="宋体"/>
          <w:sz w:val="10"/>
        </w:rPr>
        <w:t>，</w:t>
      </w:r>
      <w:r>
        <w:rPr>
          <w:rFonts w:hint="eastAsia" w:ascii="宋体" w:hAnsi="宋体" w:eastAsia="宋体" w:cs="宋体"/>
          <w:sz w:val="24"/>
        </w:rPr>
        <w:t>依法享有收益分配</w:t>
      </w:r>
      <w:r>
        <w:rPr>
          <w:rFonts w:hint="eastAsia" w:ascii="宋体" w:hAnsi="宋体" w:eastAsia="宋体" w:cs="宋体"/>
          <w:sz w:val="10"/>
        </w:rPr>
        <w:t>、</w:t>
      </w:r>
      <w:r>
        <w:rPr>
          <w:rFonts w:hint="eastAsia" w:ascii="宋体" w:hAnsi="宋体" w:eastAsia="宋体" w:cs="宋体"/>
          <w:sz w:val="24"/>
        </w:rPr>
        <w:t>参加股东大会并行使相应的表决权</w:t>
      </w:r>
      <w:r>
        <w:rPr>
          <w:rFonts w:hint="eastAsia" w:ascii="宋体" w:hAnsi="宋体" w:eastAsia="宋体" w:cs="宋体"/>
          <w:sz w:val="10"/>
        </w:rPr>
        <w:t>、</w:t>
      </w:r>
      <w:r>
        <w:rPr>
          <w:rFonts w:hint="eastAsia" w:ascii="宋体" w:hAnsi="宋体" w:eastAsia="宋体" w:cs="宋体"/>
          <w:sz w:val="24"/>
        </w:rPr>
        <w:t>对公司的经营进行监督等权利</w:t>
      </w:r>
      <w:r>
        <w:rPr>
          <w:rFonts w:hint="eastAsia" w:ascii="宋体" w:hAnsi="宋体" w:eastAsia="宋体" w:cs="宋体"/>
          <w:sz w:val="10"/>
        </w:rPr>
        <w:t>，</w:t>
      </w:r>
      <w:r>
        <w:rPr>
          <w:rFonts w:hint="eastAsia" w:ascii="宋体" w:hAnsi="宋体" w:eastAsia="宋体" w:cs="宋体"/>
          <w:sz w:val="24"/>
        </w:rPr>
        <w:t>并承担相应的义务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股东大会职权</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股东大会是公司的权力机构</w:t>
      </w:r>
      <w:r>
        <w:rPr>
          <w:rFonts w:hint="eastAsia" w:ascii="宋体" w:hAnsi="宋体" w:eastAsia="宋体" w:cs="宋体"/>
          <w:sz w:val="10"/>
        </w:rPr>
        <w:t>，</w:t>
      </w:r>
      <w:r>
        <w:rPr>
          <w:rFonts w:hint="eastAsia" w:ascii="宋体" w:hAnsi="宋体" w:eastAsia="宋体" w:cs="宋体"/>
          <w:sz w:val="24"/>
        </w:rPr>
        <w:t>依法行使下列职权</w:t>
      </w:r>
      <w:r>
        <w:rPr>
          <w:rFonts w:hint="eastAsia" w:ascii="宋体" w:hAnsi="宋体" w:eastAsia="宋体" w:cs="宋体"/>
          <w:sz w:val="12"/>
        </w:rPr>
        <w:t>：</w:t>
      </w:r>
      <w:r>
        <w:rPr>
          <w:rFonts w:hint="eastAsia" w:ascii="宋体" w:hAnsi="宋体" w:eastAsia="宋体" w:cs="宋体"/>
          <w:sz w:val="24"/>
        </w:rPr>
        <w:t>决定公司的经营方针和投资计划</w:t>
      </w:r>
      <w:r>
        <w:rPr>
          <w:rFonts w:hint="eastAsia" w:ascii="宋体" w:hAnsi="宋体" w:eastAsia="宋体" w:cs="宋体"/>
          <w:sz w:val="14"/>
        </w:rPr>
        <w:t>；</w:t>
      </w:r>
      <w:r>
        <w:rPr>
          <w:rFonts w:hint="eastAsia" w:ascii="宋体" w:hAnsi="宋体" w:eastAsia="宋体" w:cs="宋体"/>
          <w:sz w:val="24"/>
        </w:rPr>
        <w:t>选举和更换非由职工代表担任的董事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决定有关董事</w:t>
      </w:r>
      <w:r>
        <w:rPr>
          <w:rFonts w:hint="eastAsia" w:ascii="宋体" w:hAnsi="宋体" w:eastAsia="宋体" w:cs="宋体"/>
          <w:sz w:val="10"/>
        </w:rPr>
        <w:t>、</w:t>
      </w:r>
      <w:r>
        <w:rPr>
          <w:rFonts w:hint="eastAsia" w:ascii="宋体" w:hAnsi="宋体" w:eastAsia="宋体" w:cs="宋体"/>
          <w:sz w:val="24"/>
        </w:rPr>
        <w:t>监事的报酬事项</w:t>
      </w:r>
      <w:r>
        <w:rPr>
          <w:rFonts w:hint="eastAsia" w:ascii="宋体" w:hAnsi="宋体" w:eastAsia="宋体" w:cs="宋体"/>
          <w:sz w:val="12"/>
        </w:rPr>
        <w:t>；</w:t>
      </w:r>
      <w:r>
        <w:rPr>
          <w:rFonts w:hint="eastAsia" w:ascii="宋体" w:hAnsi="宋体" w:eastAsia="宋体" w:cs="宋体"/>
          <w:sz w:val="24"/>
        </w:rPr>
        <w:t>审议批准董事会的报告</w:t>
      </w:r>
      <w:r>
        <w:rPr>
          <w:rFonts w:hint="eastAsia" w:ascii="宋体" w:hAnsi="宋体" w:eastAsia="宋体" w:cs="宋体"/>
          <w:sz w:val="12"/>
        </w:rPr>
        <w:t>；</w:t>
      </w:r>
      <w:r>
        <w:rPr>
          <w:rFonts w:hint="eastAsia" w:ascii="宋体" w:hAnsi="宋体" w:eastAsia="宋体" w:cs="宋体"/>
          <w:sz w:val="24"/>
        </w:rPr>
        <w:t>审议批准监事会报告</w:t>
      </w:r>
      <w:r>
        <w:rPr>
          <w:rFonts w:hint="eastAsia" w:ascii="宋体" w:hAnsi="宋体" w:eastAsia="宋体" w:cs="宋体"/>
          <w:sz w:val="12"/>
        </w:rPr>
        <w:t>；</w:t>
      </w:r>
      <w:r>
        <w:rPr>
          <w:rFonts w:hint="eastAsia" w:ascii="宋体" w:hAnsi="宋体" w:eastAsia="宋体" w:cs="宋体"/>
          <w:sz w:val="24"/>
        </w:rPr>
        <w:t>审议批准公司的年度财务预算方案</w:t>
      </w:r>
      <w:r>
        <w:rPr>
          <w:rFonts w:hint="eastAsia" w:ascii="宋体" w:hAnsi="宋体" w:eastAsia="宋体" w:cs="宋体"/>
          <w:sz w:val="10"/>
        </w:rPr>
        <w:t>、</w:t>
      </w:r>
      <w:r>
        <w:rPr>
          <w:rFonts w:hint="eastAsia" w:ascii="宋体" w:hAnsi="宋体" w:eastAsia="宋体" w:cs="宋体"/>
          <w:sz w:val="24"/>
        </w:rPr>
        <w:t>决算方案</w:t>
      </w:r>
      <w:r>
        <w:rPr>
          <w:rFonts w:hint="eastAsia" w:ascii="宋体" w:hAnsi="宋体" w:eastAsia="宋体" w:cs="宋体"/>
          <w:sz w:val="14"/>
        </w:rPr>
        <w:t>；</w:t>
      </w:r>
      <w:r>
        <w:rPr>
          <w:rFonts w:hint="eastAsia" w:ascii="宋体" w:hAnsi="宋体" w:eastAsia="宋体" w:cs="宋体"/>
          <w:sz w:val="24"/>
        </w:rPr>
        <w:t>审议批准公司的利润分配方案和弥补亏损方案</w:t>
      </w:r>
      <w:r>
        <w:rPr>
          <w:rFonts w:hint="eastAsia" w:ascii="宋体" w:hAnsi="宋体" w:eastAsia="宋体" w:cs="宋体"/>
          <w:sz w:val="14"/>
        </w:rPr>
        <w:t>；</w:t>
      </w:r>
      <w:r>
        <w:rPr>
          <w:rFonts w:hint="eastAsia" w:ascii="宋体" w:hAnsi="宋体" w:eastAsia="宋体" w:cs="宋体"/>
          <w:sz w:val="24"/>
        </w:rPr>
        <w:t>对公司增加或者减少注册资本作出决议</w:t>
      </w:r>
      <w:r>
        <w:rPr>
          <w:rFonts w:hint="eastAsia" w:ascii="宋体" w:hAnsi="宋体" w:eastAsia="宋体" w:cs="宋体"/>
          <w:sz w:val="12"/>
        </w:rPr>
        <w:t>；</w:t>
      </w:r>
      <w:r>
        <w:rPr>
          <w:rFonts w:hint="eastAsia" w:ascii="宋体" w:hAnsi="宋体" w:eastAsia="宋体" w:cs="宋体"/>
          <w:sz w:val="24"/>
        </w:rPr>
        <w:t>对发行公司债券作出决议</w:t>
      </w:r>
      <w:r>
        <w:rPr>
          <w:rFonts w:hint="eastAsia" w:ascii="宋体" w:hAnsi="宋体" w:eastAsia="宋体" w:cs="宋体"/>
          <w:sz w:val="12"/>
        </w:rPr>
        <w:t>；</w:t>
      </w:r>
      <w:r>
        <w:rPr>
          <w:rFonts w:hint="eastAsia" w:ascii="宋体" w:hAnsi="宋体" w:eastAsia="宋体" w:cs="宋体"/>
          <w:sz w:val="24"/>
        </w:rPr>
        <w:t>对公司合并</w:t>
      </w:r>
      <w:r>
        <w:rPr>
          <w:rFonts w:hint="eastAsia" w:ascii="宋体" w:hAnsi="宋体" w:eastAsia="宋体" w:cs="宋体"/>
          <w:sz w:val="10"/>
        </w:rPr>
        <w:t>、</w:t>
      </w:r>
      <w:r>
        <w:rPr>
          <w:rFonts w:hint="eastAsia" w:ascii="宋体" w:hAnsi="宋体" w:eastAsia="宋体" w:cs="宋体"/>
          <w:sz w:val="24"/>
        </w:rPr>
        <w:t>分立</w:t>
      </w:r>
      <w:r>
        <w:rPr>
          <w:rFonts w:hint="eastAsia" w:ascii="宋体" w:hAnsi="宋体" w:eastAsia="宋体" w:cs="宋体"/>
          <w:sz w:val="10"/>
        </w:rPr>
        <w:t>、</w:t>
      </w:r>
      <w:r>
        <w:rPr>
          <w:rFonts w:hint="eastAsia" w:ascii="宋体" w:hAnsi="宋体" w:eastAsia="宋体" w:cs="宋体"/>
          <w:sz w:val="24"/>
        </w:rPr>
        <w:t>解散</w:t>
      </w:r>
      <w:r>
        <w:rPr>
          <w:rFonts w:hint="eastAsia" w:ascii="宋体" w:hAnsi="宋体" w:eastAsia="宋体" w:cs="宋体"/>
          <w:sz w:val="10"/>
        </w:rPr>
        <w:t>、</w:t>
      </w:r>
      <w:r>
        <w:rPr>
          <w:rFonts w:hint="eastAsia" w:ascii="宋体" w:hAnsi="宋体" w:eastAsia="宋体" w:cs="宋体"/>
          <w:sz w:val="24"/>
        </w:rPr>
        <w:t>清算或者变更公司形式作出决议</w:t>
      </w:r>
      <w:r>
        <w:rPr>
          <w:rFonts w:hint="eastAsia" w:ascii="宋体" w:hAnsi="宋体" w:eastAsia="宋体" w:cs="宋体"/>
          <w:sz w:val="12"/>
        </w:rPr>
        <w:t>；</w:t>
      </w:r>
      <w:r>
        <w:rPr>
          <w:rFonts w:hint="eastAsia" w:ascii="宋体" w:hAnsi="宋体" w:eastAsia="宋体" w:cs="宋体"/>
          <w:sz w:val="24"/>
        </w:rPr>
        <w:t>修改《公司章程》；</w:t>
      </w:r>
      <w:r>
        <w:rPr>
          <w:rFonts w:hint="eastAsia" w:ascii="宋体" w:hAnsi="宋体" w:eastAsia="宋体" w:cs="宋体"/>
          <w:sz w:val="24"/>
        </w:rPr>
        <w:t>对公司聘用</w:t>
      </w:r>
      <w:r>
        <w:rPr>
          <w:rFonts w:hint="eastAsia" w:ascii="宋体" w:hAnsi="宋体" w:eastAsia="宋体" w:cs="宋体"/>
          <w:sz w:val="10"/>
        </w:rPr>
        <w:t>、</w:t>
      </w:r>
      <w:r>
        <w:rPr>
          <w:rFonts w:hint="eastAsia" w:ascii="宋体" w:hAnsi="宋体" w:eastAsia="宋体" w:cs="宋体"/>
          <w:sz w:val="24"/>
        </w:rPr>
        <w:t>解聘会计师事务所作出决议</w:t>
      </w:r>
      <w:r>
        <w:rPr>
          <w:rFonts w:hint="eastAsia" w:ascii="宋体" w:hAnsi="宋体" w:eastAsia="宋体" w:cs="宋体"/>
          <w:sz w:val="14"/>
        </w:rPr>
        <w:t>；</w:t>
      </w:r>
      <w:r>
        <w:rPr>
          <w:rFonts w:hint="eastAsia" w:ascii="宋体" w:hAnsi="宋体" w:eastAsia="宋体" w:cs="宋体"/>
          <w:sz w:val="24"/>
        </w:rPr>
        <w:t>审议批准《公司章程》第三十八条规定的担保事项</w:t>
      </w:r>
      <w:r>
        <w:rPr>
          <w:rFonts w:hint="eastAsia" w:ascii="宋体" w:hAnsi="宋体" w:eastAsia="宋体" w:cs="宋体"/>
          <w:sz w:val="14"/>
        </w:rPr>
        <w:t>；</w:t>
      </w:r>
      <w:r>
        <w:rPr>
          <w:rFonts w:hint="eastAsia" w:ascii="宋体" w:hAnsi="宋体" w:eastAsia="宋体" w:cs="宋体"/>
          <w:sz w:val="24"/>
        </w:rPr>
        <w:t>审议公司在</w:t>
      </w:r>
      <w:r>
        <w:rPr>
          <w:rFonts w:hint="eastAsia" w:ascii="宋体" w:hAnsi="宋体" w:eastAsia="宋体" w:cs="宋体"/>
          <w:sz w:val="10"/>
        </w:rPr>
        <w:t>一</w:t>
      </w:r>
      <w:r>
        <w:rPr>
          <w:rFonts w:hint="eastAsia" w:ascii="宋体" w:hAnsi="宋体" w:eastAsia="宋体" w:cs="宋体"/>
          <w:sz w:val="24"/>
        </w:rPr>
        <w:t>年内购买</w:t>
      </w:r>
      <w:r>
        <w:rPr>
          <w:rFonts w:hint="eastAsia" w:ascii="宋体" w:hAnsi="宋体" w:eastAsia="宋体" w:cs="宋体"/>
          <w:sz w:val="10"/>
        </w:rPr>
        <w:t>、</w:t>
      </w:r>
      <w:r>
        <w:rPr>
          <w:rFonts w:hint="eastAsia" w:ascii="宋体" w:hAnsi="宋体" w:eastAsia="宋体" w:cs="宋体"/>
          <w:sz w:val="24"/>
        </w:rPr>
        <w:t>出售重大资产超过公司最近</w:t>
      </w:r>
      <w:r>
        <w:rPr>
          <w:rFonts w:hint="eastAsia" w:ascii="宋体" w:hAnsi="宋体" w:eastAsia="宋体" w:cs="宋体"/>
          <w:sz w:val="10"/>
        </w:rPr>
        <w:t>一</w:t>
      </w:r>
      <w:r>
        <w:rPr>
          <w:rFonts w:hint="eastAsia" w:ascii="宋体" w:hAnsi="宋体" w:eastAsia="宋体" w:cs="宋体"/>
          <w:sz w:val="24"/>
        </w:rPr>
        <w:t>期经审计总资产</w:t>
      </w:r>
      <w:r>
        <w:rPr>
          <w:rFonts w:hint="eastAsia" w:ascii="Times New Roman" w:hAnsi="Times New Roman" w:eastAsia="Times New Roman" w:cs="Times New Roman"/>
          <w:sz w:val="24"/>
        </w:rPr>
        <w:t xml:space="preserve"> 30%</w:t>
      </w:r>
      <w:r>
        <w:rPr>
          <w:rFonts w:hint="eastAsia" w:ascii="宋体" w:hAnsi="宋体" w:eastAsia="宋体" w:cs="宋体"/>
          <w:sz w:val="24"/>
        </w:rPr>
        <w:t>的事项</w:t>
      </w:r>
      <w:r>
        <w:rPr>
          <w:rFonts w:hint="eastAsia" w:ascii="宋体" w:hAnsi="宋体" w:eastAsia="宋体" w:cs="宋体"/>
          <w:sz w:val="14"/>
        </w:rPr>
        <w:t>；</w:t>
      </w:r>
      <w:r>
        <w:rPr>
          <w:rFonts w:hint="eastAsia" w:ascii="宋体" w:hAnsi="宋体" w:eastAsia="宋体" w:cs="宋体"/>
          <w:sz w:val="24"/>
        </w:rPr>
        <w:t>审议批准变更募集资金用途事项</w:t>
      </w:r>
      <w:r>
        <w:rPr>
          <w:rFonts w:hint="eastAsia" w:ascii="宋体" w:hAnsi="宋体" w:eastAsia="宋体" w:cs="宋体"/>
          <w:sz w:val="14"/>
        </w:rPr>
        <w:t>；</w:t>
      </w:r>
      <w:r>
        <w:rPr>
          <w:rFonts w:hint="eastAsia" w:ascii="宋体" w:hAnsi="宋体" w:eastAsia="宋体" w:cs="宋体"/>
          <w:sz w:val="24"/>
        </w:rPr>
        <w:t>审议股权激励计划</w:t>
      </w:r>
      <w:r>
        <w:rPr>
          <w:rFonts w:hint="eastAsia" w:ascii="宋体" w:hAnsi="宋体" w:eastAsia="宋体" w:cs="宋体"/>
          <w:sz w:val="14"/>
        </w:rPr>
        <w:t>；</w:t>
      </w:r>
      <w:r>
        <w:rPr>
          <w:rFonts w:hint="eastAsia" w:ascii="宋体" w:hAnsi="宋体" w:eastAsia="宋体" w:cs="宋体"/>
          <w:sz w:val="24"/>
        </w:rPr>
        <w:t>审议法律</w:t>
      </w:r>
      <w:r>
        <w:rPr>
          <w:rFonts w:hint="eastAsia" w:ascii="宋体" w:hAnsi="宋体" w:eastAsia="宋体" w:cs="宋体"/>
          <w:sz w:val="10"/>
        </w:rPr>
        <w:t>、</w:t>
      </w:r>
      <w:r>
        <w:rPr>
          <w:rFonts w:hint="eastAsia" w:ascii="宋体" w:hAnsi="宋体" w:eastAsia="宋体" w:cs="宋体"/>
          <w:sz w:val="24"/>
        </w:rPr>
        <w:t>行政法规</w:t>
      </w:r>
      <w:r>
        <w:rPr>
          <w:rFonts w:hint="eastAsia" w:ascii="宋体" w:hAnsi="宋体" w:eastAsia="宋体" w:cs="宋体"/>
          <w:sz w:val="10"/>
        </w:rPr>
        <w:t>、</w:t>
      </w:r>
      <w:r>
        <w:rPr>
          <w:rFonts w:hint="eastAsia" w:ascii="宋体" w:hAnsi="宋体" w:eastAsia="宋体" w:cs="宋体"/>
          <w:sz w:val="24"/>
        </w:rPr>
        <w:t>部门规章或《公司章程》规定应当由股东大会决定的其他事项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1-1-198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股东大会的议事规则</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根据《公司章程》及《股东大会议事规则》的规定</w:t>
      </w:r>
      <w:r>
        <w:rPr>
          <w:rFonts w:hint="eastAsia" w:ascii="宋体" w:hAnsi="宋体" w:eastAsia="宋体" w:cs="宋体"/>
          <w:sz w:val="10"/>
        </w:rPr>
        <w:t>，</w:t>
      </w:r>
      <w:r>
        <w:rPr>
          <w:rFonts w:hint="eastAsia" w:ascii="宋体" w:hAnsi="宋体" w:eastAsia="宋体" w:cs="宋体"/>
          <w:sz w:val="24"/>
        </w:rPr>
        <w:t>公司股东大会分为年度股东大会和临时股东大会</w:t>
      </w:r>
      <w:r>
        <w:rPr>
          <w:rFonts w:hint="eastAsia" w:ascii="宋体" w:hAnsi="宋体" w:eastAsia="宋体" w:cs="宋体"/>
          <w:sz w:val="10"/>
        </w:rPr>
        <w:t>。</w:t>
      </w:r>
      <w:r>
        <w:rPr>
          <w:rFonts w:hint="eastAsia" w:ascii="宋体" w:hAnsi="宋体" w:eastAsia="宋体" w:cs="宋体"/>
          <w:sz w:val="24"/>
        </w:rPr>
        <w:t>股东以其所代表的有表决权的股份数额行使表决权</w:t>
      </w:r>
      <w:r>
        <w:rPr>
          <w:rFonts w:hint="eastAsia" w:ascii="宋体" w:hAnsi="宋体" w:eastAsia="宋体" w:cs="宋体"/>
          <w:sz w:val="10"/>
        </w:rPr>
        <w:t>，</w:t>
      </w:r>
      <w:r>
        <w:rPr>
          <w:rFonts w:hint="eastAsia" w:ascii="宋体" w:hAnsi="宋体" w:eastAsia="宋体" w:cs="宋体"/>
          <w:sz w:val="24"/>
        </w:rPr>
        <w:t>每一股份享有一票表决权</w:t>
      </w:r>
      <w:r>
        <w:rPr>
          <w:rFonts w:hint="eastAsia" w:ascii="宋体" w:hAnsi="宋体" w:eastAsia="宋体" w:cs="宋体"/>
          <w:sz w:val="10"/>
        </w:rPr>
        <w:t>。</w:t>
      </w:r>
      <w:r>
        <w:rPr>
          <w:rFonts w:hint="eastAsia" w:ascii="宋体" w:hAnsi="宋体" w:eastAsia="宋体" w:cs="宋体"/>
          <w:sz w:val="24"/>
        </w:rPr>
        <w:t>股东大会决议分为普通决议和特别决议</w:t>
      </w:r>
      <w:r>
        <w:rPr>
          <w:rFonts w:hint="eastAsia" w:ascii="宋体" w:hAnsi="宋体" w:eastAsia="宋体" w:cs="宋体"/>
          <w:sz w:val="10"/>
        </w:rPr>
        <w:t>。</w:t>
      </w:r>
      <w:r>
        <w:rPr>
          <w:rFonts w:hint="eastAsia" w:ascii="宋体" w:hAnsi="宋体" w:eastAsia="宋体" w:cs="宋体"/>
          <w:sz w:val="24"/>
        </w:rPr>
        <w:t>股东大会作出普通决议</w:t>
      </w:r>
      <w:r>
        <w:rPr>
          <w:rFonts w:hint="eastAsia" w:ascii="宋体" w:hAnsi="宋体" w:eastAsia="宋体" w:cs="宋体"/>
          <w:sz w:val="10"/>
        </w:rPr>
        <w:t>，</w:t>
      </w:r>
      <w:r>
        <w:rPr>
          <w:rFonts w:hint="eastAsia" w:ascii="宋体" w:hAnsi="宋体" w:eastAsia="宋体" w:cs="宋体"/>
          <w:sz w:val="24"/>
        </w:rPr>
        <w:t>应当由出席股东大会的股东（包括股东代理人）所持表决权的过半数通过</w:t>
      </w:r>
      <w:r>
        <w:rPr>
          <w:rFonts w:hint="eastAsia" w:ascii="宋体" w:hAnsi="宋体" w:eastAsia="宋体" w:cs="宋体"/>
          <w:sz w:val="10"/>
        </w:rPr>
        <w:t>。</w:t>
      </w:r>
      <w:r>
        <w:rPr>
          <w:rFonts w:hint="eastAsia" w:ascii="宋体" w:hAnsi="宋体" w:eastAsia="宋体" w:cs="宋体"/>
          <w:sz w:val="24"/>
        </w:rPr>
        <w:t>股东大会作出特别决议</w:t>
      </w:r>
      <w:r>
        <w:rPr>
          <w:rFonts w:hint="eastAsia" w:ascii="宋体" w:hAnsi="宋体" w:eastAsia="宋体" w:cs="宋体"/>
          <w:sz w:val="10"/>
        </w:rPr>
        <w:t>，</w:t>
      </w:r>
      <w:r>
        <w:rPr>
          <w:rFonts w:hint="eastAsia" w:ascii="宋体" w:hAnsi="宋体" w:eastAsia="宋体" w:cs="宋体"/>
          <w:sz w:val="24"/>
        </w:rPr>
        <w:t>应当由出席股东大会的股东（包括股东代理人）</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所持表决权的</w:t>
      </w:r>
      <w:r>
        <w:rPr>
          <w:rFonts w:hint="eastAsia" w:ascii="Times New Roman" w:hAnsi="Times New Roman" w:eastAsia="Times New Roman" w:cs="Times New Roman"/>
          <w:sz w:val="24"/>
        </w:rPr>
        <w:t xml:space="preserve"> 2/3</w:t>
      </w:r>
      <w:r>
        <w:rPr>
          <w:rFonts w:hint="eastAsia" w:ascii="宋体" w:hAnsi="宋体" w:eastAsia="宋体" w:cs="宋体"/>
          <w:sz w:val="24"/>
        </w:rPr>
        <w:t xml:space="preserve"> 以上通过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下列事项由股东大会以普通决议通过</w:t>
      </w:r>
      <w:r>
        <w:rPr>
          <w:rFonts w:hint="eastAsia" w:ascii="宋体" w:hAnsi="宋体" w:eastAsia="宋体" w:cs="宋体"/>
          <w:spacing w:val="-60"/>
          <w:sz w:val="10"/>
        </w:rPr>
        <w:t>：</w:t>
      </w:r>
      <w:r>
        <w:rPr>
          <w:rFonts w:hint="eastAsia" w:ascii="宋体" w:hAnsi="宋体" w:eastAsia="宋体" w:cs="宋体"/>
          <w:sz w:val="10"/>
        </w:rPr>
        <w:t>（</w:t>
      </w:r>
      <w:r>
        <w:rPr>
          <w:rFonts w:hint="eastAsia" w:ascii="Times New Roman" w:hAnsi="Times New Roman" w:eastAsia="Times New Roman" w:cs="Times New Roman"/>
          <w:sz w:val="24"/>
        </w:rPr>
        <w:t>1</w:t>
      </w:r>
      <w:r>
        <w:rPr>
          <w:rFonts w:hint="eastAsia" w:ascii="宋体" w:hAnsi="宋体" w:eastAsia="宋体" w:cs="宋体"/>
          <w:sz w:val="24"/>
        </w:rPr>
        <w:t>）董事会和监事会的工作报告</w:t>
      </w:r>
      <w:r>
        <w:rPr>
          <w:rFonts w:hint="eastAsia" w:ascii="宋体" w:hAnsi="宋体" w:eastAsia="宋体" w:cs="宋体"/>
          <w:spacing w:val="-60"/>
          <w:sz w:val="12"/>
        </w:rPr>
        <w:t>；</w:t>
      </w:r>
      <w:r>
        <w:rPr>
          <w:rFonts w:hint="eastAsia" w:ascii="宋体" w:hAnsi="宋体" w:eastAsia="宋体" w:cs="宋体"/>
          <w:sz w:val="12"/>
        </w:rPr>
        <w:t>（</w:t>
      </w:r>
      <w:r>
        <w:rPr>
          <w:rFonts w:hint="eastAsia" w:ascii="Times New Roman" w:hAnsi="Times New Roman" w:eastAsia="Times New Roman" w:cs="Times New Roman"/>
          <w:sz w:val="24"/>
        </w:rPr>
        <w:t>2</w:t>
      </w:r>
      <w:r>
        <w:rPr>
          <w:rFonts w:hint="eastAsia" w:ascii="宋体" w:hAnsi="宋体" w:eastAsia="宋体" w:cs="宋体"/>
          <w:sz w:val="24"/>
        </w:rPr>
        <w:t>）</w:t>
      </w: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董事会拟定的利润分配方案和弥补亏损方案</w:t>
      </w:r>
      <w:r>
        <w:rPr>
          <w:rFonts w:hint="eastAsia" w:ascii="宋体" w:hAnsi="宋体" w:eastAsia="宋体" w:cs="宋体"/>
          <w:sz w:val="12"/>
        </w:rPr>
        <w:t>；（</w:t>
      </w:r>
      <w:r>
        <w:rPr>
          <w:rFonts w:hint="eastAsia" w:ascii="Times New Roman" w:hAnsi="Times New Roman" w:eastAsia="Times New Roman" w:cs="Times New Roman"/>
          <w:sz w:val="24"/>
        </w:rPr>
        <w:t>3</w:t>
      </w:r>
      <w:r>
        <w:rPr>
          <w:rFonts w:hint="eastAsia" w:ascii="宋体" w:hAnsi="宋体" w:eastAsia="宋体" w:cs="宋体"/>
          <w:sz w:val="24"/>
        </w:rPr>
        <w:t>）董事会和监事会成员的任免及其报酬和支付方法</w:t>
      </w:r>
      <w:r>
        <w:rPr>
          <w:rFonts w:hint="eastAsia" w:ascii="宋体" w:hAnsi="宋体" w:eastAsia="宋体" w:cs="宋体"/>
          <w:sz w:val="14"/>
        </w:rPr>
        <w:t>；（</w:t>
      </w:r>
      <w:r>
        <w:rPr>
          <w:rFonts w:hint="eastAsia" w:ascii="Times New Roman" w:hAnsi="Times New Roman" w:eastAsia="Times New Roman" w:cs="Times New Roman"/>
          <w:sz w:val="24"/>
        </w:rPr>
        <w:t>4</w:t>
      </w:r>
      <w:r>
        <w:rPr>
          <w:rFonts w:hint="eastAsia" w:ascii="宋体" w:hAnsi="宋体" w:eastAsia="宋体" w:cs="宋体"/>
          <w:sz w:val="24"/>
        </w:rPr>
        <w:t>）公司年度预算方案</w:t>
      </w:r>
      <w:r>
        <w:rPr>
          <w:rFonts w:hint="eastAsia" w:ascii="宋体" w:hAnsi="宋体" w:eastAsia="宋体" w:cs="宋体"/>
          <w:sz w:val="10"/>
        </w:rPr>
        <w:t>、</w:t>
      </w:r>
      <w:r>
        <w:rPr>
          <w:rFonts w:hint="eastAsia" w:ascii="宋体" w:hAnsi="宋体" w:eastAsia="宋体" w:cs="宋体"/>
          <w:sz w:val="24"/>
        </w:rPr>
        <w:t>决算方案</w:t>
      </w:r>
      <w:r>
        <w:rPr>
          <w:rFonts w:hint="eastAsia" w:ascii="宋体" w:hAnsi="宋体" w:eastAsia="宋体" w:cs="宋体"/>
          <w:sz w:val="14"/>
        </w:rPr>
        <w:t>；（</w:t>
      </w:r>
      <w:r>
        <w:rPr>
          <w:rFonts w:hint="eastAsia" w:ascii="Times New Roman" w:hAnsi="Times New Roman" w:eastAsia="Times New Roman" w:cs="Times New Roman"/>
          <w:sz w:val="24"/>
        </w:rPr>
        <w:t>5</w:t>
      </w:r>
      <w:r>
        <w:rPr>
          <w:rFonts w:hint="eastAsia" w:ascii="宋体" w:hAnsi="宋体" w:eastAsia="宋体" w:cs="宋体"/>
          <w:sz w:val="24"/>
        </w:rPr>
        <w:t>）除法律</w:t>
      </w:r>
      <w:r>
        <w:rPr>
          <w:rFonts w:hint="eastAsia" w:ascii="宋体" w:hAnsi="宋体" w:eastAsia="宋体" w:cs="宋体"/>
          <w:sz w:val="10"/>
        </w:rPr>
        <w:t>、</w:t>
      </w:r>
      <w:r>
        <w:rPr>
          <w:rFonts w:hint="eastAsia" w:ascii="宋体" w:hAnsi="宋体" w:eastAsia="宋体" w:cs="宋体"/>
          <w:sz w:val="24"/>
        </w:rPr>
        <w:t>行政法规规定或者《公司章程》规定应当以特别决议通过以外的其他事项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下列事项由股东大会以特别决议通过</w:t>
      </w:r>
      <w:r>
        <w:rPr>
          <w:rFonts w:hint="eastAsia" w:ascii="宋体" w:hAnsi="宋体" w:eastAsia="宋体" w:cs="宋体"/>
          <w:spacing w:val="-60"/>
          <w:sz w:val="12"/>
        </w:rPr>
        <w:t>：</w:t>
      </w:r>
      <w:r>
        <w:rPr>
          <w:rFonts w:hint="eastAsia" w:ascii="宋体" w:hAnsi="宋体" w:eastAsia="宋体" w:cs="宋体"/>
          <w:sz w:val="12"/>
        </w:rPr>
        <w:t>（</w:t>
      </w:r>
      <w:r>
        <w:rPr>
          <w:rFonts w:hint="eastAsia" w:ascii="Times New Roman" w:hAnsi="Times New Roman" w:eastAsia="Times New Roman" w:cs="Times New Roman"/>
          <w:sz w:val="24"/>
        </w:rPr>
        <w:t>1</w:t>
      </w:r>
      <w:r>
        <w:rPr>
          <w:rFonts w:hint="eastAsia" w:ascii="宋体" w:hAnsi="宋体" w:eastAsia="宋体" w:cs="宋体"/>
          <w:sz w:val="24"/>
        </w:rPr>
        <w:t>）公司增加或者减少注册资本</w:t>
      </w:r>
      <w:r>
        <w:rPr>
          <w:rFonts w:hint="eastAsia" w:ascii="宋体" w:hAnsi="宋体" w:eastAsia="宋体" w:cs="宋体"/>
          <w:spacing w:val="-60"/>
          <w:sz w:val="12"/>
        </w:rPr>
        <w:t>；</w:t>
      </w:r>
      <w:r>
        <w:rPr>
          <w:rFonts w:hint="eastAsia" w:ascii="宋体" w:hAnsi="宋体" w:eastAsia="宋体" w:cs="宋体"/>
          <w:sz w:val="12"/>
        </w:rPr>
        <w:t>（</w:t>
      </w:r>
      <w:r>
        <w:rPr>
          <w:rFonts w:hint="eastAsia" w:ascii="Times New Roman" w:hAnsi="Times New Roman" w:eastAsia="Times New Roman" w:cs="Times New Roman"/>
          <w:sz w:val="24"/>
        </w:rPr>
        <w:t>2</w:t>
      </w:r>
      <w:r>
        <w:rPr>
          <w:rFonts w:hint="eastAsia" w:ascii="宋体" w:hAnsi="宋体" w:eastAsia="宋体" w:cs="宋体"/>
          <w:sz w:val="24"/>
        </w:rPr>
        <w:t>）</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sz w:val="24"/>
        </w:rPr>
        <w:t>公司的分立</w:t>
      </w:r>
      <w:r>
        <w:rPr>
          <w:rFonts w:hint="eastAsia" w:ascii="宋体" w:hAnsi="宋体" w:eastAsia="宋体" w:cs="宋体"/>
          <w:sz w:val="10"/>
        </w:rPr>
        <w:t>、</w:t>
      </w:r>
      <w:r>
        <w:rPr>
          <w:rFonts w:hint="eastAsia" w:ascii="宋体" w:hAnsi="宋体" w:eastAsia="宋体" w:cs="宋体"/>
          <w:sz w:val="24"/>
        </w:rPr>
        <w:t>合并</w:t>
      </w:r>
      <w:r>
        <w:rPr>
          <w:rFonts w:hint="eastAsia" w:ascii="宋体" w:hAnsi="宋体" w:eastAsia="宋体" w:cs="宋体"/>
          <w:sz w:val="10"/>
        </w:rPr>
        <w:t>、</w:t>
      </w:r>
      <w:r>
        <w:rPr>
          <w:rFonts w:hint="eastAsia" w:ascii="宋体" w:hAnsi="宋体" w:eastAsia="宋体" w:cs="宋体"/>
          <w:sz w:val="24"/>
        </w:rPr>
        <w:t>解散</w:t>
      </w:r>
      <w:r>
        <w:rPr>
          <w:rFonts w:hint="eastAsia" w:ascii="宋体" w:hAnsi="宋体" w:eastAsia="宋体" w:cs="宋体"/>
          <w:sz w:val="10"/>
        </w:rPr>
        <w:t>、</w:t>
      </w:r>
      <w:r>
        <w:rPr>
          <w:rFonts w:hint="eastAsia" w:ascii="宋体" w:hAnsi="宋体" w:eastAsia="宋体" w:cs="宋体"/>
          <w:sz w:val="24"/>
        </w:rPr>
        <w:t>清算或变更公司形式</w:t>
      </w:r>
      <w:r>
        <w:rPr>
          <w:rFonts w:hint="eastAsia" w:ascii="宋体" w:hAnsi="宋体" w:eastAsia="宋体" w:cs="宋体"/>
          <w:sz w:val="14"/>
        </w:rPr>
        <w:t>；（</w:t>
      </w:r>
      <w:r>
        <w:rPr>
          <w:rFonts w:hint="eastAsia" w:ascii="Times New Roman" w:hAnsi="Times New Roman" w:eastAsia="Times New Roman" w:cs="Times New Roman"/>
          <w:sz w:val="24"/>
        </w:rPr>
        <w:t>3</w:t>
      </w:r>
      <w:r>
        <w:rPr>
          <w:rFonts w:hint="eastAsia" w:ascii="宋体" w:hAnsi="宋体" w:eastAsia="宋体" w:cs="宋体"/>
          <w:sz w:val="24"/>
        </w:rPr>
        <w:t>）《公司章程》的修改</w:t>
      </w:r>
      <w:r>
        <w:rPr>
          <w:rFonts w:hint="eastAsia" w:ascii="宋体" w:hAnsi="宋体" w:eastAsia="宋体" w:cs="宋体"/>
          <w:sz w:val="14"/>
        </w:rPr>
        <w:t>；（</w:t>
      </w:r>
      <w:r>
        <w:rPr>
          <w:rFonts w:hint="eastAsia" w:ascii="Times New Roman" w:hAnsi="Times New Roman" w:eastAsia="Times New Roman" w:cs="Times New Roman"/>
          <w:sz w:val="24"/>
        </w:rPr>
        <w:t>4</w:t>
      </w:r>
      <w:r>
        <w:rPr>
          <w:rFonts w:hint="eastAsia" w:ascii="宋体" w:hAnsi="宋体" w:eastAsia="宋体" w:cs="宋体"/>
          <w:sz w:val="24"/>
        </w:rPr>
        <w:t>）</w:t>
      </w: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公司在</w:t>
      </w:r>
      <w:r>
        <w:rPr>
          <w:rFonts w:hint="eastAsia" w:ascii="宋体" w:hAnsi="宋体" w:eastAsia="宋体" w:cs="宋体"/>
          <w:sz w:val="10"/>
        </w:rPr>
        <w:t>一</w:t>
      </w:r>
      <w:r>
        <w:rPr>
          <w:rFonts w:hint="eastAsia" w:ascii="宋体" w:hAnsi="宋体" w:eastAsia="宋体" w:cs="宋体"/>
          <w:sz w:val="24"/>
        </w:rPr>
        <w:t>年内购买</w:t>
      </w:r>
      <w:r>
        <w:rPr>
          <w:rFonts w:hint="eastAsia" w:ascii="宋体" w:hAnsi="宋体" w:eastAsia="宋体" w:cs="宋体"/>
          <w:sz w:val="10"/>
        </w:rPr>
        <w:t>、</w:t>
      </w:r>
      <w:r>
        <w:rPr>
          <w:rFonts w:hint="eastAsia" w:ascii="宋体" w:hAnsi="宋体" w:eastAsia="宋体" w:cs="宋体"/>
          <w:sz w:val="24"/>
        </w:rPr>
        <w:t>出售重大资产或者担保金额超过公司最近</w:t>
      </w:r>
      <w:r>
        <w:rPr>
          <w:rFonts w:hint="eastAsia" w:ascii="宋体" w:hAnsi="宋体" w:eastAsia="宋体" w:cs="宋体"/>
          <w:sz w:val="10"/>
        </w:rPr>
        <w:t>一</w:t>
      </w:r>
      <w:r>
        <w:rPr>
          <w:rFonts w:hint="eastAsia" w:ascii="宋体" w:hAnsi="宋体" w:eastAsia="宋体" w:cs="宋体"/>
          <w:sz w:val="24"/>
        </w:rPr>
        <w:t>期经审计总资产</w:t>
      </w:r>
      <w:r>
        <w:rPr>
          <w:rFonts w:hint="eastAsia" w:ascii="Times New Roman" w:hAnsi="Times New Roman" w:eastAsia="Times New Roman" w:cs="Times New Roman"/>
          <w:sz w:val="24"/>
        </w:rPr>
        <w:t>30%</w:t>
      </w:r>
      <w:r>
        <w:rPr>
          <w:rFonts w:hint="eastAsia" w:ascii="宋体" w:hAnsi="宋体" w:eastAsia="宋体" w:cs="宋体"/>
          <w:sz w:val="24"/>
        </w:rPr>
        <w:t>的</w:t>
      </w:r>
      <w:r>
        <w:rPr>
          <w:rFonts w:hint="eastAsia" w:ascii="宋体" w:hAnsi="宋体" w:eastAsia="宋体" w:cs="宋体"/>
          <w:sz w:val="14"/>
        </w:rPr>
        <w:t>；（</w:t>
      </w:r>
      <w:r>
        <w:rPr>
          <w:rFonts w:hint="eastAsia" w:ascii="Times New Roman" w:hAnsi="Times New Roman" w:eastAsia="Times New Roman" w:cs="Times New Roman"/>
          <w:sz w:val="24"/>
        </w:rPr>
        <w:t>5</w:t>
      </w:r>
      <w:r>
        <w:rPr>
          <w:rFonts w:hint="eastAsia" w:ascii="宋体" w:hAnsi="宋体" w:eastAsia="宋体" w:cs="宋体"/>
          <w:sz w:val="24"/>
        </w:rPr>
        <w:t>）股权激励计划</w:t>
      </w:r>
      <w:r>
        <w:rPr>
          <w:rFonts w:hint="eastAsia" w:ascii="宋体" w:hAnsi="宋体" w:eastAsia="宋体" w:cs="宋体"/>
          <w:sz w:val="14"/>
        </w:rPr>
        <w:t>；（</w:t>
      </w:r>
      <w:r>
        <w:rPr>
          <w:rFonts w:hint="eastAsia" w:ascii="Times New Roman" w:hAnsi="Times New Roman" w:eastAsia="Times New Roman" w:cs="Times New Roman"/>
          <w:sz w:val="24"/>
        </w:rPr>
        <w:t>6</w:t>
      </w:r>
      <w:r>
        <w:rPr>
          <w:rFonts w:hint="eastAsia" w:ascii="宋体" w:hAnsi="宋体" w:eastAsia="宋体" w:cs="宋体"/>
          <w:sz w:val="24"/>
        </w:rPr>
        <w:t>）法律</w:t>
      </w:r>
      <w:r>
        <w:rPr>
          <w:rFonts w:hint="eastAsia" w:ascii="宋体" w:hAnsi="宋体" w:eastAsia="宋体" w:cs="宋体"/>
          <w:sz w:val="10"/>
        </w:rPr>
        <w:t>、</w:t>
      </w:r>
      <w:r>
        <w:rPr>
          <w:rFonts w:hint="eastAsia" w:ascii="宋体" w:hAnsi="宋体" w:eastAsia="宋体" w:cs="宋体"/>
          <w:sz w:val="24"/>
        </w:rPr>
        <w:t>行政法规或《公司章程》规定的</w:t>
      </w:r>
      <w:r>
        <w:rPr>
          <w:rFonts w:hint="eastAsia" w:ascii="宋体" w:hAnsi="宋体" w:eastAsia="宋体" w:cs="宋体"/>
          <w:sz w:val="10"/>
        </w:rPr>
        <w:t>，</w:t>
      </w:r>
      <w:r>
        <w:rPr>
          <w:rFonts w:hint="eastAsia" w:ascii="宋体" w:hAnsi="宋体" w:eastAsia="宋体" w:cs="宋体"/>
          <w:sz w:val="24"/>
        </w:rPr>
        <w:t>以及股东大会以普通决议认定会对公司产生重大影响的</w:t>
      </w:r>
      <w:r>
        <w:rPr>
          <w:rFonts w:hint="eastAsia" w:ascii="宋体" w:hAnsi="宋体" w:eastAsia="宋体" w:cs="宋体"/>
          <w:sz w:val="10"/>
        </w:rPr>
        <w:t>、</w:t>
      </w:r>
      <w:r>
        <w:rPr>
          <w:rFonts w:hint="eastAsia" w:ascii="宋体" w:hAnsi="宋体" w:eastAsia="宋体" w:cs="宋体"/>
          <w:sz w:val="24"/>
        </w:rPr>
        <w:t>需要以特别决议通过的其他事项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股东大会运行情况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公司股东大会运行逐步规范</w:t>
      </w:r>
      <w:r>
        <w:rPr>
          <w:rFonts w:hint="eastAsia" w:ascii="宋体" w:hAnsi="宋体" w:eastAsia="宋体" w:cs="宋体"/>
          <w:sz w:val="10"/>
        </w:rPr>
        <w:t>，</w:t>
      </w:r>
      <w:r>
        <w:rPr>
          <w:rFonts w:hint="eastAsia" w:ascii="宋体" w:hAnsi="宋体" w:eastAsia="宋体" w:cs="宋体"/>
          <w:sz w:val="24"/>
        </w:rPr>
        <w:t>自</w:t>
      </w:r>
      <w:r>
        <w:rPr>
          <w:rFonts w:hint="eastAsia" w:ascii="Times New Roman" w:hAnsi="Times New Roman" w:eastAsia="Times New Roman" w:cs="Times New Roman"/>
          <w:sz w:val="24"/>
        </w:rPr>
        <w:t xml:space="preserve"> 2014</w:t>
      </w:r>
      <w:r>
        <w:rPr>
          <w:rFonts w:hint="eastAsia" w:ascii="宋体" w:hAnsi="宋体" w:eastAsia="宋体" w:cs="宋体"/>
          <w:sz w:val="24"/>
        </w:rPr>
        <w:t>年以来共召开了</w:t>
      </w:r>
      <w:r>
        <w:rPr>
          <w:rFonts w:hint="eastAsia" w:ascii="Times New Roman" w:hAnsi="Times New Roman" w:eastAsia="Times New Roman" w:cs="Times New Roman"/>
          <w:sz w:val="24"/>
        </w:rPr>
        <w:t xml:space="preserve"> 20</w:t>
      </w:r>
      <w:r>
        <w:rPr>
          <w:rFonts w:hint="eastAsia" w:ascii="宋体" w:hAnsi="宋体" w:eastAsia="宋体" w:cs="宋体"/>
          <w:sz w:val="24"/>
        </w:rPr>
        <w:t>次股东大会</w:t>
      </w:r>
      <w:r>
        <w:rPr>
          <w:rFonts w:hint="eastAsia" w:ascii="宋体" w:hAnsi="宋体" w:eastAsia="宋体" w:cs="宋体"/>
          <w:sz w:val="10"/>
        </w:rPr>
        <w:t>，</w:t>
      </w:r>
      <w:r>
        <w:rPr>
          <w:rFonts w:hint="eastAsia" w:ascii="宋体" w:hAnsi="宋体" w:eastAsia="宋体" w:cs="宋体"/>
          <w:sz w:val="24"/>
        </w:rPr>
        <w:t>全体股东以现场或通讯方式出席</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公司股东大会的召开及决议内容合法有效</w:t>
      </w:r>
      <w:r>
        <w:rPr>
          <w:rFonts w:hint="eastAsia" w:ascii="宋体" w:hAnsi="宋体" w:eastAsia="宋体" w:cs="宋体"/>
          <w:sz w:val="10"/>
        </w:rPr>
        <w:t>，</w:t>
      </w:r>
      <w:r>
        <w:rPr>
          <w:rFonts w:hint="eastAsia" w:ascii="宋体" w:hAnsi="宋体" w:eastAsia="宋体" w:cs="宋体"/>
          <w:sz w:val="24"/>
        </w:rPr>
        <w:t>不存在董事会或高级管理人员违反《公司法》及其他规定行使职权的情形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（二）董事会制度建立及运行情况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公司制定了《董事会议事规则》，</w:t>
      </w:r>
      <w:r>
        <w:rPr>
          <w:rFonts w:hint="eastAsia" w:ascii="宋体" w:hAnsi="宋体" w:eastAsia="宋体" w:cs="宋体"/>
          <w:sz w:val="24"/>
        </w:rPr>
        <w:t>董事严格按照《公司章程》和《董事会议事规则》的规定行使自己的权利</w:t>
      </w:r>
      <w:r>
        <w:rPr>
          <w:rFonts w:hint="eastAsia" w:ascii="宋体" w:hAnsi="宋体" w:eastAsia="宋体" w:cs="宋体"/>
          <w:sz w:val="10"/>
        </w:rPr>
        <w:t>，</w:t>
      </w:r>
      <w:r>
        <w:rPr>
          <w:rFonts w:hint="eastAsia" w:ascii="宋体" w:hAnsi="宋体" w:eastAsia="宋体" w:cs="宋体"/>
          <w:sz w:val="24"/>
        </w:rPr>
        <w:t>董事会运作规范</w:t>
      </w:r>
      <w:r>
        <w:rPr>
          <w:rFonts w:hint="eastAsia" w:ascii="宋体" w:hAnsi="宋体" w:eastAsia="宋体" w:cs="宋体"/>
          <w:sz w:val="10"/>
        </w:rPr>
        <w:t>，</w:t>
      </w:r>
      <w:r>
        <w:rPr>
          <w:rFonts w:hint="eastAsia" w:ascii="宋体" w:hAnsi="宋体" w:eastAsia="宋体" w:cs="宋体"/>
          <w:sz w:val="24"/>
        </w:rPr>
        <w:t>具体情况如下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董事会构成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1-1-199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firstLine="480"/>
        <w:jc w:val="both"/>
      </w:pPr>
      <w:r>
        <w:rPr>
          <w:rFonts w:hint="eastAsia" w:ascii="宋体" w:hAnsi="宋体" w:eastAsia="宋体" w:cs="宋体"/>
          <w:sz w:val="24"/>
        </w:rPr>
        <w:t>公司董事会由八名董事组成</w:t>
      </w:r>
      <w:r>
        <w:rPr>
          <w:rFonts w:hint="eastAsia" w:ascii="宋体" w:hAnsi="宋体" w:eastAsia="宋体" w:cs="宋体"/>
          <w:sz w:val="10"/>
        </w:rPr>
        <w:t>，</w:t>
      </w:r>
      <w:r>
        <w:rPr>
          <w:rFonts w:hint="eastAsia" w:ascii="宋体" w:hAnsi="宋体" w:eastAsia="宋体" w:cs="宋体"/>
          <w:sz w:val="24"/>
        </w:rPr>
        <w:t>其中独立董事三名</w:t>
      </w:r>
      <w:r>
        <w:rPr>
          <w:rFonts w:hint="eastAsia" w:ascii="宋体" w:hAnsi="宋体" w:eastAsia="宋体" w:cs="宋体"/>
          <w:sz w:val="10"/>
        </w:rPr>
        <w:t>。</w:t>
      </w:r>
      <w:r>
        <w:rPr>
          <w:rFonts w:hint="eastAsia" w:ascii="宋体" w:hAnsi="宋体" w:eastAsia="宋体" w:cs="宋体"/>
          <w:sz w:val="24"/>
        </w:rPr>
        <w:t>董事会设董事长一人</w:t>
      </w:r>
      <w:r>
        <w:rPr>
          <w:rFonts w:hint="eastAsia" w:ascii="宋体" w:hAnsi="宋体" w:eastAsia="宋体" w:cs="宋体"/>
          <w:sz w:val="10"/>
        </w:rPr>
        <w:t>，</w:t>
      </w:r>
      <w:r>
        <w:rPr>
          <w:rFonts w:hint="eastAsia" w:ascii="宋体" w:hAnsi="宋体" w:eastAsia="宋体" w:cs="宋体"/>
          <w:sz w:val="24"/>
        </w:rPr>
        <w:t>副董事长一人</w:t>
      </w:r>
      <w:r>
        <w:rPr>
          <w:rFonts w:hint="eastAsia" w:ascii="宋体" w:hAnsi="宋体" w:eastAsia="宋体" w:cs="宋体"/>
          <w:sz w:val="10"/>
        </w:rPr>
        <w:t>。</w:t>
      </w:r>
      <w:r>
        <w:rPr>
          <w:rFonts w:hint="eastAsia" w:ascii="宋体" w:hAnsi="宋体" w:eastAsia="宋体" w:cs="宋体"/>
          <w:sz w:val="24"/>
        </w:rPr>
        <w:t>董事会设董事会秘书一人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董事会职权</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根据《公司章程》的规定</w:t>
      </w:r>
      <w:r>
        <w:rPr>
          <w:rFonts w:hint="eastAsia" w:ascii="宋体" w:hAnsi="宋体" w:eastAsia="宋体" w:cs="宋体"/>
          <w:sz w:val="10"/>
        </w:rPr>
        <w:t>，</w:t>
      </w:r>
      <w:r>
        <w:rPr>
          <w:rFonts w:hint="eastAsia" w:ascii="宋体" w:hAnsi="宋体" w:eastAsia="宋体" w:cs="宋体"/>
          <w:sz w:val="24"/>
        </w:rPr>
        <w:t>公司董事会依法行使下列职权</w:t>
      </w:r>
      <w:r>
        <w:rPr>
          <w:rFonts w:hint="eastAsia" w:ascii="宋体" w:hAnsi="宋体" w:eastAsia="宋体" w:cs="宋体"/>
          <w:sz w:val="12"/>
        </w:rPr>
        <w:t>：</w:t>
      </w:r>
      <w:r>
        <w:rPr>
          <w:rFonts w:hint="eastAsia" w:ascii="宋体" w:hAnsi="宋体" w:eastAsia="宋体" w:cs="宋体"/>
          <w:sz w:val="24"/>
        </w:rPr>
        <w:t>召集股东大会</w:t>
      </w:r>
      <w:r>
        <w:rPr>
          <w:rFonts w:hint="eastAsia" w:ascii="宋体" w:hAnsi="宋体" w:eastAsia="宋体" w:cs="宋体"/>
          <w:sz w:val="10"/>
        </w:rPr>
        <w:t>，</w:t>
      </w:r>
      <w:r>
        <w:rPr>
          <w:rFonts w:hint="eastAsia" w:ascii="宋体" w:hAnsi="宋体" w:eastAsia="宋体" w:cs="宋体"/>
          <w:sz w:val="24"/>
        </w:rPr>
        <w:t>并向股东大会报告工作</w:t>
      </w:r>
      <w:r>
        <w:rPr>
          <w:rFonts w:hint="eastAsia" w:ascii="宋体" w:hAnsi="宋体" w:eastAsia="宋体" w:cs="宋体"/>
          <w:sz w:val="14"/>
        </w:rPr>
        <w:t>；</w:t>
      </w:r>
      <w:r>
        <w:rPr>
          <w:rFonts w:hint="eastAsia" w:ascii="宋体" w:hAnsi="宋体" w:eastAsia="宋体" w:cs="宋体"/>
          <w:sz w:val="24"/>
        </w:rPr>
        <w:t>执行股东大会的决议</w:t>
      </w:r>
      <w:r>
        <w:rPr>
          <w:rFonts w:hint="eastAsia" w:ascii="宋体" w:hAnsi="宋体" w:eastAsia="宋体" w:cs="宋体"/>
          <w:sz w:val="14"/>
        </w:rPr>
        <w:t>；</w:t>
      </w:r>
      <w:r>
        <w:rPr>
          <w:rFonts w:hint="eastAsia" w:ascii="宋体" w:hAnsi="宋体" w:eastAsia="宋体" w:cs="宋体"/>
          <w:sz w:val="24"/>
        </w:rPr>
        <w:t>决定公司的经营计划和投资方案</w:t>
      </w:r>
      <w:r>
        <w:rPr>
          <w:rFonts w:hint="eastAsia" w:ascii="宋体" w:hAnsi="宋体" w:eastAsia="宋体" w:cs="宋体"/>
          <w:sz w:val="14"/>
        </w:rPr>
        <w:t>；</w:t>
      </w:r>
      <w:r>
        <w:rPr>
          <w:rFonts w:hint="eastAsia" w:ascii="宋体" w:hAnsi="宋体" w:eastAsia="宋体" w:cs="宋体"/>
          <w:sz w:val="24"/>
        </w:rPr>
        <w:t>制订公司的年度财务预算方案</w:t>
      </w:r>
      <w:r>
        <w:rPr>
          <w:rFonts w:hint="eastAsia" w:ascii="宋体" w:hAnsi="宋体" w:eastAsia="宋体" w:cs="宋体"/>
          <w:sz w:val="10"/>
        </w:rPr>
        <w:t>、</w:t>
      </w:r>
      <w:r>
        <w:rPr>
          <w:rFonts w:hint="eastAsia" w:ascii="宋体" w:hAnsi="宋体" w:eastAsia="宋体" w:cs="宋体"/>
          <w:sz w:val="24"/>
        </w:rPr>
        <w:t>决算方案</w:t>
      </w:r>
      <w:r>
        <w:rPr>
          <w:rFonts w:hint="eastAsia" w:ascii="宋体" w:hAnsi="宋体" w:eastAsia="宋体" w:cs="宋体"/>
          <w:sz w:val="12"/>
        </w:rPr>
        <w:t>；</w:t>
      </w:r>
      <w:r>
        <w:rPr>
          <w:rFonts w:hint="eastAsia" w:ascii="宋体" w:hAnsi="宋体" w:eastAsia="宋体" w:cs="宋体"/>
          <w:sz w:val="24"/>
        </w:rPr>
        <w:t>制订公司的利润分配方案和弥补亏损方案</w:t>
      </w:r>
      <w:r>
        <w:rPr>
          <w:rFonts w:hint="eastAsia" w:ascii="宋体" w:hAnsi="宋体" w:eastAsia="宋体" w:cs="宋体"/>
          <w:sz w:val="14"/>
        </w:rPr>
        <w:t>；</w:t>
      </w:r>
      <w:r>
        <w:rPr>
          <w:rFonts w:hint="eastAsia" w:ascii="宋体" w:hAnsi="宋体" w:eastAsia="宋体" w:cs="宋体"/>
          <w:sz w:val="24"/>
        </w:rPr>
        <w:t>制订公司增加或者减少注册资本</w:t>
      </w:r>
      <w:r>
        <w:rPr>
          <w:rFonts w:hint="eastAsia" w:ascii="宋体" w:hAnsi="宋体" w:eastAsia="宋体" w:cs="宋体"/>
          <w:sz w:val="10"/>
        </w:rPr>
        <w:t>、</w:t>
      </w:r>
      <w:r>
        <w:rPr>
          <w:rFonts w:hint="eastAsia" w:ascii="宋体" w:hAnsi="宋体" w:eastAsia="宋体" w:cs="宋体"/>
          <w:sz w:val="24"/>
        </w:rPr>
        <w:t>发行债券或其他证券及上市方案</w:t>
      </w:r>
      <w:r>
        <w:rPr>
          <w:rFonts w:hint="eastAsia" w:ascii="宋体" w:hAnsi="宋体" w:eastAsia="宋体" w:cs="宋体"/>
          <w:sz w:val="14"/>
        </w:rPr>
        <w:t>；</w:t>
      </w:r>
      <w:r>
        <w:rPr>
          <w:rFonts w:hint="eastAsia" w:ascii="宋体" w:hAnsi="宋体" w:eastAsia="宋体" w:cs="宋体"/>
          <w:sz w:val="24"/>
        </w:rPr>
        <w:t>拟订公司重大收购</w:t>
      </w:r>
      <w:r>
        <w:rPr>
          <w:rFonts w:hint="eastAsia" w:ascii="宋体" w:hAnsi="宋体" w:eastAsia="宋体" w:cs="宋体"/>
          <w:sz w:val="10"/>
        </w:rPr>
        <w:t>、</w:t>
      </w:r>
      <w:r>
        <w:rPr>
          <w:rFonts w:hint="eastAsia" w:ascii="宋体" w:hAnsi="宋体" w:eastAsia="宋体" w:cs="宋体"/>
          <w:sz w:val="24"/>
        </w:rPr>
        <w:t>收购本公司股票或者合并</w:t>
      </w:r>
      <w:r>
        <w:rPr>
          <w:rFonts w:hint="eastAsia" w:ascii="宋体" w:hAnsi="宋体" w:eastAsia="宋体" w:cs="宋体"/>
          <w:sz w:val="10"/>
        </w:rPr>
        <w:t>、</w:t>
      </w:r>
      <w:r>
        <w:rPr>
          <w:rFonts w:hint="eastAsia" w:ascii="宋体" w:hAnsi="宋体" w:eastAsia="宋体" w:cs="宋体"/>
          <w:sz w:val="24"/>
        </w:rPr>
        <w:t>分立</w:t>
      </w:r>
      <w:r>
        <w:rPr>
          <w:rFonts w:hint="eastAsia" w:ascii="宋体" w:hAnsi="宋体" w:eastAsia="宋体" w:cs="宋体"/>
          <w:sz w:val="10"/>
        </w:rPr>
        <w:t>、</w:t>
      </w:r>
      <w:r>
        <w:rPr>
          <w:rFonts w:hint="eastAsia" w:ascii="宋体" w:hAnsi="宋体" w:eastAsia="宋体" w:cs="宋体"/>
          <w:sz w:val="24"/>
        </w:rPr>
        <w:t>解散及变更公司形式的方案</w:t>
      </w:r>
      <w:r>
        <w:rPr>
          <w:rFonts w:hint="eastAsia" w:ascii="宋体" w:hAnsi="宋体" w:eastAsia="宋体" w:cs="宋体"/>
          <w:sz w:val="12"/>
        </w:rPr>
        <w:t>；</w:t>
      </w:r>
      <w:r>
        <w:rPr>
          <w:rFonts w:hint="eastAsia" w:ascii="宋体" w:hAnsi="宋体" w:eastAsia="宋体" w:cs="宋体"/>
          <w:sz w:val="24"/>
        </w:rPr>
        <w:t>在股东大会授权范围内</w:t>
      </w:r>
      <w:r>
        <w:rPr>
          <w:rFonts w:hint="eastAsia" w:ascii="宋体" w:hAnsi="宋体" w:eastAsia="宋体" w:cs="宋体"/>
          <w:sz w:val="10"/>
        </w:rPr>
        <w:t>，</w:t>
      </w:r>
      <w:r>
        <w:rPr>
          <w:rFonts w:hint="eastAsia" w:ascii="宋体" w:hAnsi="宋体" w:eastAsia="宋体" w:cs="宋体"/>
          <w:sz w:val="24"/>
        </w:rPr>
        <w:t>决定公司对外投资</w:t>
      </w:r>
      <w:r>
        <w:rPr>
          <w:rFonts w:hint="eastAsia" w:ascii="宋体" w:hAnsi="宋体" w:eastAsia="宋体" w:cs="宋体"/>
          <w:sz w:val="10"/>
        </w:rPr>
        <w:t>、</w:t>
      </w:r>
      <w:r>
        <w:rPr>
          <w:rFonts w:hint="eastAsia" w:ascii="宋体" w:hAnsi="宋体" w:eastAsia="宋体" w:cs="宋体"/>
          <w:sz w:val="24"/>
        </w:rPr>
        <w:t>收购出售资产</w:t>
      </w:r>
      <w:r>
        <w:rPr>
          <w:rFonts w:hint="eastAsia" w:ascii="宋体" w:hAnsi="宋体" w:eastAsia="宋体" w:cs="宋体"/>
          <w:sz w:val="10"/>
        </w:rPr>
        <w:t>、</w:t>
      </w:r>
      <w:r>
        <w:rPr>
          <w:rFonts w:hint="eastAsia" w:ascii="宋体" w:hAnsi="宋体" w:eastAsia="宋体" w:cs="宋体"/>
          <w:sz w:val="24"/>
        </w:rPr>
        <w:t>资产抵押</w:t>
      </w:r>
      <w:r>
        <w:rPr>
          <w:rFonts w:hint="eastAsia" w:ascii="宋体" w:hAnsi="宋体" w:eastAsia="宋体" w:cs="宋体"/>
          <w:sz w:val="10"/>
        </w:rPr>
        <w:t>、</w:t>
      </w:r>
      <w:r>
        <w:rPr>
          <w:rFonts w:hint="eastAsia" w:ascii="宋体" w:hAnsi="宋体" w:eastAsia="宋体" w:cs="宋体"/>
          <w:sz w:val="24"/>
        </w:rPr>
        <w:t>对外担保</w:t>
      </w:r>
      <w:r>
        <w:rPr>
          <w:rFonts w:hint="eastAsia" w:ascii="宋体" w:hAnsi="宋体" w:eastAsia="宋体" w:cs="宋体"/>
          <w:sz w:val="10"/>
        </w:rPr>
        <w:t>、</w:t>
      </w:r>
      <w:r>
        <w:rPr>
          <w:rFonts w:hint="eastAsia" w:ascii="宋体" w:hAnsi="宋体" w:eastAsia="宋体" w:cs="宋体"/>
          <w:sz w:val="24"/>
        </w:rPr>
        <w:t>委托理财</w:t>
      </w:r>
      <w:r>
        <w:rPr>
          <w:rFonts w:hint="eastAsia" w:ascii="宋体" w:hAnsi="宋体" w:eastAsia="宋体" w:cs="宋体"/>
          <w:sz w:val="10"/>
        </w:rPr>
        <w:t>、</w:t>
      </w:r>
      <w:r>
        <w:rPr>
          <w:rFonts w:hint="eastAsia" w:ascii="宋体" w:hAnsi="宋体" w:eastAsia="宋体" w:cs="宋体"/>
          <w:sz w:val="24"/>
        </w:rPr>
        <w:t>关联交易等事项</w:t>
      </w:r>
      <w:r>
        <w:rPr>
          <w:rFonts w:hint="eastAsia" w:ascii="宋体" w:hAnsi="宋体" w:eastAsia="宋体" w:cs="宋体"/>
          <w:sz w:val="14"/>
        </w:rPr>
        <w:t>；</w:t>
      </w:r>
      <w:r>
        <w:rPr>
          <w:rFonts w:hint="eastAsia" w:ascii="宋体" w:hAnsi="宋体" w:eastAsia="宋体" w:cs="宋体"/>
          <w:sz w:val="24"/>
        </w:rPr>
        <w:t>决定公司内部管理机构的设置</w:t>
      </w:r>
      <w:r>
        <w:rPr>
          <w:rFonts w:hint="eastAsia" w:ascii="宋体" w:hAnsi="宋体" w:eastAsia="宋体" w:cs="宋体"/>
          <w:sz w:val="14"/>
        </w:rPr>
        <w:t>；</w:t>
      </w:r>
      <w:r>
        <w:rPr>
          <w:rFonts w:hint="eastAsia" w:ascii="宋体" w:hAnsi="宋体" w:eastAsia="宋体" w:cs="宋体"/>
          <w:sz w:val="24"/>
        </w:rPr>
        <w:t>聘任或者解聘公司总经理</w:t>
      </w:r>
      <w:r>
        <w:rPr>
          <w:rFonts w:hint="eastAsia" w:ascii="宋体" w:hAnsi="宋体" w:eastAsia="宋体" w:cs="宋体"/>
          <w:sz w:val="10"/>
        </w:rPr>
        <w:t>、</w:t>
      </w:r>
      <w:r>
        <w:rPr>
          <w:rFonts w:hint="eastAsia" w:ascii="宋体" w:hAnsi="宋体" w:eastAsia="宋体" w:cs="宋体"/>
          <w:sz w:val="24"/>
        </w:rPr>
        <w:t>董事会秘书</w:t>
      </w:r>
      <w:r>
        <w:rPr>
          <w:rFonts w:hint="eastAsia" w:ascii="宋体" w:hAnsi="宋体" w:eastAsia="宋体" w:cs="宋体"/>
          <w:sz w:val="10"/>
        </w:rPr>
        <w:t>，</w:t>
      </w:r>
      <w:r>
        <w:rPr>
          <w:rFonts w:hint="eastAsia" w:ascii="宋体" w:hAnsi="宋体" w:eastAsia="宋体" w:cs="宋体"/>
          <w:sz w:val="24"/>
        </w:rPr>
        <w:t>根据总经理的提名</w:t>
      </w:r>
      <w:r>
        <w:rPr>
          <w:rFonts w:hint="eastAsia" w:ascii="宋体" w:hAnsi="宋体" w:eastAsia="宋体" w:cs="宋体"/>
          <w:sz w:val="10"/>
        </w:rPr>
        <w:t>，</w:t>
      </w:r>
      <w:r>
        <w:rPr>
          <w:rFonts w:hint="eastAsia" w:ascii="宋体" w:hAnsi="宋体" w:eastAsia="宋体" w:cs="宋体"/>
          <w:sz w:val="24"/>
        </w:rPr>
        <w:t>聘任或者解聘公司副总经理</w:t>
      </w:r>
      <w:r>
        <w:rPr>
          <w:rFonts w:hint="eastAsia" w:ascii="宋体" w:hAnsi="宋体" w:eastAsia="宋体" w:cs="宋体"/>
          <w:sz w:val="10"/>
        </w:rPr>
        <w:t>、</w:t>
      </w:r>
      <w:r>
        <w:rPr>
          <w:rFonts w:hint="eastAsia" w:ascii="宋体" w:hAnsi="宋体" w:eastAsia="宋体" w:cs="宋体"/>
          <w:sz w:val="24"/>
        </w:rPr>
        <w:t>财务总监等高级管理人员</w:t>
      </w:r>
      <w:r>
        <w:rPr>
          <w:rFonts w:hint="eastAsia" w:ascii="宋体" w:hAnsi="宋体" w:eastAsia="宋体" w:cs="宋体"/>
          <w:sz w:val="10"/>
        </w:rPr>
        <w:t>，</w:t>
      </w:r>
      <w:r>
        <w:rPr>
          <w:rFonts w:hint="eastAsia" w:ascii="宋体" w:hAnsi="宋体" w:eastAsia="宋体" w:cs="宋体"/>
          <w:sz w:val="24"/>
        </w:rPr>
        <w:t>并决定其报酬事项和奖惩事项</w:t>
      </w:r>
      <w:r>
        <w:rPr>
          <w:rFonts w:hint="eastAsia" w:ascii="宋体" w:hAnsi="宋体" w:eastAsia="宋体" w:cs="宋体"/>
          <w:sz w:val="14"/>
        </w:rPr>
        <w:t>；</w:t>
      </w:r>
      <w:r>
        <w:rPr>
          <w:rFonts w:hint="eastAsia" w:ascii="宋体" w:hAnsi="宋体" w:eastAsia="宋体" w:cs="宋体"/>
          <w:sz w:val="24"/>
        </w:rPr>
        <w:t>制订公司的基本管理制度</w:t>
      </w:r>
      <w:r>
        <w:rPr>
          <w:rFonts w:hint="eastAsia" w:ascii="宋体" w:hAnsi="宋体" w:eastAsia="宋体" w:cs="宋体"/>
          <w:sz w:val="12"/>
        </w:rPr>
        <w:t>；</w:t>
      </w:r>
      <w:r>
        <w:rPr>
          <w:rFonts w:hint="eastAsia" w:ascii="宋体" w:hAnsi="宋体" w:eastAsia="宋体" w:cs="宋体"/>
          <w:sz w:val="24"/>
        </w:rPr>
        <w:t>制订章程的修改方案</w:t>
      </w:r>
      <w:r>
        <w:rPr>
          <w:rFonts w:hint="eastAsia" w:ascii="宋体" w:hAnsi="宋体" w:eastAsia="宋体" w:cs="宋体"/>
          <w:sz w:val="12"/>
        </w:rPr>
        <w:t>；</w:t>
      </w:r>
      <w:r>
        <w:rPr>
          <w:rFonts w:hint="eastAsia" w:ascii="宋体" w:hAnsi="宋体" w:eastAsia="宋体" w:cs="宋体"/>
          <w:sz w:val="24"/>
        </w:rPr>
        <w:t>管理公司信息披露事项</w:t>
      </w:r>
      <w:r>
        <w:rPr>
          <w:rFonts w:hint="eastAsia" w:ascii="宋体" w:hAnsi="宋体" w:eastAsia="宋体" w:cs="宋体"/>
          <w:sz w:val="12"/>
        </w:rPr>
        <w:t>；</w:t>
      </w:r>
      <w:r>
        <w:rPr>
          <w:rFonts w:hint="eastAsia" w:ascii="宋体" w:hAnsi="宋体" w:eastAsia="宋体" w:cs="宋体"/>
          <w:sz w:val="24"/>
        </w:rPr>
        <w:t>向股东大会提请聘请或更换为公司审计的会计师事务所</w:t>
      </w:r>
      <w:r>
        <w:rPr>
          <w:rFonts w:hint="eastAsia" w:ascii="宋体" w:hAnsi="宋体" w:eastAsia="宋体" w:cs="宋体"/>
          <w:sz w:val="12"/>
        </w:rPr>
        <w:t>；</w:t>
      </w:r>
      <w:r>
        <w:rPr>
          <w:rFonts w:hint="eastAsia" w:ascii="宋体" w:hAnsi="宋体" w:eastAsia="宋体" w:cs="宋体"/>
          <w:sz w:val="24"/>
        </w:rPr>
        <w:t>听取公司总经理的工作汇报并检查总经理的工作</w:t>
      </w:r>
      <w:r>
        <w:rPr>
          <w:rFonts w:hint="eastAsia" w:ascii="宋体" w:hAnsi="宋体" w:eastAsia="宋体" w:cs="宋体"/>
          <w:sz w:val="12"/>
        </w:rPr>
        <w:t>；</w:t>
      </w:r>
      <w:r>
        <w:rPr>
          <w:rFonts w:hint="eastAsia" w:ascii="宋体" w:hAnsi="宋体" w:eastAsia="宋体" w:cs="宋体"/>
          <w:sz w:val="24"/>
        </w:rPr>
        <w:t>法律</w:t>
      </w:r>
      <w:r>
        <w:rPr>
          <w:rFonts w:hint="eastAsia" w:ascii="宋体" w:hAnsi="宋体" w:eastAsia="宋体" w:cs="宋体"/>
          <w:sz w:val="10"/>
        </w:rPr>
        <w:t>、</w:t>
      </w:r>
      <w:r>
        <w:rPr>
          <w:rFonts w:hint="eastAsia" w:ascii="宋体" w:hAnsi="宋体" w:eastAsia="宋体" w:cs="宋体"/>
          <w:sz w:val="24"/>
        </w:rPr>
        <w:t>行政法规</w:t>
      </w:r>
      <w:r>
        <w:rPr>
          <w:rFonts w:hint="eastAsia" w:ascii="宋体" w:hAnsi="宋体" w:eastAsia="宋体" w:cs="宋体"/>
          <w:sz w:val="10"/>
        </w:rPr>
        <w:t>、</w:t>
      </w:r>
      <w:r>
        <w:rPr>
          <w:rFonts w:hint="eastAsia" w:ascii="宋体" w:hAnsi="宋体" w:eastAsia="宋体" w:cs="宋体"/>
          <w:sz w:val="24"/>
        </w:rPr>
        <w:t>部门规章或公司章程授予的其他职权</w:t>
      </w:r>
      <w:r>
        <w:rPr>
          <w:rFonts w:hint="eastAsia" w:ascii="宋体" w:hAnsi="宋体" w:eastAsia="宋体" w:cs="宋体"/>
          <w:sz w:val="10"/>
        </w:rPr>
        <w:t>。</w:t>
      </w:r>
      <w:r>
        <w:rPr>
          <w:rFonts w:hint="eastAsia" w:ascii="宋体" w:hAnsi="宋体" w:eastAsia="宋体" w:cs="宋体"/>
          <w:sz w:val="24"/>
        </w:rPr>
        <w:t>超过股东大会授权范围的事项</w:t>
      </w:r>
      <w:r>
        <w:rPr>
          <w:rFonts w:hint="eastAsia" w:ascii="宋体" w:hAnsi="宋体" w:eastAsia="宋体" w:cs="宋体"/>
          <w:sz w:val="10"/>
        </w:rPr>
        <w:t>，</w:t>
      </w:r>
      <w:r>
        <w:rPr>
          <w:rFonts w:hint="eastAsia" w:ascii="宋体" w:hAnsi="宋体" w:eastAsia="宋体" w:cs="宋体"/>
          <w:sz w:val="24"/>
        </w:rPr>
        <w:t>应当提交股东大会审议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公司与关联自然人发生的交易金额达到人民币</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万元以上</w:t>
      </w:r>
      <w:r>
        <w:rPr>
          <w:rFonts w:hint="eastAsia" w:ascii="宋体" w:hAnsi="宋体" w:eastAsia="宋体" w:cs="宋体"/>
          <w:sz w:val="10"/>
        </w:rPr>
        <w:t>，</w:t>
      </w:r>
      <w:r>
        <w:rPr>
          <w:rFonts w:hint="eastAsia" w:ascii="宋体" w:hAnsi="宋体" w:eastAsia="宋体" w:cs="宋体"/>
          <w:sz w:val="24"/>
        </w:rPr>
        <w:t>由公司董事会审议批准</w:t>
      </w:r>
      <w:r>
        <w:rPr>
          <w:rFonts w:hint="eastAsia" w:ascii="宋体" w:hAnsi="宋体" w:eastAsia="宋体" w:cs="宋体"/>
          <w:sz w:val="10"/>
        </w:rPr>
        <w:t>。</w:t>
      </w:r>
      <w:r>
        <w:rPr>
          <w:rFonts w:hint="eastAsia" w:ascii="宋体" w:hAnsi="宋体" w:eastAsia="宋体" w:cs="宋体"/>
          <w:sz w:val="24"/>
        </w:rPr>
        <w:t>公司与关联法人发生的交易金额在人民币</w:t>
      </w:r>
      <w:r>
        <w:rPr>
          <w:rFonts w:hint="eastAsia" w:ascii="Times New Roman" w:hAnsi="Times New Roman" w:eastAsia="Times New Roman" w:cs="Times New Roman"/>
          <w:sz w:val="24"/>
        </w:rPr>
        <w:t xml:space="preserve"> 300</w:t>
      </w:r>
      <w:r>
        <w:rPr>
          <w:rFonts w:hint="eastAsia" w:ascii="宋体" w:hAnsi="宋体" w:eastAsia="宋体" w:cs="宋体"/>
          <w:sz w:val="24"/>
        </w:rPr>
        <w:t xml:space="preserve"> 万元以上且占公司最近</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10"/>
        </w:rPr>
        <w:t>一</w:t>
      </w:r>
      <w:r>
        <w:rPr>
          <w:rFonts w:hint="eastAsia" w:ascii="宋体" w:hAnsi="宋体" w:eastAsia="宋体" w:cs="宋体"/>
          <w:sz w:val="24"/>
        </w:rPr>
        <w:t>期经审计净资产绝对值</w:t>
      </w:r>
      <w:r>
        <w:rPr>
          <w:rFonts w:hint="eastAsia" w:ascii="Times New Roman" w:hAnsi="Times New Roman" w:eastAsia="Times New Roman" w:cs="Times New Roman"/>
          <w:sz w:val="24"/>
        </w:rPr>
        <w:t xml:space="preserve"> 0.5%</w:t>
      </w:r>
      <w:r>
        <w:rPr>
          <w:rFonts w:hint="eastAsia" w:ascii="宋体" w:hAnsi="宋体" w:eastAsia="宋体" w:cs="宋体"/>
          <w:sz w:val="24"/>
        </w:rPr>
        <w:t>以上</w:t>
      </w:r>
      <w:r>
        <w:rPr>
          <w:rFonts w:hint="eastAsia" w:ascii="宋体" w:hAnsi="宋体" w:eastAsia="宋体" w:cs="宋体"/>
          <w:sz w:val="10"/>
        </w:rPr>
        <w:t>，</w:t>
      </w:r>
      <w:r>
        <w:rPr>
          <w:rFonts w:hint="eastAsia" w:ascii="宋体" w:hAnsi="宋体" w:eastAsia="宋体" w:cs="宋体"/>
          <w:sz w:val="24"/>
        </w:rPr>
        <w:t>由公司董事会审议批准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公司与关联自然人</w:t>
      </w:r>
      <w:r>
        <w:rPr>
          <w:rFonts w:hint="eastAsia" w:ascii="宋体" w:hAnsi="宋体" w:eastAsia="宋体" w:cs="宋体"/>
          <w:sz w:val="10"/>
        </w:rPr>
        <w:t>、</w:t>
      </w:r>
      <w:r>
        <w:rPr>
          <w:rFonts w:hint="eastAsia" w:ascii="宋体" w:hAnsi="宋体" w:eastAsia="宋体" w:cs="宋体"/>
          <w:sz w:val="24"/>
        </w:rPr>
        <w:t>关联法人发生的交易（公司获赠现金资产</w:t>
      </w:r>
      <w:r>
        <w:rPr>
          <w:rFonts w:hint="eastAsia" w:ascii="宋体" w:hAnsi="宋体" w:eastAsia="宋体" w:cs="宋体"/>
          <w:sz w:val="10"/>
        </w:rPr>
        <w:t>、</w:t>
      </w:r>
      <w:r>
        <w:rPr>
          <w:rFonts w:hint="eastAsia" w:ascii="宋体" w:hAnsi="宋体" w:eastAsia="宋体" w:cs="宋体"/>
          <w:sz w:val="24"/>
        </w:rPr>
        <w:t>提供担保和单纯减免公司义务的债务除外）金额在人民币</w:t>
      </w:r>
      <w:r>
        <w:rPr>
          <w:rFonts w:hint="eastAsia" w:ascii="Times New Roman" w:hAnsi="Times New Roman" w:eastAsia="Times New Roman" w:cs="Times New Roman"/>
          <w:sz w:val="24"/>
        </w:rPr>
        <w:t xml:space="preserve"> 3,000</w:t>
      </w:r>
      <w:r>
        <w:rPr>
          <w:rFonts w:hint="eastAsia" w:ascii="宋体" w:hAnsi="宋体" w:eastAsia="宋体" w:cs="宋体"/>
          <w:sz w:val="24"/>
        </w:rPr>
        <w:t xml:space="preserve"> 万元以上</w:t>
      </w:r>
      <w:r>
        <w:rPr>
          <w:rFonts w:hint="eastAsia" w:ascii="宋体" w:hAnsi="宋体" w:eastAsia="宋体" w:cs="宋体"/>
          <w:sz w:val="10"/>
        </w:rPr>
        <w:t>，</w:t>
      </w:r>
      <w:r>
        <w:rPr>
          <w:rFonts w:hint="eastAsia" w:ascii="宋体" w:hAnsi="宋体" w:eastAsia="宋体" w:cs="宋体"/>
          <w:sz w:val="24"/>
        </w:rPr>
        <w:t>且占公司最近一期经审计净资产绝对值</w:t>
      </w:r>
      <w:r>
        <w:rPr>
          <w:rFonts w:hint="eastAsia" w:ascii="Times New Roman" w:hAnsi="Times New Roman" w:eastAsia="Times New Roman" w:cs="Times New Roman"/>
          <w:sz w:val="24"/>
        </w:rPr>
        <w:t xml:space="preserve"> 5%</w:t>
      </w:r>
      <w:r>
        <w:rPr>
          <w:rFonts w:hint="eastAsia" w:ascii="宋体" w:hAnsi="宋体" w:eastAsia="宋体" w:cs="宋体"/>
          <w:sz w:val="24"/>
        </w:rPr>
        <w:t>（含</w:t>
      </w:r>
      <w:r>
        <w:rPr>
          <w:rFonts w:hint="eastAsia" w:ascii="Times New Roman" w:hAnsi="Times New Roman" w:eastAsia="Times New Roman" w:cs="Times New Roman"/>
          <w:sz w:val="24"/>
        </w:rPr>
        <w:t xml:space="preserve"> 5%</w:t>
      </w:r>
      <w:r>
        <w:rPr>
          <w:rFonts w:hint="eastAsia" w:ascii="宋体" w:hAnsi="宋体" w:eastAsia="宋体" w:cs="宋体"/>
          <w:sz w:val="24"/>
        </w:rPr>
        <w:t>）以上的关联交易</w:t>
      </w:r>
      <w:r>
        <w:rPr>
          <w:rFonts w:hint="eastAsia" w:ascii="宋体" w:hAnsi="宋体" w:eastAsia="宋体" w:cs="宋体"/>
          <w:sz w:val="10"/>
        </w:rPr>
        <w:t>，</w:t>
      </w:r>
      <w:r>
        <w:rPr>
          <w:rFonts w:hint="eastAsia" w:ascii="宋体" w:hAnsi="宋体" w:eastAsia="宋体" w:cs="宋体"/>
          <w:sz w:val="24"/>
        </w:rPr>
        <w:t>由公司股东大会审议批准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董事会议事规则</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董事会会议分定期会议和临时会议</w:t>
      </w:r>
      <w:r>
        <w:rPr>
          <w:rFonts w:hint="eastAsia" w:ascii="宋体" w:hAnsi="宋体" w:eastAsia="宋体" w:cs="宋体"/>
          <w:sz w:val="10"/>
        </w:rPr>
        <w:t>，</w:t>
      </w:r>
      <w:r>
        <w:rPr>
          <w:rFonts w:hint="eastAsia" w:ascii="宋体" w:hAnsi="宋体" w:eastAsia="宋体" w:cs="宋体"/>
          <w:sz w:val="24"/>
        </w:rPr>
        <w:t>董事会每年至少召开两次会议</w:t>
      </w:r>
      <w:r>
        <w:rPr>
          <w:rFonts w:hint="eastAsia" w:ascii="宋体" w:hAnsi="宋体" w:eastAsia="宋体" w:cs="宋体"/>
          <w:sz w:val="10"/>
        </w:rPr>
        <w:t>。</w:t>
      </w:r>
      <w:r>
        <w:rPr>
          <w:rFonts w:hint="eastAsia" w:ascii="宋体" w:hAnsi="宋体" w:eastAsia="宋体" w:cs="宋体"/>
          <w:sz w:val="24"/>
        </w:rPr>
        <w:t>董事原则上应当亲自出席董事会会议</w:t>
      </w:r>
      <w:r>
        <w:rPr>
          <w:rFonts w:hint="eastAsia" w:ascii="宋体" w:hAnsi="宋体" w:eastAsia="宋体" w:cs="宋体"/>
          <w:sz w:val="10"/>
        </w:rPr>
        <w:t>。</w:t>
      </w:r>
      <w:r>
        <w:rPr>
          <w:rFonts w:hint="eastAsia" w:ascii="宋体" w:hAnsi="宋体" w:eastAsia="宋体" w:cs="宋体"/>
          <w:sz w:val="24"/>
        </w:rPr>
        <w:t>因故不能出席会议的</w:t>
      </w:r>
      <w:r>
        <w:rPr>
          <w:rFonts w:hint="eastAsia" w:ascii="宋体" w:hAnsi="宋体" w:eastAsia="宋体" w:cs="宋体"/>
          <w:sz w:val="10"/>
        </w:rPr>
        <w:t>，</w:t>
      </w:r>
      <w:r>
        <w:rPr>
          <w:rFonts w:hint="eastAsia" w:ascii="宋体" w:hAnsi="宋体" w:eastAsia="宋体" w:cs="宋体"/>
          <w:sz w:val="24"/>
        </w:rPr>
        <w:t>应当事先审阅会议材料</w:t>
      </w:r>
      <w:r>
        <w:rPr>
          <w:rFonts w:hint="eastAsia" w:ascii="宋体" w:hAnsi="宋体" w:eastAsia="宋体" w:cs="宋体"/>
          <w:sz w:val="10"/>
        </w:rPr>
        <w:t>，</w:t>
      </w:r>
      <w:r>
        <w:rPr>
          <w:rFonts w:hint="eastAsia" w:ascii="宋体" w:hAnsi="宋体" w:eastAsia="宋体" w:cs="宋体"/>
          <w:sz w:val="24"/>
        </w:rPr>
        <w:t>形成明确的意见</w:t>
      </w:r>
      <w:r>
        <w:rPr>
          <w:rFonts w:hint="eastAsia" w:ascii="宋体" w:hAnsi="宋体" w:eastAsia="宋体" w:cs="宋体"/>
          <w:sz w:val="10"/>
        </w:rPr>
        <w:t>，</w:t>
      </w:r>
      <w:r>
        <w:rPr>
          <w:rFonts w:hint="eastAsia" w:ascii="宋体" w:hAnsi="宋体" w:eastAsia="宋体" w:cs="宋体"/>
          <w:sz w:val="24"/>
        </w:rPr>
        <w:t>书面委托其他董事代为出席</w:t>
      </w:r>
      <w:r>
        <w:rPr>
          <w:rFonts w:hint="eastAsia" w:ascii="宋体" w:hAnsi="宋体" w:eastAsia="宋体" w:cs="宋体"/>
          <w:sz w:val="10"/>
        </w:rPr>
        <w:t>。</w:t>
      </w:r>
      <w:r>
        <w:rPr>
          <w:rFonts w:hint="eastAsia" w:ascii="宋体" w:hAnsi="宋体" w:eastAsia="宋体" w:cs="宋体"/>
          <w:sz w:val="24"/>
        </w:rPr>
        <w:t>董事会会议应有过半数的董事出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1-1-200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jc w:val="both"/>
      </w:pPr>
      <w:r>
        <w:rPr>
          <w:rFonts w:hint="eastAsia" w:ascii="宋体" w:hAnsi="宋体" w:eastAsia="宋体" w:cs="宋体"/>
          <w:sz w:val="24"/>
        </w:rPr>
        <w:t>席方可举行</w:t>
      </w:r>
      <w:r>
        <w:rPr>
          <w:rFonts w:hint="eastAsia" w:ascii="宋体" w:hAnsi="宋体" w:eastAsia="宋体" w:cs="宋体"/>
          <w:sz w:val="10"/>
        </w:rPr>
        <w:t>。</w:t>
      </w:r>
      <w:r>
        <w:rPr>
          <w:rFonts w:hint="eastAsia" w:ascii="宋体" w:hAnsi="宋体" w:eastAsia="宋体" w:cs="宋体"/>
          <w:sz w:val="24"/>
        </w:rPr>
        <w:t>董事会审议通过会议提案并形成相关决议</w:t>
      </w:r>
      <w:r>
        <w:rPr>
          <w:rFonts w:hint="eastAsia" w:ascii="宋体" w:hAnsi="宋体" w:eastAsia="宋体" w:cs="宋体"/>
          <w:sz w:val="10"/>
        </w:rPr>
        <w:t>，</w:t>
      </w:r>
      <w:r>
        <w:rPr>
          <w:rFonts w:hint="eastAsia" w:ascii="宋体" w:hAnsi="宋体" w:eastAsia="宋体" w:cs="宋体"/>
          <w:sz w:val="24"/>
        </w:rPr>
        <w:t>必须有超过公司全体董事人数之半数的董事对该提案投赞成票</w:t>
      </w:r>
      <w:r>
        <w:rPr>
          <w:rFonts w:hint="eastAsia" w:ascii="宋体" w:hAnsi="宋体" w:eastAsia="宋体" w:cs="宋体"/>
          <w:sz w:val="10"/>
        </w:rPr>
        <w:t>。</w:t>
      </w:r>
      <w:r>
        <w:rPr>
          <w:rFonts w:hint="eastAsia" w:ascii="宋体" w:hAnsi="宋体" w:eastAsia="宋体" w:cs="宋体"/>
          <w:sz w:val="24"/>
        </w:rPr>
        <w:t>董事会会议表决实行一人一票</w:t>
      </w:r>
      <w:r>
        <w:rPr>
          <w:rFonts w:hint="eastAsia" w:ascii="宋体" w:hAnsi="宋体" w:eastAsia="宋体" w:cs="宋体"/>
          <w:sz w:val="12"/>
        </w:rPr>
        <w:t>；</w:t>
      </w:r>
      <w:r>
        <w:rPr>
          <w:rFonts w:hint="eastAsia" w:ascii="宋体" w:hAnsi="宋体" w:eastAsia="宋体" w:cs="宋体"/>
          <w:sz w:val="24"/>
        </w:rPr>
        <w:t>董事会会议采用书面表决的方式</w:t>
      </w:r>
      <w:r>
        <w:rPr>
          <w:rFonts w:hint="eastAsia" w:ascii="宋体" w:hAnsi="宋体" w:eastAsia="宋体" w:cs="宋体"/>
          <w:sz w:val="10"/>
        </w:rPr>
        <w:t>。</w:t>
      </w:r>
      <w:r>
        <w:rPr>
          <w:rFonts w:hint="eastAsia" w:ascii="宋体" w:hAnsi="宋体" w:eastAsia="宋体" w:cs="宋体"/>
          <w:sz w:val="24"/>
        </w:rPr>
        <w:t>董事与董事会会议决议事项所涉及的企业有关联关系的</w:t>
      </w:r>
      <w:r>
        <w:rPr>
          <w:rFonts w:hint="eastAsia" w:ascii="宋体" w:hAnsi="宋体" w:eastAsia="宋体" w:cs="宋体"/>
          <w:sz w:val="10"/>
        </w:rPr>
        <w:t>，</w:t>
      </w:r>
      <w:r>
        <w:rPr>
          <w:rFonts w:hint="eastAsia" w:ascii="宋体" w:hAnsi="宋体" w:eastAsia="宋体" w:cs="宋体"/>
          <w:sz w:val="24"/>
        </w:rPr>
        <w:t>不得对该项决议行使表决权</w:t>
      </w:r>
      <w:r>
        <w:rPr>
          <w:rFonts w:hint="eastAsia" w:ascii="宋体" w:hAnsi="宋体" w:eastAsia="宋体" w:cs="宋体"/>
          <w:sz w:val="10"/>
        </w:rPr>
        <w:t>，</w:t>
      </w:r>
      <w:r>
        <w:rPr>
          <w:rFonts w:hint="eastAsia" w:ascii="宋体" w:hAnsi="宋体" w:eastAsia="宋体" w:cs="宋体"/>
          <w:sz w:val="24"/>
        </w:rPr>
        <w:t>也不得代理其他董事行使表决权</w:t>
      </w:r>
      <w:r>
        <w:rPr>
          <w:rFonts w:hint="eastAsia" w:ascii="宋体" w:hAnsi="宋体" w:eastAsia="宋体" w:cs="宋体"/>
          <w:sz w:val="10"/>
        </w:rPr>
        <w:t>。</w:t>
      </w:r>
      <w:r>
        <w:rPr>
          <w:rFonts w:hint="eastAsia" w:ascii="宋体" w:hAnsi="宋体" w:eastAsia="宋体" w:cs="宋体"/>
          <w:sz w:val="24"/>
        </w:rPr>
        <w:t>在董事回避表决的情况下</w:t>
      </w:r>
      <w:r>
        <w:rPr>
          <w:rFonts w:hint="eastAsia" w:ascii="宋体" w:hAnsi="宋体" w:eastAsia="宋体" w:cs="宋体"/>
          <w:sz w:val="10"/>
        </w:rPr>
        <w:t>，</w:t>
      </w:r>
      <w:r>
        <w:rPr>
          <w:rFonts w:hint="eastAsia" w:ascii="宋体" w:hAnsi="宋体" w:eastAsia="宋体" w:cs="宋体"/>
          <w:sz w:val="24"/>
        </w:rPr>
        <w:t>有关董事会会议由过半数的无关联关系董事出席即可举行</w:t>
      </w:r>
      <w:r>
        <w:rPr>
          <w:rFonts w:hint="eastAsia" w:ascii="宋体" w:hAnsi="宋体" w:eastAsia="宋体" w:cs="宋体"/>
          <w:sz w:val="10"/>
        </w:rPr>
        <w:t>，</w:t>
      </w:r>
      <w:r>
        <w:rPr>
          <w:rFonts w:hint="eastAsia" w:ascii="宋体" w:hAnsi="宋体" w:eastAsia="宋体" w:cs="宋体"/>
          <w:sz w:val="24"/>
        </w:rPr>
        <w:t>形成决议须经无关联关系董事过半数通过</w:t>
      </w:r>
      <w:r>
        <w:rPr>
          <w:rFonts w:hint="eastAsia" w:ascii="宋体" w:hAnsi="宋体" w:eastAsia="宋体" w:cs="宋体"/>
          <w:sz w:val="10"/>
        </w:rPr>
        <w:t>。</w:t>
      </w:r>
      <w:r>
        <w:rPr>
          <w:rFonts w:hint="eastAsia" w:ascii="宋体" w:hAnsi="宋体" w:eastAsia="宋体" w:cs="宋体"/>
          <w:sz w:val="24"/>
        </w:rPr>
        <w:t>出席会议的无关联关系董事人数不足</w:t>
      </w:r>
      <w:r>
        <w:rPr>
          <w:rFonts w:hint="eastAsia" w:ascii="Times New Roman" w:hAnsi="Times New Roman" w:eastAsia="Times New Roman" w:cs="Times New Roman"/>
          <w:sz w:val="24"/>
        </w:rPr>
        <w:t xml:space="preserve"> 3</w:t>
      </w:r>
      <w:r>
        <w:rPr>
          <w:rFonts w:hint="eastAsia" w:ascii="宋体" w:hAnsi="宋体" w:eastAsia="宋体" w:cs="宋体"/>
          <w:sz w:val="24"/>
        </w:rPr>
        <w:t>人的</w:t>
      </w:r>
      <w:r>
        <w:rPr>
          <w:rFonts w:hint="eastAsia" w:ascii="宋体" w:hAnsi="宋体" w:eastAsia="宋体" w:cs="宋体"/>
          <w:sz w:val="10"/>
        </w:rPr>
        <w:t>，</w:t>
      </w:r>
      <w:r>
        <w:rPr>
          <w:rFonts w:hint="eastAsia" w:ascii="宋体" w:hAnsi="宋体" w:eastAsia="宋体" w:cs="宋体"/>
          <w:sz w:val="24"/>
        </w:rPr>
        <w:t>不得对有关提案进行表决</w:t>
      </w:r>
      <w:r>
        <w:rPr>
          <w:rFonts w:hint="eastAsia" w:ascii="宋体" w:hAnsi="宋体" w:eastAsia="宋体" w:cs="宋体"/>
          <w:sz w:val="10"/>
        </w:rPr>
        <w:t>，</w:t>
      </w:r>
      <w:r>
        <w:rPr>
          <w:rFonts w:hint="eastAsia" w:ascii="宋体" w:hAnsi="宋体" w:eastAsia="宋体" w:cs="宋体"/>
          <w:sz w:val="24"/>
        </w:rPr>
        <w:t>而应当将该事项提交股东大会审议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董事会召开情况</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自股份公司成立至本招股说明书签署之日</w:t>
      </w:r>
      <w:r>
        <w:rPr>
          <w:rFonts w:hint="eastAsia" w:ascii="宋体" w:hAnsi="宋体" w:eastAsia="宋体" w:cs="宋体"/>
          <w:sz w:val="10"/>
        </w:rPr>
        <w:t>，</w:t>
      </w:r>
      <w:r>
        <w:rPr>
          <w:rFonts w:hint="eastAsia" w:ascii="宋体" w:hAnsi="宋体" w:eastAsia="宋体" w:cs="宋体"/>
          <w:sz w:val="24"/>
        </w:rPr>
        <w:t>公司共选举了六届董事会</w:t>
      </w:r>
      <w:r>
        <w:rPr>
          <w:rFonts w:hint="eastAsia" w:ascii="宋体" w:hAnsi="宋体" w:eastAsia="宋体" w:cs="宋体"/>
          <w:sz w:val="10"/>
        </w:rPr>
        <w:t>。</w:t>
      </w:r>
      <w:r>
        <w:rPr>
          <w:rFonts w:hint="eastAsia" w:ascii="宋体" w:hAnsi="宋体" w:eastAsia="宋体" w:cs="宋体"/>
          <w:sz w:val="24"/>
        </w:rPr>
        <w:t>自</w:t>
      </w:r>
      <w:r>
        <w:rPr>
          <w:rFonts w:hint="eastAsia" w:ascii="Times New Roman" w:hAnsi="Times New Roman" w:eastAsia="Times New Roman" w:cs="Times New Roman"/>
          <w:sz w:val="24"/>
        </w:rPr>
        <w:t>2014</w:t>
      </w:r>
      <w:r>
        <w:rPr>
          <w:rFonts w:hint="eastAsia" w:ascii="宋体" w:hAnsi="宋体" w:eastAsia="宋体" w:cs="宋体"/>
          <w:sz w:val="24"/>
        </w:rPr>
        <w:t xml:space="preserve"> 年以来公司共召开了</w:t>
      </w:r>
      <w:r>
        <w:rPr>
          <w:rFonts w:hint="eastAsia" w:ascii="Times New Roman" w:hAnsi="Times New Roman" w:eastAsia="Times New Roman" w:cs="Times New Roman"/>
          <w:sz w:val="24"/>
        </w:rPr>
        <w:t xml:space="preserve"> 34</w:t>
      </w:r>
      <w:r>
        <w:rPr>
          <w:rFonts w:hint="eastAsia" w:ascii="宋体" w:hAnsi="宋体" w:eastAsia="宋体" w:cs="宋体"/>
          <w:sz w:val="24"/>
        </w:rPr>
        <w:t xml:space="preserve"> 次董事会</w:t>
      </w:r>
      <w:r>
        <w:rPr>
          <w:rFonts w:hint="eastAsia" w:ascii="宋体" w:hAnsi="宋体" w:eastAsia="宋体" w:cs="宋体"/>
          <w:sz w:val="10"/>
        </w:rPr>
        <w:t>，</w:t>
      </w:r>
      <w:r>
        <w:rPr>
          <w:rFonts w:hint="eastAsia" w:ascii="宋体" w:hAnsi="宋体" w:eastAsia="宋体" w:cs="宋体"/>
          <w:sz w:val="24"/>
        </w:rPr>
        <w:t>全体董事以现场或通讯方式出席</w:t>
      </w:r>
      <w:r>
        <w:rPr>
          <w:rFonts w:hint="eastAsia" w:ascii="宋体" w:hAnsi="宋体" w:eastAsia="宋体" w:cs="宋体"/>
          <w:sz w:val="10"/>
        </w:rPr>
        <w:t>。</w:t>
      </w:r>
      <w:r>
        <w:rPr>
          <w:rFonts w:hint="eastAsia" w:ascii="宋体" w:hAnsi="宋体" w:eastAsia="宋体" w:cs="宋体"/>
          <w:sz w:val="24"/>
        </w:rPr>
        <w:t>依据《公司法》、《</w:t>
      </w:r>
      <w:r>
        <w:rPr>
          <w:rFonts w:hint="eastAsia" w:ascii="宋体" w:hAnsi="宋体" w:eastAsia="宋体" w:cs="宋体"/>
          <w:sz w:val="24"/>
        </w:rPr>
        <w:t>公司章程》规定</w:t>
      </w:r>
      <w:r>
        <w:rPr>
          <w:rFonts w:hint="eastAsia" w:ascii="宋体" w:hAnsi="宋体" w:eastAsia="宋体" w:cs="宋体"/>
          <w:sz w:val="10"/>
        </w:rPr>
        <w:t>，</w:t>
      </w:r>
      <w:r>
        <w:rPr>
          <w:rFonts w:hint="eastAsia" w:ascii="宋体" w:hAnsi="宋体" w:eastAsia="宋体" w:cs="宋体"/>
          <w:sz w:val="24"/>
        </w:rPr>
        <w:t>董事会除执行股东大会决议之外</w:t>
      </w:r>
      <w:r>
        <w:rPr>
          <w:rFonts w:hint="eastAsia" w:ascii="宋体" w:hAnsi="宋体" w:eastAsia="宋体" w:cs="宋体"/>
          <w:sz w:val="10"/>
        </w:rPr>
        <w:t>，</w:t>
      </w:r>
      <w:r>
        <w:rPr>
          <w:rFonts w:hint="eastAsia" w:ascii="宋体" w:hAnsi="宋体" w:eastAsia="宋体" w:cs="宋体"/>
          <w:sz w:val="24"/>
        </w:rPr>
        <w:t>对公司经营方案</w:t>
      </w:r>
      <w:r>
        <w:rPr>
          <w:rFonts w:hint="eastAsia" w:ascii="宋体" w:hAnsi="宋体" w:eastAsia="宋体" w:cs="宋体"/>
          <w:sz w:val="10"/>
        </w:rPr>
        <w:t>、</w:t>
      </w:r>
      <w:r>
        <w:rPr>
          <w:rFonts w:hint="eastAsia" w:ascii="宋体" w:hAnsi="宋体" w:eastAsia="宋体" w:cs="宋体"/>
          <w:sz w:val="24"/>
        </w:rPr>
        <w:t>管理人员任命</w:t>
      </w:r>
      <w:r>
        <w:rPr>
          <w:rFonts w:hint="eastAsia" w:ascii="宋体" w:hAnsi="宋体" w:eastAsia="宋体" w:cs="宋体"/>
          <w:sz w:val="10"/>
        </w:rPr>
        <w:t>、</w:t>
      </w:r>
      <w:r>
        <w:rPr>
          <w:rFonts w:hint="eastAsia" w:ascii="宋体" w:hAnsi="宋体" w:eastAsia="宋体" w:cs="宋体"/>
          <w:sz w:val="24"/>
        </w:rPr>
        <w:t>内部机构的设置</w:t>
      </w:r>
      <w:r>
        <w:rPr>
          <w:rFonts w:hint="eastAsia" w:ascii="宋体" w:hAnsi="宋体" w:eastAsia="宋体" w:cs="宋体"/>
          <w:sz w:val="10"/>
        </w:rPr>
        <w:t>、</w:t>
      </w:r>
      <w:r>
        <w:rPr>
          <w:rFonts w:hint="eastAsia" w:ascii="宋体" w:hAnsi="宋体" w:eastAsia="宋体" w:cs="宋体"/>
          <w:sz w:val="24"/>
        </w:rPr>
        <w:t>基本制度的制定</w:t>
      </w:r>
      <w:r>
        <w:rPr>
          <w:rFonts w:hint="eastAsia" w:ascii="宋体" w:hAnsi="宋体" w:eastAsia="宋体" w:cs="宋体"/>
          <w:sz w:val="10"/>
        </w:rPr>
        <w:t>、</w:t>
      </w:r>
      <w:r>
        <w:rPr>
          <w:rFonts w:hint="eastAsia" w:ascii="宋体" w:hAnsi="宋体" w:eastAsia="宋体" w:cs="宋体"/>
          <w:sz w:val="24"/>
        </w:rPr>
        <w:t>重大投资</w:t>
      </w:r>
      <w:r>
        <w:rPr>
          <w:rFonts w:hint="eastAsia" w:ascii="宋体" w:hAnsi="宋体" w:eastAsia="宋体" w:cs="宋体"/>
          <w:sz w:val="10"/>
        </w:rPr>
        <w:t>、</w:t>
      </w:r>
      <w:r>
        <w:rPr>
          <w:rFonts w:hint="eastAsia" w:ascii="宋体" w:hAnsi="宋体" w:eastAsia="宋体" w:cs="宋体"/>
          <w:sz w:val="24"/>
        </w:rPr>
        <w:t>关联交易等事项进行审议并作出了有效决议</w:t>
      </w:r>
      <w:r>
        <w:rPr>
          <w:rFonts w:hint="eastAsia" w:ascii="宋体" w:hAnsi="宋体" w:eastAsia="宋体" w:cs="宋体"/>
          <w:sz w:val="12"/>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对需要股东大会审议的事项提交股东大会审议决定</w:t>
      </w:r>
      <w:r>
        <w:rPr>
          <w:rFonts w:hint="eastAsia" w:ascii="宋体" w:hAnsi="宋体" w:eastAsia="宋体" w:cs="宋体"/>
          <w:sz w:val="10"/>
        </w:rPr>
        <w:t>，</w:t>
      </w:r>
      <w:r>
        <w:rPr>
          <w:rFonts w:hint="eastAsia" w:ascii="宋体" w:hAnsi="宋体" w:eastAsia="宋体" w:cs="宋体"/>
          <w:sz w:val="24"/>
        </w:rPr>
        <w:t>切实发挥了董事会的作用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公司董事会的召开及决议内容合法有效</w:t>
      </w:r>
      <w:r>
        <w:rPr>
          <w:rFonts w:hint="eastAsia" w:ascii="宋体" w:hAnsi="宋体" w:eastAsia="宋体" w:cs="宋体"/>
          <w:sz w:val="10"/>
        </w:rPr>
        <w:t>，</w:t>
      </w:r>
      <w:r>
        <w:rPr>
          <w:rFonts w:hint="eastAsia" w:ascii="宋体" w:hAnsi="宋体" w:eastAsia="宋体" w:cs="宋体"/>
          <w:sz w:val="24"/>
        </w:rPr>
        <w:t>不存在董事等人员违反《公司法》及其他规定行使职权的情形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（三）监事会制度的建立</w:t>
      </w:r>
      <w:r>
        <w:rPr>
          <w:rFonts w:hint="eastAsia" w:ascii="宋体" w:hAnsi="宋体" w:eastAsia="宋体" w:cs="宋体"/>
          <w:b/>
          <w:sz w:val="10"/>
        </w:rPr>
        <w:t>、</w:t>
      </w:r>
      <w:r>
        <w:rPr>
          <w:rFonts w:hint="eastAsia" w:ascii="宋体" w:hAnsi="宋体" w:eastAsia="宋体" w:cs="宋体"/>
          <w:b/>
          <w:sz w:val="24"/>
        </w:rPr>
        <w:t>健全及运行情况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公司制定了《监事会议事规则》，</w:t>
      </w:r>
      <w:r>
        <w:rPr>
          <w:rFonts w:hint="eastAsia" w:ascii="宋体" w:hAnsi="宋体" w:eastAsia="宋体" w:cs="宋体"/>
          <w:sz w:val="24"/>
        </w:rPr>
        <w:t>公司监事严格按照公司章程和监事会议事规则的规定行使自己的权利</w:t>
      </w:r>
      <w:r>
        <w:rPr>
          <w:rFonts w:hint="eastAsia" w:ascii="宋体" w:hAnsi="宋体" w:eastAsia="宋体" w:cs="宋体"/>
          <w:sz w:val="10"/>
        </w:rPr>
        <w:t>，</w:t>
      </w:r>
      <w:r>
        <w:rPr>
          <w:rFonts w:hint="eastAsia" w:ascii="宋体" w:hAnsi="宋体" w:eastAsia="宋体" w:cs="宋体"/>
          <w:sz w:val="24"/>
        </w:rPr>
        <w:t>监事会运作规范</w:t>
      </w:r>
      <w:r>
        <w:rPr>
          <w:rFonts w:hint="eastAsia" w:ascii="宋体" w:hAnsi="宋体" w:eastAsia="宋体" w:cs="宋体"/>
          <w:sz w:val="10"/>
        </w:rPr>
        <w:t>，</w:t>
      </w:r>
      <w:r>
        <w:rPr>
          <w:rFonts w:hint="eastAsia" w:ascii="宋体" w:hAnsi="宋体" w:eastAsia="宋体" w:cs="宋体"/>
          <w:sz w:val="24"/>
        </w:rPr>
        <w:t>具体情况如下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监事会构成</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监事会由三名监事组成</w:t>
      </w:r>
      <w:r>
        <w:rPr>
          <w:rFonts w:hint="eastAsia" w:ascii="宋体" w:hAnsi="宋体" w:eastAsia="宋体" w:cs="宋体"/>
          <w:sz w:val="10"/>
        </w:rPr>
        <w:t>，</w:t>
      </w:r>
      <w:r>
        <w:rPr>
          <w:rFonts w:hint="eastAsia" w:ascii="宋体" w:hAnsi="宋体" w:eastAsia="宋体" w:cs="宋体"/>
          <w:sz w:val="24"/>
        </w:rPr>
        <w:t>监事会设主席</w:t>
      </w:r>
      <w:r>
        <w:rPr>
          <w:rFonts w:hint="eastAsia" w:ascii="宋体" w:hAnsi="宋体" w:eastAsia="宋体" w:cs="宋体"/>
          <w:sz w:val="10"/>
        </w:rPr>
        <w:t>一</w:t>
      </w:r>
      <w:r>
        <w:rPr>
          <w:rFonts w:hint="eastAsia" w:ascii="宋体" w:hAnsi="宋体" w:eastAsia="宋体" w:cs="宋体"/>
          <w:sz w:val="24"/>
        </w:rPr>
        <w:t>人</w:t>
      </w:r>
      <w:r>
        <w:rPr>
          <w:rFonts w:hint="eastAsia" w:ascii="宋体" w:hAnsi="宋体" w:eastAsia="宋体" w:cs="宋体"/>
          <w:sz w:val="10"/>
        </w:rPr>
        <w:t>。</w:t>
      </w:r>
      <w:r>
        <w:rPr>
          <w:rFonts w:hint="eastAsia" w:ascii="宋体" w:hAnsi="宋体" w:eastAsia="宋体" w:cs="宋体"/>
          <w:sz w:val="24"/>
        </w:rPr>
        <w:t>监事会主席由全体监事过半数选举产生</w:t>
      </w:r>
      <w:r>
        <w:rPr>
          <w:rFonts w:hint="eastAsia" w:ascii="宋体" w:hAnsi="宋体" w:eastAsia="宋体" w:cs="宋体"/>
          <w:sz w:val="10"/>
        </w:rPr>
        <w:t>。</w:t>
      </w:r>
      <w:r>
        <w:rPr>
          <w:rFonts w:hint="eastAsia" w:ascii="宋体" w:hAnsi="宋体" w:eastAsia="宋体" w:cs="宋体"/>
          <w:sz w:val="24"/>
        </w:rPr>
        <w:t>监事会主席召集和主持监事会会议</w:t>
      </w:r>
      <w:r>
        <w:rPr>
          <w:rFonts w:hint="eastAsia" w:ascii="宋体" w:hAnsi="宋体" w:eastAsia="宋体" w:cs="宋体"/>
          <w:sz w:val="14"/>
        </w:rPr>
        <w:t>；</w:t>
      </w:r>
      <w:r>
        <w:rPr>
          <w:rFonts w:hint="eastAsia" w:ascii="宋体" w:hAnsi="宋体" w:eastAsia="宋体" w:cs="宋体"/>
          <w:sz w:val="24"/>
        </w:rPr>
        <w:t>监事会主席不能履行职务或者不履行职务的</w:t>
      </w:r>
      <w:r>
        <w:rPr>
          <w:rFonts w:hint="eastAsia" w:ascii="宋体" w:hAnsi="宋体" w:eastAsia="宋体" w:cs="宋体"/>
          <w:sz w:val="10"/>
        </w:rPr>
        <w:t>，</w:t>
      </w:r>
      <w:r>
        <w:rPr>
          <w:rFonts w:hint="eastAsia" w:ascii="宋体" w:hAnsi="宋体" w:eastAsia="宋体" w:cs="宋体"/>
          <w:sz w:val="24"/>
        </w:rPr>
        <w:t>由半数以上监事共同推举一名监事召集和主持监事会会议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监事会职权</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根据《公司章程》的规定</w:t>
      </w:r>
      <w:r>
        <w:rPr>
          <w:rFonts w:hint="eastAsia" w:ascii="宋体" w:hAnsi="宋体" w:eastAsia="宋体" w:cs="宋体"/>
          <w:sz w:val="10"/>
        </w:rPr>
        <w:t>，</w:t>
      </w:r>
      <w:r>
        <w:rPr>
          <w:rFonts w:hint="eastAsia" w:ascii="宋体" w:hAnsi="宋体" w:eastAsia="宋体" w:cs="宋体"/>
          <w:sz w:val="24"/>
        </w:rPr>
        <w:t>公司监事会依法行使下列职权</w:t>
      </w:r>
      <w:r>
        <w:rPr>
          <w:rFonts w:hint="eastAsia" w:ascii="宋体" w:hAnsi="宋体" w:eastAsia="宋体" w:cs="宋体"/>
          <w:sz w:val="12"/>
        </w:rPr>
        <w:t>：</w:t>
      </w:r>
      <w:r>
        <w:rPr>
          <w:rFonts w:hint="eastAsia" w:ascii="宋体" w:hAnsi="宋体" w:eastAsia="宋体" w:cs="宋体"/>
          <w:sz w:val="24"/>
        </w:rPr>
        <w:t>对董事会编制的公司定期报告进行审核并提出书面审核意见</w:t>
      </w:r>
      <w:r>
        <w:rPr>
          <w:rFonts w:hint="eastAsia" w:ascii="宋体" w:hAnsi="宋体" w:eastAsia="宋体" w:cs="宋体"/>
          <w:sz w:val="12"/>
        </w:rPr>
        <w:t>；</w:t>
      </w:r>
      <w:r>
        <w:rPr>
          <w:rFonts w:hint="eastAsia" w:ascii="宋体" w:hAnsi="宋体" w:eastAsia="宋体" w:cs="宋体"/>
          <w:sz w:val="24"/>
        </w:rPr>
        <w:t>检查公司财务</w:t>
      </w:r>
      <w:r>
        <w:rPr>
          <w:rFonts w:hint="eastAsia" w:ascii="宋体" w:hAnsi="宋体" w:eastAsia="宋体" w:cs="宋体"/>
          <w:sz w:val="12"/>
        </w:rPr>
        <w:t>；</w:t>
      </w:r>
      <w:r>
        <w:rPr>
          <w:rFonts w:hint="eastAsia" w:ascii="宋体" w:hAnsi="宋体" w:eastAsia="宋体" w:cs="宋体"/>
          <w:sz w:val="24"/>
        </w:rPr>
        <w:t>对董事</w:t>
      </w:r>
      <w:r>
        <w:rPr>
          <w:rFonts w:hint="eastAsia" w:ascii="宋体" w:hAnsi="宋体" w:eastAsia="宋体" w:cs="宋体"/>
          <w:sz w:val="10"/>
        </w:rPr>
        <w:t>、</w:t>
      </w:r>
      <w:r>
        <w:rPr>
          <w:rFonts w:hint="eastAsia" w:ascii="宋体" w:hAnsi="宋体" w:eastAsia="宋体" w:cs="宋体"/>
          <w:sz w:val="24"/>
        </w:rPr>
        <w:t>高级管理</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1-1-201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800" w:right="1600"/>
        <w:jc w:val="both"/>
      </w:pPr>
      <w:r>
        <w:rPr>
          <w:rFonts w:hint="eastAsia" w:ascii="宋体" w:hAnsi="宋体" w:eastAsia="宋体" w:cs="宋体"/>
          <w:sz w:val="24"/>
        </w:rPr>
        <w:t>人员执行公司职务的行为进行监督</w:t>
      </w:r>
      <w:r>
        <w:rPr>
          <w:rFonts w:hint="eastAsia" w:ascii="宋体" w:hAnsi="宋体" w:eastAsia="宋体" w:cs="宋体"/>
          <w:sz w:val="10"/>
        </w:rPr>
        <w:t>，</w:t>
      </w:r>
      <w:r>
        <w:rPr>
          <w:rFonts w:hint="eastAsia" w:ascii="宋体" w:hAnsi="宋体" w:eastAsia="宋体" w:cs="宋体"/>
          <w:sz w:val="24"/>
        </w:rPr>
        <w:t>对违反法律</w:t>
      </w:r>
      <w:r>
        <w:rPr>
          <w:rFonts w:hint="eastAsia" w:ascii="宋体" w:hAnsi="宋体" w:eastAsia="宋体" w:cs="宋体"/>
          <w:sz w:val="10"/>
        </w:rPr>
        <w:t>、</w:t>
      </w:r>
      <w:r>
        <w:rPr>
          <w:rFonts w:hint="eastAsia" w:ascii="宋体" w:hAnsi="宋体" w:eastAsia="宋体" w:cs="宋体"/>
          <w:sz w:val="24"/>
        </w:rPr>
        <w:t>行政法规</w:t>
      </w:r>
      <w:r>
        <w:rPr>
          <w:rFonts w:hint="eastAsia" w:ascii="宋体" w:hAnsi="宋体" w:eastAsia="宋体" w:cs="宋体"/>
          <w:sz w:val="10"/>
        </w:rPr>
        <w:t>、</w:t>
      </w:r>
      <w:r>
        <w:rPr>
          <w:rFonts w:hint="eastAsia" w:ascii="宋体" w:hAnsi="宋体" w:eastAsia="宋体" w:cs="宋体"/>
          <w:sz w:val="24"/>
        </w:rPr>
        <w:t>公司章程或者股东大会决议的董事</w:t>
      </w:r>
      <w:r>
        <w:rPr>
          <w:rFonts w:hint="eastAsia" w:ascii="宋体" w:hAnsi="宋体" w:eastAsia="宋体" w:cs="宋体"/>
          <w:sz w:val="10"/>
        </w:rPr>
        <w:t>、</w:t>
      </w:r>
      <w:r>
        <w:rPr>
          <w:rFonts w:hint="eastAsia" w:ascii="宋体" w:hAnsi="宋体" w:eastAsia="宋体" w:cs="宋体"/>
          <w:sz w:val="24"/>
        </w:rPr>
        <w:t>高级管理人员提出罢免的建议</w:t>
      </w:r>
      <w:r>
        <w:rPr>
          <w:rFonts w:hint="eastAsia" w:ascii="宋体" w:hAnsi="宋体" w:eastAsia="宋体" w:cs="宋体"/>
          <w:sz w:val="12"/>
        </w:rPr>
        <w:t>；</w:t>
      </w:r>
      <w:r>
        <w:rPr>
          <w:rFonts w:hint="eastAsia" w:ascii="宋体" w:hAnsi="宋体" w:eastAsia="宋体" w:cs="宋体"/>
          <w:sz w:val="24"/>
        </w:rPr>
        <w:t>当董事</w:t>
      </w:r>
      <w:r>
        <w:rPr>
          <w:rFonts w:hint="eastAsia" w:ascii="宋体" w:hAnsi="宋体" w:eastAsia="宋体" w:cs="宋体"/>
          <w:sz w:val="10"/>
        </w:rPr>
        <w:t>、</w:t>
      </w:r>
      <w:r>
        <w:rPr>
          <w:rFonts w:hint="eastAsia" w:ascii="宋体" w:hAnsi="宋体" w:eastAsia="宋体" w:cs="宋体"/>
          <w:sz w:val="24"/>
        </w:rPr>
        <w:t>高级管理人员的行为损害公司的利益时</w:t>
      </w:r>
      <w:r>
        <w:rPr>
          <w:rFonts w:hint="eastAsia" w:ascii="宋体" w:hAnsi="宋体" w:eastAsia="宋体" w:cs="宋体"/>
          <w:sz w:val="10"/>
        </w:rPr>
        <w:t>，</w:t>
      </w:r>
      <w:r>
        <w:rPr>
          <w:rFonts w:hint="eastAsia" w:ascii="宋体" w:hAnsi="宋体" w:eastAsia="宋体" w:cs="宋体"/>
          <w:sz w:val="24"/>
        </w:rPr>
        <w:t>要求董事</w:t>
      </w:r>
      <w:r>
        <w:rPr>
          <w:rFonts w:hint="eastAsia" w:ascii="宋体" w:hAnsi="宋体" w:eastAsia="宋体" w:cs="宋体"/>
          <w:sz w:val="10"/>
        </w:rPr>
        <w:t>、</w:t>
      </w:r>
      <w:r>
        <w:rPr>
          <w:rFonts w:hint="eastAsia" w:ascii="宋体" w:hAnsi="宋体" w:eastAsia="宋体" w:cs="宋体"/>
          <w:sz w:val="24"/>
        </w:rPr>
        <w:t>高级管理人员予以纠正</w:t>
      </w:r>
      <w:r>
        <w:rPr>
          <w:rFonts w:hint="eastAsia" w:ascii="宋体" w:hAnsi="宋体" w:eastAsia="宋体" w:cs="宋体"/>
          <w:sz w:val="12"/>
        </w:rPr>
        <w:t>；</w:t>
      </w:r>
      <w:r>
        <w:rPr>
          <w:rFonts w:hint="eastAsia" w:ascii="宋体" w:hAnsi="宋体" w:eastAsia="宋体" w:cs="宋体"/>
          <w:sz w:val="24"/>
        </w:rPr>
        <w:t>提议召开临时股东大会</w:t>
      </w:r>
      <w:r>
        <w:rPr>
          <w:rFonts w:hint="eastAsia" w:ascii="宋体" w:hAnsi="宋体" w:eastAsia="宋体" w:cs="宋体"/>
          <w:sz w:val="10"/>
        </w:rPr>
        <w:t>，</w:t>
      </w:r>
      <w:r>
        <w:rPr>
          <w:rFonts w:hint="eastAsia" w:ascii="宋体" w:hAnsi="宋体" w:eastAsia="宋体" w:cs="宋体"/>
          <w:sz w:val="24"/>
        </w:rPr>
        <w:t>在董事会不履行《公司法》规定的召集和主持股东大会职责时召集和主持股东大会</w:t>
      </w:r>
      <w:r>
        <w:rPr>
          <w:rFonts w:hint="eastAsia" w:ascii="宋体" w:hAnsi="宋体" w:eastAsia="宋体" w:cs="宋体"/>
          <w:sz w:val="12"/>
        </w:rPr>
        <w:t>；</w:t>
      </w:r>
      <w:r>
        <w:rPr>
          <w:rFonts w:hint="eastAsia" w:ascii="宋体" w:hAnsi="宋体" w:eastAsia="宋体" w:cs="宋体"/>
          <w:sz w:val="24"/>
        </w:rPr>
        <w:t>向股东大会提出提案</w:t>
      </w:r>
      <w:r>
        <w:rPr>
          <w:rFonts w:hint="eastAsia" w:ascii="宋体" w:hAnsi="宋体" w:eastAsia="宋体" w:cs="宋体"/>
          <w:sz w:val="12"/>
        </w:rPr>
        <w:t>；</w:t>
      </w:r>
      <w:r>
        <w:rPr>
          <w:rFonts w:hint="eastAsia" w:ascii="宋体" w:hAnsi="宋体" w:eastAsia="宋体" w:cs="宋体"/>
          <w:sz w:val="24"/>
        </w:rPr>
        <w:t>依照《公司法》规定</w:t>
      </w:r>
      <w:r>
        <w:rPr>
          <w:rFonts w:hint="eastAsia" w:ascii="宋体" w:hAnsi="宋体" w:eastAsia="宋体" w:cs="宋体"/>
          <w:sz w:val="10"/>
        </w:rPr>
        <w:t>，</w:t>
      </w:r>
      <w:r>
        <w:rPr>
          <w:rFonts w:hint="eastAsia" w:ascii="宋体" w:hAnsi="宋体" w:eastAsia="宋体" w:cs="宋体"/>
          <w:sz w:val="24"/>
        </w:rPr>
        <w:t>对董事</w:t>
      </w:r>
      <w:r>
        <w:rPr>
          <w:rFonts w:hint="eastAsia" w:ascii="宋体" w:hAnsi="宋体" w:eastAsia="宋体" w:cs="宋体"/>
          <w:sz w:val="10"/>
        </w:rPr>
        <w:t>、</w:t>
      </w:r>
      <w:r>
        <w:rPr>
          <w:rFonts w:hint="eastAsia" w:ascii="宋体" w:hAnsi="宋体" w:eastAsia="宋体" w:cs="宋体"/>
          <w:sz w:val="24"/>
        </w:rPr>
        <w:t>高级管理人员提起诉讼</w:t>
      </w:r>
      <w:r>
        <w:rPr>
          <w:rFonts w:hint="eastAsia" w:ascii="宋体" w:hAnsi="宋体" w:eastAsia="宋体" w:cs="宋体"/>
          <w:sz w:val="14"/>
        </w:rPr>
        <w:t>；</w:t>
      </w:r>
      <w:r>
        <w:rPr>
          <w:rFonts w:hint="eastAsia" w:ascii="宋体" w:hAnsi="宋体" w:eastAsia="宋体" w:cs="宋体"/>
          <w:sz w:val="24"/>
        </w:rPr>
        <w:t>发现公司经营情况异常</w:t>
      </w:r>
      <w:r>
        <w:rPr>
          <w:rFonts w:hint="eastAsia" w:ascii="宋体" w:hAnsi="宋体" w:eastAsia="宋体" w:cs="宋体"/>
          <w:sz w:val="10"/>
        </w:rPr>
        <w:t>，</w:t>
      </w:r>
      <w:r>
        <w:rPr>
          <w:rFonts w:hint="eastAsia" w:ascii="宋体" w:hAnsi="宋体" w:eastAsia="宋体" w:cs="宋体"/>
          <w:sz w:val="24"/>
        </w:rPr>
        <w:t>可以进行调查</w:t>
      </w:r>
      <w:r>
        <w:rPr>
          <w:rFonts w:hint="eastAsia" w:ascii="宋体" w:hAnsi="宋体" w:eastAsia="宋体" w:cs="宋体"/>
          <w:sz w:val="14"/>
        </w:rPr>
        <w:t>；</w:t>
      </w:r>
      <w:r>
        <w:rPr>
          <w:rFonts w:hint="eastAsia" w:ascii="宋体" w:hAnsi="宋体" w:eastAsia="宋体" w:cs="宋体"/>
          <w:sz w:val="24"/>
        </w:rPr>
        <w:t>必要时</w:t>
      </w:r>
      <w:r>
        <w:rPr>
          <w:rFonts w:hint="eastAsia" w:ascii="宋体" w:hAnsi="宋体" w:eastAsia="宋体" w:cs="宋体"/>
          <w:sz w:val="10"/>
        </w:rPr>
        <w:t>，</w:t>
      </w:r>
      <w:r>
        <w:rPr>
          <w:rFonts w:hint="eastAsia" w:ascii="宋体" w:hAnsi="宋体" w:eastAsia="宋体" w:cs="宋体"/>
          <w:sz w:val="24"/>
        </w:rPr>
        <w:t>可以聘请会计师事务所</w:t>
      </w:r>
      <w:r>
        <w:rPr>
          <w:rFonts w:hint="eastAsia" w:ascii="宋体" w:hAnsi="宋体" w:eastAsia="宋体" w:cs="宋体"/>
          <w:sz w:val="10"/>
        </w:rPr>
        <w:t>、</w:t>
      </w:r>
      <w:r>
        <w:rPr>
          <w:rFonts w:hint="eastAsia" w:ascii="宋体" w:hAnsi="宋体" w:eastAsia="宋体" w:cs="宋体"/>
          <w:sz w:val="24"/>
        </w:rPr>
        <w:t>律师事务所等专业机构协助其工作</w:t>
      </w:r>
      <w:r>
        <w:rPr>
          <w:rFonts w:hint="eastAsia" w:ascii="宋体" w:hAnsi="宋体" w:eastAsia="宋体" w:cs="宋体"/>
          <w:sz w:val="10"/>
        </w:rPr>
        <w:t>，</w:t>
      </w:r>
      <w:r>
        <w:rPr>
          <w:rFonts w:hint="eastAsia" w:ascii="宋体" w:hAnsi="宋体" w:eastAsia="宋体" w:cs="宋体"/>
          <w:sz w:val="24"/>
        </w:rPr>
        <w:t>费用由公司承担</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监事会议事规则</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监事会每</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个月至少召开一次会议</w:t>
      </w:r>
      <w:r>
        <w:rPr>
          <w:rFonts w:hint="eastAsia" w:ascii="宋体" w:hAnsi="宋体" w:eastAsia="宋体" w:cs="宋体"/>
          <w:sz w:val="10"/>
        </w:rPr>
        <w:t>。</w:t>
      </w:r>
      <w:r>
        <w:rPr>
          <w:rFonts w:hint="eastAsia" w:ascii="宋体" w:hAnsi="宋体" w:eastAsia="宋体" w:cs="宋体"/>
          <w:sz w:val="24"/>
        </w:rPr>
        <w:t>监事可以提议召开监事会临时会议</w:t>
      </w:r>
      <w:r>
        <w:rPr>
          <w:rFonts w:hint="eastAsia" w:ascii="宋体" w:hAnsi="宋体" w:eastAsia="宋体" w:cs="宋体"/>
          <w:sz w:val="10"/>
        </w:rPr>
        <w:t>，</w:t>
      </w:r>
      <w:r>
        <w:rPr>
          <w:rFonts w:hint="eastAsia" w:ascii="宋体" w:hAnsi="宋体" w:eastAsia="宋体" w:cs="宋体"/>
          <w:sz w:val="24"/>
        </w:rPr>
        <w:t>监事会临时会议应当于会议召开五日以前书面通知全体监事</w:t>
      </w:r>
      <w:r>
        <w:rPr>
          <w:rFonts w:hint="eastAsia" w:ascii="宋体" w:hAnsi="宋体" w:eastAsia="宋体" w:cs="宋体"/>
          <w:sz w:val="10"/>
        </w:rPr>
        <w:t>。</w:t>
      </w:r>
      <w:r>
        <w:rPr>
          <w:rFonts w:hint="eastAsia" w:ascii="宋体" w:hAnsi="宋体" w:eastAsia="宋体" w:cs="宋体"/>
          <w:sz w:val="24"/>
        </w:rPr>
        <w:t>监事会会议应有过半数监事出席方可举行</w:t>
      </w:r>
      <w:r>
        <w:rPr>
          <w:rFonts w:hint="eastAsia" w:ascii="宋体" w:hAnsi="宋体" w:eastAsia="宋体" w:cs="宋体"/>
          <w:sz w:val="10"/>
        </w:rPr>
        <w:t>。</w:t>
      </w:r>
      <w:r>
        <w:rPr>
          <w:rFonts w:hint="eastAsia" w:ascii="宋体" w:hAnsi="宋体" w:eastAsia="宋体" w:cs="宋体"/>
          <w:sz w:val="24"/>
        </w:rPr>
        <w:t>监事会决议应当经半数以上监事通过</w:t>
      </w:r>
      <w:r>
        <w:rPr>
          <w:rFonts w:hint="eastAsia" w:ascii="宋体" w:hAnsi="宋体" w:eastAsia="宋体" w:cs="宋体"/>
          <w:sz w:val="10"/>
        </w:rPr>
        <w:t>。</w:t>
      </w:r>
      <w:r>
        <w:rPr>
          <w:rFonts w:hint="eastAsia" w:ascii="宋体" w:hAnsi="宋体" w:eastAsia="宋体" w:cs="宋体"/>
          <w:sz w:val="24"/>
        </w:rPr>
        <w:t>监事会议实行</w:t>
      </w:r>
      <w:r>
        <w:rPr>
          <w:rFonts w:hint="eastAsia" w:ascii="宋体" w:hAnsi="宋体" w:eastAsia="宋体" w:cs="宋体"/>
          <w:sz w:val="10"/>
        </w:rPr>
        <w:t>一</w:t>
      </w:r>
      <w:r>
        <w:rPr>
          <w:rFonts w:hint="eastAsia" w:ascii="宋体" w:hAnsi="宋体" w:eastAsia="宋体" w:cs="宋体"/>
          <w:sz w:val="24"/>
        </w:rPr>
        <w:t>事一表决</w:t>
      </w:r>
      <w:r>
        <w:rPr>
          <w:rFonts w:hint="eastAsia" w:ascii="宋体" w:hAnsi="宋体" w:eastAsia="宋体" w:cs="宋体"/>
          <w:sz w:val="10"/>
        </w:rPr>
        <w:t>，</w:t>
      </w:r>
      <w:r>
        <w:rPr>
          <w:rFonts w:hint="eastAsia" w:ascii="宋体" w:hAnsi="宋体" w:eastAsia="宋体" w:cs="宋体"/>
          <w:sz w:val="24"/>
        </w:rPr>
        <w:t>每一监事享有一票表决权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监事会召开情况</w:t>
      </w:r>
    </w:p>
    <w:p>
      <w:pPr>
        <w:spacing w:line="200" w:lineRule="exact"/>
        <w:rPr>
          <w:rFonts w:hint="eastAsia" w:ascii="宋体" w:hAnsi="宋体" w:eastAsia="宋体" w:cs="宋体"/>
          <w:sz w:val="20"/>
        </w:rPr>
      </w:pPr>
    </w:p>
    <w:p>
      <w:pPr>
        <w:autoSpaceDE w:val="false"/>
        <w:autoSpaceDN w:val="false"/>
        <w:spacing w:line="440" w:lineRule="exact"/>
        <w:ind w:left="1800" w:right="1660" w:firstLine="480"/>
        <w:jc w:val="both"/>
      </w:pPr>
      <w:r>
        <w:rPr>
          <w:rFonts w:hint="eastAsia" w:ascii="宋体" w:hAnsi="宋体" w:eastAsia="宋体" w:cs="宋体"/>
          <w:sz w:val="24"/>
        </w:rPr>
        <w:t>自股份公司成立至本招股说明书签署之日</w:t>
      </w:r>
      <w:r>
        <w:rPr>
          <w:rFonts w:hint="eastAsia" w:ascii="宋体" w:hAnsi="宋体" w:eastAsia="宋体" w:cs="宋体"/>
          <w:sz w:val="10"/>
        </w:rPr>
        <w:t>，</w:t>
      </w:r>
      <w:r>
        <w:rPr>
          <w:rFonts w:hint="eastAsia" w:ascii="宋体" w:hAnsi="宋体" w:eastAsia="宋体" w:cs="宋体"/>
          <w:sz w:val="24"/>
        </w:rPr>
        <w:t>公司共选举了六届监事会</w:t>
      </w:r>
      <w:r>
        <w:rPr>
          <w:rFonts w:hint="eastAsia" w:ascii="宋体" w:hAnsi="宋体" w:eastAsia="宋体" w:cs="宋体"/>
          <w:sz w:val="10"/>
        </w:rPr>
        <w:t>。</w:t>
      </w:r>
      <w:r>
        <w:rPr>
          <w:rFonts w:hint="eastAsia" w:ascii="宋体" w:hAnsi="宋体" w:eastAsia="宋体" w:cs="宋体"/>
          <w:sz w:val="24"/>
        </w:rPr>
        <w:t>自</w:t>
      </w:r>
      <w:r>
        <w:rPr>
          <w:rFonts w:hint="eastAsia" w:ascii="Times New Roman" w:hAnsi="Times New Roman" w:eastAsia="Times New Roman" w:cs="Times New Roman"/>
          <w:sz w:val="24"/>
        </w:rPr>
        <w:t>2014</w:t>
      </w:r>
      <w:r>
        <w:rPr>
          <w:rFonts w:hint="eastAsia" w:ascii="宋体" w:hAnsi="宋体" w:eastAsia="宋体" w:cs="宋体"/>
          <w:sz w:val="24"/>
        </w:rPr>
        <w:t xml:space="preserve"> 年以来公司共召开了</w:t>
      </w:r>
      <w:r>
        <w:rPr>
          <w:rFonts w:hint="eastAsia" w:ascii="Times New Roman" w:hAnsi="Times New Roman" w:eastAsia="Times New Roman" w:cs="Times New Roman"/>
          <w:sz w:val="24"/>
        </w:rPr>
        <w:t xml:space="preserve"> 17</w:t>
      </w:r>
      <w:r>
        <w:rPr>
          <w:rFonts w:hint="eastAsia" w:ascii="宋体" w:hAnsi="宋体" w:eastAsia="宋体" w:cs="宋体"/>
          <w:sz w:val="24"/>
        </w:rPr>
        <w:t xml:space="preserve"> 次监事会会议</w:t>
      </w:r>
      <w:r>
        <w:rPr>
          <w:rFonts w:hint="eastAsia" w:ascii="宋体" w:hAnsi="宋体" w:eastAsia="宋体" w:cs="宋体"/>
          <w:sz w:val="10"/>
        </w:rPr>
        <w:t>，</w:t>
      </w:r>
      <w:r>
        <w:rPr>
          <w:rFonts w:hint="eastAsia" w:ascii="宋体" w:hAnsi="宋体" w:eastAsia="宋体" w:cs="宋体"/>
          <w:sz w:val="24"/>
        </w:rPr>
        <w:t>全体监事以现场或通讯方式出席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00" w:right="1600"/>
        <w:jc w:val="both"/>
      </w:pPr>
      <w:r>
        <w:rPr>
          <w:rFonts w:hint="eastAsia" w:ascii="宋体" w:hAnsi="宋体" w:eastAsia="宋体" w:cs="宋体"/>
          <w:sz w:val="24"/>
        </w:rPr>
        <w:t>公司监事会的运行规范</w:t>
      </w:r>
      <w:r>
        <w:rPr>
          <w:rFonts w:hint="eastAsia" w:ascii="宋体" w:hAnsi="宋体" w:eastAsia="宋体" w:cs="宋体"/>
          <w:sz w:val="10"/>
        </w:rPr>
        <w:t>，</w:t>
      </w:r>
      <w:r>
        <w:rPr>
          <w:rFonts w:hint="eastAsia" w:ascii="宋体" w:hAnsi="宋体" w:eastAsia="宋体" w:cs="宋体"/>
          <w:sz w:val="24"/>
        </w:rPr>
        <w:t>对公司董事会</w:t>
      </w:r>
      <w:r>
        <w:rPr>
          <w:rFonts w:hint="eastAsia" w:ascii="宋体" w:hAnsi="宋体" w:eastAsia="宋体" w:cs="宋体"/>
          <w:sz w:val="10"/>
        </w:rPr>
        <w:t>、</w:t>
      </w:r>
      <w:r>
        <w:rPr>
          <w:rFonts w:hint="eastAsia" w:ascii="宋体" w:hAnsi="宋体" w:eastAsia="宋体" w:cs="宋体"/>
          <w:sz w:val="24"/>
        </w:rPr>
        <w:t>高级管理人员</w:t>
      </w:r>
      <w:r>
        <w:rPr>
          <w:rFonts w:hint="eastAsia" w:ascii="宋体" w:hAnsi="宋体" w:eastAsia="宋体" w:cs="宋体"/>
          <w:sz w:val="10"/>
        </w:rPr>
        <w:t>、</w:t>
      </w:r>
      <w:r>
        <w:rPr>
          <w:rFonts w:hint="eastAsia" w:ascii="宋体" w:hAnsi="宋体" w:eastAsia="宋体" w:cs="宋体"/>
          <w:sz w:val="24"/>
        </w:rPr>
        <w:t>重大经营决策</w:t>
      </w:r>
      <w:r>
        <w:rPr>
          <w:rFonts w:hint="eastAsia" w:ascii="宋体" w:hAnsi="宋体" w:eastAsia="宋体" w:cs="宋体"/>
          <w:sz w:val="10"/>
        </w:rPr>
        <w:t>、</w:t>
      </w:r>
      <w:r>
        <w:rPr>
          <w:rFonts w:hint="eastAsia" w:ascii="宋体" w:hAnsi="宋体" w:eastAsia="宋体" w:cs="宋体"/>
          <w:sz w:val="24"/>
        </w:rPr>
        <w:t>重大项目投向等实施了有效的监督</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公司监事会的召开及决议内容合法有效</w:t>
      </w:r>
      <w:r>
        <w:rPr>
          <w:rFonts w:hint="eastAsia" w:ascii="宋体" w:hAnsi="宋体" w:eastAsia="宋体" w:cs="宋体"/>
          <w:sz w:val="10"/>
        </w:rPr>
        <w:t>，</w:t>
      </w:r>
      <w:r>
        <w:rPr>
          <w:rFonts w:hint="eastAsia" w:ascii="宋体" w:hAnsi="宋体" w:eastAsia="宋体" w:cs="宋体"/>
          <w:sz w:val="24"/>
        </w:rPr>
        <w:t>不存在监事等人员违反《公司法》及其他规定行使职权的情形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（四）独立董事制度的建立</w:t>
      </w:r>
      <w:r>
        <w:rPr>
          <w:rFonts w:hint="eastAsia" w:ascii="宋体" w:hAnsi="宋体" w:eastAsia="宋体" w:cs="宋体"/>
          <w:b/>
          <w:sz w:val="10"/>
        </w:rPr>
        <w:t>、</w:t>
      </w:r>
      <w:r>
        <w:rPr>
          <w:rFonts w:hint="eastAsia" w:ascii="宋体" w:hAnsi="宋体" w:eastAsia="宋体" w:cs="宋体"/>
          <w:b/>
          <w:sz w:val="24"/>
        </w:rPr>
        <w:t>健全及运行情况</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根据《公司法》、《</w:t>
      </w:r>
      <w:r>
        <w:rPr>
          <w:rFonts w:hint="eastAsia" w:ascii="宋体" w:hAnsi="宋体" w:eastAsia="宋体" w:cs="宋体"/>
          <w:sz w:val="24"/>
        </w:rPr>
        <w:t>关于在上市公司建立独立董事制度的指导意见》等政策法规的规定</w:t>
      </w:r>
      <w:r>
        <w:rPr>
          <w:rFonts w:hint="eastAsia" w:ascii="宋体" w:hAnsi="宋体" w:eastAsia="宋体" w:cs="宋体"/>
          <w:sz w:val="10"/>
        </w:rPr>
        <w:t>，</w:t>
      </w:r>
      <w:r>
        <w:rPr>
          <w:rFonts w:hint="eastAsia" w:ascii="宋体" w:hAnsi="宋体" w:eastAsia="宋体" w:cs="宋体"/>
          <w:sz w:val="24"/>
        </w:rPr>
        <w:t>本公司通过《公司章程》、《</w:t>
      </w:r>
      <w:r>
        <w:rPr>
          <w:rFonts w:hint="eastAsia" w:ascii="宋体" w:hAnsi="宋体" w:eastAsia="宋体" w:cs="宋体"/>
          <w:sz w:val="24"/>
        </w:rPr>
        <w:t>独立董事制度》等规章制度逐步建立和完善了独立董事制度</w:t>
      </w:r>
      <w:r>
        <w:rPr>
          <w:rFonts w:hint="eastAsia" w:ascii="宋体" w:hAnsi="宋体" w:eastAsia="宋体" w:cs="宋体"/>
          <w:sz w:val="10"/>
        </w:rPr>
        <w:t>。</w:t>
      </w:r>
      <w:r>
        <w:rPr>
          <w:rFonts w:hint="eastAsia" w:ascii="宋体" w:hAnsi="宋体" w:eastAsia="宋体" w:cs="宋体"/>
          <w:sz w:val="24"/>
        </w:rPr>
        <w:t>根据上述文件要求</w:t>
      </w:r>
      <w:r>
        <w:rPr>
          <w:rFonts w:hint="eastAsia" w:ascii="宋体" w:hAnsi="宋体" w:eastAsia="宋体" w:cs="宋体"/>
          <w:sz w:val="10"/>
        </w:rPr>
        <w:t>，</w:t>
      </w:r>
      <w:r>
        <w:rPr>
          <w:rFonts w:hint="eastAsia" w:ascii="宋体" w:hAnsi="宋体" w:eastAsia="宋体" w:cs="宋体"/>
          <w:sz w:val="24"/>
        </w:rPr>
        <w:t>独立董事应对公司及全体股东负有诚信与勤勉义务</w:t>
      </w:r>
      <w:r>
        <w:rPr>
          <w:rFonts w:hint="eastAsia" w:ascii="宋体" w:hAnsi="宋体" w:eastAsia="宋体" w:cs="宋体"/>
          <w:sz w:val="10"/>
        </w:rPr>
        <w:t>，</w:t>
      </w:r>
      <w:r>
        <w:rPr>
          <w:rFonts w:hint="eastAsia" w:ascii="宋体" w:hAnsi="宋体" w:eastAsia="宋体" w:cs="宋体"/>
          <w:sz w:val="24"/>
        </w:rPr>
        <w:t>认真履行职责</w:t>
      </w:r>
      <w:r>
        <w:rPr>
          <w:rFonts w:hint="eastAsia" w:ascii="宋体" w:hAnsi="宋体" w:eastAsia="宋体" w:cs="宋体"/>
          <w:sz w:val="10"/>
        </w:rPr>
        <w:t>，</w:t>
      </w:r>
      <w:r>
        <w:rPr>
          <w:rFonts w:hint="eastAsia" w:ascii="宋体" w:hAnsi="宋体" w:eastAsia="宋体" w:cs="宋体"/>
          <w:sz w:val="24"/>
        </w:rPr>
        <w:t>维护公司整体利益</w:t>
      </w:r>
      <w:r>
        <w:rPr>
          <w:rFonts w:hint="eastAsia" w:ascii="宋体" w:hAnsi="宋体" w:eastAsia="宋体" w:cs="宋体"/>
          <w:sz w:val="10"/>
        </w:rPr>
        <w:t>，</w:t>
      </w:r>
      <w:r>
        <w:rPr>
          <w:rFonts w:hint="eastAsia" w:ascii="宋体" w:hAnsi="宋体" w:eastAsia="宋体" w:cs="宋体"/>
          <w:sz w:val="24"/>
        </w:rPr>
        <w:t>尤其要关注中小股东的合法权益不受损害</w:t>
      </w:r>
      <w:r>
        <w:rPr>
          <w:rFonts w:hint="eastAsia" w:ascii="宋体" w:hAnsi="宋体" w:eastAsia="宋体" w:cs="宋体"/>
          <w:sz w:val="10"/>
        </w:rPr>
        <w:t>。</w:t>
      </w:r>
      <w:r>
        <w:rPr>
          <w:rFonts w:hint="eastAsia" w:ascii="宋体" w:hAnsi="宋体" w:eastAsia="宋体" w:cs="宋体"/>
          <w:sz w:val="24"/>
        </w:rPr>
        <w:t>独立董事应独立履行职责</w:t>
      </w:r>
      <w:r>
        <w:rPr>
          <w:rFonts w:hint="eastAsia" w:ascii="宋体" w:hAnsi="宋体" w:eastAsia="宋体" w:cs="宋体"/>
          <w:sz w:val="10"/>
        </w:rPr>
        <w:t>，</w:t>
      </w:r>
      <w:r>
        <w:rPr>
          <w:rFonts w:hint="eastAsia" w:ascii="宋体" w:hAnsi="宋体" w:eastAsia="宋体" w:cs="宋体"/>
          <w:sz w:val="24"/>
        </w:rPr>
        <w:t>不受公司主要股东</w:t>
      </w:r>
      <w:r>
        <w:rPr>
          <w:rFonts w:hint="eastAsia" w:ascii="宋体" w:hAnsi="宋体" w:eastAsia="宋体" w:cs="宋体"/>
          <w:sz w:val="10"/>
        </w:rPr>
        <w:t>、</w:t>
      </w:r>
      <w:r>
        <w:rPr>
          <w:rFonts w:hint="eastAsia" w:ascii="宋体" w:hAnsi="宋体" w:eastAsia="宋体" w:cs="宋体"/>
          <w:sz w:val="24"/>
        </w:rPr>
        <w:t>实际控制人或者其他与公司存在利益关系的单位或个人的影响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独立董事构成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1-1-202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年初</w:t>
      </w:r>
      <w:r>
        <w:rPr>
          <w:rFonts w:hint="eastAsia" w:ascii="宋体" w:hAnsi="宋体" w:eastAsia="宋体" w:cs="宋体"/>
          <w:sz w:val="10"/>
        </w:rPr>
        <w:t>，</w:t>
      </w:r>
      <w:r>
        <w:rPr>
          <w:rFonts w:hint="eastAsia" w:ascii="宋体" w:hAnsi="宋体" w:eastAsia="宋体" w:cs="宋体"/>
          <w:sz w:val="24"/>
        </w:rPr>
        <w:t>公司独立董事为方加春</w:t>
      </w:r>
      <w:r>
        <w:rPr>
          <w:rFonts w:hint="eastAsia" w:ascii="宋体" w:hAnsi="宋体" w:eastAsia="宋体" w:cs="宋体"/>
          <w:sz w:val="10"/>
        </w:rPr>
        <w:t>、</w:t>
      </w:r>
      <w:r>
        <w:rPr>
          <w:rFonts w:hint="eastAsia" w:ascii="宋体" w:hAnsi="宋体" w:eastAsia="宋体" w:cs="宋体"/>
          <w:sz w:val="24"/>
        </w:rPr>
        <w:t>卢建康和许萍</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方加春</w:t>
      </w:r>
      <w:r>
        <w:rPr>
          <w:rFonts w:hint="eastAsia" w:ascii="宋体" w:hAnsi="宋体" w:eastAsia="宋体" w:cs="宋体"/>
          <w:sz w:val="10"/>
        </w:rPr>
        <w:t>、</w:t>
      </w:r>
      <w:r>
        <w:rPr>
          <w:rFonts w:hint="eastAsia" w:ascii="宋体" w:hAnsi="宋体" w:eastAsia="宋体" w:cs="宋体"/>
          <w:sz w:val="24"/>
        </w:rPr>
        <w:t>卢建康因个人原因辞去对应独立董事职务</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发行人召开</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年年度股东大会</w:t>
      </w:r>
      <w:r>
        <w:rPr>
          <w:rFonts w:hint="eastAsia" w:ascii="宋体" w:hAnsi="宋体" w:eastAsia="宋体" w:cs="宋体"/>
          <w:sz w:val="10"/>
        </w:rPr>
        <w:t>，</w:t>
      </w:r>
      <w:r>
        <w:rPr>
          <w:rFonts w:hint="eastAsia" w:ascii="宋体" w:hAnsi="宋体" w:eastAsia="宋体" w:cs="宋体"/>
          <w:sz w:val="24"/>
        </w:rPr>
        <w:t>选举叶东毅</w:t>
      </w:r>
      <w:r>
        <w:rPr>
          <w:rFonts w:hint="eastAsia" w:ascii="宋体" w:hAnsi="宋体" w:eastAsia="宋体" w:cs="宋体"/>
          <w:sz w:val="10"/>
        </w:rPr>
        <w:t>、</w:t>
      </w:r>
      <w:r>
        <w:rPr>
          <w:rFonts w:hint="eastAsia" w:ascii="宋体" w:hAnsi="宋体" w:eastAsia="宋体" w:cs="宋体"/>
          <w:sz w:val="24"/>
        </w:rPr>
        <w:t>齐伟为公司独立董事</w:t>
      </w:r>
      <w:r>
        <w:rPr>
          <w:rFonts w:hint="eastAsia" w:ascii="宋体" w:hAnsi="宋体" w:eastAsia="宋体" w:cs="宋体"/>
          <w:sz w:val="10"/>
        </w:rPr>
        <w:t>，</w:t>
      </w:r>
      <w:r>
        <w:rPr>
          <w:rFonts w:hint="eastAsia" w:ascii="宋体" w:hAnsi="宋体" w:eastAsia="宋体" w:cs="宋体"/>
          <w:sz w:val="24"/>
        </w:rPr>
        <w:t>任期自</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29</w:t>
      </w:r>
      <w:r>
        <w:rPr>
          <w:rFonts w:hint="eastAsia" w:ascii="宋体" w:hAnsi="宋体" w:eastAsia="宋体" w:cs="宋体"/>
          <w:sz w:val="24"/>
        </w:rPr>
        <w:t xml:space="preserve"> 日至</w:t>
      </w: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许萍因个人原因辞去独立董事职务</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发行人召开</w:t>
      </w:r>
      <w:r>
        <w:rPr>
          <w:rFonts w:hint="eastAsia" w:ascii="Times New Roman" w:hAnsi="Times New Roman" w:eastAsia="Times New Roman" w:cs="Times New Roman"/>
          <w:sz w:val="24"/>
        </w:rPr>
        <w:t>2016</w:t>
      </w:r>
      <w:r>
        <w:rPr>
          <w:rFonts w:hint="eastAsia" w:ascii="宋体" w:hAnsi="宋体" w:eastAsia="宋体" w:cs="宋体"/>
          <w:sz w:val="24"/>
        </w:rPr>
        <w:t xml:space="preserve"> 年第二次临时股东大会</w:t>
      </w:r>
      <w:r>
        <w:rPr>
          <w:rFonts w:hint="eastAsia" w:ascii="宋体" w:hAnsi="宋体" w:eastAsia="宋体" w:cs="宋体"/>
          <w:sz w:val="10"/>
        </w:rPr>
        <w:t>，</w:t>
      </w:r>
      <w:r>
        <w:rPr>
          <w:rFonts w:hint="eastAsia" w:ascii="宋体" w:hAnsi="宋体" w:eastAsia="宋体" w:cs="宋体"/>
          <w:sz w:val="24"/>
        </w:rPr>
        <w:t>选举徐青为公司独立董事</w:t>
      </w:r>
      <w:r>
        <w:rPr>
          <w:rFonts w:hint="eastAsia" w:ascii="宋体" w:hAnsi="宋体" w:eastAsia="宋体" w:cs="宋体"/>
          <w:sz w:val="10"/>
        </w:rPr>
        <w:t>，</w:t>
      </w:r>
      <w:r>
        <w:rPr>
          <w:rFonts w:hint="eastAsia" w:ascii="宋体" w:hAnsi="宋体" w:eastAsia="宋体" w:cs="宋体"/>
          <w:sz w:val="24"/>
        </w:rPr>
        <w:t>任期自</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月</w:t>
      </w:r>
      <w:r>
        <w:rPr>
          <w:rFonts w:hint="eastAsia" w:ascii="Times New Roman" w:hAnsi="Times New Roman" w:eastAsia="Times New Roman" w:cs="Times New Roman"/>
          <w:sz w:val="24"/>
        </w:rPr>
        <w:t>25</w:t>
      </w:r>
      <w:r>
        <w:rPr>
          <w:rFonts w:hint="eastAsia" w:ascii="宋体" w:hAnsi="宋体" w:eastAsia="宋体" w:cs="宋体"/>
          <w:sz w:val="24"/>
        </w:rPr>
        <w:t xml:space="preserve"> 日至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目前</w:t>
      </w:r>
      <w:r>
        <w:rPr>
          <w:rFonts w:hint="eastAsia" w:ascii="宋体" w:hAnsi="宋体" w:eastAsia="宋体" w:cs="宋体"/>
          <w:sz w:val="10"/>
        </w:rPr>
        <w:t>，</w:t>
      </w:r>
      <w:r>
        <w:rPr>
          <w:rFonts w:hint="eastAsia" w:ascii="宋体" w:hAnsi="宋体" w:eastAsia="宋体" w:cs="宋体"/>
          <w:sz w:val="24"/>
        </w:rPr>
        <w:t>公司董事会成员中共有</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名独立董事</w:t>
      </w:r>
      <w:r>
        <w:rPr>
          <w:rFonts w:hint="eastAsia" w:ascii="宋体" w:hAnsi="宋体" w:eastAsia="宋体" w:cs="宋体"/>
          <w:sz w:val="10"/>
        </w:rPr>
        <w:t>，</w:t>
      </w:r>
      <w:r>
        <w:rPr>
          <w:rFonts w:hint="eastAsia" w:ascii="宋体" w:hAnsi="宋体" w:eastAsia="宋体" w:cs="宋体"/>
          <w:sz w:val="24"/>
        </w:rPr>
        <w:t>占董事会成员总数的三分之一以上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独立董事的制度安排</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为充分发挥独立董事在公司运作中的作用</w:t>
      </w:r>
      <w:r>
        <w:rPr>
          <w:rFonts w:hint="eastAsia" w:ascii="宋体" w:hAnsi="宋体" w:eastAsia="宋体" w:cs="宋体"/>
          <w:sz w:val="10"/>
        </w:rPr>
        <w:t>，</w:t>
      </w:r>
      <w:r>
        <w:rPr>
          <w:rFonts w:hint="eastAsia" w:ascii="宋体" w:hAnsi="宋体" w:eastAsia="宋体" w:cs="宋体"/>
          <w:sz w:val="24"/>
        </w:rPr>
        <w:t>公司在《独立董事制度》中对独立董事的任职条件</w:t>
      </w:r>
      <w:r>
        <w:rPr>
          <w:rFonts w:hint="eastAsia" w:ascii="宋体" w:hAnsi="宋体" w:eastAsia="宋体" w:cs="宋体"/>
          <w:sz w:val="10"/>
        </w:rPr>
        <w:t>、</w:t>
      </w:r>
      <w:r>
        <w:rPr>
          <w:rFonts w:hint="eastAsia" w:ascii="宋体" w:hAnsi="宋体" w:eastAsia="宋体" w:cs="宋体"/>
          <w:sz w:val="24"/>
        </w:rPr>
        <w:t>责权范围等制订了相应的规定</w:t>
      </w:r>
      <w:r>
        <w:rPr>
          <w:rFonts w:hint="eastAsia" w:ascii="宋体" w:hAnsi="宋体" w:eastAsia="宋体" w:cs="宋体"/>
          <w:sz w:val="10"/>
        </w:rPr>
        <w:t>，</w:t>
      </w:r>
      <w:r>
        <w:rPr>
          <w:rFonts w:hint="eastAsia" w:ascii="宋体" w:hAnsi="宋体" w:eastAsia="宋体" w:cs="宋体"/>
          <w:sz w:val="24"/>
        </w:rPr>
        <w:t>主要内容如下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）独立董事任职基本条件</w:t>
      </w:r>
      <w:r>
        <w:rPr>
          <w:rFonts w:hint="eastAsia" w:ascii="宋体" w:hAnsi="宋体" w:eastAsia="宋体" w:cs="宋体"/>
          <w:sz w:val="12"/>
        </w:rPr>
        <w:t>：</w:t>
      </w:r>
      <w:r>
        <w:rPr>
          <w:rFonts w:hint="eastAsia" w:ascii="宋体" w:hAnsi="宋体" w:eastAsia="宋体" w:cs="宋体"/>
          <w:sz w:val="24"/>
        </w:rPr>
        <w:t>根据《公司法》及其他法律法规</w:t>
      </w:r>
      <w:r>
        <w:rPr>
          <w:rFonts w:hint="eastAsia" w:ascii="宋体" w:hAnsi="宋体" w:eastAsia="宋体" w:cs="宋体"/>
          <w:sz w:val="10"/>
        </w:rPr>
        <w:t>，</w:t>
      </w:r>
      <w:r>
        <w:rPr>
          <w:rFonts w:hint="eastAsia" w:ascii="宋体" w:hAnsi="宋体" w:eastAsia="宋体" w:cs="宋体"/>
          <w:sz w:val="24"/>
        </w:rPr>
        <w:t>具备担任公司董事的资格</w:t>
      </w:r>
      <w:r>
        <w:rPr>
          <w:rFonts w:hint="eastAsia" w:ascii="宋体" w:hAnsi="宋体" w:eastAsia="宋体" w:cs="宋体"/>
          <w:sz w:val="14"/>
        </w:rPr>
        <w:t>；</w:t>
      </w:r>
      <w:r>
        <w:rPr>
          <w:rFonts w:hint="eastAsia" w:ascii="宋体" w:hAnsi="宋体" w:eastAsia="宋体" w:cs="宋体"/>
          <w:sz w:val="24"/>
        </w:rPr>
        <w:t>具有《独立董事制度》所要求的独立性</w:t>
      </w:r>
      <w:r>
        <w:rPr>
          <w:rFonts w:hint="eastAsia" w:ascii="宋体" w:hAnsi="宋体" w:eastAsia="宋体" w:cs="宋体"/>
          <w:sz w:val="14"/>
        </w:rPr>
        <w:t>；</w:t>
      </w:r>
      <w:r>
        <w:rPr>
          <w:rFonts w:hint="eastAsia" w:ascii="宋体" w:hAnsi="宋体" w:eastAsia="宋体" w:cs="宋体"/>
          <w:sz w:val="24"/>
        </w:rPr>
        <w:t>具备公司运作的基本知识</w:t>
      </w:r>
      <w:r>
        <w:rPr>
          <w:rFonts w:hint="eastAsia" w:ascii="宋体" w:hAnsi="宋体" w:eastAsia="宋体" w:cs="宋体"/>
          <w:sz w:val="10"/>
        </w:rPr>
        <w:t>，</w:t>
      </w:r>
      <w:r>
        <w:rPr>
          <w:rFonts w:hint="eastAsia" w:ascii="宋体" w:hAnsi="宋体" w:eastAsia="宋体" w:cs="宋体"/>
          <w:sz w:val="24"/>
        </w:rPr>
        <w:t>熟悉相关法律</w:t>
      </w:r>
      <w:r>
        <w:rPr>
          <w:rFonts w:hint="eastAsia" w:ascii="宋体" w:hAnsi="宋体" w:eastAsia="宋体" w:cs="宋体"/>
          <w:sz w:val="10"/>
        </w:rPr>
        <w:t>、</w:t>
      </w:r>
      <w:r>
        <w:rPr>
          <w:rFonts w:hint="eastAsia" w:ascii="宋体" w:hAnsi="宋体" w:eastAsia="宋体" w:cs="宋体"/>
          <w:sz w:val="24"/>
        </w:rPr>
        <w:t>行政法规</w:t>
      </w:r>
      <w:r>
        <w:rPr>
          <w:rFonts w:hint="eastAsia" w:ascii="宋体" w:hAnsi="宋体" w:eastAsia="宋体" w:cs="宋体"/>
          <w:sz w:val="10"/>
        </w:rPr>
        <w:t>、</w:t>
      </w:r>
      <w:r>
        <w:rPr>
          <w:rFonts w:hint="eastAsia" w:ascii="宋体" w:hAnsi="宋体" w:eastAsia="宋体" w:cs="宋体"/>
          <w:sz w:val="24"/>
        </w:rPr>
        <w:t>规章及规则</w:t>
      </w:r>
      <w:r>
        <w:rPr>
          <w:rFonts w:hint="eastAsia" w:ascii="宋体" w:hAnsi="宋体" w:eastAsia="宋体" w:cs="宋体"/>
          <w:sz w:val="12"/>
        </w:rPr>
        <w:t>；</w:t>
      </w:r>
      <w:r>
        <w:rPr>
          <w:rFonts w:hint="eastAsia" w:ascii="宋体" w:hAnsi="宋体" w:eastAsia="宋体" w:cs="宋体"/>
          <w:sz w:val="24"/>
        </w:rPr>
        <w:t>具有五年以上法律</w:t>
      </w:r>
      <w:r>
        <w:rPr>
          <w:rFonts w:hint="eastAsia" w:ascii="宋体" w:hAnsi="宋体" w:eastAsia="宋体" w:cs="宋体"/>
          <w:sz w:val="10"/>
        </w:rPr>
        <w:t>、</w:t>
      </w:r>
      <w:r>
        <w:rPr>
          <w:rFonts w:hint="eastAsia" w:ascii="宋体" w:hAnsi="宋体" w:eastAsia="宋体" w:cs="宋体"/>
          <w:sz w:val="24"/>
        </w:rPr>
        <w:t>经济或者其他履行独立董事职责所必需的工作经验</w:t>
      </w:r>
      <w:r>
        <w:rPr>
          <w:rFonts w:hint="eastAsia" w:ascii="宋体" w:hAnsi="宋体" w:eastAsia="宋体" w:cs="宋体"/>
          <w:sz w:val="14"/>
        </w:rPr>
        <w:t>；《</w:t>
      </w:r>
      <w:r>
        <w:rPr>
          <w:rFonts w:hint="eastAsia" w:ascii="宋体" w:hAnsi="宋体" w:eastAsia="宋体" w:cs="宋体"/>
          <w:sz w:val="24"/>
        </w:rPr>
        <w:t>公司章程》及其他法律法规规定的其他条件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580" w:firstLine="4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）独立董事应具有独立性</w:t>
      </w:r>
      <w:r>
        <w:rPr>
          <w:rFonts w:hint="eastAsia" w:ascii="宋体" w:hAnsi="宋体" w:eastAsia="宋体" w:cs="宋体"/>
          <w:sz w:val="10"/>
        </w:rPr>
        <w:t>。</w:t>
      </w:r>
      <w:r>
        <w:rPr>
          <w:rFonts w:hint="eastAsia" w:ascii="宋体" w:hAnsi="宋体" w:eastAsia="宋体" w:cs="宋体"/>
          <w:sz w:val="24"/>
        </w:rPr>
        <w:t>下列人员不得担任独立董事</w:t>
      </w:r>
      <w:r>
        <w:rPr>
          <w:rFonts w:hint="eastAsia" w:ascii="宋体" w:hAnsi="宋体" w:eastAsia="宋体" w:cs="宋体"/>
          <w:sz w:val="10"/>
        </w:rPr>
        <w:t>：</w:t>
      </w:r>
      <w:r>
        <w:rPr>
          <w:rFonts w:hint="eastAsia" w:ascii="宋体" w:hAnsi="宋体" w:eastAsia="宋体" w:cs="宋体"/>
          <w:sz w:val="24"/>
        </w:rPr>
        <w:t>在公司或者其附属企业任职的人员及其直系亲属</w:t>
      </w:r>
      <w:r>
        <w:rPr>
          <w:rFonts w:hint="eastAsia" w:ascii="宋体" w:hAnsi="宋体" w:eastAsia="宋体" w:cs="宋体"/>
          <w:sz w:val="10"/>
        </w:rPr>
        <w:t>、</w:t>
      </w:r>
      <w:r>
        <w:rPr>
          <w:rFonts w:hint="eastAsia" w:ascii="宋体" w:hAnsi="宋体" w:eastAsia="宋体" w:cs="宋体"/>
          <w:sz w:val="24"/>
        </w:rPr>
        <w:t>主要社会关系（直系亲属是指配偶</w:t>
      </w:r>
      <w:r>
        <w:rPr>
          <w:rFonts w:hint="eastAsia" w:ascii="宋体" w:hAnsi="宋体" w:eastAsia="宋体" w:cs="宋体"/>
          <w:sz w:val="10"/>
        </w:rPr>
        <w:t>、</w:t>
      </w:r>
      <w:r>
        <w:rPr>
          <w:rFonts w:hint="eastAsia" w:ascii="宋体" w:hAnsi="宋体" w:eastAsia="宋体" w:cs="宋体"/>
          <w:sz w:val="24"/>
        </w:rPr>
        <w:t>父母</w:t>
      </w:r>
      <w:r>
        <w:rPr>
          <w:rFonts w:hint="eastAsia" w:ascii="宋体" w:hAnsi="宋体" w:eastAsia="宋体" w:cs="宋体"/>
          <w:sz w:val="10"/>
        </w:rPr>
        <w:t>、</w:t>
      </w:r>
      <w:r>
        <w:rPr>
          <w:rFonts w:hint="eastAsia" w:ascii="宋体" w:hAnsi="宋体" w:eastAsia="宋体" w:cs="宋体"/>
          <w:sz w:val="24"/>
        </w:rPr>
        <w:t>子女等</w:t>
      </w:r>
      <w:r>
        <w:rPr>
          <w:rFonts w:hint="eastAsia" w:ascii="宋体" w:hAnsi="宋体" w:eastAsia="宋体" w:cs="宋体"/>
          <w:sz w:val="12"/>
        </w:rPr>
        <w:t>；</w:t>
      </w:r>
      <w:r>
        <w:rPr>
          <w:rFonts w:hint="eastAsia" w:ascii="宋体" w:hAnsi="宋体" w:eastAsia="宋体" w:cs="宋体"/>
          <w:sz w:val="24"/>
        </w:rPr>
        <w:t>主要社会关系是指兄弟姐妹</w:t>
      </w:r>
      <w:r>
        <w:rPr>
          <w:rFonts w:hint="eastAsia" w:ascii="宋体" w:hAnsi="宋体" w:eastAsia="宋体" w:cs="宋体"/>
          <w:sz w:val="10"/>
        </w:rPr>
        <w:t>、</w:t>
      </w:r>
      <w:r>
        <w:rPr>
          <w:rFonts w:hint="eastAsia" w:ascii="宋体" w:hAnsi="宋体" w:eastAsia="宋体" w:cs="宋体"/>
          <w:sz w:val="24"/>
        </w:rPr>
        <w:t>配偶的父母</w:t>
      </w:r>
      <w:r>
        <w:rPr>
          <w:rFonts w:hint="eastAsia" w:ascii="宋体" w:hAnsi="宋体" w:eastAsia="宋体" w:cs="宋体"/>
          <w:sz w:val="10"/>
        </w:rPr>
        <w:t>、</w:t>
      </w:r>
      <w:r>
        <w:rPr>
          <w:rFonts w:hint="eastAsia" w:ascii="宋体" w:hAnsi="宋体" w:eastAsia="宋体" w:cs="宋体"/>
          <w:sz w:val="24"/>
        </w:rPr>
        <w:t>子女的配偶</w:t>
      </w:r>
      <w:r>
        <w:rPr>
          <w:rFonts w:hint="eastAsia" w:ascii="宋体" w:hAnsi="宋体" w:eastAsia="宋体" w:cs="宋体"/>
          <w:sz w:val="10"/>
        </w:rPr>
        <w:t>、</w:t>
      </w:r>
      <w:r>
        <w:rPr>
          <w:rFonts w:hint="eastAsia" w:ascii="宋体" w:hAnsi="宋体" w:eastAsia="宋体" w:cs="宋体"/>
          <w:sz w:val="24"/>
        </w:rPr>
        <w:t>兄弟姐妹的配偶</w:t>
      </w:r>
      <w:r>
        <w:rPr>
          <w:rFonts w:hint="eastAsia" w:ascii="宋体" w:hAnsi="宋体" w:eastAsia="宋体" w:cs="宋体"/>
          <w:sz w:val="10"/>
        </w:rPr>
        <w:t>、</w:t>
      </w:r>
      <w:r>
        <w:rPr>
          <w:rFonts w:hint="eastAsia" w:ascii="宋体" w:hAnsi="宋体" w:eastAsia="宋体" w:cs="宋体"/>
          <w:sz w:val="24"/>
        </w:rPr>
        <w:t>配偶的兄弟姐妹等）；</w:t>
      </w:r>
      <w:r>
        <w:rPr>
          <w:rFonts w:hint="eastAsia" w:ascii="宋体" w:hAnsi="宋体" w:eastAsia="宋体" w:cs="宋体"/>
          <w:sz w:val="24"/>
        </w:rPr>
        <w:t>直接或间接持有公司已发行股份</w:t>
      </w:r>
      <w:r>
        <w:rPr>
          <w:rFonts w:hint="eastAsia" w:ascii="Times New Roman" w:hAnsi="Times New Roman" w:eastAsia="Times New Roman" w:cs="Times New Roman"/>
          <w:sz w:val="24"/>
        </w:rPr>
        <w:t xml:space="preserve"> 1%</w:t>
      </w:r>
      <w:r>
        <w:rPr>
          <w:rFonts w:hint="eastAsia" w:ascii="宋体" w:hAnsi="宋体" w:eastAsia="宋体" w:cs="宋体"/>
          <w:sz w:val="24"/>
        </w:rPr>
        <w:t>以上或者是公司前十名股东中的自然人股东及其直系亲属</w:t>
      </w:r>
      <w:r>
        <w:rPr>
          <w:rFonts w:hint="eastAsia" w:ascii="宋体" w:hAnsi="宋体" w:eastAsia="宋体" w:cs="宋体"/>
          <w:sz w:val="14"/>
        </w:rPr>
        <w:t>；</w:t>
      </w:r>
      <w:r>
        <w:rPr>
          <w:rFonts w:hint="eastAsia" w:ascii="宋体" w:hAnsi="宋体" w:eastAsia="宋体" w:cs="宋体"/>
          <w:sz w:val="24"/>
        </w:rPr>
        <w:t>在直接或间接持有公司已发行股份</w:t>
      </w:r>
      <w:r>
        <w:rPr>
          <w:rFonts w:hint="eastAsia" w:ascii="Times New Roman" w:hAnsi="Times New Roman" w:eastAsia="Times New Roman" w:cs="Times New Roman"/>
          <w:sz w:val="24"/>
        </w:rPr>
        <w:t xml:space="preserve"> 5%</w:t>
      </w:r>
      <w:r>
        <w:rPr>
          <w:rFonts w:hint="eastAsia" w:ascii="宋体" w:hAnsi="宋体" w:eastAsia="宋体" w:cs="宋体"/>
          <w:sz w:val="24"/>
        </w:rPr>
        <w:t>以上的股东单位或者在公司前五名股东单位任职的人员及其直系亲属</w:t>
      </w:r>
      <w:r>
        <w:rPr>
          <w:rFonts w:hint="eastAsia" w:ascii="宋体" w:hAnsi="宋体" w:eastAsia="宋体" w:cs="宋体"/>
          <w:sz w:val="12"/>
        </w:rPr>
        <w:t>；</w:t>
      </w:r>
      <w:r>
        <w:rPr>
          <w:rFonts w:hint="eastAsia" w:ascii="宋体" w:hAnsi="宋体" w:eastAsia="宋体" w:cs="宋体"/>
          <w:sz w:val="24"/>
        </w:rPr>
        <w:t>最近一年内曾经具有前三项所列举情形的人员</w:t>
      </w:r>
      <w:r>
        <w:rPr>
          <w:rFonts w:hint="eastAsia" w:ascii="宋体" w:hAnsi="宋体" w:eastAsia="宋体" w:cs="宋体"/>
          <w:sz w:val="14"/>
        </w:rPr>
        <w:t>；</w:t>
      </w:r>
      <w:r>
        <w:rPr>
          <w:rFonts w:hint="eastAsia" w:ascii="宋体" w:hAnsi="宋体" w:eastAsia="宋体" w:cs="宋体"/>
          <w:sz w:val="24"/>
        </w:rPr>
        <w:t>为公司或者其附属企业财务</w:t>
      </w:r>
      <w:r>
        <w:rPr>
          <w:rFonts w:hint="eastAsia" w:ascii="宋体" w:hAnsi="宋体" w:eastAsia="宋体" w:cs="宋体"/>
          <w:sz w:val="10"/>
        </w:rPr>
        <w:t>、</w:t>
      </w:r>
      <w:r>
        <w:rPr>
          <w:rFonts w:hint="eastAsia" w:ascii="宋体" w:hAnsi="宋体" w:eastAsia="宋体" w:cs="宋体"/>
          <w:sz w:val="24"/>
        </w:rPr>
        <w:t>法律</w:t>
      </w:r>
      <w:r>
        <w:rPr>
          <w:rFonts w:hint="eastAsia" w:ascii="宋体" w:hAnsi="宋体" w:eastAsia="宋体" w:cs="宋体"/>
          <w:sz w:val="10"/>
        </w:rPr>
        <w:t>、</w:t>
      </w:r>
      <w:r>
        <w:rPr>
          <w:rFonts w:hint="eastAsia" w:ascii="宋体" w:hAnsi="宋体" w:eastAsia="宋体" w:cs="宋体"/>
          <w:sz w:val="24"/>
        </w:rPr>
        <w:t>咨询等服务的人员</w:t>
      </w:r>
      <w:r>
        <w:rPr>
          <w:rFonts w:hint="eastAsia" w:ascii="宋体" w:hAnsi="宋体" w:eastAsia="宋体" w:cs="宋体"/>
          <w:sz w:val="12"/>
        </w:rPr>
        <w:t>；</w:t>
      </w:r>
      <w:r>
        <w:rPr>
          <w:rFonts w:hint="eastAsia" w:ascii="宋体" w:hAnsi="宋体" w:eastAsia="宋体" w:cs="宋体"/>
          <w:sz w:val="24"/>
        </w:rPr>
        <w:t>公司章程规定的其他人员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）独立董事应无下列不良纪录</w:t>
      </w:r>
      <w:r>
        <w:rPr>
          <w:rFonts w:hint="eastAsia" w:ascii="宋体" w:hAnsi="宋体" w:eastAsia="宋体" w:cs="宋体"/>
          <w:sz w:val="12"/>
        </w:rPr>
        <w:t>：</w:t>
      </w:r>
      <w:r>
        <w:rPr>
          <w:rFonts w:hint="eastAsia" w:ascii="宋体" w:hAnsi="宋体" w:eastAsia="宋体" w:cs="宋体"/>
          <w:sz w:val="24"/>
        </w:rPr>
        <w:t>近三年曾被中国证监会行政处罚</w:t>
      </w:r>
      <w:r>
        <w:rPr>
          <w:rFonts w:hint="eastAsia" w:ascii="宋体" w:hAnsi="宋体" w:eastAsia="宋体" w:cs="宋体"/>
          <w:sz w:val="12"/>
        </w:rPr>
        <w:t>；</w:t>
      </w:r>
      <w:r>
        <w:rPr>
          <w:rFonts w:hint="eastAsia" w:ascii="宋体" w:hAnsi="宋体" w:eastAsia="宋体" w:cs="宋体"/>
          <w:sz w:val="24"/>
        </w:rPr>
        <w:t>处于被证券交易所公开认定为不适合担任上市公司董事的期间</w:t>
      </w:r>
      <w:r>
        <w:rPr>
          <w:rFonts w:hint="eastAsia" w:ascii="宋体" w:hAnsi="宋体" w:eastAsia="宋体" w:cs="宋体"/>
          <w:sz w:val="14"/>
        </w:rPr>
        <w:t>；</w:t>
      </w:r>
      <w:r>
        <w:rPr>
          <w:rFonts w:hint="eastAsia" w:ascii="宋体" w:hAnsi="宋体" w:eastAsia="宋体" w:cs="宋体"/>
          <w:sz w:val="24"/>
        </w:rPr>
        <w:t>近三年曾被证券交易</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1-1-203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所公开谴责或两次以上通报批评</w:t>
      </w:r>
      <w:r>
        <w:rPr>
          <w:rFonts w:hint="eastAsia" w:ascii="宋体" w:hAnsi="宋体" w:eastAsia="宋体" w:cs="宋体"/>
          <w:sz w:val="14"/>
        </w:rPr>
        <w:t>；</w:t>
      </w:r>
      <w:r>
        <w:rPr>
          <w:rFonts w:hint="eastAsia" w:ascii="宋体" w:hAnsi="宋体" w:eastAsia="宋体" w:cs="宋体"/>
          <w:sz w:val="24"/>
        </w:rPr>
        <w:t>曾任职独立董事期间</w:t>
      </w:r>
      <w:r>
        <w:rPr>
          <w:rFonts w:hint="eastAsia" w:ascii="宋体" w:hAnsi="宋体" w:eastAsia="宋体" w:cs="宋体"/>
          <w:sz w:val="10"/>
        </w:rPr>
        <w:t>，</w:t>
      </w:r>
      <w:r>
        <w:rPr>
          <w:rFonts w:hint="eastAsia" w:ascii="宋体" w:hAnsi="宋体" w:eastAsia="宋体" w:cs="宋体"/>
          <w:sz w:val="24"/>
        </w:rPr>
        <w:t>连续两次未出席董事会会议</w:t>
      </w:r>
      <w:r>
        <w:rPr>
          <w:rFonts w:hint="eastAsia" w:ascii="宋体" w:hAnsi="宋体" w:eastAsia="宋体" w:cs="宋体"/>
          <w:sz w:val="10"/>
        </w:rPr>
        <w:t>，</w:t>
      </w:r>
      <w:r>
        <w:rPr>
          <w:rFonts w:hint="eastAsia" w:ascii="宋体" w:hAnsi="宋体" w:eastAsia="宋体" w:cs="宋体"/>
          <w:sz w:val="24"/>
        </w:rPr>
        <w:t>或者未亲自出席董事会会议的次数占当年董事会会议次数三分之一以上</w:t>
      </w:r>
      <w:r>
        <w:rPr>
          <w:rFonts w:hint="eastAsia" w:ascii="宋体" w:hAnsi="宋体" w:eastAsia="宋体" w:cs="宋体"/>
          <w:sz w:val="12"/>
        </w:rPr>
        <w:t>；</w:t>
      </w:r>
      <w:r>
        <w:rPr>
          <w:rFonts w:hint="eastAsia" w:ascii="宋体" w:hAnsi="宋体" w:eastAsia="宋体" w:cs="宋体"/>
          <w:sz w:val="24"/>
        </w:rPr>
        <w:t>曾任职独立董事期间</w:t>
      </w:r>
      <w:r>
        <w:rPr>
          <w:rFonts w:hint="eastAsia" w:ascii="宋体" w:hAnsi="宋体" w:eastAsia="宋体" w:cs="宋体"/>
          <w:sz w:val="10"/>
        </w:rPr>
        <w:t>，</w:t>
      </w:r>
      <w:r>
        <w:rPr>
          <w:rFonts w:hint="eastAsia" w:ascii="宋体" w:hAnsi="宋体" w:eastAsia="宋体" w:cs="宋体"/>
          <w:sz w:val="24"/>
        </w:rPr>
        <w:t>发表的独立意见明显与事实不符</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独立董事每届任期与公司其他董事任期相同</w:t>
      </w:r>
      <w:r>
        <w:rPr>
          <w:rFonts w:hint="eastAsia" w:ascii="宋体" w:hAnsi="宋体" w:eastAsia="宋体" w:cs="宋体"/>
          <w:sz w:val="10"/>
        </w:rPr>
        <w:t>，</w:t>
      </w:r>
      <w:r>
        <w:rPr>
          <w:rFonts w:hint="eastAsia" w:ascii="宋体" w:hAnsi="宋体" w:eastAsia="宋体" w:cs="宋体"/>
          <w:sz w:val="24"/>
        </w:rPr>
        <w:t>任期届满</w:t>
      </w:r>
      <w:r>
        <w:rPr>
          <w:rFonts w:hint="eastAsia" w:ascii="宋体" w:hAnsi="宋体" w:eastAsia="宋体" w:cs="宋体"/>
          <w:sz w:val="10"/>
        </w:rPr>
        <w:t>，</w:t>
      </w:r>
      <w:r>
        <w:rPr>
          <w:rFonts w:hint="eastAsia" w:ascii="宋体" w:hAnsi="宋体" w:eastAsia="宋体" w:cs="宋体"/>
          <w:sz w:val="24"/>
        </w:rPr>
        <w:t>连选可以连任</w:t>
      </w:r>
      <w:r>
        <w:rPr>
          <w:rFonts w:hint="eastAsia" w:ascii="宋体" w:hAnsi="宋体" w:eastAsia="宋体" w:cs="宋体"/>
          <w:sz w:val="10"/>
        </w:rPr>
        <w:t>，</w:t>
      </w:r>
      <w:r>
        <w:rPr>
          <w:rFonts w:hint="eastAsia" w:ascii="宋体" w:hAnsi="宋体" w:eastAsia="宋体" w:cs="宋体"/>
          <w:sz w:val="24"/>
        </w:rPr>
        <w:t>但是连任时间不得超过六年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独立董事的职责</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根据《独立董事制度》，</w:t>
      </w:r>
      <w:r>
        <w:rPr>
          <w:rFonts w:hint="eastAsia" w:ascii="宋体" w:hAnsi="宋体" w:eastAsia="宋体" w:cs="宋体"/>
          <w:sz w:val="24"/>
        </w:rPr>
        <w:t>独立董事除具有公司法</w:t>
      </w:r>
      <w:r>
        <w:rPr>
          <w:rFonts w:hint="eastAsia" w:ascii="宋体" w:hAnsi="宋体" w:eastAsia="宋体" w:cs="宋体"/>
          <w:sz w:val="10"/>
        </w:rPr>
        <w:t>、</w:t>
      </w:r>
      <w:r>
        <w:rPr>
          <w:rFonts w:hint="eastAsia" w:ascii="宋体" w:hAnsi="宋体" w:eastAsia="宋体" w:cs="宋体"/>
          <w:sz w:val="24"/>
        </w:rPr>
        <w:t>公司章程和其他相关法律</w:t>
      </w:r>
      <w:r>
        <w:rPr>
          <w:rFonts w:hint="eastAsia" w:ascii="宋体" w:hAnsi="宋体" w:eastAsia="宋体" w:cs="宋体"/>
          <w:sz w:val="10"/>
        </w:rPr>
        <w:t>、</w:t>
      </w:r>
      <w:r>
        <w:rPr>
          <w:rFonts w:hint="eastAsia" w:ascii="宋体" w:hAnsi="宋体" w:eastAsia="宋体" w:cs="宋体"/>
          <w:sz w:val="24"/>
        </w:rPr>
        <w:t>法规赋予董事的职权外</w:t>
      </w:r>
      <w:r>
        <w:rPr>
          <w:rFonts w:hint="eastAsia" w:ascii="宋体" w:hAnsi="宋体" w:eastAsia="宋体" w:cs="宋体"/>
          <w:sz w:val="10"/>
        </w:rPr>
        <w:t>，</w:t>
      </w:r>
      <w:r>
        <w:rPr>
          <w:rFonts w:hint="eastAsia" w:ascii="宋体" w:hAnsi="宋体" w:eastAsia="宋体" w:cs="宋体"/>
          <w:sz w:val="24"/>
        </w:rPr>
        <w:t>还具有以下特别职权</w:t>
      </w:r>
      <w:r>
        <w:rPr>
          <w:rFonts w:hint="eastAsia" w:ascii="宋体" w:hAnsi="宋体" w:eastAsia="宋体" w:cs="宋体"/>
          <w:sz w:val="12"/>
        </w:rPr>
        <w:t>：</w:t>
      </w:r>
      <w:r>
        <w:rPr>
          <w:rFonts w:hint="eastAsia" w:ascii="宋体" w:hAnsi="宋体" w:eastAsia="宋体" w:cs="宋体"/>
          <w:sz w:val="24"/>
        </w:rPr>
        <w:t>重大关联交易应由独立董事认可并发表独立意见后</w:t>
      </w:r>
      <w:r>
        <w:rPr>
          <w:rFonts w:hint="eastAsia" w:ascii="宋体" w:hAnsi="宋体" w:eastAsia="宋体" w:cs="宋体"/>
          <w:sz w:val="10"/>
        </w:rPr>
        <w:t>，</w:t>
      </w:r>
      <w:r>
        <w:rPr>
          <w:rFonts w:hint="eastAsia" w:ascii="宋体" w:hAnsi="宋体" w:eastAsia="宋体" w:cs="宋体"/>
          <w:sz w:val="24"/>
        </w:rPr>
        <w:t>提交董事会讨论</w:t>
      </w:r>
      <w:r>
        <w:rPr>
          <w:rFonts w:hint="eastAsia" w:ascii="宋体" w:hAnsi="宋体" w:eastAsia="宋体" w:cs="宋体"/>
          <w:sz w:val="12"/>
        </w:rPr>
        <w:t>；</w:t>
      </w:r>
      <w:r>
        <w:rPr>
          <w:rFonts w:hint="eastAsia" w:ascii="宋体" w:hAnsi="宋体" w:eastAsia="宋体" w:cs="宋体"/>
          <w:sz w:val="24"/>
        </w:rPr>
        <w:t>向董事会提议聘用或解聘会计师事务所</w:t>
      </w:r>
      <w:r>
        <w:rPr>
          <w:rFonts w:hint="eastAsia" w:ascii="宋体" w:hAnsi="宋体" w:eastAsia="宋体" w:cs="宋体"/>
          <w:sz w:val="12"/>
        </w:rPr>
        <w:t>；</w:t>
      </w:r>
      <w:r>
        <w:rPr>
          <w:rFonts w:hint="eastAsia" w:ascii="宋体" w:hAnsi="宋体" w:eastAsia="宋体" w:cs="宋体"/>
          <w:sz w:val="24"/>
        </w:rPr>
        <w:t>向董事会提请召开临时股东大会</w:t>
      </w:r>
      <w:r>
        <w:rPr>
          <w:rFonts w:hint="eastAsia" w:ascii="宋体" w:hAnsi="宋体" w:eastAsia="宋体" w:cs="宋体"/>
          <w:sz w:val="14"/>
        </w:rPr>
        <w:t>；</w:t>
      </w:r>
      <w:r>
        <w:rPr>
          <w:rFonts w:hint="eastAsia" w:ascii="宋体" w:hAnsi="宋体" w:eastAsia="宋体" w:cs="宋体"/>
          <w:sz w:val="24"/>
        </w:rPr>
        <w:t>提议召开董事会</w:t>
      </w:r>
      <w:r>
        <w:rPr>
          <w:rFonts w:hint="eastAsia" w:ascii="宋体" w:hAnsi="宋体" w:eastAsia="宋体" w:cs="宋体"/>
          <w:sz w:val="14"/>
        </w:rPr>
        <w:t>；</w:t>
      </w:r>
      <w:r>
        <w:rPr>
          <w:rFonts w:hint="eastAsia" w:ascii="宋体" w:hAnsi="宋体" w:eastAsia="宋体" w:cs="宋体"/>
          <w:sz w:val="24"/>
        </w:rPr>
        <w:t>独立聘请外部审计机构和咨询机构</w:t>
      </w:r>
      <w:r>
        <w:rPr>
          <w:rFonts w:hint="eastAsia" w:ascii="宋体" w:hAnsi="宋体" w:eastAsia="宋体" w:cs="宋体"/>
          <w:sz w:val="12"/>
        </w:rPr>
        <w:t>；</w:t>
      </w:r>
      <w:r>
        <w:rPr>
          <w:rFonts w:hint="eastAsia" w:ascii="宋体" w:hAnsi="宋体" w:eastAsia="宋体" w:cs="宋体"/>
          <w:sz w:val="24"/>
        </w:rPr>
        <w:t>可以在股东大会召开前公开向股东征集投票权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独立董事行使上述职权应当取得全体独立董事的二分之</w:t>
      </w:r>
      <w:r>
        <w:rPr>
          <w:rFonts w:hint="eastAsia" w:ascii="宋体" w:hAnsi="宋体" w:eastAsia="宋体" w:cs="宋体"/>
          <w:sz w:val="10"/>
        </w:rPr>
        <w:t>一</w:t>
      </w:r>
      <w:r>
        <w:rPr>
          <w:rFonts w:hint="eastAsia" w:ascii="宋体" w:hAnsi="宋体" w:eastAsia="宋体" w:cs="宋体"/>
          <w:sz w:val="24"/>
        </w:rPr>
        <w:t>以上同意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独立董事应当对下述公司重大事项向董事会或股东大会发表独立意见</w:t>
      </w:r>
      <w:r>
        <w:rPr>
          <w:rFonts w:hint="eastAsia" w:ascii="宋体" w:hAnsi="宋体" w:eastAsia="宋体" w:cs="宋体"/>
          <w:sz w:val="12"/>
        </w:rPr>
        <w:t>：</w:t>
      </w:r>
      <w:r>
        <w:rPr>
          <w:rFonts w:hint="eastAsia" w:ascii="宋体" w:hAnsi="宋体" w:eastAsia="宋体" w:cs="宋体"/>
          <w:sz w:val="24"/>
        </w:rPr>
        <w:t>提名</w:t>
      </w:r>
      <w:r>
        <w:rPr>
          <w:rFonts w:hint="eastAsia" w:ascii="宋体" w:hAnsi="宋体" w:eastAsia="宋体" w:cs="宋体"/>
          <w:sz w:val="10"/>
        </w:rPr>
        <w:t>、</w:t>
      </w:r>
      <w:r>
        <w:rPr>
          <w:rFonts w:hint="eastAsia" w:ascii="宋体" w:hAnsi="宋体" w:eastAsia="宋体" w:cs="宋体"/>
          <w:sz w:val="24"/>
        </w:rPr>
        <w:t>任免董事</w:t>
      </w:r>
      <w:r>
        <w:rPr>
          <w:rFonts w:hint="eastAsia" w:ascii="宋体" w:hAnsi="宋体" w:eastAsia="宋体" w:cs="宋体"/>
          <w:sz w:val="14"/>
        </w:rPr>
        <w:t>；</w:t>
      </w:r>
      <w:r>
        <w:rPr>
          <w:rFonts w:hint="eastAsia" w:ascii="宋体" w:hAnsi="宋体" w:eastAsia="宋体" w:cs="宋体"/>
          <w:sz w:val="24"/>
        </w:rPr>
        <w:t>聘任或解聘高级管理人员</w:t>
      </w:r>
      <w:r>
        <w:rPr>
          <w:rFonts w:hint="eastAsia" w:ascii="宋体" w:hAnsi="宋体" w:eastAsia="宋体" w:cs="宋体"/>
          <w:sz w:val="14"/>
        </w:rPr>
        <w:t>；</w:t>
      </w:r>
      <w:r>
        <w:rPr>
          <w:rFonts w:hint="eastAsia" w:ascii="宋体" w:hAnsi="宋体" w:eastAsia="宋体" w:cs="宋体"/>
          <w:sz w:val="24"/>
        </w:rPr>
        <w:t>公司董事</w:t>
      </w:r>
      <w:r>
        <w:rPr>
          <w:rFonts w:hint="eastAsia" w:ascii="宋体" w:hAnsi="宋体" w:eastAsia="宋体" w:cs="宋体"/>
          <w:sz w:val="10"/>
        </w:rPr>
        <w:t>、</w:t>
      </w:r>
      <w:r>
        <w:rPr>
          <w:rFonts w:hint="eastAsia" w:ascii="宋体" w:hAnsi="宋体" w:eastAsia="宋体" w:cs="宋体"/>
          <w:sz w:val="24"/>
        </w:rPr>
        <w:t>高级管理人员的薪酬</w:t>
      </w:r>
      <w:r>
        <w:rPr>
          <w:rFonts w:hint="eastAsia" w:ascii="宋体" w:hAnsi="宋体" w:eastAsia="宋体" w:cs="宋体"/>
          <w:sz w:val="12"/>
        </w:rPr>
        <w:t>；</w:t>
      </w:r>
      <w:r>
        <w:rPr>
          <w:rFonts w:hint="eastAsia" w:ascii="宋体" w:hAnsi="宋体" w:eastAsia="宋体" w:cs="宋体"/>
          <w:sz w:val="24"/>
        </w:rPr>
        <w:t>公司股东</w:t>
      </w:r>
      <w:r>
        <w:rPr>
          <w:rFonts w:hint="eastAsia" w:ascii="宋体" w:hAnsi="宋体" w:eastAsia="宋体" w:cs="宋体"/>
          <w:sz w:val="10"/>
        </w:rPr>
        <w:t>、</w:t>
      </w:r>
      <w:r>
        <w:rPr>
          <w:rFonts w:hint="eastAsia" w:ascii="宋体" w:hAnsi="宋体" w:eastAsia="宋体" w:cs="宋体"/>
          <w:sz w:val="24"/>
        </w:rPr>
        <w:t>实际控制人及其关联企业对公司现有或新发生的总额高于</w:t>
      </w:r>
      <w:r>
        <w:rPr>
          <w:rFonts w:hint="eastAsia" w:ascii="Times New Roman" w:hAnsi="Times New Roman" w:eastAsia="Times New Roman" w:cs="Times New Roman"/>
          <w:sz w:val="24"/>
        </w:rPr>
        <w:t xml:space="preserve"> 300</w:t>
      </w:r>
      <w:r>
        <w:rPr>
          <w:rFonts w:hint="eastAsia" w:ascii="宋体" w:hAnsi="宋体" w:eastAsia="宋体" w:cs="宋体"/>
          <w:sz w:val="24"/>
        </w:rPr>
        <w:t>万元或高于公司最近经审计净资产值的</w:t>
      </w:r>
      <w:r>
        <w:rPr>
          <w:rFonts w:hint="eastAsia" w:ascii="Times New Roman" w:hAnsi="Times New Roman" w:eastAsia="Times New Roman" w:cs="Times New Roman"/>
          <w:sz w:val="24"/>
        </w:rPr>
        <w:t xml:space="preserve"> 5%</w:t>
      </w:r>
      <w:r>
        <w:rPr>
          <w:rFonts w:hint="eastAsia" w:ascii="宋体" w:hAnsi="宋体" w:eastAsia="宋体" w:cs="宋体"/>
          <w:sz w:val="24"/>
        </w:rPr>
        <w:t>的借款或其他资金往来</w:t>
      </w:r>
      <w:r>
        <w:rPr>
          <w:rFonts w:hint="eastAsia" w:ascii="宋体" w:hAnsi="宋体" w:eastAsia="宋体" w:cs="宋体"/>
          <w:sz w:val="10"/>
        </w:rPr>
        <w:t>，</w:t>
      </w:r>
      <w:r>
        <w:rPr>
          <w:rFonts w:hint="eastAsia" w:ascii="宋体" w:hAnsi="宋体" w:eastAsia="宋体" w:cs="宋体"/>
          <w:sz w:val="24"/>
        </w:rPr>
        <w:t>以及公司是否采取有效措施回收欠款</w:t>
      </w:r>
      <w:r>
        <w:rPr>
          <w:rFonts w:hint="eastAsia" w:ascii="宋体" w:hAnsi="宋体" w:eastAsia="宋体" w:cs="宋体"/>
          <w:sz w:val="12"/>
        </w:rPr>
        <w:t>；</w:t>
      </w:r>
      <w:r>
        <w:rPr>
          <w:rFonts w:hint="eastAsia" w:ascii="宋体" w:hAnsi="宋体" w:eastAsia="宋体" w:cs="宋体"/>
          <w:sz w:val="24"/>
        </w:rPr>
        <w:t>独立董事认为可能损害中小股东权益的事项</w:t>
      </w:r>
      <w:r>
        <w:rPr>
          <w:rFonts w:hint="eastAsia" w:ascii="宋体" w:hAnsi="宋体" w:eastAsia="宋体" w:cs="宋体"/>
          <w:sz w:val="12"/>
        </w:rPr>
        <w:t>；</w:t>
      </w:r>
      <w:r>
        <w:rPr>
          <w:rFonts w:hint="eastAsia" w:ascii="宋体" w:hAnsi="宋体" w:eastAsia="宋体" w:cs="宋体"/>
          <w:sz w:val="24"/>
        </w:rPr>
        <w:t>公司章程规定的其他事项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40" w:firstLine="480"/>
        <w:jc w:val="both"/>
      </w:pPr>
      <w:r>
        <w:rPr>
          <w:rFonts w:hint="eastAsia" w:ascii="宋体" w:hAnsi="宋体" w:eastAsia="宋体" w:cs="宋体"/>
          <w:sz w:val="24"/>
        </w:rPr>
        <w:t>独立董事应当就上述事项发表同意</w:t>
      </w:r>
      <w:r>
        <w:rPr>
          <w:rFonts w:hint="eastAsia" w:ascii="宋体" w:hAnsi="宋体" w:eastAsia="宋体" w:cs="宋体"/>
          <w:sz w:val="10"/>
        </w:rPr>
        <w:t>、</w:t>
      </w:r>
      <w:r>
        <w:rPr>
          <w:rFonts w:hint="eastAsia" w:ascii="宋体" w:hAnsi="宋体" w:eastAsia="宋体" w:cs="宋体"/>
          <w:sz w:val="24"/>
        </w:rPr>
        <w:t>保留意见及其理由</w:t>
      </w:r>
      <w:r>
        <w:rPr>
          <w:rFonts w:hint="eastAsia" w:ascii="宋体" w:hAnsi="宋体" w:eastAsia="宋体" w:cs="宋体"/>
          <w:sz w:val="10"/>
        </w:rPr>
        <w:t>、</w:t>
      </w:r>
      <w:r>
        <w:rPr>
          <w:rFonts w:hint="eastAsia" w:ascii="宋体" w:hAnsi="宋体" w:eastAsia="宋体" w:cs="宋体"/>
          <w:sz w:val="24"/>
        </w:rPr>
        <w:t>反对意见及其理由</w:t>
      </w:r>
      <w:r>
        <w:rPr>
          <w:rFonts w:hint="eastAsia" w:ascii="宋体" w:hAnsi="宋体" w:eastAsia="宋体" w:cs="宋体"/>
          <w:sz w:val="10"/>
        </w:rPr>
        <w:t>、</w:t>
      </w:r>
      <w:r>
        <w:rPr>
          <w:rFonts w:hint="eastAsia" w:ascii="宋体" w:hAnsi="宋体" w:eastAsia="宋体" w:cs="宋体"/>
          <w:sz w:val="24"/>
        </w:rPr>
        <w:t>无法发表意见及其障碍等意见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独立董事履行职责的情况</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独立董事通过出席董事会</w:t>
      </w:r>
      <w:r>
        <w:rPr>
          <w:rFonts w:hint="eastAsia" w:ascii="宋体" w:hAnsi="宋体" w:eastAsia="宋体" w:cs="宋体"/>
          <w:sz w:val="10"/>
        </w:rPr>
        <w:t>、</w:t>
      </w:r>
      <w:r>
        <w:rPr>
          <w:rFonts w:hint="eastAsia" w:ascii="宋体" w:hAnsi="宋体" w:eastAsia="宋体" w:cs="宋体"/>
          <w:sz w:val="24"/>
        </w:rPr>
        <w:t>列席股东大会</w:t>
      </w:r>
      <w:r>
        <w:rPr>
          <w:rFonts w:hint="eastAsia" w:ascii="宋体" w:hAnsi="宋体" w:eastAsia="宋体" w:cs="宋体"/>
          <w:sz w:val="10"/>
        </w:rPr>
        <w:t>、</w:t>
      </w:r>
      <w:r>
        <w:rPr>
          <w:rFonts w:hint="eastAsia" w:ascii="宋体" w:hAnsi="宋体" w:eastAsia="宋体" w:cs="宋体"/>
          <w:sz w:val="24"/>
        </w:rPr>
        <w:t>参加董事会专门委员会</w:t>
      </w:r>
      <w:r>
        <w:rPr>
          <w:rFonts w:hint="eastAsia" w:ascii="宋体" w:hAnsi="宋体" w:eastAsia="宋体" w:cs="宋体"/>
          <w:sz w:val="10"/>
        </w:rPr>
        <w:t>、</w:t>
      </w:r>
      <w:r>
        <w:rPr>
          <w:rFonts w:hint="eastAsia" w:ascii="宋体" w:hAnsi="宋体" w:eastAsia="宋体" w:cs="宋体"/>
          <w:sz w:val="24"/>
        </w:rPr>
        <w:t>现场调查等方式</w:t>
      </w:r>
      <w:r>
        <w:rPr>
          <w:rFonts w:hint="eastAsia" w:ascii="宋体" w:hAnsi="宋体" w:eastAsia="宋体" w:cs="宋体"/>
          <w:sz w:val="10"/>
        </w:rPr>
        <w:t>，</w:t>
      </w:r>
      <w:r>
        <w:rPr>
          <w:rFonts w:hint="eastAsia" w:ascii="宋体" w:hAnsi="宋体" w:eastAsia="宋体" w:cs="宋体"/>
          <w:sz w:val="24"/>
        </w:rPr>
        <w:t>对公司重大事项的决策</w:t>
      </w:r>
      <w:r>
        <w:rPr>
          <w:rFonts w:hint="eastAsia" w:ascii="宋体" w:hAnsi="宋体" w:eastAsia="宋体" w:cs="宋体"/>
          <w:sz w:val="10"/>
        </w:rPr>
        <w:t>、</w:t>
      </w:r>
      <w:r>
        <w:rPr>
          <w:rFonts w:hint="eastAsia" w:ascii="宋体" w:hAnsi="宋体" w:eastAsia="宋体" w:cs="宋体"/>
          <w:sz w:val="24"/>
        </w:rPr>
        <w:t>法人治理结构的完善起到了积极的作用</w:t>
      </w:r>
      <w:r>
        <w:rPr>
          <w:rFonts w:hint="eastAsia" w:ascii="宋体" w:hAnsi="宋体" w:eastAsia="宋体" w:cs="宋体"/>
          <w:sz w:val="10"/>
        </w:rPr>
        <w:t>，</w:t>
      </w:r>
      <w:r>
        <w:rPr>
          <w:rFonts w:hint="eastAsia" w:ascii="宋体" w:hAnsi="宋体" w:eastAsia="宋体" w:cs="宋体"/>
          <w:sz w:val="24"/>
        </w:rPr>
        <w:t>独立董事具备相关的专业知识并勤勉尽责的履行职责</w:t>
      </w:r>
      <w:r>
        <w:rPr>
          <w:rFonts w:hint="eastAsia" w:ascii="宋体" w:hAnsi="宋体" w:eastAsia="宋体" w:cs="宋体"/>
          <w:sz w:val="10"/>
        </w:rPr>
        <w:t>，</w:t>
      </w:r>
      <w:r>
        <w:rPr>
          <w:rFonts w:hint="eastAsia" w:ascii="宋体" w:hAnsi="宋体" w:eastAsia="宋体" w:cs="宋体"/>
          <w:sz w:val="24"/>
        </w:rPr>
        <w:t>在董事会制定公司发展战略</w:t>
      </w:r>
      <w:r>
        <w:rPr>
          <w:rFonts w:hint="eastAsia" w:ascii="宋体" w:hAnsi="宋体" w:eastAsia="宋体" w:cs="宋体"/>
          <w:sz w:val="10"/>
        </w:rPr>
        <w:t>、</w:t>
      </w:r>
      <w:r>
        <w:rPr>
          <w:rFonts w:hint="eastAsia" w:ascii="宋体" w:hAnsi="宋体" w:eastAsia="宋体" w:cs="宋体"/>
          <w:sz w:val="24"/>
        </w:rPr>
        <w:t>经营决策</w:t>
      </w:r>
      <w:r>
        <w:rPr>
          <w:rFonts w:hint="eastAsia" w:ascii="宋体" w:hAnsi="宋体" w:eastAsia="宋体" w:cs="宋体"/>
          <w:sz w:val="10"/>
        </w:rPr>
        <w:t>、</w:t>
      </w:r>
      <w:r>
        <w:rPr>
          <w:rFonts w:hint="eastAsia" w:ascii="宋体" w:hAnsi="宋体" w:eastAsia="宋体" w:cs="宋体"/>
          <w:sz w:val="24"/>
        </w:rPr>
        <w:t>完善内部控制以及确定募集资金投资项目等方面发挥了良好的作用</w:t>
      </w:r>
      <w:r>
        <w:rPr>
          <w:rFonts w:hint="eastAsia" w:ascii="宋体" w:hAnsi="宋体" w:eastAsia="宋体" w:cs="宋体"/>
          <w:sz w:val="10"/>
        </w:rPr>
        <w:t>，</w:t>
      </w:r>
      <w:r>
        <w:rPr>
          <w:rFonts w:hint="eastAsia" w:ascii="宋体" w:hAnsi="宋体" w:eastAsia="宋体" w:cs="宋体"/>
          <w:sz w:val="24"/>
        </w:rPr>
        <w:t>有力地保障了公司经营决策的科学性和正确性</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1-1-204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宋体" w:hAnsi="宋体" w:eastAsia="宋体" w:cs="宋体"/>
          <w:b/>
          <w:sz w:val="20"/>
        </w:rPr>
        <w:t>（</w:t>
      </w:r>
      <w:r>
        <w:rPr>
          <w:rFonts w:hint="eastAsia" w:ascii="宋体" w:hAnsi="宋体" w:eastAsia="宋体" w:cs="宋体"/>
          <w:b/>
          <w:sz w:val="24"/>
        </w:rPr>
        <w:t>五）董事会秘书制度的建立</w:t>
      </w:r>
      <w:r>
        <w:rPr>
          <w:rFonts w:hint="eastAsia" w:ascii="宋体" w:hAnsi="宋体" w:eastAsia="宋体" w:cs="宋体"/>
          <w:b/>
          <w:sz w:val="10"/>
        </w:rPr>
        <w:t>、</w:t>
      </w:r>
      <w:r>
        <w:rPr>
          <w:rFonts w:hint="eastAsia" w:ascii="宋体" w:hAnsi="宋体" w:eastAsia="宋体" w:cs="宋体"/>
          <w:b/>
          <w:sz w:val="24"/>
        </w:rPr>
        <w:t>健全及运行情况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董事会秘书的职责</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公司聘任了董事会秘书</w:t>
      </w:r>
      <w:r>
        <w:rPr>
          <w:rFonts w:hint="eastAsia" w:ascii="宋体" w:hAnsi="宋体" w:eastAsia="宋体" w:cs="宋体"/>
          <w:sz w:val="10"/>
        </w:rPr>
        <w:t>，</w:t>
      </w:r>
      <w:r>
        <w:rPr>
          <w:rFonts w:hint="eastAsia" w:ascii="宋体" w:hAnsi="宋体" w:eastAsia="宋体" w:cs="宋体"/>
          <w:sz w:val="24"/>
        </w:rPr>
        <w:t>制定了《董事会秘书制度》。</w:t>
      </w:r>
      <w:r>
        <w:rPr>
          <w:rFonts w:hint="eastAsia" w:ascii="宋体" w:hAnsi="宋体" w:eastAsia="宋体" w:cs="宋体"/>
          <w:sz w:val="24"/>
        </w:rPr>
        <w:t>董事会秘书负责协调和组织公司的信息披露事务</w:t>
      </w:r>
      <w:r>
        <w:rPr>
          <w:rFonts w:hint="eastAsia" w:ascii="宋体" w:hAnsi="宋体" w:eastAsia="宋体" w:cs="宋体"/>
          <w:sz w:val="10"/>
        </w:rPr>
        <w:t>，</w:t>
      </w:r>
      <w:r>
        <w:rPr>
          <w:rFonts w:hint="eastAsia" w:ascii="宋体" w:hAnsi="宋体" w:eastAsia="宋体" w:cs="宋体"/>
          <w:sz w:val="24"/>
        </w:rPr>
        <w:t>主要履行以下职责</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）负责公司信息披露管理事务</w:t>
      </w:r>
      <w:r>
        <w:rPr>
          <w:rFonts w:hint="eastAsia" w:ascii="宋体" w:hAnsi="宋体" w:eastAsia="宋体" w:cs="宋体"/>
          <w:sz w:val="10"/>
        </w:rPr>
        <w:t>，</w:t>
      </w:r>
      <w:r>
        <w:rPr>
          <w:rFonts w:hint="eastAsia" w:ascii="宋体" w:hAnsi="宋体" w:eastAsia="宋体" w:cs="宋体"/>
          <w:sz w:val="24"/>
        </w:rPr>
        <w:t>包括负责公司信息对外发布</w:t>
      </w:r>
      <w:r>
        <w:rPr>
          <w:rFonts w:hint="eastAsia" w:ascii="宋体" w:hAnsi="宋体" w:eastAsia="宋体" w:cs="宋体"/>
          <w:sz w:val="14"/>
        </w:rPr>
        <w:t>；</w:t>
      </w:r>
      <w:r>
        <w:rPr>
          <w:rFonts w:hint="eastAsia" w:ascii="宋体" w:hAnsi="宋体" w:eastAsia="宋体" w:cs="宋体"/>
          <w:sz w:val="24"/>
        </w:rPr>
        <w:t>制定并完善公司信息披露事务管理制度</w:t>
      </w:r>
      <w:r>
        <w:rPr>
          <w:rFonts w:hint="eastAsia" w:ascii="宋体" w:hAnsi="宋体" w:eastAsia="宋体" w:cs="宋体"/>
          <w:sz w:val="12"/>
        </w:rPr>
        <w:t>；</w:t>
      </w:r>
      <w:r>
        <w:rPr>
          <w:rFonts w:hint="eastAsia" w:ascii="宋体" w:hAnsi="宋体" w:eastAsia="宋体" w:cs="宋体"/>
          <w:sz w:val="24"/>
        </w:rPr>
        <w:t>督促公司相关信息披露义务人遵守信息披露相关规定</w:t>
      </w:r>
      <w:r>
        <w:rPr>
          <w:rFonts w:hint="eastAsia" w:ascii="宋体" w:hAnsi="宋体" w:eastAsia="宋体" w:cs="宋体"/>
          <w:sz w:val="10"/>
        </w:rPr>
        <w:t>，</w:t>
      </w:r>
      <w:r>
        <w:rPr>
          <w:rFonts w:hint="eastAsia" w:ascii="宋体" w:hAnsi="宋体" w:eastAsia="宋体" w:cs="宋体"/>
          <w:sz w:val="24"/>
        </w:rPr>
        <w:t>协助相关各方及有关人员履行信息披露义务</w:t>
      </w:r>
      <w:r>
        <w:rPr>
          <w:rFonts w:hint="eastAsia" w:ascii="宋体" w:hAnsi="宋体" w:eastAsia="宋体" w:cs="宋体"/>
          <w:sz w:val="12"/>
        </w:rPr>
        <w:t>；</w:t>
      </w:r>
      <w:r>
        <w:rPr>
          <w:rFonts w:hint="eastAsia" w:ascii="宋体" w:hAnsi="宋体" w:eastAsia="宋体" w:cs="宋体"/>
          <w:sz w:val="24"/>
        </w:rPr>
        <w:t>负责公司未公开重大信息的保密工作</w:t>
      </w:r>
      <w:r>
        <w:rPr>
          <w:rFonts w:hint="eastAsia" w:ascii="宋体" w:hAnsi="宋体" w:eastAsia="宋体" w:cs="宋体"/>
          <w:sz w:val="14"/>
        </w:rPr>
        <w:t>；</w:t>
      </w:r>
      <w:r>
        <w:rPr>
          <w:rFonts w:hint="eastAsia" w:ascii="宋体" w:hAnsi="宋体" w:eastAsia="宋体" w:cs="宋体"/>
          <w:sz w:val="24"/>
        </w:rPr>
        <w:t>关注媒体报道</w:t>
      </w:r>
      <w:r>
        <w:rPr>
          <w:rFonts w:hint="eastAsia" w:ascii="宋体" w:hAnsi="宋体" w:eastAsia="宋体" w:cs="宋体"/>
          <w:sz w:val="10"/>
        </w:rPr>
        <w:t>，</w:t>
      </w:r>
      <w:r>
        <w:rPr>
          <w:rFonts w:hint="eastAsia" w:ascii="宋体" w:hAnsi="宋体" w:eastAsia="宋体" w:cs="宋体"/>
          <w:sz w:val="24"/>
        </w:rPr>
        <w:t>主动向公司及相关信息披露义务人求证</w:t>
      </w:r>
      <w:r>
        <w:rPr>
          <w:rFonts w:hint="eastAsia" w:ascii="宋体" w:hAnsi="宋体" w:eastAsia="宋体" w:cs="宋体"/>
          <w:sz w:val="10"/>
        </w:rPr>
        <w:t>，</w:t>
      </w:r>
      <w:r>
        <w:rPr>
          <w:rFonts w:hint="eastAsia" w:ascii="宋体" w:hAnsi="宋体" w:eastAsia="宋体" w:cs="宋体"/>
          <w:sz w:val="24"/>
        </w:rPr>
        <w:t>督促董事会及时披露或澄清</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）应协助公司董事会加强公司治理机制建设</w:t>
      </w:r>
      <w:r>
        <w:rPr>
          <w:rFonts w:hint="eastAsia" w:ascii="宋体" w:hAnsi="宋体" w:eastAsia="宋体" w:cs="宋体"/>
          <w:sz w:val="10"/>
        </w:rPr>
        <w:t>，</w:t>
      </w:r>
      <w:r>
        <w:rPr>
          <w:rFonts w:hint="eastAsia" w:ascii="宋体" w:hAnsi="宋体" w:eastAsia="宋体" w:cs="宋体"/>
          <w:sz w:val="24"/>
        </w:rPr>
        <w:t>包括组织筹备并列席公司董事会会议及其专门委员会会议</w:t>
      </w:r>
      <w:r>
        <w:rPr>
          <w:rFonts w:hint="eastAsia" w:ascii="宋体" w:hAnsi="宋体" w:eastAsia="宋体" w:cs="宋体"/>
          <w:sz w:val="10"/>
        </w:rPr>
        <w:t>、</w:t>
      </w:r>
      <w:r>
        <w:rPr>
          <w:rFonts w:hint="eastAsia" w:ascii="宋体" w:hAnsi="宋体" w:eastAsia="宋体" w:cs="宋体"/>
          <w:sz w:val="24"/>
        </w:rPr>
        <w:t>监事会会议和股东大会会议</w:t>
      </w:r>
      <w:r>
        <w:rPr>
          <w:rFonts w:hint="eastAsia" w:ascii="宋体" w:hAnsi="宋体" w:eastAsia="宋体" w:cs="宋体"/>
          <w:sz w:val="14"/>
        </w:rPr>
        <w:t>；</w:t>
      </w:r>
      <w:r>
        <w:rPr>
          <w:rFonts w:hint="eastAsia" w:ascii="宋体" w:hAnsi="宋体" w:eastAsia="宋体" w:cs="宋体"/>
          <w:sz w:val="24"/>
        </w:rPr>
        <w:t>建立健全公司内部控制制度</w:t>
      </w:r>
      <w:r>
        <w:rPr>
          <w:rFonts w:hint="eastAsia" w:ascii="宋体" w:hAnsi="宋体" w:eastAsia="宋体" w:cs="宋体"/>
          <w:sz w:val="12"/>
        </w:rPr>
        <w:t>；</w:t>
      </w:r>
      <w:r>
        <w:rPr>
          <w:rFonts w:hint="eastAsia" w:ascii="宋体" w:hAnsi="宋体" w:eastAsia="宋体" w:cs="宋体"/>
          <w:sz w:val="24"/>
        </w:rPr>
        <w:t>积极推动公司避免同业竞争</w:t>
      </w:r>
      <w:r>
        <w:rPr>
          <w:rFonts w:hint="eastAsia" w:ascii="宋体" w:hAnsi="宋体" w:eastAsia="宋体" w:cs="宋体"/>
          <w:sz w:val="10"/>
        </w:rPr>
        <w:t>，</w:t>
      </w:r>
      <w:r>
        <w:rPr>
          <w:rFonts w:hint="eastAsia" w:ascii="宋体" w:hAnsi="宋体" w:eastAsia="宋体" w:cs="宋体"/>
          <w:sz w:val="24"/>
        </w:rPr>
        <w:t>减少并规范关联交易事项</w:t>
      </w:r>
      <w:r>
        <w:rPr>
          <w:rFonts w:hint="eastAsia" w:ascii="宋体" w:hAnsi="宋体" w:eastAsia="宋体" w:cs="宋体"/>
          <w:sz w:val="12"/>
        </w:rPr>
        <w:t>；</w:t>
      </w:r>
      <w:r>
        <w:rPr>
          <w:rFonts w:hint="eastAsia" w:ascii="宋体" w:hAnsi="宋体" w:eastAsia="宋体" w:cs="宋体"/>
          <w:sz w:val="24"/>
        </w:rPr>
        <w:t>积极推动公司建立健全激励约束机制</w:t>
      </w:r>
      <w:r>
        <w:rPr>
          <w:rFonts w:hint="eastAsia" w:ascii="宋体" w:hAnsi="宋体" w:eastAsia="宋体" w:cs="宋体"/>
          <w:sz w:val="14"/>
        </w:rPr>
        <w:t>；</w:t>
      </w:r>
      <w:r>
        <w:rPr>
          <w:rFonts w:hint="eastAsia" w:ascii="宋体" w:hAnsi="宋体" w:eastAsia="宋体" w:cs="宋体"/>
          <w:sz w:val="24"/>
        </w:rPr>
        <w:t>积极推动公司承担社会责任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）负责公司投资者关系管理事务</w:t>
      </w:r>
      <w:r>
        <w:rPr>
          <w:rFonts w:hint="eastAsia" w:ascii="宋体" w:hAnsi="宋体" w:eastAsia="宋体" w:cs="宋体"/>
          <w:sz w:val="10"/>
        </w:rPr>
        <w:t>，</w:t>
      </w:r>
      <w:r>
        <w:rPr>
          <w:rFonts w:hint="eastAsia" w:ascii="宋体" w:hAnsi="宋体" w:eastAsia="宋体" w:cs="宋体"/>
          <w:sz w:val="24"/>
        </w:rPr>
        <w:t>完善公司投资者的沟通</w:t>
      </w:r>
      <w:r>
        <w:rPr>
          <w:rFonts w:hint="eastAsia" w:ascii="宋体" w:hAnsi="宋体" w:eastAsia="宋体" w:cs="宋体"/>
          <w:sz w:val="10"/>
        </w:rPr>
        <w:t>、</w:t>
      </w:r>
      <w:r>
        <w:rPr>
          <w:rFonts w:hint="eastAsia" w:ascii="宋体" w:hAnsi="宋体" w:eastAsia="宋体" w:cs="宋体"/>
          <w:sz w:val="24"/>
        </w:rPr>
        <w:t>接待和服务工作机制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）董事会秘书负责公司股权管理事务</w:t>
      </w:r>
      <w:r>
        <w:rPr>
          <w:rFonts w:hint="eastAsia" w:ascii="宋体" w:hAnsi="宋体" w:eastAsia="宋体" w:cs="宋体"/>
          <w:sz w:val="10"/>
        </w:rPr>
        <w:t>，</w:t>
      </w:r>
      <w:r>
        <w:rPr>
          <w:rFonts w:hint="eastAsia" w:ascii="宋体" w:hAnsi="宋体" w:eastAsia="宋体" w:cs="宋体"/>
          <w:sz w:val="24"/>
        </w:rPr>
        <w:t>包括保管公司股东持股资料</w:t>
      </w:r>
      <w:r>
        <w:rPr>
          <w:rFonts w:hint="eastAsia" w:ascii="宋体" w:hAnsi="宋体" w:eastAsia="宋体" w:cs="宋体"/>
          <w:sz w:val="12"/>
        </w:rPr>
        <w:t>；</w:t>
      </w:r>
      <w:r>
        <w:rPr>
          <w:rFonts w:hint="eastAsia" w:ascii="宋体" w:hAnsi="宋体" w:eastAsia="宋体" w:cs="宋体"/>
          <w:sz w:val="24"/>
        </w:rPr>
        <w:t>督促公司董事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高级管理人员及其他相关人员遵守公司股份买卖相关规定</w:t>
      </w:r>
      <w:r>
        <w:rPr>
          <w:rFonts w:hint="eastAsia" w:ascii="宋体" w:hAnsi="宋体" w:eastAsia="宋体" w:cs="宋体"/>
          <w:sz w:val="14"/>
        </w:rPr>
        <w:t>；</w:t>
      </w:r>
      <w:r>
        <w:rPr>
          <w:rFonts w:hint="eastAsia" w:ascii="宋体" w:hAnsi="宋体" w:eastAsia="宋体" w:cs="宋体"/>
          <w:sz w:val="24"/>
        </w:rPr>
        <w:t>其他公司股权管理事项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w:t>
      </w:r>
      <w:r>
        <w:rPr>
          <w:rFonts w:hint="eastAsia" w:ascii="Times New Roman" w:hAnsi="Times New Roman" w:eastAsia="Times New Roman" w:cs="Times New Roman"/>
          <w:sz w:val="24"/>
        </w:rPr>
        <w:t>5</w:t>
      </w:r>
      <w:r>
        <w:rPr>
          <w:rFonts w:hint="eastAsia" w:ascii="宋体" w:hAnsi="宋体" w:eastAsia="宋体" w:cs="宋体"/>
          <w:sz w:val="24"/>
        </w:rPr>
        <w:t>）应协助公司董事会制定公司资本市场发展战略</w:t>
      </w:r>
      <w:r>
        <w:rPr>
          <w:rFonts w:hint="eastAsia" w:ascii="宋体" w:hAnsi="宋体" w:eastAsia="宋体" w:cs="宋体"/>
          <w:sz w:val="10"/>
        </w:rPr>
        <w:t>，</w:t>
      </w:r>
      <w:r>
        <w:rPr>
          <w:rFonts w:hint="eastAsia" w:ascii="宋体" w:hAnsi="宋体" w:eastAsia="宋体" w:cs="宋体"/>
          <w:sz w:val="24"/>
        </w:rPr>
        <w:t>协助筹划或者实施公司资本市场再融资或者并购重组事务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w:t>
      </w:r>
      <w:r>
        <w:rPr>
          <w:rFonts w:hint="eastAsia" w:ascii="Times New Roman" w:hAnsi="Times New Roman" w:eastAsia="Times New Roman" w:cs="Times New Roman"/>
          <w:sz w:val="24"/>
        </w:rPr>
        <w:t>6</w:t>
      </w:r>
      <w:r>
        <w:rPr>
          <w:rFonts w:hint="eastAsia" w:ascii="宋体" w:hAnsi="宋体" w:eastAsia="宋体" w:cs="宋体"/>
          <w:sz w:val="24"/>
        </w:rPr>
        <w:t>）负责公司规范运作培训事务</w:t>
      </w:r>
      <w:r>
        <w:rPr>
          <w:rFonts w:hint="eastAsia" w:ascii="宋体" w:hAnsi="宋体" w:eastAsia="宋体" w:cs="宋体"/>
          <w:sz w:val="10"/>
        </w:rPr>
        <w:t>，</w:t>
      </w:r>
      <w:r>
        <w:rPr>
          <w:rFonts w:hint="eastAsia" w:ascii="宋体" w:hAnsi="宋体" w:eastAsia="宋体" w:cs="宋体"/>
          <w:sz w:val="24"/>
        </w:rPr>
        <w:t>组织公司董事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高级管理人员及其他相关人员接受相关法律法规和其他规范性文件的培训</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20" w:firstLine="480"/>
        <w:jc w:val="both"/>
      </w:pPr>
      <w:r>
        <w:rPr>
          <w:rFonts w:hint="eastAsia" w:ascii="宋体" w:hAnsi="宋体" w:eastAsia="宋体" w:cs="宋体"/>
          <w:sz w:val="24"/>
        </w:rPr>
        <w:t>（</w:t>
      </w:r>
      <w:r>
        <w:rPr>
          <w:rFonts w:hint="eastAsia" w:ascii="Times New Roman" w:hAnsi="Times New Roman" w:eastAsia="Times New Roman" w:cs="Times New Roman"/>
          <w:sz w:val="24"/>
        </w:rPr>
        <w:t>7</w:t>
      </w:r>
      <w:r>
        <w:rPr>
          <w:rFonts w:hint="eastAsia" w:ascii="宋体" w:hAnsi="宋体" w:eastAsia="宋体" w:cs="宋体"/>
          <w:sz w:val="24"/>
        </w:rPr>
        <w:t>）应提示公司董事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高级管理人员履行忠实</w:t>
      </w:r>
      <w:r>
        <w:rPr>
          <w:rFonts w:hint="eastAsia" w:ascii="宋体" w:hAnsi="宋体" w:eastAsia="宋体" w:cs="宋体"/>
          <w:sz w:val="10"/>
        </w:rPr>
        <w:t>、</w:t>
      </w:r>
      <w:r>
        <w:rPr>
          <w:rFonts w:hint="eastAsia" w:ascii="宋体" w:hAnsi="宋体" w:eastAsia="宋体" w:cs="宋体"/>
          <w:sz w:val="24"/>
        </w:rPr>
        <w:t>勤勉义务</w:t>
      </w:r>
      <w:r>
        <w:rPr>
          <w:rFonts w:hint="eastAsia" w:ascii="宋体" w:hAnsi="宋体" w:eastAsia="宋体" w:cs="宋体"/>
          <w:sz w:val="10"/>
        </w:rPr>
        <w:t>。</w:t>
      </w:r>
      <w:r>
        <w:rPr>
          <w:rFonts w:hint="eastAsia" w:ascii="宋体" w:hAnsi="宋体" w:eastAsia="宋体" w:cs="宋体"/>
          <w:sz w:val="24"/>
        </w:rPr>
        <w:t>如知悉前述人员违反相关法律法规</w:t>
      </w:r>
      <w:r>
        <w:rPr>
          <w:rFonts w:hint="eastAsia" w:ascii="宋体" w:hAnsi="宋体" w:eastAsia="宋体" w:cs="宋体"/>
          <w:sz w:val="10"/>
        </w:rPr>
        <w:t>、</w:t>
      </w:r>
      <w:r>
        <w:rPr>
          <w:rFonts w:hint="eastAsia" w:ascii="宋体" w:hAnsi="宋体" w:eastAsia="宋体" w:cs="宋体"/>
          <w:sz w:val="24"/>
        </w:rPr>
        <w:t>其他规范性文件或《公司章程》，</w:t>
      </w:r>
      <w:r>
        <w:rPr>
          <w:rFonts w:hint="eastAsia" w:ascii="宋体" w:hAnsi="宋体" w:eastAsia="宋体" w:cs="宋体"/>
          <w:sz w:val="24"/>
        </w:rPr>
        <w:t>做出或可能做出相关决策时</w:t>
      </w:r>
      <w:r>
        <w:rPr>
          <w:rFonts w:hint="eastAsia" w:ascii="宋体" w:hAnsi="宋体" w:eastAsia="宋体" w:cs="宋体"/>
          <w:sz w:val="10"/>
        </w:rPr>
        <w:t>，</w:t>
      </w:r>
      <w:r>
        <w:rPr>
          <w:rFonts w:hint="eastAsia" w:ascii="宋体" w:hAnsi="宋体" w:eastAsia="宋体" w:cs="宋体"/>
          <w:sz w:val="24"/>
        </w:rPr>
        <w:t>应当予以警示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w:t>
      </w:r>
      <w:r>
        <w:rPr>
          <w:rFonts w:hint="eastAsia" w:ascii="Times New Roman" w:hAnsi="Times New Roman" w:eastAsia="Times New Roman" w:cs="Times New Roman"/>
          <w:sz w:val="24"/>
        </w:rPr>
        <w:t>8</w:t>
      </w:r>
      <w:r>
        <w:rPr>
          <w:rFonts w:hint="eastAsia" w:ascii="宋体" w:hAnsi="宋体" w:eastAsia="宋体" w:cs="宋体"/>
          <w:sz w:val="24"/>
        </w:rPr>
        <w:t>）应履行《公司法》等相关法律法规要求履行的其他职责</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1-1-205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董事会秘书制度运作情况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公司董事会秘书严格按照《公司章程》和《董事会秘书工作细则》的有关规定开展工作</w:t>
      </w:r>
      <w:r>
        <w:rPr>
          <w:rFonts w:hint="eastAsia" w:ascii="宋体" w:hAnsi="宋体" w:eastAsia="宋体" w:cs="宋体"/>
          <w:sz w:val="10"/>
        </w:rPr>
        <w:t>，</w:t>
      </w:r>
      <w:r>
        <w:rPr>
          <w:rFonts w:hint="eastAsia" w:ascii="宋体" w:hAnsi="宋体" w:eastAsia="宋体" w:cs="宋体"/>
          <w:sz w:val="24"/>
        </w:rPr>
        <w:t>出席了报告期内公司历次董事会</w:t>
      </w:r>
      <w:r>
        <w:rPr>
          <w:rFonts w:hint="eastAsia" w:ascii="宋体" w:hAnsi="宋体" w:eastAsia="宋体" w:cs="宋体"/>
          <w:sz w:val="10"/>
        </w:rPr>
        <w:t>、</w:t>
      </w:r>
      <w:r>
        <w:rPr>
          <w:rFonts w:hint="eastAsia" w:ascii="宋体" w:hAnsi="宋体" w:eastAsia="宋体" w:cs="宋体"/>
          <w:sz w:val="24"/>
        </w:rPr>
        <w:t>股东大会</w:t>
      </w:r>
      <w:r>
        <w:rPr>
          <w:rFonts w:hint="eastAsia" w:ascii="宋体" w:hAnsi="宋体" w:eastAsia="宋体" w:cs="宋体"/>
          <w:sz w:val="10"/>
        </w:rPr>
        <w:t>，</w:t>
      </w:r>
      <w:r>
        <w:rPr>
          <w:rFonts w:hint="eastAsia" w:ascii="宋体" w:hAnsi="宋体" w:eastAsia="宋体" w:cs="宋体"/>
          <w:sz w:val="24"/>
        </w:rPr>
        <w:t>并按照《公司章程》的有关规定完成相关会议记录</w:t>
      </w:r>
      <w:r>
        <w:rPr>
          <w:rFonts w:hint="eastAsia" w:ascii="宋体" w:hAnsi="宋体" w:eastAsia="宋体" w:cs="宋体"/>
          <w:sz w:val="10"/>
        </w:rPr>
        <w:t>。</w:t>
      </w:r>
      <w:r>
        <w:rPr>
          <w:rFonts w:hint="eastAsia" w:ascii="宋体" w:hAnsi="宋体" w:eastAsia="宋体" w:cs="宋体"/>
          <w:sz w:val="24"/>
        </w:rPr>
        <w:t>历次董事会</w:t>
      </w:r>
      <w:r>
        <w:rPr>
          <w:rFonts w:hint="eastAsia" w:ascii="宋体" w:hAnsi="宋体" w:eastAsia="宋体" w:cs="宋体"/>
          <w:sz w:val="10"/>
        </w:rPr>
        <w:t>、</w:t>
      </w:r>
      <w:r>
        <w:rPr>
          <w:rFonts w:hint="eastAsia" w:ascii="宋体" w:hAnsi="宋体" w:eastAsia="宋体" w:cs="宋体"/>
          <w:sz w:val="24"/>
        </w:rPr>
        <w:t>股东大会召开前</w:t>
      </w:r>
      <w:r>
        <w:rPr>
          <w:rFonts w:hint="eastAsia" w:ascii="宋体" w:hAnsi="宋体" w:eastAsia="宋体" w:cs="宋体"/>
          <w:sz w:val="10"/>
        </w:rPr>
        <w:t>，</w:t>
      </w:r>
      <w:r>
        <w:rPr>
          <w:rFonts w:hint="eastAsia" w:ascii="宋体" w:hAnsi="宋体" w:eastAsia="宋体" w:cs="宋体"/>
          <w:sz w:val="24"/>
        </w:rPr>
        <w:t>董事会秘书均按照《公司章程》的有关规定为董事提供会议材料</w:t>
      </w:r>
      <w:r>
        <w:rPr>
          <w:rFonts w:hint="eastAsia" w:ascii="宋体" w:hAnsi="宋体" w:eastAsia="宋体" w:cs="宋体"/>
          <w:sz w:val="10"/>
        </w:rPr>
        <w:t>、</w:t>
      </w:r>
      <w:r>
        <w:rPr>
          <w:rFonts w:hint="eastAsia" w:ascii="宋体" w:hAnsi="宋体" w:eastAsia="宋体" w:cs="宋体"/>
          <w:sz w:val="24"/>
        </w:rPr>
        <w:t>会议通知等相关文件</w:t>
      </w:r>
      <w:r>
        <w:rPr>
          <w:rFonts w:hint="eastAsia" w:ascii="宋体" w:hAnsi="宋体" w:eastAsia="宋体" w:cs="宋体"/>
          <w:sz w:val="10"/>
        </w:rPr>
        <w:t>，</w:t>
      </w:r>
      <w:r>
        <w:rPr>
          <w:rFonts w:hint="eastAsia" w:ascii="宋体" w:hAnsi="宋体" w:eastAsia="宋体" w:cs="宋体"/>
          <w:sz w:val="24"/>
        </w:rPr>
        <w:t>认真地履行了相关职责</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（六）董事会下设专门委员会的设置及运行情况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40" w:firstLine="480"/>
        <w:jc w:val="both"/>
      </w:pPr>
      <w:r>
        <w:rPr>
          <w:rFonts w:hint="eastAsia" w:ascii="宋体" w:hAnsi="宋体" w:eastAsia="宋体" w:cs="宋体"/>
          <w:sz w:val="24"/>
        </w:rPr>
        <w:t>发行人董事会下设审计委员会</w:t>
      </w:r>
      <w:r>
        <w:rPr>
          <w:rFonts w:hint="eastAsia" w:ascii="宋体" w:hAnsi="宋体" w:eastAsia="宋体" w:cs="宋体"/>
          <w:sz w:val="10"/>
        </w:rPr>
        <w:t>、</w:t>
      </w:r>
      <w:r>
        <w:rPr>
          <w:rFonts w:hint="eastAsia" w:ascii="宋体" w:hAnsi="宋体" w:eastAsia="宋体" w:cs="宋体"/>
          <w:sz w:val="24"/>
        </w:rPr>
        <w:t>战略委员会</w:t>
      </w:r>
      <w:r>
        <w:rPr>
          <w:rFonts w:hint="eastAsia" w:ascii="宋体" w:hAnsi="宋体" w:eastAsia="宋体" w:cs="宋体"/>
          <w:sz w:val="10"/>
        </w:rPr>
        <w:t>、</w:t>
      </w:r>
      <w:r>
        <w:rPr>
          <w:rFonts w:hint="eastAsia" w:ascii="宋体" w:hAnsi="宋体" w:eastAsia="宋体" w:cs="宋体"/>
          <w:sz w:val="24"/>
        </w:rPr>
        <w:t>提名委员会</w:t>
      </w:r>
      <w:r>
        <w:rPr>
          <w:rFonts w:hint="eastAsia" w:ascii="宋体" w:hAnsi="宋体" w:eastAsia="宋体" w:cs="宋体"/>
          <w:sz w:val="10"/>
        </w:rPr>
        <w:t>、</w:t>
      </w:r>
      <w:r>
        <w:rPr>
          <w:rFonts w:hint="eastAsia" w:ascii="宋体" w:hAnsi="宋体" w:eastAsia="宋体" w:cs="宋体"/>
          <w:sz w:val="24"/>
        </w:rPr>
        <w:t>薪酬和考核委员会等专门委员会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审计委员会人员构成及运行情况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审计委员会主要职责为</w:t>
      </w:r>
      <w:r>
        <w:rPr>
          <w:rFonts w:hint="eastAsia" w:ascii="宋体" w:hAnsi="宋体" w:eastAsia="宋体" w:cs="宋体"/>
          <w:sz w:val="12"/>
        </w:rPr>
        <w:t>：</w:t>
      </w:r>
      <w:r>
        <w:rPr>
          <w:rFonts w:hint="eastAsia" w:ascii="宋体" w:hAnsi="宋体" w:eastAsia="宋体" w:cs="宋体"/>
          <w:sz w:val="24"/>
        </w:rPr>
        <w:t>提议聘请或更换外部审计机构</w:t>
      </w:r>
      <w:r>
        <w:rPr>
          <w:rFonts w:hint="eastAsia" w:ascii="宋体" w:hAnsi="宋体" w:eastAsia="宋体" w:cs="宋体"/>
          <w:sz w:val="14"/>
        </w:rPr>
        <w:t>；</w:t>
      </w:r>
      <w:r>
        <w:rPr>
          <w:rFonts w:hint="eastAsia" w:ascii="宋体" w:hAnsi="宋体" w:eastAsia="宋体" w:cs="宋体"/>
          <w:sz w:val="24"/>
        </w:rPr>
        <w:t>监督公司的内部审计制度及其实施</w:t>
      </w:r>
      <w:r>
        <w:rPr>
          <w:rFonts w:hint="eastAsia" w:ascii="宋体" w:hAnsi="宋体" w:eastAsia="宋体" w:cs="宋体"/>
          <w:sz w:val="12"/>
        </w:rPr>
        <w:t>；</w:t>
      </w:r>
      <w:r>
        <w:rPr>
          <w:rFonts w:hint="eastAsia" w:ascii="宋体" w:hAnsi="宋体" w:eastAsia="宋体" w:cs="宋体"/>
          <w:sz w:val="24"/>
        </w:rPr>
        <w:t>负责内部审计与外部审计之间的沟通</w:t>
      </w:r>
      <w:r>
        <w:rPr>
          <w:rFonts w:hint="eastAsia" w:ascii="宋体" w:hAnsi="宋体" w:eastAsia="宋体" w:cs="宋体"/>
          <w:sz w:val="12"/>
        </w:rPr>
        <w:t>；</w:t>
      </w:r>
      <w:r>
        <w:rPr>
          <w:rFonts w:hint="eastAsia" w:ascii="宋体" w:hAnsi="宋体" w:eastAsia="宋体" w:cs="宋体"/>
          <w:sz w:val="24"/>
        </w:rPr>
        <w:t>审核公司的财务信息</w:t>
      </w:r>
      <w:r>
        <w:rPr>
          <w:rFonts w:hint="eastAsia" w:ascii="宋体" w:hAnsi="宋体" w:eastAsia="宋体" w:cs="宋体"/>
          <w:sz w:val="12"/>
        </w:rPr>
        <w:t>；</w:t>
      </w:r>
      <w:r>
        <w:rPr>
          <w:rFonts w:hint="eastAsia" w:ascii="宋体" w:hAnsi="宋体" w:eastAsia="宋体" w:cs="宋体"/>
          <w:sz w:val="24"/>
        </w:rPr>
        <w:t>审查公司内控制度的有效性</w:t>
      </w:r>
      <w:r>
        <w:rPr>
          <w:rFonts w:hint="eastAsia" w:ascii="宋体" w:hAnsi="宋体" w:eastAsia="宋体" w:cs="宋体"/>
          <w:sz w:val="12"/>
        </w:rPr>
        <w:t>；</w:t>
      </w:r>
      <w:r>
        <w:rPr>
          <w:rFonts w:hint="eastAsia" w:ascii="宋体" w:hAnsi="宋体" w:eastAsia="宋体" w:cs="宋体"/>
          <w:sz w:val="24"/>
        </w:rPr>
        <w:t>对重大关联交易进行审计和评价</w:t>
      </w:r>
      <w:r>
        <w:rPr>
          <w:rFonts w:hint="eastAsia" w:ascii="宋体" w:hAnsi="宋体" w:eastAsia="宋体" w:cs="宋体"/>
          <w:sz w:val="12"/>
        </w:rPr>
        <w:t>；</w:t>
      </w:r>
      <w:r>
        <w:rPr>
          <w:rFonts w:hint="eastAsia" w:ascii="宋体" w:hAnsi="宋体" w:eastAsia="宋体" w:cs="宋体"/>
          <w:sz w:val="24"/>
        </w:rPr>
        <w:t>完成董事会交办的其他工作</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2011</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公司召开第五届董事会第一次会议</w:t>
      </w:r>
      <w:r>
        <w:rPr>
          <w:rFonts w:hint="eastAsia" w:ascii="宋体" w:hAnsi="宋体" w:eastAsia="宋体" w:cs="宋体"/>
          <w:sz w:val="10"/>
        </w:rPr>
        <w:t>，</w:t>
      </w:r>
      <w:r>
        <w:rPr>
          <w:rFonts w:hint="eastAsia" w:ascii="宋体" w:hAnsi="宋体" w:eastAsia="宋体" w:cs="宋体"/>
          <w:sz w:val="24"/>
        </w:rPr>
        <w:t>同意设立董事会审计委员会</w:t>
      </w:r>
      <w:r>
        <w:rPr>
          <w:rFonts w:hint="eastAsia" w:ascii="宋体" w:hAnsi="宋体" w:eastAsia="宋体" w:cs="宋体"/>
          <w:sz w:val="10"/>
        </w:rPr>
        <w:t>，</w:t>
      </w:r>
      <w:r>
        <w:rPr>
          <w:rFonts w:hint="eastAsia" w:ascii="宋体" w:hAnsi="宋体" w:eastAsia="宋体" w:cs="宋体"/>
          <w:sz w:val="24"/>
        </w:rPr>
        <w:t>选举许萍</w:t>
      </w:r>
      <w:r>
        <w:rPr>
          <w:rFonts w:hint="eastAsia" w:ascii="宋体" w:hAnsi="宋体" w:eastAsia="宋体" w:cs="宋体"/>
          <w:sz w:val="10"/>
        </w:rPr>
        <w:t>、</w:t>
      </w:r>
      <w:r>
        <w:rPr>
          <w:rFonts w:hint="eastAsia" w:ascii="宋体" w:hAnsi="宋体" w:eastAsia="宋体" w:cs="宋体"/>
          <w:sz w:val="24"/>
        </w:rPr>
        <w:t>卢建康</w:t>
      </w:r>
      <w:r>
        <w:rPr>
          <w:rFonts w:hint="eastAsia" w:ascii="宋体" w:hAnsi="宋体" w:eastAsia="宋体" w:cs="宋体"/>
          <w:sz w:val="10"/>
        </w:rPr>
        <w:t>、</w:t>
      </w:r>
      <w:r>
        <w:rPr>
          <w:rFonts w:hint="eastAsia" w:ascii="宋体" w:hAnsi="宋体" w:eastAsia="宋体" w:cs="宋体"/>
          <w:sz w:val="24"/>
        </w:rPr>
        <w:t>严孟宇为审计委员会委员</w:t>
      </w:r>
      <w:r>
        <w:rPr>
          <w:rFonts w:hint="eastAsia" w:ascii="宋体" w:hAnsi="宋体" w:eastAsia="宋体" w:cs="宋体"/>
          <w:sz w:val="12"/>
        </w:rPr>
        <w:t>；</w:t>
      </w:r>
      <w:r>
        <w:rPr>
          <w:rFonts w:hint="eastAsia" w:ascii="宋体" w:hAnsi="宋体" w:eastAsia="宋体" w:cs="宋体"/>
          <w:sz w:val="24"/>
        </w:rPr>
        <w:t>其中许萍</w:t>
      </w:r>
      <w:r>
        <w:rPr>
          <w:rFonts w:hint="eastAsia" w:ascii="宋体" w:hAnsi="宋体" w:eastAsia="宋体" w:cs="宋体"/>
          <w:sz w:val="10"/>
        </w:rPr>
        <w:t>、</w:t>
      </w:r>
      <w:r>
        <w:rPr>
          <w:rFonts w:hint="eastAsia" w:ascii="宋体" w:hAnsi="宋体" w:eastAsia="宋体" w:cs="宋体"/>
          <w:sz w:val="24"/>
        </w:rPr>
        <w:t>卢建康为独立董事</w:t>
      </w:r>
      <w:r>
        <w:rPr>
          <w:rFonts w:hint="eastAsia" w:ascii="宋体" w:hAnsi="宋体" w:eastAsia="宋体" w:cs="宋体"/>
          <w:sz w:val="10"/>
        </w:rPr>
        <w:t>，</w:t>
      </w:r>
      <w:r>
        <w:rPr>
          <w:rFonts w:hint="eastAsia" w:ascii="宋体" w:hAnsi="宋体" w:eastAsia="宋体" w:cs="宋体"/>
          <w:sz w:val="24"/>
        </w:rPr>
        <w:t>许萍为会计专业人士</w:t>
      </w:r>
      <w:r>
        <w:rPr>
          <w:rFonts w:hint="eastAsia" w:ascii="宋体" w:hAnsi="宋体" w:eastAsia="宋体" w:cs="宋体"/>
          <w:sz w:val="10"/>
        </w:rPr>
        <w:t>。</w:t>
      </w:r>
      <w:r>
        <w:rPr>
          <w:rFonts w:hint="eastAsia" w:ascii="宋体" w:hAnsi="宋体" w:eastAsia="宋体" w:cs="宋体"/>
          <w:sz w:val="24"/>
        </w:rPr>
        <w:t>许萍为公司审计委员会主任委员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卢建康因个人原因辞去独立董事职务</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公司召开第六届董事会第七次会议</w:t>
      </w:r>
      <w:r>
        <w:rPr>
          <w:rFonts w:hint="eastAsia" w:ascii="宋体" w:hAnsi="宋体" w:eastAsia="宋体" w:cs="宋体"/>
          <w:sz w:val="10"/>
        </w:rPr>
        <w:t>，</w:t>
      </w:r>
      <w:r>
        <w:rPr>
          <w:rFonts w:hint="eastAsia" w:ascii="宋体" w:hAnsi="宋体" w:eastAsia="宋体" w:cs="宋体"/>
          <w:sz w:val="24"/>
        </w:rPr>
        <w:t>选举齐伟为公司审计委员会成员</w:t>
      </w:r>
      <w:r>
        <w:rPr>
          <w:rFonts w:hint="eastAsia" w:ascii="宋体" w:hAnsi="宋体" w:eastAsia="宋体" w:cs="宋体"/>
          <w:sz w:val="10"/>
        </w:rPr>
        <w:t>，</w:t>
      </w:r>
      <w:r>
        <w:rPr>
          <w:rFonts w:hint="eastAsia" w:ascii="宋体" w:hAnsi="宋体" w:eastAsia="宋体" w:cs="宋体"/>
          <w:sz w:val="24"/>
        </w:rPr>
        <w:t>齐伟为独立董事</w:t>
      </w:r>
      <w:r>
        <w:rPr>
          <w:rFonts w:hint="eastAsia" w:ascii="宋体" w:hAnsi="宋体" w:eastAsia="宋体" w:cs="宋体"/>
          <w:sz w:val="10"/>
        </w:rPr>
        <w:t>。</w:t>
      </w:r>
      <w:r>
        <w:rPr>
          <w:rFonts w:hint="eastAsia" w:ascii="宋体" w:hAnsi="宋体" w:eastAsia="宋体" w:cs="宋体"/>
          <w:sz w:val="24"/>
        </w:rPr>
        <w:t>许萍为公司审计委员会主任委员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许萍因个人原因辞去独立董事职务</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公司召开第六届董事会第十三次会议</w:t>
      </w:r>
      <w:r>
        <w:rPr>
          <w:rFonts w:hint="eastAsia" w:ascii="宋体" w:hAnsi="宋体" w:eastAsia="宋体" w:cs="宋体"/>
          <w:sz w:val="10"/>
        </w:rPr>
        <w:t>，</w:t>
      </w:r>
      <w:r>
        <w:rPr>
          <w:rFonts w:hint="eastAsia" w:ascii="宋体" w:hAnsi="宋体" w:eastAsia="宋体" w:cs="宋体"/>
          <w:sz w:val="24"/>
        </w:rPr>
        <w:t>选举徐青为公司审计委员会主任委员</w:t>
      </w:r>
      <w:r>
        <w:rPr>
          <w:rFonts w:hint="eastAsia" w:ascii="宋体" w:hAnsi="宋体" w:eastAsia="宋体" w:cs="宋体"/>
          <w:sz w:val="10"/>
        </w:rPr>
        <w:t>，</w:t>
      </w:r>
      <w:r>
        <w:rPr>
          <w:rFonts w:hint="eastAsia" w:ascii="宋体" w:hAnsi="宋体" w:eastAsia="宋体" w:cs="宋体"/>
          <w:sz w:val="24"/>
        </w:rPr>
        <w:t>徐青为独立董事</w:t>
      </w:r>
      <w:r>
        <w:rPr>
          <w:rFonts w:hint="eastAsia" w:ascii="宋体" w:hAnsi="宋体" w:eastAsia="宋体" w:cs="宋体"/>
          <w:sz w:val="10"/>
        </w:rPr>
        <w:t>、</w:t>
      </w:r>
      <w:r>
        <w:rPr>
          <w:rFonts w:hint="eastAsia" w:ascii="宋体" w:hAnsi="宋体" w:eastAsia="宋体" w:cs="宋体"/>
          <w:sz w:val="24"/>
        </w:rPr>
        <w:t>会计专业人士</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自发行人设立至本招股说明书签署日</w:t>
      </w:r>
      <w:r>
        <w:rPr>
          <w:rFonts w:hint="eastAsia" w:ascii="宋体" w:hAnsi="宋体" w:eastAsia="宋体" w:cs="宋体"/>
          <w:sz w:val="10"/>
        </w:rPr>
        <w:t>，</w:t>
      </w:r>
      <w:r>
        <w:rPr>
          <w:rFonts w:hint="eastAsia" w:ascii="宋体" w:hAnsi="宋体" w:eastAsia="宋体" w:cs="宋体"/>
          <w:sz w:val="24"/>
        </w:rPr>
        <w:t>审计委员会共计召开</w:t>
      </w:r>
      <w:r>
        <w:rPr>
          <w:rFonts w:hint="eastAsia" w:ascii="Times New Roman" w:hAnsi="Times New Roman" w:eastAsia="Times New Roman" w:cs="Times New Roman"/>
          <w:sz w:val="24"/>
        </w:rPr>
        <w:t xml:space="preserve"> 14</w:t>
      </w:r>
      <w:r>
        <w:rPr>
          <w:rFonts w:hint="eastAsia" w:ascii="宋体" w:hAnsi="宋体" w:eastAsia="宋体" w:cs="宋体"/>
          <w:sz w:val="24"/>
        </w:rPr>
        <w:t xml:space="preserve"> 次会议</w:t>
      </w:r>
      <w:r>
        <w:rPr>
          <w:rFonts w:hint="eastAsia" w:ascii="宋体" w:hAnsi="宋体" w:eastAsia="宋体" w:cs="宋体"/>
          <w:sz w:val="10"/>
        </w:rPr>
        <w:t>，</w:t>
      </w:r>
      <w:r>
        <w:rPr>
          <w:rFonts w:hint="eastAsia" w:ascii="宋体" w:hAnsi="宋体" w:eastAsia="宋体" w:cs="宋体"/>
          <w:sz w:val="24"/>
        </w:rPr>
        <w:t>会议召集程序</w:t>
      </w:r>
      <w:r>
        <w:rPr>
          <w:rFonts w:hint="eastAsia" w:ascii="宋体" w:hAnsi="宋体" w:eastAsia="宋体" w:cs="宋体"/>
          <w:sz w:val="10"/>
        </w:rPr>
        <w:t>、</w:t>
      </w:r>
      <w:r>
        <w:rPr>
          <w:rFonts w:hint="eastAsia" w:ascii="宋体" w:hAnsi="宋体" w:eastAsia="宋体" w:cs="宋体"/>
          <w:sz w:val="24"/>
        </w:rPr>
        <w:t>表决方式和审议内容符合《公司章程》以及《董事会审计委员会工作细则》的规定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1-1-206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战略委员会人员构成及运行情况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宋体" w:hAnsi="宋体" w:eastAsia="宋体" w:cs="宋体"/>
          <w:sz w:val="24"/>
        </w:rPr>
        <w:t>战略委员会主要职责为</w:t>
      </w:r>
      <w:r>
        <w:rPr>
          <w:rFonts w:hint="eastAsia" w:ascii="宋体" w:hAnsi="宋体" w:eastAsia="宋体" w:cs="宋体"/>
          <w:sz w:val="12"/>
        </w:rPr>
        <w:t>：</w:t>
      </w:r>
      <w:r>
        <w:rPr>
          <w:rFonts w:hint="eastAsia" w:ascii="宋体" w:hAnsi="宋体" w:eastAsia="宋体" w:cs="宋体"/>
          <w:sz w:val="24"/>
        </w:rPr>
        <w:t>对公司长期发展战略和重大投资决策进行研究并提出建议</w:t>
      </w:r>
      <w:r>
        <w:rPr>
          <w:rFonts w:hint="eastAsia" w:ascii="宋体" w:hAnsi="宋体" w:eastAsia="宋体" w:cs="宋体"/>
          <w:sz w:val="12"/>
        </w:rPr>
        <w:t>；</w:t>
      </w:r>
      <w:r>
        <w:rPr>
          <w:rFonts w:hint="eastAsia" w:ascii="宋体" w:hAnsi="宋体" w:eastAsia="宋体" w:cs="宋体"/>
          <w:sz w:val="24"/>
        </w:rPr>
        <w:t>提议制定投资方案</w:t>
      </w:r>
      <w:r>
        <w:rPr>
          <w:rFonts w:hint="eastAsia" w:ascii="宋体" w:hAnsi="宋体" w:eastAsia="宋体" w:cs="宋体"/>
          <w:sz w:val="12"/>
        </w:rPr>
        <w:t>；</w:t>
      </w:r>
      <w:r>
        <w:rPr>
          <w:rFonts w:hint="eastAsia" w:ascii="宋体" w:hAnsi="宋体" w:eastAsia="宋体" w:cs="宋体"/>
          <w:sz w:val="24"/>
        </w:rPr>
        <w:t>审批董事会授权的投资事项</w:t>
      </w:r>
      <w:r>
        <w:rPr>
          <w:rFonts w:hint="eastAsia" w:ascii="宋体" w:hAnsi="宋体" w:eastAsia="宋体" w:cs="宋体"/>
          <w:sz w:val="12"/>
        </w:rPr>
        <w:t>；</w:t>
      </w:r>
      <w:r>
        <w:rPr>
          <w:rFonts w:hint="eastAsia" w:ascii="宋体" w:hAnsi="宋体" w:eastAsia="宋体" w:cs="宋体"/>
          <w:sz w:val="24"/>
        </w:rPr>
        <w:t>完成董事会交办的其他工作</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800" w:right="1600" w:firstLine="480"/>
        <w:jc w:val="both"/>
      </w:pPr>
      <w:r>
        <w:rPr>
          <w:rFonts w:hint="eastAsia" w:ascii="Times New Roman" w:hAnsi="Times New Roman" w:eastAsia="Times New Roman" w:cs="Times New Roman"/>
          <w:sz w:val="24"/>
        </w:rPr>
        <w:t>2011</w:t>
      </w:r>
      <w:r>
        <w:rPr>
          <w:rFonts w:hint="eastAsia" w:ascii="宋体" w:hAnsi="宋体" w:eastAsia="宋体" w:cs="宋体"/>
          <w:sz w:val="24"/>
        </w:rPr>
        <w:t>年</w:t>
      </w:r>
      <w:r>
        <w:rPr>
          <w:rFonts w:hint="eastAsia" w:ascii="Times New Roman" w:hAnsi="Times New Roman" w:eastAsia="Times New Roman" w:cs="Times New Roman"/>
          <w:sz w:val="24"/>
        </w:rPr>
        <w:t>8</w:t>
      </w:r>
      <w:r>
        <w:rPr>
          <w:rFonts w:hint="eastAsia" w:ascii="宋体" w:hAnsi="宋体" w:eastAsia="宋体" w:cs="宋体"/>
          <w:sz w:val="24"/>
        </w:rPr>
        <w:t>月</w:t>
      </w:r>
      <w:r>
        <w:rPr>
          <w:rFonts w:hint="eastAsia" w:ascii="Times New Roman" w:hAnsi="Times New Roman" w:eastAsia="Times New Roman" w:cs="Times New Roman"/>
          <w:sz w:val="24"/>
        </w:rPr>
        <w:t>8</w:t>
      </w:r>
      <w:r>
        <w:rPr>
          <w:rFonts w:hint="eastAsia" w:ascii="宋体" w:hAnsi="宋体" w:eastAsia="宋体" w:cs="宋体"/>
          <w:sz w:val="24"/>
        </w:rPr>
        <w:t>日</w:t>
      </w:r>
      <w:r>
        <w:rPr>
          <w:rFonts w:hint="eastAsia" w:ascii="宋体" w:hAnsi="宋体" w:eastAsia="宋体" w:cs="宋体"/>
          <w:sz w:val="10"/>
        </w:rPr>
        <w:t>，</w:t>
      </w:r>
      <w:r>
        <w:rPr>
          <w:rFonts w:hint="eastAsia" w:ascii="宋体" w:hAnsi="宋体" w:eastAsia="宋体" w:cs="宋体"/>
          <w:sz w:val="24"/>
        </w:rPr>
        <w:t>公司召开第五届董事会第一次会议</w:t>
      </w:r>
      <w:r>
        <w:rPr>
          <w:rFonts w:hint="eastAsia" w:ascii="宋体" w:hAnsi="宋体" w:eastAsia="宋体" w:cs="宋体"/>
          <w:sz w:val="10"/>
        </w:rPr>
        <w:t>，</w:t>
      </w:r>
      <w:r>
        <w:rPr>
          <w:rFonts w:hint="eastAsia" w:ascii="宋体" w:hAnsi="宋体" w:eastAsia="宋体" w:cs="宋体"/>
          <w:sz w:val="24"/>
        </w:rPr>
        <w:t>同意设立董事会战略委员会</w:t>
      </w:r>
      <w:r>
        <w:rPr>
          <w:rFonts w:hint="eastAsia" w:ascii="宋体" w:hAnsi="宋体" w:eastAsia="宋体" w:cs="宋体"/>
          <w:sz w:val="10"/>
        </w:rPr>
        <w:t>，</w:t>
      </w:r>
      <w:r>
        <w:rPr>
          <w:rFonts w:hint="eastAsia" w:ascii="宋体" w:hAnsi="宋体" w:eastAsia="宋体" w:cs="宋体"/>
          <w:sz w:val="24"/>
        </w:rPr>
        <w:t>选举方加春</w:t>
      </w:r>
      <w:r>
        <w:rPr>
          <w:rFonts w:hint="eastAsia" w:ascii="宋体" w:hAnsi="宋体" w:eastAsia="宋体" w:cs="宋体"/>
          <w:sz w:val="10"/>
        </w:rPr>
        <w:t>、</w:t>
      </w:r>
      <w:r>
        <w:rPr>
          <w:rFonts w:hint="eastAsia" w:ascii="宋体" w:hAnsi="宋体" w:eastAsia="宋体" w:cs="宋体"/>
          <w:sz w:val="24"/>
        </w:rPr>
        <w:t>严孟宇</w:t>
      </w:r>
      <w:r>
        <w:rPr>
          <w:rFonts w:hint="eastAsia" w:ascii="宋体" w:hAnsi="宋体" w:eastAsia="宋体" w:cs="宋体"/>
          <w:sz w:val="10"/>
        </w:rPr>
        <w:t>、</w:t>
      </w:r>
      <w:r>
        <w:rPr>
          <w:rFonts w:hint="eastAsia" w:ascii="宋体" w:hAnsi="宋体" w:eastAsia="宋体" w:cs="宋体"/>
          <w:sz w:val="24"/>
        </w:rPr>
        <w:t>赵伟为战略委员会委员</w:t>
      </w:r>
      <w:r>
        <w:rPr>
          <w:rFonts w:hint="eastAsia" w:ascii="宋体" w:hAnsi="宋体" w:eastAsia="宋体" w:cs="宋体"/>
          <w:sz w:val="12"/>
        </w:rPr>
        <w:t>；</w:t>
      </w:r>
      <w:r>
        <w:rPr>
          <w:rFonts w:hint="eastAsia" w:ascii="宋体" w:hAnsi="宋体" w:eastAsia="宋体" w:cs="宋体"/>
          <w:sz w:val="24"/>
        </w:rPr>
        <w:t>其中方加春为独立董事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24"/>
        </w:rPr>
        <w:t>严孟宇为公司战略委员会主任委员</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方加春因个人原因辞去独立董事职务</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公司召开第六届董事会第七次会议</w:t>
      </w:r>
      <w:r>
        <w:rPr>
          <w:rFonts w:hint="eastAsia" w:ascii="宋体" w:hAnsi="宋体" w:eastAsia="宋体" w:cs="宋体"/>
          <w:sz w:val="10"/>
        </w:rPr>
        <w:t>，</w:t>
      </w:r>
      <w:r>
        <w:rPr>
          <w:rFonts w:hint="eastAsia" w:ascii="宋体" w:hAnsi="宋体" w:eastAsia="宋体" w:cs="宋体"/>
          <w:sz w:val="24"/>
        </w:rPr>
        <w:t>选举叶东毅为公司战略委员会成员</w:t>
      </w:r>
      <w:r>
        <w:rPr>
          <w:rFonts w:hint="eastAsia" w:ascii="宋体" w:hAnsi="宋体" w:eastAsia="宋体" w:cs="宋体"/>
          <w:sz w:val="10"/>
        </w:rPr>
        <w:t>，</w:t>
      </w:r>
      <w:r>
        <w:rPr>
          <w:rFonts w:hint="eastAsia" w:ascii="宋体" w:hAnsi="宋体" w:eastAsia="宋体" w:cs="宋体"/>
          <w:sz w:val="24"/>
        </w:rPr>
        <w:t>叶东毅为独立董事</w:t>
      </w:r>
      <w:r>
        <w:rPr>
          <w:rFonts w:hint="eastAsia" w:ascii="宋体" w:hAnsi="宋体" w:eastAsia="宋体" w:cs="宋体"/>
          <w:sz w:val="10"/>
        </w:rPr>
        <w:t>。</w:t>
      </w:r>
      <w:r>
        <w:rPr>
          <w:rFonts w:hint="eastAsia" w:ascii="宋体" w:hAnsi="宋体" w:eastAsia="宋体" w:cs="宋体"/>
          <w:sz w:val="24"/>
        </w:rPr>
        <w:t>严孟宇为公司战略委员会主任委员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自本公司设立至本招股说明书签署日</w:t>
      </w:r>
      <w:r>
        <w:rPr>
          <w:rFonts w:hint="eastAsia" w:ascii="宋体" w:hAnsi="宋体" w:eastAsia="宋体" w:cs="宋体"/>
          <w:sz w:val="10"/>
        </w:rPr>
        <w:t>，</w:t>
      </w:r>
      <w:r>
        <w:rPr>
          <w:rFonts w:hint="eastAsia" w:ascii="宋体" w:hAnsi="宋体" w:eastAsia="宋体" w:cs="宋体"/>
          <w:sz w:val="24"/>
        </w:rPr>
        <w:t>战略委员会共计召开</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次会议</w:t>
      </w:r>
      <w:r>
        <w:rPr>
          <w:rFonts w:hint="eastAsia" w:ascii="宋体" w:hAnsi="宋体" w:eastAsia="宋体" w:cs="宋体"/>
          <w:sz w:val="10"/>
        </w:rPr>
        <w:t>，</w:t>
      </w:r>
      <w:r>
        <w:rPr>
          <w:rFonts w:hint="eastAsia" w:ascii="宋体" w:hAnsi="宋体" w:eastAsia="宋体" w:cs="宋体"/>
          <w:sz w:val="24"/>
        </w:rPr>
        <w:t>会议召集程序</w:t>
      </w:r>
      <w:r>
        <w:rPr>
          <w:rFonts w:hint="eastAsia" w:ascii="宋体" w:hAnsi="宋体" w:eastAsia="宋体" w:cs="宋体"/>
          <w:sz w:val="10"/>
        </w:rPr>
        <w:t>、</w:t>
      </w:r>
      <w:r>
        <w:rPr>
          <w:rFonts w:hint="eastAsia" w:ascii="宋体" w:hAnsi="宋体" w:eastAsia="宋体" w:cs="宋体"/>
          <w:sz w:val="24"/>
        </w:rPr>
        <w:t>表决方式和审议内容符合《公司章程》以及《董事会战略委员会工作细则》的规定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提名委员会人员构成及运行情况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提名委员会主要职责为</w:t>
      </w:r>
      <w:r>
        <w:rPr>
          <w:rFonts w:hint="eastAsia" w:ascii="宋体" w:hAnsi="宋体" w:eastAsia="宋体" w:cs="宋体"/>
          <w:sz w:val="10"/>
        </w:rPr>
        <w:t>：</w:t>
      </w:r>
      <w:r>
        <w:rPr>
          <w:rFonts w:hint="eastAsia" w:ascii="宋体" w:hAnsi="宋体" w:eastAsia="宋体" w:cs="宋体"/>
          <w:sz w:val="24"/>
        </w:rPr>
        <w:t>组织拟订董事和高级管理人员的选任标准和程序</w:t>
      </w:r>
      <w:r>
        <w:rPr>
          <w:rFonts w:hint="eastAsia" w:ascii="宋体" w:hAnsi="宋体" w:eastAsia="宋体" w:cs="宋体"/>
          <w:sz w:val="10"/>
        </w:rPr>
        <w:t>，</w:t>
      </w:r>
      <w:r>
        <w:rPr>
          <w:rFonts w:hint="eastAsia" w:ascii="宋体" w:hAnsi="宋体" w:eastAsia="宋体" w:cs="宋体"/>
          <w:sz w:val="24"/>
        </w:rPr>
        <w:t>提请董事会决定</w:t>
      </w:r>
      <w:r>
        <w:rPr>
          <w:rFonts w:hint="eastAsia" w:ascii="宋体" w:hAnsi="宋体" w:eastAsia="宋体" w:cs="宋体"/>
          <w:sz w:val="12"/>
        </w:rPr>
        <w:t>；</w:t>
      </w:r>
      <w:r>
        <w:rPr>
          <w:rFonts w:hint="eastAsia" w:ascii="宋体" w:hAnsi="宋体" w:eastAsia="宋体" w:cs="宋体"/>
          <w:sz w:val="24"/>
        </w:rPr>
        <w:t>就董事候选人</w:t>
      </w:r>
      <w:r>
        <w:rPr>
          <w:rFonts w:hint="eastAsia" w:ascii="宋体" w:hAnsi="宋体" w:eastAsia="宋体" w:cs="宋体"/>
          <w:sz w:val="10"/>
        </w:rPr>
        <w:t>、</w:t>
      </w:r>
      <w:r>
        <w:rPr>
          <w:rFonts w:hint="eastAsia" w:ascii="宋体" w:hAnsi="宋体" w:eastAsia="宋体" w:cs="宋体"/>
          <w:sz w:val="24"/>
        </w:rPr>
        <w:t>总经理人选</w:t>
      </w:r>
      <w:r>
        <w:rPr>
          <w:rFonts w:hint="eastAsia" w:ascii="宋体" w:hAnsi="宋体" w:eastAsia="宋体" w:cs="宋体"/>
          <w:sz w:val="10"/>
        </w:rPr>
        <w:t>、</w:t>
      </w:r>
      <w:r>
        <w:rPr>
          <w:rFonts w:hint="eastAsia" w:ascii="宋体" w:hAnsi="宋体" w:eastAsia="宋体" w:cs="宋体"/>
          <w:sz w:val="24"/>
        </w:rPr>
        <w:t>董事会其他专门委员会委员人选和董事会秘书人选向董事会提出建议</w:t>
      </w:r>
      <w:r>
        <w:rPr>
          <w:rFonts w:hint="eastAsia" w:ascii="宋体" w:hAnsi="宋体" w:eastAsia="宋体" w:cs="宋体"/>
          <w:sz w:val="14"/>
        </w:rPr>
        <w:t>；</w:t>
      </w:r>
      <w:r>
        <w:rPr>
          <w:rFonts w:hint="eastAsia" w:ascii="宋体" w:hAnsi="宋体" w:eastAsia="宋体" w:cs="宋体"/>
          <w:sz w:val="24"/>
        </w:rPr>
        <w:t>审核总经理提名的高级管理人员的人选</w:t>
      </w:r>
      <w:r>
        <w:rPr>
          <w:rFonts w:hint="eastAsia" w:ascii="宋体" w:hAnsi="宋体" w:eastAsia="宋体" w:cs="宋体"/>
          <w:sz w:val="10"/>
        </w:rPr>
        <w:t>，</w:t>
      </w:r>
      <w:r>
        <w:rPr>
          <w:rFonts w:hint="eastAsia" w:ascii="宋体" w:hAnsi="宋体" w:eastAsia="宋体" w:cs="宋体"/>
          <w:sz w:val="24"/>
        </w:rPr>
        <w:t>并向董事会提出建议</w:t>
      </w:r>
      <w:r>
        <w:rPr>
          <w:rFonts w:hint="eastAsia" w:ascii="宋体" w:hAnsi="宋体" w:eastAsia="宋体" w:cs="宋体"/>
          <w:sz w:val="12"/>
        </w:rPr>
        <w:t>；</w:t>
      </w:r>
      <w:r>
        <w:rPr>
          <w:rFonts w:hint="eastAsia" w:ascii="宋体" w:hAnsi="宋体" w:eastAsia="宋体" w:cs="宋体"/>
          <w:sz w:val="24"/>
        </w:rPr>
        <w:t>完成董事会交办的其他工作</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2011</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公司召开第五届董事会第一次会议</w:t>
      </w:r>
      <w:r>
        <w:rPr>
          <w:rFonts w:hint="eastAsia" w:ascii="宋体" w:hAnsi="宋体" w:eastAsia="宋体" w:cs="宋体"/>
          <w:sz w:val="10"/>
        </w:rPr>
        <w:t>，</w:t>
      </w:r>
      <w:r>
        <w:rPr>
          <w:rFonts w:hint="eastAsia" w:ascii="宋体" w:hAnsi="宋体" w:eastAsia="宋体" w:cs="宋体"/>
          <w:sz w:val="24"/>
        </w:rPr>
        <w:t>同意设立董事会提名委员会</w:t>
      </w:r>
      <w:r>
        <w:rPr>
          <w:rFonts w:hint="eastAsia" w:ascii="宋体" w:hAnsi="宋体" w:eastAsia="宋体" w:cs="宋体"/>
          <w:sz w:val="10"/>
        </w:rPr>
        <w:t>，</w:t>
      </w:r>
      <w:r>
        <w:rPr>
          <w:rFonts w:hint="eastAsia" w:ascii="宋体" w:hAnsi="宋体" w:eastAsia="宋体" w:cs="宋体"/>
          <w:sz w:val="24"/>
        </w:rPr>
        <w:t>选举方加春</w:t>
      </w:r>
      <w:r>
        <w:rPr>
          <w:rFonts w:hint="eastAsia" w:ascii="宋体" w:hAnsi="宋体" w:eastAsia="宋体" w:cs="宋体"/>
          <w:sz w:val="10"/>
        </w:rPr>
        <w:t>、</w:t>
      </w:r>
      <w:r>
        <w:rPr>
          <w:rFonts w:hint="eastAsia" w:ascii="宋体" w:hAnsi="宋体" w:eastAsia="宋体" w:cs="宋体"/>
          <w:sz w:val="24"/>
        </w:rPr>
        <w:t>卢建康</w:t>
      </w:r>
      <w:r>
        <w:rPr>
          <w:rFonts w:hint="eastAsia" w:ascii="宋体" w:hAnsi="宋体" w:eastAsia="宋体" w:cs="宋体"/>
          <w:sz w:val="10"/>
        </w:rPr>
        <w:t>、</w:t>
      </w:r>
      <w:r>
        <w:rPr>
          <w:rFonts w:hint="eastAsia" w:ascii="宋体" w:hAnsi="宋体" w:eastAsia="宋体" w:cs="宋体"/>
          <w:sz w:val="24"/>
        </w:rPr>
        <w:t>严孟宇为提名委员会委员</w:t>
      </w:r>
      <w:r>
        <w:rPr>
          <w:rFonts w:hint="eastAsia" w:ascii="宋体" w:hAnsi="宋体" w:eastAsia="宋体" w:cs="宋体"/>
          <w:sz w:val="14"/>
        </w:rPr>
        <w:t>；</w:t>
      </w:r>
      <w:r>
        <w:rPr>
          <w:rFonts w:hint="eastAsia" w:ascii="宋体" w:hAnsi="宋体" w:eastAsia="宋体" w:cs="宋体"/>
          <w:sz w:val="24"/>
        </w:rPr>
        <w:t>其中方加春</w:t>
      </w:r>
      <w:r>
        <w:rPr>
          <w:rFonts w:hint="eastAsia" w:ascii="宋体" w:hAnsi="宋体" w:eastAsia="宋体" w:cs="宋体"/>
          <w:sz w:val="10"/>
        </w:rPr>
        <w:t>、</w:t>
      </w:r>
      <w:r>
        <w:rPr>
          <w:rFonts w:hint="eastAsia" w:ascii="宋体" w:hAnsi="宋体" w:eastAsia="宋体" w:cs="宋体"/>
          <w:sz w:val="24"/>
        </w:rPr>
        <w:t>卢建康为独立董事</w:t>
      </w:r>
      <w:r>
        <w:rPr>
          <w:rFonts w:hint="eastAsia" w:ascii="宋体" w:hAnsi="宋体" w:eastAsia="宋体" w:cs="宋体"/>
          <w:sz w:val="10"/>
        </w:rPr>
        <w:t>。</w:t>
      </w:r>
      <w:r>
        <w:rPr>
          <w:rFonts w:hint="eastAsia" w:ascii="宋体" w:hAnsi="宋体" w:eastAsia="宋体" w:cs="宋体"/>
          <w:sz w:val="24"/>
        </w:rPr>
        <w:t>卢建康为公司提名委员会主任委员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方加春</w:t>
      </w:r>
      <w:r>
        <w:rPr>
          <w:rFonts w:hint="eastAsia" w:ascii="宋体" w:hAnsi="宋体" w:eastAsia="宋体" w:cs="宋体"/>
          <w:sz w:val="10"/>
        </w:rPr>
        <w:t>、</w:t>
      </w:r>
      <w:r>
        <w:rPr>
          <w:rFonts w:hint="eastAsia" w:ascii="宋体" w:hAnsi="宋体" w:eastAsia="宋体" w:cs="宋体"/>
          <w:sz w:val="24"/>
        </w:rPr>
        <w:t>卢建康因个人原因辞去独立董事职务</w:t>
      </w:r>
      <w:r>
        <w:rPr>
          <w:rFonts w:hint="eastAsia" w:ascii="宋体" w:hAnsi="宋体" w:eastAsia="宋体" w:cs="宋体"/>
          <w:sz w:val="10"/>
        </w:rPr>
        <w:t>，</w:t>
      </w:r>
      <w:r>
        <w:rPr>
          <w:rFonts w:hint="eastAsia" w:ascii="宋体" w:hAnsi="宋体" w:eastAsia="宋体" w:cs="宋体"/>
          <w:sz w:val="24"/>
        </w:rPr>
        <w:t>卢建康不再担任提名委员会主任委员</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公司召开第六届董事会第七次会议</w:t>
      </w:r>
      <w:r>
        <w:rPr>
          <w:rFonts w:hint="eastAsia" w:ascii="宋体" w:hAnsi="宋体" w:eastAsia="宋体" w:cs="宋体"/>
          <w:sz w:val="10"/>
        </w:rPr>
        <w:t>，</w:t>
      </w:r>
      <w:r>
        <w:rPr>
          <w:rFonts w:hint="eastAsia" w:ascii="宋体" w:hAnsi="宋体" w:eastAsia="宋体" w:cs="宋体"/>
          <w:sz w:val="24"/>
        </w:rPr>
        <w:t>选举叶东毅</w:t>
      </w:r>
      <w:r>
        <w:rPr>
          <w:rFonts w:hint="eastAsia" w:ascii="宋体" w:hAnsi="宋体" w:eastAsia="宋体" w:cs="宋体"/>
          <w:sz w:val="10"/>
        </w:rPr>
        <w:t>、</w:t>
      </w:r>
      <w:r>
        <w:rPr>
          <w:rFonts w:hint="eastAsia" w:ascii="宋体" w:hAnsi="宋体" w:eastAsia="宋体" w:cs="宋体"/>
          <w:sz w:val="24"/>
        </w:rPr>
        <w:t>齐伟为公司提名委员会成员</w:t>
      </w:r>
      <w:r>
        <w:rPr>
          <w:rFonts w:hint="eastAsia" w:ascii="宋体" w:hAnsi="宋体" w:eastAsia="宋体" w:cs="宋体"/>
          <w:sz w:val="10"/>
        </w:rPr>
        <w:t>，</w:t>
      </w:r>
      <w:r>
        <w:rPr>
          <w:rFonts w:hint="eastAsia" w:ascii="宋体" w:hAnsi="宋体" w:eastAsia="宋体" w:cs="宋体"/>
          <w:sz w:val="24"/>
        </w:rPr>
        <w:t>叶东毅</w:t>
      </w:r>
      <w:r>
        <w:rPr>
          <w:rFonts w:hint="eastAsia" w:ascii="宋体" w:hAnsi="宋体" w:eastAsia="宋体" w:cs="宋体"/>
          <w:sz w:val="10"/>
        </w:rPr>
        <w:t>、</w:t>
      </w:r>
      <w:r>
        <w:rPr>
          <w:rFonts w:hint="eastAsia" w:ascii="宋体" w:hAnsi="宋体" w:eastAsia="宋体" w:cs="宋体"/>
          <w:sz w:val="24"/>
        </w:rPr>
        <w:t>齐伟为独立董事</w:t>
      </w:r>
      <w:r>
        <w:rPr>
          <w:rFonts w:hint="eastAsia" w:ascii="宋体" w:hAnsi="宋体" w:eastAsia="宋体" w:cs="宋体"/>
          <w:sz w:val="10"/>
        </w:rPr>
        <w:t>，</w:t>
      </w:r>
      <w:r>
        <w:rPr>
          <w:rFonts w:hint="eastAsia" w:ascii="宋体" w:hAnsi="宋体" w:eastAsia="宋体" w:cs="宋体"/>
          <w:sz w:val="24"/>
        </w:rPr>
        <w:t>选举齐伟为公司提名委员会主任委员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自本公司设立至本招股说明书签署日</w:t>
      </w:r>
      <w:r>
        <w:rPr>
          <w:rFonts w:hint="eastAsia" w:ascii="宋体" w:hAnsi="宋体" w:eastAsia="宋体" w:cs="宋体"/>
          <w:sz w:val="10"/>
        </w:rPr>
        <w:t>，</w:t>
      </w:r>
      <w:r>
        <w:rPr>
          <w:rFonts w:hint="eastAsia" w:ascii="宋体" w:hAnsi="宋体" w:eastAsia="宋体" w:cs="宋体"/>
          <w:sz w:val="24"/>
        </w:rPr>
        <w:t>提名委员会共计召开</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次会议</w:t>
      </w:r>
      <w:r>
        <w:rPr>
          <w:rFonts w:hint="eastAsia" w:ascii="宋体" w:hAnsi="宋体" w:eastAsia="宋体" w:cs="宋体"/>
          <w:sz w:val="10"/>
        </w:rPr>
        <w:t>，</w:t>
      </w:r>
      <w:r>
        <w:rPr>
          <w:rFonts w:hint="eastAsia" w:ascii="宋体" w:hAnsi="宋体" w:eastAsia="宋体" w:cs="宋体"/>
          <w:sz w:val="24"/>
        </w:rPr>
        <w:t>会</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1-1-207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jc w:val="both"/>
      </w:pPr>
      <w:r>
        <w:rPr>
          <w:rFonts w:hint="eastAsia" w:ascii="宋体" w:hAnsi="宋体" w:eastAsia="宋体" w:cs="宋体"/>
          <w:sz w:val="24"/>
        </w:rPr>
        <w:t>议召集程序</w:t>
      </w:r>
      <w:r>
        <w:rPr>
          <w:rFonts w:hint="eastAsia" w:ascii="宋体" w:hAnsi="宋体" w:eastAsia="宋体" w:cs="宋体"/>
          <w:sz w:val="10"/>
        </w:rPr>
        <w:t>、</w:t>
      </w:r>
      <w:r>
        <w:rPr>
          <w:rFonts w:hint="eastAsia" w:ascii="宋体" w:hAnsi="宋体" w:eastAsia="宋体" w:cs="宋体"/>
          <w:sz w:val="24"/>
        </w:rPr>
        <w:t>表决方式和审议内容符合《公司章程》以及《董事会提名委员会工作细则》的规定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薪酬与考核委员会人员构成及运行情况</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薪酬与考核委员会主要职责为</w:t>
      </w:r>
      <w:r>
        <w:rPr>
          <w:rFonts w:hint="eastAsia" w:ascii="宋体" w:hAnsi="宋体" w:eastAsia="宋体" w:cs="宋体"/>
          <w:sz w:val="12"/>
        </w:rPr>
        <w:t>：</w:t>
      </w:r>
      <w:r>
        <w:rPr>
          <w:rFonts w:hint="eastAsia" w:ascii="宋体" w:hAnsi="宋体" w:eastAsia="宋体" w:cs="宋体"/>
          <w:sz w:val="24"/>
        </w:rPr>
        <w:t>研究并制订董事</w:t>
      </w:r>
      <w:r>
        <w:rPr>
          <w:rFonts w:hint="eastAsia" w:ascii="宋体" w:hAnsi="宋体" w:eastAsia="宋体" w:cs="宋体"/>
          <w:sz w:val="10"/>
        </w:rPr>
        <w:t>、</w:t>
      </w:r>
      <w:r>
        <w:rPr>
          <w:rFonts w:hint="eastAsia" w:ascii="宋体" w:hAnsi="宋体" w:eastAsia="宋体" w:cs="宋体"/>
          <w:sz w:val="24"/>
        </w:rPr>
        <w:t>高级管理人员以及其他管理人员考核的标准和程序</w:t>
      </w:r>
      <w:r>
        <w:rPr>
          <w:rFonts w:hint="eastAsia" w:ascii="宋体" w:hAnsi="宋体" w:eastAsia="宋体" w:cs="宋体"/>
          <w:sz w:val="14"/>
        </w:rPr>
        <w:t>；</w:t>
      </w:r>
      <w:r>
        <w:rPr>
          <w:rFonts w:hint="eastAsia" w:ascii="宋体" w:hAnsi="宋体" w:eastAsia="宋体" w:cs="宋体"/>
          <w:sz w:val="24"/>
        </w:rPr>
        <w:t>对董事</w:t>
      </w:r>
      <w:r>
        <w:rPr>
          <w:rFonts w:hint="eastAsia" w:ascii="宋体" w:hAnsi="宋体" w:eastAsia="宋体" w:cs="宋体"/>
          <w:sz w:val="10"/>
        </w:rPr>
        <w:t>、</w:t>
      </w:r>
      <w:r>
        <w:rPr>
          <w:rFonts w:hint="eastAsia" w:ascii="宋体" w:hAnsi="宋体" w:eastAsia="宋体" w:cs="宋体"/>
          <w:sz w:val="24"/>
        </w:rPr>
        <w:t>高级管理人员以及其他管理人员进行考核并提出建议</w:t>
      </w:r>
      <w:r>
        <w:rPr>
          <w:rFonts w:hint="eastAsia" w:ascii="宋体" w:hAnsi="宋体" w:eastAsia="宋体" w:cs="宋体"/>
          <w:sz w:val="12"/>
        </w:rPr>
        <w:t>；</w:t>
      </w:r>
      <w:r>
        <w:rPr>
          <w:rFonts w:hint="eastAsia" w:ascii="宋体" w:hAnsi="宋体" w:eastAsia="宋体" w:cs="宋体"/>
          <w:sz w:val="24"/>
        </w:rPr>
        <w:t>研究和审查董事</w:t>
      </w:r>
      <w:r>
        <w:rPr>
          <w:rFonts w:hint="eastAsia" w:ascii="宋体" w:hAnsi="宋体" w:eastAsia="宋体" w:cs="宋体"/>
          <w:sz w:val="10"/>
        </w:rPr>
        <w:t>、</w:t>
      </w:r>
      <w:r>
        <w:rPr>
          <w:rFonts w:hint="eastAsia" w:ascii="宋体" w:hAnsi="宋体" w:eastAsia="宋体" w:cs="宋体"/>
          <w:sz w:val="24"/>
        </w:rPr>
        <w:t>高级管理人员以及其他管理人员的薪酬政策与方案</w:t>
      </w:r>
      <w:r>
        <w:rPr>
          <w:rFonts w:hint="eastAsia" w:ascii="宋体" w:hAnsi="宋体" w:eastAsia="宋体" w:cs="宋体"/>
          <w:sz w:val="12"/>
        </w:rPr>
        <w:t>；</w:t>
      </w:r>
      <w:r>
        <w:rPr>
          <w:rFonts w:hint="eastAsia" w:ascii="宋体" w:hAnsi="宋体" w:eastAsia="宋体" w:cs="宋体"/>
          <w:sz w:val="24"/>
        </w:rPr>
        <w:t>对公司薪酬制度执行情况进行监督</w:t>
      </w:r>
      <w:r>
        <w:rPr>
          <w:rFonts w:hint="eastAsia" w:ascii="宋体" w:hAnsi="宋体" w:eastAsia="宋体" w:cs="宋体"/>
          <w:sz w:val="14"/>
        </w:rPr>
        <w:t>；</w:t>
      </w:r>
      <w:r>
        <w:rPr>
          <w:rFonts w:hint="eastAsia" w:ascii="宋体" w:hAnsi="宋体" w:eastAsia="宋体" w:cs="宋体"/>
          <w:sz w:val="24"/>
        </w:rPr>
        <w:t>完成董事会交办的其他工作</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firstLine="480"/>
        <w:jc w:val="both"/>
      </w:pPr>
      <w:r>
        <w:rPr>
          <w:rFonts w:hint="eastAsia" w:ascii="Times New Roman" w:hAnsi="Times New Roman" w:eastAsia="Times New Roman" w:cs="Times New Roman"/>
          <w:sz w:val="24"/>
        </w:rPr>
        <w:t>2011</w:t>
      </w:r>
      <w:r>
        <w:rPr>
          <w:rFonts w:hint="eastAsia" w:ascii="宋体" w:hAnsi="宋体" w:eastAsia="宋体" w:cs="宋体"/>
          <w:sz w:val="24"/>
        </w:rPr>
        <w:t>年</w:t>
      </w:r>
      <w:r>
        <w:rPr>
          <w:rFonts w:hint="eastAsia" w:ascii="Times New Roman" w:hAnsi="Times New Roman" w:eastAsia="Times New Roman" w:cs="Times New Roman"/>
          <w:sz w:val="24"/>
        </w:rPr>
        <w:t>8</w:t>
      </w:r>
      <w:r>
        <w:rPr>
          <w:rFonts w:hint="eastAsia" w:ascii="宋体" w:hAnsi="宋体" w:eastAsia="宋体" w:cs="宋体"/>
          <w:sz w:val="24"/>
        </w:rPr>
        <w:t>月</w:t>
      </w:r>
      <w:r>
        <w:rPr>
          <w:rFonts w:hint="eastAsia" w:ascii="Times New Roman" w:hAnsi="Times New Roman" w:eastAsia="Times New Roman" w:cs="Times New Roman"/>
          <w:sz w:val="24"/>
        </w:rPr>
        <w:t>8</w:t>
      </w:r>
      <w:r>
        <w:rPr>
          <w:rFonts w:hint="eastAsia" w:ascii="宋体" w:hAnsi="宋体" w:eastAsia="宋体" w:cs="宋体"/>
          <w:sz w:val="24"/>
        </w:rPr>
        <w:t>日</w:t>
      </w:r>
      <w:r>
        <w:rPr>
          <w:rFonts w:hint="eastAsia" w:ascii="宋体" w:hAnsi="宋体" w:eastAsia="宋体" w:cs="宋体"/>
          <w:sz w:val="10"/>
        </w:rPr>
        <w:t>，</w:t>
      </w:r>
      <w:r>
        <w:rPr>
          <w:rFonts w:hint="eastAsia" w:ascii="宋体" w:hAnsi="宋体" w:eastAsia="宋体" w:cs="宋体"/>
          <w:sz w:val="24"/>
        </w:rPr>
        <w:t>公司召开第五届董事会第一次会议</w:t>
      </w:r>
      <w:r>
        <w:rPr>
          <w:rFonts w:hint="eastAsia" w:ascii="宋体" w:hAnsi="宋体" w:eastAsia="宋体" w:cs="宋体"/>
          <w:sz w:val="10"/>
        </w:rPr>
        <w:t>，</w:t>
      </w:r>
      <w:r>
        <w:rPr>
          <w:rFonts w:hint="eastAsia" w:ascii="宋体" w:hAnsi="宋体" w:eastAsia="宋体" w:cs="宋体"/>
          <w:sz w:val="24"/>
        </w:rPr>
        <w:t>同意设立董事会薪酬与考核委员会</w:t>
      </w:r>
      <w:r>
        <w:rPr>
          <w:rFonts w:hint="eastAsia" w:ascii="宋体" w:hAnsi="宋体" w:eastAsia="宋体" w:cs="宋体"/>
          <w:sz w:val="10"/>
        </w:rPr>
        <w:t>，</w:t>
      </w:r>
      <w:r>
        <w:rPr>
          <w:rFonts w:hint="eastAsia" w:ascii="宋体" w:hAnsi="宋体" w:eastAsia="宋体" w:cs="宋体"/>
          <w:sz w:val="24"/>
        </w:rPr>
        <w:t>选举许萍</w:t>
      </w:r>
      <w:r>
        <w:rPr>
          <w:rFonts w:hint="eastAsia" w:ascii="宋体" w:hAnsi="宋体" w:eastAsia="宋体" w:cs="宋体"/>
          <w:sz w:val="10"/>
        </w:rPr>
        <w:t>、</w:t>
      </w:r>
      <w:r>
        <w:rPr>
          <w:rFonts w:hint="eastAsia" w:ascii="宋体" w:hAnsi="宋体" w:eastAsia="宋体" w:cs="宋体"/>
          <w:sz w:val="24"/>
        </w:rPr>
        <w:t>方加春</w:t>
      </w:r>
      <w:r>
        <w:rPr>
          <w:rFonts w:hint="eastAsia" w:ascii="宋体" w:hAnsi="宋体" w:eastAsia="宋体" w:cs="宋体"/>
          <w:sz w:val="10"/>
        </w:rPr>
        <w:t>、</w:t>
      </w:r>
      <w:r>
        <w:rPr>
          <w:rFonts w:hint="eastAsia" w:ascii="宋体" w:hAnsi="宋体" w:eastAsia="宋体" w:cs="宋体"/>
          <w:sz w:val="24"/>
        </w:rPr>
        <w:t>严孟宇为薪酬与考核委员会委员</w:t>
      </w:r>
      <w:r>
        <w:rPr>
          <w:rFonts w:hint="eastAsia" w:ascii="宋体" w:hAnsi="宋体" w:eastAsia="宋体" w:cs="宋体"/>
          <w:sz w:val="12"/>
        </w:rPr>
        <w:t>；</w:t>
      </w:r>
      <w:r>
        <w:rPr>
          <w:rFonts w:hint="eastAsia" w:ascii="宋体" w:hAnsi="宋体" w:eastAsia="宋体" w:cs="宋体"/>
          <w:sz w:val="24"/>
        </w:rPr>
        <w:t>其中许萍</w:t>
      </w:r>
      <w:r>
        <w:rPr>
          <w:rFonts w:hint="eastAsia" w:ascii="宋体" w:hAnsi="宋体" w:eastAsia="宋体" w:cs="宋体"/>
          <w:sz w:val="10"/>
        </w:rPr>
        <w:t>、</w:t>
      </w:r>
      <w:r>
        <w:rPr>
          <w:rFonts w:hint="eastAsia" w:ascii="宋体" w:hAnsi="宋体" w:eastAsia="宋体" w:cs="宋体"/>
          <w:sz w:val="24"/>
        </w:rPr>
        <w:t>方加春为独立董事</w:t>
      </w:r>
      <w:r>
        <w:rPr>
          <w:rFonts w:hint="eastAsia" w:ascii="宋体" w:hAnsi="宋体" w:eastAsia="宋体" w:cs="宋体"/>
          <w:sz w:val="10"/>
        </w:rPr>
        <w:t>。</w:t>
      </w:r>
      <w:r>
        <w:rPr>
          <w:rFonts w:hint="eastAsia" w:ascii="宋体" w:hAnsi="宋体" w:eastAsia="宋体" w:cs="宋体"/>
          <w:sz w:val="24"/>
        </w:rPr>
        <w:t>许萍为公司薪酬与考核委员会主任委员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年</w:t>
      </w:r>
      <w:r>
        <w:rPr>
          <w:rFonts w:hint="eastAsia" w:ascii="Times New Roman" w:hAnsi="Times New Roman" w:eastAsia="Times New Roman" w:cs="Times New Roman"/>
          <w:sz w:val="24"/>
        </w:rPr>
        <w:t>6</w:t>
      </w:r>
      <w:r>
        <w:rPr>
          <w:rFonts w:hint="eastAsia" w:ascii="宋体" w:hAnsi="宋体" w:eastAsia="宋体" w:cs="宋体"/>
          <w:sz w:val="24"/>
        </w:rPr>
        <w:t>月</w:t>
      </w:r>
      <w:r>
        <w:rPr>
          <w:rFonts w:hint="eastAsia" w:ascii="宋体" w:hAnsi="宋体" w:eastAsia="宋体" w:cs="宋体"/>
          <w:sz w:val="10"/>
        </w:rPr>
        <w:t>，</w:t>
      </w:r>
      <w:r>
        <w:rPr>
          <w:rFonts w:hint="eastAsia" w:ascii="宋体" w:hAnsi="宋体" w:eastAsia="宋体" w:cs="宋体"/>
          <w:sz w:val="24"/>
        </w:rPr>
        <w:t>方加春因个人原因辞去独立董事职务</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年</w:t>
      </w:r>
      <w:r>
        <w:rPr>
          <w:rFonts w:hint="eastAsia" w:ascii="Times New Roman" w:hAnsi="Times New Roman" w:eastAsia="Times New Roman" w:cs="Times New Roman"/>
          <w:sz w:val="24"/>
        </w:rPr>
        <w:t>8</w:t>
      </w:r>
      <w:r>
        <w:rPr>
          <w:rFonts w:hint="eastAsia" w:ascii="宋体" w:hAnsi="宋体" w:eastAsia="宋体" w:cs="宋体"/>
          <w:sz w:val="24"/>
        </w:rPr>
        <w:t>月</w:t>
      </w:r>
      <w:r>
        <w:rPr>
          <w:rFonts w:hint="eastAsia" w:ascii="Times New Roman" w:hAnsi="Times New Roman" w:eastAsia="Times New Roman" w:cs="Times New Roman"/>
          <w:sz w:val="24"/>
        </w:rPr>
        <w:t>10</w:t>
      </w:r>
      <w:r>
        <w:rPr>
          <w:rFonts w:hint="eastAsia" w:ascii="宋体" w:hAnsi="宋体" w:eastAsia="宋体" w:cs="宋体"/>
          <w:sz w:val="24"/>
        </w:rPr>
        <w:t>日</w:t>
      </w:r>
      <w:r>
        <w:rPr>
          <w:rFonts w:hint="eastAsia" w:ascii="宋体" w:hAnsi="宋体" w:eastAsia="宋体" w:cs="宋体"/>
          <w:sz w:val="10"/>
        </w:rPr>
        <w:t>，</w:t>
      </w:r>
      <w:r>
        <w:rPr>
          <w:rFonts w:hint="eastAsia" w:ascii="宋体" w:hAnsi="宋体" w:eastAsia="宋体" w:cs="宋体"/>
          <w:sz w:val="24"/>
        </w:rPr>
        <w:t>公司召开第六届董事会第七次会议</w:t>
      </w:r>
      <w:r>
        <w:rPr>
          <w:rFonts w:hint="eastAsia" w:ascii="宋体" w:hAnsi="宋体" w:eastAsia="宋体" w:cs="宋体"/>
          <w:sz w:val="10"/>
        </w:rPr>
        <w:t>，</w:t>
      </w:r>
      <w:r>
        <w:rPr>
          <w:rFonts w:hint="eastAsia" w:ascii="宋体" w:hAnsi="宋体" w:eastAsia="宋体" w:cs="宋体"/>
          <w:sz w:val="24"/>
        </w:rPr>
        <w:t>选举叶东毅为公司薪酬与考核委员会成员</w:t>
      </w:r>
      <w:r>
        <w:rPr>
          <w:rFonts w:hint="eastAsia" w:ascii="宋体" w:hAnsi="宋体" w:eastAsia="宋体" w:cs="宋体"/>
          <w:sz w:val="10"/>
        </w:rPr>
        <w:t>，</w:t>
      </w:r>
      <w:r>
        <w:rPr>
          <w:rFonts w:hint="eastAsia" w:ascii="宋体" w:hAnsi="宋体" w:eastAsia="宋体" w:cs="宋体"/>
          <w:sz w:val="24"/>
        </w:rPr>
        <w:t>叶东毅为独立董事</w:t>
      </w:r>
      <w:r>
        <w:rPr>
          <w:rFonts w:hint="eastAsia" w:ascii="宋体" w:hAnsi="宋体" w:eastAsia="宋体" w:cs="宋体"/>
          <w:sz w:val="10"/>
        </w:rPr>
        <w:t>。</w:t>
      </w:r>
      <w:r>
        <w:rPr>
          <w:rFonts w:hint="eastAsia" w:ascii="宋体" w:hAnsi="宋体" w:eastAsia="宋体" w:cs="宋体"/>
          <w:sz w:val="24"/>
        </w:rPr>
        <w:t>许萍为公司薪酬与考核委员会主任委员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Times New Roman" w:hAnsi="Times New Roman" w:eastAsia="Times New Roman" w:cs="Times New Roman"/>
          <w:sz w:val="24"/>
        </w:rPr>
        <w:t>2016</w:t>
      </w:r>
      <w:r>
        <w:rPr>
          <w:rFonts w:hint="eastAsia" w:ascii="宋体" w:hAnsi="宋体" w:eastAsia="宋体" w:cs="宋体"/>
          <w:sz w:val="24"/>
        </w:rPr>
        <w:t>年</w:t>
      </w:r>
      <w:r>
        <w:rPr>
          <w:rFonts w:hint="eastAsia" w:ascii="Times New Roman" w:hAnsi="Times New Roman" w:eastAsia="Times New Roman" w:cs="Times New Roman"/>
          <w:sz w:val="24"/>
        </w:rPr>
        <w:t>7</w:t>
      </w:r>
      <w:r>
        <w:rPr>
          <w:rFonts w:hint="eastAsia" w:ascii="宋体" w:hAnsi="宋体" w:eastAsia="宋体" w:cs="宋体"/>
          <w:sz w:val="24"/>
        </w:rPr>
        <w:t>月</w:t>
      </w:r>
      <w:r>
        <w:rPr>
          <w:rFonts w:hint="eastAsia" w:ascii="宋体" w:hAnsi="宋体" w:eastAsia="宋体" w:cs="宋体"/>
          <w:sz w:val="10"/>
        </w:rPr>
        <w:t>，</w:t>
      </w:r>
      <w:r>
        <w:rPr>
          <w:rFonts w:hint="eastAsia" w:ascii="宋体" w:hAnsi="宋体" w:eastAsia="宋体" w:cs="宋体"/>
          <w:sz w:val="24"/>
        </w:rPr>
        <w:t>许萍因个人原因辞去独立董事职务</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年</w:t>
      </w:r>
      <w:r>
        <w:rPr>
          <w:rFonts w:hint="eastAsia" w:ascii="Times New Roman" w:hAnsi="Times New Roman" w:eastAsia="Times New Roman" w:cs="Times New Roman"/>
          <w:sz w:val="24"/>
        </w:rPr>
        <w:t>8</w:t>
      </w:r>
      <w:r>
        <w:rPr>
          <w:rFonts w:hint="eastAsia" w:ascii="宋体" w:hAnsi="宋体" w:eastAsia="宋体" w:cs="宋体"/>
          <w:sz w:val="24"/>
        </w:rPr>
        <w:t>月</w:t>
      </w:r>
      <w:r>
        <w:rPr>
          <w:rFonts w:hint="eastAsia" w:ascii="Times New Roman" w:hAnsi="Times New Roman" w:eastAsia="Times New Roman" w:cs="Times New Roman"/>
          <w:sz w:val="24"/>
        </w:rPr>
        <w:t>12</w:t>
      </w:r>
      <w:r>
        <w:rPr>
          <w:rFonts w:hint="eastAsia" w:ascii="宋体" w:hAnsi="宋体" w:eastAsia="宋体" w:cs="宋体"/>
          <w:sz w:val="24"/>
        </w:rPr>
        <w:t>日</w:t>
      </w:r>
      <w:r>
        <w:rPr>
          <w:rFonts w:hint="eastAsia" w:ascii="宋体" w:hAnsi="宋体" w:eastAsia="宋体" w:cs="宋体"/>
          <w:sz w:val="10"/>
        </w:rPr>
        <w:t>，</w:t>
      </w:r>
      <w:r>
        <w:rPr>
          <w:rFonts w:hint="eastAsia" w:ascii="宋体" w:hAnsi="宋体" w:eastAsia="宋体" w:cs="宋体"/>
          <w:sz w:val="24"/>
        </w:rPr>
        <w:t>公司召开第六届董事会第十三次会议</w:t>
      </w:r>
      <w:r>
        <w:rPr>
          <w:rFonts w:hint="eastAsia" w:ascii="宋体" w:hAnsi="宋体" w:eastAsia="宋体" w:cs="宋体"/>
          <w:sz w:val="10"/>
        </w:rPr>
        <w:t>，</w:t>
      </w:r>
      <w:r>
        <w:rPr>
          <w:rFonts w:hint="eastAsia" w:ascii="宋体" w:hAnsi="宋体" w:eastAsia="宋体" w:cs="宋体"/>
          <w:sz w:val="24"/>
        </w:rPr>
        <w:t>选举徐青为公司薪酬与考核委员会主任委员</w:t>
      </w:r>
      <w:r>
        <w:rPr>
          <w:rFonts w:hint="eastAsia" w:ascii="宋体" w:hAnsi="宋体" w:eastAsia="宋体" w:cs="宋体"/>
          <w:sz w:val="10"/>
        </w:rPr>
        <w:t>，</w:t>
      </w:r>
      <w:r>
        <w:rPr>
          <w:rFonts w:hint="eastAsia" w:ascii="宋体" w:hAnsi="宋体" w:eastAsia="宋体" w:cs="宋体"/>
          <w:sz w:val="24"/>
        </w:rPr>
        <w:t>徐青为独立董事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自本公司设立至本招股说明书签署日</w:t>
      </w:r>
      <w:r>
        <w:rPr>
          <w:rFonts w:hint="eastAsia" w:ascii="宋体" w:hAnsi="宋体" w:eastAsia="宋体" w:cs="宋体"/>
          <w:sz w:val="10"/>
        </w:rPr>
        <w:t>，</w:t>
      </w:r>
      <w:r>
        <w:rPr>
          <w:rFonts w:hint="eastAsia" w:ascii="宋体" w:hAnsi="宋体" w:eastAsia="宋体" w:cs="宋体"/>
          <w:sz w:val="24"/>
        </w:rPr>
        <w:t>薪酬与考核委员会共计召开</w:t>
      </w:r>
      <w:r>
        <w:rPr>
          <w:rFonts w:hint="eastAsia" w:ascii="Times New Roman" w:hAnsi="Times New Roman" w:eastAsia="Times New Roman" w:cs="Times New Roman"/>
          <w:sz w:val="24"/>
        </w:rPr>
        <w:t xml:space="preserve"> 14</w:t>
      </w:r>
      <w:r>
        <w:rPr>
          <w:rFonts w:hint="eastAsia" w:ascii="宋体" w:hAnsi="宋体" w:eastAsia="宋体" w:cs="宋体"/>
          <w:sz w:val="24"/>
        </w:rPr>
        <w:t xml:space="preserve"> 次会议</w:t>
      </w:r>
      <w:r>
        <w:rPr>
          <w:rFonts w:hint="eastAsia" w:ascii="宋体" w:hAnsi="宋体" w:eastAsia="宋体" w:cs="宋体"/>
          <w:sz w:val="10"/>
        </w:rPr>
        <w:t>，</w:t>
      </w:r>
      <w:r>
        <w:rPr>
          <w:rFonts w:hint="eastAsia" w:ascii="宋体" w:hAnsi="宋体" w:eastAsia="宋体" w:cs="宋体"/>
          <w:sz w:val="24"/>
        </w:rPr>
        <w:t>会议召集程序</w:t>
      </w:r>
      <w:r>
        <w:rPr>
          <w:rFonts w:hint="eastAsia" w:ascii="宋体" w:hAnsi="宋体" w:eastAsia="宋体" w:cs="宋体"/>
          <w:sz w:val="10"/>
        </w:rPr>
        <w:t>、</w:t>
      </w:r>
      <w:r>
        <w:rPr>
          <w:rFonts w:hint="eastAsia" w:ascii="宋体" w:hAnsi="宋体" w:eastAsia="宋体" w:cs="宋体"/>
          <w:sz w:val="24"/>
        </w:rPr>
        <w:t>表决方式和审议内容符合《公司章程》以及《董事会薪酬与考核委员会工作细则》的规定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60" w:lineRule="exact"/>
        <w:ind w:left="1800"/>
        <w:jc w:val="both"/>
      </w:pPr>
      <w:r>
        <w:rPr>
          <w:rFonts w:hint="eastAsia" w:ascii="ºÚÌå" w:hAnsi="ºÚÌå" w:eastAsia="ºÚÌå" w:cs="ºÚÌå"/>
          <w:sz w:val="24"/>
        </w:rPr>
        <w:t>二、</w:t>
      </w:r>
      <w:r>
        <w:rPr>
          <w:rFonts w:hint="eastAsia" w:ascii="ºÚÌå" w:hAnsi="ºÚÌå" w:eastAsia="ºÚÌå" w:cs="ºÚÌå"/>
          <w:sz w:val="30"/>
        </w:rPr>
        <w:t>公司违法违规情况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800" w:right="1600" w:firstLine="480"/>
        <w:jc w:val="both"/>
      </w:pPr>
      <w:r>
        <w:rPr>
          <w:rFonts w:hint="eastAsia" w:ascii="宋体" w:hAnsi="宋体" w:eastAsia="宋体" w:cs="宋体"/>
          <w:sz w:val="24"/>
        </w:rPr>
        <w:t>公司已依法建立健全股东大会</w:t>
      </w:r>
      <w:r>
        <w:rPr>
          <w:rFonts w:hint="eastAsia" w:ascii="宋体" w:hAnsi="宋体" w:eastAsia="宋体" w:cs="宋体"/>
          <w:sz w:val="10"/>
        </w:rPr>
        <w:t>、</w:t>
      </w:r>
      <w:r>
        <w:rPr>
          <w:rFonts w:hint="eastAsia" w:ascii="宋体" w:hAnsi="宋体" w:eastAsia="宋体" w:cs="宋体"/>
          <w:sz w:val="24"/>
        </w:rPr>
        <w:t>董事会</w:t>
      </w:r>
      <w:r>
        <w:rPr>
          <w:rFonts w:hint="eastAsia" w:ascii="宋体" w:hAnsi="宋体" w:eastAsia="宋体" w:cs="宋体"/>
          <w:sz w:val="10"/>
        </w:rPr>
        <w:t>、</w:t>
      </w:r>
      <w:r>
        <w:rPr>
          <w:rFonts w:hint="eastAsia" w:ascii="宋体" w:hAnsi="宋体" w:eastAsia="宋体" w:cs="宋体"/>
          <w:sz w:val="24"/>
        </w:rPr>
        <w:t>监事会</w:t>
      </w:r>
      <w:r>
        <w:rPr>
          <w:rFonts w:hint="eastAsia" w:ascii="宋体" w:hAnsi="宋体" w:eastAsia="宋体" w:cs="宋体"/>
          <w:sz w:val="10"/>
        </w:rPr>
        <w:t>、</w:t>
      </w:r>
      <w:r>
        <w:rPr>
          <w:rFonts w:hint="eastAsia" w:ascii="宋体" w:hAnsi="宋体" w:eastAsia="宋体" w:cs="宋体"/>
          <w:sz w:val="24"/>
        </w:rPr>
        <w:t>独立董事</w:t>
      </w:r>
      <w:r>
        <w:rPr>
          <w:rFonts w:hint="eastAsia" w:ascii="宋体" w:hAnsi="宋体" w:eastAsia="宋体" w:cs="宋体"/>
          <w:sz w:val="10"/>
        </w:rPr>
        <w:t>、</w:t>
      </w:r>
      <w:r>
        <w:rPr>
          <w:rFonts w:hint="eastAsia" w:ascii="宋体" w:hAnsi="宋体" w:eastAsia="宋体" w:cs="宋体"/>
          <w:sz w:val="24"/>
        </w:rPr>
        <w:t>董事会秘书制度</w:t>
      </w:r>
      <w:r>
        <w:rPr>
          <w:rFonts w:hint="eastAsia" w:ascii="宋体" w:hAnsi="宋体" w:eastAsia="宋体" w:cs="宋体"/>
          <w:sz w:val="10"/>
        </w:rPr>
        <w:t>。</w:t>
      </w:r>
      <w:r>
        <w:rPr>
          <w:rFonts w:hint="eastAsia" w:ascii="宋体" w:hAnsi="宋体" w:eastAsia="宋体" w:cs="宋体"/>
          <w:sz w:val="24"/>
        </w:rPr>
        <w:t>自成立至今</w:t>
      </w:r>
      <w:r>
        <w:rPr>
          <w:rFonts w:hint="eastAsia" w:ascii="宋体" w:hAnsi="宋体" w:eastAsia="宋体" w:cs="宋体"/>
          <w:sz w:val="10"/>
        </w:rPr>
        <w:t>，</w:t>
      </w:r>
      <w:r>
        <w:rPr>
          <w:rFonts w:hint="eastAsia" w:ascii="宋体" w:hAnsi="宋体" w:eastAsia="宋体" w:cs="宋体"/>
          <w:sz w:val="24"/>
        </w:rPr>
        <w:t>公司及其董事</w:t>
      </w:r>
      <w:r>
        <w:rPr>
          <w:rFonts w:hint="eastAsia" w:ascii="宋体" w:hAnsi="宋体" w:eastAsia="宋体" w:cs="宋体"/>
          <w:sz w:val="10"/>
        </w:rPr>
        <w:t>、</w:t>
      </w:r>
      <w:r>
        <w:rPr>
          <w:rFonts w:hint="eastAsia" w:ascii="宋体" w:hAnsi="宋体" w:eastAsia="宋体" w:cs="宋体"/>
          <w:sz w:val="24"/>
        </w:rPr>
        <w:t>监事和高级管理人员严格按照公司章程及相关法律法规的规定开展经营活动</w:t>
      </w:r>
      <w:r>
        <w:rPr>
          <w:rFonts w:hint="eastAsia" w:ascii="宋体" w:hAnsi="宋体" w:eastAsia="宋体" w:cs="宋体"/>
          <w:sz w:val="10"/>
        </w:rPr>
        <w:t>，</w:t>
      </w:r>
      <w:r>
        <w:rPr>
          <w:rFonts w:hint="eastAsia" w:ascii="宋体" w:hAnsi="宋体" w:eastAsia="宋体" w:cs="宋体"/>
          <w:sz w:val="24"/>
        </w:rPr>
        <w:t>报告期内不存在重大违法</w:t>
      </w:r>
      <w:r>
        <w:rPr>
          <w:rFonts w:hint="eastAsia" w:ascii="宋体" w:hAnsi="宋体" w:eastAsia="宋体" w:cs="宋体"/>
          <w:sz w:val="10"/>
        </w:rPr>
        <w:t>、</w:t>
      </w:r>
      <w:r>
        <w:rPr>
          <w:rFonts w:hint="eastAsia" w:ascii="宋体" w:hAnsi="宋体" w:eastAsia="宋体" w:cs="宋体"/>
          <w:sz w:val="24"/>
        </w:rPr>
        <w:t>违规的情况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公司控股股东资金占用及为控股股东担保的情况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公司近三年内不存在为控股股东</w:t>
      </w:r>
      <w:r>
        <w:rPr>
          <w:rFonts w:hint="eastAsia" w:ascii="宋体" w:hAnsi="宋体" w:eastAsia="宋体" w:cs="宋体"/>
          <w:sz w:val="10"/>
        </w:rPr>
        <w:t>、</w:t>
      </w:r>
      <w:r>
        <w:rPr>
          <w:rFonts w:hint="eastAsia" w:ascii="宋体" w:hAnsi="宋体" w:eastAsia="宋体" w:cs="宋体"/>
          <w:sz w:val="24"/>
        </w:rPr>
        <w:t>实际控制人及其控制的其他企业进行担保</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1-1-208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800" w:right="1600"/>
        <w:jc w:val="both"/>
      </w:pPr>
      <w:r>
        <w:rPr>
          <w:rFonts w:hint="eastAsia" w:ascii="宋体" w:hAnsi="宋体" w:eastAsia="宋体" w:cs="宋体"/>
          <w:sz w:val="24"/>
        </w:rPr>
        <w:t>的情况</w:t>
      </w:r>
      <w:r>
        <w:rPr>
          <w:rFonts w:hint="eastAsia" w:ascii="宋体" w:hAnsi="宋体" w:eastAsia="宋体" w:cs="宋体"/>
          <w:sz w:val="14"/>
        </w:rPr>
        <w:t>；</w:t>
      </w:r>
      <w:r>
        <w:rPr>
          <w:rFonts w:hint="eastAsia" w:ascii="宋体" w:hAnsi="宋体" w:eastAsia="宋体" w:cs="宋体"/>
          <w:sz w:val="24"/>
        </w:rPr>
        <w:t>亦不存在资金</w:t>
      </w:r>
      <w:r>
        <w:rPr>
          <w:rFonts w:hint="eastAsia" w:ascii="宋体" w:hAnsi="宋体" w:eastAsia="宋体" w:cs="宋体"/>
          <w:sz w:val="10"/>
        </w:rPr>
        <w:t>、</w:t>
      </w:r>
      <w:r>
        <w:rPr>
          <w:rFonts w:hint="eastAsia" w:ascii="宋体" w:hAnsi="宋体" w:eastAsia="宋体" w:cs="宋体"/>
          <w:sz w:val="24"/>
        </w:rPr>
        <w:t>资产被控股股东</w:t>
      </w:r>
      <w:r>
        <w:rPr>
          <w:rFonts w:hint="eastAsia" w:ascii="宋体" w:hAnsi="宋体" w:eastAsia="宋体" w:cs="宋体"/>
          <w:sz w:val="10"/>
        </w:rPr>
        <w:t>、</w:t>
      </w:r>
      <w:r>
        <w:rPr>
          <w:rFonts w:hint="eastAsia" w:ascii="宋体" w:hAnsi="宋体" w:eastAsia="宋体" w:cs="宋体"/>
          <w:sz w:val="24"/>
        </w:rPr>
        <w:t>实际控制人及其控制的其他企业以借款</w:t>
      </w:r>
      <w:r>
        <w:rPr>
          <w:rFonts w:hint="eastAsia" w:ascii="宋体" w:hAnsi="宋体" w:eastAsia="宋体" w:cs="宋体"/>
          <w:sz w:val="10"/>
        </w:rPr>
        <w:t>、</w:t>
      </w:r>
      <w:r>
        <w:rPr>
          <w:rFonts w:hint="eastAsia" w:ascii="宋体" w:hAnsi="宋体" w:eastAsia="宋体" w:cs="宋体"/>
          <w:sz w:val="24"/>
        </w:rPr>
        <w:t>代偿债务</w:t>
      </w:r>
      <w:r>
        <w:rPr>
          <w:rFonts w:hint="eastAsia" w:ascii="宋体" w:hAnsi="宋体" w:eastAsia="宋体" w:cs="宋体"/>
          <w:sz w:val="10"/>
        </w:rPr>
        <w:t>、</w:t>
      </w:r>
      <w:r>
        <w:rPr>
          <w:rFonts w:hint="eastAsia" w:ascii="宋体" w:hAnsi="宋体" w:eastAsia="宋体" w:cs="宋体"/>
          <w:sz w:val="24"/>
        </w:rPr>
        <w:t>代垫款或者其他方式占用的情况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800" w:right="1600" w:firstLine="480"/>
        <w:jc w:val="both"/>
      </w:pPr>
      <w:r>
        <w:rPr>
          <w:rFonts w:hint="eastAsia" w:ascii="宋体" w:hAnsi="宋体" w:eastAsia="宋体" w:cs="宋体"/>
          <w:sz w:val="24"/>
        </w:rPr>
        <w:t>公司控股股东</w:t>
      </w:r>
      <w:r>
        <w:rPr>
          <w:rFonts w:hint="eastAsia" w:ascii="宋体" w:hAnsi="宋体" w:eastAsia="宋体" w:cs="宋体"/>
          <w:sz w:val="10"/>
        </w:rPr>
        <w:t>、</w:t>
      </w:r>
      <w:r>
        <w:rPr>
          <w:rFonts w:hint="eastAsia" w:ascii="宋体" w:hAnsi="宋体" w:eastAsia="宋体" w:cs="宋体"/>
          <w:sz w:val="24"/>
        </w:rPr>
        <w:t>实际控制人严孟宇于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日出具了《避免资金占用承诺函》，</w:t>
      </w:r>
      <w:r>
        <w:rPr>
          <w:rFonts w:hint="eastAsia" w:ascii="宋体" w:hAnsi="宋体" w:eastAsia="宋体" w:cs="宋体"/>
          <w:sz w:val="24"/>
        </w:rPr>
        <w:t>承诺</w:t>
      </w:r>
      <w:r>
        <w:rPr>
          <w:rFonts w:hint="eastAsia" w:ascii="宋体" w:hAnsi="宋体" w:eastAsia="宋体" w:cs="宋体"/>
          <w:sz w:val="12"/>
        </w:rPr>
        <w:t>：（</w:t>
      </w:r>
      <w:r>
        <w:rPr>
          <w:rFonts w:hint="eastAsia" w:ascii="Times New Roman" w:hAnsi="Times New Roman" w:eastAsia="Times New Roman" w:cs="Times New Roman"/>
          <w:sz w:val="24"/>
        </w:rPr>
        <w:t>1</w:t>
      </w:r>
      <w:r>
        <w:rPr>
          <w:rFonts w:hint="eastAsia" w:ascii="宋体" w:hAnsi="宋体" w:eastAsia="宋体" w:cs="宋体"/>
          <w:sz w:val="24"/>
        </w:rPr>
        <w:t>）本人及本人实际控制的企业（除顶点软件及其子公司外），</w:t>
      </w:r>
      <w:r>
        <w:rPr>
          <w:rFonts w:hint="eastAsia" w:ascii="宋体" w:hAnsi="宋体" w:eastAsia="宋体" w:cs="宋体"/>
          <w:sz w:val="24"/>
        </w:rPr>
        <w:t>今后不会以任何理由</w:t>
      </w:r>
      <w:r>
        <w:rPr>
          <w:rFonts w:hint="eastAsia" w:ascii="宋体" w:hAnsi="宋体" w:eastAsia="宋体" w:cs="宋体"/>
          <w:sz w:val="10"/>
        </w:rPr>
        <w:t>、</w:t>
      </w:r>
      <w:r>
        <w:rPr>
          <w:rFonts w:hint="eastAsia" w:ascii="宋体" w:hAnsi="宋体" w:eastAsia="宋体" w:cs="宋体"/>
          <w:sz w:val="24"/>
        </w:rPr>
        <w:t>任何形式占用顶点软件及其子公司资金</w:t>
      </w:r>
      <w:r>
        <w:rPr>
          <w:rFonts w:hint="eastAsia" w:ascii="宋体" w:hAnsi="宋体" w:eastAsia="宋体" w:cs="宋体"/>
          <w:sz w:val="10"/>
        </w:rPr>
        <w:t>。（</w:t>
      </w:r>
      <w:r>
        <w:rPr>
          <w:rFonts w:hint="eastAsia" w:ascii="Times New Roman" w:hAnsi="Times New Roman" w:eastAsia="Times New Roman" w:cs="Times New Roman"/>
          <w:sz w:val="24"/>
        </w:rPr>
        <w:t>2</w:t>
      </w:r>
      <w:r>
        <w:rPr>
          <w:rFonts w:hint="eastAsia" w:ascii="宋体" w:hAnsi="宋体" w:eastAsia="宋体" w:cs="宋体"/>
          <w:sz w:val="24"/>
        </w:rPr>
        <w:t>）本人严格遵守《公司法》及中国证监会关于上市公司法人治理的有关规定</w:t>
      </w:r>
      <w:r>
        <w:rPr>
          <w:rFonts w:hint="eastAsia" w:ascii="宋体" w:hAnsi="宋体" w:eastAsia="宋体" w:cs="宋体"/>
          <w:sz w:val="10"/>
        </w:rPr>
        <w:t>，</w:t>
      </w:r>
      <w:r>
        <w:rPr>
          <w:rFonts w:hint="eastAsia" w:ascii="宋体" w:hAnsi="宋体" w:eastAsia="宋体" w:cs="宋体"/>
          <w:sz w:val="24"/>
        </w:rPr>
        <w:t>维护顶点软件的独立性</w:t>
      </w:r>
      <w:r>
        <w:rPr>
          <w:rFonts w:hint="eastAsia" w:ascii="宋体" w:hAnsi="宋体" w:eastAsia="宋体" w:cs="宋体"/>
          <w:sz w:val="10"/>
        </w:rPr>
        <w:t>，</w:t>
      </w:r>
      <w:r>
        <w:rPr>
          <w:rFonts w:hint="eastAsia" w:ascii="宋体" w:hAnsi="宋体" w:eastAsia="宋体" w:cs="宋体"/>
          <w:sz w:val="24"/>
        </w:rPr>
        <w:t>绝不损害顶点软件及其他中小股东利益</w:t>
      </w:r>
      <w:r>
        <w:rPr>
          <w:rFonts w:hint="eastAsia" w:ascii="宋体" w:hAnsi="宋体" w:eastAsia="宋体" w:cs="宋体"/>
          <w:sz w:val="10"/>
        </w:rPr>
        <w:t>。（</w:t>
      </w:r>
      <w:r>
        <w:rPr>
          <w:rFonts w:hint="eastAsia" w:ascii="Times New Roman" w:hAnsi="Times New Roman" w:eastAsia="Times New Roman" w:cs="Times New Roman"/>
          <w:sz w:val="24"/>
        </w:rPr>
        <w:t>3</w:t>
      </w:r>
      <w:r>
        <w:rPr>
          <w:rFonts w:hint="eastAsia" w:ascii="宋体" w:hAnsi="宋体" w:eastAsia="宋体" w:cs="宋体"/>
          <w:sz w:val="24"/>
        </w:rPr>
        <w:t>）本承诺具有法律效力</w:t>
      </w:r>
      <w:r>
        <w:rPr>
          <w:rFonts w:hint="eastAsia" w:ascii="宋体" w:hAnsi="宋体" w:eastAsia="宋体" w:cs="宋体"/>
          <w:sz w:val="10"/>
        </w:rPr>
        <w:t>，</w:t>
      </w:r>
      <w:r>
        <w:rPr>
          <w:rFonts w:hint="eastAsia" w:ascii="宋体" w:hAnsi="宋体" w:eastAsia="宋体" w:cs="宋体"/>
          <w:sz w:val="24"/>
        </w:rPr>
        <w:t>如有违反</w:t>
      </w:r>
      <w:r>
        <w:rPr>
          <w:rFonts w:hint="eastAsia" w:ascii="宋体" w:hAnsi="宋体" w:eastAsia="宋体" w:cs="宋体"/>
          <w:sz w:val="10"/>
        </w:rPr>
        <w:t>，</w:t>
      </w:r>
      <w:r>
        <w:rPr>
          <w:rFonts w:hint="eastAsia" w:ascii="宋体" w:hAnsi="宋体" w:eastAsia="宋体" w:cs="宋体"/>
          <w:sz w:val="24"/>
        </w:rPr>
        <w:t>本人除按照有关法律规定承担相应的法律责任外</w:t>
      </w:r>
      <w:r>
        <w:rPr>
          <w:rFonts w:hint="eastAsia" w:ascii="宋体" w:hAnsi="宋体" w:eastAsia="宋体" w:cs="宋体"/>
          <w:sz w:val="10"/>
        </w:rPr>
        <w:t>，</w:t>
      </w:r>
      <w:r>
        <w:rPr>
          <w:rFonts w:hint="eastAsia" w:ascii="宋体" w:hAnsi="宋体" w:eastAsia="宋体" w:cs="宋体"/>
          <w:sz w:val="24"/>
        </w:rPr>
        <w:t>还将按照发生资金占用当年顶点软件的净资产收益率和同期银行贷款利率孰高原则</w:t>
      </w:r>
      <w:r>
        <w:rPr>
          <w:rFonts w:hint="eastAsia" w:ascii="宋体" w:hAnsi="宋体" w:eastAsia="宋体" w:cs="宋体"/>
          <w:sz w:val="10"/>
        </w:rPr>
        <w:t>，</w:t>
      </w:r>
      <w:r>
        <w:rPr>
          <w:rFonts w:hint="eastAsia" w:ascii="宋体" w:hAnsi="宋体" w:eastAsia="宋体" w:cs="宋体"/>
          <w:sz w:val="24"/>
        </w:rPr>
        <w:t>向顶点软件承担民事赔偿责任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公司内部控制制度评估意见</w:t>
      </w: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宋体" w:hAnsi="宋体" w:eastAsia="宋体" w:cs="宋体"/>
          <w:b/>
          <w:sz w:val="30"/>
        </w:rPr>
        <w:t>（一）</w:t>
      </w:r>
      <w:r>
        <w:rPr>
          <w:rFonts w:hint="eastAsia" w:ascii="宋体" w:hAnsi="宋体" w:eastAsia="宋体" w:cs="宋体"/>
          <w:b/>
          <w:sz w:val="24"/>
        </w:rPr>
        <w:t>内部控制的自我评估意见</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公司建立了较为完善的内部控制制度</w:t>
      </w:r>
      <w:r>
        <w:rPr>
          <w:rFonts w:hint="eastAsia" w:ascii="宋体" w:hAnsi="宋体" w:eastAsia="宋体" w:cs="宋体"/>
          <w:sz w:val="10"/>
        </w:rPr>
        <w:t>，</w:t>
      </w:r>
      <w:r>
        <w:rPr>
          <w:rFonts w:hint="eastAsia" w:ascii="宋体" w:hAnsi="宋体" w:eastAsia="宋体" w:cs="宋体"/>
          <w:sz w:val="24"/>
        </w:rPr>
        <w:t>能够适应公司现行管理的发展需要</w:t>
      </w:r>
      <w:r>
        <w:rPr>
          <w:rFonts w:hint="eastAsia" w:ascii="宋体" w:hAnsi="宋体" w:eastAsia="宋体" w:cs="宋体"/>
          <w:sz w:val="10"/>
        </w:rPr>
        <w:t>，</w:t>
      </w:r>
      <w:r>
        <w:rPr>
          <w:rFonts w:hint="eastAsia" w:ascii="宋体" w:hAnsi="宋体" w:eastAsia="宋体" w:cs="宋体"/>
          <w:sz w:val="24"/>
        </w:rPr>
        <w:t>公司的各项控制制度在营运的各个环节均得到了有效执行</w:t>
      </w:r>
      <w:r>
        <w:rPr>
          <w:rFonts w:hint="eastAsia" w:ascii="宋体" w:hAnsi="宋体" w:eastAsia="宋体" w:cs="宋体"/>
          <w:sz w:val="10"/>
        </w:rPr>
        <w:t>，</w:t>
      </w:r>
      <w:r>
        <w:rPr>
          <w:rFonts w:hint="eastAsia" w:ascii="宋体" w:hAnsi="宋体" w:eastAsia="宋体" w:cs="宋体"/>
          <w:sz w:val="24"/>
        </w:rPr>
        <w:t>在重大投资</w:t>
      </w:r>
      <w:r>
        <w:rPr>
          <w:rFonts w:hint="eastAsia" w:ascii="宋体" w:hAnsi="宋体" w:eastAsia="宋体" w:cs="宋体"/>
          <w:sz w:val="10"/>
        </w:rPr>
        <w:t>、</w:t>
      </w:r>
      <w:r>
        <w:rPr>
          <w:rFonts w:hint="eastAsia" w:ascii="宋体" w:hAnsi="宋体" w:eastAsia="宋体" w:cs="宋体"/>
          <w:sz w:val="24"/>
        </w:rPr>
        <w:t>信息披露</w:t>
      </w:r>
      <w:r>
        <w:rPr>
          <w:rFonts w:hint="eastAsia" w:ascii="宋体" w:hAnsi="宋体" w:eastAsia="宋体" w:cs="宋体"/>
          <w:sz w:val="10"/>
        </w:rPr>
        <w:t>、</w:t>
      </w:r>
      <w:r>
        <w:rPr>
          <w:rFonts w:hint="eastAsia" w:ascii="宋体" w:hAnsi="宋体" w:eastAsia="宋体" w:cs="宋体"/>
          <w:sz w:val="24"/>
        </w:rPr>
        <w:t>风险防范等方面发挥了较好的控制作用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20" w:firstLine="480"/>
        <w:jc w:val="both"/>
      </w:pPr>
      <w:r>
        <w:rPr>
          <w:rFonts w:hint="eastAsia" w:ascii="宋体" w:hAnsi="宋体" w:eastAsia="宋体" w:cs="宋体"/>
          <w:sz w:val="24"/>
        </w:rPr>
        <w:t>通过内部控制制度的有效实施</w:t>
      </w:r>
      <w:r>
        <w:rPr>
          <w:rFonts w:hint="eastAsia" w:ascii="宋体" w:hAnsi="宋体" w:eastAsia="宋体" w:cs="宋体"/>
          <w:sz w:val="10"/>
        </w:rPr>
        <w:t>，</w:t>
      </w:r>
      <w:r>
        <w:rPr>
          <w:rFonts w:hint="eastAsia" w:ascii="宋体" w:hAnsi="宋体" w:eastAsia="宋体" w:cs="宋体"/>
          <w:sz w:val="24"/>
        </w:rPr>
        <w:t>确保了公司经营活动的有效进行</w:t>
      </w:r>
      <w:r>
        <w:rPr>
          <w:rFonts w:hint="eastAsia" w:ascii="宋体" w:hAnsi="宋体" w:eastAsia="宋体" w:cs="宋体"/>
          <w:sz w:val="10"/>
        </w:rPr>
        <w:t>，</w:t>
      </w:r>
      <w:r>
        <w:rPr>
          <w:rFonts w:hint="eastAsia" w:ascii="宋体" w:hAnsi="宋体" w:eastAsia="宋体" w:cs="宋体"/>
          <w:sz w:val="24"/>
        </w:rPr>
        <w:t>促进了公司战略发展的实施</w:t>
      </w:r>
      <w:r>
        <w:rPr>
          <w:rFonts w:hint="eastAsia" w:ascii="宋体" w:hAnsi="宋体" w:eastAsia="宋体" w:cs="宋体"/>
          <w:sz w:val="10"/>
        </w:rPr>
        <w:t>，</w:t>
      </w:r>
      <w:r>
        <w:rPr>
          <w:rFonts w:hint="eastAsia" w:ascii="宋体" w:hAnsi="宋体" w:eastAsia="宋体" w:cs="宋体"/>
          <w:sz w:val="24"/>
        </w:rPr>
        <w:t>切实维护了股东的利益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公司董事会对</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日与财务报表相关的内部控制的执行情况进行了自我评估</w:t>
      </w:r>
      <w:r>
        <w:rPr>
          <w:rFonts w:hint="eastAsia" w:ascii="宋体" w:hAnsi="宋体" w:eastAsia="宋体" w:cs="宋体"/>
          <w:sz w:val="10"/>
        </w:rPr>
        <w:t>，</w:t>
      </w:r>
      <w:r>
        <w:rPr>
          <w:rFonts w:hint="eastAsia" w:ascii="宋体" w:hAnsi="宋体" w:eastAsia="宋体" w:cs="宋体"/>
          <w:sz w:val="24"/>
        </w:rPr>
        <w:t>没有发现内部控制设计或执行方面的重大缺陷</w:t>
      </w:r>
      <w:r>
        <w:rPr>
          <w:rFonts w:hint="eastAsia" w:ascii="宋体" w:hAnsi="宋体" w:eastAsia="宋体" w:cs="宋体"/>
          <w:sz w:val="10"/>
        </w:rPr>
        <w:t>，</w:t>
      </w:r>
      <w:r>
        <w:rPr>
          <w:rFonts w:hint="eastAsia" w:ascii="宋体" w:hAnsi="宋体" w:eastAsia="宋体" w:cs="宋体"/>
          <w:sz w:val="24"/>
        </w:rPr>
        <w:t>本公司董事会认为</w:t>
      </w:r>
      <w:r>
        <w:rPr>
          <w:rFonts w:hint="eastAsia" w:ascii="宋体" w:hAnsi="宋体" w:eastAsia="宋体" w:cs="宋体"/>
          <w:sz w:val="12"/>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日与财务报表相关的内部控制制度是健全有效的</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800"/>
        <w:jc w:val="both"/>
      </w:pPr>
      <w:r>
        <w:rPr>
          <w:rFonts w:hint="eastAsia" w:ascii="宋体" w:hAnsi="宋体" w:eastAsia="宋体" w:cs="宋体"/>
          <w:b/>
          <w:sz w:val="24"/>
        </w:rPr>
        <w:t>（二）注册会计师对公司内部控制的鉴证意见</w:t>
      </w:r>
    </w:p>
    <w:p>
      <w:pPr>
        <w:spacing w:line="200" w:lineRule="exact"/>
        <w:rPr>
          <w:rFonts w:hint="eastAsia" w:ascii="宋体" w:hAnsi="宋体" w:eastAsia="宋体" w:cs="宋体"/>
          <w:sz w:val="20"/>
        </w:rPr>
      </w:pPr>
    </w:p>
    <w:p>
      <w:pPr>
        <w:autoSpaceDE w:val="false"/>
        <w:autoSpaceDN w:val="false"/>
        <w:spacing w:line="440" w:lineRule="exact"/>
        <w:ind w:left="1800" w:right="1600" w:firstLine="480"/>
        <w:jc w:val="both"/>
      </w:pPr>
      <w:r>
        <w:rPr>
          <w:rFonts w:hint="eastAsia" w:ascii="宋体" w:hAnsi="宋体" w:eastAsia="宋体" w:cs="宋体"/>
          <w:sz w:val="24"/>
        </w:rPr>
        <w:t>致同所根据财政部《企业内部控制基本规范》及相关具体规范</w:t>
      </w:r>
      <w:r>
        <w:rPr>
          <w:rFonts w:hint="eastAsia" w:ascii="宋体" w:hAnsi="宋体" w:eastAsia="宋体" w:cs="宋体"/>
          <w:sz w:val="10"/>
        </w:rPr>
        <w:t>，</w:t>
      </w:r>
      <w:r>
        <w:rPr>
          <w:rFonts w:hint="eastAsia" w:ascii="宋体" w:hAnsi="宋体" w:eastAsia="宋体" w:cs="宋体"/>
          <w:sz w:val="24"/>
        </w:rPr>
        <w:t>对公司内部控制制度进行了审核</w:t>
      </w:r>
      <w:r>
        <w:rPr>
          <w:rFonts w:hint="eastAsia" w:ascii="宋体" w:hAnsi="宋体" w:eastAsia="宋体" w:cs="宋体"/>
          <w:sz w:val="10"/>
        </w:rPr>
        <w:t>，</w:t>
      </w:r>
      <w:r>
        <w:rPr>
          <w:rFonts w:hint="eastAsia" w:ascii="宋体" w:hAnsi="宋体" w:eastAsia="宋体" w:cs="宋体"/>
          <w:sz w:val="24"/>
        </w:rPr>
        <w:t>出具了《内部控制鉴证报告》（致同专字</w:t>
      </w:r>
      <w:r>
        <w:rPr>
          <w:rFonts w:hint="eastAsia" w:ascii="Times New Roman" w:hAnsi="Times New Roman" w:eastAsia="Times New Roman" w:cs="Times New Roman"/>
          <w:sz w:val="24"/>
        </w:rPr>
        <w:t xml:space="preserve"> (2017)</w:t>
      </w:r>
      <w:r>
        <w:rPr>
          <w:rFonts w:hint="eastAsia" w:ascii="宋体" w:hAnsi="宋体" w:eastAsia="宋体" w:cs="宋体"/>
          <w:sz w:val="24"/>
        </w:rPr>
        <w:t>第</w:t>
      </w:r>
      <w:r>
        <w:rPr>
          <w:rFonts w:hint="eastAsia" w:ascii="Times New Roman" w:hAnsi="Times New Roman" w:eastAsia="Times New Roman" w:cs="Times New Roman"/>
          <w:sz w:val="24"/>
        </w:rPr>
        <w:t>350ZA0204</w:t>
      </w:r>
      <w:r>
        <w:rPr>
          <w:rFonts w:hint="eastAsia" w:ascii="宋体" w:hAnsi="宋体" w:eastAsia="宋体" w:cs="宋体"/>
          <w:sz w:val="24"/>
        </w:rPr>
        <w:t xml:space="preserve"> 号），</w:t>
      </w:r>
      <w:r>
        <w:rPr>
          <w:rFonts w:hint="eastAsia" w:ascii="宋体" w:hAnsi="宋体" w:eastAsia="宋体" w:cs="宋体"/>
          <w:sz w:val="24"/>
        </w:rPr>
        <w:t>认为</w:t>
      </w:r>
      <w:r>
        <w:rPr>
          <w:rFonts w:hint="eastAsia" w:ascii="宋体" w:hAnsi="宋体" w:eastAsia="宋体" w:cs="宋体"/>
          <w:sz w:val="12"/>
        </w:rPr>
        <w:t>：“</w:t>
      </w:r>
      <w:r>
        <w:rPr>
          <w:rFonts w:hint="eastAsia" w:ascii="宋体" w:hAnsi="宋体" w:eastAsia="宋体" w:cs="宋体"/>
          <w:sz w:val="24"/>
        </w:rPr>
        <w:t>顶点软件公司于</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日在所有重大方面有效地保持了按照《企业内部控制基本规范》建立的与财务报表相关的内部控制</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1-1-209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4220"/>
        <w:jc w:val="both"/>
      </w:pPr>
      <w:r>
        <w:rPr>
          <w:rFonts w:hint="eastAsia" w:ascii="ºÚÌå" w:hAnsi="ºÚÌå" w:eastAsia="ºÚÌå" w:cs="ºÚÌå"/>
          <w:b/>
          <w:sz w:val="36"/>
        </w:rPr>
        <w:t>第十节</w:t>
      </w:r>
      <w:r>
        <w:rPr>
          <w:rFonts w:hint="eastAsia" w:ascii="ºÚÌå" w:hAnsi="ºÚÌå" w:eastAsia="ºÚÌå" w:cs="ºÚÌå"/>
          <w:b/>
          <w:sz w:val="36"/>
        </w:rPr>
        <w:t xml:space="preserve"> </w:t>
      </w:r>
      <w:r>
        <w:rPr>
          <w:rFonts w:hint="eastAsia" w:ascii="ºÚÌå" w:hAnsi="ºÚÌå" w:eastAsia="ºÚÌå" w:cs="ºÚÌå"/>
          <w:b/>
          <w:sz w:val="36"/>
        </w:rPr>
        <w:t>财务会计信息</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以下引用的财务数据</w:t>
      </w:r>
      <w:r>
        <w:rPr>
          <w:rFonts w:hint="eastAsia" w:ascii="宋体" w:hAnsi="宋体" w:eastAsia="宋体" w:cs="宋体"/>
          <w:sz w:val="10"/>
        </w:rPr>
        <w:t>，</w:t>
      </w:r>
      <w:r>
        <w:rPr>
          <w:rFonts w:hint="eastAsia" w:ascii="宋体" w:hAnsi="宋体" w:eastAsia="宋体" w:cs="宋体"/>
          <w:sz w:val="24"/>
        </w:rPr>
        <w:t>非经特别说明</w:t>
      </w:r>
      <w:r>
        <w:rPr>
          <w:rFonts w:hint="eastAsia" w:ascii="宋体" w:hAnsi="宋体" w:eastAsia="宋体" w:cs="宋体"/>
          <w:sz w:val="10"/>
        </w:rPr>
        <w:t>，</w:t>
      </w:r>
      <w:r>
        <w:rPr>
          <w:rFonts w:hint="eastAsia" w:ascii="宋体" w:hAnsi="宋体" w:eastAsia="宋体" w:cs="宋体"/>
          <w:sz w:val="24"/>
        </w:rPr>
        <w:t>均引自经审计的财务报表</w:t>
      </w:r>
      <w:r>
        <w:rPr>
          <w:rFonts w:hint="eastAsia" w:ascii="宋体" w:hAnsi="宋体" w:eastAsia="宋体" w:cs="宋体"/>
          <w:sz w:val="10"/>
        </w:rPr>
        <w:t>。</w:t>
      </w:r>
      <w:r>
        <w:rPr>
          <w:rFonts w:hint="eastAsia" w:ascii="宋体" w:hAnsi="宋体" w:eastAsia="宋体" w:cs="宋体"/>
          <w:sz w:val="24"/>
        </w:rPr>
        <w:t>本章的财务会计数据及有关的分析反映了本公司报告期内经审计的财务报表及有关附注的重要内容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24"/>
        </w:rPr>
        <w:t>一、</w:t>
      </w:r>
      <w:r>
        <w:rPr>
          <w:rFonts w:hint="eastAsia" w:ascii="ºÚÌå" w:hAnsi="ºÚÌå" w:eastAsia="ºÚÌå" w:cs="ºÚÌå"/>
          <w:sz w:val="30"/>
        </w:rPr>
        <w:t>会计师事务所的审计意见类型</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800" w:right="1600" w:firstLine="480"/>
        <w:jc w:val="both"/>
      </w:pPr>
      <w:r>
        <w:rPr>
          <w:rFonts w:hint="eastAsia" w:ascii="宋体" w:hAnsi="宋体" w:eastAsia="宋体" w:cs="宋体"/>
          <w:sz w:val="24"/>
        </w:rPr>
        <w:t>致同所接受本公司委托</w:t>
      </w:r>
      <w:r>
        <w:rPr>
          <w:rFonts w:hint="eastAsia" w:ascii="宋体" w:hAnsi="宋体" w:eastAsia="宋体" w:cs="宋体"/>
          <w:sz w:val="10"/>
        </w:rPr>
        <w:t>，</w:t>
      </w:r>
      <w:r>
        <w:rPr>
          <w:rFonts w:hint="eastAsia" w:ascii="宋体" w:hAnsi="宋体" w:eastAsia="宋体" w:cs="宋体"/>
          <w:sz w:val="24"/>
        </w:rPr>
        <w:t>对本公司的财务报表</w:t>
      </w:r>
      <w:r>
        <w:rPr>
          <w:rFonts w:hint="eastAsia" w:ascii="宋体" w:hAnsi="宋体" w:eastAsia="宋体" w:cs="宋体"/>
          <w:sz w:val="10"/>
        </w:rPr>
        <w:t>，</w:t>
      </w:r>
      <w:r>
        <w:rPr>
          <w:rFonts w:hint="eastAsia" w:ascii="宋体" w:hAnsi="宋体" w:eastAsia="宋体" w:cs="宋体"/>
          <w:sz w:val="24"/>
        </w:rPr>
        <w:t>包括</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日的合并及母公司资产负债表</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年度的合并及母公司利润表</w:t>
      </w:r>
      <w:r>
        <w:rPr>
          <w:rFonts w:hint="eastAsia" w:ascii="宋体" w:hAnsi="宋体" w:eastAsia="宋体" w:cs="宋体"/>
          <w:sz w:val="10"/>
        </w:rPr>
        <w:t>、</w:t>
      </w:r>
      <w:r>
        <w:rPr>
          <w:rFonts w:hint="eastAsia" w:ascii="宋体" w:hAnsi="宋体" w:eastAsia="宋体" w:cs="宋体"/>
          <w:sz w:val="24"/>
        </w:rPr>
        <w:t>合并及母公司现金流量表</w:t>
      </w:r>
      <w:r>
        <w:rPr>
          <w:rFonts w:hint="eastAsia" w:ascii="宋体" w:hAnsi="宋体" w:eastAsia="宋体" w:cs="宋体"/>
          <w:sz w:val="10"/>
        </w:rPr>
        <w:t>，</w:t>
      </w:r>
      <w:r>
        <w:rPr>
          <w:rFonts w:hint="eastAsia" w:ascii="宋体" w:hAnsi="宋体" w:eastAsia="宋体" w:cs="宋体"/>
          <w:sz w:val="24"/>
        </w:rPr>
        <w:t>以及财务报表附注进行了审计</w:t>
      </w:r>
      <w:r>
        <w:rPr>
          <w:rFonts w:hint="eastAsia" w:ascii="宋体" w:hAnsi="宋体" w:eastAsia="宋体" w:cs="宋体"/>
          <w:sz w:val="10"/>
        </w:rPr>
        <w:t>，</w:t>
      </w:r>
      <w:r>
        <w:rPr>
          <w:rFonts w:hint="eastAsia" w:ascii="宋体" w:hAnsi="宋体" w:eastAsia="宋体" w:cs="宋体"/>
          <w:sz w:val="24"/>
        </w:rPr>
        <w:t>并出具了</w:t>
      </w:r>
      <w:r>
        <w:rPr>
          <w:rFonts w:hint="eastAsia" w:ascii="宋体" w:hAnsi="宋体" w:eastAsia="宋体" w:cs="宋体"/>
          <w:sz w:val="10"/>
        </w:rPr>
        <w:t>“</w:t>
      </w:r>
      <w:r>
        <w:rPr>
          <w:rFonts w:hint="eastAsia" w:ascii="宋体" w:hAnsi="宋体" w:eastAsia="宋体" w:cs="宋体"/>
          <w:sz w:val="24"/>
        </w:rPr>
        <w:t>致同审字（</w:t>
      </w:r>
      <w:r>
        <w:rPr>
          <w:rFonts w:hint="eastAsia" w:ascii="Times New Roman" w:hAnsi="Times New Roman" w:eastAsia="Times New Roman" w:cs="Times New Roman"/>
          <w:sz w:val="24"/>
        </w:rPr>
        <w:t>2017</w:t>
      </w:r>
      <w:r>
        <w:rPr>
          <w:rFonts w:hint="eastAsia" w:ascii="宋体" w:hAnsi="宋体" w:eastAsia="宋体" w:cs="宋体"/>
          <w:sz w:val="24"/>
        </w:rPr>
        <w:t>）第</w:t>
      </w:r>
      <w:r>
        <w:rPr>
          <w:rFonts w:hint="eastAsia" w:ascii="Times New Roman" w:hAnsi="Times New Roman" w:eastAsia="Times New Roman" w:cs="Times New Roman"/>
          <w:sz w:val="24"/>
        </w:rPr>
        <w:t xml:space="preserve"> 350ZA0226</w:t>
      </w:r>
      <w:r>
        <w:rPr>
          <w:rFonts w:hint="eastAsia" w:ascii="宋体" w:hAnsi="宋体" w:eastAsia="宋体" w:cs="宋体"/>
          <w:sz w:val="24"/>
        </w:rPr>
        <w:t xml:space="preserve"> 号</w:t>
      </w:r>
      <w:r>
        <w:rPr>
          <w:rFonts w:hint="eastAsia" w:ascii="宋体" w:hAnsi="宋体" w:eastAsia="宋体" w:cs="宋体"/>
          <w:sz w:val="10"/>
        </w:rPr>
        <w:t>”</w:t>
      </w:r>
      <w:r>
        <w:rPr>
          <w:rFonts w:hint="eastAsia" w:ascii="宋体" w:hAnsi="宋体" w:eastAsia="宋体" w:cs="宋体"/>
          <w:sz w:val="24"/>
        </w:rPr>
        <w:t>标准无保留意见《审计报告》。</w:t>
      </w:r>
      <w:r>
        <w:rPr>
          <w:rFonts w:hint="eastAsia" w:ascii="宋体" w:hAnsi="宋体" w:eastAsia="宋体" w:cs="宋体"/>
          <w:sz w:val="24"/>
        </w:rPr>
        <w:t>审计意见如下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10"/>
        </w:rPr>
        <w:t>“</w:t>
      </w:r>
      <w:r>
        <w:rPr>
          <w:rFonts w:hint="eastAsia" w:ascii="宋体" w:hAnsi="宋体" w:eastAsia="宋体" w:cs="宋体"/>
          <w:sz w:val="24"/>
        </w:rPr>
        <w:t>我们认为</w:t>
      </w:r>
      <w:r>
        <w:rPr>
          <w:rFonts w:hint="eastAsia" w:ascii="宋体" w:hAnsi="宋体" w:eastAsia="宋体" w:cs="宋体"/>
          <w:sz w:val="10"/>
        </w:rPr>
        <w:t>，</w:t>
      </w:r>
      <w:r>
        <w:rPr>
          <w:rFonts w:hint="eastAsia" w:ascii="宋体" w:hAnsi="宋体" w:eastAsia="宋体" w:cs="宋体"/>
          <w:sz w:val="24"/>
        </w:rPr>
        <w:t>顶点软件公司财务报表在所有重大方面按照企业会计准则的规</w:t>
      </w:r>
    </w:p>
    <w:p>
      <w:pPr>
        <w:spacing w:line="200" w:lineRule="exact"/>
        <w:rPr>
          <w:rFonts w:hint="eastAsia" w:ascii="宋体" w:hAnsi="宋体" w:eastAsia="宋体" w:cs="宋体"/>
          <w:sz w:val="20"/>
        </w:rPr>
      </w:pPr>
    </w:p>
    <w:p>
      <w:pPr>
        <w:autoSpaceDE w:val="false"/>
        <w:autoSpaceDN w:val="false"/>
        <w:spacing w:line="400" w:lineRule="exact"/>
        <w:ind w:left="1800" w:right="1600"/>
        <w:jc w:val="both"/>
      </w:pPr>
      <w:r>
        <w:rPr>
          <w:rFonts w:hint="eastAsia" w:ascii="宋体" w:hAnsi="宋体" w:eastAsia="宋体" w:cs="宋体"/>
          <w:sz w:val="24"/>
        </w:rPr>
        <w:t>定编制</w:t>
      </w:r>
      <w:r>
        <w:rPr>
          <w:rFonts w:hint="eastAsia" w:ascii="宋体" w:hAnsi="宋体" w:eastAsia="宋体" w:cs="宋体"/>
          <w:sz w:val="10"/>
        </w:rPr>
        <w:t>，</w:t>
      </w:r>
      <w:r>
        <w:rPr>
          <w:rFonts w:hint="eastAsia" w:ascii="宋体" w:hAnsi="宋体" w:eastAsia="宋体" w:cs="宋体"/>
          <w:sz w:val="24"/>
        </w:rPr>
        <w:t>公允反映了顶点软件公司</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年</w:t>
      </w:r>
      <w:r>
        <w:rPr>
          <w:rFonts w:hint="eastAsia" w:ascii="Times New Roman" w:hAnsi="Times New Roman" w:eastAsia="Times New Roman" w:cs="Times New Roman"/>
          <w:sz w:val="24"/>
        </w:rPr>
        <w:t>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日的合并及公司财务状况以及</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年度的合并及公司经营成果和合并及公司现金流量</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60" w:lineRule="exact"/>
        <w:ind w:left="1800"/>
        <w:jc w:val="both"/>
      </w:pPr>
      <w:r>
        <w:rPr>
          <w:rFonts w:hint="eastAsia" w:ascii="ºÚÌå" w:hAnsi="ºÚÌå" w:eastAsia="ºÚÌå" w:cs="ºÚÌå"/>
          <w:sz w:val="24"/>
        </w:rPr>
        <w:t>二、</w:t>
      </w:r>
      <w:r>
        <w:rPr>
          <w:rFonts w:hint="eastAsia" w:ascii="ºÚÌå" w:hAnsi="ºÚÌå" w:eastAsia="ºÚÌå" w:cs="ºÚÌå"/>
          <w:sz w:val="30"/>
        </w:rPr>
        <w:t>财务报表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1-1-210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0"/>
        </w:rPr>
        <w:t>（一）</w:t>
      </w:r>
      <w:r>
        <w:rPr>
          <w:rFonts w:hint="eastAsia" w:ascii="宋体" w:hAnsi="宋体" w:eastAsia="宋体" w:cs="宋体"/>
          <w:b/>
          <w:sz w:val="24"/>
        </w:rPr>
        <w:t>合并资产负债表</w:t>
      </w:r>
    </w:p>
    <w:p>
      <w:pPr>
        <w:spacing w:line="200" w:lineRule="exact"/>
        <w:rPr>
          <w:rFonts w:hint="eastAsia" w:ascii="宋体" w:hAnsi="宋体" w:eastAsia="宋体" w:cs="宋体"/>
          <w:sz w:val="20"/>
        </w:rPr>
      </w:pPr>
    </w:p>
    <w:p>
      <w:pPr>
        <w:autoSpaceDE w:val="false"/>
        <w:autoSpaceDN w:val="false"/>
        <w:spacing w:line="320" w:lineRule="exact"/>
        <w:ind w:left="93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8460" w:type="auto"/>
        <w:tblInd w:w="1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120"/>
        <w:gridCol w:w="2100"/>
        <w:gridCol w:w="2100"/>
        <w:gridCol w:w="2120"/>
      </w:tblGrid>
      <w:tr>
        <w:trPr>
          <w:trHeight w:val="460" w:hRule="exact"/>
        </w:trPr>
        <w:tc>
          <w:tcPr>
            <w:tcW w:w="2120" w:type="dxa"/>
            <w:tcMar>
              <w:top w:w="0" w:type="dxa"/>
              <w:left w:w="0" w:type="dxa"/>
              <w:bottom w:w="0" w:type="dxa"/>
              <w:right w:w="0" w:type="dxa"/>
            </w:tcMar>
          </w:tcPr>
          <w:p>
            <w:pPr>
              <w:spacing w:before="80"/>
              <w:ind w:left="780"/>
            </w:pPr>
            <w:r>
              <w:rPr>
                <w:rFonts w:hint="eastAsia" w:ascii="宋体" w:hAnsi="宋体" w:eastAsia="宋体" w:cs="宋体"/>
                <w:b/>
                <w:sz w:val="21"/>
              </w:rPr>
              <w:t>科目</w:t>
            </w:r>
          </w:p>
        </w:tc>
        <w:tc>
          <w:tcPr>
            <w:tcW w:w="2100" w:type="dxa"/>
            <w:tcMar>
              <w:top w:w="0" w:type="dxa"/>
              <w:left w:w="0" w:type="dxa"/>
              <w:bottom w:w="0" w:type="dxa"/>
              <w:right w:w="0" w:type="dxa"/>
            </w:tcMar>
          </w:tcPr>
          <w:p>
            <w:pPr>
              <w:spacing w:before="140"/>
              <w:ind w:left="480"/>
            </w:pPr>
            <w:r>
              <w:rPr>
                <w:rFonts w:hint="eastAsia" w:ascii="Times New Roman Bold" w:hAnsi="Times New Roman Bold" w:eastAsia="Times New Roman Bold" w:cs="Times New Roman Bold"/>
                <w:b/>
                <w:sz w:val="21"/>
              </w:rPr>
              <w:t>2016-12-31</w:t>
            </w:r>
          </w:p>
        </w:tc>
        <w:tc>
          <w:tcPr>
            <w:tcW w:w="2100" w:type="dxa"/>
            <w:tcMar>
              <w:top w:w="0" w:type="dxa"/>
              <w:left w:w="0" w:type="dxa"/>
              <w:bottom w:w="0" w:type="dxa"/>
              <w:right w:w="0" w:type="dxa"/>
            </w:tcMar>
          </w:tcPr>
          <w:p>
            <w:pPr>
              <w:spacing w:before="140"/>
              <w:ind w:left="500"/>
            </w:pPr>
            <w:r>
              <w:rPr>
                <w:rFonts w:hint="eastAsia" w:ascii="Times New Roman Bold" w:hAnsi="Times New Roman Bold" w:eastAsia="Times New Roman Bold" w:cs="Times New Roman Bold"/>
                <w:b/>
                <w:sz w:val="21"/>
              </w:rPr>
              <w:t>2015-12-31</w:t>
            </w:r>
          </w:p>
        </w:tc>
        <w:tc>
          <w:tcPr>
            <w:tcW w:w="2120" w:type="dxa"/>
            <w:tcMar>
              <w:top w:w="0" w:type="dxa"/>
              <w:left w:w="0" w:type="dxa"/>
              <w:bottom w:w="0" w:type="dxa"/>
              <w:right w:w="0" w:type="dxa"/>
            </w:tcMar>
          </w:tcPr>
          <w:p>
            <w:pPr>
              <w:spacing w:before="140"/>
              <w:ind w:left="500"/>
            </w:pPr>
            <w:r>
              <w:rPr>
                <w:rFonts w:hint="eastAsia" w:ascii="Times New Roman Bold" w:hAnsi="Times New Roman Bold" w:eastAsia="Times New Roman Bold" w:cs="Times New Roman Bold"/>
                <w:b/>
                <w:sz w:val="21"/>
              </w:rPr>
              <w:t>2014-12-31</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流动资产</w:t>
            </w:r>
            <w:r>
              <w:rPr>
                <w:rFonts w:hint="eastAsia" w:ascii="宋体" w:hAnsi="宋体" w:eastAsia="宋体" w:cs="宋体"/>
                <w:b/>
                <w:sz w:val="10"/>
              </w:rPr>
              <w:t>：</w:t>
            </w:r>
          </w:p>
        </w:tc>
        <w:tc>
          <w:tcPr>
            <w:tcW w:w="2100" w:type="dxa"/>
            <w:tcMar>
              <w:top w:w="0" w:type="dxa"/>
              <w:left w:w="0" w:type="dxa"/>
              <w:bottom w:w="0" w:type="dxa"/>
              <w:right w:w="0" w:type="dxa"/>
            </w:tcMar>
          </w:tcPr>
          <w:p/>
        </w:tc>
        <w:tc>
          <w:tcPr>
            <w:tcW w:w="2100" w:type="dxa"/>
            <w:tcMar>
              <w:top w:w="0" w:type="dxa"/>
              <w:left w:w="0" w:type="dxa"/>
              <w:bottom w:w="0" w:type="dxa"/>
              <w:right w:w="0" w:type="dxa"/>
            </w:tcMar>
          </w:tcPr>
          <w:p/>
        </w:tc>
        <w:tc>
          <w:tcPr>
            <w:tcW w:w="2120" w:type="dxa"/>
            <w:tcMar>
              <w:top w:w="0" w:type="dxa"/>
              <w:left w:w="0" w:type="dxa"/>
              <w:bottom w:w="0" w:type="dxa"/>
              <w:right w:w="0" w:type="dxa"/>
            </w:tcMar>
          </w:tcPr>
          <w:p/>
        </w:tc>
      </w:tr>
      <w:tr>
        <w:trPr>
          <w:trHeight w:val="480" w:hRule="exact"/>
        </w:trPr>
        <w:tc>
          <w:tcPr>
            <w:tcW w:w="2120" w:type="dxa"/>
            <w:tcMar>
              <w:top w:w="0" w:type="dxa"/>
              <w:left w:w="0" w:type="dxa"/>
              <w:bottom w:w="0" w:type="dxa"/>
              <w:right w:w="0" w:type="dxa"/>
            </w:tcMar>
          </w:tcPr>
          <w:p>
            <w:pPr>
              <w:spacing w:before="100"/>
            </w:pPr>
            <w:r>
              <w:rPr>
                <w:rFonts w:hint="eastAsia" w:ascii="宋体" w:hAnsi="宋体" w:eastAsia="宋体" w:cs="宋体"/>
                <w:sz w:val="21"/>
              </w:rPr>
              <w:t>货币资金</w:t>
            </w:r>
          </w:p>
        </w:tc>
        <w:tc>
          <w:tcPr>
            <w:tcW w:w="210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512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c>
          <w:tcPr>
            <w:tcW w:w="210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422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12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195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应收账款</w:t>
            </w:r>
          </w:p>
        </w:tc>
        <w:tc>
          <w:tcPr>
            <w:tcW w:w="2100" w:type="dxa"/>
            <w:tcMar>
              <w:top w:w="0" w:type="dxa"/>
              <w:left w:w="0" w:type="dxa"/>
              <w:bottom w:w="0" w:type="dxa"/>
              <w:right w:w="0" w:type="dxa"/>
            </w:tcMar>
          </w:tcPr>
          <w:p>
            <w:pPr>
              <w:spacing w:before="120"/>
              <w:ind w:left="76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210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212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sz w:val="21"/>
              </w:rPr>
              <w:t>预付款项</w:t>
            </w:r>
          </w:p>
        </w:tc>
        <w:tc>
          <w:tcPr>
            <w:tcW w:w="2100" w:type="dxa"/>
            <w:tcMar>
              <w:top w:w="0" w:type="dxa"/>
              <w:left w:w="0" w:type="dxa"/>
              <w:bottom w:w="0" w:type="dxa"/>
              <w:right w:w="0" w:type="dxa"/>
            </w:tcMar>
          </w:tcPr>
          <w:p>
            <w:pPr>
              <w:spacing w:before="10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2100" w:type="dxa"/>
            <w:tcMar>
              <w:top w:w="0" w:type="dxa"/>
              <w:left w:w="0" w:type="dxa"/>
              <w:bottom w:w="0" w:type="dxa"/>
              <w:right w:w="0" w:type="dxa"/>
            </w:tcMar>
          </w:tcPr>
          <w:p>
            <w:pPr>
              <w:spacing w:before="10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2120" w:type="dxa"/>
            <w:tcMar>
              <w:top w:w="0" w:type="dxa"/>
              <w:left w:w="0" w:type="dxa"/>
              <w:bottom w:w="0" w:type="dxa"/>
              <w:right w:w="0" w:type="dxa"/>
            </w:tcMar>
          </w:tcPr>
          <w:p>
            <w:pPr>
              <w:spacing w:before="10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应收利息</w:t>
            </w:r>
          </w:p>
        </w:tc>
        <w:tc>
          <w:tcPr>
            <w:tcW w:w="2100" w:type="dxa"/>
            <w:tcMar>
              <w:top w:w="0" w:type="dxa"/>
              <w:left w:w="0" w:type="dxa"/>
              <w:bottom w:w="0" w:type="dxa"/>
              <w:right w:w="0" w:type="dxa"/>
            </w:tcMar>
          </w:tcPr>
          <w:p>
            <w:pPr>
              <w:spacing w:before="100"/>
              <w:ind w:left="1020"/>
            </w:pPr>
            <w:r>
              <w:rPr>
                <w:rFonts w:hint="eastAsia" w:ascii="Times New Roman" w:hAnsi="Times New Roman" w:eastAsia="Times New Roman" w:cs="Times New Roman"/>
                <w:sz w:val="21"/>
              </w:rPr>
              <w:t>889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2100" w:type="dxa"/>
            <w:tcMar>
              <w:top w:w="0" w:type="dxa"/>
              <w:left w:w="0" w:type="dxa"/>
              <w:bottom w:w="0" w:type="dxa"/>
              <w:right w:w="0" w:type="dxa"/>
            </w:tcMar>
          </w:tcPr>
          <w:p>
            <w:pPr>
              <w:spacing w:before="100"/>
              <w:ind w:left="1040"/>
            </w:pPr>
            <w:r>
              <w:rPr>
                <w:rFonts w:hint="eastAsia" w:ascii="Times New Roman" w:hAnsi="Times New Roman" w:eastAsia="Times New Roman" w:cs="Times New Roman"/>
                <w:sz w:val="21"/>
              </w:rPr>
              <w:t>237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2120" w:type="dxa"/>
            <w:tcMar>
              <w:top w:w="0" w:type="dxa"/>
              <w:left w:w="0" w:type="dxa"/>
              <w:bottom w:w="0" w:type="dxa"/>
              <w:right w:w="0" w:type="dxa"/>
            </w:tcMar>
          </w:tcPr>
          <w:p>
            <w:pPr>
              <w:spacing w:before="100"/>
              <w:ind w:left="1140"/>
            </w:pP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其他应收款</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21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存货</w:t>
            </w:r>
          </w:p>
        </w:tc>
        <w:tc>
          <w:tcPr>
            <w:tcW w:w="2100" w:type="dxa"/>
            <w:tcMar>
              <w:top w:w="0" w:type="dxa"/>
              <w:left w:w="0" w:type="dxa"/>
              <w:bottom w:w="0" w:type="dxa"/>
              <w:right w:w="0" w:type="dxa"/>
            </w:tcMar>
          </w:tcPr>
          <w:p>
            <w:pPr>
              <w:spacing w:before="140"/>
              <w:ind w:left="760"/>
            </w:pP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212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r>
      <w:tr>
        <w:trPr>
          <w:trHeight w:val="48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流动资产合计</w:t>
            </w:r>
          </w:p>
        </w:tc>
        <w:tc>
          <w:tcPr>
            <w:tcW w:w="2100" w:type="dxa"/>
            <w:tcMar>
              <w:top w:w="0" w:type="dxa"/>
              <w:left w:w="0" w:type="dxa"/>
              <w:bottom w:w="0" w:type="dxa"/>
              <w:right w:w="0" w:type="dxa"/>
            </w:tcMar>
          </w:tcPr>
          <w:p>
            <w:pPr>
              <w:spacing w:before="140"/>
              <w:ind w:left="660"/>
            </w:pPr>
            <w:r>
              <w:rPr>
                <w:rFonts w:hint="eastAsia" w:ascii="Times New Roman Bold" w:hAnsi="Times New Roman Bold" w:eastAsia="Times New Roman Bold" w:cs="Times New Roman Bold"/>
                <w:b/>
                <w:sz w:val="21"/>
              </w:rPr>
              <w:t>574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582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2100" w:type="dxa"/>
            <w:tcMar>
              <w:top w:w="0" w:type="dxa"/>
              <w:left w:w="0" w:type="dxa"/>
              <w:bottom w:w="0" w:type="dxa"/>
              <w:right w:w="0" w:type="dxa"/>
            </w:tcMar>
          </w:tcPr>
          <w:p>
            <w:pPr>
              <w:spacing w:before="140"/>
              <w:ind w:left="660"/>
            </w:pPr>
            <w:r>
              <w:rPr>
                <w:rFonts w:hint="eastAsia" w:ascii="Times New Roman Bold" w:hAnsi="Times New Roman Bold" w:eastAsia="Times New Roman Bold" w:cs="Times New Roman Bold"/>
                <w:b/>
                <w:sz w:val="21"/>
              </w:rPr>
              <w:t>472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w:t>
            </w:r>
          </w:p>
        </w:tc>
        <w:tc>
          <w:tcPr>
            <w:tcW w:w="2120" w:type="dxa"/>
            <w:tcMar>
              <w:top w:w="0" w:type="dxa"/>
              <w:left w:w="0" w:type="dxa"/>
              <w:bottom w:w="0" w:type="dxa"/>
              <w:right w:w="0" w:type="dxa"/>
            </w:tcMar>
          </w:tcPr>
          <w:p>
            <w:pPr>
              <w:spacing w:before="140"/>
              <w:ind w:left="680"/>
            </w:pPr>
            <w:r>
              <w:rPr>
                <w:rFonts w:hint="eastAsia" w:ascii="Times New Roman Bold" w:hAnsi="Times New Roman Bold" w:eastAsia="Times New Roman Bold" w:cs="Times New Roman Bold"/>
                <w:b/>
                <w:sz w:val="21"/>
              </w:rPr>
              <w:t>242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非流动资产</w:t>
            </w:r>
            <w:r>
              <w:rPr>
                <w:rFonts w:hint="eastAsia" w:ascii="宋体" w:hAnsi="宋体" w:eastAsia="宋体" w:cs="宋体"/>
                <w:b/>
                <w:sz w:val="10"/>
              </w:rPr>
              <w:t>：</w:t>
            </w:r>
          </w:p>
        </w:tc>
        <w:tc>
          <w:tcPr>
            <w:tcW w:w="2100" w:type="dxa"/>
            <w:tcMar>
              <w:top w:w="0" w:type="dxa"/>
              <w:left w:w="0" w:type="dxa"/>
              <w:bottom w:w="0" w:type="dxa"/>
              <w:right w:w="0" w:type="dxa"/>
            </w:tcMar>
          </w:tcPr>
          <w:p/>
        </w:tc>
        <w:tc>
          <w:tcPr>
            <w:tcW w:w="2100" w:type="dxa"/>
            <w:tcMar>
              <w:top w:w="0" w:type="dxa"/>
              <w:left w:w="0" w:type="dxa"/>
              <w:bottom w:w="0" w:type="dxa"/>
              <w:right w:w="0" w:type="dxa"/>
            </w:tcMar>
          </w:tcPr>
          <w:p/>
        </w:tc>
        <w:tc>
          <w:tcPr>
            <w:tcW w:w="2120" w:type="dxa"/>
            <w:tcMar>
              <w:top w:w="0" w:type="dxa"/>
              <w:left w:w="0" w:type="dxa"/>
              <w:bottom w:w="0" w:type="dxa"/>
              <w:right w:w="0" w:type="dxa"/>
            </w:tcMar>
          </w:tcP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sz w:val="21"/>
              </w:rPr>
              <w:t>可供出售金融资产</w:t>
            </w:r>
          </w:p>
        </w:tc>
        <w:tc>
          <w:tcPr>
            <w:tcW w:w="2100" w:type="dxa"/>
            <w:tcMar>
              <w:top w:w="0" w:type="dxa"/>
              <w:left w:w="0" w:type="dxa"/>
              <w:bottom w:w="0" w:type="dxa"/>
              <w:right w:w="0" w:type="dxa"/>
            </w:tcMar>
          </w:tcPr>
          <w:p>
            <w:pPr>
              <w:spacing w:before="24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240"/>
              <w:ind w:left="1920"/>
            </w:pPr>
            <w:r>
              <w:rPr>
                <w:rFonts w:hint="eastAsia" w:ascii="Times New Roman Bold" w:hAnsi="Times New Roman Bold" w:eastAsia="Times New Roman Bold" w:cs="Times New Roman Bold"/>
                <w:b/>
                <w:sz w:val="21"/>
              </w:rPr>
              <w:t>-</w:t>
            </w:r>
          </w:p>
        </w:tc>
        <w:tc>
          <w:tcPr>
            <w:tcW w:w="2120" w:type="dxa"/>
            <w:tcMar>
              <w:top w:w="0" w:type="dxa"/>
              <w:left w:w="0" w:type="dxa"/>
              <w:bottom w:w="0" w:type="dxa"/>
              <w:right w:w="0" w:type="dxa"/>
            </w:tcMar>
          </w:tcPr>
          <w:p>
            <w:pPr>
              <w:spacing w:before="120"/>
              <w:ind w:left="104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sz w:val="21"/>
              </w:rPr>
              <w:t>固定资产</w:t>
            </w:r>
          </w:p>
        </w:tc>
        <w:tc>
          <w:tcPr>
            <w:tcW w:w="2100" w:type="dxa"/>
            <w:tcMar>
              <w:top w:w="0" w:type="dxa"/>
              <w:left w:w="0" w:type="dxa"/>
              <w:bottom w:w="0" w:type="dxa"/>
              <w:right w:w="0" w:type="dxa"/>
            </w:tcMar>
          </w:tcPr>
          <w:p>
            <w:pPr>
              <w:spacing w:before="100"/>
              <w:ind w:left="76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c>
          <w:tcPr>
            <w:tcW w:w="2100" w:type="dxa"/>
            <w:tcMar>
              <w:top w:w="0" w:type="dxa"/>
              <w:left w:w="0" w:type="dxa"/>
              <w:bottom w:w="0" w:type="dxa"/>
              <w:right w:w="0" w:type="dxa"/>
            </w:tcMar>
          </w:tcPr>
          <w:p>
            <w:pPr>
              <w:spacing w:before="100"/>
              <w:ind w:left="780"/>
            </w:pP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2120" w:type="dxa"/>
            <w:tcMar>
              <w:top w:w="0" w:type="dxa"/>
              <w:left w:w="0" w:type="dxa"/>
              <w:bottom w:w="0" w:type="dxa"/>
              <w:right w:w="0" w:type="dxa"/>
            </w:tcMar>
          </w:tcPr>
          <w:p>
            <w:pPr>
              <w:spacing w:before="100"/>
              <w:ind w:left="780"/>
            </w:pP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无形资产</w:t>
            </w:r>
          </w:p>
        </w:tc>
        <w:tc>
          <w:tcPr>
            <w:tcW w:w="2100" w:type="dxa"/>
            <w:tcMar>
              <w:top w:w="0" w:type="dxa"/>
              <w:left w:w="0" w:type="dxa"/>
              <w:bottom w:w="0" w:type="dxa"/>
              <w:right w:w="0" w:type="dxa"/>
            </w:tcMar>
          </w:tcPr>
          <w:p>
            <w:pPr>
              <w:spacing w:before="12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2100" w:type="dxa"/>
            <w:tcMar>
              <w:top w:w="0" w:type="dxa"/>
              <w:left w:w="0" w:type="dxa"/>
              <w:bottom w:w="0" w:type="dxa"/>
              <w:right w:w="0" w:type="dxa"/>
            </w:tcMar>
          </w:tcPr>
          <w:p>
            <w:pPr>
              <w:spacing w:before="12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2120" w:type="dxa"/>
            <w:tcMar>
              <w:top w:w="0" w:type="dxa"/>
              <w:left w:w="0" w:type="dxa"/>
              <w:bottom w:w="0" w:type="dxa"/>
              <w:right w:w="0" w:type="dxa"/>
            </w:tcMar>
          </w:tcPr>
          <w:p>
            <w:pPr>
              <w:spacing w:before="12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长期待摊费用</w:t>
            </w:r>
          </w:p>
        </w:tc>
        <w:tc>
          <w:tcPr>
            <w:tcW w:w="2100" w:type="dxa"/>
            <w:tcMar>
              <w:top w:w="0" w:type="dxa"/>
              <w:left w:w="0" w:type="dxa"/>
              <w:bottom w:w="0" w:type="dxa"/>
              <w:right w:w="0" w:type="dxa"/>
            </w:tcMar>
          </w:tcPr>
          <w:p>
            <w:pPr>
              <w:spacing w:before="140"/>
              <w:ind w:left="1020"/>
            </w:pPr>
            <w:r>
              <w:rPr>
                <w:rFonts w:hint="eastAsia" w:ascii="Times New Roman" w:hAnsi="Times New Roman" w:eastAsia="Times New Roman" w:cs="Times New Roman"/>
                <w:sz w:val="21"/>
              </w:rPr>
              <w:t>640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2100" w:type="dxa"/>
            <w:tcMar>
              <w:top w:w="0" w:type="dxa"/>
              <w:left w:w="0" w:type="dxa"/>
              <w:bottom w:w="0" w:type="dxa"/>
              <w:right w:w="0" w:type="dxa"/>
            </w:tcMar>
          </w:tcPr>
          <w:p>
            <w:pPr>
              <w:spacing w:before="140"/>
              <w:ind w:left="1040"/>
            </w:pPr>
            <w:r>
              <w:rPr>
                <w:rFonts w:hint="eastAsia" w:ascii="Times New Roman" w:hAnsi="Times New Roman" w:eastAsia="Times New Roman" w:cs="Times New Roman"/>
                <w:sz w:val="21"/>
              </w:rPr>
              <w:t>968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c>
          <w:tcPr>
            <w:tcW w:w="21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递延所得税资产</w:t>
            </w:r>
          </w:p>
        </w:tc>
        <w:tc>
          <w:tcPr>
            <w:tcW w:w="2100" w:type="dxa"/>
            <w:tcMar>
              <w:top w:w="0" w:type="dxa"/>
              <w:left w:w="0" w:type="dxa"/>
              <w:bottom w:w="0" w:type="dxa"/>
              <w:right w:w="0" w:type="dxa"/>
            </w:tcMar>
          </w:tcPr>
          <w:p>
            <w:pPr>
              <w:spacing w:before="140"/>
              <w:ind w:left="76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c>
          <w:tcPr>
            <w:tcW w:w="212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r>
      <w:tr>
        <w:trPr>
          <w:trHeight w:val="480" w:hRule="exact"/>
        </w:trPr>
        <w:tc>
          <w:tcPr>
            <w:tcW w:w="2120" w:type="dxa"/>
            <w:tcMar>
              <w:top w:w="0" w:type="dxa"/>
              <w:left w:w="0" w:type="dxa"/>
              <w:bottom w:w="0" w:type="dxa"/>
              <w:right w:w="0" w:type="dxa"/>
            </w:tcMar>
          </w:tcPr>
          <w:p>
            <w:pPr>
              <w:spacing w:before="100"/>
            </w:pPr>
            <w:r>
              <w:rPr>
                <w:rFonts w:hint="eastAsia" w:ascii="宋体" w:hAnsi="宋体" w:eastAsia="宋体" w:cs="宋体"/>
                <w:b/>
                <w:sz w:val="21"/>
              </w:rPr>
              <w:t>非流动资产合计</w:t>
            </w:r>
          </w:p>
        </w:tc>
        <w:tc>
          <w:tcPr>
            <w:tcW w:w="2100" w:type="dxa"/>
            <w:tcMar>
              <w:top w:w="0" w:type="dxa"/>
              <w:left w:w="0" w:type="dxa"/>
              <w:bottom w:w="0" w:type="dxa"/>
              <w:right w:w="0" w:type="dxa"/>
            </w:tcMar>
          </w:tcPr>
          <w:p>
            <w:pPr>
              <w:spacing w:before="140"/>
              <w:ind w:left="760"/>
            </w:pPr>
            <w:r>
              <w:rPr>
                <w:rFonts w:hint="eastAsia" w:ascii="Times New Roman Bold" w:hAnsi="Times New Roman Bold" w:eastAsia="Times New Roman Bold" w:cs="Times New Roman Bold"/>
                <w:b/>
                <w:sz w:val="21"/>
              </w:rPr>
              <w:t>56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51</w:t>
            </w:r>
          </w:p>
        </w:tc>
        <w:tc>
          <w:tcPr>
            <w:tcW w:w="2100" w:type="dxa"/>
            <w:tcMar>
              <w:top w:w="0" w:type="dxa"/>
              <w:left w:w="0" w:type="dxa"/>
              <w:bottom w:w="0" w:type="dxa"/>
              <w:right w:w="0" w:type="dxa"/>
            </w:tcMar>
          </w:tcPr>
          <w:p>
            <w:pPr>
              <w:spacing w:before="140"/>
              <w:ind w:left="780"/>
            </w:pPr>
            <w:r>
              <w:rPr>
                <w:rFonts w:hint="eastAsia" w:ascii="Times New Roman Bold" w:hAnsi="Times New Roman Bold" w:eastAsia="Times New Roman Bold" w:cs="Times New Roman Bold"/>
                <w:b/>
                <w:sz w:val="21"/>
              </w:rPr>
              <w:t>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97</w:t>
            </w:r>
          </w:p>
        </w:tc>
        <w:tc>
          <w:tcPr>
            <w:tcW w:w="2120" w:type="dxa"/>
            <w:tcMar>
              <w:top w:w="0" w:type="dxa"/>
              <w:left w:w="0" w:type="dxa"/>
              <w:bottom w:w="0" w:type="dxa"/>
              <w:right w:w="0" w:type="dxa"/>
            </w:tcMar>
          </w:tcPr>
          <w:p>
            <w:pPr>
              <w:spacing w:before="140"/>
              <w:ind w:left="780"/>
            </w:pPr>
            <w:r>
              <w:rPr>
                <w:rFonts w:hint="eastAsia" w:ascii="Times New Roman Bold" w:hAnsi="Times New Roman Bold" w:eastAsia="Times New Roman Bold" w:cs="Times New Roman Bold"/>
                <w:b/>
                <w:sz w:val="21"/>
              </w:rPr>
              <w:t>57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w:t>
            </w:r>
          </w:p>
        </w:tc>
      </w:tr>
      <w:tr>
        <w:trPr>
          <w:trHeight w:val="420" w:hRule="exact"/>
        </w:trPr>
        <w:tc>
          <w:tcPr>
            <w:tcW w:w="2120" w:type="dxa"/>
            <w:tcMar>
              <w:top w:w="0" w:type="dxa"/>
              <w:left w:w="0" w:type="dxa"/>
              <w:bottom w:w="0" w:type="dxa"/>
              <w:right w:w="0" w:type="dxa"/>
            </w:tcMar>
          </w:tcPr>
          <w:p>
            <w:pPr>
              <w:spacing w:before="60"/>
            </w:pPr>
            <w:r>
              <w:rPr>
                <w:rFonts w:hint="eastAsia" w:ascii="宋体" w:hAnsi="宋体" w:eastAsia="宋体" w:cs="宋体"/>
                <w:b/>
                <w:sz w:val="21"/>
              </w:rPr>
              <w:t>资产总计</w:t>
            </w:r>
          </w:p>
        </w:tc>
        <w:tc>
          <w:tcPr>
            <w:tcW w:w="2100" w:type="dxa"/>
            <w:tcMar>
              <w:top w:w="0" w:type="dxa"/>
              <w:left w:w="0" w:type="dxa"/>
              <w:bottom w:w="0" w:type="dxa"/>
              <w:right w:w="0" w:type="dxa"/>
            </w:tcMar>
          </w:tcPr>
          <w:p>
            <w:pPr>
              <w:spacing w:before="100"/>
              <w:ind w:left="660"/>
            </w:pPr>
            <w:r>
              <w:rPr>
                <w:rFonts w:hint="eastAsia" w:ascii="Times New Roman Bold" w:hAnsi="Times New Roman Bold" w:eastAsia="Times New Roman Bold" w:cs="Times New Roman Bold"/>
                <w:b/>
                <w:sz w:val="21"/>
              </w:rPr>
              <w:t>631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26</w:t>
            </w:r>
          </w:p>
        </w:tc>
        <w:tc>
          <w:tcPr>
            <w:tcW w:w="2100" w:type="dxa"/>
            <w:tcMar>
              <w:top w:w="0" w:type="dxa"/>
              <w:left w:w="0" w:type="dxa"/>
              <w:bottom w:w="0" w:type="dxa"/>
              <w:right w:w="0" w:type="dxa"/>
            </w:tcMar>
          </w:tcPr>
          <w:p>
            <w:pPr>
              <w:spacing w:before="100"/>
              <w:ind w:left="660"/>
            </w:pPr>
            <w:r>
              <w:rPr>
                <w:rFonts w:hint="eastAsia" w:ascii="Times New Roman Bold" w:hAnsi="Times New Roman Bold" w:eastAsia="Times New Roman Bold" w:cs="Times New Roman Bold"/>
                <w:b/>
                <w:sz w:val="21"/>
              </w:rPr>
              <w:t>534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w:t>
            </w:r>
          </w:p>
        </w:tc>
        <w:tc>
          <w:tcPr>
            <w:tcW w:w="212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1-1-211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b/>
          <w:sz w:val="24"/>
        </w:rPr>
        <w:t>合并资产负债表（续）</w:t>
      </w:r>
    </w:p>
    <w:p>
      <w:pPr>
        <w:autoSpaceDE w:val="false"/>
        <w:autoSpaceDN w:val="false"/>
        <w:spacing w:line="360" w:lineRule="exact"/>
        <w:ind w:left="93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8460" w:type="auto"/>
        <w:tblInd w:w="1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120"/>
        <w:gridCol w:w="2100"/>
        <w:gridCol w:w="2100"/>
        <w:gridCol w:w="2120"/>
      </w:tblGrid>
      <w:tr>
        <w:trPr>
          <w:trHeight w:val="460" w:hRule="exact"/>
        </w:trPr>
        <w:tc>
          <w:tcPr>
            <w:tcW w:w="2120" w:type="dxa"/>
            <w:tcMar>
              <w:top w:w="0" w:type="dxa"/>
              <w:left w:w="0" w:type="dxa"/>
              <w:bottom w:w="0" w:type="dxa"/>
              <w:right w:w="0" w:type="dxa"/>
            </w:tcMar>
          </w:tcPr>
          <w:p>
            <w:pPr>
              <w:spacing w:before="80"/>
              <w:ind w:left="780"/>
            </w:pPr>
            <w:r>
              <w:rPr>
                <w:rFonts w:hint="eastAsia" w:ascii="宋体" w:hAnsi="宋体" w:eastAsia="宋体" w:cs="宋体"/>
                <w:b/>
                <w:sz w:val="21"/>
              </w:rPr>
              <w:t>科目</w:t>
            </w:r>
          </w:p>
        </w:tc>
        <w:tc>
          <w:tcPr>
            <w:tcW w:w="2100" w:type="dxa"/>
            <w:tcMar>
              <w:top w:w="0" w:type="dxa"/>
              <w:left w:w="0" w:type="dxa"/>
              <w:bottom w:w="0" w:type="dxa"/>
              <w:right w:w="0" w:type="dxa"/>
            </w:tcMar>
          </w:tcPr>
          <w:p>
            <w:pPr>
              <w:spacing w:before="140"/>
              <w:ind w:left="480"/>
            </w:pPr>
            <w:r>
              <w:rPr>
                <w:rFonts w:hint="eastAsia" w:ascii="Times New Roman Bold" w:hAnsi="Times New Roman Bold" w:eastAsia="Times New Roman Bold" w:cs="Times New Roman Bold"/>
                <w:b/>
                <w:sz w:val="21"/>
              </w:rPr>
              <w:t>2016-12-31</w:t>
            </w:r>
          </w:p>
        </w:tc>
        <w:tc>
          <w:tcPr>
            <w:tcW w:w="2100" w:type="dxa"/>
            <w:tcMar>
              <w:top w:w="0" w:type="dxa"/>
              <w:left w:w="0" w:type="dxa"/>
              <w:bottom w:w="0" w:type="dxa"/>
              <w:right w:w="0" w:type="dxa"/>
            </w:tcMar>
          </w:tcPr>
          <w:p>
            <w:pPr>
              <w:spacing w:before="140"/>
              <w:ind w:left="500"/>
            </w:pPr>
            <w:r>
              <w:rPr>
                <w:rFonts w:hint="eastAsia" w:ascii="Times New Roman Bold" w:hAnsi="Times New Roman Bold" w:eastAsia="Times New Roman Bold" w:cs="Times New Roman Bold"/>
                <w:b/>
                <w:sz w:val="21"/>
              </w:rPr>
              <w:t>2015-12-31</w:t>
            </w:r>
          </w:p>
        </w:tc>
        <w:tc>
          <w:tcPr>
            <w:tcW w:w="2120" w:type="dxa"/>
            <w:tcMar>
              <w:top w:w="0" w:type="dxa"/>
              <w:left w:w="0" w:type="dxa"/>
              <w:bottom w:w="0" w:type="dxa"/>
              <w:right w:w="0" w:type="dxa"/>
            </w:tcMar>
          </w:tcPr>
          <w:p>
            <w:pPr>
              <w:spacing w:before="140"/>
              <w:ind w:left="500"/>
            </w:pPr>
            <w:r>
              <w:rPr>
                <w:rFonts w:hint="eastAsia" w:ascii="Times New Roman Bold" w:hAnsi="Times New Roman Bold" w:eastAsia="Times New Roman Bold" w:cs="Times New Roman Bold"/>
                <w:b/>
                <w:sz w:val="21"/>
              </w:rPr>
              <w:t>2014-12-31</w:t>
            </w:r>
          </w:p>
        </w:tc>
      </w:tr>
      <w:tr>
        <w:trPr>
          <w:trHeight w:val="480" w:hRule="exact"/>
        </w:trPr>
        <w:tc>
          <w:tcPr>
            <w:tcW w:w="2120" w:type="dxa"/>
            <w:tcMar>
              <w:top w:w="0" w:type="dxa"/>
              <w:left w:w="0" w:type="dxa"/>
              <w:bottom w:w="0" w:type="dxa"/>
              <w:right w:w="0" w:type="dxa"/>
            </w:tcMar>
          </w:tcPr>
          <w:p>
            <w:pPr>
              <w:spacing w:before="100"/>
            </w:pPr>
            <w:r>
              <w:rPr>
                <w:rFonts w:hint="eastAsia" w:ascii="宋体" w:hAnsi="宋体" w:eastAsia="宋体" w:cs="宋体"/>
                <w:b/>
                <w:sz w:val="21"/>
              </w:rPr>
              <w:t>流动负债</w:t>
            </w:r>
            <w:r>
              <w:rPr>
                <w:rFonts w:hint="eastAsia" w:ascii="宋体" w:hAnsi="宋体" w:eastAsia="宋体" w:cs="宋体"/>
                <w:b/>
                <w:sz w:val="10"/>
              </w:rPr>
              <w:t>：</w:t>
            </w:r>
          </w:p>
        </w:tc>
        <w:tc>
          <w:tcPr>
            <w:tcW w:w="2100" w:type="dxa"/>
            <w:tcMar>
              <w:top w:w="0" w:type="dxa"/>
              <w:left w:w="0" w:type="dxa"/>
              <w:bottom w:w="0" w:type="dxa"/>
              <w:right w:w="0" w:type="dxa"/>
            </w:tcMar>
          </w:tcPr>
          <w:p/>
        </w:tc>
        <w:tc>
          <w:tcPr>
            <w:tcW w:w="2100" w:type="dxa"/>
            <w:tcMar>
              <w:top w:w="0" w:type="dxa"/>
              <w:left w:w="0" w:type="dxa"/>
              <w:bottom w:w="0" w:type="dxa"/>
              <w:right w:w="0" w:type="dxa"/>
            </w:tcMar>
          </w:tcPr>
          <w:p/>
        </w:tc>
        <w:tc>
          <w:tcPr>
            <w:tcW w:w="2120" w:type="dxa"/>
            <w:tcMar>
              <w:top w:w="0" w:type="dxa"/>
              <w:left w:w="0" w:type="dxa"/>
              <w:bottom w:w="0" w:type="dxa"/>
              <w:right w:w="0" w:type="dxa"/>
            </w:tcMar>
          </w:tcP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应付账款</w:t>
            </w:r>
          </w:p>
        </w:tc>
        <w:tc>
          <w:tcPr>
            <w:tcW w:w="2100" w:type="dxa"/>
            <w:tcMar>
              <w:top w:w="0" w:type="dxa"/>
              <w:left w:w="0" w:type="dxa"/>
              <w:bottom w:w="0" w:type="dxa"/>
              <w:right w:w="0" w:type="dxa"/>
            </w:tcMar>
          </w:tcPr>
          <w:p>
            <w:pPr>
              <w:spacing w:before="120"/>
              <w:ind w:left="1020"/>
            </w:pPr>
            <w:r>
              <w:rPr>
                <w:rFonts w:hint="eastAsia" w:ascii="Times New Roman" w:hAnsi="Times New Roman" w:eastAsia="Times New Roman" w:cs="Times New Roman"/>
                <w:sz w:val="21"/>
              </w:rPr>
              <w:t>583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p>
        </w:tc>
        <w:tc>
          <w:tcPr>
            <w:tcW w:w="2100" w:type="dxa"/>
            <w:tcMar>
              <w:top w:w="0" w:type="dxa"/>
              <w:left w:w="0" w:type="dxa"/>
              <w:bottom w:w="0" w:type="dxa"/>
              <w:right w:w="0" w:type="dxa"/>
            </w:tcMar>
          </w:tcPr>
          <w:p>
            <w:pPr>
              <w:spacing w:before="120"/>
              <w:ind w:left="1040"/>
            </w:pPr>
            <w:r>
              <w:rPr>
                <w:rFonts w:hint="eastAsia" w:ascii="Times New Roman" w:hAnsi="Times New Roman" w:eastAsia="Times New Roman" w:cs="Times New Roman"/>
                <w:sz w:val="21"/>
              </w:rPr>
              <w:t>654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2120" w:type="dxa"/>
            <w:tcMar>
              <w:top w:w="0" w:type="dxa"/>
              <w:left w:w="0" w:type="dxa"/>
              <w:bottom w:w="0" w:type="dxa"/>
              <w:right w:w="0" w:type="dxa"/>
            </w:tcMar>
          </w:tcPr>
          <w:p>
            <w:pPr>
              <w:spacing w:before="120"/>
              <w:ind w:left="8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sz w:val="21"/>
              </w:rPr>
              <w:t>预收款项</w:t>
            </w:r>
          </w:p>
        </w:tc>
        <w:tc>
          <w:tcPr>
            <w:tcW w:w="2100" w:type="dxa"/>
            <w:tcMar>
              <w:top w:w="0" w:type="dxa"/>
              <w:left w:w="0" w:type="dxa"/>
              <w:bottom w:w="0" w:type="dxa"/>
              <w:right w:w="0" w:type="dxa"/>
            </w:tcMar>
          </w:tcPr>
          <w:p>
            <w:pPr>
              <w:spacing w:before="100"/>
              <w:ind w:left="660"/>
            </w:pPr>
            <w:r>
              <w:rPr>
                <w:rFonts w:hint="eastAsia" w:ascii="Times New Roman" w:hAnsi="Times New Roman" w:eastAsia="Times New Roman" w:cs="Times New Roman"/>
                <w:sz w:val="21"/>
              </w:rPr>
              <w:t>126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2100" w:type="dxa"/>
            <w:tcMar>
              <w:top w:w="0" w:type="dxa"/>
              <w:left w:w="0" w:type="dxa"/>
              <w:bottom w:w="0" w:type="dxa"/>
              <w:right w:w="0" w:type="dxa"/>
            </w:tcMar>
          </w:tcPr>
          <w:p>
            <w:pPr>
              <w:spacing w:before="100"/>
              <w:ind w:left="780"/>
            </w:pP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2120" w:type="dxa"/>
            <w:tcMar>
              <w:top w:w="0" w:type="dxa"/>
              <w:left w:w="0" w:type="dxa"/>
              <w:bottom w:w="0" w:type="dxa"/>
              <w:right w:w="0" w:type="dxa"/>
            </w:tcMar>
          </w:tcPr>
          <w:p>
            <w:pPr>
              <w:spacing w:before="100"/>
              <w:ind w:left="780"/>
            </w:pP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应付职工薪酬</w:t>
            </w:r>
          </w:p>
        </w:tc>
        <w:tc>
          <w:tcPr>
            <w:tcW w:w="2100" w:type="dxa"/>
            <w:tcMar>
              <w:top w:w="0" w:type="dxa"/>
              <w:left w:w="0" w:type="dxa"/>
              <w:bottom w:w="0" w:type="dxa"/>
              <w:right w:w="0" w:type="dxa"/>
            </w:tcMar>
          </w:tcPr>
          <w:p>
            <w:pPr>
              <w:spacing w:before="120"/>
              <w:ind w:left="76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2120" w:type="dxa"/>
            <w:tcMar>
              <w:top w:w="0" w:type="dxa"/>
              <w:left w:w="0" w:type="dxa"/>
              <w:bottom w:w="0" w:type="dxa"/>
              <w:right w:w="0" w:type="dxa"/>
            </w:tcMar>
          </w:tcPr>
          <w:p>
            <w:pPr>
              <w:spacing w:before="120"/>
              <w:ind w:left="88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应交税费</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p>
        </w:tc>
        <w:tc>
          <w:tcPr>
            <w:tcW w:w="212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其他应付款</w:t>
            </w:r>
          </w:p>
        </w:tc>
        <w:tc>
          <w:tcPr>
            <w:tcW w:w="2100" w:type="dxa"/>
            <w:tcMar>
              <w:top w:w="0" w:type="dxa"/>
              <w:left w:w="0" w:type="dxa"/>
              <w:bottom w:w="0" w:type="dxa"/>
              <w:right w:w="0" w:type="dxa"/>
            </w:tcMar>
          </w:tcPr>
          <w:p>
            <w:pPr>
              <w:spacing w:before="140"/>
              <w:ind w:left="1040"/>
            </w:pPr>
            <w:r>
              <w:rPr>
                <w:rFonts w:hint="eastAsia" w:ascii="Times New Roman" w:hAnsi="Times New Roman" w:eastAsia="Times New Roman" w:cs="Times New Roman"/>
                <w:sz w:val="21"/>
              </w:rPr>
              <w:t>110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100" w:type="dxa"/>
            <w:tcMar>
              <w:top w:w="0" w:type="dxa"/>
              <w:left w:w="0" w:type="dxa"/>
              <w:bottom w:w="0" w:type="dxa"/>
              <w:right w:w="0" w:type="dxa"/>
            </w:tcMar>
          </w:tcPr>
          <w:p>
            <w:pPr>
              <w:spacing w:before="140"/>
              <w:ind w:left="114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2120" w:type="dxa"/>
            <w:tcMar>
              <w:top w:w="0" w:type="dxa"/>
              <w:left w:w="0" w:type="dxa"/>
              <w:bottom w:w="0" w:type="dxa"/>
              <w:right w:w="0" w:type="dxa"/>
            </w:tcMar>
          </w:tcPr>
          <w:p>
            <w:pPr>
              <w:spacing w:before="140"/>
              <w:ind w:left="1040"/>
            </w:pPr>
            <w:r>
              <w:rPr>
                <w:rFonts w:hint="eastAsia" w:ascii="Times New Roman" w:hAnsi="Times New Roman" w:eastAsia="Times New Roman" w:cs="Times New Roman"/>
                <w:sz w:val="21"/>
              </w:rPr>
              <w:t>185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r>
      <w:tr>
        <w:trPr>
          <w:trHeight w:val="48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其他流动负债</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2100" w:type="dxa"/>
            <w:tcMar>
              <w:top w:w="0" w:type="dxa"/>
              <w:left w:w="0" w:type="dxa"/>
              <w:bottom w:w="0" w:type="dxa"/>
              <w:right w:w="0" w:type="dxa"/>
            </w:tcMar>
          </w:tcPr>
          <w:p>
            <w:pPr>
              <w:spacing w:before="260"/>
              <w:ind w:left="1920"/>
            </w:pPr>
            <w:r>
              <w:rPr>
                <w:rFonts w:hint="eastAsia" w:ascii="Times New Roman" w:hAnsi="Times New Roman" w:eastAsia="Times New Roman" w:cs="Times New Roman"/>
                <w:sz w:val="21"/>
              </w:rPr>
              <w:t>-</w:t>
            </w:r>
          </w:p>
        </w:tc>
        <w:tc>
          <w:tcPr>
            <w:tcW w:w="2120" w:type="dxa"/>
            <w:tcMar>
              <w:top w:w="0" w:type="dxa"/>
              <w:left w:w="0" w:type="dxa"/>
              <w:bottom w:w="0" w:type="dxa"/>
              <w:right w:w="0" w:type="dxa"/>
            </w:tcMar>
          </w:tcPr>
          <w:p>
            <w:pPr>
              <w:spacing w:before="260"/>
              <w:ind w:left="1920"/>
            </w:pPr>
            <w:r>
              <w:rPr>
                <w:rFonts w:hint="eastAsia" w:ascii="Times New Roman Bold" w:hAnsi="Times New Roman Bold" w:eastAsia="Times New Roman Bold" w:cs="Times New Roman Bold"/>
                <w:b/>
                <w:sz w:val="21"/>
              </w:rPr>
              <w:t>-</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流动负债合计</w:t>
            </w:r>
          </w:p>
        </w:tc>
        <w:tc>
          <w:tcPr>
            <w:tcW w:w="2100" w:type="dxa"/>
            <w:tcMar>
              <w:top w:w="0" w:type="dxa"/>
              <w:left w:w="0" w:type="dxa"/>
              <w:bottom w:w="0" w:type="dxa"/>
              <w:right w:w="0" w:type="dxa"/>
            </w:tcMar>
          </w:tcPr>
          <w:p>
            <w:pPr>
              <w:spacing w:before="120"/>
              <w:ind w:left="660"/>
            </w:pPr>
            <w:r>
              <w:rPr>
                <w:rFonts w:hint="eastAsia" w:ascii="Times New Roman Bold" w:hAnsi="Times New Roman Bold" w:eastAsia="Times New Roman Bold" w:cs="Times New Roman Bold"/>
                <w:b/>
                <w:sz w:val="21"/>
              </w:rPr>
              <w:t>154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325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87</w:t>
            </w:r>
          </w:p>
        </w:tc>
        <w:tc>
          <w:tcPr>
            <w:tcW w:w="2100" w:type="dxa"/>
            <w:tcMar>
              <w:top w:w="0" w:type="dxa"/>
              <w:left w:w="0" w:type="dxa"/>
              <w:bottom w:w="0" w:type="dxa"/>
              <w:right w:w="0" w:type="dxa"/>
            </w:tcMar>
          </w:tcPr>
          <w:p>
            <w:pPr>
              <w:spacing w:before="120"/>
              <w:ind w:left="660"/>
            </w:pPr>
            <w:r>
              <w:rPr>
                <w:rFonts w:hint="eastAsia" w:ascii="Times New Roman Bold" w:hAnsi="Times New Roman Bold" w:eastAsia="Times New Roman Bold" w:cs="Times New Roman Bold"/>
                <w:b/>
                <w:sz w:val="21"/>
              </w:rPr>
              <w:t>127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w:t>
            </w:r>
          </w:p>
        </w:tc>
        <w:tc>
          <w:tcPr>
            <w:tcW w:w="212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04</w:t>
            </w: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b/>
                <w:sz w:val="21"/>
              </w:rPr>
              <w:t>负债合计</w:t>
            </w:r>
          </w:p>
        </w:tc>
        <w:tc>
          <w:tcPr>
            <w:tcW w:w="2100" w:type="dxa"/>
            <w:tcMar>
              <w:top w:w="0" w:type="dxa"/>
              <w:left w:w="0" w:type="dxa"/>
              <w:bottom w:w="0" w:type="dxa"/>
              <w:right w:w="0" w:type="dxa"/>
            </w:tcMar>
          </w:tcPr>
          <w:p>
            <w:pPr>
              <w:spacing w:before="100"/>
              <w:ind w:left="660"/>
            </w:pPr>
            <w:r>
              <w:rPr>
                <w:rFonts w:hint="eastAsia" w:ascii="Times New Roman Bold" w:hAnsi="Times New Roman Bold" w:eastAsia="Times New Roman Bold" w:cs="Times New Roman Bold"/>
                <w:b/>
                <w:sz w:val="21"/>
              </w:rPr>
              <w:t>154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325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87</w:t>
            </w:r>
          </w:p>
        </w:tc>
        <w:tc>
          <w:tcPr>
            <w:tcW w:w="2100" w:type="dxa"/>
            <w:tcMar>
              <w:top w:w="0" w:type="dxa"/>
              <w:left w:w="0" w:type="dxa"/>
              <w:bottom w:w="0" w:type="dxa"/>
              <w:right w:w="0" w:type="dxa"/>
            </w:tcMar>
          </w:tcPr>
          <w:p>
            <w:pPr>
              <w:spacing w:before="100"/>
              <w:ind w:left="660"/>
            </w:pPr>
            <w:r>
              <w:rPr>
                <w:rFonts w:hint="eastAsia" w:ascii="Times New Roman Bold" w:hAnsi="Times New Roman Bold" w:eastAsia="Times New Roman Bold" w:cs="Times New Roman Bold"/>
                <w:b/>
                <w:sz w:val="21"/>
              </w:rPr>
              <w:t>127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w:t>
            </w:r>
          </w:p>
        </w:tc>
        <w:tc>
          <w:tcPr>
            <w:tcW w:w="212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04</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所有者权益</w:t>
            </w:r>
            <w:r>
              <w:rPr>
                <w:rFonts w:hint="eastAsia" w:ascii="宋体" w:hAnsi="宋体" w:eastAsia="宋体" w:cs="宋体"/>
                <w:b/>
                <w:sz w:val="10"/>
              </w:rPr>
              <w:t>：</w:t>
            </w:r>
          </w:p>
        </w:tc>
        <w:tc>
          <w:tcPr>
            <w:tcW w:w="2100" w:type="dxa"/>
            <w:tcMar>
              <w:top w:w="0" w:type="dxa"/>
              <w:left w:w="0" w:type="dxa"/>
              <w:bottom w:w="0" w:type="dxa"/>
              <w:right w:w="0" w:type="dxa"/>
            </w:tcMar>
          </w:tcPr>
          <w:p/>
        </w:tc>
        <w:tc>
          <w:tcPr>
            <w:tcW w:w="2100" w:type="dxa"/>
            <w:tcMar>
              <w:top w:w="0" w:type="dxa"/>
              <w:left w:w="0" w:type="dxa"/>
              <w:bottom w:w="0" w:type="dxa"/>
              <w:right w:w="0" w:type="dxa"/>
            </w:tcMar>
          </w:tcPr>
          <w:p/>
        </w:tc>
        <w:tc>
          <w:tcPr>
            <w:tcW w:w="2120" w:type="dxa"/>
            <w:tcMar>
              <w:top w:w="0" w:type="dxa"/>
              <w:left w:w="0" w:type="dxa"/>
              <w:bottom w:w="0" w:type="dxa"/>
              <w:right w:w="0" w:type="dxa"/>
            </w:tcMar>
          </w:tcP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实收资本</w:t>
            </w:r>
            <w:r>
              <w:rPr>
                <w:rFonts w:hint="eastAsia" w:ascii="宋体" w:hAnsi="宋体" w:eastAsia="宋体" w:cs="宋体"/>
                <w:sz w:val="20"/>
              </w:rPr>
              <w:t>（</w:t>
            </w:r>
            <w:r>
              <w:rPr>
                <w:rFonts w:hint="eastAsia" w:ascii="宋体" w:hAnsi="宋体" w:eastAsia="宋体" w:cs="宋体"/>
                <w:sz w:val="21"/>
              </w:rPr>
              <w:t>股本</w:t>
            </w:r>
            <w:r>
              <w:rPr>
                <w:rFonts w:hint="eastAsia" w:ascii="宋体" w:hAnsi="宋体" w:eastAsia="宋体" w:cs="宋体"/>
                <w:sz w:val="20"/>
              </w:rPr>
              <w:t>）</w:t>
            </w:r>
          </w:p>
        </w:tc>
        <w:tc>
          <w:tcPr>
            <w:tcW w:w="2100" w:type="dxa"/>
            <w:tcMar>
              <w:top w:w="0" w:type="dxa"/>
              <w:left w:w="0" w:type="dxa"/>
              <w:bottom w:w="0" w:type="dxa"/>
              <w:right w:w="0" w:type="dxa"/>
            </w:tcMar>
          </w:tcPr>
          <w:p>
            <w:pPr>
              <w:spacing w:before="120"/>
              <w:ind w:left="76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资本公积</w:t>
            </w:r>
          </w:p>
        </w:tc>
        <w:tc>
          <w:tcPr>
            <w:tcW w:w="2100" w:type="dxa"/>
            <w:tcMar>
              <w:top w:w="0" w:type="dxa"/>
              <w:left w:w="0" w:type="dxa"/>
              <w:bottom w:w="0" w:type="dxa"/>
              <w:right w:w="0" w:type="dxa"/>
            </w:tcMar>
          </w:tcPr>
          <w:p>
            <w:pPr>
              <w:spacing w:before="140"/>
              <w:ind w:left="76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120" w:type="dxa"/>
            <w:tcMar>
              <w:top w:w="0" w:type="dxa"/>
              <w:left w:w="0" w:type="dxa"/>
              <w:bottom w:w="0" w:type="dxa"/>
              <w:right w:w="0" w:type="dxa"/>
            </w:tcMar>
          </w:tcPr>
          <w:p>
            <w:pPr>
              <w:spacing w:before="140"/>
              <w:ind w:left="1040"/>
            </w:pPr>
            <w:r>
              <w:rPr>
                <w:rFonts w:hint="eastAsia" w:ascii="Times New Roman" w:hAnsi="Times New Roman" w:eastAsia="Times New Roman" w:cs="Times New Roman"/>
                <w:sz w:val="21"/>
              </w:rPr>
              <w:t>834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盈余公积</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12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2120" w:type="dxa"/>
            <w:tcMar>
              <w:top w:w="0" w:type="dxa"/>
              <w:left w:w="0" w:type="dxa"/>
              <w:bottom w:w="0" w:type="dxa"/>
              <w:right w:w="0" w:type="dxa"/>
            </w:tcMar>
          </w:tcPr>
          <w:p>
            <w:pPr>
              <w:spacing w:before="100"/>
            </w:pPr>
            <w:r>
              <w:rPr>
                <w:rFonts w:hint="eastAsia" w:ascii="宋体" w:hAnsi="宋体" w:eastAsia="宋体" w:cs="宋体"/>
                <w:sz w:val="21"/>
              </w:rPr>
              <w:t>未分配利润</w:t>
            </w:r>
          </w:p>
        </w:tc>
        <w:tc>
          <w:tcPr>
            <w:tcW w:w="210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292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c>
          <w:tcPr>
            <w:tcW w:w="210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228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212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152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r>
      <w:tr>
        <w:trPr>
          <w:trHeight w:val="68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归属于母公司所有者</w:t>
            </w:r>
          </w:p>
          <w:p>
            <w:pPr>
              <w:spacing w:before="100"/>
            </w:pPr>
            <w:r>
              <w:rPr>
                <w:rFonts w:hint="eastAsia" w:ascii="宋体" w:hAnsi="宋体" w:eastAsia="宋体" w:cs="宋体"/>
                <w:sz w:val="21"/>
              </w:rPr>
              <w:t>权益合计</w:t>
            </w:r>
          </w:p>
        </w:tc>
        <w:tc>
          <w:tcPr>
            <w:tcW w:w="2100" w:type="dxa"/>
            <w:tcMar>
              <w:top w:w="0" w:type="dxa"/>
              <w:left w:w="0" w:type="dxa"/>
              <w:bottom w:w="0" w:type="dxa"/>
              <w:right w:w="0" w:type="dxa"/>
            </w:tcMar>
          </w:tcPr>
          <w:p>
            <w:pPr>
              <w:spacing w:before="240"/>
              <w:ind w:left="660"/>
            </w:pPr>
            <w:r>
              <w:rPr>
                <w:rFonts w:hint="eastAsia" w:ascii="Times New Roman" w:hAnsi="Times New Roman" w:eastAsia="Times New Roman" w:cs="Times New Roman"/>
                <w:sz w:val="21"/>
              </w:rPr>
              <w:t>471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2100" w:type="dxa"/>
            <w:tcMar>
              <w:top w:w="0" w:type="dxa"/>
              <w:left w:w="0" w:type="dxa"/>
              <w:bottom w:w="0" w:type="dxa"/>
              <w:right w:w="0" w:type="dxa"/>
            </w:tcMar>
          </w:tcPr>
          <w:p>
            <w:pPr>
              <w:spacing w:before="240"/>
              <w:ind w:left="660"/>
            </w:pPr>
            <w:r>
              <w:rPr>
                <w:rFonts w:hint="eastAsia" w:ascii="Times New Roman" w:hAnsi="Times New Roman" w:eastAsia="Times New Roman" w:cs="Times New Roman"/>
                <w:sz w:val="21"/>
              </w:rPr>
              <w:t>401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2120" w:type="dxa"/>
            <w:tcMar>
              <w:top w:w="0" w:type="dxa"/>
              <w:left w:w="0" w:type="dxa"/>
              <w:bottom w:w="0" w:type="dxa"/>
              <w:right w:w="0" w:type="dxa"/>
            </w:tcMar>
          </w:tcPr>
          <w:p>
            <w:pPr>
              <w:spacing w:before="240"/>
              <w:ind w:left="680"/>
            </w:pPr>
            <w:r>
              <w:rPr>
                <w:rFonts w:hint="eastAsia" w:ascii="Times New Roman" w:hAnsi="Times New Roman" w:eastAsia="Times New Roman" w:cs="Times New Roman"/>
                <w:sz w:val="21"/>
              </w:rPr>
              <w:t>198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少数股东权益</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c>
          <w:tcPr>
            <w:tcW w:w="21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所有者权益总计</w:t>
            </w:r>
          </w:p>
        </w:tc>
        <w:tc>
          <w:tcPr>
            <w:tcW w:w="2100" w:type="dxa"/>
            <w:tcMar>
              <w:top w:w="0" w:type="dxa"/>
              <w:left w:w="0" w:type="dxa"/>
              <w:bottom w:w="0" w:type="dxa"/>
              <w:right w:w="0" w:type="dxa"/>
            </w:tcMar>
          </w:tcPr>
          <w:p>
            <w:pPr>
              <w:spacing w:before="140"/>
              <w:ind w:left="660"/>
            </w:pPr>
            <w:r>
              <w:rPr>
                <w:rFonts w:hint="eastAsia" w:ascii="Times New Roman Bold" w:hAnsi="Times New Roman Bold" w:eastAsia="Times New Roman Bold" w:cs="Times New Roman Bold"/>
                <w:b/>
                <w:sz w:val="21"/>
              </w:rPr>
              <w:t>476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39</w:t>
            </w:r>
          </w:p>
        </w:tc>
        <w:tc>
          <w:tcPr>
            <w:tcW w:w="2100" w:type="dxa"/>
            <w:tcMar>
              <w:top w:w="0" w:type="dxa"/>
              <w:left w:w="0" w:type="dxa"/>
              <w:bottom w:w="0" w:type="dxa"/>
              <w:right w:w="0" w:type="dxa"/>
            </w:tcMar>
          </w:tcPr>
          <w:p>
            <w:pPr>
              <w:spacing w:before="140"/>
              <w:ind w:left="660"/>
            </w:pPr>
            <w:r>
              <w:rPr>
                <w:rFonts w:hint="eastAsia" w:ascii="Times New Roman Bold" w:hAnsi="Times New Roman Bold" w:eastAsia="Times New Roman Bold" w:cs="Times New Roman Bold"/>
                <w:b/>
                <w:sz w:val="21"/>
              </w:rPr>
              <w:t>406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2120" w:type="dxa"/>
            <w:tcMar>
              <w:top w:w="0" w:type="dxa"/>
              <w:left w:w="0" w:type="dxa"/>
              <w:bottom w:w="0" w:type="dxa"/>
              <w:right w:w="0" w:type="dxa"/>
            </w:tcMar>
          </w:tcPr>
          <w:p>
            <w:pPr>
              <w:spacing w:before="140"/>
              <w:ind w:left="680"/>
            </w:pPr>
            <w:r>
              <w:rPr>
                <w:rFonts w:hint="eastAsia" w:ascii="Times New Roman Bold" w:hAnsi="Times New Roman Bold" w:eastAsia="Times New Roman Bold" w:cs="Times New Roman Bold"/>
                <w:b/>
                <w:sz w:val="21"/>
              </w:rPr>
              <w:t>199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90</w:t>
            </w:r>
          </w:p>
        </w:tc>
      </w:tr>
      <w:tr>
        <w:trPr>
          <w:trHeight w:val="660" w:hRule="exact"/>
        </w:trPr>
        <w:tc>
          <w:tcPr>
            <w:tcW w:w="2120" w:type="dxa"/>
            <w:tcMar>
              <w:top w:w="0" w:type="dxa"/>
              <w:left w:w="0" w:type="dxa"/>
              <w:bottom w:w="0" w:type="dxa"/>
              <w:right w:w="0" w:type="dxa"/>
            </w:tcMar>
          </w:tcPr>
          <w:p>
            <w:pPr>
              <w:spacing w:before="40"/>
            </w:pPr>
            <w:r>
              <w:rPr>
                <w:rFonts w:hint="eastAsia" w:ascii="宋体" w:hAnsi="宋体" w:eastAsia="宋体" w:cs="宋体"/>
                <w:b/>
                <w:sz w:val="21"/>
              </w:rPr>
              <w:t>负债及所有者权益总</w:t>
            </w:r>
          </w:p>
          <w:p>
            <w:pPr>
              <w:spacing w:before="100"/>
            </w:pPr>
            <w:r>
              <w:rPr>
                <w:rFonts w:hint="eastAsia" w:ascii="宋体" w:hAnsi="宋体" w:eastAsia="宋体" w:cs="宋体"/>
                <w:b/>
                <w:sz w:val="21"/>
              </w:rPr>
              <w:t>计</w:t>
            </w:r>
          </w:p>
        </w:tc>
        <w:tc>
          <w:tcPr>
            <w:tcW w:w="2100" w:type="dxa"/>
            <w:tcMar>
              <w:top w:w="0" w:type="dxa"/>
              <w:left w:w="0" w:type="dxa"/>
              <w:bottom w:w="0" w:type="dxa"/>
              <w:right w:w="0" w:type="dxa"/>
            </w:tcMar>
          </w:tcPr>
          <w:p>
            <w:pPr>
              <w:spacing w:before="260"/>
              <w:ind w:left="660"/>
            </w:pPr>
            <w:r>
              <w:rPr>
                <w:rFonts w:hint="eastAsia" w:ascii="Times New Roman Bold" w:hAnsi="Times New Roman Bold" w:eastAsia="Times New Roman Bold" w:cs="Times New Roman Bold"/>
                <w:b/>
                <w:sz w:val="21"/>
              </w:rPr>
              <w:t>631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26</w:t>
            </w:r>
          </w:p>
        </w:tc>
        <w:tc>
          <w:tcPr>
            <w:tcW w:w="2100" w:type="dxa"/>
            <w:tcMar>
              <w:top w:w="0" w:type="dxa"/>
              <w:left w:w="0" w:type="dxa"/>
              <w:bottom w:w="0" w:type="dxa"/>
              <w:right w:w="0" w:type="dxa"/>
            </w:tcMar>
          </w:tcPr>
          <w:p>
            <w:pPr>
              <w:spacing w:before="260"/>
              <w:ind w:left="660"/>
            </w:pPr>
            <w:r>
              <w:rPr>
                <w:rFonts w:hint="eastAsia" w:ascii="Times New Roman Bold" w:hAnsi="Times New Roman Bold" w:eastAsia="Times New Roman Bold" w:cs="Times New Roman Bold"/>
                <w:b/>
                <w:sz w:val="21"/>
              </w:rPr>
              <w:t>534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w:t>
            </w:r>
          </w:p>
        </w:tc>
        <w:tc>
          <w:tcPr>
            <w:tcW w:w="2120" w:type="dxa"/>
            <w:tcMar>
              <w:top w:w="0" w:type="dxa"/>
              <w:left w:w="0" w:type="dxa"/>
              <w:bottom w:w="0" w:type="dxa"/>
              <w:right w:w="0" w:type="dxa"/>
            </w:tcMar>
          </w:tcPr>
          <w:p>
            <w:pPr>
              <w:spacing w:before="260"/>
              <w:ind w:left="680"/>
            </w:pPr>
            <w:r>
              <w:rPr>
                <w:rFonts w:hint="eastAsia" w:ascii="Times New Roman Bold" w:hAnsi="Times New Roman Bold" w:eastAsia="Times New Roman Bold" w:cs="Times New Roman Bold"/>
                <w:b/>
                <w:sz w:val="21"/>
              </w:rPr>
              <w:t>299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1-1-212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0"/>
        </w:rPr>
        <w:t>（二）</w:t>
      </w:r>
      <w:r>
        <w:rPr>
          <w:rFonts w:hint="eastAsia" w:ascii="宋体" w:hAnsi="宋体" w:eastAsia="宋体" w:cs="宋体"/>
          <w:b/>
          <w:sz w:val="24"/>
        </w:rPr>
        <w:t>合并利润表</w:t>
      </w:r>
    </w:p>
    <w:p>
      <w:pPr>
        <w:spacing w:line="200" w:lineRule="exact"/>
        <w:rPr>
          <w:rFonts w:hint="eastAsia" w:ascii="宋体" w:hAnsi="宋体" w:eastAsia="宋体" w:cs="宋体"/>
          <w:sz w:val="20"/>
        </w:rPr>
      </w:pPr>
    </w:p>
    <w:p>
      <w:pPr>
        <w:autoSpaceDE w:val="false"/>
        <w:autoSpaceDN w:val="false"/>
        <w:spacing w:line="320" w:lineRule="exact"/>
        <w:ind w:left="93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8140" w:type="auto"/>
        <w:tblInd w:w="18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740"/>
        <w:gridCol w:w="2300"/>
        <w:gridCol w:w="2140"/>
        <w:gridCol w:w="1940"/>
      </w:tblGrid>
      <w:tr>
        <w:trPr>
          <w:trHeight w:val="460" w:hRule="exact"/>
        </w:trPr>
        <w:tc>
          <w:tcPr>
            <w:tcW w:w="1740" w:type="dxa"/>
            <w:tcMar>
              <w:top w:w="0" w:type="dxa"/>
              <w:left w:w="0" w:type="dxa"/>
              <w:bottom w:w="0" w:type="dxa"/>
              <w:right w:w="0" w:type="dxa"/>
            </w:tcMar>
          </w:tcPr>
          <w:p>
            <w:pPr>
              <w:spacing w:before="80"/>
              <w:ind w:left="600"/>
            </w:pPr>
            <w:r>
              <w:rPr>
                <w:rFonts w:hint="eastAsia" w:ascii="宋体" w:hAnsi="宋体" w:eastAsia="宋体" w:cs="宋体"/>
                <w:b/>
                <w:sz w:val="21"/>
              </w:rPr>
              <w:t>科目</w:t>
            </w:r>
          </w:p>
        </w:tc>
        <w:tc>
          <w:tcPr>
            <w:tcW w:w="2300" w:type="dxa"/>
            <w:tcMar>
              <w:top w:w="0" w:type="dxa"/>
              <w:left w:w="0" w:type="dxa"/>
              <w:bottom w:w="0" w:type="dxa"/>
              <w:right w:w="0" w:type="dxa"/>
            </w:tcMar>
          </w:tcPr>
          <w:p>
            <w:pPr>
              <w:spacing w:before="80"/>
              <w:ind w:left="6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140" w:type="dxa"/>
            <w:tcMar>
              <w:top w:w="0" w:type="dxa"/>
              <w:left w:w="0" w:type="dxa"/>
              <w:bottom w:w="0" w:type="dxa"/>
              <w:right w:w="0" w:type="dxa"/>
            </w:tcMar>
          </w:tcPr>
          <w:p>
            <w:pPr>
              <w:spacing w:before="80"/>
              <w:ind w:left="5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1940" w:type="dxa"/>
            <w:tcMar>
              <w:top w:w="0" w:type="dxa"/>
              <w:left w:w="0" w:type="dxa"/>
              <w:bottom w:w="0" w:type="dxa"/>
              <w:right w:w="0" w:type="dxa"/>
            </w:tcMar>
          </w:tcPr>
          <w:p>
            <w:pPr>
              <w:spacing w:before="80"/>
              <w:ind w:left="4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b/>
                <w:sz w:val="20"/>
              </w:rPr>
              <w:t>一、</w:t>
            </w:r>
            <w:r>
              <w:rPr>
                <w:rFonts w:hint="eastAsia" w:ascii="宋体" w:hAnsi="宋体" w:eastAsia="宋体" w:cs="宋体"/>
                <w:b/>
                <w:sz w:val="21"/>
              </w:rPr>
              <w:t>营业收入</w:t>
            </w:r>
          </w:p>
        </w:tc>
        <w:tc>
          <w:tcPr>
            <w:tcW w:w="2300" w:type="dxa"/>
            <w:tcMar>
              <w:top w:w="0" w:type="dxa"/>
              <w:left w:w="0" w:type="dxa"/>
              <w:bottom w:w="0" w:type="dxa"/>
              <w:right w:w="0" w:type="dxa"/>
            </w:tcMar>
          </w:tcPr>
          <w:p>
            <w:pPr>
              <w:spacing w:before="140"/>
              <w:ind w:left="86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2140" w:type="dxa"/>
            <w:tcMar>
              <w:top w:w="0" w:type="dxa"/>
              <w:left w:w="0" w:type="dxa"/>
              <w:bottom w:w="0" w:type="dxa"/>
              <w:right w:w="0" w:type="dxa"/>
            </w:tcMar>
          </w:tcPr>
          <w:p>
            <w:pPr>
              <w:spacing w:before="140"/>
              <w:ind w:left="70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1940" w:type="dxa"/>
            <w:tcMar>
              <w:top w:w="0" w:type="dxa"/>
              <w:left w:w="0" w:type="dxa"/>
              <w:bottom w:w="0" w:type="dxa"/>
              <w:right w:w="0" w:type="dxa"/>
            </w:tcMar>
          </w:tcPr>
          <w:p>
            <w:pPr>
              <w:spacing w:before="140"/>
              <w:ind w:left="50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r>
      <w:tr>
        <w:trPr>
          <w:trHeight w:val="480" w:hRule="exact"/>
        </w:trPr>
        <w:tc>
          <w:tcPr>
            <w:tcW w:w="1740" w:type="dxa"/>
            <w:tcMar>
              <w:top w:w="0" w:type="dxa"/>
              <w:left w:w="0" w:type="dxa"/>
              <w:bottom w:w="0" w:type="dxa"/>
              <w:right w:w="0" w:type="dxa"/>
            </w:tcMar>
          </w:tcPr>
          <w:p>
            <w:pPr>
              <w:spacing w:before="10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营业成本</w:t>
            </w:r>
          </w:p>
        </w:tc>
        <w:tc>
          <w:tcPr>
            <w:tcW w:w="2300" w:type="dxa"/>
            <w:tcMar>
              <w:top w:w="0" w:type="dxa"/>
              <w:left w:w="0" w:type="dxa"/>
              <w:bottom w:w="0" w:type="dxa"/>
              <w:right w:w="0" w:type="dxa"/>
            </w:tcMar>
          </w:tcPr>
          <w:p>
            <w:pPr>
              <w:spacing w:before="140"/>
              <w:ind w:left="960"/>
            </w:pPr>
            <w:r>
              <w:rPr>
                <w:rFonts w:hint="eastAsia" w:ascii="Times New Roman" w:hAnsi="Times New Roman" w:eastAsia="Times New Roman" w:cs="Times New Roman"/>
                <w:sz w:val="21"/>
              </w:rPr>
              <w:t>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2140" w:type="dxa"/>
            <w:tcMar>
              <w:top w:w="0" w:type="dxa"/>
              <w:left w:w="0" w:type="dxa"/>
              <w:bottom w:w="0" w:type="dxa"/>
              <w:right w:w="0" w:type="dxa"/>
            </w:tcMar>
          </w:tcPr>
          <w:p>
            <w:pPr>
              <w:spacing w:before="140"/>
              <w:ind w:left="800"/>
            </w:pP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1940" w:type="dxa"/>
            <w:tcMar>
              <w:top w:w="0" w:type="dxa"/>
              <w:left w:w="0" w:type="dxa"/>
              <w:bottom w:w="0" w:type="dxa"/>
              <w:right w:w="0" w:type="dxa"/>
            </w:tcMar>
          </w:tcPr>
          <w:p>
            <w:pPr>
              <w:spacing w:before="140"/>
              <w:ind w:left="600"/>
            </w:pP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sz w:val="21"/>
              </w:rPr>
              <w:t>税金及附加</w:t>
            </w:r>
          </w:p>
        </w:tc>
        <w:tc>
          <w:tcPr>
            <w:tcW w:w="2300" w:type="dxa"/>
            <w:tcMar>
              <w:top w:w="0" w:type="dxa"/>
              <w:left w:w="0" w:type="dxa"/>
              <w:bottom w:w="0" w:type="dxa"/>
              <w:right w:w="0" w:type="dxa"/>
            </w:tcMar>
          </w:tcPr>
          <w:p>
            <w:pPr>
              <w:spacing w:before="120"/>
              <w:ind w:left="10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w:t>
            </w:r>
          </w:p>
        </w:tc>
        <w:tc>
          <w:tcPr>
            <w:tcW w:w="2140" w:type="dxa"/>
            <w:tcMar>
              <w:top w:w="0" w:type="dxa"/>
              <w:left w:w="0" w:type="dxa"/>
              <w:bottom w:w="0" w:type="dxa"/>
              <w:right w:w="0" w:type="dxa"/>
            </w:tcMar>
          </w:tcPr>
          <w:p>
            <w:pPr>
              <w:spacing w:before="120"/>
              <w:ind w:left="9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p>
        </w:tc>
        <w:tc>
          <w:tcPr>
            <w:tcW w:w="1940" w:type="dxa"/>
            <w:tcMar>
              <w:top w:w="0" w:type="dxa"/>
              <w:left w:w="0" w:type="dxa"/>
              <w:bottom w:w="0" w:type="dxa"/>
              <w:right w:w="0" w:type="dxa"/>
            </w:tcMar>
          </w:tcPr>
          <w:p>
            <w:pPr>
              <w:spacing w:before="120"/>
              <w:ind w:left="7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r>
      <w:tr>
        <w:trPr>
          <w:trHeight w:val="460" w:hRule="exact"/>
        </w:trPr>
        <w:tc>
          <w:tcPr>
            <w:tcW w:w="1740" w:type="dxa"/>
            <w:tcMar>
              <w:top w:w="0" w:type="dxa"/>
              <w:left w:w="0" w:type="dxa"/>
              <w:bottom w:w="0" w:type="dxa"/>
              <w:right w:w="0" w:type="dxa"/>
            </w:tcMar>
          </w:tcPr>
          <w:p>
            <w:pPr>
              <w:spacing w:before="60"/>
            </w:pPr>
            <w:r>
              <w:rPr>
                <w:rFonts w:hint="eastAsia" w:ascii="宋体" w:hAnsi="宋体" w:eastAsia="宋体" w:cs="宋体"/>
                <w:sz w:val="21"/>
              </w:rPr>
              <w:t>销售费用</w:t>
            </w:r>
          </w:p>
        </w:tc>
        <w:tc>
          <w:tcPr>
            <w:tcW w:w="2300" w:type="dxa"/>
            <w:tcMar>
              <w:top w:w="0" w:type="dxa"/>
              <w:left w:w="0" w:type="dxa"/>
              <w:bottom w:w="0" w:type="dxa"/>
              <w:right w:w="0" w:type="dxa"/>
            </w:tcMar>
          </w:tcPr>
          <w:p>
            <w:pPr>
              <w:spacing w:before="100"/>
              <w:ind w:left="96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2140" w:type="dxa"/>
            <w:tcMar>
              <w:top w:w="0" w:type="dxa"/>
              <w:left w:w="0" w:type="dxa"/>
              <w:bottom w:w="0" w:type="dxa"/>
              <w:right w:w="0" w:type="dxa"/>
            </w:tcMar>
          </w:tcPr>
          <w:p>
            <w:pPr>
              <w:spacing w:before="100"/>
              <w:ind w:left="82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p>
        </w:tc>
        <w:tc>
          <w:tcPr>
            <w:tcW w:w="1940" w:type="dxa"/>
            <w:tcMar>
              <w:top w:w="0" w:type="dxa"/>
              <w:left w:w="0" w:type="dxa"/>
              <w:bottom w:w="0" w:type="dxa"/>
              <w:right w:w="0" w:type="dxa"/>
            </w:tcMar>
          </w:tcPr>
          <w:p>
            <w:pPr>
              <w:spacing w:before="100"/>
              <w:ind w:left="60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sz w:val="21"/>
              </w:rPr>
              <w:t>管理费用</w:t>
            </w:r>
          </w:p>
        </w:tc>
        <w:tc>
          <w:tcPr>
            <w:tcW w:w="2300" w:type="dxa"/>
            <w:tcMar>
              <w:top w:w="0" w:type="dxa"/>
              <w:left w:w="0" w:type="dxa"/>
              <w:bottom w:w="0" w:type="dxa"/>
              <w:right w:w="0" w:type="dxa"/>
            </w:tcMar>
          </w:tcPr>
          <w:p>
            <w:pPr>
              <w:spacing w:before="100"/>
              <w:ind w:left="960"/>
            </w:pPr>
            <w:r>
              <w:rPr>
                <w:rFonts w:hint="eastAsia" w:ascii="Times New Roman" w:hAnsi="Times New Roman" w:eastAsia="Times New Roman" w:cs="Times New Roman"/>
                <w:sz w:val="21"/>
              </w:rPr>
              <w:t>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2140" w:type="dxa"/>
            <w:tcMar>
              <w:top w:w="0" w:type="dxa"/>
              <w:left w:w="0" w:type="dxa"/>
              <w:bottom w:w="0" w:type="dxa"/>
              <w:right w:w="0" w:type="dxa"/>
            </w:tcMar>
          </w:tcPr>
          <w:p>
            <w:pPr>
              <w:spacing w:before="100"/>
              <w:ind w:left="80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940" w:type="dxa"/>
            <w:tcMar>
              <w:top w:w="0" w:type="dxa"/>
              <w:left w:w="0" w:type="dxa"/>
              <w:bottom w:w="0" w:type="dxa"/>
              <w:right w:w="0" w:type="dxa"/>
            </w:tcMar>
          </w:tcPr>
          <w:p>
            <w:pPr>
              <w:spacing w:before="100"/>
              <w:ind w:left="600"/>
            </w:pP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sz w:val="21"/>
              </w:rPr>
              <w:t>财务费用</w:t>
            </w:r>
          </w:p>
        </w:tc>
        <w:tc>
          <w:tcPr>
            <w:tcW w:w="230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2140" w:type="dxa"/>
            <w:tcMar>
              <w:top w:w="0" w:type="dxa"/>
              <w:left w:w="0" w:type="dxa"/>
              <w:bottom w:w="0" w:type="dxa"/>
              <w:right w:w="0" w:type="dxa"/>
            </w:tcMar>
          </w:tcPr>
          <w:p>
            <w:pPr>
              <w:spacing w:before="140"/>
              <w:ind w:left="8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c>
          <w:tcPr>
            <w:tcW w:w="1940" w:type="dxa"/>
            <w:tcMar>
              <w:top w:w="0" w:type="dxa"/>
              <w:left w:w="0" w:type="dxa"/>
              <w:bottom w:w="0" w:type="dxa"/>
              <w:right w:w="0" w:type="dxa"/>
            </w:tcMar>
          </w:tcPr>
          <w:p>
            <w:pPr>
              <w:spacing w:before="140"/>
              <w:ind w:left="6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sz w:val="21"/>
              </w:rPr>
              <w:t>资产减值损失</w:t>
            </w:r>
          </w:p>
        </w:tc>
        <w:tc>
          <w:tcPr>
            <w:tcW w:w="2300" w:type="dxa"/>
            <w:tcMar>
              <w:top w:w="0" w:type="dxa"/>
              <w:left w:w="0" w:type="dxa"/>
              <w:bottom w:w="0" w:type="dxa"/>
              <w:right w:w="0" w:type="dxa"/>
            </w:tcMar>
          </w:tcPr>
          <w:p>
            <w:pPr>
              <w:spacing w:before="140"/>
              <w:ind w:left="132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140" w:type="dxa"/>
            <w:tcMar>
              <w:top w:w="0" w:type="dxa"/>
              <w:left w:w="0" w:type="dxa"/>
              <w:bottom w:w="0" w:type="dxa"/>
              <w:right w:w="0" w:type="dxa"/>
            </w:tcMar>
          </w:tcPr>
          <w:p>
            <w:pPr>
              <w:spacing w:before="140"/>
              <w:ind w:left="1060"/>
            </w:pPr>
            <w:r>
              <w:rPr>
                <w:rFonts w:hint="eastAsia" w:ascii="Times New Roman" w:hAnsi="Times New Roman" w:eastAsia="Times New Roman" w:cs="Times New Roman"/>
                <w:sz w:val="21"/>
              </w:rPr>
              <w:t>869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1940" w:type="dxa"/>
            <w:tcMar>
              <w:top w:w="0" w:type="dxa"/>
              <w:left w:w="0" w:type="dxa"/>
              <w:bottom w:w="0" w:type="dxa"/>
              <w:right w:w="0" w:type="dxa"/>
            </w:tcMar>
          </w:tcPr>
          <w:p>
            <w:pPr>
              <w:spacing w:before="140"/>
              <w:ind w:left="860"/>
            </w:pPr>
            <w:r>
              <w:rPr>
                <w:rFonts w:hint="eastAsia" w:ascii="Times New Roman" w:hAnsi="Times New Roman" w:eastAsia="Times New Roman" w:cs="Times New Roman"/>
                <w:sz w:val="21"/>
              </w:rPr>
              <w:t>477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r>
        <w:trPr>
          <w:trHeight w:val="480" w:hRule="exact"/>
        </w:trPr>
        <w:tc>
          <w:tcPr>
            <w:tcW w:w="1740" w:type="dxa"/>
            <w:tcMar>
              <w:top w:w="0" w:type="dxa"/>
              <w:left w:w="0" w:type="dxa"/>
              <w:bottom w:w="0" w:type="dxa"/>
              <w:right w:w="0" w:type="dxa"/>
            </w:tcMar>
          </w:tcPr>
          <w:p>
            <w:pPr>
              <w:spacing w:before="80"/>
            </w:pPr>
            <w:r>
              <w:rPr>
                <w:rFonts w:hint="eastAsia" w:ascii="宋体" w:hAnsi="宋体" w:eastAsia="宋体" w:cs="宋体"/>
                <w:sz w:val="21"/>
              </w:rPr>
              <w:t>投资收益</w:t>
            </w:r>
          </w:p>
        </w:tc>
        <w:tc>
          <w:tcPr>
            <w:tcW w:w="2300" w:type="dxa"/>
            <w:tcMar>
              <w:top w:w="0" w:type="dxa"/>
              <w:left w:w="0" w:type="dxa"/>
              <w:bottom w:w="0" w:type="dxa"/>
              <w:right w:w="0" w:type="dxa"/>
            </w:tcMar>
          </w:tcPr>
          <w:p>
            <w:pPr>
              <w:spacing w:before="260"/>
              <w:ind w:left="2100"/>
            </w:pPr>
            <w:r>
              <w:rPr>
                <w:rFonts w:hint="eastAsia" w:ascii="Times New Roman" w:hAnsi="Times New Roman" w:eastAsia="Times New Roman" w:cs="Times New Roman"/>
                <w:sz w:val="21"/>
              </w:rPr>
              <w:t>-</w:t>
            </w:r>
          </w:p>
        </w:tc>
        <w:tc>
          <w:tcPr>
            <w:tcW w:w="2140" w:type="dxa"/>
            <w:tcMar>
              <w:top w:w="0" w:type="dxa"/>
              <w:left w:w="0" w:type="dxa"/>
              <w:bottom w:w="0" w:type="dxa"/>
              <w:right w:w="0" w:type="dxa"/>
            </w:tcMar>
          </w:tcPr>
          <w:p>
            <w:pPr>
              <w:spacing w:before="140"/>
              <w:ind w:left="118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940" w:type="dxa"/>
            <w:tcMar>
              <w:top w:w="0" w:type="dxa"/>
              <w:left w:w="0" w:type="dxa"/>
              <w:bottom w:w="0" w:type="dxa"/>
              <w:right w:w="0" w:type="dxa"/>
            </w:tcMar>
          </w:tcPr>
          <w:p>
            <w:pPr>
              <w:spacing w:before="260"/>
              <w:ind w:left="1740"/>
            </w:pPr>
            <w:r>
              <w:rPr>
                <w:rFonts w:hint="eastAsia" w:ascii="Times New Roman" w:hAnsi="Times New Roman" w:eastAsia="Times New Roman" w:cs="Times New Roman"/>
                <w:sz w:val="21"/>
              </w:rPr>
              <w:t>-</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b/>
                <w:sz w:val="20"/>
              </w:rPr>
              <w:t>二、</w:t>
            </w:r>
            <w:r>
              <w:rPr>
                <w:rFonts w:hint="eastAsia" w:ascii="宋体" w:hAnsi="宋体" w:eastAsia="宋体" w:cs="宋体"/>
                <w:b/>
                <w:sz w:val="21"/>
              </w:rPr>
              <w:t>营业利润</w:t>
            </w:r>
          </w:p>
        </w:tc>
        <w:tc>
          <w:tcPr>
            <w:tcW w:w="2300" w:type="dxa"/>
            <w:tcMar>
              <w:top w:w="0" w:type="dxa"/>
              <w:left w:w="0" w:type="dxa"/>
              <w:bottom w:w="0" w:type="dxa"/>
              <w:right w:w="0" w:type="dxa"/>
            </w:tcMar>
          </w:tcPr>
          <w:p>
            <w:pPr>
              <w:spacing w:before="120"/>
              <w:ind w:left="960"/>
            </w:pPr>
            <w:r>
              <w:rPr>
                <w:rFonts w:hint="eastAsia" w:ascii="Times New Roman Bold" w:hAnsi="Times New Roman Bold" w:eastAsia="Times New Roman Bold" w:cs="Times New Roman Bold"/>
                <w:b/>
                <w:sz w:val="21"/>
              </w:rPr>
              <w:t>68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225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84</w:t>
            </w:r>
          </w:p>
        </w:tc>
        <w:tc>
          <w:tcPr>
            <w:tcW w:w="2140" w:type="dxa"/>
            <w:tcMar>
              <w:top w:w="0" w:type="dxa"/>
              <w:left w:w="0" w:type="dxa"/>
              <w:bottom w:w="0" w:type="dxa"/>
              <w:right w:w="0" w:type="dxa"/>
            </w:tcMar>
          </w:tcPr>
          <w:p>
            <w:pPr>
              <w:spacing w:before="120"/>
              <w:ind w:left="800"/>
            </w:pPr>
            <w:r>
              <w:rPr>
                <w:rFonts w:hint="eastAsia" w:ascii="Times New Roman Bold" w:hAnsi="Times New Roman Bold" w:eastAsia="Times New Roman Bold" w:cs="Times New Roman Bold"/>
                <w:b/>
                <w:sz w:val="21"/>
              </w:rPr>
              <w:t>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159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w:t>
            </w:r>
          </w:p>
        </w:tc>
        <w:tc>
          <w:tcPr>
            <w:tcW w:w="1940" w:type="dxa"/>
            <w:tcMar>
              <w:top w:w="0" w:type="dxa"/>
              <w:left w:w="0" w:type="dxa"/>
              <w:bottom w:w="0" w:type="dxa"/>
              <w:right w:w="0" w:type="dxa"/>
            </w:tcMar>
          </w:tcPr>
          <w:p>
            <w:pPr>
              <w:spacing w:before="120"/>
              <w:ind w:left="600"/>
            </w:pPr>
            <w:r>
              <w:rPr>
                <w:rFonts w:hint="eastAsia" w:ascii="Times New Roman Bold" w:hAnsi="Times New Roman Bold" w:eastAsia="Times New Roman Bold" w:cs="Times New Roman Bold"/>
                <w:b/>
                <w:sz w:val="21"/>
              </w:rPr>
              <w:t>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571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20</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sz w:val="21"/>
              </w:rPr>
              <w:t>加</w:t>
            </w:r>
            <w:r>
              <w:rPr>
                <w:rFonts w:hint="eastAsia" w:ascii="宋体" w:hAnsi="宋体" w:eastAsia="宋体" w:cs="宋体"/>
                <w:sz w:val="10"/>
              </w:rPr>
              <w:t>：</w:t>
            </w:r>
            <w:r>
              <w:rPr>
                <w:rFonts w:hint="eastAsia" w:ascii="宋体" w:hAnsi="宋体" w:eastAsia="宋体" w:cs="宋体"/>
                <w:sz w:val="21"/>
              </w:rPr>
              <w:t>营业外收入</w:t>
            </w:r>
          </w:p>
        </w:tc>
        <w:tc>
          <w:tcPr>
            <w:tcW w:w="2300" w:type="dxa"/>
            <w:tcMar>
              <w:top w:w="0" w:type="dxa"/>
              <w:left w:w="0" w:type="dxa"/>
              <w:bottom w:w="0" w:type="dxa"/>
              <w:right w:w="0" w:type="dxa"/>
            </w:tcMar>
          </w:tcPr>
          <w:p>
            <w:pPr>
              <w:spacing w:before="120"/>
              <w:ind w:left="96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2140" w:type="dxa"/>
            <w:tcMar>
              <w:top w:w="0" w:type="dxa"/>
              <w:left w:w="0" w:type="dxa"/>
              <w:bottom w:w="0" w:type="dxa"/>
              <w:right w:w="0" w:type="dxa"/>
            </w:tcMar>
          </w:tcPr>
          <w:p>
            <w:pPr>
              <w:spacing w:before="120"/>
              <w:ind w:left="80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1940" w:type="dxa"/>
            <w:tcMar>
              <w:top w:w="0" w:type="dxa"/>
              <w:left w:w="0" w:type="dxa"/>
              <w:bottom w:w="0" w:type="dxa"/>
              <w:right w:w="0" w:type="dxa"/>
            </w:tcMar>
          </w:tcPr>
          <w:p>
            <w:pPr>
              <w:spacing w:before="120"/>
              <w:ind w:left="72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w:t>
            </w:r>
          </w:p>
        </w:tc>
      </w:tr>
      <w:tr>
        <w:trPr>
          <w:trHeight w:val="680" w:hRule="exact"/>
        </w:trPr>
        <w:tc>
          <w:tcPr>
            <w:tcW w:w="1740" w:type="dxa"/>
            <w:tcMar>
              <w:top w:w="0" w:type="dxa"/>
              <w:left w:w="0" w:type="dxa"/>
              <w:bottom w:w="0" w:type="dxa"/>
              <w:right w:w="0" w:type="dxa"/>
            </w:tcMar>
          </w:tcPr>
          <w:p>
            <w:pPr>
              <w:spacing w:before="20"/>
            </w:pP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非流动资</w:t>
            </w:r>
          </w:p>
          <w:p>
            <w:pPr>
              <w:spacing w:before="100"/>
            </w:pPr>
            <w:r>
              <w:rPr>
                <w:rFonts w:hint="eastAsia" w:ascii="宋体" w:hAnsi="宋体" w:eastAsia="宋体" w:cs="宋体"/>
                <w:sz w:val="21"/>
              </w:rPr>
              <w:t>产处置利得</w:t>
            </w:r>
          </w:p>
        </w:tc>
        <w:tc>
          <w:tcPr>
            <w:tcW w:w="2300" w:type="dxa"/>
            <w:tcMar>
              <w:top w:w="0" w:type="dxa"/>
              <w:left w:w="0" w:type="dxa"/>
              <w:bottom w:w="0" w:type="dxa"/>
              <w:right w:w="0" w:type="dxa"/>
            </w:tcMar>
          </w:tcPr>
          <w:p>
            <w:pPr>
              <w:spacing w:before="240"/>
              <w:ind w:left="144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140" w:type="dxa"/>
            <w:tcMar>
              <w:top w:w="0" w:type="dxa"/>
              <w:left w:w="0" w:type="dxa"/>
              <w:bottom w:w="0" w:type="dxa"/>
              <w:right w:w="0" w:type="dxa"/>
            </w:tcMar>
          </w:tcPr>
          <w:p>
            <w:pPr>
              <w:spacing w:before="360"/>
              <w:ind w:left="1940"/>
            </w:pPr>
            <w:r>
              <w:rPr>
                <w:rFonts w:hint="eastAsia" w:ascii="Times New Roman" w:hAnsi="Times New Roman" w:eastAsia="Times New Roman" w:cs="Times New Roman"/>
                <w:sz w:val="21"/>
              </w:rPr>
              <w:t>-</w:t>
            </w:r>
          </w:p>
        </w:tc>
        <w:tc>
          <w:tcPr>
            <w:tcW w:w="1940" w:type="dxa"/>
            <w:tcMar>
              <w:top w:w="0" w:type="dxa"/>
              <w:left w:w="0" w:type="dxa"/>
              <w:bottom w:w="0" w:type="dxa"/>
              <w:right w:w="0" w:type="dxa"/>
            </w:tcMar>
          </w:tcPr>
          <w:p>
            <w:pPr>
              <w:spacing w:before="360"/>
              <w:ind w:left="1740"/>
            </w:pPr>
            <w:r>
              <w:rPr>
                <w:rFonts w:hint="eastAsia" w:ascii="Times New Roman" w:hAnsi="Times New Roman" w:eastAsia="Times New Roman" w:cs="Times New Roman"/>
                <w:sz w:val="21"/>
              </w:rPr>
              <w:t>-</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营业外支出</w:t>
            </w:r>
          </w:p>
        </w:tc>
        <w:tc>
          <w:tcPr>
            <w:tcW w:w="2300" w:type="dxa"/>
            <w:tcMar>
              <w:top w:w="0" w:type="dxa"/>
              <w:left w:w="0" w:type="dxa"/>
              <w:bottom w:w="0" w:type="dxa"/>
              <w:right w:w="0" w:type="dxa"/>
            </w:tcMar>
          </w:tcPr>
          <w:p>
            <w:pPr>
              <w:spacing w:before="140"/>
              <w:ind w:left="1220"/>
            </w:pPr>
            <w:r>
              <w:rPr>
                <w:rFonts w:hint="eastAsia" w:ascii="Times New Roman" w:hAnsi="Times New Roman" w:eastAsia="Times New Roman" w:cs="Times New Roman"/>
                <w:sz w:val="21"/>
              </w:rPr>
              <w:t>153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140" w:type="dxa"/>
            <w:tcMar>
              <w:top w:w="0" w:type="dxa"/>
              <w:left w:w="0" w:type="dxa"/>
              <w:bottom w:w="0" w:type="dxa"/>
              <w:right w:w="0" w:type="dxa"/>
            </w:tcMar>
          </w:tcPr>
          <w:p>
            <w:pPr>
              <w:spacing w:before="140"/>
              <w:ind w:left="1060"/>
            </w:pPr>
            <w:r>
              <w:rPr>
                <w:rFonts w:hint="eastAsia" w:ascii="Times New Roman" w:hAnsi="Times New Roman" w:eastAsia="Times New Roman" w:cs="Times New Roman"/>
                <w:sz w:val="21"/>
              </w:rPr>
              <w:t>166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1940" w:type="dxa"/>
            <w:tcMar>
              <w:top w:w="0" w:type="dxa"/>
              <w:left w:w="0" w:type="dxa"/>
              <w:bottom w:w="0" w:type="dxa"/>
              <w:right w:w="0" w:type="dxa"/>
            </w:tcMar>
          </w:tcPr>
          <w:p>
            <w:pPr>
              <w:spacing w:before="140"/>
              <w:ind w:left="860"/>
            </w:pPr>
            <w:r>
              <w:rPr>
                <w:rFonts w:hint="eastAsia" w:ascii="Times New Roman" w:hAnsi="Times New Roman" w:eastAsia="Times New Roman" w:cs="Times New Roman"/>
                <w:sz w:val="21"/>
              </w:rPr>
              <w:t>327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r>
      <w:tr>
        <w:trPr>
          <w:trHeight w:val="700" w:hRule="exact"/>
        </w:trPr>
        <w:tc>
          <w:tcPr>
            <w:tcW w:w="1740" w:type="dxa"/>
            <w:tcMar>
              <w:top w:w="0" w:type="dxa"/>
              <w:left w:w="0" w:type="dxa"/>
              <w:bottom w:w="0" w:type="dxa"/>
              <w:right w:w="0" w:type="dxa"/>
            </w:tcMar>
          </w:tcPr>
          <w:p>
            <w:pPr>
              <w:spacing w:before="40"/>
            </w:pP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非流动资</w:t>
            </w:r>
          </w:p>
          <w:p>
            <w:pPr>
              <w:spacing w:before="100"/>
            </w:pPr>
            <w:r>
              <w:rPr>
                <w:rFonts w:hint="eastAsia" w:ascii="宋体" w:hAnsi="宋体" w:eastAsia="宋体" w:cs="宋体"/>
                <w:sz w:val="21"/>
              </w:rPr>
              <w:t>产处置损失</w:t>
            </w:r>
          </w:p>
        </w:tc>
        <w:tc>
          <w:tcPr>
            <w:tcW w:w="2300" w:type="dxa"/>
            <w:tcMar>
              <w:top w:w="0" w:type="dxa"/>
              <w:left w:w="0" w:type="dxa"/>
              <w:bottom w:w="0" w:type="dxa"/>
              <w:right w:w="0" w:type="dxa"/>
            </w:tcMar>
          </w:tcPr>
          <w:p>
            <w:pPr>
              <w:spacing w:before="260"/>
              <w:ind w:left="14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140" w:type="dxa"/>
            <w:tcMar>
              <w:top w:w="0" w:type="dxa"/>
              <w:left w:w="0" w:type="dxa"/>
              <w:bottom w:w="0" w:type="dxa"/>
              <w:right w:w="0" w:type="dxa"/>
            </w:tcMar>
          </w:tcPr>
          <w:p>
            <w:pPr>
              <w:spacing w:before="260"/>
              <w:ind w:left="1060"/>
            </w:pPr>
            <w:r>
              <w:rPr>
                <w:rFonts w:hint="eastAsia" w:ascii="Times New Roman" w:hAnsi="Times New Roman" w:eastAsia="Times New Roman" w:cs="Times New Roman"/>
                <w:sz w:val="21"/>
              </w:rPr>
              <w:t>166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1940" w:type="dxa"/>
            <w:tcMar>
              <w:top w:w="0" w:type="dxa"/>
              <w:left w:w="0" w:type="dxa"/>
              <w:bottom w:w="0" w:type="dxa"/>
              <w:right w:w="0" w:type="dxa"/>
            </w:tcMar>
          </w:tcPr>
          <w:p>
            <w:pPr>
              <w:spacing w:before="260"/>
              <w:ind w:left="860"/>
            </w:pPr>
            <w:r>
              <w:rPr>
                <w:rFonts w:hint="eastAsia" w:ascii="Times New Roman" w:hAnsi="Times New Roman" w:eastAsia="Times New Roman" w:cs="Times New Roman"/>
                <w:sz w:val="21"/>
              </w:rPr>
              <w:t>325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b/>
                <w:sz w:val="21"/>
              </w:rPr>
              <w:t>三</w:t>
            </w:r>
            <w:r>
              <w:rPr>
                <w:rFonts w:hint="eastAsia" w:ascii="宋体" w:hAnsi="宋体" w:eastAsia="宋体" w:cs="宋体"/>
                <w:b/>
                <w:sz w:val="10"/>
              </w:rPr>
              <w:t>、</w:t>
            </w:r>
            <w:r>
              <w:rPr>
                <w:rFonts w:hint="eastAsia" w:ascii="宋体" w:hAnsi="宋体" w:eastAsia="宋体" w:cs="宋体"/>
                <w:b/>
                <w:sz w:val="21"/>
              </w:rPr>
              <w:t>利润总额</w:t>
            </w:r>
          </w:p>
        </w:tc>
        <w:tc>
          <w:tcPr>
            <w:tcW w:w="2300" w:type="dxa"/>
            <w:tcMar>
              <w:top w:w="0" w:type="dxa"/>
              <w:left w:w="0" w:type="dxa"/>
              <w:bottom w:w="0" w:type="dxa"/>
              <w:right w:w="0" w:type="dxa"/>
            </w:tcMar>
          </w:tcPr>
          <w:p>
            <w:pPr>
              <w:spacing w:before="140"/>
              <w:ind w:left="960"/>
            </w:pPr>
            <w:r>
              <w:rPr>
                <w:rFonts w:hint="eastAsia" w:ascii="Times New Roman Bold" w:hAnsi="Times New Roman Bold" w:eastAsia="Times New Roman Bold" w:cs="Times New Roman Bold"/>
                <w:b/>
                <w:sz w:val="21"/>
              </w:rPr>
              <w:t>81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w:t>
            </w:r>
          </w:p>
        </w:tc>
        <w:tc>
          <w:tcPr>
            <w:tcW w:w="2140" w:type="dxa"/>
            <w:tcMar>
              <w:top w:w="0" w:type="dxa"/>
              <w:left w:w="0" w:type="dxa"/>
              <w:bottom w:w="0" w:type="dxa"/>
              <w:right w:w="0" w:type="dxa"/>
            </w:tcMar>
          </w:tcPr>
          <w:p>
            <w:pPr>
              <w:spacing w:before="140"/>
              <w:ind w:left="800"/>
            </w:pPr>
            <w:r>
              <w:rPr>
                <w:rFonts w:hint="eastAsia" w:ascii="Times New Roman Bold" w:hAnsi="Times New Roman Bold" w:eastAsia="Times New Roman Bold" w:cs="Times New Roman Bold"/>
                <w:b/>
                <w:sz w:val="21"/>
              </w:rPr>
              <w:t>91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15</w:t>
            </w:r>
          </w:p>
        </w:tc>
        <w:tc>
          <w:tcPr>
            <w:tcW w:w="1940" w:type="dxa"/>
            <w:tcMar>
              <w:top w:w="0" w:type="dxa"/>
              <w:left w:w="0" w:type="dxa"/>
              <w:bottom w:w="0" w:type="dxa"/>
              <w:right w:w="0" w:type="dxa"/>
            </w:tcMar>
          </w:tcPr>
          <w:p>
            <w:pPr>
              <w:spacing w:before="140"/>
              <w:ind w:left="600"/>
            </w:pPr>
            <w:r>
              <w:rPr>
                <w:rFonts w:hint="eastAsia" w:ascii="Times New Roman Bold" w:hAnsi="Times New Roman Bold" w:eastAsia="Times New Roman Bold" w:cs="Times New Roman Bold"/>
                <w:b/>
                <w:sz w:val="21"/>
              </w:rPr>
              <w:t>52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所得税费用</w:t>
            </w:r>
          </w:p>
        </w:tc>
        <w:tc>
          <w:tcPr>
            <w:tcW w:w="2300" w:type="dxa"/>
            <w:tcMar>
              <w:top w:w="0" w:type="dxa"/>
              <w:left w:w="0" w:type="dxa"/>
              <w:bottom w:w="0" w:type="dxa"/>
              <w:right w:w="0" w:type="dxa"/>
            </w:tcMar>
          </w:tcPr>
          <w:p>
            <w:pPr>
              <w:spacing w:before="140"/>
              <w:ind w:left="9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2140" w:type="dxa"/>
            <w:tcMar>
              <w:top w:w="0" w:type="dxa"/>
              <w:left w:w="0" w:type="dxa"/>
              <w:bottom w:w="0" w:type="dxa"/>
              <w:right w:w="0" w:type="dxa"/>
            </w:tcMar>
          </w:tcPr>
          <w:p>
            <w:pPr>
              <w:spacing w:before="140"/>
              <w:ind w:left="92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p>
        </w:tc>
        <w:tc>
          <w:tcPr>
            <w:tcW w:w="194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b/>
                <w:sz w:val="21"/>
              </w:rPr>
              <w:t>四</w:t>
            </w:r>
            <w:r>
              <w:rPr>
                <w:rFonts w:hint="eastAsia" w:ascii="宋体" w:hAnsi="宋体" w:eastAsia="宋体" w:cs="宋体"/>
                <w:b/>
                <w:sz w:val="10"/>
              </w:rPr>
              <w:t>、</w:t>
            </w:r>
            <w:r>
              <w:rPr>
                <w:rFonts w:hint="eastAsia" w:ascii="宋体" w:hAnsi="宋体" w:eastAsia="宋体" w:cs="宋体"/>
                <w:b/>
                <w:sz w:val="21"/>
              </w:rPr>
              <w:t>净利润</w:t>
            </w:r>
          </w:p>
        </w:tc>
        <w:tc>
          <w:tcPr>
            <w:tcW w:w="2300" w:type="dxa"/>
            <w:tcMar>
              <w:top w:w="0" w:type="dxa"/>
              <w:left w:w="0" w:type="dxa"/>
              <w:bottom w:w="0" w:type="dxa"/>
              <w:right w:w="0" w:type="dxa"/>
            </w:tcMar>
          </w:tcPr>
          <w:p>
            <w:pPr>
              <w:spacing w:before="140"/>
              <w:ind w:left="960"/>
            </w:pPr>
            <w:r>
              <w:rPr>
                <w:rFonts w:hint="eastAsia" w:ascii="Times New Roman Bold" w:hAnsi="Times New Roman Bold" w:eastAsia="Times New Roman Bold" w:cs="Times New Roman Bold"/>
                <w:b/>
                <w:sz w:val="21"/>
              </w:rPr>
              <w:t>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68</w:t>
            </w:r>
          </w:p>
        </w:tc>
        <w:tc>
          <w:tcPr>
            <w:tcW w:w="2140" w:type="dxa"/>
            <w:tcMar>
              <w:top w:w="0" w:type="dxa"/>
              <w:left w:w="0" w:type="dxa"/>
              <w:bottom w:w="0" w:type="dxa"/>
              <w:right w:w="0" w:type="dxa"/>
            </w:tcMar>
          </w:tcPr>
          <w:p>
            <w:pPr>
              <w:spacing w:before="140"/>
              <w:ind w:left="800"/>
            </w:pPr>
            <w:r>
              <w:rPr>
                <w:rFonts w:hint="eastAsia" w:ascii="Times New Roman Bold" w:hAnsi="Times New Roman Bold" w:eastAsia="Times New Roman Bold" w:cs="Times New Roman Bold"/>
                <w:b/>
                <w:sz w:val="21"/>
              </w:rPr>
              <w:t>83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679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w:t>
            </w:r>
          </w:p>
        </w:tc>
        <w:tc>
          <w:tcPr>
            <w:tcW w:w="1940" w:type="dxa"/>
            <w:tcMar>
              <w:top w:w="0" w:type="dxa"/>
              <w:left w:w="0" w:type="dxa"/>
              <w:bottom w:w="0" w:type="dxa"/>
              <w:right w:w="0" w:type="dxa"/>
            </w:tcMar>
          </w:tcPr>
          <w:p>
            <w:pPr>
              <w:spacing w:before="140"/>
              <w:ind w:left="600"/>
            </w:pPr>
            <w:r>
              <w:rPr>
                <w:rFonts w:hint="eastAsia" w:ascii="Times New Roman Bold" w:hAnsi="Times New Roman Bold" w:eastAsia="Times New Roman Bold" w:cs="Times New Roman Bold"/>
                <w:b/>
                <w:sz w:val="21"/>
              </w:rPr>
              <w:t>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w:t>
            </w:r>
          </w:p>
        </w:tc>
      </w:tr>
      <w:tr>
        <w:trPr>
          <w:trHeight w:val="1020" w:hRule="exact"/>
        </w:trPr>
        <w:tc>
          <w:tcPr>
            <w:tcW w:w="1740" w:type="dxa"/>
            <w:tcMar>
              <w:top w:w="0" w:type="dxa"/>
              <w:left w:w="0" w:type="dxa"/>
              <w:bottom w:w="0" w:type="dxa"/>
              <w:right w:w="0" w:type="dxa"/>
            </w:tcMar>
          </w:tcPr>
          <w:p>
            <w:pPr>
              <w:spacing w:before="40"/>
            </w:pP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归属于母</w:t>
            </w:r>
          </w:p>
          <w:p>
            <w:pPr>
              <w:spacing w:before="100"/>
            </w:pPr>
            <w:r>
              <w:rPr>
                <w:rFonts w:hint="eastAsia" w:ascii="宋体" w:hAnsi="宋体" w:eastAsia="宋体" w:cs="宋体"/>
                <w:sz w:val="21"/>
              </w:rPr>
              <w:t>公司所有者的净</w:t>
            </w:r>
          </w:p>
          <w:p>
            <w:pPr>
              <w:spacing w:before="100"/>
            </w:pPr>
            <w:r>
              <w:rPr>
                <w:rFonts w:hint="eastAsia" w:ascii="宋体" w:hAnsi="宋体" w:eastAsia="宋体" w:cs="宋体"/>
                <w:sz w:val="21"/>
              </w:rPr>
              <w:t>利润</w:t>
            </w:r>
          </w:p>
        </w:tc>
        <w:tc>
          <w:tcPr>
            <w:tcW w:w="2300" w:type="dxa"/>
            <w:tcMar>
              <w:top w:w="0" w:type="dxa"/>
              <w:left w:w="0" w:type="dxa"/>
              <w:bottom w:w="0" w:type="dxa"/>
              <w:right w:w="0" w:type="dxa"/>
            </w:tcMar>
          </w:tcPr>
          <w:p>
            <w:pPr>
              <w:spacing w:before="380"/>
              <w:ind w:left="96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2140" w:type="dxa"/>
            <w:tcMar>
              <w:top w:w="0" w:type="dxa"/>
              <w:left w:w="0" w:type="dxa"/>
              <w:bottom w:w="0" w:type="dxa"/>
              <w:right w:w="0" w:type="dxa"/>
            </w:tcMar>
          </w:tcPr>
          <w:p>
            <w:pPr>
              <w:spacing w:before="380"/>
              <w:ind w:left="800"/>
            </w:pP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1940" w:type="dxa"/>
            <w:tcMar>
              <w:top w:w="0" w:type="dxa"/>
              <w:left w:w="0" w:type="dxa"/>
              <w:bottom w:w="0" w:type="dxa"/>
              <w:right w:w="0" w:type="dxa"/>
            </w:tcMar>
          </w:tcPr>
          <w:p>
            <w:pPr>
              <w:spacing w:before="380"/>
              <w:ind w:left="600"/>
            </w:pP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r>
        <w:trPr>
          <w:trHeight w:val="460" w:hRule="exact"/>
        </w:trPr>
        <w:tc>
          <w:tcPr>
            <w:tcW w:w="1740" w:type="dxa"/>
            <w:tcMar>
              <w:top w:w="0" w:type="dxa"/>
              <w:left w:w="0" w:type="dxa"/>
              <w:bottom w:w="0" w:type="dxa"/>
              <w:right w:w="0" w:type="dxa"/>
            </w:tcMar>
          </w:tcPr>
          <w:p>
            <w:pPr>
              <w:spacing w:before="80"/>
            </w:pPr>
            <w:r>
              <w:rPr>
                <w:rFonts w:hint="eastAsia" w:ascii="宋体" w:hAnsi="宋体" w:eastAsia="宋体" w:cs="宋体"/>
                <w:sz w:val="21"/>
              </w:rPr>
              <w:t>少数股东损益</w:t>
            </w:r>
          </w:p>
        </w:tc>
        <w:tc>
          <w:tcPr>
            <w:tcW w:w="2300" w:type="dxa"/>
            <w:tcMar>
              <w:top w:w="0" w:type="dxa"/>
              <w:left w:w="0" w:type="dxa"/>
              <w:bottom w:w="0" w:type="dxa"/>
              <w:right w:w="0" w:type="dxa"/>
            </w:tcMar>
          </w:tcPr>
          <w:p>
            <w:pPr>
              <w:spacing w:before="120"/>
              <w:ind w:left="1160"/>
            </w:pPr>
            <w:r>
              <w:rPr>
                <w:rFonts w:hint="eastAsia" w:ascii="Times New Roman" w:hAnsi="Times New Roman" w:eastAsia="Times New Roman" w:cs="Times New Roman"/>
                <w:sz w:val="21"/>
              </w:rPr>
              <w:t>-752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2140" w:type="dxa"/>
            <w:tcMar>
              <w:top w:w="0" w:type="dxa"/>
              <w:left w:w="0" w:type="dxa"/>
              <w:bottom w:w="0" w:type="dxa"/>
              <w:right w:w="0" w:type="dxa"/>
            </w:tcMar>
          </w:tcPr>
          <w:p>
            <w:pPr>
              <w:spacing w:before="120"/>
              <w:ind w:left="1000"/>
            </w:pPr>
            <w:r>
              <w:rPr>
                <w:rFonts w:hint="eastAsia" w:ascii="Times New Roman" w:hAnsi="Times New Roman" w:eastAsia="Times New Roman" w:cs="Times New Roman"/>
                <w:sz w:val="21"/>
              </w:rPr>
              <w:t>-201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1940" w:type="dxa"/>
            <w:tcMar>
              <w:top w:w="0" w:type="dxa"/>
              <w:left w:w="0" w:type="dxa"/>
              <w:bottom w:w="0" w:type="dxa"/>
              <w:right w:w="0" w:type="dxa"/>
            </w:tcMar>
          </w:tcPr>
          <w:p>
            <w:pPr>
              <w:spacing w:before="120"/>
              <w:ind w:left="860"/>
            </w:pPr>
            <w:r>
              <w:rPr>
                <w:rFonts w:hint="eastAsia" w:ascii="Times New Roman" w:hAnsi="Times New Roman" w:eastAsia="Times New Roman" w:cs="Times New Roman"/>
                <w:sz w:val="21"/>
              </w:rPr>
              <w:t>160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r>
      <w:tr>
        <w:trPr>
          <w:trHeight w:val="460" w:hRule="exact"/>
        </w:trPr>
        <w:tc>
          <w:tcPr>
            <w:tcW w:w="1740" w:type="dxa"/>
            <w:tcMar>
              <w:top w:w="0" w:type="dxa"/>
              <w:left w:w="0" w:type="dxa"/>
              <w:bottom w:w="0" w:type="dxa"/>
              <w:right w:w="0" w:type="dxa"/>
            </w:tcMar>
          </w:tcPr>
          <w:p>
            <w:pPr>
              <w:spacing w:before="60"/>
            </w:pPr>
            <w:r>
              <w:rPr>
                <w:rFonts w:hint="eastAsia" w:ascii="宋体" w:hAnsi="宋体" w:eastAsia="宋体" w:cs="宋体"/>
                <w:b/>
                <w:sz w:val="21"/>
              </w:rPr>
              <w:t>五</w:t>
            </w:r>
            <w:r>
              <w:rPr>
                <w:rFonts w:hint="eastAsia" w:ascii="宋体" w:hAnsi="宋体" w:eastAsia="宋体" w:cs="宋体"/>
                <w:b/>
                <w:sz w:val="10"/>
              </w:rPr>
              <w:t>、</w:t>
            </w:r>
            <w:r>
              <w:rPr>
                <w:rFonts w:hint="eastAsia" w:ascii="宋体" w:hAnsi="宋体" w:eastAsia="宋体" w:cs="宋体"/>
                <w:b/>
                <w:sz w:val="21"/>
              </w:rPr>
              <w:t>每股收益</w:t>
            </w:r>
          </w:p>
        </w:tc>
        <w:tc>
          <w:tcPr>
            <w:tcW w:w="2300" w:type="dxa"/>
            <w:tcMar>
              <w:top w:w="0" w:type="dxa"/>
              <w:left w:w="0" w:type="dxa"/>
              <w:bottom w:w="0" w:type="dxa"/>
              <w:right w:w="0" w:type="dxa"/>
            </w:tcMar>
          </w:tcPr>
          <w:p/>
        </w:tc>
        <w:tc>
          <w:tcPr>
            <w:tcW w:w="2140" w:type="dxa"/>
            <w:tcMar>
              <w:top w:w="0" w:type="dxa"/>
              <w:left w:w="0" w:type="dxa"/>
              <w:bottom w:w="0" w:type="dxa"/>
              <w:right w:w="0" w:type="dxa"/>
            </w:tcMar>
          </w:tcPr>
          <w:p/>
        </w:tc>
        <w:tc>
          <w:tcPr>
            <w:tcW w:w="1940" w:type="dxa"/>
            <w:tcMar>
              <w:top w:w="0" w:type="dxa"/>
              <w:left w:w="0" w:type="dxa"/>
              <w:bottom w:w="0" w:type="dxa"/>
              <w:right w:w="0" w:type="dxa"/>
            </w:tcMar>
          </w:tcPr>
          <w:p/>
        </w:tc>
      </w:tr>
      <w:tr>
        <w:trPr>
          <w:trHeight w:val="680" w:hRule="exact"/>
        </w:trPr>
        <w:tc>
          <w:tcPr>
            <w:tcW w:w="1740" w:type="dxa"/>
            <w:tcMar>
              <w:top w:w="0" w:type="dxa"/>
              <w:left w:w="0" w:type="dxa"/>
              <w:bottom w:w="0" w:type="dxa"/>
              <w:right w:w="0" w:type="dxa"/>
            </w:tcMar>
          </w:tcPr>
          <w:p>
            <w:pPr>
              <w:spacing w:before="20"/>
            </w:pPr>
            <w:r>
              <w:rPr>
                <w:rFonts w:hint="eastAsia" w:ascii="宋体" w:hAnsi="宋体" w:eastAsia="宋体" w:cs="宋体"/>
                <w:sz w:val="20"/>
              </w:rPr>
              <w:t>（一）</w:t>
            </w:r>
            <w:r>
              <w:rPr>
                <w:rFonts w:hint="eastAsia" w:ascii="宋体" w:hAnsi="宋体" w:eastAsia="宋体" w:cs="宋体"/>
                <w:sz w:val="21"/>
              </w:rPr>
              <w:t>基本每股</w:t>
            </w:r>
          </w:p>
          <w:p>
            <w:pPr>
              <w:spacing w:before="100"/>
            </w:pPr>
            <w:r>
              <w:rPr>
                <w:rFonts w:hint="eastAsia" w:ascii="宋体" w:hAnsi="宋体" w:eastAsia="宋体" w:cs="宋体"/>
                <w:sz w:val="21"/>
              </w:rPr>
              <w:t>收益</w:t>
            </w:r>
          </w:p>
        </w:tc>
        <w:tc>
          <w:tcPr>
            <w:tcW w:w="2300" w:type="dxa"/>
            <w:tcMar>
              <w:top w:w="0" w:type="dxa"/>
              <w:left w:w="0" w:type="dxa"/>
              <w:bottom w:w="0" w:type="dxa"/>
              <w:right w:w="0" w:type="dxa"/>
            </w:tcMar>
          </w:tcPr>
          <w:p>
            <w:pPr>
              <w:spacing w:before="240"/>
              <w:ind w:left="18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2140" w:type="dxa"/>
            <w:tcMar>
              <w:top w:w="0" w:type="dxa"/>
              <w:left w:w="0" w:type="dxa"/>
              <w:bottom w:w="0" w:type="dxa"/>
              <w:right w:w="0" w:type="dxa"/>
            </w:tcMar>
          </w:tcPr>
          <w:p>
            <w:pPr>
              <w:spacing w:before="240"/>
              <w:ind w:left="16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c>
          <w:tcPr>
            <w:tcW w:w="1940" w:type="dxa"/>
            <w:tcMar>
              <w:top w:w="0" w:type="dxa"/>
              <w:left w:w="0" w:type="dxa"/>
              <w:bottom w:w="0" w:type="dxa"/>
              <w:right w:w="0" w:type="dxa"/>
            </w:tcMar>
          </w:tcPr>
          <w:p>
            <w:pPr>
              <w:spacing w:before="240"/>
              <w:ind w:left="14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r>
      <w:tr>
        <w:trPr>
          <w:trHeight w:val="700" w:hRule="exact"/>
        </w:trPr>
        <w:tc>
          <w:tcPr>
            <w:tcW w:w="1740" w:type="dxa"/>
            <w:tcMar>
              <w:top w:w="0" w:type="dxa"/>
              <w:left w:w="0" w:type="dxa"/>
              <w:bottom w:w="0" w:type="dxa"/>
              <w:right w:w="0" w:type="dxa"/>
            </w:tcMar>
          </w:tcPr>
          <w:p>
            <w:pPr>
              <w:spacing w:before="40"/>
            </w:pPr>
            <w:r>
              <w:rPr>
                <w:rFonts w:hint="eastAsia" w:ascii="宋体" w:hAnsi="宋体" w:eastAsia="宋体" w:cs="宋体"/>
                <w:sz w:val="20"/>
              </w:rPr>
              <w:t>（二）</w:t>
            </w:r>
            <w:r>
              <w:rPr>
                <w:rFonts w:hint="eastAsia" w:ascii="宋体" w:hAnsi="宋体" w:eastAsia="宋体" w:cs="宋体"/>
                <w:sz w:val="21"/>
              </w:rPr>
              <w:t>稀释每股</w:t>
            </w:r>
          </w:p>
          <w:p>
            <w:pPr>
              <w:spacing w:before="100"/>
            </w:pPr>
            <w:r>
              <w:rPr>
                <w:rFonts w:hint="eastAsia" w:ascii="宋体" w:hAnsi="宋体" w:eastAsia="宋体" w:cs="宋体"/>
                <w:sz w:val="21"/>
              </w:rPr>
              <w:t>收益</w:t>
            </w:r>
          </w:p>
        </w:tc>
        <w:tc>
          <w:tcPr>
            <w:tcW w:w="2300" w:type="dxa"/>
            <w:tcMar>
              <w:top w:w="0" w:type="dxa"/>
              <w:left w:w="0" w:type="dxa"/>
              <w:bottom w:w="0" w:type="dxa"/>
              <w:right w:w="0" w:type="dxa"/>
            </w:tcMar>
          </w:tcPr>
          <w:p>
            <w:pPr>
              <w:spacing w:before="260"/>
              <w:ind w:left="18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2140" w:type="dxa"/>
            <w:tcMar>
              <w:top w:w="0" w:type="dxa"/>
              <w:left w:w="0" w:type="dxa"/>
              <w:bottom w:w="0" w:type="dxa"/>
              <w:right w:w="0" w:type="dxa"/>
            </w:tcMar>
          </w:tcPr>
          <w:p>
            <w:pPr>
              <w:spacing w:before="260"/>
              <w:ind w:left="16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c>
          <w:tcPr>
            <w:tcW w:w="1940" w:type="dxa"/>
            <w:tcMar>
              <w:top w:w="0" w:type="dxa"/>
              <w:left w:w="0" w:type="dxa"/>
              <w:bottom w:w="0" w:type="dxa"/>
              <w:right w:w="0" w:type="dxa"/>
            </w:tcMar>
          </w:tcPr>
          <w:p>
            <w:pPr>
              <w:spacing w:before="260"/>
              <w:ind w:left="14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r>
      <w:tr>
        <w:trPr>
          <w:trHeight w:val="680" w:hRule="exact"/>
        </w:trPr>
        <w:tc>
          <w:tcPr>
            <w:tcW w:w="1740" w:type="dxa"/>
            <w:tcMar>
              <w:top w:w="0" w:type="dxa"/>
              <w:left w:w="0" w:type="dxa"/>
              <w:bottom w:w="0" w:type="dxa"/>
              <w:right w:w="0" w:type="dxa"/>
            </w:tcMar>
          </w:tcPr>
          <w:p>
            <w:pPr>
              <w:spacing w:before="20"/>
            </w:pPr>
            <w:r>
              <w:rPr>
                <w:rFonts w:hint="eastAsia" w:ascii="宋体" w:hAnsi="宋体" w:eastAsia="宋体" w:cs="宋体"/>
                <w:b/>
                <w:sz w:val="21"/>
              </w:rPr>
              <w:t>六</w:t>
            </w:r>
            <w:r>
              <w:rPr>
                <w:rFonts w:hint="eastAsia" w:ascii="宋体" w:hAnsi="宋体" w:eastAsia="宋体" w:cs="宋体"/>
                <w:b/>
                <w:sz w:val="10"/>
              </w:rPr>
              <w:t>、</w:t>
            </w:r>
            <w:r>
              <w:rPr>
                <w:rFonts w:hint="eastAsia" w:ascii="宋体" w:hAnsi="宋体" w:eastAsia="宋体" w:cs="宋体"/>
                <w:b/>
                <w:sz w:val="21"/>
              </w:rPr>
              <w:t>其他综合收</w:t>
            </w:r>
          </w:p>
          <w:p>
            <w:pPr>
              <w:spacing w:before="100"/>
            </w:pPr>
            <w:r>
              <w:rPr>
                <w:rFonts w:hint="eastAsia" w:ascii="宋体" w:hAnsi="宋体" w:eastAsia="宋体" w:cs="宋体"/>
                <w:b/>
                <w:sz w:val="21"/>
              </w:rPr>
              <w:t>益</w:t>
            </w:r>
          </w:p>
        </w:tc>
        <w:tc>
          <w:tcPr>
            <w:tcW w:w="2300" w:type="dxa"/>
            <w:tcMar>
              <w:top w:w="0" w:type="dxa"/>
              <w:left w:w="0" w:type="dxa"/>
              <w:bottom w:w="0" w:type="dxa"/>
              <w:right w:w="0" w:type="dxa"/>
            </w:tcMar>
          </w:tcPr>
          <w:p/>
        </w:tc>
        <w:tc>
          <w:tcPr>
            <w:tcW w:w="2140" w:type="dxa"/>
            <w:tcMar>
              <w:top w:w="0" w:type="dxa"/>
              <w:left w:w="0" w:type="dxa"/>
              <w:bottom w:w="0" w:type="dxa"/>
              <w:right w:w="0" w:type="dxa"/>
            </w:tcMar>
          </w:tcPr>
          <w:p/>
        </w:tc>
        <w:tc>
          <w:tcPr>
            <w:tcW w:w="1940" w:type="dxa"/>
            <w:tcMar>
              <w:top w:w="0" w:type="dxa"/>
              <w:left w:w="0" w:type="dxa"/>
              <w:bottom w:w="0" w:type="dxa"/>
              <w:right w:w="0" w:type="dxa"/>
            </w:tcMar>
          </w:tcPr>
          <w:p/>
        </w:tc>
      </w:tr>
      <w:tr>
        <w:trPr>
          <w:trHeight w:val="440" w:hRule="exact"/>
        </w:trPr>
        <w:tc>
          <w:tcPr>
            <w:tcW w:w="1740" w:type="dxa"/>
            <w:tcMar>
              <w:top w:w="0" w:type="dxa"/>
              <w:left w:w="0" w:type="dxa"/>
              <w:bottom w:w="0" w:type="dxa"/>
              <w:right w:w="0" w:type="dxa"/>
            </w:tcMar>
          </w:tcPr>
          <w:p>
            <w:pPr>
              <w:spacing w:before="80"/>
            </w:pPr>
            <w:r>
              <w:rPr>
                <w:rFonts w:hint="eastAsia" w:ascii="宋体" w:hAnsi="宋体" w:eastAsia="宋体" w:cs="宋体"/>
                <w:b/>
                <w:sz w:val="21"/>
              </w:rPr>
              <w:t>七</w:t>
            </w:r>
            <w:r>
              <w:rPr>
                <w:rFonts w:hint="eastAsia" w:ascii="宋体" w:hAnsi="宋体" w:eastAsia="宋体" w:cs="宋体"/>
                <w:b/>
                <w:sz w:val="10"/>
              </w:rPr>
              <w:t>、</w:t>
            </w:r>
            <w:r>
              <w:rPr>
                <w:rFonts w:hint="eastAsia" w:ascii="宋体" w:hAnsi="宋体" w:eastAsia="宋体" w:cs="宋体"/>
                <w:b/>
                <w:sz w:val="21"/>
              </w:rPr>
              <w:t>综合收益总</w:t>
            </w:r>
          </w:p>
        </w:tc>
        <w:tc>
          <w:tcPr>
            <w:tcW w:w="2300" w:type="dxa"/>
            <w:tcMar>
              <w:top w:w="0" w:type="dxa"/>
              <w:left w:w="0" w:type="dxa"/>
              <w:bottom w:w="0" w:type="dxa"/>
              <w:right w:w="0" w:type="dxa"/>
            </w:tcMar>
          </w:tcPr>
          <w:p>
            <w:pPr>
              <w:spacing w:before="140"/>
              <w:ind w:left="960"/>
            </w:pPr>
            <w:r>
              <w:rPr>
                <w:rFonts w:hint="eastAsia" w:ascii="Times New Roman Bold" w:hAnsi="Times New Roman Bold" w:eastAsia="Times New Roman Bold" w:cs="Times New Roman Bold"/>
                <w:b/>
                <w:sz w:val="21"/>
              </w:rPr>
              <w:t>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68</w:t>
            </w:r>
          </w:p>
        </w:tc>
        <w:tc>
          <w:tcPr>
            <w:tcW w:w="2140" w:type="dxa"/>
            <w:tcMar>
              <w:top w:w="0" w:type="dxa"/>
              <w:left w:w="0" w:type="dxa"/>
              <w:bottom w:w="0" w:type="dxa"/>
              <w:right w:w="0" w:type="dxa"/>
            </w:tcMar>
          </w:tcPr>
          <w:p>
            <w:pPr>
              <w:spacing w:before="140"/>
              <w:ind w:left="800"/>
            </w:pPr>
            <w:r>
              <w:rPr>
                <w:rFonts w:hint="eastAsia" w:ascii="Times New Roman Bold" w:hAnsi="Times New Roman Bold" w:eastAsia="Times New Roman Bold" w:cs="Times New Roman Bold"/>
                <w:b/>
                <w:sz w:val="21"/>
              </w:rPr>
              <w:t>83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679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w:t>
            </w:r>
          </w:p>
        </w:tc>
        <w:tc>
          <w:tcPr>
            <w:tcW w:w="1940" w:type="dxa"/>
            <w:tcMar>
              <w:top w:w="0" w:type="dxa"/>
              <w:left w:w="0" w:type="dxa"/>
              <w:bottom w:w="0" w:type="dxa"/>
              <w:right w:w="0" w:type="dxa"/>
            </w:tcMar>
          </w:tcPr>
          <w:p>
            <w:pPr>
              <w:spacing w:before="140"/>
              <w:ind w:left="600"/>
            </w:pPr>
            <w:r>
              <w:rPr>
                <w:rFonts w:hint="eastAsia" w:ascii="Times New Roman Bold" w:hAnsi="Times New Roman Bold" w:eastAsia="Times New Roman Bold" w:cs="Times New Roman Bold"/>
                <w:b/>
                <w:sz w:val="21"/>
              </w:rPr>
              <w:t>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w:t>
            </w:r>
          </w:p>
        </w:tc>
      </w:tr>
    </w:tbl>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1-1-213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8140" w:type="auto"/>
        <w:tblInd w:w="18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740"/>
        <w:gridCol w:w="2300"/>
        <w:gridCol w:w="2140"/>
        <w:gridCol w:w="1940"/>
      </w:tblGrid>
      <w:tr>
        <w:trPr>
          <w:trHeight w:val="480" w:hRule="exact"/>
        </w:trPr>
        <w:tc>
          <w:tcPr>
            <w:tcW w:w="1740" w:type="dxa"/>
            <w:tcMar>
              <w:top w:w="0" w:type="dxa"/>
              <w:left w:w="0" w:type="dxa"/>
              <w:bottom w:w="0" w:type="dxa"/>
              <w:right w:w="0" w:type="dxa"/>
            </w:tcMar>
          </w:tcPr>
          <w:p>
            <w:pPr>
              <w:spacing w:before="60"/>
            </w:pPr>
            <w:r>
              <w:rPr>
                <w:rFonts w:hint="eastAsia" w:ascii="宋体" w:hAnsi="宋体" w:eastAsia="宋体" w:cs="宋体"/>
                <w:b/>
                <w:sz w:val="21"/>
              </w:rPr>
              <w:t>额</w:t>
            </w:r>
          </w:p>
        </w:tc>
        <w:tc>
          <w:tcPr>
            <w:tcW w:w="2300" w:type="dxa"/>
            <w:tcMar>
              <w:top w:w="0" w:type="dxa"/>
              <w:left w:w="0" w:type="dxa"/>
              <w:bottom w:w="0" w:type="dxa"/>
              <w:right w:w="0" w:type="dxa"/>
            </w:tcMar>
          </w:tcPr>
          <w:p/>
        </w:tc>
        <w:tc>
          <w:tcPr>
            <w:tcW w:w="2140" w:type="dxa"/>
            <w:tcMar>
              <w:top w:w="0" w:type="dxa"/>
              <w:left w:w="0" w:type="dxa"/>
              <w:bottom w:w="0" w:type="dxa"/>
              <w:right w:w="0" w:type="dxa"/>
            </w:tcMar>
          </w:tcPr>
          <w:p/>
        </w:tc>
        <w:tc>
          <w:tcPr>
            <w:tcW w:w="1940" w:type="dxa"/>
            <w:tcMar>
              <w:top w:w="0" w:type="dxa"/>
              <w:left w:w="0" w:type="dxa"/>
              <w:bottom w:w="0" w:type="dxa"/>
              <w:right w:w="0" w:type="dxa"/>
            </w:tcMar>
          </w:tcPr>
          <w:p/>
        </w:tc>
      </w:tr>
      <w:tr>
        <w:trPr>
          <w:trHeight w:val="1000" w:hRule="exact"/>
        </w:trPr>
        <w:tc>
          <w:tcPr>
            <w:tcW w:w="1740" w:type="dxa"/>
            <w:tcMar>
              <w:top w:w="0" w:type="dxa"/>
              <w:left w:w="0" w:type="dxa"/>
              <w:bottom w:w="0" w:type="dxa"/>
              <w:right w:w="0" w:type="dxa"/>
            </w:tcMar>
          </w:tcPr>
          <w:p>
            <w:pPr>
              <w:spacing w:before="40"/>
            </w:pPr>
            <w:r>
              <w:rPr>
                <w:rFonts w:hint="eastAsia" w:ascii="宋体" w:hAnsi="宋体" w:eastAsia="宋体" w:cs="宋体"/>
                <w:sz w:val="21"/>
              </w:rPr>
              <w:t>归属于母公司股</w:t>
            </w:r>
          </w:p>
          <w:p>
            <w:pPr>
              <w:spacing w:before="100"/>
            </w:pPr>
            <w:r>
              <w:rPr>
                <w:rFonts w:hint="eastAsia" w:ascii="宋体" w:hAnsi="宋体" w:eastAsia="宋体" w:cs="宋体"/>
                <w:sz w:val="21"/>
              </w:rPr>
              <w:t>东的综合收益总</w:t>
            </w:r>
          </w:p>
          <w:p>
            <w:pPr>
              <w:spacing w:before="80"/>
            </w:pPr>
            <w:r>
              <w:rPr>
                <w:rFonts w:hint="eastAsia" w:ascii="宋体" w:hAnsi="宋体" w:eastAsia="宋体" w:cs="宋体"/>
                <w:sz w:val="21"/>
              </w:rPr>
              <w:t>额</w:t>
            </w:r>
          </w:p>
        </w:tc>
        <w:tc>
          <w:tcPr>
            <w:tcW w:w="2300" w:type="dxa"/>
            <w:tcMar>
              <w:top w:w="0" w:type="dxa"/>
              <w:left w:w="0" w:type="dxa"/>
              <w:bottom w:w="0" w:type="dxa"/>
              <w:right w:w="0" w:type="dxa"/>
            </w:tcMar>
          </w:tcPr>
          <w:p>
            <w:pPr>
              <w:spacing w:before="400"/>
              <w:ind w:left="96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2140" w:type="dxa"/>
            <w:tcMar>
              <w:top w:w="0" w:type="dxa"/>
              <w:left w:w="0" w:type="dxa"/>
              <w:bottom w:w="0" w:type="dxa"/>
              <w:right w:w="0" w:type="dxa"/>
            </w:tcMar>
          </w:tcPr>
          <w:p>
            <w:pPr>
              <w:spacing w:before="400"/>
              <w:ind w:left="800"/>
            </w:pP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1940" w:type="dxa"/>
            <w:tcMar>
              <w:top w:w="0" w:type="dxa"/>
              <w:left w:w="0" w:type="dxa"/>
              <w:bottom w:w="0" w:type="dxa"/>
              <w:right w:w="0" w:type="dxa"/>
            </w:tcMar>
          </w:tcPr>
          <w:p>
            <w:pPr>
              <w:spacing w:before="400"/>
              <w:ind w:left="600"/>
            </w:pP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r>
        <w:trPr>
          <w:trHeight w:val="640" w:hRule="exact"/>
        </w:trPr>
        <w:tc>
          <w:tcPr>
            <w:tcW w:w="1740" w:type="dxa"/>
            <w:tcMar>
              <w:top w:w="0" w:type="dxa"/>
              <w:left w:w="0" w:type="dxa"/>
              <w:bottom w:w="0" w:type="dxa"/>
              <w:right w:w="0" w:type="dxa"/>
            </w:tcMar>
          </w:tcPr>
          <w:p>
            <w:pPr>
              <w:spacing w:before="40"/>
            </w:pPr>
            <w:r>
              <w:rPr>
                <w:rFonts w:hint="eastAsia" w:ascii="宋体" w:hAnsi="宋体" w:eastAsia="宋体" w:cs="宋体"/>
                <w:sz w:val="21"/>
              </w:rPr>
              <w:t>归属于少数股东</w:t>
            </w:r>
          </w:p>
          <w:p>
            <w:pPr>
              <w:spacing w:before="100"/>
            </w:pPr>
            <w:r>
              <w:rPr>
                <w:rFonts w:hint="eastAsia" w:ascii="宋体" w:hAnsi="宋体" w:eastAsia="宋体" w:cs="宋体"/>
                <w:sz w:val="21"/>
              </w:rPr>
              <w:t>的综合收益总额</w:t>
            </w:r>
          </w:p>
        </w:tc>
        <w:tc>
          <w:tcPr>
            <w:tcW w:w="2300" w:type="dxa"/>
            <w:tcMar>
              <w:top w:w="0" w:type="dxa"/>
              <w:left w:w="0" w:type="dxa"/>
              <w:bottom w:w="0" w:type="dxa"/>
              <w:right w:w="0" w:type="dxa"/>
            </w:tcMar>
          </w:tcPr>
          <w:p>
            <w:pPr>
              <w:spacing w:before="240"/>
              <w:ind w:left="1160"/>
            </w:pPr>
            <w:r>
              <w:rPr>
                <w:rFonts w:hint="eastAsia" w:ascii="Times New Roman" w:hAnsi="Times New Roman" w:eastAsia="Times New Roman" w:cs="Times New Roman"/>
                <w:sz w:val="21"/>
              </w:rPr>
              <w:t>-752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2140" w:type="dxa"/>
            <w:tcMar>
              <w:top w:w="0" w:type="dxa"/>
              <w:left w:w="0" w:type="dxa"/>
              <w:bottom w:w="0" w:type="dxa"/>
              <w:right w:w="0" w:type="dxa"/>
            </w:tcMar>
          </w:tcPr>
          <w:p>
            <w:pPr>
              <w:spacing w:before="240"/>
              <w:ind w:left="1000"/>
            </w:pPr>
            <w:r>
              <w:rPr>
                <w:rFonts w:hint="eastAsia" w:ascii="Times New Roman" w:hAnsi="Times New Roman" w:eastAsia="Times New Roman" w:cs="Times New Roman"/>
                <w:sz w:val="21"/>
              </w:rPr>
              <w:t>-201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1940" w:type="dxa"/>
            <w:tcMar>
              <w:top w:w="0" w:type="dxa"/>
              <w:left w:w="0" w:type="dxa"/>
              <w:bottom w:w="0" w:type="dxa"/>
              <w:right w:w="0" w:type="dxa"/>
            </w:tcMar>
          </w:tcPr>
          <w:p>
            <w:pPr>
              <w:spacing w:before="240"/>
              <w:ind w:left="860"/>
            </w:pPr>
            <w:r>
              <w:rPr>
                <w:rFonts w:hint="eastAsia" w:ascii="Times New Roman" w:hAnsi="Times New Roman" w:eastAsia="Times New Roman" w:cs="Times New Roman"/>
                <w:sz w:val="21"/>
              </w:rPr>
              <w:t>160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1-1-214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0"/>
        </w:rPr>
        <w:t>（</w:t>
      </w:r>
      <w:r>
        <w:rPr>
          <w:rFonts w:hint="eastAsia" w:ascii="宋体" w:hAnsi="宋体" w:eastAsia="宋体" w:cs="宋体"/>
          <w:b/>
          <w:sz w:val="24"/>
        </w:rPr>
        <w:t>三）合并现金流量表</w:t>
      </w:r>
    </w:p>
    <w:p>
      <w:pPr>
        <w:spacing w:line="200" w:lineRule="exact"/>
        <w:rPr>
          <w:rFonts w:hint="eastAsia" w:ascii="宋体" w:hAnsi="宋体" w:eastAsia="宋体" w:cs="宋体"/>
          <w:sz w:val="20"/>
        </w:rPr>
      </w:pPr>
    </w:p>
    <w:p>
      <w:pPr>
        <w:autoSpaceDE w:val="false"/>
        <w:autoSpaceDN w:val="false"/>
        <w:spacing w:line="320" w:lineRule="exact"/>
        <w:ind w:left="93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8460" w:type="auto"/>
        <w:tblInd w:w="1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120"/>
        <w:gridCol w:w="2100"/>
        <w:gridCol w:w="2100"/>
        <w:gridCol w:w="2120"/>
      </w:tblGrid>
      <w:tr>
        <w:trPr>
          <w:trHeight w:val="460" w:hRule="exact"/>
        </w:trPr>
        <w:tc>
          <w:tcPr>
            <w:tcW w:w="2120" w:type="dxa"/>
            <w:tcMar>
              <w:top w:w="0" w:type="dxa"/>
              <w:left w:w="0" w:type="dxa"/>
              <w:bottom w:w="0" w:type="dxa"/>
              <w:right w:w="0" w:type="dxa"/>
            </w:tcMar>
          </w:tcPr>
          <w:p>
            <w:pPr>
              <w:spacing w:before="80"/>
              <w:ind w:left="780"/>
            </w:pPr>
            <w:r>
              <w:rPr>
                <w:rFonts w:hint="eastAsia" w:ascii="宋体" w:hAnsi="宋体" w:eastAsia="宋体" w:cs="宋体"/>
                <w:b/>
                <w:sz w:val="21"/>
              </w:rPr>
              <w:t>科目</w:t>
            </w:r>
          </w:p>
        </w:tc>
        <w:tc>
          <w:tcPr>
            <w:tcW w:w="2100" w:type="dxa"/>
            <w:tcMar>
              <w:top w:w="0" w:type="dxa"/>
              <w:left w:w="0" w:type="dxa"/>
              <w:bottom w:w="0" w:type="dxa"/>
              <w:right w:w="0" w:type="dxa"/>
            </w:tcMar>
          </w:tcPr>
          <w:p>
            <w:pPr>
              <w:spacing w:before="80"/>
              <w:ind w:left="5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100" w:type="dxa"/>
            <w:tcMar>
              <w:top w:w="0" w:type="dxa"/>
              <w:left w:w="0" w:type="dxa"/>
              <w:bottom w:w="0" w:type="dxa"/>
              <w:right w:w="0" w:type="dxa"/>
            </w:tcMar>
          </w:tcPr>
          <w:p>
            <w:pPr>
              <w:spacing w:before="80"/>
              <w:ind w:left="54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120" w:type="dxa"/>
            <w:tcMar>
              <w:top w:w="0" w:type="dxa"/>
              <w:left w:w="0" w:type="dxa"/>
              <w:bottom w:w="0" w:type="dxa"/>
              <w:right w:w="0" w:type="dxa"/>
            </w:tcMar>
          </w:tcPr>
          <w:p>
            <w:pPr>
              <w:spacing w:before="80"/>
              <w:ind w:left="5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b/>
                <w:sz w:val="20"/>
              </w:rPr>
              <w:t>一、</w:t>
            </w:r>
            <w:r>
              <w:rPr>
                <w:rFonts w:hint="eastAsia" w:ascii="宋体" w:hAnsi="宋体" w:eastAsia="宋体" w:cs="宋体"/>
                <w:b/>
                <w:sz w:val="21"/>
              </w:rPr>
              <w:t>经营活动产生的</w:t>
            </w:r>
          </w:p>
          <w:p>
            <w:pPr>
              <w:spacing w:before="80"/>
            </w:pPr>
            <w:r>
              <w:rPr>
                <w:rFonts w:hint="eastAsia" w:ascii="宋体" w:hAnsi="宋体" w:eastAsia="宋体" w:cs="宋体"/>
                <w:b/>
                <w:sz w:val="21"/>
              </w:rPr>
              <w:t>现金流量</w:t>
            </w:r>
            <w:r>
              <w:rPr>
                <w:rFonts w:hint="eastAsia" w:ascii="宋体" w:hAnsi="宋体" w:eastAsia="宋体" w:cs="宋体"/>
                <w:b/>
                <w:sz w:val="10"/>
              </w:rPr>
              <w:t>：</w:t>
            </w:r>
          </w:p>
        </w:tc>
        <w:tc>
          <w:tcPr>
            <w:tcW w:w="2100" w:type="dxa"/>
            <w:tcMar>
              <w:top w:w="0" w:type="dxa"/>
              <w:left w:w="0" w:type="dxa"/>
              <w:bottom w:w="0" w:type="dxa"/>
              <w:right w:w="0" w:type="dxa"/>
            </w:tcMar>
          </w:tcPr>
          <w:p/>
        </w:tc>
        <w:tc>
          <w:tcPr>
            <w:tcW w:w="2100" w:type="dxa"/>
            <w:tcMar>
              <w:top w:w="0" w:type="dxa"/>
              <w:left w:w="0" w:type="dxa"/>
              <w:bottom w:w="0" w:type="dxa"/>
              <w:right w:w="0" w:type="dxa"/>
            </w:tcMar>
          </w:tcPr>
          <w:p/>
        </w:tc>
        <w:tc>
          <w:tcPr>
            <w:tcW w:w="2120" w:type="dxa"/>
            <w:tcMar>
              <w:top w:w="0" w:type="dxa"/>
              <w:left w:w="0" w:type="dxa"/>
              <w:bottom w:w="0" w:type="dxa"/>
              <w:right w:w="0" w:type="dxa"/>
            </w:tcMar>
          </w:tcPr>
          <w:p/>
        </w:tc>
      </w:tr>
      <w:tr>
        <w:trPr>
          <w:trHeight w:val="680" w:hRule="exact"/>
        </w:trPr>
        <w:tc>
          <w:tcPr>
            <w:tcW w:w="2120" w:type="dxa"/>
            <w:tcMar>
              <w:top w:w="0" w:type="dxa"/>
              <w:left w:w="0" w:type="dxa"/>
              <w:bottom w:w="0" w:type="dxa"/>
              <w:right w:w="0" w:type="dxa"/>
            </w:tcMar>
          </w:tcPr>
          <w:p>
            <w:pPr>
              <w:spacing w:before="20"/>
            </w:pPr>
            <w:r>
              <w:rPr>
                <w:rFonts w:hint="eastAsia" w:ascii="宋体" w:hAnsi="宋体" w:eastAsia="宋体" w:cs="宋体"/>
                <w:sz w:val="21"/>
              </w:rPr>
              <w:t>销售商品</w:t>
            </w:r>
            <w:r>
              <w:rPr>
                <w:rFonts w:hint="eastAsia" w:ascii="宋体" w:hAnsi="宋体" w:eastAsia="宋体" w:cs="宋体"/>
                <w:sz w:val="10"/>
              </w:rPr>
              <w:t>、</w:t>
            </w:r>
            <w:r>
              <w:rPr>
                <w:rFonts w:hint="eastAsia" w:ascii="宋体" w:hAnsi="宋体" w:eastAsia="宋体" w:cs="宋体"/>
                <w:sz w:val="21"/>
              </w:rPr>
              <w:t>提供劳务</w:t>
            </w:r>
          </w:p>
          <w:p>
            <w:pPr>
              <w:spacing w:before="100"/>
            </w:pPr>
            <w:r>
              <w:rPr>
                <w:rFonts w:hint="eastAsia" w:ascii="宋体" w:hAnsi="宋体" w:eastAsia="宋体" w:cs="宋体"/>
                <w:sz w:val="21"/>
              </w:rPr>
              <w:t>收到的现金</w:t>
            </w:r>
          </w:p>
        </w:tc>
        <w:tc>
          <w:tcPr>
            <w:tcW w:w="2100" w:type="dxa"/>
            <w:tcMar>
              <w:top w:w="0" w:type="dxa"/>
              <w:left w:w="0" w:type="dxa"/>
              <w:bottom w:w="0" w:type="dxa"/>
              <w:right w:w="0" w:type="dxa"/>
            </w:tcMar>
          </w:tcPr>
          <w:p>
            <w:pPr>
              <w:spacing w:before="240"/>
              <w:ind w:left="660"/>
            </w:pPr>
            <w:r>
              <w:rPr>
                <w:rFonts w:hint="eastAsia" w:ascii="Times New Roman" w:hAnsi="Times New Roman" w:eastAsia="Times New Roman" w:cs="Times New Roman"/>
                <w:sz w:val="21"/>
              </w:rPr>
              <w:t>254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100" w:type="dxa"/>
            <w:tcMar>
              <w:top w:w="0" w:type="dxa"/>
              <w:left w:w="0" w:type="dxa"/>
              <w:bottom w:w="0" w:type="dxa"/>
              <w:right w:w="0" w:type="dxa"/>
            </w:tcMar>
          </w:tcPr>
          <w:p>
            <w:pPr>
              <w:spacing w:before="240"/>
              <w:ind w:left="660"/>
            </w:pPr>
            <w:r>
              <w:rPr>
                <w:rFonts w:hint="eastAsia" w:ascii="Times New Roman" w:hAnsi="Times New Roman" w:eastAsia="Times New Roman" w:cs="Times New Roman"/>
                <w:sz w:val="21"/>
              </w:rPr>
              <w:t>250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120" w:type="dxa"/>
            <w:tcMar>
              <w:top w:w="0" w:type="dxa"/>
              <w:left w:w="0" w:type="dxa"/>
              <w:bottom w:w="0" w:type="dxa"/>
              <w:right w:w="0" w:type="dxa"/>
            </w:tcMar>
          </w:tcPr>
          <w:p>
            <w:pPr>
              <w:spacing w:before="240"/>
              <w:ind w:left="680"/>
            </w:pPr>
            <w:r>
              <w:rPr>
                <w:rFonts w:hint="eastAsia" w:ascii="Times New Roman" w:hAnsi="Times New Roman" w:eastAsia="Times New Roman" w:cs="Times New Roman"/>
                <w:sz w:val="21"/>
              </w:rPr>
              <w:t>187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收到的税费返还</w:t>
            </w:r>
          </w:p>
        </w:tc>
        <w:tc>
          <w:tcPr>
            <w:tcW w:w="2100" w:type="dxa"/>
            <w:tcMar>
              <w:top w:w="0" w:type="dxa"/>
              <w:left w:w="0" w:type="dxa"/>
              <w:bottom w:w="0" w:type="dxa"/>
              <w:right w:w="0" w:type="dxa"/>
            </w:tcMar>
          </w:tcPr>
          <w:p>
            <w:pPr>
              <w:spacing w:before="140"/>
              <w:ind w:left="76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1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收到的其他与经营活</w:t>
            </w:r>
          </w:p>
          <w:p>
            <w:pPr>
              <w:spacing w:before="100"/>
            </w:pPr>
            <w:r>
              <w:rPr>
                <w:rFonts w:hint="eastAsia" w:ascii="宋体" w:hAnsi="宋体" w:eastAsia="宋体" w:cs="宋体"/>
                <w:sz w:val="21"/>
              </w:rPr>
              <w:t>动有关的现金</w:t>
            </w:r>
          </w:p>
        </w:tc>
        <w:tc>
          <w:tcPr>
            <w:tcW w:w="2100" w:type="dxa"/>
            <w:tcMar>
              <w:top w:w="0" w:type="dxa"/>
              <w:left w:w="0" w:type="dxa"/>
              <w:bottom w:w="0" w:type="dxa"/>
              <w:right w:w="0" w:type="dxa"/>
            </w:tcMar>
          </w:tcPr>
          <w:p>
            <w:pPr>
              <w:spacing w:before="260"/>
              <w:ind w:left="88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c>
          <w:tcPr>
            <w:tcW w:w="2100" w:type="dxa"/>
            <w:tcMar>
              <w:top w:w="0" w:type="dxa"/>
              <w:left w:w="0" w:type="dxa"/>
              <w:bottom w:w="0" w:type="dxa"/>
              <w:right w:w="0" w:type="dxa"/>
            </w:tcMar>
          </w:tcPr>
          <w:p>
            <w:pPr>
              <w:spacing w:before="260"/>
              <w:ind w:left="78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2120" w:type="dxa"/>
            <w:tcMar>
              <w:top w:w="0" w:type="dxa"/>
              <w:left w:w="0" w:type="dxa"/>
              <w:bottom w:w="0" w:type="dxa"/>
              <w:right w:w="0" w:type="dxa"/>
            </w:tcMar>
          </w:tcPr>
          <w:p>
            <w:pPr>
              <w:spacing w:before="260"/>
              <w:ind w:left="8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现金流入小计</w:t>
            </w:r>
          </w:p>
        </w:tc>
        <w:tc>
          <w:tcPr>
            <w:tcW w:w="2100" w:type="dxa"/>
            <w:tcMar>
              <w:top w:w="0" w:type="dxa"/>
              <w:left w:w="0" w:type="dxa"/>
              <w:bottom w:w="0" w:type="dxa"/>
              <w:right w:w="0" w:type="dxa"/>
            </w:tcMar>
          </w:tcPr>
          <w:p>
            <w:pPr>
              <w:spacing w:before="100"/>
              <w:ind w:left="660"/>
            </w:pPr>
            <w:r>
              <w:rPr>
                <w:rFonts w:hint="eastAsia" w:ascii="Times New Roman" w:hAnsi="Times New Roman" w:eastAsia="Times New Roman" w:cs="Times New Roman"/>
                <w:sz w:val="21"/>
              </w:rPr>
              <w:t>274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2100" w:type="dxa"/>
            <w:tcMar>
              <w:top w:w="0" w:type="dxa"/>
              <w:left w:w="0" w:type="dxa"/>
              <w:bottom w:w="0" w:type="dxa"/>
              <w:right w:w="0" w:type="dxa"/>
            </w:tcMar>
          </w:tcPr>
          <w:p>
            <w:pPr>
              <w:spacing w:before="100"/>
              <w:ind w:left="660"/>
            </w:pPr>
            <w:r>
              <w:rPr>
                <w:rFonts w:hint="eastAsia" w:ascii="Times New Roman" w:hAnsi="Times New Roman" w:eastAsia="Times New Roman" w:cs="Times New Roman"/>
                <w:sz w:val="21"/>
              </w:rPr>
              <w:t>287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2120" w:type="dxa"/>
            <w:tcMar>
              <w:top w:w="0" w:type="dxa"/>
              <w:left w:w="0" w:type="dxa"/>
              <w:bottom w:w="0" w:type="dxa"/>
              <w:right w:w="0" w:type="dxa"/>
            </w:tcMar>
          </w:tcPr>
          <w:p>
            <w:pPr>
              <w:spacing w:before="100"/>
              <w:ind w:left="680"/>
            </w:pPr>
            <w:r>
              <w:rPr>
                <w:rFonts w:hint="eastAsia" w:ascii="Times New Roman" w:hAnsi="Times New Roman" w:eastAsia="Times New Roman" w:cs="Times New Roman"/>
                <w:sz w:val="21"/>
              </w:rPr>
              <w:t>201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购买商品</w:t>
            </w:r>
            <w:r>
              <w:rPr>
                <w:rFonts w:hint="eastAsia" w:ascii="宋体" w:hAnsi="宋体" w:eastAsia="宋体" w:cs="宋体"/>
                <w:sz w:val="10"/>
              </w:rPr>
              <w:t>、</w:t>
            </w:r>
            <w:r>
              <w:rPr>
                <w:rFonts w:hint="eastAsia" w:ascii="宋体" w:hAnsi="宋体" w:eastAsia="宋体" w:cs="宋体"/>
                <w:sz w:val="21"/>
              </w:rPr>
              <w:t>接受劳务</w:t>
            </w:r>
          </w:p>
          <w:p>
            <w:pPr>
              <w:spacing w:before="100"/>
            </w:pPr>
            <w:r>
              <w:rPr>
                <w:rFonts w:hint="eastAsia" w:ascii="宋体" w:hAnsi="宋体" w:eastAsia="宋体" w:cs="宋体"/>
                <w:sz w:val="21"/>
              </w:rPr>
              <w:t>支付的现金</w:t>
            </w:r>
          </w:p>
        </w:tc>
        <w:tc>
          <w:tcPr>
            <w:tcW w:w="2100" w:type="dxa"/>
            <w:tcMar>
              <w:top w:w="0" w:type="dxa"/>
              <w:left w:w="0" w:type="dxa"/>
              <w:bottom w:w="0" w:type="dxa"/>
              <w:right w:w="0" w:type="dxa"/>
            </w:tcMar>
          </w:tcPr>
          <w:p>
            <w:pPr>
              <w:spacing w:before="220"/>
              <w:ind w:left="88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p>
        </w:tc>
        <w:tc>
          <w:tcPr>
            <w:tcW w:w="2100" w:type="dxa"/>
            <w:tcMar>
              <w:top w:w="0" w:type="dxa"/>
              <w:left w:w="0" w:type="dxa"/>
              <w:bottom w:w="0" w:type="dxa"/>
              <w:right w:w="0" w:type="dxa"/>
            </w:tcMar>
          </w:tcPr>
          <w:p>
            <w:pPr>
              <w:spacing w:before="220"/>
              <w:ind w:left="78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2120" w:type="dxa"/>
            <w:tcMar>
              <w:top w:w="0" w:type="dxa"/>
              <w:left w:w="0" w:type="dxa"/>
              <w:bottom w:w="0" w:type="dxa"/>
              <w:right w:w="0" w:type="dxa"/>
            </w:tcMar>
          </w:tcPr>
          <w:p>
            <w:pPr>
              <w:spacing w:before="220"/>
              <w:ind w:left="78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p>
        </w:tc>
      </w:tr>
      <w:tr>
        <w:trPr>
          <w:trHeight w:val="68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支付给职工以及为职</w:t>
            </w:r>
          </w:p>
          <w:p>
            <w:pPr>
              <w:spacing w:before="100"/>
            </w:pPr>
            <w:r>
              <w:rPr>
                <w:rFonts w:hint="eastAsia" w:ascii="宋体" w:hAnsi="宋体" w:eastAsia="宋体" w:cs="宋体"/>
                <w:sz w:val="21"/>
              </w:rPr>
              <w:t>工支付的现金</w:t>
            </w:r>
          </w:p>
        </w:tc>
        <w:tc>
          <w:tcPr>
            <w:tcW w:w="2100" w:type="dxa"/>
            <w:tcMar>
              <w:top w:w="0" w:type="dxa"/>
              <w:left w:w="0" w:type="dxa"/>
              <w:bottom w:w="0" w:type="dxa"/>
              <w:right w:w="0" w:type="dxa"/>
            </w:tcMar>
          </w:tcPr>
          <w:p>
            <w:pPr>
              <w:spacing w:before="240"/>
              <w:ind w:left="780"/>
            </w:pP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c>
          <w:tcPr>
            <w:tcW w:w="2100" w:type="dxa"/>
            <w:tcMar>
              <w:top w:w="0" w:type="dxa"/>
              <w:left w:w="0" w:type="dxa"/>
              <w:bottom w:w="0" w:type="dxa"/>
              <w:right w:w="0" w:type="dxa"/>
            </w:tcMar>
          </w:tcPr>
          <w:p>
            <w:pPr>
              <w:spacing w:before="240"/>
              <w:ind w:left="780"/>
            </w:pP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p>
        </w:tc>
        <w:tc>
          <w:tcPr>
            <w:tcW w:w="2120" w:type="dxa"/>
            <w:tcMar>
              <w:top w:w="0" w:type="dxa"/>
              <w:left w:w="0" w:type="dxa"/>
              <w:bottom w:w="0" w:type="dxa"/>
              <w:right w:w="0" w:type="dxa"/>
            </w:tcMar>
          </w:tcPr>
          <w:p>
            <w:pPr>
              <w:spacing w:before="240"/>
              <w:ind w:left="780"/>
            </w:pP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支付的各项税费</w:t>
            </w:r>
          </w:p>
        </w:tc>
        <w:tc>
          <w:tcPr>
            <w:tcW w:w="2100" w:type="dxa"/>
            <w:tcMar>
              <w:top w:w="0" w:type="dxa"/>
              <w:left w:w="0" w:type="dxa"/>
              <w:bottom w:w="0" w:type="dxa"/>
              <w:right w:w="0" w:type="dxa"/>
            </w:tcMar>
          </w:tcPr>
          <w:p>
            <w:pPr>
              <w:spacing w:before="140"/>
              <w:ind w:left="76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212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支付的其他与经营活</w:t>
            </w:r>
          </w:p>
          <w:p>
            <w:pPr>
              <w:spacing w:before="100"/>
            </w:pPr>
            <w:r>
              <w:rPr>
                <w:rFonts w:hint="eastAsia" w:ascii="宋体" w:hAnsi="宋体" w:eastAsia="宋体" w:cs="宋体"/>
                <w:sz w:val="21"/>
              </w:rPr>
              <w:t>动有关的现金</w:t>
            </w:r>
          </w:p>
        </w:tc>
        <w:tc>
          <w:tcPr>
            <w:tcW w:w="2100" w:type="dxa"/>
            <w:tcMar>
              <w:top w:w="0" w:type="dxa"/>
              <w:left w:w="0" w:type="dxa"/>
              <w:bottom w:w="0" w:type="dxa"/>
              <w:right w:w="0" w:type="dxa"/>
            </w:tcMar>
          </w:tcPr>
          <w:p>
            <w:pPr>
              <w:spacing w:before="220"/>
              <w:ind w:left="76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c>
          <w:tcPr>
            <w:tcW w:w="2100" w:type="dxa"/>
            <w:tcMar>
              <w:top w:w="0" w:type="dxa"/>
              <w:left w:w="0" w:type="dxa"/>
              <w:bottom w:w="0" w:type="dxa"/>
              <w:right w:w="0" w:type="dxa"/>
            </w:tcMar>
          </w:tcPr>
          <w:p>
            <w:pPr>
              <w:spacing w:before="220"/>
              <w:ind w:left="780"/>
            </w:pP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120" w:type="dxa"/>
            <w:tcMar>
              <w:top w:w="0" w:type="dxa"/>
              <w:left w:w="0" w:type="dxa"/>
              <w:bottom w:w="0" w:type="dxa"/>
              <w:right w:w="0" w:type="dxa"/>
            </w:tcMar>
          </w:tcPr>
          <w:p>
            <w:pPr>
              <w:spacing w:before="220"/>
              <w:ind w:left="78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b/>
                <w:sz w:val="21"/>
              </w:rPr>
              <w:t>现金流出小计</w:t>
            </w:r>
          </w:p>
        </w:tc>
        <w:tc>
          <w:tcPr>
            <w:tcW w:w="2100" w:type="dxa"/>
            <w:tcMar>
              <w:top w:w="0" w:type="dxa"/>
              <w:left w:w="0" w:type="dxa"/>
              <w:bottom w:w="0" w:type="dxa"/>
              <w:right w:w="0" w:type="dxa"/>
            </w:tcMar>
          </w:tcPr>
          <w:p>
            <w:pPr>
              <w:spacing w:before="100"/>
              <w:ind w:left="660"/>
            </w:pPr>
            <w:r>
              <w:rPr>
                <w:rFonts w:hint="eastAsia" w:ascii="Times New Roman" w:hAnsi="Times New Roman" w:eastAsia="Times New Roman" w:cs="Times New Roman"/>
                <w:sz w:val="21"/>
              </w:rPr>
              <w:t>179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2100" w:type="dxa"/>
            <w:tcMar>
              <w:top w:w="0" w:type="dxa"/>
              <w:left w:w="0" w:type="dxa"/>
              <w:bottom w:w="0" w:type="dxa"/>
              <w:right w:w="0" w:type="dxa"/>
            </w:tcMar>
          </w:tcPr>
          <w:p>
            <w:pPr>
              <w:spacing w:before="100"/>
              <w:ind w:left="660"/>
            </w:pPr>
            <w:r>
              <w:rPr>
                <w:rFonts w:hint="eastAsia" w:ascii="Times New Roman" w:hAnsi="Times New Roman" w:eastAsia="Times New Roman" w:cs="Times New Roman"/>
                <w:sz w:val="21"/>
              </w:rPr>
              <w:t>173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c>
          <w:tcPr>
            <w:tcW w:w="2120" w:type="dxa"/>
            <w:tcMar>
              <w:top w:w="0" w:type="dxa"/>
              <w:left w:w="0" w:type="dxa"/>
              <w:bottom w:w="0" w:type="dxa"/>
              <w:right w:w="0" w:type="dxa"/>
            </w:tcMar>
          </w:tcPr>
          <w:p>
            <w:pPr>
              <w:spacing w:before="100"/>
              <w:ind w:left="680"/>
            </w:pPr>
            <w:r>
              <w:rPr>
                <w:rFonts w:hint="eastAsia" w:ascii="Times New Roman" w:hAnsi="Times New Roman" w:eastAsia="Times New Roman" w:cs="Times New Roman"/>
                <w:sz w:val="21"/>
              </w:rPr>
              <w:t>141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r>
      <w:tr>
        <w:trPr>
          <w:trHeight w:val="680" w:hRule="exact"/>
        </w:trPr>
        <w:tc>
          <w:tcPr>
            <w:tcW w:w="2120" w:type="dxa"/>
            <w:tcMar>
              <w:top w:w="0" w:type="dxa"/>
              <w:left w:w="0" w:type="dxa"/>
              <w:bottom w:w="0" w:type="dxa"/>
              <w:right w:w="0" w:type="dxa"/>
            </w:tcMar>
          </w:tcPr>
          <w:p>
            <w:pPr>
              <w:spacing w:before="20"/>
            </w:pPr>
            <w:r>
              <w:rPr>
                <w:rFonts w:hint="eastAsia" w:ascii="宋体" w:hAnsi="宋体" w:eastAsia="宋体" w:cs="宋体"/>
                <w:b/>
                <w:sz w:val="21"/>
              </w:rPr>
              <w:t>经营活动产生的现金</w:t>
            </w:r>
          </w:p>
          <w:p>
            <w:pPr>
              <w:spacing w:before="120"/>
            </w:pPr>
            <w:r>
              <w:rPr>
                <w:rFonts w:hint="eastAsia" w:ascii="宋体" w:hAnsi="宋体" w:eastAsia="宋体" w:cs="宋体"/>
                <w:b/>
                <w:sz w:val="21"/>
              </w:rPr>
              <w:t>流量净额</w:t>
            </w:r>
          </w:p>
        </w:tc>
        <w:tc>
          <w:tcPr>
            <w:tcW w:w="2100" w:type="dxa"/>
            <w:tcMar>
              <w:top w:w="0" w:type="dxa"/>
              <w:left w:w="0" w:type="dxa"/>
              <w:bottom w:w="0" w:type="dxa"/>
              <w:right w:w="0" w:type="dxa"/>
            </w:tcMar>
          </w:tcPr>
          <w:p>
            <w:pPr>
              <w:spacing w:before="220"/>
              <w:ind w:left="760"/>
            </w:pPr>
            <w:r>
              <w:rPr>
                <w:rFonts w:hint="eastAsia" w:ascii="Times New Roman Bold" w:hAnsi="Times New Roman Bold" w:eastAsia="Times New Roman Bold" w:cs="Times New Roman Bold"/>
                <w:b/>
                <w:sz w:val="21"/>
              </w:rPr>
              <w:t>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98</w:t>
            </w:r>
          </w:p>
        </w:tc>
        <w:tc>
          <w:tcPr>
            <w:tcW w:w="2100" w:type="dxa"/>
            <w:tcMar>
              <w:top w:w="0" w:type="dxa"/>
              <w:left w:w="0" w:type="dxa"/>
              <w:bottom w:w="0" w:type="dxa"/>
              <w:right w:w="0" w:type="dxa"/>
            </w:tcMar>
          </w:tcPr>
          <w:p>
            <w:pPr>
              <w:spacing w:before="220"/>
              <w:ind w:left="680"/>
            </w:pPr>
            <w:r>
              <w:rPr>
                <w:rFonts w:hint="eastAsia" w:ascii="Times New Roman Bold" w:hAnsi="Times New Roman Bold" w:eastAsia="Times New Roman Bold" w:cs="Times New Roman Bold"/>
                <w:b/>
                <w:sz w:val="21"/>
              </w:rPr>
              <w:t>113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929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91</w:t>
            </w:r>
          </w:p>
        </w:tc>
        <w:tc>
          <w:tcPr>
            <w:tcW w:w="2120" w:type="dxa"/>
            <w:tcMar>
              <w:top w:w="0" w:type="dxa"/>
              <w:left w:w="0" w:type="dxa"/>
              <w:bottom w:w="0" w:type="dxa"/>
              <w:right w:w="0" w:type="dxa"/>
            </w:tcMar>
          </w:tcPr>
          <w:p>
            <w:pPr>
              <w:spacing w:before="220"/>
              <w:ind w:left="800"/>
            </w:pPr>
            <w:r>
              <w:rPr>
                <w:rFonts w:hint="eastAsia" w:ascii="Times New Roman Bold" w:hAnsi="Times New Roman Bold" w:eastAsia="Times New Roman Bold" w:cs="Times New Roman Bold"/>
                <w:b/>
                <w:sz w:val="21"/>
              </w:rPr>
              <w:t>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b/>
                <w:sz w:val="20"/>
              </w:rPr>
              <w:t>二、</w:t>
            </w:r>
            <w:r>
              <w:rPr>
                <w:rFonts w:hint="eastAsia" w:ascii="宋体" w:hAnsi="宋体" w:eastAsia="宋体" w:cs="宋体"/>
                <w:b/>
                <w:sz w:val="21"/>
              </w:rPr>
              <w:t>投资活动产生的</w:t>
            </w:r>
          </w:p>
          <w:p>
            <w:pPr>
              <w:spacing w:before="100"/>
            </w:pPr>
            <w:r>
              <w:rPr>
                <w:rFonts w:hint="eastAsia" w:ascii="宋体" w:hAnsi="宋体" w:eastAsia="宋体" w:cs="宋体"/>
                <w:b/>
                <w:sz w:val="21"/>
              </w:rPr>
              <w:t>现金流量</w:t>
            </w:r>
            <w:r>
              <w:rPr>
                <w:rFonts w:hint="eastAsia" w:ascii="宋体" w:hAnsi="宋体" w:eastAsia="宋体" w:cs="宋体"/>
                <w:b/>
                <w:sz w:val="10"/>
              </w:rPr>
              <w:t>：</w:t>
            </w:r>
          </w:p>
        </w:tc>
        <w:tc>
          <w:tcPr>
            <w:tcW w:w="2100" w:type="dxa"/>
            <w:tcMar>
              <w:top w:w="0" w:type="dxa"/>
              <w:left w:w="0" w:type="dxa"/>
              <w:bottom w:w="0" w:type="dxa"/>
              <w:right w:w="0" w:type="dxa"/>
            </w:tcMar>
          </w:tcPr>
          <w:p/>
        </w:tc>
        <w:tc>
          <w:tcPr>
            <w:tcW w:w="2100" w:type="dxa"/>
            <w:tcMar>
              <w:top w:w="0" w:type="dxa"/>
              <w:left w:w="0" w:type="dxa"/>
              <w:bottom w:w="0" w:type="dxa"/>
              <w:right w:w="0" w:type="dxa"/>
            </w:tcMar>
          </w:tcPr>
          <w:p/>
        </w:tc>
        <w:tc>
          <w:tcPr>
            <w:tcW w:w="2120" w:type="dxa"/>
            <w:tcMar>
              <w:top w:w="0" w:type="dxa"/>
              <w:left w:w="0" w:type="dxa"/>
              <w:bottom w:w="0" w:type="dxa"/>
              <w:right w:w="0" w:type="dxa"/>
            </w:tcMar>
          </w:tcP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收回投资收到的现金</w:t>
            </w:r>
          </w:p>
        </w:tc>
        <w:tc>
          <w:tcPr>
            <w:tcW w:w="2100" w:type="dxa"/>
            <w:tcMar>
              <w:top w:w="0" w:type="dxa"/>
              <w:left w:w="0" w:type="dxa"/>
              <w:bottom w:w="0" w:type="dxa"/>
              <w:right w:w="0" w:type="dxa"/>
            </w:tcMar>
          </w:tcPr>
          <w:p>
            <w:pPr>
              <w:spacing w:before="26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120"/>
              <w:ind w:left="104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260"/>
              <w:ind w:left="1920"/>
            </w:pPr>
            <w:r>
              <w:rPr>
                <w:rFonts w:hint="eastAsia" w:ascii="Times New Roman Bold" w:hAnsi="Times New Roman Bold" w:eastAsia="Times New Roman Bold" w:cs="Times New Roman Bold"/>
                <w:b/>
                <w:sz w:val="21"/>
              </w:rPr>
              <w:t>-</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取得投资收益收到的</w:t>
            </w:r>
          </w:p>
          <w:p>
            <w:pPr>
              <w:spacing w:before="100"/>
            </w:pPr>
            <w:r>
              <w:rPr>
                <w:rFonts w:hint="eastAsia" w:ascii="宋体" w:hAnsi="宋体" w:eastAsia="宋体" w:cs="宋体"/>
                <w:sz w:val="21"/>
              </w:rPr>
              <w:t>现金</w:t>
            </w:r>
          </w:p>
        </w:tc>
        <w:tc>
          <w:tcPr>
            <w:tcW w:w="2100" w:type="dxa"/>
            <w:tcMar>
              <w:top w:w="0" w:type="dxa"/>
              <w:left w:w="0" w:type="dxa"/>
              <w:bottom w:w="0" w:type="dxa"/>
              <w:right w:w="0" w:type="dxa"/>
            </w:tcMar>
          </w:tcPr>
          <w:p>
            <w:pPr>
              <w:spacing w:before="36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220"/>
              <w:ind w:left="11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360"/>
              <w:ind w:left="1920"/>
            </w:pPr>
            <w:r>
              <w:rPr>
                <w:rFonts w:hint="eastAsia" w:ascii="Times New Roman Bold" w:hAnsi="Times New Roman Bold" w:eastAsia="Times New Roman Bold" w:cs="Times New Roman Bold"/>
                <w:b/>
                <w:sz w:val="21"/>
              </w:rPr>
              <w:t>-</w:t>
            </w:r>
          </w:p>
        </w:tc>
      </w:tr>
      <w:tr>
        <w:trPr>
          <w:trHeight w:val="100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处置固定资产</w:t>
            </w:r>
            <w:r>
              <w:rPr>
                <w:rFonts w:hint="eastAsia" w:ascii="宋体" w:hAnsi="宋体" w:eastAsia="宋体" w:cs="宋体"/>
                <w:sz w:val="10"/>
              </w:rPr>
              <w:t>、</w:t>
            </w:r>
            <w:r>
              <w:rPr>
                <w:rFonts w:hint="eastAsia" w:ascii="宋体" w:hAnsi="宋体" w:eastAsia="宋体" w:cs="宋体"/>
                <w:sz w:val="21"/>
              </w:rPr>
              <w:t>无形</w:t>
            </w:r>
          </w:p>
          <w:p>
            <w:pPr>
              <w:spacing w:before="100"/>
            </w:pPr>
            <w:r>
              <w:rPr>
                <w:rFonts w:hint="eastAsia" w:ascii="宋体" w:hAnsi="宋体" w:eastAsia="宋体" w:cs="宋体"/>
                <w:sz w:val="21"/>
              </w:rPr>
              <w:t>资产和其他长期资产</w:t>
            </w:r>
          </w:p>
          <w:p>
            <w:pPr>
              <w:spacing w:before="80"/>
            </w:pPr>
            <w:r>
              <w:rPr>
                <w:rFonts w:hint="eastAsia" w:ascii="宋体" w:hAnsi="宋体" w:eastAsia="宋体" w:cs="宋体"/>
                <w:sz w:val="21"/>
              </w:rPr>
              <w:t>收回的现金净额</w:t>
            </w:r>
          </w:p>
        </w:tc>
        <w:tc>
          <w:tcPr>
            <w:tcW w:w="2100" w:type="dxa"/>
            <w:tcMar>
              <w:top w:w="0" w:type="dxa"/>
              <w:left w:w="0" w:type="dxa"/>
              <w:bottom w:w="0" w:type="dxa"/>
              <w:right w:w="0" w:type="dxa"/>
            </w:tcMar>
          </w:tcPr>
          <w:p>
            <w:pPr>
              <w:spacing w:before="400"/>
              <w:ind w:left="114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2100" w:type="dxa"/>
            <w:tcMar>
              <w:top w:w="0" w:type="dxa"/>
              <w:left w:w="0" w:type="dxa"/>
              <w:bottom w:w="0" w:type="dxa"/>
              <w:right w:w="0" w:type="dxa"/>
            </w:tcMar>
          </w:tcPr>
          <w:p>
            <w:pPr>
              <w:spacing w:before="400"/>
              <w:ind w:left="124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520"/>
              <w:ind w:left="1920"/>
            </w:pPr>
            <w:r>
              <w:rPr>
                <w:rFonts w:hint="eastAsia" w:ascii="Times New Roman Bold" w:hAnsi="Times New Roman Bold" w:eastAsia="Times New Roman Bold" w:cs="Times New Roman Bold"/>
                <w:b/>
                <w:sz w:val="21"/>
              </w:rPr>
              <w:t>-</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现金流入小计</w:t>
            </w:r>
          </w:p>
        </w:tc>
        <w:tc>
          <w:tcPr>
            <w:tcW w:w="2100" w:type="dxa"/>
            <w:tcMar>
              <w:top w:w="0" w:type="dxa"/>
              <w:left w:w="0" w:type="dxa"/>
              <w:bottom w:w="0" w:type="dxa"/>
              <w:right w:w="0" w:type="dxa"/>
            </w:tcMar>
          </w:tcPr>
          <w:p>
            <w:pPr>
              <w:spacing w:before="120"/>
              <w:ind w:left="114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2100" w:type="dxa"/>
            <w:tcMar>
              <w:top w:w="0" w:type="dxa"/>
              <w:left w:w="0" w:type="dxa"/>
              <w:bottom w:w="0" w:type="dxa"/>
              <w:right w:w="0" w:type="dxa"/>
            </w:tcMar>
          </w:tcPr>
          <w:p>
            <w:pPr>
              <w:spacing w:before="120"/>
              <w:ind w:left="1040"/>
            </w:pPr>
            <w:r>
              <w:rPr>
                <w:rFonts w:hint="eastAsia" w:ascii="Times New Roman" w:hAnsi="Times New Roman" w:eastAsia="Times New Roman" w:cs="Times New Roman"/>
                <w:sz w:val="21"/>
              </w:rPr>
              <w:t>128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260"/>
              <w:ind w:left="1920"/>
            </w:pPr>
            <w:r>
              <w:rPr>
                <w:rFonts w:hint="eastAsia" w:ascii="Times New Roman" w:hAnsi="Times New Roman" w:eastAsia="Times New Roman" w:cs="Times New Roman"/>
                <w:sz w:val="21"/>
              </w:rPr>
              <w:t>-</w:t>
            </w:r>
          </w:p>
        </w:tc>
      </w:tr>
      <w:tr>
        <w:trPr>
          <w:trHeight w:val="1000" w:hRule="exact"/>
        </w:trPr>
        <w:tc>
          <w:tcPr>
            <w:tcW w:w="2120" w:type="dxa"/>
            <w:tcMar>
              <w:top w:w="0" w:type="dxa"/>
              <w:left w:w="0" w:type="dxa"/>
              <w:bottom w:w="0" w:type="dxa"/>
              <w:right w:w="0" w:type="dxa"/>
            </w:tcMar>
          </w:tcPr>
          <w:p>
            <w:pPr>
              <w:spacing w:before="20"/>
            </w:pPr>
            <w:r>
              <w:rPr>
                <w:rFonts w:hint="eastAsia" w:ascii="宋体" w:hAnsi="宋体" w:eastAsia="宋体" w:cs="宋体"/>
                <w:sz w:val="21"/>
              </w:rPr>
              <w:t>购建固定资产</w:t>
            </w:r>
            <w:r>
              <w:rPr>
                <w:rFonts w:hint="eastAsia" w:ascii="宋体" w:hAnsi="宋体" w:eastAsia="宋体" w:cs="宋体"/>
                <w:sz w:val="10"/>
              </w:rPr>
              <w:t>、</w:t>
            </w:r>
            <w:r>
              <w:rPr>
                <w:rFonts w:hint="eastAsia" w:ascii="宋体" w:hAnsi="宋体" w:eastAsia="宋体" w:cs="宋体"/>
                <w:sz w:val="21"/>
              </w:rPr>
              <w:t>无形</w:t>
            </w:r>
          </w:p>
          <w:p>
            <w:pPr>
              <w:spacing w:before="100"/>
            </w:pPr>
            <w:r>
              <w:rPr>
                <w:rFonts w:hint="eastAsia" w:ascii="宋体" w:hAnsi="宋体" w:eastAsia="宋体" w:cs="宋体"/>
                <w:sz w:val="21"/>
              </w:rPr>
              <w:t>资产和其他长期资产</w:t>
            </w:r>
          </w:p>
          <w:p>
            <w:pPr>
              <w:spacing w:before="100"/>
            </w:pPr>
            <w:r>
              <w:rPr>
                <w:rFonts w:hint="eastAsia" w:ascii="宋体" w:hAnsi="宋体" w:eastAsia="宋体" w:cs="宋体"/>
                <w:sz w:val="21"/>
              </w:rPr>
              <w:t>所支付的现金</w:t>
            </w:r>
          </w:p>
        </w:tc>
        <w:tc>
          <w:tcPr>
            <w:tcW w:w="2100" w:type="dxa"/>
            <w:tcMar>
              <w:top w:w="0" w:type="dxa"/>
              <w:left w:w="0" w:type="dxa"/>
              <w:bottom w:w="0" w:type="dxa"/>
              <w:right w:w="0" w:type="dxa"/>
            </w:tcMar>
          </w:tcPr>
          <w:p>
            <w:pPr>
              <w:spacing w:before="400"/>
              <w:ind w:left="8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2100" w:type="dxa"/>
            <w:tcMar>
              <w:top w:w="0" w:type="dxa"/>
              <w:left w:w="0" w:type="dxa"/>
              <w:bottom w:w="0" w:type="dxa"/>
              <w:right w:w="0" w:type="dxa"/>
            </w:tcMar>
          </w:tcPr>
          <w:p>
            <w:pPr>
              <w:spacing w:before="400"/>
              <w:ind w:left="8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c>
          <w:tcPr>
            <w:tcW w:w="2120" w:type="dxa"/>
            <w:tcMar>
              <w:top w:w="0" w:type="dxa"/>
              <w:left w:w="0" w:type="dxa"/>
              <w:bottom w:w="0" w:type="dxa"/>
              <w:right w:w="0" w:type="dxa"/>
            </w:tcMar>
          </w:tcPr>
          <w:p>
            <w:pPr>
              <w:spacing w:before="400"/>
              <w:ind w:left="78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r>
        <w:trPr>
          <w:trHeight w:val="680" w:hRule="exact"/>
        </w:trPr>
        <w:tc>
          <w:tcPr>
            <w:tcW w:w="2120" w:type="dxa"/>
            <w:tcMar>
              <w:top w:w="0" w:type="dxa"/>
              <w:left w:w="0" w:type="dxa"/>
              <w:bottom w:w="0" w:type="dxa"/>
              <w:right w:w="0" w:type="dxa"/>
            </w:tcMar>
          </w:tcPr>
          <w:p>
            <w:pPr>
              <w:spacing w:before="20"/>
            </w:pPr>
            <w:r>
              <w:rPr>
                <w:rFonts w:hint="eastAsia" w:ascii="宋体" w:hAnsi="宋体" w:eastAsia="宋体" w:cs="宋体"/>
                <w:sz w:val="21"/>
              </w:rPr>
              <w:t>支付其他与投资活动</w:t>
            </w:r>
          </w:p>
          <w:p>
            <w:pPr>
              <w:spacing w:before="100"/>
            </w:pPr>
            <w:r>
              <w:rPr>
                <w:rFonts w:hint="eastAsia" w:ascii="宋体" w:hAnsi="宋体" w:eastAsia="宋体" w:cs="宋体"/>
                <w:sz w:val="21"/>
              </w:rPr>
              <w:t>有关的现金</w:t>
            </w:r>
          </w:p>
        </w:tc>
        <w:tc>
          <w:tcPr>
            <w:tcW w:w="2100" w:type="dxa"/>
            <w:tcMar>
              <w:top w:w="0" w:type="dxa"/>
              <w:left w:w="0" w:type="dxa"/>
              <w:bottom w:w="0" w:type="dxa"/>
              <w:right w:w="0" w:type="dxa"/>
            </w:tcMar>
          </w:tcPr>
          <w:p>
            <w:pPr>
              <w:spacing w:before="360"/>
              <w:ind w:left="1900"/>
            </w:pPr>
            <w:r>
              <w:rPr>
                <w:rFonts w:hint="eastAsia" w:ascii="Times New Roman" w:hAnsi="Times New Roman" w:eastAsia="Times New Roman" w:cs="Times New Roman"/>
                <w:sz w:val="21"/>
              </w:rPr>
              <w:t>-</w:t>
            </w:r>
          </w:p>
        </w:tc>
        <w:tc>
          <w:tcPr>
            <w:tcW w:w="2100" w:type="dxa"/>
            <w:tcMar>
              <w:top w:w="0" w:type="dxa"/>
              <w:left w:w="0" w:type="dxa"/>
              <w:bottom w:w="0" w:type="dxa"/>
              <w:right w:w="0" w:type="dxa"/>
            </w:tcMar>
          </w:tcPr>
          <w:p>
            <w:pPr>
              <w:spacing w:before="360"/>
              <w:ind w:left="1920"/>
            </w:pPr>
            <w:r>
              <w:rPr>
                <w:rFonts w:hint="eastAsia" w:ascii="Times New Roman" w:hAnsi="Times New Roman" w:eastAsia="Times New Roman" w:cs="Times New Roman"/>
                <w:sz w:val="21"/>
              </w:rPr>
              <w:t>-</w:t>
            </w:r>
          </w:p>
        </w:tc>
        <w:tc>
          <w:tcPr>
            <w:tcW w:w="2120" w:type="dxa"/>
            <w:tcMar>
              <w:top w:w="0" w:type="dxa"/>
              <w:left w:w="0" w:type="dxa"/>
              <w:bottom w:w="0" w:type="dxa"/>
              <w:right w:w="0" w:type="dxa"/>
            </w:tcMar>
          </w:tcPr>
          <w:p>
            <w:pPr>
              <w:spacing w:before="360"/>
              <w:ind w:left="1920"/>
            </w:pPr>
            <w:r>
              <w:rPr>
                <w:rFonts w:hint="eastAsia" w:ascii="Times New Roman" w:hAnsi="Times New Roman" w:eastAsia="Times New Roman" w:cs="Times New Roman"/>
                <w:sz w:val="21"/>
              </w:rPr>
              <w:t>-</w:t>
            </w:r>
          </w:p>
        </w:tc>
      </w:tr>
      <w:tr>
        <w:trPr>
          <w:trHeight w:val="44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现金流出小计</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c>
          <w:tcPr>
            <w:tcW w:w="212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1-1-215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8460" w:type="auto"/>
        <w:tblInd w:w="1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120"/>
        <w:gridCol w:w="2100"/>
        <w:gridCol w:w="2100"/>
        <w:gridCol w:w="2120"/>
      </w:tblGrid>
      <w:tr>
        <w:trPr>
          <w:trHeight w:val="480" w:hRule="exact"/>
        </w:trPr>
        <w:tc>
          <w:tcPr>
            <w:tcW w:w="2120" w:type="dxa"/>
            <w:tcMar>
              <w:top w:w="0" w:type="dxa"/>
              <w:left w:w="0" w:type="dxa"/>
              <w:bottom w:w="0" w:type="dxa"/>
              <w:right w:w="0" w:type="dxa"/>
            </w:tcMar>
          </w:tcPr>
          <w:p>
            <w:pPr>
              <w:spacing w:before="100"/>
              <w:ind w:left="780"/>
            </w:pPr>
            <w:r>
              <w:rPr>
                <w:rFonts w:hint="eastAsia" w:ascii="宋体" w:hAnsi="宋体" w:eastAsia="宋体" w:cs="宋体"/>
                <w:b/>
                <w:sz w:val="21"/>
              </w:rPr>
              <w:t>科目</w:t>
            </w:r>
          </w:p>
        </w:tc>
        <w:tc>
          <w:tcPr>
            <w:tcW w:w="2100" w:type="dxa"/>
            <w:tcMar>
              <w:top w:w="0" w:type="dxa"/>
              <w:left w:w="0" w:type="dxa"/>
              <w:bottom w:w="0" w:type="dxa"/>
              <w:right w:w="0" w:type="dxa"/>
            </w:tcMar>
          </w:tcPr>
          <w:p>
            <w:pPr>
              <w:spacing w:before="100"/>
              <w:ind w:left="5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100" w:type="dxa"/>
            <w:tcMar>
              <w:top w:w="0" w:type="dxa"/>
              <w:left w:w="0" w:type="dxa"/>
              <w:bottom w:w="0" w:type="dxa"/>
              <w:right w:w="0" w:type="dxa"/>
            </w:tcMar>
          </w:tcPr>
          <w:p>
            <w:pPr>
              <w:spacing w:before="100"/>
              <w:ind w:left="54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120" w:type="dxa"/>
            <w:tcMar>
              <w:top w:w="0" w:type="dxa"/>
              <w:left w:w="0" w:type="dxa"/>
              <w:bottom w:w="0" w:type="dxa"/>
              <w:right w:w="0" w:type="dxa"/>
            </w:tcMar>
          </w:tcPr>
          <w:p>
            <w:pPr>
              <w:spacing w:before="100"/>
              <w:ind w:left="5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80" w:hRule="exact"/>
        </w:trPr>
        <w:tc>
          <w:tcPr>
            <w:tcW w:w="2120" w:type="dxa"/>
            <w:tcMar>
              <w:top w:w="0" w:type="dxa"/>
              <w:left w:w="0" w:type="dxa"/>
              <w:bottom w:w="0" w:type="dxa"/>
              <w:right w:w="0" w:type="dxa"/>
            </w:tcMar>
          </w:tcPr>
          <w:p>
            <w:pPr>
              <w:spacing w:before="40"/>
            </w:pPr>
            <w:r>
              <w:rPr>
                <w:rFonts w:hint="eastAsia" w:ascii="宋体" w:hAnsi="宋体" w:eastAsia="宋体" w:cs="宋体"/>
                <w:b/>
                <w:sz w:val="21"/>
              </w:rPr>
              <w:t>投资活动产生的现金</w:t>
            </w:r>
          </w:p>
          <w:p>
            <w:pPr>
              <w:spacing w:before="100"/>
            </w:pPr>
            <w:r>
              <w:rPr>
                <w:rFonts w:hint="eastAsia" w:ascii="宋体" w:hAnsi="宋体" w:eastAsia="宋体" w:cs="宋体"/>
                <w:b/>
                <w:sz w:val="21"/>
              </w:rPr>
              <w:t>流量净额</w:t>
            </w:r>
          </w:p>
        </w:tc>
        <w:tc>
          <w:tcPr>
            <w:tcW w:w="2100" w:type="dxa"/>
            <w:tcMar>
              <w:top w:w="0" w:type="dxa"/>
              <w:left w:w="0" w:type="dxa"/>
              <w:bottom w:w="0" w:type="dxa"/>
              <w:right w:w="0" w:type="dxa"/>
            </w:tcMar>
          </w:tcPr>
          <w:p>
            <w:pPr>
              <w:spacing w:before="240"/>
              <w:ind w:left="80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020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55</w:t>
            </w:r>
          </w:p>
        </w:tc>
        <w:tc>
          <w:tcPr>
            <w:tcW w:w="2100" w:type="dxa"/>
            <w:tcMar>
              <w:top w:w="0" w:type="dxa"/>
              <w:left w:w="0" w:type="dxa"/>
              <w:bottom w:w="0" w:type="dxa"/>
              <w:right w:w="0" w:type="dxa"/>
            </w:tcMar>
          </w:tcPr>
          <w:p>
            <w:pPr>
              <w:spacing w:before="240"/>
              <w:ind w:left="800"/>
            </w:pPr>
            <w:r>
              <w:rPr>
                <w:rFonts w:hint="eastAsia" w:ascii="Times New Roman Bold" w:hAnsi="Times New Roman Bold" w:eastAsia="Times New Roman Bold" w:cs="Times New Roman Bold"/>
                <w:b/>
                <w:sz w:val="21"/>
              </w:rPr>
              <w:t>-4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086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49</w:t>
            </w:r>
          </w:p>
        </w:tc>
        <w:tc>
          <w:tcPr>
            <w:tcW w:w="2120" w:type="dxa"/>
            <w:tcMar>
              <w:top w:w="0" w:type="dxa"/>
              <w:left w:w="0" w:type="dxa"/>
              <w:bottom w:w="0" w:type="dxa"/>
              <w:right w:w="0" w:type="dxa"/>
            </w:tcMar>
          </w:tcPr>
          <w:p>
            <w:pPr>
              <w:spacing w:before="240"/>
              <w:ind w:left="720"/>
            </w:pPr>
            <w:r>
              <w:rPr>
                <w:rFonts w:hint="eastAsia" w:ascii="Times New Roman Bold" w:hAnsi="Times New Roman Bold" w:eastAsia="Times New Roman Bold" w:cs="Times New Roman Bold"/>
                <w:b/>
                <w:sz w:val="21"/>
              </w:rPr>
              <w:t>-17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707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09</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b/>
                <w:sz w:val="21"/>
              </w:rPr>
              <w:t>三</w:t>
            </w:r>
            <w:r>
              <w:rPr>
                <w:rFonts w:hint="eastAsia" w:ascii="宋体" w:hAnsi="宋体" w:eastAsia="宋体" w:cs="宋体"/>
                <w:b/>
                <w:sz w:val="10"/>
              </w:rPr>
              <w:t>、</w:t>
            </w:r>
            <w:r>
              <w:rPr>
                <w:rFonts w:hint="eastAsia" w:ascii="宋体" w:hAnsi="宋体" w:eastAsia="宋体" w:cs="宋体"/>
                <w:b/>
                <w:sz w:val="21"/>
              </w:rPr>
              <w:t>筹资活动产生的</w:t>
            </w:r>
          </w:p>
          <w:p>
            <w:pPr>
              <w:spacing w:before="100"/>
            </w:pPr>
            <w:r>
              <w:rPr>
                <w:rFonts w:hint="eastAsia" w:ascii="宋体" w:hAnsi="宋体" w:eastAsia="宋体" w:cs="宋体"/>
                <w:b/>
                <w:sz w:val="21"/>
              </w:rPr>
              <w:t>现金流量</w:t>
            </w:r>
            <w:r>
              <w:rPr>
                <w:rFonts w:hint="eastAsia" w:ascii="宋体" w:hAnsi="宋体" w:eastAsia="宋体" w:cs="宋体"/>
                <w:b/>
                <w:sz w:val="10"/>
              </w:rPr>
              <w:t>：</w:t>
            </w:r>
          </w:p>
        </w:tc>
        <w:tc>
          <w:tcPr>
            <w:tcW w:w="2100" w:type="dxa"/>
            <w:tcMar>
              <w:top w:w="0" w:type="dxa"/>
              <w:left w:w="0" w:type="dxa"/>
              <w:bottom w:w="0" w:type="dxa"/>
              <w:right w:w="0" w:type="dxa"/>
            </w:tcMar>
          </w:tcPr>
          <w:p/>
        </w:tc>
        <w:tc>
          <w:tcPr>
            <w:tcW w:w="2100" w:type="dxa"/>
            <w:tcMar>
              <w:top w:w="0" w:type="dxa"/>
              <w:left w:w="0" w:type="dxa"/>
              <w:bottom w:w="0" w:type="dxa"/>
              <w:right w:w="0" w:type="dxa"/>
            </w:tcMar>
          </w:tcPr>
          <w:p/>
        </w:tc>
        <w:tc>
          <w:tcPr>
            <w:tcW w:w="2120" w:type="dxa"/>
            <w:tcMar>
              <w:top w:w="0" w:type="dxa"/>
              <w:left w:w="0" w:type="dxa"/>
              <w:bottom w:w="0" w:type="dxa"/>
              <w:right w:w="0" w:type="dxa"/>
            </w:tcMar>
          </w:tcPr>
          <w:p/>
        </w:tc>
      </w:tr>
      <w:tr>
        <w:trPr>
          <w:trHeight w:val="68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吸收投资所收到的现</w:t>
            </w:r>
          </w:p>
          <w:p>
            <w:pPr>
              <w:spacing w:before="100"/>
            </w:pPr>
            <w:r>
              <w:rPr>
                <w:rFonts w:hint="eastAsia" w:ascii="宋体" w:hAnsi="宋体" w:eastAsia="宋体" w:cs="宋体"/>
                <w:sz w:val="21"/>
              </w:rPr>
              <w:t>金</w:t>
            </w:r>
          </w:p>
        </w:tc>
        <w:tc>
          <w:tcPr>
            <w:tcW w:w="2100" w:type="dxa"/>
            <w:tcMar>
              <w:top w:w="0" w:type="dxa"/>
              <w:left w:w="0" w:type="dxa"/>
              <w:bottom w:w="0" w:type="dxa"/>
              <w:right w:w="0" w:type="dxa"/>
            </w:tcMar>
          </w:tcPr>
          <w:p>
            <w:pPr>
              <w:spacing w:before="36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240"/>
              <w:ind w:left="660"/>
            </w:pPr>
            <w:r>
              <w:rPr>
                <w:rFonts w:hint="eastAsia" w:ascii="Times New Roman" w:hAnsi="Times New Roman" w:eastAsia="Times New Roman" w:cs="Times New Roman"/>
                <w:sz w:val="21"/>
              </w:rPr>
              <w:t>123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360"/>
              <w:ind w:left="1920"/>
            </w:pPr>
            <w:r>
              <w:rPr>
                <w:rFonts w:hint="eastAsia" w:ascii="Times New Roman Bold" w:hAnsi="Times New Roman Bold" w:eastAsia="Times New Roman Bold" w:cs="Times New Roman Bold"/>
                <w:b/>
                <w:sz w:val="21"/>
              </w:rPr>
              <w:t>-</w:t>
            </w:r>
          </w:p>
        </w:tc>
      </w:tr>
      <w:tr>
        <w:trPr>
          <w:trHeight w:val="100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子公司吸收少</w:t>
            </w:r>
          </w:p>
          <w:p>
            <w:pPr>
              <w:spacing w:before="80"/>
            </w:pPr>
            <w:r>
              <w:rPr>
                <w:rFonts w:hint="eastAsia" w:ascii="宋体" w:hAnsi="宋体" w:eastAsia="宋体" w:cs="宋体"/>
                <w:sz w:val="21"/>
              </w:rPr>
              <w:t>数股东权益性投资收</w:t>
            </w:r>
          </w:p>
          <w:p>
            <w:pPr>
              <w:spacing w:before="100"/>
            </w:pPr>
            <w:r>
              <w:rPr>
                <w:rFonts w:hint="eastAsia" w:ascii="宋体" w:hAnsi="宋体" w:eastAsia="宋体" w:cs="宋体"/>
                <w:sz w:val="21"/>
              </w:rPr>
              <w:t>到的现金</w:t>
            </w:r>
          </w:p>
        </w:tc>
        <w:tc>
          <w:tcPr>
            <w:tcW w:w="2100" w:type="dxa"/>
            <w:tcMar>
              <w:top w:w="0" w:type="dxa"/>
              <w:left w:w="0" w:type="dxa"/>
              <w:bottom w:w="0" w:type="dxa"/>
              <w:right w:w="0" w:type="dxa"/>
            </w:tcMar>
          </w:tcPr>
          <w:p>
            <w:pPr>
              <w:spacing w:before="52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400"/>
              <w:ind w:left="8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520"/>
              <w:ind w:left="1920"/>
            </w:pPr>
            <w:r>
              <w:rPr>
                <w:rFonts w:hint="eastAsia" w:ascii="Times New Roman Bold" w:hAnsi="Times New Roman Bold" w:eastAsia="Times New Roman Bold" w:cs="Times New Roman Bold"/>
                <w:b/>
                <w:sz w:val="21"/>
              </w:rPr>
              <w:t>-</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现金流入小计</w:t>
            </w:r>
          </w:p>
        </w:tc>
        <w:tc>
          <w:tcPr>
            <w:tcW w:w="2100" w:type="dxa"/>
            <w:tcMar>
              <w:top w:w="0" w:type="dxa"/>
              <w:left w:w="0" w:type="dxa"/>
              <w:bottom w:w="0" w:type="dxa"/>
              <w:right w:w="0" w:type="dxa"/>
            </w:tcMar>
          </w:tcPr>
          <w:p>
            <w:pPr>
              <w:spacing w:before="26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123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260"/>
              <w:ind w:left="1920"/>
            </w:pPr>
            <w:r>
              <w:rPr>
                <w:rFonts w:hint="eastAsia" w:ascii="Times New Roman Bold" w:hAnsi="Times New Roman Bold" w:eastAsia="Times New Roman Bold" w:cs="Times New Roman Bold"/>
                <w:b/>
                <w:sz w:val="21"/>
              </w:rPr>
              <w:t>-</w:t>
            </w:r>
          </w:p>
        </w:tc>
      </w:tr>
      <w:tr>
        <w:trPr>
          <w:trHeight w:val="48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偿还债务支付的现金</w:t>
            </w:r>
          </w:p>
        </w:tc>
        <w:tc>
          <w:tcPr>
            <w:tcW w:w="2100" w:type="dxa"/>
            <w:tcMar>
              <w:top w:w="0" w:type="dxa"/>
              <w:left w:w="0" w:type="dxa"/>
              <w:bottom w:w="0" w:type="dxa"/>
              <w:right w:w="0" w:type="dxa"/>
            </w:tcMar>
          </w:tcPr>
          <w:p>
            <w:pPr>
              <w:spacing w:before="26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260"/>
              <w:ind w:left="1920"/>
            </w:pPr>
            <w:r>
              <w:rPr>
                <w:rFonts w:hint="eastAsia" w:ascii="Times New Roman Bold" w:hAnsi="Times New Roman Bold" w:eastAsia="Times New Roman Bold" w:cs="Times New Roman Bold"/>
                <w:b/>
                <w:sz w:val="21"/>
              </w:rPr>
              <w:t>-</w:t>
            </w:r>
          </w:p>
        </w:tc>
        <w:tc>
          <w:tcPr>
            <w:tcW w:w="2120" w:type="dxa"/>
            <w:tcMar>
              <w:top w:w="0" w:type="dxa"/>
              <w:left w:w="0" w:type="dxa"/>
              <w:bottom w:w="0" w:type="dxa"/>
              <w:right w:w="0" w:type="dxa"/>
            </w:tcMar>
          </w:tcPr>
          <w:p>
            <w:pPr>
              <w:spacing w:before="260"/>
              <w:ind w:left="1920"/>
            </w:pPr>
            <w:r>
              <w:rPr>
                <w:rFonts w:hint="eastAsia" w:ascii="Times New Roman Bold" w:hAnsi="Times New Roman Bold" w:eastAsia="Times New Roman Bold" w:cs="Times New Roman Bold"/>
                <w:b/>
                <w:sz w:val="21"/>
              </w:rPr>
              <w:t>-</w:t>
            </w:r>
          </w:p>
        </w:tc>
      </w:tr>
      <w:tr>
        <w:trPr>
          <w:trHeight w:val="68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分配股利</w:t>
            </w:r>
            <w:r>
              <w:rPr>
                <w:rFonts w:hint="eastAsia" w:ascii="宋体" w:hAnsi="宋体" w:eastAsia="宋体" w:cs="宋体"/>
                <w:sz w:val="10"/>
              </w:rPr>
              <w:t>、</w:t>
            </w:r>
            <w:r>
              <w:rPr>
                <w:rFonts w:hint="eastAsia" w:ascii="宋体" w:hAnsi="宋体" w:eastAsia="宋体" w:cs="宋体"/>
                <w:sz w:val="21"/>
              </w:rPr>
              <w:t>利润或偿</w:t>
            </w:r>
          </w:p>
          <w:p>
            <w:pPr>
              <w:spacing w:before="100"/>
            </w:pPr>
            <w:r>
              <w:rPr>
                <w:rFonts w:hint="eastAsia" w:ascii="宋体" w:hAnsi="宋体" w:eastAsia="宋体" w:cs="宋体"/>
                <w:sz w:val="21"/>
              </w:rPr>
              <w:t>付利息支付的现金</w:t>
            </w:r>
          </w:p>
        </w:tc>
        <w:tc>
          <w:tcPr>
            <w:tcW w:w="2100" w:type="dxa"/>
            <w:tcMar>
              <w:top w:w="0" w:type="dxa"/>
              <w:left w:w="0" w:type="dxa"/>
              <w:bottom w:w="0" w:type="dxa"/>
              <w:right w:w="0" w:type="dxa"/>
            </w:tcMar>
          </w:tcPr>
          <w:p>
            <w:pPr>
              <w:spacing w:before="36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240"/>
              <w:ind w:left="8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240"/>
              <w:ind w:left="78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子公司支付少</w:t>
            </w:r>
          </w:p>
          <w:p>
            <w:pPr>
              <w:spacing w:before="100"/>
            </w:pPr>
            <w:r>
              <w:rPr>
                <w:rFonts w:hint="eastAsia" w:ascii="宋体" w:hAnsi="宋体" w:eastAsia="宋体" w:cs="宋体"/>
                <w:sz w:val="21"/>
              </w:rPr>
              <w:t>数股东的现金股利</w:t>
            </w:r>
          </w:p>
        </w:tc>
        <w:tc>
          <w:tcPr>
            <w:tcW w:w="2100" w:type="dxa"/>
            <w:tcMar>
              <w:top w:w="0" w:type="dxa"/>
              <w:left w:w="0" w:type="dxa"/>
              <w:bottom w:w="0" w:type="dxa"/>
              <w:right w:w="0" w:type="dxa"/>
            </w:tcMar>
          </w:tcPr>
          <w:p>
            <w:pPr>
              <w:spacing w:before="36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220"/>
              <w:ind w:left="1140"/>
            </w:pP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360"/>
              <w:ind w:left="1920"/>
            </w:pPr>
            <w:r>
              <w:rPr>
                <w:rFonts w:hint="eastAsia" w:ascii="Times New Roman Bold" w:hAnsi="Times New Roman Bold" w:eastAsia="Times New Roman Bold" w:cs="Times New Roman Bold"/>
                <w:b/>
                <w:sz w:val="21"/>
              </w:rPr>
              <w:t>-</w:t>
            </w:r>
          </w:p>
        </w:tc>
      </w:tr>
      <w:tr>
        <w:trPr>
          <w:trHeight w:val="68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支付的其他与筹资活</w:t>
            </w:r>
          </w:p>
          <w:p>
            <w:pPr>
              <w:spacing w:before="100"/>
            </w:pPr>
            <w:r>
              <w:rPr>
                <w:rFonts w:hint="eastAsia" w:ascii="宋体" w:hAnsi="宋体" w:eastAsia="宋体" w:cs="宋体"/>
                <w:sz w:val="21"/>
              </w:rPr>
              <w:t>动有关的现金</w:t>
            </w:r>
          </w:p>
        </w:tc>
        <w:tc>
          <w:tcPr>
            <w:tcW w:w="2100" w:type="dxa"/>
            <w:tcMar>
              <w:top w:w="0" w:type="dxa"/>
              <w:left w:w="0" w:type="dxa"/>
              <w:bottom w:w="0" w:type="dxa"/>
              <w:right w:w="0" w:type="dxa"/>
            </w:tcMar>
          </w:tcPr>
          <w:p>
            <w:pPr>
              <w:spacing w:before="240"/>
              <w:ind w:left="1020"/>
            </w:pPr>
            <w:r>
              <w:rPr>
                <w:rFonts w:hint="eastAsia" w:ascii="Times New Roman" w:hAnsi="Times New Roman" w:eastAsia="Times New Roman" w:cs="Times New Roman"/>
                <w:sz w:val="21"/>
              </w:rPr>
              <w:t>700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240"/>
              <w:ind w:left="8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360"/>
              <w:ind w:left="1920"/>
            </w:pPr>
            <w:r>
              <w:rPr>
                <w:rFonts w:hint="eastAsia" w:ascii="Times New Roman Bold" w:hAnsi="Times New Roman Bold" w:eastAsia="Times New Roman Bold" w:cs="Times New Roman Bold"/>
                <w:b/>
                <w:sz w:val="21"/>
              </w:rPr>
              <w:t>-</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现金流出小计</w:t>
            </w:r>
          </w:p>
        </w:tc>
        <w:tc>
          <w:tcPr>
            <w:tcW w:w="2100" w:type="dxa"/>
            <w:tcMar>
              <w:top w:w="0" w:type="dxa"/>
              <w:left w:w="0" w:type="dxa"/>
              <w:bottom w:w="0" w:type="dxa"/>
              <w:right w:w="0" w:type="dxa"/>
            </w:tcMar>
          </w:tcPr>
          <w:p>
            <w:pPr>
              <w:spacing w:before="140"/>
              <w:ind w:left="1020"/>
            </w:pPr>
            <w:r>
              <w:rPr>
                <w:rFonts w:hint="eastAsia" w:ascii="Times New Roman" w:hAnsi="Times New Roman" w:eastAsia="Times New Roman" w:cs="Times New Roman"/>
                <w:sz w:val="21"/>
              </w:rPr>
              <w:t>700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b/>
                <w:sz w:val="21"/>
              </w:rPr>
              <w:t>筹资活动产生的现金</w:t>
            </w:r>
          </w:p>
          <w:p>
            <w:pPr>
              <w:spacing w:before="80"/>
            </w:pPr>
            <w:r>
              <w:rPr>
                <w:rFonts w:hint="eastAsia" w:ascii="宋体" w:hAnsi="宋体" w:eastAsia="宋体" w:cs="宋体"/>
                <w:b/>
                <w:sz w:val="21"/>
              </w:rPr>
              <w:t>流量净额</w:t>
            </w:r>
          </w:p>
        </w:tc>
        <w:tc>
          <w:tcPr>
            <w:tcW w:w="2100" w:type="dxa"/>
            <w:tcMar>
              <w:top w:w="0" w:type="dxa"/>
              <w:left w:w="0" w:type="dxa"/>
              <w:bottom w:w="0" w:type="dxa"/>
              <w:right w:w="0" w:type="dxa"/>
            </w:tcMar>
          </w:tcPr>
          <w:p>
            <w:pPr>
              <w:spacing w:before="260"/>
              <w:ind w:left="960"/>
            </w:pPr>
            <w:r>
              <w:rPr>
                <w:rFonts w:hint="eastAsia" w:ascii="Times New Roman Bold" w:hAnsi="Times New Roman Bold" w:eastAsia="Times New Roman Bold" w:cs="Times New Roman Bold"/>
                <w:b/>
                <w:sz w:val="21"/>
              </w:rPr>
              <w:t>-700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100" w:type="dxa"/>
            <w:tcMar>
              <w:top w:w="0" w:type="dxa"/>
              <w:left w:w="0" w:type="dxa"/>
              <w:bottom w:w="0" w:type="dxa"/>
              <w:right w:w="0" w:type="dxa"/>
            </w:tcMar>
          </w:tcPr>
          <w:p>
            <w:pPr>
              <w:spacing w:before="260"/>
              <w:ind w:left="680"/>
            </w:pPr>
            <w:r>
              <w:rPr>
                <w:rFonts w:hint="eastAsia" w:ascii="Times New Roman Bold" w:hAnsi="Times New Roman Bold" w:eastAsia="Times New Roman Bold" w:cs="Times New Roman Bold"/>
                <w:b/>
                <w:sz w:val="21"/>
              </w:rPr>
              <w:t>117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582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120" w:type="dxa"/>
            <w:tcMar>
              <w:top w:w="0" w:type="dxa"/>
              <w:left w:w="0" w:type="dxa"/>
              <w:bottom w:w="0" w:type="dxa"/>
              <w:right w:w="0" w:type="dxa"/>
            </w:tcMar>
          </w:tcPr>
          <w:p>
            <w:pPr>
              <w:spacing w:before="260"/>
              <w:ind w:left="720"/>
            </w:pPr>
            <w:r>
              <w:rPr>
                <w:rFonts w:hint="eastAsia" w:ascii="Times New Roman Bold" w:hAnsi="Times New Roman Bold" w:eastAsia="Times New Roman Bold" w:cs="Times New Roman Bold"/>
                <w:b/>
                <w:sz w:val="21"/>
              </w:rPr>
              <w:t>-19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r>
      <w:tr>
        <w:trPr>
          <w:trHeight w:val="680" w:hRule="exact"/>
        </w:trPr>
        <w:tc>
          <w:tcPr>
            <w:tcW w:w="2120" w:type="dxa"/>
            <w:tcMar>
              <w:top w:w="0" w:type="dxa"/>
              <w:left w:w="0" w:type="dxa"/>
              <w:bottom w:w="0" w:type="dxa"/>
              <w:right w:w="0" w:type="dxa"/>
            </w:tcMar>
          </w:tcPr>
          <w:p>
            <w:pPr>
              <w:spacing w:before="40"/>
            </w:pPr>
            <w:r>
              <w:rPr>
                <w:rFonts w:hint="eastAsia" w:ascii="宋体" w:hAnsi="宋体" w:eastAsia="宋体" w:cs="宋体"/>
                <w:b/>
                <w:sz w:val="21"/>
              </w:rPr>
              <w:t>四</w:t>
            </w:r>
            <w:r>
              <w:rPr>
                <w:rFonts w:hint="eastAsia" w:ascii="宋体" w:hAnsi="宋体" w:eastAsia="宋体" w:cs="宋体"/>
                <w:b/>
                <w:sz w:val="10"/>
              </w:rPr>
              <w:t>、</w:t>
            </w:r>
            <w:r>
              <w:rPr>
                <w:rFonts w:hint="eastAsia" w:ascii="宋体" w:hAnsi="宋体" w:eastAsia="宋体" w:cs="宋体"/>
                <w:b/>
                <w:sz w:val="21"/>
              </w:rPr>
              <w:t>汇率变动对现金</w:t>
            </w:r>
          </w:p>
          <w:p>
            <w:pPr>
              <w:spacing w:before="100"/>
            </w:pPr>
            <w:r>
              <w:rPr>
                <w:rFonts w:hint="eastAsia" w:ascii="宋体" w:hAnsi="宋体" w:eastAsia="宋体" w:cs="宋体"/>
                <w:b/>
                <w:sz w:val="21"/>
              </w:rPr>
              <w:t>的影响额</w:t>
            </w:r>
          </w:p>
        </w:tc>
        <w:tc>
          <w:tcPr>
            <w:tcW w:w="2100" w:type="dxa"/>
            <w:tcMar>
              <w:top w:w="0" w:type="dxa"/>
              <w:left w:w="0" w:type="dxa"/>
              <w:bottom w:w="0" w:type="dxa"/>
              <w:right w:w="0" w:type="dxa"/>
            </w:tcMar>
          </w:tcPr>
          <w:p>
            <w:pPr>
              <w:spacing w:before="36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360"/>
              <w:ind w:left="1920"/>
            </w:pPr>
            <w:r>
              <w:rPr>
                <w:rFonts w:hint="eastAsia" w:ascii="Times New Roman Bold" w:hAnsi="Times New Roman Bold" w:eastAsia="Times New Roman Bold" w:cs="Times New Roman Bold"/>
                <w:b/>
                <w:sz w:val="21"/>
              </w:rPr>
              <w:t>-</w:t>
            </w:r>
          </w:p>
        </w:tc>
        <w:tc>
          <w:tcPr>
            <w:tcW w:w="2120" w:type="dxa"/>
            <w:tcMar>
              <w:top w:w="0" w:type="dxa"/>
              <w:left w:w="0" w:type="dxa"/>
              <w:bottom w:w="0" w:type="dxa"/>
              <w:right w:w="0" w:type="dxa"/>
            </w:tcMar>
          </w:tcPr>
          <w:p>
            <w:pPr>
              <w:spacing w:before="360"/>
              <w:ind w:left="1920"/>
            </w:pPr>
            <w:r>
              <w:rPr>
                <w:rFonts w:hint="eastAsia" w:ascii="Times New Roman Bold" w:hAnsi="Times New Roman Bold" w:eastAsia="Times New Roman Bold" w:cs="Times New Roman Bold"/>
                <w:b/>
                <w:sz w:val="21"/>
              </w:rPr>
              <w:t>-</w:t>
            </w:r>
          </w:p>
        </w:tc>
      </w:tr>
      <w:tr>
        <w:trPr>
          <w:trHeight w:val="700" w:hRule="exact"/>
        </w:trPr>
        <w:tc>
          <w:tcPr>
            <w:tcW w:w="2120" w:type="dxa"/>
            <w:tcMar>
              <w:top w:w="0" w:type="dxa"/>
              <w:left w:w="0" w:type="dxa"/>
              <w:bottom w:w="0" w:type="dxa"/>
              <w:right w:w="0" w:type="dxa"/>
            </w:tcMar>
          </w:tcPr>
          <w:p>
            <w:pPr>
              <w:spacing w:before="40"/>
            </w:pPr>
            <w:r>
              <w:rPr>
                <w:rFonts w:hint="eastAsia" w:ascii="宋体" w:hAnsi="宋体" w:eastAsia="宋体" w:cs="宋体"/>
                <w:b/>
                <w:sz w:val="21"/>
              </w:rPr>
              <w:t>五</w:t>
            </w:r>
            <w:r>
              <w:rPr>
                <w:rFonts w:hint="eastAsia" w:ascii="宋体" w:hAnsi="宋体" w:eastAsia="宋体" w:cs="宋体"/>
                <w:b/>
                <w:sz w:val="10"/>
              </w:rPr>
              <w:t>、</w:t>
            </w:r>
            <w:r>
              <w:rPr>
                <w:rFonts w:hint="eastAsia" w:ascii="宋体" w:hAnsi="宋体" w:eastAsia="宋体" w:cs="宋体"/>
                <w:b/>
                <w:sz w:val="21"/>
              </w:rPr>
              <w:t>现金及现金等价</w:t>
            </w:r>
          </w:p>
          <w:p>
            <w:pPr>
              <w:spacing w:before="80"/>
            </w:pPr>
            <w:r>
              <w:rPr>
                <w:rFonts w:hint="eastAsia" w:ascii="宋体" w:hAnsi="宋体" w:eastAsia="宋体" w:cs="宋体"/>
                <w:b/>
                <w:sz w:val="21"/>
              </w:rPr>
              <w:t>物净增加额</w:t>
            </w:r>
          </w:p>
        </w:tc>
        <w:tc>
          <w:tcPr>
            <w:tcW w:w="2100" w:type="dxa"/>
            <w:tcMar>
              <w:top w:w="0" w:type="dxa"/>
              <w:left w:w="0" w:type="dxa"/>
              <w:bottom w:w="0" w:type="dxa"/>
              <w:right w:w="0" w:type="dxa"/>
            </w:tcMar>
          </w:tcPr>
          <w:p>
            <w:pPr>
              <w:spacing w:before="260"/>
              <w:ind w:left="760"/>
            </w:pPr>
            <w:r>
              <w:rPr>
                <w:rFonts w:hint="eastAsia" w:ascii="Times New Roman Bold" w:hAnsi="Times New Roman Bold" w:eastAsia="Times New Roman Bold" w:cs="Times New Roman Bold"/>
                <w:b/>
                <w:sz w:val="21"/>
              </w:rPr>
              <w:t>91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43</w:t>
            </w:r>
          </w:p>
        </w:tc>
        <w:tc>
          <w:tcPr>
            <w:tcW w:w="2100" w:type="dxa"/>
            <w:tcMar>
              <w:top w:w="0" w:type="dxa"/>
              <w:left w:w="0" w:type="dxa"/>
              <w:bottom w:w="0" w:type="dxa"/>
              <w:right w:w="0" w:type="dxa"/>
            </w:tcMar>
          </w:tcPr>
          <w:p>
            <w:pPr>
              <w:spacing w:before="260"/>
              <w:ind w:left="660"/>
            </w:pPr>
            <w:r>
              <w:rPr>
                <w:rFonts w:hint="eastAsia" w:ascii="Times New Roman Bold" w:hAnsi="Times New Roman Bold" w:eastAsia="Times New Roman Bold" w:cs="Times New Roman Bold"/>
                <w:b/>
                <w:sz w:val="21"/>
              </w:rPr>
              <w:t>227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617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42</w:t>
            </w:r>
          </w:p>
        </w:tc>
        <w:tc>
          <w:tcPr>
            <w:tcW w:w="2120" w:type="dxa"/>
            <w:tcMar>
              <w:top w:w="0" w:type="dxa"/>
              <w:left w:w="0" w:type="dxa"/>
              <w:bottom w:w="0" w:type="dxa"/>
              <w:right w:w="0" w:type="dxa"/>
            </w:tcMar>
          </w:tcPr>
          <w:p>
            <w:pPr>
              <w:spacing w:before="260"/>
              <w:ind w:left="780"/>
            </w:pPr>
            <w:r>
              <w:rPr>
                <w:rFonts w:hint="eastAsia" w:ascii="Times New Roman Bold" w:hAnsi="Times New Roman Bold" w:eastAsia="Times New Roman Bold" w:cs="Times New Roman Bold"/>
                <w:b/>
                <w:sz w:val="21"/>
              </w:rPr>
              <w:t>23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535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60</w:t>
            </w:r>
          </w:p>
        </w:tc>
      </w:tr>
      <w:tr>
        <w:trPr>
          <w:trHeight w:val="680" w:hRule="exact"/>
        </w:trPr>
        <w:tc>
          <w:tcPr>
            <w:tcW w:w="2120" w:type="dxa"/>
            <w:tcMar>
              <w:top w:w="0" w:type="dxa"/>
              <w:left w:w="0" w:type="dxa"/>
              <w:bottom w:w="0" w:type="dxa"/>
              <w:right w:w="0" w:type="dxa"/>
            </w:tcMar>
          </w:tcPr>
          <w:p>
            <w:pPr>
              <w:spacing w:before="40"/>
            </w:pPr>
            <w:r>
              <w:rPr>
                <w:rFonts w:hint="eastAsia" w:ascii="宋体" w:hAnsi="宋体" w:eastAsia="宋体" w:cs="宋体"/>
                <w:sz w:val="21"/>
              </w:rPr>
              <w:t>加</w:t>
            </w:r>
            <w:r>
              <w:rPr>
                <w:rFonts w:hint="eastAsia" w:ascii="宋体" w:hAnsi="宋体" w:eastAsia="宋体" w:cs="宋体"/>
                <w:sz w:val="12"/>
              </w:rPr>
              <w:t>：</w:t>
            </w:r>
            <w:r>
              <w:rPr>
                <w:rFonts w:hint="eastAsia" w:ascii="宋体" w:hAnsi="宋体" w:eastAsia="宋体" w:cs="宋体"/>
                <w:sz w:val="21"/>
              </w:rPr>
              <w:t>期初现金及现金</w:t>
            </w:r>
          </w:p>
          <w:p>
            <w:pPr>
              <w:spacing w:before="100"/>
            </w:pPr>
            <w:r>
              <w:rPr>
                <w:rFonts w:hint="eastAsia" w:ascii="宋体" w:hAnsi="宋体" w:eastAsia="宋体" w:cs="宋体"/>
                <w:sz w:val="21"/>
              </w:rPr>
              <w:t>等价物余额</w:t>
            </w:r>
          </w:p>
        </w:tc>
        <w:tc>
          <w:tcPr>
            <w:tcW w:w="2100" w:type="dxa"/>
            <w:tcMar>
              <w:top w:w="0" w:type="dxa"/>
              <w:left w:w="0" w:type="dxa"/>
              <w:bottom w:w="0" w:type="dxa"/>
              <w:right w:w="0" w:type="dxa"/>
            </w:tcMar>
          </w:tcPr>
          <w:p>
            <w:pPr>
              <w:spacing w:before="240"/>
              <w:ind w:left="660"/>
            </w:pPr>
            <w:r>
              <w:rPr>
                <w:rFonts w:hint="eastAsia" w:ascii="Times New Roman" w:hAnsi="Times New Roman" w:eastAsia="Times New Roman" w:cs="Times New Roman"/>
                <w:sz w:val="21"/>
              </w:rPr>
              <w:t>421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100" w:type="dxa"/>
            <w:tcMar>
              <w:top w:w="0" w:type="dxa"/>
              <w:left w:w="0" w:type="dxa"/>
              <w:bottom w:w="0" w:type="dxa"/>
              <w:right w:w="0" w:type="dxa"/>
            </w:tcMar>
          </w:tcPr>
          <w:p>
            <w:pPr>
              <w:spacing w:before="240"/>
              <w:ind w:left="660"/>
            </w:pPr>
            <w:r>
              <w:rPr>
                <w:rFonts w:hint="eastAsia" w:ascii="Times New Roman" w:hAnsi="Times New Roman" w:eastAsia="Times New Roman" w:cs="Times New Roman"/>
                <w:sz w:val="21"/>
              </w:rPr>
              <w:t>194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2120" w:type="dxa"/>
            <w:tcMar>
              <w:top w:w="0" w:type="dxa"/>
              <w:left w:w="0" w:type="dxa"/>
              <w:bottom w:w="0" w:type="dxa"/>
              <w:right w:w="0" w:type="dxa"/>
            </w:tcMar>
          </w:tcPr>
          <w:p>
            <w:pPr>
              <w:spacing w:before="240"/>
              <w:ind w:left="680"/>
            </w:pPr>
            <w:r>
              <w:rPr>
                <w:rFonts w:hint="eastAsia" w:ascii="Times New Roman" w:hAnsi="Times New Roman" w:eastAsia="Times New Roman" w:cs="Times New Roman"/>
                <w:sz w:val="21"/>
              </w:rPr>
              <w:t>170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r>
      <w:tr>
        <w:trPr>
          <w:trHeight w:val="660" w:hRule="exact"/>
        </w:trPr>
        <w:tc>
          <w:tcPr>
            <w:tcW w:w="2120" w:type="dxa"/>
            <w:tcMar>
              <w:top w:w="0" w:type="dxa"/>
              <w:left w:w="0" w:type="dxa"/>
              <w:bottom w:w="0" w:type="dxa"/>
              <w:right w:w="0" w:type="dxa"/>
            </w:tcMar>
          </w:tcPr>
          <w:p>
            <w:pPr>
              <w:spacing w:before="40"/>
            </w:pPr>
            <w:r>
              <w:rPr>
                <w:rFonts w:hint="eastAsia" w:ascii="宋体" w:hAnsi="宋体" w:eastAsia="宋体" w:cs="宋体"/>
                <w:b/>
                <w:sz w:val="21"/>
              </w:rPr>
              <w:t>六</w:t>
            </w:r>
            <w:r>
              <w:rPr>
                <w:rFonts w:hint="eastAsia" w:ascii="宋体" w:hAnsi="宋体" w:eastAsia="宋体" w:cs="宋体"/>
                <w:b/>
                <w:sz w:val="10"/>
              </w:rPr>
              <w:t>、</w:t>
            </w:r>
            <w:r>
              <w:rPr>
                <w:rFonts w:hint="eastAsia" w:ascii="宋体" w:hAnsi="宋体" w:eastAsia="宋体" w:cs="宋体"/>
                <w:b/>
                <w:sz w:val="21"/>
              </w:rPr>
              <w:t>期末现金及现金</w:t>
            </w:r>
          </w:p>
          <w:p>
            <w:pPr>
              <w:spacing w:before="80"/>
            </w:pPr>
            <w:r>
              <w:rPr>
                <w:rFonts w:hint="eastAsia" w:ascii="宋体" w:hAnsi="宋体" w:eastAsia="宋体" w:cs="宋体"/>
                <w:b/>
                <w:sz w:val="21"/>
              </w:rPr>
              <w:t>等价物余额</w:t>
            </w:r>
          </w:p>
        </w:tc>
        <w:tc>
          <w:tcPr>
            <w:tcW w:w="2100" w:type="dxa"/>
            <w:tcMar>
              <w:top w:w="0" w:type="dxa"/>
              <w:left w:w="0" w:type="dxa"/>
              <w:bottom w:w="0" w:type="dxa"/>
              <w:right w:w="0" w:type="dxa"/>
            </w:tcMar>
          </w:tcPr>
          <w:p>
            <w:pPr>
              <w:spacing w:before="260"/>
              <w:ind w:left="660"/>
            </w:pPr>
            <w:r>
              <w:rPr>
                <w:rFonts w:hint="eastAsia" w:ascii="Times New Roman Bold" w:hAnsi="Times New Roman Bold" w:eastAsia="Times New Roman Bold" w:cs="Times New Roman Bold"/>
                <w:b/>
                <w:sz w:val="21"/>
              </w:rPr>
              <w:t>512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41</w:t>
            </w:r>
          </w:p>
        </w:tc>
        <w:tc>
          <w:tcPr>
            <w:tcW w:w="2100" w:type="dxa"/>
            <w:tcMar>
              <w:top w:w="0" w:type="dxa"/>
              <w:left w:w="0" w:type="dxa"/>
              <w:bottom w:w="0" w:type="dxa"/>
              <w:right w:w="0" w:type="dxa"/>
            </w:tcMar>
          </w:tcPr>
          <w:p>
            <w:pPr>
              <w:spacing w:before="260"/>
              <w:ind w:left="660"/>
            </w:pPr>
            <w:r>
              <w:rPr>
                <w:rFonts w:hint="eastAsia" w:ascii="Times New Roman Bold" w:hAnsi="Times New Roman Bold" w:eastAsia="Times New Roman Bold" w:cs="Times New Roman Bold"/>
                <w:b/>
                <w:sz w:val="21"/>
              </w:rPr>
              <w:t>421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784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98</w:t>
            </w:r>
          </w:p>
        </w:tc>
        <w:tc>
          <w:tcPr>
            <w:tcW w:w="2120" w:type="dxa"/>
            <w:tcMar>
              <w:top w:w="0" w:type="dxa"/>
              <w:left w:w="0" w:type="dxa"/>
              <w:bottom w:w="0" w:type="dxa"/>
              <w:right w:w="0" w:type="dxa"/>
            </w:tcMar>
          </w:tcPr>
          <w:p>
            <w:pPr>
              <w:spacing w:before="260"/>
              <w:ind w:left="680"/>
            </w:pPr>
            <w:r>
              <w:rPr>
                <w:rFonts w:hint="eastAsia" w:ascii="Times New Roman Bold" w:hAnsi="Times New Roman Bold" w:eastAsia="Times New Roman Bold" w:cs="Times New Roman Bold"/>
                <w:b/>
                <w:sz w:val="21"/>
              </w:rPr>
              <w:t>194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657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1-1-216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0"/>
        </w:rPr>
        <w:t>（</w:t>
      </w:r>
      <w:r>
        <w:rPr>
          <w:rFonts w:hint="eastAsia" w:ascii="宋体" w:hAnsi="宋体" w:eastAsia="宋体" w:cs="宋体"/>
          <w:b/>
          <w:sz w:val="24"/>
        </w:rPr>
        <w:t>四）母公司资产负债表</w:t>
      </w:r>
    </w:p>
    <w:p>
      <w:pPr>
        <w:spacing w:line="200" w:lineRule="exact"/>
        <w:rPr>
          <w:rFonts w:hint="eastAsia" w:ascii="宋体" w:hAnsi="宋体" w:eastAsia="宋体" w:cs="宋体"/>
          <w:sz w:val="20"/>
        </w:rPr>
      </w:pPr>
    </w:p>
    <w:p>
      <w:pPr>
        <w:autoSpaceDE w:val="false"/>
        <w:autoSpaceDN w:val="false"/>
        <w:spacing w:line="320" w:lineRule="exact"/>
        <w:ind w:left="93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8460" w:type="auto"/>
        <w:tblInd w:w="1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120"/>
        <w:gridCol w:w="2100"/>
        <w:gridCol w:w="2100"/>
        <w:gridCol w:w="2120"/>
      </w:tblGrid>
      <w:tr>
        <w:trPr>
          <w:trHeight w:val="460" w:hRule="exact"/>
        </w:trPr>
        <w:tc>
          <w:tcPr>
            <w:tcW w:w="2120" w:type="dxa"/>
            <w:tcMar>
              <w:top w:w="0" w:type="dxa"/>
              <w:left w:w="0" w:type="dxa"/>
              <w:bottom w:w="0" w:type="dxa"/>
              <w:right w:w="0" w:type="dxa"/>
            </w:tcMar>
          </w:tcPr>
          <w:p>
            <w:pPr>
              <w:spacing w:before="80"/>
              <w:ind w:left="780"/>
            </w:pPr>
            <w:r>
              <w:rPr>
                <w:rFonts w:hint="eastAsia" w:ascii="宋体" w:hAnsi="宋体" w:eastAsia="宋体" w:cs="宋体"/>
                <w:b/>
                <w:sz w:val="21"/>
              </w:rPr>
              <w:t>科目</w:t>
            </w:r>
          </w:p>
        </w:tc>
        <w:tc>
          <w:tcPr>
            <w:tcW w:w="2100" w:type="dxa"/>
            <w:tcMar>
              <w:top w:w="0" w:type="dxa"/>
              <w:left w:w="0" w:type="dxa"/>
              <w:bottom w:w="0" w:type="dxa"/>
              <w:right w:w="0" w:type="dxa"/>
            </w:tcMar>
          </w:tcPr>
          <w:p>
            <w:pPr>
              <w:spacing w:before="140"/>
              <w:ind w:left="480"/>
            </w:pPr>
            <w:r>
              <w:rPr>
                <w:rFonts w:hint="eastAsia" w:ascii="Times New Roman Bold" w:hAnsi="Times New Roman Bold" w:eastAsia="Times New Roman Bold" w:cs="Times New Roman Bold"/>
                <w:b/>
                <w:sz w:val="21"/>
              </w:rPr>
              <w:t>2016-12-31</w:t>
            </w:r>
          </w:p>
        </w:tc>
        <w:tc>
          <w:tcPr>
            <w:tcW w:w="2100" w:type="dxa"/>
            <w:tcMar>
              <w:top w:w="0" w:type="dxa"/>
              <w:left w:w="0" w:type="dxa"/>
              <w:bottom w:w="0" w:type="dxa"/>
              <w:right w:w="0" w:type="dxa"/>
            </w:tcMar>
          </w:tcPr>
          <w:p>
            <w:pPr>
              <w:spacing w:before="140"/>
              <w:ind w:left="500"/>
            </w:pPr>
            <w:r>
              <w:rPr>
                <w:rFonts w:hint="eastAsia" w:ascii="Times New Roman Bold" w:hAnsi="Times New Roman Bold" w:eastAsia="Times New Roman Bold" w:cs="Times New Roman Bold"/>
                <w:b/>
                <w:sz w:val="21"/>
              </w:rPr>
              <w:t>2015-12-31</w:t>
            </w:r>
          </w:p>
        </w:tc>
        <w:tc>
          <w:tcPr>
            <w:tcW w:w="2120" w:type="dxa"/>
            <w:tcMar>
              <w:top w:w="0" w:type="dxa"/>
              <w:left w:w="0" w:type="dxa"/>
              <w:bottom w:w="0" w:type="dxa"/>
              <w:right w:w="0" w:type="dxa"/>
            </w:tcMar>
          </w:tcPr>
          <w:p>
            <w:pPr>
              <w:spacing w:before="140"/>
              <w:ind w:left="500"/>
            </w:pPr>
            <w:r>
              <w:rPr>
                <w:rFonts w:hint="eastAsia" w:ascii="Times New Roman Bold" w:hAnsi="Times New Roman Bold" w:eastAsia="Times New Roman Bold" w:cs="Times New Roman Bold"/>
                <w:b/>
                <w:sz w:val="21"/>
              </w:rPr>
              <w:t>2014-12-31</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流动资产</w:t>
            </w:r>
            <w:r>
              <w:rPr>
                <w:rFonts w:hint="eastAsia" w:ascii="宋体" w:hAnsi="宋体" w:eastAsia="宋体" w:cs="宋体"/>
                <w:b/>
                <w:sz w:val="10"/>
              </w:rPr>
              <w:t>：</w:t>
            </w:r>
          </w:p>
        </w:tc>
        <w:tc>
          <w:tcPr>
            <w:tcW w:w="2100" w:type="dxa"/>
            <w:tcMar>
              <w:top w:w="0" w:type="dxa"/>
              <w:left w:w="0" w:type="dxa"/>
              <w:bottom w:w="0" w:type="dxa"/>
              <w:right w:w="0" w:type="dxa"/>
            </w:tcMar>
          </w:tcPr>
          <w:p/>
        </w:tc>
        <w:tc>
          <w:tcPr>
            <w:tcW w:w="2100" w:type="dxa"/>
            <w:tcMar>
              <w:top w:w="0" w:type="dxa"/>
              <w:left w:w="0" w:type="dxa"/>
              <w:bottom w:w="0" w:type="dxa"/>
              <w:right w:w="0" w:type="dxa"/>
            </w:tcMar>
          </w:tcPr>
          <w:p/>
        </w:tc>
        <w:tc>
          <w:tcPr>
            <w:tcW w:w="2120" w:type="dxa"/>
            <w:tcMar>
              <w:top w:w="0" w:type="dxa"/>
              <w:left w:w="0" w:type="dxa"/>
              <w:bottom w:w="0" w:type="dxa"/>
              <w:right w:w="0" w:type="dxa"/>
            </w:tcMar>
          </w:tcPr>
          <w:p/>
        </w:tc>
      </w:tr>
      <w:tr>
        <w:trPr>
          <w:trHeight w:val="480" w:hRule="exact"/>
        </w:trPr>
        <w:tc>
          <w:tcPr>
            <w:tcW w:w="2120" w:type="dxa"/>
            <w:tcMar>
              <w:top w:w="0" w:type="dxa"/>
              <w:left w:w="0" w:type="dxa"/>
              <w:bottom w:w="0" w:type="dxa"/>
              <w:right w:w="0" w:type="dxa"/>
            </w:tcMar>
          </w:tcPr>
          <w:p>
            <w:pPr>
              <w:spacing w:before="100"/>
            </w:pPr>
            <w:r>
              <w:rPr>
                <w:rFonts w:hint="eastAsia" w:ascii="宋体" w:hAnsi="宋体" w:eastAsia="宋体" w:cs="宋体"/>
                <w:sz w:val="21"/>
              </w:rPr>
              <w:t>货币资金</w:t>
            </w:r>
          </w:p>
        </w:tc>
        <w:tc>
          <w:tcPr>
            <w:tcW w:w="210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465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210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374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120" w:type="dxa"/>
            <w:tcMar>
              <w:top w:w="0" w:type="dxa"/>
              <w:left w:w="0" w:type="dxa"/>
              <w:bottom w:w="0" w:type="dxa"/>
              <w:right w:w="0" w:type="dxa"/>
            </w:tcMar>
          </w:tcPr>
          <w:p>
            <w:pPr>
              <w:spacing w:before="140"/>
              <w:ind w:left="680"/>
            </w:pPr>
            <w:r>
              <w:rPr>
                <w:rFonts w:hint="eastAsia" w:ascii="Times New Roman" w:hAnsi="Times New Roman" w:eastAsia="Times New Roman" w:cs="Times New Roman"/>
                <w:sz w:val="21"/>
              </w:rPr>
              <w:t>152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应收账款</w:t>
            </w:r>
          </w:p>
        </w:tc>
        <w:tc>
          <w:tcPr>
            <w:tcW w:w="2100" w:type="dxa"/>
            <w:tcMar>
              <w:top w:w="0" w:type="dxa"/>
              <w:left w:w="0" w:type="dxa"/>
              <w:bottom w:w="0" w:type="dxa"/>
              <w:right w:w="0" w:type="dxa"/>
            </w:tcMar>
          </w:tcPr>
          <w:p>
            <w:pPr>
              <w:spacing w:before="120"/>
              <w:ind w:left="76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210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p>
        </w:tc>
        <w:tc>
          <w:tcPr>
            <w:tcW w:w="212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sz w:val="21"/>
              </w:rPr>
              <w:t>预付款项</w:t>
            </w:r>
          </w:p>
        </w:tc>
        <w:tc>
          <w:tcPr>
            <w:tcW w:w="2100" w:type="dxa"/>
            <w:tcMar>
              <w:top w:w="0" w:type="dxa"/>
              <w:left w:w="0" w:type="dxa"/>
              <w:bottom w:w="0" w:type="dxa"/>
              <w:right w:w="0" w:type="dxa"/>
            </w:tcMar>
          </w:tcPr>
          <w:p>
            <w:pPr>
              <w:spacing w:before="100"/>
              <w:ind w:left="1020"/>
            </w:pPr>
            <w:r>
              <w:rPr>
                <w:rFonts w:hint="eastAsia" w:ascii="Times New Roman" w:hAnsi="Times New Roman" w:eastAsia="Times New Roman" w:cs="Times New Roman"/>
                <w:sz w:val="21"/>
              </w:rPr>
              <w:t>347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p>
        </w:tc>
        <w:tc>
          <w:tcPr>
            <w:tcW w:w="2100" w:type="dxa"/>
            <w:tcMar>
              <w:top w:w="0" w:type="dxa"/>
              <w:left w:w="0" w:type="dxa"/>
              <w:bottom w:w="0" w:type="dxa"/>
              <w:right w:w="0" w:type="dxa"/>
            </w:tcMar>
          </w:tcPr>
          <w:p>
            <w:pPr>
              <w:spacing w:before="100"/>
              <w:ind w:left="1040"/>
            </w:pPr>
            <w:r>
              <w:rPr>
                <w:rFonts w:hint="eastAsia" w:ascii="Times New Roman" w:hAnsi="Times New Roman" w:eastAsia="Times New Roman" w:cs="Times New Roman"/>
                <w:sz w:val="21"/>
              </w:rPr>
              <w:t>758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2120" w:type="dxa"/>
            <w:tcMar>
              <w:top w:w="0" w:type="dxa"/>
              <w:left w:w="0" w:type="dxa"/>
              <w:bottom w:w="0" w:type="dxa"/>
              <w:right w:w="0" w:type="dxa"/>
            </w:tcMar>
          </w:tcPr>
          <w:p>
            <w:pPr>
              <w:spacing w:before="100"/>
              <w:ind w:left="1040"/>
            </w:pPr>
            <w:r>
              <w:rPr>
                <w:rFonts w:hint="eastAsia" w:ascii="Times New Roman" w:hAnsi="Times New Roman" w:eastAsia="Times New Roman" w:cs="Times New Roman"/>
                <w:sz w:val="21"/>
              </w:rPr>
              <w:t>583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应收利息</w:t>
            </w:r>
          </w:p>
        </w:tc>
        <w:tc>
          <w:tcPr>
            <w:tcW w:w="2100" w:type="dxa"/>
            <w:tcMar>
              <w:top w:w="0" w:type="dxa"/>
              <w:left w:w="0" w:type="dxa"/>
              <w:bottom w:w="0" w:type="dxa"/>
              <w:right w:w="0" w:type="dxa"/>
            </w:tcMar>
          </w:tcPr>
          <w:p>
            <w:pPr>
              <w:spacing w:before="100"/>
              <w:ind w:left="1020"/>
            </w:pPr>
            <w:r>
              <w:rPr>
                <w:rFonts w:hint="eastAsia" w:ascii="Times New Roman" w:hAnsi="Times New Roman" w:eastAsia="Times New Roman" w:cs="Times New Roman"/>
                <w:sz w:val="21"/>
              </w:rPr>
              <w:t>869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2100" w:type="dxa"/>
            <w:tcMar>
              <w:top w:w="0" w:type="dxa"/>
              <w:left w:w="0" w:type="dxa"/>
              <w:bottom w:w="0" w:type="dxa"/>
              <w:right w:w="0" w:type="dxa"/>
            </w:tcMar>
          </w:tcPr>
          <w:p>
            <w:pPr>
              <w:spacing w:before="100"/>
              <w:ind w:left="1040"/>
            </w:pPr>
            <w:r>
              <w:rPr>
                <w:rFonts w:hint="eastAsia" w:ascii="Times New Roman" w:hAnsi="Times New Roman" w:eastAsia="Times New Roman" w:cs="Times New Roman"/>
                <w:sz w:val="21"/>
              </w:rPr>
              <w:t>218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c>
          <w:tcPr>
            <w:tcW w:w="2120" w:type="dxa"/>
            <w:tcMar>
              <w:top w:w="0" w:type="dxa"/>
              <w:left w:w="0" w:type="dxa"/>
              <w:bottom w:w="0" w:type="dxa"/>
              <w:right w:w="0" w:type="dxa"/>
            </w:tcMar>
          </w:tcPr>
          <w:p>
            <w:pPr>
              <w:spacing w:before="100"/>
              <w:ind w:left="1140"/>
            </w:pP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其他应收款</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1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存货</w:t>
            </w:r>
          </w:p>
        </w:tc>
        <w:tc>
          <w:tcPr>
            <w:tcW w:w="2100" w:type="dxa"/>
            <w:tcMar>
              <w:top w:w="0" w:type="dxa"/>
              <w:left w:w="0" w:type="dxa"/>
              <w:bottom w:w="0" w:type="dxa"/>
              <w:right w:w="0" w:type="dxa"/>
            </w:tcMar>
          </w:tcPr>
          <w:p>
            <w:pPr>
              <w:spacing w:before="140"/>
              <w:ind w:left="76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12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r>
      <w:tr>
        <w:trPr>
          <w:trHeight w:val="48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流动资产合计</w:t>
            </w:r>
          </w:p>
        </w:tc>
        <w:tc>
          <w:tcPr>
            <w:tcW w:w="2100" w:type="dxa"/>
            <w:tcMar>
              <w:top w:w="0" w:type="dxa"/>
              <w:left w:w="0" w:type="dxa"/>
              <w:bottom w:w="0" w:type="dxa"/>
              <w:right w:w="0" w:type="dxa"/>
            </w:tcMar>
          </w:tcPr>
          <w:p>
            <w:pPr>
              <w:spacing w:before="140"/>
              <w:ind w:left="680"/>
            </w:pPr>
            <w:r>
              <w:rPr>
                <w:rFonts w:hint="eastAsia" w:ascii="Times New Roman Bold" w:hAnsi="Times New Roman Bold" w:eastAsia="Times New Roman Bold" w:cs="Times New Roman Bold"/>
                <w:b/>
                <w:sz w:val="21"/>
              </w:rPr>
              <w:t>511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223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w:t>
            </w:r>
          </w:p>
        </w:tc>
        <w:tc>
          <w:tcPr>
            <w:tcW w:w="2100" w:type="dxa"/>
            <w:tcMar>
              <w:top w:w="0" w:type="dxa"/>
              <w:left w:w="0" w:type="dxa"/>
              <w:bottom w:w="0" w:type="dxa"/>
              <w:right w:w="0" w:type="dxa"/>
            </w:tcMar>
          </w:tcPr>
          <w:p>
            <w:pPr>
              <w:spacing w:before="140"/>
              <w:ind w:left="660"/>
            </w:pPr>
            <w:r>
              <w:rPr>
                <w:rFonts w:hint="eastAsia" w:ascii="Times New Roman Bold" w:hAnsi="Times New Roman Bold" w:eastAsia="Times New Roman Bold" w:cs="Times New Roman Bold"/>
                <w:b/>
                <w:sz w:val="21"/>
              </w:rPr>
              <w:t>409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333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w:t>
            </w:r>
          </w:p>
        </w:tc>
        <w:tc>
          <w:tcPr>
            <w:tcW w:w="2120" w:type="dxa"/>
            <w:tcMar>
              <w:top w:w="0" w:type="dxa"/>
              <w:left w:w="0" w:type="dxa"/>
              <w:bottom w:w="0" w:type="dxa"/>
              <w:right w:w="0" w:type="dxa"/>
            </w:tcMar>
          </w:tcPr>
          <w:p>
            <w:pPr>
              <w:spacing w:before="140"/>
              <w:ind w:left="680"/>
            </w:pPr>
            <w:r>
              <w:rPr>
                <w:rFonts w:hint="eastAsia" w:ascii="Times New Roman Bold" w:hAnsi="Times New Roman Bold" w:eastAsia="Times New Roman Bold" w:cs="Times New Roman Bold"/>
                <w:b/>
                <w:sz w:val="21"/>
              </w:rPr>
              <w:t>187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393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923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18</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b/>
                <w:sz w:val="21"/>
              </w:rPr>
              <w:t>非流动资产</w:t>
            </w:r>
            <w:r>
              <w:rPr>
                <w:rFonts w:hint="eastAsia" w:ascii="宋体" w:hAnsi="宋体" w:eastAsia="宋体" w:cs="宋体"/>
                <w:b/>
                <w:sz w:val="10"/>
              </w:rPr>
              <w:t>：</w:t>
            </w:r>
          </w:p>
        </w:tc>
        <w:tc>
          <w:tcPr>
            <w:tcW w:w="2100" w:type="dxa"/>
            <w:tcMar>
              <w:top w:w="0" w:type="dxa"/>
              <w:left w:w="0" w:type="dxa"/>
              <w:bottom w:w="0" w:type="dxa"/>
              <w:right w:w="0" w:type="dxa"/>
            </w:tcMar>
          </w:tcPr>
          <w:p/>
        </w:tc>
        <w:tc>
          <w:tcPr>
            <w:tcW w:w="2100" w:type="dxa"/>
            <w:tcMar>
              <w:top w:w="0" w:type="dxa"/>
              <w:left w:w="0" w:type="dxa"/>
              <w:bottom w:w="0" w:type="dxa"/>
              <w:right w:w="0" w:type="dxa"/>
            </w:tcMar>
          </w:tcPr>
          <w:p/>
        </w:tc>
        <w:tc>
          <w:tcPr>
            <w:tcW w:w="2120" w:type="dxa"/>
            <w:tcMar>
              <w:top w:w="0" w:type="dxa"/>
              <w:left w:w="0" w:type="dxa"/>
              <w:bottom w:w="0" w:type="dxa"/>
              <w:right w:w="0" w:type="dxa"/>
            </w:tcMar>
          </w:tcP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sz w:val="21"/>
              </w:rPr>
              <w:t>可供出售金融资产</w:t>
            </w:r>
          </w:p>
        </w:tc>
        <w:tc>
          <w:tcPr>
            <w:tcW w:w="2100" w:type="dxa"/>
            <w:tcMar>
              <w:top w:w="0" w:type="dxa"/>
              <w:left w:w="0" w:type="dxa"/>
              <w:bottom w:w="0" w:type="dxa"/>
              <w:right w:w="0" w:type="dxa"/>
            </w:tcMar>
          </w:tcPr>
          <w:p>
            <w:pPr>
              <w:spacing w:before="240"/>
              <w:ind w:left="1900"/>
            </w:pPr>
            <w:r>
              <w:rPr>
                <w:rFonts w:hint="eastAsia" w:ascii="Times New Roman Bold" w:hAnsi="Times New Roman Bold" w:eastAsia="Times New Roman Bold" w:cs="Times New Roman Bold"/>
                <w:b/>
                <w:sz w:val="21"/>
              </w:rPr>
              <w:t>-</w:t>
            </w:r>
          </w:p>
        </w:tc>
        <w:tc>
          <w:tcPr>
            <w:tcW w:w="2100" w:type="dxa"/>
            <w:tcMar>
              <w:top w:w="0" w:type="dxa"/>
              <w:left w:w="0" w:type="dxa"/>
              <w:bottom w:w="0" w:type="dxa"/>
              <w:right w:w="0" w:type="dxa"/>
            </w:tcMar>
          </w:tcPr>
          <w:p>
            <w:pPr>
              <w:spacing w:before="240"/>
              <w:ind w:left="1920"/>
            </w:pPr>
            <w:r>
              <w:rPr>
                <w:rFonts w:hint="eastAsia" w:ascii="Times New Roman Bold" w:hAnsi="Times New Roman Bold" w:eastAsia="Times New Roman Bold" w:cs="Times New Roman Bold"/>
                <w:b/>
                <w:sz w:val="21"/>
              </w:rPr>
              <w:t>-</w:t>
            </w:r>
          </w:p>
        </w:tc>
        <w:tc>
          <w:tcPr>
            <w:tcW w:w="2120" w:type="dxa"/>
            <w:tcMar>
              <w:top w:w="0" w:type="dxa"/>
              <w:left w:w="0" w:type="dxa"/>
              <w:bottom w:w="0" w:type="dxa"/>
              <w:right w:w="0" w:type="dxa"/>
            </w:tcMar>
          </w:tcPr>
          <w:p>
            <w:pPr>
              <w:spacing w:before="120"/>
              <w:ind w:left="104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sz w:val="21"/>
              </w:rPr>
              <w:t>长期股权投资</w:t>
            </w:r>
          </w:p>
        </w:tc>
        <w:tc>
          <w:tcPr>
            <w:tcW w:w="2100" w:type="dxa"/>
            <w:tcMar>
              <w:top w:w="0" w:type="dxa"/>
              <w:left w:w="0" w:type="dxa"/>
              <w:bottom w:w="0" w:type="dxa"/>
              <w:right w:w="0" w:type="dxa"/>
            </w:tcMar>
          </w:tcPr>
          <w:p>
            <w:pPr>
              <w:spacing w:before="100"/>
              <w:ind w:left="760"/>
            </w:pP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00" w:type="dxa"/>
            <w:tcMar>
              <w:top w:w="0" w:type="dxa"/>
              <w:left w:w="0" w:type="dxa"/>
              <w:bottom w:w="0" w:type="dxa"/>
              <w:right w:w="0" w:type="dxa"/>
            </w:tcMar>
          </w:tcPr>
          <w:p>
            <w:pPr>
              <w:spacing w:before="100"/>
              <w:ind w:left="780"/>
            </w:pP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20" w:type="dxa"/>
            <w:tcMar>
              <w:top w:w="0" w:type="dxa"/>
              <w:left w:w="0" w:type="dxa"/>
              <w:bottom w:w="0" w:type="dxa"/>
              <w:right w:w="0" w:type="dxa"/>
            </w:tcMar>
          </w:tcPr>
          <w:p>
            <w:pPr>
              <w:spacing w:before="100"/>
              <w:ind w:left="780"/>
            </w:pP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固定资产</w:t>
            </w:r>
          </w:p>
        </w:tc>
        <w:tc>
          <w:tcPr>
            <w:tcW w:w="2100" w:type="dxa"/>
            <w:tcMar>
              <w:top w:w="0" w:type="dxa"/>
              <w:left w:w="0" w:type="dxa"/>
              <w:bottom w:w="0" w:type="dxa"/>
              <w:right w:w="0" w:type="dxa"/>
            </w:tcMar>
          </w:tcPr>
          <w:p>
            <w:pPr>
              <w:spacing w:before="120"/>
              <w:ind w:left="76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210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212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无形资产</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21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r>
      <w:tr>
        <w:trPr>
          <w:trHeight w:val="460" w:hRule="exact"/>
        </w:trPr>
        <w:tc>
          <w:tcPr>
            <w:tcW w:w="2120" w:type="dxa"/>
            <w:tcMar>
              <w:top w:w="0" w:type="dxa"/>
              <w:left w:w="0" w:type="dxa"/>
              <w:bottom w:w="0" w:type="dxa"/>
              <w:right w:w="0" w:type="dxa"/>
            </w:tcMar>
          </w:tcPr>
          <w:p>
            <w:pPr>
              <w:spacing w:before="80"/>
            </w:pPr>
            <w:r>
              <w:rPr>
                <w:rFonts w:hint="eastAsia" w:ascii="宋体" w:hAnsi="宋体" w:eastAsia="宋体" w:cs="宋体"/>
                <w:sz w:val="21"/>
              </w:rPr>
              <w:t>长期待摊费用</w:t>
            </w:r>
          </w:p>
        </w:tc>
        <w:tc>
          <w:tcPr>
            <w:tcW w:w="2100" w:type="dxa"/>
            <w:tcMar>
              <w:top w:w="0" w:type="dxa"/>
              <w:left w:w="0" w:type="dxa"/>
              <w:bottom w:w="0" w:type="dxa"/>
              <w:right w:w="0" w:type="dxa"/>
            </w:tcMar>
          </w:tcPr>
          <w:p>
            <w:pPr>
              <w:spacing w:before="140"/>
              <w:ind w:left="1020"/>
            </w:pPr>
            <w:r>
              <w:rPr>
                <w:rFonts w:hint="eastAsia" w:ascii="Times New Roman" w:hAnsi="Times New Roman" w:eastAsia="Times New Roman" w:cs="Times New Roman"/>
                <w:sz w:val="21"/>
              </w:rPr>
              <w:t>587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100" w:type="dxa"/>
            <w:tcMar>
              <w:top w:w="0" w:type="dxa"/>
              <w:left w:w="0" w:type="dxa"/>
              <w:bottom w:w="0" w:type="dxa"/>
              <w:right w:w="0" w:type="dxa"/>
            </w:tcMar>
          </w:tcPr>
          <w:p>
            <w:pPr>
              <w:spacing w:before="140"/>
              <w:ind w:left="1040"/>
            </w:pPr>
            <w:r>
              <w:rPr>
                <w:rFonts w:hint="eastAsia" w:ascii="Times New Roman" w:hAnsi="Times New Roman" w:eastAsia="Times New Roman" w:cs="Times New Roman"/>
                <w:sz w:val="21"/>
              </w:rPr>
              <w:t>910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p>
        </w:tc>
        <w:tc>
          <w:tcPr>
            <w:tcW w:w="21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80" w:hRule="exact"/>
        </w:trPr>
        <w:tc>
          <w:tcPr>
            <w:tcW w:w="2120" w:type="dxa"/>
            <w:tcMar>
              <w:top w:w="0" w:type="dxa"/>
              <w:left w:w="0" w:type="dxa"/>
              <w:bottom w:w="0" w:type="dxa"/>
              <w:right w:w="0" w:type="dxa"/>
            </w:tcMar>
          </w:tcPr>
          <w:p>
            <w:pPr>
              <w:spacing w:before="100"/>
            </w:pPr>
            <w:r>
              <w:rPr>
                <w:rFonts w:hint="eastAsia" w:ascii="宋体" w:hAnsi="宋体" w:eastAsia="宋体" w:cs="宋体"/>
                <w:sz w:val="21"/>
              </w:rPr>
              <w:t>递延所得税资产</w:t>
            </w:r>
          </w:p>
        </w:tc>
        <w:tc>
          <w:tcPr>
            <w:tcW w:w="21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2100" w:type="dxa"/>
            <w:tcMar>
              <w:top w:w="0" w:type="dxa"/>
              <w:left w:w="0" w:type="dxa"/>
              <w:bottom w:w="0" w:type="dxa"/>
              <w:right w:w="0" w:type="dxa"/>
            </w:tcMar>
          </w:tcPr>
          <w:p>
            <w:pPr>
              <w:spacing w:before="140"/>
              <w:ind w:left="78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c>
          <w:tcPr>
            <w:tcW w:w="21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p>
        </w:tc>
      </w:tr>
      <w:tr>
        <w:trPr>
          <w:trHeight w:val="460" w:hRule="exact"/>
        </w:trPr>
        <w:tc>
          <w:tcPr>
            <w:tcW w:w="2120" w:type="dxa"/>
            <w:tcMar>
              <w:top w:w="0" w:type="dxa"/>
              <w:left w:w="0" w:type="dxa"/>
              <w:bottom w:w="0" w:type="dxa"/>
              <w:right w:w="0" w:type="dxa"/>
            </w:tcMar>
          </w:tcPr>
          <w:p>
            <w:pPr>
              <w:spacing w:before="60"/>
            </w:pPr>
            <w:r>
              <w:rPr>
                <w:rFonts w:hint="eastAsia" w:ascii="宋体" w:hAnsi="宋体" w:eastAsia="宋体" w:cs="宋体"/>
                <w:b/>
                <w:sz w:val="21"/>
              </w:rPr>
              <w:t>非流动资产合计</w:t>
            </w:r>
          </w:p>
        </w:tc>
        <w:tc>
          <w:tcPr>
            <w:tcW w:w="2100" w:type="dxa"/>
            <w:tcMar>
              <w:top w:w="0" w:type="dxa"/>
              <w:left w:w="0" w:type="dxa"/>
              <w:bottom w:w="0" w:type="dxa"/>
              <w:right w:w="0" w:type="dxa"/>
            </w:tcMar>
          </w:tcPr>
          <w:p>
            <w:pPr>
              <w:spacing w:before="100"/>
              <w:ind w:left="760"/>
            </w:pPr>
            <w:r>
              <w:rPr>
                <w:rFonts w:hint="eastAsia" w:ascii="Times New Roman Bold" w:hAnsi="Times New Roman Bold" w:eastAsia="Times New Roman Bold" w:cs="Times New Roman Bold"/>
                <w:b/>
                <w:sz w:val="21"/>
              </w:rPr>
              <w:t>74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997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06</w:t>
            </w:r>
          </w:p>
        </w:tc>
        <w:tc>
          <w:tcPr>
            <w:tcW w:w="2100" w:type="dxa"/>
            <w:tcMar>
              <w:top w:w="0" w:type="dxa"/>
              <w:left w:w="0" w:type="dxa"/>
              <w:bottom w:w="0" w:type="dxa"/>
              <w:right w:w="0" w:type="dxa"/>
            </w:tcMar>
          </w:tcPr>
          <w:p>
            <w:pPr>
              <w:spacing w:before="100"/>
              <w:ind w:left="780"/>
            </w:pPr>
            <w:r>
              <w:rPr>
                <w:rFonts w:hint="eastAsia" w:ascii="Times New Roman Bold" w:hAnsi="Times New Roman Bold" w:eastAsia="Times New Roman Bold" w:cs="Times New Roman Bold"/>
                <w:b/>
                <w:sz w:val="21"/>
              </w:rPr>
              <w:t>79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182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w:t>
            </w:r>
          </w:p>
        </w:tc>
        <w:tc>
          <w:tcPr>
            <w:tcW w:w="2120" w:type="dxa"/>
            <w:tcMar>
              <w:top w:w="0" w:type="dxa"/>
              <w:left w:w="0" w:type="dxa"/>
              <w:bottom w:w="0" w:type="dxa"/>
              <w:right w:w="0" w:type="dxa"/>
            </w:tcMar>
          </w:tcPr>
          <w:p>
            <w:pPr>
              <w:spacing w:before="100"/>
              <w:ind w:left="780"/>
            </w:pPr>
            <w:r>
              <w:rPr>
                <w:rFonts w:hint="eastAsia" w:ascii="Times New Roman Bold" w:hAnsi="Times New Roman Bold" w:eastAsia="Times New Roman Bold" w:cs="Times New Roman Bold"/>
                <w:b/>
                <w:sz w:val="21"/>
              </w:rPr>
              <w:t>73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270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p>
        </w:tc>
      </w:tr>
      <w:tr>
        <w:trPr>
          <w:trHeight w:val="420" w:hRule="exact"/>
        </w:trPr>
        <w:tc>
          <w:tcPr>
            <w:tcW w:w="2120" w:type="dxa"/>
            <w:tcMar>
              <w:top w:w="0" w:type="dxa"/>
              <w:left w:w="0" w:type="dxa"/>
              <w:bottom w:w="0" w:type="dxa"/>
              <w:right w:w="0" w:type="dxa"/>
            </w:tcMar>
          </w:tcPr>
          <w:p>
            <w:pPr>
              <w:spacing w:before="60"/>
            </w:pPr>
            <w:r>
              <w:rPr>
                <w:rFonts w:hint="eastAsia" w:ascii="宋体" w:hAnsi="宋体" w:eastAsia="宋体" w:cs="宋体"/>
                <w:b/>
                <w:sz w:val="21"/>
              </w:rPr>
              <w:t>资产总计</w:t>
            </w:r>
          </w:p>
        </w:tc>
        <w:tc>
          <w:tcPr>
            <w:tcW w:w="2100" w:type="dxa"/>
            <w:tcMar>
              <w:top w:w="0" w:type="dxa"/>
              <w:left w:w="0" w:type="dxa"/>
              <w:bottom w:w="0" w:type="dxa"/>
              <w:right w:w="0" w:type="dxa"/>
            </w:tcMar>
          </w:tcPr>
          <w:p>
            <w:pPr>
              <w:spacing w:before="100"/>
              <w:ind w:left="660"/>
            </w:pPr>
            <w:r>
              <w:rPr>
                <w:rFonts w:hint="eastAsia" w:ascii="Times New Roman Bold" w:hAnsi="Times New Roman Bold" w:eastAsia="Times New Roman Bold" w:cs="Times New Roman Bold"/>
                <w:b/>
                <w:sz w:val="21"/>
              </w:rPr>
              <w:t>585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c>
          <w:tcPr>
            <w:tcW w:w="2100" w:type="dxa"/>
            <w:tcMar>
              <w:top w:w="0" w:type="dxa"/>
              <w:left w:w="0" w:type="dxa"/>
              <w:bottom w:w="0" w:type="dxa"/>
              <w:right w:w="0" w:type="dxa"/>
            </w:tcMar>
          </w:tcPr>
          <w:p>
            <w:pPr>
              <w:spacing w:before="100"/>
              <w:ind w:left="660"/>
            </w:pPr>
            <w:r>
              <w:rPr>
                <w:rFonts w:hint="eastAsia" w:ascii="Times New Roman Bold" w:hAnsi="Times New Roman Bold" w:eastAsia="Times New Roman Bold" w:cs="Times New Roman Bold"/>
                <w:b/>
                <w:sz w:val="21"/>
              </w:rPr>
              <w:t>489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w:t>
            </w:r>
          </w:p>
        </w:tc>
        <w:tc>
          <w:tcPr>
            <w:tcW w:w="212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30</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1-1-217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2280"/>
        <w:jc w:val="both"/>
      </w:pPr>
      <w:r>
        <w:rPr>
          <w:rFonts w:hint="eastAsia" w:ascii="宋体" w:hAnsi="宋体" w:eastAsia="宋体" w:cs="宋体"/>
          <w:b/>
          <w:sz w:val="24"/>
        </w:rPr>
        <w:t>母公司资产负债表（续）</w:t>
      </w:r>
    </w:p>
    <w:p>
      <w:pPr>
        <w:autoSpaceDE w:val="false"/>
        <w:autoSpaceDN w:val="false"/>
        <w:spacing w:line="360" w:lineRule="exact"/>
        <w:ind w:left="93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8300" w:type="auto"/>
        <w:tblInd w:w="18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000"/>
        <w:gridCol w:w="2000"/>
        <w:gridCol w:w="2140"/>
        <w:gridCol w:w="2140"/>
      </w:tblGrid>
      <w:tr>
        <w:trPr>
          <w:trHeight w:val="460" w:hRule="exact"/>
        </w:trPr>
        <w:tc>
          <w:tcPr>
            <w:tcW w:w="2000" w:type="dxa"/>
            <w:tcMar>
              <w:top w:w="0" w:type="dxa"/>
              <w:left w:w="0" w:type="dxa"/>
              <w:bottom w:w="0" w:type="dxa"/>
              <w:right w:w="0" w:type="dxa"/>
            </w:tcMar>
          </w:tcPr>
          <w:p>
            <w:pPr>
              <w:spacing w:before="80"/>
              <w:ind w:left="720"/>
            </w:pPr>
            <w:r>
              <w:rPr>
                <w:rFonts w:hint="eastAsia" w:ascii="宋体" w:hAnsi="宋体" w:eastAsia="宋体" w:cs="宋体"/>
                <w:b/>
                <w:sz w:val="21"/>
              </w:rPr>
              <w:t>科目</w:t>
            </w:r>
          </w:p>
        </w:tc>
        <w:tc>
          <w:tcPr>
            <w:tcW w:w="2000" w:type="dxa"/>
            <w:tcMar>
              <w:top w:w="0" w:type="dxa"/>
              <w:left w:w="0" w:type="dxa"/>
              <w:bottom w:w="0" w:type="dxa"/>
              <w:right w:w="0" w:type="dxa"/>
            </w:tcMar>
          </w:tcPr>
          <w:p>
            <w:pPr>
              <w:spacing w:before="140"/>
              <w:ind w:left="440"/>
            </w:pPr>
            <w:r>
              <w:rPr>
                <w:rFonts w:hint="eastAsia" w:ascii="Times New Roman Bold" w:hAnsi="Times New Roman Bold" w:eastAsia="Times New Roman Bold" w:cs="Times New Roman Bold"/>
                <w:b/>
                <w:sz w:val="21"/>
              </w:rPr>
              <w:t>2016-12-31</w:t>
            </w:r>
          </w:p>
        </w:tc>
        <w:tc>
          <w:tcPr>
            <w:tcW w:w="2140" w:type="dxa"/>
            <w:tcMar>
              <w:top w:w="0" w:type="dxa"/>
              <w:left w:w="0" w:type="dxa"/>
              <w:bottom w:w="0" w:type="dxa"/>
              <w:right w:w="0" w:type="dxa"/>
            </w:tcMar>
          </w:tcPr>
          <w:p>
            <w:pPr>
              <w:spacing w:before="140"/>
              <w:ind w:left="520"/>
            </w:pPr>
            <w:r>
              <w:rPr>
                <w:rFonts w:hint="eastAsia" w:ascii="Times New Roman Bold" w:hAnsi="Times New Roman Bold" w:eastAsia="Times New Roman Bold" w:cs="Times New Roman Bold"/>
                <w:b/>
                <w:sz w:val="21"/>
              </w:rPr>
              <w:t>2015-12-31</w:t>
            </w:r>
          </w:p>
        </w:tc>
        <w:tc>
          <w:tcPr>
            <w:tcW w:w="2140" w:type="dxa"/>
            <w:tcMar>
              <w:top w:w="0" w:type="dxa"/>
              <w:left w:w="0" w:type="dxa"/>
              <w:bottom w:w="0" w:type="dxa"/>
              <w:right w:w="0" w:type="dxa"/>
            </w:tcMar>
          </w:tcPr>
          <w:p>
            <w:pPr>
              <w:spacing w:before="140"/>
              <w:ind w:left="520"/>
            </w:pPr>
            <w:r>
              <w:rPr>
                <w:rFonts w:hint="eastAsia" w:ascii="Times New Roman Bold" w:hAnsi="Times New Roman Bold" w:eastAsia="Times New Roman Bold" w:cs="Times New Roman Bold"/>
                <w:b/>
                <w:sz w:val="21"/>
              </w:rPr>
              <w:t>2014-12-31</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b/>
                <w:sz w:val="21"/>
              </w:rPr>
              <w:t>流动负债</w:t>
            </w:r>
            <w:r>
              <w:rPr>
                <w:rFonts w:hint="eastAsia" w:ascii="宋体" w:hAnsi="宋体" w:eastAsia="宋体" w:cs="宋体"/>
                <w:b/>
                <w:sz w:val="10"/>
              </w:rPr>
              <w:t>：</w:t>
            </w:r>
          </w:p>
        </w:tc>
        <w:tc>
          <w:tcPr>
            <w:tcW w:w="2000" w:type="dxa"/>
            <w:tcMar>
              <w:top w:w="0" w:type="dxa"/>
              <w:left w:w="0" w:type="dxa"/>
              <w:bottom w:w="0" w:type="dxa"/>
              <w:right w:w="0" w:type="dxa"/>
            </w:tcMar>
          </w:tcPr>
          <w:p/>
        </w:tc>
        <w:tc>
          <w:tcPr>
            <w:tcW w:w="2140" w:type="dxa"/>
            <w:tcMar>
              <w:top w:w="0" w:type="dxa"/>
              <w:left w:w="0" w:type="dxa"/>
              <w:bottom w:w="0" w:type="dxa"/>
              <w:right w:w="0" w:type="dxa"/>
            </w:tcMar>
          </w:tcPr>
          <w:p/>
        </w:tc>
        <w:tc>
          <w:tcPr>
            <w:tcW w:w="2140" w:type="dxa"/>
            <w:tcMar>
              <w:top w:w="0" w:type="dxa"/>
              <w:left w:w="0" w:type="dxa"/>
              <w:bottom w:w="0" w:type="dxa"/>
              <w:right w:w="0" w:type="dxa"/>
            </w:tcMar>
          </w:tcP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应付账款</w:t>
            </w:r>
          </w:p>
        </w:tc>
        <w:tc>
          <w:tcPr>
            <w:tcW w:w="2000" w:type="dxa"/>
            <w:tcMar>
              <w:top w:w="0" w:type="dxa"/>
              <w:left w:w="0" w:type="dxa"/>
              <w:bottom w:w="0" w:type="dxa"/>
              <w:right w:w="0" w:type="dxa"/>
            </w:tcMar>
          </w:tcPr>
          <w:p>
            <w:pPr>
              <w:spacing w:before="140"/>
              <w:ind w:left="920"/>
            </w:pPr>
            <w:r>
              <w:rPr>
                <w:rFonts w:hint="eastAsia" w:ascii="Times New Roman" w:hAnsi="Times New Roman" w:eastAsia="Times New Roman" w:cs="Times New Roman"/>
                <w:sz w:val="21"/>
              </w:rPr>
              <w:t>570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p>
        </w:tc>
        <w:tc>
          <w:tcPr>
            <w:tcW w:w="2140" w:type="dxa"/>
            <w:tcMar>
              <w:top w:w="0" w:type="dxa"/>
              <w:left w:w="0" w:type="dxa"/>
              <w:bottom w:w="0" w:type="dxa"/>
              <w:right w:w="0" w:type="dxa"/>
            </w:tcMar>
          </w:tcPr>
          <w:p>
            <w:pPr>
              <w:spacing w:before="140"/>
              <w:ind w:left="1080"/>
            </w:pPr>
            <w:r>
              <w:rPr>
                <w:rFonts w:hint="eastAsia" w:ascii="Times New Roman" w:hAnsi="Times New Roman" w:eastAsia="Times New Roman" w:cs="Times New Roman"/>
                <w:sz w:val="21"/>
              </w:rPr>
              <w:t>614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p>
        </w:tc>
        <w:tc>
          <w:tcPr>
            <w:tcW w:w="2140" w:type="dxa"/>
            <w:tcMar>
              <w:top w:w="0" w:type="dxa"/>
              <w:left w:w="0" w:type="dxa"/>
              <w:bottom w:w="0" w:type="dxa"/>
              <w:right w:w="0" w:type="dxa"/>
            </w:tcMar>
          </w:tcPr>
          <w:p>
            <w:pPr>
              <w:spacing w:before="140"/>
              <w:ind w:left="9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p>
        </w:tc>
      </w:tr>
      <w:tr>
        <w:trPr>
          <w:trHeight w:val="48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预收款项</w:t>
            </w:r>
          </w:p>
        </w:tc>
        <w:tc>
          <w:tcPr>
            <w:tcW w:w="200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2140" w:type="dxa"/>
            <w:tcMar>
              <w:top w:w="0" w:type="dxa"/>
              <w:left w:w="0" w:type="dxa"/>
              <w:bottom w:w="0" w:type="dxa"/>
              <w:right w:w="0" w:type="dxa"/>
            </w:tcMar>
          </w:tcPr>
          <w:p>
            <w:pPr>
              <w:spacing w:before="140"/>
              <w:ind w:left="820"/>
            </w:pP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w:t>
            </w:r>
          </w:p>
        </w:tc>
        <w:tc>
          <w:tcPr>
            <w:tcW w:w="2140" w:type="dxa"/>
            <w:tcMar>
              <w:top w:w="0" w:type="dxa"/>
              <w:left w:w="0" w:type="dxa"/>
              <w:bottom w:w="0" w:type="dxa"/>
              <w:right w:w="0" w:type="dxa"/>
            </w:tcMar>
          </w:tcPr>
          <w:p>
            <w:pPr>
              <w:spacing w:before="140"/>
              <w:ind w:left="820"/>
            </w:pP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应付职工薪酬</w:t>
            </w:r>
          </w:p>
        </w:tc>
        <w:tc>
          <w:tcPr>
            <w:tcW w:w="2000" w:type="dxa"/>
            <w:tcMar>
              <w:top w:w="0" w:type="dxa"/>
              <w:left w:w="0" w:type="dxa"/>
              <w:bottom w:w="0" w:type="dxa"/>
              <w:right w:w="0" w:type="dxa"/>
            </w:tcMar>
          </w:tcPr>
          <w:p>
            <w:pPr>
              <w:spacing w:before="120"/>
              <w:ind w:left="7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120"/>
              <w:ind w:left="92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120"/>
              <w:ind w:left="9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2000" w:type="dxa"/>
            <w:tcMar>
              <w:top w:w="0" w:type="dxa"/>
              <w:left w:w="0" w:type="dxa"/>
              <w:bottom w:w="0" w:type="dxa"/>
              <w:right w:w="0" w:type="dxa"/>
            </w:tcMar>
          </w:tcPr>
          <w:p>
            <w:pPr>
              <w:spacing w:before="60"/>
            </w:pPr>
            <w:r>
              <w:rPr>
                <w:rFonts w:hint="eastAsia" w:ascii="宋体" w:hAnsi="宋体" w:eastAsia="宋体" w:cs="宋体"/>
                <w:sz w:val="21"/>
              </w:rPr>
              <w:t>应交税费</w:t>
            </w:r>
          </w:p>
        </w:tc>
        <w:tc>
          <w:tcPr>
            <w:tcW w:w="2000" w:type="dxa"/>
            <w:tcMar>
              <w:top w:w="0" w:type="dxa"/>
              <w:left w:w="0" w:type="dxa"/>
              <w:bottom w:w="0" w:type="dxa"/>
              <w:right w:w="0" w:type="dxa"/>
            </w:tcMar>
          </w:tcPr>
          <w:p>
            <w:pPr>
              <w:spacing w:before="100"/>
              <w:ind w:left="7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c>
          <w:tcPr>
            <w:tcW w:w="2140" w:type="dxa"/>
            <w:tcMar>
              <w:top w:w="0" w:type="dxa"/>
              <w:left w:w="0" w:type="dxa"/>
              <w:bottom w:w="0" w:type="dxa"/>
              <w:right w:w="0" w:type="dxa"/>
            </w:tcMar>
          </w:tcPr>
          <w:p>
            <w:pPr>
              <w:spacing w:before="100"/>
              <w:ind w:left="92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2140" w:type="dxa"/>
            <w:tcMar>
              <w:top w:w="0" w:type="dxa"/>
              <w:left w:w="0" w:type="dxa"/>
              <w:bottom w:w="0" w:type="dxa"/>
              <w:right w:w="0" w:type="dxa"/>
            </w:tcMar>
          </w:tcPr>
          <w:p>
            <w:pPr>
              <w:spacing w:before="100"/>
              <w:ind w:left="8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其他应付款</w:t>
            </w:r>
          </w:p>
        </w:tc>
        <w:tc>
          <w:tcPr>
            <w:tcW w:w="2000" w:type="dxa"/>
            <w:tcMar>
              <w:top w:w="0" w:type="dxa"/>
              <w:left w:w="0" w:type="dxa"/>
              <w:bottom w:w="0" w:type="dxa"/>
              <w:right w:w="0" w:type="dxa"/>
            </w:tcMar>
          </w:tcPr>
          <w:p>
            <w:pPr>
              <w:spacing w:before="100"/>
              <w:ind w:left="660"/>
            </w:pP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2140" w:type="dxa"/>
            <w:tcMar>
              <w:top w:w="0" w:type="dxa"/>
              <w:left w:w="0" w:type="dxa"/>
              <w:bottom w:w="0" w:type="dxa"/>
              <w:right w:w="0" w:type="dxa"/>
            </w:tcMar>
          </w:tcPr>
          <w:p>
            <w:pPr>
              <w:spacing w:before="100"/>
              <w:ind w:left="820"/>
            </w:pP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p>
        </w:tc>
        <w:tc>
          <w:tcPr>
            <w:tcW w:w="2140" w:type="dxa"/>
            <w:tcMar>
              <w:top w:w="0" w:type="dxa"/>
              <w:left w:w="0" w:type="dxa"/>
              <w:bottom w:w="0" w:type="dxa"/>
              <w:right w:w="0" w:type="dxa"/>
            </w:tcMar>
          </w:tcPr>
          <w:p>
            <w:pPr>
              <w:spacing w:before="100"/>
              <w:ind w:left="820"/>
            </w:pPr>
            <w:r>
              <w:rPr>
                <w:rFonts w:hint="eastAsia" w:ascii="Times New Roman" w:hAnsi="Times New Roman" w:eastAsia="Times New Roman" w:cs="Times New Roman"/>
                <w:sz w:val="21"/>
              </w:rPr>
              <w:t>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其他流动负债</w:t>
            </w:r>
          </w:p>
        </w:tc>
        <w:tc>
          <w:tcPr>
            <w:tcW w:w="2000" w:type="dxa"/>
            <w:tcMar>
              <w:top w:w="0" w:type="dxa"/>
              <w:left w:w="0" w:type="dxa"/>
              <w:bottom w:w="0" w:type="dxa"/>
              <w:right w:w="0" w:type="dxa"/>
            </w:tcMar>
          </w:tcPr>
          <w:p>
            <w:pPr>
              <w:spacing w:before="120"/>
              <w:ind w:left="7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2140" w:type="dxa"/>
            <w:tcMar>
              <w:top w:w="0" w:type="dxa"/>
              <w:left w:w="0" w:type="dxa"/>
              <w:bottom w:w="0" w:type="dxa"/>
              <w:right w:w="0" w:type="dxa"/>
            </w:tcMar>
          </w:tcPr>
          <w:p>
            <w:pPr>
              <w:spacing w:before="260"/>
              <w:ind w:left="1960"/>
            </w:pPr>
            <w:r>
              <w:rPr>
                <w:rFonts w:hint="eastAsia" w:ascii="Times New Roman" w:hAnsi="Times New Roman" w:eastAsia="Times New Roman" w:cs="Times New Roman"/>
                <w:sz w:val="21"/>
              </w:rPr>
              <w:t>-</w:t>
            </w:r>
          </w:p>
        </w:tc>
        <w:tc>
          <w:tcPr>
            <w:tcW w:w="2140" w:type="dxa"/>
            <w:tcMar>
              <w:top w:w="0" w:type="dxa"/>
              <w:left w:w="0" w:type="dxa"/>
              <w:bottom w:w="0" w:type="dxa"/>
              <w:right w:w="0" w:type="dxa"/>
            </w:tcMar>
          </w:tcPr>
          <w:p>
            <w:pPr>
              <w:spacing w:before="260"/>
              <w:ind w:left="1960"/>
            </w:pPr>
            <w:r>
              <w:rPr>
                <w:rFonts w:hint="eastAsia" w:ascii="Times New Roman Bold" w:hAnsi="Times New Roman Bold" w:eastAsia="Times New Roman Bold" w:cs="Times New Roman Bold"/>
                <w:b/>
                <w:sz w:val="21"/>
              </w:rPr>
              <w:t>-</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b/>
                <w:sz w:val="21"/>
              </w:rPr>
              <w:t>流动负债合计</w:t>
            </w:r>
          </w:p>
        </w:tc>
        <w:tc>
          <w:tcPr>
            <w:tcW w:w="2000" w:type="dxa"/>
            <w:tcMar>
              <w:top w:w="0" w:type="dxa"/>
              <w:left w:w="0" w:type="dxa"/>
              <w:bottom w:w="0" w:type="dxa"/>
              <w:right w:w="0" w:type="dxa"/>
            </w:tcMar>
          </w:tcPr>
          <w:p>
            <w:pPr>
              <w:spacing w:before="140"/>
              <w:ind w:left="560"/>
            </w:pPr>
            <w:r>
              <w:rPr>
                <w:rFonts w:hint="eastAsia" w:ascii="Times New Roman Bold" w:hAnsi="Times New Roman Bold" w:eastAsia="Times New Roman Bold" w:cs="Times New Roman Bold"/>
                <w:b/>
                <w:sz w:val="21"/>
              </w:rPr>
              <w:t>198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431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86</w:t>
            </w:r>
          </w:p>
        </w:tc>
        <w:tc>
          <w:tcPr>
            <w:tcW w:w="2140" w:type="dxa"/>
            <w:tcMar>
              <w:top w:w="0" w:type="dxa"/>
              <w:left w:w="0" w:type="dxa"/>
              <w:bottom w:w="0" w:type="dxa"/>
              <w:right w:w="0" w:type="dxa"/>
            </w:tcMar>
          </w:tcPr>
          <w:p>
            <w:pPr>
              <w:spacing w:before="140"/>
              <w:ind w:left="720"/>
            </w:pPr>
            <w:r>
              <w:rPr>
                <w:rFonts w:hint="eastAsia" w:ascii="Times New Roman Bold" w:hAnsi="Times New Roman Bold" w:eastAsia="Times New Roman Bold" w:cs="Times New Roman Bold"/>
                <w:b/>
                <w:sz w:val="21"/>
              </w:rPr>
              <w:t>163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01</w:t>
            </w:r>
          </w:p>
        </w:tc>
        <w:tc>
          <w:tcPr>
            <w:tcW w:w="2140" w:type="dxa"/>
            <w:tcMar>
              <w:top w:w="0" w:type="dxa"/>
              <w:left w:w="0" w:type="dxa"/>
              <w:bottom w:w="0" w:type="dxa"/>
              <w:right w:w="0" w:type="dxa"/>
            </w:tcMar>
          </w:tcPr>
          <w:p>
            <w:pPr>
              <w:spacing w:before="140"/>
              <w:ind w:left="700"/>
            </w:pPr>
            <w:r>
              <w:rPr>
                <w:rFonts w:hint="eastAsia" w:ascii="Times New Roman Bold" w:hAnsi="Times New Roman Bold" w:eastAsia="Times New Roman Bold" w:cs="Times New Roman Bold"/>
                <w:b/>
                <w:sz w:val="21"/>
              </w:rPr>
              <w:t>133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138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w:t>
            </w:r>
          </w:p>
        </w:tc>
      </w:tr>
      <w:tr>
        <w:trPr>
          <w:trHeight w:val="480" w:hRule="exact"/>
        </w:trPr>
        <w:tc>
          <w:tcPr>
            <w:tcW w:w="2000" w:type="dxa"/>
            <w:tcMar>
              <w:top w:w="0" w:type="dxa"/>
              <w:left w:w="0" w:type="dxa"/>
              <w:bottom w:w="0" w:type="dxa"/>
              <w:right w:w="0" w:type="dxa"/>
            </w:tcMar>
          </w:tcPr>
          <w:p>
            <w:pPr>
              <w:spacing w:before="80"/>
            </w:pPr>
            <w:r>
              <w:rPr>
                <w:rFonts w:hint="eastAsia" w:ascii="宋体" w:hAnsi="宋体" w:eastAsia="宋体" w:cs="宋体"/>
                <w:b/>
                <w:sz w:val="21"/>
              </w:rPr>
              <w:t>负债合计</w:t>
            </w:r>
          </w:p>
        </w:tc>
        <w:tc>
          <w:tcPr>
            <w:tcW w:w="2000" w:type="dxa"/>
            <w:tcMar>
              <w:top w:w="0" w:type="dxa"/>
              <w:left w:w="0" w:type="dxa"/>
              <w:bottom w:w="0" w:type="dxa"/>
              <w:right w:w="0" w:type="dxa"/>
            </w:tcMar>
          </w:tcPr>
          <w:p>
            <w:pPr>
              <w:spacing w:before="140"/>
              <w:ind w:left="560"/>
            </w:pPr>
            <w:r>
              <w:rPr>
                <w:rFonts w:hint="eastAsia" w:ascii="Times New Roman Bold" w:hAnsi="Times New Roman Bold" w:eastAsia="Times New Roman Bold" w:cs="Times New Roman Bold"/>
                <w:b/>
                <w:sz w:val="21"/>
              </w:rPr>
              <w:t>198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431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86</w:t>
            </w:r>
          </w:p>
        </w:tc>
        <w:tc>
          <w:tcPr>
            <w:tcW w:w="2140" w:type="dxa"/>
            <w:tcMar>
              <w:top w:w="0" w:type="dxa"/>
              <w:left w:w="0" w:type="dxa"/>
              <w:bottom w:w="0" w:type="dxa"/>
              <w:right w:w="0" w:type="dxa"/>
            </w:tcMar>
          </w:tcPr>
          <w:p>
            <w:pPr>
              <w:spacing w:before="140"/>
              <w:ind w:left="720"/>
            </w:pPr>
            <w:r>
              <w:rPr>
                <w:rFonts w:hint="eastAsia" w:ascii="Times New Roman Bold" w:hAnsi="Times New Roman Bold" w:eastAsia="Times New Roman Bold" w:cs="Times New Roman Bold"/>
                <w:b/>
                <w:sz w:val="21"/>
              </w:rPr>
              <w:t>163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01</w:t>
            </w:r>
          </w:p>
        </w:tc>
        <w:tc>
          <w:tcPr>
            <w:tcW w:w="2140" w:type="dxa"/>
            <w:tcMar>
              <w:top w:w="0" w:type="dxa"/>
              <w:left w:w="0" w:type="dxa"/>
              <w:bottom w:w="0" w:type="dxa"/>
              <w:right w:w="0" w:type="dxa"/>
            </w:tcMar>
          </w:tcPr>
          <w:p>
            <w:pPr>
              <w:spacing w:before="140"/>
              <w:ind w:left="700"/>
            </w:pPr>
            <w:r>
              <w:rPr>
                <w:rFonts w:hint="eastAsia" w:ascii="Times New Roman Bold" w:hAnsi="Times New Roman Bold" w:eastAsia="Times New Roman Bold" w:cs="Times New Roman Bold"/>
                <w:b/>
                <w:sz w:val="21"/>
              </w:rPr>
              <w:t>133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138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b/>
                <w:sz w:val="21"/>
              </w:rPr>
              <w:t>所有者权益</w:t>
            </w:r>
            <w:r>
              <w:rPr>
                <w:rFonts w:hint="eastAsia" w:ascii="宋体" w:hAnsi="宋体" w:eastAsia="宋体" w:cs="宋体"/>
                <w:b/>
                <w:sz w:val="10"/>
              </w:rPr>
              <w:t>：</w:t>
            </w:r>
          </w:p>
        </w:tc>
        <w:tc>
          <w:tcPr>
            <w:tcW w:w="2000" w:type="dxa"/>
            <w:tcMar>
              <w:top w:w="0" w:type="dxa"/>
              <w:left w:w="0" w:type="dxa"/>
              <w:bottom w:w="0" w:type="dxa"/>
              <w:right w:w="0" w:type="dxa"/>
            </w:tcMar>
          </w:tcPr>
          <w:p/>
        </w:tc>
        <w:tc>
          <w:tcPr>
            <w:tcW w:w="2140" w:type="dxa"/>
            <w:tcMar>
              <w:top w:w="0" w:type="dxa"/>
              <w:left w:w="0" w:type="dxa"/>
              <w:bottom w:w="0" w:type="dxa"/>
              <w:right w:w="0" w:type="dxa"/>
            </w:tcMar>
          </w:tcPr>
          <w:p/>
        </w:tc>
        <w:tc>
          <w:tcPr>
            <w:tcW w:w="2140" w:type="dxa"/>
            <w:tcMar>
              <w:top w:w="0" w:type="dxa"/>
              <w:left w:w="0" w:type="dxa"/>
              <w:bottom w:w="0" w:type="dxa"/>
              <w:right w:w="0" w:type="dxa"/>
            </w:tcMar>
          </w:tcPr>
          <w:p/>
        </w:tc>
      </w:tr>
      <w:tr>
        <w:trPr>
          <w:trHeight w:val="460" w:hRule="exact"/>
        </w:trPr>
        <w:tc>
          <w:tcPr>
            <w:tcW w:w="2000" w:type="dxa"/>
            <w:tcMar>
              <w:top w:w="0" w:type="dxa"/>
              <w:left w:w="0" w:type="dxa"/>
              <w:bottom w:w="0" w:type="dxa"/>
              <w:right w:w="0" w:type="dxa"/>
            </w:tcMar>
          </w:tcPr>
          <w:p>
            <w:pPr>
              <w:spacing w:before="60"/>
            </w:pPr>
            <w:r>
              <w:rPr>
                <w:rFonts w:hint="eastAsia" w:ascii="宋体" w:hAnsi="宋体" w:eastAsia="宋体" w:cs="宋体"/>
                <w:sz w:val="21"/>
              </w:rPr>
              <w:t>实收资本</w:t>
            </w:r>
            <w:r>
              <w:rPr>
                <w:rFonts w:hint="eastAsia" w:ascii="宋体" w:hAnsi="宋体" w:eastAsia="宋体" w:cs="宋体"/>
                <w:sz w:val="20"/>
              </w:rPr>
              <w:t>（</w:t>
            </w:r>
            <w:r>
              <w:rPr>
                <w:rFonts w:hint="eastAsia" w:ascii="宋体" w:hAnsi="宋体" w:eastAsia="宋体" w:cs="宋体"/>
                <w:sz w:val="21"/>
              </w:rPr>
              <w:t>股本</w:t>
            </w:r>
            <w:r>
              <w:rPr>
                <w:rFonts w:hint="eastAsia" w:ascii="宋体" w:hAnsi="宋体" w:eastAsia="宋体" w:cs="宋体"/>
                <w:sz w:val="20"/>
              </w:rPr>
              <w:t>）</w:t>
            </w:r>
          </w:p>
        </w:tc>
        <w:tc>
          <w:tcPr>
            <w:tcW w:w="2000" w:type="dxa"/>
            <w:tcMar>
              <w:top w:w="0" w:type="dxa"/>
              <w:left w:w="0" w:type="dxa"/>
              <w:bottom w:w="0" w:type="dxa"/>
              <w:right w:w="0" w:type="dxa"/>
            </w:tcMar>
          </w:tcPr>
          <w:p>
            <w:pPr>
              <w:spacing w:before="120"/>
              <w:ind w:left="66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120"/>
              <w:ind w:left="82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120"/>
              <w:ind w:left="8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2000" w:type="dxa"/>
            <w:tcMar>
              <w:top w:w="0" w:type="dxa"/>
              <w:left w:w="0" w:type="dxa"/>
              <w:bottom w:w="0" w:type="dxa"/>
              <w:right w:w="0" w:type="dxa"/>
            </w:tcMar>
          </w:tcPr>
          <w:p>
            <w:pPr>
              <w:spacing w:before="60"/>
            </w:pPr>
            <w:r>
              <w:rPr>
                <w:rFonts w:hint="eastAsia" w:ascii="宋体" w:hAnsi="宋体" w:eastAsia="宋体" w:cs="宋体"/>
                <w:sz w:val="21"/>
              </w:rPr>
              <w:t>资本公积</w:t>
            </w:r>
          </w:p>
        </w:tc>
        <w:tc>
          <w:tcPr>
            <w:tcW w:w="2000" w:type="dxa"/>
            <w:tcMar>
              <w:top w:w="0" w:type="dxa"/>
              <w:left w:w="0" w:type="dxa"/>
              <w:bottom w:w="0" w:type="dxa"/>
              <w:right w:w="0" w:type="dxa"/>
            </w:tcMar>
          </w:tcPr>
          <w:p>
            <w:pPr>
              <w:spacing w:before="100"/>
              <w:ind w:left="660"/>
            </w:pPr>
            <w:r>
              <w:rPr>
                <w:rFonts w:hint="eastAsia" w:ascii="Times New Roman" w:hAnsi="Times New Roman" w:eastAsia="Times New Roman" w:cs="Times New Roman"/>
                <w:sz w:val="21"/>
              </w:rPr>
              <w:t>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2140" w:type="dxa"/>
            <w:tcMar>
              <w:top w:w="0" w:type="dxa"/>
              <w:left w:w="0" w:type="dxa"/>
              <w:bottom w:w="0" w:type="dxa"/>
              <w:right w:w="0" w:type="dxa"/>
            </w:tcMar>
          </w:tcPr>
          <w:p>
            <w:pPr>
              <w:spacing w:before="100"/>
              <w:ind w:left="820"/>
            </w:pPr>
            <w:r>
              <w:rPr>
                <w:rFonts w:hint="eastAsia" w:ascii="Times New Roman" w:hAnsi="Times New Roman" w:eastAsia="Times New Roman" w:cs="Times New Roman"/>
                <w:sz w:val="21"/>
              </w:rPr>
              <w:t>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2140" w:type="dxa"/>
            <w:tcMar>
              <w:top w:w="0" w:type="dxa"/>
              <w:left w:w="0" w:type="dxa"/>
              <w:bottom w:w="0" w:type="dxa"/>
              <w:right w:w="0" w:type="dxa"/>
            </w:tcMar>
          </w:tcPr>
          <w:p>
            <w:pPr>
              <w:spacing w:before="100"/>
              <w:ind w:left="1080"/>
            </w:pPr>
            <w:r>
              <w:rPr>
                <w:rFonts w:hint="eastAsia" w:ascii="Times New Roman" w:hAnsi="Times New Roman" w:eastAsia="Times New Roman" w:cs="Times New Roman"/>
                <w:sz w:val="21"/>
              </w:rPr>
              <w:t>819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盈余公积</w:t>
            </w:r>
          </w:p>
        </w:tc>
        <w:tc>
          <w:tcPr>
            <w:tcW w:w="2000" w:type="dxa"/>
            <w:tcMar>
              <w:top w:w="0" w:type="dxa"/>
              <w:left w:w="0" w:type="dxa"/>
              <w:bottom w:w="0" w:type="dxa"/>
              <w:right w:w="0" w:type="dxa"/>
            </w:tcMar>
          </w:tcPr>
          <w:p>
            <w:pPr>
              <w:spacing w:before="100"/>
              <w:ind w:left="66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2140" w:type="dxa"/>
            <w:tcMar>
              <w:top w:w="0" w:type="dxa"/>
              <w:left w:w="0" w:type="dxa"/>
              <w:bottom w:w="0" w:type="dxa"/>
              <w:right w:w="0" w:type="dxa"/>
            </w:tcMar>
          </w:tcPr>
          <w:p>
            <w:pPr>
              <w:spacing w:before="100"/>
              <w:ind w:left="82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140" w:type="dxa"/>
            <w:tcMar>
              <w:top w:w="0" w:type="dxa"/>
              <w:left w:w="0" w:type="dxa"/>
              <w:bottom w:w="0" w:type="dxa"/>
              <w:right w:w="0" w:type="dxa"/>
            </w:tcMar>
          </w:tcPr>
          <w:p>
            <w:pPr>
              <w:spacing w:before="100"/>
              <w:ind w:left="8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未分配利润</w:t>
            </w:r>
          </w:p>
        </w:tc>
        <w:tc>
          <w:tcPr>
            <w:tcW w:w="2000" w:type="dxa"/>
            <w:tcMar>
              <w:top w:w="0" w:type="dxa"/>
              <w:left w:w="0" w:type="dxa"/>
              <w:bottom w:w="0" w:type="dxa"/>
              <w:right w:w="0" w:type="dxa"/>
            </w:tcMar>
          </w:tcPr>
          <w:p>
            <w:pPr>
              <w:spacing w:before="140"/>
              <w:ind w:left="560"/>
            </w:pPr>
            <w:r>
              <w:rPr>
                <w:rFonts w:hint="eastAsia" w:ascii="Times New Roman" w:hAnsi="Times New Roman" w:eastAsia="Times New Roman" w:cs="Times New Roman"/>
                <w:sz w:val="21"/>
              </w:rPr>
              <w:t>207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214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152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140"/>
              <w:ind w:left="820"/>
            </w:pP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b/>
                <w:sz w:val="21"/>
              </w:rPr>
              <w:t>所有者权益总计</w:t>
            </w:r>
          </w:p>
        </w:tc>
        <w:tc>
          <w:tcPr>
            <w:tcW w:w="2000" w:type="dxa"/>
            <w:tcMar>
              <w:top w:w="0" w:type="dxa"/>
              <w:left w:w="0" w:type="dxa"/>
              <w:bottom w:w="0" w:type="dxa"/>
              <w:right w:w="0" w:type="dxa"/>
            </w:tcMar>
          </w:tcPr>
          <w:p>
            <w:pPr>
              <w:spacing w:before="140"/>
              <w:ind w:left="560"/>
            </w:pPr>
            <w:r>
              <w:rPr>
                <w:rFonts w:hint="eastAsia" w:ascii="Times New Roman Bold" w:hAnsi="Times New Roman Bold" w:eastAsia="Times New Roman Bold" w:cs="Times New Roman Bold"/>
                <w:b/>
                <w:sz w:val="21"/>
              </w:rPr>
              <w:t>387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w:t>
            </w:r>
          </w:p>
        </w:tc>
        <w:tc>
          <w:tcPr>
            <w:tcW w:w="2140" w:type="dxa"/>
            <w:tcMar>
              <w:top w:w="0" w:type="dxa"/>
              <w:left w:w="0" w:type="dxa"/>
              <w:bottom w:w="0" w:type="dxa"/>
              <w:right w:w="0" w:type="dxa"/>
            </w:tcMar>
          </w:tcPr>
          <w:p>
            <w:pPr>
              <w:spacing w:before="140"/>
              <w:ind w:left="720"/>
            </w:pPr>
            <w:r>
              <w:rPr>
                <w:rFonts w:hint="eastAsia" w:ascii="Times New Roman Bold" w:hAnsi="Times New Roman Bold" w:eastAsia="Times New Roman Bold" w:cs="Times New Roman Bold"/>
                <w:b/>
                <w:sz w:val="21"/>
              </w:rPr>
              <w:t>325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880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47</w:t>
            </w:r>
          </w:p>
        </w:tc>
        <w:tc>
          <w:tcPr>
            <w:tcW w:w="2140" w:type="dxa"/>
            <w:tcMar>
              <w:top w:w="0" w:type="dxa"/>
              <w:left w:w="0" w:type="dxa"/>
              <w:bottom w:w="0" w:type="dxa"/>
              <w:right w:w="0" w:type="dxa"/>
            </w:tcMar>
          </w:tcPr>
          <w:p>
            <w:pPr>
              <w:spacing w:before="140"/>
              <w:ind w:left="720"/>
            </w:pPr>
            <w:r>
              <w:rPr>
                <w:rFonts w:hint="eastAsia" w:ascii="Times New Roman Bold" w:hAnsi="Times New Roman Bold" w:eastAsia="Times New Roman Bold" w:cs="Times New Roman Bold"/>
                <w:b/>
                <w:sz w:val="21"/>
              </w:rPr>
              <w:t>126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552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055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11</w:t>
            </w:r>
          </w:p>
        </w:tc>
      </w:tr>
      <w:tr>
        <w:trPr>
          <w:trHeight w:val="660" w:hRule="exact"/>
        </w:trPr>
        <w:tc>
          <w:tcPr>
            <w:tcW w:w="2000" w:type="dxa"/>
            <w:tcMar>
              <w:top w:w="0" w:type="dxa"/>
              <w:left w:w="0" w:type="dxa"/>
              <w:bottom w:w="0" w:type="dxa"/>
              <w:right w:w="0" w:type="dxa"/>
            </w:tcMar>
          </w:tcPr>
          <w:p>
            <w:pPr>
              <w:spacing w:before="40"/>
            </w:pPr>
            <w:r>
              <w:rPr>
                <w:rFonts w:hint="eastAsia" w:ascii="宋体" w:hAnsi="宋体" w:eastAsia="宋体" w:cs="宋体"/>
                <w:b/>
                <w:sz w:val="21"/>
              </w:rPr>
              <w:t>负债及所有者权益</w:t>
            </w:r>
          </w:p>
          <w:p>
            <w:pPr>
              <w:spacing w:before="100"/>
            </w:pPr>
            <w:r>
              <w:rPr>
                <w:rFonts w:hint="eastAsia" w:ascii="宋体" w:hAnsi="宋体" w:eastAsia="宋体" w:cs="宋体"/>
                <w:b/>
                <w:sz w:val="21"/>
              </w:rPr>
              <w:t>总计</w:t>
            </w:r>
          </w:p>
        </w:tc>
        <w:tc>
          <w:tcPr>
            <w:tcW w:w="2000" w:type="dxa"/>
            <w:tcMar>
              <w:top w:w="0" w:type="dxa"/>
              <w:left w:w="0" w:type="dxa"/>
              <w:bottom w:w="0" w:type="dxa"/>
              <w:right w:w="0" w:type="dxa"/>
            </w:tcMar>
          </w:tcPr>
          <w:p>
            <w:pPr>
              <w:spacing w:before="260"/>
              <w:ind w:left="560"/>
            </w:pPr>
            <w:r>
              <w:rPr>
                <w:rFonts w:hint="eastAsia" w:ascii="Times New Roman Bold" w:hAnsi="Times New Roman Bold" w:eastAsia="Times New Roman Bold" w:cs="Times New Roman Bold"/>
                <w:b/>
                <w:sz w:val="21"/>
              </w:rPr>
              <w:t>585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c>
          <w:tcPr>
            <w:tcW w:w="2140" w:type="dxa"/>
            <w:tcMar>
              <w:top w:w="0" w:type="dxa"/>
              <w:left w:w="0" w:type="dxa"/>
              <w:bottom w:w="0" w:type="dxa"/>
              <w:right w:w="0" w:type="dxa"/>
            </w:tcMar>
          </w:tcPr>
          <w:p>
            <w:pPr>
              <w:spacing w:before="260"/>
              <w:ind w:left="720"/>
            </w:pPr>
            <w:r>
              <w:rPr>
                <w:rFonts w:hint="eastAsia" w:ascii="Times New Roman Bold" w:hAnsi="Times New Roman Bold" w:eastAsia="Times New Roman Bold" w:cs="Times New Roman Bold"/>
                <w:b/>
                <w:sz w:val="21"/>
              </w:rPr>
              <w:t>489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w:t>
            </w:r>
          </w:p>
        </w:tc>
        <w:tc>
          <w:tcPr>
            <w:tcW w:w="2140" w:type="dxa"/>
            <w:tcMar>
              <w:top w:w="0" w:type="dxa"/>
              <w:left w:w="0" w:type="dxa"/>
              <w:bottom w:w="0" w:type="dxa"/>
              <w:right w:w="0" w:type="dxa"/>
            </w:tcMar>
          </w:tcPr>
          <w:p>
            <w:pPr>
              <w:spacing w:before="260"/>
              <w:ind w:left="700"/>
            </w:pPr>
            <w:r>
              <w:rPr>
                <w:rFonts w:hint="eastAsia" w:ascii="Times New Roman Bold" w:hAnsi="Times New Roman Bold" w:eastAsia="Times New Roman Bold" w:cs="Times New Roman Bold"/>
                <w:b/>
                <w:sz w:val="21"/>
              </w:rPr>
              <w:t>260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30</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1-1-218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800"/>
        <w:jc w:val="both"/>
      </w:pPr>
      <w:r>
        <w:rPr>
          <w:rFonts w:hint="eastAsia" w:ascii="宋体" w:hAnsi="宋体" w:eastAsia="宋体" w:cs="宋体"/>
          <w:b/>
          <w:sz w:val="20"/>
        </w:rPr>
        <w:t>（</w:t>
      </w:r>
      <w:r>
        <w:rPr>
          <w:rFonts w:hint="eastAsia" w:ascii="宋体" w:hAnsi="宋体" w:eastAsia="宋体" w:cs="宋体"/>
          <w:b/>
          <w:sz w:val="24"/>
        </w:rPr>
        <w:t>五）母公司利润表</w:t>
      </w:r>
    </w:p>
    <w:p>
      <w:pPr>
        <w:spacing w:line="200" w:lineRule="exact"/>
        <w:rPr>
          <w:rFonts w:hint="eastAsia" w:ascii="宋体" w:hAnsi="宋体" w:eastAsia="宋体" w:cs="宋体"/>
          <w:sz w:val="20"/>
        </w:rPr>
      </w:pPr>
    </w:p>
    <w:p>
      <w:pPr>
        <w:autoSpaceDE w:val="false"/>
        <w:autoSpaceDN w:val="false"/>
        <w:spacing w:line="320" w:lineRule="exact"/>
        <w:ind w:left="93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8380" w:type="auto"/>
        <w:tblInd w:w="17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000"/>
        <w:gridCol w:w="2160"/>
        <w:gridCol w:w="2140"/>
        <w:gridCol w:w="2060"/>
      </w:tblGrid>
      <w:tr>
        <w:trPr>
          <w:trHeight w:val="460" w:hRule="exact"/>
        </w:trPr>
        <w:tc>
          <w:tcPr>
            <w:tcW w:w="2000" w:type="dxa"/>
            <w:tcMar>
              <w:top w:w="0" w:type="dxa"/>
              <w:left w:w="0" w:type="dxa"/>
              <w:bottom w:w="0" w:type="dxa"/>
              <w:right w:w="0" w:type="dxa"/>
            </w:tcMar>
          </w:tcPr>
          <w:p>
            <w:pPr>
              <w:spacing w:before="80"/>
              <w:ind w:left="720"/>
            </w:pPr>
            <w:r>
              <w:rPr>
                <w:rFonts w:hint="eastAsia" w:ascii="宋体" w:hAnsi="宋体" w:eastAsia="宋体" w:cs="宋体"/>
                <w:b/>
                <w:sz w:val="21"/>
              </w:rPr>
              <w:t>科目</w:t>
            </w:r>
          </w:p>
        </w:tc>
        <w:tc>
          <w:tcPr>
            <w:tcW w:w="2160" w:type="dxa"/>
            <w:tcMar>
              <w:top w:w="0" w:type="dxa"/>
              <w:left w:w="0" w:type="dxa"/>
              <w:bottom w:w="0" w:type="dxa"/>
              <w:right w:w="0" w:type="dxa"/>
            </w:tcMar>
          </w:tcPr>
          <w:p>
            <w:pPr>
              <w:spacing w:before="80"/>
              <w:ind w:left="56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140" w:type="dxa"/>
            <w:tcMar>
              <w:top w:w="0" w:type="dxa"/>
              <w:left w:w="0" w:type="dxa"/>
              <w:bottom w:w="0" w:type="dxa"/>
              <w:right w:w="0" w:type="dxa"/>
            </w:tcMar>
          </w:tcPr>
          <w:p>
            <w:pPr>
              <w:spacing w:before="80"/>
              <w:ind w:left="5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060" w:type="dxa"/>
            <w:tcMar>
              <w:top w:w="0" w:type="dxa"/>
              <w:left w:w="0" w:type="dxa"/>
              <w:bottom w:w="0" w:type="dxa"/>
              <w:right w:w="0" w:type="dxa"/>
            </w:tcMar>
          </w:tcPr>
          <w:p>
            <w:pPr>
              <w:spacing w:before="80"/>
              <w:ind w:left="52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b/>
                <w:sz w:val="20"/>
              </w:rPr>
              <w:t>一、</w:t>
            </w:r>
            <w:r>
              <w:rPr>
                <w:rFonts w:hint="eastAsia" w:ascii="宋体" w:hAnsi="宋体" w:eastAsia="宋体" w:cs="宋体"/>
                <w:b/>
                <w:sz w:val="21"/>
              </w:rPr>
              <w:t>营业收入</w:t>
            </w:r>
          </w:p>
        </w:tc>
        <w:tc>
          <w:tcPr>
            <w:tcW w:w="2160" w:type="dxa"/>
            <w:tcMar>
              <w:top w:w="0" w:type="dxa"/>
              <w:left w:w="0" w:type="dxa"/>
              <w:bottom w:w="0" w:type="dxa"/>
              <w:right w:w="0" w:type="dxa"/>
            </w:tcMar>
          </w:tcPr>
          <w:p>
            <w:pPr>
              <w:spacing w:before="140"/>
              <w:ind w:left="720"/>
            </w:pPr>
            <w:r>
              <w:rPr>
                <w:rFonts w:hint="eastAsia" w:ascii="Times New Roman Bold" w:hAnsi="Times New Roman Bold" w:eastAsia="Times New Roman Bold" w:cs="Times New Roman Bold"/>
                <w:b/>
                <w:sz w:val="21"/>
              </w:rPr>
              <w:t>155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579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47</w:t>
            </w:r>
          </w:p>
        </w:tc>
        <w:tc>
          <w:tcPr>
            <w:tcW w:w="2140" w:type="dxa"/>
            <w:tcMar>
              <w:top w:w="0" w:type="dxa"/>
              <w:left w:w="0" w:type="dxa"/>
              <w:bottom w:w="0" w:type="dxa"/>
              <w:right w:w="0" w:type="dxa"/>
            </w:tcMar>
          </w:tcPr>
          <w:p>
            <w:pPr>
              <w:spacing w:before="140"/>
              <w:ind w:left="720"/>
            </w:pPr>
            <w:r>
              <w:rPr>
                <w:rFonts w:hint="eastAsia" w:ascii="Times New Roman Bold" w:hAnsi="Times New Roman Bold" w:eastAsia="Times New Roman Bold" w:cs="Times New Roman Bold"/>
                <w:b/>
                <w:sz w:val="21"/>
              </w:rPr>
              <w:t>149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02</w:t>
            </w:r>
          </w:p>
        </w:tc>
        <w:tc>
          <w:tcPr>
            <w:tcW w:w="2060" w:type="dxa"/>
            <w:tcMar>
              <w:top w:w="0" w:type="dxa"/>
              <w:left w:w="0" w:type="dxa"/>
              <w:bottom w:w="0" w:type="dxa"/>
              <w:right w:w="0" w:type="dxa"/>
            </w:tcMar>
          </w:tcPr>
          <w:p>
            <w:pPr>
              <w:spacing w:before="140"/>
              <w:ind w:left="640"/>
            </w:pPr>
            <w:r>
              <w:rPr>
                <w:rFonts w:hint="eastAsia" w:ascii="Times New Roman Bold" w:hAnsi="Times New Roman Bold" w:eastAsia="Times New Roman Bold" w:cs="Times New Roman Bold"/>
                <w:b/>
                <w:sz w:val="21"/>
              </w:rPr>
              <w:t>114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55</w:t>
            </w:r>
          </w:p>
        </w:tc>
      </w:tr>
      <w:tr>
        <w:trPr>
          <w:trHeight w:val="480" w:hRule="exact"/>
        </w:trPr>
        <w:tc>
          <w:tcPr>
            <w:tcW w:w="2000" w:type="dxa"/>
            <w:tcMar>
              <w:top w:w="0" w:type="dxa"/>
              <w:left w:w="0" w:type="dxa"/>
              <w:bottom w:w="0" w:type="dxa"/>
              <w:right w:w="0" w:type="dxa"/>
            </w:tcMar>
          </w:tcPr>
          <w:p>
            <w:pPr>
              <w:spacing w:before="10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营业成本</w:t>
            </w:r>
          </w:p>
        </w:tc>
        <w:tc>
          <w:tcPr>
            <w:tcW w:w="2160" w:type="dxa"/>
            <w:tcMar>
              <w:top w:w="0" w:type="dxa"/>
              <w:left w:w="0" w:type="dxa"/>
              <w:bottom w:w="0" w:type="dxa"/>
              <w:right w:w="0" w:type="dxa"/>
            </w:tcMar>
          </w:tcPr>
          <w:p>
            <w:pPr>
              <w:spacing w:before="140"/>
              <w:ind w:left="840"/>
            </w:pP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140" w:type="dxa"/>
            <w:tcMar>
              <w:top w:w="0" w:type="dxa"/>
              <w:left w:w="0" w:type="dxa"/>
              <w:bottom w:w="0" w:type="dxa"/>
              <w:right w:w="0" w:type="dxa"/>
            </w:tcMar>
          </w:tcPr>
          <w:p>
            <w:pPr>
              <w:spacing w:before="140"/>
              <w:ind w:left="82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c>
          <w:tcPr>
            <w:tcW w:w="206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税金及附加</w:t>
            </w:r>
          </w:p>
        </w:tc>
        <w:tc>
          <w:tcPr>
            <w:tcW w:w="2160" w:type="dxa"/>
            <w:tcMar>
              <w:top w:w="0" w:type="dxa"/>
              <w:left w:w="0" w:type="dxa"/>
              <w:bottom w:w="0" w:type="dxa"/>
              <w:right w:w="0" w:type="dxa"/>
            </w:tcMar>
          </w:tcPr>
          <w:p>
            <w:pPr>
              <w:spacing w:before="120"/>
              <w:ind w:left="9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140" w:type="dxa"/>
            <w:tcMar>
              <w:top w:w="0" w:type="dxa"/>
              <w:left w:w="0" w:type="dxa"/>
              <w:bottom w:w="0" w:type="dxa"/>
              <w:right w:w="0" w:type="dxa"/>
            </w:tcMar>
          </w:tcPr>
          <w:p>
            <w:pPr>
              <w:spacing w:before="120"/>
              <w:ind w:left="9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060" w:type="dxa"/>
            <w:tcMar>
              <w:top w:w="0" w:type="dxa"/>
              <w:left w:w="0" w:type="dxa"/>
              <w:bottom w:w="0" w:type="dxa"/>
              <w:right w:w="0" w:type="dxa"/>
            </w:tcMar>
          </w:tcPr>
          <w:p>
            <w:pPr>
              <w:spacing w:before="120"/>
              <w:ind w:left="8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r>
      <w:tr>
        <w:trPr>
          <w:trHeight w:val="460" w:hRule="exact"/>
        </w:trPr>
        <w:tc>
          <w:tcPr>
            <w:tcW w:w="2000" w:type="dxa"/>
            <w:tcMar>
              <w:top w:w="0" w:type="dxa"/>
              <w:left w:w="0" w:type="dxa"/>
              <w:bottom w:w="0" w:type="dxa"/>
              <w:right w:w="0" w:type="dxa"/>
            </w:tcMar>
          </w:tcPr>
          <w:p>
            <w:pPr>
              <w:spacing w:before="60"/>
            </w:pPr>
            <w:r>
              <w:rPr>
                <w:rFonts w:hint="eastAsia" w:ascii="宋体" w:hAnsi="宋体" w:eastAsia="宋体" w:cs="宋体"/>
                <w:sz w:val="21"/>
              </w:rPr>
              <w:t>销售费用</w:t>
            </w:r>
          </w:p>
        </w:tc>
        <w:tc>
          <w:tcPr>
            <w:tcW w:w="2160" w:type="dxa"/>
            <w:tcMar>
              <w:top w:w="0" w:type="dxa"/>
              <w:left w:w="0" w:type="dxa"/>
              <w:bottom w:w="0" w:type="dxa"/>
              <w:right w:w="0" w:type="dxa"/>
            </w:tcMar>
          </w:tcPr>
          <w:p>
            <w:pPr>
              <w:spacing w:before="100"/>
              <w:ind w:left="8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w:t>
            </w:r>
          </w:p>
        </w:tc>
        <w:tc>
          <w:tcPr>
            <w:tcW w:w="2140" w:type="dxa"/>
            <w:tcMar>
              <w:top w:w="0" w:type="dxa"/>
              <w:left w:w="0" w:type="dxa"/>
              <w:bottom w:w="0" w:type="dxa"/>
              <w:right w:w="0" w:type="dxa"/>
            </w:tcMar>
          </w:tcPr>
          <w:p>
            <w:pPr>
              <w:spacing w:before="100"/>
              <w:ind w:left="8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060" w:type="dxa"/>
            <w:tcMar>
              <w:top w:w="0" w:type="dxa"/>
              <w:left w:w="0" w:type="dxa"/>
              <w:bottom w:w="0" w:type="dxa"/>
              <w:right w:w="0" w:type="dxa"/>
            </w:tcMar>
          </w:tcPr>
          <w:p>
            <w:pPr>
              <w:spacing w:before="100"/>
              <w:ind w:left="74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管理费用</w:t>
            </w:r>
          </w:p>
        </w:tc>
        <w:tc>
          <w:tcPr>
            <w:tcW w:w="2160" w:type="dxa"/>
            <w:tcMar>
              <w:top w:w="0" w:type="dxa"/>
              <w:left w:w="0" w:type="dxa"/>
              <w:bottom w:w="0" w:type="dxa"/>
              <w:right w:w="0" w:type="dxa"/>
            </w:tcMar>
          </w:tcPr>
          <w:p>
            <w:pPr>
              <w:spacing w:before="100"/>
              <w:ind w:left="8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c>
          <w:tcPr>
            <w:tcW w:w="2140" w:type="dxa"/>
            <w:tcMar>
              <w:top w:w="0" w:type="dxa"/>
              <w:left w:w="0" w:type="dxa"/>
              <w:bottom w:w="0" w:type="dxa"/>
              <w:right w:w="0" w:type="dxa"/>
            </w:tcMar>
          </w:tcPr>
          <w:p>
            <w:pPr>
              <w:spacing w:before="100"/>
              <w:ind w:left="820"/>
            </w:pP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2060" w:type="dxa"/>
            <w:tcMar>
              <w:top w:w="0" w:type="dxa"/>
              <w:left w:w="0" w:type="dxa"/>
              <w:bottom w:w="0" w:type="dxa"/>
              <w:right w:w="0" w:type="dxa"/>
            </w:tcMar>
          </w:tcPr>
          <w:p>
            <w:pPr>
              <w:spacing w:before="100"/>
              <w:ind w:left="74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财务费用</w:t>
            </w:r>
          </w:p>
        </w:tc>
        <w:tc>
          <w:tcPr>
            <w:tcW w:w="2160" w:type="dxa"/>
            <w:tcMar>
              <w:top w:w="0" w:type="dxa"/>
              <w:left w:w="0" w:type="dxa"/>
              <w:bottom w:w="0" w:type="dxa"/>
              <w:right w:w="0" w:type="dxa"/>
            </w:tcMar>
          </w:tcPr>
          <w:p>
            <w:pPr>
              <w:spacing w:before="140"/>
              <w:ind w:left="8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2140" w:type="dxa"/>
            <w:tcMar>
              <w:top w:w="0" w:type="dxa"/>
              <w:left w:w="0" w:type="dxa"/>
              <w:bottom w:w="0" w:type="dxa"/>
              <w:right w:w="0" w:type="dxa"/>
            </w:tcMar>
          </w:tcPr>
          <w:p>
            <w:pPr>
              <w:spacing w:before="140"/>
              <w:ind w:left="8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c>
          <w:tcPr>
            <w:tcW w:w="2060" w:type="dxa"/>
            <w:tcMar>
              <w:top w:w="0" w:type="dxa"/>
              <w:left w:w="0" w:type="dxa"/>
              <w:bottom w:w="0" w:type="dxa"/>
              <w:right w:w="0" w:type="dxa"/>
            </w:tcMar>
          </w:tcPr>
          <w:p>
            <w:pPr>
              <w:spacing w:before="140"/>
              <w:ind w:left="7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资产减值损失</w:t>
            </w:r>
          </w:p>
        </w:tc>
        <w:tc>
          <w:tcPr>
            <w:tcW w:w="2160" w:type="dxa"/>
            <w:tcMar>
              <w:top w:w="0" w:type="dxa"/>
              <w:left w:w="0" w:type="dxa"/>
              <w:bottom w:w="0" w:type="dxa"/>
              <w:right w:w="0" w:type="dxa"/>
            </w:tcMar>
          </w:tcPr>
          <w:p>
            <w:pPr>
              <w:spacing w:before="140"/>
              <w:ind w:left="1100"/>
            </w:pPr>
            <w:r>
              <w:rPr>
                <w:rFonts w:hint="eastAsia" w:ascii="Times New Roman" w:hAnsi="Times New Roman" w:eastAsia="Times New Roman" w:cs="Times New Roman"/>
                <w:sz w:val="21"/>
              </w:rPr>
              <w:t>225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2140" w:type="dxa"/>
            <w:tcMar>
              <w:top w:w="0" w:type="dxa"/>
              <w:left w:w="0" w:type="dxa"/>
              <w:bottom w:w="0" w:type="dxa"/>
              <w:right w:w="0" w:type="dxa"/>
            </w:tcMar>
          </w:tcPr>
          <w:p>
            <w:pPr>
              <w:spacing w:before="140"/>
              <w:ind w:left="1080"/>
            </w:pPr>
            <w:r>
              <w:rPr>
                <w:rFonts w:hint="eastAsia" w:ascii="Times New Roman" w:hAnsi="Times New Roman" w:eastAsia="Times New Roman" w:cs="Times New Roman"/>
                <w:sz w:val="21"/>
              </w:rPr>
              <w:t>587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p>
        </w:tc>
        <w:tc>
          <w:tcPr>
            <w:tcW w:w="2060" w:type="dxa"/>
            <w:tcMar>
              <w:top w:w="0" w:type="dxa"/>
              <w:left w:w="0" w:type="dxa"/>
              <w:bottom w:w="0" w:type="dxa"/>
              <w:right w:w="0" w:type="dxa"/>
            </w:tcMar>
          </w:tcPr>
          <w:p>
            <w:pPr>
              <w:spacing w:before="140"/>
              <w:ind w:left="1100"/>
            </w:pP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r>
      <w:tr>
        <w:trPr>
          <w:trHeight w:val="48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加</w:t>
            </w:r>
            <w:r>
              <w:rPr>
                <w:rFonts w:hint="eastAsia" w:ascii="宋体" w:hAnsi="宋体" w:eastAsia="宋体" w:cs="宋体"/>
                <w:sz w:val="10"/>
              </w:rPr>
              <w:t>：</w:t>
            </w:r>
            <w:r>
              <w:rPr>
                <w:rFonts w:hint="eastAsia" w:ascii="宋体" w:hAnsi="宋体" w:eastAsia="宋体" w:cs="宋体"/>
                <w:sz w:val="21"/>
              </w:rPr>
              <w:t>投资收益</w:t>
            </w:r>
          </w:p>
        </w:tc>
        <w:tc>
          <w:tcPr>
            <w:tcW w:w="2160" w:type="dxa"/>
            <w:tcMar>
              <w:top w:w="0" w:type="dxa"/>
              <w:left w:w="0" w:type="dxa"/>
              <w:bottom w:w="0" w:type="dxa"/>
              <w:right w:w="0" w:type="dxa"/>
            </w:tcMar>
          </w:tcPr>
          <w:p>
            <w:pPr>
              <w:spacing w:before="260"/>
              <w:ind w:left="1980"/>
            </w:pPr>
            <w:r>
              <w:rPr>
                <w:rFonts w:hint="eastAsia" w:ascii="Times New Roman" w:hAnsi="Times New Roman" w:eastAsia="Times New Roman" w:cs="Times New Roman"/>
                <w:sz w:val="21"/>
              </w:rPr>
              <w:t>-</w:t>
            </w:r>
          </w:p>
        </w:tc>
        <w:tc>
          <w:tcPr>
            <w:tcW w:w="2140" w:type="dxa"/>
            <w:tcMar>
              <w:top w:w="0" w:type="dxa"/>
              <w:left w:w="0" w:type="dxa"/>
              <w:bottom w:w="0" w:type="dxa"/>
              <w:right w:w="0" w:type="dxa"/>
            </w:tcMar>
          </w:tcPr>
          <w:p>
            <w:pPr>
              <w:spacing w:before="140"/>
              <w:ind w:left="1080"/>
            </w:pPr>
            <w:r>
              <w:rPr>
                <w:rFonts w:hint="eastAsia" w:ascii="Times New Roman" w:hAnsi="Times New Roman" w:eastAsia="Times New Roman" w:cs="Times New Roman"/>
                <w:sz w:val="21"/>
              </w:rPr>
              <w:t>301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060" w:type="dxa"/>
            <w:tcMar>
              <w:top w:w="0" w:type="dxa"/>
              <w:left w:w="0" w:type="dxa"/>
              <w:bottom w:w="0" w:type="dxa"/>
              <w:right w:w="0" w:type="dxa"/>
            </w:tcMar>
          </w:tcPr>
          <w:p>
            <w:pPr>
              <w:spacing w:before="260"/>
              <w:ind w:left="1880"/>
            </w:pPr>
            <w:r>
              <w:rPr>
                <w:rFonts w:hint="eastAsia" w:ascii="Times New Roman" w:hAnsi="Times New Roman" w:eastAsia="Times New Roman" w:cs="Times New Roman"/>
                <w:sz w:val="21"/>
              </w:rPr>
              <w:t>-</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b/>
                <w:sz w:val="20"/>
              </w:rPr>
              <w:t>二、</w:t>
            </w:r>
            <w:r>
              <w:rPr>
                <w:rFonts w:hint="eastAsia" w:ascii="宋体" w:hAnsi="宋体" w:eastAsia="宋体" w:cs="宋体"/>
                <w:b/>
                <w:sz w:val="21"/>
              </w:rPr>
              <w:t>营业利润</w:t>
            </w:r>
          </w:p>
        </w:tc>
        <w:tc>
          <w:tcPr>
            <w:tcW w:w="2160" w:type="dxa"/>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110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28</w:t>
            </w:r>
          </w:p>
        </w:tc>
        <w:tc>
          <w:tcPr>
            <w:tcW w:w="2140" w:type="dxa"/>
            <w:tcMar>
              <w:top w:w="0" w:type="dxa"/>
              <w:left w:w="0" w:type="dxa"/>
              <w:bottom w:w="0" w:type="dxa"/>
              <w:right w:w="0" w:type="dxa"/>
            </w:tcMar>
          </w:tcPr>
          <w:p>
            <w:pPr>
              <w:spacing w:before="120"/>
              <w:ind w:left="820"/>
            </w:pPr>
            <w:r>
              <w:rPr>
                <w:rFonts w:hint="eastAsia" w:ascii="Times New Roman Bold" w:hAnsi="Times New Roman Bold" w:eastAsia="Times New Roman Bold" w:cs="Times New Roman Bold"/>
                <w:b/>
                <w:sz w:val="21"/>
              </w:rPr>
              <w:t>58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654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66</w:t>
            </w:r>
          </w:p>
        </w:tc>
        <w:tc>
          <w:tcPr>
            <w:tcW w:w="2060" w:type="dxa"/>
            <w:tcMar>
              <w:top w:w="0" w:type="dxa"/>
              <w:left w:w="0" w:type="dxa"/>
              <w:bottom w:w="0" w:type="dxa"/>
              <w:right w:w="0" w:type="dxa"/>
            </w:tcMar>
          </w:tcPr>
          <w:p>
            <w:pPr>
              <w:spacing w:before="120"/>
              <w:ind w:left="740"/>
            </w:pPr>
            <w:r>
              <w:rPr>
                <w:rFonts w:hint="eastAsia" w:ascii="Times New Roman Bold" w:hAnsi="Times New Roman Bold" w:eastAsia="Times New Roman Bold" w:cs="Times New Roman Bold"/>
                <w:b/>
                <w:sz w:val="21"/>
              </w:rPr>
              <w:t>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270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加</w:t>
            </w:r>
            <w:r>
              <w:rPr>
                <w:rFonts w:hint="eastAsia" w:ascii="宋体" w:hAnsi="宋体" w:eastAsia="宋体" w:cs="宋体"/>
                <w:sz w:val="10"/>
              </w:rPr>
              <w:t>：</w:t>
            </w:r>
            <w:r>
              <w:rPr>
                <w:rFonts w:hint="eastAsia" w:ascii="宋体" w:hAnsi="宋体" w:eastAsia="宋体" w:cs="宋体"/>
                <w:sz w:val="21"/>
              </w:rPr>
              <w:t>营业外收入</w:t>
            </w:r>
          </w:p>
        </w:tc>
        <w:tc>
          <w:tcPr>
            <w:tcW w:w="2160" w:type="dxa"/>
            <w:tcMar>
              <w:top w:w="0" w:type="dxa"/>
              <w:left w:w="0" w:type="dxa"/>
              <w:bottom w:w="0" w:type="dxa"/>
              <w:right w:w="0" w:type="dxa"/>
            </w:tcMar>
          </w:tcPr>
          <w:p>
            <w:pPr>
              <w:spacing w:before="120"/>
              <w:ind w:left="9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2140" w:type="dxa"/>
            <w:tcMar>
              <w:top w:w="0" w:type="dxa"/>
              <w:left w:w="0" w:type="dxa"/>
              <w:bottom w:w="0" w:type="dxa"/>
              <w:right w:w="0" w:type="dxa"/>
            </w:tcMar>
          </w:tcPr>
          <w:p>
            <w:pPr>
              <w:spacing w:before="120"/>
              <w:ind w:left="82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2060" w:type="dxa"/>
            <w:tcMar>
              <w:top w:w="0" w:type="dxa"/>
              <w:left w:w="0" w:type="dxa"/>
              <w:bottom w:w="0" w:type="dxa"/>
              <w:right w:w="0" w:type="dxa"/>
            </w:tcMar>
          </w:tcPr>
          <w:p>
            <w:pPr>
              <w:spacing w:before="120"/>
              <w:ind w:left="8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r>
      <w:tr>
        <w:trPr>
          <w:trHeight w:val="680" w:hRule="exact"/>
        </w:trPr>
        <w:tc>
          <w:tcPr>
            <w:tcW w:w="2000" w:type="dxa"/>
            <w:tcMar>
              <w:top w:w="0" w:type="dxa"/>
              <w:left w:w="0" w:type="dxa"/>
              <w:bottom w:w="0" w:type="dxa"/>
              <w:right w:w="0" w:type="dxa"/>
            </w:tcMar>
          </w:tcPr>
          <w:p>
            <w:pPr>
              <w:spacing w:before="20"/>
            </w:pP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非流动资产处</w:t>
            </w:r>
          </w:p>
          <w:p>
            <w:pPr>
              <w:spacing w:before="100"/>
            </w:pPr>
            <w:r>
              <w:rPr>
                <w:rFonts w:hint="eastAsia" w:ascii="宋体" w:hAnsi="宋体" w:eastAsia="宋体" w:cs="宋体"/>
                <w:sz w:val="21"/>
              </w:rPr>
              <w:t>置利得</w:t>
            </w:r>
          </w:p>
        </w:tc>
        <w:tc>
          <w:tcPr>
            <w:tcW w:w="2160" w:type="dxa"/>
            <w:tcMar>
              <w:top w:w="0" w:type="dxa"/>
              <w:left w:w="0" w:type="dxa"/>
              <w:bottom w:w="0" w:type="dxa"/>
              <w:right w:w="0" w:type="dxa"/>
            </w:tcMar>
          </w:tcPr>
          <w:p>
            <w:pPr>
              <w:spacing w:before="240"/>
              <w:ind w:left="13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140" w:type="dxa"/>
            <w:tcMar>
              <w:top w:w="0" w:type="dxa"/>
              <w:left w:w="0" w:type="dxa"/>
              <w:bottom w:w="0" w:type="dxa"/>
              <w:right w:w="0" w:type="dxa"/>
            </w:tcMar>
          </w:tcPr>
          <w:p>
            <w:pPr>
              <w:spacing w:before="360"/>
              <w:ind w:left="1960"/>
            </w:pPr>
            <w:r>
              <w:rPr>
                <w:rFonts w:hint="eastAsia" w:ascii="Times New Roman" w:hAnsi="Times New Roman" w:eastAsia="Times New Roman" w:cs="Times New Roman"/>
                <w:sz w:val="21"/>
              </w:rPr>
              <w:t>-</w:t>
            </w:r>
          </w:p>
        </w:tc>
        <w:tc>
          <w:tcPr>
            <w:tcW w:w="2060" w:type="dxa"/>
            <w:tcMar>
              <w:top w:w="0" w:type="dxa"/>
              <w:left w:w="0" w:type="dxa"/>
              <w:bottom w:w="0" w:type="dxa"/>
              <w:right w:w="0" w:type="dxa"/>
            </w:tcMar>
          </w:tcPr>
          <w:p>
            <w:pPr>
              <w:spacing w:before="360"/>
              <w:ind w:left="1880"/>
            </w:pPr>
            <w:r>
              <w:rPr>
                <w:rFonts w:hint="eastAsia" w:ascii="Times New Roman" w:hAnsi="Times New Roman" w:eastAsia="Times New Roman" w:cs="Times New Roman"/>
                <w:sz w:val="21"/>
              </w:rPr>
              <w:t>-</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营业外支出</w:t>
            </w:r>
          </w:p>
        </w:tc>
        <w:tc>
          <w:tcPr>
            <w:tcW w:w="2160" w:type="dxa"/>
            <w:tcMar>
              <w:top w:w="0" w:type="dxa"/>
              <w:left w:w="0" w:type="dxa"/>
              <w:bottom w:w="0" w:type="dxa"/>
              <w:right w:w="0" w:type="dxa"/>
            </w:tcMar>
          </w:tcPr>
          <w:p>
            <w:pPr>
              <w:spacing w:before="140"/>
              <w:ind w:left="1100"/>
            </w:pPr>
            <w:r>
              <w:rPr>
                <w:rFonts w:hint="eastAsia" w:ascii="Times New Roman" w:hAnsi="Times New Roman" w:eastAsia="Times New Roman" w:cs="Times New Roman"/>
                <w:sz w:val="21"/>
              </w:rPr>
              <w:t>150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140" w:type="dxa"/>
            <w:tcMar>
              <w:top w:w="0" w:type="dxa"/>
              <w:left w:w="0" w:type="dxa"/>
              <w:bottom w:w="0" w:type="dxa"/>
              <w:right w:w="0" w:type="dxa"/>
            </w:tcMar>
          </w:tcPr>
          <w:p>
            <w:pPr>
              <w:spacing w:before="140"/>
              <w:ind w:left="1080"/>
            </w:pPr>
            <w:r>
              <w:rPr>
                <w:rFonts w:hint="eastAsia" w:ascii="Times New Roman" w:hAnsi="Times New Roman" w:eastAsia="Times New Roman" w:cs="Times New Roman"/>
                <w:sz w:val="21"/>
              </w:rPr>
              <w:t>118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206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192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r>
      <w:tr>
        <w:trPr>
          <w:trHeight w:val="700" w:hRule="exact"/>
        </w:trPr>
        <w:tc>
          <w:tcPr>
            <w:tcW w:w="2000" w:type="dxa"/>
            <w:tcMar>
              <w:top w:w="0" w:type="dxa"/>
              <w:left w:w="0" w:type="dxa"/>
              <w:bottom w:w="0" w:type="dxa"/>
              <w:right w:w="0" w:type="dxa"/>
            </w:tcMar>
          </w:tcPr>
          <w:p>
            <w:pPr>
              <w:spacing w:before="40"/>
            </w:pP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非流动资产处</w:t>
            </w:r>
          </w:p>
          <w:p>
            <w:pPr>
              <w:spacing w:before="100"/>
            </w:pPr>
            <w:r>
              <w:rPr>
                <w:rFonts w:hint="eastAsia" w:ascii="宋体" w:hAnsi="宋体" w:eastAsia="宋体" w:cs="宋体"/>
                <w:sz w:val="21"/>
              </w:rPr>
              <w:t>置损失</w:t>
            </w:r>
          </w:p>
        </w:tc>
        <w:tc>
          <w:tcPr>
            <w:tcW w:w="2160" w:type="dxa"/>
            <w:tcMar>
              <w:top w:w="0" w:type="dxa"/>
              <w:left w:w="0" w:type="dxa"/>
              <w:bottom w:w="0" w:type="dxa"/>
              <w:right w:w="0" w:type="dxa"/>
            </w:tcMar>
          </w:tcPr>
          <w:p>
            <w:pPr>
              <w:spacing w:before="380"/>
              <w:ind w:left="1980"/>
            </w:pPr>
            <w:r>
              <w:rPr>
                <w:rFonts w:hint="eastAsia" w:ascii="Times New Roman" w:hAnsi="Times New Roman" w:eastAsia="Times New Roman" w:cs="Times New Roman"/>
                <w:sz w:val="21"/>
              </w:rPr>
              <w:t>-</w:t>
            </w:r>
          </w:p>
        </w:tc>
        <w:tc>
          <w:tcPr>
            <w:tcW w:w="2140" w:type="dxa"/>
            <w:tcMar>
              <w:top w:w="0" w:type="dxa"/>
              <w:left w:w="0" w:type="dxa"/>
              <w:bottom w:w="0" w:type="dxa"/>
              <w:right w:w="0" w:type="dxa"/>
            </w:tcMar>
          </w:tcPr>
          <w:p>
            <w:pPr>
              <w:spacing w:before="260"/>
              <w:ind w:left="1080"/>
            </w:pPr>
            <w:r>
              <w:rPr>
                <w:rFonts w:hint="eastAsia" w:ascii="Times New Roman" w:hAnsi="Times New Roman" w:eastAsia="Times New Roman" w:cs="Times New Roman"/>
                <w:sz w:val="21"/>
              </w:rPr>
              <w:t>118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2060" w:type="dxa"/>
            <w:tcMar>
              <w:top w:w="0" w:type="dxa"/>
              <w:left w:w="0" w:type="dxa"/>
              <w:bottom w:w="0" w:type="dxa"/>
              <w:right w:w="0" w:type="dxa"/>
            </w:tcMar>
          </w:tcPr>
          <w:p>
            <w:pPr>
              <w:spacing w:before="260"/>
              <w:ind w:left="1000"/>
            </w:pPr>
            <w:r>
              <w:rPr>
                <w:rFonts w:hint="eastAsia" w:ascii="Times New Roman" w:hAnsi="Times New Roman" w:eastAsia="Times New Roman" w:cs="Times New Roman"/>
                <w:sz w:val="21"/>
              </w:rPr>
              <w:t>192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b/>
                <w:sz w:val="21"/>
              </w:rPr>
              <w:t>三</w:t>
            </w:r>
            <w:r>
              <w:rPr>
                <w:rFonts w:hint="eastAsia" w:ascii="宋体" w:hAnsi="宋体" w:eastAsia="宋体" w:cs="宋体"/>
                <w:b/>
                <w:sz w:val="10"/>
              </w:rPr>
              <w:t>、</w:t>
            </w:r>
            <w:r>
              <w:rPr>
                <w:rFonts w:hint="eastAsia" w:ascii="宋体" w:hAnsi="宋体" w:eastAsia="宋体" w:cs="宋体"/>
                <w:b/>
                <w:sz w:val="21"/>
              </w:rPr>
              <w:t>利润总额</w:t>
            </w:r>
          </w:p>
        </w:tc>
        <w:tc>
          <w:tcPr>
            <w:tcW w:w="2160" w:type="dxa"/>
            <w:tcMar>
              <w:top w:w="0" w:type="dxa"/>
              <w:left w:w="0" w:type="dxa"/>
              <w:bottom w:w="0" w:type="dxa"/>
              <w:right w:w="0" w:type="dxa"/>
            </w:tcMar>
          </w:tcPr>
          <w:p>
            <w:pPr>
              <w:spacing w:before="140"/>
              <w:ind w:left="840"/>
            </w:pPr>
            <w:r>
              <w:rPr>
                <w:rFonts w:hint="eastAsia" w:ascii="Times New Roman Bold" w:hAnsi="Times New Roman Bold" w:eastAsia="Times New Roman Bold" w:cs="Times New Roman Bold"/>
                <w:b/>
                <w:sz w:val="21"/>
              </w:rPr>
              <w:t>71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065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84</w:t>
            </w:r>
          </w:p>
        </w:tc>
        <w:tc>
          <w:tcPr>
            <w:tcW w:w="2140" w:type="dxa"/>
            <w:tcMar>
              <w:top w:w="0" w:type="dxa"/>
              <w:left w:w="0" w:type="dxa"/>
              <w:bottom w:w="0" w:type="dxa"/>
              <w:right w:w="0" w:type="dxa"/>
            </w:tcMar>
          </w:tcPr>
          <w:p>
            <w:pPr>
              <w:spacing w:before="140"/>
              <w:ind w:left="820"/>
            </w:pPr>
            <w:r>
              <w:rPr>
                <w:rFonts w:hint="eastAsia" w:ascii="Times New Roman Bold" w:hAnsi="Times New Roman Bold" w:eastAsia="Times New Roman Bold" w:cs="Times New Roman Bold"/>
                <w:b/>
                <w:sz w:val="21"/>
              </w:rPr>
              <w:t>86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w:t>
            </w:r>
          </w:p>
        </w:tc>
        <w:tc>
          <w:tcPr>
            <w:tcW w:w="2060" w:type="dxa"/>
            <w:tcMar>
              <w:top w:w="0" w:type="dxa"/>
              <w:left w:w="0" w:type="dxa"/>
              <w:bottom w:w="0" w:type="dxa"/>
              <w:right w:w="0" w:type="dxa"/>
            </w:tcMar>
          </w:tcPr>
          <w:p>
            <w:pPr>
              <w:spacing w:before="140"/>
              <w:ind w:left="740"/>
            </w:pPr>
            <w:r>
              <w:rPr>
                <w:rFonts w:hint="eastAsia" w:ascii="Times New Roman Bold" w:hAnsi="Times New Roman Bold" w:eastAsia="Times New Roman Bold" w:cs="Times New Roman Bold"/>
                <w:b/>
                <w:sz w:val="21"/>
              </w:rPr>
              <w:t>38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764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581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68</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所得税费用</w:t>
            </w:r>
          </w:p>
        </w:tc>
        <w:tc>
          <w:tcPr>
            <w:tcW w:w="2160" w:type="dxa"/>
            <w:tcMar>
              <w:top w:w="0" w:type="dxa"/>
              <w:left w:w="0" w:type="dxa"/>
              <w:bottom w:w="0" w:type="dxa"/>
              <w:right w:w="0" w:type="dxa"/>
            </w:tcMar>
          </w:tcPr>
          <w:p>
            <w:pPr>
              <w:spacing w:before="140"/>
              <w:ind w:left="8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c>
          <w:tcPr>
            <w:tcW w:w="2140" w:type="dxa"/>
            <w:tcMar>
              <w:top w:w="0" w:type="dxa"/>
              <w:left w:w="0" w:type="dxa"/>
              <w:bottom w:w="0" w:type="dxa"/>
              <w:right w:w="0" w:type="dxa"/>
            </w:tcMar>
          </w:tcPr>
          <w:p>
            <w:pPr>
              <w:spacing w:before="140"/>
              <w:ind w:left="92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p>
        </w:tc>
        <w:tc>
          <w:tcPr>
            <w:tcW w:w="2060" w:type="dxa"/>
            <w:tcMar>
              <w:top w:w="0" w:type="dxa"/>
              <w:left w:w="0" w:type="dxa"/>
              <w:bottom w:w="0" w:type="dxa"/>
              <w:right w:w="0" w:type="dxa"/>
            </w:tcMar>
          </w:tcPr>
          <w:p>
            <w:pPr>
              <w:spacing w:before="140"/>
              <w:ind w:left="8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b/>
                <w:sz w:val="21"/>
              </w:rPr>
              <w:t>四</w:t>
            </w:r>
            <w:r>
              <w:rPr>
                <w:rFonts w:hint="eastAsia" w:ascii="宋体" w:hAnsi="宋体" w:eastAsia="宋体" w:cs="宋体"/>
                <w:b/>
                <w:sz w:val="10"/>
              </w:rPr>
              <w:t>、</w:t>
            </w:r>
            <w:r>
              <w:rPr>
                <w:rFonts w:hint="eastAsia" w:ascii="宋体" w:hAnsi="宋体" w:eastAsia="宋体" w:cs="宋体"/>
                <w:b/>
                <w:sz w:val="21"/>
              </w:rPr>
              <w:t>净利润</w:t>
            </w:r>
          </w:p>
        </w:tc>
        <w:tc>
          <w:tcPr>
            <w:tcW w:w="2160" w:type="dxa"/>
            <w:tcMar>
              <w:top w:w="0" w:type="dxa"/>
              <w:left w:w="0" w:type="dxa"/>
              <w:bottom w:w="0" w:type="dxa"/>
              <w:right w:w="0" w:type="dxa"/>
            </w:tcMar>
          </w:tcPr>
          <w:p>
            <w:pPr>
              <w:spacing w:before="140"/>
              <w:ind w:left="840"/>
            </w:pPr>
            <w:r>
              <w:rPr>
                <w:rFonts w:hint="eastAsia" w:ascii="Times New Roman Bold" w:hAnsi="Times New Roman Bold" w:eastAsia="Times New Roman Bold" w:cs="Times New Roman Bold"/>
                <w:b/>
                <w:sz w:val="21"/>
              </w:rPr>
              <w:t>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98</w:t>
            </w:r>
          </w:p>
        </w:tc>
        <w:tc>
          <w:tcPr>
            <w:tcW w:w="2140" w:type="dxa"/>
            <w:tcMar>
              <w:top w:w="0" w:type="dxa"/>
              <w:left w:w="0" w:type="dxa"/>
              <w:bottom w:w="0" w:type="dxa"/>
              <w:right w:w="0" w:type="dxa"/>
            </w:tcMar>
          </w:tcPr>
          <w:p>
            <w:pPr>
              <w:spacing w:before="140"/>
              <w:ind w:left="820"/>
            </w:pPr>
            <w:r>
              <w:rPr>
                <w:rFonts w:hint="eastAsia" w:ascii="Times New Roman Bold" w:hAnsi="Times New Roman Bold" w:eastAsia="Times New Roman Bold" w:cs="Times New Roman Bold"/>
                <w:b/>
                <w:sz w:val="21"/>
              </w:rPr>
              <w:t>80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36</w:t>
            </w:r>
          </w:p>
        </w:tc>
        <w:tc>
          <w:tcPr>
            <w:tcW w:w="2060" w:type="dxa"/>
            <w:tcMar>
              <w:top w:w="0" w:type="dxa"/>
              <w:left w:w="0" w:type="dxa"/>
              <w:bottom w:w="0" w:type="dxa"/>
              <w:right w:w="0" w:type="dxa"/>
            </w:tcMar>
          </w:tcPr>
          <w:p>
            <w:pPr>
              <w:spacing w:before="140"/>
              <w:ind w:left="740"/>
            </w:pPr>
            <w:r>
              <w:rPr>
                <w:rFonts w:hint="eastAsia" w:ascii="Times New Roman Bold" w:hAnsi="Times New Roman Bold" w:eastAsia="Times New Roman Bold" w:cs="Times New Roman Bold"/>
                <w:b/>
                <w:sz w:val="21"/>
              </w:rPr>
              <w:t>37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282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w:t>
            </w:r>
          </w:p>
        </w:tc>
      </w:tr>
      <w:tr>
        <w:trPr>
          <w:trHeight w:val="480" w:hRule="exact"/>
        </w:trPr>
        <w:tc>
          <w:tcPr>
            <w:tcW w:w="2000" w:type="dxa"/>
            <w:tcMar>
              <w:top w:w="0" w:type="dxa"/>
              <w:left w:w="0" w:type="dxa"/>
              <w:bottom w:w="0" w:type="dxa"/>
              <w:right w:w="0" w:type="dxa"/>
            </w:tcMar>
          </w:tcPr>
          <w:p>
            <w:pPr>
              <w:spacing w:before="100"/>
            </w:pPr>
            <w:r>
              <w:rPr>
                <w:rFonts w:hint="eastAsia" w:ascii="宋体" w:hAnsi="宋体" w:eastAsia="宋体" w:cs="宋体"/>
                <w:b/>
                <w:sz w:val="21"/>
              </w:rPr>
              <w:t>五</w:t>
            </w:r>
            <w:r>
              <w:rPr>
                <w:rFonts w:hint="eastAsia" w:ascii="宋体" w:hAnsi="宋体" w:eastAsia="宋体" w:cs="宋体"/>
                <w:b/>
                <w:sz w:val="10"/>
              </w:rPr>
              <w:t>、</w:t>
            </w:r>
            <w:r>
              <w:rPr>
                <w:rFonts w:hint="eastAsia" w:ascii="宋体" w:hAnsi="宋体" w:eastAsia="宋体" w:cs="宋体"/>
                <w:b/>
                <w:sz w:val="21"/>
              </w:rPr>
              <w:t>每股收益</w:t>
            </w:r>
          </w:p>
        </w:tc>
        <w:tc>
          <w:tcPr>
            <w:tcW w:w="2160" w:type="dxa"/>
            <w:tcMar>
              <w:top w:w="0" w:type="dxa"/>
              <w:left w:w="0" w:type="dxa"/>
              <w:bottom w:w="0" w:type="dxa"/>
              <w:right w:w="0" w:type="dxa"/>
            </w:tcMar>
          </w:tcPr>
          <w:p/>
        </w:tc>
        <w:tc>
          <w:tcPr>
            <w:tcW w:w="2140" w:type="dxa"/>
            <w:tcMar>
              <w:top w:w="0" w:type="dxa"/>
              <w:left w:w="0" w:type="dxa"/>
              <w:bottom w:w="0" w:type="dxa"/>
              <w:right w:w="0" w:type="dxa"/>
            </w:tcMar>
          </w:tcPr>
          <w:p/>
        </w:tc>
        <w:tc>
          <w:tcPr>
            <w:tcW w:w="2060" w:type="dxa"/>
            <w:tcMar>
              <w:top w:w="0" w:type="dxa"/>
              <w:left w:w="0" w:type="dxa"/>
              <w:bottom w:w="0" w:type="dxa"/>
              <w:right w:w="0" w:type="dxa"/>
            </w:tcMar>
          </w:tcPr>
          <w:p/>
        </w:tc>
      </w:tr>
      <w:tr>
        <w:trPr>
          <w:trHeight w:val="460" w:hRule="exact"/>
        </w:trPr>
        <w:tc>
          <w:tcPr>
            <w:tcW w:w="2000" w:type="dxa"/>
            <w:tcMar>
              <w:top w:w="0" w:type="dxa"/>
              <w:left w:w="0" w:type="dxa"/>
              <w:bottom w:w="0" w:type="dxa"/>
              <w:right w:w="0" w:type="dxa"/>
            </w:tcMar>
          </w:tcPr>
          <w:p>
            <w:pPr>
              <w:spacing w:before="80"/>
            </w:pPr>
            <w:r>
              <w:rPr>
                <w:rFonts w:hint="eastAsia" w:ascii="宋体" w:hAnsi="宋体" w:eastAsia="宋体" w:cs="宋体"/>
                <w:sz w:val="20"/>
              </w:rPr>
              <w:t>（一）</w:t>
            </w:r>
            <w:r>
              <w:rPr>
                <w:rFonts w:hint="eastAsia" w:ascii="宋体" w:hAnsi="宋体" w:eastAsia="宋体" w:cs="宋体"/>
                <w:sz w:val="21"/>
              </w:rPr>
              <w:t>基本每股收益</w:t>
            </w:r>
          </w:p>
        </w:tc>
        <w:tc>
          <w:tcPr>
            <w:tcW w:w="2160" w:type="dxa"/>
            <w:tcMar>
              <w:top w:w="0" w:type="dxa"/>
              <w:left w:w="0" w:type="dxa"/>
              <w:bottom w:w="0" w:type="dxa"/>
              <w:right w:w="0" w:type="dxa"/>
            </w:tcMar>
          </w:tcPr>
          <w:p>
            <w:pPr>
              <w:spacing w:before="240"/>
              <w:ind w:left="1980"/>
            </w:pPr>
            <w:r>
              <w:rPr>
                <w:rFonts w:hint="eastAsia" w:ascii="Times New Roman Bold" w:hAnsi="Times New Roman Bold" w:eastAsia="Times New Roman Bold" w:cs="Times New Roman Bold"/>
                <w:b/>
                <w:sz w:val="21"/>
              </w:rPr>
              <w:t>-</w:t>
            </w:r>
          </w:p>
        </w:tc>
        <w:tc>
          <w:tcPr>
            <w:tcW w:w="2140" w:type="dxa"/>
            <w:tcMar>
              <w:top w:w="0" w:type="dxa"/>
              <w:left w:w="0" w:type="dxa"/>
              <w:bottom w:w="0" w:type="dxa"/>
              <w:right w:w="0" w:type="dxa"/>
            </w:tcMar>
          </w:tcPr>
          <w:p>
            <w:pPr>
              <w:spacing w:before="240"/>
              <w:ind w:left="1960"/>
            </w:pPr>
            <w:r>
              <w:rPr>
                <w:rFonts w:hint="eastAsia" w:ascii="Times New Roman Bold" w:hAnsi="Times New Roman Bold" w:eastAsia="Times New Roman Bold" w:cs="Times New Roman Bold"/>
                <w:b/>
                <w:sz w:val="21"/>
              </w:rPr>
              <w:t>-</w:t>
            </w:r>
          </w:p>
        </w:tc>
        <w:tc>
          <w:tcPr>
            <w:tcW w:w="2060" w:type="dxa"/>
            <w:tcMar>
              <w:top w:w="0" w:type="dxa"/>
              <w:left w:w="0" w:type="dxa"/>
              <w:bottom w:w="0" w:type="dxa"/>
              <w:right w:w="0" w:type="dxa"/>
            </w:tcMar>
          </w:tcPr>
          <w:p>
            <w:pPr>
              <w:spacing w:before="240"/>
              <w:ind w:left="1880"/>
            </w:pPr>
            <w:r>
              <w:rPr>
                <w:rFonts w:hint="eastAsia" w:ascii="Times New Roman" w:hAnsi="Times New Roman" w:eastAsia="Times New Roman" w:cs="Times New Roman"/>
                <w:sz w:val="21"/>
              </w:rPr>
              <w:t>-</w:t>
            </w:r>
          </w:p>
        </w:tc>
      </w:tr>
      <w:tr>
        <w:trPr>
          <w:trHeight w:val="460" w:hRule="exact"/>
        </w:trPr>
        <w:tc>
          <w:tcPr>
            <w:tcW w:w="2000" w:type="dxa"/>
            <w:tcMar>
              <w:top w:w="0" w:type="dxa"/>
              <w:left w:w="0" w:type="dxa"/>
              <w:bottom w:w="0" w:type="dxa"/>
              <w:right w:w="0" w:type="dxa"/>
            </w:tcMar>
          </w:tcPr>
          <w:p>
            <w:pPr>
              <w:spacing w:before="60"/>
            </w:pPr>
            <w:r>
              <w:rPr>
                <w:rFonts w:hint="eastAsia" w:ascii="宋体" w:hAnsi="宋体" w:eastAsia="宋体" w:cs="宋体"/>
                <w:sz w:val="20"/>
              </w:rPr>
              <w:t>（二）</w:t>
            </w:r>
            <w:r>
              <w:rPr>
                <w:rFonts w:hint="eastAsia" w:ascii="宋体" w:hAnsi="宋体" w:eastAsia="宋体" w:cs="宋体"/>
                <w:sz w:val="21"/>
              </w:rPr>
              <w:t>稀释每股收益</w:t>
            </w:r>
          </w:p>
        </w:tc>
        <w:tc>
          <w:tcPr>
            <w:tcW w:w="2160" w:type="dxa"/>
            <w:tcMar>
              <w:top w:w="0" w:type="dxa"/>
              <w:left w:w="0" w:type="dxa"/>
              <w:bottom w:w="0" w:type="dxa"/>
              <w:right w:w="0" w:type="dxa"/>
            </w:tcMar>
          </w:tcPr>
          <w:p>
            <w:pPr>
              <w:spacing w:before="240"/>
              <w:ind w:left="1980"/>
            </w:pPr>
            <w:r>
              <w:rPr>
                <w:rFonts w:hint="eastAsia" w:ascii="Times New Roman Bold" w:hAnsi="Times New Roman Bold" w:eastAsia="Times New Roman Bold" w:cs="Times New Roman Bold"/>
                <w:b/>
                <w:sz w:val="21"/>
              </w:rPr>
              <w:t>-</w:t>
            </w:r>
          </w:p>
        </w:tc>
        <w:tc>
          <w:tcPr>
            <w:tcW w:w="2140" w:type="dxa"/>
            <w:tcMar>
              <w:top w:w="0" w:type="dxa"/>
              <w:left w:w="0" w:type="dxa"/>
              <w:bottom w:w="0" w:type="dxa"/>
              <w:right w:w="0" w:type="dxa"/>
            </w:tcMar>
          </w:tcPr>
          <w:p>
            <w:pPr>
              <w:spacing w:before="240"/>
              <w:ind w:left="1960"/>
            </w:pPr>
            <w:r>
              <w:rPr>
                <w:rFonts w:hint="eastAsia" w:ascii="Times New Roman Bold" w:hAnsi="Times New Roman Bold" w:eastAsia="Times New Roman Bold" w:cs="Times New Roman Bold"/>
                <w:b/>
                <w:sz w:val="21"/>
              </w:rPr>
              <w:t>-</w:t>
            </w:r>
          </w:p>
        </w:tc>
        <w:tc>
          <w:tcPr>
            <w:tcW w:w="2060" w:type="dxa"/>
            <w:tcMar>
              <w:top w:w="0" w:type="dxa"/>
              <w:left w:w="0" w:type="dxa"/>
              <w:bottom w:w="0" w:type="dxa"/>
              <w:right w:w="0" w:type="dxa"/>
            </w:tcMar>
          </w:tcPr>
          <w:p>
            <w:pPr>
              <w:spacing w:before="260"/>
              <w:ind w:left="1880"/>
            </w:pPr>
            <w:r>
              <w:rPr>
                <w:rFonts w:hint="eastAsia" w:ascii="Times New Roman" w:hAnsi="Times New Roman" w:eastAsia="Times New Roman" w:cs="Times New Roman"/>
                <w:sz w:val="21"/>
              </w:rPr>
              <w:t>-</w:t>
            </w:r>
          </w:p>
        </w:tc>
      </w:tr>
      <w:tr>
        <w:trPr>
          <w:trHeight w:val="460" w:hRule="exact"/>
        </w:trPr>
        <w:tc>
          <w:tcPr>
            <w:tcW w:w="2000" w:type="dxa"/>
            <w:tcMar>
              <w:top w:w="0" w:type="dxa"/>
              <w:left w:w="0" w:type="dxa"/>
              <w:bottom w:w="0" w:type="dxa"/>
              <w:right w:w="0" w:type="dxa"/>
            </w:tcMar>
          </w:tcPr>
          <w:p>
            <w:pPr>
              <w:spacing w:before="60"/>
            </w:pPr>
            <w:r>
              <w:rPr>
                <w:rFonts w:hint="eastAsia" w:ascii="宋体" w:hAnsi="宋体" w:eastAsia="宋体" w:cs="宋体"/>
                <w:b/>
                <w:sz w:val="21"/>
              </w:rPr>
              <w:t>六</w:t>
            </w:r>
            <w:r>
              <w:rPr>
                <w:rFonts w:hint="eastAsia" w:ascii="宋体" w:hAnsi="宋体" w:eastAsia="宋体" w:cs="宋体"/>
                <w:b/>
                <w:sz w:val="10"/>
              </w:rPr>
              <w:t>、</w:t>
            </w:r>
            <w:r>
              <w:rPr>
                <w:rFonts w:hint="eastAsia" w:ascii="宋体" w:hAnsi="宋体" w:eastAsia="宋体" w:cs="宋体"/>
                <w:b/>
                <w:sz w:val="21"/>
              </w:rPr>
              <w:t>其他综合收益</w:t>
            </w:r>
          </w:p>
        </w:tc>
        <w:tc>
          <w:tcPr>
            <w:tcW w:w="2160" w:type="dxa"/>
            <w:tcMar>
              <w:top w:w="0" w:type="dxa"/>
              <w:left w:w="0" w:type="dxa"/>
              <w:bottom w:w="0" w:type="dxa"/>
              <w:right w:w="0" w:type="dxa"/>
            </w:tcMar>
          </w:tcPr>
          <w:p/>
        </w:tc>
        <w:tc>
          <w:tcPr>
            <w:tcW w:w="2140" w:type="dxa"/>
            <w:tcMar>
              <w:top w:w="0" w:type="dxa"/>
              <w:left w:w="0" w:type="dxa"/>
              <w:bottom w:w="0" w:type="dxa"/>
              <w:right w:w="0" w:type="dxa"/>
            </w:tcMar>
          </w:tcPr>
          <w:p/>
        </w:tc>
        <w:tc>
          <w:tcPr>
            <w:tcW w:w="2060" w:type="dxa"/>
            <w:tcMar>
              <w:top w:w="0" w:type="dxa"/>
              <w:left w:w="0" w:type="dxa"/>
              <w:bottom w:w="0" w:type="dxa"/>
              <w:right w:w="0" w:type="dxa"/>
            </w:tcMar>
          </w:tcPr>
          <w:p/>
        </w:tc>
      </w:tr>
      <w:tr>
        <w:trPr>
          <w:trHeight w:val="420" w:hRule="exact"/>
        </w:trPr>
        <w:tc>
          <w:tcPr>
            <w:tcW w:w="2000" w:type="dxa"/>
            <w:tcMar>
              <w:top w:w="0" w:type="dxa"/>
              <w:left w:w="0" w:type="dxa"/>
              <w:bottom w:w="0" w:type="dxa"/>
              <w:right w:w="0" w:type="dxa"/>
            </w:tcMar>
          </w:tcPr>
          <w:p>
            <w:pPr>
              <w:spacing w:before="80"/>
            </w:pPr>
            <w:r>
              <w:rPr>
                <w:rFonts w:hint="eastAsia" w:ascii="宋体" w:hAnsi="宋体" w:eastAsia="宋体" w:cs="宋体"/>
                <w:b/>
                <w:sz w:val="21"/>
              </w:rPr>
              <w:t>七</w:t>
            </w:r>
            <w:r>
              <w:rPr>
                <w:rFonts w:hint="eastAsia" w:ascii="宋体" w:hAnsi="宋体" w:eastAsia="宋体" w:cs="宋体"/>
                <w:b/>
                <w:sz w:val="10"/>
              </w:rPr>
              <w:t>、</w:t>
            </w:r>
            <w:r>
              <w:rPr>
                <w:rFonts w:hint="eastAsia" w:ascii="宋体" w:hAnsi="宋体" w:eastAsia="宋体" w:cs="宋体"/>
                <w:b/>
                <w:sz w:val="21"/>
              </w:rPr>
              <w:t>综合收益总额</w:t>
            </w:r>
          </w:p>
        </w:tc>
        <w:tc>
          <w:tcPr>
            <w:tcW w:w="2160" w:type="dxa"/>
            <w:tcMar>
              <w:top w:w="0" w:type="dxa"/>
              <w:left w:w="0" w:type="dxa"/>
              <w:bottom w:w="0" w:type="dxa"/>
              <w:right w:w="0" w:type="dxa"/>
            </w:tcMar>
          </w:tcPr>
          <w:p>
            <w:pPr>
              <w:spacing w:before="140"/>
              <w:ind w:left="840"/>
            </w:pPr>
            <w:r>
              <w:rPr>
                <w:rFonts w:hint="eastAsia" w:ascii="Times New Roman Bold" w:hAnsi="Times New Roman Bold" w:eastAsia="Times New Roman Bold" w:cs="Times New Roman Bold"/>
                <w:b/>
                <w:sz w:val="21"/>
              </w:rPr>
              <w:t>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98</w:t>
            </w:r>
          </w:p>
        </w:tc>
        <w:tc>
          <w:tcPr>
            <w:tcW w:w="2140" w:type="dxa"/>
            <w:tcMar>
              <w:top w:w="0" w:type="dxa"/>
              <w:left w:w="0" w:type="dxa"/>
              <w:bottom w:w="0" w:type="dxa"/>
              <w:right w:w="0" w:type="dxa"/>
            </w:tcMar>
          </w:tcPr>
          <w:p>
            <w:pPr>
              <w:spacing w:before="140"/>
              <w:ind w:left="820"/>
            </w:pPr>
            <w:r>
              <w:rPr>
                <w:rFonts w:hint="eastAsia" w:ascii="Times New Roman Bold" w:hAnsi="Times New Roman Bold" w:eastAsia="Times New Roman Bold" w:cs="Times New Roman Bold"/>
                <w:b/>
                <w:sz w:val="21"/>
              </w:rPr>
              <w:t>80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36</w:t>
            </w:r>
          </w:p>
        </w:tc>
        <w:tc>
          <w:tcPr>
            <w:tcW w:w="2060" w:type="dxa"/>
            <w:tcMar>
              <w:top w:w="0" w:type="dxa"/>
              <w:left w:w="0" w:type="dxa"/>
              <w:bottom w:w="0" w:type="dxa"/>
              <w:right w:w="0" w:type="dxa"/>
            </w:tcMar>
          </w:tcPr>
          <w:p>
            <w:pPr>
              <w:spacing w:before="140"/>
              <w:ind w:left="740"/>
            </w:pPr>
            <w:r>
              <w:rPr>
                <w:rFonts w:hint="eastAsia" w:ascii="Times New Roman Bold" w:hAnsi="Times New Roman Bold" w:eastAsia="Times New Roman Bold" w:cs="Times New Roman Bold"/>
                <w:b/>
                <w:sz w:val="21"/>
              </w:rPr>
              <w:t>37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282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1-1-219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0"/>
        </w:rPr>
        <w:t>（</w:t>
      </w:r>
      <w:r>
        <w:rPr>
          <w:rFonts w:hint="eastAsia" w:ascii="宋体" w:hAnsi="宋体" w:eastAsia="宋体" w:cs="宋体"/>
          <w:b/>
          <w:sz w:val="24"/>
        </w:rPr>
        <w:t>六）母公司现金流量表</w:t>
      </w:r>
    </w:p>
    <w:p>
      <w:pPr>
        <w:spacing w:line="200" w:lineRule="exact"/>
        <w:rPr>
          <w:rFonts w:hint="eastAsia" w:ascii="宋体" w:hAnsi="宋体" w:eastAsia="宋体" w:cs="宋体"/>
          <w:sz w:val="20"/>
        </w:rPr>
      </w:pPr>
    </w:p>
    <w:p>
      <w:pPr>
        <w:autoSpaceDE w:val="false"/>
        <w:autoSpaceDN w:val="false"/>
        <w:spacing w:line="320" w:lineRule="exact"/>
        <w:ind w:left="900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00"/>
        <w:gridCol w:w="2300"/>
        <w:gridCol w:w="2280"/>
        <w:gridCol w:w="2300"/>
      </w:tblGrid>
      <w:tr>
        <w:trPr>
          <w:trHeight w:val="460" w:hRule="exact"/>
        </w:trPr>
        <w:tc>
          <w:tcPr>
            <w:tcW w:w="2300" w:type="dxa"/>
            <w:tcMar>
              <w:top w:w="0" w:type="dxa"/>
              <w:left w:w="0" w:type="dxa"/>
              <w:bottom w:w="0" w:type="dxa"/>
              <w:right w:w="0" w:type="dxa"/>
            </w:tcMar>
          </w:tcPr>
          <w:p>
            <w:pPr>
              <w:spacing w:before="80"/>
              <w:ind w:left="880"/>
            </w:pPr>
            <w:r>
              <w:rPr>
                <w:rFonts w:hint="eastAsia" w:ascii="宋体" w:hAnsi="宋体" w:eastAsia="宋体" w:cs="宋体"/>
                <w:b/>
                <w:sz w:val="21"/>
              </w:rPr>
              <w:t>科目</w:t>
            </w:r>
          </w:p>
        </w:tc>
        <w:tc>
          <w:tcPr>
            <w:tcW w:w="2300" w:type="dxa"/>
            <w:tcMar>
              <w:top w:w="0" w:type="dxa"/>
              <w:left w:w="0" w:type="dxa"/>
              <w:bottom w:w="0" w:type="dxa"/>
              <w:right w:w="0" w:type="dxa"/>
            </w:tcMar>
          </w:tcPr>
          <w:p>
            <w:pPr>
              <w:spacing w:before="80"/>
              <w:ind w:left="6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280" w:type="dxa"/>
            <w:tcMar>
              <w:top w:w="0" w:type="dxa"/>
              <w:left w:w="0" w:type="dxa"/>
              <w:bottom w:w="0" w:type="dxa"/>
              <w:right w:w="0" w:type="dxa"/>
            </w:tcMar>
          </w:tcPr>
          <w:p>
            <w:pPr>
              <w:spacing w:before="80"/>
              <w:ind w:left="62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80"/>
              <w:ind w:left="6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b/>
                <w:sz w:val="20"/>
              </w:rPr>
              <w:t>一、</w:t>
            </w:r>
            <w:r>
              <w:rPr>
                <w:rFonts w:hint="eastAsia" w:ascii="宋体" w:hAnsi="宋体" w:eastAsia="宋体" w:cs="宋体"/>
                <w:b/>
                <w:sz w:val="21"/>
              </w:rPr>
              <w:t>经营活动产生的现</w:t>
            </w:r>
          </w:p>
          <w:p>
            <w:pPr>
              <w:spacing w:before="100"/>
            </w:pPr>
            <w:r>
              <w:rPr>
                <w:rFonts w:hint="eastAsia" w:ascii="宋体" w:hAnsi="宋体" w:eastAsia="宋体" w:cs="宋体"/>
                <w:b/>
                <w:sz w:val="21"/>
              </w:rPr>
              <w:t>金流量</w:t>
            </w:r>
            <w:r>
              <w:rPr>
                <w:rFonts w:hint="eastAsia" w:ascii="宋体" w:hAnsi="宋体" w:eastAsia="宋体" w:cs="宋体"/>
                <w:b/>
                <w:sz w:val="10"/>
              </w:rPr>
              <w:t>：</w:t>
            </w:r>
          </w:p>
        </w:tc>
        <w:tc>
          <w:tcPr>
            <w:tcW w:w="2300" w:type="dxa"/>
            <w:tcMar>
              <w:top w:w="0" w:type="dxa"/>
              <w:left w:w="0" w:type="dxa"/>
              <w:bottom w:w="0" w:type="dxa"/>
              <w:right w:w="0" w:type="dxa"/>
            </w:tcMar>
          </w:tcPr>
          <w:p/>
        </w:tc>
        <w:tc>
          <w:tcPr>
            <w:tcW w:w="2280" w:type="dxa"/>
            <w:tcMar>
              <w:top w:w="0" w:type="dxa"/>
              <w:left w:w="0" w:type="dxa"/>
              <w:bottom w:w="0" w:type="dxa"/>
              <w:right w:w="0" w:type="dxa"/>
            </w:tcMar>
          </w:tcPr>
          <w:p/>
        </w:tc>
        <w:tc>
          <w:tcPr>
            <w:tcW w:w="2300" w:type="dxa"/>
            <w:tcMar>
              <w:top w:w="0" w:type="dxa"/>
              <w:left w:w="0" w:type="dxa"/>
              <w:bottom w:w="0" w:type="dxa"/>
              <w:right w:w="0" w:type="dxa"/>
            </w:tcMar>
          </w:tcPr>
          <w:p/>
        </w:tc>
      </w:tr>
      <w:tr>
        <w:trPr>
          <w:trHeight w:val="680" w:hRule="exact"/>
        </w:trPr>
        <w:tc>
          <w:tcPr>
            <w:tcW w:w="2300" w:type="dxa"/>
            <w:tcMar>
              <w:top w:w="0" w:type="dxa"/>
              <w:left w:w="0" w:type="dxa"/>
              <w:bottom w:w="0" w:type="dxa"/>
              <w:right w:w="0" w:type="dxa"/>
            </w:tcMar>
          </w:tcPr>
          <w:p>
            <w:pPr>
              <w:spacing w:before="20"/>
            </w:pPr>
            <w:r>
              <w:rPr>
                <w:rFonts w:hint="eastAsia" w:ascii="宋体" w:hAnsi="宋体" w:eastAsia="宋体" w:cs="宋体"/>
                <w:sz w:val="21"/>
              </w:rPr>
              <w:t>销售商品</w:t>
            </w:r>
            <w:r>
              <w:rPr>
                <w:rFonts w:hint="eastAsia" w:ascii="宋体" w:hAnsi="宋体" w:eastAsia="宋体" w:cs="宋体"/>
                <w:sz w:val="10"/>
              </w:rPr>
              <w:t>、</w:t>
            </w:r>
            <w:r>
              <w:rPr>
                <w:rFonts w:hint="eastAsia" w:ascii="宋体" w:hAnsi="宋体" w:eastAsia="宋体" w:cs="宋体"/>
                <w:sz w:val="21"/>
              </w:rPr>
              <w:t>提供劳务收</w:t>
            </w:r>
          </w:p>
          <w:p>
            <w:pPr>
              <w:spacing w:before="100"/>
            </w:pPr>
            <w:r>
              <w:rPr>
                <w:rFonts w:hint="eastAsia" w:ascii="宋体" w:hAnsi="宋体" w:eastAsia="宋体" w:cs="宋体"/>
                <w:sz w:val="21"/>
              </w:rPr>
              <w:t>到的现金</w:t>
            </w:r>
          </w:p>
        </w:tc>
        <w:tc>
          <w:tcPr>
            <w:tcW w:w="2300" w:type="dxa"/>
            <w:tcMar>
              <w:top w:w="0" w:type="dxa"/>
              <w:left w:w="0" w:type="dxa"/>
              <w:bottom w:w="0" w:type="dxa"/>
              <w:right w:w="0" w:type="dxa"/>
            </w:tcMar>
          </w:tcPr>
          <w:p>
            <w:pPr>
              <w:spacing w:before="240"/>
              <w:ind w:left="860"/>
            </w:pPr>
            <w:r>
              <w:rPr>
                <w:rFonts w:hint="eastAsia" w:ascii="Times New Roman" w:hAnsi="Times New Roman" w:eastAsia="Times New Roman" w:cs="Times New Roman"/>
                <w:sz w:val="21"/>
              </w:rPr>
              <w:t>197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c>
          <w:tcPr>
            <w:tcW w:w="2280" w:type="dxa"/>
            <w:tcMar>
              <w:top w:w="0" w:type="dxa"/>
              <w:left w:w="0" w:type="dxa"/>
              <w:bottom w:w="0" w:type="dxa"/>
              <w:right w:w="0" w:type="dxa"/>
            </w:tcMar>
          </w:tcPr>
          <w:p>
            <w:pPr>
              <w:spacing w:before="240"/>
              <w:ind w:left="840"/>
            </w:pPr>
            <w:r>
              <w:rPr>
                <w:rFonts w:hint="eastAsia" w:ascii="Times New Roman" w:hAnsi="Times New Roman" w:eastAsia="Times New Roman" w:cs="Times New Roman"/>
                <w:sz w:val="21"/>
              </w:rPr>
              <w:t>193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2300" w:type="dxa"/>
            <w:tcMar>
              <w:top w:w="0" w:type="dxa"/>
              <w:left w:w="0" w:type="dxa"/>
              <w:bottom w:w="0" w:type="dxa"/>
              <w:right w:w="0" w:type="dxa"/>
            </w:tcMar>
          </w:tcPr>
          <w:p>
            <w:pPr>
              <w:spacing w:before="240"/>
              <w:ind w:left="860"/>
            </w:pPr>
            <w:r>
              <w:rPr>
                <w:rFonts w:hint="eastAsia" w:ascii="Times New Roman" w:hAnsi="Times New Roman" w:eastAsia="Times New Roman" w:cs="Times New Roman"/>
                <w:sz w:val="21"/>
              </w:rPr>
              <w:t>139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sz w:val="21"/>
              </w:rPr>
              <w:t>收到的税费返还</w:t>
            </w:r>
          </w:p>
        </w:tc>
        <w:tc>
          <w:tcPr>
            <w:tcW w:w="2300" w:type="dxa"/>
            <w:tcMar>
              <w:top w:w="0" w:type="dxa"/>
              <w:left w:w="0" w:type="dxa"/>
              <w:bottom w:w="0" w:type="dxa"/>
              <w:right w:w="0" w:type="dxa"/>
            </w:tcMar>
          </w:tcPr>
          <w:p>
            <w:pPr>
              <w:spacing w:before="140"/>
              <w:ind w:left="106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2280" w:type="dxa"/>
            <w:tcMar>
              <w:top w:w="0" w:type="dxa"/>
              <w:left w:w="0" w:type="dxa"/>
              <w:bottom w:w="0" w:type="dxa"/>
              <w:right w:w="0" w:type="dxa"/>
            </w:tcMar>
          </w:tcPr>
          <w:p>
            <w:pPr>
              <w:spacing w:before="140"/>
              <w:ind w:left="9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2300" w:type="dxa"/>
            <w:tcMar>
              <w:top w:w="0" w:type="dxa"/>
              <w:left w:w="0" w:type="dxa"/>
              <w:bottom w:w="0" w:type="dxa"/>
              <w:right w:w="0" w:type="dxa"/>
            </w:tcMar>
          </w:tcPr>
          <w:p>
            <w:pPr>
              <w:spacing w:before="140"/>
              <w:ind w:left="10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收到的其他与经营活动</w:t>
            </w:r>
          </w:p>
          <w:p>
            <w:pPr>
              <w:spacing w:before="100"/>
            </w:pPr>
            <w:r>
              <w:rPr>
                <w:rFonts w:hint="eastAsia" w:ascii="宋体" w:hAnsi="宋体" w:eastAsia="宋体" w:cs="宋体"/>
                <w:sz w:val="21"/>
              </w:rPr>
              <w:t>有关的现金</w:t>
            </w:r>
          </w:p>
        </w:tc>
        <w:tc>
          <w:tcPr>
            <w:tcW w:w="2300" w:type="dxa"/>
            <w:tcMar>
              <w:top w:w="0" w:type="dxa"/>
              <w:left w:w="0" w:type="dxa"/>
              <w:bottom w:w="0" w:type="dxa"/>
              <w:right w:w="0" w:type="dxa"/>
            </w:tcMar>
          </w:tcPr>
          <w:p>
            <w:pPr>
              <w:spacing w:before="260"/>
              <w:ind w:left="96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280" w:type="dxa"/>
            <w:tcMar>
              <w:top w:w="0" w:type="dxa"/>
              <w:left w:w="0" w:type="dxa"/>
              <w:bottom w:w="0" w:type="dxa"/>
              <w:right w:w="0" w:type="dxa"/>
            </w:tcMar>
          </w:tcPr>
          <w:p>
            <w:pPr>
              <w:spacing w:before="260"/>
              <w:ind w:left="960"/>
            </w:pP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c>
          <w:tcPr>
            <w:tcW w:w="2300" w:type="dxa"/>
            <w:tcMar>
              <w:top w:w="0" w:type="dxa"/>
              <w:left w:w="0" w:type="dxa"/>
              <w:bottom w:w="0" w:type="dxa"/>
              <w:right w:w="0" w:type="dxa"/>
            </w:tcMar>
          </w:tcPr>
          <w:p>
            <w:pPr>
              <w:spacing w:before="260"/>
              <w:ind w:left="96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b/>
                <w:sz w:val="21"/>
              </w:rPr>
              <w:t>现金流入小计</w:t>
            </w:r>
          </w:p>
        </w:tc>
        <w:tc>
          <w:tcPr>
            <w:tcW w:w="2300" w:type="dxa"/>
            <w:tcMar>
              <w:top w:w="0" w:type="dxa"/>
              <w:left w:w="0" w:type="dxa"/>
              <w:bottom w:w="0" w:type="dxa"/>
              <w:right w:w="0" w:type="dxa"/>
            </w:tcMar>
          </w:tcPr>
          <w:p>
            <w:pPr>
              <w:spacing w:before="100"/>
              <w:ind w:left="860"/>
            </w:pPr>
            <w:r>
              <w:rPr>
                <w:rFonts w:hint="eastAsia" w:ascii="Times New Roman" w:hAnsi="Times New Roman" w:eastAsia="Times New Roman" w:cs="Times New Roman"/>
                <w:sz w:val="21"/>
              </w:rPr>
              <w:t>225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2280" w:type="dxa"/>
            <w:tcMar>
              <w:top w:w="0" w:type="dxa"/>
              <w:left w:w="0" w:type="dxa"/>
              <w:bottom w:w="0" w:type="dxa"/>
              <w:right w:w="0" w:type="dxa"/>
            </w:tcMar>
          </w:tcPr>
          <w:p>
            <w:pPr>
              <w:spacing w:before="100"/>
              <w:ind w:left="840"/>
            </w:pPr>
            <w:r>
              <w:rPr>
                <w:rFonts w:hint="eastAsia" w:ascii="Times New Roman" w:hAnsi="Times New Roman" w:eastAsia="Times New Roman" w:cs="Times New Roman"/>
                <w:sz w:val="21"/>
              </w:rPr>
              <w:t>239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p>
        </w:tc>
        <w:tc>
          <w:tcPr>
            <w:tcW w:w="2300" w:type="dxa"/>
            <w:tcMar>
              <w:top w:w="0" w:type="dxa"/>
              <w:left w:w="0" w:type="dxa"/>
              <w:bottom w:w="0" w:type="dxa"/>
              <w:right w:w="0" w:type="dxa"/>
            </w:tcMar>
          </w:tcPr>
          <w:p>
            <w:pPr>
              <w:spacing w:before="100"/>
              <w:ind w:left="860"/>
            </w:pPr>
            <w:r>
              <w:rPr>
                <w:rFonts w:hint="eastAsia" w:ascii="Times New Roman" w:hAnsi="Times New Roman" w:eastAsia="Times New Roman" w:cs="Times New Roman"/>
                <w:sz w:val="21"/>
              </w:rPr>
              <w:t>169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购买商品</w:t>
            </w:r>
            <w:r>
              <w:rPr>
                <w:rFonts w:hint="eastAsia" w:ascii="宋体" w:hAnsi="宋体" w:eastAsia="宋体" w:cs="宋体"/>
                <w:sz w:val="10"/>
              </w:rPr>
              <w:t>、</w:t>
            </w:r>
            <w:r>
              <w:rPr>
                <w:rFonts w:hint="eastAsia" w:ascii="宋体" w:hAnsi="宋体" w:eastAsia="宋体" w:cs="宋体"/>
                <w:sz w:val="21"/>
              </w:rPr>
              <w:t>接受劳务支</w:t>
            </w:r>
          </w:p>
          <w:p>
            <w:pPr>
              <w:spacing w:before="100"/>
            </w:pPr>
            <w:r>
              <w:rPr>
                <w:rFonts w:hint="eastAsia" w:ascii="宋体" w:hAnsi="宋体" w:eastAsia="宋体" w:cs="宋体"/>
                <w:sz w:val="21"/>
              </w:rPr>
              <w:t>付的现金</w:t>
            </w:r>
          </w:p>
        </w:tc>
        <w:tc>
          <w:tcPr>
            <w:tcW w:w="2300" w:type="dxa"/>
            <w:tcMar>
              <w:top w:w="0" w:type="dxa"/>
              <w:left w:w="0" w:type="dxa"/>
              <w:bottom w:w="0" w:type="dxa"/>
              <w:right w:w="0" w:type="dxa"/>
            </w:tcMar>
          </w:tcPr>
          <w:p>
            <w:pPr>
              <w:spacing w:before="220"/>
              <w:ind w:left="96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c>
          <w:tcPr>
            <w:tcW w:w="2280" w:type="dxa"/>
            <w:tcMar>
              <w:top w:w="0" w:type="dxa"/>
              <w:left w:w="0" w:type="dxa"/>
              <w:bottom w:w="0" w:type="dxa"/>
              <w:right w:w="0" w:type="dxa"/>
            </w:tcMar>
          </w:tcPr>
          <w:p>
            <w:pPr>
              <w:spacing w:before="220"/>
              <w:ind w:left="96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300" w:type="dxa"/>
            <w:tcMar>
              <w:top w:w="0" w:type="dxa"/>
              <w:left w:w="0" w:type="dxa"/>
              <w:bottom w:w="0" w:type="dxa"/>
              <w:right w:w="0" w:type="dxa"/>
            </w:tcMar>
          </w:tcPr>
          <w:p>
            <w:pPr>
              <w:spacing w:before="220"/>
              <w:ind w:left="96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p>
        </w:tc>
      </w:tr>
      <w:tr>
        <w:trPr>
          <w:trHeight w:val="68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支付给职工以及为职工</w:t>
            </w:r>
          </w:p>
          <w:p>
            <w:pPr>
              <w:spacing w:before="100"/>
            </w:pPr>
            <w:r>
              <w:rPr>
                <w:rFonts w:hint="eastAsia" w:ascii="宋体" w:hAnsi="宋体" w:eastAsia="宋体" w:cs="宋体"/>
                <w:sz w:val="21"/>
              </w:rPr>
              <w:t>支付的现金</w:t>
            </w:r>
          </w:p>
        </w:tc>
        <w:tc>
          <w:tcPr>
            <w:tcW w:w="2300" w:type="dxa"/>
            <w:tcMar>
              <w:top w:w="0" w:type="dxa"/>
              <w:left w:w="0" w:type="dxa"/>
              <w:bottom w:w="0" w:type="dxa"/>
              <w:right w:w="0" w:type="dxa"/>
            </w:tcMar>
          </w:tcPr>
          <w:p>
            <w:pPr>
              <w:spacing w:before="240"/>
              <w:ind w:left="960"/>
            </w:pP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c>
          <w:tcPr>
            <w:tcW w:w="2280" w:type="dxa"/>
            <w:tcMar>
              <w:top w:w="0" w:type="dxa"/>
              <w:left w:w="0" w:type="dxa"/>
              <w:bottom w:w="0" w:type="dxa"/>
              <w:right w:w="0" w:type="dxa"/>
            </w:tcMar>
          </w:tcPr>
          <w:p>
            <w:pPr>
              <w:spacing w:before="240"/>
              <w:ind w:left="96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p>
        </w:tc>
        <w:tc>
          <w:tcPr>
            <w:tcW w:w="2300" w:type="dxa"/>
            <w:tcMar>
              <w:top w:w="0" w:type="dxa"/>
              <w:left w:w="0" w:type="dxa"/>
              <w:bottom w:w="0" w:type="dxa"/>
              <w:right w:w="0" w:type="dxa"/>
            </w:tcMar>
          </w:tcPr>
          <w:p>
            <w:pPr>
              <w:spacing w:before="240"/>
              <w:ind w:left="960"/>
            </w:pP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sz w:val="21"/>
              </w:rPr>
              <w:t>支付的各项税费</w:t>
            </w:r>
          </w:p>
        </w:tc>
        <w:tc>
          <w:tcPr>
            <w:tcW w:w="2300" w:type="dxa"/>
            <w:tcMar>
              <w:top w:w="0" w:type="dxa"/>
              <w:left w:w="0" w:type="dxa"/>
              <w:bottom w:w="0" w:type="dxa"/>
              <w:right w:w="0" w:type="dxa"/>
            </w:tcMar>
          </w:tcPr>
          <w:p>
            <w:pPr>
              <w:spacing w:before="140"/>
              <w:ind w:left="96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c>
          <w:tcPr>
            <w:tcW w:w="2280" w:type="dxa"/>
            <w:tcMar>
              <w:top w:w="0" w:type="dxa"/>
              <w:left w:w="0" w:type="dxa"/>
              <w:bottom w:w="0" w:type="dxa"/>
              <w:right w:w="0" w:type="dxa"/>
            </w:tcMar>
          </w:tcPr>
          <w:p>
            <w:pPr>
              <w:spacing w:before="140"/>
              <w:ind w:left="96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c>
          <w:tcPr>
            <w:tcW w:w="2300" w:type="dxa"/>
            <w:tcMar>
              <w:top w:w="0" w:type="dxa"/>
              <w:left w:w="0" w:type="dxa"/>
              <w:bottom w:w="0" w:type="dxa"/>
              <w:right w:w="0" w:type="dxa"/>
            </w:tcMar>
          </w:tcPr>
          <w:p>
            <w:pPr>
              <w:spacing w:before="140"/>
              <w:ind w:left="96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支付的其他与经营活动</w:t>
            </w:r>
          </w:p>
          <w:p>
            <w:pPr>
              <w:spacing w:before="100"/>
            </w:pPr>
            <w:r>
              <w:rPr>
                <w:rFonts w:hint="eastAsia" w:ascii="宋体" w:hAnsi="宋体" w:eastAsia="宋体" w:cs="宋体"/>
                <w:sz w:val="21"/>
              </w:rPr>
              <w:t>有关的现金</w:t>
            </w:r>
          </w:p>
        </w:tc>
        <w:tc>
          <w:tcPr>
            <w:tcW w:w="2300" w:type="dxa"/>
            <w:tcMar>
              <w:top w:w="0" w:type="dxa"/>
              <w:left w:w="0" w:type="dxa"/>
              <w:bottom w:w="0" w:type="dxa"/>
              <w:right w:w="0" w:type="dxa"/>
            </w:tcMar>
          </w:tcPr>
          <w:p>
            <w:pPr>
              <w:spacing w:before="220"/>
              <w:ind w:left="96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2280" w:type="dxa"/>
            <w:tcMar>
              <w:top w:w="0" w:type="dxa"/>
              <w:left w:w="0" w:type="dxa"/>
              <w:bottom w:w="0" w:type="dxa"/>
              <w:right w:w="0" w:type="dxa"/>
            </w:tcMar>
          </w:tcPr>
          <w:p>
            <w:pPr>
              <w:spacing w:before="220"/>
              <w:ind w:left="96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2300" w:type="dxa"/>
            <w:tcMar>
              <w:top w:w="0" w:type="dxa"/>
              <w:left w:w="0" w:type="dxa"/>
              <w:bottom w:w="0" w:type="dxa"/>
              <w:right w:w="0" w:type="dxa"/>
            </w:tcMar>
          </w:tcPr>
          <w:p>
            <w:pPr>
              <w:spacing w:before="220"/>
              <w:ind w:left="96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r>
      <w:tr>
        <w:trPr>
          <w:trHeight w:val="460" w:hRule="exact"/>
        </w:trPr>
        <w:tc>
          <w:tcPr>
            <w:tcW w:w="2300" w:type="dxa"/>
            <w:tcMar>
              <w:top w:w="0" w:type="dxa"/>
              <w:left w:w="0" w:type="dxa"/>
              <w:bottom w:w="0" w:type="dxa"/>
              <w:right w:w="0" w:type="dxa"/>
            </w:tcMar>
          </w:tcPr>
          <w:p>
            <w:pPr>
              <w:spacing w:before="60"/>
            </w:pPr>
            <w:r>
              <w:rPr>
                <w:rFonts w:hint="eastAsia" w:ascii="宋体" w:hAnsi="宋体" w:eastAsia="宋体" w:cs="宋体"/>
                <w:b/>
                <w:sz w:val="21"/>
              </w:rPr>
              <w:t>现金流出小计</w:t>
            </w:r>
          </w:p>
        </w:tc>
        <w:tc>
          <w:tcPr>
            <w:tcW w:w="2300" w:type="dxa"/>
            <w:tcMar>
              <w:top w:w="0" w:type="dxa"/>
              <w:left w:w="0" w:type="dxa"/>
              <w:bottom w:w="0" w:type="dxa"/>
              <w:right w:w="0" w:type="dxa"/>
            </w:tcMar>
          </w:tcPr>
          <w:p>
            <w:pPr>
              <w:spacing w:before="100"/>
              <w:ind w:left="860"/>
            </w:pPr>
            <w:r>
              <w:rPr>
                <w:rFonts w:hint="eastAsia" w:ascii="Times New Roman" w:hAnsi="Times New Roman" w:eastAsia="Times New Roman" w:cs="Times New Roman"/>
                <w:sz w:val="21"/>
              </w:rPr>
              <w:t>132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280" w:type="dxa"/>
            <w:tcMar>
              <w:top w:w="0" w:type="dxa"/>
              <w:left w:w="0" w:type="dxa"/>
              <w:bottom w:w="0" w:type="dxa"/>
              <w:right w:w="0" w:type="dxa"/>
            </w:tcMar>
          </w:tcPr>
          <w:p>
            <w:pPr>
              <w:spacing w:before="100"/>
              <w:ind w:left="860"/>
            </w:pPr>
            <w:r>
              <w:rPr>
                <w:rFonts w:hint="eastAsia" w:ascii="Times New Roman" w:hAnsi="Times New Roman" w:eastAsia="Times New Roman" w:cs="Times New Roman"/>
                <w:sz w:val="21"/>
              </w:rPr>
              <w:t>125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p>
        </w:tc>
        <w:tc>
          <w:tcPr>
            <w:tcW w:w="2300" w:type="dxa"/>
            <w:tcMar>
              <w:top w:w="0" w:type="dxa"/>
              <w:left w:w="0" w:type="dxa"/>
              <w:bottom w:w="0" w:type="dxa"/>
              <w:right w:w="0" w:type="dxa"/>
            </w:tcMar>
          </w:tcPr>
          <w:p>
            <w:pPr>
              <w:spacing w:before="100"/>
              <w:ind w:left="960"/>
            </w:pP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r>
        <w:trPr>
          <w:trHeight w:val="680" w:hRule="exact"/>
        </w:trPr>
        <w:tc>
          <w:tcPr>
            <w:tcW w:w="2300" w:type="dxa"/>
            <w:tcMar>
              <w:top w:w="0" w:type="dxa"/>
              <w:left w:w="0" w:type="dxa"/>
              <w:bottom w:w="0" w:type="dxa"/>
              <w:right w:w="0" w:type="dxa"/>
            </w:tcMar>
          </w:tcPr>
          <w:p>
            <w:pPr>
              <w:spacing w:before="20"/>
            </w:pPr>
            <w:r>
              <w:rPr>
                <w:rFonts w:hint="eastAsia" w:ascii="宋体" w:hAnsi="宋体" w:eastAsia="宋体" w:cs="宋体"/>
                <w:b/>
                <w:sz w:val="21"/>
              </w:rPr>
              <w:t>经营活动产生的现金流</w:t>
            </w:r>
          </w:p>
          <w:p>
            <w:pPr>
              <w:spacing w:before="120"/>
            </w:pPr>
            <w:r>
              <w:rPr>
                <w:rFonts w:hint="eastAsia" w:ascii="宋体" w:hAnsi="宋体" w:eastAsia="宋体" w:cs="宋体"/>
                <w:b/>
                <w:sz w:val="21"/>
              </w:rPr>
              <w:t>量净额</w:t>
            </w:r>
          </w:p>
        </w:tc>
        <w:tc>
          <w:tcPr>
            <w:tcW w:w="2300" w:type="dxa"/>
            <w:tcMar>
              <w:top w:w="0" w:type="dxa"/>
              <w:left w:w="0" w:type="dxa"/>
              <w:bottom w:w="0" w:type="dxa"/>
              <w:right w:w="0" w:type="dxa"/>
            </w:tcMar>
          </w:tcPr>
          <w:p>
            <w:pPr>
              <w:spacing w:before="220"/>
              <w:ind w:left="960"/>
            </w:pPr>
            <w:r>
              <w:rPr>
                <w:rFonts w:hint="eastAsia" w:ascii="Times New Roman Bold" w:hAnsi="Times New Roman Bold" w:eastAsia="Times New Roman Bold" w:cs="Times New Roman Bold"/>
                <w:b/>
                <w:sz w:val="21"/>
              </w:rPr>
              <w:t>93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363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w:t>
            </w:r>
          </w:p>
        </w:tc>
        <w:tc>
          <w:tcPr>
            <w:tcW w:w="2280" w:type="dxa"/>
            <w:tcMar>
              <w:top w:w="0" w:type="dxa"/>
              <w:left w:w="0" w:type="dxa"/>
              <w:bottom w:w="0" w:type="dxa"/>
              <w:right w:w="0" w:type="dxa"/>
            </w:tcMar>
          </w:tcPr>
          <w:p>
            <w:pPr>
              <w:spacing w:before="220"/>
              <w:ind w:left="860"/>
            </w:pPr>
            <w:r>
              <w:rPr>
                <w:rFonts w:hint="eastAsia" w:ascii="Times New Roman Bold" w:hAnsi="Times New Roman Bold" w:eastAsia="Times New Roman Bold" w:cs="Times New Roman Bold"/>
                <w:b/>
                <w:sz w:val="21"/>
              </w:rPr>
              <w:t>113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601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680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w:t>
            </w:r>
          </w:p>
        </w:tc>
        <w:tc>
          <w:tcPr>
            <w:tcW w:w="2300" w:type="dxa"/>
            <w:tcMar>
              <w:top w:w="0" w:type="dxa"/>
              <w:left w:w="0" w:type="dxa"/>
              <w:bottom w:w="0" w:type="dxa"/>
              <w:right w:w="0" w:type="dxa"/>
            </w:tcMar>
          </w:tcPr>
          <w:p>
            <w:pPr>
              <w:spacing w:before="220"/>
              <w:ind w:left="960"/>
            </w:pPr>
            <w:r>
              <w:rPr>
                <w:rFonts w:hint="eastAsia" w:ascii="Times New Roman Bold" w:hAnsi="Times New Roman Bold" w:eastAsia="Times New Roman Bold" w:cs="Times New Roman Bold"/>
                <w:b/>
                <w:sz w:val="21"/>
              </w:rPr>
              <w:t>73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729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b/>
                <w:sz w:val="20"/>
              </w:rPr>
              <w:t>二、</w:t>
            </w:r>
            <w:r>
              <w:rPr>
                <w:rFonts w:hint="eastAsia" w:ascii="宋体" w:hAnsi="宋体" w:eastAsia="宋体" w:cs="宋体"/>
                <w:b/>
                <w:sz w:val="21"/>
              </w:rPr>
              <w:t>投资活动产生的现</w:t>
            </w:r>
          </w:p>
          <w:p>
            <w:pPr>
              <w:spacing w:before="120"/>
            </w:pPr>
            <w:r>
              <w:rPr>
                <w:rFonts w:hint="eastAsia" w:ascii="宋体" w:hAnsi="宋体" w:eastAsia="宋体" w:cs="宋体"/>
                <w:b/>
                <w:sz w:val="21"/>
              </w:rPr>
              <w:t>金流量</w:t>
            </w:r>
            <w:r>
              <w:rPr>
                <w:rFonts w:hint="eastAsia" w:ascii="宋体" w:hAnsi="宋体" w:eastAsia="宋体" w:cs="宋体"/>
                <w:b/>
                <w:sz w:val="10"/>
              </w:rPr>
              <w:t>：</w:t>
            </w:r>
          </w:p>
        </w:tc>
        <w:tc>
          <w:tcPr>
            <w:tcW w:w="2300" w:type="dxa"/>
            <w:tcMar>
              <w:top w:w="0" w:type="dxa"/>
              <w:left w:w="0" w:type="dxa"/>
              <w:bottom w:w="0" w:type="dxa"/>
              <w:right w:w="0" w:type="dxa"/>
            </w:tcMar>
          </w:tcPr>
          <w:p/>
        </w:tc>
        <w:tc>
          <w:tcPr>
            <w:tcW w:w="2280" w:type="dxa"/>
            <w:tcMar>
              <w:top w:w="0" w:type="dxa"/>
              <w:left w:w="0" w:type="dxa"/>
              <w:bottom w:w="0" w:type="dxa"/>
              <w:right w:w="0" w:type="dxa"/>
            </w:tcMar>
          </w:tcPr>
          <w:p/>
        </w:tc>
        <w:tc>
          <w:tcPr>
            <w:tcW w:w="2300" w:type="dxa"/>
            <w:tcMar>
              <w:top w:w="0" w:type="dxa"/>
              <w:left w:w="0" w:type="dxa"/>
              <w:bottom w:w="0" w:type="dxa"/>
              <w:right w:w="0" w:type="dxa"/>
            </w:tcMar>
          </w:tcP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sz w:val="21"/>
              </w:rPr>
              <w:t>收回投资收到的现金</w:t>
            </w:r>
          </w:p>
        </w:tc>
        <w:tc>
          <w:tcPr>
            <w:tcW w:w="2300" w:type="dxa"/>
            <w:tcMar>
              <w:top w:w="0" w:type="dxa"/>
              <w:left w:w="0" w:type="dxa"/>
              <w:bottom w:w="0" w:type="dxa"/>
              <w:right w:w="0" w:type="dxa"/>
            </w:tcMar>
          </w:tcPr>
          <w:p>
            <w:pPr>
              <w:spacing w:before="260"/>
              <w:ind w:left="2100"/>
            </w:pPr>
            <w:r>
              <w:rPr>
                <w:rFonts w:hint="eastAsia" w:ascii="Times New Roman Bold" w:hAnsi="Times New Roman Bold" w:eastAsia="Times New Roman Bold" w:cs="Times New Roman Bold"/>
                <w:b/>
                <w:sz w:val="21"/>
              </w:rPr>
              <w:t>-</w:t>
            </w:r>
          </w:p>
        </w:tc>
        <w:tc>
          <w:tcPr>
            <w:tcW w:w="2280" w:type="dxa"/>
            <w:tcMar>
              <w:top w:w="0" w:type="dxa"/>
              <w:left w:w="0" w:type="dxa"/>
              <w:bottom w:w="0" w:type="dxa"/>
              <w:right w:w="0" w:type="dxa"/>
            </w:tcMar>
          </w:tcPr>
          <w:p>
            <w:pPr>
              <w:spacing w:before="120"/>
              <w:ind w:left="122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260"/>
              <w:ind w:left="2100"/>
            </w:pPr>
            <w:r>
              <w:rPr>
                <w:rFonts w:hint="eastAsia" w:ascii="Times New Roman Bold" w:hAnsi="Times New Roman Bold" w:eastAsia="Times New Roman Bold" w:cs="Times New Roman Bold"/>
                <w:b/>
                <w:sz w:val="21"/>
              </w:rPr>
              <w:t>-</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取得投资收益收到的现</w:t>
            </w:r>
          </w:p>
          <w:p>
            <w:pPr>
              <w:spacing w:before="100"/>
            </w:pPr>
            <w:r>
              <w:rPr>
                <w:rFonts w:hint="eastAsia" w:ascii="宋体" w:hAnsi="宋体" w:eastAsia="宋体" w:cs="宋体"/>
                <w:sz w:val="21"/>
              </w:rPr>
              <w:t>金</w:t>
            </w:r>
          </w:p>
        </w:tc>
        <w:tc>
          <w:tcPr>
            <w:tcW w:w="2300" w:type="dxa"/>
            <w:tcMar>
              <w:top w:w="0" w:type="dxa"/>
              <w:left w:w="0" w:type="dxa"/>
              <w:bottom w:w="0" w:type="dxa"/>
              <w:right w:w="0" w:type="dxa"/>
            </w:tcMar>
          </w:tcPr>
          <w:p>
            <w:pPr>
              <w:spacing w:before="360"/>
              <w:ind w:left="2100"/>
            </w:pPr>
            <w:r>
              <w:rPr>
                <w:rFonts w:hint="eastAsia" w:ascii="Times New Roman Bold" w:hAnsi="Times New Roman Bold" w:eastAsia="Times New Roman Bold" w:cs="Times New Roman Bold"/>
                <w:b/>
                <w:sz w:val="21"/>
              </w:rPr>
              <w:t>-</w:t>
            </w:r>
          </w:p>
        </w:tc>
        <w:tc>
          <w:tcPr>
            <w:tcW w:w="2280" w:type="dxa"/>
            <w:tcMar>
              <w:top w:w="0" w:type="dxa"/>
              <w:left w:w="0" w:type="dxa"/>
              <w:bottom w:w="0" w:type="dxa"/>
              <w:right w:w="0" w:type="dxa"/>
            </w:tcMar>
          </w:tcPr>
          <w:p>
            <w:pPr>
              <w:spacing w:before="220"/>
              <w:ind w:left="1220"/>
            </w:pPr>
            <w:r>
              <w:rPr>
                <w:rFonts w:hint="eastAsia" w:ascii="Times New Roman" w:hAnsi="Times New Roman" w:eastAsia="Times New Roman" w:cs="Times New Roman"/>
                <w:sz w:val="21"/>
              </w:rPr>
              <w:t>301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360"/>
              <w:ind w:left="2100"/>
            </w:pPr>
            <w:r>
              <w:rPr>
                <w:rFonts w:hint="eastAsia" w:ascii="Times New Roman Bold" w:hAnsi="Times New Roman Bold" w:eastAsia="Times New Roman Bold" w:cs="Times New Roman Bold"/>
                <w:b/>
                <w:sz w:val="21"/>
              </w:rPr>
              <w:t>-</w:t>
            </w:r>
          </w:p>
        </w:tc>
      </w:tr>
      <w:tr>
        <w:trPr>
          <w:trHeight w:val="100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处置固定资产</w:t>
            </w:r>
            <w:r>
              <w:rPr>
                <w:rFonts w:hint="eastAsia" w:ascii="宋体" w:hAnsi="宋体" w:eastAsia="宋体" w:cs="宋体"/>
                <w:sz w:val="10"/>
              </w:rPr>
              <w:t>、</w:t>
            </w:r>
            <w:r>
              <w:rPr>
                <w:rFonts w:hint="eastAsia" w:ascii="宋体" w:hAnsi="宋体" w:eastAsia="宋体" w:cs="宋体"/>
                <w:sz w:val="21"/>
              </w:rPr>
              <w:t>无形资</w:t>
            </w:r>
          </w:p>
          <w:p>
            <w:pPr>
              <w:spacing w:before="100"/>
            </w:pPr>
            <w:r>
              <w:rPr>
                <w:rFonts w:hint="eastAsia" w:ascii="宋体" w:hAnsi="宋体" w:eastAsia="宋体" w:cs="宋体"/>
                <w:sz w:val="21"/>
              </w:rPr>
              <w:t>产和其他长期资产收回</w:t>
            </w:r>
          </w:p>
          <w:p>
            <w:pPr>
              <w:spacing w:before="80"/>
            </w:pPr>
            <w:r>
              <w:rPr>
                <w:rFonts w:hint="eastAsia" w:ascii="宋体" w:hAnsi="宋体" w:eastAsia="宋体" w:cs="宋体"/>
                <w:sz w:val="21"/>
              </w:rPr>
              <w:t>的现金净额</w:t>
            </w:r>
          </w:p>
        </w:tc>
        <w:tc>
          <w:tcPr>
            <w:tcW w:w="2300" w:type="dxa"/>
            <w:tcMar>
              <w:top w:w="0" w:type="dxa"/>
              <w:left w:w="0" w:type="dxa"/>
              <w:bottom w:w="0" w:type="dxa"/>
              <w:right w:w="0" w:type="dxa"/>
            </w:tcMar>
          </w:tcPr>
          <w:p>
            <w:pPr>
              <w:spacing w:before="400"/>
              <w:ind w:left="13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2280" w:type="dxa"/>
            <w:tcMar>
              <w:top w:w="0" w:type="dxa"/>
              <w:left w:w="0" w:type="dxa"/>
              <w:bottom w:w="0" w:type="dxa"/>
              <w:right w:w="0" w:type="dxa"/>
            </w:tcMar>
          </w:tcPr>
          <w:p>
            <w:pPr>
              <w:spacing w:before="520"/>
              <w:ind w:left="210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520"/>
              <w:ind w:left="2100"/>
            </w:pPr>
            <w:r>
              <w:rPr>
                <w:rFonts w:hint="eastAsia" w:ascii="Times New Roman Bold" w:hAnsi="Times New Roman Bold" w:eastAsia="Times New Roman Bold" w:cs="Times New Roman Bold"/>
                <w:b/>
                <w:sz w:val="21"/>
              </w:rPr>
              <w:t>-</w:t>
            </w: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b/>
                <w:sz w:val="21"/>
              </w:rPr>
              <w:t>现金流入小计</w:t>
            </w:r>
          </w:p>
        </w:tc>
        <w:tc>
          <w:tcPr>
            <w:tcW w:w="2300" w:type="dxa"/>
            <w:tcMar>
              <w:top w:w="0" w:type="dxa"/>
              <w:left w:w="0" w:type="dxa"/>
              <w:bottom w:w="0" w:type="dxa"/>
              <w:right w:w="0" w:type="dxa"/>
            </w:tcMar>
          </w:tcPr>
          <w:p>
            <w:pPr>
              <w:spacing w:before="120"/>
              <w:ind w:left="13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2280" w:type="dxa"/>
            <w:tcMar>
              <w:top w:w="0" w:type="dxa"/>
              <w:left w:w="0" w:type="dxa"/>
              <w:bottom w:w="0" w:type="dxa"/>
              <w:right w:w="0" w:type="dxa"/>
            </w:tcMar>
          </w:tcPr>
          <w:p>
            <w:pPr>
              <w:spacing w:before="120"/>
              <w:ind w:left="1220"/>
            </w:pPr>
            <w:r>
              <w:rPr>
                <w:rFonts w:hint="eastAsia" w:ascii="Times New Roman" w:hAnsi="Times New Roman" w:eastAsia="Times New Roman" w:cs="Times New Roman"/>
                <w:sz w:val="21"/>
              </w:rPr>
              <w:t>401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220"/>
              <w:ind w:left="2100"/>
            </w:pPr>
            <w:r>
              <w:rPr>
                <w:rFonts w:hint="eastAsia" w:ascii="Times New Roman Bold" w:hAnsi="Times New Roman Bold" w:eastAsia="Times New Roman Bold" w:cs="Times New Roman Bold"/>
                <w:b/>
                <w:sz w:val="21"/>
              </w:rPr>
              <w:t>-</w:t>
            </w:r>
          </w:p>
        </w:tc>
      </w:tr>
      <w:tr>
        <w:trPr>
          <w:trHeight w:val="1000" w:hRule="exact"/>
        </w:trPr>
        <w:tc>
          <w:tcPr>
            <w:tcW w:w="2300" w:type="dxa"/>
            <w:tcMar>
              <w:top w:w="0" w:type="dxa"/>
              <w:left w:w="0" w:type="dxa"/>
              <w:bottom w:w="0" w:type="dxa"/>
              <w:right w:w="0" w:type="dxa"/>
            </w:tcMar>
          </w:tcPr>
          <w:p>
            <w:pPr>
              <w:spacing w:before="20"/>
            </w:pPr>
            <w:r>
              <w:rPr>
                <w:rFonts w:hint="eastAsia" w:ascii="宋体" w:hAnsi="宋体" w:eastAsia="宋体" w:cs="宋体"/>
                <w:sz w:val="21"/>
              </w:rPr>
              <w:t>购建固定资产</w:t>
            </w:r>
            <w:r>
              <w:rPr>
                <w:rFonts w:hint="eastAsia" w:ascii="宋体" w:hAnsi="宋体" w:eastAsia="宋体" w:cs="宋体"/>
                <w:sz w:val="10"/>
              </w:rPr>
              <w:t>、</w:t>
            </w:r>
            <w:r>
              <w:rPr>
                <w:rFonts w:hint="eastAsia" w:ascii="宋体" w:hAnsi="宋体" w:eastAsia="宋体" w:cs="宋体"/>
                <w:sz w:val="21"/>
              </w:rPr>
              <w:t>无形资</w:t>
            </w:r>
          </w:p>
          <w:p>
            <w:pPr>
              <w:spacing w:before="100"/>
            </w:pPr>
            <w:r>
              <w:rPr>
                <w:rFonts w:hint="eastAsia" w:ascii="宋体" w:hAnsi="宋体" w:eastAsia="宋体" w:cs="宋体"/>
                <w:sz w:val="21"/>
              </w:rPr>
              <w:t>产和其他长期资产所支</w:t>
            </w:r>
          </w:p>
          <w:p>
            <w:pPr>
              <w:spacing w:before="100"/>
            </w:pPr>
            <w:r>
              <w:rPr>
                <w:rFonts w:hint="eastAsia" w:ascii="宋体" w:hAnsi="宋体" w:eastAsia="宋体" w:cs="宋体"/>
                <w:sz w:val="21"/>
              </w:rPr>
              <w:t>付的现金</w:t>
            </w:r>
          </w:p>
        </w:tc>
        <w:tc>
          <w:tcPr>
            <w:tcW w:w="2300" w:type="dxa"/>
            <w:tcMar>
              <w:top w:w="0" w:type="dxa"/>
              <w:left w:w="0" w:type="dxa"/>
              <w:bottom w:w="0" w:type="dxa"/>
              <w:right w:w="0" w:type="dxa"/>
            </w:tcMar>
          </w:tcPr>
          <w:p>
            <w:pPr>
              <w:spacing w:before="400"/>
              <w:ind w:left="10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2280" w:type="dxa"/>
            <w:tcMar>
              <w:top w:w="0" w:type="dxa"/>
              <w:left w:w="0" w:type="dxa"/>
              <w:bottom w:w="0" w:type="dxa"/>
              <w:right w:w="0" w:type="dxa"/>
            </w:tcMar>
          </w:tcPr>
          <w:p>
            <w:pPr>
              <w:spacing w:before="400"/>
              <w:ind w:left="10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c>
          <w:tcPr>
            <w:tcW w:w="2300" w:type="dxa"/>
            <w:tcMar>
              <w:top w:w="0" w:type="dxa"/>
              <w:left w:w="0" w:type="dxa"/>
              <w:bottom w:w="0" w:type="dxa"/>
              <w:right w:w="0" w:type="dxa"/>
            </w:tcMar>
          </w:tcPr>
          <w:p>
            <w:pPr>
              <w:spacing w:before="400"/>
              <w:ind w:left="10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sz w:val="21"/>
              </w:rPr>
              <w:t>投资支付的现金</w:t>
            </w:r>
          </w:p>
        </w:tc>
        <w:tc>
          <w:tcPr>
            <w:tcW w:w="2300" w:type="dxa"/>
            <w:tcMar>
              <w:top w:w="0" w:type="dxa"/>
              <w:left w:w="0" w:type="dxa"/>
              <w:bottom w:w="0" w:type="dxa"/>
              <w:right w:w="0" w:type="dxa"/>
            </w:tcMar>
          </w:tcPr>
          <w:p>
            <w:pPr>
              <w:spacing w:before="260"/>
              <w:ind w:left="2100"/>
            </w:pPr>
            <w:r>
              <w:rPr>
                <w:rFonts w:hint="eastAsia" w:ascii="Times New Roman Bold" w:hAnsi="Times New Roman Bold" w:eastAsia="Times New Roman Bold" w:cs="Times New Roman Bold"/>
                <w:b/>
                <w:sz w:val="21"/>
              </w:rPr>
              <w:t>-</w:t>
            </w:r>
          </w:p>
        </w:tc>
        <w:tc>
          <w:tcPr>
            <w:tcW w:w="2280" w:type="dxa"/>
            <w:tcMar>
              <w:top w:w="0" w:type="dxa"/>
              <w:left w:w="0" w:type="dxa"/>
              <w:bottom w:w="0" w:type="dxa"/>
              <w:right w:w="0" w:type="dxa"/>
            </w:tcMar>
          </w:tcPr>
          <w:p>
            <w:pPr>
              <w:spacing w:before="120"/>
              <w:ind w:left="10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120"/>
              <w:ind w:left="96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66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支付其他与投资活动有</w:t>
            </w:r>
          </w:p>
          <w:p>
            <w:pPr>
              <w:spacing w:before="100"/>
            </w:pPr>
            <w:r>
              <w:rPr>
                <w:rFonts w:hint="eastAsia" w:ascii="宋体" w:hAnsi="宋体" w:eastAsia="宋体" w:cs="宋体"/>
                <w:sz w:val="21"/>
              </w:rPr>
              <w:t>关的现金</w:t>
            </w:r>
          </w:p>
        </w:tc>
        <w:tc>
          <w:tcPr>
            <w:tcW w:w="2300" w:type="dxa"/>
            <w:tcMar>
              <w:top w:w="0" w:type="dxa"/>
              <w:left w:w="0" w:type="dxa"/>
              <w:bottom w:w="0" w:type="dxa"/>
              <w:right w:w="0" w:type="dxa"/>
            </w:tcMar>
          </w:tcPr>
          <w:p>
            <w:pPr>
              <w:spacing w:before="360"/>
              <w:ind w:left="2100"/>
            </w:pPr>
            <w:r>
              <w:rPr>
                <w:rFonts w:hint="eastAsia" w:ascii="Times New Roman Bold" w:hAnsi="Times New Roman Bold" w:eastAsia="Times New Roman Bold" w:cs="Times New Roman Bold"/>
                <w:b/>
                <w:sz w:val="21"/>
              </w:rPr>
              <w:t>-</w:t>
            </w:r>
          </w:p>
        </w:tc>
        <w:tc>
          <w:tcPr>
            <w:tcW w:w="2280" w:type="dxa"/>
            <w:tcMar>
              <w:top w:w="0" w:type="dxa"/>
              <w:left w:w="0" w:type="dxa"/>
              <w:bottom w:w="0" w:type="dxa"/>
              <w:right w:w="0" w:type="dxa"/>
            </w:tcMar>
          </w:tcPr>
          <w:p>
            <w:pPr>
              <w:spacing w:before="360"/>
              <w:ind w:left="2100"/>
            </w:pPr>
            <w:r>
              <w:rPr>
                <w:rFonts w:hint="eastAsia" w:ascii="Times New Roman Bold" w:hAnsi="Times New Roman Bold" w:eastAsia="Times New Roman Bold" w:cs="Times New Roman Bold"/>
                <w:b/>
                <w:sz w:val="21"/>
              </w:rPr>
              <w:t>-</w:t>
            </w:r>
          </w:p>
        </w:tc>
        <w:tc>
          <w:tcPr>
            <w:tcW w:w="2300" w:type="dxa"/>
            <w:tcMar>
              <w:top w:w="0" w:type="dxa"/>
              <w:left w:w="0" w:type="dxa"/>
              <w:bottom w:w="0" w:type="dxa"/>
              <w:right w:w="0" w:type="dxa"/>
            </w:tcMar>
          </w:tcPr>
          <w:p>
            <w:pPr>
              <w:spacing w:before="380"/>
              <w:ind w:left="2100"/>
            </w:pPr>
            <w:r>
              <w:rPr>
                <w:rFonts w:hint="eastAsia" w:ascii="Times New Roman" w:hAnsi="Times New Roman" w:eastAsia="Times New Roman" w:cs="Times New Roman"/>
                <w:sz w:val="21"/>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1-1-220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00"/>
        <w:gridCol w:w="2300"/>
        <w:gridCol w:w="2280"/>
        <w:gridCol w:w="2300"/>
      </w:tblGrid>
      <w:tr>
        <w:trPr>
          <w:trHeight w:val="480" w:hRule="exact"/>
        </w:trPr>
        <w:tc>
          <w:tcPr>
            <w:tcW w:w="2300" w:type="dxa"/>
            <w:tcMar>
              <w:top w:w="0" w:type="dxa"/>
              <w:left w:w="0" w:type="dxa"/>
              <w:bottom w:w="0" w:type="dxa"/>
              <w:right w:w="0" w:type="dxa"/>
            </w:tcMar>
          </w:tcPr>
          <w:p>
            <w:pPr>
              <w:spacing w:before="100"/>
              <w:ind w:left="880"/>
            </w:pPr>
            <w:r>
              <w:rPr>
                <w:rFonts w:hint="eastAsia" w:ascii="宋体" w:hAnsi="宋体" w:eastAsia="宋体" w:cs="宋体"/>
                <w:b/>
                <w:sz w:val="21"/>
              </w:rPr>
              <w:t>科目</w:t>
            </w:r>
          </w:p>
        </w:tc>
        <w:tc>
          <w:tcPr>
            <w:tcW w:w="2300" w:type="dxa"/>
            <w:tcMar>
              <w:top w:w="0" w:type="dxa"/>
              <w:left w:w="0" w:type="dxa"/>
              <w:bottom w:w="0" w:type="dxa"/>
              <w:right w:w="0" w:type="dxa"/>
            </w:tcMar>
          </w:tcPr>
          <w:p>
            <w:pPr>
              <w:spacing w:before="100"/>
              <w:ind w:left="6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280" w:type="dxa"/>
            <w:tcMar>
              <w:top w:w="0" w:type="dxa"/>
              <w:left w:w="0" w:type="dxa"/>
              <w:bottom w:w="0" w:type="dxa"/>
              <w:right w:w="0" w:type="dxa"/>
            </w:tcMar>
          </w:tcPr>
          <w:p>
            <w:pPr>
              <w:spacing w:before="100"/>
              <w:ind w:left="62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00"/>
              <w:ind w:left="6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b/>
                <w:sz w:val="21"/>
              </w:rPr>
              <w:t>现金流出小计</w:t>
            </w:r>
          </w:p>
        </w:tc>
        <w:tc>
          <w:tcPr>
            <w:tcW w:w="2300" w:type="dxa"/>
            <w:tcMar>
              <w:top w:w="0" w:type="dxa"/>
              <w:left w:w="0" w:type="dxa"/>
              <w:bottom w:w="0" w:type="dxa"/>
              <w:right w:w="0" w:type="dxa"/>
            </w:tcMar>
          </w:tcPr>
          <w:p>
            <w:pPr>
              <w:spacing w:before="120"/>
              <w:ind w:left="10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2280" w:type="dxa"/>
            <w:tcMar>
              <w:top w:w="0" w:type="dxa"/>
              <w:left w:w="0" w:type="dxa"/>
              <w:bottom w:w="0" w:type="dxa"/>
              <w:right w:w="0" w:type="dxa"/>
            </w:tcMar>
          </w:tcPr>
          <w:p>
            <w:pPr>
              <w:spacing w:before="120"/>
              <w:ind w:left="10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c>
          <w:tcPr>
            <w:tcW w:w="2300" w:type="dxa"/>
            <w:tcMar>
              <w:top w:w="0" w:type="dxa"/>
              <w:left w:w="0" w:type="dxa"/>
              <w:bottom w:w="0" w:type="dxa"/>
              <w:right w:w="0" w:type="dxa"/>
            </w:tcMar>
          </w:tcPr>
          <w:p>
            <w:pPr>
              <w:spacing w:before="120"/>
              <w:ind w:left="96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r>
        <w:trPr>
          <w:trHeight w:val="680" w:hRule="exact"/>
        </w:trPr>
        <w:tc>
          <w:tcPr>
            <w:tcW w:w="2300" w:type="dxa"/>
            <w:tcMar>
              <w:top w:w="0" w:type="dxa"/>
              <w:left w:w="0" w:type="dxa"/>
              <w:bottom w:w="0" w:type="dxa"/>
              <w:right w:w="0" w:type="dxa"/>
            </w:tcMar>
          </w:tcPr>
          <w:p>
            <w:pPr>
              <w:spacing w:before="20"/>
            </w:pPr>
            <w:r>
              <w:rPr>
                <w:rFonts w:hint="eastAsia" w:ascii="宋体" w:hAnsi="宋体" w:eastAsia="宋体" w:cs="宋体"/>
                <w:b/>
                <w:sz w:val="21"/>
              </w:rPr>
              <w:t>投资活动产生的现金流</w:t>
            </w:r>
          </w:p>
          <w:p>
            <w:pPr>
              <w:spacing w:before="100"/>
            </w:pPr>
            <w:r>
              <w:rPr>
                <w:rFonts w:hint="eastAsia" w:ascii="宋体" w:hAnsi="宋体" w:eastAsia="宋体" w:cs="宋体"/>
                <w:b/>
                <w:sz w:val="21"/>
              </w:rPr>
              <w:t>量净额</w:t>
            </w:r>
          </w:p>
        </w:tc>
        <w:tc>
          <w:tcPr>
            <w:tcW w:w="2300" w:type="dxa"/>
            <w:tcMar>
              <w:top w:w="0" w:type="dxa"/>
              <w:left w:w="0" w:type="dxa"/>
              <w:bottom w:w="0" w:type="dxa"/>
              <w:right w:w="0" w:type="dxa"/>
            </w:tcMar>
          </w:tcPr>
          <w:p>
            <w:pPr>
              <w:spacing w:before="240"/>
              <w:ind w:left="1000"/>
            </w:pPr>
            <w:r>
              <w:rPr>
                <w:rFonts w:hint="eastAsia" w:ascii="Times New Roman Bold" w:hAnsi="Times New Roman Bold" w:eastAsia="Times New Roman Bold" w:cs="Times New Roman Bold"/>
                <w:b/>
                <w:sz w:val="21"/>
              </w:rPr>
              <w:t>-1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03</w:t>
            </w:r>
          </w:p>
        </w:tc>
        <w:tc>
          <w:tcPr>
            <w:tcW w:w="2280" w:type="dxa"/>
            <w:tcMar>
              <w:top w:w="0" w:type="dxa"/>
              <w:left w:w="0" w:type="dxa"/>
              <w:bottom w:w="0" w:type="dxa"/>
              <w:right w:w="0" w:type="dxa"/>
            </w:tcMar>
          </w:tcPr>
          <w:p>
            <w:pPr>
              <w:spacing w:before="240"/>
              <w:ind w:left="980"/>
            </w:pPr>
            <w:r>
              <w:rPr>
                <w:rFonts w:hint="eastAsia" w:ascii="Times New Roman Bold" w:hAnsi="Times New Roman Bold" w:eastAsia="Times New Roman Bold" w:cs="Times New Roman Bold"/>
                <w:b/>
                <w:sz w:val="21"/>
              </w:rPr>
              <w:t>-5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518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09</w:t>
            </w:r>
          </w:p>
        </w:tc>
        <w:tc>
          <w:tcPr>
            <w:tcW w:w="2300" w:type="dxa"/>
            <w:tcMar>
              <w:top w:w="0" w:type="dxa"/>
              <w:left w:w="0" w:type="dxa"/>
              <w:bottom w:w="0" w:type="dxa"/>
              <w:right w:w="0" w:type="dxa"/>
            </w:tcMar>
          </w:tcPr>
          <w:p>
            <w:pPr>
              <w:spacing w:before="240"/>
              <w:ind w:left="900"/>
            </w:pPr>
            <w:r>
              <w:rPr>
                <w:rFonts w:hint="eastAsia" w:ascii="Times New Roman Bold" w:hAnsi="Times New Roman Bold" w:eastAsia="Times New Roman Bold" w:cs="Times New Roman Bold"/>
                <w:b/>
                <w:sz w:val="21"/>
              </w:rPr>
              <w:t>-17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09</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b/>
                <w:sz w:val="21"/>
              </w:rPr>
              <w:t>三</w:t>
            </w:r>
            <w:r>
              <w:rPr>
                <w:rFonts w:hint="eastAsia" w:ascii="宋体" w:hAnsi="宋体" w:eastAsia="宋体" w:cs="宋体"/>
                <w:b/>
                <w:sz w:val="10"/>
              </w:rPr>
              <w:t>、</w:t>
            </w:r>
            <w:r>
              <w:rPr>
                <w:rFonts w:hint="eastAsia" w:ascii="宋体" w:hAnsi="宋体" w:eastAsia="宋体" w:cs="宋体"/>
                <w:b/>
                <w:sz w:val="21"/>
              </w:rPr>
              <w:t>筹资活动产生的现</w:t>
            </w:r>
          </w:p>
          <w:p>
            <w:pPr>
              <w:spacing w:before="100"/>
            </w:pPr>
            <w:r>
              <w:rPr>
                <w:rFonts w:hint="eastAsia" w:ascii="宋体" w:hAnsi="宋体" w:eastAsia="宋体" w:cs="宋体"/>
                <w:b/>
                <w:sz w:val="21"/>
              </w:rPr>
              <w:t>金流量</w:t>
            </w:r>
            <w:r>
              <w:rPr>
                <w:rFonts w:hint="eastAsia" w:ascii="宋体" w:hAnsi="宋体" w:eastAsia="宋体" w:cs="宋体"/>
                <w:b/>
                <w:sz w:val="10"/>
              </w:rPr>
              <w:t>：</w:t>
            </w:r>
          </w:p>
        </w:tc>
        <w:tc>
          <w:tcPr>
            <w:tcW w:w="2300" w:type="dxa"/>
            <w:tcMar>
              <w:top w:w="0" w:type="dxa"/>
              <w:left w:w="0" w:type="dxa"/>
              <w:bottom w:w="0" w:type="dxa"/>
              <w:right w:w="0" w:type="dxa"/>
            </w:tcMar>
          </w:tcPr>
          <w:p/>
        </w:tc>
        <w:tc>
          <w:tcPr>
            <w:tcW w:w="2280" w:type="dxa"/>
            <w:tcMar>
              <w:top w:w="0" w:type="dxa"/>
              <w:left w:w="0" w:type="dxa"/>
              <w:bottom w:w="0" w:type="dxa"/>
              <w:right w:w="0" w:type="dxa"/>
            </w:tcMar>
          </w:tcPr>
          <w:p/>
        </w:tc>
        <w:tc>
          <w:tcPr>
            <w:tcW w:w="2300" w:type="dxa"/>
            <w:tcMar>
              <w:top w:w="0" w:type="dxa"/>
              <w:left w:w="0" w:type="dxa"/>
              <w:bottom w:w="0" w:type="dxa"/>
              <w:right w:w="0" w:type="dxa"/>
            </w:tcMar>
          </w:tcPr>
          <w:p/>
        </w:tc>
      </w:tr>
      <w:tr>
        <w:trPr>
          <w:trHeight w:val="460" w:hRule="exact"/>
        </w:trPr>
        <w:tc>
          <w:tcPr>
            <w:tcW w:w="2300" w:type="dxa"/>
            <w:tcMar>
              <w:top w:w="0" w:type="dxa"/>
              <w:left w:w="0" w:type="dxa"/>
              <w:bottom w:w="0" w:type="dxa"/>
              <w:right w:w="0" w:type="dxa"/>
            </w:tcMar>
          </w:tcPr>
          <w:p>
            <w:pPr>
              <w:spacing w:before="60"/>
            </w:pPr>
            <w:r>
              <w:rPr>
                <w:rFonts w:hint="eastAsia" w:ascii="宋体" w:hAnsi="宋体" w:eastAsia="宋体" w:cs="宋体"/>
                <w:sz w:val="21"/>
              </w:rPr>
              <w:t>吸收投资所收到的现金</w:t>
            </w:r>
          </w:p>
        </w:tc>
        <w:tc>
          <w:tcPr>
            <w:tcW w:w="2300" w:type="dxa"/>
            <w:tcMar>
              <w:top w:w="0" w:type="dxa"/>
              <w:left w:w="0" w:type="dxa"/>
              <w:bottom w:w="0" w:type="dxa"/>
              <w:right w:w="0" w:type="dxa"/>
            </w:tcMar>
          </w:tcPr>
          <w:p>
            <w:pPr>
              <w:spacing w:before="240"/>
              <w:ind w:left="2100"/>
            </w:pPr>
            <w:r>
              <w:rPr>
                <w:rFonts w:hint="eastAsia" w:ascii="Times New Roman Bold" w:hAnsi="Times New Roman Bold" w:eastAsia="Times New Roman Bold" w:cs="Times New Roman Bold"/>
                <w:b/>
                <w:sz w:val="21"/>
              </w:rPr>
              <w:t>-</w:t>
            </w:r>
          </w:p>
        </w:tc>
        <w:tc>
          <w:tcPr>
            <w:tcW w:w="2280" w:type="dxa"/>
            <w:tcMar>
              <w:top w:w="0" w:type="dxa"/>
              <w:left w:w="0" w:type="dxa"/>
              <w:bottom w:w="0" w:type="dxa"/>
              <w:right w:w="0" w:type="dxa"/>
            </w:tcMar>
          </w:tcPr>
          <w:p>
            <w:pPr>
              <w:spacing w:before="100"/>
              <w:ind w:left="860"/>
            </w:pPr>
            <w:r>
              <w:rPr>
                <w:rFonts w:hint="eastAsia" w:ascii="Times New Roman" w:hAnsi="Times New Roman" w:eastAsia="Times New Roman" w:cs="Times New Roman"/>
                <w:sz w:val="21"/>
              </w:rPr>
              <w:t>119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240"/>
              <w:ind w:left="2100"/>
            </w:pPr>
            <w:r>
              <w:rPr>
                <w:rFonts w:hint="eastAsia" w:ascii="Times New Roman Bold" w:hAnsi="Times New Roman Bold" w:eastAsia="Times New Roman Bold" w:cs="Times New Roman Bold"/>
                <w:b/>
                <w:sz w:val="21"/>
              </w:rPr>
              <w:t>-</w:t>
            </w: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b/>
                <w:sz w:val="21"/>
              </w:rPr>
              <w:t>现金流入小计</w:t>
            </w:r>
          </w:p>
        </w:tc>
        <w:tc>
          <w:tcPr>
            <w:tcW w:w="2300" w:type="dxa"/>
            <w:tcMar>
              <w:top w:w="0" w:type="dxa"/>
              <w:left w:w="0" w:type="dxa"/>
              <w:bottom w:w="0" w:type="dxa"/>
              <w:right w:w="0" w:type="dxa"/>
            </w:tcMar>
          </w:tcPr>
          <w:p>
            <w:pPr>
              <w:spacing w:before="260"/>
              <w:ind w:left="2100"/>
            </w:pPr>
            <w:r>
              <w:rPr>
                <w:rFonts w:hint="eastAsia" w:ascii="Times New Roman Bold" w:hAnsi="Times New Roman Bold" w:eastAsia="Times New Roman Bold" w:cs="Times New Roman Bold"/>
                <w:b/>
                <w:sz w:val="21"/>
              </w:rPr>
              <w:t>-</w:t>
            </w:r>
          </w:p>
        </w:tc>
        <w:tc>
          <w:tcPr>
            <w:tcW w:w="2280" w:type="dxa"/>
            <w:tcMar>
              <w:top w:w="0" w:type="dxa"/>
              <w:left w:w="0" w:type="dxa"/>
              <w:bottom w:w="0" w:type="dxa"/>
              <w:right w:w="0" w:type="dxa"/>
            </w:tcMar>
          </w:tcPr>
          <w:p>
            <w:pPr>
              <w:spacing w:before="100"/>
              <w:ind w:left="860"/>
            </w:pPr>
            <w:r>
              <w:rPr>
                <w:rFonts w:hint="eastAsia" w:ascii="Times New Roman" w:hAnsi="Times New Roman" w:eastAsia="Times New Roman" w:cs="Times New Roman"/>
                <w:sz w:val="21"/>
              </w:rPr>
              <w:t>119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260"/>
              <w:ind w:left="2100"/>
            </w:pPr>
            <w:r>
              <w:rPr>
                <w:rFonts w:hint="eastAsia" w:ascii="Times New Roman Bold" w:hAnsi="Times New Roman Bold" w:eastAsia="Times New Roman Bold" w:cs="Times New Roman Bold"/>
                <w:b/>
                <w:sz w:val="21"/>
              </w:rPr>
              <w:t>-</w:t>
            </w: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sz w:val="21"/>
              </w:rPr>
              <w:t>偿还债务支付的现金</w:t>
            </w:r>
          </w:p>
        </w:tc>
        <w:tc>
          <w:tcPr>
            <w:tcW w:w="2300" w:type="dxa"/>
            <w:tcMar>
              <w:top w:w="0" w:type="dxa"/>
              <w:left w:w="0" w:type="dxa"/>
              <w:bottom w:w="0" w:type="dxa"/>
              <w:right w:w="0" w:type="dxa"/>
            </w:tcMar>
          </w:tcPr>
          <w:p>
            <w:pPr>
              <w:spacing w:before="260"/>
              <w:ind w:left="2100"/>
            </w:pPr>
            <w:r>
              <w:rPr>
                <w:rFonts w:hint="eastAsia" w:ascii="Times New Roman Bold" w:hAnsi="Times New Roman Bold" w:eastAsia="Times New Roman Bold" w:cs="Times New Roman Bold"/>
                <w:b/>
                <w:sz w:val="21"/>
              </w:rPr>
              <w:t>-</w:t>
            </w:r>
          </w:p>
        </w:tc>
        <w:tc>
          <w:tcPr>
            <w:tcW w:w="2280" w:type="dxa"/>
            <w:tcMar>
              <w:top w:w="0" w:type="dxa"/>
              <w:left w:w="0" w:type="dxa"/>
              <w:bottom w:w="0" w:type="dxa"/>
              <w:right w:w="0" w:type="dxa"/>
            </w:tcMar>
          </w:tcPr>
          <w:p>
            <w:pPr>
              <w:spacing w:before="260"/>
              <w:ind w:left="210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260"/>
              <w:ind w:left="2100"/>
            </w:pPr>
            <w:r>
              <w:rPr>
                <w:rFonts w:hint="eastAsia" w:ascii="Times New Roman Bold" w:hAnsi="Times New Roman Bold" w:eastAsia="Times New Roman Bold" w:cs="Times New Roman Bold"/>
                <w:b/>
                <w:sz w:val="21"/>
              </w:rPr>
              <w:t>-</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分配股利</w:t>
            </w:r>
            <w:r>
              <w:rPr>
                <w:rFonts w:hint="eastAsia" w:ascii="宋体" w:hAnsi="宋体" w:eastAsia="宋体" w:cs="宋体"/>
                <w:sz w:val="10"/>
              </w:rPr>
              <w:t>、</w:t>
            </w:r>
            <w:r>
              <w:rPr>
                <w:rFonts w:hint="eastAsia" w:ascii="宋体" w:hAnsi="宋体" w:eastAsia="宋体" w:cs="宋体"/>
                <w:sz w:val="21"/>
              </w:rPr>
              <w:t>利润或偿付</w:t>
            </w:r>
          </w:p>
          <w:p>
            <w:pPr>
              <w:spacing w:before="80"/>
            </w:pPr>
            <w:r>
              <w:rPr>
                <w:rFonts w:hint="eastAsia" w:ascii="宋体" w:hAnsi="宋体" w:eastAsia="宋体" w:cs="宋体"/>
                <w:sz w:val="21"/>
              </w:rPr>
              <w:t>利息支付的现金</w:t>
            </w:r>
          </w:p>
        </w:tc>
        <w:tc>
          <w:tcPr>
            <w:tcW w:w="2300" w:type="dxa"/>
            <w:tcMar>
              <w:top w:w="0" w:type="dxa"/>
              <w:left w:w="0" w:type="dxa"/>
              <w:bottom w:w="0" w:type="dxa"/>
              <w:right w:w="0" w:type="dxa"/>
            </w:tcMar>
          </w:tcPr>
          <w:p>
            <w:pPr>
              <w:spacing w:before="380"/>
              <w:ind w:left="2100"/>
            </w:pPr>
            <w:r>
              <w:rPr>
                <w:rFonts w:hint="eastAsia" w:ascii="Times New Roman Bold" w:hAnsi="Times New Roman Bold" w:eastAsia="Times New Roman Bold" w:cs="Times New Roman Bold"/>
                <w:b/>
                <w:sz w:val="21"/>
              </w:rPr>
              <w:t>-</w:t>
            </w:r>
          </w:p>
        </w:tc>
        <w:tc>
          <w:tcPr>
            <w:tcW w:w="2280" w:type="dxa"/>
            <w:tcMar>
              <w:top w:w="0" w:type="dxa"/>
              <w:left w:w="0" w:type="dxa"/>
              <w:bottom w:w="0" w:type="dxa"/>
              <w:right w:w="0" w:type="dxa"/>
            </w:tcMar>
          </w:tcPr>
          <w:p>
            <w:pPr>
              <w:spacing w:before="220"/>
              <w:ind w:left="10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220"/>
              <w:ind w:left="96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680" w:hRule="exact"/>
        </w:trPr>
        <w:tc>
          <w:tcPr>
            <w:tcW w:w="2300" w:type="dxa"/>
            <w:tcMar>
              <w:top w:w="0" w:type="dxa"/>
              <w:left w:w="0" w:type="dxa"/>
              <w:bottom w:w="0" w:type="dxa"/>
              <w:right w:w="0" w:type="dxa"/>
            </w:tcMar>
          </w:tcPr>
          <w:p>
            <w:pPr>
              <w:spacing w:before="20"/>
            </w:pPr>
            <w:r>
              <w:rPr>
                <w:rFonts w:hint="eastAsia" w:ascii="宋体" w:hAnsi="宋体" w:eastAsia="宋体" w:cs="宋体"/>
                <w:sz w:val="21"/>
              </w:rPr>
              <w:t>支付的其他与筹资活动</w:t>
            </w:r>
          </w:p>
          <w:p>
            <w:pPr>
              <w:spacing w:before="100"/>
            </w:pPr>
            <w:r>
              <w:rPr>
                <w:rFonts w:hint="eastAsia" w:ascii="宋体" w:hAnsi="宋体" w:eastAsia="宋体" w:cs="宋体"/>
                <w:sz w:val="21"/>
              </w:rPr>
              <w:t>有关的现金</w:t>
            </w:r>
          </w:p>
        </w:tc>
        <w:tc>
          <w:tcPr>
            <w:tcW w:w="2300" w:type="dxa"/>
            <w:tcMar>
              <w:top w:w="0" w:type="dxa"/>
              <w:left w:w="0" w:type="dxa"/>
              <w:bottom w:w="0" w:type="dxa"/>
              <w:right w:w="0" w:type="dxa"/>
            </w:tcMar>
          </w:tcPr>
          <w:p>
            <w:pPr>
              <w:spacing w:before="240"/>
              <w:ind w:left="1220"/>
            </w:pPr>
            <w:r>
              <w:rPr>
                <w:rFonts w:hint="eastAsia" w:ascii="Times New Roman" w:hAnsi="Times New Roman" w:eastAsia="Times New Roman" w:cs="Times New Roman"/>
                <w:sz w:val="21"/>
              </w:rPr>
              <w:t>700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280" w:type="dxa"/>
            <w:tcMar>
              <w:top w:w="0" w:type="dxa"/>
              <w:left w:w="0" w:type="dxa"/>
              <w:bottom w:w="0" w:type="dxa"/>
              <w:right w:w="0" w:type="dxa"/>
            </w:tcMar>
          </w:tcPr>
          <w:p>
            <w:pPr>
              <w:spacing w:before="240"/>
              <w:ind w:left="10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360"/>
              <w:ind w:left="2100"/>
            </w:pPr>
            <w:r>
              <w:rPr>
                <w:rFonts w:hint="eastAsia" w:ascii="Times New Roman Bold" w:hAnsi="Times New Roman Bold" w:eastAsia="Times New Roman Bold" w:cs="Times New Roman Bold"/>
                <w:b/>
                <w:sz w:val="21"/>
              </w:rPr>
              <w:t>-</w:t>
            </w:r>
          </w:p>
        </w:tc>
      </w:tr>
      <w:tr>
        <w:trPr>
          <w:trHeight w:val="460" w:hRule="exact"/>
        </w:trPr>
        <w:tc>
          <w:tcPr>
            <w:tcW w:w="2300" w:type="dxa"/>
            <w:tcMar>
              <w:top w:w="0" w:type="dxa"/>
              <w:left w:w="0" w:type="dxa"/>
              <w:bottom w:w="0" w:type="dxa"/>
              <w:right w:w="0" w:type="dxa"/>
            </w:tcMar>
          </w:tcPr>
          <w:p>
            <w:pPr>
              <w:spacing w:before="80"/>
            </w:pPr>
            <w:r>
              <w:rPr>
                <w:rFonts w:hint="eastAsia" w:ascii="宋体" w:hAnsi="宋体" w:eastAsia="宋体" w:cs="宋体"/>
                <w:b/>
                <w:sz w:val="21"/>
              </w:rPr>
              <w:t>现金流出小计</w:t>
            </w:r>
          </w:p>
        </w:tc>
        <w:tc>
          <w:tcPr>
            <w:tcW w:w="2300" w:type="dxa"/>
            <w:tcMar>
              <w:top w:w="0" w:type="dxa"/>
              <w:left w:w="0" w:type="dxa"/>
              <w:bottom w:w="0" w:type="dxa"/>
              <w:right w:w="0" w:type="dxa"/>
            </w:tcMar>
          </w:tcPr>
          <w:p>
            <w:pPr>
              <w:spacing w:before="140"/>
              <w:ind w:left="1220"/>
            </w:pPr>
            <w:r>
              <w:rPr>
                <w:rFonts w:hint="eastAsia" w:ascii="Times New Roman" w:hAnsi="Times New Roman" w:eastAsia="Times New Roman" w:cs="Times New Roman"/>
                <w:sz w:val="21"/>
              </w:rPr>
              <w:t>700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280" w:type="dxa"/>
            <w:tcMar>
              <w:top w:w="0" w:type="dxa"/>
              <w:left w:w="0" w:type="dxa"/>
              <w:bottom w:w="0" w:type="dxa"/>
              <w:right w:w="0" w:type="dxa"/>
            </w:tcMar>
          </w:tcPr>
          <w:p>
            <w:pPr>
              <w:spacing w:before="140"/>
              <w:ind w:left="10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140"/>
              <w:ind w:left="96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b/>
                <w:sz w:val="21"/>
              </w:rPr>
              <w:t>筹资活动产生的现金流</w:t>
            </w:r>
          </w:p>
          <w:p>
            <w:pPr>
              <w:spacing w:before="100"/>
            </w:pPr>
            <w:r>
              <w:rPr>
                <w:rFonts w:hint="eastAsia" w:ascii="宋体" w:hAnsi="宋体" w:eastAsia="宋体" w:cs="宋体"/>
                <w:b/>
                <w:sz w:val="21"/>
              </w:rPr>
              <w:t>量净额</w:t>
            </w:r>
          </w:p>
        </w:tc>
        <w:tc>
          <w:tcPr>
            <w:tcW w:w="2300" w:type="dxa"/>
            <w:tcMar>
              <w:top w:w="0" w:type="dxa"/>
              <w:left w:w="0" w:type="dxa"/>
              <w:bottom w:w="0" w:type="dxa"/>
              <w:right w:w="0" w:type="dxa"/>
            </w:tcMar>
          </w:tcPr>
          <w:p>
            <w:pPr>
              <w:spacing w:before="260"/>
              <w:ind w:left="1140"/>
            </w:pPr>
            <w:r>
              <w:rPr>
                <w:rFonts w:hint="eastAsia" w:ascii="Times New Roman Bold" w:hAnsi="Times New Roman Bold" w:eastAsia="Times New Roman Bold" w:cs="Times New Roman Bold"/>
                <w:b/>
                <w:sz w:val="21"/>
              </w:rPr>
              <w:t>-700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280" w:type="dxa"/>
            <w:tcMar>
              <w:top w:w="0" w:type="dxa"/>
              <w:left w:w="0" w:type="dxa"/>
              <w:bottom w:w="0" w:type="dxa"/>
              <w:right w:w="0" w:type="dxa"/>
            </w:tcMar>
          </w:tcPr>
          <w:p>
            <w:pPr>
              <w:spacing w:before="260"/>
              <w:ind w:left="860"/>
            </w:pPr>
            <w:r>
              <w:rPr>
                <w:rFonts w:hint="eastAsia" w:ascii="Times New Roman Bold" w:hAnsi="Times New Roman Bold" w:eastAsia="Times New Roman Bold" w:cs="Times New Roman Bold"/>
                <w:b/>
                <w:sz w:val="21"/>
              </w:rPr>
              <w:t>113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2300" w:type="dxa"/>
            <w:tcMar>
              <w:top w:w="0" w:type="dxa"/>
              <w:left w:w="0" w:type="dxa"/>
              <w:bottom w:w="0" w:type="dxa"/>
              <w:right w:w="0" w:type="dxa"/>
            </w:tcMar>
          </w:tcPr>
          <w:p>
            <w:pPr>
              <w:spacing w:before="260"/>
              <w:ind w:left="900"/>
            </w:pPr>
            <w:r>
              <w:rPr>
                <w:rFonts w:hint="eastAsia" w:ascii="Times New Roman Bold" w:hAnsi="Times New Roman Bold" w:eastAsia="Times New Roman Bold" w:cs="Times New Roman Bold"/>
                <w:b/>
                <w:sz w:val="21"/>
              </w:rPr>
              <w:t>-19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r>
      <w:tr>
        <w:trPr>
          <w:trHeight w:val="680" w:hRule="exact"/>
        </w:trPr>
        <w:tc>
          <w:tcPr>
            <w:tcW w:w="2300" w:type="dxa"/>
            <w:tcMar>
              <w:top w:w="0" w:type="dxa"/>
              <w:left w:w="0" w:type="dxa"/>
              <w:bottom w:w="0" w:type="dxa"/>
              <w:right w:w="0" w:type="dxa"/>
            </w:tcMar>
          </w:tcPr>
          <w:p>
            <w:pPr>
              <w:spacing w:before="40"/>
            </w:pPr>
            <w:r>
              <w:rPr>
                <w:rFonts w:hint="eastAsia" w:ascii="宋体" w:hAnsi="宋体" w:eastAsia="宋体" w:cs="宋体"/>
                <w:b/>
                <w:sz w:val="21"/>
              </w:rPr>
              <w:t>四</w:t>
            </w:r>
            <w:r>
              <w:rPr>
                <w:rFonts w:hint="eastAsia" w:ascii="宋体" w:hAnsi="宋体" w:eastAsia="宋体" w:cs="宋体"/>
                <w:b/>
                <w:sz w:val="10"/>
              </w:rPr>
              <w:t>、</w:t>
            </w:r>
            <w:r>
              <w:rPr>
                <w:rFonts w:hint="eastAsia" w:ascii="宋体" w:hAnsi="宋体" w:eastAsia="宋体" w:cs="宋体"/>
                <w:b/>
                <w:sz w:val="21"/>
              </w:rPr>
              <w:t>汇率变动对现金的</w:t>
            </w:r>
          </w:p>
          <w:p>
            <w:pPr>
              <w:spacing w:before="100"/>
            </w:pPr>
            <w:r>
              <w:rPr>
                <w:rFonts w:hint="eastAsia" w:ascii="宋体" w:hAnsi="宋体" w:eastAsia="宋体" w:cs="宋体"/>
                <w:b/>
                <w:sz w:val="21"/>
              </w:rPr>
              <w:t>影响额</w:t>
            </w:r>
          </w:p>
        </w:tc>
        <w:tc>
          <w:tcPr>
            <w:tcW w:w="2300" w:type="dxa"/>
            <w:tcMar>
              <w:top w:w="0" w:type="dxa"/>
              <w:left w:w="0" w:type="dxa"/>
              <w:bottom w:w="0" w:type="dxa"/>
              <w:right w:w="0" w:type="dxa"/>
            </w:tcMar>
          </w:tcPr>
          <w:p/>
        </w:tc>
        <w:tc>
          <w:tcPr>
            <w:tcW w:w="2280" w:type="dxa"/>
            <w:tcMar>
              <w:top w:w="0" w:type="dxa"/>
              <w:left w:w="0" w:type="dxa"/>
              <w:bottom w:w="0" w:type="dxa"/>
              <w:right w:w="0" w:type="dxa"/>
            </w:tcMar>
          </w:tcPr>
          <w:p>
            <w:pPr>
              <w:spacing w:before="360"/>
              <w:ind w:left="2100"/>
            </w:pPr>
            <w:r>
              <w:rPr>
                <w:rFonts w:hint="eastAsia" w:ascii="Times New Roman Bold" w:hAnsi="Times New Roman Bold" w:eastAsia="Times New Roman Bold" w:cs="Times New Roman Bold"/>
                <w:b/>
                <w:sz w:val="21"/>
              </w:rPr>
              <w:t>-</w:t>
            </w:r>
          </w:p>
        </w:tc>
        <w:tc>
          <w:tcPr>
            <w:tcW w:w="2300" w:type="dxa"/>
            <w:tcMar>
              <w:top w:w="0" w:type="dxa"/>
              <w:left w:w="0" w:type="dxa"/>
              <w:bottom w:w="0" w:type="dxa"/>
              <w:right w:w="0" w:type="dxa"/>
            </w:tcMar>
          </w:tcPr>
          <w:p>
            <w:pPr>
              <w:spacing w:before="360"/>
              <w:ind w:left="2100"/>
            </w:pPr>
            <w:r>
              <w:rPr>
                <w:rFonts w:hint="eastAsia" w:ascii="Times New Roman Bold" w:hAnsi="Times New Roman Bold" w:eastAsia="Times New Roman Bold" w:cs="Times New Roman Bold"/>
                <w:b/>
                <w:sz w:val="21"/>
              </w:rPr>
              <w:t>-</w:t>
            </w:r>
          </w:p>
        </w:tc>
      </w:tr>
      <w:tr>
        <w:trPr>
          <w:trHeight w:val="700" w:hRule="exact"/>
        </w:trPr>
        <w:tc>
          <w:tcPr>
            <w:tcW w:w="2300" w:type="dxa"/>
            <w:tcMar>
              <w:top w:w="0" w:type="dxa"/>
              <w:left w:w="0" w:type="dxa"/>
              <w:bottom w:w="0" w:type="dxa"/>
              <w:right w:w="0" w:type="dxa"/>
            </w:tcMar>
          </w:tcPr>
          <w:p>
            <w:pPr>
              <w:spacing w:before="40"/>
            </w:pPr>
            <w:r>
              <w:rPr>
                <w:rFonts w:hint="eastAsia" w:ascii="宋体" w:hAnsi="宋体" w:eastAsia="宋体" w:cs="宋体"/>
                <w:b/>
                <w:sz w:val="21"/>
              </w:rPr>
              <w:t>五</w:t>
            </w:r>
            <w:r>
              <w:rPr>
                <w:rFonts w:hint="eastAsia" w:ascii="宋体" w:hAnsi="宋体" w:eastAsia="宋体" w:cs="宋体"/>
                <w:b/>
                <w:sz w:val="10"/>
              </w:rPr>
              <w:t>、</w:t>
            </w:r>
            <w:r>
              <w:rPr>
                <w:rFonts w:hint="eastAsia" w:ascii="宋体" w:hAnsi="宋体" w:eastAsia="宋体" w:cs="宋体"/>
                <w:b/>
                <w:sz w:val="21"/>
              </w:rPr>
              <w:t>现金及现金等价物</w:t>
            </w:r>
          </w:p>
          <w:p>
            <w:pPr>
              <w:spacing w:before="100"/>
            </w:pPr>
            <w:r>
              <w:rPr>
                <w:rFonts w:hint="eastAsia" w:ascii="宋体" w:hAnsi="宋体" w:eastAsia="宋体" w:cs="宋体"/>
                <w:b/>
                <w:sz w:val="21"/>
              </w:rPr>
              <w:t>净增加额</w:t>
            </w:r>
          </w:p>
        </w:tc>
        <w:tc>
          <w:tcPr>
            <w:tcW w:w="2300" w:type="dxa"/>
            <w:tcMar>
              <w:top w:w="0" w:type="dxa"/>
              <w:left w:w="0" w:type="dxa"/>
              <w:bottom w:w="0" w:type="dxa"/>
              <w:right w:w="0" w:type="dxa"/>
            </w:tcMar>
          </w:tcPr>
          <w:p>
            <w:pPr>
              <w:spacing w:before="260"/>
              <w:ind w:left="960"/>
            </w:pPr>
            <w:r>
              <w:rPr>
                <w:rFonts w:hint="eastAsia" w:ascii="Times New Roman Bold" w:hAnsi="Times New Roman Bold" w:eastAsia="Times New Roman Bold" w:cs="Times New Roman Bold"/>
                <w:b/>
                <w:sz w:val="21"/>
              </w:rPr>
              <w:t>91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097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43</w:t>
            </w:r>
          </w:p>
        </w:tc>
        <w:tc>
          <w:tcPr>
            <w:tcW w:w="2280" w:type="dxa"/>
            <w:tcMar>
              <w:top w:w="0" w:type="dxa"/>
              <w:left w:w="0" w:type="dxa"/>
              <w:bottom w:w="0" w:type="dxa"/>
              <w:right w:w="0" w:type="dxa"/>
            </w:tcMar>
          </w:tcPr>
          <w:p>
            <w:pPr>
              <w:spacing w:before="260"/>
              <w:ind w:left="840"/>
            </w:pPr>
            <w:r>
              <w:rPr>
                <w:rFonts w:hint="eastAsia" w:ascii="Times New Roman Bold" w:hAnsi="Times New Roman Bold" w:eastAsia="Times New Roman Bold" w:cs="Times New Roman Bold"/>
                <w:b/>
                <w:sz w:val="21"/>
              </w:rPr>
              <w:t>221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07</w:t>
            </w:r>
          </w:p>
        </w:tc>
        <w:tc>
          <w:tcPr>
            <w:tcW w:w="2300" w:type="dxa"/>
            <w:tcMar>
              <w:top w:w="0" w:type="dxa"/>
              <w:left w:w="0" w:type="dxa"/>
              <w:bottom w:w="0" w:type="dxa"/>
              <w:right w:w="0" w:type="dxa"/>
            </w:tcMar>
          </w:tcPr>
          <w:p>
            <w:pPr>
              <w:spacing w:before="260"/>
              <w:ind w:left="960"/>
            </w:pPr>
            <w:r>
              <w:rPr>
                <w:rFonts w:hint="eastAsia" w:ascii="Times New Roman Bold" w:hAnsi="Times New Roman Bold" w:eastAsia="Times New Roman Bold" w:cs="Times New Roman Bold"/>
                <w:b/>
                <w:sz w:val="21"/>
              </w:rPr>
              <w:t>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153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w:t>
            </w:r>
          </w:p>
        </w:tc>
      </w:tr>
      <w:tr>
        <w:trPr>
          <w:trHeight w:val="68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加</w:t>
            </w:r>
            <w:r>
              <w:rPr>
                <w:rFonts w:hint="eastAsia" w:ascii="宋体" w:hAnsi="宋体" w:eastAsia="宋体" w:cs="宋体"/>
                <w:sz w:val="10"/>
              </w:rPr>
              <w:t>：</w:t>
            </w:r>
            <w:r>
              <w:rPr>
                <w:rFonts w:hint="eastAsia" w:ascii="宋体" w:hAnsi="宋体" w:eastAsia="宋体" w:cs="宋体"/>
                <w:sz w:val="21"/>
              </w:rPr>
              <w:t>期初现金及现金等</w:t>
            </w:r>
          </w:p>
          <w:p>
            <w:pPr>
              <w:spacing w:before="100"/>
            </w:pPr>
            <w:r>
              <w:rPr>
                <w:rFonts w:hint="eastAsia" w:ascii="宋体" w:hAnsi="宋体" w:eastAsia="宋体" w:cs="宋体"/>
                <w:sz w:val="21"/>
              </w:rPr>
              <w:t>价物余额</w:t>
            </w:r>
          </w:p>
        </w:tc>
        <w:tc>
          <w:tcPr>
            <w:tcW w:w="2300" w:type="dxa"/>
            <w:tcMar>
              <w:top w:w="0" w:type="dxa"/>
              <w:left w:w="0" w:type="dxa"/>
              <w:bottom w:w="0" w:type="dxa"/>
              <w:right w:w="0" w:type="dxa"/>
            </w:tcMar>
          </w:tcPr>
          <w:p>
            <w:pPr>
              <w:spacing w:before="240"/>
              <w:ind w:left="860"/>
            </w:pPr>
            <w:r>
              <w:rPr>
                <w:rFonts w:hint="eastAsia" w:ascii="Times New Roman" w:hAnsi="Times New Roman" w:eastAsia="Times New Roman" w:cs="Times New Roman"/>
                <w:sz w:val="21"/>
              </w:rPr>
              <w:t>374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280" w:type="dxa"/>
            <w:tcMar>
              <w:top w:w="0" w:type="dxa"/>
              <w:left w:w="0" w:type="dxa"/>
              <w:bottom w:w="0" w:type="dxa"/>
              <w:right w:w="0" w:type="dxa"/>
            </w:tcMar>
          </w:tcPr>
          <w:p>
            <w:pPr>
              <w:spacing w:before="240"/>
              <w:ind w:left="840"/>
            </w:pPr>
            <w:r>
              <w:rPr>
                <w:rFonts w:hint="eastAsia" w:ascii="Times New Roman" w:hAnsi="Times New Roman" w:eastAsia="Times New Roman" w:cs="Times New Roman"/>
                <w:sz w:val="21"/>
              </w:rPr>
              <w:t>152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2300" w:type="dxa"/>
            <w:tcMar>
              <w:top w:w="0" w:type="dxa"/>
              <w:left w:w="0" w:type="dxa"/>
              <w:bottom w:w="0" w:type="dxa"/>
              <w:right w:w="0" w:type="dxa"/>
            </w:tcMar>
          </w:tcPr>
          <w:p>
            <w:pPr>
              <w:spacing w:before="240"/>
              <w:ind w:left="860"/>
            </w:pP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r>
        <w:trPr>
          <w:trHeight w:val="660" w:hRule="exact"/>
        </w:trPr>
        <w:tc>
          <w:tcPr>
            <w:tcW w:w="2300" w:type="dxa"/>
            <w:tcMar>
              <w:top w:w="0" w:type="dxa"/>
              <w:left w:w="0" w:type="dxa"/>
              <w:bottom w:w="0" w:type="dxa"/>
              <w:right w:w="0" w:type="dxa"/>
            </w:tcMar>
          </w:tcPr>
          <w:p>
            <w:pPr>
              <w:spacing w:before="40"/>
            </w:pPr>
            <w:r>
              <w:rPr>
                <w:rFonts w:hint="eastAsia" w:ascii="宋体" w:hAnsi="宋体" w:eastAsia="宋体" w:cs="宋体"/>
                <w:b/>
                <w:sz w:val="21"/>
              </w:rPr>
              <w:t>六</w:t>
            </w:r>
            <w:r>
              <w:rPr>
                <w:rFonts w:hint="eastAsia" w:ascii="宋体" w:hAnsi="宋体" w:eastAsia="宋体" w:cs="宋体"/>
                <w:b/>
                <w:sz w:val="10"/>
              </w:rPr>
              <w:t>、</w:t>
            </w:r>
            <w:r>
              <w:rPr>
                <w:rFonts w:hint="eastAsia" w:ascii="宋体" w:hAnsi="宋体" w:eastAsia="宋体" w:cs="宋体"/>
                <w:b/>
                <w:sz w:val="21"/>
              </w:rPr>
              <w:t>期末现金及现金等</w:t>
            </w:r>
          </w:p>
          <w:p>
            <w:pPr>
              <w:spacing w:before="100"/>
            </w:pPr>
            <w:r>
              <w:rPr>
                <w:rFonts w:hint="eastAsia" w:ascii="宋体" w:hAnsi="宋体" w:eastAsia="宋体" w:cs="宋体"/>
                <w:b/>
                <w:sz w:val="21"/>
              </w:rPr>
              <w:t>价物余额</w:t>
            </w:r>
          </w:p>
        </w:tc>
        <w:tc>
          <w:tcPr>
            <w:tcW w:w="2300" w:type="dxa"/>
            <w:tcMar>
              <w:top w:w="0" w:type="dxa"/>
              <w:left w:w="0" w:type="dxa"/>
              <w:bottom w:w="0" w:type="dxa"/>
              <w:right w:w="0" w:type="dxa"/>
            </w:tcMar>
          </w:tcPr>
          <w:p>
            <w:pPr>
              <w:spacing w:before="260"/>
              <w:ind w:left="860"/>
            </w:pPr>
            <w:r>
              <w:rPr>
                <w:rFonts w:hint="eastAsia" w:ascii="Times New Roman Bold" w:hAnsi="Times New Roman Bold" w:eastAsia="Times New Roman Bold" w:cs="Times New Roman Bold"/>
                <w:b/>
                <w:sz w:val="21"/>
              </w:rPr>
              <w:t>465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407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47</w:t>
            </w:r>
          </w:p>
        </w:tc>
        <w:tc>
          <w:tcPr>
            <w:tcW w:w="2280" w:type="dxa"/>
            <w:tcMar>
              <w:top w:w="0" w:type="dxa"/>
              <w:left w:w="0" w:type="dxa"/>
              <w:bottom w:w="0" w:type="dxa"/>
              <w:right w:w="0" w:type="dxa"/>
            </w:tcMar>
          </w:tcPr>
          <w:p>
            <w:pPr>
              <w:spacing w:before="260"/>
              <w:ind w:left="840"/>
            </w:pPr>
            <w:r>
              <w:rPr>
                <w:rFonts w:hint="eastAsia" w:ascii="Times New Roman Bold" w:hAnsi="Times New Roman Bold" w:eastAsia="Times New Roman Bold" w:cs="Times New Roman Bold"/>
                <w:b/>
                <w:sz w:val="21"/>
              </w:rPr>
              <w:t>374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286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04</w:t>
            </w:r>
          </w:p>
        </w:tc>
        <w:tc>
          <w:tcPr>
            <w:tcW w:w="2300" w:type="dxa"/>
            <w:tcMar>
              <w:top w:w="0" w:type="dxa"/>
              <w:left w:w="0" w:type="dxa"/>
              <w:bottom w:w="0" w:type="dxa"/>
              <w:right w:w="0" w:type="dxa"/>
            </w:tcMar>
          </w:tcPr>
          <w:p>
            <w:pPr>
              <w:spacing w:before="260"/>
              <w:ind w:left="860"/>
            </w:pPr>
            <w:r>
              <w:rPr>
                <w:rFonts w:hint="eastAsia" w:ascii="Times New Roman Bold" w:hAnsi="Times New Roman Bold" w:eastAsia="Times New Roman Bold" w:cs="Times New Roman Bold"/>
                <w:b/>
                <w:sz w:val="21"/>
              </w:rPr>
              <w:t>152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97</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1-1-221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44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会计报表编制基础和合并财务报表范围及变化情况</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财务报表的编制基础</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本公司财务报表按照财政部颁布的企业会计准则及其应用指南</w:t>
      </w:r>
      <w:r>
        <w:rPr>
          <w:rFonts w:hint="eastAsia" w:ascii="宋体" w:hAnsi="宋体" w:eastAsia="宋体" w:cs="宋体"/>
          <w:sz w:val="10"/>
        </w:rPr>
        <w:t>、</w:t>
      </w:r>
      <w:r>
        <w:rPr>
          <w:rFonts w:hint="eastAsia" w:ascii="宋体" w:hAnsi="宋体" w:eastAsia="宋体" w:cs="宋体"/>
          <w:sz w:val="24"/>
        </w:rPr>
        <w:t>解释及其他有关规定（统称</w:t>
      </w:r>
      <w:r>
        <w:rPr>
          <w:rFonts w:hint="eastAsia" w:ascii="宋体" w:hAnsi="宋体" w:eastAsia="宋体" w:cs="宋体"/>
          <w:sz w:val="10"/>
        </w:rPr>
        <w:t>“</w:t>
      </w:r>
      <w:r>
        <w:rPr>
          <w:rFonts w:hint="eastAsia" w:ascii="宋体" w:hAnsi="宋体" w:eastAsia="宋体" w:cs="宋体"/>
          <w:sz w:val="24"/>
        </w:rPr>
        <w:t>企业会计准则</w:t>
      </w:r>
      <w:r>
        <w:rPr>
          <w:rFonts w:hint="eastAsia" w:ascii="宋体" w:hAnsi="宋体" w:eastAsia="宋体" w:cs="宋体"/>
          <w:sz w:val="10"/>
        </w:rPr>
        <w:t>”）</w:t>
      </w:r>
      <w:r>
        <w:rPr>
          <w:rFonts w:hint="eastAsia" w:ascii="宋体" w:hAnsi="宋体" w:eastAsia="宋体" w:cs="宋体"/>
          <w:sz w:val="24"/>
        </w:rPr>
        <w:t>编制</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本公司还按照中国证监会《公开发行证券的公司信息披露编报规则第</w:t>
      </w:r>
      <w:r>
        <w:rPr>
          <w:rFonts w:hint="eastAsia" w:ascii="Times New Roman" w:hAnsi="Times New Roman" w:eastAsia="Times New Roman" w:cs="Times New Roman"/>
          <w:sz w:val="24"/>
        </w:rPr>
        <w:t xml:space="preserve"> 15</w:t>
      </w:r>
      <w:r>
        <w:rPr>
          <w:rFonts w:hint="eastAsia" w:ascii="宋体" w:hAnsi="宋体" w:eastAsia="宋体" w:cs="宋体"/>
          <w:sz w:val="24"/>
        </w:rPr>
        <w:t xml:space="preserve"> 号</w:t>
      </w:r>
      <w:r>
        <w:rPr>
          <w:rFonts w:hint="eastAsia" w:ascii="Times New Roman" w:hAnsi="Times New Roman" w:eastAsia="Times New Roman" w:cs="Times New Roman"/>
          <w:sz w:val="24"/>
        </w:rPr>
        <w:t>—</w:t>
      </w:r>
      <w:r>
        <w:rPr>
          <w:rFonts w:hint="eastAsia" w:ascii="宋体" w:hAnsi="宋体" w:eastAsia="宋体" w:cs="宋体"/>
          <w:sz w:val="24"/>
        </w:rPr>
        <w:t>财务报告的</w:t>
      </w:r>
      <w:r>
        <w:rPr>
          <w:rFonts w:hint="eastAsia" w:ascii="宋体" w:hAnsi="宋体" w:eastAsia="宋体" w:cs="宋体"/>
          <w:sz w:val="10"/>
        </w:rPr>
        <w:t>一</w:t>
      </w:r>
      <w:r>
        <w:rPr>
          <w:rFonts w:hint="eastAsia" w:ascii="宋体" w:hAnsi="宋体" w:eastAsia="宋体" w:cs="宋体"/>
          <w:sz w:val="24"/>
        </w:rPr>
        <w:t>般规定》（</w:t>
      </w:r>
      <w:r>
        <w:rPr>
          <w:rFonts w:hint="eastAsia" w:ascii="Times New Roman" w:hAnsi="Times New Roman" w:eastAsia="Times New Roman" w:cs="Times New Roman"/>
          <w:sz w:val="24"/>
        </w:rPr>
        <w:t>2014</w:t>
      </w:r>
      <w:r>
        <w:rPr>
          <w:rFonts w:hint="eastAsia" w:ascii="宋体" w:hAnsi="宋体" w:eastAsia="宋体" w:cs="宋体"/>
          <w:sz w:val="24"/>
        </w:rPr>
        <w:t xml:space="preserve"> 年修订）披露有关财务信息</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本申报财务报表以持续经营为基础列报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本公司会计核算以权责发生制为基础</w:t>
      </w:r>
      <w:r>
        <w:rPr>
          <w:rFonts w:hint="eastAsia" w:ascii="宋体" w:hAnsi="宋体" w:eastAsia="宋体" w:cs="宋体"/>
          <w:sz w:val="10"/>
        </w:rPr>
        <w:t>。</w:t>
      </w:r>
      <w:r>
        <w:rPr>
          <w:rFonts w:hint="eastAsia" w:ascii="宋体" w:hAnsi="宋体" w:eastAsia="宋体" w:cs="宋体"/>
          <w:sz w:val="24"/>
        </w:rPr>
        <w:t>除某些金融工具外</w:t>
      </w:r>
      <w:r>
        <w:rPr>
          <w:rFonts w:hint="eastAsia" w:ascii="宋体" w:hAnsi="宋体" w:eastAsia="宋体" w:cs="宋体"/>
          <w:sz w:val="10"/>
        </w:rPr>
        <w:t>，</w:t>
      </w:r>
      <w:r>
        <w:rPr>
          <w:rFonts w:hint="eastAsia" w:ascii="宋体" w:hAnsi="宋体" w:eastAsia="宋体" w:cs="宋体"/>
          <w:sz w:val="24"/>
        </w:rPr>
        <w:t>本申报财务报表均以历史成本为计量基础</w:t>
      </w:r>
      <w:r>
        <w:rPr>
          <w:rFonts w:hint="eastAsia" w:ascii="宋体" w:hAnsi="宋体" w:eastAsia="宋体" w:cs="宋体"/>
          <w:sz w:val="10"/>
        </w:rPr>
        <w:t>。</w:t>
      </w:r>
      <w:r>
        <w:rPr>
          <w:rFonts w:hint="eastAsia" w:ascii="宋体" w:hAnsi="宋体" w:eastAsia="宋体" w:cs="宋体"/>
          <w:sz w:val="24"/>
        </w:rPr>
        <w:t>资产如果发生减值</w:t>
      </w:r>
      <w:r>
        <w:rPr>
          <w:rFonts w:hint="eastAsia" w:ascii="宋体" w:hAnsi="宋体" w:eastAsia="宋体" w:cs="宋体"/>
          <w:sz w:val="10"/>
        </w:rPr>
        <w:t>，</w:t>
      </w:r>
      <w:r>
        <w:rPr>
          <w:rFonts w:hint="eastAsia" w:ascii="宋体" w:hAnsi="宋体" w:eastAsia="宋体" w:cs="宋体"/>
          <w:sz w:val="24"/>
        </w:rPr>
        <w:t>则按照相关规定计提相应的减值准备</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（二）合并财务报表的范围及变化情况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子公司情况</w:t>
      </w:r>
    </w:p>
    <w:p>
      <w:pPr>
        <w:spacing w:line="200" w:lineRule="exact"/>
        <w:rPr>
          <w:rFonts w:hint="eastAsia" w:ascii="宋体" w:hAnsi="宋体" w:eastAsia="宋体" w:cs="宋体"/>
          <w:sz w:val="20"/>
        </w:rPr>
      </w:pPr>
    </w:p>
    <w:p>
      <w:pPr>
        <w:autoSpaceDE w:val="false"/>
        <w:autoSpaceDN w:val="false"/>
        <w:spacing w:line="420" w:lineRule="exact"/>
        <w:ind w:left="2120"/>
        <w:jc w:val="both"/>
      </w:pPr>
      <w:r>
        <w:rPr>
          <w:rFonts w:hint="eastAsia" w:ascii="宋体" w:hAnsi="宋体" w:eastAsia="宋体" w:cs="宋体"/>
          <w:sz w:val="24"/>
        </w:rPr>
        <w:t>通过设立或投资等方式取得的子公司如下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720"/>
        <w:gridCol w:w="940"/>
        <w:gridCol w:w="3220"/>
        <w:gridCol w:w="980"/>
        <w:gridCol w:w="860"/>
        <w:gridCol w:w="1540"/>
      </w:tblGrid>
      <w:tr>
        <w:trPr>
          <w:trHeight w:val="460" w:hRule="exact"/>
        </w:trPr>
        <w:tc>
          <w:tcPr>
            <w:tcW w:w="1720" w:type="dxa"/>
            <w:vMerge w:val="restart"/>
            <w:tcMar>
              <w:top w:w="0" w:type="dxa"/>
              <w:left w:w="0" w:type="dxa"/>
              <w:bottom w:w="0" w:type="dxa"/>
              <w:right w:w="0" w:type="dxa"/>
            </w:tcMar>
          </w:tcPr>
          <w:p>
            <w:pPr>
              <w:spacing w:before="340"/>
              <w:ind w:left="640"/>
            </w:pPr>
            <w:r>
              <w:rPr>
                <w:rFonts w:hint="eastAsia" w:ascii="宋体" w:hAnsi="宋体" w:eastAsia="宋体" w:cs="宋体"/>
                <w:b/>
                <w:sz w:val="21"/>
              </w:rPr>
              <w:t>名称</w:t>
            </w:r>
          </w:p>
        </w:tc>
        <w:tc>
          <w:tcPr>
            <w:tcW w:w="940" w:type="dxa"/>
            <w:vMerge w:val="restart"/>
            <w:tcMar>
              <w:top w:w="0" w:type="dxa"/>
              <w:left w:w="0" w:type="dxa"/>
              <w:bottom w:w="0" w:type="dxa"/>
              <w:right w:w="0" w:type="dxa"/>
            </w:tcMar>
          </w:tcPr>
          <w:p>
            <w:pPr>
              <w:spacing w:before="340"/>
              <w:ind w:left="140"/>
            </w:pPr>
            <w:r>
              <w:rPr>
                <w:rFonts w:hint="eastAsia" w:ascii="宋体" w:hAnsi="宋体" w:eastAsia="宋体" w:cs="宋体"/>
                <w:b/>
                <w:sz w:val="21"/>
              </w:rPr>
              <w:t>注册地</w:t>
            </w:r>
          </w:p>
        </w:tc>
        <w:tc>
          <w:tcPr>
            <w:tcW w:w="3220" w:type="dxa"/>
            <w:vMerge w:val="restart"/>
            <w:tcMar>
              <w:top w:w="0" w:type="dxa"/>
              <w:left w:w="0" w:type="dxa"/>
              <w:bottom w:w="0" w:type="dxa"/>
              <w:right w:w="0" w:type="dxa"/>
            </w:tcMar>
          </w:tcPr>
          <w:p>
            <w:pPr>
              <w:spacing w:before="340"/>
              <w:ind w:left="1180"/>
            </w:pPr>
            <w:r>
              <w:rPr>
                <w:rFonts w:hint="eastAsia" w:ascii="宋体" w:hAnsi="宋体" w:eastAsia="宋体" w:cs="宋体"/>
                <w:b/>
                <w:sz w:val="21"/>
              </w:rPr>
              <w:t>业务性质</w:t>
            </w:r>
          </w:p>
        </w:tc>
        <w:tc>
          <w:tcPr>
            <w:tcW w:w="1840" w:type="dxa"/>
            <w:gridSpan w:val="2"/>
            <w:tcMar>
              <w:top w:w="0" w:type="dxa"/>
              <w:left w:w="0" w:type="dxa"/>
              <w:bottom w:w="0" w:type="dxa"/>
              <w:right w:w="0" w:type="dxa"/>
            </w:tcMar>
          </w:tcPr>
          <w:p>
            <w:pPr>
              <w:spacing w:before="100"/>
              <w:ind w:left="380"/>
            </w:pPr>
            <w:r>
              <w:rPr>
                <w:rFonts w:hint="eastAsia" w:ascii="宋体" w:hAnsi="宋体" w:eastAsia="宋体" w:cs="宋体"/>
                <w:b/>
                <w:sz w:val="21"/>
              </w:rPr>
              <w:t>持股比例</w:t>
            </w:r>
            <w:r>
              <w:rPr>
                <w:rFonts w:hint="eastAsia" w:ascii="Times New Roman Bold" w:hAnsi="Times New Roman Bold" w:eastAsia="Times New Roman Bold" w:cs="Times New Roman Bold"/>
                <w:b/>
                <w:sz w:val="20"/>
              </w:rPr>
              <w:t>%</w:t>
            </w:r>
          </w:p>
        </w:tc>
        <w:tc>
          <w:tcPr>
            <w:tcW w:w="1540" w:type="dxa"/>
            <w:vMerge w:val="restart"/>
            <w:tcMar>
              <w:top w:w="0" w:type="dxa"/>
              <w:left w:w="0" w:type="dxa"/>
              <w:bottom w:w="0" w:type="dxa"/>
              <w:right w:w="0" w:type="dxa"/>
            </w:tcMar>
          </w:tcPr>
          <w:p>
            <w:pPr>
              <w:spacing w:before="340"/>
              <w:ind w:left="340"/>
            </w:pPr>
            <w:r>
              <w:rPr>
                <w:rFonts w:hint="eastAsia" w:ascii="宋体" w:hAnsi="宋体" w:eastAsia="宋体" w:cs="宋体"/>
                <w:b/>
                <w:sz w:val="21"/>
              </w:rPr>
              <w:t>取得方式</w:t>
            </w:r>
          </w:p>
        </w:tc>
      </w:tr>
      <w:tr>
        <w:trPr>
          <w:trHeight w:val="480" w:hRule="exact"/>
        </w:trPr>
        <w:tc>
          <w:tcPr>
            <w:tcW w:w="1720" w:type="dxa"/>
            <w:vMerge w:val="continue"/>
            <w:tcMar>
              <w:top w:w="0" w:type="dxa"/>
              <w:left w:w="0" w:type="dxa"/>
              <w:bottom w:w="0" w:type="dxa"/>
              <w:right w:w="0" w:type="dxa"/>
            </w:tcMar>
          </w:tcPr>
          <w:p/>
        </w:tc>
        <w:tc>
          <w:tcPr>
            <w:tcW w:w="940" w:type="dxa"/>
            <w:vMerge w:val="continue"/>
            <w:tcMar>
              <w:top w:w="0" w:type="dxa"/>
              <w:left w:w="0" w:type="dxa"/>
              <w:bottom w:w="0" w:type="dxa"/>
              <w:right w:w="0" w:type="dxa"/>
            </w:tcMar>
          </w:tcPr>
          <w:p/>
        </w:tc>
        <w:tc>
          <w:tcPr>
            <w:tcW w:w="3220" w:type="dxa"/>
            <w:vMerge w:val="continue"/>
            <w:tcMar>
              <w:top w:w="0" w:type="dxa"/>
              <w:left w:w="0" w:type="dxa"/>
              <w:bottom w:w="0" w:type="dxa"/>
              <w:right w:w="0" w:type="dxa"/>
            </w:tcMar>
          </w:tcPr>
          <w:p/>
        </w:tc>
        <w:tc>
          <w:tcPr>
            <w:tcW w:w="980" w:type="dxa"/>
            <w:tcMar>
              <w:top w:w="0" w:type="dxa"/>
              <w:left w:w="0" w:type="dxa"/>
              <w:bottom w:w="0" w:type="dxa"/>
              <w:right w:w="0" w:type="dxa"/>
            </w:tcMar>
          </w:tcPr>
          <w:p>
            <w:pPr>
              <w:spacing w:before="120"/>
              <w:ind w:left="260"/>
            </w:pPr>
            <w:r>
              <w:rPr>
                <w:rFonts w:hint="eastAsia" w:ascii="宋体" w:hAnsi="宋体" w:eastAsia="宋体" w:cs="宋体"/>
                <w:b/>
                <w:sz w:val="21"/>
              </w:rPr>
              <w:t>直接</w:t>
            </w:r>
          </w:p>
        </w:tc>
        <w:tc>
          <w:tcPr>
            <w:tcW w:w="860" w:type="dxa"/>
            <w:tcMar>
              <w:top w:w="0" w:type="dxa"/>
              <w:left w:w="0" w:type="dxa"/>
              <w:bottom w:w="0" w:type="dxa"/>
              <w:right w:w="0" w:type="dxa"/>
            </w:tcMar>
          </w:tcPr>
          <w:p>
            <w:pPr>
              <w:spacing w:before="120"/>
              <w:ind w:left="200"/>
            </w:pPr>
            <w:r>
              <w:rPr>
                <w:rFonts w:hint="eastAsia" w:ascii="宋体" w:hAnsi="宋体" w:eastAsia="宋体" w:cs="宋体"/>
                <w:b/>
                <w:sz w:val="21"/>
              </w:rPr>
              <w:t>间接</w:t>
            </w:r>
          </w:p>
        </w:tc>
        <w:tc>
          <w:tcPr>
            <w:tcW w:w="1540" w:type="dxa"/>
            <w:vMerge w:val="continue"/>
            <w:tcMar>
              <w:top w:w="0" w:type="dxa"/>
              <w:left w:w="0" w:type="dxa"/>
              <w:bottom w:w="0" w:type="dxa"/>
              <w:right w:w="0" w:type="dxa"/>
            </w:tcMar>
          </w:tcPr>
          <w:p/>
        </w:tc>
      </w:tr>
      <w:tr>
        <w:trPr>
          <w:trHeight w:val="480" w:hRule="exact"/>
        </w:trPr>
        <w:tc>
          <w:tcPr>
            <w:tcW w:w="1720" w:type="dxa"/>
            <w:tcMar>
              <w:top w:w="0" w:type="dxa"/>
              <w:left w:w="0" w:type="dxa"/>
              <w:bottom w:w="0" w:type="dxa"/>
              <w:right w:w="0" w:type="dxa"/>
            </w:tcMar>
          </w:tcPr>
          <w:p>
            <w:pPr>
              <w:spacing w:before="120"/>
              <w:ind w:left="420"/>
            </w:pPr>
            <w:r>
              <w:rPr>
                <w:rFonts w:hint="eastAsia" w:ascii="宋体" w:hAnsi="宋体" w:eastAsia="宋体" w:cs="宋体"/>
                <w:sz w:val="21"/>
              </w:rPr>
              <w:t>顶点数码</w:t>
            </w:r>
          </w:p>
        </w:tc>
        <w:tc>
          <w:tcPr>
            <w:tcW w:w="940" w:type="dxa"/>
            <w:tcMar>
              <w:top w:w="0" w:type="dxa"/>
              <w:left w:w="0" w:type="dxa"/>
              <w:bottom w:w="0" w:type="dxa"/>
              <w:right w:w="0" w:type="dxa"/>
            </w:tcMar>
          </w:tcPr>
          <w:p>
            <w:pPr>
              <w:spacing w:before="120"/>
              <w:ind w:left="240"/>
            </w:pPr>
            <w:r>
              <w:rPr>
                <w:rFonts w:hint="eastAsia" w:ascii="宋体" w:hAnsi="宋体" w:eastAsia="宋体" w:cs="宋体"/>
                <w:sz w:val="21"/>
              </w:rPr>
              <w:t>福州</w:t>
            </w:r>
          </w:p>
        </w:tc>
        <w:tc>
          <w:tcPr>
            <w:tcW w:w="3220" w:type="dxa"/>
            <w:tcMar>
              <w:top w:w="0" w:type="dxa"/>
              <w:left w:w="0" w:type="dxa"/>
              <w:bottom w:w="0" w:type="dxa"/>
              <w:right w:w="0" w:type="dxa"/>
            </w:tcMar>
          </w:tcPr>
          <w:p>
            <w:pPr>
              <w:spacing w:before="120"/>
              <w:ind w:left="340"/>
            </w:pPr>
            <w:r>
              <w:rPr>
                <w:rFonts w:hint="eastAsia" w:ascii="宋体" w:hAnsi="宋体" w:eastAsia="宋体" w:cs="宋体"/>
                <w:sz w:val="21"/>
              </w:rPr>
              <w:t>电子计算机软件开发</w:t>
            </w:r>
            <w:r>
              <w:rPr>
                <w:rFonts w:hint="eastAsia" w:ascii="宋体" w:hAnsi="宋体" w:eastAsia="宋体" w:cs="宋体"/>
                <w:sz w:val="10"/>
              </w:rPr>
              <w:t>、</w:t>
            </w:r>
            <w:r>
              <w:rPr>
                <w:rFonts w:hint="eastAsia" w:ascii="宋体" w:hAnsi="宋体" w:eastAsia="宋体" w:cs="宋体"/>
                <w:sz w:val="21"/>
              </w:rPr>
              <w:t>销售</w:t>
            </w:r>
          </w:p>
        </w:tc>
        <w:tc>
          <w:tcPr>
            <w:tcW w:w="9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860" w:type="dxa"/>
            <w:tcMar>
              <w:top w:w="0" w:type="dxa"/>
              <w:left w:w="0" w:type="dxa"/>
              <w:bottom w:w="0" w:type="dxa"/>
              <w:right w:w="0" w:type="dxa"/>
            </w:tcMar>
          </w:tcPr>
          <w:p/>
        </w:tc>
        <w:tc>
          <w:tcPr>
            <w:tcW w:w="1540" w:type="dxa"/>
            <w:tcMar>
              <w:top w:w="0" w:type="dxa"/>
              <w:left w:w="0" w:type="dxa"/>
              <w:bottom w:w="0" w:type="dxa"/>
              <w:right w:w="0" w:type="dxa"/>
            </w:tcMar>
          </w:tcPr>
          <w:p>
            <w:pPr>
              <w:spacing w:before="120"/>
              <w:ind w:left="340"/>
            </w:pPr>
            <w:r>
              <w:rPr>
                <w:rFonts w:hint="eastAsia" w:ascii="宋体" w:hAnsi="宋体" w:eastAsia="宋体" w:cs="宋体"/>
                <w:sz w:val="21"/>
              </w:rPr>
              <w:t>投资设立</w:t>
            </w:r>
          </w:p>
        </w:tc>
      </w:tr>
      <w:tr>
        <w:trPr>
          <w:trHeight w:val="480" w:hRule="exact"/>
        </w:trPr>
        <w:tc>
          <w:tcPr>
            <w:tcW w:w="1720" w:type="dxa"/>
            <w:tcMar>
              <w:top w:w="0" w:type="dxa"/>
              <w:left w:w="0" w:type="dxa"/>
              <w:bottom w:w="0" w:type="dxa"/>
              <w:right w:w="0" w:type="dxa"/>
            </w:tcMar>
          </w:tcPr>
          <w:p>
            <w:pPr>
              <w:spacing w:before="120"/>
              <w:ind w:left="420"/>
            </w:pPr>
            <w:r>
              <w:rPr>
                <w:rFonts w:hint="eastAsia" w:ascii="宋体" w:hAnsi="宋体" w:eastAsia="宋体" w:cs="宋体"/>
                <w:sz w:val="21"/>
              </w:rPr>
              <w:t>北京顶点</w:t>
            </w:r>
          </w:p>
        </w:tc>
        <w:tc>
          <w:tcPr>
            <w:tcW w:w="940" w:type="dxa"/>
            <w:tcMar>
              <w:top w:w="0" w:type="dxa"/>
              <w:left w:w="0" w:type="dxa"/>
              <w:bottom w:w="0" w:type="dxa"/>
              <w:right w:w="0" w:type="dxa"/>
            </w:tcMar>
          </w:tcPr>
          <w:p>
            <w:pPr>
              <w:spacing w:before="120"/>
              <w:ind w:left="240"/>
            </w:pPr>
            <w:r>
              <w:rPr>
                <w:rFonts w:hint="eastAsia" w:ascii="宋体" w:hAnsi="宋体" w:eastAsia="宋体" w:cs="宋体"/>
                <w:sz w:val="21"/>
              </w:rPr>
              <w:t>北京</w:t>
            </w:r>
          </w:p>
        </w:tc>
        <w:tc>
          <w:tcPr>
            <w:tcW w:w="3220" w:type="dxa"/>
            <w:tcMar>
              <w:top w:w="0" w:type="dxa"/>
              <w:left w:w="0" w:type="dxa"/>
              <w:bottom w:w="0" w:type="dxa"/>
              <w:right w:w="0" w:type="dxa"/>
            </w:tcMar>
          </w:tcPr>
          <w:p>
            <w:pPr>
              <w:spacing w:before="120"/>
              <w:ind w:left="340"/>
            </w:pPr>
            <w:r>
              <w:rPr>
                <w:rFonts w:hint="eastAsia" w:ascii="宋体" w:hAnsi="宋体" w:eastAsia="宋体" w:cs="宋体"/>
                <w:sz w:val="21"/>
              </w:rPr>
              <w:t>电子计算机软件开发</w:t>
            </w:r>
            <w:r>
              <w:rPr>
                <w:rFonts w:hint="eastAsia" w:ascii="宋体" w:hAnsi="宋体" w:eastAsia="宋体" w:cs="宋体"/>
                <w:sz w:val="10"/>
              </w:rPr>
              <w:t>、</w:t>
            </w:r>
            <w:r>
              <w:rPr>
                <w:rFonts w:hint="eastAsia" w:ascii="宋体" w:hAnsi="宋体" w:eastAsia="宋体" w:cs="宋体"/>
                <w:sz w:val="21"/>
              </w:rPr>
              <w:t>销售</w:t>
            </w:r>
          </w:p>
        </w:tc>
        <w:tc>
          <w:tcPr>
            <w:tcW w:w="98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86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540" w:type="dxa"/>
            <w:tcMar>
              <w:top w:w="0" w:type="dxa"/>
              <w:left w:w="0" w:type="dxa"/>
              <w:bottom w:w="0" w:type="dxa"/>
              <w:right w:w="0" w:type="dxa"/>
            </w:tcMar>
          </w:tcPr>
          <w:p>
            <w:pPr>
              <w:spacing w:before="100"/>
              <w:ind w:left="340"/>
            </w:pPr>
            <w:r>
              <w:rPr>
                <w:rFonts w:hint="eastAsia" w:ascii="宋体" w:hAnsi="宋体" w:eastAsia="宋体" w:cs="宋体"/>
                <w:sz w:val="21"/>
              </w:rPr>
              <w:t>投资设立</w:t>
            </w:r>
          </w:p>
        </w:tc>
      </w:tr>
      <w:tr>
        <w:trPr>
          <w:trHeight w:val="480" w:hRule="exact"/>
        </w:trPr>
        <w:tc>
          <w:tcPr>
            <w:tcW w:w="1720" w:type="dxa"/>
            <w:tcMar>
              <w:top w:w="0" w:type="dxa"/>
              <w:left w:w="0" w:type="dxa"/>
              <w:bottom w:w="0" w:type="dxa"/>
              <w:right w:w="0" w:type="dxa"/>
            </w:tcMar>
          </w:tcPr>
          <w:p>
            <w:pPr>
              <w:spacing w:before="120"/>
              <w:ind w:left="420"/>
            </w:pPr>
            <w:r>
              <w:rPr>
                <w:rFonts w:hint="eastAsia" w:ascii="宋体" w:hAnsi="宋体" w:eastAsia="宋体" w:cs="宋体"/>
                <w:sz w:val="21"/>
              </w:rPr>
              <w:t>上海顶点</w:t>
            </w:r>
          </w:p>
        </w:tc>
        <w:tc>
          <w:tcPr>
            <w:tcW w:w="940" w:type="dxa"/>
            <w:tcMar>
              <w:top w:w="0" w:type="dxa"/>
              <w:left w:w="0" w:type="dxa"/>
              <w:bottom w:w="0" w:type="dxa"/>
              <w:right w:w="0" w:type="dxa"/>
            </w:tcMar>
          </w:tcPr>
          <w:p>
            <w:pPr>
              <w:spacing w:before="120"/>
              <w:ind w:left="240"/>
            </w:pPr>
            <w:r>
              <w:rPr>
                <w:rFonts w:hint="eastAsia" w:ascii="宋体" w:hAnsi="宋体" w:eastAsia="宋体" w:cs="宋体"/>
                <w:sz w:val="21"/>
              </w:rPr>
              <w:t>上海</w:t>
            </w:r>
          </w:p>
        </w:tc>
        <w:tc>
          <w:tcPr>
            <w:tcW w:w="3220" w:type="dxa"/>
            <w:tcMar>
              <w:top w:w="0" w:type="dxa"/>
              <w:left w:w="0" w:type="dxa"/>
              <w:bottom w:w="0" w:type="dxa"/>
              <w:right w:w="0" w:type="dxa"/>
            </w:tcMar>
          </w:tcPr>
          <w:p>
            <w:pPr>
              <w:spacing w:before="100"/>
              <w:ind w:left="340"/>
            </w:pPr>
            <w:r>
              <w:rPr>
                <w:rFonts w:hint="eastAsia" w:ascii="宋体" w:hAnsi="宋体" w:eastAsia="宋体" w:cs="宋体"/>
                <w:sz w:val="21"/>
              </w:rPr>
              <w:t>电子计算机软件开发</w:t>
            </w:r>
            <w:r>
              <w:rPr>
                <w:rFonts w:hint="eastAsia" w:ascii="宋体" w:hAnsi="宋体" w:eastAsia="宋体" w:cs="宋体"/>
                <w:sz w:val="10"/>
              </w:rPr>
              <w:t>、</w:t>
            </w:r>
            <w:r>
              <w:rPr>
                <w:rFonts w:hint="eastAsia" w:ascii="宋体" w:hAnsi="宋体" w:eastAsia="宋体" w:cs="宋体"/>
                <w:sz w:val="21"/>
              </w:rPr>
              <w:t>销售</w:t>
            </w:r>
          </w:p>
        </w:tc>
        <w:tc>
          <w:tcPr>
            <w:tcW w:w="98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86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540" w:type="dxa"/>
            <w:tcMar>
              <w:top w:w="0" w:type="dxa"/>
              <w:left w:w="0" w:type="dxa"/>
              <w:bottom w:w="0" w:type="dxa"/>
              <w:right w:w="0" w:type="dxa"/>
            </w:tcMar>
          </w:tcPr>
          <w:p>
            <w:pPr>
              <w:spacing w:before="100"/>
              <w:ind w:left="340"/>
            </w:pPr>
            <w:r>
              <w:rPr>
                <w:rFonts w:hint="eastAsia" w:ascii="宋体" w:hAnsi="宋体" w:eastAsia="宋体" w:cs="宋体"/>
                <w:sz w:val="21"/>
              </w:rPr>
              <w:t>投资设立</w:t>
            </w:r>
          </w:p>
        </w:tc>
      </w:tr>
      <w:tr>
        <w:trPr>
          <w:trHeight w:val="460" w:hRule="exact"/>
        </w:trPr>
        <w:tc>
          <w:tcPr>
            <w:tcW w:w="1720" w:type="dxa"/>
            <w:tcMar>
              <w:top w:w="0" w:type="dxa"/>
              <w:left w:w="0" w:type="dxa"/>
              <w:bottom w:w="0" w:type="dxa"/>
              <w:right w:w="0" w:type="dxa"/>
            </w:tcMar>
          </w:tcPr>
          <w:p>
            <w:pPr>
              <w:spacing w:before="100"/>
              <w:ind w:left="420"/>
            </w:pPr>
            <w:r>
              <w:rPr>
                <w:rFonts w:hint="eastAsia" w:ascii="宋体" w:hAnsi="宋体" w:eastAsia="宋体" w:cs="宋体"/>
                <w:sz w:val="21"/>
              </w:rPr>
              <w:t>顶点信息</w:t>
            </w:r>
          </w:p>
        </w:tc>
        <w:tc>
          <w:tcPr>
            <w:tcW w:w="940" w:type="dxa"/>
            <w:tcMar>
              <w:top w:w="0" w:type="dxa"/>
              <w:left w:w="0" w:type="dxa"/>
              <w:bottom w:w="0" w:type="dxa"/>
              <w:right w:w="0" w:type="dxa"/>
            </w:tcMar>
          </w:tcPr>
          <w:p>
            <w:pPr>
              <w:spacing w:before="100"/>
              <w:ind w:left="240"/>
            </w:pPr>
            <w:r>
              <w:rPr>
                <w:rFonts w:hint="eastAsia" w:ascii="宋体" w:hAnsi="宋体" w:eastAsia="宋体" w:cs="宋体"/>
                <w:sz w:val="21"/>
              </w:rPr>
              <w:t>福州</w:t>
            </w:r>
          </w:p>
        </w:tc>
        <w:tc>
          <w:tcPr>
            <w:tcW w:w="3220" w:type="dxa"/>
            <w:tcMar>
              <w:top w:w="0" w:type="dxa"/>
              <w:left w:w="0" w:type="dxa"/>
              <w:bottom w:w="0" w:type="dxa"/>
              <w:right w:w="0" w:type="dxa"/>
            </w:tcMar>
          </w:tcPr>
          <w:p>
            <w:pPr>
              <w:spacing w:before="100"/>
              <w:ind w:left="340"/>
            </w:pPr>
            <w:r>
              <w:rPr>
                <w:rFonts w:hint="eastAsia" w:ascii="宋体" w:hAnsi="宋体" w:eastAsia="宋体" w:cs="宋体"/>
                <w:sz w:val="21"/>
              </w:rPr>
              <w:t>电子计算机软件开发</w:t>
            </w:r>
            <w:r>
              <w:rPr>
                <w:rFonts w:hint="eastAsia" w:ascii="宋体" w:hAnsi="宋体" w:eastAsia="宋体" w:cs="宋体"/>
                <w:sz w:val="10"/>
              </w:rPr>
              <w:t>、</w:t>
            </w:r>
            <w:r>
              <w:rPr>
                <w:rFonts w:hint="eastAsia" w:ascii="宋体" w:hAnsi="宋体" w:eastAsia="宋体" w:cs="宋体"/>
                <w:sz w:val="21"/>
              </w:rPr>
              <w:t>销售</w:t>
            </w:r>
          </w:p>
        </w:tc>
        <w:tc>
          <w:tcPr>
            <w:tcW w:w="980" w:type="dxa"/>
            <w:tcMar>
              <w:top w:w="0" w:type="dxa"/>
              <w:left w:w="0" w:type="dxa"/>
              <w:bottom w:w="0" w:type="dxa"/>
              <w:right w:w="0" w:type="dxa"/>
            </w:tcMar>
          </w:tcPr>
          <w:p>
            <w:pPr>
              <w:spacing w:before="120"/>
              <w:ind w:left="38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860" w:type="dxa"/>
            <w:tcMar>
              <w:top w:w="0" w:type="dxa"/>
              <w:left w:w="0" w:type="dxa"/>
              <w:bottom w:w="0" w:type="dxa"/>
              <w:right w:w="0" w:type="dxa"/>
            </w:tcMar>
          </w:tcPr>
          <w:p/>
        </w:tc>
        <w:tc>
          <w:tcPr>
            <w:tcW w:w="1540" w:type="dxa"/>
            <w:tcMar>
              <w:top w:w="0" w:type="dxa"/>
              <w:left w:w="0" w:type="dxa"/>
              <w:bottom w:w="0" w:type="dxa"/>
              <w:right w:w="0" w:type="dxa"/>
            </w:tcMar>
          </w:tcPr>
          <w:p>
            <w:pPr>
              <w:spacing w:before="100"/>
              <w:ind w:left="340"/>
            </w:pPr>
            <w:r>
              <w:rPr>
                <w:rFonts w:hint="eastAsia" w:ascii="宋体" w:hAnsi="宋体" w:eastAsia="宋体" w:cs="宋体"/>
                <w:sz w:val="21"/>
              </w:rPr>
              <w:t>投资设立</w:t>
            </w:r>
          </w:p>
        </w:tc>
      </w:tr>
      <w:tr>
        <w:trPr>
          <w:trHeight w:val="480" w:hRule="exact"/>
        </w:trPr>
        <w:tc>
          <w:tcPr>
            <w:tcW w:w="1720" w:type="dxa"/>
            <w:tcMar>
              <w:top w:w="0" w:type="dxa"/>
              <w:left w:w="0" w:type="dxa"/>
              <w:bottom w:w="0" w:type="dxa"/>
              <w:right w:w="0" w:type="dxa"/>
            </w:tcMar>
          </w:tcPr>
          <w:p>
            <w:pPr>
              <w:spacing w:before="120"/>
              <w:ind w:left="420"/>
            </w:pPr>
            <w:r>
              <w:rPr>
                <w:rFonts w:hint="eastAsia" w:ascii="宋体" w:hAnsi="宋体" w:eastAsia="宋体" w:cs="宋体"/>
                <w:sz w:val="21"/>
              </w:rPr>
              <w:t>武汉顶点</w:t>
            </w:r>
          </w:p>
        </w:tc>
        <w:tc>
          <w:tcPr>
            <w:tcW w:w="940" w:type="dxa"/>
            <w:tcMar>
              <w:top w:w="0" w:type="dxa"/>
              <w:left w:w="0" w:type="dxa"/>
              <w:bottom w:w="0" w:type="dxa"/>
              <w:right w:w="0" w:type="dxa"/>
            </w:tcMar>
          </w:tcPr>
          <w:p>
            <w:pPr>
              <w:spacing w:before="120"/>
              <w:ind w:left="240"/>
            </w:pPr>
            <w:r>
              <w:rPr>
                <w:rFonts w:hint="eastAsia" w:ascii="宋体" w:hAnsi="宋体" w:eastAsia="宋体" w:cs="宋体"/>
                <w:sz w:val="21"/>
              </w:rPr>
              <w:t>武汉</w:t>
            </w:r>
          </w:p>
        </w:tc>
        <w:tc>
          <w:tcPr>
            <w:tcW w:w="3220" w:type="dxa"/>
            <w:tcMar>
              <w:top w:w="0" w:type="dxa"/>
              <w:left w:w="0" w:type="dxa"/>
              <w:bottom w:w="0" w:type="dxa"/>
              <w:right w:w="0" w:type="dxa"/>
            </w:tcMar>
          </w:tcPr>
          <w:p>
            <w:pPr>
              <w:spacing w:before="120"/>
              <w:ind w:left="340"/>
            </w:pPr>
            <w:r>
              <w:rPr>
                <w:rFonts w:hint="eastAsia" w:ascii="宋体" w:hAnsi="宋体" w:eastAsia="宋体" w:cs="宋体"/>
                <w:sz w:val="21"/>
              </w:rPr>
              <w:t>电子计算机软件开发</w:t>
            </w:r>
            <w:r>
              <w:rPr>
                <w:rFonts w:hint="eastAsia" w:ascii="宋体" w:hAnsi="宋体" w:eastAsia="宋体" w:cs="宋体"/>
                <w:sz w:val="10"/>
              </w:rPr>
              <w:t>、</w:t>
            </w:r>
            <w:r>
              <w:rPr>
                <w:rFonts w:hint="eastAsia" w:ascii="宋体" w:hAnsi="宋体" w:eastAsia="宋体" w:cs="宋体"/>
                <w:sz w:val="21"/>
              </w:rPr>
              <w:t>销售</w:t>
            </w:r>
          </w:p>
        </w:tc>
        <w:tc>
          <w:tcPr>
            <w:tcW w:w="9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860" w:type="dxa"/>
            <w:tcMar>
              <w:top w:w="0" w:type="dxa"/>
              <w:left w:w="0" w:type="dxa"/>
              <w:bottom w:w="0" w:type="dxa"/>
              <w:right w:w="0" w:type="dxa"/>
            </w:tcMar>
          </w:tcPr>
          <w:p/>
        </w:tc>
        <w:tc>
          <w:tcPr>
            <w:tcW w:w="1540" w:type="dxa"/>
            <w:tcMar>
              <w:top w:w="0" w:type="dxa"/>
              <w:left w:w="0" w:type="dxa"/>
              <w:bottom w:w="0" w:type="dxa"/>
              <w:right w:w="0" w:type="dxa"/>
            </w:tcMar>
          </w:tcPr>
          <w:p>
            <w:pPr>
              <w:spacing w:before="120"/>
              <w:ind w:left="340"/>
            </w:pPr>
            <w:r>
              <w:rPr>
                <w:rFonts w:hint="eastAsia" w:ascii="宋体" w:hAnsi="宋体" w:eastAsia="宋体" w:cs="宋体"/>
                <w:sz w:val="21"/>
              </w:rPr>
              <w:t>投资设立</w:t>
            </w:r>
          </w:p>
        </w:tc>
      </w:tr>
      <w:tr>
        <w:trPr>
          <w:trHeight w:val="460" w:hRule="exact"/>
        </w:trPr>
        <w:tc>
          <w:tcPr>
            <w:tcW w:w="1720" w:type="dxa"/>
            <w:tcMar>
              <w:top w:w="0" w:type="dxa"/>
              <w:left w:w="0" w:type="dxa"/>
              <w:bottom w:w="0" w:type="dxa"/>
              <w:right w:w="0" w:type="dxa"/>
            </w:tcMar>
          </w:tcPr>
          <w:p>
            <w:pPr>
              <w:spacing w:before="120"/>
              <w:ind w:left="320"/>
            </w:pPr>
            <w:r>
              <w:rPr>
                <w:rFonts w:hint="eastAsia" w:ascii="宋体" w:hAnsi="宋体" w:eastAsia="宋体" w:cs="宋体"/>
                <w:sz w:val="21"/>
              </w:rPr>
              <w:t>亿维航软件</w:t>
            </w:r>
          </w:p>
        </w:tc>
        <w:tc>
          <w:tcPr>
            <w:tcW w:w="940" w:type="dxa"/>
            <w:tcMar>
              <w:top w:w="0" w:type="dxa"/>
              <w:left w:w="0" w:type="dxa"/>
              <w:bottom w:w="0" w:type="dxa"/>
              <w:right w:w="0" w:type="dxa"/>
            </w:tcMar>
          </w:tcPr>
          <w:p>
            <w:pPr>
              <w:spacing w:before="120"/>
              <w:ind w:left="240"/>
            </w:pPr>
            <w:r>
              <w:rPr>
                <w:rFonts w:hint="eastAsia" w:ascii="宋体" w:hAnsi="宋体" w:eastAsia="宋体" w:cs="宋体"/>
                <w:sz w:val="21"/>
              </w:rPr>
              <w:t>上海</w:t>
            </w:r>
          </w:p>
        </w:tc>
        <w:tc>
          <w:tcPr>
            <w:tcW w:w="3220" w:type="dxa"/>
            <w:tcMar>
              <w:top w:w="0" w:type="dxa"/>
              <w:left w:w="0" w:type="dxa"/>
              <w:bottom w:w="0" w:type="dxa"/>
              <w:right w:w="0" w:type="dxa"/>
            </w:tcMar>
          </w:tcPr>
          <w:p>
            <w:pPr>
              <w:spacing w:before="100"/>
              <w:ind w:left="340"/>
            </w:pPr>
            <w:r>
              <w:rPr>
                <w:rFonts w:hint="eastAsia" w:ascii="宋体" w:hAnsi="宋体" w:eastAsia="宋体" w:cs="宋体"/>
                <w:sz w:val="21"/>
              </w:rPr>
              <w:t>电子计算机软件开发</w:t>
            </w:r>
            <w:r>
              <w:rPr>
                <w:rFonts w:hint="eastAsia" w:ascii="宋体" w:hAnsi="宋体" w:eastAsia="宋体" w:cs="宋体"/>
                <w:sz w:val="10"/>
              </w:rPr>
              <w:t>、</w:t>
            </w:r>
            <w:r>
              <w:rPr>
                <w:rFonts w:hint="eastAsia" w:ascii="宋体" w:hAnsi="宋体" w:eastAsia="宋体" w:cs="宋体"/>
                <w:sz w:val="21"/>
              </w:rPr>
              <w:t>销售</w:t>
            </w:r>
          </w:p>
        </w:tc>
        <w:tc>
          <w:tcPr>
            <w:tcW w:w="98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860" w:type="dxa"/>
            <w:tcMar>
              <w:top w:w="0" w:type="dxa"/>
              <w:left w:w="0" w:type="dxa"/>
              <w:bottom w:w="0" w:type="dxa"/>
              <w:right w:w="0" w:type="dxa"/>
            </w:tcMar>
          </w:tcPr>
          <w:p/>
        </w:tc>
        <w:tc>
          <w:tcPr>
            <w:tcW w:w="1540" w:type="dxa"/>
            <w:tcMar>
              <w:top w:w="0" w:type="dxa"/>
              <w:left w:w="0" w:type="dxa"/>
              <w:bottom w:w="0" w:type="dxa"/>
              <w:right w:w="0" w:type="dxa"/>
            </w:tcMar>
          </w:tcPr>
          <w:p>
            <w:pPr>
              <w:spacing w:before="100"/>
              <w:ind w:left="340"/>
            </w:pPr>
            <w:r>
              <w:rPr>
                <w:rFonts w:hint="eastAsia" w:ascii="宋体" w:hAnsi="宋体" w:eastAsia="宋体" w:cs="宋体"/>
                <w:sz w:val="21"/>
              </w:rPr>
              <w:t>投资设立</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合并报表范围变化情况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本公司于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月出资新设控股子公司亿维航软件</w:t>
      </w:r>
      <w:r>
        <w:rPr>
          <w:rFonts w:hint="eastAsia" w:ascii="宋体" w:hAnsi="宋体" w:eastAsia="宋体" w:cs="宋体"/>
          <w:sz w:val="10"/>
        </w:rPr>
        <w:t>，</w:t>
      </w:r>
      <w:r>
        <w:rPr>
          <w:rFonts w:hint="eastAsia" w:ascii="宋体" w:hAnsi="宋体" w:eastAsia="宋体" w:cs="宋体"/>
          <w:sz w:val="24"/>
        </w:rPr>
        <w:t>并从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年度开始将其纳入合并范围</w:t>
      </w:r>
      <w:r>
        <w:rPr>
          <w:rFonts w:hint="eastAsia" w:ascii="宋体" w:hAnsi="宋体" w:eastAsia="宋体" w:cs="宋体"/>
          <w:sz w:val="10"/>
        </w:rPr>
        <w:t>，</w:t>
      </w:r>
      <w:r>
        <w:rPr>
          <w:rFonts w:hint="eastAsia" w:ascii="宋体" w:hAnsi="宋体" w:eastAsia="宋体" w:cs="宋体"/>
          <w:sz w:val="24"/>
        </w:rPr>
        <w:t>报告期投资设立的子公司情况如下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400" w:type="auto"/>
        <w:tblInd w:w="12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00"/>
        <w:gridCol w:w="1420"/>
        <w:gridCol w:w="1140"/>
        <w:gridCol w:w="840"/>
        <w:gridCol w:w="1140"/>
        <w:gridCol w:w="2300"/>
        <w:gridCol w:w="1240"/>
      </w:tblGrid>
      <w:tr>
        <w:trPr>
          <w:trHeight w:val="560" w:hRule="exact"/>
        </w:trPr>
        <w:tc>
          <w:tcPr>
            <w:tcW w:w="1300" w:type="dxa"/>
            <w:tcMar>
              <w:top w:w="0" w:type="dxa"/>
              <w:left w:w="0" w:type="dxa"/>
              <w:bottom w:w="0" w:type="dxa"/>
              <w:right w:w="0" w:type="dxa"/>
            </w:tcMar>
          </w:tcPr>
          <w:p>
            <w:pPr>
              <w:spacing w:before="160"/>
              <w:ind w:left="420"/>
            </w:pPr>
            <w:r>
              <w:rPr>
                <w:rFonts w:hint="eastAsia" w:ascii="宋体" w:hAnsi="宋体" w:eastAsia="宋体" w:cs="宋体"/>
                <w:b/>
                <w:sz w:val="21"/>
              </w:rPr>
              <w:t>名称</w:t>
            </w:r>
          </w:p>
        </w:tc>
        <w:tc>
          <w:tcPr>
            <w:tcW w:w="1420" w:type="dxa"/>
            <w:tcMar>
              <w:top w:w="0" w:type="dxa"/>
              <w:left w:w="0" w:type="dxa"/>
              <w:bottom w:w="0" w:type="dxa"/>
              <w:right w:w="0" w:type="dxa"/>
            </w:tcMar>
          </w:tcPr>
          <w:p>
            <w:pPr>
              <w:spacing w:before="160"/>
              <w:ind w:left="160"/>
            </w:pPr>
            <w:r>
              <w:rPr>
                <w:rFonts w:hint="eastAsia" w:ascii="宋体" w:hAnsi="宋体" w:eastAsia="宋体" w:cs="宋体"/>
                <w:b/>
                <w:sz w:val="21"/>
              </w:rPr>
              <w:t>子公司类型</w:t>
            </w:r>
          </w:p>
        </w:tc>
        <w:tc>
          <w:tcPr>
            <w:tcW w:w="1140" w:type="dxa"/>
            <w:tcMar>
              <w:top w:w="0" w:type="dxa"/>
              <w:left w:w="0" w:type="dxa"/>
              <w:bottom w:w="0" w:type="dxa"/>
              <w:right w:w="0" w:type="dxa"/>
            </w:tcMar>
          </w:tcPr>
          <w:p>
            <w:pPr>
              <w:spacing w:before="160"/>
              <w:ind w:left="120"/>
            </w:pPr>
            <w:r>
              <w:rPr>
                <w:rFonts w:hint="eastAsia" w:ascii="宋体" w:hAnsi="宋体" w:eastAsia="宋体" w:cs="宋体"/>
                <w:b/>
                <w:sz w:val="21"/>
              </w:rPr>
              <w:t>企业类型</w:t>
            </w:r>
          </w:p>
        </w:tc>
        <w:tc>
          <w:tcPr>
            <w:tcW w:w="840" w:type="dxa"/>
            <w:tcMar>
              <w:top w:w="0" w:type="dxa"/>
              <w:left w:w="0" w:type="dxa"/>
              <w:bottom w:w="0" w:type="dxa"/>
              <w:right w:w="0" w:type="dxa"/>
            </w:tcMar>
          </w:tcPr>
          <w:p>
            <w:pPr>
              <w:spacing w:before="180"/>
            </w:pPr>
            <w:r>
              <w:rPr>
                <w:rFonts w:hint="eastAsia" w:ascii="宋体" w:hAnsi="宋体" w:eastAsia="宋体" w:cs="宋体"/>
                <w:b/>
                <w:sz w:val="21"/>
              </w:rPr>
              <w:t>注册地</w:t>
            </w:r>
          </w:p>
        </w:tc>
        <w:tc>
          <w:tcPr>
            <w:tcW w:w="1140" w:type="dxa"/>
            <w:tcMar>
              <w:top w:w="0" w:type="dxa"/>
              <w:left w:w="0" w:type="dxa"/>
              <w:bottom w:w="0" w:type="dxa"/>
              <w:right w:w="0" w:type="dxa"/>
            </w:tcMar>
          </w:tcPr>
          <w:p>
            <w:pPr>
              <w:spacing w:before="160"/>
              <w:ind w:left="140"/>
            </w:pPr>
            <w:r>
              <w:rPr>
                <w:rFonts w:hint="eastAsia" w:ascii="宋体" w:hAnsi="宋体" w:eastAsia="宋体" w:cs="宋体"/>
                <w:b/>
                <w:sz w:val="21"/>
              </w:rPr>
              <w:t>法人代表</w:t>
            </w:r>
          </w:p>
        </w:tc>
        <w:tc>
          <w:tcPr>
            <w:tcW w:w="2300" w:type="dxa"/>
            <w:tcMar>
              <w:top w:w="0" w:type="dxa"/>
              <w:left w:w="0" w:type="dxa"/>
              <w:bottom w:w="0" w:type="dxa"/>
              <w:right w:w="0" w:type="dxa"/>
            </w:tcMar>
          </w:tcPr>
          <w:p>
            <w:pPr>
              <w:spacing w:before="160"/>
              <w:ind w:left="700"/>
            </w:pPr>
            <w:r>
              <w:rPr>
                <w:rFonts w:hint="eastAsia" w:ascii="宋体" w:hAnsi="宋体" w:eastAsia="宋体" w:cs="宋体"/>
                <w:b/>
                <w:sz w:val="21"/>
              </w:rPr>
              <w:t>成立时间</w:t>
            </w:r>
          </w:p>
        </w:tc>
        <w:tc>
          <w:tcPr>
            <w:tcW w:w="1240" w:type="dxa"/>
            <w:tcMar>
              <w:top w:w="0" w:type="dxa"/>
              <w:left w:w="0" w:type="dxa"/>
              <w:bottom w:w="0" w:type="dxa"/>
              <w:right w:w="0" w:type="dxa"/>
            </w:tcMar>
          </w:tcPr>
          <w:p>
            <w:pPr>
              <w:spacing w:before="160"/>
              <w:ind w:left="180"/>
            </w:pPr>
            <w:r>
              <w:rPr>
                <w:rFonts w:hint="eastAsia" w:ascii="宋体" w:hAnsi="宋体" w:eastAsia="宋体" w:cs="宋体"/>
                <w:b/>
                <w:sz w:val="21"/>
              </w:rPr>
              <w:t>注册资本</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1-1-222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9216" behindDoc="false" locked="false" layoutInCell="true" allowOverlap="true">
                <wp:simplePos x="0" y="0"/>
                <wp:positionH relativeFrom="page">
                  <wp:posOffset>800100</wp:posOffset>
                </wp:positionH>
                <wp:positionV relativeFrom="page">
                  <wp:posOffset>901700</wp:posOffset>
                </wp:positionV>
                <wp:extent cx="25400" cy="431800"/>
                <wp:effectExtent l="0" t="0" r="22225" b="31115"/>
                <wp:wrapNone/>
                <wp:docPr id="12720" name="shape12720"/>
                <wp:cNvGraphicFramePr/>
                <a:graphic>
                  <a:graphicData uri="http://schemas.microsoft.com/office/word/2010/wordprocessingShape">
                    <wps:wsp>
                      <wps:cNvSpPr/>
                      <wps:spPr>
                        <a:xfrm>
                          <a:off x="0" y="0"/>
                          <a:ext cx="25400" cy="431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4pt;margin-left:63pt;margin-top:71pt;mso-wrap-style:square;z-index:10259216;mso-wrap-distance-left:9pt;mso-wrap-distance-top:0pt;mso-wrap-distance-right:9pt;mso-wrap-distance-bottom:0pt" id="shape12720" o:spid="1618382360314" stroked="f" filled="t" fillcolor="#000000"/>
            </w:pict>
          </mc:Fallback>
        </mc:AlternateContent>
      </w:r>
      <w:r>
        <mc:AlternateContent>
          <mc:Choice Requires="wps">
            <w:drawing>
              <wp:anchor distT="0" distB="0" distL="114300" distR="114300" simplePos="false" relativeHeight="10261264" behindDoc="false" locked="false" layoutInCell="true" allowOverlap="true">
                <wp:simplePos x="0" y="0"/>
                <wp:positionH relativeFrom="page">
                  <wp:posOffset>1625600</wp:posOffset>
                </wp:positionH>
                <wp:positionV relativeFrom="page">
                  <wp:posOffset>901700</wp:posOffset>
                </wp:positionV>
                <wp:extent cx="25400" cy="431800"/>
                <wp:effectExtent l="0" t="0" r="22225" b="31115"/>
                <wp:wrapNone/>
                <wp:docPr id="12722" name="shape12722"/>
                <wp:cNvGraphicFramePr/>
                <a:graphic>
                  <a:graphicData uri="http://schemas.microsoft.com/office/word/2010/wordprocessingShape">
                    <wps:wsp>
                      <wps:cNvSpPr/>
                      <wps:spPr>
                        <a:xfrm>
                          <a:off x="0" y="0"/>
                          <a:ext cx="25400" cy="431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4pt;margin-left:128pt;margin-top:71pt;mso-wrap-style:square;z-index:10261264;mso-wrap-distance-left:9pt;mso-wrap-distance-top:0pt;mso-wrap-distance-right:9pt;mso-wrap-distance-bottom:0pt" id="shape12722" o:spid="1618382360314" stroked="f" filled="t" fillcolor="#000000"/>
            </w:pict>
          </mc:Fallback>
        </mc:AlternateContent>
      </w:r>
      <w:r>
        <mc:AlternateContent>
          <mc:Choice Requires="wps">
            <w:drawing>
              <wp:anchor distT="0" distB="0" distL="114300" distR="114300" simplePos="false" relativeHeight="10263312" behindDoc="false" locked="false" layoutInCell="true" allowOverlap="true">
                <wp:simplePos x="0" y="0"/>
                <wp:positionH relativeFrom="page">
                  <wp:posOffset>2527300</wp:posOffset>
                </wp:positionH>
                <wp:positionV relativeFrom="page">
                  <wp:posOffset>901700</wp:posOffset>
                </wp:positionV>
                <wp:extent cx="12700" cy="431800"/>
                <wp:effectExtent l="0" t="0" r="22225" b="31115"/>
                <wp:wrapNone/>
                <wp:docPr id="12724" name="shape12724"/>
                <wp:cNvGraphicFramePr/>
                <a:graphic>
                  <a:graphicData uri="http://schemas.microsoft.com/office/word/2010/wordprocessingShape">
                    <wps:wsp>
                      <wps:cNvSpPr/>
                      <wps:spPr>
                        <a:xfrm>
                          <a:off x="0" y="0"/>
                          <a:ext cx="12700" cy="431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4pt;margin-left:199pt;margin-top:71pt;mso-wrap-style:square;z-index:10263312;mso-wrap-distance-left:9pt;mso-wrap-distance-top:0pt;mso-wrap-distance-right:9pt;mso-wrap-distance-bottom:0pt" id="shape12724" o:spid="1618382360314" stroked="f" filled="t" fillcolor="#000000"/>
            </w:pict>
          </mc:Fallback>
        </mc:AlternateContent>
      </w:r>
      <w:r>
        <mc:AlternateContent>
          <mc:Choice Requires="wps">
            <w:drawing>
              <wp:anchor distT="0" distB="0" distL="114300" distR="114300" simplePos="false" relativeHeight="10269456" behindDoc="false" locked="false" layoutInCell="true" allowOverlap="true">
                <wp:simplePos x="0" y="0"/>
                <wp:positionH relativeFrom="page">
                  <wp:posOffset>4508500</wp:posOffset>
                </wp:positionH>
                <wp:positionV relativeFrom="page">
                  <wp:posOffset>901700</wp:posOffset>
                </wp:positionV>
                <wp:extent cx="12700" cy="431800"/>
                <wp:effectExtent l="0" t="0" r="22225" b="31115"/>
                <wp:wrapNone/>
                <wp:docPr id="12730" name="shape12730"/>
                <wp:cNvGraphicFramePr/>
                <a:graphic>
                  <a:graphicData uri="http://schemas.microsoft.com/office/word/2010/wordprocessingShape">
                    <wps:wsp>
                      <wps:cNvSpPr/>
                      <wps:spPr>
                        <a:xfrm>
                          <a:off x="0" y="0"/>
                          <a:ext cx="12700" cy="431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4pt;margin-left:355pt;margin-top:71pt;mso-wrap-style:square;z-index:10269456;mso-wrap-distance-left:9pt;mso-wrap-distance-top:0pt;mso-wrap-distance-right:9pt;mso-wrap-distance-bottom:0pt" id="shape12730" o:spid="1618382360315" stroked="f" filled="t" fillcolor="#000000"/>
            </w:pict>
          </mc:Fallback>
        </mc:AlternateContent>
      </w:r>
      <w:r>
        <mc:AlternateContent>
          <mc:Choice Requires="wps">
            <w:drawing>
              <wp:anchor distT="0" distB="0" distL="114300" distR="114300" simplePos="false" relativeHeight="10271504" behindDoc="false" locked="false" layoutInCell="true" allowOverlap="true">
                <wp:simplePos x="0" y="0"/>
                <wp:positionH relativeFrom="page">
                  <wp:posOffset>5969000</wp:posOffset>
                </wp:positionH>
                <wp:positionV relativeFrom="page">
                  <wp:posOffset>901700</wp:posOffset>
                </wp:positionV>
                <wp:extent cx="25400" cy="431800"/>
                <wp:effectExtent l="0" t="0" r="22225" b="31115"/>
                <wp:wrapNone/>
                <wp:docPr id="12732" name="shape12732"/>
                <wp:cNvGraphicFramePr/>
                <a:graphic>
                  <a:graphicData uri="http://schemas.microsoft.com/office/word/2010/wordprocessingShape">
                    <wps:wsp>
                      <wps:cNvSpPr/>
                      <wps:spPr>
                        <a:xfrm>
                          <a:off x="0" y="0"/>
                          <a:ext cx="25400" cy="431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4pt;margin-left:470pt;margin-top:71pt;mso-wrap-style:square;z-index:10271504;mso-wrap-distance-left:9pt;mso-wrap-distance-top:0pt;mso-wrap-distance-right:9pt;mso-wrap-distance-bottom:0pt" id="shape12732" o:spid="1618382360315" stroked="f" filled="t" fillcolor="#000000"/>
            </w:pict>
          </mc:Fallback>
        </mc:AlternateContent>
      </w:r>
      <w:r>
        <mc:AlternateContent>
          <mc:Choice Requires="wps">
            <w:drawing>
              <wp:anchor distT="0" distB="0" distL="114300" distR="114300" simplePos="false" relativeHeight="10273552" behindDoc="false" locked="false" layoutInCell="true" allowOverlap="true">
                <wp:simplePos x="0" y="0"/>
                <wp:positionH relativeFrom="page">
                  <wp:posOffset>6756400</wp:posOffset>
                </wp:positionH>
                <wp:positionV relativeFrom="page">
                  <wp:posOffset>901700</wp:posOffset>
                </wp:positionV>
                <wp:extent cx="12700" cy="431800"/>
                <wp:effectExtent l="0" t="0" r="22225" b="31115"/>
                <wp:wrapNone/>
                <wp:docPr id="12734" name="shape12734"/>
                <wp:cNvGraphicFramePr/>
                <a:graphic>
                  <a:graphicData uri="http://schemas.microsoft.com/office/word/2010/wordprocessingShape">
                    <wps:wsp>
                      <wps:cNvSpPr/>
                      <wps:spPr>
                        <a:xfrm>
                          <a:off x="0" y="0"/>
                          <a:ext cx="12700" cy="431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4pt;margin-left:532pt;margin-top:71pt;mso-wrap-style:square;z-index:10273552;mso-wrap-distance-left:9pt;mso-wrap-distance-top:0pt;mso-wrap-distance-right:9pt;mso-wrap-distance-bottom:0pt" id="shape12734" o:spid="1618382360315" stroked="f" filled="t" fillcolor="#000000"/>
            </w:pict>
          </mc:Fallback>
        </mc:AlternateContent>
      </w:r>
      <w:r>
        <mc:AlternateContent>
          <mc:Choice Requires="wps">
            <w:drawing>
              <wp:anchor distT="0" distB="0" distL="114300" distR="114300" simplePos="false" relativeHeight="10275600" behindDoc="false" locked="false" layoutInCell="true" allowOverlap="true">
                <wp:simplePos x="0" y="0"/>
                <wp:positionH relativeFrom="page">
                  <wp:posOffset>3251200</wp:posOffset>
                </wp:positionH>
                <wp:positionV relativeFrom="page">
                  <wp:posOffset>901700</wp:posOffset>
                </wp:positionV>
                <wp:extent cx="12700" cy="431800"/>
                <wp:effectExtent l="0" t="0" r="22225" b="31115"/>
                <wp:wrapNone/>
                <wp:docPr id="12726" name="shape12726"/>
                <wp:cNvGraphicFramePr/>
                <a:graphic>
                  <a:graphicData uri="http://schemas.microsoft.com/office/word/2010/wordprocessingShape">
                    <wps:wsp>
                      <wps:cNvSpPr/>
                      <wps:spPr>
                        <a:xfrm>
                          <a:off x="0" y="0"/>
                          <a:ext cx="12700" cy="431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4pt;margin-left:256pt;margin-top:71pt;mso-wrap-style:square;z-index:10275600;mso-wrap-distance-left:9pt;mso-wrap-distance-top:0pt;mso-wrap-distance-right:9pt;mso-wrap-distance-bottom:0pt" id="shape12726" o:spid="1618382360316" stroked="f" filled="t" fillcolor="#000000"/>
            </w:pict>
          </mc:Fallback>
        </mc:AlternateContent>
      </w:r>
      <w:r>
        <mc:AlternateContent>
          <mc:Choice Requires="wps">
            <w:drawing>
              <wp:anchor distT="0" distB="0" distL="114300" distR="114300" simplePos="false" relativeHeight="10276624" behindDoc="false" locked="false" layoutInCell="true" allowOverlap="true">
                <wp:simplePos x="0" y="0"/>
                <wp:positionH relativeFrom="page">
                  <wp:posOffset>3784600</wp:posOffset>
                </wp:positionH>
                <wp:positionV relativeFrom="page">
                  <wp:posOffset>901700</wp:posOffset>
                </wp:positionV>
                <wp:extent cx="25400" cy="431800"/>
                <wp:effectExtent l="0" t="0" r="22225" b="31115"/>
                <wp:wrapNone/>
                <wp:docPr id="12728" name="shape12728"/>
                <wp:cNvGraphicFramePr/>
                <a:graphic>
                  <a:graphicData uri="http://schemas.microsoft.com/office/word/2010/wordprocessingShape">
                    <wps:wsp>
                      <wps:cNvSpPr/>
                      <wps:spPr>
                        <a:xfrm>
                          <a:off x="0" y="0"/>
                          <a:ext cx="25400" cy="431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4pt;margin-left:298pt;margin-top:71pt;mso-wrap-style:square;z-index:10276624;mso-wrap-distance-left:9pt;mso-wrap-distance-top:0pt;mso-wrap-distance-right:9pt;mso-wrap-distance-bottom:0pt" id="shape12728" o:spid="1618382360316" stroked="f" filled="t" fillcolor="#000000"/>
            </w:pict>
          </mc:Fallback>
        </mc:AlternateContent>
      </w:r>
      <w:r>
        <mc:AlternateContent>
          <mc:Choice Requires="wps">
            <w:drawing>
              <wp:anchor distT="0" distB="0" distL="114300" distR="114300" simplePos="false" relativeHeight="10252048" behindDoc="false" locked="false" layoutInCell="true" allowOverlap="true">
                <wp:simplePos x="0" y="0"/>
                <wp:positionH relativeFrom="page">
                  <wp:posOffset>812800</wp:posOffset>
                </wp:positionH>
                <wp:positionV relativeFrom="page">
                  <wp:posOffset>901700</wp:posOffset>
                </wp:positionV>
                <wp:extent cx="825500" cy="12700"/>
                <wp:effectExtent l="0" t="0" r="22225" b="31115"/>
                <wp:wrapNone/>
                <wp:docPr id="12713" name="shape12713"/>
                <wp:cNvGraphicFramePr/>
                <a:graphic>
                  <a:graphicData uri="http://schemas.microsoft.com/office/word/2010/wordprocessingShape">
                    <wps:wsp>
                      <wps:cNvSpPr/>
                      <wps:spPr>
                        <a:xfrm>
                          <a:off x="0" y="0"/>
                          <a:ext cx="8255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1pt;margin-left:64pt;margin-top:71pt;mso-wrap-style:square;z-index:10252048;mso-wrap-distance-left:9pt;mso-wrap-distance-top:0pt;mso-wrap-distance-right:9pt;mso-wrap-distance-bottom:0pt" id="shape12713" o:spid="1618382360316" stroked="f" filled="t" fillcolor="#000000"/>
            </w:pict>
          </mc:Fallback>
        </mc:AlternateContent>
      </w:r>
      <w:r>
        <mc:AlternateContent>
          <mc:Choice Requires="wps">
            <w:drawing>
              <wp:anchor distT="0" distB="0" distL="114300" distR="114300" simplePos="false" relativeHeight="10253072" behindDoc="false" locked="false" layoutInCell="true" allowOverlap="true">
                <wp:simplePos x="0" y="0"/>
                <wp:positionH relativeFrom="page">
                  <wp:posOffset>1638300</wp:posOffset>
                </wp:positionH>
                <wp:positionV relativeFrom="page">
                  <wp:posOffset>901700</wp:posOffset>
                </wp:positionV>
                <wp:extent cx="901700" cy="12700"/>
                <wp:effectExtent l="0" t="0" r="22225" b="31115"/>
                <wp:wrapNone/>
                <wp:docPr id="12714" name="shape12714"/>
                <wp:cNvGraphicFramePr/>
                <a:graphic>
                  <a:graphicData uri="http://schemas.microsoft.com/office/word/2010/wordprocessingShape">
                    <wps:wsp>
                      <wps:cNvSpPr/>
                      <wps:spPr>
                        <a:xfrm>
                          <a:off x="0" y="0"/>
                          <a:ext cx="9017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1pt;height:1pt;margin-left:129pt;margin-top:71pt;mso-wrap-style:square;z-index:10253072;mso-wrap-distance-left:9pt;mso-wrap-distance-top:0pt;mso-wrap-distance-right:9pt;mso-wrap-distance-bottom:0pt" id="shape12714" o:spid="1618382360317" stroked="f" filled="t" fillcolor="#000000"/>
            </w:pict>
          </mc:Fallback>
        </mc:AlternateContent>
      </w:r>
      <w:r>
        <mc:AlternateContent>
          <mc:Choice Requires="wps">
            <w:drawing>
              <wp:anchor distT="0" distB="0" distL="114300" distR="114300" simplePos="false" relativeHeight="10254096" behindDoc="false" locked="false" layoutInCell="true" allowOverlap="true">
                <wp:simplePos x="0" y="0"/>
                <wp:positionH relativeFrom="page">
                  <wp:posOffset>2527300</wp:posOffset>
                </wp:positionH>
                <wp:positionV relativeFrom="page">
                  <wp:posOffset>901700</wp:posOffset>
                </wp:positionV>
                <wp:extent cx="736600" cy="12700"/>
                <wp:effectExtent l="0" t="0" r="22225" b="31115"/>
                <wp:wrapNone/>
                <wp:docPr id="12715" name="shape12715"/>
                <wp:cNvGraphicFramePr/>
                <a:graphic>
                  <a:graphicData uri="http://schemas.microsoft.com/office/word/2010/wordprocessingShape">
                    <wps:wsp>
                      <wps:cNvSpPr/>
                      <wps:spPr>
                        <a:xfrm>
                          <a:off x="0" y="0"/>
                          <a:ext cx="7366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1pt;margin-left:199pt;margin-top:71pt;mso-wrap-style:square;z-index:10254096;mso-wrap-distance-left:9pt;mso-wrap-distance-top:0pt;mso-wrap-distance-right:9pt;mso-wrap-distance-bottom:0pt" id="shape12715" o:spid="1618382360317" stroked="f" filled="t" fillcolor="#000000"/>
            </w:pict>
          </mc:Fallback>
        </mc:AlternateContent>
      </w:r>
      <w:r>
        <mc:AlternateContent>
          <mc:Choice Requires="wps">
            <w:drawing>
              <wp:anchor distT="0" distB="0" distL="114300" distR="114300" simplePos="false" relativeHeight="10255120" behindDoc="false" locked="false" layoutInCell="true" allowOverlap="true">
                <wp:simplePos x="0" y="0"/>
                <wp:positionH relativeFrom="page">
                  <wp:posOffset>3251200</wp:posOffset>
                </wp:positionH>
                <wp:positionV relativeFrom="page">
                  <wp:posOffset>901700</wp:posOffset>
                </wp:positionV>
                <wp:extent cx="546100" cy="12700"/>
                <wp:effectExtent l="0" t="0" r="22225" b="31115"/>
                <wp:wrapNone/>
                <wp:docPr id="12716" name="shape12716"/>
                <wp:cNvGraphicFramePr/>
                <a:graphic>
                  <a:graphicData uri="http://schemas.microsoft.com/office/word/2010/wordprocessingShape">
                    <wps:wsp>
                      <wps:cNvSpPr/>
                      <wps:spPr>
                        <a:xfrm>
                          <a:off x="0" y="0"/>
                          <a:ext cx="5461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3pt;height:1pt;margin-left:256pt;margin-top:71pt;mso-wrap-style:square;z-index:10255120;mso-wrap-distance-left:9pt;mso-wrap-distance-top:0pt;mso-wrap-distance-right:9pt;mso-wrap-distance-bottom:0pt" id="shape12716" o:spid="1618382360317" stroked="f" filled="t" fillcolor="#000000"/>
            </w:pict>
          </mc:Fallback>
        </mc:AlternateContent>
      </w:r>
      <w:r>
        <mc:AlternateContent>
          <mc:Choice Requires="wps">
            <w:drawing>
              <wp:anchor distT="0" distB="0" distL="114300" distR="114300" simplePos="false" relativeHeight="10256144" behindDoc="false" locked="false" layoutInCell="true" allowOverlap="true">
                <wp:simplePos x="0" y="0"/>
                <wp:positionH relativeFrom="page">
                  <wp:posOffset>3797300</wp:posOffset>
                </wp:positionH>
                <wp:positionV relativeFrom="page">
                  <wp:posOffset>901700</wp:posOffset>
                </wp:positionV>
                <wp:extent cx="723900" cy="12700"/>
                <wp:effectExtent l="0" t="0" r="22225" b="31115"/>
                <wp:wrapNone/>
                <wp:docPr id="12717" name="shape12717"/>
                <wp:cNvGraphicFramePr/>
                <a:graphic>
                  <a:graphicData uri="http://schemas.microsoft.com/office/word/2010/wordprocessingShape">
                    <wps:wsp>
                      <wps:cNvSpPr/>
                      <wps:spPr>
                        <a:xfrm>
                          <a:off x="0" y="0"/>
                          <a:ext cx="723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7pt;height:1pt;margin-left:299pt;margin-top:71pt;mso-wrap-style:square;z-index:10256144;mso-wrap-distance-left:9pt;mso-wrap-distance-top:0pt;mso-wrap-distance-right:9pt;mso-wrap-distance-bottom:0pt" id="shape12717" o:spid="1618382360317" stroked="f" filled="t" fillcolor="#000000"/>
            </w:pict>
          </mc:Fallback>
        </mc:AlternateContent>
      </w:r>
      <w:r>
        <mc:AlternateContent>
          <mc:Choice Requires="wps">
            <w:drawing>
              <wp:anchor distT="0" distB="0" distL="114300" distR="114300" simplePos="false" relativeHeight="10257168" behindDoc="false" locked="false" layoutInCell="true" allowOverlap="true">
                <wp:simplePos x="0" y="0"/>
                <wp:positionH relativeFrom="page">
                  <wp:posOffset>4508500</wp:posOffset>
                </wp:positionH>
                <wp:positionV relativeFrom="page">
                  <wp:posOffset>901700</wp:posOffset>
                </wp:positionV>
                <wp:extent cx="1473200" cy="12700"/>
                <wp:effectExtent l="0" t="0" r="22225" b="31115"/>
                <wp:wrapNone/>
                <wp:docPr id="12718" name="shape12718"/>
                <wp:cNvGraphicFramePr/>
                <a:graphic>
                  <a:graphicData uri="http://schemas.microsoft.com/office/word/2010/wordprocessingShape">
                    <wps:wsp>
                      <wps:cNvSpPr/>
                      <wps:spPr>
                        <a:xfrm>
                          <a:off x="0" y="0"/>
                          <a:ext cx="1473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6pt;height:1pt;margin-left:355pt;margin-top:71pt;mso-wrap-style:square;z-index:10257168;mso-wrap-distance-left:9pt;mso-wrap-distance-top:0pt;mso-wrap-distance-right:9pt;mso-wrap-distance-bottom:0pt" id="shape12718" o:spid="1618382360318" stroked="f" filled="t" fillcolor="#000000"/>
            </w:pict>
          </mc:Fallback>
        </mc:AlternateContent>
      </w:r>
      <w:r>
        <mc:AlternateContent>
          <mc:Choice Requires="wps">
            <w:drawing>
              <wp:anchor distT="0" distB="0" distL="114300" distR="114300" simplePos="false" relativeHeight="10258192" behindDoc="false" locked="false" layoutInCell="true" allowOverlap="true">
                <wp:simplePos x="0" y="0"/>
                <wp:positionH relativeFrom="page">
                  <wp:posOffset>5981700</wp:posOffset>
                </wp:positionH>
                <wp:positionV relativeFrom="page">
                  <wp:posOffset>901700</wp:posOffset>
                </wp:positionV>
                <wp:extent cx="787400" cy="12700"/>
                <wp:effectExtent l="0" t="0" r="22225" b="31115"/>
                <wp:wrapNone/>
                <wp:docPr id="12719" name="shape12719"/>
                <wp:cNvGraphicFramePr/>
                <a:graphic>
                  <a:graphicData uri="http://schemas.microsoft.com/office/word/2010/wordprocessingShape">
                    <wps:wsp>
                      <wps:cNvSpPr/>
                      <wps:spPr>
                        <a:xfrm>
                          <a:off x="0" y="0"/>
                          <a:ext cx="7874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1pt;margin-left:471pt;margin-top:71pt;mso-wrap-style:square;z-index:10258192;mso-wrap-distance-left:9pt;mso-wrap-distance-top:0pt;mso-wrap-distance-right:9pt;mso-wrap-distance-bottom:0pt" id="shape12719" o:spid="1618382360318" stroked="f" filled="t" fillcolor="#000000"/>
            </w:pict>
          </mc:Fallback>
        </mc:AlternateContent>
      </w:r>
      <w:r>
        <mc:AlternateContent>
          <mc:Choice Requires="wps">
            <w:drawing>
              <wp:anchor distT="0" distB="0" distL="114300" distR="114300" simplePos="false" relativeHeight="10260240" behindDoc="false" locked="false" layoutInCell="true" allowOverlap="true">
                <wp:simplePos x="0" y="0"/>
                <wp:positionH relativeFrom="page">
                  <wp:posOffset>812800</wp:posOffset>
                </wp:positionH>
                <wp:positionV relativeFrom="page">
                  <wp:posOffset>1320800</wp:posOffset>
                </wp:positionV>
                <wp:extent cx="825500" cy="25400"/>
                <wp:effectExtent l="0" t="0" r="22225" b="31115"/>
                <wp:wrapNone/>
                <wp:docPr id="12721" name="shape12721"/>
                <wp:cNvGraphicFramePr/>
                <a:graphic>
                  <a:graphicData uri="http://schemas.microsoft.com/office/word/2010/wordprocessingShape">
                    <wps:wsp>
                      <wps:cNvSpPr/>
                      <wps:spPr>
                        <a:xfrm>
                          <a:off x="0" y="0"/>
                          <a:ext cx="8255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5pt;height:2pt;margin-left:64pt;margin-top:104pt;mso-wrap-style:square;z-index:10260240;mso-wrap-distance-left:9pt;mso-wrap-distance-top:0pt;mso-wrap-distance-right:9pt;mso-wrap-distance-bottom:0pt" id="shape12721" o:spid="1618382360318" stroked="f" filled="t" fillcolor="#000000"/>
            </w:pict>
          </mc:Fallback>
        </mc:AlternateContent>
      </w:r>
      <w:r>
        <mc:AlternateContent>
          <mc:Choice Requires="wps">
            <w:drawing>
              <wp:anchor distT="0" distB="0" distL="114300" distR="114300" simplePos="false" relativeHeight="10262288" behindDoc="false" locked="false" layoutInCell="true" allowOverlap="true">
                <wp:simplePos x="0" y="0"/>
                <wp:positionH relativeFrom="page">
                  <wp:posOffset>1638300</wp:posOffset>
                </wp:positionH>
                <wp:positionV relativeFrom="page">
                  <wp:posOffset>1320800</wp:posOffset>
                </wp:positionV>
                <wp:extent cx="901700" cy="25400"/>
                <wp:effectExtent l="0" t="0" r="22225" b="31115"/>
                <wp:wrapNone/>
                <wp:docPr id="12723" name="shape12723"/>
                <wp:cNvGraphicFramePr/>
                <a:graphic>
                  <a:graphicData uri="http://schemas.microsoft.com/office/word/2010/wordprocessingShape">
                    <wps:wsp>
                      <wps:cNvSpPr/>
                      <wps:spPr>
                        <a:xfrm>
                          <a:off x="0" y="0"/>
                          <a:ext cx="9017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1pt;height:2pt;margin-left:129pt;margin-top:104pt;mso-wrap-style:square;z-index:10262288;mso-wrap-distance-left:9pt;mso-wrap-distance-top:0pt;mso-wrap-distance-right:9pt;mso-wrap-distance-bottom:0pt" id="shape12723" o:spid="1618382360319" stroked="f" filled="t" fillcolor="#000000"/>
            </w:pict>
          </mc:Fallback>
        </mc:AlternateContent>
      </w:r>
      <w:r>
        <mc:AlternateContent>
          <mc:Choice Requires="wps">
            <w:drawing>
              <wp:anchor distT="0" distB="0" distL="114300" distR="114300" simplePos="false" relativeHeight="10264336" behindDoc="false" locked="false" layoutInCell="true" allowOverlap="true">
                <wp:simplePos x="0" y="0"/>
                <wp:positionH relativeFrom="page">
                  <wp:posOffset>2527300</wp:posOffset>
                </wp:positionH>
                <wp:positionV relativeFrom="page">
                  <wp:posOffset>1320800</wp:posOffset>
                </wp:positionV>
                <wp:extent cx="736600" cy="25400"/>
                <wp:effectExtent l="0" t="0" r="22225" b="31115"/>
                <wp:wrapNone/>
                <wp:docPr id="12725" name="shape12725"/>
                <wp:cNvGraphicFramePr/>
                <a:graphic>
                  <a:graphicData uri="http://schemas.microsoft.com/office/word/2010/wordprocessingShape">
                    <wps:wsp>
                      <wps:cNvSpPr/>
                      <wps:spPr>
                        <a:xfrm>
                          <a:off x="0" y="0"/>
                          <a:ext cx="7366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8pt;height:2pt;margin-left:199pt;margin-top:104pt;mso-wrap-style:square;z-index:10264336;mso-wrap-distance-left:9pt;mso-wrap-distance-top:0pt;mso-wrap-distance-right:9pt;mso-wrap-distance-bottom:0pt" id="shape12725" o:spid="1618382360319" stroked="f" filled="t" fillcolor="#000000"/>
            </w:pict>
          </mc:Fallback>
        </mc:AlternateContent>
      </w:r>
      <w:r>
        <mc:AlternateContent>
          <mc:Choice Requires="wps">
            <w:drawing>
              <wp:anchor distT="0" distB="0" distL="114300" distR="114300" simplePos="false" relativeHeight="10266384" behindDoc="false" locked="false" layoutInCell="true" allowOverlap="true">
                <wp:simplePos x="0" y="0"/>
                <wp:positionH relativeFrom="page">
                  <wp:posOffset>3251200</wp:posOffset>
                </wp:positionH>
                <wp:positionV relativeFrom="page">
                  <wp:posOffset>1320800</wp:posOffset>
                </wp:positionV>
                <wp:extent cx="546100" cy="25400"/>
                <wp:effectExtent l="0" t="0" r="22225" b="31115"/>
                <wp:wrapNone/>
                <wp:docPr id="12727" name="shape12727"/>
                <wp:cNvGraphicFramePr/>
                <a:graphic>
                  <a:graphicData uri="http://schemas.microsoft.com/office/word/2010/wordprocessingShape">
                    <wps:wsp>
                      <wps:cNvSpPr/>
                      <wps:spPr>
                        <a:xfrm>
                          <a:off x="0" y="0"/>
                          <a:ext cx="5461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3pt;height:2pt;margin-left:256pt;margin-top:104pt;mso-wrap-style:square;z-index:10266384;mso-wrap-distance-left:9pt;mso-wrap-distance-top:0pt;mso-wrap-distance-right:9pt;mso-wrap-distance-bottom:0pt" id="shape12727" o:spid="1618382360319" stroked="f" filled="t" fillcolor="#000000"/>
            </w:pict>
          </mc:Fallback>
        </mc:AlternateContent>
      </w:r>
      <w:r>
        <mc:AlternateContent>
          <mc:Choice Requires="wps">
            <w:drawing>
              <wp:anchor distT="0" distB="0" distL="114300" distR="114300" simplePos="false" relativeHeight="10268432" behindDoc="false" locked="false" layoutInCell="true" allowOverlap="true">
                <wp:simplePos x="0" y="0"/>
                <wp:positionH relativeFrom="page">
                  <wp:posOffset>3797300</wp:posOffset>
                </wp:positionH>
                <wp:positionV relativeFrom="page">
                  <wp:posOffset>1320800</wp:posOffset>
                </wp:positionV>
                <wp:extent cx="723900" cy="25400"/>
                <wp:effectExtent l="0" t="0" r="22225" b="31115"/>
                <wp:wrapNone/>
                <wp:docPr id="12729" name="shape12729"/>
                <wp:cNvGraphicFramePr/>
                <a:graphic>
                  <a:graphicData uri="http://schemas.microsoft.com/office/word/2010/wordprocessingShape">
                    <wps:wsp>
                      <wps:cNvSpPr/>
                      <wps:spPr>
                        <a:xfrm>
                          <a:off x="0" y="0"/>
                          <a:ext cx="723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7pt;height:2pt;margin-left:299pt;margin-top:104pt;mso-wrap-style:square;z-index:10268432;mso-wrap-distance-left:9pt;mso-wrap-distance-top:0pt;mso-wrap-distance-right:9pt;mso-wrap-distance-bottom:0pt" id="shape12729" o:spid="1618382360320" stroked="f" filled="t" fillcolor="#000000"/>
            </w:pict>
          </mc:Fallback>
        </mc:AlternateContent>
      </w:r>
      <w:r>
        <mc:AlternateContent>
          <mc:Choice Requires="wps">
            <w:drawing>
              <wp:anchor distT="0" distB="0" distL="114300" distR="114300" simplePos="false" relativeHeight="10270480" behindDoc="false" locked="false" layoutInCell="true" allowOverlap="true">
                <wp:simplePos x="0" y="0"/>
                <wp:positionH relativeFrom="page">
                  <wp:posOffset>4508500</wp:posOffset>
                </wp:positionH>
                <wp:positionV relativeFrom="page">
                  <wp:posOffset>1320800</wp:posOffset>
                </wp:positionV>
                <wp:extent cx="1473200" cy="25400"/>
                <wp:effectExtent l="0" t="0" r="22225" b="31115"/>
                <wp:wrapNone/>
                <wp:docPr id="12731" name="shape12731"/>
                <wp:cNvGraphicFramePr/>
                <a:graphic>
                  <a:graphicData uri="http://schemas.microsoft.com/office/word/2010/wordprocessingShape">
                    <wps:wsp>
                      <wps:cNvSpPr/>
                      <wps:spPr>
                        <a:xfrm>
                          <a:off x="0" y="0"/>
                          <a:ext cx="14732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6pt;height:2pt;margin-left:355pt;margin-top:104pt;mso-wrap-style:square;z-index:10270480;mso-wrap-distance-left:9pt;mso-wrap-distance-top:0pt;mso-wrap-distance-right:9pt;mso-wrap-distance-bottom:0pt" id="shape12731" o:spid="1618382360320" stroked="f" filled="t" fillcolor="#000000"/>
            </w:pict>
          </mc:Fallback>
        </mc:AlternateContent>
      </w:r>
      <w:r>
        <mc:AlternateContent>
          <mc:Choice Requires="wps">
            <w:drawing>
              <wp:anchor distT="0" distB="0" distL="114300" distR="114300" simplePos="false" relativeHeight="10272528" behindDoc="false" locked="false" layoutInCell="true" allowOverlap="true">
                <wp:simplePos x="0" y="0"/>
                <wp:positionH relativeFrom="page">
                  <wp:posOffset>5981700</wp:posOffset>
                </wp:positionH>
                <wp:positionV relativeFrom="page">
                  <wp:posOffset>1320800</wp:posOffset>
                </wp:positionV>
                <wp:extent cx="787400" cy="25400"/>
                <wp:effectExtent l="0" t="0" r="22225" b="31115"/>
                <wp:wrapNone/>
                <wp:docPr id="12733" name="shape12733"/>
                <wp:cNvGraphicFramePr/>
                <a:graphic>
                  <a:graphicData uri="http://schemas.microsoft.com/office/word/2010/wordprocessingShape">
                    <wps:wsp>
                      <wps:cNvSpPr/>
                      <wps:spPr>
                        <a:xfrm>
                          <a:off x="0" y="0"/>
                          <a:ext cx="7874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2pt;margin-left:471pt;margin-top:104pt;mso-wrap-style:square;z-index:10272528;mso-wrap-distance-left:9pt;mso-wrap-distance-top:0pt;mso-wrap-distance-right:9pt;mso-wrap-distance-bottom:0pt" id="shape12733" o:spid="1618382360320" stroked="f" filled="t" fillcolor="#000000"/>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3060"/>
          <w:tab w:val="left" w:pos="4120"/>
          <w:tab w:val="left" w:pos="6220"/>
          <w:tab w:val="left" w:pos="7440"/>
          <w:tab w:val="left" w:pos="9620"/>
        </w:tabs>
        <w:autoSpaceDE w:val="false"/>
        <w:autoSpaceDN w:val="false"/>
        <w:spacing w:line="380" w:lineRule="exact"/>
        <w:ind w:left="1400"/>
        <w:jc w:val="both"/>
      </w:pPr>
      <w:r>
        <w:rPr>
          <w:rFonts w:hint="eastAsia" w:ascii="宋体" w:hAnsi="宋体" w:eastAsia="宋体" w:cs="宋体"/>
          <w:sz w:val="21"/>
        </w:rPr>
        <w:t>亿维航软件</w:t>
      </w:r>
      <w:r>
        <w:tab/>
      </w:r>
      <w:r>
        <w:rPr>
          <w:rFonts w:hint="eastAsia" w:ascii="宋体" w:hAnsi="宋体" w:eastAsia="宋体" w:cs="宋体"/>
          <w:sz w:val="21"/>
        </w:rPr>
        <w:t>控股</w:t>
      </w:r>
      <w:r>
        <w:tab/>
      </w:r>
      <w:r>
        <w:rPr>
          <w:rFonts w:hint="eastAsia" w:ascii="宋体" w:hAnsi="宋体" w:eastAsia="宋体" w:cs="宋体"/>
          <w:sz w:val="21"/>
        </w:rPr>
        <w:t>有限公司 上海</w:t>
      </w:r>
      <w:r>
        <w:tab/>
      </w:r>
      <w:r>
        <w:rPr>
          <w:rFonts w:hint="eastAsia" w:ascii="宋体" w:hAnsi="宋体" w:eastAsia="宋体" w:cs="宋体"/>
          <w:sz w:val="21"/>
        </w:rPr>
        <w:t>严孟宇</w:t>
      </w:r>
      <w:r>
        <w:tab/>
      </w:r>
      <w:r>
        <w:rPr>
          <w:rFonts w:hint="eastAsia" w:ascii="Times New Roman" w:hAnsi="Times New Roman" w:eastAsia="Times New Roman" w:cs="Times New Roman"/>
          <w:sz w:val="21"/>
        </w:rPr>
        <w:t>2015</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5</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22</w:t>
      </w:r>
      <w:r>
        <w:rPr>
          <w:rFonts w:hint="eastAsia" w:ascii="宋体" w:hAnsi="宋体" w:eastAsia="宋体" w:cs="宋体"/>
          <w:sz w:val="21"/>
        </w:rPr>
        <w:t xml:space="preserve"> 日</w:t>
      </w:r>
      <w:r>
        <w:tab/>
      </w:r>
      <w:r>
        <w:rPr>
          <w:rFonts w:hint="eastAsia" w:ascii="Times New Roman" w:hAnsi="Times New Roman" w:eastAsia="Times New Roman" w:cs="Times New Roman"/>
          <w:sz w:val="21"/>
        </w:rPr>
        <w:t>800</w:t>
      </w:r>
      <w:r>
        <w:rPr>
          <w:rFonts w:hint="eastAsia" w:ascii="宋体" w:hAnsi="宋体" w:eastAsia="宋体" w:cs="宋体"/>
          <w:sz w:val="21"/>
        </w:rPr>
        <w:t xml:space="preserve"> 万元</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宋体" w:hAnsi="宋体" w:eastAsia="宋体" w:cs="宋体"/>
          <w:sz w:val="24"/>
        </w:rPr>
        <w:t>除该事项外</w:t>
      </w:r>
      <w:r>
        <w:rPr>
          <w:rFonts w:hint="eastAsia" w:ascii="宋体" w:hAnsi="宋体" w:eastAsia="宋体" w:cs="宋体"/>
          <w:sz w:val="10"/>
        </w:rPr>
        <w:t>，</w:t>
      </w:r>
      <w:r>
        <w:rPr>
          <w:rFonts w:hint="eastAsia" w:ascii="宋体" w:hAnsi="宋体" w:eastAsia="宋体" w:cs="宋体"/>
          <w:sz w:val="24"/>
        </w:rPr>
        <w:t>本公司本报告期未发生其他引起合并范围发生变动的交易或事项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报告期内采用的主要会计政策和会计估计</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同一控制下和非同一控制下企业合并的会计处理方法</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同一控制下的企业合并</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对于同一控制下的企业合并</w:t>
      </w:r>
      <w:r>
        <w:rPr>
          <w:rFonts w:hint="eastAsia" w:ascii="宋体" w:hAnsi="宋体" w:eastAsia="宋体" w:cs="宋体"/>
          <w:sz w:val="10"/>
        </w:rPr>
        <w:t>，</w:t>
      </w:r>
      <w:r>
        <w:rPr>
          <w:rFonts w:hint="eastAsia" w:ascii="宋体" w:hAnsi="宋体" w:eastAsia="宋体" w:cs="宋体"/>
          <w:sz w:val="24"/>
        </w:rPr>
        <w:t>合并方在合并中取得的被合并方的资产</w:t>
      </w:r>
      <w:r>
        <w:rPr>
          <w:rFonts w:hint="eastAsia" w:ascii="宋体" w:hAnsi="宋体" w:eastAsia="宋体" w:cs="宋体"/>
          <w:sz w:val="10"/>
        </w:rPr>
        <w:t>、</w:t>
      </w:r>
      <w:r>
        <w:rPr>
          <w:rFonts w:hint="eastAsia" w:ascii="宋体" w:hAnsi="宋体" w:eastAsia="宋体" w:cs="宋体"/>
          <w:sz w:val="24"/>
        </w:rPr>
        <w:t>负债</w:t>
      </w:r>
      <w:r>
        <w:rPr>
          <w:rFonts w:hint="eastAsia" w:ascii="宋体" w:hAnsi="宋体" w:eastAsia="宋体" w:cs="宋体"/>
          <w:sz w:val="10"/>
        </w:rPr>
        <w:t>，</w:t>
      </w:r>
      <w:r>
        <w:rPr>
          <w:rFonts w:hint="eastAsia" w:ascii="宋体" w:hAnsi="宋体" w:eastAsia="宋体" w:cs="宋体"/>
          <w:sz w:val="24"/>
        </w:rPr>
        <w:t>除因会计政策不同而进行的调整以外</w:t>
      </w:r>
      <w:r>
        <w:rPr>
          <w:rFonts w:hint="eastAsia" w:ascii="宋体" w:hAnsi="宋体" w:eastAsia="宋体" w:cs="宋体"/>
          <w:sz w:val="10"/>
        </w:rPr>
        <w:t>，</w:t>
      </w:r>
      <w:r>
        <w:rPr>
          <w:rFonts w:hint="eastAsia" w:ascii="宋体" w:hAnsi="宋体" w:eastAsia="宋体" w:cs="宋体"/>
          <w:sz w:val="24"/>
        </w:rPr>
        <w:t>按合并日被合并方在最终控制方合并财务报表中的账面价值计量</w:t>
      </w:r>
      <w:r>
        <w:rPr>
          <w:rFonts w:hint="eastAsia" w:ascii="宋体" w:hAnsi="宋体" w:eastAsia="宋体" w:cs="宋体"/>
          <w:sz w:val="10"/>
        </w:rPr>
        <w:t>。</w:t>
      </w:r>
      <w:r>
        <w:rPr>
          <w:rFonts w:hint="eastAsia" w:ascii="宋体" w:hAnsi="宋体" w:eastAsia="宋体" w:cs="宋体"/>
          <w:sz w:val="24"/>
        </w:rPr>
        <w:t>合并对价的账面价值与合并中取得的净资产账面价值的差额调整资本公积</w:t>
      </w:r>
      <w:r>
        <w:rPr>
          <w:rFonts w:hint="eastAsia" w:ascii="宋体" w:hAnsi="宋体" w:eastAsia="宋体" w:cs="宋体"/>
          <w:sz w:val="10"/>
        </w:rPr>
        <w:t>，</w:t>
      </w:r>
      <w:r>
        <w:rPr>
          <w:rFonts w:hint="eastAsia" w:ascii="宋体" w:hAnsi="宋体" w:eastAsia="宋体" w:cs="宋体"/>
          <w:sz w:val="24"/>
        </w:rPr>
        <w:t>资本公积不足冲减的</w:t>
      </w:r>
      <w:r>
        <w:rPr>
          <w:rFonts w:hint="eastAsia" w:ascii="宋体" w:hAnsi="宋体" w:eastAsia="宋体" w:cs="宋体"/>
          <w:sz w:val="10"/>
        </w:rPr>
        <w:t>，</w:t>
      </w:r>
      <w:r>
        <w:rPr>
          <w:rFonts w:hint="eastAsia" w:ascii="宋体" w:hAnsi="宋体" w:eastAsia="宋体" w:cs="宋体"/>
          <w:sz w:val="24"/>
        </w:rPr>
        <w:t>调整留存收益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非同一控制下的企业合并</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对于非同一控制下的企业合并</w:t>
      </w:r>
      <w:r>
        <w:rPr>
          <w:rFonts w:hint="eastAsia" w:ascii="宋体" w:hAnsi="宋体" w:eastAsia="宋体" w:cs="宋体"/>
          <w:sz w:val="10"/>
        </w:rPr>
        <w:t>，</w:t>
      </w:r>
      <w:r>
        <w:rPr>
          <w:rFonts w:hint="eastAsia" w:ascii="宋体" w:hAnsi="宋体" w:eastAsia="宋体" w:cs="宋体"/>
          <w:sz w:val="24"/>
        </w:rPr>
        <w:t>合并成本为购买日为取得对被购买方的控制权而付出的资产</w:t>
      </w:r>
      <w:r>
        <w:rPr>
          <w:rFonts w:hint="eastAsia" w:ascii="宋体" w:hAnsi="宋体" w:eastAsia="宋体" w:cs="宋体"/>
          <w:sz w:val="10"/>
        </w:rPr>
        <w:t>、</w:t>
      </w:r>
      <w:r>
        <w:rPr>
          <w:rFonts w:hint="eastAsia" w:ascii="宋体" w:hAnsi="宋体" w:eastAsia="宋体" w:cs="宋体"/>
          <w:sz w:val="24"/>
        </w:rPr>
        <w:t>发生或承担的负债以及发行的权益性证券的公允价值</w:t>
      </w:r>
      <w:r>
        <w:rPr>
          <w:rFonts w:hint="eastAsia" w:ascii="宋体" w:hAnsi="宋体" w:eastAsia="宋体" w:cs="宋体"/>
          <w:sz w:val="10"/>
        </w:rPr>
        <w:t>。</w:t>
      </w:r>
      <w:r>
        <w:rPr>
          <w:rFonts w:hint="eastAsia" w:ascii="宋体" w:hAnsi="宋体" w:eastAsia="宋体" w:cs="宋体"/>
          <w:sz w:val="24"/>
        </w:rPr>
        <w:t>在购买日</w:t>
      </w:r>
      <w:r>
        <w:rPr>
          <w:rFonts w:hint="eastAsia" w:ascii="宋体" w:hAnsi="宋体" w:eastAsia="宋体" w:cs="宋体"/>
          <w:sz w:val="10"/>
        </w:rPr>
        <w:t>，</w:t>
      </w:r>
      <w:r>
        <w:rPr>
          <w:rFonts w:hint="eastAsia" w:ascii="宋体" w:hAnsi="宋体" w:eastAsia="宋体" w:cs="宋体"/>
          <w:sz w:val="24"/>
        </w:rPr>
        <w:t>取得的被购买方的资产</w:t>
      </w:r>
      <w:r>
        <w:rPr>
          <w:rFonts w:hint="eastAsia" w:ascii="宋体" w:hAnsi="宋体" w:eastAsia="宋体" w:cs="宋体"/>
          <w:sz w:val="10"/>
        </w:rPr>
        <w:t>、</w:t>
      </w:r>
      <w:r>
        <w:rPr>
          <w:rFonts w:hint="eastAsia" w:ascii="宋体" w:hAnsi="宋体" w:eastAsia="宋体" w:cs="宋体"/>
          <w:sz w:val="24"/>
        </w:rPr>
        <w:t>负债及或有负债按公允价值确认</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对合并成本大于合并中取得的被购买方可辨认净资产公允价值份额的差额</w:t>
      </w:r>
      <w:r>
        <w:rPr>
          <w:rFonts w:hint="eastAsia" w:ascii="宋体" w:hAnsi="宋体" w:eastAsia="宋体" w:cs="宋体"/>
          <w:sz w:val="10"/>
        </w:rPr>
        <w:t>，</w:t>
      </w:r>
      <w:r>
        <w:rPr>
          <w:rFonts w:hint="eastAsia" w:ascii="宋体" w:hAnsi="宋体" w:eastAsia="宋体" w:cs="宋体"/>
          <w:sz w:val="24"/>
        </w:rPr>
        <w:t>确认为商誉</w:t>
      </w:r>
      <w:r>
        <w:rPr>
          <w:rFonts w:hint="eastAsia" w:ascii="宋体" w:hAnsi="宋体" w:eastAsia="宋体" w:cs="宋体"/>
          <w:sz w:val="10"/>
        </w:rPr>
        <w:t>，</w:t>
      </w:r>
      <w:r>
        <w:rPr>
          <w:rFonts w:hint="eastAsia" w:ascii="宋体" w:hAnsi="宋体" w:eastAsia="宋体" w:cs="宋体"/>
          <w:sz w:val="24"/>
        </w:rPr>
        <w:t>按成本扣除累计减值准备进行后续计量</w:t>
      </w:r>
      <w:r>
        <w:rPr>
          <w:rFonts w:hint="eastAsia" w:ascii="宋体" w:hAnsi="宋体" w:eastAsia="宋体" w:cs="宋体"/>
          <w:sz w:val="12"/>
        </w:rPr>
        <w:t>；</w:t>
      </w:r>
      <w:r>
        <w:rPr>
          <w:rFonts w:hint="eastAsia" w:ascii="宋体" w:hAnsi="宋体" w:eastAsia="宋体" w:cs="宋体"/>
          <w:sz w:val="24"/>
        </w:rPr>
        <w:t>对合并成本小于合并中取得的被购买方可辨认净资产公允价值份额的差额</w:t>
      </w:r>
      <w:r>
        <w:rPr>
          <w:rFonts w:hint="eastAsia" w:ascii="宋体" w:hAnsi="宋体" w:eastAsia="宋体" w:cs="宋体"/>
          <w:sz w:val="10"/>
        </w:rPr>
        <w:t>，</w:t>
      </w:r>
      <w:r>
        <w:rPr>
          <w:rFonts w:hint="eastAsia" w:ascii="宋体" w:hAnsi="宋体" w:eastAsia="宋体" w:cs="宋体"/>
          <w:sz w:val="24"/>
        </w:rPr>
        <w:t>经复核后计入当期损益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企业合并中有关交易费用的处理</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为进行企业合并发生的审计</w:t>
      </w:r>
      <w:r>
        <w:rPr>
          <w:rFonts w:hint="eastAsia" w:ascii="宋体" w:hAnsi="宋体" w:eastAsia="宋体" w:cs="宋体"/>
          <w:sz w:val="10"/>
        </w:rPr>
        <w:t>、</w:t>
      </w:r>
      <w:r>
        <w:rPr>
          <w:rFonts w:hint="eastAsia" w:ascii="宋体" w:hAnsi="宋体" w:eastAsia="宋体" w:cs="宋体"/>
          <w:sz w:val="24"/>
        </w:rPr>
        <w:t>法律服务</w:t>
      </w:r>
      <w:r>
        <w:rPr>
          <w:rFonts w:hint="eastAsia" w:ascii="宋体" w:hAnsi="宋体" w:eastAsia="宋体" w:cs="宋体"/>
          <w:sz w:val="10"/>
        </w:rPr>
        <w:t>、</w:t>
      </w:r>
      <w:r>
        <w:rPr>
          <w:rFonts w:hint="eastAsia" w:ascii="宋体" w:hAnsi="宋体" w:eastAsia="宋体" w:cs="宋体"/>
          <w:sz w:val="24"/>
        </w:rPr>
        <w:t>评估咨询等中介费用以及其他相关管理费用</w:t>
      </w:r>
      <w:r>
        <w:rPr>
          <w:rFonts w:hint="eastAsia" w:ascii="宋体" w:hAnsi="宋体" w:eastAsia="宋体" w:cs="宋体"/>
          <w:sz w:val="10"/>
        </w:rPr>
        <w:t>，</w:t>
      </w:r>
      <w:r>
        <w:rPr>
          <w:rFonts w:hint="eastAsia" w:ascii="宋体" w:hAnsi="宋体" w:eastAsia="宋体" w:cs="宋体"/>
          <w:sz w:val="24"/>
        </w:rPr>
        <w:t>于发生时计入当期损益</w:t>
      </w:r>
      <w:r>
        <w:rPr>
          <w:rFonts w:hint="eastAsia" w:ascii="宋体" w:hAnsi="宋体" w:eastAsia="宋体" w:cs="宋体"/>
          <w:sz w:val="10"/>
        </w:rPr>
        <w:t>。</w:t>
      </w:r>
      <w:r>
        <w:rPr>
          <w:rFonts w:hint="eastAsia" w:ascii="宋体" w:hAnsi="宋体" w:eastAsia="宋体" w:cs="宋体"/>
          <w:sz w:val="24"/>
        </w:rPr>
        <w:t>作为合并对价发行的权益性证券或债务性证券的交易费用</w:t>
      </w:r>
      <w:r>
        <w:rPr>
          <w:rFonts w:hint="eastAsia" w:ascii="宋体" w:hAnsi="宋体" w:eastAsia="宋体" w:cs="宋体"/>
          <w:sz w:val="10"/>
        </w:rPr>
        <w:t>，</w:t>
      </w:r>
      <w:r>
        <w:rPr>
          <w:rFonts w:hint="eastAsia" w:ascii="宋体" w:hAnsi="宋体" w:eastAsia="宋体" w:cs="宋体"/>
          <w:sz w:val="24"/>
        </w:rPr>
        <w:t>计入权益性证券或债务性证券的初始确认金额</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（二）合并财务报表编制方法</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合并范围</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合并财务报表的合并范围以控制为基础予以确定</w:t>
      </w:r>
      <w:r>
        <w:rPr>
          <w:rFonts w:hint="eastAsia" w:ascii="宋体" w:hAnsi="宋体" w:eastAsia="宋体" w:cs="宋体"/>
          <w:sz w:val="10"/>
        </w:rPr>
        <w:t>。</w:t>
      </w:r>
      <w:r>
        <w:rPr>
          <w:rFonts w:hint="eastAsia" w:ascii="宋体" w:hAnsi="宋体" w:eastAsia="宋体" w:cs="宋体"/>
          <w:sz w:val="24"/>
        </w:rPr>
        <w:t>控制是指本公司拥有对被投资单位的权力</w:t>
      </w:r>
      <w:r>
        <w:rPr>
          <w:rFonts w:hint="eastAsia" w:ascii="宋体" w:hAnsi="宋体" w:eastAsia="宋体" w:cs="宋体"/>
          <w:sz w:val="10"/>
        </w:rPr>
        <w:t>，</w:t>
      </w:r>
      <w:r>
        <w:rPr>
          <w:rFonts w:hint="eastAsia" w:ascii="宋体" w:hAnsi="宋体" w:eastAsia="宋体" w:cs="宋体"/>
          <w:sz w:val="24"/>
        </w:rPr>
        <w:t>通过参与被投资单位的相关活动而享有可变回报</w:t>
      </w:r>
      <w:r>
        <w:rPr>
          <w:rFonts w:hint="eastAsia" w:ascii="宋体" w:hAnsi="宋体" w:eastAsia="宋体" w:cs="宋体"/>
          <w:sz w:val="10"/>
        </w:rPr>
        <w:t>，</w:t>
      </w:r>
      <w:r>
        <w:rPr>
          <w:rFonts w:hint="eastAsia" w:ascii="宋体" w:hAnsi="宋体" w:eastAsia="宋体" w:cs="宋体"/>
          <w:sz w:val="24"/>
        </w:rPr>
        <w:t>并且有能力运用对被投资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1-1-223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jc w:val="both"/>
      </w:pPr>
      <w:r>
        <w:rPr>
          <w:rFonts w:hint="eastAsia" w:ascii="宋体" w:hAnsi="宋体" w:eastAsia="宋体" w:cs="宋体"/>
          <w:sz w:val="24"/>
        </w:rPr>
        <w:t>单位的权力影响其回报金额</w:t>
      </w:r>
      <w:r>
        <w:rPr>
          <w:rFonts w:hint="eastAsia" w:ascii="宋体" w:hAnsi="宋体" w:eastAsia="宋体" w:cs="宋体"/>
          <w:sz w:val="10"/>
        </w:rPr>
        <w:t>。</w:t>
      </w:r>
      <w:r>
        <w:rPr>
          <w:rFonts w:hint="eastAsia" w:ascii="宋体" w:hAnsi="宋体" w:eastAsia="宋体" w:cs="宋体"/>
          <w:sz w:val="24"/>
        </w:rPr>
        <w:t>子公司</w:t>
      </w:r>
      <w:r>
        <w:rPr>
          <w:rFonts w:hint="eastAsia" w:ascii="宋体" w:hAnsi="宋体" w:eastAsia="宋体" w:cs="宋体"/>
          <w:sz w:val="10"/>
        </w:rPr>
        <w:t>，</w:t>
      </w:r>
      <w:r>
        <w:rPr>
          <w:rFonts w:hint="eastAsia" w:ascii="宋体" w:hAnsi="宋体" w:eastAsia="宋体" w:cs="宋体"/>
          <w:sz w:val="24"/>
        </w:rPr>
        <w:t>是指被本公司控制的主体（含企业</w:t>
      </w:r>
      <w:r>
        <w:rPr>
          <w:rFonts w:hint="eastAsia" w:ascii="宋体" w:hAnsi="宋体" w:eastAsia="宋体" w:cs="宋体"/>
          <w:sz w:val="10"/>
        </w:rPr>
        <w:t>、</w:t>
      </w:r>
      <w:r>
        <w:rPr>
          <w:rFonts w:hint="eastAsia" w:ascii="宋体" w:hAnsi="宋体" w:eastAsia="宋体" w:cs="宋体"/>
          <w:sz w:val="24"/>
        </w:rPr>
        <w:t>被投资单位中可分割的部分</w:t>
      </w:r>
      <w:r>
        <w:rPr>
          <w:rFonts w:hint="eastAsia" w:ascii="宋体" w:hAnsi="宋体" w:eastAsia="宋体" w:cs="宋体"/>
          <w:sz w:val="10"/>
        </w:rPr>
        <w:t>，</w:t>
      </w:r>
      <w:r>
        <w:rPr>
          <w:rFonts w:hint="eastAsia" w:ascii="宋体" w:hAnsi="宋体" w:eastAsia="宋体" w:cs="宋体"/>
          <w:sz w:val="24"/>
        </w:rPr>
        <w:t>以及企业所控制的结构化主体等）。</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合并财务报表的编制方法</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合并财务报表以本公司和子公司的财务报表为基础</w:t>
      </w:r>
      <w:r>
        <w:rPr>
          <w:rFonts w:hint="eastAsia" w:ascii="宋体" w:hAnsi="宋体" w:eastAsia="宋体" w:cs="宋体"/>
          <w:sz w:val="10"/>
        </w:rPr>
        <w:t>，</w:t>
      </w:r>
      <w:r>
        <w:rPr>
          <w:rFonts w:hint="eastAsia" w:ascii="宋体" w:hAnsi="宋体" w:eastAsia="宋体" w:cs="宋体"/>
          <w:sz w:val="24"/>
        </w:rPr>
        <w:t>根据其他有关资料</w:t>
      </w:r>
      <w:r>
        <w:rPr>
          <w:rFonts w:hint="eastAsia" w:ascii="宋体" w:hAnsi="宋体" w:eastAsia="宋体" w:cs="宋体"/>
          <w:sz w:val="10"/>
        </w:rPr>
        <w:t>，</w:t>
      </w:r>
      <w:r>
        <w:rPr>
          <w:rFonts w:hint="eastAsia" w:ascii="宋体" w:hAnsi="宋体" w:eastAsia="宋体" w:cs="宋体"/>
          <w:sz w:val="24"/>
        </w:rPr>
        <w:t>由本公司编制</w:t>
      </w:r>
      <w:r>
        <w:rPr>
          <w:rFonts w:hint="eastAsia" w:ascii="宋体" w:hAnsi="宋体" w:eastAsia="宋体" w:cs="宋体"/>
          <w:sz w:val="10"/>
        </w:rPr>
        <w:t>。</w:t>
      </w:r>
      <w:r>
        <w:rPr>
          <w:rFonts w:hint="eastAsia" w:ascii="宋体" w:hAnsi="宋体" w:eastAsia="宋体" w:cs="宋体"/>
          <w:sz w:val="24"/>
        </w:rPr>
        <w:t>在编制合并财务报表时</w:t>
      </w:r>
      <w:r>
        <w:rPr>
          <w:rFonts w:hint="eastAsia" w:ascii="宋体" w:hAnsi="宋体" w:eastAsia="宋体" w:cs="宋体"/>
          <w:sz w:val="10"/>
        </w:rPr>
        <w:t>，</w:t>
      </w:r>
      <w:r>
        <w:rPr>
          <w:rFonts w:hint="eastAsia" w:ascii="宋体" w:hAnsi="宋体" w:eastAsia="宋体" w:cs="宋体"/>
          <w:sz w:val="24"/>
        </w:rPr>
        <w:t>本公司和子公司的会计政策和会计期间要求保持一致</w:t>
      </w:r>
      <w:r>
        <w:rPr>
          <w:rFonts w:hint="eastAsia" w:ascii="宋体" w:hAnsi="宋体" w:eastAsia="宋体" w:cs="宋体"/>
          <w:sz w:val="10"/>
        </w:rPr>
        <w:t>，</w:t>
      </w:r>
      <w:r>
        <w:rPr>
          <w:rFonts w:hint="eastAsia" w:ascii="宋体" w:hAnsi="宋体" w:eastAsia="宋体" w:cs="宋体"/>
          <w:sz w:val="24"/>
        </w:rPr>
        <w:t>公司间的重大交易和往来余额予以抵销</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在报告期内因同一控制下企业合并增加的子公司以及业务</w:t>
      </w:r>
      <w:r>
        <w:rPr>
          <w:rFonts w:hint="eastAsia" w:ascii="宋体" w:hAnsi="宋体" w:eastAsia="宋体" w:cs="宋体"/>
          <w:sz w:val="10"/>
        </w:rPr>
        <w:t>，</w:t>
      </w:r>
      <w:r>
        <w:rPr>
          <w:rFonts w:hint="eastAsia" w:ascii="宋体" w:hAnsi="宋体" w:eastAsia="宋体" w:cs="宋体"/>
          <w:sz w:val="24"/>
        </w:rPr>
        <w:t>视同该子公司以及业务自同受最终控制方控制之日起纳入本公司的合并范围</w:t>
      </w:r>
      <w:r>
        <w:rPr>
          <w:rFonts w:hint="eastAsia" w:ascii="宋体" w:hAnsi="宋体" w:eastAsia="宋体" w:cs="宋体"/>
          <w:sz w:val="10"/>
        </w:rPr>
        <w:t>，</w:t>
      </w:r>
      <w:r>
        <w:rPr>
          <w:rFonts w:hint="eastAsia" w:ascii="宋体" w:hAnsi="宋体" w:eastAsia="宋体" w:cs="宋体"/>
          <w:sz w:val="24"/>
        </w:rPr>
        <w:t>将其自同受最终控制方控制之日起的经营成果和现金流量纳入合并利润表和合并现金流量表中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因非同一控制下企业合并增加的子公司以及业务</w:t>
      </w:r>
      <w:r>
        <w:rPr>
          <w:rFonts w:hint="eastAsia" w:ascii="宋体" w:hAnsi="宋体" w:eastAsia="宋体" w:cs="宋体"/>
          <w:sz w:val="10"/>
        </w:rPr>
        <w:t>，</w:t>
      </w:r>
      <w:r>
        <w:rPr>
          <w:rFonts w:hint="eastAsia" w:ascii="宋体" w:hAnsi="宋体" w:eastAsia="宋体" w:cs="宋体"/>
          <w:sz w:val="24"/>
        </w:rPr>
        <w:t>将该子公司以及业务自购买日至报告期末的收入</w:t>
      </w:r>
      <w:r>
        <w:rPr>
          <w:rFonts w:hint="eastAsia" w:ascii="宋体" w:hAnsi="宋体" w:eastAsia="宋体" w:cs="宋体"/>
          <w:sz w:val="10"/>
        </w:rPr>
        <w:t>、</w:t>
      </w:r>
      <w:r>
        <w:rPr>
          <w:rFonts w:hint="eastAsia" w:ascii="宋体" w:hAnsi="宋体" w:eastAsia="宋体" w:cs="宋体"/>
          <w:sz w:val="24"/>
        </w:rPr>
        <w:t>费用</w:t>
      </w:r>
      <w:r>
        <w:rPr>
          <w:rFonts w:hint="eastAsia" w:ascii="宋体" w:hAnsi="宋体" w:eastAsia="宋体" w:cs="宋体"/>
          <w:sz w:val="10"/>
        </w:rPr>
        <w:t>、</w:t>
      </w:r>
      <w:r>
        <w:rPr>
          <w:rFonts w:hint="eastAsia" w:ascii="宋体" w:hAnsi="宋体" w:eastAsia="宋体" w:cs="宋体"/>
          <w:sz w:val="24"/>
        </w:rPr>
        <w:t>利润纳入合并利润表</w:t>
      </w:r>
      <w:r>
        <w:rPr>
          <w:rFonts w:hint="eastAsia" w:ascii="宋体" w:hAnsi="宋体" w:eastAsia="宋体" w:cs="宋体"/>
          <w:sz w:val="10"/>
        </w:rPr>
        <w:t>，</w:t>
      </w:r>
      <w:r>
        <w:rPr>
          <w:rFonts w:hint="eastAsia" w:ascii="宋体" w:hAnsi="宋体" w:eastAsia="宋体" w:cs="宋体"/>
          <w:sz w:val="24"/>
        </w:rPr>
        <w:t>将其现金流量纳入合并现金流量表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宋体" w:hAnsi="宋体" w:eastAsia="宋体" w:cs="宋体"/>
          <w:sz w:val="24"/>
        </w:rPr>
        <w:t>子公司的股东权益中不属于本公司所拥有的部分作为少数股东权益在合并资产负债表中股东权益项下单独列示</w:t>
      </w:r>
      <w:r>
        <w:rPr>
          <w:rFonts w:hint="eastAsia" w:ascii="宋体" w:hAnsi="宋体" w:eastAsia="宋体" w:cs="宋体"/>
          <w:sz w:val="10"/>
        </w:rPr>
        <w:t>。</w:t>
      </w:r>
      <w:r>
        <w:rPr>
          <w:rFonts w:hint="eastAsia" w:ascii="宋体" w:hAnsi="宋体" w:eastAsia="宋体" w:cs="宋体"/>
          <w:sz w:val="24"/>
        </w:rPr>
        <w:t>子公司当期净损益中属于少数股东权益的份额</w:t>
      </w:r>
      <w:r>
        <w:rPr>
          <w:rFonts w:hint="eastAsia" w:ascii="宋体" w:hAnsi="宋体" w:eastAsia="宋体" w:cs="宋体"/>
          <w:sz w:val="10"/>
        </w:rPr>
        <w:t>，</w:t>
      </w:r>
      <w:r>
        <w:rPr>
          <w:rFonts w:hint="eastAsia" w:ascii="宋体" w:hAnsi="宋体" w:eastAsia="宋体" w:cs="宋体"/>
          <w:sz w:val="24"/>
        </w:rPr>
        <w:t>在合并利润表中净利润项目下以</w:t>
      </w:r>
      <w:r>
        <w:rPr>
          <w:rFonts w:hint="eastAsia" w:ascii="宋体" w:hAnsi="宋体" w:eastAsia="宋体" w:cs="宋体"/>
          <w:sz w:val="10"/>
        </w:rPr>
        <w:t>“</w:t>
      </w:r>
      <w:r>
        <w:rPr>
          <w:rFonts w:hint="eastAsia" w:ascii="宋体" w:hAnsi="宋体" w:eastAsia="宋体" w:cs="宋体"/>
          <w:sz w:val="24"/>
        </w:rPr>
        <w:t>少数股东损益</w:t>
      </w:r>
      <w:r>
        <w:rPr>
          <w:rFonts w:hint="eastAsia" w:ascii="宋体" w:hAnsi="宋体" w:eastAsia="宋体" w:cs="宋体"/>
          <w:sz w:val="10"/>
        </w:rPr>
        <w:t>”</w:t>
      </w:r>
      <w:r>
        <w:rPr>
          <w:rFonts w:hint="eastAsia" w:ascii="宋体" w:hAnsi="宋体" w:eastAsia="宋体" w:cs="宋体"/>
          <w:sz w:val="24"/>
        </w:rPr>
        <w:t>项目列示</w:t>
      </w:r>
      <w:r>
        <w:rPr>
          <w:rFonts w:hint="eastAsia" w:ascii="宋体" w:hAnsi="宋体" w:eastAsia="宋体" w:cs="宋体"/>
          <w:sz w:val="10"/>
        </w:rPr>
        <w:t>。</w:t>
      </w:r>
      <w:r>
        <w:rPr>
          <w:rFonts w:hint="eastAsia" w:ascii="宋体" w:hAnsi="宋体" w:eastAsia="宋体" w:cs="宋体"/>
          <w:sz w:val="24"/>
        </w:rPr>
        <w:t>少数股东分担的子公司的亏损超过了少数股东在该子公司期初所有者权益中所享有的份额</w:t>
      </w:r>
      <w:r>
        <w:rPr>
          <w:rFonts w:hint="eastAsia" w:ascii="宋体" w:hAnsi="宋体" w:eastAsia="宋体" w:cs="宋体"/>
          <w:sz w:val="10"/>
        </w:rPr>
        <w:t>，</w:t>
      </w:r>
      <w:r>
        <w:rPr>
          <w:rFonts w:hint="eastAsia" w:ascii="宋体" w:hAnsi="宋体" w:eastAsia="宋体" w:cs="宋体"/>
          <w:sz w:val="24"/>
        </w:rPr>
        <w:t>其余额仍冲减少数股东权益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对于购买子公司少数股权或因处置部分股权投资但没有丧失对该子公司控制权的交易</w:t>
      </w:r>
      <w:r>
        <w:rPr>
          <w:rFonts w:hint="eastAsia" w:ascii="宋体" w:hAnsi="宋体" w:eastAsia="宋体" w:cs="宋体"/>
          <w:sz w:val="10"/>
        </w:rPr>
        <w:t>，</w:t>
      </w:r>
      <w:r>
        <w:rPr>
          <w:rFonts w:hint="eastAsia" w:ascii="宋体" w:hAnsi="宋体" w:eastAsia="宋体" w:cs="宋体"/>
          <w:sz w:val="24"/>
        </w:rPr>
        <w:t>作为权益性交易核算</w:t>
      </w:r>
      <w:r>
        <w:rPr>
          <w:rFonts w:hint="eastAsia" w:ascii="宋体" w:hAnsi="宋体" w:eastAsia="宋体" w:cs="宋体"/>
          <w:sz w:val="10"/>
        </w:rPr>
        <w:t>，</w:t>
      </w:r>
      <w:r>
        <w:rPr>
          <w:rFonts w:hint="eastAsia" w:ascii="宋体" w:hAnsi="宋体" w:eastAsia="宋体" w:cs="宋体"/>
          <w:sz w:val="24"/>
        </w:rPr>
        <w:t>调整归属于母公司所有者权益和少数股东权益的账面价值以反映其在子公司中相关权益的变化</w:t>
      </w:r>
      <w:r>
        <w:rPr>
          <w:rFonts w:hint="eastAsia" w:ascii="宋体" w:hAnsi="宋体" w:eastAsia="宋体" w:cs="宋体"/>
          <w:sz w:val="10"/>
        </w:rPr>
        <w:t>。</w:t>
      </w:r>
      <w:r>
        <w:rPr>
          <w:rFonts w:hint="eastAsia" w:ascii="宋体" w:hAnsi="宋体" w:eastAsia="宋体" w:cs="宋体"/>
          <w:sz w:val="24"/>
        </w:rPr>
        <w:t>少数股东权益的调整额与支付</w:t>
      </w:r>
      <w:r>
        <w:rPr>
          <w:rFonts w:hint="eastAsia" w:ascii="Times New Roman" w:hAnsi="Times New Roman" w:eastAsia="Times New Roman" w:cs="Times New Roman"/>
          <w:sz w:val="24"/>
        </w:rPr>
        <w:t>/</w:t>
      </w:r>
      <w:r>
        <w:rPr>
          <w:rFonts w:hint="eastAsia" w:ascii="宋体" w:hAnsi="宋体" w:eastAsia="宋体" w:cs="宋体"/>
          <w:sz w:val="24"/>
        </w:rPr>
        <w:t>收到对价的公允价值之间的差额调整资本公积</w:t>
      </w:r>
      <w:r>
        <w:rPr>
          <w:rFonts w:hint="eastAsia" w:ascii="宋体" w:hAnsi="宋体" w:eastAsia="宋体" w:cs="宋体"/>
          <w:sz w:val="10"/>
        </w:rPr>
        <w:t>，</w:t>
      </w:r>
      <w:r>
        <w:rPr>
          <w:rFonts w:hint="eastAsia" w:ascii="宋体" w:hAnsi="宋体" w:eastAsia="宋体" w:cs="宋体"/>
          <w:sz w:val="24"/>
        </w:rPr>
        <w:t>资本公积不足冲减的</w:t>
      </w:r>
      <w:r>
        <w:rPr>
          <w:rFonts w:hint="eastAsia" w:ascii="宋体" w:hAnsi="宋体" w:eastAsia="宋体" w:cs="宋体"/>
          <w:sz w:val="10"/>
        </w:rPr>
        <w:t>，</w:t>
      </w:r>
      <w:r>
        <w:rPr>
          <w:rFonts w:hint="eastAsia" w:ascii="宋体" w:hAnsi="宋体" w:eastAsia="宋体" w:cs="宋体"/>
          <w:sz w:val="24"/>
        </w:rPr>
        <w:t>调整留存收益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丧失子公司控制权的处理</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因处置部分股权投资或其他原因丧失了对原有子公司控制权的</w:t>
      </w:r>
      <w:r>
        <w:rPr>
          <w:rFonts w:hint="eastAsia" w:ascii="宋体" w:hAnsi="宋体" w:eastAsia="宋体" w:cs="宋体"/>
          <w:sz w:val="10"/>
        </w:rPr>
        <w:t>，</w:t>
      </w:r>
      <w:r>
        <w:rPr>
          <w:rFonts w:hint="eastAsia" w:ascii="宋体" w:hAnsi="宋体" w:eastAsia="宋体" w:cs="宋体"/>
          <w:sz w:val="24"/>
        </w:rPr>
        <w:t>剩余股权按照其在丧失控制权日的公允价值进行重新计量</w:t>
      </w:r>
      <w:r>
        <w:rPr>
          <w:rFonts w:hint="eastAsia" w:ascii="宋体" w:hAnsi="宋体" w:eastAsia="宋体" w:cs="宋体"/>
          <w:sz w:val="12"/>
        </w:rPr>
        <w:t>；</w:t>
      </w:r>
      <w:r>
        <w:rPr>
          <w:rFonts w:hint="eastAsia" w:ascii="宋体" w:hAnsi="宋体" w:eastAsia="宋体" w:cs="宋体"/>
          <w:sz w:val="24"/>
        </w:rPr>
        <w:t>处置股权取得的对价与剩余股权公允价值之和</w:t>
      </w:r>
      <w:r>
        <w:rPr>
          <w:rFonts w:hint="eastAsia" w:ascii="宋体" w:hAnsi="宋体" w:eastAsia="宋体" w:cs="宋体"/>
          <w:sz w:val="10"/>
        </w:rPr>
        <w:t>，</w:t>
      </w:r>
      <w:r>
        <w:rPr>
          <w:rFonts w:hint="eastAsia" w:ascii="宋体" w:hAnsi="宋体" w:eastAsia="宋体" w:cs="宋体"/>
          <w:sz w:val="24"/>
        </w:rPr>
        <w:t>减去按原持股比例计算应享有原子公司自购买日开始持续计算的净资产的份额与商誉之和的差额</w:t>
      </w:r>
      <w:r>
        <w:rPr>
          <w:rFonts w:hint="eastAsia" w:ascii="宋体" w:hAnsi="宋体" w:eastAsia="宋体" w:cs="宋体"/>
          <w:sz w:val="10"/>
        </w:rPr>
        <w:t>，</w:t>
      </w:r>
      <w:r>
        <w:rPr>
          <w:rFonts w:hint="eastAsia" w:ascii="宋体" w:hAnsi="宋体" w:eastAsia="宋体" w:cs="宋体"/>
          <w:sz w:val="24"/>
        </w:rPr>
        <w:t>计入丧失控制权当期的投资收益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与原有子公司的股权投资相关的其他综合收益</w:t>
      </w:r>
      <w:r>
        <w:rPr>
          <w:rFonts w:hint="eastAsia" w:ascii="宋体" w:hAnsi="宋体" w:eastAsia="宋体" w:cs="宋体"/>
          <w:sz w:val="10"/>
        </w:rPr>
        <w:t>、</w:t>
      </w:r>
      <w:r>
        <w:rPr>
          <w:rFonts w:hint="eastAsia" w:ascii="宋体" w:hAnsi="宋体" w:eastAsia="宋体" w:cs="宋体"/>
          <w:sz w:val="24"/>
        </w:rPr>
        <w:t>其他所有者权益变动</w:t>
      </w:r>
      <w:r>
        <w:rPr>
          <w:rFonts w:hint="eastAsia" w:ascii="宋体" w:hAnsi="宋体" w:eastAsia="宋体" w:cs="宋体"/>
          <w:sz w:val="10"/>
        </w:rPr>
        <w:t>，</w:t>
      </w:r>
      <w:r>
        <w:rPr>
          <w:rFonts w:hint="eastAsia" w:ascii="宋体" w:hAnsi="宋体" w:eastAsia="宋体" w:cs="宋体"/>
          <w:sz w:val="24"/>
        </w:rPr>
        <w:t>应当在丧失</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1-1-224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jc w:val="both"/>
      </w:pPr>
      <w:r>
        <w:rPr>
          <w:rFonts w:hint="eastAsia" w:ascii="宋体" w:hAnsi="宋体" w:eastAsia="宋体" w:cs="宋体"/>
          <w:sz w:val="24"/>
        </w:rPr>
        <w:t>控制权时转入当期损益</w:t>
      </w:r>
      <w:r>
        <w:rPr>
          <w:rFonts w:hint="eastAsia" w:ascii="宋体" w:hAnsi="宋体" w:eastAsia="宋体" w:cs="宋体"/>
          <w:sz w:val="10"/>
        </w:rPr>
        <w:t>，</w:t>
      </w:r>
      <w:r>
        <w:rPr>
          <w:rFonts w:hint="eastAsia" w:ascii="宋体" w:hAnsi="宋体" w:eastAsia="宋体" w:cs="宋体"/>
          <w:sz w:val="24"/>
        </w:rPr>
        <w:t>由于被投资方重新计量设定收益计划净负债或净资产变动而产生的其他综合收益除外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（三）现金及现金等价物的确定标准</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现金是指库存现金以及可以随时用于支付的存款</w:t>
      </w:r>
      <w:r>
        <w:rPr>
          <w:rFonts w:hint="eastAsia" w:ascii="宋体" w:hAnsi="宋体" w:eastAsia="宋体" w:cs="宋体"/>
          <w:sz w:val="10"/>
        </w:rPr>
        <w:t>。</w:t>
      </w:r>
      <w:r>
        <w:rPr>
          <w:rFonts w:hint="eastAsia" w:ascii="宋体" w:hAnsi="宋体" w:eastAsia="宋体" w:cs="宋体"/>
          <w:sz w:val="24"/>
        </w:rPr>
        <w:t>现金等价物</w:t>
      </w:r>
      <w:r>
        <w:rPr>
          <w:rFonts w:hint="eastAsia" w:ascii="宋体" w:hAnsi="宋体" w:eastAsia="宋体" w:cs="宋体"/>
          <w:sz w:val="10"/>
        </w:rPr>
        <w:t>，</w:t>
      </w:r>
      <w:r>
        <w:rPr>
          <w:rFonts w:hint="eastAsia" w:ascii="宋体" w:hAnsi="宋体" w:eastAsia="宋体" w:cs="宋体"/>
          <w:sz w:val="24"/>
        </w:rPr>
        <w:t>是指本公司持有的期限短</w:t>
      </w:r>
      <w:r>
        <w:rPr>
          <w:rFonts w:hint="eastAsia" w:ascii="宋体" w:hAnsi="宋体" w:eastAsia="宋体" w:cs="宋体"/>
          <w:sz w:val="10"/>
        </w:rPr>
        <w:t>、</w:t>
      </w:r>
      <w:r>
        <w:rPr>
          <w:rFonts w:hint="eastAsia" w:ascii="宋体" w:hAnsi="宋体" w:eastAsia="宋体" w:cs="宋体"/>
          <w:sz w:val="24"/>
        </w:rPr>
        <w:t>流动性强</w:t>
      </w:r>
      <w:r>
        <w:rPr>
          <w:rFonts w:hint="eastAsia" w:ascii="宋体" w:hAnsi="宋体" w:eastAsia="宋体" w:cs="宋体"/>
          <w:sz w:val="10"/>
        </w:rPr>
        <w:t>、</w:t>
      </w:r>
      <w:r>
        <w:rPr>
          <w:rFonts w:hint="eastAsia" w:ascii="宋体" w:hAnsi="宋体" w:eastAsia="宋体" w:cs="宋体"/>
          <w:sz w:val="24"/>
        </w:rPr>
        <w:t>易于转换为已知金额现金</w:t>
      </w:r>
      <w:r>
        <w:rPr>
          <w:rFonts w:hint="eastAsia" w:ascii="宋体" w:hAnsi="宋体" w:eastAsia="宋体" w:cs="宋体"/>
          <w:sz w:val="10"/>
        </w:rPr>
        <w:t>、</w:t>
      </w:r>
      <w:r>
        <w:rPr>
          <w:rFonts w:hint="eastAsia" w:ascii="宋体" w:hAnsi="宋体" w:eastAsia="宋体" w:cs="宋体"/>
          <w:sz w:val="24"/>
        </w:rPr>
        <w:t>价值变动风险很小的投资</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（四）金融工具</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金融工具是指形成</w:t>
      </w:r>
      <w:r>
        <w:rPr>
          <w:rFonts w:hint="eastAsia" w:ascii="宋体" w:hAnsi="宋体" w:eastAsia="宋体" w:cs="宋体"/>
          <w:sz w:val="10"/>
        </w:rPr>
        <w:t>一</w:t>
      </w:r>
      <w:r>
        <w:rPr>
          <w:rFonts w:hint="eastAsia" w:ascii="宋体" w:hAnsi="宋体" w:eastAsia="宋体" w:cs="宋体"/>
          <w:sz w:val="24"/>
        </w:rPr>
        <w:t>个企业的金融资产</w:t>
      </w:r>
      <w:r>
        <w:rPr>
          <w:rFonts w:hint="eastAsia" w:ascii="宋体" w:hAnsi="宋体" w:eastAsia="宋体" w:cs="宋体"/>
          <w:sz w:val="10"/>
        </w:rPr>
        <w:t>，</w:t>
      </w:r>
      <w:r>
        <w:rPr>
          <w:rFonts w:hint="eastAsia" w:ascii="宋体" w:hAnsi="宋体" w:eastAsia="宋体" w:cs="宋体"/>
          <w:sz w:val="24"/>
        </w:rPr>
        <w:t>并形成其他单位的金融负债或权益工具的合同</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金融工具的确认和终止确认</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本公司于成为金融工具合同的一方时确认一项金融资产或金融负债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金融资产满足下列条件之</w:t>
      </w:r>
      <w:r>
        <w:rPr>
          <w:rFonts w:hint="eastAsia" w:ascii="宋体" w:hAnsi="宋体" w:eastAsia="宋体" w:cs="宋体"/>
          <w:sz w:val="10"/>
        </w:rPr>
        <w:t>一</w:t>
      </w:r>
      <w:r>
        <w:rPr>
          <w:rFonts w:hint="eastAsia" w:ascii="宋体" w:hAnsi="宋体" w:eastAsia="宋体" w:cs="宋体"/>
          <w:sz w:val="24"/>
        </w:rPr>
        <w:t>的</w:t>
      </w:r>
      <w:r>
        <w:rPr>
          <w:rFonts w:hint="eastAsia" w:ascii="宋体" w:hAnsi="宋体" w:eastAsia="宋体" w:cs="宋体"/>
          <w:sz w:val="10"/>
        </w:rPr>
        <w:t>，</w:t>
      </w:r>
      <w:r>
        <w:rPr>
          <w:rFonts w:hint="eastAsia" w:ascii="宋体" w:hAnsi="宋体" w:eastAsia="宋体" w:cs="宋体"/>
          <w:sz w:val="24"/>
        </w:rPr>
        <w:t>终止确认</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①收取该金融资产现金流量的合同权利终止</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②该金融资产已转移</w:t>
      </w:r>
      <w:r>
        <w:rPr>
          <w:rFonts w:hint="eastAsia" w:ascii="宋体" w:hAnsi="宋体" w:eastAsia="宋体" w:cs="宋体"/>
          <w:sz w:val="10"/>
        </w:rPr>
        <w:t>，</w:t>
      </w:r>
      <w:r>
        <w:rPr>
          <w:rFonts w:hint="eastAsia" w:ascii="宋体" w:hAnsi="宋体" w:eastAsia="宋体" w:cs="宋体"/>
          <w:sz w:val="24"/>
        </w:rPr>
        <w:t>且符合下述金融资产转移的终止确认条件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金融负债的现时义务全部或部分已经解除的</w:t>
      </w:r>
      <w:r>
        <w:rPr>
          <w:rFonts w:hint="eastAsia" w:ascii="宋体" w:hAnsi="宋体" w:eastAsia="宋体" w:cs="宋体"/>
          <w:sz w:val="10"/>
        </w:rPr>
        <w:t>，</w:t>
      </w:r>
      <w:r>
        <w:rPr>
          <w:rFonts w:hint="eastAsia" w:ascii="宋体" w:hAnsi="宋体" w:eastAsia="宋体" w:cs="宋体"/>
          <w:sz w:val="24"/>
        </w:rPr>
        <w:t>终止确认该金融负债或其一部分</w:t>
      </w:r>
      <w:r>
        <w:rPr>
          <w:rFonts w:hint="eastAsia" w:ascii="宋体" w:hAnsi="宋体" w:eastAsia="宋体" w:cs="宋体"/>
          <w:sz w:val="10"/>
        </w:rPr>
        <w:t>。</w:t>
      </w:r>
      <w:r>
        <w:rPr>
          <w:rFonts w:hint="eastAsia" w:ascii="宋体" w:hAnsi="宋体" w:eastAsia="宋体" w:cs="宋体"/>
          <w:sz w:val="24"/>
        </w:rPr>
        <w:t>本公司（债务人）与债权人之间签订协议</w:t>
      </w:r>
      <w:r>
        <w:rPr>
          <w:rFonts w:hint="eastAsia" w:ascii="宋体" w:hAnsi="宋体" w:eastAsia="宋体" w:cs="宋体"/>
          <w:sz w:val="10"/>
        </w:rPr>
        <w:t>，</w:t>
      </w:r>
      <w:r>
        <w:rPr>
          <w:rFonts w:hint="eastAsia" w:ascii="宋体" w:hAnsi="宋体" w:eastAsia="宋体" w:cs="宋体"/>
          <w:sz w:val="24"/>
        </w:rPr>
        <w:t>以承担新金融负债方式替换现存金融负债</w:t>
      </w:r>
      <w:r>
        <w:rPr>
          <w:rFonts w:hint="eastAsia" w:ascii="宋体" w:hAnsi="宋体" w:eastAsia="宋体" w:cs="宋体"/>
          <w:sz w:val="10"/>
        </w:rPr>
        <w:t>，</w:t>
      </w:r>
      <w:r>
        <w:rPr>
          <w:rFonts w:hint="eastAsia" w:ascii="宋体" w:hAnsi="宋体" w:eastAsia="宋体" w:cs="宋体"/>
          <w:sz w:val="24"/>
        </w:rPr>
        <w:t>且新金融负债与现存金融负债的合同条款实质上不同的</w:t>
      </w:r>
      <w:r>
        <w:rPr>
          <w:rFonts w:hint="eastAsia" w:ascii="宋体" w:hAnsi="宋体" w:eastAsia="宋体" w:cs="宋体"/>
          <w:sz w:val="10"/>
        </w:rPr>
        <w:t>，</w:t>
      </w:r>
      <w:r>
        <w:rPr>
          <w:rFonts w:hint="eastAsia" w:ascii="宋体" w:hAnsi="宋体" w:eastAsia="宋体" w:cs="宋体"/>
          <w:sz w:val="24"/>
        </w:rPr>
        <w:t>终止确认现存金融负债</w:t>
      </w:r>
      <w:r>
        <w:rPr>
          <w:rFonts w:hint="eastAsia" w:ascii="宋体" w:hAnsi="宋体" w:eastAsia="宋体" w:cs="宋体"/>
          <w:sz w:val="10"/>
        </w:rPr>
        <w:t>，</w:t>
      </w:r>
      <w:r>
        <w:rPr>
          <w:rFonts w:hint="eastAsia" w:ascii="宋体" w:hAnsi="宋体" w:eastAsia="宋体" w:cs="宋体"/>
          <w:sz w:val="24"/>
        </w:rPr>
        <w:t>并同时确认新金融负债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以常规方式买卖金融资产</w:t>
      </w:r>
      <w:r>
        <w:rPr>
          <w:rFonts w:hint="eastAsia" w:ascii="宋体" w:hAnsi="宋体" w:eastAsia="宋体" w:cs="宋体"/>
          <w:sz w:val="10"/>
        </w:rPr>
        <w:t>，</w:t>
      </w:r>
      <w:r>
        <w:rPr>
          <w:rFonts w:hint="eastAsia" w:ascii="宋体" w:hAnsi="宋体" w:eastAsia="宋体" w:cs="宋体"/>
          <w:sz w:val="24"/>
        </w:rPr>
        <w:t>按交易日进行会计确认和终止确认</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金融资产分类和计量</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本公司的金融资产于初始确认时分为以下四类</w:t>
      </w:r>
      <w:r>
        <w:rPr>
          <w:rFonts w:hint="eastAsia" w:ascii="宋体" w:hAnsi="宋体" w:eastAsia="宋体" w:cs="宋体"/>
          <w:sz w:val="12"/>
        </w:rPr>
        <w:t>：</w:t>
      </w:r>
      <w:r>
        <w:rPr>
          <w:rFonts w:hint="eastAsia" w:ascii="宋体" w:hAnsi="宋体" w:eastAsia="宋体" w:cs="宋体"/>
          <w:sz w:val="24"/>
        </w:rPr>
        <w:t>以公允价值计量且其变动计入当期损益的金融资产</w:t>
      </w:r>
      <w:r>
        <w:rPr>
          <w:rFonts w:hint="eastAsia" w:ascii="宋体" w:hAnsi="宋体" w:eastAsia="宋体" w:cs="宋体"/>
          <w:sz w:val="10"/>
        </w:rPr>
        <w:t>、</w:t>
      </w:r>
      <w:r>
        <w:rPr>
          <w:rFonts w:hint="eastAsia" w:ascii="宋体" w:hAnsi="宋体" w:eastAsia="宋体" w:cs="宋体"/>
          <w:sz w:val="24"/>
        </w:rPr>
        <w:t>持有至到期投资</w:t>
      </w:r>
      <w:r>
        <w:rPr>
          <w:rFonts w:hint="eastAsia" w:ascii="宋体" w:hAnsi="宋体" w:eastAsia="宋体" w:cs="宋体"/>
          <w:sz w:val="10"/>
        </w:rPr>
        <w:t>、</w:t>
      </w:r>
      <w:r>
        <w:rPr>
          <w:rFonts w:hint="eastAsia" w:ascii="宋体" w:hAnsi="宋体" w:eastAsia="宋体" w:cs="宋体"/>
          <w:sz w:val="24"/>
        </w:rPr>
        <w:t>贷款和应收款项</w:t>
      </w:r>
      <w:r>
        <w:rPr>
          <w:rFonts w:hint="eastAsia" w:ascii="宋体" w:hAnsi="宋体" w:eastAsia="宋体" w:cs="宋体"/>
          <w:sz w:val="10"/>
        </w:rPr>
        <w:t>、</w:t>
      </w:r>
      <w:r>
        <w:rPr>
          <w:rFonts w:hint="eastAsia" w:ascii="宋体" w:hAnsi="宋体" w:eastAsia="宋体" w:cs="宋体"/>
          <w:sz w:val="24"/>
        </w:rPr>
        <w:t>可供出售金融资产</w:t>
      </w:r>
      <w:r>
        <w:rPr>
          <w:rFonts w:hint="eastAsia" w:ascii="宋体" w:hAnsi="宋体" w:eastAsia="宋体" w:cs="宋体"/>
          <w:sz w:val="10"/>
        </w:rPr>
        <w:t>。</w:t>
      </w:r>
      <w:r>
        <w:rPr>
          <w:rFonts w:hint="eastAsia" w:ascii="宋体" w:hAnsi="宋体" w:eastAsia="宋体" w:cs="宋体"/>
          <w:sz w:val="24"/>
        </w:rPr>
        <w:t>金融资产在初始确认时以公允价值计量</w:t>
      </w:r>
      <w:r>
        <w:rPr>
          <w:rFonts w:hint="eastAsia" w:ascii="宋体" w:hAnsi="宋体" w:eastAsia="宋体" w:cs="宋体"/>
          <w:sz w:val="10"/>
        </w:rPr>
        <w:t>。</w:t>
      </w:r>
      <w:r>
        <w:rPr>
          <w:rFonts w:hint="eastAsia" w:ascii="宋体" w:hAnsi="宋体" w:eastAsia="宋体" w:cs="宋体"/>
          <w:sz w:val="24"/>
        </w:rPr>
        <w:t>对于以公允价值计量且其变动计入当期损益的金融资产</w:t>
      </w:r>
      <w:r>
        <w:rPr>
          <w:rFonts w:hint="eastAsia" w:ascii="宋体" w:hAnsi="宋体" w:eastAsia="宋体" w:cs="宋体"/>
          <w:sz w:val="10"/>
        </w:rPr>
        <w:t>，</w:t>
      </w:r>
      <w:r>
        <w:rPr>
          <w:rFonts w:hint="eastAsia" w:ascii="宋体" w:hAnsi="宋体" w:eastAsia="宋体" w:cs="宋体"/>
          <w:sz w:val="24"/>
        </w:rPr>
        <w:t>相关交易费用直接计入当期损益</w:t>
      </w:r>
      <w:r>
        <w:rPr>
          <w:rFonts w:hint="eastAsia" w:ascii="宋体" w:hAnsi="宋体" w:eastAsia="宋体" w:cs="宋体"/>
          <w:sz w:val="10"/>
        </w:rPr>
        <w:t>，</w:t>
      </w:r>
      <w:r>
        <w:rPr>
          <w:rFonts w:hint="eastAsia" w:ascii="宋体" w:hAnsi="宋体" w:eastAsia="宋体" w:cs="宋体"/>
          <w:sz w:val="24"/>
        </w:rPr>
        <w:t>其他类别的金融资产相关交易费用计入其初始确认金额</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本公司的金融资产主要系应收款项</w:t>
      </w:r>
      <w:r>
        <w:rPr>
          <w:rFonts w:hint="eastAsia" w:ascii="宋体" w:hAnsi="宋体" w:eastAsia="宋体" w:cs="宋体"/>
          <w:sz w:val="10"/>
        </w:rPr>
        <w:t>。</w:t>
      </w:r>
      <w:r>
        <w:rPr>
          <w:rFonts w:hint="eastAsia" w:ascii="宋体" w:hAnsi="宋体" w:eastAsia="宋体" w:cs="宋体"/>
          <w:sz w:val="24"/>
        </w:rPr>
        <w:t>应收款项是指在活跃市场中没有报价</w:t>
      </w:r>
      <w:r>
        <w:rPr>
          <w:rFonts w:hint="eastAsia" w:ascii="宋体" w:hAnsi="宋体" w:eastAsia="宋体" w:cs="宋体"/>
          <w:sz w:val="10"/>
        </w:rPr>
        <w:t>、</w:t>
      </w:r>
      <w:r>
        <w:rPr>
          <w:rFonts w:hint="eastAsia" w:ascii="宋体" w:hAnsi="宋体" w:eastAsia="宋体" w:cs="宋体"/>
          <w:sz w:val="24"/>
        </w:rPr>
        <w:t>回收金</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1-1-225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额固定或可确定的非衍生金融资产</w:t>
      </w:r>
      <w:r>
        <w:rPr>
          <w:rFonts w:hint="eastAsia" w:ascii="宋体" w:hAnsi="宋体" w:eastAsia="宋体" w:cs="宋体"/>
          <w:sz w:val="10"/>
        </w:rPr>
        <w:t>，</w:t>
      </w:r>
      <w:r>
        <w:rPr>
          <w:rFonts w:hint="eastAsia" w:ascii="宋体" w:hAnsi="宋体" w:eastAsia="宋体" w:cs="宋体"/>
          <w:sz w:val="24"/>
        </w:rPr>
        <w:t>包括应收账款和其他应收款等</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金融负债分类和计量</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本公司的金融负债于初始确认时分类为</w:t>
      </w:r>
      <w:r>
        <w:rPr>
          <w:rFonts w:hint="eastAsia" w:ascii="宋体" w:hAnsi="宋体" w:eastAsia="宋体" w:cs="宋体"/>
          <w:sz w:val="10"/>
        </w:rPr>
        <w:t>：</w:t>
      </w:r>
      <w:r>
        <w:rPr>
          <w:rFonts w:hint="eastAsia" w:ascii="宋体" w:hAnsi="宋体" w:eastAsia="宋体" w:cs="宋体"/>
          <w:sz w:val="24"/>
        </w:rPr>
        <w:t>以公允价值计量且其变动计入当期损益的金融负债</w:t>
      </w:r>
      <w:r>
        <w:rPr>
          <w:rFonts w:hint="eastAsia" w:ascii="宋体" w:hAnsi="宋体" w:eastAsia="宋体" w:cs="宋体"/>
          <w:sz w:val="10"/>
        </w:rPr>
        <w:t>、</w:t>
      </w:r>
      <w:r>
        <w:rPr>
          <w:rFonts w:hint="eastAsia" w:ascii="宋体" w:hAnsi="宋体" w:eastAsia="宋体" w:cs="宋体"/>
          <w:sz w:val="24"/>
        </w:rPr>
        <w:t>其他金融负债</w:t>
      </w:r>
      <w:r>
        <w:rPr>
          <w:rFonts w:hint="eastAsia" w:ascii="宋体" w:hAnsi="宋体" w:eastAsia="宋体" w:cs="宋体"/>
          <w:sz w:val="10"/>
        </w:rPr>
        <w:t>。</w:t>
      </w:r>
      <w:r>
        <w:rPr>
          <w:rFonts w:hint="eastAsia" w:ascii="宋体" w:hAnsi="宋体" w:eastAsia="宋体" w:cs="宋体"/>
          <w:sz w:val="24"/>
        </w:rPr>
        <w:t>对于未划分为以公允价值计量且其变动计入当期损益的金融负债的</w:t>
      </w:r>
      <w:r>
        <w:rPr>
          <w:rFonts w:hint="eastAsia" w:ascii="宋体" w:hAnsi="宋体" w:eastAsia="宋体" w:cs="宋体"/>
          <w:sz w:val="10"/>
        </w:rPr>
        <w:t>，</w:t>
      </w:r>
      <w:r>
        <w:rPr>
          <w:rFonts w:hint="eastAsia" w:ascii="宋体" w:hAnsi="宋体" w:eastAsia="宋体" w:cs="宋体"/>
          <w:sz w:val="24"/>
        </w:rPr>
        <w:t>相关交易费用计入其初始确认金额</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本公司的金融负债主要包括因购买商品或接受劳务等所产生的应付账款</w:t>
      </w:r>
      <w:r>
        <w:rPr>
          <w:rFonts w:hint="eastAsia" w:ascii="宋体" w:hAnsi="宋体" w:eastAsia="宋体" w:cs="宋体"/>
          <w:sz w:val="10"/>
        </w:rPr>
        <w:t>、</w:t>
      </w:r>
      <w:r>
        <w:rPr>
          <w:rFonts w:hint="eastAsia" w:ascii="宋体" w:hAnsi="宋体" w:eastAsia="宋体" w:cs="宋体"/>
          <w:sz w:val="24"/>
        </w:rPr>
        <w:t>其他应付款等其他金融负债</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金融工具的公允价值</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金融资产和金融负债的公允价值确定方法见</w:t>
      </w:r>
      <w:r>
        <w:rPr>
          <w:rFonts w:hint="eastAsia" w:ascii="宋体" w:hAnsi="宋体" w:eastAsia="宋体" w:cs="宋体"/>
          <w:sz w:val="10"/>
        </w:rPr>
        <w:t>“</w:t>
      </w:r>
      <w:r>
        <w:rPr>
          <w:rFonts w:hint="eastAsia" w:ascii="宋体" w:hAnsi="宋体" w:eastAsia="宋体" w:cs="宋体"/>
          <w:sz w:val="24"/>
        </w:rPr>
        <w:t>四</w:t>
      </w:r>
      <w:r>
        <w:rPr>
          <w:rFonts w:hint="eastAsia" w:ascii="宋体" w:hAnsi="宋体" w:eastAsia="宋体" w:cs="宋体"/>
          <w:sz w:val="10"/>
        </w:rPr>
        <w:t>、</w:t>
      </w:r>
      <w:r>
        <w:rPr>
          <w:rFonts w:hint="eastAsia" w:ascii="宋体" w:hAnsi="宋体" w:eastAsia="宋体" w:cs="宋体"/>
          <w:sz w:val="24"/>
        </w:rPr>
        <w:t>报告期内采用的主要会计政策和会计估计（五）公允价值计量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（五）公允价值计量</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公允价值是指市场参与者在计量日发生的有序交易中</w:t>
      </w:r>
      <w:r>
        <w:rPr>
          <w:rFonts w:hint="eastAsia" w:ascii="宋体" w:hAnsi="宋体" w:eastAsia="宋体" w:cs="宋体"/>
          <w:sz w:val="10"/>
        </w:rPr>
        <w:t>，</w:t>
      </w:r>
      <w:r>
        <w:rPr>
          <w:rFonts w:hint="eastAsia" w:ascii="宋体" w:hAnsi="宋体" w:eastAsia="宋体" w:cs="宋体"/>
          <w:sz w:val="24"/>
        </w:rPr>
        <w:t>出售一项资产所能收到或者转移一项负债所需支付的价格</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本公司以公允价值计量相关资产或负债</w:t>
      </w:r>
      <w:r>
        <w:rPr>
          <w:rFonts w:hint="eastAsia" w:ascii="宋体" w:hAnsi="宋体" w:eastAsia="宋体" w:cs="宋体"/>
          <w:sz w:val="10"/>
        </w:rPr>
        <w:t>，</w:t>
      </w:r>
      <w:r>
        <w:rPr>
          <w:rFonts w:hint="eastAsia" w:ascii="宋体" w:hAnsi="宋体" w:eastAsia="宋体" w:cs="宋体"/>
          <w:sz w:val="24"/>
        </w:rPr>
        <w:t>假定出售资产或者转移负债的有序交易在相关资产或负债的主要市场进行</w:t>
      </w:r>
      <w:r>
        <w:rPr>
          <w:rFonts w:hint="eastAsia" w:ascii="宋体" w:hAnsi="宋体" w:eastAsia="宋体" w:cs="宋体"/>
          <w:sz w:val="14"/>
        </w:rPr>
        <w:t>；</w:t>
      </w:r>
      <w:r>
        <w:rPr>
          <w:rFonts w:hint="eastAsia" w:ascii="宋体" w:hAnsi="宋体" w:eastAsia="宋体" w:cs="宋体"/>
          <w:sz w:val="24"/>
        </w:rPr>
        <w:t>不存在主要市场的</w:t>
      </w:r>
      <w:r>
        <w:rPr>
          <w:rFonts w:hint="eastAsia" w:ascii="宋体" w:hAnsi="宋体" w:eastAsia="宋体" w:cs="宋体"/>
          <w:sz w:val="10"/>
        </w:rPr>
        <w:t>，</w:t>
      </w:r>
      <w:r>
        <w:rPr>
          <w:rFonts w:hint="eastAsia" w:ascii="宋体" w:hAnsi="宋体" w:eastAsia="宋体" w:cs="宋体"/>
          <w:sz w:val="24"/>
        </w:rPr>
        <w:t>本公司假定该交易在相关资产或负债的最有利市场进行</w:t>
      </w:r>
      <w:r>
        <w:rPr>
          <w:rFonts w:hint="eastAsia" w:ascii="宋体" w:hAnsi="宋体" w:eastAsia="宋体" w:cs="宋体"/>
          <w:sz w:val="10"/>
        </w:rPr>
        <w:t>。</w:t>
      </w:r>
      <w:r>
        <w:rPr>
          <w:rFonts w:hint="eastAsia" w:ascii="宋体" w:hAnsi="宋体" w:eastAsia="宋体" w:cs="宋体"/>
          <w:sz w:val="24"/>
        </w:rPr>
        <w:t>主要市场（或最有利市场）是本公司在计量日能够进入的交易市场</w:t>
      </w:r>
      <w:r>
        <w:rPr>
          <w:rFonts w:hint="eastAsia" w:ascii="宋体" w:hAnsi="宋体" w:eastAsia="宋体" w:cs="宋体"/>
          <w:sz w:val="10"/>
        </w:rPr>
        <w:t>。</w:t>
      </w:r>
      <w:r>
        <w:rPr>
          <w:rFonts w:hint="eastAsia" w:ascii="宋体" w:hAnsi="宋体" w:eastAsia="宋体" w:cs="宋体"/>
          <w:sz w:val="24"/>
        </w:rPr>
        <w:t>本公司采用市场参与者在对该资产或负债定价时为实现其经济利益最大化所使用的假设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存在活跃市场的金融资产或金融负债</w:t>
      </w:r>
      <w:r>
        <w:rPr>
          <w:rFonts w:hint="eastAsia" w:ascii="宋体" w:hAnsi="宋体" w:eastAsia="宋体" w:cs="宋体"/>
          <w:sz w:val="10"/>
        </w:rPr>
        <w:t>，</w:t>
      </w:r>
      <w:r>
        <w:rPr>
          <w:rFonts w:hint="eastAsia" w:ascii="宋体" w:hAnsi="宋体" w:eastAsia="宋体" w:cs="宋体"/>
          <w:sz w:val="24"/>
        </w:rPr>
        <w:t>本公司采用活跃市场中的报价确定其公允价值</w:t>
      </w:r>
      <w:r>
        <w:rPr>
          <w:rFonts w:hint="eastAsia" w:ascii="宋体" w:hAnsi="宋体" w:eastAsia="宋体" w:cs="宋体"/>
          <w:sz w:val="10"/>
        </w:rPr>
        <w:t>。</w:t>
      </w:r>
      <w:r>
        <w:rPr>
          <w:rFonts w:hint="eastAsia" w:ascii="宋体" w:hAnsi="宋体" w:eastAsia="宋体" w:cs="宋体"/>
          <w:sz w:val="24"/>
        </w:rPr>
        <w:t>金融工具不存在活跃市场的</w:t>
      </w:r>
      <w:r>
        <w:rPr>
          <w:rFonts w:hint="eastAsia" w:ascii="宋体" w:hAnsi="宋体" w:eastAsia="宋体" w:cs="宋体"/>
          <w:sz w:val="10"/>
        </w:rPr>
        <w:t>，</w:t>
      </w:r>
      <w:r>
        <w:rPr>
          <w:rFonts w:hint="eastAsia" w:ascii="宋体" w:hAnsi="宋体" w:eastAsia="宋体" w:cs="宋体"/>
          <w:sz w:val="24"/>
        </w:rPr>
        <w:t>本公司采用估值技术确定其公允价值</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以公允价值计量非金融资产的</w:t>
      </w:r>
      <w:r>
        <w:rPr>
          <w:rFonts w:hint="eastAsia" w:ascii="宋体" w:hAnsi="宋体" w:eastAsia="宋体" w:cs="宋体"/>
          <w:sz w:val="10"/>
        </w:rPr>
        <w:t>，</w:t>
      </w:r>
      <w:r>
        <w:rPr>
          <w:rFonts w:hint="eastAsia" w:ascii="宋体" w:hAnsi="宋体" w:eastAsia="宋体" w:cs="宋体"/>
          <w:sz w:val="24"/>
        </w:rPr>
        <w:t>考虑市场参与者将该资产用于最佳用途产生经济利益的能力</w:t>
      </w:r>
      <w:r>
        <w:rPr>
          <w:rFonts w:hint="eastAsia" w:ascii="宋体" w:hAnsi="宋体" w:eastAsia="宋体" w:cs="宋体"/>
          <w:sz w:val="10"/>
        </w:rPr>
        <w:t>，</w:t>
      </w:r>
      <w:r>
        <w:rPr>
          <w:rFonts w:hint="eastAsia" w:ascii="宋体" w:hAnsi="宋体" w:eastAsia="宋体" w:cs="宋体"/>
          <w:sz w:val="24"/>
        </w:rPr>
        <w:t>或者将该资产出售给能够用于最佳用途的其他市场参与者产生经济利益的能力</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本公司采用在当前情况下适用并且有足够可利用数据和其他信息支持的估值技术</w:t>
      </w:r>
      <w:r>
        <w:rPr>
          <w:rFonts w:hint="eastAsia" w:ascii="宋体" w:hAnsi="宋体" w:eastAsia="宋体" w:cs="宋体"/>
          <w:sz w:val="10"/>
        </w:rPr>
        <w:t>，</w:t>
      </w:r>
      <w:r>
        <w:rPr>
          <w:rFonts w:hint="eastAsia" w:ascii="宋体" w:hAnsi="宋体" w:eastAsia="宋体" w:cs="宋体"/>
          <w:sz w:val="24"/>
        </w:rPr>
        <w:t>优先使用相关可观察输入值</w:t>
      </w:r>
      <w:r>
        <w:rPr>
          <w:rFonts w:hint="eastAsia" w:ascii="宋体" w:hAnsi="宋体" w:eastAsia="宋体" w:cs="宋体"/>
          <w:sz w:val="10"/>
        </w:rPr>
        <w:t>，</w:t>
      </w:r>
      <w:r>
        <w:rPr>
          <w:rFonts w:hint="eastAsia" w:ascii="宋体" w:hAnsi="宋体" w:eastAsia="宋体" w:cs="宋体"/>
          <w:sz w:val="24"/>
        </w:rPr>
        <w:t>只有在可观察输入值无法取得或取得不切实可行的情况下</w:t>
      </w:r>
      <w:r>
        <w:rPr>
          <w:rFonts w:hint="eastAsia" w:ascii="宋体" w:hAnsi="宋体" w:eastAsia="宋体" w:cs="宋体"/>
          <w:sz w:val="10"/>
        </w:rPr>
        <w:t>，</w:t>
      </w:r>
      <w:r>
        <w:rPr>
          <w:rFonts w:hint="eastAsia" w:ascii="宋体" w:hAnsi="宋体" w:eastAsia="宋体" w:cs="宋体"/>
          <w:sz w:val="24"/>
        </w:rPr>
        <w:t>才使用不可观察输入值</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1-1-226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在财务报表中以公允价值计量或披露的资产和负债</w:t>
      </w:r>
      <w:r>
        <w:rPr>
          <w:rFonts w:hint="eastAsia" w:ascii="宋体" w:hAnsi="宋体" w:eastAsia="宋体" w:cs="宋体"/>
          <w:sz w:val="10"/>
        </w:rPr>
        <w:t>，</w:t>
      </w:r>
      <w:r>
        <w:rPr>
          <w:rFonts w:hint="eastAsia" w:ascii="宋体" w:hAnsi="宋体" w:eastAsia="宋体" w:cs="宋体"/>
          <w:sz w:val="24"/>
        </w:rPr>
        <w:t>根据对公允价值计量整体而言具有重要意义的最低层次输入值</w:t>
      </w:r>
      <w:r>
        <w:rPr>
          <w:rFonts w:hint="eastAsia" w:ascii="宋体" w:hAnsi="宋体" w:eastAsia="宋体" w:cs="宋体"/>
          <w:sz w:val="10"/>
        </w:rPr>
        <w:t>，</w:t>
      </w:r>
      <w:r>
        <w:rPr>
          <w:rFonts w:hint="eastAsia" w:ascii="宋体" w:hAnsi="宋体" w:eastAsia="宋体" w:cs="宋体"/>
          <w:sz w:val="24"/>
        </w:rPr>
        <w:t>确定所属的公允价值层次</w:t>
      </w:r>
      <w:r>
        <w:rPr>
          <w:rFonts w:hint="eastAsia" w:ascii="宋体" w:hAnsi="宋体" w:eastAsia="宋体" w:cs="宋体"/>
          <w:sz w:val="10"/>
        </w:rPr>
        <w:t>：</w:t>
      </w:r>
      <w:r>
        <w:rPr>
          <w:rFonts w:hint="eastAsia" w:ascii="宋体" w:hAnsi="宋体" w:eastAsia="宋体" w:cs="宋体"/>
          <w:sz w:val="24"/>
        </w:rPr>
        <w:t>第一层次输入值</w:t>
      </w:r>
      <w:r>
        <w:rPr>
          <w:rFonts w:hint="eastAsia" w:ascii="宋体" w:hAnsi="宋体" w:eastAsia="宋体" w:cs="宋体"/>
          <w:sz w:val="10"/>
        </w:rPr>
        <w:t>，</w:t>
      </w:r>
      <w:r>
        <w:rPr>
          <w:rFonts w:hint="eastAsia" w:ascii="宋体" w:hAnsi="宋体" w:eastAsia="宋体" w:cs="宋体"/>
          <w:sz w:val="24"/>
        </w:rPr>
        <w:t>是在计量日能够取得的相同资产或负债在活跃市场上未经调整的报价</w:t>
      </w:r>
      <w:r>
        <w:rPr>
          <w:rFonts w:hint="eastAsia" w:ascii="宋体" w:hAnsi="宋体" w:eastAsia="宋体" w:cs="宋体"/>
          <w:sz w:val="12"/>
        </w:rPr>
        <w:t>；</w:t>
      </w:r>
      <w:r>
        <w:rPr>
          <w:rFonts w:hint="eastAsia" w:ascii="宋体" w:hAnsi="宋体" w:eastAsia="宋体" w:cs="宋体"/>
          <w:sz w:val="24"/>
        </w:rPr>
        <w:t>第二层次输入值</w:t>
      </w:r>
      <w:r>
        <w:rPr>
          <w:rFonts w:hint="eastAsia" w:ascii="宋体" w:hAnsi="宋体" w:eastAsia="宋体" w:cs="宋体"/>
          <w:sz w:val="10"/>
        </w:rPr>
        <w:t>，</w:t>
      </w:r>
      <w:r>
        <w:rPr>
          <w:rFonts w:hint="eastAsia" w:ascii="宋体" w:hAnsi="宋体" w:eastAsia="宋体" w:cs="宋体"/>
          <w:sz w:val="24"/>
        </w:rPr>
        <w:t>是除第一层次输入值外相关资产或负债直接或间接可观察的输入值</w:t>
      </w:r>
      <w:r>
        <w:rPr>
          <w:rFonts w:hint="eastAsia" w:ascii="宋体" w:hAnsi="宋体" w:eastAsia="宋体" w:cs="宋体"/>
          <w:sz w:val="14"/>
        </w:rPr>
        <w:t>；</w:t>
      </w:r>
      <w:r>
        <w:rPr>
          <w:rFonts w:hint="eastAsia" w:ascii="宋体" w:hAnsi="宋体" w:eastAsia="宋体" w:cs="宋体"/>
          <w:sz w:val="24"/>
        </w:rPr>
        <w:t>第三层次输入值</w:t>
      </w:r>
      <w:r>
        <w:rPr>
          <w:rFonts w:hint="eastAsia" w:ascii="宋体" w:hAnsi="宋体" w:eastAsia="宋体" w:cs="宋体"/>
          <w:sz w:val="10"/>
        </w:rPr>
        <w:t>，</w:t>
      </w:r>
      <w:r>
        <w:rPr>
          <w:rFonts w:hint="eastAsia" w:ascii="宋体" w:hAnsi="宋体" w:eastAsia="宋体" w:cs="宋体"/>
          <w:sz w:val="24"/>
        </w:rPr>
        <w:t>是相关资产或负债的不可观察输入值</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每个资产负债表日</w:t>
      </w:r>
      <w:r>
        <w:rPr>
          <w:rFonts w:hint="eastAsia" w:ascii="宋体" w:hAnsi="宋体" w:eastAsia="宋体" w:cs="宋体"/>
          <w:sz w:val="10"/>
        </w:rPr>
        <w:t>，</w:t>
      </w:r>
      <w:r>
        <w:rPr>
          <w:rFonts w:hint="eastAsia" w:ascii="宋体" w:hAnsi="宋体" w:eastAsia="宋体" w:cs="宋体"/>
          <w:sz w:val="24"/>
        </w:rPr>
        <w:t>本公司对在财务报表中确认的持续以公允价值计量的资产和负债进行重新评估</w:t>
      </w:r>
      <w:r>
        <w:rPr>
          <w:rFonts w:hint="eastAsia" w:ascii="宋体" w:hAnsi="宋体" w:eastAsia="宋体" w:cs="宋体"/>
          <w:sz w:val="10"/>
        </w:rPr>
        <w:t>，</w:t>
      </w:r>
      <w:r>
        <w:rPr>
          <w:rFonts w:hint="eastAsia" w:ascii="宋体" w:hAnsi="宋体" w:eastAsia="宋体" w:cs="宋体"/>
          <w:sz w:val="24"/>
        </w:rPr>
        <w:t>以确定是否在公允价值计量层次之间发生转换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（六）应收款项</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应收款项包括应收账款</w:t>
      </w:r>
      <w:r>
        <w:rPr>
          <w:rFonts w:hint="eastAsia" w:ascii="宋体" w:hAnsi="宋体" w:eastAsia="宋体" w:cs="宋体"/>
          <w:sz w:val="10"/>
        </w:rPr>
        <w:t>、</w:t>
      </w:r>
      <w:r>
        <w:rPr>
          <w:rFonts w:hint="eastAsia" w:ascii="宋体" w:hAnsi="宋体" w:eastAsia="宋体" w:cs="宋体"/>
          <w:sz w:val="24"/>
        </w:rPr>
        <w:t>其他应收款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单项金额重大并单项计提坏账准备的应收款项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单项金额重大的判断依据或金额标准</w:t>
      </w:r>
      <w:r>
        <w:rPr>
          <w:rFonts w:hint="eastAsia" w:ascii="宋体" w:hAnsi="宋体" w:eastAsia="宋体" w:cs="宋体"/>
          <w:sz w:val="12"/>
        </w:rPr>
        <w:t>：</w:t>
      </w:r>
      <w:r>
        <w:rPr>
          <w:rFonts w:hint="eastAsia" w:ascii="宋体" w:hAnsi="宋体" w:eastAsia="宋体" w:cs="宋体"/>
          <w:sz w:val="24"/>
        </w:rPr>
        <w:t>单项金额超过期末应收款项余额的</w:t>
      </w:r>
      <w:r>
        <w:rPr>
          <w:rFonts w:hint="eastAsia" w:ascii="Times New Roman" w:hAnsi="Times New Roman" w:eastAsia="Times New Roman" w:cs="Times New Roman"/>
          <w:sz w:val="24"/>
        </w:rPr>
        <w:t xml:space="preserve"> 20%</w:t>
      </w:r>
      <w:r>
        <w:rPr>
          <w:rFonts w:hint="eastAsia" w:ascii="宋体" w:hAnsi="宋体" w:eastAsia="宋体" w:cs="宋体"/>
          <w:sz w:val="24"/>
        </w:rPr>
        <w:t>且单项金额超过</w:t>
      </w:r>
      <w:r>
        <w:rPr>
          <w:rFonts w:hint="eastAsia" w:ascii="Times New Roman" w:hAnsi="Times New Roman" w:eastAsia="Times New Roman" w:cs="Times New Roman"/>
          <w:sz w:val="24"/>
        </w:rPr>
        <w:t xml:space="preserve"> 100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单项金额重大并单项计提坏账准备的计提方法</w:t>
      </w:r>
      <w:r>
        <w:rPr>
          <w:rFonts w:hint="eastAsia" w:ascii="宋体" w:hAnsi="宋体" w:eastAsia="宋体" w:cs="宋体"/>
          <w:sz w:val="10"/>
        </w:rPr>
        <w:t>：</w:t>
      </w:r>
      <w:r>
        <w:rPr>
          <w:rFonts w:hint="eastAsia" w:ascii="宋体" w:hAnsi="宋体" w:eastAsia="宋体" w:cs="宋体"/>
          <w:sz w:val="24"/>
        </w:rPr>
        <w:t>对于单项金额重大的应收款项单独进行减值测试</w:t>
      </w:r>
      <w:r>
        <w:rPr>
          <w:rFonts w:hint="eastAsia" w:ascii="宋体" w:hAnsi="宋体" w:eastAsia="宋体" w:cs="宋体"/>
          <w:sz w:val="10"/>
        </w:rPr>
        <w:t>，</w:t>
      </w:r>
      <w:r>
        <w:rPr>
          <w:rFonts w:hint="eastAsia" w:ascii="宋体" w:hAnsi="宋体" w:eastAsia="宋体" w:cs="宋体"/>
          <w:sz w:val="24"/>
        </w:rPr>
        <w:t>有客观证据表明发生了减值</w:t>
      </w:r>
      <w:r>
        <w:rPr>
          <w:rFonts w:hint="eastAsia" w:ascii="宋体" w:hAnsi="宋体" w:eastAsia="宋体" w:cs="宋体"/>
          <w:sz w:val="10"/>
        </w:rPr>
        <w:t>，</w:t>
      </w:r>
      <w:r>
        <w:rPr>
          <w:rFonts w:hint="eastAsia" w:ascii="宋体" w:hAnsi="宋体" w:eastAsia="宋体" w:cs="宋体"/>
          <w:sz w:val="24"/>
        </w:rPr>
        <w:t>根据其未来现金流量现值低于其账面价值的差额计提坏账准备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单项金额重大经单独测试未发生减值的应收款项</w:t>
      </w:r>
      <w:r>
        <w:rPr>
          <w:rFonts w:hint="eastAsia" w:ascii="宋体" w:hAnsi="宋体" w:eastAsia="宋体" w:cs="宋体"/>
          <w:sz w:val="10"/>
        </w:rPr>
        <w:t>，</w:t>
      </w:r>
      <w:r>
        <w:rPr>
          <w:rFonts w:hint="eastAsia" w:ascii="宋体" w:hAnsi="宋体" w:eastAsia="宋体" w:cs="宋体"/>
          <w:sz w:val="24"/>
        </w:rPr>
        <w:t>再按组合计提坏账准备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单项金额虽不重大但单项计提坏账准备的应收款项</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160"/>
        <w:gridCol w:w="6100"/>
      </w:tblGrid>
      <w:tr>
        <w:trPr>
          <w:trHeight w:val="480" w:hRule="exact"/>
        </w:trPr>
        <w:tc>
          <w:tcPr>
            <w:tcW w:w="3160" w:type="dxa"/>
            <w:tcMar>
              <w:top w:w="0" w:type="dxa"/>
              <w:left w:w="0" w:type="dxa"/>
              <w:bottom w:w="0" w:type="dxa"/>
              <w:right w:w="0" w:type="dxa"/>
            </w:tcMar>
          </w:tcPr>
          <w:p>
            <w:pPr>
              <w:spacing w:before="100"/>
              <w:ind w:left="100"/>
            </w:pPr>
            <w:r>
              <w:rPr>
                <w:rFonts w:hint="eastAsia" w:ascii="宋体" w:hAnsi="宋体" w:eastAsia="宋体" w:cs="宋体"/>
                <w:sz w:val="21"/>
              </w:rPr>
              <w:t>单项计提坏账准备的理由</w:t>
            </w:r>
          </w:p>
        </w:tc>
        <w:tc>
          <w:tcPr>
            <w:tcW w:w="6100" w:type="dxa"/>
            <w:tcMar>
              <w:top w:w="0" w:type="dxa"/>
              <w:left w:w="0" w:type="dxa"/>
              <w:bottom w:w="0" w:type="dxa"/>
              <w:right w:w="0" w:type="dxa"/>
            </w:tcMar>
          </w:tcPr>
          <w:p>
            <w:pPr>
              <w:spacing w:before="100"/>
              <w:ind w:left="100"/>
            </w:pPr>
            <w:r>
              <w:rPr>
                <w:rFonts w:hint="eastAsia" w:ascii="宋体" w:hAnsi="宋体" w:eastAsia="宋体" w:cs="宋体"/>
                <w:sz w:val="21"/>
              </w:rPr>
              <w:t>涉诉款项</w:t>
            </w:r>
            <w:r>
              <w:rPr>
                <w:rFonts w:hint="eastAsia" w:ascii="宋体" w:hAnsi="宋体" w:eastAsia="宋体" w:cs="宋体"/>
                <w:sz w:val="10"/>
              </w:rPr>
              <w:t>、</w:t>
            </w:r>
            <w:r>
              <w:rPr>
                <w:rFonts w:hint="eastAsia" w:ascii="宋体" w:hAnsi="宋体" w:eastAsia="宋体" w:cs="宋体"/>
                <w:sz w:val="21"/>
              </w:rPr>
              <w:t>客户信用状况恶化的应收款项</w:t>
            </w:r>
          </w:p>
        </w:tc>
      </w:tr>
      <w:tr>
        <w:trPr>
          <w:trHeight w:val="460" w:hRule="exact"/>
        </w:trPr>
        <w:tc>
          <w:tcPr>
            <w:tcW w:w="3160" w:type="dxa"/>
            <w:tcMar>
              <w:top w:w="0" w:type="dxa"/>
              <w:left w:w="0" w:type="dxa"/>
              <w:bottom w:w="0" w:type="dxa"/>
              <w:right w:w="0" w:type="dxa"/>
            </w:tcMar>
          </w:tcPr>
          <w:p>
            <w:pPr>
              <w:spacing w:before="120"/>
              <w:ind w:left="100"/>
            </w:pPr>
            <w:r>
              <w:rPr>
                <w:rFonts w:hint="eastAsia" w:ascii="宋体" w:hAnsi="宋体" w:eastAsia="宋体" w:cs="宋体"/>
                <w:sz w:val="21"/>
              </w:rPr>
              <w:t>坏账准备的计提方法</w:t>
            </w:r>
          </w:p>
        </w:tc>
        <w:tc>
          <w:tcPr>
            <w:tcW w:w="6100" w:type="dxa"/>
            <w:tcMar>
              <w:top w:w="0" w:type="dxa"/>
              <w:left w:w="0" w:type="dxa"/>
              <w:bottom w:w="0" w:type="dxa"/>
              <w:right w:w="0" w:type="dxa"/>
            </w:tcMar>
          </w:tcPr>
          <w:p>
            <w:pPr>
              <w:spacing w:before="120"/>
              <w:ind w:left="100"/>
            </w:pPr>
            <w:r>
              <w:rPr>
                <w:rFonts w:hint="eastAsia" w:ascii="宋体" w:hAnsi="宋体" w:eastAsia="宋体" w:cs="宋体"/>
                <w:sz w:val="21"/>
              </w:rPr>
              <w:t>根据其未来现金流量现值低于其账面价值的差额计提坏账准备</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按组合计提坏账准备应收款项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经单独测试后未减值的应收款项（包括单项金额重大和不重大的应收款项）以及未单独测试的单项金额不重大的应收款项</w:t>
      </w:r>
      <w:r>
        <w:rPr>
          <w:rFonts w:hint="eastAsia" w:ascii="宋体" w:hAnsi="宋体" w:eastAsia="宋体" w:cs="宋体"/>
          <w:sz w:val="10"/>
        </w:rPr>
        <w:t>，</w:t>
      </w:r>
      <w:r>
        <w:rPr>
          <w:rFonts w:hint="eastAsia" w:ascii="宋体" w:hAnsi="宋体" w:eastAsia="宋体" w:cs="宋体"/>
          <w:sz w:val="24"/>
        </w:rPr>
        <w:t>按以下信用风险特征组合计提坏账准备</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800"/>
        <w:gridCol w:w="3460"/>
        <w:gridCol w:w="4000"/>
      </w:tblGrid>
      <w:tr>
        <w:trPr>
          <w:trHeight w:val="480" w:hRule="exact"/>
        </w:trPr>
        <w:tc>
          <w:tcPr>
            <w:tcW w:w="1800" w:type="dxa"/>
            <w:tcMar>
              <w:top w:w="0" w:type="dxa"/>
              <w:left w:w="0" w:type="dxa"/>
              <w:bottom w:w="0" w:type="dxa"/>
              <w:right w:w="0" w:type="dxa"/>
            </w:tcMar>
          </w:tcPr>
          <w:p>
            <w:pPr>
              <w:spacing w:before="100"/>
              <w:ind w:left="460"/>
            </w:pPr>
            <w:r>
              <w:rPr>
                <w:rFonts w:hint="eastAsia" w:ascii="宋体" w:hAnsi="宋体" w:eastAsia="宋体" w:cs="宋体"/>
                <w:b/>
                <w:sz w:val="21"/>
              </w:rPr>
              <w:t>组合类型</w:t>
            </w:r>
          </w:p>
        </w:tc>
        <w:tc>
          <w:tcPr>
            <w:tcW w:w="3460" w:type="dxa"/>
            <w:tcMar>
              <w:top w:w="0" w:type="dxa"/>
              <w:left w:w="0" w:type="dxa"/>
              <w:bottom w:w="0" w:type="dxa"/>
              <w:right w:w="0" w:type="dxa"/>
            </w:tcMar>
          </w:tcPr>
          <w:p>
            <w:pPr>
              <w:spacing w:before="100"/>
              <w:ind w:left="980"/>
            </w:pPr>
            <w:r>
              <w:rPr>
                <w:rFonts w:hint="eastAsia" w:ascii="宋体" w:hAnsi="宋体" w:eastAsia="宋体" w:cs="宋体"/>
                <w:b/>
                <w:sz w:val="21"/>
              </w:rPr>
              <w:t>确定组合的依据</w:t>
            </w:r>
          </w:p>
        </w:tc>
        <w:tc>
          <w:tcPr>
            <w:tcW w:w="4000" w:type="dxa"/>
            <w:tcMar>
              <w:top w:w="0" w:type="dxa"/>
              <w:left w:w="0" w:type="dxa"/>
              <w:bottom w:w="0" w:type="dxa"/>
              <w:right w:w="0" w:type="dxa"/>
            </w:tcMar>
          </w:tcPr>
          <w:p>
            <w:pPr>
              <w:spacing w:before="100"/>
              <w:ind w:left="520"/>
            </w:pPr>
            <w:r>
              <w:rPr>
                <w:rFonts w:hint="eastAsia" w:ascii="宋体" w:hAnsi="宋体" w:eastAsia="宋体" w:cs="宋体"/>
                <w:b/>
                <w:sz w:val="21"/>
              </w:rPr>
              <w:t>按组合计提坏账准备的计提方法</w:t>
            </w:r>
          </w:p>
        </w:tc>
      </w:tr>
      <w:tr>
        <w:trPr>
          <w:trHeight w:val="460" w:hRule="exact"/>
        </w:trPr>
        <w:tc>
          <w:tcPr>
            <w:tcW w:w="1800" w:type="dxa"/>
            <w:tcMar>
              <w:top w:w="0" w:type="dxa"/>
              <w:left w:w="0" w:type="dxa"/>
              <w:bottom w:w="0" w:type="dxa"/>
              <w:right w:w="0" w:type="dxa"/>
            </w:tcMar>
          </w:tcPr>
          <w:p>
            <w:pPr>
              <w:spacing w:before="100"/>
              <w:ind w:left="460"/>
            </w:pPr>
            <w:r>
              <w:rPr>
                <w:rFonts w:hint="eastAsia" w:ascii="宋体" w:hAnsi="宋体" w:eastAsia="宋体" w:cs="宋体"/>
                <w:sz w:val="21"/>
              </w:rPr>
              <w:t>账龄组合</w:t>
            </w:r>
          </w:p>
        </w:tc>
        <w:tc>
          <w:tcPr>
            <w:tcW w:w="3460" w:type="dxa"/>
            <w:tcMar>
              <w:top w:w="0" w:type="dxa"/>
              <w:left w:w="0" w:type="dxa"/>
              <w:bottom w:w="0" w:type="dxa"/>
              <w:right w:w="0" w:type="dxa"/>
            </w:tcMar>
          </w:tcPr>
          <w:p>
            <w:pPr>
              <w:spacing w:before="100"/>
              <w:ind w:left="1300"/>
            </w:pPr>
            <w:r>
              <w:rPr>
                <w:rFonts w:hint="eastAsia" w:ascii="宋体" w:hAnsi="宋体" w:eastAsia="宋体" w:cs="宋体"/>
                <w:sz w:val="21"/>
              </w:rPr>
              <w:t>账龄状态</w:t>
            </w:r>
          </w:p>
        </w:tc>
        <w:tc>
          <w:tcPr>
            <w:tcW w:w="4000" w:type="dxa"/>
            <w:tcMar>
              <w:top w:w="0" w:type="dxa"/>
              <w:left w:w="0" w:type="dxa"/>
              <w:bottom w:w="0" w:type="dxa"/>
              <w:right w:w="0" w:type="dxa"/>
            </w:tcMar>
          </w:tcPr>
          <w:p>
            <w:pPr>
              <w:spacing w:before="100"/>
              <w:ind w:left="1460"/>
            </w:pPr>
            <w:r>
              <w:rPr>
                <w:rFonts w:hint="eastAsia" w:ascii="宋体" w:hAnsi="宋体" w:eastAsia="宋体" w:cs="宋体"/>
                <w:sz w:val="21"/>
              </w:rPr>
              <w:t>账龄分析法</w:t>
            </w:r>
          </w:p>
        </w:tc>
      </w:tr>
      <w:tr>
        <w:trPr>
          <w:trHeight w:val="480" w:hRule="exact"/>
        </w:trPr>
        <w:tc>
          <w:tcPr>
            <w:tcW w:w="1800" w:type="dxa"/>
            <w:tcMar>
              <w:top w:w="0" w:type="dxa"/>
              <w:left w:w="0" w:type="dxa"/>
              <w:bottom w:w="0" w:type="dxa"/>
              <w:right w:w="0" w:type="dxa"/>
            </w:tcMar>
          </w:tcPr>
          <w:p>
            <w:pPr>
              <w:spacing w:before="120"/>
              <w:ind w:left="360"/>
            </w:pPr>
            <w:r>
              <w:rPr>
                <w:rFonts w:hint="eastAsia" w:ascii="宋体" w:hAnsi="宋体" w:eastAsia="宋体" w:cs="宋体"/>
                <w:sz w:val="21"/>
              </w:rPr>
              <w:t>关联方组合</w:t>
            </w:r>
          </w:p>
        </w:tc>
        <w:tc>
          <w:tcPr>
            <w:tcW w:w="3460" w:type="dxa"/>
            <w:tcMar>
              <w:top w:w="0" w:type="dxa"/>
              <w:left w:w="0" w:type="dxa"/>
              <w:bottom w:w="0" w:type="dxa"/>
              <w:right w:w="0" w:type="dxa"/>
            </w:tcMar>
          </w:tcPr>
          <w:p>
            <w:pPr>
              <w:spacing w:before="120"/>
              <w:ind w:left="360"/>
            </w:pPr>
            <w:r>
              <w:rPr>
                <w:rFonts w:hint="eastAsia" w:ascii="宋体" w:hAnsi="宋体" w:eastAsia="宋体" w:cs="宋体"/>
                <w:sz w:val="21"/>
              </w:rPr>
              <w:t>合并范围内的应收关联方款项</w:t>
            </w:r>
          </w:p>
        </w:tc>
        <w:tc>
          <w:tcPr>
            <w:tcW w:w="4000" w:type="dxa"/>
            <w:tcMar>
              <w:top w:w="0" w:type="dxa"/>
              <w:left w:w="0" w:type="dxa"/>
              <w:bottom w:w="0" w:type="dxa"/>
              <w:right w:w="0" w:type="dxa"/>
            </w:tcMar>
          </w:tcPr>
          <w:p>
            <w:pPr>
              <w:spacing w:before="120"/>
              <w:ind w:left="1260"/>
            </w:pPr>
            <w:r>
              <w:rPr>
                <w:rFonts w:hint="eastAsia" w:ascii="宋体" w:hAnsi="宋体" w:eastAsia="宋体" w:cs="宋体"/>
                <w:sz w:val="21"/>
              </w:rPr>
              <w:t>不计提坏账准备</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1-1-227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对账龄组合</w:t>
      </w:r>
      <w:r>
        <w:rPr>
          <w:rFonts w:hint="eastAsia" w:ascii="宋体" w:hAnsi="宋体" w:eastAsia="宋体" w:cs="宋体"/>
          <w:sz w:val="10"/>
        </w:rPr>
        <w:t>，</w:t>
      </w:r>
      <w:r>
        <w:rPr>
          <w:rFonts w:hint="eastAsia" w:ascii="宋体" w:hAnsi="宋体" w:eastAsia="宋体" w:cs="宋体"/>
          <w:sz w:val="24"/>
        </w:rPr>
        <w:t>采用账龄分析法计提坏账准备的比例如下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360"/>
        <w:gridCol w:w="2980"/>
        <w:gridCol w:w="2920"/>
      </w:tblGrid>
      <w:tr>
        <w:trPr>
          <w:trHeight w:val="480" w:hRule="exact"/>
        </w:trPr>
        <w:tc>
          <w:tcPr>
            <w:tcW w:w="3360" w:type="dxa"/>
            <w:tcMar>
              <w:top w:w="0" w:type="dxa"/>
              <w:left w:w="0" w:type="dxa"/>
              <w:bottom w:w="0" w:type="dxa"/>
              <w:right w:w="0" w:type="dxa"/>
            </w:tcMar>
          </w:tcPr>
          <w:p>
            <w:pPr>
              <w:spacing w:before="100"/>
              <w:ind w:left="1460"/>
            </w:pPr>
            <w:r>
              <w:rPr>
                <w:rFonts w:hint="eastAsia" w:ascii="宋体" w:hAnsi="宋体" w:eastAsia="宋体" w:cs="宋体"/>
                <w:b/>
                <w:sz w:val="21"/>
              </w:rPr>
              <w:t>账龄</w:t>
            </w:r>
          </w:p>
        </w:tc>
        <w:tc>
          <w:tcPr>
            <w:tcW w:w="2980" w:type="dxa"/>
            <w:tcMar>
              <w:top w:w="0" w:type="dxa"/>
              <w:left w:w="0" w:type="dxa"/>
              <w:bottom w:w="0" w:type="dxa"/>
              <w:right w:w="0" w:type="dxa"/>
            </w:tcMar>
          </w:tcPr>
          <w:p>
            <w:pPr>
              <w:spacing w:before="120"/>
              <w:ind w:left="520"/>
            </w:pPr>
            <w:r>
              <w:rPr>
                <w:rFonts w:hint="eastAsia" w:ascii="宋体" w:hAnsi="宋体" w:eastAsia="宋体" w:cs="宋体"/>
                <w:b/>
                <w:sz w:val="21"/>
              </w:rPr>
              <w:t>应收账款计提比例</w:t>
            </w:r>
            <w:r>
              <w:rPr>
                <w:rFonts w:hint="eastAsia" w:ascii="Times New Roman Bold" w:hAnsi="Times New Roman Bold" w:eastAsia="Times New Roman Bold" w:cs="Times New Roman Bold"/>
                <w:b/>
                <w:sz w:val="20"/>
              </w:rPr>
              <w:t>%</w:t>
            </w:r>
          </w:p>
        </w:tc>
        <w:tc>
          <w:tcPr>
            <w:tcW w:w="2920" w:type="dxa"/>
            <w:tcMar>
              <w:top w:w="0" w:type="dxa"/>
              <w:left w:w="0" w:type="dxa"/>
              <w:bottom w:w="0" w:type="dxa"/>
              <w:right w:w="0" w:type="dxa"/>
            </w:tcMar>
          </w:tcPr>
          <w:p>
            <w:pPr>
              <w:spacing w:before="100"/>
              <w:ind w:left="380"/>
            </w:pPr>
            <w:r>
              <w:rPr>
                <w:rFonts w:hint="eastAsia" w:ascii="宋体" w:hAnsi="宋体" w:eastAsia="宋体" w:cs="宋体"/>
                <w:b/>
                <w:sz w:val="21"/>
              </w:rPr>
              <w:t>其他应收款计提比例</w:t>
            </w:r>
            <w:r>
              <w:rPr>
                <w:rFonts w:hint="eastAsia" w:ascii="Times New Roman Bold" w:hAnsi="Times New Roman Bold" w:eastAsia="Times New Roman Bold" w:cs="Times New Roman Bold"/>
                <w:b/>
                <w:sz w:val="20"/>
              </w:rPr>
              <w:t>%</w:t>
            </w:r>
          </w:p>
        </w:tc>
      </w:tr>
      <w:tr>
        <w:trPr>
          <w:trHeight w:val="460" w:hRule="exact"/>
        </w:trPr>
        <w:tc>
          <w:tcPr>
            <w:tcW w:w="336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1</w:t>
            </w:r>
            <w:r>
              <w:rPr>
                <w:rFonts w:hint="eastAsia" w:ascii="宋体" w:hAnsi="宋体" w:eastAsia="宋体" w:cs="宋体"/>
                <w:sz w:val="21"/>
              </w:rPr>
              <w:t xml:space="preserve"> 年以内</w:t>
            </w:r>
            <w:r>
              <w:rPr>
                <w:rFonts w:hint="eastAsia" w:ascii="宋体" w:hAnsi="宋体" w:eastAsia="宋体" w:cs="宋体"/>
                <w:sz w:val="20"/>
              </w:rPr>
              <w:t>（</w:t>
            </w:r>
            <w:r>
              <w:rPr>
                <w:rFonts w:hint="eastAsia" w:ascii="宋体" w:hAnsi="宋体" w:eastAsia="宋体" w:cs="宋体"/>
                <w:sz w:val="21"/>
              </w:rPr>
              <w:t>含</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年</w:t>
            </w:r>
            <w:r>
              <w:rPr>
                <w:rFonts w:hint="eastAsia" w:ascii="宋体" w:hAnsi="宋体" w:eastAsia="宋体" w:cs="宋体"/>
                <w:sz w:val="20"/>
              </w:rPr>
              <w:t>）</w:t>
            </w:r>
          </w:p>
        </w:tc>
        <w:tc>
          <w:tcPr>
            <w:tcW w:w="2980" w:type="dxa"/>
            <w:tcMar>
              <w:top w:w="0" w:type="dxa"/>
              <w:left w:w="0" w:type="dxa"/>
              <w:bottom w:w="0" w:type="dxa"/>
              <w:right w:w="0" w:type="dxa"/>
            </w:tcMar>
          </w:tcPr>
          <w:p>
            <w:pPr>
              <w:spacing w:before="160"/>
              <w:ind w:left="24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920" w:type="dxa"/>
            <w:tcMar>
              <w:top w:w="0" w:type="dxa"/>
              <w:left w:w="0" w:type="dxa"/>
              <w:bottom w:w="0" w:type="dxa"/>
              <w:right w:w="0" w:type="dxa"/>
            </w:tcMar>
          </w:tcPr>
          <w:p>
            <w:pPr>
              <w:spacing w:before="160"/>
              <w:ind w:left="24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336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1-2</w:t>
            </w:r>
            <w:r>
              <w:rPr>
                <w:rFonts w:hint="eastAsia" w:ascii="宋体" w:hAnsi="宋体" w:eastAsia="宋体" w:cs="宋体"/>
                <w:sz w:val="21"/>
              </w:rPr>
              <w:t xml:space="preserve"> 年</w:t>
            </w:r>
            <w:r>
              <w:rPr>
                <w:rFonts w:hint="eastAsia" w:ascii="宋体" w:hAnsi="宋体" w:eastAsia="宋体" w:cs="宋体"/>
                <w:sz w:val="20"/>
              </w:rPr>
              <w:t>（</w:t>
            </w:r>
            <w:r>
              <w:rPr>
                <w:rFonts w:hint="eastAsia" w:ascii="宋体" w:hAnsi="宋体" w:eastAsia="宋体" w:cs="宋体"/>
                <w:sz w:val="21"/>
              </w:rPr>
              <w:t>含</w:t>
            </w:r>
            <w:r>
              <w:rPr>
                <w:rFonts w:hint="eastAsia" w:ascii="Times New Roman" w:hAnsi="Times New Roman" w:eastAsia="Times New Roman" w:cs="Times New Roman"/>
                <w:sz w:val="21"/>
              </w:rPr>
              <w:t xml:space="preserve"> 2</w:t>
            </w:r>
            <w:r>
              <w:rPr>
                <w:rFonts w:hint="eastAsia" w:ascii="宋体" w:hAnsi="宋体" w:eastAsia="宋体" w:cs="宋体"/>
                <w:sz w:val="21"/>
              </w:rPr>
              <w:t xml:space="preserve"> 年</w:t>
            </w:r>
            <w:r>
              <w:rPr>
                <w:rFonts w:hint="eastAsia" w:ascii="宋体" w:hAnsi="宋体" w:eastAsia="宋体" w:cs="宋体"/>
                <w:sz w:val="20"/>
              </w:rPr>
              <w:t>）</w:t>
            </w:r>
          </w:p>
        </w:tc>
        <w:tc>
          <w:tcPr>
            <w:tcW w:w="2980" w:type="dxa"/>
            <w:tcMar>
              <w:top w:w="0" w:type="dxa"/>
              <w:left w:w="0" w:type="dxa"/>
              <w:bottom w:w="0" w:type="dxa"/>
              <w:right w:w="0" w:type="dxa"/>
            </w:tcMar>
          </w:tcPr>
          <w:p>
            <w:pPr>
              <w:spacing w:before="160"/>
              <w:ind w:left="238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920" w:type="dxa"/>
            <w:tcMar>
              <w:top w:w="0" w:type="dxa"/>
              <w:left w:w="0" w:type="dxa"/>
              <w:bottom w:w="0" w:type="dxa"/>
              <w:right w:w="0" w:type="dxa"/>
            </w:tcMar>
          </w:tcPr>
          <w:p>
            <w:pPr>
              <w:spacing w:before="160"/>
              <w:ind w:left="23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336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2-3</w:t>
            </w:r>
            <w:r>
              <w:rPr>
                <w:rFonts w:hint="eastAsia" w:ascii="宋体" w:hAnsi="宋体" w:eastAsia="宋体" w:cs="宋体"/>
                <w:sz w:val="21"/>
              </w:rPr>
              <w:t xml:space="preserve"> 年</w:t>
            </w:r>
            <w:r>
              <w:rPr>
                <w:rFonts w:hint="eastAsia" w:ascii="宋体" w:hAnsi="宋体" w:eastAsia="宋体" w:cs="宋体"/>
                <w:sz w:val="20"/>
              </w:rPr>
              <w:t>（</w:t>
            </w:r>
            <w:r>
              <w:rPr>
                <w:rFonts w:hint="eastAsia" w:ascii="宋体" w:hAnsi="宋体" w:eastAsia="宋体" w:cs="宋体"/>
                <w:sz w:val="21"/>
              </w:rPr>
              <w:t>含</w:t>
            </w:r>
            <w:r>
              <w:rPr>
                <w:rFonts w:hint="eastAsia" w:ascii="Times New Roman" w:hAnsi="Times New Roman" w:eastAsia="Times New Roman" w:cs="Times New Roman"/>
                <w:sz w:val="21"/>
              </w:rPr>
              <w:t xml:space="preserve"> 3</w:t>
            </w:r>
            <w:r>
              <w:rPr>
                <w:rFonts w:hint="eastAsia" w:ascii="宋体" w:hAnsi="宋体" w:eastAsia="宋体" w:cs="宋体"/>
                <w:sz w:val="21"/>
              </w:rPr>
              <w:t xml:space="preserve"> 年</w:t>
            </w:r>
            <w:r>
              <w:rPr>
                <w:rFonts w:hint="eastAsia" w:ascii="宋体" w:hAnsi="宋体" w:eastAsia="宋体" w:cs="宋体"/>
                <w:sz w:val="20"/>
              </w:rPr>
              <w:t>）</w:t>
            </w:r>
          </w:p>
        </w:tc>
        <w:tc>
          <w:tcPr>
            <w:tcW w:w="2980" w:type="dxa"/>
            <w:tcMar>
              <w:top w:w="0" w:type="dxa"/>
              <w:left w:w="0" w:type="dxa"/>
              <w:bottom w:w="0" w:type="dxa"/>
              <w:right w:w="0" w:type="dxa"/>
            </w:tcMar>
          </w:tcPr>
          <w:p>
            <w:pPr>
              <w:spacing w:before="160"/>
              <w:ind w:left="238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920" w:type="dxa"/>
            <w:tcMar>
              <w:top w:w="0" w:type="dxa"/>
              <w:left w:w="0" w:type="dxa"/>
              <w:bottom w:w="0" w:type="dxa"/>
              <w:right w:w="0" w:type="dxa"/>
            </w:tcMar>
          </w:tcPr>
          <w:p>
            <w:pPr>
              <w:spacing w:before="160"/>
              <w:ind w:left="23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336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3</w:t>
            </w:r>
            <w:r>
              <w:rPr>
                <w:rFonts w:hint="eastAsia" w:ascii="宋体" w:hAnsi="宋体" w:eastAsia="宋体" w:cs="宋体"/>
                <w:sz w:val="21"/>
              </w:rPr>
              <w:t xml:space="preserve"> 年以上</w:t>
            </w:r>
          </w:p>
        </w:tc>
        <w:tc>
          <w:tcPr>
            <w:tcW w:w="2980" w:type="dxa"/>
            <w:tcMar>
              <w:top w:w="0" w:type="dxa"/>
              <w:left w:w="0" w:type="dxa"/>
              <w:bottom w:w="0" w:type="dxa"/>
              <w:right w:w="0" w:type="dxa"/>
            </w:tcMar>
          </w:tcPr>
          <w:p>
            <w:pPr>
              <w:spacing w:before="140"/>
              <w:ind w:left="228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920" w:type="dxa"/>
            <w:tcMar>
              <w:top w:w="0" w:type="dxa"/>
              <w:left w:w="0" w:type="dxa"/>
              <w:bottom w:w="0" w:type="dxa"/>
              <w:right w:w="0" w:type="dxa"/>
            </w:tcMar>
          </w:tcPr>
          <w:p>
            <w:pPr>
              <w:spacing w:before="140"/>
              <w:ind w:left="222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bl>
    <w:p>
      <w:pPr>
        <w:spacing w:line="200" w:lineRule="exact"/>
        <w:rPr>
          <w:rFonts w:hint="eastAsia" w:ascii="宋体" w:hAnsi="宋体" w:eastAsia="宋体" w:cs="宋体"/>
          <w:sz w:val="20"/>
        </w:rPr>
      </w:pPr>
    </w:p>
    <w:p>
      <w:pPr>
        <w:autoSpaceDE w:val="false"/>
        <w:autoSpaceDN w:val="false"/>
        <w:spacing w:line="320" w:lineRule="exact"/>
        <w:ind w:left="1440"/>
        <w:jc w:val="both"/>
      </w:pPr>
      <w:r>
        <w:rPr>
          <w:rFonts w:hint="eastAsia" w:ascii="宋体" w:hAnsi="宋体" w:eastAsia="宋体" w:cs="宋体"/>
          <w:b/>
          <w:sz w:val="20"/>
        </w:rPr>
        <w:t>（</w:t>
      </w:r>
      <w:r>
        <w:rPr>
          <w:rFonts w:hint="eastAsia" w:ascii="宋体" w:hAnsi="宋体" w:eastAsia="宋体" w:cs="宋体"/>
          <w:b/>
          <w:sz w:val="24"/>
        </w:rPr>
        <w:t>七）存货</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存货的分类</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本公司存货分为库存商品</w:t>
      </w:r>
      <w:r>
        <w:rPr>
          <w:rFonts w:hint="eastAsia" w:ascii="宋体" w:hAnsi="宋体" w:eastAsia="宋体" w:cs="宋体"/>
          <w:sz w:val="10"/>
        </w:rPr>
        <w:t>、</w:t>
      </w:r>
      <w:r>
        <w:rPr>
          <w:rFonts w:hint="eastAsia" w:ascii="宋体" w:hAnsi="宋体" w:eastAsia="宋体" w:cs="宋体"/>
          <w:sz w:val="24"/>
        </w:rPr>
        <w:t>发出商品</w:t>
      </w:r>
      <w:r>
        <w:rPr>
          <w:rFonts w:hint="eastAsia" w:ascii="宋体" w:hAnsi="宋体" w:eastAsia="宋体" w:cs="宋体"/>
          <w:sz w:val="10"/>
        </w:rPr>
        <w:t>、</w:t>
      </w:r>
      <w:r>
        <w:rPr>
          <w:rFonts w:hint="eastAsia" w:ascii="宋体" w:hAnsi="宋体" w:eastAsia="宋体" w:cs="宋体"/>
          <w:sz w:val="24"/>
        </w:rPr>
        <w:t>劳务成本等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发出存货的计价方法</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本公司存货取得时按实际成本计价</w:t>
      </w:r>
      <w:r>
        <w:rPr>
          <w:rFonts w:hint="eastAsia" w:ascii="宋体" w:hAnsi="宋体" w:eastAsia="宋体" w:cs="宋体"/>
          <w:sz w:val="10"/>
        </w:rPr>
        <w:t>。</w:t>
      </w:r>
      <w:r>
        <w:rPr>
          <w:rFonts w:hint="eastAsia" w:ascii="宋体" w:hAnsi="宋体" w:eastAsia="宋体" w:cs="宋体"/>
          <w:sz w:val="24"/>
        </w:rPr>
        <w:t>库存商品</w:t>
      </w:r>
      <w:r>
        <w:rPr>
          <w:rFonts w:hint="eastAsia" w:ascii="宋体" w:hAnsi="宋体" w:eastAsia="宋体" w:cs="宋体"/>
          <w:sz w:val="10"/>
        </w:rPr>
        <w:t>、</w:t>
      </w:r>
      <w:r>
        <w:rPr>
          <w:rFonts w:hint="eastAsia" w:ascii="宋体" w:hAnsi="宋体" w:eastAsia="宋体" w:cs="宋体"/>
          <w:sz w:val="24"/>
        </w:rPr>
        <w:t>发出商品</w:t>
      </w:r>
      <w:r>
        <w:rPr>
          <w:rFonts w:hint="eastAsia" w:ascii="宋体" w:hAnsi="宋体" w:eastAsia="宋体" w:cs="宋体"/>
          <w:sz w:val="10"/>
        </w:rPr>
        <w:t>、</w:t>
      </w:r>
      <w:r>
        <w:rPr>
          <w:rFonts w:hint="eastAsia" w:ascii="宋体" w:hAnsi="宋体" w:eastAsia="宋体" w:cs="宋体"/>
          <w:sz w:val="24"/>
        </w:rPr>
        <w:t>劳务成本等发出时采用个别计价法计价</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存货可变现净值的确定依据及存货跌价准备的计提方法</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存货可变现净值是按存货的估计售价减去至完工时估计将要发生的成本</w:t>
      </w:r>
      <w:r>
        <w:rPr>
          <w:rFonts w:hint="eastAsia" w:ascii="宋体" w:hAnsi="宋体" w:eastAsia="宋体" w:cs="宋体"/>
          <w:sz w:val="10"/>
        </w:rPr>
        <w:t>、</w:t>
      </w:r>
      <w:r>
        <w:rPr>
          <w:rFonts w:hint="eastAsia" w:ascii="宋体" w:hAnsi="宋体" w:eastAsia="宋体" w:cs="宋体"/>
          <w:sz w:val="24"/>
        </w:rPr>
        <w:t>估计的销售费用以及相关税费后的金额</w:t>
      </w:r>
      <w:r>
        <w:rPr>
          <w:rFonts w:hint="eastAsia" w:ascii="宋体" w:hAnsi="宋体" w:eastAsia="宋体" w:cs="宋体"/>
          <w:sz w:val="10"/>
        </w:rPr>
        <w:t>。</w:t>
      </w:r>
      <w:r>
        <w:rPr>
          <w:rFonts w:hint="eastAsia" w:ascii="宋体" w:hAnsi="宋体" w:eastAsia="宋体" w:cs="宋体"/>
          <w:sz w:val="24"/>
        </w:rPr>
        <w:t>在确定存货的可变现净值时</w:t>
      </w:r>
      <w:r>
        <w:rPr>
          <w:rFonts w:hint="eastAsia" w:ascii="宋体" w:hAnsi="宋体" w:eastAsia="宋体" w:cs="宋体"/>
          <w:sz w:val="10"/>
        </w:rPr>
        <w:t>，</w:t>
      </w:r>
      <w:r>
        <w:rPr>
          <w:rFonts w:hint="eastAsia" w:ascii="宋体" w:hAnsi="宋体" w:eastAsia="宋体" w:cs="宋体"/>
          <w:sz w:val="24"/>
        </w:rPr>
        <w:t>以取得的确凿证据为基础</w:t>
      </w:r>
      <w:r>
        <w:rPr>
          <w:rFonts w:hint="eastAsia" w:ascii="宋体" w:hAnsi="宋体" w:eastAsia="宋体" w:cs="宋体"/>
          <w:sz w:val="10"/>
        </w:rPr>
        <w:t>，</w:t>
      </w:r>
      <w:r>
        <w:rPr>
          <w:rFonts w:hint="eastAsia" w:ascii="宋体" w:hAnsi="宋体" w:eastAsia="宋体" w:cs="宋体"/>
          <w:sz w:val="24"/>
        </w:rPr>
        <w:t>同时考虑持有存货的目的以及资产负债表日后事项的影响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资产负债表日</w:t>
      </w:r>
      <w:r>
        <w:rPr>
          <w:rFonts w:hint="eastAsia" w:ascii="宋体" w:hAnsi="宋体" w:eastAsia="宋体" w:cs="宋体"/>
          <w:sz w:val="10"/>
        </w:rPr>
        <w:t>，</w:t>
      </w:r>
      <w:r>
        <w:rPr>
          <w:rFonts w:hint="eastAsia" w:ascii="宋体" w:hAnsi="宋体" w:eastAsia="宋体" w:cs="宋体"/>
          <w:sz w:val="24"/>
        </w:rPr>
        <w:t>存货成本高于其可变现净值的</w:t>
      </w:r>
      <w:r>
        <w:rPr>
          <w:rFonts w:hint="eastAsia" w:ascii="宋体" w:hAnsi="宋体" w:eastAsia="宋体" w:cs="宋体"/>
          <w:sz w:val="10"/>
        </w:rPr>
        <w:t>，</w:t>
      </w:r>
      <w:r>
        <w:rPr>
          <w:rFonts w:hint="eastAsia" w:ascii="宋体" w:hAnsi="宋体" w:eastAsia="宋体" w:cs="宋体"/>
          <w:sz w:val="24"/>
        </w:rPr>
        <w:t>计提存货跌价准备</w:t>
      </w:r>
      <w:r>
        <w:rPr>
          <w:rFonts w:hint="eastAsia" w:ascii="宋体" w:hAnsi="宋体" w:eastAsia="宋体" w:cs="宋体"/>
          <w:sz w:val="10"/>
        </w:rPr>
        <w:t>。</w:t>
      </w:r>
      <w:r>
        <w:rPr>
          <w:rFonts w:hint="eastAsia" w:ascii="宋体" w:hAnsi="宋体" w:eastAsia="宋体" w:cs="宋体"/>
          <w:sz w:val="24"/>
        </w:rPr>
        <w:t>本公司通常按照单个存货项目计提存货跌价准备</w:t>
      </w:r>
      <w:r>
        <w:rPr>
          <w:rFonts w:hint="eastAsia" w:ascii="宋体" w:hAnsi="宋体" w:eastAsia="宋体" w:cs="宋体"/>
          <w:sz w:val="10"/>
        </w:rPr>
        <w:t>，</w:t>
      </w:r>
      <w:r>
        <w:rPr>
          <w:rFonts w:hint="eastAsia" w:ascii="宋体" w:hAnsi="宋体" w:eastAsia="宋体" w:cs="宋体"/>
          <w:sz w:val="24"/>
        </w:rPr>
        <w:t>资产负债表日</w:t>
      </w:r>
      <w:r>
        <w:rPr>
          <w:rFonts w:hint="eastAsia" w:ascii="宋体" w:hAnsi="宋体" w:eastAsia="宋体" w:cs="宋体"/>
          <w:sz w:val="10"/>
        </w:rPr>
        <w:t>，</w:t>
      </w:r>
      <w:r>
        <w:rPr>
          <w:rFonts w:hint="eastAsia" w:ascii="宋体" w:hAnsi="宋体" w:eastAsia="宋体" w:cs="宋体"/>
          <w:sz w:val="24"/>
        </w:rPr>
        <w:t>以前减记存货价值的影响因素已经消失的</w:t>
      </w:r>
      <w:r>
        <w:rPr>
          <w:rFonts w:hint="eastAsia" w:ascii="宋体" w:hAnsi="宋体" w:eastAsia="宋体" w:cs="宋体"/>
          <w:sz w:val="10"/>
        </w:rPr>
        <w:t>，</w:t>
      </w:r>
      <w:r>
        <w:rPr>
          <w:rFonts w:hint="eastAsia" w:ascii="宋体" w:hAnsi="宋体" w:eastAsia="宋体" w:cs="宋体"/>
          <w:sz w:val="24"/>
        </w:rPr>
        <w:t>存货跌价准备在原已计提的金额内转回</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存货的盘存制度</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本公司存货盘存制度采用永续盘存制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5</w:t>
      </w:r>
      <w:r>
        <w:rPr>
          <w:rFonts w:hint="eastAsia" w:ascii="宋体" w:hAnsi="宋体" w:eastAsia="宋体" w:cs="宋体"/>
          <w:sz w:val="10"/>
        </w:rPr>
        <w:t>、</w:t>
      </w:r>
      <w:r>
        <w:rPr>
          <w:rFonts w:hint="eastAsia" w:ascii="宋体" w:hAnsi="宋体" w:eastAsia="宋体" w:cs="宋体"/>
          <w:sz w:val="24"/>
        </w:rPr>
        <w:t>低值易耗品的摊销方法</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本公司低值易耗品领用时采用一次转销法摊销</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（八）长期股权投资</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本公司的长期股权投资均为对子公司的投资</w:t>
      </w:r>
      <w:r>
        <w:rPr>
          <w:rFonts w:hint="eastAsia" w:ascii="宋体" w:hAnsi="宋体" w:eastAsia="宋体" w:cs="宋体"/>
          <w:sz w:val="10"/>
        </w:rPr>
        <w:t>，</w:t>
      </w:r>
      <w:r>
        <w:rPr>
          <w:rFonts w:hint="eastAsia" w:ascii="宋体" w:hAnsi="宋体" w:eastAsia="宋体" w:cs="宋体"/>
          <w:sz w:val="24"/>
        </w:rPr>
        <w:t>本公司能够对被投资单位实施控制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1-1-228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投资成本确定</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对于企业合并形成的长期股权投资</w:t>
      </w:r>
      <w:r>
        <w:rPr>
          <w:rFonts w:hint="eastAsia" w:ascii="宋体" w:hAnsi="宋体" w:eastAsia="宋体" w:cs="宋体"/>
          <w:sz w:val="12"/>
        </w:rPr>
        <w:t>：</w:t>
      </w:r>
      <w:r>
        <w:rPr>
          <w:rFonts w:hint="eastAsia" w:ascii="宋体" w:hAnsi="宋体" w:eastAsia="宋体" w:cs="宋体"/>
          <w:sz w:val="24"/>
        </w:rPr>
        <w:t>同一控制下企业合并取得的长期股权投资</w:t>
      </w:r>
      <w:r>
        <w:rPr>
          <w:rFonts w:hint="eastAsia" w:ascii="宋体" w:hAnsi="宋体" w:eastAsia="宋体" w:cs="宋体"/>
          <w:sz w:val="10"/>
        </w:rPr>
        <w:t>，</w:t>
      </w:r>
      <w:r>
        <w:rPr>
          <w:rFonts w:hint="eastAsia" w:ascii="宋体" w:hAnsi="宋体" w:eastAsia="宋体" w:cs="宋体"/>
          <w:sz w:val="24"/>
        </w:rPr>
        <w:t>在合并日按照取得被合并方所有者权益在最终控制方合并财务报表中的账面价值份额作为投资成本</w:t>
      </w:r>
      <w:r>
        <w:rPr>
          <w:rFonts w:hint="eastAsia" w:ascii="宋体" w:hAnsi="宋体" w:eastAsia="宋体" w:cs="宋体"/>
          <w:sz w:val="14"/>
        </w:rPr>
        <w:t>；</w:t>
      </w:r>
      <w:r>
        <w:rPr>
          <w:rFonts w:hint="eastAsia" w:ascii="宋体" w:hAnsi="宋体" w:eastAsia="宋体" w:cs="宋体"/>
          <w:sz w:val="24"/>
        </w:rPr>
        <w:t>非同一控制下企业合并取得的长期股权投资</w:t>
      </w:r>
      <w:r>
        <w:rPr>
          <w:rFonts w:hint="eastAsia" w:ascii="宋体" w:hAnsi="宋体" w:eastAsia="宋体" w:cs="宋体"/>
          <w:sz w:val="10"/>
        </w:rPr>
        <w:t>，</w:t>
      </w:r>
      <w:r>
        <w:rPr>
          <w:rFonts w:hint="eastAsia" w:ascii="宋体" w:hAnsi="宋体" w:eastAsia="宋体" w:cs="宋体"/>
          <w:sz w:val="24"/>
        </w:rPr>
        <w:t>按照合并成本作为长期股权投资的投资成本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对于以企业合并以外的其他方式取得的长期股权投资</w:t>
      </w:r>
      <w:r>
        <w:rPr>
          <w:rFonts w:hint="eastAsia" w:ascii="宋体" w:hAnsi="宋体" w:eastAsia="宋体" w:cs="宋体"/>
          <w:sz w:val="10"/>
        </w:rPr>
        <w:t>：</w:t>
      </w:r>
      <w:r>
        <w:rPr>
          <w:rFonts w:hint="eastAsia" w:ascii="宋体" w:hAnsi="宋体" w:eastAsia="宋体" w:cs="宋体"/>
          <w:sz w:val="24"/>
        </w:rPr>
        <w:t>支付现金取得的长期股权投资</w:t>
      </w:r>
      <w:r>
        <w:rPr>
          <w:rFonts w:hint="eastAsia" w:ascii="宋体" w:hAnsi="宋体" w:eastAsia="宋体" w:cs="宋体"/>
          <w:sz w:val="10"/>
        </w:rPr>
        <w:t>，</w:t>
      </w:r>
      <w:r>
        <w:rPr>
          <w:rFonts w:hint="eastAsia" w:ascii="宋体" w:hAnsi="宋体" w:eastAsia="宋体" w:cs="宋体"/>
          <w:sz w:val="24"/>
        </w:rPr>
        <w:t>按照实际支付的购买价款作为初始投资成本</w:t>
      </w:r>
      <w:r>
        <w:rPr>
          <w:rFonts w:hint="eastAsia" w:ascii="宋体" w:hAnsi="宋体" w:eastAsia="宋体" w:cs="宋体"/>
          <w:sz w:val="14"/>
        </w:rPr>
        <w:t>；</w:t>
      </w:r>
      <w:r>
        <w:rPr>
          <w:rFonts w:hint="eastAsia" w:ascii="宋体" w:hAnsi="宋体" w:eastAsia="宋体" w:cs="宋体"/>
          <w:sz w:val="24"/>
        </w:rPr>
        <w:t>发行权益性证券取得的长期股权投资</w:t>
      </w:r>
      <w:r>
        <w:rPr>
          <w:rFonts w:hint="eastAsia" w:ascii="宋体" w:hAnsi="宋体" w:eastAsia="宋体" w:cs="宋体"/>
          <w:sz w:val="10"/>
        </w:rPr>
        <w:t>，</w:t>
      </w:r>
      <w:r>
        <w:rPr>
          <w:rFonts w:hint="eastAsia" w:ascii="宋体" w:hAnsi="宋体" w:eastAsia="宋体" w:cs="宋体"/>
          <w:sz w:val="24"/>
        </w:rPr>
        <w:t>以发行权益性证券的公允价值作为初始投资成本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后续计量及损益确认方法</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本公司对具有实际控制权的子公司的长期股权投资</w:t>
      </w:r>
      <w:r>
        <w:rPr>
          <w:rFonts w:hint="eastAsia" w:ascii="宋体" w:hAnsi="宋体" w:eastAsia="宋体" w:cs="宋体"/>
          <w:sz w:val="10"/>
        </w:rPr>
        <w:t>，</w:t>
      </w:r>
      <w:r>
        <w:rPr>
          <w:rFonts w:hint="eastAsia" w:ascii="宋体" w:hAnsi="宋体" w:eastAsia="宋体" w:cs="宋体"/>
          <w:sz w:val="24"/>
        </w:rPr>
        <w:t>后续计量采用成本法核算</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采用成本法核算的长期股权投资</w:t>
      </w:r>
      <w:r>
        <w:rPr>
          <w:rFonts w:hint="eastAsia" w:ascii="宋体" w:hAnsi="宋体" w:eastAsia="宋体" w:cs="宋体"/>
          <w:sz w:val="10"/>
        </w:rPr>
        <w:t>，</w:t>
      </w:r>
      <w:r>
        <w:rPr>
          <w:rFonts w:hint="eastAsia" w:ascii="宋体" w:hAnsi="宋体" w:eastAsia="宋体" w:cs="宋体"/>
          <w:sz w:val="24"/>
        </w:rPr>
        <w:t>除取得投资时实际支付的价款或对价中包含的已宣告但尚未发放的现金股利或利润外</w:t>
      </w:r>
      <w:r>
        <w:rPr>
          <w:rFonts w:hint="eastAsia" w:ascii="宋体" w:hAnsi="宋体" w:eastAsia="宋体" w:cs="宋体"/>
          <w:sz w:val="10"/>
        </w:rPr>
        <w:t>，</w:t>
      </w:r>
      <w:r>
        <w:rPr>
          <w:rFonts w:hint="eastAsia" w:ascii="宋体" w:hAnsi="宋体" w:eastAsia="宋体" w:cs="宋体"/>
          <w:sz w:val="24"/>
        </w:rPr>
        <w:t>被投资单位宣告分派的现金股利或利润</w:t>
      </w:r>
      <w:r>
        <w:rPr>
          <w:rFonts w:hint="eastAsia" w:ascii="宋体" w:hAnsi="宋体" w:eastAsia="宋体" w:cs="宋体"/>
          <w:sz w:val="10"/>
        </w:rPr>
        <w:t>，</w:t>
      </w:r>
      <w:r>
        <w:rPr>
          <w:rFonts w:hint="eastAsia" w:ascii="宋体" w:hAnsi="宋体" w:eastAsia="宋体" w:cs="宋体"/>
          <w:sz w:val="24"/>
        </w:rPr>
        <w:t>确认为投资收益计入当期损益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减值测试方法及减值准备计提方法</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对子公司的投资</w:t>
      </w:r>
      <w:r>
        <w:rPr>
          <w:rFonts w:hint="eastAsia" w:ascii="宋体" w:hAnsi="宋体" w:eastAsia="宋体" w:cs="宋体"/>
          <w:sz w:val="10"/>
        </w:rPr>
        <w:t>，</w:t>
      </w:r>
      <w:r>
        <w:rPr>
          <w:rFonts w:hint="eastAsia" w:ascii="宋体" w:hAnsi="宋体" w:eastAsia="宋体" w:cs="宋体"/>
          <w:sz w:val="24"/>
        </w:rPr>
        <w:t>本公司计提资产减值的方法见</w:t>
      </w:r>
      <w:r>
        <w:rPr>
          <w:rFonts w:hint="eastAsia" w:ascii="宋体" w:hAnsi="宋体" w:eastAsia="宋体" w:cs="宋体"/>
          <w:sz w:val="10"/>
        </w:rPr>
        <w:t>“</w:t>
      </w:r>
      <w:r>
        <w:rPr>
          <w:rFonts w:hint="eastAsia" w:ascii="宋体" w:hAnsi="宋体" w:eastAsia="宋体" w:cs="宋体"/>
          <w:sz w:val="24"/>
        </w:rPr>
        <w:t>四</w:t>
      </w:r>
      <w:r>
        <w:rPr>
          <w:rFonts w:hint="eastAsia" w:ascii="宋体" w:hAnsi="宋体" w:eastAsia="宋体" w:cs="宋体"/>
          <w:sz w:val="10"/>
        </w:rPr>
        <w:t>、</w:t>
      </w:r>
      <w:r>
        <w:rPr>
          <w:rFonts w:hint="eastAsia" w:ascii="宋体" w:hAnsi="宋体" w:eastAsia="宋体" w:cs="宋体"/>
          <w:sz w:val="24"/>
        </w:rPr>
        <w:t>报告期内采用的主要会计政策和会计估计（十二）资产减值</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（九）固定资产</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固定资产确认条件</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本公司固定资产是指为生产商品</w:t>
      </w:r>
      <w:r>
        <w:rPr>
          <w:rFonts w:hint="eastAsia" w:ascii="宋体" w:hAnsi="宋体" w:eastAsia="宋体" w:cs="宋体"/>
          <w:sz w:val="10"/>
        </w:rPr>
        <w:t>、</w:t>
      </w:r>
      <w:r>
        <w:rPr>
          <w:rFonts w:hint="eastAsia" w:ascii="宋体" w:hAnsi="宋体" w:eastAsia="宋体" w:cs="宋体"/>
          <w:sz w:val="24"/>
        </w:rPr>
        <w:t>提供劳务</w:t>
      </w:r>
      <w:r>
        <w:rPr>
          <w:rFonts w:hint="eastAsia" w:ascii="宋体" w:hAnsi="宋体" w:eastAsia="宋体" w:cs="宋体"/>
          <w:sz w:val="10"/>
        </w:rPr>
        <w:t>、</w:t>
      </w:r>
      <w:r>
        <w:rPr>
          <w:rFonts w:hint="eastAsia" w:ascii="宋体" w:hAnsi="宋体" w:eastAsia="宋体" w:cs="宋体"/>
          <w:sz w:val="24"/>
        </w:rPr>
        <w:t>出租或经营管理而持有的</w:t>
      </w:r>
      <w:r>
        <w:rPr>
          <w:rFonts w:hint="eastAsia" w:ascii="宋体" w:hAnsi="宋体" w:eastAsia="宋体" w:cs="宋体"/>
          <w:sz w:val="10"/>
        </w:rPr>
        <w:t>，</w:t>
      </w:r>
      <w:r>
        <w:rPr>
          <w:rFonts w:hint="eastAsia" w:ascii="宋体" w:hAnsi="宋体" w:eastAsia="宋体" w:cs="宋体"/>
          <w:sz w:val="24"/>
        </w:rPr>
        <w:t>使用寿命超过</w:t>
      </w:r>
      <w:r>
        <w:rPr>
          <w:rFonts w:hint="eastAsia" w:ascii="宋体" w:hAnsi="宋体" w:eastAsia="宋体" w:cs="宋体"/>
          <w:sz w:val="10"/>
        </w:rPr>
        <w:t>一</w:t>
      </w:r>
      <w:r>
        <w:rPr>
          <w:rFonts w:hint="eastAsia" w:ascii="宋体" w:hAnsi="宋体" w:eastAsia="宋体" w:cs="宋体"/>
          <w:sz w:val="24"/>
        </w:rPr>
        <w:t>个会计年度的有形资产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与该固定资产有关的经济利益很可能流入企业</w:t>
      </w:r>
      <w:r>
        <w:rPr>
          <w:rFonts w:hint="eastAsia" w:ascii="宋体" w:hAnsi="宋体" w:eastAsia="宋体" w:cs="宋体"/>
          <w:sz w:val="10"/>
        </w:rPr>
        <w:t>，</w:t>
      </w:r>
      <w:r>
        <w:rPr>
          <w:rFonts w:hint="eastAsia" w:ascii="宋体" w:hAnsi="宋体" w:eastAsia="宋体" w:cs="宋体"/>
          <w:sz w:val="24"/>
        </w:rPr>
        <w:t>并且该固定资产的成本能够可靠地计量时</w:t>
      </w:r>
      <w:r>
        <w:rPr>
          <w:rFonts w:hint="eastAsia" w:ascii="宋体" w:hAnsi="宋体" w:eastAsia="宋体" w:cs="宋体"/>
          <w:sz w:val="10"/>
        </w:rPr>
        <w:t>，</w:t>
      </w:r>
      <w:r>
        <w:rPr>
          <w:rFonts w:hint="eastAsia" w:ascii="宋体" w:hAnsi="宋体" w:eastAsia="宋体" w:cs="宋体"/>
          <w:sz w:val="24"/>
        </w:rPr>
        <w:t>固定资产才能予以确认</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本公司固定资产按照取得时的实际成本进行初始计量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各类固定资产的折旧方法</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本公司采用年限平均法计提折旧</w:t>
      </w:r>
      <w:r>
        <w:rPr>
          <w:rFonts w:hint="eastAsia" w:ascii="宋体" w:hAnsi="宋体" w:eastAsia="宋体" w:cs="宋体"/>
          <w:sz w:val="10"/>
        </w:rPr>
        <w:t>。</w:t>
      </w:r>
      <w:r>
        <w:rPr>
          <w:rFonts w:hint="eastAsia" w:ascii="宋体" w:hAnsi="宋体" w:eastAsia="宋体" w:cs="宋体"/>
          <w:sz w:val="24"/>
        </w:rPr>
        <w:t>固定资产自达到预定可使用状态时开始计提折</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1-1-229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327824" behindDoc="false" locked="false" layoutInCell="true" allowOverlap="true">
                <wp:simplePos x="0" y="0"/>
                <wp:positionH relativeFrom="page">
                  <wp:posOffset>850900</wp:posOffset>
                </wp:positionH>
                <wp:positionV relativeFrom="page">
                  <wp:posOffset>5232400</wp:posOffset>
                </wp:positionV>
                <wp:extent cx="584200" cy="228600"/>
                <wp:effectExtent l="0" t="0" r="22225" b="31115"/>
                <wp:wrapNone/>
                <wp:docPr id="12889" name="shape12889"/>
                <wp:cNvGraphicFramePr/>
                <a:graphic>
                  <a:graphicData uri="http://schemas.microsoft.com/office/word/2010/wordprocessingShape">
                    <wps:wsp>
                      <wps:cNvSpPr/>
                      <wps:spPr>
                        <a:xfrm>
                          <a:off x="0" y="0"/>
                          <a:ext cx="584200" cy="228600"/>
                        </a:xfrm>
                        <a:prstGeom prst="rect">
                          <a:avLst/>
                        </a:prstGeom>
                      </wps:spPr>
                      <wps:txbx>
                        <w:txbxContent>
                          <w:p>
                            <w:pPr>
                              <w:spacing w:line="-260" w:lineRule="exact"/>
                              <w:ind w:left="0"/>
                              <w:jc w:val="both"/>
                            </w:pPr>
                            <w:r>
                              <w:rPr>
                                <w:rFonts w:hint="eastAsia" w:ascii="宋体" w:hAnsi="宋体" w:eastAsia="宋体" w:cs="宋体"/>
                                <w:sz w:val="24"/>
                              </w:rPr>
                              <w:t>核</w:t>
                            </w:r>
                            <w:r>
                              <w:rPr>
                                <w:rFonts w:hint="eastAsia" w:ascii="宋体" w:hAnsi="宋体" w:eastAsia="宋体" w:cs="宋体"/>
                                <w:sz w:val="10"/>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6pt;height:18pt;margin-left:67pt;margin-top:412pt;mso-wrap-style:none;z-index:10327824;mso-wrap-distance-left:9pt;mso-wrap-distance-top:0pt;mso-wrap-distance-right:9pt;mso-wrap-distance-bottom:0pt" id="shape12889" o:spid="1618382360347" stroked="f">
                <v:textbox>
                  <w:txbxContent>
                    <w:p>
                      <w:pPr>
                        <w:spacing w:line="-260" w:lineRule="exact"/>
                        <w:ind w:left="0"/>
                        <w:jc w:val="both"/>
                      </w:pPr>
                      <w:r>
                        <w:rPr>
                          <w:rFonts w:hint="eastAsia" w:ascii="宋体" w:hAnsi="宋体" w:eastAsia="宋体" w:cs="宋体"/>
                          <w:sz w:val="24"/>
                        </w:rPr>
                        <w:t>核</w:t>
                      </w:r>
                      <w:r>
                        <w:rPr>
                          <w:rFonts w:hint="eastAsia" w:ascii="宋体" w:hAnsi="宋体" w:eastAsia="宋体" w:cs="宋体"/>
                          <w:sz w:val="10"/>
                        </w:rPr>
                        <w:t>。</w:t>
                      </w:r>
                    </w:p>
                  </w:txbxContent>
                </v:textbox>
              </v:rect>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旧</w:t>
      </w:r>
      <w:r>
        <w:rPr>
          <w:rFonts w:hint="eastAsia" w:ascii="宋体" w:hAnsi="宋体" w:eastAsia="宋体" w:cs="宋体"/>
          <w:sz w:val="10"/>
        </w:rPr>
        <w:t>，</w:t>
      </w:r>
      <w:r>
        <w:rPr>
          <w:rFonts w:hint="eastAsia" w:ascii="宋体" w:hAnsi="宋体" w:eastAsia="宋体" w:cs="宋体"/>
          <w:sz w:val="24"/>
        </w:rPr>
        <w:t>终止确认时或划分为持有待售非流动资产时停止计提折旧</w:t>
      </w:r>
      <w:r>
        <w:rPr>
          <w:rFonts w:hint="eastAsia" w:ascii="宋体" w:hAnsi="宋体" w:eastAsia="宋体" w:cs="宋体"/>
          <w:sz w:val="10"/>
        </w:rPr>
        <w:t>。</w:t>
      </w:r>
      <w:r>
        <w:rPr>
          <w:rFonts w:hint="eastAsia" w:ascii="宋体" w:hAnsi="宋体" w:eastAsia="宋体" w:cs="宋体"/>
          <w:sz w:val="24"/>
        </w:rPr>
        <w:t>在不考虑减值准备的情况下</w:t>
      </w:r>
      <w:r>
        <w:rPr>
          <w:rFonts w:hint="eastAsia" w:ascii="宋体" w:hAnsi="宋体" w:eastAsia="宋体" w:cs="宋体"/>
          <w:sz w:val="10"/>
        </w:rPr>
        <w:t>，</w:t>
      </w:r>
      <w:r>
        <w:rPr>
          <w:rFonts w:hint="eastAsia" w:ascii="宋体" w:hAnsi="宋体" w:eastAsia="宋体" w:cs="宋体"/>
          <w:sz w:val="24"/>
        </w:rPr>
        <w:t>按固定资产类别</w:t>
      </w:r>
      <w:r>
        <w:rPr>
          <w:rFonts w:hint="eastAsia" w:ascii="宋体" w:hAnsi="宋体" w:eastAsia="宋体" w:cs="宋体"/>
          <w:sz w:val="10"/>
        </w:rPr>
        <w:t>、</w:t>
      </w:r>
      <w:r>
        <w:rPr>
          <w:rFonts w:hint="eastAsia" w:ascii="宋体" w:hAnsi="宋体" w:eastAsia="宋体" w:cs="宋体"/>
          <w:sz w:val="24"/>
        </w:rPr>
        <w:t>预计使用寿命和预计残值</w:t>
      </w:r>
      <w:r>
        <w:rPr>
          <w:rFonts w:hint="eastAsia" w:ascii="宋体" w:hAnsi="宋体" w:eastAsia="宋体" w:cs="宋体"/>
          <w:sz w:val="10"/>
        </w:rPr>
        <w:t>，</w:t>
      </w:r>
      <w:r>
        <w:rPr>
          <w:rFonts w:hint="eastAsia" w:ascii="宋体" w:hAnsi="宋体" w:eastAsia="宋体" w:cs="宋体"/>
          <w:sz w:val="24"/>
        </w:rPr>
        <w:t>本公司确定各类固定资产的年折旧率如下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1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740"/>
        <w:gridCol w:w="2120"/>
        <w:gridCol w:w="2140"/>
        <w:gridCol w:w="2160"/>
      </w:tblGrid>
      <w:tr>
        <w:trPr>
          <w:trHeight w:val="480" w:hRule="exact"/>
        </w:trPr>
        <w:tc>
          <w:tcPr>
            <w:tcW w:w="2740" w:type="dxa"/>
            <w:tcMar>
              <w:top w:w="0" w:type="dxa"/>
              <w:left w:w="0" w:type="dxa"/>
              <w:bottom w:w="0" w:type="dxa"/>
              <w:right w:w="0" w:type="dxa"/>
            </w:tcMar>
          </w:tcPr>
          <w:p>
            <w:pPr>
              <w:spacing w:before="100"/>
              <w:ind w:left="1140"/>
            </w:pPr>
            <w:r>
              <w:rPr>
                <w:rFonts w:hint="eastAsia" w:ascii="宋体" w:hAnsi="宋体" w:eastAsia="宋体" w:cs="宋体"/>
                <w:b/>
                <w:sz w:val="21"/>
              </w:rPr>
              <w:t>类别</w:t>
            </w:r>
          </w:p>
        </w:tc>
        <w:tc>
          <w:tcPr>
            <w:tcW w:w="2120" w:type="dxa"/>
            <w:tcMar>
              <w:top w:w="0" w:type="dxa"/>
              <w:left w:w="0" w:type="dxa"/>
              <w:bottom w:w="0" w:type="dxa"/>
              <w:right w:w="0" w:type="dxa"/>
            </w:tcMar>
          </w:tcPr>
          <w:p>
            <w:pPr>
              <w:spacing w:before="100"/>
              <w:ind w:left="380"/>
            </w:pPr>
            <w:r>
              <w:rPr>
                <w:rFonts w:hint="eastAsia" w:ascii="宋体" w:hAnsi="宋体" w:eastAsia="宋体" w:cs="宋体"/>
                <w:b/>
                <w:sz w:val="21"/>
              </w:rPr>
              <w:t>使用年限</w:t>
            </w:r>
            <w:r>
              <w:rPr>
                <w:rFonts w:hint="eastAsia" w:ascii="宋体" w:hAnsi="宋体" w:eastAsia="宋体" w:cs="宋体"/>
                <w:b/>
                <w:sz w:val="20"/>
              </w:rPr>
              <w:t>（</w:t>
            </w:r>
            <w:r>
              <w:rPr>
                <w:rFonts w:hint="eastAsia" w:ascii="宋体" w:hAnsi="宋体" w:eastAsia="宋体" w:cs="宋体"/>
                <w:b/>
                <w:sz w:val="21"/>
              </w:rPr>
              <w:t>年</w:t>
            </w:r>
            <w:r>
              <w:rPr>
                <w:rFonts w:hint="eastAsia" w:ascii="宋体" w:hAnsi="宋体" w:eastAsia="宋体" w:cs="宋体"/>
                <w:b/>
                <w:sz w:val="20"/>
              </w:rPr>
              <w:t>）</w:t>
            </w:r>
          </w:p>
        </w:tc>
        <w:tc>
          <w:tcPr>
            <w:tcW w:w="2140" w:type="dxa"/>
            <w:tcMar>
              <w:top w:w="0" w:type="dxa"/>
              <w:left w:w="0" w:type="dxa"/>
              <w:bottom w:w="0" w:type="dxa"/>
              <w:right w:w="0" w:type="dxa"/>
            </w:tcMar>
          </w:tcPr>
          <w:p>
            <w:pPr>
              <w:spacing w:before="100"/>
              <w:ind w:left="840"/>
            </w:pPr>
            <w:r>
              <w:rPr>
                <w:rFonts w:hint="eastAsia" w:ascii="宋体" w:hAnsi="宋体" w:eastAsia="宋体" w:cs="宋体"/>
                <w:b/>
                <w:sz w:val="21"/>
              </w:rPr>
              <w:t>残值率</w:t>
            </w:r>
            <w:r>
              <w:rPr>
                <w:rFonts w:hint="eastAsia" w:ascii="Times New Roman Bold" w:hAnsi="Times New Roman Bold" w:eastAsia="Times New Roman Bold" w:cs="Times New Roman Bold"/>
                <w:b/>
                <w:sz w:val="20"/>
              </w:rPr>
              <w:t>%</w:t>
            </w:r>
          </w:p>
        </w:tc>
        <w:tc>
          <w:tcPr>
            <w:tcW w:w="2160" w:type="dxa"/>
            <w:tcMar>
              <w:top w:w="0" w:type="dxa"/>
              <w:left w:w="0" w:type="dxa"/>
              <w:bottom w:w="0" w:type="dxa"/>
              <w:right w:w="0" w:type="dxa"/>
            </w:tcMar>
          </w:tcPr>
          <w:p>
            <w:pPr>
              <w:spacing w:before="100"/>
              <w:ind w:left="760"/>
            </w:pPr>
            <w:r>
              <w:rPr>
                <w:rFonts w:hint="eastAsia" w:ascii="宋体" w:hAnsi="宋体" w:eastAsia="宋体" w:cs="宋体"/>
                <w:b/>
                <w:sz w:val="21"/>
              </w:rPr>
              <w:t>年折旧率</w:t>
            </w:r>
            <w:r>
              <w:rPr>
                <w:rFonts w:hint="eastAsia" w:ascii="Times New Roman Bold" w:hAnsi="Times New Roman Bold" w:eastAsia="Times New Roman Bold" w:cs="Times New Roman Bold"/>
                <w:b/>
                <w:sz w:val="20"/>
              </w:rPr>
              <w:t>%</w:t>
            </w:r>
          </w:p>
        </w:tc>
      </w:tr>
      <w:tr>
        <w:trPr>
          <w:trHeight w:val="480" w:hRule="exact"/>
        </w:trPr>
        <w:tc>
          <w:tcPr>
            <w:tcW w:w="2740" w:type="dxa"/>
            <w:tcMar>
              <w:top w:w="0" w:type="dxa"/>
              <w:left w:w="0" w:type="dxa"/>
              <w:bottom w:w="0" w:type="dxa"/>
              <w:right w:w="0" w:type="dxa"/>
            </w:tcMar>
          </w:tcPr>
          <w:p>
            <w:pPr>
              <w:spacing w:before="120"/>
              <w:ind w:left="100"/>
            </w:pPr>
            <w:r>
              <w:rPr>
                <w:rFonts w:hint="eastAsia" w:ascii="宋体" w:hAnsi="宋体" w:eastAsia="宋体" w:cs="宋体"/>
                <w:sz w:val="21"/>
              </w:rPr>
              <w:t>房屋及建筑物</w:t>
            </w:r>
          </w:p>
        </w:tc>
        <w:tc>
          <w:tcPr>
            <w:tcW w:w="2120" w:type="dxa"/>
            <w:tcMar>
              <w:top w:w="0" w:type="dxa"/>
              <w:left w:w="0" w:type="dxa"/>
              <w:bottom w:w="0" w:type="dxa"/>
              <w:right w:w="0" w:type="dxa"/>
            </w:tcMar>
          </w:tcPr>
          <w:p>
            <w:pPr>
              <w:spacing w:before="160"/>
              <w:ind w:left="1780"/>
            </w:pPr>
            <w:r>
              <w:rPr>
                <w:rFonts w:hint="eastAsia" w:ascii="Times New Roman" w:hAnsi="Times New Roman" w:eastAsia="Times New Roman" w:cs="Times New Roman"/>
                <w:sz w:val="21"/>
              </w:rPr>
              <w:t>20</w:t>
            </w:r>
          </w:p>
        </w:tc>
        <w:tc>
          <w:tcPr>
            <w:tcW w:w="214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5</w:t>
            </w:r>
          </w:p>
        </w:tc>
        <w:tc>
          <w:tcPr>
            <w:tcW w:w="216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r>
      <w:tr>
        <w:trPr>
          <w:trHeight w:val="460" w:hRule="exact"/>
        </w:trPr>
        <w:tc>
          <w:tcPr>
            <w:tcW w:w="2740" w:type="dxa"/>
            <w:tcMar>
              <w:top w:w="0" w:type="dxa"/>
              <w:left w:w="0" w:type="dxa"/>
              <w:bottom w:w="0" w:type="dxa"/>
              <w:right w:w="0" w:type="dxa"/>
            </w:tcMar>
          </w:tcPr>
          <w:p>
            <w:pPr>
              <w:spacing w:before="100"/>
              <w:ind w:left="100"/>
            </w:pPr>
            <w:r>
              <w:rPr>
                <w:rFonts w:hint="eastAsia" w:ascii="宋体" w:hAnsi="宋体" w:eastAsia="宋体" w:cs="宋体"/>
                <w:sz w:val="21"/>
              </w:rPr>
              <w:t>运输设备</w:t>
            </w:r>
          </w:p>
        </w:tc>
        <w:tc>
          <w:tcPr>
            <w:tcW w:w="212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8</w:t>
            </w:r>
          </w:p>
        </w:tc>
        <w:tc>
          <w:tcPr>
            <w:tcW w:w="214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5</w:t>
            </w:r>
          </w:p>
        </w:tc>
        <w:tc>
          <w:tcPr>
            <w:tcW w:w="2160" w:type="dxa"/>
            <w:tcMar>
              <w:top w:w="0" w:type="dxa"/>
              <w:left w:w="0" w:type="dxa"/>
              <w:bottom w:w="0" w:type="dxa"/>
              <w:right w:w="0" w:type="dxa"/>
            </w:tcMar>
          </w:tcPr>
          <w:p>
            <w:pPr>
              <w:spacing w:before="160"/>
              <w:ind w:left="15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r>
      <w:tr>
        <w:trPr>
          <w:trHeight w:val="480" w:hRule="exact"/>
        </w:trPr>
        <w:tc>
          <w:tcPr>
            <w:tcW w:w="2740" w:type="dxa"/>
            <w:tcMar>
              <w:top w:w="0" w:type="dxa"/>
              <w:left w:w="0" w:type="dxa"/>
              <w:bottom w:w="0" w:type="dxa"/>
              <w:right w:w="0" w:type="dxa"/>
            </w:tcMar>
          </w:tcPr>
          <w:p>
            <w:pPr>
              <w:spacing w:before="120"/>
              <w:ind w:left="100"/>
            </w:pPr>
            <w:r>
              <w:rPr>
                <w:rFonts w:hint="eastAsia" w:ascii="宋体" w:hAnsi="宋体" w:eastAsia="宋体" w:cs="宋体"/>
                <w:sz w:val="21"/>
              </w:rPr>
              <w:t>电子设备</w:t>
            </w:r>
          </w:p>
        </w:tc>
        <w:tc>
          <w:tcPr>
            <w:tcW w:w="212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3</w:t>
            </w:r>
          </w:p>
        </w:tc>
        <w:tc>
          <w:tcPr>
            <w:tcW w:w="214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5</w:t>
            </w:r>
          </w:p>
        </w:tc>
        <w:tc>
          <w:tcPr>
            <w:tcW w:w="2160" w:type="dxa"/>
            <w:tcMar>
              <w:top w:w="0" w:type="dxa"/>
              <w:left w:w="0" w:type="dxa"/>
              <w:bottom w:w="0" w:type="dxa"/>
              <w:right w:w="0" w:type="dxa"/>
            </w:tcMar>
          </w:tcPr>
          <w:p>
            <w:pPr>
              <w:spacing w:before="140"/>
              <w:ind w:left="1560"/>
            </w:pP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r>
      <w:tr>
        <w:trPr>
          <w:trHeight w:val="460" w:hRule="exact"/>
        </w:trPr>
        <w:tc>
          <w:tcPr>
            <w:tcW w:w="2740" w:type="dxa"/>
            <w:tcMar>
              <w:top w:w="0" w:type="dxa"/>
              <w:left w:w="0" w:type="dxa"/>
              <w:bottom w:w="0" w:type="dxa"/>
              <w:right w:w="0" w:type="dxa"/>
            </w:tcMar>
          </w:tcPr>
          <w:p>
            <w:pPr>
              <w:spacing w:before="100"/>
              <w:ind w:left="100"/>
            </w:pPr>
            <w:r>
              <w:rPr>
                <w:rFonts w:hint="eastAsia" w:ascii="宋体" w:hAnsi="宋体" w:eastAsia="宋体" w:cs="宋体"/>
                <w:sz w:val="21"/>
              </w:rPr>
              <w:t>办公设备</w:t>
            </w:r>
          </w:p>
        </w:tc>
        <w:tc>
          <w:tcPr>
            <w:tcW w:w="212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5</w:t>
            </w:r>
          </w:p>
        </w:tc>
        <w:tc>
          <w:tcPr>
            <w:tcW w:w="214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5</w:t>
            </w:r>
          </w:p>
        </w:tc>
        <w:tc>
          <w:tcPr>
            <w:tcW w:w="2160" w:type="dxa"/>
            <w:tcMar>
              <w:top w:w="0" w:type="dxa"/>
              <w:left w:w="0" w:type="dxa"/>
              <w:bottom w:w="0" w:type="dxa"/>
              <w:right w:w="0" w:type="dxa"/>
            </w:tcMar>
          </w:tcPr>
          <w:p>
            <w:pPr>
              <w:spacing w:before="160"/>
              <w:ind w:left="156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bl>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已计提减值准备的固定资产</w:t>
      </w:r>
      <w:r>
        <w:rPr>
          <w:rFonts w:hint="eastAsia" w:ascii="宋体" w:hAnsi="宋体" w:eastAsia="宋体" w:cs="宋体"/>
          <w:sz w:val="10"/>
        </w:rPr>
        <w:t>，</w:t>
      </w:r>
      <w:r>
        <w:rPr>
          <w:rFonts w:hint="eastAsia" w:ascii="宋体" w:hAnsi="宋体" w:eastAsia="宋体" w:cs="宋体"/>
          <w:sz w:val="24"/>
        </w:rPr>
        <w:t>还应扣除已计提的固定资产减值准备累计金额计算确定折旧率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固定资产的减值测试方法</w:t>
      </w:r>
      <w:r>
        <w:rPr>
          <w:rFonts w:hint="eastAsia" w:ascii="宋体" w:hAnsi="宋体" w:eastAsia="宋体" w:cs="宋体"/>
          <w:sz w:val="10"/>
        </w:rPr>
        <w:t>、</w:t>
      </w:r>
      <w:r>
        <w:rPr>
          <w:rFonts w:hint="eastAsia" w:ascii="宋体" w:hAnsi="宋体" w:eastAsia="宋体" w:cs="宋体"/>
          <w:sz w:val="24"/>
        </w:rPr>
        <w:t>减值准备计提方法见</w:t>
      </w:r>
      <w:r>
        <w:rPr>
          <w:rFonts w:hint="eastAsia" w:ascii="宋体" w:hAnsi="宋体" w:eastAsia="宋体" w:cs="宋体"/>
          <w:sz w:val="10"/>
        </w:rPr>
        <w:t>“</w:t>
      </w:r>
      <w:r>
        <w:rPr>
          <w:rFonts w:hint="eastAsia" w:ascii="宋体" w:hAnsi="宋体" w:eastAsia="宋体" w:cs="宋体"/>
          <w:sz w:val="24"/>
        </w:rPr>
        <w:t>四</w:t>
      </w:r>
      <w:r>
        <w:rPr>
          <w:rFonts w:hint="eastAsia" w:ascii="宋体" w:hAnsi="宋体" w:eastAsia="宋体" w:cs="宋体"/>
          <w:sz w:val="10"/>
        </w:rPr>
        <w:t>、</w:t>
      </w:r>
      <w:r>
        <w:rPr>
          <w:rFonts w:hint="eastAsia" w:ascii="宋体" w:hAnsi="宋体" w:eastAsia="宋体" w:cs="宋体"/>
          <w:sz w:val="24"/>
        </w:rPr>
        <w:t>报告期内采用的主要会计政策和会计估计（十二）资产减值</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每年年度终了</w:t>
      </w:r>
      <w:r>
        <w:rPr>
          <w:rFonts w:hint="eastAsia" w:ascii="宋体" w:hAnsi="宋体" w:eastAsia="宋体" w:cs="宋体"/>
          <w:sz w:val="10"/>
        </w:rPr>
        <w:t>，</w:t>
      </w:r>
      <w:r>
        <w:rPr>
          <w:rFonts w:hint="eastAsia" w:ascii="宋体" w:hAnsi="宋体" w:eastAsia="宋体" w:cs="宋体"/>
          <w:sz w:val="24"/>
        </w:rPr>
        <w:t>本公司对固定资产的使用寿命</w:t>
      </w:r>
      <w:r>
        <w:rPr>
          <w:rFonts w:hint="eastAsia" w:ascii="宋体" w:hAnsi="宋体" w:eastAsia="宋体" w:cs="宋体"/>
          <w:sz w:val="10"/>
        </w:rPr>
        <w:t>、</w:t>
      </w:r>
      <w:r>
        <w:rPr>
          <w:rFonts w:hint="eastAsia" w:ascii="宋体" w:hAnsi="宋体" w:eastAsia="宋体" w:cs="宋体"/>
          <w:sz w:val="24"/>
        </w:rPr>
        <w:t>预计净残值和折旧方法进行复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使用寿命预计数与原先估计数有差异的</w:t>
      </w:r>
      <w:r>
        <w:rPr>
          <w:rFonts w:hint="eastAsia" w:ascii="宋体" w:hAnsi="宋体" w:eastAsia="宋体" w:cs="宋体"/>
          <w:sz w:val="10"/>
        </w:rPr>
        <w:t>，</w:t>
      </w:r>
      <w:r>
        <w:rPr>
          <w:rFonts w:hint="eastAsia" w:ascii="宋体" w:hAnsi="宋体" w:eastAsia="宋体" w:cs="宋体"/>
          <w:sz w:val="24"/>
        </w:rPr>
        <w:t>调整固定资产使用寿命</w:t>
      </w:r>
      <w:r>
        <w:rPr>
          <w:rFonts w:hint="eastAsia" w:ascii="宋体" w:hAnsi="宋体" w:eastAsia="宋体" w:cs="宋体"/>
          <w:sz w:val="14"/>
        </w:rPr>
        <w:t>；</w:t>
      </w:r>
      <w:r>
        <w:rPr>
          <w:rFonts w:hint="eastAsia" w:ascii="宋体" w:hAnsi="宋体" w:eastAsia="宋体" w:cs="宋体"/>
          <w:sz w:val="24"/>
        </w:rPr>
        <w:t>预计净残值预计数与原先估计数有差异的</w:t>
      </w:r>
      <w:r>
        <w:rPr>
          <w:rFonts w:hint="eastAsia" w:ascii="宋体" w:hAnsi="宋体" w:eastAsia="宋体" w:cs="宋体"/>
          <w:sz w:val="10"/>
        </w:rPr>
        <w:t>，</w:t>
      </w:r>
      <w:r>
        <w:rPr>
          <w:rFonts w:hint="eastAsia" w:ascii="宋体" w:hAnsi="宋体" w:eastAsia="宋体" w:cs="宋体"/>
          <w:sz w:val="24"/>
        </w:rPr>
        <w:t>调整预计净残值</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（十）无形资产</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本公司无形资产包括土地使用权</w:t>
      </w:r>
      <w:r>
        <w:rPr>
          <w:rFonts w:hint="eastAsia" w:ascii="宋体" w:hAnsi="宋体" w:eastAsia="宋体" w:cs="宋体"/>
          <w:sz w:val="10"/>
        </w:rPr>
        <w:t>、</w:t>
      </w:r>
      <w:r>
        <w:rPr>
          <w:rFonts w:hint="eastAsia" w:ascii="宋体" w:hAnsi="宋体" w:eastAsia="宋体" w:cs="宋体"/>
          <w:sz w:val="24"/>
        </w:rPr>
        <w:t>应用软件等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无形资产按照成本进行初始计量</w:t>
      </w:r>
      <w:r>
        <w:rPr>
          <w:rFonts w:hint="eastAsia" w:ascii="宋体" w:hAnsi="宋体" w:eastAsia="宋体" w:cs="宋体"/>
          <w:sz w:val="10"/>
        </w:rPr>
        <w:t>，</w:t>
      </w:r>
      <w:r>
        <w:rPr>
          <w:rFonts w:hint="eastAsia" w:ascii="宋体" w:hAnsi="宋体" w:eastAsia="宋体" w:cs="宋体"/>
          <w:sz w:val="24"/>
        </w:rPr>
        <w:t>并于取得无形资产时分析判断其使用寿命</w:t>
      </w:r>
      <w:r>
        <w:rPr>
          <w:rFonts w:hint="eastAsia" w:ascii="宋体" w:hAnsi="宋体" w:eastAsia="宋体" w:cs="宋体"/>
          <w:sz w:val="10"/>
        </w:rPr>
        <w:t>。</w:t>
      </w:r>
      <w:r>
        <w:rPr>
          <w:rFonts w:hint="eastAsia" w:ascii="宋体" w:hAnsi="宋体" w:eastAsia="宋体" w:cs="宋体"/>
          <w:sz w:val="24"/>
        </w:rPr>
        <w:t>使用寿命为有限的</w:t>
      </w:r>
      <w:r>
        <w:rPr>
          <w:rFonts w:hint="eastAsia" w:ascii="宋体" w:hAnsi="宋体" w:eastAsia="宋体" w:cs="宋体"/>
          <w:sz w:val="10"/>
        </w:rPr>
        <w:t>，</w:t>
      </w:r>
      <w:r>
        <w:rPr>
          <w:rFonts w:hint="eastAsia" w:ascii="宋体" w:hAnsi="宋体" w:eastAsia="宋体" w:cs="宋体"/>
          <w:sz w:val="24"/>
        </w:rPr>
        <w:t>自无形资产可供使用时起</w:t>
      </w:r>
      <w:r>
        <w:rPr>
          <w:rFonts w:hint="eastAsia" w:ascii="宋体" w:hAnsi="宋体" w:eastAsia="宋体" w:cs="宋体"/>
          <w:sz w:val="10"/>
        </w:rPr>
        <w:t>，</w:t>
      </w:r>
      <w:r>
        <w:rPr>
          <w:rFonts w:hint="eastAsia" w:ascii="宋体" w:hAnsi="宋体" w:eastAsia="宋体" w:cs="宋体"/>
          <w:sz w:val="24"/>
        </w:rPr>
        <w:t>采用能反映与该资产有关的经济利益的预期实现方式的摊销方法</w:t>
      </w:r>
      <w:r>
        <w:rPr>
          <w:rFonts w:hint="eastAsia" w:ascii="宋体" w:hAnsi="宋体" w:eastAsia="宋体" w:cs="宋体"/>
          <w:sz w:val="10"/>
        </w:rPr>
        <w:t>，</w:t>
      </w:r>
      <w:r>
        <w:rPr>
          <w:rFonts w:hint="eastAsia" w:ascii="宋体" w:hAnsi="宋体" w:eastAsia="宋体" w:cs="宋体"/>
          <w:sz w:val="24"/>
        </w:rPr>
        <w:t>在预计使用年限内摊销</w:t>
      </w:r>
      <w:r>
        <w:rPr>
          <w:rFonts w:hint="eastAsia" w:ascii="宋体" w:hAnsi="宋体" w:eastAsia="宋体" w:cs="宋体"/>
          <w:sz w:val="12"/>
        </w:rPr>
        <w:t>；</w:t>
      </w:r>
      <w:r>
        <w:rPr>
          <w:rFonts w:hint="eastAsia" w:ascii="宋体" w:hAnsi="宋体" w:eastAsia="宋体" w:cs="宋体"/>
          <w:sz w:val="24"/>
        </w:rPr>
        <w:t>无法可靠确定预期实现方式的</w:t>
      </w:r>
      <w:r>
        <w:rPr>
          <w:rFonts w:hint="eastAsia" w:ascii="宋体" w:hAnsi="宋体" w:eastAsia="宋体" w:cs="宋体"/>
          <w:sz w:val="10"/>
        </w:rPr>
        <w:t>，</w:t>
      </w:r>
      <w:r>
        <w:rPr>
          <w:rFonts w:hint="eastAsia" w:ascii="宋体" w:hAnsi="宋体" w:eastAsia="宋体" w:cs="宋体"/>
          <w:sz w:val="24"/>
        </w:rPr>
        <w:t>采用直线法摊销</w:t>
      </w:r>
      <w:r>
        <w:rPr>
          <w:rFonts w:hint="eastAsia" w:ascii="宋体" w:hAnsi="宋体" w:eastAsia="宋体" w:cs="宋体"/>
          <w:sz w:val="14"/>
        </w:rPr>
        <w:t>；</w:t>
      </w:r>
      <w:r>
        <w:rPr>
          <w:rFonts w:hint="eastAsia" w:ascii="宋体" w:hAnsi="宋体" w:eastAsia="宋体" w:cs="宋体"/>
          <w:sz w:val="24"/>
        </w:rPr>
        <w:t>使用寿命不确定的无形资产</w:t>
      </w:r>
      <w:r>
        <w:rPr>
          <w:rFonts w:hint="eastAsia" w:ascii="宋体" w:hAnsi="宋体" w:eastAsia="宋体" w:cs="宋体"/>
          <w:sz w:val="10"/>
        </w:rPr>
        <w:t>，</w:t>
      </w:r>
      <w:r>
        <w:rPr>
          <w:rFonts w:hint="eastAsia" w:ascii="宋体" w:hAnsi="宋体" w:eastAsia="宋体" w:cs="宋体"/>
          <w:sz w:val="24"/>
        </w:rPr>
        <w:t>不作摊销</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使用寿命有限的无形资产摊销方法如下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800"/>
        <w:gridCol w:w="2520"/>
        <w:gridCol w:w="2940"/>
      </w:tblGrid>
      <w:tr>
        <w:trPr>
          <w:trHeight w:val="460" w:hRule="exact"/>
        </w:trPr>
        <w:tc>
          <w:tcPr>
            <w:tcW w:w="3800" w:type="dxa"/>
            <w:tcMar>
              <w:top w:w="0" w:type="dxa"/>
              <w:left w:w="0" w:type="dxa"/>
              <w:bottom w:w="0" w:type="dxa"/>
              <w:right w:w="0" w:type="dxa"/>
            </w:tcMar>
          </w:tcPr>
          <w:p>
            <w:pPr>
              <w:spacing w:before="100"/>
              <w:ind w:left="1660"/>
            </w:pPr>
            <w:r>
              <w:rPr>
                <w:rFonts w:hint="eastAsia" w:ascii="宋体" w:hAnsi="宋体" w:eastAsia="宋体" w:cs="宋体"/>
                <w:b/>
                <w:sz w:val="21"/>
              </w:rPr>
              <w:t>类别</w:t>
            </w:r>
          </w:p>
        </w:tc>
        <w:tc>
          <w:tcPr>
            <w:tcW w:w="2520" w:type="dxa"/>
            <w:tcMar>
              <w:top w:w="0" w:type="dxa"/>
              <w:left w:w="0" w:type="dxa"/>
              <w:bottom w:w="0" w:type="dxa"/>
              <w:right w:w="0" w:type="dxa"/>
            </w:tcMar>
          </w:tcPr>
          <w:p>
            <w:pPr>
              <w:spacing w:before="100"/>
              <w:ind w:left="820"/>
            </w:pPr>
            <w:r>
              <w:rPr>
                <w:rFonts w:hint="eastAsia" w:ascii="宋体" w:hAnsi="宋体" w:eastAsia="宋体" w:cs="宋体"/>
                <w:b/>
                <w:sz w:val="21"/>
              </w:rPr>
              <w:t>使用寿命</w:t>
            </w:r>
          </w:p>
        </w:tc>
        <w:tc>
          <w:tcPr>
            <w:tcW w:w="2940" w:type="dxa"/>
            <w:tcMar>
              <w:top w:w="0" w:type="dxa"/>
              <w:left w:w="0" w:type="dxa"/>
              <w:bottom w:w="0" w:type="dxa"/>
              <w:right w:w="0" w:type="dxa"/>
            </w:tcMar>
          </w:tcPr>
          <w:p>
            <w:pPr>
              <w:spacing w:before="100"/>
              <w:ind w:left="1040"/>
            </w:pPr>
            <w:r>
              <w:rPr>
                <w:rFonts w:hint="eastAsia" w:ascii="宋体" w:hAnsi="宋体" w:eastAsia="宋体" w:cs="宋体"/>
                <w:b/>
                <w:sz w:val="21"/>
              </w:rPr>
              <w:t>摊销方法</w:t>
            </w:r>
          </w:p>
        </w:tc>
      </w:tr>
      <w:tr>
        <w:trPr>
          <w:trHeight w:val="460" w:hRule="exact"/>
        </w:trPr>
        <w:tc>
          <w:tcPr>
            <w:tcW w:w="3800" w:type="dxa"/>
            <w:tcMar>
              <w:top w:w="0" w:type="dxa"/>
              <w:left w:w="0" w:type="dxa"/>
              <w:bottom w:w="0" w:type="dxa"/>
              <w:right w:w="0" w:type="dxa"/>
            </w:tcMar>
          </w:tcPr>
          <w:p>
            <w:pPr>
              <w:spacing w:before="100"/>
              <w:ind w:left="100"/>
            </w:pPr>
            <w:r>
              <w:rPr>
                <w:rFonts w:hint="eastAsia" w:ascii="宋体" w:hAnsi="宋体" w:eastAsia="宋体" w:cs="宋体"/>
                <w:sz w:val="21"/>
              </w:rPr>
              <w:t>土地使用权</w:t>
            </w:r>
          </w:p>
        </w:tc>
        <w:tc>
          <w:tcPr>
            <w:tcW w:w="2520" w:type="dxa"/>
            <w:tcMar>
              <w:top w:w="0" w:type="dxa"/>
              <w:left w:w="0" w:type="dxa"/>
              <w:bottom w:w="0" w:type="dxa"/>
              <w:right w:w="0" w:type="dxa"/>
            </w:tcMar>
          </w:tcPr>
          <w:p>
            <w:pPr>
              <w:spacing w:before="160"/>
              <w:ind w:left="2180"/>
            </w:pPr>
            <w:r>
              <w:rPr>
                <w:rFonts w:hint="eastAsia" w:ascii="Times New Roman" w:hAnsi="Times New Roman" w:eastAsia="Times New Roman" w:cs="Times New Roman"/>
                <w:sz w:val="21"/>
              </w:rPr>
              <w:t>50</w:t>
            </w:r>
          </w:p>
        </w:tc>
        <w:tc>
          <w:tcPr>
            <w:tcW w:w="2940" w:type="dxa"/>
            <w:tcMar>
              <w:top w:w="0" w:type="dxa"/>
              <w:left w:w="0" w:type="dxa"/>
              <w:bottom w:w="0" w:type="dxa"/>
              <w:right w:w="0" w:type="dxa"/>
            </w:tcMar>
          </w:tcPr>
          <w:p>
            <w:pPr>
              <w:spacing w:before="100"/>
              <w:ind w:left="1780"/>
            </w:pPr>
            <w:r>
              <w:rPr>
                <w:rFonts w:hint="eastAsia" w:ascii="宋体" w:hAnsi="宋体" w:eastAsia="宋体" w:cs="宋体"/>
                <w:sz w:val="21"/>
              </w:rPr>
              <w:t>平均年限法</w:t>
            </w:r>
          </w:p>
        </w:tc>
      </w:tr>
      <w:tr>
        <w:trPr>
          <w:trHeight w:val="460" w:hRule="exact"/>
        </w:trPr>
        <w:tc>
          <w:tcPr>
            <w:tcW w:w="3800" w:type="dxa"/>
            <w:tcMar>
              <w:top w:w="0" w:type="dxa"/>
              <w:left w:w="0" w:type="dxa"/>
              <w:bottom w:w="0" w:type="dxa"/>
              <w:right w:w="0" w:type="dxa"/>
            </w:tcMar>
          </w:tcPr>
          <w:p>
            <w:pPr>
              <w:spacing w:before="120"/>
              <w:ind w:left="100"/>
            </w:pPr>
            <w:r>
              <w:rPr>
                <w:rFonts w:hint="eastAsia" w:ascii="宋体" w:hAnsi="宋体" w:eastAsia="宋体" w:cs="宋体"/>
                <w:sz w:val="21"/>
              </w:rPr>
              <w:t>应用软件</w:t>
            </w:r>
          </w:p>
        </w:tc>
        <w:tc>
          <w:tcPr>
            <w:tcW w:w="2520" w:type="dxa"/>
            <w:tcMar>
              <w:top w:w="0" w:type="dxa"/>
              <w:left w:w="0" w:type="dxa"/>
              <w:bottom w:w="0" w:type="dxa"/>
              <w:right w:w="0" w:type="dxa"/>
            </w:tcMar>
          </w:tcPr>
          <w:p>
            <w:pPr>
              <w:spacing w:before="160"/>
              <w:ind w:left="2180"/>
            </w:pPr>
            <w:r>
              <w:rPr>
                <w:rFonts w:hint="eastAsia" w:ascii="Times New Roman" w:hAnsi="Times New Roman" w:eastAsia="Times New Roman" w:cs="Times New Roman"/>
                <w:sz w:val="21"/>
              </w:rPr>
              <w:t>10</w:t>
            </w:r>
          </w:p>
        </w:tc>
        <w:tc>
          <w:tcPr>
            <w:tcW w:w="2940" w:type="dxa"/>
            <w:tcMar>
              <w:top w:w="0" w:type="dxa"/>
              <w:left w:w="0" w:type="dxa"/>
              <w:bottom w:w="0" w:type="dxa"/>
              <w:right w:w="0" w:type="dxa"/>
            </w:tcMar>
          </w:tcPr>
          <w:p>
            <w:pPr>
              <w:spacing w:before="100"/>
              <w:ind w:left="1780"/>
            </w:pPr>
            <w:r>
              <w:rPr>
                <w:rFonts w:hint="eastAsia" w:ascii="宋体" w:hAnsi="宋体" w:eastAsia="宋体" w:cs="宋体"/>
                <w:sz w:val="21"/>
              </w:rPr>
              <w:t>平均年限法</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1-1-230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本公司于每年年度终了</w:t>
      </w:r>
      <w:r>
        <w:rPr>
          <w:rFonts w:hint="eastAsia" w:ascii="宋体" w:hAnsi="宋体" w:eastAsia="宋体" w:cs="宋体"/>
          <w:sz w:val="10"/>
        </w:rPr>
        <w:t>，</w:t>
      </w:r>
      <w:r>
        <w:rPr>
          <w:rFonts w:hint="eastAsia" w:ascii="宋体" w:hAnsi="宋体" w:eastAsia="宋体" w:cs="宋体"/>
          <w:sz w:val="24"/>
        </w:rPr>
        <w:t>对使用寿命有限的无形资产的使用寿命及摊销方法进行复核</w:t>
      </w:r>
      <w:r>
        <w:rPr>
          <w:rFonts w:hint="eastAsia" w:ascii="宋体" w:hAnsi="宋体" w:eastAsia="宋体" w:cs="宋体"/>
          <w:sz w:val="10"/>
        </w:rPr>
        <w:t>，</w:t>
      </w:r>
      <w:r>
        <w:rPr>
          <w:rFonts w:hint="eastAsia" w:ascii="宋体" w:hAnsi="宋体" w:eastAsia="宋体" w:cs="宋体"/>
          <w:sz w:val="24"/>
        </w:rPr>
        <w:t>与以前估计不同的</w:t>
      </w:r>
      <w:r>
        <w:rPr>
          <w:rFonts w:hint="eastAsia" w:ascii="宋体" w:hAnsi="宋体" w:eastAsia="宋体" w:cs="宋体"/>
          <w:sz w:val="10"/>
        </w:rPr>
        <w:t>，</w:t>
      </w:r>
      <w:r>
        <w:rPr>
          <w:rFonts w:hint="eastAsia" w:ascii="宋体" w:hAnsi="宋体" w:eastAsia="宋体" w:cs="宋体"/>
          <w:sz w:val="24"/>
        </w:rPr>
        <w:t>调整原先估计数</w:t>
      </w:r>
      <w:r>
        <w:rPr>
          <w:rFonts w:hint="eastAsia" w:ascii="宋体" w:hAnsi="宋体" w:eastAsia="宋体" w:cs="宋体"/>
          <w:sz w:val="10"/>
        </w:rPr>
        <w:t>，</w:t>
      </w:r>
      <w:r>
        <w:rPr>
          <w:rFonts w:hint="eastAsia" w:ascii="宋体" w:hAnsi="宋体" w:eastAsia="宋体" w:cs="宋体"/>
          <w:sz w:val="24"/>
        </w:rPr>
        <w:t>并按会计估计变更处理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资产负债表日预计某项无形资产已经不能给企业带来未来经济利益的</w:t>
      </w:r>
      <w:r>
        <w:rPr>
          <w:rFonts w:hint="eastAsia" w:ascii="宋体" w:hAnsi="宋体" w:eastAsia="宋体" w:cs="宋体"/>
          <w:sz w:val="10"/>
        </w:rPr>
        <w:t>，</w:t>
      </w:r>
      <w:r>
        <w:rPr>
          <w:rFonts w:hint="eastAsia" w:ascii="宋体" w:hAnsi="宋体" w:eastAsia="宋体" w:cs="宋体"/>
          <w:sz w:val="24"/>
        </w:rPr>
        <w:t>将该项无形资产的账面价值全部转入当期损益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无形资产计提资产减值方法见</w:t>
      </w:r>
      <w:r>
        <w:rPr>
          <w:rFonts w:hint="eastAsia" w:ascii="宋体" w:hAnsi="宋体" w:eastAsia="宋体" w:cs="宋体"/>
          <w:sz w:val="10"/>
        </w:rPr>
        <w:t>“</w:t>
      </w:r>
      <w:r>
        <w:rPr>
          <w:rFonts w:hint="eastAsia" w:ascii="宋体" w:hAnsi="宋体" w:eastAsia="宋体" w:cs="宋体"/>
          <w:sz w:val="24"/>
        </w:rPr>
        <w:t>四</w:t>
      </w:r>
      <w:r>
        <w:rPr>
          <w:rFonts w:hint="eastAsia" w:ascii="宋体" w:hAnsi="宋体" w:eastAsia="宋体" w:cs="宋体"/>
          <w:sz w:val="10"/>
        </w:rPr>
        <w:t>、</w:t>
      </w:r>
      <w:r>
        <w:rPr>
          <w:rFonts w:hint="eastAsia" w:ascii="宋体" w:hAnsi="宋体" w:eastAsia="宋体" w:cs="宋体"/>
          <w:sz w:val="24"/>
        </w:rPr>
        <w:t>报告期内采用的主要会计政策和会计估计（十二）资产减值</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（十一）研究开发支出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本公司将内部研究开发项目的支出</w:t>
      </w:r>
      <w:r>
        <w:rPr>
          <w:rFonts w:hint="eastAsia" w:ascii="宋体" w:hAnsi="宋体" w:eastAsia="宋体" w:cs="宋体"/>
          <w:sz w:val="10"/>
        </w:rPr>
        <w:t>，</w:t>
      </w:r>
      <w:r>
        <w:rPr>
          <w:rFonts w:hint="eastAsia" w:ascii="宋体" w:hAnsi="宋体" w:eastAsia="宋体" w:cs="宋体"/>
          <w:sz w:val="24"/>
        </w:rPr>
        <w:t>区分为研究阶段支出和开发阶段支出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研究阶段的支出</w:t>
      </w:r>
      <w:r>
        <w:rPr>
          <w:rFonts w:hint="eastAsia" w:ascii="宋体" w:hAnsi="宋体" w:eastAsia="宋体" w:cs="宋体"/>
          <w:sz w:val="10"/>
        </w:rPr>
        <w:t>，</w:t>
      </w:r>
      <w:r>
        <w:rPr>
          <w:rFonts w:hint="eastAsia" w:ascii="宋体" w:hAnsi="宋体" w:eastAsia="宋体" w:cs="宋体"/>
          <w:sz w:val="24"/>
        </w:rPr>
        <w:t>于发生时计入当期损益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开发阶段的支出</w:t>
      </w:r>
      <w:r>
        <w:rPr>
          <w:rFonts w:hint="eastAsia" w:ascii="宋体" w:hAnsi="宋体" w:eastAsia="宋体" w:cs="宋体"/>
          <w:sz w:val="10"/>
        </w:rPr>
        <w:t>，</w:t>
      </w:r>
      <w:r>
        <w:rPr>
          <w:rFonts w:hint="eastAsia" w:ascii="宋体" w:hAnsi="宋体" w:eastAsia="宋体" w:cs="宋体"/>
          <w:sz w:val="24"/>
        </w:rPr>
        <w:t>同时满足下列条件的</w:t>
      </w:r>
      <w:r>
        <w:rPr>
          <w:rFonts w:hint="eastAsia" w:ascii="宋体" w:hAnsi="宋体" w:eastAsia="宋体" w:cs="宋体"/>
          <w:sz w:val="10"/>
        </w:rPr>
        <w:t>，</w:t>
      </w:r>
      <w:r>
        <w:rPr>
          <w:rFonts w:hint="eastAsia" w:ascii="宋体" w:hAnsi="宋体" w:eastAsia="宋体" w:cs="宋体"/>
          <w:sz w:val="24"/>
        </w:rPr>
        <w:t>才能予以资本化</w:t>
      </w:r>
      <w:r>
        <w:rPr>
          <w:rFonts w:hint="eastAsia" w:ascii="宋体" w:hAnsi="宋体" w:eastAsia="宋体" w:cs="宋体"/>
          <w:sz w:val="10"/>
        </w:rPr>
        <w:t>，</w:t>
      </w:r>
      <w:r>
        <w:rPr>
          <w:rFonts w:hint="eastAsia" w:ascii="宋体" w:hAnsi="宋体" w:eastAsia="宋体" w:cs="宋体"/>
          <w:sz w:val="24"/>
        </w:rPr>
        <w:t>即</w:t>
      </w:r>
      <w:r>
        <w:rPr>
          <w:rFonts w:hint="eastAsia" w:ascii="宋体" w:hAnsi="宋体" w:eastAsia="宋体" w:cs="宋体"/>
          <w:sz w:val="10"/>
        </w:rPr>
        <w:t>：</w:t>
      </w:r>
      <w:r>
        <w:rPr>
          <w:rFonts w:hint="eastAsia" w:ascii="宋体" w:hAnsi="宋体" w:eastAsia="宋体" w:cs="宋体"/>
          <w:sz w:val="24"/>
        </w:rPr>
        <w:t>完成该无形资产以使其能够使用或出售在技术上具有可行性</w:t>
      </w:r>
      <w:r>
        <w:rPr>
          <w:rFonts w:hint="eastAsia" w:ascii="宋体" w:hAnsi="宋体" w:eastAsia="宋体" w:cs="宋体"/>
          <w:sz w:val="12"/>
        </w:rPr>
        <w:t>；</w:t>
      </w:r>
      <w:r>
        <w:rPr>
          <w:rFonts w:hint="eastAsia" w:ascii="宋体" w:hAnsi="宋体" w:eastAsia="宋体" w:cs="宋体"/>
          <w:sz w:val="24"/>
        </w:rPr>
        <w:t>具有完成该无形资产并使用或出售的意图</w:t>
      </w:r>
      <w:r>
        <w:rPr>
          <w:rFonts w:hint="eastAsia" w:ascii="宋体" w:hAnsi="宋体" w:eastAsia="宋体" w:cs="宋体"/>
          <w:sz w:val="12"/>
        </w:rPr>
        <w:t>；</w:t>
      </w:r>
      <w:r>
        <w:rPr>
          <w:rFonts w:hint="eastAsia" w:ascii="宋体" w:hAnsi="宋体" w:eastAsia="宋体" w:cs="宋体"/>
          <w:sz w:val="24"/>
        </w:rPr>
        <w:t>无形资产产生经济利益的方式</w:t>
      </w:r>
      <w:r>
        <w:rPr>
          <w:rFonts w:hint="eastAsia" w:ascii="宋体" w:hAnsi="宋体" w:eastAsia="宋体" w:cs="宋体"/>
          <w:sz w:val="10"/>
        </w:rPr>
        <w:t>，</w:t>
      </w:r>
      <w:r>
        <w:rPr>
          <w:rFonts w:hint="eastAsia" w:ascii="宋体" w:hAnsi="宋体" w:eastAsia="宋体" w:cs="宋体"/>
          <w:sz w:val="24"/>
        </w:rPr>
        <w:t>包括能够证明运用该无形资产生产的产品存在市场或无形资产自身存在市场</w:t>
      </w:r>
      <w:r>
        <w:rPr>
          <w:rFonts w:hint="eastAsia" w:ascii="宋体" w:hAnsi="宋体" w:eastAsia="宋体" w:cs="宋体"/>
          <w:sz w:val="10"/>
        </w:rPr>
        <w:t>，</w:t>
      </w:r>
      <w:r>
        <w:rPr>
          <w:rFonts w:hint="eastAsia" w:ascii="宋体" w:hAnsi="宋体" w:eastAsia="宋体" w:cs="宋体"/>
          <w:sz w:val="24"/>
        </w:rPr>
        <w:t>无形资产将在内部使用的</w:t>
      </w:r>
      <w:r>
        <w:rPr>
          <w:rFonts w:hint="eastAsia" w:ascii="宋体" w:hAnsi="宋体" w:eastAsia="宋体" w:cs="宋体"/>
          <w:sz w:val="10"/>
        </w:rPr>
        <w:t>，</w:t>
      </w:r>
      <w:r>
        <w:rPr>
          <w:rFonts w:hint="eastAsia" w:ascii="宋体" w:hAnsi="宋体" w:eastAsia="宋体" w:cs="宋体"/>
          <w:sz w:val="24"/>
        </w:rPr>
        <w:t>能够证明其有用性</w:t>
      </w:r>
      <w:r>
        <w:rPr>
          <w:rFonts w:hint="eastAsia" w:ascii="宋体" w:hAnsi="宋体" w:eastAsia="宋体" w:cs="宋体"/>
          <w:sz w:val="12"/>
        </w:rPr>
        <w:t>；</w:t>
      </w:r>
      <w:r>
        <w:rPr>
          <w:rFonts w:hint="eastAsia" w:ascii="宋体" w:hAnsi="宋体" w:eastAsia="宋体" w:cs="宋体"/>
          <w:sz w:val="24"/>
        </w:rPr>
        <w:t>有足够的技术</w:t>
      </w:r>
      <w:r>
        <w:rPr>
          <w:rFonts w:hint="eastAsia" w:ascii="宋体" w:hAnsi="宋体" w:eastAsia="宋体" w:cs="宋体"/>
          <w:sz w:val="10"/>
        </w:rPr>
        <w:t>、</w:t>
      </w:r>
      <w:r>
        <w:rPr>
          <w:rFonts w:hint="eastAsia" w:ascii="宋体" w:hAnsi="宋体" w:eastAsia="宋体" w:cs="宋体"/>
          <w:sz w:val="24"/>
        </w:rPr>
        <w:t>财务资源和其他资源支持</w:t>
      </w:r>
      <w:r>
        <w:rPr>
          <w:rFonts w:hint="eastAsia" w:ascii="宋体" w:hAnsi="宋体" w:eastAsia="宋体" w:cs="宋体"/>
          <w:sz w:val="10"/>
        </w:rPr>
        <w:t>，</w:t>
      </w:r>
      <w:r>
        <w:rPr>
          <w:rFonts w:hint="eastAsia" w:ascii="宋体" w:hAnsi="宋体" w:eastAsia="宋体" w:cs="宋体"/>
          <w:sz w:val="24"/>
        </w:rPr>
        <w:t>以完成该无形资产的开发</w:t>
      </w:r>
      <w:r>
        <w:rPr>
          <w:rFonts w:hint="eastAsia" w:ascii="宋体" w:hAnsi="宋体" w:eastAsia="宋体" w:cs="宋体"/>
          <w:sz w:val="10"/>
        </w:rPr>
        <w:t>，</w:t>
      </w:r>
      <w:r>
        <w:rPr>
          <w:rFonts w:hint="eastAsia" w:ascii="宋体" w:hAnsi="宋体" w:eastAsia="宋体" w:cs="宋体"/>
          <w:sz w:val="24"/>
        </w:rPr>
        <w:t>并有能力使用或出售该无形资产</w:t>
      </w:r>
      <w:r>
        <w:rPr>
          <w:rFonts w:hint="eastAsia" w:ascii="宋体" w:hAnsi="宋体" w:eastAsia="宋体" w:cs="宋体"/>
          <w:sz w:val="14"/>
        </w:rPr>
        <w:t>；</w:t>
      </w:r>
      <w:r>
        <w:rPr>
          <w:rFonts w:hint="eastAsia" w:ascii="宋体" w:hAnsi="宋体" w:eastAsia="宋体" w:cs="宋体"/>
          <w:sz w:val="24"/>
        </w:rPr>
        <w:t>归属于该无形资产开发阶段的支出能够可靠地计量</w:t>
      </w:r>
      <w:r>
        <w:rPr>
          <w:rFonts w:hint="eastAsia" w:ascii="宋体" w:hAnsi="宋体" w:eastAsia="宋体" w:cs="宋体"/>
          <w:sz w:val="10"/>
        </w:rPr>
        <w:t>。</w:t>
      </w:r>
      <w:r>
        <w:rPr>
          <w:rFonts w:hint="eastAsia" w:ascii="宋体" w:hAnsi="宋体" w:eastAsia="宋体" w:cs="宋体"/>
          <w:sz w:val="24"/>
        </w:rPr>
        <w:t>不满足上述条件的开发支出计入当期损益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本公司研究开发项目在满足上述条件</w:t>
      </w:r>
      <w:r>
        <w:rPr>
          <w:rFonts w:hint="eastAsia" w:ascii="宋体" w:hAnsi="宋体" w:eastAsia="宋体" w:cs="宋体"/>
          <w:sz w:val="10"/>
        </w:rPr>
        <w:t>，</w:t>
      </w:r>
      <w:r>
        <w:rPr>
          <w:rFonts w:hint="eastAsia" w:ascii="宋体" w:hAnsi="宋体" w:eastAsia="宋体" w:cs="宋体"/>
          <w:sz w:val="24"/>
        </w:rPr>
        <w:t>通过技术可行性及经济可行性研究</w:t>
      </w:r>
      <w:r>
        <w:rPr>
          <w:rFonts w:hint="eastAsia" w:ascii="宋体" w:hAnsi="宋体" w:eastAsia="宋体" w:cs="宋体"/>
          <w:sz w:val="10"/>
        </w:rPr>
        <w:t>，</w:t>
      </w:r>
      <w:r>
        <w:rPr>
          <w:rFonts w:hint="eastAsia" w:ascii="宋体" w:hAnsi="宋体" w:eastAsia="宋体" w:cs="宋体"/>
          <w:sz w:val="24"/>
        </w:rPr>
        <w:t>形成项目立项后</w:t>
      </w:r>
      <w:r>
        <w:rPr>
          <w:rFonts w:hint="eastAsia" w:ascii="宋体" w:hAnsi="宋体" w:eastAsia="宋体" w:cs="宋体"/>
          <w:sz w:val="10"/>
        </w:rPr>
        <w:t>，</w:t>
      </w:r>
      <w:r>
        <w:rPr>
          <w:rFonts w:hint="eastAsia" w:ascii="宋体" w:hAnsi="宋体" w:eastAsia="宋体" w:cs="宋体"/>
          <w:sz w:val="24"/>
        </w:rPr>
        <w:t>进入开发阶段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已资本化的开发阶段的支出在资产负债表上列示为开发支出</w:t>
      </w:r>
      <w:r>
        <w:rPr>
          <w:rFonts w:hint="eastAsia" w:ascii="宋体" w:hAnsi="宋体" w:eastAsia="宋体" w:cs="宋体"/>
          <w:sz w:val="10"/>
        </w:rPr>
        <w:t>，</w:t>
      </w:r>
      <w:r>
        <w:rPr>
          <w:rFonts w:hint="eastAsia" w:ascii="宋体" w:hAnsi="宋体" w:eastAsia="宋体" w:cs="宋体"/>
          <w:sz w:val="24"/>
        </w:rPr>
        <w:t>自该项目达到预定可使用状态之日转为无形资产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（十二）资产减值</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对子公司的长期股权投资</w:t>
      </w:r>
      <w:r>
        <w:rPr>
          <w:rFonts w:hint="eastAsia" w:ascii="宋体" w:hAnsi="宋体" w:eastAsia="宋体" w:cs="宋体"/>
          <w:sz w:val="10"/>
        </w:rPr>
        <w:t>、</w:t>
      </w:r>
      <w:r>
        <w:rPr>
          <w:rFonts w:hint="eastAsia" w:ascii="宋体" w:hAnsi="宋体" w:eastAsia="宋体" w:cs="宋体"/>
          <w:sz w:val="24"/>
        </w:rPr>
        <w:t>固定资产</w:t>
      </w:r>
      <w:r>
        <w:rPr>
          <w:rFonts w:hint="eastAsia" w:ascii="宋体" w:hAnsi="宋体" w:eastAsia="宋体" w:cs="宋体"/>
          <w:sz w:val="10"/>
        </w:rPr>
        <w:t>、</w:t>
      </w:r>
      <w:r>
        <w:rPr>
          <w:rFonts w:hint="eastAsia" w:ascii="宋体" w:hAnsi="宋体" w:eastAsia="宋体" w:cs="宋体"/>
          <w:sz w:val="24"/>
        </w:rPr>
        <w:t>无形资产等（存货</w:t>
      </w:r>
      <w:r>
        <w:rPr>
          <w:rFonts w:hint="eastAsia" w:ascii="宋体" w:hAnsi="宋体" w:eastAsia="宋体" w:cs="宋体"/>
          <w:sz w:val="10"/>
        </w:rPr>
        <w:t>、</w:t>
      </w:r>
      <w:r>
        <w:rPr>
          <w:rFonts w:hint="eastAsia" w:ascii="宋体" w:hAnsi="宋体" w:eastAsia="宋体" w:cs="宋体"/>
          <w:sz w:val="24"/>
        </w:rPr>
        <w:t>递延所得税资产</w:t>
      </w:r>
      <w:r>
        <w:rPr>
          <w:rFonts w:hint="eastAsia" w:ascii="宋体" w:hAnsi="宋体" w:eastAsia="宋体" w:cs="宋体"/>
          <w:sz w:val="10"/>
        </w:rPr>
        <w:t>、</w:t>
      </w:r>
      <w:r>
        <w:rPr>
          <w:rFonts w:hint="eastAsia" w:ascii="宋体" w:hAnsi="宋体" w:eastAsia="宋体" w:cs="宋体"/>
          <w:sz w:val="24"/>
        </w:rPr>
        <w:t>金融资产除外）的资产减值</w:t>
      </w:r>
      <w:r>
        <w:rPr>
          <w:rFonts w:hint="eastAsia" w:ascii="宋体" w:hAnsi="宋体" w:eastAsia="宋体" w:cs="宋体"/>
          <w:sz w:val="10"/>
        </w:rPr>
        <w:t>，</w:t>
      </w:r>
      <w:r>
        <w:rPr>
          <w:rFonts w:hint="eastAsia" w:ascii="宋体" w:hAnsi="宋体" w:eastAsia="宋体" w:cs="宋体"/>
          <w:sz w:val="24"/>
        </w:rPr>
        <w:t>按以下方法确定</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于资产负债表日判断资产是否存在可能发生减值的迹象</w:t>
      </w:r>
      <w:r>
        <w:rPr>
          <w:rFonts w:hint="eastAsia" w:ascii="宋体" w:hAnsi="宋体" w:eastAsia="宋体" w:cs="宋体"/>
          <w:sz w:val="10"/>
        </w:rPr>
        <w:t>，</w:t>
      </w:r>
      <w:r>
        <w:rPr>
          <w:rFonts w:hint="eastAsia" w:ascii="宋体" w:hAnsi="宋体" w:eastAsia="宋体" w:cs="宋体"/>
          <w:sz w:val="24"/>
        </w:rPr>
        <w:t>存在减值迹象的</w:t>
      </w:r>
      <w:r>
        <w:rPr>
          <w:rFonts w:hint="eastAsia" w:ascii="宋体" w:hAnsi="宋体" w:eastAsia="宋体" w:cs="宋体"/>
          <w:sz w:val="10"/>
        </w:rPr>
        <w:t>，</w:t>
      </w:r>
      <w:r>
        <w:rPr>
          <w:rFonts w:hint="eastAsia" w:ascii="宋体" w:hAnsi="宋体" w:eastAsia="宋体" w:cs="宋体"/>
          <w:sz w:val="24"/>
        </w:rPr>
        <w:t>本公司将估计其可收回金额</w:t>
      </w:r>
      <w:r>
        <w:rPr>
          <w:rFonts w:hint="eastAsia" w:ascii="宋体" w:hAnsi="宋体" w:eastAsia="宋体" w:cs="宋体"/>
          <w:sz w:val="10"/>
        </w:rPr>
        <w:t>，</w:t>
      </w:r>
      <w:r>
        <w:rPr>
          <w:rFonts w:hint="eastAsia" w:ascii="宋体" w:hAnsi="宋体" w:eastAsia="宋体" w:cs="宋体"/>
          <w:sz w:val="24"/>
        </w:rPr>
        <w:t>进行减值测试</w:t>
      </w:r>
      <w:r>
        <w:rPr>
          <w:rFonts w:hint="eastAsia" w:ascii="宋体" w:hAnsi="宋体" w:eastAsia="宋体" w:cs="宋体"/>
          <w:sz w:val="10"/>
        </w:rPr>
        <w:t>。</w:t>
      </w:r>
      <w:r>
        <w:rPr>
          <w:rFonts w:hint="eastAsia" w:ascii="宋体" w:hAnsi="宋体" w:eastAsia="宋体" w:cs="宋体"/>
          <w:sz w:val="24"/>
        </w:rPr>
        <w:t>对使用寿命不确定的无形资产和尚未达到可使用状态的无形资产无论是否存在减值迹象</w:t>
      </w:r>
      <w:r>
        <w:rPr>
          <w:rFonts w:hint="eastAsia" w:ascii="宋体" w:hAnsi="宋体" w:eastAsia="宋体" w:cs="宋体"/>
          <w:sz w:val="10"/>
        </w:rPr>
        <w:t>，</w:t>
      </w:r>
      <w:r>
        <w:rPr>
          <w:rFonts w:hint="eastAsia" w:ascii="宋体" w:hAnsi="宋体" w:eastAsia="宋体" w:cs="宋体"/>
          <w:sz w:val="24"/>
        </w:rPr>
        <w:t>每年都进行减值测试</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1-1-231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可收回金额根据资产的公允价值减去处置费用后的净额与资产预计未来现金流量的现值两者之间较高者确定</w:t>
      </w:r>
      <w:r>
        <w:rPr>
          <w:rFonts w:hint="eastAsia" w:ascii="宋体" w:hAnsi="宋体" w:eastAsia="宋体" w:cs="宋体"/>
          <w:sz w:val="10"/>
        </w:rPr>
        <w:t>。</w:t>
      </w:r>
      <w:r>
        <w:rPr>
          <w:rFonts w:hint="eastAsia" w:ascii="宋体" w:hAnsi="宋体" w:eastAsia="宋体" w:cs="宋体"/>
          <w:sz w:val="24"/>
        </w:rPr>
        <w:t>本公司以单项资产为基础估计其可收回金额</w:t>
      </w:r>
      <w:r>
        <w:rPr>
          <w:rFonts w:hint="eastAsia" w:ascii="宋体" w:hAnsi="宋体" w:eastAsia="宋体" w:cs="宋体"/>
          <w:sz w:val="12"/>
        </w:rPr>
        <w:t>；</w:t>
      </w:r>
      <w:r>
        <w:rPr>
          <w:rFonts w:hint="eastAsia" w:ascii="宋体" w:hAnsi="宋体" w:eastAsia="宋体" w:cs="宋体"/>
          <w:sz w:val="24"/>
        </w:rPr>
        <w:t>难以对单项资产的可收回金额进行估计的</w:t>
      </w:r>
      <w:r>
        <w:rPr>
          <w:rFonts w:hint="eastAsia" w:ascii="宋体" w:hAnsi="宋体" w:eastAsia="宋体" w:cs="宋体"/>
          <w:sz w:val="10"/>
        </w:rPr>
        <w:t>，</w:t>
      </w:r>
      <w:r>
        <w:rPr>
          <w:rFonts w:hint="eastAsia" w:ascii="宋体" w:hAnsi="宋体" w:eastAsia="宋体" w:cs="宋体"/>
          <w:sz w:val="24"/>
        </w:rPr>
        <w:t>以该资产所属的资产组为基础确定资产组的可收回金额</w:t>
      </w:r>
      <w:r>
        <w:rPr>
          <w:rFonts w:hint="eastAsia" w:ascii="宋体" w:hAnsi="宋体" w:eastAsia="宋体" w:cs="宋体"/>
          <w:sz w:val="10"/>
        </w:rPr>
        <w:t>。</w:t>
      </w:r>
      <w:r>
        <w:rPr>
          <w:rFonts w:hint="eastAsia" w:ascii="宋体" w:hAnsi="宋体" w:eastAsia="宋体" w:cs="宋体"/>
          <w:sz w:val="24"/>
        </w:rPr>
        <w:t>资产组的认定</w:t>
      </w:r>
      <w:r>
        <w:rPr>
          <w:rFonts w:hint="eastAsia" w:ascii="宋体" w:hAnsi="宋体" w:eastAsia="宋体" w:cs="宋体"/>
          <w:sz w:val="10"/>
        </w:rPr>
        <w:t>，</w:t>
      </w:r>
      <w:r>
        <w:rPr>
          <w:rFonts w:hint="eastAsia" w:ascii="宋体" w:hAnsi="宋体" w:eastAsia="宋体" w:cs="宋体"/>
          <w:sz w:val="24"/>
        </w:rPr>
        <w:t>以资产组产生的主要现金流入是否独立于其他资产或者资产组的现金流入为依据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当资产或资产组的可收回金额低于其账面价值时</w:t>
      </w:r>
      <w:r>
        <w:rPr>
          <w:rFonts w:hint="eastAsia" w:ascii="宋体" w:hAnsi="宋体" w:eastAsia="宋体" w:cs="宋体"/>
          <w:sz w:val="10"/>
        </w:rPr>
        <w:t>，</w:t>
      </w:r>
      <w:r>
        <w:rPr>
          <w:rFonts w:hint="eastAsia" w:ascii="宋体" w:hAnsi="宋体" w:eastAsia="宋体" w:cs="宋体"/>
          <w:sz w:val="24"/>
        </w:rPr>
        <w:t>本公司将其账面价值减记至可收回金额</w:t>
      </w:r>
      <w:r>
        <w:rPr>
          <w:rFonts w:hint="eastAsia" w:ascii="宋体" w:hAnsi="宋体" w:eastAsia="宋体" w:cs="宋体"/>
          <w:sz w:val="10"/>
        </w:rPr>
        <w:t>，</w:t>
      </w:r>
      <w:r>
        <w:rPr>
          <w:rFonts w:hint="eastAsia" w:ascii="宋体" w:hAnsi="宋体" w:eastAsia="宋体" w:cs="宋体"/>
          <w:sz w:val="24"/>
        </w:rPr>
        <w:t>减记的金额计入当期损益</w:t>
      </w:r>
      <w:r>
        <w:rPr>
          <w:rFonts w:hint="eastAsia" w:ascii="宋体" w:hAnsi="宋体" w:eastAsia="宋体" w:cs="宋体"/>
          <w:sz w:val="10"/>
        </w:rPr>
        <w:t>，</w:t>
      </w:r>
      <w:r>
        <w:rPr>
          <w:rFonts w:hint="eastAsia" w:ascii="宋体" w:hAnsi="宋体" w:eastAsia="宋体" w:cs="宋体"/>
          <w:sz w:val="24"/>
        </w:rPr>
        <w:t>同时计提相应的资产减值准备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资产减值损失一经确认</w:t>
      </w:r>
      <w:r>
        <w:rPr>
          <w:rFonts w:hint="eastAsia" w:ascii="宋体" w:hAnsi="宋体" w:eastAsia="宋体" w:cs="宋体"/>
          <w:sz w:val="10"/>
        </w:rPr>
        <w:t>，</w:t>
      </w:r>
      <w:r>
        <w:rPr>
          <w:rFonts w:hint="eastAsia" w:ascii="宋体" w:hAnsi="宋体" w:eastAsia="宋体" w:cs="宋体"/>
          <w:sz w:val="24"/>
        </w:rPr>
        <w:t>在以后会计期间不再转回</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（十三）长期待摊费用</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本公司发生的长期待摊费用按实际成本计价</w:t>
      </w:r>
      <w:r>
        <w:rPr>
          <w:rFonts w:hint="eastAsia" w:ascii="宋体" w:hAnsi="宋体" w:eastAsia="宋体" w:cs="宋体"/>
          <w:sz w:val="10"/>
        </w:rPr>
        <w:t>，</w:t>
      </w:r>
      <w:r>
        <w:rPr>
          <w:rFonts w:hint="eastAsia" w:ascii="宋体" w:hAnsi="宋体" w:eastAsia="宋体" w:cs="宋体"/>
          <w:sz w:val="24"/>
        </w:rPr>
        <w:t>并按预计受益期限平均摊销</w:t>
      </w:r>
      <w:r>
        <w:rPr>
          <w:rFonts w:hint="eastAsia" w:ascii="宋体" w:hAnsi="宋体" w:eastAsia="宋体" w:cs="宋体"/>
          <w:sz w:val="10"/>
        </w:rPr>
        <w:t>。</w:t>
      </w:r>
      <w:r>
        <w:rPr>
          <w:rFonts w:hint="eastAsia" w:ascii="宋体" w:hAnsi="宋体" w:eastAsia="宋体" w:cs="宋体"/>
          <w:sz w:val="24"/>
        </w:rPr>
        <w:t>对不能使以后会计期间受益的长期待摊费用项目</w:t>
      </w:r>
      <w:r>
        <w:rPr>
          <w:rFonts w:hint="eastAsia" w:ascii="宋体" w:hAnsi="宋体" w:eastAsia="宋体" w:cs="宋体"/>
          <w:sz w:val="10"/>
        </w:rPr>
        <w:t>，</w:t>
      </w:r>
      <w:r>
        <w:rPr>
          <w:rFonts w:hint="eastAsia" w:ascii="宋体" w:hAnsi="宋体" w:eastAsia="宋体" w:cs="宋体"/>
          <w:sz w:val="24"/>
        </w:rPr>
        <w:t>其摊余价值全部计入当期损益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（十四）职工薪酬</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职工薪酬的范围</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职工薪酬</w:t>
      </w:r>
      <w:r>
        <w:rPr>
          <w:rFonts w:hint="eastAsia" w:ascii="宋体" w:hAnsi="宋体" w:eastAsia="宋体" w:cs="宋体"/>
          <w:sz w:val="10"/>
        </w:rPr>
        <w:t>，</w:t>
      </w:r>
      <w:r>
        <w:rPr>
          <w:rFonts w:hint="eastAsia" w:ascii="宋体" w:hAnsi="宋体" w:eastAsia="宋体" w:cs="宋体"/>
          <w:sz w:val="24"/>
        </w:rPr>
        <w:t>是指企业为获得职工提供的服务或解除劳动关系而给予的各种形式的报酬或补偿</w:t>
      </w:r>
      <w:r>
        <w:rPr>
          <w:rFonts w:hint="eastAsia" w:ascii="宋体" w:hAnsi="宋体" w:eastAsia="宋体" w:cs="宋体"/>
          <w:sz w:val="10"/>
        </w:rPr>
        <w:t>。</w:t>
      </w:r>
      <w:r>
        <w:rPr>
          <w:rFonts w:hint="eastAsia" w:ascii="宋体" w:hAnsi="宋体" w:eastAsia="宋体" w:cs="宋体"/>
          <w:sz w:val="24"/>
        </w:rPr>
        <w:t>职工薪酬包括短期薪酬</w:t>
      </w:r>
      <w:r>
        <w:rPr>
          <w:rFonts w:hint="eastAsia" w:ascii="宋体" w:hAnsi="宋体" w:eastAsia="宋体" w:cs="宋体"/>
          <w:sz w:val="10"/>
        </w:rPr>
        <w:t>、</w:t>
      </w:r>
      <w:r>
        <w:rPr>
          <w:rFonts w:hint="eastAsia" w:ascii="宋体" w:hAnsi="宋体" w:eastAsia="宋体" w:cs="宋体"/>
          <w:sz w:val="24"/>
        </w:rPr>
        <w:t>离职后福利</w:t>
      </w:r>
      <w:r>
        <w:rPr>
          <w:rFonts w:hint="eastAsia" w:ascii="宋体" w:hAnsi="宋体" w:eastAsia="宋体" w:cs="宋体"/>
          <w:sz w:val="10"/>
        </w:rPr>
        <w:t>、</w:t>
      </w:r>
      <w:r>
        <w:rPr>
          <w:rFonts w:hint="eastAsia" w:ascii="宋体" w:hAnsi="宋体" w:eastAsia="宋体" w:cs="宋体"/>
          <w:sz w:val="24"/>
        </w:rPr>
        <w:t>辞退福利和其他长期职工福利</w:t>
      </w:r>
      <w:r>
        <w:rPr>
          <w:rFonts w:hint="eastAsia" w:ascii="宋体" w:hAnsi="宋体" w:eastAsia="宋体" w:cs="宋体"/>
          <w:sz w:val="10"/>
        </w:rPr>
        <w:t>。</w:t>
      </w:r>
      <w:r>
        <w:rPr>
          <w:rFonts w:hint="eastAsia" w:ascii="宋体" w:hAnsi="宋体" w:eastAsia="宋体" w:cs="宋体"/>
          <w:sz w:val="24"/>
        </w:rPr>
        <w:t>企业提供给职工配偶</w:t>
      </w:r>
      <w:r>
        <w:rPr>
          <w:rFonts w:hint="eastAsia" w:ascii="宋体" w:hAnsi="宋体" w:eastAsia="宋体" w:cs="宋体"/>
          <w:sz w:val="10"/>
        </w:rPr>
        <w:t>、</w:t>
      </w:r>
      <w:r>
        <w:rPr>
          <w:rFonts w:hint="eastAsia" w:ascii="宋体" w:hAnsi="宋体" w:eastAsia="宋体" w:cs="宋体"/>
          <w:sz w:val="24"/>
        </w:rPr>
        <w:t>子女</w:t>
      </w:r>
      <w:r>
        <w:rPr>
          <w:rFonts w:hint="eastAsia" w:ascii="宋体" w:hAnsi="宋体" w:eastAsia="宋体" w:cs="宋体"/>
          <w:sz w:val="10"/>
        </w:rPr>
        <w:t>、</w:t>
      </w:r>
      <w:r>
        <w:rPr>
          <w:rFonts w:hint="eastAsia" w:ascii="宋体" w:hAnsi="宋体" w:eastAsia="宋体" w:cs="宋体"/>
          <w:sz w:val="24"/>
        </w:rPr>
        <w:t>受赡养人</w:t>
      </w:r>
      <w:r>
        <w:rPr>
          <w:rFonts w:hint="eastAsia" w:ascii="宋体" w:hAnsi="宋体" w:eastAsia="宋体" w:cs="宋体"/>
          <w:sz w:val="10"/>
        </w:rPr>
        <w:t>、</w:t>
      </w:r>
      <w:r>
        <w:rPr>
          <w:rFonts w:hint="eastAsia" w:ascii="宋体" w:hAnsi="宋体" w:eastAsia="宋体" w:cs="宋体"/>
          <w:sz w:val="24"/>
        </w:rPr>
        <w:t>已故员工遗属及其他受益人等的福利</w:t>
      </w:r>
      <w:r>
        <w:rPr>
          <w:rFonts w:hint="eastAsia" w:ascii="宋体" w:hAnsi="宋体" w:eastAsia="宋体" w:cs="宋体"/>
          <w:sz w:val="10"/>
        </w:rPr>
        <w:t>，</w:t>
      </w:r>
      <w:r>
        <w:rPr>
          <w:rFonts w:hint="eastAsia" w:ascii="宋体" w:hAnsi="宋体" w:eastAsia="宋体" w:cs="宋体"/>
          <w:sz w:val="24"/>
        </w:rPr>
        <w:t>也属于职工薪酬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根据流动性</w:t>
      </w:r>
      <w:r>
        <w:rPr>
          <w:rFonts w:hint="eastAsia" w:ascii="宋体" w:hAnsi="宋体" w:eastAsia="宋体" w:cs="宋体"/>
          <w:sz w:val="10"/>
        </w:rPr>
        <w:t>，</w:t>
      </w:r>
      <w:r>
        <w:rPr>
          <w:rFonts w:hint="eastAsia" w:ascii="宋体" w:hAnsi="宋体" w:eastAsia="宋体" w:cs="宋体"/>
          <w:sz w:val="24"/>
        </w:rPr>
        <w:t>职工薪酬分别列示于资产负债表的</w:t>
      </w:r>
      <w:r>
        <w:rPr>
          <w:rFonts w:hint="eastAsia" w:ascii="宋体" w:hAnsi="宋体" w:eastAsia="宋体" w:cs="宋体"/>
          <w:sz w:val="10"/>
        </w:rPr>
        <w:t>“</w:t>
      </w:r>
      <w:r>
        <w:rPr>
          <w:rFonts w:hint="eastAsia" w:ascii="宋体" w:hAnsi="宋体" w:eastAsia="宋体" w:cs="宋体"/>
          <w:sz w:val="24"/>
        </w:rPr>
        <w:t>应付职工薪酬</w:t>
      </w:r>
      <w:r>
        <w:rPr>
          <w:rFonts w:hint="eastAsia" w:ascii="宋体" w:hAnsi="宋体" w:eastAsia="宋体" w:cs="宋体"/>
          <w:sz w:val="10"/>
        </w:rPr>
        <w:t>”</w:t>
      </w:r>
      <w:r>
        <w:rPr>
          <w:rFonts w:hint="eastAsia" w:ascii="宋体" w:hAnsi="宋体" w:eastAsia="宋体" w:cs="宋体"/>
          <w:sz w:val="24"/>
        </w:rPr>
        <w:t>项目和</w:t>
      </w:r>
      <w:r>
        <w:rPr>
          <w:rFonts w:hint="eastAsia" w:ascii="宋体" w:hAnsi="宋体" w:eastAsia="宋体" w:cs="宋体"/>
          <w:sz w:val="10"/>
        </w:rPr>
        <w:t>“</w:t>
      </w:r>
      <w:r>
        <w:rPr>
          <w:rFonts w:hint="eastAsia" w:ascii="宋体" w:hAnsi="宋体" w:eastAsia="宋体" w:cs="宋体"/>
          <w:sz w:val="24"/>
        </w:rPr>
        <w:t>长期应付职工薪酬</w:t>
      </w:r>
      <w:r>
        <w:rPr>
          <w:rFonts w:hint="eastAsia" w:ascii="宋体" w:hAnsi="宋体" w:eastAsia="宋体" w:cs="宋体"/>
          <w:sz w:val="10"/>
        </w:rPr>
        <w:t>”</w:t>
      </w:r>
      <w:r>
        <w:rPr>
          <w:rFonts w:hint="eastAsia" w:ascii="宋体" w:hAnsi="宋体" w:eastAsia="宋体" w:cs="宋体"/>
          <w:sz w:val="24"/>
        </w:rPr>
        <w:t>项目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短期薪酬</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本公司在职工提供服务的会计期间</w:t>
      </w:r>
      <w:r>
        <w:rPr>
          <w:rFonts w:hint="eastAsia" w:ascii="宋体" w:hAnsi="宋体" w:eastAsia="宋体" w:cs="宋体"/>
          <w:sz w:val="10"/>
        </w:rPr>
        <w:t>，</w:t>
      </w:r>
      <w:r>
        <w:rPr>
          <w:rFonts w:hint="eastAsia" w:ascii="宋体" w:hAnsi="宋体" w:eastAsia="宋体" w:cs="宋体"/>
          <w:sz w:val="24"/>
        </w:rPr>
        <w:t>将实际发生的职工工资</w:t>
      </w:r>
      <w:r>
        <w:rPr>
          <w:rFonts w:hint="eastAsia" w:ascii="宋体" w:hAnsi="宋体" w:eastAsia="宋体" w:cs="宋体"/>
          <w:sz w:val="10"/>
        </w:rPr>
        <w:t>、</w:t>
      </w:r>
      <w:r>
        <w:rPr>
          <w:rFonts w:hint="eastAsia" w:ascii="宋体" w:hAnsi="宋体" w:eastAsia="宋体" w:cs="宋体"/>
          <w:sz w:val="24"/>
        </w:rPr>
        <w:t>奖金</w:t>
      </w:r>
      <w:r>
        <w:rPr>
          <w:rFonts w:hint="eastAsia" w:ascii="宋体" w:hAnsi="宋体" w:eastAsia="宋体" w:cs="宋体"/>
          <w:sz w:val="10"/>
        </w:rPr>
        <w:t>、</w:t>
      </w:r>
      <w:r>
        <w:rPr>
          <w:rFonts w:hint="eastAsia" w:ascii="宋体" w:hAnsi="宋体" w:eastAsia="宋体" w:cs="宋体"/>
          <w:sz w:val="24"/>
        </w:rPr>
        <w:t>按规定的基准和比例为职工缴纳的医疗保险费</w:t>
      </w:r>
      <w:r>
        <w:rPr>
          <w:rFonts w:hint="eastAsia" w:ascii="宋体" w:hAnsi="宋体" w:eastAsia="宋体" w:cs="宋体"/>
          <w:sz w:val="10"/>
        </w:rPr>
        <w:t>、</w:t>
      </w:r>
      <w:r>
        <w:rPr>
          <w:rFonts w:hint="eastAsia" w:ascii="宋体" w:hAnsi="宋体" w:eastAsia="宋体" w:cs="宋体"/>
          <w:sz w:val="24"/>
        </w:rPr>
        <w:t>工伤保险费和生育保险费等社会保险费和住房公积金</w:t>
      </w:r>
      <w:r>
        <w:rPr>
          <w:rFonts w:hint="eastAsia" w:ascii="宋体" w:hAnsi="宋体" w:eastAsia="宋体" w:cs="宋体"/>
          <w:sz w:val="10"/>
        </w:rPr>
        <w:t>，</w:t>
      </w:r>
      <w:r>
        <w:rPr>
          <w:rFonts w:hint="eastAsia" w:ascii="宋体" w:hAnsi="宋体" w:eastAsia="宋体" w:cs="宋体"/>
          <w:sz w:val="24"/>
        </w:rPr>
        <w:t>确认为负债</w:t>
      </w:r>
      <w:r>
        <w:rPr>
          <w:rFonts w:hint="eastAsia" w:ascii="宋体" w:hAnsi="宋体" w:eastAsia="宋体" w:cs="宋体"/>
          <w:sz w:val="10"/>
        </w:rPr>
        <w:t>，</w:t>
      </w:r>
      <w:r>
        <w:rPr>
          <w:rFonts w:hint="eastAsia" w:ascii="宋体" w:hAnsi="宋体" w:eastAsia="宋体" w:cs="宋体"/>
          <w:sz w:val="24"/>
        </w:rPr>
        <w:t>并计入当期损益或相关资产成本</w:t>
      </w:r>
      <w:r>
        <w:rPr>
          <w:rFonts w:hint="eastAsia" w:ascii="宋体" w:hAnsi="宋体" w:eastAsia="宋体" w:cs="宋体"/>
          <w:sz w:val="10"/>
        </w:rPr>
        <w:t>。</w:t>
      </w:r>
      <w:r>
        <w:rPr>
          <w:rFonts w:hint="eastAsia" w:ascii="宋体" w:hAnsi="宋体" w:eastAsia="宋体" w:cs="宋体"/>
          <w:sz w:val="24"/>
        </w:rPr>
        <w:t>如果该负债预期在职工提供相关服务的年度报告期结束后十二个月内不能完全支付</w:t>
      </w:r>
      <w:r>
        <w:rPr>
          <w:rFonts w:hint="eastAsia" w:ascii="宋体" w:hAnsi="宋体" w:eastAsia="宋体" w:cs="宋体"/>
          <w:sz w:val="10"/>
        </w:rPr>
        <w:t>，</w:t>
      </w:r>
      <w:r>
        <w:rPr>
          <w:rFonts w:hint="eastAsia" w:ascii="宋体" w:hAnsi="宋体" w:eastAsia="宋体" w:cs="宋体"/>
          <w:sz w:val="24"/>
        </w:rPr>
        <w:t>且财务影响重大的</w:t>
      </w:r>
      <w:r>
        <w:rPr>
          <w:rFonts w:hint="eastAsia" w:ascii="宋体" w:hAnsi="宋体" w:eastAsia="宋体" w:cs="宋体"/>
          <w:sz w:val="10"/>
        </w:rPr>
        <w:t>，</w:t>
      </w:r>
      <w:r>
        <w:rPr>
          <w:rFonts w:hint="eastAsia" w:ascii="宋体" w:hAnsi="宋体" w:eastAsia="宋体" w:cs="宋体"/>
          <w:sz w:val="24"/>
        </w:rPr>
        <w:t>则该负债将以折现后的金额计量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离职后福利</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1-1-232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40" w:firstLine="480"/>
        <w:jc w:val="both"/>
      </w:pPr>
      <w:r>
        <w:rPr>
          <w:rFonts w:hint="eastAsia" w:ascii="宋体" w:hAnsi="宋体" w:eastAsia="宋体" w:cs="宋体"/>
          <w:sz w:val="24"/>
        </w:rPr>
        <w:t>离职后福利计划包括设定提存计划和设定受益计划</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设定提存计划</w:t>
      </w:r>
      <w:r>
        <w:rPr>
          <w:rFonts w:hint="eastAsia" w:ascii="宋体" w:hAnsi="宋体" w:eastAsia="宋体" w:cs="宋体"/>
          <w:sz w:val="10"/>
        </w:rPr>
        <w:t>，</w:t>
      </w:r>
      <w:r>
        <w:rPr>
          <w:rFonts w:hint="eastAsia" w:ascii="宋体" w:hAnsi="宋体" w:eastAsia="宋体" w:cs="宋体"/>
          <w:sz w:val="24"/>
        </w:rPr>
        <w:t>是指向独立的基金缴存固定费用后</w:t>
      </w:r>
      <w:r>
        <w:rPr>
          <w:rFonts w:hint="eastAsia" w:ascii="宋体" w:hAnsi="宋体" w:eastAsia="宋体" w:cs="宋体"/>
          <w:sz w:val="10"/>
        </w:rPr>
        <w:t>，</w:t>
      </w:r>
      <w:r>
        <w:rPr>
          <w:rFonts w:hint="eastAsia" w:ascii="宋体" w:hAnsi="宋体" w:eastAsia="宋体" w:cs="宋体"/>
          <w:sz w:val="24"/>
        </w:rPr>
        <w:t>企业不再承担进一步支付义务的离职后福利计划</w:t>
      </w:r>
      <w:r>
        <w:rPr>
          <w:rFonts w:hint="eastAsia" w:ascii="宋体" w:hAnsi="宋体" w:eastAsia="宋体" w:cs="宋体"/>
          <w:sz w:val="12"/>
        </w:rPr>
        <w:t>；</w:t>
      </w:r>
      <w:r>
        <w:rPr>
          <w:rFonts w:hint="eastAsia" w:ascii="宋体" w:hAnsi="宋体" w:eastAsia="宋体" w:cs="宋体"/>
          <w:sz w:val="24"/>
        </w:rPr>
        <w:t>设定受益计划</w:t>
      </w:r>
      <w:r>
        <w:rPr>
          <w:rFonts w:hint="eastAsia" w:ascii="宋体" w:hAnsi="宋体" w:eastAsia="宋体" w:cs="宋体"/>
          <w:sz w:val="10"/>
        </w:rPr>
        <w:t>，</w:t>
      </w:r>
      <w:r>
        <w:rPr>
          <w:rFonts w:hint="eastAsia" w:ascii="宋体" w:hAnsi="宋体" w:eastAsia="宋体" w:cs="宋体"/>
          <w:sz w:val="24"/>
        </w:rPr>
        <w:t>是指除设定提存计划以外的离职后福利计划</w:t>
      </w:r>
      <w:r>
        <w:rPr>
          <w:rFonts w:hint="eastAsia" w:ascii="宋体" w:hAnsi="宋体" w:eastAsia="宋体" w:cs="宋体"/>
          <w:sz w:val="10"/>
        </w:rPr>
        <w:t>。</w:t>
      </w:r>
      <w:r>
        <w:rPr>
          <w:rFonts w:hint="eastAsia" w:ascii="宋体" w:hAnsi="宋体" w:eastAsia="宋体" w:cs="宋体"/>
          <w:sz w:val="24"/>
        </w:rPr>
        <w:t>本公司离职后福利计划均为设定提存计划</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设定提存计划包括基本养老保险</w:t>
      </w:r>
      <w:r>
        <w:rPr>
          <w:rFonts w:hint="eastAsia" w:ascii="宋体" w:hAnsi="宋体" w:eastAsia="宋体" w:cs="宋体"/>
          <w:sz w:val="10"/>
        </w:rPr>
        <w:t>、</w:t>
      </w:r>
      <w:r>
        <w:rPr>
          <w:rFonts w:hint="eastAsia" w:ascii="宋体" w:hAnsi="宋体" w:eastAsia="宋体" w:cs="宋体"/>
          <w:sz w:val="24"/>
        </w:rPr>
        <w:t>失业保险等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在职工提供服务的会计期间</w:t>
      </w:r>
      <w:r>
        <w:rPr>
          <w:rFonts w:hint="eastAsia" w:ascii="宋体" w:hAnsi="宋体" w:eastAsia="宋体" w:cs="宋体"/>
          <w:sz w:val="10"/>
        </w:rPr>
        <w:t>，</w:t>
      </w:r>
      <w:r>
        <w:rPr>
          <w:rFonts w:hint="eastAsia" w:ascii="宋体" w:hAnsi="宋体" w:eastAsia="宋体" w:cs="宋体"/>
          <w:sz w:val="24"/>
        </w:rPr>
        <w:t>根据设定提存计划计算的应缴存金额确认为负债</w:t>
      </w:r>
      <w:r>
        <w:rPr>
          <w:rFonts w:hint="eastAsia" w:ascii="宋体" w:hAnsi="宋体" w:eastAsia="宋体" w:cs="宋体"/>
          <w:sz w:val="10"/>
        </w:rPr>
        <w:t>，</w:t>
      </w:r>
      <w:r>
        <w:rPr>
          <w:rFonts w:hint="eastAsia" w:ascii="宋体" w:hAnsi="宋体" w:eastAsia="宋体" w:cs="宋体"/>
          <w:sz w:val="24"/>
        </w:rPr>
        <w:t>并计入当期损益或相关资产成本</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辞退福利</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本公司向职工提供辞退福利的</w:t>
      </w:r>
      <w:r>
        <w:rPr>
          <w:rFonts w:hint="eastAsia" w:ascii="宋体" w:hAnsi="宋体" w:eastAsia="宋体" w:cs="宋体"/>
          <w:sz w:val="10"/>
        </w:rPr>
        <w:t>，</w:t>
      </w:r>
      <w:r>
        <w:rPr>
          <w:rFonts w:hint="eastAsia" w:ascii="宋体" w:hAnsi="宋体" w:eastAsia="宋体" w:cs="宋体"/>
          <w:sz w:val="24"/>
        </w:rPr>
        <w:t>在下列两者孰早日确认辞退福利产生的职工薪酬负债</w:t>
      </w:r>
      <w:r>
        <w:rPr>
          <w:rFonts w:hint="eastAsia" w:ascii="宋体" w:hAnsi="宋体" w:eastAsia="宋体" w:cs="宋体"/>
          <w:sz w:val="10"/>
        </w:rPr>
        <w:t>，</w:t>
      </w:r>
      <w:r>
        <w:rPr>
          <w:rFonts w:hint="eastAsia" w:ascii="宋体" w:hAnsi="宋体" w:eastAsia="宋体" w:cs="宋体"/>
          <w:sz w:val="24"/>
        </w:rPr>
        <w:t>并计入当期损益</w:t>
      </w:r>
      <w:r>
        <w:rPr>
          <w:rFonts w:hint="eastAsia" w:ascii="宋体" w:hAnsi="宋体" w:eastAsia="宋体" w:cs="宋体"/>
          <w:sz w:val="12"/>
        </w:rPr>
        <w:t>：</w:t>
      </w:r>
      <w:r>
        <w:rPr>
          <w:rFonts w:hint="eastAsia" w:ascii="宋体" w:hAnsi="宋体" w:eastAsia="宋体" w:cs="宋体"/>
          <w:sz w:val="24"/>
        </w:rPr>
        <w:t>本公司不能单方面撤回因解除劳动关系计划或裁减建议所提供的辞退福利时</w:t>
      </w:r>
      <w:r>
        <w:rPr>
          <w:rFonts w:hint="eastAsia" w:ascii="宋体" w:hAnsi="宋体" w:eastAsia="宋体" w:cs="宋体"/>
          <w:sz w:val="14"/>
        </w:rPr>
        <w:t>；</w:t>
      </w:r>
      <w:r>
        <w:rPr>
          <w:rFonts w:hint="eastAsia" w:ascii="宋体" w:hAnsi="宋体" w:eastAsia="宋体" w:cs="宋体"/>
          <w:sz w:val="24"/>
        </w:rPr>
        <w:t>本公司确认与涉及支付辞退福利的重组相关的成本或费用时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5</w:t>
      </w:r>
      <w:r>
        <w:rPr>
          <w:rFonts w:hint="eastAsia" w:ascii="宋体" w:hAnsi="宋体" w:eastAsia="宋体" w:cs="宋体"/>
          <w:sz w:val="10"/>
        </w:rPr>
        <w:t>、</w:t>
      </w:r>
      <w:r>
        <w:rPr>
          <w:rFonts w:hint="eastAsia" w:ascii="宋体" w:hAnsi="宋体" w:eastAsia="宋体" w:cs="宋体"/>
          <w:sz w:val="24"/>
        </w:rPr>
        <w:t>其他长期福利</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本公司向职工提供的其他长期职工福利</w:t>
      </w:r>
      <w:r>
        <w:rPr>
          <w:rFonts w:hint="eastAsia" w:ascii="宋体" w:hAnsi="宋体" w:eastAsia="宋体" w:cs="宋体"/>
          <w:sz w:val="10"/>
        </w:rPr>
        <w:t>，</w:t>
      </w:r>
      <w:r>
        <w:rPr>
          <w:rFonts w:hint="eastAsia" w:ascii="宋体" w:hAnsi="宋体" w:eastAsia="宋体" w:cs="宋体"/>
          <w:sz w:val="24"/>
        </w:rPr>
        <w:t>符合设定提存计划条件的</w:t>
      </w:r>
      <w:r>
        <w:rPr>
          <w:rFonts w:hint="eastAsia" w:ascii="宋体" w:hAnsi="宋体" w:eastAsia="宋体" w:cs="宋体"/>
          <w:sz w:val="10"/>
        </w:rPr>
        <w:t>，</w:t>
      </w:r>
      <w:r>
        <w:rPr>
          <w:rFonts w:hint="eastAsia" w:ascii="宋体" w:hAnsi="宋体" w:eastAsia="宋体" w:cs="宋体"/>
          <w:sz w:val="24"/>
        </w:rPr>
        <w:t>按照上述关于设定提存计划的有关规定进行处理</w:t>
      </w:r>
      <w:r>
        <w:rPr>
          <w:rFonts w:hint="eastAsia" w:ascii="宋体" w:hAnsi="宋体" w:eastAsia="宋体" w:cs="宋体"/>
          <w:sz w:val="10"/>
        </w:rPr>
        <w:t>。</w:t>
      </w:r>
      <w:r>
        <w:rPr>
          <w:rFonts w:hint="eastAsia" w:ascii="宋体" w:hAnsi="宋体" w:eastAsia="宋体" w:cs="宋体"/>
          <w:sz w:val="24"/>
        </w:rPr>
        <w:t>符合设定受益计划的</w:t>
      </w:r>
      <w:r>
        <w:rPr>
          <w:rFonts w:hint="eastAsia" w:ascii="宋体" w:hAnsi="宋体" w:eastAsia="宋体" w:cs="宋体"/>
          <w:sz w:val="10"/>
        </w:rPr>
        <w:t>，</w:t>
      </w:r>
      <w:r>
        <w:rPr>
          <w:rFonts w:hint="eastAsia" w:ascii="宋体" w:hAnsi="宋体" w:eastAsia="宋体" w:cs="宋体"/>
          <w:sz w:val="24"/>
        </w:rPr>
        <w:t>按照上述关于设定受益计划的有关规定进行处理</w:t>
      </w:r>
      <w:r>
        <w:rPr>
          <w:rFonts w:hint="eastAsia" w:ascii="宋体" w:hAnsi="宋体" w:eastAsia="宋体" w:cs="宋体"/>
          <w:sz w:val="10"/>
        </w:rPr>
        <w:t>，</w:t>
      </w:r>
      <w:r>
        <w:rPr>
          <w:rFonts w:hint="eastAsia" w:ascii="宋体" w:hAnsi="宋体" w:eastAsia="宋体" w:cs="宋体"/>
          <w:sz w:val="24"/>
        </w:rPr>
        <w:t>但相关职工薪酬成本中</w:t>
      </w:r>
      <w:r>
        <w:rPr>
          <w:rFonts w:hint="eastAsia" w:ascii="宋体" w:hAnsi="宋体" w:eastAsia="宋体" w:cs="宋体"/>
          <w:sz w:val="10"/>
        </w:rPr>
        <w:t>“</w:t>
      </w:r>
      <w:r>
        <w:rPr>
          <w:rFonts w:hint="eastAsia" w:ascii="宋体" w:hAnsi="宋体" w:eastAsia="宋体" w:cs="宋体"/>
          <w:sz w:val="24"/>
        </w:rPr>
        <w:t>重新计量设定受益计划净负债或净资产所产生的变动</w:t>
      </w:r>
      <w:r>
        <w:rPr>
          <w:rFonts w:hint="eastAsia" w:ascii="宋体" w:hAnsi="宋体" w:eastAsia="宋体" w:cs="宋体"/>
          <w:sz w:val="10"/>
        </w:rPr>
        <w:t>”</w:t>
      </w:r>
      <w:r>
        <w:rPr>
          <w:rFonts w:hint="eastAsia" w:ascii="宋体" w:hAnsi="宋体" w:eastAsia="宋体" w:cs="宋体"/>
          <w:sz w:val="24"/>
        </w:rPr>
        <w:t>部分计入当期损益或相关资产成本</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（十五）收入</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、一</w:t>
      </w:r>
      <w:r>
        <w:rPr>
          <w:rFonts w:hint="eastAsia" w:ascii="宋体" w:hAnsi="宋体" w:eastAsia="宋体" w:cs="宋体"/>
          <w:sz w:val="24"/>
        </w:rPr>
        <w:t>般原则</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）销售商品</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在已将商品所有权上的主要风险和报酬转移给购货方</w:t>
      </w:r>
      <w:r>
        <w:rPr>
          <w:rFonts w:hint="eastAsia" w:ascii="宋体" w:hAnsi="宋体" w:eastAsia="宋体" w:cs="宋体"/>
          <w:sz w:val="10"/>
        </w:rPr>
        <w:t>，</w:t>
      </w:r>
      <w:r>
        <w:rPr>
          <w:rFonts w:hint="eastAsia" w:ascii="宋体" w:hAnsi="宋体" w:eastAsia="宋体" w:cs="宋体"/>
          <w:sz w:val="24"/>
        </w:rPr>
        <w:t>既没有保留通常与所有权相联系的继续管理权</w:t>
      </w:r>
      <w:r>
        <w:rPr>
          <w:rFonts w:hint="eastAsia" w:ascii="宋体" w:hAnsi="宋体" w:eastAsia="宋体" w:cs="宋体"/>
          <w:sz w:val="10"/>
        </w:rPr>
        <w:t>，</w:t>
      </w:r>
      <w:r>
        <w:rPr>
          <w:rFonts w:hint="eastAsia" w:ascii="宋体" w:hAnsi="宋体" w:eastAsia="宋体" w:cs="宋体"/>
          <w:sz w:val="24"/>
        </w:rPr>
        <w:t>也没有对已售商品实施有效控制</w:t>
      </w:r>
      <w:r>
        <w:rPr>
          <w:rFonts w:hint="eastAsia" w:ascii="宋体" w:hAnsi="宋体" w:eastAsia="宋体" w:cs="宋体"/>
          <w:sz w:val="10"/>
        </w:rPr>
        <w:t>，</w:t>
      </w:r>
      <w:r>
        <w:rPr>
          <w:rFonts w:hint="eastAsia" w:ascii="宋体" w:hAnsi="宋体" w:eastAsia="宋体" w:cs="宋体"/>
          <w:sz w:val="24"/>
        </w:rPr>
        <w:t>收入的金额能够可靠地计量</w:t>
      </w:r>
      <w:r>
        <w:rPr>
          <w:rFonts w:hint="eastAsia" w:ascii="宋体" w:hAnsi="宋体" w:eastAsia="宋体" w:cs="宋体"/>
          <w:sz w:val="10"/>
        </w:rPr>
        <w:t>，</w:t>
      </w:r>
      <w:r>
        <w:rPr>
          <w:rFonts w:hint="eastAsia" w:ascii="宋体" w:hAnsi="宋体" w:eastAsia="宋体" w:cs="宋体"/>
          <w:sz w:val="24"/>
        </w:rPr>
        <w:t>相关的经济利益很可能流入企业</w:t>
      </w:r>
      <w:r>
        <w:rPr>
          <w:rFonts w:hint="eastAsia" w:ascii="宋体" w:hAnsi="宋体" w:eastAsia="宋体" w:cs="宋体"/>
          <w:sz w:val="10"/>
        </w:rPr>
        <w:t>，</w:t>
      </w:r>
      <w:r>
        <w:rPr>
          <w:rFonts w:hint="eastAsia" w:ascii="宋体" w:hAnsi="宋体" w:eastAsia="宋体" w:cs="宋体"/>
          <w:sz w:val="24"/>
        </w:rPr>
        <w:t>相关的已发生或将发生的成本能够可靠地计量时</w:t>
      </w:r>
      <w:r>
        <w:rPr>
          <w:rFonts w:hint="eastAsia" w:ascii="宋体" w:hAnsi="宋体" w:eastAsia="宋体" w:cs="宋体"/>
          <w:sz w:val="10"/>
        </w:rPr>
        <w:t>，</w:t>
      </w:r>
      <w:r>
        <w:rPr>
          <w:rFonts w:hint="eastAsia" w:ascii="宋体" w:hAnsi="宋体" w:eastAsia="宋体" w:cs="宋体"/>
          <w:sz w:val="24"/>
        </w:rPr>
        <w:t>确认商品销售收入的实现</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）提供劳务</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对在提供劳务交易的结果能够可靠估计的情况下</w:t>
      </w:r>
      <w:r>
        <w:rPr>
          <w:rFonts w:hint="eastAsia" w:ascii="宋体" w:hAnsi="宋体" w:eastAsia="宋体" w:cs="宋体"/>
          <w:sz w:val="10"/>
        </w:rPr>
        <w:t>，</w:t>
      </w:r>
      <w:r>
        <w:rPr>
          <w:rFonts w:hint="eastAsia" w:ascii="宋体" w:hAnsi="宋体" w:eastAsia="宋体" w:cs="宋体"/>
          <w:sz w:val="24"/>
        </w:rPr>
        <w:t>本公司于资产负债表日按完工百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1-1-233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分比法确认收入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劳务交易的完工进度按已经提供的劳务占应提供劳务总量的比例确定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提供劳务交易的结果能够可靠估计是指同时满足</w:t>
      </w:r>
      <w:r>
        <w:rPr>
          <w:rFonts w:hint="eastAsia" w:ascii="宋体" w:hAnsi="宋体" w:eastAsia="宋体" w:cs="宋体"/>
          <w:sz w:val="10"/>
        </w:rPr>
        <w:t>：</w:t>
      </w:r>
      <w:r>
        <w:rPr>
          <w:rFonts w:hint="eastAsia" w:ascii="Times New Roman" w:hAnsi="Times New Roman" w:eastAsia="Times New Roman" w:cs="Times New Roman"/>
          <w:sz w:val="24"/>
        </w:rPr>
        <w:t>A</w:t>
      </w:r>
      <w:r>
        <w:rPr>
          <w:rFonts w:hint="eastAsia" w:ascii="宋体" w:hAnsi="宋体" w:eastAsia="宋体" w:cs="宋体"/>
          <w:sz w:val="10"/>
        </w:rPr>
        <w:t>、</w:t>
      </w:r>
      <w:r>
        <w:rPr>
          <w:rFonts w:hint="eastAsia" w:ascii="宋体" w:hAnsi="宋体" w:eastAsia="宋体" w:cs="宋体"/>
          <w:sz w:val="24"/>
        </w:rPr>
        <w:t>收入的金额能够可靠地计量</w:t>
      </w:r>
      <w:r>
        <w:rPr>
          <w:rFonts w:hint="eastAsia" w:ascii="宋体" w:hAnsi="宋体" w:eastAsia="宋体" w:cs="宋体"/>
          <w:sz w:val="12"/>
        </w:rPr>
        <w:t>；</w:t>
      </w:r>
      <w:r>
        <w:rPr>
          <w:rFonts w:hint="eastAsia" w:ascii="Times New Roman" w:hAnsi="Times New Roman" w:eastAsia="Times New Roman" w:cs="Times New Roman"/>
          <w:sz w:val="24"/>
        </w:rPr>
        <w:t>B</w:t>
      </w:r>
      <w:r>
        <w:rPr>
          <w:rFonts w:hint="eastAsia" w:ascii="宋体" w:hAnsi="宋体" w:eastAsia="宋体" w:cs="宋体"/>
          <w:sz w:val="10"/>
        </w:rPr>
        <w:t>、</w:t>
      </w:r>
      <w:r>
        <w:rPr>
          <w:rFonts w:hint="eastAsia" w:ascii="宋体" w:hAnsi="宋体" w:eastAsia="宋体" w:cs="宋体"/>
          <w:sz w:val="24"/>
        </w:rPr>
        <w:t>相关的经济利益很可能流入企业</w:t>
      </w:r>
      <w:r>
        <w:rPr>
          <w:rFonts w:hint="eastAsia" w:ascii="宋体" w:hAnsi="宋体" w:eastAsia="宋体" w:cs="宋体"/>
          <w:sz w:val="12"/>
        </w:rPr>
        <w:t>；</w:t>
      </w:r>
      <w:r>
        <w:rPr>
          <w:rFonts w:hint="eastAsia" w:ascii="Times New Roman" w:hAnsi="Times New Roman" w:eastAsia="Times New Roman" w:cs="Times New Roman"/>
          <w:sz w:val="24"/>
        </w:rPr>
        <w:t>C</w:t>
      </w:r>
      <w:r>
        <w:rPr>
          <w:rFonts w:hint="eastAsia" w:ascii="宋体" w:hAnsi="宋体" w:eastAsia="宋体" w:cs="宋体"/>
          <w:sz w:val="10"/>
        </w:rPr>
        <w:t>、</w:t>
      </w:r>
      <w:r>
        <w:rPr>
          <w:rFonts w:hint="eastAsia" w:ascii="宋体" w:hAnsi="宋体" w:eastAsia="宋体" w:cs="宋体"/>
          <w:sz w:val="24"/>
        </w:rPr>
        <w:t>交易的完工程度能够可靠地确定</w:t>
      </w:r>
      <w:r>
        <w:rPr>
          <w:rFonts w:hint="eastAsia" w:ascii="宋体" w:hAnsi="宋体" w:eastAsia="宋体" w:cs="宋体"/>
          <w:sz w:val="12"/>
        </w:rPr>
        <w:t>；</w:t>
      </w:r>
      <w:r>
        <w:rPr>
          <w:rFonts w:hint="eastAsia" w:ascii="Times New Roman" w:hAnsi="Times New Roman" w:eastAsia="Times New Roman" w:cs="Times New Roman"/>
          <w:sz w:val="24"/>
        </w:rPr>
        <w:t>D</w:t>
      </w:r>
      <w:r>
        <w:rPr>
          <w:rFonts w:hint="eastAsia" w:ascii="宋体" w:hAnsi="宋体" w:eastAsia="宋体" w:cs="宋体"/>
          <w:sz w:val="10"/>
        </w:rPr>
        <w:t>、</w:t>
      </w:r>
      <w:r>
        <w:rPr>
          <w:rFonts w:hint="eastAsia" w:ascii="宋体" w:hAnsi="宋体" w:eastAsia="宋体" w:cs="宋体"/>
          <w:sz w:val="24"/>
        </w:rPr>
        <w:t>交易中已发生和将发生的成本能够可靠地计量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如果提供劳务交易的结果不能够可靠估计</w:t>
      </w:r>
      <w:r>
        <w:rPr>
          <w:rFonts w:hint="eastAsia" w:ascii="宋体" w:hAnsi="宋体" w:eastAsia="宋体" w:cs="宋体"/>
          <w:sz w:val="10"/>
        </w:rPr>
        <w:t>，</w:t>
      </w:r>
      <w:r>
        <w:rPr>
          <w:rFonts w:hint="eastAsia" w:ascii="宋体" w:hAnsi="宋体" w:eastAsia="宋体" w:cs="宋体"/>
          <w:sz w:val="24"/>
        </w:rPr>
        <w:t>则按已经发生并预计能够得到补偿的劳务成本金额确认提供的劳务收入</w:t>
      </w:r>
      <w:r>
        <w:rPr>
          <w:rFonts w:hint="eastAsia" w:ascii="宋体" w:hAnsi="宋体" w:eastAsia="宋体" w:cs="宋体"/>
          <w:sz w:val="10"/>
        </w:rPr>
        <w:t>，</w:t>
      </w:r>
      <w:r>
        <w:rPr>
          <w:rFonts w:hint="eastAsia" w:ascii="宋体" w:hAnsi="宋体" w:eastAsia="宋体" w:cs="宋体"/>
          <w:sz w:val="24"/>
        </w:rPr>
        <w:t>并将已发生的劳务成本作为当期费用</w:t>
      </w:r>
      <w:r>
        <w:rPr>
          <w:rFonts w:hint="eastAsia" w:ascii="宋体" w:hAnsi="宋体" w:eastAsia="宋体" w:cs="宋体"/>
          <w:sz w:val="10"/>
        </w:rPr>
        <w:t>。</w:t>
      </w:r>
      <w:r>
        <w:rPr>
          <w:rFonts w:hint="eastAsia" w:ascii="宋体" w:hAnsi="宋体" w:eastAsia="宋体" w:cs="宋体"/>
          <w:sz w:val="24"/>
        </w:rPr>
        <w:t>已经发生的劳务成本如预计不能得到补偿的</w:t>
      </w:r>
      <w:r>
        <w:rPr>
          <w:rFonts w:hint="eastAsia" w:ascii="宋体" w:hAnsi="宋体" w:eastAsia="宋体" w:cs="宋体"/>
          <w:sz w:val="10"/>
        </w:rPr>
        <w:t>，</w:t>
      </w:r>
      <w:r>
        <w:rPr>
          <w:rFonts w:hint="eastAsia" w:ascii="宋体" w:hAnsi="宋体" w:eastAsia="宋体" w:cs="宋体"/>
          <w:sz w:val="24"/>
        </w:rPr>
        <w:t>则不确认收入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）让渡资产使用权</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与资产使用权让渡相关的经济利益能够流入及收入的金额能够可靠地计量时</w:t>
      </w:r>
      <w:r>
        <w:rPr>
          <w:rFonts w:hint="eastAsia" w:ascii="宋体" w:hAnsi="宋体" w:eastAsia="宋体" w:cs="宋体"/>
          <w:sz w:val="10"/>
        </w:rPr>
        <w:t>，</w:t>
      </w:r>
      <w:r>
        <w:rPr>
          <w:rFonts w:hint="eastAsia" w:ascii="宋体" w:hAnsi="宋体" w:eastAsia="宋体" w:cs="宋体"/>
          <w:sz w:val="24"/>
        </w:rPr>
        <w:t>本公司确认收入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具体方法</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本公司主营业务收入按业务性质分为定制软件开发业务</w:t>
      </w:r>
      <w:r>
        <w:rPr>
          <w:rFonts w:hint="eastAsia" w:ascii="宋体" w:hAnsi="宋体" w:eastAsia="宋体" w:cs="宋体"/>
          <w:sz w:val="10"/>
        </w:rPr>
        <w:t>、</w:t>
      </w:r>
      <w:r>
        <w:rPr>
          <w:rFonts w:hint="eastAsia" w:ascii="宋体" w:hAnsi="宋体" w:eastAsia="宋体" w:cs="宋体"/>
          <w:sz w:val="24"/>
        </w:rPr>
        <w:t>产品化软件开发业务</w:t>
      </w:r>
      <w:r>
        <w:rPr>
          <w:rFonts w:hint="eastAsia" w:ascii="宋体" w:hAnsi="宋体" w:eastAsia="宋体" w:cs="宋体"/>
          <w:sz w:val="10"/>
        </w:rPr>
        <w:t>、</w:t>
      </w:r>
      <w:r>
        <w:rPr>
          <w:rFonts w:hint="eastAsia" w:ascii="宋体" w:hAnsi="宋体" w:eastAsia="宋体" w:cs="宋体"/>
          <w:sz w:val="24"/>
        </w:rPr>
        <w:t>软件运维服务业务</w:t>
      </w:r>
      <w:r>
        <w:rPr>
          <w:rFonts w:hint="eastAsia" w:ascii="宋体" w:hAnsi="宋体" w:eastAsia="宋体" w:cs="宋体"/>
          <w:sz w:val="10"/>
        </w:rPr>
        <w:t>、</w:t>
      </w:r>
      <w:r>
        <w:rPr>
          <w:rFonts w:hint="eastAsia" w:ascii="宋体" w:hAnsi="宋体" w:eastAsia="宋体" w:cs="宋体"/>
          <w:sz w:val="24"/>
        </w:rPr>
        <w:t>系统集成业务</w:t>
      </w:r>
      <w:r>
        <w:rPr>
          <w:rFonts w:hint="eastAsia" w:ascii="宋体" w:hAnsi="宋体" w:eastAsia="宋体" w:cs="宋体"/>
          <w:sz w:val="10"/>
        </w:rPr>
        <w:t>，</w:t>
      </w:r>
      <w:r>
        <w:rPr>
          <w:rFonts w:hint="eastAsia" w:ascii="宋体" w:hAnsi="宋体" w:eastAsia="宋体" w:cs="宋体"/>
          <w:sz w:val="24"/>
        </w:rPr>
        <w:t>各项业务收入确认的具体方法如下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）定制软件开发业务</w:t>
      </w:r>
      <w:r>
        <w:rPr>
          <w:rFonts w:hint="eastAsia" w:ascii="宋体" w:hAnsi="宋体" w:eastAsia="宋体" w:cs="宋体"/>
          <w:sz w:val="12"/>
        </w:rPr>
        <w:t>：</w:t>
      </w:r>
      <w:r>
        <w:rPr>
          <w:rFonts w:hint="eastAsia" w:ascii="宋体" w:hAnsi="宋体" w:eastAsia="宋体" w:cs="宋体"/>
          <w:sz w:val="24"/>
        </w:rPr>
        <w:t>定制软件开发项目已经完成并取得客户验收时确认收入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）产品化软件开发业务</w:t>
      </w:r>
      <w:r>
        <w:rPr>
          <w:rFonts w:hint="eastAsia" w:ascii="宋体" w:hAnsi="宋体" w:eastAsia="宋体" w:cs="宋体"/>
          <w:sz w:val="12"/>
        </w:rPr>
        <w:t>：</w:t>
      </w:r>
      <w:r>
        <w:rPr>
          <w:rFonts w:hint="eastAsia" w:ascii="宋体" w:hAnsi="宋体" w:eastAsia="宋体" w:cs="宋体"/>
          <w:sz w:val="24"/>
        </w:rPr>
        <w:t>产品已交付并完成安装和试运行</w:t>
      </w:r>
      <w:r>
        <w:rPr>
          <w:rFonts w:hint="eastAsia" w:ascii="宋体" w:hAnsi="宋体" w:eastAsia="宋体" w:cs="宋体"/>
          <w:sz w:val="10"/>
        </w:rPr>
        <w:t>，</w:t>
      </w:r>
      <w:r>
        <w:rPr>
          <w:rFonts w:hint="eastAsia" w:ascii="宋体" w:hAnsi="宋体" w:eastAsia="宋体" w:cs="宋体"/>
          <w:sz w:val="24"/>
        </w:rPr>
        <w:t>在取得客户验收时确认收入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）软件运维服务业务</w:t>
      </w:r>
      <w:r>
        <w:rPr>
          <w:rFonts w:hint="eastAsia" w:ascii="宋体" w:hAnsi="宋体" w:eastAsia="宋体" w:cs="宋体"/>
          <w:sz w:val="12"/>
        </w:rPr>
        <w:t>：</w:t>
      </w:r>
      <w:r>
        <w:rPr>
          <w:rFonts w:hint="eastAsia" w:ascii="宋体" w:hAnsi="宋体" w:eastAsia="宋体" w:cs="宋体"/>
          <w:sz w:val="24"/>
        </w:rPr>
        <w:t>运维服务收入在服务期内按直线法确认收入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）系统集成业务</w:t>
      </w:r>
      <w:r>
        <w:rPr>
          <w:rFonts w:hint="eastAsia" w:ascii="宋体" w:hAnsi="宋体" w:eastAsia="宋体" w:cs="宋体"/>
          <w:sz w:val="12"/>
        </w:rPr>
        <w:t>：</w:t>
      </w:r>
      <w:r>
        <w:rPr>
          <w:rFonts w:hint="eastAsia" w:ascii="宋体" w:hAnsi="宋体" w:eastAsia="宋体" w:cs="宋体"/>
          <w:sz w:val="24"/>
        </w:rPr>
        <w:t>系统集成产品已交付</w:t>
      </w:r>
      <w:r>
        <w:rPr>
          <w:rFonts w:hint="eastAsia" w:ascii="宋体" w:hAnsi="宋体" w:eastAsia="宋体" w:cs="宋体"/>
          <w:sz w:val="10"/>
        </w:rPr>
        <w:t>，</w:t>
      </w:r>
      <w:r>
        <w:rPr>
          <w:rFonts w:hint="eastAsia" w:ascii="宋体" w:hAnsi="宋体" w:eastAsia="宋体" w:cs="宋体"/>
          <w:sz w:val="24"/>
        </w:rPr>
        <w:t>在系统安装调试完毕并取得客户验收时确认收入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（十六）政府补助</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政府补助在满足政府补助所附条件并能够收到时确认</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对于货币性资产的政府补助</w:t>
      </w:r>
      <w:r>
        <w:rPr>
          <w:rFonts w:hint="eastAsia" w:ascii="宋体" w:hAnsi="宋体" w:eastAsia="宋体" w:cs="宋体"/>
          <w:sz w:val="10"/>
        </w:rPr>
        <w:t>，</w:t>
      </w:r>
      <w:r>
        <w:rPr>
          <w:rFonts w:hint="eastAsia" w:ascii="宋体" w:hAnsi="宋体" w:eastAsia="宋体" w:cs="宋体"/>
          <w:sz w:val="24"/>
        </w:rPr>
        <w:t>按照收到或应收的金额计量</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对期末有确凿证据表明能够符合财政扶持政策规定的相关条件且预计能够收到财政扶持资金时</w:t>
      </w:r>
      <w:r>
        <w:rPr>
          <w:rFonts w:hint="eastAsia" w:ascii="宋体" w:hAnsi="宋体" w:eastAsia="宋体" w:cs="宋体"/>
          <w:sz w:val="10"/>
        </w:rPr>
        <w:t>，</w:t>
      </w:r>
      <w:r>
        <w:rPr>
          <w:rFonts w:hint="eastAsia" w:ascii="宋体" w:hAnsi="宋体" w:eastAsia="宋体" w:cs="宋体"/>
          <w:sz w:val="24"/>
        </w:rPr>
        <w:t>按应收金额计量</w:t>
      </w:r>
      <w:r>
        <w:rPr>
          <w:rFonts w:hint="eastAsia" w:ascii="宋体" w:hAnsi="宋体" w:eastAsia="宋体" w:cs="宋体"/>
          <w:sz w:val="14"/>
        </w:rPr>
        <w:t>；</w:t>
      </w:r>
      <w:r>
        <w:rPr>
          <w:rFonts w:hint="eastAsia" w:ascii="宋体" w:hAnsi="宋体" w:eastAsia="宋体" w:cs="宋体"/>
          <w:sz w:val="24"/>
        </w:rPr>
        <w:t>否则</w:t>
      </w:r>
      <w:r>
        <w:rPr>
          <w:rFonts w:hint="eastAsia" w:ascii="宋体" w:hAnsi="宋体" w:eastAsia="宋体" w:cs="宋体"/>
          <w:sz w:val="10"/>
        </w:rPr>
        <w:t>，</w:t>
      </w:r>
      <w:r>
        <w:rPr>
          <w:rFonts w:hint="eastAsia" w:ascii="宋体" w:hAnsi="宋体" w:eastAsia="宋体" w:cs="宋体"/>
          <w:sz w:val="24"/>
        </w:rPr>
        <w:t>按照实际收到的金额计量</w:t>
      </w:r>
      <w:r>
        <w:rPr>
          <w:rFonts w:hint="eastAsia" w:ascii="宋体" w:hAnsi="宋体" w:eastAsia="宋体" w:cs="宋体"/>
          <w:sz w:val="10"/>
        </w:rPr>
        <w:t>。</w:t>
      </w:r>
      <w:r>
        <w:rPr>
          <w:rFonts w:hint="eastAsia" w:ascii="宋体" w:hAnsi="宋体" w:eastAsia="宋体" w:cs="宋体"/>
          <w:sz w:val="24"/>
        </w:rPr>
        <w:t>对于非货币性资产的政府补助</w:t>
      </w:r>
      <w:r>
        <w:rPr>
          <w:rFonts w:hint="eastAsia" w:ascii="宋体" w:hAnsi="宋体" w:eastAsia="宋体" w:cs="宋体"/>
          <w:sz w:val="10"/>
        </w:rPr>
        <w:t>，</w:t>
      </w:r>
      <w:r>
        <w:rPr>
          <w:rFonts w:hint="eastAsia" w:ascii="宋体" w:hAnsi="宋体" w:eastAsia="宋体" w:cs="宋体"/>
          <w:sz w:val="24"/>
        </w:rPr>
        <w:t>按照公允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1-1-234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价值计量</w:t>
      </w:r>
      <w:r>
        <w:rPr>
          <w:rFonts w:hint="eastAsia" w:ascii="宋体" w:hAnsi="宋体" w:eastAsia="宋体" w:cs="宋体"/>
          <w:sz w:val="14"/>
        </w:rPr>
        <w:t>；</w:t>
      </w:r>
      <w:r>
        <w:rPr>
          <w:rFonts w:hint="eastAsia" w:ascii="宋体" w:hAnsi="宋体" w:eastAsia="宋体" w:cs="宋体"/>
          <w:sz w:val="24"/>
        </w:rPr>
        <w:t>公允价值不能够可靠取得的</w:t>
      </w:r>
      <w:r>
        <w:rPr>
          <w:rFonts w:hint="eastAsia" w:ascii="宋体" w:hAnsi="宋体" w:eastAsia="宋体" w:cs="宋体"/>
          <w:sz w:val="10"/>
        </w:rPr>
        <w:t>，</w:t>
      </w:r>
      <w:r>
        <w:rPr>
          <w:rFonts w:hint="eastAsia" w:ascii="宋体" w:hAnsi="宋体" w:eastAsia="宋体" w:cs="宋体"/>
          <w:sz w:val="24"/>
        </w:rPr>
        <w:t>按照名义金额</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元计量</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与资产相关的政府补助</w:t>
      </w:r>
      <w:r>
        <w:rPr>
          <w:rFonts w:hint="eastAsia" w:ascii="宋体" w:hAnsi="宋体" w:eastAsia="宋体" w:cs="宋体"/>
          <w:sz w:val="10"/>
        </w:rPr>
        <w:t>，</w:t>
      </w:r>
      <w:r>
        <w:rPr>
          <w:rFonts w:hint="eastAsia" w:ascii="宋体" w:hAnsi="宋体" w:eastAsia="宋体" w:cs="宋体"/>
          <w:sz w:val="24"/>
        </w:rPr>
        <w:t>是指本公司取得的</w:t>
      </w:r>
      <w:r>
        <w:rPr>
          <w:rFonts w:hint="eastAsia" w:ascii="宋体" w:hAnsi="宋体" w:eastAsia="宋体" w:cs="宋体"/>
          <w:sz w:val="10"/>
        </w:rPr>
        <w:t>、</w:t>
      </w:r>
      <w:r>
        <w:rPr>
          <w:rFonts w:hint="eastAsia" w:ascii="宋体" w:hAnsi="宋体" w:eastAsia="宋体" w:cs="宋体"/>
          <w:sz w:val="24"/>
        </w:rPr>
        <w:t>用于购建或以其他方式形成长期资产的政府补助</w:t>
      </w:r>
      <w:r>
        <w:rPr>
          <w:rFonts w:hint="eastAsia" w:ascii="宋体" w:hAnsi="宋体" w:eastAsia="宋体" w:cs="宋体"/>
          <w:sz w:val="12"/>
        </w:rPr>
        <w:t>；</w:t>
      </w:r>
      <w:r>
        <w:rPr>
          <w:rFonts w:hint="eastAsia" w:ascii="宋体" w:hAnsi="宋体" w:eastAsia="宋体" w:cs="宋体"/>
          <w:sz w:val="24"/>
        </w:rPr>
        <w:t>除此之外</w:t>
      </w:r>
      <w:r>
        <w:rPr>
          <w:rFonts w:hint="eastAsia" w:ascii="宋体" w:hAnsi="宋体" w:eastAsia="宋体" w:cs="宋体"/>
          <w:sz w:val="10"/>
        </w:rPr>
        <w:t>，</w:t>
      </w:r>
      <w:r>
        <w:rPr>
          <w:rFonts w:hint="eastAsia" w:ascii="宋体" w:hAnsi="宋体" w:eastAsia="宋体" w:cs="宋体"/>
          <w:sz w:val="24"/>
        </w:rPr>
        <w:t>作为与收益相关的政府补助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对于政府文件未明确规定补助对象的</w:t>
      </w:r>
      <w:r>
        <w:rPr>
          <w:rFonts w:hint="eastAsia" w:ascii="宋体" w:hAnsi="宋体" w:eastAsia="宋体" w:cs="宋体"/>
          <w:sz w:val="10"/>
        </w:rPr>
        <w:t>，</w:t>
      </w:r>
      <w:r>
        <w:rPr>
          <w:rFonts w:hint="eastAsia" w:ascii="宋体" w:hAnsi="宋体" w:eastAsia="宋体" w:cs="宋体"/>
          <w:sz w:val="24"/>
        </w:rPr>
        <w:t>能够形成长期资产的</w:t>
      </w:r>
      <w:r>
        <w:rPr>
          <w:rFonts w:hint="eastAsia" w:ascii="宋体" w:hAnsi="宋体" w:eastAsia="宋体" w:cs="宋体"/>
          <w:sz w:val="10"/>
        </w:rPr>
        <w:t>，</w:t>
      </w:r>
      <w:r>
        <w:rPr>
          <w:rFonts w:hint="eastAsia" w:ascii="宋体" w:hAnsi="宋体" w:eastAsia="宋体" w:cs="宋体"/>
          <w:sz w:val="24"/>
        </w:rPr>
        <w:t>与资产价值相对应的政府补助部分作为与资产相关的政府补助</w:t>
      </w:r>
      <w:r>
        <w:rPr>
          <w:rFonts w:hint="eastAsia" w:ascii="宋体" w:hAnsi="宋体" w:eastAsia="宋体" w:cs="宋体"/>
          <w:sz w:val="10"/>
        </w:rPr>
        <w:t>，</w:t>
      </w:r>
      <w:r>
        <w:rPr>
          <w:rFonts w:hint="eastAsia" w:ascii="宋体" w:hAnsi="宋体" w:eastAsia="宋体" w:cs="宋体"/>
          <w:sz w:val="24"/>
        </w:rPr>
        <w:t>其余部分作为与收益相关的政府补助</w:t>
      </w:r>
      <w:r>
        <w:rPr>
          <w:rFonts w:hint="eastAsia" w:ascii="宋体" w:hAnsi="宋体" w:eastAsia="宋体" w:cs="宋体"/>
          <w:sz w:val="14"/>
        </w:rPr>
        <w:t>；</w:t>
      </w:r>
      <w:r>
        <w:rPr>
          <w:rFonts w:hint="eastAsia" w:ascii="宋体" w:hAnsi="宋体" w:eastAsia="宋体" w:cs="宋体"/>
          <w:sz w:val="24"/>
        </w:rPr>
        <w:t>难以区分的</w:t>
      </w:r>
      <w:r>
        <w:rPr>
          <w:rFonts w:hint="eastAsia" w:ascii="宋体" w:hAnsi="宋体" w:eastAsia="宋体" w:cs="宋体"/>
          <w:sz w:val="10"/>
        </w:rPr>
        <w:t>，</w:t>
      </w:r>
      <w:r>
        <w:rPr>
          <w:rFonts w:hint="eastAsia" w:ascii="宋体" w:hAnsi="宋体" w:eastAsia="宋体" w:cs="宋体"/>
          <w:sz w:val="24"/>
        </w:rPr>
        <w:t>将政府补助整体作为与收益相关的政府补助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与资产相关的政府补助</w:t>
      </w:r>
      <w:r>
        <w:rPr>
          <w:rFonts w:hint="eastAsia" w:ascii="宋体" w:hAnsi="宋体" w:eastAsia="宋体" w:cs="宋体"/>
          <w:sz w:val="10"/>
        </w:rPr>
        <w:t>，</w:t>
      </w:r>
      <w:r>
        <w:rPr>
          <w:rFonts w:hint="eastAsia" w:ascii="宋体" w:hAnsi="宋体" w:eastAsia="宋体" w:cs="宋体"/>
          <w:sz w:val="24"/>
        </w:rPr>
        <w:t>确认为递延收益</w:t>
      </w:r>
      <w:r>
        <w:rPr>
          <w:rFonts w:hint="eastAsia" w:ascii="宋体" w:hAnsi="宋体" w:eastAsia="宋体" w:cs="宋体"/>
          <w:sz w:val="10"/>
        </w:rPr>
        <w:t>，</w:t>
      </w:r>
      <w:r>
        <w:rPr>
          <w:rFonts w:hint="eastAsia" w:ascii="宋体" w:hAnsi="宋体" w:eastAsia="宋体" w:cs="宋体"/>
          <w:sz w:val="24"/>
        </w:rPr>
        <w:t>并在相关资产使用期限内平均分配</w:t>
      </w:r>
      <w:r>
        <w:rPr>
          <w:rFonts w:hint="eastAsia" w:ascii="宋体" w:hAnsi="宋体" w:eastAsia="宋体" w:cs="宋体"/>
          <w:sz w:val="10"/>
        </w:rPr>
        <w:t>，</w:t>
      </w:r>
      <w:r>
        <w:rPr>
          <w:rFonts w:hint="eastAsia" w:ascii="宋体" w:hAnsi="宋体" w:eastAsia="宋体" w:cs="宋体"/>
          <w:sz w:val="24"/>
        </w:rPr>
        <w:t>计入当期损益</w:t>
      </w:r>
      <w:r>
        <w:rPr>
          <w:rFonts w:hint="eastAsia" w:ascii="宋体" w:hAnsi="宋体" w:eastAsia="宋体" w:cs="宋体"/>
          <w:sz w:val="10"/>
        </w:rPr>
        <w:t>。</w:t>
      </w:r>
      <w:r>
        <w:rPr>
          <w:rFonts w:hint="eastAsia" w:ascii="宋体" w:hAnsi="宋体" w:eastAsia="宋体" w:cs="宋体"/>
          <w:sz w:val="24"/>
        </w:rPr>
        <w:t>与收益相关的政府补助</w:t>
      </w:r>
      <w:r>
        <w:rPr>
          <w:rFonts w:hint="eastAsia" w:ascii="宋体" w:hAnsi="宋体" w:eastAsia="宋体" w:cs="宋体"/>
          <w:sz w:val="10"/>
        </w:rPr>
        <w:t>，</w:t>
      </w:r>
      <w:r>
        <w:rPr>
          <w:rFonts w:hint="eastAsia" w:ascii="宋体" w:hAnsi="宋体" w:eastAsia="宋体" w:cs="宋体"/>
          <w:sz w:val="24"/>
        </w:rPr>
        <w:t>如果用于补偿已发生的相关费用或损失</w:t>
      </w:r>
      <w:r>
        <w:rPr>
          <w:rFonts w:hint="eastAsia" w:ascii="宋体" w:hAnsi="宋体" w:eastAsia="宋体" w:cs="宋体"/>
          <w:sz w:val="10"/>
        </w:rPr>
        <w:t>，</w:t>
      </w:r>
      <w:r>
        <w:rPr>
          <w:rFonts w:hint="eastAsia" w:ascii="宋体" w:hAnsi="宋体" w:eastAsia="宋体" w:cs="宋体"/>
          <w:sz w:val="24"/>
        </w:rPr>
        <w:t>则计入当期损益</w:t>
      </w:r>
      <w:r>
        <w:rPr>
          <w:rFonts w:hint="eastAsia" w:ascii="宋体" w:hAnsi="宋体" w:eastAsia="宋体" w:cs="宋体"/>
          <w:sz w:val="12"/>
        </w:rPr>
        <w:t>；</w:t>
      </w:r>
      <w:r>
        <w:rPr>
          <w:rFonts w:hint="eastAsia" w:ascii="宋体" w:hAnsi="宋体" w:eastAsia="宋体" w:cs="宋体"/>
          <w:sz w:val="24"/>
        </w:rPr>
        <w:t>如果用于补偿以后期间的相关费用或损失</w:t>
      </w:r>
      <w:r>
        <w:rPr>
          <w:rFonts w:hint="eastAsia" w:ascii="宋体" w:hAnsi="宋体" w:eastAsia="宋体" w:cs="宋体"/>
          <w:sz w:val="10"/>
        </w:rPr>
        <w:t>，</w:t>
      </w:r>
      <w:r>
        <w:rPr>
          <w:rFonts w:hint="eastAsia" w:ascii="宋体" w:hAnsi="宋体" w:eastAsia="宋体" w:cs="宋体"/>
          <w:sz w:val="24"/>
        </w:rPr>
        <w:t>则计入递延收益</w:t>
      </w:r>
      <w:r>
        <w:rPr>
          <w:rFonts w:hint="eastAsia" w:ascii="宋体" w:hAnsi="宋体" w:eastAsia="宋体" w:cs="宋体"/>
          <w:sz w:val="10"/>
        </w:rPr>
        <w:t>，</w:t>
      </w:r>
      <w:r>
        <w:rPr>
          <w:rFonts w:hint="eastAsia" w:ascii="宋体" w:hAnsi="宋体" w:eastAsia="宋体" w:cs="宋体"/>
          <w:sz w:val="24"/>
        </w:rPr>
        <w:t>于费用确认期间计入当期损益</w:t>
      </w:r>
      <w:r>
        <w:rPr>
          <w:rFonts w:hint="eastAsia" w:ascii="宋体" w:hAnsi="宋体" w:eastAsia="宋体" w:cs="宋体"/>
          <w:sz w:val="10"/>
        </w:rPr>
        <w:t>。</w:t>
      </w:r>
      <w:r>
        <w:rPr>
          <w:rFonts w:hint="eastAsia" w:ascii="宋体" w:hAnsi="宋体" w:eastAsia="宋体" w:cs="宋体"/>
          <w:sz w:val="24"/>
        </w:rPr>
        <w:t>按照名义金额计量的政府补助</w:t>
      </w:r>
      <w:r>
        <w:rPr>
          <w:rFonts w:hint="eastAsia" w:ascii="宋体" w:hAnsi="宋体" w:eastAsia="宋体" w:cs="宋体"/>
          <w:sz w:val="10"/>
        </w:rPr>
        <w:t>，</w:t>
      </w:r>
      <w:r>
        <w:rPr>
          <w:rFonts w:hint="eastAsia" w:ascii="宋体" w:hAnsi="宋体" w:eastAsia="宋体" w:cs="宋体"/>
          <w:sz w:val="24"/>
        </w:rPr>
        <w:t>直接计入当期损益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已确认的政府补助需要返还时</w:t>
      </w:r>
      <w:r>
        <w:rPr>
          <w:rFonts w:hint="eastAsia" w:ascii="宋体" w:hAnsi="宋体" w:eastAsia="宋体" w:cs="宋体"/>
          <w:sz w:val="10"/>
        </w:rPr>
        <w:t>，</w:t>
      </w:r>
      <w:r>
        <w:rPr>
          <w:rFonts w:hint="eastAsia" w:ascii="宋体" w:hAnsi="宋体" w:eastAsia="宋体" w:cs="宋体"/>
          <w:sz w:val="24"/>
        </w:rPr>
        <w:t>存在相关递延收益余额的</w:t>
      </w:r>
      <w:r>
        <w:rPr>
          <w:rFonts w:hint="eastAsia" w:ascii="宋体" w:hAnsi="宋体" w:eastAsia="宋体" w:cs="宋体"/>
          <w:sz w:val="10"/>
        </w:rPr>
        <w:t>，</w:t>
      </w:r>
      <w:r>
        <w:rPr>
          <w:rFonts w:hint="eastAsia" w:ascii="宋体" w:hAnsi="宋体" w:eastAsia="宋体" w:cs="宋体"/>
          <w:sz w:val="24"/>
        </w:rPr>
        <w:t>冲减相关递延收益账面余额</w:t>
      </w:r>
      <w:r>
        <w:rPr>
          <w:rFonts w:hint="eastAsia" w:ascii="宋体" w:hAnsi="宋体" w:eastAsia="宋体" w:cs="宋体"/>
          <w:sz w:val="10"/>
        </w:rPr>
        <w:t>，</w:t>
      </w:r>
      <w:r>
        <w:rPr>
          <w:rFonts w:hint="eastAsia" w:ascii="宋体" w:hAnsi="宋体" w:eastAsia="宋体" w:cs="宋体"/>
          <w:sz w:val="24"/>
        </w:rPr>
        <w:t>超出部分计入当期损益</w:t>
      </w:r>
      <w:r>
        <w:rPr>
          <w:rFonts w:hint="eastAsia" w:ascii="宋体" w:hAnsi="宋体" w:eastAsia="宋体" w:cs="宋体"/>
          <w:sz w:val="12"/>
        </w:rPr>
        <w:t>；</w:t>
      </w:r>
      <w:r>
        <w:rPr>
          <w:rFonts w:hint="eastAsia" w:ascii="宋体" w:hAnsi="宋体" w:eastAsia="宋体" w:cs="宋体"/>
          <w:sz w:val="24"/>
        </w:rPr>
        <w:t>不存在相关递延收益的</w:t>
      </w:r>
      <w:r>
        <w:rPr>
          <w:rFonts w:hint="eastAsia" w:ascii="宋体" w:hAnsi="宋体" w:eastAsia="宋体" w:cs="宋体"/>
          <w:sz w:val="10"/>
        </w:rPr>
        <w:t>，</w:t>
      </w:r>
      <w:r>
        <w:rPr>
          <w:rFonts w:hint="eastAsia" w:ascii="宋体" w:hAnsi="宋体" w:eastAsia="宋体" w:cs="宋体"/>
          <w:sz w:val="24"/>
        </w:rPr>
        <w:t>直接计入当期损益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（十七）递延所得税资产及递延所得税负债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所得税包括当期所得税和递延所得税</w:t>
      </w:r>
      <w:r>
        <w:rPr>
          <w:rFonts w:hint="eastAsia" w:ascii="宋体" w:hAnsi="宋体" w:eastAsia="宋体" w:cs="宋体"/>
          <w:sz w:val="10"/>
        </w:rPr>
        <w:t>。</w:t>
      </w:r>
      <w:r>
        <w:rPr>
          <w:rFonts w:hint="eastAsia" w:ascii="宋体" w:hAnsi="宋体" w:eastAsia="宋体" w:cs="宋体"/>
          <w:sz w:val="24"/>
        </w:rPr>
        <w:t>除由于企业合并产生的调整商誉</w:t>
      </w:r>
      <w:r>
        <w:rPr>
          <w:rFonts w:hint="eastAsia" w:ascii="宋体" w:hAnsi="宋体" w:eastAsia="宋体" w:cs="宋体"/>
          <w:sz w:val="10"/>
        </w:rPr>
        <w:t>，</w:t>
      </w:r>
      <w:r>
        <w:rPr>
          <w:rFonts w:hint="eastAsia" w:ascii="宋体" w:hAnsi="宋体" w:eastAsia="宋体" w:cs="宋体"/>
          <w:sz w:val="24"/>
        </w:rPr>
        <w:t>或与直接计入所有者权益的交易或者事项相关的递延所得税计入所有者权益外</w:t>
      </w:r>
      <w:r>
        <w:rPr>
          <w:rFonts w:hint="eastAsia" w:ascii="宋体" w:hAnsi="宋体" w:eastAsia="宋体" w:cs="宋体"/>
          <w:sz w:val="10"/>
        </w:rPr>
        <w:t>，</w:t>
      </w:r>
      <w:r>
        <w:rPr>
          <w:rFonts w:hint="eastAsia" w:ascii="宋体" w:hAnsi="宋体" w:eastAsia="宋体" w:cs="宋体"/>
          <w:sz w:val="24"/>
        </w:rPr>
        <w:t>均作为所得税费用计入当期损益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320" w:firstLine="480"/>
        <w:jc w:val="both"/>
      </w:pPr>
      <w:r>
        <w:rPr>
          <w:rFonts w:hint="eastAsia" w:ascii="宋体" w:hAnsi="宋体" w:eastAsia="宋体" w:cs="宋体"/>
          <w:sz w:val="24"/>
        </w:rPr>
        <w:t>本公司根据资产</w:t>
      </w:r>
      <w:r>
        <w:rPr>
          <w:rFonts w:hint="eastAsia" w:ascii="宋体" w:hAnsi="宋体" w:eastAsia="宋体" w:cs="宋体"/>
          <w:sz w:val="10"/>
        </w:rPr>
        <w:t>、</w:t>
      </w:r>
      <w:r>
        <w:rPr>
          <w:rFonts w:hint="eastAsia" w:ascii="宋体" w:hAnsi="宋体" w:eastAsia="宋体" w:cs="宋体"/>
          <w:sz w:val="24"/>
        </w:rPr>
        <w:t>负债于资产负债表日的账面价值与计税基础之间的暂时性差异</w:t>
      </w:r>
      <w:r>
        <w:rPr>
          <w:rFonts w:hint="eastAsia" w:ascii="宋体" w:hAnsi="宋体" w:eastAsia="宋体" w:cs="宋体"/>
          <w:sz w:val="10"/>
        </w:rPr>
        <w:t>，</w:t>
      </w:r>
      <w:r>
        <w:rPr>
          <w:rFonts w:hint="eastAsia" w:ascii="宋体" w:hAnsi="宋体" w:eastAsia="宋体" w:cs="宋体"/>
          <w:sz w:val="24"/>
        </w:rPr>
        <w:t>采用资产负债表债务法确认递延所得税</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各项应纳税暂时性差异均确认相关的递延所得税负债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对于可抵扣暂时性差异</w:t>
      </w:r>
      <w:r>
        <w:rPr>
          <w:rFonts w:hint="eastAsia" w:ascii="宋体" w:hAnsi="宋体" w:eastAsia="宋体" w:cs="宋体"/>
          <w:sz w:val="10"/>
        </w:rPr>
        <w:t>、</w:t>
      </w:r>
      <w:r>
        <w:rPr>
          <w:rFonts w:hint="eastAsia" w:ascii="宋体" w:hAnsi="宋体" w:eastAsia="宋体" w:cs="宋体"/>
          <w:sz w:val="24"/>
        </w:rPr>
        <w:t>能够结转以后年度的可抵扣亏损和税款抵减</w:t>
      </w:r>
      <w:r>
        <w:rPr>
          <w:rFonts w:hint="eastAsia" w:ascii="宋体" w:hAnsi="宋体" w:eastAsia="宋体" w:cs="宋体"/>
          <w:sz w:val="10"/>
        </w:rPr>
        <w:t>，</w:t>
      </w:r>
      <w:r>
        <w:rPr>
          <w:rFonts w:hint="eastAsia" w:ascii="宋体" w:hAnsi="宋体" w:eastAsia="宋体" w:cs="宋体"/>
          <w:sz w:val="24"/>
        </w:rPr>
        <w:t>本公司以很可能取得用来抵扣可抵扣暂时性差异</w:t>
      </w:r>
      <w:r>
        <w:rPr>
          <w:rFonts w:hint="eastAsia" w:ascii="宋体" w:hAnsi="宋体" w:eastAsia="宋体" w:cs="宋体"/>
          <w:sz w:val="10"/>
        </w:rPr>
        <w:t>、</w:t>
      </w:r>
      <w:r>
        <w:rPr>
          <w:rFonts w:hint="eastAsia" w:ascii="宋体" w:hAnsi="宋体" w:eastAsia="宋体" w:cs="宋体"/>
          <w:sz w:val="24"/>
        </w:rPr>
        <w:t>可抵扣亏损和税款抵减的未来应纳税所得额为限</w:t>
      </w:r>
      <w:r>
        <w:rPr>
          <w:rFonts w:hint="eastAsia" w:ascii="宋体" w:hAnsi="宋体" w:eastAsia="宋体" w:cs="宋体"/>
          <w:sz w:val="10"/>
        </w:rPr>
        <w:t>，</w:t>
      </w:r>
      <w:r>
        <w:rPr>
          <w:rFonts w:hint="eastAsia" w:ascii="宋体" w:hAnsi="宋体" w:eastAsia="宋体" w:cs="宋体"/>
          <w:sz w:val="24"/>
        </w:rPr>
        <w:t>确认由此产生的递延所得税资产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于资产负债表日</w:t>
      </w:r>
      <w:r>
        <w:rPr>
          <w:rFonts w:hint="eastAsia" w:ascii="宋体" w:hAnsi="宋体" w:eastAsia="宋体" w:cs="宋体"/>
          <w:sz w:val="10"/>
        </w:rPr>
        <w:t>，</w:t>
      </w:r>
      <w:r>
        <w:rPr>
          <w:rFonts w:hint="eastAsia" w:ascii="宋体" w:hAnsi="宋体" w:eastAsia="宋体" w:cs="宋体"/>
          <w:sz w:val="24"/>
        </w:rPr>
        <w:t>本公司对递延所得税资产和递延所得税负债</w:t>
      </w:r>
      <w:r>
        <w:rPr>
          <w:rFonts w:hint="eastAsia" w:ascii="宋体" w:hAnsi="宋体" w:eastAsia="宋体" w:cs="宋体"/>
          <w:sz w:val="10"/>
        </w:rPr>
        <w:t>，</w:t>
      </w:r>
      <w:r>
        <w:rPr>
          <w:rFonts w:hint="eastAsia" w:ascii="宋体" w:hAnsi="宋体" w:eastAsia="宋体" w:cs="宋体"/>
          <w:sz w:val="24"/>
        </w:rPr>
        <w:t>按照预期收回该资产或清偿该负债期间的适用税率计量</w:t>
      </w:r>
      <w:r>
        <w:rPr>
          <w:rFonts w:hint="eastAsia" w:ascii="宋体" w:hAnsi="宋体" w:eastAsia="宋体" w:cs="宋体"/>
          <w:sz w:val="10"/>
        </w:rPr>
        <w:t>，</w:t>
      </w:r>
      <w:r>
        <w:rPr>
          <w:rFonts w:hint="eastAsia" w:ascii="宋体" w:hAnsi="宋体" w:eastAsia="宋体" w:cs="宋体"/>
          <w:sz w:val="24"/>
        </w:rPr>
        <w:t>并反映资产负债表日预期收回资产或清偿负债方式的所得税影响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于资产负债表日</w:t>
      </w:r>
      <w:r>
        <w:rPr>
          <w:rFonts w:hint="eastAsia" w:ascii="宋体" w:hAnsi="宋体" w:eastAsia="宋体" w:cs="宋体"/>
          <w:sz w:val="10"/>
        </w:rPr>
        <w:t>，</w:t>
      </w:r>
      <w:r>
        <w:rPr>
          <w:rFonts w:hint="eastAsia" w:ascii="宋体" w:hAnsi="宋体" w:eastAsia="宋体" w:cs="宋体"/>
          <w:sz w:val="24"/>
        </w:rPr>
        <w:t>本公司对递延所得税资产的账面价值进行复核</w:t>
      </w:r>
      <w:r>
        <w:rPr>
          <w:rFonts w:hint="eastAsia" w:ascii="宋体" w:hAnsi="宋体" w:eastAsia="宋体" w:cs="宋体"/>
          <w:sz w:val="10"/>
        </w:rPr>
        <w:t>。</w:t>
      </w:r>
      <w:r>
        <w:rPr>
          <w:rFonts w:hint="eastAsia" w:ascii="宋体" w:hAnsi="宋体" w:eastAsia="宋体" w:cs="宋体"/>
          <w:sz w:val="24"/>
        </w:rPr>
        <w:t>如果未来期间很</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1-1-235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jc w:val="both"/>
      </w:pPr>
      <w:r>
        <w:rPr>
          <w:rFonts w:hint="eastAsia" w:ascii="宋体" w:hAnsi="宋体" w:eastAsia="宋体" w:cs="宋体"/>
          <w:sz w:val="24"/>
        </w:rPr>
        <w:t>可能无法获得足够的应纳税所得额用以抵扣递延所得税资产的利益</w:t>
      </w:r>
      <w:r>
        <w:rPr>
          <w:rFonts w:hint="eastAsia" w:ascii="宋体" w:hAnsi="宋体" w:eastAsia="宋体" w:cs="宋体"/>
          <w:sz w:val="10"/>
        </w:rPr>
        <w:t>，</w:t>
      </w:r>
      <w:r>
        <w:rPr>
          <w:rFonts w:hint="eastAsia" w:ascii="宋体" w:hAnsi="宋体" w:eastAsia="宋体" w:cs="宋体"/>
          <w:sz w:val="24"/>
        </w:rPr>
        <w:t>减记递延所得税资产的账面价值</w:t>
      </w:r>
      <w:r>
        <w:rPr>
          <w:rFonts w:hint="eastAsia" w:ascii="宋体" w:hAnsi="宋体" w:eastAsia="宋体" w:cs="宋体"/>
          <w:sz w:val="10"/>
        </w:rPr>
        <w:t>。</w:t>
      </w:r>
      <w:r>
        <w:rPr>
          <w:rFonts w:hint="eastAsia" w:ascii="宋体" w:hAnsi="宋体" w:eastAsia="宋体" w:cs="宋体"/>
          <w:sz w:val="24"/>
        </w:rPr>
        <w:t>在很可能获得足够的应纳税所得额时</w:t>
      </w:r>
      <w:r>
        <w:rPr>
          <w:rFonts w:hint="eastAsia" w:ascii="宋体" w:hAnsi="宋体" w:eastAsia="宋体" w:cs="宋体"/>
          <w:sz w:val="10"/>
        </w:rPr>
        <w:t>，</w:t>
      </w:r>
      <w:r>
        <w:rPr>
          <w:rFonts w:hint="eastAsia" w:ascii="宋体" w:hAnsi="宋体" w:eastAsia="宋体" w:cs="宋体"/>
          <w:sz w:val="24"/>
        </w:rPr>
        <w:t>减记的金额予以转回</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（十八）经营租赁与融资租赁</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本公司将实质上转移了与资产所有权有关的全部风险和报酬的租赁确认为融资租赁</w:t>
      </w:r>
      <w:r>
        <w:rPr>
          <w:rFonts w:hint="eastAsia" w:ascii="宋体" w:hAnsi="宋体" w:eastAsia="宋体" w:cs="宋体"/>
          <w:sz w:val="10"/>
        </w:rPr>
        <w:t>，</w:t>
      </w:r>
      <w:r>
        <w:rPr>
          <w:rFonts w:hint="eastAsia" w:ascii="宋体" w:hAnsi="宋体" w:eastAsia="宋体" w:cs="宋体"/>
          <w:sz w:val="24"/>
        </w:rPr>
        <w:t>除融资租赁之外的其他租赁确认为经营租赁</w:t>
      </w:r>
      <w:r>
        <w:rPr>
          <w:rFonts w:hint="eastAsia" w:ascii="宋体" w:hAnsi="宋体" w:eastAsia="宋体" w:cs="宋体"/>
          <w:sz w:val="10"/>
        </w:rPr>
        <w:t>。</w:t>
      </w:r>
      <w:r>
        <w:rPr>
          <w:rFonts w:hint="eastAsia" w:ascii="宋体" w:hAnsi="宋体" w:eastAsia="宋体" w:cs="宋体"/>
          <w:sz w:val="24"/>
        </w:rPr>
        <w:t>本公司报告期内的租赁均为经营租赁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本公司作为出租人</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经营租赁中的租金</w:t>
      </w:r>
      <w:r>
        <w:rPr>
          <w:rFonts w:hint="eastAsia" w:ascii="宋体" w:hAnsi="宋体" w:eastAsia="宋体" w:cs="宋体"/>
          <w:sz w:val="10"/>
        </w:rPr>
        <w:t>，</w:t>
      </w:r>
      <w:r>
        <w:rPr>
          <w:rFonts w:hint="eastAsia" w:ascii="宋体" w:hAnsi="宋体" w:eastAsia="宋体" w:cs="宋体"/>
          <w:sz w:val="24"/>
        </w:rPr>
        <w:t>本公司在租赁期内各个期间按照直线法确认当期损益</w:t>
      </w:r>
      <w:r>
        <w:rPr>
          <w:rFonts w:hint="eastAsia" w:ascii="宋体" w:hAnsi="宋体" w:eastAsia="宋体" w:cs="宋体"/>
          <w:sz w:val="10"/>
        </w:rPr>
        <w:t>。</w:t>
      </w:r>
      <w:r>
        <w:rPr>
          <w:rFonts w:hint="eastAsia" w:ascii="宋体" w:hAnsi="宋体" w:eastAsia="宋体" w:cs="宋体"/>
          <w:sz w:val="24"/>
        </w:rPr>
        <w:t>发生的初始直接费用</w:t>
      </w:r>
      <w:r>
        <w:rPr>
          <w:rFonts w:hint="eastAsia" w:ascii="宋体" w:hAnsi="宋体" w:eastAsia="宋体" w:cs="宋体"/>
          <w:sz w:val="10"/>
        </w:rPr>
        <w:t>，</w:t>
      </w:r>
      <w:r>
        <w:rPr>
          <w:rFonts w:hint="eastAsia" w:ascii="宋体" w:hAnsi="宋体" w:eastAsia="宋体" w:cs="宋体"/>
          <w:sz w:val="24"/>
        </w:rPr>
        <w:t>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本公司作为承租人</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经营租赁中的租金</w:t>
      </w:r>
      <w:r>
        <w:rPr>
          <w:rFonts w:hint="eastAsia" w:ascii="宋体" w:hAnsi="宋体" w:eastAsia="宋体" w:cs="宋体"/>
          <w:sz w:val="10"/>
        </w:rPr>
        <w:t>，</w:t>
      </w:r>
      <w:r>
        <w:rPr>
          <w:rFonts w:hint="eastAsia" w:ascii="宋体" w:hAnsi="宋体" w:eastAsia="宋体" w:cs="宋体"/>
          <w:sz w:val="24"/>
        </w:rPr>
        <w:t>本公司在租赁期内各个期间按照直线法计入相关资产成本或当期损益</w:t>
      </w:r>
      <w:r>
        <w:rPr>
          <w:rFonts w:hint="eastAsia" w:ascii="宋体" w:hAnsi="宋体" w:eastAsia="宋体" w:cs="宋体"/>
          <w:sz w:val="12"/>
        </w:rPr>
        <w:t>；</w:t>
      </w:r>
      <w:r>
        <w:rPr>
          <w:rFonts w:hint="eastAsia" w:ascii="宋体" w:hAnsi="宋体" w:eastAsia="宋体" w:cs="宋体"/>
          <w:sz w:val="24"/>
        </w:rPr>
        <w:t>发生的初始直接费用</w:t>
      </w:r>
      <w:r>
        <w:rPr>
          <w:rFonts w:hint="eastAsia" w:ascii="宋体" w:hAnsi="宋体" w:eastAsia="宋体" w:cs="宋体"/>
          <w:sz w:val="10"/>
        </w:rPr>
        <w:t>，</w:t>
      </w:r>
      <w:r>
        <w:rPr>
          <w:rFonts w:hint="eastAsia" w:ascii="宋体" w:hAnsi="宋体" w:eastAsia="宋体" w:cs="宋体"/>
          <w:sz w:val="24"/>
        </w:rPr>
        <w:t>计入当期损益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（十九）重要会计政策</w:t>
      </w:r>
      <w:r>
        <w:rPr>
          <w:rFonts w:hint="eastAsia" w:ascii="宋体" w:hAnsi="宋体" w:eastAsia="宋体" w:cs="宋体"/>
          <w:b/>
          <w:sz w:val="10"/>
        </w:rPr>
        <w:t>、</w:t>
      </w:r>
      <w:r>
        <w:rPr>
          <w:rFonts w:hint="eastAsia" w:ascii="宋体" w:hAnsi="宋体" w:eastAsia="宋体" w:cs="宋体"/>
          <w:b/>
          <w:sz w:val="24"/>
        </w:rPr>
        <w:t>会计估计的变更</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重要会计政策变更</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）收入确认政策变更</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为了更加客观公允地反映公司的财务状况和经营成果</w:t>
      </w:r>
      <w:r>
        <w:rPr>
          <w:rFonts w:hint="eastAsia" w:ascii="宋体" w:hAnsi="宋体" w:eastAsia="宋体" w:cs="宋体"/>
          <w:sz w:val="10"/>
        </w:rPr>
        <w:t>，</w:t>
      </w:r>
      <w:r>
        <w:rPr>
          <w:rFonts w:hint="eastAsia" w:ascii="宋体" w:hAnsi="宋体" w:eastAsia="宋体" w:cs="宋体"/>
          <w:sz w:val="24"/>
        </w:rPr>
        <w:t>结合公司定制软件业务的实际情况</w:t>
      </w:r>
      <w:r>
        <w:rPr>
          <w:rFonts w:hint="eastAsia" w:ascii="宋体" w:hAnsi="宋体" w:eastAsia="宋体" w:cs="宋体"/>
          <w:sz w:val="10"/>
        </w:rPr>
        <w:t>，</w:t>
      </w:r>
      <w:r>
        <w:rPr>
          <w:rFonts w:hint="eastAsia" w:ascii="宋体" w:hAnsi="宋体" w:eastAsia="宋体" w:cs="宋体"/>
          <w:sz w:val="24"/>
        </w:rPr>
        <w:t>公司决定对定制软件业务的收入确认原则进行变更</w:t>
      </w:r>
      <w:r>
        <w:rPr>
          <w:rFonts w:hint="eastAsia" w:ascii="宋体" w:hAnsi="宋体" w:eastAsia="宋体" w:cs="宋体"/>
          <w:sz w:val="10"/>
        </w:rPr>
        <w:t>，</w:t>
      </w:r>
      <w:r>
        <w:rPr>
          <w:rFonts w:hint="eastAsia" w:ascii="宋体" w:hAnsi="宋体" w:eastAsia="宋体" w:cs="宋体"/>
          <w:sz w:val="24"/>
        </w:rPr>
        <w:t>定制软件业务的收入确认原则由完工百分比法变更为项目已经完成并取得客户验收时确认收入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公司决定自</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日起对定制软件业务采用变更后的收入确认原则</w:t>
      </w:r>
      <w:r>
        <w:rPr>
          <w:rFonts w:hint="eastAsia" w:ascii="宋体" w:hAnsi="宋体" w:eastAsia="宋体" w:cs="宋体"/>
          <w:sz w:val="10"/>
        </w:rPr>
        <w:t>，</w:t>
      </w:r>
      <w:r>
        <w:rPr>
          <w:rFonts w:hint="eastAsia" w:ascii="宋体" w:hAnsi="宋体" w:eastAsia="宋体" w:cs="宋体"/>
          <w:sz w:val="24"/>
        </w:rPr>
        <w:t>据此对</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1-9</w:t>
      </w:r>
      <w:r>
        <w:rPr>
          <w:rFonts w:hint="eastAsia" w:ascii="宋体" w:hAnsi="宋体" w:eastAsia="宋体" w:cs="宋体"/>
          <w:sz w:val="24"/>
        </w:rPr>
        <w:t xml:space="preserve"> 月的财务报表进行追溯调整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本公司第六届董事会第一次临时会议审议通过了《关于公司定制软件收入确认会计政策变更的议案》，</w:t>
      </w:r>
      <w:r>
        <w:rPr>
          <w:rFonts w:hint="eastAsia" w:ascii="宋体" w:hAnsi="宋体" w:eastAsia="宋体" w:cs="宋体"/>
          <w:sz w:val="24"/>
        </w:rPr>
        <w:t>公司对定制软件开发业务的收入确认政策进行了变更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本次会计政策变更对报告期内财务报表科目的影响金额列示如下（单位</w:t>
      </w:r>
      <w:r>
        <w:rPr>
          <w:rFonts w:hint="eastAsia" w:ascii="宋体" w:hAnsi="宋体" w:eastAsia="宋体" w:cs="宋体"/>
          <w:sz w:val="12"/>
        </w:rPr>
        <w:t>：</w:t>
      </w:r>
      <w:r>
        <w:rPr>
          <w:rFonts w:hint="eastAsia" w:ascii="宋体" w:hAnsi="宋体" w:eastAsia="宋体" w:cs="宋体"/>
          <w:sz w:val="24"/>
        </w:rPr>
        <w:t>元）：</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100"/>
        <w:gridCol w:w="2260"/>
        <w:gridCol w:w="1700"/>
        <w:gridCol w:w="1540"/>
        <w:gridCol w:w="1660"/>
      </w:tblGrid>
      <w:tr>
        <w:trPr>
          <w:trHeight w:val="460" w:hRule="exact"/>
        </w:trPr>
        <w:tc>
          <w:tcPr>
            <w:tcW w:w="2100" w:type="dxa"/>
            <w:tcMar>
              <w:top w:w="0" w:type="dxa"/>
              <w:left w:w="0" w:type="dxa"/>
              <w:bottom w:w="0" w:type="dxa"/>
              <w:right w:w="0" w:type="dxa"/>
            </w:tcMar>
          </w:tcPr>
          <w:p>
            <w:pPr>
              <w:spacing w:before="100"/>
              <w:ind w:left="360"/>
            </w:pPr>
            <w:r>
              <w:rPr>
                <w:rFonts w:hint="eastAsia" w:ascii="宋体" w:hAnsi="宋体" w:eastAsia="宋体" w:cs="宋体"/>
                <w:b/>
                <w:sz w:val="21"/>
              </w:rPr>
              <w:t>影响时点</w:t>
            </w:r>
            <w:r>
              <w:rPr>
                <w:rFonts w:hint="eastAsia" w:ascii="Times New Roman Bold" w:hAnsi="Times New Roman Bold" w:eastAsia="Times New Roman Bold" w:cs="Times New Roman Bold"/>
                <w:b/>
                <w:sz w:val="21"/>
              </w:rPr>
              <w:t>/</w:t>
            </w:r>
            <w:r>
              <w:rPr>
                <w:rFonts w:hint="eastAsia" w:ascii="宋体" w:hAnsi="宋体" w:eastAsia="宋体" w:cs="宋体"/>
                <w:b/>
                <w:sz w:val="21"/>
              </w:rPr>
              <w:t>期间</w:t>
            </w:r>
          </w:p>
        </w:tc>
        <w:tc>
          <w:tcPr>
            <w:tcW w:w="2260" w:type="dxa"/>
            <w:tcMar>
              <w:top w:w="0" w:type="dxa"/>
              <w:left w:w="0" w:type="dxa"/>
              <w:bottom w:w="0" w:type="dxa"/>
              <w:right w:w="0" w:type="dxa"/>
            </w:tcMar>
          </w:tcPr>
          <w:p>
            <w:pPr>
              <w:spacing w:before="100"/>
              <w:ind w:left="260"/>
            </w:pPr>
            <w:r>
              <w:rPr>
                <w:rFonts w:hint="eastAsia" w:ascii="宋体" w:hAnsi="宋体" w:eastAsia="宋体" w:cs="宋体"/>
                <w:b/>
                <w:sz w:val="21"/>
              </w:rPr>
              <w:t>受影响的报表项目</w:t>
            </w:r>
          </w:p>
        </w:tc>
        <w:tc>
          <w:tcPr>
            <w:tcW w:w="1700" w:type="dxa"/>
            <w:tcMar>
              <w:top w:w="0" w:type="dxa"/>
              <w:left w:w="0" w:type="dxa"/>
              <w:bottom w:w="0" w:type="dxa"/>
              <w:right w:w="0" w:type="dxa"/>
            </w:tcMar>
          </w:tcPr>
          <w:p>
            <w:pPr>
              <w:spacing w:before="100"/>
              <w:ind w:left="300"/>
            </w:pPr>
            <w:r>
              <w:rPr>
                <w:rFonts w:hint="eastAsia" w:ascii="宋体" w:hAnsi="宋体" w:eastAsia="宋体" w:cs="宋体"/>
                <w:b/>
                <w:sz w:val="21"/>
              </w:rPr>
              <w:t>变更前金额</w:t>
            </w:r>
          </w:p>
        </w:tc>
        <w:tc>
          <w:tcPr>
            <w:tcW w:w="1540" w:type="dxa"/>
            <w:tcMar>
              <w:top w:w="0" w:type="dxa"/>
              <w:left w:w="0" w:type="dxa"/>
              <w:bottom w:w="0" w:type="dxa"/>
              <w:right w:w="0" w:type="dxa"/>
            </w:tcMar>
          </w:tcPr>
          <w:p>
            <w:pPr>
              <w:spacing w:before="100"/>
              <w:ind w:left="340"/>
            </w:pPr>
            <w:r>
              <w:rPr>
                <w:rFonts w:hint="eastAsia" w:ascii="宋体" w:hAnsi="宋体" w:eastAsia="宋体" w:cs="宋体"/>
                <w:b/>
                <w:sz w:val="21"/>
              </w:rPr>
              <w:t>影响金额</w:t>
            </w:r>
          </w:p>
        </w:tc>
        <w:tc>
          <w:tcPr>
            <w:tcW w:w="1660" w:type="dxa"/>
            <w:tcMar>
              <w:top w:w="0" w:type="dxa"/>
              <w:left w:w="0" w:type="dxa"/>
              <w:bottom w:w="0" w:type="dxa"/>
              <w:right w:w="0" w:type="dxa"/>
            </w:tcMar>
          </w:tcPr>
          <w:p>
            <w:pPr>
              <w:spacing w:before="100"/>
              <w:ind w:left="300"/>
            </w:pPr>
            <w:r>
              <w:rPr>
                <w:rFonts w:hint="eastAsia" w:ascii="宋体" w:hAnsi="宋体" w:eastAsia="宋体" w:cs="宋体"/>
                <w:b/>
                <w:sz w:val="21"/>
              </w:rPr>
              <w:t>变更后金额</w:t>
            </w:r>
          </w:p>
        </w:tc>
      </w:tr>
      <w:tr>
        <w:trPr>
          <w:trHeight w:val="480" w:hRule="exact"/>
        </w:trPr>
        <w:tc>
          <w:tcPr>
            <w:tcW w:w="2100" w:type="dxa"/>
            <w:tcMar>
              <w:top w:w="0" w:type="dxa"/>
              <w:left w:w="0" w:type="dxa"/>
              <w:bottom w:w="0" w:type="dxa"/>
              <w:right w:w="0" w:type="dxa"/>
            </w:tcMar>
          </w:tcPr>
          <w:p>
            <w:pPr>
              <w:spacing w:before="120"/>
              <w:ind w:left="220"/>
            </w:pPr>
            <w:r>
              <w:rPr>
                <w:rFonts w:hint="eastAsia" w:ascii="Times New Roman" w:hAnsi="Times New Roman" w:eastAsia="Times New Roman" w:cs="Times New Roman"/>
                <w:sz w:val="21"/>
              </w:rPr>
              <w:t>2014</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9</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30</w:t>
            </w:r>
            <w:r>
              <w:rPr>
                <w:rFonts w:hint="eastAsia" w:ascii="宋体" w:hAnsi="宋体" w:eastAsia="宋体" w:cs="宋体"/>
                <w:sz w:val="21"/>
              </w:rPr>
              <w:t xml:space="preserve"> 日</w:t>
            </w:r>
          </w:p>
        </w:tc>
        <w:tc>
          <w:tcPr>
            <w:tcW w:w="2260" w:type="dxa"/>
            <w:tcMar>
              <w:top w:w="0" w:type="dxa"/>
              <w:left w:w="0" w:type="dxa"/>
              <w:bottom w:w="0" w:type="dxa"/>
              <w:right w:w="0" w:type="dxa"/>
            </w:tcMar>
          </w:tcPr>
          <w:p>
            <w:pPr>
              <w:spacing w:before="120"/>
            </w:pPr>
            <w:r>
              <w:rPr>
                <w:rFonts w:hint="eastAsia" w:ascii="宋体" w:hAnsi="宋体" w:eastAsia="宋体" w:cs="宋体"/>
                <w:sz w:val="21"/>
              </w:rPr>
              <w:t>应收账款</w:t>
            </w:r>
          </w:p>
        </w:tc>
        <w:tc>
          <w:tcPr>
            <w:tcW w:w="1700" w:type="dxa"/>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c>
          <w:tcPr>
            <w:tcW w:w="1540" w:type="dxa"/>
            <w:tcMar>
              <w:top w:w="0" w:type="dxa"/>
              <w:left w:w="0" w:type="dxa"/>
              <w:bottom w:w="0" w:type="dxa"/>
              <w:right w:w="0" w:type="dxa"/>
            </w:tcMar>
          </w:tcPr>
          <w:p>
            <w:pPr>
              <w:spacing w:before="180"/>
              <w:ind w:left="1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w:t>
            </w:r>
          </w:p>
        </w:tc>
        <w:tc>
          <w:tcPr>
            <w:tcW w:w="166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bl>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1-1-236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100"/>
        <w:gridCol w:w="2260"/>
        <w:gridCol w:w="1700"/>
        <w:gridCol w:w="1540"/>
        <w:gridCol w:w="1660"/>
      </w:tblGrid>
      <w:tr>
        <w:trPr>
          <w:trHeight w:val="480" w:hRule="exact"/>
        </w:trPr>
        <w:tc>
          <w:tcPr>
            <w:tcW w:w="2100" w:type="dxa"/>
            <w:tcMar>
              <w:top w:w="0" w:type="dxa"/>
              <w:left w:w="0" w:type="dxa"/>
              <w:bottom w:w="0" w:type="dxa"/>
              <w:right w:w="0" w:type="dxa"/>
            </w:tcMar>
          </w:tcPr>
          <w:p>
            <w:pPr>
              <w:spacing w:before="120"/>
              <w:ind w:left="360"/>
            </w:pPr>
            <w:r>
              <w:rPr>
                <w:rFonts w:hint="eastAsia" w:ascii="宋体" w:hAnsi="宋体" w:eastAsia="宋体" w:cs="宋体"/>
                <w:b/>
                <w:sz w:val="21"/>
              </w:rPr>
              <w:t>影响时点</w:t>
            </w:r>
            <w:r>
              <w:rPr>
                <w:rFonts w:hint="eastAsia" w:ascii="Times New Roman Bold" w:hAnsi="Times New Roman Bold" w:eastAsia="Times New Roman Bold" w:cs="Times New Roman Bold"/>
                <w:b/>
                <w:sz w:val="21"/>
              </w:rPr>
              <w:t>/</w:t>
            </w:r>
            <w:r>
              <w:rPr>
                <w:rFonts w:hint="eastAsia" w:ascii="宋体" w:hAnsi="宋体" w:eastAsia="宋体" w:cs="宋体"/>
                <w:b/>
                <w:sz w:val="21"/>
              </w:rPr>
              <w:t>期间</w:t>
            </w:r>
          </w:p>
        </w:tc>
        <w:tc>
          <w:tcPr>
            <w:tcW w:w="2260" w:type="dxa"/>
            <w:tcMar>
              <w:top w:w="0" w:type="dxa"/>
              <w:left w:w="0" w:type="dxa"/>
              <w:bottom w:w="0" w:type="dxa"/>
              <w:right w:w="0" w:type="dxa"/>
            </w:tcMar>
          </w:tcPr>
          <w:p>
            <w:pPr>
              <w:spacing w:before="120"/>
              <w:ind w:left="260"/>
            </w:pPr>
            <w:r>
              <w:rPr>
                <w:rFonts w:hint="eastAsia" w:ascii="宋体" w:hAnsi="宋体" w:eastAsia="宋体" w:cs="宋体"/>
                <w:b/>
                <w:sz w:val="21"/>
              </w:rPr>
              <w:t>受影响的报表项目</w:t>
            </w:r>
          </w:p>
        </w:tc>
        <w:tc>
          <w:tcPr>
            <w:tcW w:w="1700" w:type="dxa"/>
            <w:tcMar>
              <w:top w:w="0" w:type="dxa"/>
              <w:left w:w="0" w:type="dxa"/>
              <w:bottom w:w="0" w:type="dxa"/>
              <w:right w:w="0" w:type="dxa"/>
            </w:tcMar>
          </w:tcPr>
          <w:p>
            <w:pPr>
              <w:spacing w:before="100"/>
              <w:ind w:left="300"/>
            </w:pPr>
            <w:r>
              <w:rPr>
                <w:rFonts w:hint="eastAsia" w:ascii="宋体" w:hAnsi="宋体" w:eastAsia="宋体" w:cs="宋体"/>
                <w:b/>
                <w:sz w:val="21"/>
              </w:rPr>
              <w:t>变更前金额</w:t>
            </w:r>
          </w:p>
        </w:tc>
        <w:tc>
          <w:tcPr>
            <w:tcW w:w="1540" w:type="dxa"/>
            <w:tcMar>
              <w:top w:w="0" w:type="dxa"/>
              <w:left w:w="0" w:type="dxa"/>
              <w:bottom w:w="0" w:type="dxa"/>
              <w:right w:w="0" w:type="dxa"/>
            </w:tcMar>
          </w:tcPr>
          <w:p>
            <w:pPr>
              <w:spacing w:before="100"/>
              <w:ind w:left="340"/>
            </w:pPr>
            <w:r>
              <w:rPr>
                <w:rFonts w:hint="eastAsia" w:ascii="宋体" w:hAnsi="宋体" w:eastAsia="宋体" w:cs="宋体"/>
                <w:b/>
                <w:sz w:val="21"/>
              </w:rPr>
              <w:t>影响金额</w:t>
            </w:r>
          </w:p>
        </w:tc>
        <w:tc>
          <w:tcPr>
            <w:tcW w:w="1660" w:type="dxa"/>
            <w:tcMar>
              <w:top w:w="0" w:type="dxa"/>
              <w:left w:w="0" w:type="dxa"/>
              <w:bottom w:w="0" w:type="dxa"/>
              <w:right w:w="0" w:type="dxa"/>
            </w:tcMar>
          </w:tcPr>
          <w:p>
            <w:pPr>
              <w:spacing w:before="100"/>
              <w:ind w:left="300"/>
            </w:pPr>
            <w:r>
              <w:rPr>
                <w:rFonts w:hint="eastAsia" w:ascii="宋体" w:hAnsi="宋体" w:eastAsia="宋体" w:cs="宋体"/>
                <w:b/>
                <w:sz w:val="21"/>
              </w:rPr>
              <w:t>变更后金额</w:t>
            </w:r>
          </w:p>
        </w:tc>
      </w:tr>
      <w:tr>
        <w:trPr>
          <w:trHeight w:val="480" w:hRule="exact"/>
        </w:trPr>
        <w:tc>
          <w:tcPr>
            <w:tcW w:w="2100" w:type="dxa"/>
            <w:vMerge w:val="restart"/>
            <w:tcMar>
              <w:top w:w="0" w:type="dxa"/>
              <w:left w:w="0" w:type="dxa"/>
              <w:bottom w:w="0" w:type="dxa"/>
              <w:right w:w="0" w:type="dxa"/>
            </w:tcMar>
          </w:tcPr>
          <w:p/>
        </w:tc>
        <w:tc>
          <w:tcPr>
            <w:tcW w:w="2260" w:type="dxa"/>
            <w:tcMar>
              <w:top w:w="0" w:type="dxa"/>
              <w:left w:w="0" w:type="dxa"/>
              <w:bottom w:w="0" w:type="dxa"/>
              <w:right w:w="0" w:type="dxa"/>
            </w:tcMar>
          </w:tcPr>
          <w:p>
            <w:pPr>
              <w:spacing w:before="120"/>
            </w:pPr>
            <w:r>
              <w:rPr>
                <w:rFonts w:hint="eastAsia" w:ascii="宋体" w:hAnsi="宋体" w:eastAsia="宋体" w:cs="宋体"/>
                <w:sz w:val="21"/>
              </w:rPr>
              <w:t>存货</w:t>
            </w:r>
          </w:p>
        </w:tc>
        <w:tc>
          <w:tcPr>
            <w:tcW w:w="170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154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w:t>
            </w:r>
          </w:p>
        </w:tc>
        <w:tc>
          <w:tcPr>
            <w:tcW w:w="16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r>
      <w:tr>
        <w:trPr>
          <w:trHeight w:val="46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00"/>
            </w:pPr>
            <w:r>
              <w:rPr>
                <w:rFonts w:hint="eastAsia" w:ascii="宋体" w:hAnsi="宋体" w:eastAsia="宋体" w:cs="宋体"/>
                <w:sz w:val="21"/>
              </w:rPr>
              <w:t>递延所得税资产</w:t>
            </w:r>
          </w:p>
        </w:tc>
        <w:tc>
          <w:tcPr>
            <w:tcW w:w="17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154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16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r>
      <w:tr>
        <w:trPr>
          <w:trHeight w:val="48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20"/>
            </w:pPr>
            <w:r>
              <w:rPr>
                <w:rFonts w:hint="eastAsia" w:ascii="宋体" w:hAnsi="宋体" w:eastAsia="宋体" w:cs="宋体"/>
                <w:sz w:val="21"/>
              </w:rPr>
              <w:t>预收款项</w:t>
            </w:r>
          </w:p>
        </w:tc>
        <w:tc>
          <w:tcPr>
            <w:tcW w:w="1700" w:type="dxa"/>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c>
          <w:tcPr>
            <w:tcW w:w="1540" w:type="dxa"/>
            <w:tcMar>
              <w:top w:w="0" w:type="dxa"/>
              <w:left w:w="0" w:type="dxa"/>
              <w:bottom w:w="0" w:type="dxa"/>
              <w:right w:w="0" w:type="dxa"/>
            </w:tcMar>
          </w:tcPr>
          <w:p>
            <w:pPr>
              <w:spacing w:before="180"/>
              <w:ind w:left="22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p>
        </w:tc>
        <w:tc>
          <w:tcPr>
            <w:tcW w:w="166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r>
      <w:tr>
        <w:trPr>
          <w:trHeight w:val="48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00"/>
            </w:pPr>
            <w:r>
              <w:rPr>
                <w:rFonts w:hint="eastAsia" w:ascii="宋体" w:hAnsi="宋体" w:eastAsia="宋体" w:cs="宋体"/>
                <w:sz w:val="21"/>
              </w:rPr>
              <w:t>应交税费</w:t>
            </w:r>
          </w:p>
        </w:tc>
        <w:tc>
          <w:tcPr>
            <w:tcW w:w="170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154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466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p>
        </w:tc>
        <w:tc>
          <w:tcPr>
            <w:tcW w:w="1660" w:type="dxa"/>
            <w:tcMar>
              <w:top w:w="0" w:type="dxa"/>
              <w:left w:w="0" w:type="dxa"/>
              <w:bottom w:w="0" w:type="dxa"/>
              <w:right w:w="0" w:type="dxa"/>
            </w:tcMar>
          </w:tcPr>
          <w:p>
            <w:pPr>
              <w:spacing w:before="140"/>
              <w:ind w:left="4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r>
      <w:tr>
        <w:trPr>
          <w:trHeight w:val="48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20"/>
            </w:pPr>
            <w:r>
              <w:rPr>
                <w:rFonts w:hint="eastAsia" w:ascii="宋体" w:hAnsi="宋体" w:eastAsia="宋体" w:cs="宋体"/>
                <w:sz w:val="21"/>
              </w:rPr>
              <w:t>未分配利润</w:t>
            </w:r>
          </w:p>
        </w:tc>
        <w:tc>
          <w:tcPr>
            <w:tcW w:w="170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166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1540" w:type="dxa"/>
            <w:tcMar>
              <w:top w:w="0" w:type="dxa"/>
              <w:left w:w="0" w:type="dxa"/>
              <w:bottom w:w="0" w:type="dxa"/>
              <w:right w:w="0" w:type="dxa"/>
            </w:tcMar>
          </w:tcPr>
          <w:p>
            <w:pPr>
              <w:spacing w:before="160"/>
              <w:ind w:left="140"/>
            </w:pP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p>
        </w:tc>
        <w:tc>
          <w:tcPr>
            <w:tcW w:w="166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131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r>
      <w:tr>
        <w:trPr>
          <w:trHeight w:val="46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00"/>
            </w:pPr>
            <w:r>
              <w:rPr>
                <w:rFonts w:hint="eastAsia" w:ascii="宋体" w:hAnsi="宋体" w:eastAsia="宋体" w:cs="宋体"/>
                <w:sz w:val="21"/>
              </w:rPr>
              <w:t>少数股东权益</w:t>
            </w:r>
          </w:p>
        </w:tc>
        <w:tc>
          <w:tcPr>
            <w:tcW w:w="170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p>
        </w:tc>
        <w:tc>
          <w:tcPr>
            <w:tcW w:w="154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-165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166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w:t>
            </w:r>
          </w:p>
        </w:tc>
      </w:tr>
      <w:tr>
        <w:trPr>
          <w:trHeight w:val="480" w:hRule="exact"/>
        </w:trPr>
        <w:tc>
          <w:tcPr>
            <w:tcW w:w="2100" w:type="dxa"/>
            <w:vMerge w:val="restart"/>
            <w:tcMar>
              <w:top w:w="0" w:type="dxa"/>
              <w:left w:w="0" w:type="dxa"/>
              <w:bottom w:w="0" w:type="dxa"/>
              <w:right w:w="0" w:type="dxa"/>
            </w:tcMar>
          </w:tcPr>
          <w:p>
            <w:pPr>
              <w:spacing w:before="1580"/>
              <w:ind w:left="260"/>
            </w:pPr>
            <w:r>
              <w:rPr>
                <w:rFonts w:hint="eastAsia" w:ascii="Times New Roman" w:hAnsi="Times New Roman" w:eastAsia="Times New Roman" w:cs="Times New Roman"/>
                <w:sz w:val="21"/>
              </w:rPr>
              <w:t>2014</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至</w:t>
            </w:r>
            <w:r>
              <w:rPr>
                <w:rFonts w:hint="eastAsia" w:ascii="Times New Roman" w:hAnsi="Times New Roman" w:eastAsia="Times New Roman" w:cs="Times New Roman"/>
                <w:sz w:val="21"/>
              </w:rPr>
              <w:t xml:space="preserve"> 9</w:t>
            </w:r>
            <w:r>
              <w:rPr>
                <w:rFonts w:hint="eastAsia" w:ascii="宋体" w:hAnsi="宋体" w:eastAsia="宋体" w:cs="宋体"/>
                <w:sz w:val="21"/>
              </w:rPr>
              <w:t xml:space="preserve"> 月</w:t>
            </w:r>
          </w:p>
        </w:tc>
        <w:tc>
          <w:tcPr>
            <w:tcW w:w="2260" w:type="dxa"/>
            <w:tcMar>
              <w:top w:w="0" w:type="dxa"/>
              <w:left w:w="0" w:type="dxa"/>
              <w:bottom w:w="0" w:type="dxa"/>
              <w:right w:w="0" w:type="dxa"/>
            </w:tcMar>
          </w:tcPr>
          <w:p>
            <w:pPr>
              <w:spacing w:before="120"/>
            </w:pPr>
            <w:r>
              <w:rPr>
                <w:rFonts w:hint="eastAsia" w:ascii="宋体" w:hAnsi="宋体" w:eastAsia="宋体" w:cs="宋体"/>
                <w:sz w:val="21"/>
              </w:rPr>
              <w:t>营业收入</w:t>
            </w:r>
          </w:p>
        </w:tc>
        <w:tc>
          <w:tcPr>
            <w:tcW w:w="1700" w:type="dxa"/>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1540" w:type="dxa"/>
            <w:tcMar>
              <w:top w:w="0" w:type="dxa"/>
              <w:left w:w="0" w:type="dxa"/>
              <w:bottom w:w="0" w:type="dxa"/>
              <w:right w:w="0" w:type="dxa"/>
            </w:tcMar>
          </w:tcPr>
          <w:p>
            <w:pPr>
              <w:spacing w:before="180"/>
              <w:ind w:left="2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166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r>
      <w:tr>
        <w:trPr>
          <w:trHeight w:val="48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00"/>
            </w:pPr>
            <w:r>
              <w:rPr>
                <w:rFonts w:hint="eastAsia" w:ascii="宋体" w:hAnsi="宋体" w:eastAsia="宋体" w:cs="宋体"/>
                <w:sz w:val="21"/>
              </w:rPr>
              <w:t>营业成本</w:t>
            </w:r>
          </w:p>
        </w:tc>
        <w:tc>
          <w:tcPr>
            <w:tcW w:w="170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c>
          <w:tcPr>
            <w:tcW w:w="154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w:t>
            </w:r>
          </w:p>
        </w:tc>
        <w:tc>
          <w:tcPr>
            <w:tcW w:w="1660" w:type="dxa"/>
            <w:tcMar>
              <w:top w:w="0" w:type="dxa"/>
              <w:left w:w="0" w:type="dxa"/>
              <w:bottom w:w="0" w:type="dxa"/>
              <w:right w:w="0" w:type="dxa"/>
            </w:tcMar>
          </w:tcPr>
          <w:p>
            <w:pPr>
              <w:spacing w:before="140"/>
              <w:ind w:left="34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r>
      <w:tr>
        <w:trPr>
          <w:trHeight w:val="48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20"/>
            </w:pPr>
            <w:r>
              <w:rPr>
                <w:rFonts w:hint="eastAsia" w:ascii="宋体" w:hAnsi="宋体" w:eastAsia="宋体" w:cs="宋体"/>
                <w:sz w:val="21"/>
              </w:rPr>
              <w:t>营业税金及附加</w:t>
            </w:r>
          </w:p>
        </w:tc>
        <w:tc>
          <w:tcPr>
            <w:tcW w:w="170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c>
          <w:tcPr>
            <w:tcW w:w="1540" w:type="dxa"/>
            <w:tcMar>
              <w:top w:w="0" w:type="dxa"/>
              <w:left w:w="0" w:type="dxa"/>
              <w:bottom w:w="0" w:type="dxa"/>
              <w:right w:w="0" w:type="dxa"/>
            </w:tcMar>
          </w:tcPr>
          <w:p>
            <w:pPr>
              <w:spacing w:before="160"/>
              <w:ind w:left="580"/>
            </w:pP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66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r>
      <w:tr>
        <w:trPr>
          <w:trHeight w:val="46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00"/>
            </w:pPr>
            <w:r>
              <w:rPr>
                <w:rFonts w:hint="eastAsia" w:ascii="宋体" w:hAnsi="宋体" w:eastAsia="宋体" w:cs="宋体"/>
                <w:sz w:val="21"/>
              </w:rPr>
              <w:t>资产减值损失</w:t>
            </w:r>
          </w:p>
        </w:tc>
        <w:tc>
          <w:tcPr>
            <w:tcW w:w="170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c>
          <w:tcPr>
            <w:tcW w:w="154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p>
        </w:tc>
        <w:tc>
          <w:tcPr>
            <w:tcW w:w="166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p>
        </w:tc>
      </w:tr>
      <w:tr>
        <w:trPr>
          <w:trHeight w:val="48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20"/>
            </w:pPr>
            <w:r>
              <w:rPr>
                <w:rFonts w:hint="eastAsia" w:ascii="宋体" w:hAnsi="宋体" w:eastAsia="宋体" w:cs="宋体"/>
                <w:sz w:val="21"/>
              </w:rPr>
              <w:t>所得税费用</w:t>
            </w:r>
          </w:p>
        </w:tc>
        <w:tc>
          <w:tcPr>
            <w:tcW w:w="1700" w:type="dxa"/>
            <w:tcMar>
              <w:top w:w="0" w:type="dxa"/>
              <w:left w:w="0" w:type="dxa"/>
              <w:bottom w:w="0" w:type="dxa"/>
              <w:right w:w="0" w:type="dxa"/>
            </w:tcMar>
          </w:tcPr>
          <w:p>
            <w:pPr>
              <w:spacing w:before="180"/>
              <w:ind w:left="620"/>
            </w:pPr>
            <w:r>
              <w:rPr>
                <w:rFonts w:hint="eastAsia" w:ascii="Times New Roman" w:hAnsi="Times New Roman" w:eastAsia="Times New Roman" w:cs="Times New Roman"/>
                <w:sz w:val="21"/>
              </w:rPr>
              <w:t>630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c>
          <w:tcPr>
            <w:tcW w:w="1540" w:type="dxa"/>
            <w:tcMar>
              <w:top w:w="0" w:type="dxa"/>
              <w:left w:w="0" w:type="dxa"/>
              <w:bottom w:w="0" w:type="dxa"/>
              <w:right w:w="0" w:type="dxa"/>
            </w:tcMar>
          </w:tcPr>
          <w:p>
            <w:pPr>
              <w:spacing w:before="180"/>
              <w:ind w:left="2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p>
        </w:tc>
        <w:tc>
          <w:tcPr>
            <w:tcW w:w="1660" w:type="dxa"/>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r>
        <w:trPr>
          <w:trHeight w:val="56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20"/>
            </w:pPr>
            <w:r>
              <w:rPr>
                <w:rFonts w:hint="eastAsia" w:ascii="宋体" w:hAnsi="宋体" w:eastAsia="宋体" w:cs="宋体"/>
                <w:sz w:val="21"/>
              </w:rPr>
              <w:t>归属母公司股东的净</w:t>
            </w:r>
          </w:p>
          <w:p>
            <w:pPr>
              <w:spacing w:before="60"/>
            </w:pPr>
            <w:r>
              <w:rPr>
                <w:rFonts w:hint="eastAsia" w:ascii="宋体" w:hAnsi="宋体" w:eastAsia="宋体" w:cs="宋体"/>
                <w:sz w:val="21"/>
              </w:rPr>
              <w:t>利润</w:t>
            </w:r>
          </w:p>
        </w:tc>
        <w:tc>
          <w:tcPr>
            <w:tcW w:w="170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p>
        </w:tc>
        <w:tc>
          <w:tcPr>
            <w:tcW w:w="1540" w:type="dxa"/>
            <w:tcMar>
              <w:top w:w="0" w:type="dxa"/>
              <w:left w:w="0" w:type="dxa"/>
              <w:bottom w:w="0" w:type="dxa"/>
              <w:right w:w="0" w:type="dxa"/>
            </w:tcMar>
          </w:tcPr>
          <w:p>
            <w:pPr>
              <w:spacing w:before="180"/>
              <w:ind w:left="2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1660" w:type="dxa"/>
            <w:tcMar>
              <w:top w:w="0" w:type="dxa"/>
              <w:left w:w="0" w:type="dxa"/>
              <w:bottom w:w="0" w:type="dxa"/>
              <w:right w:w="0" w:type="dxa"/>
            </w:tcMar>
          </w:tcPr>
          <w:p>
            <w:pPr>
              <w:spacing w:before="180"/>
              <w:ind w:left="44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r>
      <w:tr>
        <w:trPr>
          <w:trHeight w:val="460" w:hRule="exact"/>
        </w:trPr>
        <w:tc>
          <w:tcPr>
            <w:tcW w:w="2100" w:type="dxa"/>
            <w:vMerge w:val="continue"/>
            <w:tcMar>
              <w:top w:w="0" w:type="dxa"/>
              <w:left w:w="0" w:type="dxa"/>
              <w:bottom w:w="0" w:type="dxa"/>
              <w:right w:w="0" w:type="dxa"/>
            </w:tcMar>
          </w:tcPr>
          <w:p/>
        </w:tc>
        <w:tc>
          <w:tcPr>
            <w:tcW w:w="2260" w:type="dxa"/>
            <w:tcMar>
              <w:top w:w="0" w:type="dxa"/>
              <w:left w:w="0" w:type="dxa"/>
              <w:bottom w:w="0" w:type="dxa"/>
              <w:right w:w="0" w:type="dxa"/>
            </w:tcMar>
          </w:tcPr>
          <w:p>
            <w:pPr>
              <w:spacing w:before="120"/>
            </w:pPr>
            <w:r>
              <w:rPr>
                <w:rFonts w:hint="eastAsia" w:ascii="宋体" w:hAnsi="宋体" w:eastAsia="宋体" w:cs="宋体"/>
                <w:sz w:val="21"/>
              </w:rPr>
              <w:t>少数股东损益</w:t>
            </w:r>
          </w:p>
        </w:tc>
        <w:tc>
          <w:tcPr>
            <w:tcW w:w="170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154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c>
          <w:tcPr>
            <w:tcW w:w="166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p>
        </w:tc>
      </w:tr>
    </w:tbl>
    <w:p>
      <w:pPr>
        <w:spacing w:line="200" w:lineRule="exact"/>
        <w:rPr>
          <w:rFonts w:hint="eastAsia" w:ascii="宋体" w:hAnsi="宋体" w:eastAsia="宋体" w:cs="宋体"/>
          <w:sz w:val="20"/>
        </w:rPr>
      </w:pPr>
    </w:p>
    <w:p>
      <w:pPr>
        <w:autoSpaceDE w:val="false"/>
        <w:autoSpaceDN w:val="false"/>
        <w:spacing w:line="400" w:lineRule="exact"/>
        <w:ind w:left="1440" w:right="1200" w:firstLine="480"/>
        <w:jc w:val="both"/>
      </w:pPr>
      <w:r>
        <w:rPr>
          <w:rFonts w:hint="eastAsia" w:ascii="宋体" w:hAnsi="宋体" w:eastAsia="宋体" w:cs="宋体"/>
          <w:sz w:val="24"/>
        </w:rPr>
        <w:t>发行人会计政策变更符合企业自身的经营特点和企业会计准则的相关规定</w:t>
      </w:r>
      <w:r>
        <w:rPr>
          <w:rFonts w:hint="eastAsia" w:ascii="宋体" w:hAnsi="宋体" w:eastAsia="宋体" w:cs="宋体"/>
          <w:sz w:val="10"/>
        </w:rPr>
        <w:t>，</w:t>
      </w:r>
      <w:r>
        <w:rPr>
          <w:rFonts w:hint="eastAsia" w:ascii="宋体" w:hAnsi="宋体" w:eastAsia="宋体" w:cs="宋体"/>
          <w:sz w:val="24"/>
        </w:rPr>
        <w:t>会计政策变更具有合理性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）其他会计政策变更</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A</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月至</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财政部发布了《企业会计准则第</w:t>
      </w:r>
      <w:r>
        <w:rPr>
          <w:rFonts w:hint="eastAsia" w:ascii="Times New Roman" w:hAnsi="Times New Roman" w:eastAsia="Times New Roman" w:cs="Times New Roman"/>
          <w:sz w:val="24"/>
        </w:rPr>
        <w:t xml:space="preserve"> 39</w:t>
      </w:r>
      <w:r>
        <w:rPr>
          <w:rFonts w:hint="eastAsia" w:ascii="宋体" w:hAnsi="宋体" w:eastAsia="宋体" w:cs="宋体"/>
          <w:sz w:val="24"/>
        </w:rPr>
        <w:t xml:space="preserve"> 号</w:t>
      </w:r>
      <w:r>
        <w:rPr>
          <w:rFonts w:hint="eastAsia" w:ascii="Times New Roman" w:hAnsi="Times New Roman" w:eastAsia="Times New Roman" w:cs="Times New Roman"/>
          <w:sz w:val="24"/>
        </w:rPr>
        <w:t>——</w:t>
      </w:r>
      <w:r>
        <w:rPr>
          <w:rFonts w:hint="eastAsia" w:ascii="宋体" w:hAnsi="宋体" w:eastAsia="宋体" w:cs="宋体"/>
          <w:sz w:val="24"/>
        </w:rPr>
        <w:t>公允价值计量》、</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10"/>
        </w:rPr>
        <w:t>《</w:t>
      </w:r>
      <w:r>
        <w:rPr>
          <w:rFonts w:hint="eastAsia" w:ascii="宋体" w:hAnsi="宋体" w:eastAsia="宋体" w:cs="宋体"/>
          <w:sz w:val="24"/>
        </w:rPr>
        <w:t>企业会计准则第</w:t>
      </w:r>
      <w:r>
        <w:rPr>
          <w:rFonts w:hint="eastAsia" w:ascii="Times New Roman" w:hAnsi="Times New Roman" w:eastAsia="Times New Roman" w:cs="Times New Roman"/>
          <w:sz w:val="24"/>
        </w:rPr>
        <w:t xml:space="preserve"> 40</w:t>
      </w:r>
      <w:r>
        <w:rPr>
          <w:rFonts w:hint="eastAsia" w:ascii="宋体" w:hAnsi="宋体" w:eastAsia="宋体" w:cs="宋体"/>
          <w:sz w:val="24"/>
        </w:rPr>
        <w:t xml:space="preserve"> 号</w:t>
      </w:r>
      <w:r>
        <w:rPr>
          <w:rFonts w:hint="eastAsia" w:ascii="Times New Roman" w:hAnsi="Times New Roman" w:eastAsia="Times New Roman" w:cs="Times New Roman"/>
          <w:sz w:val="24"/>
        </w:rPr>
        <w:t>——</w:t>
      </w:r>
      <w:r>
        <w:rPr>
          <w:rFonts w:hint="eastAsia" w:ascii="宋体" w:hAnsi="宋体" w:eastAsia="宋体" w:cs="宋体"/>
          <w:sz w:val="24"/>
        </w:rPr>
        <w:t>合营安排》和《企业会计准则第</w:t>
      </w:r>
      <w:r>
        <w:rPr>
          <w:rFonts w:hint="eastAsia" w:ascii="Times New Roman" w:hAnsi="Times New Roman" w:eastAsia="Times New Roman" w:cs="Times New Roman"/>
          <w:sz w:val="24"/>
        </w:rPr>
        <w:t xml:space="preserve"> 41</w:t>
      </w:r>
      <w:r>
        <w:rPr>
          <w:rFonts w:hint="eastAsia" w:ascii="宋体" w:hAnsi="宋体" w:eastAsia="宋体" w:cs="宋体"/>
          <w:sz w:val="24"/>
        </w:rPr>
        <w:t xml:space="preserve"> 号</w:t>
      </w:r>
      <w:r>
        <w:rPr>
          <w:rFonts w:hint="eastAsia" w:ascii="Times New Roman" w:hAnsi="Times New Roman" w:eastAsia="Times New Roman" w:cs="Times New Roman"/>
          <w:sz w:val="24"/>
        </w:rPr>
        <w:t>——</w:t>
      </w:r>
      <w:r>
        <w:rPr>
          <w:rFonts w:hint="eastAsia" w:ascii="宋体" w:hAnsi="宋体" w:eastAsia="宋体" w:cs="宋体"/>
          <w:sz w:val="24"/>
        </w:rPr>
        <w:t>在其他主体中权</w:t>
      </w:r>
    </w:p>
    <w:p>
      <w:pPr>
        <w:spacing w:line="200" w:lineRule="exact"/>
        <w:rPr>
          <w:rFonts w:hint="eastAsia" w:ascii="宋体" w:hAnsi="宋体" w:eastAsia="宋体" w:cs="宋体"/>
          <w:sz w:val="20"/>
        </w:rPr>
      </w:pPr>
    </w:p>
    <w:p>
      <w:pPr>
        <w:autoSpaceDE w:val="false"/>
        <w:autoSpaceDN w:val="false"/>
        <w:spacing w:line="420" w:lineRule="exact"/>
        <w:ind w:left="1440" w:right="1200"/>
        <w:jc w:val="both"/>
      </w:pPr>
      <w:r>
        <w:rPr>
          <w:rFonts w:hint="eastAsia" w:ascii="宋体" w:hAnsi="宋体" w:eastAsia="宋体" w:cs="宋体"/>
          <w:sz w:val="24"/>
        </w:rPr>
        <w:t>益的披露》，</w:t>
      </w:r>
      <w:r>
        <w:rPr>
          <w:rFonts w:hint="eastAsia" w:ascii="宋体" w:hAnsi="宋体" w:eastAsia="宋体" w:cs="宋体"/>
          <w:sz w:val="24"/>
        </w:rPr>
        <w:t>修订了《企业会计准则第</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号</w:t>
      </w:r>
      <w:r>
        <w:rPr>
          <w:rFonts w:hint="eastAsia" w:ascii="Times New Roman" w:hAnsi="Times New Roman" w:eastAsia="Times New Roman" w:cs="Times New Roman"/>
          <w:sz w:val="24"/>
        </w:rPr>
        <w:t>——</w:t>
      </w:r>
      <w:r>
        <w:rPr>
          <w:rFonts w:hint="eastAsia" w:ascii="宋体" w:hAnsi="宋体" w:eastAsia="宋体" w:cs="宋体"/>
          <w:sz w:val="24"/>
        </w:rPr>
        <w:t>长期股权投资》、《</w:t>
      </w:r>
      <w:r>
        <w:rPr>
          <w:rFonts w:hint="eastAsia" w:ascii="宋体" w:hAnsi="宋体" w:eastAsia="宋体" w:cs="宋体"/>
          <w:sz w:val="24"/>
        </w:rPr>
        <w:t>企业会计准则第</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号</w:t>
      </w:r>
      <w:r>
        <w:rPr>
          <w:rFonts w:hint="eastAsia" w:ascii="Times New Roman" w:hAnsi="Times New Roman" w:eastAsia="Times New Roman" w:cs="Times New Roman"/>
          <w:sz w:val="24"/>
        </w:rPr>
        <w:t>——</w:t>
      </w:r>
      <w:r>
        <w:rPr>
          <w:rFonts w:hint="eastAsia" w:ascii="宋体" w:hAnsi="宋体" w:eastAsia="宋体" w:cs="宋体"/>
          <w:sz w:val="24"/>
        </w:rPr>
        <w:t>职工薪酬》</w:t>
      </w:r>
      <w:r>
        <w:rPr>
          <w:rFonts w:hint="eastAsia" w:ascii="宋体" w:hAnsi="宋体" w:eastAsia="宋体" w:cs="宋体"/>
          <w:spacing w:val="-120"/>
          <w:sz w:val="10"/>
        </w:rPr>
        <w:t>、</w:t>
      </w:r>
      <w:r>
        <w:rPr>
          <w:rFonts w:hint="eastAsia" w:ascii="宋体" w:hAnsi="宋体" w:eastAsia="宋体" w:cs="宋体"/>
          <w:sz w:val="10"/>
        </w:rPr>
        <w:t>《</w:t>
      </w:r>
      <w:r>
        <w:rPr>
          <w:rFonts w:hint="eastAsia" w:ascii="宋体" w:hAnsi="宋体" w:eastAsia="宋体" w:cs="宋体"/>
          <w:sz w:val="24"/>
        </w:rPr>
        <w:t>企业会计准则第</w:t>
      </w:r>
      <w:r>
        <w:rPr>
          <w:rFonts w:hint="eastAsia" w:ascii="Times New Roman" w:hAnsi="Times New Roman" w:eastAsia="Times New Roman" w:cs="Times New Roman"/>
          <w:sz w:val="24"/>
        </w:rPr>
        <w:t xml:space="preserve"> 30</w:t>
      </w:r>
      <w:r>
        <w:rPr>
          <w:rFonts w:hint="eastAsia" w:ascii="宋体" w:hAnsi="宋体" w:eastAsia="宋体" w:cs="宋体"/>
          <w:sz w:val="24"/>
        </w:rPr>
        <w:t>号</w:t>
      </w:r>
      <w:r>
        <w:rPr>
          <w:rFonts w:hint="eastAsia" w:ascii="Times New Roman" w:hAnsi="Times New Roman" w:eastAsia="Times New Roman" w:cs="Times New Roman"/>
          <w:sz w:val="24"/>
        </w:rPr>
        <w:t>——</w:t>
      </w:r>
      <w:r>
        <w:rPr>
          <w:rFonts w:hint="eastAsia" w:ascii="宋体" w:hAnsi="宋体" w:eastAsia="宋体" w:cs="宋体"/>
          <w:sz w:val="24"/>
        </w:rPr>
        <w:t>财务报表列报》</w:t>
      </w:r>
      <w:r>
        <w:rPr>
          <w:rFonts w:hint="eastAsia" w:ascii="宋体" w:hAnsi="宋体" w:eastAsia="宋体" w:cs="宋体"/>
          <w:spacing w:val="-120"/>
          <w:sz w:val="10"/>
        </w:rPr>
        <w:t>、</w:t>
      </w:r>
      <w:r>
        <w:rPr>
          <w:rFonts w:hint="eastAsia" w:ascii="宋体" w:hAnsi="宋体" w:eastAsia="宋体" w:cs="宋体"/>
          <w:sz w:val="10"/>
        </w:rPr>
        <w:t>《</w:t>
      </w:r>
      <w:r>
        <w:rPr>
          <w:rFonts w:hint="eastAsia" w:ascii="宋体" w:hAnsi="宋体" w:eastAsia="宋体" w:cs="宋体"/>
          <w:sz w:val="24"/>
        </w:rPr>
        <w:t>企业会计准则第</w:t>
      </w:r>
      <w:r>
        <w:rPr>
          <w:rFonts w:hint="eastAsia" w:ascii="Times New Roman" w:hAnsi="Times New Roman" w:eastAsia="Times New Roman" w:cs="Times New Roman"/>
          <w:sz w:val="24"/>
        </w:rPr>
        <w:t xml:space="preserve"> 33</w:t>
      </w:r>
      <w:r>
        <w:rPr>
          <w:rFonts w:hint="eastAsia" w:ascii="宋体" w:hAnsi="宋体" w:eastAsia="宋体" w:cs="宋体"/>
          <w:sz w:val="24"/>
        </w:rPr>
        <w:t>号</w:t>
      </w:r>
      <w:r>
        <w:rPr>
          <w:rFonts w:hint="eastAsia" w:ascii="Times New Roman" w:hAnsi="Times New Roman" w:eastAsia="Times New Roman" w:cs="Times New Roman"/>
          <w:sz w:val="24"/>
        </w:rPr>
        <w:t>——</w:t>
      </w:r>
      <w:r>
        <w:rPr>
          <w:rFonts w:hint="eastAsia" w:ascii="宋体" w:hAnsi="宋体" w:eastAsia="宋体" w:cs="宋体"/>
          <w:sz w:val="24"/>
        </w:rPr>
        <w:t>合并财务报表》和《企业会计准则第</w:t>
      </w:r>
      <w:r>
        <w:rPr>
          <w:rFonts w:hint="eastAsia" w:ascii="Times New Roman" w:hAnsi="Times New Roman" w:eastAsia="Times New Roman" w:cs="Times New Roman"/>
          <w:sz w:val="24"/>
        </w:rPr>
        <w:t xml:space="preserve"> 37</w:t>
      </w:r>
      <w:r>
        <w:rPr>
          <w:rFonts w:hint="eastAsia" w:ascii="宋体" w:hAnsi="宋体" w:eastAsia="宋体" w:cs="宋体"/>
          <w:sz w:val="24"/>
        </w:rPr>
        <w:t xml:space="preserve"> 号</w:t>
      </w:r>
      <w:r>
        <w:rPr>
          <w:rFonts w:hint="eastAsia" w:ascii="Times New Roman" w:hAnsi="Times New Roman" w:eastAsia="Times New Roman" w:cs="Times New Roman"/>
          <w:sz w:val="24"/>
        </w:rPr>
        <w:t>——</w:t>
      </w:r>
      <w:r>
        <w:rPr>
          <w:rFonts w:hint="eastAsia" w:ascii="宋体" w:hAnsi="宋体" w:eastAsia="宋体" w:cs="宋体"/>
          <w:sz w:val="24"/>
        </w:rPr>
        <w:t>金融工具列报》，</w:t>
      </w:r>
      <w:r>
        <w:rPr>
          <w:rFonts w:hint="eastAsia" w:ascii="宋体" w:hAnsi="宋体" w:eastAsia="宋体" w:cs="宋体"/>
          <w:sz w:val="24"/>
        </w:rPr>
        <w:t>除企业会计准则第</w:t>
      </w:r>
      <w:r>
        <w:rPr>
          <w:rFonts w:hint="eastAsia" w:ascii="Times New Roman" w:hAnsi="Times New Roman" w:eastAsia="Times New Roman" w:cs="Times New Roman"/>
          <w:sz w:val="24"/>
        </w:rPr>
        <w:t xml:space="preserve"> 37</w:t>
      </w:r>
      <w:r>
        <w:rPr>
          <w:rFonts w:hint="eastAsia" w:ascii="宋体" w:hAnsi="宋体" w:eastAsia="宋体" w:cs="宋体"/>
          <w:sz w:val="24"/>
        </w:rPr>
        <w:t>号在</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年年度及以后期间的财务报告中使用外</w:t>
      </w:r>
      <w:r>
        <w:rPr>
          <w:rFonts w:hint="eastAsia" w:ascii="宋体" w:hAnsi="宋体" w:eastAsia="宋体" w:cs="宋体"/>
          <w:sz w:val="10"/>
        </w:rPr>
        <w:t>，</w:t>
      </w:r>
      <w:r>
        <w:rPr>
          <w:rFonts w:hint="eastAsia" w:ascii="宋体" w:hAnsi="宋体" w:eastAsia="宋体" w:cs="宋体"/>
          <w:sz w:val="24"/>
        </w:rPr>
        <w:t>其他准则于</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日起施行</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上述会计政策变更的影响如下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200"/>
        <w:gridCol w:w="2320"/>
        <w:gridCol w:w="1740"/>
      </w:tblGrid>
      <w:tr>
        <w:trPr>
          <w:trHeight w:val="480" w:hRule="exact"/>
        </w:trPr>
        <w:tc>
          <w:tcPr>
            <w:tcW w:w="5200" w:type="dxa"/>
            <w:tcMar>
              <w:top w:w="0" w:type="dxa"/>
              <w:left w:w="0" w:type="dxa"/>
              <w:bottom w:w="0" w:type="dxa"/>
              <w:right w:w="0" w:type="dxa"/>
            </w:tcMar>
          </w:tcPr>
          <w:p>
            <w:pPr>
              <w:spacing w:before="100"/>
              <w:ind w:left="1320"/>
            </w:pPr>
            <w:r>
              <w:rPr>
                <w:rFonts w:hint="eastAsia" w:ascii="宋体" w:hAnsi="宋体" w:eastAsia="宋体" w:cs="宋体"/>
                <w:b/>
                <w:sz w:val="21"/>
              </w:rPr>
              <w:t>会计政策变更的内容和原因</w:t>
            </w:r>
          </w:p>
        </w:tc>
        <w:tc>
          <w:tcPr>
            <w:tcW w:w="2320" w:type="dxa"/>
            <w:tcMar>
              <w:top w:w="0" w:type="dxa"/>
              <w:left w:w="0" w:type="dxa"/>
              <w:bottom w:w="0" w:type="dxa"/>
              <w:right w:w="0" w:type="dxa"/>
            </w:tcMar>
          </w:tcPr>
          <w:p>
            <w:pPr>
              <w:spacing w:before="100"/>
              <w:ind w:left="300"/>
            </w:pPr>
            <w:r>
              <w:rPr>
                <w:rFonts w:hint="eastAsia" w:ascii="宋体" w:hAnsi="宋体" w:eastAsia="宋体" w:cs="宋体"/>
                <w:b/>
                <w:sz w:val="21"/>
              </w:rPr>
              <w:t>受影响的报表项目</w:t>
            </w:r>
          </w:p>
        </w:tc>
        <w:tc>
          <w:tcPr>
            <w:tcW w:w="1740" w:type="dxa"/>
            <w:tcMar>
              <w:top w:w="0" w:type="dxa"/>
              <w:left w:w="0" w:type="dxa"/>
              <w:bottom w:w="0" w:type="dxa"/>
              <w:right w:w="0" w:type="dxa"/>
            </w:tcMar>
          </w:tcPr>
          <w:p>
            <w:pPr>
              <w:spacing w:before="100"/>
              <w:ind w:left="440"/>
            </w:pPr>
            <w:r>
              <w:rPr>
                <w:rFonts w:hint="eastAsia" w:ascii="宋体" w:hAnsi="宋体" w:eastAsia="宋体" w:cs="宋体"/>
                <w:b/>
                <w:sz w:val="21"/>
              </w:rPr>
              <w:t>影响金额</w:t>
            </w:r>
          </w:p>
        </w:tc>
      </w:tr>
      <w:tr>
        <w:trPr>
          <w:trHeight w:val="1080" w:hRule="exact"/>
        </w:trPr>
        <w:tc>
          <w:tcPr>
            <w:tcW w:w="5200" w:type="dxa"/>
            <w:tcMar>
              <w:top w:w="0" w:type="dxa"/>
              <w:left w:w="0" w:type="dxa"/>
              <w:bottom w:w="0" w:type="dxa"/>
              <w:right w:w="0" w:type="dxa"/>
            </w:tcMar>
          </w:tcPr>
          <w:p>
            <w:pPr>
              <w:spacing w:before="0"/>
              <w:ind w:left="100"/>
            </w:pPr>
            <w:r>
              <w:rPr>
                <w:rFonts w:hint="eastAsia" w:ascii="宋体" w:hAnsi="宋体" w:eastAsia="宋体" w:cs="宋体"/>
                <w:sz w:val="21"/>
              </w:rPr>
              <w:t>根据企业会计准则第</w:t>
            </w:r>
            <w:r>
              <w:rPr>
                <w:rFonts w:hint="eastAsia" w:ascii="Times New Roman" w:hAnsi="Times New Roman" w:eastAsia="Times New Roman" w:cs="Times New Roman"/>
                <w:sz w:val="21"/>
              </w:rPr>
              <w:t xml:space="preserve"> 2</w:t>
            </w:r>
            <w:r>
              <w:rPr>
                <w:rFonts w:hint="eastAsia" w:ascii="宋体" w:hAnsi="宋体" w:eastAsia="宋体" w:cs="宋体"/>
                <w:sz w:val="21"/>
              </w:rPr>
              <w:t xml:space="preserve"> 号的要求</w:t>
            </w:r>
            <w:r>
              <w:rPr>
                <w:rFonts w:hint="eastAsia" w:ascii="宋体" w:hAnsi="宋体" w:eastAsia="宋体" w:cs="宋体"/>
                <w:sz w:val="10"/>
              </w:rPr>
              <w:t>：</w:t>
            </w:r>
          </w:p>
          <w:p>
            <w:pPr>
              <w:spacing w:before="60"/>
              <w:ind w:left="100"/>
            </w:pPr>
            <w:r>
              <w:rPr>
                <w:rFonts w:hint="eastAsia" w:ascii="宋体" w:hAnsi="宋体" w:eastAsia="宋体" w:cs="宋体"/>
                <w:sz w:val="21"/>
              </w:rPr>
              <w:t>对被投资单位不具有控制</w:t>
            </w:r>
            <w:r>
              <w:rPr>
                <w:rFonts w:hint="eastAsia" w:ascii="宋体" w:hAnsi="宋体" w:eastAsia="宋体" w:cs="宋体"/>
                <w:sz w:val="10"/>
              </w:rPr>
              <w:t>、</w:t>
            </w:r>
            <w:r>
              <w:rPr>
                <w:rFonts w:hint="eastAsia" w:ascii="宋体" w:hAnsi="宋体" w:eastAsia="宋体" w:cs="宋体"/>
                <w:sz w:val="21"/>
              </w:rPr>
              <w:t>共同控制或重大影响</w:t>
            </w:r>
            <w:r>
              <w:rPr>
                <w:rFonts w:hint="eastAsia" w:ascii="宋体" w:hAnsi="宋体" w:eastAsia="宋体" w:cs="宋体"/>
                <w:sz w:val="10"/>
              </w:rPr>
              <w:t>，</w:t>
            </w:r>
            <w:r>
              <w:rPr>
                <w:rFonts w:hint="eastAsia" w:ascii="宋体" w:hAnsi="宋体" w:eastAsia="宋体" w:cs="宋体"/>
                <w:sz w:val="21"/>
              </w:rPr>
              <w:t>并且</w:t>
            </w:r>
          </w:p>
          <w:p>
            <w:pPr>
              <w:spacing w:before="60"/>
              <w:ind w:left="100"/>
            </w:pPr>
            <w:r>
              <w:rPr>
                <w:rFonts w:hint="eastAsia" w:ascii="宋体" w:hAnsi="宋体" w:eastAsia="宋体" w:cs="宋体"/>
                <w:sz w:val="21"/>
              </w:rPr>
              <w:t>在活跃市场中没有报价</w:t>
            </w:r>
            <w:r>
              <w:rPr>
                <w:rFonts w:hint="eastAsia" w:ascii="宋体" w:hAnsi="宋体" w:eastAsia="宋体" w:cs="宋体"/>
                <w:sz w:val="10"/>
              </w:rPr>
              <w:t>、</w:t>
            </w:r>
            <w:r>
              <w:rPr>
                <w:rFonts w:hint="eastAsia" w:ascii="宋体" w:hAnsi="宋体" w:eastAsia="宋体" w:cs="宋体"/>
                <w:sz w:val="21"/>
              </w:rPr>
              <w:t>公允价值不能可靠计量的权益</w:t>
            </w:r>
          </w:p>
          <w:p>
            <w:pPr>
              <w:spacing w:before="40"/>
              <w:ind w:left="100"/>
            </w:pPr>
            <w:r>
              <w:rPr>
                <w:rFonts w:hint="eastAsia" w:ascii="宋体" w:hAnsi="宋体" w:eastAsia="宋体" w:cs="宋体"/>
                <w:sz w:val="21"/>
              </w:rPr>
              <w:t>性投资</w:t>
            </w:r>
            <w:r>
              <w:rPr>
                <w:rFonts w:hint="eastAsia" w:ascii="宋体" w:hAnsi="宋体" w:eastAsia="宋体" w:cs="宋体"/>
                <w:sz w:val="10"/>
              </w:rPr>
              <w:t>，</w:t>
            </w:r>
            <w:r>
              <w:rPr>
                <w:rFonts w:hint="eastAsia" w:ascii="宋体" w:hAnsi="宋体" w:eastAsia="宋体" w:cs="宋体"/>
                <w:sz w:val="21"/>
              </w:rPr>
              <w:t>按</w:t>
            </w:r>
            <w:r>
              <w:rPr>
                <w:rFonts w:hint="eastAsia" w:ascii="宋体" w:hAnsi="宋体" w:eastAsia="宋体" w:cs="宋体"/>
                <w:sz w:val="20"/>
              </w:rPr>
              <w:t>《</w:t>
            </w:r>
            <w:r>
              <w:rPr>
                <w:rFonts w:hint="eastAsia" w:ascii="宋体" w:hAnsi="宋体" w:eastAsia="宋体" w:cs="宋体"/>
                <w:sz w:val="21"/>
              </w:rPr>
              <w:t>企业会计准则第</w:t>
            </w:r>
            <w:r>
              <w:rPr>
                <w:rFonts w:hint="eastAsia" w:ascii="Times New Roman" w:hAnsi="Times New Roman" w:eastAsia="Times New Roman" w:cs="Times New Roman"/>
                <w:sz w:val="21"/>
              </w:rPr>
              <w:t xml:space="preserve"> 22</w:t>
            </w:r>
            <w:r>
              <w:rPr>
                <w:rFonts w:hint="eastAsia" w:ascii="宋体" w:hAnsi="宋体" w:eastAsia="宋体" w:cs="宋体"/>
                <w:sz w:val="21"/>
              </w:rPr>
              <w:t xml:space="preserve"> 号</w:t>
            </w:r>
            <w:r>
              <w:rPr>
                <w:rFonts w:hint="eastAsia" w:ascii="Times New Roman" w:hAnsi="Times New Roman" w:eastAsia="Times New Roman" w:cs="Times New Roman"/>
                <w:sz w:val="21"/>
              </w:rPr>
              <w:t>——</w:t>
            </w:r>
            <w:r>
              <w:rPr>
                <w:rFonts w:hint="eastAsia" w:ascii="宋体" w:hAnsi="宋体" w:eastAsia="宋体" w:cs="宋体"/>
                <w:sz w:val="21"/>
              </w:rPr>
              <w:t>金融工具确认</w:t>
            </w:r>
          </w:p>
        </w:tc>
        <w:tc>
          <w:tcPr>
            <w:tcW w:w="2320" w:type="dxa"/>
            <w:tcMar>
              <w:top w:w="0" w:type="dxa"/>
              <w:left w:w="0" w:type="dxa"/>
              <w:bottom w:w="0" w:type="dxa"/>
              <w:right w:w="0" w:type="dxa"/>
            </w:tcMar>
          </w:tcPr>
          <w:p>
            <w:pPr>
              <w:spacing w:before="280"/>
              <w:ind w:left="100"/>
            </w:pPr>
            <w:r>
              <w:rPr>
                <w:rFonts w:hint="eastAsia" w:ascii="宋体" w:hAnsi="宋体" w:eastAsia="宋体" w:cs="宋体"/>
                <w:sz w:val="21"/>
              </w:rPr>
              <w:t>①可供出售金融资产</w:t>
            </w:r>
          </w:p>
          <w:p>
            <w:pPr>
              <w:spacing w:before="60"/>
              <w:ind w:left="100"/>
            </w:pPr>
            <w:r>
              <w:rPr>
                <w:rFonts w:hint="eastAsia" w:ascii="宋体" w:hAnsi="宋体" w:eastAsia="宋体" w:cs="宋体"/>
                <w:sz w:val="21"/>
              </w:rPr>
              <w:t>②长期股权投资</w:t>
            </w:r>
          </w:p>
        </w:tc>
        <w:tc>
          <w:tcPr>
            <w:tcW w:w="1740" w:type="dxa"/>
            <w:tcMar>
              <w:top w:w="0" w:type="dxa"/>
              <w:left w:w="0" w:type="dxa"/>
              <w:bottom w:w="0" w:type="dxa"/>
              <w:right w:w="0" w:type="dxa"/>
            </w:tcMar>
          </w:tcPr>
          <w:p>
            <w:pPr>
              <w:spacing w:before="340"/>
              <w:ind w:left="68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p>
            <w:pPr>
              <w:spacing w:before="60"/>
              <w:ind w:left="60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1-1-237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200"/>
        <w:gridCol w:w="2320"/>
        <w:gridCol w:w="1740"/>
      </w:tblGrid>
      <w:tr>
        <w:trPr>
          <w:trHeight w:val="480" w:hRule="exact"/>
        </w:trPr>
        <w:tc>
          <w:tcPr>
            <w:tcW w:w="5200" w:type="dxa"/>
            <w:tcMar>
              <w:top w:w="0" w:type="dxa"/>
              <w:left w:w="0" w:type="dxa"/>
              <w:bottom w:w="0" w:type="dxa"/>
              <w:right w:w="0" w:type="dxa"/>
            </w:tcMar>
          </w:tcPr>
          <w:p>
            <w:pPr>
              <w:spacing w:before="100"/>
              <w:ind w:left="1320"/>
            </w:pPr>
            <w:r>
              <w:rPr>
                <w:rFonts w:hint="eastAsia" w:ascii="宋体" w:hAnsi="宋体" w:eastAsia="宋体" w:cs="宋体"/>
                <w:b/>
                <w:sz w:val="21"/>
              </w:rPr>
              <w:t>会计政策变更的内容和原因</w:t>
            </w:r>
          </w:p>
        </w:tc>
        <w:tc>
          <w:tcPr>
            <w:tcW w:w="2320" w:type="dxa"/>
            <w:tcMar>
              <w:top w:w="0" w:type="dxa"/>
              <w:left w:w="0" w:type="dxa"/>
              <w:bottom w:w="0" w:type="dxa"/>
              <w:right w:w="0" w:type="dxa"/>
            </w:tcMar>
          </w:tcPr>
          <w:p>
            <w:pPr>
              <w:spacing w:before="120"/>
              <w:ind w:left="300"/>
            </w:pPr>
            <w:r>
              <w:rPr>
                <w:rFonts w:hint="eastAsia" w:ascii="宋体" w:hAnsi="宋体" w:eastAsia="宋体" w:cs="宋体"/>
                <w:b/>
                <w:sz w:val="21"/>
              </w:rPr>
              <w:t>受影响的报表项目</w:t>
            </w:r>
          </w:p>
        </w:tc>
        <w:tc>
          <w:tcPr>
            <w:tcW w:w="1740" w:type="dxa"/>
            <w:tcMar>
              <w:top w:w="0" w:type="dxa"/>
              <w:left w:w="0" w:type="dxa"/>
              <w:bottom w:w="0" w:type="dxa"/>
              <w:right w:w="0" w:type="dxa"/>
            </w:tcMar>
          </w:tcPr>
          <w:p>
            <w:pPr>
              <w:spacing w:before="100"/>
              <w:ind w:left="440"/>
            </w:pPr>
            <w:r>
              <w:rPr>
                <w:rFonts w:hint="eastAsia" w:ascii="宋体" w:hAnsi="宋体" w:eastAsia="宋体" w:cs="宋体"/>
                <w:b/>
                <w:sz w:val="21"/>
              </w:rPr>
              <w:t>影响金额</w:t>
            </w:r>
          </w:p>
        </w:tc>
      </w:tr>
      <w:tr>
        <w:trPr>
          <w:trHeight w:val="540" w:hRule="exact"/>
        </w:trPr>
        <w:tc>
          <w:tcPr>
            <w:tcW w:w="5200" w:type="dxa"/>
            <w:tcMar>
              <w:top w:w="0" w:type="dxa"/>
              <w:left w:w="0" w:type="dxa"/>
              <w:bottom w:w="0" w:type="dxa"/>
              <w:right w:w="0" w:type="dxa"/>
            </w:tcMar>
          </w:tcPr>
          <w:p>
            <w:pPr>
              <w:spacing w:before="20"/>
              <w:ind w:left="100"/>
            </w:pPr>
            <w:r>
              <w:rPr>
                <w:rFonts w:hint="eastAsia" w:ascii="宋体" w:hAnsi="宋体" w:eastAsia="宋体" w:cs="宋体"/>
                <w:sz w:val="21"/>
              </w:rPr>
              <w:t>和计量</w:t>
            </w:r>
            <w:r>
              <w:rPr>
                <w:rFonts w:hint="eastAsia" w:ascii="宋体" w:hAnsi="宋体" w:eastAsia="宋体" w:cs="宋体"/>
                <w:sz w:val="20"/>
              </w:rPr>
              <w:t>》</w:t>
            </w:r>
            <w:r>
              <w:rPr>
                <w:rFonts w:hint="eastAsia" w:ascii="宋体" w:hAnsi="宋体" w:eastAsia="宋体" w:cs="宋体"/>
                <w:sz w:val="21"/>
              </w:rPr>
              <w:t>进行处理</w:t>
            </w:r>
            <w:r>
              <w:rPr>
                <w:rFonts w:hint="eastAsia" w:ascii="宋体" w:hAnsi="宋体" w:eastAsia="宋体" w:cs="宋体"/>
                <w:sz w:val="10"/>
              </w:rPr>
              <w:t>。</w:t>
            </w:r>
          </w:p>
          <w:p>
            <w:pPr>
              <w:spacing w:before="60"/>
              <w:ind w:left="100"/>
            </w:pPr>
            <w:r>
              <w:rPr>
                <w:rFonts w:hint="eastAsia" w:ascii="宋体" w:hAnsi="宋体" w:eastAsia="宋体" w:cs="宋体"/>
                <w:sz w:val="21"/>
              </w:rPr>
              <w:t>本公司对上述会计政策变更采用追溯调整法处理</w:t>
            </w:r>
            <w:r>
              <w:rPr>
                <w:rFonts w:hint="eastAsia" w:ascii="宋体" w:hAnsi="宋体" w:eastAsia="宋体" w:cs="宋体"/>
                <w:sz w:val="10"/>
              </w:rPr>
              <w:t>。</w:t>
            </w:r>
          </w:p>
        </w:tc>
        <w:tc>
          <w:tcPr>
            <w:tcW w:w="2320" w:type="dxa"/>
            <w:tcMar>
              <w:top w:w="0" w:type="dxa"/>
              <w:left w:w="0" w:type="dxa"/>
              <w:bottom w:w="0" w:type="dxa"/>
              <w:right w:w="0" w:type="dxa"/>
            </w:tcMar>
          </w:tcPr>
          <w:p/>
        </w:tc>
        <w:tc>
          <w:tcPr>
            <w:tcW w:w="1740" w:type="dxa"/>
            <w:tcMar>
              <w:top w:w="0" w:type="dxa"/>
              <w:left w:w="0" w:type="dxa"/>
              <w:bottom w:w="0" w:type="dxa"/>
              <w:right w:w="0" w:type="dxa"/>
            </w:tcMar>
          </w:tcPr>
          <w:p/>
        </w:tc>
      </w:tr>
    </w:tbl>
    <w:p>
      <w:pPr>
        <w:autoSpaceDE w:val="false"/>
        <w:autoSpaceDN w:val="false"/>
        <w:spacing w:line="280" w:lineRule="exact"/>
        <w:ind w:left="1920"/>
        <w:jc w:val="both"/>
      </w:pPr>
      <w:r>
        <w:rPr>
          <w:rFonts w:hint="eastAsia" w:ascii="宋体" w:hAnsi="宋体" w:eastAsia="宋体" w:cs="宋体"/>
          <w:sz w:val="24"/>
        </w:rPr>
        <w:t>注</w:t>
      </w:r>
      <w:r>
        <w:rPr>
          <w:rFonts w:hint="eastAsia" w:ascii="宋体" w:hAnsi="宋体" w:eastAsia="宋体" w:cs="宋体"/>
          <w:sz w:val="12"/>
        </w:rPr>
        <w:t>：</w:t>
      </w:r>
      <w:r>
        <w:rPr>
          <w:rFonts w:hint="eastAsia" w:ascii="宋体" w:hAnsi="宋体" w:eastAsia="宋体" w:cs="宋体"/>
          <w:sz w:val="24"/>
        </w:rPr>
        <w:t>上述会计政策变更已经本公司第六届董事会第一次临时会议批准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right="1300" w:firstLine="480"/>
        <w:jc w:val="both"/>
      </w:pPr>
      <w:r>
        <w:rPr>
          <w:rFonts w:hint="eastAsia" w:ascii="Times New Roman" w:hAnsi="Times New Roman" w:eastAsia="Times New Roman" w:cs="Times New Roman"/>
          <w:sz w:val="24"/>
        </w:rPr>
        <w:t>B</w:t>
      </w:r>
      <w:r>
        <w:rPr>
          <w:rFonts w:hint="eastAsia" w:ascii="宋体" w:hAnsi="宋体" w:eastAsia="宋体" w:cs="宋体"/>
          <w:sz w:val="10"/>
        </w:rPr>
        <w:t>、</w:t>
      </w:r>
      <w:r>
        <w:rPr>
          <w:rFonts w:hint="eastAsia" w:ascii="宋体" w:hAnsi="宋体" w:eastAsia="宋体" w:cs="宋体"/>
          <w:sz w:val="24"/>
        </w:rPr>
        <w:t>根据《增值税会计处理规定》（财会〔</w:t>
      </w:r>
      <w:r>
        <w:rPr>
          <w:rFonts w:hint="eastAsia" w:ascii="Times New Roman" w:hAnsi="Times New Roman" w:eastAsia="Times New Roman" w:cs="Times New Roman"/>
          <w:sz w:val="24"/>
        </w:rPr>
        <w:t>2016</w:t>
      </w:r>
      <w:r>
        <w:rPr>
          <w:rFonts w:hint="eastAsia" w:ascii="宋体" w:hAnsi="宋体" w:eastAsia="宋体" w:cs="宋体"/>
          <w:sz w:val="24"/>
        </w:rPr>
        <w:t>〕</w:t>
      </w:r>
      <w:r>
        <w:rPr>
          <w:rFonts w:hint="eastAsia" w:ascii="Times New Roman" w:hAnsi="Times New Roman" w:eastAsia="Times New Roman" w:cs="Times New Roman"/>
          <w:sz w:val="24"/>
        </w:rPr>
        <w:t>22</w:t>
      </w:r>
      <w:r>
        <w:rPr>
          <w:rFonts w:hint="eastAsia" w:ascii="宋体" w:hAnsi="宋体" w:eastAsia="宋体" w:cs="宋体"/>
          <w:sz w:val="24"/>
        </w:rPr>
        <w:t xml:space="preserve"> 号）的规定</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日之后发生的与增值税相关交易</w:t>
      </w:r>
      <w:r>
        <w:rPr>
          <w:rFonts w:hint="eastAsia" w:ascii="宋体" w:hAnsi="宋体" w:eastAsia="宋体" w:cs="宋体"/>
          <w:sz w:val="10"/>
        </w:rPr>
        <w:t>，</w:t>
      </w:r>
      <w:r>
        <w:rPr>
          <w:rFonts w:hint="eastAsia" w:ascii="宋体" w:hAnsi="宋体" w:eastAsia="宋体" w:cs="宋体"/>
          <w:sz w:val="24"/>
        </w:rPr>
        <w:t>影响资产</w:t>
      </w:r>
      <w:r>
        <w:rPr>
          <w:rFonts w:hint="eastAsia" w:ascii="宋体" w:hAnsi="宋体" w:eastAsia="宋体" w:cs="宋体"/>
          <w:sz w:val="10"/>
        </w:rPr>
        <w:t>、</w:t>
      </w:r>
      <w:r>
        <w:rPr>
          <w:rFonts w:hint="eastAsia" w:ascii="宋体" w:hAnsi="宋体" w:eastAsia="宋体" w:cs="宋体"/>
          <w:sz w:val="24"/>
        </w:rPr>
        <w:t>负债等金额的</w:t>
      </w:r>
      <w:r>
        <w:rPr>
          <w:rFonts w:hint="eastAsia" w:ascii="宋体" w:hAnsi="宋体" w:eastAsia="宋体" w:cs="宋体"/>
          <w:sz w:val="10"/>
        </w:rPr>
        <w:t>，</w:t>
      </w:r>
      <w:r>
        <w:rPr>
          <w:rFonts w:hint="eastAsia" w:ascii="宋体" w:hAnsi="宋体" w:eastAsia="宋体" w:cs="宋体"/>
          <w:sz w:val="24"/>
        </w:rPr>
        <w:t>按该规定调整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上述会计政策变更的影响如下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340"/>
        <w:gridCol w:w="2300"/>
        <w:gridCol w:w="1620"/>
      </w:tblGrid>
      <w:tr>
        <w:trPr>
          <w:trHeight w:val="420" w:hRule="exact"/>
        </w:trPr>
        <w:tc>
          <w:tcPr>
            <w:tcW w:w="5340" w:type="dxa"/>
            <w:tcMar>
              <w:top w:w="0" w:type="dxa"/>
              <w:left w:w="0" w:type="dxa"/>
              <w:bottom w:w="0" w:type="dxa"/>
              <w:right w:w="0" w:type="dxa"/>
            </w:tcMar>
          </w:tcPr>
          <w:p>
            <w:pPr>
              <w:spacing w:before="80"/>
              <w:ind w:left="1420"/>
            </w:pPr>
            <w:r>
              <w:rPr>
                <w:rFonts w:hint="eastAsia" w:ascii="宋体" w:hAnsi="宋体" w:eastAsia="宋体" w:cs="宋体"/>
                <w:b/>
                <w:sz w:val="21"/>
              </w:rPr>
              <w:t>会计政策变更的内容和原因</w:t>
            </w:r>
          </w:p>
        </w:tc>
        <w:tc>
          <w:tcPr>
            <w:tcW w:w="2300" w:type="dxa"/>
            <w:tcMar>
              <w:top w:w="0" w:type="dxa"/>
              <w:left w:w="0" w:type="dxa"/>
              <w:bottom w:w="0" w:type="dxa"/>
              <w:right w:w="0" w:type="dxa"/>
            </w:tcMar>
          </w:tcPr>
          <w:p>
            <w:pPr>
              <w:spacing w:before="80"/>
              <w:ind w:left="300"/>
            </w:pPr>
            <w:r>
              <w:rPr>
                <w:rFonts w:hint="eastAsia" w:ascii="宋体" w:hAnsi="宋体" w:eastAsia="宋体" w:cs="宋体"/>
                <w:b/>
                <w:sz w:val="21"/>
              </w:rPr>
              <w:t>受影响的报表项目</w:t>
            </w:r>
          </w:p>
        </w:tc>
        <w:tc>
          <w:tcPr>
            <w:tcW w:w="1620" w:type="dxa"/>
            <w:tcMar>
              <w:top w:w="0" w:type="dxa"/>
              <w:left w:w="0" w:type="dxa"/>
              <w:bottom w:w="0" w:type="dxa"/>
              <w:right w:w="0" w:type="dxa"/>
            </w:tcMar>
          </w:tcPr>
          <w:p>
            <w:pPr>
              <w:spacing w:before="80"/>
              <w:ind w:left="400"/>
            </w:pPr>
            <w:r>
              <w:rPr>
                <w:rFonts w:hint="eastAsia" w:ascii="宋体" w:hAnsi="宋体" w:eastAsia="宋体" w:cs="宋体"/>
                <w:b/>
                <w:sz w:val="21"/>
              </w:rPr>
              <w:t>影响金额</w:t>
            </w:r>
          </w:p>
        </w:tc>
      </w:tr>
      <w:tr>
        <w:trPr>
          <w:trHeight w:val="2440" w:hRule="exact"/>
        </w:trPr>
        <w:tc>
          <w:tcPr>
            <w:tcW w:w="5340" w:type="dxa"/>
            <w:tcMar>
              <w:top w:w="0" w:type="dxa"/>
              <w:left w:w="0" w:type="dxa"/>
              <w:bottom w:w="0" w:type="dxa"/>
              <w:right w:w="0" w:type="dxa"/>
            </w:tcMar>
          </w:tcPr>
          <w:p>
            <w:pPr>
              <w:spacing w:before="260"/>
              <w:ind w:left="100"/>
            </w:pPr>
            <w:r>
              <w:rPr>
                <w:rFonts w:hint="eastAsia" w:ascii="宋体" w:hAnsi="宋体" w:eastAsia="宋体" w:cs="宋体"/>
                <w:sz w:val="21"/>
              </w:rPr>
              <w:t>根据</w:t>
            </w:r>
            <w:r>
              <w:rPr>
                <w:rFonts w:hint="eastAsia" w:ascii="宋体" w:hAnsi="宋体" w:eastAsia="宋体" w:cs="宋体"/>
                <w:sz w:val="20"/>
              </w:rPr>
              <w:t>《</w:t>
            </w:r>
            <w:r>
              <w:rPr>
                <w:rFonts w:hint="eastAsia" w:ascii="宋体" w:hAnsi="宋体" w:eastAsia="宋体" w:cs="宋体"/>
                <w:sz w:val="21"/>
              </w:rPr>
              <w:t>增值税会计处理规定</w:t>
            </w:r>
            <w:r>
              <w:rPr>
                <w:rFonts w:hint="eastAsia" w:ascii="宋体" w:hAnsi="宋体" w:eastAsia="宋体" w:cs="宋体"/>
                <w:sz w:val="20"/>
              </w:rPr>
              <w:t>》（</w:t>
            </w:r>
            <w:r>
              <w:rPr>
                <w:rFonts w:hint="eastAsia" w:ascii="宋体" w:hAnsi="宋体" w:eastAsia="宋体" w:cs="宋体"/>
                <w:sz w:val="21"/>
              </w:rPr>
              <w:t>财会</w:t>
            </w:r>
            <w:r>
              <w:rPr>
                <w:rFonts w:hint="eastAsia" w:ascii="宋体" w:hAnsi="宋体" w:eastAsia="宋体" w:cs="宋体"/>
                <w:sz w:val="20"/>
              </w:rPr>
              <w:t>〔</w:t>
            </w:r>
            <w:r>
              <w:rPr>
                <w:rFonts w:hint="eastAsia" w:ascii="Times New Roman" w:hAnsi="Times New Roman" w:eastAsia="Times New Roman" w:cs="Times New Roman"/>
                <w:sz w:val="21"/>
              </w:rPr>
              <w:t>2016</w:t>
            </w:r>
            <w:r>
              <w:rPr>
                <w:rFonts w:hint="eastAsia" w:ascii="宋体" w:hAnsi="宋体" w:eastAsia="宋体" w:cs="宋体"/>
                <w:sz w:val="20"/>
              </w:rPr>
              <w:t>〕</w:t>
            </w:r>
            <w:r>
              <w:rPr>
                <w:rFonts w:hint="eastAsia" w:ascii="Times New Roman" w:hAnsi="Times New Roman" w:eastAsia="Times New Roman" w:cs="Times New Roman"/>
                <w:sz w:val="21"/>
              </w:rPr>
              <w:t>22</w:t>
            </w:r>
            <w:r>
              <w:rPr>
                <w:rFonts w:hint="eastAsia" w:ascii="宋体" w:hAnsi="宋体" w:eastAsia="宋体" w:cs="宋体"/>
                <w:sz w:val="21"/>
              </w:rPr>
              <w:t xml:space="preserve"> 号</w:t>
            </w:r>
            <w:r>
              <w:rPr>
                <w:rFonts w:hint="eastAsia" w:ascii="宋体" w:hAnsi="宋体" w:eastAsia="宋体" w:cs="宋体"/>
                <w:sz w:val="20"/>
              </w:rPr>
              <w:t>）</w:t>
            </w:r>
            <w:r>
              <w:rPr>
                <w:rFonts w:hint="eastAsia" w:ascii="宋体" w:hAnsi="宋体" w:eastAsia="宋体" w:cs="宋体"/>
                <w:sz w:val="21"/>
              </w:rPr>
              <w:t>的规</w:t>
            </w:r>
          </w:p>
          <w:p>
            <w:pPr>
              <w:spacing w:before="80"/>
              <w:ind w:left="100"/>
            </w:pPr>
            <w:r>
              <w:rPr>
                <w:rFonts w:hint="eastAsia" w:ascii="宋体" w:hAnsi="宋体" w:eastAsia="宋体" w:cs="宋体"/>
                <w:sz w:val="21"/>
              </w:rPr>
              <w:t>定</w:t>
            </w:r>
            <w:r>
              <w:rPr>
                <w:rFonts w:hint="eastAsia" w:ascii="宋体" w:hAnsi="宋体" w:eastAsia="宋体" w:cs="宋体"/>
                <w:sz w:val="10"/>
              </w:rPr>
              <w:t>，</w:t>
            </w:r>
            <w:r>
              <w:rPr>
                <w:rFonts w:hint="eastAsia" w:ascii="Times New Roman" w:hAnsi="Times New Roman" w:eastAsia="Times New Roman" w:cs="Times New Roman"/>
                <w:sz w:val="21"/>
              </w:rPr>
              <w:t>2016</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5</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日之后发生的与增值税相关交易</w:t>
            </w:r>
            <w:r>
              <w:rPr>
                <w:rFonts w:hint="eastAsia" w:ascii="宋体" w:hAnsi="宋体" w:eastAsia="宋体" w:cs="宋体"/>
                <w:sz w:val="10"/>
              </w:rPr>
              <w:t>，</w:t>
            </w:r>
            <w:r>
              <w:rPr>
                <w:rFonts w:hint="eastAsia" w:ascii="宋体" w:hAnsi="宋体" w:eastAsia="宋体" w:cs="宋体"/>
                <w:sz w:val="21"/>
              </w:rPr>
              <w:t>影</w:t>
            </w:r>
          </w:p>
          <w:p>
            <w:pPr>
              <w:spacing w:before="60"/>
              <w:ind w:left="100"/>
            </w:pPr>
            <w:r>
              <w:rPr>
                <w:rFonts w:hint="eastAsia" w:ascii="宋体" w:hAnsi="宋体" w:eastAsia="宋体" w:cs="宋体"/>
                <w:sz w:val="21"/>
              </w:rPr>
              <w:t>响资产</w:t>
            </w:r>
            <w:r>
              <w:rPr>
                <w:rFonts w:hint="eastAsia" w:ascii="宋体" w:hAnsi="宋体" w:eastAsia="宋体" w:cs="宋体"/>
                <w:sz w:val="10"/>
              </w:rPr>
              <w:t>、</w:t>
            </w:r>
            <w:r>
              <w:rPr>
                <w:rFonts w:hint="eastAsia" w:ascii="宋体" w:hAnsi="宋体" w:eastAsia="宋体" w:cs="宋体"/>
                <w:sz w:val="21"/>
              </w:rPr>
              <w:t>负债等金额的</w:t>
            </w:r>
            <w:r>
              <w:rPr>
                <w:rFonts w:hint="eastAsia" w:ascii="宋体" w:hAnsi="宋体" w:eastAsia="宋体" w:cs="宋体"/>
                <w:sz w:val="10"/>
              </w:rPr>
              <w:t>，</w:t>
            </w:r>
            <w:r>
              <w:rPr>
                <w:rFonts w:hint="eastAsia" w:ascii="宋体" w:hAnsi="宋体" w:eastAsia="宋体" w:cs="宋体"/>
                <w:sz w:val="21"/>
              </w:rPr>
              <w:t>按该规定调整</w:t>
            </w:r>
            <w:r>
              <w:rPr>
                <w:rFonts w:hint="eastAsia" w:ascii="宋体" w:hAnsi="宋体" w:eastAsia="宋体" w:cs="宋体"/>
                <w:sz w:val="10"/>
              </w:rPr>
              <w:t>。</w:t>
            </w:r>
            <w:r>
              <w:rPr>
                <w:rFonts w:hint="eastAsia" w:ascii="宋体" w:hAnsi="宋体" w:eastAsia="宋体" w:cs="宋体"/>
                <w:sz w:val="21"/>
              </w:rPr>
              <w:t>本公司利润表</w:t>
            </w:r>
          </w:p>
          <w:p>
            <w:pPr>
              <w:spacing w:before="40"/>
              <w:ind w:left="100"/>
            </w:pPr>
            <w:r>
              <w:rPr>
                <w:rFonts w:hint="eastAsia" w:ascii="宋体" w:hAnsi="宋体" w:eastAsia="宋体" w:cs="宋体"/>
                <w:sz w:val="21"/>
              </w:rPr>
              <w:t>中的</w:t>
            </w:r>
            <w:r>
              <w:rPr>
                <w:rFonts w:hint="eastAsia" w:ascii="宋体" w:hAnsi="宋体" w:eastAsia="宋体" w:cs="宋体"/>
                <w:sz w:val="10"/>
              </w:rPr>
              <w:t>“</w:t>
            </w:r>
            <w:r>
              <w:rPr>
                <w:rFonts w:hint="eastAsia" w:ascii="宋体" w:hAnsi="宋体" w:eastAsia="宋体" w:cs="宋体"/>
                <w:sz w:val="21"/>
              </w:rPr>
              <w:t>营业税金及附加</w:t>
            </w:r>
            <w:r>
              <w:rPr>
                <w:rFonts w:hint="eastAsia" w:ascii="宋体" w:hAnsi="宋体" w:eastAsia="宋体" w:cs="宋体"/>
                <w:sz w:val="10"/>
              </w:rPr>
              <w:t>”</w:t>
            </w:r>
            <w:r>
              <w:rPr>
                <w:rFonts w:hint="eastAsia" w:ascii="宋体" w:hAnsi="宋体" w:eastAsia="宋体" w:cs="宋体"/>
                <w:sz w:val="21"/>
              </w:rPr>
              <w:t>项目调整为</w:t>
            </w:r>
            <w:r>
              <w:rPr>
                <w:rFonts w:hint="eastAsia" w:ascii="宋体" w:hAnsi="宋体" w:eastAsia="宋体" w:cs="宋体"/>
                <w:sz w:val="10"/>
              </w:rPr>
              <w:t>“</w:t>
            </w:r>
            <w:r>
              <w:rPr>
                <w:rFonts w:hint="eastAsia" w:ascii="宋体" w:hAnsi="宋体" w:eastAsia="宋体" w:cs="宋体"/>
                <w:sz w:val="21"/>
              </w:rPr>
              <w:t>税金及附加</w:t>
            </w:r>
            <w:r>
              <w:rPr>
                <w:rFonts w:hint="eastAsia" w:ascii="宋体" w:hAnsi="宋体" w:eastAsia="宋体" w:cs="宋体"/>
                <w:sz w:val="10"/>
              </w:rPr>
              <w:t>”</w:t>
            </w:r>
            <w:r>
              <w:rPr>
                <w:rFonts w:hint="eastAsia" w:ascii="宋体" w:hAnsi="宋体" w:eastAsia="宋体" w:cs="宋体"/>
                <w:sz w:val="21"/>
              </w:rPr>
              <w:t>项</w:t>
            </w:r>
          </w:p>
          <w:p>
            <w:pPr>
              <w:spacing w:before="60"/>
              <w:ind w:left="100"/>
            </w:pPr>
            <w:r>
              <w:rPr>
                <w:rFonts w:hint="eastAsia" w:ascii="宋体" w:hAnsi="宋体" w:eastAsia="宋体" w:cs="宋体"/>
                <w:sz w:val="21"/>
              </w:rPr>
              <w:t>目</w:t>
            </w:r>
            <w:r>
              <w:rPr>
                <w:rFonts w:hint="eastAsia" w:ascii="宋体" w:hAnsi="宋体" w:eastAsia="宋体" w:cs="宋体"/>
                <w:sz w:val="10"/>
              </w:rPr>
              <w:t>，</w:t>
            </w:r>
            <w:r>
              <w:rPr>
                <w:rFonts w:hint="eastAsia" w:ascii="宋体" w:hAnsi="宋体" w:eastAsia="宋体" w:cs="宋体"/>
                <w:sz w:val="21"/>
              </w:rPr>
              <w:t>房产税</w:t>
            </w:r>
            <w:r>
              <w:rPr>
                <w:rFonts w:hint="eastAsia" w:ascii="宋体" w:hAnsi="宋体" w:eastAsia="宋体" w:cs="宋体"/>
                <w:sz w:val="10"/>
              </w:rPr>
              <w:t>、</w:t>
            </w:r>
            <w:r>
              <w:rPr>
                <w:rFonts w:hint="eastAsia" w:ascii="宋体" w:hAnsi="宋体" w:eastAsia="宋体" w:cs="宋体"/>
                <w:sz w:val="21"/>
              </w:rPr>
              <w:t>土地使用税</w:t>
            </w:r>
            <w:r>
              <w:rPr>
                <w:rFonts w:hint="eastAsia" w:ascii="宋体" w:hAnsi="宋体" w:eastAsia="宋体" w:cs="宋体"/>
                <w:sz w:val="10"/>
              </w:rPr>
              <w:t>、</w:t>
            </w:r>
            <w:r>
              <w:rPr>
                <w:rFonts w:hint="eastAsia" w:ascii="宋体" w:hAnsi="宋体" w:eastAsia="宋体" w:cs="宋体"/>
                <w:sz w:val="21"/>
              </w:rPr>
              <w:t>车船使用税</w:t>
            </w:r>
            <w:r>
              <w:rPr>
                <w:rFonts w:hint="eastAsia" w:ascii="宋体" w:hAnsi="宋体" w:eastAsia="宋体" w:cs="宋体"/>
                <w:sz w:val="10"/>
              </w:rPr>
              <w:t>、</w:t>
            </w:r>
            <w:r>
              <w:rPr>
                <w:rFonts w:hint="eastAsia" w:ascii="宋体" w:hAnsi="宋体" w:eastAsia="宋体" w:cs="宋体"/>
                <w:sz w:val="21"/>
              </w:rPr>
              <w:t>印花税等原计</w:t>
            </w:r>
          </w:p>
          <w:p>
            <w:pPr>
              <w:spacing w:before="60"/>
              <w:ind w:left="100"/>
            </w:pPr>
            <w:r>
              <w:rPr>
                <w:rFonts w:hint="eastAsia" w:ascii="宋体" w:hAnsi="宋体" w:eastAsia="宋体" w:cs="宋体"/>
                <w:sz w:val="21"/>
              </w:rPr>
              <w:t>入管理费用的相关税费</w:t>
            </w:r>
            <w:r>
              <w:rPr>
                <w:rFonts w:hint="eastAsia" w:ascii="宋体" w:hAnsi="宋体" w:eastAsia="宋体" w:cs="宋体"/>
                <w:sz w:val="10"/>
              </w:rPr>
              <w:t>，</w:t>
            </w:r>
            <w:r>
              <w:rPr>
                <w:rFonts w:hint="eastAsia" w:ascii="宋体" w:hAnsi="宋体" w:eastAsia="宋体" w:cs="宋体"/>
                <w:sz w:val="21"/>
              </w:rPr>
              <w:t>自</w:t>
            </w:r>
            <w:r>
              <w:rPr>
                <w:rFonts w:hint="eastAsia" w:ascii="Times New Roman" w:hAnsi="Times New Roman" w:eastAsia="Times New Roman" w:cs="Times New Roman"/>
                <w:sz w:val="21"/>
              </w:rPr>
              <w:t xml:space="preserve"> 2016</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5</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日起调整计入</w:t>
            </w:r>
          </w:p>
          <w:p>
            <w:pPr>
              <w:spacing w:before="60"/>
              <w:ind w:left="100"/>
            </w:pPr>
            <w:r>
              <w:rPr>
                <w:rFonts w:hint="eastAsia" w:ascii="宋体" w:hAnsi="宋体" w:eastAsia="宋体" w:cs="宋体"/>
                <w:sz w:val="10"/>
              </w:rPr>
              <w:t>“</w:t>
            </w:r>
            <w:r>
              <w:rPr>
                <w:rFonts w:hint="eastAsia" w:ascii="宋体" w:hAnsi="宋体" w:eastAsia="宋体" w:cs="宋体"/>
                <w:sz w:val="21"/>
              </w:rPr>
              <w:t>税金及附加</w:t>
            </w:r>
            <w:r>
              <w:rPr>
                <w:rFonts w:hint="eastAsia" w:ascii="宋体" w:hAnsi="宋体" w:eastAsia="宋体" w:cs="宋体"/>
                <w:sz w:val="10"/>
              </w:rPr>
              <w:t>”。</w:t>
            </w:r>
          </w:p>
        </w:tc>
        <w:tc>
          <w:tcPr>
            <w:tcW w:w="2300" w:type="dxa"/>
            <w:tcMar>
              <w:top w:w="0" w:type="dxa"/>
              <w:left w:w="0" w:type="dxa"/>
              <w:bottom w:w="0" w:type="dxa"/>
              <w:right w:w="0" w:type="dxa"/>
            </w:tcMar>
          </w:tcPr>
          <w:p>
            <w:pPr>
              <w:spacing w:before="820"/>
              <w:ind w:left="100"/>
            </w:pPr>
            <w:r>
              <w:rPr>
                <w:rFonts w:hint="eastAsia" w:ascii="宋体" w:hAnsi="宋体" w:eastAsia="宋体" w:cs="宋体"/>
                <w:sz w:val="21"/>
              </w:rPr>
              <w:t>①税金及附加</w:t>
            </w:r>
          </w:p>
          <w:p>
            <w:pPr>
              <w:spacing w:before="180"/>
              <w:ind w:left="100"/>
            </w:pPr>
            <w:r>
              <w:rPr>
                <w:rFonts w:hint="eastAsia" w:ascii="宋体" w:hAnsi="宋体" w:eastAsia="宋体" w:cs="宋体"/>
                <w:sz w:val="21"/>
              </w:rPr>
              <w:t>②管理费用</w:t>
            </w:r>
          </w:p>
        </w:tc>
        <w:tc>
          <w:tcPr>
            <w:tcW w:w="1620" w:type="dxa"/>
            <w:tcMar>
              <w:top w:w="0" w:type="dxa"/>
              <w:left w:w="0" w:type="dxa"/>
              <w:bottom w:w="0" w:type="dxa"/>
              <w:right w:w="0" w:type="dxa"/>
            </w:tcMar>
          </w:tcPr>
          <w:p>
            <w:pPr>
              <w:spacing w:before="900"/>
              <w:ind w:left="560"/>
            </w:pPr>
            <w:r>
              <w:rPr>
                <w:rFonts w:hint="eastAsia" w:ascii="Times New Roman" w:hAnsi="Times New Roman" w:eastAsia="Times New Roman" w:cs="Times New Roman"/>
                <w:sz w:val="21"/>
              </w:rPr>
              <w:t>463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p>
            <w:pPr>
              <w:spacing w:before="200"/>
              <w:ind w:left="480"/>
            </w:pPr>
            <w:r>
              <w:rPr>
                <w:rFonts w:hint="eastAsia" w:ascii="Times New Roman" w:hAnsi="Times New Roman" w:eastAsia="Times New Roman" w:cs="Times New Roman"/>
                <w:sz w:val="21"/>
              </w:rPr>
              <w:t>-463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重要会计估计变更</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本公司第六届董事会第二次临时会议审议通过了《关于应收款项计提坏账政策变更的议案》，</w:t>
      </w:r>
      <w:r>
        <w:rPr>
          <w:rFonts w:hint="eastAsia" w:ascii="宋体" w:hAnsi="宋体" w:eastAsia="宋体" w:cs="宋体"/>
          <w:sz w:val="24"/>
        </w:rPr>
        <w:t>公司对应收款项坏账准备计提比例进行会计估计变更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）应收款项坏账准备计提比例变更的原因</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为了更加真实</w:t>
      </w:r>
      <w:r>
        <w:rPr>
          <w:rFonts w:hint="eastAsia" w:ascii="宋体" w:hAnsi="宋体" w:eastAsia="宋体" w:cs="宋体"/>
          <w:sz w:val="10"/>
        </w:rPr>
        <w:t>、</w:t>
      </w:r>
      <w:r>
        <w:rPr>
          <w:rFonts w:hint="eastAsia" w:ascii="宋体" w:hAnsi="宋体" w:eastAsia="宋体" w:cs="宋体"/>
          <w:sz w:val="24"/>
        </w:rPr>
        <w:t>客观地反映公司的财务状况以及经营成果</w:t>
      </w:r>
      <w:r>
        <w:rPr>
          <w:rFonts w:hint="eastAsia" w:ascii="宋体" w:hAnsi="宋体" w:eastAsia="宋体" w:cs="宋体"/>
          <w:sz w:val="10"/>
        </w:rPr>
        <w:t>，</w:t>
      </w:r>
      <w:r>
        <w:rPr>
          <w:rFonts w:hint="eastAsia" w:ascii="宋体" w:hAnsi="宋体" w:eastAsia="宋体" w:cs="宋体"/>
          <w:sz w:val="24"/>
        </w:rPr>
        <w:t>根据公司的实际情况</w:t>
      </w:r>
      <w:r>
        <w:rPr>
          <w:rFonts w:hint="eastAsia" w:ascii="宋体" w:hAnsi="宋体" w:eastAsia="宋体" w:cs="宋体"/>
          <w:sz w:val="10"/>
        </w:rPr>
        <w:t>，</w:t>
      </w:r>
      <w:r>
        <w:rPr>
          <w:rFonts w:hint="eastAsia" w:ascii="宋体" w:hAnsi="宋体" w:eastAsia="宋体" w:cs="宋体"/>
          <w:sz w:val="24"/>
        </w:rPr>
        <w:t>本着谨慎经营</w:t>
      </w:r>
      <w:r>
        <w:rPr>
          <w:rFonts w:hint="eastAsia" w:ascii="宋体" w:hAnsi="宋体" w:eastAsia="宋体" w:cs="宋体"/>
          <w:sz w:val="10"/>
        </w:rPr>
        <w:t>、</w:t>
      </w:r>
      <w:r>
        <w:rPr>
          <w:rFonts w:hint="eastAsia" w:ascii="宋体" w:hAnsi="宋体" w:eastAsia="宋体" w:cs="宋体"/>
          <w:sz w:val="24"/>
        </w:rPr>
        <w:t>有效防范经营风险的原则</w:t>
      </w:r>
      <w:r>
        <w:rPr>
          <w:rFonts w:hint="eastAsia" w:ascii="宋体" w:hAnsi="宋体" w:eastAsia="宋体" w:cs="宋体"/>
          <w:sz w:val="10"/>
        </w:rPr>
        <w:t>，</w:t>
      </w:r>
      <w:r>
        <w:rPr>
          <w:rFonts w:hint="eastAsia" w:ascii="宋体" w:hAnsi="宋体" w:eastAsia="宋体" w:cs="宋体"/>
          <w:sz w:val="24"/>
        </w:rPr>
        <w:t>公司对采用账龄组合计提坏账准备的应收款项的计提比例进行了变更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）变更前后应收款项坏账准备计提比例</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320"/>
        <w:gridCol w:w="2580"/>
        <w:gridCol w:w="3360"/>
      </w:tblGrid>
      <w:tr>
        <w:trPr>
          <w:trHeight w:val="480" w:hRule="exact"/>
        </w:trPr>
        <w:tc>
          <w:tcPr>
            <w:tcW w:w="3320" w:type="dxa"/>
            <w:tcMar>
              <w:top w:w="0" w:type="dxa"/>
              <w:left w:w="0" w:type="dxa"/>
              <w:bottom w:w="0" w:type="dxa"/>
              <w:right w:w="0" w:type="dxa"/>
            </w:tcMar>
          </w:tcPr>
          <w:p>
            <w:pPr>
              <w:spacing w:before="120"/>
              <w:ind w:left="1220"/>
            </w:pPr>
            <w:r>
              <w:rPr>
                <w:rFonts w:hint="eastAsia" w:ascii="宋体" w:hAnsi="宋体" w:eastAsia="宋体" w:cs="宋体"/>
                <w:b/>
                <w:sz w:val="21"/>
              </w:rPr>
              <w:t>账龄结构</w:t>
            </w:r>
          </w:p>
        </w:tc>
        <w:tc>
          <w:tcPr>
            <w:tcW w:w="2580" w:type="dxa"/>
            <w:tcMar>
              <w:top w:w="0" w:type="dxa"/>
              <w:left w:w="0" w:type="dxa"/>
              <w:bottom w:w="0" w:type="dxa"/>
              <w:right w:w="0" w:type="dxa"/>
            </w:tcMar>
          </w:tcPr>
          <w:p>
            <w:pPr>
              <w:spacing w:before="120"/>
              <w:ind w:left="440"/>
            </w:pPr>
            <w:r>
              <w:rPr>
                <w:rFonts w:hint="eastAsia" w:ascii="宋体" w:hAnsi="宋体" w:eastAsia="宋体" w:cs="宋体"/>
                <w:b/>
                <w:sz w:val="21"/>
              </w:rPr>
              <w:t>变更后计提比例</w:t>
            </w:r>
            <w:r>
              <w:rPr>
                <w:rFonts w:hint="eastAsia" w:ascii="Times New Roman Bold" w:hAnsi="Times New Roman Bold" w:eastAsia="Times New Roman Bold" w:cs="Times New Roman Bold"/>
                <w:b/>
                <w:sz w:val="20"/>
              </w:rPr>
              <w:t>%</w:t>
            </w:r>
          </w:p>
        </w:tc>
        <w:tc>
          <w:tcPr>
            <w:tcW w:w="3360" w:type="dxa"/>
            <w:tcMar>
              <w:top w:w="0" w:type="dxa"/>
              <w:left w:w="0" w:type="dxa"/>
              <w:bottom w:w="0" w:type="dxa"/>
              <w:right w:w="0" w:type="dxa"/>
            </w:tcMar>
          </w:tcPr>
          <w:p>
            <w:pPr>
              <w:spacing w:before="120"/>
              <w:ind w:left="820"/>
            </w:pPr>
            <w:r>
              <w:rPr>
                <w:rFonts w:hint="eastAsia" w:ascii="宋体" w:hAnsi="宋体" w:eastAsia="宋体" w:cs="宋体"/>
                <w:b/>
                <w:sz w:val="21"/>
              </w:rPr>
              <w:t>变更前计提比例</w:t>
            </w:r>
            <w:r>
              <w:rPr>
                <w:rFonts w:hint="eastAsia" w:ascii="Times New Roman Bold" w:hAnsi="Times New Roman Bold" w:eastAsia="Times New Roman Bold" w:cs="Times New Roman Bold"/>
                <w:b/>
                <w:sz w:val="20"/>
              </w:rPr>
              <w:t>%</w:t>
            </w:r>
          </w:p>
        </w:tc>
      </w:tr>
      <w:tr>
        <w:trPr>
          <w:trHeight w:val="480" w:hRule="exact"/>
        </w:trPr>
        <w:tc>
          <w:tcPr>
            <w:tcW w:w="332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1</w:t>
            </w:r>
            <w:r>
              <w:rPr>
                <w:rFonts w:hint="eastAsia" w:ascii="宋体" w:hAnsi="宋体" w:eastAsia="宋体" w:cs="宋体"/>
                <w:sz w:val="21"/>
              </w:rPr>
              <w:t xml:space="preserve"> 年以内</w:t>
            </w:r>
            <w:r>
              <w:rPr>
                <w:rFonts w:hint="eastAsia" w:ascii="宋体" w:hAnsi="宋体" w:eastAsia="宋体" w:cs="宋体"/>
                <w:sz w:val="20"/>
              </w:rPr>
              <w:t>（</w:t>
            </w:r>
            <w:r>
              <w:rPr>
                <w:rFonts w:hint="eastAsia" w:ascii="宋体" w:hAnsi="宋体" w:eastAsia="宋体" w:cs="宋体"/>
                <w:sz w:val="21"/>
              </w:rPr>
              <w:t>含</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年</w:t>
            </w:r>
            <w:r>
              <w:rPr>
                <w:rFonts w:hint="eastAsia" w:ascii="宋体" w:hAnsi="宋体" w:eastAsia="宋体" w:cs="宋体"/>
                <w:sz w:val="20"/>
              </w:rPr>
              <w:t>）</w:t>
            </w:r>
          </w:p>
        </w:tc>
        <w:tc>
          <w:tcPr>
            <w:tcW w:w="2580" w:type="dxa"/>
            <w:tcMar>
              <w:top w:w="0" w:type="dxa"/>
              <w:left w:w="0" w:type="dxa"/>
              <w:bottom w:w="0" w:type="dxa"/>
              <w:right w:w="0" w:type="dxa"/>
            </w:tcMar>
          </w:tcPr>
          <w:p>
            <w:pPr>
              <w:spacing w:before="160"/>
              <w:ind w:left="21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3360" w:type="dxa"/>
            <w:tcMar>
              <w:top w:w="0" w:type="dxa"/>
              <w:left w:w="0" w:type="dxa"/>
              <w:bottom w:w="0" w:type="dxa"/>
              <w:right w:w="0" w:type="dxa"/>
            </w:tcMar>
          </w:tcPr>
          <w:p>
            <w:pPr>
              <w:spacing w:before="160"/>
              <w:ind w:left="28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332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1-2</w:t>
            </w:r>
            <w:r>
              <w:rPr>
                <w:rFonts w:hint="eastAsia" w:ascii="宋体" w:hAnsi="宋体" w:eastAsia="宋体" w:cs="宋体"/>
                <w:sz w:val="21"/>
              </w:rPr>
              <w:t xml:space="preserve"> 年</w:t>
            </w:r>
            <w:r>
              <w:rPr>
                <w:rFonts w:hint="eastAsia" w:ascii="宋体" w:hAnsi="宋体" w:eastAsia="宋体" w:cs="宋体"/>
                <w:sz w:val="20"/>
              </w:rPr>
              <w:t>（</w:t>
            </w:r>
            <w:r>
              <w:rPr>
                <w:rFonts w:hint="eastAsia" w:ascii="宋体" w:hAnsi="宋体" w:eastAsia="宋体" w:cs="宋体"/>
                <w:sz w:val="21"/>
              </w:rPr>
              <w:t>含</w:t>
            </w:r>
            <w:r>
              <w:rPr>
                <w:rFonts w:hint="eastAsia" w:ascii="Times New Roman" w:hAnsi="Times New Roman" w:eastAsia="Times New Roman" w:cs="Times New Roman"/>
                <w:sz w:val="21"/>
              </w:rPr>
              <w:t xml:space="preserve"> 2</w:t>
            </w:r>
            <w:r>
              <w:rPr>
                <w:rFonts w:hint="eastAsia" w:ascii="宋体" w:hAnsi="宋体" w:eastAsia="宋体" w:cs="宋体"/>
                <w:sz w:val="21"/>
              </w:rPr>
              <w:t xml:space="preserve"> 年</w:t>
            </w:r>
            <w:r>
              <w:rPr>
                <w:rFonts w:hint="eastAsia" w:ascii="宋体" w:hAnsi="宋体" w:eastAsia="宋体" w:cs="宋体"/>
                <w:sz w:val="20"/>
              </w:rPr>
              <w:t>）</w:t>
            </w:r>
          </w:p>
        </w:tc>
        <w:tc>
          <w:tcPr>
            <w:tcW w:w="2580" w:type="dxa"/>
            <w:tcMar>
              <w:top w:w="0" w:type="dxa"/>
              <w:left w:w="0" w:type="dxa"/>
              <w:bottom w:w="0" w:type="dxa"/>
              <w:right w:w="0" w:type="dxa"/>
            </w:tcMar>
          </w:tcPr>
          <w:p>
            <w:pPr>
              <w:spacing w:before="160"/>
              <w:ind w:left="198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3360" w:type="dxa"/>
            <w:tcMar>
              <w:top w:w="0" w:type="dxa"/>
              <w:left w:w="0" w:type="dxa"/>
              <w:bottom w:w="0" w:type="dxa"/>
              <w:right w:w="0" w:type="dxa"/>
            </w:tcMar>
          </w:tcPr>
          <w:p>
            <w:pPr>
              <w:spacing w:before="160"/>
              <w:ind w:left="27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332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2-3</w:t>
            </w:r>
            <w:r>
              <w:rPr>
                <w:rFonts w:hint="eastAsia" w:ascii="宋体" w:hAnsi="宋体" w:eastAsia="宋体" w:cs="宋体"/>
                <w:sz w:val="21"/>
              </w:rPr>
              <w:t xml:space="preserve"> 年</w:t>
            </w:r>
            <w:r>
              <w:rPr>
                <w:rFonts w:hint="eastAsia" w:ascii="宋体" w:hAnsi="宋体" w:eastAsia="宋体" w:cs="宋体"/>
                <w:sz w:val="20"/>
              </w:rPr>
              <w:t>（</w:t>
            </w:r>
            <w:r>
              <w:rPr>
                <w:rFonts w:hint="eastAsia" w:ascii="宋体" w:hAnsi="宋体" w:eastAsia="宋体" w:cs="宋体"/>
                <w:sz w:val="21"/>
              </w:rPr>
              <w:t>含</w:t>
            </w:r>
            <w:r>
              <w:rPr>
                <w:rFonts w:hint="eastAsia" w:ascii="Times New Roman" w:hAnsi="Times New Roman" w:eastAsia="Times New Roman" w:cs="Times New Roman"/>
                <w:sz w:val="21"/>
              </w:rPr>
              <w:t xml:space="preserve"> 3</w:t>
            </w:r>
            <w:r>
              <w:rPr>
                <w:rFonts w:hint="eastAsia" w:ascii="宋体" w:hAnsi="宋体" w:eastAsia="宋体" w:cs="宋体"/>
                <w:sz w:val="21"/>
              </w:rPr>
              <w:t xml:space="preserve"> 年</w:t>
            </w:r>
            <w:r>
              <w:rPr>
                <w:rFonts w:hint="eastAsia" w:ascii="宋体" w:hAnsi="宋体" w:eastAsia="宋体" w:cs="宋体"/>
                <w:sz w:val="20"/>
              </w:rPr>
              <w:t>）</w:t>
            </w:r>
          </w:p>
        </w:tc>
        <w:tc>
          <w:tcPr>
            <w:tcW w:w="2580" w:type="dxa"/>
            <w:tcMar>
              <w:top w:w="0" w:type="dxa"/>
              <w:left w:w="0" w:type="dxa"/>
              <w:bottom w:w="0" w:type="dxa"/>
              <w:right w:w="0" w:type="dxa"/>
            </w:tcMar>
          </w:tcPr>
          <w:p>
            <w:pPr>
              <w:spacing w:before="180"/>
              <w:ind w:left="198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3360" w:type="dxa"/>
            <w:tcMar>
              <w:top w:w="0" w:type="dxa"/>
              <w:left w:w="0" w:type="dxa"/>
              <w:bottom w:w="0" w:type="dxa"/>
              <w:right w:w="0" w:type="dxa"/>
            </w:tcMar>
          </w:tcPr>
          <w:p>
            <w:pPr>
              <w:spacing w:before="180"/>
              <w:ind w:left="276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332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3</w:t>
            </w:r>
            <w:r>
              <w:rPr>
                <w:rFonts w:hint="eastAsia" w:ascii="宋体" w:hAnsi="宋体" w:eastAsia="宋体" w:cs="宋体"/>
                <w:sz w:val="21"/>
              </w:rPr>
              <w:t xml:space="preserve"> 年以上</w:t>
            </w:r>
          </w:p>
        </w:tc>
        <w:tc>
          <w:tcPr>
            <w:tcW w:w="2580" w:type="dxa"/>
            <w:tcMar>
              <w:top w:w="0" w:type="dxa"/>
              <w:left w:w="0" w:type="dxa"/>
              <w:bottom w:w="0" w:type="dxa"/>
              <w:right w:w="0" w:type="dxa"/>
            </w:tcMar>
          </w:tcPr>
          <w:p>
            <w:pPr>
              <w:spacing w:before="160"/>
              <w:ind w:left="188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3360" w:type="dxa"/>
            <w:tcMar>
              <w:top w:w="0" w:type="dxa"/>
              <w:left w:w="0" w:type="dxa"/>
              <w:bottom w:w="0" w:type="dxa"/>
              <w:right w:w="0" w:type="dxa"/>
            </w:tcMar>
          </w:tcPr>
          <w:p>
            <w:pPr>
              <w:spacing w:before="160"/>
              <w:ind w:left="266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宋体" w:hAnsi="宋体" w:eastAsia="宋体" w:cs="宋体"/>
          <w:sz w:val="20"/>
        </w:rPr>
        <w:t>（</w:t>
      </w:r>
      <w:r>
        <w:rPr>
          <w:rFonts w:hint="eastAsia" w:ascii="Times New Roman" w:hAnsi="Times New Roman" w:eastAsia="Times New Roman" w:cs="Times New Roman"/>
          <w:sz w:val="24"/>
        </w:rPr>
        <w:t>3</w:t>
      </w:r>
      <w:r>
        <w:rPr>
          <w:rFonts w:hint="eastAsia" w:ascii="宋体" w:hAnsi="宋体" w:eastAsia="宋体" w:cs="宋体"/>
          <w:sz w:val="24"/>
        </w:rPr>
        <w:t>）本次会计估计变更执行时间及对公司的影响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1-1-238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40" w:firstLine="480"/>
        <w:jc w:val="both"/>
      </w:pPr>
      <w:r>
        <w:rPr>
          <w:rFonts w:hint="eastAsia" w:ascii="宋体" w:hAnsi="宋体" w:eastAsia="宋体" w:cs="宋体"/>
          <w:sz w:val="24"/>
        </w:rPr>
        <w:t>本次会计估计变更自</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日起开始执行</w:t>
      </w:r>
      <w:r>
        <w:rPr>
          <w:rFonts w:hint="eastAsia" w:ascii="宋体" w:hAnsi="宋体" w:eastAsia="宋体" w:cs="宋体"/>
          <w:sz w:val="10"/>
        </w:rPr>
        <w:t>。</w:t>
      </w:r>
      <w:r>
        <w:rPr>
          <w:rFonts w:hint="eastAsia" w:ascii="宋体" w:hAnsi="宋体" w:eastAsia="宋体" w:cs="宋体"/>
          <w:sz w:val="24"/>
        </w:rPr>
        <w:t>根据《企业会计准则第</w:t>
      </w:r>
      <w:r>
        <w:rPr>
          <w:rFonts w:hint="eastAsia" w:ascii="Times New Roman" w:hAnsi="Times New Roman" w:eastAsia="Times New Roman" w:cs="Times New Roman"/>
          <w:sz w:val="24"/>
        </w:rPr>
        <w:t xml:space="preserve"> 28</w:t>
      </w:r>
      <w:r>
        <w:rPr>
          <w:rFonts w:hint="eastAsia" w:ascii="宋体" w:hAnsi="宋体" w:eastAsia="宋体" w:cs="宋体"/>
          <w:sz w:val="24"/>
        </w:rPr>
        <w:t xml:space="preserve"> 号</w:t>
      </w:r>
      <w:r>
        <w:rPr>
          <w:rFonts w:hint="eastAsia" w:ascii="Times New Roman" w:hAnsi="Times New Roman" w:eastAsia="Times New Roman" w:cs="Times New Roman"/>
          <w:sz w:val="24"/>
        </w:rPr>
        <w:t>—</w:t>
      </w:r>
      <w:r>
        <w:rPr>
          <w:rFonts w:hint="eastAsia" w:ascii="宋体" w:hAnsi="宋体" w:eastAsia="宋体" w:cs="宋体"/>
          <w:sz w:val="24"/>
        </w:rPr>
        <w:t>会计政策</w:t>
      </w:r>
      <w:r>
        <w:rPr>
          <w:rFonts w:hint="eastAsia" w:ascii="宋体" w:hAnsi="宋体" w:eastAsia="宋体" w:cs="宋体"/>
          <w:sz w:val="10"/>
        </w:rPr>
        <w:t>、</w:t>
      </w:r>
      <w:r>
        <w:rPr>
          <w:rFonts w:hint="eastAsia" w:ascii="宋体" w:hAnsi="宋体" w:eastAsia="宋体" w:cs="宋体"/>
          <w:sz w:val="24"/>
        </w:rPr>
        <w:t>会计估计变更和差错更正》的关于会计政策及会计估计变更的规定</w:t>
      </w:r>
      <w:r>
        <w:rPr>
          <w:rFonts w:hint="eastAsia" w:ascii="宋体" w:hAnsi="宋体" w:eastAsia="宋体" w:cs="宋体"/>
          <w:sz w:val="10"/>
        </w:rPr>
        <w:t>，</w:t>
      </w:r>
      <w:r>
        <w:rPr>
          <w:rFonts w:hint="eastAsia" w:ascii="宋体" w:hAnsi="宋体" w:eastAsia="宋体" w:cs="宋体"/>
          <w:sz w:val="24"/>
        </w:rPr>
        <w:t>对上述会计估计的变更采用未来适用法</w:t>
      </w:r>
      <w:r>
        <w:rPr>
          <w:rFonts w:hint="eastAsia" w:ascii="宋体" w:hAnsi="宋体" w:eastAsia="宋体" w:cs="宋体"/>
          <w:sz w:val="10"/>
        </w:rPr>
        <w:t>，</w:t>
      </w:r>
      <w:r>
        <w:rPr>
          <w:rFonts w:hint="eastAsia" w:ascii="宋体" w:hAnsi="宋体" w:eastAsia="宋体" w:cs="宋体"/>
          <w:sz w:val="24"/>
        </w:rPr>
        <w:t>无需对已披露的财务报告进行追溯调整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此项会计估计变更减少</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年度利润总额</w:t>
      </w:r>
      <w:r>
        <w:rPr>
          <w:rFonts w:hint="eastAsia" w:ascii="Times New Roman" w:hAnsi="Times New Roman" w:eastAsia="Times New Roman" w:cs="Times New Roman"/>
          <w:sz w:val="24"/>
        </w:rPr>
        <w:t xml:space="preserve"> 716,378.48</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五</w:t>
      </w:r>
      <w:r>
        <w:rPr>
          <w:rFonts w:hint="eastAsia" w:ascii="ºÚÌå" w:hAnsi="ºÚÌå" w:eastAsia="ºÚÌå" w:cs="ºÚÌå"/>
          <w:sz w:val="10"/>
        </w:rPr>
        <w:t>、</w:t>
      </w:r>
      <w:r>
        <w:rPr>
          <w:rFonts w:hint="eastAsia" w:ascii="ºÚÌå" w:hAnsi="ºÚÌå" w:eastAsia="ºÚÌå" w:cs="ºÚÌå"/>
          <w:sz w:val="30"/>
        </w:rPr>
        <w:t>主要税项</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主要税种及税率</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940"/>
        <w:gridCol w:w="3360"/>
        <w:gridCol w:w="2960"/>
      </w:tblGrid>
      <w:tr>
        <w:trPr>
          <w:trHeight w:val="480" w:hRule="exact"/>
        </w:trPr>
        <w:tc>
          <w:tcPr>
            <w:tcW w:w="2940" w:type="dxa"/>
            <w:tcMar>
              <w:top w:w="0" w:type="dxa"/>
              <w:left w:w="0" w:type="dxa"/>
              <w:bottom w:w="0" w:type="dxa"/>
              <w:right w:w="0" w:type="dxa"/>
            </w:tcMar>
          </w:tcPr>
          <w:p>
            <w:pPr>
              <w:spacing w:before="120"/>
              <w:ind w:left="1240"/>
            </w:pPr>
            <w:r>
              <w:rPr>
                <w:rFonts w:hint="eastAsia" w:ascii="宋体" w:hAnsi="宋体" w:eastAsia="宋体" w:cs="宋体"/>
                <w:b/>
                <w:sz w:val="21"/>
              </w:rPr>
              <w:t>税种</w:t>
            </w:r>
          </w:p>
        </w:tc>
        <w:tc>
          <w:tcPr>
            <w:tcW w:w="3360" w:type="dxa"/>
            <w:tcMar>
              <w:top w:w="0" w:type="dxa"/>
              <w:left w:w="0" w:type="dxa"/>
              <w:bottom w:w="0" w:type="dxa"/>
              <w:right w:w="0" w:type="dxa"/>
            </w:tcMar>
          </w:tcPr>
          <w:p>
            <w:pPr>
              <w:spacing w:before="120"/>
              <w:ind w:left="1240"/>
            </w:pPr>
            <w:r>
              <w:rPr>
                <w:rFonts w:hint="eastAsia" w:ascii="宋体" w:hAnsi="宋体" w:eastAsia="宋体" w:cs="宋体"/>
                <w:b/>
                <w:sz w:val="21"/>
              </w:rPr>
              <w:t>计税依据</w:t>
            </w:r>
          </w:p>
        </w:tc>
        <w:tc>
          <w:tcPr>
            <w:tcW w:w="2960" w:type="dxa"/>
            <w:tcMar>
              <w:top w:w="0" w:type="dxa"/>
              <w:left w:w="0" w:type="dxa"/>
              <w:bottom w:w="0" w:type="dxa"/>
              <w:right w:w="0" w:type="dxa"/>
            </w:tcMar>
          </w:tcPr>
          <w:p>
            <w:pPr>
              <w:spacing w:before="120"/>
              <w:ind w:left="1260"/>
            </w:pPr>
            <w:r>
              <w:rPr>
                <w:rFonts w:hint="eastAsia" w:ascii="宋体" w:hAnsi="宋体" w:eastAsia="宋体" w:cs="宋体"/>
                <w:b/>
                <w:sz w:val="21"/>
              </w:rPr>
              <w:t>税率</w:t>
            </w:r>
          </w:p>
        </w:tc>
      </w:tr>
      <w:tr>
        <w:trPr>
          <w:trHeight w:val="480" w:hRule="exact"/>
        </w:trPr>
        <w:tc>
          <w:tcPr>
            <w:tcW w:w="2940" w:type="dxa"/>
            <w:tcMar>
              <w:top w:w="0" w:type="dxa"/>
              <w:left w:w="0" w:type="dxa"/>
              <w:bottom w:w="0" w:type="dxa"/>
              <w:right w:w="0" w:type="dxa"/>
            </w:tcMar>
          </w:tcPr>
          <w:p>
            <w:pPr>
              <w:spacing w:before="100"/>
              <w:ind w:left="1140"/>
            </w:pPr>
            <w:r>
              <w:rPr>
                <w:rFonts w:hint="eastAsia" w:ascii="宋体" w:hAnsi="宋体" w:eastAsia="宋体" w:cs="宋体"/>
                <w:sz w:val="21"/>
              </w:rPr>
              <w:t>增值税</w:t>
            </w:r>
          </w:p>
        </w:tc>
        <w:tc>
          <w:tcPr>
            <w:tcW w:w="3360" w:type="dxa"/>
            <w:tcMar>
              <w:top w:w="0" w:type="dxa"/>
              <w:left w:w="0" w:type="dxa"/>
              <w:bottom w:w="0" w:type="dxa"/>
              <w:right w:w="0" w:type="dxa"/>
            </w:tcMar>
          </w:tcPr>
          <w:p>
            <w:pPr>
              <w:spacing w:before="100"/>
              <w:ind w:left="1240"/>
            </w:pPr>
            <w:r>
              <w:rPr>
                <w:rFonts w:hint="eastAsia" w:ascii="宋体" w:hAnsi="宋体" w:eastAsia="宋体" w:cs="宋体"/>
                <w:sz w:val="21"/>
              </w:rPr>
              <w:t>应税收入</w:t>
            </w:r>
          </w:p>
        </w:tc>
        <w:tc>
          <w:tcPr>
            <w:tcW w:w="2960" w:type="dxa"/>
            <w:tcMar>
              <w:top w:w="0" w:type="dxa"/>
              <w:left w:w="0" w:type="dxa"/>
              <w:bottom w:w="0" w:type="dxa"/>
              <w:right w:w="0" w:type="dxa"/>
            </w:tcMar>
          </w:tcPr>
          <w:p>
            <w:pPr>
              <w:spacing w:before="100"/>
              <w:ind w:left="72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宋体" w:hAnsi="宋体" w:eastAsia="宋体" w:cs="宋体"/>
                <w:sz w:val="10"/>
              </w:rPr>
              <w:t>、</w:t>
            </w: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宋体" w:hAnsi="宋体" w:eastAsia="宋体" w:cs="宋体"/>
                <w:sz w:val="10"/>
              </w:rPr>
              <w:t>、</w:t>
            </w:r>
            <w:r>
              <w:rPr>
                <w:rFonts w:hint="eastAsia" w:ascii="宋体" w:hAnsi="宋体" w:eastAsia="宋体" w:cs="宋体"/>
                <w:sz w:val="21"/>
              </w:rPr>
              <w:t>免税</w:t>
            </w:r>
          </w:p>
        </w:tc>
      </w:tr>
      <w:tr>
        <w:trPr>
          <w:trHeight w:val="480" w:hRule="exact"/>
        </w:trPr>
        <w:tc>
          <w:tcPr>
            <w:tcW w:w="2940" w:type="dxa"/>
            <w:tcMar>
              <w:top w:w="0" w:type="dxa"/>
              <w:left w:w="0" w:type="dxa"/>
              <w:bottom w:w="0" w:type="dxa"/>
              <w:right w:w="0" w:type="dxa"/>
            </w:tcMar>
          </w:tcPr>
          <w:p>
            <w:pPr>
              <w:spacing w:before="120"/>
              <w:ind w:left="1140"/>
            </w:pPr>
            <w:r>
              <w:rPr>
                <w:rFonts w:hint="eastAsia" w:ascii="宋体" w:hAnsi="宋体" w:eastAsia="宋体" w:cs="宋体"/>
                <w:sz w:val="21"/>
              </w:rPr>
              <w:t>营业税</w:t>
            </w:r>
          </w:p>
        </w:tc>
        <w:tc>
          <w:tcPr>
            <w:tcW w:w="3360" w:type="dxa"/>
            <w:tcMar>
              <w:top w:w="0" w:type="dxa"/>
              <w:left w:w="0" w:type="dxa"/>
              <w:bottom w:w="0" w:type="dxa"/>
              <w:right w:w="0" w:type="dxa"/>
            </w:tcMar>
          </w:tcPr>
          <w:p>
            <w:pPr>
              <w:spacing w:before="120"/>
              <w:ind w:left="1240"/>
            </w:pPr>
            <w:r>
              <w:rPr>
                <w:rFonts w:hint="eastAsia" w:ascii="宋体" w:hAnsi="宋体" w:eastAsia="宋体" w:cs="宋体"/>
                <w:sz w:val="21"/>
              </w:rPr>
              <w:t>应税收入</w:t>
            </w:r>
          </w:p>
        </w:tc>
        <w:tc>
          <w:tcPr>
            <w:tcW w:w="2960" w:type="dxa"/>
            <w:tcMar>
              <w:top w:w="0" w:type="dxa"/>
              <w:left w:w="0" w:type="dxa"/>
              <w:bottom w:w="0" w:type="dxa"/>
              <w:right w:w="0" w:type="dxa"/>
            </w:tcMar>
          </w:tcPr>
          <w:p>
            <w:pPr>
              <w:spacing w:before="120"/>
              <w:ind w:left="10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宋体" w:hAnsi="宋体" w:eastAsia="宋体" w:cs="宋体"/>
                <w:sz w:val="10"/>
              </w:rPr>
              <w:t>、</w:t>
            </w:r>
            <w:r>
              <w:rPr>
                <w:rFonts w:hint="eastAsia" w:ascii="宋体" w:hAnsi="宋体" w:eastAsia="宋体" w:cs="宋体"/>
                <w:sz w:val="21"/>
              </w:rPr>
              <w:t>免税</w:t>
            </w:r>
          </w:p>
        </w:tc>
      </w:tr>
      <w:tr>
        <w:trPr>
          <w:trHeight w:val="460" w:hRule="exact"/>
        </w:trPr>
        <w:tc>
          <w:tcPr>
            <w:tcW w:w="2940" w:type="dxa"/>
            <w:tcMar>
              <w:top w:w="0" w:type="dxa"/>
              <w:left w:w="0" w:type="dxa"/>
              <w:bottom w:w="0" w:type="dxa"/>
              <w:right w:w="0" w:type="dxa"/>
            </w:tcMar>
          </w:tcPr>
          <w:p>
            <w:pPr>
              <w:spacing w:before="100"/>
              <w:ind w:left="720"/>
            </w:pPr>
            <w:r>
              <w:rPr>
                <w:rFonts w:hint="eastAsia" w:ascii="宋体" w:hAnsi="宋体" w:eastAsia="宋体" w:cs="宋体"/>
                <w:sz w:val="21"/>
              </w:rPr>
              <w:t>城市维护建设税</w:t>
            </w:r>
          </w:p>
        </w:tc>
        <w:tc>
          <w:tcPr>
            <w:tcW w:w="3360" w:type="dxa"/>
            <w:tcMar>
              <w:top w:w="0" w:type="dxa"/>
              <w:left w:w="0" w:type="dxa"/>
              <w:bottom w:w="0" w:type="dxa"/>
              <w:right w:w="0" w:type="dxa"/>
            </w:tcMar>
          </w:tcPr>
          <w:p>
            <w:pPr>
              <w:spacing w:before="100"/>
              <w:ind w:left="1040"/>
            </w:pPr>
            <w:r>
              <w:rPr>
                <w:rFonts w:hint="eastAsia" w:ascii="宋体" w:hAnsi="宋体" w:eastAsia="宋体" w:cs="宋体"/>
                <w:sz w:val="21"/>
              </w:rPr>
              <w:t>应纳流转税额</w:t>
            </w:r>
          </w:p>
        </w:tc>
        <w:tc>
          <w:tcPr>
            <w:tcW w:w="2960" w:type="dxa"/>
            <w:tcMar>
              <w:top w:w="0" w:type="dxa"/>
              <w:left w:w="0" w:type="dxa"/>
              <w:bottom w:w="0" w:type="dxa"/>
              <w:right w:w="0" w:type="dxa"/>
            </w:tcMar>
          </w:tcPr>
          <w:p>
            <w:pPr>
              <w:spacing w:before="160"/>
              <w:ind w:left="108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宋体" w:hAnsi="宋体" w:eastAsia="宋体" w:cs="宋体"/>
                <w:sz w:val="10"/>
              </w:rPr>
              <w:t>、</w:t>
            </w: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p>
        </w:tc>
      </w:tr>
      <w:tr>
        <w:trPr>
          <w:trHeight w:val="480" w:hRule="exact"/>
        </w:trPr>
        <w:tc>
          <w:tcPr>
            <w:tcW w:w="2940" w:type="dxa"/>
            <w:tcMar>
              <w:top w:w="0" w:type="dxa"/>
              <w:left w:w="0" w:type="dxa"/>
              <w:bottom w:w="0" w:type="dxa"/>
              <w:right w:w="0" w:type="dxa"/>
            </w:tcMar>
          </w:tcPr>
          <w:p>
            <w:pPr>
              <w:spacing w:before="120"/>
              <w:ind w:left="920"/>
            </w:pPr>
            <w:r>
              <w:rPr>
                <w:rFonts w:hint="eastAsia" w:ascii="宋体" w:hAnsi="宋体" w:eastAsia="宋体" w:cs="宋体"/>
                <w:sz w:val="21"/>
              </w:rPr>
              <w:t>教育费附加</w:t>
            </w:r>
          </w:p>
        </w:tc>
        <w:tc>
          <w:tcPr>
            <w:tcW w:w="3360" w:type="dxa"/>
            <w:tcMar>
              <w:top w:w="0" w:type="dxa"/>
              <w:left w:w="0" w:type="dxa"/>
              <w:bottom w:w="0" w:type="dxa"/>
              <w:right w:w="0" w:type="dxa"/>
            </w:tcMar>
          </w:tcPr>
          <w:p>
            <w:pPr>
              <w:spacing w:before="120"/>
              <w:ind w:left="1040"/>
            </w:pPr>
            <w:r>
              <w:rPr>
                <w:rFonts w:hint="eastAsia" w:ascii="宋体" w:hAnsi="宋体" w:eastAsia="宋体" w:cs="宋体"/>
                <w:sz w:val="21"/>
              </w:rPr>
              <w:t>应纳流转税额</w:t>
            </w:r>
          </w:p>
        </w:tc>
        <w:tc>
          <w:tcPr>
            <w:tcW w:w="2960" w:type="dxa"/>
            <w:tcMar>
              <w:top w:w="0" w:type="dxa"/>
              <w:left w:w="0" w:type="dxa"/>
              <w:bottom w:w="0" w:type="dxa"/>
              <w:right w:w="0" w:type="dxa"/>
            </w:tcMar>
          </w:tcPr>
          <w:p>
            <w:pPr>
              <w:spacing w:before="180"/>
              <w:ind w:left="13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p>
        </w:tc>
      </w:tr>
      <w:tr>
        <w:trPr>
          <w:trHeight w:val="480" w:hRule="exact"/>
        </w:trPr>
        <w:tc>
          <w:tcPr>
            <w:tcW w:w="2940" w:type="dxa"/>
            <w:tcMar>
              <w:top w:w="0" w:type="dxa"/>
              <w:left w:w="0" w:type="dxa"/>
              <w:bottom w:w="0" w:type="dxa"/>
              <w:right w:w="0" w:type="dxa"/>
            </w:tcMar>
          </w:tcPr>
          <w:p>
            <w:pPr>
              <w:spacing w:before="120"/>
              <w:ind w:left="720"/>
            </w:pPr>
            <w:r>
              <w:rPr>
                <w:rFonts w:hint="eastAsia" w:ascii="宋体" w:hAnsi="宋体" w:eastAsia="宋体" w:cs="宋体"/>
                <w:sz w:val="21"/>
              </w:rPr>
              <w:t>地方教育费附加</w:t>
            </w:r>
          </w:p>
        </w:tc>
        <w:tc>
          <w:tcPr>
            <w:tcW w:w="3360" w:type="dxa"/>
            <w:tcMar>
              <w:top w:w="0" w:type="dxa"/>
              <w:left w:w="0" w:type="dxa"/>
              <w:bottom w:w="0" w:type="dxa"/>
              <w:right w:w="0" w:type="dxa"/>
            </w:tcMar>
          </w:tcPr>
          <w:p>
            <w:pPr>
              <w:spacing w:before="120"/>
              <w:ind w:left="1040"/>
            </w:pPr>
            <w:r>
              <w:rPr>
                <w:rFonts w:hint="eastAsia" w:ascii="宋体" w:hAnsi="宋体" w:eastAsia="宋体" w:cs="宋体"/>
                <w:sz w:val="21"/>
              </w:rPr>
              <w:t>应纳流转税额</w:t>
            </w:r>
          </w:p>
        </w:tc>
        <w:tc>
          <w:tcPr>
            <w:tcW w:w="296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宋体" w:hAnsi="宋体" w:eastAsia="宋体" w:cs="宋体"/>
                <w:sz w:val="10"/>
              </w:rPr>
              <w:t>、</w:t>
            </w: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p>
        </w:tc>
      </w:tr>
      <w:tr>
        <w:trPr>
          <w:trHeight w:val="460" w:hRule="exact"/>
        </w:trPr>
        <w:tc>
          <w:tcPr>
            <w:tcW w:w="2940" w:type="dxa"/>
            <w:tcMar>
              <w:top w:w="0" w:type="dxa"/>
              <w:left w:w="0" w:type="dxa"/>
              <w:bottom w:w="0" w:type="dxa"/>
              <w:right w:w="0" w:type="dxa"/>
            </w:tcMar>
          </w:tcPr>
          <w:p>
            <w:pPr>
              <w:spacing w:before="120"/>
              <w:ind w:left="920"/>
            </w:pPr>
            <w:r>
              <w:rPr>
                <w:rFonts w:hint="eastAsia" w:ascii="宋体" w:hAnsi="宋体" w:eastAsia="宋体" w:cs="宋体"/>
                <w:sz w:val="21"/>
              </w:rPr>
              <w:t>企业所得税</w:t>
            </w:r>
          </w:p>
        </w:tc>
        <w:tc>
          <w:tcPr>
            <w:tcW w:w="3360" w:type="dxa"/>
            <w:tcMar>
              <w:top w:w="0" w:type="dxa"/>
              <w:left w:w="0" w:type="dxa"/>
              <w:bottom w:w="0" w:type="dxa"/>
              <w:right w:w="0" w:type="dxa"/>
            </w:tcMar>
          </w:tcPr>
          <w:p>
            <w:pPr>
              <w:spacing w:before="100"/>
              <w:ind w:left="1040"/>
            </w:pPr>
            <w:r>
              <w:rPr>
                <w:rFonts w:hint="eastAsia" w:ascii="宋体" w:hAnsi="宋体" w:eastAsia="宋体" w:cs="宋体"/>
                <w:sz w:val="21"/>
              </w:rPr>
              <w:t>应纳税所得额</w:t>
            </w:r>
          </w:p>
        </w:tc>
        <w:tc>
          <w:tcPr>
            <w:tcW w:w="2960" w:type="dxa"/>
            <w:tcMar>
              <w:top w:w="0" w:type="dxa"/>
              <w:left w:w="0" w:type="dxa"/>
              <w:bottom w:w="0" w:type="dxa"/>
              <w:right w:w="0" w:type="dxa"/>
            </w:tcMar>
          </w:tcPr>
          <w:p>
            <w:pPr>
              <w:spacing w:before="140"/>
              <w:ind w:left="30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宋体" w:hAnsi="宋体" w:eastAsia="宋体" w:cs="宋体"/>
                <w:sz w:val="10"/>
              </w:rPr>
              <w:t>、</w:t>
            </w: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宋体" w:hAnsi="宋体" w:eastAsia="宋体" w:cs="宋体"/>
                <w:sz w:val="1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宋体" w:hAnsi="宋体" w:eastAsia="宋体" w:cs="宋体"/>
                <w:sz w:val="10"/>
              </w:rPr>
              <w:t>、</w:t>
            </w: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p>
        </w:tc>
      </w:tr>
    </w:tbl>
    <w:p>
      <w:pPr>
        <w:autoSpaceDE w:val="false"/>
        <w:autoSpaceDN w:val="false"/>
        <w:spacing w:line="440" w:lineRule="exact"/>
        <w:ind w:left="1440" w:right="1200" w:firstLine="420"/>
        <w:jc w:val="both"/>
      </w:pPr>
      <w:r>
        <w:rPr>
          <w:rFonts w:hint="eastAsia" w:ascii="宋体" w:hAnsi="宋体" w:eastAsia="宋体" w:cs="宋体"/>
          <w:sz w:val="21"/>
        </w:rPr>
        <w:t>注</w:t>
      </w:r>
      <w:r>
        <w:rPr>
          <w:rFonts w:hint="eastAsia" w:ascii="Times New Roman" w:hAnsi="Times New Roman" w:eastAsia="Times New Roman" w:cs="Times New Roman"/>
          <w:sz w:val="21"/>
        </w:rPr>
        <w:t xml:space="preserve"> 1</w:t>
      </w:r>
      <w:r>
        <w:rPr>
          <w:rFonts w:hint="eastAsia" w:ascii="宋体" w:hAnsi="宋体" w:eastAsia="宋体" w:cs="宋体"/>
          <w:sz w:val="10"/>
        </w:rPr>
        <w:t>：</w:t>
      </w:r>
      <w:r>
        <w:rPr>
          <w:rFonts w:hint="eastAsia" w:ascii="宋体" w:hAnsi="宋体" w:eastAsia="宋体" w:cs="宋体"/>
          <w:sz w:val="21"/>
        </w:rPr>
        <w:t>根据</w:t>
      </w:r>
      <w:r>
        <w:rPr>
          <w:rFonts w:hint="eastAsia" w:ascii="宋体" w:hAnsi="宋体" w:eastAsia="宋体" w:cs="宋体"/>
          <w:sz w:val="20"/>
        </w:rPr>
        <w:t>《</w:t>
      </w:r>
      <w:r>
        <w:rPr>
          <w:rFonts w:hint="eastAsia" w:ascii="宋体" w:hAnsi="宋体" w:eastAsia="宋体" w:cs="宋体"/>
          <w:sz w:val="21"/>
        </w:rPr>
        <w:t>财政部国家税务总局关于在上海市开展交通运输业和部分现代服务业营业税改征增值税试点的通知</w:t>
      </w:r>
      <w:r>
        <w:rPr>
          <w:rFonts w:hint="eastAsia" w:ascii="宋体" w:hAnsi="宋体" w:eastAsia="宋体" w:cs="宋体"/>
          <w:sz w:val="20"/>
        </w:rPr>
        <w:t>》（</w:t>
      </w:r>
      <w:r>
        <w:rPr>
          <w:rFonts w:hint="eastAsia" w:ascii="宋体" w:hAnsi="宋体" w:eastAsia="宋体" w:cs="宋体"/>
          <w:sz w:val="21"/>
        </w:rPr>
        <w:t>财税</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111</w:t>
      </w:r>
      <w:r>
        <w:rPr>
          <w:rFonts w:hint="eastAsia" w:ascii="宋体" w:hAnsi="宋体" w:eastAsia="宋体" w:cs="宋体"/>
          <w:sz w:val="21"/>
        </w:rPr>
        <w:t xml:space="preserve"> 号</w:t>
      </w:r>
      <w:r>
        <w:rPr>
          <w:rFonts w:hint="eastAsia" w:ascii="宋体" w:hAnsi="宋体" w:eastAsia="宋体" w:cs="宋体"/>
          <w:sz w:val="10"/>
        </w:rPr>
        <w:t>，</w:t>
      </w:r>
      <w:r>
        <w:rPr>
          <w:rFonts w:hint="eastAsia" w:ascii="宋体" w:hAnsi="宋体" w:eastAsia="宋体" w:cs="宋体"/>
          <w:sz w:val="21"/>
        </w:rPr>
        <w:t>以下简称</w:t>
      </w:r>
      <w:r>
        <w:rPr>
          <w:rFonts w:hint="eastAsia" w:ascii="宋体" w:hAnsi="宋体" w:eastAsia="宋体" w:cs="宋体"/>
          <w:sz w:val="10"/>
        </w:rPr>
        <w:t>“</w:t>
      </w:r>
      <w:r>
        <w:rPr>
          <w:rFonts w:hint="eastAsia" w:ascii="宋体" w:hAnsi="宋体" w:eastAsia="宋体" w:cs="宋体"/>
          <w:sz w:val="21"/>
        </w:rPr>
        <w:t>财税</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111</w:t>
      </w:r>
      <w:r>
        <w:rPr>
          <w:rFonts w:hint="eastAsia" w:ascii="宋体" w:hAnsi="宋体" w:eastAsia="宋体" w:cs="宋体"/>
          <w:sz w:val="21"/>
        </w:rPr>
        <w:t xml:space="preserve"> 号文</w:t>
      </w:r>
      <w:r>
        <w:rPr>
          <w:rFonts w:hint="eastAsia" w:ascii="宋体" w:hAnsi="宋体" w:eastAsia="宋体" w:cs="宋体"/>
          <w:sz w:val="10"/>
        </w:rPr>
        <w:t>”），</w:t>
      </w:r>
      <w:r>
        <w:rPr>
          <w:rFonts w:hint="eastAsia" w:ascii="宋体" w:hAnsi="宋体" w:eastAsia="宋体" w:cs="宋体"/>
          <w:sz w:val="21"/>
        </w:rPr>
        <w:t>全资子公司上海顶点公司自</w:t>
      </w:r>
      <w:r>
        <w:rPr>
          <w:rFonts w:hint="eastAsia" w:ascii="Times New Roman" w:hAnsi="Times New Roman" w:eastAsia="Times New Roman" w:cs="Times New Roman"/>
          <w:sz w:val="21"/>
        </w:rPr>
        <w:t xml:space="preserve"> 2012</w:t>
      </w:r>
      <w:r>
        <w:rPr>
          <w:rFonts w:hint="eastAsia" w:ascii="宋体" w:hAnsi="宋体" w:eastAsia="宋体" w:cs="宋体"/>
          <w:sz w:val="21"/>
        </w:rPr>
        <w:t>年</w:t>
      </w:r>
      <w:r>
        <w:rPr>
          <w:rFonts w:hint="eastAsia" w:ascii="Times New Roman" w:hAnsi="Times New Roman" w:eastAsia="Times New Roman" w:cs="Times New Roman"/>
          <w:sz w:val="21"/>
        </w:rPr>
        <w:t xml:space="preserve"> 1</w:t>
      </w:r>
      <w:r>
        <w:rPr>
          <w:rFonts w:hint="eastAsia" w:ascii="宋体" w:hAnsi="宋体" w:eastAsia="宋体" w:cs="宋体"/>
          <w:sz w:val="21"/>
        </w:rPr>
        <w:t>月</w:t>
      </w:r>
      <w:r>
        <w:rPr>
          <w:rFonts w:hint="eastAsia" w:ascii="Times New Roman" w:hAnsi="Times New Roman" w:eastAsia="Times New Roman" w:cs="Times New Roman"/>
          <w:sz w:val="21"/>
        </w:rPr>
        <w:t xml:space="preserve"> 1</w:t>
      </w:r>
      <w:r>
        <w:rPr>
          <w:rFonts w:hint="eastAsia" w:ascii="宋体" w:hAnsi="宋体" w:eastAsia="宋体" w:cs="宋体"/>
          <w:sz w:val="21"/>
        </w:rPr>
        <w:t>日起著作权归属于客户或双方共有的软件开发业务及软件运维服务收入由营业税改征增值税</w:t>
      </w:r>
      <w:r>
        <w:rPr>
          <w:rFonts w:hint="eastAsia" w:ascii="宋体" w:hAnsi="宋体" w:eastAsia="宋体" w:cs="宋体"/>
          <w:sz w:val="10"/>
        </w:rPr>
        <w:t>，</w:t>
      </w:r>
      <w:r>
        <w:rPr>
          <w:rFonts w:hint="eastAsia" w:ascii="宋体" w:hAnsi="宋体" w:eastAsia="宋体" w:cs="宋体"/>
          <w:sz w:val="21"/>
        </w:rPr>
        <w:t>适用税率</w:t>
      </w:r>
      <w:r>
        <w:rPr>
          <w:rFonts w:hint="eastAsia" w:ascii="Times New Roman" w:hAnsi="Times New Roman" w:eastAsia="Times New Roman" w:cs="Times New Roman"/>
          <w:sz w:val="21"/>
        </w:rPr>
        <w:t xml:space="preserve"> 6</w:t>
      </w:r>
      <w:r>
        <w:rPr>
          <w:rFonts w:hint="eastAsia" w:ascii="Times New Roman" w:hAnsi="Times New Roman" w:eastAsia="Times New Roman" w:cs="Times New Roman"/>
          <w:sz w:val="20"/>
        </w:rPr>
        <w:t>%</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20" w:firstLine="420"/>
        <w:jc w:val="both"/>
      </w:pPr>
      <w:r>
        <w:rPr>
          <w:rFonts w:hint="eastAsia" w:ascii="宋体" w:hAnsi="宋体" w:eastAsia="宋体" w:cs="宋体"/>
          <w:sz w:val="21"/>
        </w:rPr>
        <w:t>根据</w:t>
      </w:r>
      <w:r>
        <w:rPr>
          <w:rFonts w:hint="eastAsia" w:ascii="宋体" w:hAnsi="宋体" w:eastAsia="宋体" w:cs="宋体"/>
          <w:sz w:val="20"/>
        </w:rPr>
        <w:t>《</w:t>
      </w:r>
      <w:r>
        <w:rPr>
          <w:rFonts w:hint="eastAsia" w:ascii="宋体" w:hAnsi="宋体" w:eastAsia="宋体" w:cs="宋体"/>
          <w:sz w:val="21"/>
        </w:rPr>
        <w:t>财政部</w:t>
      </w:r>
      <w:r>
        <w:rPr>
          <w:rFonts w:hint="eastAsia" w:ascii="宋体" w:hAnsi="宋体" w:eastAsia="宋体" w:cs="宋体"/>
          <w:sz w:val="10"/>
        </w:rPr>
        <w:t>、</w:t>
      </w:r>
      <w:r>
        <w:rPr>
          <w:rFonts w:hint="eastAsia" w:ascii="宋体" w:hAnsi="宋体" w:eastAsia="宋体" w:cs="宋体"/>
          <w:sz w:val="21"/>
        </w:rPr>
        <w:t>国家税务总局关于在北京等</w:t>
      </w:r>
      <w:r>
        <w:rPr>
          <w:rFonts w:hint="eastAsia" w:ascii="Times New Roman" w:hAnsi="Times New Roman" w:eastAsia="Times New Roman" w:cs="Times New Roman"/>
          <w:sz w:val="21"/>
        </w:rPr>
        <w:t xml:space="preserve"> 8</w:t>
      </w:r>
      <w:r>
        <w:rPr>
          <w:rFonts w:hint="eastAsia" w:ascii="宋体" w:hAnsi="宋体" w:eastAsia="宋体" w:cs="宋体"/>
          <w:sz w:val="21"/>
        </w:rPr>
        <w:t xml:space="preserve"> 省市开展交通运输业和部分现代服务业营业税改征增值税试点的通知</w:t>
      </w:r>
      <w:r>
        <w:rPr>
          <w:rFonts w:hint="eastAsia" w:ascii="宋体" w:hAnsi="宋体" w:eastAsia="宋体" w:cs="宋体"/>
          <w:sz w:val="20"/>
        </w:rPr>
        <w:t>》（</w:t>
      </w:r>
      <w:r>
        <w:rPr>
          <w:rFonts w:hint="eastAsia" w:ascii="宋体" w:hAnsi="宋体" w:eastAsia="宋体" w:cs="宋体"/>
          <w:sz w:val="21"/>
        </w:rPr>
        <w:t>财税</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宋体" w:hAnsi="宋体" w:eastAsia="宋体" w:cs="宋体"/>
          <w:sz w:val="21"/>
        </w:rPr>
        <w:t xml:space="preserve"> 号</w:t>
      </w:r>
      <w:r>
        <w:rPr>
          <w:rFonts w:hint="eastAsia" w:ascii="宋体" w:hAnsi="宋体" w:eastAsia="宋体" w:cs="宋体"/>
          <w:sz w:val="10"/>
        </w:rPr>
        <w:t>，</w:t>
      </w:r>
      <w:r>
        <w:rPr>
          <w:rFonts w:hint="eastAsia" w:ascii="宋体" w:hAnsi="宋体" w:eastAsia="宋体" w:cs="宋体"/>
          <w:sz w:val="21"/>
        </w:rPr>
        <w:t>以下简称</w:t>
      </w:r>
      <w:r>
        <w:rPr>
          <w:rFonts w:hint="eastAsia" w:ascii="宋体" w:hAnsi="宋体" w:eastAsia="宋体" w:cs="宋体"/>
          <w:sz w:val="10"/>
        </w:rPr>
        <w:t>“</w:t>
      </w:r>
      <w:r>
        <w:rPr>
          <w:rFonts w:hint="eastAsia" w:ascii="宋体" w:hAnsi="宋体" w:eastAsia="宋体" w:cs="宋体"/>
          <w:sz w:val="21"/>
        </w:rPr>
        <w:t>财税</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宋体" w:hAnsi="宋体" w:eastAsia="宋体" w:cs="宋体"/>
          <w:sz w:val="21"/>
        </w:rPr>
        <w:t xml:space="preserve"> 号文</w:t>
      </w:r>
      <w:r>
        <w:rPr>
          <w:rFonts w:hint="eastAsia" w:ascii="宋体" w:hAnsi="宋体" w:eastAsia="宋体" w:cs="宋体"/>
          <w:sz w:val="10"/>
        </w:rPr>
        <w:t>”）</w:t>
      </w:r>
      <w:r>
        <w:rPr>
          <w:rFonts w:hint="eastAsia" w:ascii="宋体" w:hAnsi="宋体" w:eastAsia="宋体" w:cs="宋体"/>
          <w:sz w:val="21"/>
        </w:rPr>
        <w:t>及北京市国税局</w:t>
      </w:r>
      <w:r>
        <w:rPr>
          <w:rFonts w:hint="eastAsia" w:ascii="宋体" w:hAnsi="宋体" w:eastAsia="宋体" w:cs="宋体"/>
          <w:sz w:val="20"/>
        </w:rPr>
        <w:t>（</w:t>
      </w:r>
      <w:r>
        <w:rPr>
          <w:rFonts w:hint="eastAsia" w:ascii="Times New Roman" w:hAnsi="Times New Roman" w:eastAsia="Times New Roman" w:cs="Times New Roman"/>
          <w:sz w:val="21"/>
        </w:rPr>
        <w:t>2012</w:t>
      </w:r>
      <w:r>
        <w:rPr>
          <w:rFonts w:hint="eastAsia" w:ascii="宋体" w:hAnsi="宋体" w:eastAsia="宋体" w:cs="宋体"/>
          <w:sz w:val="20"/>
        </w:rPr>
        <w:t>）</w:t>
      </w:r>
    </w:p>
    <w:p>
      <w:pPr>
        <w:spacing w:line="200" w:lineRule="exact"/>
        <w:rPr>
          <w:rFonts w:hint="eastAsia" w:ascii="宋体" w:hAnsi="宋体" w:eastAsia="宋体" w:cs="宋体"/>
          <w:sz w:val="20"/>
        </w:rPr>
      </w:pPr>
    </w:p>
    <w:p>
      <w:pPr>
        <w:autoSpaceDE w:val="false"/>
        <w:autoSpaceDN w:val="false"/>
        <w:spacing w:line="360" w:lineRule="exact"/>
        <w:ind w:left="1440" w:right="1200"/>
        <w:jc w:val="both"/>
      </w:pPr>
      <w:r>
        <w:rPr>
          <w:rFonts w:hint="eastAsia" w:ascii="Times New Roman" w:hAnsi="Times New Roman" w:eastAsia="Times New Roman" w:cs="Times New Roman"/>
          <w:sz w:val="21"/>
        </w:rPr>
        <w:t>7</w:t>
      </w:r>
      <w:r>
        <w:rPr>
          <w:rFonts w:hint="eastAsia" w:ascii="宋体" w:hAnsi="宋体" w:eastAsia="宋体" w:cs="宋体"/>
          <w:sz w:val="21"/>
        </w:rPr>
        <w:t xml:space="preserve"> 号文的规定</w:t>
      </w:r>
      <w:r>
        <w:rPr>
          <w:rFonts w:hint="eastAsia" w:ascii="宋体" w:hAnsi="宋体" w:eastAsia="宋体" w:cs="宋体"/>
          <w:sz w:val="10"/>
        </w:rPr>
        <w:t>，</w:t>
      </w:r>
      <w:r>
        <w:rPr>
          <w:rFonts w:hint="eastAsia" w:ascii="宋体" w:hAnsi="宋体" w:eastAsia="宋体" w:cs="宋体"/>
          <w:sz w:val="21"/>
        </w:rPr>
        <w:t>全资子公司北京顶点公司自</w:t>
      </w:r>
      <w:r>
        <w:rPr>
          <w:rFonts w:hint="eastAsia" w:ascii="Times New Roman" w:hAnsi="Times New Roman" w:eastAsia="Times New Roman" w:cs="Times New Roman"/>
          <w:sz w:val="21"/>
        </w:rPr>
        <w:t xml:space="preserve"> 2012</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9</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日起著作权归属于客户或双方共有的软件开发业务及软件运维服务收入由营业税改征增值税</w:t>
      </w:r>
      <w:r>
        <w:rPr>
          <w:rFonts w:hint="eastAsia" w:ascii="宋体" w:hAnsi="宋体" w:eastAsia="宋体" w:cs="宋体"/>
          <w:sz w:val="10"/>
        </w:rPr>
        <w:t>，</w:t>
      </w:r>
      <w:r>
        <w:rPr>
          <w:rFonts w:hint="eastAsia" w:ascii="宋体" w:hAnsi="宋体" w:eastAsia="宋体" w:cs="宋体"/>
          <w:sz w:val="21"/>
        </w:rPr>
        <w:t>适用税率</w:t>
      </w:r>
      <w:r>
        <w:rPr>
          <w:rFonts w:hint="eastAsia" w:ascii="Times New Roman" w:hAnsi="Times New Roman" w:eastAsia="Times New Roman" w:cs="Times New Roman"/>
          <w:sz w:val="21"/>
        </w:rPr>
        <w:t xml:space="preserve"> 6</w:t>
      </w:r>
      <w:r>
        <w:rPr>
          <w:rFonts w:hint="eastAsia" w:ascii="Times New Roman" w:hAnsi="Times New Roman" w:eastAsia="Times New Roman" w:cs="Times New Roman"/>
          <w:sz w:val="20"/>
        </w:rPr>
        <w:t>%</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right="1200" w:firstLine="420"/>
        <w:jc w:val="both"/>
      </w:pPr>
      <w:r>
        <w:rPr>
          <w:rFonts w:hint="eastAsia" w:ascii="宋体" w:hAnsi="宋体" w:eastAsia="宋体" w:cs="宋体"/>
          <w:sz w:val="21"/>
        </w:rPr>
        <w:t>根据财税</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宋体" w:hAnsi="宋体" w:eastAsia="宋体" w:cs="宋体"/>
          <w:sz w:val="21"/>
        </w:rPr>
        <w:t xml:space="preserve"> 号文及福建省国税局闽国税公告</w:t>
      </w:r>
      <w:r>
        <w:rPr>
          <w:rFonts w:hint="eastAsia" w:ascii="宋体" w:hAnsi="宋体" w:eastAsia="宋体" w:cs="宋体"/>
          <w:sz w:val="20"/>
        </w:rPr>
        <w:t>（</w:t>
      </w:r>
      <w:r>
        <w:rPr>
          <w:rFonts w:hint="eastAsia" w:ascii="Times New Roman" w:hAnsi="Times New Roman" w:eastAsia="Times New Roman" w:cs="Times New Roman"/>
          <w:sz w:val="21"/>
        </w:rPr>
        <w:t>2012</w:t>
      </w:r>
      <w:r>
        <w:rPr>
          <w:rFonts w:hint="eastAsia" w:ascii="宋体" w:hAnsi="宋体" w:eastAsia="宋体" w:cs="宋体"/>
          <w:sz w:val="20"/>
        </w:rPr>
        <w:t>）</w:t>
      </w:r>
      <w:r>
        <w:rPr>
          <w:rFonts w:hint="eastAsia" w:ascii="Times New Roman" w:hAnsi="Times New Roman" w:eastAsia="Times New Roman" w:cs="Times New Roman"/>
          <w:sz w:val="21"/>
        </w:rPr>
        <w:t>3</w:t>
      </w:r>
      <w:r>
        <w:rPr>
          <w:rFonts w:hint="eastAsia" w:ascii="宋体" w:hAnsi="宋体" w:eastAsia="宋体" w:cs="宋体"/>
          <w:sz w:val="21"/>
        </w:rPr>
        <w:t xml:space="preserve"> 号文的规定</w:t>
      </w:r>
      <w:r>
        <w:rPr>
          <w:rFonts w:hint="eastAsia" w:ascii="宋体" w:hAnsi="宋体" w:eastAsia="宋体" w:cs="宋体"/>
          <w:sz w:val="10"/>
        </w:rPr>
        <w:t>，</w:t>
      </w:r>
      <w:r>
        <w:rPr>
          <w:rFonts w:hint="eastAsia" w:ascii="宋体" w:hAnsi="宋体" w:eastAsia="宋体" w:cs="宋体"/>
          <w:sz w:val="21"/>
        </w:rPr>
        <w:t>公司</w:t>
      </w:r>
      <w:r>
        <w:rPr>
          <w:rFonts w:hint="eastAsia" w:ascii="宋体" w:hAnsi="宋体" w:eastAsia="宋体" w:cs="宋体"/>
          <w:sz w:val="10"/>
        </w:rPr>
        <w:t>、</w:t>
      </w:r>
      <w:r>
        <w:rPr>
          <w:rFonts w:hint="eastAsia" w:ascii="宋体" w:hAnsi="宋体" w:eastAsia="宋体" w:cs="宋体"/>
          <w:sz w:val="21"/>
        </w:rPr>
        <w:t>全资子公司顶点数码公司及控股子公司顶点信息公司自</w:t>
      </w:r>
      <w:r>
        <w:rPr>
          <w:rFonts w:hint="eastAsia" w:ascii="Times New Roman" w:hAnsi="Times New Roman" w:eastAsia="Times New Roman" w:cs="Times New Roman"/>
          <w:sz w:val="21"/>
        </w:rPr>
        <w:t xml:space="preserve"> 2012</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11</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日起著作权归属于客户或双方共有的软件开发业务及软件运维服务收入由营业税改征增值税</w:t>
      </w:r>
      <w:r>
        <w:rPr>
          <w:rFonts w:hint="eastAsia" w:ascii="宋体" w:hAnsi="宋体" w:eastAsia="宋体" w:cs="宋体"/>
          <w:sz w:val="10"/>
        </w:rPr>
        <w:t>，</w:t>
      </w:r>
      <w:r>
        <w:rPr>
          <w:rFonts w:hint="eastAsia" w:ascii="宋体" w:hAnsi="宋体" w:eastAsia="宋体" w:cs="宋体"/>
          <w:sz w:val="21"/>
        </w:rPr>
        <w:t>适用税率</w:t>
      </w:r>
      <w:r>
        <w:rPr>
          <w:rFonts w:hint="eastAsia" w:ascii="Times New Roman" w:hAnsi="Times New Roman" w:eastAsia="Times New Roman" w:cs="Times New Roman"/>
          <w:sz w:val="21"/>
        </w:rPr>
        <w:t xml:space="preserve"> 6</w:t>
      </w:r>
      <w:r>
        <w:rPr>
          <w:rFonts w:hint="eastAsia" w:ascii="Times New Roman" w:hAnsi="Times New Roman" w:eastAsia="Times New Roman" w:cs="Times New Roman"/>
          <w:sz w:val="20"/>
        </w:rPr>
        <w:t>%</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right="1200" w:firstLine="420"/>
        <w:jc w:val="both"/>
      </w:pPr>
      <w:r>
        <w:rPr>
          <w:rFonts w:hint="eastAsia" w:ascii="宋体" w:hAnsi="宋体" w:eastAsia="宋体" w:cs="宋体"/>
          <w:sz w:val="21"/>
        </w:rPr>
        <w:t>注</w:t>
      </w:r>
      <w:r>
        <w:rPr>
          <w:rFonts w:hint="eastAsia" w:ascii="Times New Roman" w:hAnsi="Times New Roman" w:eastAsia="Times New Roman" w:cs="Times New Roman"/>
          <w:sz w:val="21"/>
        </w:rPr>
        <w:t xml:space="preserve"> 2</w:t>
      </w:r>
      <w:r>
        <w:rPr>
          <w:rFonts w:hint="eastAsia" w:ascii="宋体" w:hAnsi="宋体" w:eastAsia="宋体" w:cs="宋体"/>
          <w:sz w:val="10"/>
        </w:rPr>
        <w:t>：</w:t>
      </w:r>
      <w:r>
        <w:rPr>
          <w:rFonts w:hint="eastAsia" w:ascii="宋体" w:hAnsi="宋体" w:eastAsia="宋体" w:cs="宋体"/>
          <w:sz w:val="21"/>
        </w:rPr>
        <w:t>根据</w:t>
      </w:r>
      <w:r>
        <w:rPr>
          <w:rFonts w:hint="eastAsia" w:ascii="宋体" w:hAnsi="宋体" w:eastAsia="宋体" w:cs="宋体"/>
          <w:sz w:val="20"/>
        </w:rPr>
        <w:t>《</w:t>
      </w:r>
      <w:r>
        <w:rPr>
          <w:rFonts w:hint="eastAsia" w:ascii="宋体" w:hAnsi="宋体" w:eastAsia="宋体" w:cs="宋体"/>
          <w:sz w:val="21"/>
        </w:rPr>
        <w:t>关于贯彻落实</w:t>
      </w:r>
      <w:r>
        <w:rPr>
          <w:rFonts w:hint="eastAsia" w:ascii="Times New Roman" w:hAnsi="Times New Roman" w:eastAsia="Times New Roman" w:cs="Times New Roman"/>
          <w:sz w:val="21"/>
        </w:rPr>
        <w:t>&lt;</w:t>
      </w:r>
      <w:r>
        <w:rPr>
          <w:rFonts w:hint="eastAsia" w:ascii="宋体" w:hAnsi="宋体" w:eastAsia="宋体" w:cs="宋体"/>
          <w:sz w:val="21"/>
        </w:rPr>
        <w:t>中共中央国务院关于加强技术创新</w:t>
      </w:r>
      <w:r>
        <w:rPr>
          <w:rFonts w:hint="eastAsia" w:ascii="宋体" w:hAnsi="宋体" w:eastAsia="宋体" w:cs="宋体"/>
          <w:sz w:val="10"/>
        </w:rPr>
        <w:t>，</w:t>
      </w:r>
      <w:r>
        <w:rPr>
          <w:rFonts w:hint="eastAsia" w:ascii="宋体" w:hAnsi="宋体" w:eastAsia="宋体" w:cs="宋体"/>
          <w:sz w:val="21"/>
        </w:rPr>
        <w:t>发展高科技</w:t>
      </w:r>
      <w:r>
        <w:rPr>
          <w:rFonts w:hint="eastAsia" w:ascii="宋体" w:hAnsi="宋体" w:eastAsia="宋体" w:cs="宋体"/>
          <w:sz w:val="10"/>
        </w:rPr>
        <w:t>，</w:t>
      </w:r>
      <w:r>
        <w:rPr>
          <w:rFonts w:hint="eastAsia" w:ascii="宋体" w:hAnsi="宋体" w:eastAsia="宋体" w:cs="宋体"/>
          <w:sz w:val="21"/>
        </w:rPr>
        <w:t>实现产业化的决定</w:t>
      </w:r>
      <w:r>
        <w:rPr>
          <w:rFonts w:hint="eastAsia" w:ascii="Times New Roman" w:hAnsi="Times New Roman" w:eastAsia="Times New Roman" w:cs="Times New Roman"/>
          <w:sz w:val="20"/>
        </w:rPr>
        <w:t>&gt;</w:t>
      </w:r>
      <w:r>
        <w:rPr>
          <w:rFonts w:hint="eastAsia" w:ascii="宋体" w:hAnsi="宋体" w:eastAsia="宋体" w:cs="宋体"/>
          <w:sz w:val="21"/>
        </w:rPr>
        <w:t>有关税收问题的通知</w:t>
      </w:r>
      <w:r>
        <w:rPr>
          <w:rFonts w:hint="eastAsia" w:ascii="宋体" w:hAnsi="宋体" w:eastAsia="宋体" w:cs="宋体"/>
          <w:sz w:val="20"/>
        </w:rPr>
        <w:t>》</w:t>
      </w:r>
      <w:r>
        <w:rPr>
          <w:rFonts w:hint="eastAsia" w:ascii="Times New Roman" w:hAnsi="Times New Roman" w:eastAsia="Times New Roman" w:cs="Times New Roman"/>
          <w:sz w:val="20"/>
        </w:rPr>
        <w:t>(</w:t>
      </w:r>
      <w:r>
        <w:rPr>
          <w:rFonts w:hint="eastAsia" w:ascii="宋体" w:hAnsi="宋体" w:eastAsia="宋体" w:cs="宋体"/>
          <w:sz w:val="21"/>
        </w:rPr>
        <w:t>财税字</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273</w:t>
      </w:r>
      <w:r>
        <w:rPr>
          <w:rFonts w:hint="eastAsia" w:ascii="宋体" w:hAnsi="宋体" w:eastAsia="宋体" w:cs="宋体"/>
          <w:sz w:val="21"/>
        </w:rPr>
        <w:t xml:space="preserve"> 号</w:t>
      </w:r>
      <w:r>
        <w:rPr>
          <w:rFonts w:hint="eastAsia" w:ascii="Times New Roman" w:hAnsi="Times New Roman" w:eastAsia="Times New Roman" w:cs="Times New Roman"/>
          <w:sz w:val="20"/>
        </w:rPr>
        <w:t>)</w:t>
      </w:r>
      <w:r>
        <w:rPr>
          <w:rFonts w:hint="eastAsia" w:ascii="宋体" w:hAnsi="宋体" w:eastAsia="宋体" w:cs="宋体"/>
          <w:sz w:val="21"/>
        </w:rPr>
        <w:t>以及国家税务总局</w:t>
      </w:r>
      <w:r>
        <w:rPr>
          <w:rFonts w:hint="eastAsia" w:ascii="宋体" w:hAnsi="宋体" w:eastAsia="宋体" w:cs="宋体"/>
          <w:sz w:val="20"/>
        </w:rPr>
        <w:t>《</w:t>
      </w:r>
      <w:r>
        <w:rPr>
          <w:rFonts w:hint="eastAsia" w:ascii="宋体" w:hAnsi="宋体" w:eastAsia="宋体" w:cs="宋体"/>
          <w:sz w:val="21"/>
        </w:rPr>
        <w:t>关于取消</w:t>
      </w:r>
      <w:r>
        <w:rPr>
          <w:rFonts w:hint="eastAsia" w:ascii="宋体" w:hAnsi="宋体" w:eastAsia="宋体" w:cs="宋体"/>
          <w:sz w:val="10"/>
        </w:rPr>
        <w:t>“</w:t>
      </w:r>
      <w:r>
        <w:rPr>
          <w:rFonts w:hint="eastAsia" w:ascii="宋体" w:hAnsi="宋体" w:eastAsia="宋体" w:cs="宋体"/>
          <w:sz w:val="21"/>
        </w:rPr>
        <w:t>单位和个人从事技术转让</w:t>
      </w:r>
      <w:r>
        <w:rPr>
          <w:rFonts w:hint="eastAsia" w:ascii="宋体" w:hAnsi="宋体" w:eastAsia="宋体" w:cs="宋体"/>
          <w:sz w:val="10"/>
        </w:rPr>
        <w:t>、</w:t>
      </w:r>
      <w:r>
        <w:rPr>
          <w:rFonts w:hint="eastAsia" w:ascii="宋体" w:hAnsi="宋体" w:eastAsia="宋体" w:cs="宋体"/>
          <w:sz w:val="21"/>
        </w:rPr>
        <w:t>技术开发业务免征营业税审批</w:t>
      </w:r>
      <w:r>
        <w:rPr>
          <w:rFonts w:hint="eastAsia" w:ascii="宋体" w:hAnsi="宋体" w:eastAsia="宋体" w:cs="宋体"/>
          <w:sz w:val="10"/>
        </w:rPr>
        <w:t>”</w:t>
      </w:r>
      <w:r>
        <w:rPr>
          <w:rFonts w:hint="eastAsia" w:ascii="宋体" w:hAnsi="宋体" w:eastAsia="宋体" w:cs="宋体"/>
          <w:sz w:val="21"/>
        </w:rPr>
        <w:t>后有关税收管理问题的通知</w:t>
      </w:r>
      <w:r>
        <w:rPr>
          <w:rFonts w:hint="eastAsia" w:ascii="宋体" w:hAnsi="宋体" w:eastAsia="宋体" w:cs="宋体"/>
          <w:sz w:val="20"/>
        </w:rPr>
        <w:t>》</w:t>
      </w:r>
      <w:r>
        <w:rPr>
          <w:rFonts w:hint="eastAsia" w:ascii="Times New Roman" w:hAnsi="Times New Roman" w:eastAsia="Times New Roman" w:cs="Times New Roman"/>
          <w:sz w:val="20"/>
        </w:rPr>
        <w:t>(</w:t>
      </w:r>
      <w:r>
        <w:rPr>
          <w:rFonts w:hint="eastAsia" w:ascii="宋体" w:hAnsi="宋体" w:eastAsia="宋体" w:cs="宋体"/>
          <w:sz w:val="21"/>
        </w:rPr>
        <w:t>国税函</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825</w:t>
      </w:r>
      <w:r>
        <w:rPr>
          <w:rFonts w:hint="eastAsia" w:ascii="宋体" w:hAnsi="宋体" w:eastAsia="宋体" w:cs="宋体"/>
          <w:sz w:val="21"/>
        </w:rPr>
        <w:t xml:space="preserve"> 号</w:t>
      </w:r>
      <w:r>
        <w:rPr>
          <w:rFonts w:hint="eastAsia" w:ascii="Times New Roman" w:hAnsi="Times New Roman" w:eastAsia="Times New Roman" w:cs="Times New Roman"/>
          <w:sz w:val="20"/>
        </w:rPr>
        <w:t>)</w:t>
      </w:r>
      <w:r>
        <w:rPr>
          <w:rFonts w:hint="eastAsia" w:ascii="宋体" w:hAnsi="宋体" w:eastAsia="宋体" w:cs="宋体"/>
          <w:sz w:val="21"/>
        </w:rPr>
        <w:t>的规定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1-1-239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1440" w:right="1200"/>
        <w:jc w:val="both"/>
      </w:pPr>
      <w:r>
        <w:rPr>
          <w:rFonts w:hint="eastAsia" w:ascii="宋体" w:hAnsi="宋体" w:eastAsia="宋体" w:cs="宋体"/>
          <w:sz w:val="21"/>
        </w:rPr>
        <w:t>经科技</w:t>
      </w:r>
      <w:r>
        <w:rPr>
          <w:rFonts w:hint="eastAsia" w:ascii="宋体" w:hAnsi="宋体" w:eastAsia="宋体" w:cs="宋体"/>
          <w:sz w:val="10"/>
        </w:rPr>
        <w:t>、</w:t>
      </w:r>
      <w:r>
        <w:rPr>
          <w:rFonts w:hint="eastAsia" w:ascii="宋体" w:hAnsi="宋体" w:eastAsia="宋体" w:cs="宋体"/>
          <w:sz w:val="21"/>
        </w:rPr>
        <w:t>税务部门审核批准后</w:t>
      </w:r>
      <w:r>
        <w:rPr>
          <w:rFonts w:hint="eastAsia" w:ascii="宋体" w:hAnsi="宋体" w:eastAsia="宋体" w:cs="宋体"/>
          <w:sz w:val="10"/>
        </w:rPr>
        <w:t>，</w:t>
      </w:r>
      <w:r>
        <w:rPr>
          <w:rFonts w:hint="eastAsia" w:ascii="宋体" w:hAnsi="宋体" w:eastAsia="宋体" w:cs="宋体"/>
          <w:sz w:val="21"/>
        </w:rPr>
        <w:t>技术转让</w:t>
      </w:r>
      <w:r>
        <w:rPr>
          <w:rFonts w:hint="eastAsia" w:ascii="宋体" w:hAnsi="宋体" w:eastAsia="宋体" w:cs="宋体"/>
          <w:sz w:val="10"/>
        </w:rPr>
        <w:t>、</w:t>
      </w:r>
      <w:r>
        <w:rPr>
          <w:rFonts w:hint="eastAsia" w:ascii="宋体" w:hAnsi="宋体" w:eastAsia="宋体" w:cs="宋体"/>
          <w:sz w:val="21"/>
        </w:rPr>
        <w:t>技术开发及与之相关的技术咨询</w:t>
      </w:r>
      <w:r>
        <w:rPr>
          <w:rFonts w:hint="eastAsia" w:ascii="宋体" w:hAnsi="宋体" w:eastAsia="宋体" w:cs="宋体"/>
          <w:sz w:val="10"/>
        </w:rPr>
        <w:t>、</w:t>
      </w:r>
      <w:r>
        <w:rPr>
          <w:rFonts w:hint="eastAsia" w:ascii="宋体" w:hAnsi="宋体" w:eastAsia="宋体" w:cs="宋体"/>
          <w:sz w:val="21"/>
        </w:rPr>
        <w:t>技术服务业务向对方收取的全部价款和价外费用免征营业税</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right="1200" w:firstLine="420"/>
        <w:jc w:val="both"/>
      </w:pPr>
      <w:r>
        <w:rPr>
          <w:rFonts w:hint="eastAsia" w:ascii="宋体" w:hAnsi="宋体" w:eastAsia="宋体" w:cs="宋体"/>
          <w:sz w:val="21"/>
        </w:rPr>
        <w:t>根据①财税</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111</w:t>
      </w:r>
      <w:r>
        <w:rPr>
          <w:rFonts w:hint="eastAsia" w:ascii="宋体" w:hAnsi="宋体" w:eastAsia="宋体" w:cs="宋体"/>
          <w:sz w:val="21"/>
        </w:rPr>
        <w:t xml:space="preserve"> 号文之附件</w:t>
      </w:r>
      <w:r>
        <w:rPr>
          <w:rFonts w:hint="eastAsia" w:ascii="Times New Roman" w:hAnsi="Times New Roman" w:eastAsia="Times New Roman" w:cs="Times New Roman"/>
          <w:sz w:val="21"/>
        </w:rPr>
        <w:t xml:space="preserve"> 3</w:t>
      </w:r>
      <w:r>
        <w:rPr>
          <w:rFonts w:hint="eastAsia" w:ascii="宋体" w:hAnsi="宋体" w:eastAsia="宋体" w:cs="宋体"/>
          <w:sz w:val="20"/>
        </w:rPr>
        <w:t>《</w:t>
      </w:r>
      <w:r>
        <w:rPr>
          <w:rFonts w:hint="eastAsia" w:ascii="宋体" w:hAnsi="宋体" w:eastAsia="宋体" w:cs="宋体"/>
          <w:sz w:val="21"/>
        </w:rPr>
        <w:t>交通运输业和部分现代服务业营业税改征增值税试点过渡政策的规定</w:t>
      </w:r>
      <w:r>
        <w:rPr>
          <w:rFonts w:hint="eastAsia" w:ascii="宋体" w:hAnsi="宋体" w:eastAsia="宋体" w:cs="宋体"/>
          <w:sz w:val="20"/>
        </w:rPr>
        <w:t>》、</w:t>
      </w:r>
      <w:r>
        <w:rPr>
          <w:rFonts w:hint="eastAsia" w:ascii="宋体" w:hAnsi="宋体" w:eastAsia="宋体" w:cs="宋体"/>
          <w:sz w:val="21"/>
        </w:rPr>
        <w:t>②财税</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r>
        <w:rPr>
          <w:rFonts w:hint="eastAsia" w:ascii="宋体" w:hAnsi="宋体" w:eastAsia="宋体" w:cs="宋体"/>
          <w:sz w:val="21"/>
        </w:rPr>
        <w:t xml:space="preserve"> 号文之三</w:t>
      </w:r>
      <w:r>
        <w:rPr>
          <w:rFonts w:hint="eastAsia" w:ascii="宋体" w:hAnsi="宋体" w:eastAsia="宋体" w:cs="宋体"/>
          <w:sz w:val="10"/>
        </w:rPr>
        <w:t>、</w:t>
      </w:r>
      <w:r>
        <w:rPr>
          <w:rFonts w:hint="eastAsia" w:ascii="宋体" w:hAnsi="宋体" w:eastAsia="宋体" w:cs="宋体"/>
          <w:sz w:val="21"/>
        </w:rPr>
        <w:t>试点地区自新旧税制转换之日起</w:t>
      </w:r>
      <w:r>
        <w:rPr>
          <w:rFonts w:hint="eastAsia" w:ascii="宋体" w:hAnsi="宋体" w:eastAsia="宋体" w:cs="宋体"/>
          <w:sz w:val="10"/>
        </w:rPr>
        <w:t>，</w:t>
      </w:r>
      <w:r>
        <w:rPr>
          <w:rFonts w:hint="eastAsia" w:ascii="宋体" w:hAnsi="宋体" w:eastAsia="宋体" w:cs="宋体"/>
          <w:sz w:val="21"/>
        </w:rPr>
        <w:t>适用</w:t>
      </w:r>
      <w:r>
        <w:rPr>
          <w:rFonts w:hint="eastAsia" w:ascii="宋体" w:hAnsi="宋体" w:eastAsia="宋体" w:cs="宋体"/>
          <w:sz w:val="20"/>
        </w:rPr>
        <w:t>《</w:t>
      </w:r>
      <w:r>
        <w:rPr>
          <w:rFonts w:hint="eastAsia" w:ascii="宋体" w:hAnsi="宋体" w:eastAsia="宋体" w:cs="宋体"/>
          <w:sz w:val="21"/>
        </w:rPr>
        <w:t>交通运输业和部分现代服务业营业税改征增值税试点过渡政策的规定</w:t>
      </w:r>
      <w:r>
        <w:rPr>
          <w:rFonts w:hint="eastAsia" w:ascii="宋体" w:hAnsi="宋体" w:eastAsia="宋体" w:cs="宋体"/>
          <w:sz w:val="20"/>
        </w:rPr>
        <w:t>》</w:t>
      </w:r>
      <w:r>
        <w:rPr>
          <w:rFonts w:hint="eastAsia" w:ascii="宋体" w:hAnsi="宋体" w:eastAsia="宋体" w:cs="宋体"/>
          <w:sz w:val="21"/>
        </w:rPr>
        <w:t>及③闽国税公告</w:t>
      </w:r>
      <w:r>
        <w:rPr>
          <w:rFonts w:hint="eastAsia" w:ascii="宋体" w:hAnsi="宋体" w:eastAsia="宋体" w:cs="宋体"/>
          <w:sz w:val="20"/>
        </w:rPr>
        <w:t>（</w:t>
      </w:r>
      <w:r>
        <w:rPr>
          <w:rFonts w:hint="eastAsia" w:ascii="Times New Roman" w:hAnsi="Times New Roman" w:eastAsia="Times New Roman" w:cs="Times New Roman"/>
          <w:sz w:val="21"/>
        </w:rPr>
        <w:t>2012</w:t>
      </w:r>
      <w:r>
        <w:rPr>
          <w:rFonts w:hint="eastAsia" w:ascii="宋体" w:hAnsi="宋体" w:eastAsia="宋体" w:cs="宋体"/>
          <w:sz w:val="20"/>
        </w:rPr>
        <w:t>）</w:t>
      </w:r>
      <w:r>
        <w:rPr>
          <w:rFonts w:hint="eastAsia" w:ascii="Times New Roman" w:hAnsi="Times New Roman" w:eastAsia="Times New Roman" w:cs="Times New Roman"/>
          <w:sz w:val="21"/>
        </w:rPr>
        <w:t>6</w:t>
      </w:r>
      <w:r>
        <w:rPr>
          <w:rFonts w:hint="eastAsia" w:ascii="宋体" w:hAnsi="宋体" w:eastAsia="宋体" w:cs="宋体"/>
          <w:sz w:val="21"/>
        </w:rPr>
        <w:t xml:space="preserve"> 号文的规定</w:t>
      </w:r>
      <w:r>
        <w:rPr>
          <w:rFonts w:hint="eastAsia" w:ascii="宋体" w:hAnsi="宋体" w:eastAsia="宋体" w:cs="宋体"/>
          <w:sz w:val="10"/>
        </w:rPr>
        <w:t>，</w:t>
      </w:r>
      <w:r>
        <w:rPr>
          <w:rFonts w:hint="eastAsia" w:ascii="宋体" w:hAnsi="宋体" w:eastAsia="宋体" w:cs="宋体"/>
          <w:sz w:val="21"/>
        </w:rPr>
        <w:t>经省级科技主管部门进行认定</w:t>
      </w:r>
      <w:r>
        <w:rPr>
          <w:rFonts w:hint="eastAsia" w:ascii="宋体" w:hAnsi="宋体" w:eastAsia="宋体" w:cs="宋体"/>
          <w:sz w:val="10"/>
        </w:rPr>
        <w:t>，</w:t>
      </w:r>
      <w:r>
        <w:rPr>
          <w:rFonts w:hint="eastAsia" w:ascii="宋体" w:hAnsi="宋体" w:eastAsia="宋体" w:cs="宋体"/>
          <w:sz w:val="21"/>
        </w:rPr>
        <w:t>并经审核批准后</w:t>
      </w:r>
      <w:r>
        <w:rPr>
          <w:rFonts w:hint="eastAsia" w:ascii="宋体" w:hAnsi="宋体" w:eastAsia="宋体" w:cs="宋体"/>
          <w:sz w:val="10"/>
        </w:rPr>
        <w:t>，</w:t>
      </w:r>
      <w:r>
        <w:rPr>
          <w:rFonts w:hint="eastAsia" w:ascii="宋体" w:hAnsi="宋体" w:eastAsia="宋体" w:cs="宋体"/>
          <w:sz w:val="21"/>
        </w:rPr>
        <w:t>提供技术转让</w:t>
      </w:r>
      <w:r>
        <w:rPr>
          <w:rFonts w:hint="eastAsia" w:ascii="宋体" w:hAnsi="宋体" w:eastAsia="宋体" w:cs="宋体"/>
          <w:sz w:val="10"/>
        </w:rPr>
        <w:t>、</w:t>
      </w:r>
      <w:r>
        <w:rPr>
          <w:rFonts w:hint="eastAsia" w:ascii="宋体" w:hAnsi="宋体" w:eastAsia="宋体" w:cs="宋体"/>
          <w:sz w:val="21"/>
        </w:rPr>
        <w:t>技术开发和与之相关的技术咨询</w:t>
      </w:r>
      <w:r>
        <w:rPr>
          <w:rFonts w:hint="eastAsia" w:ascii="宋体" w:hAnsi="宋体" w:eastAsia="宋体" w:cs="宋体"/>
          <w:sz w:val="10"/>
        </w:rPr>
        <w:t>、</w:t>
      </w:r>
      <w:r>
        <w:rPr>
          <w:rFonts w:hint="eastAsia" w:ascii="宋体" w:hAnsi="宋体" w:eastAsia="宋体" w:cs="宋体"/>
          <w:sz w:val="21"/>
        </w:rPr>
        <w:t>技术服务免征增值税</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right="1200" w:firstLine="420"/>
        <w:jc w:val="both"/>
      </w:pPr>
      <w:r>
        <w:rPr>
          <w:rFonts w:hint="eastAsia" w:ascii="宋体" w:hAnsi="宋体" w:eastAsia="宋体" w:cs="宋体"/>
          <w:sz w:val="21"/>
        </w:rPr>
        <w:t>公司持有福州市科学技术委员会颁发的</w:t>
      </w:r>
      <w:r>
        <w:rPr>
          <w:rFonts w:hint="eastAsia" w:ascii="宋体" w:hAnsi="宋体" w:eastAsia="宋体" w:cs="宋体"/>
          <w:sz w:val="20"/>
        </w:rPr>
        <w:t>《</w:t>
      </w:r>
      <w:r>
        <w:rPr>
          <w:rFonts w:hint="eastAsia" w:ascii="宋体" w:hAnsi="宋体" w:eastAsia="宋体" w:cs="宋体"/>
          <w:sz w:val="21"/>
        </w:rPr>
        <w:t>福建省技术贸易机构资格证</w:t>
      </w:r>
      <w:r>
        <w:rPr>
          <w:rFonts w:hint="eastAsia" w:ascii="宋体" w:hAnsi="宋体" w:eastAsia="宋体" w:cs="宋体"/>
          <w:sz w:val="20"/>
        </w:rPr>
        <w:t>》（</w:t>
      </w:r>
      <w:r>
        <w:rPr>
          <w:rFonts w:hint="eastAsia" w:ascii="宋体" w:hAnsi="宋体" w:eastAsia="宋体" w:cs="宋体"/>
          <w:sz w:val="21"/>
        </w:rPr>
        <w:t>证书编号</w:t>
      </w:r>
      <w:r>
        <w:rPr>
          <w:rFonts w:hint="eastAsia" w:ascii="宋体" w:hAnsi="宋体" w:eastAsia="宋体" w:cs="宋体"/>
          <w:sz w:val="10"/>
        </w:rPr>
        <w:t>：</w:t>
      </w:r>
      <w:r>
        <w:rPr>
          <w:rFonts w:hint="eastAsia" w:ascii="宋体" w:hAnsi="宋体" w:eastAsia="宋体" w:cs="宋体"/>
          <w:sz w:val="21"/>
        </w:rPr>
        <w:t>闽科市字</w:t>
      </w:r>
      <w:r>
        <w:rPr>
          <w:rFonts w:hint="eastAsia" w:ascii="Times New Roman" w:hAnsi="Times New Roman" w:eastAsia="Times New Roman" w:cs="Times New Roman"/>
          <w:sz w:val="21"/>
        </w:rPr>
        <w:t>A-990013</w:t>
      </w:r>
      <w:r>
        <w:rPr>
          <w:rFonts w:hint="eastAsia" w:ascii="宋体" w:hAnsi="宋体" w:eastAsia="宋体" w:cs="宋体"/>
          <w:sz w:val="21"/>
        </w:rPr>
        <w:t xml:space="preserve"> 号</w:t>
      </w:r>
      <w:r>
        <w:rPr>
          <w:rFonts w:hint="eastAsia" w:ascii="宋体" w:hAnsi="宋体" w:eastAsia="宋体" w:cs="宋体"/>
          <w:sz w:val="20"/>
        </w:rPr>
        <w:t>）</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2013</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5</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14</w:t>
      </w:r>
      <w:r>
        <w:rPr>
          <w:rFonts w:hint="eastAsia" w:ascii="宋体" w:hAnsi="宋体" w:eastAsia="宋体" w:cs="宋体"/>
          <w:sz w:val="21"/>
        </w:rPr>
        <w:t xml:space="preserve"> 日换发证书</w:t>
      </w:r>
      <w:r>
        <w:rPr>
          <w:rFonts w:hint="eastAsia" w:ascii="宋体" w:hAnsi="宋体" w:eastAsia="宋体" w:cs="宋体"/>
          <w:sz w:val="20"/>
        </w:rPr>
        <w:t>（</w:t>
      </w:r>
      <w:r>
        <w:rPr>
          <w:rFonts w:hint="eastAsia" w:ascii="宋体" w:hAnsi="宋体" w:eastAsia="宋体" w:cs="宋体"/>
          <w:sz w:val="21"/>
        </w:rPr>
        <w:t>证书编号</w:t>
      </w:r>
      <w:r>
        <w:rPr>
          <w:rFonts w:hint="eastAsia" w:ascii="宋体" w:hAnsi="宋体" w:eastAsia="宋体" w:cs="宋体"/>
          <w:sz w:val="12"/>
        </w:rPr>
        <w:t>：</w:t>
      </w:r>
      <w:r>
        <w:rPr>
          <w:rFonts w:hint="eastAsia" w:ascii="宋体" w:hAnsi="宋体" w:eastAsia="宋体" w:cs="宋体"/>
          <w:sz w:val="21"/>
        </w:rPr>
        <w:t>闽科市字</w:t>
      </w:r>
      <w:r>
        <w:rPr>
          <w:rFonts w:hint="eastAsia" w:ascii="Times New Roman" w:hAnsi="Times New Roman" w:eastAsia="Times New Roman" w:cs="Times New Roman"/>
          <w:sz w:val="21"/>
        </w:rPr>
        <w:t xml:space="preserve"> k2013-088</w:t>
      </w:r>
      <w:r>
        <w:rPr>
          <w:rFonts w:hint="eastAsia" w:ascii="宋体" w:hAnsi="宋体" w:eastAsia="宋体" w:cs="宋体"/>
          <w:sz w:val="21"/>
        </w:rPr>
        <w:t xml:space="preserve"> 号</w:t>
      </w:r>
      <w:r>
        <w:rPr>
          <w:rFonts w:hint="eastAsia" w:ascii="宋体" w:hAnsi="宋体" w:eastAsia="宋体" w:cs="宋体"/>
          <w:sz w:val="20"/>
        </w:rPr>
        <w:t>）；</w:t>
      </w:r>
      <w:r>
        <w:rPr>
          <w:rFonts w:hint="eastAsia" w:ascii="宋体" w:hAnsi="宋体" w:eastAsia="宋体" w:cs="宋体"/>
          <w:sz w:val="21"/>
        </w:rPr>
        <w:t>全资子公司顶点数码公司持有福州市科学技术委员会颁发的</w:t>
      </w:r>
      <w:r>
        <w:rPr>
          <w:rFonts w:hint="eastAsia" w:ascii="宋体" w:hAnsi="宋体" w:eastAsia="宋体" w:cs="宋体"/>
          <w:sz w:val="20"/>
        </w:rPr>
        <w:t>《</w:t>
      </w:r>
      <w:r>
        <w:rPr>
          <w:rFonts w:hint="eastAsia" w:ascii="宋体" w:hAnsi="宋体" w:eastAsia="宋体" w:cs="宋体"/>
          <w:sz w:val="21"/>
        </w:rPr>
        <w:t>技术贸易机构资格证</w:t>
      </w:r>
      <w:r>
        <w:rPr>
          <w:rFonts w:hint="eastAsia" w:ascii="宋体" w:hAnsi="宋体" w:eastAsia="宋体" w:cs="宋体"/>
          <w:spacing w:val="-60"/>
          <w:sz w:val="20"/>
        </w:rPr>
        <w:t>》</w:t>
      </w:r>
      <w:r>
        <w:rPr>
          <w:rFonts w:hint="eastAsia" w:ascii="宋体" w:hAnsi="宋体" w:eastAsia="宋体" w:cs="宋体"/>
          <w:sz w:val="20"/>
        </w:rPr>
        <w:t>（</w:t>
      </w:r>
      <w:r>
        <w:rPr>
          <w:rFonts w:hint="eastAsia" w:ascii="宋体" w:hAnsi="宋体" w:eastAsia="宋体" w:cs="宋体"/>
          <w:sz w:val="21"/>
        </w:rPr>
        <w:t>证书编号</w:t>
      </w:r>
      <w:r>
        <w:rPr>
          <w:rFonts w:hint="eastAsia" w:ascii="宋体" w:hAnsi="宋体" w:eastAsia="宋体" w:cs="宋体"/>
          <w:sz w:val="10"/>
        </w:rPr>
        <w:t>：</w:t>
      </w:r>
      <w:r>
        <w:rPr>
          <w:rFonts w:hint="eastAsia" w:ascii="宋体" w:hAnsi="宋体" w:eastAsia="宋体" w:cs="宋体"/>
          <w:sz w:val="21"/>
        </w:rPr>
        <w:t>闽科市字</w:t>
      </w:r>
      <w:r>
        <w:rPr>
          <w:rFonts w:hint="eastAsia" w:ascii="Times New Roman" w:hAnsi="Times New Roman" w:eastAsia="Times New Roman" w:cs="Times New Roman"/>
          <w:sz w:val="21"/>
        </w:rPr>
        <w:t xml:space="preserve"> A-2001008</w:t>
      </w:r>
      <w:r>
        <w:rPr>
          <w:rFonts w:hint="eastAsia" w:ascii="宋体" w:hAnsi="宋体" w:eastAsia="宋体" w:cs="宋体"/>
          <w:sz w:val="21"/>
        </w:rPr>
        <w:t>号</w:t>
      </w:r>
      <w:r>
        <w:rPr>
          <w:rFonts w:hint="eastAsia" w:ascii="宋体" w:hAnsi="宋体" w:eastAsia="宋体" w:cs="宋体"/>
          <w:sz w:val="20"/>
        </w:rPr>
        <w:t>），</w:t>
      </w:r>
      <w:r>
        <w:rPr>
          <w:rFonts w:hint="eastAsia" w:ascii="Times New Roman" w:hAnsi="Times New Roman" w:eastAsia="Times New Roman" w:cs="Times New Roman"/>
          <w:sz w:val="21"/>
        </w:rPr>
        <w:t>2013</w:t>
      </w:r>
      <w:r>
        <w:rPr>
          <w:rFonts w:hint="eastAsia" w:ascii="宋体" w:hAnsi="宋体" w:eastAsia="宋体" w:cs="宋体"/>
          <w:sz w:val="21"/>
        </w:rPr>
        <w:t xml:space="preserve"> 年</w:t>
      </w:r>
      <w:r>
        <w:rPr>
          <w:rFonts w:hint="eastAsia" w:ascii="Times New Roman" w:hAnsi="Times New Roman" w:eastAsia="Times New Roman" w:cs="Times New Roman"/>
          <w:sz w:val="21"/>
        </w:rPr>
        <w:t xml:space="preserve"> 5</w:t>
      </w:r>
      <w:r>
        <w:rPr>
          <w:rFonts w:hint="eastAsia" w:ascii="宋体" w:hAnsi="宋体" w:eastAsia="宋体" w:cs="宋体"/>
          <w:sz w:val="21"/>
        </w:rPr>
        <w:t xml:space="preserve"> 月</w:t>
      </w:r>
      <w:r>
        <w:rPr>
          <w:rFonts w:hint="eastAsia" w:ascii="Times New Roman" w:hAnsi="Times New Roman" w:eastAsia="Times New Roman" w:cs="Times New Roman"/>
          <w:sz w:val="21"/>
        </w:rPr>
        <w:t xml:space="preserve"> 14</w:t>
      </w:r>
      <w:r>
        <w:rPr>
          <w:rFonts w:hint="eastAsia" w:ascii="宋体" w:hAnsi="宋体" w:eastAsia="宋体" w:cs="宋体"/>
          <w:sz w:val="21"/>
        </w:rPr>
        <w:t xml:space="preserve"> 日换发证书</w:t>
      </w:r>
      <w:r>
        <w:rPr>
          <w:rFonts w:hint="eastAsia" w:ascii="宋体" w:hAnsi="宋体" w:eastAsia="宋体" w:cs="宋体"/>
          <w:sz w:val="20"/>
        </w:rPr>
        <w:t>（</w:t>
      </w:r>
      <w:r>
        <w:rPr>
          <w:rFonts w:hint="eastAsia" w:ascii="宋体" w:hAnsi="宋体" w:eastAsia="宋体" w:cs="宋体"/>
          <w:sz w:val="21"/>
        </w:rPr>
        <w:t>证书编号</w:t>
      </w:r>
      <w:r>
        <w:rPr>
          <w:rFonts w:hint="eastAsia" w:ascii="宋体" w:hAnsi="宋体" w:eastAsia="宋体" w:cs="宋体"/>
          <w:sz w:val="10"/>
        </w:rPr>
        <w:t>：</w:t>
      </w:r>
      <w:r>
        <w:rPr>
          <w:rFonts w:hint="eastAsia" w:ascii="宋体" w:hAnsi="宋体" w:eastAsia="宋体" w:cs="宋体"/>
          <w:sz w:val="21"/>
        </w:rPr>
        <w:t>闽科市字</w:t>
      </w:r>
      <w:r>
        <w:rPr>
          <w:rFonts w:hint="eastAsia" w:ascii="Times New Roman" w:hAnsi="Times New Roman" w:eastAsia="Times New Roman" w:cs="Times New Roman"/>
          <w:sz w:val="21"/>
        </w:rPr>
        <w:t xml:space="preserve"> k2013-089</w:t>
      </w:r>
      <w:r>
        <w:rPr>
          <w:rFonts w:hint="eastAsia" w:ascii="宋体" w:hAnsi="宋体" w:eastAsia="宋体" w:cs="宋体"/>
          <w:sz w:val="21"/>
        </w:rPr>
        <w:t xml:space="preserve"> 号</w:t>
      </w:r>
      <w:r>
        <w:rPr>
          <w:rFonts w:hint="eastAsia" w:ascii="宋体" w:hAnsi="宋体" w:eastAsia="宋体" w:cs="宋体"/>
          <w:sz w:val="20"/>
        </w:rPr>
        <w:t>）；</w:t>
      </w:r>
      <w:r>
        <w:rPr>
          <w:rFonts w:hint="eastAsia" w:ascii="宋体" w:hAnsi="宋体" w:eastAsia="宋体" w:cs="宋体"/>
          <w:sz w:val="21"/>
        </w:rPr>
        <w:t>控股子公司顶点信息公司持有福建省科学技术厅颁发的</w:t>
      </w:r>
      <w:r>
        <w:rPr>
          <w:rFonts w:hint="eastAsia" w:ascii="宋体" w:hAnsi="宋体" w:eastAsia="宋体" w:cs="宋体"/>
          <w:sz w:val="20"/>
        </w:rPr>
        <w:t>《</w:t>
      </w:r>
      <w:r>
        <w:rPr>
          <w:rFonts w:hint="eastAsia" w:ascii="宋体" w:hAnsi="宋体" w:eastAsia="宋体" w:cs="宋体"/>
          <w:sz w:val="21"/>
        </w:rPr>
        <w:t>福建省技术贸易机构资格证</w:t>
      </w:r>
      <w:r>
        <w:rPr>
          <w:rFonts w:hint="eastAsia" w:ascii="宋体" w:hAnsi="宋体" w:eastAsia="宋体" w:cs="宋体"/>
          <w:sz w:val="20"/>
        </w:rPr>
        <w:t>》（</w:t>
      </w:r>
      <w:r>
        <w:rPr>
          <w:rFonts w:hint="eastAsia" w:ascii="宋体" w:hAnsi="宋体" w:eastAsia="宋体" w:cs="宋体"/>
          <w:sz w:val="21"/>
        </w:rPr>
        <w:t>证书编号</w:t>
      </w:r>
      <w:r>
        <w:rPr>
          <w:rFonts w:hint="eastAsia" w:ascii="宋体" w:hAnsi="宋体" w:eastAsia="宋体" w:cs="宋体"/>
          <w:sz w:val="10"/>
        </w:rPr>
        <w:t>：</w:t>
      </w:r>
      <w:r>
        <w:rPr>
          <w:rFonts w:hint="eastAsia" w:ascii="宋体" w:hAnsi="宋体" w:eastAsia="宋体" w:cs="宋体"/>
          <w:sz w:val="21"/>
        </w:rPr>
        <w:t>闽科市字</w:t>
      </w:r>
      <w:r>
        <w:rPr>
          <w:rFonts w:hint="eastAsia" w:ascii="Times New Roman" w:hAnsi="Times New Roman" w:eastAsia="Times New Roman" w:cs="Times New Roman"/>
          <w:sz w:val="21"/>
        </w:rPr>
        <w:t xml:space="preserve"> K2013-066</w:t>
      </w:r>
      <w:r>
        <w:rPr>
          <w:rFonts w:hint="eastAsia" w:ascii="宋体" w:hAnsi="宋体" w:eastAsia="宋体" w:cs="宋体"/>
          <w:sz w:val="21"/>
        </w:rPr>
        <w:t xml:space="preserve"> 号</w:t>
      </w:r>
      <w:r>
        <w:rPr>
          <w:rFonts w:hint="eastAsia" w:ascii="宋体" w:hAnsi="宋体" w:eastAsia="宋体" w:cs="宋体"/>
          <w:sz w:val="20"/>
        </w:rPr>
        <w:t>）。</w:t>
      </w:r>
    </w:p>
    <w:p>
      <w:pPr>
        <w:spacing w:line="200" w:lineRule="exact"/>
        <w:rPr>
          <w:rFonts w:hint="eastAsia" w:ascii="宋体" w:hAnsi="宋体" w:eastAsia="宋体" w:cs="宋体"/>
          <w:sz w:val="20"/>
        </w:rPr>
      </w:pPr>
    </w:p>
    <w:p>
      <w:pPr>
        <w:autoSpaceDE w:val="false"/>
        <w:autoSpaceDN w:val="false"/>
        <w:spacing w:line="400" w:lineRule="exact"/>
        <w:ind w:left="1440" w:right="1200"/>
        <w:jc w:val="both"/>
      </w:pPr>
      <w:r>
        <w:rPr>
          <w:rFonts w:hint="eastAsia" w:ascii="宋体" w:hAnsi="宋体" w:eastAsia="宋体" w:cs="宋体"/>
          <w:sz w:val="21"/>
        </w:rPr>
        <w:t>上述三家公司提供的技术转让</w:t>
      </w:r>
      <w:r>
        <w:rPr>
          <w:rFonts w:hint="eastAsia" w:ascii="宋体" w:hAnsi="宋体" w:eastAsia="宋体" w:cs="宋体"/>
          <w:sz w:val="10"/>
        </w:rPr>
        <w:t>、</w:t>
      </w:r>
      <w:r>
        <w:rPr>
          <w:rFonts w:hint="eastAsia" w:ascii="宋体" w:hAnsi="宋体" w:eastAsia="宋体" w:cs="宋体"/>
          <w:sz w:val="21"/>
        </w:rPr>
        <w:t>技术开发和与之相关的技术咨询</w:t>
      </w:r>
      <w:r>
        <w:rPr>
          <w:rFonts w:hint="eastAsia" w:ascii="宋体" w:hAnsi="宋体" w:eastAsia="宋体" w:cs="宋体"/>
          <w:sz w:val="10"/>
        </w:rPr>
        <w:t>、</w:t>
      </w:r>
      <w:r>
        <w:rPr>
          <w:rFonts w:hint="eastAsia" w:ascii="宋体" w:hAnsi="宋体" w:eastAsia="宋体" w:cs="宋体"/>
          <w:sz w:val="21"/>
        </w:rPr>
        <w:t>技术服务在经省级科技主管部门进行认定</w:t>
      </w:r>
      <w:r>
        <w:rPr>
          <w:rFonts w:hint="eastAsia" w:ascii="宋体" w:hAnsi="宋体" w:eastAsia="宋体" w:cs="宋体"/>
          <w:sz w:val="10"/>
        </w:rPr>
        <w:t>，</w:t>
      </w:r>
      <w:r>
        <w:rPr>
          <w:rFonts w:hint="eastAsia" w:ascii="宋体" w:hAnsi="宋体" w:eastAsia="宋体" w:cs="宋体"/>
          <w:sz w:val="21"/>
        </w:rPr>
        <w:t>并经审核批准后</w:t>
      </w:r>
      <w:r>
        <w:rPr>
          <w:rFonts w:hint="eastAsia" w:ascii="宋体" w:hAnsi="宋体" w:eastAsia="宋体" w:cs="宋体"/>
          <w:sz w:val="10"/>
        </w:rPr>
        <w:t>，“</w:t>
      </w:r>
      <w:r>
        <w:rPr>
          <w:rFonts w:hint="eastAsia" w:ascii="宋体" w:hAnsi="宋体" w:eastAsia="宋体" w:cs="宋体"/>
          <w:sz w:val="21"/>
        </w:rPr>
        <w:t>营改增</w:t>
      </w:r>
      <w:r>
        <w:rPr>
          <w:rFonts w:hint="eastAsia" w:ascii="宋体" w:hAnsi="宋体" w:eastAsia="宋体" w:cs="宋体"/>
          <w:sz w:val="10"/>
        </w:rPr>
        <w:t>”</w:t>
      </w:r>
      <w:r>
        <w:rPr>
          <w:rFonts w:hint="eastAsia" w:ascii="宋体" w:hAnsi="宋体" w:eastAsia="宋体" w:cs="宋体"/>
          <w:sz w:val="21"/>
        </w:rPr>
        <w:t>之前</w:t>
      </w:r>
      <w:r>
        <w:rPr>
          <w:rFonts w:hint="eastAsia" w:ascii="宋体" w:hAnsi="宋体" w:eastAsia="宋体" w:cs="宋体"/>
          <w:sz w:val="10"/>
        </w:rPr>
        <w:t>，</w:t>
      </w:r>
      <w:r>
        <w:rPr>
          <w:rFonts w:hint="eastAsia" w:ascii="宋体" w:hAnsi="宋体" w:eastAsia="宋体" w:cs="宋体"/>
          <w:sz w:val="21"/>
        </w:rPr>
        <w:t>相关收入免征营业税</w:t>
      </w:r>
      <w:r>
        <w:rPr>
          <w:rFonts w:hint="eastAsia" w:ascii="宋体" w:hAnsi="宋体" w:eastAsia="宋体" w:cs="宋体"/>
          <w:sz w:val="10"/>
        </w:rPr>
        <w:t>，“</w:t>
      </w:r>
      <w:r>
        <w:rPr>
          <w:rFonts w:hint="eastAsia" w:ascii="宋体" w:hAnsi="宋体" w:eastAsia="宋体" w:cs="宋体"/>
          <w:sz w:val="21"/>
        </w:rPr>
        <w:t>营改增</w:t>
      </w:r>
      <w:r>
        <w:rPr>
          <w:rFonts w:hint="eastAsia" w:ascii="宋体" w:hAnsi="宋体" w:eastAsia="宋体" w:cs="宋体"/>
          <w:sz w:val="10"/>
        </w:rPr>
        <w:t>”</w:t>
      </w:r>
      <w:r>
        <w:rPr>
          <w:rFonts w:hint="eastAsia" w:ascii="宋体" w:hAnsi="宋体" w:eastAsia="宋体" w:cs="宋体"/>
          <w:sz w:val="21"/>
        </w:rPr>
        <w:t>之后</w:t>
      </w:r>
      <w:r>
        <w:rPr>
          <w:rFonts w:hint="eastAsia" w:ascii="宋体" w:hAnsi="宋体" w:eastAsia="宋体" w:cs="宋体"/>
          <w:sz w:val="10"/>
        </w:rPr>
        <w:t>，</w:t>
      </w:r>
      <w:r>
        <w:rPr>
          <w:rFonts w:hint="eastAsia" w:ascii="宋体" w:hAnsi="宋体" w:eastAsia="宋体" w:cs="宋体"/>
          <w:sz w:val="21"/>
        </w:rPr>
        <w:t>相关收入免征增值税</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0"/>
        </w:rPr>
        <w:t>（二）</w:t>
      </w:r>
      <w:r>
        <w:rPr>
          <w:rFonts w:hint="eastAsia" w:ascii="宋体" w:hAnsi="宋体" w:eastAsia="宋体" w:cs="宋体"/>
          <w:b/>
          <w:sz w:val="24"/>
        </w:rPr>
        <w:t>主要税种减免情况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增值税</w:t>
      </w:r>
    </w:p>
    <w:p>
      <w:pPr>
        <w:spacing w:line="200" w:lineRule="exact"/>
        <w:rPr>
          <w:rFonts w:hint="eastAsia" w:ascii="宋体" w:hAnsi="宋体" w:eastAsia="宋体" w:cs="宋体"/>
          <w:sz w:val="20"/>
        </w:rPr>
      </w:pPr>
    </w:p>
    <w:p>
      <w:pPr>
        <w:autoSpaceDE w:val="false"/>
        <w:autoSpaceDN w:val="false"/>
        <w:spacing w:line="440" w:lineRule="exact"/>
        <w:ind w:left="1440" w:right="1300" w:firstLine="480"/>
        <w:jc w:val="both"/>
      </w:pPr>
      <w:r>
        <w:rPr>
          <w:rFonts w:hint="eastAsia" w:ascii="宋体" w:hAnsi="宋体" w:eastAsia="宋体" w:cs="宋体"/>
          <w:sz w:val="24"/>
        </w:rPr>
        <w:t>根据《财政部</w:t>
      </w:r>
      <w:r>
        <w:rPr>
          <w:rFonts w:hint="eastAsia" w:ascii="宋体" w:hAnsi="宋体" w:eastAsia="宋体" w:cs="宋体"/>
          <w:sz w:val="10"/>
        </w:rPr>
        <w:t>、</w:t>
      </w:r>
      <w:r>
        <w:rPr>
          <w:rFonts w:hint="eastAsia" w:ascii="宋体" w:hAnsi="宋体" w:eastAsia="宋体" w:cs="宋体"/>
          <w:sz w:val="24"/>
        </w:rPr>
        <w:t>国家税务总局关于软件产品增值税政策的通知》（</w:t>
      </w:r>
      <w:r>
        <w:rPr>
          <w:rFonts w:hint="eastAsia" w:ascii="Times New Roman" w:hAnsi="Times New Roman" w:eastAsia="Times New Roman" w:cs="Times New Roman"/>
          <w:sz w:val="24"/>
        </w:rPr>
        <w:t>[2011]100</w:t>
      </w:r>
      <w:r>
        <w:rPr>
          <w:rFonts w:hint="eastAsia" w:ascii="宋体" w:hAnsi="宋体" w:eastAsia="宋体" w:cs="宋体"/>
          <w:sz w:val="24"/>
        </w:rPr>
        <w:t xml:space="preserve"> 号），</w:t>
      </w:r>
      <w:r>
        <w:rPr>
          <w:rFonts w:hint="eastAsia" w:ascii="宋体" w:hAnsi="宋体" w:eastAsia="宋体" w:cs="宋体"/>
          <w:sz w:val="24"/>
        </w:rPr>
        <w:t>增值税</w:t>
      </w:r>
      <w:r>
        <w:rPr>
          <w:rFonts w:hint="eastAsia" w:ascii="宋体" w:hAnsi="宋体" w:eastAsia="宋体" w:cs="宋体"/>
          <w:sz w:val="10"/>
        </w:rPr>
        <w:t>一</w:t>
      </w:r>
      <w:r>
        <w:rPr>
          <w:rFonts w:hint="eastAsia" w:ascii="宋体" w:hAnsi="宋体" w:eastAsia="宋体" w:cs="宋体"/>
          <w:sz w:val="24"/>
        </w:rPr>
        <w:t>般纳税人销售其自行开发生产的软件产品</w:t>
      </w:r>
      <w:r>
        <w:rPr>
          <w:rFonts w:hint="eastAsia" w:ascii="宋体" w:hAnsi="宋体" w:eastAsia="宋体" w:cs="宋体"/>
          <w:sz w:val="10"/>
        </w:rPr>
        <w:t>，</w:t>
      </w:r>
      <w:r>
        <w:rPr>
          <w:rFonts w:hint="eastAsia" w:ascii="宋体" w:hAnsi="宋体" w:eastAsia="宋体" w:cs="宋体"/>
          <w:sz w:val="24"/>
        </w:rPr>
        <w:t>按</w:t>
      </w:r>
      <w:r>
        <w:rPr>
          <w:rFonts w:hint="eastAsia" w:ascii="Times New Roman" w:hAnsi="Times New Roman" w:eastAsia="Times New Roman" w:cs="Times New Roman"/>
          <w:sz w:val="24"/>
        </w:rPr>
        <w:t xml:space="preserve"> 17%</w:t>
      </w:r>
      <w:r>
        <w:rPr>
          <w:rFonts w:hint="eastAsia" w:ascii="宋体" w:hAnsi="宋体" w:eastAsia="宋体" w:cs="宋体"/>
          <w:sz w:val="24"/>
        </w:rPr>
        <w:t>的法定税率征收增值税后</w:t>
      </w:r>
      <w:r>
        <w:rPr>
          <w:rFonts w:hint="eastAsia" w:ascii="宋体" w:hAnsi="宋体" w:eastAsia="宋体" w:cs="宋体"/>
          <w:sz w:val="10"/>
        </w:rPr>
        <w:t>，</w:t>
      </w:r>
      <w:r>
        <w:rPr>
          <w:rFonts w:hint="eastAsia" w:ascii="宋体" w:hAnsi="宋体" w:eastAsia="宋体" w:cs="宋体"/>
          <w:sz w:val="24"/>
        </w:rPr>
        <w:t>对其增值税实际税负超过</w:t>
      </w:r>
      <w:r>
        <w:rPr>
          <w:rFonts w:hint="eastAsia" w:ascii="Times New Roman" w:hAnsi="Times New Roman" w:eastAsia="Times New Roman" w:cs="Times New Roman"/>
          <w:sz w:val="24"/>
        </w:rPr>
        <w:t xml:space="preserve"> 3%</w:t>
      </w:r>
      <w:r>
        <w:rPr>
          <w:rFonts w:hint="eastAsia" w:ascii="宋体" w:hAnsi="宋体" w:eastAsia="宋体" w:cs="宋体"/>
          <w:sz w:val="24"/>
        </w:rPr>
        <w:t>的部分实行即征即退政策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企业所得税</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）高新技术企业所得税优惠</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本公司及其子公司顶点数码</w:t>
      </w:r>
      <w:r>
        <w:rPr>
          <w:rFonts w:hint="eastAsia" w:ascii="宋体" w:hAnsi="宋体" w:eastAsia="宋体" w:cs="宋体"/>
          <w:sz w:val="10"/>
        </w:rPr>
        <w:t>、</w:t>
      </w:r>
      <w:r>
        <w:rPr>
          <w:rFonts w:hint="eastAsia" w:ascii="宋体" w:hAnsi="宋体" w:eastAsia="宋体" w:cs="宋体"/>
          <w:sz w:val="24"/>
        </w:rPr>
        <w:t>北京顶点于</w:t>
      </w:r>
      <w:r>
        <w:rPr>
          <w:rFonts w:hint="eastAsia" w:ascii="Times New Roman" w:hAnsi="Times New Roman" w:eastAsia="Times New Roman" w:cs="Times New Roman"/>
          <w:sz w:val="24"/>
        </w:rPr>
        <w:t xml:space="preserve"> 2008</w:t>
      </w:r>
      <w:r>
        <w:rPr>
          <w:rFonts w:hint="eastAsia" w:ascii="宋体" w:hAnsi="宋体" w:eastAsia="宋体" w:cs="宋体"/>
          <w:sz w:val="24"/>
        </w:rPr>
        <w:t xml:space="preserve"> 年获得《高新技术企业证书》，</w:t>
      </w:r>
      <w:r>
        <w:rPr>
          <w:rFonts w:hint="eastAsia" w:ascii="宋体" w:hAnsi="宋体" w:eastAsia="宋体" w:cs="宋体"/>
          <w:sz w:val="24"/>
        </w:rPr>
        <w:t>并于</w:t>
      </w:r>
      <w:r>
        <w:rPr>
          <w:rFonts w:hint="eastAsia" w:ascii="Times New Roman" w:hAnsi="Times New Roman" w:eastAsia="Times New Roman" w:cs="Times New Roman"/>
          <w:sz w:val="24"/>
        </w:rPr>
        <w:t>2011</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年通过高新技术企业复审并取得了《高新技术企业证书》。</w:t>
      </w:r>
      <w:r>
        <w:rPr>
          <w:rFonts w:hint="eastAsia" w:ascii="宋体" w:hAnsi="宋体" w:eastAsia="宋体" w:cs="宋体"/>
          <w:sz w:val="24"/>
        </w:rPr>
        <w:t>上述公司在有效认定期（</w:t>
      </w:r>
      <w:r>
        <w:rPr>
          <w:rFonts w:hint="eastAsia" w:ascii="Times New Roman" w:hAnsi="Times New Roman" w:eastAsia="Times New Roman" w:cs="Times New Roman"/>
          <w:sz w:val="24"/>
        </w:rPr>
        <w:t>2008</w:t>
      </w:r>
      <w:r>
        <w:rPr>
          <w:rFonts w:hint="eastAsia" w:ascii="宋体" w:hAnsi="宋体" w:eastAsia="宋体" w:cs="宋体"/>
          <w:sz w:val="24"/>
        </w:rPr>
        <w:t xml:space="preserve"> 年</w:t>
      </w:r>
      <w:r>
        <w:rPr>
          <w:rFonts w:hint="eastAsia" w:ascii="Times New Roman" w:hAnsi="Times New Roman" w:eastAsia="Times New Roman" w:cs="Times New Roman"/>
          <w:sz w:val="24"/>
        </w:rPr>
        <w:t>-2016</w:t>
      </w:r>
      <w:r>
        <w:rPr>
          <w:rFonts w:hint="eastAsia" w:ascii="宋体" w:hAnsi="宋体" w:eastAsia="宋体" w:cs="宋体"/>
          <w:sz w:val="24"/>
        </w:rPr>
        <w:t xml:space="preserve"> 年）内享受高新技术企业</w:t>
      </w:r>
      <w:r>
        <w:rPr>
          <w:rFonts w:hint="eastAsia" w:ascii="Times New Roman" w:hAnsi="Times New Roman" w:eastAsia="Times New Roman" w:cs="Times New Roman"/>
          <w:sz w:val="24"/>
        </w:rPr>
        <w:t xml:space="preserve"> 15%</w:t>
      </w:r>
      <w:r>
        <w:rPr>
          <w:rFonts w:hint="eastAsia" w:ascii="宋体" w:hAnsi="宋体" w:eastAsia="宋体" w:cs="宋体"/>
          <w:sz w:val="24"/>
        </w:rPr>
        <w:t>的企业所得税优惠税率</w:t>
      </w:r>
      <w:r>
        <w:rPr>
          <w:rFonts w:hint="eastAsia" w:ascii="宋体" w:hAnsi="宋体" w:eastAsia="宋体" w:cs="宋体"/>
          <w:sz w:val="10"/>
        </w:rPr>
        <w:t>。</w:t>
      </w:r>
      <w:r>
        <w:rPr>
          <w:rFonts w:hint="eastAsia" w:ascii="宋体" w:hAnsi="宋体" w:eastAsia="宋体" w:cs="宋体"/>
          <w:sz w:val="24"/>
        </w:rPr>
        <w:t>本公司子公司顶点信息于</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年获得《高新技术企业证书》，</w:t>
      </w:r>
      <w:r>
        <w:rPr>
          <w:rFonts w:hint="eastAsia" w:ascii="宋体" w:hAnsi="宋体" w:eastAsia="宋体" w:cs="宋体"/>
          <w:sz w:val="24"/>
        </w:rPr>
        <w:t>在有效认定期（</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内享受高新技术企业</w:t>
      </w:r>
      <w:r>
        <w:rPr>
          <w:rFonts w:hint="eastAsia" w:ascii="Times New Roman" w:hAnsi="Times New Roman" w:eastAsia="Times New Roman" w:cs="Times New Roman"/>
          <w:sz w:val="24"/>
        </w:rPr>
        <w:t xml:space="preserve"> 15%</w:t>
      </w:r>
      <w:r>
        <w:rPr>
          <w:rFonts w:hint="eastAsia" w:ascii="宋体" w:hAnsi="宋体" w:eastAsia="宋体" w:cs="宋体"/>
          <w:sz w:val="24"/>
        </w:rPr>
        <w:t>的企业所得税优惠税率</w:t>
      </w:r>
      <w:r>
        <w:rPr>
          <w:rFonts w:hint="eastAsia" w:ascii="宋体" w:hAnsi="宋体" w:eastAsia="宋体" w:cs="宋体"/>
          <w:sz w:val="10"/>
        </w:rPr>
        <w:t>。</w:t>
      </w:r>
      <w:r>
        <w:rPr>
          <w:rFonts w:hint="eastAsia" w:ascii="宋体" w:hAnsi="宋体" w:eastAsia="宋体" w:cs="宋体"/>
          <w:sz w:val="24"/>
        </w:rPr>
        <w:t>本公司子公司武汉顶点于</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年获</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1-1-240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jc w:val="both"/>
      </w:pPr>
      <w:r>
        <w:rPr>
          <w:rFonts w:hint="eastAsia" w:ascii="宋体" w:hAnsi="宋体" w:eastAsia="宋体" w:cs="宋体"/>
          <w:sz w:val="24"/>
        </w:rPr>
        <w:t>得《高新技术企业证书》，</w:t>
      </w:r>
      <w:r>
        <w:rPr>
          <w:rFonts w:hint="eastAsia" w:ascii="宋体" w:hAnsi="宋体" w:eastAsia="宋体" w:cs="宋体"/>
          <w:sz w:val="24"/>
        </w:rPr>
        <w:t>在有效认定期（</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-2018</w:t>
      </w:r>
      <w:r>
        <w:rPr>
          <w:rFonts w:hint="eastAsia" w:ascii="宋体" w:hAnsi="宋体" w:eastAsia="宋体" w:cs="宋体"/>
          <w:sz w:val="24"/>
        </w:rPr>
        <w:t xml:space="preserve"> 年）内享受高新技术企业</w:t>
      </w:r>
      <w:r>
        <w:rPr>
          <w:rFonts w:hint="eastAsia" w:ascii="Times New Roman" w:hAnsi="Times New Roman" w:eastAsia="Times New Roman" w:cs="Times New Roman"/>
          <w:sz w:val="24"/>
        </w:rPr>
        <w:t xml:space="preserve"> 15%</w:t>
      </w:r>
      <w:r>
        <w:rPr>
          <w:rFonts w:hint="eastAsia" w:ascii="宋体" w:hAnsi="宋体" w:eastAsia="宋体" w:cs="宋体"/>
          <w:sz w:val="24"/>
        </w:rPr>
        <w:t>的企业所得税优惠税率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）软件企业所得税优惠</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Times New Roman" w:hAnsi="Times New Roman" w:eastAsia="Times New Roman" w:cs="Times New Roman"/>
          <w:sz w:val="24"/>
        </w:rPr>
        <w:t>2013</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公司经国家发展和改革委员会</w:t>
      </w:r>
      <w:r>
        <w:rPr>
          <w:rFonts w:hint="eastAsia" w:ascii="宋体" w:hAnsi="宋体" w:eastAsia="宋体" w:cs="宋体"/>
          <w:sz w:val="10"/>
        </w:rPr>
        <w:t>、</w:t>
      </w:r>
      <w:r>
        <w:rPr>
          <w:rFonts w:hint="eastAsia" w:ascii="宋体" w:hAnsi="宋体" w:eastAsia="宋体" w:cs="宋体"/>
          <w:sz w:val="24"/>
        </w:rPr>
        <w:t>工业和信息化部</w:t>
      </w:r>
      <w:r>
        <w:rPr>
          <w:rFonts w:hint="eastAsia" w:ascii="宋体" w:hAnsi="宋体" w:eastAsia="宋体" w:cs="宋体"/>
          <w:sz w:val="10"/>
        </w:rPr>
        <w:t>、</w:t>
      </w:r>
      <w:r>
        <w:rPr>
          <w:rFonts w:hint="eastAsia" w:ascii="宋体" w:hAnsi="宋体" w:eastAsia="宋体" w:cs="宋体"/>
          <w:sz w:val="24"/>
        </w:rPr>
        <w:t>财政部</w:t>
      </w:r>
      <w:r>
        <w:rPr>
          <w:rFonts w:hint="eastAsia" w:ascii="宋体" w:hAnsi="宋体" w:eastAsia="宋体" w:cs="宋体"/>
          <w:sz w:val="10"/>
        </w:rPr>
        <w:t>、</w:t>
      </w:r>
      <w:r>
        <w:rPr>
          <w:rFonts w:hint="eastAsia" w:ascii="宋体" w:hAnsi="宋体" w:eastAsia="宋体" w:cs="宋体"/>
          <w:sz w:val="24"/>
        </w:rPr>
        <w:t>商务部</w:t>
      </w:r>
      <w:r>
        <w:rPr>
          <w:rFonts w:hint="eastAsia" w:ascii="宋体" w:hAnsi="宋体" w:eastAsia="宋体" w:cs="宋体"/>
          <w:sz w:val="10"/>
        </w:rPr>
        <w:t>、</w:t>
      </w:r>
      <w:r>
        <w:rPr>
          <w:rFonts w:hint="eastAsia" w:ascii="宋体" w:hAnsi="宋体" w:eastAsia="宋体" w:cs="宋体"/>
          <w:sz w:val="24"/>
        </w:rPr>
        <w:t>国家税务总局联合认定为</w:t>
      </w:r>
      <w:r>
        <w:rPr>
          <w:rFonts w:hint="eastAsia" w:ascii="宋体" w:hAnsi="宋体" w:eastAsia="宋体" w:cs="宋体"/>
          <w:sz w:val="10"/>
        </w:rPr>
        <w:t>“</w:t>
      </w:r>
      <w:r>
        <w:rPr>
          <w:rFonts w:hint="eastAsia" w:ascii="Times New Roman" w:hAnsi="Times New Roman" w:eastAsia="Times New Roman" w:cs="Times New Roman"/>
          <w:sz w:val="24"/>
        </w:rPr>
        <w:t>2013-2014</w:t>
      </w:r>
      <w:r>
        <w:rPr>
          <w:rFonts w:hint="eastAsia" w:ascii="宋体" w:hAnsi="宋体" w:eastAsia="宋体" w:cs="宋体"/>
          <w:sz w:val="24"/>
        </w:rPr>
        <w:t xml:space="preserve"> 年度国家规划布局内重点软件企业（证书编号为</w:t>
      </w:r>
      <w:r>
        <w:rPr>
          <w:rFonts w:hint="eastAsia" w:ascii="Times New Roman" w:hAnsi="Times New Roman" w:eastAsia="Times New Roman" w:cs="Times New Roman"/>
          <w:sz w:val="24"/>
        </w:rPr>
        <w:t>R-2013-091</w:t>
      </w:r>
      <w:r>
        <w:rPr>
          <w:rFonts w:hint="eastAsia" w:ascii="宋体" w:hAnsi="宋体" w:eastAsia="宋体" w:cs="宋体"/>
          <w:sz w:val="24"/>
        </w:rPr>
        <w:t>），</w:t>
      </w:r>
      <w:r>
        <w:rPr>
          <w:rFonts w:hint="eastAsia" w:ascii="宋体" w:hAnsi="宋体" w:eastAsia="宋体" w:cs="宋体"/>
          <w:sz w:val="24"/>
        </w:rPr>
        <w:t>根据《关于进</w:t>
      </w:r>
      <w:r>
        <w:rPr>
          <w:rFonts w:hint="eastAsia" w:ascii="宋体" w:hAnsi="宋体" w:eastAsia="宋体" w:cs="宋体"/>
          <w:sz w:val="10"/>
        </w:rPr>
        <w:t>一</w:t>
      </w:r>
      <w:r>
        <w:rPr>
          <w:rFonts w:hint="eastAsia" w:ascii="宋体" w:hAnsi="宋体" w:eastAsia="宋体" w:cs="宋体"/>
          <w:sz w:val="24"/>
        </w:rPr>
        <w:t>步鼓励软件产业和集成电路产业发展企业所得税政策的通知》（财税</w:t>
      </w:r>
      <w:r>
        <w:rPr>
          <w:rFonts w:hint="eastAsia" w:ascii="Times New Roman" w:hAnsi="Times New Roman" w:eastAsia="Times New Roman" w:cs="Times New Roman"/>
          <w:sz w:val="24"/>
        </w:rPr>
        <w:t>[2012]27</w:t>
      </w:r>
      <w:r>
        <w:rPr>
          <w:rFonts w:hint="eastAsia" w:ascii="宋体" w:hAnsi="宋体" w:eastAsia="宋体" w:cs="宋体"/>
          <w:sz w:val="24"/>
        </w:rPr>
        <w:t xml:space="preserve"> 号）的有关规定</w:t>
      </w:r>
      <w:r>
        <w:rPr>
          <w:rFonts w:hint="eastAsia" w:ascii="宋体" w:hAnsi="宋体" w:eastAsia="宋体" w:cs="宋体"/>
          <w:sz w:val="10"/>
        </w:rPr>
        <w:t>，</w:t>
      </w:r>
      <w:r>
        <w:rPr>
          <w:rFonts w:hint="eastAsia" w:ascii="宋体" w:hAnsi="宋体" w:eastAsia="宋体" w:cs="宋体"/>
          <w:sz w:val="24"/>
        </w:rPr>
        <w:t>国家规划布局内的重点软件企业</w:t>
      </w:r>
      <w:r>
        <w:rPr>
          <w:rFonts w:hint="eastAsia" w:ascii="宋体" w:hAnsi="宋体" w:eastAsia="宋体" w:cs="宋体"/>
          <w:sz w:val="10"/>
        </w:rPr>
        <w:t>，</w:t>
      </w:r>
      <w:r>
        <w:rPr>
          <w:rFonts w:hint="eastAsia" w:ascii="宋体" w:hAnsi="宋体" w:eastAsia="宋体" w:cs="宋体"/>
          <w:sz w:val="24"/>
        </w:rPr>
        <w:t>如当年未享受免税优惠的</w:t>
      </w:r>
      <w:r>
        <w:rPr>
          <w:rFonts w:hint="eastAsia" w:ascii="宋体" w:hAnsi="宋体" w:eastAsia="宋体" w:cs="宋体"/>
          <w:sz w:val="10"/>
        </w:rPr>
        <w:t>，</w:t>
      </w:r>
      <w:r>
        <w:rPr>
          <w:rFonts w:hint="eastAsia" w:ascii="宋体" w:hAnsi="宋体" w:eastAsia="宋体" w:cs="宋体"/>
          <w:sz w:val="24"/>
        </w:rPr>
        <w:t>可减按</w:t>
      </w:r>
      <w:r>
        <w:rPr>
          <w:rFonts w:hint="eastAsia" w:ascii="Times New Roman" w:hAnsi="Times New Roman" w:eastAsia="Times New Roman" w:cs="Times New Roman"/>
          <w:sz w:val="24"/>
        </w:rPr>
        <w:t xml:space="preserve"> 10%</w:t>
      </w:r>
      <w:r>
        <w:rPr>
          <w:rFonts w:hint="eastAsia" w:ascii="宋体" w:hAnsi="宋体" w:eastAsia="宋体" w:cs="宋体"/>
          <w:sz w:val="24"/>
        </w:rPr>
        <w:t>的税率征收企业所得税</w:t>
      </w:r>
      <w:r>
        <w:rPr>
          <w:rFonts w:hint="eastAsia" w:ascii="宋体" w:hAnsi="宋体" w:eastAsia="宋体" w:cs="宋体"/>
          <w:sz w:val="10"/>
        </w:rPr>
        <w:t>，</w:t>
      </w:r>
      <w:r>
        <w:rPr>
          <w:rFonts w:hint="eastAsia" w:ascii="宋体" w:hAnsi="宋体" w:eastAsia="宋体" w:cs="宋体"/>
          <w:sz w:val="24"/>
        </w:rPr>
        <w:t>母公司</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至</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年度按</w:t>
      </w:r>
      <w:r>
        <w:rPr>
          <w:rFonts w:hint="eastAsia" w:ascii="Times New Roman" w:hAnsi="Times New Roman" w:eastAsia="Times New Roman" w:cs="Times New Roman"/>
          <w:sz w:val="24"/>
        </w:rPr>
        <w:t xml:space="preserve"> 10%</w:t>
      </w:r>
      <w:r>
        <w:rPr>
          <w:rFonts w:hint="eastAsia" w:ascii="宋体" w:hAnsi="宋体" w:eastAsia="宋体" w:cs="宋体"/>
          <w:sz w:val="24"/>
        </w:rPr>
        <w:t>缴纳企业所得税</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有关部门取消了关于国家规划布局内的重点软件企业税收优惠资格认定等的非行政许可审批</w:t>
      </w:r>
      <w:r>
        <w:rPr>
          <w:rFonts w:hint="eastAsia" w:ascii="宋体" w:hAnsi="宋体" w:eastAsia="宋体" w:cs="宋体"/>
          <w:sz w:val="10"/>
        </w:rPr>
        <w:t>。</w:t>
      </w:r>
      <w:r>
        <w:rPr>
          <w:rFonts w:hint="eastAsia" w:ascii="宋体" w:hAnsi="宋体" w:eastAsia="宋体" w:cs="宋体"/>
          <w:sz w:val="24"/>
        </w:rPr>
        <w:t>根据有关法规</w:t>
      </w:r>
      <w:r>
        <w:rPr>
          <w:rFonts w:hint="eastAsia" w:ascii="宋体" w:hAnsi="宋体" w:eastAsia="宋体" w:cs="宋体"/>
          <w:sz w:val="10"/>
        </w:rPr>
        <w:t>，</w:t>
      </w:r>
      <w:r>
        <w:rPr>
          <w:rFonts w:hint="eastAsia" w:ascii="宋体" w:hAnsi="宋体" w:eastAsia="宋体" w:cs="宋体"/>
          <w:sz w:val="24"/>
        </w:rPr>
        <w:t>发行人</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年度符合国家规划布局内的重点软件企业的条件</w:t>
      </w:r>
      <w:r>
        <w:rPr>
          <w:rFonts w:hint="eastAsia" w:ascii="宋体" w:hAnsi="宋体" w:eastAsia="宋体" w:cs="宋体"/>
          <w:sz w:val="10"/>
        </w:rPr>
        <w:t>，</w:t>
      </w:r>
      <w:r>
        <w:rPr>
          <w:rFonts w:hint="eastAsia" w:ascii="宋体" w:hAnsi="宋体" w:eastAsia="宋体" w:cs="宋体"/>
          <w:sz w:val="24"/>
        </w:rPr>
        <w:t>可减按</w:t>
      </w:r>
      <w:r>
        <w:rPr>
          <w:rFonts w:hint="eastAsia" w:ascii="Times New Roman" w:hAnsi="Times New Roman" w:eastAsia="Times New Roman" w:cs="Times New Roman"/>
          <w:sz w:val="24"/>
        </w:rPr>
        <w:t xml:space="preserve"> 10%</w:t>
      </w:r>
      <w:r>
        <w:rPr>
          <w:rFonts w:hint="eastAsia" w:ascii="宋体" w:hAnsi="宋体" w:eastAsia="宋体" w:cs="宋体"/>
          <w:sz w:val="24"/>
        </w:rPr>
        <w:t>缴纳企业所得税</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根据</w:t>
      </w:r>
      <w:r>
        <w:rPr>
          <w:rFonts w:hint="eastAsia" w:ascii="Times New Roman" w:hAnsi="Times New Roman" w:eastAsia="Times New Roman" w:cs="Times New Roman"/>
          <w:sz w:val="24"/>
        </w:rPr>
        <w:t xml:space="preserve"> 2008</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22</w:t>
      </w:r>
      <w:r>
        <w:rPr>
          <w:rFonts w:hint="eastAsia" w:ascii="宋体" w:hAnsi="宋体" w:eastAsia="宋体" w:cs="宋体"/>
          <w:sz w:val="24"/>
        </w:rPr>
        <w:t xml:space="preserve"> 日财政部</w:t>
      </w:r>
      <w:r>
        <w:rPr>
          <w:rFonts w:hint="eastAsia" w:ascii="宋体" w:hAnsi="宋体" w:eastAsia="宋体" w:cs="宋体"/>
          <w:sz w:val="10"/>
        </w:rPr>
        <w:t>、</w:t>
      </w:r>
      <w:r>
        <w:rPr>
          <w:rFonts w:hint="eastAsia" w:ascii="宋体" w:hAnsi="宋体" w:eastAsia="宋体" w:cs="宋体"/>
          <w:sz w:val="24"/>
        </w:rPr>
        <w:t>国家税务总局《关于企业所得税若干优惠政策的通知》（财税</w:t>
      </w:r>
      <w:r>
        <w:rPr>
          <w:rFonts w:hint="eastAsia" w:ascii="Times New Roman" w:hAnsi="Times New Roman" w:eastAsia="Times New Roman" w:cs="Times New Roman"/>
          <w:sz w:val="24"/>
        </w:rPr>
        <w:t>[2008]1</w:t>
      </w:r>
      <w:r>
        <w:rPr>
          <w:rFonts w:hint="eastAsia" w:ascii="宋体" w:hAnsi="宋体" w:eastAsia="宋体" w:cs="宋体"/>
          <w:sz w:val="24"/>
        </w:rPr>
        <w:t xml:space="preserve"> 号）和</w:t>
      </w:r>
      <w:r>
        <w:rPr>
          <w:rFonts w:hint="eastAsia" w:ascii="Times New Roman" w:hAnsi="Times New Roman" w:eastAsia="Times New Roman" w:cs="Times New Roman"/>
          <w:sz w:val="24"/>
        </w:rPr>
        <w:t xml:space="preserve"> 2012</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4</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日财政部</w:t>
      </w:r>
      <w:r>
        <w:rPr>
          <w:rFonts w:hint="eastAsia" w:ascii="宋体" w:hAnsi="宋体" w:eastAsia="宋体" w:cs="宋体"/>
          <w:sz w:val="10"/>
        </w:rPr>
        <w:t>、</w:t>
      </w:r>
      <w:r>
        <w:rPr>
          <w:rFonts w:hint="eastAsia" w:ascii="宋体" w:hAnsi="宋体" w:eastAsia="宋体" w:cs="宋体"/>
          <w:sz w:val="24"/>
        </w:rPr>
        <w:t>国家税务总局《关于进一步鼓励软件产业和集成电路产业发展企业所得税政策的通知》（财税</w:t>
      </w:r>
      <w:r>
        <w:rPr>
          <w:rFonts w:hint="eastAsia" w:ascii="Times New Roman" w:hAnsi="Times New Roman" w:eastAsia="Times New Roman" w:cs="Times New Roman"/>
          <w:sz w:val="24"/>
        </w:rPr>
        <w:t>[2012]27</w:t>
      </w:r>
      <w:r>
        <w:rPr>
          <w:rFonts w:hint="eastAsia" w:ascii="宋体" w:hAnsi="宋体" w:eastAsia="宋体" w:cs="宋体"/>
          <w:sz w:val="24"/>
        </w:rPr>
        <w:t xml:space="preserve"> 号），</w:t>
      </w:r>
      <w:r>
        <w:rPr>
          <w:rFonts w:hint="eastAsia" w:ascii="宋体" w:hAnsi="宋体" w:eastAsia="宋体" w:cs="宋体"/>
          <w:sz w:val="24"/>
        </w:rPr>
        <w:t>我国境内新办软件企业经认定后</w:t>
      </w:r>
      <w:r>
        <w:rPr>
          <w:rFonts w:hint="eastAsia" w:ascii="宋体" w:hAnsi="宋体" w:eastAsia="宋体" w:cs="宋体"/>
          <w:sz w:val="10"/>
        </w:rPr>
        <w:t>，</w:t>
      </w:r>
      <w:r>
        <w:rPr>
          <w:rFonts w:hint="eastAsia" w:ascii="宋体" w:hAnsi="宋体" w:eastAsia="宋体" w:cs="宋体"/>
          <w:sz w:val="24"/>
        </w:rPr>
        <w:t>自获利年度起</w:t>
      </w:r>
      <w:r>
        <w:rPr>
          <w:rFonts w:hint="eastAsia" w:ascii="宋体" w:hAnsi="宋体" w:eastAsia="宋体" w:cs="宋体"/>
          <w:sz w:val="10"/>
        </w:rPr>
        <w:t>，</w:t>
      </w:r>
      <w:r>
        <w:rPr>
          <w:rFonts w:hint="eastAsia" w:ascii="宋体" w:hAnsi="宋体" w:eastAsia="宋体" w:cs="宋体"/>
          <w:sz w:val="24"/>
        </w:rPr>
        <w:t>第一年和第二年免征企业所得税</w:t>
      </w:r>
      <w:r>
        <w:rPr>
          <w:rFonts w:hint="eastAsia" w:ascii="宋体" w:hAnsi="宋体" w:eastAsia="宋体" w:cs="宋体"/>
          <w:sz w:val="10"/>
        </w:rPr>
        <w:t>，</w:t>
      </w:r>
      <w:r>
        <w:rPr>
          <w:rFonts w:hint="eastAsia" w:ascii="宋体" w:hAnsi="宋体" w:eastAsia="宋体" w:cs="宋体"/>
          <w:sz w:val="24"/>
        </w:rPr>
        <w:t>第三年至第五年减半征收企业所得税</w:t>
      </w:r>
      <w:r>
        <w:rPr>
          <w:rFonts w:hint="eastAsia" w:ascii="宋体" w:hAnsi="宋体" w:eastAsia="宋体" w:cs="宋体"/>
          <w:sz w:val="10"/>
        </w:rPr>
        <w:t>。</w:t>
      </w:r>
      <w:r>
        <w:rPr>
          <w:rFonts w:hint="eastAsia" w:ascii="宋体" w:hAnsi="宋体" w:eastAsia="宋体" w:cs="宋体"/>
          <w:sz w:val="24"/>
        </w:rPr>
        <w:t>控股子公司顶点信息（证书编号为闽</w:t>
      </w:r>
      <w:r>
        <w:rPr>
          <w:rFonts w:hint="eastAsia" w:ascii="Times New Roman" w:hAnsi="Times New Roman" w:eastAsia="Times New Roman" w:cs="Times New Roman"/>
          <w:sz w:val="24"/>
        </w:rPr>
        <w:t xml:space="preserve"> R-2008-0010</w:t>
      </w:r>
      <w:r>
        <w:rPr>
          <w:rFonts w:hint="eastAsia" w:ascii="宋体" w:hAnsi="宋体" w:eastAsia="宋体" w:cs="宋体"/>
          <w:sz w:val="10"/>
        </w:rPr>
        <w:t>，</w:t>
      </w:r>
      <w:r>
        <w:rPr>
          <w:rFonts w:hint="eastAsia" w:ascii="宋体" w:hAnsi="宋体" w:eastAsia="宋体" w:cs="宋体"/>
          <w:sz w:val="24"/>
        </w:rPr>
        <w:t>发证时间为</w:t>
      </w:r>
      <w:r>
        <w:rPr>
          <w:rFonts w:hint="eastAsia" w:ascii="Times New Roman" w:hAnsi="Times New Roman" w:eastAsia="Times New Roman" w:cs="Times New Roman"/>
          <w:sz w:val="24"/>
        </w:rPr>
        <w:t>2008</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28</w:t>
      </w:r>
      <w:r>
        <w:rPr>
          <w:rFonts w:hint="eastAsia" w:ascii="宋体" w:hAnsi="宋体" w:eastAsia="宋体" w:cs="宋体"/>
          <w:sz w:val="24"/>
        </w:rPr>
        <w:t xml:space="preserve"> 日）享受</w:t>
      </w:r>
      <w:r>
        <w:rPr>
          <w:rFonts w:hint="eastAsia" w:ascii="宋体" w:hAnsi="宋体" w:eastAsia="宋体" w:cs="宋体"/>
          <w:sz w:val="10"/>
        </w:rPr>
        <w:t>“</w:t>
      </w:r>
      <w:r>
        <w:rPr>
          <w:rFonts w:hint="eastAsia" w:ascii="宋体" w:hAnsi="宋体" w:eastAsia="宋体" w:cs="宋体"/>
          <w:sz w:val="24"/>
        </w:rPr>
        <w:t>两免三减半</w:t>
      </w:r>
      <w:r>
        <w:rPr>
          <w:rFonts w:hint="eastAsia" w:ascii="宋体" w:hAnsi="宋体" w:eastAsia="宋体" w:cs="宋体"/>
          <w:sz w:val="10"/>
        </w:rPr>
        <w:t>”</w:t>
      </w:r>
      <w:r>
        <w:rPr>
          <w:rFonts w:hint="eastAsia" w:ascii="宋体" w:hAnsi="宋体" w:eastAsia="宋体" w:cs="宋体"/>
          <w:sz w:val="24"/>
        </w:rPr>
        <w:t>的企业所得税税收优惠</w:t>
      </w:r>
      <w:r>
        <w:rPr>
          <w:rFonts w:hint="eastAsia" w:ascii="宋体" w:hAnsi="宋体" w:eastAsia="宋体" w:cs="宋体"/>
          <w:sz w:val="10"/>
        </w:rPr>
        <w:t>。</w:t>
      </w:r>
      <w:r>
        <w:rPr>
          <w:rFonts w:hint="eastAsia" w:ascii="Times New Roman" w:hAnsi="Times New Roman" w:eastAsia="Times New Roman" w:cs="Times New Roman"/>
          <w:sz w:val="24"/>
        </w:rPr>
        <w:t>2010</w:t>
      </w:r>
      <w:r>
        <w:rPr>
          <w:rFonts w:hint="eastAsia" w:ascii="宋体" w:hAnsi="宋体" w:eastAsia="宋体" w:cs="宋体"/>
          <w:sz w:val="24"/>
        </w:rPr>
        <w:t xml:space="preserve"> 年度弥补以前年度亏损并盈利</w:t>
      </w:r>
      <w:r>
        <w:rPr>
          <w:rFonts w:hint="eastAsia" w:ascii="宋体" w:hAnsi="宋体" w:eastAsia="宋体" w:cs="宋体"/>
          <w:sz w:val="10"/>
        </w:rPr>
        <w:t>，</w:t>
      </w:r>
      <w:r>
        <w:rPr>
          <w:rFonts w:hint="eastAsia" w:ascii="Times New Roman" w:hAnsi="Times New Roman" w:eastAsia="Times New Roman" w:cs="Times New Roman"/>
          <w:sz w:val="24"/>
        </w:rPr>
        <w:t>2010</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2011</w:t>
      </w:r>
      <w:r>
        <w:rPr>
          <w:rFonts w:hint="eastAsia" w:ascii="宋体" w:hAnsi="宋体" w:eastAsia="宋体" w:cs="宋体"/>
          <w:sz w:val="24"/>
        </w:rPr>
        <w:t xml:space="preserve"> 年度为免税期</w:t>
      </w:r>
      <w:r>
        <w:rPr>
          <w:rFonts w:hint="eastAsia" w:ascii="宋体" w:hAnsi="宋体" w:eastAsia="宋体" w:cs="宋体"/>
          <w:sz w:val="14"/>
        </w:rPr>
        <w:t>；</w:t>
      </w:r>
      <w:r>
        <w:rPr>
          <w:rFonts w:hint="eastAsia" w:ascii="Times New Roman" w:hAnsi="Times New Roman" w:eastAsia="Times New Roman" w:cs="Times New Roman"/>
          <w:sz w:val="24"/>
        </w:rPr>
        <w:t>2012</w:t>
      </w:r>
      <w:r>
        <w:rPr>
          <w:rFonts w:hint="eastAsia" w:ascii="宋体" w:hAnsi="宋体" w:eastAsia="宋体" w:cs="宋体"/>
          <w:sz w:val="24"/>
        </w:rPr>
        <w:t xml:space="preserve"> 年</w:t>
      </w:r>
      <w:r>
        <w:rPr>
          <w:rFonts w:hint="eastAsia" w:ascii="Times New Roman" w:hAnsi="Times New Roman" w:eastAsia="Times New Roman" w:cs="Times New Roman"/>
          <w:sz w:val="24"/>
        </w:rPr>
        <w:t>-2014</w:t>
      </w:r>
      <w:r>
        <w:rPr>
          <w:rFonts w:hint="eastAsia" w:ascii="宋体" w:hAnsi="宋体" w:eastAsia="宋体" w:cs="宋体"/>
          <w:sz w:val="24"/>
        </w:rPr>
        <w:t xml:space="preserve"> 年适用企业所得税率为</w:t>
      </w:r>
      <w:r>
        <w:rPr>
          <w:rFonts w:hint="eastAsia" w:ascii="Times New Roman" w:hAnsi="Times New Roman" w:eastAsia="Times New Roman" w:cs="Times New Roman"/>
          <w:sz w:val="24"/>
        </w:rPr>
        <w:t>12.50%</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六</w:t>
      </w:r>
      <w:r>
        <w:rPr>
          <w:rFonts w:hint="eastAsia" w:ascii="ºÚÌå" w:hAnsi="ºÚÌå" w:eastAsia="ºÚÌå" w:cs="ºÚÌå"/>
          <w:sz w:val="10"/>
        </w:rPr>
        <w:t>、</w:t>
      </w:r>
      <w:r>
        <w:rPr>
          <w:rFonts w:hint="eastAsia" w:ascii="ºÚÌå" w:hAnsi="ºÚÌå" w:eastAsia="ºÚÌå" w:cs="ºÚÌå"/>
          <w:sz w:val="30"/>
        </w:rPr>
        <w:t>分部信息</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业务分部</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按业务类别划分</w:t>
      </w:r>
      <w:r>
        <w:rPr>
          <w:rFonts w:hint="eastAsia" w:ascii="宋体" w:hAnsi="宋体" w:eastAsia="宋体" w:cs="宋体"/>
          <w:sz w:val="10"/>
        </w:rPr>
        <w:t>，</w:t>
      </w:r>
      <w:r>
        <w:rPr>
          <w:rFonts w:hint="eastAsia" w:ascii="宋体" w:hAnsi="宋体" w:eastAsia="宋体" w:cs="宋体"/>
          <w:sz w:val="24"/>
        </w:rPr>
        <w:t>报告期内分部信息如下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主营业务收入</w:t>
      </w:r>
    </w:p>
    <w:p>
      <w:pPr>
        <w:autoSpaceDE w:val="false"/>
        <w:autoSpaceDN w:val="false"/>
        <w:spacing w:line="36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00"/>
        <w:gridCol w:w="1560"/>
        <w:gridCol w:w="1000"/>
        <w:gridCol w:w="1560"/>
        <w:gridCol w:w="1100"/>
        <w:gridCol w:w="1720"/>
        <w:gridCol w:w="1040"/>
      </w:tblGrid>
      <w:tr>
        <w:trPr>
          <w:trHeight w:val="520" w:hRule="exact"/>
        </w:trPr>
        <w:tc>
          <w:tcPr>
            <w:tcW w:w="1200" w:type="dxa"/>
            <w:vMerge w:val="restart"/>
            <w:tcMar>
              <w:top w:w="0" w:type="dxa"/>
              <w:left w:w="0" w:type="dxa"/>
              <w:bottom w:w="0" w:type="dxa"/>
              <w:right w:w="0" w:type="dxa"/>
            </w:tcMar>
          </w:tcPr>
          <w:p>
            <w:pPr>
              <w:spacing w:before="380"/>
              <w:ind w:left="380"/>
            </w:pPr>
            <w:r>
              <w:rPr>
                <w:rFonts w:hint="eastAsia" w:ascii="宋体" w:hAnsi="宋体" w:eastAsia="宋体" w:cs="宋体"/>
                <w:b/>
                <w:sz w:val="21"/>
              </w:rPr>
              <w:t>项目</w:t>
            </w:r>
          </w:p>
        </w:tc>
        <w:tc>
          <w:tcPr>
            <w:tcW w:w="2560" w:type="dxa"/>
            <w:gridSpan w:val="2"/>
            <w:tcMar>
              <w:top w:w="0" w:type="dxa"/>
              <w:left w:w="0" w:type="dxa"/>
              <w:bottom w:w="0" w:type="dxa"/>
              <w:right w:w="0" w:type="dxa"/>
            </w:tcMar>
          </w:tcPr>
          <w:p>
            <w:pPr>
              <w:spacing w:before="100"/>
              <w:ind w:left="8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660" w:type="dxa"/>
            <w:gridSpan w:val="2"/>
            <w:tcMar>
              <w:top w:w="0" w:type="dxa"/>
              <w:left w:w="0" w:type="dxa"/>
              <w:bottom w:w="0" w:type="dxa"/>
              <w:right w:w="0" w:type="dxa"/>
            </w:tcMar>
          </w:tcPr>
          <w:p>
            <w:pPr>
              <w:spacing w:before="100"/>
              <w:ind w:left="8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760" w:type="dxa"/>
            <w:gridSpan w:val="2"/>
            <w:tcMar>
              <w:top w:w="0" w:type="dxa"/>
              <w:left w:w="0" w:type="dxa"/>
              <w:bottom w:w="0" w:type="dxa"/>
              <w:right w:w="0" w:type="dxa"/>
            </w:tcMar>
          </w:tcPr>
          <w:p>
            <w:pPr>
              <w:spacing w:before="100"/>
              <w:ind w:left="92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00" w:hRule="exact"/>
        </w:trPr>
        <w:tc>
          <w:tcPr>
            <w:tcW w:w="120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00"/>
              <w:ind w:left="56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00"/>
              <w:ind w:left="26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00"/>
              <w:ind w:left="540"/>
            </w:pPr>
            <w:r>
              <w:rPr>
                <w:rFonts w:hint="eastAsia" w:ascii="宋体" w:hAnsi="宋体" w:eastAsia="宋体" w:cs="宋体"/>
                <w:b/>
                <w:sz w:val="21"/>
              </w:rPr>
              <w:t>金额</w:t>
            </w:r>
          </w:p>
        </w:tc>
        <w:tc>
          <w:tcPr>
            <w:tcW w:w="1100" w:type="dxa"/>
            <w:tcMar>
              <w:top w:w="0" w:type="dxa"/>
              <w:left w:w="0" w:type="dxa"/>
              <w:bottom w:w="0" w:type="dxa"/>
              <w:right w:w="0" w:type="dxa"/>
            </w:tcMar>
          </w:tcPr>
          <w:p>
            <w:pPr>
              <w:spacing w:before="100"/>
              <w:ind w:left="320"/>
            </w:pPr>
            <w:r>
              <w:rPr>
                <w:rFonts w:hint="eastAsia" w:ascii="宋体" w:hAnsi="宋体" w:eastAsia="宋体" w:cs="宋体"/>
                <w:b/>
                <w:sz w:val="21"/>
              </w:rPr>
              <w:t>比例</w:t>
            </w:r>
          </w:p>
        </w:tc>
        <w:tc>
          <w:tcPr>
            <w:tcW w:w="1720" w:type="dxa"/>
            <w:tcMar>
              <w:top w:w="0" w:type="dxa"/>
              <w:left w:w="0" w:type="dxa"/>
              <w:bottom w:w="0" w:type="dxa"/>
              <w:right w:w="0" w:type="dxa"/>
            </w:tcMar>
          </w:tcPr>
          <w:p>
            <w:pPr>
              <w:spacing w:before="100"/>
              <w:ind w:left="640"/>
            </w:pPr>
            <w:r>
              <w:rPr>
                <w:rFonts w:hint="eastAsia" w:ascii="宋体" w:hAnsi="宋体" w:eastAsia="宋体" w:cs="宋体"/>
                <w:b/>
                <w:sz w:val="21"/>
              </w:rPr>
              <w:t>金额</w:t>
            </w:r>
          </w:p>
        </w:tc>
        <w:tc>
          <w:tcPr>
            <w:tcW w:w="1040" w:type="dxa"/>
            <w:tcMar>
              <w:top w:w="0" w:type="dxa"/>
              <w:left w:w="0" w:type="dxa"/>
              <w:bottom w:w="0" w:type="dxa"/>
              <w:right w:w="0" w:type="dxa"/>
            </w:tcMar>
          </w:tcPr>
          <w:p>
            <w:pPr>
              <w:spacing w:before="100"/>
              <w:ind w:left="300"/>
            </w:pPr>
            <w:r>
              <w:rPr>
                <w:rFonts w:hint="eastAsia" w:ascii="宋体" w:hAnsi="宋体" w:eastAsia="宋体" w:cs="宋体"/>
                <w:b/>
                <w:sz w:val="21"/>
              </w:rPr>
              <w:t>比例</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1-1-241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00"/>
        <w:gridCol w:w="1560"/>
        <w:gridCol w:w="1000"/>
        <w:gridCol w:w="1560"/>
        <w:gridCol w:w="1100"/>
        <w:gridCol w:w="1720"/>
        <w:gridCol w:w="1040"/>
      </w:tblGrid>
      <w:tr>
        <w:trPr>
          <w:trHeight w:val="540" w:hRule="exact"/>
        </w:trPr>
        <w:tc>
          <w:tcPr>
            <w:tcW w:w="1200" w:type="dxa"/>
            <w:vMerge w:val="restart"/>
            <w:tcMar>
              <w:top w:w="0" w:type="dxa"/>
              <w:left w:w="0" w:type="dxa"/>
              <w:bottom w:w="0" w:type="dxa"/>
              <w:right w:w="0" w:type="dxa"/>
            </w:tcMar>
          </w:tcPr>
          <w:p>
            <w:pPr>
              <w:spacing w:before="400"/>
              <w:ind w:left="380"/>
            </w:pPr>
            <w:r>
              <w:rPr>
                <w:rFonts w:hint="eastAsia" w:ascii="宋体" w:hAnsi="宋体" w:eastAsia="宋体" w:cs="宋体"/>
                <w:b/>
                <w:sz w:val="21"/>
              </w:rPr>
              <w:t>项目</w:t>
            </w:r>
          </w:p>
        </w:tc>
        <w:tc>
          <w:tcPr>
            <w:tcW w:w="2560" w:type="dxa"/>
            <w:gridSpan w:val="2"/>
            <w:tcMar>
              <w:top w:w="0" w:type="dxa"/>
              <w:left w:w="0" w:type="dxa"/>
              <w:bottom w:w="0" w:type="dxa"/>
              <w:right w:w="0" w:type="dxa"/>
            </w:tcMar>
          </w:tcPr>
          <w:p>
            <w:pPr>
              <w:spacing w:before="120"/>
              <w:ind w:left="8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660" w:type="dxa"/>
            <w:gridSpan w:val="2"/>
            <w:tcMar>
              <w:top w:w="0" w:type="dxa"/>
              <w:left w:w="0" w:type="dxa"/>
              <w:bottom w:w="0" w:type="dxa"/>
              <w:right w:w="0" w:type="dxa"/>
            </w:tcMar>
          </w:tcPr>
          <w:p>
            <w:pPr>
              <w:spacing w:before="120"/>
              <w:ind w:left="8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760" w:type="dxa"/>
            <w:gridSpan w:val="2"/>
            <w:tcMar>
              <w:top w:w="0" w:type="dxa"/>
              <w:left w:w="0" w:type="dxa"/>
              <w:bottom w:w="0" w:type="dxa"/>
              <w:right w:w="0" w:type="dxa"/>
            </w:tcMar>
          </w:tcPr>
          <w:p>
            <w:pPr>
              <w:spacing w:before="120"/>
              <w:ind w:left="92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40" w:hRule="exact"/>
        </w:trPr>
        <w:tc>
          <w:tcPr>
            <w:tcW w:w="120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00"/>
              <w:ind w:left="56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20"/>
              <w:ind w:left="26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00"/>
              <w:ind w:left="540"/>
            </w:pPr>
            <w:r>
              <w:rPr>
                <w:rFonts w:hint="eastAsia" w:ascii="宋体" w:hAnsi="宋体" w:eastAsia="宋体" w:cs="宋体"/>
                <w:b/>
                <w:sz w:val="21"/>
              </w:rPr>
              <w:t>金额</w:t>
            </w:r>
          </w:p>
        </w:tc>
        <w:tc>
          <w:tcPr>
            <w:tcW w:w="1100" w:type="dxa"/>
            <w:tcMar>
              <w:top w:w="0" w:type="dxa"/>
              <w:left w:w="0" w:type="dxa"/>
              <w:bottom w:w="0" w:type="dxa"/>
              <w:right w:w="0" w:type="dxa"/>
            </w:tcMar>
          </w:tcPr>
          <w:p>
            <w:pPr>
              <w:spacing w:before="120"/>
              <w:ind w:left="320"/>
            </w:pPr>
            <w:r>
              <w:rPr>
                <w:rFonts w:hint="eastAsia" w:ascii="宋体" w:hAnsi="宋体" w:eastAsia="宋体" w:cs="宋体"/>
                <w:b/>
                <w:sz w:val="21"/>
              </w:rPr>
              <w:t>比例</w:t>
            </w:r>
          </w:p>
        </w:tc>
        <w:tc>
          <w:tcPr>
            <w:tcW w:w="1720" w:type="dxa"/>
            <w:tcMar>
              <w:top w:w="0" w:type="dxa"/>
              <w:left w:w="0" w:type="dxa"/>
              <w:bottom w:w="0" w:type="dxa"/>
              <w:right w:w="0" w:type="dxa"/>
            </w:tcMar>
          </w:tcPr>
          <w:p>
            <w:pPr>
              <w:spacing w:before="100"/>
              <w:ind w:left="640"/>
            </w:pPr>
            <w:r>
              <w:rPr>
                <w:rFonts w:hint="eastAsia" w:ascii="宋体" w:hAnsi="宋体" w:eastAsia="宋体" w:cs="宋体"/>
                <w:b/>
                <w:sz w:val="21"/>
              </w:rPr>
              <w:t>金额</w:t>
            </w:r>
          </w:p>
        </w:tc>
        <w:tc>
          <w:tcPr>
            <w:tcW w:w="1040" w:type="dxa"/>
            <w:tcMar>
              <w:top w:w="0" w:type="dxa"/>
              <w:left w:w="0" w:type="dxa"/>
              <w:bottom w:w="0" w:type="dxa"/>
              <w:right w:w="0" w:type="dxa"/>
            </w:tcMar>
          </w:tcPr>
          <w:p>
            <w:pPr>
              <w:spacing w:before="120"/>
              <w:ind w:left="300"/>
            </w:pPr>
            <w:r>
              <w:rPr>
                <w:rFonts w:hint="eastAsia" w:ascii="宋体" w:hAnsi="宋体" w:eastAsia="宋体" w:cs="宋体"/>
                <w:b/>
                <w:sz w:val="21"/>
              </w:rPr>
              <w:t>比例</w:t>
            </w:r>
          </w:p>
        </w:tc>
      </w:tr>
      <w:tr>
        <w:trPr>
          <w:trHeight w:val="520" w:hRule="exact"/>
        </w:trPr>
        <w:tc>
          <w:tcPr>
            <w:tcW w:w="1200" w:type="dxa"/>
            <w:tcMar>
              <w:top w:w="0" w:type="dxa"/>
              <w:left w:w="0" w:type="dxa"/>
              <w:bottom w:w="0" w:type="dxa"/>
              <w:right w:w="0" w:type="dxa"/>
            </w:tcMar>
          </w:tcPr>
          <w:p>
            <w:pPr>
              <w:spacing w:before="100"/>
              <w:ind w:left="160"/>
            </w:pPr>
            <w:r>
              <w:rPr>
                <w:rFonts w:hint="eastAsia" w:ascii="宋体" w:hAnsi="宋体" w:eastAsia="宋体" w:cs="宋体"/>
                <w:sz w:val="21"/>
              </w:rPr>
              <w:t>定制软件</w:t>
            </w:r>
          </w:p>
        </w:tc>
        <w:tc>
          <w:tcPr>
            <w:tcW w:w="156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136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c>
          <w:tcPr>
            <w:tcW w:w="10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116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1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p>
        </w:tc>
        <w:tc>
          <w:tcPr>
            <w:tcW w:w="17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112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p>
        </w:tc>
        <w:tc>
          <w:tcPr>
            <w:tcW w:w="104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r>
        <w:trPr>
          <w:trHeight w:val="540" w:hRule="exact"/>
        </w:trPr>
        <w:tc>
          <w:tcPr>
            <w:tcW w:w="1200" w:type="dxa"/>
            <w:tcMar>
              <w:top w:w="0" w:type="dxa"/>
              <w:left w:w="0" w:type="dxa"/>
              <w:bottom w:w="0" w:type="dxa"/>
              <w:right w:w="0" w:type="dxa"/>
            </w:tcMar>
          </w:tcPr>
          <w:p>
            <w:pPr>
              <w:spacing w:before="100"/>
            </w:pPr>
            <w:r>
              <w:rPr>
                <w:rFonts w:hint="eastAsia" w:ascii="宋体" w:hAnsi="宋体" w:eastAsia="宋体" w:cs="宋体"/>
                <w:sz w:val="21"/>
              </w:rPr>
              <w:t>产品化软件</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p>
        </w:tc>
        <w:tc>
          <w:tcPr>
            <w:tcW w:w="100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c>
          <w:tcPr>
            <w:tcW w:w="1100" w:type="dxa"/>
            <w:tcMar>
              <w:top w:w="0" w:type="dxa"/>
              <w:left w:w="0" w:type="dxa"/>
              <w:bottom w:w="0" w:type="dxa"/>
              <w:right w:w="0" w:type="dxa"/>
            </w:tcMar>
          </w:tcPr>
          <w:p>
            <w:pPr>
              <w:spacing w:before="140"/>
              <w:ind w:left="38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1720" w:type="dxa"/>
            <w:tcMar>
              <w:top w:w="0" w:type="dxa"/>
              <w:left w:w="0" w:type="dxa"/>
              <w:bottom w:w="0" w:type="dxa"/>
              <w:right w:w="0" w:type="dxa"/>
            </w:tcMar>
          </w:tcPr>
          <w:p>
            <w:pPr>
              <w:spacing w:before="140"/>
              <w:ind w:left="4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c>
          <w:tcPr>
            <w:tcW w:w="1040" w:type="dxa"/>
            <w:tcMar>
              <w:top w:w="0" w:type="dxa"/>
              <w:left w:w="0" w:type="dxa"/>
              <w:bottom w:w="0" w:type="dxa"/>
              <w:right w:w="0" w:type="dxa"/>
            </w:tcMar>
          </w:tcPr>
          <w:p>
            <w:pPr>
              <w:spacing w:before="140"/>
              <w:ind w:left="42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p>
        </w:tc>
      </w:tr>
      <w:tr>
        <w:trPr>
          <w:trHeight w:val="520" w:hRule="exact"/>
        </w:trPr>
        <w:tc>
          <w:tcPr>
            <w:tcW w:w="1200" w:type="dxa"/>
            <w:tcMar>
              <w:top w:w="0" w:type="dxa"/>
              <w:left w:w="0" w:type="dxa"/>
              <w:bottom w:w="0" w:type="dxa"/>
              <w:right w:w="0" w:type="dxa"/>
            </w:tcMar>
          </w:tcPr>
          <w:p>
            <w:pPr>
              <w:spacing w:before="100"/>
              <w:ind w:left="160"/>
            </w:pPr>
            <w:r>
              <w:rPr>
                <w:rFonts w:hint="eastAsia" w:ascii="宋体" w:hAnsi="宋体" w:eastAsia="宋体" w:cs="宋体"/>
                <w:sz w:val="21"/>
              </w:rPr>
              <w:t>运维服务</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10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11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172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104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r>
      <w:tr>
        <w:trPr>
          <w:trHeight w:val="540" w:hRule="exact"/>
        </w:trPr>
        <w:tc>
          <w:tcPr>
            <w:tcW w:w="1200" w:type="dxa"/>
            <w:tcMar>
              <w:top w:w="0" w:type="dxa"/>
              <w:left w:w="0" w:type="dxa"/>
              <w:bottom w:w="0" w:type="dxa"/>
              <w:right w:w="0" w:type="dxa"/>
            </w:tcMar>
          </w:tcPr>
          <w:p>
            <w:pPr>
              <w:spacing w:before="120"/>
              <w:ind w:left="160"/>
            </w:pPr>
            <w:r>
              <w:rPr>
                <w:rFonts w:hint="eastAsia" w:ascii="宋体" w:hAnsi="宋体" w:eastAsia="宋体" w:cs="宋体"/>
                <w:sz w:val="21"/>
              </w:rPr>
              <w:t>系统集成</w:t>
            </w:r>
          </w:p>
        </w:tc>
        <w:tc>
          <w:tcPr>
            <w:tcW w:w="156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10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1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p>
        </w:tc>
        <w:tc>
          <w:tcPr>
            <w:tcW w:w="1720" w:type="dxa"/>
            <w:tcMar>
              <w:top w:w="0" w:type="dxa"/>
              <w:left w:w="0" w:type="dxa"/>
              <w:bottom w:w="0" w:type="dxa"/>
              <w:right w:w="0" w:type="dxa"/>
            </w:tcMar>
          </w:tcPr>
          <w:p>
            <w:pPr>
              <w:spacing w:before="160"/>
              <w:ind w:left="5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04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p>
        </w:tc>
      </w:tr>
      <w:tr>
        <w:trPr>
          <w:trHeight w:val="480" w:hRule="exact"/>
        </w:trPr>
        <w:tc>
          <w:tcPr>
            <w:tcW w:w="1200" w:type="dxa"/>
            <w:tcMar>
              <w:top w:w="0" w:type="dxa"/>
              <w:left w:w="0" w:type="dxa"/>
              <w:bottom w:w="0" w:type="dxa"/>
              <w:right w:w="0" w:type="dxa"/>
            </w:tcMar>
          </w:tcPr>
          <w:p>
            <w:pPr>
              <w:spacing w:before="100"/>
              <w:ind w:left="380"/>
            </w:pPr>
            <w:r>
              <w:rPr>
                <w:rFonts w:hint="eastAsia" w:ascii="宋体" w:hAnsi="宋体" w:eastAsia="宋体" w:cs="宋体"/>
                <w:b/>
                <w:sz w:val="21"/>
              </w:rPr>
              <w:t>合计</w:t>
            </w:r>
          </w:p>
        </w:tc>
        <w:tc>
          <w:tcPr>
            <w:tcW w:w="1560" w:type="dxa"/>
            <w:tcMar>
              <w:top w:w="0" w:type="dxa"/>
              <w:left w:w="0" w:type="dxa"/>
              <w:bottom w:w="0" w:type="dxa"/>
              <w:right w:w="0" w:type="dxa"/>
            </w:tcMar>
          </w:tcPr>
          <w:p>
            <w:pPr>
              <w:spacing w:before="160"/>
              <w:ind w:left="18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1000" w:type="dxa"/>
            <w:tcMar>
              <w:top w:w="0" w:type="dxa"/>
              <w:left w:w="0" w:type="dxa"/>
              <w:bottom w:w="0" w:type="dxa"/>
              <w:right w:w="0" w:type="dxa"/>
            </w:tcMar>
          </w:tcPr>
          <w:p>
            <w:pPr>
              <w:spacing w:before="140"/>
              <w:ind w:left="1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60"/>
              <w:ind w:left="16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1100" w:type="dxa"/>
            <w:tcMar>
              <w:top w:w="0" w:type="dxa"/>
              <w:left w:w="0" w:type="dxa"/>
              <w:bottom w:w="0" w:type="dxa"/>
              <w:right w:w="0" w:type="dxa"/>
            </w:tcMar>
          </w:tcPr>
          <w:p>
            <w:pPr>
              <w:spacing w:before="140"/>
              <w:ind w:left="2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720" w:type="dxa"/>
            <w:tcMar>
              <w:top w:w="0" w:type="dxa"/>
              <w:left w:w="0" w:type="dxa"/>
              <w:bottom w:w="0" w:type="dxa"/>
              <w:right w:w="0" w:type="dxa"/>
            </w:tcMar>
          </w:tcPr>
          <w:p>
            <w:pPr>
              <w:spacing w:before="160"/>
              <w:ind w:left="34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1040" w:type="dxa"/>
            <w:tcMar>
              <w:top w:w="0" w:type="dxa"/>
              <w:left w:w="0" w:type="dxa"/>
              <w:bottom w:w="0" w:type="dxa"/>
              <w:right w:w="0" w:type="dxa"/>
            </w:tcMar>
          </w:tcPr>
          <w:p>
            <w:pPr>
              <w:spacing w:before="140"/>
              <w:ind w:left="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主营业务成本</w:t>
      </w:r>
    </w:p>
    <w:p>
      <w:pPr>
        <w:autoSpaceDE w:val="false"/>
        <w:autoSpaceDN w:val="false"/>
        <w:spacing w:line="36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00"/>
        <w:gridCol w:w="1560"/>
        <w:gridCol w:w="1000"/>
        <w:gridCol w:w="1560"/>
        <w:gridCol w:w="1100"/>
        <w:gridCol w:w="1380"/>
        <w:gridCol w:w="1380"/>
      </w:tblGrid>
      <w:tr>
        <w:trPr>
          <w:trHeight w:val="520" w:hRule="exact"/>
        </w:trPr>
        <w:tc>
          <w:tcPr>
            <w:tcW w:w="1200" w:type="dxa"/>
            <w:vMerge w:val="restart"/>
            <w:tcMar>
              <w:top w:w="0" w:type="dxa"/>
              <w:left w:w="0" w:type="dxa"/>
              <w:bottom w:w="0" w:type="dxa"/>
              <w:right w:w="0" w:type="dxa"/>
            </w:tcMar>
          </w:tcPr>
          <w:p>
            <w:pPr>
              <w:spacing w:before="380"/>
              <w:ind w:left="380"/>
            </w:pPr>
            <w:r>
              <w:rPr>
                <w:rFonts w:hint="eastAsia" w:ascii="宋体" w:hAnsi="宋体" w:eastAsia="宋体" w:cs="宋体"/>
                <w:b/>
                <w:sz w:val="21"/>
              </w:rPr>
              <w:t>项目</w:t>
            </w:r>
          </w:p>
        </w:tc>
        <w:tc>
          <w:tcPr>
            <w:tcW w:w="2560" w:type="dxa"/>
            <w:gridSpan w:val="2"/>
            <w:tcMar>
              <w:top w:w="0" w:type="dxa"/>
              <w:left w:w="0" w:type="dxa"/>
              <w:bottom w:w="0" w:type="dxa"/>
              <w:right w:w="0" w:type="dxa"/>
            </w:tcMar>
          </w:tcPr>
          <w:p>
            <w:pPr>
              <w:spacing w:before="100"/>
              <w:ind w:left="8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660" w:type="dxa"/>
            <w:gridSpan w:val="2"/>
            <w:tcMar>
              <w:top w:w="0" w:type="dxa"/>
              <w:left w:w="0" w:type="dxa"/>
              <w:bottom w:w="0" w:type="dxa"/>
              <w:right w:w="0" w:type="dxa"/>
            </w:tcMar>
          </w:tcPr>
          <w:p>
            <w:pPr>
              <w:spacing w:before="100"/>
              <w:ind w:left="8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760" w:type="dxa"/>
            <w:gridSpan w:val="2"/>
            <w:tcMar>
              <w:top w:w="0" w:type="dxa"/>
              <w:left w:w="0" w:type="dxa"/>
              <w:bottom w:w="0" w:type="dxa"/>
              <w:right w:w="0" w:type="dxa"/>
            </w:tcMar>
          </w:tcPr>
          <w:p>
            <w:pPr>
              <w:spacing w:before="100"/>
              <w:ind w:left="92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40" w:hRule="exact"/>
        </w:trPr>
        <w:tc>
          <w:tcPr>
            <w:tcW w:w="120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20"/>
              <w:ind w:left="56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20"/>
              <w:ind w:left="26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20"/>
              <w:ind w:left="540"/>
            </w:pPr>
            <w:r>
              <w:rPr>
                <w:rFonts w:hint="eastAsia" w:ascii="宋体" w:hAnsi="宋体" w:eastAsia="宋体" w:cs="宋体"/>
                <w:b/>
                <w:sz w:val="21"/>
              </w:rPr>
              <w:t>金额</w:t>
            </w:r>
          </w:p>
        </w:tc>
        <w:tc>
          <w:tcPr>
            <w:tcW w:w="1100" w:type="dxa"/>
            <w:tcMar>
              <w:top w:w="0" w:type="dxa"/>
              <w:left w:w="0" w:type="dxa"/>
              <w:bottom w:w="0" w:type="dxa"/>
              <w:right w:w="0" w:type="dxa"/>
            </w:tcMar>
          </w:tcPr>
          <w:p>
            <w:pPr>
              <w:spacing w:before="120"/>
              <w:ind w:left="320"/>
            </w:pPr>
            <w:r>
              <w:rPr>
                <w:rFonts w:hint="eastAsia" w:ascii="宋体" w:hAnsi="宋体" w:eastAsia="宋体" w:cs="宋体"/>
                <w:b/>
                <w:sz w:val="21"/>
              </w:rPr>
              <w:t>比例</w:t>
            </w:r>
          </w:p>
        </w:tc>
        <w:tc>
          <w:tcPr>
            <w:tcW w:w="1380" w:type="dxa"/>
            <w:tcMar>
              <w:top w:w="0" w:type="dxa"/>
              <w:left w:w="0" w:type="dxa"/>
              <w:bottom w:w="0" w:type="dxa"/>
              <w:right w:w="0" w:type="dxa"/>
            </w:tcMar>
          </w:tcPr>
          <w:p>
            <w:pPr>
              <w:spacing w:before="120"/>
              <w:ind w:left="460"/>
            </w:pPr>
            <w:r>
              <w:rPr>
                <w:rFonts w:hint="eastAsia" w:ascii="宋体" w:hAnsi="宋体" w:eastAsia="宋体" w:cs="宋体"/>
                <w:b/>
                <w:sz w:val="21"/>
              </w:rPr>
              <w:t>金额</w:t>
            </w:r>
          </w:p>
        </w:tc>
        <w:tc>
          <w:tcPr>
            <w:tcW w:w="1380" w:type="dxa"/>
            <w:tcMar>
              <w:top w:w="0" w:type="dxa"/>
              <w:left w:w="0" w:type="dxa"/>
              <w:bottom w:w="0" w:type="dxa"/>
              <w:right w:w="0" w:type="dxa"/>
            </w:tcMar>
          </w:tcPr>
          <w:p>
            <w:pPr>
              <w:spacing w:before="120"/>
              <w:ind w:left="460"/>
            </w:pPr>
            <w:r>
              <w:rPr>
                <w:rFonts w:hint="eastAsia" w:ascii="宋体" w:hAnsi="宋体" w:eastAsia="宋体" w:cs="宋体"/>
                <w:b/>
                <w:sz w:val="21"/>
              </w:rPr>
              <w:t>比例</w:t>
            </w:r>
          </w:p>
        </w:tc>
      </w:tr>
      <w:tr>
        <w:trPr>
          <w:trHeight w:val="520" w:hRule="exact"/>
        </w:trPr>
        <w:tc>
          <w:tcPr>
            <w:tcW w:w="1200" w:type="dxa"/>
            <w:tcMar>
              <w:top w:w="0" w:type="dxa"/>
              <w:left w:w="0" w:type="dxa"/>
              <w:bottom w:w="0" w:type="dxa"/>
              <w:right w:w="0" w:type="dxa"/>
            </w:tcMar>
          </w:tcPr>
          <w:p>
            <w:pPr>
              <w:spacing w:before="120"/>
              <w:ind w:left="160"/>
            </w:pPr>
            <w:r>
              <w:rPr>
                <w:rFonts w:hint="eastAsia" w:ascii="宋体" w:hAnsi="宋体" w:eastAsia="宋体" w:cs="宋体"/>
                <w:sz w:val="21"/>
              </w:rPr>
              <w:t>定制软件</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p>
        </w:tc>
        <w:tc>
          <w:tcPr>
            <w:tcW w:w="10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11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1380" w:type="dxa"/>
            <w:tcMar>
              <w:top w:w="0" w:type="dxa"/>
              <w:left w:w="0" w:type="dxa"/>
              <w:bottom w:w="0" w:type="dxa"/>
              <w:right w:w="0" w:type="dxa"/>
            </w:tcMar>
          </w:tcPr>
          <w:p>
            <w:pPr>
              <w:spacing w:before="160"/>
              <w:ind w:left="10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138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p>
        </w:tc>
      </w:tr>
      <w:tr>
        <w:trPr>
          <w:trHeight w:val="540" w:hRule="exact"/>
        </w:trPr>
        <w:tc>
          <w:tcPr>
            <w:tcW w:w="1200" w:type="dxa"/>
            <w:tcMar>
              <w:top w:w="0" w:type="dxa"/>
              <w:left w:w="0" w:type="dxa"/>
              <w:bottom w:w="0" w:type="dxa"/>
              <w:right w:w="0" w:type="dxa"/>
            </w:tcMar>
          </w:tcPr>
          <w:p>
            <w:pPr>
              <w:spacing w:before="120"/>
            </w:pPr>
            <w:r>
              <w:rPr>
                <w:rFonts w:hint="eastAsia" w:ascii="宋体" w:hAnsi="宋体" w:eastAsia="宋体" w:cs="宋体"/>
                <w:sz w:val="21"/>
              </w:rPr>
              <w:t>产品化软件</w:t>
            </w:r>
          </w:p>
        </w:tc>
        <w:tc>
          <w:tcPr>
            <w:tcW w:w="1560" w:type="dxa"/>
            <w:tcMar>
              <w:top w:w="0" w:type="dxa"/>
              <w:left w:w="0" w:type="dxa"/>
              <w:bottom w:w="0" w:type="dxa"/>
              <w:right w:w="0" w:type="dxa"/>
            </w:tcMar>
          </w:tcPr>
          <w:p>
            <w:pPr>
              <w:spacing w:before="300"/>
              <w:ind w:left="1420"/>
            </w:pPr>
            <w:r>
              <w:rPr>
                <w:rFonts w:hint="eastAsia" w:ascii="Times New Roman" w:hAnsi="Times New Roman" w:eastAsia="Times New Roman" w:cs="Times New Roman"/>
                <w:sz w:val="21"/>
              </w:rPr>
              <w:t>-</w:t>
            </w:r>
          </w:p>
        </w:tc>
        <w:tc>
          <w:tcPr>
            <w:tcW w:w="1000" w:type="dxa"/>
            <w:tcMar>
              <w:top w:w="0" w:type="dxa"/>
              <w:left w:w="0" w:type="dxa"/>
              <w:bottom w:w="0" w:type="dxa"/>
              <w:right w:w="0" w:type="dxa"/>
            </w:tcMar>
          </w:tcPr>
          <w:p>
            <w:pPr>
              <w:spacing w:before="300"/>
              <w:ind w:left="860"/>
            </w:pPr>
            <w:r>
              <w:rPr>
                <w:rFonts w:hint="eastAsia" w:ascii="Times New Roman" w:hAnsi="Times New Roman" w:eastAsia="Times New Roman" w:cs="Times New Roman"/>
                <w:sz w:val="21"/>
              </w:rPr>
              <w:t>-</w:t>
            </w:r>
          </w:p>
        </w:tc>
        <w:tc>
          <w:tcPr>
            <w:tcW w:w="1560" w:type="dxa"/>
            <w:tcMar>
              <w:top w:w="0" w:type="dxa"/>
              <w:left w:w="0" w:type="dxa"/>
              <w:bottom w:w="0" w:type="dxa"/>
              <w:right w:w="0" w:type="dxa"/>
            </w:tcMar>
          </w:tcPr>
          <w:p>
            <w:pPr>
              <w:spacing w:before="300"/>
              <w:ind w:left="1400"/>
            </w:pPr>
            <w:r>
              <w:rPr>
                <w:rFonts w:hint="eastAsia" w:ascii="Times New Roman" w:hAnsi="Times New Roman" w:eastAsia="Times New Roman" w:cs="Times New Roman"/>
                <w:sz w:val="21"/>
              </w:rPr>
              <w:t>-</w:t>
            </w:r>
          </w:p>
        </w:tc>
        <w:tc>
          <w:tcPr>
            <w:tcW w:w="1100" w:type="dxa"/>
            <w:tcMar>
              <w:top w:w="0" w:type="dxa"/>
              <w:left w:w="0" w:type="dxa"/>
              <w:bottom w:w="0" w:type="dxa"/>
              <w:right w:w="0" w:type="dxa"/>
            </w:tcMar>
          </w:tcPr>
          <w:p>
            <w:pPr>
              <w:spacing w:before="300"/>
              <w:ind w:left="960"/>
            </w:pPr>
            <w:r>
              <w:rPr>
                <w:rFonts w:hint="eastAsia" w:ascii="Times New Roman" w:hAnsi="Times New Roman" w:eastAsia="Times New Roman" w:cs="Times New Roman"/>
                <w:sz w:val="21"/>
              </w:rPr>
              <w:t>-</w:t>
            </w:r>
          </w:p>
        </w:tc>
        <w:tc>
          <w:tcPr>
            <w:tcW w:w="1380" w:type="dxa"/>
            <w:tcMar>
              <w:top w:w="0" w:type="dxa"/>
              <w:left w:w="0" w:type="dxa"/>
              <w:bottom w:w="0" w:type="dxa"/>
              <w:right w:w="0" w:type="dxa"/>
            </w:tcMar>
          </w:tcPr>
          <w:p>
            <w:pPr>
              <w:spacing w:before="300"/>
              <w:ind w:left="1240"/>
            </w:pPr>
            <w:r>
              <w:rPr>
                <w:rFonts w:hint="eastAsia" w:ascii="Times New Roman" w:hAnsi="Times New Roman" w:eastAsia="Times New Roman" w:cs="Times New Roman"/>
                <w:sz w:val="21"/>
              </w:rPr>
              <w:t>-</w:t>
            </w:r>
          </w:p>
        </w:tc>
        <w:tc>
          <w:tcPr>
            <w:tcW w:w="1380" w:type="dxa"/>
            <w:tcMar>
              <w:top w:w="0" w:type="dxa"/>
              <w:left w:w="0" w:type="dxa"/>
              <w:bottom w:w="0" w:type="dxa"/>
              <w:right w:w="0" w:type="dxa"/>
            </w:tcMar>
          </w:tcPr>
          <w:p>
            <w:pPr>
              <w:spacing w:before="300"/>
              <w:ind w:left="1240"/>
            </w:pPr>
            <w:r>
              <w:rPr>
                <w:rFonts w:hint="eastAsia" w:ascii="Times New Roman" w:hAnsi="Times New Roman" w:eastAsia="Times New Roman" w:cs="Times New Roman"/>
                <w:sz w:val="21"/>
              </w:rPr>
              <w:t>-</w:t>
            </w:r>
          </w:p>
        </w:tc>
      </w:tr>
      <w:tr>
        <w:trPr>
          <w:trHeight w:val="540" w:hRule="exact"/>
        </w:trPr>
        <w:tc>
          <w:tcPr>
            <w:tcW w:w="1200" w:type="dxa"/>
            <w:tcMar>
              <w:top w:w="0" w:type="dxa"/>
              <w:left w:w="0" w:type="dxa"/>
              <w:bottom w:w="0" w:type="dxa"/>
              <w:right w:w="0" w:type="dxa"/>
            </w:tcMar>
          </w:tcPr>
          <w:p>
            <w:pPr>
              <w:spacing w:before="120"/>
              <w:ind w:left="160"/>
            </w:pPr>
            <w:r>
              <w:rPr>
                <w:rFonts w:hint="eastAsia" w:ascii="宋体" w:hAnsi="宋体" w:eastAsia="宋体" w:cs="宋体"/>
                <w:sz w:val="21"/>
              </w:rPr>
              <w:t>运维服务</w:t>
            </w:r>
          </w:p>
        </w:tc>
        <w:tc>
          <w:tcPr>
            <w:tcW w:w="156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c>
          <w:tcPr>
            <w:tcW w:w="1000" w:type="dxa"/>
            <w:tcMar>
              <w:top w:w="0" w:type="dxa"/>
              <w:left w:w="0" w:type="dxa"/>
              <w:bottom w:w="0" w:type="dxa"/>
              <w:right w:w="0" w:type="dxa"/>
            </w:tcMar>
          </w:tcPr>
          <w:p>
            <w:pPr>
              <w:spacing w:before="140"/>
              <w:ind w:left="3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c>
          <w:tcPr>
            <w:tcW w:w="110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c>
          <w:tcPr>
            <w:tcW w:w="138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1380" w:type="dxa"/>
            <w:tcMar>
              <w:top w:w="0" w:type="dxa"/>
              <w:left w:w="0" w:type="dxa"/>
              <w:bottom w:w="0" w:type="dxa"/>
              <w:right w:w="0" w:type="dxa"/>
            </w:tcMar>
          </w:tcPr>
          <w:p>
            <w:pPr>
              <w:spacing w:before="140"/>
              <w:ind w:left="7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r>
      <w:tr>
        <w:trPr>
          <w:trHeight w:val="520" w:hRule="exact"/>
        </w:trPr>
        <w:tc>
          <w:tcPr>
            <w:tcW w:w="1200" w:type="dxa"/>
            <w:tcMar>
              <w:top w:w="0" w:type="dxa"/>
              <w:left w:w="0" w:type="dxa"/>
              <w:bottom w:w="0" w:type="dxa"/>
              <w:right w:w="0" w:type="dxa"/>
            </w:tcMar>
          </w:tcPr>
          <w:p>
            <w:pPr>
              <w:spacing w:before="100"/>
              <w:ind w:left="160"/>
            </w:pPr>
            <w:r>
              <w:rPr>
                <w:rFonts w:hint="eastAsia" w:ascii="宋体" w:hAnsi="宋体" w:eastAsia="宋体" w:cs="宋体"/>
                <w:sz w:val="21"/>
              </w:rPr>
              <w:t>系统集成</w:t>
            </w:r>
          </w:p>
        </w:tc>
        <w:tc>
          <w:tcPr>
            <w:tcW w:w="156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p>
        </w:tc>
        <w:tc>
          <w:tcPr>
            <w:tcW w:w="10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p>
        </w:tc>
        <w:tc>
          <w:tcPr>
            <w:tcW w:w="11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p>
        </w:tc>
        <w:tc>
          <w:tcPr>
            <w:tcW w:w="138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138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p>
        </w:tc>
      </w:tr>
      <w:tr>
        <w:trPr>
          <w:trHeight w:val="500" w:hRule="exact"/>
        </w:trPr>
        <w:tc>
          <w:tcPr>
            <w:tcW w:w="1200" w:type="dxa"/>
            <w:tcMar>
              <w:top w:w="0" w:type="dxa"/>
              <w:left w:w="0" w:type="dxa"/>
              <w:bottom w:w="0" w:type="dxa"/>
              <w:right w:w="0" w:type="dxa"/>
            </w:tcMar>
          </w:tcPr>
          <w:p>
            <w:pPr>
              <w:spacing w:before="120"/>
              <w:ind w:left="380"/>
            </w:pPr>
            <w:r>
              <w:rPr>
                <w:rFonts w:hint="eastAsia" w:ascii="宋体" w:hAnsi="宋体" w:eastAsia="宋体" w:cs="宋体"/>
                <w:b/>
                <w:sz w:val="21"/>
              </w:rPr>
              <w:t>合计</w:t>
            </w:r>
          </w:p>
        </w:tc>
        <w:tc>
          <w:tcPr>
            <w:tcW w:w="1560" w:type="dxa"/>
            <w:tcMar>
              <w:top w:w="0" w:type="dxa"/>
              <w:left w:w="0" w:type="dxa"/>
              <w:bottom w:w="0" w:type="dxa"/>
              <w:right w:w="0" w:type="dxa"/>
            </w:tcMar>
          </w:tcPr>
          <w:p>
            <w:pPr>
              <w:spacing w:before="140"/>
              <w:ind w:left="280"/>
            </w:pPr>
            <w:r>
              <w:rPr>
                <w:rFonts w:hint="eastAsia" w:ascii="Times New Roman Bold" w:hAnsi="Times New Roman Bold" w:eastAsia="Times New Roman Bold" w:cs="Times New Roman Bold"/>
                <w:b/>
                <w:sz w:val="21"/>
              </w:rPr>
              <w:t>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w:t>
            </w:r>
          </w:p>
        </w:tc>
        <w:tc>
          <w:tcPr>
            <w:tcW w:w="1000" w:type="dxa"/>
            <w:tcMar>
              <w:top w:w="0" w:type="dxa"/>
              <w:left w:w="0" w:type="dxa"/>
              <w:bottom w:w="0" w:type="dxa"/>
              <w:right w:w="0" w:type="dxa"/>
            </w:tcMar>
          </w:tcPr>
          <w:p>
            <w:pPr>
              <w:spacing w:before="140"/>
              <w:ind w:left="1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40"/>
              <w:ind w:left="280"/>
            </w:pPr>
            <w:r>
              <w:rPr>
                <w:rFonts w:hint="eastAsia" w:ascii="Times New Roman Bold" w:hAnsi="Times New Roman Bold" w:eastAsia="Times New Roman Bold" w:cs="Times New Roman Bold"/>
                <w:b/>
                <w:sz w:val="21"/>
              </w:rPr>
              <w:t>45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431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w:t>
            </w:r>
          </w:p>
        </w:tc>
        <w:tc>
          <w:tcPr>
            <w:tcW w:w="1100" w:type="dxa"/>
            <w:tcMar>
              <w:top w:w="0" w:type="dxa"/>
              <w:left w:w="0" w:type="dxa"/>
              <w:bottom w:w="0" w:type="dxa"/>
              <w:right w:w="0" w:type="dxa"/>
            </w:tcMar>
          </w:tcPr>
          <w:p>
            <w:pPr>
              <w:spacing w:before="140"/>
              <w:ind w:left="2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380" w:type="dxa"/>
            <w:tcMar>
              <w:top w:w="0" w:type="dxa"/>
              <w:left w:w="0" w:type="dxa"/>
              <w:bottom w:w="0" w:type="dxa"/>
              <w:right w:w="0" w:type="dxa"/>
            </w:tcMar>
          </w:tcPr>
          <w:p>
            <w:pPr>
              <w:spacing w:before="140"/>
              <w:ind w:left="100"/>
            </w:pPr>
            <w:r>
              <w:rPr>
                <w:rFonts w:hint="eastAsia" w:ascii="Times New Roman Bold" w:hAnsi="Times New Roman Bold" w:eastAsia="Times New Roman Bold" w:cs="Times New Roman Bold"/>
                <w:b/>
                <w:sz w:val="21"/>
              </w:rPr>
              <w:t>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14</w:t>
            </w:r>
          </w:p>
        </w:tc>
        <w:tc>
          <w:tcPr>
            <w:tcW w:w="1380" w:type="dxa"/>
            <w:tcMar>
              <w:top w:w="0" w:type="dxa"/>
              <w:left w:w="0" w:type="dxa"/>
              <w:bottom w:w="0" w:type="dxa"/>
              <w:right w:w="0" w:type="dxa"/>
            </w:tcMar>
          </w:tcPr>
          <w:p>
            <w:pPr>
              <w:spacing w:before="140"/>
              <w:ind w:left="5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440"/>
        <w:jc w:val="both"/>
      </w:pPr>
      <w:r>
        <w:rPr>
          <w:rFonts w:hint="eastAsia" w:ascii="宋体" w:hAnsi="宋体" w:eastAsia="宋体" w:cs="宋体"/>
          <w:b/>
          <w:sz w:val="20"/>
        </w:rPr>
        <w:t>（二）</w:t>
      </w:r>
      <w:r>
        <w:rPr>
          <w:rFonts w:hint="eastAsia" w:ascii="宋体" w:hAnsi="宋体" w:eastAsia="宋体" w:cs="宋体"/>
          <w:b/>
          <w:sz w:val="24"/>
        </w:rPr>
        <w:t>行业分布</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公司主营业务收入的行业分布情况如下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40"/>
        <w:gridCol w:w="1440"/>
        <w:gridCol w:w="1160"/>
        <w:gridCol w:w="1420"/>
        <w:gridCol w:w="1040"/>
        <w:gridCol w:w="1440"/>
        <w:gridCol w:w="1440"/>
      </w:tblGrid>
      <w:tr>
        <w:trPr>
          <w:trHeight w:val="520" w:hRule="exact"/>
        </w:trPr>
        <w:tc>
          <w:tcPr>
            <w:tcW w:w="1240" w:type="dxa"/>
            <w:vMerge w:val="restart"/>
            <w:tcMar>
              <w:top w:w="0" w:type="dxa"/>
              <w:left w:w="0" w:type="dxa"/>
              <w:bottom w:w="0" w:type="dxa"/>
              <w:right w:w="0" w:type="dxa"/>
            </w:tcMar>
          </w:tcPr>
          <w:p>
            <w:pPr>
              <w:spacing w:before="360"/>
              <w:ind w:left="200"/>
            </w:pPr>
            <w:r>
              <w:rPr>
                <w:rFonts w:hint="eastAsia" w:ascii="宋体" w:hAnsi="宋体" w:eastAsia="宋体" w:cs="宋体"/>
                <w:b/>
                <w:sz w:val="21"/>
              </w:rPr>
              <w:t>行业种类</w:t>
            </w:r>
          </w:p>
        </w:tc>
        <w:tc>
          <w:tcPr>
            <w:tcW w:w="2600" w:type="dxa"/>
            <w:gridSpan w:val="2"/>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460" w:type="dxa"/>
            <w:gridSpan w:val="2"/>
            <w:tcMar>
              <w:top w:w="0" w:type="dxa"/>
              <w:left w:w="0" w:type="dxa"/>
              <w:bottom w:w="0" w:type="dxa"/>
              <w:right w:w="0" w:type="dxa"/>
            </w:tcMar>
          </w:tcPr>
          <w:p>
            <w:pPr>
              <w:spacing w:before="120"/>
              <w:ind w:left="7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880" w:type="dxa"/>
            <w:gridSpan w:val="2"/>
            <w:tcMar>
              <w:top w:w="0" w:type="dxa"/>
              <w:left w:w="0" w:type="dxa"/>
              <w:bottom w:w="0" w:type="dxa"/>
              <w:right w:w="0" w:type="dxa"/>
            </w:tcMar>
          </w:tcPr>
          <w:p>
            <w:pPr>
              <w:spacing w:before="120"/>
              <w:ind w:left="98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40" w:hRule="exact"/>
        </w:trPr>
        <w:tc>
          <w:tcPr>
            <w:tcW w:w="1240" w:type="dxa"/>
            <w:vMerge w:val="continue"/>
            <w:tcMar>
              <w:top w:w="0" w:type="dxa"/>
              <w:left w:w="0" w:type="dxa"/>
              <w:bottom w:w="0" w:type="dxa"/>
              <w:right w:w="0" w:type="dxa"/>
            </w:tcMar>
          </w:tcPr>
          <w:p/>
        </w:tc>
        <w:tc>
          <w:tcPr>
            <w:tcW w:w="1440" w:type="dxa"/>
            <w:tcMar>
              <w:top w:w="0" w:type="dxa"/>
              <w:left w:w="0" w:type="dxa"/>
              <w:bottom w:w="0" w:type="dxa"/>
              <w:right w:w="0" w:type="dxa"/>
            </w:tcMar>
          </w:tcPr>
          <w:p>
            <w:pPr>
              <w:spacing w:before="120"/>
              <w:ind w:left="500"/>
            </w:pPr>
            <w:r>
              <w:rPr>
                <w:rFonts w:hint="eastAsia" w:ascii="宋体" w:hAnsi="宋体" w:eastAsia="宋体" w:cs="宋体"/>
                <w:b/>
                <w:sz w:val="21"/>
              </w:rPr>
              <w:t>金额</w:t>
            </w:r>
          </w:p>
        </w:tc>
        <w:tc>
          <w:tcPr>
            <w:tcW w:w="1160" w:type="dxa"/>
            <w:tcMar>
              <w:top w:w="0" w:type="dxa"/>
              <w:left w:w="0" w:type="dxa"/>
              <w:bottom w:w="0" w:type="dxa"/>
              <w:right w:w="0" w:type="dxa"/>
            </w:tcMar>
          </w:tcPr>
          <w:p>
            <w:pPr>
              <w:spacing w:before="120"/>
              <w:ind w:left="340"/>
            </w:pPr>
            <w:r>
              <w:rPr>
                <w:rFonts w:hint="eastAsia" w:ascii="宋体" w:hAnsi="宋体" w:eastAsia="宋体" w:cs="宋体"/>
                <w:b/>
                <w:sz w:val="21"/>
              </w:rPr>
              <w:t>比例</w:t>
            </w:r>
          </w:p>
        </w:tc>
        <w:tc>
          <w:tcPr>
            <w:tcW w:w="1420" w:type="dxa"/>
            <w:tcMar>
              <w:top w:w="0" w:type="dxa"/>
              <w:left w:w="0" w:type="dxa"/>
              <w:bottom w:w="0" w:type="dxa"/>
              <w:right w:w="0" w:type="dxa"/>
            </w:tcMar>
          </w:tcPr>
          <w:p>
            <w:pPr>
              <w:spacing w:before="120"/>
              <w:ind w:left="480"/>
            </w:pPr>
            <w:r>
              <w:rPr>
                <w:rFonts w:hint="eastAsia" w:ascii="宋体" w:hAnsi="宋体" w:eastAsia="宋体" w:cs="宋体"/>
                <w:b/>
                <w:sz w:val="21"/>
              </w:rPr>
              <w:t>金额</w:t>
            </w:r>
          </w:p>
        </w:tc>
        <w:tc>
          <w:tcPr>
            <w:tcW w:w="1040" w:type="dxa"/>
            <w:tcMar>
              <w:top w:w="0" w:type="dxa"/>
              <w:left w:w="0" w:type="dxa"/>
              <w:bottom w:w="0" w:type="dxa"/>
              <w:right w:w="0" w:type="dxa"/>
            </w:tcMar>
          </w:tcPr>
          <w:p>
            <w:pPr>
              <w:spacing w:before="120"/>
              <w:ind w:left="300"/>
            </w:pPr>
            <w:r>
              <w:rPr>
                <w:rFonts w:hint="eastAsia" w:ascii="宋体" w:hAnsi="宋体" w:eastAsia="宋体" w:cs="宋体"/>
                <w:b/>
                <w:sz w:val="21"/>
              </w:rPr>
              <w:t>比例</w:t>
            </w:r>
          </w:p>
        </w:tc>
        <w:tc>
          <w:tcPr>
            <w:tcW w:w="1440" w:type="dxa"/>
            <w:tcMar>
              <w:top w:w="0" w:type="dxa"/>
              <w:left w:w="0" w:type="dxa"/>
              <w:bottom w:w="0" w:type="dxa"/>
              <w:right w:w="0" w:type="dxa"/>
            </w:tcMar>
          </w:tcPr>
          <w:p>
            <w:pPr>
              <w:spacing w:before="120"/>
              <w:ind w:left="480"/>
            </w:pPr>
            <w:r>
              <w:rPr>
                <w:rFonts w:hint="eastAsia" w:ascii="宋体" w:hAnsi="宋体" w:eastAsia="宋体" w:cs="宋体"/>
                <w:b/>
                <w:sz w:val="21"/>
              </w:rPr>
              <w:t>金额</w:t>
            </w:r>
          </w:p>
        </w:tc>
        <w:tc>
          <w:tcPr>
            <w:tcW w:w="1440" w:type="dxa"/>
            <w:tcMar>
              <w:top w:w="0" w:type="dxa"/>
              <w:left w:w="0" w:type="dxa"/>
              <w:bottom w:w="0" w:type="dxa"/>
              <w:right w:w="0" w:type="dxa"/>
            </w:tcMar>
          </w:tcPr>
          <w:p>
            <w:pPr>
              <w:spacing w:before="120"/>
              <w:ind w:left="480"/>
            </w:pPr>
            <w:r>
              <w:rPr>
                <w:rFonts w:hint="eastAsia" w:ascii="宋体" w:hAnsi="宋体" w:eastAsia="宋体" w:cs="宋体"/>
                <w:b/>
                <w:sz w:val="21"/>
              </w:rPr>
              <w:t>比例</w:t>
            </w:r>
          </w:p>
        </w:tc>
      </w:tr>
      <w:tr>
        <w:trPr>
          <w:trHeight w:val="540" w:hRule="exact"/>
        </w:trPr>
        <w:tc>
          <w:tcPr>
            <w:tcW w:w="1240" w:type="dxa"/>
            <w:tcMar>
              <w:top w:w="0" w:type="dxa"/>
              <w:left w:w="0" w:type="dxa"/>
              <w:bottom w:w="0" w:type="dxa"/>
              <w:right w:w="0" w:type="dxa"/>
            </w:tcMar>
          </w:tcPr>
          <w:p>
            <w:pPr>
              <w:spacing w:before="100"/>
              <w:ind w:left="200"/>
            </w:pPr>
            <w:r>
              <w:rPr>
                <w:rFonts w:hint="eastAsia" w:ascii="宋体" w:hAnsi="宋体" w:eastAsia="宋体" w:cs="宋体"/>
                <w:sz w:val="21"/>
              </w:rPr>
              <w:t>金融行业</w:t>
            </w:r>
          </w:p>
        </w:tc>
        <w:tc>
          <w:tcPr>
            <w:tcW w:w="1440" w:type="dxa"/>
            <w:tcMar>
              <w:top w:w="0" w:type="dxa"/>
              <w:left w:w="0" w:type="dxa"/>
              <w:bottom w:w="0" w:type="dxa"/>
              <w:right w:w="0" w:type="dxa"/>
            </w:tcMar>
          </w:tcPr>
          <w:p>
            <w:pPr>
              <w:spacing w:before="140"/>
            </w:pPr>
            <w:r>
              <w:rPr>
                <w:rFonts w:hint="eastAsia" w:ascii="Times New Roman" w:hAnsi="Times New Roman" w:eastAsia="Times New Roman" w:cs="Times New Roman"/>
                <w:sz w:val="21"/>
              </w:rPr>
              <w:t>177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1160" w:type="dxa"/>
            <w:tcMar>
              <w:top w:w="0" w:type="dxa"/>
              <w:left w:w="0" w:type="dxa"/>
              <w:bottom w:w="0" w:type="dxa"/>
              <w:right w:w="0" w:type="dxa"/>
            </w:tcMar>
          </w:tcPr>
          <w:p>
            <w:pPr>
              <w:spacing w:before="140"/>
              <w:ind w:left="440"/>
            </w:pPr>
            <w:r>
              <w:rPr>
                <w:rFonts w:hint="eastAsia" w:ascii="Times New Roman" w:hAnsi="Times New Roman" w:eastAsia="Times New Roman" w:cs="Times New Roman"/>
                <w:sz w:val="21"/>
              </w:rPr>
              <w:t>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40"/>
            </w:pPr>
            <w:r>
              <w:rPr>
                <w:rFonts w:hint="eastAsia" w:ascii="Times New Roman" w:hAnsi="Times New Roman" w:eastAsia="Times New Roman" w:cs="Times New Roman"/>
                <w:sz w:val="21"/>
              </w:rPr>
              <w:t>173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c>
          <w:tcPr>
            <w:tcW w:w="104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40"/>
            </w:pPr>
            <w:r>
              <w:rPr>
                <w:rFonts w:hint="eastAsia" w:ascii="Times New Roman" w:hAnsi="Times New Roman" w:eastAsia="Times New Roman" w:cs="Times New Roman"/>
                <w:sz w:val="21"/>
              </w:rPr>
              <w:t>146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c>
          <w:tcPr>
            <w:tcW w:w="1440" w:type="dxa"/>
            <w:tcMar>
              <w:top w:w="0" w:type="dxa"/>
              <w:left w:w="0" w:type="dxa"/>
              <w:bottom w:w="0" w:type="dxa"/>
              <w:right w:w="0" w:type="dxa"/>
            </w:tcMar>
          </w:tcPr>
          <w:p>
            <w:pPr>
              <w:spacing w:before="140"/>
              <w:ind w:left="720"/>
            </w:pP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r>
      <w:tr>
        <w:trPr>
          <w:trHeight w:val="520" w:hRule="exact"/>
        </w:trPr>
        <w:tc>
          <w:tcPr>
            <w:tcW w:w="1240" w:type="dxa"/>
            <w:tcMar>
              <w:top w:w="0" w:type="dxa"/>
              <w:left w:w="0" w:type="dxa"/>
              <w:bottom w:w="0" w:type="dxa"/>
              <w:right w:w="0" w:type="dxa"/>
            </w:tcMar>
          </w:tcPr>
          <w:p>
            <w:pPr>
              <w:spacing w:before="100"/>
            </w:pPr>
            <w:r>
              <w:rPr>
                <w:rFonts w:hint="eastAsia" w:ascii="宋体" w:hAnsi="宋体" w:eastAsia="宋体" w:cs="宋体"/>
                <w:sz w:val="21"/>
              </w:rPr>
              <w:t>非金融行业</w:t>
            </w:r>
          </w:p>
        </w:tc>
        <w:tc>
          <w:tcPr>
            <w:tcW w:w="1440" w:type="dxa"/>
            <w:tcMar>
              <w:top w:w="0" w:type="dxa"/>
              <w:left w:w="0" w:type="dxa"/>
              <w:bottom w:w="0" w:type="dxa"/>
              <w:right w:w="0" w:type="dxa"/>
            </w:tcMar>
          </w:tcPr>
          <w:p>
            <w:pPr>
              <w:spacing w:before="160"/>
              <w:ind w:left="16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116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ind w:left="14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104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440" w:type="dxa"/>
            <w:tcMar>
              <w:top w:w="0" w:type="dxa"/>
              <w:left w:w="0" w:type="dxa"/>
              <w:bottom w:w="0" w:type="dxa"/>
              <w:right w:w="0" w:type="dxa"/>
            </w:tcMar>
          </w:tcPr>
          <w:p>
            <w:pPr>
              <w:spacing w:before="160"/>
              <w:ind w:left="1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44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500" w:hRule="exact"/>
        </w:trPr>
        <w:tc>
          <w:tcPr>
            <w:tcW w:w="1240" w:type="dxa"/>
            <w:tcMar>
              <w:top w:w="0" w:type="dxa"/>
              <w:left w:w="0" w:type="dxa"/>
              <w:bottom w:w="0" w:type="dxa"/>
              <w:right w:w="0" w:type="dxa"/>
            </w:tcMar>
          </w:tcPr>
          <w:p>
            <w:pPr>
              <w:spacing w:before="100"/>
              <w:ind w:left="400"/>
            </w:pPr>
            <w:r>
              <w:rPr>
                <w:rFonts w:hint="eastAsia" w:ascii="宋体" w:hAnsi="宋体" w:eastAsia="宋体" w:cs="宋体"/>
                <w:b/>
                <w:sz w:val="21"/>
              </w:rPr>
              <w:t>合计</w:t>
            </w:r>
          </w:p>
        </w:tc>
        <w:tc>
          <w:tcPr>
            <w:tcW w:w="144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1160" w:type="dxa"/>
            <w:tcMar>
              <w:top w:w="0" w:type="dxa"/>
              <w:left w:w="0" w:type="dxa"/>
              <w:bottom w:w="0" w:type="dxa"/>
              <w:right w:w="0" w:type="dxa"/>
            </w:tcMar>
          </w:tcPr>
          <w:p>
            <w:pPr>
              <w:spacing w:before="140"/>
              <w:ind w:left="3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2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1040" w:type="dxa"/>
            <w:tcMar>
              <w:top w:w="0" w:type="dxa"/>
              <w:left w:w="0" w:type="dxa"/>
              <w:bottom w:w="0" w:type="dxa"/>
              <w:right w:w="0" w:type="dxa"/>
            </w:tcMar>
          </w:tcPr>
          <w:p>
            <w:pPr>
              <w:spacing w:before="140"/>
              <w:ind w:left="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4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1440" w:type="dxa"/>
            <w:tcMar>
              <w:top w:w="0" w:type="dxa"/>
              <w:left w:w="0" w:type="dxa"/>
              <w:bottom w:w="0" w:type="dxa"/>
              <w:right w:w="0" w:type="dxa"/>
            </w:tcMar>
          </w:tcPr>
          <w:p>
            <w:pPr>
              <w:spacing w:before="140"/>
              <w:ind w:left="5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440"/>
        <w:jc w:val="both"/>
      </w:pPr>
      <w:r>
        <w:rPr>
          <w:rFonts w:hint="eastAsia" w:ascii="宋体" w:hAnsi="宋体" w:eastAsia="宋体" w:cs="宋体"/>
          <w:b/>
          <w:sz w:val="20"/>
        </w:rPr>
        <w:t>（</w:t>
      </w:r>
      <w:r>
        <w:rPr>
          <w:rFonts w:hint="eastAsia" w:ascii="宋体" w:hAnsi="宋体" w:eastAsia="宋体" w:cs="宋体"/>
          <w:b/>
          <w:sz w:val="24"/>
        </w:rPr>
        <w:t>三）地区分部</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报告期内本公司主营业务收入地区分部如下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1-1-242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38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40"/>
        <w:gridCol w:w="1560"/>
        <w:gridCol w:w="1060"/>
        <w:gridCol w:w="1500"/>
        <w:gridCol w:w="1100"/>
        <w:gridCol w:w="1580"/>
        <w:gridCol w:w="1040"/>
      </w:tblGrid>
      <w:tr>
        <w:trPr>
          <w:trHeight w:val="540" w:hRule="exact"/>
        </w:trPr>
        <w:tc>
          <w:tcPr>
            <w:tcW w:w="1340" w:type="dxa"/>
            <w:vMerge w:val="restart"/>
            <w:tcMar>
              <w:top w:w="0" w:type="dxa"/>
              <w:left w:w="0" w:type="dxa"/>
              <w:bottom w:w="0" w:type="dxa"/>
              <w:right w:w="0" w:type="dxa"/>
            </w:tcMar>
          </w:tcPr>
          <w:p>
            <w:pPr>
              <w:spacing w:before="380"/>
              <w:ind w:left="240"/>
            </w:pPr>
            <w:r>
              <w:rPr>
                <w:rFonts w:hint="eastAsia" w:ascii="宋体" w:hAnsi="宋体" w:eastAsia="宋体" w:cs="宋体"/>
                <w:b/>
                <w:sz w:val="21"/>
              </w:rPr>
              <w:t>地区名称</w:t>
            </w:r>
          </w:p>
        </w:tc>
        <w:tc>
          <w:tcPr>
            <w:tcW w:w="2620" w:type="dxa"/>
            <w:gridSpan w:val="2"/>
            <w:tcMar>
              <w:top w:w="0" w:type="dxa"/>
              <w:left w:w="0" w:type="dxa"/>
              <w:bottom w:w="0" w:type="dxa"/>
              <w:right w:w="0" w:type="dxa"/>
            </w:tcMar>
          </w:tcPr>
          <w:p>
            <w:pPr>
              <w:spacing w:before="100"/>
              <w:ind w:left="8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600" w:type="dxa"/>
            <w:gridSpan w:val="2"/>
            <w:tcMar>
              <w:top w:w="0" w:type="dxa"/>
              <w:left w:w="0" w:type="dxa"/>
              <w:bottom w:w="0" w:type="dxa"/>
              <w:right w:w="0" w:type="dxa"/>
            </w:tcMar>
          </w:tcPr>
          <w:p>
            <w:pPr>
              <w:spacing w:before="100"/>
              <w:ind w:left="84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620" w:type="dxa"/>
            <w:gridSpan w:val="2"/>
            <w:tcMar>
              <w:top w:w="0" w:type="dxa"/>
              <w:left w:w="0" w:type="dxa"/>
              <w:bottom w:w="0" w:type="dxa"/>
              <w:right w:w="0" w:type="dxa"/>
            </w:tcMar>
          </w:tcPr>
          <w:p>
            <w:pPr>
              <w:spacing w:before="100"/>
              <w:ind w:left="8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20" w:hRule="exact"/>
        </w:trPr>
        <w:tc>
          <w:tcPr>
            <w:tcW w:w="13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00"/>
              <w:ind w:left="560"/>
            </w:pPr>
            <w:r>
              <w:rPr>
                <w:rFonts w:hint="eastAsia" w:ascii="宋体" w:hAnsi="宋体" w:eastAsia="宋体" w:cs="宋体"/>
                <w:b/>
                <w:sz w:val="21"/>
              </w:rPr>
              <w:t>金额</w:t>
            </w:r>
          </w:p>
        </w:tc>
        <w:tc>
          <w:tcPr>
            <w:tcW w:w="1060" w:type="dxa"/>
            <w:tcMar>
              <w:top w:w="0" w:type="dxa"/>
              <w:left w:w="0" w:type="dxa"/>
              <w:bottom w:w="0" w:type="dxa"/>
              <w:right w:w="0" w:type="dxa"/>
            </w:tcMar>
          </w:tcPr>
          <w:p>
            <w:pPr>
              <w:spacing w:before="120"/>
              <w:ind w:left="300"/>
            </w:pPr>
            <w:r>
              <w:rPr>
                <w:rFonts w:hint="eastAsia" w:ascii="宋体" w:hAnsi="宋体" w:eastAsia="宋体" w:cs="宋体"/>
                <w:b/>
                <w:sz w:val="21"/>
              </w:rPr>
              <w:t>比例</w:t>
            </w:r>
          </w:p>
        </w:tc>
        <w:tc>
          <w:tcPr>
            <w:tcW w:w="1500" w:type="dxa"/>
            <w:tcMar>
              <w:top w:w="0" w:type="dxa"/>
              <w:left w:w="0" w:type="dxa"/>
              <w:bottom w:w="0" w:type="dxa"/>
              <w:right w:w="0" w:type="dxa"/>
            </w:tcMar>
          </w:tcPr>
          <w:p>
            <w:pPr>
              <w:spacing w:before="100"/>
              <w:ind w:left="520"/>
            </w:pPr>
            <w:r>
              <w:rPr>
                <w:rFonts w:hint="eastAsia" w:ascii="宋体" w:hAnsi="宋体" w:eastAsia="宋体" w:cs="宋体"/>
                <w:b/>
                <w:sz w:val="21"/>
              </w:rPr>
              <w:t>金额</w:t>
            </w:r>
          </w:p>
        </w:tc>
        <w:tc>
          <w:tcPr>
            <w:tcW w:w="1100" w:type="dxa"/>
            <w:tcMar>
              <w:top w:w="0" w:type="dxa"/>
              <w:left w:w="0" w:type="dxa"/>
              <w:bottom w:w="0" w:type="dxa"/>
              <w:right w:w="0" w:type="dxa"/>
            </w:tcMar>
          </w:tcPr>
          <w:p>
            <w:pPr>
              <w:spacing w:before="120"/>
              <w:ind w:left="320"/>
            </w:pPr>
            <w:r>
              <w:rPr>
                <w:rFonts w:hint="eastAsia" w:ascii="宋体" w:hAnsi="宋体" w:eastAsia="宋体" w:cs="宋体"/>
                <w:b/>
                <w:sz w:val="21"/>
              </w:rPr>
              <w:t>比例</w:t>
            </w:r>
          </w:p>
        </w:tc>
        <w:tc>
          <w:tcPr>
            <w:tcW w:w="1580" w:type="dxa"/>
            <w:tcMar>
              <w:top w:w="0" w:type="dxa"/>
              <w:left w:w="0" w:type="dxa"/>
              <w:bottom w:w="0" w:type="dxa"/>
              <w:right w:w="0" w:type="dxa"/>
            </w:tcMar>
          </w:tcPr>
          <w:p>
            <w:pPr>
              <w:spacing w:before="100"/>
              <w:ind w:left="560"/>
            </w:pPr>
            <w:r>
              <w:rPr>
                <w:rFonts w:hint="eastAsia" w:ascii="宋体" w:hAnsi="宋体" w:eastAsia="宋体" w:cs="宋体"/>
                <w:b/>
                <w:sz w:val="21"/>
              </w:rPr>
              <w:t>金额</w:t>
            </w:r>
          </w:p>
        </w:tc>
        <w:tc>
          <w:tcPr>
            <w:tcW w:w="1040" w:type="dxa"/>
            <w:tcMar>
              <w:top w:w="0" w:type="dxa"/>
              <w:left w:w="0" w:type="dxa"/>
              <w:bottom w:w="0" w:type="dxa"/>
              <w:right w:w="0" w:type="dxa"/>
            </w:tcMar>
          </w:tcPr>
          <w:p>
            <w:pPr>
              <w:spacing w:before="120"/>
              <w:ind w:left="300"/>
            </w:pPr>
            <w:r>
              <w:rPr>
                <w:rFonts w:hint="eastAsia" w:ascii="宋体" w:hAnsi="宋体" w:eastAsia="宋体" w:cs="宋体"/>
                <w:b/>
                <w:sz w:val="21"/>
              </w:rPr>
              <w:t>比例</w:t>
            </w:r>
          </w:p>
        </w:tc>
      </w:tr>
      <w:tr>
        <w:trPr>
          <w:trHeight w:val="54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华东地区</w:t>
            </w:r>
          </w:p>
        </w:tc>
        <w:tc>
          <w:tcPr>
            <w:tcW w:w="156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107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10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11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104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2"/>
              </w:rPr>
              <w:t>47.95%</w:t>
            </w:r>
          </w:p>
        </w:tc>
      </w:tr>
      <w:tr>
        <w:trPr>
          <w:trHeight w:val="52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华北地区</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10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11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104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2"/>
              </w:rPr>
              <w:t>25.59%</w:t>
            </w:r>
          </w:p>
        </w:tc>
      </w:tr>
      <w:tr>
        <w:trPr>
          <w:trHeight w:val="54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华南地区</w:t>
            </w:r>
          </w:p>
        </w:tc>
        <w:tc>
          <w:tcPr>
            <w:tcW w:w="156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10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180"/>
              <w:ind w:left="22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1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80"/>
              <w:ind w:left="30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104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2"/>
              </w:rPr>
              <w:t>14.07%</w:t>
            </w:r>
          </w:p>
        </w:tc>
      </w:tr>
      <w:tr>
        <w:trPr>
          <w:trHeight w:val="52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东北地区</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106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11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c>
          <w:tcPr>
            <w:tcW w:w="104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2"/>
              </w:rPr>
              <w:t>7.69%</w:t>
            </w:r>
          </w:p>
        </w:tc>
      </w:tr>
      <w:tr>
        <w:trPr>
          <w:trHeight w:val="54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西南地区</w:t>
            </w:r>
          </w:p>
        </w:tc>
        <w:tc>
          <w:tcPr>
            <w:tcW w:w="1560" w:type="dxa"/>
            <w:tcMar>
              <w:top w:w="0" w:type="dxa"/>
              <w:left w:w="0" w:type="dxa"/>
              <w:bottom w:w="0" w:type="dxa"/>
              <w:right w:w="0" w:type="dxa"/>
            </w:tcMar>
          </w:tcPr>
          <w:p>
            <w:pPr>
              <w:spacing w:before="180"/>
              <w:ind w:left="3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1060" w:type="dxa"/>
            <w:tcMar>
              <w:top w:w="0" w:type="dxa"/>
              <w:left w:w="0" w:type="dxa"/>
              <w:bottom w:w="0" w:type="dxa"/>
              <w:right w:w="0" w:type="dxa"/>
            </w:tcMar>
          </w:tcPr>
          <w:p>
            <w:pPr>
              <w:spacing w:before="180"/>
              <w:ind w:left="4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110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80"/>
              <w:ind w:left="4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04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2"/>
              </w:rPr>
              <w:t>1.91%</w:t>
            </w:r>
          </w:p>
        </w:tc>
      </w:tr>
      <w:tr>
        <w:trPr>
          <w:trHeight w:val="54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西北地区</w:t>
            </w:r>
          </w:p>
        </w:tc>
        <w:tc>
          <w:tcPr>
            <w:tcW w:w="156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1060" w:type="dxa"/>
            <w:tcMar>
              <w:top w:w="0" w:type="dxa"/>
              <w:left w:w="0" w:type="dxa"/>
              <w:bottom w:w="0" w:type="dxa"/>
              <w:right w:w="0" w:type="dxa"/>
            </w:tcMar>
          </w:tcPr>
          <w:p>
            <w:pPr>
              <w:spacing w:before="140"/>
              <w:ind w:left="4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c>
          <w:tcPr>
            <w:tcW w:w="110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c>
          <w:tcPr>
            <w:tcW w:w="104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2"/>
              </w:rPr>
              <w:t>2.80%</w:t>
            </w:r>
          </w:p>
        </w:tc>
      </w:tr>
      <w:tr>
        <w:trPr>
          <w:trHeight w:val="480" w:hRule="exact"/>
        </w:trPr>
        <w:tc>
          <w:tcPr>
            <w:tcW w:w="1340" w:type="dxa"/>
            <w:tcMar>
              <w:top w:w="0" w:type="dxa"/>
              <w:left w:w="0" w:type="dxa"/>
              <w:bottom w:w="0" w:type="dxa"/>
              <w:right w:w="0" w:type="dxa"/>
            </w:tcMar>
          </w:tcPr>
          <w:p>
            <w:pPr>
              <w:spacing w:before="100"/>
              <w:ind w:left="440"/>
            </w:pPr>
            <w:r>
              <w:rPr>
                <w:rFonts w:hint="eastAsia" w:ascii="宋体" w:hAnsi="宋体" w:eastAsia="宋体" w:cs="宋体"/>
                <w:b/>
                <w:sz w:val="21"/>
              </w:rPr>
              <w:t>合计</w:t>
            </w:r>
          </w:p>
        </w:tc>
        <w:tc>
          <w:tcPr>
            <w:tcW w:w="1560" w:type="dxa"/>
            <w:tcMar>
              <w:top w:w="0" w:type="dxa"/>
              <w:left w:w="0" w:type="dxa"/>
              <w:bottom w:w="0" w:type="dxa"/>
              <w:right w:w="0" w:type="dxa"/>
            </w:tcMar>
          </w:tcPr>
          <w:p>
            <w:pPr>
              <w:spacing w:before="160"/>
              <w:ind w:left="18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1060" w:type="dxa"/>
            <w:tcMar>
              <w:top w:w="0" w:type="dxa"/>
              <w:left w:w="0" w:type="dxa"/>
              <w:bottom w:w="0" w:type="dxa"/>
              <w:right w:w="0" w:type="dxa"/>
            </w:tcMar>
          </w:tcPr>
          <w:p>
            <w:pPr>
              <w:spacing w:before="160"/>
              <w:ind w:left="2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00" w:type="dxa"/>
            <w:tcMar>
              <w:top w:w="0" w:type="dxa"/>
              <w:left w:w="0" w:type="dxa"/>
              <w:bottom w:w="0" w:type="dxa"/>
              <w:right w:w="0" w:type="dxa"/>
            </w:tcMar>
          </w:tcPr>
          <w:p>
            <w:pPr>
              <w:spacing w:before="160"/>
              <w:ind w:left="10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1100" w:type="dxa"/>
            <w:tcMar>
              <w:top w:w="0" w:type="dxa"/>
              <w:left w:w="0" w:type="dxa"/>
              <w:bottom w:w="0" w:type="dxa"/>
              <w:right w:w="0" w:type="dxa"/>
            </w:tcMar>
          </w:tcPr>
          <w:p>
            <w:pPr>
              <w:spacing w:before="160"/>
              <w:ind w:left="2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80" w:type="dxa"/>
            <w:tcMar>
              <w:top w:w="0" w:type="dxa"/>
              <w:left w:w="0" w:type="dxa"/>
              <w:bottom w:w="0" w:type="dxa"/>
              <w:right w:w="0" w:type="dxa"/>
            </w:tcMar>
          </w:tcPr>
          <w:p>
            <w:pPr>
              <w:spacing w:before="160"/>
              <w:ind w:left="20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1040" w:type="dxa"/>
            <w:tcMar>
              <w:top w:w="0" w:type="dxa"/>
              <w:left w:w="0" w:type="dxa"/>
              <w:bottom w:w="0" w:type="dxa"/>
              <w:right w:w="0" w:type="dxa"/>
            </w:tcMar>
          </w:tcPr>
          <w:p>
            <w:pPr>
              <w:spacing w:before="140"/>
              <w:ind w:left="140"/>
            </w:pPr>
            <w:r>
              <w:rPr>
                <w:rFonts w:hint="eastAsia" w:ascii="Times New Roman Bold" w:hAnsi="Times New Roman Bold" w:eastAsia="Times New Roman Bold" w:cs="Times New Roman Bold"/>
                <w:b/>
                <w:sz w:val="22"/>
              </w:rPr>
              <w:t>100.00%</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jc w:val="both"/>
      </w:pPr>
      <w:r>
        <w:rPr>
          <w:rFonts w:hint="eastAsia" w:ascii="ºÚÌå" w:hAnsi="ºÚÌå" w:eastAsia="ºÚÌå" w:cs="ºÚÌå"/>
          <w:sz w:val="30"/>
        </w:rPr>
        <w:t>七</w:t>
      </w:r>
      <w:r>
        <w:rPr>
          <w:rFonts w:hint="eastAsia" w:ascii="ºÚÌå" w:hAnsi="ºÚÌå" w:eastAsia="ºÚÌå" w:cs="ºÚÌå"/>
          <w:sz w:val="10"/>
        </w:rPr>
        <w:t>、</w:t>
      </w:r>
      <w:r>
        <w:rPr>
          <w:rFonts w:hint="eastAsia" w:ascii="ºÚÌå" w:hAnsi="ºÚÌå" w:eastAsia="ºÚÌå" w:cs="ºÚÌå"/>
          <w:sz w:val="30"/>
        </w:rPr>
        <w:t>经注册会计师鉴证的非经常性损益明细表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致同所对本公司报告期内的非经常性损益进行了专项审核</w:t>
      </w:r>
      <w:r>
        <w:rPr>
          <w:rFonts w:hint="eastAsia" w:ascii="宋体" w:hAnsi="宋体" w:eastAsia="宋体" w:cs="宋体"/>
          <w:sz w:val="10"/>
        </w:rPr>
        <w:t>，</w:t>
      </w:r>
      <w:r>
        <w:rPr>
          <w:rFonts w:hint="eastAsia" w:ascii="宋体" w:hAnsi="宋体" w:eastAsia="宋体" w:cs="宋体"/>
          <w:sz w:val="24"/>
        </w:rPr>
        <w:t>并出具了</w:t>
      </w:r>
      <w:r>
        <w:rPr>
          <w:rFonts w:hint="eastAsia" w:ascii="宋体" w:hAnsi="宋体" w:eastAsia="宋体" w:cs="宋体"/>
          <w:sz w:val="10"/>
        </w:rPr>
        <w:t>“</w:t>
      </w:r>
      <w:r>
        <w:rPr>
          <w:rFonts w:hint="eastAsia" w:ascii="宋体" w:hAnsi="宋体" w:eastAsia="宋体" w:cs="宋体"/>
          <w:sz w:val="24"/>
        </w:rPr>
        <w:t>致同专字</w:t>
      </w:r>
      <w:r>
        <w:rPr>
          <w:rFonts w:hint="eastAsia" w:ascii="Times New Roman" w:hAnsi="Times New Roman" w:eastAsia="Times New Roman" w:cs="Times New Roman"/>
          <w:sz w:val="24"/>
        </w:rPr>
        <w:t>(2017)</w:t>
      </w:r>
      <w:r>
        <w:rPr>
          <w:rFonts w:hint="eastAsia" w:ascii="宋体" w:hAnsi="宋体" w:eastAsia="宋体" w:cs="宋体"/>
          <w:sz w:val="24"/>
        </w:rPr>
        <w:t>第</w:t>
      </w:r>
      <w:r>
        <w:rPr>
          <w:rFonts w:hint="eastAsia" w:ascii="Times New Roman" w:hAnsi="Times New Roman" w:eastAsia="Times New Roman" w:cs="Times New Roman"/>
          <w:sz w:val="24"/>
        </w:rPr>
        <w:t xml:space="preserve"> 350ZA0203</w:t>
      </w:r>
      <w:r>
        <w:rPr>
          <w:rFonts w:hint="eastAsia" w:ascii="宋体" w:hAnsi="宋体" w:eastAsia="宋体" w:cs="宋体"/>
          <w:sz w:val="24"/>
        </w:rPr>
        <w:t xml:space="preserve"> 号</w:t>
      </w:r>
      <w:r>
        <w:rPr>
          <w:rFonts w:hint="eastAsia" w:ascii="宋体" w:hAnsi="宋体" w:eastAsia="宋体" w:cs="宋体"/>
          <w:sz w:val="10"/>
        </w:rPr>
        <w:t>”《</w:t>
      </w:r>
      <w:r>
        <w:rPr>
          <w:rFonts w:hint="eastAsia" w:ascii="宋体" w:hAnsi="宋体" w:eastAsia="宋体" w:cs="宋体"/>
          <w:sz w:val="24"/>
        </w:rPr>
        <w:t>非经常性损益的审核报告》。</w:t>
      </w:r>
      <w:r>
        <w:rPr>
          <w:rFonts w:hint="eastAsia" w:ascii="宋体" w:hAnsi="宋体" w:eastAsia="宋体" w:cs="宋体"/>
          <w:sz w:val="24"/>
        </w:rPr>
        <w:t>本公司报告期内的非经常性损益发生额情况如下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00"/>
        <w:gridCol w:w="2300"/>
        <w:gridCol w:w="2280"/>
        <w:gridCol w:w="2300"/>
      </w:tblGrid>
      <w:tr>
        <w:trPr>
          <w:trHeight w:val="480" w:hRule="exact"/>
        </w:trPr>
        <w:tc>
          <w:tcPr>
            <w:tcW w:w="2300" w:type="dxa"/>
            <w:tcMar>
              <w:top w:w="0" w:type="dxa"/>
              <w:left w:w="0" w:type="dxa"/>
              <w:bottom w:w="0" w:type="dxa"/>
              <w:right w:w="0" w:type="dxa"/>
            </w:tcMar>
          </w:tcPr>
          <w:p>
            <w:pPr>
              <w:spacing w:before="120"/>
              <w:ind w:left="880"/>
            </w:pPr>
            <w:r>
              <w:rPr>
                <w:rFonts w:hint="eastAsia" w:ascii="宋体" w:hAnsi="宋体" w:eastAsia="宋体" w:cs="宋体"/>
                <w:b/>
                <w:sz w:val="21"/>
              </w:rPr>
              <w:t>项目</w:t>
            </w:r>
          </w:p>
        </w:tc>
        <w:tc>
          <w:tcPr>
            <w:tcW w:w="2300" w:type="dxa"/>
            <w:tcMar>
              <w:top w:w="0" w:type="dxa"/>
              <w:left w:w="0" w:type="dxa"/>
              <w:bottom w:w="0" w:type="dxa"/>
              <w:right w:w="0" w:type="dxa"/>
            </w:tcMar>
          </w:tcPr>
          <w:p>
            <w:pPr>
              <w:spacing w:before="120"/>
              <w:ind w:left="6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280" w:type="dxa"/>
            <w:tcMar>
              <w:top w:w="0" w:type="dxa"/>
              <w:left w:w="0" w:type="dxa"/>
              <w:bottom w:w="0" w:type="dxa"/>
              <w:right w:w="0" w:type="dxa"/>
            </w:tcMar>
          </w:tcPr>
          <w:p>
            <w:pPr>
              <w:spacing w:before="120"/>
              <w:ind w:left="62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20"/>
              <w:ind w:left="6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40" w:hRule="exact"/>
        </w:trPr>
        <w:tc>
          <w:tcPr>
            <w:tcW w:w="2300" w:type="dxa"/>
            <w:tcMar>
              <w:top w:w="0" w:type="dxa"/>
              <w:left w:w="0" w:type="dxa"/>
              <w:bottom w:w="0" w:type="dxa"/>
              <w:right w:w="0" w:type="dxa"/>
            </w:tcMar>
          </w:tcPr>
          <w:p>
            <w:pPr>
              <w:spacing w:before="40"/>
            </w:pPr>
            <w:r>
              <w:rPr>
                <w:rFonts w:hint="eastAsia" w:ascii="Times New Roman" w:hAnsi="Times New Roman" w:eastAsia="Times New Roman" w:cs="Times New Roman"/>
                <w:sz w:val="21"/>
              </w:rPr>
              <w:t>1</w:t>
            </w:r>
            <w:r>
              <w:rPr>
                <w:rFonts w:hint="eastAsia" w:ascii="宋体" w:hAnsi="宋体" w:eastAsia="宋体" w:cs="宋体"/>
                <w:sz w:val="10"/>
              </w:rPr>
              <w:t>、</w:t>
            </w:r>
            <w:r>
              <w:rPr>
                <w:rFonts w:hint="eastAsia" w:ascii="宋体" w:hAnsi="宋体" w:eastAsia="宋体" w:cs="宋体"/>
                <w:sz w:val="21"/>
              </w:rPr>
              <w:t>非流动性资产处置损</w:t>
            </w:r>
          </w:p>
          <w:p>
            <w:pPr>
              <w:spacing w:before="100"/>
            </w:pPr>
            <w:r>
              <w:rPr>
                <w:rFonts w:hint="eastAsia" w:ascii="宋体" w:hAnsi="宋体" w:eastAsia="宋体" w:cs="宋体"/>
                <w:sz w:val="21"/>
              </w:rPr>
              <w:t>益</w:t>
            </w:r>
          </w:p>
        </w:tc>
        <w:tc>
          <w:tcPr>
            <w:tcW w:w="2300" w:type="dxa"/>
            <w:tcMar>
              <w:top w:w="0" w:type="dxa"/>
              <w:left w:w="0" w:type="dxa"/>
              <w:bottom w:w="0" w:type="dxa"/>
              <w:right w:w="0" w:type="dxa"/>
            </w:tcMar>
          </w:tcPr>
          <w:p>
            <w:pPr>
              <w:spacing w:before="220"/>
              <w:ind w:left="14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2280" w:type="dxa"/>
            <w:tcMar>
              <w:top w:w="0" w:type="dxa"/>
              <w:left w:w="0" w:type="dxa"/>
              <w:bottom w:w="0" w:type="dxa"/>
              <w:right w:w="0" w:type="dxa"/>
            </w:tcMar>
          </w:tcPr>
          <w:p>
            <w:pPr>
              <w:spacing w:before="220"/>
              <w:ind w:left="1140"/>
            </w:pPr>
            <w:r>
              <w:rPr>
                <w:rFonts w:hint="eastAsia" w:ascii="Times New Roman" w:hAnsi="Times New Roman" w:eastAsia="Times New Roman" w:cs="Times New Roman"/>
                <w:sz w:val="21"/>
              </w:rPr>
              <w:t>-166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2300" w:type="dxa"/>
            <w:tcMar>
              <w:top w:w="0" w:type="dxa"/>
              <w:left w:w="0" w:type="dxa"/>
              <w:bottom w:w="0" w:type="dxa"/>
              <w:right w:w="0" w:type="dxa"/>
            </w:tcMar>
          </w:tcPr>
          <w:p>
            <w:pPr>
              <w:spacing w:before="220"/>
              <w:ind w:left="1160"/>
            </w:pPr>
            <w:r>
              <w:rPr>
                <w:rFonts w:hint="eastAsia" w:ascii="Times New Roman" w:hAnsi="Times New Roman" w:eastAsia="Times New Roman" w:cs="Times New Roman"/>
                <w:sz w:val="21"/>
              </w:rPr>
              <w:t>-325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r>
      <w:tr>
        <w:trPr>
          <w:trHeight w:val="1880" w:hRule="exact"/>
        </w:trPr>
        <w:tc>
          <w:tcPr>
            <w:tcW w:w="2300" w:type="dxa"/>
            <w:tcMar>
              <w:top w:w="0" w:type="dxa"/>
              <w:left w:w="0" w:type="dxa"/>
              <w:bottom w:w="0" w:type="dxa"/>
              <w:right w:w="0" w:type="dxa"/>
            </w:tcMar>
          </w:tcPr>
          <w:p>
            <w:pPr>
              <w:spacing w:before="20"/>
            </w:pPr>
            <w:r>
              <w:rPr>
                <w:rFonts w:hint="eastAsia" w:ascii="Times New Roman" w:hAnsi="Times New Roman" w:eastAsia="Times New Roman" w:cs="Times New Roman"/>
                <w:sz w:val="21"/>
              </w:rPr>
              <w:t>2</w:t>
            </w:r>
            <w:r>
              <w:rPr>
                <w:rFonts w:hint="eastAsia" w:ascii="宋体" w:hAnsi="宋体" w:eastAsia="宋体" w:cs="宋体"/>
                <w:sz w:val="10"/>
              </w:rPr>
              <w:t>、</w:t>
            </w:r>
            <w:r>
              <w:rPr>
                <w:rFonts w:hint="eastAsia" w:ascii="宋体" w:hAnsi="宋体" w:eastAsia="宋体" w:cs="宋体"/>
                <w:sz w:val="21"/>
              </w:rPr>
              <w:t>计入当期损益的政府</w:t>
            </w:r>
          </w:p>
          <w:p>
            <w:pPr>
              <w:spacing w:before="120"/>
            </w:pPr>
            <w:r>
              <w:rPr>
                <w:rFonts w:hint="eastAsia" w:ascii="宋体" w:hAnsi="宋体" w:eastAsia="宋体" w:cs="宋体"/>
                <w:sz w:val="21"/>
              </w:rPr>
              <w:t>补助</w:t>
            </w:r>
            <w:r>
              <w:rPr>
                <w:rFonts w:hint="eastAsia" w:ascii="宋体" w:hAnsi="宋体" w:eastAsia="宋体" w:cs="宋体"/>
                <w:sz w:val="20"/>
              </w:rPr>
              <w:t>（</w:t>
            </w:r>
            <w:r>
              <w:rPr>
                <w:rFonts w:hint="eastAsia" w:ascii="宋体" w:hAnsi="宋体" w:eastAsia="宋体" w:cs="宋体"/>
                <w:sz w:val="21"/>
              </w:rPr>
              <w:t>与公司正常经营</w:t>
            </w:r>
          </w:p>
          <w:p>
            <w:pPr>
              <w:spacing w:before="100"/>
            </w:pPr>
            <w:r>
              <w:rPr>
                <w:rFonts w:hint="eastAsia" w:ascii="宋体" w:hAnsi="宋体" w:eastAsia="宋体" w:cs="宋体"/>
                <w:sz w:val="21"/>
              </w:rPr>
              <w:t>业务密切相关</w:t>
            </w:r>
            <w:r>
              <w:rPr>
                <w:rFonts w:hint="eastAsia" w:ascii="宋体" w:hAnsi="宋体" w:eastAsia="宋体" w:cs="宋体"/>
                <w:sz w:val="10"/>
              </w:rPr>
              <w:t>，</w:t>
            </w:r>
            <w:r>
              <w:rPr>
                <w:rFonts w:hint="eastAsia" w:ascii="宋体" w:hAnsi="宋体" w:eastAsia="宋体" w:cs="宋体"/>
                <w:sz w:val="21"/>
              </w:rPr>
              <w:t>符合国</w:t>
            </w:r>
          </w:p>
          <w:p>
            <w:pPr>
              <w:spacing w:before="100"/>
            </w:pPr>
            <w:r>
              <w:rPr>
                <w:rFonts w:hint="eastAsia" w:ascii="宋体" w:hAnsi="宋体" w:eastAsia="宋体" w:cs="宋体"/>
                <w:sz w:val="21"/>
              </w:rPr>
              <w:t>家政策规定</w:t>
            </w:r>
            <w:r>
              <w:rPr>
                <w:rFonts w:hint="eastAsia" w:ascii="宋体" w:hAnsi="宋体" w:eastAsia="宋体" w:cs="宋体"/>
                <w:sz w:val="10"/>
              </w:rPr>
              <w:t>、</w:t>
            </w:r>
            <w:r>
              <w:rPr>
                <w:rFonts w:hint="eastAsia" w:ascii="宋体" w:hAnsi="宋体" w:eastAsia="宋体" w:cs="宋体"/>
                <w:sz w:val="21"/>
              </w:rPr>
              <w:t>按照</w:t>
            </w:r>
            <w:r>
              <w:rPr>
                <w:rFonts w:hint="eastAsia" w:ascii="宋体" w:hAnsi="宋体" w:eastAsia="宋体" w:cs="宋体"/>
                <w:sz w:val="20"/>
              </w:rPr>
              <w:t>一</w:t>
            </w:r>
            <w:r>
              <w:rPr>
                <w:rFonts w:hint="eastAsia" w:ascii="宋体" w:hAnsi="宋体" w:eastAsia="宋体" w:cs="宋体"/>
                <w:sz w:val="21"/>
              </w:rPr>
              <w:t>定</w:t>
            </w:r>
          </w:p>
          <w:p>
            <w:pPr>
              <w:spacing w:before="100"/>
            </w:pPr>
            <w:r>
              <w:rPr>
                <w:rFonts w:hint="eastAsia" w:ascii="宋体" w:hAnsi="宋体" w:eastAsia="宋体" w:cs="宋体"/>
                <w:sz w:val="21"/>
              </w:rPr>
              <w:t>标准定额或定量持续享</w:t>
            </w:r>
          </w:p>
          <w:p>
            <w:pPr>
              <w:spacing w:before="80"/>
            </w:pPr>
            <w:r>
              <w:rPr>
                <w:rFonts w:hint="eastAsia" w:ascii="宋体" w:hAnsi="宋体" w:eastAsia="宋体" w:cs="宋体"/>
                <w:sz w:val="21"/>
              </w:rPr>
              <w:t>受的政府补助除外</w:t>
            </w:r>
            <w:r>
              <w:rPr>
                <w:rFonts w:hint="eastAsia" w:ascii="宋体" w:hAnsi="宋体" w:eastAsia="宋体" w:cs="宋体"/>
                <w:sz w:val="20"/>
              </w:rPr>
              <w:t>）</w:t>
            </w:r>
          </w:p>
        </w:tc>
        <w:tc>
          <w:tcPr>
            <w:tcW w:w="2300" w:type="dxa"/>
            <w:tcMar>
              <w:top w:w="0" w:type="dxa"/>
              <w:left w:w="0" w:type="dxa"/>
              <w:bottom w:w="0" w:type="dxa"/>
              <w:right w:w="0" w:type="dxa"/>
            </w:tcMar>
          </w:tcPr>
          <w:p>
            <w:pPr>
              <w:spacing w:before="840"/>
              <w:ind w:left="1220"/>
            </w:pPr>
            <w:r>
              <w:rPr>
                <w:rFonts w:hint="eastAsia" w:ascii="Times New Roman" w:hAnsi="Times New Roman" w:eastAsia="Times New Roman" w:cs="Times New Roman"/>
                <w:sz w:val="21"/>
              </w:rPr>
              <w:t>943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280" w:type="dxa"/>
            <w:tcMar>
              <w:top w:w="0" w:type="dxa"/>
              <w:left w:w="0" w:type="dxa"/>
              <w:bottom w:w="0" w:type="dxa"/>
              <w:right w:w="0" w:type="dxa"/>
            </w:tcMar>
          </w:tcPr>
          <w:p>
            <w:pPr>
              <w:spacing w:before="840"/>
              <w:ind w:left="96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840"/>
              <w:ind w:left="10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640" w:hRule="exact"/>
        </w:trPr>
        <w:tc>
          <w:tcPr>
            <w:tcW w:w="2300" w:type="dxa"/>
            <w:tcMar>
              <w:top w:w="0" w:type="dxa"/>
              <w:left w:w="0" w:type="dxa"/>
              <w:bottom w:w="0" w:type="dxa"/>
              <w:right w:w="0" w:type="dxa"/>
            </w:tcMar>
          </w:tcPr>
          <w:p>
            <w:pPr>
              <w:spacing w:before="40"/>
            </w:pPr>
            <w:r>
              <w:rPr>
                <w:rFonts w:hint="eastAsia" w:ascii="Times New Roman" w:hAnsi="Times New Roman" w:eastAsia="Times New Roman" w:cs="Times New Roman"/>
                <w:sz w:val="21"/>
              </w:rPr>
              <w:t>3</w:t>
            </w:r>
            <w:r>
              <w:rPr>
                <w:rFonts w:hint="eastAsia" w:ascii="宋体" w:hAnsi="宋体" w:eastAsia="宋体" w:cs="宋体"/>
                <w:sz w:val="10"/>
              </w:rPr>
              <w:t>、</w:t>
            </w:r>
            <w:r>
              <w:rPr>
                <w:rFonts w:hint="eastAsia" w:ascii="宋体" w:hAnsi="宋体" w:eastAsia="宋体" w:cs="宋体"/>
                <w:sz w:val="21"/>
              </w:rPr>
              <w:t>除上述各项之外的其</w:t>
            </w:r>
          </w:p>
          <w:p>
            <w:pPr>
              <w:spacing w:before="100"/>
            </w:pPr>
            <w:r>
              <w:rPr>
                <w:rFonts w:hint="eastAsia" w:ascii="宋体" w:hAnsi="宋体" w:eastAsia="宋体" w:cs="宋体"/>
                <w:sz w:val="21"/>
              </w:rPr>
              <w:t>他营业外收入和支出</w:t>
            </w:r>
          </w:p>
        </w:tc>
        <w:tc>
          <w:tcPr>
            <w:tcW w:w="2300" w:type="dxa"/>
            <w:tcMar>
              <w:top w:w="0" w:type="dxa"/>
              <w:left w:w="0" w:type="dxa"/>
              <w:bottom w:w="0" w:type="dxa"/>
              <w:right w:w="0" w:type="dxa"/>
            </w:tcMar>
          </w:tcPr>
          <w:p>
            <w:pPr>
              <w:spacing w:before="220"/>
              <w:ind w:left="1140"/>
            </w:pPr>
            <w:r>
              <w:rPr>
                <w:rFonts w:hint="eastAsia" w:ascii="Times New Roman" w:hAnsi="Times New Roman" w:eastAsia="Times New Roman" w:cs="Times New Roman"/>
                <w:sz w:val="21"/>
              </w:rPr>
              <w:t>-125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280" w:type="dxa"/>
            <w:tcMar>
              <w:top w:w="0" w:type="dxa"/>
              <w:left w:w="0" w:type="dxa"/>
              <w:bottom w:w="0" w:type="dxa"/>
              <w:right w:w="0" w:type="dxa"/>
            </w:tcMar>
          </w:tcPr>
          <w:p>
            <w:pPr>
              <w:spacing w:before="240"/>
              <w:ind w:left="14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220"/>
              <w:ind w:left="14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p>
        </w:tc>
      </w:tr>
      <w:tr>
        <w:trPr>
          <w:trHeight w:val="460" w:hRule="exact"/>
        </w:trPr>
        <w:tc>
          <w:tcPr>
            <w:tcW w:w="2300" w:type="dxa"/>
            <w:tcMar>
              <w:top w:w="0" w:type="dxa"/>
              <w:left w:w="0" w:type="dxa"/>
              <w:bottom w:w="0" w:type="dxa"/>
              <w:right w:w="0" w:type="dxa"/>
            </w:tcMar>
          </w:tcPr>
          <w:p>
            <w:pPr>
              <w:spacing w:before="120"/>
            </w:pPr>
            <w:r>
              <w:rPr>
                <w:rFonts w:hint="eastAsia" w:ascii="宋体" w:hAnsi="宋体" w:eastAsia="宋体" w:cs="宋体"/>
                <w:b/>
                <w:sz w:val="21"/>
              </w:rPr>
              <w:t>非经常性损益合计</w:t>
            </w:r>
          </w:p>
        </w:tc>
        <w:tc>
          <w:tcPr>
            <w:tcW w:w="2300" w:type="dxa"/>
            <w:tcMar>
              <w:top w:w="0" w:type="dxa"/>
              <w:left w:w="0" w:type="dxa"/>
              <w:bottom w:w="0" w:type="dxa"/>
              <w:right w:w="0" w:type="dxa"/>
            </w:tcMar>
          </w:tcPr>
          <w:p>
            <w:pPr>
              <w:spacing w:before="160"/>
              <w:ind w:left="1220"/>
            </w:pPr>
            <w:r>
              <w:rPr>
                <w:rFonts w:hint="eastAsia" w:ascii="Times New Roman" w:hAnsi="Times New Roman" w:eastAsia="Times New Roman" w:cs="Times New Roman"/>
                <w:sz w:val="21"/>
              </w:rPr>
              <w:t>822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c>
          <w:tcPr>
            <w:tcW w:w="2280" w:type="dxa"/>
            <w:tcMar>
              <w:top w:w="0" w:type="dxa"/>
              <w:left w:w="0" w:type="dxa"/>
              <w:bottom w:w="0" w:type="dxa"/>
              <w:right w:w="0" w:type="dxa"/>
            </w:tcMar>
          </w:tcPr>
          <w:p>
            <w:pPr>
              <w:spacing w:before="160"/>
              <w:ind w:left="96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c>
          <w:tcPr>
            <w:tcW w:w="2300" w:type="dxa"/>
            <w:tcMar>
              <w:top w:w="0" w:type="dxa"/>
              <w:left w:w="0" w:type="dxa"/>
              <w:bottom w:w="0" w:type="dxa"/>
              <w:right w:w="0" w:type="dxa"/>
            </w:tcMar>
          </w:tcPr>
          <w:p>
            <w:pPr>
              <w:spacing w:before="160"/>
              <w:ind w:left="10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r>
        <w:trPr>
          <w:trHeight w:val="480" w:hRule="exact"/>
        </w:trPr>
        <w:tc>
          <w:tcPr>
            <w:tcW w:w="2300" w:type="dxa"/>
            <w:tcMar>
              <w:top w:w="0" w:type="dxa"/>
              <w:left w:w="0" w:type="dxa"/>
              <w:bottom w:w="0" w:type="dxa"/>
              <w:right w:w="0" w:type="dxa"/>
            </w:tcMar>
          </w:tcPr>
          <w:p>
            <w:pPr>
              <w:spacing w:before="12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所得税影响数额</w:t>
            </w:r>
          </w:p>
        </w:tc>
        <w:tc>
          <w:tcPr>
            <w:tcW w:w="2300" w:type="dxa"/>
            <w:tcMar>
              <w:top w:w="0" w:type="dxa"/>
              <w:left w:w="0" w:type="dxa"/>
              <w:bottom w:w="0" w:type="dxa"/>
              <w:right w:w="0" w:type="dxa"/>
            </w:tcMar>
          </w:tcPr>
          <w:p>
            <w:pPr>
              <w:spacing w:before="180"/>
              <w:ind w:left="1320"/>
            </w:pP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2280" w:type="dxa"/>
            <w:tcMar>
              <w:top w:w="0" w:type="dxa"/>
              <w:left w:w="0" w:type="dxa"/>
              <w:bottom w:w="0" w:type="dxa"/>
              <w:right w:w="0" w:type="dxa"/>
            </w:tcMar>
          </w:tcPr>
          <w:p>
            <w:pPr>
              <w:spacing w:before="180"/>
              <w:ind w:left="10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180"/>
              <w:ind w:left="1220"/>
            </w:pPr>
            <w:r>
              <w:rPr>
                <w:rFonts w:hint="eastAsia" w:ascii="Times New Roman" w:hAnsi="Times New Roman" w:eastAsia="Times New Roman" w:cs="Times New Roman"/>
                <w:sz w:val="21"/>
              </w:rPr>
              <w:t>141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r>
      <w:tr>
        <w:trPr>
          <w:trHeight w:val="480" w:hRule="exact"/>
        </w:trPr>
        <w:tc>
          <w:tcPr>
            <w:tcW w:w="2300" w:type="dxa"/>
            <w:tcMar>
              <w:top w:w="0" w:type="dxa"/>
              <w:left w:w="0" w:type="dxa"/>
              <w:bottom w:w="0" w:type="dxa"/>
              <w:right w:w="0" w:type="dxa"/>
            </w:tcMar>
          </w:tcPr>
          <w:p>
            <w:pPr>
              <w:spacing w:before="120"/>
            </w:pPr>
            <w:r>
              <w:rPr>
                <w:rFonts w:hint="eastAsia" w:ascii="宋体" w:hAnsi="宋体" w:eastAsia="宋体" w:cs="宋体"/>
                <w:sz w:val="21"/>
              </w:rPr>
              <w:t>非经常性损益净额</w:t>
            </w:r>
          </w:p>
        </w:tc>
        <w:tc>
          <w:tcPr>
            <w:tcW w:w="2300" w:type="dxa"/>
            <w:tcMar>
              <w:top w:w="0" w:type="dxa"/>
              <w:left w:w="0" w:type="dxa"/>
              <w:bottom w:w="0" w:type="dxa"/>
              <w:right w:w="0" w:type="dxa"/>
            </w:tcMar>
          </w:tcPr>
          <w:p>
            <w:pPr>
              <w:spacing w:before="160"/>
              <w:ind w:left="1220"/>
            </w:pPr>
            <w:r>
              <w:rPr>
                <w:rFonts w:hint="eastAsia" w:ascii="Times New Roman" w:hAnsi="Times New Roman" w:eastAsia="Times New Roman" w:cs="Times New Roman"/>
                <w:sz w:val="21"/>
              </w:rPr>
              <w:t>724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2280" w:type="dxa"/>
            <w:tcMar>
              <w:top w:w="0" w:type="dxa"/>
              <w:left w:w="0" w:type="dxa"/>
              <w:bottom w:w="0" w:type="dxa"/>
              <w:right w:w="0" w:type="dxa"/>
            </w:tcMar>
          </w:tcPr>
          <w:p>
            <w:pPr>
              <w:spacing w:before="160"/>
              <w:ind w:left="96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c>
          <w:tcPr>
            <w:tcW w:w="2300" w:type="dxa"/>
            <w:tcMar>
              <w:top w:w="0" w:type="dxa"/>
              <w:left w:w="0" w:type="dxa"/>
              <w:bottom w:w="0" w:type="dxa"/>
              <w:right w:w="0" w:type="dxa"/>
            </w:tcMar>
          </w:tcPr>
          <w:p>
            <w:pPr>
              <w:spacing w:before="160"/>
              <w:ind w:left="1220"/>
            </w:pPr>
            <w:r>
              <w:rPr>
                <w:rFonts w:hint="eastAsia" w:ascii="Times New Roman" w:hAnsi="Times New Roman" w:eastAsia="Times New Roman" w:cs="Times New Roman"/>
                <w:sz w:val="21"/>
              </w:rPr>
              <w:t>901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r>
      <w:tr>
        <w:trPr>
          <w:trHeight w:val="620" w:hRule="exact"/>
        </w:trPr>
        <w:tc>
          <w:tcPr>
            <w:tcW w:w="2300" w:type="dxa"/>
            <w:tcMar>
              <w:top w:w="0" w:type="dxa"/>
              <w:left w:w="0" w:type="dxa"/>
              <w:bottom w:w="0" w:type="dxa"/>
              <w:right w:w="0" w:type="dxa"/>
            </w:tcMar>
          </w:tcPr>
          <w:p>
            <w:pPr>
              <w:spacing w:before="4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归属于少数股东的</w:t>
            </w:r>
          </w:p>
          <w:p>
            <w:pPr>
              <w:spacing w:before="100"/>
            </w:pPr>
            <w:r>
              <w:rPr>
                <w:rFonts w:hint="eastAsia" w:ascii="宋体" w:hAnsi="宋体" w:eastAsia="宋体" w:cs="宋体"/>
                <w:sz w:val="21"/>
              </w:rPr>
              <w:t>非经常性损益净影响数</w:t>
            </w:r>
          </w:p>
        </w:tc>
        <w:tc>
          <w:tcPr>
            <w:tcW w:w="2300" w:type="dxa"/>
            <w:tcMar>
              <w:top w:w="0" w:type="dxa"/>
              <w:left w:w="0" w:type="dxa"/>
              <w:bottom w:w="0" w:type="dxa"/>
              <w:right w:w="0" w:type="dxa"/>
            </w:tcMar>
          </w:tcPr>
          <w:p>
            <w:pPr>
              <w:spacing w:before="240"/>
              <w:ind w:left="1320"/>
            </w:pP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280" w:type="dxa"/>
            <w:tcMar>
              <w:top w:w="0" w:type="dxa"/>
              <w:left w:w="0" w:type="dxa"/>
              <w:bottom w:w="0" w:type="dxa"/>
              <w:right w:w="0" w:type="dxa"/>
            </w:tcMar>
          </w:tcPr>
          <w:p>
            <w:pPr>
              <w:spacing w:before="240"/>
              <w:ind w:left="13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2300" w:type="dxa"/>
            <w:tcMar>
              <w:top w:w="0" w:type="dxa"/>
              <w:left w:w="0" w:type="dxa"/>
              <w:bottom w:w="0" w:type="dxa"/>
              <w:right w:w="0" w:type="dxa"/>
            </w:tcMar>
          </w:tcPr>
          <w:p>
            <w:pPr>
              <w:spacing w:before="240"/>
              <w:ind w:left="13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1-1-243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00"/>
        <w:gridCol w:w="2300"/>
        <w:gridCol w:w="2280"/>
        <w:gridCol w:w="2300"/>
      </w:tblGrid>
      <w:tr>
        <w:trPr>
          <w:trHeight w:val="480" w:hRule="exact"/>
        </w:trPr>
        <w:tc>
          <w:tcPr>
            <w:tcW w:w="2300" w:type="dxa"/>
            <w:tcMar>
              <w:top w:w="0" w:type="dxa"/>
              <w:left w:w="0" w:type="dxa"/>
              <w:bottom w:w="0" w:type="dxa"/>
              <w:right w:w="0" w:type="dxa"/>
            </w:tcMar>
          </w:tcPr>
          <w:p>
            <w:pPr>
              <w:spacing w:before="100"/>
              <w:ind w:left="880"/>
            </w:pPr>
            <w:r>
              <w:rPr>
                <w:rFonts w:hint="eastAsia" w:ascii="宋体" w:hAnsi="宋体" w:eastAsia="宋体" w:cs="宋体"/>
                <w:b/>
                <w:sz w:val="21"/>
              </w:rPr>
              <w:t>项目</w:t>
            </w:r>
          </w:p>
        </w:tc>
        <w:tc>
          <w:tcPr>
            <w:tcW w:w="2300" w:type="dxa"/>
            <w:tcMar>
              <w:top w:w="0" w:type="dxa"/>
              <w:left w:w="0" w:type="dxa"/>
              <w:bottom w:w="0" w:type="dxa"/>
              <w:right w:w="0" w:type="dxa"/>
            </w:tcMar>
          </w:tcPr>
          <w:p>
            <w:pPr>
              <w:spacing w:before="100"/>
              <w:ind w:left="6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280" w:type="dxa"/>
            <w:tcMar>
              <w:top w:w="0" w:type="dxa"/>
              <w:left w:w="0" w:type="dxa"/>
              <w:bottom w:w="0" w:type="dxa"/>
              <w:right w:w="0" w:type="dxa"/>
            </w:tcMar>
          </w:tcPr>
          <w:p>
            <w:pPr>
              <w:spacing w:before="100"/>
              <w:ind w:left="62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00"/>
              <w:ind w:left="6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2300" w:type="dxa"/>
            <w:tcMar>
              <w:top w:w="0" w:type="dxa"/>
              <w:left w:w="0" w:type="dxa"/>
              <w:bottom w:w="0" w:type="dxa"/>
              <w:right w:w="0" w:type="dxa"/>
            </w:tcMar>
          </w:tcPr>
          <w:p>
            <w:pPr>
              <w:spacing w:before="20"/>
            </w:pPr>
            <w:r>
              <w:rPr>
                <w:rFonts w:hint="eastAsia" w:ascii="宋体" w:hAnsi="宋体" w:eastAsia="宋体" w:cs="宋体"/>
                <w:sz w:val="20"/>
              </w:rPr>
              <w:t>（</w:t>
            </w:r>
            <w:r>
              <w:rPr>
                <w:rFonts w:hint="eastAsia" w:ascii="宋体" w:hAnsi="宋体" w:eastAsia="宋体" w:cs="宋体"/>
                <w:sz w:val="21"/>
              </w:rPr>
              <w:t>税后</w:t>
            </w:r>
            <w:r>
              <w:rPr>
                <w:rFonts w:hint="eastAsia" w:ascii="宋体" w:hAnsi="宋体" w:eastAsia="宋体" w:cs="宋体"/>
                <w:sz w:val="20"/>
              </w:rPr>
              <w:t>）</w:t>
            </w:r>
          </w:p>
        </w:tc>
        <w:tc>
          <w:tcPr>
            <w:tcW w:w="2300" w:type="dxa"/>
            <w:tcMar>
              <w:top w:w="0" w:type="dxa"/>
              <w:left w:w="0" w:type="dxa"/>
              <w:bottom w:w="0" w:type="dxa"/>
              <w:right w:w="0" w:type="dxa"/>
            </w:tcMar>
          </w:tcPr>
          <w:p/>
        </w:tc>
        <w:tc>
          <w:tcPr>
            <w:tcW w:w="2280" w:type="dxa"/>
            <w:tcMar>
              <w:top w:w="0" w:type="dxa"/>
              <w:left w:w="0" w:type="dxa"/>
              <w:bottom w:w="0" w:type="dxa"/>
              <w:right w:w="0" w:type="dxa"/>
            </w:tcMar>
          </w:tcPr>
          <w:p/>
        </w:tc>
        <w:tc>
          <w:tcPr>
            <w:tcW w:w="2300" w:type="dxa"/>
            <w:tcMar>
              <w:top w:w="0" w:type="dxa"/>
              <w:left w:w="0" w:type="dxa"/>
              <w:bottom w:w="0" w:type="dxa"/>
              <w:right w:w="0" w:type="dxa"/>
            </w:tcMar>
          </w:tcPr>
          <w:p/>
        </w:tc>
      </w:tr>
      <w:tr>
        <w:trPr>
          <w:trHeight w:val="620" w:hRule="exact"/>
        </w:trPr>
        <w:tc>
          <w:tcPr>
            <w:tcW w:w="2300" w:type="dxa"/>
            <w:tcMar>
              <w:top w:w="0" w:type="dxa"/>
              <w:left w:w="0" w:type="dxa"/>
              <w:bottom w:w="0" w:type="dxa"/>
              <w:right w:w="0" w:type="dxa"/>
            </w:tcMar>
          </w:tcPr>
          <w:p>
            <w:pPr>
              <w:spacing w:before="40"/>
            </w:pPr>
            <w:r>
              <w:rPr>
                <w:rFonts w:hint="eastAsia" w:ascii="宋体" w:hAnsi="宋体" w:eastAsia="宋体" w:cs="宋体"/>
                <w:b/>
                <w:sz w:val="21"/>
              </w:rPr>
              <w:t>归属于本公司股东的税</w:t>
            </w:r>
          </w:p>
          <w:p>
            <w:pPr>
              <w:spacing w:before="100"/>
            </w:pPr>
            <w:r>
              <w:rPr>
                <w:rFonts w:hint="eastAsia" w:ascii="宋体" w:hAnsi="宋体" w:eastAsia="宋体" w:cs="宋体"/>
                <w:b/>
                <w:sz w:val="21"/>
              </w:rPr>
              <w:t>后非经常性损益</w:t>
            </w:r>
          </w:p>
        </w:tc>
        <w:tc>
          <w:tcPr>
            <w:tcW w:w="2300" w:type="dxa"/>
            <w:tcMar>
              <w:top w:w="0" w:type="dxa"/>
              <w:left w:w="0" w:type="dxa"/>
              <w:bottom w:w="0" w:type="dxa"/>
              <w:right w:w="0" w:type="dxa"/>
            </w:tcMar>
          </w:tcPr>
          <w:p>
            <w:pPr>
              <w:spacing w:before="240"/>
              <w:ind w:left="1220"/>
            </w:pPr>
            <w:r>
              <w:rPr>
                <w:rFonts w:hint="eastAsia" w:ascii="Times New Roman" w:hAnsi="Times New Roman" w:eastAsia="Times New Roman" w:cs="Times New Roman"/>
                <w:sz w:val="21"/>
              </w:rPr>
              <w:t>692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2280" w:type="dxa"/>
            <w:tcMar>
              <w:top w:w="0" w:type="dxa"/>
              <w:left w:w="0" w:type="dxa"/>
              <w:bottom w:w="0" w:type="dxa"/>
              <w:right w:w="0" w:type="dxa"/>
            </w:tcMar>
          </w:tcPr>
          <w:p>
            <w:pPr>
              <w:spacing w:before="220"/>
              <w:ind w:left="1060"/>
            </w:pPr>
            <w:r>
              <w:rPr>
                <w:rFonts w:hint="eastAsia" w:ascii="Arial Narrow" w:hAnsi="Arial Narrow" w:eastAsia="Arial Narrow" w:cs="Arial Narrow"/>
                <w:sz w:val="21"/>
              </w:rPr>
              <w:t>15</w:t>
            </w:r>
            <w:r>
              <w:rPr>
                <w:rFonts w:hint="eastAsia" w:ascii="Arial Narrow" w:hAnsi="Arial Narrow" w:eastAsia="Arial Narrow" w:cs="Arial Narrow"/>
                <w:sz w:val="20"/>
              </w:rPr>
              <w:t>,</w:t>
            </w:r>
            <w:r>
              <w:rPr>
                <w:rFonts w:hint="eastAsia" w:ascii="Arial Narrow" w:hAnsi="Arial Narrow" w:eastAsia="Arial Narrow" w:cs="Arial Narrow"/>
                <w:sz w:val="21"/>
              </w:rPr>
              <w:t>716</w:t>
            </w:r>
            <w:r>
              <w:rPr>
                <w:rFonts w:hint="eastAsia" w:ascii="Arial Narrow" w:hAnsi="Arial Narrow" w:eastAsia="Arial Narrow" w:cs="Arial Narrow"/>
                <w:sz w:val="20"/>
              </w:rPr>
              <w:t>,</w:t>
            </w:r>
            <w:r>
              <w:rPr>
                <w:rFonts w:hint="eastAsia" w:ascii="Arial Narrow" w:hAnsi="Arial Narrow" w:eastAsia="Arial Narrow" w:cs="Arial Narrow"/>
                <w:sz w:val="21"/>
              </w:rPr>
              <w:t>030</w:t>
            </w:r>
            <w:r>
              <w:rPr>
                <w:rFonts w:hint="eastAsia" w:ascii="Arial Narrow" w:hAnsi="Arial Narrow" w:eastAsia="Arial Narrow" w:cs="Arial Narrow"/>
                <w:sz w:val="20"/>
              </w:rPr>
              <w:t>.</w:t>
            </w:r>
            <w:r>
              <w:rPr>
                <w:rFonts w:hint="eastAsia" w:ascii="Arial Narrow" w:hAnsi="Arial Narrow" w:eastAsia="Arial Narrow" w:cs="Arial Narrow"/>
                <w:sz w:val="21"/>
              </w:rPr>
              <w:t>35</w:t>
            </w:r>
          </w:p>
        </w:tc>
        <w:tc>
          <w:tcPr>
            <w:tcW w:w="2300" w:type="dxa"/>
            <w:tcMar>
              <w:top w:w="0" w:type="dxa"/>
              <w:left w:w="0" w:type="dxa"/>
              <w:bottom w:w="0" w:type="dxa"/>
              <w:right w:w="0" w:type="dxa"/>
            </w:tcMar>
          </w:tcPr>
          <w:p>
            <w:pPr>
              <w:spacing w:before="240"/>
              <w:ind w:left="1220"/>
            </w:pPr>
            <w:r>
              <w:rPr>
                <w:rFonts w:hint="eastAsia" w:ascii="Times New Roman" w:hAnsi="Times New Roman" w:eastAsia="Times New Roman" w:cs="Times New Roman"/>
                <w:sz w:val="21"/>
              </w:rPr>
              <w:t>905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r>
      <w:tr>
        <w:trPr>
          <w:trHeight w:val="940" w:hRule="exact"/>
        </w:trPr>
        <w:tc>
          <w:tcPr>
            <w:tcW w:w="2300" w:type="dxa"/>
            <w:tcMar>
              <w:top w:w="0" w:type="dxa"/>
              <w:left w:w="0" w:type="dxa"/>
              <w:bottom w:w="0" w:type="dxa"/>
              <w:right w:w="0" w:type="dxa"/>
            </w:tcMar>
          </w:tcPr>
          <w:p>
            <w:pPr>
              <w:spacing w:before="40"/>
            </w:pPr>
            <w:r>
              <w:rPr>
                <w:rFonts w:hint="eastAsia" w:ascii="宋体" w:hAnsi="宋体" w:eastAsia="宋体" w:cs="宋体"/>
                <w:b/>
                <w:sz w:val="21"/>
              </w:rPr>
              <w:t>扣除非经常性损益后归</w:t>
            </w:r>
          </w:p>
          <w:p>
            <w:pPr>
              <w:spacing w:before="80"/>
            </w:pPr>
            <w:r>
              <w:rPr>
                <w:rFonts w:hint="eastAsia" w:ascii="宋体" w:hAnsi="宋体" w:eastAsia="宋体" w:cs="宋体"/>
                <w:b/>
                <w:sz w:val="21"/>
              </w:rPr>
              <w:t>属于本公司股东的净利</w:t>
            </w:r>
          </w:p>
          <w:p>
            <w:pPr>
              <w:spacing w:before="120"/>
            </w:pPr>
            <w:r>
              <w:rPr>
                <w:rFonts w:hint="eastAsia" w:ascii="宋体" w:hAnsi="宋体" w:eastAsia="宋体" w:cs="宋体"/>
                <w:b/>
                <w:sz w:val="21"/>
              </w:rPr>
              <w:t>润</w:t>
            </w:r>
          </w:p>
        </w:tc>
        <w:tc>
          <w:tcPr>
            <w:tcW w:w="2300" w:type="dxa"/>
            <w:tcMar>
              <w:top w:w="0" w:type="dxa"/>
              <w:left w:w="0" w:type="dxa"/>
              <w:bottom w:w="0" w:type="dxa"/>
              <w:right w:w="0" w:type="dxa"/>
            </w:tcMar>
          </w:tcPr>
          <w:p>
            <w:pPr>
              <w:spacing w:before="380"/>
              <w:ind w:left="960"/>
            </w:pPr>
            <w:r>
              <w:rPr>
                <w:rFonts w:hint="eastAsia" w:ascii="Times New Roman" w:hAnsi="Times New Roman" w:eastAsia="Times New Roman" w:cs="Times New Roman"/>
                <w:sz w:val="21"/>
              </w:rPr>
              <w:t>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2280" w:type="dxa"/>
            <w:tcMar>
              <w:top w:w="0" w:type="dxa"/>
              <w:left w:w="0" w:type="dxa"/>
              <w:bottom w:w="0" w:type="dxa"/>
              <w:right w:w="0" w:type="dxa"/>
            </w:tcMar>
          </w:tcPr>
          <w:p>
            <w:pPr>
              <w:spacing w:before="380"/>
              <w:ind w:left="960"/>
            </w:pP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2300" w:type="dxa"/>
            <w:tcMar>
              <w:top w:w="0" w:type="dxa"/>
              <w:left w:w="0" w:type="dxa"/>
              <w:bottom w:w="0" w:type="dxa"/>
              <w:right w:w="0" w:type="dxa"/>
            </w:tcMar>
          </w:tcPr>
          <w:p>
            <w:pPr>
              <w:spacing w:before="380"/>
              <w:ind w:left="96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jc w:val="both"/>
      </w:pPr>
      <w:r>
        <w:rPr>
          <w:rFonts w:hint="eastAsia" w:ascii="ºÚÌå" w:hAnsi="ºÚÌå" w:eastAsia="ºÚÌå" w:cs="ºÚÌå"/>
          <w:sz w:val="30"/>
        </w:rPr>
        <w:t>八</w:t>
      </w:r>
      <w:r>
        <w:rPr>
          <w:rFonts w:hint="eastAsia" w:ascii="ºÚÌå" w:hAnsi="ºÚÌå" w:eastAsia="ºÚÌå" w:cs="ºÚÌå"/>
          <w:sz w:val="10"/>
        </w:rPr>
        <w:t>、</w:t>
      </w:r>
      <w:r>
        <w:rPr>
          <w:rFonts w:hint="eastAsia" w:ascii="ºÚÌå" w:hAnsi="ºÚÌå" w:eastAsia="ºÚÌå" w:cs="ºÚÌå"/>
          <w:sz w:val="30"/>
        </w:rPr>
        <w:t>主要资产情况</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主要固定资产情况</w:t>
      </w:r>
    </w:p>
    <w:p>
      <w:pPr>
        <w:spacing w:line="200" w:lineRule="exact"/>
        <w:rPr>
          <w:rFonts w:hint="eastAsia" w:ascii="宋体" w:hAnsi="宋体" w:eastAsia="宋体" w:cs="宋体"/>
          <w:sz w:val="20"/>
        </w:rPr>
      </w:pPr>
    </w:p>
    <w:p>
      <w:pPr>
        <w:autoSpaceDE w:val="false"/>
        <w:autoSpaceDN w:val="false"/>
        <w:spacing w:line="420" w:lineRule="exact"/>
        <w:ind w:left="186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本公司主要固定资产情况如下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76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860"/>
        <w:gridCol w:w="1840"/>
        <w:gridCol w:w="1860"/>
        <w:gridCol w:w="1860"/>
        <w:gridCol w:w="1840"/>
      </w:tblGrid>
      <w:tr>
        <w:trPr>
          <w:trHeight w:val="640" w:hRule="exact"/>
        </w:trPr>
        <w:tc>
          <w:tcPr>
            <w:tcW w:w="9260" w:type="dxa"/>
            <w:gridSpan w:val="5"/>
            <w:tcMar>
              <w:top w:w="0" w:type="dxa"/>
              <w:left w:w="0" w:type="dxa"/>
              <w:bottom w:w="0" w:type="dxa"/>
              <w:right w:w="0" w:type="dxa"/>
            </w:tcMar>
          </w:tcPr>
          <w:p>
            <w:pPr>
              <w:tabs>
                <w:tab w:val="left" w:pos="2560"/>
                <w:tab w:val="left" w:pos="4200"/>
                <w:tab w:val="left" w:pos="6040"/>
                <w:tab w:val="left" w:pos="8000"/>
              </w:tabs>
              <w:spacing w:before="200"/>
              <w:ind w:left="700"/>
            </w:pPr>
            <w:r>
              <w:rPr>
                <w:rFonts w:hint="eastAsia" w:ascii="宋体" w:hAnsi="宋体" w:eastAsia="宋体" w:cs="宋体"/>
                <w:b/>
                <w:sz w:val="21"/>
              </w:rPr>
              <w:t>项目</w:t>
            </w:r>
            <w:r>
              <w:tab/>
            </w:r>
            <w:r>
              <w:rPr>
                <w:rFonts w:hint="eastAsia" w:ascii="宋体" w:hAnsi="宋体" w:eastAsia="宋体" w:cs="宋体"/>
                <w:b/>
                <w:sz w:val="21"/>
              </w:rPr>
              <w:t>原值</w:t>
            </w:r>
            <w:r>
              <w:tab/>
            </w:r>
            <w:r>
              <w:rPr>
                <w:rFonts w:hint="eastAsia" w:ascii="宋体" w:hAnsi="宋体" w:eastAsia="宋体" w:cs="宋体"/>
                <w:b/>
                <w:sz w:val="21"/>
              </w:rPr>
              <w:t>累计折旧</w:t>
            </w:r>
            <w:r>
              <w:tab/>
            </w:r>
            <w:r>
              <w:rPr>
                <w:rFonts w:hint="eastAsia" w:ascii="宋体" w:hAnsi="宋体" w:eastAsia="宋体" w:cs="宋体"/>
                <w:b/>
                <w:sz w:val="21"/>
              </w:rPr>
              <w:t>账面净值</w:t>
            </w:r>
            <w:r>
              <w:tab/>
            </w:r>
            <w:r>
              <w:rPr>
                <w:rFonts w:hint="eastAsia" w:ascii="宋体" w:hAnsi="宋体" w:eastAsia="宋体" w:cs="宋体"/>
                <w:b/>
                <w:sz w:val="21"/>
              </w:rPr>
              <w:t>成新率</w:t>
            </w:r>
          </w:p>
        </w:tc>
      </w:tr>
      <w:tr>
        <w:trPr>
          <w:trHeight w:val="660" w:hRule="exact"/>
        </w:trPr>
        <w:tc>
          <w:tcPr>
            <w:tcW w:w="1860" w:type="dxa"/>
            <w:tcMar>
              <w:top w:w="0" w:type="dxa"/>
              <w:left w:w="0" w:type="dxa"/>
              <w:bottom w:w="0" w:type="dxa"/>
              <w:right w:w="0" w:type="dxa"/>
            </w:tcMar>
          </w:tcPr>
          <w:p>
            <w:pPr>
              <w:spacing w:before="220"/>
              <w:ind w:left="280"/>
            </w:pPr>
            <w:r>
              <w:rPr>
                <w:rFonts w:hint="eastAsia" w:ascii="宋体" w:hAnsi="宋体" w:eastAsia="宋体" w:cs="宋体"/>
                <w:sz w:val="21"/>
              </w:rPr>
              <w:t>房屋及建筑物</w:t>
            </w:r>
          </w:p>
        </w:tc>
        <w:tc>
          <w:tcPr>
            <w:tcW w:w="184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c>
          <w:tcPr>
            <w:tcW w:w="186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186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1840" w:type="dxa"/>
            <w:tcMar>
              <w:top w:w="0" w:type="dxa"/>
              <w:left w:w="0" w:type="dxa"/>
              <w:bottom w:w="0" w:type="dxa"/>
              <w:right w:w="0" w:type="dxa"/>
            </w:tcMar>
          </w:tcPr>
          <w:p>
            <w:pPr>
              <w:spacing w:before="260"/>
              <w:ind w:left="108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640" w:hRule="exact"/>
        </w:trPr>
        <w:tc>
          <w:tcPr>
            <w:tcW w:w="1860" w:type="dxa"/>
            <w:tcMar>
              <w:top w:w="0" w:type="dxa"/>
              <w:left w:w="0" w:type="dxa"/>
              <w:bottom w:w="0" w:type="dxa"/>
              <w:right w:w="0" w:type="dxa"/>
            </w:tcMar>
          </w:tcPr>
          <w:p>
            <w:pPr>
              <w:spacing w:before="200"/>
              <w:ind w:left="480"/>
            </w:pPr>
            <w:r>
              <w:rPr>
                <w:rFonts w:hint="eastAsia" w:ascii="宋体" w:hAnsi="宋体" w:eastAsia="宋体" w:cs="宋体"/>
                <w:sz w:val="21"/>
              </w:rPr>
              <w:t>运输设备</w:t>
            </w:r>
          </w:p>
        </w:tc>
        <w:tc>
          <w:tcPr>
            <w:tcW w:w="1840" w:type="dxa"/>
            <w:tcMar>
              <w:top w:w="0" w:type="dxa"/>
              <w:left w:w="0" w:type="dxa"/>
              <w:bottom w:w="0" w:type="dxa"/>
              <w:right w:w="0" w:type="dxa"/>
            </w:tcMar>
          </w:tcPr>
          <w:p>
            <w:pPr>
              <w:spacing w:before="260"/>
              <w:ind w:left="6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1860" w:type="dxa"/>
            <w:tcMar>
              <w:top w:w="0" w:type="dxa"/>
              <w:left w:w="0" w:type="dxa"/>
              <w:bottom w:w="0" w:type="dxa"/>
              <w:right w:w="0" w:type="dxa"/>
            </w:tcMar>
          </w:tcPr>
          <w:p>
            <w:pPr>
              <w:spacing w:before="260"/>
              <w:ind w:left="6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1860" w:type="dxa"/>
            <w:tcMar>
              <w:top w:w="0" w:type="dxa"/>
              <w:left w:w="0" w:type="dxa"/>
              <w:bottom w:w="0" w:type="dxa"/>
              <w:right w:w="0" w:type="dxa"/>
            </w:tcMar>
          </w:tcPr>
          <w:p>
            <w:pPr>
              <w:spacing w:before="260"/>
              <w:ind w:left="6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840" w:type="dxa"/>
            <w:tcMar>
              <w:top w:w="0" w:type="dxa"/>
              <w:left w:w="0" w:type="dxa"/>
              <w:bottom w:w="0" w:type="dxa"/>
              <w:right w:w="0" w:type="dxa"/>
            </w:tcMar>
          </w:tcPr>
          <w:p>
            <w:pPr>
              <w:spacing w:before="260"/>
              <w:ind w:left="1080"/>
            </w:pPr>
            <w:r>
              <w:rPr>
                <w:rFonts w:hint="eastAsia" w:ascii="Times New Roman" w:hAnsi="Times New Roman" w:eastAsia="Times New Roman" w:cs="Times New Roman"/>
                <w:sz w:val="21"/>
              </w:rPr>
              <w:t>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r>
              <w:rPr>
                <w:rFonts w:hint="eastAsia" w:ascii="Times New Roman" w:hAnsi="Times New Roman" w:eastAsia="Times New Roman" w:cs="Times New Roman"/>
                <w:sz w:val="20"/>
              </w:rPr>
              <w:t>%</w:t>
            </w:r>
          </w:p>
        </w:tc>
      </w:tr>
      <w:tr>
        <w:trPr>
          <w:trHeight w:val="640" w:hRule="exact"/>
        </w:trPr>
        <w:tc>
          <w:tcPr>
            <w:tcW w:w="1860" w:type="dxa"/>
            <w:tcMar>
              <w:top w:w="0" w:type="dxa"/>
              <w:left w:w="0" w:type="dxa"/>
              <w:bottom w:w="0" w:type="dxa"/>
              <w:right w:w="0" w:type="dxa"/>
            </w:tcMar>
          </w:tcPr>
          <w:p>
            <w:pPr>
              <w:spacing w:before="220"/>
              <w:ind w:left="480"/>
            </w:pPr>
            <w:r>
              <w:rPr>
                <w:rFonts w:hint="eastAsia" w:ascii="宋体" w:hAnsi="宋体" w:eastAsia="宋体" w:cs="宋体"/>
                <w:sz w:val="21"/>
              </w:rPr>
              <w:t>电子设备</w:t>
            </w:r>
          </w:p>
        </w:tc>
        <w:tc>
          <w:tcPr>
            <w:tcW w:w="1840" w:type="dxa"/>
            <w:tcMar>
              <w:top w:w="0" w:type="dxa"/>
              <w:left w:w="0" w:type="dxa"/>
              <w:bottom w:w="0" w:type="dxa"/>
              <w:right w:w="0" w:type="dxa"/>
            </w:tcMar>
          </w:tcPr>
          <w:p>
            <w:pPr>
              <w:spacing w:before="260"/>
              <w:ind w:left="62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c>
          <w:tcPr>
            <w:tcW w:w="1860" w:type="dxa"/>
            <w:tcMar>
              <w:top w:w="0" w:type="dxa"/>
              <w:left w:w="0" w:type="dxa"/>
              <w:bottom w:w="0" w:type="dxa"/>
              <w:right w:w="0" w:type="dxa"/>
            </w:tcMar>
          </w:tcPr>
          <w:p>
            <w:pPr>
              <w:spacing w:before="260"/>
              <w:ind w:left="6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c>
          <w:tcPr>
            <w:tcW w:w="1860" w:type="dxa"/>
            <w:tcMar>
              <w:top w:w="0" w:type="dxa"/>
              <w:left w:w="0" w:type="dxa"/>
              <w:bottom w:w="0" w:type="dxa"/>
              <w:right w:w="0" w:type="dxa"/>
            </w:tcMar>
          </w:tcPr>
          <w:p>
            <w:pPr>
              <w:spacing w:before="260"/>
              <w:ind w:left="6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840" w:type="dxa"/>
            <w:tcMar>
              <w:top w:w="0" w:type="dxa"/>
              <w:left w:w="0" w:type="dxa"/>
              <w:bottom w:w="0" w:type="dxa"/>
              <w:right w:w="0" w:type="dxa"/>
            </w:tcMar>
          </w:tcPr>
          <w:p>
            <w:pPr>
              <w:spacing w:before="260"/>
              <w:ind w:left="108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r>
        <w:trPr>
          <w:trHeight w:val="640" w:hRule="exact"/>
        </w:trPr>
        <w:tc>
          <w:tcPr>
            <w:tcW w:w="1860" w:type="dxa"/>
            <w:tcMar>
              <w:top w:w="0" w:type="dxa"/>
              <w:left w:w="0" w:type="dxa"/>
              <w:bottom w:w="0" w:type="dxa"/>
              <w:right w:w="0" w:type="dxa"/>
            </w:tcMar>
          </w:tcPr>
          <w:p>
            <w:pPr>
              <w:spacing w:before="200"/>
              <w:ind w:left="480"/>
            </w:pPr>
            <w:r>
              <w:rPr>
                <w:rFonts w:hint="eastAsia" w:ascii="宋体" w:hAnsi="宋体" w:eastAsia="宋体" w:cs="宋体"/>
                <w:sz w:val="21"/>
              </w:rPr>
              <w:t>办公设备</w:t>
            </w:r>
          </w:p>
        </w:tc>
        <w:tc>
          <w:tcPr>
            <w:tcW w:w="1840" w:type="dxa"/>
            <w:tcMar>
              <w:top w:w="0" w:type="dxa"/>
              <w:left w:w="0" w:type="dxa"/>
              <w:bottom w:w="0" w:type="dxa"/>
              <w:right w:w="0" w:type="dxa"/>
            </w:tcMar>
          </w:tcPr>
          <w:p>
            <w:pPr>
              <w:spacing w:before="240"/>
              <w:ind w:left="6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1860" w:type="dxa"/>
            <w:tcMar>
              <w:top w:w="0" w:type="dxa"/>
              <w:left w:w="0" w:type="dxa"/>
              <w:bottom w:w="0" w:type="dxa"/>
              <w:right w:w="0" w:type="dxa"/>
            </w:tcMar>
          </w:tcPr>
          <w:p>
            <w:pPr>
              <w:spacing w:before="240"/>
              <w:ind w:left="6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c>
          <w:tcPr>
            <w:tcW w:w="1860" w:type="dxa"/>
            <w:tcMar>
              <w:top w:w="0" w:type="dxa"/>
              <w:left w:w="0" w:type="dxa"/>
              <w:bottom w:w="0" w:type="dxa"/>
              <w:right w:w="0" w:type="dxa"/>
            </w:tcMar>
          </w:tcPr>
          <w:p>
            <w:pPr>
              <w:spacing w:before="240"/>
              <w:ind w:left="780"/>
            </w:pPr>
            <w:r>
              <w:rPr>
                <w:rFonts w:hint="eastAsia" w:ascii="Times New Roman" w:hAnsi="Times New Roman" w:eastAsia="Times New Roman" w:cs="Times New Roman"/>
                <w:sz w:val="21"/>
              </w:rPr>
              <w:t>961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840" w:type="dxa"/>
            <w:tcMar>
              <w:top w:w="0" w:type="dxa"/>
              <w:left w:w="0" w:type="dxa"/>
              <w:bottom w:w="0" w:type="dxa"/>
              <w:right w:w="0" w:type="dxa"/>
            </w:tcMar>
          </w:tcPr>
          <w:p>
            <w:pPr>
              <w:spacing w:before="240"/>
              <w:ind w:left="1080"/>
            </w:pP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r>
      <w:tr>
        <w:trPr>
          <w:trHeight w:val="660" w:hRule="exact"/>
        </w:trPr>
        <w:tc>
          <w:tcPr>
            <w:tcW w:w="1860" w:type="dxa"/>
            <w:tcMar>
              <w:top w:w="0" w:type="dxa"/>
              <w:left w:w="0" w:type="dxa"/>
              <w:bottom w:w="0" w:type="dxa"/>
              <w:right w:w="0" w:type="dxa"/>
            </w:tcMar>
          </w:tcPr>
          <w:p>
            <w:pPr>
              <w:spacing w:before="220"/>
              <w:ind w:left="700"/>
            </w:pPr>
            <w:r>
              <w:rPr>
                <w:rFonts w:hint="eastAsia" w:ascii="宋体" w:hAnsi="宋体" w:eastAsia="宋体" w:cs="宋体"/>
                <w:b/>
                <w:sz w:val="21"/>
              </w:rPr>
              <w:t>合计</w:t>
            </w:r>
          </w:p>
        </w:tc>
        <w:tc>
          <w:tcPr>
            <w:tcW w:w="1840" w:type="dxa"/>
            <w:tcMar>
              <w:top w:w="0" w:type="dxa"/>
              <w:left w:w="0" w:type="dxa"/>
              <w:bottom w:w="0" w:type="dxa"/>
              <w:right w:w="0" w:type="dxa"/>
            </w:tcMar>
          </w:tcPr>
          <w:p>
            <w:pPr>
              <w:spacing w:before="280"/>
              <w:ind w:left="520"/>
            </w:pPr>
            <w:r>
              <w:rPr>
                <w:rFonts w:hint="eastAsia" w:ascii="Times New Roman Bold" w:hAnsi="Times New Roman Bold" w:eastAsia="Times New Roman Bold" w:cs="Times New Roman Bold"/>
                <w:b/>
                <w:sz w:val="21"/>
              </w:rPr>
              <w:t>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07</w:t>
            </w:r>
          </w:p>
        </w:tc>
        <w:tc>
          <w:tcPr>
            <w:tcW w:w="1860" w:type="dxa"/>
            <w:tcMar>
              <w:top w:w="0" w:type="dxa"/>
              <w:left w:w="0" w:type="dxa"/>
              <w:bottom w:w="0" w:type="dxa"/>
              <w:right w:w="0" w:type="dxa"/>
            </w:tcMar>
          </w:tcPr>
          <w:p>
            <w:pPr>
              <w:spacing w:before="280"/>
              <w:ind w:left="520"/>
            </w:pPr>
            <w:r>
              <w:rPr>
                <w:rFonts w:hint="eastAsia" w:ascii="Times New Roman Bold" w:hAnsi="Times New Roman Bold" w:eastAsia="Times New Roman Bold" w:cs="Times New Roman Bold"/>
                <w:b/>
                <w:sz w:val="21"/>
              </w:rPr>
              <w:t>20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184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w:t>
            </w:r>
          </w:p>
        </w:tc>
        <w:tc>
          <w:tcPr>
            <w:tcW w:w="1860" w:type="dxa"/>
            <w:tcMar>
              <w:top w:w="0" w:type="dxa"/>
              <w:left w:w="0" w:type="dxa"/>
              <w:bottom w:w="0" w:type="dxa"/>
              <w:right w:w="0" w:type="dxa"/>
            </w:tcMar>
          </w:tcPr>
          <w:p>
            <w:pPr>
              <w:spacing w:before="280"/>
              <w:ind w:left="520"/>
            </w:pPr>
            <w:r>
              <w:rPr>
                <w:rFonts w:hint="eastAsia" w:ascii="Times New Roman Bold" w:hAnsi="Times New Roman Bold" w:eastAsia="Times New Roman Bold" w:cs="Times New Roman Bold"/>
                <w:b/>
                <w:sz w:val="21"/>
              </w:rPr>
              <w:t>41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22</w:t>
            </w:r>
          </w:p>
        </w:tc>
        <w:tc>
          <w:tcPr>
            <w:tcW w:w="1840" w:type="dxa"/>
            <w:tcMar>
              <w:top w:w="0" w:type="dxa"/>
              <w:left w:w="0" w:type="dxa"/>
              <w:bottom w:w="0" w:type="dxa"/>
              <w:right w:w="0" w:type="dxa"/>
            </w:tcMar>
          </w:tcPr>
          <w:p>
            <w:pPr>
              <w:spacing w:before="280"/>
              <w:ind w:left="1040"/>
            </w:pPr>
            <w:r>
              <w:rPr>
                <w:rFonts w:hint="eastAsia" w:ascii="Times New Roman Bold" w:hAnsi="Times New Roman Bold" w:eastAsia="Times New Roman Bold" w:cs="Times New Roman Bold"/>
                <w:b/>
                <w:sz w:val="21"/>
              </w:rPr>
              <w:t>67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宋体" w:hAnsi="宋体" w:eastAsia="宋体" w:cs="宋体"/>
          <w:sz w:val="24"/>
        </w:rPr>
        <w:t>发行人的主要固定资产为办公及开展经营活动所使用的房屋及电子设备等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（二）无形资产</w:t>
      </w:r>
    </w:p>
    <w:p>
      <w:pPr>
        <w:spacing w:line="200" w:lineRule="exact"/>
        <w:rPr>
          <w:rFonts w:hint="eastAsia" w:ascii="宋体" w:hAnsi="宋体" w:eastAsia="宋体" w:cs="宋体"/>
          <w:sz w:val="20"/>
        </w:rPr>
      </w:pPr>
    </w:p>
    <w:p>
      <w:pPr>
        <w:autoSpaceDE w:val="false"/>
        <w:autoSpaceDN w:val="false"/>
        <w:spacing w:line="420" w:lineRule="exact"/>
        <w:ind w:left="186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无形资产具体情况如下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540"/>
        <w:gridCol w:w="1540"/>
        <w:gridCol w:w="1560"/>
        <w:gridCol w:w="1540"/>
        <w:gridCol w:w="1540"/>
        <w:gridCol w:w="1540"/>
      </w:tblGrid>
      <w:tr>
        <w:trPr>
          <w:trHeight w:val="480" w:hRule="exact"/>
        </w:trPr>
        <w:tc>
          <w:tcPr>
            <w:tcW w:w="1540" w:type="dxa"/>
            <w:tcMar>
              <w:top w:w="0" w:type="dxa"/>
              <w:left w:w="0" w:type="dxa"/>
              <w:bottom w:w="0" w:type="dxa"/>
              <w:right w:w="0" w:type="dxa"/>
            </w:tcMar>
          </w:tcPr>
          <w:p>
            <w:pPr>
              <w:spacing w:before="120"/>
              <w:ind w:left="540"/>
            </w:pPr>
            <w:r>
              <w:rPr>
                <w:rFonts w:hint="eastAsia" w:ascii="宋体" w:hAnsi="宋体" w:eastAsia="宋体" w:cs="宋体"/>
                <w:b/>
                <w:sz w:val="21"/>
              </w:rPr>
              <w:t>项目</w:t>
            </w:r>
          </w:p>
        </w:tc>
        <w:tc>
          <w:tcPr>
            <w:tcW w:w="1540" w:type="dxa"/>
            <w:tcMar>
              <w:top w:w="0" w:type="dxa"/>
              <w:left w:w="0" w:type="dxa"/>
              <w:bottom w:w="0" w:type="dxa"/>
              <w:right w:w="0" w:type="dxa"/>
            </w:tcMar>
          </w:tcPr>
          <w:p>
            <w:pPr>
              <w:spacing w:before="120"/>
              <w:ind w:left="340"/>
            </w:pPr>
            <w:r>
              <w:rPr>
                <w:rFonts w:hint="eastAsia" w:ascii="宋体" w:hAnsi="宋体" w:eastAsia="宋体" w:cs="宋体"/>
                <w:b/>
                <w:sz w:val="21"/>
              </w:rPr>
              <w:t>取得方式</w:t>
            </w:r>
          </w:p>
        </w:tc>
        <w:tc>
          <w:tcPr>
            <w:tcW w:w="1560" w:type="dxa"/>
            <w:tcMar>
              <w:top w:w="0" w:type="dxa"/>
              <w:left w:w="0" w:type="dxa"/>
              <w:bottom w:w="0" w:type="dxa"/>
              <w:right w:w="0" w:type="dxa"/>
            </w:tcMar>
          </w:tcPr>
          <w:p>
            <w:pPr>
              <w:spacing w:before="120"/>
              <w:ind w:left="560"/>
            </w:pPr>
            <w:r>
              <w:rPr>
                <w:rFonts w:hint="eastAsia" w:ascii="宋体" w:hAnsi="宋体" w:eastAsia="宋体" w:cs="宋体"/>
                <w:b/>
                <w:sz w:val="21"/>
              </w:rPr>
              <w:t>原值</w:t>
            </w:r>
          </w:p>
        </w:tc>
        <w:tc>
          <w:tcPr>
            <w:tcW w:w="1540" w:type="dxa"/>
            <w:tcMar>
              <w:top w:w="0" w:type="dxa"/>
              <w:left w:w="0" w:type="dxa"/>
              <w:bottom w:w="0" w:type="dxa"/>
              <w:right w:w="0" w:type="dxa"/>
            </w:tcMar>
          </w:tcPr>
          <w:p>
            <w:pPr>
              <w:spacing w:before="120"/>
              <w:ind w:left="320"/>
            </w:pPr>
            <w:r>
              <w:rPr>
                <w:rFonts w:hint="eastAsia" w:ascii="宋体" w:hAnsi="宋体" w:eastAsia="宋体" w:cs="宋体"/>
                <w:b/>
                <w:sz w:val="21"/>
              </w:rPr>
              <w:t>摊销年限</w:t>
            </w:r>
          </w:p>
        </w:tc>
        <w:tc>
          <w:tcPr>
            <w:tcW w:w="1540" w:type="dxa"/>
            <w:tcMar>
              <w:top w:w="0" w:type="dxa"/>
              <w:left w:w="0" w:type="dxa"/>
              <w:bottom w:w="0" w:type="dxa"/>
              <w:right w:w="0" w:type="dxa"/>
            </w:tcMar>
          </w:tcPr>
          <w:p>
            <w:pPr>
              <w:spacing w:before="120"/>
              <w:ind w:left="320"/>
            </w:pPr>
            <w:r>
              <w:rPr>
                <w:rFonts w:hint="eastAsia" w:ascii="宋体" w:hAnsi="宋体" w:eastAsia="宋体" w:cs="宋体"/>
                <w:b/>
                <w:sz w:val="21"/>
              </w:rPr>
              <w:t>累计摊销</w:t>
            </w:r>
          </w:p>
        </w:tc>
        <w:tc>
          <w:tcPr>
            <w:tcW w:w="1540" w:type="dxa"/>
            <w:tcMar>
              <w:top w:w="0" w:type="dxa"/>
              <w:left w:w="0" w:type="dxa"/>
              <w:bottom w:w="0" w:type="dxa"/>
              <w:right w:w="0" w:type="dxa"/>
            </w:tcMar>
          </w:tcPr>
          <w:p>
            <w:pPr>
              <w:spacing w:before="120"/>
              <w:ind w:left="540"/>
            </w:pPr>
            <w:r>
              <w:rPr>
                <w:rFonts w:hint="eastAsia" w:ascii="宋体" w:hAnsi="宋体" w:eastAsia="宋体" w:cs="宋体"/>
                <w:b/>
                <w:sz w:val="21"/>
              </w:rPr>
              <w:t>净值</w:t>
            </w:r>
          </w:p>
        </w:tc>
      </w:tr>
      <w:tr>
        <w:trPr>
          <w:trHeight w:val="480" w:hRule="exact"/>
        </w:trPr>
        <w:tc>
          <w:tcPr>
            <w:tcW w:w="1540" w:type="dxa"/>
            <w:tcMar>
              <w:top w:w="0" w:type="dxa"/>
              <w:left w:w="0" w:type="dxa"/>
              <w:bottom w:w="0" w:type="dxa"/>
              <w:right w:w="0" w:type="dxa"/>
            </w:tcMar>
          </w:tcPr>
          <w:p>
            <w:pPr>
              <w:spacing w:before="120"/>
              <w:ind w:left="220"/>
            </w:pPr>
            <w:r>
              <w:rPr>
                <w:rFonts w:hint="eastAsia" w:ascii="宋体" w:hAnsi="宋体" w:eastAsia="宋体" w:cs="宋体"/>
                <w:sz w:val="21"/>
              </w:rPr>
              <w:t>土地使用权</w:t>
            </w:r>
          </w:p>
        </w:tc>
        <w:tc>
          <w:tcPr>
            <w:tcW w:w="1540" w:type="dxa"/>
            <w:tcMar>
              <w:top w:w="0" w:type="dxa"/>
              <w:left w:w="0" w:type="dxa"/>
              <w:bottom w:w="0" w:type="dxa"/>
              <w:right w:w="0" w:type="dxa"/>
            </w:tcMar>
          </w:tcPr>
          <w:p>
            <w:pPr>
              <w:spacing w:before="120"/>
              <w:ind w:left="540"/>
            </w:pPr>
            <w:r>
              <w:rPr>
                <w:rFonts w:hint="eastAsia" w:ascii="宋体" w:hAnsi="宋体" w:eastAsia="宋体" w:cs="宋体"/>
                <w:sz w:val="21"/>
              </w:rPr>
              <w:t>购买</w:t>
            </w:r>
          </w:p>
        </w:tc>
        <w:tc>
          <w:tcPr>
            <w:tcW w:w="156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518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540" w:type="dxa"/>
            <w:tcMar>
              <w:top w:w="0" w:type="dxa"/>
              <w:left w:w="0" w:type="dxa"/>
              <w:bottom w:w="0" w:type="dxa"/>
              <w:right w:w="0" w:type="dxa"/>
            </w:tcMar>
          </w:tcPr>
          <w:p>
            <w:pPr>
              <w:spacing w:before="160"/>
              <w:ind w:left="1200"/>
            </w:pPr>
            <w:r>
              <w:rPr>
                <w:rFonts w:hint="eastAsia" w:ascii="Times New Roman" w:hAnsi="Times New Roman" w:eastAsia="Times New Roman" w:cs="Times New Roman"/>
                <w:sz w:val="21"/>
              </w:rPr>
              <w:t>50</w:t>
            </w:r>
          </w:p>
        </w:tc>
        <w:tc>
          <w:tcPr>
            <w:tcW w:w="154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c>
          <w:tcPr>
            <w:tcW w:w="154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r>
      <w:tr>
        <w:trPr>
          <w:trHeight w:val="460" w:hRule="exact"/>
        </w:trPr>
        <w:tc>
          <w:tcPr>
            <w:tcW w:w="1540" w:type="dxa"/>
            <w:tcMar>
              <w:top w:w="0" w:type="dxa"/>
              <w:left w:w="0" w:type="dxa"/>
              <w:bottom w:w="0" w:type="dxa"/>
              <w:right w:w="0" w:type="dxa"/>
            </w:tcMar>
          </w:tcPr>
          <w:p>
            <w:pPr>
              <w:spacing w:before="100"/>
              <w:ind w:left="340"/>
            </w:pPr>
            <w:r>
              <w:rPr>
                <w:rFonts w:hint="eastAsia" w:ascii="宋体" w:hAnsi="宋体" w:eastAsia="宋体" w:cs="宋体"/>
                <w:sz w:val="21"/>
              </w:rPr>
              <w:t>应用软件</w:t>
            </w:r>
          </w:p>
        </w:tc>
        <w:tc>
          <w:tcPr>
            <w:tcW w:w="1540" w:type="dxa"/>
            <w:tcMar>
              <w:top w:w="0" w:type="dxa"/>
              <w:left w:w="0" w:type="dxa"/>
              <w:bottom w:w="0" w:type="dxa"/>
              <w:right w:w="0" w:type="dxa"/>
            </w:tcMar>
          </w:tcPr>
          <w:p>
            <w:pPr>
              <w:spacing w:before="100"/>
              <w:ind w:left="540"/>
            </w:pPr>
            <w:r>
              <w:rPr>
                <w:rFonts w:hint="eastAsia" w:ascii="宋体" w:hAnsi="宋体" w:eastAsia="宋体" w:cs="宋体"/>
                <w:sz w:val="21"/>
              </w:rPr>
              <w:t>购买</w:t>
            </w:r>
          </w:p>
        </w:tc>
        <w:tc>
          <w:tcPr>
            <w:tcW w:w="15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c>
          <w:tcPr>
            <w:tcW w:w="1540" w:type="dxa"/>
            <w:tcMar>
              <w:top w:w="0" w:type="dxa"/>
              <w:left w:w="0" w:type="dxa"/>
              <w:bottom w:w="0" w:type="dxa"/>
              <w:right w:w="0" w:type="dxa"/>
            </w:tcMar>
          </w:tcPr>
          <w:p>
            <w:pPr>
              <w:spacing w:before="160"/>
              <w:ind w:left="1200"/>
            </w:pPr>
            <w:r>
              <w:rPr>
                <w:rFonts w:hint="eastAsia" w:ascii="Times New Roman" w:hAnsi="Times New Roman" w:eastAsia="Times New Roman" w:cs="Times New Roman"/>
                <w:sz w:val="21"/>
              </w:rPr>
              <w:t>10</w:t>
            </w:r>
          </w:p>
        </w:tc>
        <w:tc>
          <w:tcPr>
            <w:tcW w:w="154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858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54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911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80" w:hRule="exact"/>
        </w:trPr>
        <w:tc>
          <w:tcPr>
            <w:tcW w:w="1540" w:type="dxa"/>
            <w:tcMar>
              <w:top w:w="0" w:type="dxa"/>
              <w:left w:w="0" w:type="dxa"/>
              <w:bottom w:w="0" w:type="dxa"/>
              <w:right w:w="0" w:type="dxa"/>
            </w:tcMar>
          </w:tcPr>
          <w:p>
            <w:pPr>
              <w:spacing w:before="120"/>
              <w:ind w:left="540"/>
            </w:pPr>
            <w:r>
              <w:rPr>
                <w:rFonts w:hint="eastAsia" w:ascii="宋体" w:hAnsi="宋体" w:eastAsia="宋体" w:cs="宋体"/>
                <w:b/>
                <w:sz w:val="21"/>
              </w:rPr>
              <w:t>合计</w:t>
            </w:r>
          </w:p>
        </w:tc>
        <w:tc>
          <w:tcPr>
            <w:tcW w:w="1540" w:type="dxa"/>
            <w:tcMar>
              <w:top w:w="0" w:type="dxa"/>
              <w:left w:w="0" w:type="dxa"/>
              <w:bottom w:w="0" w:type="dxa"/>
              <w:right w:w="0" w:type="dxa"/>
            </w:tcMar>
          </w:tcPr>
          <w:p>
            <w:pPr>
              <w:spacing w:before="300"/>
              <w:ind w:left="720"/>
            </w:pPr>
            <w:r>
              <w:rPr>
                <w:rFonts w:hint="eastAsia" w:ascii="Times New Roman Bold" w:hAnsi="Times New Roman Bold" w:eastAsia="Times New Roman Bold" w:cs="Times New Roman Bold"/>
                <w:b/>
                <w:sz w:val="21"/>
              </w:rPr>
              <w:t>-</w:t>
            </w:r>
          </w:p>
        </w:tc>
        <w:tc>
          <w:tcPr>
            <w:tcW w:w="1560" w:type="dxa"/>
            <w:tcMar>
              <w:top w:w="0" w:type="dxa"/>
              <w:left w:w="0" w:type="dxa"/>
              <w:bottom w:w="0" w:type="dxa"/>
              <w:right w:w="0" w:type="dxa"/>
            </w:tcMar>
          </w:tcPr>
          <w:p>
            <w:pPr>
              <w:spacing w:before="180"/>
              <w:ind w:left="320"/>
            </w:pP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w:t>
            </w:r>
          </w:p>
        </w:tc>
        <w:tc>
          <w:tcPr>
            <w:tcW w:w="1540" w:type="dxa"/>
            <w:tcMar>
              <w:top w:w="0" w:type="dxa"/>
              <w:left w:w="0" w:type="dxa"/>
              <w:bottom w:w="0" w:type="dxa"/>
              <w:right w:w="0" w:type="dxa"/>
            </w:tcMar>
          </w:tcPr>
          <w:p>
            <w:pPr>
              <w:spacing w:before="300"/>
              <w:ind w:left="1340"/>
            </w:pPr>
            <w:r>
              <w:rPr>
                <w:rFonts w:hint="eastAsia" w:ascii="Times New Roman Bold" w:hAnsi="Times New Roman Bold" w:eastAsia="Times New Roman Bold" w:cs="Times New Roman Bold"/>
                <w:b/>
                <w:sz w:val="21"/>
              </w:rPr>
              <w:t>-</w:t>
            </w:r>
          </w:p>
        </w:tc>
        <w:tc>
          <w:tcPr>
            <w:tcW w:w="1540" w:type="dxa"/>
            <w:tcMar>
              <w:top w:w="0" w:type="dxa"/>
              <w:left w:w="0" w:type="dxa"/>
              <w:bottom w:w="0" w:type="dxa"/>
              <w:right w:w="0" w:type="dxa"/>
            </w:tcMar>
          </w:tcPr>
          <w:p>
            <w:pPr>
              <w:spacing w:before="180"/>
              <w:ind w:left="320"/>
            </w:pPr>
            <w:r>
              <w:rPr>
                <w:rFonts w:hint="eastAsia" w:ascii="Times New Roman Bold" w:hAnsi="Times New Roman Bold" w:eastAsia="Times New Roman Bold" w:cs="Times New Roman Bold"/>
                <w:b/>
                <w:sz w:val="21"/>
              </w:rPr>
              <w:t>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296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83</w:t>
            </w:r>
          </w:p>
        </w:tc>
        <w:tc>
          <w:tcPr>
            <w:tcW w:w="1540" w:type="dxa"/>
            <w:tcMar>
              <w:top w:w="0" w:type="dxa"/>
              <w:left w:w="0" w:type="dxa"/>
              <w:bottom w:w="0" w:type="dxa"/>
              <w:right w:w="0" w:type="dxa"/>
            </w:tcMar>
          </w:tcPr>
          <w:p>
            <w:pPr>
              <w:spacing w:before="180"/>
              <w:ind w:left="320"/>
            </w:pPr>
            <w:r>
              <w:rPr>
                <w:rFonts w:hint="eastAsia" w:ascii="Times New Roman Bold" w:hAnsi="Times New Roman Bold" w:eastAsia="Times New Roman Bold" w:cs="Times New Roman Bold"/>
                <w:b/>
                <w:sz w:val="21"/>
              </w:rPr>
              <w:t>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118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02</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1-1-244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jc w:val="both"/>
      </w:pPr>
      <w:r>
        <w:rPr>
          <w:rFonts w:hint="eastAsia" w:ascii="ºÚÌå" w:hAnsi="ºÚÌå" w:eastAsia="ºÚÌå" w:cs="ºÚÌå"/>
          <w:sz w:val="30"/>
        </w:rPr>
        <w:t>九</w:t>
      </w:r>
      <w:r>
        <w:rPr>
          <w:rFonts w:hint="eastAsia" w:ascii="ºÚÌå" w:hAnsi="ºÚÌå" w:eastAsia="ºÚÌå" w:cs="ºÚÌå"/>
          <w:sz w:val="10"/>
        </w:rPr>
        <w:t>、</w:t>
      </w:r>
      <w:r>
        <w:rPr>
          <w:rFonts w:hint="eastAsia" w:ascii="ºÚÌå" w:hAnsi="ºÚÌå" w:eastAsia="ºÚÌå" w:cs="ºÚÌå"/>
          <w:sz w:val="30"/>
        </w:rPr>
        <w:t>最近一期期末的主要债项</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短期借款</w:t>
      </w:r>
      <w:r>
        <w:rPr>
          <w:rFonts w:hint="eastAsia" w:ascii="宋体" w:hAnsi="宋体" w:eastAsia="宋体" w:cs="宋体"/>
          <w:b/>
          <w:sz w:val="10"/>
        </w:rPr>
        <w:t>、</w:t>
      </w:r>
      <w:r>
        <w:rPr>
          <w:rFonts w:hint="eastAsia" w:ascii="宋体" w:hAnsi="宋体" w:eastAsia="宋体" w:cs="宋体"/>
          <w:b/>
          <w:sz w:val="24"/>
        </w:rPr>
        <w:t>长期借款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公司无短期借款</w:t>
      </w:r>
      <w:r>
        <w:rPr>
          <w:rFonts w:hint="eastAsia" w:ascii="宋体" w:hAnsi="宋体" w:eastAsia="宋体" w:cs="宋体"/>
          <w:sz w:val="10"/>
        </w:rPr>
        <w:t>、</w:t>
      </w:r>
      <w:r>
        <w:rPr>
          <w:rFonts w:hint="eastAsia" w:ascii="宋体" w:hAnsi="宋体" w:eastAsia="宋体" w:cs="宋体"/>
          <w:sz w:val="24"/>
        </w:rPr>
        <w:t>长期借款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（二）应付票据</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公司无应付票据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（三）应付账款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公司应付账款余额为</w:t>
      </w:r>
      <w:r>
        <w:rPr>
          <w:rFonts w:hint="eastAsia" w:ascii="Times New Roman" w:hAnsi="Times New Roman" w:eastAsia="Times New Roman" w:cs="Times New Roman"/>
          <w:sz w:val="24"/>
        </w:rPr>
        <w:t xml:space="preserve"> 583,866.82</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具体如下表</w:t>
      </w:r>
      <w:r>
        <w:rPr>
          <w:rFonts w:hint="eastAsia" w:ascii="宋体" w:hAnsi="宋体" w:eastAsia="宋体" w:cs="宋体"/>
          <w:sz w:val="12"/>
        </w:rPr>
        <w:t>：</w:t>
      </w:r>
    </w:p>
    <w:p>
      <w:pPr>
        <w:autoSpaceDE w:val="false"/>
        <w:autoSpaceDN w:val="false"/>
        <w:spacing w:line="4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4680"/>
        <w:gridCol w:w="4580"/>
      </w:tblGrid>
      <w:tr>
        <w:trPr>
          <w:trHeight w:val="460" w:hRule="exact"/>
        </w:trPr>
        <w:tc>
          <w:tcPr>
            <w:tcW w:w="4680" w:type="dxa"/>
            <w:tcMar>
              <w:top w:w="0" w:type="dxa"/>
              <w:left w:w="0" w:type="dxa"/>
              <w:bottom w:w="0" w:type="dxa"/>
              <w:right w:w="0" w:type="dxa"/>
            </w:tcMar>
          </w:tcPr>
          <w:p>
            <w:pPr>
              <w:spacing w:before="100"/>
              <w:ind w:left="2060"/>
            </w:pPr>
            <w:r>
              <w:rPr>
                <w:rFonts w:hint="eastAsia" w:ascii="宋体" w:hAnsi="宋体" w:eastAsia="宋体" w:cs="宋体"/>
                <w:b/>
                <w:sz w:val="21"/>
              </w:rPr>
              <w:t>项 目</w:t>
            </w:r>
          </w:p>
        </w:tc>
        <w:tc>
          <w:tcPr>
            <w:tcW w:w="4580" w:type="dxa"/>
            <w:tcMar>
              <w:top w:w="0" w:type="dxa"/>
              <w:left w:w="0" w:type="dxa"/>
              <w:bottom w:w="0" w:type="dxa"/>
              <w:right w:w="0" w:type="dxa"/>
            </w:tcMar>
          </w:tcPr>
          <w:p>
            <w:pPr>
              <w:spacing w:before="160"/>
              <w:ind w:left="1800"/>
            </w:pPr>
            <w:r>
              <w:rPr>
                <w:rFonts w:hint="eastAsia" w:ascii="Times New Roman Bold" w:hAnsi="Times New Roman Bold" w:eastAsia="Times New Roman Bold" w:cs="Times New Roman Bold"/>
                <w:b/>
                <w:sz w:val="21"/>
              </w:rPr>
              <w:t>2016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r>
      <w:tr>
        <w:trPr>
          <w:trHeight w:val="460" w:hRule="exact"/>
        </w:trPr>
        <w:tc>
          <w:tcPr>
            <w:tcW w:w="4680" w:type="dxa"/>
            <w:tcMar>
              <w:top w:w="0" w:type="dxa"/>
              <w:left w:w="0" w:type="dxa"/>
              <w:bottom w:w="0" w:type="dxa"/>
              <w:right w:w="0" w:type="dxa"/>
            </w:tcMar>
          </w:tcPr>
          <w:p>
            <w:pPr>
              <w:spacing w:before="120"/>
              <w:ind w:left="2120"/>
            </w:pPr>
            <w:r>
              <w:rPr>
                <w:rFonts w:hint="eastAsia" w:ascii="宋体" w:hAnsi="宋体" w:eastAsia="宋体" w:cs="宋体"/>
                <w:sz w:val="21"/>
              </w:rPr>
              <w:t>货款</w:t>
            </w:r>
          </w:p>
        </w:tc>
        <w:tc>
          <w:tcPr>
            <w:tcW w:w="4580" w:type="dxa"/>
            <w:tcMar>
              <w:top w:w="0" w:type="dxa"/>
              <w:left w:w="0" w:type="dxa"/>
              <w:bottom w:w="0" w:type="dxa"/>
              <w:right w:w="0" w:type="dxa"/>
            </w:tcMar>
          </w:tcPr>
          <w:p>
            <w:pPr>
              <w:spacing w:before="160"/>
              <w:ind w:left="3520"/>
            </w:pPr>
            <w:r>
              <w:rPr>
                <w:rFonts w:hint="eastAsia" w:ascii="Times New Roman" w:hAnsi="Times New Roman" w:eastAsia="Times New Roman" w:cs="Times New Roman"/>
                <w:sz w:val="21"/>
              </w:rPr>
              <w:t>583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p>
        </w:tc>
      </w:tr>
    </w:tbl>
    <w:p>
      <w:pPr>
        <w:spacing w:line="200" w:lineRule="exact"/>
        <w:rPr>
          <w:rFonts w:hint="eastAsia" w:ascii="宋体" w:hAnsi="宋体" w:eastAsia="宋体" w:cs="宋体"/>
          <w:sz w:val="20"/>
        </w:rPr>
      </w:pPr>
    </w:p>
    <w:p>
      <w:pPr>
        <w:autoSpaceDE w:val="false"/>
        <w:autoSpaceDN w:val="false"/>
        <w:spacing w:line="380" w:lineRule="exact"/>
        <w:ind w:left="1440" w:right="1260" w:firstLine="480"/>
        <w:jc w:val="both"/>
      </w:pPr>
      <w:r>
        <w:rPr>
          <w:rFonts w:hint="eastAsia" w:ascii="宋体" w:hAnsi="宋体" w:eastAsia="宋体" w:cs="宋体"/>
          <w:sz w:val="24"/>
        </w:rPr>
        <w:t>公司应付账款主要为应付供应商款项</w:t>
      </w:r>
      <w:r>
        <w:rPr>
          <w:rFonts w:hint="eastAsia" w:ascii="宋体" w:hAnsi="宋体" w:eastAsia="宋体" w:cs="宋体"/>
          <w:sz w:val="12"/>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日公司的应付账款余额中</w:t>
      </w:r>
      <w:r>
        <w:rPr>
          <w:rFonts w:hint="eastAsia" w:ascii="宋体" w:hAnsi="宋体" w:eastAsia="宋体" w:cs="宋体"/>
          <w:sz w:val="10"/>
        </w:rPr>
        <w:t>，</w:t>
      </w:r>
      <w:r>
        <w:rPr>
          <w:rFonts w:hint="eastAsia" w:ascii="宋体" w:hAnsi="宋体" w:eastAsia="宋体" w:cs="宋体"/>
          <w:sz w:val="24"/>
        </w:rPr>
        <w:t>无欠持公司</w:t>
      </w:r>
      <w:r>
        <w:rPr>
          <w:rFonts w:hint="eastAsia" w:ascii="Times New Roman" w:hAnsi="Times New Roman" w:eastAsia="Times New Roman" w:cs="Times New Roman"/>
          <w:sz w:val="24"/>
        </w:rPr>
        <w:t xml:space="preserve"> 5%</w:t>
      </w:r>
      <w:r>
        <w:rPr>
          <w:rFonts w:hint="eastAsia" w:ascii="宋体" w:hAnsi="宋体" w:eastAsia="宋体" w:cs="宋体"/>
          <w:sz w:val="24"/>
        </w:rPr>
        <w:t>以上（含</w:t>
      </w:r>
      <w:r>
        <w:rPr>
          <w:rFonts w:hint="eastAsia" w:ascii="Times New Roman" w:hAnsi="Times New Roman" w:eastAsia="Times New Roman" w:cs="Times New Roman"/>
          <w:sz w:val="24"/>
        </w:rPr>
        <w:t xml:space="preserve"> 5%</w:t>
      </w:r>
      <w:r>
        <w:rPr>
          <w:rFonts w:hint="eastAsia" w:ascii="宋体" w:hAnsi="宋体" w:eastAsia="宋体" w:cs="宋体"/>
          <w:sz w:val="24"/>
        </w:rPr>
        <w:t>）表决权股份的股东单位款项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（四）预收款项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本公司预收账款情况如下</w:t>
      </w:r>
      <w:r>
        <w:rPr>
          <w:rFonts w:hint="eastAsia" w:ascii="宋体" w:hAnsi="宋体" w:eastAsia="宋体" w:cs="宋体"/>
          <w:sz w:val="12"/>
        </w:rPr>
        <w:t>：</w:t>
      </w:r>
    </w:p>
    <w:p>
      <w:pPr>
        <w:autoSpaceDE w:val="false"/>
        <w:autoSpaceDN w:val="false"/>
        <w:spacing w:line="4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4680"/>
        <w:gridCol w:w="4580"/>
      </w:tblGrid>
      <w:tr>
        <w:trPr>
          <w:trHeight w:val="460" w:hRule="exact"/>
        </w:trPr>
        <w:tc>
          <w:tcPr>
            <w:tcW w:w="4680" w:type="dxa"/>
            <w:tcMar>
              <w:top w:w="0" w:type="dxa"/>
              <w:left w:w="0" w:type="dxa"/>
              <w:bottom w:w="0" w:type="dxa"/>
              <w:right w:w="0" w:type="dxa"/>
            </w:tcMar>
          </w:tcPr>
          <w:p>
            <w:pPr>
              <w:spacing w:before="120"/>
              <w:ind w:left="2060"/>
            </w:pPr>
            <w:r>
              <w:rPr>
                <w:rFonts w:hint="eastAsia" w:ascii="宋体" w:hAnsi="宋体" w:eastAsia="宋体" w:cs="宋体"/>
                <w:b/>
                <w:sz w:val="21"/>
              </w:rPr>
              <w:t>项 目</w:t>
            </w:r>
          </w:p>
        </w:tc>
        <w:tc>
          <w:tcPr>
            <w:tcW w:w="4580" w:type="dxa"/>
            <w:tcMar>
              <w:top w:w="0" w:type="dxa"/>
              <w:left w:w="0" w:type="dxa"/>
              <w:bottom w:w="0" w:type="dxa"/>
              <w:right w:w="0" w:type="dxa"/>
            </w:tcMar>
          </w:tcPr>
          <w:p>
            <w:pPr>
              <w:spacing w:before="160"/>
              <w:ind w:left="1800"/>
            </w:pPr>
            <w:r>
              <w:rPr>
                <w:rFonts w:hint="eastAsia" w:ascii="Times New Roman Bold" w:hAnsi="Times New Roman Bold" w:eastAsia="Times New Roman Bold" w:cs="Times New Roman Bold"/>
                <w:b/>
                <w:sz w:val="21"/>
              </w:rPr>
              <w:t>2016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r>
      <w:tr>
        <w:trPr>
          <w:trHeight w:val="460" w:hRule="exact"/>
        </w:trPr>
        <w:tc>
          <w:tcPr>
            <w:tcW w:w="4680" w:type="dxa"/>
            <w:tcMar>
              <w:top w:w="0" w:type="dxa"/>
              <w:left w:w="0" w:type="dxa"/>
              <w:bottom w:w="0" w:type="dxa"/>
              <w:right w:w="0" w:type="dxa"/>
            </w:tcMar>
          </w:tcPr>
          <w:p>
            <w:pPr>
              <w:spacing w:before="100"/>
              <w:ind w:left="2120"/>
            </w:pPr>
            <w:r>
              <w:rPr>
                <w:rFonts w:hint="eastAsia" w:ascii="宋体" w:hAnsi="宋体" w:eastAsia="宋体" w:cs="宋体"/>
                <w:sz w:val="21"/>
              </w:rPr>
              <w:t>货款</w:t>
            </w:r>
          </w:p>
        </w:tc>
        <w:tc>
          <w:tcPr>
            <w:tcW w:w="4580" w:type="dxa"/>
            <w:tcMar>
              <w:top w:w="0" w:type="dxa"/>
              <w:left w:w="0" w:type="dxa"/>
              <w:bottom w:w="0" w:type="dxa"/>
              <w:right w:w="0" w:type="dxa"/>
            </w:tcMar>
          </w:tcPr>
          <w:p>
            <w:pPr>
              <w:spacing w:before="160"/>
              <w:ind w:left="3140"/>
            </w:pPr>
            <w:r>
              <w:rPr>
                <w:rFonts w:hint="eastAsia" w:ascii="Times New Roman" w:hAnsi="Times New Roman" w:eastAsia="Times New Roman" w:cs="Times New Roman"/>
                <w:sz w:val="21"/>
              </w:rPr>
              <w:t>126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r>
    </w:tbl>
    <w:p>
      <w:pPr>
        <w:spacing w:line="200" w:lineRule="exact"/>
        <w:rPr>
          <w:rFonts w:hint="eastAsia" w:ascii="宋体" w:hAnsi="宋体" w:eastAsia="宋体" w:cs="宋体"/>
          <w:sz w:val="20"/>
        </w:rPr>
      </w:pPr>
    </w:p>
    <w:p>
      <w:pPr>
        <w:autoSpaceDE w:val="false"/>
        <w:autoSpaceDN w:val="false"/>
        <w:spacing w:line="400" w:lineRule="exact"/>
        <w:ind w:left="1440" w:right="1260" w:firstLine="480"/>
        <w:jc w:val="both"/>
      </w:pPr>
      <w:r>
        <w:rPr>
          <w:rFonts w:hint="eastAsia" w:ascii="宋体" w:hAnsi="宋体" w:eastAsia="宋体" w:cs="宋体"/>
          <w:sz w:val="24"/>
        </w:rPr>
        <w:t>预收账款为根据双方合同约定</w:t>
      </w:r>
      <w:r>
        <w:rPr>
          <w:rFonts w:hint="eastAsia" w:ascii="宋体" w:hAnsi="宋体" w:eastAsia="宋体" w:cs="宋体"/>
          <w:sz w:val="10"/>
        </w:rPr>
        <w:t>，</w:t>
      </w:r>
      <w:r>
        <w:rPr>
          <w:rFonts w:hint="eastAsia" w:ascii="宋体" w:hAnsi="宋体" w:eastAsia="宋体" w:cs="宋体"/>
          <w:sz w:val="24"/>
        </w:rPr>
        <w:t>公司预先收取的款项</w:t>
      </w:r>
      <w:r>
        <w:rPr>
          <w:rFonts w:hint="eastAsia" w:ascii="宋体" w:hAnsi="宋体" w:eastAsia="宋体" w:cs="宋体"/>
          <w:sz w:val="10"/>
        </w:rPr>
        <w:t>。</w:t>
      </w:r>
      <w:r>
        <w:rPr>
          <w:rFonts w:hint="eastAsia" w:ascii="宋体" w:hAnsi="宋体" w:eastAsia="宋体" w:cs="宋体"/>
          <w:sz w:val="24"/>
        </w:rPr>
        <w:t>截至各期期末</w:t>
      </w:r>
      <w:r>
        <w:rPr>
          <w:rFonts w:hint="eastAsia" w:ascii="宋体" w:hAnsi="宋体" w:eastAsia="宋体" w:cs="宋体"/>
          <w:sz w:val="10"/>
        </w:rPr>
        <w:t>，</w:t>
      </w:r>
      <w:r>
        <w:rPr>
          <w:rFonts w:hint="eastAsia" w:ascii="宋体" w:hAnsi="宋体" w:eastAsia="宋体" w:cs="宋体"/>
          <w:sz w:val="24"/>
        </w:rPr>
        <w:t>部分项目尚未满足收入确认条件</w:t>
      </w:r>
      <w:r>
        <w:rPr>
          <w:rFonts w:hint="eastAsia" w:ascii="宋体" w:hAnsi="宋体" w:eastAsia="宋体" w:cs="宋体"/>
          <w:sz w:val="10"/>
        </w:rPr>
        <w:t>，</w:t>
      </w:r>
      <w:r>
        <w:rPr>
          <w:rFonts w:hint="eastAsia" w:ascii="宋体" w:hAnsi="宋体" w:eastAsia="宋体" w:cs="宋体"/>
          <w:sz w:val="24"/>
        </w:rPr>
        <w:t>因此未结转销售收入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（五）应交税费</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本公司应交税费明细如下表所示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4640"/>
        <w:gridCol w:w="4620"/>
      </w:tblGrid>
      <w:tr>
        <w:trPr>
          <w:trHeight w:val="460" w:hRule="exact"/>
        </w:trPr>
        <w:tc>
          <w:tcPr>
            <w:tcW w:w="4640" w:type="dxa"/>
            <w:tcMar>
              <w:top w:w="0" w:type="dxa"/>
              <w:left w:w="0" w:type="dxa"/>
              <w:bottom w:w="0" w:type="dxa"/>
              <w:right w:w="0" w:type="dxa"/>
            </w:tcMar>
          </w:tcPr>
          <w:p>
            <w:pPr>
              <w:spacing w:before="120"/>
              <w:ind w:left="2080"/>
            </w:pPr>
            <w:r>
              <w:rPr>
                <w:rFonts w:hint="eastAsia" w:ascii="宋体" w:hAnsi="宋体" w:eastAsia="宋体" w:cs="宋体"/>
                <w:b/>
                <w:sz w:val="21"/>
              </w:rPr>
              <w:t>项目</w:t>
            </w:r>
          </w:p>
        </w:tc>
        <w:tc>
          <w:tcPr>
            <w:tcW w:w="4620" w:type="dxa"/>
            <w:tcMar>
              <w:top w:w="0" w:type="dxa"/>
              <w:left w:w="0" w:type="dxa"/>
              <w:bottom w:w="0" w:type="dxa"/>
              <w:right w:w="0" w:type="dxa"/>
            </w:tcMar>
          </w:tcPr>
          <w:p>
            <w:pPr>
              <w:spacing w:before="100"/>
              <w:ind w:left="2080"/>
            </w:pPr>
            <w:r>
              <w:rPr>
                <w:rFonts w:hint="eastAsia" w:ascii="宋体" w:hAnsi="宋体" w:eastAsia="宋体" w:cs="宋体"/>
                <w:b/>
                <w:sz w:val="21"/>
              </w:rPr>
              <w:t>金额</w:t>
            </w:r>
          </w:p>
        </w:tc>
      </w:tr>
      <w:tr>
        <w:trPr>
          <w:trHeight w:val="480" w:hRule="exact"/>
        </w:trPr>
        <w:tc>
          <w:tcPr>
            <w:tcW w:w="4640" w:type="dxa"/>
            <w:tcMar>
              <w:top w:w="0" w:type="dxa"/>
              <w:left w:w="0" w:type="dxa"/>
              <w:bottom w:w="0" w:type="dxa"/>
              <w:right w:w="0" w:type="dxa"/>
            </w:tcMar>
          </w:tcPr>
          <w:p>
            <w:pPr>
              <w:spacing w:before="120"/>
              <w:ind w:left="100"/>
            </w:pPr>
            <w:r>
              <w:rPr>
                <w:rFonts w:hint="eastAsia" w:ascii="宋体" w:hAnsi="宋体" w:eastAsia="宋体" w:cs="宋体"/>
                <w:sz w:val="21"/>
              </w:rPr>
              <w:t>增值税</w:t>
            </w:r>
          </w:p>
        </w:tc>
        <w:tc>
          <w:tcPr>
            <w:tcW w:w="4620" w:type="dxa"/>
            <w:tcMar>
              <w:top w:w="0" w:type="dxa"/>
              <w:left w:w="0" w:type="dxa"/>
              <w:bottom w:w="0" w:type="dxa"/>
              <w:right w:w="0" w:type="dxa"/>
            </w:tcMar>
          </w:tcPr>
          <w:p>
            <w:pPr>
              <w:spacing w:before="180"/>
              <w:ind w:left="34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r>
      <w:tr>
        <w:trPr>
          <w:trHeight w:val="460" w:hRule="exact"/>
        </w:trPr>
        <w:tc>
          <w:tcPr>
            <w:tcW w:w="4640" w:type="dxa"/>
            <w:tcMar>
              <w:top w:w="0" w:type="dxa"/>
              <w:left w:w="0" w:type="dxa"/>
              <w:bottom w:w="0" w:type="dxa"/>
              <w:right w:w="0" w:type="dxa"/>
            </w:tcMar>
          </w:tcPr>
          <w:p>
            <w:pPr>
              <w:spacing w:before="120"/>
              <w:ind w:left="100"/>
            </w:pPr>
            <w:r>
              <w:rPr>
                <w:rFonts w:hint="eastAsia" w:ascii="宋体" w:hAnsi="宋体" w:eastAsia="宋体" w:cs="宋体"/>
                <w:sz w:val="21"/>
              </w:rPr>
              <w:t>企业所得税</w:t>
            </w:r>
          </w:p>
        </w:tc>
        <w:tc>
          <w:tcPr>
            <w:tcW w:w="4620" w:type="dxa"/>
            <w:tcMar>
              <w:top w:w="0" w:type="dxa"/>
              <w:left w:w="0" w:type="dxa"/>
              <w:bottom w:w="0" w:type="dxa"/>
              <w:right w:w="0" w:type="dxa"/>
            </w:tcMar>
          </w:tcPr>
          <w:p>
            <w:pPr>
              <w:spacing w:before="140"/>
              <w:ind w:left="34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1-1-245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4640"/>
        <w:gridCol w:w="4620"/>
      </w:tblGrid>
      <w:tr>
        <w:trPr>
          <w:trHeight w:val="480" w:hRule="exact"/>
        </w:trPr>
        <w:tc>
          <w:tcPr>
            <w:tcW w:w="4640" w:type="dxa"/>
            <w:tcMar>
              <w:top w:w="0" w:type="dxa"/>
              <w:left w:w="0" w:type="dxa"/>
              <w:bottom w:w="0" w:type="dxa"/>
              <w:right w:w="0" w:type="dxa"/>
            </w:tcMar>
          </w:tcPr>
          <w:p>
            <w:pPr>
              <w:spacing w:before="100"/>
              <w:ind w:left="100"/>
            </w:pPr>
            <w:r>
              <w:rPr>
                <w:rFonts w:hint="eastAsia" w:ascii="宋体" w:hAnsi="宋体" w:eastAsia="宋体" w:cs="宋体"/>
                <w:sz w:val="21"/>
              </w:rPr>
              <w:t>个人所得税</w:t>
            </w:r>
          </w:p>
        </w:tc>
        <w:tc>
          <w:tcPr>
            <w:tcW w:w="4620" w:type="dxa"/>
            <w:tcMar>
              <w:top w:w="0" w:type="dxa"/>
              <w:left w:w="0" w:type="dxa"/>
              <w:bottom w:w="0" w:type="dxa"/>
              <w:right w:w="0" w:type="dxa"/>
            </w:tcMar>
          </w:tcPr>
          <w:p>
            <w:pPr>
              <w:spacing w:before="140"/>
              <w:ind w:left="3560"/>
            </w:pPr>
            <w:r>
              <w:rPr>
                <w:rFonts w:hint="eastAsia" w:ascii="Times New Roman" w:hAnsi="Times New Roman" w:eastAsia="Times New Roman" w:cs="Times New Roman"/>
                <w:sz w:val="21"/>
              </w:rPr>
              <w:t>255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p>
        </w:tc>
      </w:tr>
      <w:tr>
        <w:trPr>
          <w:trHeight w:val="480" w:hRule="exact"/>
        </w:trPr>
        <w:tc>
          <w:tcPr>
            <w:tcW w:w="4640" w:type="dxa"/>
            <w:tcMar>
              <w:top w:w="0" w:type="dxa"/>
              <w:left w:w="0" w:type="dxa"/>
              <w:bottom w:w="0" w:type="dxa"/>
              <w:right w:w="0" w:type="dxa"/>
            </w:tcMar>
          </w:tcPr>
          <w:p>
            <w:pPr>
              <w:spacing w:before="120"/>
              <w:ind w:left="100"/>
            </w:pPr>
            <w:r>
              <w:rPr>
                <w:rFonts w:hint="eastAsia" w:ascii="宋体" w:hAnsi="宋体" w:eastAsia="宋体" w:cs="宋体"/>
                <w:sz w:val="21"/>
              </w:rPr>
              <w:t>城市维护建设税</w:t>
            </w:r>
          </w:p>
        </w:tc>
        <w:tc>
          <w:tcPr>
            <w:tcW w:w="4620" w:type="dxa"/>
            <w:tcMar>
              <w:top w:w="0" w:type="dxa"/>
              <w:left w:w="0" w:type="dxa"/>
              <w:bottom w:w="0" w:type="dxa"/>
              <w:right w:w="0" w:type="dxa"/>
            </w:tcMar>
          </w:tcPr>
          <w:p>
            <w:pPr>
              <w:spacing w:before="160"/>
              <w:ind w:left="3560"/>
            </w:pPr>
            <w:r>
              <w:rPr>
                <w:rFonts w:hint="eastAsia" w:ascii="Times New Roman" w:hAnsi="Times New Roman" w:eastAsia="Times New Roman" w:cs="Times New Roman"/>
                <w:sz w:val="21"/>
              </w:rPr>
              <w:t>355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r>
      <w:tr>
        <w:trPr>
          <w:trHeight w:val="460" w:hRule="exact"/>
        </w:trPr>
        <w:tc>
          <w:tcPr>
            <w:tcW w:w="4640" w:type="dxa"/>
            <w:tcMar>
              <w:top w:w="0" w:type="dxa"/>
              <w:left w:w="0" w:type="dxa"/>
              <w:bottom w:w="0" w:type="dxa"/>
              <w:right w:w="0" w:type="dxa"/>
            </w:tcMar>
          </w:tcPr>
          <w:p>
            <w:pPr>
              <w:spacing w:before="100"/>
              <w:ind w:left="100"/>
            </w:pPr>
            <w:r>
              <w:rPr>
                <w:rFonts w:hint="eastAsia" w:ascii="宋体" w:hAnsi="宋体" w:eastAsia="宋体" w:cs="宋体"/>
                <w:sz w:val="21"/>
              </w:rPr>
              <w:t>教育费附加</w:t>
            </w:r>
          </w:p>
        </w:tc>
        <w:tc>
          <w:tcPr>
            <w:tcW w:w="4620" w:type="dxa"/>
            <w:tcMar>
              <w:top w:w="0" w:type="dxa"/>
              <w:left w:w="0" w:type="dxa"/>
              <w:bottom w:w="0" w:type="dxa"/>
              <w:right w:w="0" w:type="dxa"/>
            </w:tcMar>
          </w:tcPr>
          <w:p>
            <w:pPr>
              <w:spacing w:before="160"/>
              <w:ind w:left="3560"/>
            </w:pPr>
            <w:r>
              <w:rPr>
                <w:rFonts w:hint="eastAsia" w:ascii="Times New Roman" w:hAnsi="Times New Roman" w:eastAsia="Times New Roman" w:cs="Times New Roman"/>
                <w:sz w:val="21"/>
              </w:rPr>
              <w:t>254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r>
      <w:tr>
        <w:trPr>
          <w:trHeight w:val="480" w:hRule="exact"/>
        </w:trPr>
        <w:tc>
          <w:tcPr>
            <w:tcW w:w="4640" w:type="dxa"/>
            <w:tcMar>
              <w:top w:w="0" w:type="dxa"/>
              <w:left w:w="0" w:type="dxa"/>
              <w:bottom w:w="0" w:type="dxa"/>
              <w:right w:w="0" w:type="dxa"/>
            </w:tcMar>
          </w:tcPr>
          <w:p>
            <w:pPr>
              <w:spacing w:before="120"/>
              <w:ind w:left="100"/>
            </w:pPr>
            <w:r>
              <w:rPr>
                <w:rFonts w:hint="eastAsia" w:ascii="宋体" w:hAnsi="宋体" w:eastAsia="宋体" w:cs="宋体"/>
                <w:sz w:val="21"/>
              </w:rPr>
              <w:t>其他税种</w:t>
            </w:r>
          </w:p>
        </w:tc>
        <w:tc>
          <w:tcPr>
            <w:tcW w:w="4620" w:type="dxa"/>
            <w:tcMar>
              <w:top w:w="0" w:type="dxa"/>
              <w:left w:w="0" w:type="dxa"/>
              <w:bottom w:w="0" w:type="dxa"/>
              <w:right w:w="0" w:type="dxa"/>
            </w:tcMar>
          </w:tcPr>
          <w:p>
            <w:pPr>
              <w:spacing w:before="180"/>
              <w:ind w:left="3560"/>
            </w:pPr>
            <w:r>
              <w:rPr>
                <w:rFonts w:hint="eastAsia" w:ascii="Times New Roman" w:hAnsi="Times New Roman" w:eastAsia="Times New Roman" w:cs="Times New Roman"/>
                <w:sz w:val="21"/>
              </w:rPr>
              <w:t>173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r>
      <w:tr>
        <w:trPr>
          <w:trHeight w:val="460" w:hRule="exact"/>
        </w:trPr>
        <w:tc>
          <w:tcPr>
            <w:tcW w:w="4640" w:type="dxa"/>
            <w:tcMar>
              <w:top w:w="0" w:type="dxa"/>
              <w:left w:w="0" w:type="dxa"/>
              <w:bottom w:w="0" w:type="dxa"/>
              <w:right w:w="0" w:type="dxa"/>
            </w:tcMar>
          </w:tcPr>
          <w:p>
            <w:pPr>
              <w:spacing w:before="120"/>
              <w:ind w:left="2080"/>
            </w:pPr>
            <w:r>
              <w:rPr>
                <w:rFonts w:hint="eastAsia" w:ascii="宋体" w:hAnsi="宋体" w:eastAsia="宋体" w:cs="宋体"/>
                <w:b/>
                <w:sz w:val="21"/>
              </w:rPr>
              <w:t>合计</w:t>
            </w:r>
          </w:p>
        </w:tc>
        <w:tc>
          <w:tcPr>
            <w:tcW w:w="4620" w:type="dxa"/>
            <w:tcMar>
              <w:top w:w="0" w:type="dxa"/>
              <w:left w:w="0" w:type="dxa"/>
              <w:bottom w:w="0" w:type="dxa"/>
              <w:right w:w="0" w:type="dxa"/>
            </w:tcMar>
          </w:tcPr>
          <w:p>
            <w:pPr>
              <w:spacing w:before="160"/>
              <w:ind w:left="3300"/>
            </w:pPr>
            <w:r>
              <w:rPr>
                <w:rFonts w:hint="eastAsia" w:ascii="Times New Roman Bold" w:hAnsi="Times New Roman Bold" w:eastAsia="Times New Roman Bold" w:cs="Times New Roman Bold"/>
                <w:b/>
                <w:sz w:val="21"/>
              </w:rPr>
              <w:t>11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73</w:t>
            </w:r>
          </w:p>
        </w:tc>
      </w:tr>
    </w:tbl>
    <w:p>
      <w:pPr>
        <w:spacing w:line="200" w:lineRule="exact"/>
        <w:rPr>
          <w:rFonts w:hint="eastAsia" w:ascii="宋体" w:hAnsi="宋体" w:eastAsia="宋体" w:cs="宋体"/>
          <w:sz w:val="20"/>
        </w:rPr>
      </w:pPr>
    </w:p>
    <w:p>
      <w:pPr>
        <w:autoSpaceDE w:val="false"/>
        <w:autoSpaceDN w:val="false"/>
        <w:spacing w:line="340" w:lineRule="exact"/>
        <w:ind w:left="1440"/>
        <w:jc w:val="both"/>
      </w:pPr>
      <w:r>
        <w:rPr>
          <w:rFonts w:hint="eastAsia" w:ascii="宋体" w:hAnsi="宋体" w:eastAsia="宋体" w:cs="宋体"/>
          <w:b/>
          <w:sz w:val="20"/>
        </w:rPr>
        <w:t>（</w:t>
      </w:r>
      <w:r>
        <w:rPr>
          <w:rFonts w:hint="eastAsia" w:ascii="宋体" w:hAnsi="宋体" w:eastAsia="宋体" w:cs="宋体"/>
          <w:b/>
          <w:sz w:val="24"/>
        </w:rPr>
        <w:t>六）其他应付款</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本公司其他应付款情况如下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4600"/>
        <w:gridCol w:w="4660"/>
      </w:tblGrid>
      <w:tr>
        <w:trPr>
          <w:trHeight w:val="480" w:hRule="exact"/>
        </w:trPr>
        <w:tc>
          <w:tcPr>
            <w:tcW w:w="4600" w:type="dxa"/>
            <w:tcMar>
              <w:top w:w="0" w:type="dxa"/>
              <w:left w:w="0" w:type="dxa"/>
              <w:bottom w:w="0" w:type="dxa"/>
              <w:right w:w="0" w:type="dxa"/>
            </w:tcMar>
          </w:tcPr>
          <w:p>
            <w:pPr>
              <w:spacing w:before="120"/>
              <w:ind w:left="1960"/>
            </w:pPr>
            <w:r>
              <w:rPr>
                <w:rFonts w:hint="eastAsia" w:ascii="宋体" w:hAnsi="宋体" w:eastAsia="宋体" w:cs="宋体"/>
                <w:b/>
                <w:sz w:val="21"/>
              </w:rPr>
              <w:t>项 目</w:t>
            </w:r>
          </w:p>
        </w:tc>
        <w:tc>
          <w:tcPr>
            <w:tcW w:w="4660" w:type="dxa"/>
            <w:tcMar>
              <w:top w:w="0" w:type="dxa"/>
              <w:left w:w="0" w:type="dxa"/>
              <w:bottom w:w="0" w:type="dxa"/>
              <w:right w:w="0" w:type="dxa"/>
            </w:tcMar>
          </w:tcPr>
          <w:p>
            <w:pPr>
              <w:spacing w:before="160"/>
              <w:ind w:left="1840"/>
            </w:pPr>
            <w:r>
              <w:rPr>
                <w:rFonts w:hint="eastAsia" w:ascii="Times New Roman Bold" w:hAnsi="Times New Roman Bold" w:eastAsia="Times New Roman Bold" w:cs="Times New Roman Bold"/>
                <w:b/>
                <w:sz w:val="21"/>
              </w:rPr>
              <w:t>2016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r>
      <w:tr>
        <w:trPr>
          <w:trHeight w:val="440" w:hRule="exact"/>
        </w:trPr>
        <w:tc>
          <w:tcPr>
            <w:tcW w:w="4600" w:type="dxa"/>
            <w:tcMar>
              <w:top w:w="0" w:type="dxa"/>
              <w:left w:w="0" w:type="dxa"/>
              <w:bottom w:w="0" w:type="dxa"/>
              <w:right w:w="0" w:type="dxa"/>
            </w:tcMar>
          </w:tcPr>
          <w:p>
            <w:pPr>
              <w:spacing w:before="100"/>
              <w:ind w:left="1760"/>
            </w:pPr>
            <w:r>
              <w:rPr>
                <w:rFonts w:hint="eastAsia" w:ascii="宋体" w:hAnsi="宋体" w:eastAsia="宋体" w:cs="宋体"/>
                <w:sz w:val="21"/>
              </w:rPr>
              <w:t>单位往来款</w:t>
            </w:r>
          </w:p>
        </w:tc>
        <w:tc>
          <w:tcPr>
            <w:tcW w:w="4660" w:type="dxa"/>
            <w:tcMar>
              <w:top w:w="0" w:type="dxa"/>
              <w:left w:w="0" w:type="dxa"/>
              <w:bottom w:w="0" w:type="dxa"/>
              <w:right w:w="0" w:type="dxa"/>
            </w:tcMar>
          </w:tcPr>
          <w:p>
            <w:pPr>
              <w:spacing w:before="160"/>
              <w:ind w:left="3600"/>
            </w:pPr>
            <w:r>
              <w:rPr>
                <w:rFonts w:hint="eastAsia" w:ascii="Times New Roman" w:hAnsi="Times New Roman" w:eastAsia="Times New Roman" w:cs="Times New Roman"/>
                <w:sz w:val="21"/>
              </w:rPr>
              <w:t>110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r>
    </w:tbl>
    <w:p>
      <w:pPr>
        <w:spacing w:line="200" w:lineRule="exact"/>
        <w:rPr>
          <w:rFonts w:hint="eastAsia" w:ascii="宋体" w:hAnsi="宋体" w:eastAsia="宋体" w:cs="宋体"/>
          <w:sz w:val="20"/>
        </w:rPr>
      </w:pPr>
    </w:p>
    <w:p>
      <w:pPr>
        <w:autoSpaceDE w:val="false"/>
        <w:autoSpaceDN w:val="false"/>
        <w:spacing w:line="340" w:lineRule="exact"/>
        <w:ind w:left="1440"/>
        <w:jc w:val="both"/>
      </w:pPr>
      <w:r>
        <w:rPr>
          <w:rFonts w:hint="eastAsia" w:ascii="宋体" w:hAnsi="宋体" w:eastAsia="宋体" w:cs="宋体"/>
          <w:b/>
          <w:sz w:val="20"/>
        </w:rPr>
        <w:t>（</w:t>
      </w:r>
      <w:r>
        <w:rPr>
          <w:rFonts w:hint="eastAsia" w:ascii="宋体" w:hAnsi="宋体" w:eastAsia="宋体" w:cs="宋体"/>
          <w:b/>
          <w:sz w:val="24"/>
        </w:rPr>
        <w:t>七）或有负债</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公司无未决诉讼或仲裁形成的或有负债</w:t>
      </w:r>
      <w:r>
        <w:rPr>
          <w:rFonts w:hint="eastAsia" w:ascii="宋体" w:hAnsi="宋体" w:eastAsia="宋体" w:cs="宋体"/>
          <w:sz w:val="10"/>
        </w:rPr>
        <w:t>，</w:t>
      </w:r>
      <w:r>
        <w:rPr>
          <w:rFonts w:hint="eastAsia" w:ascii="宋体" w:hAnsi="宋体" w:eastAsia="宋体" w:cs="宋体"/>
          <w:sz w:val="24"/>
        </w:rPr>
        <w:t>无为关联方及其他单位提供债务担保形成的或有负债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（八）逾期未偿还债项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在报告期内及报告期末</w:t>
      </w:r>
      <w:r>
        <w:rPr>
          <w:rFonts w:hint="eastAsia" w:ascii="宋体" w:hAnsi="宋体" w:eastAsia="宋体" w:cs="宋体"/>
          <w:sz w:val="10"/>
        </w:rPr>
        <w:t>，</w:t>
      </w:r>
      <w:r>
        <w:rPr>
          <w:rFonts w:hint="eastAsia" w:ascii="宋体" w:hAnsi="宋体" w:eastAsia="宋体" w:cs="宋体"/>
          <w:sz w:val="24"/>
        </w:rPr>
        <w:t>公司无逾期未偿还债项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60" w:lineRule="exact"/>
        <w:ind w:left="1440"/>
        <w:jc w:val="both"/>
      </w:pPr>
      <w:r>
        <w:rPr>
          <w:rFonts w:hint="eastAsia" w:ascii="ºÚÌå" w:hAnsi="ºÚÌå" w:eastAsia="ºÚÌå" w:cs="ºÚÌå"/>
          <w:sz w:val="30"/>
        </w:rPr>
        <w:t>十</w:t>
      </w:r>
      <w:r>
        <w:rPr>
          <w:rFonts w:hint="eastAsia" w:ascii="ºÚÌå" w:hAnsi="ºÚÌå" w:eastAsia="ºÚÌå" w:cs="ºÚÌå"/>
          <w:sz w:val="10"/>
        </w:rPr>
        <w:t>、</w:t>
      </w:r>
      <w:r>
        <w:rPr>
          <w:rFonts w:hint="eastAsia" w:ascii="ºÚÌå" w:hAnsi="ºÚÌå" w:eastAsia="ºÚÌå" w:cs="ºÚÌå"/>
          <w:sz w:val="30"/>
        </w:rPr>
        <w:t>所有者权益变动情况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920"/>
        <w:jc w:val="both"/>
      </w:pPr>
      <w:r>
        <w:rPr>
          <w:rFonts w:hint="eastAsia" w:ascii="宋体" w:hAnsi="宋体" w:eastAsia="宋体" w:cs="宋体"/>
          <w:sz w:val="24"/>
        </w:rPr>
        <w:t>报告期内各期末股东权益项目的明细情况如下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040" w:type="auto"/>
        <w:tblInd w:w="1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60"/>
        <w:gridCol w:w="2180"/>
        <w:gridCol w:w="2220"/>
        <w:gridCol w:w="2260"/>
      </w:tblGrid>
      <w:tr>
        <w:trPr>
          <w:trHeight w:val="480" w:hRule="exact"/>
        </w:trPr>
        <w:tc>
          <w:tcPr>
            <w:tcW w:w="2360" w:type="dxa"/>
            <w:tcMar>
              <w:top w:w="0" w:type="dxa"/>
              <w:left w:w="0" w:type="dxa"/>
              <w:bottom w:w="0" w:type="dxa"/>
              <w:right w:w="0" w:type="dxa"/>
            </w:tcMar>
          </w:tcPr>
          <w:p>
            <w:pPr>
              <w:spacing w:before="100"/>
              <w:ind w:left="940"/>
            </w:pPr>
            <w:r>
              <w:rPr>
                <w:rFonts w:hint="eastAsia" w:ascii="宋体" w:hAnsi="宋体" w:eastAsia="宋体" w:cs="宋体"/>
                <w:b/>
                <w:sz w:val="21"/>
              </w:rPr>
              <w:t>项目</w:t>
            </w:r>
          </w:p>
        </w:tc>
        <w:tc>
          <w:tcPr>
            <w:tcW w:w="2180" w:type="dxa"/>
            <w:tcMar>
              <w:top w:w="0" w:type="dxa"/>
              <w:left w:w="0" w:type="dxa"/>
              <w:bottom w:w="0" w:type="dxa"/>
              <w:right w:w="0" w:type="dxa"/>
            </w:tcMar>
          </w:tcPr>
          <w:p>
            <w:pPr>
              <w:spacing w:before="140"/>
              <w:ind w:left="580"/>
            </w:pPr>
            <w:r>
              <w:rPr>
                <w:rFonts w:hint="eastAsia" w:ascii="Times New Roman Bold" w:hAnsi="Times New Roman Bold" w:eastAsia="Times New Roman Bold" w:cs="Times New Roman Bold"/>
                <w:b/>
                <w:sz w:val="21"/>
              </w:rPr>
              <w:t>2016-12-31</w:t>
            </w:r>
          </w:p>
        </w:tc>
        <w:tc>
          <w:tcPr>
            <w:tcW w:w="2220" w:type="dxa"/>
            <w:tcMar>
              <w:top w:w="0" w:type="dxa"/>
              <w:left w:w="0" w:type="dxa"/>
              <w:bottom w:w="0" w:type="dxa"/>
              <w:right w:w="0" w:type="dxa"/>
            </w:tcMar>
          </w:tcPr>
          <w:p>
            <w:pPr>
              <w:spacing w:before="140"/>
              <w:ind w:left="620"/>
            </w:pPr>
            <w:r>
              <w:rPr>
                <w:rFonts w:hint="eastAsia" w:ascii="Times New Roman Bold" w:hAnsi="Times New Roman Bold" w:eastAsia="Times New Roman Bold" w:cs="Times New Roman Bold"/>
                <w:b/>
                <w:sz w:val="21"/>
              </w:rPr>
              <w:t>2015-12-31</w:t>
            </w:r>
          </w:p>
        </w:tc>
        <w:tc>
          <w:tcPr>
            <w:tcW w:w="2260" w:type="dxa"/>
            <w:tcMar>
              <w:top w:w="0" w:type="dxa"/>
              <w:left w:w="0" w:type="dxa"/>
              <w:bottom w:w="0" w:type="dxa"/>
              <w:right w:w="0" w:type="dxa"/>
            </w:tcMar>
          </w:tcPr>
          <w:p>
            <w:pPr>
              <w:spacing w:before="140"/>
              <w:ind w:left="640"/>
            </w:pPr>
            <w:r>
              <w:rPr>
                <w:rFonts w:hint="eastAsia" w:ascii="Times New Roman Bold" w:hAnsi="Times New Roman Bold" w:eastAsia="Times New Roman Bold" w:cs="Times New Roman Bold"/>
                <w:b/>
                <w:sz w:val="21"/>
              </w:rPr>
              <w:t>2014-12-31</w:t>
            </w:r>
          </w:p>
        </w:tc>
      </w:tr>
      <w:tr>
        <w:trPr>
          <w:trHeight w:val="480" w:hRule="exact"/>
        </w:trPr>
        <w:tc>
          <w:tcPr>
            <w:tcW w:w="2360" w:type="dxa"/>
            <w:tcMar>
              <w:top w:w="0" w:type="dxa"/>
              <w:left w:w="0" w:type="dxa"/>
              <w:bottom w:w="0" w:type="dxa"/>
              <w:right w:w="0" w:type="dxa"/>
            </w:tcMar>
          </w:tcPr>
          <w:p>
            <w:pPr>
              <w:spacing w:before="100"/>
              <w:ind w:left="100"/>
            </w:pPr>
            <w:r>
              <w:rPr>
                <w:rFonts w:hint="eastAsia" w:ascii="宋体" w:hAnsi="宋体" w:eastAsia="宋体" w:cs="宋体"/>
                <w:sz w:val="21"/>
              </w:rPr>
              <w:t>实收资本</w:t>
            </w:r>
            <w:r>
              <w:rPr>
                <w:rFonts w:hint="eastAsia" w:ascii="宋体" w:hAnsi="宋体" w:eastAsia="宋体" w:cs="宋体"/>
                <w:sz w:val="20"/>
              </w:rPr>
              <w:t>（</w:t>
            </w:r>
            <w:r>
              <w:rPr>
                <w:rFonts w:hint="eastAsia" w:ascii="宋体" w:hAnsi="宋体" w:eastAsia="宋体" w:cs="宋体"/>
                <w:sz w:val="21"/>
              </w:rPr>
              <w:t>或股本</w:t>
            </w:r>
            <w:r>
              <w:rPr>
                <w:rFonts w:hint="eastAsia" w:ascii="宋体" w:hAnsi="宋体" w:eastAsia="宋体" w:cs="宋体"/>
                <w:sz w:val="20"/>
              </w:rPr>
              <w:t>）</w:t>
            </w:r>
          </w:p>
        </w:tc>
        <w:tc>
          <w:tcPr>
            <w:tcW w:w="2180" w:type="dxa"/>
            <w:tcMar>
              <w:top w:w="0" w:type="dxa"/>
              <w:left w:w="0" w:type="dxa"/>
              <w:bottom w:w="0" w:type="dxa"/>
              <w:right w:w="0" w:type="dxa"/>
            </w:tcMar>
          </w:tcPr>
          <w:p>
            <w:pPr>
              <w:spacing w:before="160"/>
              <w:ind w:left="86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220" w:type="dxa"/>
            <w:tcMar>
              <w:top w:w="0" w:type="dxa"/>
              <w:left w:w="0" w:type="dxa"/>
              <w:bottom w:w="0" w:type="dxa"/>
              <w:right w:w="0" w:type="dxa"/>
            </w:tcMar>
          </w:tcPr>
          <w:p>
            <w:pPr>
              <w:spacing w:before="160"/>
              <w:ind w:left="90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260" w:type="dxa"/>
            <w:tcMar>
              <w:top w:w="0" w:type="dxa"/>
              <w:left w:w="0" w:type="dxa"/>
              <w:bottom w:w="0" w:type="dxa"/>
              <w:right w:w="0" w:type="dxa"/>
            </w:tcMar>
          </w:tcPr>
          <w:p>
            <w:pPr>
              <w:spacing w:before="160"/>
              <w:ind w:left="9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2360" w:type="dxa"/>
            <w:tcMar>
              <w:top w:w="0" w:type="dxa"/>
              <w:left w:w="0" w:type="dxa"/>
              <w:bottom w:w="0" w:type="dxa"/>
              <w:right w:w="0" w:type="dxa"/>
            </w:tcMar>
          </w:tcPr>
          <w:p>
            <w:pPr>
              <w:spacing w:before="100"/>
              <w:ind w:left="100"/>
            </w:pPr>
            <w:r>
              <w:rPr>
                <w:rFonts w:hint="eastAsia" w:ascii="宋体" w:hAnsi="宋体" w:eastAsia="宋体" w:cs="宋体"/>
                <w:sz w:val="21"/>
              </w:rPr>
              <w:t>资本公积</w:t>
            </w:r>
          </w:p>
        </w:tc>
        <w:tc>
          <w:tcPr>
            <w:tcW w:w="2180" w:type="dxa"/>
            <w:tcMar>
              <w:top w:w="0" w:type="dxa"/>
              <w:left w:w="0" w:type="dxa"/>
              <w:bottom w:w="0" w:type="dxa"/>
              <w:right w:w="0" w:type="dxa"/>
            </w:tcMar>
          </w:tcPr>
          <w:p>
            <w:pPr>
              <w:spacing w:before="160"/>
              <w:ind w:left="86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220" w:type="dxa"/>
            <w:tcMar>
              <w:top w:w="0" w:type="dxa"/>
              <w:left w:w="0" w:type="dxa"/>
              <w:bottom w:w="0" w:type="dxa"/>
              <w:right w:w="0" w:type="dxa"/>
            </w:tcMar>
          </w:tcPr>
          <w:p>
            <w:pPr>
              <w:spacing w:before="160"/>
              <w:ind w:left="90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260" w:type="dxa"/>
            <w:tcMar>
              <w:top w:w="0" w:type="dxa"/>
              <w:left w:w="0" w:type="dxa"/>
              <w:bottom w:w="0" w:type="dxa"/>
              <w:right w:w="0" w:type="dxa"/>
            </w:tcMar>
          </w:tcPr>
          <w:p>
            <w:pPr>
              <w:spacing w:before="160"/>
              <w:ind w:left="1200"/>
            </w:pPr>
            <w:r>
              <w:rPr>
                <w:rFonts w:hint="eastAsia" w:ascii="Times New Roman" w:hAnsi="Times New Roman" w:eastAsia="Times New Roman" w:cs="Times New Roman"/>
                <w:sz w:val="21"/>
              </w:rPr>
              <w:t>834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r>
      <w:tr>
        <w:trPr>
          <w:trHeight w:val="480" w:hRule="exact"/>
        </w:trPr>
        <w:tc>
          <w:tcPr>
            <w:tcW w:w="2360" w:type="dxa"/>
            <w:tcMar>
              <w:top w:w="0" w:type="dxa"/>
              <w:left w:w="0" w:type="dxa"/>
              <w:bottom w:w="0" w:type="dxa"/>
              <w:right w:w="0" w:type="dxa"/>
            </w:tcMar>
          </w:tcPr>
          <w:p>
            <w:pPr>
              <w:spacing w:before="120"/>
              <w:ind w:left="100"/>
            </w:pPr>
            <w:r>
              <w:rPr>
                <w:rFonts w:hint="eastAsia" w:ascii="宋体" w:hAnsi="宋体" w:eastAsia="宋体" w:cs="宋体"/>
                <w:sz w:val="21"/>
              </w:rPr>
              <w:t>盈余公积</w:t>
            </w:r>
          </w:p>
        </w:tc>
        <w:tc>
          <w:tcPr>
            <w:tcW w:w="2180" w:type="dxa"/>
            <w:tcMar>
              <w:top w:w="0" w:type="dxa"/>
              <w:left w:w="0" w:type="dxa"/>
              <w:bottom w:w="0" w:type="dxa"/>
              <w:right w:w="0" w:type="dxa"/>
            </w:tcMar>
          </w:tcPr>
          <w:p>
            <w:pPr>
              <w:spacing w:before="180"/>
              <w:ind w:left="86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2220" w:type="dxa"/>
            <w:tcMar>
              <w:top w:w="0" w:type="dxa"/>
              <w:left w:w="0" w:type="dxa"/>
              <w:bottom w:w="0" w:type="dxa"/>
              <w:right w:w="0" w:type="dxa"/>
            </w:tcMar>
          </w:tcPr>
          <w:p>
            <w:pPr>
              <w:spacing w:before="180"/>
              <w:ind w:left="90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260" w:type="dxa"/>
            <w:tcMar>
              <w:top w:w="0" w:type="dxa"/>
              <w:left w:w="0" w:type="dxa"/>
              <w:bottom w:w="0" w:type="dxa"/>
              <w:right w:w="0" w:type="dxa"/>
            </w:tcMar>
          </w:tcPr>
          <w:p>
            <w:pPr>
              <w:spacing w:before="180"/>
              <w:ind w:left="9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2360" w:type="dxa"/>
            <w:tcMar>
              <w:top w:w="0" w:type="dxa"/>
              <w:left w:w="0" w:type="dxa"/>
              <w:bottom w:w="0" w:type="dxa"/>
              <w:right w:w="0" w:type="dxa"/>
            </w:tcMar>
          </w:tcPr>
          <w:p>
            <w:pPr>
              <w:spacing w:before="100"/>
              <w:ind w:left="100"/>
            </w:pPr>
            <w:r>
              <w:rPr>
                <w:rFonts w:hint="eastAsia" w:ascii="宋体" w:hAnsi="宋体" w:eastAsia="宋体" w:cs="宋体"/>
                <w:sz w:val="21"/>
              </w:rPr>
              <w:t>未分配利润</w:t>
            </w:r>
          </w:p>
        </w:tc>
        <w:tc>
          <w:tcPr>
            <w:tcW w:w="218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292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c>
          <w:tcPr>
            <w:tcW w:w="2220" w:type="dxa"/>
            <w:tcMar>
              <w:top w:w="0" w:type="dxa"/>
              <w:left w:w="0" w:type="dxa"/>
              <w:bottom w:w="0" w:type="dxa"/>
              <w:right w:w="0" w:type="dxa"/>
            </w:tcMar>
          </w:tcPr>
          <w:p>
            <w:pPr>
              <w:spacing w:before="140"/>
              <w:ind w:left="800"/>
            </w:pPr>
            <w:r>
              <w:rPr>
                <w:rFonts w:hint="eastAsia" w:ascii="Times New Roman" w:hAnsi="Times New Roman" w:eastAsia="Times New Roman" w:cs="Times New Roman"/>
                <w:sz w:val="21"/>
              </w:rPr>
              <w:t>228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2260" w:type="dxa"/>
            <w:tcMar>
              <w:top w:w="0" w:type="dxa"/>
              <w:left w:w="0" w:type="dxa"/>
              <w:bottom w:w="0" w:type="dxa"/>
              <w:right w:w="0" w:type="dxa"/>
            </w:tcMar>
          </w:tcPr>
          <w:p>
            <w:pPr>
              <w:spacing w:before="140"/>
              <w:ind w:left="820"/>
            </w:pPr>
            <w:r>
              <w:rPr>
                <w:rFonts w:hint="eastAsia" w:ascii="Times New Roman" w:hAnsi="Times New Roman" w:eastAsia="Times New Roman" w:cs="Times New Roman"/>
                <w:sz w:val="21"/>
              </w:rPr>
              <w:t>152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r>
      <w:tr>
        <w:trPr>
          <w:trHeight w:val="460" w:hRule="exact"/>
        </w:trPr>
        <w:tc>
          <w:tcPr>
            <w:tcW w:w="2360" w:type="dxa"/>
            <w:tcMar>
              <w:top w:w="0" w:type="dxa"/>
              <w:left w:w="0" w:type="dxa"/>
              <w:bottom w:w="0" w:type="dxa"/>
              <w:right w:w="0" w:type="dxa"/>
            </w:tcMar>
          </w:tcPr>
          <w:p>
            <w:pPr>
              <w:spacing w:before="120"/>
              <w:ind w:left="100"/>
            </w:pPr>
            <w:r>
              <w:rPr>
                <w:rFonts w:hint="eastAsia" w:ascii="宋体" w:hAnsi="宋体" w:eastAsia="宋体" w:cs="宋体"/>
                <w:sz w:val="21"/>
              </w:rPr>
              <w:t>少数股东权益</w:t>
            </w:r>
          </w:p>
        </w:tc>
        <w:tc>
          <w:tcPr>
            <w:tcW w:w="2180" w:type="dxa"/>
            <w:tcMar>
              <w:top w:w="0" w:type="dxa"/>
              <w:left w:w="0" w:type="dxa"/>
              <w:bottom w:w="0" w:type="dxa"/>
              <w:right w:w="0" w:type="dxa"/>
            </w:tcMar>
          </w:tcPr>
          <w:p>
            <w:pPr>
              <w:spacing w:before="160"/>
              <w:ind w:left="9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w:t>
            </w:r>
          </w:p>
        </w:tc>
        <w:tc>
          <w:tcPr>
            <w:tcW w:w="222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c>
          <w:tcPr>
            <w:tcW w:w="2260" w:type="dxa"/>
            <w:tcMar>
              <w:top w:w="0" w:type="dxa"/>
              <w:left w:w="0" w:type="dxa"/>
              <w:bottom w:w="0" w:type="dxa"/>
              <w:right w:w="0" w:type="dxa"/>
            </w:tcMar>
          </w:tcPr>
          <w:p>
            <w:pPr>
              <w:spacing w:before="160"/>
              <w:ind w:left="10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p>
        </w:tc>
      </w:tr>
      <w:tr>
        <w:trPr>
          <w:trHeight w:val="480" w:hRule="exact"/>
        </w:trPr>
        <w:tc>
          <w:tcPr>
            <w:tcW w:w="2360" w:type="dxa"/>
            <w:tcMar>
              <w:top w:w="0" w:type="dxa"/>
              <w:left w:w="0" w:type="dxa"/>
              <w:bottom w:w="0" w:type="dxa"/>
              <w:right w:w="0" w:type="dxa"/>
            </w:tcMar>
          </w:tcPr>
          <w:p>
            <w:pPr>
              <w:spacing w:before="120"/>
              <w:ind w:left="100"/>
            </w:pPr>
            <w:r>
              <w:rPr>
                <w:rFonts w:hint="eastAsia" w:ascii="宋体" w:hAnsi="宋体" w:eastAsia="宋体" w:cs="宋体"/>
                <w:b/>
                <w:sz w:val="21"/>
              </w:rPr>
              <w:t>所有者权益合计</w:t>
            </w:r>
          </w:p>
        </w:tc>
        <w:tc>
          <w:tcPr>
            <w:tcW w:w="2180" w:type="dxa"/>
            <w:tcMar>
              <w:top w:w="0" w:type="dxa"/>
              <w:left w:w="0" w:type="dxa"/>
              <w:bottom w:w="0" w:type="dxa"/>
              <w:right w:w="0" w:type="dxa"/>
            </w:tcMar>
          </w:tcPr>
          <w:p>
            <w:pPr>
              <w:spacing w:before="180"/>
              <w:ind w:left="740"/>
            </w:pPr>
            <w:r>
              <w:rPr>
                <w:rFonts w:hint="eastAsia" w:ascii="Times New Roman Bold" w:hAnsi="Times New Roman Bold" w:eastAsia="Times New Roman Bold" w:cs="Times New Roman Bold"/>
                <w:b/>
                <w:sz w:val="21"/>
              </w:rPr>
              <w:t>476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39</w:t>
            </w:r>
          </w:p>
        </w:tc>
        <w:tc>
          <w:tcPr>
            <w:tcW w:w="2220" w:type="dxa"/>
            <w:tcMar>
              <w:top w:w="0" w:type="dxa"/>
              <w:left w:w="0" w:type="dxa"/>
              <w:bottom w:w="0" w:type="dxa"/>
              <w:right w:w="0" w:type="dxa"/>
            </w:tcMar>
          </w:tcPr>
          <w:p>
            <w:pPr>
              <w:spacing w:before="180"/>
              <w:ind w:left="800"/>
            </w:pPr>
            <w:r>
              <w:rPr>
                <w:rFonts w:hint="eastAsia" w:ascii="Times New Roman Bold" w:hAnsi="Times New Roman Bold" w:eastAsia="Times New Roman Bold" w:cs="Times New Roman Bold"/>
                <w:b/>
                <w:sz w:val="21"/>
              </w:rPr>
              <w:t>406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2260" w:type="dxa"/>
            <w:tcMar>
              <w:top w:w="0" w:type="dxa"/>
              <w:left w:w="0" w:type="dxa"/>
              <w:bottom w:w="0" w:type="dxa"/>
              <w:right w:w="0" w:type="dxa"/>
            </w:tcMar>
          </w:tcPr>
          <w:p>
            <w:pPr>
              <w:spacing w:before="180"/>
              <w:ind w:left="820"/>
            </w:pPr>
            <w:r>
              <w:rPr>
                <w:rFonts w:hint="eastAsia" w:ascii="Times New Roman Bold" w:hAnsi="Times New Roman Bold" w:eastAsia="Times New Roman Bold" w:cs="Times New Roman Bold"/>
                <w:b/>
                <w:sz w:val="21"/>
              </w:rPr>
              <w:t>199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90</w:t>
            </w:r>
          </w:p>
        </w:tc>
      </w:tr>
    </w:tbl>
    <w:p>
      <w:pPr>
        <w:spacing w:line="200" w:lineRule="exact"/>
        <w:rPr>
          <w:rFonts w:hint="eastAsia" w:ascii="宋体" w:hAnsi="宋体" w:eastAsia="宋体" w:cs="宋体"/>
          <w:sz w:val="20"/>
        </w:rPr>
      </w:pPr>
    </w:p>
    <w:p>
      <w:pPr>
        <w:autoSpaceDE w:val="false"/>
        <w:autoSpaceDN w:val="false"/>
        <w:spacing w:line="320" w:lineRule="exact"/>
        <w:ind w:left="1440"/>
        <w:jc w:val="both"/>
      </w:pPr>
      <w:r>
        <w:rPr>
          <w:rFonts w:hint="eastAsia" w:ascii="宋体" w:hAnsi="宋体" w:eastAsia="宋体" w:cs="宋体"/>
          <w:b/>
          <w:sz w:val="20"/>
        </w:rPr>
        <w:t>（一）</w:t>
      </w:r>
      <w:r>
        <w:rPr>
          <w:rFonts w:hint="eastAsia" w:ascii="宋体" w:hAnsi="宋体" w:eastAsia="宋体" w:cs="宋体"/>
          <w:b/>
          <w:sz w:val="24"/>
        </w:rPr>
        <w:t>股本（实收资本）的变化</w:t>
      </w: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1-1-246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报告期内公司股本变化情况如下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0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0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期初股本金额</w:t>
            </w:r>
          </w:p>
        </w:tc>
        <w:tc>
          <w:tcPr>
            <w:tcW w:w="232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2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股东投入股本</w:t>
            </w:r>
          </w:p>
        </w:tc>
        <w:tc>
          <w:tcPr>
            <w:tcW w:w="2320" w:type="dxa"/>
            <w:tcMar>
              <w:top w:w="0" w:type="dxa"/>
              <w:left w:w="0" w:type="dxa"/>
              <w:bottom w:w="0" w:type="dxa"/>
              <w:right w:w="0" w:type="dxa"/>
            </w:tcMar>
          </w:tcPr>
          <w:p>
            <w:pPr>
              <w:spacing w:before="28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160"/>
              <w:ind w:left="10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20" w:type="dxa"/>
            <w:tcMar>
              <w:top w:w="0" w:type="dxa"/>
              <w:left w:w="0" w:type="dxa"/>
              <w:bottom w:w="0" w:type="dxa"/>
              <w:right w:w="0" w:type="dxa"/>
            </w:tcMar>
          </w:tcPr>
          <w:p>
            <w:pPr>
              <w:spacing w:before="280"/>
              <w:ind w:left="2140"/>
            </w:pPr>
            <w:r>
              <w:rPr>
                <w:rFonts w:hint="eastAsia" w:ascii="Times New Roman Bold" w:hAnsi="Times New Roman Bold" w:eastAsia="Times New Roman Bold" w:cs="Times New Roman Bold"/>
                <w:b/>
                <w:sz w:val="21"/>
              </w:rPr>
              <w:t>-</w:t>
            </w:r>
          </w:p>
        </w:tc>
      </w:tr>
      <w:tr>
        <w:trPr>
          <w:trHeight w:val="46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所有者权益内部结转</w:t>
            </w:r>
          </w:p>
        </w:tc>
        <w:tc>
          <w:tcPr>
            <w:tcW w:w="2320" w:type="dxa"/>
            <w:tcMar>
              <w:top w:w="0" w:type="dxa"/>
              <w:left w:w="0" w:type="dxa"/>
              <w:bottom w:w="0" w:type="dxa"/>
              <w:right w:w="0" w:type="dxa"/>
            </w:tcMar>
          </w:tcPr>
          <w:p>
            <w:pPr>
              <w:spacing w:before="280"/>
              <w:ind w:left="2120"/>
            </w:pPr>
            <w:r>
              <w:rPr>
                <w:rFonts w:hint="eastAsia" w:ascii="Times New Roman Bold" w:hAnsi="Times New Roman Bold" w:eastAsia="Times New Roman Bold" w:cs="Times New Roman Bold"/>
                <w:b/>
                <w:sz w:val="21"/>
              </w:rPr>
              <w:t>-</w:t>
            </w:r>
          </w:p>
        </w:tc>
        <w:tc>
          <w:tcPr>
            <w:tcW w:w="230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20" w:type="dxa"/>
            <w:tcMar>
              <w:top w:w="0" w:type="dxa"/>
              <w:left w:w="0" w:type="dxa"/>
              <w:bottom w:w="0" w:type="dxa"/>
              <w:right w:w="0" w:type="dxa"/>
            </w:tcMar>
          </w:tcPr>
          <w:p>
            <w:pPr>
              <w:spacing w:before="280"/>
              <w:ind w:left="2140"/>
            </w:pPr>
            <w:r>
              <w:rPr>
                <w:rFonts w:hint="eastAsia" w:ascii="Times New Roman Bold" w:hAnsi="Times New Roman Bold" w:eastAsia="Times New Roman Bold" w:cs="Times New Roman Bold"/>
                <w:b/>
                <w:sz w:val="21"/>
              </w:rPr>
              <w:t>-</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期末股本金额</w:t>
            </w:r>
          </w:p>
        </w:tc>
        <w:tc>
          <w:tcPr>
            <w:tcW w:w="2320" w:type="dxa"/>
            <w:tcMar>
              <w:top w:w="0" w:type="dxa"/>
              <w:left w:w="0" w:type="dxa"/>
              <w:bottom w:w="0" w:type="dxa"/>
              <w:right w:w="0" w:type="dxa"/>
            </w:tcMar>
          </w:tcPr>
          <w:p>
            <w:pPr>
              <w:spacing w:before="180"/>
              <w:ind w:left="98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180"/>
              <w:ind w:left="98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20" w:type="dxa"/>
            <w:tcMar>
              <w:top w:w="0" w:type="dxa"/>
              <w:left w:w="0" w:type="dxa"/>
              <w:bottom w:w="0" w:type="dxa"/>
              <w:right w:w="0" w:type="dxa"/>
            </w:tcMar>
          </w:tcPr>
          <w:p>
            <w:pPr>
              <w:spacing w:before="180"/>
              <w:ind w:left="100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年第三次临时股东大会审议通过《关于公司定向增发的议案》，</w:t>
      </w:r>
      <w:r>
        <w:rPr>
          <w:rFonts w:hint="eastAsia" w:ascii="宋体" w:hAnsi="宋体" w:eastAsia="宋体" w:cs="宋体"/>
          <w:sz w:val="24"/>
        </w:rPr>
        <w:t>同意金石投资以货币出资认购公司</w:t>
      </w:r>
      <w:r>
        <w:rPr>
          <w:rFonts w:hint="eastAsia" w:ascii="Times New Roman" w:hAnsi="Times New Roman" w:eastAsia="Times New Roman" w:cs="Times New Roman"/>
          <w:sz w:val="24"/>
        </w:rPr>
        <w:t xml:space="preserve"> 157</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增资后公司总股本由</w:t>
      </w:r>
      <w:r>
        <w:rPr>
          <w:rFonts w:hint="eastAsia" w:ascii="Times New Roman" w:hAnsi="Times New Roman" w:eastAsia="Times New Roman" w:cs="Times New Roman"/>
          <w:sz w:val="24"/>
        </w:rPr>
        <w:t xml:space="preserve"> 3,000</w:t>
      </w:r>
      <w:r>
        <w:rPr>
          <w:rFonts w:hint="eastAsia" w:ascii="宋体" w:hAnsi="宋体" w:eastAsia="宋体" w:cs="宋体"/>
          <w:sz w:val="24"/>
        </w:rPr>
        <w:t>万股增至</w:t>
      </w:r>
      <w:r>
        <w:rPr>
          <w:rFonts w:hint="eastAsia" w:ascii="Times New Roman" w:hAnsi="Times New Roman" w:eastAsia="Times New Roman" w:cs="Times New Roman"/>
          <w:sz w:val="24"/>
        </w:rPr>
        <w:t xml:space="preserve"> 3,157</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公司注册资本变更为</w:t>
      </w:r>
      <w:r>
        <w:rPr>
          <w:rFonts w:hint="eastAsia" w:ascii="Times New Roman" w:hAnsi="Times New Roman" w:eastAsia="Times New Roman" w:cs="Times New Roman"/>
          <w:sz w:val="24"/>
        </w:rPr>
        <w:t xml:space="preserve"> 3,157</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19</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年第四次临时股东大会审议通过《关于资本公积金转增股本的议案》，</w:t>
      </w:r>
      <w:r>
        <w:rPr>
          <w:rFonts w:hint="eastAsia" w:ascii="宋体" w:hAnsi="宋体" w:eastAsia="宋体" w:cs="宋体"/>
          <w:sz w:val="24"/>
        </w:rPr>
        <w:t>公司以</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日的总股本</w:t>
      </w:r>
      <w:r>
        <w:rPr>
          <w:rFonts w:hint="eastAsia" w:ascii="Times New Roman" w:hAnsi="Times New Roman" w:eastAsia="Times New Roman" w:cs="Times New Roman"/>
          <w:sz w:val="24"/>
        </w:rPr>
        <w:t xml:space="preserve"> 3,157</w:t>
      </w:r>
      <w:r>
        <w:rPr>
          <w:rFonts w:hint="eastAsia" w:ascii="宋体" w:hAnsi="宋体" w:eastAsia="宋体" w:cs="宋体"/>
          <w:sz w:val="24"/>
        </w:rPr>
        <w:t xml:space="preserve"> 万股为基数</w:t>
      </w:r>
      <w:r>
        <w:rPr>
          <w:rFonts w:hint="eastAsia" w:ascii="宋体" w:hAnsi="宋体" w:eastAsia="宋体" w:cs="宋体"/>
          <w:sz w:val="10"/>
        </w:rPr>
        <w:t>，</w:t>
      </w:r>
      <w:r>
        <w:rPr>
          <w:rFonts w:hint="eastAsia" w:ascii="宋体" w:hAnsi="宋体" w:eastAsia="宋体" w:cs="宋体"/>
          <w:sz w:val="24"/>
        </w:rPr>
        <w:t>以资本公积按照各股东持股比例每</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股转增</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股</w:t>
      </w:r>
      <w:r>
        <w:rPr>
          <w:rFonts w:hint="eastAsia" w:ascii="宋体" w:hAnsi="宋体" w:eastAsia="宋体" w:cs="宋体"/>
          <w:sz w:val="10"/>
        </w:rPr>
        <w:t>，</w:t>
      </w:r>
      <w:r>
        <w:rPr>
          <w:rFonts w:hint="eastAsia" w:ascii="宋体" w:hAnsi="宋体" w:eastAsia="宋体" w:cs="宋体"/>
          <w:sz w:val="24"/>
        </w:rPr>
        <w:t>转增后公司的总股本由</w:t>
      </w:r>
      <w:r>
        <w:rPr>
          <w:rFonts w:hint="eastAsia" w:ascii="Times New Roman" w:hAnsi="Times New Roman" w:eastAsia="Times New Roman" w:cs="Times New Roman"/>
          <w:sz w:val="24"/>
        </w:rPr>
        <w:t xml:space="preserve"> 3,157</w:t>
      </w:r>
      <w:r>
        <w:rPr>
          <w:rFonts w:hint="eastAsia" w:ascii="宋体" w:hAnsi="宋体" w:eastAsia="宋体" w:cs="宋体"/>
          <w:sz w:val="24"/>
        </w:rPr>
        <w:t xml:space="preserve"> 万股增至</w:t>
      </w:r>
      <w:r>
        <w:rPr>
          <w:rFonts w:hint="eastAsia" w:ascii="Times New Roman" w:hAnsi="Times New Roman" w:eastAsia="Times New Roman" w:cs="Times New Roman"/>
          <w:sz w:val="24"/>
        </w:rPr>
        <w:t xml:space="preserve"> 6,314</w:t>
      </w:r>
      <w:r>
        <w:rPr>
          <w:rFonts w:hint="eastAsia" w:ascii="宋体" w:hAnsi="宋体" w:eastAsia="宋体" w:cs="宋体"/>
          <w:sz w:val="24"/>
        </w:rPr>
        <w:t>万股</w:t>
      </w:r>
      <w:r>
        <w:rPr>
          <w:rFonts w:hint="eastAsia" w:ascii="宋体" w:hAnsi="宋体" w:eastAsia="宋体" w:cs="宋体"/>
          <w:sz w:val="10"/>
        </w:rPr>
        <w:t>。</w:t>
      </w:r>
      <w:r>
        <w:rPr>
          <w:rFonts w:hint="eastAsia" w:ascii="宋体" w:hAnsi="宋体" w:eastAsia="宋体" w:cs="宋体"/>
          <w:sz w:val="24"/>
        </w:rPr>
        <w:t>公司注册资本变更为</w:t>
      </w:r>
      <w:r>
        <w:rPr>
          <w:rFonts w:hint="eastAsia" w:ascii="Times New Roman" w:hAnsi="Times New Roman" w:eastAsia="Times New Roman" w:cs="Times New Roman"/>
          <w:sz w:val="24"/>
        </w:rPr>
        <w:t xml:space="preserve"> 6,314</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（二）资本公积的变化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报告期内公司资本公积变化情况如下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2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期初余额</w:t>
            </w:r>
          </w:p>
        </w:tc>
        <w:tc>
          <w:tcPr>
            <w:tcW w:w="2320" w:type="dxa"/>
            <w:tcMar>
              <w:top w:w="0" w:type="dxa"/>
              <w:left w:w="0" w:type="dxa"/>
              <w:bottom w:w="0" w:type="dxa"/>
              <w:right w:w="0" w:type="dxa"/>
            </w:tcMar>
          </w:tcPr>
          <w:p>
            <w:pPr>
              <w:spacing w:before="140"/>
              <w:ind w:left="98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300" w:type="dxa"/>
            <w:tcMar>
              <w:top w:w="0" w:type="dxa"/>
              <w:left w:w="0" w:type="dxa"/>
              <w:bottom w:w="0" w:type="dxa"/>
              <w:right w:w="0" w:type="dxa"/>
            </w:tcMar>
          </w:tcPr>
          <w:p>
            <w:pPr>
              <w:spacing w:before="140"/>
              <w:ind w:left="1240"/>
            </w:pPr>
            <w:r>
              <w:rPr>
                <w:rFonts w:hint="eastAsia" w:ascii="Times New Roman" w:hAnsi="Times New Roman" w:eastAsia="Times New Roman" w:cs="Times New Roman"/>
                <w:sz w:val="21"/>
              </w:rPr>
              <w:t>834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320" w:type="dxa"/>
            <w:tcMar>
              <w:top w:w="0" w:type="dxa"/>
              <w:left w:w="0" w:type="dxa"/>
              <w:bottom w:w="0" w:type="dxa"/>
              <w:right w:w="0" w:type="dxa"/>
            </w:tcMar>
          </w:tcPr>
          <w:p>
            <w:pPr>
              <w:spacing w:before="140"/>
              <w:ind w:left="1260"/>
            </w:pPr>
            <w:r>
              <w:rPr>
                <w:rFonts w:hint="eastAsia" w:ascii="Times New Roman" w:hAnsi="Times New Roman" w:eastAsia="Times New Roman" w:cs="Times New Roman"/>
                <w:sz w:val="21"/>
              </w:rPr>
              <w:t>834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r>
      <w:tr>
        <w:trPr>
          <w:trHeight w:val="48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本期增加</w:t>
            </w:r>
          </w:p>
        </w:tc>
        <w:tc>
          <w:tcPr>
            <w:tcW w:w="232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160"/>
              <w:ind w:left="880"/>
            </w:pP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20" w:type="dxa"/>
            <w:tcMar>
              <w:top w:w="0" w:type="dxa"/>
              <w:left w:w="0" w:type="dxa"/>
              <w:bottom w:w="0" w:type="dxa"/>
              <w:right w:w="0" w:type="dxa"/>
            </w:tcMar>
          </w:tcPr>
          <w:p>
            <w:pPr>
              <w:spacing w:before="300"/>
              <w:ind w:left="2140"/>
            </w:pPr>
            <w:r>
              <w:rPr>
                <w:rFonts w:hint="eastAsia" w:ascii="Times New Roman" w:hAnsi="Times New Roman" w:eastAsia="Times New Roman" w:cs="Times New Roman"/>
                <w:sz w:val="21"/>
              </w:rPr>
              <w:t>-</w:t>
            </w:r>
          </w:p>
        </w:tc>
      </w:tr>
      <w:tr>
        <w:trPr>
          <w:trHeight w:val="48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本期减少</w:t>
            </w:r>
          </w:p>
        </w:tc>
        <w:tc>
          <w:tcPr>
            <w:tcW w:w="232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20" w:type="dxa"/>
            <w:tcMar>
              <w:top w:w="0" w:type="dxa"/>
              <w:left w:w="0" w:type="dxa"/>
              <w:bottom w:w="0" w:type="dxa"/>
              <w:right w:w="0" w:type="dxa"/>
            </w:tcMar>
          </w:tcPr>
          <w:p>
            <w:pPr>
              <w:spacing w:before="300"/>
              <w:ind w:left="2140"/>
            </w:pPr>
            <w:r>
              <w:rPr>
                <w:rFonts w:hint="eastAsia" w:ascii="Times New Roman" w:hAnsi="Times New Roman" w:eastAsia="Times New Roman" w:cs="Times New Roman"/>
                <w:sz w:val="21"/>
              </w:rPr>
              <w:t>-</w:t>
            </w:r>
          </w:p>
        </w:tc>
      </w:tr>
      <w:tr>
        <w:trPr>
          <w:trHeight w:val="46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期末余额</w:t>
            </w:r>
          </w:p>
        </w:tc>
        <w:tc>
          <w:tcPr>
            <w:tcW w:w="232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30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320" w:type="dxa"/>
            <w:tcMar>
              <w:top w:w="0" w:type="dxa"/>
              <w:left w:w="0" w:type="dxa"/>
              <w:bottom w:w="0" w:type="dxa"/>
              <w:right w:w="0" w:type="dxa"/>
            </w:tcMar>
          </w:tcPr>
          <w:p>
            <w:pPr>
              <w:spacing w:before="160"/>
              <w:ind w:left="1260"/>
            </w:pPr>
            <w:r>
              <w:rPr>
                <w:rFonts w:hint="eastAsia" w:ascii="Times New Roman" w:hAnsi="Times New Roman" w:eastAsia="Times New Roman" w:cs="Times New Roman"/>
                <w:sz w:val="21"/>
              </w:rPr>
              <w:t>834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r>
    </w:tbl>
    <w:p>
      <w:pPr>
        <w:spacing w:line="200" w:lineRule="exact"/>
        <w:rPr>
          <w:rFonts w:hint="eastAsia" w:ascii="宋体" w:hAnsi="宋体" w:eastAsia="宋体" w:cs="宋体"/>
          <w:sz w:val="20"/>
        </w:rPr>
      </w:pPr>
    </w:p>
    <w:p>
      <w:pPr>
        <w:autoSpaceDE w:val="false"/>
        <w:autoSpaceDN w:val="false"/>
        <w:spacing w:line="420" w:lineRule="exact"/>
        <w:ind w:left="1440" w:right="124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年第三次临时股东大会审议通过《关于公司定向增发的议案》，</w:t>
      </w:r>
      <w:r>
        <w:rPr>
          <w:rFonts w:hint="eastAsia" w:ascii="宋体" w:hAnsi="宋体" w:eastAsia="宋体" w:cs="宋体"/>
          <w:sz w:val="24"/>
        </w:rPr>
        <w:t>同意金石投资以货币出资</w:t>
      </w:r>
      <w:r>
        <w:rPr>
          <w:rFonts w:hint="eastAsia" w:ascii="Times New Roman" w:hAnsi="Times New Roman" w:eastAsia="Times New Roman" w:cs="Times New Roman"/>
          <w:sz w:val="24"/>
        </w:rPr>
        <w:t xml:space="preserve"> 11,932</w:t>
      </w:r>
      <w:r>
        <w:rPr>
          <w:rFonts w:hint="eastAsia" w:ascii="宋体" w:hAnsi="宋体" w:eastAsia="宋体" w:cs="宋体"/>
          <w:sz w:val="24"/>
        </w:rPr>
        <w:t xml:space="preserve"> 万元认购公司</w:t>
      </w:r>
      <w:r>
        <w:rPr>
          <w:rFonts w:hint="eastAsia" w:ascii="Times New Roman" w:hAnsi="Times New Roman" w:eastAsia="Times New Roman" w:cs="Times New Roman"/>
          <w:sz w:val="24"/>
        </w:rPr>
        <w:t xml:space="preserve"> 157</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增资后公司总股本由</w:t>
      </w:r>
      <w:r>
        <w:rPr>
          <w:rFonts w:hint="eastAsia" w:ascii="Times New Roman" w:hAnsi="Times New Roman" w:eastAsia="Times New Roman" w:cs="Times New Roman"/>
          <w:sz w:val="24"/>
        </w:rPr>
        <w:t xml:space="preserve"> 3,000</w:t>
      </w:r>
      <w:r>
        <w:rPr>
          <w:rFonts w:hint="eastAsia" w:ascii="宋体" w:hAnsi="宋体" w:eastAsia="宋体" w:cs="宋体"/>
          <w:sz w:val="24"/>
        </w:rPr>
        <w:t xml:space="preserve"> 万股增至</w:t>
      </w:r>
      <w:r>
        <w:rPr>
          <w:rFonts w:hint="eastAsia" w:ascii="Times New Roman" w:hAnsi="Times New Roman" w:eastAsia="Times New Roman" w:cs="Times New Roman"/>
          <w:sz w:val="24"/>
        </w:rPr>
        <w:t xml:space="preserve"> 3,157</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资本公积增加</w:t>
      </w:r>
      <w:r>
        <w:rPr>
          <w:rFonts w:hint="eastAsia" w:ascii="Times New Roman" w:hAnsi="Times New Roman" w:eastAsia="Times New Roman" w:cs="Times New Roman"/>
          <w:sz w:val="24"/>
        </w:rPr>
        <w:t xml:space="preserve"> 11,775</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19</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年第四次临时股东大会审议通过《关于资本公积金转增股本的议案》，</w:t>
      </w:r>
      <w:r>
        <w:rPr>
          <w:rFonts w:hint="eastAsia" w:ascii="宋体" w:hAnsi="宋体" w:eastAsia="宋体" w:cs="宋体"/>
          <w:sz w:val="24"/>
        </w:rPr>
        <w:t>公司以</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日的总股本</w:t>
      </w:r>
      <w:r>
        <w:rPr>
          <w:rFonts w:hint="eastAsia" w:ascii="Times New Roman" w:hAnsi="Times New Roman" w:eastAsia="Times New Roman" w:cs="Times New Roman"/>
          <w:sz w:val="24"/>
        </w:rPr>
        <w:t xml:space="preserve"> 3,157</w:t>
      </w:r>
      <w:r>
        <w:rPr>
          <w:rFonts w:hint="eastAsia" w:ascii="宋体" w:hAnsi="宋体" w:eastAsia="宋体" w:cs="宋体"/>
          <w:sz w:val="24"/>
        </w:rPr>
        <w:t xml:space="preserve"> 万股为基数</w:t>
      </w:r>
      <w:r>
        <w:rPr>
          <w:rFonts w:hint="eastAsia" w:ascii="宋体" w:hAnsi="宋体" w:eastAsia="宋体" w:cs="宋体"/>
          <w:sz w:val="10"/>
        </w:rPr>
        <w:t>，</w:t>
      </w:r>
      <w:r>
        <w:rPr>
          <w:rFonts w:hint="eastAsia" w:ascii="宋体" w:hAnsi="宋体" w:eastAsia="宋体" w:cs="宋体"/>
          <w:sz w:val="24"/>
        </w:rPr>
        <w:t>以资本公</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1-1-247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00"/>
        <w:jc w:val="both"/>
      </w:pPr>
      <w:r>
        <w:rPr>
          <w:rFonts w:hint="eastAsia" w:ascii="宋体" w:hAnsi="宋体" w:eastAsia="宋体" w:cs="宋体"/>
          <w:sz w:val="24"/>
        </w:rPr>
        <w:t>积按照各股东持股比例每</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股转增</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股</w:t>
      </w:r>
      <w:r>
        <w:rPr>
          <w:rFonts w:hint="eastAsia" w:ascii="宋体" w:hAnsi="宋体" w:eastAsia="宋体" w:cs="宋体"/>
          <w:sz w:val="10"/>
        </w:rPr>
        <w:t>，</w:t>
      </w:r>
      <w:r>
        <w:rPr>
          <w:rFonts w:hint="eastAsia" w:ascii="宋体" w:hAnsi="宋体" w:eastAsia="宋体" w:cs="宋体"/>
          <w:sz w:val="24"/>
        </w:rPr>
        <w:t>转增后公司的总股本由</w:t>
      </w:r>
      <w:r>
        <w:rPr>
          <w:rFonts w:hint="eastAsia" w:ascii="Times New Roman" w:hAnsi="Times New Roman" w:eastAsia="Times New Roman" w:cs="Times New Roman"/>
          <w:sz w:val="24"/>
        </w:rPr>
        <w:t xml:space="preserve"> 3,157</w:t>
      </w:r>
      <w:r>
        <w:rPr>
          <w:rFonts w:hint="eastAsia" w:ascii="宋体" w:hAnsi="宋体" w:eastAsia="宋体" w:cs="宋体"/>
          <w:sz w:val="24"/>
        </w:rPr>
        <w:t xml:space="preserve"> 万股增至</w:t>
      </w:r>
      <w:r>
        <w:rPr>
          <w:rFonts w:hint="eastAsia" w:ascii="Times New Roman" w:hAnsi="Times New Roman" w:eastAsia="Times New Roman" w:cs="Times New Roman"/>
          <w:sz w:val="24"/>
        </w:rPr>
        <w:t xml:space="preserve"> 6,314</w:t>
      </w:r>
      <w:r>
        <w:rPr>
          <w:rFonts w:hint="eastAsia" w:ascii="宋体" w:hAnsi="宋体" w:eastAsia="宋体" w:cs="宋体"/>
          <w:sz w:val="24"/>
        </w:rPr>
        <w:t>万股</w:t>
      </w:r>
      <w:r>
        <w:rPr>
          <w:rFonts w:hint="eastAsia" w:ascii="宋体" w:hAnsi="宋体" w:eastAsia="宋体" w:cs="宋体"/>
          <w:sz w:val="10"/>
        </w:rPr>
        <w:t>。</w:t>
      </w:r>
      <w:r>
        <w:rPr>
          <w:rFonts w:hint="eastAsia" w:ascii="宋体" w:hAnsi="宋体" w:eastAsia="宋体" w:cs="宋体"/>
          <w:sz w:val="24"/>
        </w:rPr>
        <w:t>公司注册资本变更为</w:t>
      </w:r>
      <w:r>
        <w:rPr>
          <w:rFonts w:hint="eastAsia" w:ascii="Times New Roman" w:hAnsi="Times New Roman" w:eastAsia="Times New Roman" w:cs="Times New Roman"/>
          <w:sz w:val="24"/>
        </w:rPr>
        <w:t xml:space="preserve"> 6,314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资本公积减少</w:t>
      </w:r>
      <w:r>
        <w:rPr>
          <w:rFonts w:hint="eastAsia" w:ascii="Times New Roman" w:hAnsi="Times New Roman" w:eastAsia="Times New Roman" w:cs="Times New Roman"/>
          <w:sz w:val="24"/>
        </w:rPr>
        <w:t xml:space="preserve"> 3,157</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（三）盈余公积的变化</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报告期内公司盈余公积变化情况如下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6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2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期初余额</w:t>
            </w:r>
          </w:p>
        </w:tc>
        <w:tc>
          <w:tcPr>
            <w:tcW w:w="2320" w:type="dxa"/>
            <w:tcMar>
              <w:top w:w="0" w:type="dxa"/>
              <w:left w:w="0" w:type="dxa"/>
              <w:bottom w:w="0" w:type="dxa"/>
              <w:right w:w="0" w:type="dxa"/>
            </w:tcMar>
          </w:tcPr>
          <w:p>
            <w:pPr>
              <w:spacing w:before="180"/>
              <w:ind w:left="9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300" w:type="dxa"/>
            <w:tcMar>
              <w:top w:w="0" w:type="dxa"/>
              <w:left w:w="0" w:type="dxa"/>
              <w:bottom w:w="0" w:type="dxa"/>
              <w:right w:w="0" w:type="dxa"/>
            </w:tcMar>
          </w:tcPr>
          <w:p>
            <w:pPr>
              <w:spacing w:before="180"/>
              <w:ind w:left="9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20" w:type="dxa"/>
            <w:tcMar>
              <w:top w:w="0" w:type="dxa"/>
              <w:left w:w="0" w:type="dxa"/>
              <w:bottom w:w="0" w:type="dxa"/>
              <w:right w:w="0" w:type="dxa"/>
            </w:tcMar>
          </w:tcPr>
          <w:p>
            <w:pPr>
              <w:spacing w:before="180"/>
              <w:ind w:left="100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本期增加</w:t>
            </w:r>
          </w:p>
        </w:tc>
        <w:tc>
          <w:tcPr>
            <w:tcW w:w="2320" w:type="dxa"/>
            <w:tcMar>
              <w:top w:w="0" w:type="dxa"/>
              <w:left w:w="0" w:type="dxa"/>
              <w:bottom w:w="0" w:type="dxa"/>
              <w:right w:w="0" w:type="dxa"/>
            </w:tcMar>
          </w:tcPr>
          <w:p>
            <w:pPr>
              <w:spacing w:before="140"/>
              <w:ind w:left="11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2300" w:type="dxa"/>
            <w:tcMar>
              <w:top w:w="0" w:type="dxa"/>
              <w:left w:w="0" w:type="dxa"/>
              <w:bottom w:w="0" w:type="dxa"/>
              <w:right w:w="0" w:type="dxa"/>
            </w:tcMar>
          </w:tcPr>
          <w:p>
            <w:pPr>
              <w:spacing w:before="140"/>
              <w:ind w:left="108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320" w:type="dxa"/>
            <w:tcMar>
              <w:top w:w="0" w:type="dxa"/>
              <w:left w:w="0" w:type="dxa"/>
              <w:bottom w:w="0" w:type="dxa"/>
              <w:right w:w="0" w:type="dxa"/>
            </w:tcMar>
          </w:tcPr>
          <w:p>
            <w:pPr>
              <w:spacing w:before="280"/>
              <w:ind w:left="2140"/>
            </w:pPr>
            <w:r>
              <w:rPr>
                <w:rFonts w:hint="eastAsia" w:ascii="Times New Roman" w:hAnsi="Times New Roman" w:eastAsia="Times New Roman" w:cs="Times New Roman"/>
                <w:sz w:val="21"/>
              </w:rPr>
              <w:t>-</w:t>
            </w:r>
          </w:p>
        </w:tc>
      </w:tr>
      <w:tr>
        <w:trPr>
          <w:trHeight w:val="48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本期减少</w:t>
            </w:r>
          </w:p>
        </w:tc>
        <w:tc>
          <w:tcPr>
            <w:tcW w:w="232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20" w:type="dxa"/>
            <w:tcMar>
              <w:top w:w="0" w:type="dxa"/>
              <w:left w:w="0" w:type="dxa"/>
              <w:bottom w:w="0" w:type="dxa"/>
              <w:right w:w="0" w:type="dxa"/>
            </w:tcMar>
          </w:tcPr>
          <w:p>
            <w:pPr>
              <w:spacing w:before="300"/>
              <w:ind w:left="2140"/>
            </w:pPr>
            <w:r>
              <w:rPr>
                <w:rFonts w:hint="eastAsia" w:ascii="Times New Roman" w:hAnsi="Times New Roman" w:eastAsia="Times New Roman" w:cs="Times New Roman"/>
                <w:sz w:val="21"/>
              </w:rPr>
              <w:t>-</w:t>
            </w:r>
          </w:p>
        </w:tc>
      </w:tr>
      <w:tr>
        <w:trPr>
          <w:trHeight w:val="46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期末余额</w:t>
            </w:r>
          </w:p>
        </w:tc>
        <w:tc>
          <w:tcPr>
            <w:tcW w:w="232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230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32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根据《公司章程》，</w:t>
      </w:r>
      <w:r>
        <w:rPr>
          <w:rFonts w:hint="eastAsia" w:ascii="宋体" w:hAnsi="宋体" w:eastAsia="宋体" w:cs="宋体"/>
          <w:sz w:val="24"/>
        </w:rPr>
        <w:t>公司应按当期实现的净利润计提</w:t>
      </w:r>
      <w:r>
        <w:rPr>
          <w:rFonts w:hint="eastAsia" w:ascii="Times New Roman" w:hAnsi="Times New Roman" w:eastAsia="Times New Roman" w:cs="Times New Roman"/>
          <w:sz w:val="24"/>
        </w:rPr>
        <w:t xml:space="preserve"> 10%</w:t>
      </w:r>
      <w:r>
        <w:rPr>
          <w:rFonts w:hint="eastAsia" w:ascii="宋体" w:hAnsi="宋体" w:eastAsia="宋体" w:cs="宋体"/>
          <w:sz w:val="24"/>
        </w:rPr>
        <w:t>的法定盈余公积</w:t>
      </w:r>
      <w:r>
        <w:rPr>
          <w:rFonts w:hint="eastAsia" w:ascii="宋体" w:hAnsi="宋体" w:eastAsia="宋体" w:cs="宋体"/>
          <w:sz w:val="10"/>
        </w:rPr>
        <w:t>，</w:t>
      </w:r>
      <w:r>
        <w:rPr>
          <w:rFonts w:hint="eastAsia" w:ascii="宋体" w:hAnsi="宋体" w:eastAsia="宋体" w:cs="宋体"/>
          <w:sz w:val="24"/>
        </w:rPr>
        <w:t>若提取的法定盈余公积达到注册资本的</w:t>
      </w:r>
      <w:r>
        <w:rPr>
          <w:rFonts w:hint="eastAsia" w:ascii="Times New Roman" w:hAnsi="Times New Roman" w:eastAsia="Times New Roman" w:cs="Times New Roman"/>
          <w:sz w:val="24"/>
        </w:rPr>
        <w:t xml:space="preserve"> 50%</w:t>
      </w:r>
      <w:r>
        <w:rPr>
          <w:rFonts w:hint="eastAsia" w:ascii="宋体" w:hAnsi="宋体" w:eastAsia="宋体" w:cs="宋体"/>
          <w:sz w:val="10"/>
        </w:rPr>
        <w:t>，</w:t>
      </w:r>
      <w:r>
        <w:rPr>
          <w:rFonts w:hint="eastAsia" w:ascii="宋体" w:hAnsi="宋体" w:eastAsia="宋体" w:cs="宋体"/>
          <w:sz w:val="24"/>
        </w:rPr>
        <w:t>可不再计提</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2"/>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年度法定盈余公积已达到</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日注册资本的</w:t>
      </w:r>
      <w:r>
        <w:rPr>
          <w:rFonts w:hint="eastAsia" w:ascii="Times New Roman" w:hAnsi="Times New Roman" w:eastAsia="Times New Roman" w:cs="Times New Roman"/>
          <w:sz w:val="24"/>
        </w:rPr>
        <w:t xml:space="preserve"> 50%</w:t>
      </w:r>
      <w:r>
        <w:rPr>
          <w:rFonts w:hint="eastAsia" w:ascii="宋体" w:hAnsi="宋体" w:eastAsia="宋体" w:cs="宋体"/>
          <w:sz w:val="10"/>
        </w:rPr>
        <w:t>，</w:t>
      </w:r>
      <w:r>
        <w:rPr>
          <w:rFonts w:hint="eastAsia" w:ascii="宋体" w:hAnsi="宋体" w:eastAsia="宋体" w:cs="宋体"/>
          <w:sz w:val="24"/>
        </w:rPr>
        <w:t>即</w:t>
      </w:r>
      <w:r>
        <w:rPr>
          <w:rFonts w:hint="eastAsia" w:ascii="Times New Roman" w:hAnsi="Times New Roman" w:eastAsia="Times New Roman" w:cs="Times New Roman"/>
          <w:sz w:val="24"/>
        </w:rPr>
        <w:t xml:space="preserve"> 1,500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故未计提法定盈余公积</w:t>
      </w:r>
      <w:r>
        <w:rPr>
          <w:rFonts w:hint="eastAsia" w:ascii="宋体" w:hAnsi="宋体" w:eastAsia="宋体" w:cs="宋体"/>
          <w:sz w:val="12"/>
        </w:rPr>
        <w:t>；</w:t>
      </w:r>
      <w:r>
        <w:rPr>
          <w:rFonts w:hint="eastAsia" w:ascii="Times New Roman" w:hAnsi="Times New Roman" w:eastAsia="Times New Roman" w:cs="Times New Roman"/>
          <w:sz w:val="24"/>
        </w:rPr>
        <w:t>2015</w:t>
      </w:r>
      <w:r>
        <w:rPr>
          <w:rFonts w:hint="eastAsia" w:ascii="宋体" w:hAnsi="宋体" w:eastAsia="宋体" w:cs="宋体"/>
          <w:sz w:val="24"/>
        </w:rPr>
        <w:t>年度计提法定盈余公积</w:t>
      </w:r>
      <w:r>
        <w:rPr>
          <w:rFonts w:hint="eastAsia" w:ascii="Times New Roman" w:hAnsi="Times New Roman" w:eastAsia="Times New Roman" w:cs="Times New Roman"/>
          <w:sz w:val="24"/>
        </w:rPr>
        <w:t xml:space="preserve"> 8,000,816.44</w:t>
      </w:r>
      <w:r>
        <w:rPr>
          <w:rFonts w:hint="eastAsia" w:ascii="宋体" w:hAnsi="宋体" w:eastAsia="宋体" w:cs="宋体"/>
          <w:sz w:val="24"/>
        </w:rPr>
        <w:t xml:space="preserve"> 元</w:t>
      </w:r>
      <w:r>
        <w:rPr>
          <w:rFonts w:hint="eastAsia" w:ascii="宋体" w:hAnsi="宋体" w:eastAsia="宋体" w:cs="宋体"/>
          <w:sz w:val="14"/>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年度计提法定盈余公积</w:t>
      </w:r>
      <w:r>
        <w:rPr>
          <w:rFonts w:hint="eastAsia" w:ascii="Times New Roman" w:hAnsi="Times New Roman" w:eastAsia="Times New Roman" w:cs="Times New Roman"/>
          <w:sz w:val="24"/>
        </w:rPr>
        <w:t xml:space="preserve"> 6,117,045.69</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（四）未分配利润的变化</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报告期内公司未分配利润变化情况如下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2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40" w:hRule="exact"/>
        </w:trPr>
        <w:tc>
          <w:tcPr>
            <w:tcW w:w="2320" w:type="dxa"/>
            <w:tcMar>
              <w:top w:w="0" w:type="dxa"/>
              <w:left w:w="0" w:type="dxa"/>
              <w:bottom w:w="0" w:type="dxa"/>
              <w:right w:w="0" w:type="dxa"/>
            </w:tcMar>
          </w:tcPr>
          <w:p>
            <w:pPr>
              <w:spacing w:before="40"/>
              <w:ind w:left="100"/>
            </w:pPr>
            <w:r>
              <w:rPr>
                <w:rFonts w:hint="eastAsia" w:ascii="宋体" w:hAnsi="宋体" w:eastAsia="宋体" w:cs="宋体"/>
                <w:sz w:val="21"/>
              </w:rPr>
              <w:t>调整前上期末未分配利</w:t>
            </w:r>
          </w:p>
          <w:p>
            <w:pPr>
              <w:spacing w:before="100"/>
              <w:ind w:left="100"/>
            </w:pPr>
            <w:r>
              <w:rPr>
                <w:rFonts w:hint="eastAsia" w:ascii="宋体" w:hAnsi="宋体" w:eastAsia="宋体" w:cs="宋体"/>
                <w:sz w:val="21"/>
              </w:rPr>
              <w:t>润</w:t>
            </w:r>
          </w:p>
        </w:tc>
        <w:tc>
          <w:tcPr>
            <w:tcW w:w="2320" w:type="dxa"/>
            <w:tcMar>
              <w:top w:w="0" w:type="dxa"/>
              <w:left w:w="0" w:type="dxa"/>
              <w:bottom w:w="0" w:type="dxa"/>
              <w:right w:w="0" w:type="dxa"/>
            </w:tcMar>
          </w:tcPr>
          <w:p>
            <w:pPr>
              <w:spacing w:before="240"/>
              <w:ind w:left="880"/>
            </w:pPr>
            <w:r>
              <w:rPr>
                <w:rFonts w:hint="eastAsia" w:ascii="Times New Roman" w:hAnsi="Times New Roman" w:eastAsia="Times New Roman" w:cs="Times New Roman"/>
                <w:sz w:val="21"/>
              </w:rPr>
              <w:t>228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2300" w:type="dxa"/>
            <w:tcMar>
              <w:top w:w="0" w:type="dxa"/>
              <w:left w:w="0" w:type="dxa"/>
              <w:bottom w:w="0" w:type="dxa"/>
              <w:right w:w="0" w:type="dxa"/>
            </w:tcMar>
          </w:tcPr>
          <w:p>
            <w:pPr>
              <w:spacing w:before="240"/>
              <w:ind w:left="880"/>
            </w:pPr>
            <w:r>
              <w:rPr>
                <w:rFonts w:hint="eastAsia" w:ascii="Times New Roman" w:hAnsi="Times New Roman" w:eastAsia="Times New Roman" w:cs="Times New Roman"/>
                <w:sz w:val="21"/>
              </w:rPr>
              <w:t>152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2320" w:type="dxa"/>
            <w:tcMar>
              <w:top w:w="0" w:type="dxa"/>
              <w:left w:w="0" w:type="dxa"/>
              <w:bottom w:w="0" w:type="dxa"/>
              <w:right w:w="0" w:type="dxa"/>
            </w:tcMar>
          </w:tcPr>
          <w:p>
            <w:pPr>
              <w:spacing w:before="240"/>
              <w:ind w:left="880"/>
            </w:pPr>
            <w:r>
              <w:rPr>
                <w:rFonts w:hint="eastAsia" w:ascii="Times New Roman" w:hAnsi="Times New Roman" w:eastAsia="Times New Roman" w:cs="Times New Roman"/>
                <w:sz w:val="21"/>
              </w:rPr>
              <w:t>156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r>
      <w:tr>
        <w:trPr>
          <w:trHeight w:val="620" w:hRule="exact"/>
        </w:trPr>
        <w:tc>
          <w:tcPr>
            <w:tcW w:w="2320" w:type="dxa"/>
            <w:tcMar>
              <w:top w:w="0" w:type="dxa"/>
              <w:left w:w="0" w:type="dxa"/>
              <w:bottom w:w="0" w:type="dxa"/>
              <w:right w:w="0" w:type="dxa"/>
            </w:tcMar>
          </w:tcPr>
          <w:p>
            <w:pPr>
              <w:spacing w:before="40"/>
              <w:ind w:left="100"/>
            </w:pPr>
            <w:r>
              <w:rPr>
                <w:rFonts w:hint="eastAsia" w:ascii="宋体" w:hAnsi="宋体" w:eastAsia="宋体" w:cs="宋体"/>
                <w:sz w:val="21"/>
              </w:rPr>
              <w:t>调整期初未分配利润合</w:t>
            </w:r>
          </w:p>
          <w:p>
            <w:pPr>
              <w:spacing w:before="100"/>
              <w:ind w:left="100"/>
            </w:pPr>
            <w:r>
              <w:rPr>
                <w:rFonts w:hint="eastAsia" w:ascii="宋体" w:hAnsi="宋体" w:eastAsia="宋体" w:cs="宋体"/>
                <w:sz w:val="21"/>
              </w:rPr>
              <w:t>计数</w:t>
            </w:r>
            <w:r>
              <w:rPr>
                <w:rFonts w:hint="eastAsia" w:ascii="宋体" w:hAnsi="宋体" w:eastAsia="宋体" w:cs="宋体"/>
                <w:sz w:val="20"/>
              </w:rPr>
              <w:t>（</w:t>
            </w:r>
            <w:r>
              <w:rPr>
                <w:rFonts w:hint="eastAsia" w:ascii="宋体" w:hAnsi="宋体" w:eastAsia="宋体" w:cs="宋体"/>
                <w:sz w:val="21"/>
              </w:rPr>
              <w:t>调增</w:t>
            </w:r>
            <w:r>
              <w:rPr>
                <w:rFonts w:hint="eastAsia" w:ascii="Times New Roman" w:hAnsi="Times New Roman" w:eastAsia="Times New Roman" w:cs="Times New Roman"/>
                <w:sz w:val="21"/>
              </w:rPr>
              <w:t>+</w:t>
            </w:r>
            <w:r>
              <w:rPr>
                <w:rFonts w:hint="eastAsia" w:ascii="宋体" w:hAnsi="宋体" w:eastAsia="宋体" w:cs="宋体"/>
                <w:sz w:val="10"/>
              </w:rPr>
              <w:t>，</w:t>
            </w:r>
            <w:r>
              <w:rPr>
                <w:rFonts w:hint="eastAsia" w:ascii="宋体" w:hAnsi="宋体" w:eastAsia="宋体" w:cs="宋体"/>
                <w:sz w:val="21"/>
              </w:rPr>
              <w:t>调减</w:t>
            </w:r>
            <w:r>
              <w:rPr>
                <w:rFonts w:hint="eastAsia" w:ascii="Times New Roman" w:hAnsi="Times New Roman" w:eastAsia="Times New Roman" w:cs="Times New Roman"/>
                <w:sz w:val="21"/>
              </w:rPr>
              <w:t>-</w:t>
            </w:r>
            <w:r>
              <w:rPr>
                <w:rFonts w:hint="eastAsia" w:ascii="宋体" w:hAnsi="宋体" w:eastAsia="宋体" w:cs="宋体"/>
                <w:sz w:val="20"/>
              </w:rPr>
              <w:t>）</w:t>
            </w:r>
          </w:p>
        </w:tc>
        <w:tc>
          <w:tcPr>
            <w:tcW w:w="2320" w:type="dxa"/>
            <w:tcMar>
              <w:top w:w="0" w:type="dxa"/>
              <w:left w:w="0" w:type="dxa"/>
              <w:bottom w:w="0" w:type="dxa"/>
              <w:right w:w="0" w:type="dxa"/>
            </w:tcMar>
          </w:tcPr>
          <w:p>
            <w:pPr>
              <w:spacing w:before="36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360"/>
              <w:ind w:left="2120"/>
            </w:pPr>
            <w:r>
              <w:rPr>
                <w:rFonts w:hint="eastAsia" w:ascii="Times New Roman" w:hAnsi="Times New Roman" w:eastAsia="Times New Roman" w:cs="Times New Roman"/>
                <w:sz w:val="21"/>
              </w:rPr>
              <w:t>-</w:t>
            </w:r>
          </w:p>
        </w:tc>
        <w:tc>
          <w:tcPr>
            <w:tcW w:w="2320" w:type="dxa"/>
            <w:tcMar>
              <w:top w:w="0" w:type="dxa"/>
              <w:left w:w="0" w:type="dxa"/>
              <w:bottom w:w="0" w:type="dxa"/>
              <w:right w:w="0" w:type="dxa"/>
            </w:tcMar>
          </w:tcPr>
          <w:p>
            <w:pPr>
              <w:spacing w:before="240"/>
              <w:ind w:left="92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调整后期初未分配利润</w:t>
            </w:r>
          </w:p>
        </w:tc>
        <w:tc>
          <w:tcPr>
            <w:tcW w:w="2320" w:type="dxa"/>
            <w:tcMar>
              <w:top w:w="0" w:type="dxa"/>
              <w:left w:w="0" w:type="dxa"/>
              <w:bottom w:w="0" w:type="dxa"/>
              <w:right w:w="0" w:type="dxa"/>
            </w:tcMar>
          </w:tcPr>
          <w:p>
            <w:pPr>
              <w:spacing w:before="180"/>
              <w:ind w:left="880"/>
            </w:pPr>
            <w:r>
              <w:rPr>
                <w:rFonts w:hint="eastAsia" w:ascii="Times New Roman" w:hAnsi="Times New Roman" w:eastAsia="Times New Roman" w:cs="Times New Roman"/>
                <w:sz w:val="21"/>
              </w:rPr>
              <w:t>228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2300" w:type="dxa"/>
            <w:tcMar>
              <w:top w:w="0" w:type="dxa"/>
              <w:left w:w="0" w:type="dxa"/>
              <w:bottom w:w="0" w:type="dxa"/>
              <w:right w:w="0" w:type="dxa"/>
            </w:tcMar>
          </w:tcPr>
          <w:p>
            <w:pPr>
              <w:spacing w:before="180"/>
              <w:ind w:left="880"/>
            </w:pPr>
            <w:r>
              <w:rPr>
                <w:rFonts w:hint="eastAsia" w:ascii="Times New Roman" w:hAnsi="Times New Roman" w:eastAsia="Times New Roman" w:cs="Times New Roman"/>
                <w:sz w:val="21"/>
              </w:rPr>
              <w:t>152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2320" w:type="dxa"/>
            <w:tcMar>
              <w:top w:w="0" w:type="dxa"/>
              <w:left w:w="0" w:type="dxa"/>
              <w:bottom w:w="0" w:type="dxa"/>
              <w:right w:w="0" w:type="dxa"/>
            </w:tcMar>
          </w:tcPr>
          <w:p>
            <w:pPr>
              <w:spacing w:before="180"/>
              <w:ind w:left="880"/>
            </w:pPr>
            <w:r>
              <w:rPr>
                <w:rFonts w:hint="eastAsia" w:ascii="Times New Roman" w:hAnsi="Times New Roman" w:eastAsia="Times New Roman" w:cs="Times New Roman"/>
                <w:sz w:val="21"/>
              </w:rPr>
              <w:t>123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r>
      <w:tr>
        <w:trPr>
          <w:trHeight w:val="640" w:hRule="exact"/>
        </w:trPr>
        <w:tc>
          <w:tcPr>
            <w:tcW w:w="2320" w:type="dxa"/>
            <w:tcMar>
              <w:top w:w="0" w:type="dxa"/>
              <w:left w:w="0" w:type="dxa"/>
              <w:bottom w:w="0" w:type="dxa"/>
              <w:right w:w="0" w:type="dxa"/>
            </w:tcMar>
          </w:tcPr>
          <w:p>
            <w:pPr>
              <w:spacing w:before="40"/>
              <w:ind w:left="100"/>
            </w:pPr>
            <w:r>
              <w:rPr>
                <w:rFonts w:hint="eastAsia" w:ascii="宋体" w:hAnsi="宋体" w:eastAsia="宋体" w:cs="宋体"/>
                <w:sz w:val="21"/>
              </w:rPr>
              <w:t>加</w:t>
            </w:r>
            <w:r>
              <w:rPr>
                <w:rFonts w:hint="eastAsia" w:ascii="宋体" w:hAnsi="宋体" w:eastAsia="宋体" w:cs="宋体"/>
                <w:sz w:val="10"/>
              </w:rPr>
              <w:t>：</w:t>
            </w:r>
            <w:r>
              <w:rPr>
                <w:rFonts w:hint="eastAsia" w:ascii="宋体" w:hAnsi="宋体" w:eastAsia="宋体" w:cs="宋体"/>
                <w:sz w:val="21"/>
              </w:rPr>
              <w:t>本期归属于母公司</w:t>
            </w:r>
          </w:p>
          <w:p>
            <w:pPr>
              <w:spacing w:before="100"/>
              <w:ind w:left="100"/>
            </w:pPr>
            <w:r>
              <w:rPr>
                <w:rFonts w:hint="eastAsia" w:ascii="宋体" w:hAnsi="宋体" w:eastAsia="宋体" w:cs="宋体"/>
                <w:sz w:val="21"/>
              </w:rPr>
              <w:t>所有者的净利润</w:t>
            </w:r>
          </w:p>
        </w:tc>
        <w:tc>
          <w:tcPr>
            <w:tcW w:w="2320" w:type="dxa"/>
            <w:tcMar>
              <w:top w:w="0" w:type="dxa"/>
              <w:left w:w="0" w:type="dxa"/>
              <w:bottom w:w="0" w:type="dxa"/>
              <w:right w:w="0" w:type="dxa"/>
            </w:tcMar>
          </w:tcPr>
          <w:p>
            <w:pPr>
              <w:spacing w:before="220"/>
              <w:ind w:left="98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2300" w:type="dxa"/>
            <w:tcMar>
              <w:top w:w="0" w:type="dxa"/>
              <w:left w:w="0" w:type="dxa"/>
              <w:bottom w:w="0" w:type="dxa"/>
              <w:right w:w="0" w:type="dxa"/>
            </w:tcMar>
          </w:tcPr>
          <w:p>
            <w:pPr>
              <w:spacing w:before="220"/>
              <w:ind w:left="980"/>
            </w:pP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2320" w:type="dxa"/>
            <w:tcMar>
              <w:top w:w="0" w:type="dxa"/>
              <w:left w:w="0" w:type="dxa"/>
              <w:bottom w:w="0" w:type="dxa"/>
              <w:right w:w="0" w:type="dxa"/>
            </w:tcMar>
          </w:tcPr>
          <w:p>
            <w:pPr>
              <w:spacing w:before="220"/>
              <w:ind w:left="1000"/>
            </w:pP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减</w:t>
            </w:r>
            <w:r>
              <w:rPr>
                <w:rFonts w:hint="eastAsia" w:ascii="宋体" w:hAnsi="宋体" w:eastAsia="宋体" w:cs="宋体"/>
                <w:sz w:val="12"/>
              </w:rPr>
              <w:t>：</w:t>
            </w:r>
            <w:r>
              <w:rPr>
                <w:rFonts w:hint="eastAsia" w:ascii="宋体" w:hAnsi="宋体" w:eastAsia="宋体" w:cs="宋体"/>
                <w:sz w:val="21"/>
              </w:rPr>
              <w:t>提取法定盈余公积</w:t>
            </w:r>
          </w:p>
        </w:tc>
        <w:tc>
          <w:tcPr>
            <w:tcW w:w="2320" w:type="dxa"/>
            <w:tcMar>
              <w:top w:w="0" w:type="dxa"/>
              <w:left w:w="0" w:type="dxa"/>
              <w:bottom w:w="0" w:type="dxa"/>
              <w:right w:w="0" w:type="dxa"/>
            </w:tcMar>
          </w:tcPr>
          <w:p>
            <w:pPr>
              <w:spacing w:before="160"/>
              <w:ind w:left="11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2300" w:type="dxa"/>
            <w:tcMar>
              <w:top w:w="0" w:type="dxa"/>
              <w:left w:w="0" w:type="dxa"/>
              <w:bottom w:w="0" w:type="dxa"/>
              <w:right w:w="0" w:type="dxa"/>
            </w:tcMar>
          </w:tcPr>
          <w:p>
            <w:pPr>
              <w:spacing w:before="160"/>
              <w:ind w:left="108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320" w:type="dxa"/>
            <w:tcMar>
              <w:top w:w="0" w:type="dxa"/>
              <w:left w:w="0" w:type="dxa"/>
              <w:bottom w:w="0" w:type="dxa"/>
              <w:right w:w="0" w:type="dxa"/>
            </w:tcMar>
          </w:tcPr>
          <w:p>
            <w:pPr>
              <w:spacing w:before="280"/>
              <w:ind w:left="2140"/>
            </w:pPr>
            <w:r>
              <w:rPr>
                <w:rFonts w:hint="eastAsia" w:ascii="Times New Roman" w:hAnsi="Times New Roman" w:eastAsia="Times New Roman" w:cs="Times New Roman"/>
                <w:sz w:val="21"/>
              </w:rPr>
              <w:t>-</w:t>
            </w:r>
          </w:p>
        </w:tc>
      </w:tr>
      <w:tr>
        <w:trPr>
          <w:trHeight w:val="46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应付普通股股利</w:t>
            </w:r>
          </w:p>
        </w:tc>
        <w:tc>
          <w:tcPr>
            <w:tcW w:w="2320" w:type="dxa"/>
            <w:tcMar>
              <w:top w:w="0" w:type="dxa"/>
              <w:left w:w="0" w:type="dxa"/>
              <w:bottom w:w="0" w:type="dxa"/>
              <w:right w:w="0" w:type="dxa"/>
            </w:tcMar>
          </w:tcPr>
          <w:p>
            <w:pPr>
              <w:spacing w:before="20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280"/>
              <w:ind w:left="2120"/>
            </w:pPr>
            <w:r>
              <w:rPr>
                <w:rFonts w:hint="eastAsia" w:ascii="Times New Roman" w:hAnsi="Times New Roman" w:eastAsia="Times New Roman" w:cs="Times New Roman"/>
                <w:sz w:val="21"/>
              </w:rPr>
              <w:t>-</w:t>
            </w:r>
          </w:p>
        </w:tc>
        <w:tc>
          <w:tcPr>
            <w:tcW w:w="232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转作股本的普通股股利</w:t>
            </w:r>
          </w:p>
        </w:tc>
        <w:tc>
          <w:tcPr>
            <w:tcW w:w="2320" w:type="dxa"/>
            <w:tcMar>
              <w:top w:w="0" w:type="dxa"/>
              <w:left w:w="0" w:type="dxa"/>
              <w:bottom w:w="0" w:type="dxa"/>
              <w:right w:w="0" w:type="dxa"/>
            </w:tcMar>
          </w:tcPr>
          <w:p>
            <w:pPr>
              <w:spacing w:before="22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20" w:type="dxa"/>
            <w:tcMar>
              <w:top w:w="0" w:type="dxa"/>
              <w:left w:w="0" w:type="dxa"/>
              <w:bottom w:w="0" w:type="dxa"/>
              <w:right w:w="0" w:type="dxa"/>
            </w:tcMar>
          </w:tcPr>
          <w:p>
            <w:pPr>
              <w:spacing w:before="300"/>
              <w:ind w:left="2140"/>
            </w:pPr>
            <w:r>
              <w:rPr>
                <w:rFonts w:hint="eastAsia" w:ascii="Times New Roman" w:hAnsi="Times New Roman" w:eastAsia="Times New Roman" w:cs="Times New Roman"/>
                <w:sz w:val="21"/>
              </w:rPr>
              <w:t>-</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期末未分配利润</w:t>
            </w:r>
          </w:p>
        </w:tc>
        <w:tc>
          <w:tcPr>
            <w:tcW w:w="23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292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c>
          <w:tcPr>
            <w:tcW w:w="23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228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232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r>
      <w:tr>
        <w:trPr>
          <w:trHeight w:val="46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子公司当期提取</w:t>
            </w:r>
          </w:p>
        </w:tc>
        <w:tc>
          <w:tcPr>
            <w:tcW w:w="2320" w:type="dxa"/>
            <w:tcMar>
              <w:top w:w="0" w:type="dxa"/>
              <w:left w:w="0" w:type="dxa"/>
              <w:bottom w:w="0" w:type="dxa"/>
              <w:right w:w="0" w:type="dxa"/>
            </w:tcMar>
          </w:tcPr>
          <w:p>
            <w:pPr>
              <w:spacing w:before="160"/>
              <w:ind w:left="1340"/>
            </w:pP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w:t>
            </w:r>
          </w:p>
        </w:tc>
        <w:tc>
          <w:tcPr>
            <w:tcW w:w="230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129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2320" w:type="dxa"/>
            <w:tcMar>
              <w:top w:w="0" w:type="dxa"/>
              <w:left w:w="0" w:type="dxa"/>
              <w:bottom w:w="0" w:type="dxa"/>
              <w:right w:w="0" w:type="dxa"/>
            </w:tcMar>
          </w:tcPr>
          <w:p>
            <w:pPr>
              <w:spacing w:before="160"/>
              <w:ind w:left="1360"/>
            </w:pP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p>
        </w:tc>
      </w:tr>
    </w:tbl>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1-1-248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8192" behindDoc="false" locked="false" layoutInCell="true" allowOverlap="true">
                <wp:simplePos x="0" y="0"/>
                <wp:positionH relativeFrom="page">
                  <wp:posOffset>2311400</wp:posOffset>
                </wp:positionH>
                <wp:positionV relativeFrom="page">
                  <wp:posOffset>901700</wp:posOffset>
                </wp:positionV>
                <wp:extent cx="12700" cy="406400"/>
                <wp:effectExtent l="0" t="0" r="22225" b="31115"/>
                <wp:wrapNone/>
                <wp:docPr id="14350" name="shape14350"/>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182pt;margin-top:71pt;mso-wrap-style:square;z-index:10258192;mso-wrap-distance-left:9pt;mso-wrap-distance-top:0pt;mso-wrap-distance-right:9pt;mso-wrap-distance-bottom:0pt" id="shape14350" o:spid="1618382360439" stroked="f" filled="t" fillcolor="#000000"/>
            </w:pict>
          </mc:Fallback>
        </mc:AlternateContent>
      </w:r>
      <w:r>
        <mc:AlternateContent>
          <mc:Choice Requires="wps">
            <w:drawing>
              <wp:anchor distT="0" distB="0" distL="114300" distR="114300" simplePos="false" relativeHeight="10325776" behindDoc="false" locked="false" layoutInCell="true" allowOverlap="true">
                <wp:simplePos x="0" y="0"/>
                <wp:positionH relativeFrom="page">
                  <wp:posOffset>838200</wp:posOffset>
                </wp:positionH>
                <wp:positionV relativeFrom="page">
                  <wp:posOffset>901700</wp:posOffset>
                </wp:positionV>
                <wp:extent cx="12700" cy="406400"/>
                <wp:effectExtent l="0" t="0" r="22225" b="31115"/>
                <wp:wrapNone/>
                <wp:docPr id="14348" name="shape14348"/>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66pt;margin-top:71pt;mso-wrap-style:square;z-index:10325776;mso-wrap-distance-left:9pt;mso-wrap-distance-top:0pt;mso-wrap-distance-right:9pt;mso-wrap-distance-bottom:0pt" id="shape14348" o:spid="1618382360440" stroked="f" filled="t" fillcolor="#000000"/>
            </w:pict>
          </mc:Fallback>
        </mc:AlternateContent>
      </w:r>
      <w:r>
        <mc:AlternateContent>
          <mc:Choice Requires="wps">
            <w:drawing>
              <wp:anchor distT="0" distB="0" distL="114300" distR="114300" simplePos="false" relativeHeight="10327824" behindDoc="false" locked="false" layoutInCell="true" allowOverlap="true">
                <wp:simplePos x="0" y="0"/>
                <wp:positionH relativeFrom="page">
                  <wp:posOffset>3784600</wp:posOffset>
                </wp:positionH>
                <wp:positionV relativeFrom="page">
                  <wp:posOffset>901700</wp:posOffset>
                </wp:positionV>
                <wp:extent cx="12700" cy="406400"/>
                <wp:effectExtent l="0" t="0" r="22225" b="31115"/>
                <wp:wrapNone/>
                <wp:docPr id="14352" name="shape14352"/>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298pt;margin-top:71pt;mso-wrap-style:square;z-index:10327824;mso-wrap-distance-left:9pt;mso-wrap-distance-top:0pt;mso-wrap-distance-right:9pt;mso-wrap-distance-bottom:0pt" id="shape14352" o:spid="1618382360440" stroked="f" filled="t" fillcolor="#000000"/>
            </w:pict>
          </mc:Fallback>
        </mc:AlternateContent>
      </w:r>
      <w:r>
        <mc:AlternateContent>
          <mc:Choice Requires="wps">
            <w:drawing>
              <wp:anchor distT="0" distB="0" distL="114300" distR="114300" simplePos="false" relativeHeight="10328848" behindDoc="false" locked="false" layoutInCell="true" allowOverlap="true">
                <wp:simplePos x="0" y="0"/>
                <wp:positionH relativeFrom="page">
                  <wp:posOffset>5245100</wp:posOffset>
                </wp:positionH>
                <wp:positionV relativeFrom="page">
                  <wp:posOffset>901700</wp:posOffset>
                </wp:positionV>
                <wp:extent cx="25400" cy="406400"/>
                <wp:effectExtent l="0" t="0" r="22225" b="31115"/>
                <wp:wrapNone/>
                <wp:docPr id="14354" name="shape14354"/>
                <wp:cNvGraphicFramePr/>
                <a:graphic>
                  <a:graphicData uri="http://schemas.microsoft.com/office/word/2010/wordprocessingShape">
                    <wps:wsp>
                      <wps:cNvSpPr/>
                      <wps:spPr>
                        <a:xfrm>
                          <a:off x="0" y="0"/>
                          <a:ext cx="254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2pt;margin-left:413pt;margin-top:71pt;mso-wrap-style:square;z-index:10328848;mso-wrap-distance-left:9pt;mso-wrap-distance-top:0pt;mso-wrap-distance-right:9pt;mso-wrap-distance-bottom:0pt" id="shape14354" o:spid="1618382360440" stroked="f" filled="t" fillcolor="#000000"/>
            </w:pict>
          </mc:Fallback>
        </mc:AlternateContent>
      </w:r>
      <w:r>
        <mc:AlternateContent>
          <mc:Choice Requires="wps">
            <w:drawing>
              <wp:anchor distT="0" distB="0" distL="114300" distR="114300" simplePos="false" relativeHeight="10329872" behindDoc="false" locked="false" layoutInCell="true" allowOverlap="true">
                <wp:simplePos x="0" y="0"/>
                <wp:positionH relativeFrom="page">
                  <wp:posOffset>6718300</wp:posOffset>
                </wp:positionH>
                <wp:positionV relativeFrom="page">
                  <wp:posOffset>901700</wp:posOffset>
                </wp:positionV>
                <wp:extent cx="25400" cy="406400"/>
                <wp:effectExtent l="0" t="0" r="22225" b="31115"/>
                <wp:wrapNone/>
                <wp:docPr id="14356" name="shape14356"/>
                <wp:cNvGraphicFramePr/>
                <a:graphic>
                  <a:graphicData uri="http://schemas.microsoft.com/office/word/2010/wordprocessingShape">
                    <wps:wsp>
                      <wps:cNvSpPr/>
                      <wps:spPr>
                        <a:xfrm>
                          <a:off x="0" y="0"/>
                          <a:ext cx="254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2pt;margin-left:529pt;margin-top:71pt;mso-wrap-style:square;z-index:10329872;mso-wrap-distance-left:9pt;mso-wrap-distance-top:0pt;mso-wrap-distance-right:9pt;mso-wrap-distance-bottom:0pt" id="shape14356" o:spid="1618382360441" stroked="f" filled="t" fillcolor="#000000"/>
            </w:pict>
          </mc:Fallback>
        </mc:AlternateContent>
      </w:r>
      <w:r>
        <mc:AlternateContent>
          <mc:Choice Requires="wps">
            <w:drawing>
              <wp:anchor distT="0" distB="0" distL="114300" distR="114300" simplePos="false" relativeHeight="10326800" behindDoc="false" locked="false" layoutInCell="true" allowOverlap="true">
                <wp:simplePos x="0" y="0"/>
                <wp:positionH relativeFrom="page">
                  <wp:posOffset>838200</wp:posOffset>
                </wp:positionH>
                <wp:positionV relativeFrom="page">
                  <wp:posOffset>901700</wp:posOffset>
                </wp:positionV>
                <wp:extent cx="1485900" cy="12700"/>
                <wp:effectExtent l="0" t="0" r="22225" b="31115"/>
                <wp:wrapNone/>
                <wp:docPr id="14344" name="shape14344"/>
                <wp:cNvGraphicFramePr/>
                <a:graphic>
                  <a:graphicData uri="http://schemas.microsoft.com/office/word/2010/wordprocessingShape">
                    <wps:wsp>
                      <wps:cNvSpPr/>
                      <wps:spPr>
                        <a:xfrm>
                          <a:off x="0" y="0"/>
                          <a:ext cx="1485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7pt;height:1pt;margin-left:66pt;margin-top:71pt;mso-wrap-style:square;z-index:10326800;mso-wrap-distance-left:9pt;mso-wrap-distance-top:0pt;mso-wrap-distance-right:9pt;mso-wrap-distance-bottom:0pt" id="shape14344" o:spid="1618382360441" stroked="f" filled="t" fillcolor="#000000"/>
            </w:pict>
          </mc:Fallback>
        </mc:AlternateContent>
      </w:r>
      <w:r>
        <mc:AlternateContent>
          <mc:Choice Requires="wps">
            <w:drawing>
              <wp:anchor distT="0" distB="0" distL="114300" distR="114300" simplePos="false" relativeHeight="10253072" behindDoc="false" locked="false" layoutInCell="true" allowOverlap="true">
                <wp:simplePos x="0" y="0"/>
                <wp:positionH relativeFrom="page">
                  <wp:posOffset>2311400</wp:posOffset>
                </wp:positionH>
                <wp:positionV relativeFrom="page">
                  <wp:posOffset>901700</wp:posOffset>
                </wp:positionV>
                <wp:extent cx="1473200" cy="12700"/>
                <wp:effectExtent l="0" t="0" r="22225" b="31115"/>
                <wp:wrapNone/>
                <wp:docPr id="14345" name="shape14345"/>
                <wp:cNvGraphicFramePr/>
                <a:graphic>
                  <a:graphicData uri="http://schemas.microsoft.com/office/word/2010/wordprocessingShape">
                    <wps:wsp>
                      <wps:cNvSpPr/>
                      <wps:spPr>
                        <a:xfrm>
                          <a:off x="0" y="0"/>
                          <a:ext cx="1473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6pt;height:1pt;margin-left:182pt;margin-top:71pt;mso-wrap-style:square;z-index:10253072;mso-wrap-distance-left:9pt;mso-wrap-distance-top:0pt;mso-wrap-distance-right:9pt;mso-wrap-distance-bottom:0pt" id="shape14345" o:spid="1618382360441" stroked="f" filled="t" fillcolor="#000000"/>
            </w:pict>
          </mc:Fallback>
        </mc:AlternateContent>
      </w:r>
      <w:r>
        <mc:AlternateContent>
          <mc:Choice Requires="wps">
            <w:drawing>
              <wp:anchor distT="0" distB="0" distL="114300" distR="114300" simplePos="false" relativeHeight="10254096" behindDoc="false" locked="false" layoutInCell="true" allowOverlap="true">
                <wp:simplePos x="0" y="0"/>
                <wp:positionH relativeFrom="page">
                  <wp:posOffset>3784600</wp:posOffset>
                </wp:positionH>
                <wp:positionV relativeFrom="page">
                  <wp:posOffset>901700</wp:posOffset>
                </wp:positionV>
                <wp:extent cx="1473200" cy="12700"/>
                <wp:effectExtent l="0" t="0" r="22225" b="31115"/>
                <wp:wrapNone/>
                <wp:docPr id="14346" name="shape14346"/>
                <wp:cNvGraphicFramePr/>
                <a:graphic>
                  <a:graphicData uri="http://schemas.microsoft.com/office/word/2010/wordprocessingShape">
                    <wps:wsp>
                      <wps:cNvSpPr/>
                      <wps:spPr>
                        <a:xfrm>
                          <a:off x="0" y="0"/>
                          <a:ext cx="1473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6pt;height:1pt;margin-left:298pt;margin-top:71pt;mso-wrap-style:square;z-index:10254096;mso-wrap-distance-left:9pt;mso-wrap-distance-top:0pt;mso-wrap-distance-right:9pt;mso-wrap-distance-bottom:0pt" id="shape14346" o:spid="1618382360441" stroked="f" filled="t" fillcolor="#000000"/>
            </w:pict>
          </mc:Fallback>
        </mc:AlternateContent>
      </w:r>
      <w:r>
        <mc:AlternateContent>
          <mc:Choice Requires="wps">
            <w:drawing>
              <wp:anchor distT="0" distB="0" distL="114300" distR="114300" simplePos="false" relativeHeight="10255120" behindDoc="false" locked="false" layoutInCell="true" allowOverlap="true">
                <wp:simplePos x="0" y="0"/>
                <wp:positionH relativeFrom="page">
                  <wp:posOffset>5257800</wp:posOffset>
                </wp:positionH>
                <wp:positionV relativeFrom="page">
                  <wp:posOffset>901700</wp:posOffset>
                </wp:positionV>
                <wp:extent cx="1473200" cy="12700"/>
                <wp:effectExtent l="0" t="0" r="22225" b="31115"/>
                <wp:wrapNone/>
                <wp:docPr id="14347" name="shape14347"/>
                <wp:cNvGraphicFramePr/>
                <a:graphic>
                  <a:graphicData uri="http://schemas.microsoft.com/office/word/2010/wordprocessingShape">
                    <wps:wsp>
                      <wps:cNvSpPr/>
                      <wps:spPr>
                        <a:xfrm>
                          <a:off x="0" y="0"/>
                          <a:ext cx="1473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6pt;height:1pt;margin-left:414pt;margin-top:71pt;mso-wrap-style:square;z-index:10255120;mso-wrap-distance-left:9pt;mso-wrap-distance-top:0pt;mso-wrap-distance-right:9pt;mso-wrap-distance-bottom:0pt" id="shape14347" o:spid="1618382360442" stroked="f" filled="t" fillcolor="#000000"/>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1440"/>
        <w:jc w:val="both"/>
      </w:pPr>
      <w:r>
        <w:rPr>
          <w:rFonts w:hint="eastAsia" w:ascii="宋体" w:hAnsi="宋体" w:eastAsia="宋体" w:cs="宋体"/>
          <w:sz w:val="21"/>
        </w:rPr>
        <w:t>的盈余公积归属于母公</w:t>
      </w:r>
    </w:p>
    <w:p>
      <w:pPr>
        <w:tabs>
          <w:tab w:val="left" w:pos="3660"/>
          <w:tab w:val="left" w:pos="5960"/>
          <w:tab w:val="left" w:pos="10600"/>
        </w:tabs>
        <w:autoSpaceDE w:val="false"/>
        <w:autoSpaceDN w:val="false"/>
        <w:spacing w:line="300" w:lineRule="exact"/>
        <w:ind w:left="1440"/>
        <w:jc w:val="both"/>
      </w:pPr>
      <w:r>
        <w:rPr>
          <w:rFonts w:hint="eastAsia" w:ascii="宋体" w:hAnsi="宋体" w:eastAsia="宋体" w:cs="宋体"/>
          <w:sz w:val="21"/>
          <w:u w:val="single" w:color="000000"/>
        </w:rPr>
        <w:t>司的金额</w:t>
      </w:r>
      <w:r>
        <w:rPr>
          <w:u w:val="single" w:color="000000"/>
        </w:rPr>
        <w:tab/>
      </w:r>
      <w:r>
        <w:rPr>
          <w:color w:val="ffffff"/>
          <w:sz w:val="0"/>
          <w:u w:val="single" w:color="000000"/>
          <w14:textFill>
            <w14:solidFill>
              <w14:srgbClr w14:val="FFFFFF">
                <w14:alpha w14:val="100000"/>
              </w14:srgbClr>
            </w14:solidFill>
          </w14:textFill>
        </w:rPr>
        <w:t xml:space="preserve"> </w:t>
      </w:r>
      <w:r>
        <w:rPr>
          <w:u w:val="single" w:color="000000"/>
        </w:rPr>
        <w:tab/>
      </w:r>
      <w:r>
        <w:rPr>
          <w:color w:val="ffffff"/>
          <w:sz w:val="0"/>
          <w:u w:val="single" w:color="000000"/>
          <w14:textFill>
            <w14:solidFill>
              <w14:srgbClr w14:val="FFFFFF">
                <w14:alpha w14:val="100000"/>
              </w14:srgbClr>
            </w14:solidFill>
          </w14:textFill>
        </w:rPr>
        <w:t xml:space="preserve"> </w:t>
      </w:r>
      <w:r>
        <w:rPr>
          <w:u w:val="single" w:color="000000"/>
        </w:rPr>
        <w:tab/>
      </w:r>
      <w:r>
        <w:rPr>
          <w:color w:val="ffffff"/>
          <w:sz w:val="0"/>
          <w:u w:val="single" w:color="000000"/>
          <w14:textFill>
            <w14:solidFill>
              <w14:srgbClr w14:val="FFFFFF">
                <w14:alpha w14:val="100000"/>
              </w14:srgbClr>
            </w14:solidFill>
          </w14:textFill>
        </w:rPr>
        <w:t xml:space="preserve"> </w:t>
      </w:r>
    </w:p>
    <w:p>
      <w:pPr>
        <w:spacing w:line="200" w:lineRule="exact"/>
        <w:rPr>
          <w:rFonts w:hint="eastAsia" w:ascii="宋体" w:hAnsi="宋体" w:eastAsia="宋体" w:cs="宋体"/>
          <w:sz w:val="20"/>
        </w:rPr>
      </w:pPr>
    </w:p>
    <w:p>
      <w:pPr>
        <w:autoSpaceDE w:val="false"/>
        <w:autoSpaceDN w:val="false"/>
        <w:spacing w:line="36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公司未分配利润的增加主要源于经营过程中产生的净利润</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6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公司未分配利润减少主要由于分配现金股利</w:t>
      </w:r>
      <w:r>
        <w:rPr>
          <w:rFonts w:hint="eastAsia" w:ascii="宋体" w:hAnsi="宋体" w:eastAsia="宋体" w:cs="宋体"/>
          <w:sz w:val="10"/>
        </w:rPr>
        <w:t>、</w:t>
      </w:r>
      <w:r>
        <w:rPr>
          <w:rFonts w:hint="eastAsia" w:ascii="宋体" w:hAnsi="宋体" w:eastAsia="宋体" w:cs="宋体"/>
          <w:sz w:val="24"/>
        </w:rPr>
        <w:t>以未分配利润转增股本以及提取法定盈余公积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法定盈余公积已达到</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日注册资本的</w:t>
      </w:r>
      <w:r>
        <w:rPr>
          <w:rFonts w:hint="eastAsia" w:ascii="Times New Roman" w:hAnsi="Times New Roman" w:eastAsia="Times New Roman" w:cs="Times New Roman"/>
          <w:sz w:val="24"/>
        </w:rPr>
        <w:t xml:space="preserve"> 50%</w:t>
      </w:r>
      <w:r>
        <w:rPr>
          <w:rFonts w:hint="eastAsia" w:ascii="宋体" w:hAnsi="宋体" w:eastAsia="宋体" w:cs="宋体"/>
          <w:sz w:val="10"/>
        </w:rPr>
        <w:t>，</w:t>
      </w:r>
      <w:r>
        <w:rPr>
          <w:rFonts w:hint="eastAsia" w:ascii="宋体" w:hAnsi="宋体" w:eastAsia="宋体" w:cs="宋体"/>
          <w:sz w:val="24"/>
        </w:rPr>
        <w:t>即</w:t>
      </w:r>
      <w:r>
        <w:rPr>
          <w:rFonts w:hint="eastAsia" w:ascii="Times New Roman" w:hAnsi="Times New Roman" w:eastAsia="Times New Roman" w:cs="Times New Roman"/>
          <w:sz w:val="24"/>
        </w:rPr>
        <w:t xml:space="preserve"> 1,500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故未计提法定盈余公积</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年度计提法定盈余公积</w:t>
      </w:r>
      <w:r>
        <w:rPr>
          <w:rFonts w:hint="eastAsia" w:ascii="Times New Roman" w:hAnsi="Times New Roman" w:eastAsia="Times New Roman" w:cs="Times New Roman"/>
          <w:sz w:val="24"/>
        </w:rPr>
        <w:t xml:space="preserve"> 8,000,816.44</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年度计提法定盈余公积</w:t>
      </w:r>
      <w:r>
        <w:rPr>
          <w:rFonts w:hint="eastAsia" w:ascii="Times New Roman" w:hAnsi="Times New Roman" w:eastAsia="Times New Roman" w:cs="Times New Roman"/>
          <w:sz w:val="24"/>
        </w:rPr>
        <w:t xml:space="preserve"> 6,117,045.69</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24</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年度第四次临时股东大会审议通过《关于公司</w:t>
      </w:r>
      <w:r>
        <w:rPr>
          <w:rFonts w:hint="eastAsia" w:ascii="Times New Roman" w:hAnsi="Times New Roman" w:eastAsia="Times New Roman" w:cs="Times New Roman"/>
          <w:sz w:val="24"/>
        </w:rPr>
        <w:t xml:space="preserve"> 2014</w:t>
      </w:r>
      <w:r>
        <w:rPr>
          <w:rFonts w:hint="eastAsia" w:ascii="宋体" w:hAnsi="宋体" w:eastAsia="宋体" w:cs="宋体"/>
          <w:sz w:val="24"/>
        </w:rPr>
        <w:t>年中期利润分配的议案》，</w:t>
      </w:r>
      <w:r>
        <w:rPr>
          <w:rFonts w:hint="eastAsia" w:ascii="宋体" w:hAnsi="宋体" w:eastAsia="宋体" w:cs="宋体"/>
          <w:sz w:val="24"/>
        </w:rPr>
        <w:t>公司以总股本</w:t>
      </w:r>
      <w:r>
        <w:rPr>
          <w:rFonts w:hint="eastAsia" w:ascii="Times New Roman" w:hAnsi="Times New Roman" w:eastAsia="Times New Roman" w:cs="Times New Roman"/>
          <w:sz w:val="24"/>
        </w:rPr>
        <w:t xml:space="preserve"> 3,000</w:t>
      </w:r>
      <w:r>
        <w:rPr>
          <w:rFonts w:hint="eastAsia" w:ascii="宋体" w:hAnsi="宋体" w:eastAsia="宋体" w:cs="宋体"/>
          <w:sz w:val="24"/>
        </w:rPr>
        <w:t xml:space="preserve"> 万股为基数</w:t>
      </w:r>
      <w:r>
        <w:rPr>
          <w:rFonts w:hint="eastAsia" w:ascii="宋体" w:hAnsi="宋体" w:eastAsia="宋体" w:cs="宋体"/>
          <w:sz w:val="10"/>
        </w:rPr>
        <w:t>，</w:t>
      </w:r>
      <w:r>
        <w:rPr>
          <w:rFonts w:hint="eastAsia" w:ascii="宋体" w:hAnsi="宋体" w:eastAsia="宋体" w:cs="宋体"/>
          <w:sz w:val="24"/>
        </w:rPr>
        <w:t>每</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股派送现金</w:t>
      </w:r>
      <w:r>
        <w:rPr>
          <w:rFonts w:hint="eastAsia" w:ascii="Times New Roman" w:hAnsi="Times New Roman" w:eastAsia="Times New Roman" w:cs="Times New Roman"/>
          <w:sz w:val="24"/>
        </w:rPr>
        <w:t xml:space="preserve"> 6.5</w:t>
      </w:r>
      <w:r>
        <w:rPr>
          <w:rFonts w:hint="eastAsia" w:ascii="宋体" w:hAnsi="宋体" w:eastAsia="宋体" w:cs="宋体"/>
          <w:sz w:val="24"/>
        </w:rPr>
        <w:t xml:space="preserve"> 元（含税），</w:t>
      </w:r>
      <w:r>
        <w:rPr>
          <w:rFonts w:hint="eastAsia" w:ascii="宋体" w:hAnsi="宋体" w:eastAsia="宋体" w:cs="宋体"/>
          <w:sz w:val="24"/>
        </w:rPr>
        <w:t>合计分配现金股利人民币</w:t>
      </w:r>
      <w:r>
        <w:rPr>
          <w:rFonts w:hint="eastAsia" w:ascii="Times New Roman" w:hAnsi="Times New Roman" w:eastAsia="Times New Roman" w:cs="Times New Roman"/>
          <w:sz w:val="24"/>
        </w:rPr>
        <w:t xml:space="preserve"> 1,950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十一、</w:t>
      </w:r>
      <w:r>
        <w:rPr>
          <w:rFonts w:hint="eastAsia" w:ascii="ºÚÌå" w:hAnsi="ºÚÌå" w:eastAsia="ºÚÌå" w:cs="ºÚÌå"/>
          <w:sz w:val="30"/>
        </w:rPr>
        <w:t>现金流量分析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公司现金流量构成如下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080"/>
        <w:gridCol w:w="2060"/>
        <w:gridCol w:w="2060"/>
        <w:gridCol w:w="2060"/>
      </w:tblGrid>
      <w:tr>
        <w:trPr>
          <w:trHeight w:val="460" w:hRule="exact"/>
        </w:trPr>
        <w:tc>
          <w:tcPr>
            <w:tcW w:w="3080" w:type="dxa"/>
            <w:tcMar>
              <w:top w:w="0" w:type="dxa"/>
              <w:left w:w="0" w:type="dxa"/>
              <w:bottom w:w="0" w:type="dxa"/>
              <w:right w:w="0" w:type="dxa"/>
            </w:tcMar>
          </w:tcPr>
          <w:p>
            <w:pPr>
              <w:spacing w:before="100"/>
              <w:ind w:left="1200"/>
            </w:pPr>
            <w:r>
              <w:rPr>
                <w:rFonts w:hint="eastAsia" w:ascii="宋体" w:hAnsi="宋体" w:eastAsia="宋体" w:cs="宋体"/>
                <w:b/>
                <w:sz w:val="21"/>
              </w:rPr>
              <w:t>项 目</w:t>
            </w:r>
          </w:p>
        </w:tc>
        <w:tc>
          <w:tcPr>
            <w:tcW w:w="2060" w:type="dxa"/>
            <w:tcMar>
              <w:top w:w="0" w:type="dxa"/>
              <w:left w:w="0" w:type="dxa"/>
              <w:bottom w:w="0" w:type="dxa"/>
              <w:right w:w="0" w:type="dxa"/>
            </w:tcMar>
          </w:tcPr>
          <w:p>
            <w:pPr>
              <w:spacing w:before="100"/>
              <w:ind w:left="5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060" w:type="dxa"/>
            <w:tcMar>
              <w:top w:w="0" w:type="dxa"/>
              <w:left w:w="0" w:type="dxa"/>
              <w:bottom w:w="0" w:type="dxa"/>
              <w:right w:w="0" w:type="dxa"/>
            </w:tcMar>
          </w:tcPr>
          <w:p>
            <w:pPr>
              <w:spacing w:before="100"/>
              <w:ind w:left="5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060" w:type="dxa"/>
            <w:tcMar>
              <w:top w:w="0" w:type="dxa"/>
              <w:left w:w="0" w:type="dxa"/>
              <w:bottom w:w="0" w:type="dxa"/>
              <w:right w:w="0" w:type="dxa"/>
            </w:tcMar>
          </w:tcPr>
          <w:p>
            <w:pPr>
              <w:spacing w:before="100"/>
              <w:ind w:left="58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3080" w:type="dxa"/>
            <w:tcMar>
              <w:top w:w="0" w:type="dxa"/>
              <w:left w:w="0" w:type="dxa"/>
              <w:bottom w:w="0" w:type="dxa"/>
              <w:right w:w="0" w:type="dxa"/>
            </w:tcMar>
          </w:tcPr>
          <w:p>
            <w:pPr>
              <w:spacing w:before="120"/>
              <w:ind w:left="100"/>
            </w:pPr>
            <w:r>
              <w:rPr>
                <w:rFonts w:hint="eastAsia" w:ascii="宋体" w:hAnsi="宋体" w:eastAsia="宋体" w:cs="宋体"/>
                <w:sz w:val="21"/>
              </w:rPr>
              <w:t>经营活动产生的现金流量净额</w:t>
            </w:r>
          </w:p>
        </w:tc>
        <w:tc>
          <w:tcPr>
            <w:tcW w:w="2060" w:type="dxa"/>
            <w:tcMar>
              <w:top w:w="0" w:type="dxa"/>
              <w:left w:w="0" w:type="dxa"/>
              <w:bottom w:w="0" w:type="dxa"/>
              <w:right w:w="0" w:type="dxa"/>
            </w:tcMar>
          </w:tcPr>
          <w:p>
            <w:pPr>
              <w:spacing w:before="180"/>
              <w:ind w:left="740"/>
            </w:pP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060" w:type="dxa"/>
            <w:tcMar>
              <w:top w:w="0" w:type="dxa"/>
              <w:left w:w="0" w:type="dxa"/>
              <w:bottom w:w="0" w:type="dxa"/>
              <w:right w:w="0" w:type="dxa"/>
            </w:tcMar>
          </w:tcPr>
          <w:p>
            <w:pPr>
              <w:spacing w:before="180"/>
              <w:ind w:left="640"/>
            </w:pPr>
            <w:r>
              <w:rPr>
                <w:rFonts w:hint="eastAsia" w:ascii="Times New Roman" w:hAnsi="Times New Roman" w:eastAsia="Times New Roman" w:cs="Times New Roman"/>
                <w:sz w:val="21"/>
              </w:rPr>
              <w:t>113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2060" w:type="dxa"/>
            <w:tcMar>
              <w:top w:w="0" w:type="dxa"/>
              <w:left w:w="0" w:type="dxa"/>
              <w:bottom w:w="0" w:type="dxa"/>
              <w:right w:w="0" w:type="dxa"/>
            </w:tcMar>
          </w:tcPr>
          <w:p>
            <w:pPr>
              <w:spacing w:before="180"/>
              <w:ind w:left="740"/>
            </w:pP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r>
      <w:tr>
        <w:trPr>
          <w:trHeight w:val="480" w:hRule="exact"/>
        </w:trPr>
        <w:tc>
          <w:tcPr>
            <w:tcW w:w="3080" w:type="dxa"/>
            <w:tcMar>
              <w:top w:w="0" w:type="dxa"/>
              <w:left w:w="0" w:type="dxa"/>
              <w:bottom w:w="0" w:type="dxa"/>
              <w:right w:w="0" w:type="dxa"/>
            </w:tcMar>
          </w:tcPr>
          <w:p>
            <w:pPr>
              <w:spacing w:before="120"/>
              <w:ind w:left="100"/>
            </w:pPr>
            <w:r>
              <w:rPr>
                <w:rFonts w:hint="eastAsia" w:ascii="宋体" w:hAnsi="宋体" w:eastAsia="宋体" w:cs="宋体"/>
                <w:sz w:val="21"/>
              </w:rPr>
              <w:t>投资活动产生的现金流量净额</w:t>
            </w:r>
          </w:p>
        </w:tc>
        <w:tc>
          <w:tcPr>
            <w:tcW w:w="2060" w:type="dxa"/>
            <w:tcMar>
              <w:top w:w="0" w:type="dxa"/>
              <w:left w:w="0" w:type="dxa"/>
              <w:bottom w:w="0" w:type="dxa"/>
              <w:right w:w="0" w:type="dxa"/>
            </w:tcMar>
          </w:tcPr>
          <w:p>
            <w:pPr>
              <w:spacing w:before="180"/>
              <w:ind w:left="7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w:t>
            </w:r>
          </w:p>
        </w:tc>
        <w:tc>
          <w:tcPr>
            <w:tcW w:w="2060" w:type="dxa"/>
            <w:tcMar>
              <w:top w:w="0" w:type="dxa"/>
              <w:left w:w="0" w:type="dxa"/>
              <w:bottom w:w="0" w:type="dxa"/>
              <w:right w:w="0" w:type="dxa"/>
            </w:tcMar>
          </w:tcPr>
          <w:p>
            <w:pPr>
              <w:spacing w:before="180"/>
              <w:ind w:left="7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c>
          <w:tcPr>
            <w:tcW w:w="2060" w:type="dxa"/>
            <w:tcMar>
              <w:top w:w="0" w:type="dxa"/>
              <w:left w:w="0" w:type="dxa"/>
              <w:bottom w:w="0" w:type="dxa"/>
              <w:right w:w="0" w:type="dxa"/>
            </w:tcMar>
          </w:tcPr>
          <w:p>
            <w:pPr>
              <w:spacing w:before="180"/>
              <w:ind w:left="66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r>
        <w:trPr>
          <w:trHeight w:val="480" w:hRule="exact"/>
        </w:trPr>
        <w:tc>
          <w:tcPr>
            <w:tcW w:w="3080" w:type="dxa"/>
            <w:tcMar>
              <w:top w:w="0" w:type="dxa"/>
              <w:left w:w="0" w:type="dxa"/>
              <w:bottom w:w="0" w:type="dxa"/>
              <w:right w:w="0" w:type="dxa"/>
            </w:tcMar>
          </w:tcPr>
          <w:p>
            <w:pPr>
              <w:spacing w:before="120"/>
              <w:ind w:left="100"/>
            </w:pPr>
            <w:r>
              <w:rPr>
                <w:rFonts w:hint="eastAsia" w:ascii="宋体" w:hAnsi="宋体" w:eastAsia="宋体" w:cs="宋体"/>
                <w:sz w:val="21"/>
              </w:rPr>
              <w:t>筹资活动产生的现金流量净额</w:t>
            </w:r>
          </w:p>
        </w:tc>
        <w:tc>
          <w:tcPr>
            <w:tcW w:w="2060" w:type="dxa"/>
            <w:tcMar>
              <w:top w:w="0" w:type="dxa"/>
              <w:left w:w="0" w:type="dxa"/>
              <w:bottom w:w="0" w:type="dxa"/>
              <w:right w:w="0" w:type="dxa"/>
            </w:tcMar>
          </w:tcPr>
          <w:p>
            <w:pPr>
              <w:spacing w:before="140"/>
              <w:ind w:left="920"/>
            </w:pPr>
            <w:r>
              <w:rPr>
                <w:rFonts w:hint="eastAsia" w:ascii="Times New Roman" w:hAnsi="Times New Roman" w:eastAsia="Times New Roman" w:cs="Times New Roman"/>
                <w:sz w:val="21"/>
              </w:rPr>
              <w:t>-700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060" w:type="dxa"/>
            <w:tcMar>
              <w:top w:w="0" w:type="dxa"/>
              <w:left w:w="0" w:type="dxa"/>
              <w:bottom w:w="0" w:type="dxa"/>
              <w:right w:w="0" w:type="dxa"/>
            </w:tcMar>
          </w:tcPr>
          <w:p>
            <w:pPr>
              <w:spacing w:before="140"/>
              <w:ind w:left="640"/>
            </w:pP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06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3080" w:type="dxa"/>
            <w:tcMar>
              <w:top w:w="0" w:type="dxa"/>
              <w:left w:w="0" w:type="dxa"/>
              <w:bottom w:w="0" w:type="dxa"/>
              <w:right w:w="0" w:type="dxa"/>
            </w:tcMar>
          </w:tcPr>
          <w:p>
            <w:pPr>
              <w:spacing w:before="120"/>
              <w:ind w:left="100"/>
            </w:pPr>
            <w:r>
              <w:rPr>
                <w:rFonts w:hint="eastAsia" w:ascii="宋体" w:hAnsi="宋体" w:eastAsia="宋体" w:cs="宋体"/>
                <w:sz w:val="21"/>
              </w:rPr>
              <w:t>汇率变动的影响</w:t>
            </w:r>
          </w:p>
        </w:tc>
        <w:tc>
          <w:tcPr>
            <w:tcW w:w="2060" w:type="dxa"/>
            <w:tcMar>
              <w:top w:w="0" w:type="dxa"/>
              <w:left w:w="0" w:type="dxa"/>
              <w:bottom w:w="0" w:type="dxa"/>
              <w:right w:w="0" w:type="dxa"/>
            </w:tcMar>
          </w:tcPr>
          <w:p>
            <w:pPr>
              <w:spacing w:before="280"/>
              <w:ind w:left="1880"/>
            </w:pPr>
            <w:r>
              <w:rPr>
                <w:rFonts w:hint="eastAsia" w:ascii="Times New Roman" w:hAnsi="Times New Roman" w:eastAsia="Times New Roman" w:cs="Times New Roman"/>
                <w:sz w:val="21"/>
              </w:rPr>
              <w:t>-</w:t>
            </w:r>
          </w:p>
        </w:tc>
        <w:tc>
          <w:tcPr>
            <w:tcW w:w="2060" w:type="dxa"/>
            <w:tcMar>
              <w:top w:w="0" w:type="dxa"/>
              <w:left w:w="0" w:type="dxa"/>
              <w:bottom w:w="0" w:type="dxa"/>
              <w:right w:w="0" w:type="dxa"/>
            </w:tcMar>
          </w:tcPr>
          <w:p>
            <w:pPr>
              <w:spacing w:before="280"/>
              <w:ind w:left="1880"/>
            </w:pPr>
            <w:r>
              <w:rPr>
                <w:rFonts w:hint="eastAsia" w:ascii="Times New Roman" w:hAnsi="Times New Roman" w:eastAsia="Times New Roman" w:cs="Times New Roman"/>
                <w:sz w:val="21"/>
              </w:rPr>
              <w:t>-</w:t>
            </w:r>
          </w:p>
        </w:tc>
        <w:tc>
          <w:tcPr>
            <w:tcW w:w="2060" w:type="dxa"/>
            <w:tcMar>
              <w:top w:w="0" w:type="dxa"/>
              <w:left w:w="0" w:type="dxa"/>
              <w:bottom w:w="0" w:type="dxa"/>
              <w:right w:w="0" w:type="dxa"/>
            </w:tcMar>
          </w:tcPr>
          <w:p>
            <w:pPr>
              <w:spacing w:before="280"/>
              <w:ind w:left="1880"/>
            </w:pPr>
            <w:r>
              <w:rPr>
                <w:rFonts w:hint="eastAsia" w:ascii="Times New Roman" w:hAnsi="Times New Roman" w:eastAsia="Times New Roman" w:cs="Times New Roman"/>
                <w:sz w:val="21"/>
              </w:rPr>
              <w:t>-</w:t>
            </w:r>
          </w:p>
        </w:tc>
      </w:tr>
      <w:tr>
        <w:trPr>
          <w:trHeight w:val="460" w:hRule="exact"/>
        </w:trPr>
        <w:tc>
          <w:tcPr>
            <w:tcW w:w="3080" w:type="dxa"/>
            <w:tcMar>
              <w:top w:w="0" w:type="dxa"/>
              <w:left w:w="0" w:type="dxa"/>
              <w:bottom w:w="0" w:type="dxa"/>
              <w:right w:w="0" w:type="dxa"/>
            </w:tcMar>
          </w:tcPr>
          <w:p>
            <w:pPr>
              <w:spacing w:before="100"/>
              <w:ind w:left="100"/>
            </w:pPr>
            <w:r>
              <w:rPr>
                <w:rFonts w:hint="eastAsia" w:ascii="宋体" w:hAnsi="宋体" w:eastAsia="宋体" w:cs="宋体"/>
                <w:sz w:val="21"/>
              </w:rPr>
              <w:t>现金及现金等价物净增加额</w:t>
            </w:r>
          </w:p>
        </w:tc>
        <w:tc>
          <w:tcPr>
            <w:tcW w:w="206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c>
          <w:tcPr>
            <w:tcW w:w="2060" w:type="dxa"/>
            <w:tcMar>
              <w:top w:w="0" w:type="dxa"/>
              <w:left w:w="0" w:type="dxa"/>
              <w:bottom w:w="0" w:type="dxa"/>
              <w:right w:w="0" w:type="dxa"/>
            </w:tcMar>
          </w:tcPr>
          <w:p>
            <w:pPr>
              <w:spacing w:before="140"/>
              <w:ind w:left="620"/>
            </w:pPr>
            <w:r>
              <w:rPr>
                <w:rFonts w:hint="eastAsia" w:ascii="Times New Roman" w:hAnsi="Times New Roman" w:eastAsia="Times New Roman" w:cs="Times New Roman"/>
                <w:sz w:val="21"/>
              </w:rPr>
              <w:t>227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c>
          <w:tcPr>
            <w:tcW w:w="206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bl>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宋体" w:hAnsi="宋体" w:eastAsia="宋体" w:cs="宋体"/>
          <w:sz w:val="24"/>
        </w:rPr>
        <w:t>公司报告期内不存在不涉及现金收支的重大投资和筹资活动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十二、</w:t>
      </w:r>
      <w:r>
        <w:rPr>
          <w:rFonts w:hint="eastAsia" w:ascii="ºÚÌå" w:hAnsi="ºÚÌå" w:eastAsia="ºÚÌå" w:cs="ºÚÌå"/>
          <w:sz w:val="30"/>
        </w:rPr>
        <w:t>会计报表附注中的期后事项</w:t>
      </w:r>
      <w:r>
        <w:rPr>
          <w:rFonts w:hint="eastAsia" w:ascii="ºÚÌå" w:hAnsi="ºÚÌå" w:eastAsia="ºÚÌå" w:cs="ºÚÌå"/>
          <w:sz w:val="10"/>
        </w:rPr>
        <w:t>、</w:t>
      </w:r>
      <w:r>
        <w:rPr>
          <w:rFonts w:hint="eastAsia" w:ascii="ºÚÌå" w:hAnsi="ºÚÌå" w:eastAsia="ºÚÌå" w:cs="ºÚÌå"/>
          <w:sz w:val="30"/>
        </w:rPr>
        <w:t>或有事项及其他重要事项</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期后事项</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14</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本公司不存在应披露的资产负债表日后事项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（二）或有事项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1-1-249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6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本公司不存在应披露的重大未决诉讼</w:t>
      </w:r>
      <w:r>
        <w:rPr>
          <w:rFonts w:hint="eastAsia" w:ascii="宋体" w:hAnsi="宋体" w:eastAsia="宋体" w:cs="宋体"/>
          <w:sz w:val="10"/>
        </w:rPr>
        <w:t>、</w:t>
      </w:r>
      <w:r>
        <w:rPr>
          <w:rFonts w:hint="eastAsia" w:ascii="宋体" w:hAnsi="宋体" w:eastAsia="宋体" w:cs="宋体"/>
          <w:sz w:val="24"/>
        </w:rPr>
        <w:t>对外担保等或有事项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（三）承诺事项</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本公司不存在应披露的承诺事项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（四）其他重要事项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本公司不存在应披露的其他重要事项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十三</w:t>
      </w:r>
      <w:r>
        <w:rPr>
          <w:rFonts w:hint="eastAsia" w:ascii="ºÚÌå" w:hAnsi="ºÚÌå" w:eastAsia="ºÚÌå" w:cs="ºÚÌå"/>
          <w:sz w:val="10"/>
        </w:rPr>
        <w:t>、</w:t>
      </w:r>
      <w:r>
        <w:rPr>
          <w:rFonts w:hint="eastAsia" w:ascii="ºÚÌå" w:hAnsi="ºÚÌå" w:eastAsia="ºÚÌå" w:cs="ºÚÌå"/>
          <w:sz w:val="30"/>
        </w:rPr>
        <w:t>主要财务指标</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报告期内主要财务指标</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60" w:hRule="exact"/>
        </w:trPr>
        <w:tc>
          <w:tcPr>
            <w:tcW w:w="2320" w:type="dxa"/>
            <w:tcMar>
              <w:top w:w="0" w:type="dxa"/>
              <w:left w:w="0" w:type="dxa"/>
              <w:bottom w:w="0" w:type="dxa"/>
              <w:right w:w="0" w:type="dxa"/>
            </w:tcMar>
          </w:tcPr>
          <w:p>
            <w:pPr>
              <w:spacing w:before="10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60"/>
              <w:ind w:left="640"/>
            </w:pPr>
            <w:r>
              <w:rPr>
                <w:rFonts w:hint="eastAsia" w:ascii="Times New Roman Bold" w:hAnsi="Times New Roman Bold" w:eastAsia="Times New Roman Bold" w:cs="Times New Roman Bold"/>
                <w:b/>
                <w:sz w:val="21"/>
              </w:rPr>
              <w:t>2016-12-31</w:t>
            </w:r>
          </w:p>
        </w:tc>
        <w:tc>
          <w:tcPr>
            <w:tcW w:w="2300" w:type="dxa"/>
            <w:tcMar>
              <w:top w:w="0" w:type="dxa"/>
              <w:left w:w="0" w:type="dxa"/>
              <w:bottom w:w="0" w:type="dxa"/>
              <w:right w:w="0" w:type="dxa"/>
            </w:tcMar>
          </w:tcPr>
          <w:p>
            <w:pPr>
              <w:spacing w:before="160"/>
              <w:ind w:left="640"/>
            </w:pPr>
            <w:r>
              <w:rPr>
                <w:rFonts w:hint="eastAsia" w:ascii="Times New Roman Bold" w:hAnsi="Times New Roman Bold" w:eastAsia="Times New Roman Bold" w:cs="Times New Roman Bold"/>
                <w:b/>
                <w:sz w:val="21"/>
              </w:rPr>
              <w:t>2015-12-31</w:t>
            </w:r>
          </w:p>
        </w:tc>
        <w:tc>
          <w:tcPr>
            <w:tcW w:w="2320" w:type="dxa"/>
            <w:tcMar>
              <w:top w:w="0" w:type="dxa"/>
              <w:left w:w="0" w:type="dxa"/>
              <w:bottom w:w="0" w:type="dxa"/>
              <w:right w:w="0" w:type="dxa"/>
            </w:tcMar>
          </w:tcPr>
          <w:p>
            <w:pPr>
              <w:spacing w:before="160"/>
              <w:ind w:left="660"/>
            </w:pPr>
            <w:r>
              <w:rPr>
                <w:rFonts w:hint="eastAsia" w:ascii="Times New Roman Bold" w:hAnsi="Times New Roman Bold" w:eastAsia="Times New Roman Bold" w:cs="Times New Roman Bold"/>
                <w:b/>
                <w:sz w:val="21"/>
              </w:rPr>
              <w:t>2014-12-31</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流动比率</w:t>
            </w:r>
            <w:r>
              <w:rPr>
                <w:rFonts w:hint="eastAsia" w:ascii="宋体" w:hAnsi="宋体" w:eastAsia="宋体" w:cs="宋体"/>
                <w:sz w:val="20"/>
              </w:rPr>
              <w:t>（</w:t>
            </w:r>
            <w:r>
              <w:rPr>
                <w:rFonts w:hint="eastAsia" w:ascii="宋体" w:hAnsi="宋体" w:eastAsia="宋体" w:cs="宋体"/>
                <w:sz w:val="21"/>
              </w:rPr>
              <w:t>倍</w:t>
            </w:r>
            <w:r>
              <w:rPr>
                <w:rFonts w:hint="eastAsia" w:ascii="宋体" w:hAnsi="宋体" w:eastAsia="宋体" w:cs="宋体"/>
                <w:sz w:val="20"/>
              </w:rPr>
              <w:t>）</w:t>
            </w:r>
          </w:p>
        </w:tc>
        <w:tc>
          <w:tcPr>
            <w:tcW w:w="232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230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232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速动比率</w:t>
            </w:r>
            <w:r>
              <w:rPr>
                <w:rFonts w:hint="eastAsia" w:ascii="宋体" w:hAnsi="宋体" w:eastAsia="宋体" w:cs="宋体"/>
                <w:sz w:val="20"/>
              </w:rPr>
              <w:t>（</w:t>
            </w:r>
            <w:r>
              <w:rPr>
                <w:rFonts w:hint="eastAsia" w:ascii="宋体" w:hAnsi="宋体" w:eastAsia="宋体" w:cs="宋体"/>
                <w:sz w:val="21"/>
              </w:rPr>
              <w:t>倍</w:t>
            </w:r>
            <w:r>
              <w:rPr>
                <w:rFonts w:hint="eastAsia" w:ascii="宋体" w:hAnsi="宋体" w:eastAsia="宋体" w:cs="宋体"/>
                <w:sz w:val="20"/>
              </w:rPr>
              <w:t>）</w:t>
            </w:r>
          </w:p>
        </w:tc>
        <w:tc>
          <w:tcPr>
            <w:tcW w:w="232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230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32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r>
      <w:tr>
        <w:trPr>
          <w:trHeight w:val="48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资产负债率</w:t>
            </w:r>
            <w:r>
              <w:rPr>
                <w:rFonts w:hint="eastAsia" w:ascii="宋体" w:hAnsi="宋体" w:eastAsia="宋体" w:cs="宋体"/>
                <w:sz w:val="20"/>
              </w:rPr>
              <w:t>（</w:t>
            </w:r>
            <w:r>
              <w:rPr>
                <w:rFonts w:hint="eastAsia" w:ascii="宋体" w:hAnsi="宋体" w:eastAsia="宋体" w:cs="宋体"/>
                <w:sz w:val="21"/>
              </w:rPr>
              <w:t>母公司</w:t>
            </w:r>
            <w:r>
              <w:rPr>
                <w:rFonts w:hint="eastAsia" w:ascii="宋体" w:hAnsi="宋体" w:eastAsia="宋体" w:cs="宋体"/>
                <w:sz w:val="20"/>
              </w:rPr>
              <w:t>）</w:t>
            </w:r>
          </w:p>
        </w:tc>
        <w:tc>
          <w:tcPr>
            <w:tcW w:w="23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c>
          <w:tcPr>
            <w:tcW w:w="230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2320" w:type="dxa"/>
            <w:tcMar>
              <w:top w:w="0" w:type="dxa"/>
              <w:left w:w="0" w:type="dxa"/>
              <w:bottom w:w="0" w:type="dxa"/>
              <w:right w:w="0" w:type="dxa"/>
            </w:tcMar>
          </w:tcPr>
          <w:p>
            <w:pPr>
              <w:spacing w:before="160"/>
              <w:ind w:left="156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r>
              <w:rPr>
                <w:rFonts w:hint="eastAsia" w:ascii="Times New Roman" w:hAnsi="Times New Roman" w:eastAsia="Times New Roman" w:cs="Times New Roman"/>
                <w:sz w:val="20"/>
              </w:rPr>
              <w:t>%</w:t>
            </w:r>
          </w:p>
        </w:tc>
      </w:tr>
      <w:tr>
        <w:trPr>
          <w:trHeight w:val="540" w:hRule="exact"/>
        </w:trPr>
        <w:tc>
          <w:tcPr>
            <w:tcW w:w="2320" w:type="dxa"/>
            <w:tcMar>
              <w:top w:w="0" w:type="dxa"/>
              <w:left w:w="0" w:type="dxa"/>
              <w:bottom w:w="0" w:type="dxa"/>
              <w:right w:w="0" w:type="dxa"/>
            </w:tcMar>
          </w:tcPr>
          <w:p>
            <w:pPr>
              <w:spacing w:before="0"/>
              <w:ind w:left="100"/>
            </w:pPr>
            <w:r>
              <w:rPr>
                <w:rFonts w:hint="eastAsia" w:ascii="宋体" w:hAnsi="宋体" w:eastAsia="宋体" w:cs="宋体"/>
                <w:sz w:val="21"/>
              </w:rPr>
              <w:t>归属于公司股东的每股</w:t>
            </w:r>
          </w:p>
          <w:p>
            <w:pPr>
              <w:spacing w:before="60"/>
              <w:ind w:left="100"/>
            </w:pPr>
            <w:r>
              <w:rPr>
                <w:rFonts w:hint="eastAsia" w:ascii="宋体" w:hAnsi="宋体" w:eastAsia="宋体" w:cs="宋体"/>
                <w:sz w:val="21"/>
              </w:rPr>
              <w:t>净资产</w:t>
            </w:r>
            <w:r>
              <w:rPr>
                <w:rFonts w:hint="eastAsia" w:ascii="宋体" w:hAnsi="宋体" w:eastAsia="宋体" w:cs="宋体"/>
                <w:sz w:val="20"/>
              </w:rPr>
              <w:t>（</w:t>
            </w:r>
            <w:r>
              <w:rPr>
                <w:rFonts w:hint="eastAsia" w:ascii="宋体" w:hAnsi="宋体" w:eastAsia="宋体" w:cs="宋体"/>
                <w:sz w:val="21"/>
              </w:rPr>
              <w:t>元</w:t>
            </w:r>
            <w:r>
              <w:rPr>
                <w:rFonts w:hint="eastAsia" w:ascii="宋体" w:hAnsi="宋体" w:eastAsia="宋体" w:cs="宋体"/>
                <w:sz w:val="20"/>
              </w:rPr>
              <w:t>）</w:t>
            </w:r>
          </w:p>
        </w:tc>
        <w:tc>
          <w:tcPr>
            <w:tcW w:w="2320" w:type="dxa"/>
            <w:tcMar>
              <w:top w:w="0" w:type="dxa"/>
              <w:left w:w="0" w:type="dxa"/>
              <w:bottom w:w="0" w:type="dxa"/>
              <w:right w:w="0" w:type="dxa"/>
            </w:tcMar>
          </w:tcPr>
          <w:p>
            <w:pPr>
              <w:spacing w:before="200"/>
              <w:ind w:left="182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2300" w:type="dxa"/>
            <w:tcMar>
              <w:top w:w="0" w:type="dxa"/>
              <w:left w:w="0" w:type="dxa"/>
              <w:bottom w:w="0" w:type="dxa"/>
              <w:right w:w="0" w:type="dxa"/>
            </w:tcMar>
          </w:tcPr>
          <w:p>
            <w:pPr>
              <w:spacing w:before="200"/>
              <w:ind w:left="182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w:t>
            </w:r>
          </w:p>
        </w:tc>
        <w:tc>
          <w:tcPr>
            <w:tcW w:w="2320" w:type="dxa"/>
            <w:tcMar>
              <w:top w:w="0" w:type="dxa"/>
              <w:left w:w="0" w:type="dxa"/>
              <w:bottom w:w="0" w:type="dxa"/>
              <w:right w:w="0" w:type="dxa"/>
            </w:tcMar>
          </w:tcPr>
          <w:p>
            <w:pPr>
              <w:spacing w:before="200"/>
              <w:ind w:left="184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p>
        </w:tc>
      </w:tr>
      <w:tr>
        <w:trPr>
          <w:trHeight w:val="1100" w:hRule="exact"/>
        </w:trPr>
        <w:tc>
          <w:tcPr>
            <w:tcW w:w="2320" w:type="dxa"/>
            <w:tcMar>
              <w:top w:w="0" w:type="dxa"/>
              <w:left w:w="0" w:type="dxa"/>
              <w:bottom w:w="0" w:type="dxa"/>
              <w:right w:w="0" w:type="dxa"/>
            </w:tcMar>
          </w:tcPr>
          <w:p>
            <w:pPr>
              <w:spacing w:before="20"/>
              <w:ind w:left="100"/>
            </w:pPr>
            <w:r>
              <w:rPr>
                <w:rFonts w:hint="eastAsia" w:ascii="宋体" w:hAnsi="宋体" w:eastAsia="宋体" w:cs="宋体"/>
                <w:sz w:val="21"/>
              </w:rPr>
              <w:t>无形资产</w:t>
            </w:r>
            <w:r>
              <w:rPr>
                <w:rFonts w:hint="eastAsia" w:ascii="宋体" w:hAnsi="宋体" w:eastAsia="宋体" w:cs="宋体"/>
                <w:sz w:val="20"/>
              </w:rPr>
              <w:t>（</w:t>
            </w:r>
            <w:r>
              <w:rPr>
                <w:rFonts w:hint="eastAsia" w:ascii="宋体" w:hAnsi="宋体" w:eastAsia="宋体" w:cs="宋体"/>
                <w:sz w:val="21"/>
              </w:rPr>
              <w:t>扣除土地使</w:t>
            </w:r>
          </w:p>
          <w:p>
            <w:pPr>
              <w:spacing w:before="40"/>
              <w:ind w:left="100"/>
            </w:pPr>
            <w:r>
              <w:rPr>
                <w:rFonts w:hint="eastAsia" w:ascii="宋体" w:hAnsi="宋体" w:eastAsia="宋体" w:cs="宋体"/>
                <w:sz w:val="21"/>
              </w:rPr>
              <w:t>用权</w:t>
            </w:r>
            <w:r>
              <w:rPr>
                <w:rFonts w:hint="eastAsia" w:ascii="宋体" w:hAnsi="宋体" w:eastAsia="宋体" w:cs="宋体"/>
                <w:sz w:val="10"/>
              </w:rPr>
              <w:t>、</w:t>
            </w:r>
            <w:r>
              <w:rPr>
                <w:rFonts w:hint="eastAsia" w:ascii="宋体" w:hAnsi="宋体" w:eastAsia="宋体" w:cs="宋体"/>
                <w:sz w:val="21"/>
              </w:rPr>
              <w:t>水面养殖权和采</w:t>
            </w:r>
          </w:p>
          <w:p>
            <w:pPr>
              <w:spacing w:before="60"/>
              <w:ind w:left="100"/>
            </w:pPr>
            <w:r>
              <w:rPr>
                <w:rFonts w:hint="eastAsia" w:ascii="宋体" w:hAnsi="宋体" w:eastAsia="宋体" w:cs="宋体"/>
                <w:sz w:val="21"/>
              </w:rPr>
              <w:t>矿权等后</w:t>
            </w:r>
            <w:r>
              <w:rPr>
                <w:rFonts w:hint="eastAsia" w:ascii="宋体" w:hAnsi="宋体" w:eastAsia="宋体" w:cs="宋体"/>
                <w:sz w:val="20"/>
              </w:rPr>
              <w:t>）</w:t>
            </w:r>
            <w:r>
              <w:rPr>
                <w:rFonts w:hint="eastAsia" w:ascii="宋体" w:hAnsi="宋体" w:eastAsia="宋体" w:cs="宋体"/>
                <w:sz w:val="21"/>
              </w:rPr>
              <w:t>占净资产的</w:t>
            </w:r>
          </w:p>
          <w:p>
            <w:pPr>
              <w:spacing w:before="60"/>
              <w:ind w:left="100"/>
            </w:pPr>
            <w:r>
              <w:rPr>
                <w:rFonts w:hint="eastAsia" w:ascii="宋体" w:hAnsi="宋体" w:eastAsia="宋体" w:cs="宋体"/>
                <w:sz w:val="21"/>
              </w:rPr>
              <w:t>比例</w:t>
            </w:r>
          </w:p>
        </w:tc>
        <w:tc>
          <w:tcPr>
            <w:tcW w:w="2320" w:type="dxa"/>
            <w:tcMar>
              <w:top w:w="0" w:type="dxa"/>
              <w:left w:w="0" w:type="dxa"/>
              <w:bottom w:w="0" w:type="dxa"/>
              <w:right w:w="0" w:type="dxa"/>
            </w:tcMar>
          </w:tcPr>
          <w:p>
            <w:pPr>
              <w:spacing w:before="460"/>
              <w:ind w:left="16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c>
          <w:tcPr>
            <w:tcW w:w="2300" w:type="dxa"/>
            <w:tcMar>
              <w:top w:w="0" w:type="dxa"/>
              <w:left w:w="0" w:type="dxa"/>
              <w:bottom w:w="0" w:type="dxa"/>
              <w:right w:w="0" w:type="dxa"/>
            </w:tcMar>
          </w:tcPr>
          <w:p>
            <w:pPr>
              <w:spacing w:before="460"/>
              <w:ind w:left="16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2320" w:type="dxa"/>
            <w:tcMar>
              <w:top w:w="0" w:type="dxa"/>
              <w:left w:w="0" w:type="dxa"/>
              <w:bottom w:w="0" w:type="dxa"/>
              <w:right w:w="0" w:type="dxa"/>
            </w:tcMar>
          </w:tcPr>
          <w:p>
            <w:pPr>
              <w:spacing w:before="460"/>
              <w:ind w:left="16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p>
        </w:tc>
      </w:tr>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2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60" w:hRule="exact"/>
        </w:trPr>
        <w:tc>
          <w:tcPr>
            <w:tcW w:w="2320" w:type="dxa"/>
            <w:tcMar>
              <w:top w:w="0" w:type="dxa"/>
              <w:left w:w="0" w:type="dxa"/>
              <w:bottom w:w="0" w:type="dxa"/>
              <w:right w:w="0" w:type="dxa"/>
            </w:tcMar>
          </w:tcPr>
          <w:p>
            <w:pPr>
              <w:spacing w:before="0"/>
              <w:ind w:left="100"/>
            </w:pPr>
            <w:r>
              <w:rPr>
                <w:rFonts w:hint="eastAsia" w:ascii="宋体" w:hAnsi="宋体" w:eastAsia="宋体" w:cs="宋体"/>
                <w:sz w:val="21"/>
              </w:rPr>
              <w:t>应收账款周转率</w:t>
            </w:r>
            <w:r>
              <w:rPr>
                <w:rFonts w:hint="eastAsia" w:ascii="宋体" w:hAnsi="宋体" w:eastAsia="宋体" w:cs="宋体"/>
                <w:sz w:val="20"/>
              </w:rPr>
              <w:t>（</w:t>
            </w:r>
            <w:r>
              <w:rPr>
                <w:rFonts w:hint="eastAsia" w:ascii="宋体" w:hAnsi="宋体" w:eastAsia="宋体" w:cs="宋体"/>
                <w:sz w:val="21"/>
              </w:rPr>
              <w:t>次</w:t>
            </w:r>
            <w:r>
              <w:rPr>
                <w:rFonts w:hint="eastAsia" w:ascii="Times New Roman" w:hAnsi="Times New Roman" w:eastAsia="Times New Roman" w:cs="Times New Roman"/>
                <w:sz w:val="21"/>
              </w:rPr>
              <w:t xml:space="preserve"> /</w:t>
            </w:r>
          </w:p>
          <w:p>
            <w:pPr>
              <w:spacing w:before="60"/>
              <w:ind w:left="100"/>
            </w:pPr>
            <w:r>
              <w:rPr>
                <w:rFonts w:hint="eastAsia" w:ascii="宋体" w:hAnsi="宋体" w:eastAsia="宋体" w:cs="宋体"/>
                <w:sz w:val="21"/>
              </w:rPr>
              <w:t>年</w:t>
            </w:r>
            <w:r>
              <w:rPr>
                <w:rFonts w:hint="eastAsia" w:ascii="宋体" w:hAnsi="宋体" w:eastAsia="宋体" w:cs="宋体"/>
                <w:sz w:val="20"/>
              </w:rPr>
              <w:t>）</w:t>
            </w:r>
          </w:p>
        </w:tc>
        <w:tc>
          <w:tcPr>
            <w:tcW w:w="2320" w:type="dxa"/>
            <w:tcMar>
              <w:top w:w="0" w:type="dxa"/>
              <w:left w:w="0" w:type="dxa"/>
              <w:bottom w:w="0" w:type="dxa"/>
              <w:right w:w="0" w:type="dxa"/>
            </w:tcMar>
          </w:tcPr>
          <w:p>
            <w:pPr>
              <w:spacing w:before="200"/>
              <w:ind w:left="182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2300" w:type="dxa"/>
            <w:tcMar>
              <w:top w:w="0" w:type="dxa"/>
              <w:left w:w="0" w:type="dxa"/>
              <w:bottom w:w="0" w:type="dxa"/>
              <w:right w:w="0" w:type="dxa"/>
            </w:tcMar>
          </w:tcPr>
          <w:p>
            <w:pPr>
              <w:spacing w:before="200"/>
              <w:ind w:left="182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2320" w:type="dxa"/>
            <w:tcMar>
              <w:top w:w="0" w:type="dxa"/>
              <w:left w:w="0" w:type="dxa"/>
              <w:bottom w:w="0" w:type="dxa"/>
              <w:right w:w="0" w:type="dxa"/>
            </w:tcMar>
          </w:tcPr>
          <w:p>
            <w:pPr>
              <w:spacing w:before="200"/>
              <w:ind w:left="184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r>
      <w:tr>
        <w:trPr>
          <w:trHeight w:val="46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存货周转率</w:t>
            </w:r>
            <w:r>
              <w:rPr>
                <w:rFonts w:hint="eastAsia" w:ascii="宋体" w:hAnsi="宋体" w:eastAsia="宋体" w:cs="宋体"/>
                <w:sz w:val="20"/>
              </w:rPr>
              <w:t>（</w:t>
            </w:r>
            <w:r>
              <w:rPr>
                <w:rFonts w:hint="eastAsia" w:ascii="宋体" w:hAnsi="宋体" w:eastAsia="宋体" w:cs="宋体"/>
                <w:sz w:val="21"/>
              </w:rPr>
              <w:t>次</w:t>
            </w:r>
            <w:r>
              <w:rPr>
                <w:rFonts w:hint="eastAsia" w:ascii="Times New Roman" w:hAnsi="Times New Roman" w:eastAsia="Times New Roman" w:cs="Times New Roman"/>
                <w:sz w:val="21"/>
              </w:rPr>
              <w:t>/</w:t>
            </w:r>
            <w:r>
              <w:rPr>
                <w:rFonts w:hint="eastAsia" w:ascii="宋体" w:hAnsi="宋体" w:eastAsia="宋体" w:cs="宋体"/>
                <w:sz w:val="21"/>
              </w:rPr>
              <w:t>年</w:t>
            </w:r>
            <w:r>
              <w:rPr>
                <w:rFonts w:hint="eastAsia" w:ascii="宋体" w:hAnsi="宋体" w:eastAsia="宋体" w:cs="宋体"/>
                <w:sz w:val="20"/>
              </w:rPr>
              <w:t>）</w:t>
            </w:r>
          </w:p>
        </w:tc>
        <w:tc>
          <w:tcPr>
            <w:tcW w:w="232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230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p>
        </w:tc>
        <w:tc>
          <w:tcPr>
            <w:tcW w:w="232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r>
      <w:tr>
        <w:trPr>
          <w:trHeight w:val="560" w:hRule="exact"/>
        </w:trPr>
        <w:tc>
          <w:tcPr>
            <w:tcW w:w="2320" w:type="dxa"/>
            <w:tcMar>
              <w:top w:w="0" w:type="dxa"/>
              <w:left w:w="0" w:type="dxa"/>
              <w:bottom w:w="0" w:type="dxa"/>
              <w:right w:w="0" w:type="dxa"/>
            </w:tcMar>
          </w:tcPr>
          <w:p>
            <w:pPr>
              <w:spacing w:before="20"/>
              <w:ind w:left="100"/>
            </w:pPr>
            <w:r>
              <w:rPr>
                <w:rFonts w:hint="eastAsia" w:ascii="宋体" w:hAnsi="宋体" w:eastAsia="宋体" w:cs="宋体"/>
                <w:sz w:val="21"/>
              </w:rPr>
              <w:t>息税折旧摊销前利润</w:t>
            </w:r>
          </w:p>
          <w:p>
            <w:pPr>
              <w:spacing w:before="60"/>
              <w:ind w:left="100"/>
            </w:pPr>
            <w:r>
              <w:rPr>
                <w:rFonts w:hint="eastAsia" w:ascii="宋体" w:hAnsi="宋体" w:eastAsia="宋体" w:cs="宋体"/>
                <w:sz w:val="20"/>
              </w:rPr>
              <w:t>（</w:t>
            </w:r>
            <w:r>
              <w:rPr>
                <w:rFonts w:hint="eastAsia" w:ascii="宋体" w:hAnsi="宋体" w:eastAsia="宋体" w:cs="宋体"/>
                <w:sz w:val="21"/>
              </w:rPr>
              <w:t>万元</w:t>
            </w:r>
            <w:r>
              <w:rPr>
                <w:rFonts w:hint="eastAsia" w:ascii="宋体" w:hAnsi="宋体" w:eastAsia="宋体" w:cs="宋体"/>
                <w:sz w:val="20"/>
              </w:rPr>
              <w:t>）</w:t>
            </w:r>
          </w:p>
        </w:tc>
        <w:tc>
          <w:tcPr>
            <w:tcW w:w="2320" w:type="dxa"/>
            <w:tcMar>
              <w:top w:w="0" w:type="dxa"/>
              <w:left w:w="0" w:type="dxa"/>
              <w:bottom w:w="0" w:type="dxa"/>
              <w:right w:w="0" w:type="dxa"/>
            </w:tcMar>
          </w:tcPr>
          <w:p>
            <w:pPr>
              <w:spacing w:before="220"/>
              <w:ind w:left="146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2300" w:type="dxa"/>
            <w:tcMar>
              <w:top w:w="0" w:type="dxa"/>
              <w:left w:w="0" w:type="dxa"/>
              <w:bottom w:w="0" w:type="dxa"/>
              <w:right w:w="0" w:type="dxa"/>
            </w:tcMar>
          </w:tcPr>
          <w:p>
            <w:pPr>
              <w:spacing w:before="220"/>
              <w:ind w:left="14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320" w:type="dxa"/>
            <w:tcMar>
              <w:top w:w="0" w:type="dxa"/>
              <w:left w:w="0" w:type="dxa"/>
              <w:bottom w:w="0" w:type="dxa"/>
              <w:right w:w="0" w:type="dxa"/>
            </w:tcMar>
          </w:tcPr>
          <w:p>
            <w:pPr>
              <w:spacing w:before="220"/>
              <w:ind w:left="14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r>
        <w:trPr>
          <w:trHeight w:val="560" w:hRule="exact"/>
        </w:trPr>
        <w:tc>
          <w:tcPr>
            <w:tcW w:w="2320" w:type="dxa"/>
            <w:tcMar>
              <w:top w:w="0" w:type="dxa"/>
              <w:left w:w="0" w:type="dxa"/>
              <w:bottom w:w="0" w:type="dxa"/>
              <w:right w:w="0" w:type="dxa"/>
            </w:tcMar>
          </w:tcPr>
          <w:p>
            <w:pPr>
              <w:spacing w:before="20"/>
              <w:ind w:left="100"/>
            </w:pPr>
            <w:r>
              <w:rPr>
                <w:rFonts w:hint="eastAsia" w:ascii="宋体" w:hAnsi="宋体" w:eastAsia="宋体" w:cs="宋体"/>
                <w:sz w:val="21"/>
              </w:rPr>
              <w:t>归属于母公司股东的净</w:t>
            </w:r>
          </w:p>
          <w:p>
            <w:pPr>
              <w:spacing w:before="40"/>
              <w:ind w:left="100"/>
            </w:pPr>
            <w:r>
              <w:rPr>
                <w:rFonts w:hint="eastAsia" w:ascii="宋体" w:hAnsi="宋体" w:eastAsia="宋体" w:cs="宋体"/>
                <w:sz w:val="21"/>
              </w:rPr>
              <w:t>利润</w:t>
            </w:r>
            <w:r>
              <w:rPr>
                <w:rFonts w:hint="eastAsia" w:ascii="宋体" w:hAnsi="宋体" w:eastAsia="宋体" w:cs="宋体"/>
                <w:sz w:val="20"/>
              </w:rPr>
              <w:t>（</w:t>
            </w:r>
            <w:r>
              <w:rPr>
                <w:rFonts w:hint="eastAsia" w:ascii="宋体" w:hAnsi="宋体" w:eastAsia="宋体" w:cs="宋体"/>
                <w:sz w:val="21"/>
              </w:rPr>
              <w:t>万元</w:t>
            </w:r>
            <w:r>
              <w:rPr>
                <w:rFonts w:hint="eastAsia" w:ascii="宋体" w:hAnsi="宋体" w:eastAsia="宋体" w:cs="宋体"/>
                <w:sz w:val="20"/>
              </w:rPr>
              <w:t>）</w:t>
            </w:r>
          </w:p>
        </w:tc>
        <w:tc>
          <w:tcPr>
            <w:tcW w:w="2320" w:type="dxa"/>
            <w:tcMar>
              <w:top w:w="0" w:type="dxa"/>
              <w:left w:w="0" w:type="dxa"/>
              <w:bottom w:w="0" w:type="dxa"/>
              <w:right w:w="0" w:type="dxa"/>
            </w:tcMar>
          </w:tcPr>
          <w:p>
            <w:pPr>
              <w:spacing w:before="200"/>
              <w:ind w:left="1420"/>
            </w:pPr>
            <w:r>
              <w:rPr>
                <w:rFonts w:hint="eastAsia" w:ascii="Times New Roman" w:hAnsi="Times New Roman" w:eastAsia="Times New Roman" w:cs="Times New Roman"/>
                <w:sz w:val="22"/>
              </w:rPr>
              <w:t>7,048.16</w:t>
            </w:r>
          </w:p>
        </w:tc>
        <w:tc>
          <w:tcPr>
            <w:tcW w:w="2300" w:type="dxa"/>
            <w:tcMar>
              <w:top w:w="0" w:type="dxa"/>
              <w:left w:w="0" w:type="dxa"/>
              <w:bottom w:w="0" w:type="dxa"/>
              <w:right w:w="0" w:type="dxa"/>
            </w:tcMar>
          </w:tcPr>
          <w:p>
            <w:pPr>
              <w:spacing w:before="200"/>
              <w:ind w:left="1420"/>
            </w:pPr>
            <w:r>
              <w:rPr>
                <w:rFonts w:hint="eastAsia" w:ascii="Times New Roman" w:hAnsi="Times New Roman" w:eastAsia="Times New Roman" w:cs="Times New Roman"/>
                <w:sz w:val="22"/>
              </w:rPr>
              <w:t>8,388.09</w:t>
            </w:r>
          </w:p>
        </w:tc>
        <w:tc>
          <w:tcPr>
            <w:tcW w:w="2320" w:type="dxa"/>
            <w:tcMar>
              <w:top w:w="0" w:type="dxa"/>
              <w:left w:w="0" w:type="dxa"/>
              <w:bottom w:w="0" w:type="dxa"/>
              <w:right w:w="0" w:type="dxa"/>
            </w:tcMar>
          </w:tcPr>
          <w:p>
            <w:pPr>
              <w:spacing w:before="220"/>
              <w:ind w:left="14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p>
        </w:tc>
      </w:tr>
      <w:tr>
        <w:trPr>
          <w:trHeight w:val="820" w:hRule="exact"/>
        </w:trPr>
        <w:tc>
          <w:tcPr>
            <w:tcW w:w="2320" w:type="dxa"/>
            <w:tcMar>
              <w:top w:w="0" w:type="dxa"/>
              <w:left w:w="0" w:type="dxa"/>
              <w:bottom w:w="0" w:type="dxa"/>
              <w:right w:w="0" w:type="dxa"/>
            </w:tcMar>
          </w:tcPr>
          <w:p>
            <w:pPr>
              <w:spacing w:before="0"/>
              <w:ind w:left="100"/>
            </w:pPr>
            <w:r>
              <w:rPr>
                <w:rFonts w:hint="eastAsia" w:ascii="宋体" w:hAnsi="宋体" w:eastAsia="宋体" w:cs="宋体"/>
                <w:sz w:val="21"/>
              </w:rPr>
              <w:t>归属于母公司股东扣除</w:t>
            </w:r>
          </w:p>
          <w:p>
            <w:pPr>
              <w:spacing w:before="80"/>
              <w:ind w:left="100"/>
            </w:pPr>
            <w:r>
              <w:rPr>
                <w:rFonts w:hint="eastAsia" w:ascii="宋体" w:hAnsi="宋体" w:eastAsia="宋体" w:cs="宋体"/>
                <w:sz w:val="21"/>
              </w:rPr>
              <w:t>非经常性损益后的净利</w:t>
            </w:r>
          </w:p>
          <w:p>
            <w:pPr>
              <w:spacing w:before="60"/>
              <w:ind w:left="100"/>
            </w:pPr>
            <w:r>
              <w:rPr>
                <w:rFonts w:hint="eastAsia" w:ascii="宋体" w:hAnsi="宋体" w:eastAsia="宋体" w:cs="宋体"/>
                <w:sz w:val="21"/>
              </w:rPr>
              <w:t>润</w:t>
            </w:r>
            <w:r>
              <w:rPr>
                <w:rFonts w:hint="eastAsia" w:ascii="宋体" w:hAnsi="宋体" w:eastAsia="宋体" w:cs="宋体"/>
                <w:sz w:val="20"/>
              </w:rPr>
              <w:t>（</w:t>
            </w:r>
            <w:r>
              <w:rPr>
                <w:rFonts w:hint="eastAsia" w:ascii="宋体" w:hAnsi="宋体" w:eastAsia="宋体" w:cs="宋体"/>
                <w:sz w:val="21"/>
              </w:rPr>
              <w:t>万元</w:t>
            </w:r>
            <w:r>
              <w:rPr>
                <w:rFonts w:hint="eastAsia" w:ascii="宋体" w:hAnsi="宋体" w:eastAsia="宋体" w:cs="宋体"/>
                <w:sz w:val="20"/>
              </w:rPr>
              <w:t>）</w:t>
            </w:r>
          </w:p>
        </w:tc>
        <w:tc>
          <w:tcPr>
            <w:tcW w:w="2320" w:type="dxa"/>
            <w:tcMar>
              <w:top w:w="0" w:type="dxa"/>
              <w:left w:w="0" w:type="dxa"/>
              <w:bottom w:w="0" w:type="dxa"/>
              <w:right w:w="0" w:type="dxa"/>
            </w:tcMar>
          </w:tcPr>
          <w:p>
            <w:pPr>
              <w:spacing w:before="340"/>
              <w:ind w:left="1420"/>
            </w:pPr>
            <w:r>
              <w:rPr>
                <w:rFonts w:hint="eastAsia" w:ascii="Times New Roman" w:hAnsi="Times New Roman" w:eastAsia="Times New Roman" w:cs="Times New Roman"/>
                <w:sz w:val="22"/>
              </w:rPr>
              <w:t>6,978.94</w:t>
            </w:r>
          </w:p>
        </w:tc>
        <w:tc>
          <w:tcPr>
            <w:tcW w:w="2300" w:type="dxa"/>
            <w:tcMar>
              <w:top w:w="0" w:type="dxa"/>
              <w:left w:w="0" w:type="dxa"/>
              <w:bottom w:w="0" w:type="dxa"/>
              <w:right w:w="0" w:type="dxa"/>
            </w:tcMar>
          </w:tcPr>
          <w:p>
            <w:pPr>
              <w:spacing w:before="340"/>
              <w:ind w:left="1420"/>
            </w:pPr>
            <w:r>
              <w:rPr>
                <w:rFonts w:hint="eastAsia" w:ascii="Times New Roman" w:hAnsi="Times New Roman" w:eastAsia="Times New Roman" w:cs="Times New Roman"/>
                <w:sz w:val="22"/>
              </w:rPr>
              <w:t>6,816.48</w:t>
            </w:r>
          </w:p>
        </w:tc>
        <w:tc>
          <w:tcPr>
            <w:tcW w:w="2320" w:type="dxa"/>
            <w:tcMar>
              <w:top w:w="0" w:type="dxa"/>
              <w:left w:w="0" w:type="dxa"/>
              <w:bottom w:w="0" w:type="dxa"/>
              <w:right w:w="0" w:type="dxa"/>
            </w:tcMar>
          </w:tcPr>
          <w:p>
            <w:pPr>
              <w:spacing w:before="340"/>
              <w:ind w:left="14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利息保障倍数</w:t>
            </w:r>
          </w:p>
        </w:tc>
        <w:tc>
          <w:tcPr>
            <w:tcW w:w="232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20" w:type="dxa"/>
            <w:tcMar>
              <w:top w:w="0" w:type="dxa"/>
              <w:left w:w="0" w:type="dxa"/>
              <w:bottom w:w="0" w:type="dxa"/>
              <w:right w:w="0" w:type="dxa"/>
            </w:tcMar>
          </w:tcPr>
          <w:p>
            <w:pPr>
              <w:spacing w:before="300"/>
              <w:ind w:left="2140"/>
            </w:pPr>
            <w:r>
              <w:rPr>
                <w:rFonts w:hint="eastAsia" w:ascii="Times New Roman Bold" w:hAnsi="Times New Roman Bold" w:eastAsia="Times New Roman Bold" w:cs="Times New Roman Bold"/>
                <w:b/>
                <w:sz w:val="21"/>
              </w:rPr>
              <w:t>-</w:t>
            </w:r>
          </w:p>
        </w:tc>
      </w:tr>
      <w:tr>
        <w:trPr>
          <w:trHeight w:val="560" w:hRule="exact"/>
        </w:trPr>
        <w:tc>
          <w:tcPr>
            <w:tcW w:w="2320" w:type="dxa"/>
            <w:tcMar>
              <w:top w:w="0" w:type="dxa"/>
              <w:left w:w="0" w:type="dxa"/>
              <w:bottom w:w="0" w:type="dxa"/>
              <w:right w:w="0" w:type="dxa"/>
            </w:tcMar>
          </w:tcPr>
          <w:p>
            <w:pPr>
              <w:spacing w:before="20"/>
              <w:ind w:left="100"/>
            </w:pPr>
            <w:r>
              <w:rPr>
                <w:rFonts w:hint="eastAsia" w:ascii="宋体" w:hAnsi="宋体" w:eastAsia="宋体" w:cs="宋体"/>
                <w:sz w:val="21"/>
              </w:rPr>
              <w:t>每股经营活动现金流量</w:t>
            </w:r>
          </w:p>
          <w:p>
            <w:pPr>
              <w:spacing w:before="60"/>
              <w:ind w:left="100"/>
            </w:pPr>
            <w:r>
              <w:rPr>
                <w:rFonts w:hint="eastAsia" w:ascii="宋体" w:hAnsi="宋体" w:eastAsia="宋体" w:cs="宋体"/>
                <w:sz w:val="20"/>
              </w:rPr>
              <w:t>（</w:t>
            </w:r>
            <w:r>
              <w:rPr>
                <w:rFonts w:hint="eastAsia" w:ascii="宋体" w:hAnsi="宋体" w:eastAsia="宋体" w:cs="宋体"/>
                <w:sz w:val="21"/>
              </w:rPr>
              <w:t>元</w:t>
            </w:r>
            <w:r>
              <w:rPr>
                <w:rFonts w:hint="eastAsia" w:ascii="宋体" w:hAnsi="宋体" w:eastAsia="宋体" w:cs="宋体"/>
                <w:sz w:val="20"/>
              </w:rPr>
              <w:t>）</w:t>
            </w:r>
          </w:p>
        </w:tc>
        <w:tc>
          <w:tcPr>
            <w:tcW w:w="2320" w:type="dxa"/>
            <w:tcMar>
              <w:top w:w="0" w:type="dxa"/>
              <w:left w:w="0" w:type="dxa"/>
              <w:bottom w:w="0" w:type="dxa"/>
              <w:right w:w="0" w:type="dxa"/>
            </w:tcMar>
          </w:tcPr>
          <w:p>
            <w:pPr>
              <w:spacing w:before="180"/>
              <w:ind w:left="18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p>
        </w:tc>
        <w:tc>
          <w:tcPr>
            <w:tcW w:w="2300" w:type="dxa"/>
            <w:tcMar>
              <w:top w:w="0" w:type="dxa"/>
              <w:left w:w="0" w:type="dxa"/>
              <w:bottom w:w="0" w:type="dxa"/>
              <w:right w:w="0" w:type="dxa"/>
            </w:tcMar>
          </w:tcPr>
          <w:p>
            <w:pPr>
              <w:spacing w:before="180"/>
              <w:ind w:left="18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2320" w:type="dxa"/>
            <w:tcMar>
              <w:top w:w="0" w:type="dxa"/>
              <w:left w:w="0" w:type="dxa"/>
              <w:bottom w:w="0" w:type="dxa"/>
              <w:right w:w="0" w:type="dxa"/>
            </w:tcMar>
          </w:tcPr>
          <w:p>
            <w:pPr>
              <w:spacing w:before="180"/>
              <w:ind w:left="18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每股净现金流量</w:t>
            </w:r>
            <w:r>
              <w:rPr>
                <w:rFonts w:hint="eastAsia" w:ascii="宋体" w:hAnsi="宋体" w:eastAsia="宋体" w:cs="宋体"/>
                <w:sz w:val="20"/>
              </w:rPr>
              <w:t>（</w:t>
            </w:r>
            <w:r>
              <w:rPr>
                <w:rFonts w:hint="eastAsia" w:ascii="宋体" w:hAnsi="宋体" w:eastAsia="宋体" w:cs="宋体"/>
                <w:sz w:val="21"/>
              </w:rPr>
              <w:t>元</w:t>
            </w:r>
            <w:r>
              <w:rPr>
                <w:rFonts w:hint="eastAsia" w:ascii="宋体" w:hAnsi="宋体" w:eastAsia="宋体" w:cs="宋体"/>
                <w:sz w:val="20"/>
              </w:rPr>
              <w:t>）</w:t>
            </w:r>
          </w:p>
        </w:tc>
        <w:tc>
          <w:tcPr>
            <w:tcW w:w="232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30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232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1-1-250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88912" behindDoc="false" locked="false" layoutInCell="true" allowOverlap="true">
                <wp:simplePos x="0" y="0"/>
                <wp:positionH relativeFrom="page">
                  <wp:posOffset>2247900</wp:posOffset>
                </wp:positionH>
                <wp:positionV relativeFrom="page">
                  <wp:posOffset>5994400</wp:posOffset>
                </wp:positionV>
                <wp:extent cx="1130300" cy="25400"/>
                <wp:effectExtent l="0" t="0" r="22225" b="31115"/>
                <wp:wrapNone/>
                <wp:docPr id="14592" name="shape14592"/>
                <wp:cNvGraphicFramePr/>
                <a:graphic>
                  <a:graphicData uri="http://schemas.microsoft.com/office/word/2010/wordprocessingShape">
                    <wps:wsp>
                      <wps:cNvSpPr/>
                      <wps:spPr>
                        <a:xfrm>
                          <a:off x="0" y="0"/>
                          <a:ext cx="11303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pt;margin-left:177pt;margin-top:472pt;mso-wrap-style:square;z-index:10288912;mso-wrap-distance-left:9pt;mso-wrap-distance-top:0pt;mso-wrap-distance-right:9pt;mso-wrap-distance-bottom:0pt" id="shape14592" o:spid="1618382360453" stroked="f" filled="t" fillcolor="#000000"/>
            </w:pict>
          </mc:Fallback>
        </mc:AlternateContent>
      </w:r>
      <w:r>
        <mc:AlternateContent>
          <mc:Choice Requires="wps">
            <w:drawing>
              <wp:anchor distT="0" distB="0" distL="114300" distR="114300" simplePos="false" relativeHeight="10290960" behindDoc="false" locked="false" layoutInCell="true" allowOverlap="true">
                <wp:simplePos x="0" y="0"/>
                <wp:positionH relativeFrom="page">
                  <wp:posOffset>3365500</wp:posOffset>
                </wp:positionH>
                <wp:positionV relativeFrom="page">
                  <wp:posOffset>5994400</wp:posOffset>
                </wp:positionV>
                <wp:extent cx="1130300" cy="25400"/>
                <wp:effectExtent l="0" t="0" r="22225" b="31115"/>
                <wp:wrapNone/>
                <wp:docPr id="14594" name="shape14594"/>
                <wp:cNvGraphicFramePr/>
                <a:graphic>
                  <a:graphicData uri="http://schemas.microsoft.com/office/word/2010/wordprocessingShape">
                    <wps:wsp>
                      <wps:cNvSpPr/>
                      <wps:spPr>
                        <a:xfrm>
                          <a:off x="0" y="0"/>
                          <a:ext cx="11303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pt;margin-left:265pt;margin-top:472pt;mso-wrap-style:square;z-index:10290960;mso-wrap-distance-left:9pt;mso-wrap-distance-top:0pt;mso-wrap-distance-right:9pt;mso-wrap-distance-bottom:0pt" id="shape14594" o:spid="1618382360453" stroked="f" filled="t" fillcolor="#000000"/>
            </w:pict>
          </mc:Fallback>
        </mc:AlternateContent>
      </w:r>
      <w:r>
        <mc:AlternateContent>
          <mc:Choice Requires="wps">
            <w:drawing>
              <wp:anchor distT="0" distB="0" distL="114300" distR="114300" simplePos="false" relativeHeight="10293008" behindDoc="false" locked="false" layoutInCell="true" allowOverlap="true">
                <wp:simplePos x="0" y="0"/>
                <wp:positionH relativeFrom="page">
                  <wp:posOffset>4483100</wp:posOffset>
                </wp:positionH>
                <wp:positionV relativeFrom="page">
                  <wp:posOffset>5994400</wp:posOffset>
                </wp:positionV>
                <wp:extent cx="1117600" cy="25400"/>
                <wp:effectExtent l="0" t="0" r="22225" b="31115"/>
                <wp:wrapNone/>
                <wp:docPr id="14596" name="shape14596"/>
                <wp:cNvGraphicFramePr/>
                <a:graphic>
                  <a:graphicData uri="http://schemas.microsoft.com/office/word/2010/wordprocessingShape">
                    <wps:wsp>
                      <wps:cNvSpPr/>
                      <wps:spPr>
                        <a:xfrm>
                          <a:off x="0" y="0"/>
                          <a:ext cx="11176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8pt;height:2pt;margin-left:353pt;margin-top:472pt;mso-wrap-style:square;z-index:10293008;mso-wrap-distance-left:9pt;mso-wrap-distance-top:0pt;mso-wrap-distance-right:9pt;mso-wrap-distance-bottom:0pt" id="shape14596" o:spid="1618382360454" stroked="f" filled="t" fillcolor="#000000"/>
            </w:pict>
          </mc:Fallback>
        </mc:AlternateContent>
      </w:r>
      <w:r>
        <mc:AlternateContent>
          <mc:Choice Requires="wps">
            <w:drawing>
              <wp:anchor distT="0" distB="0" distL="114300" distR="114300" simplePos="false" relativeHeight="10295056" behindDoc="false" locked="false" layoutInCell="true" allowOverlap="true">
                <wp:simplePos x="0" y="0"/>
                <wp:positionH relativeFrom="page">
                  <wp:posOffset>5600700</wp:posOffset>
                </wp:positionH>
                <wp:positionV relativeFrom="page">
                  <wp:posOffset>5994400</wp:posOffset>
                </wp:positionV>
                <wp:extent cx="1117600" cy="25400"/>
                <wp:effectExtent l="0" t="0" r="22225" b="31115"/>
                <wp:wrapNone/>
                <wp:docPr id="14598" name="shape14598"/>
                <wp:cNvGraphicFramePr/>
                <a:graphic>
                  <a:graphicData uri="http://schemas.microsoft.com/office/word/2010/wordprocessingShape">
                    <wps:wsp>
                      <wps:cNvSpPr/>
                      <wps:spPr>
                        <a:xfrm>
                          <a:off x="0" y="0"/>
                          <a:ext cx="11176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8pt;height:2pt;margin-left:441pt;margin-top:472pt;mso-wrap-style:square;z-index:10295056;mso-wrap-distance-left:9pt;mso-wrap-distance-top:0pt;mso-wrap-distance-right:9pt;mso-wrap-distance-bottom:0pt" id="shape14598" o:spid="1618382360454" stroked="f" filled="t" fillcolor="#000000"/>
            </w:pict>
          </mc:Fallback>
        </mc:AlternateContent>
      </w:r>
      <w:r>
        <mc:AlternateContent>
          <mc:Choice Requires="wps">
            <w:drawing>
              <wp:anchor distT="0" distB="0" distL="114300" distR="114300" simplePos="false" relativeHeight="10305296" behindDoc="false" locked="false" layoutInCell="true" allowOverlap="true">
                <wp:simplePos x="0" y="0"/>
                <wp:positionH relativeFrom="page">
                  <wp:posOffset>2247900</wp:posOffset>
                </wp:positionH>
                <wp:positionV relativeFrom="page">
                  <wp:posOffset>6400800</wp:posOffset>
                </wp:positionV>
                <wp:extent cx="1130300" cy="25400"/>
                <wp:effectExtent l="0" t="0" r="22225" b="31115"/>
                <wp:wrapNone/>
                <wp:docPr id="14608" name="shape14608"/>
                <wp:cNvGraphicFramePr/>
                <a:graphic>
                  <a:graphicData uri="http://schemas.microsoft.com/office/word/2010/wordprocessingShape">
                    <wps:wsp>
                      <wps:cNvSpPr/>
                      <wps:spPr>
                        <a:xfrm>
                          <a:off x="0" y="0"/>
                          <a:ext cx="11303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pt;margin-left:177pt;margin-top:504pt;mso-wrap-style:square;z-index:10305296;mso-wrap-distance-left:9pt;mso-wrap-distance-top:0pt;mso-wrap-distance-right:9pt;mso-wrap-distance-bottom:0pt" id="shape14608" o:spid="1618382360454" stroked="f" filled="t" fillcolor="#000000"/>
            </w:pict>
          </mc:Fallback>
        </mc:AlternateContent>
      </w:r>
      <w:r>
        <mc:AlternateContent>
          <mc:Choice Requires="wps">
            <w:drawing>
              <wp:anchor distT="0" distB="0" distL="114300" distR="114300" simplePos="false" relativeHeight="10307344" behindDoc="false" locked="false" layoutInCell="true" allowOverlap="true">
                <wp:simplePos x="0" y="0"/>
                <wp:positionH relativeFrom="page">
                  <wp:posOffset>3365500</wp:posOffset>
                </wp:positionH>
                <wp:positionV relativeFrom="page">
                  <wp:posOffset>6400800</wp:posOffset>
                </wp:positionV>
                <wp:extent cx="1130300" cy="25400"/>
                <wp:effectExtent l="0" t="0" r="22225" b="31115"/>
                <wp:wrapNone/>
                <wp:docPr id="14610" name="shape14610"/>
                <wp:cNvGraphicFramePr/>
                <a:graphic>
                  <a:graphicData uri="http://schemas.microsoft.com/office/word/2010/wordprocessingShape">
                    <wps:wsp>
                      <wps:cNvSpPr/>
                      <wps:spPr>
                        <a:xfrm>
                          <a:off x="0" y="0"/>
                          <a:ext cx="11303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pt;margin-left:265pt;margin-top:504pt;mso-wrap-style:square;z-index:10307344;mso-wrap-distance-left:9pt;mso-wrap-distance-top:0pt;mso-wrap-distance-right:9pt;mso-wrap-distance-bottom:0pt" id="shape14610" o:spid="1618382360455" stroked="f" filled="t" fillcolor="#000000"/>
            </w:pict>
          </mc:Fallback>
        </mc:AlternateContent>
      </w:r>
      <w:r>
        <mc:AlternateContent>
          <mc:Choice Requires="wps">
            <w:drawing>
              <wp:anchor distT="0" distB="0" distL="114300" distR="114300" simplePos="false" relativeHeight="10309392" behindDoc="false" locked="false" layoutInCell="true" allowOverlap="true">
                <wp:simplePos x="0" y="0"/>
                <wp:positionH relativeFrom="page">
                  <wp:posOffset>4483100</wp:posOffset>
                </wp:positionH>
                <wp:positionV relativeFrom="page">
                  <wp:posOffset>6400800</wp:posOffset>
                </wp:positionV>
                <wp:extent cx="1117600" cy="25400"/>
                <wp:effectExtent l="0" t="0" r="22225" b="31115"/>
                <wp:wrapNone/>
                <wp:docPr id="14612" name="shape14612"/>
                <wp:cNvGraphicFramePr/>
                <a:graphic>
                  <a:graphicData uri="http://schemas.microsoft.com/office/word/2010/wordprocessingShape">
                    <wps:wsp>
                      <wps:cNvSpPr/>
                      <wps:spPr>
                        <a:xfrm>
                          <a:off x="0" y="0"/>
                          <a:ext cx="11176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8pt;height:2pt;margin-left:353pt;margin-top:504pt;mso-wrap-style:square;z-index:10309392;mso-wrap-distance-left:9pt;mso-wrap-distance-top:0pt;mso-wrap-distance-right:9pt;mso-wrap-distance-bottom:0pt" id="shape14612" o:spid="1618382360455" stroked="f" filled="t" fillcolor="#000000"/>
            </w:pict>
          </mc:Fallback>
        </mc:AlternateContent>
      </w:r>
      <w:r>
        <mc:AlternateContent>
          <mc:Choice Requires="wps">
            <w:drawing>
              <wp:anchor distT="0" distB="0" distL="114300" distR="114300" simplePos="false" relativeHeight="10311440" behindDoc="false" locked="false" layoutInCell="true" allowOverlap="true">
                <wp:simplePos x="0" y="0"/>
                <wp:positionH relativeFrom="page">
                  <wp:posOffset>5600700</wp:posOffset>
                </wp:positionH>
                <wp:positionV relativeFrom="page">
                  <wp:posOffset>6400800</wp:posOffset>
                </wp:positionV>
                <wp:extent cx="1117600" cy="25400"/>
                <wp:effectExtent l="0" t="0" r="22225" b="31115"/>
                <wp:wrapNone/>
                <wp:docPr id="14614" name="shape14614"/>
                <wp:cNvGraphicFramePr/>
                <a:graphic>
                  <a:graphicData uri="http://schemas.microsoft.com/office/word/2010/wordprocessingShape">
                    <wps:wsp>
                      <wps:cNvSpPr/>
                      <wps:spPr>
                        <a:xfrm>
                          <a:off x="0" y="0"/>
                          <a:ext cx="11176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8pt;height:2pt;margin-left:441pt;margin-top:504pt;mso-wrap-style:square;z-index:10311440;mso-wrap-distance-left:9pt;mso-wrap-distance-top:0pt;mso-wrap-distance-right:9pt;mso-wrap-distance-bottom:0pt" id="shape14614" o:spid="1618382360455" stroked="f" filled="t" fillcolor="#000000"/>
            </w:pict>
          </mc:Fallback>
        </mc:AlternateContent>
      </w:r>
      <w:r>
        <mc:AlternateContent>
          <mc:Choice Requires="wps">
            <w:drawing>
              <wp:anchor distT="0" distB="0" distL="114300" distR="114300" simplePos="false" relativeHeight="10355472" behindDoc="false" locked="false" layoutInCell="true" allowOverlap="true">
                <wp:simplePos x="0" y="0"/>
                <wp:positionH relativeFrom="page">
                  <wp:posOffset>2247900</wp:posOffset>
                </wp:positionH>
                <wp:positionV relativeFrom="page">
                  <wp:posOffset>7632700</wp:posOffset>
                </wp:positionV>
                <wp:extent cx="1130300" cy="25400"/>
                <wp:effectExtent l="0" t="0" r="22225" b="31115"/>
                <wp:wrapNone/>
                <wp:docPr id="14657" name="shape14657"/>
                <wp:cNvGraphicFramePr/>
                <a:graphic>
                  <a:graphicData uri="http://schemas.microsoft.com/office/word/2010/wordprocessingShape">
                    <wps:wsp>
                      <wps:cNvSpPr/>
                      <wps:spPr>
                        <a:xfrm>
                          <a:off x="0" y="0"/>
                          <a:ext cx="11303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pt;margin-left:177pt;margin-top:601pt;mso-wrap-style:square;z-index:10355472;mso-wrap-distance-left:9pt;mso-wrap-distance-top:0pt;mso-wrap-distance-right:9pt;mso-wrap-distance-bottom:0pt" id="shape14657" o:spid="1618382360456" stroked="f" filled="t" fillcolor="#000000"/>
            </w:pict>
          </mc:Fallback>
        </mc:AlternateContent>
      </w:r>
      <w:r>
        <mc:AlternateContent>
          <mc:Choice Requires="wps">
            <w:drawing>
              <wp:anchor distT="0" distB="0" distL="114300" distR="114300" simplePos="false" relativeHeight="10357520" behindDoc="false" locked="false" layoutInCell="true" allowOverlap="true">
                <wp:simplePos x="0" y="0"/>
                <wp:positionH relativeFrom="page">
                  <wp:posOffset>3365500</wp:posOffset>
                </wp:positionH>
                <wp:positionV relativeFrom="page">
                  <wp:posOffset>7632700</wp:posOffset>
                </wp:positionV>
                <wp:extent cx="1130300" cy="25400"/>
                <wp:effectExtent l="0" t="0" r="22225" b="31115"/>
                <wp:wrapNone/>
                <wp:docPr id="14659" name="shape14659"/>
                <wp:cNvGraphicFramePr/>
                <a:graphic>
                  <a:graphicData uri="http://schemas.microsoft.com/office/word/2010/wordprocessingShape">
                    <wps:wsp>
                      <wps:cNvSpPr/>
                      <wps:spPr>
                        <a:xfrm>
                          <a:off x="0" y="0"/>
                          <a:ext cx="11303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9pt;height:2pt;margin-left:265pt;margin-top:601pt;mso-wrap-style:square;z-index:10357520;mso-wrap-distance-left:9pt;mso-wrap-distance-top:0pt;mso-wrap-distance-right:9pt;mso-wrap-distance-bottom:0pt" id="shape14659" o:spid="1618382360456" stroked="f" filled="t" fillcolor="#000000"/>
            </w:pict>
          </mc:Fallback>
        </mc:AlternateContent>
      </w:r>
      <w:r>
        <mc:AlternateContent>
          <mc:Choice Requires="wps">
            <w:drawing>
              <wp:anchor distT="0" distB="0" distL="114300" distR="114300" simplePos="false" relativeHeight="10359568" behindDoc="false" locked="false" layoutInCell="true" allowOverlap="true">
                <wp:simplePos x="0" y="0"/>
                <wp:positionH relativeFrom="page">
                  <wp:posOffset>4483100</wp:posOffset>
                </wp:positionH>
                <wp:positionV relativeFrom="page">
                  <wp:posOffset>7632700</wp:posOffset>
                </wp:positionV>
                <wp:extent cx="1117600" cy="25400"/>
                <wp:effectExtent l="0" t="0" r="22225" b="31115"/>
                <wp:wrapNone/>
                <wp:docPr id="14661" name="shape14661"/>
                <wp:cNvGraphicFramePr/>
                <a:graphic>
                  <a:graphicData uri="http://schemas.microsoft.com/office/word/2010/wordprocessingShape">
                    <wps:wsp>
                      <wps:cNvSpPr/>
                      <wps:spPr>
                        <a:xfrm>
                          <a:off x="0" y="0"/>
                          <a:ext cx="11176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8pt;height:2pt;margin-left:353pt;margin-top:601pt;mso-wrap-style:square;z-index:10359568;mso-wrap-distance-left:9pt;mso-wrap-distance-top:0pt;mso-wrap-distance-right:9pt;mso-wrap-distance-bottom:0pt" id="shape14661" o:spid="1618382360456" stroked="f" filled="t" fillcolor="#000000"/>
            </w:pict>
          </mc:Fallback>
        </mc:AlternateContent>
      </w:r>
      <w:r>
        <mc:AlternateContent>
          <mc:Choice Requires="wps">
            <w:drawing>
              <wp:anchor distT="0" distB="0" distL="114300" distR="114300" simplePos="false" relativeHeight="10361616" behindDoc="false" locked="false" layoutInCell="true" allowOverlap="true">
                <wp:simplePos x="0" y="0"/>
                <wp:positionH relativeFrom="page">
                  <wp:posOffset>5600700</wp:posOffset>
                </wp:positionH>
                <wp:positionV relativeFrom="page">
                  <wp:posOffset>7632700</wp:posOffset>
                </wp:positionV>
                <wp:extent cx="1117600" cy="25400"/>
                <wp:effectExtent l="0" t="0" r="22225" b="31115"/>
                <wp:wrapNone/>
                <wp:docPr id="14663" name="shape14663"/>
                <wp:cNvGraphicFramePr/>
                <a:graphic>
                  <a:graphicData uri="http://schemas.microsoft.com/office/word/2010/wordprocessingShape">
                    <wps:wsp>
                      <wps:cNvSpPr/>
                      <wps:spPr>
                        <a:xfrm>
                          <a:off x="0" y="0"/>
                          <a:ext cx="11176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8pt;height:2pt;margin-left:441pt;margin-top:601pt;mso-wrap-style:square;z-index:10361616;mso-wrap-distance-left:9pt;mso-wrap-distance-top:0pt;mso-wrap-distance-right:9pt;mso-wrap-distance-bottom:0pt" id="shape14663" o:spid="1618382360457" stroked="f" filled="t" fillcolor="#000000"/>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1800"/>
        <w:jc w:val="both"/>
      </w:pPr>
      <w:r>
        <w:rPr>
          <w:rFonts w:hint="eastAsia" w:ascii="宋体" w:hAnsi="宋体" w:eastAsia="宋体" w:cs="宋体"/>
          <w:sz w:val="18"/>
        </w:rPr>
        <w:t>注</w:t>
      </w:r>
      <w:r>
        <w:rPr>
          <w:rFonts w:hint="eastAsia" w:ascii="宋体" w:hAnsi="宋体" w:eastAsia="宋体" w:cs="宋体"/>
          <w:sz w:val="10"/>
        </w:rPr>
        <w:t>：</w:t>
      </w:r>
      <w:r>
        <w:rPr>
          <w:rFonts w:hint="eastAsia" w:ascii="宋体" w:hAnsi="宋体" w:eastAsia="宋体" w:cs="宋体"/>
          <w:sz w:val="18"/>
        </w:rPr>
        <w:t>各指标计算方法如下</w:t>
      </w:r>
      <w:r>
        <w:rPr>
          <w:rFonts w:hint="eastAsia" w:ascii="宋体" w:hAnsi="宋体" w:eastAsia="宋体" w:cs="宋体"/>
          <w:sz w:val="10"/>
        </w:rPr>
        <w:t>：</w:t>
      </w:r>
    </w:p>
    <w:p>
      <w:pPr>
        <w:autoSpaceDE w:val="false"/>
        <w:autoSpaceDN w:val="false"/>
        <w:spacing w:line="360" w:lineRule="exact"/>
        <w:ind w:left="1900"/>
        <w:jc w:val="both"/>
      </w:pPr>
      <w:r>
        <w:rPr>
          <w:rFonts w:hint="eastAsia" w:ascii="Times New Roman" w:hAnsi="Times New Roman" w:eastAsia="Times New Roman" w:cs="Times New Roman"/>
          <w:sz w:val="18"/>
        </w:rPr>
        <w:t>1</w:t>
      </w:r>
      <w:r>
        <w:rPr>
          <w:rFonts w:hint="eastAsia" w:ascii="宋体" w:hAnsi="宋体" w:eastAsia="宋体" w:cs="宋体"/>
          <w:sz w:val="10"/>
        </w:rPr>
        <w:t>、</w:t>
      </w:r>
      <w:r>
        <w:rPr>
          <w:rFonts w:hint="eastAsia" w:ascii="宋体" w:hAnsi="宋体" w:eastAsia="宋体" w:cs="宋体"/>
          <w:sz w:val="18"/>
        </w:rPr>
        <w:t>流动比率</w:t>
      </w:r>
      <w:r>
        <w:rPr>
          <w:rFonts w:hint="eastAsia" w:ascii="宋体" w:hAnsi="宋体" w:eastAsia="宋体" w:cs="宋体"/>
          <w:sz w:val="10"/>
        </w:rPr>
        <w:t>＝</w:t>
      </w:r>
      <w:r>
        <w:rPr>
          <w:rFonts w:hint="eastAsia" w:ascii="宋体" w:hAnsi="宋体" w:eastAsia="宋体" w:cs="宋体"/>
          <w:sz w:val="18"/>
        </w:rPr>
        <w:t>流动资产／流动负债</w:t>
      </w:r>
    </w:p>
    <w:p>
      <w:pPr>
        <w:autoSpaceDE w:val="false"/>
        <w:autoSpaceDN w:val="false"/>
        <w:spacing w:line="340" w:lineRule="exact"/>
        <w:ind w:left="1900"/>
        <w:jc w:val="both"/>
      </w:pPr>
      <w:r>
        <w:rPr>
          <w:rFonts w:hint="eastAsia" w:ascii="Times New Roman" w:hAnsi="Times New Roman" w:eastAsia="Times New Roman" w:cs="Times New Roman"/>
          <w:sz w:val="18"/>
        </w:rPr>
        <w:t>2</w:t>
      </w:r>
      <w:r>
        <w:rPr>
          <w:rFonts w:hint="eastAsia" w:ascii="宋体" w:hAnsi="宋体" w:eastAsia="宋体" w:cs="宋体"/>
          <w:sz w:val="10"/>
        </w:rPr>
        <w:t>、</w:t>
      </w:r>
      <w:r>
        <w:rPr>
          <w:rFonts w:hint="eastAsia" w:ascii="宋体" w:hAnsi="宋体" w:eastAsia="宋体" w:cs="宋体"/>
          <w:sz w:val="18"/>
        </w:rPr>
        <w:t>速动比率</w:t>
      </w:r>
      <w:r>
        <w:rPr>
          <w:rFonts w:hint="eastAsia" w:ascii="宋体" w:hAnsi="宋体" w:eastAsia="宋体" w:cs="宋体"/>
          <w:sz w:val="10"/>
        </w:rPr>
        <w:t>＝（</w:t>
      </w:r>
      <w:r>
        <w:rPr>
          <w:rFonts w:hint="eastAsia" w:ascii="宋体" w:hAnsi="宋体" w:eastAsia="宋体" w:cs="宋体"/>
          <w:sz w:val="18"/>
        </w:rPr>
        <w:t>流动资产</w:t>
      </w:r>
      <w:r>
        <w:rPr>
          <w:rFonts w:hint="eastAsia" w:ascii="Times New Roman" w:hAnsi="Times New Roman" w:eastAsia="Times New Roman" w:cs="Times New Roman"/>
          <w:sz w:val="18"/>
        </w:rPr>
        <w:t>-</w:t>
      </w:r>
      <w:r>
        <w:rPr>
          <w:rFonts w:hint="eastAsia" w:ascii="宋体" w:hAnsi="宋体" w:eastAsia="宋体" w:cs="宋体"/>
          <w:sz w:val="18"/>
        </w:rPr>
        <w:t>存货净额）／流动负债</w:t>
      </w:r>
    </w:p>
    <w:p>
      <w:pPr>
        <w:autoSpaceDE w:val="false"/>
        <w:autoSpaceDN w:val="false"/>
        <w:spacing w:line="360" w:lineRule="exact"/>
        <w:ind w:left="1900"/>
        <w:jc w:val="both"/>
      </w:pPr>
      <w:r>
        <w:rPr>
          <w:rFonts w:hint="eastAsia" w:ascii="Times New Roman" w:hAnsi="Times New Roman" w:eastAsia="Times New Roman" w:cs="Times New Roman"/>
          <w:sz w:val="18"/>
        </w:rPr>
        <w:t>3</w:t>
      </w:r>
      <w:r>
        <w:rPr>
          <w:rFonts w:hint="eastAsia" w:ascii="宋体" w:hAnsi="宋体" w:eastAsia="宋体" w:cs="宋体"/>
          <w:sz w:val="10"/>
        </w:rPr>
        <w:t>、</w:t>
      </w:r>
      <w:r>
        <w:rPr>
          <w:rFonts w:hint="eastAsia" w:ascii="宋体" w:hAnsi="宋体" w:eastAsia="宋体" w:cs="宋体"/>
          <w:sz w:val="18"/>
        </w:rPr>
        <w:t>资产负债率</w:t>
      </w:r>
      <w:r>
        <w:rPr>
          <w:rFonts w:hint="eastAsia" w:ascii="Times New Roman" w:hAnsi="Times New Roman" w:eastAsia="Times New Roman" w:cs="Times New Roman"/>
          <w:sz w:val="18"/>
        </w:rPr>
        <w:t>=</w:t>
      </w:r>
      <w:r>
        <w:rPr>
          <w:rFonts w:hint="eastAsia" w:ascii="宋体" w:hAnsi="宋体" w:eastAsia="宋体" w:cs="宋体"/>
          <w:sz w:val="18"/>
        </w:rPr>
        <w:t>总负债／总资产</w:t>
      </w:r>
    </w:p>
    <w:p>
      <w:pPr>
        <w:autoSpaceDE w:val="false"/>
        <w:autoSpaceDN w:val="false"/>
        <w:spacing w:line="340" w:lineRule="exact"/>
        <w:ind w:left="1900"/>
        <w:jc w:val="both"/>
      </w:pPr>
      <w:r>
        <w:rPr>
          <w:rFonts w:hint="eastAsia" w:ascii="Times New Roman" w:hAnsi="Times New Roman" w:eastAsia="Times New Roman" w:cs="Times New Roman"/>
          <w:sz w:val="18"/>
        </w:rPr>
        <w:t>4</w:t>
      </w:r>
      <w:r>
        <w:rPr>
          <w:rFonts w:hint="eastAsia" w:ascii="宋体" w:hAnsi="宋体" w:eastAsia="宋体" w:cs="宋体"/>
          <w:sz w:val="10"/>
        </w:rPr>
        <w:t>、</w:t>
      </w:r>
      <w:r>
        <w:rPr>
          <w:rFonts w:hint="eastAsia" w:ascii="宋体" w:hAnsi="宋体" w:eastAsia="宋体" w:cs="宋体"/>
          <w:sz w:val="18"/>
        </w:rPr>
        <w:t>每股净资产</w:t>
      </w:r>
      <w:r>
        <w:rPr>
          <w:rFonts w:hint="eastAsia" w:ascii="宋体" w:hAnsi="宋体" w:eastAsia="宋体" w:cs="宋体"/>
          <w:sz w:val="10"/>
        </w:rPr>
        <w:t>＝</w:t>
      </w:r>
      <w:r>
        <w:rPr>
          <w:rFonts w:hint="eastAsia" w:ascii="宋体" w:hAnsi="宋体" w:eastAsia="宋体" w:cs="宋体"/>
          <w:sz w:val="18"/>
        </w:rPr>
        <w:t>归属于母公司股东的权益／期末总股本</w:t>
      </w:r>
    </w:p>
    <w:p>
      <w:pPr>
        <w:autoSpaceDE w:val="false"/>
        <w:autoSpaceDN w:val="false"/>
        <w:spacing w:line="360" w:lineRule="exact"/>
        <w:ind w:left="1900"/>
        <w:jc w:val="both"/>
      </w:pPr>
      <w:r>
        <w:rPr>
          <w:rFonts w:hint="eastAsia" w:ascii="Times New Roman" w:hAnsi="Times New Roman" w:eastAsia="Times New Roman" w:cs="Times New Roman"/>
          <w:sz w:val="18"/>
        </w:rPr>
        <w:t>5</w:t>
      </w:r>
      <w:r>
        <w:rPr>
          <w:rFonts w:hint="eastAsia" w:ascii="宋体" w:hAnsi="宋体" w:eastAsia="宋体" w:cs="宋体"/>
          <w:sz w:val="10"/>
        </w:rPr>
        <w:t>、</w:t>
      </w:r>
      <w:r>
        <w:rPr>
          <w:rFonts w:hint="eastAsia" w:ascii="宋体" w:hAnsi="宋体" w:eastAsia="宋体" w:cs="宋体"/>
          <w:sz w:val="18"/>
        </w:rPr>
        <w:t>无形资产占净资产的比例</w:t>
      </w:r>
      <w:r>
        <w:rPr>
          <w:rFonts w:hint="eastAsia" w:ascii="Times New Roman" w:hAnsi="Times New Roman" w:eastAsia="Times New Roman" w:cs="Times New Roman"/>
          <w:sz w:val="18"/>
        </w:rPr>
        <w:t>=</w:t>
      </w:r>
      <w:r>
        <w:rPr>
          <w:rFonts w:hint="eastAsia" w:ascii="宋体" w:hAnsi="宋体" w:eastAsia="宋体" w:cs="宋体"/>
          <w:sz w:val="18"/>
        </w:rPr>
        <w:t>无形资产（除土地使用权）／归属于母公司股东的权益</w:t>
      </w:r>
    </w:p>
    <w:p>
      <w:pPr>
        <w:autoSpaceDE w:val="false"/>
        <w:autoSpaceDN w:val="false"/>
        <w:spacing w:line="340" w:lineRule="exact"/>
        <w:ind w:left="1900"/>
        <w:jc w:val="both"/>
      </w:pPr>
      <w:r>
        <w:rPr>
          <w:rFonts w:hint="eastAsia" w:ascii="Times New Roman" w:hAnsi="Times New Roman" w:eastAsia="Times New Roman" w:cs="Times New Roman"/>
          <w:sz w:val="18"/>
        </w:rPr>
        <w:t>6</w:t>
      </w:r>
      <w:r>
        <w:rPr>
          <w:rFonts w:hint="eastAsia" w:ascii="宋体" w:hAnsi="宋体" w:eastAsia="宋体" w:cs="宋体"/>
          <w:sz w:val="10"/>
        </w:rPr>
        <w:t>、</w:t>
      </w:r>
      <w:r>
        <w:rPr>
          <w:rFonts w:hint="eastAsia" w:ascii="宋体" w:hAnsi="宋体" w:eastAsia="宋体" w:cs="宋体"/>
          <w:sz w:val="18"/>
        </w:rPr>
        <w:t>应收账款周转率</w:t>
      </w:r>
      <w:r>
        <w:rPr>
          <w:rFonts w:hint="eastAsia" w:ascii="宋体" w:hAnsi="宋体" w:eastAsia="宋体" w:cs="宋体"/>
          <w:sz w:val="10"/>
        </w:rPr>
        <w:t>＝</w:t>
      </w:r>
      <w:r>
        <w:rPr>
          <w:rFonts w:hint="eastAsia" w:ascii="宋体" w:hAnsi="宋体" w:eastAsia="宋体" w:cs="宋体"/>
          <w:sz w:val="18"/>
        </w:rPr>
        <w:t>营业收入／应收账款期初期末平均余额</w:t>
      </w:r>
    </w:p>
    <w:p>
      <w:pPr>
        <w:autoSpaceDE w:val="false"/>
        <w:autoSpaceDN w:val="false"/>
        <w:spacing w:line="360" w:lineRule="exact"/>
        <w:ind w:left="1900"/>
        <w:jc w:val="both"/>
      </w:pPr>
      <w:r>
        <w:rPr>
          <w:rFonts w:hint="eastAsia" w:ascii="Times New Roman" w:hAnsi="Times New Roman" w:eastAsia="Times New Roman" w:cs="Times New Roman"/>
          <w:sz w:val="18"/>
        </w:rPr>
        <w:t>7</w:t>
      </w:r>
      <w:r>
        <w:rPr>
          <w:rFonts w:hint="eastAsia" w:ascii="宋体" w:hAnsi="宋体" w:eastAsia="宋体" w:cs="宋体"/>
          <w:sz w:val="10"/>
        </w:rPr>
        <w:t>、</w:t>
      </w:r>
      <w:r>
        <w:rPr>
          <w:rFonts w:hint="eastAsia" w:ascii="宋体" w:hAnsi="宋体" w:eastAsia="宋体" w:cs="宋体"/>
          <w:sz w:val="18"/>
        </w:rPr>
        <w:t>存货周转率</w:t>
      </w:r>
      <w:r>
        <w:rPr>
          <w:rFonts w:hint="eastAsia" w:ascii="宋体" w:hAnsi="宋体" w:eastAsia="宋体" w:cs="宋体"/>
          <w:sz w:val="10"/>
        </w:rPr>
        <w:t>＝</w:t>
      </w:r>
      <w:r>
        <w:rPr>
          <w:rFonts w:hint="eastAsia" w:ascii="宋体" w:hAnsi="宋体" w:eastAsia="宋体" w:cs="宋体"/>
          <w:sz w:val="18"/>
        </w:rPr>
        <w:t>营业成本／存货期初期末平均净额</w:t>
      </w:r>
    </w:p>
    <w:p>
      <w:pPr>
        <w:autoSpaceDE w:val="false"/>
        <w:autoSpaceDN w:val="false"/>
        <w:spacing w:line="340" w:lineRule="exact"/>
        <w:ind w:left="1900" w:right="1460"/>
        <w:jc w:val="both"/>
      </w:pPr>
      <w:r>
        <w:rPr>
          <w:rFonts w:hint="eastAsia" w:ascii="Times New Roman" w:hAnsi="Times New Roman" w:eastAsia="Times New Roman" w:cs="Times New Roman"/>
          <w:sz w:val="18"/>
        </w:rPr>
        <w:t>8</w:t>
      </w:r>
      <w:r>
        <w:rPr>
          <w:rFonts w:hint="eastAsia" w:ascii="宋体" w:hAnsi="宋体" w:eastAsia="宋体" w:cs="宋体"/>
          <w:sz w:val="10"/>
        </w:rPr>
        <w:t>、</w:t>
      </w:r>
      <w:r>
        <w:rPr>
          <w:rFonts w:hint="eastAsia" w:ascii="宋体" w:hAnsi="宋体" w:eastAsia="宋体" w:cs="宋体"/>
          <w:sz w:val="18"/>
        </w:rPr>
        <w:t>息税折旧摊销前利润</w:t>
      </w:r>
      <w:r>
        <w:rPr>
          <w:rFonts w:hint="eastAsia" w:ascii="宋体" w:hAnsi="宋体" w:eastAsia="宋体" w:cs="宋体"/>
          <w:sz w:val="10"/>
        </w:rPr>
        <w:t>＝</w:t>
      </w:r>
      <w:r>
        <w:rPr>
          <w:rFonts w:hint="eastAsia" w:ascii="宋体" w:hAnsi="宋体" w:eastAsia="宋体" w:cs="宋体"/>
          <w:sz w:val="18"/>
        </w:rPr>
        <w:t>净利润</w:t>
      </w:r>
      <w:r>
        <w:rPr>
          <w:rFonts w:hint="eastAsia" w:ascii="Times New Roman" w:hAnsi="Times New Roman" w:eastAsia="Times New Roman" w:cs="Times New Roman"/>
          <w:sz w:val="18"/>
        </w:rPr>
        <w:t>+</w:t>
      </w:r>
      <w:r>
        <w:rPr>
          <w:rFonts w:hint="eastAsia" w:ascii="宋体" w:hAnsi="宋体" w:eastAsia="宋体" w:cs="宋体"/>
          <w:sz w:val="18"/>
        </w:rPr>
        <w:t>利息支出</w:t>
      </w:r>
      <w:r>
        <w:rPr>
          <w:rFonts w:hint="eastAsia" w:ascii="Times New Roman" w:hAnsi="Times New Roman" w:eastAsia="Times New Roman" w:cs="Times New Roman"/>
          <w:sz w:val="18"/>
        </w:rPr>
        <w:t>+</w:t>
      </w:r>
      <w:r>
        <w:rPr>
          <w:rFonts w:hint="eastAsia" w:ascii="宋体" w:hAnsi="宋体" w:eastAsia="宋体" w:cs="宋体"/>
          <w:sz w:val="18"/>
        </w:rPr>
        <w:t>所得税费用</w:t>
      </w:r>
      <w:r>
        <w:rPr>
          <w:rFonts w:hint="eastAsia" w:ascii="Times New Roman" w:hAnsi="Times New Roman" w:eastAsia="Times New Roman" w:cs="Times New Roman"/>
          <w:sz w:val="18"/>
        </w:rPr>
        <w:t>+</w:t>
      </w:r>
      <w:r>
        <w:rPr>
          <w:rFonts w:hint="eastAsia" w:ascii="宋体" w:hAnsi="宋体" w:eastAsia="宋体" w:cs="宋体"/>
          <w:sz w:val="18"/>
        </w:rPr>
        <w:t>固定资产折旧</w:t>
      </w:r>
      <w:r>
        <w:rPr>
          <w:rFonts w:hint="eastAsia" w:ascii="Times New Roman" w:hAnsi="Times New Roman" w:eastAsia="Times New Roman" w:cs="Times New Roman"/>
          <w:sz w:val="18"/>
        </w:rPr>
        <w:t>+</w:t>
      </w:r>
      <w:r>
        <w:rPr>
          <w:rFonts w:hint="eastAsia" w:ascii="宋体" w:hAnsi="宋体" w:eastAsia="宋体" w:cs="宋体"/>
          <w:sz w:val="18"/>
        </w:rPr>
        <w:t>无形资产摊销</w:t>
      </w:r>
      <w:r>
        <w:rPr>
          <w:rFonts w:hint="eastAsia" w:ascii="Times New Roman" w:hAnsi="Times New Roman" w:eastAsia="Times New Roman" w:cs="Times New Roman"/>
          <w:sz w:val="18"/>
        </w:rPr>
        <w:t>+</w:t>
      </w:r>
      <w:r>
        <w:rPr>
          <w:rFonts w:hint="eastAsia" w:ascii="宋体" w:hAnsi="宋体" w:eastAsia="宋体" w:cs="宋体"/>
          <w:sz w:val="18"/>
        </w:rPr>
        <w:t>长期待摊费用摊销</w:t>
      </w:r>
      <w:r>
        <w:rPr>
          <w:rFonts w:hint="eastAsia" w:ascii="Times New Roman" w:hAnsi="Times New Roman" w:eastAsia="Times New Roman" w:cs="Times New Roman"/>
          <w:sz w:val="18"/>
        </w:rPr>
        <w:t>9</w:t>
      </w:r>
      <w:r>
        <w:rPr>
          <w:rFonts w:hint="eastAsia" w:ascii="宋体" w:hAnsi="宋体" w:eastAsia="宋体" w:cs="宋体"/>
          <w:sz w:val="10"/>
        </w:rPr>
        <w:t>、</w:t>
      </w:r>
      <w:r>
        <w:rPr>
          <w:rFonts w:hint="eastAsia" w:ascii="宋体" w:hAnsi="宋体" w:eastAsia="宋体" w:cs="宋体"/>
          <w:sz w:val="18"/>
        </w:rPr>
        <w:t>利息保障倍数</w:t>
      </w:r>
      <w:r>
        <w:rPr>
          <w:rFonts w:hint="eastAsia" w:ascii="宋体" w:hAnsi="宋体" w:eastAsia="宋体" w:cs="宋体"/>
          <w:sz w:val="10"/>
        </w:rPr>
        <w:t>＝（</w:t>
      </w:r>
      <w:r>
        <w:rPr>
          <w:rFonts w:hint="eastAsia" w:ascii="宋体" w:hAnsi="宋体" w:eastAsia="宋体" w:cs="宋体"/>
          <w:sz w:val="18"/>
        </w:rPr>
        <w:t>净利润</w:t>
      </w:r>
      <w:r>
        <w:rPr>
          <w:rFonts w:hint="eastAsia" w:ascii="Times New Roman" w:hAnsi="Times New Roman" w:eastAsia="Times New Roman" w:cs="Times New Roman"/>
          <w:sz w:val="18"/>
        </w:rPr>
        <w:t>+</w:t>
      </w:r>
      <w:r>
        <w:rPr>
          <w:rFonts w:hint="eastAsia" w:ascii="宋体" w:hAnsi="宋体" w:eastAsia="宋体" w:cs="宋体"/>
          <w:sz w:val="18"/>
        </w:rPr>
        <w:t>所得税费用</w:t>
      </w:r>
      <w:r>
        <w:rPr>
          <w:rFonts w:hint="eastAsia" w:ascii="Times New Roman" w:hAnsi="Times New Roman" w:eastAsia="Times New Roman" w:cs="Times New Roman"/>
          <w:sz w:val="18"/>
        </w:rPr>
        <w:t>+</w:t>
      </w:r>
      <w:r>
        <w:rPr>
          <w:rFonts w:hint="eastAsia" w:ascii="宋体" w:hAnsi="宋体" w:eastAsia="宋体" w:cs="宋体"/>
          <w:sz w:val="18"/>
        </w:rPr>
        <w:t>利息支出）／利息支出</w:t>
      </w:r>
    </w:p>
    <w:p>
      <w:pPr>
        <w:autoSpaceDE w:val="false"/>
        <w:autoSpaceDN w:val="false"/>
        <w:spacing w:line="340" w:lineRule="exact"/>
        <w:ind w:left="1900"/>
        <w:jc w:val="both"/>
      </w:pPr>
      <w:r>
        <w:rPr>
          <w:rFonts w:hint="eastAsia" w:ascii="Times New Roman" w:hAnsi="Times New Roman" w:eastAsia="Times New Roman" w:cs="Times New Roman"/>
          <w:sz w:val="18"/>
        </w:rPr>
        <w:t>10</w:t>
      </w:r>
      <w:r>
        <w:rPr>
          <w:rFonts w:hint="eastAsia" w:ascii="宋体" w:hAnsi="宋体" w:eastAsia="宋体" w:cs="宋体"/>
          <w:sz w:val="10"/>
        </w:rPr>
        <w:t>、</w:t>
      </w:r>
      <w:r>
        <w:rPr>
          <w:rFonts w:hint="eastAsia" w:ascii="宋体" w:hAnsi="宋体" w:eastAsia="宋体" w:cs="宋体"/>
          <w:sz w:val="18"/>
        </w:rPr>
        <w:t>每股经营活动的现金流量净额</w:t>
      </w:r>
      <w:r>
        <w:rPr>
          <w:rFonts w:hint="eastAsia" w:ascii="宋体" w:hAnsi="宋体" w:eastAsia="宋体" w:cs="宋体"/>
          <w:sz w:val="10"/>
        </w:rPr>
        <w:t>＝</w:t>
      </w:r>
      <w:r>
        <w:rPr>
          <w:rFonts w:hint="eastAsia" w:ascii="宋体" w:hAnsi="宋体" w:eastAsia="宋体" w:cs="宋体"/>
          <w:sz w:val="18"/>
        </w:rPr>
        <w:t>经营活动产生的现金流量净额／期末总股本</w:t>
      </w:r>
    </w:p>
    <w:p>
      <w:pPr>
        <w:autoSpaceDE w:val="false"/>
        <w:autoSpaceDN w:val="false"/>
        <w:spacing w:line="360" w:lineRule="exact"/>
        <w:ind w:left="1900"/>
        <w:jc w:val="both"/>
      </w:pPr>
      <w:r>
        <w:rPr>
          <w:rFonts w:hint="eastAsia" w:ascii="Times New Roman" w:hAnsi="Times New Roman" w:eastAsia="Times New Roman" w:cs="Times New Roman"/>
          <w:sz w:val="18"/>
        </w:rPr>
        <w:t>11</w:t>
      </w:r>
      <w:r>
        <w:rPr>
          <w:rFonts w:hint="eastAsia" w:ascii="宋体" w:hAnsi="宋体" w:eastAsia="宋体" w:cs="宋体"/>
          <w:sz w:val="10"/>
        </w:rPr>
        <w:t>、</w:t>
      </w:r>
      <w:r>
        <w:rPr>
          <w:rFonts w:hint="eastAsia" w:ascii="宋体" w:hAnsi="宋体" w:eastAsia="宋体" w:cs="宋体"/>
          <w:sz w:val="18"/>
        </w:rPr>
        <w:t>每股净现金流量</w:t>
      </w:r>
      <w:r>
        <w:rPr>
          <w:rFonts w:hint="eastAsia" w:ascii="宋体" w:hAnsi="宋体" w:eastAsia="宋体" w:cs="宋体"/>
          <w:sz w:val="10"/>
        </w:rPr>
        <w:t>＝</w:t>
      </w:r>
      <w:r>
        <w:rPr>
          <w:rFonts w:hint="eastAsia" w:ascii="宋体" w:hAnsi="宋体" w:eastAsia="宋体" w:cs="宋体"/>
          <w:sz w:val="18"/>
        </w:rPr>
        <w:t>现金及现金等价物净增加（减少）额／期末总股本</w:t>
      </w:r>
    </w:p>
    <w:p>
      <w:pPr>
        <w:spacing w:line="200" w:lineRule="exact"/>
        <w:rPr>
          <w:rFonts w:hint="eastAsia" w:ascii="宋体" w:hAnsi="宋体" w:eastAsia="宋体" w:cs="宋体"/>
          <w:sz w:val="20"/>
        </w:rPr>
      </w:pPr>
    </w:p>
    <w:p>
      <w:pPr>
        <w:autoSpaceDE w:val="false"/>
        <w:autoSpaceDN w:val="false"/>
        <w:spacing w:line="440" w:lineRule="exact"/>
        <w:ind w:left="1440"/>
        <w:jc w:val="both"/>
      </w:pPr>
      <w:r>
        <w:rPr>
          <w:rFonts w:hint="eastAsia" w:ascii="宋体" w:hAnsi="宋体" w:eastAsia="宋体" w:cs="宋体"/>
          <w:b/>
          <w:sz w:val="18"/>
        </w:rPr>
        <w:t>（二）</w:t>
      </w:r>
      <w:r>
        <w:rPr>
          <w:rFonts w:hint="eastAsia" w:ascii="宋体" w:hAnsi="宋体" w:eastAsia="宋体" w:cs="宋体"/>
          <w:b/>
          <w:sz w:val="24"/>
        </w:rPr>
        <w:t>报告期内净资产收益率及每股收益</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根据中国证监会《公开发行证券的公司信息披露编报规则第</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号</w:t>
      </w:r>
      <w:r>
        <w:rPr>
          <w:rFonts w:hint="eastAsia" w:ascii="Times New Roman" w:hAnsi="Times New Roman" w:eastAsia="Times New Roman" w:cs="Times New Roman"/>
          <w:sz w:val="24"/>
        </w:rPr>
        <w:t>——</w:t>
      </w:r>
      <w:r>
        <w:rPr>
          <w:rFonts w:hint="eastAsia" w:ascii="宋体" w:hAnsi="宋体" w:eastAsia="宋体" w:cs="宋体"/>
          <w:sz w:val="24"/>
        </w:rPr>
        <w:t>净资产收益率和每股收益的计算及披露》（</w:t>
      </w:r>
      <w:r>
        <w:rPr>
          <w:rFonts w:hint="eastAsia" w:ascii="Times New Roman" w:hAnsi="Times New Roman" w:eastAsia="Times New Roman" w:cs="Times New Roman"/>
          <w:sz w:val="24"/>
        </w:rPr>
        <w:t>2010</w:t>
      </w:r>
      <w:r>
        <w:rPr>
          <w:rFonts w:hint="eastAsia" w:ascii="宋体" w:hAnsi="宋体" w:eastAsia="宋体" w:cs="宋体"/>
          <w:sz w:val="24"/>
        </w:rPr>
        <w:t xml:space="preserve"> 年修订），</w:t>
      </w:r>
      <w:r>
        <w:rPr>
          <w:rFonts w:hint="eastAsia" w:ascii="宋体" w:hAnsi="宋体" w:eastAsia="宋体" w:cs="宋体"/>
          <w:sz w:val="24"/>
        </w:rPr>
        <w:t>报告期内本公司的净资产收益率和每股收益如下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220"/>
        <w:gridCol w:w="1760"/>
        <w:gridCol w:w="1760"/>
        <w:gridCol w:w="1760"/>
        <w:gridCol w:w="1760"/>
      </w:tblGrid>
      <w:tr>
        <w:trPr>
          <w:trHeight w:val="640" w:hRule="exact"/>
        </w:trPr>
        <w:tc>
          <w:tcPr>
            <w:tcW w:w="2220" w:type="dxa"/>
            <w:tcMar>
              <w:top w:w="0" w:type="dxa"/>
              <w:left w:w="0" w:type="dxa"/>
              <w:bottom w:w="0" w:type="dxa"/>
              <w:right w:w="0" w:type="dxa"/>
            </w:tcMar>
          </w:tcPr>
          <w:p>
            <w:pPr>
              <w:spacing w:before="160"/>
              <w:ind w:left="560"/>
            </w:pPr>
            <w:r>
              <w:rPr>
                <w:rFonts w:hint="eastAsia" w:ascii="宋体" w:hAnsi="宋体" w:eastAsia="宋体" w:cs="宋体"/>
                <w:b/>
                <w:sz w:val="21"/>
              </w:rPr>
              <w:t>报告期利润</w:t>
            </w:r>
          </w:p>
        </w:tc>
        <w:tc>
          <w:tcPr>
            <w:tcW w:w="1760" w:type="dxa"/>
            <w:tcMar>
              <w:top w:w="0" w:type="dxa"/>
              <w:left w:w="0" w:type="dxa"/>
              <w:bottom w:w="0" w:type="dxa"/>
              <w:right w:w="0" w:type="dxa"/>
            </w:tcMar>
          </w:tcPr>
          <w:p>
            <w:pPr>
              <w:spacing w:before="160"/>
              <w:ind w:left="440"/>
            </w:pPr>
            <w:r>
              <w:rPr>
                <w:rFonts w:hint="eastAsia" w:ascii="宋体" w:hAnsi="宋体" w:eastAsia="宋体" w:cs="宋体"/>
                <w:b/>
                <w:sz w:val="21"/>
              </w:rPr>
              <w:t>报告期间</w:t>
            </w:r>
          </w:p>
        </w:tc>
        <w:tc>
          <w:tcPr>
            <w:tcW w:w="1760" w:type="dxa"/>
            <w:tcMar>
              <w:top w:w="0" w:type="dxa"/>
              <w:left w:w="0" w:type="dxa"/>
              <w:bottom w:w="0" w:type="dxa"/>
              <w:right w:w="0" w:type="dxa"/>
            </w:tcMar>
          </w:tcPr>
          <w:p>
            <w:pPr>
              <w:spacing w:before="20"/>
              <w:ind w:left="120"/>
            </w:pPr>
            <w:r>
              <w:rPr>
                <w:rFonts w:hint="eastAsia" w:ascii="宋体" w:hAnsi="宋体" w:eastAsia="宋体" w:cs="宋体"/>
                <w:b/>
                <w:sz w:val="21"/>
              </w:rPr>
              <w:t>加权平均净资产</w:t>
            </w:r>
          </w:p>
          <w:p>
            <w:pPr>
              <w:spacing w:before="40"/>
              <w:ind w:left="540"/>
            </w:pPr>
            <w:r>
              <w:rPr>
                <w:rFonts w:hint="eastAsia" w:ascii="宋体" w:hAnsi="宋体" w:eastAsia="宋体" w:cs="宋体"/>
                <w:b/>
                <w:sz w:val="21"/>
              </w:rPr>
              <w:t>收益率</w:t>
            </w:r>
          </w:p>
        </w:tc>
        <w:tc>
          <w:tcPr>
            <w:tcW w:w="1760" w:type="dxa"/>
            <w:tcMar>
              <w:top w:w="0" w:type="dxa"/>
              <w:left w:w="0" w:type="dxa"/>
              <w:bottom w:w="0" w:type="dxa"/>
              <w:right w:w="0" w:type="dxa"/>
            </w:tcMar>
          </w:tcPr>
          <w:p>
            <w:pPr>
              <w:spacing w:before="20"/>
              <w:ind w:left="240"/>
            </w:pPr>
            <w:r>
              <w:rPr>
                <w:rFonts w:hint="eastAsia" w:ascii="宋体" w:hAnsi="宋体" w:eastAsia="宋体" w:cs="宋体"/>
                <w:b/>
                <w:sz w:val="21"/>
              </w:rPr>
              <w:t>基本每股收益</w:t>
            </w:r>
          </w:p>
          <w:p>
            <w:pPr>
              <w:spacing w:before="40"/>
              <w:ind w:left="420"/>
            </w:pPr>
            <w:r>
              <w:rPr>
                <w:rFonts w:hint="eastAsia" w:ascii="宋体" w:hAnsi="宋体" w:eastAsia="宋体" w:cs="宋体"/>
                <w:b/>
                <w:sz w:val="20"/>
              </w:rPr>
              <w:t>（</w:t>
            </w:r>
            <w:r>
              <w:rPr>
                <w:rFonts w:hint="eastAsia" w:ascii="宋体" w:hAnsi="宋体" w:eastAsia="宋体" w:cs="宋体"/>
                <w:b/>
                <w:sz w:val="21"/>
              </w:rPr>
              <w:t>元</w:t>
            </w:r>
            <w:r>
              <w:rPr>
                <w:rFonts w:hint="eastAsia" w:ascii="Times New Roman Bold" w:hAnsi="Times New Roman Bold" w:eastAsia="Times New Roman Bold" w:cs="Times New Roman Bold"/>
                <w:b/>
                <w:sz w:val="21"/>
              </w:rPr>
              <w:t>/</w:t>
            </w:r>
            <w:r>
              <w:rPr>
                <w:rFonts w:hint="eastAsia" w:ascii="宋体" w:hAnsi="宋体" w:eastAsia="宋体" w:cs="宋体"/>
                <w:b/>
                <w:sz w:val="21"/>
              </w:rPr>
              <w:t>股</w:t>
            </w:r>
            <w:r>
              <w:rPr>
                <w:rFonts w:hint="eastAsia" w:ascii="宋体" w:hAnsi="宋体" w:eastAsia="宋体" w:cs="宋体"/>
                <w:b/>
                <w:sz w:val="20"/>
              </w:rPr>
              <w:t>）</w:t>
            </w:r>
          </w:p>
        </w:tc>
        <w:tc>
          <w:tcPr>
            <w:tcW w:w="1760" w:type="dxa"/>
            <w:tcMar>
              <w:top w:w="0" w:type="dxa"/>
              <w:left w:w="0" w:type="dxa"/>
              <w:bottom w:w="0" w:type="dxa"/>
              <w:right w:w="0" w:type="dxa"/>
            </w:tcMar>
          </w:tcPr>
          <w:p>
            <w:pPr>
              <w:spacing w:before="20"/>
              <w:ind w:left="240"/>
            </w:pPr>
            <w:r>
              <w:rPr>
                <w:rFonts w:hint="eastAsia" w:ascii="宋体" w:hAnsi="宋体" w:eastAsia="宋体" w:cs="宋体"/>
                <w:b/>
                <w:sz w:val="21"/>
              </w:rPr>
              <w:t>稀释每股收益</w:t>
            </w:r>
          </w:p>
          <w:p>
            <w:pPr>
              <w:spacing w:before="40"/>
              <w:ind w:left="420"/>
            </w:pPr>
            <w:r>
              <w:rPr>
                <w:rFonts w:hint="eastAsia" w:ascii="宋体" w:hAnsi="宋体" w:eastAsia="宋体" w:cs="宋体"/>
                <w:b/>
                <w:sz w:val="20"/>
              </w:rPr>
              <w:t>（</w:t>
            </w:r>
            <w:r>
              <w:rPr>
                <w:rFonts w:hint="eastAsia" w:ascii="宋体" w:hAnsi="宋体" w:eastAsia="宋体" w:cs="宋体"/>
                <w:b/>
                <w:sz w:val="21"/>
              </w:rPr>
              <w:t>元</w:t>
            </w:r>
            <w:r>
              <w:rPr>
                <w:rFonts w:hint="eastAsia" w:ascii="Times New Roman Bold" w:hAnsi="Times New Roman Bold" w:eastAsia="Times New Roman Bold" w:cs="Times New Roman Bold"/>
                <w:b/>
                <w:sz w:val="21"/>
              </w:rPr>
              <w:t>/</w:t>
            </w:r>
            <w:r>
              <w:rPr>
                <w:rFonts w:hint="eastAsia" w:ascii="宋体" w:hAnsi="宋体" w:eastAsia="宋体" w:cs="宋体"/>
                <w:b/>
                <w:sz w:val="21"/>
              </w:rPr>
              <w:t>股</w:t>
            </w:r>
            <w:r>
              <w:rPr>
                <w:rFonts w:hint="eastAsia" w:ascii="宋体" w:hAnsi="宋体" w:eastAsia="宋体" w:cs="宋体"/>
                <w:b/>
                <w:sz w:val="20"/>
              </w:rPr>
              <w:t>）</w:t>
            </w:r>
          </w:p>
        </w:tc>
      </w:tr>
      <w:tr>
        <w:trPr>
          <w:trHeight w:val="2020" w:hRule="exact"/>
        </w:trPr>
        <w:tc>
          <w:tcPr>
            <w:tcW w:w="2220" w:type="dxa"/>
            <w:tcMar>
              <w:top w:w="0" w:type="dxa"/>
              <w:left w:w="0" w:type="dxa"/>
              <w:bottom w:w="0" w:type="dxa"/>
              <w:right w:w="0" w:type="dxa"/>
            </w:tcMar>
          </w:tcPr>
          <w:p>
            <w:pPr>
              <w:spacing w:before="700"/>
              <w:ind w:left="140"/>
            </w:pPr>
            <w:r>
              <w:rPr>
                <w:rFonts w:hint="eastAsia" w:ascii="宋体" w:hAnsi="宋体" w:eastAsia="宋体" w:cs="宋体"/>
                <w:sz w:val="21"/>
              </w:rPr>
              <w:t>归属于公司股东的净</w:t>
            </w:r>
          </w:p>
          <w:p>
            <w:pPr>
              <w:spacing w:before="60"/>
              <w:ind w:left="880"/>
            </w:pPr>
            <w:r>
              <w:rPr>
                <w:rFonts w:hint="eastAsia" w:ascii="宋体" w:hAnsi="宋体" w:eastAsia="宋体" w:cs="宋体"/>
                <w:sz w:val="21"/>
              </w:rPr>
              <w:t>利润</w:t>
            </w:r>
          </w:p>
        </w:tc>
        <w:tc>
          <w:tcPr>
            <w:tcW w:w="1760" w:type="dxa"/>
            <w:tcMar>
              <w:top w:w="0" w:type="dxa"/>
              <w:left w:w="0" w:type="dxa"/>
              <w:bottom w:w="0" w:type="dxa"/>
              <w:right w:w="0" w:type="dxa"/>
            </w:tcMar>
          </w:tcPr>
          <w:p>
            <w:pPr>
              <w:spacing w:before="200"/>
              <w:ind w:left="420"/>
            </w:pPr>
            <w:r>
              <w:rPr>
                <w:rFonts w:hint="eastAsia" w:ascii="Times New Roman" w:hAnsi="Times New Roman" w:eastAsia="Times New Roman" w:cs="Times New Roman"/>
                <w:sz w:val="21"/>
              </w:rPr>
              <w:t>2016</w:t>
            </w:r>
            <w:r>
              <w:rPr>
                <w:rFonts w:hint="eastAsia" w:ascii="宋体" w:hAnsi="宋体" w:eastAsia="宋体" w:cs="宋体"/>
                <w:sz w:val="21"/>
              </w:rPr>
              <w:t xml:space="preserve"> 年度</w:t>
            </w:r>
          </w:p>
          <w:p>
            <w:pPr>
              <w:spacing w:before="440"/>
              <w:ind w:left="420"/>
            </w:pPr>
            <w:r>
              <w:rPr>
                <w:rFonts w:hint="eastAsia" w:ascii="Times New Roman" w:hAnsi="Times New Roman" w:eastAsia="Times New Roman" w:cs="Times New Roman"/>
                <w:sz w:val="21"/>
              </w:rPr>
              <w:t>2015</w:t>
            </w:r>
            <w:r>
              <w:rPr>
                <w:rFonts w:hint="eastAsia" w:ascii="宋体" w:hAnsi="宋体" w:eastAsia="宋体" w:cs="宋体"/>
                <w:sz w:val="21"/>
              </w:rPr>
              <w:t xml:space="preserve"> 年度</w:t>
            </w:r>
          </w:p>
          <w:p>
            <w:pPr>
              <w:spacing w:before="420"/>
              <w:ind w:left="420"/>
            </w:pPr>
            <w:r>
              <w:rPr>
                <w:rFonts w:hint="eastAsia" w:ascii="Times New Roman" w:hAnsi="Times New Roman" w:eastAsia="Times New Roman" w:cs="Times New Roman"/>
                <w:sz w:val="21"/>
              </w:rPr>
              <w:t>2014</w:t>
            </w:r>
            <w:r>
              <w:rPr>
                <w:rFonts w:hint="eastAsia" w:ascii="宋体" w:hAnsi="宋体" w:eastAsia="宋体" w:cs="宋体"/>
                <w:sz w:val="21"/>
              </w:rPr>
              <w:t xml:space="preserve"> 年度</w:t>
            </w:r>
          </w:p>
        </w:tc>
        <w:tc>
          <w:tcPr>
            <w:tcW w:w="176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p>
          <w:p>
            <w:pPr>
              <w:spacing w:before="480"/>
              <w:ind w:left="54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r>
              <w:rPr>
                <w:rFonts w:hint="eastAsia" w:ascii="Times New Roman" w:hAnsi="Times New Roman" w:eastAsia="Times New Roman" w:cs="Times New Roman"/>
                <w:sz w:val="20"/>
              </w:rPr>
              <w:t>%</w:t>
            </w:r>
          </w:p>
          <w:p>
            <w:pPr>
              <w:spacing w:before="460"/>
              <w:ind w:left="54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c>
          <w:tcPr>
            <w:tcW w:w="1760" w:type="dxa"/>
            <w:tcMar>
              <w:top w:w="0" w:type="dxa"/>
              <w:left w:w="0" w:type="dxa"/>
              <w:bottom w:w="0" w:type="dxa"/>
              <w:right w:w="0" w:type="dxa"/>
            </w:tcMar>
          </w:tcPr>
          <w:p>
            <w:pPr>
              <w:spacing w:before="26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p>
            <w:pPr>
              <w:spacing w:before="48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p>
            <w:pPr>
              <w:spacing w:before="46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1760" w:type="dxa"/>
            <w:tcMar>
              <w:top w:w="0" w:type="dxa"/>
              <w:left w:w="0" w:type="dxa"/>
              <w:bottom w:w="0" w:type="dxa"/>
              <w:right w:w="0" w:type="dxa"/>
            </w:tcMar>
          </w:tcPr>
          <w:p>
            <w:pPr>
              <w:spacing w:before="26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p>
            <w:pPr>
              <w:spacing w:before="48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p>
            <w:pPr>
              <w:spacing w:before="46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r>
      <w:tr>
        <w:trPr>
          <w:trHeight w:val="560" w:hRule="exact"/>
        </w:trPr>
        <w:tc>
          <w:tcPr>
            <w:tcW w:w="2220" w:type="dxa"/>
            <w:vMerge w:val="restart"/>
            <w:tcMar>
              <w:top w:w="0" w:type="dxa"/>
              <w:left w:w="0" w:type="dxa"/>
              <w:bottom w:w="0" w:type="dxa"/>
              <w:right w:w="0" w:type="dxa"/>
            </w:tcMar>
          </w:tcPr>
          <w:p>
            <w:pPr>
              <w:spacing w:before="500"/>
              <w:ind w:left="140"/>
            </w:pPr>
            <w:r>
              <w:rPr>
                <w:rFonts w:hint="eastAsia" w:ascii="宋体" w:hAnsi="宋体" w:eastAsia="宋体" w:cs="宋体"/>
                <w:sz w:val="21"/>
              </w:rPr>
              <w:t>扣除非经常性损益后</w:t>
            </w:r>
          </w:p>
          <w:p>
            <w:pPr>
              <w:spacing w:before="60"/>
              <w:ind w:left="140"/>
            </w:pPr>
            <w:r>
              <w:rPr>
                <w:rFonts w:hint="eastAsia" w:ascii="宋体" w:hAnsi="宋体" w:eastAsia="宋体" w:cs="宋体"/>
                <w:sz w:val="21"/>
              </w:rPr>
              <w:t>归属于公司股东的净</w:t>
            </w:r>
          </w:p>
          <w:p>
            <w:pPr>
              <w:spacing w:before="60"/>
              <w:ind w:left="880"/>
            </w:pPr>
            <w:r>
              <w:rPr>
                <w:rFonts w:hint="eastAsia" w:ascii="宋体" w:hAnsi="宋体" w:eastAsia="宋体" w:cs="宋体"/>
                <w:sz w:val="21"/>
              </w:rPr>
              <w:t>利润</w:t>
            </w:r>
          </w:p>
        </w:tc>
        <w:tc>
          <w:tcPr>
            <w:tcW w:w="1760" w:type="dxa"/>
            <w:tcMar>
              <w:top w:w="0" w:type="dxa"/>
              <w:left w:w="0" w:type="dxa"/>
              <w:bottom w:w="0" w:type="dxa"/>
              <w:right w:w="0" w:type="dxa"/>
            </w:tcMar>
          </w:tcPr>
          <w:p>
            <w:pPr>
              <w:spacing w:before="120"/>
              <w:ind w:left="420"/>
            </w:pPr>
            <w:r>
              <w:rPr>
                <w:rFonts w:hint="eastAsia" w:ascii="Times New Roman" w:hAnsi="Times New Roman" w:eastAsia="Times New Roman" w:cs="Times New Roman"/>
                <w:sz w:val="21"/>
              </w:rPr>
              <w:t>2016</w:t>
            </w:r>
            <w:r>
              <w:rPr>
                <w:rFonts w:hint="eastAsia" w:ascii="宋体" w:hAnsi="宋体" w:eastAsia="宋体" w:cs="宋体"/>
                <w:sz w:val="21"/>
              </w:rPr>
              <w:t xml:space="preserve"> 年度</w:t>
            </w:r>
          </w:p>
        </w:tc>
        <w:tc>
          <w:tcPr>
            <w:tcW w:w="176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p>
        </w:tc>
        <w:tc>
          <w:tcPr>
            <w:tcW w:w="1760" w:type="dxa"/>
            <w:tcMar>
              <w:top w:w="0" w:type="dxa"/>
              <w:left w:w="0" w:type="dxa"/>
              <w:bottom w:w="0" w:type="dxa"/>
              <w:right w:w="0" w:type="dxa"/>
            </w:tcMar>
          </w:tcPr>
          <w:p>
            <w:pPr>
              <w:spacing w:before="18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c>
          <w:tcPr>
            <w:tcW w:w="1760" w:type="dxa"/>
            <w:tcMar>
              <w:top w:w="0" w:type="dxa"/>
              <w:left w:w="0" w:type="dxa"/>
              <w:bottom w:w="0" w:type="dxa"/>
              <w:right w:w="0" w:type="dxa"/>
            </w:tcMar>
          </w:tcPr>
          <w:p>
            <w:pPr>
              <w:spacing w:before="18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r>
      <w:tr>
        <w:trPr>
          <w:trHeight w:val="1280" w:hRule="exact"/>
        </w:trPr>
        <w:tc>
          <w:tcPr>
            <w:tcW w:w="2220" w:type="dxa"/>
            <w:vMerge w:val="continue"/>
            <w:tcMar>
              <w:top w:w="0" w:type="dxa"/>
              <w:left w:w="0" w:type="dxa"/>
              <w:bottom w:w="0" w:type="dxa"/>
              <w:right w:w="0" w:type="dxa"/>
            </w:tcMar>
          </w:tcPr>
          <w:p/>
        </w:tc>
        <w:tc>
          <w:tcPr>
            <w:tcW w:w="1760" w:type="dxa"/>
            <w:tcMar>
              <w:top w:w="0" w:type="dxa"/>
              <w:left w:w="0" w:type="dxa"/>
              <w:bottom w:w="0" w:type="dxa"/>
              <w:right w:w="0" w:type="dxa"/>
            </w:tcMar>
          </w:tcPr>
          <w:p>
            <w:pPr>
              <w:spacing w:before="200"/>
              <w:ind w:left="420"/>
            </w:pPr>
            <w:r>
              <w:rPr>
                <w:rFonts w:hint="eastAsia" w:ascii="Times New Roman" w:hAnsi="Times New Roman" w:eastAsia="Times New Roman" w:cs="Times New Roman"/>
                <w:sz w:val="21"/>
              </w:rPr>
              <w:t>2015</w:t>
            </w:r>
            <w:r>
              <w:rPr>
                <w:rFonts w:hint="eastAsia" w:ascii="宋体" w:hAnsi="宋体" w:eastAsia="宋体" w:cs="宋体"/>
                <w:sz w:val="21"/>
              </w:rPr>
              <w:t xml:space="preserve"> 年度</w:t>
            </w:r>
          </w:p>
          <w:p>
            <w:pPr>
              <w:spacing w:before="440"/>
              <w:ind w:left="420"/>
            </w:pPr>
            <w:r>
              <w:rPr>
                <w:rFonts w:hint="eastAsia" w:ascii="Times New Roman" w:hAnsi="Times New Roman" w:eastAsia="Times New Roman" w:cs="Times New Roman"/>
                <w:sz w:val="21"/>
              </w:rPr>
              <w:t>2014</w:t>
            </w:r>
            <w:r>
              <w:rPr>
                <w:rFonts w:hint="eastAsia" w:ascii="宋体" w:hAnsi="宋体" w:eastAsia="宋体" w:cs="宋体"/>
                <w:sz w:val="21"/>
              </w:rPr>
              <w:t xml:space="preserve"> 年度</w:t>
            </w:r>
          </w:p>
        </w:tc>
        <w:tc>
          <w:tcPr>
            <w:tcW w:w="176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p>
          <w:p>
            <w:pPr>
              <w:spacing w:before="480"/>
              <w:ind w:left="54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r>
              <w:rPr>
                <w:rFonts w:hint="eastAsia" w:ascii="Times New Roman" w:hAnsi="Times New Roman" w:eastAsia="Times New Roman" w:cs="Times New Roman"/>
                <w:sz w:val="20"/>
              </w:rPr>
              <w:t>%</w:t>
            </w:r>
          </w:p>
        </w:tc>
        <w:tc>
          <w:tcPr>
            <w:tcW w:w="1760" w:type="dxa"/>
            <w:tcMar>
              <w:top w:w="0" w:type="dxa"/>
              <w:left w:w="0" w:type="dxa"/>
              <w:bottom w:w="0" w:type="dxa"/>
              <w:right w:w="0" w:type="dxa"/>
            </w:tcMar>
          </w:tcPr>
          <w:p>
            <w:pPr>
              <w:spacing w:before="26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p>
            <w:pPr>
              <w:spacing w:before="48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c>
          <w:tcPr>
            <w:tcW w:w="1760" w:type="dxa"/>
            <w:tcMar>
              <w:top w:w="0" w:type="dxa"/>
              <w:left w:w="0" w:type="dxa"/>
              <w:bottom w:w="0" w:type="dxa"/>
              <w:right w:w="0" w:type="dxa"/>
            </w:tcMar>
          </w:tcPr>
          <w:p>
            <w:pPr>
              <w:spacing w:before="26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p>
            <w:pPr>
              <w:spacing w:before="480"/>
              <w:ind w:left="6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p>
        </w:tc>
      </w:tr>
    </w:tbl>
    <w:p>
      <w:pPr>
        <w:autoSpaceDE w:val="false"/>
        <w:autoSpaceDN w:val="false"/>
        <w:spacing w:line="420" w:lineRule="exact"/>
        <w:ind w:left="1860"/>
        <w:jc w:val="both"/>
      </w:pPr>
      <w:r>
        <w:rPr>
          <w:rFonts w:hint="eastAsia" w:ascii="宋体" w:hAnsi="宋体" w:eastAsia="宋体" w:cs="宋体"/>
          <w:sz w:val="21"/>
        </w:rPr>
        <w:t>每股收益和净资产收益率的计算公式为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60"/>
        <w:jc w:val="both"/>
      </w:pPr>
      <w:r>
        <w:rPr>
          <w:rFonts w:hint="eastAsia" w:ascii="Times New Roman" w:hAnsi="Times New Roman" w:eastAsia="Times New Roman" w:cs="Times New Roman"/>
          <w:sz w:val="21"/>
        </w:rPr>
        <w:t>1</w:t>
      </w:r>
      <w:r>
        <w:rPr>
          <w:rFonts w:hint="eastAsia" w:ascii="宋体" w:hAnsi="宋体" w:eastAsia="宋体" w:cs="宋体"/>
          <w:sz w:val="10"/>
        </w:rPr>
        <w:t>、</w:t>
      </w:r>
      <w:r>
        <w:rPr>
          <w:rFonts w:hint="eastAsia" w:ascii="宋体" w:hAnsi="宋体" w:eastAsia="宋体" w:cs="宋体"/>
          <w:sz w:val="21"/>
        </w:rPr>
        <w:t>加权平均净资产收益率的计算公式如下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80" w:lineRule="exact"/>
        <w:ind w:left="1860"/>
        <w:jc w:val="both"/>
      </w:pPr>
      <w:r>
        <w:rPr>
          <w:rFonts w:hint="eastAsia" w:ascii="宋体" w:hAnsi="宋体" w:eastAsia="宋体" w:cs="宋体"/>
          <w:sz w:val="21"/>
        </w:rPr>
        <w:t>加权平均净资产收益率</w:t>
      </w:r>
      <w:r>
        <w:rPr>
          <w:rFonts w:hint="eastAsia" w:ascii="Times New Roman" w:hAnsi="Times New Roman" w:eastAsia="Times New Roman" w:cs="Times New Roman"/>
          <w:sz w:val="21"/>
        </w:rPr>
        <w:t>=P</w:t>
      </w:r>
      <w:r>
        <w:rPr>
          <w:rFonts w:hint="eastAsia" w:ascii="Times New Roman" w:hAnsi="Times New Roman" w:eastAsia="Times New Roman" w:cs="Times New Roman"/>
          <w:sz w:val="13"/>
        </w:rPr>
        <w:t>0</w:t>
      </w:r>
      <w:r>
        <w:rPr>
          <w:rFonts w:hint="eastAsia" w:ascii="Times New Roman" w:hAnsi="Times New Roman" w:eastAsia="Times New Roman" w:cs="Times New Roman"/>
          <w:sz w:val="21"/>
        </w:rPr>
        <w:t>/</w:t>
      </w:r>
      <w:r>
        <w:rPr>
          <w:rFonts w:hint="eastAsia" w:ascii="宋体" w:hAnsi="宋体" w:eastAsia="宋体" w:cs="宋体"/>
          <w:sz w:val="20"/>
        </w:rPr>
        <w:t>（</w:t>
      </w:r>
      <w:r>
        <w:rPr>
          <w:rFonts w:hint="eastAsia" w:ascii="Times New Roman" w:hAnsi="Times New Roman" w:eastAsia="Times New Roman" w:cs="Times New Roman"/>
          <w:sz w:val="21"/>
        </w:rPr>
        <w:t>E</w:t>
      </w:r>
      <w:r>
        <w:rPr>
          <w:rFonts w:hint="eastAsia" w:ascii="Times New Roman" w:hAnsi="Times New Roman" w:eastAsia="Times New Roman" w:cs="Times New Roman"/>
          <w:sz w:val="13"/>
        </w:rPr>
        <w:t>0</w:t>
      </w:r>
      <w:r>
        <w:rPr>
          <w:rFonts w:hint="eastAsia" w:ascii="宋体" w:hAnsi="宋体" w:eastAsia="宋体" w:cs="宋体"/>
          <w:sz w:val="21"/>
        </w:rPr>
        <w:t>＋</w:t>
      </w:r>
      <w:r>
        <w:rPr>
          <w:rFonts w:hint="eastAsia" w:ascii="Times New Roman" w:hAnsi="Times New Roman" w:eastAsia="Times New Roman" w:cs="Times New Roman"/>
          <w:sz w:val="21"/>
        </w:rPr>
        <w:t>NP</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2</w:t>
      </w:r>
      <w:r>
        <w:rPr>
          <w:rFonts w:hint="eastAsia" w:ascii="宋体" w:hAnsi="宋体" w:eastAsia="宋体" w:cs="宋体"/>
          <w:sz w:val="21"/>
        </w:rPr>
        <w:t>＋</w:t>
      </w:r>
      <w:r>
        <w:rPr>
          <w:rFonts w:hint="eastAsia" w:ascii="Times New Roman" w:hAnsi="Times New Roman" w:eastAsia="Times New Roman" w:cs="Times New Roman"/>
          <w:sz w:val="21"/>
        </w:rPr>
        <w:t>Ei</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Mi</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w:t>
      </w:r>
      <w:r>
        <w:rPr>
          <w:rFonts w:hint="eastAsia" w:ascii="Times New Roman" w:hAnsi="Times New Roman" w:eastAsia="Times New Roman" w:cs="Times New Roman"/>
          <w:sz w:val="13"/>
        </w:rPr>
        <w:t>0</w:t>
      </w:r>
      <w:r>
        <w:rPr>
          <w:rFonts w:hint="eastAsia" w:ascii="Times New Roman" w:hAnsi="Times New Roman" w:eastAsia="Times New Roman" w:cs="Times New Roman"/>
          <w:sz w:val="21"/>
        </w:rPr>
        <w:t>–</w:t>
      </w:r>
      <w:r>
        <w:rPr>
          <w:rFonts w:hint="eastAsia" w:ascii="Times New Roman" w:hAnsi="Times New Roman" w:eastAsia="Times New Roman" w:cs="Times New Roman"/>
          <w:sz w:val="21"/>
        </w:rPr>
        <w:t>Ej</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Mj</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w:t>
      </w:r>
      <w:r>
        <w:rPr>
          <w:rFonts w:hint="eastAsia" w:ascii="Times New Roman" w:hAnsi="Times New Roman" w:eastAsia="Times New Roman" w:cs="Times New Roman"/>
          <w:sz w:val="13"/>
        </w:rPr>
        <w:t>0</w:t>
      </w:r>
      <w:r>
        <w:rPr>
          <w:rFonts w:hint="eastAsia" w:ascii="Times New Roman" w:hAnsi="Times New Roman" w:eastAsia="Times New Roman" w:cs="Times New Roman"/>
          <w:sz w:val="21"/>
        </w:rPr>
        <w:t>±Ek</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Mk</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w:t>
      </w:r>
      <w:r>
        <w:rPr>
          <w:rFonts w:hint="eastAsia" w:ascii="Times New Roman" w:hAnsi="Times New Roman" w:eastAsia="Times New Roman" w:cs="Times New Roman"/>
          <w:sz w:val="13"/>
        </w:rPr>
        <w:t>0</w:t>
      </w:r>
      <w:r>
        <w:rPr>
          <w:rFonts w:hint="eastAsia" w:ascii="宋体" w:hAnsi="宋体" w:eastAsia="宋体" w:cs="宋体"/>
          <w:sz w:val="13"/>
          <w:vertAlign w:val="superscript"/>
        </w:rPr>
        <w:t>）</w:t>
      </w:r>
    </w:p>
    <w:p>
      <w:pPr>
        <w:spacing w:line="200" w:lineRule="exact"/>
        <w:rPr>
          <w:rFonts w:hint="eastAsia" w:ascii="宋体" w:hAnsi="宋体" w:eastAsia="宋体" w:cs="宋体"/>
          <w:sz w:val="20"/>
        </w:rPr>
      </w:pPr>
    </w:p>
    <w:p>
      <w:pPr>
        <w:autoSpaceDE w:val="false"/>
        <w:autoSpaceDN w:val="false"/>
        <w:spacing w:line="380" w:lineRule="exact"/>
        <w:ind w:left="1440" w:right="1240" w:firstLine="420"/>
        <w:jc w:val="both"/>
      </w:pPr>
      <w:r>
        <w:rPr>
          <w:rFonts w:hint="eastAsia" w:ascii="宋体" w:hAnsi="宋体" w:eastAsia="宋体" w:cs="宋体"/>
          <w:sz w:val="21"/>
        </w:rPr>
        <w:t>其中</w:t>
      </w:r>
      <w:r>
        <w:rPr>
          <w:rFonts w:hint="eastAsia" w:ascii="宋体" w:hAnsi="宋体" w:eastAsia="宋体" w:cs="宋体"/>
          <w:sz w:val="10"/>
        </w:rPr>
        <w:t>：</w:t>
      </w:r>
      <w:r>
        <w:rPr>
          <w:rFonts w:hint="eastAsia" w:ascii="Times New Roman" w:hAnsi="Times New Roman" w:eastAsia="Times New Roman" w:cs="Times New Roman"/>
          <w:sz w:val="21"/>
        </w:rPr>
        <w:t>P</w:t>
      </w:r>
      <w:r>
        <w:rPr>
          <w:rFonts w:hint="eastAsia" w:ascii="Times New Roman" w:hAnsi="Times New Roman" w:eastAsia="Times New Roman" w:cs="Times New Roman"/>
          <w:sz w:val="13"/>
        </w:rPr>
        <w:t>0</w:t>
      </w:r>
      <w:r>
        <w:rPr>
          <w:rFonts w:hint="eastAsia" w:ascii="宋体" w:hAnsi="宋体" w:eastAsia="宋体" w:cs="宋体"/>
          <w:sz w:val="21"/>
        </w:rPr>
        <w:t>分别对应于归属于公司普通股股东的净利润</w:t>
      </w:r>
      <w:r>
        <w:rPr>
          <w:rFonts w:hint="eastAsia" w:ascii="宋体" w:hAnsi="宋体" w:eastAsia="宋体" w:cs="宋体"/>
          <w:sz w:val="10"/>
        </w:rPr>
        <w:t>、</w:t>
      </w:r>
      <w:r>
        <w:rPr>
          <w:rFonts w:hint="eastAsia" w:ascii="宋体" w:hAnsi="宋体" w:eastAsia="宋体" w:cs="宋体"/>
          <w:sz w:val="21"/>
        </w:rPr>
        <w:t>扣除非经常性损益后归属于公司普通股股东的净利润</w:t>
      </w:r>
      <w:r>
        <w:rPr>
          <w:rFonts w:hint="eastAsia" w:ascii="宋体" w:hAnsi="宋体" w:eastAsia="宋体" w:cs="宋体"/>
          <w:sz w:val="10"/>
        </w:rPr>
        <w:t>；</w:t>
      </w:r>
      <w:r>
        <w:rPr>
          <w:rFonts w:hint="eastAsia" w:ascii="Times New Roman" w:hAnsi="Times New Roman" w:eastAsia="Times New Roman" w:cs="Times New Roman"/>
          <w:sz w:val="21"/>
        </w:rPr>
        <w:t>NP</w:t>
      </w:r>
      <w:r>
        <w:rPr>
          <w:rFonts w:hint="eastAsia" w:ascii="宋体" w:hAnsi="宋体" w:eastAsia="宋体" w:cs="宋体"/>
          <w:sz w:val="21"/>
        </w:rPr>
        <w:t>为归属于公司普通股股东的净利润</w:t>
      </w:r>
      <w:r>
        <w:rPr>
          <w:rFonts w:hint="eastAsia" w:ascii="宋体" w:hAnsi="宋体" w:eastAsia="宋体" w:cs="宋体"/>
          <w:sz w:val="10"/>
        </w:rPr>
        <w:t>；</w:t>
      </w:r>
      <w:r>
        <w:rPr>
          <w:rFonts w:hint="eastAsia" w:ascii="Times New Roman" w:hAnsi="Times New Roman" w:eastAsia="Times New Roman" w:cs="Times New Roman"/>
          <w:sz w:val="21"/>
        </w:rPr>
        <w:t>E</w:t>
      </w:r>
      <w:r>
        <w:rPr>
          <w:rFonts w:hint="eastAsia" w:ascii="Times New Roman" w:hAnsi="Times New Roman" w:eastAsia="Times New Roman" w:cs="Times New Roman"/>
          <w:sz w:val="13"/>
        </w:rPr>
        <w:t>0</w:t>
      </w:r>
      <w:r>
        <w:rPr>
          <w:rFonts w:hint="eastAsia" w:ascii="宋体" w:hAnsi="宋体" w:eastAsia="宋体" w:cs="宋体"/>
          <w:sz w:val="21"/>
        </w:rPr>
        <w:t>为归属于公司普通股股东的期初净资产</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1-1-251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00" w:lineRule="exact"/>
        <w:ind w:left="1440" w:right="1200"/>
        <w:jc w:val="both"/>
      </w:pPr>
      <w:r>
        <w:rPr>
          <w:rFonts w:hint="eastAsia" w:ascii="Times New Roman" w:hAnsi="Times New Roman" w:eastAsia="Times New Roman" w:cs="Times New Roman"/>
          <w:sz w:val="21"/>
        </w:rPr>
        <w:t>Ei</w:t>
      </w:r>
      <w:r>
        <w:rPr>
          <w:rFonts w:hint="eastAsia" w:ascii="宋体" w:hAnsi="宋体" w:eastAsia="宋体" w:cs="宋体"/>
          <w:sz w:val="21"/>
        </w:rPr>
        <w:t>为报告期发行新股或债转股等新增的</w:t>
      </w:r>
      <w:r>
        <w:rPr>
          <w:rFonts w:hint="eastAsia" w:ascii="宋体" w:hAnsi="宋体" w:eastAsia="宋体" w:cs="宋体"/>
          <w:sz w:val="10"/>
        </w:rPr>
        <w:t>、</w:t>
      </w:r>
      <w:r>
        <w:rPr>
          <w:rFonts w:hint="eastAsia" w:ascii="宋体" w:hAnsi="宋体" w:eastAsia="宋体" w:cs="宋体"/>
          <w:sz w:val="21"/>
        </w:rPr>
        <w:t>归属于公司普通股股东的净资产</w:t>
      </w:r>
      <w:r>
        <w:rPr>
          <w:rFonts w:hint="eastAsia" w:ascii="宋体" w:hAnsi="宋体" w:eastAsia="宋体" w:cs="宋体"/>
          <w:sz w:val="12"/>
        </w:rPr>
        <w:t>；</w:t>
      </w:r>
      <w:r>
        <w:rPr>
          <w:rFonts w:hint="eastAsia" w:ascii="Times New Roman" w:hAnsi="Times New Roman" w:eastAsia="Times New Roman" w:cs="Times New Roman"/>
          <w:sz w:val="21"/>
        </w:rPr>
        <w:t>Ej</w:t>
      </w:r>
      <w:r>
        <w:rPr>
          <w:rFonts w:hint="eastAsia" w:ascii="宋体" w:hAnsi="宋体" w:eastAsia="宋体" w:cs="宋体"/>
          <w:sz w:val="21"/>
        </w:rPr>
        <w:t>为报告期回购或现金分红等减少的</w:t>
      </w:r>
      <w:r>
        <w:rPr>
          <w:rFonts w:hint="eastAsia" w:ascii="宋体" w:hAnsi="宋体" w:eastAsia="宋体" w:cs="宋体"/>
          <w:sz w:val="10"/>
        </w:rPr>
        <w:t>、</w:t>
      </w:r>
      <w:r>
        <w:rPr>
          <w:rFonts w:hint="eastAsia" w:ascii="宋体" w:hAnsi="宋体" w:eastAsia="宋体" w:cs="宋体"/>
          <w:sz w:val="21"/>
        </w:rPr>
        <w:t>归属于公司普通股股东的净资产</w:t>
      </w:r>
      <w:r>
        <w:rPr>
          <w:rFonts w:hint="eastAsia" w:ascii="宋体" w:hAnsi="宋体" w:eastAsia="宋体" w:cs="宋体"/>
          <w:sz w:val="12"/>
        </w:rPr>
        <w:t>；</w:t>
      </w:r>
      <w:r>
        <w:rPr>
          <w:rFonts w:hint="eastAsia" w:ascii="Times New Roman" w:hAnsi="Times New Roman" w:eastAsia="Times New Roman" w:cs="Times New Roman"/>
          <w:sz w:val="21"/>
        </w:rPr>
        <w:t>M</w:t>
      </w:r>
      <w:r>
        <w:rPr>
          <w:rFonts w:hint="eastAsia" w:ascii="Times New Roman" w:hAnsi="Times New Roman" w:eastAsia="Times New Roman" w:cs="Times New Roman"/>
          <w:sz w:val="13"/>
        </w:rPr>
        <w:t>0</w:t>
      </w:r>
      <w:r>
        <w:rPr>
          <w:rFonts w:hint="eastAsia" w:ascii="宋体" w:hAnsi="宋体" w:eastAsia="宋体" w:cs="宋体"/>
          <w:sz w:val="21"/>
        </w:rPr>
        <w:t>为报告期月份数</w:t>
      </w:r>
      <w:r>
        <w:rPr>
          <w:rFonts w:hint="eastAsia" w:ascii="宋体" w:hAnsi="宋体" w:eastAsia="宋体" w:cs="宋体"/>
          <w:sz w:val="12"/>
        </w:rPr>
        <w:t>；</w:t>
      </w:r>
      <w:r>
        <w:rPr>
          <w:rFonts w:hint="eastAsia" w:ascii="Times New Roman" w:hAnsi="Times New Roman" w:eastAsia="Times New Roman" w:cs="Times New Roman"/>
          <w:sz w:val="21"/>
        </w:rPr>
        <w:t>Mi</w:t>
      </w:r>
      <w:r>
        <w:rPr>
          <w:rFonts w:hint="eastAsia" w:ascii="宋体" w:hAnsi="宋体" w:eastAsia="宋体" w:cs="宋体"/>
          <w:sz w:val="21"/>
        </w:rPr>
        <w:t>为新增净资产次月起至报告期期末的累计月数</w:t>
      </w:r>
      <w:r>
        <w:rPr>
          <w:rFonts w:hint="eastAsia" w:ascii="宋体" w:hAnsi="宋体" w:eastAsia="宋体" w:cs="宋体"/>
          <w:sz w:val="12"/>
        </w:rPr>
        <w:t>；</w:t>
      </w:r>
      <w:r>
        <w:rPr>
          <w:rFonts w:hint="eastAsia" w:ascii="Times New Roman" w:hAnsi="Times New Roman" w:eastAsia="Times New Roman" w:cs="Times New Roman"/>
          <w:sz w:val="21"/>
        </w:rPr>
        <w:t>Mj</w:t>
      </w:r>
      <w:r>
        <w:rPr>
          <w:rFonts w:hint="eastAsia" w:ascii="宋体" w:hAnsi="宋体" w:eastAsia="宋体" w:cs="宋体"/>
          <w:sz w:val="21"/>
        </w:rPr>
        <w:t>为减少净资产次月起至报告期期末的累计月数</w:t>
      </w:r>
      <w:r>
        <w:rPr>
          <w:rFonts w:hint="eastAsia" w:ascii="宋体" w:hAnsi="宋体" w:eastAsia="宋体" w:cs="宋体"/>
          <w:sz w:val="12"/>
        </w:rPr>
        <w:t>；</w:t>
      </w:r>
      <w:r>
        <w:rPr>
          <w:rFonts w:hint="eastAsia" w:ascii="Times New Roman" w:hAnsi="Times New Roman" w:eastAsia="Times New Roman" w:cs="Times New Roman"/>
          <w:sz w:val="21"/>
        </w:rPr>
        <w:t>Ek</w:t>
      </w:r>
      <w:r>
        <w:rPr>
          <w:rFonts w:hint="eastAsia" w:ascii="宋体" w:hAnsi="宋体" w:eastAsia="宋体" w:cs="宋体"/>
          <w:sz w:val="21"/>
        </w:rPr>
        <w:t>为因其他交易或事项引起的</w:t>
      </w:r>
      <w:r>
        <w:rPr>
          <w:rFonts w:hint="eastAsia" w:ascii="宋体" w:hAnsi="宋体" w:eastAsia="宋体" w:cs="宋体"/>
          <w:sz w:val="10"/>
        </w:rPr>
        <w:t>、</w:t>
      </w:r>
      <w:r>
        <w:rPr>
          <w:rFonts w:hint="eastAsia" w:ascii="宋体" w:hAnsi="宋体" w:eastAsia="宋体" w:cs="宋体"/>
          <w:sz w:val="21"/>
        </w:rPr>
        <w:t>归属于公司普通股股东的净资产增减变动</w:t>
      </w:r>
      <w:r>
        <w:rPr>
          <w:rFonts w:hint="eastAsia" w:ascii="宋体" w:hAnsi="宋体" w:eastAsia="宋体" w:cs="宋体"/>
          <w:sz w:val="10"/>
        </w:rPr>
        <w:t>；</w:t>
      </w:r>
      <w:r>
        <w:rPr>
          <w:rFonts w:hint="eastAsia" w:ascii="Times New Roman" w:hAnsi="Times New Roman" w:eastAsia="Times New Roman" w:cs="Times New Roman"/>
          <w:sz w:val="21"/>
        </w:rPr>
        <w:t>Mk</w:t>
      </w:r>
      <w:r>
        <w:rPr>
          <w:rFonts w:hint="eastAsia" w:ascii="宋体" w:hAnsi="宋体" w:eastAsia="宋体" w:cs="宋体"/>
          <w:sz w:val="21"/>
        </w:rPr>
        <w:t>为发生其他净资产增减变动次月起至报告期期末的累计月数</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right="1220" w:firstLine="420"/>
        <w:jc w:val="both"/>
      </w:pPr>
      <w:r>
        <w:rPr>
          <w:rFonts w:hint="eastAsia" w:ascii="宋体" w:hAnsi="宋体" w:eastAsia="宋体" w:cs="宋体"/>
          <w:sz w:val="21"/>
        </w:rPr>
        <w:t>报告期发生同</w:t>
      </w:r>
      <w:r>
        <w:rPr>
          <w:rFonts w:hint="eastAsia" w:ascii="宋体" w:hAnsi="宋体" w:eastAsia="宋体" w:cs="宋体"/>
          <w:sz w:val="20"/>
        </w:rPr>
        <w:t>一</w:t>
      </w:r>
      <w:r>
        <w:rPr>
          <w:rFonts w:hint="eastAsia" w:ascii="宋体" w:hAnsi="宋体" w:eastAsia="宋体" w:cs="宋体"/>
          <w:sz w:val="21"/>
        </w:rPr>
        <w:t>控制下企业合并的</w:t>
      </w:r>
      <w:r>
        <w:rPr>
          <w:rFonts w:hint="eastAsia" w:ascii="宋体" w:hAnsi="宋体" w:eastAsia="宋体" w:cs="宋体"/>
          <w:sz w:val="10"/>
        </w:rPr>
        <w:t>，</w:t>
      </w:r>
      <w:r>
        <w:rPr>
          <w:rFonts w:hint="eastAsia" w:ascii="宋体" w:hAnsi="宋体" w:eastAsia="宋体" w:cs="宋体"/>
          <w:sz w:val="21"/>
        </w:rPr>
        <w:t>计算加权平均净资产收益率时</w:t>
      </w:r>
      <w:r>
        <w:rPr>
          <w:rFonts w:hint="eastAsia" w:ascii="宋体" w:hAnsi="宋体" w:eastAsia="宋体" w:cs="宋体"/>
          <w:sz w:val="10"/>
        </w:rPr>
        <w:t>，</w:t>
      </w:r>
      <w:r>
        <w:rPr>
          <w:rFonts w:hint="eastAsia" w:ascii="宋体" w:hAnsi="宋体" w:eastAsia="宋体" w:cs="宋体"/>
          <w:sz w:val="21"/>
        </w:rPr>
        <w:t>被合并方的净资产从报告期期初起进行加权</w:t>
      </w:r>
      <w:r>
        <w:rPr>
          <w:rFonts w:hint="eastAsia" w:ascii="宋体" w:hAnsi="宋体" w:eastAsia="宋体" w:cs="宋体"/>
          <w:sz w:val="10"/>
        </w:rPr>
        <w:t>；</w:t>
      </w:r>
      <w:r>
        <w:rPr>
          <w:rFonts w:hint="eastAsia" w:ascii="宋体" w:hAnsi="宋体" w:eastAsia="宋体" w:cs="宋体"/>
          <w:sz w:val="21"/>
        </w:rPr>
        <w:t>计算扣除非经常性损益后的加权平均净资产收益率时</w:t>
      </w:r>
      <w:r>
        <w:rPr>
          <w:rFonts w:hint="eastAsia" w:ascii="宋体" w:hAnsi="宋体" w:eastAsia="宋体" w:cs="宋体"/>
          <w:sz w:val="10"/>
        </w:rPr>
        <w:t>，</w:t>
      </w:r>
      <w:r>
        <w:rPr>
          <w:rFonts w:hint="eastAsia" w:ascii="宋体" w:hAnsi="宋体" w:eastAsia="宋体" w:cs="宋体"/>
          <w:sz w:val="21"/>
        </w:rPr>
        <w:t>被合并方的净资产从合并日的次月起进行加权</w:t>
      </w:r>
      <w:r>
        <w:rPr>
          <w:rFonts w:hint="eastAsia" w:ascii="宋体" w:hAnsi="宋体" w:eastAsia="宋体" w:cs="宋体"/>
          <w:sz w:val="10"/>
        </w:rPr>
        <w:t>。</w:t>
      </w:r>
      <w:r>
        <w:rPr>
          <w:rFonts w:hint="eastAsia" w:ascii="宋体" w:hAnsi="宋体" w:eastAsia="宋体" w:cs="宋体"/>
          <w:sz w:val="21"/>
        </w:rPr>
        <w:t>计算比较期间的加权平均净资产收益率时</w:t>
      </w:r>
      <w:r>
        <w:rPr>
          <w:rFonts w:hint="eastAsia" w:ascii="宋体" w:hAnsi="宋体" w:eastAsia="宋体" w:cs="宋体"/>
          <w:sz w:val="10"/>
        </w:rPr>
        <w:t>，</w:t>
      </w:r>
      <w:r>
        <w:rPr>
          <w:rFonts w:hint="eastAsia" w:ascii="宋体" w:hAnsi="宋体" w:eastAsia="宋体" w:cs="宋体"/>
          <w:sz w:val="21"/>
        </w:rPr>
        <w:t>被合并方的净利润</w:t>
      </w:r>
      <w:r>
        <w:rPr>
          <w:rFonts w:hint="eastAsia" w:ascii="宋体" w:hAnsi="宋体" w:eastAsia="宋体" w:cs="宋体"/>
          <w:sz w:val="10"/>
        </w:rPr>
        <w:t>、</w:t>
      </w:r>
      <w:r>
        <w:rPr>
          <w:rFonts w:hint="eastAsia" w:ascii="宋体" w:hAnsi="宋体" w:eastAsia="宋体" w:cs="宋体"/>
          <w:sz w:val="21"/>
        </w:rPr>
        <w:t>净资产均从比较期间期初起进行加权</w:t>
      </w:r>
      <w:r>
        <w:rPr>
          <w:rFonts w:hint="eastAsia" w:ascii="宋体" w:hAnsi="宋体" w:eastAsia="宋体" w:cs="宋体"/>
          <w:sz w:val="10"/>
        </w:rPr>
        <w:t>；</w:t>
      </w:r>
      <w:r>
        <w:rPr>
          <w:rFonts w:hint="eastAsia" w:ascii="宋体" w:hAnsi="宋体" w:eastAsia="宋体" w:cs="宋体"/>
          <w:sz w:val="21"/>
        </w:rPr>
        <w:t>计算比较期间扣除非经常性损益后的加权平均净资产收益率时</w:t>
      </w:r>
      <w:r>
        <w:rPr>
          <w:rFonts w:hint="eastAsia" w:ascii="宋体" w:hAnsi="宋体" w:eastAsia="宋体" w:cs="宋体"/>
          <w:sz w:val="10"/>
        </w:rPr>
        <w:t>，</w:t>
      </w:r>
      <w:r>
        <w:rPr>
          <w:rFonts w:hint="eastAsia" w:ascii="宋体" w:hAnsi="宋体" w:eastAsia="宋体" w:cs="宋体"/>
          <w:sz w:val="21"/>
        </w:rPr>
        <w:t>被合并方的净资产不予加权计算</w:t>
      </w:r>
      <w:r>
        <w:rPr>
          <w:rFonts w:hint="eastAsia" w:ascii="宋体" w:hAnsi="宋体" w:eastAsia="宋体" w:cs="宋体"/>
          <w:sz w:val="20"/>
        </w:rPr>
        <w:t>（</w:t>
      </w:r>
      <w:r>
        <w:rPr>
          <w:rFonts w:hint="eastAsia" w:ascii="宋体" w:hAnsi="宋体" w:eastAsia="宋体" w:cs="宋体"/>
          <w:sz w:val="21"/>
        </w:rPr>
        <w:t>权重为零</w:t>
      </w:r>
      <w:r>
        <w:rPr>
          <w:rFonts w:hint="eastAsia" w:ascii="宋体" w:hAnsi="宋体" w:eastAsia="宋体" w:cs="宋体"/>
          <w:sz w:val="20"/>
        </w:rPr>
        <w:t>）。</w:t>
      </w:r>
    </w:p>
    <w:p>
      <w:pPr>
        <w:spacing w:line="200" w:lineRule="exact"/>
        <w:rPr>
          <w:rFonts w:hint="eastAsia" w:ascii="宋体" w:hAnsi="宋体" w:eastAsia="宋体" w:cs="宋体"/>
          <w:sz w:val="20"/>
        </w:rPr>
      </w:pPr>
    </w:p>
    <w:p>
      <w:pPr>
        <w:autoSpaceDE w:val="false"/>
        <w:autoSpaceDN w:val="false"/>
        <w:spacing w:line="360" w:lineRule="exact"/>
        <w:ind w:left="1860"/>
        <w:jc w:val="both"/>
      </w:pPr>
      <w:r>
        <w:rPr>
          <w:rFonts w:hint="eastAsia" w:ascii="Times New Roman" w:hAnsi="Times New Roman" w:eastAsia="Times New Roman" w:cs="Times New Roman"/>
          <w:sz w:val="21"/>
        </w:rPr>
        <w:t>2</w:t>
      </w:r>
      <w:r>
        <w:rPr>
          <w:rFonts w:hint="eastAsia" w:ascii="宋体" w:hAnsi="宋体" w:eastAsia="宋体" w:cs="宋体"/>
          <w:sz w:val="10"/>
        </w:rPr>
        <w:t>、</w:t>
      </w:r>
      <w:r>
        <w:rPr>
          <w:rFonts w:hint="eastAsia" w:ascii="宋体" w:hAnsi="宋体" w:eastAsia="宋体" w:cs="宋体"/>
          <w:sz w:val="21"/>
        </w:rPr>
        <w:t>基本每股收益可参照如下公式计算</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860"/>
        <w:jc w:val="both"/>
      </w:pPr>
      <w:r>
        <w:rPr>
          <w:rFonts w:hint="eastAsia" w:ascii="宋体" w:hAnsi="宋体" w:eastAsia="宋体" w:cs="宋体"/>
          <w:sz w:val="21"/>
        </w:rPr>
        <w:t>基本每股收益</w:t>
      </w:r>
      <w:r>
        <w:rPr>
          <w:rFonts w:hint="eastAsia" w:ascii="Times New Roman" w:hAnsi="Times New Roman" w:eastAsia="Times New Roman" w:cs="Times New Roman"/>
          <w:sz w:val="21"/>
        </w:rPr>
        <w:t>=P</w:t>
      </w:r>
      <w:r>
        <w:rPr>
          <w:rFonts w:hint="eastAsia" w:ascii="Times New Roman" w:hAnsi="Times New Roman" w:eastAsia="Times New Roman" w:cs="Times New Roman"/>
          <w:sz w:val="13"/>
        </w:rPr>
        <w:t>0</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S</w:t>
      </w:r>
    </w:p>
    <w:p>
      <w:pPr>
        <w:spacing w:line="200" w:lineRule="exact"/>
        <w:rPr>
          <w:rFonts w:hint="eastAsia" w:ascii="宋体" w:hAnsi="宋体" w:eastAsia="宋体" w:cs="宋体"/>
          <w:sz w:val="20"/>
        </w:rPr>
      </w:pPr>
    </w:p>
    <w:p>
      <w:pPr>
        <w:autoSpaceDE w:val="false"/>
        <w:autoSpaceDN w:val="false"/>
        <w:spacing w:line="360" w:lineRule="exact"/>
        <w:ind w:left="1860"/>
        <w:jc w:val="both"/>
      </w:pPr>
      <w:r>
        <w:rPr>
          <w:rFonts w:hint="eastAsia" w:ascii="Times New Roman" w:hAnsi="Times New Roman" w:eastAsia="Times New Roman" w:cs="Times New Roman"/>
          <w:sz w:val="21"/>
        </w:rPr>
        <w:t>S=S</w:t>
      </w:r>
      <w:r>
        <w:rPr>
          <w:rFonts w:hint="eastAsia" w:ascii="Times New Roman" w:hAnsi="Times New Roman" w:eastAsia="Times New Roman" w:cs="Times New Roman"/>
          <w:sz w:val="13"/>
        </w:rPr>
        <w:t>0</w:t>
      </w:r>
      <w:r>
        <w:rPr>
          <w:rFonts w:hint="eastAsia" w:ascii="宋体" w:hAnsi="宋体" w:eastAsia="宋体" w:cs="宋体"/>
          <w:sz w:val="21"/>
        </w:rPr>
        <w:t>＋</w:t>
      </w:r>
      <w:r>
        <w:rPr>
          <w:rFonts w:hint="eastAsia" w:ascii="Times New Roman" w:hAnsi="Times New Roman" w:eastAsia="Times New Roman" w:cs="Times New Roman"/>
          <w:sz w:val="21"/>
        </w:rPr>
        <w:t>S</w:t>
      </w:r>
      <w:r>
        <w:rPr>
          <w:rFonts w:hint="eastAsia" w:ascii="Times New Roman" w:hAnsi="Times New Roman" w:eastAsia="Times New Roman" w:cs="Times New Roman"/>
          <w:sz w:val="13"/>
        </w:rPr>
        <w:t>1</w:t>
      </w:r>
      <w:r>
        <w:rPr>
          <w:rFonts w:hint="eastAsia" w:ascii="宋体" w:hAnsi="宋体" w:eastAsia="宋体" w:cs="宋体"/>
          <w:sz w:val="21"/>
        </w:rPr>
        <w:t>＋</w:t>
      </w:r>
      <w:r>
        <w:rPr>
          <w:rFonts w:hint="eastAsia" w:ascii="Times New Roman" w:hAnsi="Times New Roman" w:eastAsia="Times New Roman" w:cs="Times New Roman"/>
          <w:sz w:val="21"/>
        </w:rPr>
        <w:t>Si</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Mi</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w:t>
      </w:r>
      <w:r>
        <w:rPr>
          <w:rFonts w:hint="eastAsia" w:ascii="Times New Roman" w:hAnsi="Times New Roman" w:eastAsia="Times New Roman" w:cs="Times New Roman"/>
          <w:sz w:val="13"/>
        </w:rPr>
        <w:t>0</w:t>
      </w:r>
      <w:r>
        <w:rPr>
          <w:rFonts w:hint="eastAsia" w:ascii="Times New Roman" w:hAnsi="Times New Roman" w:eastAsia="Times New Roman" w:cs="Times New Roman"/>
          <w:sz w:val="21"/>
        </w:rPr>
        <w:t>–</w:t>
      </w:r>
      <w:r>
        <w:rPr>
          <w:rFonts w:hint="eastAsia" w:ascii="Times New Roman" w:hAnsi="Times New Roman" w:eastAsia="Times New Roman" w:cs="Times New Roman"/>
          <w:sz w:val="21"/>
        </w:rPr>
        <w:t>Sj</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Mj</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M0-Sk</w:t>
      </w:r>
    </w:p>
    <w:p>
      <w:pPr>
        <w:spacing w:line="200" w:lineRule="exact"/>
        <w:rPr>
          <w:rFonts w:hint="eastAsia" w:ascii="宋体" w:hAnsi="宋体" w:eastAsia="宋体" w:cs="宋体"/>
          <w:sz w:val="20"/>
        </w:rPr>
      </w:pPr>
    </w:p>
    <w:p>
      <w:pPr>
        <w:autoSpaceDE w:val="false"/>
        <w:autoSpaceDN w:val="false"/>
        <w:spacing w:line="400" w:lineRule="exact"/>
        <w:ind w:left="1440" w:right="1200" w:firstLine="420"/>
        <w:jc w:val="both"/>
      </w:pPr>
      <w:r>
        <w:rPr>
          <w:rFonts w:hint="eastAsia" w:ascii="宋体" w:hAnsi="宋体" w:eastAsia="宋体" w:cs="宋体"/>
          <w:sz w:val="21"/>
        </w:rPr>
        <w:t>其中</w:t>
      </w:r>
      <w:r>
        <w:rPr>
          <w:rFonts w:hint="eastAsia" w:ascii="宋体" w:hAnsi="宋体" w:eastAsia="宋体" w:cs="宋体"/>
          <w:sz w:val="10"/>
        </w:rPr>
        <w:t>：</w:t>
      </w:r>
      <w:r>
        <w:rPr>
          <w:rFonts w:hint="eastAsia" w:ascii="Times New Roman" w:hAnsi="Times New Roman" w:eastAsia="Times New Roman" w:cs="Times New Roman"/>
          <w:sz w:val="21"/>
        </w:rPr>
        <w:t>P</w:t>
      </w:r>
      <w:r>
        <w:rPr>
          <w:rFonts w:hint="eastAsia" w:ascii="Times New Roman" w:hAnsi="Times New Roman" w:eastAsia="Times New Roman" w:cs="Times New Roman"/>
          <w:sz w:val="13"/>
        </w:rPr>
        <w:t>0</w:t>
      </w:r>
      <w:r>
        <w:rPr>
          <w:rFonts w:hint="eastAsia" w:ascii="宋体" w:hAnsi="宋体" w:eastAsia="宋体" w:cs="宋体"/>
          <w:sz w:val="21"/>
        </w:rPr>
        <w:t>为归属于公司普通股股东的净利润或扣除非经常性损益后归属于普通股股东的净利润</w:t>
      </w:r>
      <w:r>
        <w:rPr>
          <w:rFonts w:hint="eastAsia" w:ascii="宋体" w:hAnsi="宋体" w:eastAsia="宋体" w:cs="宋体"/>
          <w:sz w:val="12"/>
        </w:rPr>
        <w:t>；</w:t>
      </w:r>
      <w:r>
        <w:rPr>
          <w:rFonts w:hint="eastAsia" w:ascii="Times New Roman" w:hAnsi="Times New Roman" w:eastAsia="Times New Roman" w:cs="Times New Roman"/>
          <w:sz w:val="21"/>
        </w:rPr>
        <w:t>S</w:t>
      </w:r>
      <w:r>
        <w:rPr>
          <w:rFonts w:hint="eastAsia" w:ascii="宋体" w:hAnsi="宋体" w:eastAsia="宋体" w:cs="宋体"/>
          <w:sz w:val="21"/>
        </w:rPr>
        <w:t>为发行在外的普通股加权平均数</w:t>
      </w:r>
      <w:r>
        <w:rPr>
          <w:rFonts w:hint="eastAsia" w:ascii="宋体" w:hAnsi="宋体" w:eastAsia="宋体" w:cs="宋体"/>
          <w:sz w:val="12"/>
        </w:rPr>
        <w:t>；</w:t>
      </w:r>
      <w:r>
        <w:rPr>
          <w:rFonts w:hint="eastAsia" w:ascii="Times New Roman" w:hAnsi="Times New Roman" w:eastAsia="Times New Roman" w:cs="Times New Roman"/>
          <w:sz w:val="21"/>
        </w:rPr>
        <w:t>S</w:t>
      </w:r>
      <w:r>
        <w:rPr>
          <w:rFonts w:hint="eastAsia" w:ascii="Times New Roman" w:hAnsi="Times New Roman" w:eastAsia="Times New Roman" w:cs="Times New Roman"/>
          <w:sz w:val="13"/>
        </w:rPr>
        <w:t>0</w:t>
      </w:r>
      <w:r>
        <w:rPr>
          <w:rFonts w:hint="eastAsia" w:ascii="宋体" w:hAnsi="宋体" w:eastAsia="宋体" w:cs="宋体"/>
          <w:sz w:val="21"/>
        </w:rPr>
        <w:t>为期初股份总数</w:t>
      </w:r>
      <w:r>
        <w:rPr>
          <w:rFonts w:hint="eastAsia" w:ascii="宋体" w:hAnsi="宋体" w:eastAsia="宋体" w:cs="宋体"/>
          <w:sz w:val="12"/>
        </w:rPr>
        <w:t>；</w:t>
      </w:r>
      <w:r>
        <w:rPr>
          <w:rFonts w:hint="eastAsia" w:ascii="Times New Roman" w:hAnsi="Times New Roman" w:eastAsia="Times New Roman" w:cs="Times New Roman"/>
          <w:sz w:val="21"/>
        </w:rPr>
        <w:t>S</w:t>
      </w:r>
      <w:r>
        <w:rPr>
          <w:rFonts w:hint="eastAsia" w:ascii="Times New Roman" w:hAnsi="Times New Roman" w:eastAsia="Times New Roman" w:cs="Times New Roman"/>
          <w:sz w:val="13"/>
        </w:rPr>
        <w:t>1</w:t>
      </w:r>
      <w:r>
        <w:rPr>
          <w:rFonts w:hint="eastAsia" w:ascii="宋体" w:hAnsi="宋体" w:eastAsia="宋体" w:cs="宋体"/>
          <w:sz w:val="21"/>
        </w:rPr>
        <w:t>为报告期因公积金转增股本或股票股利分配等增加股份数</w:t>
      </w:r>
      <w:r>
        <w:rPr>
          <w:rFonts w:hint="eastAsia" w:ascii="宋体" w:hAnsi="宋体" w:eastAsia="宋体" w:cs="宋体"/>
          <w:sz w:val="10"/>
        </w:rPr>
        <w:t>；</w:t>
      </w:r>
      <w:r>
        <w:rPr>
          <w:rFonts w:hint="eastAsia" w:ascii="Times New Roman" w:hAnsi="Times New Roman" w:eastAsia="Times New Roman" w:cs="Times New Roman"/>
          <w:sz w:val="21"/>
        </w:rPr>
        <w:t>Si</w:t>
      </w:r>
      <w:r>
        <w:rPr>
          <w:rFonts w:hint="eastAsia" w:ascii="宋体" w:hAnsi="宋体" w:eastAsia="宋体" w:cs="宋体"/>
          <w:sz w:val="21"/>
        </w:rPr>
        <w:t>为报告期因发行新股或债转股等增加股份数</w:t>
      </w:r>
      <w:r>
        <w:rPr>
          <w:rFonts w:hint="eastAsia" w:ascii="宋体" w:hAnsi="宋体" w:eastAsia="宋体" w:cs="宋体"/>
          <w:sz w:val="10"/>
        </w:rPr>
        <w:t>；</w:t>
      </w:r>
      <w:r>
        <w:rPr>
          <w:rFonts w:hint="eastAsia" w:ascii="Times New Roman" w:hAnsi="Times New Roman" w:eastAsia="Times New Roman" w:cs="Times New Roman"/>
          <w:sz w:val="21"/>
        </w:rPr>
        <w:t>Sj</w:t>
      </w:r>
      <w:r>
        <w:rPr>
          <w:rFonts w:hint="eastAsia" w:ascii="宋体" w:hAnsi="宋体" w:eastAsia="宋体" w:cs="宋体"/>
          <w:sz w:val="21"/>
        </w:rPr>
        <w:t>为报告期因回购等减少股份数</w:t>
      </w:r>
      <w:r>
        <w:rPr>
          <w:rFonts w:hint="eastAsia" w:ascii="宋体" w:hAnsi="宋体" w:eastAsia="宋体" w:cs="宋体"/>
          <w:sz w:val="10"/>
        </w:rPr>
        <w:t>；</w:t>
      </w:r>
      <w:r>
        <w:rPr>
          <w:rFonts w:hint="eastAsia" w:ascii="Times New Roman" w:hAnsi="Times New Roman" w:eastAsia="Times New Roman" w:cs="Times New Roman"/>
          <w:sz w:val="21"/>
        </w:rPr>
        <w:t>Sk</w:t>
      </w:r>
      <w:r>
        <w:rPr>
          <w:rFonts w:hint="eastAsia" w:ascii="宋体" w:hAnsi="宋体" w:eastAsia="宋体" w:cs="宋体"/>
          <w:sz w:val="21"/>
        </w:rPr>
        <w:t>为报告期缩股数</w:t>
      </w:r>
      <w:r>
        <w:rPr>
          <w:rFonts w:hint="eastAsia" w:ascii="宋体" w:hAnsi="宋体" w:eastAsia="宋体" w:cs="宋体"/>
          <w:sz w:val="12"/>
        </w:rPr>
        <w:t>；</w:t>
      </w:r>
      <w:r>
        <w:rPr>
          <w:rFonts w:hint="eastAsia" w:ascii="Times New Roman" w:hAnsi="Times New Roman" w:eastAsia="Times New Roman" w:cs="Times New Roman"/>
          <w:sz w:val="21"/>
        </w:rPr>
        <w:t>M0</w:t>
      </w:r>
      <w:r>
        <w:rPr>
          <w:rFonts w:hint="eastAsia" w:ascii="宋体" w:hAnsi="宋体" w:eastAsia="宋体" w:cs="宋体"/>
          <w:sz w:val="21"/>
        </w:rPr>
        <w:t>报告期月份数</w:t>
      </w:r>
      <w:r>
        <w:rPr>
          <w:rFonts w:hint="eastAsia" w:ascii="宋体" w:hAnsi="宋体" w:eastAsia="宋体" w:cs="宋体"/>
          <w:sz w:val="12"/>
        </w:rPr>
        <w:t>；</w:t>
      </w:r>
      <w:r>
        <w:rPr>
          <w:rFonts w:hint="eastAsia" w:ascii="Times New Roman" w:hAnsi="Times New Roman" w:eastAsia="Times New Roman" w:cs="Times New Roman"/>
          <w:sz w:val="21"/>
        </w:rPr>
        <w:t>Mi</w:t>
      </w:r>
      <w:r>
        <w:rPr>
          <w:rFonts w:hint="eastAsia" w:ascii="宋体" w:hAnsi="宋体" w:eastAsia="宋体" w:cs="宋体"/>
          <w:sz w:val="21"/>
        </w:rPr>
        <w:t>为增加股份次月起至报告期期末的累计月数</w:t>
      </w:r>
      <w:r>
        <w:rPr>
          <w:rFonts w:hint="eastAsia" w:ascii="宋体" w:hAnsi="宋体" w:eastAsia="宋体" w:cs="宋体"/>
          <w:sz w:val="12"/>
        </w:rPr>
        <w:t>；</w:t>
      </w:r>
      <w:r>
        <w:rPr>
          <w:rFonts w:hint="eastAsia" w:ascii="Times New Roman" w:hAnsi="Times New Roman" w:eastAsia="Times New Roman" w:cs="Times New Roman"/>
          <w:sz w:val="21"/>
        </w:rPr>
        <w:t>Mj</w:t>
      </w:r>
      <w:r>
        <w:rPr>
          <w:rFonts w:hint="eastAsia" w:ascii="宋体" w:hAnsi="宋体" w:eastAsia="宋体" w:cs="宋体"/>
          <w:sz w:val="21"/>
        </w:rPr>
        <w:t>为减少股份次月起至报告期期末的累计月数</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80" w:lineRule="exact"/>
        <w:ind w:left="1860"/>
        <w:jc w:val="both"/>
      </w:pPr>
      <w:r>
        <w:rPr>
          <w:rFonts w:hint="eastAsia" w:ascii="Times New Roman" w:hAnsi="Times New Roman" w:eastAsia="Times New Roman" w:cs="Times New Roman"/>
          <w:sz w:val="21"/>
        </w:rPr>
        <w:t>3</w:t>
      </w:r>
      <w:r>
        <w:rPr>
          <w:rFonts w:hint="eastAsia" w:ascii="宋体" w:hAnsi="宋体" w:eastAsia="宋体" w:cs="宋体"/>
          <w:sz w:val="10"/>
        </w:rPr>
        <w:t>、</w:t>
      </w:r>
      <w:r>
        <w:rPr>
          <w:rFonts w:hint="eastAsia" w:ascii="宋体" w:hAnsi="宋体" w:eastAsia="宋体" w:cs="宋体"/>
          <w:sz w:val="21"/>
        </w:rPr>
        <w:t>稀释每股收益可参照如下公式计算</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80" w:lineRule="exact"/>
        <w:ind w:left="1440" w:right="1280" w:firstLine="420"/>
        <w:jc w:val="both"/>
      </w:pPr>
      <w:r>
        <w:rPr>
          <w:rFonts w:hint="eastAsia" w:ascii="宋体" w:hAnsi="宋体" w:eastAsia="宋体" w:cs="宋体"/>
          <w:sz w:val="21"/>
        </w:rPr>
        <w:t>稀释每股收益</w:t>
      </w:r>
      <w:r>
        <w:rPr>
          <w:rFonts w:hint="eastAsia" w:ascii="Times New Roman" w:hAnsi="Times New Roman" w:eastAsia="Times New Roman" w:cs="Times New Roman"/>
          <w:sz w:val="21"/>
        </w:rPr>
        <w:t>=P</w:t>
      </w:r>
      <w:r>
        <w:rPr>
          <w:rFonts w:hint="eastAsia" w:ascii="Times New Roman" w:hAnsi="Times New Roman" w:eastAsia="Times New Roman" w:cs="Times New Roman"/>
          <w:sz w:val="13"/>
        </w:rPr>
        <w:t>1</w:t>
      </w:r>
      <w:r>
        <w:rPr>
          <w:rFonts w:hint="eastAsia" w:ascii="Times New Roman" w:hAnsi="Times New Roman" w:eastAsia="Times New Roman" w:cs="Times New Roman"/>
          <w:sz w:val="21"/>
        </w:rPr>
        <w:t>/</w:t>
      </w:r>
      <w:r>
        <w:rPr>
          <w:rFonts w:hint="eastAsia" w:ascii="宋体" w:hAnsi="宋体" w:eastAsia="宋体" w:cs="宋体"/>
          <w:sz w:val="20"/>
        </w:rPr>
        <w:t>（</w:t>
      </w:r>
      <w:r>
        <w:rPr>
          <w:rFonts w:hint="eastAsia" w:ascii="Times New Roman" w:hAnsi="Times New Roman" w:eastAsia="Times New Roman" w:cs="Times New Roman"/>
          <w:sz w:val="21"/>
        </w:rPr>
        <w:t>S</w:t>
      </w:r>
      <w:r>
        <w:rPr>
          <w:rFonts w:hint="eastAsia" w:ascii="Times New Roman" w:hAnsi="Times New Roman" w:eastAsia="Times New Roman" w:cs="Times New Roman"/>
          <w:sz w:val="13"/>
        </w:rPr>
        <w:t>0</w:t>
      </w:r>
      <w:r>
        <w:rPr>
          <w:rFonts w:hint="eastAsia" w:ascii="宋体" w:hAnsi="宋体" w:eastAsia="宋体" w:cs="宋体"/>
          <w:sz w:val="21"/>
        </w:rPr>
        <w:t>＋</w:t>
      </w:r>
      <w:r>
        <w:rPr>
          <w:rFonts w:hint="eastAsia" w:ascii="Times New Roman" w:hAnsi="Times New Roman" w:eastAsia="Times New Roman" w:cs="Times New Roman"/>
          <w:sz w:val="21"/>
        </w:rPr>
        <w:t>S</w:t>
      </w:r>
      <w:r>
        <w:rPr>
          <w:rFonts w:hint="eastAsia" w:ascii="Times New Roman" w:hAnsi="Times New Roman" w:eastAsia="Times New Roman" w:cs="Times New Roman"/>
          <w:sz w:val="13"/>
        </w:rPr>
        <w:t>1</w:t>
      </w:r>
      <w:r>
        <w:rPr>
          <w:rFonts w:hint="eastAsia" w:ascii="宋体" w:hAnsi="宋体" w:eastAsia="宋体" w:cs="宋体"/>
          <w:sz w:val="21"/>
        </w:rPr>
        <w:t>＋</w:t>
      </w:r>
      <w:r>
        <w:rPr>
          <w:rFonts w:hint="eastAsia" w:ascii="Times New Roman" w:hAnsi="Times New Roman" w:eastAsia="Times New Roman" w:cs="Times New Roman"/>
          <w:sz w:val="21"/>
        </w:rPr>
        <w:t>Si</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Mi</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w:t>
      </w:r>
      <w:r>
        <w:rPr>
          <w:rFonts w:hint="eastAsia" w:ascii="Times New Roman" w:hAnsi="Times New Roman" w:eastAsia="Times New Roman" w:cs="Times New Roman"/>
          <w:sz w:val="13"/>
        </w:rPr>
        <w:t>0</w:t>
      </w:r>
      <w:r>
        <w:rPr>
          <w:rFonts w:hint="eastAsia" w:ascii="Times New Roman" w:hAnsi="Times New Roman" w:eastAsia="Times New Roman" w:cs="Times New Roman"/>
          <w:sz w:val="21"/>
        </w:rPr>
        <w:t>–</w:t>
      </w:r>
      <w:r>
        <w:rPr>
          <w:rFonts w:hint="eastAsia" w:ascii="Times New Roman" w:hAnsi="Times New Roman" w:eastAsia="Times New Roman" w:cs="Times New Roman"/>
          <w:sz w:val="21"/>
        </w:rPr>
        <w:t>Sj</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Mj</w:t>
      </w:r>
      <w:r>
        <w:rPr>
          <w:rFonts w:hint="eastAsia" w:ascii="Times New Roman" w:hAnsi="Times New Roman" w:eastAsia="Times New Roman" w:cs="Times New Roman"/>
          <w:sz w:val="10"/>
        </w:rPr>
        <w:t>÷</w:t>
      </w:r>
      <w:r>
        <w:rPr>
          <w:rFonts w:hint="eastAsia" w:ascii="Times New Roman" w:hAnsi="Times New Roman" w:eastAsia="Times New Roman" w:cs="Times New Roman"/>
          <w:sz w:val="21"/>
        </w:rPr>
        <w:t>M</w:t>
      </w:r>
      <w:r>
        <w:rPr>
          <w:rFonts w:hint="eastAsia" w:ascii="Times New Roman" w:hAnsi="Times New Roman" w:eastAsia="Times New Roman" w:cs="Times New Roman"/>
          <w:sz w:val="13"/>
        </w:rPr>
        <w:t>0</w:t>
      </w:r>
      <w:r>
        <w:rPr>
          <w:rFonts w:hint="eastAsia" w:ascii="Times New Roman" w:hAnsi="Times New Roman" w:eastAsia="Times New Roman" w:cs="Times New Roman"/>
          <w:sz w:val="21"/>
        </w:rPr>
        <w:t>–</w:t>
      </w:r>
      <w:r>
        <w:rPr>
          <w:rFonts w:hint="eastAsia" w:ascii="Times New Roman" w:hAnsi="Times New Roman" w:eastAsia="Times New Roman" w:cs="Times New Roman"/>
          <w:sz w:val="21"/>
        </w:rPr>
        <w:t>Sk+</w:t>
      </w:r>
      <w:r>
        <w:rPr>
          <w:rFonts w:hint="eastAsia" w:ascii="宋体" w:hAnsi="宋体" w:eastAsia="宋体" w:cs="宋体"/>
          <w:sz w:val="21"/>
        </w:rPr>
        <w:t>认股权证</w:t>
      </w:r>
      <w:r>
        <w:rPr>
          <w:rFonts w:hint="eastAsia" w:ascii="宋体" w:hAnsi="宋体" w:eastAsia="宋体" w:cs="宋体"/>
          <w:sz w:val="10"/>
        </w:rPr>
        <w:t>、</w:t>
      </w:r>
      <w:r>
        <w:rPr>
          <w:rFonts w:hint="eastAsia" w:ascii="宋体" w:hAnsi="宋体" w:eastAsia="宋体" w:cs="宋体"/>
          <w:sz w:val="21"/>
        </w:rPr>
        <w:t>股份期权</w:t>
      </w:r>
      <w:r>
        <w:rPr>
          <w:rFonts w:hint="eastAsia" w:ascii="宋体" w:hAnsi="宋体" w:eastAsia="宋体" w:cs="宋体"/>
          <w:sz w:val="10"/>
        </w:rPr>
        <w:t>、</w:t>
      </w:r>
      <w:r>
        <w:rPr>
          <w:rFonts w:hint="eastAsia" w:ascii="宋体" w:hAnsi="宋体" w:eastAsia="宋体" w:cs="宋体"/>
          <w:sz w:val="21"/>
        </w:rPr>
        <w:t>可转换债券等增加的普通股加权平均数</w:t>
      </w:r>
      <w:r>
        <w:rPr>
          <w:rFonts w:hint="eastAsia" w:ascii="宋体" w:hAnsi="宋体" w:eastAsia="宋体" w:cs="宋体"/>
          <w:sz w:val="20"/>
        </w:rPr>
        <w:t>）</w:t>
      </w:r>
    </w:p>
    <w:p>
      <w:pPr>
        <w:spacing w:line="200" w:lineRule="exact"/>
        <w:rPr>
          <w:rFonts w:hint="eastAsia" w:ascii="宋体" w:hAnsi="宋体" w:eastAsia="宋体" w:cs="宋体"/>
          <w:sz w:val="20"/>
        </w:rPr>
      </w:pPr>
    </w:p>
    <w:p>
      <w:pPr>
        <w:autoSpaceDE w:val="false"/>
        <w:autoSpaceDN w:val="false"/>
        <w:spacing w:line="400" w:lineRule="exact"/>
        <w:ind w:left="1440" w:right="1220" w:firstLine="420"/>
        <w:jc w:val="both"/>
      </w:pPr>
      <w:r>
        <w:rPr>
          <w:rFonts w:hint="eastAsia" w:ascii="宋体" w:hAnsi="宋体" w:eastAsia="宋体" w:cs="宋体"/>
          <w:sz w:val="21"/>
        </w:rPr>
        <w:t>其中</w:t>
      </w:r>
      <w:r>
        <w:rPr>
          <w:rFonts w:hint="eastAsia" w:ascii="宋体" w:hAnsi="宋体" w:eastAsia="宋体" w:cs="宋体"/>
          <w:sz w:val="10"/>
        </w:rPr>
        <w:t>，</w:t>
      </w:r>
      <w:r>
        <w:rPr>
          <w:rFonts w:hint="eastAsia" w:ascii="Times New Roman" w:hAnsi="Times New Roman" w:eastAsia="Times New Roman" w:cs="Times New Roman"/>
          <w:sz w:val="21"/>
        </w:rPr>
        <w:t>P</w:t>
      </w:r>
      <w:r>
        <w:rPr>
          <w:rFonts w:hint="eastAsia" w:ascii="Times New Roman" w:hAnsi="Times New Roman" w:eastAsia="Times New Roman" w:cs="Times New Roman"/>
          <w:sz w:val="13"/>
        </w:rPr>
        <w:t>1</w:t>
      </w:r>
      <w:r>
        <w:rPr>
          <w:rFonts w:hint="eastAsia" w:ascii="宋体" w:hAnsi="宋体" w:eastAsia="宋体" w:cs="宋体"/>
          <w:sz w:val="21"/>
        </w:rPr>
        <w:t>为归属于公司普通股股东的净利润或扣除非经常性损益后归属于公司普通股股东的净利润</w:t>
      </w:r>
      <w:r>
        <w:rPr>
          <w:rFonts w:hint="eastAsia" w:ascii="宋体" w:hAnsi="宋体" w:eastAsia="宋体" w:cs="宋体"/>
          <w:sz w:val="10"/>
        </w:rPr>
        <w:t>，</w:t>
      </w:r>
      <w:r>
        <w:rPr>
          <w:rFonts w:hint="eastAsia" w:ascii="宋体" w:hAnsi="宋体" w:eastAsia="宋体" w:cs="宋体"/>
          <w:sz w:val="21"/>
        </w:rPr>
        <w:t>并考虑稀释性潜在普通股对其影响</w:t>
      </w:r>
      <w:r>
        <w:rPr>
          <w:rFonts w:hint="eastAsia" w:ascii="宋体" w:hAnsi="宋体" w:eastAsia="宋体" w:cs="宋体"/>
          <w:sz w:val="10"/>
        </w:rPr>
        <w:t>，</w:t>
      </w:r>
      <w:r>
        <w:rPr>
          <w:rFonts w:hint="eastAsia" w:ascii="宋体" w:hAnsi="宋体" w:eastAsia="宋体" w:cs="宋体"/>
          <w:sz w:val="21"/>
        </w:rPr>
        <w:t>按</w:t>
      </w:r>
      <w:r>
        <w:rPr>
          <w:rFonts w:hint="eastAsia" w:ascii="宋体" w:hAnsi="宋体" w:eastAsia="宋体" w:cs="宋体"/>
          <w:sz w:val="20"/>
        </w:rPr>
        <w:t>《</w:t>
      </w:r>
      <w:r>
        <w:rPr>
          <w:rFonts w:hint="eastAsia" w:ascii="宋体" w:hAnsi="宋体" w:eastAsia="宋体" w:cs="宋体"/>
          <w:sz w:val="21"/>
        </w:rPr>
        <w:t>企业会计准则</w:t>
      </w:r>
      <w:r>
        <w:rPr>
          <w:rFonts w:hint="eastAsia" w:ascii="宋体" w:hAnsi="宋体" w:eastAsia="宋体" w:cs="宋体"/>
          <w:sz w:val="20"/>
        </w:rPr>
        <w:t>》</w:t>
      </w:r>
      <w:r>
        <w:rPr>
          <w:rFonts w:hint="eastAsia" w:ascii="宋体" w:hAnsi="宋体" w:eastAsia="宋体" w:cs="宋体"/>
          <w:sz w:val="21"/>
        </w:rPr>
        <w:t>及有关规定进行调整</w:t>
      </w:r>
      <w:r>
        <w:rPr>
          <w:rFonts w:hint="eastAsia" w:ascii="宋体" w:hAnsi="宋体" w:eastAsia="宋体" w:cs="宋体"/>
          <w:sz w:val="10"/>
        </w:rPr>
        <w:t>。</w:t>
      </w:r>
      <w:r>
        <w:rPr>
          <w:rFonts w:hint="eastAsia" w:ascii="宋体" w:hAnsi="宋体" w:eastAsia="宋体" w:cs="宋体"/>
          <w:sz w:val="21"/>
        </w:rPr>
        <w:t>公司在计算稀释每股收益时</w:t>
      </w:r>
      <w:r>
        <w:rPr>
          <w:rFonts w:hint="eastAsia" w:ascii="宋体" w:hAnsi="宋体" w:eastAsia="宋体" w:cs="宋体"/>
          <w:sz w:val="10"/>
        </w:rPr>
        <w:t>，</w:t>
      </w:r>
      <w:r>
        <w:rPr>
          <w:rFonts w:hint="eastAsia" w:ascii="宋体" w:hAnsi="宋体" w:eastAsia="宋体" w:cs="宋体"/>
          <w:sz w:val="21"/>
        </w:rPr>
        <w:t>应考虑所有稀释性潜在普通股对归属于公司普通股股东的净利润或扣除非经常性损益后归属于公司普通股股东的净利润和加权平均股数的影响</w:t>
      </w:r>
      <w:r>
        <w:rPr>
          <w:rFonts w:hint="eastAsia" w:ascii="宋体" w:hAnsi="宋体" w:eastAsia="宋体" w:cs="宋体"/>
          <w:sz w:val="10"/>
        </w:rPr>
        <w:t>，</w:t>
      </w:r>
      <w:r>
        <w:rPr>
          <w:rFonts w:hint="eastAsia" w:ascii="宋体" w:hAnsi="宋体" w:eastAsia="宋体" w:cs="宋体"/>
          <w:sz w:val="21"/>
        </w:rPr>
        <w:t>按照其稀释程度从大到小的顺序计入稀释每股收益</w:t>
      </w:r>
      <w:r>
        <w:rPr>
          <w:rFonts w:hint="eastAsia" w:ascii="宋体" w:hAnsi="宋体" w:eastAsia="宋体" w:cs="宋体"/>
          <w:sz w:val="10"/>
        </w:rPr>
        <w:t>，</w:t>
      </w:r>
      <w:r>
        <w:rPr>
          <w:rFonts w:hint="eastAsia" w:ascii="宋体" w:hAnsi="宋体" w:eastAsia="宋体" w:cs="宋体"/>
          <w:sz w:val="21"/>
        </w:rPr>
        <w:t>直至稀释每股收益达到最小值</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jc w:val="both"/>
      </w:pPr>
      <w:r>
        <w:rPr>
          <w:rFonts w:hint="eastAsia" w:ascii="ºÚÌå" w:hAnsi="ºÚÌå" w:eastAsia="ºÚÌå" w:cs="ºÚÌå"/>
          <w:sz w:val="30"/>
        </w:rPr>
        <w:t>十四</w:t>
      </w:r>
      <w:r>
        <w:rPr>
          <w:rFonts w:hint="eastAsia" w:ascii="ºÚÌå" w:hAnsi="ºÚÌå" w:eastAsia="ºÚÌå" w:cs="ºÚÌå"/>
          <w:sz w:val="10"/>
        </w:rPr>
        <w:t>、</w:t>
      </w:r>
      <w:r>
        <w:rPr>
          <w:rFonts w:hint="eastAsia" w:ascii="ºÚÌå" w:hAnsi="ºÚÌå" w:eastAsia="ºÚÌå" w:cs="ºÚÌå"/>
          <w:sz w:val="30"/>
        </w:rPr>
        <w:t>资产评估与验资情况</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资产评估情况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1-1-252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公司在初始设立</w:t>
      </w:r>
      <w:r>
        <w:rPr>
          <w:rFonts w:hint="eastAsia" w:ascii="宋体" w:hAnsi="宋体" w:eastAsia="宋体" w:cs="宋体"/>
          <w:sz w:val="10"/>
        </w:rPr>
        <w:t>、</w:t>
      </w:r>
      <w:r>
        <w:rPr>
          <w:rFonts w:hint="eastAsia" w:ascii="宋体" w:hAnsi="宋体" w:eastAsia="宋体" w:cs="宋体"/>
          <w:sz w:val="24"/>
        </w:rPr>
        <w:t>整体变更为股份有限公司以及报告期内未进行资产评估</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（二）历次验资情况</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公司自成立至今的历次验资情况请参见本招股说明书</w:t>
      </w:r>
      <w:r>
        <w:rPr>
          <w:rFonts w:hint="eastAsia" w:ascii="宋体" w:hAnsi="宋体" w:eastAsia="宋体" w:cs="宋体"/>
          <w:sz w:val="10"/>
        </w:rPr>
        <w:t>“</w:t>
      </w:r>
      <w:r>
        <w:rPr>
          <w:rFonts w:hint="eastAsia" w:ascii="宋体" w:hAnsi="宋体" w:eastAsia="宋体" w:cs="宋体"/>
          <w:sz w:val="24"/>
        </w:rPr>
        <w:t>第五节</w:t>
      </w:r>
      <w:r>
        <w:rPr>
          <w:rFonts w:hint="eastAsia" w:ascii="Times New Roman" w:hAnsi="Times New Roman" w:eastAsia="Times New Roman" w:cs="Times New Roman"/>
          <w:sz w:val="24"/>
        </w:rPr>
        <w:t xml:space="preserve"> </w:t>
      </w:r>
      <w:r>
        <w:rPr>
          <w:rFonts w:hint="eastAsia" w:ascii="宋体" w:hAnsi="宋体" w:eastAsia="宋体" w:cs="宋体"/>
          <w:sz w:val="24"/>
        </w:rPr>
        <w:t>发行人基本情况</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五</w:t>
      </w:r>
      <w:r>
        <w:rPr>
          <w:rFonts w:hint="eastAsia" w:ascii="宋体" w:hAnsi="宋体" w:eastAsia="宋体" w:cs="宋体"/>
          <w:sz w:val="10"/>
        </w:rPr>
        <w:t>、</w:t>
      </w:r>
      <w:r>
        <w:rPr>
          <w:rFonts w:hint="eastAsia" w:ascii="宋体" w:hAnsi="宋体" w:eastAsia="宋体" w:cs="宋体"/>
          <w:sz w:val="24"/>
        </w:rPr>
        <w:t>发行人历次验资情况及发起人投入资产的计量属性</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“（一）</w:t>
      </w:r>
      <w:r>
        <w:rPr>
          <w:rFonts w:hint="eastAsia" w:ascii="宋体" w:hAnsi="宋体" w:eastAsia="宋体" w:cs="宋体"/>
          <w:sz w:val="24"/>
        </w:rPr>
        <w:t>发行人历次验资情况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十五</w:t>
      </w:r>
      <w:r>
        <w:rPr>
          <w:rFonts w:hint="eastAsia" w:ascii="ºÚÌå" w:hAnsi="ºÚÌå" w:eastAsia="ºÚÌå" w:cs="ºÚÌå"/>
          <w:sz w:val="10"/>
        </w:rPr>
        <w:t>、</w:t>
      </w:r>
      <w:r>
        <w:rPr>
          <w:rFonts w:hint="eastAsia" w:ascii="ºÚÌå" w:hAnsi="ºÚÌå" w:eastAsia="ºÚÌå" w:cs="ºÚÌå"/>
          <w:sz w:val="30"/>
        </w:rPr>
        <w:t>盈利预测</w:t>
      </w:r>
    </w:p>
    <w:p>
      <w:pPr>
        <w:spacing w:line="200" w:lineRule="exact"/>
        <w:rPr>
          <w:rFonts w:hint="eastAsia" w:ascii="宋体" w:hAnsi="宋体" w:eastAsia="宋体" w:cs="宋体"/>
          <w:sz w:val="20"/>
        </w:rPr>
      </w:pPr>
    </w:p>
    <w:p>
      <w:pPr>
        <w:autoSpaceDE w:val="false"/>
        <w:autoSpaceDN w:val="false"/>
        <w:spacing w:line="400" w:lineRule="exact"/>
        <w:ind w:left="1920"/>
        <w:jc w:val="both"/>
      </w:pPr>
      <w:r>
        <w:rPr>
          <w:rFonts w:hint="eastAsia" w:ascii="宋体" w:hAnsi="宋体" w:eastAsia="宋体" w:cs="宋体"/>
          <w:sz w:val="24"/>
        </w:rPr>
        <w:t>本公司未作盈利预测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1-1-253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3700"/>
        <w:jc w:val="both"/>
      </w:pPr>
      <w:r>
        <w:rPr>
          <w:rFonts w:hint="eastAsia" w:ascii="ºÚÌå" w:hAnsi="ºÚÌå" w:eastAsia="ºÚÌå" w:cs="ºÚÌå"/>
          <w:b/>
          <w:sz w:val="36"/>
        </w:rPr>
        <w:t>第十一节</w:t>
      </w:r>
      <w:r>
        <w:rPr>
          <w:rFonts w:hint="eastAsia" w:ascii="ºÚÌå" w:hAnsi="ºÚÌå" w:eastAsia="ºÚÌå" w:cs="ºÚÌå"/>
          <w:b/>
          <w:sz w:val="36"/>
        </w:rPr>
        <w:t xml:space="preserve"> </w:t>
      </w:r>
      <w:r>
        <w:rPr>
          <w:rFonts w:hint="eastAsia" w:ascii="ºÚÌå" w:hAnsi="ºÚÌå" w:eastAsia="ºÚÌå" w:cs="ºÚÌå"/>
          <w:b/>
          <w:sz w:val="36"/>
        </w:rPr>
        <w:t>管理层讨论与分析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6"/>
        </w:rPr>
        <w:t>一、</w:t>
      </w:r>
      <w:r>
        <w:rPr>
          <w:rFonts w:hint="eastAsia" w:ascii="ºÚÌå" w:hAnsi="ºÚÌå" w:eastAsia="ºÚÌå" w:cs="ºÚÌå"/>
          <w:sz w:val="30"/>
        </w:rPr>
        <w:t>财务状况分析</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资产结构分析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资产构成及其变化的总体情况分析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报告期各期期末</w:t>
      </w:r>
      <w:r>
        <w:rPr>
          <w:rFonts w:hint="eastAsia" w:ascii="宋体" w:hAnsi="宋体" w:eastAsia="宋体" w:cs="宋体"/>
          <w:sz w:val="10"/>
        </w:rPr>
        <w:t>，</w:t>
      </w:r>
      <w:r>
        <w:rPr>
          <w:rFonts w:hint="eastAsia" w:ascii="宋体" w:hAnsi="宋体" w:eastAsia="宋体" w:cs="宋体"/>
          <w:sz w:val="24"/>
        </w:rPr>
        <w:t>公司流动资产和非流动资产及占总资产的比例如下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480" w:type="auto"/>
        <w:tblInd w:w="1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860"/>
        <w:gridCol w:w="1520"/>
        <w:gridCol w:w="1000"/>
        <w:gridCol w:w="1540"/>
        <w:gridCol w:w="1000"/>
        <w:gridCol w:w="1520"/>
        <w:gridCol w:w="1020"/>
      </w:tblGrid>
      <w:tr>
        <w:trPr>
          <w:trHeight w:val="480" w:hRule="exact"/>
        </w:trPr>
        <w:tc>
          <w:tcPr>
            <w:tcW w:w="1860" w:type="dxa"/>
            <w:vMerge w:val="restart"/>
            <w:tcMar>
              <w:top w:w="0" w:type="dxa"/>
              <w:left w:w="0" w:type="dxa"/>
              <w:bottom w:w="0" w:type="dxa"/>
              <w:right w:w="0" w:type="dxa"/>
            </w:tcMar>
          </w:tcPr>
          <w:p>
            <w:pPr>
              <w:spacing w:before="360"/>
              <w:ind w:left="700"/>
            </w:pPr>
            <w:r>
              <w:rPr>
                <w:rFonts w:hint="eastAsia" w:ascii="宋体" w:hAnsi="宋体" w:eastAsia="宋体" w:cs="宋体"/>
                <w:b/>
                <w:sz w:val="21"/>
              </w:rPr>
              <w:t>项目</w:t>
            </w:r>
          </w:p>
        </w:tc>
        <w:tc>
          <w:tcPr>
            <w:tcW w:w="2520" w:type="dxa"/>
            <w:gridSpan w:val="2"/>
            <w:tcMar>
              <w:top w:w="0" w:type="dxa"/>
              <w:left w:w="0" w:type="dxa"/>
              <w:bottom w:w="0" w:type="dxa"/>
              <w:right w:w="0" w:type="dxa"/>
            </w:tcMar>
          </w:tcPr>
          <w:p>
            <w:pPr>
              <w:spacing w:before="180"/>
              <w:ind w:left="760"/>
            </w:pPr>
            <w:r>
              <w:rPr>
                <w:rFonts w:hint="eastAsia" w:ascii="Times New Roman Bold" w:hAnsi="Times New Roman Bold" w:eastAsia="Times New Roman Bold" w:cs="Times New Roman Bold"/>
                <w:b/>
                <w:sz w:val="21"/>
              </w:rPr>
              <w:t>2016-12-31</w:t>
            </w:r>
          </w:p>
        </w:tc>
        <w:tc>
          <w:tcPr>
            <w:tcW w:w="2540" w:type="dxa"/>
            <w:gridSpan w:val="2"/>
            <w:tcMar>
              <w:top w:w="0" w:type="dxa"/>
              <w:left w:w="0" w:type="dxa"/>
              <w:bottom w:w="0" w:type="dxa"/>
              <w:right w:w="0" w:type="dxa"/>
            </w:tcMar>
          </w:tcPr>
          <w:p>
            <w:pPr>
              <w:spacing w:before="180"/>
              <w:ind w:left="760"/>
            </w:pPr>
            <w:r>
              <w:rPr>
                <w:rFonts w:hint="eastAsia" w:ascii="Times New Roman Bold" w:hAnsi="Times New Roman Bold" w:eastAsia="Times New Roman Bold" w:cs="Times New Roman Bold"/>
                <w:b/>
                <w:sz w:val="21"/>
              </w:rPr>
              <w:t>2015-12-31</w:t>
            </w:r>
          </w:p>
        </w:tc>
        <w:tc>
          <w:tcPr>
            <w:tcW w:w="2540" w:type="dxa"/>
            <w:gridSpan w:val="2"/>
            <w:tcMar>
              <w:top w:w="0" w:type="dxa"/>
              <w:left w:w="0" w:type="dxa"/>
              <w:bottom w:w="0" w:type="dxa"/>
              <w:right w:w="0" w:type="dxa"/>
            </w:tcMar>
          </w:tcPr>
          <w:p>
            <w:pPr>
              <w:spacing w:before="180"/>
              <w:ind w:left="760"/>
            </w:pPr>
            <w:r>
              <w:rPr>
                <w:rFonts w:hint="eastAsia" w:ascii="Times New Roman Bold" w:hAnsi="Times New Roman Bold" w:eastAsia="Times New Roman Bold" w:cs="Times New Roman Bold"/>
                <w:b/>
                <w:sz w:val="21"/>
              </w:rPr>
              <w:t>2014-12-31</w:t>
            </w:r>
          </w:p>
        </w:tc>
      </w:tr>
      <w:tr>
        <w:trPr>
          <w:trHeight w:val="480" w:hRule="exact"/>
        </w:trPr>
        <w:tc>
          <w:tcPr>
            <w:tcW w:w="1860" w:type="dxa"/>
            <w:vMerge w:val="continue"/>
            <w:tcMar>
              <w:top w:w="0" w:type="dxa"/>
              <w:left w:w="0" w:type="dxa"/>
              <w:bottom w:w="0" w:type="dxa"/>
              <w:right w:w="0" w:type="dxa"/>
            </w:tcMar>
          </w:tcPr>
          <w:p/>
        </w:tc>
        <w:tc>
          <w:tcPr>
            <w:tcW w:w="1520" w:type="dxa"/>
            <w:tcMar>
              <w:top w:w="0" w:type="dxa"/>
              <w:left w:w="0" w:type="dxa"/>
              <w:bottom w:w="0" w:type="dxa"/>
              <w:right w:w="0" w:type="dxa"/>
            </w:tcMar>
          </w:tcPr>
          <w:p>
            <w:pPr>
              <w:spacing w:before="120"/>
              <w:ind w:left="52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20"/>
              <w:ind w:left="280"/>
            </w:pPr>
            <w:r>
              <w:rPr>
                <w:rFonts w:hint="eastAsia" w:ascii="宋体" w:hAnsi="宋体" w:eastAsia="宋体" w:cs="宋体"/>
                <w:b/>
                <w:sz w:val="21"/>
              </w:rPr>
              <w:t>比例</w:t>
            </w:r>
          </w:p>
        </w:tc>
        <w:tc>
          <w:tcPr>
            <w:tcW w:w="1540" w:type="dxa"/>
            <w:tcMar>
              <w:top w:w="0" w:type="dxa"/>
              <w:left w:w="0" w:type="dxa"/>
              <w:bottom w:w="0" w:type="dxa"/>
              <w:right w:w="0" w:type="dxa"/>
            </w:tcMar>
          </w:tcPr>
          <w:p>
            <w:pPr>
              <w:spacing w:before="120"/>
              <w:ind w:left="54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20"/>
              <w:ind w:left="260"/>
            </w:pPr>
            <w:r>
              <w:rPr>
                <w:rFonts w:hint="eastAsia" w:ascii="宋体" w:hAnsi="宋体" w:eastAsia="宋体" w:cs="宋体"/>
                <w:b/>
                <w:sz w:val="21"/>
              </w:rPr>
              <w:t>比例</w:t>
            </w:r>
          </w:p>
        </w:tc>
        <w:tc>
          <w:tcPr>
            <w:tcW w:w="1520" w:type="dxa"/>
            <w:tcMar>
              <w:top w:w="0" w:type="dxa"/>
              <w:left w:w="0" w:type="dxa"/>
              <w:bottom w:w="0" w:type="dxa"/>
              <w:right w:w="0" w:type="dxa"/>
            </w:tcMar>
          </w:tcPr>
          <w:p>
            <w:pPr>
              <w:spacing w:before="120"/>
              <w:ind w:left="540"/>
            </w:pPr>
            <w:r>
              <w:rPr>
                <w:rFonts w:hint="eastAsia" w:ascii="宋体" w:hAnsi="宋体" w:eastAsia="宋体" w:cs="宋体"/>
                <w:b/>
                <w:sz w:val="21"/>
              </w:rPr>
              <w:t>金额</w:t>
            </w:r>
          </w:p>
        </w:tc>
        <w:tc>
          <w:tcPr>
            <w:tcW w:w="1020" w:type="dxa"/>
            <w:tcMar>
              <w:top w:w="0" w:type="dxa"/>
              <w:left w:w="0" w:type="dxa"/>
              <w:bottom w:w="0" w:type="dxa"/>
              <w:right w:w="0" w:type="dxa"/>
            </w:tcMar>
          </w:tcPr>
          <w:p>
            <w:pPr>
              <w:spacing w:before="120"/>
              <w:ind w:left="280"/>
            </w:pPr>
            <w:r>
              <w:rPr>
                <w:rFonts w:hint="eastAsia" w:ascii="宋体" w:hAnsi="宋体" w:eastAsia="宋体" w:cs="宋体"/>
                <w:b/>
                <w:sz w:val="21"/>
              </w:rPr>
              <w:t>比例</w:t>
            </w:r>
          </w:p>
        </w:tc>
      </w:tr>
      <w:tr>
        <w:trPr>
          <w:trHeight w:val="480" w:hRule="exact"/>
        </w:trPr>
        <w:tc>
          <w:tcPr>
            <w:tcW w:w="1860" w:type="dxa"/>
            <w:tcMar>
              <w:top w:w="0" w:type="dxa"/>
              <w:left w:w="0" w:type="dxa"/>
              <w:bottom w:w="0" w:type="dxa"/>
              <w:right w:w="0" w:type="dxa"/>
            </w:tcMar>
          </w:tcPr>
          <w:p>
            <w:pPr>
              <w:spacing w:before="100"/>
              <w:ind w:left="280"/>
            </w:pPr>
            <w:r>
              <w:rPr>
                <w:rFonts w:hint="eastAsia" w:ascii="宋体" w:hAnsi="宋体" w:eastAsia="宋体" w:cs="宋体"/>
                <w:sz w:val="21"/>
              </w:rPr>
              <w:t>流动资产合计</w:t>
            </w:r>
          </w:p>
        </w:tc>
        <w:tc>
          <w:tcPr>
            <w:tcW w:w="1520" w:type="dxa"/>
            <w:tcMar>
              <w:top w:w="0" w:type="dxa"/>
              <w:left w:w="0" w:type="dxa"/>
              <w:bottom w:w="0" w:type="dxa"/>
              <w:right w:w="0" w:type="dxa"/>
            </w:tcMar>
          </w:tcPr>
          <w:p>
            <w:pPr>
              <w:spacing w:before="160"/>
            </w:pPr>
            <w:r>
              <w:rPr>
                <w:rFonts w:hint="eastAsia" w:ascii="Times New Roman" w:hAnsi="Times New Roman" w:eastAsia="Times New Roman" w:cs="Times New Roman"/>
                <w:sz w:val="21"/>
              </w:rPr>
              <w:t>574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100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540" w:type="dxa"/>
            <w:tcMar>
              <w:top w:w="0" w:type="dxa"/>
              <w:left w:w="0" w:type="dxa"/>
              <w:bottom w:w="0" w:type="dxa"/>
              <w:right w:w="0" w:type="dxa"/>
            </w:tcMar>
          </w:tcPr>
          <w:p>
            <w:pPr>
              <w:spacing w:before="160"/>
              <w:ind w:left="100"/>
            </w:pPr>
            <w:r>
              <w:rPr>
                <w:rFonts w:hint="eastAsia" w:ascii="Times New Roman" w:hAnsi="Times New Roman" w:eastAsia="Times New Roman" w:cs="Times New Roman"/>
                <w:sz w:val="21"/>
              </w:rPr>
              <w:t>472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p>
        </w:tc>
        <w:tc>
          <w:tcPr>
            <w:tcW w:w="1000" w:type="dxa"/>
            <w:tcMar>
              <w:top w:w="0" w:type="dxa"/>
              <w:left w:w="0" w:type="dxa"/>
              <w:bottom w:w="0" w:type="dxa"/>
              <w:right w:w="0" w:type="dxa"/>
            </w:tcMar>
          </w:tcPr>
          <w:p>
            <w:pPr>
              <w:spacing w:before="140"/>
              <w:ind w:left="220"/>
            </w:pPr>
            <w:r>
              <w:rPr>
                <w:rFonts w:hint="eastAsia" w:ascii="Times New Roman" w:hAnsi="Times New Roman" w:eastAsia="Times New Roman" w:cs="Times New Roman"/>
                <w:sz w:val="21"/>
              </w:rPr>
              <w:t>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100"/>
            </w:pPr>
            <w:r>
              <w:rPr>
                <w:rFonts w:hint="eastAsia" w:ascii="Times New Roman" w:hAnsi="Times New Roman" w:eastAsia="Times New Roman" w:cs="Times New Roman"/>
                <w:sz w:val="21"/>
              </w:rPr>
              <w:t>242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02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r>
      <w:tr>
        <w:trPr>
          <w:trHeight w:val="480" w:hRule="exact"/>
        </w:trPr>
        <w:tc>
          <w:tcPr>
            <w:tcW w:w="1860" w:type="dxa"/>
            <w:tcMar>
              <w:top w:w="0" w:type="dxa"/>
              <w:left w:w="0" w:type="dxa"/>
              <w:bottom w:w="0" w:type="dxa"/>
              <w:right w:w="0" w:type="dxa"/>
            </w:tcMar>
          </w:tcPr>
          <w:p>
            <w:pPr>
              <w:spacing w:before="120"/>
              <w:ind w:left="180"/>
            </w:pPr>
            <w:r>
              <w:rPr>
                <w:rFonts w:hint="eastAsia" w:ascii="宋体" w:hAnsi="宋体" w:eastAsia="宋体" w:cs="宋体"/>
                <w:sz w:val="21"/>
              </w:rPr>
              <w:t>非流动资产合计</w:t>
            </w:r>
          </w:p>
        </w:tc>
        <w:tc>
          <w:tcPr>
            <w:tcW w:w="15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p>
        </w:tc>
        <w:tc>
          <w:tcPr>
            <w:tcW w:w="100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54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100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p>
        </w:tc>
        <w:tc>
          <w:tcPr>
            <w:tcW w:w="102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460" w:hRule="exact"/>
        </w:trPr>
        <w:tc>
          <w:tcPr>
            <w:tcW w:w="1860" w:type="dxa"/>
            <w:tcMar>
              <w:top w:w="0" w:type="dxa"/>
              <w:left w:w="0" w:type="dxa"/>
              <w:bottom w:w="0" w:type="dxa"/>
              <w:right w:w="0" w:type="dxa"/>
            </w:tcMar>
          </w:tcPr>
          <w:p>
            <w:pPr>
              <w:spacing w:before="100"/>
              <w:ind w:left="500"/>
            </w:pPr>
            <w:r>
              <w:rPr>
                <w:rFonts w:hint="eastAsia" w:ascii="宋体" w:hAnsi="宋体" w:eastAsia="宋体" w:cs="宋体"/>
                <w:b/>
                <w:sz w:val="21"/>
              </w:rPr>
              <w:t>资产总计</w:t>
            </w:r>
          </w:p>
        </w:tc>
        <w:tc>
          <w:tcPr>
            <w:tcW w:w="1520" w:type="dxa"/>
            <w:tcMar>
              <w:top w:w="0" w:type="dxa"/>
              <w:left w:w="0" w:type="dxa"/>
              <w:bottom w:w="0" w:type="dxa"/>
              <w:right w:w="0" w:type="dxa"/>
            </w:tcMar>
          </w:tcPr>
          <w:p>
            <w:pPr>
              <w:spacing w:before="160"/>
            </w:pPr>
            <w:r>
              <w:rPr>
                <w:rFonts w:hint="eastAsia" w:ascii="Times New Roman Bold" w:hAnsi="Times New Roman Bold" w:eastAsia="Times New Roman Bold" w:cs="Times New Roman Bold"/>
                <w:b/>
                <w:sz w:val="21"/>
              </w:rPr>
              <w:t>631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26</w:t>
            </w:r>
          </w:p>
        </w:tc>
        <w:tc>
          <w:tcPr>
            <w:tcW w:w="1000" w:type="dxa"/>
            <w:tcMar>
              <w:top w:w="0" w:type="dxa"/>
              <w:left w:w="0" w:type="dxa"/>
              <w:bottom w:w="0" w:type="dxa"/>
              <w:right w:w="0" w:type="dxa"/>
            </w:tcMar>
          </w:tcPr>
          <w:p>
            <w:pPr>
              <w:spacing w:before="16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40" w:type="dxa"/>
            <w:tcMar>
              <w:top w:w="0" w:type="dxa"/>
              <w:left w:w="0" w:type="dxa"/>
              <w:bottom w:w="0" w:type="dxa"/>
              <w:right w:w="0" w:type="dxa"/>
            </w:tcMar>
          </w:tcPr>
          <w:p>
            <w:pPr>
              <w:spacing w:before="160"/>
              <w:ind w:left="100"/>
            </w:pPr>
            <w:r>
              <w:rPr>
                <w:rFonts w:hint="eastAsia" w:ascii="Times New Roman Bold" w:hAnsi="Times New Roman Bold" w:eastAsia="Times New Roman Bold" w:cs="Times New Roman Bold"/>
                <w:b/>
                <w:sz w:val="21"/>
              </w:rPr>
              <w:t>534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w:t>
            </w:r>
          </w:p>
        </w:tc>
        <w:tc>
          <w:tcPr>
            <w:tcW w:w="1000" w:type="dxa"/>
            <w:tcMar>
              <w:top w:w="0" w:type="dxa"/>
              <w:left w:w="0" w:type="dxa"/>
              <w:bottom w:w="0" w:type="dxa"/>
              <w:right w:w="0" w:type="dxa"/>
            </w:tcMar>
          </w:tcPr>
          <w:p>
            <w:pPr>
              <w:spacing w:before="1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20" w:type="dxa"/>
            <w:tcMar>
              <w:top w:w="0" w:type="dxa"/>
              <w:left w:w="0" w:type="dxa"/>
              <w:bottom w:w="0" w:type="dxa"/>
              <w:right w:w="0" w:type="dxa"/>
            </w:tcMar>
          </w:tcPr>
          <w:p>
            <w:pPr>
              <w:spacing w:before="160"/>
              <w:ind w:left="100"/>
            </w:pPr>
            <w:r>
              <w:rPr>
                <w:rFonts w:hint="eastAsia" w:ascii="Times New Roman Bold" w:hAnsi="Times New Roman Bold" w:eastAsia="Times New Roman Bold" w:cs="Times New Roman Bold"/>
                <w:b/>
                <w:sz w:val="21"/>
              </w:rPr>
              <w:t>299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w:t>
            </w:r>
          </w:p>
        </w:tc>
        <w:tc>
          <w:tcPr>
            <w:tcW w:w="1020" w:type="dxa"/>
            <w:tcMar>
              <w:top w:w="0" w:type="dxa"/>
              <w:left w:w="0" w:type="dxa"/>
              <w:bottom w:w="0" w:type="dxa"/>
              <w:right w:w="0" w:type="dxa"/>
            </w:tcMar>
          </w:tcPr>
          <w:p>
            <w:pPr>
              <w:spacing w:before="16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公司资产规模逐年增长</w:t>
      </w:r>
      <w:r>
        <w:rPr>
          <w:rFonts w:hint="eastAsia" w:ascii="宋体" w:hAnsi="宋体" w:eastAsia="宋体" w:cs="宋体"/>
          <w:sz w:val="10"/>
        </w:rPr>
        <w:t>，</w:t>
      </w:r>
      <w:r>
        <w:rPr>
          <w:rFonts w:hint="eastAsia" w:ascii="宋体" w:hAnsi="宋体" w:eastAsia="宋体" w:cs="宋体"/>
          <w:sz w:val="24"/>
        </w:rPr>
        <w:t>这主要得益于营业收入的持续增长和盈利能力的不断提高</w:t>
      </w:r>
      <w:r>
        <w:rPr>
          <w:rFonts w:hint="eastAsia" w:ascii="宋体" w:hAnsi="宋体" w:eastAsia="宋体" w:cs="宋体"/>
          <w:sz w:val="10"/>
        </w:rPr>
        <w:t>。</w:t>
      </w:r>
      <w:r>
        <w:rPr>
          <w:rFonts w:hint="eastAsia" w:ascii="宋体" w:hAnsi="宋体" w:eastAsia="宋体" w:cs="宋体"/>
          <w:sz w:val="24"/>
        </w:rPr>
        <w:t>公司流动资产占总资产的比重较大</w:t>
      </w:r>
      <w:r>
        <w:rPr>
          <w:rFonts w:hint="eastAsia" w:ascii="宋体" w:hAnsi="宋体" w:eastAsia="宋体" w:cs="宋体"/>
          <w:sz w:val="10"/>
        </w:rPr>
        <w:t>，</w:t>
      </w:r>
      <w:r>
        <w:rPr>
          <w:rFonts w:hint="eastAsia" w:ascii="宋体" w:hAnsi="宋体" w:eastAsia="宋体" w:cs="宋体"/>
          <w:sz w:val="24"/>
        </w:rPr>
        <w:t>达到</w:t>
      </w:r>
      <w:r>
        <w:rPr>
          <w:rFonts w:hint="eastAsia" w:ascii="Times New Roman" w:hAnsi="Times New Roman" w:eastAsia="Times New Roman" w:cs="Times New Roman"/>
          <w:sz w:val="24"/>
        </w:rPr>
        <w:t xml:space="preserve"> 80%</w:t>
      </w:r>
      <w:r>
        <w:rPr>
          <w:rFonts w:hint="eastAsia" w:ascii="宋体" w:hAnsi="宋体" w:eastAsia="宋体" w:cs="宋体"/>
          <w:sz w:val="24"/>
        </w:rPr>
        <w:t>以上</w:t>
      </w:r>
      <w:r>
        <w:rPr>
          <w:rFonts w:hint="eastAsia" w:ascii="宋体" w:hAnsi="宋体" w:eastAsia="宋体" w:cs="宋体"/>
          <w:sz w:val="10"/>
        </w:rPr>
        <w:t>。</w:t>
      </w:r>
      <w:r>
        <w:rPr>
          <w:rFonts w:hint="eastAsia" w:ascii="宋体" w:hAnsi="宋体" w:eastAsia="宋体" w:cs="宋体"/>
          <w:sz w:val="24"/>
        </w:rPr>
        <w:t>流动资产主要由货币资金</w:t>
      </w:r>
      <w:r>
        <w:rPr>
          <w:rFonts w:hint="eastAsia" w:ascii="宋体" w:hAnsi="宋体" w:eastAsia="宋体" w:cs="宋体"/>
          <w:sz w:val="10"/>
        </w:rPr>
        <w:t>、</w:t>
      </w:r>
      <w:r>
        <w:rPr>
          <w:rFonts w:hint="eastAsia" w:ascii="宋体" w:hAnsi="宋体" w:eastAsia="宋体" w:cs="宋体"/>
          <w:sz w:val="24"/>
        </w:rPr>
        <w:t>应收账款和存货组成</w:t>
      </w:r>
      <w:r>
        <w:rPr>
          <w:rFonts w:hint="eastAsia" w:ascii="宋体" w:hAnsi="宋体" w:eastAsia="宋体" w:cs="宋体"/>
          <w:sz w:val="10"/>
        </w:rPr>
        <w:t>，</w:t>
      </w:r>
      <w:r>
        <w:rPr>
          <w:rFonts w:hint="eastAsia" w:ascii="宋体" w:hAnsi="宋体" w:eastAsia="宋体" w:cs="宋体"/>
          <w:sz w:val="24"/>
        </w:rPr>
        <w:t>资产流动性好</w:t>
      </w:r>
      <w:r>
        <w:rPr>
          <w:rFonts w:hint="eastAsia" w:ascii="宋体" w:hAnsi="宋体" w:eastAsia="宋体" w:cs="宋体"/>
          <w:sz w:val="10"/>
        </w:rPr>
        <w:t>。</w:t>
      </w:r>
      <w:r>
        <w:rPr>
          <w:rFonts w:hint="eastAsia" w:ascii="宋体" w:hAnsi="宋体" w:eastAsia="宋体" w:cs="宋体"/>
          <w:sz w:val="24"/>
        </w:rPr>
        <w:t>公司非流动资产主要是固定资产和递延所得税资产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流动资产构成及其变化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公司流动资产主要结构如下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80"/>
        <w:gridCol w:w="1700"/>
        <w:gridCol w:w="1120"/>
        <w:gridCol w:w="1520"/>
        <w:gridCol w:w="1020"/>
        <w:gridCol w:w="1520"/>
        <w:gridCol w:w="1000"/>
      </w:tblGrid>
      <w:tr>
        <w:trPr>
          <w:trHeight w:val="480" w:hRule="exact"/>
        </w:trPr>
        <w:tc>
          <w:tcPr>
            <w:tcW w:w="1380" w:type="dxa"/>
            <w:vMerge w:val="restart"/>
            <w:tcMar>
              <w:top w:w="0" w:type="dxa"/>
              <w:left w:w="0" w:type="dxa"/>
              <w:bottom w:w="0" w:type="dxa"/>
              <w:right w:w="0" w:type="dxa"/>
            </w:tcMar>
          </w:tcPr>
          <w:p>
            <w:pPr>
              <w:spacing w:before="360"/>
              <w:ind w:left="460"/>
            </w:pPr>
            <w:r>
              <w:rPr>
                <w:rFonts w:hint="eastAsia" w:ascii="宋体" w:hAnsi="宋体" w:eastAsia="宋体" w:cs="宋体"/>
                <w:b/>
                <w:sz w:val="21"/>
              </w:rPr>
              <w:t>项目</w:t>
            </w:r>
          </w:p>
        </w:tc>
        <w:tc>
          <w:tcPr>
            <w:tcW w:w="2820" w:type="dxa"/>
            <w:gridSpan w:val="2"/>
            <w:tcMar>
              <w:top w:w="0" w:type="dxa"/>
              <w:left w:w="0" w:type="dxa"/>
              <w:bottom w:w="0" w:type="dxa"/>
              <w:right w:w="0" w:type="dxa"/>
            </w:tcMar>
          </w:tcPr>
          <w:p>
            <w:pPr>
              <w:spacing w:before="140"/>
              <w:ind w:left="900"/>
            </w:pPr>
            <w:r>
              <w:rPr>
                <w:rFonts w:hint="eastAsia" w:ascii="Times New Roman Bold" w:hAnsi="Times New Roman Bold" w:eastAsia="Times New Roman Bold" w:cs="Times New Roman Bold"/>
                <w:b/>
                <w:sz w:val="21"/>
              </w:rPr>
              <w:t>2016-12-31</w:t>
            </w:r>
          </w:p>
        </w:tc>
        <w:tc>
          <w:tcPr>
            <w:tcW w:w="2540" w:type="dxa"/>
            <w:gridSpan w:val="2"/>
            <w:tcMar>
              <w:top w:w="0" w:type="dxa"/>
              <w:left w:w="0" w:type="dxa"/>
              <w:bottom w:w="0" w:type="dxa"/>
              <w:right w:w="0" w:type="dxa"/>
            </w:tcMar>
          </w:tcPr>
          <w:p>
            <w:pPr>
              <w:spacing w:before="140"/>
              <w:ind w:left="760"/>
            </w:pPr>
            <w:r>
              <w:rPr>
                <w:rFonts w:hint="eastAsia" w:ascii="Times New Roman Bold" w:hAnsi="Times New Roman Bold" w:eastAsia="Times New Roman Bold" w:cs="Times New Roman Bold"/>
                <w:b/>
                <w:sz w:val="21"/>
              </w:rPr>
              <w:t>2015-12-31</w:t>
            </w:r>
          </w:p>
        </w:tc>
        <w:tc>
          <w:tcPr>
            <w:tcW w:w="2520" w:type="dxa"/>
            <w:gridSpan w:val="2"/>
            <w:tcMar>
              <w:top w:w="0" w:type="dxa"/>
              <w:left w:w="0" w:type="dxa"/>
              <w:bottom w:w="0" w:type="dxa"/>
              <w:right w:w="0" w:type="dxa"/>
            </w:tcMar>
          </w:tcPr>
          <w:p>
            <w:pPr>
              <w:spacing w:before="140"/>
              <w:ind w:left="760"/>
            </w:pPr>
            <w:r>
              <w:rPr>
                <w:rFonts w:hint="eastAsia" w:ascii="Times New Roman Bold" w:hAnsi="Times New Roman Bold" w:eastAsia="Times New Roman Bold" w:cs="Times New Roman Bold"/>
                <w:b/>
                <w:sz w:val="21"/>
              </w:rPr>
              <w:t>2014-12-31</w:t>
            </w:r>
          </w:p>
        </w:tc>
      </w:tr>
      <w:tr>
        <w:trPr>
          <w:trHeight w:val="480" w:hRule="exact"/>
        </w:trPr>
        <w:tc>
          <w:tcPr>
            <w:tcW w:w="1380" w:type="dxa"/>
            <w:vMerge w:val="continue"/>
            <w:tcMar>
              <w:top w:w="0" w:type="dxa"/>
              <w:left w:w="0" w:type="dxa"/>
              <w:bottom w:w="0" w:type="dxa"/>
              <w:right w:w="0" w:type="dxa"/>
            </w:tcMar>
          </w:tcPr>
          <w:p/>
        </w:tc>
        <w:tc>
          <w:tcPr>
            <w:tcW w:w="1700" w:type="dxa"/>
            <w:tcMar>
              <w:top w:w="0" w:type="dxa"/>
              <w:left w:w="0" w:type="dxa"/>
              <w:bottom w:w="0" w:type="dxa"/>
              <w:right w:w="0" w:type="dxa"/>
            </w:tcMar>
          </w:tcPr>
          <w:p>
            <w:pPr>
              <w:spacing w:before="120"/>
              <w:ind w:left="620"/>
            </w:pPr>
            <w:r>
              <w:rPr>
                <w:rFonts w:hint="eastAsia" w:ascii="宋体" w:hAnsi="宋体" w:eastAsia="宋体" w:cs="宋体"/>
                <w:b/>
                <w:sz w:val="21"/>
              </w:rPr>
              <w:t>金额</w:t>
            </w:r>
          </w:p>
        </w:tc>
        <w:tc>
          <w:tcPr>
            <w:tcW w:w="1120" w:type="dxa"/>
            <w:tcMar>
              <w:top w:w="0" w:type="dxa"/>
              <w:left w:w="0" w:type="dxa"/>
              <w:bottom w:w="0" w:type="dxa"/>
              <w:right w:w="0" w:type="dxa"/>
            </w:tcMar>
          </w:tcPr>
          <w:p>
            <w:pPr>
              <w:spacing w:before="120"/>
              <w:ind w:left="340"/>
            </w:pPr>
            <w:r>
              <w:rPr>
                <w:rFonts w:hint="eastAsia" w:ascii="宋体" w:hAnsi="宋体" w:eastAsia="宋体" w:cs="宋体"/>
                <w:b/>
                <w:sz w:val="21"/>
              </w:rPr>
              <w:t>比例</w:t>
            </w:r>
          </w:p>
        </w:tc>
        <w:tc>
          <w:tcPr>
            <w:tcW w:w="1520" w:type="dxa"/>
            <w:tcMar>
              <w:top w:w="0" w:type="dxa"/>
              <w:left w:w="0" w:type="dxa"/>
              <w:bottom w:w="0" w:type="dxa"/>
              <w:right w:w="0" w:type="dxa"/>
            </w:tcMar>
          </w:tcPr>
          <w:p>
            <w:pPr>
              <w:spacing w:before="120"/>
              <w:ind w:left="540"/>
            </w:pPr>
            <w:r>
              <w:rPr>
                <w:rFonts w:hint="eastAsia" w:ascii="宋体" w:hAnsi="宋体" w:eastAsia="宋体" w:cs="宋体"/>
                <w:b/>
                <w:sz w:val="21"/>
              </w:rPr>
              <w:t>金额</w:t>
            </w:r>
          </w:p>
        </w:tc>
        <w:tc>
          <w:tcPr>
            <w:tcW w:w="1020" w:type="dxa"/>
            <w:tcMar>
              <w:top w:w="0" w:type="dxa"/>
              <w:left w:w="0" w:type="dxa"/>
              <w:bottom w:w="0" w:type="dxa"/>
              <w:right w:w="0" w:type="dxa"/>
            </w:tcMar>
          </w:tcPr>
          <w:p>
            <w:pPr>
              <w:spacing w:before="120"/>
              <w:ind w:left="280"/>
            </w:pPr>
            <w:r>
              <w:rPr>
                <w:rFonts w:hint="eastAsia" w:ascii="宋体" w:hAnsi="宋体" w:eastAsia="宋体" w:cs="宋体"/>
                <w:b/>
                <w:sz w:val="21"/>
              </w:rPr>
              <w:t>比例</w:t>
            </w:r>
          </w:p>
        </w:tc>
        <w:tc>
          <w:tcPr>
            <w:tcW w:w="1520" w:type="dxa"/>
            <w:tcMar>
              <w:top w:w="0" w:type="dxa"/>
              <w:left w:w="0" w:type="dxa"/>
              <w:bottom w:w="0" w:type="dxa"/>
              <w:right w:w="0" w:type="dxa"/>
            </w:tcMar>
          </w:tcPr>
          <w:p>
            <w:pPr>
              <w:spacing w:before="120"/>
              <w:ind w:left="52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20"/>
              <w:ind w:left="280"/>
            </w:pPr>
            <w:r>
              <w:rPr>
                <w:rFonts w:hint="eastAsia" w:ascii="宋体" w:hAnsi="宋体" w:eastAsia="宋体" w:cs="宋体"/>
                <w:b/>
                <w:sz w:val="21"/>
              </w:rPr>
              <w:t>比例</w:t>
            </w:r>
          </w:p>
        </w:tc>
      </w:tr>
      <w:tr>
        <w:trPr>
          <w:trHeight w:val="460" w:hRule="exact"/>
        </w:trPr>
        <w:tc>
          <w:tcPr>
            <w:tcW w:w="1380" w:type="dxa"/>
            <w:tcMar>
              <w:top w:w="0" w:type="dxa"/>
              <w:left w:w="0" w:type="dxa"/>
              <w:bottom w:w="0" w:type="dxa"/>
              <w:right w:w="0" w:type="dxa"/>
            </w:tcMar>
          </w:tcPr>
          <w:p>
            <w:pPr>
              <w:spacing w:before="100"/>
              <w:ind w:left="260"/>
            </w:pPr>
            <w:r>
              <w:rPr>
                <w:rFonts w:hint="eastAsia" w:ascii="宋体" w:hAnsi="宋体" w:eastAsia="宋体" w:cs="宋体"/>
                <w:sz w:val="21"/>
              </w:rPr>
              <w:t>货币资金</w:t>
            </w:r>
          </w:p>
        </w:tc>
        <w:tc>
          <w:tcPr>
            <w:tcW w:w="170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512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c>
          <w:tcPr>
            <w:tcW w:w="11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100"/>
            </w:pPr>
            <w:r>
              <w:rPr>
                <w:rFonts w:hint="eastAsia" w:ascii="Times New Roman" w:hAnsi="Times New Roman" w:eastAsia="Times New Roman" w:cs="Times New Roman"/>
                <w:sz w:val="21"/>
              </w:rPr>
              <w:t>422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102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pPr>
            <w:r>
              <w:rPr>
                <w:rFonts w:hint="eastAsia" w:ascii="Times New Roman" w:hAnsi="Times New Roman" w:eastAsia="Times New Roman" w:cs="Times New Roman"/>
                <w:sz w:val="21"/>
              </w:rPr>
              <w:t>195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100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p>
        </w:tc>
      </w:tr>
      <w:tr>
        <w:trPr>
          <w:trHeight w:val="480" w:hRule="exact"/>
        </w:trPr>
        <w:tc>
          <w:tcPr>
            <w:tcW w:w="1380" w:type="dxa"/>
            <w:tcMar>
              <w:top w:w="0" w:type="dxa"/>
              <w:left w:w="0" w:type="dxa"/>
              <w:bottom w:w="0" w:type="dxa"/>
              <w:right w:w="0" w:type="dxa"/>
            </w:tcMar>
          </w:tcPr>
          <w:p>
            <w:pPr>
              <w:spacing w:before="120"/>
              <w:ind w:left="260"/>
            </w:pPr>
            <w:r>
              <w:rPr>
                <w:rFonts w:hint="eastAsia" w:ascii="宋体" w:hAnsi="宋体" w:eastAsia="宋体" w:cs="宋体"/>
                <w:sz w:val="21"/>
              </w:rPr>
              <w:t>应收账款</w:t>
            </w:r>
          </w:p>
        </w:tc>
        <w:tc>
          <w:tcPr>
            <w:tcW w:w="17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11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10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100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p>
        </w:tc>
      </w:tr>
      <w:tr>
        <w:trPr>
          <w:trHeight w:val="480" w:hRule="exact"/>
        </w:trPr>
        <w:tc>
          <w:tcPr>
            <w:tcW w:w="1380" w:type="dxa"/>
            <w:tcMar>
              <w:top w:w="0" w:type="dxa"/>
              <w:left w:w="0" w:type="dxa"/>
              <w:bottom w:w="0" w:type="dxa"/>
              <w:right w:w="0" w:type="dxa"/>
            </w:tcMar>
          </w:tcPr>
          <w:p>
            <w:pPr>
              <w:spacing w:before="100"/>
              <w:ind w:left="260"/>
            </w:pPr>
            <w:r>
              <w:rPr>
                <w:rFonts w:hint="eastAsia" w:ascii="宋体" w:hAnsi="宋体" w:eastAsia="宋体" w:cs="宋体"/>
                <w:sz w:val="21"/>
              </w:rPr>
              <w:t>预付款项</w:t>
            </w:r>
          </w:p>
        </w:tc>
        <w:tc>
          <w:tcPr>
            <w:tcW w:w="170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112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40"/>
              <w:ind w:left="3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1020" w:type="dxa"/>
            <w:tcMar>
              <w:top w:w="0" w:type="dxa"/>
              <w:left w:w="0" w:type="dxa"/>
              <w:bottom w:w="0" w:type="dxa"/>
              <w:right w:w="0" w:type="dxa"/>
            </w:tcMar>
          </w:tcPr>
          <w:p>
            <w:pPr>
              <w:spacing w:before="14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1000" w:type="dxa"/>
            <w:tcMar>
              <w:top w:w="0" w:type="dxa"/>
              <w:left w:w="0" w:type="dxa"/>
              <w:bottom w:w="0" w:type="dxa"/>
              <w:right w:w="0" w:type="dxa"/>
            </w:tcMar>
          </w:tcPr>
          <w:p>
            <w:pPr>
              <w:spacing w:before="14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p>
        </w:tc>
      </w:tr>
      <w:tr>
        <w:trPr>
          <w:trHeight w:val="480" w:hRule="exact"/>
        </w:trPr>
        <w:tc>
          <w:tcPr>
            <w:tcW w:w="1380" w:type="dxa"/>
            <w:tcMar>
              <w:top w:w="0" w:type="dxa"/>
              <w:left w:w="0" w:type="dxa"/>
              <w:bottom w:w="0" w:type="dxa"/>
              <w:right w:w="0" w:type="dxa"/>
            </w:tcMar>
          </w:tcPr>
          <w:p>
            <w:pPr>
              <w:spacing w:before="120"/>
              <w:ind w:left="260"/>
            </w:pPr>
            <w:r>
              <w:rPr>
                <w:rFonts w:hint="eastAsia" w:ascii="宋体" w:hAnsi="宋体" w:eastAsia="宋体" w:cs="宋体"/>
                <w:sz w:val="21"/>
              </w:rPr>
              <w:t>应收利息</w:t>
            </w:r>
          </w:p>
        </w:tc>
        <w:tc>
          <w:tcPr>
            <w:tcW w:w="1700" w:type="dxa"/>
            <w:tcMar>
              <w:top w:w="0" w:type="dxa"/>
              <w:left w:w="0" w:type="dxa"/>
              <w:bottom w:w="0" w:type="dxa"/>
              <w:right w:w="0" w:type="dxa"/>
            </w:tcMar>
          </w:tcPr>
          <w:p>
            <w:pPr>
              <w:spacing w:before="160"/>
              <w:ind w:left="640"/>
            </w:pPr>
            <w:r>
              <w:rPr>
                <w:rFonts w:hint="eastAsia" w:ascii="Times New Roman" w:hAnsi="Times New Roman" w:eastAsia="Times New Roman" w:cs="Times New Roman"/>
                <w:sz w:val="21"/>
              </w:rPr>
              <w:t>889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11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0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560"/>
            </w:pP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p>
        </w:tc>
        <w:tc>
          <w:tcPr>
            <w:tcW w:w="100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460" w:hRule="exact"/>
        </w:trPr>
        <w:tc>
          <w:tcPr>
            <w:tcW w:w="1380" w:type="dxa"/>
            <w:tcMar>
              <w:top w:w="0" w:type="dxa"/>
              <w:left w:w="0" w:type="dxa"/>
              <w:bottom w:w="0" w:type="dxa"/>
              <w:right w:w="0" w:type="dxa"/>
            </w:tcMar>
          </w:tcPr>
          <w:p>
            <w:pPr>
              <w:spacing w:before="100"/>
              <w:ind w:left="140"/>
            </w:pPr>
            <w:r>
              <w:rPr>
                <w:rFonts w:hint="eastAsia" w:ascii="宋体" w:hAnsi="宋体" w:eastAsia="宋体" w:cs="宋体"/>
                <w:sz w:val="21"/>
              </w:rPr>
              <w:t>其他应收款</w:t>
            </w:r>
          </w:p>
        </w:tc>
        <w:tc>
          <w:tcPr>
            <w:tcW w:w="17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1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10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c>
          <w:tcPr>
            <w:tcW w:w="100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p>
        </w:tc>
      </w:tr>
      <w:tr>
        <w:trPr>
          <w:trHeight w:val="480" w:hRule="exact"/>
        </w:trPr>
        <w:tc>
          <w:tcPr>
            <w:tcW w:w="1380" w:type="dxa"/>
            <w:tcMar>
              <w:top w:w="0" w:type="dxa"/>
              <w:left w:w="0" w:type="dxa"/>
              <w:bottom w:w="0" w:type="dxa"/>
              <w:right w:w="0" w:type="dxa"/>
            </w:tcMar>
          </w:tcPr>
          <w:p>
            <w:pPr>
              <w:spacing w:before="120"/>
              <w:ind w:left="460"/>
            </w:pPr>
            <w:r>
              <w:rPr>
                <w:rFonts w:hint="eastAsia" w:ascii="宋体" w:hAnsi="宋体" w:eastAsia="宋体" w:cs="宋体"/>
                <w:sz w:val="21"/>
              </w:rPr>
              <w:t>存货</w:t>
            </w:r>
          </w:p>
        </w:tc>
        <w:tc>
          <w:tcPr>
            <w:tcW w:w="17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1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102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c>
          <w:tcPr>
            <w:tcW w:w="100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1-1-254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80"/>
        <w:gridCol w:w="1700"/>
        <w:gridCol w:w="1120"/>
        <w:gridCol w:w="1520"/>
        <w:gridCol w:w="1020"/>
        <w:gridCol w:w="1520"/>
        <w:gridCol w:w="1000"/>
      </w:tblGrid>
      <w:tr>
        <w:trPr>
          <w:trHeight w:val="480" w:hRule="exact"/>
        </w:trPr>
        <w:tc>
          <w:tcPr>
            <w:tcW w:w="1380" w:type="dxa"/>
            <w:vMerge w:val="restart"/>
            <w:tcMar>
              <w:top w:w="0" w:type="dxa"/>
              <w:left w:w="0" w:type="dxa"/>
              <w:bottom w:w="0" w:type="dxa"/>
              <w:right w:w="0" w:type="dxa"/>
            </w:tcMar>
          </w:tcPr>
          <w:p>
            <w:pPr>
              <w:spacing w:before="340"/>
              <w:ind w:left="460"/>
            </w:pPr>
            <w:r>
              <w:rPr>
                <w:rFonts w:hint="eastAsia" w:ascii="宋体" w:hAnsi="宋体" w:eastAsia="宋体" w:cs="宋体"/>
                <w:b/>
                <w:sz w:val="21"/>
              </w:rPr>
              <w:t>项目</w:t>
            </w:r>
          </w:p>
        </w:tc>
        <w:tc>
          <w:tcPr>
            <w:tcW w:w="2820" w:type="dxa"/>
            <w:gridSpan w:val="2"/>
            <w:tcMar>
              <w:top w:w="0" w:type="dxa"/>
              <w:left w:w="0" w:type="dxa"/>
              <w:bottom w:w="0" w:type="dxa"/>
              <w:right w:w="0" w:type="dxa"/>
            </w:tcMar>
          </w:tcPr>
          <w:p>
            <w:pPr>
              <w:spacing w:before="140"/>
              <w:ind w:left="900"/>
            </w:pPr>
            <w:r>
              <w:rPr>
                <w:rFonts w:hint="eastAsia" w:ascii="Times New Roman Bold" w:hAnsi="Times New Roman Bold" w:eastAsia="Times New Roman Bold" w:cs="Times New Roman Bold"/>
                <w:b/>
                <w:sz w:val="21"/>
              </w:rPr>
              <w:t>2016-12-31</w:t>
            </w:r>
          </w:p>
        </w:tc>
        <w:tc>
          <w:tcPr>
            <w:tcW w:w="2540" w:type="dxa"/>
            <w:gridSpan w:val="2"/>
            <w:tcMar>
              <w:top w:w="0" w:type="dxa"/>
              <w:left w:w="0" w:type="dxa"/>
              <w:bottom w:w="0" w:type="dxa"/>
              <w:right w:w="0" w:type="dxa"/>
            </w:tcMar>
          </w:tcPr>
          <w:p>
            <w:pPr>
              <w:spacing w:before="140"/>
              <w:ind w:left="760"/>
            </w:pPr>
            <w:r>
              <w:rPr>
                <w:rFonts w:hint="eastAsia" w:ascii="Times New Roman Bold" w:hAnsi="Times New Roman Bold" w:eastAsia="Times New Roman Bold" w:cs="Times New Roman Bold"/>
                <w:b/>
                <w:sz w:val="21"/>
              </w:rPr>
              <w:t>2015-12-31</w:t>
            </w:r>
          </w:p>
        </w:tc>
        <w:tc>
          <w:tcPr>
            <w:tcW w:w="2520" w:type="dxa"/>
            <w:gridSpan w:val="2"/>
            <w:tcMar>
              <w:top w:w="0" w:type="dxa"/>
              <w:left w:w="0" w:type="dxa"/>
              <w:bottom w:w="0" w:type="dxa"/>
              <w:right w:w="0" w:type="dxa"/>
            </w:tcMar>
          </w:tcPr>
          <w:p>
            <w:pPr>
              <w:spacing w:before="140"/>
              <w:ind w:left="760"/>
            </w:pPr>
            <w:r>
              <w:rPr>
                <w:rFonts w:hint="eastAsia" w:ascii="Times New Roman Bold" w:hAnsi="Times New Roman Bold" w:eastAsia="Times New Roman Bold" w:cs="Times New Roman Bold"/>
                <w:b/>
                <w:sz w:val="21"/>
              </w:rPr>
              <w:t>2014-12-31</w:t>
            </w:r>
          </w:p>
        </w:tc>
      </w:tr>
      <w:tr>
        <w:trPr>
          <w:trHeight w:val="480" w:hRule="exact"/>
        </w:trPr>
        <w:tc>
          <w:tcPr>
            <w:tcW w:w="1380" w:type="dxa"/>
            <w:vMerge w:val="continue"/>
            <w:tcMar>
              <w:top w:w="0" w:type="dxa"/>
              <w:left w:w="0" w:type="dxa"/>
              <w:bottom w:w="0" w:type="dxa"/>
              <w:right w:w="0" w:type="dxa"/>
            </w:tcMar>
          </w:tcPr>
          <w:p/>
        </w:tc>
        <w:tc>
          <w:tcPr>
            <w:tcW w:w="1700" w:type="dxa"/>
            <w:tcMar>
              <w:top w:w="0" w:type="dxa"/>
              <w:left w:w="0" w:type="dxa"/>
              <w:bottom w:w="0" w:type="dxa"/>
              <w:right w:w="0" w:type="dxa"/>
            </w:tcMar>
          </w:tcPr>
          <w:p>
            <w:pPr>
              <w:spacing w:before="120"/>
              <w:ind w:left="620"/>
            </w:pPr>
            <w:r>
              <w:rPr>
                <w:rFonts w:hint="eastAsia" w:ascii="宋体" w:hAnsi="宋体" w:eastAsia="宋体" w:cs="宋体"/>
                <w:b/>
                <w:sz w:val="21"/>
              </w:rPr>
              <w:t>金额</w:t>
            </w:r>
          </w:p>
        </w:tc>
        <w:tc>
          <w:tcPr>
            <w:tcW w:w="1120" w:type="dxa"/>
            <w:tcMar>
              <w:top w:w="0" w:type="dxa"/>
              <w:left w:w="0" w:type="dxa"/>
              <w:bottom w:w="0" w:type="dxa"/>
              <w:right w:w="0" w:type="dxa"/>
            </w:tcMar>
          </w:tcPr>
          <w:p>
            <w:pPr>
              <w:spacing w:before="120"/>
              <w:ind w:left="340"/>
            </w:pPr>
            <w:r>
              <w:rPr>
                <w:rFonts w:hint="eastAsia" w:ascii="宋体" w:hAnsi="宋体" w:eastAsia="宋体" w:cs="宋体"/>
                <w:b/>
                <w:sz w:val="21"/>
              </w:rPr>
              <w:t>比例</w:t>
            </w:r>
          </w:p>
        </w:tc>
        <w:tc>
          <w:tcPr>
            <w:tcW w:w="1520" w:type="dxa"/>
            <w:tcMar>
              <w:top w:w="0" w:type="dxa"/>
              <w:left w:w="0" w:type="dxa"/>
              <w:bottom w:w="0" w:type="dxa"/>
              <w:right w:w="0" w:type="dxa"/>
            </w:tcMar>
          </w:tcPr>
          <w:p>
            <w:pPr>
              <w:spacing w:before="120"/>
              <w:ind w:left="540"/>
            </w:pPr>
            <w:r>
              <w:rPr>
                <w:rFonts w:hint="eastAsia" w:ascii="宋体" w:hAnsi="宋体" w:eastAsia="宋体" w:cs="宋体"/>
                <w:b/>
                <w:sz w:val="21"/>
              </w:rPr>
              <w:t>金额</w:t>
            </w:r>
          </w:p>
        </w:tc>
        <w:tc>
          <w:tcPr>
            <w:tcW w:w="1020" w:type="dxa"/>
            <w:tcMar>
              <w:top w:w="0" w:type="dxa"/>
              <w:left w:w="0" w:type="dxa"/>
              <w:bottom w:w="0" w:type="dxa"/>
              <w:right w:w="0" w:type="dxa"/>
            </w:tcMar>
          </w:tcPr>
          <w:p>
            <w:pPr>
              <w:spacing w:before="120"/>
              <w:ind w:left="280"/>
            </w:pPr>
            <w:r>
              <w:rPr>
                <w:rFonts w:hint="eastAsia" w:ascii="宋体" w:hAnsi="宋体" w:eastAsia="宋体" w:cs="宋体"/>
                <w:b/>
                <w:sz w:val="21"/>
              </w:rPr>
              <w:t>比例</w:t>
            </w:r>
          </w:p>
        </w:tc>
        <w:tc>
          <w:tcPr>
            <w:tcW w:w="1520" w:type="dxa"/>
            <w:tcMar>
              <w:top w:w="0" w:type="dxa"/>
              <w:left w:w="0" w:type="dxa"/>
              <w:bottom w:w="0" w:type="dxa"/>
              <w:right w:w="0" w:type="dxa"/>
            </w:tcMar>
          </w:tcPr>
          <w:p>
            <w:pPr>
              <w:spacing w:before="120"/>
              <w:ind w:left="52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20"/>
              <w:ind w:left="280"/>
            </w:pPr>
            <w:r>
              <w:rPr>
                <w:rFonts w:hint="eastAsia" w:ascii="宋体" w:hAnsi="宋体" w:eastAsia="宋体" w:cs="宋体"/>
                <w:b/>
                <w:sz w:val="21"/>
              </w:rPr>
              <w:t>比例</w:t>
            </w:r>
          </w:p>
        </w:tc>
      </w:tr>
      <w:tr>
        <w:trPr>
          <w:trHeight w:val="620" w:hRule="exact"/>
        </w:trPr>
        <w:tc>
          <w:tcPr>
            <w:tcW w:w="1380" w:type="dxa"/>
            <w:tcMar>
              <w:top w:w="0" w:type="dxa"/>
              <w:left w:w="0" w:type="dxa"/>
              <w:bottom w:w="0" w:type="dxa"/>
              <w:right w:w="0" w:type="dxa"/>
            </w:tcMar>
          </w:tcPr>
          <w:p>
            <w:pPr>
              <w:spacing w:before="40"/>
              <w:ind w:left="140"/>
            </w:pPr>
            <w:r>
              <w:rPr>
                <w:rFonts w:hint="eastAsia" w:ascii="宋体" w:hAnsi="宋体" w:eastAsia="宋体" w:cs="宋体"/>
                <w:b/>
                <w:sz w:val="21"/>
              </w:rPr>
              <w:t>流动资产合</w:t>
            </w:r>
          </w:p>
          <w:p>
            <w:pPr>
              <w:spacing w:before="100"/>
              <w:ind w:left="560"/>
            </w:pPr>
            <w:r>
              <w:rPr>
                <w:rFonts w:hint="eastAsia" w:ascii="宋体" w:hAnsi="宋体" w:eastAsia="宋体" w:cs="宋体"/>
                <w:b/>
                <w:sz w:val="21"/>
              </w:rPr>
              <w:t>计</w:t>
            </w:r>
          </w:p>
        </w:tc>
        <w:tc>
          <w:tcPr>
            <w:tcW w:w="1700" w:type="dxa"/>
            <w:tcMar>
              <w:top w:w="0" w:type="dxa"/>
              <w:left w:w="0" w:type="dxa"/>
              <w:bottom w:w="0" w:type="dxa"/>
              <w:right w:w="0" w:type="dxa"/>
            </w:tcMar>
          </w:tcPr>
          <w:p>
            <w:pPr>
              <w:spacing w:before="240"/>
              <w:ind w:left="260"/>
            </w:pPr>
            <w:r>
              <w:rPr>
                <w:rFonts w:hint="eastAsia" w:ascii="Times New Roman Bold" w:hAnsi="Times New Roman Bold" w:eastAsia="Times New Roman Bold" w:cs="Times New Roman Bold"/>
                <w:b/>
                <w:sz w:val="21"/>
              </w:rPr>
              <w:t>574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582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1120" w:type="dxa"/>
            <w:tcMar>
              <w:top w:w="0" w:type="dxa"/>
              <w:left w:w="0" w:type="dxa"/>
              <w:bottom w:w="0" w:type="dxa"/>
              <w:right w:w="0" w:type="dxa"/>
            </w:tcMar>
          </w:tcPr>
          <w:p>
            <w:pPr>
              <w:spacing w:before="240"/>
              <w:ind w:left="2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20" w:type="dxa"/>
            <w:tcMar>
              <w:top w:w="0" w:type="dxa"/>
              <w:left w:w="0" w:type="dxa"/>
              <w:bottom w:w="0" w:type="dxa"/>
              <w:right w:w="0" w:type="dxa"/>
            </w:tcMar>
          </w:tcPr>
          <w:p>
            <w:pPr>
              <w:spacing w:before="240"/>
              <w:ind w:left="100"/>
            </w:pPr>
            <w:r>
              <w:rPr>
                <w:rFonts w:hint="eastAsia" w:ascii="Times New Roman Bold" w:hAnsi="Times New Roman Bold" w:eastAsia="Times New Roman Bold" w:cs="Times New Roman Bold"/>
                <w:b/>
                <w:sz w:val="21"/>
              </w:rPr>
              <w:t>472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w:t>
            </w:r>
          </w:p>
        </w:tc>
        <w:tc>
          <w:tcPr>
            <w:tcW w:w="1020" w:type="dxa"/>
            <w:tcMar>
              <w:top w:w="0" w:type="dxa"/>
              <w:left w:w="0" w:type="dxa"/>
              <w:bottom w:w="0" w:type="dxa"/>
              <w:right w:w="0" w:type="dxa"/>
            </w:tcMar>
          </w:tcPr>
          <w:p>
            <w:pPr>
              <w:spacing w:before="24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20" w:type="dxa"/>
            <w:tcMar>
              <w:top w:w="0" w:type="dxa"/>
              <w:left w:w="0" w:type="dxa"/>
              <w:bottom w:w="0" w:type="dxa"/>
              <w:right w:w="0" w:type="dxa"/>
            </w:tcMar>
          </w:tcPr>
          <w:p>
            <w:pPr>
              <w:spacing w:before="240"/>
            </w:pPr>
            <w:r>
              <w:rPr>
                <w:rFonts w:hint="eastAsia" w:ascii="Times New Roman Bold" w:hAnsi="Times New Roman Bold" w:eastAsia="Times New Roman Bold" w:cs="Times New Roman Bold"/>
                <w:b/>
                <w:sz w:val="21"/>
              </w:rPr>
              <w:t>242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60</w:t>
            </w:r>
          </w:p>
        </w:tc>
        <w:tc>
          <w:tcPr>
            <w:tcW w:w="1000" w:type="dxa"/>
            <w:tcMar>
              <w:top w:w="0" w:type="dxa"/>
              <w:left w:w="0" w:type="dxa"/>
              <w:bottom w:w="0" w:type="dxa"/>
              <w:right w:w="0" w:type="dxa"/>
            </w:tcMar>
          </w:tcPr>
          <w:p>
            <w:pPr>
              <w:spacing w:before="24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宋体" w:hAnsi="宋体" w:eastAsia="宋体" w:cs="宋体"/>
          <w:sz w:val="24"/>
        </w:rPr>
        <w:t>公司流动资产主要是与主营业务活动密切相关的货币资金</w:t>
      </w:r>
      <w:r>
        <w:rPr>
          <w:rFonts w:hint="eastAsia" w:ascii="宋体" w:hAnsi="宋体" w:eastAsia="宋体" w:cs="宋体"/>
          <w:sz w:val="10"/>
        </w:rPr>
        <w:t>、</w:t>
      </w:r>
      <w:r>
        <w:rPr>
          <w:rFonts w:hint="eastAsia" w:ascii="宋体" w:hAnsi="宋体" w:eastAsia="宋体" w:cs="宋体"/>
          <w:sz w:val="24"/>
        </w:rPr>
        <w:t>应收账款和存货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）货币资金</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公司货币资金余额分别为</w:t>
      </w:r>
      <w:r>
        <w:rPr>
          <w:rFonts w:hint="eastAsia" w:ascii="Times New Roman" w:hAnsi="Times New Roman" w:eastAsia="Times New Roman" w:cs="Times New Roman"/>
          <w:sz w:val="24"/>
        </w:rPr>
        <w:t xml:space="preserve"> 195,157,389.56</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422,309,006.98</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512,859,515.41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占流动资产的比例分别为</w:t>
      </w:r>
      <w:r>
        <w:rPr>
          <w:rFonts w:hint="eastAsia" w:ascii="Times New Roman" w:hAnsi="Times New Roman" w:eastAsia="Times New Roman" w:cs="Times New Roman"/>
          <w:sz w:val="24"/>
        </w:rPr>
        <w:t xml:space="preserve"> 80.36%</w:t>
      </w:r>
      <w:r>
        <w:rPr>
          <w:rFonts w:hint="eastAsia" w:ascii="宋体" w:hAnsi="宋体" w:eastAsia="宋体" w:cs="宋体"/>
          <w:sz w:val="10"/>
        </w:rPr>
        <w:t>、</w:t>
      </w:r>
      <w:r>
        <w:rPr>
          <w:rFonts w:hint="eastAsia" w:ascii="Times New Roman" w:hAnsi="Times New Roman" w:eastAsia="Times New Roman" w:cs="Times New Roman"/>
          <w:sz w:val="24"/>
        </w:rPr>
        <w:t>89.30%</w:t>
      </w:r>
      <w:r>
        <w:rPr>
          <w:rFonts w:hint="eastAsia" w:ascii="宋体" w:hAnsi="宋体" w:eastAsia="宋体" w:cs="宋体"/>
          <w:sz w:val="24"/>
        </w:rPr>
        <w:t>和</w:t>
      </w:r>
      <w:r>
        <w:rPr>
          <w:rFonts w:hint="eastAsia" w:ascii="Times New Roman" w:hAnsi="Times New Roman" w:eastAsia="Times New Roman" w:cs="Times New Roman"/>
          <w:sz w:val="24"/>
        </w:rPr>
        <w:t>89.26%</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公司货币资金余额较</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年末增加</w:t>
      </w:r>
      <w:r>
        <w:rPr>
          <w:rFonts w:hint="eastAsia" w:ascii="Times New Roman" w:hAnsi="Times New Roman" w:eastAsia="Times New Roman" w:cs="Times New Roman"/>
          <w:sz w:val="24"/>
        </w:rPr>
        <w:t xml:space="preserve"> 227,151,617.42</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主要原因是一方面公司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年继续保持良好的发展势头</w:t>
      </w:r>
      <w:r>
        <w:rPr>
          <w:rFonts w:hint="eastAsia" w:ascii="宋体" w:hAnsi="宋体" w:eastAsia="宋体" w:cs="宋体"/>
          <w:sz w:val="10"/>
        </w:rPr>
        <w:t>，</w:t>
      </w:r>
      <w:r>
        <w:rPr>
          <w:rFonts w:hint="eastAsia" w:ascii="宋体" w:hAnsi="宋体" w:eastAsia="宋体" w:cs="宋体"/>
          <w:sz w:val="24"/>
        </w:rPr>
        <w:t>经营活动产生的现金流量净额为</w:t>
      </w:r>
      <w:r>
        <w:rPr>
          <w:rFonts w:hint="eastAsia" w:ascii="Times New Roman" w:hAnsi="Times New Roman" w:eastAsia="Times New Roman" w:cs="Times New Roman"/>
          <w:sz w:val="24"/>
        </w:rPr>
        <w:t>113,929,453.91</w:t>
      </w:r>
      <w:r>
        <w:rPr>
          <w:rFonts w:hint="eastAsia" w:ascii="宋体" w:hAnsi="宋体" w:eastAsia="宋体" w:cs="宋体"/>
          <w:sz w:val="24"/>
        </w:rPr>
        <w:t xml:space="preserve"> 元</w:t>
      </w:r>
      <w:r>
        <w:rPr>
          <w:rFonts w:hint="eastAsia" w:ascii="宋体" w:hAnsi="宋体" w:eastAsia="宋体" w:cs="宋体"/>
          <w:sz w:val="12"/>
        </w:rPr>
        <w:t>；</w:t>
      </w:r>
      <w:r>
        <w:rPr>
          <w:rFonts w:hint="eastAsia" w:ascii="宋体" w:hAnsi="宋体" w:eastAsia="宋体" w:cs="宋体"/>
          <w:sz w:val="24"/>
        </w:rPr>
        <w:t>另一方面金石投资于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月向公司增资</w:t>
      </w:r>
      <w:r>
        <w:rPr>
          <w:rFonts w:hint="eastAsia" w:ascii="Times New Roman" w:hAnsi="Times New Roman" w:eastAsia="Times New Roman" w:cs="Times New Roman"/>
          <w:sz w:val="24"/>
        </w:rPr>
        <w:t xml:space="preserve"> 119,320,000.00</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公司货币资金余额较</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年末增加</w:t>
      </w:r>
      <w:r>
        <w:rPr>
          <w:rFonts w:hint="eastAsia" w:ascii="Times New Roman" w:hAnsi="Times New Roman" w:eastAsia="Times New Roman" w:cs="Times New Roman"/>
          <w:sz w:val="24"/>
        </w:rPr>
        <w:t xml:space="preserve"> 90,550,508.43</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主要由于公司经营业绩持续增长</w:t>
      </w:r>
      <w:r>
        <w:rPr>
          <w:rFonts w:hint="eastAsia" w:ascii="宋体" w:hAnsi="宋体" w:eastAsia="宋体" w:cs="宋体"/>
          <w:sz w:val="10"/>
        </w:rPr>
        <w:t>，</w:t>
      </w:r>
      <w:r>
        <w:rPr>
          <w:rFonts w:hint="eastAsia" w:ascii="宋体" w:hAnsi="宋体" w:eastAsia="宋体" w:cs="宋体"/>
          <w:sz w:val="24"/>
        </w:rPr>
        <w:t>客户回款状况保持良好态势</w:t>
      </w:r>
      <w:r>
        <w:rPr>
          <w:rFonts w:hint="eastAsia" w:ascii="宋体" w:hAnsi="宋体" w:eastAsia="宋体" w:cs="宋体"/>
          <w:sz w:val="10"/>
        </w:rPr>
        <w:t>，</w:t>
      </w:r>
      <w:r>
        <w:rPr>
          <w:rFonts w:hint="eastAsia" w:ascii="宋体" w:hAnsi="宋体" w:eastAsia="宋体" w:cs="宋体"/>
          <w:sz w:val="24"/>
        </w:rPr>
        <w:t>公司</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年经营活动产生的现金流量净额为</w:t>
      </w:r>
      <w:r>
        <w:rPr>
          <w:rFonts w:hint="eastAsia" w:ascii="Times New Roman" w:hAnsi="Times New Roman" w:eastAsia="Times New Roman" w:cs="Times New Roman"/>
          <w:sz w:val="24"/>
        </w:rPr>
        <w:t xml:space="preserve"> 95,193,528.98</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公司未来扩大经营规模</w:t>
      </w:r>
      <w:r>
        <w:rPr>
          <w:rFonts w:hint="eastAsia" w:ascii="宋体" w:hAnsi="宋体" w:eastAsia="宋体" w:cs="宋体"/>
          <w:sz w:val="10"/>
        </w:rPr>
        <w:t>，</w:t>
      </w:r>
      <w:r>
        <w:rPr>
          <w:rFonts w:hint="eastAsia" w:ascii="宋体" w:hAnsi="宋体" w:eastAsia="宋体" w:cs="宋体"/>
          <w:sz w:val="24"/>
        </w:rPr>
        <w:t>加快新产品的研究开发</w:t>
      </w:r>
      <w:r>
        <w:rPr>
          <w:rFonts w:hint="eastAsia" w:ascii="宋体" w:hAnsi="宋体" w:eastAsia="宋体" w:cs="宋体"/>
          <w:sz w:val="10"/>
        </w:rPr>
        <w:t>，</w:t>
      </w:r>
      <w:r>
        <w:rPr>
          <w:rFonts w:hint="eastAsia" w:ascii="宋体" w:hAnsi="宋体" w:eastAsia="宋体" w:cs="宋体"/>
          <w:sz w:val="24"/>
        </w:rPr>
        <w:t>购置办公场所及研发设备</w:t>
      </w:r>
      <w:r>
        <w:rPr>
          <w:rFonts w:hint="eastAsia" w:ascii="宋体" w:hAnsi="宋体" w:eastAsia="宋体" w:cs="宋体"/>
          <w:sz w:val="10"/>
        </w:rPr>
        <w:t>，</w:t>
      </w:r>
      <w:r>
        <w:rPr>
          <w:rFonts w:hint="eastAsia" w:ascii="宋体" w:hAnsi="宋体" w:eastAsia="宋体" w:cs="宋体"/>
          <w:sz w:val="24"/>
        </w:rPr>
        <w:t>改善研发环境等项目均需要大量投资</w:t>
      </w:r>
      <w:r>
        <w:rPr>
          <w:rFonts w:hint="eastAsia" w:ascii="宋体" w:hAnsi="宋体" w:eastAsia="宋体" w:cs="宋体"/>
          <w:sz w:val="10"/>
        </w:rPr>
        <w:t>，</w:t>
      </w:r>
      <w:r>
        <w:rPr>
          <w:rFonts w:hint="eastAsia" w:ascii="宋体" w:hAnsi="宋体" w:eastAsia="宋体" w:cs="宋体"/>
          <w:sz w:val="24"/>
        </w:rPr>
        <w:t>公司决定申请公开发行股票募集资金进行项目投资</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）应收账款</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①报告期应收账款变化情况</w:t>
      </w:r>
    </w:p>
    <w:p>
      <w:pPr>
        <w:spacing w:line="200" w:lineRule="exact"/>
        <w:rPr>
          <w:rFonts w:hint="eastAsia" w:ascii="宋体" w:hAnsi="宋体" w:eastAsia="宋体" w:cs="宋体"/>
          <w:sz w:val="20"/>
        </w:rPr>
      </w:pPr>
    </w:p>
    <w:p>
      <w:pPr>
        <w:autoSpaceDE w:val="false"/>
        <w:autoSpaceDN w:val="false"/>
        <w:spacing w:line="440" w:lineRule="exact"/>
        <w:ind w:left="1440" w:right="128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公司应收账款净额分别为</w:t>
      </w:r>
      <w:r>
        <w:rPr>
          <w:rFonts w:hint="eastAsia" w:ascii="Times New Roman" w:hAnsi="Times New Roman" w:eastAsia="Times New Roman" w:cs="Times New Roman"/>
          <w:sz w:val="24"/>
        </w:rPr>
        <w:t xml:space="preserve"> 23,082,089.04</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17,494,181.84</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17,778,227.23</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占流动资产的比例分别为</w:t>
      </w:r>
      <w:r>
        <w:rPr>
          <w:rFonts w:hint="eastAsia" w:ascii="Times New Roman" w:hAnsi="Times New Roman" w:eastAsia="Times New Roman" w:cs="Times New Roman"/>
          <w:sz w:val="24"/>
        </w:rPr>
        <w:t xml:space="preserve"> 9.50%</w:t>
      </w:r>
      <w:r>
        <w:rPr>
          <w:rFonts w:hint="eastAsia" w:ascii="宋体" w:hAnsi="宋体" w:eastAsia="宋体" w:cs="宋体"/>
          <w:sz w:val="10"/>
        </w:rPr>
        <w:t>、</w:t>
      </w:r>
      <w:r>
        <w:rPr>
          <w:rFonts w:hint="eastAsia" w:ascii="Times New Roman" w:hAnsi="Times New Roman" w:eastAsia="Times New Roman" w:cs="Times New Roman"/>
          <w:sz w:val="24"/>
        </w:rPr>
        <w:t>3.70%</w:t>
      </w:r>
      <w:r>
        <w:rPr>
          <w:rFonts w:hint="eastAsia" w:ascii="宋体" w:hAnsi="宋体" w:eastAsia="宋体" w:cs="宋体"/>
          <w:sz w:val="24"/>
        </w:rPr>
        <w:t>和</w:t>
      </w:r>
      <w:r>
        <w:rPr>
          <w:rFonts w:hint="eastAsia" w:ascii="Times New Roman" w:hAnsi="Times New Roman" w:eastAsia="Times New Roman" w:cs="Times New Roman"/>
          <w:sz w:val="24"/>
        </w:rPr>
        <w:t xml:space="preserve"> 3.09%</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660"/>
        <w:gridCol w:w="2200"/>
        <w:gridCol w:w="2200"/>
        <w:gridCol w:w="2200"/>
      </w:tblGrid>
      <w:tr>
        <w:trPr>
          <w:trHeight w:val="480" w:hRule="exact"/>
        </w:trPr>
        <w:tc>
          <w:tcPr>
            <w:tcW w:w="2660" w:type="dxa"/>
            <w:tcMar>
              <w:top w:w="0" w:type="dxa"/>
              <w:left w:w="0" w:type="dxa"/>
              <w:bottom w:w="0" w:type="dxa"/>
              <w:right w:w="0" w:type="dxa"/>
            </w:tcMar>
          </w:tcPr>
          <w:p>
            <w:pPr>
              <w:spacing w:before="120"/>
              <w:ind w:left="1100"/>
            </w:pPr>
            <w:r>
              <w:rPr>
                <w:rFonts w:hint="eastAsia" w:ascii="宋体" w:hAnsi="宋体" w:eastAsia="宋体" w:cs="宋体"/>
                <w:b/>
                <w:sz w:val="21"/>
              </w:rPr>
              <w:t>项目</w:t>
            </w:r>
          </w:p>
        </w:tc>
        <w:tc>
          <w:tcPr>
            <w:tcW w:w="2200" w:type="dxa"/>
            <w:tcMar>
              <w:top w:w="0" w:type="dxa"/>
              <w:left w:w="0" w:type="dxa"/>
              <w:bottom w:w="0" w:type="dxa"/>
              <w:right w:w="0" w:type="dxa"/>
            </w:tcMar>
          </w:tcPr>
          <w:p>
            <w:pPr>
              <w:spacing w:before="180"/>
              <w:ind w:left="600"/>
            </w:pPr>
            <w:r>
              <w:rPr>
                <w:rFonts w:hint="eastAsia" w:ascii="Times New Roman Bold" w:hAnsi="Times New Roman Bold" w:eastAsia="Times New Roman Bold" w:cs="Times New Roman Bold"/>
                <w:b/>
                <w:sz w:val="21"/>
              </w:rPr>
              <w:t>2016-12-31</w:t>
            </w:r>
          </w:p>
        </w:tc>
        <w:tc>
          <w:tcPr>
            <w:tcW w:w="2200" w:type="dxa"/>
            <w:tcMar>
              <w:top w:w="0" w:type="dxa"/>
              <w:left w:w="0" w:type="dxa"/>
              <w:bottom w:w="0" w:type="dxa"/>
              <w:right w:w="0" w:type="dxa"/>
            </w:tcMar>
          </w:tcPr>
          <w:p>
            <w:pPr>
              <w:spacing w:before="180"/>
              <w:ind w:left="600"/>
            </w:pPr>
            <w:r>
              <w:rPr>
                <w:rFonts w:hint="eastAsia" w:ascii="Times New Roman Bold" w:hAnsi="Times New Roman Bold" w:eastAsia="Times New Roman Bold" w:cs="Times New Roman Bold"/>
                <w:b/>
                <w:sz w:val="21"/>
              </w:rPr>
              <w:t>2015-12-31</w:t>
            </w:r>
          </w:p>
        </w:tc>
        <w:tc>
          <w:tcPr>
            <w:tcW w:w="2200" w:type="dxa"/>
            <w:tcMar>
              <w:top w:w="0" w:type="dxa"/>
              <w:left w:w="0" w:type="dxa"/>
              <w:bottom w:w="0" w:type="dxa"/>
              <w:right w:w="0" w:type="dxa"/>
            </w:tcMar>
          </w:tcPr>
          <w:p>
            <w:pPr>
              <w:spacing w:before="180"/>
              <w:ind w:left="600"/>
            </w:pPr>
            <w:r>
              <w:rPr>
                <w:rFonts w:hint="eastAsia" w:ascii="Times New Roman Bold" w:hAnsi="Times New Roman Bold" w:eastAsia="Times New Roman Bold" w:cs="Times New Roman Bold"/>
                <w:b/>
                <w:sz w:val="21"/>
              </w:rPr>
              <w:t>2014-12-31</w:t>
            </w:r>
          </w:p>
        </w:tc>
      </w:tr>
      <w:tr>
        <w:trPr>
          <w:trHeight w:val="480" w:hRule="exact"/>
        </w:trPr>
        <w:tc>
          <w:tcPr>
            <w:tcW w:w="2660" w:type="dxa"/>
            <w:tcMar>
              <w:top w:w="0" w:type="dxa"/>
              <w:left w:w="0" w:type="dxa"/>
              <w:bottom w:w="0" w:type="dxa"/>
              <w:right w:w="0" w:type="dxa"/>
            </w:tcMar>
          </w:tcPr>
          <w:p>
            <w:pPr>
              <w:spacing w:before="120"/>
              <w:ind w:left="480"/>
            </w:pPr>
            <w:r>
              <w:rPr>
                <w:rFonts w:hint="eastAsia" w:ascii="宋体" w:hAnsi="宋体" w:eastAsia="宋体" w:cs="宋体"/>
                <w:sz w:val="21"/>
              </w:rPr>
              <w:t>应收账款账面余额</w:t>
            </w:r>
          </w:p>
        </w:tc>
        <w:tc>
          <w:tcPr>
            <w:tcW w:w="22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22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22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r>
      <w:tr>
        <w:trPr>
          <w:trHeight w:val="480" w:hRule="exact"/>
        </w:trPr>
        <w:tc>
          <w:tcPr>
            <w:tcW w:w="2660" w:type="dxa"/>
            <w:tcMar>
              <w:top w:w="0" w:type="dxa"/>
              <w:left w:w="0" w:type="dxa"/>
              <w:bottom w:w="0" w:type="dxa"/>
              <w:right w:w="0" w:type="dxa"/>
            </w:tcMar>
          </w:tcPr>
          <w:p>
            <w:pPr>
              <w:spacing w:before="100"/>
              <w:ind w:left="480"/>
            </w:pPr>
            <w:r>
              <w:rPr>
                <w:rFonts w:hint="eastAsia" w:ascii="宋体" w:hAnsi="宋体" w:eastAsia="宋体" w:cs="宋体"/>
                <w:sz w:val="21"/>
              </w:rPr>
              <w:t>应收账款账面净额</w:t>
            </w:r>
          </w:p>
        </w:tc>
        <w:tc>
          <w:tcPr>
            <w:tcW w:w="22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22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2200" w:type="dxa"/>
            <w:tcMar>
              <w:top w:w="0" w:type="dxa"/>
              <w:left w:w="0" w:type="dxa"/>
              <w:bottom w:w="0" w:type="dxa"/>
              <w:right w:w="0" w:type="dxa"/>
            </w:tcMar>
          </w:tcPr>
          <w:p>
            <w:pPr>
              <w:spacing w:before="140"/>
              <w:ind w:left="8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r>
      <w:tr>
        <w:trPr>
          <w:trHeight w:val="480" w:hRule="exact"/>
        </w:trPr>
        <w:tc>
          <w:tcPr>
            <w:tcW w:w="2660" w:type="dxa"/>
            <w:tcMar>
              <w:top w:w="0" w:type="dxa"/>
              <w:left w:w="0" w:type="dxa"/>
              <w:bottom w:w="0" w:type="dxa"/>
              <w:right w:w="0" w:type="dxa"/>
            </w:tcMar>
          </w:tcPr>
          <w:p>
            <w:pPr>
              <w:spacing w:before="100"/>
              <w:ind w:left="160"/>
            </w:pPr>
            <w:r>
              <w:rPr>
                <w:rFonts w:hint="eastAsia" w:ascii="宋体" w:hAnsi="宋体" w:eastAsia="宋体" w:cs="宋体"/>
                <w:sz w:val="21"/>
              </w:rPr>
              <w:t>应收账款账面余额增长率</w:t>
            </w:r>
          </w:p>
        </w:tc>
        <w:tc>
          <w:tcPr>
            <w:tcW w:w="2200" w:type="dxa"/>
            <w:tcMar>
              <w:top w:w="0" w:type="dxa"/>
              <w:left w:w="0" w:type="dxa"/>
              <w:bottom w:w="0" w:type="dxa"/>
              <w:right w:w="0" w:type="dxa"/>
            </w:tcMar>
          </w:tcPr>
          <w:p>
            <w:pPr>
              <w:spacing w:before="140"/>
              <w:ind w:left="15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p>
        </w:tc>
        <w:tc>
          <w:tcPr>
            <w:tcW w:w="2200" w:type="dxa"/>
            <w:tcMar>
              <w:top w:w="0" w:type="dxa"/>
              <w:left w:w="0" w:type="dxa"/>
              <w:bottom w:w="0" w:type="dxa"/>
              <w:right w:w="0" w:type="dxa"/>
            </w:tcMar>
          </w:tcPr>
          <w:p>
            <w:pPr>
              <w:spacing w:before="140"/>
              <w:ind w:left="136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p>
        </w:tc>
        <w:tc>
          <w:tcPr>
            <w:tcW w:w="2200" w:type="dxa"/>
            <w:tcMar>
              <w:top w:w="0" w:type="dxa"/>
              <w:left w:w="0" w:type="dxa"/>
              <w:bottom w:w="0" w:type="dxa"/>
              <w:right w:w="0" w:type="dxa"/>
            </w:tcMar>
          </w:tcPr>
          <w:p>
            <w:pPr>
              <w:spacing w:before="300"/>
              <w:ind w:left="2020"/>
            </w:pPr>
            <w:r>
              <w:rPr>
                <w:rFonts w:hint="eastAsia" w:ascii="Times New Roman" w:hAnsi="Times New Roman" w:eastAsia="Times New Roman" w:cs="Times New Roman"/>
                <w:sz w:val="21"/>
              </w:rPr>
              <w:t>-</w:t>
            </w:r>
          </w:p>
        </w:tc>
      </w:tr>
      <w:tr>
        <w:trPr>
          <w:trHeight w:val="460" w:hRule="exact"/>
        </w:trPr>
        <w:tc>
          <w:tcPr>
            <w:tcW w:w="2660" w:type="dxa"/>
            <w:tcMar>
              <w:top w:w="0" w:type="dxa"/>
              <w:left w:w="0" w:type="dxa"/>
              <w:bottom w:w="0" w:type="dxa"/>
              <w:right w:w="0" w:type="dxa"/>
            </w:tcMar>
          </w:tcPr>
          <w:p>
            <w:pPr>
              <w:spacing w:before="120"/>
              <w:ind w:left="900"/>
            </w:pPr>
            <w:r>
              <w:rPr>
                <w:rFonts w:hint="eastAsia" w:ascii="宋体" w:hAnsi="宋体" w:eastAsia="宋体" w:cs="宋体"/>
                <w:sz w:val="21"/>
              </w:rPr>
              <w:t>营业收入</w:t>
            </w:r>
          </w:p>
        </w:tc>
        <w:tc>
          <w:tcPr>
            <w:tcW w:w="220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1"/>
              </w:rPr>
              <w:t>204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220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1"/>
              </w:rPr>
              <w:t>195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p>
        </w:tc>
        <w:tc>
          <w:tcPr>
            <w:tcW w:w="220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1"/>
              </w:rPr>
              <w:t>162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1-1-255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rPr>
        <w:t>招股说明书</w:t>
      </w:r>
      <w:r>
        <mc:AlternateContent>
          <mc:Choice Requires="wps">
            <w:drawing>
              <wp:anchor distT="0" distB="0" distL="114300" distR="114300" simplePos="false" relativeHeight="10258192" behindDoc="false" locked="false" layoutInCell="true" allowOverlap="true">
                <wp:simplePos x="0" y="0"/>
                <wp:positionH relativeFrom="page">
                  <wp:posOffset>2527300</wp:posOffset>
                </wp:positionH>
                <wp:positionV relativeFrom="page">
                  <wp:posOffset>901700</wp:posOffset>
                </wp:positionV>
                <wp:extent cx="12700" cy="609600"/>
                <wp:effectExtent l="0" t="0" r="22225" b="31115"/>
                <wp:wrapNone/>
                <wp:docPr id="14976" name="shape14976"/>
                <wp:cNvGraphicFramePr/>
                <a:graphic>
                  <a:graphicData uri="http://schemas.microsoft.com/office/word/2010/wordprocessingShape">
                    <wps:wsp>
                      <wps:cNvSpPr/>
                      <wps:spPr>
                        <a:xfrm>
                          <a:off x="0" y="0"/>
                          <a:ext cx="12700" cy="6096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48pt;margin-left:199pt;margin-top:71pt;mso-wrap-style:square;z-index:10258192;mso-wrap-distance-left:9pt;mso-wrap-distance-top:0pt;mso-wrap-distance-right:9pt;mso-wrap-distance-bottom:0pt" id="shape14976" o:spid="1618382360492" stroked="f" filled="t" fillcolor="#000000"/>
            </w:pict>
          </mc:Fallback>
        </mc:AlternateContent>
      </w:r>
      <w:r>
        <mc:AlternateContent>
          <mc:Choice Requires="wps">
            <w:drawing>
              <wp:anchor distT="0" distB="0" distL="114300" distR="114300" simplePos="false" relativeHeight="10260240" behindDoc="false" locked="false" layoutInCell="true" allowOverlap="true">
                <wp:simplePos x="0" y="0"/>
                <wp:positionH relativeFrom="page">
                  <wp:posOffset>3924300</wp:posOffset>
                </wp:positionH>
                <wp:positionV relativeFrom="page">
                  <wp:posOffset>901700</wp:posOffset>
                </wp:positionV>
                <wp:extent cx="25400" cy="609600"/>
                <wp:effectExtent l="0" t="0" r="22225" b="31115"/>
                <wp:wrapNone/>
                <wp:docPr id="14978" name="shape14978"/>
                <wp:cNvGraphicFramePr/>
                <a:graphic>
                  <a:graphicData uri="http://schemas.microsoft.com/office/word/2010/wordprocessingShape">
                    <wps:wsp>
                      <wps:cNvSpPr/>
                      <wps:spPr>
                        <a:xfrm>
                          <a:off x="0" y="0"/>
                          <a:ext cx="25400" cy="6096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48pt;margin-left:309pt;margin-top:71pt;mso-wrap-style:square;z-index:10260240;mso-wrap-distance-left:9pt;mso-wrap-distance-top:0pt;mso-wrap-distance-right:9pt;mso-wrap-distance-bottom:0pt" id="shape14978" o:spid="1618382360492" stroked="f" filled="t" fillcolor="#000000"/>
            </w:pict>
          </mc:Fallback>
        </mc:AlternateContent>
      </w:r>
      <w:r>
        <mc:AlternateContent>
          <mc:Choice Requires="wps">
            <w:drawing>
              <wp:anchor distT="0" distB="0" distL="114300" distR="114300" simplePos="false" relativeHeight="10404624" behindDoc="false" locked="false" layoutInCell="true" allowOverlap="true">
                <wp:simplePos x="0" y="0"/>
                <wp:positionH relativeFrom="page">
                  <wp:posOffset>838200</wp:posOffset>
                </wp:positionH>
                <wp:positionV relativeFrom="page">
                  <wp:posOffset>901700</wp:posOffset>
                </wp:positionV>
                <wp:extent cx="12700" cy="609600"/>
                <wp:effectExtent l="0" t="0" r="22225" b="31115"/>
                <wp:wrapNone/>
                <wp:docPr id="14974" name="shape14974"/>
                <wp:cNvGraphicFramePr/>
                <a:graphic>
                  <a:graphicData uri="http://schemas.microsoft.com/office/word/2010/wordprocessingShape">
                    <wps:wsp>
                      <wps:cNvSpPr/>
                      <wps:spPr>
                        <a:xfrm>
                          <a:off x="0" y="0"/>
                          <a:ext cx="12700" cy="6096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48pt;margin-left:66pt;margin-top:71pt;mso-wrap-style:square;z-index:10404624;mso-wrap-distance-left:9pt;mso-wrap-distance-top:0pt;mso-wrap-distance-right:9pt;mso-wrap-distance-bottom:0pt" id="shape14974" o:spid="1618382360493" stroked="f" filled="t" fillcolor="#000000"/>
            </w:pict>
          </mc:Fallback>
        </mc:AlternateContent>
      </w:r>
      <w:r>
        <mc:AlternateContent>
          <mc:Choice Requires="wps">
            <w:drawing>
              <wp:anchor distT="0" distB="0" distL="114300" distR="114300" simplePos="false" relativeHeight="10405648" behindDoc="false" locked="false" layoutInCell="true" allowOverlap="true">
                <wp:simplePos x="0" y="0"/>
                <wp:positionH relativeFrom="page">
                  <wp:posOffset>5321300</wp:posOffset>
                </wp:positionH>
                <wp:positionV relativeFrom="page">
                  <wp:posOffset>901700</wp:posOffset>
                </wp:positionV>
                <wp:extent cx="25400" cy="609600"/>
                <wp:effectExtent l="0" t="0" r="22225" b="31115"/>
                <wp:wrapNone/>
                <wp:docPr id="14980" name="shape14980"/>
                <wp:cNvGraphicFramePr/>
                <a:graphic>
                  <a:graphicData uri="http://schemas.microsoft.com/office/word/2010/wordprocessingShape">
                    <wps:wsp>
                      <wps:cNvSpPr/>
                      <wps:spPr>
                        <a:xfrm>
                          <a:off x="0" y="0"/>
                          <a:ext cx="25400" cy="6096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48pt;margin-left:419pt;margin-top:71pt;mso-wrap-style:square;z-index:10405648;mso-wrap-distance-left:9pt;mso-wrap-distance-top:0pt;mso-wrap-distance-right:9pt;mso-wrap-distance-bottom:0pt" id="shape14980" o:spid="1618382360493" stroked="f" filled="t" fillcolor="#000000"/>
            </w:pict>
          </mc:Fallback>
        </mc:AlternateContent>
      </w:r>
      <w:r>
        <mc:AlternateContent>
          <mc:Choice Requires="wps">
            <w:drawing>
              <wp:anchor distT="0" distB="0" distL="114300" distR="114300" simplePos="false" relativeHeight="10406672" behindDoc="false" locked="false" layoutInCell="true" allowOverlap="true">
                <wp:simplePos x="0" y="0"/>
                <wp:positionH relativeFrom="page">
                  <wp:posOffset>6718300</wp:posOffset>
                </wp:positionH>
                <wp:positionV relativeFrom="page">
                  <wp:posOffset>901700</wp:posOffset>
                </wp:positionV>
                <wp:extent cx="25400" cy="609600"/>
                <wp:effectExtent l="0" t="0" r="22225" b="31115"/>
                <wp:wrapNone/>
                <wp:docPr id="14982" name="shape14982"/>
                <wp:cNvGraphicFramePr/>
                <a:graphic>
                  <a:graphicData uri="http://schemas.microsoft.com/office/word/2010/wordprocessingShape">
                    <wps:wsp>
                      <wps:cNvSpPr/>
                      <wps:spPr>
                        <a:xfrm>
                          <a:off x="0" y="0"/>
                          <a:ext cx="25400" cy="6096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48pt;margin-left:529pt;margin-top:71pt;mso-wrap-style:square;z-index:10406672;mso-wrap-distance-left:9pt;mso-wrap-distance-top:0pt;mso-wrap-distance-right:9pt;mso-wrap-distance-bottom:0pt" id="shape14982" o:spid="1618382360493" stroked="f" filled="t" fillcolor="#000000"/>
            </w:pict>
          </mc:Fallback>
        </mc:AlternateContent>
      </w:r>
      <w:r>
        <mc:AlternateContent>
          <mc:Choice Requires="wps">
            <w:drawing>
              <wp:anchor distT="0" distB="0" distL="114300" distR="114300" simplePos="false" relativeHeight="10252048" behindDoc="false" locked="false" layoutInCell="true" allowOverlap="true">
                <wp:simplePos x="0" y="0"/>
                <wp:positionH relativeFrom="page">
                  <wp:posOffset>838200</wp:posOffset>
                </wp:positionH>
                <wp:positionV relativeFrom="page">
                  <wp:posOffset>901700</wp:posOffset>
                </wp:positionV>
                <wp:extent cx="1701800" cy="12700"/>
                <wp:effectExtent l="0" t="0" r="22225" b="31115"/>
                <wp:wrapNone/>
                <wp:docPr id="14970" name="shape14970"/>
                <wp:cNvGraphicFramePr/>
                <a:graphic>
                  <a:graphicData uri="http://schemas.microsoft.com/office/word/2010/wordprocessingShape">
                    <wps:wsp>
                      <wps:cNvSpPr/>
                      <wps:spPr>
                        <a:xfrm>
                          <a:off x="0" y="0"/>
                          <a:ext cx="17018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34pt;height:1pt;margin-left:66pt;margin-top:71pt;mso-wrap-style:square;z-index:10252048;mso-wrap-distance-left:9pt;mso-wrap-distance-top:0pt;mso-wrap-distance-right:9pt;mso-wrap-distance-bottom:0pt" id="shape14970" o:spid="1618382360494" stroked="f" filled="t" fillcolor="#000000"/>
            </w:pict>
          </mc:Fallback>
        </mc:AlternateContent>
      </w:r>
      <w:r>
        <mc:AlternateContent>
          <mc:Choice Requires="wps">
            <w:drawing>
              <wp:anchor distT="0" distB="0" distL="114300" distR="114300" simplePos="false" relativeHeight="10253072" behindDoc="false" locked="false" layoutInCell="true" allowOverlap="true">
                <wp:simplePos x="0" y="0"/>
                <wp:positionH relativeFrom="page">
                  <wp:posOffset>2527300</wp:posOffset>
                </wp:positionH>
                <wp:positionV relativeFrom="page">
                  <wp:posOffset>901700</wp:posOffset>
                </wp:positionV>
                <wp:extent cx="1409700" cy="12700"/>
                <wp:effectExtent l="0" t="0" r="22225" b="31115"/>
                <wp:wrapNone/>
                <wp:docPr id="14971" name="shape14971"/>
                <wp:cNvGraphicFramePr/>
                <a:graphic>
                  <a:graphicData uri="http://schemas.microsoft.com/office/word/2010/wordprocessingShape">
                    <wps:wsp>
                      <wps:cNvSpPr/>
                      <wps:spPr>
                        <a:xfrm>
                          <a:off x="0" y="0"/>
                          <a:ext cx="14097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1pt;height:1pt;margin-left:199pt;margin-top:71pt;mso-wrap-style:square;z-index:10253072;mso-wrap-distance-left:9pt;mso-wrap-distance-top:0pt;mso-wrap-distance-right:9pt;mso-wrap-distance-bottom:0pt" id="shape14971" o:spid="1618382360494" stroked="f" filled="t" fillcolor="#000000"/>
            </w:pict>
          </mc:Fallback>
        </mc:AlternateContent>
      </w:r>
      <w:r>
        <mc:AlternateContent>
          <mc:Choice Requires="wps">
            <w:drawing>
              <wp:anchor distT="0" distB="0" distL="114300" distR="114300" simplePos="false" relativeHeight="10254096" behindDoc="false" locked="false" layoutInCell="true" allowOverlap="true">
                <wp:simplePos x="0" y="0"/>
                <wp:positionH relativeFrom="page">
                  <wp:posOffset>3937000</wp:posOffset>
                </wp:positionH>
                <wp:positionV relativeFrom="page">
                  <wp:posOffset>901700</wp:posOffset>
                </wp:positionV>
                <wp:extent cx="1397000" cy="12700"/>
                <wp:effectExtent l="0" t="0" r="22225" b="31115"/>
                <wp:wrapNone/>
                <wp:docPr id="14972" name="shape14972"/>
                <wp:cNvGraphicFramePr/>
                <a:graphic>
                  <a:graphicData uri="http://schemas.microsoft.com/office/word/2010/wordprocessingShape">
                    <wps:wsp>
                      <wps:cNvSpPr/>
                      <wps:spPr>
                        <a:xfrm>
                          <a:off x="0" y="0"/>
                          <a:ext cx="13970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0pt;height:1pt;margin-left:310pt;margin-top:71pt;mso-wrap-style:square;z-index:10254096;mso-wrap-distance-left:9pt;mso-wrap-distance-top:0pt;mso-wrap-distance-right:9pt;mso-wrap-distance-bottom:0pt" id="shape14972" o:spid="1618382360494" stroked="f" filled="t" fillcolor="#000000"/>
            </w:pict>
          </mc:Fallback>
        </mc:AlternateContent>
      </w:r>
      <w:r>
        <mc:AlternateContent>
          <mc:Choice Requires="wps">
            <w:drawing>
              <wp:anchor distT="0" distB="0" distL="114300" distR="114300" simplePos="false" relativeHeight="10255120" behindDoc="false" locked="false" layoutInCell="true" allowOverlap="true">
                <wp:simplePos x="0" y="0"/>
                <wp:positionH relativeFrom="page">
                  <wp:posOffset>5334000</wp:posOffset>
                </wp:positionH>
                <wp:positionV relativeFrom="page">
                  <wp:posOffset>901700</wp:posOffset>
                </wp:positionV>
                <wp:extent cx="1397000" cy="12700"/>
                <wp:effectExtent l="0" t="0" r="22225" b="31115"/>
                <wp:wrapNone/>
                <wp:docPr id="14973" name="shape14973"/>
                <wp:cNvGraphicFramePr/>
                <a:graphic>
                  <a:graphicData uri="http://schemas.microsoft.com/office/word/2010/wordprocessingShape">
                    <wps:wsp>
                      <wps:cNvSpPr/>
                      <wps:spPr>
                        <a:xfrm>
                          <a:off x="0" y="0"/>
                          <a:ext cx="13970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0pt;height:1pt;margin-left:420pt;margin-top:71pt;mso-wrap-style:square;z-index:10255120;mso-wrap-distance-left:9pt;mso-wrap-distance-top:0pt;mso-wrap-distance-right:9pt;mso-wrap-distance-bottom:0pt" id="shape14973" o:spid="1618382360495" stroked="f" filled="t" fillcolor="#000000"/>
            </w:pict>
          </mc:Fallback>
        </mc:AlternateContent>
      </w:r>
      <w:r>
        <mc:AlternateContent>
          <mc:Choice Requires="wps">
            <w:drawing>
              <wp:anchor distT="0" distB="0" distL="114300" distR="114300" simplePos="false" relativeHeight="10257168" behindDoc="false" locked="false" layoutInCell="true" allowOverlap="true">
                <wp:simplePos x="0" y="0"/>
                <wp:positionH relativeFrom="page">
                  <wp:posOffset>838200</wp:posOffset>
                </wp:positionH>
                <wp:positionV relativeFrom="page">
                  <wp:posOffset>1498600</wp:posOffset>
                </wp:positionV>
                <wp:extent cx="1701800" cy="12700"/>
                <wp:effectExtent l="0" t="0" r="22225" b="31115"/>
                <wp:wrapNone/>
                <wp:docPr id="14975" name="shape14975"/>
                <wp:cNvGraphicFramePr/>
                <a:graphic>
                  <a:graphicData uri="http://schemas.microsoft.com/office/word/2010/wordprocessingShape">
                    <wps:wsp>
                      <wps:cNvSpPr/>
                      <wps:spPr>
                        <a:xfrm>
                          <a:off x="0" y="0"/>
                          <a:ext cx="17018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34pt;height:1pt;margin-left:66pt;margin-top:118pt;mso-wrap-style:square;z-index:10257168;mso-wrap-distance-left:9pt;mso-wrap-distance-top:0pt;mso-wrap-distance-right:9pt;mso-wrap-distance-bottom:0pt" id="shape14975" o:spid="1618382360495" stroked="f" filled="t" fillcolor="#000000"/>
            </w:pict>
          </mc:Fallback>
        </mc:AlternateContent>
      </w:r>
      <w:r>
        <mc:AlternateContent>
          <mc:Choice Requires="wps">
            <w:drawing>
              <wp:anchor distT="0" distB="0" distL="114300" distR="114300" simplePos="false" relativeHeight="10259216" behindDoc="false" locked="false" layoutInCell="true" allowOverlap="true">
                <wp:simplePos x="0" y="0"/>
                <wp:positionH relativeFrom="page">
                  <wp:posOffset>2527300</wp:posOffset>
                </wp:positionH>
                <wp:positionV relativeFrom="page">
                  <wp:posOffset>1498600</wp:posOffset>
                </wp:positionV>
                <wp:extent cx="1409700" cy="12700"/>
                <wp:effectExtent l="0" t="0" r="22225" b="31115"/>
                <wp:wrapNone/>
                <wp:docPr id="14977" name="shape14977"/>
                <wp:cNvGraphicFramePr/>
                <a:graphic>
                  <a:graphicData uri="http://schemas.microsoft.com/office/word/2010/wordprocessingShape">
                    <wps:wsp>
                      <wps:cNvSpPr/>
                      <wps:spPr>
                        <a:xfrm>
                          <a:off x="0" y="0"/>
                          <a:ext cx="14097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1pt;height:1pt;margin-left:199pt;margin-top:118pt;mso-wrap-style:square;z-index:10259216;mso-wrap-distance-left:9pt;mso-wrap-distance-top:0pt;mso-wrap-distance-right:9pt;mso-wrap-distance-bottom:0pt" id="shape14977" o:spid="1618382360496" stroked="f" filled="t" fillcolor="#000000"/>
            </w:pict>
          </mc:Fallback>
        </mc:AlternateContent>
      </w:r>
      <w:r>
        <mc:AlternateContent>
          <mc:Choice Requires="wps">
            <w:drawing>
              <wp:anchor distT="0" distB="0" distL="114300" distR="114300" simplePos="false" relativeHeight="10261264" behindDoc="false" locked="false" layoutInCell="true" allowOverlap="true">
                <wp:simplePos x="0" y="0"/>
                <wp:positionH relativeFrom="page">
                  <wp:posOffset>3937000</wp:posOffset>
                </wp:positionH>
                <wp:positionV relativeFrom="page">
                  <wp:posOffset>1498600</wp:posOffset>
                </wp:positionV>
                <wp:extent cx="1397000" cy="12700"/>
                <wp:effectExtent l="0" t="0" r="22225" b="31115"/>
                <wp:wrapNone/>
                <wp:docPr id="14979" name="shape14979"/>
                <wp:cNvGraphicFramePr/>
                <a:graphic>
                  <a:graphicData uri="http://schemas.microsoft.com/office/word/2010/wordprocessingShape">
                    <wps:wsp>
                      <wps:cNvSpPr/>
                      <wps:spPr>
                        <a:xfrm>
                          <a:off x="0" y="0"/>
                          <a:ext cx="13970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0pt;height:1pt;margin-left:310pt;margin-top:118pt;mso-wrap-style:square;z-index:10261264;mso-wrap-distance-left:9pt;mso-wrap-distance-top:0pt;mso-wrap-distance-right:9pt;mso-wrap-distance-bottom:0pt" id="shape14979" o:spid="1618382360496" stroked="f" filled="t" fillcolor="#000000"/>
            </w:pict>
          </mc:Fallback>
        </mc:AlternateContent>
      </w:r>
      <w:r>
        <mc:AlternateContent>
          <mc:Choice Requires="wps">
            <w:drawing>
              <wp:anchor distT="0" distB="0" distL="114300" distR="114300" simplePos="false" relativeHeight="10263312" behindDoc="false" locked="false" layoutInCell="true" allowOverlap="true">
                <wp:simplePos x="0" y="0"/>
                <wp:positionH relativeFrom="page">
                  <wp:posOffset>5334000</wp:posOffset>
                </wp:positionH>
                <wp:positionV relativeFrom="page">
                  <wp:posOffset>1498600</wp:posOffset>
                </wp:positionV>
                <wp:extent cx="1397000" cy="12700"/>
                <wp:effectExtent l="0" t="0" r="22225" b="31115"/>
                <wp:wrapNone/>
                <wp:docPr id="14981" name="shape14981"/>
                <wp:cNvGraphicFramePr/>
                <a:graphic>
                  <a:graphicData uri="http://schemas.microsoft.com/office/word/2010/wordprocessingShape">
                    <wps:wsp>
                      <wps:cNvSpPr/>
                      <wps:spPr>
                        <a:xfrm>
                          <a:off x="0" y="0"/>
                          <a:ext cx="13970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10pt;height:1pt;margin-left:420pt;margin-top:118pt;mso-wrap-style:square;z-index:10263312;mso-wrap-distance-left:9pt;mso-wrap-distance-top:0pt;mso-wrap-distance-right:9pt;mso-wrap-distance-bottom:0pt" id="shape14981" o:spid="1618382360496" stroked="f" filled="t" fillcolor="#000000"/>
            </w:pict>
          </mc:Fallback>
        </mc:AlternateContent>
      </w:r>
      <w:r>
        <mc:AlternateContent>
          <mc:Choice Requires="wps">
            <w:drawing>
              <wp:anchor distT="0" distB="0" distL="114300" distR="114300" simplePos="false" relativeHeight="10403600" behindDoc="true" locked="false" layoutInCell="true" allowOverlap="true">
                <wp:simplePos x="0" y="0"/>
                <wp:positionH relativeFrom="page">
                  <wp:posOffset>889000</wp:posOffset>
                </wp:positionH>
                <wp:positionV relativeFrom="page">
                  <wp:posOffset>711200</wp:posOffset>
                </wp:positionV>
                <wp:extent cx="5803900" cy="25400"/>
                <wp:effectExtent l="0" t="0" r="22225" b="31115"/>
                <wp:wrapNone/>
                <wp:docPr id="14969" name="shape14969"/>
                <wp:cNvGraphicFramePr/>
                <a:graphic>
                  <a:graphicData uri="http://schemas.microsoft.com/office/word/2010/wordprocessingShape">
                    <wps:wsp>
                      <wps:cNvSpPr/>
                      <wps:spPr>
                        <a:xfrm>
                          <a:off x="0" y="0"/>
                          <a:ext cx="5803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57pt;height:2pt;margin-left:70pt;margin-top:56pt;mso-wrap-style:square;z-index:10403600;mso-wrap-distance-left:9pt;mso-wrap-distance-top:0pt;mso-wrap-distance-right:9pt;mso-wrap-distance-bottom:0pt" id="shape14969" o:spid="1618382360497" stroked="f" filled="t" fillcolor="#000000"/>
            </w:pict>
          </mc:Fallback>
        </mc:AlternateContent>
      </w:r>
      <w:r>
        <mc:AlternateContent>
          <mc:Choice Requires="wps">
            <w:drawing>
              <wp:anchor distT="0" distB="0" distL="114300" distR="114300" simplePos="false" relativeHeight="10407696" behindDoc="false" locked="false" layoutInCell="true" allowOverlap="true">
                <wp:simplePos x="0" y="0"/>
                <wp:positionH relativeFrom="page">
                  <wp:posOffset>850900</wp:posOffset>
                </wp:positionH>
                <wp:positionV relativeFrom="page">
                  <wp:posOffset>4648200</wp:posOffset>
                </wp:positionV>
                <wp:extent cx="584200" cy="203200"/>
                <wp:effectExtent l="0" t="0" r="22225" b="31115"/>
                <wp:wrapNone/>
                <wp:docPr id="15118" name="shape15118"/>
                <wp:cNvGraphicFramePr/>
                <a:graphic>
                  <a:graphicData uri="http://schemas.microsoft.com/office/word/2010/wordprocessingShape">
                    <wps:wsp>
                      <wps:cNvSpPr/>
                      <wps:spPr>
                        <a:xfrm>
                          <a:off x="0" y="0"/>
                          <a:ext cx="584200" cy="203200"/>
                        </a:xfrm>
                        <a:prstGeom prst="rect">
                          <a:avLst/>
                        </a:prstGeom>
                      </wps:spPr>
                      <wps:txbx>
                        <w:txbxContent>
                          <w:p>
                            <w:pPr>
                              <w:spacing w:line="-220" w:lineRule="exact"/>
                              <w:ind w:left="0"/>
                              <w:jc w:val="both"/>
                            </w:pPr>
                            <w:r>
                              <w:rPr>
                                <w:rFonts w:hint="eastAsia" w:ascii="宋体" w:hAnsi="宋体" w:eastAsia="宋体" w:cs="宋体"/>
                                <w:sz w:val="24"/>
                              </w:rPr>
                              <w:t>下</w:t>
                            </w:r>
                            <w:r>
                              <w:rPr>
                                <w:rFonts w:hint="eastAsia" w:ascii="宋体" w:hAnsi="宋体" w:eastAsia="宋体" w:cs="宋体"/>
                                <w:sz w:val="10"/>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6pt;height:16pt;margin-left:67pt;margin-top:366pt;mso-wrap-style:none;z-index:10407696;mso-wrap-distance-left:9pt;mso-wrap-distance-top:0pt;mso-wrap-distance-right:9pt;mso-wrap-distance-bottom:0pt" id="shape15118" o:spid="1618382360497" stroked="f">
                <v:textbox>
                  <w:txbxContent>
                    <w:p>
                      <w:pPr>
                        <w:spacing w:line="-220" w:lineRule="exact"/>
                        <w:ind w:left="0"/>
                        <w:jc w:val="both"/>
                      </w:pPr>
                      <w:r>
                        <w:rPr>
                          <w:rFonts w:hint="eastAsia" w:ascii="宋体" w:hAnsi="宋体" w:eastAsia="宋体" w:cs="宋体"/>
                          <w:sz w:val="24"/>
                        </w:rPr>
                        <w:t>下</w:t>
                      </w:r>
                      <w:r>
                        <w:rPr>
                          <w:rFonts w:hint="eastAsia" w:ascii="宋体" w:hAnsi="宋体" w:eastAsia="宋体" w:cs="宋体"/>
                          <w:sz w:val="10"/>
                        </w:rPr>
                        <w:t>：</w:t>
                      </w:r>
                    </w:p>
                  </w:txbxContent>
                </v:textbox>
              </v:rect>
            </w:pict>
          </mc:Fallback>
        </mc:AlternateContent>
      </w:r>
    </w:p>
    <w:p>
      <w:pPr>
        <w:sectPr>
          <w:type w:val="nextPage"/>
          <w:pgSz w:w="11900" w:h="16820"/>
          <w:pgMar w:top="0" w:right="0" w:bottom="0" w:left="0"/>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500"/>
        <w:jc w:val="both"/>
      </w:pPr>
      <w:r>
        <w:rPr>
          <w:rFonts w:hint="eastAsia" w:ascii="宋体" w:hAnsi="宋体" w:eastAsia="宋体" w:cs="宋体"/>
          <w:sz w:val="21"/>
        </w:rPr>
        <w:t>应收账款账面余额占营业</w:t>
      </w:r>
    </w:p>
    <w:p>
      <w:pPr>
        <w:spacing w:line="200" w:lineRule="exact"/>
        <w:rPr>
          <w:rFonts w:hint="eastAsia" w:ascii="宋体" w:hAnsi="宋体" w:eastAsia="宋体" w:cs="宋体"/>
          <w:sz w:val="20"/>
        </w:rPr>
      </w:pPr>
    </w:p>
    <w:p>
      <w:pPr>
        <w:autoSpaceDE w:val="false"/>
        <w:autoSpaceDN w:val="false"/>
        <w:spacing w:line="280" w:lineRule="exact"/>
        <w:ind w:left="2240"/>
        <w:jc w:val="both"/>
      </w:pPr>
      <w:r>
        <w:rPr>
          <w:rFonts w:hint="eastAsia" w:ascii="宋体" w:hAnsi="宋体" w:eastAsia="宋体" w:cs="宋体"/>
          <w:sz w:val="21"/>
        </w:rPr>
        <w:t>收入比例</w:t>
      </w:r>
    </w:p>
    <w:p>
      <w:pPr>
        <w:spacing w:line="200" w:lineRule="exact"/>
        <w:rPr>
          <w:rFonts w:hint="eastAsia" w:ascii="宋体" w:hAnsi="宋体" w:eastAsia="宋体" w:cs="宋体"/>
          <w:sz w:val="20"/>
        </w:rPr>
      </w:pPr>
      <w:r>
        <w:br w:type="column"/>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2220"/>
          <w:tab w:val="left" w:pos="4420"/>
        </w:tabs>
        <w:autoSpaceDE w:val="false"/>
        <w:autoSpaceDN w:val="false"/>
        <w:spacing w:line="320" w:lineRule="exact"/>
        <w:ind w:left="0"/>
        <w:jc w:val="both"/>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tab/>
      </w: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tab/>
      </w: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p>
      <w:pPr>
        <w:sectPr>
          <w:type w:val="continuous"/>
          <w:pgSz w:w="11900" w:h="16820"/>
          <w:pgMar w:top="0" w:right="0" w:bottom="0" w:left="0"/>
          <w:cols w:equalWidth="false" w:num="2" w:sep="false">
            <w:col w:w="3900" w:space="1520"/>
            <w:col w:w="5240"/>
          </w:cols>
        </w:sect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1440" w:right="128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公司应收账款余额分别为</w:t>
      </w:r>
      <w:r>
        <w:rPr>
          <w:rFonts w:hint="eastAsia" w:ascii="Times New Roman" w:hAnsi="Times New Roman" w:eastAsia="Times New Roman" w:cs="Times New Roman"/>
          <w:sz w:val="24"/>
        </w:rPr>
        <w:t xml:space="preserve"> 26,003,204.39</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21,079,195.81</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21,148,934.52</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占营业收入比例分别为</w:t>
      </w:r>
      <w:r>
        <w:rPr>
          <w:rFonts w:hint="eastAsia" w:ascii="Times New Roman" w:hAnsi="Times New Roman" w:eastAsia="Times New Roman" w:cs="Times New Roman"/>
          <w:sz w:val="24"/>
        </w:rPr>
        <w:t xml:space="preserve"> 16.00%</w:t>
      </w:r>
      <w:r>
        <w:rPr>
          <w:rFonts w:hint="eastAsia" w:ascii="宋体" w:hAnsi="宋体" w:eastAsia="宋体" w:cs="宋体"/>
          <w:sz w:val="10"/>
        </w:rPr>
        <w:t>、</w:t>
      </w:r>
      <w:r>
        <w:rPr>
          <w:rFonts w:hint="eastAsia" w:ascii="Times New Roman" w:hAnsi="Times New Roman" w:eastAsia="Times New Roman" w:cs="Times New Roman"/>
          <w:sz w:val="24"/>
        </w:rPr>
        <w:t>10.80%</w:t>
      </w:r>
      <w:r>
        <w:rPr>
          <w:rFonts w:hint="eastAsia" w:ascii="宋体" w:hAnsi="宋体" w:eastAsia="宋体" w:cs="宋体"/>
          <w:sz w:val="24"/>
        </w:rPr>
        <w:t>和</w:t>
      </w:r>
      <w:r>
        <w:rPr>
          <w:rFonts w:hint="eastAsia" w:ascii="Times New Roman" w:hAnsi="Times New Roman" w:eastAsia="Times New Roman" w:cs="Times New Roman"/>
          <w:sz w:val="24"/>
        </w:rPr>
        <w:t xml:space="preserve"> 10.33%</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20"/>
        <w:jc w:val="both"/>
      </w:pPr>
      <w:r>
        <w:rPr>
          <w:rFonts w:hint="eastAsia" w:ascii="宋体" w:hAnsi="宋体" w:eastAsia="宋体" w:cs="宋体"/>
          <w:sz w:val="24"/>
        </w:rPr>
        <w:t>发行人</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年应收账款占营业收入比例不高</w:t>
      </w:r>
      <w:r>
        <w:rPr>
          <w:rFonts w:hint="eastAsia" w:ascii="宋体" w:hAnsi="宋体" w:eastAsia="宋体" w:cs="宋体"/>
          <w:sz w:val="10"/>
        </w:rPr>
        <w:t>，</w:t>
      </w:r>
      <w:r>
        <w:rPr>
          <w:rFonts w:hint="eastAsia" w:ascii="宋体" w:hAnsi="宋体" w:eastAsia="宋体" w:cs="宋体"/>
          <w:sz w:val="24"/>
        </w:rPr>
        <w:t>体现了良好的回款能力</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年末</w:t>
      </w:r>
      <w:r>
        <w:rPr>
          <w:rFonts w:hint="eastAsia" w:ascii="Times New Roman" w:hAnsi="Times New Roman" w:eastAsia="Times New Roman" w:cs="Times New Roman"/>
          <w:sz w:val="24"/>
        </w:rPr>
        <w:t>,</w:t>
      </w:r>
      <w:r>
        <w:rPr>
          <w:rFonts w:hint="eastAsia" w:ascii="宋体" w:hAnsi="宋体" w:eastAsia="宋体" w:cs="宋体"/>
          <w:sz w:val="24"/>
        </w:rPr>
        <w:t>公司应收账款余额占营业收入的比例较</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年末保持稳定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②应收账款账龄分析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公司在报告期内采取了严格的信用政策</w:t>
      </w:r>
      <w:r>
        <w:rPr>
          <w:rFonts w:hint="eastAsia" w:ascii="宋体" w:hAnsi="宋体" w:eastAsia="宋体" w:cs="宋体"/>
          <w:sz w:val="10"/>
        </w:rPr>
        <w:t>，</w:t>
      </w:r>
      <w:r>
        <w:rPr>
          <w:rFonts w:hint="eastAsia" w:ascii="宋体" w:hAnsi="宋体" w:eastAsia="宋体" w:cs="宋体"/>
          <w:sz w:val="24"/>
        </w:rPr>
        <w:t>并建立了良好的应收账款内部控制制度和严格的资金回款责任制度</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报告期内公司的货款回收情况良好</w:t>
      </w:r>
      <w:r>
        <w:rPr>
          <w:rFonts w:hint="eastAsia" w:ascii="宋体" w:hAnsi="宋体" w:eastAsia="宋体" w:cs="宋体"/>
          <w:sz w:val="10"/>
        </w:rPr>
        <w:t>，</w:t>
      </w:r>
      <w:r>
        <w:rPr>
          <w:rFonts w:hint="eastAsia" w:ascii="宋体" w:hAnsi="宋体" w:eastAsia="宋体" w:cs="宋体"/>
          <w:sz w:val="24"/>
        </w:rPr>
        <w:t>未发生重大坏账风险</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公司按照账龄分析法计提坏账准备的应收账款余额及其账龄情况如</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40"/>
        <w:gridCol w:w="1560"/>
        <w:gridCol w:w="1140"/>
        <w:gridCol w:w="1560"/>
        <w:gridCol w:w="1120"/>
        <w:gridCol w:w="1560"/>
        <w:gridCol w:w="1080"/>
      </w:tblGrid>
      <w:tr>
        <w:trPr>
          <w:trHeight w:val="460" w:hRule="exact"/>
        </w:trPr>
        <w:tc>
          <w:tcPr>
            <w:tcW w:w="1240" w:type="dxa"/>
            <w:vMerge w:val="restart"/>
            <w:tcMar>
              <w:top w:w="0" w:type="dxa"/>
              <w:left w:w="0" w:type="dxa"/>
              <w:bottom w:w="0" w:type="dxa"/>
              <w:right w:w="0" w:type="dxa"/>
            </w:tcMar>
          </w:tcPr>
          <w:p>
            <w:pPr>
              <w:spacing w:before="340"/>
              <w:ind w:left="400"/>
            </w:pPr>
            <w:r>
              <w:rPr>
                <w:rFonts w:hint="eastAsia" w:ascii="宋体" w:hAnsi="宋体" w:eastAsia="宋体" w:cs="宋体"/>
                <w:b/>
                <w:sz w:val="21"/>
              </w:rPr>
              <w:t>期限</w:t>
            </w:r>
          </w:p>
        </w:tc>
        <w:tc>
          <w:tcPr>
            <w:tcW w:w="2700" w:type="dxa"/>
            <w:gridSpan w:val="2"/>
            <w:tcMar>
              <w:top w:w="0" w:type="dxa"/>
              <w:left w:w="0" w:type="dxa"/>
              <w:bottom w:w="0" w:type="dxa"/>
              <w:right w:w="0" w:type="dxa"/>
            </w:tcMar>
          </w:tcPr>
          <w:p>
            <w:pPr>
              <w:spacing w:before="160"/>
              <w:ind w:left="840"/>
            </w:pPr>
            <w:r>
              <w:rPr>
                <w:rFonts w:hint="eastAsia" w:ascii="Times New Roman Bold" w:hAnsi="Times New Roman Bold" w:eastAsia="Times New Roman Bold" w:cs="Times New Roman Bold"/>
                <w:b/>
                <w:sz w:val="21"/>
              </w:rPr>
              <w:t>2016-12-31</w:t>
            </w:r>
          </w:p>
        </w:tc>
        <w:tc>
          <w:tcPr>
            <w:tcW w:w="2680" w:type="dxa"/>
            <w:gridSpan w:val="2"/>
            <w:tcMar>
              <w:top w:w="0" w:type="dxa"/>
              <w:left w:w="0" w:type="dxa"/>
              <w:bottom w:w="0" w:type="dxa"/>
              <w:right w:w="0" w:type="dxa"/>
            </w:tcMar>
          </w:tcPr>
          <w:p>
            <w:pPr>
              <w:spacing w:before="160"/>
              <w:ind w:left="840"/>
            </w:pPr>
            <w:r>
              <w:rPr>
                <w:rFonts w:hint="eastAsia" w:ascii="Times New Roman Bold" w:hAnsi="Times New Roman Bold" w:eastAsia="Times New Roman Bold" w:cs="Times New Roman Bold"/>
                <w:b/>
                <w:sz w:val="21"/>
              </w:rPr>
              <w:t>2015-12-31</w:t>
            </w:r>
          </w:p>
        </w:tc>
        <w:tc>
          <w:tcPr>
            <w:tcW w:w="2640" w:type="dxa"/>
            <w:gridSpan w:val="2"/>
            <w:tcMar>
              <w:top w:w="0" w:type="dxa"/>
              <w:left w:w="0" w:type="dxa"/>
              <w:bottom w:w="0" w:type="dxa"/>
              <w:right w:w="0" w:type="dxa"/>
            </w:tcMar>
          </w:tcPr>
          <w:p>
            <w:pPr>
              <w:spacing w:before="160"/>
              <w:ind w:left="820"/>
            </w:pPr>
            <w:r>
              <w:rPr>
                <w:rFonts w:hint="eastAsia" w:ascii="Times New Roman Bold" w:hAnsi="Times New Roman Bold" w:eastAsia="Times New Roman Bold" w:cs="Times New Roman Bold"/>
                <w:b/>
                <w:sz w:val="21"/>
              </w:rPr>
              <w:t>2014-12-31</w:t>
            </w:r>
          </w:p>
        </w:tc>
      </w:tr>
      <w:tr>
        <w:trPr>
          <w:trHeight w:val="48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20"/>
              <w:ind w:left="560"/>
            </w:pPr>
            <w:r>
              <w:rPr>
                <w:rFonts w:hint="eastAsia" w:ascii="宋体" w:hAnsi="宋体" w:eastAsia="宋体" w:cs="宋体"/>
                <w:b/>
                <w:sz w:val="21"/>
              </w:rPr>
              <w:t>金额</w:t>
            </w:r>
          </w:p>
        </w:tc>
        <w:tc>
          <w:tcPr>
            <w:tcW w:w="1140" w:type="dxa"/>
            <w:tcMar>
              <w:top w:w="0" w:type="dxa"/>
              <w:left w:w="0" w:type="dxa"/>
              <w:bottom w:w="0" w:type="dxa"/>
              <w:right w:w="0" w:type="dxa"/>
            </w:tcMar>
          </w:tcPr>
          <w:p>
            <w:pPr>
              <w:spacing w:before="120"/>
              <w:ind w:left="34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20"/>
              <w:ind w:left="540"/>
            </w:pPr>
            <w:r>
              <w:rPr>
                <w:rFonts w:hint="eastAsia" w:ascii="宋体" w:hAnsi="宋体" w:eastAsia="宋体" w:cs="宋体"/>
                <w:b/>
                <w:sz w:val="21"/>
              </w:rPr>
              <w:t>金额</w:t>
            </w:r>
          </w:p>
        </w:tc>
        <w:tc>
          <w:tcPr>
            <w:tcW w:w="1120" w:type="dxa"/>
            <w:tcMar>
              <w:top w:w="0" w:type="dxa"/>
              <w:left w:w="0" w:type="dxa"/>
              <w:bottom w:w="0" w:type="dxa"/>
              <w:right w:w="0" w:type="dxa"/>
            </w:tcMar>
          </w:tcPr>
          <w:p>
            <w:pPr>
              <w:spacing w:before="120"/>
              <w:ind w:left="34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20"/>
              <w:ind w:left="56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20"/>
              <w:ind w:left="320"/>
            </w:pPr>
            <w:r>
              <w:rPr>
                <w:rFonts w:hint="eastAsia" w:ascii="宋体" w:hAnsi="宋体" w:eastAsia="宋体" w:cs="宋体"/>
                <w:b/>
                <w:sz w:val="21"/>
              </w:rPr>
              <w:t>比例</w:t>
            </w:r>
          </w:p>
        </w:tc>
      </w:tr>
      <w:tr>
        <w:trPr>
          <w:trHeight w:val="480" w:hRule="exact"/>
        </w:trPr>
        <w:tc>
          <w:tcPr>
            <w:tcW w:w="1240" w:type="dxa"/>
            <w:tcMar>
              <w:top w:w="0" w:type="dxa"/>
              <w:left w:w="0" w:type="dxa"/>
              <w:bottom w:w="0" w:type="dxa"/>
              <w:right w:w="0" w:type="dxa"/>
            </w:tcMar>
          </w:tcPr>
          <w:p>
            <w:pPr>
              <w:spacing w:before="100"/>
              <w:ind w:left="220"/>
            </w:pPr>
            <w:r>
              <w:rPr>
                <w:rFonts w:hint="eastAsia" w:ascii="Times New Roman" w:hAnsi="Times New Roman" w:eastAsia="Times New Roman" w:cs="Times New Roman"/>
                <w:sz w:val="21"/>
              </w:rPr>
              <w:t>1</w:t>
            </w:r>
            <w:r>
              <w:rPr>
                <w:rFonts w:hint="eastAsia" w:ascii="宋体" w:hAnsi="宋体" w:eastAsia="宋体" w:cs="宋体"/>
                <w:sz w:val="21"/>
              </w:rPr>
              <w:t xml:space="preserve"> 年以内</w:t>
            </w:r>
          </w:p>
        </w:tc>
        <w:tc>
          <w:tcPr>
            <w:tcW w:w="156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c>
          <w:tcPr>
            <w:tcW w:w="114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2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112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108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r>
      <w:tr>
        <w:trPr>
          <w:trHeight w:val="460" w:hRule="exact"/>
        </w:trPr>
        <w:tc>
          <w:tcPr>
            <w:tcW w:w="1240" w:type="dxa"/>
            <w:tcMar>
              <w:top w:w="0" w:type="dxa"/>
              <w:left w:w="0" w:type="dxa"/>
              <w:bottom w:w="0" w:type="dxa"/>
              <w:right w:w="0" w:type="dxa"/>
            </w:tcMar>
          </w:tcPr>
          <w:p>
            <w:pPr>
              <w:spacing w:before="120"/>
              <w:ind w:left="220"/>
            </w:pPr>
            <w:r>
              <w:rPr>
                <w:rFonts w:hint="eastAsia" w:ascii="Times New Roman" w:hAnsi="Times New Roman" w:eastAsia="Times New Roman" w:cs="Times New Roman"/>
                <w:sz w:val="21"/>
              </w:rPr>
              <w:t>1</w:t>
            </w:r>
            <w:r>
              <w:rPr>
                <w:rFonts w:hint="eastAsia" w:ascii="宋体" w:hAnsi="宋体" w:eastAsia="宋体" w:cs="宋体"/>
                <w:sz w:val="21"/>
              </w:rPr>
              <w:t xml:space="preserve"> 至</w:t>
            </w:r>
            <w:r>
              <w:rPr>
                <w:rFonts w:hint="eastAsia" w:ascii="Times New Roman" w:hAnsi="Times New Roman" w:eastAsia="Times New Roman" w:cs="Times New Roman"/>
                <w:sz w:val="21"/>
              </w:rPr>
              <w:t xml:space="preserve"> 2</w:t>
            </w:r>
            <w:r>
              <w:rPr>
                <w:rFonts w:hint="eastAsia" w:ascii="宋体" w:hAnsi="宋体" w:eastAsia="宋体" w:cs="宋体"/>
                <w:sz w:val="21"/>
              </w:rPr>
              <w:t xml:space="preserve"> 年</w:t>
            </w:r>
          </w:p>
        </w:tc>
        <w:tc>
          <w:tcPr>
            <w:tcW w:w="15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w:t>
            </w:r>
          </w:p>
        </w:tc>
        <w:tc>
          <w:tcPr>
            <w:tcW w:w="114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12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10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r>
      <w:tr>
        <w:trPr>
          <w:trHeight w:val="480" w:hRule="exact"/>
        </w:trPr>
        <w:tc>
          <w:tcPr>
            <w:tcW w:w="1240" w:type="dxa"/>
            <w:tcMar>
              <w:top w:w="0" w:type="dxa"/>
              <w:left w:w="0" w:type="dxa"/>
              <w:bottom w:w="0" w:type="dxa"/>
              <w:right w:w="0" w:type="dxa"/>
            </w:tcMar>
          </w:tcPr>
          <w:p>
            <w:pPr>
              <w:spacing w:before="120"/>
              <w:ind w:left="220"/>
            </w:pPr>
            <w:r>
              <w:rPr>
                <w:rFonts w:hint="eastAsia" w:ascii="Times New Roman" w:hAnsi="Times New Roman" w:eastAsia="Times New Roman" w:cs="Times New Roman"/>
                <w:sz w:val="21"/>
              </w:rPr>
              <w:t>2</w:t>
            </w:r>
            <w:r>
              <w:rPr>
                <w:rFonts w:hint="eastAsia" w:ascii="宋体" w:hAnsi="宋体" w:eastAsia="宋体" w:cs="宋体"/>
                <w:sz w:val="21"/>
              </w:rPr>
              <w:t xml:space="preserve"> 至</w:t>
            </w:r>
            <w:r>
              <w:rPr>
                <w:rFonts w:hint="eastAsia" w:ascii="Times New Roman" w:hAnsi="Times New Roman" w:eastAsia="Times New Roman" w:cs="Times New Roman"/>
                <w:sz w:val="21"/>
              </w:rPr>
              <w:t xml:space="preserve"> 3</w:t>
            </w:r>
            <w:r>
              <w:rPr>
                <w:rFonts w:hint="eastAsia" w:ascii="宋体" w:hAnsi="宋体" w:eastAsia="宋体" w:cs="宋体"/>
                <w:sz w:val="21"/>
              </w:rPr>
              <w:t xml:space="preserve"> 年</w:t>
            </w:r>
          </w:p>
        </w:tc>
        <w:tc>
          <w:tcPr>
            <w:tcW w:w="156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933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c>
          <w:tcPr>
            <w:tcW w:w="114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80"/>
              <w:ind w:left="480"/>
            </w:pPr>
            <w:r>
              <w:rPr>
                <w:rFonts w:hint="eastAsia" w:ascii="Times New Roman" w:hAnsi="Times New Roman" w:eastAsia="Times New Roman" w:cs="Times New Roman"/>
                <w:sz w:val="21"/>
              </w:rPr>
              <w:t>575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112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c>
          <w:tcPr>
            <w:tcW w:w="1080" w:type="dxa"/>
            <w:tcMar>
              <w:top w:w="0" w:type="dxa"/>
              <w:left w:w="0" w:type="dxa"/>
              <w:bottom w:w="0" w:type="dxa"/>
              <w:right w:w="0" w:type="dxa"/>
            </w:tcMar>
          </w:tcPr>
          <w:p>
            <w:pPr>
              <w:spacing w:before="180"/>
              <w:ind w:left="4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p>
        </w:tc>
      </w:tr>
      <w:tr>
        <w:trPr>
          <w:trHeight w:val="480" w:hRule="exact"/>
        </w:trPr>
        <w:tc>
          <w:tcPr>
            <w:tcW w:w="1240" w:type="dxa"/>
            <w:tcMar>
              <w:top w:w="0" w:type="dxa"/>
              <w:left w:w="0" w:type="dxa"/>
              <w:bottom w:w="0" w:type="dxa"/>
              <w:right w:w="0" w:type="dxa"/>
            </w:tcMar>
          </w:tcPr>
          <w:p>
            <w:pPr>
              <w:spacing w:before="120"/>
              <w:ind w:left="220"/>
            </w:pPr>
            <w:r>
              <w:rPr>
                <w:rFonts w:hint="eastAsia" w:ascii="Times New Roman" w:hAnsi="Times New Roman" w:eastAsia="Times New Roman" w:cs="Times New Roman"/>
                <w:sz w:val="21"/>
              </w:rPr>
              <w:t>3</w:t>
            </w:r>
            <w:r>
              <w:rPr>
                <w:rFonts w:hint="eastAsia" w:ascii="宋体" w:hAnsi="宋体" w:eastAsia="宋体" w:cs="宋体"/>
                <w:sz w:val="21"/>
              </w:rPr>
              <w:t xml:space="preserve"> 年以上</w:t>
            </w:r>
          </w:p>
        </w:tc>
        <w:tc>
          <w:tcPr>
            <w:tcW w:w="15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14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12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w:t>
            </w:r>
          </w:p>
        </w:tc>
        <w:tc>
          <w:tcPr>
            <w:tcW w:w="10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p>
        </w:tc>
      </w:tr>
      <w:tr>
        <w:trPr>
          <w:trHeight w:val="460" w:hRule="exact"/>
        </w:trPr>
        <w:tc>
          <w:tcPr>
            <w:tcW w:w="1240" w:type="dxa"/>
            <w:tcMar>
              <w:top w:w="0" w:type="dxa"/>
              <w:left w:w="0" w:type="dxa"/>
              <w:bottom w:w="0" w:type="dxa"/>
              <w:right w:w="0" w:type="dxa"/>
            </w:tcMar>
          </w:tcPr>
          <w:p>
            <w:pPr>
              <w:spacing w:before="120"/>
              <w:ind w:left="400"/>
            </w:pPr>
            <w:r>
              <w:rPr>
                <w:rFonts w:hint="eastAsia" w:ascii="宋体" w:hAnsi="宋体" w:eastAsia="宋体" w:cs="宋体"/>
                <w:b/>
                <w:sz w:val="21"/>
              </w:rPr>
              <w:t>合计</w:t>
            </w:r>
          </w:p>
        </w:tc>
        <w:tc>
          <w:tcPr>
            <w:tcW w:w="1560" w:type="dxa"/>
            <w:tcMar>
              <w:top w:w="0" w:type="dxa"/>
              <w:left w:w="0" w:type="dxa"/>
              <w:bottom w:w="0" w:type="dxa"/>
              <w:right w:w="0" w:type="dxa"/>
            </w:tcMar>
          </w:tcPr>
          <w:p>
            <w:pPr>
              <w:spacing w:before="140"/>
              <w:ind w:left="240"/>
            </w:pPr>
            <w:r>
              <w:rPr>
                <w:rFonts w:hint="eastAsia" w:ascii="Times New Roman Bold" w:hAnsi="Times New Roman Bold" w:eastAsia="Times New Roman Bold" w:cs="Times New Roman Bold"/>
                <w:b/>
                <w:sz w:val="21"/>
              </w:rPr>
              <w:t>21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52</w:t>
            </w:r>
          </w:p>
        </w:tc>
        <w:tc>
          <w:tcPr>
            <w:tcW w:w="1140" w:type="dxa"/>
            <w:tcMar>
              <w:top w:w="0" w:type="dxa"/>
              <w:left w:w="0" w:type="dxa"/>
              <w:bottom w:w="0" w:type="dxa"/>
              <w:right w:w="0" w:type="dxa"/>
            </w:tcMar>
          </w:tcPr>
          <w:p>
            <w:pPr>
              <w:spacing w:before="14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40"/>
              <w:ind w:left="220"/>
            </w:pPr>
            <w:r>
              <w:rPr>
                <w:rFonts w:hint="eastAsia" w:ascii="Times New Roman Bold" w:hAnsi="Times New Roman Bold" w:eastAsia="Times New Roman Bold" w:cs="Times New Roman Bold"/>
                <w:b/>
                <w:sz w:val="21"/>
              </w:rPr>
              <w:t>21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079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w:t>
            </w:r>
          </w:p>
        </w:tc>
        <w:tc>
          <w:tcPr>
            <w:tcW w:w="1120" w:type="dxa"/>
            <w:tcMar>
              <w:top w:w="0" w:type="dxa"/>
              <w:left w:w="0" w:type="dxa"/>
              <w:bottom w:w="0" w:type="dxa"/>
              <w:right w:w="0" w:type="dxa"/>
            </w:tcMar>
          </w:tcPr>
          <w:p>
            <w:pPr>
              <w:spacing w:before="14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40"/>
              <w:ind w:left="240"/>
            </w:pPr>
            <w:r>
              <w:rPr>
                <w:rFonts w:hint="eastAsia" w:ascii="Times New Roman Bold" w:hAnsi="Times New Roman Bold" w:eastAsia="Times New Roman Bold" w:cs="Times New Roman Bold"/>
                <w:b/>
                <w:sz w:val="21"/>
              </w:rPr>
              <w:t>26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39</w:t>
            </w:r>
          </w:p>
        </w:tc>
        <w:tc>
          <w:tcPr>
            <w:tcW w:w="1080" w:type="dxa"/>
            <w:tcMar>
              <w:top w:w="0" w:type="dxa"/>
              <w:left w:w="0" w:type="dxa"/>
              <w:bottom w:w="0" w:type="dxa"/>
              <w:right w:w="0" w:type="dxa"/>
            </w:tcMar>
          </w:tcPr>
          <w:p>
            <w:pPr>
              <w:spacing w:before="140"/>
              <w:ind w:left="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公司与客户在合同中约定了结算条件</w:t>
      </w:r>
      <w:r>
        <w:rPr>
          <w:rFonts w:hint="eastAsia" w:ascii="宋体" w:hAnsi="宋体" w:eastAsia="宋体" w:cs="宋体"/>
          <w:sz w:val="10"/>
        </w:rPr>
        <w:t>。</w:t>
      </w:r>
      <w:r>
        <w:rPr>
          <w:rFonts w:hint="eastAsia" w:ascii="宋体" w:hAnsi="宋体" w:eastAsia="宋体" w:cs="宋体"/>
          <w:sz w:val="24"/>
        </w:rPr>
        <w:t>对于定制软件业务</w:t>
      </w:r>
      <w:r>
        <w:rPr>
          <w:rFonts w:hint="eastAsia" w:ascii="宋体" w:hAnsi="宋体" w:eastAsia="宋体" w:cs="宋体"/>
          <w:sz w:val="10"/>
        </w:rPr>
        <w:t>，</w:t>
      </w:r>
      <w:r>
        <w:rPr>
          <w:rFonts w:hint="eastAsia" w:ascii="宋体" w:hAnsi="宋体" w:eastAsia="宋体" w:cs="宋体"/>
          <w:sz w:val="24"/>
        </w:rPr>
        <w:t>公司通常在项目通过验收后</w:t>
      </w:r>
      <w:r>
        <w:rPr>
          <w:rFonts w:hint="eastAsia" w:ascii="Times New Roman" w:hAnsi="Times New Roman" w:eastAsia="Times New Roman" w:cs="Times New Roman"/>
          <w:sz w:val="24"/>
        </w:rPr>
        <w:t xml:space="preserve"> 3-6</w:t>
      </w:r>
      <w:r>
        <w:rPr>
          <w:rFonts w:hint="eastAsia" w:ascii="宋体" w:hAnsi="宋体" w:eastAsia="宋体" w:cs="宋体"/>
          <w:sz w:val="24"/>
        </w:rPr>
        <w:t xml:space="preserve"> 个月内向客户收取尾款</w:t>
      </w:r>
      <w:r>
        <w:rPr>
          <w:rFonts w:hint="eastAsia" w:ascii="宋体" w:hAnsi="宋体" w:eastAsia="宋体" w:cs="宋体"/>
          <w:sz w:val="10"/>
        </w:rPr>
        <w:t>。</w:t>
      </w:r>
      <w:r>
        <w:rPr>
          <w:rFonts w:hint="eastAsia" w:ascii="宋体" w:hAnsi="宋体" w:eastAsia="宋体" w:cs="宋体"/>
          <w:sz w:val="24"/>
        </w:rPr>
        <w:t>对于软件运维服务业务</w:t>
      </w:r>
      <w:r>
        <w:rPr>
          <w:rFonts w:hint="eastAsia" w:ascii="宋体" w:hAnsi="宋体" w:eastAsia="宋体" w:cs="宋体"/>
          <w:sz w:val="10"/>
        </w:rPr>
        <w:t>，</w:t>
      </w:r>
      <w:r>
        <w:rPr>
          <w:rFonts w:hint="eastAsia" w:ascii="宋体" w:hAnsi="宋体" w:eastAsia="宋体" w:cs="宋体"/>
          <w:sz w:val="24"/>
        </w:rPr>
        <w:t>公司通常在维护周期内按照合同约定向客户收取全款</w:t>
      </w:r>
      <w:r>
        <w:rPr>
          <w:rFonts w:hint="eastAsia" w:ascii="宋体" w:hAnsi="宋体" w:eastAsia="宋体" w:cs="宋体"/>
          <w:sz w:val="10"/>
        </w:rPr>
        <w:t>。</w:t>
      </w:r>
      <w:r>
        <w:rPr>
          <w:rFonts w:hint="eastAsia" w:ascii="宋体" w:hAnsi="宋体" w:eastAsia="宋体" w:cs="宋体"/>
          <w:sz w:val="24"/>
        </w:rPr>
        <w:t>公司在报告期内信用政策未发生明显变化</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公司各期末</w:t>
      </w:r>
      <w:r>
        <w:rPr>
          <w:rFonts w:hint="eastAsia" w:ascii="宋体" w:hAnsi="宋体" w:eastAsia="宋体" w:cs="宋体"/>
          <w:sz w:val="10"/>
        </w:rPr>
        <w:t>，</w:t>
      </w:r>
      <w:r>
        <w:rPr>
          <w:rFonts w:hint="eastAsia" w:ascii="宋体" w:hAnsi="宋体" w:eastAsia="宋体" w:cs="宋体"/>
          <w:sz w:val="24"/>
        </w:rPr>
        <w:t>信用期内</w:t>
      </w:r>
      <w:r>
        <w:rPr>
          <w:rFonts w:hint="eastAsia" w:ascii="宋体" w:hAnsi="宋体" w:eastAsia="宋体" w:cs="宋体"/>
          <w:sz w:val="10"/>
        </w:rPr>
        <w:t>、</w:t>
      </w:r>
      <w:r>
        <w:rPr>
          <w:rFonts w:hint="eastAsia" w:ascii="宋体" w:hAnsi="宋体" w:eastAsia="宋体" w:cs="宋体"/>
          <w:sz w:val="24"/>
        </w:rPr>
        <w:t>外应收账款金额和占比明细如下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700"/>
        <w:gridCol w:w="1440"/>
        <w:gridCol w:w="1000"/>
        <w:gridCol w:w="1700"/>
        <w:gridCol w:w="1000"/>
        <w:gridCol w:w="1420"/>
        <w:gridCol w:w="1000"/>
      </w:tblGrid>
      <w:tr>
        <w:trPr>
          <w:trHeight w:val="640" w:hRule="exact"/>
        </w:trPr>
        <w:tc>
          <w:tcPr>
            <w:tcW w:w="1700" w:type="dxa"/>
            <w:vMerge w:val="restart"/>
            <w:tcMar>
              <w:top w:w="0" w:type="dxa"/>
              <w:left w:w="0" w:type="dxa"/>
              <w:bottom w:w="0" w:type="dxa"/>
              <w:right w:w="0" w:type="dxa"/>
            </w:tcMar>
          </w:tcPr>
          <w:p>
            <w:pPr>
              <w:spacing w:before="520"/>
              <w:ind w:left="620"/>
            </w:pPr>
            <w:r>
              <w:rPr>
                <w:rFonts w:hint="eastAsia" w:ascii="宋体" w:hAnsi="宋体" w:eastAsia="宋体" w:cs="宋体"/>
                <w:b/>
                <w:sz w:val="21"/>
              </w:rPr>
              <w:t>项目</w:t>
            </w:r>
          </w:p>
        </w:tc>
        <w:tc>
          <w:tcPr>
            <w:tcW w:w="2440" w:type="dxa"/>
            <w:gridSpan w:val="2"/>
            <w:tcMar>
              <w:top w:w="0" w:type="dxa"/>
              <w:left w:w="0" w:type="dxa"/>
              <w:bottom w:w="0" w:type="dxa"/>
              <w:right w:w="0" w:type="dxa"/>
            </w:tcMar>
          </w:tcPr>
          <w:p>
            <w:pPr>
              <w:spacing w:before="220"/>
              <w:ind w:left="740"/>
            </w:pPr>
            <w:r>
              <w:rPr>
                <w:rFonts w:hint="eastAsia" w:ascii="Times New Roman Bold" w:hAnsi="Times New Roman Bold" w:eastAsia="Times New Roman Bold" w:cs="Times New Roman Bold"/>
                <w:b/>
                <w:sz w:val="21"/>
              </w:rPr>
              <w:t>2016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c>
          <w:tcPr>
            <w:tcW w:w="2700" w:type="dxa"/>
            <w:gridSpan w:val="2"/>
            <w:tcMar>
              <w:top w:w="0" w:type="dxa"/>
              <w:left w:w="0" w:type="dxa"/>
              <w:bottom w:w="0" w:type="dxa"/>
              <w:right w:w="0" w:type="dxa"/>
            </w:tcMar>
          </w:tcPr>
          <w:p>
            <w:pPr>
              <w:spacing w:before="220"/>
              <w:ind w:left="860"/>
            </w:pPr>
            <w:r>
              <w:rPr>
                <w:rFonts w:hint="eastAsia" w:ascii="Times New Roman Bold" w:hAnsi="Times New Roman Bold" w:eastAsia="Times New Roman Bold" w:cs="Times New Roman Bold"/>
                <w:b/>
                <w:sz w:val="21"/>
              </w:rPr>
              <w:t>2015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c>
          <w:tcPr>
            <w:tcW w:w="2420" w:type="dxa"/>
            <w:gridSpan w:val="2"/>
            <w:tcMar>
              <w:top w:w="0" w:type="dxa"/>
              <w:left w:w="0" w:type="dxa"/>
              <w:bottom w:w="0" w:type="dxa"/>
              <w:right w:w="0" w:type="dxa"/>
            </w:tcMar>
          </w:tcPr>
          <w:p>
            <w:pPr>
              <w:spacing w:before="220"/>
              <w:ind w:left="720"/>
            </w:pPr>
            <w:r>
              <w:rPr>
                <w:rFonts w:hint="eastAsia" w:ascii="Times New Roman Bold" w:hAnsi="Times New Roman Bold" w:eastAsia="Times New Roman Bold" w:cs="Times New Roman Bold"/>
                <w:b/>
                <w:sz w:val="21"/>
              </w:rPr>
              <w:t>2014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r>
      <w:tr>
        <w:trPr>
          <w:trHeight w:val="620" w:hRule="exact"/>
        </w:trPr>
        <w:tc>
          <w:tcPr>
            <w:tcW w:w="1700" w:type="dxa"/>
            <w:vMerge w:val="continue"/>
            <w:tcMar>
              <w:top w:w="0" w:type="dxa"/>
              <w:left w:w="0" w:type="dxa"/>
              <w:bottom w:w="0" w:type="dxa"/>
              <w:right w:w="0" w:type="dxa"/>
            </w:tcMar>
          </w:tcPr>
          <w:p/>
        </w:tc>
        <w:tc>
          <w:tcPr>
            <w:tcW w:w="1440" w:type="dxa"/>
            <w:tcMar>
              <w:top w:w="0" w:type="dxa"/>
              <w:left w:w="0" w:type="dxa"/>
              <w:bottom w:w="0" w:type="dxa"/>
              <w:right w:w="0" w:type="dxa"/>
            </w:tcMar>
          </w:tcPr>
          <w:p>
            <w:pPr>
              <w:spacing w:before="180"/>
              <w:ind w:left="50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80"/>
              <w:ind w:left="260"/>
            </w:pPr>
            <w:r>
              <w:rPr>
                <w:rFonts w:hint="eastAsia" w:ascii="宋体" w:hAnsi="宋体" w:eastAsia="宋体" w:cs="宋体"/>
                <w:b/>
                <w:sz w:val="21"/>
              </w:rPr>
              <w:t>占比</w:t>
            </w:r>
          </w:p>
        </w:tc>
        <w:tc>
          <w:tcPr>
            <w:tcW w:w="1700" w:type="dxa"/>
            <w:tcMar>
              <w:top w:w="0" w:type="dxa"/>
              <w:left w:w="0" w:type="dxa"/>
              <w:bottom w:w="0" w:type="dxa"/>
              <w:right w:w="0" w:type="dxa"/>
            </w:tcMar>
          </w:tcPr>
          <w:p>
            <w:pPr>
              <w:spacing w:before="180"/>
              <w:ind w:left="62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80"/>
              <w:ind w:left="260"/>
            </w:pPr>
            <w:r>
              <w:rPr>
                <w:rFonts w:hint="eastAsia" w:ascii="宋体" w:hAnsi="宋体" w:eastAsia="宋体" w:cs="宋体"/>
                <w:b/>
                <w:sz w:val="21"/>
              </w:rPr>
              <w:t>占比</w:t>
            </w:r>
          </w:p>
        </w:tc>
        <w:tc>
          <w:tcPr>
            <w:tcW w:w="1420" w:type="dxa"/>
            <w:tcMar>
              <w:top w:w="0" w:type="dxa"/>
              <w:left w:w="0" w:type="dxa"/>
              <w:bottom w:w="0" w:type="dxa"/>
              <w:right w:w="0" w:type="dxa"/>
            </w:tcMar>
          </w:tcPr>
          <w:p>
            <w:pPr>
              <w:spacing w:before="180"/>
              <w:ind w:left="48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80"/>
              <w:ind w:left="280"/>
            </w:pPr>
            <w:r>
              <w:rPr>
                <w:rFonts w:hint="eastAsia" w:ascii="宋体" w:hAnsi="宋体" w:eastAsia="宋体" w:cs="宋体"/>
                <w:b/>
                <w:sz w:val="21"/>
              </w:rPr>
              <w:t>占比</w:t>
            </w:r>
          </w:p>
        </w:tc>
      </w:tr>
    </w:tbl>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1-1-256</w:t>
      </w:r>
    </w:p>
    <w:p>
      <w:pPr>
        <w:sectPr>
          <w:type w:val="continuous"/>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700"/>
        <w:gridCol w:w="1440"/>
        <w:gridCol w:w="1000"/>
        <w:gridCol w:w="1700"/>
        <w:gridCol w:w="1000"/>
        <w:gridCol w:w="1420"/>
        <w:gridCol w:w="1000"/>
      </w:tblGrid>
      <w:tr>
        <w:trPr>
          <w:trHeight w:val="640" w:hRule="exact"/>
        </w:trPr>
        <w:tc>
          <w:tcPr>
            <w:tcW w:w="1700" w:type="dxa"/>
            <w:tcMar>
              <w:top w:w="0" w:type="dxa"/>
              <w:left w:w="0" w:type="dxa"/>
              <w:bottom w:w="0" w:type="dxa"/>
              <w:right w:w="0" w:type="dxa"/>
            </w:tcMar>
          </w:tcPr>
          <w:p>
            <w:pPr>
              <w:spacing w:before="180"/>
              <w:ind w:left="100"/>
            </w:pPr>
            <w:r>
              <w:rPr>
                <w:rFonts w:hint="eastAsia" w:ascii="宋体" w:hAnsi="宋体" w:eastAsia="宋体" w:cs="宋体"/>
                <w:sz w:val="21"/>
              </w:rPr>
              <w:t>信用期内</w:t>
            </w:r>
          </w:p>
        </w:tc>
        <w:tc>
          <w:tcPr>
            <w:tcW w:w="1440" w:type="dxa"/>
            <w:tcMar>
              <w:top w:w="0" w:type="dxa"/>
              <w:left w:w="0" w:type="dxa"/>
              <w:bottom w:w="0" w:type="dxa"/>
              <w:right w:w="0" w:type="dxa"/>
            </w:tcMar>
          </w:tcPr>
          <w:p>
            <w:pPr>
              <w:spacing w:before="220"/>
              <w:ind w:left="10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1000" w:type="dxa"/>
            <w:tcMar>
              <w:top w:w="0" w:type="dxa"/>
              <w:left w:w="0" w:type="dxa"/>
              <w:bottom w:w="0" w:type="dxa"/>
              <w:right w:w="0" w:type="dxa"/>
            </w:tcMar>
          </w:tcPr>
          <w:p>
            <w:pPr>
              <w:spacing w:before="220"/>
              <w:ind w:left="220"/>
            </w:pP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20"/>
              <w:ind w:left="3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c>
          <w:tcPr>
            <w:tcW w:w="1000" w:type="dxa"/>
            <w:tcMar>
              <w:top w:w="0" w:type="dxa"/>
              <w:left w:w="0" w:type="dxa"/>
              <w:bottom w:w="0" w:type="dxa"/>
              <w:right w:w="0" w:type="dxa"/>
            </w:tcMar>
          </w:tcPr>
          <w:p>
            <w:pPr>
              <w:spacing w:before="220"/>
              <w:ind w:left="220"/>
            </w:pPr>
            <w:r>
              <w:rPr>
                <w:rFonts w:hint="eastAsia" w:ascii="Times New Roman" w:hAnsi="Times New Roman" w:eastAsia="Times New Roman" w:cs="Times New Roman"/>
                <w:sz w:val="21"/>
              </w:rPr>
              <w:t>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2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c>
          <w:tcPr>
            <w:tcW w:w="1000" w:type="dxa"/>
            <w:tcMar>
              <w:top w:w="0" w:type="dxa"/>
              <w:left w:w="0" w:type="dxa"/>
              <w:bottom w:w="0" w:type="dxa"/>
              <w:right w:w="0" w:type="dxa"/>
            </w:tcMar>
          </w:tcPr>
          <w:p>
            <w:pPr>
              <w:spacing w:before="220"/>
              <w:ind w:left="240"/>
            </w:pPr>
            <w:r>
              <w:rPr>
                <w:rFonts w:hint="eastAsia" w:ascii="Times New Roman" w:hAnsi="Times New Roman" w:eastAsia="Times New Roman" w:cs="Times New Roman"/>
                <w:sz w:val="21"/>
              </w:rPr>
              <w:t>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r>
      <w:tr>
        <w:trPr>
          <w:trHeight w:val="620" w:hRule="exact"/>
        </w:trPr>
        <w:tc>
          <w:tcPr>
            <w:tcW w:w="1700" w:type="dxa"/>
            <w:tcMar>
              <w:top w:w="0" w:type="dxa"/>
              <w:left w:w="0" w:type="dxa"/>
              <w:bottom w:w="0" w:type="dxa"/>
              <w:right w:w="0" w:type="dxa"/>
            </w:tcMar>
          </w:tcPr>
          <w:p>
            <w:pPr>
              <w:spacing w:before="200"/>
              <w:ind w:left="100"/>
            </w:pPr>
            <w:r>
              <w:rPr>
                <w:rFonts w:hint="eastAsia" w:ascii="宋体" w:hAnsi="宋体" w:eastAsia="宋体" w:cs="宋体"/>
                <w:sz w:val="21"/>
              </w:rPr>
              <w:t>信用期外</w:t>
            </w:r>
          </w:p>
        </w:tc>
        <w:tc>
          <w:tcPr>
            <w:tcW w:w="1440" w:type="dxa"/>
            <w:tcMar>
              <w:top w:w="0" w:type="dxa"/>
              <w:left w:w="0" w:type="dxa"/>
              <w:bottom w:w="0" w:type="dxa"/>
              <w:right w:w="0" w:type="dxa"/>
            </w:tcMar>
          </w:tcPr>
          <w:p>
            <w:pPr>
              <w:spacing w:before="240"/>
              <w:ind w:left="2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000" w:type="dxa"/>
            <w:tcMar>
              <w:top w:w="0" w:type="dxa"/>
              <w:left w:w="0" w:type="dxa"/>
              <w:bottom w:w="0" w:type="dxa"/>
              <w:right w:w="0" w:type="dxa"/>
            </w:tcMar>
          </w:tcPr>
          <w:p>
            <w:pPr>
              <w:spacing w:before="240"/>
              <w:ind w:left="220"/>
            </w:pP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40"/>
              <w:ind w:left="4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c>
          <w:tcPr>
            <w:tcW w:w="1000" w:type="dxa"/>
            <w:tcMar>
              <w:top w:w="0" w:type="dxa"/>
              <w:left w:w="0" w:type="dxa"/>
              <w:bottom w:w="0" w:type="dxa"/>
              <w:right w:w="0" w:type="dxa"/>
            </w:tcMar>
          </w:tcPr>
          <w:p>
            <w:pPr>
              <w:spacing w:before="240"/>
              <w:ind w:left="220"/>
            </w:pPr>
            <w:r>
              <w:rPr>
                <w:rFonts w:hint="eastAsia" w:ascii="Times New Roman" w:hAnsi="Times New Roman" w:eastAsia="Times New Roman" w:cs="Times New Roman"/>
                <w:sz w:val="21"/>
              </w:rPr>
              <w:t>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240"/>
              <w:ind w:left="20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1000" w:type="dxa"/>
            <w:tcMar>
              <w:top w:w="0" w:type="dxa"/>
              <w:left w:w="0" w:type="dxa"/>
              <w:bottom w:w="0" w:type="dxa"/>
              <w:right w:w="0" w:type="dxa"/>
            </w:tcMar>
          </w:tcPr>
          <w:p>
            <w:pPr>
              <w:spacing w:before="240"/>
              <w:ind w:left="24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r>
        <w:trPr>
          <w:trHeight w:val="640" w:hRule="exact"/>
        </w:trPr>
        <w:tc>
          <w:tcPr>
            <w:tcW w:w="1700" w:type="dxa"/>
            <w:tcMar>
              <w:top w:w="0" w:type="dxa"/>
              <w:left w:w="0" w:type="dxa"/>
              <w:bottom w:w="0" w:type="dxa"/>
              <w:right w:w="0" w:type="dxa"/>
            </w:tcMar>
          </w:tcPr>
          <w:p>
            <w:pPr>
              <w:spacing w:before="200"/>
              <w:ind w:left="100"/>
            </w:pPr>
            <w:r>
              <w:rPr>
                <w:rFonts w:hint="eastAsia" w:ascii="宋体" w:hAnsi="宋体" w:eastAsia="宋体" w:cs="宋体"/>
                <w:b/>
                <w:sz w:val="21"/>
              </w:rPr>
              <w:t>合 计</w:t>
            </w:r>
          </w:p>
        </w:tc>
        <w:tc>
          <w:tcPr>
            <w:tcW w:w="1440" w:type="dxa"/>
            <w:tcMar>
              <w:top w:w="0" w:type="dxa"/>
              <w:left w:w="0" w:type="dxa"/>
              <w:bottom w:w="0" w:type="dxa"/>
              <w:right w:w="0" w:type="dxa"/>
            </w:tcMar>
          </w:tcPr>
          <w:p>
            <w:pPr>
              <w:spacing w:before="260"/>
              <w:ind w:left="100"/>
            </w:pPr>
            <w:r>
              <w:rPr>
                <w:rFonts w:hint="eastAsia" w:ascii="Times New Roman Bold" w:hAnsi="Times New Roman Bold" w:eastAsia="Times New Roman Bold" w:cs="Times New Roman Bold"/>
                <w:b/>
                <w:sz w:val="21"/>
              </w:rPr>
              <w:t>21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52</w:t>
            </w:r>
          </w:p>
        </w:tc>
        <w:tc>
          <w:tcPr>
            <w:tcW w:w="1000" w:type="dxa"/>
            <w:tcMar>
              <w:top w:w="0" w:type="dxa"/>
              <w:left w:w="0" w:type="dxa"/>
              <w:bottom w:w="0" w:type="dxa"/>
              <w:right w:w="0" w:type="dxa"/>
            </w:tcMar>
          </w:tcPr>
          <w:p>
            <w:pPr>
              <w:spacing w:before="2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700" w:type="dxa"/>
            <w:tcMar>
              <w:top w:w="0" w:type="dxa"/>
              <w:left w:w="0" w:type="dxa"/>
              <w:bottom w:w="0" w:type="dxa"/>
              <w:right w:w="0" w:type="dxa"/>
            </w:tcMar>
          </w:tcPr>
          <w:p>
            <w:pPr>
              <w:spacing w:before="260"/>
              <w:ind w:left="360"/>
            </w:pPr>
            <w:r>
              <w:rPr>
                <w:rFonts w:hint="eastAsia" w:ascii="Times New Roman Bold" w:hAnsi="Times New Roman Bold" w:eastAsia="Times New Roman Bold" w:cs="Times New Roman Bold"/>
                <w:b/>
                <w:sz w:val="21"/>
              </w:rPr>
              <w:t>21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079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w:t>
            </w:r>
          </w:p>
        </w:tc>
        <w:tc>
          <w:tcPr>
            <w:tcW w:w="1000" w:type="dxa"/>
            <w:tcMar>
              <w:top w:w="0" w:type="dxa"/>
              <w:left w:w="0" w:type="dxa"/>
              <w:bottom w:w="0" w:type="dxa"/>
              <w:right w:w="0" w:type="dxa"/>
            </w:tcMar>
          </w:tcPr>
          <w:p>
            <w:pPr>
              <w:spacing w:before="2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20" w:type="dxa"/>
            <w:tcMar>
              <w:top w:w="0" w:type="dxa"/>
              <w:left w:w="0" w:type="dxa"/>
              <w:bottom w:w="0" w:type="dxa"/>
              <w:right w:w="0" w:type="dxa"/>
            </w:tcMar>
          </w:tcPr>
          <w:p>
            <w:pPr>
              <w:spacing w:before="260"/>
            </w:pPr>
            <w:r>
              <w:rPr>
                <w:rFonts w:hint="eastAsia" w:ascii="Times New Roman Bold" w:hAnsi="Times New Roman Bold" w:eastAsia="Times New Roman Bold" w:cs="Times New Roman Bold"/>
                <w:b/>
                <w:sz w:val="21"/>
              </w:rPr>
              <w:t>26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39</w:t>
            </w:r>
          </w:p>
        </w:tc>
        <w:tc>
          <w:tcPr>
            <w:tcW w:w="1000" w:type="dxa"/>
            <w:tcMar>
              <w:top w:w="0" w:type="dxa"/>
              <w:left w:w="0" w:type="dxa"/>
              <w:bottom w:w="0" w:type="dxa"/>
              <w:right w:w="0" w:type="dxa"/>
            </w:tcMar>
          </w:tcPr>
          <w:p>
            <w:pPr>
              <w:spacing w:before="26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60" w:firstLine="480"/>
        <w:jc w:val="both"/>
      </w:pPr>
      <w:r>
        <w:rPr>
          <w:rFonts w:hint="eastAsia" w:ascii="宋体" w:hAnsi="宋体" w:eastAsia="宋体" w:cs="宋体"/>
          <w:sz w:val="24"/>
        </w:rPr>
        <w:t>发行人信用期外的应收账款账龄大部分在一年以上</w:t>
      </w:r>
      <w:r>
        <w:rPr>
          <w:rFonts w:hint="eastAsia" w:ascii="宋体" w:hAnsi="宋体" w:eastAsia="宋体" w:cs="宋体"/>
          <w:sz w:val="10"/>
        </w:rPr>
        <w:t>，</w:t>
      </w:r>
      <w:r>
        <w:rPr>
          <w:rFonts w:hint="eastAsia" w:ascii="宋体" w:hAnsi="宋体" w:eastAsia="宋体" w:cs="宋体"/>
          <w:sz w:val="24"/>
        </w:rPr>
        <w:t>上述应收账款主要是由于客户内部业务流程或预算等方面的原因</w:t>
      </w:r>
      <w:r>
        <w:rPr>
          <w:rFonts w:hint="eastAsia" w:ascii="宋体" w:hAnsi="宋体" w:eastAsia="宋体" w:cs="宋体"/>
          <w:sz w:val="10"/>
        </w:rPr>
        <w:t>，</w:t>
      </w:r>
      <w:r>
        <w:rPr>
          <w:rFonts w:hint="eastAsia" w:ascii="宋体" w:hAnsi="宋体" w:eastAsia="宋体" w:cs="宋体"/>
          <w:sz w:val="24"/>
        </w:rPr>
        <w:t>未及时在信用期内付款</w:t>
      </w:r>
      <w:r>
        <w:rPr>
          <w:rFonts w:hint="eastAsia" w:ascii="宋体" w:hAnsi="宋体" w:eastAsia="宋体" w:cs="宋体"/>
          <w:sz w:val="10"/>
        </w:rPr>
        <w:t>。</w:t>
      </w:r>
      <w:r>
        <w:rPr>
          <w:rFonts w:hint="eastAsia" w:ascii="宋体" w:hAnsi="宋体" w:eastAsia="宋体" w:cs="宋体"/>
          <w:sz w:val="24"/>
        </w:rPr>
        <w:t>公司的主要客户为证券</w:t>
      </w:r>
      <w:r>
        <w:rPr>
          <w:rFonts w:hint="eastAsia" w:ascii="宋体" w:hAnsi="宋体" w:eastAsia="宋体" w:cs="宋体"/>
          <w:sz w:val="10"/>
        </w:rPr>
        <w:t>、</w:t>
      </w:r>
      <w:r>
        <w:rPr>
          <w:rFonts w:hint="eastAsia" w:ascii="宋体" w:hAnsi="宋体" w:eastAsia="宋体" w:cs="宋体"/>
          <w:sz w:val="24"/>
        </w:rPr>
        <w:t>银行等金融机构</w:t>
      </w:r>
      <w:r>
        <w:rPr>
          <w:rFonts w:hint="eastAsia" w:ascii="宋体" w:hAnsi="宋体" w:eastAsia="宋体" w:cs="宋体"/>
          <w:sz w:val="10"/>
        </w:rPr>
        <w:t>，</w:t>
      </w:r>
      <w:r>
        <w:rPr>
          <w:rFonts w:hint="eastAsia" w:ascii="宋体" w:hAnsi="宋体" w:eastAsia="宋体" w:cs="宋体"/>
          <w:sz w:val="24"/>
        </w:rPr>
        <w:t>部分为上市公司</w:t>
      </w:r>
      <w:r>
        <w:rPr>
          <w:rFonts w:hint="eastAsia" w:ascii="宋体" w:hAnsi="宋体" w:eastAsia="宋体" w:cs="宋体"/>
          <w:sz w:val="10"/>
        </w:rPr>
        <w:t>，</w:t>
      </w:r>
      <w:r>
        <w:rPr>
          <w:rFonts w:hint="eastAsia" w:ascii="宋体" w:hAnsi="宋体" w:eastAsia="宋体" w:cs="宋体"/>
          <w:sz w:val="24"/>
        </w:rPr>
        <w:t>客户实力较强</w:t>
      </w:r>
      <w:r>
        <w:rPr>
          <w:rFonts w:hint="eastAsia" w:ascii="宋体" w:hAnsi="宋体" w:eastAsia="宋体" w:cs="宋体"/>
          <w:sz w:val="10"/>
        </w:rPr>
        <w:t>，</w:t>
      </w:r>
      <w:r>
        <w:rPr>
          <w:rFonts w:hint="eastAsia" w:ascii="宋体" w:hAnsi="宋体" w:eastAsia="宋体" w:cs="宋体"/>
          <w:sz w:val="24"/>
        </w:rPr>
        <w:t>应收账款无法收回的可能性较低</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尚未收回的应收账款</w:t>
      </w:r>
      <w:r>
        <w:rPr>
          <w:rFonts w:hint="eastAsia" w:ascii="宋体" w:hAnsi="宋体" w:eastAsia="宋体" w:cs="宋体"/>
          <w:sz w:val="10"/>
        </w:rPr>
        <w:t>，</w:t>
      </w:r>
      <w:r>
        <w:rPr>
          <w:rFonts w:hint="eastAsia" w:ascii="宋体" w:hAnsi="宋体" w:eastAsia="宋体" w:cs="宋体"/>
          <w:sz w:val="24"/>
        </w:rPr>
        <w:t>发行人已按公司坏账准备政策计提了坏账准备</w:t>
      </w:r>
      <w:r>
        <w:rPr>
          <w:rFonts w:hint="eastAsia" w:ascii="宋体" w:hAnsi="宋体" w:eastAsia="宋体" w:cs="宋体"/>
          <w:sz w:val="10"/>
        </w:rPr>
        <w:t>，</w:t>
      </w:r>
      <w:r>
        <w:rPr>
          <w:rFonts w:hint="eastAsia" w:ascii="宋体" w:hAnsi="宋体" w:eastAsia="宋体" w:cs="宋体"/>
          <w:sz w:val="24"/>
        </w:rPr>
        <w:t>不存在坏账准备计提不充分的情况</w:t>
      </w:r>
      <w:r>
        <w:rPr>
          <w:rFonts w:hint="eastAsia" w:ascii="宋体" w:hAnsi="宋体" w:eastAsia="宋体" w:cs="宋体"/>
          <w:sz w:val="10"/>
        </w:rPr>
        <w:t>。</w:t>
      </w: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发行人信用期外的款项占比虽然相对较高</w:t>
      </w:r>
      <w:r>
        <w:rPr>
          <w:rFonts w:hint="eastAsia" w:ascii="宋体" w:hAnsi="宋体" w:eastAsia="宋体" w:cs="宋体"/>
          <w:sz w:val="10"/>
        </w:rPr>
        <w:t>，</w:t>
      </w:r>
      <w:r>
        <w:rPr>
          <w:rFonts w:hint="eastAsia" w:ascii="宋体" w:hAnsi="宋体" w:eastAsia="宋体" w:cs="宋体"/>
          <w:sz w:val="24"/>
        </w:rPr>
        <w:t>但总体金额相对较小</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发行人应收账款周转率较高</w:t>
      </w:r>
      <w:r>
        <w:rPr>
          <w:rFonts w:hint="eastAsia" w:ascii="宋体" w:hAnsi="宋体" w:eastAsia="宋体" w:cs="宋体"/>
          <w:sz w:val="10"/>
        </w:rPr>
        <w:t>，</w:t>
      </w:r>
      <w:r>
        <w:rPr>
          <w:rFonts w:hint="eastAsia" w:ascii="宋体" w:hAnsi="宋体" w:eastAsia="宋体" w:cs="宋体"/>
          <w:sz w:val="24"/>
        </w:rPr>
        <w:t>应收账款余额占收入比例较低</w:t>
      </w:r>
      <w:r>
        <w:rPr>
          <w:rFonts w:hint="eastAsia" w:ascii="宋体" w:hAnsi="宋体" w:eastAsia="宋体" w:cs="宋体"/>
          <w:sz w:val="10"/>
        </w:rPr>
        <w:t>，</w:t>
      </w:r>
      <w:r>
        <w:rPr>
          <w:rFonts w:hint="eastAsia" w:ascii="宋体" w:hAnsi="宋体" w:eastAsia="宋体" w:cs="宋体"/>
          <w:sz w:val="24"/>
        </w:rPr>
        <w:t>应收账款规模及周转情况整体较好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公司与客户签署合同通常都约定有预收款项</w:t>
      </w:r>
      <w:r>
        <w:rPr>
          <w:rFonts w:hint="eastAsia" w:ascii="宋体" w:hAnsi="宋体" w:eastAsia="宋体" w:cs="宋体"/>
          <w:sz w:val="10"/>
        </w:rPr>
        <w:t>，</w:t>
      </w:r>
      <w:r>
        <w:rPr>
          <w:rFonts w:hint="eastAsia" w:ascii="宋体" w:hAnsi="宋体" w:eastAsia="宋体" w:cs="宋体"/>
          <w:sz w:val="24"/>
        </w:rPr>
        <w:t>在项目验收并确认收入时</w:t>
      </w:r>
      <w:r>
        <w:rPr>
          <w:rFonts w:hint="eastAsia" w:ascii="宋体" w:hAnsi="宋体" w:eastAsia="宋体" w:cs="宋体"/>
          <w:sz w:val="10"/>
        </w:rPr>
        <w:t>，</w:t>
      </w:r>
      <w:r>
        <w:rPr>
          <w:rFonts w:hint="eastAsia" w:ascii="宋体" w:hAnsi="宋体" w:eastAsia="宋体" w:cs="宋体"/>
          <w:sz w:val="24"/>
        </w:rPr>
        <w:t>通常已收取大多数合同款项</w:t>
      </w:r>
      <w:r>
        <w:rPr>
          <w:rFonts w:hint="eastAsia" w:ascii="宋体" w:hAnsi="宋体" w:eastAsia="宋体" w:cs="宋体"/>
          <w:sz w:val="10"/>
        </w:rPr>
        <w:t>，</w:t>
      </w:r>
      <w:r>
        <w:rPr>
          <w:rFonts w:hint="eastAsia" w:ascii="宋体" w:hAnsi="宋体" w:eastAsia="宋体" w:cs="宋体"/>
          <w:sz w:val="24"/>
        </w:rPr>
        <w:t>仅留少量尾款作为应收款项后期收取</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年末</w:t>
      </w:r>
      <w:r>
        <w:rPr>
          <w:rFonts w:hint="eastAsia" w:ascii="宋体" w:hAnsi="宋体" w:eastAsia="宋体" w:cs="宋体"/>
          <w:sz w:val="10"/>
        </w:rPr>
        <w:t>，</w:t>
      </w:r>
      <w:r>
        <w:rPr>
          <w:rFonts w:hint="eastAsia" w:ascii="宋体" w:hAnsi="宋体" w:eastAsia="宋体" w:cs="宋体"/>
          <w:sz w:val="24"/>
        </w:rPr>
        <w:t>公司应收账款占当年营业收入的比例分别为</w:t>
      </w:r>
      <w:r>
        <w:rPr>
          <w:rFonts w:hint="eastAsia" w:ascii="Times New Roman" w:hAnsi="Times New Roman" w:eastAsia="Times New Roman" w:cs="Times New Roman"/>
          <w:sz w:val="24"/>
        </w:rPr>
        <w:t xml:space="preserve"> 16.00%</w:t>
      </w:r>
      <w:r>
        <w:rPr>
          <w:rFonts w:hint="eastAsia" w:ascii="宋体" w:hAnsi="宋体" w:eastAsia="宋体" w:cs="宋体"/>
          <w:sz w:val="10"/>
        </w:rPr>
        <w:t>、</w:t>
      </w:r>
      <w:r>
        <w:rPr>
          <w:rFonts w:hint="eastAsia" w:ascii="Times New Roman" w:hAnsi="Times New Roman" w:eastAsia="Times New Roman" w:cs="Times New Roman"/>
          <w:sz w:val="24"/>
        </w:rPr>
        <w:t>10.80%</w:t>
      </w:r>
      <w:r>
        <w:rPr>
          <w:rFonts w:hint="eastAsia" w:ascii="宋体" w:hAnsi="宋体" w:eastAsia="宋体" w:cs="宋体"/>
          <w:sz w:val="24"/>
        </w:rPr>
        <w:t>和</w:t>
      </w:r>
      <w:r>
        <w:rPr>
          <w:rFonts w:hint="eastAsia" w:ascii="Times New Roman" w:hAnsi="Times New Roman" w:eastAsia="Times New Roman" w:cs="Times New Roman"/>
          <w:sz w:val="24"/>
        </w:rPr>
        <w:t xml:space="preserve"> 10.33%</w:t>
      </w:r>
      <w:r>
        <w:rPr>
          <w:rFonts w:hint="eastAsia" w:ascii="宋体" w:hAnsi="宋体" w:eastAsia="宋体" w:cs="宋体"/>
          <w:sz w:val="10"/>
        </w:rPr>
        <w:t>，</w:t>
      </w:r>
      <w:r>
        <w:rPr>
          <w:rFonts w:hint="eastAsia" w:ascii="宋体" w:hAnsi="宋体" w:eastAsia="宋体" w:cs="宋体"/>
          <w:sz w:val="24"/>
        </w:rPr>
        <w:t>占比较低</w:t>
      </w:r>
      <w:r>
        <w:rPr>
          <w:rFonts w:hint="eastAsia" w:ascii="宋体" w:hAnsi="宋体" w:eastAsia="宋体" w:cs="宋体"/>
          <w:sz w:val="10"/>
        </w:rPr>
        <w:t>。</w:t>
      </w:r>
      <w:r>
        <w:rPr>
          <w:rFonts w:hint="eastAsia" w:ascii="宋体" w:hAnsi="宋体" w:eastAsia="宋体" w:cs="宋体"/>
          <w:sz w:val="24"/>
        </w:rPr>
        <w:t>报告期各期末公司信用期外应收账款中</w:t>
      </w:r>
      <w:r>
        <w:rPr>
          <w:rFonts w:hint="eastAsia" w:ascii="宋体" w:hAnsi="宋体" w:eastAsia="宋体" w:cs="宋体"/>
          <w:sz w:val="10"/>
        </w:rPr>
        <w:t>，</w:t>
      </w:r>
      <w:r>
        <w:rPr>
          <w:rFonts w:hint="eastAsia" w:ascii="宋体" w:hAnsi="宋体" w:eastAsia="宋体" w:cs="宋体"/>
          <w:sz w:val="24"/>
        </w:rPr>
        <w:t>部分款项期限已超过</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公司已按照相关规定</w:t>
      </w:r>
      <w:r>
        <w:rPr>
          <w:rFonts w:hint="eastAsia" w:ascii="Times New Roman" w:hAnsi="Times New Roman" w:eastAsia="Times New Roman" w:cs="Times New Roman"/>
          <w:sz w:val="24"/>
        </w:rPr>
        <w:t xml:space="preserve"> 100%</w:t>
      </w:r>
      <w:r>
        <w:rPr>
          <w:rFonts w:hint="eastAsia" w:ascii="宋体" w:hAnsi="宋体" w:eastAsia="宋体" w:cs="宋体"/>
          <w:sz w:val="24"/>
        </w:rPr>
        <w:t>计提了坏账准备</w:t>
      </w:r>
      <w:r>
        <w:rPr>
          <w:rFonts w:hint="eastAsia" w:ascii="宋体" w:hAnsi="宋体" w:eastAsia="宋体" w:cs="宋体"/>
          <w:sz w:val="10"/>
        </w:rPr>
        <w:t>。</w:t>
      </w:r>
      <w:r>
        <w:rPr>
          <w:rFonts w:hint="eastAsia" w:ascii="宋体" w:hAnsi="宋体" w:eastAsia="宋体" w:cs="宋体"/>
          <w:sz w:val="24"/>
        </w:rPr>
        <w:t>扣除上述款项后</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公司信用期外应收账款账面余额分别为</w:t>
      </w:r>
      <w:r>
        <w:rPr>
          <w:rFonts w:hint="eastAsia" w:ascii="Times New Roman" w:hAnsi="Times New Roman" w:eastAsia="Times New Roman" w:cs="Times New Roman"/>
          <w:sz w:val="24"/>
        </w:rPr>
        <w:t xml:space="preserve"> 7,915,624.43</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7,577,802.32</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4,894,284.93</w:t>
      </w:r>
      <w:r>
        <w:rPr>
          <w:rFonts w:hint="eastAsia" w:ascii="宋体" w:hAnsi="宋体" w:eastAsia="宋体" w:cs="宋体"/>
          <w:sz w:val="24"/>
        </w:rPr>
        <w:t>元</w:t>
      </w:r>
      <w:r>
        <w:rPr>
          <w:rFonts w:hint="eastAsia" w:ascii="宋体" w:hAnsi="宋体" w:eastAsia="宋体" w:cs="宋体"/>
          <w:sz w:val="10"/>
        </w:rPr>
        <w:t>，</w:t>
      </w:r>
      <w:r>
        <w:rPr>
          <w:rFonts w:hint="eastAsia" w:ascii="宋体" w:hAnsi="宋体" w:eastAsia="宋体" w:cs="宋体"/>
          <w:sz w:val="24"/>
        </w:rPr>
        <w:t>截至目前回收比例分别为</w:t>
      </w:r>
      <w:r>
        <w:rPr>
          <w:rFonts w:hint="eastAsia" w:ascii="Times New Roman" w:hAnsi="Times New Roman" w:eastAsia="Times New Roman" w:cs="Times New Roman"/>
          <w:sz w:val="24"/>
        </w:rPr>
        <w:t xml:space="preserve"> 85.44%</w:t>
      </w:r>
      <w:r>
        <w:rPr>
          <w:rFonts w:hint="eastAsia" w:ascii="宋体" w:hAnsi="宋体" w:eastAsia="宋体" w:cs="宋体"/>
          <w:sz w:val="10"/>
        </w:rPr>
        <w:t>、</w:t>
      </w:r>
      <w:r>
        <w:rPr>
          <w:rFonts w:hint="eastAsia" w:ascii="Times New Roman" w:hAnsi="Times New Roman" w:eastAsia="Times New Roman" w:cs="Times New Roman"/>
          <w:sz w:val="24"/>
        </w:rPr>
        <w:t>67.18%</w:t>
      </w:r>
      <w:r>
        <w:rPr>
          <w:rFonts w:hint="eastAsia" w:ascii="宋体" w:hAnsi="宋体" w:eastAsia="宋体" w:cs="宋体"/>
          <w:sz w:val="24"/>
        </w:rPr>
        <w:t>和</w:t>
      </w:r>
      <w:r>
        <w:rPr>
          <w:rFonts w:hint="eastAsia" w:ascii="Times New Roman" w:hAnsi="Times New Roman" w:eastAsia="Times New Roman" w:cs="Times New Roman"/>
          <w:sz w:val="24"/>
        </w:rPr>
        <w:t xml:space="preserve"> 16.48%</w:t>
      </w:r>
      <w:r>
        <w:rPr>
          <w:rFonts w:hint="eastAsia" w:ascii="宋体" w:hAnsi="宋体" w:eastAsia="宋体" w:cs="宋体"/>
          <w:sz w:val="10"/>
        </w:rPr>
        <w:t>，</w:t>
      </w:r>
      <w:r>
        <w:rPr>
          <w:rFonts w:hint="eastAsia" w:ascii="宋体" w:hAnsi="宋体" w:eastAsia="宋体" w:cs="宋体"/>
          <w:sz w:val="24"/>
        </w:rPr>
        <w:t>整体回收情况较好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公司针对行业及自身特点</w:t>
      </w:r>
      <w:r>
        <w:rPr>
          <w:rFonts w:hint="eastAsia" w:ascii="宋体" w:hAnsi="宋体" w:eastAsia="宋体" w:cs="宋体"/>
          <w:sz w:val="10"/>
        </w:rPr>
        <w:t>，</w:t>
      </w:r>
      <w:r>
        <w:rPr>
          <w:rFonts w:hint="eastAsia" w:ascii="宋体" w:hAnsi="宋体" w:eastAsia="宋体" w:cs="宋体"/>
          <w:sz w:val="24"/>
        </w:rPr>
        <w:t>制定了信用政策</w:t>
      </w:r>
      <w:r>
        <w:rPr>
          <w:rFonts w:hint="eastAsia" w:ascii="宋体" w:hAnsi="宋体" w:eastAsia="宋体" w:cs="宋体"/>
          <w:sz w:val="10"/>
        </w:rPr>
        <w:t>。</w:t>
      </w:r>
      <w:r>
        <w:rPr>
          <w:rFonts w:hint="eastAsia" w:ascii="宋体" w:hAnsi="宋体" w:eastAsia="宋体" w:cs="宋体"/>
          <w:sz w:val="24"/>
        </w:rPr>
        <w:t>对于超过信用期的应收账款</w:t>
      </w:r>
      <w:r>
        <w:rPr>
          <w:rFonts w:hint="eastAsia" w:ascii="宋体" w:hAnsi="宋体" w:eastAsia="宋体" w:cs="宋体"/>
          <w:sz w:val="10"/>
        </w:rPr>
        <w:t>，</w:t>
      </w:r>
      <w:r>
        <w:rPr>
          <w:rFonts w:hint="eastAsia" w:ascii="宋体" w:hAnsi="宋体" w:eastAsia="宋体" w:cs="宋体"/>
          <w:sz w:val="24"/>
        </w:rPr>
        <w:t>公司安排人员对相关客户进行跟踪</w:t>
      </w:r>
      <w:r>
        <w:rPr>
          <w:rFonts w:hint="eastAsia" w:ascii="宋体" w:hAnsi="宋体" w:eastAsia="宋体" w:cs="宋体"/>
          <w:sz w:val="10"/>
        </w:rPr>
        <w:t>，</w:t>
      </w:r>
      <w:r>
        <w:rPr>
          <w:rFonts w:hint="eastAsia" w:ascii="宋体" w:hAnsi="宋体" w:eastAsia="宋体" w:cs="宋体"/>
          <w:sz w:val="24"/>
        </w:rPr>
        <w:t>并且按照坏账准备政策对超期应收账款计提坏账准备</w:t>
      </w:r>
      <w:r>
        <w:rPr>
          <w:rFonts w:hint="eastAsia" w:ascii="宋体" w:hAnsi="宋体" w:eastAsia="宋体" w:cs="宋体"/>
          <w:sz w:val="10"/>
        </w:rPr>
        <w:t>。</w:t>
      </w:r>
      <w:r>
        <w:rPr>
          <w:rFonts w:hint="eastAsia" w:ascii="宋体" w:hAnsi="宋体" w:eastAsia="宋体" w:cs="宋体"/>
          <w:sz w:val="24"/>
        </w:rPr>
        <w:t>公司应收账款坏账准备计提比例与同行业上市公司相比不存在重大差异</w:t>
      </w:r>
      <w:r>
        <w:rPr>
          <w:rFonts w:hint="eastAsia" w:ascii="宋体" w:hAnsi="宋体" w:eastAsia="宋体" w:cs="宋体"/>
          <w:sz w:val="10"/>
        </w:rPr>
        <w:t>，</w:t>
      </w:r>
      <w:r>
        <w:rPr>
          <w:rFonts w:hint="eastAsia" w:ascii="宋体" w:hAnsi="宋体" w:eastAsia="宋体" w:cs="宋体"/>
          <w:sz w:val="24"/>
        </w:rPr>
        <w:t>并且针对账龄在</w:t>
      </w:r>
      <w:r>
        <w:rPr>
          <w:rFonts w:hint="eastAsia" w:ascii="Times New Roman" w:hAnsi="Times New Roman" w:eastAsia="Times New Roman" w:cs="Times New Roman"/>
          <w:sz w:val="24"/>
        </w:rPr>
        <w:t>3</w:t>
      </w:r>
      <w:r>
        <w:rPr>
          <w:rFonts w:hint="eastAsia" w:ascii="宋体" w:hAnsi="宋体" w:eastAsia="宋体" w:cs="宋体"/>
          <w:sz w:val="24"/>
        </w:rPr>
        <w:t>年以上的应收账款计提了</w:t>
      </w:r>
      <w:r>
        <w:rPr>
          <w:rFonts w:hint="eastAsia" w:ascii="Times New Roman" w:hAnsi="Times New Roman" w:eastAsia="Times New Roman" w:cs="Times New Roman"/>
          <w:sz w:val="24"/>
        </w:rPr>
        <w:t xml:space="preserve"> 100%</w:t>
      </w:r>
      <w:r>
        <w:rPr>
          <w:rFonts w:hint="eastAsia" w:ascii="宋体" w:hAnsi="宋体" w:eastAsia="宋体" w:cs="宋体"/>
          <w:sz w:val="24"/>
        </w:rPr>
        <w:t>的坏账准备</w:t>
      </w:r>
      <w:r>
        <w:rPr>
          <w:rFonts w:hint="eastAsia" w:ascii="宋体" w:hAnsi="宋体" w:eastAsia="宋体" w:cs="宋体"/>
          <w:sz w:val="10"/>
        </w:rPr>
        <w:t>。</w:t>
      </w: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公司信用期外的应收账款金额总体呈下降态势</w:t>
      </w:r>
      <w:r>
        <w:rPr>
          <w:rFonts w:hint="eastAsia" w:ascii="宋体" w:hAnsi="宋体" w:eastAsia="宋体" w:cs="宋体"/>
          <w:sz w:val="10"/>
        </w:rPr>
        <w:t>。</w:t>
      </w:r>
      <w:r>
        <w:rPr>
          <w:rFonts w:hint="eastAsia" w:ascii="宋体" w:hAnsi="宋体" w:eastAsia="宋体" w:cs="宋体"/>
          <w:sz w:val="24"/>
        </w:rPr>
        <w:t>公司的主要客户运作规范</w:t>
      </w:r>
      <w:r>
        <w:rPr>
          <w:rFonts w:hint="eastAsia" w:ascii="宋体" w:hAnsi="宋体" w:eastAsia="宋体" w:cs="宋体"/>
          <w:sz w:val="10"/>
        </w:rPr>
        <w:t>，</w:t>
      </w:r>
      <w:r>
        <w:rPr>
          <w:rFonts w:hint="eastAsia" w:ascii="宋体" w:hAnsi="宋体" w:eastAsia="宋体" w:cs="宋体"/>
          <w:sz w:val="24"/>
        </w:rPr>
        <w:t>实力较强</w:t>
      </w:r>
      <w:r>
        <w:rPr>
          <w:rFonts w:hint="eastAsia" w:ascii="宋体" w:hAnsi="宋体" w:eastAsia="宋体" w:cs="宋体"/>
          <w:sz w:val="10"/>
        </w:rPr>
        <w:t>，</w:t>
      </w:r>
      <w:r>
        <w:rPr>
          <w:rFonts w:hint="eastAsia" w:ascii="宋体" w:hAnsi="宋体" w:eastAsia="宋体" w:cs="宋体"/>
          <w:sz w:val="24"/>
        </w:rPr>
        <w:t>应收账款无法收回的可能性较低</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与同行业上市公司应收账款账龄结构的比较情况如下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上市公司年度报告中</w:t>
      </w:r>
      <w:r>
        <w:rPr>
          <w:rFonts w:hint="eastAsia" w:ascii="宋体" w:hAnsi="宋体" w:eastAsia="宋体" w:cs="宋体"/>
          <w:sz w:val="10"/>
        </w:rPr>
        <w:t>，</w:t>
      </w:r>
      <w:r>
        <w:rPr>
          <w:rFonts w:hint="eastAsia" w:ascii="宋体" w:hAnsi="宋体" w:eastAsia="宋体" w:cs="宋体"/>
          <w:sz w:val="24"/>
        </w:rPr>
        <w:t>应收账款按照单项金额重大并单独计提坏账准备的应收账款</w:t>
      </w:r>
      <w:r>
        <w:rPr>
          <w:rFonts w:hint="eastAsia" w:ascii="宋体" w:hAnsi="宋体" w:eastAsia="宋体" w:cs="宋体"/>
          <w:sz w:val="10"/>
        </w:rPr>
        <w:t>、</w:t>
      </w:r>
      <w:r>
        <w:rPr>
          <w:rFonts w:hint="eastAsia" w:ascii="宋体" w:hAnsi="宋体" w:eastAsia="宋体" w:cs="宋体"/>
          <w:sz w:val="24"/>
        </w:rPr>
        <w:t>按信用风险特征组合计提坏账准备的应收账款</w:t>
      </w:r>
      <w:r>
        <w:rPr>
          <w:rFonts w:hint="eastAsia" w:ascii="宋体" w:hAnsi="宋体" w:eastAsia="宋体" w:cs="宋体"/>
          <w:sz w:val="10"/>
        </w:rPr>
        <w:t>、</w:t>
      </w:r>
      <w:r>
        <w:rPr>
          <w:rFonts w:hint="eastAsia" w:ascii="宋体" w:hAnsi="宋体" w:eastAsia="宋体" w:cs="宋体"/>
          <w:sz w:val="24"/>
        </w:rPr>
        <w:t>单项金额不重大但单独计提坏账准备的应收账款三类进行分类披露</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按信用风险特征组合计提坏账准备的应收账款</w:t>
      </w: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1-1-257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中按账龄分析法计提坏账准备的应收账款披露了应收账款的账龄结构</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公司与同行业上市公司</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年末按账龄分析法计提坏账准备的应收账款账龄结构比较情况如下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40" w:type="auto"/>
        <w:tblInd w:w="13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40"/>
        <w:gridCol w:w="1560"/>
        <w:gridCol w:w="1140"/>
        <w:gridCol w:w="1560"/>
        <w:gridCol w:w="1120"/>
        <w:gridCol w:w="1560"/>
        <w:gridCol w:w="1140"/>
      </w:tblGrid>
      <w:tr>
        <w:trPr>
          <w:trHeight w:val="640" w:hRule="exact"/>
        </w:trPr>
        <w:tc>
          <w:tcPr>
            <w:tcW w:w="1140" w:type="dxa"/>
            <w:vMerge w:val="restart"/>
            <w:tcMar>
              <w:top w:w="0" w:type="dxa"/>
              <w:left w:w="0" w:type="dxa"/>
              <w:bottom w:w="0" w:type="dxa"/>
              <w:right w:w="0" w:type="dxa"/>
            </w:tcMar>
          </w:tcPr>
          <w:p>
            <w:pPr>
              <w:spacing w:before="520"/>
              <w:ind w:left="340"/>
            </w:pPr>
            <w:r>
              <w:rPr>
                <w:rFonts w:hint="eastAsia" w:ascii="宋体" w:hAnsi="宋体" w:eastAsia="宋体" w:cs="宋体"/>
                <w:b/>
                <w:sz w:val="21"/>
              </w:rPr>
              <w:t>账龄</w:t>
            </w:r>
          </w:p>
        </w:tc>
        <w:tc>
          <w:tcPr>
            <w:tcW w:w="2700" w:type="dxa"/>
            <w:gridSpan w:val="2"/>
            <w:tcMar>
              <w:top w:w="0" w:type="dxa"/>
              <w:left w:w="0" w:type="dxa"/>
              <w:bottom w:w="0" w:type="dxa"/>
              <w:right w:w="0" w:type="dxa"/>
            </w:tcMar>
          </w:tcPr>
          <w:p>
            <w:pPr>
              <w:spacing w:before="200"/>
              <w:ind w:left="900"/>
            </w:pPr>
            <w:r>
              <w:rPr>
                <w:rFonts w:hint="eastAsia" w:ascii="宋体" w:hAnsi="宋体" w:eastAsia="宋体" w:cs="宋体"/>
                <w:b/>
                <w:sz w:val="21"/>
              </w:rPr>
              <w:t>顶点软件</w:t>
            </w:r>
          </w:p>
        </w:tc>
        <w:tc>
          <w:tcPr>
            <w:tcW w:w="2680" w:type="dxa"/>
            <w:gridSpan w:val="2"/>
            <w:tcMar>
              <w:top w:w="0" w:type="dxa"/>
              <w:left w:w="0" w:type="dxa"/>
              <w:bottom w:w="0" w:type="dxa"/>
              <w:right w:w="0" w:type="dxa"/>
            </w:tcMar>
          </w:tcPr>
          <w:p>
            <w:pPr>
              <w:spacing w:before="200"/>
              <w:ind w:left="900"/>
            </w:pPr>
            <w:r>
              <w:rPr>
                <w:rFonts w:hint="eastAsia" w:ascii="宋体" w:hAnsi="宋体" w:eastAsia="宋体" w:cs="宋体"/>
                <w:b/>
                <w:sz w:val="21"/>
              </w:rPr>
              <w:t>金证股份</w:t>
            </w:r>
          </w:p>
        </w:tc>
        <w:tc>
          <w:tcPr>
            <w:tcW w:w="2700" w:type="dxa"/>
            <w:gridSpan w:val="2"/>
            <w:tcMar>
              <w:top w:w="0" w:type="dxa"/>
              <w:left w:w="0" w:type="dxa"/>
              <w:bottom w:w="0" w:type="dxa"/>
              <w:right w:w="0" w:type="dxa"/>
            </w:tcMar>
          </w:tcPr>
          <w:p>
            <w:pPr>
              <w:spacing w:before="200"/>
              <w:ind w:left="920"/>
            </w:pPr>
            <w:r>
              <w:rPr>
                <w:rFonts w:hint="eastAsia" w:ascii="宋体" w:hAnsi="宋体" w:eastAsia="宋体" w:cs="宋体"/>
                <w:b/>
                <w:sz w:val="21"/>
              </w:rPr>
              <w:t>恒生电子</w:t>
            </w:r>
          </w:p>
        </w:tc>
      </w:tr>
      <w:tr>
        <w:trPr>
          <w:trHeight w:val="640" w:hRule="exact"/>
        </w:trPr>
        <w:tc>
          <w:tcPr>
            <w:tcW w:w="11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200"/>
              <w:ind w:left="340"/>
            </w:pPr>
            <w:r>
              <w:rPr>
                <w:rFonts w:hint="eastAsia" w:ascii="宋体" w:hAnsi="宋体" w:eastAsia="宋体" w:cs="宋体"/>
                <w:b/>
                <w:sz w:val="21"/>
              </w:rPr>
              <w:t>应收账款</w:t>
            </w:r>
          </w:p>
        </w:tc>
        <w:tc>
          <w:tcPr>
            <w:tcW w:w="1140" w:type="dxa"/>
            <w:tcMar>
              <w:top w:w="0" w:type="dxa"/>
              <w:left w:w="0" w:type="dxa"/>
              <w:bottom w:w="0" w:type="dxa"/>
              <w:right w:w="0" w:type="dxa"/>
            </w:tcMar>
          </w:tcPr>
          <w:p>
            <w:pPr>
              <w:spacing w:before="200"/>
              <w:ind w:left="340"/>
            </w:pPr>
            <w:r>
              <w:rPr>
                <w:rFonts w:hint="eastAsia" w:ascii="宋体" w:hAnsi="宋体" w:eastAsia="宋体" w:cs="宋体"/>
                <w:b/>
                <w:sz w:val="21"/>
              </w:rPr>
              <w:t>占比</w:t>
            </w:r>
          </w:p>
        </w:tc>
        <w:tc>
          <w:tcPr>
            <w:tcW w:w="1560" w:type="dxa"/>
            <w:tcMar>
              <w:top w:w="0" w:type="dxa"/>
              <w:left w:w="0" w:type="dxa"/>
              <w:bottom w:w="0" w:type="dxa"/>
              <w:right w:w="0" w:type="dxa"/>
            </w:tcMar>
          </w:tcPr>
          <w:p>
            <w:pPr>
              <w:spacing w:before="200"/>
              <w:ind w:left="340"/>
            </w:pPr>
            <w:r>
              <w:rPr>
                <w:rFonts w:hint="eastAsia" w:ascii="宋体" w:hAnsi="宋体" w:eastAsia="宋体" w:cs="宋体"/>
                <w:b/>
                <w:sz w:val="21"/>
              </w:rPr>
              <w:t>应收账款</w:t>
            </w:r>
          </w:p>
        </w:tc>
        <w:tc>
          <w:tcPr>
            <w:tcW w:w="1120" w:type="dxa"/>
            <w:tcMar>
              <w:top w:w="0" w:type="dxa"/>
              <w:left w:w="0" w:type="dxa"/>
              <w:bottom w:w="0" w:type="dxa"/>
              <w:right w:w="0" w:type="dxa"/>
            </w:tcMar>
          </w:tcPr>
          <w:p>
            <w:pPr>
              <w:spacing w:before="200"/>
              <w:ind w:left="340"/>
            </w:pPr>
            <w:r>
              <w:rPr>
                <w:rFonts w:hint="eastAsia" w:ascii="宋体" w:hAnsi="宋体" w:eastAsia="宋体" w:cs="宋体"/>
                <w:b/>
                <w:sz w:val="21"/>
              </w:rPr>
              <w:t>占比</w:t>
            </w:r>
          </w:p>
        </w:tc>
        <w:tc>
          <w:tcPr>
            <w:tcW w:w="1560" w:type="dxa"/>
            <w:tcMar>
              <w:top w:w="0" w:type="dxa"/>
              <w:left w:w="0" w:type="dxa"/>
              <w:bottom w:w="0" w:type="dxa"/>
              <w:right w:w="0" w:type="dxa"/>
            </w:tcMar>
          </w:tcPr>
          <w:p>
            <w:pPr>
              <w:spacing w:before="200"/>
              <w:ind w:left="340"/>
            </w:pPr>
            <w:r>
              <w:rPr>
                <w:rFonts w:hint="eastAsia" w:ascii="宋体" w:hAnsi="宋体" w:eastAsia="宋体" w:cs="宋体"/>
                <w:b/>
                <w:sz w:val="21"/>
              </w:rPr>
              <w:t>应收账款</w:t>
            </w:r>
          </w:p>
        </w:tc>
        <w:tc>
          <w:tcPr>
            <w:tcW w:w="1140" w:type="dxa"/>
            <w:tcMar>
              <w:top w:w="0" w:type="dxa"/>
              <w:left w:w="0" w:type="dxa"/>
              <w:bottom w:w="0" w:type="dxa"/>
              <w:right w:w="0" w:type="dxa"/>
            </w:tcMar>
          </w:tcPr>
          <w:p>
            <w:pPr>
              <w:spacing w:before="200"/>
              <w:ind w:left="340"/>
            </w:pPr>
            <w:r>
              <w:rPr>
                <w:rFonts w:hint="eastAsia" w:ascii="宋体" w:hAnsi="宋体" w:eastAsia="宋体" w:cs="宋体"/>
                <w:b/>
                <w:sz w:val="21"/>
              </w:rPr>
              <w:t>占比</w:t>
            </w:r>
          </w:p>
        </w:tc>
      </w:tr>
      <w:tr>
        <w:trPr>
          <w:trHeight w:val="940" w:hRule="exact"/>
        </w:trPr>
        <w:tc>
          <w:tcPr>
            <w:tcW w:w="114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21"/>
              </w:rPr>
              <w:t>1</w:t>
            </w:r>
            <w:r>
              <w:rPr>
                <w:rFonts w:hint="eastAsia" w:ascii="宋体" w:hAnsi="宋体" w:eastAsia="宋体" w:cs="宋体"/>
                <w:sz w:val="21"/>
              </w:rPr>
              <w:t xml:space="preserve"> 年以内</w:t>
            </w:r>
          </w:p>
          <w:p>
            <w:pPr>
              <w:spacing w:before="100"/>
              <w:ind w:left="100"/>
            </w:pPr>
            <w:r>
              <w:rPr>
                <w:rFonts w:hint="eastAsia" w:ascii="宋体" w:hAnsi="宋体" w:eastAsia="宋体" w:cs="宋体"/>
                <w:sz w:val="20"/>
              </w:rPr>
              <w:t>（</w:t>
            </w:r>
            <w:r>
              <w:rPr>
                <w:rFonts w:hint="eastAsia" w:ascii="宋体" w:hAnsi="宋体" w:eastAsia="宋体" w:cs="宋体"/>
                <w:sz w:val="21"/>
              </w:rPr>
              <w:t>含</w:t>
            </w:r>
            <w:r>
              <w:rPr>
                <w:rFonts w:hint="eastAsia" w:ascii="Times New Roman" w:hAnsi="Times New Roman" w:eastAsia="Times New Roman" w:cs="Times New Roman"/>
                <w:sz w:val="21"/>
              </w:rPr>
              <w:t xml:space="preserve"> 1</w:t>
            </w:r>
            <w:r>
              <w:rPr>
                <w:rFonts w:hint="eastAsia" w:ascii="宋体" w:hAnsi="宋体" w:eastAsia="宋体" w:cs="宋体"/>
                <w:sz w:val="21"/>
              </w:rPr>
              <w:t>年</w:t>
            </w:r>
            <w:r>
              <w:rPr>
                <w:rFonts w:hint="eastAsia" w:ascii="宋体" w:hAnsi="宋体" w:eastAsia="宋体" w:cs="宋体"/>
                <w:sz w:val="20"/>
              </w:rPr>
              <w:t>）</w:t>
            </w:r>
          </w:p>
        </w:tc>
        <w:tc>
          <w:tcPr>
            <w:tcW w:w="1560" w:type="dxa"/>
            <w:tcMar>
              <w:top w:w="0" w:type="dxa"/>
              <w:left w:w="0" w:type="dxa"/>
              <w:bottom w:w="0" w:type="dxa"/>
              <w:right w:w="0" w:type="dxa"/>
            </w:tcMar>
          </w:tcPr>
          <w:p>
            <w:pPr>
              <w:spacing w:before="400"/>
              <w:ind w:left="2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c>
          <w:tcPr>
            <w:tcW w:w="1140" w:type="dxa"/>
            <w:tcMar>
              <w:top w:w="0" w:type="dxa"/>
              <w:left w:w="0" w:type="dxa"/>
              <w:bottom w:w="0" w:type="dxa"/>
              <w:right w:w="0" w:type="dxa"/>
            </w:tcMar>
          </w:tcPr>
          <w:p>
            <w:pPr>
              <w:spacing w:before="400"/>
              <w:ind w:left="360"/>
            </w:pP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400"/>
              <w:ind w:left="120"/>
            </w:pPr>
            <w:r>
              <w:rPr>
                <w:rFonts w:hint="eastAsia" w:ascii="Times New Roman" w:hAnsi="Times New Roman" w:eastAsia="Times New Roman" w:cs="Times New Roman"/>
                <w:sz w:val="21"/>
              </w:rPr>
              <w:t>369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1120" w:type="dxa"/>
            <w:tcMar>
              <w:top w:w="0" w:type="dxa"/>
              <w:left w:w="0" w:type="dxa"/>
              <w:bottom w:w="0" w:type="dxa"/>
              <w:right w:w="0" w:type="dxa"/>
            </w:tcMar>
          </w:tcPr>
          <w:p>
            <w:pPr>
              <w:spacing w:before="400"/>
              <w:ind w:left="360"/>
            </w:pP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400"/>
              <w:ind w:left="120"/>
            </w:pPr>
            <w:r>
              <w:rPr>
                <w:rFonts w:hint="eastAsia" w:ascii="Times New Roman" w:hAnsi="Times New Roman" w:eastAsia="Times New Roman" w:cs="Times New Roman"/>
                <w:sz w:val="21"/>
              </w:rPr>
              <w:t>243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1140" w:type="dxa"/>
            <w:tcMar>
              <w:top w:w="0" w:type="dxa"/>
              <w:left w:w="0" w:type="dxa"/>
              <w:bottom w:w="0" w:type="dxa"/>
              <w:right w:w="0" w:type="dxa"/>
            </w:tcMar>
          </w:tcPr>
          <w:p>
            <w:pPr>
              <w:spacing w:before="400"/>
              <w:ind w:left="360"/>
            </w:pPr>
            <w:r>
              <w:rPr>
                <w:rFonts w:hint="eastAsia" w:ascii="Times New Roman" w:hAnsi="Times New Roman" w:eastAsia="Times New Roman" w:cs="Times New Roman"/>
                <w:sz w:val="21"/>
              </w:rPr>
              <w:t>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w:t>
            </w:r>
            <w:r>
              <w:rPr>
                <w:rFonts w:hint="eastAsia" w:ascii="Times New Roman" w:hAnsi="Times New Roman" w:eastAsia="Times New Roman" w:cs="Times New Roman"/>
                <w:sz w:val="20"/>
              </w:rPr>
              <w:t>%</w:t>
            </w:r>
          </w:p>
        </w:tc>
      </w:tr>
      <w:tr>
        <w:trPr>
          <w:trHeight w:val="640" w:hRule="exact"/>
        </w:trPr>
        <w:tc>
          <w:tcPr>
            <w:tcW w:w="114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21"/>
              </w:rPr>
              <w:t>1-2</w:t>
            </w:r>
            <w:r>
              <w:rPr>
                <w:rFonts w:hint="eastAsia" w:ascii="宋体" w:hAnsi="宋体" w:eastAsia="宋体" w:cs="宋体"/>
                <w:sz w:val="21"/>
              </w:rPr>
              <w:t xml:space="preserve"> 年</w:t>
            </w:r>
          </w:p>
        </w:tc>
        <w:tc>
          <w:tcPr>
            <w:tcW w:w="1560" w:type="dxa"/>
            <w:tcMar>
              <w:top w:w="0" w:type="dxa"/>
              <w:left w:w="0" w:type="dxa"/>
              <w:bottom w:w="0" w:type="dxa"/>
              <w:right w:w="0" w:type="dxa"/>
            </w:tcMar>
          </w:tcPr>
          <w:p>
            <w:pPr>
              <w:spacing w:before="24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w:t>
            </w:r>
          </w:p>
        </w:tc>
        <w:tc>
          <w:tcPr>
            <w:tcW w:w="1140" w:type="dxa"/>
            <w:tcMar>
              <w:top w:w="0" w:type="dxa"/>
              <w:left w:w="0" w:type="dxa"/>
              <w:bottom w:w="0" w:type="dxa"/>
              <w:right w:w="0" w:type="dxa"/>
            </w:tcMar>
          </w:tcPr>
          <w:p>
            <w:pPr>
              <w:spacing w:before="240"/>
              <w:ind w:left="36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240"/>
              <w:ind w:left="220"/>
            </w:pP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1120" w:type="dxa"/>
            <w:tcMar>
              <w:top w:w="0" w:type="dxa"/>
              <w:left w:w="0" w:type="dxa"/>
              <w:bottom w:w="0" w:type="dxa"/>
              <w:right w:w="0" w:type="dxa"/>
            </w:tcMar>
          </w:tcPr>
          <w:p>
            <w:pPr>
              <w:spacing w:before="240"/>
              <w:ind w:left="36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240"/>
              <w:ind w:left="24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114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r>
              <w:rPr>
                <w:rFonts w:hint="eastAsia" w:ascii="Times New Roman" w:hAnsi="Times New Roman" w:eastAsia="Times New Roman" w:cs="Times New Roman"/>
                <w:sz w:val="20"/>
              </w:rPr>
              <w:t>%</w:t>
            </w:r>
          </w:p>
        </w:tc>
      </w:tr>
      <w:tr>
        <w:trPr>
          <w:trHeight w:val="640" w:hRule="exact"/>
        </w:trPr>
        <w:tc>
          <w:tcPr>
            <w:tcW w:w="114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21"/>
              </w:rPr>
              <w:t>2-3</w:t>
            </w:r>
            <w:r>
              <w:rPr>
                <w:rFonts w:hint="eastAsia" w:ascii="宋体" w:hAnsi="宋体" w:eastAsia="宋体" w:cs="宋体"/>
                <w:sz w:val="21"/>
              </w:rPr>
              <w:t xml:space="preserve"> 年</w:t>
            </w:r>
          </w:p>
        </w:tc>
        <w:tc>
          <w:tcPr>
            <w:tcW w:w="156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933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c>
          <w:tcPr>
            <w:tcW w:w="1140" w:type="dxa"/>
            <w:tcMar>
              <w:top w:w="0" w:type="dxa"/>
              <w:left w:w="0" w:type="dxa"/>
              <w:bottom w:w="0" w:type="dxa"/>
              <w:right w:w="0" w:type="dxa"/>
            </w:tcMar>
          </w:tcPr>
          <w:p>
            <w:pPr>
              <w:spacing w:before="220"/>
              <w:ind w:left="4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240"/>
              <w:ind w:left="22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c>
          <w:tcPr>
            <w:tcW w:w="1120" w:type="dxa"/>
            <w:tcMar>
              <w:top w:w="0" w:type="dxa"/>
              <w:left w:w="0" w:type="dxa"/>
              <w:bottom w:w="0" w:type="dxa"/>
              <w:right w:w="0" w:type="dxa"/>
            </w:tcMar>
          </w:tcPr>
          <w:p>
            <w:pPr>
              <w:spacing w:before="22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240"/>
              <w:ind w:left="34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140" w:type="dxa"/>
            <w:tcMar>
              <w:top w:w="0" w:type="dxa"/>
              <w:left w:w="0" w:type="dxa"/>
              <w:bottom w:w="0" w:type="dxa"/>
              <w:right w:w="0" w:type="dxa"/>
            </w:tcMar>
          </w:tcPr>
          <w:p>
            <w:pPr>
              <w:spacing w:before="220"/>
              <w:ind w:left="4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r>
              <w:rPr>
                <w:rFonts w:hint="eastAsia" w:ascii="Times New Roman" w:hAnsi="Times New Roman" w:eastAsia="Times New Roman" w:cs="Times New Roman"/>
                <w:sz w:val="20"/>
              </w:rPr>
              <w:t>%</w:t>
            </w:r>
          </w:p>
        </w:tc>
      </w:tr>
      <w:tr>
        <w:trPr>
          <w:trHeight w:val="620" w:hRule="exact"/>
        </w:trPr>
        <w:tc>
          <w:tcPr>
            <w:tcW w:w="1140" w:type="dxa"/>
            <w:tcMar>
              <w:top w:w="0" w:type="dxa"/>
              <w:left w:w="0" w:type="dxa"/>
              <w:bottom w:w="0" w:type="dxa"/>
              <w:right w:w="0" w:type="dxa"/>
            </w:tcMar>
          </w:tcPr>
          <w:p>
            <w:pPr>
              <w:spacing w:before="180"/>
              <w:ind w:left="100"/>
            </w:pPr>
            <w:r>
              <w:rPr>
                <w:rFonts w:hint="eastAsia" w:ascii="Times New Roman" w:hAnsi="Times New Roman" w:eastAsia="Times New Roman" w:cs="Times New Roman"/>
                <w:sz w:val="21"/>
              </w:rPr>
              <w:t>3</w:t>
            </w:r>
            <w:r>
              <w:rPr>
                <w:rFonts w:hint="eastAsia" w:ascii="宋体" w:hAnsi="宋体" w:eastAsia="宋体" w:cs="宋体"/>
                <w:sz w:val="21"/>
              </w:rPr>
              <w:t xml:space="preserve"> 年以上</w:t>
            </w:r>
          </w:p>
        </w:tc>
        <w:tc>
          <w:tcPr>
            <w:tcW w:w="1560" w:type="dxa"/>
            <w:tcMar>
              <w:top w:w="0" w:type="dxa"/>
              <w:left w:w="0" w:type="dxa"/>
              <w:bottom w:w="0" w:type="dxa"/>
              <w:right w:w="0" w:type="dxa"/>
            </w:tcMar>
          </w:tcPr>
          <w:p>
            <w:pPr>
              <w:spacing w:before="24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140" w:type="dxa"/>
            <w:tcMar>
              <w:top w:w="0" w:type="dxa"/>
              <w:left w:w="0" w:type="dxa"/>
              <w:bottom w:w="0" w:type="dxa"/>
              <w:right w:w="0" w:type="dxa"/>
            </w:tcMar>
          </w:tcPr>
          <w:p>
            <w:pPr>
              <w:spacing w:before="240"/>
              <w:ind w:left="42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 xml:space="preserve"> 70</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240"/>
              <w:ind w:left="2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p>
        </w:tc>
        <w:tc>
          <w:tcPr>
            <w:tcW w:w="1120" w:type="dxa"/>
            <w:tcMar>
              <w:top w:w="0" w:type="dxa"/>
              <w:left w:w="0" w:type="dxa"/>
              <w:bottom w:w="0" w:type="dxa"/>
              <w:right w:w="0" w:type="dxa"/>
            </w:tcMar>
          </w:tcPr>
          <w:p>
            <w:pPr>
              <w:spacing w:before="24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240"/>
              <w:ind w:left="24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c>
          <w:tcPr>
            <w:tcW w:w="114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r>
              <w:rPr>
                <w:rFonts w:hint="eastAsia" w:ascii="Times New Roman" w:hAnsi="Times New Roman" w:eastAsia="Times New Roman" w:cs="Times New Roman"/>
                <w:sz w:val="20"/>
              </w:rPr>
              <w:t>%</w:t>
            </w:r>
          </w:p>
        </w:tc>
      </w:tr>
      <w:tr>
        <w:trPr>
          <w:trHeight w:val="640" w:hRule="exact"/>
        </w:trPr>
        <w:tc>
          <w:tcPr>
            <w:tcW w:w="1140" w:type="dxa"/>
            <w:tcMar>
              <w:top w:w="0" w:type="dxa"/>
              <w:left w:w="0" w:type="dxa"/>
              <w:bottom w:w="0" w:type="dxa"/>
              <w:right w:w="0" w:type="dxa"/>
            </w:tcMar>
          </w:tcPr>
          <w:p>
            <w:pPr>
              <w:spacing w:before="200"/>
              <w:ind w:left="100"/>
            </w:pPr>
            <w:r>
              <w:rPr>
                <w:rFonts w:hint="eastAsia" w:ascii="宋体" w:hAnsi="宋体" w:eastAsia="宋体" w:cs="宋体"/>
                <w:sz w:val="21"/>
              </w:rPr>
              <w:t>组合小计</w:t>
            </w:r>
          </w:p>
        </w:tc>
        <w:tc>
          <w:tcPr>
            <w:tcW w:w="1560" w:type="dxa"/>
            <w:tcMar>
              <w:top w:w="0" w:type="dxa"/>
              <w:left w:w="0" w:type="dxa"/>
              <w:bottom w:w="0" w:type="dxa"/>
              <w:right w:w="0" w:type="dxa"/>
            </w:tcMar>
          </w:tcPr>
          <w:p>
            <w:pPr>
              <w:spacing w:before="240"/>
              <w:ind w:left="22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1140" w:type="dxa"/>
            <w:tcMar>
              <w:top w:w="0" w:type="dxa"/>
              <w:left w:w="0" w:type="dxa"/>
              <w:bottom w:w="0" w:type="dxa"/>
              <w:right w:w="0" w:type="dxa"/>
            </w:tcMar>
          </w:tcPr>
          <w:p>
            <w:pPr>
              <w:spacing w:before="240"/>
              <w:ind w:left="26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240"/>
              <w:ind w:left="120"/>
            </w:pPr>
            <w:r>
              <w:rPr>
                <w:rFonts w:hint="eastAsia" w:ascii="Times New Roman" w:hAnsi="Times New Roman" w:eastAsia="Times New Roman" w:cs="Times New Roman"/>
                <w:sz w:val="21"/>
              </w:rPr>
              <w:t>465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p>
        </w:tc>
        <w:tc>
          <w:tcPr>
            <w:tcW w:w="1120" w:type="dxa"/>
            <w:tcMar>
              <w:top w:w="0" w:type="dxa"/>
              <w:left w:w="0" w:type="dxa"/>
              <w:bottom w:w="0" w:type="dxa"/>
              <w:right w:w="0" w:type="dxa"/>
            </w:tcMar>
          </w:tcPr>
          <w:p>
            <w:pPr>
              <w:spacing w:before="240"/>
              <w:ind w:left="360"/>
            </w:pP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240"/>
              <w:ind w:left="120"/>
            </w:pPr>
            <w:r>
              <w:rPr>
                <w:rFonts w:hint="eastAsia" w:ascii="Times New Roman" w:hAnsi="Times New Roman" w:eastAsia="Times New Roman" w:cs="Times New Roman"/>
                <w:sz w:val="21"/>
              </w:rPr>
              <w:t>301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1140" w:type="dxa"/>
            <w:tcMar>
              <w:top w:w="0" w:type="dxa"/>
              <w:left w:w="0" w:type="dxa"/>
              <w:bottom w:w="0" w:type="dxa"/>
              <w:right w:w="0" w:type="dxa"/>
            </w:tcMar>
          </w:tcPr>
          <w:p>
            <w:pPr>
              <w:spacing w:before="240"/>
              <w:ind w:left="360"/>
            </w:pP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620" w:hRule="exact"/>
        </w:trPr>
        <w:tc>
          <w:tcPr>
            <w:tcW w:w="1140" w:type="dxa"/>
            <w:tcMar>
              <w:top w:w="0" w:type="dxa"/>
              <w:left w:w="0" w:type="dxa"/>
              <w:bottom w:w="0" w:type="dxa"/>
              <w:right w:w="0" w:type="dxa"/>
            </w:tcMar>
          </w:tcPr>
          <w:p>
            <w:pPr>
              <w:spacing w:before="200"/>
              <w:ind w:left="100"/>
            </w:pPr>
            <w:r>
              <w:rPr>
                <w:rFonts w:hint="eastAsia" w:ascii="宋体" w:hAnsi="宋体" w:eastAsia="宋体" w:cs="宋体"/>
                <w:b/>
                <w:sz w:val="21"/>
              </w:rPr>
              <w:t>总计</w:t>
            </w:r>
          </w:p>
        </w:tc>
        <w:tc>
          <w:tcPr>
            <w:tcW w:w="1560" w:type="dxa"/>
            <w:tcMar>
              <w:top w:w="0" w:type="dxa"/>
              <w:left w:w="0" w:type="dxa"/>
              <w:bottom w:w="0" w:type="dxa"/>
              <w:right w:w="0" w:type="dxa"/>
            </w:tcMar>
          </w:tcPr>
          <w:p>
            <w:pPr>
              <w:spacing w:before="220"/>
              <w:ind w:left="220"/>
            </w:pPr>
            <w:r>
              <w:rPr>
                <w:rFonts w:hint="eastAsia" w:ascii="Times New Roman Bold" w:hAnsi="Times New Roman Bold" w:eastAsia="Times New Roman Bold" w:cs="Times New Roman Bold"/>
                <w:b/>
                <w:sz w:val="21"/>
              </w:rPr>
              <w:t>21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52</w:t>
            </w:r>
          </w:p>
        </w:tc>
        <w:tc>
          <w:tcPr>
            <w:tcW w:w="1140" w:type="dxa"/>
            <w:tcMar>
              <w:top w:w="0" w:type="dxa"/>
              <w:left w:w="0" w:type="dxa"/>
              <w:bottom w:w="0" w:type="dxa"/>
              <w:right w:w="0" w:type="dxa"/>
            </w:tcMar>
          </w:tcPr>
          <w:p>
            <w:pPr>
              <w:spacing w:before="22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220"/>
              <w:ind w:left="120"/>
            </w:pPr>
            <w:r>
              <w:rPr>
                <w:rFonts w:hint="eastAsia" w:ascii="Times New Roman Bold" w:hAnsi="Times New Roman Bold" w:eastAsia="Times New Roman Bold" w:cs="Times New Roman Bold"/>
                <w:b/>
                <w:sz w:val="21"/>
              </w:rPr>
              <w:t>472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77</w:t>
            </w:r>
          </w:p>
        </w:tc>
        <w:tc>
          <w:tcPr>
            <w:tcW w:w="1120" w:type="dxa"/>
            <w:tcMar>
              <w:top w:w="0" w:type="dxa"/>
              <w:left w:w="0" w:type="dxa"/>
              <w:bottom w:w="0" w:type="dxa"/>
              <w:right w:w="0" w:type="dxa"/>
            </w:tcMar>
          </w:tcPr>
          <w:p>
            <w:pPr>
              <w:spacing w:before="22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220"/>
              <w:ind w:left="120"/>
            </w:pPr>
            <w:r>
              <w:rPr>
                <w:rFonts w:hint="eastAsia" w:ascii="Times New Roman Bold" w:hAnsi="Times New Roman Bold" w:eastAsia="Times New Roman Bold" w:cs="Times New Roman Bold"/>
                <w:b/>
                <w:sz w:val="21"/>
              </w:rPr>
              <w:t>415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473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42</w:t>
            </w:r>
          </w:p>
        </w:tc>
        <w:tc>
          <w:tcPr>
            <w:tcW w:w="1140" w:type="dxa"/>
            <w:tcMar>
              <w:top w:w="0" w:type="dxa"/>
              <w:left w:w="0" w:type="dxa"/>
              <w:bottom w:w="0" w:type="dxa"/>
              <w:right w:w="0" w:type="dxa"/>
            </w:tcMar>
          </w:tcPr>
          <w:p>
            <w:pPr>
              <w:spacing w:before="22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autoSpaceDE w:val="false"/>
        <w:autoSpaceDN w:val="false"/>
        <w:spacing w:line="340" w:lineRule="exact"/>
        <w:ind w:left="1440" w:right="1220" w:firstLine="420"/>
        <w:jc w:val="both"/>
      </w:pPr>
      <w:r>
        <w:rPr>
          <w:rFonts w:hint="eastAsia" w:ascii="宋体" w:hAnsi="宋体" w:eastAsia="宋体" w:cs="宋体"/>
          <w:sz w:val="21"/>
        </w:rPr>
        <w:t>注</w:t>
      </w:r>
      <w:r>
        <w:rPr>
          <w:rFonts w:hint="eastAsia" w:ascii="宋体" w:hAnsi="宋体" w:eastAsia="宋体" w:cs="宋体"/>
          <w:sz w:val="12"/>
        </w:rPr>
        <w:t>：</w:t>
      </w:r>
      <w:r>
        <w:rPr>
          <w:rFonts w:hint="eastAsia" w:ascii="宋体" w:hAnsi="宋体" w:eastAsia="宋体" w:cs="宋体"/>
          <w:sz w:val="21"/>
        </w:rPr>
        <w:t>组合小计指</w:t>
      </w:r>
      <w:r>
        <w:rPr>
          <w:rFonts w:hint="eastAsia" w:ascii="宋体" w:hAnsi="宋体" w:eastAsia="宋体" w:cs="宋体"/>
          <w:sz w:val="10"/>
        </w:rPr>
        <w:t>“</w:t>
      </w:r>
      <w:r>
        <w:rPr>
          <w:rFonts w:hint="eastAsia" w:ascii="宋体" w:hAnsi="宋体" w:eastAsia="宋体" w:cs="宋体"/>
          <w:sz w:val="21"/>
        </w:rPr>
        <w:t>按账龄分析法计提坏账准备的应收账款</w:t>
      </w:r>
      <w:r>
        <w:rPr>
          <w:rFonts w:hint="eastAsia" w:ascii="宋体" w:hAnsi="宋体" w:eastAsia="宋体" w:cs="宋体"/>
          <w:sz w:val="10"/>
        </w:rPr>
        <w:t>”</w:t>
      </w:r>
      <w:r>
        <w:rPr>
          <w:rFonts w:hint="eastAsia" w:ascii="宋体" w:hAnsi="宋体" w:eastAsia="宋体" w:cs="宋体"/>
          <w:sz w:val="21"/>
        </w:rPr>
        <w:t>金额小计</w:t>
      </w:r>
      <w:r>
        <w:rPr>
          <w:rFonts w:hint="eastAsia" w:ascii="宋体" w:hAnsi="宋体" w:eastAsia="宋体" w:cs="宋体"/>
          <w:sz w:val="10"/>
        </w:rPr>
        <w:t>；</w:t>
      </w:r>
      <w:r>
        <w:rPr>
          <w:rFonts w:hint="eastAsia" w:ascii="宋体" w:hAnsi="宋体" w:eastAsia="宋体" w:cs="宋体"/>
          <w:sz w:val="21"/>
        </w:rPr>
        <w:t>总计指全部应收账款总计</w:t>
      </w:r>
      <w:r>
        <w:rPr>
          <w:rFonts w:hint="eastAsia" w:ascii="宋体" w:hAnsi="宋体" w:eastAsia="宋体" w:cs="宋体"/>
          <w:sz w:val="10"/>
        </w:rPr>
        <w:t>，</w:t>
      </w:r>
      <w:r>
        <w:rPr>
          <w:rFonts w:hint="eastAsia" w:ascii="宋体" w:hAnsi="宋体" w:eastAsia="宋体" w:cs="宋体"/>
          <w:sz w:val="21"/>
        </w:rPr>
        <w:t>包括按照单项金额重大并单独计提坏账准备的应收账款</w:t>
      </w:r>
      <w:r>
        <w:rPr>
          <w:rFonts w:hint="eastAsia" w:ascii="宋体" w:hAnsi="宋体" w:eastAsia="宋体" w:cs="宋体"/>
          <w:sz w:val="10"/>
        </w:rPr>
        <w:t>、</w:t>
      </w:r>
      <w:r>
        <w:rPr>
          <w:rFonts w:hint="eastAsia" w:ascii="宋体" w:hAnsi="宋体" w:eastAsia="宋体" w:cs="宋体"/>
          <w:sz w:val="21"/>
        </w:rPr>
        <w:t>按信用风险特征组合计提坏账准备的应收账款</w:t>
      </w:r>
      <w:r>
        <w:rPr>
          <w:rFonts w:hint="eastAsia" w:ascii="宋体" w:hAnsi="宋体" w:eastAsia="宋体" w:cs="宋体"/>
          <w:sz w:val="10"/>
        </w:rPr>
        <w:t>、</w:t>
      </w:r>
      <w:r>
        <w:rPr>
          <w:rFonts w:hint="eastAsia" w:ascii="宋体" w:hAnsi="宋体" w:eastAsia="宋体" w:cs="宋体"/>
          <w:sz w:val="21"/>
        </w:rPr>
        <w:t>单项金额不重大但单独计提坏账准备的应收账款三类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公司与同行业上市公司恒生电子</w:t>
      </w:r>
      <w:r>
        <w:rPr>
          <w:rFonts w:hint="eastAsia" w:ascii="宋体" w:hAnsi="宋体" w:eastAsia="宋体" w:cs="宋体"/>
          <w:sz w:val="10"/>
        </w:rPr>
        <w:t>、</w:t>
      </w:r>
      <w:r>
        <w:rPr>
          <w:rFonts w:hint="eastAsia" w:ascii="宋体" w:hAnsi="宋体" w:eastAsia="宋体" w:cs="宋体"/>
          <w:sz w:val="24"/>
        </w:rPr>
        <w:t>金证股份应收账款账龄均是以</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年以内为主</w:t>
      </w:r>
      <w:r>
        <w:rPr>
          <w:rFonts w:hint="eastAsia" w:ascii="宋体" w:hAnsi="宋体" w:eastAsia="宋体" w:cs="宋体"/>
          <w:sz w:val="10"/>
        </w:rPr>
        <w:t>，</w:t>
      </w:r>
      <w:r>
        <w:rPr>
          <w:rFonts w:hint="eastAsia" w:ascii="宋体" w:hAnsi="宋体" w:eastAsia="宋体" w:cs="宋体"/>
          <w:sz w:val="24"/>
        </w:rPr>
        <w:t>应收账款账龄结构没有重大差异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③前五名应收账款情况分析</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020"/>
        <w:gridCol w:w="680"/>
        <w:gridCol w:w="3780"/>
        <w:gridCol w:w="2420"/>
        <w:gridCol w:w="1360"/>
      </w:tblGrid>
      <w:tr>
        <w:trPr>
          <w:trHeight w:val="480" w:hRule="exact"/>
        </w:trPr>
        <w:tc>
          <w:tcPr>
            <w:tcW w:w="1020" w:type="dxa"/>
            <w:tcMar>
              <w:top w:w="0" w:type="dxa"/>
              <w:left w:w="0" w:type="dxa"/>
              <w:bottom w:w="0" w:type="dxa"/>
              <w:right w:w="0" w:type="dxa"/>
            </w:tcMar>
          </w:tcPr>
          <w:p>
            <w:pPr>
              <w:spacing w:before="120"/>
              <w:ind w:left="280"/>
            </w:pPr>
            <w:r>
              <w:rPr>
                <w:rFonts w:hint="eastAsia" w:ascii="宋体" w:hAnsi="宋体" w:eastAsia="宋体" w:cs="宋体"/>
                <w:b/>
                <w:sz w:val="21"/>
              </w:rPr>
              <w:t>时点</w:t>
            </w:r>
          </w:p>
        </w:tc>
        <w:tc>
          <w:tcPr>
            <w:tcW w:w="680" w:type="dxa"/>
            <w:tcMar>
              <w:top w:w="0" w:type="dxa"/>
              <w:left w:w="0" w:type="dxa"/>
              <w:bottom w:w="0" w:type="dxa"/>
              <w:right w:w="0" w:type="dxa"/>
            </w:tcMar>
          </w:tcPr>
          <w:p>
            <w:pPr>
              <w:spacing w:before="120"/>
              <w:ind w:left="120"/>
            </w:pPr>
            <w:r>
              <w:rPr>
                <w:rFonts w:hint="eastAsia" w:ascii="宋体" w:hAnsi="宋体" w:eastAsia="宋体" w:cs="宋体"/>
                <w:b/>
                <w:sz w:val="21"/>
              </w:rPr>
              <w:t>序号</w:t>
            </w:r>
          </w:p>
        </w:tc>
        <w:tc>
          <w:tcPr>
            <w:tcW w:w="3780" w:type="dxa"/>
            <w:tcMar>
              <w:top w:w="0" w:type="dxa"/>
              <w:left w:w="0" w:type="dxa"/>
              <w:bottom w:w="0" w:type="dxa"/>
              <w:right w:w="0" w:type="dxa"/>
            </w:tcMar>
          </w:tcPr>
          <w:p>
            <w:pPr>
              <w:spacing w:before="120"/>
              <w:ind w:left="1460"/>
            </w:pPr>
            <w:r>
              <w:rPr>
                <w:rFonts w:hint="eastAsia" w:ascii="宋体" w:hAnsi="宋体" w:eastAsia="宋体" w:cs="宋体"/>
                <w:b/>
                <w:sz w:val="21"/>
              </w:rPr>
              <w:t>客户名称</w:t>
            </w:r>
          </w:p>
        </w:tc>
        <w:tc>
          <w:tcPr>
            <w:tcW w:w="2420" w:type="dxa"/>
            <w:tcMar>
              <w:top w:w="0" w:type="dxa"/>
              <w:left w:w="0" w:type="dxa"/>
              <w:bottom w:w="0" w:type="dxa"/>
              <w:right w:w="0" w:type="dxa"/>
            </w:tcMar>
          </w:tcPr>
          <w:p>
            <w:pPr>
              <w:spacing w:before="120"/>
              <w:ind w:left="560"/>
            </w:pPr>
            <w:r>
              <w:rPr>
                <w:rFonts w:hint="eastAsia" w:ascii="宋体" w:hAnsi="宋体" w:eastAsia="宋体" w:cs="宋体"/>
                <w:b/>
                <w:sz w:val="21"/>
              </w:rPr>
              <w:t>应收账款余额</w:t>
            </w:r>
          </w:p>
        </w:tc>
        <w:tc>
          <w:tcPr>
            <w:tcW w:w="1360" w:type="dxa"/>
            <w:tcMar>
              <w:top w:w="0" w:type="dxa"/>
              <w:left w:w="0" w:type="dxa"/>
              <w:bottom w:w="0" w:type="dxa"/>
              <w:right w:w="0" w:type="dxa"/>
            </w:tcMar>
          </w:tcPr>
          <w:p>
            <w:pPr>
              <w:spacing w:before="120"/>
              <w:ind w:left="460"/>
            </w:pPr>
            <w:r>
              <w:rPr>
                <w:rFonts w:hint="eastAsia" w:ascii="宋体" w:hAnsi="宋体" w:eastAsia="宋体" w:cs="宋体"/>
                <w:b/>
                <w:sz w:val="21"/>
              </w:rPr>
              <w:t>比例</w:t>
            </w:r>
          </w:p>
        </w:tc>
      </w:tr>
      <w:tr>
        <w:trPr>
          <w:trHeight w:val="480" w:hRule="exact"/>
        </w:trPr>
        <w:tc>
          <w:tcPr>
            <w:tcW w:w="1020" w:type="dxa"/>
            <w:vMerge w:val="restart"/>
            <w:tcMar>
              <w:top w:w="0" w:type="dxa"/>
              <w:left w:w="0" w:type="dxa"/>
              <w:bottom w:w="0" w:type="dxa"/>
              <w:right w:w="0" w:type="dxa"/>
            </w:tcMar>
          </w:tcPr>
          <w:p>
            <w:pPr>
              <w:spacing w:before="920"/>
              <w:ind w:left="160"/>
            </w:pPr>
            <w:r>
              <w:rPr>
                <w:rFonts w:hint="eastAsia" w:ascii="Times New Roman" w:hAnsi="Times New Roman" w:eastAsia="Times New Roman" w:cs="Times New Roman"/>
                <w:sz w:val="21"/>
              </w:rPr>
              <w:t>2016</w:t>
            </w:r>
            <w:r>
              <w:rPr>
                <w:rFonts w:hint="eastAsia" w:ascii="宋体" w:hAnsi="宋体" w:eastAsia="宋体" w:cs="宋体"/>
                <w:sz w:val="21"/>
              </w:rPr>
              <w:t xml:space="preserve"> 年</w:t>
            </w:r>
          </w:p>
          <w:p>
            <w:pPr>
              <w:spacing w:before="100"/>
              <w:ind w:left="380"/>
            </w:pPr>
            <w:r>
              <w:rPr>
                <w:rFonts w:hint="eastAsia" w:ascii="宋体" w:hAnsi="宋体" w:eastAsia="宋体" w:cs="宋体"/>
                <w:sz w:val="21"/>
              </w:rPr>
              <w:t>末</w:t>
            </w: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w:t>
            </w:r>
          </w:p>
        </w:tc>
        <w:tc>
          <w:tcPr>
            <w:tcW w:w="3780" w:type="dxa"/>
            <w:tcMar>
              <w:top w:w="0" w:type="dxa"/>
              <w:left w:w="0" w:type="dxa"/>
              <w:bottom w:w="0" w:type="dxa"/>
              <w:right w:w="0" w:type="dxa"/>
            </w:tcMar>
          </w:tcPr>
          <w:p>
            <w:pPr>
              <w:spacing w:before="100"/>
              <w:ind w:left="100"/>
            </w:pPr>
            <w:r>
              <w:rPr>
                <w:rFonts w:hint="eastAsia" w:ascii="宋体" w:hAnsi="宋体" w:eastAsia="宋体" w:cs="宋体"/>
                <w:sz w:val="21"/>
              </w:rPr>
              <w:t>网信证券有限责任公司</w:t>
            </w:r>
          </w:p>
        </w:tc>
        <w:tc>
          <w:tcPr>
            <w:tcW w:w="2420" w:type="dxa"/>
            <w:tcMar>
              <w:top w:w="0" w:type="dxa"/>
              <w:left w:w="0" w:type="dxa"/>
              <w:bottom w:w="0" w:type="dxa"/>
              <w:right w:w="0" w:type="dxa"/>
            </w:tcMar>
          </w:tcPr>
          <w:p>
            <w:pPr>
              <w:spacing w:before="140"/>
              <w:ind w:left="11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1360" w:type="dxa"/>
            <w:tcMar>
              <w:top w:w="0" w:type="dxa"/>
              <w:left w:w="0" w:type="dxa"/>
              <w:bottom w:w="0" w:type="dxa"/>
              <w:right w:w="0" w:type="dxa"/>
            </w:tcMar>
          </w:tcPr>
          <w:p>
            <w:pPr>
              <w:spacing w:before="140"/>
              <w:ind w:left="7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p>
        </w:tc>
      </w:tr>
      <w:tr>
        <w:trPr>
          <w:trHeight w:val="48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w:t>
            </w:r>
          </w:p>
        </w:tc>
        <w:tc>
          <w:tcPr>
            <w:tcW w:w="3780" w:type="dxa"/>
            <w:tcMar>
              <w:top w:w="0" w:type="dxa"/>
              <w:left w:w="0" w:type="dxa"/>
              <w:bottom w:w="0" w:type="dxa"/>
              <w:right w:w="0" w:type="dxa"/>
            </w:tcMar>
          </w:tcPr>
          <w:p>
            <w:pPr>
              <w:spacing w:before="120"/>
              <w:ind w:left="100"/>
            </w:pPr>
            <w:r>
              <w:rPr>
                <w:rFonts w:hint="eastAsia" w:ascii="宋体" w:hAnsi="宋体" w:eastAsia="宋体" w:cs="宋体"/>
                <w:sz w:val="21"/>
              </w:rPr>
              <w:t>西南证券股份有限公司</w:t>
            </w:r>
          </w:p>
        </w:tc>
        <w:tc>
          <w:tcPr>
            <w:tcW w:w="2420" w:type="dxa"/>
            <w:tcMar>
              <w:top w:w="0" w:type="dxa"/>
              <w:left w:w="0" w:type="dxa"/>
              <w:bottom w:w="0" w:type="dxa"/>
              <w:right w:w="0" w:type="dxa"/>
            </w:tcMar>
          </w:tcPr>
          <w:p>
            <w:pPr>
              <w:spacing w:before="160"/>
              <w:ind w:left="11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60" w:type="dxa"/>
            <w:tcMar>
              <w:top w:w="0" w:type="dxa"/>
              <w:left w:w="0" w:type="dxa"/>
              <w:bottom w:w="0" w:type="dxa"/>
              <w:right w:w="0" w:type="dxa"/>
            </w:tcMar>
          </w:tcPr>
          <w:p>
            <w:pPr>
              <w:spacing w:before="160"/>
              <w:ind w:left="7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3</w:t>
            </w:r>
          </w:p>
        </w:tc>
        <w:tc>
          <w:tcPr>
            <w:tcW w:w="3780" w:type="dxa"/>
            <w:tcMar>
              <w:top w:w="0" w:type="dxa"/>
              <w:left w:w="0" w:type="dxa"/>
              <w:bottom w:w="0" w:type="dxa"/>
              <w:right w:w="0" w:type="dxa"/>
            </w:tcMar>
          </w:tcPr>
          <w:p>
            <w:pPr>
              <w:spacing w:before="100"/>
              <w:ind w:left="100"/>
            </w:pPr>
            <w:r>
              <w:rPr>
                <w:rFonts w:hint="eastAsia" w:ascii="宋体" w:hAnsi="宋体" w:eastAsia="宋体" w:cs="宋体"/>
                <w:sz w:val="21"/>
              </w:rPr>
              <w:t>九州证券股份有限公司</w:t>
            </w:r>
          </w:p>
        </w:tc>
        <w:tc>
          <w:tcPr>
            <w:tcW w:w="2420" w:type="dxa"/>
            <w:tcMar>
              <w:top w:w="0" w:type="dxa"/>
              <w:left w:w="0" w:type="dxa"/>
              <w:bottom w:w="0" w:type="dxa"/>
              <w:right w:w="0" w:type="dxa"/>
            </w:tcMar>
          </w:tcPr>
          <w:p>
            <w:pPr>
              <w:spacing w:before="160"/>
              <w:ind w:left="1340"/>
            </w:pPr>
            <w:r>
              <w:rPr>
                <w:rFonts w:hint="eastAsia" w:ascii="Times New Roman" w:hAnsi="Times New Roman" w:eastAsia="Times New Roman" w:cs="Times New Roman"/>
                <w:sz w:val="21"/>
              </w:rPr>
              <w:t>870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60" w:type="dxa"/>
            <w:tcMar>
              <w:top w:w="0" w:type="dxa"/>
              <w:left w:w="0" w:type="dxa"/>
              <w:bottom w:w="0" w:type="dxa"/>
              <w:right w:w="0" w:type="dxa"/>
            </w:tcMar>
          </w:tcPr>
          <w:p>
            <w:pPr>
              <w:spacing w:before="160"/>
              <w:ind w:left="7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r>
      <w:tr>
        <w:trPr>
          <w:trHeight w:val="48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4</w:t>
            </w:r>
          </w:p>
        </w:tc>
        <w:tc>
          <w:tcPr>
            <w:tcW w:w="3780" w:type="dxa"/>
            <w:tcMar>
              <w:top w:w="0" w:type="dxa"/>
              <w:left w:w="0" w:type="dxa"/>
              <w:bottom w:w="0" w:type="dxa"/>
              <w:right w:w="0" w:type="dxa"/>
            </w:tcMar>
          </w:tcPr>
          <w:p>
            <w:pPr>
              <w:spacing w:before="120"/>
              <w:ind w:left="100"/>
            </w:pPr>
            <w:r>
              <w:rPr>
                <w:rFonts w:hint="eastAsia" w:ascii="宋体" w:hAnsi="宋体" w:eastAsia="宋体" w:cs="宋体"/>
                <w:sz w:val="21"/>
              </w:rPr>
              <w:t>中天证券股份有限公司</w:t>
            </w:r>
          </w:p>
        </w:tc>
        <w:tc>
          <w:tcPr>
            <w:tcW w:w="2420" w:type="dxa"/>
            <w:tcMar>
              <w:top w:w="0" w:type="dxa"/>
              <w:left w:w="0" w:type="dxa"/>
              <w:bottom w:w="0" w:type="dxa"/>
              <w:right w:w="0" w:type="dxa"/>
            </w:tcMar>
          </w:tcPr>
          <w:p>
            <w:pPr>
              <w:spacing w:before="180"/>
              <w:ind w:left="1340"/>
            </w:pPr>
            <w:r>
              <w:rPr>
                <w:rFonts w:hint="eastAsia" w:ascii="Times New Roman" w:hAnsi="Times New Roman" w:eastAsia="Times New Roman" w:cs="Times New Roman"/>
                <w:sz w:val="21"/>
              </w:rPr>
              <w:t>850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60" w:type="dxa"/>
            <w:tcMar>
              <w:top w:w="0" w:type="dxa"/>
              <w:left w:w="0" w:type="dxa"/>
              <w:bottom w:w="0" w:type="dxa"/>
              <w:right w:w="0" w:type="dxa"/>
            </w:tcMar>
          </w:tcPr>
          <w:p>
            <w:pPr>
              <w:spacing w:before="180"/>
              <w:ind w:left="7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r>
      <w:tr>
        <w:trPr>
          <w:trHeight w:val="48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5</w:t>
            </w:r>
          </w:p>
        </w:tc>
        <w:tc>
          <w:tcPr>
            <w:tcW w:w="3780" w:type="dxa"/>
            <w:tcMar>
              <w:top w:w="0" w:type="dxa"/>
              <w:left w:w="0" w:type="dxa"/>
              <w:bottom w:w="0" w:type="dxa"/>
              <w:right w:w="0" w:type="dxa"/>
            </w:tcMar>
          </w:tcPr>
          <w:p>
            <w:pPr>
              <w:spacing w:before="100"/>
              <w:ind w:left="100"/>
            </w:pPr>
            <w:r>
              <w:rPr>
                <w:rFonts w:hint="eastAsia" w:ascii="宋体" w:hAnsi="宋体" w:eastAsia="宋体" w:cs="宋体"/>
                <w:sz w:val="21"/>
              </w:rPr>
              <w:t>世纪证券有限责任公司</w:t>
            </w:r>
          </w:p>
        </w:tc>
        <w:tc>
          <w:tcPr>
            <w:tcW w:w="2420" w:type="dxa"/>
            <w:tcMar>
              <w:top w:w="0" w:type="dxa"/>
              <w:left w:w="0" w:type="dxa"/>
              <w:bottom w:w="0" w:type="dxa"/>
              <w:right w:w="0" w:type="dxa"/>
            </w:tcMar>
          </w:tcPr>
          <w:p>
            <w:pPr>
              <w:spacing w:before="140"/>
              <w:ind w:left="1340"/>
            </w:pPr>
            <w:r>
              <w:rPr>
                <w:rFonts w:hint="eastAsia" w:ascii="Times New Roman" w:hAnsi="Times New Roman" w:eastAsia="Times New Roman" w:cs="Times New Roman"/>
                <w:sz w:val="21"/>
              </w:rPr>
              <w:t>829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60" w:type="dxa"/>
            <w:tcMar>
              <w:top w:w="0" w:type="dxa"/>
              <w:left w:w="0" w:type="dxa"/>
              <w:bottom w:w="0" w:type="dxa"/>
              <w:right w:w="0" w:type="dxa"/>
            </w:tcMar>
          </w:tcPr>
          <w:p>
            <w:pPr>
              <w:spacing w:before="140"/>
              <w:ind w:left="7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r>
              <w:rPr>
                <w:rFonts w:hint="eastAsia" w:ascii="Times New Roman" w:hAnsi="Times New Roman" w:eastAsia="Times New Roman" w:cs="Times New Roman"/>
                <w:sz w:val="20"/>
              </w:rPr>
              <w:t>%</w:t>
            </w:r>
          </w:p>
        </w:tc>
      </w:tr>
      <w:tr>
        <w:trPr>
          <w:trHeight w:val="460" w:hRule="exact"/>
        </w:trPr>
        <w:tc>
          <w:tcPr>
            <w:tcW w:w="5480" w:type="dxa"/>
            <w:gridSpan w:val="3"/>
            <w:tcMar>
              <w:top w:w="0" w:type="dxa"/>
              <w:left w:w="0" w:type="dxa"/>
              <w:bottom w:w="0" w:type="dxa"/>
              <w:right w:w="0" w:type="dxa"/>
            </w:tcMar>
          </w:tcPr>
          <w:p>
            <w:pPr>
              <w:spacing w:before="120"/>
              <w:ind w:left="2500"/>
            </w:pPr>
            <w:r>
              <w:rPr>
                <w:rFonts w:hint="eastAsia" w:ascii="宋体" w:hAnsi="宋体" w:eastAsia="宋体" w:cs="宋体"/>
                <w:b/>
                <w:sz w:val="21"/>
              </w:rPr>
              <w:t>合计</w:t>
            </w:r>
          </w:p>
        </w:tc>
        <w:tc>
          <w:tcPr>
            <w:tcW w:w="2420" w:type="dxa"/>
            <w:tcMar>
              <w:top w:w="0" w:type="dxa"/>
              <w:left w:w="0" w:type="dxa"/>
              <w:bottom w:w="0" w:type="dxa"/>
              <w:right w:w="0" w:type="dxa"/>
            </w:tcMar>
          </w:tcPr>
          <w:p>
            <w:pPr>
              <w:spacing w:before="160"/>
              <w:ind w:left="1180"/>
            </w:pPr>
            <w:r>
              <w:rPr>
                <w:rFonts w:hint="eastAsia" w:ascii="Times New Roman Bold" w:hAnsi="Times New Roman Bold" w:eastAsia="Times New Roman Bold" w:cs="Times New Roman Bold"/>
                <w:b/>
                <w:sz w:val="21"/>
              </w:rPr>
              <w:t>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w:t>
            </w:r>
          </w:p>
        </w:tc>
        <w:tc>
          <w:tcPr>
            <w:tcW w:w="1360" w:type="dxa"/>
            <w:tcMar>
              <w:top w:w="0" w:type="dxa"/>
              <w:left w:w="0" w:type="dxa"/>
              <w:bottom w:w="0" w:type="dxa"/>
              <w:right w:w="0" w:type="dxa"/>
            </w:tcMar>
          </w:tcPr>
          <w:p>
            <w:pPr>
              <w:spacing w:before="160"/>
              <w:ind w:left="560"/>
            </w:pPr>
            <w:r>
              <w:rPr>
                <w:rFonts w:hint="eastAsia" w:ascii="Times New Roman Bold" w:hAnsi="Times New Roman Bold" w:eastAsia="Times New Roman Bold" w:cs="Times New Roman Bold"/>
                <w:b/>
                <w:sz w:val="21"/>
              </w:rPr>
              <w:t>24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88</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1-1-258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020"/>
        <w:gridCol w:w="680"/>
        <w:gridCol w:w="3780"/>
        <w:gridCol w:w="2420"/>
        <w:gridCol w:w="1360"/>
      </w:tblGrid>
      <w:tr>
        <w:trPr>
          <w:trHeight w:val="480" w:hRule="exact"/>
        </w:trPr>
        <w:tc>
          <w:tcPr>
            <w:tcW w:w="1020" w:type="dxa"/>
            <w:tcMar>
              <w:top w:w="0" w:type="dxa"/>
              <w:left w:w="0" w:type="dxa"/>
              <w:bottom w:w="0" w:type="dxa"/>
              <w:right w:w="0" w:type="dxa"/>
            </w:tcMar>
          </w:tcPr>
          <w:p>
            <w:pPr>
              <w:spacing w:before="100"/>
              <w:ind w:left="280"/>
            </w:pPr>
            <w:r>
              <w:rPr>
                <w:rFonts w:hint="eastAsia" w:ascii="宋体" w:hAnsi="宋体" w:eastAsia="宋体" w:cs="宋体"/>
                <w:b/>
                <w:sz w:val="21"/>
              </w:rPr>
              <w:t>时点</w:t>
            </w:r>
          </w:p>
        </w:tc>
        <w:tc>
          <w:tcPr>
            <w:tcW w:w="680" w:type="dxa"/>
            <w:tcMar>
              <w:top w:w="0" w:type="dxa"/>
              <w:left w:w="0" w:type="dxa"/>
              <w:bottom w:w="0" w:type="dxa"/>
              <w:right w:w="0" w:type="dxa"/>
            </w:tcMar>
          </w:tcPr>
          <w:p>
            <w:pPr>
              <w:spacing w:before="100"/>
              <w:ind w:left="120"/>
            </w:pPr>
            <w:r>
              <w:rPr>
                <w:rFonts w:hint="eastAsia" w:ascii="宋体" w:hAnsi="宋体" w:eastAsia="宋体" w:cs="宋体"/>
                <w:b/>
                <w:sz w:val="21"/>
              </w:rPr>
              <w:t>序号</w:t>
            </w:r>
          </w:p>
        </w:tc>
        <w:tc>
          <w:tcPr>
            <w:tcW w:w="3780" w:type="dxa"/>
            <w:tcMar>
              <w:top w:w="0" w:type="dxa"/>
              <w:left w:w="0" w:type="dxa"/>
              <w:bottom w:w="0" w:type="dxa"/>
              <w:right w:w="0" w:type="dxa"/>
            </w:tcMar>
          </w:tcPr>
          <w:p>
            <w:pPr>
              <w:spacing w:before="100"/>
              <w:ind w:left="1460"/>
            </w:pPr>
            <w:r>
              <w:rPr>
                <w:rFonts w:hint="eastAsia" w:ascii="宋体" w:hAnsi="宋体" w:eastAsia="宋体" w:cs="宋体"/>
                <w:b/>
                <w:sz w:val="21"/>
              </w:rPr>
              <w:t>客户名称</w:t>
            </w:r>
          </w:p>
        </w:tc>
        <w:tc>
          <w:tcPr>
            <w:tcW w:w="2420" w:type="dxa"/>
            <w:tcMar>
              <w:top w:w="0" w:type="dxa"/>
              <w:left w:w="0" w:type="dxa"/>
              <w:bottom w:w="0" w:type="dxa"/>
              <w:right w:w="0" w:type="dxa"/>
            </w:tcMar>
          </w:tcPr>
          <w:p>
            <w:pPr>
              <w:spacing w:before="100"/>
              <w:ind w:left="560"/>
            </w:pPr>
            <w:r>
              <w:rPr>
                <w:rFonts w:hint="eastAsia" w:ascii="宋体" w:hAnsi="宋体" w:eastAsia="宋体" w:cs="宋体"/>
                <w:b/>
                <w:sz w:val="21"/>
              </w:rPr>
              <w:t>应收账款余额</w:t>
            </w:r>
          </w:p>
        </w:tc>
        <w:tc>
          <w:tcPr>
            <w:tcW w:w="1360" w:type="dxa"/>
            <w:tcMar>
              <w:top w:w="0" w:type="dxa"/>
              <w:left w:w="0" w:type="dxa"/>
              <w:bottom w:w="0" w:type="dxa"/>
              <w:right w:w="0" w:type="dxa"/>
            </w:tcMar>
          </w:tcPr>
          <w:p>
            <w:pPr>
              <w:spacing w:before="100"/>
              <w:ind w:left="460"/>
            </w:pPr>
            <w:r>
              <w:rPr>
                <w:rFonts w:hint="eastAsia" w:ascii="宋体" w:hAnsi="宋体" w:eastAsia="宋体" w:cs="宋体"/>
                <w:b/>
                <w:sz w:val="21"/>
              </w:rPr>
              <w:t>比例</w:t>
            </w:r>
          </w:p>
        </w:tc>
      </w:tr>
      <w:tr>
        <w:trPr>
          <w:trHeight w:val="480" w:hRule="exact"/>
        </w:trPr>
        <w:tc>
          <w:tcPr>
            <w:tcW w:w="1020" w:type="dxa"/>
            <w:vMerge w:val="restart"/>
            <w:tcMar>
              <w:top w:w="0" w:type="dxa"/>
              <w:left w:w="0" w:type="dxa"/>
              <w:bottom w:w="0" w:type="dxa"/>
              <w:right w:w="0" w:type="dxa"/>
            </w:tcMar>
          </w:tcPr>
          <w:p>
            <w:pPr>
              <w:spacing w:before="900"/>
              <w:ind w:left="160"/>
            </w:pPr>
            <w:r>
              <w:rPr>
                <w:rFonts w:hint="eastAsia" w:ascii="Times New Roman" w:hAnsi="Times New Roman" w:eastAsia="Times New Roman" w:cs="Times New Roman"/>
                <w:sz w:val="21"/>
              </w:rPr>
              <w:t>2015</w:t>
            </w:r>
            <w:r>
              <w:rPr>
                <w:rFonts w:hint="eastAsia" w:ascii="宋体" w:hAnsi="宋体" w:eastAsia="宋体" w:cs="宋体"/>
                <w:sz w:val="21"/>
              </w:rPr>
              <w:t xml:space="preserve"> 年</w:t>
            </w:r>
          </w:p>
          <w:p>
            <w:pPr>
              <w:spacing w:before="100"/>
              <w:ind w:left="380"/>
            </w:pPr>
            <w:r>
              <w:rPr>
                <w:rFonts w:hint="eastAsia" w:ascii="宋体" w:hAnsi="宋体" w:eastAsia="宋体" w:cs="宋体"/>
                <w:sz w:val="21"/>
              </w:rPr>
              <w:t>末</w:t>
            </w: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w:t>
            </w:r>
          </w:p>
        </w:tc>
        <w:tc>
          <w:tcPr>
            <w:tcW w:w="3780" w:type="dxa"/>
            <w:tcMar>
              <w:top w:w="0" w:type="dxa"/>
              <w:left w:w="0" w:type="dxa"/>
              <w:bottom w:w="0" w:type="dxa"/>
              <w:right w:w="0" w:type="dxa"/>
            </w:tcMar>
          </w:tcPr>
          <w:p>
            <w:pPr>
              <w:spacing w:before="120"/>
              <w:ind w:left="100"/>
            </w:pPr>
            <w:r>
              <w:rPr>
                <w:rFonts w:hint="eastAsia" w:ascii="宋体" w:hAnsi="宋体" w:eastAsia="宋体" w:cs="宋体"/>
                <w:sz w:val="21"/>
              </w:rPr>
              <w:t>东吴证券股份有限公司</w:t>
            </w:r>
          </w:p>
        </w:tc>
        <w:tc>
          <w:tcPr>
            <w:tcW w:w="2420" w:type="dxa"/>
            <w:tcMar>
              <w:top w:w="0" w:type="dxa"/>
              <w:left w:w="0" w:type="dxa"/>
              <w:bottom w:w="0" w:type="dxa"/>
              <w:right w:w="0" w:type="dxa"/>
            </w:tcMar>
          </w:tcPr>
          <w:p>
            <w:pPr>
              <w:spacing w:before="160"/>
              <w:ind w:left="11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360" w:type="dxa"/>
            <w:tcMar>
              <w:top w:w="0" w:type="dxa"/>
              <w:left w:w="0" w:type="dxa"/>
              <w:bottom w:w="0" w:type="dxa"/>
              <w:right w:w="0" w:type="dxa"/>
            </w:tcMar>
          </w:tcPr>
          <w:p>
            <w:pPr>
              <w:spacing w:before="160"/>
              <w:ind w:left="7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r>
      <w:tr>
        <w:trPr>
          <w:trHeight w:val="46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w:t>
            </w:r>
          </w:p>
        </w:tc>
        <w:tc>
          <w:tcPr>
            <w:tcW w:w="3780" w:type="dxa"/>
            <w:tcMar>
              <w:top w:w="0" w:type="dxa"/>
              <w:left w:w="0" w:type="dxa"/>
              <w:bottom w:w="0" w:type="dxa"/>
              <w:right w:w="0" w:type="dxa"/>
            </w:tcMar>
          </w:tcPr>
          <w:p>
            <w:pPr>
              <w:spacing w:before="100"/>
              <w:ind w:left="100"/>
            </w:pPr>
            <w:r>
              <w:rPr>
                <w:rFonts w:hint="eastAsia" w:ascii="宋体" w:hAnsi="宋体" w:eastAsia="宋体" w:cs="宋体"/>
                <w:sz w:val="21"/>
              </w:rPr>
              <w:t>中石化森美</w:t>
            </w:r>
            <w:r>
              <w:rPr>
                <w:rFonts w:hint="eastAsia" w:ascii="宋体" w:hAnsi="宋体" w:eastAsia="宋体" w:cs="宋体"/>
                <w:sz w:val="20"/>
              </w:rPr>
              <w:t>（</w:t>
            </w:r>
            <w:r>
              <w:rPr>
                <w:rFonts w:hint="eastAsia" w:ascii="宋体" w:hAnsi="宋体" w:eastAsia="宋体" w:cs="宋体"/>
                <w:sz w:val="21"/>
              </w:rPr>
              <w:t>福建</w:t>
            </w:r>
            <w:r>
              <w:rPr>
                <w:rFonts w:hint="eastAsia" w:ascii="宋体" w:hAnsi="宋体" w:eastAsia="宋体" w:cs="宋体"/>
                <w:sz w:val="20"/>
              </w:rPr>
              <w:t>）</w:t>
            </w:r>
            <w:r>
              <w:rPr>
                <w:rFonts w:hint="eastAsia" w:ascii="宋体" w:hAnsi="宋体" w:eastAsia="宋体" w:cs="宋体"/>
                <w:sz w:val="21"/>
              </w:rPr>
              <w:t>石油有限公司</w:t>
            </w:r>
          </w:p>
        </w:tc>
        <w:tc>
          <w:tcPr>
            <w:tcW w:w="2420" w:type="dxa"/>
            <w:tcMar>
              <w:top w:w="0" w:type="dxa"/>
              <w:left w:w="0" w:type="dxa"/>
              <w:bottom w:w="0" w:type="dxa"/>
              <w:right w:w="0" w:type="dxa"/>
            </w:tcMar>
          </w:tcPr>
          <w:p>
            <w:pPr>
              <w:spacing w:before="160"/>
              <w:ind w:left="11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1360" w:type="dxa"/>
            <w:tcMar>
              <w:top w:w="0" w:type="dxa"/>
              <w:left w:w="0" w:type="dxa"/>
              <w:bottom w:w="0" w:type="dxa"/>
              <w:right w:w="0" w:type="dxa"/>
            </w:tcMar>
          </w:tcPr>
          <w:p>
            <w:pPr>
              <w:spacing w:before="160"/>
              <w:ind w:left="7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p>
        </w:tc>
      </w:tr>
      <w:tr>
        <w:trPr>
          <w:trHeight w:val="48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3</w:t>
            </w:r>
          </w:p>
        </w:tc>
        <w:tc>
          <w:tcPr>
            <w:tcW w:w="3780" w:type="dxa"/>
            <w:tcMar>
              <w:top w:w="0" w:type="dxa"/>
              <w:left w:w="0" w:type="dxa"/>
              <w:bottom w:w="0" w:type="dxa"/>
              <w:right w:w="0" w:type="dxa"/>
            </w:tcMar>
          </w:tcPr>
          <w:p>
            <w:pPr>
              <w:spacing w:before="120"/>
              <w:ind w:left="100"/>
            </w:pPr>
            <w:r>
              <w:rPr>
                <w:rFonts w:hint="eastAsia" w:ascii="宋体" w:hAnsi="宋体" w:eastAsia="宋体" w:cs="宋体"/>
                <w:sz w:val="21"/>
              </w:rPr>
              <w:t>华福证券有限责任公司</w:t>
            </w:r>
          </w:p>
        </w:tc>
        <w:tc>
          <w:tcPr>
            <w:tcW w:w="2420" w:type="dxa"/>
            <w:tcMar>
              <w:top w:w="0" w:type="dxa"/>
              <w:left w:w="0" w:type="dxa"/>
              <w:bottom w:w="0" w:type="dxa"/>
              <w:right w:w="0" w:type="dxa"/>
            </w:tcMar>
          </w:tcPr>
          <w:p>
            <w:pPr>
              <w:spacing w:before="180"/>
              <w:ind w:left="11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c>
          <w:tcPr>
            <w:tcW w:w="1360" w:type="dxa"/>
            <w:tcMar>
              <w:top w:w="0" w:type="dxa"/>
              <w:left w:w="0" w:type="dxa"/>
              <w:bottom w:w="0" w:type="dxa"/>
              <w:right w:w="0" w:type="dxa"/>
            </w:tcMar>
          </w:tcPr>
          <w:p>
            <w:pPr>
              <w:spacing w:before="180"/>
              <w:ind w:left="7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p>
        </w:tc>
      </w:tr>
      <w:tr>
        <w:trPr>
          <w:trHeight w:val="48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4</w:t>
            </w:r>
          </w:p>
        </w:tc>
        <w:tc>
          <w:tcPr>
            <w:tcW w:w="3780" w:type="dxa"/>
            <w:tcMar>
              <w:top w:w="0" w:type="dxa"/>
              <w:left w:w="0" w:type="dxa"/>
              <w:bottom w:w="0" w:type="dxa"/>
              <w:right w:w="0" w:type="dxa"/>
            </w:tcMar>
          </w:tcPr>
          <w:p>
            <w:pPr>
              <w:spacing w:before="120"/>
              <w:ind w:left="100"/>
            </w:pPr>
            <w:r>
              <w:rPr>
                <w:rFonts w:hint="eastAsia" w:ascii="宋体" w:hAnsi="宋体" w:eastAsia="宋体" w:cs="宋体"/>
                <w:sz w:val="21"/>
              </w:rPr>
              <w:t>英大证券有限责任公司</w:t>
            </w:r>
          </w:p>
        </w:tc>
        <w:tc>
          <w:tcPr>
            <w:tcW w:w="2420" w:type="dxa"/>
            <w:tcMar>
              <w:top w:w="0" w:type="dxa"/>
              <w:left w:w="0" w:type="dxa"/>
              <w:bottom w:w="0" w:type="dxa"/>
              <w:right w:w="0" w:type="dxa"/>
            </w:tcMar>
          </w:tcPr>
          <w:p>
            <w:pPr>
              <w:spacing w:before="140"/>
              <w:ind w:left="1360"/>
            </w:pPr>
            <w:r>
              <w:rPr>
                <w:rFonts w:hint="eastAsia" w:ascii="Times New Roman" w:hAnsi="Times New Roman" w:eastAsia="Times New Roman" w:cs="Times New Roman"/>
                <w:sz w:val="21"/>
              </w:rPr>
              <w:t>822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360" w:type="dxa"/>
            <w:tcMar>
              <w:top w:w="0" w:type="dxa"/>
              <w:left w:w="0" w:type="dxa"/>
              <w:bottom w:w="0" w:type="dxa"/>
              <w:right w:w="0" w:type="dxa"/>
            </w:tcMar>
          </w:tcPr>
          <w:p>
            <w:pPr>
              <w:spacing w:before="140"/>
              <w:ind w:left="7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r>
              <w:rPr>
                <w:rFonts w:hint="eastAsia" w:ascii="Times New Roman" w:hAnsi="Times New Roman" w:eastAsia="Times New Roman" w:cs="Times New Roman"/>
                <w:sz w:val="20"/>
              </w:rPr>
              <w:t>%</w:t>
            </w:r>
          </w:p>
        </w:tc>
      </w:tr>
      <w:tr>
        <w:trPr>
          <w:trHeight w:val="48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5</w:t>
            </w:r>
          </w:p>
        </w:tc>
        <w:tc>
          <w:tcPr>
            <w:tcW w:w="3780" w:type="dxa"/>
            <w:tcMar>
              <w:top w:w="0" w:type="dxa"/>
              <w:left w:w="0" w:type="dxa"/>
              <w:bottom w:w="0" w:type="dxa"/>
              <w:right w:w="0" w:type="dxa"/>
            </w:tcMar>
          </w:tcPr>
          <w:p>
            <w:pPr>
              <w:spacing w:before="120"/>
              <w:ind w:left="100"/>
            </w:pPr>
            <w:r>
              <w:rPr>
                <w:rFonts w:hint="eastAsia" w:ascii="宋体" w:hAnsi="宋体" w:eastAsia="宋体" w:cs="宋体"/>
                <w:sz w:val="21"/>
              </w:rPr>
              <w:t>西南证券股份有限公司</w:t>
            </w:r>
          </w:p>
        </w:tc>
        <w:tc>
          <w:tcPr>
            <w:tcW w:w="2420" w:type="dxa"/>
            <w:tcMar>
              <w:top w:w="0" w:type="dxa"/>
              <w:left w:w="0" w:type="dxa"/>
              <w:bottom w:w="0" w:type="dxa"/>
              <w:right w:w="0" w:type="dxa"/>
            </w:tcMar>
          </w:tcPr>
          <w:p>
            <w:pPr>
              <w:spacing w:before="160"/>
              <w:ind w:left="1340"/>
            </w:pPr>
            <w:r>
              <w:rPr>
                <w:rFonts w:hint="eastAsia" w:ascii="Times New Roman" w:hAnsi="Times New Roman" w:eastAsia="Times New Roman" w:cs="Times New Roman"/>
                <w:sz w:val="21"/>
              </w:rPr>
              <w:t>812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60" w:type="dxa"/>
            <w:tcMar>
              <w:top w:w="0" w:type="dxa"/>
              <w:left w:w="0" w:type="dxa"/>
              <w:bottom w:w="0" w:type="dxa"/>
              <w:right w:w="0" w:type="dxa"/>
            </w:tcMar>
          </w:tcPr>
          <w:p>
            <w:pPr>
              <w:spacing w:before="140"/>
              <w:ind w:left="7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r>
              <w:rPr>
                <w:rFonts w:hint="eastAsia" w:ascii="Times New Roman" w:hAnsi="Times New Roman" w:eastAsia="Times New Roman" w:cs="Times New Roman"/>
                <w:sz w:val="20"/>
              </w:rPr>
              <w:t>%</w:t>
            </w:r>
          </w:p>
        </w:tc>
      </w:tr>
      <w:tr>
        <w:trPr>
          <w:trHeight w:val="460" w:hRule="exact"/>
        </w:trPr>
        <w:tc>
          <w:tcPr>
            <w:tcW w:w="5480" w:type="dxa"/>
            <w:gridSpan w:val="3"/>
            <w:tcMar>
              <w:top w:w="0" w:type="dxa"/>
              <w:left w:w="0" w:type="dxa"/>
              <w:bottom w:w="0" w:type="dxa"/>
              <w:right w:w="0" w:type="dxa"/>
            </w:tcMar>
          </w:tcPr>
          <w:p>
            <w:pPr>
              <w:spacing w:before="100"/>
              <w:ind w:left="2500"/>
            </w:pPr>
            <w:r>
              <w:rPr>
                <w:rFonts w:hint="eastAsia" w:ascii="宋体" w:hAnsi="宋体" w:eastAsia="宋体" w:cs="宋体"/>
                <w:b/>
                <w:sz w:val="21"/>
              </w:rPr>
              <w:t>合计</w:t>
            </w:r>
          </w:p>
        </w:tc>
        <w:tc>
          <w:tcPr>
            <w:tcW w:w="2420" w:type="dxa"/>
            <w:tcMar>
              <w:top w:w="0" w:type="dxa"/>
              <w:left w:w="0" w:type="dxa"/>
              <w:bottom w:w="0" w:type="dxa"/>
              <w:right w:w="0" w:type="dxa"/>
            </w:tcMar>
          </w:tcPr>
          <w:p>
            <w:pPr>
              <w:spacing w:before="160"/>
              <w:ind w:left="1180"/>
            </w:pPr>
            <w:r>
              <w:rPr>
                <w:rFonts w:hint="eastAsia" w:ascii="Times New Roman Bold" w:hAnsi="Times New Roman Bold" w:eastAsia="Times New Roman Bold" w:cs="Times New Roman Bold"/>
                <w:b/>
                <w:sz w:val="21"/>
              </w:rPr>
              <w:t>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308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w:t>
            </w:r>
          </w:p>
        </w:tc>
        <w:tc>
          <w:tcPr>
            <w:tcW w:w="1360" w:type="dxa"/>
            <w:tcMar>
              <w:top w:w="0" w:type="dxa"/>
              <w:left w:w="0" w:type="dxa"/>
              <w:bottom w:w="0" w:type="dxa"/>
              <w:right w:w="0" w:type="dxa"/>
            </w:tcMar>
          </w:tcPr>
          <w:p>
            <w:pPr>
              <w:spacing w:before="160"/>
              <w:ind w:left="560"/>
            </w:pPr>
            <w:r>
              <w:rPr>
                <w:rFonts w:hint="eastAsia" w:ascii="Times New Roman Bold" w:hAnsi="Times New Roman Bold" w:eastAsia="Times New Roman Bold" w:cs="Times New Roman Bold"/>
                <w:b/>
                <w:sz w:val="21"/>
              </w:rPr>
              <w:t>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w:t>
            </w:r>
            <w:r>
              <w:rPr>
                <w:rFonts w:hint="eastAsia" w:ascii="Times New Roman Bold" w:hAnsi="Times New Roman Bold" w:eastAsia="Times New Roman Bold" w:cs="Times New Roman Bold"/>
                <w:b/>
                <w:sz w:val="20"/>
              </w:rPr>
              <w:t>%</w:t>
            </w:r>
          </w:p>
        </w:tc>
      </w:tr>
      <w:tr>
        <w:trPr>
          <w:trHeight w:val="480" w:hRule="exact"/>
        </w:trPr>
        <w:tc>
          <w:tcPr>
            <w:tcW w:w="1020" w:type="dxa"/>
            <w:vMerge w:val="restart"/>
            <w:tcMar>
              <w:top w:w="0" w:type="dxa"/>
              <w:left w:w="0" w:type="dxa"/>
              <w:bottom w:w="0" w:type="dxa"/>
              <w:right w:w="0" w:type="dxa"/>
            </w:tcMar>
          </w:tcPr>
          <w:p>
            <w:pPr>
              <w:spacing w:before="900"/>
              <w:ind w:left="160"/>
            </w:pPr>
            <w:r>
              <w:rPr>
                <w:rFonts w:hint="eastAsia" w:ascii="Times New Roman" w:hAnsi="Times New Roman" w:eastAsia="Times New Roman" w:cs="Times New Roman"/>
                <w:sz w:val="21"/>
              </w:rPr>
              <w:t>2014</w:t>
            </w:r>
            <w:r>
              <w:rPr>
                <w:rFonts w:hint="eastAsia" w:ascii="宋体" w:hAnsi="宋体" w:eastAsia="宋体" w:cs="宋体"/>
                <w:sz w:val="21"/>
              </w:rPr>
              <w:t xml:space="preserve"> 年</w:t>
            </w:r>
          </w:p>
          <w:p>
            <w:pPr>
              <w:spacing w:before="100"/>
              <w:ind w:left="380"/>
            </w:pPr>
            <w:r>
              <w:rPr>
                <w:rFonts w:hint="eastAsia" w:ascii="宋体" w:hAnsi="宋体" w:eastAsia="宋体" w:cs="宋体"/>
                <w:sz w:val="21"/>
              </w:rPr>
              <w:t>末</w:t>
            </w:r>
          </w:p>
        </w:tc>
        <w:tc>
          <w:tcPr>
            <w:tcW w:w="68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1</w:t>
            </w:r>
          </w:p>
        </w:tc>
        <w:tc>
          <w:tcPr>
            <w:tcW w:w="3780" w:type="dxa"/>
            <w:tcMar>
              <w:top w:w="0" w:type="dxa"/>
              <w:left w:w="0" w:type="dxa"/>
              <w:bottom w:w="0" w:type="dxa"/>
              <w:right w:w="0" w:type="dxa"/>
            </w:tcMar>
          </w:tcPr>
          <w:p>
            <w:pPr>
              <w:spacing w:before="120"/>
              <w:ind w:left="100"/>
            </w:pPr>
            <w:r>
              <w:rPr>
                <w:rFonts w:hint="eastAsia" w:ascii="宋体" w:hAnsi="宋体" w:eastAsia="宋体" w:cs="宋体"/>
                <w:sz w:val="21"/>
              </w:rPr>
              <w:t>大连飞创信息技术有限公司</w:t>
            </w:r>
          </w:p>
        </w:tc>
        <w:tc>
          <w:tcPr>
            <w:tcW w:w="2420" w:type="dxa"/>
            <w:tcMar>
              <w:top w:w="0" w:type="dxa"/>
              <w:left w:w="0" w:type="dxa"/>
              <w:bottom w:w="0" w:type="dxa"/>
              <w:right w:w="0" w:type="dxa"/>
            </w:tcMar>
          </w:tcPr>
          <w:p>
            <w:pPr>
              <w:spacing w:before="180"/>
              <w:ind w:left="11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c>
          <w:tcPr>
            <w:tcW w:w="136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r>
      <w:tr>
        <w:trPr>
          <w:trHeight w:val="48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w:t>
            </w:r>
          </w:p>
        </w:tc>
        <w:tc>
          <w:tcPr>
            <w:tcW w:w="3780" w:type="dxa"/>
            <w:tcMar>
              <w:top w:w="0" w:type="dxa"/>
              <w:left w:w="0" w:type="dxa"/>
              <w:bottom w:w="0" w:type="dxa"/>
              <w:right w:w="0" w:type="dxa"/>
            </w:tcMar>
          </w:tcPr>
          <w:p>
            <w:pPr>
              <w:spacing w:before="100"/>
              <w:ind w:left="100"/>
            </w:pPr>
            <w:r>
              <w:rPr>
                <w:rFonts w:hint="eastAsia" w:ascii="宋体" w:hAnsi="宋体" w:eastAsia="宋体" w:cs="宋体"/>
                <w:sz w:val="21"/>
              </w:rPr>
              <w:t>银河证券股份有限公司</w:t>
            </w:r>
          </w:p>
        </w:tc>
        <w:tc>
          <w:tcPr>
            <w:tcW w:w="2420" w:type="dxa"/>
            <w:tcMar>
              <w:top w:w="0" w:type="dxa"/>
              <w:left w:w="0" w:type="dxa"/>
              <w:bottom w:w="0" w:type="dxa"/>
              <w:right w:w="0" w:type="dxa"/>
            </w:tcMar>
          </w:tcPr>
          <w:p>
            <w:pPr>
              <w:spacing w:before="140"/>
              <w:ind w:left="11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360" w:type="dxa"/>
            <w:tcMar>
              <w:top w:w="0" w:type="dxa"/>
              <w:left w:w="0" w:type="dxa"/>
              <w:bottom w:w="0" w:type="dxa"/>
              <w:right w:w="0" w:type="dxa"/>
            </w:tcMar>
          </w:tcPr>
          <w:p>
            <w:pPr>
              <w:spacing w:before="140"/>
              <w:ind w:left="7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p>
        </w:tc>
      </w:tr>
      <w:tr>
        <w:trPr>
          <w:trHeight w:val="48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3</w:t>
            </w:r>
          </w:p>
        </w:tc>
        <w:tc>
          <w:tcPr>
            <w:tcW w:w="3780" w:type="dxa"/>
            <w:tcMar>
              <w:top w:w="0" w:type="dxa"/>
              <w:left w:w="0" w:type="dxa"/>
              <w:bottom w:w="0" w:type="dxa"/>
              <w:right w:w="0" w:type="dxa"/>
            </w:tcMar>
          </w:tcPr>
          <w:p>
            <w:pPr>
              <w:spacing w:before="120"/>
              <w:ind w:left="100"/>
            </w:pPr>
            <w:r>
              <w:rPr>
                <w:rFonts w:hint="eastAsia" w:ascii="宋体" w:hAnsi="宋体" w:eastAsia="宋体" w:cs="宋体"/>
                <w:sz w:val="21"/>
              </w:rPr>
              <w:t>东海证券股份有限公司</w:t>
            </w:r>
          </w:p>
        </w:tc>
        <w:tc>
          <w:tcPr>
            <w:tcW w:w="2420" w:type="dxa"/>
            <w:tcMar>
              <w:top w:w="0" w:type="dxa"/>
              <w:left w:w="0" w:type="dxa"/>
              <w:bottom w:w="0" w:type="dxa"/>
              <w:right w:w="0" w:type="dxa"/>
            </w:tcMar>
          </w:tcPr>
          <w:p>
            <w:pPr>
              <w:spacing w:before="160"/>
              <w:ind w:left="11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60" w:type="dxa"/>
            <w:tcMar>
              <w:top w:w="0" w:type="dxa"/>
              <w:left w:w="0" w:type="dxa"/>
              <w:bottom w:w="0" w:type="dxa"/>
              <w:right w:w="0" w:type="dxa"/>
            </w:tcMar>
          </w:tcPr>
          <w:p>
            <w:pPr>
              <w:spacing w:before="160"/>
              <w:ind w:left="7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r>
      <w:tr>
        <w:trPr>
          <w:trHeight w:val="46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4</w:t>
            </w:r>
          </w:p>
        </w:tc>
        <w:tc>
          <w:tcPr>
            <w:tcW w:w="3780" w:type="dxa"/>
            <w:tcMar>
              <w:top w:w="0" w:type="dxa"/>
              <w:left w:w="0" w:type="dxa"/>
              <w:bottom w:w="0" w:type="dxa"/>
              <w:right w:w="0" w:type="dxa"/>
            </w:tcMar>
          </w:tcPr>
          <w:p>
            <w:pPr>
              <w:spacing w:before="100"/>
              <w:ind w:left="100"/>
            </w:pPr>
            <w:r>
              <w:rPr>
                <w:rFonts w:hint="eastAsia" w:ascii="宋体" w:hAnsi="宋体" w:eastAsia="宋体" w:cs="宋体"/>
                <w:sz w:val="21"/>
              </w:rPr>
              <w:t>中石化森美</w:t>
            </w:r>
            <w:r>
              <w:rPr>
                <w:rFonts w:hint="eastAsia" w:ascii="宋体" w:hAnsi="宋体" w:eastAsia="宋体" w:cs="宋体"/>
                <w:sz w:val="20"/>
              </w:rPr>
              <w:t>（</w:t>
            </w:r>
            <w:r>
              <w:rPr>
                <w:rFonts w:hint="eastAsia" w:ascii="宋体" w:hAnsi="宋体" w:eastAsia="宋体" w:cs="宋体"/>
                <w:sz w:val="21"/>
              </w:rPr>
              <w:t>福建</w:t>
            </w:r>
            <w:r>
              <w:rPr>
                <w:rFonts w:hint="eastAsia" w:ascii="宋体" w:hAnsi="宋体" w:eastAsia="宋体" w:cs="宋体"/>
                <w:sz w:val="20"/>
              </w:rPr>
              <w:t>）</w:t>
            </w:r>
            <w:r>
              <w:rPr>
                <w:rFonts w:hint="eastAsia" w:ascii="宋体" w:hAnsi="宋体" w:eastAsia="宋体" w:cs="宋体"/>
                <w:sz w:val="21"/>
              </w:rPr>
              <w:t>石油有限公司</w:t>
            </w:r>
          </w:p>
        </w:tc>
        <w:tc>
          <w:tcPr>
            <w:tcW w:w="2420" w:type="dxa"/>
            <w:tcMar>
              <w:top w:w="0" w:type="dxa"/>
              <w:left w:w="0" w:type="dxa"/>
              <w:bottom w:w="0" w:type="dxa"/>
              <w:right w:w="0" w:type="dxa"/>
            </w:tcMar>
          </w:tcPr>
          <w:p>
            <w:pPr>
              <w:spacing w:before="160"/>
              <w:ind w:left="11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60" w:type="dxa"/>
            <w:tcMar>
              <w:top w:w="0" w:type="dxa"/>
              <w:left w:w="0" w:type="dxa"/>
              <w:bottom w:w="0" w:type="dxa"/>
              <w:right w:w="0" w:type="dxa"/>
            </w:tcMar>
          </w:tcPr>
          <w:p>
            <w:pPr>
              <w:spacing w:before="160"/>
              <w:ind w:left="7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p>
        </w:tc>
      </w:tr>
      <w:tr>
        <w:trPr>
          <w:trHeight w:val="480" w:hRule="exact"/>
        </w:trPr>
        <w:tc>
          <w:tcPr>
            <w:tcW w:w="1020" w:type="dxa"/>
            <w:vMerge w:val="continue"/>
            <w:tcMar>
              <w:top w:w="0" w:type="dxa"/>
              <w:left w:w="0" w:type="dxa"/>
              <w:bottom w:w="0" w:type="dxa"/>
              <w:right w:w="0" w:type="dxa"/>
            </w:tcMar>
          </w:tcPr>
          <w:p/>
        </w:tc>
        <w:tc>
          <w:tcPr>
            <w:tcW w:w="68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5</w:t>
            </w:r>
          </w:p>
        </w:tc>
        <w:tc>
          <w:tcPr>
            <w:tcW w:w="3780" w:type="dxa"/>
            <w:tcMar>
              <w:top w:w="0" w:type="dxa"/>
              <w:left w:w="0" w:type="dxa"/>
              <w:bottom w:w="0" w:type="dxa"/>
              <w:right w:w="0" w:type="dxa"/>
            </w:tcMar>
          </w:tcPr>
          <w:p>
            <w:pPr>
              <w:spacing w:before="120"/>
              <w:ind w:left="100"/>
            </w:pPr>
            <w:r>
              <w:rPr>
                <w:rFonts w:hint="eastAsia" w:ascii="宋体" w:hAnsi="宋体" w:eastAsia="宋体" w:cs="宋体"/>
                <w:sz w:val="21"/>
              </w:rPr>
              <w:t>德邦证券有限责任公司</w:t>
            </w:r>
          </w:p>
        </w:tc>
        <w:tc>
          <w:tcPr>
            <w:tcW w:w="2420" w:type="dxa"/>
            <w:tcMar>
              <w:top w:w="0" w:type="dxa"/>
              <w:left w:w="0" w:type="dxa"/>
              <w:bottom w:w="0" w:type="dxa"/>
              <w:right w:w="0" w:type="dxa"/>
            </w:tcMar>
          </w:tcPr>
          <w:p>
            <w:pPr>
              <w:spacing w:before="180"/>
              <w:ind w:left="1340"/>
            </w:pPr>
            <w:r>
              <w:rPr>
                <w:rFonts w:hint="eastAsia" w:ascii="Times New Roman" w:hAnsi="Times New Roman" w:eastAsia="Times New Roman" w:cs="Times New Roman"/>
                <w:sz w:val="21"/>
              </w:rPr>
              <w:t>880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360" w:type="dxa"/>
            <w:tcMar>
              <w:top w:w="0" w:type="dxa"/>
              <w:left w:w="0" w:type="dxa"/>
              <w:bottom w:w="0" w:type="dxa"/>
              <w:right w:w="0" w:type="dxa"/>
            </w:tcMar>
          </w:tcPr>
          <w:p>
            <w:pPr>
              <w:spacing w:before="180"/>
              <w:ind w:left="7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r>
      <w:tr>
        <w:trPr>
          <w:trHeight w:val="460" w:hRule="exact"/>
        </w:trPr>
        <w:tc>
          <w:tcPr>
            <w:tcW w:w="5480" w:type="dxa"/>
            <w:gridSpan w:val="3"/>
            <w:tcMar>
              <w:top w:w="0" w:type="dxa"/>
              <w:left w:w="0" w:type="dxa"/>
              <w:bottom w:w="0" w:type="dxa"/>
              <w:right w:w="0" w:type="dxa"/>
            </w:tcMar>
          </w:tcPr>
          <w:p>
            <w:pPr>
              <w:spacing w:before="120"/>
              <w:ind w:left="2500"/>
            </w:pPr>
            <w:r>
              <w:rPr>
                <w:rFonts w:hint="eastAsia" w:ascii="宋体" w:hAnsi="宋体" w:eastAsia="宋体" w:cs="宋体"/>
                <w:b/>
                <w:sz w:val="21"/>
              </w:rPr>
              <w:t>合计</w:t>
            </w:r>
          </w:p>
        </w:tc>
        <w:tc>
          <w:tcPr>
            <w:tcW w:w="2420" w:type="dxa"/>
            <w:tcMar>
              <w:top w:w="0" w:type="dxa"/>
              <w:left w:w="0" w:type="dxa"/>
              <w:bottom w:w="0" w:type="dxa"/>
              <w:right w:w="0" w:type="dxa"/>
            </w:tcMar>
          </w:tcPr>
          <w:p>
            <w:pPr>
              <w:spacing w:before="160"/>
              <w:ind w:left="1080"/>
            </w:pPr>
            <w:r>
              <w:rPr>
                <w:rFonts w:hint="eastAsia" w:ascii="Times New Roman Bold" w:hAnsi="Times New Roman Bold" w:eastAsia="Times New Roman Bold" w:cs="Times New Roman Bold"/>
                <w:b/>
                <w:sz w:val="21"/>
              </w:rPr>
              <w:t>10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555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w:t>
            </w:r>
          </w:p>
        </w:tc>
        <w:tc>
          <w:tcPr>
            <w:tcW w:w="1360" w:type="dxa"/>
            <w:tcMar>
              <w:top w:w="0" w:type="dxa"/>
              <w:left w:w="0" w:type="dxa"/>
              <w:bottom w:w="0" w:type="dxa"/>
              <w:right w:w="0" w:type="dxa"/>
            </w:tcMar>
          </w:tcPr>
          <w:p>
            <w:pPr>
              <w:spacing w:before="160"/>
              <w:ind w:left="560"/>
            </w:pPr>
            <w:r>
              <w:rPr>
                <w:rFonts w:hint="eastAsia" w:ascii="Times New Roman Bold" w:hAnsi="Times New Roman Bold" w:eastAsia="Times New Roman Bold" w:cs="Times New Roman Bold"/>
                <w:b/>
                <w:sz w:val="21"/>
              </w:rPr>
              <w:t>40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金石投资受让公司股份并对公司进行增资</w:t>
      </w:r>
      <w:r>
        <w:rPr>
          <w:rFonts w:hint="eastAsia" w:ascii="宋体" w:hAnsi="宋体" w:eastAsia="宋体" w:cs="宋体"/>
          <w:sz w:val="10"/>
        </w:rPr>
        <w:t>，</w:t>
      </w:r>
      <w:r>
        <w:rPr>
          <w:rFonts w:hint="eastAsia" w:ascii="宋体" w:hAnsi="宋体" w:eastAsia="宋体" w:cs="宋体"/>
          <w:sz w:val="24"/>
        </w:rPr>
        <w:t>持有公司</w:t>
      </w:r>
      <w:r>
        <w:rPr>
          <w:rFonts w:hint="eastAsia" w:ascii="Times New Roman" w:hAnsi="Times New Roman" w:eastAsia="Times New Roman" w:cs="Times New Roman"/>
          <w:sz w:val="24"/>
        </w:rPr>
        <w:t xml:space="preserve"> 20.81%</w:t>
      </w:r>
      <w:r>
        <w:rPr>
          <w:rFonts w:hint="eastAsia" w:ascii="宋体" w:hAnsi="宋体" w:eastAsia="宋体" w:cs="宋体"/>
          <w:sz w:val="24"/>
        </w:rPr>
        <w:t>的股份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20"/>
        <w:jc w:val="both"/>
      </w:pPr>
      <w:r>
        <w:rPr>
          <w:rFonts w:hint="eastAsia" w:ascii="宋体" w:hAnsi="宋体" w:eastAsia="宋体" w:cs="宋体"/>
          <w:sz w:val="24"/>
        </w:rPr>
        <w:t>金石投资为中信证券的全资子公司</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公司涉及中信证券及其控股子公司的应收账款账面价值为</w:t>
      </w:r>
      <w:r>
        <w:rPr>
          <w:rFonts w:hint="eastAsia" w:ascii="Times New Roman" w:hAnsi="Times New Roman" w:eastAsia="Times New Roman" w:cs="Times New Roman"/>
          <w:sz w:val="24"/>
        </w:rPr>
        <w:t xml:space="preserve"> 34.09</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6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除上述应收账款外</w:t>
      </w:r>
      <w:r>
        <w:rPr>
          <w:rFonts w:hint="eastAsia" w:ascii="宋体" w:hAnsi="宋体" w:eastAsia="宋体" w:cs="宋体"/>
          <w:sz w:val="10"/>
        </w:rPr>
        <w:t>，</w:t>
      </w:r>
      <w:r>
        <w:rPr>
          <w:rFonts w:hint="eastAsia" w:ascii="宋体" w:hAnsi="宋体" w:eastAsia="宋体" w:cs="宋体"/>
          <w:sz w:val="24"/>
        </w:rPr>
        <w:t>公司应收账款中无持有本公司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以上表决权股份的股东款项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④新增主要客户应收账款分析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发行人应收账款前五名客户中无新增客户</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⑤应收账款坏账准备计提比例分析</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本公司应收账款的账龄大部分为</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年以内</w:t>
      </w:r>
      <w:r>
        <w:rPr>
          <w:rFonts w:hint="eastAsia" w:ascii="宋体" w:hAnsi="宋体" w:eastAsia="宋体" w:cs="宋体"/>
          <w:sz w:val="10"/>
        </w:rPr>
        <w:t>，</w:t>
      </w:r>
      <w:r>
        <w:rPr>
          <w:rFonts w:hint="eastAsia" w:ascii="宋体" w:hAnsi="宋体" w:eastAsia="宋体" w:cs="宋体"/>
          <w:sz w:val="24"/>
        </w:rPr>
        <w:t>公司按相关规定计提了坏账准备</w:t>
      </w:r>
      <w:r>
        <w:rPr>
          <w:rFonts w:hint="eastAsia" w:ascii="宋体" w:hAnsi="宋体" w:eastAsia="宋体" w:cs="宋体"/>
          <w:sz w:val="10"/>
        </w:rPr>
        <w:t>，</w:t>
      </w:r>
      <w:r>
        <w:rPr>
          <w:rFonts w:hint="eastAsia" w:ascii="宋体" w:hAnsi="宋体" w:eastAsia="宋体" w:cs="宋体"/>
          <w:sz w:val="24"/>
        </w:rPr>
        <w:t>坏账准备计提充分</w:t>
      </w:r>
      <w:r>
        <w:rPr>
          <w:rFonts w:hint="eastAsia" w:ascii="宋体" w:hAnsi="宋体" w:eastAsia="宋体" w:cs="宋体"/>
          <w:sz w:val="10"/>
        </w:rPr>
        <w:t>，</w:t>
      </w:r>
      <w:r>
        <w:rPr>
          <w:rFonts w:hint="eastAsia" w:ascii="宋体" w:hAnsi="宋体" w:eastAsia="宋体" w:cs="宋体"/>
          <w:sz w:val="24"/>
        </w:rPr>
        <w:t>具体情况如下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640" w:hRule="exact"/>
        </w:trPr>
        <w:tc>
          <w:tcPr>
            <w:tcW w:w="9260" w:type="dxa"/>
            <w:gridSpan w:val="4"/>
            <w:tcMar>
              <w:top w:w="0" w:type="dxa"/>
              <w:left w:w="0" w:type="dxa"/>
              <w:bottom w:w="0" w:type="dxa"/>
              <w:right w:w="0" w:type="dxa"/>
            </w:tcMar>
          </w:tcPr>
          <w:p>
            <w:pPr>
              <w:tabs>
                <w:tab w:val="left" w:pos="2960"/>
                <w:tab w:val="left" w:pos="5280"/>
                <w:tab w:val="left" w:pos="7600"/>
              </w:tabs>
              <w:spacing w:before="220"/>
              <w:ind w:left="920"/>
            </w:pPr>
            <w:r>
              <w:rPr>
                <w:rFonts w:hint="eastAsia" w:ascii="宋体" w:hAnsi="宋体" w:eastAsia="宋体" w:cs="宋体"/>
                <w:b/>
                <w:sz w:val="21"/>
              </w:rPr>
              <w:t>项目</w:t>
            </w:r>
            <w:r>
              <w:tab/>
            </w:r>
            <w:r>
              <w:rPr>
                <w:rFonts w:hint="eastAsia" w:ascii="Times New Roman Bold" w:hAnsi="Times New Roman Bold" w:eastAsia="Times New Roman Bold" w:cs="Times New Roman Bold"/>
                <w:b/>
                <w:sz w:val="21"/>
              </w:rPr>
              <w:t>2016-12-31</w:t>
            </w:r>
            <w:r>
              <w:tab/>
            </w:r>
            <w:r>
              <w:rPr>
                <w:rFonts w:hint="eastAsia" w:ascii="Times New Roman Bold" w:hAnsi="Times New Roman Bold" w:eastAsia="Times New Roman Bold" w:cs="Times New Roman Bold"/>
                <w:b/>
                <w:sz w:val="21"/>
              </w:rPr>
              <w:t>2015-12-31</w:t>
            </w:r>
            <w:r>
              <w:tab/>
            </w:r>
            <w:r>
              <w:rPr>
                <w:rFonts w:hint="eastAsia" w:ascii="Times New Roman Bold" w:hAnsi="Times New Roman Bold" w:eastAsia="Times New Roman Bold" w:cs="Times New Roman Bold"/>
                <w:b/>
                <w:sz w:val="21"/>
              </w:rPr>
              <w:t>2014-12-31</w:t>
            </w:r>
          </w:p>
        </w:tc>
      </w:tr>
      <w:tr>
        <w:trPr>
          <w:trHeight w:val="660" w:hRule="exact"/>
        </w:trPr>
        <w:tc>
          <w:tcPr>
            <w:tcW w:w="2320" w:type="dxa"/>
            <w:tcMar>
              <w:top w:w="0" w:type="dxa"/>
              <w:left w:w="0" w:type="dxa"/>
              <w:bottom w:w="0" w:type="dxa"/>
              <w:right w:w="0" w:type="dxa"/>
            </w:tcMar>
          </w:tcPr>
          <w:p>
            <w:pPr>
              <w:spacing w:before="220"/>
              <w:ind w:left="100"/>
            </w:pPr>
            <w:r>
              <w:rPr>
                <w:rFonts w:hint="eastAsia" w:ascii="宋体" w:hAnsi="宋体" w:eastAsia="宋体" w:cs="宋体"/>
                <w:sz w:val="21"/>
              </w:rPr>
              <w:t>坏账准备余额</w:t>
            </w:r>
          </w:p>
        </w:tc>
        <w:tc>
          <w:tcPr>
            <w:tcW w:w="2320" w:type="dxa"/>
            <w:tcMar>
              <w:top w:w="0" w:type="dxa"/>
              <w:left w:w="0" w:type="dxa"/>
              <w:bottom w:w="0" w:type="dxa"/>
              <w:right w:w="0" w:type="dxa"/>
            </w:tcMar>
          </w:tcPr>
          <w:p>
            <w:pPr>
              <w:spacing w:before="240"/>
              <w:ind w:left="10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2300" w:type="dxa"/>
            <w:tcMar>
              <w:top w:w="0" w:type="dxa"/>
              <w:left w:w="0" w:type="dxa"/>
              <w:bottom w:w="0" w:type="dxa"/>
              <w:right w:w="0" w:type="dxa"/>
            </w:tcMar>
          </w:tcPr>
          <w:p>
            <w:pPr>
              <w:spacing w:before="240"/>
              <w:ind w:left="10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2320" w:type="dxa"/>
            <w:tcMar>
              <w:top w:w="0" w:type="dxa"/>
              <w:left w:w="0" w:type="dxa"/>
              <w:bottom w:w="0" w:type="dxa"/>
              <w:right w:w="0" w:type="dxa"/>
            </w:tcMar>
          </w:tcPr>
          <w:p>
            <w:pPr>
              <w:spacing w:before="240"/>
              <w:ind w:left="11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1-1-259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56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80"/>
              <w:ind w:left="640"/>
            </w:pPr>
            <w:r>
              <w:rPr>
                <w:rFonts w:hint="eastAsia" w:ascii="Times New Roman Bold" w:hAnsi="Times New Roman Bold" w:eastAsia="Times New Roman Bold" w:cs="Times New Roman Bold"/>
                <w:b/>
                <w:sz w:val="21"/>
              </w:rPr>
              <w:t>2016-12-31</w:t>
            </w:r>
          </w:p>
        </w:tc>
        <w:tc>
          <w:tcPr>
            <w:tcW w:w="2300" w:type="dxa"/>
            <w:tcMar>
              <w:top w:w="0" w:type="dxa"/>
              <w:left w:w="0" w:type="dxa"/>
              <w:bottom w:w="0" w:type="dxa"/>
              <w:right w:w="0" w:type="dxa"/>
            </w:tcMar>
          </w:tcPr>
          <w:p>
            <w:pPr>
              <w:spacing w:before="180"/>
              <w:ind w:left="640"/>
            </w:pPr>
            <w:r>
              <w:rPr>
                <w:rFonts w:hint="eastAsia" w:ascii="Times New Roman Bold" w:hAnsi="Times New Roman Bold" w:eastAsia="Times New Roman Bold" w:cs="Times New Roman Bold"/>
                <w:b/>
                <w:sz w:val="21"/>
              </w:rPr>
              <w:t>2015-12-31</w:t>
            </w:r>
          </w:p>
        </w:tc>
        <w:tc>
          <w:tcPr>
            <w:tcW w:w="2320" w:type="dxa"/>
            <w:tcMar>
              <w:top w:w="0" w:type="dxa"/>
              <w:left w:w="0" w:type="dxa"/>
              <w:bottom w:w="0" w:type="dxa"/>
              <w:right w:w="0" w:type="dxa"/>
            </w:tcMar>
          </w:tcPr>
          <w:p>
            <w:pPr>
              <w:spacing w:before="180"/>
              <w:ind w:left="660"/>
            </w:pPr>
            <w:r>
              <w:rPr>
                <w:rFonts w:hint="eastAsia" w:ascii="Times New Roman Bold" w:hAnsi="Times New Roman Bold" w:eastAsia="Times New Roman Bold" w:cs="Times New Roman Bold"/>
                <w:b/>
                <w:sz w:val="21"/>
              </w:rPr>
              <w:t>2014-12-31</w:t>
            </w:r>
          </w:p>
        </w:tc>
      </w:tr>
      <w:tr>
        <w:trPr>
          <w:trHeight w:val="640" w:hRule="exact"/>
        </w:trPr>
        <w:tc>
          <w:tcPr>
            <w:tcW w:w="2320" w:type="dxa"/>
            <w:tcMar>
              <w:top w:w="0" w:type="dxa"/>
              <w:left w:w="0" w:type="dxa"/>
              <w:bottom w:w="0" w:type="dxa"/>
              <w:right w:w="0" w:type="dxa"/>
            </w:tcMar>
          </w:tcPr>
          <w:p>
            <w:pPr>
              <w:spacing w:before="200"/>
              <w:ind w:left="100"/>
            </w:pPr>
            <w:r>
              <w:rPr>
                <w:rFonts w:hint="eastAsia" w:ascii="宋体" w:hAnsi="宋体" w:eastAsia="宋体" w:cs="宋体"/>
                <w:sz w:val="21"/>
              </w:rPr>
              <w:t>应收账款账面余额</w:t>
            </w:r>
          </w:p>
        </w:tc>
        <w:tc>
          <w:tcPr>
            <w:tcW w:w="2320" w:type="dxa"/>
            <w:tcMar>
              <w:top w:w="0" w:type="dxa"/>
              <w:left w:w="0" w:type="dxa"/>
              <w:bottom w:w="0" w:type="dxa"/>
              <w:right w:w="0" w:type="dxa"/>
            </w:tcMar>
          </w:tcPr>
          <w:p>
            <w:pPr>
              <w:spacing w:before="260"/>
              <w:ind w:left="98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2300" w:type="dxa"/>
            <w:tcMar>
              <w:top w:w="0" w:type="dxa"/>
              <w:left w:w="0" w:type="dxa"/>
              <w:bottom w:w="0" w:type="dxa"/>
              <w:right w:w="0" w:type="dxa"/>
            </w:tcMar>
          </w:tcPr>
          <w:p>
            <w:pPr>
              <w:spacing w:before="260"/>
              <w:ind w:left="98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2320" w:type="dxa"/>
            <w:tcMar>
              <w:top w:w="0" w:type="dxa"/>
              <w:left w:w="0" w:type="dxa"/>
              <w:bottom w:w="0" w:type="dxa"/>
              <w:right w:w="0" w:type="dxa"/>
            </w:tcMar>
          </w:tcPr>
          <w:p>
            <w:pPr>
              <w:spacing w:before="260"/>
              <w:ind w:left="100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r>
      <w:tr>
        <w:trPr>
          <w:trHeight w:val="640" w:hRule="exact"/>
        </w:trPr>
        <w:tc>
          <w:tcPr>
            <w:tcW w:w="2320" w:type="dxa"/>
            <w:tcMar>
              <w:top w:w="0" w:type="dxa"/>
              <w:left w:w="0" w:type="dxa"/>
              <w:bottom w:w="0" w:type="dxa"/>
              <w:right w:w="0" w:type="dxa"/>
            </w:tcMar>
          </w:tcPr>
          <w:p>
            <w:pPr>
              <w:spacing w:before="220"/>
              <w:ind w:left="100"/>
            </w:pPr>
            <w:r>
              <w:rPr>
                <w:rFonts w:hint="eastAsia" w:ascii="宋体" w:hAnsi="宋体" w:eastAsia="宋体" w:cs="宋体"/>
                <w:sz w:val="21"/>
              </w:rPr>
              <w:t>比例</w:t>
            </w:r>
          </w:p>
        </w:tc>
        <w:tc>
          <w:tcPr>
            <w:tcW w:w="2320" w:type="dxa"/>
            <w:tcMar>
              <w:top w:w="0" w:type="dxa"/>
              <w:left w:w="0" w:type="dxa"/>
              <w:bottom w:w="0" w:type="dxa"/>
              <w:right w:w="0" w:type="dxa"/>
            </w:tcMar>
          </w:tcPr>
          <w:p>
            <w:pPr>
              <w:spacing w:before="260"/>
              <w:ind w:left="15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p>
        </w:tc>
        <w:tc>
          <w:tcPr>
            <w:tcW w:w="2300" w:type="dxa"/>
            <w:tcMar>
              <w:top w:w="0" w:type="dxa"/>
              <w:left w:w="0" w:type="dxa"/>
              <w:bottom w:w="0" w:type="dxa"/>
              <w:right w:w="0" w:type="dxa"/>
            </w:tcMar>
          </w:tcPr>
          <w:p>
            <w:pPr>
              <w:spacing w:before="260"/>
              <w:ind w:left="154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r>
              <w:rPr>
                <w:rFonts w:hint="eastAsia" w:ascii="Times New Roman" w:hAnsi="Times New Roman" w:eastAsia="Times New Roman" w:cs="Times New Roman"/>
                <w:sz w:val="20"/>
              </w:rPr>
              <w:t>%</w:t>
            </w:r>
          </w:p>
        </w:tc>
        <w:tc>
          <w:tcPr>
            <w:tcW w:w="2320" w:type="dxa"/>
            <w:tcMar>
              <w:top w:w="0" w:type="dxa"/>
              <w:left w:w="0" w:type="dxa"/>
              <w:bottom w:w="0" w:type="dxa"/>
              <w:right w:w="0" w:type="dxa"/>
            </w:tcMar>
          </w:tcPr>
          <w:p>
            <w:pPr>
              <w:spacing w:before="260"/>
              <w:ind w:left="15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400" w:lineRule="exact"/>
        <w:ind w:left="1440" w:right="1280" w:firstLine="480"/>
        <w:jc w:val="both"/>
      </w:pPr>
      <w:r>
        <w:rPr>
          <w:rFonts w:hint="eastAsia" w:ascii="宋体" w:hAnsi="宋体" w:eastAsia="宋体" w:cs="宋体"/>
          <w:sz w:val="24"/>
        </w:rPr>
        <w:t>公司自</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日起</w:t>
      </w:r>
      <w:r>
        <w:rPr>
          <w:rFonts w:hint="eastAsia" w:ascii="宋体" w:hAnsi="宋体" w:eastAsia="宋体" w:cs="宋体"/>
          <w:sz w:val="10"/>
        </w:rPr>
        <w:t>，</w:t>
      </w:r>
      <w:r>
        <w:rPr>
          <w:rFonts w:hint="eastAsia" w:ascii="宋体" w:hAnsi="宋体" w:eastAsia="宋体" w:cs="宋体"/>
          <w:sz w:val="24"/>
        </w:rPr>
        <w:t>对应收账款及其他应收款坏账准备的计提比例进行了调整</w:t>
      </w:r>
      <w:r>
        <w:rPr>
          <w:rFonts w:hint="eastAsia" w:ascii="宋体" w:hAnsi="宋体" w:eastAsia="宋体" w:cs="宋体"/>
          <w:sz w:val="10"/>
        </w:rPr>
        <w:t>，</w:t>
      </w:r>
      <w:r>
        <w:rPr>
          <w:rFonts w:hint="eastAsia" w:ascii="宋体" w:hAnsi="宋体" w:eastAsia="宋体" w:cs="宋体"/>
          <w:sz w:val="24"/>
        </w:rPr>
        <w:t>对于账龄在</w:t>
      </w:r>
      <w:r>
        <w:rPr>
          <w:rFonts w:hint="eastAsia" w:ascii="Times New Roman" w:hAnsi="Times New Roman" w:eastAsia="Times New Roman" w:cs="Times New Roman"/>
          <w:sz w:val="24"/>
        </w:rPr>
        <w:t>1</w:t>
      </w:r>
      <w:r>
        <w:rPr>
          <w:rFonts w:hint="eastAsia" w:ascii="宋体" w:hAnsi="宋体" w:eastAsia="宋体" w:cs="宋体"/>
          <w:sz w:val="24"/>
        </w:rPr>
        <w:t>年以内的应收账款及其他应收款坏账准备计提比例由</w:t>
      </w:r>
      <w:r>
        <w:rPr>
          <w:rFonts w:hint="eastAsia" w:ascii="Times New Roman" w:hAnsi="Times New Roman" w:eastAsia="Times New Roman" w:cs="Times New Roman"/>
          <w:sz w:val="24"/>
        </w:rPr>
        <w:t>2%</w:t>
      </w:r>
      <w:r>
        <w:rPr>
          <w:rFonts w:hint="eastAsia" w:ascii="宋体" w:hAnsi="宋体" w:eastAsia="宋体" w:cs="宋体"/>
          <w:sz w:val="24"/>
        </w:rPr>
        <w:t>提高至</w:t>
      </w:r>
      <w:r>
        <w:rPr>
          <w:rFonts w:hint="eastAsia" w:ascii="Times New Roman" w:hAnsi="Times New Roman" w:eastAsia="Times New Roman" w:cs="Times New Roman"/>
          <w:sz w:val="24"/>
        </w:rPr>
        <w:t>5%</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根据《企业会计准则第</w:t>
      </w:r>
      <w:r>
        <w:rPr>
          <w:rFonts w:hint="eastAsia" w:ascii="Times New Roman" w:hAnsi="Times New Roman" w:eastAsia="Times New Roman" w:cs="Times New Roman"/>
          <w:sz w:val="24"/>
        </w:rPr>
        <w:t xml:space="preserve"> 28</w:t>
      </w:r>
      <w:r>
        <w:rPr>
          <w:rFonts w:hint="eastAsia" w:ascii="宋体" w:hAnsi="宋体" w:eastAsia="宋体" w:cs="宋体"/>
          <w:sz w:val="24"/>
        </w:rPr>
        <w:t xml:space="preserve"> 号</w:t>
      </w:r>
      <w:r>
        <w:rPr>
          <w:rFonts w:hint="eastAsia" w:ascii="宋体" w:hAnsi="宋体" w:eastAsia="宋体" w:cs="宋体"/>
          <w:sz w:val="12"/>
        </w:rPr>
        <w:t>：</w:t>
      </w:r>
      <w:r>
        <w:rPr>
          <w:rFonts w:hint="eastAsia" w:ascii="宋体" w:hAnsi="宋体" w:eastAsia="宋体" w:cs="宋体"/>
          <w:sz w:val="24"/>
        </w:rPr>
        <w:t>会计政策</w:t>
      </w:r>
      <w:r>
        <w:rPr>
          <w:rFonts w:hint="eastAsia" w:ascii="宋体" w:hAnsi="宋体" w:eastAsia="宋体" w:cs="宋体"/>
          <w:sz w:val="10"/>
        </w:rPr>
        <w:t>、</w:t>
      </w:r>
      <w:r>
        <w:rPr>
          <w:rFonts w:hint="eastAsia" w:ascii="宋体" w:hAnsi="宋体" w:eastAsia="宋体" w:cs="宋体"/>
          <w:sz w:val="24"/>
        </w:rPr>
        <w:t>会计估计变更和差错更正》的关于会计政策及会计估计变更的规定</w:t>
      </w:r>
      <w:r>
        <w:rPr>
          <w:rFonts w:hint="eastAsia" w:ascii="宋体" w:hAnsi="宋体" w:eastAsia="宋体" w:cs="宋体"/>
          <w:sz w:val="10"/>
        </w:rPr>
        <w:t>，</w:t>
      </w:r>
      <w:r>
        <w:rPr>
          <w:rFonts w:hint="eastAsia" w:ascii="宋体" w:hAnsi="宋体" w:eastAsia="宋体" w:cs="宋体"/>
          <w:sz w:val="24"/>
        </w:rPr>
        <w:t>对上述会计估计的变更采用未来适用法</w:t>
      </w:r>
      <w:r>
        <w:rPr>
          <w:rFonts w:hint="eastAsia" w:ascii="宋体" w:hAnsi="宋体" w:eastAsia="宋体" w:cs="宋体"/>
          <w:sz w:val="10"/>
        </w:rPr>
        <w:t>，</w:t>
      </w:r>
      <w:r>
        <w:rPr>
          <w:rFonts w:hint="eastAsia" w:ascii="宋体" w:hAnsi="宋体" w:eastAsia="宋体" w:cs="宋体"/>
          <w:sz w:val="24"/>
        </w:rPr>
        <w:t>无需对已披露的财务报告进行追溯调整</w:t>
      </w:r>
      <w:r>
        <w:rPr>
          <w:rFonts w:hint="eastAsia" w:ascii="宋体" w:hAnsi="宋体" w:eastAsia="宋体" w:cs="宋体"/>
          <w:sz w:val="10"/>
        </w:rPr>
        <w:t>。</w:t>
      </w:r>
      <w:r>
        <w:rPr>
          <w:rFonts w:hint="eastAsia" w:ascii="宋体" w:hAnsi="宋体" w:eastAsia="宋体" w:cs="宋体"/>
          <w:sz w:val="24"/>
        </w:rPr>
        <w:t>此项会计估计变更减少</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年度利润总额</w:t>
      </w:r>
      <w:r>
        <w:rPr>
          <w:rFonts w:hint="eastAsia" w:ascii="Times New Roman" w:hAnsi="Times New Roman" w:eastAsia="Times New Roman" w:cs="Times New Roman"/>
          <w:sz w:val="24"/>
        </w:rPr>
        <w:t xml:space="preserve"> 716,378.48</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本公司主要客户是包括证券公司</w:t>
      </w:r>
      <w:r>
        <w:rPr>
          <w:rFonts w:hint="eastAsia" w:ascii="宋体" w:hAnsi="宋体" w:eastAsia="宋体" w:cs="宋体"/>
          <w:sz w:val="10"/>
        </w:rPr>
        <w:t>、</w:t>
      </w:r>
      <w:r>
        <w:rPr>
          <w:rFonts w:hint="eastAsia" w:ascii="宋体" w:hAnsi="宋体" w:eastAsia="宋体" w:cs="宋体"/>
          <w:sz w:val="24"/>
        </w:rPr>
        <w:t>银行在内的金融企业</w:t>
      </w:r>
      <w:r>
        <w:rPr>
          <w:rFonts w:hint="eastAsia" w:ascii="宋体" w:hAnsi="宋体" w:eastAsia="宋体" w:cs="宋体"/>
          <w:sz w:val="10"/>
        </w:rPr>
        <w:t>，</w:t>
      </w:r>
      <w:r>
        <w:rPr>
          <w:rFonts w:hint="eastAsia" w:ascii="宋体" w:hAnsi="宋体" w:eastAsia="宋体" w:cs="宋体"/>
          <w:sz w:val="24"/>
        </w:rPr>
        <w:t>实力雄厚</w:t>
      </w:r>
      <w:r>
        <w:rPr>
          <w:rFonts w:hint="eastAsia" w:ascii="宋体" w:hAnsi="宋体" w:eastAsia="宋体" w:cs="宋体"/>
          <w:sz w:val="10"/>
        </w:rPr>
        <w:t>，</w:t>
      </w:r>
      <w:r>
        <w:rPr>
          <w:rFonts w:hint="eastAsia" w:ascii="宋体" w:hAnsi="宋体" w:eastAsia="宋体" w:cs="宋体"/>
          <w:sz w:val="24"/>
        </w:rPr>
        <w:t>信誉良好</w:t>
      </w:r>
      <w:r>
        <w:rPr>
          <w:rFonts w:hint="eastAsia" w:ascii="宋体" w:hAnsi="宋体" w:eastAsia="宋体" w:cs="宋体"/>
          <w:sz w:val="10"/>
        </w:rPr>
        <w:t>，</w:t>
      </w:r>
      <w:r>
        <w:rPr>
          <w:rFonts w:hint="eastAsia" w:ascii="宋体" w:hAnsi="宋体" w:eastAsia="宋体" w:cs="宋体"/>
          <w:sz w:val="24"/>
        </w:rPr>
        <w:t>应收账款的收回有可靠保障</w:t>
      </w:r>
      <w:r>
        <w:rPr>
          <w:rFonts w:hint="eastAsia" w:ascii="宋体" w:hAnsi="宋体" w:eastAsia="宋体" w:cs="宋体"/>
          <w:sz w:val="10"/>
        </w:rPr>
        <w:t>，</w:t>
      </w:r>
      <w:r>
        <w:rPr>
          <w:rFonts w:hint="eastAsia" w:ascii="宋体" w:hAnsi="宋体" w:eastAsia="宋体" w:cs="宋体"/>
          <w:sz w:val="24"/>
        </w:rPr>
        <w:t>坏账机率较小</w:t>
      </w:r>
      <w:r>
        <w:rPr>
          <w:rFonts w:hint="eastAsia" w:ascii="宋体" w:hAnsi="宋体" w:eastAsia="宋体" w:cs="宋体"/>
          <w:sz w:val="14"/>
        </w:rPr>
        <w:t>；</w:t>
      </w:r>
      <w:r>
        <w:rPr>
          <w:rFonts w:hint="eastAsia" w:ascii="宋体" w:hAnsi="宋体" w:eastAsia="宋体" w:cs="宋体"/>
          <w:sz w:val="24"/>
        </w:rPr>
        <w:t>且最近三年公司未发生过实质性坏账损失</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总体而言公司应收账款回款情况良好</w:t>
      </w:r>
      <w:r>
        <w:rPr>
          <w:rFonts w:hint="eastAsia" w:ascii="宋体" w:hAnsi="宋体" w:eastAsia="宋体" w:cs="宋体"/>
          <w:sz w:val="10"/>
        </w:rPr>
        <w:t>，</w:t>
      </w:r>
      <w:r>
        <w:rPr>
          <w:rFonts w:hint="eastAsia" w:ascii="宋体" w:hAnsi="宋体" w:eastAsia="宋体" w:cs="宋体"/>
          <w:sz w:val="24"/>
        </w:rPr>
        <w:t>发生坏账的风险较低</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与同行业上市公司应收账款坏账准备计提政策的比较情况如下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280"/>
        <w:gridCol w:w="1740"/>
        <w:gridCol w:w="1740"/>
        <w:gridCol w:w="1760"/>
        <w:gridCol w:w="1740"/>
      </w:tblGrid>
      <w:tr>
        <w:trPr>
          <w:trHeight w:val="640" w:hRule="exact"/>
        </w:trPr>
        <w:tc>
          <w:tcPr>
            <w:tcW w:w="2280" w:type="dxa"/>
            <w:tcMar>
              <w:top w:w="0" w:type="dxa"/>
              <w:left w:w="0" w:type="dxa"/>
              <w:bottom w:w="0" w:type="dxa"/>
              <w:right w:w="0" w:type="dxa"/>
            </w:tcMar>
          </w:tcPr>
          <w:p>
            <w:pPr>
              <w:spacing w:before="200"/>
              <w:ind w:left="900"/>
            </w:pPr>
            <w:r>
              <w:rPr>
                <w:rFonts w:hint="eastAsia" w:ascii="宋体" w:hAnsi="宋体" w:eastAsia="宋体" w:cs="宋体"/>
                <w:b/>
                <w:sz w:val="21"/>
              </w:rPr>
              <w:t>账龄</w:t>
            </w:r>
          </w:p>
        </w:tc>
        <w:tc>
          <w:tcPr>
            <w:tcW w:w="1740" w:type="dxa"/>
            <w:tcMar>
              <w:top w:w="0" w:type="dxa"/>
              <w:left w:w="0" w:type="dxa"/>
              <w:bottom w:w="0" w:type="dxa"/>
              <w:right w:w="0" w:type="dxa"/>
            </w:tcMar>
          </w:tcPr>
          <w:p>
            <w:pPr>
              <w:spacing w:before="200"/>
              <w:ind w:left="420"/>
            </w:pPr>
            <w:r>
              <w:rPr>
                <w:rFonts w:hint="eastAsia" w:ascii="宋体" w:hAnsi="宋体" w:eastAsia="宋体" w:cs="宋体"/>
                <w:b/>
                <w:sz w:val="21"/>
              </w:rPr>
              <w:t>金证股份</w:t>
            </w:r>
          </w:p>
        </w:tc>
        <w:tc>
          <w:tcPr>
            <w:tcW w:w="1740" w:type="dxa"/>
            <w:tcMar>
              <w:top w:w="0" w:type="dxa"/>
              <w:left w:w="0" w:type="dxa"/>
              <w:bottom w:w="0" w:type="dxa"/>
              <w:right w:w="0" w:type="dxa"/>
            </w:tcMar>
          </w:tcPr>
          <w:p>
            <w:pPr>
              <w:spacing w:before="200"/>
              <w:ind w:left="440"/>
            </w:pPr>
            <w:r>
              <w:rPr>
                <w:rFonts w:hint="eastAsia" w:ascii="宋体" w:hAnsi="宋体" w:eastAsia="宋体" w:cs="宋体"/>
                <w:b/>
                <w:sz w:val="21"/>
              </w:rPr>
              <w:t>恒生电子</w:t>
            </w:r>
          </w:p>
        </w:tc>
        <w:tc>
          <w:tcPr>
            <w:tcW w:w="1760" w:type="dxa"/>
            <w:tcMar>
              <w:top w:w="0" w:type="dxa"/>
              <w:left w:w="0" w:type="dxa"/>
              <w:bottom w:w="0" w:type="dxa"/>
              <w:right w:w="0" w:type="dxa"/>
            </w:tcMar>
          </w:tcPr>
          <w:p>
            <w:pPr>
              <w:spacing w:before="200"/>
              <w:ind w:left="240"/>
            </w:pPr>
            <w:r>
              <w:rPr>
                <w:rFonts w:hint="eastAsia" w:ascii="宋体" w:hAnsi="宋体" w:eastAsia="宋体" w:cs="宋体"/>
                <w:b/>
                <w:sz w:val="21"/>
              </w:rPr>
              <w:t>可比公司平均</w:t>
            </w:r>
          </w:p>
        </w:tc>
        <w:tc>
          <w:tcPr>
            <w:tcW w:w="1740" w:type="dxa"/>
            <w:tcMar>
              <w:top w:w="0" w:type="dxa"/>
              <w:left w:w="0" w:type="dxa"/>
              <w:bottom w:w="0" w:type="dxa"/>
              <w:right w:w="0" w:type="dxa"/>
            </w:tcMar>
          </w:tcPr>
          <w:p>
            <w:pPr>
              <w:spacing w:before="200"/>
              <w:ind w:left="440"/>
            </w:pPr>
            <w:r>
              <w:rPr>
                <w:rFonts w:hint="eastAsia" w:ascii="宋体" w:hAnsi="宋体" w:eastAsia="宋体" w:cs="宋体"/>
                <w:b/>
                <w:sz w:val="21"/>
              </w:rPr>
              <w:t>顶点软件</w:t>
            </w:r>
          </w:p>
        </w:tc>
      </w:tr>
      <w:tr>
        <w:trPr>
          <w:trHeight w:val="640" w:hRule="exact"/>
        </w:trPr>
        <w:tc>
          <w:tcPr>
            <w:tcW w:w="228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21"/>
              </w:rPr>
              <w:t>1</w:t>
            </w:r>
            <w:r>
              <w:rPr>
                <w:rFonts w:hint="eastAsia" w:ascii="宋体" w:hAnsi="宋体" w:eastAsia="宋体" w:cs="宋体"/>
                <w:sz w:val="21"/>
              </w:rPr>
              <w:t xml:space="preserve"> 年以内</w:t>
            </w:r>
            <w:r>
              <w:rPr>
                <w:rFonts w:hint="eastAsia" w:ascii="宋体" w:hAnsi="宋体" w:eastAsia="宋体" w:cs="宋体"/>
                <w:sz w:val="20"/>
              </w:rPr>
              <w:t>（</w:t>
            </w:r>
            <w:r>
              <w:rPr>
                <w:rFonts w:hint="eastAsia" w:ascii="宋体" w:hAnsi="宋体" w:eastAsia="宋体" w:cs="宋体"/>
                <w:sz w:val="21"/>
              </w:rPr>
              <w:t>含</w:t>
            </w:r>
            <w:r>
              <w:rPr>
                <w:rFonts w:hint="eastAsia" w:ascii="Times New Roman" w:hAnsi="Times New Roman" w:eastAsia="Times New Roman" w:cs="Times New Roman"/>
                <w:sz w:val="21"/>
              </w:rPr>
              <w:t xml:space="preserve"> 1</w:t>
            </w:r>
            <w:r>
              <w:rPr>
                <w:rFonts w:hint="eastAsia" w:ascii="宋体" w:hAnsi="宋体" w:eastAsia="宋体" w:cs="宋体"/>
                <w:sz w:val="21"/>
              </w:rPr>
              <w:t xml:space="preserve"> 年</w:t>
            </w:r>
            <w:r>
              <w:rPr>
                <w:rFonts w:hint="eastAsia" w:ascii="宋体" w:hAnsi="宋体" w:eastAsia="宋体" w:cs="宋体"/>
                <w:sz w:val="20"/>
              </w:rPr>
              <w:t>）</w:t>
            </w:r>
          </w:p>
        </w:tc>
        <w:tc>
          <w:tcPr>
            <w:tcW w:w="1740" w:type="dxa"/>
            <w:tcMar>
              <w:top w:w="0" w:type="dxa"/>
              <w:left w:w="0" w:type="dxa"/>
              <w:bottom w:w="0" w:type="dxa"/>
              <w:right w:w="0" w:type="dxa"/>
            </w:tcMar>
          </w:tcPr>
          <w:p>
            <w:pPr>
              <w:spacing w:before="220"/>
              <w:ind w:left="13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20"/>
              <w:ind w:left="13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p>
        </w:tc>
        <w:tc>
          <w:tcPr>
            <w:tcW w:w="1760" w:type="dxa"/>
            <w:tcMar>
              <w:top w:w="0" w:type="dxa"/>
              <w:left w:w="0" w:type="dxa"/>
              <w:bottom w:w="0" w:type="dxa"/>
              <w:right w:w="0" w:type="dxa"/>
            </w:tcMar>
          </w:tcPr>
          <w:p>
            <w:pPr>
              <w:spacing w:before="220"/>
              <w:ind w:left="13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20"/>
              <w:ind w:left="13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p>
        </w:tc>
      </w:tr>
      <w:tr>
        <w:trPr>
          <w:trHeight w:val="620" w:hRule="exact"/>
        </w:trPr>
        <w:tc>
          <w:tcPr>
            <w:tcW w:w="2280" w:type="dxa"/>
            <w:tcMar>
              <w:top w:w="0" w:type="dxa"/>
              <w:left w:w="0" w:type="dxa"/>
              <w:bottom w:w="0" w:type="dxa"/>
              <w:right w:w="0" w:type="dxa"/>
            </w:tcMar>
          </w:tcPr>
          <w:p>
            <w:pPr>
              <w:spacing w:before="180"/>
              <w:ind w:left="100"/>
            </w:pPr>
            <w:r>
              <w:rPr>
                <w:rFonts w:hint="eastAsia" w:ascii="Times New Roman" w:hAnsi="Times New Roman" w:eastAsia="Times New Roman" w:cs="Times New Roman"/>
                <w:sz w:val="21"/>
              </w:rPr>
              <w:t>1-2</w:t>
            </w:r>
            <w:r>
              <w:rPr>
                <w:rFonts w:hint="eastAsia" w:ascii="宋体" w:hAnsi="宋体" w:eastAsia="宋体" w:cs="宋体"/>
                <w:sz w:val="21"/>
              </w:rPr>
              <w:t xml:space="preserve"> 年</w:t>
            </w:r>
          </w:p>
        </w:tc>
        <w:tc>
          <w:tcPr>
            <w:tcW w:w="1740" w:type="dxa"/>
            <w:tcMar>
              <w:top w:w="0" w:type="dxa"/>
              <w:left w:w="0" w:type="dxa"/>
              <w:bottom w:w="0" w:type="dxa"/>
              <w:right w:w="0" w:type="dxa"/>
            </w:tcMar>
          </w:tcPr>
          <w:p>
            <w:pPr>
              <w:spacing w:before="240"/>
              <w:ind w:left="134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40"/>
              <w:ind w:left="12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p>
        </w:tc>
        <w:tc>
          <w:tcPr>
            <w:tcW w:w="1760" w:type="dxa"/>
            <w:tcMar>
              <w:top w:w="0" w:type="dxa"/>
              <w:left w:w="0" w:type="dxa"/>
              <w:bottom w:w="0" w:type="dxa"/>
              <w:right w:w="0" w:type="dxa"/>
            </w:tcMar>
          </w:tcPr>
          <w:p>
            <w:pPr>
              <w:spacing w:before="240"/>
              <w:ind w:left="13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40"/>
              <w:ind w:left="12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p>
        </w:tc>
      </w:tr>
      <w:tr>
        <w:trPr>
          <w:trHeight w:val="640" w:hRule="exact"/>
        </w:trPr>
        <w:tc>
          <w:tcPr>
            <w:tcW w:w="228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21"/>
              </w:rPr>
              <w:t>2-3</w:t>
            </w:r>
            <w:r>
              <w:rPr>
                <w:rFonts w:hint="eastAsia" w:ascii="宋体" w:hAnsi="宋体" w:eastAsia="宋体" w:cs="宋体"/>
                <w:sz w:val="21"/>
              </w:rPr>
              <w:t xml:space="preserve"> 年</w:t>
            </w:r>
          </w:p>
        </w:tc>
        <w:tc>
          <w:tcPr>
            <w:tcW w:w="1740" w:type="dxa"/>
            <w:tcMar>
              <w:top w:w="0" w:type="dxa"/>
              <w:left w:w="0" w:type="dxa"/>
              <w:bottom w:w="0" w:type="dxa"/>
              <w:right w:w="0" w:type="dxa"/>
            </w:tcMar>
          </w:tcPr>
          <w:p>
            <w:pPr>
              <w:spacing w:before="240"/>
              <w:ind w:left="124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40"/>
              <w:ind w:left="12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p>
        </w:tc>
        <w:tc>
          <w:tcPr>
            <w:tcW w:w="1760" w:type="dxa"/>
            <w:tcMar>
              <w:top w:w="0" w:type="dxa"/>
              <w:left w:w="0" w:type="dxa"/>
              <w:bottom w:w="0" w:type="dxa"/>
              <w:right w:w="0" w:type="dxa"/>
            </w:tcMar>
          </w:tcPr>
          <w:p>
            <w:pPr>
              <w:spacing w:before="240"/>
              <w:ind w:left="124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40"/>
              <w:ind w:left="124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p>
        </w:tc>
      </w:tr>
      <w:tr>
        <w:trPr>
          <w:trHeight w:val="620" w:hRule="exact"/>
        </w:trPr>
        <w:tc>
          <w:tcPr>
            <w:tcW w:w="228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21"/>
              </w:rPr>
              <w:t>3</w:t>
            </w:r>
            <w:r>
              <w:rPr>
                <w:rFonts w:hint="eastAsia" w:ascii="宋体" w:hAnsi="宋体" w:eastAsia="宋体" w:cs="宋体"/>
                <w:sz w:val="21"/>
              </w:rPr>
              <w:t xml:space="preserve"> 年以上</w:t>
            </w:r>
          </w:p>
        </w:tc>
        <w:tc>
          <w:tcPr>
            <w:tcW w:w="1740" w:type="dxa"/>
            <w:tcMar>
              <w:top w:w="0" w:type="dxa"/>
              <w:left w:w="0" w:type="dxa"/>
              <w:bottom w:w="0" w:type="dxa"/>
              <w:right w:w="0" w:type="dxa"/>
            </w:tcMar>
          </w:tcPr>
          <w:p>
            <w:pPr>
              <w:spacing w:before="220"/>
              <w:ind w:left="124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20"/>
              <w:ind w:left="114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p>
        </w:tc>
        <w:tc>
          <w:tcPr>
            <w:tcW w:w="1760" w:type="dxa"/>
            <w:tcMar>
              <w:top w:w="0" w:type="dxa"/>
              <w:left w:w="0" w:type="dxa"/>
              <w:bottom w:w="0" w:type="dxa"/>
              <w:right w:w="0" w:type="dxa"/>
            </w:tcMar>
          </w:tcPr>
          <w:p>
            <w:pPr>
              <w:spacing w:before="220"/>
              <w:ind w:left="124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20"/>
              <w:ind w:left="114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宋体" w:hAnsi="宋体" w:eastAsia="宋体" w:cs="宋体"/>
          <w:sz w:val="24"/>
        </w:rPr>
        <w:t>与同行业上市公司相比较而言</w:t>
      </w:r>
      <w:r>
        <w:rPr>
          <w:rFonts w:hint="eastAsia" w:ascii="宋体" w:hAnsi="宋体" w:eastAsia="宋体" w:cs="宋体"/>
          <w:sz w:val="10"/>
        </w:rPr>
        <w:t>，</w:t>
      </w:r>
      <w:r>
        <w:rPr>
          <w:rFonts w:hint="eastAsia" w:ascii="宋体" w:hAnsi="宋体" w:eastAsia="宋体" w:cs="宋体"/>
          <w:sz w:val="24"/>
        </w:rPr>
        <w:t>公司应收账款坏账准备计提政策不存在重大差异</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）预付款项</w:t>
      </w:r>
    </w:p>
    <w:p>
      <w:pPr>
        <w:spacing w:line="200" w:lineRule="exact"/>
        <w:rPr>
          <w:rFonts w:hint="eastAsia" w:ascii="宋体" w:hAnsi="宋体" w:eastAsia="宋体" w:cs="宋体"/>
          <w:sz w:val="20"/>
        </w:rPr>
      </w:pPr>
    </w:p>
    <w:p>
      <w:pPr>
        <w:autoSpaceDE w:val="false"/>
        <w:autoSpaceDN w:val="false"/>
        <w:spacing w:line="440" w:lineRule="exact"/>
        <w:ind w:left="1440" w:right="138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公司预付款项余额分别为</w:t>
      </w:r>
      <w:r>
        <w:rPr>
          <w:rFonts w:hint="eastAsia" w:ascii="Times New Roman" w:hAnsi="Times New Roman" w:eastAsia="Times New Roman" w:cs="Times New Roman"/>
          <w:sz w:val="24"/>
        </w:rPr>
        <w:t xml:space="preserve"> 1,254,250.50</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1,597,563.39</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1,500,186.37</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占流动资产的比例分别为</w:t>
      </w:r>
      <w:r>
        <w:rPr>
          <w:rFonts w:hint="eastAsia" w:ascii="Times New Roman" w:hAnsi="Times New Roman" w:eastAsia="Times New Roman" w:cs="Times New Roman"/>
          <w:sz w:val="24"/>
        </w:rPr>
        <w:t xml:space="preserve"> 0.52%</w:t>
      </w:r>
      <w:r>
        <w:rPr>
          <w:rFonts w:hint="eastAsia" w:ascii="宋体" w:hAnsi="宋体" w:eastAsia="宋体" w:cs="宋体"/>
          <w:sz w:val="10"/>
        </w:rPr>
        <w:t>、</w:t>
      </w:r>
      <w:r>
        <w:rPr>
          <w:rFonts w:hint="eastAsia" w:ascii="Times New Roman" w:hAnsi="Times New Roman" w:eastAsia="Times New Roman" w:cs="Times New Roman"/>
          <w:sz w:val="24"/>
        </w:rPr>
        <w:t>0.34%</w:t>
      </w:r>
      <w:r>
        <w:rPr>
          <w:rFonts w:hint="eastAsia" w:ascii="宋体" w:hAnsi="宋体" w:eastAsia="宋体" w:cs="宋体"/>
          <w:sz w:val="24"/>
        </w:rPr>
        <w:t>和</w:t>
      </w:r>
      <w:r>
        <w:rPr>
          <w:rFonts w:hint="eastAsia" w:ascii="Times New Roman" w:hAnsi="Times New Roman" w:eastAsia="Times New Roman" w:cs="Times New Roman"/>
          <w:sz w:val="24"/>
        </w:rPr>
        <w:t xml:space="preserve"> 0.26%</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报告期内各期末预付款项金额较低</w:t>
      </w:r>
      <w:r>
        <w:rPr>
          <w:rFonts w:hint="eastAsia" w:ascii="宋体" w:hAnsi="宋体" w:eastAsia="宋体" w:cs="宋体"/>
          <w:sz w:val="10"/>
        </w:rPr>
        <w:t>，</w:t>
      </w:r>
      <w:r>
        <w:rPr>
          <w:rFonts w:hint="eastAsia" w:ascii="宋体" w:hAnsi="宋体" w:eastAsia="宋体" w:cs="宋体"/>
          <w:sz w:val="24"/>
        </w:rPr>
        <w:t>主要内容为预付材料采购款及房屋租金</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预付款项中无预付持有本公司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以上表决权股份的股东款项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1-1-260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0"/>
        </w:rPr>
        <w:t>（</w:t>
      </w:r>
      <w:r>
        <w:rPr>
          <w:rFonts w:hint="eastAsia" w:ascii="Times New Roman" w:hAnsi="Times New Roman" w:eastAsia="Times New Roman" w:cs="Times New Roman"/>
          <w:sz w:val="24"/>
        </w:rPr>
        <w:t>4</w:t>
      </w:r>
      <w:r>
        <w:rPr>
          <w:rFonts w:hint="eastAsia" w:ascii="宋体" w:hAnsi="宋体" w:eastAsia="宋体" w:cs="宋体"/>
          <w:sz w:val="24"/>
        </w:rPr>
        <w:t>）其他应收款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38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公司其他应收款分别为</w:t>
      </w:r>
      <w:r>
        <w:rPr>
          <w:rFonts w:hint="eastAsia" w:ascii="Times New Roman" w:hAnsi="Times New Roman" w:eastAsia="Times New Roman" w:cs="Times New Roman"/>
          <w:sz w:val="24"/>
        </w:rPr>
        <w:t xml:space="preserve"> 2,412,293.10</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4,348,056.37</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5,286,351.01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占流动资产的比例分别为</w:t>
      </w:r>
      <w:r>
        <w:rPr>
          <w:rFonts w:hint="eastAsia" w:ascii="Times New Roman" w:hAnsi="Times New Roman" w:eastAsia="Times New Roman" w:cs="Times New Roman"/>
          <w:sz w:val="24"/>
        </w:rPr>
        <w:t xml:space="preserve"> 0.99%</w:t>
      </w:r>
      <w:r>
        <w:rPr>
          <w:rFonts w:hint="eastAsia" w:ascii="宋体" w:hAnsi="宋体" w:eastAsia="宋体" w:cs="宋体"/>
          <w:sz w:val="10"/>
        </w:rPr>
        <w:t>、</w:t>
      </w:r>
      <w:r>
        <w:rPr>
          <w:rFonts w:hint="eastAsia" w:ascii="Times New Roman" w:hAnsi="Times New Roman" w:eastAsia="Times New Roman" w:cs="Times New Roman"/>
          <w:sz w:val="24"/>
        </w:rPr>
        <w:t>0.92%</w:t>
      </w:r>
      <w:r>
        <w:rPr>
          <w:rFonts w:hint="eastAsia" w:ascii="宋体" w:hAnsi="宋体" w:eastAsia="宋体" w:cs="宋体"/>
          <w:sz w:val="24"/>
        </w:rPr>
        <w:t>和</w:t>
      </w:r>
      <w:r>
        <w:rPr>
          <w:rFonts w:hint="eastAsia" w:ascii="Times New Roman" w:hAnsi="Times New Roman" w:eastAsia="Times New Roman" w:cs="Times New Roman"/>
          <w:sz w:val="24"/>
        </w:rPr>
        <w:t xml:space="preserve"> 0.92%</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24"/>
        </w:rPr>
        <w:t>其他应收款主要为备用金</w:t>
      </w:r>
      <w:r>
        <w:rPr>
          <w:rFonts w:hint="eastAsia" w:ascii="宋体" w:hAnsi="宋体" w:eastAsia="宋体" w:cs="宋体"/>
          <w:sz w:val="10"/>
        </w:rPr>
        <w:t>、</w:t>
      </w:r>
      <w:r>
        <w:rPr>
          <w:rFonts w:hint="eastAsia" w:ascii="宋体" w:hAnsi="宋体" w:eastAsia="宋体" w:cs="宋体"/>
          <w:sz w:val="24"/>
        </w:rPr>
        <w:t>押金及保证金</w:t>
      </w:r>
      <w:r>
        <w:rPr>
          <w:rFonts w:hint="eastAsia" w:ascii="宋体" w:hAnsi="宋体" w:eastAsia="宋体" w:cs="宋体"/>
          <w:sz w:val="10"/>
        </w:rPr>
        <w:t>、</w:t>
      </w:r>
      <w:r>
        <w:rPr>
          <w:rFonts w:hint="eastAsia" w:ascii="宋体" w:hAnsi="宋体" w:eastAsia="宋体" w:cs="宋体"/>
          <w:sz w:val="24"/>
        </w:rPr>
        <w:t>上市服务费等</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5</w:t>
      </w:r>
      <w:r>
        <w:rPr>
          <w:rFonts w:hint="eastAsia" w:ascii="宋体" w:hAnsi="宋体" w:eastAsia="宋体" w:cs="宋体"/>
          <w:sz w:val="24"/>
        </w:rPr>
        <w:t>）存货</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①报告期各期末存货的变化情况</w:t>
      </w:r>
    </w:p>
    <w:p>
      <w:pPr>
        <w:spacing w:line="200" w:lineRule="exact"/>
        <w:rPr>
          <w:rFonts w:hint="eastAsia" w:ascii="宋体" w:hAnsi="宋体" w:eastAsia="宋体" w:cs="宋体"/>
          <w:sz w:val="20"/>
        </w:rPr>
      </w:pPr>
    </w:p>
    <w:p>
      <w:pPr>
        <w:autoSpaceDE w:val="false"/>
        <w:autoSpaceDN w:val="false"/>
        <w:spacing w:line="440" w:lineRule="exact"/>
        <w:ind w:left="1440" w:right="128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公司存货账面价值分别为</w:t>
      </w:r>
      <w:r>
        <w:rPr>
          <w:rFonts w:hint="eastAsia" w:ascii="Times New Roman" w:hAnsi="Times New Roman" w:eastAsia="Times New Roman" w:cs="Times New Roman"/>
          <w:sz w:val="24"/>
        </w:rPr>
        <w:t xml:space="preserve"> 20,858,446.64</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26,944,719.54</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36,268,577.00</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占流动资产的比例分别为</w:t>
      </w:r>
      <w:r>
        <w:rPr>
          <w:rFonts w:hint="eastAsia" w:ascii="Times New Roman" w:hAnsi="Times New Roman" w:eastAsia="Times New Roman" w:cs="Times New Roman"/>
          <w:sz w:val="24"/>
        </w:rPr>
        <w:t xml:space="preserve"> 8.59%</w:t>
      </w:r>
      <w:r>
        <w:rPr>
          <w:rFonts w:hint="eastAsia" w:ascii="宋体" w:hAnsi="宋体" w:eastAsia="宋体" w:cs="宋体"/>
          <w:sz w:val="10"/>
        </w:rPr>
        <w:t>、</w:t>
      </w:r>
      <w:r>
        <w:rPr>
          <w:rFonts w:hint="eastAsia" w:ascii="Times New Roman" w:hAnsi="Times New Roman" w:eastAsia="Times New Roman" w:cs="Times New Roman"/>
          <w:sz w:val="24"/>
        </w:rPr>
        <w:t>5.70%</w:t>
      </w:r>
      <w:r>
        <w:rPr>
          <w:rFonts w:hint="eastAsia" w:ascii="宋体" w:hAnsi="宋体" w:eastAsia="宋体" w:cs="宋体"/>
          <w:sz w:val="24"/>
        </w:rPr>
        <w:t>和</w:t>
      </w:r>
      <w:r>
        <w:rPr>
          <w:rFonts w:hint="eastAsia" w:ascii="Times New Roman" w:hAnsi="Times New Roman" w:eastAsia="Times New Roman" w:cs="Times New Roman"/>
          <w:sz w:val="24"/>
        </w:rPr>
        <w:t xml:space="preserve"> 6.31%</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公司的存货分为劳务成本</w:t>
      </w:r>
      <w:r>
        <w:rPr>
          <w:rFonts w:hint="eastAsia" w:ascii="宋体" w:hAnsi="宋体" w:eastAsia="宋体" w:cs="宋体"/>
          <w:sz w:val="10"/>
        </w:rPr>
        <w:t>、</w:t>
      </w:r>
      <w:r>
        <w:rPr>
          <w:rFonts w:hint="eastAsia" w:ascii="宋体" w:hAnsi="宋体" w:eastAsia="宋体" w:cs="宋体"/>
          <w:sz w:val="24"/>
        </w:rPr>
        <w:t>发出商品和库存商品三大类</w:t>
      </w:r>
      <w:r>
        <w:rPr>
          <w:rFonts w:hint="eastAsia" w:ascii="宋体" w:hAnsi="宋体" w:eastAsia="宋体" w:cs="宋体"/>
          <w:sz w:val="10"/>
        </w:rPr>
        <w:t>，</w:t>
      </w:r>
      <w:r>
        <w:rPr>
          <w:rFonts w:hint="eastAsia" w:ascii="宋体" w:hAnsi="宋体" w:eastAsia="宋体" w:cs="宋体"/>
          <w:sz w:val="24"/>
        </w:rPr>
        <w:t>报告期各期末公司存货明细及账面价值情况如下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00"/>
        <w:gridCol w:w="1700"/>
        <w:gridCol w:w="1140"/>
        <w:gridCol w:w="1560"/>
        <w:gridCol w:w="1120"/>
        <w:gridCol w:w="1560"/>
        <w:gridCol w:w="1080"/>
      </w:tblGrid>
      <w:tr>
        <w:trPr>
          <w:trHeight w:val="480" w:hRule="exact"/>
        </w:trPr>
        <w:tc>
          <w:tcPr>
            <w:tcW w:w="1100" w:type="dxa"/>
            <w:vMerge w:val="restart"/>
            <w:tcMar>
              <w:top w:w="0" w:type="dxa"/>
              <w:left w:w="0" w:type="dxa"/>
              <w:bottom w:w="0" w:type="dxa"/>
              <w:right w:w="0" w:type="dxa"/>
            </w:tcMar>
          </w:tcPr>
          <w:p>
            <w:pPr>
              <w:spacing w:before="360"/>
              <w:ind w:left="320"/>
            </w:pPr>
            <w:r>
              <w:rPr>
                <w:rFonts w:hint="eastAsia" w:ascii="宋体" w:hAnsi="宋体" w:eastAsia="宋体" w:cs="宋体"/>
                <w:b/>
                <w:sz w:val="21"/>
              </w:rPr>
              <w:t>项目</w:t>
            </w:r>
          </w:p>
        </w:tc>
        <w:tc>
          <w:tcPr>
            <w:tcW w:w="2840" w:type="dxa"/>
            <w:gridSpan w:val="2"/>
            <w:tcMar>
              <w:top w:w="0" w:type="dxa"/>
              <w:left w:w="0" w:type="dxa"/>
              <w:bottom w:w="0" w:type="dxa"/>
              <w:right w:w="0" w:type="dxa"/>
            </w:tcMar>
          </w:tcPr>
          <w:p>
            <w:pPr>
              <w:spacing w:before="180"/>
              <w:ind w:left="900"/>
            </w:pPr>
            <w:r>
              <w:rPr>
                <w:rFonts w:hint="eastAsia" w:ascii="Times New Roman Bold" w:hAnsi="Times New Roman Bold" w:eastAsia="Times New Roman Bold" w:cs="Times New Roman Bold"/>
                <w:b/>
                <w:sz w:val="21"/>
              </w:rPr>
              <w:t>2016-12-31</w:t>
            </w:r>
          </w:p>
        </w:tc>
        <w:tc>
          <w:tcPr>
            <w:tcW w:w="2680" w:type="dxa"/>
            <w:gridSpan w:val="2"/>
            <w:tcMar>
              <w:top w:w="0" w:type="dxa"/>
              <w:left w:w="0" w:type="dxa"/>
              <w:bottom w:w="0" w:type="dxa"/>
              <w:right w:w="0" w:type="dxa"/>
            </w:tcMar>
          </w:tcPr>
          <w:p>
            <w:pPr>
              <w:spacing w:before="180"/>
              <w:ind w:left="840"/>
            </w:pPr>
            <w:r>
              <w:rPr>
                <w:rFonts w:hint="eastAsia" w:ascii="Times New Roman Bold" w:hAnsi="Times New Roman Bold" w:eastAsia="Times New Roman Bold" w:cs="Times New Roman Bold"/>
                <w:b/>
                <w:sz w:val="21"/>
              </w:rPr>
              <w:t>2015-12-31</w:t>
            </w:r>
          </w:p>
        </w:tc>
        <w:tc>
          <w:tcPr>
            <w:tcW w:w="2640" w:type="dxa"/>
            <w:gridSpan w:val="2"/>
            <w:tcMar>
              <w:top w:w="0" w:type="dxa"/>
              <w:left w:w="0" w:type="dxa"/>
              <w:bottom w:w="0" w:type="dxa"/>
              <w:right w:w="0" w:type="dxa"/>
            </w:tcMar>
          </w:tcPr>
          <w:p>
            <w:pPr>
              <w:spacing w:before="180"/>
              <w:ind w:left="820"/>
            </w:pPr>
            <w:r>
              <w:rPr>
                <w:rFonts w:hint="eastAsia" w:ascii="Times New Roman Bold" w:hAnsi="Times New Roman Bold" w:eastAsia="Times New Roman Bold" w:cs="Times New Roman Bold"/>
                <w:b/>
                <w:sz w:val="21"/>
              </w:rPr>
              <w:t>2014-12-31</w:t>
            </w:r>
          </w:p>
        </w:tc>
      </w:tr>
      <w:tr>
        <w:trPr>
          <w:trHeight w:val="480" w:hRule="exact"/>
        </w:trPr>
        <w:tc>
          <w:tcPr>
            <w:tcW w:w="1100" w:type="dxa"/>
            <w:vMerge w:val="continue"/>
            <w:tcMar>
              <w:top w:w="0" w:type="dxa"/>
              <w:left w:w="0" w:type="dxa"/>
              <w:bottom w:w="0" w:type="dxa"/>
              <w:right w:w="0" w:type="dxa"/>
            </w:tcMar>
          </w:tcPr>
          <w:p/>
        </w:tc>
        <w:tc>
          <w:tcPr>
            <w:tcW w:w="1700" w:type="dxa"/>
            <w:tcMar>
              <w:top w:w="0" w:type="dxa"/>
              <w:left w:w="0" w:type="dxa"/>
              <w:bottom w:w="0" w:type="dxa"/>
              <w:right w:w="0" w:type="dxa"/>
            </w:tcMar>
          </w:tcPr>
          <w:p>
            <w:pPr>
              <w:spacing w:before="120"/>
              <w:ind w:left="620"/>
            </w:pPr>
            <w:r>
              <w:rPr>
                <w:rFonts w:hint="eastAsia" w:ascii="宋体" w:hAnsi="宋体" w:eastAsia="宋体" w:cs="宋体"/>
                <w:b/>
                <w:sz w:val="21"/>
              </w:rPr>
              <w:t>金额</w:t>
            </w:r>
          </w:p>
        </w:tc>
        <w:tc>
          <w:tcPr>
            <w:tcW w:w="1140" w:type="dxa"/>
            <w:tcMar>
              <w:top w:w="0" w:type="dxa"/>
              <w:left w:w="0" w:type="dxa"/>
              <w:bottom w:w="0" w:type="dxa"/>
              <w:right w:w="0" w:type="dxa"/>
            </w:tcMar>
          </w:tcPr>
          <w:p>
            <w:pPr>
              <w:spacing w:before="120"/>
              <w:ind w:left="34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20"/>
              <w:ind w:left="540"/>
            </w:pPr>
            <w:r>
              <w:rPr>
                <w:rFonts w:hint="eastAsia" w:ascii="宋体" w:hAnsi="宋体" w:eastAsia="宋体" w:cs="宋体"/>
                <w:b/>
                <w:sz w:val="21"/>
              </w:rPr>
              <w:t>金额</w:t>
            </w:r>
          </w:p>
        </w:tc>
        <w:tc>
          <w:tcPr>
            <w:tcW w:w="1120" w:type="dxa"/>
            <w:tcMar>
              <w:top w:w="0" w:type="dxa"/>
              <w:left w:w="0" w:type="dxa"/>
              <w:bottom w:w="0" w:type="dxa"/>
              <w:right w:w="0" w:type="dxa"/>
            </w:tcMar>
          </w:tcPr>
          <w:p>
            <w:pPr>
              <w:spacing w:before="120"/>
              <w:ind w:left="34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20"/>
              <w:ind w:left="56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20"/>
              <w:ind w:left="320"/>
            </w:pPr>
            <w:r>
              <w:rPr>
                <w:rFonts w:hint="eastAsia" w:ascii="宋体" w:hAnsi="宋体" w:eastAsia="宋体" w:cs="宋体"/>
                <w:b/>
                <w:sz w:val="21"/>
              </w:rPr>
              <w:t>比例</w:t>
            </w:r>
          </w:p>
        </w:tc>
      </w:tr>
      <w:tr>
        <w:trPr>
          <w:trHeight w:val="480" w:hRule="exact"/>
        </w:trPr>
        <w:tc>
          <w:tcPr>
            <w:tcW w:w="1100" w:type="dxa"/>
            <w:tcMar>
              <w:top w:w="0" w:type="dxa"/>
              <w:left w:w="0" w:type="dxa"/>
              <w:bottom w:w="0" w:type="dxa"/>
              <w:right w:w="0" w:type="dxa"/>
            </w:tcMar>
          </w:tcPr>
          <w:p>
            <w:pPr>
              <w:spacing w:before="100"/>
              <w:ind w:left="120"/>
            </w:pPr>
            <w:r>
              <w:rPr>
                <w:rFonts w:hint="eastAsia" w:ascii="宋体" w:hAnsi="宋体" w:eastAsia="宋体" w:cs="宋体"/>
                <w:sz w:val="21"/>
              </w:rPr>
              <w:t>劳务成本</w:t>
            </w:r>
          </w:p>
        </w:tc>
        <w:tc>
          <w:tcPr>
            <w:tcW w:w="170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c>
          <w:tcPr>
            <w:tcW w:w="114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112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108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w:t>
            </w:r>
            <w:r>
              <w:rPr>
                <w:rFonts w:hint="eastAsia" w:ascii="Times New Roman" w:hAnsi="Times New Roman" w:eastAsia="Times New Roman" w:cs="Times New Roman"/>
                <w:sz w:val="20"/>
              </w:rPr>
              <w:t>%</w:t>
            </w:r>
          </w:p>
        </w:tc>
      </w:tr>
      <w:tr>
        <w:trPr>
          <w:trHeight w:val="480" w:hRule="exact"/>
        </w:trPr>
        <w:tc>
          <w:tcPr>
            <w:tcW w:w="1100" w:type="dxa"/>
            <w:tcMar>
              <w:top w:w="0" w:type="dxa"/>
              <w:left w:w="0" w:type="dxa"/>
              <w:bottom w:w="0" w:type="dxa"/>
              <w:right w:w="0" w:type="dxa"/>
            </w:tcMar>
          </w:tcPr>
          <w:p>
            <w:pPr>
              <w:spacing w:before="120"/>
              <w:ind w:left="120"/>
            </w:pPr>
            <w:r>
              <w:rPr>
                <w:rFonts w:hint="eastAsia" w:ascii="宋体" w:hAnsi="宋体" w:eastAsia="宋体" w:cs="宋体"/>
                <w:sz w:val="21"/>
              </w:rPr>
              <w:t>发出商品</w:t>
            </w:r>
          </w:p>
        </w:tc>
        <w:tc>
          <w:tcPr>
            <w:tcW w:w="17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114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p>
        </w:tc>
        <w:tc>
          <w:tcPr>
            <w:tcW w:w="11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p>
        </w:tc>
        <w:tc>
          <w:tcPr>
            <w:tcW w:w="10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p>
        </w:tc>
      </w:tr>
      <w:tr>
        <w:trPr>
          <w:trHeight w:val="460" w:hRule="exact"/>
        </w:trPr>
        <w:tc>
          <w:tcPr>
            <w:tcW w:w="1100" w:type="dxa"/>
            <w:tcMar>
              <w:top w:w="0" w:type="dxa"/>
              <w:left w:w="0" w:type="dxa"/>
              <w:bottom w:w="0" w:type="dxa"/>
              <w:right w:w="0" w:type="dxa"/>
            </w:tcMar>
          </w:tcPr>
          <w:p>
            <w:pPr>
              <w:spacing w:before="100"/>
              <w:ind w:left="120"/>
            </w:pPr>
            <w:r>
              <w:rPr>
                <w:rFonts w:hint="eastAsia" w:ascii="宋体" w:hAnsi="宋体" w:eastAsia="宋体" w:cs="宋体"/>
                <w:sz w:val="21"/>
              </w:rPr>
              <w:t>库存商品</w:t>
            </w:r>
          </w:p>
        </w:tc>
        <w:tc>
          <w:tcPr>
            <w:tcW w:w="170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114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11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10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p>
        </w:tc>
      </w:tr>
      <w:tr>
        <w:trPr>
          <w:trHeight w:val="480" w:hRule="exact"/>
        </w:trPr>
        <w:tc>
          <w:tcPr>
            <w:tcW w:w="1100" w:type="dxa"/>
            <w:tcMar>
              <w:top w:w="0" w:type="dxa"/>
              <w:left w:w="0" w:type="dxa"/>
              <w:bottom w:w="0" w:type="dxa"/>
              <w:right w:w="0" w:type="dxa"/>
            </w:tcMar>
          </w:tcPr>
          <w:p>
            <w:pPr>
              <w:spacing w:before="120"/>
              <w:ind w:left="320"/>
            </w:pPr>
            <w:r>
              <w:rPr>
                <w:rFonts w:hint="eastAsia" w:ascii="宋体" w:hAnsi="宋体" w:eastAsia="宋体" w:cs="宋体"/>
                <w:b/>
                <w:sz w:val="21"/>
              </w:rPr>
              <w:t>总计</w:t>
            </w:r>
          </w:p>
        </w:tc>
        <w:tc>
          <w:tcPr>
            <w:tcW w:w="1700" w:type="dxa"/>
            <w:tcMar>
              <w:top w:w="0" w:type="dxa"/>
              <w:left w:w="0" w:type="dxa"/>
              <w:bottom w:w="0" w:type="dxa"/>
              <w:right w:w="0" w:type="dxa"/>
            </w:tcMar>
          </w:tcPr>
          <w:p>
            <w:pPr>
              <w:spacing w:before="180"/>
              <w:ind w:left="360"/>
            </w:pPr>
            <w:r>
              <w:rPr>
                <w:rFonts w:hint="eastAsia" w:ascii="Times New Roman Bold" w:hAnsi="Times New Roman Bold" w:eastAsia="Times New Roman Bold" w:cs="Times New Roman Bold"/>
                <w:b/>
                <w:sz w:val="21"/>
              </w:rPr>
              <w:t>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268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577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c>
          <w:tcPr>
            <w:tcW w:w="1140" w:type="dxa"/>
            <w:tcMar>
              <w:top w:w="0" w:type="dxa"/>
              <w:left w:w="0" w:type="dxa"/>
              <w:bottom w:w="0" w:type="dxa"/>
              <w:right w:w="0" w:type="dxa"/>
            </w:tcMar>
          </w:tcPr>
          <w:p>
            <w:pPr>
              <w:spacing w:before="18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80"/>
              <w:ind w:left="220"/>
            </w:pPr>
            <w:r>
              <w:rPr>
                <w:rFonts w:hint="eastAsia" w:ascii="Times New Roman Bold" w:hAnsi="Times New Roman Bold" w:eastAsia="Times New Roman Bold" w:cs="Times New Roman Bold"/>
                <w:b/>
                <w:sz w:val="21"/>
              </w:rPr>
              <w:t>26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w:t>
            </w:r>
          </w:p>
        </w:tc>
        <w:tc>
          <w:tcPr>
            <w:tcW w:w="1120" w:type="dxa"/>
            <w:tcMar>
              <w:top w:w="0" w:type="dxa"/>
              <w:left w:w="0" w:type="dxa"/>
              <w:bottom w:w="0" w:type="dxa"/>
              <w:right w:w="0" w:type="dxa"/>
            </w:tcMar>
          </w:tcPr>
          <w:p>
            <w:pPr>
              <w:spacing w:before="18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80"/>
              <w:ind w:left="240"/>
            </w:pPr>
            <w:r>
              <w:rPr>
                <w:rFonts w:hint="eastAsia" w:ascii="Times New Roman Bold" w:hAnsi="Times New Roman Bold" w:eastAsia="Times New Roman Bold" w:cs="Times New Roman Bold"/>
                <w:b/>
                <w:sz w:val="21"/>
              </w:rPr>
              <w:t>20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w:t>
            </w:r>
          </w:p>
        </w:tc>
        <w:tc>
          <w:tcPr>
            <w:tcW w:w="1080" w:type="dxa"/>
            <w:tcMar>
              <w:top w:w="0" w:type="dxa"/>
              <w:left w:w="0" w:type="dxa"/>
              <w:bottom w:w="0" w:type="dxa"/>
              <w:right w:w="0" w:type="dxa"/>
            </w:tcMar>
          </w:tcPr>
          <w:p>
            <w:pPr>
              <w:spacing w:before="180"/>
              <w:ind w:left="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劳务成本为发行人定制软件业务期末在执行的</w:t>
      </w:r>
      <w:r>
        <w:rPr>
          <w:rFonts w:hint="eastAsia" w:ascii="宋体" w:hAnsi="宋体" w:eastAsia="宋体" w:cs="宋体"/>
          <w:sz w:val="10"/>
        </w:rPr>
        <w:t>、</w:t>
      </w:r>
      <w:r>
        <w:rPr>
          <w:rFonts w:hint="eastAsia" w:ascii="宋体" w:hAnsi="宋体" w:eastAsia="宋体" w:cs="宋体"/>
          <w:sz w:val="24"/>
        </w:rPr>
        <w:t>尚未验收的项目已发生的人工</w:t>
      </w:r>
      <w:r>
        <w:rPr>
          <w:rFonts w:hint="eastAsia" w:ascii="宋体" w:hAnsi="宋体" w:eastAsia="宋体" w:cs="宋体"/>
          <w:sz w:val="10"/>
        </w:rPr>
        <w:t>、</w:t>
      </w:r>
      <w:r>
        <w:rPr>
          <w:rFonts w:hint="eastAsia" w:ascii="宋体" w:hAnsi="宋体" w:eastAsia="宋体" w:cs="宋体"/>
          <w:sz w:val="24"/>
        </w:rPr>
        <w:t>差旅等成本</w:t>
      </w:r>
      <w:r>
        <w:rPr>
          <w:rFonts w:hint="eastAsia" w:ascii="宋体" w:hAnsi="宋体" w:eastAsia="宋体" w:cs="宋体"/>
          <w:sz w:val="12"/>
        </w:rPr>
        <w:t>；</w:t>
      </w:r>
      <w:r>
        <w:rPr>
          <w:rFonts w:hint="eastAsia" w:ascii="宋体" w:hAnsi="宋体" w:eastAsia="宋体" w:cs="宋体"/>
          <w:sz w:val="24"/>
        </w:rPr>
        <w:t>发出商品为发行人外购的</w:t>
      </w:r>
      <w:r>
        <w:rPr>
          <w:rFonts w:hint="eastAsia" w:ascii="宋体" w:hAnsi="宋体" w:eastAsia="宋体" w:cs="宋体"/>
          <w:sz w:val="10"/>
        </w:rPr>
        <w:t>、</w:t>
      </w:r>
      <w:r>
        <w:rPr>
          <w:rFonts w:hint="eastAsia" w:ascii="宋体" w:hAnsi="宋体" w:eastAsia="宋体" w:cs="宋体"/>
          <w:sz w:val="24"/>
        </w:rPr>
        <w:t>期末尚未验收的软硬件产品</w:t>
      </w:r>
      <w:r>
        <w:rPr>
          <w:rFonts w:hint="eastAsia" w:ascii="宋体" w:hAnsi="宋体" w:eastAsia="宋体" w:cs="宋体"/>
          <w:sz w:val="12"/>
        </w:rPr>
        <w:t>；</w:t>
      </w:r>
      <w:r>
        <w:rPr>
          <w:rFonts w:hint="eastAsia" w:ascii="宋体" w:hAnsi="宋体" w:eastAsia="宋体" w:cs="宋体"/>
          <w:sz w:val="24"/>
        </w:rPr>
        <w:t>库存商品为尚未对外销售的小件电子设备</w:t>
      </w:r>
      <w:r>
        <w:rPr>
          <w:rFonts w:hint="eastAsia" w:ascii="宋体" w:hAnsi="宋体" w:eastAsia="宋体" w:cs="宋体"/>
          <w:sz w:val="10"/>
        </w:rPr>
        <w:t>。</w:t>
      </w:r>
      <w:r>
        <w:rPr>
          <w:rFonts w:hint="eastAsia" w:ascii="宋体" w:hAnsi="宋体" w:eastAsia="宋体" w:cs="宋体"/>
          <w:sz w:val="24"/>
        </w:rPr>
        <w:t>报告期各会计期末劳务成本余额较大</w:t>
      </w:r>
      <w:r>
        <w:rPr>
          <w:rFonts w:hint="eastAsia" w:ascii="宋体" w:hAnsi="宋体" w:eastAsia="宋体" w:cs="宋体"/>
          <w:sz w:val="10"/>
        </w:rPr>
        <w:t>，</w:t>
      </w:r>
      <w:r>
        <w:rPr>
          <w:rFonts w:hint="eastAsia" w:ascii="宋体" w:hAnsi="宋体" w:eastAsia="宋体" w:cs="宋体"/>
          <w:sz w:val="24"/>
        </w:rPr>
        <w:t>占存货余额的比例较高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年末发行人存货账面价值较</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年末增加</w:t>
      </w:r>
      <w:r>
        <w:rPr>
          <w:rFonts w:hint="eastAsia" w:ascii="Times New Roman" w:hAnsi="Times New Roman" w:eastAsia="Times New Roman" w:cs="Times New Roman"/>
          <w:sz w:val="24"/>
        </w:rPr>
        <w:t xml:space="preserve"> 6,086,272.90</w:t>
      </w:r>
      <w:r>
        <w:rPr>
          <w:rFonts w:hint="eastAsia" w:ascii="宋体" w:hAnsi="宋体" w:eastAsia="宋体" w:cs="宋体"/>
          <w:sz w:val="24"/>
        </w:rPr>
        <w:t xml:space="preserve"> 元</w:t>
      </w:r>
      <w:r>
        <w:rPr>
          <w:rFonts w:hint="eastAsia" w:ascii="宋体" w:hAnsi="宋体" w:eastAsia="宋体" w:cs="宋体"/>
          <w:sz w:val="12"/>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年末发行人存货账面价值较</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年末增加</w:t>
      </w:r>
      <w:r>
        <w:rPr>
          <w:rFonts w:hint="eastAsia" w:ascii="Times New Roman" w:hAnsi="Times New Roman" w:eastAsia="Times New Roman" w:cs="Times New Roman"/>
          <w:sz w:val="24"/>
        </w:rPr>
        <w:t xml:space="preserve"> 9,323,857.46</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主要是由于截至报告期各期期末</w:t>
      </w:r>
      <w:r>
        <w:rPr>
          <w:rFonts w:hint="eastAsia" w:ascii="宋体" w:hAnsi="宋体" w:eastAsia="宋体" w:cs="宋体"/>
          <w:sz w:val="10"/>
        </w:rPr>
        <w:t>，</w:t>
      </w:r>
      <w:r>
        <w:rPr>
          <w:rFonts w:hint="eastAsia" w:ascii="宋体" w:hAnsi="宋体" w:eastAsia="宋体" w:cs="宋体"/>
          <w:sz w:val="24"/>
        </w:rPr>
        <w:t>公司部分项目正在执行</w:t>
      </w:r>
      <w:r>
        <w:rPr>
          <w:rFonts w:hint="eastAsia" w:ascii="宋体" w:hAnsi="宋体" w:eastAsia="宋体" w:cs="宋体"/>
          <w:sz w:val="10"/>
        </w:rPr>
        <w:t>，</w:t>
      </w:r>
      <w:r>
        <w:rPr>
          <w:rFonts w:hint="eastAsia" w:ascii="宋体" w:hAnsi="宋体" w:eastAsia="宋体" w:cs="宋体"/>
          <w:sz w:val="24"/>
        </w:rPr>
        <w:t>未满足收入确认条件</w:t>
      </w:r>
      <w:r>
        <w:rPr>
          <w:rFonts w:hint="eastAsia" w:ascii="宋体" w:hAnsi="宋体" w:eastAsia="宋体" w:cs="宋体"/>
          <w:sz w:val="10"/>
        </w:rPr>
        <w:t>，</w:t>
      </w:r>
      <w:r>
        <w:rPr>
          <w:rFonts w:hint="eastAsia" w:ascii="宋体" w:hAnsi="宋体" w:eastAsia="宋体" w:cs="宋体"/>
          <w:sz w:val="24"/>
        </w:rPr>
        <w:t>已经发生的支出在存货中列示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公司均对存货进行减值测试</w:t>
      </w:r>
      <w:r>
        <w:rPr>
          <w:rFonts w:hint="eastAsia" w:ascii="宋体" w:hAnsi="宋体" w:eastAsia="宋体" w:cs="宋体"/>
          <w:sz w:val="10"/>
        </w:rPr>
        <w:t>，</w:t>
      </w:r>
      <w:r>
        <w:rPr>
          <w:rFonts w:hint="eastAsia" w:ascii="宋体" w:hAnsi="宋体" w:eastAsia="宋体" w:cs="宋体"/>
          <w:sz w:val="24"/>
        </w:rPr>
        <w:t>期末存货不存在减值迹象</w:t>
      </w:r>
      <w:r>
        <w:rPr>
          <w:rFonts w:hint="eastAsia" w:ascii="宋体" w:hAnsi="宋体" w:eastAsia="宋体" w:cs="宋体"/>
          <w:sz w:val="10"/>
        </w:rPr>
        <w:t>，</w:t>
      </w:r>
      <w:r>
        <w:rPr>
          <w:rFonts w:hint="eastAsia" w:ascii="宋体" w:hAnsi="宋体" w:eastAsia="宋体" w:cs="宋体"/>
          <w:sz w:val="24"/>
        </w:rPr>
        <w:t>无需计提存货跌价准备</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1-1-261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②发出商品的账龄分布</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发行人发出商品的账龄分布情况如下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0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1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080"/>
        <w:gridCol w:w="1580"/>
        <w:gridCol w:w="1100"/>
        <w:gridCol w:w="1660"/>
        <w:gridCol w:w="1080"/>
        <w:gridCol w:w="1680"/>
        <w:gridCol w:w="1080"/>
      </w:tblGrid>
      <w:tr>
        <w:trPr>
          <w:trHeight w:val="480" w:hRule="exact"/>
        </w:trPr>
        <w:tc>
          <w:tcPr>
            <w:tcW w:w="1080" w:type="dxa"/>
            <w:vMerge w:val="restart"/>
            <w:tcMar>
              <w:top w:w="0" w:type="dxa"/>
              <w:left w:w="0" w:type="dxa"/>
              <w:bottom w:w="0" w:type="dxa"/>
              <w:right w:w="0" w:type="dxa"/>
            </w:tcMar>
          </w:tcPr>
          <w:p>
            <w:pPr>
              <w:spacing w:before="340"/>
              <w:ind w:left="320"/>
            </w:pPr>
            <w:r>
              <w:rPr>
                <w:rFonts w:hint="eastAsia" w:ascii="宋体" w:hAnsi="宋体" w:eastAsia="宋体" w:cs="宋体"/>
                <w:b/>
                <w:sz w:val="21"/>
              </w:rPr>
              <w:t>项目</w:t>
            </w:r>
          </w:p>
        </w:tc>
        <w:tc>
          <w:tcPr>
            <w:tcW w:w="2680" w:type="dxa"/>
            <w:gridSpan w:val="2"/>
            <w:tcMar>
              <w:top w:w="0" w:type="dxa"/>
              <w:left w:w="0" w:type="dxa"/>
              <w:bottom w:w="0" w:type="dxa"/>
              <w:right w:w="0" w:type="dxa"/>
            </w:tcMar>
          </w:tcPr>
          <w:p>
            <w:pPr>
              <w:spacing w:before="180"/>
              <w:ind w:left="860"/>
            </w:pPr>
            <w:r>
              <w:rPr>
                <w:rFonts w:hint="eastAsia" w:ascii="Times New Roman Bold" w:hAnsi="Times New Roman Bold" w:eastAsia="Times New Roman Bold" w:cs="Times New Roman Bold"/>
                <w:b/>
                <w:sz w:val="21"/>
              </w:rPr>
              <w:t>2016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c>
          <w:tcPr>
            <w:tcW w:w="2740" w:type="dxa"/>
            <w:gridSpan w:val="2"/>
            <w:tcMar>
              <w:top w:w="0" w:type="dxa"/>
              <w:left w:w="0" w:type="dxa"/>
              <w:bottom w:w="0" w:type="dxa"/>
              <w:right w:w="0" w:type="dxa"/>
            </w:tcMar>
          </w:tcPr>
          <w:p>
            <w:pPr>
              <w:spacing w:before="180"/>
              <w:ind w:left="880"/>
            </w:pPr>
            <w:r>
              <w:rPr>
                <w:rFonts w:hint="eastAsia" w:ascii="Times New Roman Bold" w:hAnsi="Times New Roman Bold" w:eastAsia="Times New Roman Bold" w:cs="Times New Roman Bold"/>
                <w:b/>
                <w:sz w:val="21"/>
              </w:rPr>
              <w:t>2015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c>
          <w:tcPr>
            <w:tcW w:w="2760" w:type="dxa"/>
            <w:gridSpan w:val="2"/>
            <w:tcMar>
              <w:top w:w="0" w:type="dxa"/>
              <w:left w:w="0" w:type="dxa"/>
              <w:bottom w:w="0" w:type="dxa"/>
              <w:right w:w="0" w:type="dxa"/>
            </w:tcMar>
          </w:tcPr>
          <w:p>
            <w:pPr>
              <w:spacing w:before="180"/>
              <w:ind w:left="900"/>
            </w:pPr>
            <w:r>
              <w:rPr>
                <w:rFonts w:hint="eastAsia" w:ascii="Times New Roman Bold" w:hAnsi="Times New Roman Bold" w:eastAsia="Times New Roman Bold" w:cs="Times New Roman Bold"/>
                <w:b/>
                <w:sz w:val="21"/>
              </w:rPr>
              <w:t>2014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w:t>
            </w:r>
          </w:p>
        </w:tc>
      </w:tr>
      <w:tr>
        <w:trPr>
          <w:trHeight w:val="480" w:hRule="exact"/>
        </w:trPr>
        <w:tc>
          <w:tcPr>
            <w:tcW w:w="1080" w:type="dxa"/>
            <w:vMerge w:val="continue"/>
            <w:tcMar>
              <w:top w:w="0" w:type="dxa"/>
              <w:left w:w="0" w:type="dxa"/>
              <w:bottom w:w="0" w:type="dxa"/>
              <w:right w:w="0" w:type="dxa"/>
            </w:tcMar>
          </w:tcPr>
          <w:p/>
        </w:tc>
        <w:tc>
          <w:tcPr>
            <w:tcW w:w="1580" w:type="dxa"/>
            <w:tcMar>
              <w:top w:w="0" w:type="dxa"/>
              <w:left w:w="0" w:type="dxa"/>
              <w:bottom w:w="0" w:type="dxa"/>
              <w:right w:w="0" w:type="dxa"/>
            </w:tcMar>
          </w:tcPr>
          <w:p>
            <w:pPr>
              <w:spacing w:before="100"/>
              <w:ind w:left="580"/>
            </w:pPr>
            <w:r>
              <w:rPr>
                <w:rFonts w:hint="eastAsia" w:ascii="宋体" w:hAnsi="宋体" w:eastAsia="宋体" w:cs="宋体"/>
                <w:b/>
                <w:sz w:val="21"/>
              </w:rPr>
              <w:t>金额</w:t>
            </w:r>
          </w:p>
        </w:tc>
        <w:tc>
          <w:tcPr>
            <w:tcW w:w="1100" w:type="dxa"/>
            <w:tcMar>
              <w:top w:w="0" w:type="dxa"/>
              <w:left w:w="0" w:type="dxa"/>
              <w:bottom w:w="0" w:type="dxa"/>
              <w:right w:w="0" w:type="dxa"/>
            </w:tcMar>
          </w:tcPr>
          <w:p>
            <w:pPr>
              <w:spacing w:before="100"/>
              <w:ind w:left="320"/>
            </w:pPr>
            <w:r>
              <w:rPr>
                <w:rFonts w:hint="eastAsia" w:ascii="宋体" w:hAnsi="宋体" w:eastAsia="宋体" w:cs="宋体"/>
                <w:b/>
                <w:sz w:val="21"/>
              </w:rPr>
              <w:t>占比</w:t>
            </w:r>
          </w:p>
        </w:tc>
        <w:tc>
          <w:tcPr>
            <w:tcW w:w="1660" w:type="dxa"/>
            <w:tcMar>
              <w:top w:w="0" w:type="dxa"/>
              <w:left w:w="0" w:type="dxa"/>
              <w:bottom w:w="0" w:type="dxa"/>
              <w:right w:w="0" w:type="dxa"/>
            </w:tcMar>
          </w:tcPr>
          <w:p>
            <w:pPr>
              <w:spacing w:before="100"/>
              <w:ind w:left="60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00"/>
              <w:ind w:left="320"/>
            </w:pPr>
            <w:r>
              <w:rPr>
                <w:rFonts w:hint="eastAsia" w:ascii="宋体" w:hAnsi="宋体" w:eastAsia="宋体" w:cs="宋体"/>
                <w:b/>
                <w:sz w:val="21"/>
              </w:rPr>
              <w:t>占比</w:t>
            </w:r>
          </w:p>
        </w:tc>
        <w:tc>
          <w:tcPr>
            <w:tcW w:w="1680" w:type="dxa"/>
            <w:tcMar>
              <w:top w:w="0" w:type="dxa"/>
              <w:left w:w="0" w:type="dxa"/>
              <w:bottom w:w="0" w:type="dxa"/>
              <w:right w:w="0" w:type="dxa"/>
            </w:tcMar>
          </w:tcPr>
          <w:p>
            <w:pPr>
              <w:spacing w:before="100"/>
              <w:ind w:left="62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00"/>
              <w:ind w:left="320"/>
            </w:pPr>
            <w:r>
              <w:rPr>
                <w:rFonts w:hint="eastAsia" w:ascii="宋体" w:hAnsi="宋体" w:eastAsia="宋体" w:cs="宋体"/>
                <w:b/>
                <w:sz w:val="21"/>
              </w:rPr>
              <w:t>占比</w:t>
            </w:r>
          </w:p>
        </w:tc>
      </w:tr>
      <w:tr>
        <w:trPr>
          <w:trHeight w:val="480" w:hRule="exact"/>
        </w:trPr>
        <w:tc>
          <w:tcPr>
            <w:tcW w:w="108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1</w:t>
            </w:r>
            <w:r>
              <w:rPr>
                <w:rFonts w:hint="eastAsia" w:ascii="宋体" w:hAnsi="宋体" w:eastAsia="宋体" w:cs="宋体"/>
                <w:sz w:val="21"/>
              </w:rPr>
              <w:t xml:space="preserve"> 年以内</w:t>
            </w:r>
          </w:p>
        </w:tc>
        <w:tc>
          <w:tcPr>
            <w:tcW w:w="1580" w:type="dxa"/>
            <w:tcMar>
              <w:top w:w="0" w:type="dxa"/>
              <w:left w:w="0" w:type="dxa"/>
              <w:bottom w:w="0" w:type="dxa"/>
              <w:right w:w="0" w:type="dxa"/>
            </w:tcMar>
          </w:tcPr>
          <w:p>
            <w:pPr>
              <w:spacing w:before="160"/>
              <w:ind w:left="880"/>
            </w:pPr>
            <w:r>
              <w:rPr>
                <w:rFonts w:hint="eastAsia" w:ascii="Times New Roman" w:hAnsi="Times New Roman" w:eastAsia="Times New Roman" w:cs="Times New Roman"/>
                <w:sz w:val="21"/>
              </w:rPr>
              <w:t>189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110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p>
        </w:tc>
        <w:tc>
          <w:tcPr>
            <w:tcW w:w="1660" w:type="dxa"/>
            <w:tcMar>
              <w:top w:w="0" w:type="dxa"/>
              <w:left w:w="0" w:type="dxa"/>
              <w:bottom w:w="0" w:type="dxa"/>
              <w:right w:w="0" w:type="dxa"/>
            </w:tcMar>
          </w:tcPr>
          <w:p>
            <w:pPr>
              <w:spacing w:before="160"/>
              <w:ind w:left="1060"/>
            </w:pPr>
            <w:r>
              <w:rPr>
                <w:rFonts w:hint="eastAsia" w:ascii="Times New Roman" w:hAnsi="Times New Roman" w:eastAsia="Times New Roman" w:cs="Times New Roman"/>
                <w:sz w:val="21"/>
              </w:rPr>
              <w:t>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108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68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721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c>
          <w:tcPr>
            <w:tcW w:w="108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p>
        </w:tc>
      </w:tr>
      <w:tr>
        <w:trPr>
          <w:trHeight w:val="480" w:hRule="exact"/>
        </w:trPr>
        <w:tc>
          <w:tcPr>
            <w:tcW w:w="1080" w:type="dxa"/>
            <w:tcMar>
              <w:top w:w="0" w:type="dxa"/>
              <w:left w:w="0" w:type="dxa"/>
              <w:bottom w:w="0" w:type="dxa"/>
              <w:right w:w="0" w:type="dxa"/>
            </w:tcMar>
          </w:tcPr>
          <w:p>
            <w:pPr>
              <w:spacing w:before="120"/>
              <w:ind w:left="100"/>
            </w:pPr>
            <w:r>
              <w:rPr>
                <w:rFonts w:hint="eastAsia" w:ascii="Times New Roman" w:hAnsi="Times New Roman" w:eastAsia="Times New Roman" w:cs="Times New Roman"/>
                <w:sz w:val="21"/>
              </w:rPr>
              <w:t>1</w:t>
            </w:r>
            <w:r>
              <w:rPr>
                <w:rFonts w:hint="eastAsia" w:ascii="宋体" w:hAnsi="宋体" w:eastAsia="宋体" w:cs="宋体"/>
                <w:sz w:val="21"/>
              </w:rPr>
              <w:t xml:space="preserve"> 至</w:t>
            </w:r>
            <w:r>
              <w:rPr>
                <w:rFonts w:hint="eastAsia" w:ascii="Times New Roman" w:hAnsi="Times New Roman" w:eastAsia="Times New Roman" w:cs="Times New Roman"/>
                <w:sz w:val="21"/>
              </w:rPr>
              <w:t xml:space="preserve"> 2</w:t>
            </w:r>
            <w:r>
              <w:rPr>
                <w:rFonts w:hint="eastAsia" w:ascii="宋体" w:hAnsi="宋体" w:eastAsia="宋体" w:cs="宋体"/>
                <w:sz w:val="21"/>
              </w:rPr>
              <w:t xml:space="preserve"> 年</w:t>
            </w:r>
          </w:p>
        </w:tc>
        <w:tc>
          <w:tcPr>
            <w:tcW w:w="158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110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660" w:type="dxa"/>
            <w:tcMar>
              <w:top w:w="0" w:type="dxa"/>
              <w:left w:w="0" w:type="dxa"/>
              <w:bottom w:w="0" w:type="dxa"/>
              <w:right w:w="0" w:type="dxa"/>
            </w:tcMar>
          </w:tcPr>
          <w:p>
            <w:pPr>
              <w:spacing w:before="160"/>
              <w:ind w:left="960"/>
            </w:pP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108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c>
          <w:tcPr>
            <w:tcW w:w="1680" w:type="dxa"/>
            <w:tcMar>
              <w:top w:w="0" w:type="dxa"/>
              <w:left w:w="0" w:type="dxa"/>
              <w:bottom w:w="0" w:type="dxa"/>
              <w:right w:w="0" w:type="dxa"/>
            </w:tcMar>
          </w:tcPr>
          <w:p>
            <w:pPr>
              <w:spacing w:before="160"/>
              <w:ind w:left="1080"/>
            </w:pP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w:t>
            </w:r>
          </w:p>
        </w:tc>
        <w:tc>
          <w:tcPr>
            <w:tcW w:w="10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r>
      <w:tr>
        <w:trPr>
          <w:trHeight w:val="480" w:hRule="exact"/>
        </w:trPr>
        <w:tc>
          <w:tcPr>
            <w:tcW w:w="108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2</w:t>
            </w:r>
            <w:r>
              <w:rPr>
                <w:rFonts w:hint="eastAsia" w:ascii="宋体" w:hAnsi="宋体" w:eastAsia="宋体" w:cs="宋体"/>
                <w:sz w:val="21"/>
              </w:rPr>
              <w:t xml:space="preserve"> 至</w:t>
            </w:r>
            <w:r>
              <w:rPr>
                <w:rFonts w:hint="eastAsia" w:ascii="Times New Roman" w:hAnsi="Times New Roman" w:eastAsia="Times New Roman" w:cs="Times New Roman"/>
                <w:sz w:val="21"/>
              </w:rPr>
              <w:t xml:space="preserve"> 3</w:t>
            </w:r>
            <w:r>
              <w:rPr>
                <w:rFonts w:hint="eastAsia" w:ascii="宋体" w:hAnsi="宋体" w:eastAsia="宋体" w:cs="宋体"/>
                <w:sz w:val="21"/>
              </w:rPr>
              <w:t xml:space="preserve"> 年</w:t>
            </w:r>
          </w:p>
        </w:tc>
        <w:tc>
          <w:tcPr>
            <w:tcW w:w="1580" w:type="dxa"/>
            <w:tcMar>
              <w:top w:w="0" w:type="dxa"/>
              <w:left w:w="0" w:type="dxa"/>
              <w:bottom w:w="0" w:type="dxa"/>
              <w:right w:w="0" w:type="dxa"/>
            </w:tcMar>
          </w:tcPr>
          <w:p>
            <w:pPr>
              <w:spacing w:before="160"/>
              <w:ind w:left="10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110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c>
          <w:tcPr>
            <w:tcW w:w="1660" w:type="dxa"/>
            <w:tcMar>
              <w:top w:w="0" w:type="dxa"/>
              <w:left w:w="0" w:type="dxa"/>
              <w:bottom w:w="0" w:type="dxa"/>
              <w:right w:w="0" w:type="dxa"/>
            </w:tcMar>
          </w:tcPr>
          <w:p>
            <w:pPr>
              <w:spacing w:before="160"/>
              <w:ind w:left="11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p>
        </w:tc>
        <w:tc>
          <w:tcPr>
            <w:tcW w:w="10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c>
          <w:tcPr>
            <w:tcW w:w="1680" w:type="dxa"/>
            <w:tcMar>
              <w:top w:w="0" w:type="dxa"/>
              <w:left w:w="0" w:type="dxa"/>
              <w:bottom w:w="0" w:type="dxa"/>
              <w:right w:w="0" w:type="dxa"/>
            </w:tcMar>
          </w:tcPr>
          <w:p>
            <w:pPr>
              <w:spacing w:before="280"/>
              <w:ind w:left="1480"/>
            </w:pPr>
            <w:r>
              <w:rPr>
                <w:rFonts w:hint="eastAsia" w:ascii="Times New Roman" w:hAnsi="Times New Roman" w:eastAsia="Times New Roman" w:cs="Times New Roman"/>
                <w:sz w:val="21"/>
              </w:rPr>
              <w:t>-</w:t>
            </w:r>
          </w:p>
        </w:tc>
        <w:tc>
          <w:tcPr>
            <w:tcW w:w="10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60" w:hRule="exact"/>
        </w:trPr>
        <w:tc>
          <w:tcPr>
            <w:tcW w:w="1080" w:type="dxa"/>
            <w:tcMar>
              <w:top w:w="0" w:type="dxa"/>
              <w:left w:w="0" w:type="dxa"/>
              <w:bottom w:w="0" w:type="dxa"/>
              <w:right w:w="0" w:type="dxa"/>
            </w:tcMar>
          </w:tcPr>
          <w:p>
            <w:pPr>
              <w:spacing w:before="100"/>
              <w:ind w:left="100"/>
            </w:pPr>
            <w:r>
              <w:rPr>
                <w:rFonts w:hint="eastAsia" w:ascii="Times New Roman" w:hAnsi="Times New Roman" w:eastAsia="Times New Roman" w:cs="Times New Roman"/>
                <w:sz w:val="21"/>
              </w:rPr>
              <w:t>3</w:t>
            </w:r>
            <w:r>
              <w:rPr>
                <w:rFonts w:hint="eastAsia" w:ascii="宋体" w:hAnsi="宋体" w:eastAsia="宋体" w:cs="宋体"/>
                <w:sz w:val="21"/>
              </w:rPr>
              <w:t xml:space="preserve"> 年以上</w:t>
            </w:r>
          </w:p>
        </w:tc>
        <w:tc>
          <w:tcPr>
            <w:tcW w:w="1580" w:type="dxa"/>
            <w:tcMar>
              <w:top w:w="0" w:type="dxa"/>
              <w:left w:w="0" w:type="dxa"/>
              <w:bottom w:w="0" w:type="dxa"/>
              <w:right w:w="0" w:type="dxa"/>
            </w:tcMar>
          </w:tcPr>
          <w:p>
            <w:pPr>
              <w:spacing w:before="160"/>
              <w:ind w:left="11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p>
        </w:tc>
        <w:tc>
          <w:tcPr>
            <w:tcW w:w="1100" w:type="dxa"/>
            <w:tcMar>
              <w:top w:w="0" w:type="dxa"/>
              <w:left w:w="0" w:type="dxa"/>
              <w:bottom w:w="0" w:type="dxa"/>
              <w:right w:w="0" w:type="dxa"/>
            </w:tcMar>
          </w:tcPr>
          <w:p>
            <w:pPr>
              <w:spacing w:before="160"/>
              <w:ind w:left="4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c>
          <w:tcPr>
            <w:tcW w:w="1660" w:type="dxa"/>
            <w:tcMar>
              <w:top w:w="0" w:type="dxa"/>
              <w:left w:w="0" w:type="dxa"/>
              <w:bottom w:w="0" w:type="dxa"/>
              <w:right w:w="0" w:type="dxa"/>
            </w:tcMar>
          </w:tcPr>
          <w:p>
            <w:pPr>
              <w:spacing w:before="280"/>
              <w:ind w:left="1460"/>
            </w:pPr>
            <w:r>
              <w:rPr>
                <w:rFonts w:hint="eastAsia" w:ascii="Times New Roman" w:hAnsi="Times New Roman" w:eastAsia="Times New Roman" w:cs="Times New Roman"/>
                <w:sz w:val="21"/>
              </w:rPr>
              <w:t>-</w:t>
            </w:r>
          </w:p>
        </w:tc>
        <w:tc>
          <w:tcPr>
            <w:tcW w:w="10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680" w:type="dxa"/>
            <w:tcMar>
              <w:top w:w="0" w:type="dxa"/>
              <w:left w:w="0" w:type="dxa"/>
              <w:bottom w:w="0" w:type="dxa"/>
              <w:right w:w="0" w:type="dxa"/>
            </w:tcMar>
          </w:tcPr>
          <w:p>
            <w:pPr>
              <w:spacing w:before="280"/>
              <w:ind w:left="1480"/>
            </w:pPr>
            <w:r>
              <w:rPr>
                <w:rFonts w:hint="eastAsia" w:ascii="Times New Roman" w:hAnsi="Times New Roman" w:eastAsia="Times New Roman" w:cs="Times New Roman"/>
                <w:sz w:val="21"/>
              </w:rPr>
              <w:t>-</w:t>
            </w:r>
          </w:p>
        </w:tc>
        <w:tc>
          <w:tcPr>
            <w:tcW w:w="10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480" w:hRule="exact"/>
        </w:trPr>
        <w:tc>
          <w:tcPr>
            <w:tcW w:w="1080" w:type="dxa"/>
            <w:tcMar>
              <w:top w:w="0" w:type="dxa"/>
              <w:left w:w="0" w:type="dxa"/>
              <w:bottom w:w="0" w:type="dxa"/>
              <w:right w:w="0" w:type="dxa"/>
            </w:tcMar>
          </w:tcPr>
          <w:p>
            <w:pPr>
              <w:spacing w:before="120"/>
              <w:ind w:left="320"/>
            </w:pPr>
            <w:r>
              <w:rPr>
                <w:rFonts w:hint="eastAsia" w:ascii="宋体" w:hAnsi="宋体" w:eastAsia="宋体" w:cs="宋体"/>
                <w:b/>
                <w:sz w:val="21"/>
              </w:rPr>
              <w:t>合计</w:t>
            </w:r>
          </w:p>
        </w:tc>
        <w:tc>
          <w:tcPr>
            <w:tcW w:w="1580" w:type="dxa"/>
            <w:tcMar>
              <w:top w:w="0" w:type="dxa"/>
              <w:left w:w="0" w:type="dxa"/>
              <w:bottom w:w="0" w:type="dxa"/>
              <w:right w:w="0" w:type="dxa"/>
            </w:tcMar>
          </w:tcPr>
          <w:p>
            <w:pPr>
              <w:spacing w:before="180"/>
              <w:ind w:left="880"/>
            </w:pPr>
            <w:r>
              <w:rPr>
                <w:rFonts w:hint="eastAsia" w:ascii="Times New Roman Bold" w:hAnsi="Times New Roman Bold" w:eastAsia="Times New Roman Bold" w:cs="Times New Roman Bold"/>
                <w:b/>
                <w:sz w:val="21"/>
              </w:rPr>
              <w:t>224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83</w:t>
            </w:r>
          </w:p>
        </w:tc>
        <w:tc>
          <w:tcPr>
            <w:tcW w:w="1100" w:type="dxa"/>
            <w:tcMar>
              <w:top w:w="0" w:type="dxa"/>
              <w:left w:w="0" w:type="dxa"/>
              <w:bottom w:w="0" w:type="dxa"/>
              <w:right w:w="0" w:type="dxa"/>
            </w:tcMar>
          </w:tcPr>
          <w:p>
            <w:pPr>
              <w:spacing w:before="180"/>
              <w:ind w:left="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660" w:type="dxa"/>
            <w:tcMar>
              <w:top w:w="0" w:type="dxa"/>
              <w:left w:w="0" w:type="dxa"/>
              <w:bottom w:w="0" w:type="dxa"/>
              <w:right w:w="0" w:type="dxa"/>
            </w:tcMar>
          </w:tcPr>
          <w:p>
            <w:pPr>
              <w:spacing w:before="180"/>
              <w:ind w:left="960"/>
            </w:pPr>
            <w:r>
              <w:rPr>
                <w:rFonts w:hint="eastAsia" w:ascii="Times New Roman Bold" w:hAnsi="Times New Roman Bold" w:eastAsia="Times New Roman Bold" w:cs="Times New Roman Bold"/>
                <w:b/>
                <w:sz w:val="21"/>
              </w:rPr>
              <w:t>211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84</w:t>
            </w:r>
          </w:p>
        </w:tc>
        <w:tc>
          <w:tcPr>
            <w:tcW w:w="1080" w:type="dxa"/>
            <w:tcMar>
              <w:top w:w="0" w:type="dxa"/>
              <w:left w:w="0" w:type="dxa"/>
              <w:bottom w:w="0" w:type="dxa"/>
              <w:right w:w="0" w:type="dxa"/>
            </w:tcMar>
          </w:tcPr>
          <w:p>
            <w:pPr>
              <w:spacing w:before="180"/>
              <w:ind w:left="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680" w:type="dxa"/>
            <w:tcMar>
              <w:top w:w="0" w:type="dxa"/>
              <w:left w:w="0" w:type="dxa"/>
              <w:bottom w:w="0" w:type="dxa"/>
              <w:right w:w="0" w:type="dxa"/>
            </w:tcMar>
          </w:tcPr>
          <w:p>
            <w:pPr>
              <w:spacing w:before="180"/>
              <w:ind w:left="980"/>
            </w:pPr>
            <w:r>
              <w:rPr>
                <w:rFonts w:hint="eastAsia" w:ascii="Times New Roman Bold" w:hAnsi="Times New Roman Bold" w:eastAsia="Times New Roman Bold" w:cs="Times New Roman Bold"/>
                <w:b/>
                <w:sz w:val="21"/>
              </w:rPr>
              <w:t>756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w:t>
            </w:r>
          </w:p>
        </w:tc>
        <w:tc>
          <w:tcPr>
            <w:tcW w:w="1080" w:type="dxa"/>
            <w:tcMar>
              <w:top w:w="0" w:type="dxa"/>
              <w:left w:w="0" w:type="dxa"/>
              <w:bottom w:w="0" w:type="dxa"/>
              <w:right w:w="0" w:type="dxa"/>
            </w:tcMar>
          </w:tcPr>
          <w:p>
            <w:pPr>
              <w:spacing w:before="180"/>
              <w:ind w:left="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00" w:lineRule="exact"/>
        <w:ind w:left="1440" w:right="1320" w:firstLine="480"/>
        <w:jc w:val="both"/>
      </w:pPr>
      <w:r>
        <w:rPr>
          <w:rFonts w:hint="eastAsia" w:ascii="宋体" w:hAnsi="宋体" w:eastAsia="宋体" w:cs="宋体"/>
          <w:sz w:val="24"/>
        </w:rPr>
        <w:t>发行人绝大多数发出商品的账龄在</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年以内</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发行人账龄在</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年以内的发出商品占比分别为</w:t>
      </w:r>
      <w:r>
        <w:rPr>
          <w:rFonts w:hint="eastAsia" w:ascii="Times New Roman" w:hAnsi="Times New Roman" w:eastAsia="Times New Roman" w:cs="Times New Roman"/>
          <w:sz w:val="24"/>
        </w:rPr>
        <w:t xml:space="preserve"> 100%</w:t>
      </w:r>
      <w:r>
        <w:rPr>
          <w:rFonts w:hint="eastAsia" w:ascii="宋体" w:hAnsi="宋体" w:eastAsia="宋体" w:cs="宋体"/>
          <w:sz w:val="10"/>
        </w:rPr>
        <w:t>、</w:t>
      </w:r>
      <w:r>
        <w:rPr>
          <w:rFonts w:hint="eastAsia" w:ascii="Times New Roman" w:hAnsi="Times New Roman" w:eastAsia="Times New Roman" w:cs="Times New Roman"/>
          <w:sz w:val="24"/>
        </w:rPr>
        <w:t>96.61%</w:t>
      </w:r>
      <w:r>
        <w:rPr>
          <w:rFonts w:hint="eastAsia" w:ascii="宋体" w:hAnsi="宋体" w:eastAsia="宋体" w:cs="宋体"/>
          <w:sz w:val="24"/>
        </w:rPr>
        <w:t>和</w:t>
      </w:r>
      <w:r>
        <w:rPr>
          <w:rFonts w:hint="eastAsia" w:ascii="Times New Roman" w:hAnsi="Times New Roman" w:eastAsia="Times New Roman" w:cs="Times New Roman"/>
          <w:sz w:val="24"/>
        </w:rPr>
        <w:t xml:space="preserve"> 89.47%</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③截至报告期末</w:t>
      </w:r>
      <w:r>
        <w:rPr>
          <w:rFonts w:hint="eastAsia" w:ascii="宋体" w:hAnsi="宋体" w:eastAsia="宋体" w:cs="宋体"/>
          <w:sz w:val="10"/>
        </w:rPr>
        <w:t>，</w:t>
      </w:r>
      <w:r>
        <w:rPr>
          <w:rFonts w:hint="eastAsia" w:ascii="宋体" w:hAnsi="宋体" w:eastAsia="宋体" w:cs="宋体"/>
          <w:sz w:val="24"/>
        </w:rPr>
        <w:t>发行人暂停项目的情况</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发行人存货科目中无终止履行的项目</w:t>
      </w:r>
      <w:r>
        <w:rPr>
          <w:rFonts w:hint="eastAsia" w:ascii="宋体" w:hAnsi="宋体" w:eastAsia="宋体" w:cs="宋体"/>
          <w:sz w:val="10"/>
        </w:rPr>
        <w:t>，</w:t>
      </w:r>
      <w:r>
        <w:rPr>
          <w:rFonts w:hint="eastAsia" w:ascii="宋体" w:hAnsi="宋体" w:eastAsia="宋体" w:cs="宋体"/>
          <w:sz w:val="24"/>
        </w:rPr>
        <w:t>暂停项目对应存货金额为</w:t>
      </w:r>
      <w:r>
        <w:rPr>
          <w:rFonts w:hint="eastAsia" w:ascii="Times New Roman" w:hAnsi="Times New Roman" w:eastAsia="Times New Roman" w:cs="Times New Roman"/>
          <w:sz w:val="24"/>
        </w:rPr>
        <w:t>39.78</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占当期末存货余额比例为</w:t>
      </w:r>
      <w:r>
        <w:rPr>
          <w:rFonts w:hint="eastAsia" w:ascii="Times New Roman" w:hAnsi="Times New Roman" w:eastAsia="Times New Roman" w:cs="Times New Roman"/>
          <w:sz w:val="24"/>
        </w:rPr>
        <w:t xml:space="preserve"> 1.10%</w:t>
      </w:r>
      <w:r>
        <w:rPr>
          <w:rFonts w:hint="eastAsia" w:ascii="宋体" w:hAnsi="宋体" w:eastAsia="宋体" w:cs="宋体"/>
          <w:sz w:val="10"/>
        </w:rPr>
        <w:t>，</w:t>
      </w:r>
      <w:r>
        <w:rPr>
          <w:rFonts w:hint="eastAsia" w:ascii="宋体" w:hAnsi="宋体" w:eastAsia="宋体" w:cs="宋体"/>
          <w:sz w:val="24"/>
        </w:rPr>
        <w:t>占比较低</w:t>
      </w:r>
      <w:r>
        <w:rPr>
          <w:rFonts w:hint="eastAsia" w:ascii="宋体" w:hAnsi="宋体" w:eastAsia="宋体" w:cs="宋体"/>
          <w:sz w:val="10"/>
        </w:rPr>
        <w:t>。</w:t>
      </w:r>
      <w:r>
        <w:rPr>
          <w:rFonts w:hint="eastAsia" w:ascii="宋体" w:hAnsi="宋体" w:eastAsia="宋体" w:cs="宋体"/>
          <w:sz w:val="24"/>
        </w:rPr>
        <w:t>该等项目暂停的原因主要为客户需求的变化</w:t>
      </w:r>
      <w:r>
        <w:rPr>
          <w:rFonts w:hint="eastAsia" w:ascii="宋体" w:hAnsi="宋体" w:eastAsia="宋体" w:cs="宋体"/>
          <w:sz w:val="10"/>
        </w:rPr>
        <w:t>。</w:t>
      </w:r>
      <w:r>
        <w:rPr>
          <w:rFonts w:hint="eastAsia" w:ascii="宋体" w:hAnsi="宋体" w:eastAsia="宋体" w:cs="宋体"/>
          <w:sz w:val="24"/>
        </w:rPr>
        <w:t>公司暂停项目中不存在已完工但未验收的项目</w:t>
      </w:r>
      <w:r>
        <w:rPr>
          <w:rFonts w:hint="eastAsia" w:ascii="宋体" w:hAnsi="宋体" w:eastAsia="宋体" w:cs="宋体"/>
          <w:sz w:val="10"/>
        </w:rPr>
        <w:t>，</w:t>
      </w:r>
      <w:r>
        <w:rPr>
          <w:rFonts w:hint="eastAsia" w:ascii="宋体" w:hAnsi="宋体" w:eastAsia="宋体" w:cs="宋体"/>
          <w:sz w:val="24"/>
        </w:rPr>
        <w:t>暂停项目的预收款项已覆盖项目支出</w:t>
      </w:r>
      <w:r>
        <w:rPr>
          <w:rFonts w:hint="eastAsia" w:ascii="宋体" w:hAnsi="宋体" w:eastAsia="宋体" w:cs="宋体"/>
          <w:sz w:val="10"/>
        </w:rPr>
        <w:t>，</w:t>
      </w:r>
      <w:r>
        <w:rPr>
          <w:rFonts w:hint="eastAsia" w:ascii="宋体" w:hAnsi="宋体" w:eastAsia="宋体" w:cs="宋体"/>
          <w:sz w:val="24"/>
        </w:rPr>
        <w:t>无需计提存货跌价准备</w:t>
      </w:r>
      <w:r>
        <w:rPr>
          <w:rFonts w:hint="eastAsia" w:ascii="宋体" w:hAnsi="宋体" w:eastAsia="宋体" w:cs="宋体"/>
          <w:sz w:val="10"/>
        </w:rPr>
        <w:t>。</w:t>
      </w:r>
      <w:r>
        <w:rPr>
          <w:rFonts w:hint="eastAsia" w:ascii="宋体" w:hAnsi="宋体" w:eastAsia="宋体" w:cs="宋体"/>
          <w:sz w:val="24"/>
        </w:rPr>
        <w:t>因项目尚未验收</w:t>
      </w:r>
      <w:r>
        <w:rPr>
          <w:rFonts w:hint="eastAsia" w:ascii="宋体" w:hAnsi="宋体" w:eastAsia="宋体" w:cs="宋体"/>
          <w:sz w:val="10"/>
        </w:rPr>
        <w:t>，</w:t>
      </w:r>
      <w:r>
        <w:rPr>
          <w:rFonts w:hint="eastAsia" w:ascii="宋体" w:hAnsi="宋体" w:eastAsia="宋体" w:cs="宋体"/>
          <w:sz w:val="24"/>
        </w:rPr>
        <w:t>因此并未确认收入</w:t>
      </w:r>
      <w:r>
        <w:rPr>
          <w:rFonts w:hint="eastAsia" w:ascii="宋体" w:hAnsi="宋体" w:eastAsia="宋体" w:cs="宋体"/>
          <w:sz w:val="10"/>
        </w:rPr>
        <w:t>，</w:t>
      </w:r>
      <w:r>
        <w:rPr>
          <w:rFonts w:hint="eastAsia" w:ascii="宋体" w:hAnsi="宋体" w:eastAsia="宋体" w:cs="宋体"/>
          <w:sz w:val="24"/>
        </w:rPr>
        <w:t>也未产生应收账款</w:t>
      </w:r>
      <w:r>
        <w:rPr>
          <w:rFonts w:hint="eastAsia" w:ascii="宋体" w:hAnsi="宋体" w:eastAsia="宋体" w:cs="宋体"/>
          <w:sz w:val="10"/>
        </w:rPr>
        <w:t>。</w:t>
      </w:r>
      <w:r>
        <w:rPr>
          <w:rFonts w:hint="eastAsia" w:ascii="宋体" w:hAnsi="宋体" w:eastAsia="宋体" w:cs="宋体"/>
          <w:sz w:val="24"/>
        </w:rPr>
        <w:t>上述项目的会计处理符合会计准则的规定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④报告期各期末发行人已获取尚未执行完毕的订单情况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发行人已获取尚未执行完毕的订单情况如下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922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10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920"/>
        <w:gridCol w:w="980"/>
        <w:gridCol w:w="1500"/>
        <w:gridCol w:w="1060"/>
        <w:gridCol w:w="1400"/>
        <w:gridCol w:w="1000"/>
        <w:gridCol w:w="1320"/>
      </w:tblGrid>
      <w:tr>
        <w:trPr>
          <w:trHeight w:val="520" w:hRule="exact"/>
        </w:trPr>
        <w:tc>
          <w:tcPr>
            <w:tcW w:w="1920" w:type="dxa"/>
            <w:vMerge w:val="restart"/>
            <w:tcMar>
              <w:top w:w="0" w:type="dxa"/>
              <w:left w:w="0" w:type="dxa"/>
              <w:bottom w:w="0" w:type="dxa"/>
              <w:right w:w="0" w:type="dxa"/>
            </w:tcMar>
          </w:tcPr>
          <w:p>
            <w:pPr>
              <w:spacing w:before="380"/>
              <w:ind w:left="740"/>
            </w:pPr>
            <w:r>
              <w:rPr>
                <w:rFonts w:hint="eastAsia" w:ascii="宋体" w:hAnsi="宋体" w:eastAsia="宋体" w:cs="宋体"/>
                <w:b/>
                <w:sz w:val="21"/>
              </w:rPr>
              <w:t>项目</w:t>
            </w:r>
          </w:p>
        </w:tc>
        <w:tc>
          <w:tcPr>
            <w:tcW w:w="2480" w:type="dxa"/>
            <w:gridSpan w:val="2"/>
            <w:tcMar>
              <w:top w:w="0" w:type="dxa"/>
              <w:left w:w="0" w:type="dxa"/>
              <w:bottom w:w="0" w:type="dxa"/>
              <w:right w:w="0" w:type="dxa"/>
            </w:tcMar>
          </w:tcPr>
          <w:p>
            <w:pPr>
              <w:spacing w:before="100"/>
              <w:ind w:left="7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年末</w:t>
            </w:r>
          </w:p>
        </w:tc>
        <w:tc>
          <w:tcPr>
            <w:tcW w:w="2460" w:type="dxa"/>
            <w:gridSpan w:val="2"/>
            <w:tcMar>
              <w:top w:w="0" w:type="dxa"/>
              <w:left w:w="0" w:type="dxa"/>
              <w:bottom w:w="0" w:type="dxa"/>
              <w:right w:w="0" w:type="dxa"/>
            </w:tcMar>
          </w:tcPr>
          <w:p>
            <w:pPr>
              <w:spacing w:before="100"/>
              <w:ind w:left="7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年末</w:t>
            </w:r>
          </w:p>
        </w:tc>
        <w:tc>
          <w:tcPr>
            <w:tcW w:w="2320" w:type="dxa"/>
            <w:gridSpan w:val="2"/>
            <w:tcMar>
              <w:top w:w="0" w:type="dxa"/>
              <w:left w:w="0" w:type="dxa"/>
              <w:bottom w:w="0" w:type="dxa"/>
              <w:right w:w="0" w:type="dxa"/>
            </w:tcMar>
          </w:tcPr>
          <w:p>
            <w:pPr>
              <w:spacing w:before="10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年末</w:t>
            </w:r>
          </w:p>
        </w:tc>
      </w:tr>
      <w:tr>
        <w:trPr>
          <w:trHeight w:val="540" w:hRule="exact"/>
        </w:trPr>
        <w:tc>
          <w:tcPr>
            <w:tcW w:w="1920" w:type="dxa"/>
            <w:vMerge w:val="continue"/>
            <w:tcMar>
              <w:top w:w="0" w:type="dxa"/>
              <w:left w:w="0" w:type="dxa"/>
              <w:bottom w:w="0" w:type="dxa"/>
              <w:right w:w="0" w:type="dxa"/>
            </w:tcMar>
          </w:tcPr>
          <w:p/>
        </w:tc>
        <w:tc>
          <w:tcPr>
            <w:tcW w:w="980" w:type="dxa"/>
            <w:tcMar>
              <w:top w:w="0" w:type="dxa"/>
              <w:left w:w="0" w:type="dxa"/>
              <w:bottom w:w="0" w:type="dxa"/>
              <w:right w:w="0" w:type="dxa"/>
            </w:tcMar>
          </w:tcPr>
          <w:p>
            <w:pPr>
              <w:spacing w:before="120"/>
            </w:pPr>
            <w:r>
              <w:rPr>
                <w:rFonts w:hint="eastAsia" w:ascii="宋体" w:hAnsi="宋体" w:eastAsia="宋体" w:cs="宋体"/>
                <w:b/>
                <w:sz w:val="21"/>
              </w:rPr>
              <w:t>数量</w:t>
            </w:r>
            <w:r>
              <w:rPr>
                <w:rFonts w:hint="eastAsia" w:ascii="宋体" w:hAnsi="宋体" w:eastAsia="宋体" w:cs="宋体"/>
                <w:b/>
                <w:sz w:val="20"/>
              </w:rPr>
              <w:t>（</w:t>
            </w:r>
            <w:r>
              <w:rPr>
                <w:rFonts w:hint="eastAsia" w:ascii="宋体" w:hAnsi="宋体" w:eastAsia="宋体" w:cs="宋体"/>
                <w:b/>
                <w:sz w:val="21"/>
              </w:rPr>
              <w:t>个</w:t>
            </w:r>
            <w:r>
              <w:rPr>
                <w:rFonts w:hint="eastAsia" w:ascii="宋体" w:hAnsi="宋体" w:eastAsia="宋体" w:cs="宋体"/>
                <w:b/>
                <w:sz w:val="20"/>
              </w:rPr>
              <w:t>）</w:t>
            </w:r>
          </w:p>
        </w:tc>
        <w:tc>
          <w:tcPr>
            <w:tcW w:w="1500" w:type="dxa"/>
            <w:tcMar>
              <w:top w:w="0" w:type="dxa"/>
              <w:left w:w="0" w:type="dxa"/>
              <w:bottom w:w="0" w:type="dxa"/>
              <w:right w:w="0" w:type="dxa"/>
            </w:tcMar>
          </w:tcPr>
          <w:p>
            <w:pPr>
              <w:spacing w:before="120"/>
              <w:ind w:left="300"/>
            </w:pPr>
            <w:r>
              <w:rPr>
                <w:rFonts w:hint="eastAsia" w:ascii="宋体" w:hAnsi="宋体" w:eastAsia="宋体" w:cs="宋体"/>
                <w:b/>
                <w:sz w:val="21"/>
              </w:rPr>
              <w:t>订单金额</w:t>
            </w:r>
          </w:p>
        </w:tc>
        <w:tc>
          <w:tcPr>
            <w:tcW w:w="1060" w:type="dxa"/>
            <w:tcMar>
              <w:top w:w="0" w:type="dxa"/>
              <w:left w:w="0" w:type="dxa"/>
              <w:bottom w:w="0" w:type="dxa"/>
              <w:right w:w="0" w:type="dxa"/>
            </w:tcMar>
          </w:tcPr>
          <w:p>
            <w:pPr>
              <w:spacing w:before="120"/>
            </w:pPr>
            <w:r>
              <w:rPr>
                <w:rFonts w:hint="eastAsia" w:ascii="宋体" w:hAnsi="宋体" w:eastAsia="宋体" w:cs="宋体"/>
                <w:b/>
                <w:sz w:val="21"/>
              </w:rPr>
              <w:t>数量</w:t>
            </w:r>
            <w:r>
              <w:rPr>
                <w:rFonts w:hint="eastAsia" w:ascii="宋体" w:hAnsi="宋体" w:eastAsia="宋体" w:cs="宋体"/>
                <w:b/>
                <w:sz w:val="20"/>
              </w:rPr>
              <w:t>（</w:t>
            </w:r>
            <w:r>
              <w:rPr>
                <w:rFonts w:hint="eastAsia" w:ascii="宋体" w:hAnsi="宋体" w:eastAsia="宋体" w:cs="宋体"/>
                <w:b/>
                <w:sz w:val="21"/>
              </w:rPr>
              <w:t>个</w:t>
            </w:r>
            <w:r>
              <w:rPr>
                <w:rFonts w:hint="eastAsia" w:ascii="宋体" w:hAnsi="宋体" w:eastAsia="宋体" w:cs="宋体"/>
                <w:b/>
                <w:sz w:val="20"/>
              </w:rPr>
              <w:t>）</w:t>
            </w:r>
          </w:p>
        </w:tc>
        <w:tc>
          <w:tcPr>
            <w:tcW w:w="1400" w:type="dxa"/>
            <w:tcMar>
              <w:top w:w="0" w:type="dxa"/>
              <w:left w:w="0" w:type="dxa"/>
              <w:bottom w:w="0" w:type="dxa"/>
              <w:right w:w="0" w:type="dxa"/>
            </w:tcMar>
          </w:tcPr>
          <w:p>
            <w:pPr>
              <w:spacing w:before="120"/>
              <w:ind w:left="260"/>
            </w:pPr>
            <w:r>
              <w:rPr>
                <w:rFonts w:hint="eastAsia" w:ascii="宋体" w:hAnsi="宋体" w:eastAsia="宋体" w:cs="宋体"/>
                <w:b/>
                <w:sz w:val="21"/>
              </w:rPr>
              <w:t>订单金额</w:t>
            </w:r>
          </w:p>
        </w:tc>
        <w:tc>
          <w:tcPr>
            <w:tcW w:w="1000" w:type="dxa"/>
            <w:tcMar>
              <w:top w:w="0" w:type="dxa"/>
              <w:left w:w="0" w:type="dxa"/>
              <w:bottom w:w="0" w:type="dxa"/>
              <w:right w:w="0" w:type="dxa"/>
            </w:tcMar>
          </w:tcPr>
          <w:p>
            <w:pPr>
              <w:spacing w:before="120"/>
            </w:pPr>
            <w:r>
              <w:rPr>
                <w:rFonts w:hint="eastAsia" w:ascii="宋体" w:hAnsi="宋体" w:eastAsia="宋体" w:cs="宋体"/>
                <w:b/>
                <w:sz w:val="21"/>
              </w:rPr>
              <w:t>数量</w:t>
            </w:r>
            <w:r>
              <w:rPr>
                <w:rFonts w:hint="eastAsia" w:ascii="宋体" w:hAnsi="宋体" w:eastAsia="宋体" w:cs="宋体"/>
                <w:b/>
                <w:sz w:val="20"/>
              </w:rPr>
              <w:t>（</w:t>
            </w:r>
            <w:r>
              <w:rPr>
                <w:rFonts w:hint="eastAsia" w:ascii="宋体" w:hAnsi="宋体" w:eastAsia="宋体" w:cs="宋体"/>
                <w:b/>
                <w:sz w:val="21"/>
              </w:rPr>
              <w:t>个</w:t>
            </w:r>
            <w:r>
              <w:rPr>
                <w:rFonts w:hint="eastAsia" w:ascii="宋体" w:hAnsi="宋体" w:eastAsia="宋体" w:cs="宋体"/>
                <w:b/>
                <w:sz w:val="20"/>
              </w:rPr>
              <w:t>）</w:t>
            </w:r>
          </w:p>
        </w:tc>
        <w:tc>
          <w:tcPr>
            <w:tcW w:w="1320" w:type="dxa"/>
            <w:tcMar>
              <w:top w:w="0" w:type="dxa"/>
              <w:left w:w="0" w:type="dxa"/>
              <w:bottom w:w="0" w:type="dxa"/>
              <w:right w:w="0" w:type="dxa"/>
            </w:tcMar>
          </w:tcPr>
          <w:p>
            <w:pPr>
              <w:spacing w:before="120"/>
              <w:ind w:left="220"/>
            </w:pPr>
            <w:r>
              <w:rPr>
                <w:rFonts w:hint="eastAsia" w:ascii="宋体" w:hAnsi="宋体" w:eastAsia="宋体" w:cs="宋体"/>
                <w:b/>
                <w:sz w:val="21"/>
              </w:rPr>
              <w:t>订单金额</w:t>
            </w:r>
          </w:p>
        </w:tc>
      </w:tr>
      <w:tr>
        <w:trPr>
          <w:trHeight w:val="540" w:hRule="exact"/>
        </w:trPr>
        <w:tc>
          <w:tcPr>
            <w:tcW w:w="1920" w:type="dxa"/>
            <w:tcMar>
              <w:top w:w="0" w:type="dxa"/>
              <w:left w:w="0" w:type="dxa"/>
              <w:bottom w:w="0" w:type="dxa"/>
              <w:right w:w="0" w:type="dxa"/>
            </w:tcMar>
          </w:tcPr>
          <w:p>
            <w:pPr>
              <w:spacing w:before="120"/>
              <w:ind w:left="520"/>
            </w:pPr>
            <w:r>
              <w:rPr>
                <w:rFonts w:hint="eastAsia" w:ascii="宋体" w:hAnsi="宋体" w:eastAsia="宋体" w:cs="宋体"/>
                <w:sz w:val="21"/>
              </w:rPr>
              <w:t>定制软件</w:t>
            </w:r>
          </w:p>
        </w:tc>
        <w:tc>
          <w:tcPr>
            <w:tcW w:w="98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265</w:t>
            </w:r>
          </w:p>
        </w:tc>
        <w:tc>
          <w:tcPr>
            <w:tcW w:w="1500" w:type="dxa"/>
            <w:tcMar>
              <w:top w:w="0" w:type="dxa"/>
              <w:left w:w="0" w:type="dxa"/>
              <w:bottom w:w="0" w:type="dxa"/>
              <w:right w:w="0" w:type="dxa"/>
            </w:tcMar>
          </w:tcPr>
          <w:p>
            <w:pPr>
              <w:spacing w:before="160"/>
              <w:ind w:left="5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06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228</w:t>
            </w:r>
          </w:p>
        </w:tc>
        <w:tc>
          <w:tcPr>
            <w:tcW w:w="140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100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176</w:t>
            </w:r>
          </w:p>
        </w:tc>
        <w:tc>
          <w:tcPr>
            <w:tcW w:w="132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p>
        </w:tc>
      </w:tr>
      <w:tr>
        <w:trPr>
          <w:trHeight w:val="520" w:hRule="exact"/>
        </w:trPr>
        <w:tc>
          <w:tcPr>
            <w:tcW w:w="1920" w:type="dxa"/>
            <w:tcMar>
              <w:top w:w="0" w:type="dxa"/>
              <w:left w:w="0" w:type="dxa"/>
              <w:bottom w:w="0" w:type="dxa"/>
              <w:right w:w="0" w:type="dxa"/>
            </w:tcMar>
          </w:tcPr>
          <w:p>
            <w:pPr>
              <w:spacing w:before="100"/>
              <w:ind w:left="420"/>
            </w:pPr>
            <w:r>
              <w:rPr>
                <w:rFonts w:hint="eastAsia" w:ascii="宋体" w:hAnsi="宋体" w:eastAsia="宋体" w:cs="宋体"/>
                <w:sz w:val="21"/>
              </w:rPr>
              <w:t>产品化软件</w:t>
            </w:r>
          </w:p>
        </w:tc>
        <w:tc>
          <w:tcPr>
            <w:tcW w:w="980" w:type="dxa"/>
            <w:tcMar>
              <w:top w:w="0" w:type="dxa"/>
              <w:left w:w="0" w:type="dxa"/>
              <w:bottom w:w="0" w:type="dxa"/>
              <w:right w:w="0" w:type="dxa"/>
            </w:tcMar>
          </w:tcPr>
          <w:p>
            <w:pPr>
              <w:spacing w:before="120"/>
              <w:ind w:left="700"/>
            </w:pPr>
            <w:r>
              <w:rPr>
                <w:rFonts w:hint="eastAsia" w:ascii="Times New Roman" w:hAnsi="Times New Roman" w:eastAsia="Times New Roman" w:cs="Times New Roman"/>
                <w:sz w:val="21"/>
              </w:rPr>
              <w:t>58</w:t>
            </w:r>
          </w:p>
        </w:tc>
        <w:tc>
          <w:tcPr>
            <w:tcW w:w="1500" w:type="dxa"/>
            <w:tcMar>
              <w:top w:w="0" w:type="dxa"/>
              <w:left w:w="0" w:type="dxa"/>
              <w:bottom w:w="0" w:type="dxa"/>
              <w:right w:w="0" w:type="dxa"/>
            </w:tcMar>
          </w:tcPr>
          <w:p>
            <w:pPr>
              <w:spacing w:before="120"/>
              <w:ind w:left="6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w:t>
            </w:r>
          </w:p>
        </w:tc>
        <w:tc>
          <w:tcPr>
            <w:tcW w:w="1060" w:type="dxa"/>
            <w:tcMar>
              <w:top w:w="0" w:type="dxa"/>
              <w:left w:w="0" w:type="dxa"/>
              <w:bottom w:w="0" w:type="dxa"/>
              <w:right w:w="0" w:type="dxa"/>
            </w:tcMar>
          </w:tcPr>
          <w:p>
            <w:pPr>
              <w:spacing w:before="120"/>
              <w:ind w:left="780"/>
            </w:pPr>
            <w:r>
              <w:rPr>
                <w:rFonts w:hint="eastAsia" w:ascii="Times New Roman" w:hAnsi="Times New Roman" w:eastAsia="Times New Roman" w:cs="Times New Roman"/>
                <w:sz w:val="21"/>
              </w:rPr>
              <w:t>48</w:t>
            </w:r>
          </w:p>
        </w:tc>
        <w:tc>
          <w:tcPr>
            <w:tcW w:w="1400" w:type="dxa"/>
            <w:tcMar>
              <w:top w:w="0" w:type="dxa"/>
              <w:left w:w="0" w:type="dxa"/>
              <w:bottom w:w="0" w:type="dxa"/>
              <w:right w:w="0" w:type="dxa"/>
            </w:tcMar>
          </w:tcPr>
          <w:p>
            <w:pPr>
              <w:spacing w:before="160"/>
              <w:ind w:left="6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1000" w:type="dxa"/>
            <w:tcMar>
              <w:top w:w="0" w:type="dxa"/>
              <w:left w:w="0" w:type="dxa"/>
              <w:bottom w:w="0" w:type="dxa"/>
              <w:right w:w="0" w:type="dxa"/>
            </w:tcMar>
          </w:tcPr>
          <w:p>
            <w:pPr>
              <w:spacing w:before="120"/>
              <w:ind w:left="720"/>
            </w:pPr>
            <w:r>
              <w:rPr>
                <w:rFonts w:hint="eastAsia" w:ascii="Times New Roman" w:hAnsi="Times New Roman" w:eastAsia="Times New Roman" w:cs="Times New Roman"/>
                <w:sz w:val="21"/>
              </w:rPr>
              <w:t>32</w:t>
            </w:r>
          </w:p>
        </w:tc>
        <w:tc>
          <w:tcPr>
            <w:tcW w:w="13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r>
      <w:tr>
        <w:trPr>
          <w:trHeight w:val="500" w:hRule="exact"/>
        </w:trPr>
        <w:tc>
          <w:tcPr>
            <w:tcW w:w="1920" w:type="dxa"/>
            <w:tcMar>
              <w:top w:w="0" w:type="dxa"/>
              <w:left w:w="0" w:type="dxa"/>
              <w:bottom w:w="0" w:type="dxa"/>
              <w:right w:w="0" w:type="dxa"/>
            </w:tcMar>
          </w:tcPr>
          <w:p>
            <w:pPr>
              <w:spacing w:before="120"/>
              <w:ind w:left="320"/>
            </w:pPr>
            <w:r>
              <w:rPr>
                <w:rFonts w:hint="eastAsia" w:ascii="宋体" w:hAnsi="宋体" w:eastAsia="宋体" w:cs="宋体"/>
                <w:sz w:val="21"/>
              </w:rPr>
              <w:t>软件运维服务</w:t>
            </w:r>
          </w:p>
        </w:tc>
        <w:tc>
          <w:tcPr>
            <w:tcW w:w="980" w:type="dxa"/>
            <w:tcMar>
              <w:top w:w="0" w:type="dxa"/>
              <w:left w:w="0" w:type="dxa"/>
              <w:bottom w:w="0" w:type="dxa"/>
              <w:right w:w="0" w:type="dxa"/>
            </w:tcMar>
          </w:tcPr>
          <w:p>
            <w:pPr>
              <w:spacing w:before="160"/>
              <w:ind w:left="700"/>
            </w:pPr>
            <w:r>
              <w:rPr>
                <w:rFonts w:hint="eastAsia" w:ascii="Times New Roman" w:hAnsi="Times New Roman" w:eastAsia="Times New Roman" w:cs="Times New Roman"/>
                <w:sz w:val="21"/>
              </w:rPr>
              <w:t>63</w:t>
            </w:r>
          </w:p>
        </w:tc>
        <w:tc>
          <w:tcPr>
            <w:tcW w:w="1500" w:type="dxa"/>
            <w:tcMar>
              <w:top w:w="0" w:type="dxa"/>
              <w:left w:w="0" w:type="dxa"/>
              <w:bottom w:w="0" w:type="dxa"/>
              <w:right w:w="0" w:type="dxa"/>
            </w:tcMar>
          </w:tcPr>
          <w:p>
            <w:pPr>
              <w:spacing w:before="16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060" w:type="dxa"/>
            <w:tcMar>
              <w:top w:w="0" w:type="dxa"/>
              <w:left w:w="0" w:type="dxa"/>
              <w:bottom w:w="0" w:type="dxa"/>
              <w:right w:w="0" w:type="dxa"/>
            </w:tcMar>
          </w:tcPr>
          <w:p>
            <w:pPr>
              <w:spacing w:before="160"/>
              <w:ind w:left="780"/>
            </w:pPr>
            <w:r>
              <w:rPr>
                <w:rFonts w:hint="eastAsia" w:ascii="Times New Roman" w:hAnsi="Times New Roman" w:eastAsia="Times New Roman" w:cs="Times New Roman"/>
                <w:sz w:val="21"/>
              </w:rPr>
              <w:t>45</w:t>
            </w:r>
          </w:p>
        </w:tc>
        <w:tc>
          <w:tcPr>
            <w:tcW w:w="140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728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100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34</w:t>
            </w:r>
          </w:p>
        </w:tc>
        <w:tc>
          <w:tcPr>
            <w:tcW w:w="132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596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1-1-262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920"/>
        <w:gridCol w:w="980"/>
        <w:gridCol w:w="1500"/>
        <w:gridCol w:w="1060"/>
        <w:gridCol w:w="1400"/>
        <w:gridCol w:w="1000"/>
        <w:gridCol w:w="1320"/>
      </w:tblGrid>
      <w:tr>
        <w:trPr>
          <w:trHeight w:val="540" w:hRule="exact"/>
        </w:trPr>
        <w:tc>
          <w:tcPr>
            <w:tcW w:w="1920" w:type="dxa"/>
            <w:vMerge w:val="restart"/>
            <w:tcMar>
              <w:top w:w="0" w:type="dxa"/>
              <w:left w:w="0" w:type="dxa"/>
              <w:bottom w:w="0" w:type="dxa"/>
              <w:right w:w="0" w:type="dxa"/>
            </w:tcMar>
          </w:tcPr>
          <w:p>
            <w:pPr>
              <w:spacing w:before="400"/>
              <w:ind w:left="740"/>
            </w:pPr>
            <w:r>
              <w:rPr>
                <w:rFonts w:hint="eastAsia" w:ascii="宋体" w:hAnsi="宋体" w:eastAsia="宋体" w:cs="宋体"/>
                <w:b/>
                <w:sz w:val="21"/>
              </w:rPr>
              <w:t>项目</w:t>
            </w:r>
          </w:p>
        </w:tc>
        <w:tc>
          <w:tcPr>
            <w:tcW w:w="2480" w:type="dxa"/>
            <w:gridSpan w:val="2"/>
            <w:tcMar>
              <w:top w:w="0" w:type="dxa"/>
              <w:left w:w="0" w:type="dxa"/>
              <w:bottom w:w="0" w:type="dxa"/>
              <w:right w:w="0" w:type="dxa"/>
            </w:tcMar>
          </w:tcPr>
          <w:p>
            <w:pPr>
              <w:spacing w:before="120"/>
              <w:ind w:left="7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年末</w:t>
            </w:r>
          </w:p>
        </w:tc>
        <w:tc>
          <w:tcPr>
            <w:tcW w:w="2460" w:type="dxa"/>
            <w:gridSpan w:val="2"/>
            <w:tcMar>
              <w:top w:w="0" w:type="dxa"/>
              <w:left w:w="0" w:type="dxa"/>
              <w:bottom w:w="0" w:type="dxa"/>
              <w:right w:w="0" w:type="dxa"/>
            </w:tcMar>
          </w:tcPr>
          <w:p>
            <w:pPr>
              <w:spacing w:before="120"/>
              <w:ind w:left="7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年末</w:t>
            </w:r>
          </w:p>
        </w:tc>
        <w:tc>
          <w:tcPr>
            <w:tcW w:w="2320" w:type="dxa"/>
            <w:gridSpan w:val="2"/>
            <w:tcMar>
              <w:top w:w="0" w:type="dxa"/>
              <w:left w:w="0" w:type="dxa"/>
              <w:bottom w:w="0" w:type="dxa"/>
              <w:right w:w="0" w:type="dxa"/>
            </w:tcMar>
          </w:tcPr>
          <w:p>
            <w:pPr>
              <w:spacing w:before="12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年末</w:t>
            </w:r>
          </w:p>
        </w:tc>
      </w:tr>
      <w:tr>
        <w:trPr>
          <w:trHeight w:val="540" w:hRule="exact"/>
        </w:trPr>
        <w:tc>
          <w:tcPr>
            <w:tcW w:w="1920" w:type="dxa"/>
            <w:vMerge w:val="continue"/>
            <w:tcMar>
              <w:top w:w="0" w:type="dxa"/>
              <w:left w:w="0" w:type="dxa"/>
              <w:bottom w:w="0" w:type="dxa"/>
              <w:right w:w="0" w:type="dxa"/>
            </w:tcMar>
          </w:tcPr>
          <w:p/>
        </w:tc>
        <w:tc>
          <w:tcPr>
            <w:tcW w:w="980" w:type="dxa"/>
            <w:tcMar>
              <w:top w:w="0" w:type="dxa"/>
              <w:left w:w="0" w:type="dxa"/>
              <w:bottom w:w="0" w:type="dxa"/>
              <w:right w:w="0" w:type="dxa"/>
            </w:tcMar>
          </w:tcPr>
          <w:p>
            <w:pPr>
              <w:spacing w:before="120"/>
            </w:pPr>
            <w:r>
              <w:rPr>
                <w:rFonts w:hint="eastAsia" w:ascii="宋体" w:hAnsi="宋体" w:eastAsia="宋体" w:cs="宋体"/>
                <w:b/>
                <w:sz w:val="21"/>
              </w:rPr>
              <w:t>数量</w:t>
            </w:r>
            <w:r>
              <w:rPr>
                <w:rFonts w:hint="eastAsia" w:ascii="宋体" w:hAnsi="宋体" w:eastAsia="宋体" w:cs="宋体"/>
                <w:b/>
                <w:sz w:val="20"/>
              </w:rPr>
              <w:t>（</w:t>
            </w:r>
            <w:r>
              <w:rPr>
                <w:rFonts w:hint="eastAsia" w:ascii="宋体" w:hAnsi="宋体" w:eastAsia="宋体" w:cs="宋体"/>
                <w:b/>
                <w:sz w:val="21"/>
              </w:rPr>
              <w:t>个</w:t>
            </w:r>
            <w:r>
              <w:rPr>
                <w:rFonts w:hint="eastAsia" w:ascii="宋体" w:hAnsi="宋体" w:eastAsia="宋体" w:cs="宋体"/>
                <w:b/>
                <w:sz w:val="20"/>
              </w:rPr>
              <w:t>）</w:t>
            </w:r>
          </w:p>
        </w:tc>
        <w:tc>
          <w:tcPr>
            <w:tcW w:w="1500" w:type="dxa"/>
            <w:tcMar>
              <w:top w:w="0" w:type="dxa"/>
              <w:left w:w="0" w:type="dxa"/>
              <w:bottom w:w="0" w:type="dxa"/>
              <w:right w:w="0" w:type="dxa"/>
            </w:tcMar>
          </w:tcPr>
          <w:p>
            <w:pPr>
              <w:spacing w:before="100"/>
              <w:ind w:left="300"/>
            </w:pPr>
            <w:r>
              <w:rPr>
                <w:rFonts w:hint="eastAsia" w:ascii="宋体" w:hAnsi="宋体" w:eastAsia="宋体" w:cs="宋体"/>
                <w:b/>
                <w:sz w:val="21"/>
              </w:rPr>
              <w:t>订单金额</w:t>
            </w:r>
          </w:p>
        </w:tc>
        <w:tc>
          <w:tcPr>
            <w:tcW w:w="1060" w:type="dxa"/>
            <w:tcMar>
              <w:top w:w="0" w:type="dxa"/>
              <w:left w:w="0" w:type="dxa"/>
              <w:bottom w:w="0" w:type="dxa"/>
              <w:right w:w="0" w:type="dxa"/>
            </w:tcMar>
          </w:tcPr>
          <w:p>
            <w:pPr>
              <w:spacing w:before="120"/>
            </w:pPr>
            <w:r>
              <w:rPr>
                <w:rFonts w:hint="eastAsia" w:ascii="宋体" w:hAnsi="宋体" w:eastAsia="宋体" w:cs="宋体"/>
                <w:b/>
                <w:sz w:val="21"/>
              </w:rPr>
              <w:t>数量</w:t>
            </w:r>
            <w:r>
              <w:rPr>
                <w:rFonts w:hint="eastAsia" w:ascii="宋体" w:hAnsi="宋体" w:eastAsia="宋体" w:cs="宋体"/>
                <w:b/>
                <w:sz w:val="20"/>
              </w:rPr>
              <w:t>（</w:t>
            </w:r>
            <w:r>
              <w:rPr>
                <w:rFonts w:hint="eastAsia" w:ascii="宋体" w:hAnsi="宋体" w:eastAsia="宋体" w:cs="宋体"/>
                <w:b/>
                <w:sz w:val="21"/>
              </w:rPr>
              <w:t>个</w:t>
            </w:r>
            <w:r>
              <w:rPr>
                <w:rFonts w:hint="eastAsia" w:ascii="宋体" w:hAnsi="宋体" w:eastAsia="宋体" w:cs="宋体"/>
                <w:b/>
                <w:sz w:val="20"/>
              </w:rPr>
              <w:t>）</w:t>
            </w:r>
          </w:p>
        </w:tc>
        <w:tc>
          <w:tcPr>
            <w:tcW w:w="1400" w:type="dxa"/>
            <w:tcMar>
              <w:top w:w="0" w:type="dxa"/>
              <w:left w:w="0" w:type="dxa"/>
              <w:bottom w:w="0" w:type="dxa"/>
              <w:right w:w="0" w:type="dxa"/>
            </w:tcMar>
          </w:tcPr>
          <w:p>
            <w:pPr>
              <w:spacing w:before="100"/>
              <w:ind w:left="260"/>
            </w:pPr>
            <w:r>
              <w:rPr>
                <w:rFonts w:hint="eastAsia" w:ascii="宋体" w:hAnsi="宋体" w:eastAsia="宋体" w:cs="宋体"/>
                <w:b/>
                <w:sz w:val="21"/>
              </w:rPr>
              <w:t>订单金额</w:t>
            </w:r>
          </w:p>
        </w:tc>
        <w:tc>
          <w:tcPr>
            <w:tcW w:w="1000" w:type="dxa"/>
            <w:tcMar>
              <w:top w:w="0" w:type="dxa"/>
              <w:left w:w="0" w:type="dxa"/>
              <w:bottom w:w="0" w:type="dxa"/>
              <w:right w:w="0" w:type="dxa"/>
            </w:tcMar>
          </w:tcPr>
          <w:p>
            <w:pPr>
              <w:spacing w:before="120"/>
            </w:pPr>
            <w:r>
              <w:rPr>
                <w:rFonts w:hint="eastAsia" w:ascii="宋体" w:hAnsi="宋体" w:eastAsia="宋体" w:cs="宋体"/>
                <w:b/>
                <w:sz w:val="21"/>
              </w:rPr>
              <w:t>数量</w:t>
            </w:r>
            <w:r>
              <w:rPr>
                <w:rFonts w:hint="eastAsia" w:ascii="宋体" w:hAnsi="宋体" w:eastAsia="宋体" w:cs="宋体"/>
                <w:b/>
                <w:sz w:val="20"/>
              </w:rPr>
              <w:t>（</w:t>
            </w:r>
            <w:r>
              <w:rPr>
                <w:rFonts w:hint="eastAsia" w:ascii="宋体" w:hAnsi="宋体" w:eastAsia="宋体" w:cs="宋体"/>
                <w:b/>
                <w:sz w:val="21"/>
              </w:rPr>
              <w:t>个</w:t>
            </w:r>
            <w:r>
              <w:rPr>
                <w:rFonts w:hint="eastAsia" w:ascii="宋体" w:hAnsi="宋体" w:eastAsia="宋体" w:cs="宋体"/>
                <w:b/>
                <w:sz w:val="20"/>
              </w:rPr>
              <w:t>）</w:t>
            </w:r>
          </w:p>
        </w:tc>
        <w:tc>
          <w:tcPr>
            <w:tcW w:w="1320" w:type="dxa"/>
            <w:tcMar>
              <w:top w:w="0" w:type="dxa"/>
              <w:left w:w="0" w:type="dxa"/>
              <w:bottom w:w="0" w:type="dxa"/>
              <w:right w:w="0" w:type="dxa"/>
            </w:tcMar>
          </w:tcPr>
          <w:p>
            <w:pPr>
              <w:spacing w:before="100"/>
              <w:ind w:left="220"/>
            </w:pPr>
            <w:r>
              <w:rPr>
                <w:rFonts w:hint="eastAsia" w:ascii="宋体" w:hAnsi="宋体" w:eastAsia="宋体" w:cs="宋体"/>
                <w:b/>
                <w:sz w:val="21"/>
              </w:rPr>
              <w:t>订单金额</w:t>
            </w:r>
          </w:p>
        </w:tc>
      </w:tr>
      <w:tr>
        <w:trPr>
          <w:trHeight w:val="520" w:hRule="exact"/>
        </w:trPr>
        <w:tc>
          <w:tcPr>
            <w:tcW w:w="1920" w:type="dxa"/>
            <w:tcMar>
              <w:top w:w="0" w:type="dxa"/>
              <w:left w:w="0" w:type="dxa"/>
              <w:bottom w:w="0" w:type="dxa"/>
              <w:right w:w="0" w:type="dxa"/>
            </w:tcMar>
          </w:tcPr>
          <w:p>
            <w:pPr>
              <w:spacing w:before="100"/>
              <w:ind w:left="520"/>
            </w:pPr>
            <w:r>
              <w:rPr>
                <w:rFonts w:hint="eastAsia" w:ascii="宋体" w:hAnsi="宋体" w:eastAsia="宋体" w:cs="宋体"/>
                <w:sz w:val="21"/>
              </w:rPr>
              <w:t>系统集成</w:t>
            </w:r>
          </w:p>
        </w:tc>
        <w:tc>
          <w:tcPr>
            <w:tcW w:w="980" w:type="dxa"/>
            <w:tcMar>
              <w:top w:w="0" w:type="dxa"/>
              <w:left w:w="0" w:type="dxa"/>
              <w:bottom w:w="0" w:type="dxa"/>
              <w:right w:w="0" w:type="dxa"/>
            </w:tcMar>
          </w:tcPr>
          <w:p>
            <w:pPr>
              <w:spacing w:before="160"/>
              <w:ind w:left="700"/>
            </w:pPr>
            <w:r>
              <w:rPr>
                <w:rFonts w:hint="eastAsia" w:ascii="Times New Roman" w:hAnsi="Times New Roman" w:eastAsia="Times New Roman" w:cs="Times New Roman"/>
                <w:sz w:val="21"/>
              </w:rPr>
              <w:t>20</w:t>
            </w:r>
          </w:p>
        </w:tc>
        <w:tc>
          <w:tcPr>
            <w:tcW w:w="1500" w:type="dxa"/>
            <w:tcMar>
              <w:top w:w="0" w:type="dxa"/>
              <w:left w:w="0" w:type="dxa"/>
              <w:bottom w:w="0" w:type="dxa"/>
              <w:right w:w="0" w:type="dxa"/>
            </w:tcMar>
          </w:tcPr>
          <w:p>
            <w:pPr>
              <w:spacing w:before="160"/>
              <w:ind w:left="840"/>
            </w:pPr>
            <w:r>
              <w:rPr>
                <w:rFonts w:hint="eastAsia" w:ascii="Times New Roman" w:hAnsi="Times New Roman" w:eastAsia="Times New Roman" w:cs="Times New Roman"/>
                <w:sz w:val="21"/>
              </w:rPr>
              <w:t>401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w:t>
            </w:r>
          </w:p>
        </w:tc>
        <w:tc>
          <w:tcPr>
            <w:tcW w:w="1060" w:type="dxa"/>
            <w:tcMar>
              <w:top w:w="0" w:type="dxa"/>
              <w:left w:w="0" w:type="dxa"/>
              <w:bottom w:w="0" w:type="dxa"/>
              <w:right w:w="0" w:type="dxa"/>
            </w:tcMar>
          </w:tcPr>
          <w:p>
            <w:pPr>
              <w:spacing w:before="160"/>
              <w:ind w:left="780"/>
            </w:pPr>
            <w:r>
              <w:rPr>
                <w:rFonts w:hint="eastAsia" w:ascii="Times New Roman" w:hAnsi="Times New Roman" w:eastAsia="Times New Roman" w:cs="Times New Roman"/>
                <w:sz w:val="21"/>
              </w:rPr>
              <w:t>14</w:t>
            </w:r>
          </w:p>
        </w:tc>
        <w:tc>
          <w:tcPr>
            <w:tcW w:w="140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498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1000" w:type="dxa"/>
            <w:tcMar>
              <w:top w:w="0" w:type="dxa"/>
              <w:left w:w="0" w:type="dxa"/>
              <w:bottom w:w="0" w:type="dxa"/>
              <w:right w:w="0" w:type="dxa"/>
            </w:tcMar>
          </w:tcPr>
          <w:p>
            <w:pPr>
              <w:spacing w:before="160"/>
              <w:ind w:left="720"/>
            </w:pPr>
            <w:r>
              <w:rPr>
                <w:rFonts w:hint="eastAsia" w:ascii="Times New Roman" w:hAnsi="Times New Roman" w:eastAsia="Times New Roman" w:cs="Times New Roman"/>
                <w:sz w:val="21"/>
              </w:rPr>
              <w:t>31</w:t>
            </w:r>
          </w:p>
        </w:tc>
        <w:tc>
          <w:tcPr>
            <w:tcW w:w="13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p>
        </w:tc>
      </w:tr>
      <w:tr>
        <w:trPr>
          <w:trHeight w:val="500" w:hRule="exact"/>
        </w:trPr>
        <w:tc>
          <w:tcPr>
            <w:tcW w:w="1920" w:type="dxa"/>
            <w:tcMar>
              <w:top w:w="0" w:type="dxa"/>
              <w:left w:w="0" w:type="dxa"/>
              <w:bottom w:w="0" w:type="dxa"/>
              <w:right w:w="0" w:type="dxa"/>
            </w:tcMar>
          </w:tcPr>
          <w:p>
            <w:pPr>
              <w:spacing w:before="100"/>
              <w:ind w:left="740"/>
            </w:pPr>
            <w:r>
              <w:rPr>
                <w:rFonts w:hint="eastAsia" w:ascii="宋体" w:hAnsi="宋体" w:eastAsia="宋体" w:cs="宋体"/>
                <w:b/>
                <w:sz w:val="21"/>
              </w:rPr>
              <w:t>合计</w:t>
            </w:r>
          </w:p>
        </w:tc>
        <w:tc>
          <w:tcPr>
            <w:tcW w:w="980" w:type="dxa"/>
            <w:tcMar>
              <w:top w:w="0" w:type="dxa"/>
              <w:left w:w="0" w:type="dxa"/>
              <w:bottom w:w="0" w:type="dxa"/>
              <w:right w:w="0" w:type="dxa"/>
            </w:tcMar>
          </w:tcPr>
          <w:p>
            <w:pPr>
              <w:spacing w:before="140"/>
              <w:ind w:left="600"/>
            </w:pPr>
            <w:r>
              <w:rPr>
                <w:rFonts w:hint="eastAsia" w:ascii="Times New Roman Bold" w:hAnsi="Times New Roman Bold" w:eastAsia="Times New Roman Bold" w:cs="Times New Roman Bold"/>
                <w:b/>
                <w:sz w:val="21"/>
              </w:rPr>
              <w:t>406</w:t>
            </w:r>
          </w:p>
        </w:tc>
        <w:tc>
          <w:tcPr>
            <w:tcW w:w="1500" w:type="dxa"/>
            <w:tcMar>
              <w:top w:w="0" w:type="dxa"/>
              <w:left w:w="0" w:type="dxa"/>
              <w:bottom w:w="0" w:type="dxa"/>
              <w:right w:w="0" w:type="dxa"/>
            </w:tcMar>
          </w:tcPr>
          <w:p>
            <w:pPr>
              <w:spacing w:before="140"/>
              <w:ind w:left="580"/>
            </w:pPr>
            <w:r>
              <w:rPr>
                <w:rFonts w:hint="eastAsia" w:ascii="Times New Roman Bold" w:hAnsi="Times New Roman Bold" w:eastAsia="Times New Roman Bold" w:cs="Times New Roman Bold"/>
                <w:b/>
                <w:sz w:val="21"/>
              </w:rPr>
              <w:t>29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024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02</w:t>
            </w:r>
          </w:p>
        </w:tc>
        <w:tc>
          <w:tcPr>
            <w:tcW w:w="1060" w:type="dxa"/>
            <w:tcMar>
              <w:top w:w="0" w:type="dxa"/>
              <w:left w:w="0" w:type="dxa"/>
              <w:bottom w:w="0" w:type="dxa"/>
              <w:right w:w="0" w:type="dxa"/>
            </w:tcMar>
          </w:tcPr>
          <w:p>
            <w:pPr>
              <w:spacing w:before="140"/>
              <w:ind w:left="660"/>
            </w:pPr>
            <w:r>
              <w:rPr>
                <w:rFonts w:hint="eastAsia" w:ascii="Times New Roman Bold" w:hAnsi="Times New Roman Bold" w:eastAsia="Times New Roman Bold" w:cs="Times New Roman Bold"/>
                <w:b/>
                <w:sz w:val="21"/>
              </w:rPr>
              <w:t>335</w:t>
            </w:r>
          </w:p>
        </w:tc>
        <w:tc>
          <w:tcPr>
            <w:tcW w:w="1400" w:type="dxa"/>
            <w:tcMar>
              <w:top w:w="0" w:type="dxa"/>
              <w:left w:w="0" w:type="dxa"/>
              <w:bottom w:w="0" w:type="dxa"/>
              <w:right w:w="0" w:type="dxa"/>
            </w:tcMar>
          </w:tcPr>
          <w:p>
            <w:pPr>
              <w:spacing w:before="140"/>
              <w:ind w:left="480"/>
            </w:pPr>
            <w:r>
              <w:rPr>
                <w:rFonts w:hint="eastAsia" w:ascii="Times New Roman Bold" w:hAnsi="Times New Roman Bold" w:eastAsia="Times New Roman Bold" w:cs="Times New Roman Bold"/>
                <w:b/>
                <w:sz w:val="21"/>
              </w:rPr>
              <w:t>21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39</w:t>
            </w:r>
          </w:p>
        </w:tc>
        <w:tc>
          <w:tcPr>
            <w:tcW w:w="1000" w:type="dxa"/>
            <w:tcMar>
              <w:top w:w="0" w:type="dxa"/>
              <w:left w:w="0" w:type="dxa"/>
              <w:bottom w:w="0" w:type="dxa"/>
              <w:right w:w="0" w:type="dxa"/>
            </w:tcMar>
          </w:tcPr>
          <w:p>
            <w:pPr>
              <w:spacing w:before="140"/>
              <w:ind w:left="620"/>
            </w:pPr>
            <w:r>
              <w:rPr>
                <w:rFonts w:hint="eastAsia" w:ascii="Times New Roman Bold" w:hAnsi="Times New Roman Bold" w:eastAsia="Times New Roman Bold" w:cs="Times New Roman Bold"/>
                <w:b/>
                <w:sz w:val="21"/>
              </w:rPr>
              <w:t>273</w:t>
            </w:r>
          </w:p>
        </w:tc>
        <w:tc>
          <w:tcPr>
            <w:tcW w:w="1320" w:type="dxa"/>
            <w:tcMar>
              <w:top w:w="0" w:type="dxa"/>
              <w:left w:w="0" w:type="dxa"/>
              <w:bottom w:w="0" w:type="dxa"/>
              <w:right w:w="0" w:type="dxa"/>
            </w:tcMar>
          </w:tcPr>
          <w:p>
            <w:pPr>
              <w:spacing w:before="140"/>
              <w:ind w:left="400"/>
            </w:pPr>
            <w:r>
              <w:rPr>
                <w:rFonts w:hint="eastAsia" w:ascii="Times New Roman Bold" w:hAnsi="Times New Roman Bold" w:eastAsia="Times New Roman Bold" w:cs="Times New Roman Bold"/>
                <w:b/>
                <w:sz w:val="21"/>
              </w:rPr>
              <w:t>14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w:t>
            </w:r>
          </w:p>
        </w:tc>
      </w:tr>
    </w:tbl>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随着发行人经营规模的不断扩大</w:t>
      </w:r>
      <w:r>
        <w:rPr>
          <w:rFonts w:hint="eastAsia" w:ascii="宋体" w:hAnsi="宋体" w:eastAsia="宋体" w:cs="宋体"/>
          <w:sz w:val="10"/>
        </w:rPr>
        <w:t>，</w:t>
      </w: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已获取尚未执行完毕的订单数量</w:t>
      </w:r>
      <w:r>
        <w:rPr>
          <w:rFonts w:hint="eastAsia" w:ascii="宋体" w:hAnsi="宋体" w:eastAsia="宋体" w:cs="宋体"/>
          <w:sz w:val="10"/>
        </w:rPr>
        <w:t>、</w:t>
      </w:r>
      <w:r>
        <w:rPr>
          <w:rFonts w:hint="eastAsia" w:ascii="宋体" w:hAnsi="宋体" w:eastAsia="宋体" w:cs="宋体"/>
          <w:sz w:val="24"/>
        </w:rPr>
        <w:t>金额均有所增加</w:t>
      </w:r>
      <w:r>
        <w:rPr>
          <w:rFonts w:hint="eastAsia" w:ascii="宋体" w:hAnsi="宋体" w:eastAsia="宋体" w:cs="宋体"/>
          <w:sz w:val="10"/>
        </w:rPr>
        <w:t>。</w:t>
      </w:r>
      <w:r>
        <w:rPr>
          <w:rFonts w:hint="eastAsia" w:ascii="Times New Roman" w:hAnsi="Times New Roman" w:eastAsia="Times New Roman" w:cs="Times New Roman"/>
          <w:sz w:val="24"/>
        </w:rPr>
        <w:t>2017</w:t>
      </w:r>
      <w:r>
        <w:rPr>
          <w:rFonts w:hint="eastAsia" w:ascii="宋体" w:hAnsi="宋体" w:eastAsia="宋体" w:cs="宋体"/>
          <w:sz w:val="24"/>
        </w:rPr>
        <w:t xml:space="preserve"> 年一季度</w:t>
      </w:r>
      <w:r>
        <w:rPr>
          <w:rFonts w:hint="eastAsia" w:ascii="宋体" w:hAnsi="宋体" w:eastAsia="宋体" w:cs="宋体"/>
          <w:sz w:val="10"/>
        </w:rPr>
        <w:t>，</w:t>
      </w:r>
      <w:r>
        <w:rPr>
          <w:rFonts w:hint="eastAsia" w:ascii="宋体" w:hAnsi="宋体" w:eastAsia="宋体" w:cs="宋体"/>
          <w:sz w:val="24"/>
        </w:rPr>
        <w:t>上述截至报告期末的未执行完毕的项目执行情况良好</w:t>
      </w:r>
      <w:r>
        <w:rPr>
          <w:rFonts w:hint="eastAsia" w:ascii="宋体" w:hAnsi="宋体" w:eastAsia="宋体" w:cs="宋体"/>
          <w:sz w:val="10"/>
        </w:rPr>
        <w:t>，</w:t>
      </w:r>
      <w:r>
        <w:rPr>
          <w:rFonts w:hint="eastAsia" w:ascii="宋体" w:hAnsi="宋体" w:eastAsia="宋体" w:cs="宋体"/>
          <w:sz w:val="24"/>
        </w:rPr>
        <w:t>同时新签署订单增加较为明显</w:t>
      </w:r>
      <w:r>
        <w:rPr>
          <w:rFonts w:hint="eastAsia" w:ascii="宋体" w:hAnsi="宋体" w:eastAsia="宋体" w:cs="宋体"/>
          <w:sz w:val="10"/>
        </w:rPr>
        <w:t>，</w:t>
      </w:r>
      <w:r>
        <w:rPr>
          <w:rFonts w:hint="eastAsia" w:ascii="宋体" w:hAnsi="宋体" w:eastAsia="宋体" w:cs="宋体"/>
          <w:sz w:val="24"/>
        </w:rPr>
        <w:t>将对发行人经营业绩产生积极影响</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系统集成业务系根据用户需要将整个系统中的外购软件</w:t>
      </w:r>
      <w:r>
        <w:rPr>
          <w:rFonts w:hint="eastAsia" w:ascii="宋体" w:hAnsi="宋体" w:eastAsia="宋体" w:cs="宋体"/>
          <w:sz w:val="10"/>
        </w:rPr>
        <w:t>、</w:t>
      </w:r>
      <w:r>
        <w:rPr>
          <w:rFonts w:hint="eastAsia" w:ascii="宋体" w:hAnsi="宋体" w:eastAsia="宋体" w:cs="宋体"/>
          <w:sz w:val="24"/>
        </w:rPr>
        <w:t>硬件按照合理的方式进行集成</w:t>
      </w:r>
      <w:r>
        <w:rPr>
          <w:rFonts w:hint="eastAsia" w:ascii="宋体" w:hAnsi="宋体" w:eastAsia="宋体" w:cs="宋体"/>
          <w:sz w:val="10"/>
        </w:rPr>
        <w:t>，</w:t>
      </w:r>
      <w:r>
        <w:rPr>
          <w:rFonts w:hint="eastAsia" w:ascii="宋体" w:hAnsi="宋体" w:eastAsia="宋体" w:cs="宋体"/>
          <w:sz w:val="24"/>
        </w:rPr>
        <w:t>其各期内订单金额的变化主要取决于客户的配套需求</w:t>
      </w:r>
      <w:r>
        <w:rPr>
          <w:rFonts w:hint="eastAsia" w:ascii="宋体" w:hAnsi="宋体" w:eastAsia="宋体" w:cs="宋体"/>
          <w:sz w:val="10"/>
        </w:rPr>
        <w:t>，</w:t>
      </w:r>
      <w:r>
        <w:rPr>
          <w:rFonts w:hint="eastAsia" w:ascii="宋体" w:hAnsi="宋体" w:eastAsia="宋体" w:cs="宋体"/>
          <w:sz w:val="24"/>
        </w:rPr>
        <w:t>其期末订单金额</w:t>
      </w:r>
      <w:r>
        <w:rPr>
          <w:rFonts w:hint="eastAsia" w:ascii="宋体" w:hAnsi="宋体" w:eastAsia="宋体" w:cs="宋体"/>
          <w:sz w:val="10"/>
        </w:rPr>
        <w:t>、</w:t>
      </w:r>
      <w:r>
        <w:rPr>
          <w:rFonts w:hint="eastAsia" w:ascii="宋体" w:hAnsi="宋体" w:eastAsia="宋体" w:cs="宋体"/>
          <w:sz w:val="24"/>
        </w:rPr>
        <w:t>数量分布存在一定波动性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非流动资产构成及其变化</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公司非流动资产主要结构如下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2"/>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420"/>
        <w:gridCol w:w="1420"/>
        <w:gridCol w:w="1200"/>
        <w:gridCol w:w="1420"/>
        <w:gridCol w:w="1200"/>
        <w:gridCol w:w="1420"/>
        <w:gridCol w:w="1180"/>
      </w:tblGrid>
      <w:tr>
        <w:trPr>
          <w:trHeight w:val="480" w:hRule="exact"/>
        </w:trPr>
        <w:tc>
          <w:tcPr>
            <w:tcW w:w="1420" w:type="dxa"/>
            <w:vMerge w:val="restart"/>
            <w:tcMar>
              <w:top w:w="0" w:type="dxa"/>
              <w:left w:w="0" w:type="dxa"/>
              <w:bottom w:w="0" w:type="dxa"/>
              <w:right w:w="0" w:type="dxa"/>
            </w:tcMar>
          </w:tcPr>
          <w:p>
            <w:pPr>
              <w:spacing w:before="360"/>
              <w:ind w:left="480"/>
            </w:pPr>
            <w:r>
              <w:rPr>
                <w:rFonts w:hint="eastAsia" w:ascii="宋体" w:hAnsi="宋体" w:eastAsia="宋体" w:cs="宋体"/>
                <w:b/>
                <w:sz w:val="21"/>
              </w:rPr>
              <w:t>项目</w:t>
            </w:r>
          </w:p>
        </w:tc>
        <w:tc>
          <w:tcPr>
            <w:tcW w:w="2620" w:type="dxa"/>
            <w:gridSpan w:val="2"/>
            <w:tcMar>
              <w:top w:w="0" w:type="dxa"/>
              <w:left w:w="0" w:type="dxa"/>
              <w:bottom w:w="0" w:type="dxa"/>
              <w:right w:w="0" w:type="dxa"/>
            </w:tcMar>
          </w:tcPr>
          <w:p>
            <w:pPr>
              <w:spacing w:before="160"/>
              <w:ind w:left="800"/>
            </w:pPr>
            <w:r>
              <w:rPr>
                <w:rFonts w:hint="eastAsia" w:ascii="Times New Roman Bold" w:hAnsi="Times New Roman Bold" w:eastAsia="Times New Roman Bold" w:cs="Times New Roman Bold"/>
                <w:b/>
                <w:sz w:val="21"/>
              </w:rPr>
              <w:t>2016-12-31</w:t>
            </w:r>
          </w:p>
        </w:tc>
        <w:tc>
          <w:tcPr>
            <w:tcW w:w="2620" w:type="dxa"/>
            <w:gridSpan w:val="2"/>
            <w:tcMar>
              <w:top w:w="0" w:type="dxa"/>
              <w:left w:w="0" w:type="dxa"/>
              <w:bottom w:w="0" w:type="dxa"/>
              <w:right w:w="0" w:type="dxa"/>
            </w:tcMar>
          </w:tcPr>
          <w:p>
            <w:pPr>
              <w:spacing w:before="160"/>
              <w:ind w:left="800"/>
            </w:pPr>
            <w:r>
              <w:rPr>
                <w:rFonts w:hint="eastAsia" w:ascii="Times New Roman Bold" w:hAnsi="Times New Roman Bold" w:eastAsia="Times New Roman Bold" w:cs="Times New Roman Bold"/>
                <w:b/>
                <w:sz w:val="21"/>
              </w:rPr>
              <w:t>2015-12-31</w:t>
            </w:r>
          </w:p>
        </w:tc>
        <w:tc>
          <w:tcPr>
            <w:tcW w:w="2600" w:type="dxa"/>
            <w:gridSpan w:val="2"/>
            <w:tcMar>
              <w:top w:w="0" w:type="dxa"/>
              <w:left w:w="0" w:type="dxa"/>
              <w:bottom w:w="0" w:type="dxa"/>
              <w:right w:w="0" w:type="dxa"/>
            </w:tcMar>
          </w:tcPr>
          <w:p>
            <w:pPr>
              <w:spacing w:before="160"/>
              <w:ind w:left="800"/>
            </w:pPr>
            <w:r>
              <w:rPr>
                <w:rFonts w:hint="eastAsia" w:ascii="Times New Roman Bold" w:hAnsi="Times New Roman Bold" w:eastAsia="Times New Roman Bold" w:cs="Times New Roman Bold"/>
                <w:b/>
                <w:sz w:val="21"/>
              </w:rPr>
              <w:t>2014-12-31</w:t>
            </w:r>
          </w:p>
        </w:tc>
      </w:tr>
      <w:tr>
        <w:trPr>
          <w:trHeight w:val="460" w:hRule="exact"/>
        </w:trPr>
        <w:tc>
          <w:tcPr>
            <w:tcW w:w="1420" w:type="dxa"/>
            <w:vMerge w:val="continue"/>
            <w:tcMar>
              <w:top w:w="0" w:type="dxa"/>
              <w:left w:w="0" w:type="dxa"/>
              <w:bottom w:w="0" w:type="dxa"/>
              <w:right w:w="0" w:type="dxa"/>
            </w:tcMar>
          </w:tcPr>
          <w:p/>
        </w:tc>
        <w:tc>
          <w:tcPr>
            <w:tcW w:w="1420" w:type="dxa"/>
            <w:tcMar>
              <w:top w:w="0" w:type="dxa"/>
              <w:left w:w="0" w:type="dxa"/>
              <w:bottom w:w="0" w:type="dxa"/>
              <w:right w:w="0" w:type="dxa"/>
            </w:tcMar>
          </w:tcPr>
          <w:p>
            <w:pPr>
              <w:spacing w:before="100"/>
              <w:ind w:left="480"/>
            </w:pPr>
            <w:r>
              <w:rPr>
                <w:rFonts w:hint="eastAsia" w:ascii="宋体" w:hAnsi="宋体" w:eastAsia="宋体" w:cs="宋体"/>
                <w:b/>
                <w:sz w:val="21"/>
              </w:rPr>
              <w:t>金额</w:t>
            </w:r>
          </w:p>
        </w:tc>
        <w:tc>
          <w:tcPr>
            <w:tcW w:w="1200" w:type="dxa"/>
            <w:tcMar>
              <w:top w:w="0" w:type="dxa"/>
              <w:left w:w="0" w:type="dxa"/>
              <w:bottom w:w="0" w:type="dxa"/>
              <w:right w:w="0" w:type="dxa"/>
            </w:tcMar>
          </w:tcPr>
          <w:p>
            <w:pPr>
              <w:spacing w:before="120"/>
              <w:ind w:left="380"/>
            </w:pPr>
            <w:r>
              <w:rPr>
                <w:rFonts w:hint="eastAsia" w:ascii="宋体" w:hAnsi="宋体" w:eastAsia="宋体" w:cs="宋体"/>
                <w:b/>
                <w:sz w:val="21"/>
              </w:rPr>
              <w:t>比例</w:t>
            </w:r>
          </w:p>
        </w:tc>
        <w:tc>
          <w:tcPr>
            <w:tcW w:w="1420" w:type="dxa"/>
            <w:tcMar>
              <w:top w:w="0" w:type="dxa"/>
              <w:left w:w="0" w:type="dxa"/>
              <w:bottom w:w="0" w:type="dxa"/>
              <w:right w:w="0" w:type="dxa"/>
            </w:tcMar>
          </w:tcPr>
          <w:p>
            <w:pPr>
              <w:spacing w:before="100"/>
              <w:ind w:left="480"/>
            </w:pPr>
            <w:r>
              <w:rPr>
                <w:rFonts w:hint="eastAsia" w:ascii="宋体" w:hAnsi="宋体" w:eastAsia="宋体" w:cs="宋体"/>
                <w:b/>
                <w:sz w:val="21"/>
              </w:rPr>
              <w:t>金额</w:t>
            </w:r>
          </w:p>
        </w:tc>
        <w:tc>
          <w:tcPr>
            <w:tcW w:w="1200" w:type="dxa"/>
            <w:tcMar>
              <w:top w:w="0" w:type="dxa"/>
              <w:left w:w="0" w:type="dxa"/>
              <w:bottom w:w="0" w:type="dxa"/>
              <w:right w:w="0" w:type="dxa"/>
            </w:tcMar>
          </w:tcPr>
          <w:p>
            <w:pPr>
              <w:spacing w:before="120"/>
              <w:ind w:left="360"/>
            </w:pPr>
            <w:r>
              <w:rPr>
                <w:rFonts w:hint="eastAsia" w:ascii="宋体" w:hAnsi="宋体" w:eastAsia="宋体" w:cs="宋体"/>
                <w:b/>
                <w:sz w:val="21"/>
              </w:rPr>
              <w:t>比例</w:t>
            </w:r>
          </w:p>
        </w:tc>
        <w:tc>
          <w:tcPr>
            <w:tcW w:w="1420" w:type="dxa"/>
            <w:tcMar>
              <w:top w:w="0" w:type="dxa"/>
              <w:left w:w="0" w:type="dxa"/>
              <w:bottom w:w="0" w:type="dxa"/>
              <w:right w:w="0" w:type="dxa"/>
            </w:tcMar>
          </w:tcPr>
          <w:p>
            <w:pPr>
              <w:spacing w:before="100"/>
              <w:ind w:left="480"/>
            </w:pPr>
            <w:r>
              <w:rPr>
                <w:rFonts w:hint="eastAsia" w:ascii="宋体" w:hAnsi="宋体" w:eastAsia="宋体" w:cs="宋体"/>
                <w:b/>
                <w:sz w:val="21"/>
              </w:rPr>
              <w:t>金额</w:t>
            </w:r>
          </w:p>
        </w:tc>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比例</w:t>
            </w:r>
          </w:p>
        </w:tc>
      </w:tr>
      <w:tr>
        <w:trPr>
          <w:trHeight w:val="640" w:hRule="exact"/>
        </w:trPr>
        <w:tc>
          <w:tcPr>
            <w:tcW w:w="1420" w:type="dxa"/>
            <w:tcMar>
              <w:top w:w="0" w:type="dxa"/>
              <w:left w:w="0" w:type="dxa"/>
              <w:bottom w:w="0" w:type="dxa"/>
              <w:right w:w="0" w:type="dxa"/>
            </w:tcMar>
          </w:tcPr>
          <w:p>
            <w:pPr>
              <w:spacing w:before="40"/>
              <w:ind w:left="100"/>
            </w:pPr>
            <w:r>
              <w:rPr>
                <w:rFonts w:hint="eastAsia" w:ascii="宋体" w:hAnsi="宋体" w:eastAsia="宋体" w:cs="宋体"/>
                <w:sz w:val="21"/>
              </w:rPr>
              <w:t>可供出售金</w:t>
            </w:r>
          </w:p>
          <w:p>
            <w:pPr>
              <w:spacing w:before="100"/>
              <w:ind w:left="100"/>
            </w:pPr>
            <w:r>
              <w:rPr>
                <w:rFonts w:hint="eastAsia" w:ascii="宋体" w:hAnsi="宋体" w:eastAsia="宋体" w:cs="宋体"/>
                <w:sz w:val="21"/>
              </w:rPr>
              <w:t>融资产</w:t>
            </w:r>
          </w:p>
        </w:tc>
        <w:tc>
          <w:tcPr>
            <w:tcW w:w="1420" w:type="dxa"/>
            <w:tcMar>
              <w:top w:w="0" w:type="dxa"/>
              <w:left w:w="0" w:type="dxa"/>
              <w:bottom w:w="0" w:type="dxa"/>
              <w:right w:w="0" w:type="dxa"/>
            </w:tcMar>
          </w:tcPr>
          <w:p>
            <w:pPr>
              <w:spacing w:before="380"/>
              <w:ind w:left="1220"/>
            </w:pPr>
            <w:r>
              <w:rPr>
                <w:rFonts w:hint="eastAsia" w:ascii="Times New Roman Bold" w:hAnsi="Times New Roman Bold" w:eastAsia="Times New Roman Bold" w:cs="Times New Roman Bold"/>
                <w:b/>
                <w:sz w:val="21"/>
              </w:rPr>
              <w:t>-</w:t>
            </w:r>
          </w:p>
        </w:tc>
        <w:tc>
          <w:tcPr>
            <w:tcW w:w="1200" w:type="dxa"/>
            <w:tcMar>
              <w:top w:w="0" w:type="dxa"/>
              <w:left w:w="0" w:type="dxa"/>
              <w:bottom w:w="0" w:type="dxa"/>
              <w:right w:w="0" w:type="dxa"/>
            </w:tcMar>
          </w:tcPr>
          <w:p>
            <w:pPr>
              <w:spacing w:before="380"/>
              <w:ind w:left="1000"/>
            </w:pPr>
            <w:r>
              <w:rPr>
                <w:rFonts w:hint="eastAsia" w:ascii="Times New Roman Bold" w:hAnsi="Times New Roman Bold" w:eastAsia="Times New Roman Bold" w:cs="Times New Roman Bold"/>
                <w:b/>
                <w:sz w:val="21"/>
              </w:rPr>
              <w:t>-</w:t>
            </w:r>
          </w:p>
        </w:tc>
        <w:tc>
          <w:tcPr>
            <w:tcW w:w="1420" w:type="dxa"/>
            <w:tcMar>
              <w:top w:w="0" w:type="dxa"/>
              <w:left w:w="0" w:type="dxa"/>
              <w:bottom w:w="0" w:type="dxa"/>
              <w:right w:w="0" w:type="dxa"/>
            </w:tcMar>
          </w:tcPr>
          <w:p>
            <w:pPr>
              <w:spacing w:before="380"/>
              <w:ind w:left="1220"/>
            </w:pPr>
            <w:r>
              <w:rPr>
                <w:rFonts w:hint="eastAsia" w:ascii="Times New Roman Bold" w:hAnsi="Times New Roman Bold" w:eastAsia="Times New Roman Bold" w:cs="Times New Roman Bold"/>
                <w:b/>
                <w:sz w:val="21"/>
              </w:rPr>
              <w:t>-</w:t>
            </w:r>
          </w:p>
        </w:tc>
        <w:tc>
          <w:tcPr>
            <w:tcW w:w="1200" w:type="dxa"/>
            <w:tcMar>
              <w:top w:w="0" w:type="dxa"/>
              <w:left w:w="0" w:type="dxa"/>
              <w:bottom w:w="0" w:type="dxa"/>
              <w:right w:w="0" w:type="dxa"/>
            </w:tcMar>
          </w:tcPr>
          <w:p>
            <w:pPr>
              <w:spacing w:before="380"/>
              <w:ind w:left="1000"/>
            </w:pPr>
            <w:r>
              <w:rPr>
                <w:rFonts w:hint="eastAsia" w:ascii="Times New Roman Bold" w:hAnsi="Times New Roman Bold" w:eastAsia="Times New Roman Bold" w:cs="Times New Roman Bold"/>
                <w:b/>
                <w:sz w:val="21"/>
              </w:rPr>
              <w:t>-</w:t>
            </w:r>
          </w:p>
        </w:tc>
        <w:tc>
          <w:tcPr>
            <w:tcW w:w="1420" w:type="dxa"/>
            <w:tcMar>
              <w:top w:w="0" w:type="dxa"/>
              <w:left w:w="0" w:type="dxa"/>
              <w:bottom w:w="0" w:type="dxa"/>
              <w:right w:w="0" w:type="dxa"/>
            </w:tcMar>
          </w:tcPr>
          <w:p>
            <w:pPr>
              <w:spacing w:before="260"/>
              <w:ind w:left="34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18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p>
        </w:tc>
      </w:tr>
      <w:tr>
        <w:trPr>
          <w:trHeight w:val="480" w:hRule="exact"/>
        </w:trPr>
        <w:tc>
          <w:tcPr>
            <w:tcW w:w="1420" w:type="dxa"/>
            <w:tcMar>
              <w:top w:w="0" w:type="dxa"/>
              <w:left w:w="0" w:type="dxa"/>
              <w:bottom w:w="0" w:type="dxa"/>
              <w:right w:w="0" w:type="dxa"/>
            </w:tcMar>
          </w:tcPr>
          <w:p>
            <w:pPr>
              <w:spacing w:before="100"/>
              <w:ind w:left="100"/>
            </w:pPr>
            <w:r>
              <w:rPr>
                <w:rFonts w:hint="eastAsia" w:ascii="宋体" w:hAnsi="宋体" w:eastAsia="宋体" w:cs="宋体"/>
                <w:sz w:val="21"/>
              </w:rPr>
              <w:t>固定资产</w:t>
            </w:r>
          </w:p>
        </w:tc>
        <w:tc>
          <w:tcPr>
            <w:tcW w:w="1420" w:type="dxa"/>
            <w:tcMar>
              <w:top w:w="0" w:type="dxa"/>
              <w:left w:w="0" w:type="dxa"/>
              <w:bottom w:w="0" w:type="dxa"/>
              <w:right w:w="0" w:type="dxa"/>
            </w:tcMar>
          </w:tcPr>
          <w:p>
            <w:pPr>
              <w:spacing w:before="14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c>
          <w:tcPr>
            <w:tcW w:w="1200" w:type="dxa"/>
            <w:tcMar>
              <w:top w:w="0" w:type="dxa"/>
              <w:left w:w="0" w:type="dxa"/>
              <w:bottom w:w="0" w:type="dxa"/>
              <w:right w:w="0" w:type="dxa"/>
            </w:tcMar>
          </w:tcPr>
          <w:p>
            <w:pPr>
              <w:spacing w:before="140"/>
              <w:ind w:left="420"/>
            </w:pP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40"/>
            </w:pP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1200" w:type="dxa"/>
            <w:tcMar>
              <w:top w:w="0" w:type="dxa"/>
              <w:left w:w="0" w:type="dxa"/>
              <w:bottom w:w="0" w:type="dxa"/>
              <w:right w:w="0" w:type="dxa"/>
            </w:tcMar>
          </w:tcPr>
          <w:p>
            <w:pPr>
              <w:spacing w:before="140"/>
              <w:ind w:left="42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40"/>
            </w:pP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1180" w:type="dxa"/>
            <w:tcMar>
              <w:top w:w="0" w:type="dxa"/>
              <w:left w:w="0" w:type="dxa"/>
              <w:bottom w:w="0" w:type="dxa"/>
              <w:right w:w="0" w:type="dxa"/>
            </w:tcMar>
          </w:tcPr>
          <w:p>
            <w:pPr>
              <w:spacing w:before="140"/>
              <w:ind w:left="420"/>
            </w:pPr>
            <w:r>
              <w:rPr>
                <w:rFonts w:hint="eastAsia" w:ascii="Times New Roman" w:hAnsi="Times New Roman" w:eastAsia="Times New Roman" w:cs="Times New Roman"/>
                <w:sz w:val="21"/>
              </w:rPr>
              <w:t>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p>
        </w:tc>
      </w:tr>
      <w:tr>
        <w:trPr>
          <w:trHeight w:val="460" w:hRule="exact"/>
        </w:trPr>
        <w:tc>
          <w:tcPr>
            <w:tcW w:w="1420" w:type="dxa"/>
            <w:tcMar>
              <w:top w:w="0" w:type="dxa"/>
              <w:left w:w="0" w:type="dxa"/>
              <w:bottom w:w="0" w:type="dxa"/>
              <w:right w:w="0" w:type="dxa"/>
            </w:tcMar>
          </w:tcPr>
          <w:p>
            <w:pPr>
              <w:spacing w:before="120"/>
              <w:ind w:left="100"/>
            </w:pPr>
            <w:r>
              <w:rPr>
                <w:rFonts w:hint="eastAsia" w:ascii="宋体" w:hAnsi="宋体" w:eastAsia="宋体" w:cs="宋体"/>
                <w:sz w:val="21"/>
              </w:rPr>
              <w:t>无形资产</w:t>
            </w:r>
          </w:p>
        </w:tc>
        <w:tc>
          <w:tcPr>
            <w:tcW w:w="14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120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120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118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p>
        </w:tc>
      </w:tr>
      <w:tr>
        <w:trPr>
          <w:trHeight w:val="640" w:hRule="exact"/>
        </w:trPr>
        <w:tc>
          <w:tcPr>
            <w:tcW w:w="1420" w:type="dxa"/>
            <w:tcMar>
              <w:top w:w="0" w:type="dxa"/>
              <w:left w:w="0" w:type="dxa"/>
              <w:bottom w:w="0" w:type="dxa"/>
              <w:right w:w="0" w:type="dxa"/>
            </w:tcMar>
          </w:tcPr>
          <w:p>
            <w:pPr>
              <w:spacing w:before="60"/>
              <w:ind w:left="100"/>
            </w:pPr>
            <w:r>
              <w:rPr>
                <w:rFonts w:hint="eastAsia" w:ascii="宋体" w:hAnsi="宋体" w:eastAsia="宋体" w:cs="宋体"/>
                <w:sz w:val="21"/>
              </w:rPr>
              <w:t>长期待摊费</w:t>
            </w:r>
          </w:p>
          <w:p>
            <w:pPr>
              <w:spacing w:before="100"/>
              <w:ind w:left="100"/>
            </w:pPr>
            <w:r>
              <w:rPr>
                <w:rFonts w:hint="eastAsia" w:ascii="宋体" w:hAnsi="宋体" w:eastAsia="宋体" w:cs="宋体"/>
                <w:sz w:val="21"/>
              </w:rPr>
              <w:t>用</w:t>
            </w:r>
          </w:p>
        </w:tc>
        <w:tc>
          <w:tcPr>
            <w:tcW w:w="1420" w:type="dxa"/>
            <w:tcMar>
              <w:top w:w="0" w:type="dxa"/>
              <w:left w:w="0" w:type="dxa"/>
              <w:bottom w:w="0" w:type="dxa"/>
              <w:right w:w="0" w:type="dxa"/>
            </w:tcMar>
          </w:tcPr>
          <w:p>
            <w:pPr>
              <w:spacing w:before="260"/>
              <w:ind w:left="340"/>
            </w:pPr>
            <w:r>
              <w:rPr>
                <w:rFonts w:hint="eastAsia" w:ascii="Times New Roman" w:hAnsi="Times New Roman" w:eastAsia="Times New Roman" w:cs="Times New Roman"/>
                <w:sz w:val="21"/>
              </w:rPr>
              <w:t>640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120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260"/>
              <w:ind w:left="340"/>
            </w:pPr>
            <w:r>
              <w:rPr>
                <w:rFonts w:hint="eastAsia" w:ascii="Times New Roman" w:hAnsi="Times New Roman" w:eastAsia="Times New Roman" w:cs="Times New Roman"/>
                <w:sz w:val="21"/>
              </w:rPr>
              <w:t>968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c>
          <w:tcPr>
            <w:tcW w:w="120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260"/>
              <w:ind w:left="2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118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p>
        </w:tc>
      </w:tr>
      <w:tr>
        <w:trPr>
          <w:trHeight w:val="640" w:hRule="exact"/>
        </w:trPr>
        <w:tc>
          <w:tcPr>
            <w:tcW w:w="1420" w:type="dxa"/>
            <w:tcMar>
              <w:top w:w="0" w:type="dxa"/>
              <w:left w:w="0" w:type="dxa"/>
              <w:bottom w:w="0" w:type="dxa"/>
              <w:right w:w="0" w:type="dxa"/>
            </w:tcMar>
          </w:tcPr>
          <w:p>
            <w:pPr>
              <w:spacing w:before="40"/>
              <w:ind w:left="100"/>
            </w:pPr>
            <w:r>
              <w:rPr>
                <w:rFonts w:hint="eastAsia" w:ascii="宋体" w:hAnsi="宋体" w:eastAsia="宋体" w:cs="宋体"/>
                <w:sz w:val="21"/>
              </w:rPr>
              <w:t>递延所得税</w:t>
            </w:r>
          </w:p>
          <w:p>
            <w:pPr>
              <w:spacing w:before="80"/>
              <w:ind w:left="100"/>
            </w:pPr>
            <w:r>
              <w:rPr>
                <w:rFonts w:hint="eastAsia" w:ascii="宋体" w:hAnsi="宋体" w:eastAsia="宋体" w:cs="宋体"/>
                <w:sz w:val="21"/>
              </w:rPr>
              <w:t>资产</w:t>
            </w:r>
          </w:p>
        </w:tc>
        <w:tc>
          <w:tcPr>
            <w:tcW w:w="1420" w:type="dxa"/>
            <w:tcMar>
              <w:top w:w="0" w:type="dxa"/>
              <w:left w:w="0" w:type="dxa"/>
              <w:bottom w:w="0" w:type="dxa"/>
              <w:right w:w="0" w:type="dxa"/>
            </w:tcMar>
          </w:tcPr>
          <w:p>
            <w:pPr>
              <w:spacing w:before="24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c>
          <w:tcPr>
            <w:tcW w:w="1200" w:type="dxa"/>
            <w:tcMar>
              <w:top w:w="0" w:type="dxa"/>
              <w:left w:w="0" w:type="dxa"/>
              <w:bottom w:w="0" w:type="dxa"/>
              <w:right w:w="0" w:type="dxa"/>
            </w:tcMar>
          </w:tcPr>
          <w:p>
            <w:pPr>
              <w:spacing w:before="240"/>
              <w:ind w:left="42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240"/>
              <w:ind w:left="10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c>
          <w:tcPr>
            <w:tcW w:w="1200" w:type="dxa"/>
            <w:tcMar>
              <w:top w:w="0" w:type="dxa"/>
              <w:left w:w="0" w:type="dxa"/>
              <w:bottom w:w="0" w:type="dxa"/>
              <w:right w:w="0" w:type="dxa"/>
            </w:tcMar>
          </w:tcPr>
          <w:p>
            <w:pPr>
              <w:spacing w:before="240"/>
              <w:ind w:left="42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2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1180" w:type="dxa"/>
            <w:tcMar>
              <w:top w:w="0" w:type="dxa"/>
              <w:left w:w="0" w:type="dxa"/>
              <w:bottom w:w="0" w:type="dxa"/>
              <w:right w:w="0" w:type="dxa"/>
            </w:tcMar>
          </w:tcPr>
          <w:p>
            <w:pPr>
              <w:spacing w:before="240"/>
              <w:ind w:left="42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r>
      <w:tr>
        <w:trPr>
          <w:trHeight w:val="460" w:hRule="exact"/>
        </w:trPr>
        <w:tc>
          <w:tcPr>
            <w:tcW w:w="1420" w:type="dxa"/>
            <w:tcMar>
              <w:top w:w="0" w:type="dxa"/>
              <w:left w:w="0" w:type="dxa"/>
              <w:bottom w:w="0" w:type="dxa"/>
              <w:right w:w="0" w:type="dxa"/>
            </w:tcMar>
          </w:tcPr>
          <w:p>
            <w:pPr>
              <w:spacing w:before="100"/>
              <w:ind w:left="100"/>
            </w:pPr>
            <w:r>
              <w:rPr>
                <w:rFonts w:hint="eastAsia" w:ascii="宋体" w:hAnsi="宋体" w:eastAsia="宋体" w:cs="宋体"/>
                <w:b/>
                <w:sz w:val="21"/>
              </w:rPr>
              <w:t>非流动资产</w:t>
            </w:r>
          </w:p>
        </w:tc>
        <w:tc>
          <w:tcPr>
            <w:tcW w:w="142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56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51</w:t>
            </w:r>
          </w:p>
        </w:tc>
        <w:tc>
          <w:tcPr>
            <w:tcW w:w="1200" w:type="dxa"/>
            <w:tcMar>
              <w:top w:w="0" w:type="dxa"/>
              <w:left w:w="0" w:type="dxa"/>
              <w:bottom w:w="0" w:type="dxa"/>
              <w:right w:w="0" w:type="dxa"/>
            </w:tcMar>
          </w:tcPr>
          <w:p>
            <w:pPr>
              <w:spacing w:before="140"/>
              <w:ind w:left="2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2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97</w:t>
            </w:r>
          </w:p>
        </w:tc>
        <w:tc>
          <w:tcPr>
            <w:tcW w:w="1200" w:type="dxa"/>
            <w:tcMar>
              <w:top w:w="0" w:type="dxa"/>
              <w:left w:w="0" w:type="dxa"/>
              <w:bottom w:w="0" w:type="dxa"/>
              <w:right w:w="0" w:type="dxa"/>
            </w:tcMar>
          </w:tcPr>
          <w:p>
            <w:pPr>
              <w:spacing w:before="140"/>
              <w:ind w:left="2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2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57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w:t>
            </w:r>
          </w:p>
        </w:tc>
        <w:tc>
          <w:tcPr>
            <w:tcW w:w="1180" w:type="dxa"/>
            <w:tcMar>
              <w:top w:w="0" w:type="dxa"/>
              <w:left w:w="0" w:type="dxa"/>
              <w:bottom w:w="0" w:type="dxa"/>
              <w:right w:w="0" w:type="dxa"/>
            </w:tcMar>
          </w:tcPr>
          <w:p>
            <w:pPr>
              <w:spacing w:before="140"/>
              <w:ind w:left="2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公司非流动资产主要为固定资产和递延所得税资产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）固定资产</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公司固定资产净额分别为</w:t>
      </w:r>
      <w:r>
        <w:rPr>
          <w:rFonts w:hint="eastAsia" w:ascii="Times New Roman" w:hAnsi="Times New Roman" w:eastAsia="Times New Roman" w:cs="Times New Roman"/>
          <w:sz w:val="24"/>
        </w:rPr>
        <w:t xml:space="preserve"> 43,633,946.85</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43,055,245.16</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41,728,442.22</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占非流动资产的比例分别为</w:t>
      </w:r>
      <w:r>
        <w:rPr>
          <w:rFonts w:hint="eastAsia" w:ascii="Times New Roman" w:hAnsi="Times New Roman" w:eastAsia="Times New Roman" w:cs="Times New Roman"/>
          <w:sz w:val="24"/>
        </w:rPr>
        <w:t xml:space="preserve"> 76.41%</w:t>
      </w:r>
      <w:r>
        <w:rPr>
          <w:rFonts w:hint="eastAsia" w:ascii="宋体" w:hAnsi="宋体" w:eastAsia="宋体" w:cs="宋体"/>
          <w:sz w:val="10"/>
        </w:rPr>
        <w:t>、</w:t>
      </w:r>
      <w:r>
        <w:rPr>
          <w:rFonts w:hint="eastAsia" w:ascii="Times New Roman" w:hAnsi="Times New Roman" w:eastAsia="Times New Roman" w:cs="Times New Roman"/>
          <w:sz w:val="24"/>
        </w:rPr>
        <w:t>70.21%</w:t>
      </w:r>
      <w:r>
        <w:rPr>
          <w:rFonts w:hint="eastAsia" w:ascii="宋体" w:hAnsi="宋体" w:eastAsia="宋体" w:cs="宋体"/>
          <w:sz w:val="24"/>
        </w:rPr>
        <w:t>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1-1-263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Times New Roman" w:hAnsi="Times New Roman" w:eastAsia="Times New Roman" w:cs="Times New Roman"/>
          <w:sz w:val="24"/>
        </w:rPr>
        <w:t>73.47%</w:t>
      </w:r>
      <w:r>
        <w:rPr>
          <w:rFonts w:hint="eastAsia" w:ascii="宋体" w:hAnsi="宋体" w:eastAsia="宋体" w:cs="宋体"/>
          <w:sz w:val="10"/>
        </w:rPr>
        <w:t>。</w:t>
      </w:r>
      <w:r>
        <w:rPr>
          <w:rFonts w:hint="eastAsia" w:ascii="宋体" w:hAnsi="宋体" w:eastAsia="宋体" w:cs="宋体"/>
          <w:sz w:val="24"/>
        </w:rPr>
        <w:t>报告期各期期末</w:t>
      </w:r>
      <w:r>
        <w:rPr>
          <w:rFonts w:hint="eastAsia" w:ascii="宋体" w:hAnsi="宋体" w:eastAsia="宋体" w:cs="宋体"/>
          <w:sz w:val="10"/>
        </w:rPr>
        <w:t>，</w:t>
      </w:r>
      <w:r>
        <w:rPr>
          <w:rFonts w:hint="eastAsia" w:ascii="宋体" w:hAnsi="宋体" w:eastAsia="宋体" w:cs="宋体"/>
          <w:sz w:val="24"/>
        </w:rPr>
        <w:t>固定资产的账面价值构成如下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480" w:type="auto"/>
        <w:tblInd w:w="1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580"/>
        <w:gridCol w:w="1560"/>
        <w:gridCol w:w="1060"/>
        <w:gridCol w:w="1480"/>
        <w:gridCol w:w="1140"/>
        <w:gridCol w:w="1560"/>
        <w:gridCol w:w="1080"/>
      </w:tblGrid>
      <w:tr>
        <w:trPr>
          <w:trHeight w:val="480" w:hRule="exact"/>
        </w:trPr>
        <w:tc>
          <w:tcPr>
            <w:tcW w:w="1580" w:type="dxa"/>
            <w:vMerge w:val="restart"/>
            <w:tcMar>
              <w:top w:w="0" w:type="dxa"/>
              <w:left w:w="0" w:type="dxa"/>
              <w:bottom w:w="0" w:type="dxa"/>
              <w:right w:w="0" w:type="dxa"/>
            </w:tcMar>
          </w:tcPr>
          <w:p>
            <w:pPr>
              <w:spacing w:before="360"/>
              <w:ind w:left="560"/>
            </w:pPr>
            <w:r>
              <w:rPr>
                <w:rFonts w:hint="eastAsia" w:ascii="宋体" w:hAnsi="宋体" w:eastAsia="宋体" w:cs="宋体"/>
                <w:b/>
                <w:sz w:val="21"/>
              </w:rPr>
              <w:t>项目</w:t>
            </w:r>
          </w:p>
        </w:tc>
        <w:tc>
          <w:tcPr>
            <w:tcW w:w="2620" w:type="dxa"/>
            <w:gridSpan w:val="2"/>
            <w:tcMar>
              <w:top w:w="0" w:type="dxa"/>
              <w:left w:w="0" w:type="dxa"/>
              <w:bottom w:w="0" w:type="dxa"/>
              <w:right w:w="0" w:type="dxa"/>
            </w:tcMar>
          </w:tcPr>
          <w:p>
            <w:pPr>
              <w:spacing w:before="140"/>
              <w:ind w:left="800"/>
            </w:pPr>
            <w:r>
              <w:rPr>
                <w:rFonts w:hint="eastAsia" w:ascii="Times New Roman Bold" w:hAnsi="Times New Roman Bold" w:eastAsia="Times New Roman Bold" w:cs="Times New Roman Bold"/>
                <w:b/>
                <w:sz w:val="21"/>
              </w:rPr>
              <w:t>2016-12-31</w:t>
            </w:r>
          </w:p>
        </w:tc>
        <w:tc>
          <w:tcPr>
            <w:tcW w:w="2620" w:type="dxa"/>
            <w:gridSpan w:val="2"/>
            <w:tcMar>
              <w:top w:w="0" w:type="dxa"/>
              <w:left w:w="0" w:type="dxa"/>
              <w:bottom w:w="0" w:type="dxa"/>
              <w:right w:w="0" w:type="dxa"/>
            </w:tcMar>
          </w:tcPr>
          <w:p>
            <w:pPr>
              <w:spacing w:before="140"/>
              <w:ind w:left="800"/>
            </w:pPr>
            <w:r>
              <w:rPr>
                <w:rFonts w:hint="eastAsia" w:ascii="Times New Roman Bold" w:hAnsi="Times New Roman Bold" w:eastAsia="Times New Roman Bold" w:cs="Times New Roman Bold"/>
                <w:b/>
                <w:sz w:val="21"/>
              </w:rPr>
              <w:t>2015-12-31</w:t>
            </w:r>
          </w:p>
        </w:tc>
        <w:tc>
          <w:tcPr>
            <w:tcW w:w="2640" w:type="dxa"/>
            <w:gridSpan w:val="2"/>
            <w:tcMar>
              <w:top w:w="0" w:type="dxa"/>
              <w:left w:w="0" w:type="dxa"/>
              <w:bottom w:w="0" w:type="dxa"/>
              <w:right w:w="0" w:type="dxa"/>
            </w:tcMar>
          </w:tcPr>
          <w:p>
            <w:pPr>
              <w:spacing w:before="140"/>
              <w:ind w:left="820"/>
            </w:pPr>
            <w:r>
              <w:rPr>
                <w:rFonts w:hint="eastAsia" w:ascii="Times New Roman Bold" w:hAnsi="Times New Roman Bold" w:eastAsia="Times New Roman Bold" w:cs="Times New Roman Bold"/>
                <w:b/>
                <w:sz w:val="21"/>
              </w:rPr>
              <w:t>2014-12-31</w:t>
            </w:r>
          </w:p>
        </w:tc>
      </w:tr>
      <w:tr>
        <w:trPr>
          <w:trHeight w:val="460" w:hRule="exact"/>
        </w:trPr>
        <w:tc>
          <w:tcPr>
            <w:tcW w:w="158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00"/>
              <w:ind w:left="540"/>
            </w:pPr>
            <w:r>
              <w:rPr>
                <w:rFonts w:hint="eastAsia" w:ascii="宋体" w:hAnsi="宋体" w:eastAsia="宋体" w:cs="宋体"/>
                <w:b/>
                <w:sz w:val="21"/>
              </w:rPr>
              <w:t>金额</w:t>
            </w:r>
          </w:p>
        </w:tc>
        <w:tc>
          <w:tcPr>
            <w:tcW w:w="1060" w:type="dxa"/>
            <w:tcMar>
              <w:top w:w="0" w:type="dxa"/>
              <w:left w:w="0" w:type="dxa"/>
              <w:bottom w:w="0" w:type="dxa"/>
              <w:right w:w="0" w:type="dxa"/>
            </w:tcMar>
          </w:tcPr>
          <w:p>
            <w:pPr>
              <w:spacing w:before="120"/>
              <w:ind w:left="300"/>
            </w:pPr>
            <w:r>
              <w:rPr>
                <w:rFonts w:hint="eastAsia" w:ascii="宋体" w:hAnsi="宋体" w:eastAsia="宋体" w:cs="宋体"/>
                <w:b/>
                <w:sz w:val="21"/>
              </w:rPr>
              <w:t>比例</w:t>
            </w:r>
          </w:p>
        </w:tc>
        <w:tc>
          <w:tcPr>
            <w:tcW w:w="1480" w:type="dxa"/>
            <w:tcMar>
              <w:top w:w="0" w:type="dxa"/>
              <w:left w:w="0" w:type="dxa"/>
              <w:bottom w:w="0" w:type="dxa"/>
              <w:right w:w="0" w:type="dxa"/>
            </w:tcMar>
          </w:tcPr>
          <w:p>
            <w:pPr>
              <w:spacing w:before="100"/>
              <w:ind w:left="520"/>
            </w:pPr>
            <w:r>
              <w:rPr>
                <w:rFonts w:hint="eastAsia" w:ascii="宋体" w:hAnsi="宋体" w:eastAsia="宋体" w:cs="宋体"/>
                <w:b/>
                <w:sz w:val="21"/>
              </w:rPr>
              <w:t>金额</w:t>
            </w:r>
          </w:p>
        </w:tc>
        <w:tc>
          <w:tcPr>
            <w:tcW w:w="1140" w:type="dxa"/>
            <w:tcMar>
              <w:top w:w="0" w:type="dxa"/>
              <w:left w:w="0" w:type="dxa"/>
              <w:bottom w:w="0" w:type="dxa"/>
              <w:right w:w="0" w:type="dxa"/>
            </w:tcMar>
          </w:tcPr>
          <w:p>
            <w:pPr>
              <w:spacing w:before="120"/>
              <w:ind w:left="34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00"/>
              <w:ind w:left="56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20"/>
              <w:ind w:left="300"/>
            </w:pPr>
            <w:r>
              <w:rPr>
                <w:rFonts w:hint="eastAsia" w:ascii="宋体" w:hAnsi="宋体" w:eastAsia="宋体" w:cs="宋体"/>
                <w:b/>
                <w:sz w:val="21"/>
              </w:rPr>
              <w:t>比例</w:t>
            </w:r>
          </w:p>
        </w:tc>
      </w:tr>
      <w:tr>
        <w:trPr>
          <w:trHeight w:val="480" w:hRule="exact"/>
        </w:trPr>
        <w:tc>
          <w:tcPr>
            <w:tcW w:w="1580" w:type="dxa"/>
            <w:tcMar>
              <w:top w:w="0" w:type="dxa"/>
              <w:left w:w="0" w:type="dxa"/>
              <w:bottom w:w="0" w:type="dxa"/>
              <w:right w:w="0" w:type="dxa"/>
            </w:tcMar>
          </w:tcPr>
          <w:p>
            <w:pPr>
              <w:spacing w:before="120"/>
              <w:ind w:left="100"/>
            </w:pPr>
            <w:r>
              <w:rPr>
                <w:rFonts w:hint="eastAsia" w:ascii="宋体" w:hAnsi="宋体" w:eastAsia="宋体" w:cs="宋体"/>
                <w:sz w:val="21"/>
              </w:rPr>
              <w:t>房屋及建筑物</w:t>
            </w:r>
          </w:p>
        </w:tc>
        <w:tc>
          <w:tcPr>
            <w:tcW w:w="1560" w:type="dxa"/>
            <w:tcMar>
              <w:top w:w="0" w:type="dxa"/>
              <w:left w:w="0" w:type="dxa"/>
              <w:bottom w:w="0" w:type="dxa"/>
              <w:right w:w="0" w:type="dxa"/>
            </w:tcMar>
          </w:tcPr>
          <w:p>
            <w:pPr>
              <w:spacing w:before="180"/>
              <w:ind w:left="22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1060" w:type="dxa"/>
            <w:tcMar>
              <w:top w:w="0" w:type="dxa"/>
              <w:left w:w="0" w:type="dxa"/>
              <w:bottom w:w="0" w:type="dxa"/>
              <w:right w:w="0" w:type="dxa"/>
            </w:tcMar>
          </w:tcPr>
          <w:p>
            <w:pPr>
              <w:spacing w:before="180"/>
              <w:ind w:left="300"/>
            </w:pPr>
            <w:r>
              <w:rPr>
                <w:rFonts w:hint="eastAsia" w:ascii="Times New Roman" w:hAnsi="Times New Roman" w:eastAsia="Times New Roman" w:cs="Times New Roman"/>
                <w:sz w:val="21"/>
              </w:rPr>
              <w:t>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80"/>
              <w:ind w:left="16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1140" w:type="dxa"/>
            <w:tcMar>
              <w:top w:w="0" w:type="dxa"/>
              <w:left w:w="0" w:type="dxa"/>
              <w:bottom w:w="0" w:type="dxa"/>
              <w:right w:w="0" w:type="dxa"/>
            </w:tcMar>
          </w:tcPr>
          <w:p>
            <w:pPr>
              <w:spacing w:before="180"/>
              <w:ind w:left="38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80"/>
              <w:ind w:left="220"/>
            </w:pP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c>
          <w:tcPr>
            <w:tcW w:w="1080" w:type="dxa"/>
            <w:tcMar>
              <w:top w:w="0" w:type="dxa"/>
              <w:left w:w="0" w:type="dxa"/>
              <w:bottom w:w="0" w:type="dxa"/>
              <w:right w:w="0" w:type="dxa"/>
            </w:tcMar>
          </w:tcPr>
          <w:p>
            <w:pPr>
              <w:spacing w:before="180"/>
              <w:ind w:left="300"/>
            </w:pPr>
            <w:r>
              <w:rPr>
                <w:rFonts w:hint="eastAsia" w:ascii="Times New Roman" w:hAnsi="Times New Roman" w:eastAsia="Times New Roman" w:cs="Times New Roman"/>
                <w:sz w:val="21"/>
              </w:rPr>
              <w:t>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p>
        </w:tc>
      </w:tr>
      <w:tr>
        <w:trPr>
          <w:trHeight w:val="480" w:hRule="exact"/>
        </w:trPr>
        <w:tc>
          <w:tcPr>
            <w:tcW w:w="1580" w:type="dxa"/>
            <w:tcMar>
              <w:top w:w="0" w:type="dxa"/>
              <w:left w:w="0" w:type="dxa"/>
              <w:bottom w:w="0" w:type="dxa"/>
              <w:right w:w="0" w:type="dxa"/>
            </w:tcMar>
          </w:tcPr>
          <w:p>
            <w:pPr>
              <w:spacing w:before="120"/>
              <w:ind w:left="100"/>
            </w:pPr>
            <w:r>
              <w:rPr>
                <w:rFonts w:hint="eastAsia" w:ascii="宋体" w:hAnsi="宋体" w:eastAsia="宋体" w:cs="宋体"/>
                <w:sz w:val="21"/>
              </w:rPr>
              <w:t>运输设备</w:t>
            </w:r>
          </w:p>
        </w:tc>
        <w:tc>
          <w:tcPr>
            <w:tcW w:w="1560" w:type="dxa"/>
            <w:tcMar>
              <w:top w:w="0" w:type="dxa"/>
              <w:left w:w="0" w:type="dxa"/>
              <w:bottom w:w="0" w:type="dxa"/>
              <w:right w:w="0" w:type="dxa"/>
            </w:tcMar>
          </w:tcPr>
          <w:p>
            <w:pPr>
              <w:spacing w:before="140"/>
              <w:ind w:left="3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06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c>
          <w:tcPr>
            <w:tcW w:w="114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w:t>
            </w:r>
          </w:p>
        </w:tc>
        <w:tc>
          <w:tcPr>
            <w:tcW w:w="108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p>
        </w:tc>
      </w:tr>
      <w:tr>
        <w:trPr>
          <w:trHeight w:val="480" w:hRule="exact"/>
        </w:trPr>
        <w:tc>
          <w:tcPr>
            <w:tcW w:w="1580" w:type="dxa"/>
            <w:tcMar>
              <w:top w:w="0" w:type="dxa"/>
              <w:left w:w="0" w:type="dxa"/>
              <w:bottom w:w="0" w:type="dxa"/>
              <w:right w:w="0" w:type="dxa"/>
            </w:tcMar>
          </w:tcPr>
          <w:p>
            <w:pPr>
              <w:spacing w:before="120"/>
              <w:ind w:left="100"/>
            </w:pPr>
            <w:r>
              <w:rPr>
                <w:rFonts w:hint="eastAsia" w:ascii="宋体" w:hAnsi="宋体" w:eastAsia="宋体" w:cs="宋体"/>
                <w:sz w:val="21"/>
              </w:rPr>
              <w:t>电子设备</w:t>
            </w:r>
          </w:p>
        </w:tc>
        <w:tc>
          <w:tcPr>
            <w:tcW w:w="15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06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1140" w:type="dxa"/>
            <w:tcMar>
              <w:top w:w="0" w:type="dxa"/>
              <w:left w:w="0" w:type="dxa"/>
              <w:bottom w:w="0" w:type="dxa"/>
              <w:right w:w="0" w:type="dxa"/>
            </w:tcMar>
          </w:tcPr>
          <w:p>
            <w:pPr>
              <w:spacing w:before="140"/>
              <w:ind w:left="4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108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p>
        </w:tc>
      </w:tr>
      <w:tr>
        <w:trPr>
          <w:trHeight w:val="460" w:hRule="exact"/>
        </w:trPr>
        <w:tc>
          <w:tcPr>
            <w:tcW w:w="1580" w:type="dxa"/>
            <w:tcMar>
              <w:top w:w="0" w:type="dxa"/>
              <w:left w:w="0" w:type="dxa"/>
              <w:bottom w:w="0" w:type="dxa"/>
              <w:right w:w="0" w:type="dxa"/>
            </w:tcMar>
          </w:tcPr>
          <w:p>
            <w:pPr>
              <w:spacing w:before="100"/>
              <w:ind w:left="100"/>
            </w:pPr>
            <w:r>
              <w:rPr>
                <w:rFonts w:hint="eastAsia" w:ascii="宋体" w:hAnsi="宋体" w:eastAsia="宋体" w:cs="宋体"/>
                <w:sz w:val="21"/>
              </w:rPr>
              <w:t>办公设备</w:t>
            </w:r>
          </w:p>
        </w:tc>
        <w:tc>
          <w:tcPr>
            <w:tcW w:w="156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961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06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p>
        </w:tc>
        <w:tc>
          <w:tcPr>
            <w:tcW w:w="148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991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p>
        </w:tc>
        <w:tc>
          <w:tcPr>
            <w:tcW w:w="114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480"/>
            </w:pPr>
            <w:r>
              <w:rPr>
                <w:rFonts w:hint="eastAsia" w:ascii="Times New Roman" w:hAnsi="Times New Roman" w:eastAsia="Times New Roman" w:cs="Times New Roman"/>
                <w:sz w:val="21"/>
              </w:rPr>
              <w:t>829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p>
        </w:tc>
        <w:tc>
          <w:tcPr>
            <w:tcW w:w="108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r>
              <w:rPr>
                <w:rFonts w:hint="eastAsia" w:ascii="Times New Roman" w:hAnsi="Times New Roman" w:eastAsia="Times New Roman" w:cs="Times New Roman"/>
                <w:sz w:val="20"/>
              </w:rPr>
              <w:t>%</w:t>
            </w:r>
          </w:p>
        </w:tc>
      </w:tr>
      <w:tr>
        <w:trPr>
          <w:trHeight w:val="480" w:hRule="exact"/>
        </w:trPr>
        <w:tc>
          <w:tcPr>
            <w:tcW w:w="1580" w:type="dxa"/>
            <w:tcMar>
              <w:top w:w="0" w:type="dxa"/>
              <w:left w:w="0" w:type="dxa"/>
              <w:bottom w:w="0" w:type="dxa"/>
              <w:right w:w="0" w:type="dxa"/>
            </w:tcMar>
          </w:tcPr>
          <w:p>
            <w:pPr>
              <w:spacing w:before="120"/>
              <w:ind w:left="560"/>
            </w:pPr>
            <w:r>
              <w:rPr>
                <w:rFonts w:hint="eastAsia" w:ascii="宋体" w:hAnsi="宋体" w:eastAsia="宋体" w:cs="宋体"/>
                <w:b/>
                <w:sz w:val="21"/>
              </w:rPr>
              <w:t>合计</w:t>
            </w:r>
          </w:p>
        </w:tc>
        <w:tc>
          <w:tcPr>
            <w:tcW w:w="1560" w:type="dxa"/>
            <w:tcMar>
              <w:top w:w="0" w:type="dxa"/>
              <w:left w:w="0" w:type="dxa"/>
              <w:bottom w:w="0" w:type="dxa"/>
              <w:right w:w="0" w:type="dxa"/>
            </w:tcMar>
          </w:tcPr>
          <w:p>
            <w:pPr>
              <w:spacing w:before="180"/>
              <w:ind w:left="220"/>
            </w:pPr>
            <w:r>
              <w:rPr>
                <w:rFonts w:hint="eastAsia" w:ascii="Times New Roman Bold" w:hAnsi="Times New Roman Bold" w:eastAsia="Times New Roman Bold" w:cs="Times New Roman Bold"/>
                <w:b/>
                <w:sz w:val="21"/>
              </w:rPr>
              <w:t>41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22</w:t>
            </w:r>
          </w:p>
        </w:tc>
        <w:tc>
          <w:tcPr>
            <w:tcW w:w="106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8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055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w:t>
            </w:r>
          </w:p>
        </w:tc>
        <w:tc>
          <w:tcPr>
            <w:tcW w:w="1140" w:type="dxa"/>
            <w:tcMar>
              <w:top w:w="0" w:type="dxa"/>
              <w:left w:w="0" w:type="dxa"/>
              <w:bottom w:w="0" w:type="dxa"/>
              <w:right w:w="0" w:type="dxa"/>
            </w:tcMar>
          </w:tcPr>
          <w:p>
            <w:pPr>
              <w:spacing w:before="180"/>
              <w:ind w:left="2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80"/>
              <w:ind w:left="220"/>
            </w:pPr>
            <w:r>
              <w:rPr>
                <w:rFonts w:hint="eastAsia" w:ascii="Times New Roman Bold" w:hAnsi="Times New Roman Bold" w:eastAsia="Times New Roman Bold" w:cs="Times New Roman Bold"/>
                <w:b/>
                <w:sz w:val="21"/>
              </w:rPr>
              <w:t>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w:t>
            </w:r>
          </w:p>
        </w:tc>
        <w:tc>
          <w:tcPr>
            <w:tcW w:w="108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年末公司固定资产与</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年末相比变化不大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）无形资产</w:t>
      </w:r>
    </w:p>
    <w:p>
      <w:pPr>
        <w:spacing w:line="200" w:lineRule="exact"/>
        <w:rPr>
          <w:rFonts w:hint="eastAsia" w:ascii="宋体" w:hAnsi="宋体" w:eastAsia="宋体" w:cs="宋体"/>
          <w:sz w:val="20"/>
        </w:rPr>
      </w:pPr>
    </w:p>
    <w:p>
      <w:pPr>
        <w:autoSpaceDE w:val="false"/>
        <w:autoSpaceDN w:val="false"/>
        <w:spacing w:line="440" w:lineRule="exact"/>
        <w:ind w:left="1440" w:right="128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公司无形资产净额分别为</w:t>
      </w:r>
      <w:r>
        <w:rPr>
          <w:rFonts w:hint="eastAsia" w:ascii="Times New Roman" w:hAnsi="Times New Roman" w:eastAsia="Times New Roman" w:cs="Times New Roman"/>
          <w:sz w:val="24"/>
        </w:rPr>
        <w:t xml:space="preserve"> 1,431,508.94</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1,332,728.02</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1,146,118.02</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占非流动资产的比例分别为</w:t>
      </w:r>
      <w:r>
        <w:rPr>
          <w:rFonts w:hint="eastAsia" w:ascii="Times New Roman" w:hAnsi="Times New Roman" w:eastAsia="Times New Roman" w:cs="Times New Roman"/>
          <w:sz w:val="24"/>
        </w:rPr>
        <w:t xml:space="preserve"> 2.51%</w:t>
      </w:r>
      <w:r>
        <w:rPr>
          <w:rFonts w:hint="eastAsia" w:ascii="宋体" w:hAnsi="宋体" w:eastAsia="宋体" w:cs="宋体"/>
          <w:sz w:val="10"/>
        </w:rPr>
        <w:t>、</w:t>
      </w:r>
      <w:r>
        <w:rPr>
          <w:rFonts w:hint="eastAsia" w:ascii="Times New Roman" w:hAnsi="Times New Roman" w:eastAsia="Times New Roman" w:cs="Times New Roman"/>
          <w:sz w:val="24"/>
        </w:rPr>
        <w:t>2.17%</w:t>
      </w:r>
      <w:r>
        <w:rPr>
          <w:rFonts w:hint="eastAsia" w:ascii="宋体" w:hAnsi="宋体" w:eastAsia="宋体" w:cs="宋体"/>
          <w:sz w:val="24"/>
        </w:rPr>
        <w:t>和</w:t>
      </w:r>
      <w:r>
        <w:rPr>
          <w:rFonts w:hint="eastAsia" w:ascii="Times New Roman" w:hAnsi="Times New Roman" w:eastAsia="Times New Roman" w:cs="Times New Roman"/>
          <w:sz w:val="24"/>
        </w:rPr>
        <w:t xml:space="preserve"> 2.02%</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24"/>
        </w:rPr>
        <w:t>发行人无形资产主要为土地使用权和应用软件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）长期待摊费用</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公司长期待摊费用金额为</w:t>
      </w:r>
      <w:r>
        <w:rPr>
          <w:rFonts w:hint="eastAsia" w:ascii="Times New Roman" w:hAnsi="Times New Roman" w:eastAsia="Times New Roman" w:cs="Times New Roman"/>
          <w:sz w:val="24"/>
        </w:rPr>
        <w:t xml:space="preserve"> 1,236,624.99</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968,975.68</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640,806.13</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占非流动资产的比例分别为</w:t>
      </w:r>
      <w:r>
        <w:rPr>
          <w:rFonts w:hint="eastAsia" w:ascii="Times New Roman" w:hAnsi="Times New Roman" w:eastAsia="Times New Roman" w:cs="Times New Roman"/>
          <w:sz w:val="24"/>
        </w:rPr>
        <w:t xml:space="preserve"> 2.17%</w:t>
      </w:r>
      <w:r>
        <w:rPr>
          <w:rFonts w:hint="eastAsia" w:ascii="宋体" w:hAnsi="宋体" w:eastAsia="宋体" w:cs="宋体"/>
          <w:sz w:val="10"/>
        </w:rPr>
        <w:t>、</w:t>
      </w:r>
      <w:r>
        <w:rPr>
          <w:rFonts w:hint="eastAsia" w:ascii="Times New Roman" w:hAnsi="Times New Roman" w:eastAsia="Times New Roman" w:cs="Times New Roman"/>
          <w:sz w:val="24"/>
        </w:rPr>
        <w:t>1.58%</w:t>
      </w:r>
      <w:r>
        <w:rPr>
          <w:rFonts w:hint="eastAsia" w:ascii="宋体" w:hAnsi="宋体" w:eastAsia="宋体" w:cs="宋体"/>
          <w:sz w:val="24"/>
        </w:rPr>
        <w:t>和</w:t>
      </w:r>
      <w:r>
        <w:rPr>
          <w:rFonts w:hint="eastAsia" w:ascii="Times New Roman" w:hAnsi="Times New Roman" w:eastAsia="Times New Roman" w:cs="Times New Roman"/>
          <w:sz w:val="24"/>
        </w:rPr>
        <w:t xml:space="preserve"> 1.13%</w:t>
      </w:r>
      <w:r>
        <w:rPr>
          <w:rFonts w:hint="eastAsia" w:ascii="宋体" w:hAnsi="宋体" w:eastAsia="宋体" w:cs="宋体"/>
          <w:sz w:val="10"/>
        </w:rPr>
        <w:t>。</w:t>
      </w:r>
      <w:r>
        <w:rPr>
          <w:rFonts w:hint="eastAsia" w:ascii="宋体" w:hAnsi="宋体" w:eastAsia="宋体" w:cs="宋体"/>
          <w:sz w:val="24"/>
        </w:rPr>
        <w:t>报告期内发行人长期待摊费用均为房屋装修费</w:t>
      </w:r>
      <w:r>
        <w:rPr>
          <w:rFonts w:hint="eastAsia" w:ascii="宋体" w:hAnsi="宋体" w:eastAsia="宋体" w:cs="宋体"/>
          <w:sz w:val="10"/>
        </w:rPr>
        <w:t>，</w:t>
      </w:r>
      <w:r>
        <w:rPr>
          <w:rFonts w:hint="eastAsia" w:ascii="宋体" w:hAnsi="宋体" w:eastAsia="宋体" w:cs="宋体"/>
          <w:sz w:val="24"/>
        </w:rPr>
        <w:t>其变动主要由于装修费用摊销所致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）递延所得税资产</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4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公司递延所得税资产分别为</w:t>
      </w:r>
      <w:r>
        <w:rPr>
          <w:rFonts w:hint="eastAsia" w:ascii="Times New Roman" w:hAnsi="Times New Roman" w:eastAsia="Times New Roman" w:cs="Times New Roman"/>
          <w:sz w:val="24"/>
        </w:rPr>
        <w:t xml:space="preserve"> 10,704,568.56</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15,962,668.11</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13,278,810.14</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占非流动资产的比例分别为</w:t>
      </w:r>
      <w:r>
        <w:rPr>
          <w:rFonts w:hint="eastAsia" w:ascii="Times New Roman" w:hAnsi="Times New Roman" w:eastAsia="Times New Roman" w:cs="Times New Roman"/>
          <w:sz w:val="24"/>
        </w:rPr>
        <w:t xml:space="preserve"> 18.74%</w:t>
      </w:r>
      <w:r>
        <w:rPr>
          <w:rFonts w:hint="eastAsia" w:ascii="宋体" w:hAnsi="宋体" w:eastAsia="宋体" w:cs="宋体"/>
          <w:sz w:val="10"/>
        </w:rPr>
        <w:t>、</w:t>
      </w:r>
      <w:r>
        <w:rPr>
          <w:rFonts w:hint="eastAsia" w:ascii="Times New Roman" w:hAnsi="Times New Roman" w:eastAsia="Times New Roman" w:cs="Times New Roman"/>
          <w:sz w:val="24"/>
        </w:rPr>
        <w:t>26.03%</w:t>
      </w:r>
      <w:r>
        <w:rPr>
          <w:rFonts w:hint="eastAsia" w:ascii="宋体" w:hAnsi="宋体" w:eastAsia="宋体" w:cs="宋体"/>
          <w:sz w:val="24"/>
        </w:rPr>
        <w:t>和</w:t>
      </w:r>
      <w:r>
        <w:rPr>
          <w:rFonts w:hint="eastAsia" w:ascii="Times New Roman" w:hAnsi="Times New Roman" w:eastAsia="Times New Roman" w:cs="Times New Roman"/>
          <w:sz w:val="24"/>
        </w:rPr>
        <w:t>23.38%</w:t>
      </w:r>
      <w:r>
        <w:rPr>
          <w:rFonts w:hint="eastAsia" w:ascii="宋体" w:hAnsi="宋体" w:eastAsia="宋体" w:cs="宋体"/>
          <w:sz w:val="10"/>
        </w:rPr>
        <w:t>。</w:t>
      </w:r>
      <w:r>
        <w:rPr>
          <w:rFonts w:hint="eastAsia" w:ascii="宋体" w:hAnsi="宋体" w:eastAsia="宋体" w:cs="宋体"/>
          <w:sz w:val="24"/>
        </w:rPr>
        <w:t>发行人递延所得税资产主要由已开票未确认收入毛利</w:t>
      </w:r>
      <w:r>
        <w:rPr>
          <w:rFonts w:hint="eastAsia" w:ascii="宋体" w:hAnsi="宋体" w:eastAsia="宋体" w:cs="宋体"/>
          <w:sz w:val="10"/>
        </w:rPr>
        <w:t>、</w:t>
      </w:r>
      <w:r>
        <w:rPr>
          <w:rFonts w:hint="eastAsia" w:ascii="宋体" w:hAnsi="宋体" w:eastAsia="宋体" w:cs="宋体"/>
          <w:sz w:val="24"/>
        </w:rPr>
        <w:t>已计提未发放职工薪酬</w:t>
      </w:r>
      <w:r>
        <w:rPr>
          <w:rFonts w:hint="eastAsia" w:ascii="宋体" w:hAnsi="宋体" w:eastAsia="宋体" w:cs="宋体"/>
          <w:sz w:val="10"/>
        </w:rPr>
        <w:t>、</w:t>
      </w:r>
      <w:r>
        <w:rPr>
          <w:rFonts w:hint="eastAsia" w:ascii="宋体" w:hAnsi="宋体" w:eastAsia="宋体" w:cs="宋体"/>
          <w:sz w:val="24"/>
        </w:rPr>
        <w:t>资产减值准备产生</w:t>
      </w:r>
      <w:r>
        <w:rPr>
          <w:rFonts w:hint="eastAsia" w:ascii="宋体" w:hAnsi="宋体" w:eastAsia="宋体" w:cs="宋体"/>
          <w:sz w:val="10"/>
        </w:rPr>
        <w:t>，</w:t>
      </w:r>
      <w:r>
        <w:rPr>
          <w:rFonts w:hint="eastAsia" w:ascii="宋体" w:hAnsi="宋体" w:eastAsia="宋体" w:cs="宋体"/>
          <w:sz w:val="24"/>
        </w:rPr>
        <w:t>其中资产减值准备主要是公司计提的坏账准备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5</w:t>
      </w:r>
      <w:r>
        <w:rPr>
          <w:rFonts w:hint="eastAsia" w:ascii="宋体" w:hAnsi="宋体" w:eastAsia="宋体" w:cs="宋体"/>
          <w:sz w:val="24"/>
        </w:rPr>
        <w:t>）可供出售金融资产</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w:t>
      </w:r>
      <w:r>
        <w:rPr>
          <w:rFonts w:hint="eastAsia" w:ascii="Times New Roman" w:hAnsi="Times New Roman" w:eastAsia="Times New Roman" w:cs="Times New Roman"/>
          <w:sz w:val="24"/>
        </w:rPr>
        <w:t xml:space="preserve"> 2007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月出资</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万元投资福州软件园产业服务有限公司</w:t>
      </w:r>
      <w:r>
        <w:rPr>
          <w:rFonts w:hint="eastAsia" w:ascii="宋体" w:hAnsi="宋体" w:eastAsia="宋体" w:cs="宋体"/>
          <w:sz w:val="10"/>
        </w:rPr>
        <w:t>，</w:t>
      </w:r>
      <w:r>
        <w:rPr>
          <w:rFonts w:hint="eastAsia" w:ascii="宋体" w:hAnsi="宋体" w:eastAsia="宋体" w:cs="宋体"/>
          <w:sz w:val="24"/>
        </w:rPr>
        <w:t>占其总股本的</w:t>
      </w:r>
      <w:r>
        <w:rPr>
          <w:rFonts w:hint="eastAsia" w:ascii="Times New Roman" w:hAnsi="Times New Roman" w:eastAsia="Times New Roman" w:cs="Times New Roman"/>
          <w:sz w:val="24"/>
        </w:rPr>
        <w:t>10%</w:t>
      </w:r>
      <w:r>
        <w:rPr>
          <w:rFonts w:hint="eastAsia" w:ascii="宋体" w:hAnsi="宋体" w:eastAsia="宋体" w:cs="宋体"/>
          <w:sz w:val="10"/>
        </w:rPr>
        <w:t>。</w:t>
      </w:r>
      <w:r>
        <w:rPr>
          <w:rFonts w:hint="eastAsia" w:ascii="宋体" w:hAnsi="宋体" w:eastAsia="宋体" w:cs="宋体"/>
          <w:sz w:val="24"/>
        </w:rPr>
        <w:t>根据修订后企业会计准则第</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号的要求</w:t>
      </w:r>
      <w:r>
        <w:rPr>
          <w:rFonts w:hint="eastAsia" w:ascii="宋体" w:hAnsi="宋体" w:eastAsia="宋体" w:cs="宋体"/>
          <w:sz w:val="10"/>
        </w:rPr>
        <w:t>，</w:t>
      </w:r>
      <w:r>
        <w:rPr>
          <w:rFonts w:hint="eastAsia" w:ascii="宋体" w:hAnsi="宋体" w:eastAsia="宋体" w:cs="宋体"/>
          <w:sz w:val="24"/>
        </w:rPr>
        <w:t>公司对上述事项进行追溯调整</w:t>
      </w:r>
      <w:r>
        <w:rPr>
          <w:rFonts w:hint="eastAsia" w:ascii="宋体" w:hAnsi="宋体" w:eastAsia="宋体" w:cs="宋体"/>
          <w:sz w:val="10"/>
        </w:rPr>
        <w:t>，</w:t>
      </w:r>
      <w:r>
        <w:rPr>
          <w:rFonts w:hint="eastAsia" w:ascii="宋体" w:hAnsi="宋体" w:eastAsia="宋体" w:cs="宋体"/>
          <w:sz w:val="24"/>
        </w:rPr>
        <w:t>通过</w:t>
      </w:r>
      <w:r>
        <w:rPr>
          <w:rFonts w:hint="eastAsia" w:ascii="宋体" w:hAnsi="宋体" w:eastAsia="宋体" w:cs="宋体"/>
          <w:sz w:val="10"/>
        </w:rPr>
        <w:t>“</w:t>
      </w:r>
      <w:r>
        <w:rPr>
          <w:rFonts w:hint="eastAsia" w:ascii="宋体" w:hAnsi="宋体" w:eastAsia="宋体" w:cs="宋体"/>
          <w:sz w:val="24"/>
        </w:rPr>
        <w:t>可</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1-1-264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jc w:val="both"/>
      </w:pPr>
      <w:r>
        <w:rPr>
          <w:rFonts w:hint="eastAsia" w:ascii="宋体" w:hAnsi="宋体" w:eastAsia="宋体" w:cs="宋体"/>
          <w:sz w:val="24"/>
        </w:rPr>
        <w:t>供出售金融资产</w:t>
      </w:r>
      <w:r>
        <w:rPr>
          <w:rFonts w:hint="eastAsia" w:ascii="宋体" w:hAnsi="宋体" w:eastAsia="宋体" w:cs="宋体"/>
          <w:sz w:val="10"/>
        </w:rPr>
        <w:t>”</w:t>
      </w:r>
      <w:r>
        <w:rPr>
          <w:rFonts w:hint="eastAsia" w:ascii="宋体" w:hAnsi="宋体" w:eastAsia="宋体" w:cs="宋体"/>
          <w:sz w:val="24"/>
        </w:rPr>
        <w:t>科目进行计量</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公司与福建智慧谷投资有限公司签订股权转让协议</w:t>
      </w:r>
      <w:r>
        <w:rPr>
          <w:rFonts w:hint="eastAsia" w:ascii="宋体" w:hAnsi="宋体" w:eastAsia="宋体" w:cs="宋体"/>
          <w:sz w:val="10"/>
        </w:rPr>
        <w:t>，</w:t>
      </w:r>
      <w:r>
        <w:rPr>
          <w:rFonts w:hint="eastAsia" w:ascii="宋体" w:hAnsi="宋体" w:eastAsia="宋体" w:cs="宋体"/>
          <w:sz w:val="24"/>
        </w:rPr>
        <w:t>将其持有的软件园产业公司</w:t>
      </w:r>
      <w:r>
        <w:rPr>
          <w:rFonts w:hint="eastAsia" w:ascii="Times New Roman" w:hAnsi="Times New Roman" w:eastAsia="Times New Roman" w:cs="Times New Roman"/>
          <w:sz w:val="24"/>
        </w:rPr>
        <w:t xml:space="preserve"> 10%</w:t>
      </w:r>
      <w:r>
        <w:rPr>
          <w:rFonts w:hint="eastAsia" w:ascii="宋体" w:hAnsi="宋体" w:eastAsia="宋体" w:cs="宋体"/>
          <w:sz w:val="24"/>
        </w:rPr>
        <w:t>的出资额全部转让给福建智慧谷投资有限公司</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月末</w:t>
      </w:r>
      <w:r>
        <w:rPr>
          <w:rFonts w:hint="eastAsia" w:ascii="宋体" w:hAnsi="宋体" w:eastAsia="宋体" w:cs="宋体"/>
          <w:sz w:val="10"/>
        </w:rPr>
        <w:t>，</w:t>
      </w:r>
      <w:r>
        <w:rPr>
          <w:rFonts w:hint="eastAsia" w:ascii="宋体" w:hAnsi="宋体" w:eastAsia="宋体" w:cs="宋体"/>
          <w:sz w:val="24"/>
        </w:rPr>
        <w:t>上述股权转让行为已全部完成</w:t>
      </w:r>
      <w:r>
        <w:rPr>
          <w:rFonts w:hint="eastAsia" w:ascii="宋体" w:hAnsi="宋体" w:eastAsia="宋体" w:cs="宋体"/>
          <w:sz w:val="10"/>
        </w:rPr>
        <w:t>，</w:t>
      </w:r>
      <w:r>
        <w:rPr>
          <w:rFonts w:hint="eastAsia" w:ascii="宋体" w:hAnsi="宋体" w:eastAsia="宋体" w:cs="宋体"/>
          <w:sz w:val="24"/>
        </w:rPr>
        <w:t>发行人已不再持有软件园产业公司的股份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资产减值准备计提情况</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本公司制订了谨慎且具体可行的资产减值准备计提政策</w:t>
      </w:r>
      <w:r>
        <w:rPr>
          <w:rFonts w:hint="eastAsia" w:ascii="宋体" w:hAnsi="宋体" w:eastAsia="宋体" w:cs="宋体"/>
          <w:sz w:val="10"/>
        </w:rPr>
        <w:t>，</w:t>
      </w:r>
      <w:r>
        <w:rPr>
          <w:rFonts w:hint="eastAsia" w:ascii="宋体" w:hAnsi="宋体" w:eastAsia="宋体" w:cs="宋体"/>
          <w:sz w:val="24"/>
        </w:rPr>
        <w:t>按照资产减值准备政策的规定以及各项资产的实际情况</w:t>
      </w:r>
      <w:r>
        <w:rPr>
          <w:rFonts w:hint="eastAsia" w:ascii="宋体" w:hAnsi="宋体" w:eastAsia="宋体" w:cs="宋体"/>
          <w:sz w:val="10"/>
        </w:rPr>
        <w:t>，</w:t>
      </w:r>
      <w:r>
        <w:rPr>
          <w:rFonts w:hint="eastAsia" w:ascii="宋体" w:hAnsi="宋体" w:eastAsia="宋体" w:cs="宋体"/>
          <w:sz w:val="24"/>
        </w:rPr>
        <w:t>计提了各项资产减值准备</w:t>
      </w:r>
      <w:r>
        <w:rPr>
          <w:rFonts w:hint="eastAsia" w:ascii="宋体" w:hAnsi="宋体" w:eastAsia="宋体" w:cs="宋体"/>
          <w:sz w:val="10"/>
        </w:rPr>
        <w:t>。</w:t>
      </w:r>
      <w:r>
        <w:rPr>
          <w:rFonts w:hint="eastAsia" w:ascii="宋体" w:hAnsi="宋体" w:eastAsia="宋体" w:cs="宋体"/>
          <w:sz w:val="24"/>
        </w:rPr>
        <w:t>报告期各期期末</w:t>
      </w:r>
      <w:r>
        <w:rPr>
          <w:rFonts w:hint="eastAsia" w:ascii="宋体" w:hAnsi="宋体" w:eastAsia="宋体" w:cs="宋体"/>
          <w:sz w:val="10"/>
        </w:rPr>
        <w:t>，</w:t>
      </w:r>
      <w:r>
        <w:rPr>
          <w:rFonts w:hint="eastAsia" w:ascii="宋体" w:hAnsi="宋体" w:eastAsia="宋体" w:cs="宋体"/>
          <w:sz w:val="24"/>
        </w:rPr>
        <w:t>公司对各类资产计提减值准备的情况如下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80"/>
              <w:ind w:left="640"/>
            </w:pPr>
            <w:r>
              <w:rPr>
                <w:rFonts w:hint="eastAsia" w:ascii="Times New Roman Bold" w:hAnsi="Times New Roman Bold" w:eastAsia="Times New Roman Bold" w:cs="Times New Roman Bold"/>
                <w:b/>
                <w:sz w:val="21"/>
              </w:rPr>
              <w:t>2016-12-31</w:t>
            </w:r>
          </w:p>
        </w:tc>
        <w:tc>
          <w:tcPr>
            <w:tcW w:w="2300" w:type="dxa"/>
            <w:tcMar>
              <w:top w:w="0" w:type="dxa"/>
              <w:left w:w="0" w:type="dxa"/>
              <w:bottom w:w="0" w:type="dxa"/>
              <w:right w:w="0" w:type="dxa"/>
            </w:tcMar>
          </w:tcPr>
          <w:p>
            <w:pPr>
              <w:spacing w:before="180"/>
              <w:ind w:left="640"/>
            </w:pPr>
            <w:r>
              <w:rPr>
                <w:rFonts w:hint="eastAsia" w:ascii="Times New Roman Bold" w:hAnsi="Times New Roman Bold" w:eastAsia="Times New Roman Bold" w:cs="Times New Roman Bold"/>
                <w:b/>
                <w:sz w:val="21"/>
              </w:rPr>
              <w:t>2015-12-31</w:t>
            </w:r>
          </w:p>
        </w:tc>
        <w:tc>
          <w:tcPr>
            <w:tcW w:w="2320" w:type="dxa"/>
            <w:tcMar>
              <w:top w:w="0" w:type="dxa"/>
              <w:left w:w="0" w:type="dxa"/>
              <w:bottom w:w="0" w:type="dxa"/>
              <w:right w:w="0" w:type="dxa"/>
            </w:tcMar>
          </w:tcPr>
          <w:p>
            <w:pPr>
              <w:spacing w:before="180"/>
              <w:ind w:left="660"/>
            </w:pPr>
            <w:r>
              <w:rPr>
                <w:rFonts w:hint="eastAsia" w:ascii="Times New Roman Bold" w:hAnsi="Times New Roman Bold" w:eastAsia="Times New Roman Bold" w:cs="Times New Roman Bold"/>
                <w:b/>
                <w:sz w:val="21"/>
              </w:rPr>
              <w:t>2014-12-31</w:t>
            </w:r>
          </w:p>
        </w:tc>
      </w:tr>
      <w:tr>
        <w:trPr>
          <w:trHeight w:val="48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坏账准备</w:t>
            </w:r>
          </w:p>
        </w:tc>
        <w:tc>
          <w:tcPr>
            <w:tcW w:w="2320" w:type="dxa"/>
            <w:tcMar>
              <w:top w:w="0" w:type="dxa"/>
              <w:left w:w="0" w:type="dxa"/>
              <w:bottom w:w="0" w:type="dxa"/>
              <w:right w:w="0" w:type="dxa"/>
            </w:tcMar>
          </w:tcPr>
          <w:p>
            <w:pPr>
              <w:spacing w:before="140"/>
              <w:ind w:left="10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p>
        </w:tc>
        <w:tc>
          <w:tcPr>
            <w:tcW w:w="2300" w:type="dxa"/>
            <w:tcMar>
              <w:top w:w="0" w:type="dxa"/>
              <w:left w:w="0" w:type="dxa"/>
              <w:bottom w:w="0" w:type="dxa"/>
              <w:right w:w="0" w:type="dxa"/>
            </w:tcMar>
          </w:tcPr>
          <w:p>
            <w:pPr>
              <w:spacing w:before="140"/>
              <w:ind w:left="10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2320" w:type="dxa"/>
            <w:tcMar>
              <w:top w:w="0" w:type="dxa"/>
              <w:left w:w="0" w:type="dxa"/>
              <w:bottom w:w="0" w:type="dxa"/>
              <w:right w:w="0" w:type="dxa"/>
            </w:tcMar>
          </w:tcPr>
          <w:p>
            <w:pPr>
              <w:spacing w:before="140"/>
              <w:ind w:left="11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其中</w:t>
            </w:r>
            <w:r>
              <w:rPr>
                <w:rFonts w:hint="eastAsia" w:ascii="宋体" w:hAnsi="宋体" w:eastAsia="宋体" w:cs="宋体"/>
                <w:sz w:val="12"/>
              </w:rPr>
              <w:t>：</w:t>
            </w:r>
            <w:r>
              <w:rPr>
                <w:rFonts w:hint="eastAsia" w:ascii="宋体" w:hAnsi="宋体" w:eastAsia="宋体" w:cs="宋体"/>
                <w:sz w:val="21"/>
              </w:rPr>
              <w:t>应收账款</w:t>
            </w:r>
          </w:p>
        </w:tc>
        <w:tc>
          <w:tcPr>
            <w:tcW w:w="2320" w:type="dxa"/>
            <w:tcMar>
              <w:top w:w="0" w:type="dxa"/>
              <w:left w:w="0" w:type="dxa"/>
              <w:bottom w:w="0" w:type="dxa"/>
              <w:right w:w="0" w:type="dxa"/>
            </w:tcMar>
          </w:tcPr>
          <w:p>
            <w:pPr>
              <w:spacing w:before="160"/>
              <w:ind w:left="10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2300" w:type="dxa"/>
            <w:tcMar>
              <w:top w:w="0" w:type="dxa"/>
              <w:left w:w="0" w:type="dxa"/>
              <w:bottom w:w="0" w:type="dxa"/>
              <w:right w:w="0" w:type="dxa"/>
            </w:tcMar>
          </w:tcPr>
          <w:p>
            <w:pPr>
              <w:spacing w:before="160"/>
              <w:ind w:left="10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2320" w:type="dxa"/>
            <w:tcMar>
              <w:top w:w="0" w:type="dxa"/>
              <w:left w:w="0" w:type="dxa"/>
              <w:bottom w:w="0" w:type="dxa"/>
              <w:right w:w="0" w:type="dxa"/>
            </w:tcMar>
          </w:tcPr>
          <w:p>
            <w:pPr>
              <w:spacing w:before="160"/>
              <w:ind w:left="11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r>
        <w:trPr>
          <w:trHeight w:val="460" w:hRule="exact"/>
        </w:trPr>
        <w:tc>
          <w:tcPr>
            <w:tcW w:w="2320" w:type="dxa"/>
            <w:tcMar>
              <w:top w:w="0" w:type="dxa"/>
              <w:left w:w="0" w:type="dxa"/>
              <w:bottom w:w="0" w:type="dxa"/>
              <w:right w:w="0" w:type="dxa"/>
            </w:tcMar>
          </w:tcPr>
          <w:p>
            <w:pPr>
              <w:spacing w:before="100"/>
              <w:ind w:left="620"/>
            </w:pPr>
            <w:r>
              <w:rPr>
                <w:rFonts w:hint="eastAsia" w:ascii="宋体" w:hAnsi="宋体" w:eastAsia="宋体" w:cs="宋体"/>
                <w:sz w:val="21"/>
              </w:rPr>
              <w:t>其他应收款</w:t>
            </w:r>
          </w:p>
        </w:tc>
        <w:tc>
          <w:tcPr>
            <w:tcW w:w="23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737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230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434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320" w:type="dxa"/>
            <w:tcMar>
              <w:top w:w="0" w:type="dxa"/>
              <w:left w:w="0" w:type="dxa"/>
              <w:bottom w:w="0" w:type="dxa"/>
              <w:right w:w="0" w:type="dxa"/>
            </w:tcMar>
          </w:tcPr>
          <w:p>
            <w:pPr>
              <w:spacing w:before="160"/>
              <w:ind w:left="1260"/>
            </w:pPr>
            <w:r>
              <w:rPr>
                <w:rFonts w:hint="eastAsia" w:ascii="Times New Roman" w:hAnsi="Times New Roman" w:eastAsia="Times New Roman" w:cs="Times New Roman"/>
                <w:sz w:val="21"/>
              </w:rPr>
              <w:t>229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r>
      <w:tr>
        <w:trPr>
          <w:trHeight w:val="48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存货跌价准备</w:t>
            </w:r>
          </w:p>
        </w:tc>
        <w:tc>
          <w:tcPr>
            <w:tcW w:w="232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20" w:type="dxa"/>
            <w:tcMar>
              <w:top w:w="0" w:type="dxa"/>
              <w:left w:w="0" w:type="dxa"/>
              <w:bottom w:w="0" w:type="dxa"/>
              <w:right w:w="0" w:type="dxa"/>
            </w:tcMar>
          </w:tcPr>
          <w:p>
            <w:pPr>
              <w:spacing w:before="280"/>
              <w:ind w:left="2140"/>
            </w:pPr>
            <w:r>
              <w:rPr>
                <w:rFonts w:hint="eastAsia" w:ascii="Times New Roman Bold" w:hAnsi="Times New Roman Bold" w:eastAsia="Times New Roman Bold" w:cs="Times New Roman Bold"/>
                <w:b/>
                <w:sz w:val="21"/>
              </w:rPr>
              <w:t>-</w:t>
            </w:r>
          </w:p>
        </w:tc>
      </w:tr>
      <w:tr>
        <w:trPr>
          <w:trHeight w:val="460" w:hRule="exact"/>
        </w:trPr>
        <w:tc>
          <w:tcPr>
            <w:tcW w:w="2320" w:type="dxa"/>
            <w:tcMar>
              <w:top w:w="0" w:type="dxa"/>
              <w:left w:w="0" w:type="dxa"/>
              <w:bottom w:w="0" w:type="dxa"/>
              <w:right w:w="0" w:type="dxa"/>
            </w:tcMar>
          </w:tcPr>
          <w:p>
            <w:pPr>
              <w:spacing w:before="100"/>
              <w:ind w:left="920"/>
            </w:pPr>
            <w:r>
              <w:rPr>
                <w:rFonts w:hint="eastAsia" w:ascii="宋体" w:hAnsi="宋体" w:eastAsia="宋体" w:cs="宋体"/>
                <w:b/>
                <w:sz w:val="21"/>
              </w:rPr>
              <w:t>合计</w:t>
            </w:r>
          </w:p>
        </w:tc>
        <w:tc>
          <w:tcPr>
            <w:tcW w:w="2320" w:type="dxa"/>
            <w:tcMar>
              <w:top w:w="0" w:type="dxa"/>
              <w:left w:w="0" w:type="dxa"/>
              <w:bottom w:w="0" w:type="dxa"/>
              <w:right w:w="0" w:type="dxa"/>
            </w:tcMar>
          </w:tcPr>
          <w:p>
            <w:pPr>
              <w:spacing w:before="160"/>
              <w:ind w:left="1080"/>
            </w:pPr>
            <w:r>
              <w:rPr>
                <w:rFonts w:hint="eastAsia" w:ascii="Times New Roman Bold" w:hAnsi="Times New Roman Bold" w:eastAsia="Times New Roman Bold" w:cs="Times New Roman Bold"/>
                <w:b/>
                <w:sz w:val="21"/>
              </w:rPr>
              <w:t>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62</w:t>
            </w:r>
          </w:p>
        </w:tc>
        <w:tc>
          <w:tcPr>
            <w:tcW w:w="2300" w:type="dxa"/>
            <w:tcMar>
              <w:top w:w="0" w:type="dxa"/>
              <w:left w:w="0" w:type="dxa"/>
              <w:bottom w:w="0" w:type="dxa"/>
              <w:right w:w="0" w:type="dxa"/>
            </w:tcMar>
          </w:tcPr>
          <w:p>
            <w:pPr>
              <w:spacing w:before="160"/>
              <w:ind w:left="1080"/>
            </w:pPr>
            <w:r>
              <w:rPr>
                <w:rFonts w:hint="eastAsia" w:ascii="Times New Roman Bold" w:hAnsi="Times New Roman Bold" w:eastAsia="Times New Roman Bold" w:cs="Times New Roman Bold"/>
                <w:b/>
                <w:sz w:val="21"/>
              </w:rPr>
              <w:t>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w:t>
            </w:r>
          </w:p>
        </w:tc>
        <w:tc>
          <w:tcPr>
            <w:tcW w:w="2320" w:type="dxa"/>
            <w:tcMar>
              <w:top w:w="0" w:type="dxa"/>
              <w:left w:w="0" w:type="dxa"/>
              <w:bottom w:w="0" w:type="dxa"/>
              <w:right w:w="0" w:type="dxa"/>
            </w:tcMar>
          </w:tcPr>
          <w:p>
            <w:pPr>
              <w:spacing w:before="160"/>
              <w:ind w:left="110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605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20</w:t>
            </w:r>
          </w:p>
        </w:tc>
      </w:tr>
    </w:tbl>
    <w:p>
      <w:pPr>
        <w:spacing w:line="200" w:lineRule="exact"/>
        <w:rPr>
          <w:rFonts w:hint="eastAsia" w:ascii="宋体" w:hAnsi="宋体" w:eastAsia="宋体" w:cs="宋体"/>
          <w:sz w:val="20"/>
        </w:rPr>
      </w:pPr>
    </w:p>
    <w:p>
      <w:pPr>
        <w:autoSpaceDE w:val="false"/>
        <w:autoSpaceDN w:val="false"/>
        <w:spacing w:line="320" w:lineRule="exact"/>
        <w:ind w:left="1440"/>
        <w:jc w:val="both"/>
      </w:pPr>
      <w:r>
        <w:rPr>
          <w:rFonts w:hint="eastAsia" w:ascii="宋体" w:hAnsi="宋体" w:eastAsia="宋体" w:cs="宋体"/>
          <w:b/>
          <w:sz w:val="20"/>
        </w:rPr>
        <w:t>（二）</w:t>
      </w:r>
      <w:r>
        <w:rPr>
          <w:rFonts w:hint="eastAsia" w:ascii="宋体" w:hAnsi="宋体" w:eastAsia="宋体" w:cs="宋体"/>
          <w:b/>
          <w:sz w:val="24"/>
        </w:rPr>
        <w:t>负债结构分析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负债构成及其变化的总体情况分析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报告期内各期期末</w:t>
      </w:r>
      <w:r>
        <w:rPr>
          <w:rFonts w:hint="eastAsia" w:ascii="宋体" w:hAnsi="宋体" w:eastAsia="宋体" w:cs="宋体"/>
          <w:sz w:val="10"/>
        </w:rPr>
        <w:t>，</w:t>
      </w:r>
      <w:r>
        <w:rPr>
          <w:rFonts w:hint="eastAsia" w:ascii="宋体" w:hAnsi="宋体" w:eastAsia="宋体" w:cs="宋体"/>
          <w:sz w:val="24"/>
        </w:rPr>
        <w:t>公司的主要负债情况如下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2"/>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520"/>
        <w:gridCol w:w="1680"/>
        <w:gridCol w:w="1000"/>
        <w:gridCol w:w="1520"/>
        <w:gridCol w:w="1020"/>
        <w:gridCol w:w="1520"/>
        <w:gridCol w:w="1000"/>
      </w:tblGrid>
      <w:tr>
        <w:trPr>
          <w:trHeight w:val="480" w:hRule="exact"/>
        </w:trPr>
        <w:tc>
          <w:tcPr>
            <w:tcW w:w="1520" w:type="dxa"/>
            <w:vMerge w:val="restart"/>
            <w:tcMar>
              <w:top w:w="0" w:type="dxa"/>
              <w:left w:w="0" w:type="dxa"/>
              <w:bottom w:w="0" w:type="dxa"/>
              <w:right w:w="0" w:type="dxa"/>
            </w:tcMar>
          </w:tcPr>
          <w:p>
            <w:pPr>
              <w:spacing w:before="360"/>
              <w:ind w:left="540"/>
            </w:pPr>
            <w:r>
              <w:rPr>
                <w:rFonts w:hint="eastAsia" w:ascii="宋体" w:hAnsi="宋体" w:eastAsia="宋体" w:cs="宋体"/>
                <w:b/>
                <w:sz w:val="21"/>
              </w:rPr>
              <w:t>项目</w:t>
            </w:r>
          </w:p>
        </w:tc>
        <w:tc>
          <w:tcPr>
            <w:tcW w:w="2680" w:type="dxa"/>
            <w:gridSpan w:val="2"/>
            <w:tcMar>
              <w:top w:w="0" w:type="dxa"/>
              <w:left w:w="0" w:type="dxa"/>
              <w:bottom w:w="0" w:type="dxa"/>
              <w:right w:w="0" w:type="dxa"/>
            </w:tcMar>
          </w:tcPr>
          <w:p>
            <w:pPr>
              <w:spacing w:before="160"/>
              <w:ind w:left="840"/>
            </w:pPr>
            <w:r>
              <w:rPr>
                <w:rFonts w:hint="eastAsia" w:ascii="Times New Roman Bold" w:hAnsi="Times New Roman Bold" w:eastAsia="Times New Roman Bold" w:cs="Times New Roman Bold"/>
                <w:b/>
                <w:sz w:val="21"/>
              </w:rPr>
              <w:t>2016-12-31</w:t>
            </w:r>
          </w:p>
        </w:tc>
        <w:tc>
          <w:tcPr>
            <w:tcW w:w="2540" w:type="dxa"/>
            <w:gridSpan w:val="2"/>
            <w:tcMar>
              <w:top w:w="0" w:type="dxa"/>
              <w:left w:w="0" w:type="dxa"/>
              <w:bottom w:w="0" w:type="dxa"/>
              <w:right w:w="0" w:type="dxa"/>
            </w:tcMar>
          </w:tcPr>
          <w:p>
            <w:pPr>
              <w:spacing w:before="160"/>
              <w:ind w:left="760"/>
            </w:pPr>
            <w:r>
              <w:rPr>
                <w:rFonts w:hint="eastAsia" w:ascii="Times New Roman Bold" w:hAnsi="Times New Roman Bold" w:eastAsia="Times New Roman Bold" w:cs="Times New Roman Bold"/>
                <w:b/>
                <w:sz w:val="21"/>
              </w:rPr>
              <w:t>2015-12-31</w:t>
            </w:r>
          </w:p>
        </w:tc>
        <w:tc>
          <w:tcPr>
            <w:tcW w:w="2520" w:type="dxa"/>
            <w:gridSpan w:val="2"/>
            <w:tcMar>
              <w:top w:w="0" w:type="dxa"/>
              <w:left w:w="0" w:type="dxa"/>
              <w:bottom w:w="0" w:type="dxa"/>
              <w:right w:w="0" w:type="dxa"/>
            </w:tcMar>
          </w:tcPr>
          <w:p>
            <w:pPr>
              <w:spacing w:before="160"/>
              <w:ind w:left="760"/>
            </w:pPr>
            <w:r>
              <w:rPr>
                <w:rFonts w:hint="eastAsia" w:ascii="Times New Roman Bold" w:hAnsi="Times New Roman Bold" w:eastAsia="Times New Roman Bold" w:cs="Times New Roman Bold"/>
                <w:b/>
                <w:sz w:val="21"/>
              </w:rPr>
              <w:t>2014-12-31</w:t>
            </w:r>
          </w:p>
        </w:tc>
      </w:tr>
      <w:tr>
        <w:trPr>
          <w:trHeight w:val="460" w:hRule="exact"/>
        </w:trPr>
        <w:tc>
          <w:tcPr>
            <w:tcW w:w="1520" w:type="dxa"/>
            <w:vMerge w:val="continue"/>
            <w:tcMar>
              <w:top w:w="0" w:type="dxa"/>
              <w:left w:w="0" w:type="dxa"/>
              <w:bottom w:w="0" w:type="dxa"/>
              <w:right w:w="0" w:type="dxa"/>
            </w:tcMar>
          </w:tcPr>
          <w:p/>
        </w:tc>
        <w:tc>
          <w:tcPr>
            <w:tcW w:w="1680" w:type="dxa"/>
            <w:tcMar>
              <w:top w:w="0" w:type="dxa"/>
              <w:left w:w="0" w:type="dxa"/>
              <w:bottom w:w="0" w:type="dxa"/>
              <w:right w:w="0" w:type="dxa"/>
            </w:tcMar>
          </w:tcPr>
          <w:p>
            <w:pPr>
              <w:spacing w:before="100"/>
              <w:ind w:left="62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00"/>
              <w:ind w:left="280"/>
            </w:pPr>
            <w:r>
              <w:rPr>
                <w:rFonts w:hint="eastAsia" w:ascii="宋体" w:hAnsi="宋体" w:eastAsia="宋体" w:cs="宋体"/>
                <w:b/>
                <w:sz w:val="21"/>
              </w:rPr>
              <w:t>比例</w:t>
            </w:r>
          </w:p>
        </w:tc>
        <w:tc>
          <w:tcPr>
            <w:tcW w:w="1520" w:type="dxa"/>
            <w:tcMar>
              <w:top w:w="0" w:type="dxa"/>
              <w:left w:w="0" w:type="dxa"/>
              <w:bottom w:w="0" w:type="dxa"/>
              <w:right w:w="0" w:type="dxa"/>
            </w:tcMar>
          </w:tcPr>
          <w:p>
            <w:pPr>
              <w:spacing w:before="100"/>
              <w:ind w:left="540"/>
            </w:pPr>
            <w:r>
              <w:rPr>
                <w:rFonts w:hint="eastAsia" w:ascii="宋体" w:hAnsi="宋体" w:eastAsia="宋体" w:cs="宋体"/>
                <w:b/>
                <w:sz w:val="21"/>
              </w:rPr>
              <w:t>金额</w:t>
            </w:r>
          </w:p>
        </w:tc>
        <w:tc>
          <w:tcPr>
            <w:tcW w:w="1020" w:type="dxa"/>
            <w:tcMar>
              <w:top w:w="0" w:type="dxa"/>
              <w:left w:w="0" w:type="dxa"/>
              <w:bottom w:w="0" w:type="dxa"/>
              <w:right w:w="0" w:type="dxa"/>
            </w:tcMar>
          </w:tcPr>
          <w:p>
            <w:pPr>
              <w:spacing w:before="100"/>
              <w:ind w:left="280"/>
            </w:pPr>
            <w:r>
              <w:rPr>
                <w:rFonts w:hint="eastAsia" w:ascii="宋体" w:hAnsi="宋体" w:eastAsia="宋体" w:cs="宋体"/>
                <w:b/>
                <w:sz w:val="21"/>
              </w:rPr>
              <w:t>比例</w:t>
            </w:r>
          </w:p>
        </w:tc>
        <w:tc>
          <w:tcPr>
            <w:tcW w:w="1520" w:type="dxa"/>
            <w:tcMar>
              <w:top w:w="0" w:type="dxa"/>
              <w:left w:w="0" w:type="dxa"/>
              <w:bottom w:w="0" w:type="dxa"/>
              <w:right w:w="0" w:type="dxa"/>
            </w:tcMar>
          </w:tcPr>
          <w:p>
            <w:pPr>
              <w:spacing w:before="100"/>
              <w:ind w:left="52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00"/>
              <w:ind w:left="280"/>
            </w:pPr>
            <w:r>
              <w:rPr>
                <w:rFonts w:hint="eastAsia" w:ascii="宋体" w:hAnsi="宋体" w:eastAsia="宋体" w:cs="宋体"/>
                <w:b/>
                <w:sz w:val="21"/>
              </w:rPr>
              <w:t>比例</w:t>
            </w:r>
          </w:p>
        </w:tc>
      </w:tr>
      <w:tr>
        <w:trPr>
          <w:trHeight w:val="480" w:hRule="exact"/>
        </w:trPr>
        <w:tc>
          <w:tcPr>
            <w:tcW w:w="1520" w:type="dxa"/>
            <w:tcMar>
              <w:top w:w="0" w:type="dxa"/>
              <w:left w:w="0" w:type="dxa"/>
              <w:bottom w:w="0" w:type="dxa"/>
              <w:right w:w="0" w:type="dxa"/>
            </w:tcMar>
          </w:tcPr>
          <w:p>
            <w:pPr>
              <w:spacing w:before="120"/>
              <w:ind w:left="100"/>
            </w:pPr>
            <w:r>
              <w:rPr>
                <w:rFonts w:hint="eastAsia" w:ascii="宋体" w:hAnsi="宋体" w:eastAsia="宋体" w:cs="宋体"/>
                <w:sz w:val="21"/>
              </w:rPr>
              <w:t>应付账款</w:t>
            </w:r>
          </w:p>
        </w:tc>
        <w:tc>
          <w:tcPr>
            <w:tcW w:w="1680" w:type="dxa"/>
            <w:tcMar>
              <w:top w:w="0" w:type="dxa"/>
              <w:left w:w="0" w:type="dxa"/>
              <w:bottom w:w="0" w:type="dxa"/>
              <w:right w:w="0" w:type="dxa"/>
            </w:tcMar>
          </w:tcPr>
          <w:p>
            <w:pPr>
              <w:spacing w:before="180"/>
              <w:ind w:left="600"/>
            </w:pPr>
            <w:r>
              <w:rPr>
                <w:rFonts w:hint="eastAsia" w:ascii="Times New Roman" w:hAnsi="Times New Roman" w:eastAsia="Times New Roman" w:cs="Times New Roman"/>
                <w:sz w:val="21"/>
              </w:rPr>
              <w:t>583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p>
        </w:tc>
        <w:tc>
          <w:tcPr>
            <w:tcW w:w="100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654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102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80"/>
              <w:ind w:left="3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100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w:t>
            </w:r>
            <w:r>
              <w:rPr>
                <w:rFonts w:hint="eastAsia" w:ascii="Times New Roman" w:hAnsi="Times New Roman" w:eastAsia="Times New Roman" w:cs="Times New Roman"/>
                <w:sz w:val="20"/>
              </w:rPr>
              <w:t>%</w:t>
            </w:r>
          </w:p>
        </w:tc>
      </w:tr>
      <w:tr>
        <w:trPr>
          <w:trHeight w:val="480" w:hRule="exact"/>
        </w:trPr>
        <w:tc>
          <w:tcPr>
            <w:tcW w:w="1520" w:type="dxa"/>
            <w:tcMar>
              <w:top w:w="0" w:type="dxa"/>
              <w:left w:w="0" w:type="dxa"/>
              <w:bottom w:w="0" w:type="dxa"/>
              <w:right w:w="0" w:type="dxa"/>
            </w:tcMar>
          </w:tcPr>
          <w:p>
            <w:pPr>
              <w:spacing w:before="120"/>
              <w:ind w:left="100"/>
            </w:pPr>
            <w:r>
              <w:rPr>
                <w:rFonts w:hint="eastAsia" w:ascii="宋体" w:hAnsi="宋体" w:eastAsia="宋体" w:cs="宋体"/>
                <w:sz w:val="21"/>
              </w:rPr>
              <w:t>预收款项</w:t>
            </w:r>
          </w:p>
        </w:tc>
        <w:tc>
          <w:tcPr>
            <w:tcW w:w="168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126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1000" w:type="dxa"/>
            <w:tcMar>
              <w:top w:w="0" w:type="dxa"/>
              <w:left w:w="0" w:type="dxa"/>
              <w:bottom w:w="0" w:type="dxa"/>
              <w:right w:w="0" w:type="dxa"/>
            </w:tcMar>
          </w:tcPr>
          <w:p>
            <w:pPr>
              <w:spacing w:before="140"/>
              <w:ind w:left="220"/>
            </w:pP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40"/>
              <w:ind w:left="200"/>
            </w:pP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102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40"/>
              <w:ind w:left="180"/>
            </w:pP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c>
          <w:tcPr>
            <w:tcW w:w="100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r>
      <w:tr>
        <w:trPr>
          <w:trHeight w:val="480" w:hRule="exact"/>
        </w:trPr>
        <w:tc>
          <w:tcPr>
            <w:tcW w:w="1520" w:type="dxa"/>
            <w:tcMar>
              <w:top w:w="0" w:type="dxa"/>
              <w:left w:w="0" w:type="dxa"/>
              <w:bottom w:w="0" w:type="dxa"/>
              <w:right w:w="0" w:type="dxa"/>
            </w:tcMar>
          </w:tcPr>
          <w:p>
            <w:pPr>
              <w:spacing w:before="120"/>
              <w:ind w:left="100"/>
            </w:pPr>
            <w:r>
              <w:rPr>
                <w:rFonts w:hint="eastAsia" w:ascii="宋体" w:hAnsi="宋体" w:eastAsia="宋体" w:cs="宋体"/>
                <w:sz w:val="21"/>
              </w:rPr>
              <w:t>应付职工薪酬</w:t>
            </w:r>
          </w:p>
        </w:tc>
        <w:tc>
          <w:tcPr>
            <w:tcW w:w="168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000" w:type="dxa"/>
            <w:tcMar>
              <w:top w:w="0" w:type="dxa"/>
              <w:left w:w="0" w:type="dxa"/>
              <w:bottom w:w="0" w:type="dxa"/>
              <w:right w:w="0" w:type="dxa"/>
            </w:tcMar>
          </w:tcPr>
          <w:p>
            <w:pPr>
              <w:spacing w:before="140"/>
              <w:ind w:left="3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02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000" w:type="dxa"/>
            <w:tcMar>
              <w:top w:w="0" w:type="dxa"/>
              <w:left w:w="0" w:type="dxa"/>
              <w:bottom w:w="0" w:type="dxa"/>
              <w:right w:w="0" w:type="dxa"/>
            </w:tcMar>
          </w:tcPr>
          <w:p>
            <w:pPr>
              <w:spacing w:before="140"/>
              <w:ind w:left="34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460" w:hRule="exact"/>
        </w:trPr>
        <w:tc>
          <w:tcPr>
            <w:tcW w:w="1520" w:type="dxa"/>
            <w:tcMar>
              <w:top w:w="0" w:type="dxa"/>
              <w:left w:w="0" w:type="dxa"/>
              <w:bottom w:w="0" w:type="dxa"/>
              <w:right w:w="0" w:type="dxa"/>
            </w:tcMar>
          </w:tcPr>
          <w:p>
            <w:pPr>
              <w:spacing w:before="100"/>
              <w:ind w:left="100"/>
            </w:pPr>
            <w:r>
              <w:rPr>
                <w:rFonts w:hint="eastAsia" w:ascii="宋体" w:hAnsi="宋体" w:eastAsia="宋体" w:cs="宋体"/>
                <w:sz w:val="21"/>
              </w:rPr>
              <w:t>应交税费</w:t>
            </w:r>
          </w:p>
        </w:tc>
        <w:tc>
          <w:tcPr>
            <w:tcW w:w="168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1000" w:type="dxa"/>
            <w:tcMar>
              <w:top w:w="0" w:type="dxa"/>
              <w:left w:w="0" w:type="dxa"/>
              <w:bottom w:w="0" w:type="dxa"/>
              <w:right w:w="0" w:type="dxa"/>
            </w:tcMar>
          </w:tcPr>
          <w:p>
            <w:pPr>
              <w:spacing w:before="160"/>
              <w:ind w:left="34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p>
        </w:tc>
        <w:tc>
          <w:tcPr>
            <w:tcW w:w="102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60"/>
              <w:ind w:left="1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w:t>
            </w:r>
          </w:p>
        </w:tc>
        <w:tc>
          <w:tcPr>
            <w:tcW w:w="100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p>
        </w:tc>
      </w:tr>
      <w:tr>
        <w:trPr>
          <w:trHeight w:val="480" w:hRule="exact"/>
        </w:trPr>
        <w:tc>
          <w:tcPr>
            <w:tcW w:w="1520" w:type="dxa"/>
            <w:tcMar>
              <w:top w:w="0" w:type="dxa"/>
              <w:left w:w="0" w:type="dxa"/>
              <w:bottom w:w="0" w:type="dxa"/>
              <w:right w:w="0" w:type="dxa"/>
            </w:tcMar>
          </w:tcPr>
          <w:p>
            <w:pPr>
              <w:spacing w:before="120"/>
              <w:ind w:left="100"/>
            </w:pPr>
            <w:r>
              <w:rPr>
                <w:rFonts w:hint="eastAsia" w:ascii="宋体" w:hAnsi="宋体" w:eastAsia="宋体" w:cs="宋体"/>
                <w:sz w:val="21"/>
              </w:rPr>
              <w:t>其他应付款</w:t>
            </w:r>
          </w:p>
        </w:tc>
        <w:tc>
          <w:tcPr>
            <w:tcW w:w="1680" w:type="dxa"/>
            <w:tcMar>
              <w:top w:w="0" w:type="dxa"/>
              <w:left w:w="0" w:type="dxa"/>
              <w:bottom w:w="0" w:type="dxa"/>
              <w:right w:w="0" w:type="dxa"/>
            </w:tcMar>
          </w:tcPr>
          <w:p>
            <w:pPr>
              <w:spacing w:before="180"/>
              <w:ind w:left="620"/>
            </w:pPr>
            <w:r>
              <w:rPr>
                <w:rFonts w:hint="eastAsia" w:ascii="Times New Roman" w:hAnsi="Times New Roman" w:eastAsia="Times New Roman" w:cs="Times New Roman"/>
                <w:sz w:val="21"/>
              </w:rPr>
              <w:t>110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100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80"/>
              <w:ind w:left="56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102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100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r>
      <w:tr>
        <w:trPr>
          <w:trHeight w:val="480" w:hRule="exact"/>
        </w:trPr>
        <w:tc>
          <w:tcPr>
            <w:tcW w:w="1520" w:type="dxa"/>
            <w:tcMar>
              <w:top w:w="0" w:type="dxa"/>
              <w:left w:w="0" w:type="dxa"/>
              <w:bottom w:w="0" w:type="dxa"/>
              <w:right w:w="0" w:type="dxa"/>
            </w:tcMar>
          </w:tcPr>
          <w:p>
            <w:pPr>
              <w:spacing w:before="120"/>
              <w:ind w:left="100"/>
            </w:pPr>
            <w:r>
              <w:rPr>
                <w:rFonts w:hint="eastAsia" w:ascii="宋体" w:hAnsi="宋体" w:eastAsia="宋体" w:cs="宋体"/>
                <w:sz w:val="21"/>
              </w:rPr>
              <w:t>其他流动负债</w:t>
            </w:r>
          </w:p>
        </w:tc>
        <w:tc>
          <w:tcPr>
            <w:tcW w:w="1680" w:type="dxa"/>
            <w:tcMar>
              <w:top w:w="0" w:type="dxa"/>
              <w:left w:w="0" w:type="dxa"/>
              <w:bottom w:w="0" w:type="dxa"/>
              <w:right w:w="0" w:type="dxa"/>
            </w:tcMar>
          </w:tcPr>
          <w:p>
            <w:pPr>
              <w:spacing w:before="140"/>
              <w:ind w:left="4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000" w:type="dxa"/>
            <w:tcMar>
              <w:top w:w="0" w:type="dxa"/>
              <w:left w:w="0" w:type="dxa"/>
              <w:bottom w:w="0" w:type="dxa"/>
              <w:right w:w="0" w:type="dxa"/>
            </w:tcMar>
          </w:tcPr>
          <w:p>
            <w:pPr>
              <w:spacing w:before="140"/>
              <w:ind w:left="3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520" w:type="dxa"/>
            <w:tcMar>
              <w:top w:w="0" w:type="dxa"/>
              <w:left w:w="0" w:type="dxa"/>
              <w:bottom w:w="0" w:type="dxa"/>
              <w:right w:w="0" w:type="dxa"/>
            </w:tcMar>
          </w:tcPr>
          <w:p>
            <w:pPr>
              <w:spacing w:before="280"/>
              <w:ind w:left="1340"/>
            </w:pPr>
            <w:r>
              <w:rPr>
                <w:rFonts w:hint="eastAsia" w:ascii="Times New Roman" w:hAnsi="Times New Roman" w:eastAsia="Times New Roman" w:cs="Times New Roman"/>
                <w:sz w:val="21"/>
              </w:rPr>
              <w:t>-</w:t>
            </w:r>
          </w:p>
        </w:tc>
        <w:tc>
          <w:tcPr>
            <w:tcW w:w="1020" w:type="dxa"/>
            <w:tcMar>
              <w:top w:w="0" w:type="dxa"/>
              <w:left w:w="0" w:type="dxa"/>
              <w:bottom w:w="0" w:type="dxa"/>
              <w:right w:w="0" w:type="dxa"/>
            </w:tcMar>
          </w:tcPr>
          <w:p>
            <w:pPr>
              <w:spacing w:before="280"/>
              <w:ind w:left="820"/>
            </w:pPr>
            <w:r>
              <w:rPr>
                <w:rFonts w:hint="eastAsia" w:ascii="Times New Roman" w:hAnsi="Times New Roman" w:eastAsia="Times New Roman" w:cs="Times New Roman"/>
                <w:sz w:val="21"/>
              </w:rPr>
              <w:t>-</w:t>
            </w:r>
          </w:p>
        </w:tc>
        <w:tc>
          <w:tcPr>
            <w:tcW w:w="1520" w:type="dxa"/>
            <w:tcMar>
              <w:top w:w="0" w:type="dxa"/>
              <w:left w:w="0" w:type="dxa"/>
              <w:bottom w:w="0" w:type="dxa"/>
              <w:right w:w="0" w:type="dxa"/>
            </w:tcMar>
          </w:tcPr>
          <w:p>
            <w:pPr>
              <w:spacing w:before="280"/>
              <w:ind w:left="1320"/>
            </w:pPr>
            <w:r>
              <w:rPr>
                <w:rFonts w:hint="eastAsia" w:ascii="Times New Roman" w:hAnsi="Times New Roman" w:eastAsia="Times New Roman" w:cs="Times New Roman"/>
                <w:sz w:val="21"/>
              </w:rPr>
              <w:t>-</w:t>
            </w:r>
          </w:p>
        </w:tc>
        <w:tc>
          <w:tcPr>
            <w:tcW w:w="1000" w:type="dxa"/>
            <w:tcMar>
              <w:top w:w="0" w:type="dxa"/>
              <w:left w:w="0" w:type="dxa"/>
              <w:bottom w:w="0" w:type="dxa"/>
              <w:right w:w="0" w:type="dxa"/>
            </w:tcMar>
          </w:tcPr>
          <w:p>
            <w:pPr>
              <w:spacing w:before="280"/>
              <w:ind w:left="820"/>
            </w:pPr>
            <w:r>
              <w:rPr>
                <w:rFonts w:hint="eastAsia" w:ascii="Times New Roman" w:hAnsi="Times New Roman" w:eastAsia="Times New Roman" w:cs="Times New Roman"/>
                <w:sz w:val="21"/>
              </w:rPr>
              <w:t>-</w:t>
            </w:r>
          </w:p>
        </w:tc>
      </w:tr>
      <w:tr>
        <w:trPr>
          <w:trHeight w:val="460" w:hRule="exact"/>
        </w:trPr>
        <w:tc>
          <w:tcPr>
            <w:tcW w:w="1520" w:type="dxa"/>
            <w:tcMar>
              <w:top w:w="0" w:type="dxa"/>
              <w:left w:w="0" w:type="dxa"/>
              <w:bottom w:w="0" w:type="dxa"/>
              <w:right w:w="0" w:type="dxa"/>
            </w:tcMar>
          </w:tcPr>
          <w:p>
            <w:pPr>
              <w:spacing w:before="100"/>
              <w:ind w:left="100"/>
            </w:pPr>
            <w:r>
              <w:rPr>
                <w:rFonts w:hint="eastAsia" w:ascii="宋体" w:hAnsi="宋体" w:eastAsia="宋体" w:cs="宋体"/>
                <w:b/>
                <w:sz w:val="21"/>
              </w:rPr>
              <w:t>流动负债小计</w:t>
            </w:r>
          </w:p>
        </w:tc>
        <w:tc>
          <w:tcPr>
            <w:tcW w:w="1680" w:type="dxa"/>
            <w:tcMar>
              <w:top w:w="0" w:type="dxa"/>
              <w:left w:w="0" w:type="dxa"/>
              <w:bottom w:w="0" w:type="dxa"/>
              <w:right w:w="0" w:type="dxa"/>
            </w:tcMar>
          </w:tcPr>
          <w:p>
            <w:pPr>
              <w:spacing w:before="140"/>
              <w:ind w:left="240"/>
            </w:pPr>
            <w:r>
              <w:rPr>
                <w:rFonts w:hint="eastAsia" w:ascii="Times New Roman Bold" w:hAnsi="Times New Roman Bold" w:eastAsia="Times New Roman Bold" w:cs="Times New Roman Bold"/>
                <w:b/>
                <w:sz w:val="21"/>
              </w:rPr>
              <w:t>154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325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87</w:t>
            </w:r>
          </w:p>
        </w:tc>
        <w:tc>
          <w:tcPr>
            <w:tcW w:w="100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20" w:type="dxa"/>
            <w:tcMar>
              <w:top w:w="0" w:type="dxa"/>
              <w:left w:w="0" w:type="dxa"/>
              <w:bottom w:w="0" w:type="dxa"/>
              <w:right w:w="0" w:type="dxa"/>
            </w:tcMar>
          </w:tcPr>
          <w:p>
            <w:pPr>
              <w:spacing w:before="140"/>
              <w:ind w:left="100"/>
            </w:pPr>
            <w:r>
              <w:rPr>
                <w:rFonts w:hint="eastAsia" w:ascii="Times New Roman Bold" w:hAnsi="Times New Roman Bold" w:eastAsia="Times New Roman Bold" w:cs="Times New Roman Bold"/>
                <w:b/>
                <w:sz w:val="21"/>
              </w:rPr>
              <w:t>127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w:t>
            </w:r>
          </w:p>
        </w:tc>
        <w:tc>
          <w:tcPr>
            <w:tcW w:w="1020" w:type="dxa"/>
            <w:tcMar>
              <w:top w:w="0" w:type="dxa"/>
              <w:left w:w="0" w:type="dxa"/>
              <w:bottom w:w="0" w:type="dxa"/>
              <w:right w:w="0" w:type="dxa"/>
            </w:tcMar>
          </w:tcPr>
          <w:p>
            <w:pPr>
              <w:spacing w:before="14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2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04</w:t>
            </w:r>
          </w:p>
        </w:tc>
        <w:tc>
          <w:tcPr>
            <w:tcW w:w="1000" w:type="dxa"/>
            <w:tcMar>
              <w:top w:w="0" w:type="dxa"/>
              <w:left w:w="0" w:type="dxa"/>
              <w:bottom w:w="0" w:type="dxa"/>
              <w:right w:w="0" w:type="dxa"/>
            </w:tcMar>
          </w:tcPr>
          <w:p>
            <w:pPr>
              <w:spacing w:before="14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1-1-265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67408" behindDoc="false" locked="false" layoutInCell="true" allowOverlap="true">
                <wp:simplePos x="0" y="0"/>
                <wp:positionH relativeFrom="page">
                  <wp:posOffset>4470400</wp:posOffset>
                </wp:positionH>
                <wp:positionV relativeFrom="page">
                  <wp:posOffset>901700</wp:posOffset>
                </wp:positionV>
                <wp:extent cx="25400" cy="304800"/>
                <wp:effectExtent l="0" t="0" r="22225" b="31115"/>
                <wp:wrapNone/>
                <wp:docPr id="16410" name="shape16410"/>
                <wp:cNvGraphicFramePr/>
                <a:graphic>
                  <a:graphicData uri="http://schemas.microsoft.com/office/word/2010/wordprocessingShape">
                    <wps:wsp>
                      <wps:cNvSpPr/>
                      <wps:spPr>
                        <a:xfrm>
                          <a:off x="0" y="0"/>
                          <a:ext cx="25400" cy="304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24pt;margin-left:352pt;margin-top:71pt;mso-wrap-style:square;z-index:10267408;mso-wrap-distance-left:9pt;mso-wrap-distance-top:0pt;mso-wrap-distance-right:9pt;mso-wrap-distance-bottom:0pt" id="shape16410" o:spid="1618382360691" stroked="f" filled="t" fillcolor="#000000"/>
            </w:pict>
          </mc:Fallback>
        </mc:AlternateContent>
      </w:r>
      <w:r>
        <mc:AlternateContent>
          <mc:Choice Requires="wps">
            <w:drawing>
              <wp:anchor distT="0" distB="0" distL="114300" distR="114300" simplePos="false" relativeHeight="10269456" behindDoc="false" locked="false" layoutInCell="true" allowOverlap="true">
                <wp:simplePos x="0" y="0"/>
                <wp:positionH relativeFrom="page">
                  <wp:posOffset>5118100</wp:posOffset>
                </wp:positionH>
                <wp:positionV relativeFrom="page">
                  <wp:posOffset>901700</wp:posOffset>
                </wp:positionV>
                <wp:extent cx="12700" cy="304800"/>
                <wp:effectExtent l="0" t="0" r="22225" b="31115"/>
                <wp:wrapNone/>
                <wp:docPr id="16412" name="shape16412"/>
                <wp:cNvGraphicFramePr/>
                <a:graphic>
                  <a:graphicData uri="http://schemas.microsoft.com/office/word/2010/wordprocessingShape">
                    <wps:wsp>
                      <wps:cNvSpPr/>
                      <wps:spPr>
                        <a:xfrm>
                          <a:off x="0" y="0"/>
                          <a:ext cx="12700" cy="304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24pt;margin-left:403pt;margin-top:71pt;mso-wrap-style:square;z-index:10269456;mso-wrap-distance-left:9pt;mso-wrap-distance-top:0pt;mso-wrap-distance-right:9pt;mso-wrap-distance-bottom:0pt" id="shape16412" o:spid="1618382360691" stroked="f" filled="t" fillcolor="#000000"/>
            </w:pict>
          </mc:Fallback>
        </mc:AlternateContent>
      </w:r>
      <w:r>
        <mc:AlternateContent>
          <mc:Choice Requires="wps">
            <w:drawing>
              <wp:anchor distT="0" distB="0" distL="114300" distR="114300" simplePos="false" relativeHeight="10271504" behindDoc="false" locked="false" layoutInCell="true" allowOverlap="true">
                <wp:simplePos x="0" y="0"/>
                <wp:positionH relativeFrom="page">
                  <wp:posOffset>6083300</wp:posOffset>
                </wp:positionH>
                <wp:positionV relativeFrom="page">
                  <wp:posOffset>901700</wp:posOffset>
                </wp:positionV>
                <wp:extent cx="25400" cy="304800"/>
                <wp:effectExtent l="0" t="0" r="22225" b="31115"/>
                <wp:wrapNone/>
                <wp:docPr id="16414" name="shape16414"/>
                <wp:cNvGraphicFramePr/>
                <a:graphic>
                  <a:graphicData uri="http://schemas.microsoft.com/office/word/2010/wordprocessingShape">
                    <wps:wsp>
                      <wps:cNvSpPr/>
                      <wps:spPr>
                        <a:xfrm>
                          <a:off x="0" y="0"/>
                          <a:ext cx="25400" cy="304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24pt;margin-left:479pt;margin-top:71pt;mso-wrap-style:square;z-index:10271504;mso-wrap-distance-left:9pt;mso-wrap-distance-top:0pt;mso-wrap-distance-right:9pt;mso-wrap-distance-bottom:0pt" id="shape16414" o:spid="1618382360692" stroked="f" filled="t" fillcolor="#000000"/>
            </w:pict>
          </mc:Fallback>
        </mc:AlternateContent>
      </w:r>
      <w:r>
        <mc:AlternateContent>
          <mc:Choice Requires="wps">
            <w:drawing>
              <wp:anchor distT="0" distB="0" distL="114300" distR="114300" simplePos="false" relativeHeight="10275600" behindDoc="false" locked="false" layoutInCell="true" allowOverlap="true">
                <wp:simplePos x="0" y="0"/>
                <wp:positionH relativeFrom="page">
                  <wp:posOffset>838200</wp:posOffset>
                </wp:positionH>
                <wp:positionV relativeFrom="page">
                  <wp:posOffset>901700</wp:posOffset>
                </wp:positionV>
                <wp:extent cx="12700" cy="304800"/>
                <wp:effectExtent l="0" t="0" r="22225" b="31115"/>
                <wp:wrapNone/>
                <wp:docPr id="16402" name="shape16402"/>
                <wp:cNvGraphicFramePr/>
                <a:graphic>
                  <a:graphicData uri="http://schemas.microsoft.com/office/word/2010/wordprocessingShape">
                    <wps:wsp>
                      <wps:cNvSpPr/>
                      <wps:spPr>
                        <a:xfrm>
                          <a:off x="0" y="0"/>
                          <a:ext cx="12700" cy="304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24pt;margin-left:66pt;margin-top:71pt;mso-wrap-style:square;z-index:10275600;mso-wrap-distance-left:9pt;mso-wrap-distance-top:0pt;mso-wrap-distance-right:9pt;mso-wrap-distance-bottom:0pt" id="shape16402" o:spid="1618382360692" stroked="f" filled="t" fillcolor="#000000"/>
            </w:pict>
          </mc:Fallback>
        </mc:AlternateContent>
      </w:r>
      <w:r>
        <mc:AlternateContent>
          <mc:Choice Requires="wps">
            <w:drawing>
              <wp:anchor distT="0" distB="0" distL="114300" distR="114300" simplePos="false" relativeHeight="10277648" behindDoc="false" locked="false" layoutInCell="true" allowOverlap="true">
                <wp:simplePos x="0" y="0"/>
                <wp:positionH relativeFrom="page">
                  <wp:posOffset>1803400</wp:posOffset>
                </wp:positionH>
                <wp:positionV relativeFrom="page">
                  <wp:posOffset>901700</wp:posOffset>
                </wp:positionV>
                <wp:extent cx="25400" cy="304800"/>
                <wp:effectExtent l="0" t="0" r="22225" b="31115"/>
                <wp:wrapNone/>
                <wp:docPr id="16404" name="shape16404"/>
                <wp:cNvGraphicFramePr/>
                <a:graphic>
                  <a:graphicData uri="http://schemas.microsoft.com/office/word/2010/wordprocessingShape">
                    <wps:wsp>
                      <wps:cNvSpPr/>
                      <wps:spPr>
                        <a:xfrm>
                          <a:off x="0" y="0"/>
                          <a:ext cx="25400" cy="304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24pt;margin-left:142pt;margin-top:71pt;mso-wrap-style:square;z-index:10277648;mso-wrap-distance-left:9pt;mso-wrap-distance-top:0pt;mso-wrap-distance-right:9pt;mso-wrap-distance-bottom:0pt" id="shape16404" o:spid="1618382360692" stroked="f" filled="t" fillcolor="#000000"/>
            </w:pict>
          </mc:Fallback>
        </mc:AlternateContent>
      </w:r>
      <w:r>
        <mc:AlternateContent>
          <mc:Choice Requires="wps">
            <w:drawing>
              <wp:anchor distT="0" distB="0" distL="114300" distR="114300" simplePos="false" relativeHeight="10279696" behindDoc="false" locked="false" layoutInCell="true" allowOverlap="true">
                <wp:simplePos x="0" y="0"/>
                <wp:positionH relativeFrom="page">
                  <wp:posOffset>2870200</wp:posOffset>
                </wp:positionH>
                <wp:positionV relativeFrom="page">
                  <wp:posOffset>901700</wp:posOffset>
                </wp:positionV>
                <wp:extent cx="12700" cy="304800"/>
                <wp:effectExtent l="0" t="0" r="22225" b="31115"/>
                <wp:wrapNone/>
                <wp:docPr id="16406" name="shape16406"/>
                <wp:cNvGraphicFramePr/>
                <a:graphic>
                  <a:graphicData uri="http://schemas.microsoft.com/office/word/2010/wordprocessingShape">
                    <wps:wsp>
                      <wps:cNvSpPr/>
                      <wps:spPr>
                        <a:xfrm>
                          <a:off x="0" y="0"/>
                          <a:ext cx="12700" cy="304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24pt;margin-left:226pt;margin-top:71pt;mso-wrap-style:square;z-index:10279696;mso-wrap-distance-left:9pt;mso-wrap-distance-top:0pt;mso-wrap-distance-right:9pt;mso-wrap-distance-bottom:0pt" id="shape16406" o:spid="1618382360692" stroked="f" filled="t" fillcolor="#000000"/>
            </w:pict>
          </mc:Fallback>
        </mc:AlternateContent>
      </w:r>
      <w:r>
        <mc:AlternateContent>
          <mc:Choice Requires="wps">
            <w:drawing>
              <wp:anchor distT="0" distB="0" distL="114300" distR="114300" simplePos="false" relativeHeight="10281744" behindDoc="false" locked="false" layoutInCell="true" allowOverlap="true">
                <wp:simplePos x="0" y="0"/>
                <wp:positionH relativeFrom="page">
                  <wp:posOffset>3505200</wp:posOffset>
                </wp:positionH>
                <wp:positionV relativeFrom="page">
                  <wp:posOffset>901700</wp:posOffset>
                </wp:positionV>
                <wp:extent cx="12700" cy="304800"/>
                <wp:effectExtent l="0" t="0" r="22225" b="31115"/>
                <wp:wrapNone/>
                <wp:docPr id="16408" name="shape16408"/>
                <wp:cNvGraphicFramePr/>
                <a:graphic>
                  <a:graphicData uri="http://schemas.microsoft.com/office/word/2010/wordprocessingShape">
                    <wps:wsp>
                      <wps:cNvSpPr/>
                      <wps:spPr>
                        <a:xfrm>
                          <a:off x="0" y="0"/>
                          <a:ext cx="12700" cy="304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24pt;margin-left:276pt;margin-top:71pt;mso-wrap-style:square;z-index:10281744;mso-wrap-distance-left:9pt;mso-wrap-distance-top:0pt;mso-wrap-distance-right:9pt;mso-wrap-distance-bottom:0pt" id="shape16408" o:spid="1618382360693" stroked="f" filled="t" fillcolor="#000000"/>
            </w:pict>
          </mc:Fallback>
        </mc:AlternateContent>
      </w:r>
      <w:r>
        <mc:AlternateContent>
          <mc:Choice Requires="wps">
            <w:drawing>
              <wp:anchor distT="0" distB="0" distL="114300" distR="114300" simplePos="false" relativeHeight="10286864" behindDoc="false" locked="false" layoutInCell="true" allowOverlap="true">
                <wp:simplePos x="0" y="0"/>
                <wp:positionH relativeFrom="page">
                  <wp:posOffset>6718300</wp:posOffset>
                </wp:positionH>
                <wp:positionV relativeFrom="page">
                  <wp:posOffset>901700</wp:posOffset>
                </wp:positionV>
                <wp:extent cx="25400" cy="304800"/>
                <wp:effectExtent l="0" t="0" r="22225" b="31115"/>
                <wp:wrapNone/>
                <wp:docPr id="16416" name="shape16416"/>
                <wp:cNvGraphicFramePr/>
                <a:graphic>
                  <a:graphicData uri="http://schemas.microsoft.com/office/word/2010/wordprocessingShape">
                    <wps:wsp>
                      <wps:cNvSpPr/>
                      <wps:spPr>
                        <a:xfrm>
                          <a:off x="0" y="0"/>
                          <a:ext cx="25400" cy="3048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24pt;margin-left:529pt;margin-top:71pt;mso-wrap-style:square;z-index:10286864;mso-wrap-distance-left:9pt;mso-wrap-distance-top:0pt;mso-wrap-distance-right:9pt;mso-wrap-distance-bottom:0pt" id="shape16416" o:spid="1618382360693" stroked="f" filled="t" fillcolor="#000000"/>
            </w:pict>
          </mc:Fallback>
        </mc:AlternateContent>
      </w:r>
      <w:r>
        <mc:AlternateContent>
          <mc:Choice Requires="wps">
            <w:drawing>
              <wp:anchor distT="0" distB="0" distL="114300" distR="114300" simplePos="false" relativeHeight="10276624" behindDoc="false" locked="false" layoutInCell="true" allowOverlap="true">
                <wp:simplePos x="0" y="0"/>
                <wp:positionH relativeFrom="page">
                  <wp:posOffset>838200</wp:posOffset>
                </wp:positionH>
                <wp:positionV relativeFrom="page">
                  <wp:posOffset>901700</wp:posOffset>
                </wp:positionV>
                <wp:extent cx="977900" cy="12700"/>
                <wp:effectExtent l="0" t="0" r="22225" b="31115"/>
                <wp:wrapNone/>
                <wp:docPr id="16395" name="shape16395"/>
                <wp:cNvGraphicFramePr/>
                <a:graphic>
                  <a:graphicData uri="http://schemas.microsoft.com/office/word/2010/wordprocessingShape">
                    <wps:wsp>
                      <wps:cNvSpPr/>
                      <wps:spPr>
                        <a:xfrm>
                          <a:off x="0" y="0"/>
                          <a:ext cx="977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7pt;height:1pt;margin-left:66pt;margin-top:71pt;mso-wrap-style:square;z-index:10276624;mso-wrap-distance-left:9pt;mso-wrap-distance-top:0pt;mso-wrap-distance-right:9pt;mso-wrap-distance-bottom:0pt" id="shape16395" o:spid="1618382360693" stroked="f" filled="t" fillcolor="#000000"/>
            </w:pict>
          </mc:Fallback>
        </mc:AlternateContent>
      </w:r>
      <w:r>
        <mc:AlternateContent>
          <mc:Choice Requires="wps">
            <w:drawing>
              <wp:anchor distT="0" distB="0" distL="114300" distR="114300" simplePos="false" relativeHeight="10278672" behindDoc="false" locked="false" layoutInCell="true" allowOverlap="true">
                <wp:simplePos x="0" y="0"/>
                <wp:positionH relativeFrom="page">
                  <wp:posOffset>1816100</wp:posOffset>
                </wp:positionH>
                <wp:positionV relativeFrom="page">
                  <wp:posOffset>901700</wp:posOffset>
                </wp:positionV>
                <wp:extent cx="1066800" cy="12700"/>
                <wp:effectExtent l="0" t="0" r="22225" b="31115"/>
                <wp:wrapNone/>
                <wp:docPr id="16396" name="shape16396"/>
                <wp:cNvGraphicFramePr/>
                <a:graphic>
                  <a:graphicData uri="http://schemas.microsoft.com/office/word/2010/wordprocessingShape">
                    <wps:wsp>
                      <wps:cNvSpPr/>
                      <wps:spPr>
                        <a:xfrm>
                          <a:off x="0" y="0"/>
                          <a:ext cx="10668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4pt;height:1pt;margin-left:143pt;margin-top:71pt;mso-wrap-style:square;z-index:10278672;mso-wrap-distance-left:9pt;mso-wrap-distance-top:0pt;mso-wrap-distance-right:9pt;mso-wrap-distance-bottom:0pt" id="shape16396" o:spid="1618382360694" stroked="f" filled="t" fillcolor="#000000"/>
            </w:pict>
          </mc:Fallback>
        </mc:AlternateContent>
      </w:r>
      <w:r>
        <mc:AlternateContent>
          <mc:Choice Requires="wps">
            <w:drawing>
              <wp:anchor distT="0" distB="0" distL="114300" distR="114300" simplePos="false" relativeHeight="10280720" behindDoc="false" locked="false" layoutInCell="true" allowOverlap="true">
                <wp:simplePos x="0" y="0"/>
                <wp:positionH relativeFrom="page">
                  <wp:posOffset>2870200</wp:posOffset>
                </wp:positionH>
                <wp:positionV relativeFrom="page">
                  <wp:posOffset>901700</wp:posOffset>
                </wp:positionV>
                <wp:extent cx="647700" cy="12700"/>
                <wp:effectExtent l="0" t="0" r="22225" b="31115"/>
                <wp:wrapNone/>
                <wp:docPr id="16397" name="shape16397"/>
                <wp:cNvGraphicFramePr/>
                <a:graphic>
                  <a:graphicData uri="http://schemas.microsoft.com/office/word/2010/wordprocessingShape">
                    <wps:wsp>
                      <wps:cNvSpPr/>
                      <wps:spPr>
                        <a:xfrm>
                          <a:off x="0" y="0"/>
                          <a:ext cx="6477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1pt;height:1pt;margin-left:226pt;margin-top:71pt;mso-wrap-style:square;z-index:10280720;mso-wrap-distance-left:9pt;mso-wrap-distance-top:0pt;mso-wrap-distance-right:9pt;mso-wrap-distance-bottom:0pt" id="shape16397" o:spid="1618382360694" stroked="f" filled="t" fillcolor="#000000"/>
            </w:pict>
          </mc:Fallback>
        </mc:AlternateContent>
      </w:r>
      <w:r>
        <mc:AlternateContent>
          <mc:Choice Requires="wps">
            <w:drawing>
              <wp:anchor distT="0" distB="0" distL="114300" distR="114300" simplePos="false" relativeHeight="10282768" behindDoc="false" locked="false" layoutInCell="true" allowOverlap="true">
                <wp:simplePos x="0" y="0"/>
                <wp:positionH relativeFrom="page">
                  <wp:posOffset>3505200</wp:posOffset>
                </wp:positionH>
                <wp:positionV relativeFrom="page">
                  <wp:posOffset>901700</wp:posOffset>
                </wp:positionV>
                <wp:extent cx="977900" cy="12700"/>
                <wp:effectExtent l="0" t="0" r="22225" b="31115"/>
                <wp:wrapNone/>
                <wp:docPr id="16398" name="shape16398"/>
                <wp:cNvGraphicFramePr/>
                <a:graphic>
                  <a:graphicData uri="http://schemas.microsoft.com/office/word/2010/wordprocessingShape">
                    <wps:wsp>
                      <wps:cNvSpPr/>
                      <wps:spPr>
                        <a:xfrm>
                          <a:off x="0" y="0"/>
                          <a:ext cx="977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7pt;height:1pt;margin-left:276pt;margin-top:71pt;mso-wrap-style:square;z-index:10282768;mso-wrap-distance-left:9pt;mso-wrap-distance-top:0pt;mso-wrap-distance-right:9pt;mso-wrap-distance-bottom:0pt" id="shape16398" o:spid="1618382360694" stroked="f" filled="t" fillcolor="#000000"/>
            </w:pict>
          </mc:Fallback>
        </mc:AlternateContent>
      </w:r>
      <w:r>
        <mc:AlternateContent>
          <mc:Choice Requires="wps">
            <w:drawing>
              <wp:anchor distT="0" distB="0" distL="114300" distR="114300" simplePos="false" relativeHeight="10283792" behindDoc="false" locked="false" layoutInCell="true" allowOverlap="true">
                <wp:simplePos x="0" y="0"/>
                <wp:positionH relativeFrom="page">
                  <wp:posOffset>4483100</wp:posOffset>
                </wp:positionH>
                <wp:positionV relativeFrom="page">
                  <wp:posOffset>901700</wp:posOffset>
                </wp:positionV>
                <wp:extent cx="647700" cy="12700"/>
                <wp:effectExtent l="0" t="0" r="22225" b="31115"/>
                <wp:wrapNone/>
                <wp:docPr id="16399" name="shape16399"/>
                <wp:cNvGraphicFramePr/>
                <a:graphic>
                  <a:graphicData uri="http://schemas.microsoft.com/office/word/2010/wordprocessingShape">
                    <wps:wsp>
                      <wps:cNvSpPr/>
                      <wps:spPr>
                        <a:xfrm>
                          <a:off x="0" y="0"/>
                          <a:ext cx="6477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1pt;height:1pt;margin-left:353pt;margin-top:71pt;mso-wrap-style:square;z-index:10283792;mso-wrap-distance-left:9pt;mso-wrap-distance-top:0pt;mso-wrap-distance-right:9pt;mso-wrap-distance-bottom:0pt" id="shape16399" o:spid="1618382360695" stroked="f" filled="t" fillcolor="#000000"/>
            </w:pict>
          </mc:Fallback>
        </mc:AlternateContent>
      </w:r>
      <w:r>
        <mc:AlternateContent>
          <mc:Choice Requires="wps">
            <w:drawing>
              <wp:anchor distT="0" distB="0" distL="114300" distR="114300" simplePos="false" relativeHeight="10284816" behindDoc="false" locked="false" layoutInCell="true" allowOverlap="true">
                <wp:simplePos x="0" y="0"/>
                <wp:positionH relativeFrom="page">
                  <wp:posOffset>5118100</wp:posOffset>
                </wp:positionH>
                <wp:positionV relativeFrom="page">
                  <wp:posOffset>901700</wp:posOffset>
                </wp:positionV>
                <wp:extent cx="977900" cy="12700"/>
                <wp:effectExtent l="0" t="0" r="22225" b="31115"/>
                <wp:wrapNone/>
                <wp:docPr id="16400" name="shape16400"/>
                <wp:cNvGraphicFramePr/>
                <a:graphic>
                  <a:graphicData uri="http://schemas.microsoft.com/office/word/2010/wordprocessingShape">
                    <wps:wsp>
                      <wps:cNvSpPr/>
                      <wps:spPr>
                        <a:xfrm>
                          <a:off x="0" y="0"/>
                          <a:ext cx="977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7pt;height:1pt;margin-left:403pt;margin-top:71pt;mso-wrap-style:square;z-index:10284816;mso-wrap-distance-left:9pt;mso-wrap-distance-top:0pt;mso-wrap-distance-right:9pt;mso-wrap-distance-bottom:0pt" id="shape16400" o:spid="1618382360695" stroked="f" filled="t" fillcolor="#000000"/>
            </w:pict>
          </mc:Fallback>
        </mc:AlternateContent>
      </w:r>
      <w:r>
        <mc:AlternateContent>
          <mc:Choice Requires="wps">
            <w:drawing>
              <wp:anchor distT="0" distB="0" distL="114300" distR="114300" simplePos="false" relativeHeight="10285840" behindDoc="false" locked="false" layoutInCell="true" allowOverlap="true">
                <wp:simplePos x="0" y="0"/>
                <wp:positionH relativeFrom="page">
                  <wp:posOffset>6096000</wp:posOffset>
                </wp:positionH>
                <wp:positionV relativeFrom="page">
                  <wp:posOffset>901700</wp:posOffset>
                </wp:positionV>
                <wp:extent cx="635000" cy="12700"/>
                <wp:effectExtent l="0" t="0" r="22225" b="31115"/>
                <wp:wrapNone/>
                <wp:docPr id="16401" name="shape16401"/>
                <wp:cNvGraphicFramePr/>
                <a:graphic>
                  <a:graphicData uri="http://schemas.microsoft.com/office/word/2010/wordprocessingShape">
                    <wps:wsp>
                      <wps:cNvSpPr/>
                      <wps:spPr>
                        <a:xfrm>
                          <a:off x="0" y="0"/>
                          <a:ext cx="6350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0pt;height:1pt;margin-left:480pt;margin-top:71pt;mso-wrap-style:square;z-index:10285840;mso-wrap-distance-left:9pt;mso-wrap-distance-top:0pt;mso-wrap-distance-right:9pt;mso-wrap-distance-bottom:0pt" id="shape16401" o:spid="1618382360695" stroked="f" filled="t" fillcolor="#000000"/>
            </w:pict>
          </mc:Fallback>
        </mc:AlternateContent>
      </w:r>
      <w:r>
        <mc:AlternateContent>
          <mc:Choice Requires="wps">
            <w:drawing>
              <wp:anchor distT="0" distB="0" distL="114300" distR="114300" simplePos="false" relativeHeight="10260240" behindDoc="false" locked="false" layoutInCell="true" allowOverlap="true">
                <wp:simplePos x="0" y="0"/>
                <wp:positionH relativeFrom="page">
                  <wp:posOffset>838200</wp:posOffset>
                </wp:positionH>
                <wp:positionV relativeFrom="page">
                  <wp:posOffset>1193800</wp:posOffset>
                </wp:positionV>
                <wp:extent cx="977900" cy="25400"/>
                <wp:effectExtent l="0" t="0" r="22225" b="31115"/>
                <wp:wrapNone/>
                <wp:docPr id="16403" name="shape16403"/>
                <wp:cNvGraphicFramePr/>
                <a:graphic>
                  <a:graphicData uri="http://schemas.microsoft.com/office/word/2010/wordprocessingShape">
                    <wps:wsp>
                      <wps:cNvSpPr/>
                      <wps:spPr>
                        <a:xfrm>
                          <a:off x="0" y="0"/>
                          <a:ext cx="977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7pt;height:2pt;margin-left:66pt;margin-top:94pt;mso-wrap-style:square;z-index:10260240;mso-wrap-distance-left:9pt;mso-wrap-distance-top:0pt;mso-wrap-distance-right:9pt;mso-wrap-distance-bottom:0pt" id="shape16403" o:spid="1618382360696" stroked="f" filled="t" fillcolor="#000000"/>
            </w:pict>
          </mc:Fallback>
        </mc:AlternateContent>
      </w:r>
      <w:r>
        <mc:AlternateContent>
          <mc:Choice Requires="wps">
            <w:drawing>
              <wp:anchor distT="0" distB="0" distL="114300" distR="114300" simplePos="false" relativeHeight="10262288" behindDoc="false" locked="false" layoutInCell="true" allowOverlap="true">
                <wp:simplePos x="0" y="0"/>
                <wp:positionH relativeFrom="page">
                  <wp:posOffset>1816100</wp:posOffset>
                </wp:positionH>
                <wp:positionV relativeFrom="page">
                  <wp:posOffset>1193800</wp:posOffset>
                </wp:positionV>
                <wp:extent cx="1066800" cy="25400"/>
                <wp:effectExtent l="0" t="0" r="22225" b="31115"/>
                <wp:wrapNone/>
                <wp:docPr id="16405" name="shape16405"/>
                <wp:cNvGraphicFramePr/>
                <a:graphic>
                  <a:graphicData uri="http://schemas.microsoft.com/office/word/2010/wordprocessingShape">
                    <wps:wsp>
                      <wps:cNvSpPr/>
                      <wps:spPr>
                        <a:xfrm>
                          <a:off x="0" y="0"/>
                          <a:ext cx="10668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4pt;height:2pt;margin-left:143pt;margin-top:94pt;mso-wrap-style:square;z-index:10262288;mso-wrap-distance-left:9pt;mso-wrap-distance-top:0pt;mso-wrap-distance-right:9pt;mso-wrap-distance-bottom:0pt" id="shape16405" o:spid="1618382360696" stroked="f" filled="t" fillcolor="#000000"/>
            </w:pict>
          </mc:Fallback>
        </mc:AlternateContent>
      </w:r>
      <w:r>
        <mc:AlternateContent>
          <mc:Choice Requires="wps">
            <w:drawing>
              <wp:anchor distT="0" distB="0" distL="114300" distR="114300" simplePos="false" relativeHeight="10264336" behindDoc="false" locked="false" layoutInCell="true" allowOverlap="true">
                <wp:simplePos x="0" y="0"/>
                <wp:positionH relativeFrom="page">
                  <wp:posOffset>2870200</wp:posOffset>
                </wp:positionH>
                <wp:positionV relativeFrom="page">
                  <wp:posOffset>1193800</wp:posOffset>
                </wp:positionV>
                <wp:extent cx="647700" cy="25400"/>
                <wp:effectExtent l="0" t="0" r="22225" b="31115"/>
                <wp:wrapNone/>
                <wp:docPr id="16407" name="shape16407"/>
                <wp:cNvGraphicFramePr/>
                <a:graphic>
                  <a:graphicData uri="http://schemas.microsoft.com/office/word/2010/wordprocessingShape">
                    <wps:wsp>
                      <wps:cNvSpPr/>
                      <wps:spPr>
                        <a:xfrm>
                          <a:off x="0" y="0"/>
                          <a:ext cx="6477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1pt;height:2pt;margin-left:226pt;margin-top:94pt;mso-wrap-style:square;z-index:10264336;mso-wrap-distance-left:9pt;mso-wrap-distance-top:0pt;mso-wrap-distance-right:9pt;mso-wrap-distance-bottom:0pt" id="shape16407" o:spid="1618382360696" stroked="f" filled="t" fillcolor="#000000"/>
            </w:pict>
          </mc:Fallback>
        </mc:AlternateContent>
      </w:r>
      <w:r>
        <mc:AlternateContent>
          <mc:Choice Requires="wps">
            <w:drawing>
              <wp:anchor distT="0" distB="0" distL="114300" distR="114300" simplePos="false" relativeHeight="10266384" behindDoc="false" locked="false" layoutInCell="true" allowOverlap="true">
                <wp:simplePos x="0" y="0"/>
                <wp:positionH relativeFrom="page">
                  <wp:posOffset>3505200</wp:posOffset>
                </wp:positionH>
                <wp:positionV relativeFrom="page">
                  <wp:posOffset>1193800</wp:posOffset>
                </wp:positionV>
                <wp:extent cx="977900" cy="25400"/>
                <wp:effectExtent l="0" t="0" r="22225" b="31115"/>
                <wp:wrapNone/>
                <wp:docPr id="16409" name="shape16409"/>
                <wp:cNvGraphicFramePr/>
                <a:graphic>
                  <a:graphicData uri="http://schemas.microsoft.com/office/word/2010/wordprocessingShape">
                    <wps:wsp>
                      <wps:cNvSpPr/>
                      <wps:spPr>
                        <a:xfrm>
                          <a:off x="0" y="0"/>
                          <a:ext cx="977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7pt;height:2pt;margin-left:276pt;margin-top:94pt;mso-wrap-style:square;z-index:10266384;mso-wrap-distance-left:9pt;mso-wrap-distance-top:0pt;mso-wrap-distance-right:9pt;mso-wrap-distance-bottom:0pt" id="shape16409" o:spid="1618382360696" stroked="f" filled="t" fillcolor="#000000"/>
            </w:pict>
          </mc:Fallback>
        </mc:AlternateContent>
      </w:r>
      <w:r>
        <mc:AlternateContent>
          <mc:Choice Requires="wps">
            <w:drawing>
              <wp:anchor distT="0" distB="0" distL="114300" distR="114300" simplePos="false" relativeHeight="10268432" behindDoc="false" locked="false" layoutInCell="true" allowOverlap="true">
                <wp:simplePos x="0" y="0"/>
                <wp:positionH relativeFrom="page">
                  <wp:posOffset>4483100</wp:posOffset>
                </wp:positionH>
                <wp:positionV relativeFrom="page">
                  <wp:posOffset>1193800</wp:posOffset>
                </wp:positionV>
                <wp:extent cx="647700" cy="25400"/>
                <wp:effectExtent l="0" t="0" r="22225" b="31115"/>
                <wp:wrapNone/>
                <wp:docPr id="16411" name="shape16411"/>
                <wp:cNvGraphicFramePr/>
                <a:graphic>
                  <a:graphicData uri="http://schemas.microsoft.com/office/word/2010/wordprocessingShape">
                    <wps:wsp>
                      <wps:cNvSpPr/>
                      <wps:spPr>
                        <a:xfrm>
                          <a:off x="0" y="0"/>
                          <a:ext cx="6477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1pt;height:2pt;margin-left:353pt;margin-top:94pt;mso-wrap-style:square;z-index:10268432;mso-wrap-distance-left:9pt;mso-wrap-distance-top:0pt;mso-wrap-distance-right:9pt;mso-wrap-distance-bottom:0pt" id="shape16411" o:spid="1618382360697" stroked="f" filled="t" fillcolor="#000000"/>
            </w:pict>
          </mc:Fallback>
        </mc:AlternateContent>
      </w:r>
      <w:r>
        <mc:AlternateContent>
          <mc:Choice Requires="wps">
            <w:drawing>
              <wp:anchor distT="0" distB="0" distL="114300" distR="114300" simplePos="false" relativeHeight="10270480" behindDoc="false" locked="false" layoutInCell="true" allowOverlap="true">
                <wp:simplePos x="0" y="0"/>
                <wp:positionH relativeFrom="page">
                  <wp:posOffset>5118100</wp:posOffset>
                </wp:positionH>
                <wp:positionV relativeFrom="page">
                  <wp:posOffset>1193800</wp:posOffset>
                </wp:positionV>
                <wp:extent cx="977900" cy="25400"/>
                <wp:effectExtent l="0" t="0" r="22225" b="31115"/>
                <wp:wrapNone/>
                <wp:docPr id="16413" name="shape16413"/>
                <wp:cNvGraphicFramePr/>
                <a:graphic>
                  <a:graphicData uri="http://schemas.microsoft.com/office/word/2010/wordprocessingShape">
                    <wps:wsp>
                      <wps:cNvSpPr/>
                      <wps:spPr>
                        <a:xfrm>
                          <a:off x="0" y="0"/>
                          <a:ext cx="977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77pt;height:2pt;margin-left:403pt;margin-top:94pt;mso-wrap-style:square;z-index:10270480;mso-wrap-distance-left:9pt;mso-wrap-distance-top:0pt;mso-wrap-distance-right:9pt;mso-wrap-distance-bottom:0pt" id="shape16413" o:spid="1618382360697" stroked="f" filled="t" fillcolor="#000000"/>
            </w:pict>
          </mc:Fallback>
        </mc:AlternateContent>
      </w:r>
      <w:r>
        <mc:AlternateContent>
          <mc:Choice Requires="wps">
            <w:drawing>
              <wp:anchor distT="0" distB="0" distL="114300" distR="114300" simplePos="false" relativeHeight="10272528" behindDoc="false" locked="false" layoutInCell="true" allowOverlap="true">
                <wp:simplePos x="0" y="0"/>
                <wp:positionH relativeFrom="page">
                  <wp:posOffset>6096000</wp:posOffset>
                </wp:positionH>
                <wp:positionV relativeFrom="page">
                  <wp:posOffset>1193800</wp:posOffset>
                </wp:positionV>
                <wp:extent cx="635000" cy="25400"/>
                <wp:effectExtent l="0" t="0" r="22225" b="31115"/>
                <wp:wrapNone/>
                <wp:docPr id="16415" name="shape16415"/>
                <wp:cNvGraphicFramePr/>
                <a:graphic>
                  <a:graphicData uri="http://schemas.microsoft.com/office/word/2010/wordprocessingShape">
                    <wps:wsp>
                      <wps:cNvSpPr/>
                      <wps:spPr>
                        <a:xfrm>
                          <a:off x="0" y="0"/>
                          <a:ext cx="6350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50pt;height:2pt;margin-left:480pt;margin-top:94pt;mso-wrap-style:square;z-index:10272528;mso-wrap-distance-left:9pt;mso-wrap-distance-top:0pt;mso-wrap-distance-right:9pt;mso-wrap-distance-bottom:0pt" id="shape16415" o:spid="1618382360697" stroked="f" filled="t" fillcolor="#000000"/>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3100"/>
        </w:tabs>
        <w:autoSpaceDE w:val="false"/>
        <w:autoSpaceDN w:val="false"/>
        <w:spacing w:line="280" w:lineRule="exact"/>
        <w:ind w:left="1440"/>
        <w:jc w:val="both"/>
      </w:pPr>
      <w:r>
        <w:rPr>
          <w:rFonts w:hint="eastAsia" w:ascii="宋体" w:hAnsi="宋体" w:eastAsia="宋体" w:cs="宋体"/>
          <w:b/>
          <w:sz w:val="21"/>
        </w:rPr>
        <w:t>负债合计</w:t>
      </w:r>
      <w:r>
        <w:tab/>
      </w:r>
      <w:r>
        <w:rPr>
          <w:rFonts w:hint="eastAsia" w:ascii="Times New Roman Bold" w:hAnsi="Times New Roman Bold" w:eastAsia="Times New Roman Bold" w:cs="Times New Roman Bold"/>
          <w:b/>
          <w:sz w:val="21"/>
        </w:rPr>
        <w:t>154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325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87 100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 xml:space="preserve"> 127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45 100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 xml:space="preserve"> 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04 100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公司负债均为流动负债</w:t>
      </w:r>
      <w:r>
        <w:rPr>
          <w:rFonts w:hint="eastAsia" w:ascii="宋体" w:hAnsi="宋体" w:eastAsia="宋体" w:cs="宋体"/>
          <w:sz w:val="10"/>
        </w:rPr>
        <w:t>，</w:t>
      </w:r>
      <w:r>
        <w:rPr>
          <w:rFonts w:hint="eastAsia" w:ascii="宋体" w:hAnsi="宋体" w:eastAsia="宋体" w:cs="宋体"/>
          <w:sz w:val="24"/>
        </w:rPr>
        <w:t>债务结构与以流动资产为主的资产结构相匹配</w:t>
      </w:r>
      <w:r>
        <w:rPr>
          <w:rFonts w:hint="eastAsia" w:ascii="宋体" w:hAnsi="宋体" w:eastAsia="宋体" w:cs="宋体"/>
          <w:sz w:val="10"/>
        </w:rPr>
        <w:t>，</w:t>
      </w:r>
      <w:r>
        <w:rPr>
          <w:rFonts w:hint="eastAsia" w:ascii="宋体" w:hAnsi="宋体" w:eastAsia="宋体" w:cs="宋体"/>
          <w:sz w:val="24"/>
        </w:rPr>
        <w:t>债务结构合理</w:t>
      </w:r>
      <w:r>
        <w:rPr>
          <w:rFonts w:hint="eastAsia" w:ascii="宋体" w:hAnsi="宋体" w:eastAsia="宋体" w:cs="宋体"/>
          <w:sz w:val="10"/>
        </w:rPr>
        <w:t>，</w:t>
      </w:r>
      <w:r>
        <w:rPr>
          <w:rFonts w:hint="eastAsia" w:ascii="宋体" w:hAnsi="宋体" w:eastAsia="宋体" w:cs="宋体"/>
          <w:sz w:val="24"/>
        </w:rPr>
        <w:t>规模适度</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公司负债呈增长趋势</w:t>
      </w:r>
      <w:r>
        <w:rPr>
          <w:rFonts w:hint="eastAsia" w:ascii="宋体" w:hAnsi="宋体" w:eastAsia="宋体" w:cs="宋体"/>
          <w:sz w:val="10"/>
        </w:rPr>
        <w:t>，</w:t>
      </w:r>
      <w:r>
        <w:rPr>
          <w:rFonts w:hint="eastAsia" w:ascii="宋体" w:hAnsi="宋体" w:eastAsia="宋体" w:cs="宋体"/>
          <w:sz w:val="24"/>
        </w:rPr>
        <w:t>主要是随着公司业务规模的扩大</w:t>
      </w:r>
      <w:r>
        <w:rPr>
          <w:rFonts w:hint="eastAsia" w:ascii="宋体" w:hAnsi="宋体" w:eastAsia="宋体" w:cs="宋体"/>
          <w:sz w:val="10"/>
        </w:rPr>
        <w:t>，</w:t>
      </w:r>
      <w:r>
        <w:rPr>
          <w:rFonts w:hint="eastAsia" w:ascii="宋体" w:hAnsi="宋体" w:eastAsia="宋体" w:cs="宋体"/>
          <w:sz w:val="24"/>
        </w:rPr>
        <w:t>预收款项及其他流动负债不断增加所致</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4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预收款项和应交税费是公司负债的主要来源</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上述两项合计占同期负债总额的比例分别为</w:t>
      </w:r>
      <w:r>
        <w:rPr>
          <w:rFonts w:hint="eastAsia" w:ascii="Times New Roman" w:hAnsi="Times New Roman" w:eastAsia="Times New Roman" w:cs="Times New Roman"/>
          <w:sz w:val="24"/>
        </w:rPr>
        <w:t xml:space="preserve"> 88.42%</w:t>
      </w:r>
      <w:r>
        <w:rPr>
          <w:rFonts w:hint="eastAsia" w:ascii="宋体" w:hAnsi="宋体" w:eastAsia="宋体" w:cs="宋体"/>
          <w:sz w:val="10"/>
        </w:rPr>
        <w:t>、</w:t>
      </w:r>
      <w:r>
        <w:rPr>
          <w:rFonts w:hint="eastAsia" w:ascii="Times New Roman" w:hAnsi="Times New Roman" w:eastAsia="Times New Roman" w:cs="Times New Roman"/>
          <w:sz w:val="24"/>
        </w:rPr>
        <w:t>89.07%</w:t>
      </w:r>
      <w:r>
        <w:rPr>
          <w:rFonts w:hint="eastAsia" w:ascii="宋体" w:hAnsi="宋体" w:eastAsia="宋体" w:cs="宋体"/>
          <w:sz w:val="24"/>
        </w:rPr>
        <w:t>和</w:t>
      </w:r>
      <w:r>
        <w:rPr>
          <w:rFonts w:hint="eastAsia" w:ascii="Times New Roman" w:hAnsi="Times New Roman" w:eastAsia="Times New Roman" w:cs="Times New Roman"/>
          <w:sz w:val="24"/>
        </w:rPr>
        <w:t xml:space="preserve"> 88.94%</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发行人的主要债项</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）应付账款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3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公司应付账款余额分别为</w:t>
      </w:r>
      <w:r>
        <w:rPr>
          <w:rFonts w:hint="eastAsia" w:ascii="Times New Roman" w:hAnsi="Times New Roman" w:eastAsia="Times New Roman" w:cs="Times New Roman"/>
          <w:sz w:val="24"/>
        </w:rPr>
        <w:t xml:space="preserve"> 3,362,169.73</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654,750.54</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583,866.82</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占同期负债总额的比例分别为</w:t>
      </w:r>
      <w:r>
        <w:rPr>
          <w:rFonts w:hint="eastAsia" w:ascii="Times New Roman" w:hAnsi="Times New Roman" w:eastAsia="Times New Roman" w:cs="Times New Roman"/>
          <w:sz w:val="24"/>
        </w:rPr>
        <w:t xml:space="preserve"> 3.36%</w:t>
      </w:r>
      <w:r>
        <w:rPr>
          <w:rFonts w:hint="eastAsia" w:ascii="宋体" w:hAnsi="宋体" w:eastAsia="宋体" w:cs="宋体"/>
          <w:sz w:val="10"/>
        </w:rPr>
        <w:t>、</w:t>
      </w:r>
      <w:r>
        <w:rPr>
          <w:rFonts w:hint="eastAsia" w:ascii="Times New Roman" w:hAnsi="Times New Roman" w:eastAsia="Times New Roman" w:cs="Times New Roman"/>
          <w:sz w:val="24"/>
        </w:rPr>
        <w:t>0.51%</w:t>
      </w:r>
      <w:r>
        <w:rPr>
          <w:rFonts w:hint="eastAsia" w:ascii="宋体" w:hAnsi="宋体" w:eastAsia="宋体" w:cs="宋体"/>
          <w:sz w:val="24"/>
        </w:rPr>
        <w:t>和</w:t>
      </w:r>
      <w:r>
        <w:rPr>
          <w:rFonts w:hint="eastAsia" w:ascii="Times New Roman" w:hAnsi="Times New Roman" w:eastAsia="Times New Roman" w:cs="Times New Roman"/>
          <w:sz w:val="24"/>
        </w:rPr>
        <w:t xml:space="preserve"> 0.38%</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应付款余额的变化主要是受到系统集成在建项目所采购货款的影响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公司应付账款中无应付持有本公司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以上表决权股份的股东账款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）预收账款</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公司预收账款余额分别为</w:t>
      </w:r>
      <w:r>
        <w:rPr>
          <w:rFonts w:hint="eastAsia" w:ascii="Times New Roman" w:hAnsi="Times New Roman" w:eastAsia="Times New Roman" w:cs="Times New Roman"/>
          <w:sz w:val="24"/>
        </w:rPr>
        <w:t xml:space="preserve"> 72,741,092.49</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99,563,750.37</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126,413,346.99</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占同期负债总额的比例分别为</w:t>
      </w:r>
      <w:r>
        <w:rPr>
          <w:rFonts w:hint="eastAsia" w:ascii="Times New Roman" w:hAnsi="Times New Roman" w:eastAsia="Times New Roman" w:cs="Times New Roman"/>
          <w:sz w:val="24"/>
        </w:rPr>
        <w:t xml:space="preserve"> 72.67%</w:t>
      </w:r>
      <w:r>
        <w:rPr>
          <w:rFonts w:hint="eastAsia" w:ascii="宋体" w:hAnsi="宋体" w:eastAsia="宋体" w:cs="宋体"/>
          <w:sz w:val="10"/>
        </w:rPr>
        <w:t>、</w:t>
      </w:r>
      <w:r>
        <w:rPr>
          <w:rFonts w:hint="eastAsia" w:ascii="Times New Roman" w:hAnsi="Times New Roman" w:eastAsia="Times New Roman" w:cs="Times New Roman"/>
          <w:sz w:val="24"/>
        </w:rPr>
        <w:t>78.05%</w:t>
      </w:r>
      <w:r>
        <w:rPr>
          <w:rFonts w:hint="eastAsia" w:ascii="宋体" w:hAnsi="宋体" w:eastAsia="宋体" w:cs="宋体"/>
          <w:sz w:val="24"/>
        </w:rPr>
        <w:t>和</w:t>
      </w:r>
      <w:r>
        <w:rPr>
          <w:rFonts w:hint="eastAsia" w:ascii="Times New Roman" w:hAnsi="Times New Roman" w:eastAsia="Times New Roman" w:cs="Times New Roman"/>
          <w:sz w:val="24"/>
        </w:rPr>
        <w:t>81.58%</w:t>
      </w:r>
      <w:r>
        <w:rPr>
          <w:rFonts w:hint="eastAsia" w:ascii="宋体" w:hAnsi="宋体" w:eastAsia="宋体" w:cs="宋体"/>
          <w:sz w:val="10"/>
        </w:rPr>
        <w:t>。</w:t>
      </w:r>
      <w:r>
        <w:rPr>
          <w:rFonts w:hint="eastAsia" w:ascii="宋体" w:hAnsi="宋体" w:eastAsia="宋体" w:cs="宋体"/>
          <w:sz w:val="24"/>
        </w:rPr>
        <w:t>截至各期期末</w:t>
      </w:r>
      <w:r>
        <w:rPr>
          <w:rFonts w:hint="eastAsia" w:ascii="宋体" w:hAnsi="宋体" w:eastAsia="宋体" w:cs="宋体"/>
          <w:sz w:val="10"/>
        </w:rPr>
        <w:t>，</w:t>
      </w:r>
      <w:r>
        <w:rPr>
          <w:rFonts w:hint="eastAsia" w:ascii="宋体" w:hAnsi="宋体" w:eastAsia="宋体" w:cs="宋体"/>
          <w:sz w:val="24"/>
        </w:rPr>
        <w:t>部分项目尚未满足收入确认条件</w:t>
      </w:r>
      <w:r>
        <w:rPr>
          <w:rFonts w:hint="eastAsia" w:ascii="宋体" w:hAnsi="宋体" w:eastAsia="宋体" w:cs="宋体"/>
          <w:sz w:val="10"/>
        </w:rPr>
        <w:t>，</w:t>
      </w:r>
      <w:r>
        <w:rPr>
          <w:rFonts w:hint="eastAsia" w:ascii="宋体" w:hAnsi="宋体" w:eastAsia="宋体" w:cs="宋体"/>
          <w:sz w:val="24"/>
        </w:rPr>
        <w:t>因此未结转销售收入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20"/>
        <w:jc w:val="both"/>
      </w:pP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发行人预收账款余额呈现增长的趋势</w:t>
      </w:r>
      <w:r>
        <w:rPr>
          <w:rFonts w:hint="eastAsia" w:ascii="宋体" w:hAnsi="宋体" w:eastAsia="宋体" w:cs="宋体"/>
          <w:sz w:val="10"/>
        </w:rPr>
        <w:t>，</w:t>
      </w:r>
      <w:r>
        <w:rPr>
          <w:rFonts w:hint="eastAsia" w:ascii="宋体" w:hAnsi="宋体" w:eastAsia="宋体" w:cs="宋体"/>
          <w:sz w:val="24"/>
        </w:rPr>
        <w:t>主要是由于报告期内发行人业务发展态势良好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金石投资受让公司股份并对公司进行增资</w:t>
      </w:r>
      <w:r>
        <w:rPr>
          <w:rFonts w:hint="eastAsia" w:ascii="宋体" w:hAnsi="宋体" w:eastAsia="宋体" w:cs="宋体"/>
          <w:sz w:val="10"/>
        </w:rPr>
        <w:t>，</w:t>
      </w:r>
      <w:r>
        <w:rPr>
          <w:rFonts w:hint="eastAsia" w:ascii="宋体" w:hAnsi="宋体" w:eastAsia="宋体" w:cs="宋体"/>
          <w:sz w:val="24"/>
        </w:rPr>
        <w:t>持有公司</w:t>
      </w:r>
      <w:r>
        <w:rPr>
          <w:rFonts w:hint="eastAsia" w:ascii="Times New Roman" w:hAnsi="Times New Roman" w:eastAsia="Times New Roman" w:cs="Times New Roman"/>
          <w:sz w:val="24"/>
        </w:rPr>
        <w:t xml:space="preserve"> 20.81%</w:t>
      </w:r>
      <w:r>
        <w:rPr>
          <w:rFonts w:hint="eastAsia" w:ascii="宋体" w:hAnsi="宋体" w:eastAsia="宋体" w:cs="宋体"/>
          <w:sz w:val="24"/>
        </w:rPr>
        <w:t>的股份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20"/>
        <w:jc w:val="both"/>
      </w:pPr>
      <w:r>
        <w:rPr>
          <w:rFonts w:hint="eastAsia" w:ascii="宋体" w:hAnsi="宋体" w:eastAsia="宋体" w:cs="宋体"/>
          <w:sz w:val="24"/>
        </w:rPr>
        <w:t>金石投资为中信证券的全资子公司</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公司涉及中信证券及其控股子公司的预收账款为</w:t>
      </w:r>
      <w:r>
        <w:rPr>
          <w:rFonts w:hint="eastAsia" w:ascii="Times New Roman" w:hAnsi="Times New Roman" w:eastAsia="Times New Roman" w:cs="Times New Roman"/>
          <w:sz w:val="24"/>
        </w:rPr>
        <w:t xml:space="preserve"> 286.13</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除上述预收账款外</w:t>
      </w:r>
      <w:r>
        <w:rPr>
          <w:rFonts w:hint="eastAsia" w:ascii="宋体" w:hAnsi="宋体" w:eastAsia="宋体" w:cs="宋体"/>
          <w:sz w:val="10"/>
        </w:rPr>
        <w:t>，</w:t>
      </w:r>
      <w:r>
        <w:rPr>
          <w:rFonts w:hint="eastAsia" w:ascii="宋体" w:hAnsi="宋体" w:eastAsia="宋体" w:cs="宋体"/>
          <w:sz w:val="24"/>
        </w:rPr>
        <w:t>公司预收款项余额中无预收持有本公司</w:t>
      </w:r>
      <w:r>
        <w:rPr>
          <w:rFonts w:hint="eastAsia" w:ascii="Times New Roman" w:hAnsi="Times New Roman" w:eastAsia="Times New Roman" w:cs="Times New Roman"/>
          <w:sz w:val="24"/>
        </w:rPr>
        <w:t xml:space="preserve"> 5%</w:t>
      </w:r>
      <w:r>
        <w:rPr>
          <w:rFonts w:hint="eastAsia" w:ascii="宋体" w:hAnsi="宋体" w:eastAsia="宋体" w:cs="宋体"/>
          <w:sz w:val="24"/>
        </w:rPr>
        <w:t>以上表决权股份的股东账款</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1-1-266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0"/>
        </w:rPr>
        <w:t>（</w:t>
      </w:r>
      <w:r>
        <w:rPr>
          <w:rFonts w:hint="eastAsia" w:ascii="Times New Roman" w:hAnsi="Times New Roman" w:eastAsia="Times New Roman" w:cs="Times New Roman"/>
          <w:sz w:val="24"/>
        </w:rPr>
        <w:t>3</w:t>
      </w:r>
      <w:r>
        <w:rPr>
          <w:rFonts w:hint="eastAsia" w:ascii="宋体" w:hAnsi="宋体" w:eastAsia="宋体" w:cs="宋体"/>
          <w:sz w:val="24"/>
        </w:rPr>
        <w:t>）应付职工薪酬</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4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公司应付职工薪酬分别为</w:t>
      </w:r>
      <w:r>
        <w:rPr>
          <w:rFonts w:hint="eastAsia" w:ascii="Times New Roman" w:hAnsi="Times New Roman" w:eastAsia="Times New Roman" w:cs="Times New Roman"/>
          <w:sz w:val="24"/>
        </w:rPr>
        <w:t xml:space="preserve"> 8,045,589.80</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13,266,172.03</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14,883,345.00</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占同期负债总额的比例分别为</w:t>
      </w:r>
      <w:r>
        <w:rPr>
          <w:rFonts w:hint="eastAsia" w:ascii="Times New Roman" w:hAnsi="Times New Roman" w:eastAsia="Times New Roman" w:cs="Times New Roman"/>
          <w:sz w:val="24"/>
        </w:rPr>
        <w:t xml:space="preserve"> 8.04%</w:t>
      </w:r>
      <w:r>
        <w:rPr>
          <w:rFonts w:hint="eastAsia" w:ascii="宋体" w:hAnsi="宋体" w:eastAsia="宋体" w:cs="宋体"/>
          <w:sz w:val="10"/>
        </w:rPr>
        <w:t>、</w:t>
      </w:r>
      <w:r>
        <w:rPr>
          <w:rFonts w:hint="eastAsia" w:ascii="Times New Roman" w:hAnsi="Times New Roman" w:eastAsia="Times New Roman" w:cs="Times New Roman"/>
          <w:sz w:val="24"/>
        </w:rPr>
        <w:t>10.40%</w:t>
      </w:r>
      <w:r>
        <w:rPr>
          <w:rFonts w:hint="eastAsia" w:ascii="宋体" w:hAnsi="宋体" w:eastAsia="宋体" w:cs="宋体"/>
          <w:sz w:val="24"/>
        </w:rPr>
        <w:t>和</w:t>
      </w:r>
      <w:r>
        <w:rPr>
          <w:rFonts w:hint="eastAsia" w:ascii="Times New Roman" w:hAnsi="Times New Roman" w:eastAsia="Times New Roman" w:cs="Times New Roman"/>
          <w:sz w:val="24"/>
        </w:rPr>
        <w:t>9.60%</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年末至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公司应付职工薪酬余额逐渐增加</w:t>
      </w:r>
      <w:r>
        <w:rPr>
          <w:rFonts w:hint="eastAsia" w:ascii="宋体" w:hAnsi="宋体" w:eastAsia="宋体" w:cs="宋体"/>
          <w:sz w:val="10"/>
        </w:rPr>
        <w:t>，</w:t>
      </w:r>
      <w:r>
        <w:rPr>
          <w:rFonts w:hint="eastAsia" w:ascii="宋体" w:hAnsi="宋体" w:eastAsia="宋体" w:cs="宋体"/>
          <w:sz w:val="24"/>
        </w:rPr>
        <w:t>主要是由于公司员工规模及工资水平有所上升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公司员工薪酬水平和变动情况如下表所示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120" w:type="auto"/>
        <w:tblInd w:w="14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720"/>
        <w:gridCol w:w="3560"/>
        <w:gridCol w:w="3820"/>
      </w:tblGrid>
      <w:tr>
        <w:trPr>
          <w:trHeight w:val="600" w:hRule="exact"/>
        </w:trPr>
        <w:tc>
          <w:tcPr>
            <w:tcW w:w="1720" w:type="dxa"/>
            <w:tcMar>
              <w:top w:w="0" w:type="dxa"/>
              <w:left w:w="0" w:type="dxa"/>
              <w:bottom w:w="0" w:type="dxa"/>
              <w:right w:w="0" w:type="dxa"/>
            </w:tcMar>
          </w:tcPr>
          <w:p/>
        </w:tc>
        <w:tc>
          <w:tcPr>
            <w:tcW w:w="3560" w:type="dxa"/>
            <w:tcMar>
              <w:top w:w="0" w:type="dxa"/>
              <w:left w:w="0" w:type="dxa"/>
              <w:bottom w:w="0" w:type="dxa"/>
              <w:right w:w="0" w:type="dxa"/>
            </w:tcMar>
          </w:tcPr>
          <w:p>
            <w:pPr>
              <w:spacing w:before="180"/>
              <w:ind w:left="1340"/>
            </w:pPr>
            <w:r>
              <w:rPr>
                <w:rFonts w:hint="eastAsia" w:ascii="宋体" w:hAnsi="宋体" w:eastAsia="宋体" w:cs="宋体"/>
                <w:b/>
                <w:sz w:val="21"/>
              </w:rPr>
              <w:t>期末人数</w:t>
            </w:r>
          </w:p>
        </w:tc>
        <w:tc>
          <w:tcPr>
            <w:tcW w:w="3820" w:type="dxa"/>
            <w:tcMar>
              <w:top w:w="0" w:type="dxa"/>
              <w:left w:w="0" w:type="dxa"/>
              <w:bottom w:w="0" w:type="dxa"/>
              <w:right w:w="0" w:type="dxa"/>
            </w:tcMar>
          </w:tcPr>
          <w:p>
            <w:pPr>
              <w:spacing w:before="180"/>
              <w:ind w:left="1260"/>
            </w:pPr>
            <w:r>
              <w:rPr>
                <w:rFonts w:hint="eastAsia" w:ascii="宋体" w:hAnsi="宋体" w:eastAsia="宋体" w:cs="宋体"/>
                <w:b/>
                <w:sz w:val="21"/>
              </w:rPr>
              <w:t>员工平均薪酬</w:t>
            </w:r>
          </w:p>
        </w:tc>
      </w:tr>
      <w:tr>
        <w:trPr>
          <w:trHeight w:val="640" w:hRule="exact"/>
        </w:trPr>
        <w:tc>
          <w:tcPr>
            <w:tcW w:w="1720" w:type="dxa"/>
            <w:tcMar>
              <w:top w:w="0" w:type="dxa"/>
              <w:left w:w="0" w:type="dxa"/>
              <w:bottom w:w="0" w:type="dxa"/>
              <w:right w:w="0" w:type="dxa"/>
            </w:tcMar>
          </w:tcPr>
          <w:p>
            <w:pPr>
              <w:spacing w:before="200"/>
              <w:ind w:left="400"/>
            </w:pPr>
            <w:r>
              <w:rPr>
                <w:rFonts w:hint="eastAsia" w:ascii="Times New Roman" w:hAnsi="Times New Roman" w:eastAsia="Times New Roman" w:cs="Times New Roman"/>
                <w:sz w:val="21"/>
              </w:rPr>
              <w:t>2016</w:t>
            </w:r>
            <w:r>
              <w:rPr>
                <w:rFonts w:hint="eastAsia" w:ascii="宋体" w:hAnsi="宋体" w:eastAsia="宋体" w:cs="宋体"/>
                <w:sz w:val="21"/>
              </w:rPr>
              <w:t xml:space="preserve"> 年度</w:t>
            </w:r>
          </w:p>
        </w:tc>
        <w:tc>
          <w:tcPr>
            <w:tcW w:w="3560" w:type="dxa"/>
            <w:tcMar>
              <w:top w:w="0" w:type="dxa"/>
              <w:left w:w="0" w:type="dxa"/>
              <w:bottom w:w="0" w:type="dxa"/>
              <w:right w:w="0" w:type="dxa"/>
            </w:tcMar>
          </w:tcPr>
          <w:p>
            <w:pPr>
              <w:spacing w:before="220"/>
              <w:ind w:left="3200"/>
            </w:pPr>
            <w:r>
              <w:rPr>
                <w:rFonts w:hint="eastAsia" w:ascii="Times New Roman" w:hAnsi="Times New Roman" w:eastAsia="Times New Roman" w:cs="Times New Roman"/>
                <w:sz w:val="21"/>
              </w:rPr>
              <w:t>699</w:t>
            </w:r>
          </w:p>
        </w:tc>
        <w:tc>
          <w:tcPr>
            <w:tcW w:w="3820" w:type="dxa"/>
            <w:tcMar>
              <w:top w:w="0" w:type="dxa"/>
              <w:left w:w="0" w:type="dxa"/>
              <w:bottom w:w="0" w:type="dxa"/>
              <w:right w:w="0" w:type="dxa"/>
            </w:tcMar>
          </w:tcPr>
          <w:p>
            <w:pPr>
              <w:spacing w:before="220"/>
              <w:ind w:left="2840"/>
            </w:pPr>
            <w:r>
              <w:rPr>
                <w:rFonts w:hint="eastAsia" w:ascii="Times New Roman" w:hAnsi="Times New Roman" w:eastAsia="Times New Roman" w:cs="Times New Roman"/>
                <w:sz w:val="21"/>
              </w:rPr>
              <w:t>137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r>
      <w:tr>
        <w:trPr>
          <w:trHeight w:val="640" w:hRule="exact"/>
        </w:trPr>
        <w:tc>
          <w:tcPr>
            <w:tcW w:w="1720" w:type="dxa"/>
            <w:tcMar>
              <w:top w:w="0" w:type="dxa"/>
              <w:left w:w="0" w:type="dxa"/>
              <w:bottom w:w="0" w:type="dxa"/>
              <w:right w:w="0" w:type="dxa"/>
            </w:tcMar>
          </w:tcPr>
          <w:p>
            <w:pPr>
              <w:spacing w:before="200"/>
              <w:ind w:left="400"/>
            </w:pPr>
            <w:r>
              <w:rPr>
                <w:rFonts w:hint="eastAsia" w:ascii="Times New Roman" w:hAnsi="Times New Roman" w:eastAsia="Times New Roman" w:cs="Times New Roman"/>
                <w:sz w:val="21"/>
              </w:rPr>
              <w:t>2015</w:t>
            </w:r>
            <w:r>
              <w:rPr>
                <w:rFonts w:hint="eastAsia" w:ascii="宋体" w:hAnsi="宋体" w:eastAsia="宋体" w:cs="宋体"/>
                <w:sz w:val="21"/>
              </w:rPr>
              <w:t xml:space="preserve"> 年度</w:t>
            </w:r>
          </w:p>
        </w:tc>
        <w:tc>
          <w:tcPr>
            <w:tcW w:w="3560" w:type="dxa"/>
            <w:tcMar>
              <w:top w:w="0" w:type="dxa"/>
              <w:left w:w="0" w:type="dxa"/>
              <w:bottom w:w="0" w:type="dxa"/>
              <w:right w:w="0" w:type="dxa"/>
            </w:tcMar>
          </w:tcPr>
          <w:p>
            <w:pPr>
              <w:spacing w:before="240"/>
              <w:ind w:left="3200"/>
            </w:pPr>
            <w:r>
              <w:rPr>
                <w:rFonts w:hint="eastAsia" w:ascii="Times New Roman" w:hAnsi="Times New Roman" w:eastAsia="Times New Roman" w:cs="Times New Roman"/>
                <w:sz w:val="21"/>
              </w:rPr>
              <w:t>692</w:t>
            </w:r>
          </w:p>
        </w:tc>
        <w:tc>
          <w:tcPr>
            <w:tcW w:w="3820" w:type="dxa"/>
            <w:tcMar>
              <w:top w:w="0" w:type="dxa"/>
              <w:left w:w="0" w:type="dxa"/>
              <w:bottom w:w="0" w:type="dxa"/>
              <w:right w:w="0" w:type="dxa"/>
            </w:tcMar>
          </w:tcPr>
          <w:p>
            <w:pPr>
              <w:spacing w:before="240"/>
              <w:ind w:left="2840"/>
            </w:pPr>
            <w:r>
              <w:rPr>
                <w:rFonts w:hint="eastAsia" w:ascii="Times New Roman" w:hAnsi="Times New Roman" w:eastAsia="Times New Roman" w:cs="Times New Roman"/>
                <w:sz w:val="21"/>
              </w:rPr>
              <w:t>126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r>
      <w:tr>
        <w:trPr>
          <w:trHeight w:val="620" w:hRule="exact"/>
        </w:trPr>
        <w:tc>
          <w:tcPr>
            <w:tcW w:w="172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21"/>
              </w:rPr>
              <w:t>2014</w:t>
            </w:r>
            <w:r>
              <w:rPr>
                <w:rFonts w:hint="eastAsia" w:ascii="宋体" w:hAnsi="宋体" w:eastAsia="宋体" w:cs="宋体"/>
                <w:sz w:val="21"/>
              </w:rPr>
              <w:t xml:space="preserve"> 年度</w:t>
            </w:r>
          </w:p>
        </w:tc>
        <w:tc>
          <w:tcPr>
            <w:tcW w:w="3560" w:type="dxa"/>
            <w:tcMar>
              <w:top w:w="0" w:type="dxa"/>
              <w:left w:w="0" w:type="dxa"/>
              <w:bottom w:w="0" w:type="dxa"/>
              <w:right w:w="0" w:type="dxa"/>
            </w:tcMar>
          </w:tcPr>
          <w:p>
            <w:pPr>
              <w:spacing w:before="240"/>
              <w:ind w:left="3200"/>
            </w:pPr>
            <w:r>
              <w:rPr>
                <w:rFonts w:hint="eastAsia" w:ascii="Times New Roman" w:hAnsi="Times New Roman" w:eastAsia="Times New Roman" w:cs="Times New Roman"/>
                <w:sz w:val="21"/>
              </w:rPr>
              <w:t>642</w:t>
            </w:r>
          </w:p>
        </w:tc>
        <w:tc>
          <w:tcPr>
            <w:tcW w:w="3820" w:type="dxa"/>
            <w:tcMar>
              <w:top w:w="0" w:type="dxa"/>
              <w:left w:w="0" w:type="dxa"/>
              <w:bottom w:w="0" w:type="dxa"/>
              <w:right w:w="0" w:type="dxa"/>
            </w:tcMar>
          </w:tcPr>
          <w:p>
            <w:pPr>
              <w:spacing w:before="240"/>
              <w:ind w:left="2840"/>
            </w:pPr>
            <w:r>
              <w:rPr>
                <w:rFonts w:hint="eastAsia" w:ascii="Times New Roman" w:hAnsi="Times New Roman" w:eastAsia="Times New Roman" w:cs="Times New Roman"/>
                <w:sz w:val="21"/>
              </w:rPr>
              <w:t>108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bl>
    <w:p>
      <w:pPr>
        <w:spacing w:line="200" w:lineRule="exact"/>
        <w:rPr>
          <w:rFonts w:hint="eastAsia" w:ascii="宋体" w:hAnsi="宋体" w:eastAsia="宋体" w:cs="宋体"/>
          <w:sz w:val="20"/>
        </w:rPr>
      </w:pPr>
    </w:p>
    <w:p>
      <w:pPr>
        <w:autoSpaceDE w:val="false"/>
        <w:autoSpaceDN w:val="false"/>
        <w:spacing w:line="380" w:lineRule="exact"/>
        <w:ind w:left="1440" w:right="13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随着公司经营规模和经营业绩的稳步提升</w:t>
      </w:r>
      <w:r>
        <w:rPr>
          <w:rFonts w:hint="eastAsia" w:ascii="宋体" w:hAnsi="宋体" w:eastAsia="宋体" w:cs="宋体"/>
          <w:sz w:val="10"/>
        </w:rPr>
        <w:t>，</w:t>
      </w:r>
      <w:r>
        <w:rPr>
          <w:rFonts w:hint="eastAsia" w:ascii="宋体" w:hAnsi="宋体" w:eastAsia="宋体" w:cs="宋体"/>
          <w:sz w:val="24"/>
        </w:rPr>
        <w:t>员工平均薪酬也逐步上涨</w:t>
      </w:r>
      <w:r>
        <w:rPr>
          <w:rFonts w:hint="eastAsia" w:ascii="宋体" w:hAnsi="宋体" w:eastAsia="宋体" w:cs="宋体"/>
          <w:sz w:val="10"/>
        </w:rPr>
        <w:t>，</w:t>
      </w:r>
      <w:r>
        <w:rPr>
          <w:rFonts w:hint="eastAsia" w:ascii="宋体" w:hAnsi="宋体" w:eastAsia="宋体" w:cs="宋体"/>
          <w:sz w:val="24"/>
        </w:rPr>
        <w:t>体现了公司员工收入水平与经济效益同步增长的原则</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00" w:firstLine="480"/>
        <w:jc w:val="both"/>
      </w:pPr>
      <w:r>
        <w:rPr>
          <w:rFonts w:hint="eastAsia" w:ascii="宋体" w:hAnsi="宋体" w:eastAsia="宋体" w:cs="宋体"/>
          <w:sz w:val="24"/>
        </w:rPr>
        <w:t>公司同行业可比上市公司主要有恒生电子</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员工薪酬水平除受行业影响外</w:t>
      </w:r>
      <w:r>
        <w:rPr>
          <w:rFonts w:hint="eastAsia" w:ascii="宋体" w:hAnsi="宋体" w:eastAsia="宋体" w:cs="宋体"/>
          <w:sz w:val="10"/>
        </w:rPr>
        <w:t>，</w:t>
      </w:r>
      <w:r>
        <w:rPr>
          <w:rFonts w:hint="eastAsia" w:ascii="宋体" w:hAnsi="宋体" w:eastAsia="宋体" w:cs="宋体"/>
          <w:sz w:val="24"/>
        </w:rPr>
        <w:t>主要受所在地消费水平的影响</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选取了公司总部所在地福州当地的上市软件企业博思软件</w:t>
      </w:r>
      <w:r>
        <w:rPr>
          <w:rFonts w:hint="eastAsia" w:ascii="宋体" w:hAnsi="宋体" w:eastAsia="宋体" w:cs="宋体"/>
          <w:sz w:val="10"/>
        </w:rPr>
        <w:t>、</w:t>
      </w:r>
      <w:r>
        <w:rPr>
          <w:rFonts w:hint="eastAsia" w:ascii="宋体" w:hAnsi="宋体" w:eastAsia="宋体" w:cs="宋体"/>
          <w:sz w:val="24"/>
        </w:rPr>
        <w:t>榕基软件作为员工薪酬水平分析的参考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00" w:firstLine="480"/>
        <w:jc w:val="both"/>
      </w:pPr>
      <w:r>
        <w:rPr>
          <w:rFonts w:hint="eastAsia" w:ascii="宋体" w:hAnsi="宋体" w:eastAsia="宋体" w:cs="宋体"/>
          <w:sz w:val="24"/>
        </w:rPr>
        <w:t>公司的所在地为福州</w:t>
      </w:r>
      <w:r>
        <w:rPr>
          <w:rFonts w:hint="eastAsia" w:ascii="宋体" w:hAnsi="宋体" w:eastAsia="宋体" w:cs="宋体"/>
          <w:sz w:val="10"/>
        </w:rPr>
        <w:t>，</w:t>
      </w:r>
      <w:r>
        <w:rPr>
          <w:rFonts w:hint="eastAsia" w:ascii="宋体" w:hAnsi="宋体" w:eastAsia="宋体" w:cs="宋体"/>
          <w:sz w:val="24"/>
        </w:rPr>
        <w:t>其人员薪酬和消费水平低于恒生电子所在的杭州和金证股份所在的深圳</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公司员工平均薪酬总体低于恒生电子和金证股份</w:t>
      </w:r>
      <w:r>
        <w:rPr>
          <w:rFonts w:hint="eastAsia" w:ascii="宋体" w:hAnsi="宋体" w:eastAsia="宋体" w:cs="宋体"/>
          <w:sz w:val="12"/>
        </w:rPr>
        <w:t>；</w:t>
      </w:r>
      <w:r>
        <w:rPr>
          <w:rFonts w:hint="eastAsia" w:ascii="宋体" w:hAnsi="宋体" w:eastAsia="宋体" w:cs="宋体"/>
          <w:sz w:val="24"/>
        </w:rPr>
        <w:t>相比所在地同为福州的博思软件</w:t>
      </w:r>
      <w:r>
        <w:rPr>
          <w:rFonts w:hint="eastAsia" w:ascii="宋体" w:hAnsi="宋体" w:eastAsia="宋体" w:cs="宋体"/>
          <w:sz w:val="10"/>
        </w:rPr>
        <w:t>、</w:t>
      </w:r>
      <w:r>
        <w:rPr>
          <w:rFonts w:hint="eastAsia" w:ascii="宋体" w:hAnsi="宋体" w:eastAsia="宋体" w:cs="宋体"/>
          <w:sz w:val="24"/>
        </w:rPr>
        <w:t>榕基软件</w:t>
      </w:r>
      <w:r>
        <w:rPr>
          <w:rFonts w:hint="eastAsia" w:ascii="宋体" w:hAnsi="宋体" w:eastAsia="宋体" w:cs="宋体"/>
          <w:sz w:val="10"/>
        </w:rPr>
        <w:t>，</w:t>
      </w:r>
      <w:r>
        <w:rPr>
          <w:rFonts w:hint="eastAsia" w:ascii="宋体" w:hAnsi="宋体" w:eastAsia="宋体" w:cs="宋体"/>
          <w:sz w:val="24"/>
        </w:rPr>
        <w:t>公司员工平均薪酬更高</w:t>
      </w:r>
      <w:r>
        <w:rPr>
          <w:rFonts w:hint="eastAsia" w:ascii="宋体" w:hAnsi="宋体" w:eastAsia="宋体" w:cs="宋体"/>
          <w:sz w:val="10"/>
        </w:rPr>
        <w:t>，</w:t>
      </w:r>
      <w:r>
        <w:rPr>
          <w:rFonts w:hint="eastAsia" w:ascii="宋体" w:hAnsi="宋体" w:eastAsia="宋体" w:cs="宋体"/>
          <w:sz w:val="24"/>
        </w:rPr>
        <w:t>公司员工薪酬在福州当地具有一定的竞争力</w:t>
      </w:r>
      <w:r>
        <w:rPr>
          <w:rFonts w:hint="eastAsia" w:ascii="宋体" w:hAnsi="宋体" w:eastAsia="宋体" w:cs="宋体"/>
          <w:sz w:val="10"/>
        </w:rPr>
        <w:t>，</w:t>
      </w:r>
      <w:r>
        <w:rPr>
          <w:rFonts w:hint="eastAsia" w:ascii="宋体" w:hAnsi="宋体" w:eastAsia="宋体" w:cs="宋体"/>
          <w:sz w:val="24"/>
        </w:rPr>
        <w:t>技术人员的薪酬情况较为合理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）应交税费</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年末</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公司应交税费分别为</w:t>
      </w:r>
      <w:r>
        <w:rPr>
          <w:rFonts w:hint="eastAsia" w:ascii="Times New Roman" w:hAnsi="Times New Roman" w:eastAsia="Times New Roman" w:cs="Times New Roman"/>
          <w:sz w:val="24"/>
        </w:rPr>
        <w:t xml:space="preserve"> 15,768,382.77</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14,051,533.61</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11,414,185.73</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占同期负债总额的比例分别为</w:t>
      </w:r>
      <w:r>
        <w:rPr>
          <w:rFonts w:hint="eastAsia" w:ascii="Times New Roman" w:hAnsi="Times New Roman" w:eastAsia="Times New Roman" w:cs="Times New Roman"/>
          <w:sz w:val="24"/>
        </w:rPr>
        <w:t xml:space="preserve"> 15.75%</w:t>
      </w:r>
      <w:r>
        <w:rPr>
          <w:rFonts w:hint="eastAsia" w:ascii="宋体" w:hAnsi="宋体" w:eastAsia="宋体" w:cs="宋体"/>
          <w:sz w:val="10"/>
        </w:rPr>
        <w:t>、</w:t>
      </w:r>
      <w:r>
        <w:rPr>
          <w:rFonts w:hint="eastAsia" w:ascii="Times New Roman" w:hAnsi="Times New Roman" w:eastAsia="Times New Roman" w:cs="Times New Roman"/>
          <w:sz w:val="24"/>
        </w:rPr>
        <w:t>11.02%</w:t>
      </w:r>
      <w:r>
        <w:rPr>
          <w:rFonts w:hint="eastAsia" w:ascii="宋体" w:hAnsi="宋体" w:eastAsia="宋体" w:cs="宋体"/>
          <w:sz w:val="24"/>
        </w:rPr>
        <w:t>和</w:t>
      </w:r>
      <w:r>
        <w:rPr>
          <w:rFonts w:hint="eastAsia" w:ascii="Times New Roman" w:hAnsi="Times New Roman" w:eastAsia="Times New Roman" w:cs="Times New Roman"/>
          <w:sz w:val="24"/>
        </w:rPr>
        <w:t>7.37%</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年末至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随着公司经营规模的扩大和销售水平的提升</w:t>
      </w:r>
      <w:r>
        <w:rPr>
          <w:rFonts w:hint="eastAsia" w:ascii="宋体" w:hAnsi="宋体" w:eastAsia="宋体" w:cs="宋体"/>
          <w:sz w:val="10"/>
        </w:rPr>
        <w:t>，</w:t>
      </w:r>
      <w:r>
        <w:rPr>
          <w:rFonts w:hint="eastAsia" w:ascii="宋体" w:hAnsi="宋体" w:eastAsia="宋体" w:cs="宋体"/>
          <w:sz w:val="24"/>
        </w:rPr>
        <w:t>应交税费金额也呈现增长趋势</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公司应交税费有所下降</w:t>
      </w:r>
      <w:r>
        <w:rPr>
          <w:rFonts w:hint="eastAsia" w:ascii="宋体" w:hAnsi="宋体" w:eastAsia="宋体" w:cs="宋体"/>
          <w:sz w:val="10"/>
        </w:rPr>
        <w:t>，</w:t>
      </w:r>
      <w:r>
        <w:rPr>
          <w:rFonts w:hint="eastAsia" w:ascii="宋体" w:hAnsi="宋体" w:eastAsia="宋体" w:cs="宋体"/>
          <w:sz w:val="24"/>
        </w:rPr>
        <w:t>主要是由于发行人适用国家规划布局内的重点软件企业</w:t>
      </w:r>
      <w:r>
        <w:rPr>
          <w:rFonts w:hint="eastAsia" w:ascii="Times New Roman" w:hAnsi="Times New Roman" w:eastAsia="Times New Roman" w:cs="Times New Roman"/>
          <w:sz w:val="24"/>
        </w:rPr>
        <w:t xml:space="preserve"> 10%</w:t>
      </w:r>
      <w:r>
        <w:rPr>
          <w:rFonts w:hint="eastAsia" w:ascii="宋体" w:hAnsi="宋体" w:eastAsia="宋体" w:cs="宋体"/>
          <w:sz w:val="24"/>
        </w:rPr>
        <w:t>的企业所得税优惠税率所致</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1-1-267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b/>
          <w:sz w:val="20"/>
        </w:rPr>
        <w:t>（</w:t>
      </w:r>
      <w:r>
        <w:rPr>
          <w:rFonts w:hint="eastAsia" w:ascii="宋体" w:hAnsi="宋体" w:eastAsia="宋体" w:cs="宋体"/>
          <w:b/>
          <w:sz w:val="24"/>
        </w:rPr>
        <w:t>三）偿债能力分析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公司主要偿债能力指标如下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指标</w:t>
            </w:r>
          </w:p>
        </w:tc>
        <w:tc>
          <w:tcPr>
            <w:tcW w:w="2320" w:type="dxa"/>
            <w:tcMar>
              <w:top w:w="0" w:type="dxa"/>
              <w:left w:w="0" w:type="dxa"/>
              <w:bottom w:w="0" w:type="dxa"/>
              <w:right w:w="0" w:type="dxa"/>
            </w:tcMar>
          </w:tcPr>
          <w:p>
            <w:pPr>
              <w:spacing w:before="180"/>
              <w:ind w:left="640"/>
            </w:pPr>
            <w:r>
              <w:rPr>
                <w:rFonts w:hint="eastAsia" w:ascii="Times New Roman Bold" w:hAnsi="Times New Roman Bold" w:eastAsia="Times New Roman Bold" w:cs="Times New Roman Bold"/>
                <w:b/>
                <w:sz w:val="21"/>
              </w:rPr>
              <w:t>2016-12-31</w:t>
            </w:r>
          </w:p>
        </w:tc>
        <w:tc>
          <w:tcPr>
            <w:tcW w:w="2300" w:type="dxa"/>
            <w:tcMar>
              <w:top w:w="0" w:type="dxa"/>
              <w:left w:w="0" w:type="dxa"/>
              <w:bottom w:w="0" w:type="dxa"/>
              <w:right w:w="0" w:type="dxa"/>
            </w:tcMar>
          </w:tcPr>
          <w:p>
            <w:pPr>
              <w:spacing w:before="180"/>
              <w:ind w:left="640"/>
            </w:pPr>
            <w:r>
              <w:rPr>
                <w:rFonts w:hint="eastAsia" w:ascii="Times New Roman Bold" w:hAnsi="Times New Roman Bold" w:eastAsia="Times New Roman Bold" w:cs="Times New Roman Bold"/>
                <w:b/>
                <w:sz w:val="21"/>
              </w:rPr>
              <w:t>2015-12-31</w:t>
            </w:r>
          </w:p>
        </w:tc>
        <w:tc>
          <w:tcPr>
            <w:tcW w:w="2320" w:type="dxa"/>
            <w:tcMar>
              <w:top w:w="0" w:type="dxa"/>
              <w:left w:w="0" w:type="dxa"/>
              <w:bottom w:w="0" w:type="dxa"/>
              <w:right w:w="0" w:type="dxa"/>
            </w:tcMar>
          </w:tcPr>
          <w:p>
            <w:pPr>
              <w:spacing w:before="180"/>
              <w:ind w:left="660"/>
            </w:pPr>
            <w:r>
              <w:rPr>
                <w:rFonts w:hint="eastAsia" w:ascii="Times New Roman Bold" w:hAnsi="Times New Roman Bold" w:eastAsia="Times New Roman Bold" w:cs="Times New Roman Bold"/>
                <w:b/>
                <w:sz w:val="21"/>
              </w:rPr>
              <w:t>2014-12-31</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资产负债率</w:t>
            </w:r>
            <w:r>
              <w:rPr>
                <w:rFonts w:hint="eastAsia" w:ascii="宋体" w:hAnsi="宋体" w:eastAsia="宋体" w:cs="宋体"/>
                <w:sz w:val="20"/>
              </w:rPr>
              <w:t>（</w:t>
            </w:r>
            <w:r>
              <w:rPr>
                <w:rFonts w:hint="eastAsia" w:ascii="宋体" w:hAnsi="宋体" w:eastAsia="宋体" w:cs="宋体"/>
                <w:sz w:val="21"/>
              </w:rPr>
              <w:t>母公司</w:t>
            </w:r>
            <w:r>
              <w:rPr>
                <w:rFonts w:hint="eastAsia" w:ascii="宋体" w:hAnsi="宋体" w:eastAsia="宋体" w:cs="宋体"/>
                <w:sz w:val="20"/>
              </w:rPr>
              <w:t>）</w:t>
            </w:r>
          </w:p>
        </w:tc>
        <w:tc>
          <w:tcPr>
            <w:tcW w:w="232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c>
          <w:tcPr>
            <w:tcW w:w="230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2320" w:type="dxa"/>
            <w:tcMar>
              <w:top w:w="0" w:type="dxa"/>
              <w:left w:w="0" w:type="dxa"/>
              <w:bottom w:w="0" w:type="dxa"/>
              <w:right w:w="0" w:type="dxa"/>
            </w:tcMar>
          </w:tcPr>
          <w:p>
            <w:pPr>
              <w:spacing w:before="160"/>
              <w:ind w:left="156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r>
              <w:rPr>
                <w:rFonts w:hint="eastAsia" w:ascii="Times New Roman" w:hAnsi="Times New Roman" w:eastAsia="Times New Roman" w:cs="Times New Roman"/>
                <w:sz w:val="20"/>
              </w:rPr>
              <w:t>%</w:t>
            </w:r>
          </w:p>
        </w:tc>
      </w:tr>
      <w:tr>
        <w:trPr>
          <w:trHeight w:val="48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流动比率</w:t>
            </w:r>
          </w:p>
        </w:tc>
        <w:tc>
          <w:tcPr>
            <w:tcW w:w="232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230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232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速动比率</w:t>
            </w:r>
          </w:p>
        </w:tc>
        <w:tc>
          <w:tcPr>
            <w:tcW w:w="232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230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2320" w:type="dxa"/>
            <w:tcMar>
              <w:top w:w="0" w:type="dxa"/>
              <w:left w:w="0" w:type="dxa"/>
              <w:bottom w:w="0" w:type="dxa"/>
              <w:right w:w="0" w:type="dxa"/>
            </w:tcMar>
          </w:tcPr>
          <w:p>
            <w:pPr>
              <w:spacing w:before="160"/>
              <w:ind w:left="18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w:t>
            </w:r>
          </w:p>
        </w:tc>
      </w:tr>
      <w:tr>
        <w:trPr>
          <w:trHeight w:val="460" w:hRule="exact"/>
        </w:trPr>
        <w:tc>
          <w:tcPr>
            <w:tcW w:w="2320" w:type="dxa"/>
            <w:tcMar>
              <w:top w:w="0" w:type="dxa"/>
              <w:left w:w="0" w:type="dxa"/>
              <w:bottom w:w="0" w:type="dxa"/>
              <w:right w:w="0" w:type="dxa"/>
            </w:tcMar>
          </w:tcPr>
          <w:p>
            <w:pPr>
              <w:spacing w:before="100"/>
              <w:ind w:left="920"/>
            </w:pPr>
            <w:r>
              <w:rPr>
                <w:rFonts w:hint="eastAsia" w:ascii="宋体" w:hAnsi="宋体" w:eastAsia="宋体" w:cs="宋体"/>
                <w:b/>
                <w:sz w:val="21"/>
              </w:rPr>
              <w:t>指标</w:t>
            </w:r>
          </w:p>
        </w:tc>
        <w:tc>
          <w:tcPr>
            <w:tcW w:w="232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0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40" w:hRule="exact"/>
        </w:trPr>
        <w:tc>
          <w:tcPr>
            <w:tcW w:w="2320" w:type="dxa"/>
            <w:tcMar>
              <w:top w:w="0" w:type="dxa"/>
              <w:left w:w="0" w:type="dxa"/>
              <w:bottom w:w="0" w:type="dxa"/>
              <w:right w:w="0" w:type="dxa"/>
            </w:tcMar>
          </w:tcPr>
          <w:p>
            <w:pPr>
              <w:spacing w:before="40"/>
              <w:ind w:left="100"/>
            </w:pPr>
            <w:r>
              <w:rPr>
                <w:rFonts w:hint="eastAsia" w:ascii="宋体" w:hAnsi="宋体" w:eastAsia="宋体" w:cs="宋体"/>
                <w:sz w:val="21"/>
              </w:rPr>
              <w:t>息税折旧摊销前利润</w:t>
            </w:r>
          </w:p>
          <w:p>
            <w:pPr>
              <w:spacing w:before="80"/>
              <w:ind w:left="100"/>
            </w:pPr>
            <w:r>
              <w:rPr>
                <w:rFonts w:hint="eastAsia" w:ascii="宋体" w:hAnsi="宋体" w:eastAsia="宋体" w:cs="宋体"/>
                <w:sz w:val="20"/>
              </w:rPr>
              <w:t>（</w:t>
            </w:r>
            <w:r>
              <w:rPr>
                <w:rFonts w:hint="eastAsia" w:ascii="宋体" w:hAnsi="宋体" w:eastAsia="宋体" w:cs="宋体"/>
                <w:sz w:val="21"/>
              </w:rPr>
              <w:t>万元</w:t>
            </w:r>
            <w:r>
              <w:rPr>
                <w:rFonts w:hint="eastAsia" w:ascii="宋体" w:hAnsi="宋体" w:eastAsia="宋体" w:cs="宋体"/>
                <w:sz w:val="20"/>
              </w:rPr>
              <w:t>）</w:t>
            </w:r>
          </w:p>
        </w:tc>
        <w:tc>
          <w:tcPr>
            <w:tcW w:w="2320" w:type="dxa"/>
            <w:tcMar>
              <w:top w:w="0" w:type="dxa"/>
              <w:left w:w="0" w:type="dxa"/>
              <w:bottom w:w="0" w:type="dxa"/>
              <w:right w:w="0" w:type="dxa"/>
            </w:tcMar>
          </w:tcPr>
          <w:p>
            <w:pPr>
              <w:spacing w:before="240"/>
              <w:ind w:left="146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2300" w:type="dxa"/>
            <w:tcMar>
              <w:top w:w="0" w:type="dxa"/>
              <w:left w:w="0" w:type="dxa"/>
              <w:bottom w:w="0" w:type="dxa"/>
              <w:right w:w="0" w:type="dxa"/>
            </w:tcMar>
          </w:tcPr>
          <w:p>
            <w:pPr>
              <w:spacing w:before="240"/>
              <w:ind w:left="14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320" w:type="dxa"/>
            <w:tcMar>
              <w:top w:w="0" w:type="dxa"/>
              <w:left w:w="0" w:type="dxa"/>
              <w:bottom w:w="0" w:type="dxa"/>
              <w:right w:w="0" w:type="dxa"/>
            </w:tcMar>
          </w:tcPr>
          <w:p>
            <w:pPr>
              <w:spacing w:before="240"/>
              <w:ind w:left="14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r>
        <w:trPr>
          <w:trHeight w:val="46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利息保障倍数</w:t>
            </w:r>
          </w:p>
        </w:tc>
        <w:tc>
          <w:tcPr>
            <w:tcW w:w="232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00" w:type="dxa"/>
            <w:tcMar>
              <w:top w:w="0" w:type="dxa"/>
              <w:left w:w="0" w:type="dxa"/>
              <w:bottom w:w="0" w:type="dxa"/>
              <w:right w:w="0" w:type="dxa"/>
            </w:tcMar>
          </w:tcPr>
          <w:p>
            <w:pPr>
              <w:spacing w:before="300"/>
              <w:ind w:left="2120"/>
            </w:pPr>
            <w:r>
              <w:rPr>
                <w:rFonts w:hint="eastAsia" w:ascii="Times New Roman" w:hAnsi="Times New Roman" w:eastAsia="Times New Roman" w:cs="Times New Roman"/>
                <w:sz w:val="21"/>
              </w:rPr>
              <w:t>-</w:t>
            </w:r>
          </w:p>
        </w:tc>
        <w:tc>
          <w:tcPr>
            <w:tcW w:w="2320" w:type="dxa"/>
            <w:tcMar>
              <w:top w:w="0" w:type="dxa"/>
              <w:left w:w="0" w:type="dxa"/>
              <w:bottom w:w="0" w:type="dxa"/>
              <w:right w:w="0" w:type="dxa"/>
            </w:tcMar>
          </w:tcPr>
          <w:p>
            <w:pPr>
              <w:spacing w:before="280"/>
              <w:ind w:left="2140"/>
            </w:pPr>
            <w:r>
              <w:rPr>
                <w:rFonts w:hint="eastAsia" w:ascii="Times New Roman Bold" w:hAnsi="Times New Roman Bold" w:eastAsia="Times New Roman Bold" w:cs="Times New Roman Bold"/>
                <w:b/>
                <w:sz w:val="21"/>
              </w:rPr>
              <w:t>-</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公司的各项偿债能力指标均保持良好水平</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公司经营继续保持增长势头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公司资产负债率较</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年末降低</w:t>
      </w:r>
      <w:r>
        <w:rPr>
          <w:rFonts w:hint="eastAsia" w:ascii="Times New Roman" w:hAnsi="Times New Roman" w:eastAsia="Times New Roman" w:cs="Times New Roman"/>
          <w:sz w:val="24"/>
        </w:rPr>
        <w:t xml:space="preserve"> 18.05</w:t>
      </w:r>
      <w:r>
        <w:rPr>
          <w:rFonts w:hint="eastAsia" w:ascii="宋体" w:hAnsi="宋体" w:eastAsia="宋体" w:cs="宋体"/>
          <w:sz w:val="24"/>
        </w:rPr>
        <w:t xml:space="preserve"> 个百分点</w:t>
      </w:r>
      <w:r>
        <w:rPr>
          <w:rFonts w:hint="eastAsia" w:ascii="宋体" w:hAnsi="宋体" w:eastAsia="宋体" w:cs="宋体"/>
          <w:sz w:val="10"/>
        </w:rPr>
        <w:t>，</w:t>
      </w:r>
      <w:r>
        <w:rPr>
          <w:rFonts w:hint="eastAsia" w:ascii="宋体" w:hAnsi="宋体" w:eastAsia="宋体" w:cs="宋体"/>
          <w:sz w:val="24"/>
        </w:rPr>
        <w:t>主要系</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月金石投资增资入股所致</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公司资产负债率较</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年末上升</w:t>
      </w:r>
      <w:r>
        <w:rPr>
          <w:rFonts w:hint="eastAsia" w:ascii="Times New Roman" w:hAnsi="Times New Roman" w:eastAsia="Times New Roman" w:cs="Times New Roman"/>
          <w:sz w:val="24"/>
        </w:rPr>
        <w:t xml:space="preserve"> 0.52</w:t>
      </w:r>
      <w:r>
        <w:rPr>
          <w:rFonts w:hint="eastAsia" w:ascii="宋体" w:hAnsi="宋体" w:eastAsia="宋体" w:cs="宋体"/>
          <w:sz w:val="24"/>
        </w:rPr>
        <w:t xml:space="preserve"> 个百分点</w:t>
      </w:r>
      <w:r>
        <w:rPr>
          <w:rFonts w:hint="eastAsia" w:ascii="宋体" w:hAnsi="宋体" w:eastAsia="宋体" w:cs="宋体"/>
          <w:sz w:val="10"/>
        </w:rPr>
        <w:t>，</w:t>
      </w:r>
      <w:r>
        <w:rPr>
          <w:rFonts w:hint="eastAsia" w:ascii="宋体" w:hAnsi="宋体" w:eastAsia="宋体" w:cs="宋体"/>
          <w:sz w:val="24"/>
        </w:rPr>
        <w:t>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年末相比基本保持稳定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公司流动比率由</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年末的</w:t>
      </w:r>
      <w:r>
        <w:rPr>
          <w:rFonts w:hint="eastAsia" w:ascii="Times New Roman" w:hAnsi="Times New Roman" w:eastAsia="Times New Roman" w:cs="Times New Roman"/>
          <w:sz w:val="24"/>
        </w:rPr>
        <w:t xml:space="preserve"> 2.43</w:t>
      </w:r>
      <w:r>
        <w:rPr>
          <w:rFonts w:hint="eastAsia" w:ascii="宋体" w:hAnsi="宋体" w:eastAsia="宋体" w:cs="宋体"/>
          <w:sz w:val="24"/>
        </w:rPr>
        <w:t xml:space="preserve"> 上升至</w:t>
      </w:r>
      <w:r>
        <w:rPr>
          <w:rFonts w:hint="eastAsia" w:ascii="Times New Roman" w:hAnsi="Times New Roman" w:eastAsia="Times New Roman" w:cs="Times New Roman"/>
          <w:sz w:val="24"/>
        </w:rPr>
        <w:t xml:space="preserve"> 3.71</w:t>
      </w:r>
      <w:r>
        <w:rPr>
          <w:rFonts w:hint="eastAsia" w:ascii="宋体" w:hAnsi="宋体" w:eastAsia="宋体" w:cs="宋体"/>
          <w:sz w:val="10"/>
        </w:rPr>
        <w:t>，</w:t>
      </w:r>
      <w:r>
        <w:rPr>
          <w:rFonts w:hint="eastAsia" w:ascii="宋体" w:hAnsi="宋体" w:eastAsia="宋体" w:cs="宋体"/>
          <w:sz w:val="24"/>
        </w:rPr>
        <w:t>速动比率由</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年末的</w:t>
      </w:r>
      <w:r>
        <w:rPr>
          <w:rFonts w:hint="eastAsia" w:ascii="Times New Roman" w:hAnsi="Times New Roman" w:eastAsia="Times New Roman" w:cs="Times New Roman"/>
          <w:sz w:val="24"/>
        </w:rPr>
        <w:t>2.22</w:t>
      </w:r>
      <w:r>
        <w:rPr>
          <w:rFonts w:hint="eastAsia" w:ascii="宋体" w:hAnsi="宋体" w:eastAsia="宋体" w:cs="宋体"/>
          <w:sz w:val="24"/>
        </w:rPr>
        <w:t xml:space="preserve"> 上升至</w:t>
      </w:r>
      <w:r>
        <w:rPr>
          <w:rFonts w:hint="eastAsia" w:ascii="Times New Roman" w:hAnsi="Times New Roman" w:eastAsia="Times New Roman" w:cs="Times New Roman"/>
          <w:sz w:val="24"/>
        </w:rPr>
        <w:t xml:space="preserve"> 3.50</w:t>
      </w:r>
      <w:r>
        <w:rPr>
          <w:rFonts w:hint="eastAsia" w:ascii="宋体" w:hAnsi="宋体" w:eastAsia="宋体" w:cs="宋体"/>
          <w:sz w:val="10"/>
        </w:rPr>
        <w:t>，</w:t>
      </w:r>
      <w:r>
        <w:rPr>
          <w:rFonts w:hint="eastAsia" w:ascii="宋体" w:hAnsi="宋体" w:eastAsia="宋体" w:cs="宋体"/>
          <w:sz w:val="24"/>
        </w:rPr>
        <w:t>主要原因系</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月金石投资增资入股导致的流动资产增加幅度高于流动负债增加幅度所致</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公司流动比率与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年末的</w:t>
      </w:r>
      <w:r>
        <w:rPr>
          <w:rFonts w:hint="eastAsia" w:ascii="Times New Roman" w:hAnsi="Times New Roman" w:eastAsia="Times New Roman" w:cs="Times New Roman"/>
          <w:sz w:val="24"/>
        </w:rPr>
        <w:t xml:space="preserve"> 3.71</w:t>
      </w:r>
      <w:r>
        <w:rPr>
          <w:rFonts w:hint="eastAsia" w:ascii="宋体" w:hAnsi="宋体" w:eastAsia="宋体" w:cs="宋体"/>
          <w:sz w:val="24"/>
        </w:rPr>
        <w:t xml:space="preserve"> 相比未发生明显变化</w:t>
      </w:r>
      <w:r>
        <w:rPr>
          <w:rFonts w:hint="eastAsia" w:ascii="宋体" w:hAnsi="宋体" w:eastAsia="宋体" w:cs="宋体"/>
          <w:sz w:val="10"/>
        </w:rPr>
        <w:t>，</w:t>
      </w:r>
      <w:r>
        <w:rPr>
          <w:rFonts w:hint="eastAsia" w:ascii="宋体" w:hAnsi="宋体" w:eastAsia="宋体" w:cs="宋体"/>
          <w:sz w:val="24"/>
        </w:rPr>
        <w:t>速动比率由</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年末的</w:t>
      </w:r>
      <w:r>
        <w:rPr>
          <w:rFonts w:hint="eastAsia" w:ascii="Times New Roman" w:hAnsi="Times New Roman" w:eastAsia="Times New Roman" w:cs="Times New Roman"/>
          <w:sz w:val="24"/>
        </w:rPr>
        <w:t xml:space="preserve"> 3.50</w:t>
      </w:r>
      <w:r>
        <w:rPr>
          <w:rFonts w:hint="eastAsia" w:ascii="宋体" w:hAnsi="宋体" w:eastAsia="宋体" w:cs="宋体"/>
          <w:sz w:val="24"/>
        </w:rPr>
        <w:t xml:space="preserve"> 下降至</w:t>
      </w:r>
      <w:r>
        <w:rPr>
          <w:rFonts w:hint="eastAsia" w:ascii="Times New Roman" w:hAnsi="Times New Roman" w:eastAsia="Times New Roman" w:cs="Times New Roman"/>
          <w:sz w:val="24"/>
        </w:rPr>
        <w:t xml:space="preserve"> 3.47</w:t>
      </w:r>
      <w:r>
        <w:rPr>
          <w:rFonts w:hint="eastAsia" w:ascii="宋体" w:hAnsi="宋体" w:eastAsia="宋体" w:cs="宋体"/>
          <w:sz w:val="10"/>
        </w:rPr>
        <w:t>，</w:t>
      </w:r>
      <w:r>
        <w:rPr>
          <w:rFonts w:hint="eastAsia" w:ascii="宋体" w:hAnsi="宋体" w:eastAsia="宋体" w:cs="宋体"/>
          <w:sz w:val="24"/>
        </w:rPr>
        <w:t>公司整体偿债能力保持稳定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公司</w:t>
      </w:r>
      <w:r>
        <w:rPr>
          <w:rFonts w:hint="eastAsia" w:ascii="Times New Roman" w:hAnsi="Times New Roman" w:eastAsia="Times New Roman" w:cs="Times New Roman"/>
          <w:sz w:val="24"/>
        </w:rPr>
        <w:t>2014</w:t>
      </w:r>
      <w:r>
        <w:rPr>
          <w:rFonts w:hint="eastAsia" w:ascii="宋体" w:hAnsi="宋体" w:eastAsia="宋体" w:cs="宋体"/>
          <w:sz w:val="24"/>
        </w:rPr>
        <w:t>年至</w:t>
      </w:r>
      <w:r>
        <w:rPr>
          <w:rFonts w:hint="eastAsia" w:ascii="Times New Roman" w:hAnsi="Times New Roman" w:eastAsia="Times New Roman" w:cs="Times New Roman"/>
          <w:sz w:val="24"/>
        </w:rPr>
        <w:t>2016</w:t>
      </w:r>
      <w:r>
        <w:rPr>
          <w:rFonts w:hint="eastAsia" w:ascii="宋体" w:hAnsi="宋体" w:eastAsia="宋体" w:cs="宋体"/>
          <w:sz w:val="24"/>
        </w:rPr>
        <w:t>年息税折旧摊销前利润逐年上升</w:t>
      </w:r>
      <w:r>
        <w:rPr>
          <w:rFonts w:hint="eastAsia" w:ascii="宋体" w:hAnsi="宋体" w:eastAsia="宋体" w:cs="宋体"/>
          <w:sz w:val="10"/>
        </w:rPr>
        <w:t>，</w:t>
      </w:r>
      <w:r>
        <w:rPr>
          <w:rFonts w:hint="eastAsia" w:ascii="宋体" w:hAnsi="宋体" w:eastAsia="宋体" w:cs="宋体"/>
          <w:sz w:val="24"/>
        </w:rPr>
        <w:t>年均复合增长率达到</w:t>
      </w:r>
      <w:r>
        <w:rPr>
          <w:rFonts w:hint="eastAsia" w:ascii="Times New Roman" w:hAnsi="Times New Roman" w:eastAsia="Times New Roman" w:cs="Times New Roman"/>
          <w:sz w:val="24"/>
        </w:rPr>
        <w:t>22.68%</w:t>
      </w:r>
      <w:r>
        <w:rPr>
          <w:rFonts w:hint="eastAsia" w:ascii="宋体" w:hAnsi="宋体" w:eastAsia="宋体" w:cs="宋体"/>
          <w:sz w:val="10"/>
        </w:rPr>
        <w:t>，</w:t>
      </w:r>
      <w:r>
        <w:rPr>
          <w:rFonts w:hint="eastAsia" w:ascii="宋体" w:hAnsi="宋体" w:eastAsia="宋体" w:cs="宋体"/>
          <w:sz w:val="24"/>
        </w:rPr>
        <w:t>公司主营业务的盈利能力较强</w:t>
      </w:r>
      <w:r>
        <w:rPr>
          <w:rFonts w:hint="eastAsia" w:ascii="宋体" w:hAnsi="宋体" w:eastAsia="宋体" w:cs="宋体"/>
          <w:sz w:val="10"/>
        </w:rPr>
        <w:t>，</w:t>
      </w:r>
      <w:r>
        <w:rPr>
          <w:rFonts w:hint="eastAsia" w:ascii="宋体" w:hAnsi="宋体" w:eastAsia="宋体" w:cs="宋体"/>
          <w:sz w:val="24"/>
        </w:rPr>
        <w:t>具有较好的发展前景</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报告期内公司不存在利息费用</w:t>
      </w:r>
      <w:r>
        <w:rPr>
          <w:rFonts w:hint="eastAsia" w:ascii="宋体" w:hAnsi="宋体" w:eastAsia="宋体" w:cs="宋体"/>
          <w:sz w:val="10"/>
        </w:rPr>
        <w:t>，</w:t>
      </w:r>
      <w:r>
        <w:rPr>
          <w:rFonts w:hint="eastAsia" w:ascii="宋体" w:hAnsi="宋体" w:eastAsia="宋体" w:cs="宋体"/>
          <w:sz w:val="24"/>
        </w:rPr>
        <w:t>因此无需计算利息保障倍数</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（四）资产周转能力分析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公司主要资产周转能力指标如下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520"/>
        <w:gridCol w:w="2240"/>
        <w:gridCol w:w="2260"/>
        <w:gridCol w:w="2240"/>
      </w:tblGrid>
      <w:tr>
        <w:trPr>
          <w:trHeight w:val="480" w:hRule="exact"/>
        </w:trPr>
        <w:tc>
          <w:tcPr>
            <w:tcW w:w="2520" w:type="dxa"/>
            <w:tcMar>
              <w:top w:w="0" w:type="dxa"/>
              <w:left w:w="0" w:type="dxa"/>
              <w:bottom w:w="0" w:type="dxa"/>
              <w:right w:w="0" w:type="dxa"/>
            </w:tcMar>
          </w:tcPr>
          <w:p>
            <w:pPr>
              <w:spacing w:before="120"/>
              <w:ind w:left="1020"/>
            </w:pPr>
            <w:r>
              <w:rPr>
                <w:rFonts w:hint="eastAsia" w:ascii="宋体" w:hAnsi="宋体" w:eastAsia="宋体" w:cs="宋体"/>
                <w:b/>
                <w:sz w:val="21"/>
              </w:rPr>
              <w:t>指标</w:t>
            </w:r>
          </w:p>
        </w:tc>
        <w:tc>
          <w:tcPr>
            <w:tcW w:w="2240" w:type="dxa"/>
            <w:tcMar>
              <w:top w:w="0" w:type="dxa"/>
              <w:left w:w="0" w:type="dxa"/>
              <w:bottom w:w="0" w:type="dxa"/>
              <w:right w:w="0" w:type="dxa"/>
            </w:tcMar>
          </w:tcPr>
          <w:p>
            <w:pPr>
              <w:spacing w:before="120"/>
              <w:ind w:left="66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260" w:type="dxa"/>
            <w:tcMar>
              <w:top w:w="0" w:type="dxa"/>
              <w:left w:w="0" w:type="dxa"/>
              <w:bottom w:w="0" w:type="dxa"/>
              <w:right w:w="0" w:type="dxa"/>
            </w:tcMar>
          </w:tcPr>
          <w:p>
            <w:pPr>
              <w:spacing w:before="120"/>
              <w:ind w:left="6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240" w:type="dxa"/>
            <w:tcMar>
              <w:top w:w="0" w:type="dxa"/>
              <w:left w:w="0" w:type="dxa"/>
              <w:bottom w:w="0" w:type="dxa"/>
              <w:right w:w="0" w:type="dxa"/>
            </w:tcMar>
          </w:tcPr>
          <w:p>
            <w:pPr>
              <w:spacing w:before="120"/>
              <w:ind w:left="6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2520" w:type="dxa"/>
            <w:tcMar>
              <w:top w:w="0" w:type="dxa"/>
              <w:left w:w="0" w:type="dxa"/>
              <w:bottom w:w="0" w:type="dxa"/>
              <w:right w:w="0" w:type="dxa"/>
            </w:tcMar>
          </w:tcPr>
          <w:p>
            <w:pPr>
              <w:spacing w:before="120"/>
              <w:ind w:left="100"/>
            </w:pPr>
            <w:r>
              <w:rPr>
                <w:rFonts w:hint="eastAsia" w:ascii="宋体" w:hAnsi="宋体" w:eastAsia="宋体" w:cs="宋体"/>
                <w:sz w:val="21"/>
              </w:rPr>
              <w:t>应收账款周转率</w:t>
            </w:r>
            <w:r>
              <w:rPr>
                <w:rFonts w:hint="eastAsia" w:ascii="宋体" w:hAnsi="宋体" w:eastAsia="宋体" w:cs="宋体"/>
                <w:sz w:val="20"/>
              </w:rPr>
              <w:t>（</w:t>
            </w:r>
            <w:r>
              <w:rPr>
                <w:rFonts w:hint="eastAsia" w:ascii="宋体" w:hAnsi="宋体" w:eastAsia="宋体" w:cs="宋体"/>
                <w:sz w:val="21"/>
              </w:rPr>
              <w:t>次</w:t>
            </w:r>
            <w:r>
              <w:rPr>
                <w:rFonts w:hint="eastAsia" w:ascii="Times New Roman" w:hAnsi="Times New Roman" w:eastAsia="Times New Roman" w:cs="Times New Roman"/>
                <w:sz w:val="21"/>
              </w:rPr>
              <w:t>/</w:t>
            </w:r>
            <w:r>
              <w:rPr>
                <w:rFonts w:hint="eastAsia" w:ascii="宋体" w:hAnsi="宋体" w:eastAsia="宋体" w:cs="宋体"/>
                <w:sz w:val="21"/>
              </w:rPr>
              <w:t>年</w:t>
            </w:r>
            <w:r>
              <w:rPr>
                <w:rFonts w:hint="eastAsia" w:ascii="宋体" w:hAnsi="宋体" w:eastAsia="宋体" w:cs="宋体"/>
                <w:sz w:val="20"/>
              </w:rPr>
              <w:t>）</w:t>
            </w:r>
          </w:p>
        </w:tc>
        <w:tc>
          <w:tcPr>
            <w:tcW w:w="2240" w:type="dxa"/>
            <w:tcMar>
              <w:top w:w="0" w:type="dxa"/>
              <w:left w:w="0" w:type="dxa"/>
              <w:bottom w:w="0" w:type="dxa"/>
              <w:right w:w="0" w:type="dxa"/>
            </w:tcMar>
          </w:tcPr>
          <w:p>
            <w:pPr>
              <w:spacing w:before="160"/>
              <w:ind w:left="17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2260" w:type="dxa"/>
            <w:tcMar>
              <w:top w:w="0" w:type="dxa"/>
              <w:left w:w="0" w:type="dxa"/>
              <w:bottom w:w="0" w:type="dxa"/>
              <w:right w:w="0" w:type="dxa"/>
            </w:tcMar>
          </w:tcPr>
          <w:p>
            <w:pPr>
              <w:spacing w:before="160"/>
              <w:ind w:left="176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2240" w:type="dxa"/>
            <w:tcMar>
              <w:top w:w="0" w:type="dxa"/>
              <w:left w:w="0" w:type="dxa"/>
              <w:bottom w:w="0" w:type="dxa"/>
              <w:right w:w="0" w:type="dxa"/>
            </w:tcMar>
          </w:tcPr>
          <w:p>
            <w:pPr>
              <w:spacing w:before="160"/>
              <w:ind w:left="17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r>
      <w:tr>
        <w:trPr>
          <w:trHeight w:val="460" w:hRule="exact"/>
        </w:trPr>
        <w:tc>
          <w:tcPr>
            <w:tcW w:w="2520" w:type="dxa"/>
            <w:tcMar>
              <w:top w:w="0" w:type="dxa"/>
              <w:left w:w="0" w:type="dxa"/>
              <w:bottom w:w="0" w:type="dxa"/>
              <w:right w:w="0" w:type="dxa"/>
            </w:tcMar>
          </w:tcPr>
          <w:p>
            <w:pPr>
              <w:spacing w:before="100"/>
              <w:ind w:left="100"/>
            </w:pPr>
            <w:r>
              <w:rPr>
                <w:rFonts w:hint="eastAsia" w:ascii="宋体" w:hAnsi="宋体" w:eastAsia="宋体" w:cs="宋体"/>
                <w:sz w:val="21"/>
              </w:rPr>
              <w:t>存货周转率</w:t>
            </w:r>
            <w:r>
              <w:rPr>
                <w:rFonts w:hint="eastAsia" w:ascii="宋体" w:hAnsi="宋体" w:eastAsia="宋体" w:cs="宋体"/>
                <w:sz w:val="20"/>
              </w:rPr>
              <w:t>（</w:t>
            </w:r>
            <w:r>
              <w:rPr>
                <w:rFonts w:hint="eastAsia" w:ascii="宋体" w:hAnsi="宋体" w:eastAsia="宋体" w:cs="宋体"/>
                <w:sz w:val="21"/>
              </w:rPr>
              <w:t>次</w:t>
            </w:r>
            <w:r>
              <w:rPr>
                <w:rFonts w:hint="eastAsia" w:ascii="Times New Roman" w:hAnsi="Times New Roman" w:eastAsia="Times New Roman" w:cs="Times New Roman"/>
                <w:sz w:val="21"/>
              </w:rPr>
              <w:t>/</w:t>
            </w:r>
            <w:r>
              <w:rPr>
                <w:rFonts w:hint="eastAsia" w:ascii="宋体" w:hAnsi="宋体" w:eastAsia="宋体" w:cs="宋体"/>
                <w:sz w:val="21"/>
              </w:rPr>
              <w:t>年</w:t>
            </w:r>
            <w:r>
              <w:rPr>
                <w:rFonts w:hint="eastAsia" w:ascii="宋体" w:hAnsi="宋体" w:eastAsia="宋体" w:cs="宋体"/>
                <w:sz w:val="20"/>
              </w:rPr>
              <w:t>）</w:t>
            </w:r>
          </w:p>
        </w:tc>
        <w:tc>
          <w:tcPr>
            <w:tcW w:w="2240" w:type="dxa"/>
            <w:tcMar>
              <w:top w:w="0" w:type="dxa"/>
              <w:left w:w="0" w:type="dxa"/>
              <w:bottom w:w="0" w:type="dxa"/>
              <w:right w:w="0" w:type="dxa"/>
            </w:tcMar>
          </w:tcPr>
          <w:p>
            <w:pPr>
              <w:spacing w:before="160"/>
              <w:ind w:left="17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2260" w:type="dxa"/>
            <w:tcMar>
              <w:top w:w="0" w:type="dxa"/>
              <w:left w:w="0" w:type="dxa"/>
              <w:bottom w:w="0" w:type="dxa"/>
              <w:right w:w="0" w:type="dxa"/>
            </w:tcMar>
          </w:tcPr>
          <w:p>
            <w:pPr>
              <w:spacing w:before="160"/>
              <w:ind w:left="17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p>
        </w:tc>
        <w:tc>
          <w:tcPr>
            <w:tcW w:w="2240" w:type="dxa"/>
            <w:tcMar>
              <w:top w:w="0" w:type="dxa"/>
              <w:left w:w="0" w:type="dxa"/>
              <w:bottom w:w="0" w:type="dxa"/>
              <w:right w:w="0" w:type="dxa"/>
            </w:tcMar>
          </w:tcPr>
          <w:p>
            <w:pPr>
              <w:spacing w:before="160"/>
              <w:ind w:left="17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1-1-268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应收账款周转率</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6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公司应收账款周转率呈现上升趋势</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年应收账款周转率为</w:t>
      </w:r>
      <w:r>
        <w:rPr>
          <w:rFonts w:hint="eastAsia" w:ascii="Times New Roman" w:hAnsi="Times New Roman" w:eastAsia="Times New Roman" w:cs="Times New Roman"/>
          <w:sz w:val="24"/>
        </w:rPr>
        <w:t xml:space="preserve"> 8.29</w:t>
      </w:r>
      <w:r>
        <w:rPr>
          <w:rFonts w:hint="eastAsia" w:ascii="宋体" w:hAnsi="宋体" w:eastAsia="宋体" w:cs="宋体"/>
          <w:sz w:val="10"/>
        </w:rPr>
        <w:t>，</w:t>
      </w:r>
      <w:r>
        <w:rPr>
          <w:rFonts w:hint="eastAsia" w:ascii="宋体" w:hAnsi="宋体" w:eastAsia="宋体" w:cs="宋体"/>
          <w:sz w:val="24"/>
        </w:rPr>
        <w:t>较</w:t>
      </w:r>
      <w:r>
        <w:rPr>
          <w:rFonts w:hint="eastAsia" w:ascii="Times New Roman" w:hAnsi="Times New Roman" w:eastAsia="Times New Roman" w:cs="Times New Roman"/>
          <w:sz w:val="24"/>
        </w:rPr>
        <w:t>2014</w:t>
      </w:r>
      <w:r>
        <w:rPr>
          <w:rFonts w:hint="eastAsia" w:ascii="宋体" w:hAnsi="宋体" w:eastAsia="宋体" w:cs="宋体"/>
          <w:sz w:val="24"/>
        </w:rPr>
        <w:t xml:space="preserve"> 年上升</w:t>
      </w:r>
      <w:r>
        <w:rPr>
          <w:rFonts w:hint="eastAsia" w:ascii="Times New Roman" w:hAnsi="Times New Roman" w:eastAsia="Times New Roman" w:cs="Times New Roman"/>
          <w:sz w:val="24"/>
        </w:rPr>
        <w:t xml:space="preserve"> 0.65</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年应收账款周转率为</w:t>
      </w:r>
      <w:r>
        <w:rPr>
          <w:rFonts w:hint="eastAsia" w:ascii="Times New Roman" w:hAnsi="Times New Roman" w:eastAsia="Times New Roman" w:cs="Times New Roman"/>
          <w:sz w:val="24"/>
        </w:rPr>
        <w:t xml:space="preserve"> 9.69</w:t>
      </w:r>
      <w:r>
        <w:rPr>
          <w:rFonts w:hint="eastAsia" w:ascii="宋体" w:hAnsi="宋体" w:eastAsia="宋体" w:cs="宋体"/>
          <w:sz w:val="10"/>
        </w:rPr>
        <w:t>，</w:t>
      </w:r>
      <w:r>
        <w:rPr>
          <w:rFonts w:hint="eastAsia" w:ascii="宋体" w:hAnsi="宋体" w:eastAsia="宋体" w:cs="宋体"/>
          <w:sz w:val="24"/>
        </w:rPr>
        <w:t>较</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年上升</w:t>
      </w:r>
      <w:r>
        <w:rPr>
          <w:rFonts w:hint="eastAsia" w:ascii="Times New Roman" w:hAnsi="Times New Roman" w:eastAsia="Times New Roman" w:cs="Times New Roman"/>
          <w:sz w:val="24"/>
        </w:rPr>
        <w:t xml:space="preserve"> 1.40</w:t>
      </w:r>
      <w:r>
        <w:rPr>
          <w:rFonts w:hint="eastAsia" w:ascii="宋体" w:hAnsi="宋体" w:eastAsia="宋体" w:cs="宋体"/>
          <w:sz w:val="10"/>
        </w:rPr>
        <w:t>，</w:t>
      </w:r>
      <w:r>
        <w:rPr>
          <w:rFonts w:hint="eastAsia" w:ascii="宋体" w:hAnsi="宋体" w:eastAsia="宋体" w:cs="宋体"/>
          <w:sz w:val="24"/>
        </w:rPr>
        <w:t>主要是由于公司加强了应收账款的管理</w:t>
      </w:r>
      <w:r>
        <w:rPr>
          <w:rFonts w:hint="eastAsia" w:ascii="宋体" w:hAnsi="宋体" w:eastAsia="宋体" w:cs="宋体"/>
          <w:sz w:val="10"/>
        </w:rPr>
        <w:t>，</w:t>
      </w:r>
      <w:r>
        <w:rPr>
          <w:rFonts w:hint="eastAsia" w:ascii="宋体" w:hAnsi="宋体" w:eastAsia="宋体" w:cs="宋体"/>
          <w:sz w:val="24"/>
        </w:rPr>
        <w:t>应收账款回款加快所致</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存货周转率</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公司存货周转率呈现下降趋势</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年存货周转率较</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年下降</w:t>
      </w:r>
      <w:r>
        <w:rPr>
          <w:rFonts w:hint="eastAsia" w:ascii="Times New Roman" w:hAnsi="Times New Roman" w:eastAsia="Times New Roman" w:cs="Times New Roman"/>
          <w:sz w:val="24"/>
        </w:rPr>
        <w:t xml:space="preserve"> 0.08</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年存货周转率较</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年下降</w:t>
      </w:r>
      <w:r>
        <w:rPr>
          <w:rFonts w:hint="eastAsia" w:ascii="Times New Roman" w:hAnsi="Times New Roman" w:eastAsia="Times New Roman" w:cs="Times New Roman"/>
          <w:sz w:val="24"/>
        </w:rPr>
        <w:t xml:space="preserve"> 0.56</w:t>
      </w:r>
      <w:r>
        <w:rPr>
          <w:rFonts w:hint="eastAsia" w:ascii="宋体" w:hAnsi="宋体" w:eastAsia="宋体" w:cs="宋体"/>
          <w:sz w:val="10"/>
        </w:rPr>
        <w:t>，</w:t>
      </w:r>
      <w:r>
        <w:rPr>
          <w:rFonts w:hint="eastAsia" w:ascii="宋体" w:hAnsi="宋体" w:eastAsia="宋体" w:cs="宋体"/>
          <w:sz w:val="24"/>
        </w:rPr>
        <w:t>主要受公司系统集成业务成本占比的影响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公司经营状况良好</w:t>
      </w:r>
      <w:r>
        <w:rPr>
          <w:rFonts w:hint="eastAsia" w:ascii="宋体" w:hAnsi="宋体" w:eastAsia="宋体" w:cs="宋体"/>
          <w:sz w:val="10"/>
        </w:rPr>
        <w:t>，</w:t>
      </w:r>
      <w:r>
        <w:rPr>
          <w:rFonts w:hint="eastAsia" w:ascii="宋体" w:hAnsi="宋体" w:eastAsia="宋体" w:cs="宋体"/>
          <w:sz w:val="24"/>
        </w:rPr>
        <w:t>营业收入增长迅速</w:t>
      </w:r>
      <w:r>
        <w:rPr>
          <w:rFonts w:hint="eastAsia" w:ascii="宋体" w:hAnsi="宋体" w:eastAsia="宋体" w:cs="宋体"/>
          <w:sz w:val="10"/>
        </w:rPr>
        <w:t>，</w:t>
      </w:r>
      <w:r>
        <w:rPr>
          <w:rFonts w:hint="eastAsia" w:ascii="宋体" w:hAnsi="宋体" w:eastAsia="宋体" w:cs="宋体"/>
          <w:sz w:val="24"/>
        </w:rPr>
        <w:t>应收账款周转率</w:t>
      </w:r>
      <w:r>
        <w:rPr>
          <w:rFonts w:hint="eastAsia" w:ascii="宋体" w:hAnsi="宋体" w:eastAsia="宋体" w:cs="宋体"/>
          <w:sz w:val="10"/>
        </w:rPr>
        <w:t>、</w:t>
      </w:r>
      <w:r>
        <w:rPr>
          <w:rFonts w:hint="eastAsia" w:ascii="宋体" w:hAnsi="宋体" w:eastAsia="宋体" w:cs="宋体"/>
          <w:sz w:val="24"/>
        </w:rPr>
        <w:t>存货周转率较好</w:t>
      </w:r>
      <w:r>
        <w:rPr>
          <w:rFonts w:hint="eastAsia" w:ascii="宋体" w:hAnsi="宋体" w:eastAsia="宋体" w:cs="宋体"/>
          <w:sz w:val="10"/>
        </w:rPr>
        <w:t>，</w:t>
      </w:r>
      <w:r>
        <w:rPr>
          <w:rFonts w:hint="eastAsia" w:ascii="宋体" w:hAnsi="宋体" w:eastAsia="宋体" w:cs="宋体"/>
          <w:sz w:val="24"/>
        </w:rPr>
        <w:t>反映出公司具有较强的资产管理能力和较高的资产运营效率</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24"/>
        </w:rPr>
        <w:t>二、</w:t>
      </w:r>
      <w:r>
        <w:rPr>
          <w:rFonts w:hint="eastAsia" w:ascii="ºÚÌå" w:hAnsi="ºÚÌå" w:eastAsia="ºÚÌå" w:cs="ºÚÌå"/>
          <w:sz w:val="30"/>
        </w:rPr>
        <w:t>盈利能力分析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受益于我国金融行业信息化业务的快速发展</w:t>
      </w:r>
      <w:r>
        <w:rPr>
          <w:rFonts w:hint="eastAsia" w:ascii="宋体" w:hAnsi="宋体" w:eastAsia="宋体" w:cs="宋体"/>
          <w:sz w:val="10"/>
        </w:rPr>
        <w:t>，</w:t>
      </w:r>
      <w:r>
        <w:rPr>
          <w:rFonts w:hint="eastAsia" w:ascii="宋体" w:hAnsi="宋体" w:eastAsia="宋体" w:cs="宋体"/>
          <w:sz w:val="24"/>
        </w:rPr>
        <w:t>公司营业收入和净利润保持了持续</w:t>
      </w:r>
      <w:r>
        <w:rPr>
          <w:rFonts w:hint="eastAsia" w:ascii="宋体" w:hAnsi="宋体" w:eastAsia="宋体" w:cs="宋体"/>
          <w:sz w:val="10"/>
        </w:rPr>
        <w:t>、</w:t>
      </w:r>
      <w:r>
        <w:rPr>
          <w:rFonts w:hint="eastAsia" w:ascii="宋体" w:hAnsi="宋体" w:eastAsia="宋体" w:cs="宋体"/>
          <w:sz w:val="24"/>
        </w:rPr>
        <w:t>较快增长</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本公司实现营业收入分别为</w:t>
      </w:r>
      <w:r>
        <w:rPr>
          <w:rFonts w:hint="eastAsia" w:ascii="Times New Roman" w:hAnsi="Times New Roman" w:eastAsia="Times New Roman" w:cs="Times New Roman"/>
          <w:sz w:val="24"/>
        </w:rPr>
        <w:t>162,543,466.75</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195,122,487.38</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204,692,488.71</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年度营业收入分别较上年增长了</w:t>
      </w:r>
      <w:r>
        <w:rPr>
          <w:rFonts w:hint="eastAsia" w:ascii="Times New Roman" w:hAnsi="Times New Roman" w:eastAsia="Times New Roman" w:cs="Times New Roman"/>
          <w:sz w:val="24"/>
        </w:rPr>
        <w:t xml:space="preserve"> 20.04%</w:t>
      </w:r>
      <w:r>
        <w:rPr>
          <w:rFonts w:hint="eastAsia" w:ascii="宋体" w:hAnsi="宋体" w:eastAsia="宋体" w:cs="宋体"/>
          <w:sz w:val="24"/>
        </w:rPr>
        <w:t>和</w:t>
      </w:r>
      <w:r>
        <w:rPr>
          <w:rFonts w:hint="eastAsia" w:ascii="Times New Roman" w:hAnsi="Times New Roman" w:eastAsia="Times New Roman" w:cs="Times New Roman"/>
          <w:sz w:val="24"/>
        </w:rPr>
        <w:t xml:space="preserve"> 4.90%</w:t>
      </w:r>
      <w:r>
        <w:rPr>
          <w:rFonts w:hint="eastAsia" w:ascii="宋体" w:hAnsi="宋体" w:eastAsia="宋体" w:cs="宋体"/>
          <w:sz w:val="12"/>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本公司实现净利润（归属于母公司）分别为</w:t>
      </w:r>
      <w:r>
        <w:rPr>
          <w:rFonts w:hint="eastAsia" w:ascii="Times New Roman" w:hAnsi="Times New Roman" w:eastAsia="Times New Roman" w:cs="Times New Roman"/>
          <w:sz w:val="24"/>
        </w:rPr>
        <w:t xml:space="preserve"> 48,479,242.86</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83,880,853.37</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70,481,586.16</w:t>
      </w:r>
      <w:r>
        <w:rPr>
          <w:rFonts w:hint="eastAsia" w:ascii="宋体" w:hAnsi="宋体" w:eastAsia="宋体" w:cs="宋体"/>
          <w:sz w:val="24"/>
        </w:rPr>
        <w:t>元</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年度较上年分别增长了</w:t>
      </w:r>
      <w:r>
        <w:rPr>
          <w:rFonts w:hint="eastAsia" w:ascii="Times New Roman" w:hAnsi="Times New Roman" w:eastAsia="Times New Roman" w:cs="Times New Roman"/>
          <w:sz w:val="24"/>
        </w:rPr>
        <w:t xml:space="preserve"> 73.02%</w:t>
      </w:r>
      <w:r>
        <w:rPr>
          <w:rFonts w:hint="eastAsia" w:ascii="宋体" w:hAnsi="宋体" w:eastAsia="宋体" w:cs="宋体"/>
          <w:sz w:val="24"/>
        </w:rPr>
        <w:t>和</w:t>
      </w:r>
      <w:r>
        <w:rPr>
          <w:rFonts w:hint="eastAsia" w:ascii="Times New Roman" w:hAnsi="Times New Roman" w:eastAsia="Times New Roman" w:cs="Times New Roman"/>
          <w:sz w:val="24"/>
        </w:rPr>
        <w:t>-15.97%</w:t>
      </w:r>
      <w:r>
        <w:rPr>
          <w:rFonts w:hint="eastAsia" w:ascii="宋体" w:hAnsi="宋体" w:eastAsia="宋体" w:cs="宋体"/>
          <w:sz w:val="10"/>
        </w:rPr>
        <w:t>，</w:t>
      </w:r>
      <w:r>
        <w:rPr>
          <w:rFonts w:hint="eastAsia" w:ascii="宋体" w:hAnsi="宋体" w:eastAsia="宋体" w:cs="宋体"/>
          <w:sz w:val="24"/>
        </w:rPr>
        <w:t>报告期内本公司扣除非经常性损益后净利润（归属于母公司所有者）分别为</w:t>
      </w:r>
      <w:r>
        <w:rPr>
          <w:rFonts w:hint="eastAsia" w:ascii="Times New Roman" w:hAnsi="Times New Roman" w:eastAsia="Times New Roman" w:cs="Times New Roman"/>
          <w:sz w:val="24"/>
        </w:rPr>
        <w:t xml:space="preserve"> 47,573,488.47</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68,164,823.02</w:t>
      </w:r>
      <w:r>
        <w:rPr>
          <w:rFonts w:hint="eastAsia" w:ascii="宋体" w:hAnsi="宋体" w:eastAsia="宋体" w:cs="宋体"/>
          <w:sz w:val="24"/>
        </w:rPr>
        <w:t>元和</w:t>
      </w:r>
      <w:r>
        <w:rPr>
          <w:rFonts w:hint="eastAsia" w:ascii="Times New Roman" w:hAnsi="Times New Roman" w:eastAsia="Times New Roman" w:cs="Times New Roman"/>
          <w:sz w:val="24"/>
        </w:rPr>
        <w:t xml:space="preserve"> 69,789,385.59</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年度较上年分别增长了</w:t>
      </w:r>
      <w:r>
        <w:rPr>
          <w:rFonts w:hint="eastAsia" w:ascii="Times New Roman" w:hAnsi="Times New Roman" w:eastAsia="Times New Roman" w:cs="Times New Roman"/>
          <w:sz w:val="24"/>
        </w:rPr>
        <w:t xml:space="preserve"> 43.28%</w:t>
      </w:r>
      <w:r>
        <w:rPr>
          <w:rFonts w:hint="eastAsia" w:ascii="宋体" w:hAnsi="宋体" w:eastAsia="宋体" w:cs="宋体"/>
          <w:sz w:val="24"/>
        </w:rPr>
        <w:t>和</w:t>
      </w:r>
      <w:r>
        <w:rPr>
          <w:rFonts w:hint="eastAsia" w:ascii="Times New Roman" w:hAnsi="Times New Roman" w:eastAsia="Times New Roman" w:cs="Times New Roman"/>
          <w:sz w:val="24"/>
        </w:rPr>
        <w:t xml:space="preserve"> 2.38%</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（一）营业收入分析</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公司主营业务突出</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年度主营业务收入分别为</w:t>
      </w:r>
      <w:r>
        <w:rPr>
          <w:rFonts w:hint="eastAsia" w:ascii="Times New Roman" w:hAnsi="Times New Roman" w:eastAsia="Times New Roman" w:cs="Times New Roman"/>
          <w:sz w:val="24"/>
        </w:rPr>
        <w:t xml:space="preserve"> 162,543,466.75</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195,122,487.38</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204,692,488.71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公司报告期内不存在其他业务收入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主营业务收入的业务类别分类</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本公司报告期内的主营业务收入按照业务类别分类情况如下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1-1-269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080" w:type="auto"/>
        <w:tblInd w:w="14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260"/>
        <w:gridCol w:w="2280"/>
        <w:gridCol w:w="2260"/>
        <w:gridCol w:w="2260"/>
      </w:tblGrid>
      <w:tr>
        <w:trPr>
          <w:trHeight w:val="480" w:hRule="exact"/>
        </w:trPr>
        <w:tc>
          <w:tcPr>
            <w:tcW w:w="2260" w:type="dxa"/>
            <w:tcMar>
              <w:top w:w="0" w:type="dxa"/>
              <w:left w:w="0" w:type="dxa"/>
              <w:bottom w:w="0" w:type="dxa"/>
              <w:right w:w="0" w:type="dxa"/>
            </w:tcMar>
          </w:tcPr>
          <w:p>
            <w:pPr>
              <w:spacing w:before="100"/>
              <w:ind w:left="700"/>
            </w:pPr>
            <w:r>
              <w:rPr>
                <w:rFonts w:hint="eastAsia" w:ascii="宋体" w:hAnsi="宋体" w:eastAsia="宋体" w:cs="宋体"/>
                <w:b/>
                <w:sz w:val="21"/>
              </w:rPr>
              <w:t>业务类别</w:t>
            </w:r>
          </w:p>
        </w:tc>
        <w:tc>
          <w:tcPr>
            <w:tcW w:w="228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260" w:type="dxa"/>
            <w:tcMar>
              <w:top w:w="0" w:type="dxa"/>
              <w:left w:w="0" w:type="dxa"/>
              <w:bottom w:w="0" w:type="dxa"/>
              <w:right w:w="0" w:type="dxa"/>
            </w:tcMar>
          </w:tcPr>
          <w:p>
            <w:pPr>
              <w:spacing w:before="100"/>
              <w:ind w:left="6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260" w:type="dxa"/>
            <w:tcMar>
              <w:top w:w="0" w:type="dxa"/>
              <w:left w:w="0" w:type="dxa"/>
              <w:bottom w:w="0" w:type="dxa"/>
              <w:right w:w="0" w:type="dxa"/>
            </w:tcMar>
          </w:tcPr>
          <w:p>
            <w:pPr>
              <w:spacing w:before="100"/>
              <w:ind w:left="6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2260" w:type="dxa"/>
            <w:tcMar>
              <w:top w:w="0" w:type="dxa"/>
              <w:left w:w="0" w:type="dxa"/>
              <w:bottom w:w="0" w:type="dxa"/>
              <w:right w:w="0" w:type="dxa"/>
            </w:tcMar>
          </w:tcPr>
          <w:p>
            <w:pPr>
              <w:spacing w:before="120"/>
            </w:pPr>
            <w:r>
              <w:rPr>
                <w:rFonts w:hint="eastAsia" w:ascii="宋体" w:hAnsi="宋体" w:eastAsia="宋体" w:cs="宋体"/>
                <w:b/>
                <w:sz w:val="21"/>
              </w:rPr>
              <w:t>定制软件</w:t>
            </w:r>
          </w:p>
        </w:tc>
        <w:tc>
          <w:tcPr>
            <w:tcW w:w="2280" w:type="dxa"/>
            <w:tcMar>
              <w:top w:w="0" w:type="dxa"/>
              <w:left w:w="0" w:type="dxa"/>
              <w:bottom w:w="0" w:type="dxa"/>
              <w:right w:w="0" w:type="dxa"/>
            </w:tcMar>
          </w:tcPr>
          <w:p>
            <w:pPr>
              <w:spacing w:before="160"/>
              <w:ind w:left="940"/>
            </w:pPr>
            <w:r>
              <w:rPr>
                <w:rFonts w:hint="eastAsia" w:ascii="Times New Roman Bold" w:hAnsi="Times New Roman Bold" w:eastAsia="Times New Roman Bold" w:cs="Times New Roman Bold"/>
                <w:b/>
                <w:sz w:val="21"/>
              </w:rPr>
              <w:t>136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26</w:t>
            </w:r>
          </w:p>
        </w:tc>
        <w:tc>
          <w:tcPr>
            <w:tcW w:w="2260" w:type="dxa"/>
            <w:tcMar>
              <w:top w:w="0" w:type="dxa"/>
              <w:left w:w="0" w:type="dxa"/>
              <w:bottom w:w="0" w:type="dxa"/>
              <w:right w:w="0" w:type="dxa"/>
            </w:tcMar>
          </w:tcPr>
          <w:p>
            <w:pPr>
              <w:spacing w:before="160"/>
              <w:ind w:left="880"/>
            </w:pPr>
            <w:r>
              <w:rPr>
                <w:rFonts w:hint="eastAsia" w:ascii="Times New Roman Bold" w:hAnsi="Times New Roman Bold" w:eastAsia="Times New Roman Bold" w:cs="Times New Roman Bold"/>
                <w:b/>
                <w:sz w:val="21"/>
              </w:rPr>
              <w:t>116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454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60</w:t>
            </w:r>
          </w:p>
        </w:tc>
        <w:tc>
          <w:tcPr>
            <w:tcW w:w="2260" w:type="dxa"/>
            <w:tcMar>
              <w:top w:w="0" w:type="dxa"/>
              <w:left w:w="0" w:type="dxa"/>
              <w:bottom w:w="0" w:type="dxa"/>
              <w:right w:w="0" w:type="dxa"/>
            </w:tcMar>
          </w:tcPr>
          <w:p>
            <w:pPr>
              <w:spacing w:before="160"/>
              <w:ind w:left="900"/>
            </w:pPr>
            <w:r>
              <w:rPr>
                <w:rFonts w:hint="eastAsia" w:ascii="Times New Roman Bold" w:hAnsi="Times New Roman Bold" w:eastAsia="Times New Roman Bold" w:cs="Times New Roman Bold"/>
                <w:b/>
                <w:sz w:val="21"/>
              </w:rPr>
              <w:t>112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771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89</w:t>
            </w:r>
          </w:p>
        </w:tc>
      </w:tr>
      <w:tr>
        <w:trPr>
          <w:trHeight w:val="460" w:hRule="exact"/>
        </w:trPr>
        <w:tc>
          <w:tcPr>
            <w:tcW w:w="2260" w:type="dxa"/>
            <w:tcMar>
              <w:top w:w="0" w:type="dxa"/>
              <w:left w:w="0" w:type="dxa"/>
              <w:bottom w:w="0" w:type="dxa"/>
              <w:right w:w="0" w:type="dxa"/>
            </w:tcMar>
          </w:tcPr>
          <w:p>
            <w:pPr>
              <w:spacing w:before="100"/>
            </w:pPr>
            <w:r>
              <w:rPr>
                <w:rFonts w:hint="eastAsia" w:ascii="宋体" w:hAnsi="宋体" w:eastAsia="宋体" w:cs="宋体"/>
                <w:sz w:val="21"/>
              </w:rPr>
              <w:t>占主营业务收入比例</w:t>
            </w:r>
          </w:p>
        </w:tc>
        <w:tc>
          <w:tcPr>
            <w:tcW w:w="2280" w:type="dxa"/>
            <w:tcMar>
              <w:top w:w="0" w:type="dxa"/>
              <w:left w:w="0" w:type="dxa"/>
              <w:bottom w:w="0" w:type="dxa"/>
              <w:right w:w="0" w:type="dxa"/>
            </w:tcMar>
          </w:tcPr>
          <w:p>
            <w:pPr>
              <w:spacing w:before="160"/>
              <w:ind w:left="1600"/>
            </w:pPr>
            <w:r>
              <w:rPr>
                <w:rFonts w:hint="eastAsia" w:ascii="Times New Roman" w:hAnsi="Times New Roman" w:eastAsia="Times New Roman" w:cs="Times New Roman"/>
                <w:sz w:val="21"/>
              </w:rPr>
              <w:t>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r>
        <w:trPr>
          <w:trHeight w:val="640" w:hRule="exact"/>
        </w:trPr>
        <w:tc>
          <w:tcPr>
            <w:tcW w:w="2260" w:type="dxa"/>
            <w:tcMar>
              <w:top w:w="0" w:type="dxa"/>
              <w:left w:w="0" w:type="dxa"/>
              <w:bottom w:w="0" w:type="dxa"/>
              <w:right w:w="0" w:type="dxa"/>
            </w:tcMar>
          </w:tcPr>
          <w:p>
            <w:pPr>
              <w:spacing w:before="40"/>
            </w:pPr>
            <w:r>
              <w:rPr>
                <w:rFonts w:hint="eastAsia" w:ascii="宋体" w:hAnsi="宋体" w:eastAsia="宋体" w:cs="宋体"/>
                <w:sz w:val="21"/>
              </w:rPr>
              <w:t>占主营业务收入比例变</w:t>
            </w:r>
          </w:p>
          <w:p>
            <w:pPr>
              <w:spacing w:before="100"/>
            </w:pPr>
            <w:r>
              <w:rPr>
                <w:rFonts w:hint="eastAsia" w:ascii="宋体" w:hAnsi="宋体" w:eastAsia="宋体" w:cs="宋体"/>
                <w:sz w:val="21"/>
              </w:rPr>
              <w:t>化百分比</w:t>
            </w:r>
          </w:p>
        </w:tc>
        <w:tc>
          <w:tcPr>
            <w:tcW w:w="2280" w:type="dxa"/>
            <w:tcMar>
              <w:top w:w="0" w:type="dxa"/>
              <w:left w:w="0" w:type="dxa"/>
              <w:bottom w:w="0" w:type="dxa"/>
              <w:right w:w="0" w:type="dxa"/>
            </w:tcMar>
          </w:tcPr>
          <w:p>
            <w:pPr>
              <w:spacing w:before="260"/>
              <w:ind w:left="172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260"/>
              <w:ind w:left="15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380"/>
              <w:ind w:left="2120"/>
            </w:pPr>
            <w:r>
              <w:rPr>
                <w:rFonts w:hint="eastAsia" w:ascii="Times New Roman" w:hAnsi="Times New Roman" w:eastAsia="Times New Roman" w:cs="Times New Roman"/>
                <w:sz w:val="22"/>
              </w:rPr>
              <w:t>-</w:t>
            </w:r>
          </w:p>
        </w:tc>
      </w:tr>
      <w:tr>
        <w:trPr>
          <w:trHeight w:val="480" w:hRule="exact"/>
        </w:trPr>
        <w:tc>
          <w:tcPr>
            <w:tcW w:w="2260" w:type="dxa"/>
            <w:tcMar>
              <w:top w:w="0" w:type="dxa"/>
              <w:left w:w="0" w:type="dxa"/>
              <w:bottom w:w="0" w:type="dxa"/>
              <w:right w:w="0" w:type="dxa"/>
            </w:tcMar>
          </w:tcPr>
          <w:p>
            <w:pPr>
              <w:spacing w:before="100"/>
            </w:pPr>
            <w:r>
              <w:rPr>
                <w:rFonts w:hint="eastAsia" w:ascii="宋体" w:hAnsi="宋体" w:eastAsia="宋体" w:cs="宋体"/>
                <w:b/>
                <w:sz w:val="21"/>
              </w:rPr>
              <w:t>产品化软件</w:t>
            </w:r>
          </w:p>
        </w:tc>
        <w:tc>
          <w:tcPr>
            <w:tcW w:w="2280" w:type="dxa"/>
            <w:tcMar>
              <w:top w:w="0" w:type="dxa"/>
              <w:left w:w="0" w:type="dxa"/>
              <w:bottom w:w="0" w:type="dxa"/>
              <w:right w:w="0" w:type="dxa"/>
            </w:tcMar>
          </w:tcPr>
          <w:p>
            <w:pPr>
              <w:spacing w:before="140"/>
              <w:ind w:left="1040"/>
            </w:pPr>
            <w:r>
              <w:rPr>
                <w:rFonts w:hint="eastAsia" w:ascii="Times New Roman Bold" w:hAnsi="Times New Roman Bold" w:eastAsia="Times New Roman Bold" w:cs="Times New Roman Bold"/>
                <w:b/>
                <w:sz w:val="21"/>
              </w:rPr>
              <w:t>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140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w:t>
            </w:r>
          </w:p>
        </w:tc>
        <w:tc>
          <w:tcPr>
            <w:tcW w:w="2260" w:type="dxa"/>
            <w:tcMar>
              <w:top w:w="0" w:type="dxa"/>
              <w:left w:w="0" w:type="dxa"/>
              <w:bottom w:w="0" w:type="dxa"/>
              <w:right w:w="0" w:type="dxa"/>
            </w:tcMar>
          </w:tcPr>
          <w:p>
            <w:pPr>
              <w:spacing w:before="140"/>
              <w:ind w:left="980"/>
            </w:pPr>
            <w:r>
              <w:rPr>
                <w:rFonts w:hint="eastAsia" w:ascii="Times New Roman Bold" w:hAnsi="Times New Roman Bold" w:eastAsia="Times New Roman Bold" w:cs="Times New Roman Bold"/>
                <w:b/>
                <w:sz w:val="21"/>
              </w:rPr>
              <w:t>23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049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572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86</w:t>
            </w:r>
          </w:p>
        </w:tc>
        <w:tc>
          <w:tcPr>
            <w:tcW w:w="2260" w:type="dxa"/>
            <w:tcMar>
              <w:top w:w="0" w:type="dxa"/>
              <w:left w:w="0" w:type="dxa"/>
              <w:bottom w:w="0" w:type="dxa"/>
              <w:right w:w="0" w:type="dxa"/>
            </w:tcMar>
          </w:tcPr>
          <w:p>
            <w:pPr>
              <w:spacing w:before="140"/>
              <w:ind w:left="980"/>
            </w:pPr>
            <w:r>
              <w:rPr>
                <w:rFonts w:hint="eastAsia" w:ascii="Times New Roman Bold" w:hAnsi="Times New Roman Bold" w:eastAsia="Times New Roman Bold" w:cs="Times New Roman Bold"/>
                <w:b/>
                <w:sz w:val="21"/>
              </w:rPr>
              <w:t>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418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83</w:t>
            </w:r>
          </w:p>
        </w:tc>
      </w:tr>
      <w:tr>
        <w:trPr>
          <w:trHeight w:val="480" w:hRule="exact"/>
        </w:trPr>
        <w:tc>
          <w:tcPr>
            <w:tcW w:w="2260" w:type="dxa"/>
            <w:tcMar>
              <w:top w:w="0" w:type="dxa"/>
              <w:left w:w="0" w:type="dxa"/>
              <w:bottom w:w="0" w:type="dxa"/>
              <w:right w:w="0" w:type="dxa"/>
            </w:tcMar>
          </w:tcPr>
          <w:p>
            <w:pPr>
              <w:spacing w:before="120"/>
            </w:pPr>
            <w:r>
              <w:rPr>
                <w:rFonts w:hint="eastAsia" w:ascii="宋体" w:hAnsi="宋体" w:eastAsia="宋体" w:cs="宋体"/>
                <w:sz w:val="21"/>
              </w:rPr>
              <w:t>占主营业务收入比例</w:t>
            </w:r>
          </w:p>
        </w:tc>
        <w:tc>
          <w:tcPr>
            <w:tcW w:w="2280" w:type="dxa"/>
            <w:tcMar>
              <w:top w:w="0" w:type="dxa"/>
              <w:left w:w="0" w:type="dxa"/>
              <w:bottom w:w="0" w:type="dxa"/>
              <w:right w:w="0" w:type="dxa"/>
            </w:tcMar>
          </w:tcPr>
          <w:p>
            <w:pPr>
              <w:spacing w:before="160"/>
              <w:ind w:left="160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p>
        </w:tc>
      </w:tr>
      <w:tr>
        <w:trPr>
          <w:trHeight w:val="620" w:hRule="exact"/>
        </w:trPr>
        <w:tc>
          <w:tcPr>
            <w:tcW w:w="2260" w:type="dxa"/>
            <w:tcMar>
              <w:top w:w="0" w:type="dxa"/>
              <w:left w:w="0" w:type="dxa"/>
              <w:bottom w:w="0" w:type="dxa"/>
              <w:right w:w="0" w:type="dxa"/>
            </w:tcMar>
          </w:tcPr>
          <w:p>
            <w:pPr>
              <w:spacing w:before="20"/>
            </w:pPr>
            <w:r>
              <w:rPr>
                <w:rFonts w:hint="eastAsia" w:ascii="宋体" w:hAnsi="宋体" w:eastAsia="宋体" w:cs="宋体"/>
                <w:sz w:val="21"/>
              </w:rPr>
              <w:t>占主营业务收入比例变</w:t>
            </w:r>
          </w:p>
          <w:p>
            <w:pPr>
              <w:spacing w:before="100"/>
            </w:pPr>
            <w:r>
              <w:rPr>
                <w:rFonts w:hint="eastAsia" w:ascii="宋体" w:hAnsi="宋体" w:eastAsia="宋体" w:cs="宋体"/>
                <w:sz w:val="21"/>
              </w:rPr>
              <w:t>化百分比</w:t>
            </w:r>
          </w:p>
        </w:tc>
        <w:tc>
          <w:tcPr>
            <w:tcW w:w="2280" w:type="dxa"/>
            <w:tcMar>
              <w:top w:w="0" w:type="dxa"/>
              <w:left w:w="0" w:type="dxa"/>
              <w:bottom w:w="0" w:type="dxa"/>
              <w:right w:w="0" w:type="dxa"/>
            </w:tcMar>
          </w:tcPr>
          <w:p>
            <w:pPr>
              <w:spacing w:before="240"/>
              <w:ind w:left="17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240"/>
              <w:ind w:left="16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360"/>
              <w:ind w:left="2120"/>
            </w:pPr>
            <w:r>
              <w:rPr>
                <w:rFonts w:hint="eastAsia" w:ascii="Times New Roman" w:hAnsi="Times New Roman" w:eastAsia="Times New Roman" w:cs="Times New Roman"/>
                <w:sz w:val="22"/>
              </w:rPr>
              <w:t>-</w:t>
            </w:r>
          </w:p>
        </w:tc>
      </w:tr>
      <w:tr>
        <w:trPr>
          <w:trHeight w:val="480" w:hRule="exact"/>
        </w:trPr>
        <w:tc>
          <w:tcPr>
            <w:tcW w:w="2260" w:type="dxa"/>
            <w:tcMar>
              <w:top w:w="0" w:type="dxa"/>
              <w:left w:w="0" w:type="dxa"/>
              <w:bottom w:w="0" w:type="dxa"/>
              <w:right w:w="0" w:type="dxa"/>
            </w:tcMar>
          </w:tcPr>
          <w:p>
            <w:pPr>
              <w:spacing w:before="120"/>
            </w:pPr>
            <w:r>
              <w:rPr>
                <w:rFonts w:hint="eastAsia" w:ascii="宋体" w:hAnsi="宋体" w:eastAsia="宋体" w:cs="宋体"/>
                <w:b/>
                <w:sz w:val="21"/>
              </w:rPr>
              <w:t>运维服务收入</w:t>
            </w:r>
          </w:p>
        </w:tc>
        <w:tc>
          <w:tcPr>
            <w:tcW w:w="2280" w:type="dxa"/>
            <w:tcMar>
              <w:top w:w="0" w:type="dxa"/>
              <w:left w:w="0" w:type="dxa"/>
              <w:bottom w:w="0" w:type="dxa"/>
              <w:right w:w="0" w:type="dxa"/>
            </w:tcMar>
          </w:tcPr>
          <w:p>
            <w:pPr>
              <w:spacing w:before="180"/>
              <w:ind w:left="1040"/>
            </w:pPr>
            <w:r>
              <w:rPr>
                <w:rFonts w:hint="eastAsia" w:ascii="Times New Roman Bold" w:hAnsi="Times New Roman Bold" w:eastAsia="Times New Roman Bold" w:cs="Times New Roman Bold"/>
                <w:b/>
                <w:sz w:val="21"/>
              </w:rPr>
              <w:t>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361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745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30</w:t>
            </w:r>
          </w:p>
        </w:tc>
        <w:tc>
          <w:tcPr>
            <w:tcW w:w="2260" w:type="dxa"/>
            <w:tcMar>
              <w:top w:w="0" w:type="dxa"/>
              <w:left w:w="0" w:type="dxa"/>
              <w:bottom w:w="0" w:type="dxa"/>
              <w:right w:w="0" w:type="dxa"/>
            </w:tcMar>
          </w:tcPr>
          <w:p>
            <w:pPr>
              <w:spacing w:before="180"/>
              <w:ind w:left="980"/>
            </w:pPr>
            <w:r>
              <w:rPr>
                <w:rFonts w:hint="eastAsia" w:ascii="Times New Roman Bold" w:hAnsi="Times New Roman Bold" w:eastAsia="Times New Roman Bold" w:cs="Times New Roman Bold"/>
                <w:b/>
                <w:sz w:val="21"/>
              </w:rPr>
              <w:t>31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90</w:t>
            </w:r>
          </w:p>
        </w:tc>
        <w:tc>
          <w:tcPr>
            <w:tcW w:w="2260" w:type="dxa"/>
            <w:tcMar>
              <w:top w:w="0" w:type="dxa"/>
              <w:left w:w="0" w:type="dxa"/>
              <w:bottom w:w="0" w:type="dxa"/>
              <w:right w:w="0" w:type="dxa"/>
            </w:tcMar>
          </w:tcPr>
          <w:p>
            <w:pPr>
              <w:spacing w:before="180"/>
              <w:ind w:left="980"/>
            </w:pPr>
            <w:r>
              <w:rPr>
                <w:rFonts w:hint="eastAsia" w:ascii="Times New Roman Bold" w:hAnsi="Times New Roman Bold" w:eastAsia="Times New Roman Bold" w:cs="Times New Roman Bold"/>
                <w:b/>
                <w:sz w:val="21"/>
              </w:rPr>
              <w:t>24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w:t>
            </w:r>
          </w:p>
        </w:tc>
      </w:tr>
      <w:tr>
        <w:trPr>
          <w:trHeight w:val="480" w:hRule="exact"/>
        </w:trPr>
        <w:tc>
          <w:tcPr>
            <w:tcW w:w="2260" w:type="dxa"/>
            <w:tcMar>
              <w:top w:w="0" w:type="dxa"/>
              <w:left w:w="0" w:type="dxa"/>
              <w:bottom w:w="0" w:type="dxa"/>
              <w:right w:w="0" w:type="dxa"/>
            </w:tcMar>
          </w:tcPr>
          <w:p>
            <w:pPr>
              <w:spacing w:before="100"/>
            </w:pPr>
            <w:r>
              <w:rPr>
                <w:rFonts w:hint="eastAsia" w:ascii="宋体" w:hAnsi="宋体" w:eastAsia="宋体" w:cs="宋体"/>
                <w:sz w:val="21"/>
              </w:rPr>
              <w:t>占主营业务收入比例</w:t>
            </w:r>
          </w:p>
        </w:tc>
        <w:tc>
          <w:tcPr>
            <w:tcW w:w="2280" w:type="dxa"/>
            <w:tcMar>
              <w:top w:w="0" w:type="dxa"/>
              <w:left w:w="0" w:type="dxa"/>
              <w:bottom w:w="0" w:type="dxa"/>
              <w:right w:w="0" w:type="dxa"/>
            </w:tcMar>
          </w:tcPr>
          <w:p>
            <w:pPr>
              <w:spacing w:before="140"/>
              <w:ind w:left="16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140"/>
              <w:ind w:left="15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140"/>
              <w:ind w:left="15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r>
      <w:tr>
        <w:trPr>
          <w:trHeight w:val="620" w:hRule="exact"/>
        </w:trPr>
        <w:tc>
          <w:tcPr>
            <w:tcW w:w="2260" w:type="dxa"/>
            <w:tcMar>
              <w:top w:w="0" w:type="dxa"/>
              <w:left w:w="0" w:type="dxa"/>
              <w:bottom w:w="0" w:type="dxa"/>
              <w:right w:w="0" w:type="dxa"/>
            </w:tcMar>
          </w:tcPr>
          <w:p>
            <w:pPr>
              <w:spacing w:before="20"/>
            </w:pPr>
            <w:r>
              <w:rPr>
                <w:rFonts w:hint="eastAsia" w:ascii="宋体" w:hAnsi="宋体" w:eastAsia="宋体" w:cs="宋体"/>
                <w:sz w:val="21"/>
              </w:rPr>
              <w:t>占主营业务收入比例变</w:t>
            </w:r>
          </w:p>
          <w:p>
            <w:pPr>
              <w:spacing w:before="100"/>
            </w:pPr>
            <w:r>
              <w:rPr>
                <w:rFonts w:hint="eastAsia" w:ascii="宋体" w:hAnsi="宋体" w:eastAsia="宋体" w:cs="宋体"/>
                <w:sz w:val="21"/>
              </w:rPr>
              <w:t>化百分比</w:t>
            </w:r>
          </w:p>
        </w:tc>
        <w:tc>
          <w:tcPr>
            <w:tcW w:w="2280" w:type="dxa"/>
            <w:tcMar>
              <w:top w:w="0" w:type="dxa"/>
              <w:left w:w="0" w:type="dxa"/>
              <w:bottom w:w="0" w:type="dxa"/>
              <w:right w:w="0" w:type="dxa"/>
            </w:tcMar>
          </w:tcPr>
          <w:p>
            <w:pPr>
              <w:spacing w:before="240"/>
              <w:ind w:left="17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240"/>
              <w:ind w:left="16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360"/>
              <w:ind w:left="2120"/>
            </w:pPr>
            <w:r>
              <w:rPr>
                <w:rFonts w:hint="eastAsia" w:ascii="Times New Roman" w:hAnsi="Times New Roman" w:eastAsia="Times New Roman" w:cs="Times New Roman"/>
                <w:sz w:val="22"/>
              </w:rPr>
              <w:t>-</w:t>
            </w:r>
          </w:p>
        </w:tc>
      </w:tr>
      <w:tr>
        <w:trPr>
          <w:trHeight w:val="480" w:hRule="exact"/>
        </w:trPr>
        <w:tc>
          <w:tcPr>
            <w:tcW w:w="2260" w:type="dxa"/>
            <w:tcMar>
              <w:top w:w="0" w:type="dxa"/>
              <w:left w:w="0" w:type="dxa"/>
              <w:bottom w:w="0" w:type="dxa"/>
              <w:right w:w="0" w:type="dxa"/>
            </w:tcMar>
          </w:tcPr>
          <w:p>
            <w:pPr>
              <w:spacing w:before="120"/>
            </w:pPr>
            <w:r>
              <w:rPr>
                <w:rFonts w:hint="eastAsia" w:ascii="宋体" w:hAnsi="宋体" w:eastAsia="宋体" w:cs="宋体"/>
                <w:b/>
                <w:sz w:val="21"/>
              </w:rPr>
              <w:t>系统集成</w:t>
            </w:r>
          </w:p>
        </w:tc>
        <w:tc>
          <w:tcPr>
            <w:tcW w:w="2280" w:type="dxa"/>
            <w:tcMar>
              <w:top w:w="0" w:type="dxa"/>
              <w:left w:w="0" w:type="dxa"/>
              <w:bottom w:w="0" w:type="dxa"/>
              <w:right w:w="0" w:type="dxa"/>
            </w:tcMar>
          </w:tcPr>
          <w:p>
            <w:pPr>
              <w:spacing w:before="180"/>
              <w:ind w:left="1160"/>
            </w:pPr>
            <w:r>
              <w:rPr>
                <w:rFonts w:hint="eastAsia" w:ascii="Times New Roman Bold" w:hAnsi="Times New Roman Bold" w:eastAsia="Times New Roman Bold" w:cs="Times New Roman Bold"/>
                <w:b/>
                <w:sz w:val="21"/>
              </w:rPr>
              <w:t>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629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938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91</w:t>
            </w:r>
          </w:p>
        </w:tc>
        <w:tc>
          <w:tcPr>
            <w:tcW w:w="2260" w:type="dxa"/>
            <w:tcMar>
              <w:top w:w="0" w:type="dxa"/>
              <w:left w:w="0" w:type="dxa"/>
              <w:bottom w:w="0" w:type="dxa"/>
              <w:right w:w="0" w:type="dxa"/>
            </w:tcMar>
          </w:tcPr>
          <w:p>
            <w:pPr>
              <w:spacing w:before="180"/>
              <w:ind w:left="980"/>
            </w:pPr>
            <w:r>
              <w:rPr>
                <w:rFonts w:hint="eastAsia" w:ascii="Times New Roman Bold" w:hAnsi="Times New Roman Bold" w:eastAsia="Times New Roman Bold" w:cs="Times New Roman Bold"/>
                <w:b/>
                <w:sz w:val="21"/>
              </w:rPr>
              <w:t>23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674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832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01</w:t>
            </w:r>
          </w:p>
        </w:tc>
        <w:tc>
          <w:tcPr>
            <w:tcW w:w="2260" w:type="dxa"/>
            <w:tcMar>
              <w:top w:w="0" w:type="dxa"/>
              <w:left w:w="0" w:type="dxa"/>
              <w:bottom w:w="0" w:type="dxa"/>
              <w:right w:w="0" w:type="dxa"/>
            </w:tcMar>
          </w:tcPr>
          <w:p>
            <w:pPr>
              <w:spacing w:before="180"/>
              <w:ind w:left="1100"/>
            </w:pPr>
            <w:r>
              <w:rPr>
                <w:rFonts w:hint="eastAsia" w:ascii="Times New Roman Bold" w:hAnsi="Times New Roman Bold" w:eastAsia="Times New Roman Bold" w:cs="Times New Roman Bold"/>
                <w:b/>
                <w:sz w:val="21"/>
              </w:rPr>
              <w:t>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737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726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40</w:t>
            </w:r>
          </w:p>
        </w:tc>
      </w:tr>
      <w:tr>
        <w:trPr>
          <w:trHeight w:val="480" w:hRule="exact"/>
        </w:trPr>
        <w:tc>
          <w:tcPr>
            <w:tcW w:w="2260" w:type="dxa"/>
            <w:tcMar>
              <w:top w:w="0" w:type="dxa"/>
              <w:left w:w="0" w:type="dxa"/>
              <w:bottom w:w="0" w:type="dxa"/>
              <w:right w:w="0" w:type="dxa"/>
            </w:tcMar>
          </w:tcPr>
          <w:p>
            <w:pPr>
              <w:spacing w:before="120"/>
            </w:pPr>
            <w:r>
              <w:rPr>
                <w:rFonts w:hint="eastAsia" w:ascii="宋体" w:hAnsi="宋体" w:eastAsia="宋体" w:cs="宋体"/>
                <w:sz w:val="21"/>
              </w:rPr>
              <w:t>占主营业务收入比例</w:t>
            </w:r>
          </w:p>
        </w:tc>
        <w:tc>
          <w:tcPr>
            <w:tcW w:w="2280" w:type="dxa"/>
            <w:tcMar>
              <w:top w:w="0" w:type="dxa"/>
              <w:left w:w="0" w:type="dxa"/>
              <w:bottom w:w="0" w:type="dxa"/>
              <w:right w:w="0" w:type="dxa"/>
            </w:tcMar>
          </w:tcPr>
          <w:p>
            <w:pPr>
              <w:spacing w:before="160"/>
              <w:ind w:left="17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160"/>
              <w:ind w:left="154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p>
        </w:tc>
      </w:tr>
      <w:tr>
        <w:trPr>
          <w:trHeight w:val="640" w:hRule="exact"/>
        </w:trPr>
        <w:tc>
          <w:tcPr>
            <w:tcW w:w="2260" w:type="dxa"/>
            <w:tcMar>
              <w:top w:w="0" w:type="dxa"/>
              <w:left w:w="0" w:type="dxa"/>
              <w:bottom w:w="0" w:type="dxa"/>
              <w:right w:w="0" w:type="dxa"/>
            </w:tcMar>
          </w:tcPr>
          <w:p>
            <w:pPr>
              <w:spacing w:before="40"/>
            </w:pPr>
            <w:r>
              <w:rPr>
                <w:rFonts w:hint="eastAsia" w:ascii="宋体" w:hAnsi="宋体" w:eastAsia="宋体" w:cs="宋体"/>
                <w:sz w:val="21"/>
              </w:rPr>
              <w:t>占主营业务收入比例变</w:t>
            </w:r>
          </w:p>
          <w:p>
            <w:pPr>
              <w:spacing w:before="100"/>
            </w:pPr>
            <w:r>
              <w:rPr>
                <w:rFonts w:hint="eastAsia" w:ascii="宋体" w:hAnsi="宋体" w:eastAsia="宋体" w:cs="宋体"/>
                <w:sz w:val="21"/>
              </w:rPr>
              <w:t>化百分比</w:t>
            </w:r>
          </w:p>
        </w:tc>
        <w:tc>
          <w:tcPr>
            <w:tcW w:w="2280" w:type="dxa"/>
            <w:tcMar>
              <w:top w:w="0" w:type="dxa"/>
              <w:left w:w="0" w:type="dxa"/>
              <w:bottom w:w="0" w:type="dxa"/>
              <w:right w:w="0" w:type="dxa"/>
            </w:tcMar>
          </w:tcPr>
          <w:p>
            <w:pPr>
              <w:spacing w:before="220"/>
              <w:ind w:left="164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220"/>
              <w:ind w:left="164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p>
        </w:tc>
        <w:tc>
          <w:tcPr>
            <w:tcW w:w="2260" w:type="dxa"/>
            <w:tcMar>
              <w:top w:w="0" w:type="dxa"/>
              <w:left w:w="0" w:type="dxa"/>
              <w:bottom w:w="0" w:type="dxa"/>
              <w:right w:w="0" w:type="dxa"/>
            </w:tcMar>
          </w:tcPr>
          <w:p>
            <w:pPr>
              <w:spacing w:before="380"/>
              <w:ind w:left="2120"/>
            </w:pPr>
            <w:r>
              <w:rPr>
                <w:rFonts w:hint="eastAsia" w:ascii="Times New Roman" w:hAnsi="Times New Roman" w:eastAsia="Times New Roman" w:cs="Times New Roman"/>
                <w:sz w:val="22"/>
              </w:rPr>
              <w:t>-</w:t>
            </w:r>
          </w:p>
        </w:tc>
      </w:tr>
      <w:tr>
        <w:trPr>
          <w:trHeight w:val="460" w:hRule="exact"/>
        </w:trPr>
        <w:tc>
          <w:tcPr>
            <w:tcW w:w="2260" w:type="dxa"/>
            <w:tcMar>
              <w:top w:w="0" w:type="dxa"/>
              <w:left w:w="0" w:type="dxa"/>
              <w:bottom w:w="0" w:type="dxa"/>
              <w:right w:w="0" w:type="dxa"/>
            </w:tcMar>
          </w:tcPr>
          <w:p>
            <w:pPr>
              <w:spacing w:before="120"/>
              <w:ind w:left="900"/>
            </w:pPr>
            <w:r>
              <w:rPr>
                <w:rFonts w:hint="eastAsia" w:ascii="宋体" w:hAnsi="宋体" w:eastAsia="宋体" w:cs="宋体"/>
                <w:b/>
                <w:sz w:val="21"/>
              </w:rPr>
              <w:t>合计</w:t>
            </w:r>
          </w:p>
        </w:tc>
        <w:tc>
          <w:tcPr>
            <w:tcW w:w="2280" w:type="dxa"/>
            <w:tcMar>
              <w:top w:w="0" w:type="dxa"/>
              <w:left w:w="0" w:type="dxa"/>
              <w:bottom w:w="0" w:type="dxa"/>
              <w:right w:w="0" w:type="dxa"/>
            </w:tcMar>
          </w:tcPr>
          <w:p>
            <w:pPr>
              <w:spacing w:before="160"/>
              <w:ind w:left="94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2260" w:type="dxa"/>
            <w:tcMar>
              <w:top w:w="0" w:type="dxa"/>
              <w:left w:w="0" w:type="dxa"/>
              <w:bottom w:w="0" w:type="dxa"/>
              <w:right w:w="0" w:type="dxa"/>
            </w:tcMar>
          </w:tcPr>
          <w:p>
            <w:pPr>
              <w:spacing w:before="160"/>
              <w:ind w:left="88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2260" w:type="dxa"/>
            <w:tcMar>
              <w:top w:w="0" w:type="dxa"/>
              <w:left w:w="0" w:type="dxa"/>
              <w:bottom w:w="0" w:type="dxa"/>
              <w:right w:w="0" w:type="dxa"/>
            </w:tcMar>
          </w:tcPr>
          <w:p>
            <w:pPr>
              <w:spacing w:before="160"/>
              <w:ind w:left="88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r>
      <w:tr>
        <w:trPr>
          <w:trHeight w:val="480" w:hRule="exact"/>
        </w:trPr>
        <w:tc>
          <w:tcPr>
            <w:tcW w:w="2260" w:type="dxa"/>
            <w:tcMar>
              <w:top w:w="0" w:type="dxa"/>
              <w:left w:w="0" w:type="dxa"/>
              <w:bottom w:w="0" w:type="dxa"/>
              <w:right w:w="0" w:type="dxa"/>
            </w:tcMar>
          </w:tcPr>
          <w:p>
            <w:pPr>
              <w:spacing w:before="120"/>
            </w:pPr>
            <w:r>
              <w:rPr>
                <w:rFonts w:hint="eastAsia" w:ascii="宋体" w:hAnsi="宋体" w:eastAsia="宋体" w:cs="宋体"/>
                <w:sz w:val="21"/>
              </w:rPr>
              <w:t>占主营业务收入比例</w:t>
            </w:r>
          </w:p>
        </w:tc>
        <w:tc>
          <w:tcPr>
            <w:tcW w:w="2280" w:type="dxa"/>
            <w:tcMar>
              <w:top w:w="0" w:type="dxa"/>
              <w:left w:w="0" w:type="dxa"/>
              <w:bottom w:w="0" w:type="dxa"/>
              <w:right w:w="0" w:type="dxa"/>
            </w:tcMar>
          </w:tcPr>
          <w:p>
            <w:pPr>
              <w:spacing w:before="180"/>
              <w:ind w:left="14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2260" w:type="dxa"/>
            <w:tcMar>
              <w:top w:w="0" w:type="dxa"/>
              <w:left w:w="0" w:type="dxa"/>
              <w:bottom w:w="0" w:type="dxa"/>
              <w:right w:w="0" w:type="dxa"/>
            </w:tcMar>
          </w:tcPr>
          <w:p>
            <w:pPr>
              <w:spacing w:before="180"/>
              <w:ind w:left="14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2260" w:type="dxa"/>
            <w:tcMar>
              <w:top w:w="0" w:type="dxa"/>
              <w:left w:w="0" w:type="dxa"/>
              <w:bottom w:w="0" w:type="dxa"/>
              <w:right w:w="0" w:type="dxa"/>
            </w:tcMar>
          </w:tcPr>
          <w:p>
            <w:pPr>
              <w:spacing w:before="180"/>
              <w:ind w:left="14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autoSpaceDE w:val="false"/>
        <w:autoSpaceDN w:val="false"/>
        <w:spacing w:line="380" w:lineRule="exact"/>
        <w:ind w:left="1440"/>
        <w:jc w:val="both"/>
      </w:pPr>
      <w:r>
        <w:rPr>
          <w:rFonts w:hint="eastAsia" w:ascii="宋体" w:hAnsi="宋体" w:eastAsia="宋体" w:cs="宋体"/>
          <w:sz w:val="18"/>
        </w:rPr>
        <w:t>注</w:t>
      </w:r>
      <w:r>
        <w:rPr>
          <w:rFonts w:hint="eastAsia" w:ascii="宋体" w:hAnsi="宋体" w:eastAsia="宋体" w:cs="宋体"/>
          <w:sz w:val="10"/>
        </w:rPr>
        <w:t>：</w:t>
      </w:r>
      <w:r>
        <w:rPr>
          <w:rFonts w:hint="eastAsia" w:ascii="宋体" w:hAnsi="宋体" w:eastAsia="宋体" w:cs="宋体"/>
          <w:sz w:val="18"/>
        </w:rPr>
        <w:t>占主营业务收入比例变化百分比为本会计期间占主营业务收入比例与上一会计期间占主营业务收入比例的差额</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公司作为国内领先的平台型软件及信息化服务提供商</w:t>
      </w:r>
      <w:r>
        <w:rPr>
          <w:rFonts w:hint="eastAsia" w:ascii="宋体" w:hAnsi="宋体" w:eastAsia="宋体" w:cs="宋体"/>
          <w:sz w:val="10"/>
        </w:rPr>
        <w:t>，</w:t>
      </w:r>
      <w:r>
        <w:rPr>
          <w:rFonts w:hint="eastAsia" w:ascii="宋体" w:hAnsi="宋体" w:eastAsia="宋体" w:cs="宋体"/>
          <w:sz w:val="24"/>
        </w:rPr>
        <w:t>在金融行业信息化领域具有丰富的经营经验和较强的竞争优势</w:t>
      </w:r>
      <w:r>
        <w:rPr>
          <w:rFonts w:hint="eastAsia" w:ascii="宋体" w:hAnsi="宋体" w:eastAsia="宋体" w:cs="宋体"/>
          <w:sz w:val="10"/>
        </w:rPr>
        <w:t>，</w:t>
      </w:r>
      <w:r>
        <w:rPr>
          <w:rFonts w:hint="eastAsia" w:ascii="宋体" w:hAnsi="宋体" w:eastAsia="宋体" w:cs="宋体"/>
          <w:sz w:val="24"/>
        </w:rPr>
        <w:t>主要客户覆盖行业内主要证券公司及其他金融企业</w:t>
      </w:r>
      <w:r>
        <w:rPr>
          <w:rFonts w:hint="eastAsia" w:ascii="宋体" w:hAnsi="宋体" w:eastAsia="宋体" w:cs="宋体"/>
          <w:sz w:val="10"/>
        </w:rPr>
        <w:t>，</w:t>
      </w:r>
      <w:r>
        <w:rPr>
          <w:rFonts w:hint="eastAsia" w:ascii="宋体" w:hAnsi="宋体" w:eastAsia="宋体" w:cs="宋体"/>
          <w:sz w:val="24"/>
        </w:rPr>
        <w:t>打造了良好的品牌影响力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本公司定制软件收入分别为</w:t>
      </w:r>
      <w:r>
        <w:rPr>
          <w:rFonts w:hint="eastAsia" w:ascii="Times New Roman" w:hAnsi="Times New Roman" w:eastAsia="Times New Roman" w:cs="Times New Roman"/>
          <w:sz w:val="24"/>
        </w:rPr>
        <w:t xml:space="preserve"> 112,771,860.89</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116,454,444.60</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136,560,633.26</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占主营业务收入的比例分别为</w:t>
      </w:r>
      <w:r>
        <w:rPr>
          <w:rFonts w:hint="eastAsia" w:ascii="Times New Roman" w:hAnsi="Times New Roman" w:eastAsia="Times New Roman" w:cs="Times New Roman"/>
          <w:sz w:val="24"/>
        </w:rPr>
        <w:t xml:space="preserve"> 69.38%</w:t>
      </w:r>
      <w:r>
        <w:rPr>
          <w:rFonts w:hint="eastAsia" w:ascii="宋体" w:hAnsi="宋体" w:eastAsia="宋体" w:cs="宋体"/>
          <w:sz w:val="10"/>
        </w:rPr>
        <w:t>、</w:t>
      </w:r>
      <w:r>
        <w:rPr>
          <w:rFonts w:hint="eastAsia" w:ascii="Times New Roman" w:hAnsi="Times New Roman" w:eastAsia="Times New Roman" w:cs="Times New Roman"/>
          <w:sz w:val="24"/>
        </w:rPr>
        <w:t>59.68%</w:t>
      </w:r>
      <w:r>
        <w:rPr>
          <w:rFonts w:hint="eastAsia" w:ascii="宋体" w:hAnsi="宋体" w:eastAsia="宋体" w:cs="宋体"/>
          <w:sz w:val="24"/>
        </w:rPr>
        <w:t>和</w:t>
      </w:r>
      <w:r>
        <w:rPr>
          <w:rFonts w:hint="eastAsia" w:ascii="Times New Roman" w:hAnsi="Times New Roman" w:eastAsia="Times New Roman" w:cs="Times New Roman"/>
          <w:sz w:val="24"/>
        </w:rPr>
        <w:t>66.72%</w:t>
      </w:r>
      <w:r>
        <w:rPr>
          <w:rFonts w:hint="eastAsia" w:ascii="宋体" w:hAnsi="宋体" w:eastAsia="宋体" w:cs="宋体"/>
          <w:sz w:val="10"/>
        </w:rPr>
        <w:t>，</w:t>
      </w:r>
      <w:r>
        <w:rPr>
          <w:rFonts w:hint="eastAsia" w:ascii="宋体" w:hAnsi="宋体" w:eastAsia="宋体" w:cs="宋体"/>
          <w:sz w:val="24"/>
        </w:rPr>
        <w:t>构成了本公司主营业务收入的主要组成部分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报告期各期内</w:t>
      </w:r>
      <w:r>
        <w:rPr>
          <w:rFonts w:hint="eastAsia" w:ascii="宋体" w:hAnsi="宋体" w:eastAsia="宋体" w:cs="宋体"/>
          <w:sz w:val="10"/>
        </w:rPr>
        <w:t>，</w:t>
      </w:r>
      <w:r>
        <w:rPr>
          <w:rFonts w:hint="eastAsia" w:ascii="宋体" w:hAnsi="宋体" w:eastAsia="宋体" w:cs="宋体"/>
          <w:sz w:val="24"/>
        </w:rPr>
        <w:t>发行人各业务中已确认收入的订单</w:t>
      </w:r>
      <w:r>
        <w:rPr>
          <w:rFonts w:hint="eastAsia" w:ascii="宋体" w:hAnsi="宋体" w:eastAsia="宋体" w:cs="宋体"/>
          <w:sz w:val="10"/>
        </w:rPr>
        <w:t>，</w:t>
      </w:r>
      <w:r>
        <w:rPr>
          <w:rFonts w:hint="eastAsia" w:ascii="宋体" w:hAnsi="宋体" w:eastAsia="宋体" w:cs="宋体"/>
          <w:sz w:val="24"/>
        </w:rPr>
        <w:t>其数量分布情况如下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040"/>
        <w:gridCol w:w="2000"/>
        <w:gridCol w:w="600"/>
        <w:gridCol w:w="1420"/>
        <w:gridCol w:w="760"/>
        <w:gridCol w:w="1380"/>
        <w:gridCol w:w="700"/>
        <w:gridCol w:w="1360"/>
      </w:tblGrid>
      <w:tr>
        <w:trPr>
          <w:trHeight w:val="640" w:hRule="exact"/>
        </w:trPr>
        <w:tc>
          <w:tcPr>
            <w:tcW w:w="1040" w:type="dxa"/>
            <w:vMerge w:val="restart"/>
            <w:tcMar>
              <w:top w:w="0" w:type="dxa"/>
              <w:left w:w="0" w:type="dxa"/>
              <w:bottom w:w="0" w:type="dxa"/>
              <w:right w:w="0" w:type="dxa"/>
            </w:tcMar>
          </w:tcPr>
          <w:p>
            <w:pPr>
              <w:spacing w:before="520"/>
              <w:ind w:left="140"/>
            </w:pPr>
            <w:r>
              <w:rPr>
                <w:rFonts w:hint="eastAsia" w:ascii="宋体" w:hAnsi="宋体" w:eastAsia="宋体" w:cs="宋体"/>
                <w:b/>
                <w:sz w:val="18"/>
              </w:rPr>
              <w:t>产品类型</w:t>
            </w:r>
          </w:p>
        </w:tc>
        <w:tc>
          <w:tcPr>
            <w:tcW w:w="2000" w:type="dxa"/>
            <w:vMerge w:val="restart"/>
            <w:tcMar>
              <w:top w:w="0" w:type="dxa"/>
              <w:left w:w="0" w:type="dxa"/>
              <w:bottom w:w="0" w:type="dxa"/>
              <w:right w:w="0" w:type="dxa"/>
            </w:tcMar>
          </w:tcPr>
          <w:p>
            <w:pPr>
              <w:spacing w:before="540"/>
              <w:ind w:left="620"/>
            </w:pPr>
            <w:r>
              <w:rPr>
                <w:rFonts w:hint="eastAsia" w:ascii="宋体" w:hAnsi="宋体" w:eastAsia="宋体" w:cs="宋体"/>
                <w:b/>
                <w:sz w:val="18"/>
              </w:rPr>
              <w:t>订单区间</w:t>
            </w:r>
          </w:p>
        </w:tc>
        <w:tc>
          <w:tcPr>
            <w:tcW w:w="2020" w:type="dxa"/>
            <w:gridSpan w:val="2"/>
            <w:tcMar>
              <w:top w:w="0" w:type="dxa"/>
              <w:left w:w="0" w:type="dxa"/>
              <w:bottom w:w="0" w:type="dxa"/>
              <w:right w:w="0" w:type="dxa"/>
            </w:tcMar>
          </w:tcPr>
          <w:p>
            <w:pPr>
              <w:spacing w:before="200"/>
              <w:ind w:left="620"/>
            </w:pPr>
            <w:r>
              <w:rPr>
                <w:rFonts w:hint="eastAsia" w:ascii="Times New Roman Bold" w:hAnsi="Times New Roman Bold" w:eastAsia="Times New Roman Bold" w:cs="Times New Roman Bold"/>
                <w:b/>
                <w:sz w:val="18"/>
              </w:rPr>
              <w:t>2016</w:t>
            </w:r>
            <w:r>
              <w:rPr>
                <w:rFonts w:hint="eastAsia" w:ascii="宋体" w:hAnsi="宋体" w:eastAsia="宋体" w:cs="宋体"/>
                <w:b/>
                <w:sz w:val="18"/>
              </w:rPr>
              <w:t xml:space="preserve"> 年度</w:t>
            </w:r>
          </w:p>
        </w:tc>
        <w:tc>
          <w:tcPr>
            <w:tcW w:w="2140" w:type="dxa"/>
            <w:gridSpan w:val="2"/>
            <w:tcMar>
              <w:top w:w="0" w:type="dxa"/>
              <w:left w:w="0" w:type="dxa"/>
              <w:bottom w:w="0" w:type="dxa"/>
              <w:right w:w="0" w:type="dxa"/>
            </w:tcMar>
          </w:tcPr>
          <w:p>
            <w:pPr>
              <w:spacing w:before="200"/>
              <w:ind w:left="660"/>
            </w:pPr>
            <w:r>
              <w:rPr>
                <w:rFonts w:hint="eastAsia" w:ascii="Times New Roman Bold" w:hAnsi="Times New Roman Bold" w:eastAsia="Times New Roman Bold" w:cs="Times New Roman Bold"/>
                <w:b/>
                <w:sz w:val="18"/>
              </w:rPr>
              <w:t>2015</w:t>
            </w:r>
            <w:r>
              <w:rPr>
                <w:rFonts w:hint="eastAsia" w:ascii="宋体" w:hAnsi="宋体" w:eastAsia="宋体" w:cs="宋体"/>
                <w:b/>
                <w:sz w:val="18"/>
              </w:rPr>
              <w:t xml:space="preserve"> 年度</w:t>
            </w:r>
          </w:p>
        </w:tc>
        <w:tc>
          <w:tcPr>
            <w:tcW w:w="2060" w:type="dxa"/>
            <w:gridSpan w:val="2"/>
            <w:tcMar>
              <w:top w:w="0" w:type="dxa"/>
              <w:left w:w="0" w:type="dxa"/>
              <w:bottom w:w="0" w:type="dxa"/>
              <w:right w:w="0" w:type="dxa"/>
            </w:tcMar>
          </w:tcPr>
          <w:p>
            <w:pPr>
              <w:spacing w:before="200"/>
              <w:ind w:left="640"/>
            </w:pPr>
            <w:r>
              <w:rPr>
                <w:rFonts w:hint="eastAsia" w:ascii="Times New Roman Bold" w:hAnsi="Times New Roman Bold" w:eastAsia="Times New Roman Bold" w:cs="Times New Roman Bold"/>
                <w:b/>
                <w:sz w:val="18"/>
              </w:rPr>
              <w:t>2014</w:t>
            </w:r>
            <w:r>
              <w:rPr>
                <w:rFonts w:hint="eastAsia" w:ascii="宋体" w:hAnsi="宋体" w:eastAsia="宋体" w:cs="宋体"/>
                <w:b/>
                <w:sz w:val="18"/>
              </w:rPr>
              <w:t xml:space="preserve"> 年度</w:t>
            </w:r>
          </w:p>
        </w:tc>
      </w:tr>
      <w:tr>
        <w:trPr>
          <w:trHeight w:val="620" w:hRule="exact"/>
        </w:trPr>
        <w:tc>
          <w:tcPr>
            <w:tcW w:w="1040" w:type="dxa"/>
            <w:vMerge w:val="continue"/>
            <w:tcMar>
              <w:top w:w="0" w:type="dxa"/>
              <w:left w:w="0" w:type="dxa"/>
              <w:bottom w:w="0" w:type="dxa"/>
              <w:right w:w="0" w:type="dxa"/>
            </w:tcMar>
          </w:tcPr>
          <w:p/>
        </w:tc>
        <w:tc>
          <w:tcPr>
            <w:tcW w:w="2000" w:type="dxa"/>
            <w:vMerge w:val="continue"/>
            <w:tcMar>
              <w:top w:w="0" w:type="dxa"/>
              <w:left w:w="0" w:type="dxa"/>
              <w:bottom w:w="0" w:type="dxa"/>
              <w:right w:w="0" w:type="dxa"/>
            </w:tcMar>
          </w:tcPr>
          <w:p/>
        </w:tc>
        <w:tc>
          <w:tcPr>
            <w:tcW w:w="600" w:type="dxa"/>
            <w:tcMar>
              <w:top w:w="0" w:type="dxa"/>
              <w:left w:w="0" w:type="dxa"/>
              <w:bottom w:w="0" w:type="dxa"/>
              <w:right w:w="0" w:type="dxa"/>
            </w:tcMar>
          </w:tcPr>
          <w:p>
            <w:pPr>
              <w:spacing w:before="200"/>
              <w:ind w:left="120"/>
            </w:pPr>
            <w:r>
              <w:rPr>
                <w:rFonts w:hint="eastAsia" w:ascii="宋体" w:hAnsi="宋体" w:eastAsia="宋体" w:cs="宋体"/>
                <w:b/>
                <w:sz w:val="18"/>
              </w:rPr>
              <w:t>数量</w:t>
            </w:r>
          </w:p>
        </w:tc>
        <w:tc>
          <w:tcPr>
            <w:tcW w:w="1420" w:type="dxa"/>
            <w:tcMar>
              <w:top w:w="0" w:type="dxa"/>
              <w:left w:w="0" w:type="dxa"/>
              <w:bottom w:w="0" w:type="dxa"/>
              <w:right w:w="0" w:type="dxa"/>
            </w:tcMar>
          </w:tcPr>
          <w:p>
            <w:pPr>
              <w:spacing w:before="200"/>
              <w:ind w:left="160"/>
            </w:pPr>
            <w:r>
              <w:rPr>
                <w:rFonts w:hint="eastAsia" w:ascii="宋体" w:hAnsi="宋体" w:eastAsia="宋体" w:cs="宋体"/>
                <w:b/>
                <w:sz w:val="18"/>
              </w:rPr>
              <w:t>本业务内占比</w:t>
            </w:r>
          </w:p>
        </w:tc>
        <w:tc>
          <w:tcPr>
            <w:tcW w:w="760" w:type="dxa"/>
            <w:tcMar>
              <w:top w:w="0" w:type="dxa"/>
              <w:left w:w="0" w:type="dxa"/>
              <w:bottom w:w="0" w:type="dxa"/>
              <w:right w:w="0" w:type="dxa"/>
            </w:tcMar>
          </w:tcPr>
          <w:p>
            <w:pPr>
              <w:spacing w:before="200"/>
              <w:ind w:left="180"/>
            </w:pPr>
            <w:r>
              <w:rPr>
                <w:rFonts w:hint="eastAsia" w:ascii="宋体" w:hAnsi="宋体" w:eastAsia="宋体" w:cs="宋体"/>
                <w:b/>
                <w:sz w:val="18"/>
              </w:rPr>
              <w:t>数量</w:t>
            </w:r>
          </w:p>
        </w:tc>
        <w:tc>
          <w:tcPr>
            <w:tcW w:w="1380" w:type="dxa"/>
            <w:tcMar>
              <w:top w:w="0" w:type="dxa"/>
              <w:left w:w="0" w:type="dxa"/>
              <w:bottom w:w="0" w:type="dxa"/>
              <w:right w:w="0" w:type="dxa"/>
            </w:tcMar>
          </w:tcPr>
          <w:p>
            <w:pPr>
              <w:spacing w:before="200"/>
              <w:ind w:left="140"/>
            </w:pPr>
            <w:r>
              <w:rPr>
                <w:rFonts w:hint="eastAsia" w:ascii="宋体" w:hAnsi="宋体" w:eastAsia="宋体" w:cs="宋体"/>
                <w:b/>
                <w:sz w:val="18"/>
              </w:rPr>
              <w:t>本业务内占比</w:t>
            </w:r>
          </w:p>
        </w:tc>
        <w:tc>
          <w:tcPr>
            <w:tcW w:w="700" w:type="dxa"/>
            <w:tcMar>
              <w:top w:w="0" w:type="dxa"/>
              <w:left w:w="0" w:type="dxa"/>
              <w:bottom w:w="0" w:type="dxa"/>
              <w:right w:w="0" w:type="dxa"/>
            </w:tcMar>
          </w:tcPr>
          <w:p>
            <w:pPr>
              <w:spacing w:before="200"/>
              <w:ind w:left="160"/>
            </w:pPr>
            <w:r>
              <w:rPr>
                <w:rFonts w:hint="eastAsia" w:ascii="宋体" w:hAnsi="宋体" w:eastAsia="宋体" w:cs="宋体"/>
                <w:b/>
                <w:sz w:val="18"/>
              </w:rPr>
              <w:t>数量</w:t>
            </w:r>
          </w:p>
        </w:tc>
        <w:tc>
          <w:tcPr>
            <w:tcW w:w="1360" w:type="dxa"/>
            <w:tcMar>
              <w:top w:w="0" w:type="dxa"/>
              <w:left w:w="0" w:type="dxa"/>
              <w:bottom w:w="0" w:type="dxa"/>
              <w:right w:w="0" w:type="dxa"/>
            </w:tcMar>
          </w:tcPr>
          <w:p>
            <w:pPr>
              <w:spacing w:before="200"/>
              <w:ind w:left="120"/>
            </w:pPr>
            <w:r>
              <w:rPr>
                <w:rFonts w:hint="eastAsia" w:ascii="宋体" w:hAnsi="宋体" w:eastAsia="宋体" w:cs="宋体"/>
                <w:b/>
                <w:sz w:val="18"/>
              </w:rPr>
              <w:t>本业务内占比</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1-1-270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040"/>
        <w:gridCol w:w="2000"/>
        <w:gridCol w:w="600"/>
        <w:gridCol w:w="1420"/>
        <w:gridCol w:w="760"/>
        <w:gridCol w:w="1380"/>
        <w:gridCol w:w="700"/>
        <w:gridCol w:w="1360"/>
      </w:tblGrid>
      <w:tr>
        <w:trPr>
          <w:trHeight w:val="640" w:hRule="exact"/>
        </w:trPr>
        <w:tc>
          <w:tcPr>
            <w:tcW w:w="1040" w:type="dxa"/>
            <w:vMerge w:val="restart"/>
            <w:tcMar>
              <w:top w:w="0" w:type="dxa"/>
              <w:left w:w="0" w:type="dxa"/>
              <w:bottom w:w="0" w:type="dxa"/>
              <w:right w:w="0" w:type="dxa"/>
            </w:tcMar>
          </w:tcPr>
          <w:p>
            <w:pPr>
              <w:spacing w:before="520"/>
              <w:ind w:left="140"/>
            </w:pPr>
            <w:r>
              <w:rPr>
                <w:rFonts w:hint="eastAsia" w:ascii="宋体" w:hAnsi="宋体" w:eastAsia="宋体" w:cs="宋体"/>
                <w:sz w:val="18"/>
              </w:rPr>
              <w:t>定制软件</w:t>
            </w:r>
          </w:p>
        </w:tc>
        <w:tc>
          <w:tcPr>
            <w:tcW w:w="200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18"/>
              </w:rPr>
              <w:t>100</w:t>
            </w:r>
            <w:r>
              <w:rPr>
                <w:rFonts w:hint="eastAsia" w:ascii="宋体" w:hAnsi="宋体" w:eastAsia="宋体" w:cs="宋体"/>
                <w:sz w:val="18"/>
              </w:rPr>
              <w:t xml:space="preserve"> 万元（含）以下</w:t>
            </w:r>
          </w:p>
        </w:tc>
        <w:tc>
          <w:tcPr>
            <w:tcW w:w="600" w:type="dxa"/>
            <w:tcMar>
              <w:top w:w="0" w:type="dxa"/>
              <w:left w:w="0" w:type="dxa"/>
              <w:bottom w:w="0" w:type="dxa"/>
              <w:right w:w="0" w:type="dxa"/>
            </w:tcMar>
          </w:tcPr>
          <w:p>
            <w:pPr>
              <w:spacing w:before="260"/>
              <w:ind w:left="220"/>
            </w:pPr>
            <w:r>
              <w:rPr>
                <w:rFonts w:hint="eastAsia" w:ascii="Times New Roman" w:hAnsi="Times New Roman" w:eastAsia="Times New Roman" w:cs="Times New Roman"/>
                <w:sz w:val="18"/>
              </w:rPr>
              <w:t>238</w:t>
            </w:r>
          </w:p>
        </w:tc>
        <w:tc>
          <w:tcPr>
            <w:tcW w:w="1420" w:type="dxa"/>
            <w:tcMar>
              <w:top w:w="0" w:type="dxa"/>
              <w:left w:w="0" w:type="dxa"/>
              <w:bottom w:w="0" w:type="dxa"/>
              <w:right w:w="0" w:type="dxa"/>
            </w:tcMar>
          </w:tcPr>
          <w:p>
            <w:pPr>
              <w:spacing w:before="260"/>
              <w:ind w:left="740"/>
            </w:pPr>
            <w:r>
              <w:rPr>
                <w:rFonts w:hint="eastAsia" w:ascii="Times New Roman" w:hAnsi="Times New Roman" w:eastAsia="Times New Roman" w:cs="Times New Roman"/>
                <w:sz w:val="18"/>
              </w:rPr>
              <w:t>85.61%</w:t>
            </w:r>
          </w:p>
        </w:tc>
        <w:tc>
          <w:tcPr>
            <w:tcW w:w="760" w:type="dxa"/>
            <w:tcMar>
              <w:top w:w="0" w:type="dxa"/>
              <w:left w:w="0" w:type="dxa"/>
              <w:bottom w:w="0" w:type="dxa"/>
              <w:right w:w="0" w:type="dxa"/>
            </w:tcMar>
          </w:tcPr>
          <w:p>
            <w:pPr>
              <w:spacing w:before="260"/>
              <w:ind w:left="360"/>
            </w:pPr>
            <w:r>
              <w:rPr>
                <w:rFonts w:hint="eastAsia" w:ascii="Times New Roman" w:hAnsi="Times New Roman" w:eastAsia="Times New Roman" w:cs="Times New Roman"/>
                <w:sz w:val="18"/>
              </w:rPr>
              <w:t>229</w:t>
            </w:r>
          </w:p>
        </w:tc>
        <w:tc>
          <w:tcPr>
            <w:tcW w:w="1380" w:type="dxa"/>
            <w:tcMar>
              <w:top w:w="0" w:type="dxa"/>
              <w:left w:w="0" w:type="dxa"/>
              <w:bottom w:w="0" w:type="dxa"/>
              <w:right w:w="0" w:type="dxa"/>
            </w:tcMar>
          </w:tcPr>
          <w:p>
            <w:pPr>
              <w:spacing w:before="260"/>
              <w:ind w:left="700"/>
            </w:pPr>
            <w:r>
              <w:rPr>
                <w:rFonts w:hint="eastAsia" w:ascii="Times New Roman" w:hAnsi="Times New Roman" w:eastAsia="Times New Roman" w:cs="Times New Roman"/>
                <w:sz w:val="18"/>
              </w:rPr>
              <w:t>87.07%</w:t>
            </w:r>
          </w:p>
        </w:tc>
        <w:tc>
          <w:tcPr>
            <w:tcW w:w="700" w:type="dxa"/>
            <w:tcMar>
              <w:top w:w="0" w:type="dxa"/>
              <w:left w:w="0" w:type="dxa"/>
              <w:bottom w:w="0" w:type="dxa"/>
              <w:right w:w="0" w:type="dxa"/>
            </w:tcMar>
          </w:tcPr>
          <w:p>
            <w:pPr>
              <w:spacing w:before="260"/>
              <w:ind w:left="320"/>
            </w:pPr>
            <w:r>
              <w:rPr>
                <w:rFonts w:hint="eastAsia" w:ascii="Times New Roman" w:hAnsi="Times New Roman" w:eastAsia="Times New Roman" w:cs="Times New Roman"/>
                <w:sz w:val="18"/>
              </w:rPr>
              <w:t>242</w:t>
            </w:r>
          </w:p>
        </w:tc>
        <w:tc>
          <w:tcPr>
            <w:tcW w:w="1360" w:type="dxa"/>
            <w:tcMar>
              <w:top w:w="0" w:type="dxa"/>
              <w:left w:w="0" w:type="dxa"/>
              <w:bottom w:w="0" w:type="dxa"/>
              <w:right w:w="0" w:type="dxa"/>
            </w:tcMar>
          </w:tcPr>
          <w:p>
            <w:pPr>
              <w:spacing w:before="260"/>
              <w:ind w:left="680"/>
            </w:pPr>
            <w:r>
              <w:rPr>
                <w:rFonts w:hint="eastAsia" w:ascii="Times New Roman" w:hAnsi="Times New Roman" w:eastAsia="Times New Roman" w:cs="Times New Roman"/>
                <w:sz w:val="18"/>
              </w:rPr>
              <w:t>90.30%</w:t>
            </w:r>
          </w:p>
        </w:tc>
      </w:tr>
      <w:tr>
        <w:trPr>
          <w:trHeight w:val="620" w:hRule="exact"/>
        </w:trPr>
        <w:tc>
          <w:tcPr>
            <w:tcW w:w="1040" w:type="dxa"/>
            <w:vMerge w:val="continue"/>
            <w:tcMar>
              <w:top w:w="0" w:type="dxa"/>
              <w:left w:w="0" w:type="dxa"/>
              <w:bottom w:w="0" w:type="dxa"/>
              <w:right w:w="0" w:type="dxa"/>
            </w:tcMar>
          </w:tcPr>
          <w:p/>
        </w:tc>
        <w:tc>
          <w:tcPr>
            <w:tcW w:w="200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18"/>
              </w:rPr>
              <w:t>100</w:t>
            </w:r>
            <w:r>
              <w:rPr>
                <w:rFonts w:hint="eastAsia" w:ascii="宋体" w:hAnsi="宋体" w:eastAsia="宋体" w:cs="宋体"/>
                <w:sz w:val="18"/>
              </w:rPr>
              <w:t xml:space="preserve"> 万元以上</w:t>
            </w:r>
          </w:p>
        </w:tc>
        <w:tc>
          <w:tcPr>
            <w:tcW w:w="600" w:type="dxa"/>
            <w:tcMar>
              <w:top w:w="0" w:type="dxa"/>
              <w:left w:w="0" w:type="dxa"/>
              <w:bottom w:w="0" w:type="dxa"/>
              <w:right w:w="0" w:type="dxa"/>
            </w:tcMar>
          </w:tcPr>
          <w:p>
            <w:pPr>
              <w:spacing w:before="220"/>
              <w:ind w:left="300"/>
            </w:pPr>
            <w:r>
              <w:rPr>
                <w:rFonts w:hint="eastAsia" w:ascii="Times New Roman" w:hAnsi="Times New Roman" w:eastAsia="Times New Roman" w:cs="Times New Roman"/>
                <w:sz w:val="18"/>
              </w:rPr>
              <w:t>40</w:t>
            </w:r>
          </w:p>
        </w:tc>
        <w:tc>
          <w:tcPr>
            <w:tcW w:w="1420" w:type="dxa"/>
            <w:tcMar>
              <w:top w:w="0" w:type="dxa"/>
              <w:left w:w="0" w:type="dxa"/>
              <w:bottom w:w="0" w:type="dxa"/>
              <w:right w:w="0" w:type="dxa"/>
            </w:tcMar>
          </w:tcPr>
          <w:p>
            <w:pPr>
              <w:spacing w:before="220"/>
              <w:ind w:left="740"/>
            </w:pPr>
            <w:r>
              <w:rPr>
                <w:rFonts w:hint="eastAsia" w:ascii="Times New Roman" w:hAnsi="Times New Roman" w:eastAsia="Times New Roman" w:cs="Times New Roman"/>
                <w:sz w:val="18"/>
              </w:rPr>
              <w:t>14.39%</w:t>
            </w:r>
          </w:p>
        </w:tc>
        <w:tc>
          <w:tcPr>
            <w:tcW w:w="760" w:type="dxa"/>
            <w:tcMar>
              <w:top w:w="0" w:type="dxa"/>
              <w:left w:w="0" w:type="dxa"/>
              <w:bottom w:w="0" w:type="dxa"/>
              <w:right w:w="0" w:type="dxa"/>
            </w:tcMar>
          </w:tcPr>
          <w:p>
            <w:pPr>
              <w:spacing w:before="220"/>
              <w:ind w:left="460"/>
            </w:pPr>
            <w:r>
              <w:rPr>
                <w:rFonts w:hint="eastAsia" w:ascii="Times New Roman" w:hAnsi="Times New Roman" w:eastAsia="Times New Roman" w:cs="Times New Roman"/>
                <w:sz w:val="18"/>
              </w:rPr>
              <w:t>34</w:t>
            </w:r>
          </w:p>
        </w:tc>
        <w:tc>
          <w:tcPr>
            <w:tcW w:w="1380" w:type="dxa"/>
            <w:tcMar>
              <w:top w:w="0" w:type="dxa"/>
              <w:left w:w="0" w:type="dxa"/>
              <w:bottom w:w="0" w:type="dxa"/>
              <w:right w:w="0" w:type="dxa"/>
            </w:tcMar>
          </w:tcPr>
          <w:p>
            <w:pPr>
              <w:spacing w:before="220"/>
              <w:ind w:left="700"/>
            </w:pPr>
            <w:r>
              <w:rPr>
                <w:rFonts w:hint="eastAsia" w:ascii="Times New Roman" w:hAnsi="Times New Roman" w:eastAsia="Times New Roman" w:cs="Times New Roman"/>
                <w:sz w:val="18"/>
              </w:rPr>
              <w:t>12.93%</w:t>
            </w:r>
          </w:p>
        </w:tc>
        <w:tc>
          <w:tcPr>
            <w:tcW w:w="700" w:type="dxa"/>
            <w:tcMar>
              <w:top w:w="0" w:type="dxa"/>
              <w:left w:w="0" w:type="dxa"/>
              <w:bottom w:w="0" w:type="dxa"/>
              <w:right w:w="0" w:type="dxa"/>
            </w:tcMar>
          </w:tcPr>
          <w:p>
            <w:pPr>
              <w:spacing w:before="220"/>
              <w:ind w:left="400"/>
            </w:pPr>
            <w:r>
              <w:rPr>
                <w:rFonts w:hint="eastAsia" w:ascii="Times New Roman" w:hAnsi="Times New Roman" w:eastAsia="Times New Roman" w:cs="Times New Roman"/>
                <w:sz w:val="18"/>
              </w:rPr>
              <w:t>26</w:t>
            </w:r>
          </w:p>
        </w:tc>
        <w:tc>
          <w:tcPr>
            <w:tcW w:w="1360" w:type="dxa"/>
            <w:tcMar>
              <w:top w:w="0" w:type="dxa"/>
              <w:left w:w="0" w:type="dxa"/>
              <w:bottom w:w="0" w:type="dxa"/>
              <w:right w:w="0" w:type="dxa"/>
            </w:tcMar>
          </w:tcPr>
          <w:p>
            <w:pPr>
              <w:spacing w:before="220"/>
              <w:ind w:left="780"/>
            </w:pPr>
            <w:r>
              <w:rPr>
                <w:rFonts w:hint="eastAsia" w:ascii="Times New Roman" w:hAnsi="Times New Roman" w:eastAsia="Times New Roman" w:cs="Times New Roman"/>
                <w:sz w:val="18"/>
              </w:rPr>
              <w:t>9.70%</w:t>
            </w:r>
          </w:p>
        </w:tc>
      </w:tr>
      <w:tr>
        <w:trPr>
          <w:trHeight w:val="640" w:hRule="exact"/>
        </w:trPr>
        <w:tc>
          <w:tcPr>
            <w:tcW w:w="3040" w:type="dxa"/>
            <w:gridSpan w:val="2"/>
            <w:tcMar>
              <w:top w:w="0" w:type="dxa"/>
              <w:left w:w="0" w:type="dxa"/>
              <w:bottom w:w="0" w:type="dxa"/>
              <w:right w:w="0" w:type="dxa"/>
            </w:tcMar>
          </w:tcPr>
          <w:p>
            <w:pPr>
              <w:spacing w:before="220"/>
              <w:ind w:left="1320"/>
            </w:pPr>
            <w:r>
              <w:rPr>
                <w:rFonts w:hint="eastAsia" w:ascii="宋体" w:hAnsi="宋体" w:eastAsia="宋体" w:cs="宋体"/>
                <w:b/>
                <w:sz w:val="18"/>
              </w:rPr>
              <w:t>小计</w:t>
            </w:r>
          </w:p>
        </w:tc>
        <w:tc>
          <w:tcPr>
            <w:tcW w:w="600" w:type="dxa"/>
            <w:tcMar>
              <w:top w:w="0" w:type="dxa"/>
              <w:left w:w="0" w:type="dxa"/>
              <w:bottom w:w="0" w:type="dxa"/>
              <w:right w:w="0" w:type="dxa"/>
            </w:tcMar>
          </w:tcPr>
          <w:p>
            <w:pPr>
              <w:spacing w:before="240"/>
              <w:ind w:left="220"/>
            </w:pPr>
            <w:r>
              <w:rPr>
                <w:rFonts w:hint="eastAsia" w:ascii="Times New Roman Bold" w:hAnsi="Times New Roman Bold" w:eastAsia="Times New Roman Bold" w:cs="Times New Roman Bold"/>
                <w:b/>
                <w:sz w:val="18"/>
              </w:rPr>
              <w:t>278</w:t>
            </w:r>
          </w:p>
        </w:tc>
        <w:tc>
          <w:tcPr>
            <w:tcW w:w="1420" w:type="dxa"/>
            <w:tcMar>
              <w:top w:w="0" w:type="dxa"/>
              <w:left w:w="0" w:type="dxa"/>
              <w:bottom w:w="0" w:type="dxa"/>
              <w:right w:w="0" w:type="dxa"/>
            </w:tcMar>
          </w:tcPr>
          <w:p>
            <w:pPr>
              <w:spacing w:before="240"/>
              <w:ind w:left="620"/>
            </w:pPr>
            <w:r>
              <w:rPr>
                <w:rFonts w:hint="eastAsia" w:ascii="Times New Roman Bold" w:hAnsi="Times New Roman Bold" w:eastAsia="Times New Roman Bold" w:cs="Times New Roman Bold"/>
                <w:b/>
                <w:sz w:val="18"/>
              </w:rPr>
              <w:t>100.00%</w:t>
            </w:r>
          </w:p>
        </w:tc>
        <w:tc>
          <w:tcPr>
            <w:tcW w:w="760" w:type="dxa"/>
            <w:tcMar>
              <w:top w:w="0" w:type="dxa"/>
              <w:left w:w="0" w:type="dxa"/>
              <w:bottom w:w="0" w:type="dxa"/>
              <w:right w:w="0" w:type="dxa"/>
            </w:tcMar>
          </w:tcPr>
          <w:p>
            <w:pPr>
              <w:spacing w:before="240"/>
              <w:ind w:left="360"/>
            </w:pPr>
            <w:r>
              <w:rPr>
                <w:rFonts w:hint="eastAsia" w:ascii="Times New Roman Bold" w:hAnsi="Times New Roman Bold" w:eastAsia="Times New Roman Bold" w:cs="Times New Roman Bold"/>
                <w:b/>
                <w:sz w:val="18"/>
              </w:rPr>
              <w:t>263</w:t>
            </w:r>
          </w:p>
        </w:tc>
        <w:tc>
          <w:tcPr>
            <w:tcW w:w="1380" w:type="dxa"/>
            <w:tcMar>
              <w:top w:w="0" w:type="dxa"/>
              <w:left w:w="0" w:type="dxa"/>
              <w:bottom w:w="0" w:type="dxa"/>
              <w:right w:w="0" w:type="dxa"/>
            </w:tcMar>
          </w:tcPr>
          <w:p>
            <w:pPr>
              <w:spacing w:before="240"/>
              <w:ind w:left="580"/>
            </w:pPr>
            <w:r>
              <w:rPr>
                <w:rFonts w:hint="eastAsia" w:ascii="Times New Roman Bold" w:hAnsi="Times New Roman Bold" w:eastAsia="Times New Roman Bold" w:cs="Times New Roman Bold"/>
                <w:b/>
                <w:sz w:val="18"/>
              </w:rPr>
              <w:t>100.00%</w:t>
            </w:r>
          </w:p>
        </w:tc>
        <w:tc>
          <w:tcPr>
            <w:tcW w:w="700" w:type="dxa"/>
            <w:tcMar>
              <w:top w:w="0" w:type="dxa"/>
              <w:left w:w="0" w:type="dxa"/>
              <w:bottom w:w="0" w:type="dxa"/>
              <w:right w:w="0" w:type="dxa"/>
            </w:tcMar>
          </w:tcPr>
          <w:p>
            <w:pPr>
              <w:spacing w:before="240"/>
              <w:ind w:left="320"/>
            </w:pPr>
            <w:r>
              <w:rPr>
                <w:rFonts w:hint="eastAsia" w:ascii="Times New Roman Bold" w:hAnsi="Times New Roman Bold" w:eastAsia="Times New Roman Bold" w:cs="Times New Roman Bold"/>
                <w:b/>
                <w:sz w:val="18"/>
              </w:rPr>
              <w:t>268</w:t>
            </w:r>
          </w:p>
        </w:tc>
        <w:tc>
          <w:tcPr>
            <w:tcW w:w="1360" w:type="dxa"/>
            <w:tcMar>
              <w:top w:w="0" w:type="dxa"/>
              <w:left w:w="0" w:type="dxa"/>
              <w:bottom w:w="0" w:type="dxa"/>
              <w:right w:w="0" w:type="dxa"/>
            </w:tcMar>
          </w:tcPr>
          <w:p>
            <w:pPr>
              <w:spacing w:before="240"/>
              <w:ind w:left="560"/>
            </w:pPr>
            <w:r>
              <w:rPr>
                <w:rFonts w:hint="eastAsia" w:ascii="Times New Roman Bold" w:hAnsi="Times New Roman Bold" w:eastAsia="Times New Roman Bold" w:cs="Times New Roman Bold"/>
                <w:b/>
                <w:sz w:val="18"/>
              </w:rPr>
              <w:t>100.00%</w:t>
            </w:r>
          </w:p>
        </w:tc>
      </w:tr>
      <w:tr>
        <w:trPr>
          <w:trHeight w:val="640" w:hRule="exact"/>
        </w:trPr>
        <w:tc>
          <w:tcPr>
            <w:tcW w:w="1040" w:type="dxa"/>
            <w:vMerge w:val="restart"/>
            <w:tcMar>
              <w:top w:w="0" w:type="dxa"/>
              <w:left w:w="0" w:type="dxa"/>
              <w:bottom w:w="0" w:type="dxa"/>
              <w:right w:w="0" w:type="dxa"/>
            </w:tcMar>
          </w:tcPr>
          <w:p>
            <w:pPr>
              <w:spacing w:before="380"/>
              <w:ind w:left="140"/>
            </w:pPr>
            <w:r>
              <w:rPr>
                <w:rFonts w:hint="eastAsia" w:ascii="宋体" w:hAnsi="宋体" w:eastAsia="宋体" w:cs="宋体"/>
                <w:sz w:val="18"/>
              </w:rPr>
              <w:t>产品化软</w:t>
            </w:r>
          </w:p>
          <w:p>
            <w:pPr>
              <w:spacing w:before="120"/>
              <w:ind w:left="420"/>
            </w:pPr>
            <w:r>
              <w:rPr>
                <w:rFonts w:hint="eastAsia" w:ascii="宋体" w:hAnsi="宋体" w:eastAsia="宋体" w:cs="宋体"/>
                <w:sz w:val="18"/>
              </w:rPr>
              <w:t>件</w:t>
            </w:r>
          </w:p>
        </w:tc>
        <w:tc>
          <w:tcPr>
            <w:tcW w:w="2000" w:type="dxa"/>
            <w:tcMar>
              <w:top w:w="0" w:type="dxa"/>
              <w:left w:w="0" w:type="dxa"/>
              <w:bottom w:w="0" w:type="dxa"/>
              <w:right w:w="0" w:type="dxa"/>
            </w:tcMar>
          </w:tcPr>
          <w:p>
            <w:pPr>
              <w:spacing w:before="220"/>
              <w:ind w:left="100"/>
            </w:pPr>
            <w:r>
              <w:rPr>
                <w:rFonts w:hint="eastAsia" w:ascii="Times New Roman" w:hAnsi="Times New Roman" w:eastAsia="Times New Roman" w:cs="Times New Roman"/>
                <w:sz w:val="18"/>
              </w:rPr>
              <w:t>100</w:t>
            </w:r>
            <w:r>
              <w:rPr>
                <w:rFonts w:hint="eastAsia" w:ascii="宋体" w:hAnsi="宋体" w:eastAsia="宋体" w:cs="宋体"/>
                <w:sz w:val="18"/>
              </w:rPr>
              <w:t xml:space="preserve"> 万元（含）以下</w:t>
            </w:r>
          </w:p>
        </w:tc>
        <w:tc>
          <w:tcPr>
            <w:tcW w:w="600" w:type="dxa"/>
            <w:tcMar>
              <w:top w:w="0" w:type="dxa"/>
              <w:left w:w="0" w:type="dxa"/>
              <w:bottom w:w="0" w:type="dxa"/>
              <w:right w:w="0" w:type="dxa"/>
            </w:tcMar>
          </w:tcPr>
          <w:p>
            <w:pPr>
              <w:spacing w:before="260"/>
              <w:ind w:left="300"/>
            </w:pPr>
            <w:r>
              <w:rPr>
                <w:rFonts w:hint="eastAsia" w:ascii="Times New Roman" w:hAnsi="Times New Roman" w:eastAsia="Times New Roman" w:cs="Times New Roman"/>
                <w:sz w:val="18"/>
              </w:rPr>
              <w:t>68</w:t>
            </w:r>
          </w:p>
        </w:tc>
        <w:tc>
          <w:tcPr>
            <w:tcW w:w="1420" w:type="dxa"/>
            <w:tcMar>
              <w:top w:w="0" w:type="dxa"/>
              <w:left w:w="0" w:type="dxa"/>
              <w:bottom w:w="0" w:type="dxa"/>
              <w:right w:w="0" w:type="dxa"/>
            </w:tcMar>
          </w:tcPr>
          <w:p>
            <w:pPr>
              <w:spacing w:before="260"/>
              <w:ind w:left="740"/>
            </w:pPr>
            <w:r>
              <w:rPr>
                <w:rFonts w:hint="eastAsia" w:ascii="Times New Roman" w:hAnsi="Times New Roman" w:eastAsia="Times New Roman" w:cs="Times New Roman"/>
                <w:sz w:val="18"/>
              </w:rPr>
              <w:t>90.67%</w:t>
            </w:r>
          </w:p>
        </w:tc>
        <w:tc>
          <w:tcPr>
            <w:tcW w:w="760" w:type="dxa"/>
            <w:tcMar>
              <w:top w:w="0" w:type="dxa"/>
              <w:left w:w="0" w:type="dxa"/>
              <w:bottom w:w="0" w:type="dxa"/>
              <w:right w:w="0" w:type="dxa"/>
            </w:tcMar>
          </w:tcPr>
          <w:p>
            <w:pPr>
              <w:spacing w:before="260"/>
              <w:ind w:left="460"/>
            </w:pPr>
            <w:r>
              <w:rPr>
                <w:rFonts w:hint="eastAsia" w:ascii="Times New Roman" w:hAnsi="Times New Roman" w:eastAsia="Times New Roman" w:cs="Times New Roman"/>
                <w:sz w:val="18"/>
              </w:rPr>
              <w:t>60</w:t>
            </w:r>
          </w:p>
        </w:tc>
        <w:tc>
          <w:tcPr>
            <w:tcW w:w="1380" w:type="dxa"/>
            <w:tcMar>
              <w:top w:w="0" w:type="dxa"/>
              <w:left w:w="0" w:type="dxa"/>
              <w:bottom w:w="0" w:type="dxa"/>
              <w:right w:w="0" w:type="dxa"/>
            </w:tcMar>
          </w:tcPr>
          <w:p>
            <w:pPr>
              <w:spacing w:before="260"/>
              <w:ind w:left="700"/>
            </w:pPr>
            <w:r>
              <w:rPr>
                <w:rFonts w:hint="eastAsia" w:ascii="Times New Roman" w:hAnsi="Times New Roman" w:eastAsia="Times New Roman" w:cs="Times New Roman"/>
                <w:sz w:val="18"/>
              </w:rPr>
              <w:t>89.55%</w:t>
            </w:r>
          </w:p>
        </w:tc>
        <w:tc>
          <w:tcPr>
            <w:tcW w:w="70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57</w:t>
            </w:r>
          </w:p>
        </w:tc>
        <w:tc>
          <w:tcPr>
            <w:tcW w:w="1360" w:type="dxa"/>
            <w:tcMar>
              <w:top w:w="0" w:type="dxa"/>
              <w:left w:w="0" w:type="dxa"/>
              <w:bottom w:w="0" w:type="dxa"/>
              <w:right w:w="0" w:type="dxa"/>
            </w:tcMar>
          </w:tcPr>
          <w:p>
            <w:pPr>
              <w:spacing w:before="260"/>
              <w:ind w:left="680"/>
            </w:pPr>
            <w:r>
              <w:rPr>
                <w:rFonts w:hint="eastAsia" w:ascii="Times New Roman" w:hAnsi="Times New Roman" w:eastAsia="Times New Roman" w:cs="Times New Roman"/>
                <w:sz w:val="18"/>
              </w:rPr>
              <w:t>96.61%</w:t>
            </w:r>
          </w:p>
        </w:tc>
      </w:tr>
      <w:tr>
        <w:trPr>
          <w:trHeight w:val="640" w:hRule="exact"/>
        </w:trPr>
        <w:tc>
          <w:tcPr>
            <w:tcW w:w="1040" w:type="dxa"/>
            <w:vMerge w:val="continue"/>
            <w:tcMar>
              <w:top w:w="0" w:type="dxa"/>
              <w:left w:w="0" w:type="dxa"/>
              <w:bottom w:w="0" w:type="dxa"/>
              <w:right w:w="0" w:type="dxa"/>
            </w:tcMar>
          </w:tcPr>
          <w:p/>
        </w:tc>
        <w:tc>
          <w:tcPr>
            <w:tcW w:w="2000" w:type="dxa"/>
            <w:tcMar>
              <w:top w:w="0" w:type="dxa"/>
              <w:left w:w="0" w:type="dxa"/>
              <w:bottom w:w="0" w:type="dxa"/>
              <w:right w:w="0" w:type="dxa"/>
            </w:tcMar>
          </w:tcPr>
          <w:p>
            <w:pPr>
              <w:spacing w:before="220"/>
              <w:ind w:left="100"/>
            </w:pPr>
            <w:r>
              <w:rPr>
                <w:rFonts w:hint="eastAsia" w:ascii="Times New Roman" w:hAnsi="Times New Roman" w:eastAsia="Times New Roman" w:cs="Times New Roman"/>
                <w:sz w:val="18"/>
              </w:rPr>
              <w:t>100</w:t>
            </w:r>
            <w:r>
              <w:rPr>
                <w:rFonts w:hint="eastAsia" w:ascii="宋体" w:hAnsi="宋体" w:eastAsia="宋体" w:cs="宋体"/>
                <w:sz w:val="18"/>
              </w:rPr>
              <w:t xml:space="preserve"> 万元以上</w:t>
            </w:r>
          </w:p>
        </w:tc>
        <w:tc>
          <w:tcPr>
            <w:tcW w:w="60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7</w:t>
            </w:r>
          </w:p>
        </w:tc>
        <w:tc>
          <w:tcPr>
            <w:tcW w:w="1420" w:type="dxa"/>
            <w:tcMar>
              <w:top w:w="0" w:type="dxa"/>
              <w:left w:w="0" w:type="dxa"/>
              <w:bottom w:w="0" w:type="dxa"/>
              <w:right w:w="0" w:type="dxa"/>
            </w:tcMar>
          </w:tcPr>
          <w:p>
            <w:pPr>
              <w:spacing w:before="260"/>
              <w:ind w:left="820"/>
            </w:pPr>
            <w:r>
              <w:rPr>
                <w:rFonts w:hint="eastAsia" w:ascii="Times New Roman" w:hAnsi="Times New Roman" w:eastAsia="Times New Roman" w:cs="Times New Roman"/>
                <w:sz w:val="18"/>
              </w:rPr>
              <w:t>9.33%</w:t>
            </w:r>
          </w:p>
        </w:tc>
        <w:tc>
          <w:tcPr>
            <w:tcW w:w="76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18"/>
              </w:rPr>
              <w:t>7</w:t>
            </w:r>
          </w:p>
        </w:tc>
        <w:tc>
          <w:tcPr>
            <w:tcW w:w="1380" w:type="dxa"/>
            <w:tcMar>
              <w:top w:w="0" w:type="dxa"/>
              <w:left w:w="0" w:type="dxa"/>
              <w:bottom w:w="0" w:type="dxa"/>
              <w:right w:w="0" w:type="dxa"/>
            </w:tcMar>
          </w:tcPr>
          <w:p>
            <w:pPr>
              <w:spacing w:before="260"/>
              <w:ind w:left="700"/>
            </w:pPr>
            <w:r>
              <w:rPr>
                <w:rFonts w:hint="eastAsia" w:ascii="Times New Roman" w:hAnsi="Times New Roman" w:eastAsia="Times New Roman" w:cs="Times New Roman"/>
                <w:sz w:val="18"/>
              </w:rPr>
              <w:t>10.45%</w:t>
            </w:r>
          </w:p>
        </w:tc>
        <w:tc>
          <w:tcPr>
            <w:tcW w:w="700" w:type="dxa"/>
            <w:tcMar>
              <w:top w:w="0" w:type="dxa"/>
              <w:left w:w="0" w:type="dxa"/>
              <w:bottom w:w="0" w:type="dxa"/>
              <w:right w:w="0" w:type="dxa"/>
            </w:tcMar>
          </w:tcPr>
          <w:p>
            <w:pPr>
              <w:spacing w:before="260"/>
              <w:ind w:left="500"/>
            </w:pPr>
            <w:r>
              <w:rPr>
                <w:rFonts w:hint="eastAsia" w:ascii="Times New Roman" w:hAnsi="Times New Roman" w:eastAsia="Times New Roman" w:cs="Times New Roman"/>
                <w:sz w:val="18"/>
              </w:rPr>
              <w:t>2</w:t>
            </w:r>
          </w:p>
        </w:tc>
        <w:tc>
          <w:tcPr>
            <w:tcW w:w="1360" w:type="dxa"/>
            <w:tcMar>
              <w:top w:w="0" w:type="dxa"/>
              <w:left w:w="0" w:type="dxa"/>
              <w:bottom w:w="0" w:type="dxa"/>
              <w:right w:w="0" w:type="dxa"/>
            </w:tcMar>
          </w:tcPr>
          <w:p>
            <w:pPr>
              <w:spacing w:before="260"/>
              <w:ind w:left="780"/>
            </w:pPr>
            <w:r>
              <w:rPr>
                <w:rFonts w:hint="eastAsia" w:ascii="Times New Roman" w:hAnsi="Times New Roman" w:eastAsia="Times New Roman" w:cs="Times New Roman"/>
                <w:sz w:val="18"/>
              </w:rPr>
              <w:t>3.39%</w:t>
            </w:r>
          </w:p>
        </w:tc>
      </w:tr>
      <w:tr>
        <w:trPr>
          <w:trHeight w:val="620" w:hRule="exact"/>
        </w:trPr>
        <w:tc>
          <w:tcPr>
            <w:tcW w:w="3040" w:type="dxa"/>
            <w:gridSpan w:val="2"/>
            <w:tcMar>
              <w:top w:w="0" w:type="dxa"/>
              <w:left w:w="0" w:type="dxa"/>
              <w:bottom w:w="0" w:type="dxa"/>
              <w:right w:w="0" w:type="dxa"/>
            </w:tcMar>
          </w:tcPr>
          <w:p>
            <w:pPr>
              <w:spacing w:before="200"/>
              <w:ind w:left="1320"/>
            </w:pPr>
            <w:r>
              <w:rPr>
                <w:rFonts w:hint="eastAsia" w:ascii="宋体" w:hAnsi="宋体" w:eastAsia="宋体" w:cs="宋体"/>
                <w:b/>
                <w:sz w:val="18"/>
              </w:rPr>
              <w:t>小计</w:t>
            </w:r>
          </w:p>
        </w:tc>
        <w:tc>
          <w:tcPr>
            <w:tcW w:w="600" w:type="dxa"/>
            <w:tcMar>
              <w:top w:w="0" w:type="dxa"/>
              <w:left w:w="0" w:type="dxa"/>
              <w:bottom w:w="0" w:type="dxa"/>
              <w:right w:w="0" w:type="dxa"/>
            </w:tcMar>
          </w:tcPr>
          <w:p>
            <w:pPr>
              <w:spacing w:before="240"/>
              <w:ind w:left="300"/>
            </w:pPr>
            <w:r>
              <w:rPr>
                <w:rFonts w:hint="eastAsia" w:ascii="Times New Roman Bold" w:hAnsi="Times New Roman Bold" w:eastAsia="Times New Roman Bold" w:cs="Times New Roman Bold"/>
                <w:b/>
                <w:sz w:val="18"/>
              </w:rPr>
              <w:t>75</w:t>
            </w:r>
          </w:p>
        </w:tc>
        <w:tc>
          <w:tcPr>
            <w:tcW w:w="1420" w:type="dxa"/>
            <w:tcMar>
              <w:top w:w="0" w:type="dxa"/>
              <w:left w:w="0" w:type="dxa"/>
              <w:bottom w:w="0" w:type="dxa"/>
              <w:right w:w="0" w:type="dxa"/>
            </w:tcMar>
          </w:tcPr>
          <w:p>
            <w:pPr>
              <w:spacing w:before="220"/>
              <w:ind w:left="620"/>
            </w:pPr>
            <w:r>
              <w:rPr>
                <w:rFonts w:hint="eastAsia" w:ascii="Times New Roman Bold" w:hAnsi="Times New Roman Bold" w:eastAsia="Times New Roman Bold" w:cs="Times New Roman Bold"/>
                <w:b/>
                <w:sz w:val="18"/>
              </w:rPr>
              <w:t>100.00%</w:t>
            </w:r>
          </w:p>
        </w:tc>
        <w:tc>
          <w:tcPr>
            <w:tcW w:w="760" w:type="dxa"/>
            <w:tcMar>
              <w:top w:w="0" w:type="dxa"/>
              <w:left w:w="0" w:type="dxa"/>
              <w:bottom w:w="0" w:type="dxa"/>
              <w:right w:w="0" w:type="dxa"/>
            </w:tcMar>
          </w:tcPr>
          <w:p>
            <w:pPr>
              <w:spacing w:before="220"/>
              <w:ind w:left="460"/>
            </w:pPr>
            <w:r>
              <w:rPr>
                <w:rFonts w:hint="eastAsia" w:ascii="Times New Roman Bold" w:hAnsi="Times New Roman Bold" w:eastAsia="Times New Roman Bold" w:cs="Times New Roman Bold"/>
                <w:b/>
                <w:sz w:val="18"/>
              </w:rPr>
              <w:t>67</w:t>
            </w:r>
          </w:p>
        </w:tc>
        <w:tc>
          <w:tcPr>
            <w:tcW w:w="1380" w:type="dxa"/>
            <w:tcMar>
              <w:top w:w="0" w:type="dxa"/>
              <w:left w:w="0" w:type="dxa"/>
              <w:bottom w:w="0" w:type="dxa"/>
              <w:right w:w="0" w:type="dxa"/>
            </w:tcMar>
          </w:tcPr>
          <w:p>
            <w:pPr>
              <w:spacing w:before="220"/>
              <w:ind w:left="580"/>
            </w:pPr>
            <w:r>
              <w:rPr>
                <w:rFonts w:hint="eastAsia" w:ascii="Times New Roman Bold" w:hAnsi="Times New Roman Bold" w:eastAsia="Times New Roman Bold" w:cs="Times New Roman Bold"/>
                <w:b/>
                <w:sz w:val="18"/>
              </w:rPr>
              <w:t>100.00%</w:t>
            </w:r>
          </w:p>
        </w:tc>
        <w:tc>
          <w:tcPr>
            <w:tcW w:w="700" w:type="dxa"/>
            <w:tcMar>
              <w:top w:w="0" w:type="dxa"/>
              <w:left w:w="0" w:type="dxa"/>
              <w:bottom w:w="0" w:type="dxa"/>
              <w:right w:w="0" w:type="dxa"/>
            </w:tcMar>
          </w:tcPr>
          <w:p>
            <w:pPr>
              <w:spacing w:before="220"/>
              <w:ind w:left="400"/>
            </w:pPr>
            <w:r>
              <w:rPr>
                <w:rFonts w:hint="eastAsia" w:ascii="Times New Roman Bold" w:hAnsi="Times New Roman Bold" w:eastAsia="Times New Roman Bold" w:cs="Times New Roman Bold"/>
                <w:b/>
                <w:sz w:val="18"/>
              </w:rPr>
              <w:t>59</w:t>
            </w:r>
          </w:p>
        </w:tc>
        <w:tc>
          <w:tcPr>
            <w:tcW w:w="1360" w:type="dxa"/>
            <w:tcMar>
              <w:top w:w="0" w:type="dxa"/>
              <w:left w:w="0" w:type="dxa"/>
              <w:bottom w:w="0" w:type="dxa"/>
              <w:right w:w="0" w:type="dxa"/>
            </w:tcMar>
          </w:tcPr>
          <w:p>
            <w:pPr>
              <w:spacing w:before="220"/>
              <w:ind w:left="560"/>
            </w:pPr>
            <w:r>
              <w:rPr>
                <w:rFonts w:hint="eastAsia" w:ascii="Times New Roman Bold" w:hAnsi="Times New Roman Bold" w:eastAsia="Times New Roman Bold" w:cs="Times New Roman Bold"/>
                <w:b/>
                <w:sz w:val="18"/>
              </w:rPr>
              <w:t>100.00%</w:t>
            </w:r>
          </w:p>
        </w:tc>
      </w:tr>
      <w:tr>
        <w:trPr>
          <w:trHeight w:val="640" w:hRule="exact"/>
        </w:trPr>
        <w:tc>
          <w:tcPr>
            <w:tcW w:w="1040" w:type="dxa"/>
            <w:vMerge w:val="restart"/>
            <w:tcMar>
              <w:top w:w="0" w:type="dxa"/>
              <w:left w:w="0" w:type="dxa"/>
              <w:bottom w:w="0" w:type="dxa"/>
              <w:right w:w="0" w:type="dxa"/>
            </w:tcMar>
          </w:tcPr>
          <w:p>
            <w:pPr>
              <w:spacing w:before="380"/>
              <w:ind w:left="140"/>
            </w:pPr>
            <w:r>
              <w:rPr>
                <w:rFonts w:hint="eastAsia" w:ascii="宋体" w:hAnsi="宋体" w:eastAsia="宋体" w:cs="宋体"/>
                <w:sz w:val="18"/>
              </w:rPr>
              <w:t>软件运维</w:t>
            </w:r>
          </w:p>
          <w:p>
            <w:pPr>
              <w:spacing w:before="120"/>
              <w:ind w:left="320"/>
            </w:pPr>
            <w:r>
              <w:rPr>
                <w:rFonts w:hint="eastAsia" w:ascii="宋体" w:hAnsi="宋体" w:eastAsia="宋体" w:cs="宋体"/>
                <w:sz w:val="18"/>
              </w:rPr>
              <w:t>服务</w:t>
            </w:r>
          </w:p>
        </w:tc>
        <w:tc>
          <w:tcPr>
            <w:tcW w:w="2000" w:type="dxa"/>
            <w:tcMar>
              <w:top w:w="0" w:type="dxa"/>
              <w:left w:w="0" w:type="dxa"/>
              <w:bottom w:w="0" w:type="dxa"/>
              <w:right w:w="0" w:type="dxa"/>
            </w:tcMar>
          </w:tcPr>
          <w:p>
            <w:pPr>
              <w:spacing w:before="220"/>
              <w:ind w:left="100"/>
            </w:pPr>
            <w:r>
              <w:rPr>
                <w:rFonts w:hint="eastAsia" w:ascii="Times New Roman" w:hAnsi="Times New Roman" w:eastAsia="Times New Roman" w:cs="Times New Roman"/>
                <w:sz w:val="18"/>
              </w:rPr>
              <w:t>100</w:t>
            </w:r>
            <w:r>
              <w:rPr>
                <w:rFonts w:hint="eastAsia" w:ascii="宋体" w:hAnsi="宋体" w:eastAsia="宋体" w:cs="宋体"/>
                <w:sz w:val="18"/>
              </w:rPr>
              <w:t xml:space="preserve"> 万元（含）以下</w:t>
            </w:r>
          </w:p>
        </w:tc>
        <w:tc>
          <w:tcPr>
            <w:tcW w:w="600" w:type="dxa"/>
            <w:tcMar>
              <w:top w:w="0" w:type="dxa"/>
              <w:left w:w="0" w:type="dxa"/>
              <w:bottom w:w="0" w:type="dxa"/>
              <w:right w:w="0" w:type="dxa"/>
            </w:tcMar>
          </w:tcPr>
          <w:p>
            <w:pPr>
              <w:spacing w:before="260"/>
              <w:ind w:left="220"/>
            </w:pPr>
            <w:r>
              <w:rPr>
                <w:rFonts w:hint="eastAsia" w:ascii="Times New Roman" w:hAnsi="Times New Roman" w:eastAsia="Times New Roman" w:cs="Times New Roman"/>
                <w:sz w:val="18"/>
              </w:rPr>
              <w:t>398</w:t>
            </w:r>
          </w:p>
        </w:tc>
        <w:tc>
          <w:tcPr>
            <w:tcW w:w="1420" w:type="dxa"/>
            <w:tcMar>
              <w:top w:w="0" w:type="dxa"/>
              <w:left w:w="0" w:type="dxa"/>
              <w:bottom w:w="0" w:type="dxa"/>
              <w:right w:w="0" w:type="dxa"/>
            </w:tcMar>
          </w:tcPr>
          <w:p>
            <w:pPr>
              <w:spacing w:before="260"/>
              <w:ind w:left="740"/>
            </w:pPr>
            <w:r>
              <w:rPr>
                <w:rFonts w:hint="eastAsia" w:ascii="Times New Roman" w:hAnsi="Times New Roman" w:eastAsia="Times New Roman" w:cs="Times New Roman"/>
                <w:sz w:val="18"/>
              </w:rPr>
              <w:t>98.03%</w:t>
            </w:r>
          </w:p>
        </w:tc>
        <w:tc>
          <w:tcPr>
            <w:tcW w:w="760" w:type="dxa"/>
            <w:tcMar>
              <w:top w:w="0" w:type="dxa"/>
              <w:left w:w="0" w:type="dxa"/>
              <w:bottom w:w="0" w:type="dxa"/>
              <w:right w:w="0" w:type="dxa"/>
            </w:tcMar>
          </w:tcPr>
          <w:p>
            <w:pPr>
              <w:spacing w:before="260"/>
              <w:ind w:left="360"/>
            </w:pPr>
            <w:r>
              <w:rPr>
                <w:rFonts w:hint="eastAsia" w:ascii="Times New Roman" w:hAnsi="Times New Roman" w:eastAsia="Times New Roman" w:cs="Times New Roman"/>
                <w:sz w:val="18"/>
              </w:rPr>
              <w:t>408</w:t>
            </w:r>
          </w:p>
        </w:tc>
        <w:tc>
          <w:tcPr>
            <w:tcW w:w="1380" w:type="dxa"/>
            <w:tcMar>
              <w:top w:w="0" w:type="dxa"/>
              <w:left w:w="0" w:type="dxa"/>
              <w:bottom w:w="0" w:type="dxa"/>
              <w:right w:w="0" w:type="dxa"/>
            </w:tcMar>
          </w:tcPr>
          <w:p>
            <w:pPr>
              <w:spacing w:before="260"/>
              <w:ind w:left="700"/>
            </w:pPr>
            <w:r>
              <w:rPr>
                <w:rFonts w:hint="eastAsia" w:ascii="Times New Roman" w:hAnsi="Times New Roman" w:eastAsia="Times New Roman" w:cs="Times New Roman"/>
                <w:sz w:val="18"/>
              </w:rPr>
              <w:t>99.03%</w:t>
            </w:r>
          </w:p>
        </w:tc>
        <w:tc>
          <w:tcPr>
            <w:tcW w:w="700" w:type="dxa"/>
            <w:tcMar>
              <w:top w:w="0" w:type="dxa"/>
              <w:left w:w="0" w:type="dxa"/>
              <w:bottom w:w="0" w:type="dxa"/>
              <w:right w:w="0" w:type="dxa"/>
            </w:tcMar>
          </w:tcPr>
          <w:p>
            <w:pPr>
              <w:spacing w:before="260"/>
              <w:ind w:left="320"/>
            </w:pPr>
            <w:r>
              <w:rPr>
                <w:rFonts w:hint="eastAsia" w:ascii="Times New Roman" w:hAnsi="Times New Roman" w:eastAsia="Times New Roman" w:cs="Times New Roman"/>
                <w:sz w:val="18"/>
              </w:rPr>
              <w:t>335</w:t>
            </w:r>
          </w:p>
        </w:tc>
        <w:tc>
          <w:tcPr>
            <w:tcW w:w="1360" w:type="dxa"/>
            <w:tcMar>
              <w:top w:w="0" w:type="dxa"/>
              <w:left w:w="0" w:type="dxa"/>
              <w:bottom w:w="0" w:type="dxa"/>
              <w:right w:w="0" w:type="dxa"/>
            </w:tcMar>
          </w:tcPr>
          <w:p>
            <w:pPr>
              <w:spacing w:before="260"/>
              <w:ind w:left="680"/>
            </w:pPr>
            <w:r>
              <w:rPr>
                <w:rFonts w:hint="eastAsia" w:ascii="Times New Roman" w:hAnsi="Times New Roman" w:eastAsia="Times New Roman" w:cs="Times New Roman"/>
                <w:sz w:val="18"/>
              </w:rPr>
              <w:t>99.70%</w:t>
            </w:r>
          </w:p>
        </w:tc>
      </w:tr>
      <w:tr>
        <w:trPr>
          <w:trHeight w:val="640" w:hRule="exact"/>
        </w:trPr>
        <w:tc>
          <w:tcPr>
            <w:tcW w:w="1040" w:type="dxa"/>
            <w:vMerge w:val="continue"/>
            <w:tcMar>
              <w:top w:w="0" w:type="dxa"/>
              <w:left w:w="0" w:type="dxa"/>
              <w:bottom w:w="0" w:type="dxa"/>
              <w:right w:w="0" w:type="dxa"/>
            </w:tcMar>
          </w:tcPr>
          <w:p/>
        </w:tc>
        <w:tc>
          <w:tcPr>
            <w:tcW w:w="2000" w:type="dxa"/>
            <w:tcMar>
              <w:top w:w="0" w:type="dxa"/>
              <w:left w:w="0" w:type="dxa"/>
              <w:bottom w:w="0" w:type="dxa"/>
              <w:right w:w="0" w:type="dxa"/>
            </w:tcMar>
          </w:tcPr>
          <w:p>
            <w:pPr>
              <w:spacing w:before="220"/>
              <w:ind w:left="100"/>
            </w:pPr>
            <w:r>
              <w:rPr>
                <w:rFonts w:hint="eastAsia" w:ascii="Times New Roman" w:hAnsi="Times New Roman" w:eastAsia="Times New Roman" w:cs="Times New Roman"/>
                <w:sz w:val="18"/>
              </w:rPr>
              <w:t>100</w:t>
            </w:r>
            <w:r>
              <w:rPr>
                <w:rFonts w:hint="eastAsia" w:ascii="宋体" w:hAnsi="宋体" w:eastAsia="宋体" w:cs="宋体"/>
                <w:sz w:val="18"/>
              </w:rPr>
              <w:t xml:space="preserve"> 万元以上</w:t>
            </w:r>
          </w:p>
        </w:tc>
        <w:tc>
          <w:tcPr>
            <w:tcW w:w="60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8</w:t>
            </w:r>
          </w:p>
        </w:tc>
        <w:tc>
          <w:tcPr>
            <w:tcW w:w="1420" w:type="dxa"/>
            <w:tcMar>
              <w:top w:w="0" w:type="dxa"/>
              <w:left w:w="0" w:type="dxa"/>
              <w:bottom w:w="0" w:type="dxa"/>
              <w:right w:w="0" w:type="dxa"/>
            </w:tcMar>
          </w:tcPr>
          <w:p>
            <w:pPr>
              <w:spacing w:before="260"/>
              <w:ind w:left="820"/>
            </w:pPr>
            <w:r>
              <w:rPr>
                <w:rFonts w:hint="eastAsia" w:ascii="Times New Roman" w:hAnsi="Times New Roman" w:eastAsia="Times New Roman" w:cs="Times New Roman"/>
                <w:sz w:val="18"/>
              </w:rPr>
              <w:t>1.97%</w:t>
            </w:r>
          </w:p>
        </w:tc>
        <w:tc>
          <w:tcPr>
            <w:tcW w:w="76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18"/>
              </w:rPr>
              <w:t>4</w:t>
            </w:r>
          </w:p>
        </w:tc>
        <w:tc>
          <w:tcPr>
            <w:tcW w:w="1380" w:type="dxa"/>
            <w:tcMar>
              <w:top w:w="0" w:type="dxa"/>
              <w:left w:w="0" w:type="dxa"/>
              <w:bottom w:w="0" w:type="dxa"/>
              <w:right w:w="0" w:type="dxa"/>
            </w:tcMar>
          </w:tcPr>
          <w:p>
            <w:pPr>
              <w:spacing w:before="260"/>
              <w:ind w:left="800"/>
            </w:pPr>
            <w:r>
              <w:rPr>
                <w:rFonts w:hint="eastAsia" w:ascii="Times New Roman" w:hAnsi="Times New Roman" w:eastAsia="Times New Roman" w:cs="Times New Roman"/>
                <w:sz w:val="18"/>
              </w:rPr>
              <w:t>0.97%</w:t>
            </w:r>
          </w:p>
        </w:tc>
        <w:tc>
          <w:tcPr>
            <w:tcW w:w="700" w:type="dxa"/>
            <w:tcMar>
              <w:top w:w="0" w:type="dxa"/>
              <w:left w:w="0" w:type="dxa"/>
              <w:bottom w:w="0" w:type="dxa"/>
              <w:right w:w="0" w:type="dxa"/>
            </w:tcMar>
          </w:tcPr>
          <w:p>
            <w:pPr>
              <w:spacing w:before="260"/>
              <w:ind w:left="500"/>
            </w:pPr>
            <w:r>
              <w:rPr>
                <w:rFonts w:hint="eastAsia" w:ascii="Times New Roman" w:hAnsi="Times New Roman" w:eastAsia="Times New Roman" w:cs="Times New Roman"/>
                <w:sz w:val="18"/>
              </w:rPr>
              <w:t>1</w:t>
            </w:r>
          </w:p>
        </w:tc>
        <w:tc>
          <w:tcPr>
            <w:tcW w:w="1360" w:type="dxa"/>
            <w:tcMar>
              <w:top w:w="0" w:type="dxa"/>
              <w:left w:w="0" w:type="dxa"/>
              <w:bottom w:w="0" w:type="dxa"/>
              <w:right w:w="0" w:type="dxa"/>
            </w:tcMar>
          </w:tcPr>
          <w:p>
            <w:pPr>
              <w:spacing w:before="260"/>
              <w:ind w:left="780"/>
            </w:pPr>
            <w:r>
              <w:rPr>
                <w:rFonts w:hint="eastAsia" w:ascii="Times New Roman" w:hAnsi="Times New Roman" w:eastAsia="Times New Roman" w:cs="Times New Roman"/>
                <w:sz w:val="18"/>
              </w:rPr>
              <w:t>0.30%</w:t>
            </w:r>
          </w:p>
        </w:tc>
      </w:tr>
      <w:tr>
        <w:trPr>
          <w:trHeight w:val="620" w:hRule="exact"/>
        </w:trPr>
        <w:tc>
          <w:tcPr>
            <w:tcW w:w="3040" w:type="dxa"/>
            <w:gridSpan w:val="2"/>
            <w:tcMar>
              <w:top w:w="0" w:type="dxa"/>
              <w:left w:w="0" w:type="dxa"/>
              <w:bottom w:w="0" w:type="dxa"/>
              <w:right w:w="0" w:type="dxa"/>
            </w:tcMar>
          </w:tcPr>
          <w:p>
            <w:pPr>
              <w:spacing w:before="200"/>
              <w:ind w:left="1320"/>
            </w:pPr>
            <w:r>
              <w:rPr>
                <w:rFonts w:hint="eastAsia" w:ascii="宋体" w:hAnsi="宋体" w:eastAsia="宋体" w:cs="宋体"/>
                <w:b/>
                <w:sz w:val="18"/>
              </w:rPr>
              <w:t>小计</w:t>
            </w:r>
          </w:p>
        </w:tc>
        <w:tc>
          <w:tcPr>
            <w:tcW w:w="600" w:type="dxa"/>
            <w:tcMar>
              <w:top w:w="0" w:type="dxa"/>
              <w:left w:w="0" w:type="dxa"/>
              <w:bottom w:w="0" w:type="dxa"/>
              <w:right w:w="0" w:type="dxa"/>
            </w:tcMar>
          </w:tcPr>
          <w:p>
            <w:pPr>
              <w:spacing w:before="260"/>
              <w:ind w:left="220"/>
            </w:pPr>
            <w:r>
              <w:rPr>
                <w:rFonts w:hint="eastAsia" w:ascii="Times New Roman Bold" w:hAnsi="Times New Roman Bold" w:eastAsia="Times New Roman Bold" w:cs="Times New Roman Bold"/>
                <w:b/>
                <w:sz w:val="18"/>
              </w:rPr>
              <w:t>406</w:t>
            </w:r>
          </w:p>
        </w:tc>
        <w:tc>
          <w:tcPr>
            <w:tcW w:w="1420" w:type="dxa"/>
            <w:tcMar>
              <w:top w:w="0" w:type="dxa"/>
              <w:left w:w="0" w:type="dxa"/>
              <w:bottom w:w="0" w:type="dxa"/>
              <w:right w:w="0" w:type="dxa"/>
            </w:tcMar>
          </w:tcPr>
          <w:p>
            <w:pPr>
              <w:spacing w:before="260"/>
              <w:ind w:left="620"/>
            </w:pPr>
            <w:r>
              <w:rPr>
                <w:rFonts w:hint="eastAsia" w:ascii="Times New Roman Bold" w:hAnsi="Times New Roman Bold" w:eastAsia="Times New Roman Bold" w:cs="Times New Roman Bold"/>
                <w:b/>
                <w:sz w:val="18"/>
              </w:rPr>
              <w:t>100.00%</w:t>
            </w:r>
          </w:p>
        </w:tc>
        <w:tc>
          <w:tcPr>
            <w:tcW w:w="760" w:type="dxa"/>
            <w:tcMar>
              <w:top w:w="0" w:type="dxa"/>
              <w:left w:w="0" w:type="dxa"/>
              <w:bottom w:w="0" w:type="dxa"/>
              <w:right w:w="0" w:type="dxa"/>
            </w:tcMar>
          </w:tcPr>
          <w:p>
            <w:pPr>
              <w:spacing w:before="260"/>
              <w:ind w:left="360"/>
            </w:pPr>
            <w:r>
              <w:rPr>
                <w:rFonts w:hint="eastAsia" w:ascii="Times New Roman Bold" w:hAnsi="Times New Roman Bold" w:eastAsia="Times New Roman Bold" w:cs="Times New Roman Bold"/>
                <w:b/>
                <w:sz w:val="18"/>
              </w:rPr>
              <w:t>412</w:t>
            </w:r>
          </w:p>
        </w:tc>
        <w:tc>
          <w:tcPr>
            <w:tcW w:w="1380" w:type="dxa"/>
            <w:tcMar>
              <w:top w:w="0" w:type="dxa"/>
              <w:left w:w="0" w:type="dxa"/>
              <w:bottom w:w="0" w:type="dxa"/>
              <w:right w:w="0" w:type="dxa"/>
            </w:tcMar>
          </w:tcPr>
          <w:p>
            <w:pPr>
              <w:spacing w:before="260"/>
              <w:ind w:left="580"/>
            </w:pPr>
            <w:r>
              <w:rPr>
                <w:rFonts w:hint="eastAsia" w:ascii="Times New Roman Bold" w:hAnsi="Times New Roman Bold" w:eastAsia="Times New Roman Bold" w:cs="Times New Roman Bold"/>
                <w:b/>
                <w:sz w:val="18"/>
              </w:rPr>
              <w:t>100.00%</w:t>
            </w:r>
          </w:p>
        </w:tc>
        <w:tc>
          <w:tcPr>
            <w:tcW w:w="700" w:type="dxa"/>
            <w:tcMar>
              <w:top w:w="0" w:type="dxa"/>
              <w:left w:w="0" w:type="dxa"/>
              <w:bottom w:w="0" w:type="dxa"/>
              <w:right w:w="0" w:type="dxa"/>
            </w:tcMar>
          </w:tcPr>
          <w:p>
            <w:pPr>
              <w:spacing w:before="260"/>
              <w:ind w:left="320"/>
            </w:pPr>
            <w:r>
              <w:rPr>
                <w:rFonts w:hint="eastAsia" w:ascii="Times New Roman Bold" w:hAnsi="Times New Roman Bold" w:eastAsia="Times New Roman Bold" w:cs="Times New Roman Bold"/>
                <w:b/>
                <w:sz w:val="18"/>
              </w:rPr>
              <w:t>336</w:t>
            </w:r>
          </w:p>
        </w:tc>
        <w:tc>
          <w:tcPr>
            <w:tcW w:w="1360" w:type="dxa"/>
            <w:tcMar>
              <w:top w:w="0" w:type="dxa"/>
              <w:left w:w="0" w:type="dxa"/>
              <w:bottom w:w="0" w:type="dxa"/>
              <w:right w:w="0" w:type="dxa"/>
            </w:tcMar>
          </w:tcPr>
          <w:p>
            <w:pPr>
              <w:spacing w:before="260"/>
              <w:ind w:left="560"/>
            </w:pPr>
            <w:r>
              <w:rPr>
                <w:rFonts w:hint="eastAsia" w:ascii="Times New Roman Bold" w:hAnsi="Times New Roman Bold" w:eastAsia="Times New Roman Bold" w:cs="Times New Roman Bold"/>
                <w:b/>
                <w:sz w:val="18"/>
              </w:rPr>
              <w:t>100.00%</w:t>
            </w:r>
          </w:p>
        </w:tc>
      </w:tr>
      <w:tr>
        <w:trPr>
          <w:trHeight w:val="640" w:hRule="exact"/>
        </w:trPr>
        <w:tc>
          <w:tcPr>
            <w:tcW w:w="1040" w:type="dxa"/>
            <w:vMerge w:val="restart"/>
            <w:tcMar>
              <w:top w:w="0" w:type="dxa"/>
              <w:left w:w="0" w:type="dxa"/>
              <w:bottom w:w="0" w:type="dxa"/>
              <w:right w:w="0" w:type="dxa"/>
            </w:tcMar>
          </w:tcPr>
          <w:p>
            <w:pPr>
              <w:spacing w:before="540"/>
              <w:ind w:left="140"/>
            </w:pPr>
            <w:r>
              <w:rPr>
                <w:rFonts w:hint="eastAsia" w:ascii="宋体" w:hAnsi="宋体" w:eastAsia="宋体" w:cs="宋体"/>
                <w:sz w:val="18"/>
              </w:rPr>
              <w:t>系统集成</w:t>
            </w:r>
          </w:p>
        </w:tc>
        <w:tc>
          <w:tcPr>
            <w:tcW w:w="2000" w:type="dxa"/>
            <w:tcMar>
              <w:top w:w="0" w:type="dxa"/>
              <w:left w:w="0" w:type="dxa"/>
              <w:bottom w:w="0" w:type="dxa"/>
              <w:right w:w="0" w:type="dxa"/>
            </w:tcMar>
          </w:tcPr>
          <w:p>
            <w:pPr>
              <w:spacing w:before="220"/>
              <w:ind w:left="100"/>
            </w:pPr>
            <w:r>
              <w:rPr>
                <w:rFonts w:hint="eastAsia" w:ascii="Times New Roman" w:hAnsi="Times New Roman" w:eastAsia="Times New Roman" w:cs="Times New Roman"/>
                <w:sz w:val="18"/>
              </w:rPr>
              <w:t>100</w:t>
            </w:r>
            <w:r>
              <w:rPr>
                <w:rFonts w:hint="eastAsia" w:ascii="宋体" w:hAnsi="宋体" w:eastAsia="宋体" w:cs="宋体"/>
                <w:sz w:val="18"/>
              </w:rPr>
              <w:t xml:space="preserve"> 万元（含）以下</w:t>
            </w:r>
          </w:p>
        </w:tc>
        <w:tc>
          <w:tcPr>
            <w:tcW w:w="600" w:type="dxa"/>
            <w:tcMar>
              <w:top w:w="0" w:type="dxa"/>
              <w:left w:w="0" w:type="dxa"/>
              <w:bottom w:w="0" w:type="dxa"/>
              <w:right w:w="0" w:type="dxa"/>
            </w:tcMar>
          </w:tcPr>
          <w:p>
            <w:pPr>
              <w:spacing w:before="260"/>
              <w:ind w:left="300"/>
            </w:pPr>
            <w:r>
              <w:rPr>
                <w:rFonts w:hint="eastAsia" w:ascii="Times New Roman" w:hAnsi="Times New Roman" w:eastAsia="Times New Roman" w:cs="Times New Roman"/>
                <w:sz w:val="18"/>
              </w:rPr>
              <w:t>91</w:t>
            </w:r>
          </w:p>
        </w:tc>
        <w:tc>
          <w:tcPr>
            <w:tcW w:w="1420" w:type="dxa"/>
            <w:tcMar>
              <w:top w:w="0" w:type="dxa"/>
              <w:left w:w="0" w:type="dxa"/>
              <w:bottom w:w="0" w:type="dxa"/>
              <w:right w:w="0" w:type="dxa"/>
            </w:tcMar>
          </w:tcPr>
          <w:p>
            <w:pPr>
              <w:spacing w:before="260"/>
              <w:ind w:left="740"/>
            </w:pPr>
            <w:r>
              <w:rPr>
                <w:rFonts w:hint="eastAsia" w:ascii="Times New Roman" w:hAnsi="Times New Roman" w:eastAsia="Times New Roman" w:cs="Times New Roman"/>
                <w:sz w:val="18"/>
              </w:rPr>
              <w:t>97.85%</w:t>
            </w:r>
          </w:p>
        </w:tc>
        <w:tc>
          <w:tcPr>
            <w:tcW w:w="760" w:type="dxa"/>
            <w:tcMar>
              <w:top w:w="0" w:type="dxa"/>
              <w:left w:w="0" w:type="dxa"/>
              <w:bottom w:w="0" w:type="dxa"/>
              <w:right w:w="0" w:type="dxa"/>
            </w:tcMar>
          </w:tcPr>
          <w:p>
            <w:pPr>
              <w:spacing w:before="260"/>
              <w:ind w:left="360"/>
            </w:pPr>
            <w:r>
              <w:rPr>
                <w:rFonts w:hint="eastAsia" w:ascii="Times New Roman" w:hAnsi="Times New Roman" w:eastAsia="Times New Roman" w:cs="Times New Roman"/>
                <w:sz w:val="18"/>
              </w:rPr>
              <w:t>113</w:t>
            </w:r>
          </w:p>
        </w:tc>
        <w:tc>
          <w:tcPr>
            <w:tcW w:w="1380" w:type="dxa"/>
            <w:tcMar>
              <w:top w:w="0" w:type="dxa"/>
              <w:left w:w="0" w:type="dxa"/>
              <w:bottom w:w="0" w:type="dxa"/>
              <w:right w:w="0" w:type="dxa"/>
            </w:tcMar>
          </w:tcPr>
          <w:p>
            <w:pPr>
              <w:spacing w:before="260"/>
              <w:ind w:left="700"/>
            </w:pPr>
            <w:r>
              <w:rPr>
                <w:rFonts w:hint="eastAsia" w:ascii="Times New Roman" w:hAnsi="Times New Roman" w:eastAsia="Times New Roman" w:cs="Times New Roman"/>
                <w:sz w:val="18"/>
              </w:rPr>
              <w:t>94.17%</w:t>
            </w:r>
          </w:p>
        </w:tc>
        <w:tc>
          <w:tcPr>
            <w:tcW w:w="70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86</w:t>
            </w:r>
          </w:p>
        </w:tc>
        <w:tc>
          <w:tcPr>
            <w:tcW w:w="1360" w:type="dxa"/>
            <w:tcMar>
              <w:top w:w="0" w:type="dxa"/>
              <w:left w:w="0" w:type="dxa"/>
              <w:bottom w:w="0" w:type="dxa"/>
              <w:right w:w="0" w:type="dxa"/>
            </w:tcMar>
          </w:tcPr>
          <w:p>
            <w:pPr>
              <w:spacing w:before="260"/>
              <w:ind w:left="680"/>
            </w:pPr>
            <w:r>
              <w:rPr>
                <w:rFonts w:hint="eastAsia" w:ascii="Times New Roman" w:hAnsi="Times New Roman" w:eastAsia="Times New Roman" w:cs="Times New Roman"/>
                <w:sz w:val="18"/>
              </w:rPr>
              <w:t>96.63%</w:t>
            </w:r>
          </w:p>
        </w:tc>
      </w:tr>
      <w:tr>
        <w:trPr>
          <w:trHeight w:val="640" w:hRule="exact"/>
        </w:trPr>
        <w:tc>
          <w:tcPr>
            <w:tcW w:w="1040" w:type="dxa"/>
            <w:vMerge w:val="continue"/>
            <w:tcMar>
              <w:top w:w="0" w:type="dxa"/>
              <w:left w:w="0" w:type="dxa"/>
              <w:bottom w:w="0" w:type="dxa"/>
              <w:right w:w="0" w:type="dxa"/>
            </w:tcMar>
          </w:tcPr>
          <w:p/>
        </w:tc>
        <w:tc>
          <w:tcPr>
            <w:tcW w:w="2000" w:type="dxa"/>
            <w:tcMar>
              <w:top w:w="0" w:type="dxa"/>
              <w:left w:w="0" w:type="dxa"/>
              <w:bottom w:w="0" w:type="dxa"/>
              <w:right w:w="0" w:type="dxa"/>
            </w:tcMar>
          </w:tcPr>
          <w:p>
            <w:pPr>
              <w:spacing w:before="220"/>
              <w:ind w:left="100"/>
            </w:pPr>
            <w:r>
              <w:rPr>
                <w:rFonts w:hint="eastAsia" w:ascii="Times New Roman" w:hAnsi="Times New Roman" w:eastAsia="Times New Roman" w:cs="Times New Roman"/>
                <w:sz w:val="18"/>
              </w:rPr>
              <w:t>100</w:t>
            </w:r>
            <w:r>
              <w:rPr>
                <w:rFonts w:hint="eastAsia" w:ascii="宋体" w:hAnsi="宋体" w:eastAsia="宋体" w:cs="宋体"/>
                <w:sz w:val="18"/>
              </w:rPr>
              <w:t xml:space="preserve"> 万元以上</w:t>
            </w:r>
          </w:p>
        </w:tc>
        <w:tc>
          <w:tcPr>
            <w:tcW w:w="60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18"/>
              </w:rPr>
              <w:t>2</w:t>
            </w:r>
          </w:p>
        </w:tc>
        <w:tc>
          <w:tcPr>
            <w:tcW w:w="1420" w:type="dxa"/>
            <w:tcMar>
              <w:top w:w="0" w:type="dxa"/>
              <w:left w:w="0" w:type="dxa"/>
              <w:bottom w:w="0" w:type="dxa"/>
              <w:right w:w="0" w:type="dxa"/>
            </w:tcMar>
          </w:tcPr>
          <w:p>
            <w:pPr>
              <w:spacing w:before="260"/>
              <w:ind w:left="820"/>
            </w:pPr>
            <w:r>
              <w:rPr>
                <w:rFonts w:hint="eastAsia" w:ascii="Times New Roman" w:hAnsi="Times New Roman" w:eastAsia="Times New Roman" w:cs="Times New Roman"/>
                <w:sz w:val="18"/>
              </w:rPr>
              <w:t>2.15%</w:t>
            </w:r>
          </w:p>
        </w:tc>
        <w:tc>
          <w:tcPr>
            <w:tcW w:w="760" w:type="dxa"/>
            <w:tcMar>
              <w:top w:w="0" w:type="dxa"/>
              <w:left w:w="0" w:type="dxa"/>
              <w:bottom w:w="0" w:type="dxa"/>
              <w:right w:w="0" w:type="dxa"/>
            </w:tcMar>
          </w:tcPr>
          <w:p>
            <w:pPr>
              <w:spacing w:before="260"/>
              <w:ind w:left="540"/>
            </w:pPr>
            <w:r>
              <w:rPr>
                <w:rFonts w:hint="eastAsia" w:ascii="Times New Roman" w:hAnsi="Times New Roman" w:eastAsia="Times New Roman" w:cs="Times New Roman"/>
                <w:sz w:val="18"/>
              </w:rPr>
              <w:t>7</w:t>
            </w:r>
          </w:p>
        </w:tc>
        <w:tc>
          <w:tcPr>
            <w:tcW w:w="1380" w:type="dxa"/>
            <w:tcMar>
              <w:top w:w="0" w:type="dxa"/>
              <w:left w:w="0" w:type="dxa"/>
              <w:bottom w:w="0" w:type="dxa"/>
              <w:right w:w="0" w:type="dxa"/>
            </w:tcMar>
          </w:tcPr>
          <w:p>
            <w:pPr>
              <w:spacing w:before="260"/>
              <w:ind w:left="800"/>
            </w:pPr>
            <w:r>
              <w:rPr>
                <w:rFonts w:hint="eastAsia" w:ascii="Times New Roman" w:hAnsi="Times New Roman" w:eastAsia="Times New Roman" w:cs="Times New Roman"/>
                <w:sz w:val="18"/>
              </w:rPr>
              <w:t>5.83%</w:t>
            </w:r>
          </w:p>
        </w:tc>
        <w:tc>
          <w:tcPr>
            <w:tcW w:w="700" w:type="dxa"/>
            <w:tcMar>
              <w:top w:w="0" w:type="dxa"/>
              <w:left w:w="0" w:type="dxa"/>
              <w:bottom w:w="0" w:type="dxa"/>
              <w:right w:w="0" w:type="dxa"/>
            </w:tcMar>
          </w:tcPr>
          <w:p>
            <w:pPr>
              <w:spacing w:before="260"/>
              <w:ind w:left="500"/>
            </w:pPr>
            <w:r>
              <w:rPr>
                <w:rFonts w:hint="eastAsia" w:ascii="Times New Roman" w:hAnsi="Times New Roman" w:eastAsia="Times New Roman" w:cs="Times New Roman"/>
                <w:sz w:val="18"/>
              </w:rPr>
              <w:t>3</w:t>
            </w:r>
          </w:p>
        </w:tc>
        <w:tc>
          <w:tcPr>
            <w:tcW w:w="1360" w:type="dxa"/>
            <w:tcMar>
              <w:top w:w="0" w:type="dxa"/>
              <w:left w:w="0" w:type="dxa"/>
              <w:bottom w:w="0" w:type="dxa"/>
              <w:right w:w="0" w:type="dxa"/>
            </w:tcMar>
          </w:tcPr>
          <w:p>
            <w:pPr>
              <w:spacing w:before="260"/>
              <w:ind w:left="780"/>
            </w:pPr>
            <w:r>
              <w:rPr>
                <w:rFonts w:hint="eastAsia" w:ascii="Times New Roman" w:hAnsi="Times New Roman" w:eastAsia="Times New Roman" w:cs="Times New Roman"/>
                <w:sz w:val="18"/>
              </w:rPr>
              <w:t>3.37%</w:t>
            </w:r>
          </w:p>
        </w:tc>
      </w:tr>
      <w:tr>
        <w:trPr>
          <w:trHeight w:val="640" w:hRule="exact"/>
        </w:trPr>
        <w:tc>
          <w:tcPr>
            <w:tcW w:w="3040" w:type="dxa"/>
            <w:gridSpan w:val="2"/>
            <w:tcMar>
              <w:top w:w="0" w:type="dxa"/>
              <w:left w:w="0" w:type="dxa"/>
              <w:bottom w:w="0" w:type="dxa"/>
              <w:right w:w="0" w:type="dxa"/>
            </w:tcMar>
          </w:tcPr>
          <w:p>
            <w:pPr>
              <w:spacing w:before="200"/>
              <w:ind w:left="1320"/>
            </w:pPr>
            <w:r>
              <w:rPr>
                <w:rFonts w:hint="eastAsia" w:ascii="宋体" w:hAnsi="宋体" w:eastAsia="宋体" w:cs="宋体"/>
                <w:b/>
                <w:sz w:val="18"/>
              </w:rPr>
              <w:t>小计</w:t>
            </w:r>
          </w:p>
        </w:tc>
        <w:tc>
          <w:tcPr>
            <w:tcW w:w="600" w:type="dxa"/>
            <w:tcMar>
              <w:top w:w="0" w:type="dxa"/>
              <w:left w:w="0" w:type="dxa"/>
              <w:bottom w:w="0" w:type="dxa"/>
              <w:right w:w="0" w:type="dxa"/>
            </w:tcMar>
          </w:tcPr>
          <w:p>
            <w:pPr>
              <w:spacing w:before="260"/>
              <w:ind w:left="300"/>
            </w:pPr>
            <w:r>
              <w:rPr>
                <w:rFonts w:hint="eastAsia" w:ascii="Times New Roman Bold" w:hAnsi="Times New Roman Bold" w:eastAsia="Times New Roman Bold" w:cs="Times New Roman Bold"/>
                <w:b/>
                <w:sz w:val="18"/>
              </w:rPr>
              <w:t>93</w:t>
            </w:r>
          </w:p>
        </w:tc>
        <w:tc>
          <w:tcPr>
            <w:tcW w:w="1420" w:type="dxa"/>
            <w:tcMar>
              <w:top w:w="0" w:type="dxa"/>
              <w:left w:w="0" w:type="dxa"/>
              <w:bottom w:w="0" w:type="dxa"/>
              <w:right w:w="0" w:type="dxa"/>
            </w:tcMar>
          </w:tcPr>
          <w:p>
            <w:pPr>
              <w:spacing w:before="260"/>
              <w:ind w:left="620"/>
            </w:pPr>
            <w:r>
              <w:rPr>
                <w:rFonts w:hint="eastAsia" w:ascii="Times New Roman Bold" w:hAnsi="Times New Roman Bold" w:eastAsia="Times New Roman Bold" w:cs="Times New Roman Bold"/>
                <w:b/>
                <w:sz w:val="18"/>
              </w:rPr>
              <w:t>100.00%</w:t>
            </w:r>
          </w:p>
        </w:tc>
        <w:tc>
          <w:tcPr>
            <w:tcW w:w="760" w:type="dxa"/>
            <w:tcMar>
              <w:top w:w="0" w:type="dxa"/>
              <w:left w:w="0" w:type="dxa"/>
              <w:bottom w:w="0" w:type="dxa"/>
              <w:right w:w="0" w:type="dxa"/>
            </w:tcMar>
          </w:tcPr>
          <w:p>
            <w:pPr>
              <w:spacing w:before="260"/>
              <w:ind w:left="360"/>
            </w:pPr>
            <w:r>
              <w:rPr>
                <w:rFonts w:hint="eastAsia" w:ascii="Times New Roman Bold" w:hAnsi="Times New Roman Bold" w:eastAsia="Times New Roman Bold" w:cs="Times New Roman Bold"/>
                <w:b/>
                <w:sz w:val="18"/>
              </w:rPr>
              <w:t>120</w:t>
            </w:r>
          </w:p>
        </w:tc>
        <w:tc>
          <w:tcPr>
            <w:tcW w:w="1380" w:type="dxa"/>
            <w:tcMar>
              <w:top w:w="0" w:type="dxa"/>
              <w:left w:w="0" w:type="dxa"/>
              <w:bottom w:w="0" w:type="dxa"/>
              <w:right w:w="0" w:type="dxa"/>
            </w:tcMar>
          </w:tcPr>
          <w:p>
            <w:pPr>
              <w:spacing w:before="260"/>
              <w:ind w:left="580"/>
            </w:pPr>
            <w:r>
              <w:rPr>
                <w:rFonts w:hint="eastAsia" w:ascii="Times New Roman Bold" w:hAnsi="Times New Roman Bold" w:eastAsia="Times New Roman Bold" w:cs="Times New Roman Bold"/>
                <w:b/>
                <w:sz w:val="18"/>
              </w:rPr>
              <w:t>100.00%</w:t>
            </w:r>
          </w:p>
        </w:tc>
        <w:tc>
          <w:tcPr>
            <w:tcW w:w="700" w:type="dxa"/>
            <w:tcMar>
              <w:top w:w="0" w:type="dxa"/>
              <w:left w:w="0" w:type="dxa"/>
              <w:bottom w:w="0" w:type="dxa"/>
              <w:right w:w="0" w:type="dxa"/>
            </w:tcMar>
          </w:tcPr>
          <w:p>
            <w:pPr>
              <w:spacing w:before="260"/>
              <w:ind w:left="400"/>
            </w:pPr>
            <w:r>
              <w:rPr>
                <w:rFonts w:hint="eastAsia" w:ascii="Times New Roman Bold" w:hAnsi="Times New Roman Bold" w:eastAsia="Times New Roman Bold" w:cs="Times New Roman Bold"/>
                <w:b/>
                <w:sz w:val="18"/>
              </w:rPr>
              <w:t>89</w:t>
            </w:r>
          </w:p>
        </w:tc>
        <w:tc>
          <w:tcPr>
            <w:tcW w:w="1360" w:type="dxa"/>
            <w:tcMar>
              <w:top w:w="0" w:type="dxa"/>
              <w:left w:w="0" w:type="dxa"/>
              <w:bottom w:w="0" w:type="dxa"/>
              <w:right w:w="0" w:type="dxa"/>
            </w:tcMar>
          </w:tcPr>
          <w:p>
            <w:pPr>
              <w:spacing w:before="260"/>
              <w:ind w:left="560"/>
            </w:pPr>
            <w:r>
              <w:rPr>
                <w:rFonts w:hint="eastAsia" w:ascii="Times New Roman Bold" w:hAnsi="Times New Roman Bold" w:eastAsia="Times New Roman Bold" w:cs="Times New Roman Bold"/>
                <w:b/>
                <w:sz w:val="18"/>
              </w:rPr>
              <w:t>100.00%</w:t>
            </w:r>
          </w:p>
        </w:tc>
      </w:tr>
      <w:tr>
        <w:trPr>
          <w:trHeight w:val="620" w:hRule="exact"/>
        </w:trPr>
        <w:tc>
          <w:tcPr>
            <w:tcW w:w="3040" w:type="dxa"/>
            <w:gridSpan w:val="2"/>
            <w:tcMar>
              <w:top w:w="0" w:type="dxa"/>
              <w:left w:w="0" w:type="dxa"/>
              <w:bottom w:w="0" w:type="dxa"/>
              <w:right w:w="0" w:type="dxa"/>
            </w:tcMar>
          </w:tcPr>
          <w:p>
            <w:pPr>
              <w:spacing w:before="200"/>
              <w:ind w:left="1320"/>
            </w:pPr>
            <w:r>
              <w:rPr>
                <w:rFonts w:hint="eastAsia" w:ascii="宋体" w:hAnsi="宋体" w:eastAsia="宋体" w:cs="宋体"/>
                <w:b/>
                <w:sz w:val="18"/>
              </w:rPr>
              <w:t>合计</w:t>
            </w:r>
          </w:p>
        </w:tc>
        <w:tc>
          <w:tcPr>
            <w:tcW w:w="600" w:type="dxa"/>
            <w:tcMar>
              <w:top w:w="0" w:type="dxa"/>
              <w:left w:w="0" w:type="dxa"/>
              <w:bottom w:w="0" w:type="dxa"/>
              <w:right w:w="0" w:type="dxa"/>
            </w:tcMar>
          </w:tcPr>
          <w:p>
            <w:pPr>
              <w:spacing w:before="220"/>
              <w:ind w:left="220"/>
            </w:pPr>
            <w:r>
              <w:rPr>
                <w:rFonts w:hint="eastAsia" w:ascii="Times New Roman Bold" w:hAnsi="Times New Roman Bold" w:eastAsia="Times New Roman Bold" w:cs="Times New Roman Bold"/>
                <w:b/>
                <w:sz w:val="18"/>
              </w:rPr>
              <w:t>852</w:t>
            </w:r>
          </w:p>
        </w:tc>
        <w:tc>
          <w:tcPr>
            <w:tcW w:w="1420" w:type="dxa"/>
            <w:tcMar>
              <w:top w:w="0" w:type="dxa"/>
              <w:left w:w="0" w:type="dxa"/>
              <w:bottom w:w="0" w:type="dxa"/>
              <w:right w:w="0" w:type="dxa"/>
            </w:tcMar>
          </w:tcPr>
          <w:p>
            <w:pPr>
              <w:spacing w:before="340"/>
              <w:ind w:left="1220"/>
            </w:pPr>
            <w:r>
              <w:rPr>
                <w:rFonts w:hint="eastAsia" w:ascii="Times New Roman Bold" w:hAnsi="Times New Roman Bold" w:eastAsia="Times New Roman Bold" w:cs="Times New Roman Bold"/>
                <w:b/>
                <w:sz w:val="18"/>
              </w:rPr>
              <w:t>-</w:t>
            </w:r>
          </w:p>
        </w:tc>
        <w:tc>
          <w:tcPr>
            <w:tcW w:w="760" w:type="dxa"/>
            <w:tcMar>
              <w:top w:w="0" w:type="dxa"/>
              <w:left w:w="0" w:type="dxa"/>
              <w:bottom w:w="0" w:type="dxa"/>
              <w:right w:w="0" w:type="dxa"/>
            </w:tcMar>
          </w:tcPr>
          <w:p>
            <w:pPr>
              <w:spacing w:before="220"/>
              <w:ind w:left="360"/>
            </w:pPr>
            <w:r>
              <w:rPr>
                <w:rFonts w:hint="eastAsia" w:ascii="Times New Roman Bold" w:hAnsi="Times New Roman Bold" w:eastAsia="Times New Roman Bold" w:cs="Times New Roman Bold"/>
                <w:b/>
                <w:sz w:val="18"/>
              </w:rPr>
              <w:t>862</w:t>
            </w:r>
          </w:p>
        </w:tc>
        <w:tc>
          <w:tcPr>
            <w:tcW w:w="1380" w:type="dxa"/>
            <w:tcMar>
              <w:top w:w="0" w:type="dxa"/>
              <w:left w:w="0" w:type="dxa"/>
              <w:bottom w:w="0" w:type="dxa"/>
              <w:right w:w="0" w:type="dxa"/>
            </w:tcMar>
          </w:tcPr>
          <w:p>
            <w:pPr>
              <w:spacing w:before="340"/>
              <w:ind w:left="1200"/>
            </w:pPr>
            <w:r>
              <w:rPr>
                <w:rFonts w:hint="eastAsia" w:ascii="Times New Roman Bold" w:hAnsi="Times New Roman Bold" w:eastAsia="Times New Roman Bold" w:cs="Times New Roman Bold"/>
                <w:b/>
                <w:sz w:val="18"/>
              </w:rPr>
              <w:t>-</w:t>
            </w:r>
          </w:p>
        </w:tc>
        <w:tc>
          <w:tcPr>
            <w:tcW w:w="700" w:type="dxa"/>
            <w:tcMar>
              <w:top w:w="0" w:type="dxa"/>
              <w:left w:w="0" w:type="dxa"/>
              <w:bottom w:w="0" w:type="dxa"/>
              <w:right w:w="0" w:type="dxa"/>
            </w:tcMar>
          </w:tcPr>
          <w:p>
            <w:pPr>
              <w:spacing w:before="240"/>
              <w:ind w:left="320"/>
            </w:pPr>
            <w:r>
              <w:rPr>
                <w:rFonts w:hint="eastAsia" w:ascii="Times New Roman Bold" w:hAnsi="Times New Roman Bold" w:eastAsia="Times New Roman Bold" w:cs="Times New Roman Bold"/>
                <w:b/>
                <w:sz w:val="18"/>
              </w:rPr>
              <w:t>752</w:t>
            </w:r>
          </w:p>
        </w:tc>
        <w:tc>
          <w:tcPr>
            <w:tcW w:w="1360" w:type="dxa"/>
            <w:tcMar>
              <w:top w:w="0" w:type="dxa"/>
              <w:left w:w="0" w:type="dxa"/>
              <w:bottom w:w="0" w:type="dxa"/>
              <w:right w:w="0" w:type="dxa"/>
            </w:tcMar>
          </w:tcPr>
          <w:p>
            <w:pPr>
              <w:spacing w:before="340"/>
              <w:ind w:left="1180"/>
            </w:pPr>
            <w:r>
              <w:rPr>
                <w:rFonts w:hint="eastAsia" w:ascii="Times New Roman Bold" w:hAnsi="Times New Roman Bold" w:eastAsia="Times New Roman Bold" w:cs="Times New Roman Bold"/>
                <w:b/>
                <w:sz w:val="18"/>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报告期各期内</w:t>
      </w:r>
      <w:r>
        <w:rPr>
          <w:rFonts w:hint="eastAsia" w:ascii="宋体" w:hAnsi="宋体" w:eastAsia="宋体" w:cs="宋体"/>
          <w:sz w:val="10"/>
        </w:rPr>
        <w:t>，</w:t>
      </w:r>
      <w:r>
        <w:rPr>
          <w:rFonts w:hint="eastAsia" w:ascii="宋体" w:hAnsi="宋体" w:eastAsia="宋体" w:cs="宋体"/>
          <w:sz w:val="24"/>
        </w:rPr>
        <w:t>随着发行人业务规模和市场影响力的不断扩大</w:t>
      </w:r>
      <w:r>
        <w:rPr>
          <w:rFonts w:hint="eastAsia" w:ascii="宋体" w:hAnsi="宋体" w:eastAsia="宋体" w:cs="宋体"/>
          <w:sz w:val="10"/>
        </w:rPr>
        <w:t>、</w:t>
      </w:r>
      <w:r>
        <w:rPr>
          <w:rFonts w:hint="eastAsia" w:ascii="宋体" w:hAnsi="宋体" w:eastAsia="宋体" w:cs="宋体"/>
          <w:sz w:val="24"/>
        </w:rPr>
        <w:t>技术实力的不断增强</w:t>
      </w:r>
      <w:r>
        <w:rPr>
          <w:rFonts w:hint="eastAsia" w:ascii="宋体" w:hAnsi="宋体" w:eastAsia="宋体" w:cs="宋体"/>
          <w:sz w:val="10"/>
        </w:rPr>
        <w:t>，</w:t>
      </w:r>
      <w:r>
        <w:rPr>
          <w:rFonts w:hint="eastAsia" w:ascii="宋体" w:hAnsi="宋体" w:eastAsia="宋体" w:cs="宋体"/>
          <w:sz w:val="24"/>
        </w:rPr>
        <w:t>发行人与客户签署的大额订单的数量在逐年增加</w:t>
      </w:r>
      <w:r>
        <w:rPr>
          <w:rFonts w:hint="eastAsia" w:ascii="宋体" w:hAnsi="宋体" w:eastAsia="宋体" w:cs="宋体"/>
          <w:sz w:val="10"/>
        </w:rPr>
        <w:t>。</w:t>
      </w:r>
      <w:r>
        <w:rPr>
          <w:rFonts w:hint="eastAsia" w:ascii="宋体" w:hAnsi="宋体" w:eastAsia="宋体" w:cs="宋体"/>
          <w:sz w:val="24"/>
        </w:rPr>
        <w:t>系统集成业务系根据用户需要将整个系统中的外购软件</w:t>
      </w:r>
      <w:r>
        <w:rPr>
          <w:rFonts w:hint="eastAsia" w:ascii="宋体" w:hAnsi="宋体" w:eastAsia="宋体" w:cs="宋体"/>
          <w:sz w:val="10"/>
        </w:rPr>
        <w:t>、</w:t>
      </w:r>
      <w:r>
        <w:rPr>
          <w:rFonts w:hint="eastAsia" w:ascii="宋体" w:hAnsi="宋体" w:eastAsia="宋体" w:cs="宋体"/>
          <w:sz w:val="24"/>
        </w:rPr>
        <w:t>硬件按照合理的方式进行集成的业务</w:t>
      </w:r>
      <w:r>
        <w:rPr>
          <w:rFonts w:hint="eastAsia" w:ascii="宋体" w:hAnsi="宋体" w:eastAsia="宋体" w:cs="宋体"/>
          <w:sz w:val="10"/>
        </w:rPr>
        <w:t>，</w:t>
      </w:r>
      <w:r>
        <w:rPr>
          <w:rFonts w:hint="eastAsia" w:ascii="宋体" w:hAnsi="宋体" w:eastAsia="宋体" w:cs="宋体"/>
          <w:sz w:val="24"/>
        </w:rPr>
        <w:t>其各期内订单金额的变化主要取决于客户的配套需求</w:t>
      </w:r>
      <w:r>
        <w:rPr>
          <w:rFonts w:hint="eastAsia" w:ascii="宋体" w:hAnsi="宋体" w:eastAsia="宋体" w:cs="宋体"/>
          <w:sz w:val="10"/>
        </w:rPr>
        <w:t>，</w:t>
      </w:r>
      <w:r>
        <w:rPr>
          <w:rFonts w:hint="eastAsia" w:ascii="宋体" w:hAnsi="宋体" w:eastAsia="宋体" w:cs="宋体"/>
          <w:sz w:val="24"/>
        </w:rPr>
        <w:t>其订单金额分布存在</w:t>
      </w:r>
      <w:r>
        <w:rPr>
          <w:rFonts w:hint="eastAsia" w:ascii="宋体" w:hAnsi="宋体" w:eastAsia="宋体" w:cs="宋体"/>
          <w:sz w:val="10"/>
        </w:rPr>
        <w:t>一</w:t>
      </w:r>
      <w:r>
        <w:rPr>
          <w:rFonts w:hint="eastAsia" w:ascii="宋体" w:hAnsi="宋体" w:eastAsia="宋体" w:cs="宋体"/>
          <w:sz w:val="24"/>
        </w:rPr>
        <w:t>定波动性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主营业务收入的行业分布</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公司主营业务收入的行业分布情况如下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00"/>
        <w:gridCol w:w="1420"/>
        <w:gridCol w:w="1180"/>
        <w:gridCol w:w="1420"/>
        <w:gridCol w:w="1080"/>
        <w:gridCol w:w="1420"/>
        <w:gridCol w:w="1460"/>
      </w:tblGrid>
      <w:tr>
        <w:trPr>
          <w:trHeight w:val="540" w:hRule="exact"/>
        </w:trPr>
        <w:tc>
          <w:tcPr>
            <w:tcW w:w="1200" w:type="dxa"/>
            <w:vMerge w:val="restart"/>
            <w:tcMar>
              <w:top w:w="0" w:type="dxa"/>
              <w:left w:w="0" w:type="dxa"/>
              <w:bottom w:w="0" w:type="dxa"/>
              <w:right w:w="0" w:type="dxa"/>
            </w:tcMar>
          </w:tcPr>
          <w:p>
            <w:pPr>
              <w:spacing w:before="380"/>
              <w:ind w:left="160"/>
            </w:pPr>
            <w:r>
              <w:rPr>
                <w:rFonts w:hint="eastAsia" w:ascii="宋体" w:hAnsi="宋体" w:eastAsia="宋体" w:cs="宋体"/>
                <w:b/>
                <w:sz w:val="21"/>
              </w:rPr>
              <w:t>行业种类</w:t>
            </w:r>
          </w:p>
        </w:tc>
        <w:tc>
          <w:tcPr>
            <w:tcW w:w="2600" w:type="dxa"/>
            <w:gridSpan w:val="2"/>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500" w:type="dxa"/>
            <w:gridSpan w:val="2"/>
            <w:tcMar>
              <w:top w:w="0" w:type="dxa"/>
              <w:left w:w="0" w:type="dxa"/>
              <w:bottom w:w="0" w:type="dxa"/>
              <w:right w:w="0" w:type="dxa"/>
            </w:tcMar>
          </w:tcPr>
          <w:p>
            <w:pPr>
              <w:spacing w:before="120"/>
              <w:ind w:left="7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880" w:type="dxa"/>
            <w:gridSpan w:val="2"/>
            <w:tcMar>
              <w:top w:w="0" w:type="dxa"/>
              <w:left w:w="0" w:type="dxa"/>
              <w:bottom w:w="0" w:type="dxa"/>
              <w:right w:w="0" w:type="dxa"/>
            </w:tcMar>
          </w:tcPr>
          <w:p>
            <w:pPr>
              <w:spacing w:before="120"/>
              <w:ind w:left="98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20" w:hRule="exact"/>
        </w:trPr>
        <w:tc>
          <w:tcPr>
            <w:tcW w:w="1200" w:type="dxa"/>
            <w:vMerge w:val="continue"/>
            <w:tcMar>
              <w:top w:w="0" w:type="dxa"/>
              <w:left w:w="0" w:type="dxa"/>
              <w:bottom w:w="0" w:type="dxa"/>
              <w:right w:w="0" w:type="dxa"/>
            </w:tcMar>
          </w:tcPr>
          <w:p/>
        </w:tc>
        <w:tc>
          <w:tcPr>
            <w:tcW w:w="1420" w:type="dxa"/>
            <w:tcMar>
              <w:top w:w="0" w:type="dxa"/>
              <w:left w:w="0" w:type="dxa"/>
              <w:bottom w:w="0" w:type="dxa"/>
              <w:right w:w="0" w:type="dxa"/>
            </w:tcMar>
          </w:tcPr>
          <w:p>
            <w:pPr>
              <w:spacing w:before="120"/>
              <w:ind w:left="480"/>
            </w:pPr>
            <w:r>
              <w:rPr>
                <w:rFonts w:hint="eastAsia" w:ascii="宋体" w:hAnsi="宋体" w:eastAsia="宋体" w:cs="宋体"/>
                <w:b/>
                <w:sz w:val="21"/>
              </w:rPr>
              <w:t>金额</w:t>
            </w:r>
          </w:p>
        </w:tc>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比例</w:t>
            </w:r>
          </w:p>
        </w:tc>
        <w:tc>
          <w:tcPr>
            <w:tcW w:w="1420" w:type="dxa"/>
            <w:tcMar>
              <w:top w:w="0" w:type="dxa"/>
              <w:left w:w="0" w:type="dxa"/>
              <w:bottom w:w="0" w:type="dxa"/>
              <w:right w:w="0" w:type="dxa"/>
            </w:tcMar>
          </w:tcPr>
          <w:p>
            <w:pPr>
              <w:spacing w:before="120"/>
              <w:ind w:left="48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20"/>
              <w:ind w:left="320"/>
            </w:pPr>
            <w:r>
              <w:rPr>
                <w:rFonts w:hint="eastAsia" w:ascii="宋体" w:hAnsi="宋体" w:eastAsia="宋体" w:cs="宋体"/>
                <w:b/>
                <w:sz w:val="21"/>
              </w:rPr>
              <w:t>比例</w:t>
            </w:r>
          </w:p>
        </w:tc>
        <w:tc>
          <w:tcPr>
            <w:tcW w:w="1420" w:type="dxa"/>
            <w:tcMar>
              <w:top w:w="0" w:type="dxa"/>
              <w:left w:w="0" w:type="dxa"/>
              <w:bottom w:w="0" w:type="dxa"/>
              <w:right w:w="0" w:type="dxa"/>
            </w:tcMar>
          </w:tcPr>
          <w:p>
            <w:pPr>
              <w:spacing w:before="120"/>
              <w:ind w:left="480"/>
            </w:pPr>
            <w:r>
              <w:rPr>
                <w:rFonts w:hint="eastAsia" w:ascii="宋体" w:hAnsi="宋体" w:eastAsia="宋体" w:cs="宋体"/>
                <w:b/>
                <w:sz w:val="21"/>
              </w:rPr>
              <w:t>金额</w:t>
            </w:r>
          </w:p>
        </w:tc>
        <w:tc>
          <w:tcPr>
            <w:tcW w:w="1460" w:type="dxa"/>
            <w:tcMar>
              <w:top w:w="0" w:type="dxa"/>
              <w:left w:w="0" w:type="dxa"/>
              <w:bottom w:w="0" w:type="dxa"/>
              <w:right w:w="0" w:type="dxa"/>
            </w:tcMar>
          </w:tcPr>
          <w:p>
            <w:pPr>
              <w:spacing w:before="120"/>
              <w:ind w:left="500"/>
            </w:pPr>
            <w:r>
              <w:rPr>
                <w:rFonts w:hint="eastAsia" w:ascii="宋体" w:hAnsi="宋体" w:eastAsia="宋体" w:cs="宋体"/>
                <w:b/>
                <w:sz w:val="21"/>
              </w:rPr>
              <w:t>比例</w:t>
            </w:r>
          </w:p>
        </w:tc>
      </w:tr>
      <w:tr>
        <w:trPr>
          <w:trHeight w:val="500" w:hRule="exact"/>
        </w:trPr>
        <w:tc>
          <w:tcPr>
            <w:tcW w:w="1200" w:type="dxa"/>
            <w:tcMar>
              <w:top w:w="0" w:type="dxa"/>
              <w:left w:w="0" w:type="dxa"/>
              <w:bottom w:w="0" w:type="dxa"/>
              <w:right w:w="0" w:type="dxa"/>
            </w:tcMar>
          </w:tcPr>
          <w:p>
            <w:pPr>
              <w:spacing w:before="120"/>
              <w:ind w:left="160"/>
            </w:pPr>
            <w:r>
              <w:rPr>
                <w:rFonts w:hint="eastAsia" w:ascii="宋体" w:hAnsi="宋体" w:eastAsia="宋体" w:cs="宋体"/>
                <w:sz w:val="21"/>
              </w:rPr>
              <w:t>金融行业</w:t>
            </w:r>
          </w:p>
        </w:tc>
        <w:tc>
          <w:tcPr>
            <w:tcW w:w="1420" w:type="dxa"/>
            <w:tcMar>
              <w:top w:w="0" w:type="dxa"/>
              <w:left w:w="0" w:type="dxa"/>
              <w:bottom w:w="0" w:type="dxa"/>
              <w:right w:w="0" w:type="dxa"/>
            </w:tcMar>
          </w:tcPr>
          <w:p>
            <w:pPr>
              <w:spacing w:before="180"/>
            </w:pPr>
            <w:r>
              <w:rPr>
                <w:rFonts w:hint="eastAsia" w:ascii="Times New Roman" w:hAnsi="Times New Roman" w:eastAsia="Times New Roman" w:cs="Times New Roman"/>
                <w:sz w:val="21"/>
              </w:rPr>
              <w:t>177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p>
        </w:tc>
        <w:tc>
          <w:tcPr>
            <w:tcW w:w="118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80"/>
            </w:pPr>
            <w:r>
              <w:rPr>
                <w:rFonts w:hint="eastAsia" w:ascii="Times New Roman" w:hAnsi="Times New Roman" w:eastAsia="Times New Roman" w:cs="Times New Roman"/>
                <w:sz w:val="21"/>
              </w:rPr>
              <w:t>173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c>
          <w:tcPr>
            <w:tcW w:w="1080" w:type="dxa"/>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80"/>
            </w:pPr>
            <w:r>
              <w:rPr>
                <w:rFonts w:hint="eastAsia" w:ascii="Times New Roman" w:hAnsi="Times New Roman" w:eastAsia="Times New Roman" w:cs="Times New Roman"/>
                <w:sz w:val="21"/>
              </w:rPr>
              <w:t>146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p>
        </w:tc>
        <w:tc>
          <w:tcPr>
            <w:tcW w:w="1460" w:type="dxa"/>
            <w:tcMar>
              <w:top w:w="0" w:type="dxa"/>
              <w:left w:w="0" w:type="dxa"/>
              <w:bottom w:w="0" w:type="dxa"/>
              <w:right w:w="0" w:type="dxa"/>
            </w:tcMar>
          </w:tcPr>
          <w:p>
            <w:pPr>
              <w:spacing w:before="180"/>
              <w:ind w:left="740"/>
            </w:pP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5620"/>
        <w:jc w:val="both"/>
      </w:pPr>
      <w:r>
        <w:rPr>
          <w:rFonts w:hint="eastAsia" w:ascii="Times New Roman" w:hAnsi="Times New Roman" w:eastAsia="Times New Roman" w:cs="Times New Roman"/>
          <w:sz w:val="21"/>
        </w:rPr>
        <w:t>1-1-271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00"/>
        <w:gridCol w:w="1420"/>
        <w:gridCol w:w="1180"/>
        <w:gridCol w:w="1420"/>
        <w:gridCol w:w="1080"/>
        <w:gridCol w:w="1420"/>
        <w:gridCol w:w="1460"/>
      </w:tblGrid>
      <w:tr>
        <w:trPr>
          <w:trHeight w:val="540" w:hRule="exact"/>
        </w:trPr>
        <w:tc>
          <w:tcPr>
            <w:tcW w:w="1200" w:type="dxa"/>
            <w:vMerge w:val="restart"/>
            <w:tcMar>
              <w:top w:w="0" w:type="dxa"/>
              <w:left w:w="0" w:type="dxa"/>
              <w:bottom w:w="0" w:type="dxa"/>
              <w:right w:w="0" w:type="dxa"/>
            </w:tcMar>
          </w:tcPr>
          <w:p>
            <w:pPr>
              <w:spacing w:before="400"/>
              <w:ind w:left="160"/>
            </w:pPr>
            <w:r>
              <w:rPr>
                <w:rFonts w:hint="eastAsia" w:ascii="宋体" w:hAnsi="宋体" w:eastAsia="宋体" w:cs="宋体"/>
                <w:b/>
                <w:sz w:val="21"/>
              </w:rPr>
              <w:t>行业种类</w:t>
            </w:r>
          </w:p>
        </w:tc>
        <w:tc>
          <w:tcPr>
            <w:tcW w:w="2600" w:type="dxa"/>
            <w:gridSpan w:val="2"/>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500" w:type="dxa"/>
            <w:gridSpan w:val="2"/>
            <w:tcMar>
              <w:top w:w="0" w:type="dxa"/>
              <w:left w:w="0" w:type="dxa"/>
              <w:bottom w:w="0" w:type="dxa"/>
              <w:right w:w="0" w:type="dxa"/>
            </w:tcMar>
          </w:tcPr>
          <w:p>
            <w:pPr>
              <w:spacing w:before="120"/>
              <w:ind w:left="7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880" w:type="dxa"/>
            <w:gridSpan w:val="2"/>
            <w:tcMar>
              <w:top w:w="0" w:type="dxa"/>
              <w:left w:w="0" w:type="dxa"/>
              <w:bottom w:w="0" w:type="dxa"/>
              <w:right w:w="0" w:type="dxa"/>
            </w:tcMar>
          </w:tcPr>
          <w:p>
            <w:pPr>
              <w:spacing w:before="120"/>
              <w:ind w:left="98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40" w:hRule="exact"/>
        </w:trPr>
        <w:tc>
          <w:tcPr>
            <w:tcW w:w="1200" w:type="dxa"/>
            <w:vMerge w:val="continue"/>
            <w:tcMar>
              <w:top w:w="0" w:type="dxa"/>
              <w:left w:w="0" w:type="dxa"/>
              <w:bottom w:w="0" w:type="dxa"/>
              <w:right w:w="0" w:type="dxa"/>
            </w:tcMar>
          </w:tcPr>
          <w:p/>
        </w:tc>
        <w:tc>
          <w:tcPr>
            <w:tcW w:w="1420" w:type="dxa"/>
            <w:tcMar>
              <w:top w:w="0" w:type="dxa"/>
              <w:left w:w="0" w:type="dxa"/>
              <w:bottom w:w="0" w:type="dxa"/>
              <w:right w:w="0" w:type="dxa"/>
            </w:tcMar>
          </w:tcPr>
          <w:p>
            <w:pPr>
              <w:spacing w:before="100"/>
              <w:ind w:left="480"/>
            </w:pPr>
            <w:r>
              <w:rPr>
                <w:rFonts w:hint="eastAsia" w:ascii="宋体" w:hAnsi="宋体" w:eastAsia="宋体" w:cs="宋体"/>
                <w:b/>
                <w:sz w:val="21"/>
              </w:rPr>
              <w:t>金额</w:t>
            </w:r>
          </w:p>
        </w:tc>
        <w:tc>
          <w:tcPr>
            <w:tcW w:w="1180" w:type="dxa"/>
            <w:tcMar>
              <w:top w:w="0" w:type="dxa"/>
              <w:left w:w="0" w:type="dxa"/>
              <w:bottom w:w="0" w:type="dxa"/>
              <w:right w:w="0" w:type="dxa"/>
            </w:tcMar>
          </w:tcPr>
          <w:p>
            <w:pPr>
              <w:spacing w:before="120"/>
              <w:ind w:left="360"/>
            </w:pPr>
            <w:r>
              <w:rPr>
                <w:rFonts w:hint="eastAsia" w:ascii="宋体" w:hAnsi="宋体" w:eastAsia="宋体" w:cs="宋体"/>
                <w:b/>
                <w:sz w:val="21"/>
              </w:rPr>
              <w:t>比例</w:t>
            </w:r>
          </w:p>
        </w:tc>
        <w:tc>
          <w:tcPr>
            <w:tcW w:w="1420" w:type="dxa"/>
            <w:tcMar>
              <w:top w:w="0" w:type="dxa"/>
              <w:left w:w="0" w:type="dxa"/>
              <w:bottom w:w="0" w:type="dxa"/>
              <w:right w:w="0" w:type="dxa"/>
            </w:tcMar>
          </w:tcPr>
          <w:p>
            <w:pPr>
              <w:spacing w:before="100"/>
              <w:ind w:left="480"/>
            </w:pPr>
            <w:r>
              <w:rPr>
                <w:rFonts w:hint="eastAsia" w:ascii="宋体" w:hAnsi="宋体" w:eastAsia="宋体" w:cs="宋体"/>
                <w:b/>
                <w:sz w:val="21"/>
              </w:rPr>
              <w:t>金额</w:t>
            </w:r>
          </w:p>
        </w:tc>
        <w:tc>
          <w:tcPr>
            <w:tcW w:w="1080" w:type="dxa"/>
            <w:tcMar>
              <w:top w:w="0" w:type="dxa"/>
              <w:left w:w="0" w:type="dxa"/>
              <w:bottom w:w="0" w:type="dxa"/>
              <w:right w:w="0" w:type="dxa"/>
            </w:tcMar>
          </w:tcPr>
          <w:p>
            <w:pPr>
              <w:spacing w:before="120"/>
              <w:ind w:left="320"/>
            </w:pPr>
            <w:r>
              <w:rPr>
                <w:rFonts w:hint="eastAsia" w:ascii="宋体" w:hAnsi="宋体" w:eastAsia="宋体" w:cs="宋体"/>
                <w:b/>
                <w:sz w:val="21"/>
              </w:rPr>
              <w:t>比例</w:t>
            </w:r>
          </w:p>
        </w:tc>
        <w:tc>
          <w:tcPr>
            <w:tcW w:w="1420" w:type="dxa"/>
            <w:tcMar>
              <w:top w:w="0" w:type="dxa"/>
              <w:left w:w="0" w:type="dxa"/>
              <w:bottom w:w="0" w:type="dxa"/>
              <w:right w:w="0" w:type="dxa"/>
            </w:tcMar>
          </w:tcPr>
          <w:p>
            <w:pPr>
              <w:spacing w:before="100"/>
              <w:ind w:left="480"/>
            </w:pPr>
            <w:r>
              <w:rPr>
                <w:rFonts w:hint="eastAsia" w:ascii="宋体" w:hAnsi="宋体" w:eastAsia="宋体" w:cs="宋体"/>
                <w:b/>
                <w:sz w:val="21"/>
              </w:rPr>
              <w:t>金额</w:t>
            </w:r>
          </w:p>
        </w:tc>
        <w:tc>
          <w:tcPr>
            <w:tcW w:w="1460" w:type="dxa"/>
            <w:tcMar>
              <w:top w:w="0" w:type="dxa"/>
              <w:left w:w="0" w:type="dxa"/>
              <w:bottom w:w="0" w:type="dxa"/>
              <w:right w:w="0" w:type="dxa"/>
            </w:tcMar>
          </w:tcPr>
          <w:p>
            <w:pPr>
              <w:spacing w:before="120"/>
              <w:ind w:left="500"/>
            </w:pPr>
            <w:r>
              <w:rPr>
                <w:rFonts w:hint="eastAsia" w:ascii="宋体" w:hAnsi="宋体" w:eastAsia="宋体" w:cs="宋体"/>
                <w:b/>
                <w:sz w:val="21"/>
              </w:rPr>
              <w:t>比例</w:t>
            </w:r>
          </w:p>
        </w:tc>
      </w:tr>
      <w:tr>
        <w:trPr>
          <w:trHeight w:val="520" w:hRule="exact"/>
        </w:trPr>
        <w:tc>
          <w:tcPr>
            <w:tcW w:w="1200" w:type="dxa"/>
            <w:tcMar>
              <w:top w:w="0" w:type="dxa"/>
              <w:left w:w="0" w:type="dxa"/>
              <w:bottom w:w="0" w:type="dxa"/>
              <w:right w:w="0" w:type="dxa"/>
            </w:tcMar>
          </w:tcPr>
          <w:p>
            <w:pPr>
              <w:spacing w:before="100"/>
            </w:pPr>
            <w:r>
              <w:rPr>
                <w:rFonts w:hint="eastAsia" w:ascii="宋体" w:hAnsi="宋体" w:eastAsia="宋体" w:cs="宋体"/>
                <w:sz w:val="21"/>
              </w:rPr>
              <w:t>非金融行业</w:t>
            </w:r>
          </w:p>
        </w:tc>
        <w:tc>
          <w:tcPr>
            <w:tcW w:w="1420" w:type="dxa"/>
            <w:tcMar>
              <w:top w:w="0" w:type="dxa"/>
              <w:left w:w="0" w:type="dxa"/>
              <w:bottom w:w="0" w:type="dxa"/>
              <w:right w:w="0" w:type="dxa"/>
            </w:tcMar>
          </w:tcPr>
          <w:p>
            <w:pPr>
              <w:spacing w:before="160"/>
              <w:ind w:left="14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c>
          <w:tcPr>
            <w:tcW w:w="118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ind w:left="14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p>
        </w:tc>
        <w:tc>
          <w:tcPr>
            <w:tcW w:w="1080" w:type="dxa"/>
            <w:tcMar>
              <w:top w:w="0" w:type="dxa"/>
              <w:left w:w="0" w:type="dxa"/>
              <w:bottom w:w="0" w:type="dxa"/>
              <w:right w:w="0" w:type="dxa"/>
            </w:tcMar>
          </w:tcPr>
          <w:p>
            <w:pPr>
              <w:spacing w:before="160"/>
              <w:ind w:left="3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ind w:left="1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46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r>
              <w:rPr>
                <w:rFonts w:hint="eastAsia" w:ascii="Times New Roman" w:hAnsi="Times New Roman" w:eastAsia="Times New Roman" w:cs="Times New Roman"/>
                <w:sz w:val="20"/>
              </w:rPr>
              <w:t>%</w:t>
            </w:r>
          </w:p>
        </w:tc>
      </w:tr>
      <w:tr>
        <w:trPr>
          <w:trHeight w:val="500" w:hRule="exact"/>
        </w:trPr>
        <w:tc>
          <w:tcPr>
            <w:tcW w:w="1200" w:type="dxa"/>
            <w:tcMar>
              <w:top w:w="0" w:type="dxa"/>
              <w:left w:w="0" w:type="dxa"/>
              <w:bottom w:w="0" w:type="dxa"/>
              <w:right w:w="0" w:type="dxa"/>
            </w:tcMar>
          </w:tcPr>
          <w:p>
            <w:pPr>
              <w:spacing w:before="100"/>
              <w:ind w:left="380"/>
            </w:pPr>
            <w:r>
              <w:rPr>
                <w:rFonts w:hint="eastAsia" w:ascii="宋体" w:hAnsi="宋体" w:eastAsia="宋体" w:cs="宋体"/>
                <w:b/>
                <w:sz w:val="21"/>
              </w:rPr>
              <w:t>合计</w:t>
            </w:r>
          </w:p>
        </w:tc>
        <w:tc>
          <w:tcPr>
            <w:tcW w:w="142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1180" w:type="dxa"/>
            <w:tcMar>
              <w:top w:w="0" w:type="dxa"/>
              <w:left w:w="0" w:type="dxa"/>
              <w:bottom w:w="0" w:type="dxa"/>
              <w:right w:w="0" w:type="dxa"/>
            </w:tcMar>
          </w:tcPr>
          <w:p>
            <w:pPr>
              <w:spacing w:before="140"/>
              <w:ind w:left="3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2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1080" w:type="dxa"/>
            <w:tcMar>
              <w:top w:w="0" w:type="dxa"/>
              <w:left w:w="0" w:type="dxa"/>
              <w:bottom w:w="0" w:type="dxa"/>
              <w:right w:w="0" w:type="dxa"/>
            </w:tcMar>
          </w:tcPr>
          <w:p>
            <w:pPr>
              <w:spacing w:before="140"/>
              <w:ind w:left="2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2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1460" w:type="dxa"/>
            <w:tcMar>
              <w:top w:w="0" w:type="dxa"/>
              <w:left w:w="0" w:type="dxa"/>
              <w:bottom w:w="0" w:type="dxa"/>
              <w:right w:w="0" w:type="dxa"/>
            </w:tcMar>
          </w:tcPr>
          <w:p>
            <w:pPr>
              <w:spacing w:before="140"/>
              <w:ind w:left="6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公司的主营业务收入主要来自于金融行业</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年度</w:t>
      </w:r>
      <w:r>
        <w:rPr>
          <w:rFonts w:hint="eastAsia" w:ascii="宋体" w:hAnsi="宋体" w:eastAsia="宋体" w:cs="宋体"/>
          <w:sz w:val="10"/>
        </w:rPr>
        <w:t>，</w:t>
      </w:r>
      <w:r>
        <w:rPr>
          <w:rFonts w:hint="eastAsia" w:ascii="宋体" w:hAnsi="宋体" w:eastAsia="宋体" w:cs="宋体"/>
          <w:sz w:val="24"/>
        </w:rPr>
        <w:t>金融行业营业收入分别为</w:t>
      </w:r>
      <w:r>
        <w:rPr>
          <w:rFonts w:hint="eastAsia" w:ascii="Times New Roman" w:hAnsi="Times New Roman" w:eastAsia="Times New Roman" w:cs="Times New Roman"/>
          <w:sz w:val="24"/>
        </w:rPr>
        <w:t xml:space="preserve"> 146,225,339.28</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173,133,102.42</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177,274,236.81</w:t>
      </w:r>
      <w:r>
        <w:rPr>
          <w:rFonts w:hint="eastAsia" w:ascii="宋体" w:hAnsi="宋体" w:eastAsia="宋体" w:cs="宋体"/>
          <w:sz w:val="24"/>
        </w:rPr>
        <w:t>元</w:t>
      </w:r>
      <w:r>
        <w:rPr>
          <w:rFonts w:hint="eastAsia" w:ascii="宋体" w:hAnsi="宋体" w:eastAsia="宋体" w:cs="宋体"/>
          <w:sz w:val="10"/>
        </w:rPr>
        <w:t>，</w:t>
      </w:r>
      <w:r>
        <w:rPr>
          <w:rFonts w:hint="eastAsia" w:ascii="宋体" w:hAnsi="宋体" w:eastAsia="宋体" w:cs="宋体"/>
          <w:sz w:val="24"/>
        </w:rPr>
        <w:t>占主营业务收入的比例分别为</w:t>
      </w:r>
      <w:r>
        <w:rPr>
          <w:rFonts w:hint="eastAsia" w:ascii="Times New Roman" w:hAnsi="Times New Roman" w:eastAsia="Times New Roman" w:cs="Times New Roman"/>
          <w:sz w:val="24"/>
        </w:rPr>
        <w:t xml:space="preserve"> 89.96%</w:t>
      </w:r>
      <w:r>
        <w:rPr>
          <w:rFonts w:hint="eastAsia" w:ascii="宋体" w:hAnsi="宋体" w:eastAsia="宋体" w:cs="宋体"/>
          <w:sz w:val="10"/>
        </w:rPr>
        <w:t>、</w:t>
      </w:r>
      <w:r>
        <w:rPr>
          <w:rFonts w:hint="eastAsia" w:ascii="Times New Roman" w:hAnsi="Times New Roman" w:eastAsia="Times New Roman" w:cs="Times New Roman"/>
          <w:sz w:val="24"/>
        </w:rPr>
        <w:t>88.73%</w:t>
      </w:r>
      <w:r>
        <w:rPr>
          <w:rFonts w:hint="eastAsia" w:ascii="宋体" w:hAnsi="宋体" w:eastAsia="宋体" w:cs="宋体"/>
          <w:sz w:val="24"/>
        </w:rPr>
        <w:t>和</w:t>
      </w:r>
      <w:r>
        <w:rPr>
          <w:rFonts w:hint="eastAsia" w:ascii="Times New Roman" w:hAnsi="Times New Roman" w:eastAsia="Times New Roman" w:cs="Times New Roman"/>
          <w:sz w:val="24"/>
        </w:rPr>
        <w:t xml:space="preserve"> 86.61%</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主营业务收入的地区分布</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w:t>
      </w:r>
      <w:r>
        <w:rPr>
          <w:rFonts w:hint="eastAsia" w:ascii="宋体" w:hAnsi="宋体" w:eastAsia="宋体" w:cs="宋体"/>
          <w:sz w:val="10"/>
        </w:rPr>
        <w:t>，</w:t>
      </w:r>
      <w:r>
        <w:rPr>
          <w:rFonts w:hint="eastAsia" w:ascii="宋体" w:hAnsi="宋体" w:eastAsia="宋体" w:cs="宋体"/>
          <w:sz w:val="24"/>
        </w:rPr>
        <w:t>公司主营业务收入的地区构成情况如下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40"/>
        <w:gridCol w:w="1580"/>
        <w:gridCol w:w="1120"/>
        <w:gridCol w:w="1560"/>
        <w:gridCol w:w="980"/>
        <w:gridCol w:w="1560"/>
        <w:gridCol w:w="1040"/>
      </w:tblGrid>
      <w:tr>
        <w:trPr>
          <w:trHeight w:val="540" w:hRule="exact"/>
        </w:trPr>
        <w:tc>
          <w:tcPr>
            <w:tcW w:w="1340" w:type="dxa"/>
            <w:vMerge w:val="restart"/>
            <w:tcMar>
              <w:top w:w="0" w:type="dxa"/>
              <w:left w:w="0" w:type="dxa"/>
              <w:bottom w:w="0" w:type="dxa"/>
              <w:right w:w="0" w:type="dxa"/>
            </w:tcMar>
          </w:tcPr>
          <w:p>
            <w:pPr>
              <w:spacing w:before="380"/>
              <w:ind w:left="240"/>
            </w:pPr>
            <w:r>
              <w:rPr>
                <w:rFonts w:hint="eastAsia" w:ascii="宋体" w:hAnsi="宋体" w:eastAsia="宋体" w:cs="宋体"/>
                <w:b/>
                <w:sz w:val="21"/>
              </w:rPr>
              <w:t>地区名称</w:t>
            </w:r>
          </w:p>
        </w:tc>
        <w:tc>
          <w:tcPr>
            <w:tcW w:w="2700" w:type="dxa"/>
            <w:gridSpan w:val="2"/>
            <w:tcMar>
              <w:top w:w="0" w:type="dxa"/>
              <w:left w:w="0" w:type="dxa"/>
              <w:bottom w:w="0" w:type="dxa"/>
              <w:right w:w="0" w:type="dxa"/>
            </w:tcMar>
          </w:tcPr>
          <w:p>
            <w:pPr>
              <w:spacing w:before="100"/>
              <w:ind w:left="8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540" w:type="dxa"/>
            <w:gridSpan w:val="2"/>
            <w:tcMar>
              <w:top w:w="0" w:type="dxa"/>
              <w:left w:w="0" w:type="dxa"/>
              <w:bottom w:w="0" w:type="dxa"/>
              <w:right w:w="0" w:type="dxa"/>
            </w:tcMar>
          </w:tcPr>
          <w:p>
            <w:pPr>
              <w:spacing w:before="100"/>
              <w:ind w:left="80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600" w:type="dxa"/>
            <w:gridSpan w:val="2"/>
            <w:tcMar>
              <w:top w:w="0" w:type="dxa"/>
              <w:left w:w="0" w:type="dxa"/>
              <w:bottom w:w="0" w:type="dxa"/>
              <w:right w:w="0" w:type="dxa"/>
            </w:tcMar>
          </w:tcPr>
          <w:p>
            <w:pPr>
              <w:spacing w:before="100"/>
              <w:ind w:left="8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20" w:hRule="exact"/>
        </w:trPr>
        <w:tc>
          <w:tcPr>
            <w:tcW w:w="1340" w:type="dxa"/>
            <w:vMerge w:val="continue"/>
            <w:tcMar>
              <w:top w:w="0" w:type="dxa"/>
              <w:left w:w="0" w:type="dxa"/>
              <w:bottom w:w="0" w:type="dxa"/>
              <w:right w:w="0" w:type="dxa"/>
            </w:tcMar>
          </w:tcPr>
          <w:p/>
        </w:tc>
        <w:tc>
          <w:tcPr>
            <w:tcW w:w="1580" w:type="dxa"/>
            <w:tcMar>
              <w:top w:w="0" w:type="dxa"/>
              <w:left w:w="0" w:type="dxa"/>
              <w:bottom w:w="0" w:type="dxa"/>
              <w:right w:w="0" w:type="dxa"/>
            </w:tcMar>
          </w:tcPr>
          <w:p>
            <w:pPr>
              <w:spacing w:before="100"/>
              <w:ind w:left="560"/>
            </w:pPr>
            <w:r>
              <w:rPr>
                <w:rFonts w:hint="eastAsia" w:ascii="宋体" w:hAnsi="宋体" w:eastAsia="宋体" w:cs="宋体"/>
                <w:b/>
                <w:sz w:val="21"/>
              </w:rPr>
              <w:t>金额</w:t>
            </w:r>
          </w:p>
        </w:tc>
        <w:tc>
          <w:tcPr>
            <w:tcW w:w="1120" w:type="dxa"/>
            <w:tcMar>
              <w:top w:w="0" w:type="dxa"/>
              <w:left w:w="0" w:type="dxa"/>
              <w:bottom w:w="0" w:type="dxa"/>
              <w:right w:w="0" w:type="dxa"/>
            </w:tcMar>
          </w:tcPr>
          <w:p>
            <w:pPr>
              <w:spacing w:before="100"/>
              <w:ind w:left="32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00"/>
              <w:ind w:left="540"/>
            </w:pPr>
            <w:r>
              <w:rPr>
                <w:rFonts w:hint="eastAsia" w:ascii="宋体" w:hAnsi="宋体" w:eastAsia="宋体" w:cs="宋体"/>
                <w:b/>
                <w:sz w:val="21"/>
              </w:rPr>
              <w:t>金额</w:t>
            </w:r>
          </w:p>
        </w:tc>
        <w:tc>
          <w:tcPr>
            <w:tcW w:w="980" w:type="dxa"/>
            <w:tcMar>
              <w:top w:w="0" w:type="dxa"/>
              <w:left w:w="0" w:type="dxa"/>
              <w:bottom w:w="0" w:type="dxa"/>
              <w:right w:w="0" w:type="dxa"/>
            </w:tcMar>
          </w:tcPr>
          <w:p>
            <w:pPr>
              <w:spacing w:before="100"/>
              <w:ind w:left="260"/>
            </w:pPr>
            <w:r>
              <w:rPr>
                <w:rFonts w:hint="eastAsia" w:ascii="宋体" w:hAnsi="宋体" w:eastAsia="宋体" w:cs="宋体"/>
                <w:b/>
                <w:sz w:val="21"/>
              </w:rPr>
              <w:t>比例</w:t>
            </w:r>
          </w:p>
        </w:tc>
        <w:tc>
          <w:tcPr>
            <w:tcW w:w="1560" w:type="dxa"/>
            <w:tcMar>
              <w:top w:w="0" w:type="dxa"/>
              <w:left w:w="0" w:type="dxa"/>
              <w:bottom w:w="0" w:type="dxa"/>
              <w:right w:w="0" w:type="dxa"/>
            </w:tcMar>
          </w:tcPr>
          <w:p>
            <w:pPr>
              <w:spacing w:before="100"/>
              <w:ind w:left="560"/>
            </w:pPr>
            <w:r>
              <w:rPr>
                <w:rFonts w:hint="eastAsia" w:ascii="宋体" w:hAnsi="宋体" w:eastAsia="宋体" w:cs="宋体"/>
                <w:b/>
                <w:sz w:val="21"/>
              </w:rPr>
              <w:t>金额</w:t>
            </w:r>
          </w:p>
        </w:tc>
        <w:tc>
          <w:tcPr>
            <w:tcW w:w="1040" w:type="dxa"/>
            <w:tcMar>
              <w:top w:w="0" w:type="dxa"/>
              <w:left w:w="0" w:type="dxa"/>
              <w:bottom w:w="0" w:type="dxa"/>
              <w:right w:w="0" w:type="dxa"/>
            </w:tcMar>
          </w:tcPr>
          <w:p>
            <w:pPr>
              <w:spacing w:before="100"/>
              <w:ind w:left="300"/>
            </w:pPr>
            <w:r>
              <w:rPr>
                <w:rFonts w:hint="eastAsia" w:ascii="宋体" w:hAnsi="宋体" w:eastAsia="宋体" w:cs="宋体"/>
                <w:b/>
                <w:sz w:val="21"/>
              </w:rPr>
              <w:t>比例</w:t>
            </w:r>
          </w:p>
        </w:tc>
      </w:tr>
      <w:tr>
        <w:trPr>
          <w:trHeight w:val="54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华东地区</w:t>
            </w:r>
          </w:p>
        </w:tc>
        <w:tc>
          <w:tcPr>
            <w:tcW w:w="1580" w:type="dxa"/>
            <w:tcMar>
              <w:top w:w="0" w:type="dxa"/>
              <w:left w:w="0" w:type="dxa"/>
              <w:bottom w:w="0" w:type="dxa"/>
              <w:right w:w="0" w:type="dxa"/>
            </w:tcMar>
          </w:tcPr>
          <w:p>
            <w:pPr>
              <w:spacing w:before="140"/>
              <w:ind w:left="180"/>
            </w:pPr>
            <w:r>
              <w:rPr>
                <w:rFonts w:hint="eastAsia" w:ascii="Times New Roman" w:hAnsi="Times New Roman" w:eastAsia="Times New Roman" w:cs="Times New Roman"/>
                <w:sz w:val="21"/>
              </w:rPr>
              <w:t>107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c>
          <w:tcPr>
            <w:tcW w:w="112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98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04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2"/>
              </w:rPr>
              <w:t>47.95%</w:t>
            </w:r>
          </w:p>
        </w:tc>
      </w:tr>
      <w:tr>
        <w:trPr>
          <w:trHeight w:val="52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华北地区</w:t>
            </w:r>
          </w:p>
        </w:tc>
        <w:tc>
          <w:tcPr>
            <w:tcW w:w="158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112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p>
        </w:tc>
        <w:tc>
          <w:tcPr>
            <w:tcW w:w="9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104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2"/>
              </w:rPr>
              <w:t>25.59%</w:t>
            </w:r>
          </w:p>
        </w:tc>
      </w:tr>
      <w:tr>
        <w:trPr>
          <w:trHeight w:val="54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华南地区</w:t>
            </w:r>
          </w:p>
        </w:tc>
        <w:tc>
          <w:tcPr>
            <w:tcW w:w="1580" w:type="dxa"/>
            <w:tcMar>
              <w:top w:w="0" w:type="dxa"/>
              <w:left w:w="0" w:type="dxa"/>
              <w:bottom w:w="0" w:type="dxa"/>
              <w:right w:w="0" w:type="dxa"/>
            </w:tcMar>
          </w:tcPr>
          <w:p>
            <w:pPr>
              <w:spacing w:before="140"/>
              <w:ind w:left="30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112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98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104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2"/>
              </w:rPr>
              <w:t>14.07%</w:t>
            </w:r>
          </w:p>
        </w:tc>
      </w:tr>
      <w:tr>
        <w:trPr>
          <w:trHeight w:val="52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东北地区</w:t>
            </w:r>
          </w:p>
        </w:tc>
        <w:tc>
          <w:tcPr>
            <w:tcW w:w="158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1120" w:type="dxa"/>
            <w:tcMar>
              <w:top w:w="0" w:type="dxa"/>
              <w:left w:w="0" w:type="dxa"/>
              <w:bottom w:w="0" w:type="dxa"/>
              <w:right w:w="0" w:type="dxa"/>
            </w:tcMar>
          </w:tcPr>
          <w:p>
            <w:pPr>
              <w:spacing w:before="160"/>
              <w:ind w:left="5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98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c>
          <w:tcPr>
            <w:tcW w:w="104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2"/>
              </w:rPr>
              <w:t>7.69%</w:t>
            </w:r>
          </w:p>
        </w:tc>
      </w:tr>
      <w:tr>
        <w:trPr>
          <w:trHeight w:val="54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西南地区</w:t>
            </w:r>
          </w:p>
        </w:tc>
        <w:tc>
          <w:tcPr>
            <w:tcW w:w="158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p>
        </w:tc>
        <w:tc>
          <w:tcPr>
            <w:tcW w:w="1120" w:type="dxa"/>
            <w:tcMar>
              <w:top w:w="0" w:type="dxa"/>
              <w:left w:w="0" w:type="dxa"/>
              <w:bottom w:w="0" w:type="dxa"/>
              <w:right w:w="0" w:type="dxa"/>
            </w:tcMar>
          </w:tcPr>
          <w:p>
            <w:pPr>
              <w:spacing w:before="180"/>
              <w:ind w:left="5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80"/>
              <w:ind w:left="3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980" w:type="dxa"/>
            <w:tcMar>
              <w:top w:w="0" w:type="dxa"/>
              <w:left w:w="0" w:type="dxa"/>
              <w:bottom w:w="0" w:type="dxa"/>
              <w:right w:w="0" w:type="dxa"/>
            </w:tcMar>
          </w:tcPr>
          <w:p>
            <w:pPr>
              <w:spacing w:before="180"/>
              <w:ind w:left="3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04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2"/>
              </w:rPr>
              <w:t>1.91%</w:t>
            </w:r>
          </w:p>
        </w:tc>
      </w:tr>
      <w:tr>
        <w:trPr>
          <w:trHeight w:val="54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西北地区</w:t>
            </w:r>
          </w:p>
        </w:tc>
        <w:tc>
          <w:tcPr>
            <w:tcW w:w="158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1120" w:type="dxa"/>
            <w:tcMar>
              <w:top w:w="0" w:type="dxa"/>
              <w:left w:w="0" w:type="dxa"/>
              <w:bottom w:w="0" w:type="dxa"/>
              <w:right w:w="0" w:type="dxa"/>
            </w:tcMar>
          </w:tcPr>
          <w:p>
            <w:pPr>
              <w:spacing w:before="140"/>
              <w:ind w:left="5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c>
          <w:tcPr>
            <w:tcW w:w="980" w:type="dxa"/>
            <w:tcMar>
              <w:top w:w="0" w:type="dxa"/>
              <w:left w:w="0" w:type="dxa"/>
              <w:bottom w:w="0" w:type="dxa"/>
              <w:right w:w="0" w:type="dxa"/>
            </w:tcMar>
          </w:tcPr>
          <w:p>
            <w:pPr>
              <w:spacing w:before="140"/>
              <w:ind w:left="3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c>
          <w:tcPr>
            <w:tcW w:w="104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2"/>
              </w:rPr>
              <w:t>2.80%</w:t>
            </w:r>
          </w:p>
        </w:tc>
      </w:tr>
      <w:tr>
        <w:trPr>
          <w:trHeight w:val="480" w:hRule="exact"/>
        </w:trPr>
        <w:tc>
          <w:tcPr>
            <w:tcW w:w="1340" w:type="dxa"/>
            <w:tcMar>
              <w:top w:w="0" w:type="dxa"/>
              <w:left w:w="0" w:type="dxa"/>
              <w:bottom w:w="0" w:type="dxa"/>
              <w:right w:w="0" w:type="dxa"/>
            </w:tcMar>
          </w:tcPr>
          <w:p>
            <w:pPr>
              <w:spacing w:before="100"/>
              <w:ind w:left="440"/>
            </w:pPr>
            <w:r>
              <w:rPr>
                <w:rFonts w:hint="eastAsia" w:ascii="宋体" w:hAnsi="宋体" w:eastAsia="宋体" w:cs="宋体"/>
                <w:b/>
                <w:sz w:val="21"/>
              </w:rPr>
              <w:t>合计</w:t>
            </w:r>
          </w:p>
        </w:tc>
        <w:tc>
          <w:tcPr>
            <w:tcW w:w="1580" w:type="dxa"/>
            <w:tcMar>
              <w:top w:w="0" w:type="dxa"/>
              <w:left w:w="0" w:type="dxa"/>
              <w:bottom w:w="0" w:type="dxa"/>
              <w:right w:w="0" w:type="dxa"/>
            </w:tcMar>
          </w:tcPr>
          <w:p>
            <w:pPr>
              <w:spacing w:before="160"/>
              <w:ind w:left="18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1120" w:type="dxa"/>
            <w:tcMar>
              <w:top w:w="0" w:type="dxa"/>
              <w:left w:w="0" w:type="dxa"/>
              <w:bottom w:w="0" w:type="dxa"/>
              <w:right w:w="0" w:type="dxa"/>
            </w:tcMar>
          </w:tcPr>
          <w:p>
            <w:pPr>
              <w:spacing w:before="160"/>
              <w:ind w:left="2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60"/>
              <w:ind w:left="18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980" w:type="dxa"/>
            <w:tcMar>
              <w:top w:w="0" w:type="dxa"/>
              <w:left w:w="0" w:type="dxa"/>
              <w:bottom w:w="0" w:type="dxa"/>
              <w:right w:w="0" w:type="dxa"/>
            </w:tcMar>
          </w:tcPr>
          <w:p>
            <w:pPr>
              <w:spacing w:before="160"/>
              <w:ind w:left="1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60"/>
              <w:ind w:left="18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c>
          <w:tcPr>
            <w:tcW w:w="1040" w:type="dxa"/>
            <w:tcMar>
              <w:top w:w="0" w:type="dxa"/>
              <w:left w:w="0" w:type="dxa"/>
              <w:bottom w:w="0" w:type="dxa"/>
              <w:right w:w="0" w:type="dxa"/>
            </w:tcMar>
          </w:tcPr>
          <w:p>
            <w:pPr>
              <w:spacing w:before="160"/>
              <w:ind w:left="140"/>
            </w:pPr>
            <w:r>
              <w:rPr>
                <w:rFonts w:hint="eastAsia" w:ascii="Times New Roman Bold" w:hAnsi="Times New Roman Bold" w:eastAsia="Times New Roman Bold" w:cs="Times New Roman Bold"/>
                <w:b/>
                <w:sz w:val="22"/>
              </w:rPr>
              <w:t>100.00%</w:t>
            </w:r>
          </w:p>
        </w:tc>
      </w:tr>
    </w:tbl>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公司的主营业务收入主要来自于华东地区</w:t>
      </w:r>
      <w:r>
        <w:rPr>
          <w:rFonts w:hint="eastAsia" w:ascii="宋体" w:hAnsi="宋体" w:eastAsia="宋体" w:cs="宋体"/>
          <w:sz w:val="10"/>
        </w:rPr>
        <w:t>、</w:t>
      </w:r>
      <w:r>
        <w:rPr>
          <w:rFonts w:hint="eastAsia" w:ascii="宋体" w:hAnsi="宋体" w:eastAsia="宋体" w:cs="宋体"/>
          <w:sz w:val="24"/>
        </w:rPr>
        <w:t>华南地区和华北地区</w:t>
      </w:r>
      <w:r>
        <w:rPr>
          <w:rFonts w:hint="eastAsia" w:ascii="宋体" w:hAnsi="宋体" w:eastAsia="宋体" w:cs="宋体"/>
          <w:sz w:val="10"/>
        </w:rPr>
        <w:t>，</w:t>
      </w:r>
      <w:r>
        <w:rPr>
          <w:rFonts w:hint="eastAsia" w:ascii="宋体" w:hAnsi="宋体" w:eastAsia="宋体" w:cs="宋体"/>
          <w:sz w:val="24"/>
        </w:rPr>
        <w:t>主要是由于上述地区是我国金融行业的主要聚集地</w:t>
      </w:r>
      <w:r>
        <w:rPr>
          <w:rFonts w:hint="eastAsia" w:ascii="宋体" w:hAnsi="宋体" w:eastAsia="宋体" w:cs="宋体"/>
          <w:sz w:val="10"/>
        </w:rPr>
        <w:t>，</w:t>
      </w:r>
      <w:r>
        <w:rPr>
          <w:rFonts w:hint="eastAsia" w:ascii="宋体" w:hAnsi="宋体" w:eastAsia="宋体" w:cs="宋体"/>
          <w:sz w:val="24"/>
        </w:rPr>
        <w:t>也是发行人的主要客户聚集地</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报告期内华东地区的主营业务收入占比始终最高</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公司华东地区营业收入分别为</w:t>
      </w:r>
      <w:r>
        <w:rPr>
          <w:rFonts w:hint="eastAsia" w:ascii="Times New Roman" w:hAnsi="Times New Roman" w:eastAsia="Times New Roman" w:cs="Times New Roman"/>
          <w:sz w:val="24"/>
        </w:rPr>
        <w:t xml:space="preserve"> 77,939,616.03</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88,169,280.33</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107,712,522.50</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占主营业务收入的比例分别为</w:t>
      </w:r>
      <w:r>
        <w:rPr>
          <w:rFonts w:hint="eastAsia" w:ascii="Times New Roman" w:hAnsi="Times New Roman" w:eastAsia="Times New Roman" w:cs="Times New Roman"/>
          <w:sz w:val="24"/>
        </w:rPr>
        <w:t xml:space="preserve"> 47.95%</w:t>
      </w:r>
      <w:r>
        <w:rPr>
          <w:rFonts w:hint="eastAsia" w:ascii="宋体" w:hAnsi="宋体" w:eastAsia="宋体" w:cs="宋体"/>
          <w:sz w:val="10"/>
        </w:rPr>
        <w:t>、</w:t>
      </w:r>
      <w:r>
        <w:rPr>
          <w:rFonts w:hint="eastAsia" w:ascii="Times New Roman" w:hAnsi="Times New Roman" w:eastAsia="Times New Roman" w:cs="Times New Roman"/>
          <w:sz w:val="24"/>
        </w:rPr>
        <w:t>45.19%</w:t>
      </w:r>
      <w:r>
        <w:rPr>
          <w:rFonts w:hint="eastAsia" w:ascii="宋体" w:hAnsi="宋体" w:eastAsia="宋体" w:cs="宋体"/>
          <w:sz w:val="24"/>
        </w:rPr>
        <w:t>和</w:t>
      </w:r>
      <w:r>
        <w:rPr>
          <w:rFonts w:hint="eastAsia" w:ascii="Times New Roman" w:hAnsi="Times New Roman" w:eastAsia="Times New Roman" w:cs="Times New Roman"/>
          <w:sz w:val="24"/>
        </w:rPr>
        <w:t xml:space="preserve"> 52.62%</w:t>
      </w:r>
      <w:r>
        <w:rPr>
          <w:rFonts w:hint="eastAsia" w:ascii="宋体" w:hAnsi="宋体" w:eastAsia="宋体" w:cs="宋体"/>
          <w:sz w:val="10"/>
        </w:rPr>
        <w:t>，</w:t>
      </w:r>
      <w:r>
        <w:rPr>
          <w:rFonts w:hint="eastAsia" w:ascii="宋体" w:hAnsi="宋体" w:eastAsia="宋体" w:cs="宋体"/>
          <w:sz w:val="24"/>
        </w:rPr>
        <w:t>发行人华东地区销售在报告期内保持较快的增长速度</w:t>
      </w:r>
      <w:r>
        <w:rPr>
          <w:rFonts w:hint="eastAsia" w:ascii="宋体" w:hAnsi="宋体" w:eastAsia="宋体" w:cs="宋体"/>
          <w:sz w:val="10"/>
        </w:rPr>
        <w:t>，</w:t>
      </w:r>
      <w:r>
        <w:rPr>
          <w:rFonts w:hint="eastAsia" w:ascii="宋体" w:hAnsi="宋体" w:eastAsia="宋体" w:cs="宋体"/>
          <w:sz w:val="24"/>
        </w:rPr>
        <w:t>主要是由于公司在华东地区持续开拓市场</w:t>
      </w:r>
      <w:r>
        <w:rPr>
          <w:rFonts w:hint="eastAsia" w:ascii="宋体" w:hAnsi="宋体" w:eastAsia="宋体" w:cs="宋体"/>
          <w:sz w:val="10"/>
        </w:rPr>
        <w:t>，</w:t>
      </w:r>
      <w:r>
        <w:rPr>
          <w:rFonts w:hint="eastAsia" w:ascii="宋体" w:hAnsi="宋体" w:eastAsia="宋体" w:cs="宋体"/>
          <w:sz w:val="24"/>
        </w:rPr>
        <w:t>与客户交易金额逐年增加</w:t>
      </w:r>
      <w:r>
        <w:rPr>
          <w:rFonts w:hint="eastAsia" w:ascii="宋体" w:hAnsi="宋体" w:eastAsia="宋体" w:cs="宋体"/>
          <w:sz w:val="14"/>
        </w:rPr>
        <w:t>；</w:t>
      </w:r>
      <w:r>
        <w:rPr>
          <w:rFonts w:hint="eastAsia" w:ascii="宋体" w:hAnsi="宋体" w:eastAsia="宋体" w:cs="宋体"/>
          <w:sz w:val="24"/>
        </w:rPr>
        <w:t>公司华南地区营业收入分别为</w:t>
      </w:r>
      <w:r>
        <w:rPr>
          <w:rFonts w:hint="eastAsia" w:ascii="Times New Roman" w:hAnsi="Times New Roman" w:eastAsia="Times New Roman" w:cs="Times New Roman"/>
          <w:sz w:val="24"/>
        </w:rPr>
        <w:t xml:space="preserve"> 22,862,676.30</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29,078,207.60</w:t>
      </w:r>
      <w:r>
        <w:rPr>
          <w:rFonts w:hint="eastAsia" w:ascii="宋体" w:hAnsi="宋体" w:eastAsia="宋体" w:cs="宋体"/>
          <w:sz w:val="24"/>
        </w:rPr>
        <w:t xml:space="preserve"> 元和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1-1-272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631952" behindDoc="false" locked="false" layoutInCell="true" allowOverlap="true">
                <wp:simplePos x="0" y="0"/>
                <wp:positionH relativeFrom="page">
                  <wp:posOffset>850900</wp:posOffset>
                </wp:positionH>
                <wp:positionV relativeFrom="page">
                  <wp:posOffset>6870700</wp:posOffset>
                </wp:positionV>
                <wp:extent cx="431800" cy="215900"/>
                <wp:effectExtent l="0" t="0" r="22225" b="31115"/>
                <wp:wrapNone/>
                <wp:docPr id="17565" name="shape17565"/>
                <wp:cNvGraphicFramePr/>
                <a:graphic>
                  <a:graphicData uri="http://schemas.microsoft.com/office/word/2010/wordprocessingShape">
                    <wps:wsp>
                      <wps:cNvSpPr/>
                      <wps:spPr>
                        <a:xfrm>
                          <a:off x="0" y="0"/>
                          <a:ext cx="431800" cy="215900"/>
                        </a:xfrm>
                        <a:prstGeom prst="rect">
                          <a:avLst/>
                        </a:prstGeom>
                      </wps:spPr>
                      <wps:txbx>
                        <w:txbxContent>
                          <w:p>
                            <w:pPr>
                              <w:spacing w:line="-240" w:lineRule="exact"/>
                              <w:ind w:left="0"/>
                              <w:jc w:val="both"/>
                            </w:pPr>
                            <w:r>
                              <w:rPr>
                                <w:rFonts w:hint="eastAsia" w:ascii="宋体" w:hAnsi="宋体" w:eastAsia="宋体" w:cs="宋体"/>
                                <w:b/>
                                <w:sz w:val="24"/>
                              </w:rPr>
                              <w:t>献</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34pt;height:17pt;margin-left:67pt;margin-top:541pt;mso-wrap-style:none;z-index:10631952;mso-wrap-distance-left:9pt;mso-wrap-distance-top:0pt;mso-wrap-distance-right:9pt;mso-wrap-distance-bottom:0pt" id="shape17565" o:spid="1618382360741" stroked="f">
                <v:textbox>
                  <w:txbxContent>
                    <w:p>
                      <w:pPr>
                        <w:spacing w:line="-240" w:lineRule="exact"/>
                        <w:ind w:left="0"/>
                        <w:jc w:val="both"/>
                      </w:pPr>
                      <w:r>
                        <w:rPr>
                          <w:rFonts w:hint="eastAsia" w:ascii="宋体" w:hAnsi="宋体" w:eastAsia="宋体" w:cs="宋体"/>
                          <w:b/>
                          <w:sz w:val="24"/>
                        </w:rPr>
                        <w:t>献</w:t>
                      </w:r>
                    </w:p>
                  </w:txbxContent>
                </v:textbox>
              </v:rect>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00"/>
        <w:jc w:val="both"/>
      </w:pPr>
      <w:r>
        <w:rPr>
          <w:rFonts w:hint="eastAsia" w:ascii="Times New Roman" w:hAnsi="Times New Roman" w:eastAsia="Times New Roman" w:cs="Times New Roman"/>
          <w:sz w:val="24"/>
        </w:rPr>
        <w:t>22,813,437.23</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占主营业务收入的比例分别为</w:t>
      </w:r>
      <w:r>
        <w:rPr>
          <w:rFonts w:hint="eastAsia" w:ascii="Times New Roman" w:hAnsi="Times New Roman" w:eastAsia="Times New Roman" w:cs="Times New Roman"/>
          <w:sz w:val="24"/>
        </w:rPr>
        <w:t xml:space="preserve"> 14.07%</w:t>
      </w:r>
      <w:r>
        <w:rPr>
          <w:rFonts w:hint="eastAsia" w:ascii="宋体" w:hAnsi="宋体" w:eastAsia="宋体" w:cs="宋体"/>
          <w:sz w:val="10"/>
        </w:rPr>
        <w:t>、</w:t>
      </w:r>
      <w:r>
        <w:rPr>
          <w:rFonts w:hint="eastAsia" w:ascii="Times New Roman" w:hAnsi="Times New Roman" w:eastAsia="Times New Roman" w:cs="Times New Roman"/>
          <w:sz w:val="24"/>
        </w:rPr>
        <w:t>14.90%</w:t>
      </w:r>
      <w:r>
        <w:rPr>
          <w:rFonts w:hint="eastAsia" w:ascii="宋体" w:hAnsi="宋体" w:eastAsia="宋体" w:cs="宋体"/>
          <w:sz w:val="24"/>
        </w:rPr>
        <w:t>和</w:t>
      </w:r>
      <w:r>
        <w:rPr>
          <w:rFonts w:hint="eastAsia" w:ascii="Times New Roman" w:hAnsi="Times New Roman" w:eastAsia="Times New Roman" w:cs="Times New Roman"/>
          <w:sz w:val="24"/>
        </w:rPr>
        <w:t xml:space="preserve"> 11.15%</w:t>
      </w:r>
      <w:r>
        <w:rPr>
          <w:rFonts w:hint="eastAsia" w:ascii="宋体" w:hAnsi="宋体" w:eastAsia="宋体" w:cs="宋体"/>
          <w:sz w:val="14"/>
        </w:rPr>
        <w:t>；</w:t>
      </w:r>
      <w:r>
        <w:rPr>
          <w:rFonts w:hint="eastAsia" w:ascii="宋体" w:hAnsi="宋体" w:eastAsia="宋体" w:cs="宋体"/>
          <w:sz w:val="24"/>
        </w:rPr>
        <w:t>公司华北地区营业收入分别为</w:t>
      </w:r>
      <w:r>
        <w:rPr>
          <w:rFonts w:hint="eastAsia" w:ascii="Times New Roman" w:hAnsi="Times New Roman" w:eastAsia="Times New Roman" w:cs="Times New Roman"/>
          <w:sz w:val="24"/>
        </w:rPr>
        <w:t xml:space="preserve"> 41,602,646.94</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51,960,010.13</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47,173,192.04</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占主营业务收入的比例分别为</w:t>
      </w:r>
      <w:r>
        <w:rPr>
          <w:rFonts w:hint="eastAsia" w:ascii="Times New Roman" w:hAnsi="Times New Roman" w:eastAsia="Times New Roman" w:cs="Times New Roman"/>
          <w:sz w:val="24"/>
        </w:rPr>
        <w:t xml:space="preserve"> 25.59%</w:t>
      </w:r>
      <w:r>
        <w:rPr>
          <w:rFonts w:hint="eastAsia" w:ascii="宋体" w:hAnsi="宋体" w:eastAsia="宋体" w:cs="宋体"/>
          <w:sz w:val="10"/>
        </w:rPr>
        <w:t>、</w:t>
      </w:r>
      <w:r>
        <w:rPr>
          <w:rFonts w:hint="eastAsia" w:ascii="Times New Roman" w:hAnsi="Times New Roman" w:eastAsia="Times New Roman" w:cs="Times New Roman"/>
          <w:sz w:val="24"/>
        </w:rPr>
        <w:t>26.63%</w:t>
      </w:r>
      <w:r>
        <w:rPr>
          <w:rFonts w:hint="eastAsia" w:ascii="宋体" w:hAnsi="宋体" w:eastAsia="宋体" w:cs="宋体"/>
          <w:sz w:val="24"/>
        </w:rPr>
        <w:t>和</w:t>
      </w:r>
      <w:r>
        <w:rPr>
          <w:rFonts w:hint="eastAsia" w:ascii="Times New Roman" w:hAnsi="Times New Roman" w:eastAsia="Times New Roman" w:cs="Times New Roman"/>
          <w:sz w:val="24"/>
        </w:rPr>
        <w:t xml:space="preserve"> 23.05%</w:t>
      </w:r>
      <w:r>
        <w:rPr>
          <w:rFonts w:hint="eastAsia" w:ascii="宋体" w:hAnsi="宋体" w:eastAsia="宋体" w:cs="宋体"/>
          <w:sz w:val="10"/>
        </w:rPr>
        <w:t>。</w:t>
      </w:r>
      <w:r>
        <w:rPr>
          <w:rFonts w:hint="eastAsia" w:ascii="宋体" w:hAnsi="宋体" w:eastAsia="宋体" w:cs="宋体"/>
          <w:sz w:val="24"/>
        </w:rPr>
        <w:t>三个地区营业收入合计占主营业务收入比例为</w:t>
      </w:r>
      <w:r>
        <w:rPr>
          <w:rFonts w:hint="eastAsia" w:ascii="Times New Roman" w:hAnsi="Times New Roman" w:eastAsia="Times New Roman" w:cs="Times New Roman"/>
          <w:sz w:val="24"/>
        </w:rPr>
        <w:t xml:space="preserve"> 87.61%</w:t>
      </w:r>
      <w:r>
        <w:rPr>
          <w:rFonts w:hint="eastAsia" w:ascii="宋体" w:hAnsi="宋体" w:eastAsia="宋体" w:cs="宋体"/>
          <w:sz w:val="10"/>
        </w:rPr>
        <w:t>、</w:t>
      </w:r>
      <w:r>
        <w:rPr>
          <w:rFonts w:hint="eastAsia" w:ascii="Times New Roman" w:hAnsi="Times New Roman" w:eastAsia="Times New Roman" w:cs="Times New Roman"/>
          <w:sz w:val="24"/>
        </w:rPr>
        <w:t>86.72%</w:t>
      </w:r>
      <w:r>
        <w:rPr>
          <w:rFonts w:hint="eastAsia" w:ascii="宋体" w:hAnsi="宋体" w:eastAsia="宋体" w:cs="宋体"/>
          <w:sz w:val="24"/>
        </w:rPr>
        <w:t>和</w:t>
      </w:r>
      <w:r>
        <w:rPr>
          <w:rFonts w:hint="eastAsia" w:ascii="Times New Roman" w:hAnsi="Times New Roman" w:eastAsia="Times New Roman" w:cs="Times New Roman"/>
          <w:sz w:val="24"/>
        </w:rPr>
        <w:t xml:space="preserve"> 86.82%</w:t>
      </w:r>
      <w:r>
        <w:rPr>
          <w:rFonts w:hint="eastAsia" w:ascii="宋体" w:hAnsi="宋体" w:eastAsia="宋体" w:cs="宋体"/>
          <w:sz w:val="10"/>
        </w:rPr>
        <w:t>。</w:t>
      </w:r>
      <w:r>
        <w:rPr>
          <w:rFonts w:hint="eastAsia" w:ascii="宋体" w:hAnsi="宋体" w:eastAsia="宋体" w:cs="宋体"/>
          <w:sz w:val="24"/>
        </w:rPr>
        <w:t>除上述地区外</w:t>
      </w:r>
      <w:r>
        <w:rPr>
          <w:rFonts w:hint="eastAsia" w:ascii="宋体" w:hAnsi="宋体" w:eastAsia="宋体" w:cs="宋体"/>
          <w:sz w:val="10"/>
        </w:rPr>
        <w:t>，</w:t>
      </w:r>
      <w:r>
        <w:rPr>
          <w:rFonts w:hint="eastAsia" w:ascii="宋体" w:hAnsi="宋体" w:eastAsia="宋体" w:cs="宋体"/>
          <w:sz w:val="24"/>
        </w:rPr>
        <w:t>公司仍积极开拓全国市场</w:t>
      </w:r>
      <w:r>
        <w:rPr>
          <w:rFonts w:hint="eastAsia" w:ascii="宋体" w:hAnsi="宋体" w:eastAsia="宋体" w:cs="宋体"/>
          <w:sz w:val="10"/>
        </w:rPr>
        <w:t>，</w:t>
      </w:r>
      <w:r>
        <w:rPr>
          <w:rFonts w:hint="eastAsia" w:ascii="宋体" w:hAnsi="宋体" w:eastAsia="宋体" w:cs="宋体"/>
          <w:sz w:val="24"/>
        </w:rPr>
        <w:t>力争与更多客户建立业务联系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季节性因素对各季度经营成果的影响</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公司客户主要分布于证券</w:t>
      </w:r>
      <w:r>
        <w:rPr>
          <w:rFonts w:hint="eastAsia" w:ascii="宋体" w:hAnsi="宋体" w:eastAsia="宋体" w:cs="宋体"/>
          <w:sz w:val="10"/>
        </w:rPr>
        <w:t>、</w:t>
      </w:r>
      <w:r>
        <w:rPr>
          <w:rFonts w:hint="eastAsia" w:ascii="宋体" w:hAnsi="宋体" w:eastAsia="宋体" w:cs="宋体"/>
          <w:sz w:val="24"/>
        </w:rPr>
        <w:t>银行等金融行业领域</w:t>
      </w:r>
      <w:r>
        <w:rPr>
          <w:rFonts w:hint="eastAsia" w:ascii="宋体" w:hAnsi="宋体" w:eastAsia="宋体" w:cs="宋体"/>
          <w:sz w:val="10"/>
        </w:rPr>
        <w:t>，</w:t>
      </w:r>
      <w:r>
        <w:rPr>
          <w:rFonts w:hint="eastAsia" w:ascii="宋体" w:hAnsi="宋体" w:eastAsia="宋体" w:cs="宋体"/>
          <w:sz w:val="24"/>
        </w:rPr>
        <w:t>基于其预算管理制度的特点</w:t>
      </w:r>
      <w:r>
        <w:rPr>
          <w:rFonts w:hint="eastAsia" w:ascii="宋体" w:hAnsi="宋体" w:eastAsia="宋体" w:cs="宋体"/>
          <w:sz w:val="10"/>
        </w:rPr>
        <w:t>，</w:t>
      </w:r>
      <w:r>
        <w:rPr>
          <w:rFonts w:hint="eastAsia" w:ascii="宋体" w:hAnsi="宋体" w:eastAsia="宋体" w:cs="宋体"/>
          <w:sz w:val="24"/>
        </w:rPr>
        <w:t>通常在每年年底编制下一年</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预算</w:t>
      </w:r>
      <w:r>
        <w:rPr>
          <w:rFonts w:hint="eastAsia" w:ascii="宋体" w:hAnsi="宋体" w:eastAsia="宋体" w:cs="宋体"/>
          <w:sz w:val="10"/>
        </w:rPr>
        <w:t>，</w:t>
      </w:r>
      <w:r>
        <w:rPr>
          <w:rFonts w:hint="eastAsia" w:ascii="宋体" w:hAnsi="宋体" w:eastAsia="宋体" w:cs="宋体"/>
          <w:sz w:val="24"/>
        </w:rPr>
        <w:t>次年上半年启动</w:t>
      </w:r>
      <w:r>
        <w:rPr>
          <w:rFonts w:hint="eastAsia" w:ascii="宋体" w:hAnsi="宋体" w:eastAsia="宋体" w:cs="宋体"/>
          <w:sz w:val="10"/>
        </w:rPr>
        <w:t>。</w:t>
      </w:r>
      <w:r>
        <w:rPr>
          <w:rFonts w:hint="eastAsia" w:ascii="宋体" w:hAnsi="宋体" w:eastAsia="宋体" w:cs="宋体"/>
          <w:sz w:val="24"/>
        </w:rPr>
        <w:t>公司的营业收入也会根据客户的预算实施情况呈现季节性波动</w:t>
      </w:r>
      <w:r>
        <w:rPr>
          <w:rFonts w:hint="eastAsia" w:ascii="宋体" w:hAnsi="宋体" w:eastAsia="宋体" w:cs="宋体"/>
          <w:sz w:val="10"/>
        </w:rPr>
        <w:t>，</w:t>
      </w:r>
      <w:r>
        <w:rPr>
          <w:rFonts w:hint="eastAsia" w:ascii="宋体" w:hAnsi="宋体" w:eastAsia="宋体" w:cs="宋体"/>
          <w:sz w:val="24"/>
        </w:rPr>
        <w:t>即收入较为集中在第四季度</w:t>
      </w:r>
      <w:r>
        <w:rPr>
          <w:rFonts w:hint="eastAsia" w:ascii="宋体" w:hAnsi="宋体" w:eastAsia="宋体" w:cs="宋体"/>
          <w:sz w:val="10"/>
        </w:rPr>
        <w:t>，</w:t>
      </w:r>
      <w:r>
        <w:rPr>
          <w:rFonts w:hint="eastAsia" w:ascii="宋体" w:hAnsi="宋体" w:eastAsia="宋体" w:cs="宋体"/>
          <w:sz w:val="24"/>
        </w:rPr>
        <w:t>全年呈上升趋势</w:t>
      </w:r>
      <w:r>
        <w:rPr>
          <w:rFonts w:hint="eastAsia" w:ascii="宋体" w:hAnsi="宋体" w:eastAsia="宋体" w:cs="宋体"/>
          <w:sz w:val="10"/>
        </w:rPr>
        <w:t>。</w:t>
      </w:r>
      <w:r>
        <w:rPr>
          <w:rFonts w:hint="eastAsia" w:ascii="宋体" w:hAnsi="宋体" w:eastAsia="宋体" w:cs="宋体"/>
          <w:sz w:val="24"/>
        </w:rPr>
        <w:t>报告期内公司按季度汇总主营业务收入如下</w:t>
      </w:r>
      <w:r>
        <w:rPr>
          <w:rFonts w:hint="eastAsia" w:ascii="宋体" w:hAnsi="宋体" w:eastAsia="宋体" w:cs="宋体"/>
          <w:sz w:val="12"/>
        </w:rPr>
        <w:t>：</w:t>
      </w:r>
    </w:p>
    <w:p>
      <w:pPr>
        <w:autoSpaceDE w:val="false"/>
        <w:autoSpaceDN w:val="false"/>
        <w:spacing w:line="4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100" w:lineRule="exact"/>
        <w:rPr>
          <w:rFonts w:hint="eastAsia" w:ascii="宋体" w:hAnsi="宋体" w:eastAsia="宋体" w:cs="宋体"/>
          <w:sz w:val="20"/>
        </w:rPr>
      </w:pPr>
    </w:p>
    <w:tbl>
      <w:tblPr>
        <w:tblW w:w="9120" w:type="auto"/>
        <w:tblInd w:w="14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20"/>
        <w:gridCol w:w="1640"/>
        <w:gridCol w:w="980"/>
        <w:gridCol w:w="1720"/>
        <w:gridCol w:w="920"/>
        <w:gridCol w:w="1620"/>
        <w:gridCol w:w="1000"/>
      </w:tblGrid>
      <w:tr>
        <w:trPr>
          <w:trHeight w:val="480" w:hRule="exact"/>
        </w:trPr>
        <w:tc>
          <w:tcPr>
            <w:tcW w:w="1220" w:type="dxa"/>
            <w:vMerge w:val="restart"/>
            <w:tcMar>
              <w:top w:w="0" w:type="dxa"/>
              <w:left w:w="0" w:type="dxa"/>
              <w:bottom w:w="0" w:type="dxa"/>
              <w:right w:w="0" w:type="dxa"/>
            </w:tcMar>
          </w:tcPr>
          <w:p>
            <w:pPr>
              <w:spacing w:before="360"/>
              <w:ind w:left="380"/>
            </w:pPr>
            <w:r>
              <w:rPr>
                <w:rFonts w:hint="eastAsia" w:ascii="宋体" w:hAnsi="宋体" w:eastAsia="宋体" w:cs="宋体"/>
                <w:b/>
                <w:sz w:val="21"/>
              </w:rPr>
              <w:t>项目</w:t>
            </w:r>
          </w:p>
        </w:tc>
        <w:tc>
          <w:tcPr>
            <w:tcW w:w="2620" w:type="dxa"/>
            <w:gridSpan w:val="2"/>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640" w:type="dxa"/>
            <w:gridSpan w:val="2"/>
            <w:tcMar>
              <w:top w:w="0" w:type="dxa"/>
              <w:left w:w="0" w:type="dxa"/>
              <w:bottom w:w="0" w:type="dxa"/>
              <w:right w:w="0" w:type="dxa"/>
            </w:tcMar>
          </w:tcPr>
          <w:p>
            <w:pPr>
              <w:spacing w:before="120"/>
              <w:ind w:left="8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620" w:type="dxa"/>
            <w:gridSpan w:val="2"/>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60" w:hRule="exact"/>
        </w:trPr>
        <w:tc>
          <w:tcPr>
            <w:tcW w:w="1220" w:type="dxa"/>
            <w:vMerge w:val="continue"/>
            <w:tcMar>
              <w:top w:w="0" w:type="dxa"/>
              <w:left w:w="0" w:type="dxa"/>
              <w:bottom w:w="0" w:type="dxa"/>
              <w:right w:w="0" w:type="dxa"/>
            </w:tcMar>
          </w:tcPr>
          <w:p/>
        </w:tc>
        <w:tc>
          <w:tcPr>
            <w:tcW w:w="1640" w:type="dxa"/>
            <w:tcMar>
              <w:top w:w="0" w:type="dxa"/>
              <w:left w:w="0" w:type="dxa"/>
              <w:bottom w:w="0" w:type="dxa"/>
              <w:right w:w="0" w:type="dxa"/>
            </w:tcMar>
          </w:tcPr>
          <w:p>
            <w:pPr>
              <w:spacing w:before="100"/>
              <w:ind w:left="600"/>
            </w:pPr>
            <w:r>
              <w:rPr>
                <w:rFonts w:hint="eastAsia" w:ascii="宋体" w:hAnsi="宋体" w:eastAsia="宋体" w:cs="宋体"/>
                <w:b/>
                <w:sz w:val="21"/>
              </w:rPr>
              <w:t>金额</w:t>
            </w:r>
          </w:p>
        </w:tc>
        <w:tc>
          <w:tcPr>
            <w:tcW w:w="980" w:type="dxa"/>
            <w:tcMar>
              <w:top w:w="0" w:type="dxa"/>
              <w:left w:w="0" w:type="dxa"/>
              <w:bottom w:w="0" w:type="dxa"/>
              <w:right w:w="0" w:type="dxa"/>
            </w:tcMar>
          </w:tcPr>
          <w:p>
            <w:pPr>
              <w:spacing w:before="100"/>
              <w:ind w:left="260"/>
            </w:pPr>
            <w:r>
              <w:rPr>
                <w:rFonts w:hint="eastAsia" w:ascii="宋体" w:hAnsi="宋体" w:eastAsia="宋体" w:cs="宋体"/>
                <w:b/>
                <w:sz w:val="21"/>
              </w:rPr>
              <w:t>比例</w:t>
            </w:r>
          </w:p>
        </w:tc>
        <w:tc>
          <w:tcPr>
            <w:tcW w:w="1720" w:type="dxa"/>
            <w:tcMar>
              <w:top w:w="0" w:type="dxa"/>
              <w:left w:w="0" w:type="dxa"/>
              <w:bottom w:w="0" w:type="dxa"/>
              <w:right w:w="0" w:type="dxa"/>
            </w:tcMar>
          </w:tcPr>
          <w:p>
            <w:pPr>
              <w:spacing w:before="100"/>
              <w:ind w:left="640"/>
            </w:pPr>
            <w:r>
              <w:rPr>
                <w:rFonts w:hint="eastAsia" w:ascii="宋体" w:hAnsi="宋体" w:eastAsia="宋体" w:cs="宋体"/>
                <w:b/>
                <w:sz w:val="21"/>
              </w:rPr>
              <w:t>金额</w:t>
            </w:r>
          </w:p>
        </w:tc>
        <w:tc>
          <w:tcPr>
            <w:tcW w:w="920" w:type="dxa"/>
            <w:tcMar>
              <w:top w:w="0" w:type="dxa"/>
              <w:left w:w="0" w:type="dxa"/>
              <w:bottom w:w="0" w:type="dxa"/>
              <w:right w:w="0" w:type="dxa"/>
            </w:tcMar>
          </w:tcPr>
          <w:p>
            <w:pPr>
              <w:spacing w:before="100"/>
              <w:ind w:left="220"/>
            </w:pPr>
            <w:r>
              <w:rPr>
                <w:rFonts w:hint="eastAsia" w:ascii="宋体" w:hAnsi="宋体" w:eastAsia="宋体" w:cs="宋体"/>
                <w:b/>
                <w:sz w:val="21"/>
              </w:rPr>
              <w:t>比例</w:t>
            </w:r>
          </w:p>
        </w:tc>
        <w:tc>
          <w:tcPr>
            <w:tcW w:w="1620" w:type="dxa"/>
            <w:tcMar>
              <w:top w:w="0" w:type="dxa"/>
              <w:left w:w="0" w:type="dxa"/>
              <w:bottom w:w="0" w:type="dxa"/>
              <w:right w:w="0" w:type="dxa"/>
            </w:tcMar>
          </w:tcPr>
          <w:p>
            <w:pPr>
              <w:spacing w:before="100"/>
              <w:ind w:left="58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00"/>
              <w:ind w:left="280"/>
            </w:pPr>
            <w:r>
              <w:rPr>
                <w:rFonts w:hint="eastAsia" w:ascii="宋体" w:hAnsi="宋体" w:eastAsia="宋体" w:cs="宋体"/>
                <w:b/>
                <w:sz w:val="21"/>
              </w:rPr>
              <w:t>比例</w:t>
            </w:r>
          </w:p>
        </w:tc>
      </w:tr>
      <w:tr>
        <w:trPr>
          <w:trHeight w:val="480" w:hRule="exact"/>
        </w:trPr>
        <w:tc>
          <w:tcPr>
            <w:tcW w:w="1220" w:type="dxa"/>
            <w:tcMar>
              <w:top w:w="0" w:type="dxa"/>
              <w:left w:w="0" w:type="dxa"/>
              <w:bottom w:w="0" w:type="dxa"/>
              <w:right w:w="0" w:type="dxa"/>
            </w:tcMar>
          </w:tcPr>
          <w:p>
            <w:pPr>
              <w:spacing w:before="120"/>
              <w:ind w:left="180"/>
            </w:pPr>
            <w:r>
              <w:rPr>
                <w:rFonts w:hint="eastAsia" w:ascii="宋体" w:hAnsi="宋体" w:eastAsia="宋体" w:cs="宋体"/>
                <w:sz w:val="21"/>
              </w:rPr>
              <w:t>第</w:t>
            </w:r>
            <w:r>
              <w:rPr>
                <w:rFonts w:hint="eastAsia" w:ascii="宋体" w:hAnsi="宋体" w:eastAsia="宋体" w:cs="宋体"/>
                <w:sz w:val="20"/>
              </w:rPr>
              <w:t>一</w:t>
            </w:r>
            <w:r>
              <w:rPr>
                <w:rFonts w:hint="eastAsia" w:ascii="宋体" w:hAnsi="宋体" w:eastAsia="宋体" w:cs="宋体"/>
                <w:sz w:val="21"/>
              </w:rPr>
              <w:t>季度</w:t>
            </w:r>
          </w:p>
        </w:tc>
        <w:tc>
          <w:tcPr>
            <w:tcW w:w="164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p>
        </w:tc>
        <w:tc>
          <w:tcPr>
            <w:tcW w:w="98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p>
        </w:tc>
        <w:tc>
          <w:tcPr>
            <w:tcW w:w="172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c>
          <w:tcPr>
            <w:tcW w:w="920" w:type="dxa"/>
            <w:tcMar>
              <w:top w:w="0" w:type="dxa"/>
              <w:left w:w="0" w:type="dxa"/>
              <w:bottom w:w="0" w:type="dxa"/>
              <w:right w:w="0" w:type="dxa"/>
            </w:tcMar>
          </w:tcPr>
          <w:p>
            <w:pPr>
              <w:spacing w:before="180"/>
              <w:ind w:left="2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c>
          <w:tcPr>
            <w:tcW w:w="162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2"/>
              </w:rPr>
              <w:t>10,288,659.62</w:t>
            </w:r>
          </w:p>
        </w:tc>
        <w:tc>
          <w:tcPr>
            <w:tcW w:w="100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2"/>
              </w:rPr>
              <w:t>6.33%</w:t>
            </w:r>
          </w:p>
        </w:tc>
      </w:tr>
      <w:tr>
        <w:trPr>
          <w:trHeight w:val="480" w:hRule="exact"/>
        </w:trPr>
        <w:tc>
          <w:tcPr>
            <w:tcW w:w="1220" w:type="dxa"/>
            <w:tcMar>
              <w:top w:w="0" w:type="dxa"/>
              <w:left w:w="0" w:type="dxa"/>
              <w:bottom w:w="0" w:type="dxa"/>
              <w:right w:w="0" w:type="dxa"/>
            </w:tcMar>
          </w:tcPr>
          <w:p>
            <w:pPr>
              <w:spacing w:before="120"/>
              <w:ind w:left="180"/>
            </w:pPr>
            <w:r>
              <w:rPr>
                <w:rFonts w:hint="eastAsia" w:ascii="宋体" w:hAnsi="宋体" w:eastAsia="宋体" w:cs="宋体"/>
                <w:sz w:val="21"/>
              </w:rPr>
              <w:t>第</w:t>
            </w:r>
            <w:r>
              <w:rPr>
                <w:rFonts w:hint="eastAsia" w:ascii="宋体" w:hAnsi="宋体" w:eastAsia="宋体" w:cs="宋体"/>
                <w:sz w:val="20"/>
              </w:rPr>
              <w:t>二</w:t>
            </w:r>
            <w:r>
              <w:rPr>
                <w:rFonts w:hint="eastAsia" w:ascii="宋体" w:hAnsi="宋体" w:eastAsia="宋体" w:cs="宋体"/>
                <w:sz w:val="21"/>
              </w:rPr>
              <w:t>季度</w:t>
            </w:r>
          </w:p>
        </w:tc>
        <w:tc>
          <w:tcPr>
            <w:tcW w:w="164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p>
        </w:tc>
        <w:tc>
          <w:tcPr>
            <w:tcW w:w="98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p>
        </w:tc>
        <w:tc>
          <w:tcPr>
            <w:tcW w:w="17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c>
          <w:tcPr>
            <w:tcW w:w="92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p>
        </w:tc>
        <w:tc>
          <w:tcPr>
            <w:tcW w:w="162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2"/>
              </w:rPr>
              <w:t>37,771,145.23</w:t>
            </w:r>
          </w:p>
        </w:tc>
        <w:tc>
          <w:tcPr>
            <w:tcW w:w="10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2"/>
              </w:rPr>
              <w:t>23.24%</w:t>
            </w:r>
          </w:p>
        </w:tc>
      </w:tr>
      <w:tr>
        <w:trPr>
          <w:trHeight w:val="480" w:hRule="exact"/>
        </w:trPr>
        <w:tc>
          <w:tcPr>
            <w:tcW w:w="1220" w:type="dxa"/>
            <w:tcMar>
              <w:top w:w="0" w:type="dxa"/>
              <w:left w:w="0" w:type="dxa"/>
              <w:bottom w:w="0" w:type="dxa"/>
              <w:right w:w="0" w:type="dxa"/>
            </w:tcMar>
          </w:tcPr>
          <w:p>
            <w:pPr>
              <w:spacing w:before="120"/>
              <w:ind w:left="180"/>
            </w:pPr>
            <w:r>
              <w:rPr>
                <w:rFonts w:hint="eastAsia" w:ascii="宋体" w:hAnsi="宋体" w:eastAsia="宋体" w:cs="宋体"/>
                <w:sz w:val="21"/>
              </w:rPr>
              <w:t>第三季度</w:t>
            </w:r>
          </w:p>
        </w:tc>
        <w:tc>
          <w:tcPr>
            <w:tcW w:w="164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p>
        </w:tc>
        <w:tc>
          <w:tcPr>
            <w:tcW w:w="980" w:type="dxa"/>
            <w:tcMar>
              <w:top w:w="0" w:type="dxa"/>
              <w:left w:w="0" w:type="dxa"/>
              <w:bottom w:w="0" w:type="dxa"/>
              <w:right w:w="0" w:type="dxa"/>
            </w:tcMar>
          </w:tcPr>
          <w:p>
            <w:pPr>
              <w:spacing w:before="140"/>
              <w:ind w:left="400"/>
            </w:pPr>
            <w:r>
              <w:rPr>
                <w:rFonts w:hint="eastAsia" w:ascii="Times New Roman" w:hAnsi="Times New Roman" w:eastAsia="Times New Roman" w:cs="Times New Roman"/>
                <w:sz w:val="21"/>
              </w:rPr>
              <w:t>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c>
          <w:tcPr>
            <w:tcW w:w="17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920" w:type="dxa"/>
            <w:tcMar>
              <w:top w:w="0" w:type="dxa"/>
              <w:left w:w="0" w:type="dxa"/>
              <w:bottom w:w="0" w:type="dxa"/>
              <w:right w:w="0" w:type="dxa"/>
            </w:tcMar>
          </w:tcPr>
          <w:p>
            <w:pPr>
              <w:spacing w:before="140"/>
              <w:ind w:left="22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p>
        </w:tc>
        <w:tc>
          <w:tcPr>
            <w:tcW w:w="162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2"/>
              </w:rPr>
              <w:t>22,313,376.11</w:t>
            </w:r>
          </w:p>
        </w:tc>
        <w:tc>
          <w:tcPr>
            <w:tcW w:w="100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2"/>
              </w:rPr>
              <w:t>13.73%</w:t>
            </w:r>
          </w:p>
        </w:tc>
      </w:tr>
      <w:tr>
        <w:trPr>
          <w:trHeight w:val="460" w:hRule="exact"/>
        </w:trPr>
        <w:tc>
          <w:tcPr>
            <w:tcW w:w="1220" w:type="dxa"/>
            <w:tcMar>
              <w:top w:w="0" w:type="dxa"/>
              <w:left w:w="0" w:type="dxa"/>
              <w:bottom w:w="0" w:type="dxa"/>
              <w:right w:w="0" w:type="dxa"/>
            </w:tcMar>
          </w:tcPr>
          <w:p>
            <w:pPr>
              <w:spacing w:before="100"/>
              <w:ind w:left="180"/>
            </w:pPr>
            <w:r>
              <w:rPr>
                <w:rFonts w:hint="eastAsia" w:ascii="宋体" w:hAnsi="宋体" w:eastAsia="宋体" w:cs="宋体"/>
                <w:sz w:val="21"/>
              </w:rPr>
              <w:t>第四季度</w:t>
            </w:r>
          </w:p>
        </w:tc>
        <w:tc>
          <w:tcPr>
            <w:tcW w:w="164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w:t>
            </w:r>
          </w:p>
        </w:tc>
        <w:tc>
          <w:tcPr>
            <w:tcW w:w="98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c>
          <w:tcPr>
            <w:tcW w:w="17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w:t>
            </w:r>
          </w:p>
        </w:tc>
        <w:tc>
          <w:tcPr>
            <w:tcW w:w="92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r>
              <w:rPr>
                <w:rFonts w:hint="eastAsia" w:ascii="Times New Roman" w:hAnsi="Times New Roman" w:eastAsia="Times New Roman" w:cs="Times New Roman"/>
                <w:sz w:val="20"/>
              </w:rPr>
              <w:t>%</w:t>
            </w:r>
          </w:p>
        </w:tc>
        <w:tc>
          <w:tcPr>
            <w:tcW w:w="162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2"/>
              </w:rPr>
              <w:t>92,170,285.79</w:t>
            </w:r>
          </w:p>
        </w:tc>
        <w:tc>
          <w:tcPr>
            <w:tcW w:w="10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2"/>
              </w:rPr>
              <w:t>56.71%</w:t>
            </w:r>
          </w:p>
        </w:tc>
      </w:tr>
      <w:tr>
        <w:trPr>
          <w:trHeight w:val="480" w:hRule="exact"/>
        </w:trPr>
        <w:tc>
          <w:tcPr>
            <w:tcW w:w="1220" w:type="dxa"/>
            <w:tcMar>
              <w:top w:w="0" w:type="dxa"/>
              <w:left w:w="0" w:type="dxa"/>
              <w:bottom w:w="0" w:type="dxa"/>
              <w:right w:w="0" w:type="dxa"/>
            </w:tcMar>
          </w:tcPr>
          <w:p>
            <w:pPr>
              <w:spacing w:before="120"/>
              <w:ind w:left="380"/>
            </w:pPr>
            <w:r>
              <w:rPr>
                <w:rFonts w:hint="eastAsia" w:ascii="宋体" w:hAnsi="宋体" w:eastAsia="宋体" w:cs="宋体"/>
                <w:b/>
                <w:sz w:val="21"/>
              </w:rPr>
              <w:t>合计</w:t>
            </w:r>
          </w:p>
        </w:tc>
        <w:tc>
          <w:tcPr>
            <w:tcW w:w="1640" w:type="dxa"/>
            <w:tcMar>
              <w:top w:w="0" w:type="dxa"/>
              <w:left w:w="0" w:type="dxa"/>
              <w:bottom w:w="0" w:type="dxa"/>
              <w:right w:w="0" w:type="dxa"/>
            </w:tcMar>
          </w:tcPr>
          <w:p>
            <w:pPr>
              <w:spacing w:before="180"/>
              <w:ind w:left="280"/>
            </w:pPr>
            <w:r>
              <w:rPr>
                <w:rFonts w:hint="eastAsia" w:ascii="Times New Roman Bold" w:hAnsi="Times New Roman Bold" w:eastAsia="Times New Roman Bold" w:cs="Times New Roman Bold"/>
                <w:b/>
                <w:sz w:val="21"/>
              </w:rPr>
              <w:t>204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71</w:t>
            </w:r>
          </w:p>
        </w:tc>
        <w:tc>
          <w:tcPr>
            <w:tcW w:w="98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720" w:type="dxa"/>
            <w:tcMar>
              <w:top w:w="0" w:type="dxa"/>
              <w:left w:w="0" w:type="dxa"/>
              <w:bottom w:w="0" w:type="dxa"/>
              <w:right w:w="0" w:type="dxa"/>
            </w:tcMar>
          </w:tcPr>
          <w:p>
            <w:pPr>
              <w:spacing w:before="180"/>
              <w:ind w:left="360"/>
            </w:pPr>
            <w:r>
              <w:rPr>
                <w:rFonts w:hint="eastAsia" w:ascii="Times New Roman Bold" w:hAnsi="Times New Roman Bold" w:eastAsia="Times New Roman Bold" w:cs="Times New Roman Bold"/>
                <w:b/>
                <w:sz w:val="21"/>
              </w:rPr>
              <w:t>195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920" w:type="dxa"/>
            <w:tcMar>
              <w:top w:w="0" w:type="dxa"/>
              <w:left w:w="0" w:type="dxa"/>
              <w:bottom w:w="0" w:type="dxa"/>
              <w:right w:w="0" w:type="dxa"/>
            </w:tcMar>
          </w:tcPr>
          <w:p>
            <w:pPr>
              <w:spacing w:before="1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620" w:type="dxa"/>
            <w:tcMar>
              <w:top w:w="0" w:type="dxa"/>
              <w:left w:w="0" w:type="dxa"/>
              <w:bottom w:w="0" w:type="dxa"/>
              <w:right w:w="0" w:type="dxa"/>
            </w:tcMar>
          </w:tcPr>
          <w:p>
            <w:pPr>
              <w:spacing w:before="180"/>
              <w:ind w:left="200"/>
            </w:pPr>
            <w:r>
              <w:rPr>
                <w:rFonts w:hint="eastAsia" w:ascii="Times New Roman Bold" w:hAnsi="Times New Roman Bold" w:eastAsia="Times New Roman Bold" w:cs="Times New Roman Bold"/>
                <w:b/>
                <w:sz w:val="22"/>
              </w:rPr>
              <w:t>162,543,466.75</w:t>
            </w:r>
          </w:p>
        </w:tc>
        <w:tc>
          <w:tcPr>
            <w:tcW w:w="1000" w:type="dxa"/>
            <w:tcMar>
              <w:top w:w="0" w:type="dxa"/>
              <w:left w:w="0" w:type="dxa"/>
              <w:bottom w:w="0" w:type="dxa"/>
              <w:right w:w="0" w:type="dxa"/>
            </w:tcMar>
          </w:tcPr>
          <w:p>
            <w:pPr>
              <w:spacing w:before="180"/>
              <w:ind w:left="140"/>
            </w:pPr>
            <w:r>
              <w:rPr>
                <w:rFonts w:hint="eastAsia" w:ascii="Times New Roman Bold" w:hAnsi="Times New Roman Bold" w:eastAsia="Times New Roman Bold" w:cs="Times New Roman Bold"/>
                <w:b/>
                <w:sz w:val="22"/>
              </w:rPr>
              <w:t>100.00%</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报告期各期新增客户</w:t>
      </w:r>
      <w:r>
        <w:rPr>
          <w:rFonts w:hint="eastAsia" w:ascii="宋体" w:hAnsi="宋体" w:eastAsia="宋体" w:cs="宋体"/>
          <w:b/>
          <w:sz w:val="10"/>
        </w:rPr>
        <w:t>、</w:t>
      </w:r>
      <w:r>
        <w:rPr>
          <w:rFonts w:hint="eastAsia" w:ascii="宋体" w:hAnsi="宋体" w:eastAsia="宋体" w:cs="宋体"/>
          <w:b/>
          <w:sz w:val="24"/>
        </w:rPr>
        <w:t>原有客户</w:t>
      </w:r>
      <w:r>
        <w:rPr>
          <w:rFonts w:hint="eastAsia" w:ascii="宋体" w:hAnsi="宋体" w:eastAsia="宋体" w:cs="宋体"/>
          <w:b/>
          <w:sz w:val="10"/>
        </w:rPr>
        <w:t>、</w:t>
      </w:r>
      <w:r>
        <w:rPr>
          <w:rFonts w:hint="eastAsia" w:ascii="宋体" w:hAnsi="宋体" w:eastAsia="宋体" w:cs="宋体"/>
          <w:b/>
          <w:sz w:val="24"/>
        </w:rPr>
        <w:t>持续与发行人存在业务往来的客户的收入贡</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发行人各期新增客户</w:t>
      </w:r>
      <w:r>
        <w:rPr>
          <w:rFonts w:hint="eastAsia" w:ascii="宋体" w:hAnsi="宋体" w:eastAsia="宋体" w:cs="宋体"/>
          <w:sz w:val="10"/>
        </w:rPr>
        <w:t>、</w:t>
      </w:r>
      <w:r>
        <w:rPr>
          <w:rFonts w:hint="eastAsia" w:ascii="宋体" w:hAnsi="宋体" w:eastAsia="宋体" w:cs="宋体"/>
          <w:sz w:val="24"/>
        </w:rPr>
        <w:t>原有客户收入贡献详见下表</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280"/>
        <w:gridCol w:w="2000"/>
        <w:gridCol w:w="2000"/>
        <w:gridCol w:w="1980"/>
      </w:tblGrid>
      <w:tr>
        <w:trPr>
          <w:trHeight w:val="640" w:hRule="exact"/>
        </w:trPr>
        <w:tc>
          <w:tcPr>
            <w:tcW w:w="3280" w:type="dxa"/>
            <w:tcMar>
              <w:top w:w="0" w:type="dxa"/>
              <w:left w:w="0" w:type="dxa"/>
              <w:bottom w:w="0" w:type="dxa"/>
              <w:right w:w="0" w:type="dxa"/>
            </w:tcMar>
          </w:tcPr>
          <w:p>
            <w:pPr>
              <w:spacing w:before="180"/>
              <w:ind w:left="1420"/>
            </w:pPr>
            <w:r>
              <w:rPr>
                <w:rFonts w:hint="eastAsia" w:ascii="宋体" w:hAnsi="宋体" w:eastAsia="宋体" w:cs="宋体"/>
                <w:b/>
                <w:sz w:val="21"/>
              </w:rPr>
              <w:t>项目</w:t>
            </w:r>
          </w:p>
        </w:tc>
        <w:tc>
          <w:tcPr>
            <w:tcW w:w="2000" w:type="dxa"/>
            <w:tcMar>
              <w:top w:w="0" w:type="dxa"/>
              <w:left w:w="0" w:type="dxa"/>
              <w:bottom w:w="0" w:type="dxa"/>
              <w:right w:w="0" w:type="dxa"/>
            </w:tcMar>
          </w:tcPr>
          <w:p>
            <w:pPr>
              <w:spacing w:before="180"/>
              <w:ind w:left="5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000" w:type="dxa"/>
            <w:tcMar>
              <w:top w:w="0" w:type="dxa"/>
              <w:left w:w="0" w:type="dxa"/>
              <w:bottom w:w="0" w:type="dxa"/>
              <w:right w:w="0" w:type="dxa"/>
            </w:tcMar>
          </w:tcPr>
          <w:p>
            <w:pPr>
              <w:spacing w:before="180"/>
              <w:ind w:left="54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1980" w:type="dxa"/>
            <w:tcMar>
              <w:top w:w="0" w:type="dxa"/>
              <w:left w:w="0" w:type="dxa"/>
              <w:bottom w:w="0" w:type="dxa"/>
              <w:right w:w="0" w:type="dxa"/>
            </w:tcMar>
          </w:tcPr>
          <w:p>
            <w:pPr>
              <w:spacing w:before="180"/>
              <w:ind w:left="52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20" w:hRule="exact"/>
        </w:trPr>
        <w:tc>
          <w:tcPr>
            <w:tcW w:w="3280" w:type="dxa"/>
            <w:tcMar>
              <w:top w:w="0" w:type="dxa"/>
              <w:left w:w="0" w:type="dxa"/>
              <w:bottom w:w="0" w:type="dxa"/>
              <w:right w:w="0" w:type="dxa"/>
            </w:tcMar>
          </w:tcPr>
          <w:p>
            <w:pPr>
              <w:spacing w:before="180"/>
              <w:ind w:left="100"/>
            </w:pPr>
            <w:r>
              <w:rPr>
                <w:rFonts w:hint="eastAsia" w:ascii="宋体" w:hAnsi="宋体" w:eastAsia="宋体" w:cs="宋体"/>
                <w:sz w:val="21"/>
              </w:rPr>
              <w:t>主营业务收入</w:t>
            </w:r>
          </w:p>
        </w:tc>
        <w:tc>
          <w:tcPr>
            <w:tcW w:w="2000" w:type="dxa"/>
            <w:tcMar>
              <w:top w:w="0" w:type="dxa"/>
              <w:left w:w="0" w:type="dxa"/>
              <w:bottom w:w="0" w:type="dxa"/>
              <w:right w:w="0" w:type="dxa"/>
            </w:tcMar>
          </w:tcPr>
          <w:p>
            <w:pPr>
              <w:spacing w:before="240"/>
              <w:ind w:left="560"/>
            </w:pPr>
            <w:r>
              <w:rPr>
                <w:rFonts w:hint="eastAsia" w:ascii="Times New Roman" w:hAnsi="Times New Roman" w:eastAsia="Times New Roman" w:cs="Times New Roman"/>
                <w:sz w:val="21"/>
              </w:rPr>
              <w:t>204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2000" w:type="dxa"/>
            <w:tcMar>
              <w:top w:w="0" w:type="dxa"/>
              <w:left w:w="0" w:type="dxa"/>
              <w:bottom w:w="0" w:type="dxa"/>
              <w:right w:w="0" w:type="dxa"/>
            </w:tcMar>
          </w:tcPr>
          <w:p>
            <w:pPr>
              <w:spacing w:before="240"/>
              <w:ind w:left="560"/>
            </w:pPr>
            <w:r>
              <w:rPr>
                <w:rFonts w:hint="eastAsia" w:ascii="Times New Roman" w:hAnsi="Times New Roman" w:eastAsia="Times New Roman" w:cs="Times New Roman"/>
                <w:sz w:val="21"/>
              </w:rPr>
              <w:t>195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p>
        </w:tc>
        <w:tc>
          <w:tcPr>
            <w:tcW w:w="198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162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r>
      <w:tr>
        <w:trPr>
          <w:trHeight w:val="640" w:hRule="exact"/>
        </w:trPr>
        <w:tc>
          <w:tcPr>
            <w:tcW w:w="3280" w:type="dxa"/>
            <w:tcMar>
              <w:top w:w="0" w:type="dxa"/>
              <w:left w:w="0" w:type="dxa"/>
              <w:bottom w:w="0" w:type="dxa"/>
              <w:right w:w="0" w:type="dxa"/>
            </w:tcMar>
          </w:tcPr>
          <w:p>
            <w:pPr>
              <w:spacing w:before="200"/>
              <w:ind w:left="100"/>
            </w:pPr>
            <w:r>
              <w:rPr>
                <w:rFonts w:hint="eastAsia" w:ascii="宋体" w:hAnsi="宋体" w:eastAsia="宋体" w:cs="宋体"/>
                <w:sz w:val="21"/>
              </w:rPr>
              <w:t>新增客户主营业务收入</w:t>
            </w:r>
          </w:p>
        </w:tc>
        <w:tc>
          <w:tcPr>
            <w:tcW w:w="2000" w:type="dxa"/>
            <w:tcMar>
              <w:top w:w="0" w:type="dxa"/>
              <w:left w:w="0" w:type="dxa"/>
              <w:bottom w:w="0" w:type="dxa"/>
              <w:right w:w="0" w:type="dxa"/>
            </w:tcMar>
          </w:tcPr>
          <w:p>
            <w:pPr>
              <w:spacing w:before="260"/>
              <w:ind w:left="66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c>
          <w:tcPr>
            <w:tcW w:w="2000" w:type="dxa"/>
            <w:tcMar>
              <w:top w:w="0" w:type="dxa"/>
              <w:left w:w="0" w:type="dxa"/>
              <w:bottom w:w="0" w:type="dxa"/>
              <w:right w:w="0" w:type="dxa"/>
            </w:tcMar>
          </w:tcPr>
          <w:p>
            <w:pPr>
              <w:spacing w:before="260"/>
              <w:ind w:left="66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980" w:type="dxa"/>
            <w:tcMar>
              <w:top w:w="0" w:type="dxa"/>
              <w:left w:w="0" w:type="dxa"/>
              <w:bottom w:w="0" w:type="dxa"/>
              <w:right w:w="0" w:type="dxa"/>
            </w:tcMar>
          </w:tcPr>
          <w:p>
            <w:pPr>
              <w:spacing w:before="260"/>
              <w:ind w:left="660"/>
            </w:pP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r>
      <w:tr>
        <w:trPr>
          <w:trHeight w:val="620" w:hRule="exact"/>
        </w:trPr>
        <w:tc>
          <w:tcPr>
            <w:tcW w:w="3280" w:type="dxa"/>
            <w:tcMar>
              <w:top w:w="0" w:type="dxa"/>
              <w:left w:w="0" w:type="dxa"/>
              <w:bottom w:w="0" w:type="dxa"/>
              <w:right w:w="0" w:type="dxa"/>
            </w:tcMar>
          </w:tcPr>
          <w:p>
            <w:pPr>
              <w:spacing w:before="180"/>
              <w:ind w:left="100"/>
            </w:pPr>
            <w:r>
              <w:rPr>
                <w:rFonts w:hint="eastAsia" w:ascii="宋体" w:hAnsi="宋体" w:eastAsia="宋体" w:cs="宋体"/>
                <w:sz w:val="21"/>
              </w:rPr>
              <w:t>原有客户主营业务收入</w:t>
            </w:r>
          </w:p>
        </w:tc>
        <w:tc>
          <w:tcPr>
            <w:tcW w:w="200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189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200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161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1980" w:type="dxa"/>
            <w:tcMar>
              <w:top w:w="0" w:type="dxa"/>
              <w:left w:w="0" w:type="dxa"/>
              <w:bottom w:w="0" w:type="dxa"/>
              <w:right w:w="0" w:type="dxa"/>
            </w:tcMar>
          </w:tcPr>
          <w:p>
            <w:pPr>
              <w:spacing w:before="220"/>
              <w:ind w:left="540"/>
            </w:pPr>
            <w:r>
              <w:rPr>
                <w:rFonts w:hint="eastAsia" w:ascii="Times New Roman" w:hAnsi="Times New Roman" w:eastAsia="Times New Roman" w:cs="Times New Roman"/>
                <w:sz w:val="21"/>
              </w:rPr>
              <w:t>132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1-1-273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280"/>
        <w:gridCol w:w="2000"/>
        <w:gridCol w:w="2000"/>
        <w:gridCol w:w="1980"/>
      </w:tblGrid>
      <w:tr>
        <w:trPr>
          <w:trHeight w:val="640" w:hRule="exact"/>
        </w:trPr>
        <w:tc>
          <w:tcPr>
            <w:tcW w:w="3280" w:type="dxa"/>
            <w:tcMar>
              <w:top w:w="0" w:type="dxa"/>
              <w:left w:w="0" w:type="dxa"/>
              <w:bottom w:w="0" w:type="dxa"/>
              <w:right w:w="0" w:type="dxa"/>
            </w:tcMar>
          </w:tcPr>
          <w:p>
            <w:pPr>
              <w:spacing w:before="180"/>
              <w:ind w:left="100"/>
            </w:pPr>
            <w:r>
              <w:rPr>
                <w:rFonts w:hint="eastAsia" w:ascii="宋体" w:hAnsi="宋体" w:eastAsia="宋体" w:cs="宋体"/>
                <w:sz w:val="21"/>
              </w:rPr>
              <w:t>新增客户收入贡献</w:t>
            </w:r>
          </w:p>
        </w:tc>
        <w:tc>
          <w:tcPr>
            <w:tcW w:w="2000" w:type="dxa"/>
            <w:tcMar>
              <w:top w:w="0" w:type="dxa"/>
              <w:left w:w="0" w:type="dxa"/>
              <w:bottom w:w="0" w:type="dxa"/>
              <w:right w:w="0" w:type="dxa"/>
            </w:tcMar>
          </w:tcPr>
          <w:p>
            <w:pPr>
              <w:spacing w:before="220"/>
              <w:ind w:left="134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c>
          <w:tcPr>
            <w:tcW w:w="2000" w:type="dxa"/>
            <w:tcMar>
              <w:top w:w="0" w:type="dxa"/>
              <w:left w:w="0" w:type="dxa"/>
              <w:bottom w:w="0" w:type="dxa"/>
              <w:right w:w="0" w:type="dxa"/>
            </w:tcMar>
          </w:tcPr>
          <w:p>
            <w:pPr>
              <w:spacing w:before="220"/>
              <w:ind w:left="122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p>
        </w:tc>
        <w:tc>
          <w:tcPr>
            <w:tcW w:w="1980" w:type="dxa"/>
            <w:tcMar>
              <w:top w:w="0" w:type="dxa"/>
              <w:left w:w="0" w:type="dxa"/>
              <w:bottom w:w="0" w:type="dxa"/>
              <w:right w:w="0" w:type="dxa"/>
            </w:tcMar>
          </w:tcPr>
          <w:p>
            <w:pPr>
              <w:spacing w:before="220"/>
              <w:ind w:left="122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p>
        </w:tc>
      </w:tr>
      <w:tr>
        <w:trPr>
          <w:trHeight w:val="620" w:hRule="exact"/>
        </w:trPr>
        <w:tc>
          <w:tcPr>
            <w:tcW w:w="3280" w:type="dxa"/>
            <w:tcMar>
              <w:top w:w="0" w:type="dxa"/>
              <w:left w:w="0" w:type="dxa"/>
              <w:bottom w:w="0" w:type="dxa"/>
              <w:right w:w="0" w:type="dxa"/>
            </w:tcMar>
          </w:tcPr>
          <w:p>
            <w:pPr>
              <w:spacing w:before="180"/>
              <w:ind w:left="100"/>
            </w:pPr>
            <w:r>
              <w:rPr>
                <w:rFonts w:hint="eastAsia" w:ascii="宋体" w:hAnsi="宋体" w:eastAsia="宋体" w:cs="宋体"/>
                <w:sz w:val="21"/>
              </w:rPr>
              <w:t>原有客户收入贡献</w:t>
            </w:r>
          </w:p>
        </w:tc>
        <w:tc>
          <w:tcPr>
            <w:tcW w:w="2000" w:type="dxa"/>
            <w:tcMar>
              <w:top w:w="0" w:type="dxa"/>
              <w:left w:w="0" w:type="dxa"/>
              <w:bottom w:w="0" w:type="dxa"/>
              <w:right w:w="0" w:type="dxa"/>
            </w:tcMar>
          </w:tcPr>
          <w:p>
            <w:pPr>
              <w:spacing w:before="240"/>
              <w:ind w:left="1220"/>
            </w:pPr>
            <w:r>
              <w:rPr>
                <w:rFonts w:hint="eastAsia" w:ascii="Times New Roman" w:hAnsi="Times New Roman" w:eastAsia="Times New Roman" w:cs="Times New Roman"/>
                <w:sz w:val="21"/>
              </w:rPr>
              <w:t>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r>
              <w:rPr>
                <w:rFonts w:hint="eastAsia" w:ascii="Times New Roman" w:hAnsi="Times New Roman" w:eastAsia="Times New Roman" w:cs="Times New Roman"/>
                <w:sz w:val="20"/>
              </w:rPr>
              <w:t>%</w:t>
            </w:r>
          </w:p>
        </w:tc>
        <w:tc>
          <w:tcPr>
            <w:tcW w:w="2000" w:type="dxa"/>
            <w:tcMar>
              <w:top w:w="0" w:type="dxa"/>
              <w:left w:w="0" w:type="dxa"/>
              <w:bottom w:w="0" w:type="dxa"/>
              <w:right w:w="0" w:type="dxa"/>
            </w:tcMar>
          </w:tcPr>
          <w:p>
            <w:pPr>
              <w:spacing w:before="240"/>
              <w:ind w:left="1220"/>
            </w:pP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p>
        </w:tc>
        <w:tc>
          <w:tcPr>
            <w:tcW w:w="1980" w:type="dxa"/>
            <w:tcMar>
              <w:top w:w="0" w:type="dxa"/>
              <w:left w:w="0" w:type="dxa"/>
              <w:bottom w:w="0" w:type="dxa"/>
              <w:right w:w="0" w:type="dxa"/>
            </w:tcMar>
          </w:tcPr>
          <w:p>
            <w:pPr>
              <w:spacing w:before="240"/>
              <w:ind w:left="1220"/>
            </w:pP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p>
        </w:tc>
      </w:tr>
    </w:tbl>
    <w:p>
      <w:pPr>
        <w:autoSpaceDE w:val="false"/>
        <w:autoSpaceDN w:val="false"/>
        <w:spacing w:line="440" w:lineRule="exact"/>
        <w:ind w:left="1860"/>
        <w:jc w:val="both"/>
      </w:pPr>
      <w:r>
        <w:rPr>
          <w:rFonts w:hint="eastAsia" w:ascii="宋体" w:hAnsi="宋体" w:eastAsia="宋体" w:cs="宋体"/>
          <w:sz w:val="21"/>
        </w:rPr>
        <w:t>注</w:t>
      </w:r>
      <w:r>
        <w:rPr>
          <w:rFonts w:hint="eastAsia" w:ascii="宋体" w:hAnsi="宋体" w:eastAsia="宋体" w:cs="宋体"/>
          <w:sz w:val="10"/>
        </w:rPr>
        <w:t>：</w:t>
      </w:r>
      <w:r>
        <w:rPr>
          <w:rFonts w:hint="eastAsia" w:ascii="宋体" w:hAnsi="宋体" w:eastAsia="宋体" w:cs="宋体"/>
          <w:sz w:val="21"/>
        </w:rPr>
        <w:t>新增客户指的是报告期内各期当年确认收入而在该年度之前未实现收入的客户</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right="124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持续与发行人存在业务往来的客户确认收入的累计金额为</w:t>
      </w:r>
      <w:r>
        <w:rPr>
          <w:rFonts w:hint="eastAsia" w:ascii="Times New Roman" w:hAnsi="Times New Roman" w:eastAsia="Times New Roman" w:cs="Times New Roman"/>
          <w:sz w:val="24"/>
        </w:rPr>
        <w:t xml:space="preserve"> 499,714,343.47</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收入贡献占比为</w:t>
      </w:r>
      <w:r>
        <w:rPr>
          <w:rFonts w:hint="eastAsia" w:ascii="Times New Roman" w:hAnsi="Times New Roman" w:eastAsia="Times New Roman" w:cs="Times New Roman"/>
          <w:sz w:val="24"/>
        </w:rPr>
        <w:t xml:space="preserve"> 88.86%</w:t>
      </w:r>
      <w:r>
        <w:rPr>
          <w:rFonts w:hint="eastAsia" w:ascii="宋体" w:hAnsi="宋体" w:eastAsia="宋体" w:cs="宋体"/>
          <w:sz w:val="10"/>
        </w:rPr>
        <w:t>。</w:t>
      </w:r>
      <w:r>
        <w:rPr>
          <w:rFonts w:hint="eastAsia" w:ascii="宋体" w:hAnsi="宋体" w:eastAsia="宋体" w:cs="宋体"/>
          <w:sz w:val="24"/>
        </w:rPr>
        <w:t>持续客户指的是报告期内至少两年实现收入且</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年实现收入的客户</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（二）利润主要来源及可能影响公司盈利能力的连续性和稳定性的主要因素</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公司利润的主要来源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公司利润的主要来源如下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480" w:type="auto"/>
        <w:tblInd w:w="1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860"/>
        <w:gridCol w:w="1740"/>
        <w:gridCol w:w="1000"/>
        <w:gridCol w:w="1420"/>
        <w:gridCol w:w="1000"/>
        <w:gridCol w:w="1420"/>
        <w:gridCol w:w="1020"/>
      </w:tblGrid>
      <w:tr>
        <w:trPr>
          <w:trHeight w:val="520" w:hRule="exact"/>
        </w:trPr>
        <w:tc>
          <w:tcPr>
            <w:tcW w:w="1860" w:type="dxa"/>
            <w:vMerge w:val="restart"/>
            <w:tcMar>
              <w:top w:w="0" w:type="dxa"/>
              <w:left w:w="0" w:type="dxa"/>
              <w:bottom w:w="0" w:type="dxa"/>
              <w:right w:w="0" w:type="dxa"/>
            </w:tcMar>
          </w:tcPr>
          <w:p>
            <w:pPr>
              <w:spacing w:before="360"/>
              <w:ind w:left="700"/>
            </w:pPr>
            <w:r>
              <w:rPr>
                <w:rFonts w:hint="eastAsia" w:ascii="宋体" w:hAnsi="宋体" w:eastAsia="宋体" w:cs="宋体"/>
                <w:b/>
                <w:sz w:val="21"/>
              </w:rPr>
              <w:t>项目</w:t>
            </w:r>
          </w:p>
        </w:tc>
        <w:tc>
          <w:tcPr>
            <w:tcW w:w="2740" w:type="dxa"/>
            <w:gridSpan w:val="2"/>
            <w:tcMar>
              <w:top w:w="0" w:type="dxa"/>
              <w:left w:w="0" w:type="dxa"/>
              <w:bottom w:w="0" w:type="dxa"/>
              <w:right w:w="0" w:type="dxa"/>
            </w:tcMar>
          </w:tcPr>
          <w:p>
            <w:pPr>
              <w:spacing w:before="120"/>
              <w:ind w:left="90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420" w:type="dxa"/>
            <w:gridSpan w:val="2"/>
            <w:tcMar>
              <w:top w:w="0" w:type="dxa"/>
              <w:left w:w="0" w:type="dxa"/>
              <w:bottom w:w="0" w:type="dxa"/>
              <w:right w:w="0" w:type="dxa"/>
            </w:tcMar>
          </w:tcPr>
          <w:p>
            <w:pPr>
              <w:spacing w:before="120"/>
              <w:ind w:left="74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440" w:type="dxa"/>
            <w:gridSpan w:val="2"/>
            <w:tcMar>
              <w:top w:w="0" w:type="dxa"/>
              <w:left w:w="0" w:type="dxa"/>
              <w:bottom w:w="0" w:type="dxa"/>
              <w:right w:w="0" w:type="dxa"/>
            </w:tcMar>
          </w:tcPr>
          <w:p>
            <w:pPr>
              <w:spacing w:before="120"/>
              <w:ind w:left="7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40" w:hRule="exact"/>
        </w:trPr>
        <w:tc>
          <w:tcPr>
            <w:tcW w:w="1860" w:type="dxa"/>
            <w:vMerge w:val="continue"/>
            <w:tcMar>
              <w:top w:w="0" w:type="dxa"/>
              <w:left w:w="0" w:type="dxa"/>
              <w:bottom w:w="0" w:type="dxa"/>
              <w:right w:w="0" w:type="dxa"/>
            </w:tcMar>
          </w:tcPr>
          <w:p/>
        </w:tc>
        <w:tc>
          <w:tcPr>
            <w:tcW w:w="1740" w:type="dxa"/>
            <w:tcMar>
              <w:top w:w="0" w:type="dxa"/>
              <w:left w:w="0" w:type="dxa"/>
              <w:bottom w:w="0" w:type="dxa"/>
              <w:right w:w="0" w:type="dxa"/>
            </w:tcMar>
          </w:tcPr>
          <w:p>
            <w:pPr>
              <w:spacing w:before="120"/>
              <w:ind w:left="64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20"/>
              <w:ind w:left="260"/>
            </w:pPr>
            <w:r>
              <w:rPr>
                <w:rFonts w:hint="eastAsia" w:ascii="宋体" w:hAnsi="宋体" w:eastAsia="宋体" w:cs="宋体"/>
                <w:b/>
                <w:sz w:val="21"/>
              </w:rPr>
              <w:t>占比</w:t>
            </w:r>
          </w:p>
        </w:tc>
        <w:tc>
          <w:tcPr>
            <w:tcW w:w="1420" w:type="dxa"/>
            <w:tcMar>
              <w:top w:w="0" w:type="dxa"/>
              <w:left w:w="0" w:type="dxa"/>
              <w:bottom w:w="0" w:type="dxa"/>
              <w:right w:w="0" w:type="dxa"/>
            </w:tcMar>
          </w:tcPr>
          <w:p>
            <w:pPr>
              <w:spacing w:before="120"/>
              <w:ind w:left="48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20"/>
              <w:ind w:left="280"/>
            </w:pPr>
            <w:r>
              <w:rPr>
                <w:rFonts w:hint="eastAsia" w:ascii="宋体" w:hAnsi="宋体" w:eastAsia="宋体" w:cs="宋体"/>
                <w:b/>
                <w:sz w:val="21"/>
              </w:rPr>
              <w:t>占比</w:t>
            </w:r>
          </w:p>
        </w:tc>
        <w:tc>
          <w:tcPr>
            <w:tcW w:w="1420" w:type="dxa"/>
            <w:tcMar>
              <w:top w:w="0" w:type="dxa"/>
              <w:left w:w="0" w:type="dxa"/>
              <w:bottom w:w="0" w:type="dxa"/>
              <w:right w:w="0" w:type="dxa"/>
            </w:tcMar>
          </w:tcPr>
          <w:p>
            <w:pPr>
              <w:spacing w:before="120"/>
              <w:ind w:left="480"/>
            </w:pPr>
            <w:r>
              <w:rPr>
                <w:rFonts w:hint="eastAsia" w:ascii="宋体" w:hAnsi="宋体" w:eastAsia="宋体" w:cs="宋体"/>
                <w:b/>
                <w:sz w:val="21"/>
              </w:rPr>
              <w:t>金额</w:t>
            </w:r>
          </w:p>
        </w:tc>
        <w:tc>
          <w:tcPr>
            <w:tcW w:w="1020" w:type="dxa"/>
            <w:tcMar>
              <w:top w:w="0" w:type="dxa"/>
              <w:left w:w="0" w:type="dxa"/>
              <w:bottom w:w="0" w:type="dxa"/>
              <w:right w:w="0" w:type="dxa"/>
            </w:tcMar>
          </w:tcPr>
          <w:p>
            <w:pPr>
              <w:spacing w:before="120"/>
              <w:ind w:left="280"/>
            </w:pPr>
            <w:r>
              <w:rPr>
                <w:rFonts w:hint="eastAsia" w:ascii="宋体" w:hAnsi="宋体" w:eastAsia="宋体" w:cs="宋体"/>
                <w:b/>
                <w:sz w:val="21"/>
              </w:rPr>
              <w:t>占比</w:t>
            </w:r>
          </w:p>
        </w:tc>
      </w:tr>
      <w:tr>
        <w:trPr>
          <w:trHeight w:val="540" w:hRule="exact"/>
        </w:trPr>
        <w:tc>
          <w:tcPr>
            <w:tcW w:w="1860" w:type="dxa"/>
            <w:tcMar>
              <w:top w:w="0" w:type="dxa"/>
              <w:left w:w="0" w:type="dxa"/>
              <w:bottom w:w="0" w:type="dxa"/>
              <w:right w:w="0" w:type="dxa"/>
            </w:tcMar>
          </w:tcPr>
          <w:p>
            <w:pPr>
              <w:spacing w:before="120"/>
              <w:ind w:left="500"/>
            </w:pPr>
            <w:r>
              <w:rPr>
                <w:rFonts w:hint="eastAsia" w:ascii="宋体" w:hAnsi="宋体" w:eastAsia="宋体" w:cs="宋体"/>
                <w:sz w:val="21"/>
              </w:rPr>
              <w:t>营业利润</w:t>
            </w:r>
          </w:p>
        </w:tc>
        <w:tc>
          <w:tcPr>
            <w:tcW w:w="174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1000" w:type="dxa"/>
            <w:tcMar>
              <w:top w:w="0" w:type="dxa"/>
              <w:left w:w="0" w:type="dxa"/>
              <w:bottom w:w="0" w:type="dxa"/>
              <w:right w:w="0" w:type="dxa"/>
            </w:tcMar>
          </w:tcPr>
          <w:p>
            <w:pPr>
              <w:spacing w:before="140"/>
              <w:ind w:left="220"/>
            </w:pPr>
            <w:r>
              <w:rPr>
                <w:rFonts w:hint="eastAsia" w:ascii="Times New Roman" w:hAnsi="Times New Roman" w:eastAsia="Times New Roman" w:cs="Times New Roman"/>
                <w:sz w:val="21"/>
              </w:rPr>
              <w:t>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pP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100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ind w:left="100"/>
            </w:pP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1020" w:type="dxa"/>
            <w:tcMar>
              <w:top w:w="0" w:type="dxa"/>
              <w:left w:w="0" w:type="dxa"/>
              <w:bottom w:w="0" w:type="dxa"/>
              <w:right w:w="0" w:type="dxa"/>
            </w:tcMar>
          </w:tcPr>
          <w:p>
            <w:pPr>
              <w:spacing w:before="140"/>
              <w:ind w:left="24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p>
        </w:tc>
      </w:tr>
      <w:tr>
        <w:trPr>
          <w:trHeight w:val="520" w:hRule="exact"/>
        </w:trPr>
        <w:tc>
          <w:tcPr>
            <w:tcW w:w="1860" w:type="dxa"/>
            <w:tcMar>
              <w:top w:w="0" w:type="dxa"/>
              <w:left w:w="0" w:type="dxa"/>
              <w:bottom w:w="0" w:type="dxa"/>
              <w:right w:w="0" w:type="dxa"/>
            </w:tcMar>
          </w:tcPr>
          <w:p>
            <w:pPr>
              <w:spacing w:before="100"/>
              <w:ind w:left="180"/>
            </w:pPr>
            <w:r>
              <w:rPr>
                <w:rFonts w:hint="eastAsia" w:ascii="宋体" w:hAnsi="宋体" w:eastAsia="宋体" w:cs="宋体"/>
                <w:sz w:val="21"/>
              </w:rPr>
              <w:t>营业外收支净额</w:t>
            </w:r>
          </w:p>
        </w:tc>
        <w:tc>
          <w:tcPr>
            <w:tcW w:w="174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100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100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ind w:left="2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c>
          <w:tcPr>
            <w:tcW w:w="102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p>
        </w:tc>
      </w:tr>
      <w:tr>
        <w:trPr>
          <w:trHeight w:val="500" w:hRule="exact"/>
        </w:trPr>
        <w:tc>
          <w:tcPr>
            <w:tcW w:w="1860" w:type="dxa"/>
            <w:tcMar>
              <w:top w:w="0" w:type="dxa"/>
              <w:left w:w="0" w:type="dxa"/>
              <w:bottom w:w="0" w:type="dxa"/>
              <w:right w:w="0" w:type="dxa"/>
            </w:tcMar>
          </w:tcPr>
          <w:p>
            <w:pPr>
              <w:spacing w:before="100"/>
              <w:ind w:left="500"/>
            </w:pPr>
            <w:r>
              <w:rPr>
                <w:rFonts w:hint="eastAsia" w:ascii="宋体" w:hAnsi="宋体" w:eastAsia="宋体" w:cs="宋体"/>
                <w:b/>
                <w:sz w:val="21"/>
              </w:rPr>
              <w:t>利润总额</w:t>
            </w:r>
          </w:p>
        </w:tc>
        <w:tc>
          <w:tcPr>
            <w:tcW w:w="1740" w:type="dxa"/>
            <w:tcMar>
              <w:top w:w="0" w:type="dxa"/>
              <w:left w:w="0" w:type="dxa"/>
              <w:bottom w:w="0" w:type="dxa"/>
              <w:right w:w="0" w:type="dxa"/>
            </w:tcMar>
          </w:tcPr>
          <w:p>
            <w:pPr>
              <w:spacing w:before="140"/>
              <w:ind w:left="400"/>
            </w:pPr>
            <w:r>
              <w:rPr>
                <w:rFonts w:hint="eastAsia" w:ascii="Times New Roman Bold" w:hAnsi="Times New Roman Bold" w:eastAsia="Times New Roman Bold" w:cs="Times New Roman Bold"/>
                <w:b/>
                <w:sz w:val="21"/>
              </w:rPr>
              <w:t>81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w:t>
            </w:r>
          </w:p>
        </w:tc>
        <w:tc>
          <w:tcPr>
            <w:tcW w:w="100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20" w:type="dxa"/>
            <w:tcMar>
              <w:top w:w="0" w:type="dxa"/>
              <w:left w:w="0" w:type="dxa"/>
              <w:bottom w:w="0" w:type="dxa"/>
              <w:right w:w="0" w:type="dxa"/>
            </w:tcMar>
          </w:tcPr>
          <w:p>
            <w:pPr>
              <w:spacing w:before="140"/>
            </w:pPr>
            <w:r>
              <w:rPr>
                <w:rFonts w:hint="eastAsia" w:ascii="Times New Roman Bold" w:hAnsi="Times New Roman Bold" w:eastAsia="Times New Roman Bold" w:cs="Times New Roman Bold"/>
                <w:b/>
                <w:sz w:val="21"/>
              </w:rPr>
              <w:t>91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15</w:t>
            </w:r>
          </w:p>
        </w:tc>
        <w:tc>
          <w:tcPr>
            <w:tcW w:w="1000" w:type="dxa"/>
            <w:tcMar>
              <w:top w:w="0" w:type="dxa"/>
              <w:left w:w="0" w:type="dxa"/>
              <w:bottom w:w="0" w:type="dxa"/>
              <w:right w:w="0" w:type="dxa"/>
            </w:tcMar>
          </w:tcPr>
          <w:p>
            <w:pPr>
              <w:spacing w:before="14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20" w:type="dxa"/>
            <w:tcMar>
              <w:top w:w="0" w:type="dxa"/>
              <w:left w:w="0" w:type="dxa"/>
              <w:bottom w:w="0" w:type="dxa"/>
              <w:right w:w="0" w:type="dxa"/>
            </w:tcMar>
          </w:tcPr>
          <w:p>
            <w:pPr>
              <w:spacing w:before="140"/>
              <w:ind w:left="100"/>
            </w:pPr>
            <w:r>
              <w:rPr>
                <w:rFonts w:hint="eastAsia" w:ascii="Times New Roman Bold" w:hAnsi="Times New Roman Bold" w:eastAsia="Times New Roman Bold" w:cs="Times New Roman Bold"/>
                <w:b/>
                <w:sz w:val="21"/>
              </w:rPr>
              <w:t>52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w:t>
            </w:r>
          </w:p>
        </w:tc>
        <w:tc>
          <w:tcPr>
            <w:tcW w:w="1020" w:type="dxa"/>
            <w:tcMar>
              <w:top w:w="0" w:type="dxa"/>
              <w:left w:w="0" w:type="dxa"/>
              <w:bottom w:w="0" w:type="dxa"/>
              <w:right w:w="0" w:type="dxa"/>
            </w:tcMar>
          </w:tcPr>
          <w:p>
            <w:pPr>
              <w:spacing w:before="14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公司营业利润占同期利润总额的</w:t>
      </w:r>
      <w:r>
        <w:rPr>
          <w:rFonts w:hint="eastAsia" w:ascii="Times New Roman" w:hAnsi="Times New Roman" w:eastAsia="Times New Roman" w:cs="Times New Roman"/>
          <w:sz w:val="24"/>
        </w:rPr>
        <w:t xml:space="preserve"> 87.82%</w:t>
      </w:r>
      <w:r>
        <w:rPr>
          <w:rFonts w:hint="eastAsia" w:ascii="宋体" w:hAnsi="宋体" w:eastAsia="宋体" w:cs="宋体"/>
          <w:sz w:val="10"/>
        </w:rPr>
        <w:t>、</w:t>
      </w:r>
      <w:r>
        <w:rPr>
          <w:rFonts w:hint="eastAsia" w:ascii="Times New Roman" w:hAnsi="Times New Roman" w:eastAsia="Times New Roman" w:cs="Times New Roman"/>
          <w:sz w:val="24"/>
        </w:rPr>
        <w:t>66.40%</w:t>
      </w:r>
      <w:r>
        <w:rPr>
          <w:rFonts w:hint="eastAsia" w:ascii="宋体" w:hAnsi="宋体" w:eastAsia="宋体" w:cs="宋体"/>
          <w:sz w:val="24"/>
        </w:rPr>
        <w:t>和</w:t>
      </w:r>
      <w:r>
        <w:rPr>
          <w:rFonts w:hint="eastAsia" w:ascii="Times New Roman" w:hAnsi="Times New Roman" w:eastAsia="Times New Roman" w:cs="Times New Roman"/>
          <w:sz w:val="24"/>
        </w:rPr>
        <w:t>84.02%</w:t>
      </w:r>
      <w:r>
        <w:rPr>
          <w:rFonts w:hint="eastAsia" w:ascii="宋体" w:hAnsi="宋体" w:eastAsia="宋体" w:cs="宋体"/>
          <w:sz w:val="10"/>
        </w:rPr>
        <w:t>，</w:t>
      </w:r>
      <w:r>
        <w:rPr>
          <w:rFonts w:hint="eastAsia" w:ascii="宋体" w:hAnsi="宋体" w:eastAsia="宋体" w:cs="宋体"/>
          <w:sz w:val="24"/>
        </w:rPr>
        <w:t>主营业务利润是公司利润的主要来源</w:t>
      </w:r>
      <w:r>
        <w:rPr>
          <w:rFonts w:hint="eastAsia" w:ascii="宋体" w:hAnsi="宋体" w:eastAsia="宋体" w:cs="宋体"/>
          <w:sz w:val="10"/>
        </w:rPr>
        <w:t>。</w:t>
      </w:r>
      <w:r>
        <w:rPr>
          <w:rFonts w:hint="eastAsia" w:ascii="宋体" w:hAnsi="宋体" w:eastAsia="宋体" w:cs="宋体"/>
          <w:sz w:val="24"/>
        </w:rPr>
        <w:t>公司盈利对于关联方或不确定的客户不存在依赖</w:t>
      </w:r>
      <w:r>
        <w:rPr>
          <w:rFonts w:hint="eastAsia" w:ascii="宋体" w:hAnsi="宋体" w:eastAsia="宋体" w:cs="宋体"/>
          <w:sz w:val="10"/>
        </w:rPr>
        <w:t>，</w:t>
      </w:r>
      <w:r>
        <w:rPr>
          <w:rFonts w:hint="eastAsia" w:ascii="宋体" w:hAnsi="宋体" w:eastAsia="宋体" w:cs="宋体"/>
          <w:sz w:val="24"/>
        </w:rPr>
        <w:t>也不依赖于对外投资收益等非经常性损益项目</w:t>
      </w:r>
      <w:r>
        <w:rPr>
          <w:rFonts w:hint="eastAsia" w:ascii="宋体" w:hAnsi="宋体" w:eastAsia="宋体" w:cs="宋体"/>
          <w:sz w:val="10"/>
        </w:rPr>
        <w:t>，</w:t>
      </w:r>
      <w:r>
        <w:rPr>
          <w:rFonts w:hint="eastAsia" w:ascii="宋体" w:hAnsi="宋体" w:eastAsia="宋体" w:cs="宋体"/>
          <w:sz w:val="24"/>
        </w:rPr>
        <w:t>盈利具有连续性和稳定性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可能影响公司盈利能力的连续性和稳定性的主要因素</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）金融行业信息化的发展趋势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00" w:firstLine="480"/>
        <w:jc w:val="both"/>
      </w:pPr>
      <w:r>
        <w:rPr>
          <w:rFonts w:hint="eastAsia" w:ascii="宋体" w:hAnsi="宋体" w:eastAsia="宋体" w:cs="宋体"/>
          <w:sz w:val="24"/>
        </w:rPr>
        <w:t>金融行业信息化的不断推进是公司业务发展的前提</w:t>
      </w:r>
      <w:r>
        <w:rPr>
          <w:rFonts w:hint="eastAsia" w:ascii="宋体" w:hAnsi="宋体" w:eastAsia="宋体" w:cs="宋体"/>
          <w:sz w:val="10"/>
        </w:rPr>
        <w:t>。</w:t>
      </w:r>
      <w:r>
        <w:rPr>
          <w:rFonts w:hint="eastAsia" w:ascii="宋体" w:hAnsi="宋体" w:eastAsia="宋体" w:cs="宋体"/>
          <w:sz w:val="24"/>
        </w:rPr>
        <w:t>我国金融行业的信息化</w:t>
      </w:r>
      <w:r>
        <w:rPr>
          <w:rFonts w:hint="eastAsia" w:ascii="宋体" w:hAnsi="宋体" w:eastAsia="宋体" w:cs="宋体"/>
          <w:sz w:val="10"/>
        </w:rPr>
        <w:t>，</w:t>
      </w:r>
      <w:r>
        <w:rPr>
          <w:rFonts w:hint="eastAsia" w:ascii="宋体" w:hAnsi="宋体" w:eastAsia="宋体" w:cs="宋体"/>
          <w:sz w:val="24"/>
        </w:rPr>
        <w:t>经历了从无到有</w:t>
      </w:r>
      <w:r>
        <w:rPr>
          <w:rFonts w:hint="eastAsia" w:ascii="宋体" w:hAnsi="宋体" w:eastAsia="宋体" w:cs="宋体"/>
          <w:sz w:val="10"/>
        </w:rPr>
        <w:t>、</w:t>
      </w:r>
      <w:r>
        <w:rPr>
          <w:rFonts w:hint="eastAsia" w:ascii="宋体" w:hAnsi="宋体" w:eastAsia="宋体" w:cs="宋体"/>
          <w:sz w:val="24"/>
        </w:rPr>
        <w:t>从单</w:t>
      </w:r>
      <w:r>
        <w:rPr>
          <w:rFonts w:hint="eastAsia" w:ascii="宋体" w:hAnsi="宋体" w:eastAsia="宋体" w:cs="宋体"/>
          <w:sz w:val="10"/>
        </w:rPr>
        <w:t>一</w:t>
      </w:r>
      <w:r>
        <w:rPr>
          <w:rFonts w:hint="eastAsia" w:ascii="宋体" w:hAnsi="宋体" w:eastAsia="宋体" w:cs="宋体"/>
          <w:sz w:val="24"/>
        </w:rPr>
        <w:t>业务向综合业务演变的过程</w:t>
      </w:r>
      <w:r>
        <w:rPr>
          <w:rFonts w:hint="eastAsia" w:ascii="宋体" w:hAnsi="宋体" w:eastAsia="宋体" w:cs="宋体"/>
          <w:sz w:val="10"/>
        </w:rPr>
        <w:t>，</w:t>
      </w:r>
      <w:r>
        <w:rPr>
          <w:rFonts w:hint="eastAsia" w:ascii="宋体" w:hAnsi="宋体" w:eastAsia="宋体" w:cs="宋体"/>
          <w:sz w:val="24"/>
        </w:rPr>
        <w:t>是金融业务流程再造的基石</w:t>
      </w:r>
      <w:r>
        <w:rPr>
          <w:rFonts w:hint="eastAsia" w:ascii="宋体" w:hAnsi="宋体" w:eastAsia="宋体" w:cs="宋体"/>
          <w:sz w:val="10"/>
        </w:rPr>
        <w:t>，</w:t>
      </w:r>
      <w:r>
        <w:rPr>
          <w:rFonts w:hint="eastAsia" w:ascii="宋体" w:hAnsi="宋体" w:eastAsia="宋体" w:cs="宋体"/>
          <w:sz w:val="24"/>
        </w:rPr>
        <w:t>从根本上改变了传统金融业务的处理模式</w:t>
      </w:r>
      <w:r>
        <w:rPr>
          <w:rFonts w:hint="eastAsia" w:ascii="宋体" w:hAnsi="宋体" w:eastAsia="宋体" w:cs="宋体"/>
          <w:sz w:val="10"/>
        </w:rPr>
        <w:t>，</w:t>
      </w:r>
      <w:r>
        <w:rPr>
          <w:rFonts w:hint="eastAsia" w:ascii="宋体" w:hAnsi="宋体" w:eastAsia="宋体" w:cs="宋体"/>
          <w:sz w:val="24"/>
        </w:rPr>
        <w:t>帮助金融企业打造高效的内部管理</w:t>
      </w:r>
      <w:r>
        <w:rPr>
          <w:rFonts w:hint="eastAsia" w:ascii="宋体" w:hAnsi="宋体" w:eastAsia="宋体" w:cs="宋体"/>
          <w:sz w:val="10"/>
        </w:rPr>
        <w:t>，</w:t>
      </w:r>
      <w:r>
        <w:rPr>
          <w:rFonts w:hint="eastAsia" w:ascii="宋体" w:hAnsi="宋体" w:eastAsia="宋体" w:cs="宋体"/>
          <w:sz w:val="24"/>
        </w:rPr>
        <w:t>同时为客户提供全功能</w:t>
      </w:r>
      <w:r>
        <w:rPr>
          <w:rFonts w:hint="eastAsia" w:ascii="宋体" w:hAnsi="宋体" w:eastAsia="宋体" w:cs="宋体"/>
          <w:sz w:val="10"/>
        </w:rPr>
        <w:t>、</w:t>
      </w:r>
      <w:r>
        <w:rPr>
          <w:rFonts w:hint="eastAsia" w:ascii="宋体" w:hAnsi="宋体" w:eastAsia="宋体" w:cs="宋体"/>
          <w:sz w:val="24"/>
        </w:rPr>
        <w:t>个性化</w:t>
      </w:r>
      <w:r>
        <w:rPr>
          <w:rFonts w:hint="eastAsia" w:ascii="宋体" w:hAnsi="宋体" w:eastAsia="宋体" w:cs="宋体"/>
          <w:sz w:val="10"/>
        </w:rPr>
        <w:t>、</w:t>
      </w:r>
      <w:r>
        <w:rPr>
          <w:rFonts w:hint="eastAsia" w:ascii="宋体" w:hAnsi="宋体" w:eastAsia="宋体" w:cs="宋体"/>
          <w:sz w:val="24"/>
        </w:rPr>
        <w:t>全天候的金融服务</w:t>
      </w:r>
      <w:r>
        <w:rPr>
          <w:rFonts w:hint="eastAsia" w:ascii="宋体" w:hAnsi="宋体" w:eastAsia="宋体" w:cs="宋体"/>
          <w:sz w:val="10"/>
        </w:rPr>
        <w:t>。</w:t>
      </w:r>
      <w:r>
        <w:rPr>
          <w:rFonts w:hint="eastAsia" w:ascii="宋体" w:hAnsi="宋体" w:eastAsia="宋体" w:cs="宋体"/>
          <w:sz w:val="24"/>
        </w:rPr>
        <w:t>金融行业信息化的推进</w:t>
      </w:r>
      <w:r>
        <w:rPr>
          <w:rFonts w:hint="eastAsia" w:ascii="宋体" w:hAnsi="宋体" w:eastAsia="宋体" w:cs="宋体"/>
          <w:sz w:val="10"/>
        </w:rPr>
        <w:t>，</w:t>
      </w:r>
      <w:r>
        <w:rPr>
          <w:rFonts w:hint="eastAsia" w:ascii="宋体" w:hAnsi="宋体" w:eastAsia="宋体" w:cs="宋体"/>
          <w:sz w:val="24"/>
        </w:rPr>
        <w:t>则要求软件服务企业</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1-1-274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jc w:val="both"/>
      </w:pPr>
      <w:r>
        <w:rPr>
          <w:rFonts w:hint="eastAsia" w:ascii="宋体" w:hAnsi="宋体" w:eastAsia="宋体" w:cs="宋体"/>
          <w:sz w:val="24"/>
        </w:rPr>
        <w:t>不断提升研发实力</w:t>
      </w:r>
      <w:r>
        <w:rPr>
          <w:rFonts w:hint="eastAsia" w:ascii="宋体" w:hAnsi="宋体" w:eastAsia="宋体" w:cs="宋体"/>
          <w:sz w:val="10"/>
        </w:rPr>
        <w:t>，</w:t>
      </w:r>
      <w:r>
        <w:rPr>
          <w:rFonts w:hint="eastAsia" w:ascii="宋体" w:hAnsi="宋体" w:eastAsia="宋体" w:cs="宋体"/>
          <w:sz w:val="24"/>
        </w:rPr>
        <w:t>持续开发</w:t>
      </w:r>
      <w:r>
        <w:rPr>
          <w:rFonts w:hint="eastAsia" w:ascii="宋体" w:hAnsi="宋体" w:eastAsia="宋体" w:cs="宋体"/>
          <w:sz w:val="10"/>
        </w:rPr>
        <w:t>、</w:t>
      </w:r>
      <w:r>
        <w:rPr>
          <w:rFonts w:hint="eastAsia" w:ascii="宋体" w:hAnsi="宋体" w:eastAsia="宋体" w:cs="宋体"/>
          <w:sz w:val="24"/>
        </w:rPr>
        <w:t>改进软件产品</w:t>
      </w:r>
      <w:r>
        <w:rPr>
          <w:rFonts w:hint="eastAsia" w:ascii="宋体" w:hAnsi="宋体" w:eastAsia="宋体" w:cs="宋体"/>
          <w:sz w:val="10"/>
        </w:rPr>
        <w:t>，</w:t>
      </w:r>
      <w:r>
        <w:rPr>
          <w:rFonts w:hint="eastAsia" w:ascii="宋体" w:hAnsi="宋体" w:eastAsia="宋体" w:cs="宋体"/>
          <w:sz w:val="24"/>
        </w:rPr>
        <w:t>为金融机构提供符合其行业和自身要求的配套服务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）互联网金融的发展情况</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互联网金融的快速发展为公司业务的开展提供了更多可能</w:t>
      </w:r>
      <w:r>
        <w:rPr>
          <w:rFonts w:hint="eastAsia" w:ascii="宋体" w:hAnsi="宋体" w:eastAsia="宋体" w:cs="宋体"/>
          <w:sz w:val="10"/>
        </w:rPr>
        <w:t>。</w:t>
      </w:r>
      <w:r>
        <w:rPr>
          <w:rFonts w:hint="eastAsia" w:ascii="宋体" w:hAnsi="宋体" w:eastAsia="宋体" w:cs="宋体"/>
          <w:sz w:val="24"/>
        </w:rPr>
        <w:t>互联网金融目前已经渗透到金融行业的各个领域</w:t>
      </w:r>
      <w:r>
        <w:rPr>
          <w:rFonts w:hint="eastAsia" w:ascii="宋体" w:hAnsi="宋体" w:eastAsia="宋体" w:cs="宋体"/>
          <w:sz w:val="10"/>
        </w:rPr>
        <w:t>，</w:t>
      </w:r>
      <w:r>
        <w:rPr>
          <w:rFonts w:hint="eastAsia" w:ascii="宋体" w:hAnsi="宋体" w:eastAsia="宋体" w:cs="宋体"/>
          <w:sz w:val="24"/>
        </w:rPr>
        <w:t>改变了各个金融子行业的原有业态</w:t>
      </w:r>
      <w:r>
        <w:rPr>
          <w:rFonts w:hint="eastAsia" w:ascii="宋体" w:hAnsi="宋体" w:eastAsia="宋体" w:cs="宋体"/>
          <w:sz w:val="10"/>
        </w:rPr>
        <w:t>，</w:t>
      </w:r>
      <w:r>
        <w:rPr>
          <w:rFonts w:hint="eastAsia" w:ascii="宋体" w:hAnsi="宋体" w:eastAsia="宋体" w:cs="宋体"/>
          <w:sz w:val="24"/>
        </w:rPr>
        <w:t>主要体现为渠道的互联网化</w:t>
      </w:r>
      <w:r>
        <w:rPr>
          <w:rFonts w:hint="eastAsia" w:ascii="宋体" w:hAnsi="宋体" w:eastAsia="宋体" w:cs="宋体"/>
          <w:sz w:val="10"/>
        </w:rPr>
        <w:t>、</w:t>
      </w:r>
      <w:r>
        <w:rPr>
          <w:rFonts w:hint="eastAsia" w:ascii="宋体" w:hAnsi="宋体" w:eastAsia="宋体" w:cs="宋体"/>
          <w:sz w:val="24"/>
        </w:rPr>
        <w:t>营销服务的互联网化</w:t>
      </w:r>
      <w:r>
        <w:rPr>
          <w:rFonts w:hint="eastAsia" w:ascii="宋体" w:hAnsi="宋体" w:eastAsia="宋体" w:cs="宋体"/>
          <w:sz w:val="10"/>
        </w:rPr>
        <w:t>、</w:t>
      </w:r>
      <w:r>
        <w:rPr>
          <w:rFonts w:hint="eastAsia" w:ascii="宋体" w:hAnsi="宋体" w:eastAsia="宋体" w:cs="宋体"/>
          <w:sz w:val="24"/>
        </w:rPr>
        <w:t>金融产品的互联网化以及互联网催生新的商业模式上</w:t>
      </w:r>
      <w:r>
        <w:rPr>
          <w:rFonts w:hint="eastAsia" w:ascii="宋体" w:hAnsi="宋体" w:eastAsia="宋体" w:cs="宋体"/>
          <w:sz w:val="10"/>
        </w:rPr>
        <w:t>。</w:t>
      </w:r>
      <w:r>
        <w:rPr>
          <w:rFonts w:hint="eastAsia" w:ascii="宋体" w:hAnsi="宋体" w:eastAsia="宋体" w:cs="宋体"/>
          <w:sz w:val="24"/>
        </w:rPr>
        <w:t>互联网金融带来的业态延伸与变革势必要求各金融公司配套研发使用新的软件系统或变革升级旧系统</w:t>
      </w:r>
      <w:r>
        <w:rPr>
          <w:rFonts w:hint="eastAsia" w:ascii="宋体" w:hAnsi="宋体" w:eastAsia="宋体" w:cs="宋体"/>
          <w:sz w:val="10"/>
        </w:rPr>
        <w:t>，</w:t>
      </w:r>
      <w:r>
        <w:rPr>
          <w:rFonts w:hint="eastAsia" w:ascii="宋体" w:hAnsi="宋体" w:eastAsia="宋体" w:cs="宋体"/>
          <w:sz w:val="24"/>
        </w:rPr>
        <w:t>这为公司提供了新的业务机会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）公司的研发能力</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强大的研发能力是公司业务快速发展的基础</w:t>
      </w:r>
      <w:r>
        <w:rPr>
          <w:rFonts w:hint="eastAsia" w:ascii="宋体" w:hAnsi="宋体" w:eastAsia="宋体" w:cs="宋体"/>
          <w:sz w:val="10"/>
        </w:rPr>
        <w:t>。</w:t>
      </w:r>
      <w:r>
        <w:rPr>
          <w:rFonts w:hint="eastAsia" w:ascii="宋体" w:hAnsi="宋体" w:eastAsia="宋体" w:cs="宋体"/>
          <w:sz w:val="24"/>
        </w:rPr>
        <w:t>公司历来重视研发投入与技术创新</w:t>
      </w:r>
      <w:r>
        <w:rPr>
          <w:rFonts w:hint="eastAsia" w:ascii="宋体" w:hAnsi="宋体" w:eastAsia="宋体" w:cs="宋体"/>
          <w:sz w:val="10"/>
        </w:rPr>
        <w:t>，</w:t>
      </w:r>
      <w:r>
        <w:rPr>
          <w:rFonts w:hint="eastAsia" w:ascii="宋体" w:hAnsi="宋体" w:eastAsia="宋体" w:cs="宋体"/>
          <w:sz w:val="24"/>
        </w:rPr>
        <w:t>致力于依靠自主创新实现企业的可持续发展</w:t>
      </w:r>
      <w:r>
        <w:rPr>
          <w:rFonts w:hint="eastAsia" w:ascii="宋体" w:hAnsi="宋体" w:eastAsia="宋体" w:cs="宋体"/>
          <w:sz w:val="10"/>
        </w:rPr>
        <w:t>。</w:t>
      </w:r>
      <w:r>
        <w:rPr>
          <w:rFonts w:hint="eastAsia" w:ascii="宋体" w:hAnsi="宋体" w:eastAsia="宋体" w:cs="宋体"/>
          <w:sz w:val="24"/>
        </w:rPr>
        <w:t>公司构建了较为完善的研发体系</w:t>
      </w:r>
      <w:r>
        <w:rPr>
          <w:rFonts w:hint="eastAsia" w:ascii="宋体" w:hAnsi="宋体" w:eastAsia="宋体" w:cs="宋体"/>
          <w:sz w:val="10"/>
        </w:rPr>
        <w:t>，</w:t>
      </w:r>
      <w:r>
        <w:rPr>
          <w:rFonts w:hint="eastAsia" w:ascii="宋体" w:hAnsi="宋体" w:eastAsia="宋体" w:cs="宋体"/>
          <w:sz w:val="24"/>
        </w:rPr>
        <w:t>建立了以福州</w:t>
      </w:r>
      <w:r>
        <w:rPr>
          <w:rFonts w:hint="eastAsia" w:ascii="宋体" w:hAnsi="宋体" w:eastAsia="宋体" w:cs="宋体"/>
          <w:sz w:val="10"/>
        </w:rPr>
        <w:t>、</w:t>
      </w:r>
      <w:r>
        <w:rPr>
          <w:rFonts w:hint="eastAsia" w:ascii="宋体" w:hAnsi="宋体" w:eastAsia="宋体" w:cs="宋体"/>
          <w:sz w:val="24"/>
        </w:rPr>
        <w:t>武汉两地为中心的研发基地</w:t>
      </w:r>
      <w:r>
        <w:rPr>
          <w:rFonts w:hint="eastAsia" w:ascii="宋体" w:hAnsi="宋体" w:eastAsia="宋体" w:cs="宋体"/>
          <w:sz w:val="10"/>
        </w:rPr>
        <w:t>，</w:t>
      </w:r>
      <w:r>
        <w:rPr>
          <w:rFonts w:hint="eastAsia" w:ascii="宋体" w:hAnsi="宋体" w:eastAsia="宋体" w:cs="宋体"/>
          <w:sz w:val="24"/>
        </w:rPr>
        <w:t>形成了持续的研发创新能力</w:t>
      </w:r>
      <w:r>
        <w:rPr>
          <w:rFonts w:hint="eastAsia" w:ascii="宋体" w:hAnsi="宋体" w:eastAsia="宋体" w:cs="宋体"/>
          <w:sz w:val="10"/>
        </w:rPr>
        <w:t>。</w:t>
      </w:r>
      <w:r>
        <w:rPr>
          <w:rFonts w:hint="eastAsia" w:ascii="宋体" w:hAnsi="宋体" w:eastAsia="宋体" w:cs="宋体"/>
          <w:sz w:val="24"/>
        </w:rPr>
        <w:t>近年来</w:t>
      </w:r>
      <w:r>
        <w:rPr>
          <w:rFonts w:hint="eastAsia" w:ascii="宋体" w:hAnsi="宋体" w:eastAsia="宋体" w:cs="宋体"/>
          <w:sz w:val="10"/>
        </w:rPr>
        <w:t>，</w:t>
      </w:r>
      <w:r>
        <w:rPr>
          <w:rFonts w:hint="eastAsia" w:ascii="宋体" w:hAnsi="宋体" w:eastAsia="宋体" w:cs="宋体"/>
          <w:sz w:val="24"/>
        </w:rPr>
        <w:t>公司持续不断地为客户提供金融信息化软件产品及解决方案</w:t>
      </w:r>
      <w:r>
        <w:rPr>
          <w:rFonts w:hint="eastAsia" w:ascii="宋体" w:hAnsi="宋体" w:eastAsia="宋体" w:cs="宋体"/>
          <w:sz w:val="10"/>
        </w:rPr>
        <w:t>，</w:t>
      </w:r>
      <w:r>
        <w:rPr>
          <w:rFonts w:hint="eastAsia" w:ascii="宋体" w:hAnsi="宋体" w:eastAsia="宋体" w:cs="宋体"/>
          <w:sz w:val="24"/>
        </w:rPr>
        <w:t>成为业内少数具备平台化研发能力的软件供应商</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）客户资源的保证</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优质的客户资源是公司业务快速发展的重要保障</w:t>
      </w:r>
      <w:r>
        <w:rPr>
          <w:rFonts w:hint="eastAsia" w:ascii="宋体" w:hAnsi="宋体" w:eastAsia="宋体" w:cs="宋体"/>
          <w:sz w:val="10"/>
        </w:rPr>
        <w:t>。</w:t>
      </w:r>
      <w:r>
        <w:rPr>
          <w:rFonts w:hint="eastAsia" w:ascii="宋体" w:hAnsi="宋体" w:eastAsia="宋体" w:cs="宋体"/>
          <w:sz w:val="24"/>
        </w:rPr>
        <w:t>凭借公司提供的优质产品</w:t>
      </w:r>
      <w:r>
        <w:rPr>
          <w:rFonts w:hint="eastAsia" w:ascii="宋体" w:hAnsi="宋体" w:eastAsia="宋体" w:cs="宋体"/>
          <w:sz w:val="10"/>
        </w:rPr>
        <w:t>、</w:t>
      </w:r>
      <w:r>
        <w:rPr>
          <w:rFonts w:hint="eastAsia" w:ascii="宋体" w:hAnsi="宋体" w:eastAsia="宋体" w:cs="宋体"/>
          <w:sz w:val="24"/>
        </w:rPr>
        <w:t>全面及时的售后服务</w:t>
      </w:r>
      <w:r>
        <w:rPr>
          <w:rFonts w:hint="eastAsia" w:ascii="宋体" w:hAnsi="宋体" w:eastAsia="宋体" w:cs="宋体"/>
          <w:sz w:val="10"/>
        </w:rPr>
        <w:t>，</w:t>
      </w:r>
      <w:r>
        <w:rPr>
          <w:rFonts w:hint="eastAsia" w:ascii="宋体" w:hAnsi="宋体" w:eastAsia="宋体" w:cs="宋体"/>
          <w:sz w:val="24"/>
        </w:rPr>
        <w:t>长期实践与发展中形成的强大的研发能力</w:t>
      </w:r>
      <w:r>
        <w:rPr>
          <w:rFonts w:hint="eastAsia" w:ascii="宋体" w:hAnsi="宋体" w:eastAsia="宋体" w:cs="宋体"/>
          <w:sz w:val="10"/>
        </w:rPr>
        <w:t>、</w:t>
      </w:r>
      <w:r>
        <w:rPr>
          <w:rFonts w:hint="eastAsia" w:ascii="宋体" w:hAnsi="宋体" w:eastAsia="宋体" w:cs="宋体"/>
          <w:sz w:val="24"/>
        </w:rPr>
        <w:t>积累的丰富的行业经验</w:t>
      </w:r>
      <w:r>
        <w:rPr>
          <w:rFonts w:hint="eastAsia" w:ascii="宋体" w:hAnsi="宋体" w:eastAsia="宋体" w:cs="宋体"/>
          <w:sz w:val="10"/>
        </w:rPr>
        <w:t>、</w:t>
      </w:r>
      <w:r>
        <w:rPr>
          <w:rFonts w:hint="eastAsia" w:ascii="宋体" w:hAnsi="宋体" w:eastAsia="宋体" w:cs="宋体"/>
          <w:sz w:val="24"/>
        </w:rPr>
        <w:t>树立的良好的市场形象</w:t>
      </w:r>
      <w:r>
        <w:rPr>
          <w:rFonts w:hint="eastAsia" w:ascii="宋体" w:hAnsi="宋体" w:eastAsia="宋体" w:cs="宋体"/>
          <w:sz w:val="10"/>
        </w:rPr>
        <w:t>，</w:t>
      </w:r>
      <w:r>
        <w:rPr>
          <w:rFonts w:hint="eastAsia" w:ascii="宋体" w:hAnsi="宋体" w:eastAsia="宋体" w:cs="宋体"/>
          <w:sz w:val="24"/>
        </w:rPr>
        <w:t>公司吸引了大量的优秀客户</w:t>
      </w:r>
      <w:r>
        <w:rPr>
          <w:rFonts w:hint="eastAsia" w:ascii="宋体" w:hAnsi="宋体" w:eastAsia="宋体" w:cs="宋体"/>
          <w:sz w:val="10"/>
        </w:rPr>
        <w:t>，</w:t>
      </w:r>
      <w:r>
        <w:rPr>
          <w:rFonts w:hint="eastAsia" w:ascii="宋体" w:hAnsi="宋体" w:eastAsia="宋体" w:cs="宋体"/>
          <w:sz w:val="24"/>
        </w:rPr>
        <w:t>与业内主要证券公司及众多期货</w:t>
      </w:r>
      <w:r>
        <w:rPr>
          <w:rFonts w:hint="eastAsia" w:ascii="宋体" w:hAnsi="宋体" w:eastAsia="宋体" w:cs="宋体"/>
          <w:sz w:val="10"/>
        </w:rPr>
        <w:t>、</w:t>
      </w:r>
      <w:r>
        <w:rPr>
          <w:rFonts w:hint="eastAsia" w:ascii="宋体" w:hAnsi="宋体" w:eastAsia="宋体" w:cs="宋体"/>
          <w:sz w:val="24"/>
        </w:rPr>
        <w:t>银行等金融机构建立了稳定的合作关系</w:t>
      </w:r>
      <w:r>
        <w:rPr>
          <w:rFonts w:hint="eastAsia" w:ascii="宋体" w:hAnsi="宋体" w:eastAsia="宋体" w:cs="宋体"/>
          <w:sz w:val="10"/>
        </w:rPr>
        <w:t>，</w:t>
      </w:r>
      <w:r>
        <w:rPr>
          <w:rFonts w:hint="eastAsia" w:ascii="宋体" w:hAnsi="宋体" w:eastAsia="宋体" w:cs="宋体"/>
          <w:sz w:val="24"/>
        </w:rPr>
        <w:t>这为公司业务持续稳定的发展奠定了良好的基础</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由于金融信息化产品的特有粘性</w:t>
      </w:r>
      <w:r>
        <w:rPr>
          <w:rFonts w:hint="eastAsia" w:ascii="宋体" w:hAnsi="宋体" w:eastAsia="宋体" w:cs="宋体"/>
          <w:sz w:val="10"/>
        </w:rPr>
        <w:t>，</w:t>
      </w:r>
      <w:r>
        <w:rPr>
          <w:rFonts w:hint="eastAsia" w:ascii="宋体" w:hAnsi="宋体" w:eastAsia="宋体" w:cs="宋体"/>
          <w:sz w:val="24"/>
        </w:rPr>
        <w:t>客户在转换供应商时面临极高的转换成本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10"/>
        </w:rPr>
        <w:t>一</w:t>
      </w:r>
      <w:r>
        <w:rPr>
          <w:rFonts w:hint="eastAsia" w:ascii="宋体" w:hAnsi="宋体" w:eastAsia="宋体" w:cs="宋体"/>
          <w:sz w:val="24"/>
        </w:rPr>
        <w:t>定程度上为公司的长期业务资源提供了保障</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（三）经营成果分析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营业成本分析</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发行人的营业成本全部为主营业务成本</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公司主营业务成本分别为</w:t>
      </w:r>
      <w:r>
        <w:rPr>
          <w:rFonts w:hint="eastAsia" w:ascii="Times New Roman" w:hAnsi="Times New Roman" w:eastAsia="Times New Roman" w:cs="Times New Roman"/>
          <w:sz w:val="24"/>
        </w:rPr>
        <w:t xml:space="preserve"> 34,170,593.14</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45,242,431.50</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42,022,488.48</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年主营业务成本较上年增长</w:t>
      </w:r>
      <w:r>
        <w:rPr>
          <w:rFonts w:hint="eastAsia" w:ascii="Times New Roman" w:hAnsi="Times New Roman" w:eastAsia="Times New Roman" w:cs="Times New Roman"/>
          <w:sz w:val="24"/>
        </w:rPr>
        <w:t xml:space="preserve"> 32.40%</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年主营业务成本较上年下降</w:t>
      </w:r>
      <w:r>
        <w:rPr>
          <w:rFonts w:hint="eastAsia" w:ascii="Times New Roman" w:hAnsi="Times New Roman" w:eastAsia="Times New Roman" w:cs="Times New Roman"/>
          <w:sz w:val="24"/>
        </w:rPr>
        <w:t xml:space="preserve"> 7.12%</w:t>
      </w:r>
      <w:r>
        <w:rPr>
          <w:rFonts w:hint="eastAsia" w:ascii="宋体" w:hAnsi="宋体" w:eastAsia="宋体" w:cs="宋体"/>
          <w:sz w:val="10"/>
        </w:rPr>
        <w:t>。</w:t>
      </w:r>
      <w:r>
        <w:rPr>
          <w:rFonts w:hint="eastAsia" w:ascii="宋体" w:hAnsi="宋体" w:eastAsia="宋体" w:cs="宋体"/>
          <w:sz w:val="24"/>
        </w:rPr>
        <w:t>公司营业成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1-1-275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jc w:val="both"/>
      </w:pPr>
      <w:r>
        <w:rPr>
          <w:rFonts w:hint="eastAsia" w:ascii="宋体" w:hAnsi="宋体" w:eastAsia="宋体" w:cs="宋体"/>
          <w:sz w:val="24"/>
        </w:rPr>
        <w:t>本的波动主要受业务结构的影响</w:t>
      </w:r>
      <w:r>
        <w:rPr>
          <w:rFonts w:hint="eastAsia" w:ascii="宋体" w:hAnsi="宋体" w:eastAsia="宋体" w:cs="宋体"/>
          <w:sz w:val="10"/>
        </w:rPr>
        <w:t>，</w:t>
      </w:r>
      <w:r>
        <w:rPr>
          <w:rFonts w:hint="eastAsia" w:ascii="宋体" w:hAnsi="宋体" w:eastAsia="宋体" w:cs="宋体"/>
          <w:sz w:val="24"/>
        </w:rPr>
        <w:t>发行人主营业务中系统集成业务的毛利率与其他业务差别较大</w:t>
      </w:r>
      <w:r>
        <w:rPr>
          <w:rFonts w:hint="eastAsia" w:ascii="宋体" w:hAnsi="宋体" w:eastAsia="宋体" w:cs="宋体"/>
          <w:sz w:val="10"/>
        </w:rPr>
        <w:t>，</w:t>
      </w:r>
      <w:r>
        <w:rPr>
          <w:rFonts w:hint="eastAsia" w:ascii="宋体" w:hAnsi="宋体" w:eastAsia="宋体" w:cs="宋体"/>
          <w:sz w:val="24"/>
        </w:rPr>
        <w:t>单位收入对应的成本相对较高</w:t>
      </w:r>
      <w:r>
        <w:rPr>
          <w:rFonts w:hint="eastAsia" w:ascii="宋体" w:hAnsi="宋体" w:eastAsia="宋体" w:cs="宋体"/>
          <w:sz w:val="10"/>
        </w:rPr>
        <w:t>，</w:t>
      </w:r>
      <w:r>
        <w:rPr>
          <w:rFonts w:hint="eastAsia" w:ascii="宋体" w:hAnsi="宋体" w:eastAsia="宋体" w:cs="宋体"/>
          <w:sz w:val="24"/>
        </w:rPr>
        <w:t>因此报告期内系统集成业务收入的变动会对主营业务成本产生较大的影响</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发行人系统集成业务的营业成本分别为</w:t>
      </w:r>
      <w:r>
        <w:rPr>
          <w:rFonts w:hint="eastAsia" w:ascii="Times New Roman" w:hAnsi="Times New Roman" w:eastAsia="Times New Roman" w:cs="Times New Roman"/>
          <w:sz w:val="24"/>
        </w:rPr>
        <w:t xml:space="preserve"> 7,851,654.30</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18,199,147.32</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5,701,513.82</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波动幅度较大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公司主要业务的营业成本变动情况如下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480"/>
        <w:gridCol w:w="1700"/>
        <w:gridCol w:w="1280"/>
        <w:gridCol w:w="1420"/>
        <w:gridCol w:w="1000"/>
        <w:gridCol w:w="1400"/>
        <w:gridCol w:w="900"/>
      </w:tblGrid>
      <w:tr>
        <w:trPr>
          <w:trHeight w:val="540" w:hRule="exact"/>
        </w:trPr>
        <w:tc>
          <w:tcPr>
            <w:tcW w:w="1480" w:type="dxa"/>
            <w:vMerge w:val="restart"/>
            <w:tcMar>
              <w:top w:w="0" w:type="dxa"/>
              <w:left w:w="0" w:type="dxa"/>
              <w:bottom w:w="0" w:type="dxa"/>
              <w:right w:w="0" w:type="dxa"/>
            </w:tcMar>
          </w:tcPr>
          <w:p>
            <w:pPr>
              <w:spacing w:before="380"/>
              <w:ind w:left="520"/>
            </w:pPr>
            <w:r>
              <w:rPr>
                <w:rFonts w:hint="eastAsia" w:ascii="宋体" w:hAnsi="宋体" w:eastAsia="宋体" w:cs="宋体"/>
                <w:b/>
                <w:sz w:val="21"/>
              </w:rPr>
              <w:t>项目</w:t>
            </w:r>
          </w:p>
        </w:tc>
        <w:tc>
          <w:tcPr>
            <w:tcW w:w="2980" w:type="dxa"/>
            <w:gridSpan w:val="2"/>
            <w:tcMar>
              <w:top w:w="0" w:type="dxa"/>
              <w:left w:w="0" w:type="dxa"/>
              <w:bottom w:w="0" w:type="dxa"/>
              <w:right w:w="0" w:type="dxa"/>
            </w:tcMar>
          </w:tcPr>
          <w:p>
            <w:pPr>
              <w:spacing w:before="100"/>
              <w:ind w:left="10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420" w:type="dxa"/>
            <w:gridSpan w:val="2"/>
            <w:tcMar>
              <w:top w:w="0" w:type="dxa"/>
              <w:left w:w="0" w:type="dxa"/>
              <w:bottom w:w="0" w:type="dxa"/>
              <w:right w:w="0" w:type="dxa"/>
            </w:tcMar>
          </w:tcPr>
          <w:p>
            <w:pPr>
              <w:spacing w:before="100"/>
              <w:ind w:left="74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00" w:type="dxa"/>
            <w:gridSpan w:val="2"/>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40" w:hRule="exact"/>
        </w:trPr>
        <w:tc>
          <w:tcPr>
            <w:tcW w:w="1480" w:type="dxa"/>
            <w:vMerge w:val="continue"/>
            <w:tcMar>
              <w:top w:w="0" w:type="dxa"/>
              <w:left w:w="0" w:type="dxa"/>
              <w:bottom w:w="0" w:type="dxa"/>
              <w:right w:w="0" w:type="dxa"/>
            </w:tcMar>
          </w:tcPr>
          <w:p/>
        </w:tc>
        <w:tc>
          <w:tcPr>
            <w:tcW w:w="1700" w:type="dxa"/>
            <w:tcMar>
              <w:top w:w="0" w:type="dxa"/>
              <w:left w:w="0" w:type="dxa"/>
              <w:bottom w:w="0" w:type="dxa"/>
              <w:right w:w="0" w:type="dxa"/>
            </w:tcMar>
          </w:tcPr>
          <w:p>
            <w:pPr>
              <w:spacing w:before="120"/>
              <w:ind w:left="620"/>
            </w:pPr>
            <w:r>
              <w:rPr>
                <w:rFonts w:hint="eastAsia" w:ascii="宋体" w:hAnsi="宋体" w:eastAsia="宋体" w:cs="宋体"/>
                <w:b/>
                <w:sz w:val="21"/>
              </w:rPr>
              <w:t>金额</w:t>
            </w:r>
          </w:p>
        </w:tc>
        <w:tc>
          <w:tcPr>
            <w:tcW w:w="1280" w:type="dxa"/>
            <w:tcMar>
              <w:top w:w="0" w:type="dxa"/>
              <w:left w:w="0" w:type="dxa"/>
              <w:bottom w:w="0" w:type="dxa"/>
              <w:right w:w="0" w:type="dxa"/>
            </w:tcMar>
          </w:tcPr>
          <w:p>
            <w:pPr>
              <w:spacing w:before="120"/>
              <w:ind w:left="420"/>
            </w:pPr>
            <w:r>
              <w:rPr>
                <w:rFonts w:hint="eastAsia" w:ascii="宋体" w:hAnsi="宋体" w:eastAsia="宋体" w:cs="宋体"/>
                <w:b/>
                <w:sz w:val="21"/>
              </w:rPr>
              <w:t>比例</w:t>
            </w:r>
          </w:p>
        </w:tc>
        <w:tc>
          <w:tcPr>
            <w:tcW w:w="1420" w:type="dxa"/>
            <w:tcMar>
              <w:top w:w="0" w:type="dxa"/>
              <w:left w:w="0" w:type="dxa"/>
              <w:bottom w:w="0" w:type="dxa"/>
              <w:right w:w="0" w:type="dxa"/>
            </w:tcMar>
          </w:tcPr>
          <w:p>
            <w:pPr>
              <w:spacing w:before="120"/>
              <w:ind w:left="480"/>
            </w:pPr>
            <w:r>
              <w:rPr>
                <w:rFonts w:hint="eastAsia" w:ascii="宋体" w:hAnsi="宋体" w:eastAsia="宋体" w:cs="宋体"/>
                <w:b/>
                <w:sz w:val="21"/>
              </w:rPr>
              <w:t>金额</w:t>
            </w:r>
          </w:p>
        </w:tc>
        <w:tc>
          <w:tcPr>
            <w:tcW w:w="1000" w:type="dxa"/>
            <w:tcMar>
              <w:top w:w="0" w:type="dxa"/>
              <w:left w:w="0" w:type="dxa"/>
              <w:bottom w:w="0" w:type="dxa"/>
              <w:right w:w="0" w:type="dxa"/>
            </w:tcMar>
          </w:tcPr>
          <w:p>
            <w:pPr>
              <w:spacing w:before="120"/>
              <w:ind w:left="260"/>
            </w:pPr>
            <w:r>
              <w:rPr>
                <w:rFonts w:hint="eastAsia" w:ascii="宋体" w:hAnsi="宋体" w:eastAsia="宋体" w:cs="宋体"/>
                <w:b/>
                <w:sz w:val="21"/>
              </w:rPr>
              <w:t>比例</w:t>
            </w:r>
          </w:p>
        </w:tc>
        <w:tc>
          <w:tcPr>
            <w:tcW w:w="1400" w:type="dxa"/>
            <w:tcMar>
              <w:top w:w="0" w:type="dxa"/>
              <w:left w:w="0" w:type="dxa"/>
              <w:bottom w:w="0" w:type="dxa"/>
              <w:right w:w="0" w:type="dxa"/>
            </w:tcMar>
          </w:tcPr>
          <w:p>
            <w:pPr>
              <w:spacing w:before="120"/>
              <w:ind w:left="460"/>
            </w:pPr>
            <w:r>
              <w:rPr>
                <w:rFonts w:hint="eastAsia" w:ascii="宋体" w:hAnsi="宋体" w:eastAsia="宋体" w:cs="宋体"/>
                <w:b/>
                <w:sz w:val="21"/>
              </w:rPr>
              <w:t>金额</w:t>
            </w:r>
          </w:p>
        </w:tc>
        <w:tc>
          <w:tcPr>
            <w:tcW w:w="900" w:type="dxa"/>
            <w:tcMar>
              <w:top w:w="0" w:type="dxa"/>
              <w:left w:w="0" w:type="dxa"/>
              <w:bottom w:w="0" w:type="dxa"/>
              <w:right w:w="0" w:type="dxa"/>
            </w:tcMar>
          </w:tcPr>
          <w:p>
            <w:pPr>
              <w:spacing w:before="120"/>
              <w:ind w:left="220"/>
            </w:pPr>
            <w:r>
              <w:rPr>
                <w:rFonts w:hint="eastAsia" w:ascii="宋体" w:hAnsi="宋体" w:eastAsia="宋体" w:cs="宋体"/>
                <w:b/>
                <w:sz w:val="21"/>
              </w:rPr>
              <w:t>比例</w:t>
            </w:r>
          </w:p>
        </w:tc>
      </w:tr>
      <w:tr>
        <w:trPr>
          <w:trHeight w:val="520" w:hRule="exact"/>
        </w:trPr>
        <w:tc>
          <w:tcPr>
            <w:tcW w:w="1480" w:type="dxa"/>
            <w:tcMar>
              <w:top w:w="0" w:type="dxa"/>
              <w:left w:w="0" w:type="dxa"/>
              <w:bottom w:w="0" w:type="dxa"/>
              <w:right w:w="0" w:type="dxa"/>
            </w:tcMar>
          </w:tcPr>
          <w:p>
            <w:pPr>
              <w:spacing w:before="100"/>
              <w:ind w:left="300"/>
            </w:pPr>
            <w:r>
              <w:rPr>
                <w:rFonts w:hint="eastAsia" w:ascii="宋体" w:hAnsi="宋体" w:eastAsia="宋体" w:cs="宋体"/>
                <w:sz w:val="21"/>
              </w:rPr>
              <w:t>定制软件</w:t>
            </w:r>
          </w:p>
        </w:tc>
        <w:tc>
          <w:tcPr>
            <w:tcW w:w="1700" w:type="dxa"/>
            <w:tcMar>
              <w:top w:w="0" w:type="dxa"/>
              <w:left w:w="0" w:type="dxa"/>
              <w:bottom w:w="0" w:type="dxa"/>
              <w:right w:w="0" w:type="dxa"/>
            </w:tcMar>
          </w:tcPr>
          <w:p>
            <w:pPr>
              <w:spacing w:before="140"/>
              <w:ind w:left="9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p>
        </w:tc>
        <w:tc>
          <w:tcPr>
            <w:tcW w:w="1280" w:type="dxa"/>
            <w:tcMar>
              <w:top w:w="0" w:type="dxa"/>
              <w:left w:w="0" w:type="dxa"/>
              <w:bottom w:w="0" w:type="dxa"/>
              <w:right w:w="0" w:type="dxa"/>
            </w:tcMar>
          </w:tcPr>
          <w:p>
            <w:pPr>
              <w:spacing w:before="140"/>
              <w:ind w:left="560"/>
            </w:pP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40"/>
              <w:ind w:left="6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w:t>
            </w:r>
          </w:p>
        </w:tc>
        <w:tc>
          <w:tcPr>
            <w:tcW w:w="100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1400" w:type="dxa"/>
            <w:tcMar>
              <w:top w:w="0" w:type="dxa"/>
              <w:left w:w="0" w:type="dxa"/>
              <w:bottom w:w="0" w:type="dxa"/>
              <w:right w:w="0" w:type="dxa"/>
            </w:tcMar>
          </w:tcPr>
          <w:p>
            <w:pPr>
              <w:spacing w:before="140"/>
              <w:ind w:left="5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c>
          <w:tcPr>
            <w:tcW w:w="900" w:type="dxa"/>
            <w:tcMar>
              <w:top w:w="0" w:type="dxa"/>
              <w:left w:w="0" w:type="dxa"/>
              <w:bottom w:w="0" w:type="dxa"/>
              <w:right w:w="0" w:type="dxa"/>
            </w:tcMar>
          </w:tcPr>
          <w:p>
            <w:pPr>
              <w:spacing w:before="140"/>
              <w:ind w:left="180"/>
            </w:pP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p>
        </w:tc>
      </w:tr>
      <w:tr>
        <w:trPr>
          <w:trHeight w:val="540" w:hRule="exact"/>
        </w:trPr>
        <w:tc>
          <w:tcPr>
            <w:tcW w:w="1480" w:type="dxa"/>
            <w:tcMar>
              <w:top w:w="0" w:type="dxa"/>
              <w:left w:w="0" w:type="dxa"/>
              <w:bottom w:w="0" w:type="dxa"/>
              <w:right w:w="0" w:type="dxa"/>
            </w:tcMar>
          </w:tcPr>
          <w:p>
            <w:pPr>
              <w:spacing w:before="100"/>
              <w:ind w:left="200"/>
            </w:pPr>
            <w:r>
              <w:rPr>
                <w:rFonts w:hint="eastAsia" w:ascii="宋体" w:hAnsi="宋体" w:eastAsia="宋体" w:cs="宋体"/>
                <w:sz w:val="21"/>
              </w:rPr>
              <w:t>产品化软件</w:t>
            </w:r>
          </w:p>
        </w:tc>
        <w:tc>
          <w:tcPr>
            <w:tcW w:w="1700" w:type="dxa"/>
            <w:tcMar>
              <w:top w:w="0" w:type="dxa"/>
              <w:left w:w="0" w:type="dxa"/>
              <w:bottom w:w="0" w:type="dxa"/>
              <w:right w:w="0" w:type="dxa"/>
            </w:tcMar>
          </w:tcPr>
          <w:p>
            <w:pPr>
              <w:spacing w:before="280"/>
              <w:ind w:left="1560"/>
            </w:pPr>
            <w:r>
              <w:rPr>
                <w:rFonts w:hint="eastAsia" w:ascii="Times New Roman" w:hAnsi="Times New Roman" w:eastAsia="Times New Roman" w:cs="Times New Roman"/>
                <w:sz w:val="21"/>
              </w:rPr>
              <w:t>-</w:t>
            </w:r>
          </w:p>
        </w:tc>
        <w:tc>
          <w:tcPr>
            <w:tcW w:w="1280" w:type="dxa"/>
            <w:tcMar>
              <w:top w:w="0" w:type="dxa"/>
              <w:left w:w="0" w:type="dxa"/>
              <w:bottom w:w="0" w:type="dxa"/>
              <w:right w:w="0" w:type="dxa"/>
            </w:tcMar>
          </w:tcPr>
          <w:p>
            <w:pPr>
              <w:spacing w:before="280"/>
              <w:ind w:left="1140"/>
            </w:pPr>
            <w:r>
              <w:rPr>
                <w:rFonts w:hint="eastAsia" w:ascii="Times New Roman" w:hAnsi="Times New Roman" w:eastAsia="Times New Roman" w:cs="Times New Roman"/>
                <w:sz w:val="21"/>
              </w:rPr>
              <w:t>-</w:t>
            </w:r>
          </w:p>
        </w:tc>
        <w:tc>
          <w:tcPr>
            <w:tcW w:w="1420" w:type="dxa"/>
            <w:tcMar>
              <w:top w:w="0" w:type="dxa"/>
              <w:left w:w="0" w:type="dxa"/>
              <w:bottom w:w="0" w:type="dxa"/>
              <w:right w:w="0" w:type="dxa"/>
            </w:tcMar>
          </w:tcPr>
          <w:p>
            <w:pPr>
              <w:spacing w:before="280"/>
              <w:ind w:left="1280"/>
            </w:pPr>
            <w:r>
              <w:rPr>
                <w:rFonts w:hint="eastAsia" w:ascii="Times New Roman" w:hAnsi="Times New Roman" w:eastAsia="Times New Roman" w:cs="Times New Roman"/>
                <w:sz w:val="21"/>
              </w:rPr>
              <w:t>-</w:t>
            </w:r>
          </w:p>
        </w:tc>
        <w:tc>
          <w:tcPr>
            <w:tcW w:w="1000" w:type="dxa"/>
            <w:tcMar>
              <w:top w:w="0" w:type="dxa"/>
              <w:left w:w="0" w:type="dxa"/>
              <w:bottom w:w="0" w:type="dxa"/>
              <w:right w:w="0" w:type="dxa"/>
            </w:tcMar>
          </w:tcPr>
          <w:p>
            <w:pPr>
              <w:spacing w:before="280"/>
              <w:ind w:left="840"/>
            </w:pPr>
            <w:r>
              <w:rPr>
                <w:rFonts w:hint="eastAsia" w:ascii="Times New Roman" w:hAnsi="Times New Roman" w:eastAsia="Times New Roman" w:cs="Times New Roman"/>
                <w:sz w:val="21"/>
              </w:rPr>
              <w:t>-</w:t>
            </w:r>
          </w:p>
        </w:tc>
        <w:tc>
          <w:tcPr>
            <w:tcW w:w="1400" w:type="dxa"/>
            <w:tcMar>
              <w:top w:w="0" w:type="dxa"/>
              <w:left w:w="0" w:type="dxa"/>
              <w:bottom w:w="0" w:type="dxa"/>
              <w:right w:w="0" w:type="dxa"/>
            </w:tcMar>
          </w:tcPr>
          <w:p>
            <w:pPr>
              <w:spacing w:before="280"/>
              <w:ind w:left="1240"/>
            </w:pPr>
            <w:r>
              <w:rPr>
                <w:rFonts w:hint="eastAsia" w:ascii="Times New Roman" w:hAnsi="Times New Roman" w:eastAsia="Times New Roman" w:cs="Times New Roman"/>
                <w:sz w:val="21"/>
              </w:rPr>
              <w:t>-</w:t>
            </w:r>
          </w:p>
        </w:tc>
        <w:tc>
          <w:tcPr>
            <w:tcW w:w="900" w:type="dxa"/>
            <w:tcMar>
              <w:top w:w="0" w:type="dxa"/>
              <w:left w:w="0" w:type="dxa"/>
              <w:bottom w:w="0" w:type="dxa"/>
              <w:right w:w="0" w:type="dxa"/>
            </w:tcMar>
          </w:tcPr>
          <w:p>
            <w:pPr>
              <w:spacing w:before="280"/>
              <w:ind w:left="760"/>
            </w:pPr>
            <w:r>
              <w:rPr>
                <w:rFonts w:hint="eastAsia" w:ascii="Times New Roman" w:hAnsi="Times New Roman" w:eastAsia="Times New Roman" w:cs="Times New Roman"/>
                <w:sz w:val="21"/>
              </w:rPr>
              <w:t>-</w:t>
            </w:r>
          </w:p>
        </w:tc>
      </w:tr>
      <w:tr>
        <w:trPr>
          <w:trHeight w:val="520" w:hRule="exact"/>
        </w:trPr>
        <w:tc>
          <w:tcPr>
            <w:tcW w:w="1480" w:type="dxa"/>
            <w:tcMar>
              <w:top w:w="0" w:type="dxa"/>
              <w:left w:w="0" w:type="dxa"/>
              <w:bottom w:w="0" w:type="dxa"/>
              <w:right w:w="0" w:type="dxa"/>
            </w:tcMar>
          </w:tcPr>
          <w:p>
            <w:pPr>
              <w:spacing w:before="100"/>
              <w:ind w:left="300"/>
            </w:pPr>
            <w:r>
              <w:rPr>
                <w:rFonts w:hint="eastAsia" w:ascii="宋体" w:hAnsi="宋体" w:eastAsia="宋体" w:cs="宋体"/>
                <w:sz w:val="21"/>
              </w:rPr>
              <w:t>运维服务</w:t>
            </w:r>
          </w:p>
        </w:tc>
        <w:tc>
          <w:tcPr>
            <w:tcW w:w="1700" w:type="dxa"/>
            <w:tcMar>
              <w:top w:w="0" w:type="dxa"/>
              <w:left w:w="0" w:type="dxa"/>
              <w:bottom w:w="0" w:type="dxa"/>
              <w:right w:w="0" w:type="dxa"/>
            </w:tcMar>
          </w:tcPr>
          <w:p>
            <w:pPr>
              <w:spacing w:before="160"/>
              <w:ind w:left="1060"/>
            </w:pPr>
            <w:r>
              <w:rPr>
                <w:rFonts w:hint="eastAsia" w:ascii="Times New Roman" w:hAnsi="Times New Roman" w:eastAsia="Times New Roman" w:cs="Times New Roman"/>
                <w:sz w:val="21"/>
              </w:rPr>
              <w:t>254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128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1"/>
              </w:rPr>
              <w:t>179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p>
        </w:tc>
        <w:tc>
          <w:tcPr>
            <w:tcW w:w="100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c>
          <w:tcPr>
            <w:tcW w:w="140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127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90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r>
      <w:tr>
        <w:trPr>
          <w:trHeight w:val="540" w:hRule="exact"/>
        </w:trPr>
        <w:tc>
          <w:tcPr>
            <w:tcW w:w="1480" w:type="dxa"/>
            <w:tcMar>
              <w:top w:w="0" w:type="dxa"/>
              <w:left w:w="0" w:type="dxa"/>
              <w:bottom w:w="0" w:type="dxa"/>
              <w:right w:w="0" w:type="dxa"/>
            </w:tcMar>
          </w:tcPr>
          <w:p>
            <w:pPr>
              <w:spacing w:before="120"/>
              <w:ind w:left="300"/>
            </w:pPr>
            <w:r>
              <w:rPr>
                <w:rFonts w:hint="eastAsia" w:ascii="宋体" w:hAnsi="宋体" w:eastAsia="宋体" w:cs="宋体"/>
                <w:sz w:val="21"/>
              </w:rPr>
              <w:t>系统集成</w:t>
            </w:r>
          </w:p>
        </w:tc>
        <w:tc>
          <w:tcPr>
            <w:tcW w:w="1700" w:type="dxa"/>
            <w:tcMar>
              <w:top w:w="0" w:type="dxa"/>
              <w:left w:w="0" w:type="dxa"/>
              <w:bottom w:w="0" w:type="dxa"/>
              <w:right w:w="0" w:type="dxa"/>
            </w:tcMar>
          </w:tcPr>
          <w:p>
            <w:pPr>
              <w:spacing w:before="160"/>
              <w:ind w:left="1060"/>
            </w:pPr>
            <w:r>
              <w:rPr>
                <w:rFonts w:hint="eastAsia" w:ascii="Times New Roman" w:hAnsi="Times New Roman" w:eastAsia="Times New Roman" w:cs="Times New Roman"/>
                <w:sz w:val="21"/>
              </w:rPr>
              <w:t>570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c>
          <w:tcPr>
            <w:tcW w:w="1280" w:type="dxa"/>
            <w:tcMar>
              <w:top w:w="0" w:type="dxa"/>
              <w:left w:w="0" w:type="dxa"/>
              <w:bottom w:w="0" w:type="dxa"/>
              <w:right w:w="0" w:type="dxa"/>
            </w:tcMar>
          </w:tcPr>
          <w:p>
            <w:pPr>
              <w:spacing w:before="140"/>
              <w:ind w:left="56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c>
          <w:tcPr>
            <w:tcW w:w="142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100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p>
        </w:tc>
        <w:tc>
          <w:tcPr>
            <w:tcW w:w="140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785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900" w:type="dxa"/>
            <w:tcMar>
              <w:top w:w="0" w:type="dxa"/>
              <w:left w:w="0" w:type="dxa"/>
              <w:bottom w:w="0" w:type="dxa"/>
              <w:right w:w="0" w:type="dxa"/>
            </w:tcMar>
          </w:tcPr>
          <w:p>
            <w:pPr>
              <w:spacing w:before="140"/>
              <w:ind w:left="18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p>
        </w:tc>
      </w:tr>
      <w:tr>
        <w:trPr>
          <w:trHeight w:val="480" w:hRule="exact"/>
        </w:trPr>
        <w:tc>
          <w:tcPr>
            <w:tcW w:w="1480" w:type="dxa"/>
            <w:tcMar>
              <w:top w:w="0" w:type="dxa"/>
              <w:left w:w="0" w:type="dxa"/>
              <w:bottom w:w="0" w:type="dxa"/>
              <w:right w:w="0" w:type="dxa"/>
            </w:tcMar>
          </w:tcPr>
          <w:p>
            <w:pPr>
              <w:spacing w:before="100"/>
              <w:ind w:left="520"/>
            </w:pPr>
            <w:r>
              <w:rPr>
                <w:rFonts w:hint="eastAsia" w:ascii="宋体" w:hAnsi="宋体" w:eastAsia="宋体" w:cs="宋体"/>
                <w:b/>
                <w:sz w:val="21"/>
              </w:rPr>
              <w:t>合计</w:t>
            </w:r>
          </w:p>
        </w:tc>
        <w:tc>
          <w:tcPr>
            <w:tcW w:w="1700" w:type="dxa"/>
            <w:tcMar>
              <w:top w:w="0" w:type="dxa"/>
              <w:left w:w="0" w:type="dxa"/>
              <w:bottom w:w="0" w:type="dxa"/>
              <w:right w:w="0" w:type="dxa"/>
            </w:tcMar>
          </w:tcPr>
          <w:p>
            <w:pPr>
              <w:spacing w:before="160"/>
              <w:ind w:left="900"/>
            </w:pPr>
            <w:r>
              <w:rPr>
                <w:rFonts w:hint="eastAsia" w:ascii="Times New Roman Bold" w:hAnsi="Times New Roman Bold" w:eastAsia="Times New Roman Bold" w:cs="Times New Roman Bold"/>
                <w:b/>
                <w:sz w:val="21"/>
              </w:rPr>
              <w:t>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202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w:t>
            </w:r>
          </w:p>
        </w:tc>
        <w:tc>
          <w:tcPr>
            <w:tcW w:w="1280" w:type="dxa"/>
            <w:tcMar>
              <w:top w:w="0" w:type="dxa"/>
              <w:left w:w="0" w:type="dxa"/>
              <w:bottom w:w="0" w:type="dxa"/>
              <w:right w:w="0" w:type="dxa"/>
            </w:tcMar>
          </w:tcPr>
          <w:p>
            <w:pPr>
              <w:spacing w:before="160"/>
              <w:ind w:left="4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20" w:type="dxa"/>
            <w:tcMar>
              <w:top w:w="0" w:type="dxa"/>
              <w:left w:w="0" w:type="dxa"/>
              <w:bottom w:w="0" w:type="dxa"/>
              <w:right w:w="0" w:type="dxa"/>
            </w:tcMar>
          </w:tcPr>
          <w:p>
            <w:pPr>
              <w:spacing w:before="160"/>
              <w:ind w:left="620"/>
            </w:pPr>
            <w:r>
              <w:rPr>
                <w:rFonts w:hint="eastAsia" w:ascii="Times New Roman Bold" w:hAnsi="Times New Roman Bold" w:eastAsia="Times New Roman Bold" w:cs="Times New Roman Bold"/>
                <w:b/>
                <w:sz w:val="21"/>
              </w:rPr>
              <w:t>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524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w:t>
            </w:r>
          </w:p>
        </w:tc>
        <w:tc>
          <w:tcPr>
            <w:tcW w:w="1000" w:type="dxa"/>
            <w:tcMar>
              <w:top w:w="0" w:type="dxa"/>
              <w:left w:w="0" w:type="dxa"/>
              <w:bottom w:w="0" w:type="dxa"/>
              <w:right w:w="0" w:type="dxa"/>
            </w:tcMar>
          </w:tcPr>
          <w:p>
            <w:pPr>
              <w:spacing w:before="160"/>
              <w:ind w:left="14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400" w:type="dxa"/>
            <w:tcMar>
              <w:top w:w="0" w:type="dxa"/>
              <w:left w:w="0" w:type="dxa"/>
              <w:bottom w:w="0" w:type="dxa"/>
              <w:right w:w="0" w:type="dxa"/>
            </w:tcMar>
          </w:tcPr>
          <w:p>
            <w:pPr>
              <w:spacing w:before="160"/>
              <w:ind w:left="58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417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06</w:t>
            </w:r>
          </w:p>
        </w:tc>
        <w:tc>
          <w:tcPr>
            <w:tcW w:w="900" w:type="dxa"/>
            <w:tcMar>
              <w:top w:w="0" w:type="dxa"/>
              <w:left w:w="0" w:type="dxa"/>
              <w:bottom w:w="0" w:type="dxa"/>
              <w:right w:w="0" w:type="dxa"/>
            </w:tcMar>
          </w:tcPr>
          <w:p>
            <w:pPr>
              <w:spacing w:before="1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发行人的主营业务成本主要由人工费</w:t>
      </w:r>
      <w:r>
        <w:rPr>
          <w:rFonts w:hint="eastAsia" w:ascii="宋体" w:hAnsi="宋体" w:eastAsia="宋体" w:cs="宋体"/>
          <w:sz w:val="10"/>
        </w:rPr>
        <w:t>、</w:t>
      </w:r>
      <w:r>
        <w:rPr>
          <w:rFonts w:hint="eastAsia" w:ascii="宋体" w:hAnsi="宋体" w:eastAsia="宋体" w:cs="宋体"/>
          <w:sz w:val="24"/>
        </w:rPr>
        <w:t>差旅费</w:t>
      </w:r>
      <w:r>
        <w:rPr>
          <w:rFonts w:hint="eastAsia" w:ascii="宋体" w:hAnsi="宋体" w:eastAsia="宋体" w:cs="宋体"/>
          <w:sz w:val="10"/>
        </w:rPr>
        <w:t>、</w:t>
      </w:r>
      <w:r>
        <w:rPr>
          <w:rFonts w:hint="eastAsia" w:ascii="宋体" w:hAnsi="宋体" w:eastAsia="宋体" w:cs="宋体"/>
          <w:sz w:val="24"/>
        </w:rPr>
        <w:t>外购软硬件及其他构成</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人工费主要为项目执行人员的工资</w:t>
      </w:r>
      <w:r>
        <w:rPr>
          <w:rFonts w:hint="eastAsia" w:ascii="宋体" w:hAnsi="宋体" w:eastAsia="宋体" w:cs="宋体"/>
          <w:sz w:val="12"/>
        </w:rPr>
        <w:t>；</w:t>
      </w:r>
      <w:r>
        <w:rPr>
          <w:rFonts w:hint="eastAsia" w:ascii="宋体" w:hAnsi="宋体" w:eastAsia="宋体" w:cs="宋体"/>
          <w:sz w:val="24"/>
        </w:rPr>
        <w:t>差旅费主要为项目执行人员的差旅费用</w:t>
      </w:r>
      <w:r>
        <w:rPr>
          <w:rFonts w:hint="eastAsia" w:ascii="宋体" w:hAnsi="宋体" w:eastAsia="宋体" w:cs="宋体"/>
          <w:sz w:val="12"/>
        </w:rPr>
        <w:t>；</w:t>
      </w:r>
      <w:r>
        <w:rPr>
          <w:rFonts w:hint="eastAsia" w:ascii="宋体" w:hAnsi="宋体" w:eastAsia="宋体" w:cs="宋体"/>
          <w:sz w:val="24"/>
        </w:rPr>
        <w:t>外购软硬件及其他主要为软件开发</w:t>
      </w:r>
      <w:r>
        <w:rPr>
          <w:rFonts w:hint="eastAsia" w:ascii="宋体" w:hAnsi="宋体" w:eastAsia="宋体" w:cs="宋体"/>
          <w:sz w:val="10"/>
        </w:rPr>
        <w:t>、</w:t>
      </w:r>
      <w:r>
        <w:rPr>
          <w:rFonts w:hint="eastAsia" w:ascii="宋体" w:hAnsi="宋体" w:eastAsia="宋体" w:cs="宋体"/>
          <w:sz w:val="24"/>
        </w:rPr>
        <w:t>项目实施所使用的对外采购的软件或硬件</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发行人主营业务成本构成情况如下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）定制软件业务的成本构成</w:t>
      </w:r>
    </w:p>
    <w:p>
      <w:pPr>
        <w:spacing w:line="200" w:lineRule="exact"/>
        <w:rPr>
          <w:rFonts w:hint="eastAsia" w:ascii="宋体" w:hAnsi="宋体" w:eastAsia="宋体" w:cs="宋体"/>
          <w:sz w:val="20"/>
        </w:rPr>
      </w:pPr>
    </w:p>
    <w:p>
      <w:pPr>
        <w:autoSpaceDE w:val="false"/>
        <w:autoSpaceDN w:val="false"/>
        <w:spacing w:line="34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920"/>
        <w:gridCol w:w="1220"/>
        <w:gridCol w:w="1240"/>
        <w:gridCol w:w="1220"/>
        <w:gridCol w:w="1220"/>
        <w:gridCol w:w="1220"/>
        <w:gridCol w:w="1220"/>
      </w:tblGrid>
      <w:tr>
        <w:trPr>
          <w:trHeight w:val="640" w:hRule="exact"/>
        </w:trPr>
        <w:tc>
          <w:tcPr>
            <w:tcW w:w="1920" w:type="dxa"/>
            <w:vMerge w:val="restart"/>
            <w:tcMar>
              <w:top w:w="0" w:type="dxa"/>
              <w:left w:w="0" w:type="dxa"/>
              <w:bottom w:w="0" w:type="dxa"/>
              <w:right w:w="0" w:type="dxa"/>
            </w:tcMar>
          </w:tcPr>
          <w:p>
            <w:pPr>
              <w:spacing w:before="500"/>
              <w:ind w:left="740"/>
            </w:pPr>
            <w:r>
              <w:rPr>
                <w:rFonts w:hint="eastAsia" w:ascii="宋体" w:hAnsi="宋体" w:eastAsia="宋体" w:cs="宋体"/>
                <w:b/>
                <w:sz w:val="21"/>
              </w:rPr>
              <w:t>项目</w:t>
            </w:r>
          </w:p>
        </w:tc>
        <w:tc>
          <w:tcPr>
            <w:tcW w:w="2460" w:type="dxa"/>
            <w:gridSpan w:val="2"/>
            <w:tcMar>
              <w:top w:w="0" w:type="dxa"/>
              <w:left w:w="0" w:type="dxa"/>
              <w:bottom w:w="0" w:type="dxa"/>
              <w:right w:w="0" w:type="dxa"/>
            </w:tcMar>
          </w:tcPr>
          <w:p>
            <w:pPr>
              <w:spacing w:before="200"/>
              <w:ind w:left="76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440" w:type="dxa"/>
            <w:gridSpan w:val="2"/>
            <w:tcMar>
              <w:top w:w="0" w:type="dxa"/>
              <w:left w:w="0" w:type="dxa"/>
              <w:bottom w:w="0" w:type="dxa"/>
              <w:right w:w="0" w:type="dxa"/>
            </w:tcMar>
          </w:tcPr>
          <w:p>
            <w:pPr>
              <w:spacing w:before="200"/>
              <w:ind w:left="7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440" w:type="dxa"/>
            <w:gridSpan w:val="2"/>
            <w:tcMar>
              <w:top w:w="0" w:type="dxa"/>
              <w:left w:w="0" w:type="dxa"/>
              <w:bottom w:w="0" w:type="dxa"/>
              <w:right w:w="0" w:type="dxa"/>
            </w:tcMar>
          </w:tcPr>
          <w:p>
            <w:pPr>
              <w:spacing w:before="200"/>
              <w:ind w:left="7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40" w:hRule="exact"/>
        </w:trPr>
        <w:tc>
          <w:tcPr>
            <w:tcW w:w="1920" w:type="dxa"/>
            <w:vMerge w:val="continue"/>
            <w:tcMar>
              <w:top w:w="0" w:type="dxa"/>
              <w:left w:w="0" w:type="dxa"/>
              <w:bottom w:w="0" w:type="dxa"/>
              <w:right w:w="0" w:type="dxa"/>
            </w:tcMar>
          </w:tcPr>
          <w:p/>
        </w:tc>
        <w:tc>
          <w:tcPr>
            <w:tcW w:w="1220" w:type="dxa"/>
            <w:tcMar>
              <w:top w:w="0" w:type="dxa"/>
              <w:left w:w="0" w:type="dxa"/>
              <w:bottom w:w="0" w:type="dxa"/>
              <w:right w:w="0" w:type="dxa"/>
            </w:tcMar>
          </w:tcPr>
          <w:p>
            <w:pPr>
              <w:spacing w:before="180"/>
              <w:ind w:left="380"/>
            </w:pPr>
            <w:r>
              <w:rPr>
                <w:rFonts w:hint="eastAsia" w:ascii="宋体" w:hAnsi="宋体" w:eastAsia="宋体" w:cs="宋体"/>
                <w:b/>
                <w:sz w:val="21"/>
              </w:rPr>
              <w:t>金额</w:t>
            </w:r>
          </w:p>
        </w:tc>
        <w:tc>
          <w:tcPr>
            <w:tcW w:w="1240" w:type="dxa"/>
            <w:tcMar>
              <w:top w:w="0" w:type="dxa"/>
              <w:left w:w="0" w:type="dxa"/>
              <w:bottom w:w="0" w:type="dxa"/>
              <w:right w:w="0" w:type="dxa"/>
            </w:tcMar>
          </w:tcPr>
          <w:p>
            <w:pPr>
              <w:spacing w:before="200"/>
              <w:ind w:left="400"/>
            </w:pPr>
            <w:r>
              <w:rPr>
                <w:rFonts w:hint="eastAsia" w:ascii="宋体" w:hAnsi="宋体" w:eastAsia="宋体" w:cs="宋体"/>
                <w:b/>
                <w:sz w:val="21"/>
              </w:rPr>
              <w:t>比例</w:t>
            </w:r>
          </w:p>
        </w:tc>
        <w:tc>
          <w:tcPr>
            <w:tcW w:w="1220" w:type="dxa"/>
            <w:tcMar>
              <w:top w:w="0" w:type="dxa"/>
              <w:left w:w="0" w:type="dxa"/>
              <w:bottom w:w="0" w:type="dxa"/>
              <w:right w:w="0" w:type="dxa"/>
            </w:tcMar>
          </w:tcPr>
          <w:p>
            <w:pPr>
              <w:spacing w:before="180"/>
              <w:ind w:left="380"/>
            </w:pPr>
            <w:r>
              <w:rPr>
                <w:rFonts w:hint="eastAsia" w:ascii="宋体" w:hAnsi="宋体" w:eastAsia="宋体" w:cs="宋体"/>
                <w:b/>
                <w:sz w:val="21"/>
              </w:rPr>
              <w:t>金额</w:t>
            </w:r>
          </w:p>
        </w:tc>
        <w:tc>
          <w:tcPr>
            <w:tcW w:w="1220" w:type="dxa"/>
            <w:tcMar>
              <w:top w:w="0" w:type="dxa"/>
              <w:left w:w="0" w:type="dxa"/>
              <w:bottom w:w="0" w:type="dxa"/>
              <w:right w:w="0" w:type="dxa"/>
            </w:tcMar>
          </w:tcPr>
          <w:p>
            <w:pPr>
              <w:spacing w:before="200"/>
              <w:ind w:left="380"/>
            </w:pPr>
            <w:r>
              <w:rPr>
                <w:rFonts w:hint="eastAsia" w:ascii="宋体" w:hAnsi="宋体" w:eastAsia="宋体" w:cs="宋体"/>
                <w:b/>
                <w:sz w:val="21"/>
              </w:rPr>
              <w:t>比例</w:t>
            </w:r>
          </w:p>
        </w:tc>
        <w:tc>
          <w:tcPr>
            <w:tcW w:w="1220" w:type="dxa"/>
            <w:tcMar>
              <w:top w:w="0" w:type="dxa"/>
              <w:left w:w="0" w:type="dxa"/>
              <w:bottom w:w="0" w:type="dxa"/>
              <w:right w:w="0" w:type="dxa"/>
            </w:tcMar>
          </w:tcPr>
          <w:p>
            <w:pPr>
              <w:spacing w:before="180"/>
              <w:ind w:left="380"/>
            </w:pPr>
            <w:r>
              <w:rPr>
                <w:rFonts w:hint="eastAsia" w:ascii="宋体" w:hAnsi="宋体" w:eastAsia="宋体" w:cs="宋体"/>
                <w:b/>
                <w:sz w:val="21"/>
              </w:rPr>
              <w:t>金额</w:t>
            </w:r>
          </w:p>
        </w:tc>
        <w:tc>
          <w:tcPr>
            <w:tcW w:w="1220" w:type="dxa"/>
            <w:tcMar>
              <w:top w:w="0" w:type="dxa"/>
              <w:left w:w="0" w:type="dxa"/>
              <w:bottom w:w="0" w:type="dxa"/>
              <w:right w:w="0" w:type="dxa"/>
            </w:tcMar>
          </w:tcPr>
          <w:p>
            <w:pPr>
              <w:spacing w:before="200"/>
              <w:ind w:left="380"/>
            </w:pPr>
            <w:r>
              <w:rPr>
                <w:rFonts w:hint="eastAsia" w:ascii="宋体" w:hAnsi="宋体" w:eastAsia="宋体" w:cs="宋体"/>
                <w:b/>
                <w:sz w:val="21"/>
              </w:rPr>
              <w:t>比例</w:t>
            </w:r>
          </w:p>
        </w:tc>
      </w:tr>
      <w:tr>
        <w:trPr>
          <w:trHeight w:val="620" w:hRule="exact"/>
        </w:trPr>
        <w:tc>
          <w:tcPr>
            <w:tcW w:w="1920" w:type="dxa"/>
            <w:tcMar>
              <w:top w:w="0" w:type="dxa"/>
              <w:left w:w="0" w:type="dxa"/>
              <w:bottom w:w="0" w:type="dxa"/>
              <w:right w:w="0" w:type="dxa"/>
            </w:tcMar>
          </w:tcPr>
          <w:p>
            <w:pPr>
              <w:spacing w:before="180"/>
              <w:ind w:left="100"/>
            </w:pPr>
            <w:r>
              <w:rPr>
                <w:rFonts w:hint="eastAsia" w:ascii="宋体" w:hAnsi="宋体" w:eastAsia="宋体" w:cs="宋体"/>
                <w:sz w:val="21"/>
              </w:rPr>
              <w:t>人工费</w:t>
            </w:r>
          </w:p>
        </w:tc>
        <w:tc>
          <w:tcPr>
            <w:tcW w:w="1220" w:type="dxa"/>
            <w:tcMar>
              <w:top w:w="0" w:type="dxa"/>
              <w:left w:w="0" w:type="dxa"/>
              <w:bottom w:w="0" w:type="dxa"/>
              <w:right w:w="0" w:type="dxa"/>
            </w:tcMar>
          </w:tcPr>
          <w:p>
            <w:pPr>
              <w:spacing w:before="240"/>
              <w:ind w:left="3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1240" w:type="dxa"/>
            <w:tcMar>
              <w:top w:w="0" w:type="dxa"/>
              <w:left w:w="0" w:type="dxa"/>
              <w:bottom w:w="0" w:type="dxa"/>
              <w:right w:w="0" w:type="dxa"/>
            </w:tcMar>
          </w:tcPr>
          <w:p>
            <w:pPr>
              <w:spacing w:before="240"/>
              <w:ind w:left="46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r>
              <w:rPr>
                <w:rFonts w:hint="eastAsia" w:ascii="Times New Roman" w:hAnsi="Times New Roman" w:eastAsia="Times New Roman" w:cs="Times New Roman"/>
                <w:sz w:val="20"/>
              </w:rPr>
              <w:t>%</w:t>
            </w:r>
          </w:p>
        </w:tc>
        <w:tc>
          <w:tcPr>
            <w:tcW w:w="1220" w:type="dxa"/>
            <w:tcMar>
              <w:top w:w="0" w:type="dxa"/>
              <w:left w:w="0" w:type="dxa"/>
              <w:bottom w:w="0" w:type="dxa"/>
              <w:right w:w="0" w:type="dxa"/>
            </w:tcMar>
          </w:tcPr>
          <w:p>
            <w:pPr>
              <w:spacing w:before="240"/>
              <w:ind w:left="3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p>
        </w:tc>
        <w:tc>
          <w:tcPr>
            <w:tcW w:w="1220" w:type="dxa"/>
            <w:tcMar>
              <w:top w:w="0" w:type="dxa"/>
              <w:left w:w="0" w:type="dxa"/>
              <w:bottom w:w="0" w:type="dxa"/>
              <w:right w:w="0" w:type="dxa"/>
            </w:tcMar>
          </w:tcPr>
          <w:p>
            <w:pPr>
              <w:spacing w:before="240"/>
              <w:ind w:left="44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r>
              <w:rPr>
                <w:rFonts w:hint="eastAsia" w:ascii="Times New Roman" w:hAnsi="Times New Roman" w:eastAsia="Times New Roman" w:cs="Times New Roman"/>
                <w:sz w:val="20"/>
              </w:rPr>
              <w:t>%</w:t>
            </w:r>
          </w:p>
        </w:tc>
        <w:tc>
          <w:tcPr>
            <w:tcW w:w="1220" w:type="dxa"/>
            <w:tcMar>
              <w:top w:w="0" w:type="dxa"/>
              <w:left w:w="0" w:type="dxa"/>
              <w:bottom w:w="0" w:type="dxa"/>
              <w:right w:w="0" w:type="dxa"/>
            </w:tcMar>
          </w:tcPr>
          <w:p>
            <w:pPr>
              <w:spacing w:before="240"/>
              <w:ind w:left="3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1220" w:type="dxa"/>
            <w:tcMar>
              <w:top w:w="0" w:type="dxa"/>
              <w:left w:w="0" w:type="dxa"/>
              <w:bottom w:w="0" w:type="dxa"/>
              <w:right w:w="0" w:type="dxa"/>
            </w:tcMar>
          </w:tcPr>
          <w:p>
            <w:pPr>
              <w:spacing w:before="240"/>
              <w:ind w:left="46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r>
      <w:tr>
        <w:trPr>
          <w:trHeight w:val="640" w:hRule="exact"/>
        </w:trPr>
        <w:tc>
          <w:tcPr>
            <w:tcW w:w="1920" w:type="dxa"/>
            <w:tcMar>
              <w:top w:w="0" w:type="dxa"/>
              <w:left w:w="0" w:type="dxa"/>
              <w:bottom w:w="0" w:type="dxa"/>
              <w:right w:w="0" w:type="dxa"/>
            </w:tcMar>
          </w:tcPr>
          <w:p>
            <w:pPr>
              <w:spacing w:before="200"/>
              <w:ind w:left="100"/>
            </w:pPr>
            <w:r>
              <w:rPr>
                <w:rFonts w:hint="eastAsia" w:ascii="宋体" w:hAnsi="宋体" w:eastAsia="宋体" w:cs="宋体"/>
                <w:sz w:val="21"/>
              </w:rPr>
              <w:t>差旅费</w:t>
            </w:r>
          </w:p>
        </w:tc>
        <w:tc>
          <w:tcPr>
            <w:tcW w:w="122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655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1240" w:type="dxa"/>
            <w:tcMar>
              <w:top w:w="0" w:type="dxa"/>
              <w:left w:w="0" w:type="dxa"/>
              <w:bottom w:w="0" w:type="dxa"/>
              <w:right w:w="0" w:type="dxa"/>
            </w:tcMar>
          </w:tcPr>
          <w:p>
            <w:pPr>
              <w:spacing w:before="260"/>
              <w:ind w:left="46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p>
        </w:tc>
        <w:tc>
          <w:tcPr>
            <w:tcW w:w="122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534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c>
          <w:tcPr>
            <w:tcW w:w="1220" w:type="dxa"/>
            <w:tcMar>
              <w:top w:w="0" w:type="dxa"/>
              <w:left w:w="0" w:type="dxa"/>
              <w:bottom w:w="0" w:type="dxa"/>
              <w:right w:w="0" w:type="dxa"/>
            </w:tcMar>
          </w:tcPr>
          <w:p>
            <w:pPr>
              <w:spacing w:before="260"/>
              <w:ind w:left="440"/>
            </w:pP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p>
        </w:tc>
        <w:tc>
          <w:tcPr>
            <w:tcW w:w="122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513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1220" w:type="dxa"/>
            <w:tcMar>
              <w:top w:w="0" w:type="dxa"/>
              <w:left w:w="0" w:type="dxa"/>
              <w:bottom w:w="0" w:type="dxa"/>
              <w:right w:w="0" w:type="dxa"/>
            </w:tcMar>
          </w:tcPr>
          <w:p>
            <w:pPr>
              <w:spacing w:before="260"/>
              <w:ind w:left="46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r>
              <w:rPr>
                <w:rFonts w:hint="eastAsia" w:ascii="Times New Roman" w:hAnsi="Times New Roman" w:eastAsia="Times New Roman" w:cs="Times New Roman"/>
                <w:sz w:val="20"/>
              </w:rPr>
              <w:t>%</w:t>
            </w:r>
          </w:p>
        </w:tc>
      </w:tr>
      <w:tr>
        <w:trPr>
          <w:trHeight w:val="620" w:hRule="exact"/>
        </w:trPr>
        <w:tc>
          <w:tcPr>
            <w:tcW w:w="1920" w:type="dxa"/>
            <w:tcMar>
              <w:top w:w="0" w:type="dxa"/>
              <w:left w:w="0" w:type="dxa"/>
              <w:bottom w:w="0" w:type="dxa"/>
              <w:right w:w="0" w:type="dxa"/>
            </w:tcMar>
          </w:tcPr>
          <w:p>
            <w:pPr>
              <w:spacing w:before="180"/>
              <w:ind w:left="100"/>
            </w:pPr>
            <w:r>
              <w:rPr>
                <w:rFonts w:hint="eastAsia" w:ascii="宋体" w:hAnsi="宋体" w:eastAsia="宋体" w:cs="宋体"/>
                <w:sz w:val="21"/>
              </w:rPr>
              <w:t>外购软件及其他</w:t>
            </w:r>
          </w:p>
        </w:tc>
        <w:tc>
          <w:tcPr>
            <w:tcW w:w="1220" w:type="dxa"/>
            <w:tcMar>
              <w:top w:w="0" w:type="dxa"/>
              <w:left w:w="0" w:type="dxa"/>
              <w:bottom w:w="0" w:type="dxa"/>
              <w:right w:w="0" w:type="dxa"/>
            </w:tcMar>
          </w:tcPr>
          <w:p>
            <w:pPr>
              <w:spacing w:before="220"/>
              <w:ind w:left="520"/>
            </w:pPr>
            <w:r>
              <w:rPr>
                <w:rFonts w:hint="eastAsia" w:ascii="Times New Roman" w:hAnsi="Times New Roman" w:eastAsia="Times New Roman" w:cs="Times New Roman"/>
                <w:sz w:val="21"/>
              </w:rPr>
              <w:t>160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124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p>
        </w:tc>
        <w:tc>
          <w:tcPr>
            <w:tcW w:w="1220" w:type="dxa"/>
            <w:tcMar>
              <w:top w:w="0" w:type="dxa"/>
              <w:left w:w="0" w:type="dxa"/>
              <w:bottom w:w="0" w:type="dxa"/>
              <w:right w:w="0" w:type="dxa"/>
            </w:tcMar>
          </w:tcPr>
          <w:p>
            <w:pPr>
              <w:spacing w:before="220"/>
              <w:ind w:left="620"/>
            </w:pP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122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p>
        </w:tc>
        <w:tc>
          <w:tcPr>
            <w:tcW w:w="1220" w:type="dxa"/>
            <w:tcMar>
              <w:top w:w="0" w:type="dxa"/>
              <w:left w:w="0" w:type="dxa"/>
              <w:bottom w:w="0" w:type="dxa"/>
              <w:right w:w="0" w:type="dxa"/>
            </w:tcMar>
          </w:tcPr>
          <w:p>
            <w:pPr>
              <w:spacing w:before="220"/>
              <w:ind w:left="620"/>
            </w:pP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22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1-1-276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4096" behindDoc="false" locked="false" layoutInCell="true" allowOverlap="true">
                <wp:simplePos x="0" y="0"/>
                <wp:positionH relativeFrom="page">
                  <wp:posOffset>2057400</wp:posOffset>
                </wp:positionH>
                <wp:positionV relativeFrom="page">
                  <wp:posOffset>901700</wp:posOffset>
                </wp:positionV>
                <wp:extent cx="25400" cy="406400"/>
                <wp:effectExtent l="0" t="0" r="22225" b="31115"/>
                <wp:wrapNone/>
                <wp:docPr id="17849" name="shape17849"/>
                <wp:cNvGraphicFramePr/>
                <a:graphic>
                  <a:graphicData uri="http://schemas.microsoft.com/office/word/2010/wordprocessingShape">
                    <wps:wsp>
                      <wps:cNvSpPr/>
                      <wps:spPr>
                        <a:xfrm>
                          <a:off x="0" y="0"/>
                          <a:ext cx="254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2pt;margin-left:162pt;margin-top:71pt;mso-wrap-style:square;z-index:10254096;mso-wrap-distance-left:9pt;mso-wrap-distance-top:0pt;mso-wrap-distance-right:9pt;mso-wrap-distance-bottom:0pt" id="shape17849" o:spid="1618382360761" stroked="f" filled="t" fillcolor="#000000"/>
            </w:pict>
          </mc:Fallback>
        </mc:AlternateContent>
      </w:r>
      <w:r>
        <mc:AlternateContent>
          <mc:Choice Requires="wps">
            <w:drawing>
              <wp:anchor distT="0" distB="0" distL="114300" distR="114300" simplePos="false" relativeHeight="10256144" behindDoc="false" locked="false" layoutInCell="true" allowOverlap="true">
                <wp:simplePos x="0" y="0"/>
                <wp:positionH relativeFrom="page">
                  <wp:posOffset>2832100</wp:posOffset>
                </wp:positionH>
                <wp:positionV relativeFrom="page">
                  <wp:posOffset>901700</wp:posOffset>
                </wp:positionV>
                <wp:extent cx="25400" cy="406400"/>
                <wp:effectExtent l="0" t="0" r="22225" b="31115"/>
                <wp:wrapNone/>
                <wp:docPr id="17851" name="shape17851"/>
                <wp:cNvGraphicFramePr/>
                <a:graphic>
                  <a:graphicData uri="http://schemas.microsoft.com/office/word/2010/wordprocessingShape">
                    <wps:wsp>
                      <wps:cNvSpPr/>
                      <wps:spPr>
                        <a:xfrm>
                          <a:off x="0" y="0"/>
                          <a:ext cx="254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2pt;margin-left:223pt;margin-top:71pt;mso-wrap-style:square;z-index:10256144;mso-wrap-distance-left:9pt;mso-wrap-distance-top:0pt;mso-wrap-distance-right:9pt;mso-wrap-distance-bottom:0pt" id="shape17851" o:spid="1618382360762" stroked="f" filled="t" fillcolor="#000000"/>
            </w:pict>
          </mc:Fallback>
        </mc:AlternateContent>
      </w:r>
      <w:r>
        <mc:AlternateContent>
          <mc:Choice Requires="wps">
            <w:drawing>
              <wp:anchor distT="0" distB="0" distL="114300" distR="114300" simplePos="false" relativeHeight="10258192" behindDoc="false" locked="false" layoutInCell="true" allowOverlap="true">
                <wp:simplePos x="0" y="0"/>
                <wp:positionH relativeFrom="page">
                  <wp:posOffset>3619500</wp:posOffset>
                </wp:positionH>
                <wp:positionV relativeFrom="page">
                  <wp:posOffset>901700</wp:posOffset>
                </wp:positionV>
                <wp:extent cx="12700" cy="406400"/>
                <wp:effectExtent l="0" t="0" r="22225" b="31115"/>
                <wp:wrapNone/>
                <wp:docPr id="17853" name="shape17853"/>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285pt;margin-top:71pt;mso-wrap-style:square;z-index:10258192;mso-wrap-distance-left:9pt;mso-wrap-distance-top:0pt;mso-wrap-distance-right:9pt;mso-wrap-distance-bottom:0pt" id="shape17853" o:spid="1618382360762" stroked="f" filled="t" fillcolor="#000000"/>
            </w:pict>
          </mc:Fallback>
        </mc:AlternateContent>
      </w:r>
      <w:r>
        <mc:AlternateContent>
          <mc:Choice Requires="wps">
            <w:drawing>
              <wp:anchor distT="0" distB="0" distL="114300" distR="114300" simplePos="false" relativeHeight="10260240" behindDoc="false" locked="false" layoutInCell="true" allowOverlap="true">
                <wp:simplePos x="0" y="0"/>
                <wp:positionH relativeFrom="page">
                  <wp:posOffset>4394200</wp:posOffset>
                </wp:positionH>
                <wp:positionV relativeFrom="page">
                  <wp:posOffset>901700</wp:posOffset>
                </wp:positionV>
                <wp:extent cx="12700" cy="406400"/>
                <wp:effectExtent l="0" t="0" r="22225" b="31115"/>
                <wp:wrapNone/>
                <wp:docPr id="17855" name="shape17855"/>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346pt;margin-top:71pt;mso-wrap-style:square;z-index:10260240;mso-wrap-distance-left:9pt;mso-wrap-distance-top:0pt;mso-wrap-distance-right:9pt;mso-wrap-distance-bottom:0pt" id="shape17855" o:spid="1618382360762" stroked="f" filled="t" fillcolor="#000000"/>
            </w:pict>
          </mc:Fallback>
        </mc:AlternateContent>
      </w:r>
      <w:r>
        <mc:AlternateContent>
          <mc:Choice Requires="wps">
            <w:drawing>
              <wp:anchor distT="0" distB="0" distL="114300" distR="114300" simplePos="false" relativeHeight="10262288" behindDoc="false" locked="false" layoutInCell="true" allowOverlap="true">
                <wp:simplePos x="0" y="0"/>
                <wp:positionH relativeFrom="page">
                  <wp:posOffset>5168900</wp:posOffset>
                </wp:positionH>
                <wp:positionV relativeFrom="page">
                  <wp:posOffset>901700</wp:posOffset>
                </wp:positionV>
                <wp:extent cx="12700" cy="406400"/>
                <wp:effectExtent l="0" t="0" r="22225" b="31115"/>
                <wp:wrapNone/>
                <wp:docPr id="17857" name="shape17857"/>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407pt;margin-top:71pt;mso-wrap-style:square;z-index:10262288;mso-wrap-distance-left:9pt;mso-wrap-distance-top:0pt;mso-wrap-distance-right:9pt;mso-wrap-distance-bottom:0pt" id="shape17857" o:spid="1618382360762" stroked="f" filled="t" fillcolor="#000000"/>
            </w:pict>
          </mc:Fallback>
        </mc:AlternateContent>
      </w:r>
      <w:r>
        <mc:AlternateContent>
          <mc:Choice Requires="wps">
            <w:drawing>
              <wp:anchor distT="0" distB="0" distL="114300" distR="114300" simplePos="false" relativeHeight="10264336" behindDoc="false" locked="false" layoutInCell="true" allowOverlap="true">
                <wp:simplePos x="0" y="0"/>
                <wp:positionH relativeFrom="page">
                  <wp:posOffset>5943600</wp:posOffset>
                </wp:positionH>
                <wp:positionV relativeFrom="page">
                  <wp:posOffset>901700</wp:posOffset>
                </wp:positionV>
                <wp:extent cx="25400" cy="406400"/>
                <wp:effectExtent l="0" t="0" r="22225" b="31115"/>
                <wp:wrapNone/>
                <wp:docPr id="17859" name="shape17859"/>
                <wp:cNvGraphicFramePr/>
                <a:graphic>
                  <a:graphicData uri="http://schemas.microsoft.com/office/word/2010/wordprocessingShape">
                    <wps:wsp>
                      <wps:cNvSpPr/>
                      <wps:spPr>
                        <a:xfrm>
                          <a:off x="0" y="0"/>
                          <a:ext cx="254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2pt;margin-left:468pt;margin-top:71pt;mso-wrap-style:square;z-index:10264336;mso-wrap-distance-left:9pt;mso-wrap-distance-top:0pt;mso-wrap-distance-right:9pt;mso-wrap-distance-bottom:0pt" id="shape17859" o:spid="1618382360763" stroked="f" filled="t" fillcolor="#000000"/>
            </w:pict>
          </mc:Fallback>
        </mc:AlternateContent>
      </w:r>
      <w:r>
        <mc:AlternateContent>
          <mc:Choice Requires="wps">
            <w:drawing>
              <wp:anchor distT="0" distB="0" distL="114300" distR="114300" simplePos="false" relativeHeight="10266384" behindDoc="false" locked="false" layoutInCell="true" allowOverlap="true">
                <wp:simplePos x="0" y="0"/>
                <wp:positionH relativeFrom="page">
                  <wp:posOffset>6718300</wp:posOffset>
                </wp:positionH>
                <wp:positionV relativeFrom="page">
                  <wp:posOffset>901700</wp:posOffset>
                </wp:positionV>
                <wp:extent cx="25400" cy="406400"/>
                <wp:effectExtent l="0" t="0" r="22225" b="31115"/>
                <wp:wrapNone/>
                <wp:docPr id="17861" name="shape17861"/>
                <wp:cNvGraphicFramePr/>
                <a:graphic>
                  <a:graphicData uri="http://schemas.microsoft.com/office/word/2010/wordprocessingShape">
                    <wps:wsp>
                      <wps:cNvSpPr/>
                      <wps:spPr>
                        <a:xfrm>
                          <a:off x="0" y="0"/>
                          <a:ext cx="254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pt;height:32pt;margin-left:529pt;margin-top:71pt;mso-wrap-style:square;z-index:10266384;mso-wrap-distance-left:9pt;mso-wrap-distance-top:0pt;mso-wrap-distance-right:9pt;mso-wrap-distance-bottom:0pt" id="shape17861" o:spid="1618382360763" stroked="f" filled="t" fillcolor="#000000"/>
            </w:pict>
          </mc:Fallback>
        </mc:AlternateContent>
      </w:r>
      <w:r>
        <mc:AlternateContent>
          <mc:Choice Requires="wps">
            <w:drawing>
              <wp:anchor distT="0" distB="0" distL="114300" distR="114300" simplePos="false" relativeHeight="10422032" behindDoc="false" locked="false" layoutInCell="true" allowOverlap="true">
                <wp:simplePos x="0" y="0"/>
                <wp:positionH relativeFrom="page">
                  <wp:posOffset>838200</wp:posOffset>
                </wp:positionH>
                <wp:positionV relativeFrom="page">
                  <wp:posOffset>901700</wp:posOffset>
                </wp:positionV>
                <wp:extent cx="12700" cy="406400"/>
                <wp:effectExtent l="0" t="0" r="22225" b="31115"/>
                <wp:wrapNone/>
                <wp:docPr id="17847" name="shape17847"/>
                <wp:cNvGraphicFramePr/>
                <a:graphic>
                  <a:graphicData uri="http://schemas.microsoft.com/office/word/2010/wordprocessingShape">
                    <wps:wsp>
                      <wps:cNvSpPr/>
                      <wps:spPr>
                        <a:xfrm>
                          <a:off x="0" y="0"/>
                          <a:ext cx="12700" cy="406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pt;height:32pt;margin-left:66pt;margin-top:71pt;mso-wrap-style:square;z-index:10422032;mso-wrap-distance-left:9pt;mso-wrap-distance-top:0pt;mso-wrap-distance-right:9pt;mso-wrap-distance-bottom:0pt" id="shape17847" o:spid="1618382360763" stroked="f" filled="t" fillcolor="#000000"/>
            </w:pict>
          </mc:Fallback>
        </mc:AlternateContent>
      </w:r>
      <w:r>
        <mc:AlternateContent>
          <mc:Choice Requires="wps">
            <w:drawing>
              <wp:anchor distT="0" distB="0" distL="114300" distR="114300" simplePos="false" relativeHeight="10253072" behindDoc="false" locked="false" layoutInCell="true" allowOverlap="true">
                <wp:simplePos x="0" y="0"/>
                <wp:positionH relativeFrom="page">
                  <wp:posOffset>838200</wp:posOffset>
                </wp:positionH>
                <wp:positionV relativeFrom="page">
                  <wp:posOffset>1295400</wp:posOffset>
                </wp:positionV>
                <wp:extent cx="1231900" cy="12700"/>
                <wp:effectExtent l="0" t="0" r="22225" b="31115"/>
                <wp:wrapNone/>
                <wp:docPr id="17848" name="shape17848"/>
                <wp:cNvGraphicFramePr/>
                <a:graphic>
                  <a:graphicData uri="http://schemas.microsoft.com/office/word/2010/wordprocessingShape">
                    <wps:wsp>
                      <wps:cNvSpPr/>
                      <wps:spPr>
                        <a:xfrm>
                          <a:off x="0" y="0"/>
                          <a:ext cx="1231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97pt;height:1pt;margin-left:66pt;margin-top:102pt;mso-wrap-style:square;z-index:10253072;mso-wrap-distance-left:9pt;mso-wrap-distance-top:0pt;mso-wrap-distance-right:9pt;mso-wrap-distance-bottom:0pt" id="shape17848" o:spid="1618382360764" stroked="f" filled="t" fillcolor="#000000"/>
            </w:pict>
          </mc:Fallback>
        </mc:AlternateContent>
      </w:r>
      <w:r>
        <mc:AlternateContent>
          <mc:Choice Requires="wps">
            <w:drawing>
              <wp:anchor distT="0" distB="0" distL="114300" distR="114300" simplePos="false" relativeHeight="10255120" behindDoc="false" locked="false" layoutInCell="true" allowOverlap="true">
                <wp:simplePos x="0" y="0"/>
                <wp:positionH relativeFrom="page">
                  <wp:posOffset>2070100</wp:posOffset>
                </wp:positionH>
                <wp:positionV relativeFrom="page">
                  <wp:posOffset>1295400</wp:posOffset>
                </wp:positionV>
                <wp:extent cx="774700" cy="12700"/>
                <wp:effectExtent l="0" t="0" r="22225" b="31115"/>
                <wp:wrapNone/>
                <wp:docPr id="17850" name="shape17850"/>
                <wp:cNvGraphicFramePr/>
                <a:graphic>
                  <a:graphicData uri="http://schemas.microsoft.com/office/word/2010/wordprocessingShape">
                    <wps:wsp>
                      <wps:cNvSpPr/>
                      <wps:spPr>
                        <a:xfrm>
                          <a:off x="0" y="0"/>
                          <a:ext cx="7747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1pt;height:1pt;margin-left:163pt;margin-top:102pt;mso-wrap-style:square;z-index:10255120;mso-wrap-distance-left:9pt;mso-wrap-distance-top:0pt;mso-wrap-distance-right:9pt;mso-wrap-distance-bottom:0pt" id="shape17850" o:spid="1618382360764" stroked="f" filled="t" fillcolor="#000000"/>
            </w:pict>
          </mc:Fallback>
        </mc:AlternateContent>
      </w:r>
      <w:r>
        <mc:AlternateContent>
          <mc:Choice Requires="wps">
            <w:drawing>
              <wp:anchor distT="0" distB="0" distL="114300" distR="114300" simplePos="false" relativeHeight="10257168" behindDoc="false" locked="false" layoutInCell="true" allowOverlap="true">
                <wp:simplePos x="0" y="0"/>
                <wp:positionH relativeFrom="page">
                  <wp:posOffset>2844800</wp:posOffset>
                </wp:positionH>
                <wp:positionV relativeFrom="page">
                  <wp:posOffset>1295400</wp:posOffset>
                </wp:positionV>
                <wp:extent cx="787400" cy="12700"/>
                <wp:effectExtent l="0" t="0" r="22225" b="31115"/>
                <wp:wrapNone/>
                <wp:docPr id="17852" name="shape17852"/>
                <wp:cNvGraphicFramePr/>
                <a:graphic>
                  <a:graphicData uri="http://schemas.microsoft.com/office/word/2010/wordprocessingShape">
                    <wps:wsp>
                      <wps:cNvSpPr/>
                      <wps:spPr>
                        <a:xfrm>
                          <a:off x="0" y="0"/>
                          <a:ext cx="7874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1pt;margin-left:224pt;margin-top:102pt;mso-wrap-style:square;z-index:10257168;mso-wrap-distance-left:9pt;mso-wrap-distance-top:0pt;mso-wrap-distance-right:9pt;mso-wrap-distance-bottom:0pt" id="shape17852" o:spid="1618382360764" stroked="f" filled="t" fillcolor="#000000"/>
            </w:pict>
          </mc:Fallback>
        </mc:AlternateContent>
      </w:r>
      <w:r>
        <mc:AlternateContent>
          <mc:Choice Requires="wps">
            <w:drawing>
              <wp:anchor distT="0" distB="0" distL="114300" distR="114300" simplePos="false" relativeHeight="10259216" behindDoc="false" locked="false" layoutInCell="true" allowOverlap="true">
                <wp:simplePos x="0" y="0"/>
                <wp:positionH relativeFrom="page">
                  <wp:posOffset>3619500</wp:posOffset>
                </wp:positionH>
                <wp:positionV relativeFrom="page">
                  <wp:posOffset>1295400</wp:posOffset>
                </wp:positionV>
                <wp:extent cx="787400" cy="12700"/>
                <wp:effectExtent l="0" t="0" r="22225" b="31115"/>
                <wp:wrapNone/>
                <wp:docPr id="17854" name="shape17854"/>
                <wp:cNvGraphicFramePr/>
                <a:graphic>
                  <a:graphicData uri="http://schemas.microsoft.com/office/word/2010/wordprocessingShape">
                    <wps:wsp>
                      <wps:cNvSpPr/>
                      <wps:spPr>
                        <a:xfrm>
                          <a:off x="0" y="0"/>
                          <a:ext cx="7874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1pt;margin-left:285pt;margin-top:102pt;mso-wrap-style:square;z-index:10259216;mso-wrap-distance-left:9pt;mso-wrap-distance-top:0pt;mso-wrap-distance-right:9pt;mso-wrap-distance-bottom:0pt" id="shape17854" o:spid="1618382360765" stroked="f" filled="t" fillcolor="#000000"/>
            </w:pict>
          </mc:Fallback>
        </mc:AlternateContent>
      </w:r>
      <w:r>
        <mc:AlternateContent>
          <mc:Choice Requires="wps">
            <w:drawing>
              <wp:anchor distT="0" distB="0" distL="114300" distR="114300" simplePos="false" relativeHeight="10261264" behindDoc="false" locked="false" layoutInCell="true" allowOverlap="true">
                <wp:simplePos x="0" y="0"/>
                <wp:positionH relativeFrom="page">
                  <wp:posOffset>4394200</wp:posOffset>
                </wp:positionH>
                <wp:positionV relativeFrom="page">
                  <wp:posOffset>1295400</wp:posOffset>
                </wp:positionV>
                <wp:extent cx="787400" cy="12700"/>
                <wp:effectExtent l="0" t="0" r="22225" b="31115"/>
                <wp:wrapNone/>
                <wp:docPr id="17856" name="shape17856"/>
                <wp:cNvGraphicFramePr/>
                <a:graphic>
                  <a:graphicData uri="http://schemas.microsoft.com/office/word/2010/wordprocessingShape">
                    <wps:wsp>
                      <wps:cNvSpPr/>
                      <wps:spPr>
                        <a:xfrm>
                          <a:off x="0" y="0"/>
                          <a:ext cx="7874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1pt;margin-left:346pt;margin-top:102pt;mso-wrap-style:square;z-index:10261264;mso-wrap-distance-left:9pt;mso-wrap-distance-top:0pt;mso-wrap-distance-right:9pt;mso-wrap-distance-bottom:0pt" id="shape17856" o:spid="1618382360765" stroked="f" filled="t" fillcolor="#000000"/>
            </w:pict>
          </mc:Fallback>
        </mc:AlternateContent>
      </w:r>
      <w:r>
        <mc:AlternateContent>
          <mc:Choice Requires="wps">
            <w:drawing>
              <wp:anchor distT="0" distB="0" distL="114300" distR="114300" simplePos="false" relativeHeight="10263312" behindDoc="false" locked="false" layoutInCell="true" allowOverlap="true">
                <wp:simplePos x="0" y="0"/>
                <wp:positionH relativeFrom="page">
                  <wp:posOffset>5168900</wp:posOffset>
                </wp:positionH>
                <wp:positionV relativeFrom="page">
                  <wp:posOffset>1295400</wp:posOffset>
                </wp:positionV>
                <wp:extent cx="787400" cy="12700"/>
                <wp:effectExtent l="0" t="0" r="22225" b="31115"/>
                <wp:wrapNone/>
                <wp:docPr id="17858" name="shape17858"/>
                <wp:cNvGraphicFramePr/>
                <a:graphic>
                  <a:graphicData uri="http://schemas.microsoft.com/office/word/2010/wordprocessingShape">
                    <wps:wsp>
                      <wps:cNvSpPr/>
                      <wps:spPr>
                        <a:xfrm>
                          <a:off x="0" y="0"/>
                          <a:ext cx="7874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2pt;height:1pt;margin-left:407pt;margin-top:102pt;mso-wrap-style:square;z-index:10263312;mso-wrap-distance-left:9pt;mso-wrap-distance-top:0pt;mso-wrap-distance-right:9pt;mso-wrap-distance-bottom:0pt" id="shape17858" o:spid="1618382360765" stroked="f" filled="t" fillcolor="#000000"/>
            </w:pict>
          </mc:Fallback>
        </mc:AlternateContent>
      </w:r>
      <w:r>
        <mc:AlternateContent>
          <mc:Choice Requires="wps">
            <w:drawing>
              <wp:anchor distT="0" distB="0" distL="114300" distR="114300" simplePos="false" relativeHeight="10265360" behindDoc="false" locked="false" layoutInCell="true" allowOverlap="true">
                <wp:simplePos x="0" y="0"/>
                <wp:positionH relativeFrom="page">
                  <wp:posOffset>5956300</wp:posOffset>
                </wp:positionH>
                <wp:positionV relativeFrom="page">
                  <wp:posOffset>1295400</wp:posOffset>
                </wp:positionV>
                <wp:extent cx="774700" cy="12700"/>
                <wp:effectExtent l="0" t="0" r="22225" b="31115"/>
                <wp:wrapNone/>
                <wp:docPr id="17860" name="shape17860"/>
                <wp:cNvGraphicFramePr/>
                <a:graphic>
                  <a:graphicData uri="http://schemas.microsoft.com/office/word/2010/wordprocessingShape">
                    <wps:wsp>
                      <wps:cNvSpPr/>
                      <wps:spPr>
                        <a:xfrm>
                          <a:off x="0" y="0"/>
                          <a:ext cx="7747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61pt;height:1pt;margin-left:469pt;margin-top:102pt;mso-wrap-style:square;z-index:10265360;mso-wrap-distance-left:9pt;mso-wrap-distance-top:0pt;mso-wrap-distance-right:9pt;mso-wrap-distance-bottom:0pt" id="shape17860" o:spid="1618382360765" stroked="f" filled="t" fillcolor="#000000"/>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3620"/>
          <w:tab w:val="left" w:pos="4800"/>
          <w:tab w:val="left" w:pos="6080"/>
          <w:tab w:val="left" w:pos="7240"/>
          <w:tab w:val="left" w:pos="8520"/>
          <w:tab w:val="left" w:pos="9700"/>
        </w:tabs>
        <w:autoSpaceDE w:val="false"/>
        <w:autoSpaceDN w:val="false"/>
        <w:spacing w:line="360" w:lineRule="exact"/>
        <w:ind w:left="2080"/>
        <w:jc w:val="both"/>
      </w:pPr>
      <w:r>
        <w:rPr>
          <w:rFonts w:hint="eastAsia" w:ascii="宋体" w:hAnsi="宋体" w:eastAsia="宋体" w:cs="宋体"/>
          <w:b/>
          <w:sz w:val="21"/>
        </w:rPr>
        <w:t>合计</w:t>
      </w:r>
      <w:r>
        <w:tab/>
      </w: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93</w:t>
      </w:r>
      <w:r>
        <w:tab/>
      </w: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r>
        <w:tab/>
      </w: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525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14</w:t>
      </w:r>
      <w:r>
        <w:tab/>
      </w: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r>
        <w:tab/>
      </w: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09</w:t>
      </w:r>
      <w:r>
        <w:tab/>
      </w: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宋体" w:hAnsi="宋体" w:eastAsia="宋体" w:cs="宋体"/>
          <w:sz w:val="24"/>
        </w:rPr>
        <w:t>报告期各期内</w:t>
      </w:r>
      <w:r>
        <w:rPr>
          <w:rFonts w:hint="eastAsia" w:ascii="宋体" w:hAnsi="宋体" w:eastAsia="宋体" w:cs="宋体"/>
          <w:sz w:val="10"/>
        </w:rPr>
        <w:t>，</w:t>
      </w:r>
      <w:r>
        <w:rPr>
          <w:rFonts w:hint="eastAsia" w:ascii="宋体" w:hAnsi="宋体" w:eastAsia="宋体" w:cs="宋体"/>
          <w:sz w:val="24"/>
        </w:rPr>
        <w:t>定制软件业务成本随业务规模的扩张而有所增长</w:t>
      </w:r>
      <w:r>
        <w:rPr>
          <w:rFonts w:hint="eastAsia" w:ascii="宋体" w:hAnsi="宋体" w:eastAsia="宋体" w:cs="宋体"/>
          <w:sz w:val="10"/>
        </w:rPr>
        <w:t>，</w:t>
      </w:r>
      <w:r>
        <w:rPr>
          <w:rFonts w:hint="eastAsia" w:ascii="宋体" w:hAnsi="宋体" w:eastAsia="宋体" w:cs="宋体"/>
          <w:sz w:val="24"/>
        </w:rPr>
        <w:t>其构成基本稳定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40"/>
        <w:jc w:val="both"/>
      </w:pPr>
      <w:r>
        <w:rPr>
          <w:rFonts w:hint="eastAsia" w:ascii="宋体" w:hAnsi="宋体" w:eastAsia="宋体" w:cs="宋体"/>
          <w:sz w:val="24"/>
        </w:rPr>
        <w:t>报告期各期末</w:t>
      </w:r>
      <w:r>
        <w:rPr>
          <w:rFonts w:hint="eastAsia" w:ascii="宋体" w:hAnsi="宋体" w:eastAsia="宋体" w:cs="宋体"/>
          <w:sz w:val="10"/>
        </w:rPr>
        <w:t>，</w:t>
      </w:r>
      <w:r>
        <w:rPr>
          <w:rFonts w:hint="eastAsia" w:ascii="宋体" w:hAnsi="宋体" w:eastAsia="宋体" w:cs="宋体"/>
          <w:sz w:val="24"/>
        </w:rPr>
        <w:t>发行人定制软件业务劳务成本中的主要在执行项目执行情况良好</w:t>
      </w:r>
      <w:r>
        <w:rPr>
          <w:rFonts w:hint="eastAsia" w:ascii="宋体" w:hAnsi="宋体" w:eastAsia="宋体" w:cs="宋体"/>
          <w:sz w:val="10"/>
        </w:rPr>
        <w:t>，</w:t>
      </w:r>
      <w:r>
        <w:rPr>
          <w:rFonts w:hint="eastAsia" w:ascii="宋体" w:hAnsi="宋体" w:eastAsia="宋体" w:cs="宋体"/>
          <w:sz w:val="24"/>
        </w:rPr>
        <w:t>其预收款项的金额大部分可覆盖截至各期末的劳务成本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）软件运维服务的成本构成</w:t>
      </w:r>
    </w:p>
    <w:p>
      <w:pPr>
        <w:spacing w:line="200" w:lineRule="exact"/>
        <w:rPr>
          <w:rFonts w:hint="eastAsia" w:ascii="宋体" w:hAnsi="宋体" w:eastAsia="宋体" w:cs="宋体"/>
          <w:sz w:val="20"/>
        </w:rPr>
      </w:pPr>
    </w:p>
    <w:p>
      <w:pPr>
        <w:autoSpaceDE w:val="false"/>
        <w:autoSpaceDN w:val="false"/>
        <w:spacing w:line="34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920"/>
        <w:gridCol w:w="1220"/>
        <w:gridCol w:w="1240"/>
        <w:gridCol w:w="1220"/>
        <w:gridCol w:w="1220"/>
        <w:gridCol w:w="1220"/>
        <w:gridCol w:w="1220"/>
      </w:tblGrid>
      <w:tr>
        <w:trPr>
          <w:trHeight w:val="640" w:hRule="exact"/>
        </w:trPr>
        <w:tc>
          <w:tcPr>
            <w:tcW w:w="1920" w:type="dxa"/>
            <w:vMerge w:val="restart"/>
            <w:tcMar>
              <w:top w:w="0" w:type="dxa"/>
              <w:left w:w="0" w:type="dxa"/>
              <w:bottom w:w="0" w:type="dxa"/>
              <w:right w:w="0" w:type="dxa"/>
            </w:tcMar>
          </w:tcPr>
          <w:p>
            <w:pPr>
              <w:spacing w:before="520"/>
              <w:ind w:left="740"/>
            </w:pPr>
            <w:r>
              <w:rPr>
                <w:rFonts w:hint="eastAsia" w:ascii="宋体" w:hAnsi="宋体" w:eastAsia="宋体" w:cs="宋体"/>
                <w:b/>
                <w:sz w:val="19"/>
              </w:rPr>
              <w:t>项目</w:t>
            </w:r>
          </w:p>
        </w:tc>
        <w:tc>
          <w:tcPr>
            <w:tcW w:w="2460" w:type="dxa"/>
            <w:gridSpan w:val="2"/>
            <w:tcMar>
              <w:top w:w="0" w:type="dxa"/>
              <w:left w:w="0" w:type="dxa"/>
              <w:bottom w:w="0" w:type="dxa"/>
              <w:right w:w="0" w:type="dxa"/>
            </w:tcMar>
          </w:tcPr>
          <w:p>
            <w:pPr>
              <w:spacing w:before="200"/>
              <w:ind w:left="780"/>
            </w:pPr>
            <w:r>
              <w:rPr>
                <w:rFonts w:hint="eastAsia" w:ascii="Times New Roman Bold" w:hAnsi="Times New Roman Bold" w:eastAsia="Times New Roman Bold" w:cs="Times New Roman Bold"/>
                <w:b/>
                <w:sz w:val="19"/>
              </w:rPr>
              <w:t>2016</w:t>
            </w:r>
            <w:r>
              <w:rPr>
                <w:rFonts w:hint="eastAsia" w:ascii="宋体" w:hAnsi="宋体" w:eastAsia="宋体" w:cs="宋体"/>
                <w:b/>
                <w:sz w:val="19"/>
              </w:rPr>
              <w:t xml:space="preserve"> 年度</w:t>
            </w:r>
          </w:p>
        </w:tc>
        <w:tc>
          <w:tcPr>
            <w:tcW w:w="2440" w:type="dxa"/>
            <w:gridSpan w:val="2"/>
            <w:tcMar>
              <w:top w:w="0" w:type="dxa"/>
              <w:left w:w="0" w:type="dxa"/>
              <w:bottom w:w="0" w:type="dxa"/>
              <w:right w:w="0" w:type="dxa"/>
            </w:tcMar>
          </w:tcPr>
          <w:p>
            <w:pPr>
              <w:spacing w:before="200"/>
              <w:ind w:left="780"/>
            </w:pPr>
            <w:r>
              <w:rPr>
                <w:rFonts w:hint="eastAsia" w:ascii="Times New Roman Bold" w:hAnsi="Times New Roman Bold" w:eastAsia="Times New Roman Bold" w:cs="Times New Roman Bold"/>
                <w:b/>
                <w:sz w:val="19"/>
              </w:rPr>
              <w:t>2015</w:t>
            </w:r>
            <w:r>
              <w:rPr>
                <w:rFonts w:hint="eastAsia" w:ascii="宋体" w:hAnsi="宋体" w:eastAsia="宋体" w:cs="宋体"/>
                <w:b/>
                <w:sz w:val="19"/>
              </w:rPr>
              <w:t xml:space="preserve"> 年度</w:t>
            </w:r>
          </w:p>
        </w:tc>
        <w:tc>
          <w:tcPr>
            <w:tcW w:w="2440" w:type="dxa"/>
            <w:gridSpan w:val="2"/>
            <w:tcMar>
              <w:top w:w="0" w:type="dxa"/>
              <w:left w:w="0" w:type="dxa"/>
              <w:bottom w:w="0" w:type="dxa"/>
              <w:right w:w="0" w:type="dxa"/>
            </w:tcMar>
          </w:tcPr>
          <w:p>
            <w:pPr>
              <w:spacing w:before="200"/>
              <w:ind w:left="780"/>
            </w:pPr>
            <w:r>
              <w:rPr>
                <w:rFonts w:hint="eastAsia" w:ascii="Times New Roman Bold" w:hAnsi="Times New Roman Bold" w:eastAsia="Times New Roman Bold" w:cs="Times New Roman Bold"/>
                <w:b/>
                <w:sz w:val="19"/>
              </w:rPr>
              <w:t>2014</w:t>
            </w:r>
            <w:r>
              <w:rPr>
                <w:rFonts w:hint="eastAsia" w:ascii="宋体" w:hAnsi="宋体" w:eastAsia="宋体" w:cs="宋体"/>
                <w:b/>
                <w:sz w:val="19"/>
              </w:rPr>
              <w:t xml:space="preserve"> 年度</w:t>
            </w:r>
          </w:p>
        </w:tc>
      </w:tr>
      <w:tr>
        <w:trPr>
          <w:trHeight w:val="640" w:hRule="exact"/>
        </w:trPr>
        <w:tc>
          <w:tcPr>
            <w:tcW w:w="1920" w:type="dxa"/>
            <w:vMerge w:val="continue"/>
            <w:tcMar>
              <w:top w:w="0" w:type="dxa"/>
              <w:left w:w="0" w:type="dxa"/>
              <w:bottom w:w="0" w:type="dxa"/>
              <w:right w:w="0" w:type="dxa"/>
            </w:tcMar>
          </w:tcPr>
          <w:p/>
        </w:tc>
        <w:tc>
          <w:tcPr>
            <w:tcW w:w="1220" w:type="dxa"/>
            <w:tcMar>
              <w:top w:w="0" w:type="dxa"/>
              <w:left w:w="0" w:type="dxa"/>
              <w:bottom w:w="0" w:type="dxa"/>
              <w:right w:w="0" w:type="dxa"/>
            </w:tcMar>
          </w:tcPr>
          <w:p>
            <w:pPr>
              <w:spacing w:before="200"/>
              <w:ind w:left="400"/>
            </w:pPr>
            <w:r>
              <w:rPr>
                <w:rFonts w:hint="eastAsia" w:ascii="宋体" w:hAnsi="宋体" w:eastAsia="宋体" w:cs="宋体"/>
                <w:b/>
                <w:sz w:val="19"/>
              </w:rPr>
              <w:t>金额</w:t>
            </w:r>
          </w:p>
        </w:tc>
        <w:tc>
          <w:tcPr>
            <w:tcW w:w="1240" w:type="dxa"/>
            <w:tcMar>
              <w:top w:w="0" w:type="dxa"/>
              <w:left w:w="0" w:type="dxa"/>
              <w:bottom w:w="0" w:type="dxa"/>
              <w:right w:w="0" w:type="dxa"/>
            </w:tcMar>
          </w:tcPr>
          <w:p>
            <w:pPr>
              <w:spacing w:before="200"/>
              <w:ind w:left="400"/>
            </w:pPr>
            <w:r>
              <w:rPr>
                <w:rFonts w:hint="eastAsia" w:ascii="宋体" w:hAnsi="宋体" w:eastAsia="宋体" w:cs="宋体"/>
                <w:b/>
                <w:sz w:val="19"/>
              </w:rPr>
              <w:t>比例</w:t>
            </w:r>
          </w:p>
        </w:tc>
        <w:tc>
          <w:tcPr>
            <w:tcW w:w="1220" w:type="dxa"/>
            <w:tcMar>
              <w:top w:w="0" w:type="dxa"/>
              <w:left w:w="0" w:type="dxa"/>
              <w:bottom w:w="0" w:type="dxa"/>
              <w:right w:w="0" w:type="dxa"/>
            </w:tcMar>
          </w:tcPr>
          <w:p>
            <w:pPr>
              <w:spacing w:before="200"/>
              <w:ind w:left="380"/>
            </w:pPr>
            <w:r>
              <w:rPr>
                <w:rFonts w:hint="eastAsia" w:ascii="宋体" w:hAnsi="宋体" w:eastAsia="宋体" w:cs="宋体"/>
                <w:b/>
                <w:sz w:val="19"/>
              </w:rPr>
              <w:t>金额</w:t>
            </w:r>
          </w:p>
        </w:tc>
        <w:tc>
          <w:tcPr>
            <w:tcW w:w="1220" w:type="dxa"/>
            <w:tcMar>
              <w:top w:w="0" w:type="dxa"/>
              <w:left w:w="0" w:type="dxa"/>
              <w:bottom w:w="0" w:type="dxa"/>
              <w:right w:w="0" w:type="dxa"/>
            </w:tcMar>
          </w:tcPr>
          <w:p>
            <w:pPr>
              <w:spacing w:before="200"/>
              <w:ind w:left="400"/>
            </w:pPr>
            <w:r>
              <w:rPr>
                <w:rFonts w:hint="eastAsia" w:ascii="宋体" w:hAnsi="宋体" w:eastAsia="宋体" w:cs="宋体"/>
                <w:b/>
                <w:sz w:val="19"/>
              </w:rPr>
              <w:t>比例</w:t>
            </w:r>
          </w:p>
        </w:tc>
        <w:tc>
          <w:tcPr>
            <w:tcW w:w="1220" w:type="dxa"/>
            <w:tcMar>
              <w:top w:w="0" w:type="dxa"/>
              <w:left w:w="0" w:type="dxa"/>
              <w:bottom w:w="0" w:type="dxa"/>
              <w:right w:w="0" w:type="dxa"/>
            </w:tcMar>
          </w:tcPr>
          <w:p>
            <w:pPr>
              <w:spacing w:before="200"/>
              <w:ind w:left="400"/>
            </w:pPr>
            <w:r>
              <w:rPr>
                <w:rFonts w:hint="eastAsia" w:ascii="宋体" w:hAnsi="宋体" w:eastAsia="宋体" w:cs="宋体"/>
                <w:b/>
                <w:sz w:val="19"/>
              </w:rPr>
              <w:t>金额</w:t>
            </w:r>
          </w:p>
        </w:tc>
        <w:tc>
          <w:tcPr>
            <w:tcW w:w="1220" w:type="dxa"/>
            <w:tcMar>
              <w:top w:w="0" w:type="dxa"/>
              <w:left w:w="0" w:type="dxa"/>
              <w:bottom w:w="0" w:type="dxa"/>
              <w:right w:w="0" w:type="dxa"/>
            </w:tcMar>
          </w:tcPr>
          <w:p>
            <w:pPr>
              <w:spacing w:before="200"/>
              <w:ind w:left="400"/>
            </w:pPr>
            <w:r>
              <w:rPr>
                <w:rFonts w:hint="eastAsia" w:ascii="宋体" w:hAnsi="宋体" w:eastAsia="宋体" w:cs="宋体"/>
                <w:b/>
                <w:sz w:val="19"/>
              </w:rPr>
              <w:t>比例</w:t>
            </w:r>
          </w:p>
        </w:tc>
      </w:tr>
      <w:tr>
        <w:trPr>
          <w:trHeight w:val="640" w:hRule="exact"/>
        </w:trPr>
        <w:tc>
          <w:tcPr>
            <w:tcW w:w="1920" w:type="dxa"/>
            <w:tcMar>
              <w:top w:w="0" w:type="dxa"/>
              <w:left w:w="0" w:type="dxa"/>
              <w:bottom w:w="0" w:type="dxa"/>
              <w:right w:w="0" w:type="dxa"/>
            </w:tcMar>
          </w:tcPr>
          <w:p>
            <w:pPr>
              <w:spacing w:before="200"/>
              <w:ind w:left="100"/>
            </w:pPr>
            <w:r>
              <w:rPr>
                <w:rFonts w:hint="eastAsia" w:ascii="宋体" w:hAnsi="宋体" w:eastAsia="宋体" w:cs="宋体"/>
                <w:sz w:val="21"/>
              </w:rPr>
              <w:t>人工费</w:t>
            </w:r>
          </w:p>
        </w:tc>
        <w:tc>
          <w:tcPr>
            <w:tcW w:w="1220" w:type="dxa"/>
            <w:tcMar>
              <w:top w:w="0" w:type="dxa"/>
              <w:left w:w="0" w:type="dxa"/>
              <w:bottom w:w="0" w:type="dxa"/>
              <w:right w:w="0" w:type="dxa"/>
            </w:tcMar>
          </w:tcPr>
          <w:p>
            <w:pPr>
              <w:spacing w:before="240"/>
              <w:ind w:left="560"/>
            </w:pPr>
            <w:r>
              <w:rPr>
                <w:rFonts w:hint="eastAsia" w:ascii="Times New Roman" w:hAnsi="Times New Roman" w:eastAsia="Times New Roman" w:cs="Times New Roman"/>
                <w:sz w:val="19"/>
              </w:rPr>
              <w:t>201</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13</w:t>
            </w:r>
          </w:p>
        </w:tc>
        <w:tc>
          <w:tcPr>
            <w:tcW w:w="124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19"/>
              </w:rPr>
              <w:t>79</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13</w:t>
            </w:r>
            <w:r>
              <w:rPr>
                <w:rFonts w:hint="eastAsia" w:ascii="Times New Roman" w:hAnsi="Times New Roman" w:eastAsia="Times New Roman" w:cs="Times New Roman"/>
                <w:sz w:val="18"/>
              </w:rPr>
              <w:t>%</w:t>
            </w:r>
          </w:p>
        </w:tc>
        <w:tc>
          <w:tcPr>
            <w:tcW w:w="122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19"/>
              </w:rPr>
              <w:t>128</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66</w:t>
            </w:r>
          </w:p>
        </w:tc>
        <w:tc>
          <w:tcPr>
            <w:tcW w:w="12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19"/>
              </w:rPr>
              <w:t>71</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80</w:t>
            </w:r>
            <w:r>
              <w:rPr>
                <w:rFonts w:hint="eastAsia" w:ascii="Times New Roman" w:hAnsi="Times New Roman" w:eastAsia="Times New Roman" w:cs="Times New Roman"/>
                <w:sz w:val="18"/>
              </w:rPr>
              <w:t>%</w:t>
            </w:r>
          </w:p>
        </w:tc>
        <w:tc>
          <w:tcPr>
            <w:tcW w:w="1220" w:type="dxa"/>
            <w:tcMar>
              <w:top w:w="0" w:type="dxa"/>
              <w:left w:w="0" w:type="dxa"/>
              <w:bottom w:w="0" w:type="dxa"/>
              <w:right w:w="0" w:type="dxa"/>
            </w:tcMar>
          </w:tcPr>
          <w:p>
            <w:pPr>
              <w:spacing w:before="240"/>
              <w:ind w:left="640"/>
            </w:pPr>
            <w:r>
              <w:rPr>
                <w:rFonts w:hint="eastAsia" w:ascii="Times New Roman" w:hAnsi="Times New Roman" w:eastAsia="Times New Roman" w:cs="Times New Roman"/>
                <w:sz w:val="19"/>
              </w:rPr>
              <w:t>63</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94</w:t>
            </w:r>
          </w:p>
        </w:tc>
        <w:tc>
          <w:tcPr>
            <w:tcW w:w="12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19"/>
              </w:rPr>
              <w:t>50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03</w:t>
            </w:r>
            <w:r>
              <w:rPr>
                <w:rFonts w:hint="eastAsia" w:ascii="Times New Roman" w:hAnsi="Times New Roman" w:eastAsia="Times New Roman" w:cs="Times New Roman"/>
                <w:sz w:val="18"/>
              </w:rPr>
              <w:t>%</w:t>
            </w:r>
          </w:p>
        </w:tc>
      </w:tr>
      <w:tr>
        <w:trPr>
          <w:trHeight w:val="620" w:hRule="exact"/>
        </w:trPr>
        <w:tc>
          <w:tcPr>
            <w:tcW w:w="1920" w:type="dxa"/>
            <w:tcMar>
              <w:top w:w="0" w:type="dxa"/>
              <w:left w:w="0" w:type="dxa"/>
              <w:bottom w:w="0" w:type="dxa"/>
              <w:right w:w="0" w:type="dxa"/>
            </w:tcMar>
          </w:tcPr>
          <w:p>
            <w:pPr>
              <w:spacing w:before="180"/>
              <w:ind w:left="100"/>
            </w:pPr>
            <w:r>
              <w:rPr>
                <w:rFonts w:hint="eastAsia" w:ascii="宋体" w:hAnsi="宋体" w:eastAsia="宋体" w:cs="宋体"/>
                <w:sz w:val="21"/>
              </w:rPr>
              <w:t>差旅费</w:t>
            </w:r>
          </w:p>
        </w:tc>
        <w:tc>
          <w:tcPr>
            <w:tcW w:w="1220" w:type="dxa"/>
            <w:tcMar>
              <w:top w:w="0" w:type="dxa"/>
              <w:left w:w="0" w:type="dxa"/>
              <w:bottom w:w="0" w:type="dxa"/>
              <w:right w:w="0" w:type="dxa"/>
            </w:tcMar>
          </w:tcPr>
          <w:p>
            <w:pPr>
              <w:spacing w:before="240"/>
              <w:ind w:left="660"/>
            </w:pPr>
            <w:r>
              <w:rPr>
                <w:rFonts w:hint="eastAsia" w:ascii="Times New Roman" w:hAnsi="Times New Roman" w:eastAsia="Times New Roman" w:cs="Times New Roman"/>
                <w:sz w:val="19"/>
              </w:rPr>
              <w:t>24</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43</w:t>
            </w:r>
          </w:p>
        </w:tc>
        <w:tc>
          <w:tcPr>
            <w:tcW w:w="1240" w:type="dxa"/>
            <w:tcMar>
              <w:top w:w="0" w:type="dxa"/>
              <w:left w:w="0" w:type="dxa"/>
              <w:bottom w:w="0" w:type="dxa"/>
              <w:right w:w="0" w:type="dxa"/>
            </w:tcMar>
          </w:tcPr>
          <w:p>
            <w:pPr>
              <w:spacing w:before="240"/>
              <w:ind w:left="580"/>
            </w:pPr>
            <w:r>
              <w:rPr>
                <w:rFonts w:hint="eastAsia" w:ascii="Times New Roman" w:hAnsi="Times New Roman" w:eastAsia="Times New Roman" w:cs="Times New Roman"/>
                <w:sz w:val="19"/>
              </w:rPr>
              <w:t>9</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61</w:t>
            </w:r>
            <w:r>
              <w:rPr>
                <w:rFonts w:hint="eastAsia" w:ascii="Times New Roman" w:hAnsi="Times New Roman" w:eastAsia="Times New Roman" w:cs="Times New Roman"/>
                <w:sz w:val="18"/>
              </w:rPr>
              <w:t>%</w:t>
            </w:r>
          </w:p>
        </w:tc>
        <w:tc>
          <w:tcPr>
            <w:tcW w:w="1220" w:type="dxa"/>
            <w:tcMar>
              <w:top w:w="0" w:type="dxa"/>
              <w:left w:w="0" w:type="dxa"/>
              <w:bottom w:w="0" w:type="dxa"/>
              <w:right w:w="0" w:type="dxa"/>
            </w:tcMar>
          </w:tcPr>
          <w:p>
            <w:pPr>
              <w:spacing w:before="240"/>
              <w:ind w:left="640"/>
            </w:pPr>
            <w:r>
              <w:rPr>
                <w:rFonts w:hint="eastAsia" w:ascii="Times New Roman" w:hAnsi="Times New Roman" w:eastAsia="Times New Roman" w:cs="Times New Roman"/>
                <w:sz w:val="19"/>
              </w:rPr>
              <w:t>20</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79</w:t>
            </w:r>
          </w:p>
        </w:tc>
        <w:tc>
          <w:tcPr>
            <w:tcW w:w="12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19"/>
              </w:rPr>
              <w:t>11</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60</w:t>
            </w:r>
            <w:r>
              <w:rPr>
                <w:rFonts w:hint="eastAsia" w:ascii="Times New Roman" w:hAnsi="Times New Roman" w:eastAsia="Times New Roman" w:cs="Times New Roman"/>
                <w:sz w:val="18"/>
              </w:rPr>
              <w:t>%</w:t>
            </w:r>
          </w:p>
        </w:tc>
        <w:tc>
          <w:tcPr>
            <w:tcW w:w="1220" w:type="dxa"/>
            <w:tcMar>
              <w:top w:w="0" w:type="dxa"/>
              <w:left w:w="0" w:type="dxa"/>
              <w:bottom w:w="0" w:type="dxa"/>
              <w:right w:w="0" w:type="dxa"/>
            </w:tcMar>
          </w:tcPr>
          <w:p>
            <w:pPr>
              <w:spacing w:before="240"/>
              <w:ind w:left="760"/>
            </w:pPr>
            <w:r>
              <w:rPr>
                <w:rFonts w:hint="eastAsia" w:ascii="Times New Roman" w:hAnsi="Times New Roman" w:eastAsia="Times New Roman" w:cs="Times New Roman"/>
                <w:sz w:val="19"/>
              </w:rPr>
              <w:t>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57</w:t>
            </w:r>
          </w:p>
        </w:tc>
        <w:tc>
          <w:tcPr>
            <w:tcW w:w="1220" w:type="dxa"/>
            <w:tcMar>
              <w:top w:w="0" w:type="dxa"/>
              <w:left w:w="0" w:type="dxa"/>
              <w:bottom w:w="0" w:type="dxa"/>
              <w:right w:w="0" w:type="dxa"/>
            </w:tcMar>
          </w:tcPr>
          <w:p>
            <w:pPr>
              <w:spacing w:before="240"/>
              <w:ind w:left="580"/>
            </w:pPr>
            <w:r>
              <w:rPr>
                <w:rFonts w:hint="eastAsia" w:ascii="Times New Roman" w:hAnsi="Times New Roman" w:eastAsia="Times New Roman" w:cs="Times New Roman"/>
                <w:sz w:val="19"/>
              </w:rPr>
              <w:t>5</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14</w:t>
            </w:r>
            <w:r>
              <w:rPr>
                <w:rFonts w:hint="eastAsia" w:ascii="Times New Roman" w:hAnsi="Times New Roman" w:eastAsia="Times New Roman" w:cs="Times New Roman"/>
                <w:sz w:val="18"/>
              </w:rPr>
              <w:t>%</w:t>
            </w:r>
          </w:p>
        </w:tc>
      </w:tr>
      <w:tr>
        <w:trPr>
          <w:trHeight w:val="640" w:hRule="exact"/>
        </w:trPr>
        <w:tc>
          <w:tcPr>
            <w:tcW w:w="1920" w:type="dxa"/>
            <w:tcMar>
              <w:top w:w="0" w:type="dxa"/>
              <w:left w:w="0" w:type="dxa"/>
              <w:bottom w:w="0" w:type="dxa"/>
              <w:right w:w="0" w:type="dxa"/>
            </w:tcMar>
          </w:tcPr>
          <w:p>
            <w:pPr>
              <w:spacing w:before="200"/>
              <w:ind w:left="100"/>
            </w:pPr>
            <w:r>
              <w:rPr>
                <w:rFonts w:hint="eastAsia" w:ascii="宋体" w:hAnsi="宋体" w:eastAsia="宋体" w:cs="宋体"/>
                <w:sz w:val="21"/>
              </w:rPr>
              <w:t>外购软件及其他</w:t>
            </w:r>
          </w:p>
        </w:tc>
        <w:tc>
          <w:tcPr>
            <w:tcW w:w="1220" w:type="dxa"/>
            <w:tcMar>
              <w:top w:w="0" w:type="dxa"/>
              <w:left w:w="0" w:type="dxa"/>
              <w:bottom w:w="0" w:type="dxa"/>
              <w:right w:w="0" w:type="dxa"/>
            </w:tcMar>
          </w:tcPr>
          <w:p>
            <w:pPr>
              <w:spacing w:before="260"/>
              <w:ind w:left="660"/>
            </w:pPr>
            <w:r>
              <w:rPr>
                <w:rFonts w:hint="eastAsia" w:ascii="Times New Roman" w:hAnsi="Times New Roman" w:eastAsia="Times New Roman" w:cs="Times New Roman"/>
                <w:sz w:val="19"/>
              </w:rPr>
              <w:t>28</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60</w:t>
            </w:r>
          </w:p>
        </w:tc>
        <w:tc>
          <w:tcPr>
            <w:tcW w:w="124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19"/>
              </w:rPr>
              <w:t>11</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25</w:t>
            </w:r>
            <w:r>
              <w:rPr>
                <w:rFonts w:hint="eastAsia" w:ascii="Times New Roman" w:hAnsi="Times New Roman" w:eastAsia="Times New Roman" w:cs="Times New Roman"/>
                <w:sz w:val="18"/>
              </w:rPr>
              <w:t>%</w:t>
            </w:r>
          </w:p>
        </w:tc>
        <w:tc>
          <w:tcPr>
            <w:tcW w:w="1220" w:type="dxa"/>
            <w:tcMar>
              <w:top w:w="0" w:type="dxa"/>
              <w:left w:w="0" w:type="dxa"/>
              <w:bottom w:w="0" w:type="dxa"/>
              <w:right w:w="0" w:type="dxa"/>
            </w:tcMar>
          </w:tcPr>
          <w:p>
            <w:pPr>
              <w:spacing w:before="260"/>
              <w:ind w:left="640"/>
            </w:pPr>
            <w:r>
              <w:rPr>
                <w:rFonts w:hint="eastAsia" w:ascii="Times New Roman" w:hAnsi="Times New Roman" w:eastAsia="Times New Roman" w:cs="Times New Roman"/>
                <w:sz w:val="19"/>
              </w:rPr>
              <w:t>29</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74</w:t>
            </w:r>
          </w:p>
        </w:tc>
        <w:tc>
          <w:tcPr>
            <w:tcW w:w="12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19"/>
              </w:rPr>
              <w:t>16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60</w:t>
            </w:r>
            <w:r>
              <w:rPr>
                <w:rFonts w:hint="eastAsia" w:ascii="Times New Roman" w:hAnsi="Times New Roman" w:eastAsia="Times New Roman" w:cs="Times New Roman"/>
                <w:sz w:val="18"/>
              </w:rPr>
              <w:t>%</w:t>
            </w:r>
          </w:p>
        </w:tc>
        <w:tc>
          <w:tcPr>
            <w:tcW w:w="1220" w:type="dxa"/>
            <w:tcMar>
              <w:top w:w="0" w:type="dxa"/>
              <w:left w:w="0" w:type="dxa"/>
              <w:bottom w:w="0" w:type="dxa"/>
              <w:right w:w="0" w:type="dxa"/>
            </w:tcMar>
          </w:tcPr>
          <w:p>
            <w:pPr>
              <w:spacing w:before="260"/>
              <w:ind w:left="640"/>
            </w:pPr>
            <w:r>
              <w:rPr>
                <w:rFonts w:hint="eastAsia" w:ascii="Times New Roman" w:hAnsi="Times New Roman" w:eastAsia="Times New Roman" w:cs="Times New Roman"/>
                <w:sz w:val="19"/>
              </w:rPr>
              <w:t>57</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28</w:t>
            </w:r>
          </w:p>
        </w:tc>
        <w:tc>
          <w:tcPr>
            <w:tcW w:w="122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19"/>
              </w:rPr>
              <w:t>44</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82</w:t>
            </w:r>
            <w:r>
              <w:rPr>
                <w:rFonts w:hint="eastAsia" w:ascii="Times New Roman" w:hAnsi="Times New Roman" w:eastAsia="Times New Roman" w:cs="Times New Roman"/>
                <w:sz w:val="18"/>
              </w:rPr>
              <w:t>%</w:t>
            </w:r>
          </w:p>
        </w:tc>
      </w:tr>
      <w:tr>
        <w:trPr>
          <w:trHeight w:val="620" w:hRule="exact"/>
        </w:trPr>
        <w:tc>
          <w:tcPr>
            <w:tcW w:w="1920" w:type="dxa"/>
            <w:tcMar>
              <w:top w:w="0" w:type="dxa"/>
              <w:left w:w="0" w:type="dxa"/>
              <w:bottom w:w="0" w:type="dxa"/>
              <w:right w:w="0" w:type="dxa"/>
            </w:tcMar>
          </w:tcPr>
          <w:p>
            <w:pPr>
              <w:spacing w:before="200"/>
              <w:ind w:left="740"/>
            </w:pPr>
            <w:r>
              <w:rPr>
                <w:rFonts w:hint="eastAsia" w:ascii="宋体" w:hAnsi="宋体" w:eastAsia="宋体" w:cs="宋体"/>
                <w:b/>
                <w:sz w:val="19"/>
              </w:rPr>
              <w:t>合计</w:t>
            </w:r>
          </w:p>
        </w:tc>
        <w:tc>
          <w:tcPr>
            <w:tcW w:w="1220" w:type="dxa"/>
            <w:tcMar>
              <w:top w:w="0" w:type="dxa"/>
              <w:left w:w="0" w:type="dxa"/>
              <w:bottom w:w="0" w:type="dxa"/>
              <w:right w:w="0" w:type="dxa"/>
            </w:tcMar>
          </w:tcPr>
          <w:p>
            <w:pPr>
              <w:spacing w:before="240"/>
              <w:ind w:left="560"/>
            </w:pPr>
            <w:r>
              <w:rPr>
                <w:rFonts w:hint="eastAsia" w:ascii="Times New Roman Bold" w:hAnsi="Times New Roman Bold" w:eastAsia="Times New Roman Bold" w:cs="Times New Roman Bold"/>
                <w:b/>
                <w:sz w:val="19"/>
              </w:rPr>
              <w:t>254</w:t>
            </w:r>
            <w:r>
              <w:rPr>
                <w:rFonts w:hint="eastAsia" w:ascii="Times New Roman Bold" w:hAnsi="Times New Roman Bold" w:eastAsia="Times New Roman Bold" w:cs="Times New Roman Bold"/>
                <w:b/>
                <w:sz w:val="18"/>
              </w:rPr>
              <w:t>.</w:t>
            </w:r>
            <w:r>
              <w:rPr>
                <w:rFonts w:hint="eastAsia" w:ascii="Times New Roman Bold" w:hAnsi="Times New Roman Bold" w:eastAsia="Times New Roman Bold" w:cs="Times New Roman Bold"/>
                <w:b/>
                <w:sz w:val="19"/>
              </w:rPr>
              <w:t>17</w:t>
            </w:r>
          </w:p>
        </w:tc>
        <w:tc>
          <w:tcPr>
            <w:tcW w:w="1240" w:type="dxa"/>
            <w:tcMar>
              <w:top w:w="0" w:type="dxa"/>
              <w:left w:w="0" w:type="dxa"/>
              <w:bottom w:w="0" w:type="dxa"/>
              <w:right w:w="0" w:type="dxa"/>
            </w:tcMar>
          </w:tcPr>
          <w:p>
            <w:pPr>
              <w:spacing w:before="240"/>
              <w:ind w:left="360"/>
            </w:pPr>
            <w:r>
              <w:rPr>
                <w:rFonts w:hint="eastAsia" w:ascii="Times New Roman Bold" w:hAnsi="Times New Roman Bold" w:eastAsia="Times New Roman Bold" w:cs="Times New Roman Bold"/>
                <w:b/>
                <w:sz w:val="19"/>
              </w:rPr>
              <w:t>100</w:t>
            </w:r>
            <w:r>
              <w:rPr>
                <w:rFonts w:hint="eastAsia" w:ascii="Times New Roman Bold" w:hAnsi="Times New Roman Bold" w:eastAsia="Times New Roman Bold" w:cs="Times New Roman Bold"/>
                <w:b/>
                <w:sz w:val="18"/>
              </w:rPr>
              <w:t>.</w:t>
            </w:r>
            <w:r>
              <w:rPr>
                <w:rFonts w:hint="eastAsia" w:ascii="Times New Roman Bold" w:hAnsi="Times New Roman Bold" w:eastAsia="Times New Roman Bold" w:cs="Times New Roman Bold"/>
                <w:b/>
                <w:sz w:val="19"/>
              </w:rPr>
              <w:t>00</w:t>
            </w:r>
            <w:r>
              <w:rPr>
                <w:rFonts w:hint="eastAsia" w:ascii="Times New Roman Bold" w:hAnsi="Times New Roman Bold" w:eastAsia="Times New Roman Bold" w:cs="Times New Roman Bold"/>
                <w:b/>
                <w:sz w:val="18"/>
              </w:rPr>
              <w:t>%</w:t>
            </w:r>
          </w:p>
        </w:tc>
        <w:tc>
          <w:tcPr>
            <w:tcW w:w="1220" w:type="dxa"/>
            <w:tcMar>
              <w:top w:w="0" w:type="dxa"/>
              <w:left w:w="0" w:type="dxa"/>
              <w:bottom w:w="0" w:type="dxa"/>
              <w:right w:w="0" w:type="dxa"/>
            </w:tcMar>
          </w:tcPr>
          <w:p>
            <w:pPr>
              <w:spacing w:before="240"/>
              <w:ind w:left="540"/>
            </w:pPr>
            <w:r>
              <w:rPr>
                <w:rFonts w:hint="eastAsia" w:ascii="Times New Roman Bold" w:hAnsi="Times New Roman Bold" w:eastAsia="Times New Roman Bold" w:cs="Times New Roman Bold"/>
                <w:b/>
                <w:sz w:val="19"/>
              </w:rPr>
              <w:t>179</w:t>
            </w:r>
            <w:r>
              <w:rPr>
                <w:rFonts w:hint="eastAsia" w:ascii="Times New Roman Bold" w:hAnsi="Times New Roman Bold" w:eastAsia="Times New Roman Bold" w:cs="Times New Roman Bold"/>
                <w:b/>
                <w:sz w:val="18"/>
              </w:rPr>
              <w:t>.</w:t>
            </w:r>
            <w:r>
              <w:rPr>
                <w:rFonts w:hint="eastAsia" w:ascii="Times New Roman Bold" w:hAnsi="Times New Roman Bold" w:eastAsia="Times New Roman Bold" w:cs="Times New Roman Bold"/>
                <w:b/>
                <w:sz w:val="19"/>
              </w:rPr>
              <w:t>19</w:t>
            </w:r>
          </w:p>
        </w:tc>
        <w:tc>
          <w:tcPr>
            <w:tcW w:w="1220" w:type="dxa"/>
            <w:tcMar>
              <w:top w:w="0" w:type="dxa"/>
              <w:left w:w="0" w:type="dxa"/>
              <w:bottom w:w="0" w:type="dxa"/>
              <w:right w:w="0" w:type="dxa"/>
            </w:tcMar>
          </w:tcPr>
          <w:p>
            <w:pPr>
              <w:spacing w:before="240"/>
              <w:ind w:left="340"/>
            </w:pPr>
            <w:r>
              <w:rPr>
                <w:rFonts w:hint="eastAsia" w:ascii="Times New Roman Bold" w:hAnsi="Times New Roman Bold" w:eastAsia="Times New Roman Bold" w:cs="Times New Roman Bold"/>
                <w:b/>
                <w:sz w:val="19"/>
              </w:rPr>
              <w:t>100</w:t>
            </w:r>
            <w:r>
              <w:rPr>
                <w:rFonts w:hint="eastAsia" w:ascii="Times New Roman Bold" w:hAnsi="Times New Roman Bold" w:eastAsia="Times New Roman Bold" w:cs="Times New Roman Bold"/>
                <w:b/>
                <w:sz w:val="18"/>
              </w:rPr>
              <w:t>.</w:t>
            </w:r>
            <w:r>
              <w:rPr>
                <w:rFonts w:hint="eastAsia" w:ascii="Times New Roman Bold" w:hAnsi="Times New Roman Bold" w:eastAsia="Times New Roman Bold" w:cs="Times New Roman Bold"/>
                <w:b/>
                <w:sz w:val="19"/>
              </w:rPr>
              <w:t>00</w:t>
            </w:r>
            <w:r>
              <w:rPr>
                <w:rFonts w:hint="eastAsia" w:ascii="Times New Roman Bold" w:hAnsi="Times New Roman Bold" w:eastAsia="Times New Roman Bold" w:cs="Times New Roman Bold"/>
                <w:b/>
                <w:sz w:val="18"/>
              </w:rPr>
              <w:t>%</w:t>
            </w:r>
          </w:p>
        </w:tc>
        <w:tc>
          <w:tcPr>
            <w:tcW w:w="1220" w:type="dxa"/>
            <w:tcMar>
              <w:top w:w="0" w:type="dxa"/>
              <w:left w:w="0" w:type="dxa"/>
              <w:bottom w:w="0" w:type="dxa"/>
              <w:right w:w="0" w:type="dxa"/>
            </w:tcMar>
          </w:tcPr>
          <w:p>
            <w:pPr>
              <w:spacing w:before="240"/>
              <w:ind w:left="560"/>
            </w:pPr>
            <w:r>
              <w:rPr>
                <w:rFonts w:hint="eastAsia" w:ascii="Times New Roman Bold" w:hAnsi="Times New Roman Bold" w:eastAsia="Times New Roman Bold" w:cs="Times New Roman Bold"/>
                <w:b/>
                <w:sz w:val="19"/>
              </w:rPr>
              <w:t>127</w:t>
            </w:r>
            <w:r>
              <w:rPr>
                <w:rFonts w:hint="eastAsia" w:ascii="Times New Roman Bold" w:hAnsi="Times New Roman Bold" w:eastAsia="Times New Roman Bold" w:cs="Times New Roman Bold"/>
                <w:b/>
                <w:sz w:val="18"/>
              </w:rPr>
              <w:t>.</w:t>
            </w:r>
            <w:r>
              <w:rPr>
                <w:rFonts w:hint="eastAsia" w:ascii="Times New Roman Bold" w:hAnsi="Times New Roman Bold" w:eastAsia="Times New Roman Bold" w:cs="Times New Roman Bold"/>
                <w:b/>
                <w:sz w:val="19"/>
              </w:rPr>
              <w:t>80</w:t>
            </w:r>
          </w:p>
        </w:tc>
        <w:tc>
          <w:tcPr>
            <w:tcW w:w="1220" w:type="dxa"/>
            <w:tcMar>
              <w:top w:w="0" w:type="dxa"/>
              <w:left w:w="0" w:type="dxa"/>
              <w:bottom w:w="0" w:type="dxa"/>
              <w:right w:w="0" w:type="dxa"/>
            </w:tcMar>
          </w:tcPr>
          <w:p>
            <w:pPr>
              <w:spacing w:before="240"/>
              <w:ind w:left="360"/>
            </w:pPr>
            <w:r>
              <w:rPr>
                <w:rFonts w:hint="eastAsia" w:ascii="Times New Roman Bold" w:hAnsi="Times New Roman Bold" w:eastAsia="Times New Roman Bold" w:cs="Times New Roman Bold"/>
                <w:b/>
                <w:sz w:val="19"/>
              </w:rPr>
              <w:t>100</w:t>
            </w:r>
            <w:r>
              <w:rPr>
                <w:rFonts w:hint="eastAsia" w:ascii="Times New Roman Bold" w:hAnsi="Times New Roman Bold" w:eastAsia="Times New Roman Bold" w:cs="Times New Roman Bold"/>
                <w:b/>
                <w:sz w:val="18"/>
              </w:rPr>
              <w:t>.</w:t>
            </w:r>
            <w:r>
              <w:rPr>
                <w:rFonts w:hint="eastAsia" w:ascii="Times New Roman Bold" w:hAnsi="Times New Roman Bold" w:eastAsia="Times New Roman Bold" w:cs="Times New Roman Bold"/>
                <w:b/>
                <w:sz w:val="19"/>
              </w:rPr>
              <w:t>00</w:t>
            </w:r>
            <w:r>
              <w:rPr>
                <w:rFonts w:hint="eastAsia" w:ascii="Times New Roman Bold" w:hAnsi="Times New Roman Bold" w:eastAsia="Times New Roman Bold" w:cs="Times New Roman Bold"/>
                <w:b/>
                <w:sz w:val="18"/>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00" w:firstLine="480"/>
        <w:jc w:val="both"/>
      </w:pPr>
      <w:r>
        <w:rPr>
          <w:rFonts w:hint="eastAsia" w:ascii="宋体" w:hAnsi="宋体" w:eastAsia="宋体" w:cs="宋体"/>
          <w:sz w:val="24"/>
        </w:rPr>
        <w:t>报告期各期内</w:t>
      </w:r>
      <w:r>
        <w:rPr>
          <w:rFonts w:hint="eastAsia" w:ascii="宋体" w:hAnsi="宋体" w:eastAsia="宋体" w:cs="宋体"/>
          <w:sz w:val="10"/>
        </w:rPr>
        <w:t>，</w:t>
      </w:r>
      <w:r>
        <w:rPr>
          <w:rFonts w:hint="eastAsia" w:ascii="宋体" w:hAnsi="宋体" w:eastAsia="宋体" w:cs="宋体"/>
          <w:sz w:val="24"/>
        </w:rPr>
        <w:t>软件运维服务的成本规模总体较小</w:t>
      </w:r>
      <w:r>
        <w:rPr>
          <w:rFonts w:hint="eastAsia" w:ascii="宋体" w:hAnsi="宋体" w:eastAsia="宋体" w:cs="宋体"/>
          <w:sz w:val="10"/>
        </w:rPr>
        <w:t>，</w:t>
      </w:r>
      <w:r>
        <w:rPr>
          <w:rFonts w:hint="eastAsia" w:ascii="宋体" w:hAnsi="宋体" w:eastAsia="宋体" w:cs="宋体"/>
          <w:sz w:val="24"/>
        </w:rPr>
        <w:t>主要为人工费</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年软件运维服务的成本中</w:t>
      </w:r>
      <w:r>
        <w:rPr>
          <w:rFonts w:hint="eastAsia" w:ascii="宋体" w:hAnsi="宋体" w:eastAsia="宋体" w:cs="宋体"/>
          <w:sz w:val="10"/>
        </w:rPr>
        <w:t>，</w:t>
      </w:r>
      <w:r>
        <w:rPr>
          <w:rFonts w:hint="eastAsia" w:ascii="宋体" w:hAnsi="宋体" w:eastAsia="宋体" w:cs="宋体"/>
          <w:sz w:val="24"/>
        </w:rPr>
        <w:t>外购软件及其他占比较高的原因系根据客户需求为其采购</w:t>
      </w:r>
      <w:r>
        <w:rPr>
          <w:rFonts w:hint="eastAsia" w:ascii="Times New Roman" w:hAnsi="Times New Roman" w:eastAsia="Times New Roman" w:cs="Times New Roman"/>
          <w:sz w:val="24"/>
        </w:rPr>
        <w:t xml:space="preserve"> Oracle</w:t>
      </w:r>
      <w:r>
        <w:rPr>
          <w:rFonts w:hint="eastAsia" w:ascii="宋体" w:hAnsi="宋体" w:eastAsia="宋体" w:cs="宋体"/>
          <w:sz w:val="24"/>
        </w:rPr>
        <w:t>原厂服务的金额较大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）系统集成业务的成本构成</w:t>
      </w:r>
    </w:p>
    <w:p>
      <w:pPr>
        <w:spacing w:line="200" w:lineRule="exact"/>
        <w:rPr>
          <w:rFonts w:hint="eastAsia" w:ascii="宋体" w:hAnsi="宋体" w:eastAsia="宋体" w:cs="宋体"/>
          <w:sz w:val="20"/>
        </w:rPr>
      </w:pPr>
    </w:p>
    <w:p>
      <w:pPr>
        <w:autoSpaceDE w:val="false"/>
        <w:autoSpaceDN w:val="false"/>
        <w:spacing w:line="34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660"/>
        <w:gridCol w:w="1260"/>
        <w:gridCol w:w="1280"/>
        <w:gridCol w:w="1260"/>
        <w:gridCol w:w="1260"/>
        <w:gridCol w:w="1280"/>
        <w:gridCol w:w="1260"/>
      </w:tblGrid>
      <w:tr>
        <w:trPr>
          <w:trHeight w:val="620" w:hRule="exact"/>
        </w:trPr>
        <w:tc>
          <w:tcPr>
            <w:tcW w:w="1660" w:type="dxa"/>
            <w:vMerge w:val="restart"/>
            <w:tcMar>
              <w:top w:w="0" w:type="dxa"/>
              <w:left w:w="0" w:type="dxa"/>
              <w:bottom w:w="0" w:type="dxa"/>
              <w:right w:w="0" w:type="dxa"/>
            </w:tcMar>
          </w:tcPr>
          <w:p>
            <w:pPr>
              <w:spacing w:before="520"/>
              <w:ind w:left="600"/>
            </w:pPr>
            <w:r>
              <w:rPr>
                <w:rFonts w:hint="eastAsia" w:ascii="宋体" w:hAnsi="宋体" w:eastAsia="宋体" w:cs="宋体"/>
                <w:b/>
                <w:sz w:val="21"/>
              </w:rPr>
              <w:t>项目</w:t>
            </w:r>
          </w:p>
        </w:tc>
        <w:tc>
          <w:tcPr>
            <w:tcW w:w="2540" w:type="dxa"/>
            <w:gridSpan w:val="2"/>
            <w:tcMar>
              <w:top w:w="0" w:type="dxa"/>
              <w:left w:w="0" w:type="dxa"/>
              <w:bottom w:w="0" w:type="dxa"/>
              <w:right w:w="0" w:type="dxa"/>
            </w:tcMar>
          </w:tcPr>
          <w:p>
            <w:pPr>
              <w:spacing w:before="180"/>
              <w:ind w:left="80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520" w:type="dxa"/>
            <w:gridSpan w:val="2"/>
            <w:tcMar>
              <w:top w:w="0" w:type="dxa"/>
              <w:left w:w="0" w:type="dxa"/>
              <w:bottom w:w="0" w:type="dxa"/>
              <w:right w:w="0" w:type="dxa"/>
            </w:tcMar>
          </w:tcPr>
          <w:p>
            <w:pPr>
              <w:spacing w:before="180"/>
              <w:ind w:left="80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540" w:type="dxa"/>
            <w:gridSpan w:val="2"/>
            <w:tcMar>
              <w:top w:w="0" w:type="dxa"/>
              <w:left w:w="0" w:type="dxa"/>
              <w:bottom w:w="0" w:type="dxa"/>
              <w:right w:w="0" w:type="dxa"/>
            </w:tcMar>
          </w:tcPr>
          <w:p>
            <w:pPr>
              <w:spacing w:before="180"/>
              <w:ind w:left="82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40" w:hRule="exact"/>
        </w:trPr>
        <w:tc>
          <w:tcPr>
            <w:tcW w:w="1660" w:type="dxa"/>
            <w:vMerge w:val="continue"/>
            <w:tcMar>
              <w:top w:w="0" w:type="dxa"/>
              <w:left w:w="0" w:type="dxa"/>
              <w:bottom w:w="0" w:type="dxa"/>
              <w:right w:w="0" w:type="dxa"/>
            </w:tcMar>
          </w:tcPr>
          <w:p/>
        </w:tc>
        <w:tc>
          <w:tcPr>
            <w:tcW w:w="1260" w:type="dxa"/>
            <w:tcMar>
              <w:top w:w="0" w:type="dxa"/>
              <w:left w:w="0" w:type="dxa"/>
              <w:bottom w:w="0" w:type="dxa"/>
              <w:right w:w="0" w:type="dxa"/>
            </w:tcMar>
          </w:tcPr>
          <w:p>
            <w:pPr>
              <w:spacing w:before="200"/>
              <w:ind w:left="400"/>
            </w:pPr>
            <w:r>
              <w:rPr>
                <w:rFonts w:hint="eastAsia" w:ascii="宋体" w:hAnsi="宋体" w:eastAsia="宋体" w:cs="宋体"/>
                <w:b/>
                <w:sz w:val="21"/>
              </w:rPr>
              <w:t>金额</w:t>
            </w:r>
          </w:p>
        </w:tc>
        <w:tc>
          <w:tcPr>
            <w:tcW w:w="1280" w:type="dxa"/>
            <w:tcMar>
              <w:top w:w="0" w:type="dxa"/>
              <w:left w:w="0" w:type="dxa"/>
              <w:bottom w:w="0" w:type="dxa"/>
              <w:right w:w="0" w:type="dxa"/>
            </w:tcMar>
          </w:tcPr>
          <w:p>
            <w:pPr>
              <w:spacing w:before="200"/>
              <w:ind w:left="420"/>
            </w:pPr>
            <w:r>
              <w:rPr>
                <w:rFonts w:hint="eastAsia" w:ascii="宋体" w:hAnsi="宋体" w:eastAsia="宋体" w:cs="宋体"/>
                <w:b/>
                <w:sz w:val="21"/>
              </w:rPr>
              <w:t>比例</w:t>
            </w:r>
          </w:p>
        </w:tc>
        <w:tc>
          <w:tcPr>
            <w:tcW w:w="1260" w:type="dxa"/>
            <w:tcMar>
              <w:top w:w="0" w:type="dxa"/>
              <w:left w:w="0" w:type="dxa"/>
              <w:bottom w:w="0" w:type="dxa"/>
              <w:right w:w="0" w:type="dxa"/>
            </w:tcMar>
          </w:tcPr>
          <w:p>
            <w:pPr>
              <w:spacing w:before="200"/>
              <w:ind w:left="400"/>
            </w:pPr>
            <w:r>
              <w:rPr>
                <w:rFonts w:hint="eastAsia" w:ascii="宋体" w:hAnsi="宋体" w:eastAsia="宋体" w:cs="宋体"/>
                <w:b/>
                <w:sz w:val="21"/>
              </w:rPr>
              <w:t>金额</w:t>
            </w:r>
          </w:p>
        </w:tc>
        <w:tc>
          <w:tcPr>
            <w:tcW w:w="1260" w:type="dxa"/>
            <w:tcMar>
              <w:top w:w="0" w:type="dxa"/>
              <w:left w:w="0" w:type="dxa"/>
              <w:bottom w:w="0" w:type="dxa"/>
              <w:right w:w="0" w:type="dxa"/>
            </w:tcMar>
          </w:tcPr>
          <w:p>
            <w:pPr>
              <w:spacing w:before="200"/>
              <w:ind w:left="400"/>
            </w:pPr>
            <w:r>
              <w:rPr>
                <w:rFonts w:hint="eastAsia" w:ascii="宋体" w:hAnsi="宋体" w:eastAsia="宋体" w:cs="宋体"/>
                <w:b/>
                <w:sz w:val="21"/>
              </w:rPr>
              <w:t>比例</w:t>
            </w:r>
          </w:p>
        </w:tc>
        <w:tc>
          <w:tcPr>
            <w:tcW w:w="1280" w:type="dxa"/>
            <w:tcMar>
              <w:top w:w="0" w:type="dxa"/>
              <w:left w:w="0" w:type="dxa"/>
              <w:bottom w:w="0" w:type="dxa"/>
              <w:right w:w="0" w:type="dxa"/>
            </w:tcMar>
          </w:tcPr>
          <w:p>
            <w:pPr>
              <w:spacing w:before="200"/>
              <w:ind w:left="420"/>
            </w:pPr>
            <w:r>
              <w:rPr>
                <w:rFonts w:hint="eastAsia" w:ascii="宋体" w:hAnsi="宋体" w:eastAsia="宋体" w:cs="宋体"/>
                <w:b/>
                <w:sz w:val="21"/>
              </w:rPr>
              <w:t>金额</w:t>
            </w:r>
          </w:p>
        </w:tc>
        <w:tc>
          <w:tcPr>
            <w:tcW w:w="1260" w:type="dxa"/>
            <w:tcMar>
              <w:top w:w="0" w:type="dxa"/>
              <w:left w:w="0" w:type="dxa"/>
              <w:bottom w:w="0" w:type="dxa"/>
              <w:right w:w="0" w:type="dxa"/>
            </w:tcMar>
          </w:tcPr>
          <w:p>
            <w:pPr>
              <w:spacing w:before="200"/>
              <w:ind w:left="400"/>
            </w:pPr>
            <w:r>
              <w:rPr>
                <w:rFonts w:hint="eastAsia" w:ascii="宋体" w:hAnsi="宋体" w:eastAsia="宋体" w:cs="宋体"/>
                <w:b/>
                <w:sz w:val="21"/>
              </w:rPr>
              <w:t>比例</w:t>
            </w:r>
          </w:p>
        </w:tc>
      </w:tr>
      <w:tr>
        <w:trPr>
          <w:trHeight w:val="940" w:hRule="exact"/>
        </w:trPr>
        <w:tc>
          <w:tcPr>
            <w:tcW w:w="1660" w:type="dxa"/>
            <w:tcMar>
              <w:top w:w="0" w:type="dxa"/>
              <w:left w:w="0" w:type="dxa"/>
              <w:bottom w:w="0" w:type="dxa"/>
              <w:right w:w="0" w:type="dxa"/>
            </w:tcMar>
          </w:tcPr>
          <w:p>
            <w:pPr>
              <w:spacing w:before="200"/>
              <w:ind w:left="100"/>
            </w:pPr>
            <w:r>
              <w:rPr>
                <w:rFonts w:hint="eastAsia" w:ascii="宋体" w:hAnsi="宋体" w:eastAsia="宋体" w:cs="宋体"/>
                <w:sz w:val="21"/>
              </w:rPr>
              <w:t>外购软硬件及</w:t>
            </w:r>
          </w:p>
          <w:p>
            <w:pPr>
              <w:spacing w:before="100"/>
              <w:ind w:left="100"/>
            </w:pPr>
            <w:r>
              <w:rPr>
                <w:rFonts w:hint="eastAsia" w:ascii="宋体" w:hAnsi="宋体" w:eastAsia="宋体" w:cs="宋体"/>
                <w:sz w:val="21"/>
              </w:rPr>
              <w:t>其他</w:t>
            </w:r>
          </w:p>
        </w:tc>
        <w:tc>
          <w:tcPr>
            <w:tcW w:w="1260" w:type="dxa"/>
            <w:tcMar>
              <w:top w:w="0" w:type="dxa"/>
              <w:left w:w="0" w:type="dxa"/>
              <w:bottom w:w="0" w:type="dxa"/>
              <w:right w:w="0" w:type="dxa"/>
            </w:tcMar>
          </w:tcPr>
          <w:p>
            <w:pPr>
              <w:spacing w:before="400"/>
              <w:ind w:left="560"/>
            </w:pPr>
            <w:r>
              <w:rPr>
                <w:rFonts w:hint="eastAsia" w:ascii="Times New Roman" w:hAnsi="Times New Roman" w:eastAsia="Times New Roman" w:cs="Times New Roman"/>
                <w:sz w:val="21"/>
              </w:rPr>
              <w:t>570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c>
          <w:tcPr>
            <w:tcW w:w="1280" w:type="dxa"/>
            <w:tcMar>
              <w:top w:w="0" w:type="dxa"/>
              <w:left w:w="0" w:type="dxa"/>
              <w:bottom w:w="0" w:type="dxa"/>
              <w:right w:w="0" w:type="dxa"/>
            </w:tcMar>
          </w:tcPr>
          <w:p>
            <w:pPr>
              <w:spacing w:before="380"/>
              <w:ind w:left="40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260" w:type="dxa"/>
            <w:tcMar>
              <w:top w:w="0" w:type="dxa"/>
              <w:left w:w="0" w:type="dxa"/>
              <w:bottom w:w="0" w:type="dxa"/>
              <w:right w:w="0" w:type="dxa"/>
            </w:tcMar>
          </w:tcPr>
          <w:p>
            <w:pPr>
              <w:spacing w:before="400"/>
              <w:ind w:left="4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1260" w:type="dxa"/>
            <w:tcMar>
              <w:top w:w="0" w:type="dxa"/>
              <w:left w:w="0" w:type="dxa"/>
              <w:bottom w:w="0" w:type="dxa"/>
              <w:right w:w="0" w:type="dxa"/>
            </w:tcMar>
          </w:tcPr>
          <w:p>
            <w:pPr>
              <w:spacing w:before="380"/>
              <w:ind w:left="40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280" w:type="dxa"/>
            <w:tcMar>
              <w:top w:w="0" w:type="dxa"/>
              <w:left w:w="0" w:type="dxa"/>
              <w:bottom w:w="0" w:type="dxa"/>
              <w:right w:w="0" w:type="dxa"/>
            </w:tcMar>
          </w:tcPr>
          <w:p>
            <w:pPr>
              <w:spacing w:before="400"/>
              <w:ind w:left="580"/>
            </w:pPr>
            <w:r>
              <w:rPr>
                <w:rFonts w:hint="eastAsia" w:ascii="Times New Roman" w:hAnsi="Times New Roman" w:eastAsia="Times New Roman" w:cs="Times New Roman"/>
                <w:sz w:val="21"/>
              </w:rPr>
              <w:t>785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1260" w:type="dxa"/>
            <w:tcMar>
              <w:top w:w="0" w:type="dxa"/>
              <w:left w:w="0" w:type="dxa"/>
              <w:bottom w:w="0" w:type="dxa"/>
              <w:right w:w="0" w:type="dxa"/>
            </w:tcMar>
          </w:tcPr>
          <w:p>
            <w:pPr>
              <w:spacing w:before="380"/>
              <w:ind w:left="38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r>
      <w:tr>
        <w:trPr>
          <w:trHeight w:val="640" w:hRule="exact"/>
        </w:trPr>
        <w:tc>
          <w:tcPr>
            <w:tcW w:w="1660" w:type="dxa"/>
            <w:tcMar>
              <w:top w:w="0" w:type="dxa"/>
              <w:left w:w="0" w:type="dxa"/>
              <w:bottom w:w="0" w:type="dxa"/>
              <w:right w:w="0" w:type="dxa"/>
            </w:tcMar>
          </w:tcPr>
          <w:p>
            <w:pPr>
              <w:spacing w:before="200"/>
              <w:ind w:left="600"/>
            </w:pPr>
            <w:r>
              <w:rPr>
                <w:rFonts w:hint="eastAsia" w:ascii="宋体" w:hAnsi="宋体" w:eastAsia="宋体" w:cs="宋体"/>
                <w:b/>
                <w:sz w:val="21"/>
              </w:rPr>
              <w:t>合计</w:t>
            </w:r>
          </w:p>
        </w:tc>
        <w:tc>
          <w:tcPr>
            <w:tcW w:w="1260" w:type="dxa"/>
            <w:tcMar>
              <w:top w:w="0" w:type="dxa"/>
              <w:left w:w="0" w:type="dxa"/>
              <w:bottom w:w="0" w:type="dxa"/>
              <w:right w:w="0" w:type="dxa"/>
            </w:tcMar>
          </w:tcPr>
          <w:p>
            <w:pPr>
              <w:spacing w:before="260"/>
              <w:ind w:left="560"/>
            </w:pPr>
            <w:r>
              <w:rPr>
                <w:rFonts w:hint="eastAsia" w:ascii="Times New Roman Bold" w:hAnsi="Times New Roman Bold" w:eastAsia="Times New Roman Bold" w:cs="Times New Roman Bold"/>
                <w:b/>
                <w:sz w:val="21"/>
              </w:rPr>
              <w:t>570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15</w:t>
            </w:r>
          </w:p>
        </w:tc>
        <w:tc>
          <w:tcPr>
            <w:tcW w:w="1280" w:type="dxa"/>
            <w:tcMar>
              <w:top w:w="0" w:type="dxa"/>
              <w:left w:w="0" w:type="dxa"/>
              <w:bottom w:w="0" w:type="dxa"/>
              <w:right w:w="0" w:type="dxa"/>
            </w:tcMar>
          </w:tcPr>
          <w:p>
            <w:pPr>
              <w:spacing w:before="260"/>
              <w:ind w:left="3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260" w:type="dxa"/>
            <w:tcMar>
              <w:top w:w="0" w:type="dxa"/>
              <w:left w:w="0" w:type="dxa"/>
              <w:bottom w:w="0" w:type="dxa"/>
              <w:right w:w="0" w:type="dxa"/>
            </w:tcMar>
          </w:tcPr>
          <w:p>
            <w:pPr>
              <w:spacing w:before="260"/>
              <w:ind w:left="400"/>
            </w:pPr>
            <w:r>
              <w:rPr>
                <w:rFonts w:hint="eastAsia" w:ascii="Times New Roman Bold" w:hAnsi="Times New Roman Bold" w:eastAsia="Times New Roman Bold" w:cs="Times New Roman Bold"/>
                <w:b/>
                <w:sz w:val="21"/>
              </w:rPr>
              <w:t>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91</w:t>
            </w:r>
          </w:p>
        </w:tc>
        <w:tc>
          <w:tcPr>
            <w:tcW w:w="1260" w:type="dxa"/>
            <w:tcMar>
              <w:top w:w="0" w:type="dxa"/>
              <w:left w:w="0" w:type="dxa"/>
              <w:bottom w:w="0" w:type="dxa"/>
              <w:right w:w="0" w:type="dxa"/>
            </w:tcMar>
          </w:tcPr>
          <w:p>
            <w:pPr>
              <w:spacing w:before="260"/>
              <w:ind w:left="3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280" w:type="dxa"/>
            <w:tcMar>
              <w:top w:w="0" w:type="dxa"/>
              <w:left w:w="0" w:type="dxa"/>
              <w:bottom w:w="0" w:type="dxa"/>
              <w:right w:w="0" w:type="dxa"/>
            </w:tcMar>
          </w:tcPr>
          <w:p>
            <w:pPr>
              <w:spacing w:before="260"/>
              <w:ind w:left="580"/>
            </w:pPr>
            <w:r>
              <w:rPr>
                <w:rFonts w:hint="eastAsia" w:ascii="Times New Roman Bold" w:hAnsi="Times New Roman Bold" w:eastAsia="Times New Roman Bold" w:cs="Times New Roman Bold"/>
                <w:b/>
                <w:sz w:val="21"/>
              </w:rPr>
              <w:t>785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w:t>
            </w:r>
          </w:p>
        </w:tc>
        <w:tc>
          <w:tcPr>
            <w:tcW w:w="1260" w:type="dxa"/>
            <w:tcMar>
              <w:top w:w="0" w:type="dxa"/>
              <w:left w:w="0" w:type="dxa"/>
              <w:bottom w:w="0" w:type="dxa"/>
              <w:right w:w="0" w:type="dxa"/>
            </w:tcMar>
          </w:tcPr>
          <w:p>
            <w:pPr>
              <w:spacing w:before="260"/>
              <w:ind w:left="3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系统集成业务系根据用户需要将整个系统中的外购软件</w:t>
      </w:r>
      <w:r>
        <w:rPr>
          <w:rFonts w:hint="eastAsia" w:ascii="宋体" w:hAnsi="宋体" w:eastAsia="宋体" w:cs="宋体"/>
          <w:sz w:val="10"/>
        </w:rPr>
        <w:t>、</w:t>
      </w:r>
      <w:r>
        <w:rPr>
          <w:rFonts w:hint="eastAsia" w:ascii="宋体" w:hAnsi="宋体" w:eastAsia="宋体" w:cs="宋体"/>
          <w:sz w:val="24"/>
        </w:rPr>
        <w:t>硬件按照合理的方式进行集成的业务</w:t>
      </w:r>
      <w:r>
        <w:rPr>
          <w:rFonts w:hint="eastAsia" w:ascii="宋体" w:hAnsi="宋体" w:eastAsia="宋体" w:cs="宋体"/>
          <w:sz w:val="10"/>
        </w:rPr>
        <w:t>，</w:t>
      </w:r>
      <w:r>
        <w:rPr>
          <w:rFonts w:hint="eastAsia" w:ascii="宋体" w:hAnsi="宋体" w:eastAsia="宋体" w:cs="宋体"/>
          <w:sz w:val="24"/>
        </w:rPr>
        <w:t>其各期内订单金额的变化主要取决于客户的配套需求</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1-1-277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440" w:right="1200"/>
        <w:jc w:val="both"/>
      </w:pPr>
      <w:r>
        <w:rPr>
          <w:rFonts w:hint="eastAsia" w:ascii="宋体" w:hAnsi="宋体" w:eastAsia="宋体" w:cs="宋体"/>
          <w:sz w:val="24"/>
        </w:rPr>
        <w:t>事系统集成业务的人员均为公司</w:t>
      </w:r>
      <w:r>
        <w:rPr>
          <w:rFonts w:hint="eastAsia" w:ascii="Times New Roman" w:hAnsi="Times New Roman" w:eastAsia="Times New Roman" w:cs="Times New Roman"/>
          <w:sz w:val="24"/>
        </w:rPr>
        <w:t xml:space="preserve"> IT </w:t>
      </w:r>
      <w:r>
        <w:rPr>
          <w:rFonts w:hint="eastAsia" w:ascii="宋体" w:hAnsi="宋体" w:eastAsia="宋体" w:cs="宋体"/>
          <w:sz w:val="24"/>
        </w:rPr>
        <w:t>部门管理人员</w:t>
      </w:r>
      <w:r>
        <w:rPr>
          <w:rFonts w:hint="eastAsia" w:ascii="宋体" w:hAnsi="宋体" w:eastAsia="宋体" w:cs="宋体"/>
          <w:sz w:val="10"/>
        </w:rPr>
        <w:t>，</w:t>
      </w:r>
      <w:r>
        <w:rPr>
          <w:rFonts w:hint="eastAsia" w:ascii="宋体" w:hAnsi="宋体" w:eastAsia="宋体" w:cs="宋体"/>
          <w:sz w:val="24"/>
        </w:rPr>
        <w:t>无专职从事该业务的员工</w:t>
      </w:r>
      <w:r>
        <w:rPr>
          <w:rFonts w:hint="eastAsia" w:ascii="宋体" w:hAnsi="宋体" w:eastAsia="宋体" w:cs="宋体"/>
          <w:sz w:val="10"/>
        </w:rPr>
        <w:t>，</w:t>
      </w:r>
      <w:r>
        <w:rPr>
          <w:rFonts w:hint="eastAsia" w:ascii="宋体" w:hAnsi="宋体" w:eastAsia="宋体" w:cs="宋体"/>
          <w:sz w:val="24"/>
        </w:rPr>
        <w:t>涉及的人工成本金额较小</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1-4</w:t>
      </w:r>
      <w:r>
        <w:rPr>
          <w:rFonts w:hint="eastAsia" w:ascii="宋体" w:hAnsi="宋体" w:eastAsia="宋体" w:cs="宋体"/>
          <w:sz w:val="24"/>
        </w:rPr>
        <w:t xml:space="preserve"> 月兼职从事相关业务的人员为</w:t>
      </w:r>
      <w:r>
        <w:rPr>
          <w:rFonts w:hint="eastAsia" w:ascii="Times New Roman" w:hAnsi="Times New Roman" w:eastAsia="Times New Roman" w:cs="Times New Roman"/>
          <w:sz w:val="24"/>
        </w:rPr>
        <w:t xml:space="preserve"> 2</w:t>
      </w:r>
      <w:r>
        <w:rPr>
          <w:rFonts w:hint="eastAsia" w:ascii="宋体" w:hAnsi="宋体" w:eastAsia="宋体" w:cs="宋体"/>
          <w:sz w:val="24"/>
        </w:rPr>
        <w:t xml:space="preserve"> 人</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5-12</w:t>
      </w:r>
      <w:r>
        <w:rPr>
          <w:rFonts w:hint="eastAsia" w:ascii="宋体" w:hAnsi="宋体" w:eastAsia="宋体" w:cs="宋体"/>
          <w:sz w:val="24"/>
        </w:rPr>
        <w:t xml:space="preserve"> 月为</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人</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公司内部兼职从事系统集成业务的人工费用分别为</w:t>
      </w:r>
      <w:r>
        <w:rPr>
          <w:rFonts w:hint="eastAsia" w:ascii="Times New Roman" w:hAnsi="Times New Roman" w:eastAsia="Times New Roman" w:cs="Times New Roman"/>
          <w:sz w:val="24"/>
        </w:rPr>
        <w:t xml:space="preserve"> 258,427.24</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326,068.42</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255,920.11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发行人将相关的人工费用计入当期管理费用</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系统集成业务的成本为外购软硬件及其他的成本</w:t>
      </w:r>
      <w:r>
        <w:rPr>
          <w:rFonts w:hint="eastAsia" w:ascii="宋体" w:hAnsi="宋体" w:eastAsia="宋体" w:cs="宋体"/>
          <w:sz w:val="10"/>
        </w:rPr>
        <w:t>，</w:t>
      </w:r>
      <w:r>
        <w:rPr>
          <w:rFonts w:hint="eastAsia" w:ascii="宋体" w:hAnsi="宋体" w:eastAsia="宋体" w:cs="宋体"/>
          <w:sz w:val="24"/>
        </w:rPr>
        <w:t>具体包括服务器</w:t>
      </w:r>
      <w:r>
        <w:rPr>
          <w:rFonts w:hint="eastAsia" w:ascii="宋体" w:hAnsi="宋体" w:eastAsia="宋体" w:cs="宋体"/>
          <w:sz w:val="10"/>
        </w:rPr>
        <w:t>、</w:t>
      </w:r>
      <w:r>
        <w:rPr>
          <w:rFonts w:hint="eastAsia" w:ascii="宋体" w:hAnsi="宋体" w:eastAsia="宋体" w:cs="宋体"/>
          <w:sz w:val="24"/>
        </w:rPr>
        <w:t>存储设备</w:t>
      </w:r>
      <w:r>
        <w:rPr>
          <w:rFonts w:hint="eastAsia" w:ascii="宋体" w:hAnsi="宋体" w:eastAsia="宋体" w:cs="宋体"/>
          <w:sz w:val="10"/>
        </w:rPr>
        <w:t>、</w:t>
      </w:r>
      <w:r>
        <w:rPr>
          <w:rFonts w:hint="eastAsia" w:ascii="宋体" w:hAnsi="宋体" w:eastAsia="宋体" w:cs="宋体"/>
          <w:sz w:val="24"/>
        </w:rPr>
        <w:t>数据库等软硬件</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发行人实施了多个系统集成业务项目</w:t>
      </w:r>
      <w:r>
        <w:rPr>
          <w:rFonts w:hint="eastAsia" w:ascii="宋体" w:hAnsi="宋体" w:eastAsia="宋体" w:cs="宋体"/>
          <w:sz w:val="10"/>
        </w:rPr>
        <w:t>，</w:t>
      </w:r>
      <w:r>
        <w:rPr>
          <w:rFonts w:hint="eastAsia" w:ascii="宋体" w:hAnsi="宋体" w:eastAsia="宋体" w:cs="宋体"/>
          <w:sz w:val="24"/>
        </w:rPr>
        <w:t>营业收入及成本均较</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年增加较多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发行人产品化软件业务为向客户销售的成套软件</w:t>
      </w:r>
      <w:r>
        <w:rPr>
          <w:rFonts w:hint="eastAsia" w:ascii="宋体" w:hAnsi="宋体" w:eastAsia="宋体" w:cs="宋体"/>
          <w:sz w:val="10"/>
        </w:rPr>
        <w:t>，</w:t>
      </w:r>
      <w:r>
        <w:rPr>
          <w:rFonts w:hint="eastAsia" w:ascii="宋体" w:hAnsi="宋体" w:eastAsia="宋体" w:cs="宋体"/>
          <w:sz w:val="24"/>
        </w:rPr>
        <w:t>无对应的成本</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发行人各类成本的划分依据</w:t>
      </w:r>
      <w:r>
        <w:rPr>
          <w:rFonts w:hint="eastAsia" w:ascii="宋体" w:hAnsi="宋体" w:eastAsia="宋体" w:cs="宋体"/>
          <w:sz w:val="10"/>
        </w:rPr>
        <w:t>、</w:t>
      </w:r>
      <w:r>
        <w:rPr>
          <w:rFonts w:hint="eastAsia" w:ascii="宋体" w:hAnsi="宋体" w:eastAsia="宋体" w:cs="宋体"/>
          <w:sz w:val="24"/>
        </w:rPr>
        <w:t>客观性</w:t>
      </w:r>
      <w:r>
        <w:rPr>
          <w:rFonts w:hint="eastAsia" w:ascii="宋体" w:hAnsi="宋体" w:eastAsia="宋体" w:cs="宋体"/>
          <w:sz w:val="10"/>
        </w:rPr>
        <w:t>，</w:t>
      </w:r>
      <w:r>
        <w:rPr>
          <w:rFonts w:hint="eastAsia" w:ascii="宋体" w:hAnsi="宋体" w:eastAsia="宋体" w:cs="宋体"/>
          <w:sz w:val="24"/>
        </w:rPr>
        <w:t>以及相关内部控制的情况如下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）发行人各类成本的划分</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宋体" w:hAnsi="宋体" w:eastAsia="宋体" w:cs="宋体"/>
          <w:sz w:val="24"/>
        </w:rPr>
        <w:t>发行人各项业务在满足收入确认条件后分别确认收入并结转成本</w:t>
      </w:r>
      <w:r>
        <w:rPr>
          <w:rFonts w:hint="eastAsia" w:ascii="宋体" w:hAnsi="宋体" w:eastAsia="宋体" w:cs="宋体"/>
          <w:sz w:val="10"/>
        </w:rPr>
        <w:t>。</w:t>
      </w:r>
      <w:r>
        <w:rPr>
          <w:rFonts w:hint="eastAsia" w:ascii="宋体" w:hAnsi="宋体" w:eastAsia="宋体" w:cs="宋体"/>
          <w:sz w:val="24"/>
        </w:rPr>
        <w:t>发行人定制软件业务</w:t>
      </w:r>
      <w:r>
        <w:rPr>
          <w:rFonts w:hint="eastAsia" w:ascii="宋体" w:hAnsi="宋体" w:eastAsia="宋体" w:cs="宋体"/>
          <w:sz w:val="10"/>
        </w:rPr>
        <w:t>、</w:t>
      </w:r>
      <w:r>
        <w:rPr>
          <w:rFonts w:hint="eastAsia" w:ascii="宋体" w:hAnsi="宋体" w:eastAsia="宋体" w:cs="宋体"/>
          <w:sz w:val="24"/>
        </w:rPr>
        <w:t>系统集成业务均按照项目进行管理和财务核算</w:t>
      </w:r>
      <w:r>
        <w:rPr>
          <w:rFonts w:hint="eastAsia" w:ascii="宋体" w:hAnsi="宋体" w:eastAsia="宋体" w:cs="宋体"/>
          <w:sz w:val="10"/>
        </w:rPr>
        <w:t>，</w:t>
      </w:r>
      <w:r>
        <w:rPr>
          <w:rFonts w:hint="eastAsia" w:ascii="宋体" w:hAnsi="宋体" w:eastAsia="宋体" w:cs="宋体"/>
          <w:sz w:val="24"/>
        </w:rPr>
        <w:t>各项目根据业务性质不同在不同业务间可以明确划分</w:t>
      </w:r>
      <w:r>
        <w:rPr>
          <w:rFonts w:hint="eastAsia" w:ascii="宋体" w:hAnsi="宋体" w:eastAsia="宋体" w:cs="宋体"/>
          <w:sz w:val="10"/>
        </w:rPr>
        <w:t>，</w:t>
      </w:r>
      <w:r>
        <w:rPr>
          <w:rFonts w:hint="eastAsia" w:ascii="宋体" w:hAnsi="宋体" w:eastAsia="宋体" w:cs="宋体"/>
          <w:sz w:val="24"/>
        </w:rPr>
        <w:t>因此对应的收入</w:t>
      </w:r>
      <w:r>
        <w:rPr>
          <w:rFonts w:hint="eastAsia" w:ascii="宋体" w:hAnsi="宋体" w:eastAsia="宋体" w:cs="宋体"/>
          <w:sz w:val="10"/>
        </w:rPr>
        <w:t>、</w:t>
      </w:r>
      <w:r>
        <w:rPr>
          <w:rFonts w:hint="eastAsia" w:ascii="宋体" w:hAnsi="宋体" w:eastAsia="宋体" w:cs="宋体"/>
          <w:sz w:val="24"/>
        </w:rPr>
        <w:t>成本均可以四类业务之间划分</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2"/>
        </w:rPr>
        <w:t>：</w:t>
      </w:r>
      <w:r>
        <w:rPr>
          <w:rFonts w:hint="eastAsia" w:ascii="宋体" w:hAnsi="宋体" w:eastAsia="宋体" w:cs="宋体"/>
          <w:sz w:val="24"/>
        </w:rPr>
        <w:t>定制软件业务中</w:t>
      </w:r>
      <w:r>
        <w:rPr>
          <w:rFonts w:hint="eastAsia" w:ascii="宋体" w:hAnsi="宋体" w:eastAsia="宋体" w:cs="宋体"/>
          <w:sz w:val="10"/>
        </w:rPr>
        <w:t>，</w:t>
      </w:r>
      <w:r>
        <w:rPr>
          <w:rFonts w:hint="eastAsia" w:ascii="宋体" w:hAnsi="宋体" w:eastAsia="宋体" w:cs="宋体"/>
          <w:sz w:val="24"/>
        </w:rPr>
        <w:t>发行人以项目管理为基础开展定制软件业务并进行成本核算</w:t>
      </w:r>
      <w:r>
        <w:rPr>
          <w:rFonts w:hint="eastAsia" w:ascii="宋体" w:hAnsi="宋体" w:eastAsia="宋体" w:cs="宋体"/>
          <w:sz w:val="10"/>
        </w:rPr>
        <w:t>，</w:t>
      </w:r>
      <w:r>
        <w:rPr>
          <w:rFonts w:hint="eastAsia" w:ascii="宋体" w:hAnsi="宋体" w:eastAsia="宋体" w:cs="宋体"/>
          <w:sz w:val="24"/>
        </w:rPr>
        <w:t>公司在账务处理时按单个项目作为收入和成本的核算对象</w:t>
      </w:r>
      <w:r>
        <w:rPr>
          <w:rFonts w:hint="eastAsia" w:ascii="宋体" w:hAnsi="宋体" w:eastAsia="宋体" w:cs="宋体"/>
          <w:sz w:val="12"/>
        </w:rPr>
        <w:t>；</w:t>
      </w:r>
      <w:r>
        <w:rPr>
          <w:rFonts w:hint="eastAsia" w:ascii="宋体" w:hAnsi="宋体" w:eastAsia="宋体" w:cs="宋体"/>
          <w:sz w:val="24"/>
        </w:rPr>
        <w:t>系统集成业务的主要成本内容为外购软硬件及其他</w:t>
      </w:r>
      <w:r>
        <w:rPr>
          <w:rFonts w:hint="eastAsia" w:ascii="宋体" w:hAnsi="宋体" w:eastAsia="宋体" w:cs="宋体"/>
          <w:sz w:val="10"/>
        </w:rPr>
        <w:t>，</w:t>
      </w:r>
      <w:r>
        <w:rPr>
          <w:rFonts w:hint="eastAsia" w:ascii="宋体" w:hAnsi="宋体" w:eastAsia="宋体" w:cs="宋体"/>
          <w:sz w:val="24"/>
        </w:rPr>
        <w:t>其所采购成本均为单个项目的需求而发生</w:t>
      </w:r>
      <w:r>
        <w:rPr>
          <w:rFonts w:hint="eastAsia" w:ascii="宋体" w:hAnsi="宋体" w:eastAsia="宋体" w:cs="宋体"/>
          <w:sz w:val="10"/>
        </w:rPr>
        <w:t>，</w:t>
      </w:r>
      <w:r>
        <w:rPr>
          <w:rFonts w:hint="eastAsia" w:ascii="宋体" w:hAnsi="宋体" w:eastAsia="宋体" w:cs="宋体"/>
          <w:sz w:val="24"/>
        </w:rPr>
        <w:t>采购发生额按单个项目归集</w:t>
      </w:r>
      <w:r>
        <w:rPr>
          <w:rFonts w:hint="eastAsia" w:ascii="宋体" w:hAnsi="宋体" w:eastAsia="宋体" w:cs="宋体"/>
          <w:sz w:val="10"/>
        </w:rPr>
        <w:t>，</w:t>
      </w:r>
      <w:r>
        <w:rPr>
          <w:rFonts w:hint="eastAsia" w:ascii="宋体" w:hAnsi="宋体" w:eastAsia="宋体" w:cs="宋体"/>
          <w:sz w:val="24"/>
        </w:rPr>
        <w:t>待该项目收入确认时结转其相应成本</w:t>
      </w:r>
      <w:r>
        <w:rPr>
          <w:rFonts w:hint="eastAsia" w:ascii="宋体" w:hAnsi="宋体" w:eastAsia="宋体" w:cs="宋体"/>
          <w:sz w:val="12"/>
        </w:rPr>
        <w:t>；</w:t>
      </w:r>
      <w:r>
        <w:rPr>
          <w:rFonts w:hint="eastAsia" w:ascii="宋体" w:hAnsi="宋体" w:eastAsia="宋体" w:cs="宋体"/>
          <w:sz w:val="24"/>
        </w:rPr>
        <w:t>软件运维服务业务主要指公司为存量客户提供的常年软件系统运营和维护服务</w:t>
      </w:r>
      <w:r>
        <w:rPr>
          <w:rFonts w:hint="eastAsia" w:ascii="宋体" w:hAnsi="宋体" w:eastAsia="宋体" w:cs="宋体"/>
          <w:sz w:val="10"/>
        </w:rPr>
        <w:t>，</w:t>
      </w:r>
      <w:r>
        <w:rPr>
          <w:rFonts w:hint="eastAsia" w:ascii="宋体" w:hAnsi="宋体" w:eastAsia="宋体" w:cs="宋体"/>
          <w:sz w:val="24"/>
        </w:rPr>
        <w:t>均由本公司客户服务中心部门完成</w:t>
      </w:r>
      <w:r>
        <w:rPr>
          <w:rFonts w:hint="eastAsia" w:ascii="宋体" w:hAnsi="宋体" w:eastAsia="宋体" w:cs="宋体"/>
          <w:sz w:val="10"/>
        </w:rPr>
        <w:t>，</w:t>
      </w:r>
      <w:r>
        <w:rPr>
          <w:rFonts w:hint="eastAsia" w:ascii="宋体" w:hAnsi="宋体" w:eastAsia="宋体" w:cs="宋体"/>
          <w:sz w:val="24"/>
        </w:rPr>
        <w:t>其成本按照部门归集</w:t>
      </w:r>
      <w:r>
        <w:rPr>
          <w:rFonts w:hint="eastAsia" w:ascii="宋体" w:hAnsi="宋体" w:eastAsia="宋体" w:cs="宋体"/>
          <w:sz w:val="14"/>
        </w:rPr>
        <w:t>；</w:t>
      </w:r>
      <w:r>
        <w:rPr>
          <w:rFonts w:hint="eastAsia" w:ascii="宋体" w:hAnsi="宋体" w:eastAsia="宋体" w:cs="宋体"/>
          <w:sz w:val="24"/>
        </w:rPr>
        <w:t>产品化软件通常为向客户销售的标准化成套软件</w:t>
      </w:r>
      <w:r>
        <w:rPr>
          <w:rFonts w:hint="eastAsia" w:ascii="宋体" w:hAnsi="宋体" w:eastAsia="宋体" w:cs="宋体"/>
          <w:sz w:val="10"/>
        </w:rPr>
        <w:t>，</w:t>
      </w:r>
      <w:r>
        <w:rPr>
          <w:rFonts w:hint="eastAsia" w:ascii="宋体" w:hAnsi="宋体" w:eastAsia="宋体" w:cs="宋体"/>
          <w:sz w:val="24"/>
        </w:rPr>
        <w:t>销售当期没有对应的成本发生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）成本划分相关的内部控制制度</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公司关于成本划分建立了完善的内部控制制度</w:t>
      </w:r>
      <w:r>
        <w:rPr>
          <w:rFonts w:hint="eastAsia" w:ascii="宋体" w:hAnsi="宋体" w:eastAsia="宋体" w:cs="宋体"/>
          <w:sz w:val="10"/>
        </w:rPr>
        <w:t>，</w:t>
      </w:r>
      <w:r>
        <w:rPr>
          <w:rFonts w:hint="eastAsia" w:ascii="宋体" w:hAnsi="宋体" w:eastAsia="宋体" w:cs="宋体"/>
          <w:sz w:val="24"/>
        </w:rPr>
        <w:t>包括人力资源部门</w:t>
      </w:r>
      <w:r>
        <w:rPr>
          <w:rFonts w:hint="eastAsia" w:ascii="宋体" w:hAnsi="宋体" w:eastAsia="宋体" w:cs="宋体"/>
          <w:sz w:val="10"/>
        </w:rPr>
        <w:t>、</w:t>
      </w:r>
      <w:r>
        <w:rPr>
          <w:rFonts w:hint="eastAsia" w:ascii="宋体" w:hAnsi="宋体" w:eastAsia="宋体" w:cs="宋体"/>
          <w:sz w:val="24"/>
        </w:rPr>
        <w:t>实施部门</w:t>
      </w:r>
      <w:r>
        <w:rPr>
          <w:rFonts w:hint="eastAsia" w:ascii="宋体" w:hAnsi="宋体" w:eastAsia="宋体" w:cs="宋体"/>
          <w:sz w:val="10"/>
        </w:rPr>
        <w:t>、</w:t>
      </w:r>
      <w:r>
        <w:rPr>
          <w:rFonts w:hint="eastAsia" w:ascii="宋体" w:hAnsi="宋体" w:eastAsia="宋体" w:cs="宋体"/>
          <w:sz w:val="24"/>
        </w:rPr>
        <w:t>财务部门</w:t>
      </w:r>
      <w:r>
        <w:rPr>
          <w:rFonts w:hint="eastAsia" w:ascii="宋体" w:hAnsi="宋体" w:eastAsia="宋体" w:cs="宋体"/>
          <w:sz w:val="10"/>
        </w:rPr>
        <w:t>、</w:t>
      </w:r>
      <w:r>
        <w:rPr>
          <w:rFonts w:hint="eastAsia" w:ascii="宋体" w:hAnsi="宋体" w:eastAsia="宋体" w:cs="宋体"/>
          <w:sz w:val="24"/>
        </w:rPr>
        <w:t>项目管理办公室等在内的多个部门都制定了专门的制度</w:t>
      </w:r>
      <w:r>
        <w:rPr>
          <w:rFonts w:hint="eastAsia" w:ascii="宋体" w:hAnsi="宋体" w:eastAsia="宋体" w:cs="宋体"/>
          <w:sz w:val="10"/>
        </w:rPr>
        <w:t>，</w:t>
      </w:r>
      <w:r>
        <w:rPr>
          <w:rFonts w:hint="eastAsia" w:ascii="宋体" w:hAnsi="宋体" w:eastAsia="宋体" w:cs="宋体"/>
          <w:sz w:val="24"/>
        </w:rPr>
        <w:t>从制度层面保证了成本划分的准确执行</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300" w:firstLine="480"/>
        <w:jc w:val="both"/>
      </w:pPr>
      <w:r>
        <w:rPr>
          <w:rFonts w:hint="eastAsia" w:ascii="宋体" w:hAnsi="宋体" w:eastAsia="宋体" w:cs="宋体"/>
          <w:sz w:val="24"/>
        </w:rPr>
        <w:t>通过上述内部控制措施</w:t>
      </w:r>
      <w:r>
        <w:rPr>
          <w:rFonts w:hint="eastAsia" w:ascii="宋体" w:hAnsi="宋体" w:eastAsia="宋体" w:cs="宋体"/>
          <w:sz w:val="10"/>
        </w:rPr>
        <w:t>，</w:t>
      </w:r>
      <w:r>
        <w:rPr>
          <w:rFonts w:hint="eastAsia" w:ascii="宋体" w:hAnsi="宋体" w:eastAsia="宋体" w:cs="宋体"/>
          <w:sz w:val="24"/>
        </w:rPr>
        <w:t>发行人劳务成本的核算可以保证真实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并能在项目间准确划分</w:t>
      </w:r>
      <w:r>
        <w:rPr>
          <w:rFonts w:hint="eastAsia" w:ascii="宋体" w:hAnsi="宋体" w:eastAsia="宋体" w:cs="宋体"/>
          <w:sz w:val="10"/>
        </w:rPr>
        <w:t>，</w:t>
      </w:r>
      <w:r>
        <w:rPr>
          <w:rFonts w:hint="eastAsia" w:ascii="宋体" w:hAnsi="宋体" w:eastAsia="宋体" w:cs="宋体"/>
          <w:sz w:val="24"/>
        </w:rPr>
        <w:t>可以与具体项目匹配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期间费用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1-1-278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期间费用及其占营业收入比率情况如下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40"/>
        <w:gridCol w:w="1560"/>
        <w:gridCol w:w="1140"/>
        <w:gridCol w:w="1560"/>
        <w:gridCol w:w="1120"/>
        <w:gridCol w:w="1580"/>
        <w:gridCol w:w="1060"/>
      </w:tblGrid>
      <w:tr>
        <w:trPr>
          <w:trHeight w:val="540" w:hRule="exact"/>
        </w:trPr>
        <w:tc>
          <w:tcPr>
            <w:tcW w:w="1240" w:type="dxa"/>
            <w:vMerge w:val="restart"/>
            <w:tcMar>
              <w:top w:w="0" w:type="dxa"/>
              <w:left w:w="0" w:type="dxa"/>
              <w:bottom w:w="0" w:type="dxa"/>
              <w:right w:w="0" w:type="dxa"/>
            </w:tcMar>
          </w:tcPr>
          <w:p>
            <w:pPr>
              <w:spacing w:before="380"/>
              <w:ind w:left="180"/>
            </w:pPr>
            <w:r>
              <w:rPr>
                <w:rFonts w:hint="eastAsia" w:ascii="宋体" w:hAnsi="宋体" w:eastAsia="宋体" w:cs="宋体"/>
                <w:b/>
                <w:sz w:val="21"/>
              </w:rPr>
              <w:t>费用名称</w:t>
            </w:r>
          </w:p>
        </w:tc>
        <w:tc>
          <w:tcPr>
            <w:tcW w:w="2700" w:type="dxa"/>
            <w:gridSpan w:val="2"/>
            <w:tcMar>
              <w:top w:w="0" w:type="dxa"/>
              <w:left w:w="0" w:type="dxa"/>
              <w:bottom w:w="0" w:type="dxa"/>
              <w:right w:w="0" w:type="dxa"/>
            </w:tcMar>
          </w:tcPr>
          <w:p>
            <w:pPr>
              <w:spacing w:before="120"/>
              <w:ind w:left="8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680" w:type="dxa"/>
            <w:gridSpan w:val="2"/>
            <w:tcMar>
              <w:top w:w="0" w:type="dxa"/>
              <w:left w:w="0" w:type="dxa"/>
              <w:bottom w:w="0" w:type="dxa"/>
              <w:right w:w="0" w:type="dxa"/>
            </w:tcMar>
          </w:tcPr>
          <w:p>
            <w:pPr>
              <w:spacing w:before="120"/>
              <w:ind w:left="8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640" w:type="dxa"/>
            <w:gridSpan w:val="2"/>
            <w:tcMar>
              <w:top w:w="0" w:type="dxa"/>
              <w:left w:w="0" w:type="dxa"/>
              <w:bottom w:w="0" w:type="dxa"/>
              <w:right w:w="0" w:type="dxa"/>
            </w:tcMar>
          </w:tcPr>
          <w:p>
            <w:pPr>
              <w:spacing w:before="120"/>
              <w:ind w:left="8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20" w:hRule="exact"/>
        </w:trPr>
        <w:tc>
          <w:tcPr>
            <w:tcW w:w="12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20"/>
              <w:ind w:left="560"/>
            </w:pPr>
            <w:r>
              <w:rPr>
                <w:rFonts w:hint="eastAsia" w:ascii="宋体" w:hAnsi="宋体" w:eastAsia="宋体" w:cs="宋体"/>
                <w:b/>
                <w:sz w:val="21"/>
              </w:rPr>
              <w:t>金额</w:t>
            </w:r>
          </w:p>
        </w:tc>
        <w:tc>
          <w:tcPr>
            <w:tcW w:w="1140" w:type="dxa"/>
            <w:tcMar>
              <w:top w:w="0" w:type="dxa"/>
              <w:left w:w="0" w:type="dxa"/>
              <w:bottom w:w="0" w:type="dxa"/>
              <w:right w:w="0" w:type="dxa"/>
            </w:tcMar>
          </w:tcPr>
          <w:p>
            <w:pPr>
              <w:spacing w:before="120"/>
              <w:ind w:left="340"/>
            </w:pPr>
            <w:r>
              <w:rPr>
                <w:rFonts w:hint="eastAsia" w:ascii="宋体" w:hAnsi="宋体" w:eastAsia="宋体" w:cs="宋体"/>
                <w:b/>
                <w:sz w:val="21"/>
              </w:rPr>
              <w:t>占比</w:t>
            </w:r>
          </w:p>
        </w:tc>
        <w:tc>
          <w:tcPr>
            <w:tcW w:w="1560" w:type="dxa"/>
            <w:tcMar>
              <w:top w:w="0" w:type="dxa"/>
              <w:left w:w="0" w:type="dxa"/>
              <w:bottom w:w="0" w:type="dxa"/>
              <w:right w:w="0" w:type="dxa"/>
            </w:tcMar>
          </w:tcPr>
          <w:p>
            <w:pPr>
              <w:spacing w:before="120"/>
              <w:ind w:left="560"/>
            </w:pPr>
            <w:r>
              <w:rPr>
                <w:rFonts w:hint="eastAsia" w:ascii="宋体" w:hAnsi="宋体" w:eastAsia="宋体" w:cs="宋体"/>
                <w:b/>
                <w:sz w:val="21"/>
              </w:rPr>
              <w:t>金额</w:t>
            </w:r>
          </w:p>
        </w:tc>
        <w:tc>
          <w:tcPr>
            <w:tcW w:w="1120" w:type="dxa"/>
            <w:tcMar>
              <w:top w:w="0" w:type="dxa"/>
              <w:left w:w="0" w:type="dxa"/>
              <w:bottom w:w="0" w:type="dxa"/>
              <w:right w:w="0" w:type="dxa"/>
            </w:tcMar>
          </w:tcPr>
          <w:p>
            <w:pPr>
              <w:spacing w:before="120"/>
              <w:ind w:left="340"/>
            </w:pPr>
            <w:r>
              <w:rPr>
                <w:rFonts w:hint="eastAsia" w:ascii="宋体" w:hAnsi="宋体" w:eastAsia="宋体" w:cs="宋体"/>
                <w:b/>
                <w:sz w:val="21"/>
              </w:rPr>
              <w:t>占比</w:t>
            </w:r>
          </w:p>
        </w:tc>
        <w:tc>
          <w:tcPr>
            <w:tcW w:w="1580" w:type="dxa"/>
            <w:tcMar>
              <w:top w:w="0" w:type="dxa"/>
              <w:left w:w="0" w:type="dxa"/>
              <w:bottom w:w="0" w:type="dxa"/>
              <w:right w:w="0" w:type="dxa"/>
            </w:tcMar>
          </w:tcPr>
          <w:p>
            <w:pPr>
              <w:spacing w:before="120"/>
              <w:ind w:left="560"/>
            </w:pPr>
            <w:r>
              <w:rPr>
                <w:rFonts w:hint="eastAsia" w:ascii="宋体" w:hAnsi="宋体" w:eastAsia="宋体" w:cs="宋体"/>
                <w:b/>
                <w:sz w:val="21"/>
              </w:rPr>
              <w:t>金额</w:t>
            </w:r>
          </w:p>
        </w:tc>
        <w:tc>
          <w:tcPr>
            <w:tcW w:w="1060" w:type="dxa"/>
            <w:tcMar>
              <w:top w:w="0" w:type="dxa"/>
              <w:left w:w="0" w:type="dxa"/>
              <w:bottom w:w="0" w:type="dxa"/>
              <w:right w:w="0" w:type="dxa"/>
            </w:tcMar>
          </w:tcPr>
          <w:p>
            <w:pPr>
              <w:spacing w:before="120"/>
              <w:ind w:left="300"/>
            </w:pPr>
            <w:r>
              <w:rPr>
                <w:rFonts w:hint="eastAsia" w:ascii="宋体" w:hAnsi="宋体" w:eastAsia="宋体" w:cs="宋体"/>
                <w:b/>
                <w:sz w:val="21"/>
              </w:rPr>
              <w:t>占比</w:t>
            </w:r>
          </w:p>
        </w:tc>
      </w:tr>
      <w:tr>
        <w:trPr>
          <w:trHeight w:val="540" w:hRule="exact"/>
        </w:trPr>
        <w:tc>
          <w:tcPr>
            <w:tcW w:w="1240" w:type="dxa"/>
            <w:tcMar>
              <w:top w:w="0" w:type="dxa"/>
              <w:left w:w="0" w:type="dxa"/>
              <w:bottom w:w="0" w:type="dxa"/>
              <w:right w:w="0" w:type="dxa"/>
            </w:tcMar>
          </w:tcPr>
          <w:p>
            <w:pPr>
              <w:spacing w:before="120"/>
              <w:ind w:left="180"/>
            </w:pPr>
            <w:r>
              <w:rPr>
                <w:rFonts w:hint="eastAsia" w:ascii="宋体" w:hAnsi="宋体" w:eastAsia="宋体" w:cs="宋体"/>
                <w:sz w:val="21"/>
              </w:rPr>
              <w:t>销售费用</w:t>
            </w:r>
          </w:p>
        </w:tc>
        <w:tc>
          <w:tcPr>
            <w:tcW w:w="1560" w:type="dxa"/>
            <w:tcMar>
              <w:top w:w="0" w:type="dxa"/>
              <w:left w:w="0" w:type="dxa"/>
              <w:bottom w:w="0" w:type="dxa"/>
              <w:right w:w="0" w:type="dxa"/>
            </w:tcMar>
          </w:tcPr>
          <w:p>
            <w:pPr>
              <w:spacing w:before="180"/>
              <w:ind w:left="22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1140" w:type="dxa"/>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80"/>
              <w:ind w:left="240"/>
            </w:pP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p>
        </w:tc>
        <w:tc>
          <w:tcPr>
            <w:tcW w:w="1120" w:type="dxa"/>
            <w:tcMar>
              <w:top w:w="0" w:type="dxa"/>
              <w:left w:w="0" w:type="dxa"/>
              <w:bottom w:w="0" w:type="dxa"/>
              <w:right w:w="0" w:type="dxa"/>
            </w:tcMar>
          </w:tcPr>
          <w:p>
            <w:pPr>
              <w:spacing w:before="180"/>
              <w:ind w:left="36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80"/>
              <w:ind w:left="24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1060" w:type="dxa"/>
            <w:tcMar>
              <w:top w:w="0" w:type="dxa"/>
              <w:left w:w="0" w:type="dxa"/>
              <w:bottom w:w="0" w:type="dxa"/>
              <w:right w:w="0" w:type="dxa"/>
            </w:tcMar>
          </w:tcPr>
          <w:p>
            <w:pPr>
              <w:spacing w:before="180"/>
              <w:ind w:left="30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p>
        </w:tc>
      </w:tr>
      <w:tr>
        <w:trPr>
          <w:trHeight w:val="520" w:hRule="exact"/>
        </w:trPr>
        <w:tc>
          <w:tcPr>
            <w:tcW w:w="1240" w:type="dxa"/>
            <w:tcMar>
              <w:top w:w="0" w:type="dxa"/>
              <w:left w:w="0" w:type="dxa"/>
              <w:bottom w:w="0" w:type="dxa"/>
              <w:right w:w="0" w:type="dxa"/>
            </w:tcMar>
          </w:tcPr>
          <w:p>
            <w:pPr>
              <w:spacing w:before="100"/>
              <w:ind w:left="180"/>
            </w:pPr>
            <w:r>
              <w:rPr>
                <w:rFonts w:hint="eastAsia" w:ascii="宋体" w:hAnsi="宋体" w:eastAsia="宋体" w:cs="宋体"/>
                <w:sz w:val="21"/>
              </w:rPr>
              <w:t>管理费用</w:t>
            </w:r>
          </w:p>
        </w:tc>
        <w:tc>
          <w:tcPr>
            <w:tcW w:w="156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14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2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c>
          <w:tcPr>
            <w:tcW w:w="1120" w:type="dxa"/>
            <w:tcMar>
              <w:top w:w="0" w:type="dxa"/>
              <w:left w:w="0" w:type="dxa"/>
              <w:bottom w:w="0" w:type="dxa"/>
              <w:right w:w="0" w:type="dxa"/>
            </w:tcMar>
          </w:tcPr>
          <w:p>
            <w:pPr>
              <w:spacing w:before="140"/>
              <w:ind w:left="360"/>
            </w:pP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60"/>
              <w:ind w:left="240"/>
            </w:pP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1060" w:type="dxa"/>
            <w:tcMar>
              <w:top w:w="0" w:type="dxa"/>
              <w:left w:w="0" w:type="dxa"/>
              <w:bottom w:w="0" w:type="dxa"/>
              <w:right w:w="0" w:type="dxa"/>
            </w:tcMar>
          </w:tcPr>
          <w:p>
            <w:pPr>
              <w:spacing w:before="140"/>
              <w:ind w:left="300"/>
            </w:pP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p>
        </w:tc>
      </w:tr>
      <w:tr>
        <w:trPr>
          <w:trHeight w:val="540" w:hRule="exact"/>
        </w:trPr>
        <w:tc>
          <w:tcPr>
            <w:tcW w:w="1240" w:type="dxa"/>
            <w:tcMar>
              <w:top w:w="0" w:type="dxa"/>
              <w:left w:w="0" w:type="dxa"/>
              <w:bottom w:w="0" w:type="dxa"/>
              <w:right w:w="0" w:type="dxa"/>
            </w:tcMar>
          </w:tcPr>
          <w:p>
            <w:pPr>
              <w:spacing w:before="120"/>
              <w:ind w:left="180"/>
            </w:pPr>
            <w:r>
              <w:rPr>
                <w:rFonts w:hint="eastAsia" w:ascii="宋体" w:hAnsi="宋体" w:eastAsia="宋体" w:cs="宋体"/>
                <w:sz w:val="21"/>
              </w:rPr>
              <w:t>财务费用</w:t>
            </w:r>
          </w:p>
        </w:tc>
        <w:tc>
          <w:tcPr>
            <w:tcW w:w="1560" w:type="dxa"/>
            <w:tcMar>
              <w:top w:w="0" w:type="dxa"/>
              <w:left w:w="0" w:type="dxa"/>
              <w:bottom w:w="0" w:type="dxa"/>
              <w:right w:w="0" w:type="dxa"/>
            </w:tcMar>
          </w:tcPr>
          <w:p>
            <w:pPr>
              <w:spacing w:before="180"/>
              <w:ind w:left="2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14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80"/>
              <w:ind w:left="2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c>
          <w:tcPr>
            <w:tcW w:w="112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80"/>
              <w:ind w:left="2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106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p>
        </w:tc>
      </w:tr>
      <w:tr>
        <w:trPr>
          <w:trHeight w:val="500" w:hRule="exact"/>
        </w:trPr>
        <w:tc>
          <w:tcPr>
            <w:tcW w:w="1240" w:type="dxa"/>
            <w:tcMar>
              <w:top w:w="0" w:type="dxa"/>
              <w:left w:w="0" w:type="dxa"/>
              <w:bottom w:w="0" w:type="dxa"/>
              <w:right w:w="0" w:type="dxa"/>
            </w:tcMar>
          </w:tcPr>
          <w:p>
            <w:pPr>
              <w:spacing w:before="120"/>
              <w:ind w:left="400"/>
            </w:pPr>
            <w:r>
              <w:rPr>
                <w:rFonts w:hint="eastAsia" w:ascii="宋体" w:hAnsi="宋体" w:eastAsia="宋体" w:cs="宋体"/>
                <w:b/>
                <w:sz w:val="21"/>
              </w:rPr>
              <w:t>合计</w:t>
            </w:r>
          </w:p>
        </w:tc>
        <w:tc>
          <w:tcPr>
            <w:tcW w:w="1560" w:type="dxa"/>
            <w:tcMar>
              <w:top w:w="0" w:type="dxa"/>
              <w:left w:w="0" w:type="dxa"/>
              <w:bottom w:w="0" w:type="dxa"/>
              <w:right w:w="0" w:type="dxa"/>
            </w:tcMar>
          </w:tcPr>
          <w:p>
            <w:pPr>
              <w:spacing w:before="140"/>
              <w:ind w:left="220"/>
            </w:pPr>
            <w:r>
              <w:rPr>
                <w:rFonts w:hint="eastAsia" w:ascii="Times New Roman Bold" w:hAnsi="Times New Roman Bold" w:eastAsia="Times New Roman Bold" w:cs="Times New Roman Bold"/>
                <w:b/>
                <w:sz w:val="21"/>
              </w:rPr>
              <w:t>91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089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61</w:t>
            </w:r>
          </w:p>
        </w:tc>
        <w:tc>
          <w:tcPr>
            <w:tcW w:w="1140" w:type="dxa"/>
            <w:tcMar>
              <w:top w:w="0" w:type="dxa"/>
              <w:left w:w="0" w:type="dxa"/>
              <w:bottom w:w="0" w:type="dxa"/>
              <w:right w:w="0" w:type="dxa"/>
            </w:tcMar>
          </w:tcPr>
          <w:p>
            <w:pPr>
              <w:spacing w:before="140"/>
              <w:ind w:left="320"/>
            </w:pPr>
            <w:r>
              <w:rPr>
                <w:rFonts w:hint="eastAsia" w:ascii="Times New Roman Bold" w:hAnsi="Times New Roman Bold" w:eastAsia="Times New Roman Bold" w:cs="Times New Roman Bold"/>
                <w:b/>
                <w:sz w:val="21"/>
              </w:rPr>
              <w:t>44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40"/>
              <w:ind w:left="220"/>
            </w:pPr>
            <w:r>
              <w:rPr>
                <w:rFonts w:hint="eastAsia" w:ascii="Times New Roman Bold" w:hAnsi="Times New Roman Bold" w:eastAsia="Times New Roman Bold" w:cs="Times New Roman Bold"/>
                <w:b/>
                <w:sz w:val="21"/>
              </w:rPr>
              <w:t>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608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94</w:t>
            </w:r>
          </w:p>
        </w:tc>
        <w:tc>
          <w:tcPr>
            <w:tcW w:w="1120" w:type="dxa"/>
            <w:tcMar>
              <w:top w:w="0" w:type="dxa"/>
              <w:left w:w="0" w:type="dxa"/>
              <w:bottom w:w="0" w:type="dxa"/>
              <w:right w:w="0" w:type="dxa"/>
            </w:tcMar>
          </w:tcPr>
          <w:p>
            <w:pPr>
              <w:spacing w:before="140"/>
              <w:ind w:left="320"/>
            </w:pPr>
            <w:r>
              <w:rPr>
                <w:rFonts w:hint="eastAsia" w:ascii="Times New Roman Bold" w:hAnsi="Times New Roman Bold" w:eastAsia="Times New Roman Bold" w:cs="Times New Roman Bold"/>
                <w:b/>
                <w:sz w:val="21"/>
              </w:rPr>
              <w:t>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87</w:t>
            </w:r>
            <w:r>
              <w:rPr>
                <w:rFonts w:hint="eastAsia" w:ascii="Times New Roman Bold" w:hAnsi="Times New Roman Bold" w:eastAsia="Times New Roman Bold" w:cs="Times New Roman Bold"/>
                <w:b/>
                <w:sz w:val="20"/>
              </w:rPr>
              <w:t>%</w:t>
            </w:r>
          </w:p>
        </w:tc>
        <w:tc>
          <w:tcPr>
            <w:tcW w:w="1580" w:type="dxa"/>
            <w:tcMar>
              <w:top w:w="0" w:type="dxa"/>
              <w:left w:w="0" w:type="dxa"/>
              <w:bottom w:w="0" w:type="dxa"/>
              <w:right w:w="0" w:type="dxa"/>
            </w:tcMar>
          </w:tcPr>
          <w:p>
            <w:pPr>
              <w:spacing w:before="140"/>
              <w:ind w:left="240"/>
            </w:pPr>
            <w:r>
              <w:rPr>
                <w:rFonts w:hint="eastAsia" w:ascii="Times New Roman Bold" w:hAnsi="Times New Roman Bold" w:eastAsia="Times New Roman Bold" w:cs="Times New Roman Bold"/>
                <w:b/>
                <w:sz w:val="21"/>
              </w:rPr>
              <w:t>79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w:t>
            </w:r>
          </w:p>
        </w:tc>
        <w:tc>
          <w:tcPr>
            <w:tcW w:w="1060" w:type="dxa"/>
            <w:tcMar>
              <w:top w:w="0" w:type="dxa"/>
              <w:left w:w="0" w:type="dxa"/>
              <w:bottom w:w="0" w:type="dxa"/>
              <w:right w:w="0" w:type="dxa"/>
            </w:tcMar>
          </w:tcPr>
          <w:p>
            <w:pPr>
              <w:spacing w:before="140"/>
              <w:ind w:left="260"/>
            </w:pPr>
            <w:r>
              <w:rPr>
                <w:rFonts w:hint="eastAsia" w:ascii="Times New Roman Bold" w:hAnsi="Times New Roman Bold" w:eastAsia="Times New Roman Bold" w:cs="Times New Roman Bold"/>
                <w:b/>
                <w:sz w:val="21"/>
              </w:rPr>
              <w:t>49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公司销售收入和资产规模</w:t>
      </w:r>
      <w:r>
        <w:rPr>
          <w:rFonts w:hint="eastAsia" w:ascii="宋体" w:hAnsi="宋体" w:eastAsia="宋体" w:cs="宋体"/>
          <w:sz w:val="10"/>
        </w:rPr>
        <w:t>、</w:t>
      </w:r>
      <w:r>
        <w:rPr>
          <w:rFonts w:hint="eastAsia" w:ascii="宋体" w:hAnsi="宋体" w:eastAsia="宋体" w:cs="宋体"/>
          <w:sz w:val="24"/>
        </w:rPr>
        <w:t>人员不断增长</w:t>
      </w:r>
      <w:r>
        <w:rPr>
          <w:rFonts w:hint="eastAsia" w:ascii="宋体" w:hAnsi="宋体" w:eastAsia="宋体" w:cs="宋体"/>
          <w:sz w:val="12"/>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公司不断加大对市场开拓和技术研发的投入</w:t>
      </w:r>
      <w:r>
        <w:rPr>
          <w:rFonts w:hint="eastAsia" w:ascii="宋体" w:hAnsi="宋体" w:eastAsia="宋体" w:cs="宋体"/>
          <w:sz w:val="10"/>
        </w:rPr>
        <w:t>，</w:t>
      </w:r>
      <w:r>
        <w:rPr>
          <w:rFonts w:hint="eastAsia" w:ascii="宋体" w:hAnsi="宋体" w:eastAsia="宋体" w:cs="宋体"/>
          <w:sz w:val="24"/>
        </w:rPr>
        <w:t>导致销售费用</w:t>
      </w:r>
      <w:r>
        <w:rPr>
          <w:rFonts w:hint="eastAsia" w:ascii="宋体" w:hAnsi="宋体" w:eastAsia="宋体" w:cs="宋体"/>
          <w:sz w:val="10"/>
        </w:rPr>
        <w:t>、</w:t>
      </w:r>
      <w:r>
        <w:rPr>
          <w:rFonts w:hint="eastAsia" w:ascii="宋体" w:hAnsi="宋体" w:eastAsia="宋体" w:cs="宋体"/>
          <w:sz w:val="24"/>
        </w:rPr>
        <w:t>管理费用有所增长</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发行人的财务费用主要为利息收入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）销售费用</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销售费用的构成如下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120" w:type="auto"/>
        <w:tblInd w:w="14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580"/>
        <w:gridCol w:w="1540"/>
        <w:gridCol w:w="1200"/>
        <w:gridCol w:w="1740"/>
        <w:gridCol w:w="1220"/>
        <w:gridCol w:w="1820"/>
      </w:tblGrid>
      <w:tr>
        <w:trPr>
          <w:trHeight w:val="620" w:hRule="exact"/>
        </w:trPr>
        <w:tc>
          <w:tcPr>
            <w:tcW w:w="1580" w:type="dxa"/>
            <w:vMerge w:val="restart"/>
            <w:tcMar>
              <w:top w:w="0" w:type="dxa"/>
              <w:left w:w="0" w:type="dxa"/>
              <w:bottom w:w="0" w:type="dxa"/>
              <w:right w:w="0" w:type="dxa"/>
            </w:tcMar>
          </w:tcPr>
          <w:p>
            <w:pPr>
              <w:spacing w:before="500"/>
              <w:ind w:left="560"/>
            </w:pPr>
            <w:r>
              <w:rPr>
                <w:rFonts w:hint="eastAsia" w:ascii="宋体" w:hAnsi="宋体" w:eastAsia="宋体" w:cs="宋体"/>
                <w:b/>
                <w:sz w:val="21"/>
              </w:rPr>
              <w:t>项目</w:t>
            </w:r>
          </w:p>
        </w:tc>
        <w:tc>
          <w:tcPr>
            <w:tcW w:w="2740" w:type="dxa"/>
            <w:gridSpan w:val="2"/>
            <w:tcMar>
              <w:top w:w="0" w:type="dxa"/>
              <w:left w:w="0" w:type="dxa"/>
              <w:bottom w:w="0" w:type="dxa"/>
              <w:right w:w="0" w:type="dxa"/>
            </w:tcMar>
          </w:tcPr>
          <w:p>
            <w:pPr>
              <w:spacing w:before="180"/>
              <w:ind w:left="90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960" w:type="dxa"/>
            <w:gridSpan w:val="2"/>
            <w:tcMar>
              <w:top w:w="0" w:type="dxa"/>
              <w:left w:w="0" w:type="dxa"/>
              <w:bottom w:w="0" w:type="dxa"/>
              <w:right w:w="0" w:type="dxa"/>
            </w:tcMar>
          </w:tcPr>
          <w:p>
            <w:pPr>
              <w:spacing w:before="180"/>
              <w:ind w:left="102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1820" w:type="dxa"/>
            <w:tcMar>
              <w:top w:w="0" w:type="dxa"/>
              <w:left w:w="0" w:type="dxa"/>
              <w:bottom w:w="0" w:type="dxa"/>
              <w:right w:w="0" w:type="dxa"/>
            </w:tcMar>
          </w:tcPr>
          <w:p>
            <w:pPr>
              <w:spacing w:before="180"/>
              <w:ind w:left="4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40" w:hRule="exact"/>
        </w:trPr>
        <w:tc>
          <w:tcPr>
            <w:tcW w:w="1580" w:type="dxa"/>
            <w:vMerge w:val="continue"/>
            <w:tcMar>
              <w:top w:w="0" w:type="dxa"/>
              <w:left w:w="0" w:type="dxa"/>
              <w:bottom w:w="0" w:type="dxa"/>
              <w:right w:w="0" w:type="dxa"/>
            </w:tcMar>
          </w:tcPr>
          <w:p/>
        </w:tc>
        <w:tc>
          <w:tcPr>
            <w:tcW w:w="1540" w:type="dxa"/>
            <w:tcMar>
              <w:top w:w="0" w:type="dxa"/>
              <w:left w:w="0" w:type="dxa"/>
              <w:bottom w:w="0" w:type="dxa"/>
              <w:right w:w="0" w:type="dxa"/>
            </w:tcMar>
          </w:tcPr>
          <w:p>
            <w:pPr>
              <w:spacing w:before="200"/>
              <w:ind w:left="540"/>
            </w:pPr>
            <w:r>
              <w:rPr>
                <w:rFonts w:hint="eastAsia" w:ascii="宋体" w:hAnsi="宋体" w:eastAsia="宋体" w:cs="宋体"/>
                <w:b/>
                <w:sz w:val="21"/>
              </w:rPr>
              <w:t>金额</w:t>
            </w:r>
          </w:p>
        </w:tc>
        <w:tc>
          <w:tcPr>
            <w:tcW w:w="1200" w:type="dxa"/>
            <w:tcMar>
              <w:top w:w="0" w:type="dxa"/>
              <w:left w:w="0" w:type="dxa"/>
              <w:bottom w:w="0" w:type="dxa"/>
              <w:right w:w="0" w:type="dxa"/>
            </w:tcMar>
          </w:tcPr>
          <w:p>
            <w:pPr>
              <w:spacing w:before="200"/>
              <w:ind w:left="260"/>
            </w:pPr>
            <w:r>
              <w:rPr>
                <w:rFonts w:hint="eastAsia" w:ascii="宋体" w:hAnsi="宋体" w:eastAsia="宋体" w:cs="宋体"/>
                <w:b/>
                <w:sz w:val="21"/>
              </w:rPr>
              <w:t>增长率</w:t>
            </w:r>
          </w:p>
        </w:tc>
        <w:tc>
          <w:tcPr>
            <w:tcW w:w="1740" w:type="dxa"/>
            <w:tcMar>
              <w:top w:w="0" w:type="dxa"/>
              <w:left w:w="0" w:type="dxa"/>
              <w:bottom w:w="0" w:type="dxa"/>
              <w:right w:w="0" w:type="dxa"/>
            </w:tcMar>
          </w:tcPr>
          <w:p>
            <w:pPr>
              <w:spacing w:before="200"/>
              <w:ind w:left="640"/>
            </w:pPr>
            <w:r>
              <w:rPr>
                <w:rFonts w:hint="eastAsia" w:ascii="宋体" w:hAnsi="宋体" w:eastAsia="宋体" w:cs="宋体"/>
                <w:b/>
                <w:sz w:val="21"/>
              </w:rPr>
              <w:t>金额</w:t>
            </w:r>
          </w:p>
        </w:tc>
        <w:tc>
          <w:tcPr>
            <w:tcW w:w="1220" w:type="dxa"/>
            <w:tcMar>
              <w:top w:w="0" w:type="dxa"/>
              <w:left w:w="0" w:type="dxa"/>
              <w:bottom w:w="0" w:type="dxa"/>
              <w:right w:w="0" w:type="dxa"/>
            </w:tcMar>
          </w:tcPr>
          <w:p>
            <w:pPr>
              <w:spacing w:before="200"/>
              <w:ind w:left="280"/>
            </w:pPr>
            <w:r>
              <w:rPr>
                <w:rFonts w:hint="eastAsia" w:ascii="宋体" w:hAnsi="宋体" w:eastAsia="宋体" w:cs="宋体"/>
                <w:b/>
                <w:sz w:val="21"/>
              </w:rPr>
              <w:t>增长率</w:t>
            </w:r>
          </w:p>
        </w:tc>
        <w:tc>
          <w:tcPr>
            <w:tcW w:w="1820" w:type="dxa"/>
            <w:tcMar>
              <w:top w:w="0" w:type="dxa"/>
              <w:left w:w="0" w:type="dxa"/>
              <w:bottom w:w="0" w:type="dxa"/>
              <w:right w:w="0" w:type="dxa"/>
            </w:tcMar>
          </w:tcPr>
          <w:p>
            <w:pPr>
              <w:spacing w:before="200"/>
              <w:ind w:left="680"/>
            </w:pPr>
            <w:r>
              <w:rPr>
                <w:rFonts w:hint="eastAsia" w:ascii="宋体" w:hAnsi="宋体" w:eastAsia="宋体" w:cs="宋体"/>
                <w:b/>
                <w:sz w:val="21"/>
              </w:rPr>
              <w:t>金额</w:t>
            </w:r>
          </w:p>
        </w:tc>
      </w:tr>
      <w:tr>
        <w:trPr>
          <w:trHeight w:val="640" w:hRule="exact"/>
        </w:trPr>
        <w:tc>
          <w:tcPr>
            <w:tcW w:w="1580" w:type="dxa"/>
            <w:tcMar>
              <w:top w:w="0" w:type="dxa"/>
              <w:left w:w="0" w:type="dxa"/>
              <w:bottom w:w="0" w:type="dxa"/>
              <w:right w:w="0" w:type="dxa"/>
            </w:tcMar>
          </w:tcPr>
          <w:p>
            <w:pPr>
              <w:spacing w:before="180"/>
              <w:ind w:left="340"/>
            </w:pPr>
            <w:r>
              <w:rPr>
                <w:rFonts w:hint="eastAsia" w:ascii="宋体" w:hAnsi="宋体" w:eastAsia="宋体" w:cs="宋体"/>
                <w:sz w:val="21"/>
              </w:rPr>
              <w:t>人工费用</w:t>
            </w:r>
          </w:p>
        </w:tc>
        <w:tc>
          <w:tcPr>
            <w:tcW w:w="1540" w:type="dxa"/>
            <w:tcMar>
              <w:top w:w="0" w:type="dxa"/>
              <w:left w:w="0" w:type="dxa"/>
              <w:bottom w:w="0" w:type="dxa"/>
              <w:right w:w="0" w:type="dxa"/>
            </w:tcMar>
          </w:tcPr>
          <w:p>
            <w:pPr>
              <w:spacing w:before="240"/>
              <w:ind w:left="2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c>
          <w:tcPr>
            <w:tcW w:w="1200" w:type="dxa"/>
            <w:tcMar>
              <w:top w:w="0" w:type="dxa"/>
              <w:left w:w="0" w:type="dxa"/>
              <w:bottom w:w="0" w:type="dxa"/>
              <w:right w:w="0" w:type="dxa"/>
            </w:tcMar>
          </w:tcPr>
          <w:p>
            <w:pPr>
              <w:spacing w:before="220"/>
              <w:ind w:left="6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40"/>
              <w:ind w:left="48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w:t>
            </w:r>
          </w:p>
        </w:tc>
        <w:tc>
          <w:tcPr>
            <w:tcW w:w="1220" w:type="dxa"/>
            <w:tcMar>
              <w:top w:w="0" w:type="dxa"/>
              <w:left w:w="0" w:type="dxa"/>
              <w:bottom w:w="0" w:type="dxa"/>
              <w:right w:w="0" w:type="dxa"/>
            </w:tcMar>
          </w:tcPr>
          <w:p>
            <w:pPr>
              <w:spacing w:before="220"/>
              <w:ind w:left="5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p>
        </w:tc>
        <w:tc>
          <w:tcPr>
            <w:tcW w:w="1820" w:type="dxa"/>
            <w:tcMar>
              <w:top w:w="0" w:type="dxa"/>
              <w:left w:w="0" w:type="dxa"/>
              <w:bottom w:w="0" w:type="dxa"/>
              <w:right w:w="0" w:type="dxa"/>
            </w:tcMar>
          </w:tcPr>
          <w:p>
            <w:pPr>
              <w:spacing w:before="240"/>
              <w:ind w:left="58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r>
      <w:tr>
        <w:trPr>
          <w:trHeight w:val="620" w:hRule="exact"/>
        </w:trPr>
        <w:tc>
          <w:tcPr>
            <w:tcW w:w="1580" w:type="dxa"/>
            <w:tcMar>
              <w:top w:w="0" w:type="dxa"/>
              <w:left w:w="0" w:type="dxa"/>
              <w:bottom w:w="0" w:type="dxa"/>
              <w:right w:w="0" w:type="dxa"/>
            </w:tcMar>
          </w:tcPr>
          <w:p>
            <w:pPr>
              <w:spacing w:before="180"/>
              <w:ind w:left="240"/>
            </w:pPr>
            <w:r>
              <w:rPr>
                <w:rFonts w:hint="eastAsia" w:ascii="宋体" w:hAnsi="宋体" w:eastAsia="宋体" w:cs="宋体"/>
                <w:sz w:val="21"/>
              </w:rPr>
              <w:t>业务招待费</w:t>
            </w:r>
          </w:p>
        </w:tc>
        <w:tc>
          <w:tcPr>
            <w:tcW w:w="1540" w:type="dxa"/>
            <w:tcMar>
              <w:top w:w="0" w:type="dxa"/>
              <w:left w:w="0" w:type="dxa"/>
              <w:bottom w:w="0" w:type="dxa"/>
              <w:right w:w="0" w:type="dxa"/>
            </w:tcMar>
          </w:tcPr>
          <w:p>
            <w:pPr>
              <w:spacing w:before="240"/>
              <w:ind w:left="4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p>
        </w:tc>
        <w:tc>
          <w:tcPr>
            <w:tcW w:w="120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40"/>
              <w:ind w:left="6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c>
          <w:tcPr>
            <w:tcW w:w="122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p>
        </w:tc>
        <w:tc>
          <w:tcPr>
            <w:tcW w:w="1820" w:type="dxa"/>
            <w:tcMar>
              <w:top w:w="0" w:type="dxa"/>
              <w:left w:w="0" w:type="dxa"/>
              <w:bottom w:w="0" w:type="dxa"/>
              <w:right w:w="0" w:type="dxa"/>
            </w:tcMar>
          </w:tcPr>
          <w:p>
            <w:pPr>
              <w:spacing w:before="240"/>
              <w:ind w:left="68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r>
      <w:tr>
        <w:trPr>
          <w:trHeight w:val="640" w:hRule="exact"/>
        </w:trPr>
        <w:tc>
          <w:tcPr>
            <w:tcW w:w="1580" w:type="dxa"/>
            <w:tcMar>
              <w:top w:w="0" w:type="dxa"/>
              <w:left w:w="0" w:type="dxa"/>
              <w:bottom w:w="0" w:type="dxa"/>
              <w:right w:w="0" w:type="dxa"/>
            </w:tcMar>
          </w:tcPr>
          <w:p>
            <w:pPr>
              <w:spacing w:before="200"/>
              <w:ind w:left="460"/>
            </w:pPr>
            <w:r>
              <w:rPr>
                <w:rFonts w:hint="eastAsia" w:ascii="宋体" w:hAnsi="宋体" w:eastAsia="宋体" w:cs="宋体"/>
                <w:sz w:val="21"/>
              </w:rPr>
              <w:t>差旅费</w:t>
            </w:r>
          </w:p>
        </w:tc>
        <w:tc>
          <w:tcPr>
            <w:tcW w:w="1540" w:type="dxa"/>
            <w:tcMar>
              <w:top w:w="0" w:type="dxa"/>
              <w:left w:w="0" w:type="dxa"/>
              <w:bottom w:w="0" w:type="dxa"/>
              <w:right w:w="0" w:type="dxa"/>
            </w:tcMar>
          </w:tcPr>
          <w:p>
            <w:pPr>
              <w:spacing w:before="260"/>
              <w:ind w:left="4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p>
        </w:tc>
        <w:tc>
          <w:tcPr>
            <w:tcW w:w="1200" w:type="dxa"/>
            <w:tcMar>
              <w:top w:w="0" w:type="dxa"/>
              <w:left w:w="0" w:type="dxa"/>
              <w:bottom w:w="0" w:type="dxa"/>
              <w:right w:w="0" w:type="dxa"/>
            </w:tcMar>
          </w:tcPr>
          <w:p>
            <w:pPr>
              <w:spacing w:before="240"/>
              <w:ind w:left="6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60"/>
              <w:ind w:left="5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c>
          <w:tcPr>
            <w:tcW w:w="122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c>
          <w:tcPr>
            <w:tcW w:w="1820" w:type="dxa"/>
            <w:tcMar>
              <w:top w:w="0" w:type="dxa"/>
              <w:left w:w="0" w:type="dxa"/>
              <w:bottom w:w="0" w:type="dxa"/>
              <w:right w:w="0" w:type="dxa"/>
            </w:tcMar>
          </w:tcPr>
          <w:p>
            <w:pPr>
              <w:spacing w:before="260"/>
              <w:ind w:left="6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w:t>
            </w:r>
          </w:p>
        </w:tc>
      </w:tr>
      <w:tr>
        <w:trPr>
          <w:trHeight w:val="640" w:hRule="exact"/>
        </w:trPr>
        <w:tc>
          <w:tcPr>
            <w:tcW w:w="1580" w:type="dxa"/>
            <w:tcMar>
              <w:top w:w="0" w:type="dxa"/>
              <w:left w:w="0" w:type="dxa"/>
              <w:bottom w:w="0" w:type="dxa"/>
              <w:right w:w="0" w:type="dxa"/>
            </w:tcMar>
          </w:tcPr>
          <w:p>
            <w:pPr>
              <w:spacing w:before="180"/>
              <w:ind w:left="460"/>
            </w:pPr>
            <w:r>
              <w:rPr>
                <w:rFonts w:hint="eastAsia" w:ascii="宋体" w:hAnsi="宋体" w:eastAsia="宋体" w:cs="宋体"/>
                <w:sz w:val="21"/>
              </w:rPr>
              <w:t>租赁费</w:t>
            </w:r>
          </w:p>
        </w:tc>
        <w:tc>
          <w:tcPr>
            <w:tcW w:w="1540" w:type="dxa"/>
            <w:tcMar>
              <w:top w:w="0" w:type="dxa"/>
              <w:left w:w="0" w:type="dxa"/>
              <w:bottom w:w="0" w:type="dxa"/>
              <w:right w:w="0" w:type="dxa"/>
            </w:tcMar>
          </w:tcPr>
          <w:p>
            <w:pPr>
              <w:spacing w:before="220"/>
              <w:ind w:left="4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c>
          <w:tcPr>
            <w:tcW w:w="1200" w:type="dxa"/>
            <w:tcMar>
              <w:top w:w="0" w:type="dxa"/>
              <w:left w:w="0" w:type="dxa"/>
              <w:bottom w:w="0" w:type="dxa"/>
              <w:right w:w="0" w:type="dxa"/>
            </w:tcMar>
          </w:tcPr>
          <w:p>
            <w:pPr>
              <w:spacing w:before="220"/>
              <w:ind w:left="6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20"/>
              <w:ind w:left="5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w:t>
            </w:r>
          </w:p>
        </w:tc>
        <w:tc>
          <w:tcPr>
            <w:tcW w:w="1220" w:type="dxa"/>
            <w:tcMar>
              <w:top w:w="0" w:type="dxa"/>
              <w:left w:w="0" w:type="dxa"/>
              <w:bottom w:w="0" w:type="dxa"/>
              <w:right w:w="0" w:type="dxa"/>
            </w:tcMar>
          </w:tcPr>
          <w:p>
            <w:pPr>
              <w:spacing w:before="220"/>
              <w:ind w:left="54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c>
          <w:tcPr>
            <w:tcW w:w="1820" w:type="dxa"/>
            <w:tcMar>
              <w:top w:w="0" w:type="dxa"/>
              <w:left w:w="0" w:type="dxa"/>
              <w:bottom w:w="0" w:type="dxa"/>
              <w:right w:w="0" w:type="dxa"/>
            </w:tcMar>
          </w:tcPr>
          <w:p>
            <w:pPr>
              <w:spacing w:before="22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w:t>
            </w:r>
          </w:p>
        </w:tc>
      </w:tr>
      <w:tr>
        <w:trPr>
          <w:trHeight w:val="640" w:hRule="exact"/>
        </w:trPr>
        <w:tc>
          <w:tcPr>
            <w:tcW w:w="1580" w:type="dxa"/>
            <w:tcMar>
              <w:top w:w="0" w:type="dxa"/>
              <w:left w:w="0" w:type="dxa"/>
              <w:bottom w:w="0" w:type="dxa"/>
              <w:right w:w="0" w:type="dxa"/>
            </w:tcMar>
          </w:tcPr>
          <w:p>
            <w:pPr>
              <w:spacing w:before="200"/>
              <w:ind w:left="460"/>
            </w:pPr>
            <w:r>
              <w:rPr>
                <w:rFonts w:hint="eastAsia" w:ascii="宋体" w:hAnsi="宋体" w:eastAsia="宋体" w:cs="宋体"/>
                <w:sz w:val="21"/>
              </w:rPr>
              <w:t>办公费</w:t>
            </w:r>
          </w:p>
        </w:tc>
        <w:tc>
          <w:tcPr>
            <w:tcW w:w="1540" w:type="dxa"/>
            <w:tcMar>
              <w:top w:w="0" w:type="dxa"/>
              <w:left w:w="0" w:type="dxa"/>
              <w:bottom w:w="0" w:type="dxa"/>
              <w:right w:w="0" w:type="dxa"/>
            </w:tcMar>
          </w:tcPr>
          <w:p>
            <w:pPr>
              <w:spacing w:before="240"/>
              <w:ind w:left="4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w:t>
            </w:r>
          </w:p>
        </w:tc>
        <w:tc>
          <w:tcPr>
            <w:tcW w:w="1200" w:type="dxa"/>
            <w:tcMar>
              <w:top w:w="0" w:type="dxa"/>
              <w:left w:w="0" w:type="dxa"/>
              <w:bottom w:w="0" w:type="dxa"/>
              <w:right w:w="0" w:type="dxa"/>
            </w:tcMar>
          </w:tcPr>
          <w:p>
            <w:pPr>
              <w:spacing w:before="240"/>
              <w:ind w:left="4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40"/>
              <w:ind w:left="5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p>
        </w:tc>
        <w:tc>
          <w:tcPr>
            <w:tcW w:w="122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p>
        </w:tc>
        <w:tc>
          <w:tcPr>
            <w:tcW w:w="1820" w:type="dxa"/>
            <w:tcMar>
              <w:top w:w="0" w:type="dxa"/>
              <w:left w:w="0" w:type="dxa"/>
              <w:bottom w:w="0" w:type="dxa"/>
              <w:right w:w="0" w:type="dxa"/>
            </w:tcMar>
          </w:tcPr>
          <w:p>
            <w:pPr>
              <w:spacing w:before="240"/>
              <w:ind w:left="6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p>
        </w:tc>
      </w:tr>
      <w:tr>
        <w:trPr>
          <w:trHeight w:val="620" w:hRule="exact"/>
        </w:trPr>
        <w:tc>
          <w:tcPr>
            <w:tcW w:w="1580" w:type="dxa"/>
            <w:tcMar>
              <w:top w:w="0" w:type="dxa"/>
              <w:left w:w="0" w:type="dxa"/>
              <w:bottom w:w="0" w:type="dxa"/>
              <w:right w:w="0" w:type="dxa"/>
            </w:tcMar>
          </w:tcPr>
          <w:p>
            <w:pPr>
              <w:spacing w:before="180"/>
              <w:ind w:left="240"/>
            </w:pPr>
            <w:r>
              <w:rPr>
                <w:rFonts w:hint="eastAsia" w:ascii="宋体" w:hAnsi="宋体" w:eastAsia="宋体" w:cs="宋体"/>
                <w:sz w:val="21"/>
              </w:rPr>
              <w:t>广告宣传费</w:t>
            </w:r>
          </w:p>
        </w:tc>
        <w:tc>
          <w:tcPr>
            <w:tcW w:w="1540" w:type="dxa"/>
            <w:tcMar>
              <w:top w:w="0" w:type="dxa"/>
              <w:left w:w="0" w:type="dxa"/>
              <w:bottom w:w="0" w:type="dxa"/>
              <w:right w:w="0" w:type="dxa"/>
            </w:tcMar>
          </w:tcPr>
          <w:p>
            <w:pPr>
              <w:spacing w:before="240"/>
              <w:ind w:left="540"/>
            </w:pPr>
            <w:r>
              <w:rPr>
                <w:rFonts w:hint="eastAsia" w:ascii="Times New Roman" w:hAnsi="Times New Roman" w:eastAsia="Times New Roman" w:cs="Times New Roman"/>
                <w:sz w:val="21"/>
              </w:rPr>
              <w:t>978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p>
        </w:tc>
        <w:tc>
          <w:tcPr>
            <w:tcW w:w="1200" w:type="dxa"/>
            <w:tcMar>
              <w:top w:w="0" w:type="dxa"/>
              <w:left w:w="0" w:type="dxa"/>
              <w:bottom w:w="0" w:type="dxa"/>
              <w:right w:w="0" w:type="dxa"/>
            </w:tcMar>
          </w:tcPr>
          <w:p>
            <w:pPr>
              <w:spacing w:before="240"/>
              <w:ind w:left="500"/>
            </w:pP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40"/>
              <w:ind w:left="740"/>
            </w:pPr>
            <w:r>
              <w:rPr>
                <w:rFonts w:hint="eastAsia" w:ascii="Times New Roman" w:hAnsi="Times New Roman" w:eastAsia="Times New Roman" w:cs="Times New Roman"/>
                <w:sz w:val="21"/>
              </w:rPr>
              <w:t>552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1220" w:type="dxa"/>
            <w:tcMar>
              <w:top w:w="0" w:type="dxa"/>
              <w:left w:w="0" w:type="dxa"/>
              <w:bottom w:w="0" w:type="dxa"/>
              <w:right w:w="0" w:type="dxa"/>
            </w:tcMar>
          </w:tcPr>
          <w:p>
            <w:pPr>
              <w:spacing w:before="240"/>
              <w:ind w:left="460"/>
            </w:pPr>
            <w:r>
              <w:rPr>
                <w:rFonts w:hint="eastAsia" w:ascii="Times New Roman" w:hAnsi="Times New Roman" w:eastAsia="Times New Roman" w:cs="Times New Roman"/>
                <w:sz w:val="21"/>
              </w:rPr>
              <w:t>-40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p>
        </w:tc>
        <w:tc>
          <w:tcPr>
            <w:tcW w:w="1820" w:type="dxa"/>
            <w:tcMar>
              <w:top w:w="0" w:type="dxa"/>
              <w:left w:w="0" w:type="dxa"/>
              <w:bottom w:w="0" w:type="dxa"/>
              <w:right w:w="0" w:type="dxa"/>
            </w:tcMar>
          </w:tcPr>
          <w:p>
            <w:pPr>
              <w:spacing w:before="240"/>
              <w:ind w:left="840"/>
            </w:pPr>
            <w:r>
              <w:rPr>
                <w:rFonts w:hint="eastAsia" w:ascii="Times New Roman" w:hAnsi="Times New Roman" w:eastAsia="Times New Roman" w:cs="Times New Roman"/>
                <w:sz w:val="21"/>
              </w:rPr>
              <w:t>929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r>
      <w:tr>
        <w:trPr>
          <w:trHeight w:val="640" w:hRule="exact"/>
        </w:trPr>
        <w:tc>
          <w:tcPr>
            <w:tcW w:w="1580" w:type="dxa"/>
            <w:tcMar>
              <w:top w:w="0" w:type="dxa"/>
              <w:left w:w="0" w:type="dxa"/>
              <w:bottom w:w="0" w:type="dxa"/>
              <w:right w:w="0" w:type="dxa"/>
            </w:tcMar>
          </w:tcPr>
          <w:p>
            <w:pPr>
              <w:spacing w:before="200"/>
              <w:ind w:left="560"/>
            </w:pPr>
            <w:r>
              <w:rPr>
                <w:rFonts w:hint="eastAsia" w:ascii="宋体" w:hAnsi="宋体" w:eastAsia="宋体" w:cs="宋体"/>
                <w:sz w:val="21"/>
              </w:rPr>
              <w:t>其他</w:t>
            </w:r>
          </w:p>
        </w:tc>
        <w:tc>
          <w:tcPr>
            <w:tcW w:w="1540" w:type="dxa"/>
            <w:tcMar>
              <w:top w:w="0" w:type="dxa"/>
              <w:left w:w="0" w:type="dxa"/>
              <w:bottom w:w="0" w:type="dxa"/>
              <w:right w:w="0" w:type="dxa"/>
            </w:tcMar>
          </w:tcPr>
          <w:p>
            <w:pPr>
              <w:spacing w:before="220"/>
              <w:ind w:left="7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c>
          <w:tcPr>
            <w:tcW w:w="1200" w:type="dxa"/>
            <w:tcMar>
              <w:top w:w="0" w:type="dxa"/>
              <w:left w:w="0" w:type="dxa"/>
              <w:bottom w:w="0" w:type="dxa"/>
              <w:right w:w="0" w:type="dxa"/>
            </w:tcMar>
          </w:tcPr>
          <w:p>
            <w:pPr>
              <w:spacing w:before="220"/>
              <w:ind w:left="500"/>
            </w:pP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p>
        </w:tc>
        <w:tc>
          <w:tcPr>
            <w:tcW w:w="1740" w:type="dxa"/>
            <w:tcMar>
              <w:top w:w="0" w:type="dxa"/>
              <w:left w:w="0" w:type="dxa"/>
              <w:bottom w:w="0" w:type="dxa"/>
              <w:right w:w="0" w:type="dxa"/>
            </w:tcMar>
          </w:tcPr>
          <w:p>
            <w:pPr>
              <w:spacing w:before="220"/>
              <w:ind w:left="9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c>
          <w:tcPr>
            <w:tcW w:w="1220" w:type="dxa"/>
            <w:tcMar>
              <w:top w:w="0" w:type="dxa"/>
              <w:left w:w="0" w:type="dxa"/>
              <w:bottom w:w="0" w:type="dxa"/>
              <w:right w:w="0" w:type="dxa"/>
            </w:tcMar>
          </w:tcPr>
          <w:p>
            <w:pPr>
              <w:spacing w:before="220"/>
              <w:ind w:left="54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p>
        </w:tc>
        <w:tc>
          <w:tcPr>
            <w:tcW w:w="1820" w:type="dxa"/>
            <w:tcMar>
              <w:top w:w="0" w:type="dxa"/>
              <w:left w:w="0" w:type="dxa"/>
              <w:bottom w:w="0" w:type="dxa"/>
              <w:right w:w="0" w:type="dxa"/>
            </w:tcMar>
          </w:tcPr>
          <w:p>
            <w:pPr>
              <w:spacing w:before="220"/>
              <w:ind w:left="10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r>
      <w:tr>
        <w:trPr>
          <w:trHeight w:val="620" w:hRule="exact"/>
        </w:trPr>
        <w:tc>
          <w:tcPr>
            <w:tcW w:w="1580" w:type="dxa"/>
            <w:tcMar>
              <w:top w:w="0" w:type="dxa"/>
              <w:left w:w="0" w:type="dxa"/>
              <w:bottom w:w="0" w:type="dxa"/>
              <w:right w:w="0" w:type="dxa"/>
            </w:tcMar>
          </w:tcPr>
          <w:p>
            <w:pPr>
              <w:spacing w:before="200"/>
              <w:ind w:left="560"/>
            </w:pPr>
            <w:r>
              <w:rPr>
                <w:rFonts w:hint="eastAsia" w:ascii="宋体" w:hAnsi="宋体" w:eastAsia="宋体" w:cs="宋体"/>
                <w:b/>
                <w:sz w:val="21"/>
              </w:rPr>
              <w:t>合计</w:t>
            </w:r>
          </w:p>
        </w:tc>
        <w:tc>
          <w:tcPr>
            <w:tcW w:w="1540" w:type="dxa"/>
            <w:tcMar>
              <w:top w:w="0" w:type="dxa"/>
              <w:left w:w="0" w:type="dxa"/>
              <w:bottom w:w="0" w:type="dxa"/>
              <w:right w:w="0" w:type="dxa"/>
            </w:tcMar>
          </w:tcPr>
          <w:p>
            <w:pPr>
              <w:spacing w:before="240"/>
              <w:ind w:left="280"/>
            </w:pPr>
            <w:r>
              <w:rPr>
                <w:rFonts w:hint="eastAsia" w:ascii="Times New Roman Bold" w:hAnsi="Times New Roman Bold" w:eastAsia="Times New Roman Bold" w:cs="Times New Roman Bold"/>
                <w:b/>
                <w:sz w:val="21"/>
              </w:rPr>
              <w:t>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325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w:t>
            </w:r>
          </w:p>
        </w:tc>
        <w:tc>
          <w:tcPr>
            <w:tcW w:w="1200" w:type="dxa"/>
            <w:tcMar>
              <w:top w:w="0" w:type="dxa"/>
              <w:left w:w="0" w:type="dxa"/>
              <w:bottom w:w="0" w:type="dxa"/>
              <w:right w:w="0" w:type="dxa"/>
            </w:tcMar>
          </w:tcPr>
          <w:p>
            <w:pPr>
              <w:spacing w:before="220"/>
              <w:ind w:left="580"/>
            </w:pPr>
            <w:r>
              <w:rPr>
                <w:rFonts w:hint="eastAsia" w:ascii="Times New Roman Bold" w:hAnsi="Times New Roman Bold" w:eastAsia="Times New Roman Bold" w:cs="Times New Roman Bold"/>
                <w:b/>
                <w:sz w:val="21"/>
              </w:rPr>
              <w:t>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55</w:t>
            </w:r>
            <w:r>
              <w:rPr>
                <w:rFonts w:hint="eastAsia" w:ascii="Times New Roman Bold" w:hAnsi="Times New Roman Bold" w:eastAsia="Times New Roman Bold" w:cs="Times New Roman Bold"/>
                <w:b/>
                <w:sz w:val="20"/>
              </w:rPr>
              <w:t>%</w:t>
            </w:r>
          </w:p>
        </w:tc>
        <w:tc>
          <w:tcPr>
            <w:tcW w:w="1740" w:type="dxa"/>
            <w:tcMar>
              <w:top w:w="0" w:type="dxa"/>
              <w:left w:w="0" w:type="dxa"/>
              <w:bottom w:w="0" w:type="dxa"/>
              <w:right w:w="0" w:type="dxa"/>
            </w:tcMar>
          </w:tcPr>
          <w:p>
            <w:pPr>
              <w:spacing w:before="240"/>
              <w:ind w:left="500"/>
            </w:pPr>
            <w:r>
              <w:rPr>
                <w:rFonts w:hint="eastAsia" w:ascii="Times New Roman Bold" w:hAnsi="Times New Roman Bold" w:eastAsia="Times New Roman Bold" w:cs="Times New Roman Bold"/>
                <w:b/>
                <w:sz w:val="21"/>
              </w:rPr>
              <w:t>26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135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112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78</w:t>
            </w:r>
          </w:p>
        </w:tc>
        <w:tc>
          <w:tcPr>
            <w:tcW w:w="1220" w:type="dxa"/>
            <w:tcMar>
              <w:top w:w="0" w:type="dxa"/>
              <w:left w:w="0" w:type="dxa"/>
              <w:bottom w:w="0" w:type="dxa"/>
              <w:right w:w="0" w:type="dxa"/>
            </w:tcMar>
          </w:tcPr>
          <w:p>
            <w:pPr>
              <w:spacing w:before="220"/>
              <w:ind w:left="60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13</w:t>
            </w:r>
            <w:r>
              <w:rPr>
                <w:rFonts w:hint="eastAsia" w:ascii="Times New Roman Bold" w:hAnsi="Times New Roman Bold" w:eastAsia="Times New Roman Bold" w:cs="Times New Roman Bold"/>
                <w:b/>
                <w:sz w:val="20"/>
              </w:rPr>
              <w:t>%</w:t>
            </w:r>
          </w:p>
        </w:tc>
        <w:tc>
          <w:tcPr>
            <w:tcW w:w="1820" w:type="dxa"/>
            <w:tcMar>
              <w:top w:w="0" w:type="dxa"/>
              <w:left w:w="0" w:type="dxa"/>
              <w:bottom w:w="0" w:type="dxa"/>
              <w:right w:w="0" w:type="dxa"/>
            </w:tcMar>
          </w:tcPr>
          <w:p>
            <w:pPr>
              <w:spacing w:before="240"/>
              <w:ind w:left="580"/>
            </w:pPr>
            <w:r>
              <w:rPr>
                <w:rFonts w:hint="eastAsia" w:ascii="Times New Roman Bold" w:hAnsi="Times New Roman Bold" w:eastAsia="Times New Roman Bold" w:cs="Times New Roman Bold"/>
                <w:b/>
                <w:sz w:val="21"/>
              </w:rPr>
              <w:t>25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301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33</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1-1-279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报告期内公司销售费用略有增长</w:t>
      </w:r>
      <w:r>
        <w:rPr>
          <w:rFonts w:hint="eastAsia" w:ascii="宋体" w:hAnsi="宋体" w:eastAsia="宋体" w:cs="宋体"/>
          <w:sz w:val="10"/>
        </w:rPr>
        <w:t>。</w:t>
      </w:r>
      <w:r>
        <w:rPr>
          <w:rFonts w:hint="eastAsia" w:ascii="宋体" w:hAnsi="宋体" w:eastAsia="宋体" w:cs="宋体"/>
          <w:sz w:val="24"/>
        </w:rPr>
        <w:t>公司销售费用主要由人工费用</w:t>
      </w:r>
      <w:r>
        <w:rPr>
          <w:rFonts w:hint="eastAsia" w:ascii="宋体" w:hAnsi="宋体" w:eastAsia="宋体" w:cs="宋体"/>
          <w:sz w:val="10"/>
        </w:rPr>
        <w:t>、</w:t>
      </w:r>
      <w:r>
        <w:rPr>
          <w:rFonts w:hint="eastAsia" w:ascii="宋体" w:hAnsi="宋体" w:eastAsia="宋体" w:cs="宋体"/>
          <w:sz w:val="24"/>
        </w:rPr>
        <w:t>业务招待费</w:t>
      </w:r>
      <w:r>
        <w:rPr>
          <w:rFonts w:hint="eastAsia" w:ascii="宋体" w:hAnsi="宋体" w:eastAsia="宋体" w:cs="宋体"/>
          <w:sz w:val="10"/>
        </w:rPr>
        <w:t>、</w:t>
      </w:r>
      <w:r>
        <w:rPr>
          <w:rFonts w:hint="eastAsia" w:ascii="宋体" w:hAnsi="宋体" w:eastAsia="宋体" w:cs="宋体"/>
          <w:sz w:val="24"/>
        </w:rPr>
        <w:t>差旅费等构成</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年销售费用较</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年增长</w:t>
      </w:r>
      <w:r>
        <w:rPr>
          <w:rFonts w:hint="eastAsia" w:ascii="Times New Roman" w:hAnsi="Times New Roman" w:eastAsia="Times New Roman" w:cs="Times New Roman"/>
          <w:sz w:val="24"/>
        </w:rPr>
        <w:t xml:space="preserve"> 793,811.45</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基本保持稳定</w:t>
      </w:r>
      <w:r>
        <w:rPr>
          <w:rFonts w:hint="eastAsia" w:ascii="宋体" w:hAnsi="宋体" w:eastAsia="宋体" w:cs="宋体"/>
          <w:sz w:val="10"/>
        </w:rPr>
        <w:t>，</w:t>
      </w:r>
      <w:r>
        <w:rPr>
          <w:rFonts w:hint="eastAsia" w:ascii="宋体" w:hAnsi="宋体" w:eastAsia="宋体" w:cs="宋体"/>
          <w:sz w:val="24"/>
        </w:rPr>
        <w:t>主要是由于在其他各项费用增长的情况下人工费用和广告宣传费有所下降</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2"/>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年人工费用比</w:t>
      </w:r>
      <w:r>
        <w:rPr>
          <w:rFonts w:hint="eastAsia" w:ascii="Times New Roman" w:hAnsi="Times New Roman" w:eastAsia="Times New Roman" w:cs="Times New Roman"/>
          <w:sz w:val="24"/>
        </w:rPr>
        <w:t xml:space="preserve"> 2014</w:t>
      </w:r>
      <w:r>
        <w:rPr>
          <w:rFonts w:hint="eastAsia" w:ascii="宋体" w:hAnsi="宋体" w:eastAsia="宋体" w:cs="宋体"/>
          <w:sz w:val="24"/>
        </w:rPr>
        <w:t>年降低</w:t>
      </w:r>
      <w:r>
        <w:rPr>
          <w:rFonts w:hint="eastAsia" w:ascii="Times New Roman" w:hAnsi="Times New Roman" w:eastAsia="Times New Roman" w:cs="Times New Roman"/>
          <w:sz w:val="24"/>
        </w:rPr>
        <w:t xml:space="preserve"> 661,083.26</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同比下降</w:t>
      </w:r>
      <w:r>
        <w:rPr>
          <w:rFonts w:hint="eastAsia" w:ascii="Times New Roman" w:hAnsi="Times New Roman" w:eastAsia="Times New Roman" w:cs="Times New Roman"/>
          <w:sz w:val="24"/>
        </w:rPr>
        <w:t xml:space="preserve"> 5.10%</w:t>
      </w:r>
      <w:r>
        <w:rPr>
          <w:rFonts w:hint="eastAsia" w:ascii="宋体" w:hAnsi="宋体" w:eastAsia="宋体" w:cs="宋体"/>
          <w:sz w:val="10"/>
        </w:rPr>
        <w:t>，</w:t>
      </w:r>
      <w:r>
        <w:rPr>
          <w:rFonts w:hint="eastAsia" w:ascii="宋体" w:hAnsi="宋体" w:eastAsia="宋体" w:cs="宋体"/>
          <w:sz w:val="24"/>
        </w:rPr>
        <w:t>主要是由于公司根据发展战略和市场变化情况</w:t>
      </w:r>
      <w:r>
        <w:rPr>
          <w:rFonts w:hint="eastAsia" w:ascii="宋体" w:hAnsi="宋体" w:eastAsia="宋体" w:cs="宋体"/>
          <w:sz w:val="10"/>
        </w:rPr>
        <w:t>，</w:t>
      </w:r>
      <w:r>
        <w:rPr>
          <w:rFonts w:hint="eastAsia" w:ascii="宋体" w:hAnsi="宋体" w:eastAsia="宋体" w:cs="宋体"/>
          <w:sz w:val="24"/>
        </w:rPr>
        <w:t>在业务布局上做了调整</w:t>
      </w:r>
      <w:r>
        <w:rPr>
          <w:rFonts w:hint="eastAsia" w:ascii="宋体" w:hAnsi="宋体" w:eastAsia="宋体" w:cs="宋体"/>
          <w:sz w:val="10"/>
        </w:rPr>
        <w:t>，</w:t>
      </w:r>
      <w:r>
        <w:rPr>
          <w:rFonts w:hint="eastAsia" w:ascii="宋体" w:hAnsi="宋体" w:eastAsia="宋体" w:cs="宋体"/>
          <w:sz w:val="24"/>
        </w:rPr>
        <w:t>对销售体系做了优化整合</w:t>
      </w:r>
      <w:r>
        <w:rPr>
          <w:rFonts w:hint="eastAsia" w:ascii="宋体" w:hAnsi="宋体" w:eastAsia="宋体" w:cs="宋体"/>
          <w:sz w:val="10"/>
        </w:rPr>
        <w:t>，</w:t>
      </w:r>
      <w:r>
        <w:rPr>
          <w:rFonts w:hint="eastAsia" w:ascii="宋体" w:hAnsi="宋体" w:eastAsia="宋体" w:cs="宋体"/>
          <w:sz w:val="24"/>
        </w:rPr>
        <w:t>合并了部分销售团队</w:t>
      </w:r>
      <w:r>
        <w:rPr>
          <w:rFonts w:hint="eastAsia" w:ascii="宋体" w:hAnsi="宋体" w:eastAsia="宋体" w:cs="宋体"/>
          <w:sz w:val="10"/>
        </w:rPr>
        <w:t>，</w:t>
      </w:r>
      <w:r>
        <w:rPr>
          <w:rFonts w:hint="eastAsia" w:ascii="宋体" w:hAnsi="宋体" w:eastAsia="宋体" w:cs="宋体"/>
          <w:sz w:val="24"/>
        </w:rPr>
        <w:t>减少了部分销售辅助人员</w:t>
      </w:r>
      <w:r>
        <w:rPr>
          <w:rFonts w:hint="eastAsia" w:ascii="宋体" w:hAnsi="宋体" w:eastAsia="宋体" w:cs="宋体"/>
          <w:sz w:val="10"/>
        </w:rPr>
        <w:t>，</w:t>
      </w:r>
      <w:r>
        <w:rPr>
          <w:rFonts w:hint="eastAsia" w:ascii="宋体" w:hAnsi="宋体" w:eastAsia="宋体" w:cs="宋体"/>
          <w:sz w:val="24"/>
        </w:rPr>
        <w:t>导致公司销售人员数量有所下降</w:t>
      </w:r>
      <w:r>
        <w:rPr>
          <w:rFonts w:hint="eastAsia" w:ascii="宋体" w:hAnsi="宋体" w:eastAsia="宋体" w:cs="宋体"/>
          <w:sz w:val="14"/>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年广告宣传费比</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年降低</w:t>
      </w:r>
      <w:r>
        <w:rPr>
          <w:rFonts w:hint="eastAsia" w:ascii="Times New Roman" w:hAnsi="Times New Roman" w:eastAsia="Times New Roman" w:cs="Times New Roman"/>
          <w:sz w:val="24"/>
        </w:rPr>
        <w:t>377,712.59</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同比下降</w:t>
      </w:r>
      <w:r>
        <w:rPr>
          <w:rFonts w:hint="eastAsia" w:ascii="Times New Roman" w:hAnsi="Times New Roman" w:eastAsia="Times New Roman" w:cs="Times New Roman"/>
          <w:sz w:val="24"/>
        </w:rPr>
        <w:t xml:space="preserve"> 40.62%</w:t>
      </w:r>
      <w:r>
        <w:rPr>
          <w:rFonts w:hint="eastAsia" w:ascii="宋体" w:hAnsi="宋体" w:eastAsia="宋体" w:cs="宋体"/>
          <w:sz w:val="10"/>
        </w:rPr>
        <w:t>，</w:t>
      </w:r>
      <w:r>
        <w:rPr>
          <w:rFonts w:hint="eastAsia" w:ascii="宋体" w:hAnsi="宋体" w:eastAsia="宋体" w:cs="宋体"/>
          <w:sz w:val="24"/>
        </w:rPr>
        <w:t>主要由于</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年公司在招聘</w:t>
      </w:r>
      <w:r>
        <w:rPr>
          <w:rFonts w:hint="eastAsia" w:ascii="宋体" w:hAnsi="宋体" w:eastAsia="宋体" w:cs="宋体"/>
          <w:sz w:val="10"/>
        </w:rPr>
        <w:t>、</w:t>
      </w:r>
      <w:r>
        <w:rPr>
          <w:rFonts w:hint="eastAsia" w:ascii="宋体" w:hAnsi="宋体" w:eastAsia="宋体" w:cs="宋体"/>
          <w:sz w:val="24"/>
        </w:rPr>
        <w:t>人力资源</w:t>
      </w:r>
      <w:r>
        <w:rPr>
          <w:rFonts w:hint="eastAsia" w:ascii="宋体" w:hAnsi="宋体" w:eastAsia="宋体" w:cs="宋体"/>
          <w:sz w:val="10"/>
        </w:rPr>
        <w:t>、</w:t>
      </w:r>
      <w:r>
        <w:rPr>
          <w:rFonts w:hint="eastAsia" w:ascii="宋体" w:hAnsi="宋体" w:eastAsia="宋体" w:cs="宋体"/>
          <w:sz w:val="24"/>
        </w:rPr>
        <w:t>会务宣传方面的投入较多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年销售费用较</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年增长</w:t>
      </w:r>
      <w:r>
        <w:rPr>
          <w:rFonts w:hint="eastAsia" w:ascii="Times New Roman" w:hAnsi="Times New Roman" w:eastAsia="Times New Roman" w:cs="Times New Roman"/>
          <w:sz w:val="24"/>
        </w:rPr>
        <w:t xml:space="preserve"> 1,190,291.81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主要是由于人工费用和广告宣传费有所增加</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年人工费用比</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年增加</w:t>
      </w:r>
      <w:r>
        <w:rPr>
          <w:rFonts w:hint="eastAsia" w:ascii="Times New Roman" w:hAnsi="Times New Roman" w:eastAsia="Times New Roman" w:cs="Times New Roman"/>
          <w:sz w:val="24"/>
        </w:rPr>
        <w:t xml:space="preserve"> 979,375.41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同比增长</w:t>
      </w:r>
      <w:r>
        <w:rPr>
          <w:rFonts w:hint="eastAsia" w:ascii="Times New Roman" w:hAnsi="Times New Roman" w:eastAsia="Times New Roman" w:cs="Times New Roman"/>
          <w:sz w:val="24"/>
        </w:rPr>
        <w:t xml:space="preserve"> 7.96%</w:t>
      </w:r>
      <w:r>
        <w:rPr>
          <w:rFonts w:hint="eastAsia" w:ascii="宋体" w:hAnsi="宋体" w:eastAsia="宋体" w:cs="宋体"/>
          <w:sz w:val="10"/>
        </w:rPr>
        <w:t>，</w:t>
      </w:r>
      <w:r>
        <w:rPr>
          <w:rFonts w:hint="eastAsia" w:ascii="宋体" w:hAnsi="宋体" w:eastAsia="宋体" w:cs="宋体"/>
          <w:sz w:val="24"/>
        </w:rPr>
        <w:t>主要是由于公司在稳定销售人员队伍的基础上提升单位员工薪酬所致</w:t>
      </w:r>
      <w:r>
        <w:rPr>
          <w:rFonts w:hint="eastAsia" w:ascii="宋体" w:hAnsi="宋体" w:eastAsia="宋体" w:cs="宋体"/>
          <w:sz w:val="14"/>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年广告宣传费比</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年增加</w:t>
      </w:r>
      <w:r>
        <w:rPr>
          <w:rFonts w:hint="eastAsia" w:ascii="Times New Roman" w:hAnsi="Times New Roman" w:eastAsia="Times New Roman" w:cs="Times New Roman"/>
          <w:sz w:val="24"/>
        </w:rPr>
        <w:t xml:space="preserve"> 426,760.09</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同比增长</w:t>
      </w:r>
      <w:r>
        <w:rPr>
          <w:rFonts w:hint="eastAsia" w:ascii="Times New Roman" w:hAnsi="Times New Roman" w:eastAsia="Times New Roman" w:cs="Times New Roman"/>
          <w:sz w:val="24"/>
        </w:rPr>
        <w:t xml:space="preserve"> 77.28%</w:t>
      </w:r>
      <w:r>
        <w:rPr>
          <w:rFonts w:hint="eastAsia" w:ascii="宋体" w:hAnsi="宋体" w:eastAsia="宋体" w:cs="宋体"/>
          <w:sz w:val="10"/>
        </w:rPr>
        <w:t>，</w:t>
      </w:r>
      <w:r>
        <w:rPr>
          <w:rFonts w:hint="eastAsia" w:ascii="宋体" w:hAnsi="宋体" w:eastAsia="宋体" w:cs="宋体"/>
          <w:sz w:val="24"/>
        </w:rPr>
        <w:t>主要是由于公司加大校园宣传力度</w:t>
      </w:r>
      <w:r>
        <w:rPr>
          <w:rFonts w:hint="eastAsia" w:ascii="宋体" w:hAnsi="宋体" w:eastAsia="宋体" w:cs="宋体"/>
          <w:sz w:val="10"/>
        </w:rPr>
        <w:t>，</w:t>
      </w:r>
      <w:r>
        <w:rPr>
          <w:rFonts w:hint="eastAsia" w:ascii="宋体" w:hAnsi="宋体" w:eastAsia="宋体" w:cs="宋体"/>
          <w:sz w:val="24"/>
        </w:rPr>
        <w:t>冠名了高校比赛</w:t>
      </w:r>
      <w:r>
        <w:rPr>
          <w:rFonts w:hint="eastAsia" w:ascii="宋体" w:hAnsi="宋体" w:eastAsia="宋体" w:cs="宋体"/>
          <w:sz w:val="10"/>
        </w:rPr>
        <w:t>，</w:t>
      </w:r>
      <w:r>
        <w:rPr>
          <w:rFonts w:hint="eastAsia" w:ascii="宋体" w:hAnsi="宋体" w:eastAsia="宋体" w:cs="宋体"/>
          <w:sz w:val="24"/>
        </w:rPr>
        <w:t>以及举办了顶点软件成立二十周年宣传活动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）管理费用</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管理费用的构成如下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120" w:type="auto"/>
        <w:tblInd w:w="14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780"/>
        <w:gridCol w:w="1840"/>
        <w:gridCol w:w="1140"/>
        <w:gridCol w:w="1700"/>
        <w:gridCol w:w="1140"/>
        <w:gridCol w:w="1500"/>
      </w:tblGrid>
      <w:tr>
        <w:trPr>
          <w:trHeight w:val="640" w:hRule="exact"/>
        </w:trPr>
        <w:tc>
          <w:tcPr>
            <w:tcW w:w="1780" w:type="dxa"/>
            <w:vMerge w:val="restart"/>
            <w:tcMar>
              <w:top w:w="0" w:type="dxa"/>
              <w:left w:w="0" w:type="dxa"/>
              <w:bottom w:w="0" w:type="dxa"/>
              <w:right w:w="0" w:type="dxa"/>
            </w:tcMar>
          </w:tcPr>
          <w:p>
            <w:pPr>
              <w:spacing w:before="500"/>
              <w:ind w:left="660"/>
            </w:pPr>
            <w:r>
              <w:rPr>
                <w:rFonts w:hint="eastAsia" w:ascii="宋体" w:hAnsi="宋体" w:eastAsia="宋体" w:cs="宋体"/>
                <w:b/>
                <w:sz w:val="21"/>
              </w:rPr>
              <w:t>项目</w:t>
            </w:r>
          </w:p>
        </w:tc>
        <w:tc>
          <w:tcPr>
            <w:tcW w:w="2980" w:type="dxa"/>
            <w:gridSpan w:val="2"/>
            <w:tcMar>
              <w:top w:w="0" w:type="dxa"/>
              <w:left w:w="0" w:type="dxa"/>
              <w:bottom w:w="0" w:type="dxa"/>
              <w:right w:w="0" w:type="dxa"/>
            </w:tcMar>
          </w:tcPr>
          <w:p>
            <w:pPr>
              <w:spacing w:before="200"/>
              <w:ind w:left="10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840" w:type="dxa"/>
            <w:gridSpan w:val="2"/>
            <w:tcMar>
              <w:top w:w="0" w:type="dxa"/>
              <w:left w:w="0" w:type="dxa"/>
              <w:bottom w:w="0" w:type="dxa"/>
              <w:right w:w="0" w:type="dxa"/>
            </w:tcMar>
          </w:tcPr>
          <w:p>
            <w:pPr>
              <w:spacing w:before="200"/>
              <w:ind w:left="9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1500" w:type="dxa"/>
            <w:tcMar>
              <w:top w:w="0" w:type="dxa"/>
              <w:left w:w="0" w:type="dxa"/>
              <w:bottom w:w="0" w:type="dxa"/>
              <w:right w:w="0" w:type="dxa"/>
            </w:tcMar>
          </w:tcPr>
          <w:p>
            <w:pPr>
              <w:spacing w:before="200"/>
              <w:ind w:left="28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40" w:hRule="exact"/>
        </w:trPr>
        <w:tc>
          <w:tcPr>
            <w:tcW w:w="1780" w:type="dxa"/>
            <w:vMerge w:val="continue"/>
            <w:tcMar>
              <w:top w:w="0" w:type="dxa"/>
              <w:left w:w="0" w:type="dxa"/>
              <w:bottom w:w="0" w:type="dxa"/>
              <w:right w:w="0" w:type="dxa"/>
            </w:tcMar>
          </w:tcPr>
          <w:p/>
        </w:tc>
        <w:tc>
          <w:tcPr>
            <w:tcW w:w="1840" w:type="dxa"/>
            <w:tcMar>
              <w:top w:w="0" w:type="dxa"/>
              <w:left w:w="0" w:type="dxa"/>
              <w:bottom w:w="0" w:type="dxa"/>
              <w:right w:w="0" w:type="dxa"/>
            </w:tcMar>
          </w:tcPr>
          <w:p>
            <w:pPr>
              <w:spacing w:before="200"/>
              <w:ind w:left="700"/>
            </w:pPr>
            <w:r>
              <w:rPr>
                <w:rFonts w:hint="eastAsia" w:ascii="宋体" w:hAnsi="宋体" w:eastAsia="宋体" w:cs="宋体"/>
                <w:b/>
                <w:sz w:val="21"/>
              </w:rPr>
              <w:t>金额</w:t>
            </w:r>
          </w:p>
        </w:tc>
        <w:tc>
          <w:tcPr>
            <w:tcW w:w="1140" w:type="dxa"/>
            <w:tcMar>
              <w:top w:w="0" w:type="dxa"/>
              <w:left w:w="0" w:type="dxa"/>
              <w:bottom w:w="0" w:type="dxa"/>
              <w:right w:w="0" w:type="dxa"/>
            </w:tcMar>
          </w:tcPr>
          <w:p>
            <w:pPr>
              <w:spacing w:before="200"/>
              <w:ind w:left="240"/>
            </w:pPr>
            <w:r>
              <w:rPr>
                <w:rFonts w:hint="eastAsia" w:ascii="宋体" w:hAnsi="宋体" w:eastAsia="宋体" w:cs="宋体"/>
                <w:b/>
                <w:sz w:val="21"/>
              </w:rPr>
              <w:t>增长率</w:t>
            </w:r>
          </w:p>
        </w:tc>
        <w:tc>
          <w:tcPr>
            <w:tcW w:w="1700" w:type="dxa"/>
            <w:tcMar>
              <w:top w:w="0" w:type="dxa"/>
              <w:left w:w="0" w:type="dxa"/>
              <w:bottom w:w="0" w:type="dxa"/>
              <w:right w:w="0" w:type="dxa"/>
            </w:tcMar>
          </w:tcPr>
          <w:p>
            <w:pPr>
              <w:spacing w:before="200"/>
              <w:ind w:left="620"/>
            </w:pPr>
            <w:r>
              <w:rPr>
                <w:rFonts w:hint="eastAsia" w:ascii="宋体" w:hAnsi="宋体" w:eastAsia="宋体" w:cs="宋体"/>
                <w:b/>
                <w:sz w:val="21"/>
              </w:rPr>
              <w:t>金额</w:t>
            </w:r>
          </w:p>
        </w:tc>
        <w:tc>
          <w:tcPr>
            <w:tcW w:w="1140" w:type="dxa"/>
            <w:tcMar>
              <w:top w:w="0" w:type="dxa"/>
              <w:left w:w="0" w:type="dxa"/>
              <w:bottom w:w="0" w:type="dxa"/>
              <w:right w:w="0" w:type="dxa"/>
            </w:tcMar>
          </w:tcPr>
          <w:p>
            <w:pPr>
              <w:spacing w:before="200"/>
              <w:ind w:left="240"/>
            </w:pPr>
            <w:r>
              <w:rPr>
                <w:rFonts w:hint="eastAsia" w:ascii="宋体" w:hAnsi="宋体" w:eastAsia="宋体" w:cs="宋体"/>
                <w:b/>
                <w:sz w:val="21"/>
              </w:rPr>
              <w:t>增长率</w:t>
            </w:r>
          </w:p>
        </w:tc>
        <w:tc>
          <w:tcPr>
            <w:tcW w:w="1500" w:type="dxa"/>
            <w:tcMar>
              <w:top w:w="0" w:type="dxa"/>
              <w:left w:w="0" w:type="dxa"/>
              <w:bottom w:w="0" w:type="dxa"/>
              <w:right w:w="0" w:type="dxa"/>
            </w:tcMar>
          </w:tcPr>
          <w:p>
            <w:pPr>
              <w:spacing w:before="200"/>
              <w:ind w:left="520"/>
            </w:pPr>
            <w:r>
              <w:rPr>
                <w:rFonts w:hint="eastAsia" w:ascii="宋体" w:hAnsi="宋体" w:eastAsia="宋体" w:cs="宋体"/>
                <w:b/>
                <w:sz w:val="21"/>
              </w:rPr>
              <w:t>金额</w:t>
            </w:r>
          </w:p>
        </w:tc>
      </w:tr>
      <w:tr>
        <w:trPr>
          <w:trHeight w:val="620" w:hRule="exact"/>
        </w:trPr>
        <w:tc>
          <w:tcPr>
            <w:tcW w:w="1780" w:type="dxa"/>
            <w:tcMar>
              <w:top w:w="0" w:type="dxa"/>
              <w:left w:w="0" w:type="dxa"/>
              <w:bottom w:w="0" w:type="dxa"/>
              <w:right w:w="0" w:type="dxa"/>
            </w:tcMar>
          </w:tcPr>
          <w:p>
            <w:pPr>
              <w:spacing w:before="180"/>
              <w:ind w:left="340"/>
            </w:pPr>
            <w:r>
              <w:rPr>
                <w:rFonts w:hint="eastAsia" w:ascii="宋体" w:hAnsi="宋体" w:eastAsia="宋体" w:cs="宋体"/>
                <w:sz w:val="21"/>
              </w:rPr>
              <w:t>研究开发费</w:t>
            </w:r>
          </w:p>
        </w:tc>
        <w:tc>
          <w:tcPr>
            <w:tcW w:w="1840" w:type="dxa"/>
            <w:tcMar>
              <w:top w:w="0" w:type="dxa"/>
              <w:left w:w="0" w:type="dxa"/>
              <w:bottom w:w="0" w:type="dxa"/>
              <w:right w:w="0" w:type="dxa"/>
            </w:tcMar>
          </w:tcPr>
          <w:p>
            <w:pPr>
              <w:spacing w:before="240"/>
              <w:ind w:left="600"/>
            </w:pPr>
            <w:r>
              <w:rPr>
                <w:rFonts w:hint="eastAsia" w:ascii="Times New Roman" w:hAnsi="Times New Roman" w:eastAsia="Times New Roman" w:cs="Times New Roman"/>
                <w:sz w:val="21"/>
              </w:rPr>
              <w:t>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1140" w:type="dxa"/>
            <w:tcMar>
              <w:top w:w="0" w:type="dxa"/>
              <w:left w:w="0" w:type="dxa"/>
              <w:bottom w:w="0" w:type="dxa"/>
              <w:right w:w="0" w:type="dxa"/>
            </w:tcMar>
          </w:tcPr>
          <w:p>
            <w:pPr>
              <w:spacing w:before="240"/>
              <w:ind w:left="5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40"/>
              <w:ind w:left="460"/>
            </w:pP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p>
        </w:tc>
        <w:tc>
          <w:tcPr>
            <w:tcW w:w="1140" w:type="dxa"/>
            <w:tcMar>
              <w:top w:w="0" w:type="dxa"/>
              <w:left w:w="0" w:type="dxa"/>
              <w:bottom w:w="0" w:type="dxa"/>
              <w:right w:w="0" w:type="dxa"/>
            </w:tcMar>
          </w:tcPr>
          <w:p>
            <w:pPr>
              <w:spacing w:before="240"/>
              <w:ind w:left="460"/>
            </w:pPr>
            <w:r>
              <w:rPr>
                <w:rFonts w:hint="eastAsia" w:ascii="Times New Roman" w:hAnsi="Times New Roman" w:eastAsia="Times New Roman" w:cs="Times New Roman"/>
                <w:sz w:val="21"/>
              </w:rPr>
              <w:t>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240"/>
              <w:ind w:left="26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r>
        <w:trPr>
          <w:trHeight w:val="640" w:hRule="exact"/>
        </w:trPr>
        <w:tc>
          <w:tcPr>
            <w:tcW w:w="1780" w:type="dxa"/>
            <w:tcMar>
              <w:top w:w="0" w:type="dxa"/>
              <w:left w:w="0" w:type="dxa"/>
              <w:bottom w:w="0" w:type="dxa"/>
              <w:right w:w="0" w:type="dxa"/>
            </w:tcMar>
          </w:tcPr>
          <w:p>
            <w:pPr>
              <w:spacing w:before="200"/>
              <w:ind w:left="460"/>
            </w:pPr>
            <w:r>
              <w:rPr>
                <w:rFonts w:hint="eastAsia" w:ascii="宋体" w:hAnsi="宋体" w:eastAsia="宋体" w:cs="宋体"/>
                <w:sz w:val="21"/>
              </w:rPr>
              <w:t>人工费用</w:t>
            </w:r>
          </w:p>
        </w:tc>
        <w:tc>
          <w:tcPr>
            <w:tcW w:w="1840" w:type="dxa"/>
            <w:tcMar>
              <w:top w:w="0" w:type="dxa"/>
              <w:left w:w="0" w:type="dxa"/>
              <w:bottom w:w="0" w:type="dxa"/>
              <w:right w:w="0" w:type="dxa"/>
            </w:tcMar>
          </w:tcPr>
          <w:p>
            <w:pPr>
              <w:spacing w:before="220"/>
              <w:ind w:left="60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1140" w:type="dxa"/>
            <w:tcMar>
              <w:top w:w="0" w:type="dxa"/>
              <w:left w:w="0" w:type="dxa"/>
              <w:bottom w:w="0" w:type="dxa"/>
              <w:right w:w="0" w:type="dxa"/>
            </w:tcMar>
          </w:tcPr>
          <w:p>
            <w:pPr>
              <w:spacing w:before="220"/>
              <w:ind w:left="4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20"/>
              <w:ind w:left="4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1140" w:type="dxa"/>
            <w:tcMar>
              <w:top w:w="0" w:type="dxa"/>
              <w:left w:w="0" w:type="dxa"/>
              <w:bottom w:w="0" w:type="dxa"/>
              <w:right w:w="0" w:type="dxa"/>
            </w:tcMar>
          </w:tcPr>
          <w:p>
            <w:pPr>
              <w:spacing w:before="220"/>
              <w:ind w:left="460"/>
            </w:pP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220"/>
              <w:ind w:left="3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p>
        </w:tc>
      </w:tr>
      <w:tr>
        <w:trPr>
          <w:trHeight w:val="640" w:hRule="exact"/>
        </w:trPr>
        <w:tc>
          <w:tcPr>
            <w:tcW w:w="1780" w:type="dxa"/>
            <w:tcMar>
              <w:top w:w="0" w:type="dxa"/>
              <w:left w:w="0" w:type="dxa"/>
              <w:bottom w:w="0" w:type="dxa"/>
              <w:right w:w="0" w:type="dxa"/>
            </w:tcMar>
          </w:tcPr>
          <w:p>
            <w:pPr>
              <w:spacing w:before="180"/>
              <w:ind w:left="340"/>
            </w:pPr>
            <w:r>
              <w:rPr>
                <w:rFonts w:hint="eastAsia" w:ascii="宋体" w:hAnsi="宋体" w:eastAsia="宋体" w:cs="宋体"/>
                <w:sz w:val="21"/>
              </w:rPr>
              <w:t>折旧摊销费</w:t>
            </w:r>
          </w:p>
        </w:tc>
        <w:tc>
          <w:tcPr>
            <w:tcW w:w="1840" w:type="dxa"/>
            <w:tcMar>
              <w:top w:w="0" w:type="dxa"/>
              <w:left w:w="0" w:type="dxa"/>
              <w:bottom w:w="0" w:type="dxa"/>
              <w:right w:w="0" w:type="dxa"/>
            </w:tcMar>
          </w:tcPr>
          <w:p>
            <w:pPr>
              <w:spacing w:before="240"/>
              <w:ind w:left="7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w:t>
            </w:r>
          </w:p>
        </w:tc>
        <w:tc>
          <w:tcPr>
            <w:tcW w:w="1140" w:type="dxa"/>
            <w:tcMar>
              <w:top w:w="0" w:type="dxa"/>
              <w:left w:w="0" w:type="dxa"/>
              <w:bottom w:w="0" w:type="dxa"/>
              <w:right w:w="0" w:type="dxa"/>
            </w:tcMar>
          </w:tcPr>
          <w:p>
            <w:pPr>
              <w:spacing w:before="220"/>
              <w:ind w:left="4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40"/>
              <w:ind w:left="5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140" w:type="dxa"/>
            <w:tcMar>
              <w:top w:w="0" w:type="dxa"/>
              <w:left w:w="0" w:type="dxa"/>
              <w:bottom w:w="0" w:type="dxa"/>
              <w:right w:w="0" w:type="dxa"/>
            </w:tcMar>
          </w:tcPr>
          <w:p>
            <w:pPr>
              <w:spacing w:before="220"/>
              <w:ind w:left="46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240"/>
              <w:ind w:left="3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r>
      <w:tr>
        <w:trPr>
          <w:trHeight w:val="620" w:hRule="exact"/>
        </w:trPr>
        <w:tc>
          <w:tcPr>
            <w:tcW w:w="1780" w:type="dxa"/>
            <w:tcMar>
              <w:top w:w="0" w:type="dxa"/>
              <w:left w:w="0" w:type="dxa"/>
              <w:bottom w:w="0" w:type="dxa"/>
              <w:right w:w="0" w:type="dxa"/>
            </w:tcMar>
          </w:tcPr>
          <w:p>
            <w:pPr>
              <w:spacing w:before="180"/>
              <w:ind w:left="320"/>
            </w:pPr>
            <w:r>
              <w:rPr>
                <w:rFonts w:hint="eastAsia" w:ascii="宋体" w:hAnsi="宋体" w:eastAsia="宋体" w:cs="宋体"/>
                <w:sz w:val="21"/>
              </w:rPr>
              <w:t>租赁物业费</w:t>
            </w:r>
          </w:p>
        </w:tc>
        <w:tc>
          <w:tcPr>
            <w:tcW w:w="1840" w:type="dxa"/>
            <w:tcMar>
              <w:top w:w="0" w:type="dxa"/>
              <w:left w:w="0" w:type="dxa"/>
              <w:bottom w:w="0" w:type="dxa"/>
              <w:right w:w="0" w:type="dxa"/>
            </w:tcMar>
          </w:tcPr>
          <w:p>
            <w:pPr>
              <w:spacing w:before="240"/>
              <w:ind w:left="7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140" w:type="dxa"/>
            <w:tcMar>
              <w:top w:w="0" w:type="dxa"/>
              <w:left w:w="0" w:type="dxa"/>
              <w:bottom w:w="0" w:type="dxa"/>
              <w:right w:w="0" w:type="dxa"/>
            </w:tcMar>
          </w:tcPr>
          <w:p>
            <w:pPr>
              <w:spacing w:before="240"/>
              <w:ind w:left="44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40"/>
              <w:ind w:left="5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p>
        </w:tc>
        <w:tc>
          <w:tcPr>
            <w:tcW w:w="1140" w:type="dxa"/>
            <w:tcMar>
              <w:top w:w="0" w:type="dxa"/>
              <w:left w:w="0" w:type="dxa"/>
              <w:bottom w:w="0" w:type="dxa"/>
              <w:right w:w="0" w:type="dxa"/>
            </w:tcMar>
          </w:tcPr>
          <w:p>
            <w:pPr>
              <w:spacing w:before="240"/>
              <w:ind w:left="460"/>
            </w:pPr>
            <w:r>
              <w:rPr>
                <w:rFonts w:hint="eastAsia" w:ascii="Times New Roman" w:hAnsi="Times New Roman" w:eastAsia="Times New Roman" w:cs="Times New Roman"/>
                <w:sz w:val="21"/>
              </w:rPr>
              <w:t>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240"/>
              <w:ind w:left="3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46</w:t>
            </w:r>
          </w:p>
        </w:tc>
      </w:tr>
      <w:tr>
        <w:trPr>
          <w:trHeight w:val="640" w:hRule="exact"/>
        </w:trPr>
        <w:tc>
          <w:tcPr>
            <w:tcW w:w="1780" w:type="dxa"/>
            <w:tcMar>
              <w:top w:w="0" w:type="dxa"/>
              <w:left w:w="0" w:type="dxa"/>
              <w:bottom w:w="0" w:type="dxa"/>
              <w:right w:w="0" w:type="dxa"/>
            </w:tcMar>
          </w:tcPr>
          <w:p>
            <w:pPr>
              <w:spacing w:before="200"/>
              <w:ind w:left="560"/>
            </w:pPr>
            <w:r>
              <w:rPr>
                <w:rFonts w:hint="eastAsia" w:ascii="宋体" w:hAnsi="宋体" w:eastAsia="宋体" w:cs="宋体"/>
                <w:sz w:val="21"/>
              </w:rPr>
              <w:t>办公费</w:t>
            </w:r>
          </w:p>
        </w:tc>
        <w:tc>
          <w:tcPr>
            <w:tcW w:w="1840" w:type="dxa"/>
            <w:tcMar>
              <w:top w:w="0" w:type="dxa"/>
              <w:left w:w="0" w:type="dxa"/>
              <w:bottom w:w="0" w:type="dxa"/>
              <w:right w:w="0" w:type="dxa"/>
            </w:tcMar>
          </w:tcPr>
          <w:p>
            <w:pPr>
              <w:spacing w:before="260"/>
              <w:ind w:left="7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1140" w:type="dxa"/>
            <w:tcMar>
              <w:top w:w="0" w:type="dxa"/>
              <w:left w:w="0" w:type="dxa"/>
              <w:bottom w:w="0" w:type="dxa"/>
              <w:right w:w="0" w:type="dxa"/>
            </w:tcMar>
          </w:tcPr>
          <w:p>
            <w:pPr>
              <w:spacing w:before="260"/>
              <w:ind w:left="48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60"/>
              <w:ind w:left="5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06</w:t>
            </w:r>
          </w:p>
        </w:tc>
        <w:tc>
          <w:tcPr>
            <w:tcW w:w="1140" w:type="dxa"/>
            <w:tcMar>
              <w:top w:w="0" w:type="dxa"/>
              <w:left w:w="0" w:type="dxa"/>
              <w:bottom w:w="0" w:type="dxa"/>
              <w:right w:w="0" w:type="dxa"/>
            </w:tcMar>
          </w:tcPr>
          <w:p>
            <w:pPr>
              <w:spacing w:before="260"/>
              <w:ind w:left="4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260"/>
              <w:ind w:left="3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r>
      <w:tr>
        <w:trPr>
          <w:trHeight w:val="620" w:hRule="exact"/>
        </w:trPr>
        <w:tc>
          <w:tcPr>
            <w:tcW w:w="1780" w:type="dxa"/>
            <w:tcMar>
              <w:top w:w="0" w:type="dxa"/>
              <w:left w:w="0" w:type="dxa"/>
              <w:bottom w:w="0" w:type="dxa"/>
              <w:right w:w="0" w:type="dxa"/>
            </w:tcMar>
          </w:tcPr>
          <w:p>
            <w:pPr>
              <w:spacing w:before="180"/>
              <w:ind w:left="560"/>
            </w:pPr>
            <w:r>
              <w:rPr>
                <w:rFonts w:hint="eastAsia" w:ascii="宋体" w:hAnsi="宋体" w:eastAsia="宋体" w:cs="宋体"/>
                <w:sz w:val="21"/>
              </w:rPr>
              <w:t>差旅费</w:t>
            </w:r>
          </w:p>
        </w:tc>
        <w:tc>
          <w:tcPr>
            <w:tcW w:w="1840" w:type="dxa"/>
            <w:tcMar>
              <w:top w:w="0" w:type="dxa"/>
              <w:left w:w="0" w:type="dxa"/>
              <w:bottom w:w="0" w:type="dxa"/>
              <w:right w:w="0" w:type="dxa"/>
            </w:tcMar>
          </w:tcPr>
          <w:p>
            <w:pPr>
              <w:spacing w:before="220"/>
              <w:ind w:left="7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p>
        </w:tc>
        <w:tc>
          <w:tcPr>
            <w:tcW w:w="114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c>
          <w:tcPr>
            <w:tcW w:w="114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220"/>
              <w:ind w:left="3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1-1-280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120" w:type="auto"/>
        <w:tblInd w:w="14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780"/>
        <w:gridCol w:w="1840"/>
        <w:gridCol w:w="1140"/>
        <w:gridCol w:w="1700"/>
        <w:gridCol w:w="1140"/>
        <w:gridCol w:w="1500"/>
      </w:tblGrid>
      <w:tr>
        <w:trPr>
          <w:trHeight w:val="640" w:hRule="exact"/>
        </w:trPr>
        <w:tc>
          <w:tcPr>
            <w:tcW w:w="1780" w:type="dxa"/>
            <w:vMerge w:val="restart"/>
            <w:tcMar>
              <w:top w:w="0" w:type="dxa"/>
              <w:left w:w="0" w:type="dxa"/>
              <w:bottom w:w="0" w:type="dxa"/>
              <w:right w:w="0" w:type="dxa"/>
            </w:tcMar>
          </w:tcPr>
          <w:p>
            <w:pPr>
              <w:spacing w:before="520"/>
              <w:ind w:left="660"/>
            </w:pPr>
            <w:r>
              <w:rPr>
                <w:rFonts w:hint="eastAsia" w:ascii="宋体" w:hAnsi="宋体" w:eastAsia="宋体" w:cs="宋体"/>
                <w:b/>
                <w:sz w:val="21"/>
              </w:rPr>
              <w:t>项目</w:t>
            </w:r>
          </w:p>
        </w:tc>
        <w:tc>
          <w:tcPr>
            <w:tcW w:w="2980" w:type="dxa"/>
            <w:gridSpan w:val="2"/>
            <w:tcMar>
              <w:top w:w="0" w:type="dxa"/>
              <w:left w:w="0" w:type="dxa"/>
              <w:bottom w:w="0" w:type="dxa"/>
              <w:right w:w="0" w:type="dxa"/>
            </w:tcMar>
          </w:tcPr>
          <w:p>
            <w:pPr>
              <w:spacing w:before="180"/>
              <w:ind w:left="10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840" w:type="dxa"/>
            <w:gridSpan w:val="2"/>
            <w:tcMar>
              <w:top w:w="0" w:type="dxa"/>
              <w:left w:w="0" w:type="dxa"/>
              <w:bottom w:w="0" w:type="dxa"/>
              <w:right w:w="0" w:type="dxa"/>
            </w:tcMar>
          </w:tcPr>
          <w:p>
            <w:pPr>
              <w:spacing w:before="180"/>
              <w:ind w:left="9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1500" w:type="dxa"/>
            <w:tcMar>
              <w:top w:w="0" w:type="dxa"/>
              <w:left w:w="0" w:type="dxa"/>
              <w:bottom w:w="0" w:type="dxa"/>
              <w:right w:w="0" w:type="dxa"/>
            </w:tcMar>
          </w:tcPr>
          <w:p>
            <w:pPr>
              <w:spacing w:before="180"/>
              <w:ind w:left="28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20" w:hRule="exact"/>
        </w:trPr>
        <w:tc>
          <w:tcPr>
            <w:tcW w:w="1780" w:type="dxa"/>
            <w:vMerge w:val="continue"/>
            <w:tcMar>
              <w:top w:w="0" w:type="dxa"/>
              <w:left w:w="0" w:type="dxa"/>
              <w:bottom w:w="0" w:type="dxa"/>
              <w:right w:w="0" w:type="dxa"/>
            </w:tcMar>
          </w:tcPr>
          <w:p/>
        </w:tc>
        <w:tc>
          <w:tcPr>
            <w:tcW w:w="1840" w:type="dxa"/>
            <w:tcMar>
              <w:top w:w="0" w:type="dxa"/>
              <w:left w:w="0" w:type="dxa"/>
              <w:bottom w:w="0" w:type="dxa"/>
              <w:right w:w="0" w:type="dxa"/>
            </w:tcMar>
          </w:tcPr>
          <w:p>
            <w:pPr>
              <w:spacing w:before="200"/>
              <w:ind w:left="700"/>
            </w:pPr>
            <w:r>
              <w:rPr>
                <w:rFonts w:hint="eastAsia" w:ascii="宋体" w:hAnsi="宋体" w:eastAsia="宋体" w:cs="宋体"/>
                <w:b/>
                <w:sz w:val="21"/>
              </w:rPr>
              <w:t>金额</w:t>
            </w:r>
          </w:p>
        </w:tc>
        <w:tc>
          <w:tcPr>
            <w:tcW w:w="1140" w:type="dxa"/>
            <w:tcMar>
              <w:top w:w="0" w:type="dxa"/>
              <w:left w:w="0" w:type="dxa"/>
              <w:bottom w:w="0" w:type="dxa"/>
              <w:right w:w="0" w:type="dxa"/>
            </w:tcMar>
          </w:tcPr>
          <w:p>
            <w:pPr>
              <w:spacing w:before="200"/>
              <w:ind w:left="240"/>
            </w:pPr>
            <w:r>
              <w:rPr>
                <w:rFonts w:hint="eastAsia" w:ascii="宋体" w:hAnsi="宋体" w:eastAsia="宋体" w:cs="宋体"/>
                <w:b/>
                <w:sz w:val="21"/>
              </w:rPr>
              <w:t>增长率</w:t>
            </w:r>
          </w:p>
        </w:tc>
        <w:tc>
          <w:tcPr>
            <w:tcW w:w="1700" w:type="dxa"/>
            <w:tcMar>
              <w:top w:w="0" w:type="dxa"/>
              <w:left w:w="0" w:type="dxa"/>
              <w:bottom w:w="0" w:type="dxa"/>
              <w:right w:w="0" w:type="dxa"/>
            </w:tcMar>
          </w:tcPr>
          <w:p>
            <w:pPr>
              <w:spacing w:before="200"/>
              <w:ind w:left="620"/>
            </w:pPr>
            <w:r>
              <w:rPr>
                <w:rFonts w:hint="eastAsia" w:ascii="宋体" w:hAnsi="宋体" w:eastAsia="宋体" w:cs="宋体"/>
                <w:b/>
                <w:sz w:val="21"/>
              </w:rPr>
              <w:t>金额</w:t>
            </w:r>
          </w:p>
        </w:tc>
        <w:tc>
          <w:tcPr>
            <w:tcW w:w="1140" w:type="dxa"/>
            <w:tcMar>
              <w:top w:w="0" w:type="dxa"/>
              <w:left w:w="0" w:type="dxa"/>
              <w:bottom w:w="0" w:type="dxa"/>
              <w:right w:w="0" w:type="dxa"/>
            </w:tcMar>
          </w:tcPr>
          <w:p>
            <w:pPr>
              <w:spacing w:before="200"/>
              <w:ind w:left="240"/>
            </w:pPr>
            <w:r>
              <w:rPr>
                <w:rFonts w:hint="eastAsia" w:ascii="宋体" w:hAnsi="宋体" w:eastAsia="宋体" w:cs="宋体"/>
                <w:b/>
                <w:sz w:val="21"/>
              </w:rPr>
              <w:t>增长率</w:t>
            </w:r>
          </w:p>
        </w:tc>
        <w:tc>
          <w:tcPr>
            <w:tcW w:w="1500" w:type="dxa"/>
            <w:tcMar>
              <w:top w:w="0" w:type="dxa"/>
              <w:left w:w="0" w:type="dxa"/>
              <w:bottom w:w="0" w:type="dxa"/>
              <w:right w:w="0" w:type="dxa"/>
            </w:tcMar>
          </w:tcPr>
          <w:p>
            <w:pPr>
              <w:spacing w:before="200"/>
              <w:ind w:left="520"/>
            </w:pPr>
            <w:r>
              <w:rPr>
                <w:rFonts w:hint="eastAsia" w:ascii="宋体" w:hAnsi="宋体" w:eastAsia="宋体" w:cs="宋体"/>
                <w:b/>
                <w:sz w:val="21"/>
              </w:rPr>
              <w:t>金额</w:t>
            </w:r>
          </w:p>
        </w:tc>
      </w:tr>
      <w:tr>
        <w:trPr>
          <w:trHeight w:val="640" w:hRule="exact"/>
        </w:trPr>
        <w:tc>
          <w:tcPr>
            <w:tcW w:w="1780" w:type="dxa"/>
            <w:tcMar>
              <w:top w:w="0" w:type="dxa"/>
              <w:left w:w="0" w:type="dxa"/>
              <w:bottom w:w="0" w:type="dxa"/>
              <w:right w:w="0" w:type="dxa"/>
            </w:tcMar>
          </w:tcPr>
          <w:p>
            <w:pPr>
              <w:spacing w:before="200"/>
              <w:ind w:left="140"/>
            </w:pPr>
            <w:r>
              <w:rPr>
                <w:rFonts w:hint="eastAsia" w:ascii="宋体" w:hAnsi="宋体" w:eastAsia="宋体" w:cs="宋体"/>
                <w:sz w:val="21"/>
              </w:rPr>
              <w:t>审计咨询顾问费</w:t>
            </w:r>
          </w:p>
        </w:tc>
        <w:tc>
          <w:tcPr>
            <w:tcW w:w="1840" w:type="dxa"/>
            <w:tcMar>
              <w:top w:w="0" w:type="dxa"/>
              <w:left w:w="0" w:type="dxa"/>
              <w:bottom w:w="0" w:type="dxa"/>
              <w:right w:w="0" w:type="dxa"/>
            </w:tcMar>
          </w:tcPr>
          <w:p>
            <w:pPr>
              <w:spacing w:before="260"/>
              <w:ind w:left="7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c>
          <w:tcPr>
            <w:tcW w:w="1140" w:type="dxa"/>
            <w:tcMar>
              <w:top w:w="0" w:type="dxa"/>
              <w:left w:w="0" w:type="dxa"/>
              <w:bottom w:w="0" w:type="dxa"/>
              <w:right w:w="0" w:type="dxa"/>
            </w:tcMar>
          </w:tcPr>
          <w:p>
            <w:pPr>
              <w:spacing w:before="260"/>
              <w:ind w:left="440"/>
            </w:pPr>
            <w:r>
              <w:rPr>
                <w:rFonts w:hint="eastAsia" w:ascii="Times New Roman" w:hAnsi="Times New Roman" w:eastAsia="Times New Roman" w:cs="Times New Roman"/>
                <w:sz w:val="21"/>
              </w:rPr>
              <w:t>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60"/>
              <w:ind w:left="720"/>
            </w:pPr>
            <w:r>
              <w:rPr>
                <w:rFonts w:hint="eastAsia" w:ascii="Times New Roman" w:hAnsi="Times New Roman" w:eastAsia="Times New Roman" w:cs="Times New Roman"/>
                <w:sz w:val="21"/>
              </w:rPr>
              <w:t>956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1140" w:type="dxa"/>
            <w:tcMar>
              <w:top w:w="0" w:type="dxa"/>
              <w:left w:w="0" w:type="dxa"/>
              <w:bottom w:w="0" w:type="dxa"/>
              <w:right w:w="0" w:type="dxa"/>
            </w:tcMar>
          </w:tcPr>
          <w:p>
            <w:pPr>
              <w:spacing w:before="260"/>
              <w:ind w:left="380"/>
            </w:pP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260"/>
              <w:ind w:left="36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p>
        </w:tc>
      </w:tr>
      <w:tr>
        <w:trPr>
          <w:trHeight w:val="640" w:hRule="exact"/>
        </w:trPr>
        <w:tc>
          <w:tcPr>
            <w:tcW w:w="1780" w:type="dxa"/>
            <w:tcMar>
              <w:top w:w="0" w:type="dxa"/>
              <w:left w:w="0" w:type="dxa"/>
              <w:bottom w:w="0" w:type="dxa"/>
              <w:right w:w="0" w:type="dxa"/>
            </w:tcMar>
          </w:tcPr>
          <w:p>
            <w:pPr>
              <w:spacing w:before="200"/>
              <w:ind w:left="340"/>
            </w:pPr>
            <w:r>
              <w:rPr>
                <w:rFonts w:hint="eastAsia" w:ascii="宋体" w:hAnsi="宋体" w:eastAsia="宋体" w:cs="宋体"/>
                <w:sz w:val="21"/>
              </w:rPr>
              <w:t>业务招待费</w:t>
            </w:r>
          </w:p>
        </w:tc>
        <w:tc>
          <w:tcPr>
            <w:tcW w:w="1840" w:type="dxa"/>
            <w:tcMar>
              <w:top w:w="0" w:type="dxa"/>
              <w:left w:w="0" w:type="dxa"/>
              <w:bottom w:w="0" w:type="dxa"/>
              <w:right w:w="0" w:type="dxa"/>
            </w:tcMar>
          </w:tcPr>
          <w:p>
            <w:pPr>
              <w:spacing w:before="220"/>
              <w:ind w:left="7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276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114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20"/>
              <w:ind w:left="5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w:t>
            </w:r>
          </w:p>
        </w:tc>
        <w:tc>
          <w:tcPr>
            <w:tcW w:w="1140" w:type="dxa"/>
            <w:tcMar>
              <w:top w:w="0" w:type="dxa"/>
              <w:left w:w="0" w:type="dxa"/>
              <w:bottom w:w="0" w:type="dxa"/>
              <w:right w:w="0" w:type="dxa"/>
            </w:tcMar>
          </w:tcPr>
          <w:p>
            <w:pPr>
              <w:spacing w:before="220"/>
              <w:ind w:left="38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220"/>
              <w:ind w:left="3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p>
        </w:tc>
      </w:tr>
      <w:tr>
        <w:trPr>
          <w:trHeight w:val="640" w:hRule="exact"/>
        </w:trPr>
        <w:tc>
          <w:tcPr>
            <w:tcW w:w="1780" w:type="dxa"/>
            <w:tcMar>
              <w:top w:w="0" w:type="dxa"/>
              <w:left w:w="0" w:type="dxa"/>
              <w:bottom w:w="0" w:type="dxa"/>
              <w:right w:w="0" w:type="dxa"/>
            </w:tcMar>
          </w:tcPr>
          <w:p>
            <w:pPr>
              <w:spacing w:before="200"/>
              <w:ind w:left="660"/>
            </w:pPr>
            <w:r>
              <w:rPr>
                <w:rFonts w:hint="eastAsia" w:ascii="宋体" w:hAnsi="宋体" w:eastAsia="宋体" w:cs="宋体"/>
                <w:sz w:val="21"/>
              </w:rPr>
              <w:t>税费</w:t>
            </w:r>
          </w:p>
        </w:tc>
        <w:tc>
          <w:tcPr>
            <w:tcW w:w="1840" w:type="dxa"/>
            <w:tcMar>
              <w:top w:w="0" w:type="dxa"/>
              <w:left w:w="0" w:type="dxa"/>
              <w:bottom w:w="0" w:type="dxa"/>
              <w:right w:w="0" w:type="dxa"/>
            </w:tcMar>
          </w:tcPr>
          <w:p>
            <w:pPr>
              <w:spacing w:before="240"/>
              <w:ind w:left="860"/>
            </w:pPr>
            <w:r>
              <w:rPr>
                <w:rFonts w:hint="eastAsia" w:ascii="Times New Roman" w:hAnsi="Times New Roman" w:eastAsia="Times New Roman" w:cs="Times New Roman"/>
                <w:sz w:val="21"/>
              </w:rPr>
              <w:t>512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c>
          <w:tcPr>
            <w:tcW w:w="1140" w:type="dxa"/>
            <w:tcMar>
              <w:top w:w="0" w:type="dxa"/>
              <w:left w:w="0" w:type="dxa"/>
              <w:bottom w:w="0" w:type="dxa"/>
              <w:right w:w="0" w:type="dxa"/>
            </w:tcMar>
          </w:tcPr>
          <w:p>
            <w:pPr>
              <w:spacing w:before="220"/>
              <w:ind w:left="380"/>
            </w:pPr>
            <w:r>
              <w:rPr>
                <w:rFonts w:hint="eastAsia" w:ascii="Times New Roman" w:hAnsi="Times New Roman" w:eastAsia="Times New Roman" w:cs="Times New Roman"/>
                <w:sz w:val="21"/>
              </w:rPr>
              <w:t>-42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w:t>
            </w:r>
            <w:r>
              <w:rPr>
                <w:rFonts w:hint="eastAsia" w:ascii="Times New Roman" w:hAnsi="Times New Roman" w:eastAsia="Times New Roman" w:cs="Times New Roman"/>
                <w:sz w:val="20"/>
              </w:rPr>
              <w:t>%</w:t>
            </w:r>
          </w:p>
        </w:tc>
        <w:tc>
          <w:tcPr>
            <w:tcW w:w="1700" w:type="dxa"/>
            <w:tcMar>
              <w:top w:w="0" w:type="dxa"/>
              <w:left w:w="0" w:type="dxa"/>
              <w:bottom w:w="0" w:type="dxa"/>
              <w:right w:w="0" w:type="dxa"/>
            </w:tcMar>
          </w:tcPr>
          <w:p>
            <w:pPr>
              <w:spacing w:before="240"/>
              <w:ind w:left="720"/>
            </w:pPr>
            <w:r>
              <w:rPr>
                <w:rFonts w:hint="eastAsia" w:ascii="Times New Roman" w:hAnsi="Times New Roman" w:eastAsia="Times New Roman" w:cs="Times New Roman"/>
                <w:sz w:val="21"/>
              </w:rPr>
              <w:t>894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p>
        </w:tc>
        <w:tc>
          <w:tcPr>
            <w:tcW w:w="1140" w:type="dxa"/>
            <w:tcMar>
              <w:top w:w="0" w:type="dxa"/>
              <w:left w:w="0" w:type="dxa"/>
              <w:bottom w:w="0" w:type="dxa"/>
              <w:right w:w="0" w:type="dxa"/>
            </w:tcMar>
          </w:tcPr>
          <w:p>
            <w:pPr>
              <w:spacing w:before="220"/>
              <w:ind w:left="460"/>
            </w:pPr>
            <w:r>
              <w:rPr>
                <w:rFonts w:hint="eastAsia" w:ascii="Times New Roman" w:hAnsi="Times New Roman" w:eastAsia="Times New Roman" w:cs="Times New Roman"/>
                <w:sz w:val="21"/>
              </w:rPr>
              <w:t>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w:t>
            </w:r>
            <w:r>
              <w:rPr>
                <w:rFonts w:hint="eastAsia" w:ascii="Times New Roman" w:hAnsi="Times New Roman" w:eastAsia="Times New Roman" w:cs="Times New Roman"/>
                <w:sz w:val="20"/>
              </w:rPr>
              <w:t>%</w:t>
            </w:r>
          </w:p>
        </w:tc>
        <w:tc>
          <w:tcPr>
            <w:tcW w:w="1500" w:type="dxa"/>
            <w:tcMar>
              <w:top w:w="0" w:type="dxa"/>
              <w:left w:w="0" w:type="dxa"/>
              <w:bottom w:w="0" w:type="dxa"/>
              <w:right w:w="0" w:type="dxa"/>
            </w:tcMar>
          </w:tcPr>
          <w:p>
            <w:pPr>
              <w:spacing w:before="240"/>
              <w:ind w:left="520"/>
            </w:pPr>
            <w:r>
              <w:rPr>
                <w:rFonts w:hint="eastAsia" w:ascii="Times New Roman" w:hAnsi="Times New Roman" w:eastAsia="Times New Roman" w:cs="Times New Roman"/>
                <w:sz w:val="21"/>
              </w:rPr>
              <w:t>574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w:t>
            </w:r>
          </w:p>
        </w:tc>
      </w:tr>
      <w:tr>
        <w:trPr>
          <w:trHeight w:val="620" w:hRule="exact"/>
        </w:trPr>
        <w:tc>
          <w:tcPr>
            <w:tcW w:w="1780" w:type="dxa"/>
            <w:tcMar>
              <w:top w:w="0" w:type="dxa"/>
              <w:left w:w="0" w:type="dxa"/>
              <w:bottom w:w="0" w:type="dxa"/>
              <w:right w:w="0" w:type="dxa"/>
            </w:tcMar>
          </w:tcPr>
          <w:p>
            <w:pPr>
              <w:spacing w:before="180"/>
              <w:ind w:left="660"/>
            </w:pPr>
            <w:r>
              <w:rPr>
                <w:rFonts w:hint="eastAsia" w:ascii="宋体" w:hAnsi="宋体" w:eastAsia="宋体" w:cs="宋体"/>
                <w:b/>
                <w:sz w:val="21"/>
              </w:rPr>
              <w:t>其他</w:t>
            </w:r>
          </w:p>
        </w:tc>
        <w:tc>
          <w:tcPr>
            <w:tcW w:w="1840" w:type="dxa"/>
            <w:tcMar>
              <w:top w:w="0" w:type="dxa"/>
              <w:left w:w="0" w:type="dxa"/>
              <w:bottom w:w="0" w:type="dxa"/>
              <w:right w:w="0" w:type="dxa"/>
            </w:tcMar>
          </w:tcPr>
          <w:p>
            <w:pPr>
              <w:spacing w:before="240"/>
              <w:ind w:left="960"/>
            </w:pPr>
            <w:r>
              <w:rPr>
                <w:rFonts w:hint="eastAsia" w:ascii="Times New Roman Bold" w:hAnsi="Times New Roman Bold" w:eastAsia="Times New Roman Bold" w:cs="Times New Roman Bold"/>
                <w:b/>
                <w:sz w:val="21"/>
              </w:rPr>
              <w:t>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983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w:t>
            </w:r>
          </w:p>
        </w:tc>
        <w:tc>
          <w:tcPr>
            <w:tcW w:w="1140" w:type="dxa"/>
            <w:tcMar>
              <w:top w:w="0" w:type="dxa"/>
              <w:left w:w="0" w:type="dxa"/>
              <w:bottom w:w="0" w:type="dxa"/>
              <w:right w:w="0" w:type="dxa"/>
            </w:tcMar>
          </w:tcPr>
          <w:p>
            <w:pPr>
              <w:spacing w:before="240"/>
              <w:ind w:left="320"/>
            </w:pPr>
            <w:r>
              <w:rPr>
                <w:rFonts w:hint="eastAsia" w:ascii="Times New Roman Bold" w:hAnsi="Times New Roman Bold" w:eastAsia="Times New Roman Bold" w:cs="Times New Roman Bold"/>
                <w:b/>
                <w:sz w:val="21"/>
              </w:rPr>
              <w:t>846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87</w:t>
            </w:r>
            <w:r>
              <w:rPr>
                <w:rFonts w:hint="eastAsia" w:ascii="Times New Roman Bold" w:hAnsi="Times New Roman Bold" w:eastAsia="Times New Roman Bold" w:cs="Times New Roman Bold"/>
                <w:b/>
                <w:sz w:val="20"/>
              </w:rPr>
              <w:t>%</w:t>
            </w:r>
          </w:p>
        </w:tc>
        <w:tc>
          <w:tcPr>
            <w:tcW w:w="1700" w:type="dxa"/>
            <w:tcMar>
              <w:top w:w="0" w:type="dxa"/>
              <w:left w:w="0" w:type="dxa"/>
              <w:bottom w:w="0" w:type="dxa"/>
              <w:right w:w="0" w:type="dxa"/>
            </w:tcMar>
          </w:tcPr>
          <w:p>
            <w:pPr>
              <w:spacing w:before="240"/>
              <w:ind w:left="92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272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20</w:t>
            </w:r>
          </w:p>
        </w:tc>
        <w:tc>
          <w:tcPr>
            <w:tcW w:w="1140" w:type="dxa"/>
            <w:tcMar>
              <w:top w:w="0" w:type="dxa"/>
              <w:left w:w="0" w:type="dxa"/>
              <w:bottom w:w="0" w:type="dxa"/>
              <w:right w:w="0" w:type="dxa"/>
            </w:tcMar>
          </w:tcPr>
          <w:p>
            <w:pPr>
              <w:spacing w:before="240"/>
              <w:ind w:left="340"/>
            </w:pPr>
            <w:r>
              <w:rPr>
                <w:rFonts w:hint="eastAsia" w:ascii="Times New Roman Bold" w:hAnsi="Times New Roman Bold" w:eastAsia="Times New Roman Bold" w:cs="Times New Roman Bold"/>
                <w:b/>
                <w:sz w:val="21"/>
              </w:rPr>
              <w:t>-92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43</w:t>
            </w:r>
            <w:r>
              <w:rPr>
                <w:rFonts w:hint="eastAsia" w:ascii="Times New Roman Bold" w:hAnsi="Times New Roman Bold" w:eastAsia="Times New Roman Bold" w:cs="Times New Roman Bold"/>
                <w:b/>
                <w:sz w:val="20"/>
              </w:rPr>
              <w:t>%</w:t>
            </w:r>
          </w:p>
        </w:tc>
        <w:tc>
          <w:tcPr>
            <w:tcW w:w="1500" w:type="dxa"/>
            <w:tcMar>
              <w:top w:w="0" w:type="dxa"/>
              <w:left w:w="0" w:type="dxa"/>
              <w:bottom w:w="0" w:type="dxa"/>
              <w:right w:w="0" w:type="dxa"/>
            </w:tcMar>
          </w:tcPr>
          <w:p>
            <w:pPr>
              <w:spacing w:before="240"/>
              <w:ind w:left="620"/>
            </w:pPr>
            <w:r>
              <w:rPr>
                <w:rFonts w:hint="eastAsia" w:ascii="Times New Roman Bold" w:hAnsi="Times New Roman Bold" w:eastAsia="Times New Roman Bold" w:cs="Times New Roman Bold"/>
                <w:b/>
                <w:sz w:val="21"/>
              </w:rPr>
              <w:t>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w:t>
            </w:r>
          </w:p>
        </w:tc>
      </w:tr>
      <w:tr>
        <w:trPr>
          <w:trHeight w:val="640" w:hRule="exact"/>
        </w:trPr>
        <w:tc>
          <w:tcPr>
            <w:tcW w:w="1780" w:type="dxa"/>
            <w:tcMar>
              <w:top w:w="0" w:type="dxa"/>
              <w:left w:w="0" w:type="dxa"/>
              <w:bottom w:w="0" w:type="dxa"/>
              <w:right w:w="0" w:type="dxa"/>
            </w:tcMar>
          </w:tcPr>
          <w:p>
            <w:pPr>
              <w:spacing w:before="200"/>
              <w:ind w:left="660"/>
            </w:pPr>
            <w:r>
              <w:rPr>
                <w:rFonts w:hint="eastAsia" w:ascii="宋体" w:hAnsi="宋体" w:eastAsia="宋体" w:cs="宋体"/>
                <w:b/>
                <w:sz w:val="21"/>
              </w:rPr>
              <w:t>合计</w:t>
            </w:r>
          </w:p>
        </w:tc>
        <w:tc>
          <w:tcPr>
            <w:tcW w:w="1840" w:type="dxa"/>
            <w:tcMar>
              <w:top w:w="0" w:type="dxa"/>
              <w:left w:w="0" w:type="dxa"/>
              <w:bottom w:w="0" w:type="dxa"/>
              <w:right w:w="0" w:type="dxa"/>
            </w:tcMar>
          </w:tcPr>
          <w:p>
            <w:pPr>
              <w:spacing w:before="260"/>
              <w:ind w:left="600"/>
            </w:pPr>
            <w:r>
              <w:rPr>
                <w:rFonts w:hint="eastAsia" w:ascii="Times New Roman Bold" w:hAnsi="Times New Roman Bold" w:eastAsia="Times New Roman Bold" w:cs="Times New Roman Bold"/>
                <w:b/>
                <w:sz w:val="21"/>
              </w:rPr>
              <w:t>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03</w:t>
            </w:r>
          </w:p>
        </w:tc>
        <w:tc>
          <w:tcPr>
            <w:tcW w:w="1140" w:type="dxa"/>
            <w:tcMar>
              <w:top w:w="0" w:type="dxa"/>
              <w:left w:w="0" w:type="dxa"/>
              <w:bottom w:w="0" w:type="dxa"/>
              <w:right w:w="0" w:type="dxa"/>
            </w:tcMar>
          </w:tcPr>
          <w:p>
            <w:pPr>
              <w:spacing w:before="260"/>
              <w:ind w:left="520"/>
            </w:pPr>
            <w:r>
              <w:rPr>
                <w:rFonts w:hint="eastAsia" w:ascii="Times New Roman Bold" w:hAnsi="Times New Roman Bold" w:eastAsia="Times New Roman Bold" w:cs="Times New Roman Bold"/>
                <w:b/>
                <w:sz w:val="21"/>
              </w:rPr>
              <w:t>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w:t>
            </w:r>
            <w:r>
              <w:rPr>
                <w:rFonts w:hint="eastAsia" w:ascii="Times New Roman Bold" w:hAnsi="Times New Roman Bold" w:eastAsia="Times New Roman Bold" w:cs="Times New Roman Bold"/>
                <w:b/>
                <w:sz w:val="20"/>
              </w:rPr>
              <w:t>%</w:t>
            </w:r>
          </w:p>
        </w:tc>
        <w:tc>
          <w:tcPr>
            <w:tcW w:w="1700" w:type="dxa"/>
            <w:tcMar>
              <w:top w:w="0" w:type="dxa"/>
              <w:left w:w="0" w:type="dxa"/>
              <w:bottom w:w="0" w:type="dxa"/>
              <w:right w:w="0" w:type="dxa"/>
            </w:tcMar>
          </w:tcPr>
          <w:p>
            <w:pPr>
              <w:spacing w:before="260"/>
              <w:ind w:left="460"/>
            </w:pPr>
            <w:r>
              <w:rPr>
                <w:rFonts w:hint="eastAsia" w:ascii="Times New Roman Bold" w:hAnsi="Times New Roman Bold" w:eastAsia="Times New Roman Bold" w:cs="Times New Roman Bold"/>
                <w:b/>
                <w:sz w:val="21"/>
              </w:rPr>
              <w:t>63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771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360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03</w:t>
            </w:r>
          </w:p>
        </w:tc>
        <w:tc>
          <w:tcPr>
            <w:tcW w:w="1140" w:type="dxa"/>
            <w:tcMar>
              <w:top w:w="0" w:type="dxa"/>
              <w:left w:w="0" w:type="dxa"/>
              <w:bottom w:w="0" w:type="dxa"/>
              <w:right w:w="0" w:type="dxa"/>
            </w:tcMar>
          </w:tcPr>
          <w:p>
            <w:pPr>
              <w:spacing w:before="260"/>
              <w:ind w:left="420"/>
            </w:pPr>
            <w:r>
              <w:rPr>
                <w:rFonts w:hint="eastAsia" w:ascii="Times New Roman Bold" w:hAnsi="Times New Roman Bold" w:eastAsia="Times New Roman Bold" w:cs="Times New Roman Bold"/>
                <w:b/>
                <w:sz w:val="21"/>
              </w:rPr>
              <w:t>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07</w:t>
            </w:r>
            <w:r>
              <w:rPr>
                <w:rFonts w:hint="eastAsia" w:ascii="Times New Roman Bold" w:hAnsi="Times New Roman Bold" w:eastAsia="Times New Roman Bold" w:cs="Times New Roman Bold"/>
                <w:b/>
                <w:sz w:val="20"/>
              </w:rPr>
              <w:t>%</w:t>
            </w:r>
          </w:p>
        </w:tc>
        <w:tc>
          <w:tcPr>
            <w:tcW w:w="1500" w:type="dxa"/>
            <w:tcMar>
              <w:top w:w="0" w:type="dxa"/>
              <w:left w:w="0" w:type="dxa"/>
              <w:bottom w:w="0" w:type="dxa"/>
              <w:right w:w="0" w:type="dxa"/>
            </w:tcMar>
          </w:tcPr>
          <w:p>
            <w:pPr>
              <w:spacing w:before="260"/>
              <w:ind w:left="260"/>
            </w:pPr>
            <w:r>
              <w:rPr>
                <w:rFonts w:hint="eastAsia" w:ascii="Times New Roman Bold" w:hAnsi="Times New Roman Bold" w:eastAsia="Times New Roman Bold" w:cs="Times New Roman Bold"/>
                <w:b/>
                <w:sz w:val="21"/>
              </w:rPr>
              <w:t>56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399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29</w:t>
            </w:r>
          </w:p>
        </w:tc>
      </w:tr>
    </w:tbl>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公司管理费用主要由研究开发费</w:t>
      </w:r>
      <w:r>
        <w:rPr>
          <w:rFonts w:hint="eastAsia" w:ascii="宋体" w:hAnsi="宋体" w:eastAsia="宋体" w:cs="宋体"/>
          <w:sz w:val="10"/>
        </w:rPr>
        <w:t>、</w:t>
      </w:r>
      <w:r>
        <w:rPr>
          <w:rFonts w:hint="eastAsia" w:ascii="宋体" w:hAnsi="宋体" w:eastAsia="宋体" w:cs="宋体"/>
          <w:sz w:val="24"/>
        </w:rPr>
        <w:t>人工费用</w:t>
      </w:r>
      <w:r>
        <w:rPr>
          <w:rFonts w:hint="eastAsia" w:ascii="宋体" w:hAnsi="宋体" w:eastAsia="宋体" w:cs="宋体"/>
          <w:sz w:val="10"/>
        </w:rPr>
        <w:t>、</w:t>
      </w:r>
      <w:r>
        <w:rPr>
          <w:rFonts w:hint="eastAsia" w:ascii="宋体" w:hAnsi="宋体" w:eastAsia="宋体" w:cs="宋体"/>
          <w:sz w:val="24"/>
        </w:rPr>
        <w:t>租赁物业费等构成</w:t>
      </w:r>
      <w:r>
        <w:rPr>
          <w:rFonts w:hint="eastAsia" w:ascii="宋体" w:hAnsi="宋体" w:eastAsia="宋体" w:cs="宋体"/>
          <w:sz w:val="10"/>
        </w:rPr>
        <w:t>。</w:t>
      </w:r>
      <w:r>
        <w:rPr>
          <w:rFonts w:hint="eastAsia" w:ascii="宋体" w:hAnsi="宋体" w:eastAsia="宋体" w:cs="宋体"/>
          <w:sz w:val="24"/>
        </w:rPr>
        <w:t>随着公司业务规模的增长</w:t>
      </w:r>
      <w:r>
        <w:rPr>
          <w:rFonts w:hint="eastAsia" w:ascii="宋体" w:hAnsi="宋体" w:eastAsia="宋体" w:cs="宋体"/>
          <w:sz w:val="10"/>
        </w:rPr>
        <w:t>，</w:t>
      </w:r>
      <w:r>
        <w:rPr>
          <w:rFonts w:hint="eastAsia" w:ascii="宋体" w:hAnsi="宋体" w:eastAsia="宋体" w:cs="宋体"/>
          <w:sz w:val="24"/>
        </w:rPr>
        <w:t>报告期内公司管理费用逐步增长</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管理费用较</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年增长</w:t>
      </w:r>
      <w:r>
        <w:rPr>
          <w:rFonts w:hint="eastAsia" w:ascii="Times New Roman" w:hAnsi="Times New Roman" w:eastAsia="Times New Roman" w:cs="Times New Roman"/>
          <w:sz w:val="24"/>
        </w:rPr>
        <w:t xml:space="preserve"> 7,371,852.74</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增长率为</w:t>
      </w:r>
      <w:r>
        <w:rPr>
          <w:rFonts w:hint="eastAsia" w:ascii="Times New Roman" w:hAnsi="Times New Roman" w:eastAsia="Times New Roman" w:cs="Times New Roman"/>
          <w:sz w:val="24"/>
        </w:rPr>
        <w:t xml:space="preserve"> 13.07%</w:t>
      </w:r>
      <w:r>
        <w:rPr>
          <w:rFonts w:hint="eastAsia" w:ascii="宋体" w:hAnsi="宋体" w:eastAsia="宋体" w:cs="宋体"/>
          <w:sz w:val="10"/>
        </w:rPr>
        <w:t>，</w:t>
      </w:r>
      <w:r>
        <w:rPr>
          <w:rFonts w:hint="eastAsia" w:ascii="宋体" w:hAnsi="宋体" w:eastAsia="宋体" w:cs="宋体"/>
          <w:sz w:val="24"/>
        </w:rPr>
        <w:t>主要系研究开发费同比增加</w:t>
      </w:r>
      <w:r>
        <w:rPr>
          <w:rFonts w:hint="eastAsia" w:ascii="Times New Roman" w:hAnsi="Times New Roman" w:eastAsia="Times New Roman" w:cs="Times New Roman"/>
          <w:sz w:val="24"/>
        </w:rPr>
        <w:t xml:space="preserve"> 6,976,854.46</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人工费用同比增加</w:t>
      </w:r>
      <w:r>
        <w:rPr>
          <w:rFonts w:hint="eastAsia" w:ascii="Times New Roman" w:hAnsi="Times New Roman" w:eastAsia="Times New Roman" w:cs="Times New Roman"/>
          <w:sz w:val="24"/>
        </w:rPr>
        <w:t xml:space="preserve"> 2,543,474.26</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物业租赁费同比增加</w:t>
      </w:r>
      <w:r>
        <w:rPr>
          <w:rFonts w:hint="eastAsia" w:ascii="Times New Roman" w:hAnsi="Times New Roman" w:eastAsia="Times New Roman" w:cs="Times New Roman"/>
          <w:sz w:val="24"/>
        </w:rPr>
        <w:t xml:space="preserve"> 1,024,294.83</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管理费用较</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年增长</w:t>
      </w:r>
      <w:r>
        <w:rPr>
          <w:rFonts w:hint="eastAsia" w:ascii="Times New Roman" w:hAnsi="Times New Roman" w:eastAsia="Times New Roman" w:cs="Times New Roman"/>
          <w:sz w:val="24"/>
        </w:rPr>
        <w:t xml:space="preserve"> 5,474,834.00</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增长率为</w:t>
      </w:r>
      <w:r>
        <w:rPr>
          <w:rFonts w:hint="eastAsia" w:ascii="Times New Roman" w:hAnsi="Times New Roman" w:eastAsia="Times New Roman" w:cs="Times New Roman"/>
          <w:sz w:val="24"/>
        </w:rPr>
        <w:t xml:space="preserve"> 8.59%</w:t>
      </w:r>
      <w:r>
        <w:rPr>
          <w:rFonts w:hint="eastAsia" w:ascii="宋体" w:hAnsi="宋体" w:eastAsia="宋体" w:cs="宋体"/>
          <w:sz w:val="10"/>
        </w:rPr>
        <w:t>，</w:t>
      </w:r>
      <w:r>
        <w:rPr>
          <w:rFonts w:hint="eastAsia" w:ascii="宋体" w:hAnsi="宋体" w:eastAsia="宋体" w:cs="宋体"/>
          <w:sz w:val="24"/>
        </w:rPr>
        <w:t>主要系研究开发费同比增加</w:t>
      </w:r>
      <w:r>
        <w:rPr>
          <w:rFonts w:hint="eastAsia" w:ascii="Times New Roman" w:hAnsi="Times New Roman" w:eastAsia="Times New Roman" w:cs="Times New Roman"/>
          <w:sz w:val="24"/>
        </w:rPr>
        <w:t xml:space="preserve"> 3,565,217.65</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人工费用同比增加</w:t>
      </w:r>
      <w:r>
        <w:rPr>
          <w:rFonts w:hint="eastAsia" w:ascii="Times New Roman" w:hAnsi="Times New Roman" w:eastAsia="Times New Roman" w:cs="Times New Roman"/>
          <w:sz w:val="24"/>
        </w:rPr>
        <w:t xml:space="preserve"> 1,098,837.07</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物业租赁费同比增加</w:t>
      </w:r>
      <w:r>
        <w:rPr>
          <w:rFonts w:hint="eastAsia" w:ascii="Times New Roman" w:hAnsi="Times New Roman" w:eastAsia="Times New Roman" w:cs="Times New Roman"/>
          <w:sz w:val="24"/>
        </w:rPr>
        <w:t xml:space="preserve"> 748,517.72</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发行人为软件企业</w:t>
      </w:r>
      <w:r>
        <w:rPr>
          <w:rFonts w:hint="eastAsia" w:ascii="宋体" w:hAnsi="宋体" w:eastAsia="宋体" w:cs="宋体"/>
          <w:sz w:val="10"/>
        </w:rPr>
        <w:t>，</w:t>
      </w:r>
      <w:r>
        <w:rPr>
          <w:rFonts w:hint="eastAsia" w:ascii="宋体" w:hAnsi="宋体" w:eastAsia="宋体" w:cs="宋体"/>
          <w:sz w:val="24"/>
        </w:rPr>
        <w:t>其主要生产设备为电子设备</w:t>
      </w:r>
      <w:r>
        <w:rPr>
          <w:rFonts w:hint="eastAsia" w:ascii="宋体" w:hAnsi="宋体" w:eastAsia="宋体" w:cs="宋体"/>
          <w:sz w:val="10"/>
        </w:rPr>
        <w:t>，</w:t>
      </w:r>
      <w:r>
        <w:rPr>
          <w:rFonts w:hint="eastAsia" w:ascii="宋体" w:hAnsi="宋体" w:eastAsia="宋体" w:cs="宋体"/>
          <w:sz w:val="24"/>
        </w:rPr>
        <w:t>电子设备账面价值总体金额较小</w:t>
      </w:r>
      <w:r>
        <w:rPr>
          <w:rFonts w:hint="eastAsia" w:ascii="宋体" w:hAnsi="宋体" w:eastAsia="宋体" w:cs="宋体"/>
          <w:sz w:val="10"/>
        </w:rPr>
        <w:t>，</w:t>
      </w:r>
      <w:r>
        <w:rPr>
          <w:rFonts w:hint="eastAsia" w:ascii="宋体" w:hAnsi="宋体" w:eastAsia="宋体" w:cs="宋体"/>
          <w:sz w:val="24"/>
        </w:rPr>
        <w:t>对发行人经营业绩影响不大</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发行人全部电子设备计提的折旧费用占当期成本的比例分别为</w:t>
      </w:r>
      <w:r>
        <w:rPr>
          <w:rFonts w:hint="eastAsia" w:ascii="Times New Roman" w:hAnsi="Times New Roman" w:eastAsia="Times New Roman" w:cs="Times New Roman"/>
          <w:sz w:val="24"/>
        </w:rPr>
        <w:t xml:space="preserve"> 6.81%</w:t>
      </w:r>
      <w:r>
        <w:rPr>
          <w:rFonts w:hint="eastAsia" w:ascii="宋体" w:hAnsi="宋体" w:eastAsia="宋体" w:cs="宋体"/>
          <w:sz w:val="10"/>
        </w:rPr>
        <w:t>、</w:t>
      </w:r>
      <w:r>
        <w:rPr>
          <w:rFonts w:hint="eastAsia" w:ascii="Times New Roman" w:hAnsi="Times New Roman" w:eastAsia="Times New Roman" w:cs="Times New Roman"/>
          <w:sz w:val="24"/>
        </w:rPr>
        <w:t>3.73%</w:t>
      </w:r>
      <w:r>
        <w:rPr>
          <w:rFonts w:hint="eastAsia" w:ascii="宋体" w:hAnsi="宋体" w:eastAsia="宋体" w:cs="宋体"/>
          <w:sz w:val="24"/>
        </w:rPr>
        <w:t>和</w:t>
      </w:r>
      <w:r>
        <w:rPr>
          <w:rFonts w:hint="eastAsia" w:ascii="Times New Roman" w:hAnsi="Times New Roman" w:eastAsia="Times New Roman" w:cs="Times New Roman"/>
          <w:sz w:val="24"/>
        </w:rPr>
        <w:t xml:space="preserve"> 3.18%</w:t>
      </w:r>
      <w:r>
        <w:rPr>
          <w:rFonts w:hint="eastAsia" w:ascii="宋体" w:hAnsi="宋体" w:eastAsia="宋体" w:cs="宋体"/>
          <w:sz w:val="10"/>
        </w:rPr>
        <w:t>，</w:t>
      </w:r>
      <w:r>
        <w:rPr>
          <w:rFonts w:hint="eastAsia" w:ascii="宋体" w:hAnsi="宋体" w:eastAsia="宋体" w:cs="宋体"/>
          <w:sz w:val="24"/>
        </w:rPr>
        <w:t>占比相对较低</w:t>
      </w:r>
      <w:r>
        <w:rPr>
          <w:rFonts w:hint="eastAsia" w:ascii="宋体" w:hAnsi="宋体" w:eastAsia="宋体" w:cs="宋体"/>
          <w:sz w:val="10"/>
        </w:rPr>
        <w:t>，</w:t>
      </w:r>
      <w:r>
        <w:rPr>
          <w:rFonts w:hint="eastAsia" w:ascii="宋体" w:hAnsi="宋体" w:eastAsia="宋体" w:cs="宋体"/>
          <w:sz w:val="24"/>
        </w:rPr>
        <w:t>对发行人经营业绩影响较小</w:t>
      </w:r>
      <w:r>
        <w:rPr>
          <w:rFonts w:hint="eastAsia" w:ascii="宋体" w:hAnsi="宋体" w:eastAsia="宋体" w:cs="宋体"/>
          <w:sz w:val="10"/>
        </w:rPr>
        <w:t>。</w:t>
      </w:r>
      <w:r>
        <w:rPr>
          <w:rFonts w:hint="eastAsia" w:ascii="宋体" w:hAnsi="宋体" w:eastAsia="宋体" w:cs="宋体"/>
          <w:sz w:val="24"/>
        </w:rPr>
        <w:t>发行人并未将生产用电子设备的折旧费用计入当期成本进行分摊</w:t>
      </w:r>
      <w:r>
        <w:rPr>
          <w:rFonts w:hint="eastAsia" w:ascii="宋体" w:hAnsi="宋体" w:eastAsia="宋体" w:cs="宋体"/>
          <w:sz w:val="10"/>
        </w:rPr>
        <w:t>，</w:t>
      </w:r>
      <w:r>
        <w:rPr>
          <w:rFonts w:hint="eastAsia" w:ascii="宋体" w:hAnsi="宋体" w:eastAsia="宋体" w:cs="宋体"/>
          <w:sz w:val="24"/>
        </w:rPr>
        <w:t>而是计入当期管理费用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）财务费用</w:t>
      </w:r>
    </w:p>
    <w:p>
      <w:pPr>
        <w:spacing w:line="200" w:lineRule="exact"/>
        <w:rPr>
          <w:rFonts w:hint="eastAsia" w:ascii="宋体" w:hAnsi="宋体" w:eastAsia="宋体" w:cs="宋体"/>
          <w:sz w:val="20"/>
        </w:rPr>
      </w:pPr>
    </w:p>
    <w:p>
      <w:pPr>
        <w:autoSpaceDE w:val="false"/>
        <w:autoSpaceDN w:val="false"/>
        <w:spacing w:line="440" w:lineRule="exact"/>
        <w:ind w:left="1440" w:right="138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发行人财务费用分别为</w:t>
      </w:r>
      <w:r>
        <w:rPr>
          <w:rFonts w:hint="eastAsia" w:ascii="Times New Roman" w:hAnsi="Times New Roman" w:eastAsia="Times New Roman" w:cs="Times New Roman"/>
          <w:sz w:val="24"/>
        </w:rPr>
        <w:t>-2,092,246.52</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-4,297,567.87</w:t>
      </w:r>
      <w:r>
        <w:rPr>
          <w:rFonts w:hint="eastAsia" w:ascii="宋体" w:hAnsi="宋体" w:eastAsia="宋体" w:cs="宋体"/>
          <w:sz w:val="24"/>
        </w:rPr>
        <w:t xml:space="preserve"> 元和</w:t>
      </w:r>
      <w:r>
        <w:rPr>
          <w:rFonts w:hint="eastAsia" w:ascii="Times New Roman" w:hAnsi="Times New Roman" w:eastAsia="Times New Roman" w:cs="Times New Roman"/>
          <w:sz w:val="24"/>
        </w:rPr>
        <w:t>-5,482,497.01</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发行人财务费用主要为利息收入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）发行人与同行业上市公司销售费用率</w:t>
      </w:r>
      <w:r>
        <w:rPr>
          <w:rFonts w:hint="eastAsia" w:ascii="宋体" w:hAnsi="宋体" w:eastAsia="宋体" w:cs="宋体"/>
          <w:sz w:val="10"/>
        </w:rPr>
        <w:t>、</w:t>
      </w:r>
      <w:r>
        <w:rPr>
          <w:rFonts w:hint="eastAsia" w:ascii="宋体" w:hAnsi="宋体" w:eastAsia="宋体" w:cs="宋体"/>
          <w:sz w:val="24"/>
        </w:rPr>
        <w:t>管理费用率的比较情况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1-1-281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公司同行业上市公司主要有恒生电子</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与同行业上市公司比较时</w:t>
      </w:r>
      <w:r>
        <w:rPr>
          <w:rFonts w:hint="eastAsia" w:ascii="宋体" w:hAnsi="宋体" w:eastAsia="宋体" w:cs="宋体"/>
          <w:sz w:val="10"/>
        </w:rPr>
        <w:t>，</w:t>
      </w:r>
      <w:r>
        <w:rPr>
          <w:rFonts w:hint="eastAsia" w:ascii="宋体" w:hAnsi="宋体" w:eastAsia="宋体" w:cs="宋体"/>
          <w:sz w:val="24"/>
        </w:rPr>
        <w:t>选取报告期内公司及同行业上市公司的销售费用率</w:t>
      </w:r>
      <w:r>
        <w:rPr>
          <w:rFonts w:hint="eastAsia" w:ascii="宋体" w:hAnsi="宋体" w:eastAsia="宋体" w:cs="宋体"/>
          <w:sz w:val="10"/>
        </w:rPr>
        <w:t>、</w:t>
      </w:r>
      <w:r>
        <w:rPr>
          <w:rFonts w:hint="eastAsia" w:ascii="宋体" w:hAnsi="宋体" w:eastAsia="宋体" w:cs="宋体"/>
          <w:sz w:val="24"/>
        </w:rPr>
        <w:t>管理费用率（注</w:t>
      </w:r>
      <w:r>
        <w:rPr>
          <w:rFonts w:hint="eastAsia" w:ascii="宋体" w:hAnsi="宋体" w:eastAsia="宋体" w:cs="宋体"/>
          <w:sz w:val="10"/>
        </w:rPr>
        <w:t>：</w:t>
      </w:r>
      <w:r>
        <w:rPr>
          <w:rFonts w:hint="eastAsia" w:ascii="宋体" w:hAnsi="宋体" w:eastAsia="宋体" w:cs="宋体"/>
          <w:sz w:val="24"/>
        </w:rPr>
        <w:t>销售费用率</w:t>
      </w:r>
      <w:r>
        <w:rPr>
          <w:rFonts w:hint="eastAsia" w:ascii="Times New Roman" w:hAnsi="Times New Roman" w:eastAsia="Times New Roman" w:cs="Times New Roman"/>
          <w:sz w:val="24"/>
        </w:rPr>
        <w:t>=</w:t>
      </w:r>
      <w:r>
        <w:rPr>
          <w:rFonts w:hint="eastAsia" w:ascii="宋体" w:hAnsi="宋体" w:eastAsia="宋体" w:cs="宋体"/>
          <w:sz w:val="24"/>
        </w:rPr>
        <w:t>销售费用</w:t>
      </w:r>
      <w:r>
        <w:rPr>
          <w:rFonts w:hint="eastAsia" w:ascii="Times New Roman" w:hAnsi="Times New Roman" w:eastAsia="Times New Roman" w:cs="Times New Roman"/>
          <w:sz w:val="24"/>
        </w:rPr>
        <w:t>/</w:t>
      </w:r>
      <w:r>
        <w:rPr>
          <w:rFonts w:hint="eastAsia" w:ascii="宋体" w:hAnsi="宋体" w:eastAsia="宋体" w:cs="宋体"/>
          <w:sz w:val="24"/>
        </w:rPr>
        <w:t>主营业务收入</w:t>
      </w:r>
      <w:r>
        <w:rPr>
          <w:rFonts w:hint="eastAsia" w:ascii="宋体" w:hAnsi="宋体" w:eastAsia="宋体" w:cs="宋体"/>
          <w:sz w:val="12"/>
        </w:rPr>
        <w:t>；</w:t>
      </w:r>
      <w:r>
        <w:rPr>
          <w:rFonts w:hint="eastAsia" w:ascii="宋体" w:hAnsi="宋体" w:eastAsia="宋体" w:cs="宋体"/>
          <w:sz w:val="24"/>
        </w:rPr>
        <w:t>管理费用率</w:t>
      </w:r>
      <w:r>
        <w:rPr>
          <w:rFonts w:hint="eastAsia" w:ascii="Times New Roman" w:hAnsi="Times New Roman" w:eastAsia="Times New Roman" w:cs="Times New Roman"/>
          <w:sz w:val="24"/>
        </w:rPr>
        <w:t>=</w:t>
      </w:r>
      <w:r>
        <w:rPr>
          <w:rFonts w:hint="eastAsia" w:ascii="宋体" w:hAnsi="宋体" w:eastAsia="宋体" w:cs="宋体"/>
          <w:sz w:val="24"/>
        </w:rPr>
        <w:t>管理费用</w:t>
      </w:r>
      <w:r>
        <w:rPr>
          <w:rFonts w:hint="eastAsia" w:ascii="Times New Roman" w:hAnsi="Times New Roman" w:eastAsia="Times New Roman" w:cs="Times New Roman"/>
          <w:sz w:val="24"/>
        </w:rPr>
        <w:t>/</w:t>
      </w:r>
      <w:r>
        <w:rPr>
          <w:rFonts w:hint="eastAsia" w:ascii="宋体" w:hAnsi="宋体" w:eastAsia="宋体" w:cs="宋体"/>
          <w:sz w:val="24"/>
        </w:rPr>
        <w:t>主营业务收入）进行分析</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金证股份的期间费用率选取母公司数据</w:t>
      </w:r>
      <w:r>
        <w:rPr>
          <w:rFonts w:hint="eastAsia" w:ascii="宋体" w:hAnsi="宋体" w:eastAsia="宋体" w:cs="宋体"/>
          <w:sz w:val="10"/>
        </w:rPr>
        <w:t>，</w:t>
      </w:r>
      <w:r>
        <w:rPr>
          <w:rFonts w:hint="eastAsia" w:ascii="宋体" w:hAnsi="宋体" w:eastAsia="宋体" w:cs="宋体"/>
          <w:sz w:val="24"/>
        </w:rPr>
        <w:t>主要由于其从事</w:t>
      </w:r>
      <w:r>
        <w:rPr>
          <w:rFonts w:hint="eastAsia" w:ascii="Times New Roman" w:hAnsi="Times New Roman" w:eastAsia="Times New Roman" w:cs="Times New Roman"/>
          <w:sz w:val="24"/>
        </w:rPr>
        <w:t xml:space="preserve"> H3C</w:t>
      </w:r>
      <w:r>
        <w:rPr>
          <w:rFonts w:hint="eastAsia" w:ascii="宋体" w:hAnsi="宋体" w:eastAsia="宋体" w:cs="宋体"/>
          <w:sz w:val="24"/>
        </w:rPr>
        <w:t xml:space="preserve"> 系列产品及服务代理的子公司深圳市齐普生科技股份有限公司贡献的商品销售收入占合并口径营业收入的比例均超过</w:t>
      </w:r>
      <w:r>
        <w:rPr>
          <w:rFonts w:hint="eastAsia" w:ascii="Times New Roman" w:hAnsi="Times New Roman" w:eastAsia="Times New Roman" w:cs="Times New Roman"/>
          <w:sz w:val="24"/>
        </w:rPr>
        <w:t>60%</w:t>
      </w:r>
      <w:r>
        <w:rPr>
          <w:rFonts w:hint="eastAsia" w:ascii="宋体" w:hAnsi="宋体" w:eastAsia="宋体" w:cs="宋体"/>
          <w:sz w:val="10"/>
        </w:rPr>
        <w:t>，</w:t>
      </w:r>
      <w:r>
        <w:rPr>
          <w:rFonts w:hint="eastAsia" w:ascii="宋体" w:hAnsi="宋体" w:eastAsia="宋体" w:cs="宋体"/>
          <w:sz w:val="24"/>
        </w:rPr>
        <w:t>其业务性质与软件行业业务性质有所差别</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①销售费用率的比较</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恒生电子的销售费用率分别为</w:t>
      </w:r>
      <w:r>
        <w:rPr>
          <w:rFonts w:hint="eastAsia" w:ascii="Times New Roman" w:hAnsi="Times New Roman" w:eastAsia="Times New Roman" w:cs="Times New Roman"/>
          <w:sz w:val="24"/>
        </w:rPr>
        <w:t xml:space="preserve"> 15.59%</w:t>
      </w:r>
      <w:r>
        <w:rPr>
          <w:rFonts w:hint="eastAsia" w:ascii="宋体" w:hAnsi="宋体" w:eastAsia="宋体" w:cs="宋体"/>
          <w:sz w:val="10"/>
        </w:rPr>
        <w:t>、</w:t>
      </w:r>
      <w:r>
        <w:rPr>
          <w:rFonts w:hint="eastAsia" w:ascii="Times New Roman" w:hAnsi="Times New Roman" w:eastAsia="Times New Roman" w:cs="Times New Roman"/>
          <w:sz w:val="24"/>
        </w:rPr>
        <w:t>2.46%</w:t>
      </w:r>
      <w:r>
        <w:rPr>
          <w:rFonts w:hint="eastAsia" w:ascii="宋体" w:hAnsi="宋体" w:eastAsia="宋体" w:cs="宋体"/>
          <w:sz w:val="10"/>
        </w:rPr>
        <w:t>、</w:t>
      </w:r>
      <w:r>
        <w:rPr>
          <w:rFonts w:hint="eastAsia" w:ascii="Times New Roman" w:hAnsi="Times New Roman" w:eastAsia="Times New Roman" w:cs="Times New Roman"/>
          <w:sz w:val="24"/>
        </w:rPr>
        <w:t>25.21%</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恒生电子的销售费用率分别为</w:t>
      </w:r>
      <w:r>
        <w:rPr>
          <w:rFonts w:hint="eastAsia" w:ascii="Times New Roman" w:hAnsi="Times New Roman" w:eastAsia="Times New Roman" w:cs="Times New Roman"/>
          <w:sz w:val="24"/>
        </w:rPr>
        <w:t xml:space="preserve"> 13.39%</w:t>
      </w:r>
      <w:r>
        <w:rPr>
          <w:rFonts w:hint="eastAsia" w:ascii="宋体" w:hAnsi="宋体" w:eastAsia="宋体" w:cs="宋体"/>
          <w:sz w:val="10"/>
        </w:rPr>
        <w:t>、</w:t>
      </w:r>
      <w:r>
        <w:rPr>
          <w:rFonts w:hint="eastAsia" w:ascii="Times New Roman" w:hAnsi="Times New Roman" w:eastAsia="Times New Roman" w:cs="Times New Roman"/>
          <w:sz w:val="24"/>
        </w:rPr>
        <w:t>2.32%</w:t>
      </w:r>
      <w:r>
        <w:rPr>
          <w:rFonts w:hint="eastAsia" w:ascii="宋体" w:hAnsi="宋体" w:eastAsia="宋体" w:cs="宋体"/>
          <w:sz w:val="10"/>
        </w:rPr>
        <w:t>、</w:t>
      </w:r>
      <w:r>
        <w:rPr>
          <w:rFonts w:hint="eastAsia" w:ascii="Times New Roman" w:hAnsi="Times New Roman" w:eastAsia="Times New Roman" w:cs="Times New Roman"/>
          <w:sz w:val="24"/>
        </w:rPr>
        <w:t>26.22%</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恒生电子的销售费用率分别为</w:t>
      </w:r>
      <w:r>
        <w:rPr>
          <w:rFonts w:hint="eastAsia" w:ascii="Times New Roman" w:hAnsi="Times New Roman" w:eastAsia="Times New Roman" w:cs="Times New Roman"/>
          <w:sz w:val="24"/>
        </w:rPr>
        <w:t xml:space="preserve"> 13.35%</w:t>
      </w:r>
      <w:r>
        <w:rPr>
          <w:rFonts w:hint="eastAsia" w:ascii="宋体" w:hAnsi="宋体" w:eastAsia="宋体" w:cs="宋体"/>
          <w:sz w:val="10"/>
        </w:rPr>
        <w:t>、</w:t>
      </w:r>
      <w:r>
        <w:rPr>
          <w:rFonts w:hint="eastAsia" w:ascii="Times New Roman" w:hAnsi="Times New Roman" w:eastAsia="Times New Roman" w:cs="Times New Roman"/>
          <w:sz w:val="24"/>
        </w:rPr>
        <w:t>2.77%</w:t>
      </w:r>
      <w:r>
        <w:rPr>
          <w:rFonts w:hint="eastAsia" w:ascii="宋体" w:hAnsi="宋体" w:eastAsia="宋体" w:cs="宋体"/>
          <w:sz w:val="10"/>
        </w:rPr>
        <w:t>、</w:t>
      </w:r>
      <w:r>
        <w:rPr>
          <w:rFonts w:hint="eastAsia" w:ascii="Times New Roman" w:hAnsi="Times New Roman" w:eastAsia="Times New Roman" w:cs="Times New Roman"/>
          <w:sz w:val="24"/>
        </w:rPr>
        <w:t>30.63%</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right="1200"/>
        <w:jc w:val="both"/>
      </w:pPr>
      <w:r>
        <w:rPr>
          <w:rFonts w:hint="eastAsia" w:ascii="宋体" w:hAnsi="宋体" w:eastAsia="宋体" w:cs="宋体"/>
          <w:sz w:val="24"/>
        </w:rPr>
        <w:t>发行人销售费用率高于金证股份</w:t>
      </w:r>
      <w:r>
        <w:rPr>
          <w:rFonts w:hint="eastAsia" w:ascii="宋体" w:hAnsi="宋体" w:eastAsia="宋体" w:cs="宋体"/>
          <w:sz w:val="10"/>
        </w:rPr>
        <w:t>，</w:t>
      </w:r>
      <w:r>
        <w:rPr>
          <w:rFonts w:hint="eastAsia" w:ascii="宋体" w:hAnsi="宋体" w:eastAsia="宋体" w:cs="宋体"/>
          <w:sz w:val="24"/>
        </w:rPr>
        <w:t>低于恒生电子</w:t>
      </w:r>
      <w:r>
        <w:rPr>
          <w:rFonts w:hint="eastAsia" w:ascii="宋体" w:hAnsi="宋体" w:eastAsia="宋体" w:cs="宋体"/>
          <w:sz w:val="10"/>
        </w:rPr>
        <w:t>。</w:t>
      </w:r>
      <w:r>
        <w:rPr>
          <w:rFonts w:hint="eastAsia" w:ascii="宋体" w:hAnsi="宋体" w:eastAsia="宋体" w:cs="宋体"/>
          <w:sz w:val="24"/>
        </w:rPr>
        <w:t>发行人销售费用率低于恒生电子主要是由于双方在销售费用中的人工费用占营业收入的比例上存在一定的差异</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2"/>
        </w:rPr>
        <w:t>：</w:t>
      </w:r>
      <w:r>
        <w:rPr>
          <w:rFonts w:hint="eastAsia" w:ascii="Times New Roman" w:hAnsi="Times New Roman" w:eastAsia="Times New Roman" w:cs="Times New Roman"/>
          <w:sz w:val="24"/>
        </w:rPr>
        <w:t>2014</w:t>
      </w:r>
      <w:r>
        <w:rPr>
          <w:rFonts w:hint="eastAsia" w:ascii="宋体" w:hAnsi="宋体" w:eastAsia="宋体" w:cs="宋体"/>
          <w:sz w:val="24"/>
        </w:rPr>
        <w:t>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发行人销售费用中的人工费用占营业收入的比例分别为</w:t>
      </w:r>
      <w:r>
        <w:rPr>
          <w:rFonts w:hint="eastAsia" w:ascii="Times New Roman" w:hAnsi="Times New Roman" w:eastAsia="Times New Roman" w:cs="Times New Roman"/>
          <w:sz w:val="24"/>
        </w:rPr>
        <w:t xml:space="preserve"> 7.98%</w:t>
      </w:r>
      <w:r>
        <w:rPr>
          <w:rFonts w:hint="eastAsia" w:ascii="宋体" w:hAnsi="宋体" w:eastAsia="宋体" w:cs="宋体"/>
          <w:sz w:val="10"/>
        </w:rPr>
        <w:t>、</w:t>
      </w:r>
      <w:r>
        <w:rPr>
          <w:rFonts w:hint="eastAsia" w:ascii="Times New Roman" w:hAnsi="Times New Roman" w:eastAsia="Times New Roman" w:cs="Times New Roman"/>
          <w:sz w:val="24"/>
        </w:rPr>
        <w:t>6.31%</w:t>
      </w:r>
      <w:r>
        <w:rPr>
          <w:rFonts w:hint="eastAsia" w:ascii="宋体" w:hAnsi="宋体" w:eastAsia="宋体" w:cs="宋体"/>
          <w:sz w:val="24"/>
        </w:rPr>
        <w:t>和</w:t>
      </w:r>
      <w:r>
        <w:rPr>
          <w:rFonts w:hint="eastAsia" w:ascii="Times New Roman" w:hAnsi="Times New Roman" w:eastAsia="Times New Roman" w:cs="Times New Roman"/>
          <w:sz w:val="24"/>
        </w:rPr>
        <w:t xml:space="preserve"> 6.49%</w:t>
      </w:r>
      <w:r>
        <w:rPr>
          <w:rFonts w:hint="eastAsia" w:ascii="宋体" w:hAnsi="宋体" w:eastAsia="宋体" w:cs="宋体"/>
          <w:sz w:val="10"/>
        </w:rPr>
        <w:t>，</w:t>
      </w:r>
      <w:r>
        <w:rPr>
          <w:rFonts w:hint="eastAsia" w:ascii="宋体" w:hAnsi="宋体" w:eastAsia="宋体" w:cs="宋体"/>
          <w:sz w:val="24"/>
        </w:rPr>
        <w:t>恒生电子销售费用中的人工费用占营业收入的比例分别为</w:t>
      </w:r>
      <w:r>
        <w:rPr>
          <w:rFonts w:hint="eastAsia" w:ascii="Times New Roman" w:hAnsi="Times New Roman" w:eastAsia="Times New Roman" w:cs="Times New Roman"/>
          <w:sz w:val="24"/>
        </w:rPr>
        <w:t xml:space="preserve"> 13.90%</w:t>
      </w:r>
      <w:r>
        <w:rPr>
          <w:rFonts w:hint="eastAsia" w:ascii="宋体" w:hAnsi="宋体" w:eastAsia="宋体" w:cs="宋体"/>
          <w:sz w:val="10"/>
        </w:rPr>
        <w:t>、</w:t>
      </w:r>
      <w:r>
        <w:rPr>
          <w:rFonts w:hint="eastAsia" w:ascii="Times New Roman" w:hAnsi="Times New Roman" w:eastAsia="Times New Roman" w:cs="Times New Roman"/>
          <w:sz w:val="24"/>
        </w:rPr>
        <w:t>16.93%</w:t>
      </w:r>
      <w:r>
        <w:rPr>
          <w:rFonts w:hint="eastAsia" w:ascii="宋体" w:hAnsi="宋体" w:eastAsia="宋体" w:cs="宋体"/>
          <w:sz w:val="24"/>
        </w:rPr>
        <w:t>和</w:t>
      </w:r>
      <w:r>
        <w:rPr>
          <w:rFonts w:hint="eastAsia" w:ascii="Times New Roman" w:hAnsi="Times New Roman" w:eastAsia="Times New Roman" w:cs="Times New Roman"/>
          <w:sz w:val="24"/>
        </w:rPr>
        <w:t xml:space="preserve"> 18.21%</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②管理费用率的比较</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恒生电子的管理费用率分别为</w:t>
      </w:r>
      <w:r>
        <w:rPr>
          <w:rFonts w:hint="eastAsia" w:ascii="Times New Roman" w:hAnsi="Times New Roman" w:eastAsia="Times New Roman" w:cs="Times New Roman"/>
          <w:sz w:val="24"/>
        </w:rPr>
        <w:t xml:space="preserve"> 34.70%</w:t>
      </w:r>
      <w:r>
        <w:rPr>
          <w:rFonts w:hint="eastAsia" w:ascii="宋体" w:hAnsi="宋体" w:eastAsia="宋体" w:cs="宋体"/>
          <w:sz w:val="10"/>
        </w:rPr>
        <w:t>、</w:t>
      </w:r>
      <w:r>
        <w:rPr>
          <w:rFonts w:hint="eastAsia" w:ascii="Times New Roman" w:hAnsi="Times New Roman" w:eastAsia="Times New Roman" w:cs="Times New Roman"/>
          <w:sz w:val="24"/>
        </w:rPr>
        <w:t>41.15%</w:t>
      </w:r>
      <w:r>
        <w:rPr>
          <w:rFonts w:hint="eastAsia" w:ascii="宋体" w:hAnsi="宋体" w:eastAsia="宋体" w:cs="宋体"/>
          <w:sz w:val="10"/>
        </w:rPr>
        <w:t>、</w:t>
      </w:r>
      <w:r>
        <w:rPr>
          <w:rFonts w:hint="eastAsia" w:ascii="Times New Roman" w:hAnsi="Times New Roman" w:eastAsia="Times New Roman" w:cs="Times New Roman"/>
          <w:sz w:val="24"/>
        </w:rPr>
        <w:t>56.51%</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恒生电子的管理费用率分别为</w:t>
      </w:r>
      <w:r>
        <w:rPr>
          <w:rFonts w:hint="eastAsia" w:ascii="Times New Roman" w:hAnsi="Times New Roman" w:eastAsia="Times New Roman" w:cs="Times New Roman"/>
          <w:sz w:val="24"/>
        </w:rPr>
        <w:t xml:space="preserve"> 32.68%</w:t>
      </w:r>
      <w:r>
        <w:rPr>
          <w:rFonts w:hint="eastAsia" w:ascii="宋体" w:hAnsi="宋体" w:eastAsia="宋体" w:cs="宋体"/>
          <w:sz w:val="10"/>
        </w:rPr>
        <w:t>、</w:t>
      </w:r>
      <w:r>
        <w:rPr>
          <w:rFonts w:hint="eastAsia" w:ascii="Times New Roman" w:hAnsi="Times New Roman" w:eastAsia="Times New Roman" w:cs="Times New Roman"/>
          <w:sz w:val="24"/>
        </w:rPr>
        <w:t>37.71%</w:t>
      </w:r>
      <w:r>
        <w:rPr>
          <w:rFonts w:hint="eastAsia" w:ascii="宋体" w:hAnsi="宋体" w:eastAsia="宋体" w:cs="宋体"/>
          <w:sz w:val="10"/>
        </w:rPr>
        <w:t>、</w:t>
      </w:r>
      <w:r>
        <w:rPr>
          <w:rFonts w:hint="eastAsia" w:ascii="Times New Roman" w:hAnsi="Times New Roman" w:eastAsia="Times New Roman" w:cs="Times New Roman"/>
          <w:sz w:val="24"/>
        </w:rPr>
        <w:t>47.67%</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恒生电子的管理费用率分别为</w:t>
      </w:r>
      <w:r>
        <w:rPr>
          <w:rFonts w:hint="eastAsia" w:ascii="Times New Roman" w:hAnsi="Times New Roman" w:eastAsia="Times New Roman" w:cs="Times New Roman"/>
          <w:sz w:val="24"/>
        </w:rPr>
        <w:t xml:space="preserve"> 33.83%</w:t>
      </w:r>
      <w:r>
        <w:rPr>
          <w:rFonts w:hint="eastAsia" w:ascii="宋体" w:hAnsi="宋体" w:eastAsia="宋体" w:cs="宋体"/>
          <w:sz w:val="10"/>
        </w:rPr>
        <w:t>、</w:t>
      </w:r>
      <w:r>
        <w:rPr>
          <w:rFonts w:hint="eastAsia" w:ascii="Times New Roman" w:hAnsi="Times New Roman" w:eastAsia="Times New Roman" w:cs="Times New Roman"/>
          <w:sz w:val="24"/>
        </w:rPr>
        <w:t>40.53%</w:t>
      </w:r>
      <w:r>
        <w:rPr>
          <w:rFonts w:hint="eastAsia" w:ascii="宋体" w:hAnsi="宋体" w:eastAsia="宋体" w:cs="宋体"/>
          <w:sz w:val="10"/>
        </w:rPr>
        <w:t>、</w:t>
      </w:r>
      <w:r>
        <w:rPr>
          <w:rFonts w:hint="eastAsia" w:ascii="Times New Roman" w:hAnsi="Times New Roman" w:eastAsia="Times New Roman" w:cs="Times New Roman"/>
          <w:sz w:val="24"/>
        </w:rPr>
        <w:t>61.67%</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40"/>
        <w:jc w:val="both"/>
      </w:pPr>
      <w:r>
        <w:rPr>
          <w:rFonts w:hint="eastAsia" w:ascii="宋体" w:hAnsi="宋体" w:eastAsia="宋体" w:cs="宋体"/>
          <w:sz w:val="24"/>
        </w:rPr>
        <w:t>发行人管理费用率与金证股份相近</w:t>
      </w:r>
      <w:r>
        <w:rPr>
          <w:rFonts w:hint="eastAsia" w:ascii="宋体" w:hAnsi="宋体" w:eastAsia="宋体" w:cs="宋体"/>
          <w:sz w:val="10"/>
        </w:rPr>
        <w:t>，</w:t>
      </w:r>
      <w:r>
        <w:rPr>
          <w:rFonts w:hint="eastAsia" w:ascii="宋体" w:hAnsi="宋体" w:eastAsia="宋体" w:cs="宋体"/>
          <w:sz w:val="24"/>
        </w:rPr>
        <w:t>由于企业规模</w:t>
      </w:r>
      <w:r>
        <w:rPr>
          <w:rFonts w:hint="eastAsia" w:ascii="宋体" w:hAnsi="宋体" w:eastAsia="宋体" w:cs="宋体"/>
          <w:sz w:val="10"/>
        </w:rPr>
        <w:t>、</w:t>
      </w:r>
      <w:r>
        <w:rPr>
          <w:rFonts w:hint="eastAsia" w:ascii="宋体" w:hAnsi="宋体" w:eastAsia="宋体" w:cs="宋体"/>
          <w:sz w:val="24"/>
        </w:rPr>
        <w:t>研发管理投入</w:t>
      </w:r>
      <w:r>
        <w:rPr>
          <w:rFonts w:hint="eastAsia" w:ascii="宋体" w:hAnsi="宋体" w:eastAsia="宋体" w:cs="宋体"/>
          <w:sz w:val="10"/>
        </w:rPr>
        <w:t>、</w:t>
      </w:r>
      <w:r>
        <w:rPr>
          <w:rFonts w:hint="eastAsia" w:ascii="宋体" w:hAnsi="宋体" w:eastAsia="宋体" w:cs="宋体"/>
          <w:sz w:val="24"/>
        </w:rPr>
        <w:t>业务覆盖范围等原因</w:t>
      </w:r>
      <w:r>
        <w:rPr>
          <w:rFonts w:hint="eastAsia" w:ascii="宋体" w:hAnsi="宋体" w:eastAsia="宋体" w:cs="宋体"/>
          <w:sz w:val="10"/>
        </w:rPr>
        <w:t>，</w:t>
      </w:r>
      <w:r>
        <w:rPr>
          <w:rFonts w:hint="eastAsia" w:ascii="宋体" w:hAnsi="宋体" w:eastAsia="宋体" w:cs="宋体"/>
          <w:sz w:val="24"/>
        </w:rPr>
        <w:t>管理费用率低于恒生电子</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资产减值</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公司资产减值损失情况如下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0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0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60" w:hRule="exact"/>
        </w:trPr>
        <w:tc>
          <w:tcPr>
            <w:tcW w:w="2320" w:type="dxa"/>
            <w:tcMar>
              <w:top w:w="0" w:type="dxa"/>
              <w:left w:w="0" w:type="dxa"/>
              <w:bottom w:w="0" w:type="dxa"/>
              <w:right w:w="0" w:type="dxa"/>
            </w:tcMar>
          </w:tcPr>
          <w:p>
            <w:pPr>
              <w:spacing w:before="100"/>
              <w:ind w:left="720"/>
            </w:pPr>
            <w:r>
              <w:rPr>
                <w:rFonts w:hint="eastAsia" w:ascii="宋体" w:hAnsi="宋体" w:eastAsia="宋体" w:cs="宋体"/>
                <w:sz w:val="21"/>
              </w:rPr>
              <w:t>坏账损失</w:t>
            </w:r>
          </w:p>
        </w:tc>
        <w:tc>
          <w:tcPr>
            <w:tcW w:w="2320" w:type="dxa"/>
            <w:tcMar>
              <w:top w:w="0" w:type="dxa"/>
              <w:left w:w="0" w:type="dxa"/>
              <w:bottom w:w="0" w:type="dxa"/>
              <w:right w:w="0" w:type="dxa"/>
            </w:tcMar>
          </w:tcPr>
          <w:p>
            <w:pPr>
              <w:spacing w:before="160"/>
              <w:ind w:left="134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w:t>
            </w:r>
          </w:p>
        </w:tc>
        <w:tc>
          <w:tcPr>
            <w:tcW w:w="230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869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c>
          <w:tcPr>
            <w:tcW w:w="2320" w:type="dxa"/>
            <w:tcMar>
              <w:top w:w="0" w:type="dxa"/>
              <w:left w:w="0" w:type="dxa"/>
              <w:bottom w:w="0" w:type="dxa"/>
              <w:right w:w="0" w:type="dxa"/>
            </w:tcMar>
          </w:tcPr>
          <w:p>
            <w:pPr>
              <w:spacing w:before="160"/>
              <w:ind w:left="1260"/>
            </w:pPr>
            <w:r>
              <w:rPr>
                <w:rFonts w:hint="eastAsia" w:ascii="Times New Roman" w:hAnsi="Times New Roman" w:eastAsia="Times New Roman" w:cs="Times New Roman"/>
                <w:sz w:val="21"/>
              </w:rPr>
              <w:t>477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r>
      <w:tr>
        <w:trPr>
          <w:trHeight w:val="480" w:hRule="exact"/>
        </w:trPr>
        <w:tc>
          <w:tcPr>
            <w:tcW w:w="2320" w:type="dxa"/>
            <w:tcMar>
              <w:top w:w="0" w:type="dxa"/>
              <w:left w:w="0" w:type="dxa"/>
              <w:bottom w:w="0" w:type="dxa"/>
              <w:right w:w="0" w:type="dxa"/>
            </w:tcMar>
          </w:tcPr>
          <w:p>
            <w:pPr>
              <w:spacing w:before="60"/>
              <w:ind w:left="920"/>
            </w:pPr>
            <w:r>
              <w:rPr>
                <w:rFonts w:hint="eastAsia" w:ascii="宋体" w:hAnsi="宋体" w:eastAsia="宋体" w:cs="宋体"/>
                <w:b/>
                <w:sz w:val="21"/>
              </w:rPr>
              <w:t>合计</w:t>
            </w:r>
          </w:p>
        </w:tc>
        <w:tc>
          <w:tcPr>
            <w:tcW w:w="2320" w:type="dxa"/>
            <w:tcMar>
              <w:top w:w="0" w:type="dxa"/>
              <w:left w:w="0" w:type="dxa"/>
              <w:bottom w:w="0" w:type="dxa"/>
              <w:right w:w="0" w:type="dxa"/>
            </w:tcMar>
          </w:tcPr>
          <w:p>
            <w:pPr>
              <w:spacing w:before="180"/>
              <w:ind w:left="1340"/>
            </w:pPr>
            <w:r>
              <w:rPr>
                <w:rFonts w:hint="eastAsia" w:ascii="Times New Roman Bold" w:hAnsi="Times New Roman Bold" w:eastAsia="Times New Roman Bold" w:cs="Times New Roman Bold"/>
                <w:b/>
                <w:sz w:val="21"/>
              </w:rPr>
              <w:t>87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994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25</w:t>
            </w:r>
          </w:p>
        </w:tc>
        <w:tc>
          <w:tcPr>
            <w:tcW w:w="2300" w:type="dxa"/>
            <w:tcMar>
              <w:top w:w="0" w:type="dxa"/>
              <w:left w:w="0" w:type="dxa"/>
              <w:bottom w:w="0" w:type="dxa"/>
              <w:right w:w="0" w:type="dxa"/>
            </w:tcMar>
          </w:tcPr>
          <w:p>
            <w:pPr>
              <w:spacing w:before="180"/>
              <w:ind w:left="1240"/>
            </w:pPr>
            <w:r>
              <w:rPr>
                <w:rFonts w:hint="eastAsia" w:ascii="Times New Roman Bold" w:hAnsi="Times New Roman Bold" w:eastAsia="Times New Roman Bold" w:cs="Times New Roman Bold"/>
                <w:b/>
                <w:sz w:val="21"/>
              </w:rPr>
              <w:t>869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231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w:t>
            </w:r>
          </w:p>
        </w:tc>
        <w:tc>
          <w:tcPr>
            <w:tcW w:w="2320" w:type="dxa"/>
            <w:tcMar>
              <w:top w:w="0" w:type="dxa"/>
              <w:left w:w="0" w:type="dxa"/>
              <w:bottom w:w="0" w:type="dxa"/>
              <w:right w:w="0" w:type="dxa"/>
            </w:tcMar>
          </w:tcPr>
          <w:p>
            <w:pPr>
              <w:spacing w:before="180"/>
              <w:ind w:left="1260"/>
            </w:pPr>
            <w:r>
              <w:rPr>
                <w:rFonts w:hint="eastAsia" w:ascii="Times New Roman Bold" w:hAnsi="Times New Roman Bold" w:eastAsia="Times New Roman Bold" w:cs="Times New Roman Bold"/>
                <w:b/>
                <w:sz w:val="21"/>
              </w:rPr>
              <w:t>477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798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35</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1-1-282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报告期公司报表的资产减值损失为按照会计准则计提的坏账准备</w:t>
      </w:r>
      <w:r>
        <w:rPr>
          <w:rFonts w:hint="eastAsia" w:ascii="宋体" w:hAnsi="宋体" w:eastAsia="宋体" w:cs="宋体"/>
          <w:sz w:val="10"/>
        </w:rPr>
        <w:t>。</w:t>
      </w:r>
      <w:r>
        <w:rPr>
          <w:rFonts w:hint="eastAsia" w:ascii="宋体" w:hAnsi="宋体" w:eastAsia="宋体" w:cs="宋体"/>
          <w:sz w:val="24"/>
        </w:rPr>
        <w:t>公司坏账准备计提充分</w:t>
      </w:r>
      <w:r>
        <w:rPr>
          <w:rFonts w:hint="eastAsia" w:ascii="宋体" w:hAnsi="宋体" w:eastAsia="宋体" w:cs="宋体"/>
          <w:sz w:val="10"/>
        </w:rPr>
        <w:t>，</w:t>
      </w:r>
      <w:r>
        <w:rPr>
          <w:rFonts w:hint="eastAsia" w:ascii="宋体" w:hAnsi="宋体" w:eastAsia="宋体" w:cs="宋体"/>
          <w:sz w:val="24"/>
        </w:rPr>
        <w:t>详见本节</w:t>
      </w:r>
      <w:r>
        <w:rPr>
          <w:rFonts w:hint="eastAsia" w:ascii="宋体" w:hAnsi="宋体" w:eastAsia="宋体" w:cs="宋体"/>
          <w:sz w:val="10"/>
        </w:rPr>
        <w:t>“</w:t>
      </w:r>
      <w:r>
        <w:rPr>
          <w:rFonts w:hint="eastAsia" w:ascii="宋体" w:hAnsi="宋体" w:eastAsia="宋体" w:cs="宋体"/>
          <w:sz w:val="24"/>
        </w:rPr>
        <w:t>十</w:t>
      </w:r>
      <w:r>
        <w:rPr>
          <w:rFonts w:hint="eastAsia" w:ascii="宋体" w:hAnsi="宋体" w:eastAsia="宋体" w:cs="宋体"/>
          <w:sz w:val="10"/>
        </w:rPr>
        <w:t>、</w:t>
      </w:r>
      <w:r>
        <w:rPr>
          <w:rFonts w:hint="eastAsia" w:ascii="宋体" w:hAnsi="宋体" w:eastAsia="宋体" w:cs="宋体"/>
          <w:sz w:val="24"/>
        </w:rPr>
        <w:t>财务状况分析</w:t>
      </w:r>
      <w:r>
        <w:rPr>
          <w:rFonts w:hint="eastAsia" w:ascii="Times New Roman" w:hAnsi="Times New Roman" w:eastAsia="Times New Roman" w:cs="Times New Roman"/>
          <w:sz w:val="24"/>
        </w:rPr>
        <w:t xml:space="preserve"> </w:t>
      </w:r>
      <w:r>
        <w:rPr>
          <w:rFonts w:hint="eastAsia" w:ascii="宋体" w:hAnsi="宋体" w:eastAsia="宋体" w:cs="宋体"/>
          <w:sz w:val="24"/>
        </w:rPr>
        <w:t>（一）资产结构分析</w:t>
      </w:r>
      <w:r>
        <w:rPr>
          <w:rFonts w:hint="eastAsia" w:ascii="Times New Roman" w:hAnsi="Times New Roman" w:eastAsia="Times New Roman" w:cs="Times New Roman"/>
          <w:sz w:val="24"/>
        </w:rPr>
        <w:t xml:space="preserve"> 4</w:t>
      </w:r>
      <w:r>
        <w:rPr>
          <w:rFonts w:hint="eastAsia" w:ascii="宋体" w:hAnsi="宋体" w:eastAsia="宋体" w:cs="宋体"/>
          <w:sz w:val="10"/>
        </w:rPr>
        <w:t>．</w:t>
      </w:r>
      <w:r>
        <w:rPr>
          <w:rFonts w:hint="eastAsia" w:ascii="宋体" w:hAnsi="宋体" w:eastAsia="宋体" w:cs="宋体"/>
          <w:sz w:val="24"/>
        </w:rPr>
        <w:t>资产减值准备计提情况</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营业外收入与营业外支出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公司营业外收支情况如下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2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营业外收入</w:t>
            </w:r>
          </w:p>
        </w:tc>
        <w:tc>
          <w:tcPr>
            <w:tcW w:w="232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c>
          <w:tcPr>
            <w:tcW w:w="230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320" w:type="dxa"/>
            <w:tcMar>
              <w:top w:w="0" w:type="dxa"/>
              <w:left w:w="0" w:type="dxa"/>
              <w:bottom w:w="0" w:type="dxa"/>
              <w:right w:w="0" w:type="dxa"/>
            </w:tcMar>
          </w:tcPr>
          <w:p>
            <w:pPr>
              <w:spacing w:before="160"/>
              <w:ind w:left="1140"/>
            </w:pPr>
            <w:r>
              <w:rPr>
                <w:rFonts w:hint="eastAsia" w:ascii="Times New Roman" w:hAnsi="Times New Roman" w:eastAsia="Times New Roman" w:cs="Times New Roman"/>
                <w:sz w:val="19"/>
              </w:rPr>
              <w:t>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722</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504</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36</w:t>
            </w:r>
          </w:p>
        </w:tc>
      </w:tr>
      <w:tr>
        <w:trPr>
          <w:trHeight w:val="460" w:hRule="exact"/>
        </w:trPr>
        <w:tc>
          <w:tcPr>
            <w:tcW w:w="2320" w:type="dxa"/>
            <w:tcMar>
              <w:top w:w="0" w:type="dxa"/>
              <w:left w:w="0" w:type="dxa"/>
              <w:bottom w:w="0" w:type="dxa"/>
              <w:right w:w="0" w:type="dxa"/>
            </w:tcMar>
          </w:tcPr>
          <w:p>
            <w:pPr>
              <w:spacing w:before="100"/>
              <w:ind w:left="100"/>
            </w:pPr>
            <w:r>
              <w:rPr>
                <w:rFonts w:hint="eastAsia" w:ascii="宋体" w:hAnsi="宋体" w:eastAsia="宋体" w:cs="宋体"/>
                <w:sz w:val="21"/>
              </w:rPr>
              <w:t>营业外支出</w:t>
            </w:r>
          </w:p>
        </w:tc>
        <w:tc>
          <w:tcPr>
            <w:tcW w:w="23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153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c>
          <w:tcPr>
            <w:tcW w:w="230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166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2320" w:type="dxa"/>
            <w:tcMar>
              <w:top w:w="0" w:type="dxa"/>
              <w:left w:w="0" w:type="dxa"/>
              <w:bottom w:w="0" w:type="dxa"/>
              <w:right w:w="0" w:type="dxa"/>
            </w:tcMar>
          </w:tcPr>
          <w:p>
            <w:pPr>
              <w:spacing w:before="160"/>
              <w:ind w:left="1300"/>
            </w:pPr>
            <w:r>
              <w:rPr>
                <w:rFonts w:hint="eastAsia" w:ascii="Times New Roman" w:hAnsi="Times New Roman" w:eastAsia="Times New Roman" w:cs="Times New Roman"/>
                <w:sz w:val="19"/>
              </w:rPr>
              <w:t>327</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427</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22</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营业外收支净额</w:t>
            </w:r>
          </w:p>
        </w:tc>
        <w:tc>
          <w:tcPr>
            <w:tcW w:w="2320" w:type="dxa"/>
            <w:tcMar>
              <w:top w:w="0" w:type="dxa"/>
              <w:left w:w="0" w:type="dxa"/>
              <w:bottom w:w="0" w:type="dxa"/>
              <w:right w:w="0" w:type="dxa"/>
            </w:tcMar>
          </w:tcPr>
          <w:p>
            <w:pPr>
              <w:spacing w:before="180"/>
              <w:ind w:left="9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222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c>
          <w:tcPr>
            <w:tcW w:w="2300" w:type="dxa"/>
            <w:tcMar>
              <w:top w:w="0" w:type="dxa"/>
              <w:left w:w="0" w:type="dxa"/>
              <w:bottom w:w="0" w:type="dxa"/>
              <w:right w:w="0" w:type="dxa"/>
            </w:tcMar>
          </w:tcPr>
          <w:p>
            <w:pPr>
              <w:spacing w:before="180"/>
              <w:ind w:left="98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w:t>
            </w:r>
          </w:p>
        </w:tc>
        <w:tc>
          <w:tcPr>
            <w:tcW w:w="2320" w:type="dxa"/>
            <w:tcMar>
              <w:top w:w="0" w:type="dxa"/>
              <w:left w:w="0" w:type="dxa"/>
              <w:bottom w:w="0" w:type="dxa"/>
              <w:right w:w="0" w:type="dxa"/>
            </w:tcMar>
          </w:tcPr>
          <w:p>
            <w:pPr>
              <w:spacing w:before="160"/>
              <w:ind w:left="1140"/>
            </w:pPr>
            <w:r>
              <w:rPr>
                <w:rFonts w:hint="eastAsia" w:ascii="Times New Roman" w:hAnsi="Times New Roman" w:eastAsia="Times New Roman" w:cs="Times New Roman"/>
                <w:sz w:val="19"/>
              </w:rPr>
              <w:t>6</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395</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077</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14</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利润总额</w:t>
            </w:r>
          </w:p>
        </w:tc>
        <w:tc>
          <w:tcPr>
            <w:tcW w:w="2320" w:type="dxa"/>
            <w:tcMar>
              <w:top w:w="0" w:type="dxa"/>
              <w:left w:w="0" w:type="dxa"/>
              <w:bottom w:w="0" w:type="dxa"/>
              <w:right w:w="0" w:type="dxa"/>
            </w:tcMar>
          </w:tcPr>
          <w:p>
            <w:pPr>
              <w:spacing w:before="160"/>
              <w:ind w:left="980"/>
            </w:pPr>
            <w:r>
              <w:rPr>
                <w:rFonts w:hint="eastAsia" w:ascii="Times New Roman Bold" w:hAnsi="Times New Roman Bold" w:eastAsia="Times New Roman Bold" w:cs="Times New Roman Bold"/>
                <w:b/>
                <w:sz w:val="21"/>
              </w:rPr>
              <w:t>81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527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64</w:t>
            </w:r>
          </w:p>
        </w:tc>
        <w:tc>
          <w:tcPr>
            <w:tcW w:w="2300" w:type="dxa"/>
            <w:tcMar>
              <w:top w:w="0" w:type="dxa"/>
              <w:left w:w="0" w:type="dxa"/>
              <w:bottom w:w="0" w:type="dxa"/>
              <w:right w:w="0" w:type="dxa"/>
            </w:tcMar>
          </w:tcPr>
          <w:p>
            <w:pPr>
              <w:spacing w:before="160"/>
              <w:ind w:left="980"/>
            </w:pPr>
            <w:r>
              <w:rPr>
                <w:rFonts w:hint="eastAsia" w:ascii="Times New Roman Bold" w:hAnsi="Times New Roman Bold" w:eastAsia="Times New Roman Bold" w:cs="Times New Roman Bold"/>
                <w:b/>
                <w:sz w:val="21"/>
              </w:rPr>
              <w:t>91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15</w:t>
            </w:r>
          </w:p>
        </w:tc>
        <w:tc>
          <w:tcPr>
            <w:tcW w:w="2320" w:type="dxa"/>
            <w:tcMar>
              <w:top w:w="0" w:type="dxa"/>
              <w:left w:w="0" w:type="dxa"/>
              <w:bottom w:w="0" w:type="dxa"/>
              <w:right w:w="0" w:type="dxa"/>
            </w:tcMar>
          </w:tcPr>
          <w:p>
            <w:pPr>
              <w:spacing w:before="180"/>
              <w:ind w:left="1060"/>
            </w:pPr>
            <w:r>
              <w:rPr>
                <w:rFonts w:hint="eastAsia" w:ascii="Times New Roman Bold" w:hAnsi="Times New Roman Bold" w:eastAsia="Times New Roman Bold" w:cs="Times New Roman Bold"/>
                <w:b/>
                <w:sz w:val="19"/>
              </w:rPr>
              <w:t>52</w:t>
            </w:r>
            <w:r>
              <w:rPr>
                <w:rFonts w:hint="eastAsia" w:ascii="Times New Roman Bold" w:hAnsi="Times New Roman Bold" w:eastAsia="Times New Roman Bold" w:cs="Times New Roman Bold"/>
                <w:b/>
                <w:sz w:val="18"/>
              </w:rPr>
              <w:t>,</w:t>
            </w:r>
            <w:r>
              <w:rPr>
                <w:rFonts w:hint="eastAsia" w:ascii="Times New Roman Bold" w:hAnsi="Times New Roman Bold" w:eastAsia="Times New Roman Bold" w:cs="Times New Roman Bold"/>
                <w:b/>
                <w:sz w:val="19"/>
              </w:rPr>
              <w:t>494</w:t>
            </w:r>
            <w:r>
              <w:rPr>
                <w:rFonts w:hint="eastAsia" w:ascii="Times New Roman Bold" w:hAnsi="Times New Roman Bold" w:eastAsia="Times New Roman Bold" w:cs="Times New Roman Bold"/>
                <w:b/>
                <w:sz w:val="18"/>
              </w:rPr>
              <w:t>,</w:t>
            </w:r>
            <w:r>
              <w:rPr>
                <w:rFonts w:hint="eastAsia" w:ascii="Times New Roman Bold" w:hAnsi="Times New Roman Bold" w:eastAsia="Times New Roman Bold" w:cs="Times New Roman Bold"/>
                <w:b/>
                <w:sz w:val="19"/>
              </w:rPr>
              <w:t>648</w:t>
            </w:r>
            <w:r>
              <w:rPr>
                <w:rFonts w:hint="eastAsia" w:ascii="Times New Roman Bold" w:hAnsi="Times New Roman Bold" w:eastAsia="Times New Roman Bold" w:cs="Times New Roman Bold"/>
                <w:b/>
                <w:sz w:val="18"/>
              </w:rPr>
              <w:t>.</w:t>
            </w:r>
            <w:r>
              <w:rPr>
                <w:rFonts w:hint="eastAsia" w:ascii="Times New Roman Bold" w:hAnsi="Times New Roman Bold" w:eastAsia="Times New Roman Bold" w:cs="Times New Roman Bold"/>
                <w:b/>
                <w:sz w:val="19"/>
              </w:rPr>
              <w:t>34</w:t>
            </w:r>
          </w:p>
        </w:tc>
      </w:tr>
      <w:tr>
        <w:trPr>
          <w:trHeight w:val="620" w:hRule="exact"/>
        </w:trPr>
        <w:tc>
          <w:tcPr>
            <w:tcW w:w="2320" w:type="dxa"/>
            <w:tcMar>
              <w:top w:w="0" w:type="dxa"/>
              <w:left w:w="0" w:type="dxa"/>
              <w:bottom w:w="0" w:type="dxa"/>
              <w:right w:w="0" w:type="dxa"/>
            </w:tcMar>
          </w:tcPr>
          <w:p>
            <w:pPr>
              <w:spacing w:before="20"/>
              <w:ind w:left="100"/>
            </w:pPr>
            <w:r>
              <w:rPr>
                <w:rFonts w:hint="eastAsia" w:ascii="宋体" w:hAnsi="宋体" w:eastAsia="宋体" w:cs="宋体"/>
                <w:sz w:val="21"/>
              </w:rPr>
              <w:t>营业外收支净额占利润</w:t>
            </w:r>
          </w:p>
          <w:p>
            <w:pPr>
              <w:spacing w:before="100"/>
              <w:ind w:left="100"/>
            </w:pPr>
            <w:r>
              <w:rPr>
                <w:rFonts w:hint="eastAsia" w:ascii="宋体" w:hAnsi="宋体" w:eastAsia="宋体" w:cs="宋体"/>
                <w:sz w:val="21"/>
              </w:rPr>
              <w:t>总额的比例</w:t>
            </w:r>
          </w:p>
        </w:tc>
        <w:tc>
          <w:tcPr>
            <w:tcW w:w="2320" w:type="dxa"/>
            <w:tcMar>
              <w:top w:w="0" w:type="dxa"/>
              <w:left w:w="0" w:type="dxa"/>
              <w:bottom w:w="0" w:type="dxa"/>
              <w:right w:w="0" w:type="dxa"/>
            </w:tcMar>
          </w:tcPr>
          <w:p>
            <w:pPr>
              <w:spacing w:before="240"/>
              <w:ind w:left="15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p>
        </w:tc>
        <w:tc>
          <w:tcPr>
            <w:tcW w:w="2300" w:type="dxa"/>
            <w:tcMar>
              <w:top w:w="0" w:type="dxa"/>
              <w:left w:w="0" w:type="dxa"/>
              <w:bottom w:w="0" w:type="dxa"/>
              <w:right w:w="0" w:type="dxa"/>
            </w:tcMar>
          </w:tcPr>
          <w:p>
            <w:pPr>
              <w:spacing w:before="240"/>
              <w:ind w:left="1540"/>
            </w:pPr>
            <w:r>
              <w:rPr>
                <w:rFonts w:hint="eastAsia" w:ascii="Times New Roman" w:hAnsi="Times New Roman" w:eastAsia="Times New Roman" w:cs="Times New Roman"/>
                <w:sz w:val="21"/>
              </w:rPr>
              <w:t>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p>
        </w:tc>
        <w:tc>
          <w:tcPr>
            <w:tcW w:w="2320" w:type="dxa"/>
            <w:tcMar>
              <w:top w:w="0" w:type="dxa"/>
              <w:left w:w="0" w:type="dxa"/>
              <w:bottom w:w="0" w:type="dxa"/>
              <w:right w:w="0" w:type="dxa"/>
            </w:tcMar>
          </w:tcPr>
          <w:p>
            <w:pPr>
              <w:spacing w:before="240"/>
              <w:ind w:left="1580"/>
            </w:pPr>
            <w:r>
              <w:rPr>
                <w:rFonts w:hint="eastAsia" w:ascii="Times New Roman" w:hAnsi="Times New Roman" w:eastAsia="Times New Roman" w:cs="Times New Roman"/>
                <w:sz w:val="19"/>
              </w:rPr>
              <w:t>12</w:t>
            </w:r>
            <w:r>
              <w:rPr>
                <w:rFonts w:hint="eastAsia" w:ascii="Times New Roman" w:hAnsi="Times New Roman" w:eastAsia="Times New Roman" w:cs="Times New Roman"/>
                <w:sz w:val="18"/>
              </w:rPr>
              <w:t>.</w:t>
            </w:r>
            <w:r>
              <w:rPr>
                <w:rFonts w:hint="eastAsia" w:ascii="Times New Roman" w:hAnsi="Times New Roman" w:eastAsia="Times New Roman" w:cs="Times New Roman"/>
                <w:sz w:val="19"/>
              </w:rPr>
              <w:t>18</w:t>
            </w:r>
            <w:r>
              <w:rPr>
                <w:rFonts w:hint="eastAsia" w:ascii="Times New Roman" w:hAnsi="Times New Roman" w:eastAsia="Times New Roman" w:cs="Times New Roman"/>
                <w:sz w:val="18"/>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营业外收支净额占利润总额的比例分别为</w:t>
      </w:r>
      <w:r>
        <w:rPr>
          <w:rFonts w:hint="eastAsia" w:ascii="Times New Roman" w:hAnsi="Times New Roman" w:eastAsia="Times New Roman" w:cs="Times New Roman"/>
          <w:sz w:val="24"/>
        </w:rPr>
        <w:t>12.18%</w:t>
      </w:r>
      <w:r>
        <w:rPr>
          <w:rFonts w:hint="eastAsia" w:ascii="宋体" w:hAnsi="宋体" w:eastAsia="宋体" w:cs="宋体"/>
          <w:sz w:val="10"/>
        </w:rPr>
        <w:t>、</w:t>
      </w:r>
      <w:r>
        <w:rPr>
          <w:rFonts w:hint="eastAsia" w:ascii="Times New Roman" w:hAnsi="Times New Roman" w:eastAsia="Times New Roman" w:cs="Times New Roman"/>
          <w:sz w:val="24"/>
        </w:rPr>
        <w:t>33.60%</w:t>
      </w:r>
      <w:r>
        <w:rPr>
          <w:rFonts w:hint="eastAsia" w:ascii="宋体" w:hAnsi="宋体" w:eastAsia="宋体" w:cs="宋体"/>
          <w:sz w:val="24"/>
        </w:rPr>
        <w:t>和</w:t>
      </w:r>
      <w:r>
        <w:rPr>
          <w:rFonts w:hint="eastAsia" w:ascii="Times New Roman" w:hAnsi="Times New Roman" w:eastAsia="Times New Roman" w:cs="Times New Roman"/>
          <w:sz w:val="24"/>
        </w:rPr>
        <w:t xml:space="preserve"> 15.98%</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公司营业外收入主要为政府补助</w:t>
      </w:r>
      <w:r>
        <w:rPr>
          <w:rFonts w:hint="eastAsia" w:ascii="宋体" w:hAnsi="宋体" w:eastAsia="宋体" w:cs="宋体"/>
          <w:sz w:val="10"/>
        </w:rPr>
        <w:t>，</w:t>
      </w:r>
      <w:r>
        <w:rPr>
          <w:rFonts w:hint="eastAsia" w:ascii="宋体" w:hAnsi="宋体" w:eastAsia="宋体" w:cs="宋体"/>
          <w:sz w:val="24"/>
        </w:rPr>
        <w:t>政府补助中</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绝大部分为增值税返还</w:t>
      </w:r>
      <w:r>
        <w:rPr>
          <w:rFonts w:hint="eastAsia" w:ascii="宋体" w:hAnsi="宋体" w:eastAsia="宋体" w:cs="宋体"/>
          <w:sz w:val="12"/>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公司收到福州市台江区政府的奖励扶持资金</w:t>
      </w:r>
      <w:r>
        <w:rPr>
          <w:rFonts w:hint="eastAsia" w:ascii="Times New Roman" w:hAnsi="Times New Roman" w:eastAsia="Times New Roman" w:cs="Times New Roman"/>
          <w:sz w:val="24"/>
        </w:rPr>
        <w:t xml:space="preserve"> 1,650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发行人营业外收入明细情况如下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2"/>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2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政府补助</w:t>
            </w:r>
          </w:p>
        </w:tc>
        <w:tc>
          <w:tcPr>
            <w:tcW w:w="232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230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320" w:type="dxa"/>
            <w:tcMar>
              <w:top w:w="0" w:type="dxa"/>
              <w:left w:w="0" w:type="dxa"/>
              <w:bottom w:w="0" w:type="dxa"/>
              <w:right w:w="0" w:type="dxa"/>
            </w:tcMar>
          </w:tcPr>
          <w:p>
            <w:pPr>
              <w:spacing w:before="160"/>
              <w:ind w:left="11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其中</w:t>
            </w:r>
            <w:r>
              <w:rPr>
                <w:rFonts w:hint="eastAsia" w:ascii="宋体" w:hAnsi="宋体" w:eastAsia="宋体" w:cs="宋体"/>
                <w:sz w:val="10"/>
              </w:rPr>
              <w:t>：</w:t>
            </w:r>
            <w:r>
              <w:rPr>
                <w:rFonts w:hint="eastAsia" w:ascii="宋体" w:hAnsi="宋体" w:eastAsia="宋体" w:cs="宋体"/>
                <w:sz w:val="21"/>
              </w:rPr>
              <w:t>增值税返还</w:t>
            </w:r>
          </w:p>
        </w:tc>
        <w:tc>
          <w:tcPr>
            <w:tcW w:w="232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230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w:t>
            </w:r>
          </w:p>
        </w:tc>
        <w:tc>
          <w:tcPr>
            <w:tcW w:w="2320" w:type="dxa"/>
            <w:tcMar>
              <w:top w:w="0" w:type="dxa"/>
              <w:left w:w="0" w:type="dxa"/>
              <w:bottom w:w="0" w:type="dxa"/>
              <w:right w:w="0" w:type="dxa"/>
            </w:tcMar>
          </w:tcPr>
          <w:p>
            <w:pPr>
              <w:spacing w:before="160"/>
              <w:ind w:left="11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60" w:hRule="exact"/>
        </w:trPr>
        <w:tc>
          <w:tcPr>
            <w:tcW w:w="2320" w:type="dxa"/>
            <w:tcMar>
              <w:top w:w="0" w:type="dxa"/>
              <w:left w:w="0" w:type="dxa"/>
              <w:bottom w:w="0" w:type="dxa"/>
              <w:right w:w="0" w:type="dxa"/>
            </w:tcMar>
          </w:tcPr>
          <w:p>
            <w:pPr>
              <w:spacing w:before="100"/>
              <w:ind w:left="720"/>
            </w:pPr>
            <w:r>
              <w:rPr>
                <w:rFonts w:hint="eastAsia" w:ascii="宋体" w:hAnsi="宋体" w:eastAsia="宋体" w:cs="宋体"/>
                <w:sz w:val="21"/>
              </w:rPr>
              <w:t>财政补贴</w:t>
            </w:r>
          </w:p>
        </w:tc>
        <w:tc>
          <w:tcPr>
            <w:tcW w:w="2320" w:type="dxa"/>
            <w:tcMar>
              <w:top w:w="0" w:type="dxa"/>
              <w:left w:w="0" w:type="dxa"/>
              <w:bottom w:w="0" w:type="dxa"/>
              <w:right w:w="0" w:type="dxa"/>
            </w:tcMar>
          </w:tcPr>
          <w:p>
            <w:pPr>
              <w:spacing w:before="160"/>
              <w:ind w:left="1240"/>
            </w:pPr>
            <w:r>
              <w:rPr>
                <w:rFonts w:hint="eastAsia" w:ascii="Times New Roman" w:hAnsi="Times New Roman" w:eastAsia="Times New Roman" w:cs="Times New Roman"/>
                <w:sz w:val="21"/>
              </w:rPr>
              <w:t>943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00" w:type="dxa"/>
            <w:tcMar>
              <w:top w:w="0" w:type="dxa"/>
              <w:left w:w="0" w:type="dxa"/>
              <w:bottom w:w="0" w:type="dxa"/>
              <w:right w:w="0" w:type="dxa"/>
            </w:tcMar>
          </w:tcPr>
          <w:p>
            <w:pPr>
              <w:spacing w:before="160"/>
              <w:ind w:left="98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20" w:type="dxa"/>
            <w:tcMar>
              <w:top w:w="0" w:type="dxa"/>
              <w:left w:w="0" w:type="dxa"/>
              <w:bottom w:w="0" w:type="dxa"/>
              <w:right w:w="0" w:type="dxa"/>
            </w:tcMar>
          </w:tcPr>
          <w:p>
            <w:pPr>
              <w:spacing w:before="160"/>
              <w:ind w:left="11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640" w:hRule="exact"/>
        </w:trPr>
        <w:tc>
          <w:tcPr>
            <w:tcW w:w="2320" w:type="dxa"/>
            <w:tcMar>
              <w:top w:w="0" w:type="dxa"/>
              <w:left w:w="0" w:type="dxa"/>
              <w:bottom w:w="0" w:type="dxa"/>
              <w:right w:w="0" w:type="dxa"/>
            </w:tcMar>
          </w:tcPr>
          <w:p>
            <w:pPr>
              <w:spacing w:before="60"/>
              <w:ind w:left="100"/>
            </w:pPr>
            <w:r>
              <w:rPr>
                <w:rFonts w:hint="eastAsia" w:ascii="宋体" w:hAnsi="宋体" w:eastAsia="宋体" w:cs="宋体"/>
                <w:sz w:val="21"/>
              </w:rPr>
              <w:t>非流动资产处置利得合</w:t>
            </w:r>
          </w:p>
          <w:p>
            <w:pPr>
              <w:spacing w:before="100"/>
              <w:ind w:left="100"/>
            </w:pPr>
            <w:r>
              <w:rPr>
                <w:rFonts w:hint="eastAsia" w:ascii="宋体" w:hAnsi="宋体" w:eastAsia="宋体" w:cs="宋体"/>
                <w:sz w:val="21"/>
              </w:rPr>
              <w:t>计</w:t>
            </w:r>
          </w:p>
        </w:tc>
        <w:tc>
          <w:tcPr>
            <w:tcW w:w="2320" w:type="dxa"/>
            <w:tcMar>
              <w:top w:w="0" w:type="dxa"/>
              <w:left w:w="0" w:type="dxa"/>
              <w:bottom w:w="0" w:type="dxa"/>
              <w:right w:w="0" w:type="dxa"/>
            </w:tcMar>
          </w:tcPr>
          <w:p>
            <w:pPr>
              <w:spacing w:before="260"/>
              <w:ind w:left="146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300" w:type="dxa"/>
            <w:tcMar>
              <w:top w:w="0" w:type="dxa"/>
              <w:left w:w="0" w:type="dxa"/>
              <w:bottom w:w="0" w:type="dxa"/>
              <w:right w:w="0" w:type="dxa"/>
            </w:tcMar>
          </w:tcPr>
          <w:p>
            <w:pPr>
              <w:spacing w:before="380"/>
              <w:ind w:left="2120"/>
            </w:pPr>
            <w:r>
              <w:rPr>
                <w:rFonts w:hint="eastAsia" w:ascii="Times New Roman Bold" w:hAnsi="Times New Roman Bold" w:eastAsia="Times New Roman Bold" w:cs="Times New Roman Bold"/>
                <w:b/>
                <w:sz w:val="21"/>
              </w:rPr>
              <w:t>-</w:t>
            </w:r>
          </w:p>
        </w:tc>
        <w:tc>
          <w:tcPr>
            <w:tcW w:w="2320" w:type="dxa"/>
            <w:tcMar>
              <w:top w:w="0" w:type="dxa"/>
              <w:left w:w="0" w:type="dxa"/>
              <w:bottom w:w="0" w:type="dxa"/>
              <w:right w:w="0" w:type="dxa"/>
            </w:tcMar>
          </w:tcPr>
          <w:p>
            <w:pPr>
              <w:spacing w:before="380"/>
              <w:ind w:left="2140"/>
            </w:pPr>
            <w:r>
              <w:rPr>
                <w:rFonts w:hint="eastAsia" w:ascii="Times New Roman Bold" w:hAnsi="Times New Roman Bold" w:eastAsia="Times New Roman Bold" w:cs="Times New Roman Bold"/>
                <w:b/>
                <w:sz w:val="21"/>
              </w:rPr>
              <w:t>-</w:t>
            </w:r>
          </w:p>
        </w:tc>
      </w:tr>
      <w:tr>
        <w:trPr>
          <w:trHeight w:val="480" w:hRule="exact"/>
        </w:trPr>
        <w:tc>
          <w:tcPr>
            <w:tcW w:w="2320" w:type="dxa"/>
            <w:tcMar>
              <w:top w:w="0" w:type="dxa"/>
              <w:left w:w="0" w:type="dxa"/>
              <w:bottom w:w="0" w:type="dxa"/>
              <w:right w:w="0" w:type="dxa"/>
            </w:tcMar>
          </w:tcPr>
          <w:p>
            <w:pPr>
              <w:spacing w:before="120"/>
              <w:ind w:left="100"/>
            </w:pPr>
            <w:r>
              <w:rPr>
                <w:rFonts w:hint="eastAsia" w:ascii="宋体" w:hAnsi="宋体" w:eastAsia="宋体" w:cs="宋体"/>
                <w:sz w:val="21"/>
              </w:rPr>
              <w:t>其他</w:t>
            </w:r>
          </w:p>
        </w:tc>
        <w:tc>
          <w:tcPr>
            <w:tcW w:w="2320" w:type="dxa"/>
            <w:tcMar>
              <w:top w:w="0" w:type="dxa"/>
              <w:left w:w="0" w:type="dxa"/>
              <w:bottom w:w="0" w:type="dxa"/>
              <w:right w:w="0" w:type="dxa"/>
            </w:tcMar>
          </w:tcPr>
          <w:p>
            <w:pPr>
              <w:spacing w:before="180"/>
              <w:ind w:left="1340"/>
            </w:pP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w:t>
            </w:r>
          </w:p>
        </w:tc>
        <w:tc>
          <w:tcPr>
            <w:tcW w:w="2300" w:type="dxa"/>
            <w:tcMar>
              <w:top w:w="0" w:type="dxa"/>
              <w:left w:w="0" w:type="dxa"/>
              <w:bottom w:w="0" w:type="dxa"/>
              <w:right w:w="0" w:type="dxa"/>
            </w:tcMar>
          </w:tcPr>
          <w:p>
            <w:pPr>
              <w:spacing w:before="180"/>
              <w:ind w:left="144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320" w:type="dxa"/>
            <w:tcMar>
              <w:top w:w="0" w:type="dxa"/>
              <w:left w:w="0" w:type="dxa"/>
              <w:bottom w:w="0" w:type="dxa"/>
              <w:right w:w="0" w:type="dxa"/>
            </w:tcMar>
          </w:tcPr>
          <w:p>
            <w:pPr>
              <w:spacing w:before="180"/>
              <w:ind w:left="13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p>
        </w:tc>
      </w:tr>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合计</w:t>
            </w:r>
          </w:p>
        </w:tc>
        <w:tc>
          <w:tcPr>
            <w:tcW w:w="2320" w:type="dxa"/>
            <w:tcMar>
              <w:top w:w="0" w:type="dxa"/>
              <w:left w:w="0" w:type="dxa"/>
              <w:bottom w:w="0" w:type="dxa"/>
              <w:right w:w="0" w:type="dxa"/>
            </w:tcMar>
          </w:tcPr>
          <w:p>
            <w:pPr>
              <w:spacing w:before="180"/>
              <w:ind w:left="980"/>
            </w:pPr>
            <w:r>
              <w:rPr>
                <w:rFonts w:hint="eastAsia" w:ascii="Times New Roman Bold" w:hAnsi="Times New Roman Bold" w:eastAsia="Times New Roman Bold" w:cs="Times New Roman Bold"/>
                <w:b/>
                <w:sz w:val="21"/>
              </w:rPr>
              <w:t>13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177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84</w:t>
            </w:r>
          </w:p>
        </w:tc>
        <w:tc>
          <w:tcPr>
            <w:tcW w:w="2300" w:type="dxa"/>
            <w:tcMar>
              <w:top w:w="0" w:type="dxa"/>
              <w:left w:w="0" w:type="dxa"/>
              <w:bottom w:w="0" w:type="dxa"/>
              <w:right w:w="0" w:type="dxa"/>
            </w:tcMar>
          </w:tcPr>
          <w:p>
            <w:pPr>
              <w:spacing w:before="180"/>
              <w:ind w:left="980"/>
            </w:pPr>
            <w:r>
              <w:rPr>
                <w:rFonts w:hint="eastAsia" w:ascii="Times New Roman Bold" w:hAnsi="Times New Roman Bold" w:eastAsia="Times New Roman Bold" w:cs="Times New Roman Bold"/>
                <w:b/>
                <w:sz w:val="21"/>
              </w:rPr>
              <w:t>30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956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w:t>
            </w:r>
          </w:p>
        </w:tc>
        <w:tc>
          <w:tcPr>
            <w:tcW w:w="2320" w:type="dxa"/>
            <w:tcMar>
              <w:top w:w="0" w:type="dxa"/>
              <w:left w:w="0" w:type="dxa"/>
              <w:bottom w:w="0" w:type="dxa"/>
              <w:right w:w="0" w:type="dxa"/>
            </w:tcMar>
          </w:tcPr>
          <w:p>
            <w:pPr>
              <w:spacing w:before="180"/>
              <w:ind w:left="1100"/>
            </w:pPr>
            <w:r>
              <w:rPr>
                <w:rFonts w:hint="eastAsia" w:ascii="Times New Roman Bold" w:hAnsi="Times New Roman Bold" w:eastAsia="Times New Roman Bold" w:cs="Times New Roman Bold"/>
                <w:b/>
                <w:sz w:val="21"/>
              </w:rPr>
              <w:t>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722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504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36</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发行人报告期内对税收优惠与财政补贴不存在重大依赖</w:t>
      </w:r>
      <w:r>
        <w:rPr>
          <w:rFonts w:hint="eastAsia" w:ascii="宋体" w:hAnsi="宋体" w:eastAsia="宋体" w:cs="宋体"/>
          <w:sz w:val="10"/>
        </w:rPr>
        <w:t>。</w:t>
      </w:r>
      <w:r>
        <w:rPr>
          <w:rFonts w:hint="eastAsia" w:ascii="宋体" w:hAnsi="宋体" w:eastAsia="宋体" w:cs="宋体"/>
          <w:sz w:val="24"/>
        </w:rPr>
        <w:t>发行人销售的产品和提供的服务属于税法规定的自行开发生产的软件产品</w:t>
      </w:r>
      <w:r>
        <w:rPr>
          <w:rFonts w:hint="eastAsia" w:ascii="宋体" w:hAnsi="宋体" w:eastAsia="宋体" w:cs="宋体"/>
          <w:sz w:val="10"/>
        </w:rPr>
        <w:t>，</w:t>
      </w:r>
      <w:r>
        <w:rPr>
          <w:rFonts w:hint="eastAsia" w:ascii="宋体" w:hAnsi="宋体" w:eastAsia="宋体" w:cs="宋体"/>
          <w:sz w:val="24"/>
        </w:rPr>
        <w:t>因此增值税返还具备可持续性</w:t>
      </w:r>
      <w:r>
        <w:rPr>
          <w:rFonts w:hint="eastAsia" w:ascii="宋体" w:hAnsi="宋体" w:eastAsia="宋体" w:cs="宋体"/>
          <w:sz w:val="10"/>
        </w:rPr>
        <w:t>。</w:t>
      </w:r>
      <w:r>
        <w:rPr>
          <w:rFonts w:hint="eastAsia" w:ascii="宋体" w:hAnsi="宋体" w:eastAsia="宋体" w:cs="宋体"/>
          <w:sz w:val="24"/>
        </w:rPr>
        <w:t>台江区政府的扶持资金属于一次性发放的财政补贴</w:t>
      </w:r>
      <w:r>
        <w:rPr>
          <w:rFonts w:hint="eastAsia" w:ascii="宋体" w:hAnsi="宋体" w:eastAsia="宋体" w:cs="宋体"/>
          <w:sz w:val="10"/>
        </w:rPr>
        <w:t>，</w:t>
      </w:r>
      <w:r>
        <w:rPr>
          <w:rFonts w:hint="eastAsia" w:ascii="宋体" w:hAnsi="宋体" w:eastAsia="宋体" w:cs="宋体"/>
          <w:sz w:val="24"/>
        </w:rPr>
        <w:t>不具有可持续性</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1-1-283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公司政府补助主要为增值税返还和财政补贴</w:t>
      </w:r>
      <w:r>
        <w:rPr>
          <w:rFonts w:hint="eastAsia" w:ascii="宋体" w:hAnsi="宋体" w:eastAsia="宋体" w:cs="宋体"/>
          <w:sz w:val="10"/>
        </w:rPr>
        <w:t>，</w:t>
      </w:r>
      <w:r>
        <w:rPr>
          <w:rFonts w:hint="eastAsia" w:ascii="宋体" w:hAnsi="宋体" w:eastAsia="宋体" w:cs="宋体"/>
          <w:sz w:val="24"/>
        </w:rPr>
        <w:t>明细如下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）增值税超税负返还</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根据《财政部</w:t>
      </w:r>
      <w:r>
        <w:rPr>
          <w:rFonts w:hint="eastAsia" w:ascii="宋体" w:hAnsi="宋体" w:eastAsia="宋体" w:cs="宋体"/>
          <w:sz w:val="10"/>
        </w:rPr>
        <w:t>、</w:t>
      </w:r>
      <w:r>
        <w:rPr>
          <w:rFonts w:hint="eastAsia" w:ascii="宋体" w:hAnsi="宋体" w:eastAsia="宋体" w:cs="宋体"/>
          <w:sz w:val="24"/>
        </w:rPr>
        <w:t>国家税务总局关于软件产品增值税政策的通知》（</w:t>
      </w:r>
      <w:r>
        <w:rPr>
          <w:rFonts w:hint="eastAsia" w:ascii="Times New Roman" w:hAnsi="Times New Roman" w:eastAsia="Times New Roman" w:cs="Times New Roman"/>
          <w:sz w:val="24"/>
        </w:rPr>
        <w:t>[2011]100</w:t>
      </w:r>
      <w:r>
        <w:rPr>
          <w:rFonts w:hint="eastAsia" w:ascii="宋体" w:hAnsi="宋体" w:eastAsia="宋体" w:cs="宋体"/>
          <w:sz w:val="24"/>
        </w:rPr>
        <w:t xml:space="preserve"> 号），</w:t>
      </w:r>
      <w:r>
        <w:rPr>
          <w:rFonts w:hint="eastAsia" w:ascii="宋体" w:hAnsi="宋体" w:eastAsia="宋体" w:cs="宋体"/>
          <w:sz w:val="24"/>
        </w:rPr>
        <w:t>增值税一般纳税人销售其自行开发生产的软件产品</w:t>
      </w:r>
      <w:r>
        <w:rPr>
          <w:rFonts w:hint="eastAsia" w:ascii="宋体" w:hAnsi="宋体" w:eastAsia="宋体" w:cs="宋体"/>
          <w:sz w:val="10"/>
        </w:rPr>
        <w:t>，</w:t>
      </w:r>
      <w:r>
        <w:rPr>
          <w:rFonts w:hint="eastAsia" w:ascii="宋体" w:hAnsi="宋体" w:eastAsia="宋体" w:cs="宋体"/>
          <w:sz w:val="24"/>
        </w:rPr>
        <w:t>按</w:t>
      </w:r>
      <w:r>
        <w:rPr>
          <w:rFonts w:hint="eastAsia" w:ascii="Times New Roman" w:hAnsi="Times New Roman" w:eastAsia="Times New Roman" w:cs="Times New Roman"/>
          <w:sz w:val="24"/>
        </w:rPr>
        <w:t xml:space="preserve"> 17</w:t>
      </w:r>
      <w:r>
        <w:rPr>
          <w:rFonts w:hint="eastAsia" w:ascii="宋体" w:hAnsi="宋体" w:eastAsia="宋体" w:cs="宋体"/>
          <w:sz w:val="24"/>
        </w:rPr>
        <w:t>％的法定税率征收增值税后</w:t>
      </w:r>
      <w:r>
        <w:rPr>
          <w:rFonts w:hint="eastAsia" w:ascii="宋体" w:hAnsi="宋体" w:eastAsia="宋体" w:cs="宋体"/>
          <w:sz w:val="10"/>
        </w:rPr>
        <w:t>，</w:t>
      </w:r>
      <w:r>
        <w:rPr>
          <w:rFonts w:hint="eastAsia" w:ascii="宋体" w:hAnsi="宋体" w:eastAsia="宋体" w:cs="宋体"/>
          <w:sz w:val="24"/>
        </w:rPr>
        <w:t>对其增值税实际税负超过</w:t>
      </w:r>
      <w:r>
        <w:rPr>
          <w:rFonts w:hint="eastAsia" w:ascii="Times New Roman" w:hAnsi="Times New Roman" w:eastAsia="Times New Roman" w:cs="Times New Roman"/>
          <w:sz w:val="24"/>
        </w:rPr>
        <w:t xml:space="preserve"> 3</w:t>
      </w:r>
      <w:r>
        <w:rPr>
          <w:rFonts w:hint="eastAsia" w:ascii="宋体" w:hAnsi="宋体" w:eastAsia="宋体" w:cs="宋体"/>
          <w:sz w:val="24"/>
        </w:rPr>
        <w:t>％的部分实行即征即退政策</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年度</w:t>
      </w:r>
      <w:r>
        <w:rPr>
          <w:rFonts w:hint="eastAsia" w:ascii="宋体" w:hAnsi="宋体" w:eastAsia="宋体" w:cs="宋体"/>
          <w:sz w:val="10"/>
        </w:rPr>
        <w:t>，</w:t>
      </w:r>
      <w:r>
        <w:rPr>
          <w:rFonts w:hint="eastAsia" w:ascii="宋体" w:hAnsi="宋体" w:eastAsia="宋体" w:cs="宋体"/>
          <w:sz w:val="24"/>
        </w:rPr>
        <w:t>公司增值税退税金额分别为</w:t>
      </w:r>
      <w:r>
        <w:rPr>
          <w:rFonts w:hint="eastAsia" w:ascii="Times New Roman" w:hAnsi="Times New Roman" w:eastAsia="Times New Roman" w:cs="Times New Roman"/>
          <w:sz w:val="24"/>
        </w:rPr>
        <w:t xml:space="preserve"> 5,351,488.05</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13,282,300.44</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12,201,647.16</w:t>
      </w:r>
      <w:r>
        <w:rPr>
          <w:rFonts w:hint="eastAsia" w:ascii="宋体" w:hAnsi="宋体" w:eastAsia="宋体" w:cs="宋体"/>
          <w:sz w:val="24"/>
        </w:rPr>
        <w:t xml:space="preserve"> 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发行人软件产品开具发票后</w:t>
      </w:r>
      <w:r>
        <w:rPr>
          <w:rFonts w:hint="eastAsia" w:ascii="宋体" w:hAnsi="宋体" w:eastAsia="宋体" w:cs="宋体"/>
          <w:sz w:val="10"/>
        </w:rPr>
        <w:t>，</w:t>
      </w:r>
      <w:r>
        <w:rPr>
          <w:rFonts w:hint="eastAsia" w:ascii="宋体" w:hAnsi="宋体" w:eastAsia="宋体" w:cs="宋体"/>
          <w:sz w:val="24"/>
        </w:rPr>
        <w:t>需要向税务机关申请退税</w:t>
      </w:r>
      <w:r>
        <w:rPr>
          <w:rFonts w:hint="eastAsia" w:ascii="宋体" w:hAnsi="宋体" w:eastAsia="宋体" w:cs="宋体"/>
          <w:sz w:val="10"/>
        </w:rPr>
        <w:t>，</w:t>
      </w:r>
      <w:r>
        <w:rPr>
          <w:rFonts w:hint="eastAsia" w:ascii="宋体" w:hAnsi="宋体" w:eastAsia="宋体" w:cs="宋体"/>
          <w:sz w:val="24"/>
        </w:rPr>
        <w:t>经税务机关批准后</w:t>
      </w:r>
      <w:r>
        <w:rPr>
          <w:rFonts w:hint="eastAsia" w:ascii="宋体" w:hAnsi="宋体" w:eastAsia="宋体" w:cs="宋体"/>
          <w:sz w:val="10"/>
        </w:rPr>
        <w:t>，</w:t>
      </w:r>
      <w:r>
        <w:rPr>
          <w:rFonts w:hint="eastAsia" w:ascii="宋体" w:hAnsi="宋体" w:eastAsia="宋体" w:cs="宋体"/>
          <w:sz w:val="24"/>
        </w:rPr>
        <w:t>发行人会收到税务机关的退税款项</w:t>
      </w:r>
      <w:r>
        <w:rPr>
          <w:rFonts w:hint="eastAsia" w:ascii="宋体" w:hAnsi="宋体" w:eastAsia="宋体" w:cs="宋体"/>
          <w:sz w:val="10"/>
        </w:rPr>
        <w:t>，</w:t>
      </w:r>
      <w:r>
        <w:rPr>
          <w:rFonts w:hint="eastAsia" w:ascii="宋体" w:hAnsi="宋体" w:eastAsia="宋体" w:cs="宋体"/>
          <w:sz w:val="24"/>
        </w:rPr>
        <w:t>并在收到时计入当期的营业外收入</w:t>
      </w:r>
      <w:r>
        <w:rPr>
          <w:rFonts w:hint="eastAsia" w:ascii="宋体" w:hAnsi="宋体" w:eastAsia="宋体" w:cs="宋体"/>
          <w:sz w:val="14"/>
        </w:rPr>
        <w:t>；</w:t>
      </w:r>
      <w:r>
        <w:rPr>
          <w:rFonts w:hint="eastAsia" w:ascii="宋体" w:hAnsi="宋体" w:eastAsia="宋体" w:cs="宋体"/>
          <w:sz w:val="24"/>
        </w:rPr>
        <w:t>发行人软件产品需要在满足验收条件时才能确认收入</w:t>
      </w:r>
      <w:r>
        <w:rPr>
          <w:rFonts w:hint="eastAsia" w:ascii="宋体" w:hAnsi="宋体" w:eastAsia="宋体" w:cs="宋体"/>
          <w:sz w:val="10"/>
        </w:rPr>
        <w:t>。</w:t>
      </w:r>
      <w:r>
        <w:rPr>
          <w:rFonts w:hint="eastAsia" w:ascii="宋体" w:hAnsi="宋体" w:eastAsia="宋体" w:cs="宋体"/>
          <w:sz w:val="24"/>
        </w:rPr>
        <w:t>综上</w:t>
      </w:r>
      <w:r>
        <w:rPr>
          <w:rFonts w:hint="eastAsia" w:ascii="宋体" w:hAnsi="宋体" w:eastAsia="宋体" w:cs="宋体"/>
          <w:sz w:val="10"/>
        </w:rPr>
        <w:t>，</w:t>
      </w:r>
      <w:r>
        <w:rPr>
          <w:rFonts w:hint="eastAsia" w:ascii="宋体" w:hAnsi="宋体" w:eastAsia="宋体" w:cs="宋体"/>
          <w:sz w:val="24"/>
        </w:rPr>
        <w:t>发行人增值税退税金额与当期软件产品开票金额不存在匹配关系</w:t>
      </w:r>
      <w:r>
        <w:rPr>
          <w:rFonts w:hint="eastAsia" w:ascii="宋体" w:hAnsi="宋体" w:eastAsia="宋体" w:cs="宋体"/>
          <w:sz w:val="14"/>
        </w:rPr>
        <w:t>；</w:t>
      </w:r>
      <w:r>
        <w:rPr>
          <w:rFonts w:hint="eastAsia" w:ascii="宋体" w:hAnsi="宋体" w:eastAsia="宋体" w:cs="宋体"/>
          <w:sz w:val="24"/>
        </w:rPr>
        <w:t>发行人增值税退税及软件产品收入在确认时点上不存在相关关系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）报告期内财政补贴明细</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万元以上的财政补贴情况如下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①</w:t>
      </w:r>
      <w:r>
        <w:rPr>
          <w:rFonts w:hint="eastAsia" w:ascii="Times New Roman" w:hAnsi="Times New Roman" w:eastAsia="Times New Roman" w:cs="Times New Roman"/>
          <w:sz w:val="24"/>
        </w:rPr>
        <w:t>2014</w:t>
      </w:r>
      <w:r>
        <w:rPr>
          <w:rFonts w:hint="eastAsia" w:ascii="宋体" w:hAnsi="宋体" w:eastAsia="宋体" w:cs="宋体"/>
          <w:sz w:val="24"/>
        </w:rPr>
        <w:t xml:space="preserve"> 年政府补助</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软件产业发展专项补助</w:t>
      </w:r>
      <w:r>
        <w:rPr>
          <w:rFonts w:hint="eastAsia" w:ascii="宋体" w:hAnsi="宋体" w:eastAsia="宋体" w:cs="宋体"/>
          <w:sz w:val="12"/>
        </w:rPr>
        <w:t>：《</w:t>
      </w:r>
      <w:r>
        <w:rPr>
          <w:rFonts w:hint="eastAsia" w:ascii="宋体" w:hAnsi="宋体" w:eastAsia="宋体" w:cs="宋体"/>
          <w:sz w:val="24"/>
        </w:rPr>
        <w:t>福州市财政局</w:t>
      </w:r>
      <w:r>
        <w:rPr>
          <w:rFonts w:hint="eastAsia" w:ascii="宋体" w:hAnsi="宋体" w:eastAsia="宋体" w:cs="宋体"/>
          <w:sz w:val="10"/>
        </w:rPr>
        <w:t>、</w:t>
      </w:r>
      <w:r>
        <w:rPr>
          <w:rFonts w:hint="eastAsia" w:ascii="宋体" w:hAnsi="宋体" w:eastAsia="宋体" w:cs="宋体"/>
          <w:sz w:val="24"/>
        </w:rPr>
        <w:t>福州市经济委员会关于下达</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年度第三批软件产业发展专项资金的通知》（榕财企（指）</w:t>
      </w:r>
      <w:r>
        <w:rPr>
          <w:rFonts w:hint="eastAsia" w:ascii="Times New Roman" w:hAnsi="Times New Roman" w:eastAsia="Times New Roman" w:cs="Times New Roman"/>
          <w:sz w:val="24"/>
        </w:rPr>
        <w:t>[2014]13</w:t>
      </w:r>
      <w:r>
        <w:rPr>
          <w:rFonts w:hint="eastAsia" w:ascii="宋体" w:hAnsi="宋体" w:eastAsia="宋体" w:cs="宋体"/>
          <w:sz w:val="24"/>
        </w:rPr>
        <w:t xml:space="preserve"> 号），</w:t>
      </w:r>
      <w:r>
        <w:rPr>
          <w:rFonts w:hint="eastAsia" w:ascii="宋体" w:hAnsi="宋体" w:eastAsia="宋体" w:cs="宋体"/>
          <w:sz w:val="24"/>
        </w:rPr>
        <w:t>公司承担的软件产业化项目</w:t>
      </w:r>
      <w:r>
        <w:rPr>
          <w:rFonts w:hint="eastAsia" w:ascii="宋体" w:hAnsi="宋体" w:eastAsia="宋体" w:cs="宋体"/>
          <w:sz w:val="10"/>
        </w:rPr>
        <w:t>“</w:t>
      </w:r>
      <w:r>
        <w:rPr>
          <w:rFonts w:hint="eastAsia" w:ascii="宋体" w:hAnsi="宋体" w:eastAsia="宋体" w:cs="宋体"/>
          <w:sz w:val="24"/>
        </w:rPr>
        <w:t>顶点投资顾问业务平台</w:t>
      </w:r>
      <w:r>
        <w:rPr>
          <w:rFonts w:hint="eastAsia" w:ascii="宋体" w:hAnsi="宋体" w:eastAsia="宋体" w:cs="宋体"/>
          <w:sz w:val="10"/>
        </w:rPr>
        <w:t>”</w:t>
      </w:r>
      <w:r>
        <w:rPr>
          <w:rFonts w:hint="eastAsia" w:ascii="宋体" w:hAnsi="宋体" w:eastAsia="宋体" w:cs="宋体"/>
          <w:sz w:val="24"/>
        </w:rPr>
        <w:t>获政府补助</w:t>
      </w:r>
      <w:r>
        <w:rPr>
          <w:rFonts w:hint="eastAsia" w:ascii="Times New Roman" w:hAnsi="Times New Roman" w:eastAsia="Times New Roman" w:cs="Times New Roman"/>
          <w:sz w:val="24"/>
        </w:rPr>
        <w:t xml:space="preserve"> 70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于</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年计入营业外收入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国家规划布局重点软件企业配套奖励</w:t>
      </w:r>
      <w:r>
        <w:rPr>
          <w:rFonts w:hint="eastAsia" w:ascii="宋体" w:hAnsi="宋体" w:eastAsia="宋体" w:cs="宋体"/>
          <w:sz w:val="12"/>
        </w:rPr>
        <w:t>：</w:t>
      </w:r>
      <w:r>
        <w:rPr>
          <w:rFonts w:hint="eastAsia" w:ascii="宋体" w:hAnsi="宋体" w:eastAsia="宋体" w:cs="宋体"/>
          <w:sz w:val="24"/>
        </w:rPr>
        <w:t>根据《关于顶点软件股份有限公司申请区级配套补助资金的请示》，</w:t>
      </w:r>
      <w:r>
        <w:rPr>
          <w:rFonts w:hint="eastAsia" w:ascii="宋体" w:hAnsi="宋体" w:eastAsia="宋体" w:cs="宋体"/>
          <w:sz w:val="24"/>
        </w:rPr>
        <w:t>公司获</w:t>
      </w:r>
      <w:r>
        <w:rPr>
          <w:rFonts w:hint="eastAsia" w:ascii="宋体" w:hAnsi="宋体" w:eastAsia="宋体" w:cs="宋体"/>
          <w:sz w:val="10"/>
        </w:rPr>
        <w:t>“</w:t>
      </w:r>
      <w:r>
        <w:rPr>
          <w:rFonts w:hint="eastAsia" w:ascii="Times New Roman" w:hAnsi="Times New Roman" w:eastAsia="Times New Roman" w:cs="Times New Roman"/>
          <w:sz w:val="24"/>
        </w:rPr>
        <w:t>2013-2014</w:t>
      </w:r>
      <w:r>
        <w:rPr>
          <w:rFonts w:hint="eastAsia" w:ascii="宋体" w:hAnsi="宋体" w:eastAsia="宋体" w:cs="宋体"/>
          <w:sz w:val="24"/>
        </w:rPr>
        <w:t xml:space="preserve"> 年度国家规划布局重点软件企业</w:t>
      </w:r>
      <w:r>
        <w:rPr>
          <w:rFonts w:hint="eastAsia" w:ascii="宋体" w:hAnsi="宋体" w:eastAsia="宋体" w:cs="宋体"/>
          <w:sz w:val="10"/>
        </w:rPr>
        <w:t>”</w:t>
      </w:r>
      <w:r>
        <w:rPr>
          <w:rFonts w:hint="eastAsia" w:ascii="宋体" w:hAnsi="宋体" w:eastAsia="宋体" w:cs="宋体"/>
          <w:sz w:val="24"/>
        </w:rPr>
        <w:t>区级配套奖励资金</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于</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年计入营业外收入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科技项目资助</w:t>
      </w:r>
      <w:r>
        <w:rPr>
          <w:rFonts w:hint="eastAsia" w:ascii="宋体" w:hAnsi="宋体" w:eastAsia="宋体" w:cs="宋体"/>
          <w:sz w:val="12"/>
        </w:rPr>
        <w:t>：</w:t>
      </w:r>
      <w:r>
        <w:rPr>
          <w:rFonts w:hint="eastAsia" w:ascii="宋体" w:hAnsi="宋体" w:eastAsia="宋体" w:cs="宋体"/>
          <w:sz w:val="24"/>
        </w:rPr>
        <w:t>根据《福州市台江区科学技术局关于</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年台江区科技项目计划和经费的通知》，</w:t>
      </w:r>
      <w:r>
        <w:rPr>
          <w:rFonts w:hint="eastAsia" w:ascii="宋体" w:hAnsi="宋体" w:eastAsia="宋体" w:cs="宋体"/>
          <w:sz w:val="24"/>
        </w:rPr>
        <w:t>公司承担的</w:t>
      </w:r>
      <w:r>
        <w:rPr>
          <w:rFonts w:hint="eastAsia" w:ascii="宋体" w:hAnsi="宋体" w:eastAsia="宋体" w:cs="宋体"/>
          <w:sz w:val="10"/>
        </w:rPr>
        <w:t>“</w:t>
      </w:r>
      <w:r>
        <w:rPr>
          <w:rFonts w:hint="eastAsia" w:ascii="宋体" w:hAnsi="宋体" w:eastAsia="宋体" w:cs="宋体"/>
          <w:sz w:val="24"/>
        </w:rPr>
        <w:t>顶点转融通系统</w:t>
      </w:r>
      <w:r>
        <w:rPr>
          <w:rFonts w:hint="eastAsia" w:ascii="宋体" w:hAnsi="宋体" w:eastAsia="宋体" w:cs="宋体"/>
          <w:sz w:val="10"/>
        </w:rPr>
        <w:t>”</w:t>
      </w:r>
      <w:r>
        <w:rPr>
          <w:rFonts w:hint="eastAsia" w:ascii="宋体" w:hAnsi="宋体" w:eastAsia="宋体" w:cs="宋体"/>
          <w:sz w:val="24"/>
        </w:rPr>
        <w:t>项目获政府经费</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于</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年计入营业外收入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②</w:t>
      </w:r>
      <w:r>
        <w:rPr>
          <w:rFonts w:hint="eastAsia" w:ascii="Times New Roman" w:hAnsi="Times New Roman" w:eastAsia="Times New Roman" w:cs="Times New Roman"/>
          <w:sz w:val="24"/>
        </w:rPr>
        <w:t>2015</w:t>
      </w:r>
      <w:r>
        <w:rPr>
          <w:rFonts w:hint="eastAsia" w:ascii="宋体" w:hAnsi="宋体" w:eastAsia="宋体" w:cs="宋体"/>
          <w:sz w:val="24"/>
        </w:rPr>
        <w:t xml:space="preserve"> 年政府补助</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软件产业发展专项补助</w:t>
      </w:r>
      <w:r>
        <w:rPr>
          <w:rFonts w:hint="eastAsia" w:ascii="宋体" w:hAnsi="宋体" w:eastAsia="宋体" w:cs="宋体"/>
          <w:sz w:val="10"/>
        </w:rPr>
        <w:t>：</w:t>
      </w:r>
      <w:r>
        <w:rPr>
          <w:rFonts w:hint="eastAsia" w:ascii="宋体" w:hAnsi="宋体" w:eastAsia="宋体" w:cs="宋体"/>
          <w:sz w:val="24"/>
        </w:rPr>
        <w:t>根据《福州市财政局</w:t>
      </w:r>
      <w:r>
        <w:rPr>
          <w:rFonts w:hint="eastAsia" w:ascii="宋体" w:hAnsi="宋体" w:eastAsia="宋体" w:cs="宋体"/>
          <w:sz w:val="10"/>
        </w:rPr>
        <w:t>、</w:t>
      </w:r>
      <w:r>
        <w:rPr>
          <w:rFonts w:hint="eastAsia" w:ascii="宋体" w:hAnsi="宋体" w:eastAsia="宋体" w:cs="宋体"/>
          <w:sz w:val="24"/>
        </w:rPr>
        <w:t>福州市经济和信息化委员会关于下达</w:t>
      </w:r>
      <w:r>
        <w:rPr>
          <w:rFonts w:hint="eastAsia" w:ascii="Times New Roman" w:hAnsi="Times New Roman" w:eastAsia="Times New Roman" w:cs="Times New Roman"/>
          <w:sz w:val="24"/>
        </w:rPr>
        <w:t>2014</w:t>
      </w:r>
      <w:r>
        <w:rPr>
          <w:rFonts w:hint="eastAsia" w:ascii="宋体" w:hAnsi="宋体" w:eastAsia="宋体" w:cs="宋体"/>
          <w:sz w:val="24"/>
        </w:rPr>
        <w:t xml:space="preserve"> 年第二批软件产业发展专项资金的通知》（榕财企（指）</w:t>
      </w:r>
      <w:r>
        <w:rPr>
          <w:rFonts w:hint="eastAsia" w:ascii="Times New Roman" w:hAnsi="Times New Roman" w:eastAsia="Times New Roman" w:cs="Times New Roman"/>
          <w:sz w:val="24"/>
        </w:rPr>
        <w:t>[2015]1</w:t>
      </w:r>
      <w:r>
        <w:rPr>
          <w:rFonts w:hint="eastAsia" w:ascii="宋体" w:hAnsi="宋体" w:eastAsia="宋体" w:cs="宋体"/>
          <w:sz w:val="24"/>
        </w:rPr>
        <w:t xml:space="preserve"> 号），</w:t>
      </w:r>
      <w:r>
        <w:rPr>
          <w:rFonts w:hint="eastAsia" w:ascii="宋体" w:hAnsi="宋体" w:eastAsia="宋体" w:cs="宋体"/>
          <w:sz w:val="24"/>
        </w:rPr>
        <w:t>公司承担</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1-1-284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的产业化项目</w:t>
      </w:r>
      <w:r>
        <w:rPr>
          <w:rFonts w:hint="eastAsia" w:ascii="宋体" w:hAnsi="宋体" w:eastAsia="宋体" w:cs="宋体"/>
          <w:sz w:val="10"/>
        </w:rPr>
        <w:t>“</w:t>
      </w:r>
      <w:r>
        <w:rPr>
          <w:rFonts w:hint="eastAsia" w:ascii="宋体" w:hAnsi="宋体" w:eastAsia="宋体" w:cs="宋体"/>
          <w:sz w:val="24"/>
        </w:rPr>
        <w:t>顶点转融通系统</w:t>
      </w:r>
      <w:r>
        <w:rPr>
          <w:rFonts w:hint="eastAsia" w:ascii="宋体" w:hAnsi="宋体" w:eastAsia="宋体" w:cs="宋体"/>
          <w:sz w:val="10"/>
        </w:rPr>
        <w:t>”</w:t>
      </w:r>
      <w:r>
        <w:rPr>
          <w:rFonts w:hint="eastAsia" w:ascii="宋体" w:hAnsi="宋体" w:eastAsia="宋体" w:cs="宋体"/>
          <w:sz w:val="24"/>
        </w:rPr>
        <w:t>获政府补助</w:t>
      </w:r>
      <w:r>
        <w:rPr>
          <w:rFonts w:hint="eastAsia" w:ascii="Times New Roman" w:hAnsi="Times New Roman" w:eastAsia="Times New Roman" w:cs="Times New Roman"/>
          <w:sz w:val="24"/>
        </w:rPr>
        <w:t xml:space="preserve"> 50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年计入营业外收入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科技项目资助</w:t>
      </w:r>
      <w:r>
        <w:rPr>
          <w:rFonts w:hint="eastAsia" w:ascii="宋体" w:hAnsi="宋体" w:eastAsia="宋体" w:cs="宋体"/>
          <w:sz w:val="12"/>
        </w:rPr>
        <w:t>：</w:t>
      </w:r>
      <w:r>
        <w:rPr>
          <w:rFonts w:hint="eastAsia" w:ascii="宋体" w:hAnsi="宋体" w:eastAsia="宋体" w:cs="宋体"/>
          <w:sz w:val="24"/>
        </w:rPr>
        <w:t>根据福州市台江区科学技术局《关于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年下达台江区科技项目计划和经费的通知》，</w:t>
      </w:r>
      <w:r>
        <w:rPr>
          <w:rFonts w:hint="eastAsia" w:ascii="宋体" w:hAnsi="宋体" w:eastAsia="宋体" w:cs="宋体"/>
          <w:sz w:val="24"/>
        </w:rPr>
        <w:t>公司承担的</w:t>
      </w:r>
      <w:r>
        <w:rPr>
          <w:rFonts w:hint="eastAsia" w:ascii="宋体" w:hAnsi="宋体" w:eastAsia="宋体" w:cs="宋体"/>
          <w:sz w:val="10"/>
        </w:rPr>
        <w:t>“</w:t>
      </w:r>
      <w:r>
        <w:rPr>
          <w:rFonts w:hint="eastAsia" w:ascii="宋体" w:hAnsi="宋体" w:eastAsia="宋体" w:cs="宋体"/>
          <w:sz w:val="24"/>
        </w:rPr>
        <w:t>顶点港股通交易系统</w:t>
      </w:r>
      <w:r>
        <w:rPr>
          <w:rFonts w:hint="eastAsia" w:ascii="宋体" w:hAnsi="宋体" w:eastAsia="宋体" w:cs="宋体"/>
          <w:sz w:val="10"/>
        </w:rPr>
        <w:t>”</w:t>
      </w:r>
      <w:r>
        <w:rPr>
          <w:rFonts w:hint="eastAsia" w:ascii="宋体" w:hAnsi="宋体" w:eastAsia="宋体" w:cs="宋体"/>
          <w:sz w:val="24"/>
        </w:rPr>
        <w:t>项目获政府经费</w:t>
      </w:r>
      <w:r>
        <w:rPr>
          <w:rFonts w:hint="eastAsia" w:ascii="Times New Roman" w:hAnsi="Times New Roman" w:eastAsia="Times New Roman" w:cs="Times New Roman"/>
          <w:sz w:val="24"/>
        </w:rPr>
        <w:t xml:space="preserve"> 20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于</w:t>
      </w:r>
      <w:r>
        <w:rPr>
          <w:rFonts w:hint="eastAsia" w:ascii="Times New Roman" w:hAnsi="Times New Roman" w:eastAsia="Times New Roman" w:cs="Times New Roman"/>
          <w:sz w:val="24"/>
        </w:rPr>
        <w:t>2015</w:t>
      </w:r>
      <w:r>
        <w:rPr>
          <w:rFonts w:hint="eastAsia" w:ascii="宋体" w:hAnsi="宋体" w:eastAsia="宋体" w:cs="宋体"/>
          <w:sz w:val="24"/>
        </w:rPr>
        <w:t xml:space="preserve"> 年计入营业外收入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奖励扶持资金</w:t>
      </w:r>
      <w:r>
        <w:rPr>
          <w:rFonts w:hint="eastAsia" w:ascii="宋体" w:hAnsi="宋体" w:eastAsia="宋体" w:cs="宋体"/>
          <w:sz w:val="12"/>
        </w:rPr>
        <w:t>：</w:t>
      </w:r>
      <w:r>
        <w:rPr>
          <w:rFonts w:hint="eastAsia" w:ascii="宋体" w:hAnsi="宋体" w:eastAsia="宋体" w:cs="宋体"/>
          <w:sz w:val="24"/>
        </w:rPr>
        <w:t>根据《福州市台江区财政局关于申请福建顶点软件股份有限公司奖励扶持资金的函》（台财函</w:t>
      </w:r>
      <w:r>
        <w:rPr>
          <w:rFonts w:hint="eastAsia" w:ascii="Times New Roman" w:hAnsi="Times New Roman" w:eastAsia="Times New Roman" w:cs="Times New Roman"/>
          <w:sz w:val="24"/>
        </w:rPr>
        <w:t>[2015]60</w:t>
      </w:r>
      <w:r>
        <w:rPr>
          <w:rFonts w:hint="eastAsia" w:ascii="宋体" w:hAnsi="宋体" w:eastAsia="宋体" w:cs="宋体"/>
          <w:sz w:val="24"/>
        </w:rPr>
        <w:t xml:space="preserve"> 号），</w:t>
      </w:r>
      <w:r>
        <w:rPr>
          <w:rFonts w:hint="eastAsia" w:ascii="宋体" w:hAnsi="宋体" w:eastAsia="宋体" w:cs="宋体"/>
          <w:sz w:val="24"/>
        </w:rPr>
        <w:t>公司收到台江区人民政府奖励扶持资金</w:t>
      </w:r>
      <w:r>
        <w:rPr>
          <w:rFonts w:hint="eastAsia" w:ascii="Times New Roman" w:hAnsi="Times New Roman" w:eastAsia="Times New Roman" w:cs="Times New Roman"/>
          <w:sz w:val="24"/>
        </w:rPr>
        <w:t xml:space="preserve"> 1,650</w:t>
      </w:r>
      <w:r>
        <w:rPr>
          <w:rFonts w:hint="eastAsia" w:ascii="宋体" w:hAnsi="宋体" w:eastAsia="宋体" w:cs="宋体"/>
          <w:sz w:val="24"/>
        </w:rPr>
        <w:t>万元</w:t>
      </w:r>
      <w:r>
        <w:rPr>
          <w:rFonts w:hint="eastAsia" w:ascii="宋体" w:hAnsi="宋体" w:eastAsia="宋体" w:cs="宋体"/>
          <w:sz w:val="10"/>
        </w:rPr>
        <w:t>，</w:t>
      </w:r>
      <w:r>
        <w:rPr>
          <w:rFonts w:hint="eastAsia" w:ascii="宋体" w:hAnsi="宋体" w:eastAsia="宋体" w:cs="宋体"/>
          <w:sz w:val="24"/>
        </w:rPr>
        <w:t>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年计入营业外收入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科技项目资助</w:t>
      </w:r>
      <w:r>
        <w:rPr>
          <w:rFonts w:hint="eastAsia" w:ascii="宋体" w:hAnsi="宋体" w:eastAsia="宋体" w:cs="宋体"/>
          <w:sz w:val="12"/>
        </w:rPr>
        <w:t>：</w:t>
      </w:r>
      <w:r>
        <w:rPr>
          <w:rFonts w:hint="eastAsia" w:ascii="宋体" w:hAnsi="宋体" w:eastAsia="宋体" w:cs="宋体"/>
          <w:sz w:val="24"/>
        </w:rPr>
        <w:t>根据《福州市科学技术局关于下达</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年福州市科技项目计划和经费（市本级）的通知》（榕科</w:t>
      </w:r>
      <w:r>
        <w:rPr>
          <w:rFonts w:hint="eastAsia" w:ascii="Times New Roman" w:hAnsi="Times New Roman" w:eastAsia="Times New Roman" w:cs="Times New Roman"/>
          <w:sz w:val="24"/>
        </w:rPr>
        <w:t>[2015]245</w:t>
      </w:r>
      <w:r>
        <w:rPr>
          <w:rFonts w:hint="eastAsia" w:ascii="宋体" w:hAnsi="宋体" w:eastAsia="宋体" w:cs="宋体"/>
          <w:sz w:val="24"/>
        </w:rPr>
        <w:t xml:space="preserve"> 号），</w:t>
      </w:r>
      <w:r>
        <w:rPr>
          <w:rFonts w:hint="eastAsia" w:ascii="宋体" w:hAnsi="宋体" w:eastAsia="宋体" w:cs="宋体"/>
          <w:sz w:val="24"/>
        </w:rPr>
        <w:t>公司承担的</w:t>
      </w:r>
      <w:r>
        <w:rPr>
          <w:rFonts w:hint="eastAsia" w:ascii="宋体" w:hAnsi="宋体" w:eastAsia="宋体" w:cs="宋体"/>
          <w:sz w:val="10"/>
        </w:rPr>
        <w:t>“</w:t>
      </w:r>
      <w:r>
        <w:rPr>
          <w:rFonts w:hint="eastAsia" w:ascii="宋体" w:hAnsi="宋体" w:eastAsia="宋体" w:cs="宋体"/>
          <w:sz w:val="24"/>
        </w:rPr>
        <w:t>互联网金融运营中台支撑系统</w:t>
      </w:r>
      <w:r>
        <w:rPr>
          <w:rFonts w:hint="eastAsia" w:ascii="宋体" w:hAnsi="宋体" w:eastAsia="宋体" w:cs="宋体"/>
          <w:sz w:val="10"/>
        </w:rPr>
        <w:t>”</w:t>
      </w:r>
      <w:r>
        <w:rPr>
          <w:rFonts w:hint="eastAsia" w:ascii="宋体" w:hAnsi="宋体" w:eastAsia="宋体" w:cs="宋体"/>
          <w:sz w:val="24"/>
        </w:rPr>
        <w:t>项目获政府经费</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年计入营业外收入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③</w:t>
      </w:r>
      <w:r>
        <w:rPr>
          <w:rFonts w:hint="eastAsia" w:ascii="Times New Roman" w:hAnsi="Times New Roman" w:eastAsia="Times New Roman" w:cs="Times New Roman"/>
          <w:sz w:val="24"/>
        </w:rPr>
        <w:t>2016</w:t>
      </w:r>
      <w:r>
        <w:rPr>
          <w:rFonts w:hint="eastAsia" w:ascii="宋体" w:hAnsi="宋体" w:eastAsia="宋体" w:cs="宋体"/>
          <w:sz w:val="24"/>
        </w:rPr>
        <w:t xml:space="preserve"> 年政府补助</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科技项目资助</w:t>
      </w:r>
      <w:r>
        <w:rPr>
          <w:rFonts w:hint="eastAsia" w:ascii="宋体" w:hAnsi="宋体" w:eastAsia="宋体" w:cs="宋体"/>
          <w:sz w:val="10"/>
        </w:rPr>
        <w:t>：</w:t>
      </w:r>
      <w:r>
        <w:rPr>
          <w:rFonts w:hint="eastAsia" w:ascii="宋体" w:hAnsi="宋体" w:eastAsia="宋体" w:cs="宋体"/>
          <w:sz w:val="24"/>
        </w:rPr>
        <w:t>根据《福州市台江区科学技术局关于下达</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年台江区科技项目计划和经费的通知》，</w:t>
      </w:r>
      <w:r>
        <w:rPr>
          <w:rFonts w:hint="eastAsia" w:ascii="宋体" w:hAnsi="宋体" w:eastAsia="宋体" w:cs="宋体"/>
          <w:sz w:val="24"/>
        </w:rPr>
        <w:t>公司承担的</w:t>
      </w:r>
      <w:r>
        <w:rPr>
          <w:rFonts w:hint="eastAsia" w:ascii="宋体" w:hAnsi="宋体" w:eastAsia="宋体" w:cs="宋体"/>
          <w:sz w:val="10"/>
        </w:rPr>
        <w:t>“</w:t>
      </w:r>
      <w:r>
        <w:rPr>
          <w:rFonts w:hint="eastAsia" w:ascii="宋体" w:hAnsi="宋体" w:eastAsia="宋体" w:cs="宋体"/>
          <w:sz w:val="24"/>
        </w:rPr>
        <w:t>互联网金融运营中台支撑系统</w:t>
      </w:r>
      <w:r>
        <w:rPr>
          <w:rFonts w:hint="eastAsia" w:ascii="宋体" w:hAnsi="宋体" w:eastAsia="宋体" w:cs="宋体"/>
          <w:sz w:val="10"/>
        </w:rPr>
        <w:t>”</w:t>
      </w:r>
      <w:r>
        <w:rPr>
          <w:rFonts w:hint="eastAsia" w:ascii="宋体" w:hAnsi="宋体" w:eastAsia="宋体" w:cs="宋体"/>
          <w:sz w:val="24"/>
        </w:rPr>
        <w:t>项目获政府经费</w:t>
      </w:r>
      <w:r>
        <w:rPr>
          <w:rFonts w:hint="eastAsia" w:ascii="Times New Roman" w:hAnsi="Times New Roman" w:eastAsia="Times New Roman" w:cs="Times New Roman"/>
          <w:sz w:val="24"/>
        </w:rPr>
        <w:t xml:space="preserve"> 20</w:t>
      </w:r>
      <w:r>
        <w:rPr>
          <w:rFonts w:hint="eastAsia" w:ascii="宋体" w:hAnsi="宋体" w:eastAsia="宋体" w:cs="宋体"/>
          <w:sz w:val="24"/>
        </w:rPr>
        <w:t>万元</w:t>
      </w:r>
      <w:r>
        <w:rPr>
          <w:rFonts w:hint="eastAsia" w:ascii="宋体" w:hAnsi="宋体" w:eastAsia="宋体" w:cs="宋体"/>
          <w:sz w:val="10"/>
        </w:rPr>
        <w:t>，</w:t>
      </w:r>
      <w:r>
        <w:rPr>
          <w:rFonts w:hint="eastAsia" w:ascii="宋体" w:hAnsi="宋体" w:eastAsia="宋体" w:cs="宋体"/>
          <w:sz w:val="24"/>
        </w:rPr>
        <w:t>于</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年计入营业外收入</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创新型企业补助</w:t>
      </w:r>
      <w:r>
        <w:rPr>
          <w:rFonts w:hint="eastAsia" w:ascii="宋体" w:hAnsi="宋体" w:eastAsia="宋体" w:cs="宋体"/>
          <w:sz w:val="10"/>
        </w:rPr>
        <w:t>：</w:t>
      </w:r>
      <w:r>
        <w:rPr>
          <w:rFonts w:hint="eastAsia" w:ascii="宋体" w:hAnsi="宋体" w:eastAsia="宋体" w:cs="宋体"/>
          <w:sz w:val="24"/>
        </w:rPr>
        <w:t>根据《福州市科学技术局关于下达</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年省级科技项目配套奖励经费的通知》，</w:t>
      </w:r>
      <w:r>
        <w:rPr>
          <w:rFonts w:hint="eastAsia" w:ascii="宋体" w:hAnsi="宋体" w:eastAsia="宋体" w:cs="宋体"/>
          <w:sz w:val="24"/>
        </w:rPr>
        <w:t>公司作为省创新型企业获得政府补助</w:t>
      </w:r>
      <w:r>
        <w:rPr>
          <w:rFonts w:hint="eastAsia" w:ascii="Times New Roman" w:hAnsi="Times New Roman" w:eastAsia="Times New Roman" w:cs="Times New Roman"/>
          <w:sz w:val="24"/>
        </w:rPr>
        <w:t xml:space="preserve"> 15</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控股子公司顶点信息作为省创新型企业获得政府补助</w:t>
      </w:r>
      <w:r>
        <w:rPr>
          <w:rFonts w:hint="eastAsia" w:ascii="Times New Roman" w:hAnsi="Times New Roman" w:eastAsia="Times New Roman" w:cs="Times New Roman"/>
          <w:sz w:val="24"/>
        </w:rPr>
        <w:t xml:space="preserve"> 15</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共计</w:t>
      </w:r>
      <w:r>
        <w:rPr>
          <w:rFonts w:hint="eastAsia" w:ascii="Times New Roman" w:hAnsi="Times New Roman" w:eastAsia="Times New Roman" w:cs="Times New Roman"/>
          <w:sz w:val="24"/>
        </w:rPr>
        <w:t xml:space="preserve"> 30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所得税费用</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公司所得税费用构成如下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2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2320" w:type="dxa"/>
            <w:tcMar>
              <w:top w:w="0" w:type="dxa"/>
              <w:left w:w="0" w:type="dxa"/>
              <w:bottom w:w="0" w:type="dxa"/>
              <w:right w:w="0" w:type="dxa"/>
            </w:tcMar>
          </w:tcPr>
          <w:p>
            <w:pPr>
              <w:spacing w:before="120"/>
              <w:ind w:left="400"/>
            </w:pPr>
            <w:r>
              <w:rPr>
                <w:rFonts w:hint="eastAsia" w:ascii="宋体" w:hAnsi="宋体" w:eastAsia="宋体" w:cs="宋体"/>
                <w:sz w:val="21"/>
              </w:rPr>
              <w:t>当期所得税费用</w:t>
            </w:r>
          </w:p>
        </w:tc>
        <w:tc>
          <w:tcPr>
            <w:tcW w:w="2320" w:type="dxa"/>
            <w:tcMar>
              <w:top w:w="0" w:type="dxa"/>
              <w:left w:w="0" w:type="dxa"/>
              <w:bottom w:w="0" w:type="dxa"/>
              <w:right w:w="0" w:type="dxa"/>
            </w:tcMar>
          </w:tcPr>
          <w:p>
            <w:pPr>
              <w:spacing w:before="180"/>
              <w:ind w:left="110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p>
        </w:tc>
        <w:tc>
          <w:tcPr>
            <w:tcW w:w="2300" w:type="dxa"/>
            <w:tcMar>
              <w:top w:w="0" w:type="dxa"/>
              <w:left w:w="0" w:type="dxa"/>
              <w:bottom w:w="0" w:type="dxa"/>
              <w:right w:w="0" w:type="dxa"/>
            </w:tcMar>
          </w:tcPr>
          <w:p>
            <w:pPr>
              <w:spacing w:before="180"/>
              <w:ind w:left="98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p>
        </w:tc>
        <w:tc>
          <w:tcPr>
            <w:tcW w:w="2320" w:type="dxa"/>
            <w:tcMar>
              <w:top w:w="0" w:type="dxa"/>
              <w:left w:w="0" w:type="dxa"/>
              <w:bottom w:w="0" w:type="dxa"/>
              <w:right w:w="0" w:type="dxa"/>
            </w:tcMar>
          </w:tcPr>
          <w:p>
            <w:pPr>
              <w:spacing w:before="180"/>
              <w:ind w:left="1100"/>
            </w:pPr>
            <w:r>
              <w:rPr>
                <w:rFonts w:hint="eastAsia" w:ascii="Times New Roman" w:hAnsi="Times New Roman" w:eastAsia="Times New Roman" w:cs="Times New Roman"/>
                <w:sz w:val="21"/>
              </w:rPr>
              <w:t>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62</w:t>
            </w:r>
          </w:p>
        </w:tc>
      </w:tr>
      <w:tr>
        <w:trPr>
          <w:trHeight w:val="480" w:hRule="exact"/>
        </w:trPr>
        <w:tc>
          <w:tcPr>
            <w:tcW w:w="2320" w:type="dxa"/>
            <w:tcMar>
              <w:top w:w="0" w:type="dxa"/>
              <w:left w:w="0" w:type="dxa"/>
              <w:bottom w:w="0" w:type="dxa"/>
              <w:right w:w="0" w:type="dxa"/>
            </w:tcMar>
          </w:tcPr>
          <w:p>
            <w:pPr>
              <w:spacing w:before="100"/>
              <w:ind w:left="400"/>
            </w:pPr>
            <w:r>
              <w:rPr>
                <w:rFonts w:hint="eastAsia" w:ascii="宋体" w:hAnsi="宋体" w:eastAsia="宋体" w:cs="宋体"/>
                <w:sz w:val="21"/>
              </w:rPr>
              <w:t>递延所得税费用</w:t>
            </w:r>
          </w:p>
        </w:tc>
        <w:tc>
          <w:tcPr>
            <w:tcW w:w="2320" w:type="dxa"/>
            <w:tcMar>
              <w:top w:w="0" w:type="dxa"/>
              <w:left w:w="0" w:type="dxa"/>
              <w:bottom w:w="0" w:type="dxa"/>
              <w:right w:w="0" w:type="dxa"/>
            </w:tcMar>
          </w:tcPr>
          <w:p>
            <w:pPr>
              <w:spacing w:before="140"/>
              <w:ind w:left="108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c>
          <w:tcPr>
            <w:tcW w:w="2300" w:type="dxa"/>
            <w:tcMar>
              <w:top w:w="0" w:type="dxa"/>
              <w:left w:w="0" w:type="dxa"/>
              <w:bottom w:w="0" w:type="dxa"/>
              <w:right w:w="0" w:type="dxa"/>
            </w:tcMar>
          </w:tcPr>
          <w:p>
            <w:pPr>
              <w:spacing w:before="140"/>
              <w:ind w:left="10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w:t>
            </w:r>
          </w:p>
        </w:tc>
        <w:tc>
          <w:tcPr>
            <w:tcW w:w="2320" w:type="dxa"/>
            <w:tcMar>
              <w:top w:w="0" w:type="dxa"/>
              <w:left w:w="0" w:type="dxa"/>
              <w:bottom w:w="0" w:type="dxa"/>
              <w:right w:w="0" w:type="dxa"/>
            </w:tcMar>
          </w:tcPr>
          <w:p>
            <w:pPr>
              <w:spacing w:before="140"/>
              <w:ind w:left="10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r>
      <w:tr>
        <w:trPr>
          <w:trHeight w:val="46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合计</w:t>
            </w:r>
          </w:p>
        </w:tc>
        <w:tc>
          <w:tcPr>
            <w:tcW w:w="2320" w:type="dxa"/>
            <w:tcMar>
              <w:top w:w="0" w:type="dxa"/>
              <w:left w:w="0" w:type="dxa"/>
              <w:bottom w:w="0" w:type="dxa"/>
              <w:right w:w="0" w:type="dxa"/>
            </w:tcMar>
          </w:tcPr>
          <w:p>
            <w:pPr>
              <w:spacing w:before="160"/>
              <w:ind w:left="1000"/>
            </w:pPr>
            <w:r>
              <w:rPr>
                <w:rFonts w:hint="eastAsia" w:ascii="Times New Roman Bold" w:hAnsi="Times New Roman Bold" w:eastAsia="Times New Roman Bold" w:cs="Times New Roman Bold"/>
                <w:b/>
                <w:sz w:val="21"/>
              </w:rPr>
              <w:t>11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798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96</w:t>
            </w:r>
          </w:p>
        </w:tc>
        <w:tc>
          <w:tcPr>
            <w:tcW w:w="2300" w:type="dxa"/>
            <w:tcMar>
              <w:top w:w="0" w:type="dxa"/>
              <w:left w:w="0" w:type="dxa"/>
              <w:bottom w:w="0" w:type="dxa"/>
              <w:right w:w="0" w:type="dxa"/>
            </w:tcMar>
          </w:tcPr>
          <w:p>
            <w:pPr>
              <w:spacing w:before="160"/>
              <w:ind w:left="1080"/>
            </w:pPr>
            <w:r>
              <w:rPr>
                <w:rFonts w:hint="eastAsia" w:ascii="Times New Roman Bold" w:hAnsi="Times New Roman Bold" w:eastAsia="Times New Roman Bold" w:cs="Times New Roman Bold"/>
                <w:b/>
                <w:sz w:val="21"/>
              </w:rPr>
              <w:t>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956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738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34</w:t>
            </w:r>
          </w:p>
        </w:tc>
        <w:tc>
          <w:tcPr>
            <w:tcW w:w="2320" w:type="dxa"/>
            <w:tcMar>
              <w:top w:w="0" w:type="dxa"/>
              <w:left w:w="0" w:type="dxa"/>
              <w:bottom w:w="0" w:type="dxa"/>
              <w:right w:w="0" w:type="dxa"/>
            </w:tcMar>
          </w:tcPr>
          <w:p>
            <w:pPr>
              <w:spacing w:before="160"/>
              <w:ind w:left="110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855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266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75</w:t>
            </w:r>
          </w:p>
        </w:tc>
      </w:tr>
    </w:tbl>
    <w:p>
      <w:pPr>
        <w:spacing w:line="200" w:lineRule="exact"/>
        <w:rPr>
          <w:rFonts w:hint="eastAsia" w:ascii="宋体" w:hAnsi="宋体" w:eastAsia="宋体" w:cs="宋体"/>
          <w:sz w:val="20"/>
        </w:rPr>
      </w:pPr>
    </w:p>
    <w:p>
      <w:pPr>
        <w:autoSpaceDE w:val="false"/>
        <w:autoSpaceDN w:val="false"/>
        <w:spacing w:line="400" w:lineRule="exact"/>
        <w:ind w:left="1440" w:right="1200" w:firstLine="480"/>
        <w:jc w:val="both"/>
      </w:pPr>
      <w:r>
        <w:rPr>
          <w:rFonts w:hint="eastAsia" w:ascii="宋体" w:hAnsi="宋体" w:eastAsia="宋体" w:cs="宋体"/>
          <w:sz w:val="24"/>
        </w:rPr>
        <w:t>公司报告期内的所得税费用由当期所得税费用和递延所得税费用构成</w:t>
      </w:r>
      <w:r>
        <w:rPr>
          <w:rFonts w:hint="eastAsia" w:ascii="宋体" w:hAnsi="宋体" w:eastAsia="宋体" w:cs="宋体"/>
          <w:sz w:val="10"/>
        </w:rPr>
        <w:t>。</w:t>
      </w:r>
      <w:r>
        <w:rPr>
          <w:rFonts w:hint="eastAsia" w:ascii="宋体" w:hAnsi="宋体" w:eastAsia="宋体" w:cs="宋体"/>
          <w:sz w:val="24"/>
        </w:rPr>
        <w:t>当期所得税费用是由当年的利润总额经过纳税调整后的应纳税所得额决定的</w:t>
      </w:r>
      <w:r>
        <w:rPr>
          <w:rFonts w:hint="eastAsia" w:ascii="宋体" w:hAnsi="宋体" w:eastAsia="宋体" w:cs="宋体"/>
          <w:sz w:val="14"/>
        </w:rPr>
        <w:t>；</w:t>
      </w:r>
      <w:r>
        <w:rPr>
          <w:rFonts w:hint="eastAsia" w:ascii="宋体" w:hAnsi="宋体" w:eastAsia="宋体" w:cs="宋体"/>
          <w:sz w:val="24"/>
        </w:rPr>
        <w:t>递延所得税费用主要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1-1-285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由递延所得税资产及递延所得税负债的各期期初与期末差额决定</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（四）毛利率变动及其影响因素分析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毛利构成及变动情况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公司主要业务的毛利构成如下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80" w:lineRule="exact"/>
        <w:rPr>
          <w:rFonts w:hint="eastAsia" w:ascii="宋体" w:hAnsi="宋体" w:eastAsia="宋体" w:cs="宋体"/>
          <w:sz w:val="20"/>
        </w:rPr>
      </w:pPr>
    </w:p>
    <w:tbl>
      <w:tblPr>
        <w:tblW w:w="9200" w:type="auto"/>
        <w:tblInd w:w="1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340"/>
        <w:gridCol w:w="1560"/>
        <w:gridCol w:w="1140"/>
        <w:gridCol w:w="1560"/>
        <w:gridCol w:w="980"/>
        <w:gridCol w:w="1580"/>
        <w:gridCol w:w="1020"/>
      </w:tblGrid>
      <w:tr>
        <w:trPr>
          <w:trHeight w:val="540" w:hRule="exact"/>
        </w:trPr>
        <w:tc>
          <w:tcPr>
            <w:tcW w:w="1340" w:type="dxa"/>
            <w:vMerge w:val="restart"/>
            <w:tcMar>
              <w:top w:w="0" w:type="dxa"/>
              <w:left w:w="0" w:type="dxa"/>
              <w:bottom w:w="0" w:type="dxa"/>
              <w:right w:w="0" w:type="dxa"/>
            </w:tcMar>
          </w:tcPr>
          <w:p>
            <w:pPr>
              <w:spacing w:before="360"/>
              <w:ind w:left="440"/>
            </w:pPr>
            <w:r>
              <w:rPr>
                <w:rFonts w:hint="eastAsia" w:ascii="宋体" w:hAnsi="宋体" w:eastAsia="宋体" w:cs="宋体"/>
                <w:b/>
                <w:sz w:val="21"/>
              </w:rPr>
              <w:t>项目</w:t>
            </w:r>
          </w:p>
        </w:tc>
        <w:tc>
          <w:tcPr>
            <w:tcW w:w="2700" w:type="dxa"/>
            <w:gridSpan w:val="2"/>
            <w:tcMar>
              <w:top w:w="0" w:type="dxa"/>
              <w:left w:w="0" w:type="dxa"/>
              <w:bottom w:w="0" w:type="dxa"/>
              <w:right w:w="0" w:type="dxa"/>
            </w:tcMar>
          </w:tcPr>
          <w:p>
            <w:pPr>
              <w:spacing w:before="120"/>
              <w:ind w:left="8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540" w:type="dxa"/>
            <w:gridSpan w:val="2"/>
            <w:tcMar>
              <w:top w:w="0" w:type="dxa"/>
              <w:left w:w="0" w:type="dxa"/>
              <w:bottom w:w="0" w:type="dxa"/>
              <w:right w:w="0" w:type="dxa"/>
            </w:tcMar>
          </w:tcPr>
          <w:p>
            <w:pPr>
              <w:spacing w:before="120"/>
              <w:ind w:left="80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600" w:type="dxa"/>
            <w:gridSpan w:val="2"/>
            <w:tcMar>
              <w:top w:w="0" w:type="dxa"/>
              <w:left w:w="0" w:type="dxa"/>
              <w:bottom w:w="0" w:type="dxa"/>
              <w:right w:w="0" w:type="dxa"/>
            </w:tcMar>
          </w:tcPr>
          <w:p>
            <w:pPr>
              <w:spacing w:before="120"/>
              <w:ind w:left="84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20" w:hRule="exact"/>
        </w:trPr>
        <w:tc>
          <w:tcPr>
            <w:tcW w:w="1340" w:type="dxa"/>
            <w:vMerge w:val="continue"/>
            <w:tcMar>
              <w:top w:w="0" w:type="dxa"/>
              <w:left w:w="0" w:type="dxa"/>
              <w:bottom w:w="0" w:type="dxa"/>
              <w:right w:w="0" w:type="dxa"/>
            </w:tcMar>
          </w:tcPr>
          <w:p/>
        </w:tc>
        <w:tc>
          <w:tcPr>
            <w:tcW w:w="1560" w:type="dxa"/>
            <w:tcMar>
              <w:top w:w="0" w:type="dxa"/>
              <w:left w:w="0" w:type="dxa"/>
              <w:bottom w:w="0" w:type="dxa"/>
              <w:right w:w="0" w:type="dxa"/>
            </w:tcMar>
          </w:tcPr>
          <w:p>
            <w:pPr>
              <w:spacing w:before="100"/>
              <w:ind w:left="560"/>
            </w:pPr>
            <w:r>
              <w:rPr>
                <w:rFonts w:hint="eastAsia" w:ascii="宋体" w:hAnsi="宋体" w:eastAsia="宋体" w:cs="宋体"/>
                <w:b/>
                <w:sz w:val="21"/>
              </w:rPr>
              <w:t>毛利</w:t>
            </w:r>
          </w:p>
        </w:tc>
        <w:tc>
          <w:tcPr>
            <w:tcW w:w="1140" w:type="dxa"/>
            <w:tcMar>
              <w:top w:w="0" w:type="dxa"/>
              <w:left w:w="0" w:type="dxa"/>
              <w:bottom w:w="0" w:type="dxa"/>
              <w:right w:w="0" w:type="dxa"/>
            </w:tcMar>
          </w:tcPr>
          <w:p>
            <w:pPr>
              <w:spacing w:before="100"/>
              <w:ind w:left="240"/>
            </w:pPr>
            <w:r>
              <w:rPr>
                <w:rFonts w:hint="eastAsia" w:ascii="宋体" w:hAnsi="宋体" w:eastAsia="宋体" w:cs="宋体"/>
                <w:b/>
                <w:sz w:val="21"/>
              </w:rPr>
              <w:t>贡献率</w:t>
            </w:r>
          </w:p>
        </w:tc>
        <w:tc>
          <w:tcPr>
            <w:tcW w:w="1560" w:type="dxa"/>
            <w:tcMar>
              <w:top w:w="0" w:type="dxa"/>
              <w:left w:w="0" w:type="dxa"/>
              <w:bottom w:w="0" w:type="dxa"/>
              <w:right w:w="0" w:type="dxa"/>
            </w:tcMar>
          </w:tcPr>
          <w:p>
            <w:pPr>
              <w:spacing w:before="100"/>
              <w:ind w:left="540"/>
            </w:pPr>
            <w:r>
              <w:rPr>
                <w:rFonts w:hint="eastAsia" w:ascii="宋体" w:hAnsi="宋体" w:eastAsia="宋体" w:cs="宋体"/>
                <w:b/>
                <w:sz w:val="21"/>
              </w:rPr>
              <w:t>毛利</w:t>
            </w:r>
          </w:p>
        </w:tc>
        <w:tc>
          <w:tcPr>
            <w:tcW w:w="980" w:type="dxa"/>
            <w:tcMar>
              <w:top w:w="0" w:type="dxa"/>
              <w:left w:w="0" w:type="dxa"/>
              <w:bottom w:w="0" w:type="dxa"/>
              <w:right w:w="0" w:type="dxa"/>
            </w:tcMar>
          </w:tcPr>
          <w:p>
            <w:pPr>
              <w:spacing w:before="100"/>
              <w:ind w:left="160"/>
            </w:pPr>
            <w:r>
              <w:rPr>
                <w:rFonts w:hint="eastAsia" w:ascii="宋体" w:hAnsi="宋体" w:eastAsia="宋体" w:cs="宋体"/>
                <w:b/>
                <w:sz w:val="21"/>
              </w:rPr>
              <w:t>贡献率</w:t>
            </w:r>
          </w:p>
        </w:tc>
        <w:tc>
          <w:tcPr>
            <w:tcW w:w="1580" w:type="dxa"/>
            <w:tcMar>
              <w:top w:w="0" w:type="dxa"/>
              <w:left w:w="0" w:type="dxa"/>
              <w:bottom w:w="0" w:type="dxa"/>
              <w:right w:w="0" w:type="dxa"/>
            </w:tcMar>
          </w:tcPr>
          <w:p>
            <w:pPr>
              <w:spacing w:before="100"/>
              <w:ind w:left="560"/>
            </w:pPr>
            <w:r>
              <w:rPr>
                <w:rFonts w:hint="eastAsia" w:ascii="宋体" w:hAnsi="宋体" w:eastAsia="宋体" w:cs="宋体"/>
                <w:b/>
                <w:sz w:val="21"/>
              </w:rPr>
              <w:t>毛利</w:t>
            </w:r>
          </w:p>
        </w:tc>
        <w:tc>
          <w:tcPr>
            <w:tcW w:w="1020" w:type="dxa"/>
            <w:tcMar>
              <w:top w:w="0" w:type="dxa"/>
              <w:left w:w="0" w:type="dxa"/>
              <w:bottom w:w="0" w:type="dxa"/>
              <w:right w:w="0" w:type="dxa"/>
            </w:tcMar>
          </w:tcPr>
          <w:p>
            <w:pPr>
              <w:spacing w:before="100"/>
              <w:ind w:left="160"/>
            </w:pPr>
            <w:r>
              <w:rPr>
                <w:rFonts w:hint="eastAsia" w:ascii="宋体" w:hAnsi="宋体" w:eastAsia="宋体" w:cs="宋体"/>
                <w:b/>
                <w:sz w:val="21"/>
              </w:rPr>
              <w:t>贡献率</w:t>
            </w:r>
          </w:p>
        </w:tc>
      </w:tr>
      <w:tr>
        <w:trPr>
          <w:trHeight w:val="540" w:hRule="exact"/>
        </w:trPr>
        <w:tc>
          <w:tcPr>
            <w:tcW w:w="1340" w:type="dxa"/>
            <w:tcMar>
              <w:top w:w="0" w:type="dxa"/>
              <w:left w:w="0" w:type="dxa"/>
              <w:bottom w:w="0" w:type="dxa"/>
              <w:right w:w="0" w:type="dxa"/>
            </w:tcMar>
          </w:tcPr>
          <w:p>
            <w:pPr>
              <w:spacing w:before="100"/>
              <w:ind w:left="240"/>
            </w:pPr>
            <w:r>
              <w:rPr>
                <w:rFonts w:hint="eastAsia" w:ascii="宋体" w:hAnsi="宋体" w:eastAsia="宋体" w:cs="宋体"/>
                <w:sz w:val="21"/>
              </w:rPr>
              <w:t>定制软件</w:t>
            </w:r>
          </w:p>
        </w:tc>
        <w:tc>
          <w:tcPr>
            <w:tcW w:w="1560" w:type="dxa"/>
            <w:tcMar>
              <w:top w:w="0" w:type="dxa"/>
              <w:left w:w="0" w:type="dxa"/>
              <w:bottom w:w="0" w:type="dxa"/>
              <w:right w:w="0" w:type="dxa"/>
            </w:tcMar>
          </w:tcPr>
          <w:p>
            <w:pPr>
              <w:spacing w:before="140"/>
              <w:ind w:left="180"/>
            </w:pPr>
            <w:r>
              <w:rPr>
                <w:rFonts w:hint="eastAsia" w:ascii="Times New Roman" w:hAnsi="Times New Roman" w:eastAsia="Times New Roman" w:cs="Times New Roman"/>
                <w:sz w:val="21"/>
              </w:rPr>
              <w:t>102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c>
          <w:tcPr>
            <w:tcW w:w="1140" w:type="dxa"/>
            <w:tcMar>
              <w:top w:w="0" w:type="dxa"/>
              <w:left w:w="0" w:type="dxa"/>
              <w:bottom w:w="0" w:type="dxa"/>
              <w:right w:w="0" w:type="dxa"/>
            </w:tcMar>
          </w:tcPr>
          <w:p>
            <w:pPr>
              <w:spacing w:before="140"/>
              <w:ind w:left="42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p>
        </w:tc>
        <w:tc>
          <w:tcPr>
            <w:tcW w:w="98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p>
        </w:tc>
        <w:tc>
          <w:tcPr>
            <w:tcW w:w="1020" w:type="dxa"/>
            <w:tcMar>
              <w:top w:w="0" w:type="dxa"/>
              <w:left w:w="0" w:type="dxa"/>
              <w:bottom w:w="0" w:type="dxa"/>
              <w:right w:w="0" w:type="dxa"/>
            </w:tcMar>
          </w:tcPr>
          <w:p>
            <w:pPr>
              <w:spacing w:before="140"/>
              <w:ind w:left="300"/>
            </w:pP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r>
      <w:tr>
        <w:trPr>
          <w:trHeight w:val="520" w:hRule="exact"/>
        </w:trPr>
        <w:tc>
          <w:tcPr>
            <w:tcW w:w="1340" w:type="dxa"/>
            <w:tcMar>
              <w:top w:w="0" w:type="dxa"/>
              <w:left w:w="0" w:type="dxa"/>
              <w:bottom w:w="0" w:type="dxa"/>
              <w:right w:w="0" w:type="dxa"/>
            </w:tcMar>
          </w:tcPr>
          <w:p>
            <w:pPr>
              <w:spacing w:before="100"/>
              <w:ind w:left="140"/>
            </w:pPr>
            <w:r>
              <w:rPr>
                <w:rFonts w:hint="eastAsia" w:ascii="宋体" w:hAnsi="宋体" w:eastAsia="宋体" w:cs="宋体"/>
                <w:sz w:val="21"/>
              </w:rPr>
              <w:t>产品化软件</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140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p>
        </w:tc>
        <w:tc>
          <w:tcPr>
            <w:tcW w:w="1140" w:type="dxa"/>
            <w:tcMar>
              <w:top w:w="0" w:type="dxa"/>
              <w:left w:w="0" w:type="dxa"/>
              <w:bottom w:w="0" w:type="dxa"/>
              <w:right w:w="0" w:type="dxa"/>
            </w:tcMar>
          </w:tcPr>
          <w:p>
            <w:pPr>
              <w:spacing w:before="160"/>
              <w:ind w:left="4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c>
          <w:tcPr>
            <w:tcW w:w="980" w:type="dxa"/>
            <w:tcMar>
              <w:top w:w="0" w:type="dxa"/>
              <w:left w:w="0" w:type="dxa"/>
              <w:bottom w:w="0" w:type="dxa"/>
              <w:right w:w="0" w:type="dxa"/>
            </w:tcMar>
          </w:tcPr>
          <w:p>
            <w:pPr>
              <w:spacing w:before="160"/>
              <w:ind w:left="26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60"/>
              <w:ind w:left="2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83</w:t>
            </w:r>
          </w:p>
        </w:tc>
        <w:tc>
          <w:tcPr>
            <w:tcW w:w="1020" w:type="dxa"/>
            <w:tcMar>
              <w:top w:w="0" w:type="dxa"/>
              <w:left w:w="0" w:type="dxa"/>
              <w:bottom w:w="0" w:type="dxa"/>
              <w:right w:w="0" w:type="dxa"/>
            </w:tcMar>
          </w:tcPr>
          <w:p>
            <w:pPr>
              <w:spacing w:before="160"/>
              <w:ind w:left="30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p>
        </w:tc>
      </w:tr>
      <w:tr>
        <w:trPr>
          <w:trHeight w:val="540" w:hRule="exact"/>
        </w:trPr>
        <w:tc>
          <w:tcPr>
            <w:tcW w:w="1340" w:type="dxa"/>
            <w:tcMar>
              <w:top w:w="0" w:type="dxa"/>
              <w:left w:w="0" w:type="dxa"/>
              <w:bottom w:w="0" w:type="dxa"/>
              <w:right w:w="0" w:type="dxa"/>
            </w:tcMar>
          </w:tcPr>
          <w:p>
            <w:pPr>
              <w:spacing w:before="120"/>
              <w:ind w:left="240"/>
            </w:pPr>
            <w:r>
              <w:rPr>
                <w:rFonts w:hint="eastAsia" w:ascii="宋体" w:hAnsi="宋体" w:eastAsia="宋体" w:cs="宋体"/>
                <w:sz w:val="21"/>
              </w:rPr>
              <w:t>运维服务</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w:t>
            </w:r>
          </w:p>
        </w:tc>
        <w:tc>
          <w:tcPr>
            <w:tcW w:w="1140" w:type="dxa"/>
            <w:tcMar>
              <w:top w:w="0" w:type="dxa"/>
              <w:left w:w="0" w:type="dxa"/>
              <w:bottom w:w="0" w:type="dxa"/>
              <w:right w:w="0" w:type="dxa"/>
            </w:tcMar>
          </w:tcPr>
          <w:p>
            <w:pPr>
              <w:spacing w:before="140"/>
              <w:ind w:left="4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p>
        </w:tc>
        <w:tc>
          <w:tcPr>
            <w:tcW w:w="980" w:type="dxa"/>
            <w:tcMar>
              <w:top w:w="0" w:type="dxa"/>
              <w:left w:w="0" w:type="dxa"/>
              <w:bottom w:w="0" w:type="dxa"/>
              <w:right w:w="0" w:type="dxa"/>
            </w:tcMar>
          </w:tcPr>
          <w:p>
            <w:pPr>
              <w:spacing w:before="140"/>
              <w:ind w:left="260"/>
            </w:pP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40"/>
              <w:ind w:left="28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1020" w:type="dxa"/>
            <w:tcMar>
              <w:top w:w="0" w:type="dxa"/>
              <w:left w:w="0" w:type="dxa"/>
              <w:bottom w:w="0" w:type="dxa"/>
              <w:right w:w="0" w:type="dxa"/>
            </w:tcMar>
          </w:tcPr>
          <w:p>
            <w:pPr>
              <w:spacing w:before="140"/>
              <w:ind w:left="30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r>
              <w:rPr>
                <w:rFonts w:hint="eastAsia" w:ascii="Times New Roman" w:hAnsi="Times New Roman" w:eastAsia="Times New Roman" w:cs="Times New Roman"/>
                <w:sz w:val="20"/>
              </w:rPr>
              <w:t>%</w:t>
            </w:r>
          </w:p>
        </w:tc>
      </w:tr>
      <w:tr>
        <w:trPr>
          <w:trHeight w:val="520" w:hRule="exact"/>
        </w:trPr>
        <w:tc>
          <w:tcPr>
            <w:tcW w:w="1340" w:type="dxa"/>
            <w:tcMar>
              <w:top w:w="0" w:type="dxa"/>
              <w:left w:w="0" w:type="dxa"/>
              <w:bottom w:w="0" w:type="dxa"/>
              <w:right w:w="0" w:type="dxa"/>
            </w:tcMar>
          </w:tcPr>
          <w:p>
            <w:pPr>
              <w:spacing w:before="100"/>
              <w:ind w:left="240"/>
            </w:pPr>
            <w:r>
              <w:rPr>
                <w:rFonts w:hint="eastAsia" w:ascii="宋体" w:hAnsi="宋体" w:eastAsia="宋体" w:cs="宋体"/>
                <w:sz w:val="21"/>
              </w:rPr>
              <w:t>系统集成</w:t>
            </w:r>
          </w:p>
        </w:tc>
        <w:tc>
          <w:tcPr>
            <w:tcW w:w="156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928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c>
          <w:tcPr>
            <w:tcW w:w="1140" w:type="dxa"/>
            <w:tcMar>
              <w:top w:w="0" w:type="dxa"/>
              <w:left w:w="0" w:type="dxa"/>
              <w:bottom w:w="0" w:type="dxa"/>
              <w:right w:w="0" w:type="dxa"/>
            </w:tcMar>
          </w:tcPr>
          <w:p>
            <w:pPr>
              <w:spacing w:before="160"/>
              <w:ind w:left="52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r>
              <w:rPr>
                <w:rFonts w:hint="eastAsia" w:ascii="Times New Roman" w:hAnsi="Times New Roman" w:eastAsia="Times New Roman" w:cs="Times New Roman"/>
                <w:sz w:val="20"/>
              </w:rPr>
              <w:t>%</w:t>
            </w:r>
          </w:p>
        </w:tc>
        <w:tc>
          <w:tcPr>
            <w:tcW w:w="156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980" w:type="dxa"/>
            <w:tcMar>
              <w:top w:w="0" w:type="dxa"/>
              <w:left w:w="0" w:type="dxa"/>
              <w:bottom w:w="0" w:type="dxa"/>
              <w:right w:w="0" w:type="dxa"/>
            </w:tcMar>
          </w:tcPr>
          <w:p>
            <w:pPr>
              <w:spacing w:before="160"/>
              <w:ind w:left="38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c>
          <w:tcPr>
            <w:tcW w:w="158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c>
          <w:tcPr>
            <w:tcW w:w="102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p>
        </w:tc>
      </w:tr>
      <w:tr>
        <w:trPr>
          <w:trHeight w:val="500" w:hRule="exact"/>
        </w:trPr>
        <w:tc>
          <w:tcPr>
            <w:tcW w:w="1340" w:type="dxa"/>
            <w:tcMar>
              <w:top w:w="0" w:type="dxa"/>
              <w:left w:w="0" w:type="dxa"/>
              <w:bottom w:w="0" w:type="dxa"/>
              <w:right w:w="0" w:type="dxa"/>
            </w:tcMar>
          </w:tcPr>
          <w:p>
            <w:pPr>
              <w:spacing w:before="120"/>
              <w:ind w:left="440"/>
            </w:pPr>
            <w:r>
              <w:rPr>
                <w:rFonts w:hint="eastAsia" w:ascii="宋体" w:hAnsi="宋体" w:eastAsia="宋体" w:cs="宋体"/>
                <w:b/>
                <w:sz w:val="21"/>
              </w:rPr>
              <w:t>合计</w:t>
            </w:r>
          </w:p>
        </w:tc>
        <w:tc>
          <w:tcPr>
            <w:tcW w:w="1560" w:type="dxa"/>
            <w:tcMar>
              <w:top w:w="0" w:type="dxa"/>
              <w:left w:w="0" w:type="dxa"/>
              <w:bottom w:w="0" w:type="dxa"/>
              <w:right w:w="0" w:type="dxa"/>
            </w:tcMar>
          </w:tcPr>
          <w:p>
            <w:pPr>
              <w:spacing w:before="180"/>
              <w:ind w:left="180"/>
            </w:pPr>
            <w:r>
              <w:rPr>
                <w:rFonts w:hint="eastAsia" w:ascii="Times New Roman Bold" w:hAnsi="Times New Roman Bold" w:eastAsia="Times New Roman Bold" w:cs="Times New Roman Bold"/>
                <w:b/>
                <w:sz w:val="21"/>
              </w:rPr>
              <w:t>162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670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23</w:t>
            </w:r>
          </w:p>
        </w:tc>
        <w:tc>
          <w:tcPr>
            <w:tcW w:w="1140" w:type="dxa"/>
            <w:tcMar>
              <w:top w:w="0" w:type="dxa"/>
              <w:left w:w="0" w:type="dxa"/>
              <w:bottom w:w="0" w:type="dxa"/>
              <w:right w:w="0" w:type="dxa"/>
            </w:tcMar>
          </w:tcPr>
          <w:p>
            <w:pPr>
              <w:spacing w:before="180"/>
              <w:ind w:left="28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60" w:type="dxa"/>
            <w:tcMar>
              <w:top w:w="0" w:type="dxa"/>
              <w:left w:w="0" w:type="dxa"/>
              <w:bottom w:w="0" w:type="dxa"/>
              <w:right w:w="0" w:type="dxa"/>
            </w:tcMar>
          </w:tcPr>
          <w:p>
            <w:pPr>
              <w:spacing w:before="180"/>
              <w:ind w:left="180"/>
            </w:pPr>
            <w:r>
              <w:rPr>
                <w:rFonts w:hint="eastAsia" w:ascii="Times New Roman Bold" w:hAnsi="Times New Roman Bold" w:eastAsia="Times New Roman Bold" w:cs="Times New Roman Bold"/>
                <w:b/>
                <w:sz w:val="21"/>
              </w:rPr>
              <w:t>149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880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055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88</w:t>
            </w:r>
          </w:p>
        </w:tc>
        <w:tc>
          <w:tcPr>
            <w:tcW w:w="980" w:type="dxa"/>
            <w:tcMar>
              <w:top w:w="0" w:type="dxa"/>
              <w:left w:w="0" w:type="dxa"/>
              <w:bottom w:w="0" w:type="dxa"/>
              <w:right w:w="0" w:type="dxa"/>
            </w:tcMar>
          </w:tcPr>
          <w:p>
            <w:pPr>
              <w:spacing w:before="180"/>
              <w:ind w:left="12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1580" w:type="dxa"/>
            <w:tcMar>
              <w:top w:w="0" w:type="dxa"/>
              <w:left w:w="0" w:type="dxa"/>
              <w:bottom w:w="0" w:type="dxa"/>
              <w:right w:w="0" w:type="dxa"/>
            </w:tcMar>
          </w:tcPr>
          <w:p>
            <w:pPr>
              <w:spacing w:before="180"/>
              <w:ind w:left="180"/>
            </w:pPr>
            <w:r>
              <w:rPr>
                <w:rFonts w:hint="eastAsia" w:ascii="Times New Roman Bold" w:hAnsi="Times New Roman Bold" w:eastAsia="Times New Roman Bold" w:cs="Times New Roman Bold"/>
                <w:b/>
                <w:sz w:val="21"/>
              </w:rPr>
              <w:t>128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372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873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61</w:t>
            </w:r>
          </w:p>
        </w:tc>
        <w:tc>
          <w:tcPr>
            <w:tcW w:w="102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随着公司技术水平的提高</w:t>
      </w:r>
      <w:r>
        <w:rPr>
          <w:rFonts w:hint="eastAsia" w:ascii="宋体" w:hAnsi="宋体" w:eastAsia="宋体" w:cs="宋体"/>
          <w:sz w:val="10"/>
        </w:rPr>
        <w:t>、</w:t>
      </w:r>
      <w:r>
        <w:rPr>
          <w:rFonts w:hint="eastAsia" w:ascii="宋体" w:hAnsi="宋体" w:eastAsia="宋体" w:cs="宋体"/>
          <w:sz w:val="24"/>
        </w:rPr>
        <w:t>产品的日益成熟以及经营规模的不断扩大</w:t>
      </w:r>
      <w:r>
        <w:rPr>
          <w:rFonts w:hint="eastAsia" w:ascii="宋体" w:hAnsi="宋体" w:eastAsia="宋体" w:cs="宋体"/>
          <w:sz w:val="10"/>
        </w:rPr>
        <w:t>，</w:t>
      </w:r>
      <w:r>
        <w:rPr>
          <w:rFonts w:hint="eastAsia" w:ascii="宋体" w:hAnsi="宋体" w:eastAsia="宋体" w:cs="宋体"/>
          <w:sz w:val="24"/>
        </w:rPr>
        <w:t>公司毛利呈现逐年平稳增长趋势</w:t>
      </w:r>
      <w:r>
        <w:rPr>
          <w:rFonts w:hint="eastAsia" w:ascii="宋体" w:hAnsi="宋体" w:eastAsia="宋体" w:cs="宋体"/>
          <w:sz w:val="10"/>
        </w:rPr>
        <w:t>，</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年比</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年增长</w:t>
      </w:r>
      <w:r>
        <w:rPr>
          <w:rFonts w:hint="eastAsia" w:ascii="Times New Roman" w:hAnsi="Times New Roman" w:eastAsia="Times New Roman" w:cs="Times New Roman"/>
          <w:sz w:val="24"/>
        </w:rPr>
        <w:t xml:space="preserve"> 16.75%</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年比</w:t>
      </w:r>
      <w:r>
        <w:rPr>
          <w:rFonts w:hint="eastAsia" w:ascii="Times New Roman" w:hAnsi="Times New Roman" w:eastAsia="Times New Roman" w:cs="Times New Roman"/>
          <w:sz w:val="24"/>
        </w:rPr>
        <w:t xml:space="preserve"> 2015</w:t>
      </w:r>
      <w:r>
        <w:rPr>
          <w:rFonts w:hint="eastAsia" w:ascii="宋体" w:hAnsi="宋体" w:eastAsia="宋体" w:cs="宋体"/>
          <w:sz w:val="24"/>
        </w:rPr>
        <w:t>年增长</w:t>
      </w:r>
      <w:r>
        <w:rPr>
          <w:rFonts w:hint="eastAsia" w:ascii="Times New Roman" w:hAnsi="Times New Roman" w:eastAsia="Times New Roman" w:cs="Times New Roman"/>
          <w:sz w:val="24"/>
        </w:rPr>
        <w:t xml:space="preserve"> 8.53%</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定制软件业务是发行人高附加值的核心业务</w:t>
      </w:r>
      <w:r>
        <w:rPr>
          <w:rFonts w:hint="eastAsia" w:ascii="宋体" w:hAnsi="宋体" w:eastAsia="宋体" w:cs="宋体"/>
          <w:sz w:val="10"/>
        </w:rPr>
        <w:t>，</w:t>
      </w:r>
      <w:r>
        <w:rPr>
          <w:rFonts w:hint="eastAsia" w:ascii="宋体" w:hAnsi="宋体" w:eastAsia="宋体" w:cs="宋体"/>
          <w:sz w:val="24"/>
        </w:rPr>
        <w:t>是公司毛利的主要来源</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定制软件业务毛利贡献率分别为</w:t>
      </w:r>
      <w:r>
        <w:rPr>
          <w:rFonts w:hint="eastAsia" w:ascii="Times New Roman" w:hAnsi="Times New Roman" w:eastAsia="Times New Roman" w:cs="Times New Roman"/>
          <w:sz w:val="24"/>
        </w:rPr>
        <w:t xml:space="preserve"> 68.34%</w:t>
      </w:r>
      <w:r>
        <w:rPr>
          <w:rFonts w:hint="eastAsia" w:ascii="宋体" w:hAnsi="宋体" w:eastAsia="宋体" w:cs="宋体"/>
          <w:sz w:val="10"/>
        </w:rPr>
        <w:t>、</w:t>
      </w:r>
      <w:r>
        <w:rPr>
          <w:rFonts w:hint="eastAsia" w:ascii="Times New Roman" w:hAnsi="Times New Roman" w:eastAsia="Times New Roman" w:cs="Times New Roman"/>
          <w:sz w:val="24"/>
        </w:rPr>
        <w:t>60.85%</w:t>
      </w:r>
      <w:r>
        <w:rPr>
          <w:rFonts w:hint="eastAsia" w:ascii="宋体" w:hAnsi="宋体" w:eastAsia="宋体" w:cs="宋体"/>
          <w:sz w:val="24"/>
        </w:rPr>
        <w:t>和</w:t>
      </w:r>
      <w:r>
        <w:rPr>
          <w:rFonts w:hint="eastAsia" w:ascii="Times New Roman" w:hAnsi="Times New Roman" w:eastAsia="Times New Roman" w:cs="Times New Roman"/>
          <w:sz w:val="24"/>
        </w:rPr>
        <w:t xml:space="preserve"> 63.18 %</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产品化软件业务的毛利贡献率分别为</w:t>
      </w:r>
      <w:r>
        <w:rPr>
          <w:rFonts w:hint="eastAsia" w:ascii="Times New Roman" w:hAnsi="Times New Roman" w:eastAsia="Times New Roman" w:cs="Times New Roman"/>
          <w:sz w:val="24"/>
        </w:rPr>
        <w:t xml:space="preserve"> 11.77%</w:t>
      </w:r>
      <w:r>
        <w:rPr>
          <w:rFonts w:hint="eastAsia" w:ascii="宋体" w:hAnsi="宋体" w:eastAsia="宋体" w:cs="宋体"/>
          <w:sz w:val="10"/>
        </w:rPr>
        <w:t>、</w:t>
      </w:r>
      <w:r>
        <w:rPr>
          <w:rFonts w:hint="eastAsia" w:ascii="Times New Roman" w:hAnsi="Times New Roman" w:eastAsia="Times New Roman" w:cs="Times New Roman"/>
          <w:sz w:val="24"/>
        </w:rPr>
        <w:t>15.38%</w:t>
      </w:r>
      <w:r>
        <w:rPr>
          <w:rFonts w:hint="eastAsia" w:ascii="宋体" w:hAnsi="宋体" w:eastAsia="宋体" w:cs="宋体"/>
          <w:sz w:val="24"/>
        </w:rPr>
        <w:t>和</w:t>
      </w:r>
      <w:r>
        <w:rPr>
          <w:rFonts w:hint="eastAsia" w:ascii="Times New Roman" w:hAnsi="Times New Roman" w:eastAsia="Times New Roman" w:cs="Times New Roman"/>
          <w:sz w:val="24"/>
        </w:rPr>
        <w:t>16.68%</w:t>
      </w:r>
      <w:r>
        <w:rPr>
          <w:rFonts w:hint="eastAsia" w:ascii="宋体" w:hAnsi="宋体" w:eastAsia="宋体" w:cs="宋体"/>
          <w:sz w:val="10"/>
        </w:rPr>
        <w:t>，</w:t>
      </w:r>
      <w:r>
        <w:rPr>
          <w:rFonts w:hint="eastAsia" w:ascii="宋体" w:hAnsi="宋体" w:eastAsia="宋体" w:cs="宋体"/>
          <w:sz w:val="24"/>
        </w:rPr>
        <w:t>运维服务业务的毛利贡献率分别为</w:t>
      </w:r>
      <w:r>
        <w:rPr>
          <w:rFonts w:hint="eastAsia" w:ascii="Times New Roman" w:hAnsi="Times New Roman" w:eastAsia="Times New Roman" w:cs="Times New Roman"/>
          <w:sz w:val="24"/>
        </w:rPr>
        <w:t xml:space="preserve"> 18.42%</w:t>
      </w:r>
      <w:r>
        <w:rPr>
          <w:rFonts w:hint="eastAsia" w:ascii="宋体" w:hAnsi="宋体" w:eastAsia="宋体" w:cs="宋体"/>
          <w:sz w:val="10"/>
        </w:rPr>
        <w:t>、</w:t>
      </w:r>
      <w:r>
        <w:rPr>
          <w:rFonts w:hint="eastAsia" w:ascii="Times New Roman" w:hAnsi="Times New Roman" w:eastAsia="Times New Roman" w:cs="Times New Roman"/>
          <w:sz w:val="24"/>
        </w:rPr>
        <w:t>20.12%</w:t>
      </w:r>
      <w:r>
        <w:rPr>
          <w:rFonts w:hint="eastAsia" w:ascii="宋体" w:hAnsi="宋体" w:eastAsia="宋体" w:cs="宋体"/>
          <w:sz w:val="24"/>
        </w:rPr>
        <w:t>和</w:t>
      </w:r>
      <w:r>
        <w:rPr>
          <w:rFonts w:hint="eastAsia" w:ascii="Times New Roman" w:hAnsi="Times New Roman" w:eastAsia="Times New Roman" w:cs="Times New Roman"/>
          <w:sz w:val="24"/>
        </w:rPr>
        <w:t xml:space="preserve"> 19.56 %</w:t>
      </w:r>
      <w:r>
        <w:rPr>
          <w:rFonts w:hint="eastAsia" w:ascii="宋体" w:hAnsi="宋体" w:eastAsia="宋体" w:cs="宋体"/>
          <w:sz w:val="10"/>
        </w:rPr>
        <w:t>，</w:t>
      </w:r>
      <w:r>
        <w:rPr>
          <w:rFonts w:hint="eastAsia" w:ascii="宋体" w:hAnsi="宋体" w:eastAsia="宋体" w:cs="宋体"/>
          <w:sz w:val="24"/>
        </w:rPr>
        <w:t>系统集成业务的毛利贡献率分别为</w:t>
      </w:r>
      <w:r>
        <w:rPr>
          <w:rFonts w:hint="eastAsia" w:ascii="Times New Roman" w:hAnsi="Times New Roman" w:eastAsia="Times New Roman" w:cs="Times New Roman"/>
          <w:sz w:val="24"/>
        </w:rPr>
        <w:t xml:space="preserve"> 1.47%</w:t>
      </w:r>
      <w:r>
        <w:rPr>
          <w:rFonts w:hint="eastAsia" w:ascii="宋体" w:hAnsi="宋体" w:eastAsia="宋体" w:cs="宋体"/>
          <w:sz w:val="10"/>
        </w:rPr>
        <w:t>、</w:t>
      </w:r>
      <w:r>
        <w:rPr>
          <w:rFonts w:hint="eastAsia" w:ascii="Times New Roman" w:hAnsi="Times New Roman" w:eastAsia="Times New Roman" w:cs="Times New Roman"/>
          <w:sz w:val="24"/>
        </w:rPr>
        <w:t>3.65%</w:t>
      </w:r>
      <w:r>
        <w:rPr>
          <w:rFonts w:hint="eastAsia" w:ascii="宋体" w:hAnsi="宋体" w:eastAsia="宋体" w:cs="宋体"/>
          <w:sz w:val="24"/>
        </w:rPr>
        <w:t>和</w:t>
      </w:r>
      <w:r>
        <w:rPr>
          <w:rFonts w:hint="eastAsia" w:ascii="Times New Roman" w:hAnsi="Times New Roman" w:eastAsia="Times New Roman" w:cs="Times New Roman"/>
          <w:sz w:val="24"/>
        </w:rPr>
        <w:t xml:space="preserve"> 0.57%</w:t>
      </w:r>
      <w:r>
        <w:rPr>
          <w:rFonts w:hint="eastAsia" w:ascii="宋体" w:hAnsi="宋体" w:eastAsia="宋体" w:cs="宋体"/>
          <w:sz w:val="10"/>
        </w:rPr>
        <w:t>，</w:t>
      </w:r>
      <w:r>
        <w:rPr>
          <w:rFonts w:hint="eastAsia" w:ascii="宋体" w:hAnsi="宋体" w:eastAsia="宋体" w:cs="宋体"/>
          <w:sz w:val="24"/>
        </w:rPr>
        <w:t>体现了公司经营战略和方向的选择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毛利率变动情况分析</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公司综合毛利率分别为</w:t>
      </w:r>
      <w:r>
        <w:rPr>
          <w:rFonts w:hint="eastAsia" w:ascii="Times New Roman" w:hAnsi="Times New Roman" w:eastAsia="Times New Roman" w:cs="Times New Roman"/>
          <w:sz w:val="24"/>
        </w:rPr>
        <w:t xml:space="preserve"> 78.98%</w:t>
      </w:r>
      <w:r>
        <w:rPr>
          <w:rFonts w:hint="eastAsia" w:ascii="宋体" w:hAnsi="宋体" w:eastAsia="宋体" w:cs="宋体"/>
          <w:sz w:val="10"/>
        </w:rPr>
        <w:t>、</w:t>
      </w:r>
      <w:r>
        <w:rPr>
          <w:rFonts w:hint="eastAsia" w:ascii="Times New Roman" w:hAnsi="Times New Roman" w:eastAsia="Times New Roman" w:cs="Times New Roman"/>
          <w:sz w:val="24"/>
        </w:rPr>
        <w:t>76.81%</w:t>
      </w:r>
      <w:r>
        <w:rPr>
          <w:rFonts w:hint="eastAsia" w:ascii="宋体" w:hAnsi="宋体" w:eastAsia="宋体" w:cs="宋体"/>
          <w:sz w:val="24"/>
        </w:rPr>
        <w:t>和</w:t>
      </w:r>
      <w:r>
        <w:rPr>
          <w:rFonts w:hint="eastAsia" w:ascii="Times New Roman" w:hAnsi="Times New Roman" w:eastAsia="Times New Roman" w:cs="Times New Roman"/>
          <w:sz w:val="24"/>
        </w:rPr>
        <w:t>79.47%</w:t>
      </w:r>
      <w:r>
        <w:rPr>
          <w:rFonts w:hint="eastAsia" w:ascii="宋体" w:hAnsi="宋体" w:eastAsia="宋体" w:cs="宋体"/>
          <w:sz w:val="10"/>
        </w:rPr>
        <w:t>。</w:t>
      </w:r>
      <w:r>
        <w:rPr>
          <w:rFonts w:hint="eastAsia" w:ascii="宋体" w:hAnsi="宋体" w:eastAsia="宋体" w:cs="宋体"/>
          <w:sz w:val="24"/>
        </w:rPr>
        <w:t>公司定制软件</w:t>
      </w:r>
      <w:r>
        <w:rPr>
          <w:rFonts w:hint="eastAsia" w:ascii="宋体" w:hAnsi="宋体" w:eastAsia="宋体" w:cs="宋体"/>
          <w:sz w:val="10"/>
        </w:rPr>
        <w:t>、</w:t>
      </w:r>
      <w:r>
        <w:rPr>
          <w:rFonts w:hint="eastAsia" w:ascii="宋体" w:hAnsi="宋体" w:eastAsia="宋体" w:cs="宋体"/>
          <w:sz w:val="24"/>
        </w:rPr>
        <w:t>产品化软件</w:t>
      </w:r>
      <w:r>
        <w:rPr>
          <w:rFonts w:hint="eastAsia" w:ascii="宋体" w:hAnsi="宋体" w:eastAsia="宋体" w:cs="宋体"/>
          <w:sz w:val="10"/>
        </w:rPr>
        <w:t>、</w:t>
      </w:r>
      <w:r>
        <w:rPr>
          <w:rFonts w:hint="eastAsia" w:ascii="宋体" w:hAnsi="宋体" w:eastAsia="宋体" w:cs="宋体"/>
          <w:sz w:val="24"/>
        </w:rPr>
        <w:t>运维服务和系统集成四类业务之间的毛利率存在一定的差距</w:t>
      </w:r>
      <w:r>
        <w:rPr>
          <w:rFonts w:hint="eastAsia" w:ascii="宋体" w:hAnsi="宋体" w:eastAsia="宋体" w:cs="宋体"/>
          <w:sz w:val="10"/>
        </w:rPr>
        <w:t>，</w:t>
      </w:r>
      <w:r>
        <w:rPr>
          <w:rFonts w:hint="eastAsia" w:ascii="宋体" w:hAnsi="宋体" w:eastAsia="宋体" w:cs="宋体"/>
          <w:sz w:val="24"/>
        </w:rPr>
        <w:t>因此公司综合毛利率的变动会受到各年度间这四类业务收入结构变化的影响</w:t>
      </w:r>
      <w:r>
        <w:rPr>
          <w:rFonts w:hint="eastAsia" w:ascii="宋体" w:hAnsi="宋体" w:eastAsia="宋体" w:cs="宋体"/>
          <w:sz w:val="12"/>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不同业务类别毛利率的变化也会引起公司综合毛利率的变动</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公司的综合毛利率变化及各项业务对公司毛利率贡献率情况如下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1-1-286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760" w:type="auto"/>
        <w:tblInd w:w="10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60"/>
        <w:gridCol w:w="1100"/>
        <w:gridCol w:w="1000"/>
        <w:gridCol w:w="900"/>
        <w:gridCol w:w="980"/>
        <w:gridCol w:w="1000"/>
        <w:gridCol w:w="900"/>
        <w:gridCol w:w="960"/>
        <w:gridCol w:w="1020"/>
        <w:gridCol w:w="920"/>
      </w:tblGrid>
      <w:tr>
        <w:trPr>
          <w:trHeight w:val="480" w:hRule="exact"/>
        </w:trPr>
        <w:tc>
          <w:tcPr>
            <w:tcW w:w="960" w:type="dxa"/>
            <w:vMerge w:val="restart"/>
            <w:tcMar>
              <w:top w:w="0" w:type="dxa"/>
              <w:left w:w="0" w:type="dxa"/>
              <w:bottom w:w="0" w:type="dxa"/>
              <w:right w:w="0" w:type="dxa"/>
            </w:tcMar>
          </w:tcPr>
          <w:p>
            <w:pPr>
              <w:spacing w:before="440"/>
              <w:ind w:left="240"/>
            </w:pPr>
            <w:r>
              <w:rPr>
                <w:rFonts w:hint="eastAsia" w:ascii="宋体" w:hAnsi="宋体" w:eastAsia="宋体" w:cs="宋体"/>
                <w:b/>
                <w:sz w:val="21"/>
              </w:rPr>
              <w:t>项目</w:t>
            </w:r>
          </w:p>
        </w:tc>
        <w:tc>
          <w:tcPr>
            <w:tcW w:w="3000" w:type="dxa"/>
            <w:gridSpan w:val="3"/>
            <w:tcMar>
              <w:top w:w="0" w:type="dxa"/>
              <w:left w:w="0" w:type="dxa"/>
              <w:bottom w:w="0" w:type="dxa"/>
              <w:right w:w="0" w:type="dxa"/>
            </w:tcMar>
          </w:tcPr>
          <w:p>
            <w:pPr>
              <w:spacing w:before="100"/>
              <w:ind w:left="104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880" w:type="dxa"/>
            <w:gridSpan w:val="3"/>
            <w:tcMar>
              <w:top w:w="0" w:type="dxa"/>
              <w:left w:w="0" w:type="dxa"/>
              <w:bottom w:w="0" w:type="dxa"/>
              <w:right w:w="0" w:type="dxa"/>
            </w:tcMar>
          </w:tcPr>
          <w:p>
            <w:pPr>
              <w:spacing w:before="100"/>
              <w:ind w:left="9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900" w:type="dxa"/>
            <w:gridSpan w:val="3"/>
            <w:tcMar>
              <w:top w:w="0" w:type="dxa"/>
              <w:left w:w="0" w:type="dxa"/>
              <w:bottom w:w="0" w:type="dxa"/>
              <w:right w:w="0" w:type="dxa"/>
            </w:tcMar>
          </w:tcPr>
          <w:p>
            <w:pPr>
              <w:spacing w:before="100"/>
              <w:ind w:left="98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40" w:hRule="exact"/>
        </w:trPr>
        <w:tc>
          <w:tcPr>
            <w:tcW w:w="960" w:type="dxa"/>
            <w:vMerge w:val="continue"/>
            <w:tcMar>
              <w:top w:w="0" w:type="dxa"/>
              <w:left w:w="0" w:type="dxa"/>
              <w:bottom w:w="0" w:type="dxa"/>
              <w:right w:w="0" w:type="dxa"/>
            </w:tcMar>
          </w:tcPr>
          <w:p/>
        </w:tc>
        <w:tc>
          <w:tcPr>
            <w:tcW w:w="1100" w:type="dxa"/>
            <w:tcMar>
              <w:top w:w="0" w:type="dxa"/>
              <w:left w:w="0" w:type="dxa"/>
              <w:bottom w:w="0" w:type="dxa"/>
              <w:right w:w="0" w:type="dxa"/>
            </w:tcMar>
          </w:tcPr>
          <w:p>
            <w:pPr>
              <w:spacing w:before="200"/>
              <w:ind w:left="220"/>
            </w:pPr>
            <w:r>
              <w:rPr>
                <w:rFonts w:hint="eastAsia" w:ascii="宋体" w:hAnsi="宋体" w:eastAsia="宋体" w:cs="宋体"/>
                <w:b/>
                <w:sz w:val="21"/>
              </w:rPr>
              <w:t>毛利率</w:t>
            </w:r>
          </w:p>
        </w:tc>
        <w:tc>
          <w:tcPr>
            <w:tcW w:w="1000" w:type="dxa"/>
            <w:tcMar>
              <w:top w:w="0" w:type="dxa"/>
              <w:left w:w="0" w:type="dxa"/>
              <w:bottom w:w="0" w:type="dxa"/>
              <w:right w:w="0" w:type="dxa"/>
            </w:tcMar>
          </w:tcPr>
          <w:p>
            <w:pPr>
              <w:spacing w:before="20"/>
              <w:ind w:left="180"/>
            </w:pPr>
            <w:r>
              <w:rPr>
                <w:rFonts w:hint="eastAsia" w:ascii="宋体" w:hAnsi="宋体" w:eastAsia="宋体" w:cs="宋体"/>
                <w:b/>
                <w:sz w:val="21"/>
              </w:rPr>
              <w:t>收入贡</w:t>
            </w:r>
          </w:p>
          <w:p>
            <w:pPr>
              <w:spacing w:before="100"/>
              <w:ind w:left="280"/>
            </w:pPr>
            <w:r>
              <w:rPr>
                <w:rFonts w:hint="eastAsia" w:ascii="宋体" w:hAnsi="宋体" w:eastAsia="宋体" w:cs="宋体"/>
                <w:b/>
                <w:sz w:val="21"/>
              </w:rPr>
              <w:t>献率</w:t>
            </w:r>
          </w:p>
        </w:tc>
        <w:tc>
          <w:tcPr>
            <w:tcW w:w="900" w:type="dxa"/>
            <w:tcMar>
              <w:top w:w="0" w:type="dxa"/>
              <w:left w:w="0" w:type="dxa"/>
              <w:bottom w:w="0" w:type="dxa"/>
              <w:right w:w="0" w:type="dxa"/>
            </w:tcMar>
          </w:tcPr>
          <w:p>
            <w:pPr>
              <w:spacing w:before="20"/>
              <w:ind w:left="120"/>
            </w:pPr>
            <w:r>
              <w:rPr>
                <w:rFonts w:hint="eastAsia" w:ascii="宋体" w:hAnsi="宋体" w:eastAsia="宋体" w:cs="宋体"/>
                <w:b/>
                <w:sz w:val="21"/>
              </w:rPr>
              <w:t>毛利率</w:t>
            </w:r>
          </w:p>
          <w:p>
            <w:pPr>
              <w:spacing w:before="100"/>
              <w:ind w:left="120"/>
            </w:pPr>
            <w:r>
              <w:rPr>
                <w:rFonts w:hint="eastAsia" w:ascii="宋体" w:hAnsi="宋体" w:eastAsia="宋体" w:cs="宋体"/>
                <w:b/>
                <w:sz w:val="21"/>
              </w:rPr>
              <w:t>贡献率</w:t>
            </w:r>
          </w:p>
        </w:tc>
        <w:tc>
          <w:tcPr>
            <w:tcW w:w="980" w:type="dxa"/>
            <w:tcMar>
              <w:top w:w="0" w:type="dxa"/>
              <w:left w:w="0" w:type="dxa"/>
              <w:bottom w:w="0" w:type="dxa"/>
              <w:right w:w="0" w:type="dxa"/>
            </w:tcMar>
          </w:tcPr>
          <w:p>
            <w:pPr>
              <w:spacing w:before="200"/>
              <w:ind w:left="160"/>
            </w:pPr>
            <w:r>
              <w:rPr>
                <w:rFonts w:hint="eastAsia" w:ascii="宋体" w:hAnsi="宋体" w:eastAsia="宋体" w:cs="宋体"/>
                <w:b/>
                <w:sz w:val="21"/>
              </w:rPr>
              <w:t>毛利率</w:t>
            </w:r>
          </w:p>
        </w:tc>
        <w:tc>
          <w:tcPr>
            <w:tcW w:w="1000" w:type="dxa"/>
            <w:tcMar>
              <w:top w:w="0" w:type="dxa"/>
              <w:left w:w="0" w:type="dxa"/>
              <w:bottom w:w="0" w:type="dxa"/>
              <w:right w:w="0" w:type="dxa"/>
            </w:tcMar>
          </w:tcPr>
          <w:p>
            <w:pPr>
              <w:spacing w:before="20"/>
              <w:ind w:left="160"/>
            </w:pPr>
            <w:r>
              <w:rPr>
                <w:rFonts w:hint="eastAsia" w:ascii="宋体" w:hAnsi="宋体" w:eastAsia="宋体" w:cs="宋体"/>
                <w:b/>
                <w:sz w:val="21"/>
              </w:rPr>
              <w:t>收入贡</w:t>
            </w:r>
          </w:p>
          <w:p>
            <w:pPr>
              <w:spacing w:before="100"/>
              <w:ind w:left="280"/>
            </w:pPr>
            <w:r>
              <w:rPr>
                <w:rFonts w:hint="eastAsia" w:ascii="宋体" w:hAnsi="宋体" w:eastAsia="宋体" w:cs="宋体"/>
                <w:b/>
                <w:sz w:val="21"/>
              </w:rPr>
              <w:t>献率</w:t>
            </w:r>
          </w:p>
        </w:tc>
        <w:tc>
          <w:tcPr>
            <w:tcW w:w="900" w:type="dxa"/>
            <w:tcMar>
              <w:top w:w="0" w:type="dxa"/>
              <w:left w:w="0" w:type="dxa"/>
              <w:bottom w:w="0" w:type="dxa"/>
              <w:right w:w="0" w:type="dxa"/>
            </w:tcMar>
          </w:tcPr>
          <w:p>
            <w:pPr>
              <w:spacing w:before="20"/>
              <w:ind w:left="120"/>
            </w:pPr>
            <w:r>
              <w:rPr>
                <w:rFonts w:hint="eastAsia" w:ascii="宋体" w:hAnsi="宋体" w:eastAsia="宋体" w:cs="宋体"/>
                <w:b/>
                <w:sz w:val="21"/>
              </w:rPr>
              <w:t>毛利率</w:t>
            </w:r>
          </w:p>
          <w:p>
            <w:pPr>
              <w:spacing w:before="100"/>
              <w:ind w:left="120"/>
            </w:pPr>
            <w:r>
              <w:rPr>
                <w:rFonts w:hint="eastAsia" w:ascii="宋体" w:hAnsi="宋体" w:eastAsia="宋体" w:cs="宋体"/>
                <w:b/>
                <w:sz w:val="21"/>
              </w:rPr>
              <w:t>贡献率</w:t>
            </w:r>
          </w:p>
        </w:tc>
        <w:tc>
          <w:tcPr>
            <w:tcW w:w="960" w:type="dxa"/>
            <w:tcMar>
              <w:top w:w="0" w:type="dxa"/>
              <w:left w:w="0" w:type="dxa"/>
              <w:bottom w:w="0" w:type="dxa"/>
              <w:right w:w="0" w:type="dxa"/>
            </w:tcMar>
          </w:tcPr>
          <w:p>
            <w:pPr>
              <w:spacing w:before="200"/>
              <w:ind w:left="160"/>
            </w:pPr>
            <w:r>
              <w:rPr>
                <w:rFonts w:hint="eastAsia" w:ascii="宋体" w:hAnsi="宋体" w:eastAsia="宋体" w:cs="宋体"/>
                <w:b/>
                <w:sz w:val="21"/>
              </w:rPr>
              <w:t>毛利率</w:t>
            </w:r>
          </w:p>
        </w:tc>
        <w:tc>
          <w:tcPr>
            <w:tcW w:w="1020" w:type="dxa"/>
            <w:tcMar>
              <w:top w:w="0" w:type="dxa"/>
              <w:left w:w="0" w:type="dxa"/>
              <w:bottom w:w="0" w:type="dxa"/>
              <w:right w:w="0" w:type="dxa"/>
            </w:tcMar>
          </w:tcPr>
          <w:p>
            <w:pPr>
              <w:spacing w:before="20"/>
              <w:ind w:left="180"/>
            </w:pPr>
            <w:r>
              <w:rPr>
                <w:rFonts w:hint="eastAsia" w:ascii="宋体" w:hAnsi="宋体" w:eastAsia="宋体" w:cs="宋体"/>
                <w:b/>
                <w:sz w:val="21"/>
              </w:rPr>
              <w:t>收入贡</w:t>
            </w:r>
          </w:p>
          <w:p>
            <w:pPr>
              <w:spacing w:before="100"/>
              <w:ind w:left="280"/>
            </w:pPr>
            <w:r>
              <w:rPr>
                <w:rFonts w:hint="eastAsia" w:ascii="宋体" w:hAnsi="宋体" w:eastAsia="宋体" w:cs="宋体"/>
                <w:b/>
                <w:sz w:val="21"/>
              </w:rPr>
              <w:t>献率</w:t>
            </w:r>
          </w:p>
        </w:tc>
        <w:tc>
          <w:tcPr>
            <w:tcW w:w="920" w:type="dxa"/>
            <w:tcMar>
              <w:top w:w="0" w:type="dxa"/>
              <w:left w:w="0" w:type="dxa"/>
              <w:bottom w:w="0" w:type="dxa"/>
              <w:right w:w="0" w:type="dxa"/>
            </w:tcMar>
          </w:tcPr>
          <w:p>
            <w:pPr>
              <w:spacing w:before="20"/>
              <w:ind w:left="120"/>
            </w:pPr>
            <w:r>
              <w:rPr>
                <w:rFonts w:hint="eastAsia" w:ascii="宋体" w:hAnsi="宋体" w:eastAsia="宋体" w:cs="宋体"/>
                <w:b/>
                <w:sz w:val="21"/>
              </w:rPr>
              <w:t>毛利率</w:t>
            </w:r>
          </w:p>
          <w:p>
            <w:pPr>
              <w:spacing w:before="100"/>
              <w:ind w:left="120"/>
            </w:pPr>
            <w:r>
              <w:rPr>
                <w:rFonts w:hint="eastAsia" w:ascii="宋体" w:hAnsi="宋体" w:eastAsia="宋体" w:cs="宋体"/>
                <w:b/>
                <w:sz w:val="21"/>
              </w:rPr>
              <w:t>贡献率</w:t>
            </w:r>
          </w:p>
        </w:tc>
      </w:tr>
      <w:tr>
        <w:trPr>
          <w:trHeight w:val="540" w:hRule="exact"/>
        </w:trPr>
        <w:tc>
          <w:tcPr>
            <w:tcW w:w="960" w:type="dxa"/>
            <w:tcMar>
              <w:top w:w="0" w:type="dxa"/>
              <w:left w:w="0" w:type="dxa"/>
              <w:bottom w:w="0" w:type="dxa"/>
              <w:right w:w="0" w:type="dxa"/>
            </w:tcMar>
          </w:tcPr>
          <w:p>
            <w:pPr>
              <w:spacing w:before="0"/>
              <w:ind w:left="140"/>
            </w:pPr>
            <w:r>
              <w:rPr>
                <w:rFonts w:hint="eastAsia" w:ascii="宋体" w:hAnsi="宋体" w:eastAsia="宋体" w:cs="宋体"/>
                <w:sz w:val="21"/>
              </w:rPr>
              <w:t>定制软</w:t>
            </w:r>
          </w:p>
          <w:p>
            <w:pPr>
              <w:spacing w:before="60"/>
              <w:ind w:left="360"/>
            </w:pPr>
            <w:r>
              <w:rPr>
                <w:rFonts w:hint="eastAsia" w:ascii="宋体" w:hAnsi="宋体" w:eastAsia="宋体" w:cs="宋体"/>
                <w:sz w:val="21"/>
              </w:rPr>
              <w:t>件</w:t>
            </w:r>
          </w:p>
        </w:tc>
        <w:tc>
          <w:tcPr>
            <w:tcW w:w="1100" w:type="dxa"/>
            <w:tcMar>
              <w:top w:w="0" w:type="dxa"/>
              <w:left w:w="0" w:type="dxa"/>
              <w:bottom w:w="0" w:type="dxa"/>
              <w:right w:w="0" w:type="dxa"/>
            </w:tcMar>
          </w:tcPr>
          <w:p>
            <w:pPr>
              <w:spacing w:before="200"/>
              <w:ind w:left="340"/>
            </w:pPr>
            <w:r>
              <w:rPr>
                <w:rFonts w:hint="eastAsia" w:ascii="Times New Roman" w:hAnsi="Times New Roman" w:eastAsia="Times New Roman" w:cs="Times New Roman"/>
                <w:sz w:val="21"/>
              </w:rPr>
              <w:t>75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1000" w:type="dxa"/>
            <w:tcMar>
              <w:top w:w="0" w:type="dxa"/>
              <w:left w:w="0" w:type="dxa"/>
              <w:bottom w:w="0" w:type="dxa"/>
              <w:right w:w="0" w:type="dxa"/>
            </w:tcMar>
          </w:tcPr>
          <w:p>
            <w:pPr>
              <w:spacing w:before="200"/>
              <w:ind w:left="240"/>
            </w:pPr>
            <w:r>
              <w:rPr>
                <w:rFonts w:hint="eastAsia" w:ascii="Times New Roman" w:hAnsi="Times New Roman" w:eastAsia="Times New Roman" w:cs="Times New Roman"/>
                <w:sz w:val="21"/>
              </w:rPr>
              <w:t>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p>
        </w:tc>
        <w:tc>
          <w:tcPr>
            <w:tcW w:w="900" w:type="dxa"/>
            <w:tcMar>
              <w:top w:w="0" w:type="dxa"/>
              <w:left w:w="0" w:type="dxa"/>
              <w:bottom w:w="0" w:type="dxa"/>
              <w:right w:w="0" w:type="dxa"/>
            </w:tcMar>
          </w:tcPr>
          <w:p>
            <w:pPr>
              <w:spacing w:before="200"/>
              <w:ind w:left="14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r>
              <w:rPr>
                <w:rFonts w:hint="eastAsia" w:ascii="Times New Roman" w:hAnsi="Times New Roman" w:eastAsia="Times New Roman" w:cs="Times New Roman"/>
                <w:sz w:val="20"/>
              </w:rPr>
              <w:t>%</w:t>
            </w:r>
          </w:p>
        </w:tc>
        <w:tc>
          <w:tcPr>
            <w:tcW w:w="980" w:type="dxa"/>
            <w:tcMar>
              <w:top w:w="0" w:type="dxa"/>
              <w:left w:w="0" w:type="dxa"/>
              <w:bottom w:w="0" w:type="dxa"/>
              <w:right w:w="0" w:type="dxa"/>
            </w:tcMar>
          </w:tcPr>
          <w:p>
            <w:pPr>
              <w:spacing w:before="200"/>
              <w:ind w:left="200"/>
            </w:pP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w:t>
            </w:r>
            <w:r>
              <w:rPr>
                <w:rFonts w:hint="eastAsia" w:ascii="Times New Roman" w:hAnsi="Times New Roman" w:eastAsia="Times New Roman" w:cs="Times New Roman"/>
                <w:sz w:val="20"/>
              </w:rPr>
              <w:t>%</w:t>
            </w:r>
          </w:p>
        </w:tc>
        <w:tc>
          <w:tcPr>
            <w:tcW w:w="1000" w:type="dxa"/>
            <w:tcMar>
              <w:top w:w="0" w:type="dxa"/>
              <w:left w:w="0" w:type="dxa"/>
              <w:bottom w:w="0" w:type="dxa"/>
              <w:right w:w="0" w:type="dxa"/>
            </w:tcMar>
          </w:tcPr>
          <w:p>
            <w:pPr>
              <w:spacing w:before="200"/>
              <w:ind w:left="220"/>
            </w:pPr>
            <w:r>
              <w:rPr>
                <w:rFonts w:hint="eastAsia" w:ascii="Times New Roman" w:hAnsi="Times New Roman" w:eastAsia="Times New Roman" w:cs="Times New Roman"/>
                <w:sz w:val="21"/>
              </w:rPr>
              <w:t>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r>
              <w:rPr>
                <w:rFonts w:hint="eastAsia" w:ascii="Times New Roman" w:hAnsi="Times New Roman" w:eastAsia="Times New Roman" w:cs="Times New Roman"/>
                <w:sz w:val="20"/>
              </w:rPr>
              <w:t>%</w:t>
            </w:r>
          </w:p>
        </w:tc>
        <w:tc>
          <w:tcPr>
            <w:tcW w:w="900" w:type="dxa"/>
            <w:tcMar>
              <w:top w:w="0" w:type="dxa"/>
              <w:left w:w="0" w:type="dxa"/>
              <w:bottom w:w="0" w:type="dxa"/>
              <w:right w:w="0" w:type="dxa"/>
            </w:tcMar>
          </w:tcPr>
          <w:p>
            <w:pPr>
              <w:spacing w:before="200"/>
              <w:ind w:left="120"/>
            </w:pPr>
            <w:r>
              <w:rPr>
                <w:rFonts w:hint="eastAsia" w:ascii="Times New Roman" w:hAnsi="Times New Roman" w:eastAsia="Times New Roman" w:cs="Times New Roman"/>
                <w:sz w:val="21"/>
              </w:rPr>
              <w:t>46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c>
          <w:tcPr>
            <w:tcW w:w="960" w:type="dxa"/>
            <w:tcMar>
              <w:top w:w="0" w:type="dxa"/>
              <w:left w:w="0" w:type="dxa"/>
              <w:bottom w:w="0" w:type="dxa"/>
              <w:right w:w="0" w:type="dxa"/>
            </w:tcMar>
          </w:tcPr>
          <w:p>
            <w:pPr>
              <w:spacing w:before="200"/>
              <w:ind w:left="200"/>
            </w:pPr>
            <w:r>
              <w:rPr>
                <w:rFonts w:hint="eastAsia" w:ascii="Times New Roman" w:hAnsi="Times New Roman" w:eastAsia="Times New Roman" w:cs="Times New Roman"/>
                <w:sz w:val="21"/>
              </w:rPr>
              <w:t>77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r>
              <w:rPr>
                <w:rFonts w:hint="eastAsia" w:ascii="Times New Roman" w:hAnsi="Times New Roman" w:eastAsia="Times New Roman" w:cs="Times New Roman"/>
                <w:sz w:val="20"/>
              </w:rPr>
              <w:t>%</w:t>
            </w:r>
          </w:p>
        </w:tc>
        <w:tc>
          <w:tcPr>
            <w:tcW w:w="1020" w:type="dxa"/>
            <w:tcMar>
              <w:top w:w="0" w:type="dxa"/>
              <w:left w:w="0" w:type="dxa"/>
              <w:bottom w:w="0" w:type="dxa"/>
              <w:right w:w="0" w:type="dxa"/>
            </w:tcMar>
          </w:tcPr>
          <w:p>
            <w:pPr>
              <w:spacing w:before="200"/>
              <w:ind w:left="240"/>
            </w:pPr>
            <w:r>
              <w:rPr>
                <w:rFonts w:hint="eastAsia" w:ascii="Times New Roman" w:hAnsi="Times New Roman" w:eastAsia="Times New Roman" w:cs="Times New Roman"/>
                <w:sz w:val="21"/>
              </w:rPr>
              <w:t>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c>
          <w:tcPr>
            <w:tcW w:w="920" w:type="dxa"/>
            <w:tcMar>
              <w:top w:w="0" w:type="dxa"/>
              <w:left w:w="0" w:type="dxa"/>
              <w:bottom w:w="0" w:type="dxa"/>
              <w:right w:w="0" w:type="dxa"/>
            </w:tcMar>
          </w:tcPr>
          <w:p>
            <w:pPr>
              <w:spacing w:before="200"/>
              <w:ind w:left="160"/>
            </w:pPr>
            <w:r>
              <w:rPr>
                <w:rFonts w:hint="eastAsia" w:ascii="Times New Roman" w:hAnsi="Times New Roman" w:eastAsia="Times New Roman" w:cs="Times New Roman"/>
                <w:sz w:val="21"/>
              </w:rPr>
              <w:t>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r>
              <w:rPr>
                <w:rFonts w:hint="eastAsia" w:ascii="Times New Roman" w:hAnsi="Times New Roman" w:eastAsia="Times New Roman" w:cs="Times New Roman"/>
                <w:sz w:val="20"/>
              </w:rPr>
              <w:t>%</w:t>
            </w:r>
          </w:p>
        </w:tc>
      </w:tr>
      <w:tr>
        <w:trPr>
          <w:trHeight w:val="560" w:hRule="exact"/>
        </w:trPr>
        <w:tc>
          <w:tcPr>
            <w:tcW w:w="960" w:type="dxa"/>
            <w:tcMar>
              <w:top w:w="0" w:type="dxa"/>
              <w:left w:w="0" w:type="dxa"/>
              <w:bottom w:w="0" w:type="dxa"/>
              <w:right w:w="0" w:type="dxa"/>
            </w:tcMar>
          </w:tcPr>
          <w:p>
            <w:pPr>
              <w:spacing w:before="20"/>
              <w:ind w:left="140"/>
            </w:pPr>
            <w:r>
              <w:rPr>
                <w:rFonts w:hint="eastAsia" w:ascii="宋体" w:hAnsi="宋体" w:eastAsia="宋体" w:cs="宋体"/>
                <w:sz w:val="21"/>
              </w:rPr>
              <w:t>产品化</w:t>
            </w:r>
          </w:p>
          <w:p>
            <w:pPr>
              <w:spacing w:before="40"/>
              <w:ind w:left="260"/>
            </w:pPr>
            <w:r>
              <w:rPr>
                <w:rFonts w:hint="eastAsia" w:ascii="宋体" w:hAnsi="宋体" w:eastAsia="宋体" w:cs="宋体"/>
                <w:sz w:val="21"/>
              </w:rPr>
              <w:t>软件</w:t>
            </w:r>
          </w:p>
        </w:tc>
        <w:tc>
          <w:tcPr>
            <w:tcW w:w="1100" w:type="dxa"/>
            <w:tcMar>
              <w:top w:w="0" w:type="dxa"/>
              <w:left w:w="0" w:type="dxa"/>
              <w:bottom w:w="0" w:type="dxa"/>
              <w:right w:w="0" w:type="dxa"/>
            </w:tcMar>
          </w:tcPr>
          <w:p>
            <w:pPr>
              <w:spacing w:before="200"/>
              <w:ind w:left="22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000" w:type="dxa"/>
            <w:tcMar>
              <w:top w:w="0" w:type="dxa"/>
              <w:left w:w="0" w:type="dxa"/>
              <w:bottom w:w="0" w:type="dxa"/>
              <w:right w:w="0" w:type="dxa"/>
            </w:tcMar>
          </w:tcPr>
          <w:p>
            <w:pPr>
              <w:spacing w:before="200"/>
              <w:ind w:left="24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900" w:type="dxa"/>
            <w:tcMar>
              <w:top w:w="0" w:type="dxa"/>
              <w:left w:w="0" w:type="dxa"/>
              <w:bottom w:w="0" w:type="dxa"/>
              <w:right w:w="0" w:type="dxa"/>
            </w:tcMar>
          </w:tcPr>
          <w:p>
            <w:pPr>
              <w:spacing w:before="200"/>
              <w:ind w:left="140"/>
            </w:pP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26</w:t>
            </w:r>
            <w:r>
              <w:rPr>
                <w:rFonts w:hint="eastAsia" w:ascii="Times New Roman" w:hAnsi="Times New Roman" w:eastAsia="Times New Roman" w:cs="Times New Roman"/>
                <w:sz w:val="20"/>
              </w:rPr>
              <w:t>%</w:t>
            </w:r>
          </w:p>
        </w:tc>
        <w:tc>
          <w:tcPr>
            <w:tcW w:w="98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000" w:type="dxa"/>
            <w:tcMar>
              <w:top w:w="0" w:type="dxa"/>
              <w:left w:w="0" w:type="dxa"/>
              <w:bottom w:w="0" w:type="dxa"/>
              <w:right w:w="0" w:type="dxa"/>
            </w:tcMar>
          </w:tcPr>
          <w:p>
            <w:pPr>
              <w:spacing w:before="200"/>
              <w:ind w:left="2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900" w:type="dxa"/>
            <w:tcMar>
              <w:top w:w="0" w:type="dxa"/>
              <w:left w:w="0" w:type="dxa"/>
              <w:bottom w:w="0" w:type="dxa"/>
              <w:right w:w="0" w:type="dxa"/>
            </w:tcMar>
          </w:tcPr>
          <w:p>
            <w:pPr>
              <w:spacing w:before="200"/>
              <w:ind w:left="1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960" w:type="dxa"/>
            <w:tcMar>
              <w:top w:w="0" w:type="dxa"/>
              <w:left w:w="0" w:type="dxa"/>
              <w:bottom w:w="0" w:type="dxa"/>
              <w:right w:w="0" w:type="dxa"/>
            </w:tcMar>
          </w:tcPr>
          <w:p>
            <w:pPr>
              <w:spacing w:before="200"/>
              <w:ind w:left="10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020" w:type="dxa"/>
            <w:tcMar>
              <w:top w:w="0" w:type="dxa"/>
              <w:left w:w="0" w:type="dxa"/>
              <w:bottom w:w="0" w:type="dxa"/>
              <w:right w:w="0" w:type="dxa"/>
            </w:tcMar>
          </w:tcPr>
          <w:p>
            <w:pPr>
              <w:spacing w:before="200"/>
              <w:ind w:left="34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p>
        </w:tc>
        <w:tc>
          <w:tcPr>
            <w:tcW w:w="920" w:type="dxa"/>
            <w:tcMar>
              <w:top w:w="0" w:type="dxa"/>
              <w:left w:w="0" w:type="dxa"/>
              <w:bottom w:w="0" w:type="dxa"/>
              <w:right w:w="0" w:type="dxa"/>
            </w:tcMar>
          </w:tcPr>
          <w:p>
            <w:pPr>
              <w:spacing w:before="200"/>
              <w:ind w:left="26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w:t>
            </w:r>
            <w:r>
              <w:rPr>
                <w:rFonts w:hint="eastAsia" w:ascii="Times New Roman" w:hAnsi="Times New Roman" w:eastAsia="Times New Roman" w:cs="Times New Roman"/>
                <w:sz w:val="20"/>
              </w:rPr>
              <w:t>%</w:t>
            </w:r>
          </w:p>
        </w:tc>
      </w:tr>
      <w:tr>
        <w:trPr>
          <w:trHeight w:val="560" w:hRule="exact"/>
        </w:trPr>
        <w:tc>
          <w:tcPr>
            <w:tcW w:w="960" w:type="dxa"/>
            <w:tcMar>
              <w:top w:w="0" w:type="dxa"/>
              <w:left w:w="0" w:type="dxa"/>
              <w:bottom w:w="0" w:type="dxa"/>
              <w:right w:w="0" w:type="dxa"/>
            </w:tcMar>
          </w:tcPr>
          <w:p>
            <w:pPr>
              <w:spacing w:before="0"/>
              <w:ind w:left="140"/>
            </w:pPr>
            <w:r>
              <w:rPr>
                <w:rFonts w:hint="eastAsia" w:ascii="宋体" w:hAnsi="宋体" w:eastAsia="宋体" w:cs="宋体"/>
                <w:sz w:val="21"/>
              </w:rPr>
              <w:t>运维服</w:t>
            </w:r>
          </w:p>
          <w:p>
            <w:pPr>
              <w:spacing w:before="60"/>
              <w:ind w:left="360"/>
            </w:pPr>
            <w:r>
              <w:rPr>
                <w:rFonts w:hint="eastAsia" w:ascii="宋体" w:hAnsi="宋体" w:eastAsia="宋体" w:cs="宋体"/>
                <w:sz w:val="21"/>
              </w:rPr>
              <w:t>务</w:t>
            </w:r>
          </w:p>
        </w:tc>
        <w:tc>
          <w:tcPr>
            <w:tcW w:w="1100" w:type="dxa"/>
            <w:tcMar>
              <w:top w:w="0" w:type="dxa"/>
              <w:left w:w="0" w:type="dxa"/>
              <w:bottom w:w="0" w:type="dxa"/>
              <w:right w:w="0" w:type="dxa"/>
            </w:tcMar>
          </w:tcPr>
          <w:p>
            <w:pPr>
              <w:spacing w:before="180"/>
              <w:ind w:left="340"/>
            </w:pPr>
            <w:r>
              <w:rPr>
                <w:rFonts w:hint="eastAsia" w:ascii="Times New Roman" w:hAnsi="Times New Roman" w:eastAsia="Times New Roman" w:cs="Times New Roman"/>
                <w:sz w:val="21"/>
              </w:rPr>
              <w:t>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p>
        </w:tc>
        <w:tc>
          <w:tcPr>
            <w:tcW w:w="1000" w:type="dxa"/>
            <w:tcMar>
              <w:top w:w="0" w:type="dxa"/>
              <w:left w:w="0" w:type="dxa"/>
              <w:bottom w:w="0" w:type="dxa"/>
              <w:right w:w="0" w:type="dxa"/>
            </w:tcMar>
          </w:tcPr>
          <w:p>
            <w:pPr>
              <w:spacing w:before="180"/>
              <w:ind w:left="24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79</w:t>
            </w:r>
            <w:r>
              <w:rPr>
                <w:rFonts w:hint="eastAsia" w:ascii="Times New Roman" w:hAnsi="Times New Roman" w:eastAsia="Times New Roman" w:cs="Times New Roman"/>
                <w:sz w:val="20"/>
              </w:rPr>
              <w:t>%</w:t>
            </w:r>
          </w:p>
        </w:tc>
        <w:tc>
          <w:tcPr>
            <w:tcW w:w="900" w:type="dxa"/>
            <w:tcMar>
              <w:top w:w="0" w:type="dxa"/>
              <w:left w:w="0" w:type="dxa"/>
              <w:bottom w:w="0" w:type="dxa"/>
              <w:right w:w="0" w:type="dxa"/>
            </w:tcMar>
          </w:tcPr>
          <w:p>
            <w:pPr>
              <w:spacing w:before="180"/>
              <w:ind w:left="1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w:t>
            </w:r>
            <w:r>
              <w:rPr>
                <w:rFonts w:hint="eastAsia" w:ascii="Times New Roman" w:hAnsi="Times New Roman" w:eastAsia="Times New Roman" w:cs="Times New Roman"/>
                <w:sz w:val="20"/>
              </w:rPr>
              <w:t>%</w:t>
            </w:r>
          </w:p>
        </w:tc>
        <w:tc>
          <w:tcPr>
            <w:tcW w:w="980" w:type="dxa"/>
            <w:tcMar>
              <w:top w:w="0" w:type="dxa"/>
              <w:left w:w="0" w:type="dxa"/>
              <w:bottom w:w="0" w:type="dxa"/>
              <w:right w:w="0" w:type="dxa"/>
            </w:tcMar>
          </w:tcPr>
          <w:p>
            <w:pPr>
              <w:spacing w:before="180"/>
              <w:ind w:left="200"/>
            </w:pP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p>
        </w:tc>
        <w:tc>
          <w:tcPr>
            <w:tcW w:w="1000" w:type="dxa"/>
            <w:tcMar>
              <w:top w:w="0" w:type="dxa"/>
              <w:left w:w="0" w:type="dxa"/>
              <w:bottom w:w="0" w:type="dxa"/>
              <w:right w:w="0" w:type="dxa"/>
            </w:tcMar>
          </w:tcPr>
          <w:p>
            <w:pPr>
              <w:spacing w:before="180"/>
              <w:ind w:left="220"/>
            </w:pP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900" w:type="dxa"/>
            <w:tcMar>
              <w:top w:w="0" w:type="dxa"/>
              <w:left w:w="0" w:type="dxa"/>
              <w:bottom w:w="0" w:type="dxa"/>
              <w:right w:w="0" w:type="dxa"/>
            </w:tcMar>
          </w:tcPr>
          <w:p>
            <w:pPr>
              <w:spacing w:before="180"/>
              <w:ind w:left="1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c>
          <w:tcPr>
            <w:tcW w:w="960" w:type="dxa"/>
            <w:tcMar>
              <w:top w:w="0" w:type="dxa"/>
              <w:left w:w="0" w:type="dxa"/>
              <w:bottom w:w="0" w:type="dxa"/>
              <w:right w:w="0" w:type="dxa"/>
            </w:tcMar>
          </w:tcPr>
          <w:p>
            <w:pPr>
              <w:spacing w:before="180"/>
              <w:ind w:left="200"/>
            </w:pPr>
            <w:r>
              <w:rPr>
                <w:rFonts w:hint="eastAsia" w:ascii="Times New Roman" w:hAnsi="Times New Roman" w:eastAsia="Times New Roman" w:cs="Times New Roman"/>
                <w:sz w:val="21"/>
              </w:rPr>
              <w:t>94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p>
        </w:tc>
        <w:tc>
          <w:tcPr>
            <w:tcW w:w="1020" w:type="dxa"/>
            <w:tcMar>
              <w:top w:w="0" w:type="dxa"/>
              <w:left w:w="0" w:type="dxa"/>
              <w:bottom w:w="0" w:type="dxa"/>
              <w:right w:w="0" w:type="dxa"/>
            </w:tcMar>
          </w:tcPr>
          <w:p>
            <w:pPr>
              <w:spacing w:before="180"/>
              <w:ind w:left="24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34</w:t>
            </w:r>
            <w:r>
              <w:rPr>
                <w:rFonts w:hint="eastAsia" w:ascii="Times New Roman" w:hAnsi="Times New Roman" w:eastAsia="Times New Roman" w:cs="Times New Roman"/>
                <w:sz w:val="20"/>
              </w:rPr>
              <w:t>%</w:t>
            </w:r>
          </w:p>
        </w:tc>
        <w:tc>
          <w:tcPr>
            <w:tcW w:w="920" w:type="dxa"/>
            <w:tcMar>
              <w:top w:w="0" w:type="dxa"/>
              <w:left w:w="0" w:type="dxa"/>
              <w:bottom w:w="0" w:type="dxa"/>
              <w:right w:w="0" w:type="dxa"/>
            </w:tcMar>
          </w:tcPr>
          <w:p>
            <w:pPr>
              <w:spacing w:before="180"/>
              <w:ind w:left="16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w:t>
            </w:r>
            <w:r>
              <w:rPr>
                <w:rFonts w:hint="eastAsia" w:ascii="Times New Roman" w:hAnsi="Times New Roman" w:eastAsia="Times New Roman" w:cs="Times New Roman"/>
                <w:sz w:val="20"/>
              </w:rPr>
              <w:t>%</w:t>
            </w:r>
          </w:p>
        </w:tc>
      </w:tr>
      <w:tr>
        <w:trPr>
          <w:trHeight w:val="560" w:hRule="exact"/>
        </w:trPr>
        <w:tc>
          <w:tcPr>
            <w:tcW w:w="960" w:type="dxa"/>
            <w:tcMar>
              <w:top w:w="0" w:type="dxa"/>
              <w:left w:w="0" w:type="dxa"/>
              <w:bottom w:w="0" w:type="dxa"/>
              <w:right w:w="0" w:type="dxa"/>
            </w:tcMar>
          </w:tcPr>
          <w:p>
            <w:pPr>
              <w:spacing w:before="20"/>
              <w:ind w:left="140"/>
            </w:pPr>
            <w:r>
              <w:rPr>
                <w:rFonts w:hint="eastAsia" w:ascii="宋体" w:hAnsi="宋体" w:eastAsia="宋体" w:cs="宋体"/>
                <w:sz w:val="21"/>
              </w:rPr>
              <w:t>系统集</w:t>
            </w:r>
          </w:p>
          <w:p>
            <w:pPr>
              <w:spacing w:before="60"/>
              <w:ind w:left="360"/>
            </w:pPr>
            <w:r>
              <w:rPr>
                <w:rFonts w:hint="eastAsia" w:ascii="宋体" w:hAnsi="宋体" w:eastAsia="宋体" w:cs="宋体"/>
                <w:sz w:val="21"/>
              </w:rPr>
              <w:t>成</w:t>
            </w:r>
          </w:p>
        </w:tc>
        <w:tc>
          <w:tcPr>
            <w:tcW w:w="1100" w:type="dxa"/>
            <w:tcMar>
              <w:top w:w="0" w:type="dxa"/>
              <w:left w:w="0" w:type="dxa"/>
              <w:bottom w:w="0" w:type="dxa"/>
              <w:right w:w="0" w:type="dxa"/>
            </w:tcMar>
          </w:tcPr>
          <w:p>
            <w:pPr>
              <w:spacing w:before="200"/>
              <w:ind w:left="34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000" w:type="dxa"/>
            <w:tcMar>
              <w:top w:w="0" w:type="dxa"/>
              <w:left w:w="0" w:type="dxa"/>
              <w:bottom w:w="0" w:type="dxa"/>
              <w:right w:w="0" w:type="dxa"/>
            </w:tcMar>
          </w:tcPr>
          <w:p>
            <w:pPr>
              <w:spacing w:before="200"/>
              <w:ind w:left="34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r>
              <w:rPr>
                <w:rFonts w:hint="eastAsia" w:ascii="Times New Roman" w:hAnsi="Times New Roman" w:eastAsia="Times New Roman" w:cs="Times New Roman"/>
                <w:sz w:val="20"/>
              </w:rPr>
              <w:t>%</w:t>
            </w:r>
          </w:p>
        </w:tc>
        <w:tc>
          <w:tcPr>
            <w:tcW w:w="900" w:type="dxa"/>
            <w:tcMar>
              <w:top w:w="0" w:type="dxa"/>
              <w:left w:w="0" w:type="dxa"/>
              <w:bottom w:w="0" w:type="dxa"/>
              <w:right w:w="0" w:type="dxa"/>
            </w:tcMar>
          </w:tcPr>
          <w:p>
            <w:pPr>
              <w:spacing w:before="200"/>
              <w:ind w:left="2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c>
          <w:tcPr>
            <w:tcW w:w="980" w:type="dxa"/>
            <w:tcMar>
              <w:top w:w="0" w:type="dxa"/>
              <w:left w:w="0" w:type="dxa"/>
              <w:bottom w:w="0" w:type="dxa"/>
              <w:right w:w="0" w:type="dxa"/>
            </w:tcMar>
          </w:tcPr>
          <w:p>
            <w:pPr>
              <w:spacing w:before="200"/>
              <w:ind w:left="20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p>
        </w:tc>
        <w:tc>
          <w:tcPr>
            <w:tcW w:w="1000" w:type="dxa"/>
            <w:tcMar>
              <w:top w:w="0" w:type="dxa"/>
              <w:left w:w="0" w:type="dxa"/>
              <w:bottom w:w="0" w:type="dxa"/>
              <w:right w:w="0" w:type="dxa"/>
            </w:tcMar>
          </w:tcPr>
          <w:p>
            <w:pPr>
              <w:spacing w:before="200"/>
              <w:ind w:left="22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p>
        </w:tc>
        <w:tc>
          <w:tcPr>
            <w:tcW w:w="900" w:type="dxa"/>
            <w:tcMar>
              <w:top w:w="0" w:type="dxa"/>
              <w:left w:w="0" w:type="dxa"/>
              <w:bottom w:w="0" w:type="dxa"/>
              <w:right w:w="0" w:type="dxa"/>
            </w:tcMar>
          </w:tcPr>
          <w:p>
            <w:pPr>
              <w:spacing w:before="200"/>
              <w:ind w:left="24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960" w:type="dxa"/>
            <w:tcMar>
              <w:top w:w="0" w:type="dxa"/>
              <w:left w:w="0" w:type="dxa"/>
              <w:bottom w:w="0" w:type="dxa"/>
              <w:right w:w="0" w:type="dxa"/>
            </w:tcMar>
          </w:tcPr>
          <w:p>
            <w:pPr>
              <w:spacing w:before="200"/>
              <w:ind w:left="20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1020" w:type="dxa"/>
            <w:tcMar>
              <w:top w:w="0" w:type="dxa"/>
              <w:left w:w="0" w:type="dxa"/>
              <w:bottom w:w="0" w:type="dxa"/>
              <w:right w:w="0" w:type="dxa"/>
            </w:tcMar>
          </w:tcPr>
          <w:p>
            <w:pPr>
              <w:spacing w:before="200"/>
              <w:ind w:left="34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p>
        </w:tc>
        <w:tc>
          <w:tcPr>
            <w:tcW w:w="920" w:type="dxa"/>
            <w:tcMar>
              <w:top w:w="0" w:type="dxa"/>
              <w:left w:w="0" w:type="dxa"/>
              <w:bottom w:w="0" w:type="dxa"/>
              <w:right w:w="0" w:type="dxa"/>
            </w:tcMar>
          </w:tcPr>
          <w:p>
            <w:pPr>
              <w:spacing w:before="200"/>
              <w:ind w:left="2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r>
              <w:rPr>
                <w:rFonts w:hint="eastAsia" w:ascii="Times New Roman" w:hAnsi="Times New Roman" w:eastAsia="Times New Roman" w:cs="Times New Roman"/>
                <w:sz w:val="20"/>
              </w:rPr>
              <w:t>%</w:t>
            </w:r>
          </w:p>
        </w:tc>
      </w:tr>
      <w:tr>
        <w:trPr>
          <w:trHeight w:val="460" w:hRule="exact"/>
        </w:trPr>
        <w:tc>
          <w:tcPr>
            <w:tcW w:w="960" w:type="dxa"/>
            <w:tcMar>
              <w:top w:w="0" w:type="dxa"/>
              <w:left w:w="0" w:type="dxa"/>
              <w:bottom w:w="0" w:type="dxa"/>
              <w:right w:w="0" w:type="dxa"/>
            </w:tcMar>
          </w:tcPr>
          <w:p>
            <w:pPr>
              <w:spacing w:before="100"/>
              <w:ind w:left="240"/>
            </w:pPr>
            <w:r>
              <w:rPr>
                <w:rFonts w:hint="eastAsia" w:ascii="宋体" w:hAnsi="宋体" w:eastAsia="宋体" w:cs="宋体"/>
                <w:b/>
                <w:sz w:val="21"/>
              </w:rPr>
              <w:t>合计</w:t>
            </w:r>
          </w:p>
        </w:tc>
        <w:tc>
          <w:tcPr>
            <w:tcW w:w="1100" w:type="dxa"/>
            <w:tcMar>
              <w:top w:w="0" w:type="dxa"/>
              <w:left w:w="0" w:type="dxa"/>
              <w:bottom w:w="0" w:type="dxa"/>
              <w:right w:w="0" w:type="dxa"/>
            </w:tcMar>
          </w:tcPr>
          <w:p>
            <w:pPr>
              <w:spacing w:before="160"/>
              <w:ind w:left="300"/>
            </w:pPr>
            <w:r>
              <w:rPr>
                <w:rFonts w:hint="eastAsia" w:ascii="Times New Roman Bold" w:hAnsi="Times New Roman Bold" w:eastAsia="Times New Roman Bold" w:cs="Times New Roman Bold"/>
                <w:b/>
                <w:sz w:val="21"/>
              </w:rPr>
              <w:t>79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47</w:t>
            </w:r>
            <w:r>
              <w:rPr>
                <w:rFonts w:hint="eastAsia" w:ascii="Times New Roman Bold" w:hAnsi="Times New Roman Bold" w:eastAsia="Times New Roman Bold" w:cs="Times New Roman Bold"/>
                <w:b/>
                <w:sz w:val="20"/>
              </w:rPr>
              <w:t>%</w:t>
            </w:r>
          </w:p>
        </w:tc>
        <w:tc>
          <w:tcPr>
            <w:tcW w:w="1000" w:type="dxa"/>
            <w:tcMar>
              <w:top w:w="0" w:type="dxa"/>
              <w:left w:w="0" w:type="dxa"/>
              <w:bottom w:w="0" w:type="dxa"/>
              <w:right w:w="0" w:type="dxa"/>
            </w:tcMar>
          </w:tcPr>
          <w:p>
            <w:pPr>
              <w:spacing w:before="16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900" w:type="dxa"/>
            <w:tcMar>
              <w:top w:w="0" w:type="dxa"/>
              <w:left w:w="0" w:type="dxa"/>
              <w:bottom w:w="0" w:type="dxa"/>
              <w:right w:w="0" w:type="dxa"/>
            </w:tcMar>
          </w:tcPr>
          <w:p>
            <w:pPr>
              <w:spacing w:before="160"/>
              <w:ind w:left="100"/>
            </w:pPr>
            <w:r>
              <w:rPr>
                <w:rFonts w:hint="eastAsia" w:ascii="Times New Roman Bold" w:hAnsi="Times New Roman Bold" w:eastAsia="Times New Roman Bold" w:cs="Times New Roman Bold"/>
                <w:b/>
                <w:sz w:val="21"/>
              </w:rPr>
              <w:t>79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47</w:t>
            </w:r>
            <w:r>
              <w:rPr>
                <w:rFonts w:hint="eastAsia" w:ascii="Times New Roman Bold" w:hAnsi="Times New Roman Bold" w:eastAsia="Times New Roman Bold" w:cs="Times New Roman Bold"/>
                <w:b/>
                <w:sz w:val="20"/>
              </w:rPr>
              <w:t>%</w:t>
            </w:r>
          </w:p>
        </w:tc>
        <w:tc>
          <w:tcPr>
            <w:tcW w:w="980" w:type="dxa"/>
            <w:tcMar>
              <w:top w:w="0" w:type="dxa"/>
              <w:left w:w="0" w:type="dxa"/>
              <w:bottom w:w="0" w:type="dxa"/>
              <w:right w:w="0" w:type="dxa"/>
            </w:tcMar>
          </w:tcPr>
          <w:p>
            <w:pPr>
              <w:spacing w:before="160"/>
              <w:ind w:left="180"/>
            </w:pPr>
            <w:r>
              <w:rPr>
                <w:rFonts w:hint="eastAsia" w:ascii="Times New Roman Bold" w:hAnsi="Times New Roman Bold" w:eastAsia="Times New Roman Bold" w:cs="Times New Roman Bold"/>
                <w:b/>
                <w:sz w:val="21"/>
              </w:rPr>
              <w:t>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w:t>
            </w:r>
            <w:r>
              <w:rPr>
                <w:rFonts w:hint="eastAsia" w:ascii="Times New Roman Bold" w:hAnsi="Times New Roman Bold" w:eastAsia="Times New Roman Bold" w:cs="Times New Roman Bold"/>
                <w:b/>
                <w:sz w:val="20"/>
              </w:rPr>
              <w:t>%</w:t>
            </w:r>
          </w:p>
        </w:tc>
        <w:tc>
          <w:tcPr>
            <w:tcW w:w="1000" w:type="dxa"/>
            <w:tcMar>
              <w:top w:w="0" w:type="dxa"/>
              <w:left w:w="0" w:type="dxa"/>
              <w:bottom w:w="0" w:type="dxa"/>
              <w:right w:w="0" w:type="dxa"/>
            </w:tcMar>
          </w:tcPr>
          <w:p>
            <w:pPr>
              <w:spacing w:before="16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900" w:type="dxa"/>
            <w:tcMar>
              <w:top w:w="0" w:type="dxa"/>
              <w:left w:w="0" w:type="dxa"/>
              <w:bottom w:w="0" w:type="dxa"/>
              <w:right w:w="0" w:type="dxa"/>
            </w:tcMar>
          </w:tcPr>
          <w:p>
            <w:pPr>
              <w:spacing w:before="160"/>
              <w:ind w:left="100"/>
            </w:pPr>
            <w:r>
              <w:rPr>
                <w:rFonts w:hint="eastAsia" w:ascii="Times New Roman Bold" w:hAnsi="Times New Roman Bold" w:eastAsia="Times New Roman Bold" w:cs="Times New Roman Bold"/>
                <w:b/>
                <w:sz w:val="21"/>
              </w:rPr>
              <w:t>76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81</w:t>
            </w:r>
            <w:r>
              <w:rPr>
                <w:rFonts w:hint="eastAsia" w:ascii="Times New Roman Bold" w:hAnsi="Times New Roman Bold" w:eastAsia="Times New Roman Bold" w:cs="Times New Roman Bold"/>
                <w:b/>
                <w:sz w:val="20"/>
              </w:rPr>
              <w:t>%</w:t>
            </w:r>
          </w:p>
        </w:tc>
        <w:tc>
          <w:tcPr>
            <w:tcW w:w="960" w:type="dxa"/>
            <w:tcMar>
              <w:top w:w="0" w:type="dxa"/>
              <w:left w:w="0" w:type="dxa"/>
              <w:bottom w:w="0" w:type="dxa"/>
              <w:right w:w="0" w:type="dxa"/>
            </w:tcMar>
          </w:tcPr>
          <w:p>
            <w:pPr>
              <w:spacing w:before="160"/>
              <w:ind w:left="160"/>
            </w:pPr>
            <w:r>
              <w:rPr>
                <w:rFonts w:hint="eastAsia" w:ascii="Times New Roman Bold" w:hAnsi="Times New Roman Bold" w:eastAsia="Times New Roman Bold" w:cs="Times New Roman Bold"/>
                <w:b/>
                <w:sz w:val="21"/>
              </w:rPr>
              <w:t>78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98</w:t>
            </w:r>
            <w:r>
              <w:rPr>
                <w:rFonts w:hint="eastAsia" w:ascii="Times New Roman Bold" w:hAnsi="Times New Roman Bold" w:eastAsia="Times New Roman Bold" w:cs="Times New Roman Bold"/>
                <w:b/>
                <w:sz w:val="20"/>
              </w:rPr>
              <w:t>%</w:t>
            </w:r>
          </w:p>
        </w:tc>
        <w:tc>
          <w:tcPr>
            <w:tcW w:w="1020" w:type="dxa"/>
            <w:tcMar>
              <w:top w:w="0" w:type="dxa"/>
              <w:left w:w="0" w:type="dxa"/>
              <w:bottom w:w="0" w:type="dxa"/>
              <w:right w:w="0" w:type="dxa"/>
            </w:tcMar>
          </w:tcPr>
          <w:p>
            <w:pPr>
              <w:spacing w:before="160"/>
              <w:ind w:left="100"/>
            </w:pPr>
            <w:r>
              <w:rPr>
                <w:rFonts w:hint="eastAsia" w:ascii="Times New Roman Bold" w:hAnsi="Times New Roman Bold" w:eastAsia="Times New Roman Bold" w:cs="Times New Roman Bold"/>
                <w:b/>
                <w:sz w:val="21"/>
              </w:rPr>
              <w:t>100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r>
              <w:rPr>
                <w:rFonts w:hint="eastAsia" w:ascii="Times New Roman Bold" w:hAnsi="Times New Roman Bold" w:eastAsia="Times New Roman Bold" w:cs="Times New Roman Bold"/>
                <w:b/>
                <w:sz w:val="20"/>
              </w:rPr>
              <w:t>%</w:t>
            </w:r>
          </w:p>
        </w:tc>
        <w:tc>
          <w:tcPr>
            <w:tcW w:w="920" w:type="dxa"/>
            <w:tcMar>
              <w:top w:w="0" w:type="dxa"/>
              <w:left w:w="0" w:type="dxa"/>
              <w:bottom w:w="0" w:type="dxa"/>
              <w:right w:w="0" w:type="dxa"/>
            </w:tcMar>
          </w:tcPr>
          <w:p>
            <w:pPr>
              <w:spacing w:before="160"/>
              <w:ind w:left="120"/>
            </w:pPr>
            <w:r>
              <w:rPr>
                <w:rFonts w:hint="eastAsia" w:ascii="Times New Roman Bold" w:hAnsi="Times New Roman Bold" w:eastAsia="Times New Roman Bold" w:cs="Times New Roman Bold"/>
                <w:b/>
                <w:sz w:val="21"/>
              </w:rPr>
              <w:t>78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98</w:t>
            </w:r>
            <w:r>
              <w:rPr>
                <w:rFonts w:hint="eastAsia" w:ascii="Times New Roman Bold" w:hAnsi="Times New Roman Bold" w:eastAsia="Times New Roman Bold" w:cs="Times New Roman Bold"/>
                <w:b/>
                <w:sz w:val="20"/>
              </w:rPr>
              <w:t>%</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宋体" w:hAnsi="宋体" w:eastAsia="宋体" w:cs="宋体"/>
          <w:sz w:val="24"/>
        </w:rPr>
        <w:t>从上表可以看出</w:t>
      </w:r>
      <w:r>
        <w:rPr>
          <w:rFonts w:hint="eastAsia" w:ascii="宋体" w:hAnsi="宋体" w:eastAsia="宋体" w:cs="宋体"/>
          <w:sz w:val="10"/>
        </w:rPr>
        <w:t>，</w:t>
      </w:r>
      <w:r>
        <w:rPr>
          <w:rFonts w:hint="eastAsia" w:ascii="宋体" w:hAnsi="宋体" w:eastAsia="宋体" w:cs="宋体"/>
          <w:sz w:val="24"/>
        </w:rPr>
        <w:t>报告期内定制软件业务对综合毛利率的贡献最大</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right="122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年度分别贡献了</w:t>
      </w:r>
      <w:r>
        <w:rPr>
          <w:rFonts w:hint="eastAsia" w:ascii="Times New Roman" w:hAnsi="Times New Roman" w:eastAsia="Times New Roman" w:cs="Times New Roman"/>
          <w:sz w:val="24"/>
        </w:rPr>
        <w:t xml:space="preserve"> 53.97</w:t>
      </w:r>
      <w:r>
        <w:rPr>
          <w:rFonts w:hint="eastAsia" w:ascii="宋体" w:hAnsi="宋体" w:eastAsia="宋体" w:cs="宋体"/>
          <w:sz w:val="10"/>
        </w:rPr>
        <w:t>、</w:t>
      </w:r>
      <w:r>
        <w:rPr>
          <w:rFonts w:hint="eastAsia" w:ascii="Times New Roman" w:hAnsi="Times New Roman" w:eastAsia="Times New Roman" w:cs="Times New Roman"/>
          <w:sz w:val="24"/>
        </w:rPr>
        <w:t>46.74</w:t>
      </w:r>
      <w:r>
        <w:rPr>
          <w:rFonts w:hint="eastAsia" w:ascii="宋体" w:hAnsi="宋体" w:eastAsia="宋体" w:cs="宋体"/>
          <w:sz w:val="24"/>
        </w:rPr>
        <w:t xml:space="preserve"> 和</w:t>
      </w:r>
      <w:r>
        <w:rPr>
          <w:rFonts w:hint="eastAsia" w:ascii="Times New Roman" w:hAnsi="Times New Roman" w:eastAsia="Times New Roman" w:cs="Times New Roman"/>
          <w:sz w:val="24"/>
        </w:rPr>
        <w:t xml:space="preserve"> 50.21</w:t>
      </w:r>
      <w:r>
        <w:rPr>
          <w:rFonts w:hint="eastAsia" w:ascii="宋体" w:hAnsi="宋体" w:eastAsia="宋体" w:cs="宋体"/>
          <w:sz w:val="24"/>
        </w:rPr>
        <w:t xml:space="preserve"> 个百分点</w:t>
      </w:r>
      <w:r>
        <w:rPr>
          <w:rFonts w:hint="eastAsia" w:ascii="宋体" w:hAnsi="宋体" w:eastAsia="宋体" w:cs="宋体"/>
          <w:sz w:val="10"/>
        </w:rPr>
        <w:t>，</w:t>
      </w:r>
      <w:r>
        <w:rPr>
          <w:rFonts w:hint="eastAsia" w:ascii="宋体" w:hAnsi="宋体" w:eastAsia="宋体" w:cs="宋体"/>
          <w:sz w:val="24"/>
        </w:rPr>
        <w:t>其次是运维服务业务</w:t>
      </w:r>
      <w:r>
        <w:rPr>
          <w:rFonts w:hint="eastAsia" w:ascii="宋体" w:hAnsi="宋体" w:eastAsia="宋体" w:cs="宋体"/>
          <w:sz w:val="10"/>
        </w:rPr>
        <w:t>，</w:t>
      </w:r>
      <w:r>
        <w:rPr>
          <w:rFonts w:hint="eastAsia" w:ascii="宋体" w:hAnsi="宋体" w:eastAsia="宋体" w:cs="宋体"/>
          <w:sz w:val="24"/>
        </w:rPr>
        <w:t>再次是产品化软件业务</w:t>
      </w:r>
      <w:r>
        <w:rPr>
          <w:rFonts w:hint="eastAsia" w:ascii="宋体" w:hAnsi="宋体" w:eastAsia="宋体" w:cs="宋体"/>
          <w:sz w:val="10"/>
        </w:rPr>
        <w:t>，</w:t>
      </w:r>
      <w:r>
        <w:rPr>
          <w:rFonts w:hint="eastAsia" w:ascii="宋体" w:hAnsi="宋体" w:eastAsia="宋体" w:cs="宋体"/>
          <w:sz w:val="24"/>
        </w:rPr>
        <w:t>系统集成业务对综合毛利率的贡献较低</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产品化软件均为发行人前期研发完毕的成套软件</w:t>
      </w:r>
      <w:r>
        <w:rPr>
          <w:rFonts w:hint="eastAsia" w:ascii="宋体" w:hAnsi="宋体" w:eastAsia="宋体" w:cs="宋体"/>
          <w:sz w:val="10"/>
        </w:rPr>
        <w:t>，</w:t>
      </w:r>
      <w:r>
        <w:rPr>
          <w:rFonts w:hint="eastAsia" w:ascii="宋体" w:hAnsi="宋体" w:eastAsia="宋体" w:cs="宋体"/>
          <w:sz w:val="24"/>
        </w:rPr>
        <w:t>相关研发成本已计入前期研发费用</w:t>
      </w:r>
      <w:r>
        <w:rPr>
          <w:rFonts w:hint="eastAsia" w:ascii="宋体" w:hAnsi="宋体" w:eastAsia="宋体" w:cs="宋体"/>
          <w:sz w:val="10"/>
        </w:rPr>
        <w:t>，</w:t>
      </w:r>
      <w:r>
        <w:rPr>
          <w:rFonts w:hint="eastAsia" w:ascii="宋体" w:hAnsi="宋体" w:eastAsia="宋体" w:cs="宋体"/>
          <w:sz w:val="24"/>
        </w:rPr>
        <w:t>发行人直接将其销售给客户</w:t>
      </w:r>
      <w:r>
        <w:rPr>
          <w:rFonts w:hint="eastAsia" w:ascii="宋体" w:hAnsi="宋体" w:eastAsia="宋体" w:cs="宋体"/>
          <w:sz w:val="10"/>
        </w:rPr>
        <w:t>，</w:t>
      </w:r>
      <w:r>
        <w:rPr>
          <w:rFonts w:hint="eastAsia" w:ascii="宋体" w:hAnsi="宋体" w:eastAsia="宋体" w:cs="宋体"/>
          <w:sz w:val="24"/>
        </w:rPr>
        <w:t>无需发生新的成本</w:t>
      </w:r>
      <w:r>
        <w:rPr>
          <w:rFonts w:hint="eastAsia" w:ascii="宋体" w:hAnsi="宋体" w:eastAsia="宋体" w:cs="宋体"/>
          <w:sz w:val="10"/>
        </w:rPr>
        <w:t>，</w:t>
      </w:r>
      <w:r>
        <w:rPr>
          <w:rFonts w:hint="eastAsia" w:ascii="宋体" w:hAnsi="宋体" w:eastAsia="宋体" w:cs="宋体"/>
          <w:sz w:val="24"/>
        </w:rPr>
        <w:t>因此产品化软件的毛利率为</w:t>
      </w:r>
      <w:r>
        <w:rPr>
          <w:rFonts w:hint="eastAsia" w:ascii="Times New Roman" w:hAnsi="Times New Roman" w:eastAsia="Times New Roman" w:cs="Times New Roman"/>
          <w:sz w:val="24"/>
        </w:rPr>
        <w:t xml:space="preserve"> 100%</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宋体" w:hAnsi="宋体" w:eastAsia="宋体" w:cs="宋体"/>
          <w:sz w:val="24"/>
        </w:rPr>
        <w:t>由于公司系统集成业务毛利率与其他业务相比差异较大</w:t>
      </w:r>
      <w:r>
        <w:rPr>
          <w:rFonts w:hint="eastAsia" w:ascii="宋体" w:hAnsi="宋体" w:eastAsia="宋体" w:cs="宋体"/>
          <w:sz w:val="10"/>
        </w:rPr>
        <w:t>，</w:t>
      </w:r>
      <w:r>
        <w:rPr>
          <w:rFonts w:hint="eastAsia" w:ascii="宋体" w:hAnsi="宋体" w:eastAsia="宋体" w:cs="宋体"/>
          <w:sz w:val="24"/>
        </w:rPr>
        <w:t>而且绝对水平较低</w:t>
      </w:r>
      <w:r>
        <w:rPr>
          <w:rFonts w:hint="eastAsia" w:ascii="宋体" w:hAnsi="宋体" w:eastAsia="宋体" w:cs="宋体"/>
          <w:sz w:val="10"/>
        </w:rPr>
        <w:t>，</w:t>
      </w:r>
      <w:r>
        <w:rPr>
          <w:rFonts w:hint="eastAsia" w:ascii="宋体" w:hAnsi="宋体" w:eastAsia="宋体" w:cs="宋体"/>
          <w:sz w:val="24"/>
        </w:rPr>
        <w:t>因此系统集成业务收入贡献率的变化会对公司综合毛利率水平产生一定影响</w:t>
      </w:r>
      <w:r>
        <w:rPr>
          <w:rFonts w:hint="eastAsia" w:ascii="宋体" w:hAnsi="宋体" w:eastAsia="宋体" w:cs="宋体"/>
          <w:sz w:val="10"/>
        </w:rPr>
        <w:t>。</w:t>
      </w:r>
      <w:r>
        <w:rPr>
          <w:rFonts w:hint="eastAsia" w:ascii="宋体" w:hAnsi="宋体" w:eastAsia="宋体" w:cs="宋体"/>
          <w:sz w:val="24"/>
        </w:rPr>
        <w:t>如果收入贡献率上升</w:t>
      </w:r>
      <w:r>
        <w:rPr>
          <w:rFonts w:hint="eastAsia" w:ascii="宋体" w:hAnsi="宋体" w:eastAsia="宋体" w:cs="宋体"/>
          <w:sz w:val="10"/>
        </w:rPr>
        <w:t>，</w:t>
      </w:r>
      <w:r>
        <w:rPr>
          <w:rFonts w:hint="eastAsia" w:ascii="宋体" w:hAnsi="宋体" w:eastAsia="宋体" w:cs="宋体"/>
          <w:sz w:val="24"/>
        </w:rPr>
        <w:t>会使综合毛利率下降</w:t>
      </w:r>
      <w:r>
        <w:rPr>
          <w:rFonts w:hint="eastAsia" w:ascii="宋体" w:hAnsi="宋体" w:eastAsia="宋体" w:cs="宋体"/>
          <w:sz w:val="14"/>
        </w:rPr>
        <w:t>；</w:t>
      </w:r>
      <w:r>
        <w:rPr>
          <w:rFonts w:hint="eastAsia" w:ascii="宋体" w:hAnsi="宋体" w:eastAsia="宋体" w:cs="宋体"/>
          <w:sz w:val="24"/>
        </w:rPr>
        <w:t>反之</w:t>
      </w:r>
      <w:r>
        <w:rPr>
          <w:rFonts w:hint="eastAsia" w:ascii="宋体" w:hAnsi="宋体" w:eastAsia="宋体" w:cs="宋体"/>
          <w:sz w:val="10"/>
        </w:rPr>
        <w:t>，</w:t>
      </w:r>
      <w:r>
        <w:rPr>
          <w:rFonts w:hint="eastAsia" w:ascii="宋体" w:hAnsi="宋体" w:eastAsia="宋体" w:cs="宋体"/>
          <w:sz w:val="24"/>
        </w:rPr>
        <w:t>会使综合毛利率上升</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公司综合毛利率较</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年度下降</w:t>
      </w:r>
      <w:r>
        <w:rPr>
          <w:rFonts w:hint="eastAsia" w:ascii="Times New Roman" w:hAnsi="Times New Roman" w:eastAsia="Times New Roman" w:cs="Times New Roman"/>
          <w:sz w:val="24"/>
        </w:rPr>
        <w:t xml:space="preserve"> 2.17</w:t>
      </w:r>
      <w:r>
        <w:rPr>
          <w:rFonts w:hint="eastAsia" w:ascii="宋体" w:hAnsi="宋体" w:eastAsia="宋体" w:cs="宋体"/>
          <w:sz w:val="24"/>
        </w:rPr>
        <w:t xml:space="preserve"> 个百分点</w:t>
      </w:r>
      <w:r>
        <w:rPr>
          <w:rFonts w:hint="eastAsia" w:ascii="宋体" w:hAnsi="宋体" w:eastAsia="宋体" w:cs="宋体"/>
          <w:sz w:val="10"/>
        </w:rPr>
        <w:t>，</w:t>
      </w:r>
      <w:r>
        <w:rPr>
          <w:rFonts w:hint="eastAsia" w:ascii="宋体" w:hAnsi="宋体" w:eastAsia="宋体" w:cs="宋体"/>
          <w:sz w:val="24"/>
        </w:rPr>
        <w:t>主要由于系统集成业务收入贡献率上升</w:t>
      </w:r>
      <w:r>
        <w:rPr>
          <w:rFonts w:hint="eastAsia" w:ascii="Times New Roman" w:hAnsi="Times New Roman" w:eastAsia="Times New Roman" w:cs="Times New Roman"/>
          <w:sz w:val="24"/>
        </w:rPr>
        <w:t xml:space="preserve"> 6.14</w:t>
      </w:r>
      <w:r>
        <w:rPr>
          <w:rFonts w:hint="eastAsia" w:ascii="宋体" w:hAnsi="宋体" w:eastAsia="宋体" w:cs="宋体"/>
          <w:sz w:val="24"/>
        </w:rPr>
        <w:t xml:space="preserve"> 个百分点</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公司综合毛利率较</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年度上升</w:t>
      </w:r>
      <w:r>
        <w:rPr>
          <w:rFonts w:hint="eastAsia" w:ascii="Times New Roman" w:hAnsi="Times New Roman" w:eastAsia="Times New Roman" w:cs="Times New Roman"/>
          <w:sz w:val="24"/>
        </w:rPr>
        <w:t xml:space="preserve"> 2.66</w:t>
      </w:r>
      <w:r>
        <w:rPr>
          <w:rFonts w:hint="eastAsia" w:ascii="宋体" w:hAnsi="宋体" w:eastAsia="宋体" w:cs="宋体"/>
          <w:sz w:val="24"/>
        </w:rPr>
        <w:t xml:space="preserve"> 个百分点</w:t>
      </w:r>
      <w:r>
        <w:rPr>
          <w:rFonts w:hint="eastAsia" w:ascii="宋体" w:hAnsi="宋体" w:eastAsia="宋体" w:cs="宋体"/>
          <w:sz w:val="10"/>
        </w:rPr>
        <w:t>，</w:t>
      </w:r>
      <w:r>
        <w:rPr>
          <w:rFonts w:hint="eastAsia" w:ascii="宋体" w:hAnsi="宋体" w:eastAsia="宋体" w:cs="宋体"/>
          <w:sz w:val="24"/>
        </w:rPr>
        <w:t>主要是由于系统集成业务收入贡献率较上年下降</w:t>
      </w:r>
      <w:r>
        <w:rPr>
          <w:rFonts w:hint="eastAsia" w:ascii="Times New Roman" w:hAnsi="Times New Roman" w:eastAsia="Times New Roman" w:cs="Times New Roman"/>
          <w:sz w:val="24"/>
        </w:rPr>
        <w:t xml:space="preserve"> 8.89</w:t>
      </w:r>
      <w:r>
        <w:rPr>
          <w:rFonts w:hint="eastAsia" w:ascii="宋体" w:hAnsi="宋体" w:eastAsia="宋体" w:cs="宋体"/>
          <w:sz w:val="24"/>
        </w:rPr>
        <w:t xml:space="preserve"> 个百分点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公司同行业可比上市公司为恒生电子</w:t>
      </w:r>
      <w:r>
        <w:rPr>
          <w:rFonts w:hint="eastAsia" w:ascii="宋体" w:hAnsi="宋体" w:eastAsia="宋体" w:cs="宋体"/>
          <w:sz w:val="10"/>
        </w:rPr>
        <w:t>、</w:t>
      </w:r>
      <w:r>
        <w:rPr>
          <w:rFonts w:hint="eastAsia" w:ascii="宋体" w:hAnsi="宋体" w:eastAsia="宋体" w:cs="宋体"/>
          <w:sz w:val="24"/>
        </w:rPr>
        <w:t>金证股份</w:t>
      </w:r>
      <w:r>
        <w:rPr>
          <w:rFonts w:hint="eastAsia" w:ascii="宋体" w:hAnsi="宋体" w:eastAsia="宋体" w:cs="宋体"/>
          <w:sz w:val="10"/>
        </w:rPr>
        <w:t>。</w:t>
      </w: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公司与同行业上市公司各类业务毛利率的比较情况如下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）软件业务毛利率比较情况</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软件业务包括定制软件业务</w:t>
      </w:r>
      <w:r>
        <w:rPr>
          <w:rFonts w:hint="eastAsia" w:ascii="宋体" w:hAnsi="宋体" w:eastAsia="宋体" w:cs="宋体"/>
          <w:sz w:val="10"/>
        </w:rPr>
        <w:t>、</w:t>
      </w:r>
      <w:r>
        <w:rPr>
          <w:rFonts w:hint="eastAsia" w:ascii="宋体" w:hAnsi="宋体" w:eastAsia="宋体" w:cs="宋体"/>
          <w:sz w:val="24"/>
        </w:rPr>
        <w:t>产品化软件（自制软件销售）业务</w:t>
      </w:r>
      <w:r>
        <w:rPr>
          <w:rFonts w:hint="eastAsia" w:ascii="宋体" w:hAnsi="宋体" w:eastAsia="宋体" w:cs="宋体"/>
          <w:sz w:val="10"/>
        </w:rPr>
        <w:t>、</w:t>
      </w:r>
      <w:r>
        <w:rPr>
          <w:rFonts w:hint="eastAsia" w:ascii="宋体" w:hAnsi="宋体" w:eastAsia="宋体" w:cs="宋体"/>
          <w:sz w:val="24"/>
        </w:rPr>
        <w:t>运维服务（系统维护</w:t>
      </w:r>
      <w:r>
        <w:rPr>
          <w:rFonts w:hint="eastAsia" w:ascii="宋体" w:hAnsi="宋体" w:eastAsia="宋体" w:cs="宋体"/>
          <w:sz w:val="10"/>
        </w:rPr>
        <w:t>、</w:t>
      </w:r>
      <w:r>
        <w:rPr>
          <w:rFonts w:hint="eastAsia" w:ascii="宋体" w:hAnsi="宋体" w:eastAsia="宋体" w:cs="宋体"/>
          <w:sz w:val="24"/>
        </w:rPr>
        <w:t>技术服务）业务</w:t>
      </w:r>
      <w:r>
        <w:rPr>
          <w:rFonts w:hint="eastAsia" w:ascii="宋体" w:hAnsi="宋体" w:eastAsia="宋体" w:cs="宋体"/>
          <w:sz w:val="10"/>
        </w:rPr>
        <w:t>。</w:t>
      </w:r>
      <w:r>
        <w:rPr>
          <w:rFonts w:hint="eastAsia" w:ascii="宋体" w:hAnsi="宋体" w:eastAsia="宋体" w:cs="宋体"/>
          <w:sz w:val="24"/>
        </w:rPr>
        <w:t>各公司对于软件业务的明细分类稍有不同</w:t>
      </w:r>
      <w:r>
        <w:rPr>
          <w:rFonts w:hint="eastAsia" w:ascii="宋体" w:hAnsi="宋体" w:eastAsia="宋体" w:cs="宋体"/>
          <w:sz w:val="10"/>
        </w:rPr>
        <w:t>，</w:t>
      </w:r>
      <w:r>
        <w:rPr>
          <w:rFonts w:hint="eastAsia" w:ascii="宋体" w:hAnsi="宋体" w:eastAsia="宋体" w:cs="宋体"/>
          <w:sz w:val="24"/>
        </w:rPr>
        <w:t>因此选取软件业务总体毛利率进行比较更具参考性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公司及同行业上市公司软件业务的毛利率情况如下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1-1-287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10680" w:type="auto"/>
        <w:tblInd w:w="6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80"/>
        <w:gridCol w:w="1040"/>
        <w:gridCol w:w="1040"/>
        <w:gridCol w:w="1040"/>
        <w:gridCol w:w="1040"/>
        <w:gridCol w:w="1060"/>
        <w:gridCol w:w="1040"/>
        <w:gridCol w:w="1040"/>
        <w:gridCol w:w="1040"/>
        <w:gridCol w:w="1040"/>
      </w:tblGrid>
      <w:tr>
        <w:trPr>
          <w:trHeight w:val="640" w:hRule="exact"/>
        </w:trPr>
        <w:tc>
          <w:tcPr>
            <w:tcW w:w="1280" w:type="dxa"/>
            <w:vMerge w:val="restart"/>
            <w:tcMar>
              <w:top w:w="0" w:type="dxa"/>
              <w:left w:w="0" w:type="dxa"/>
              <w:bottom w:w="0" w:type="dxa"/>
              <w:right w:w="0" w:type="dxa"/>
            </w:tcMar>
          </w:tcPr>
          <w:p/>
        </w:tc>
        <w:tc>
          <w:tcPr>
            <w:tcW w:w="3120" w:type="dxa"/>
            <w:gridSpan w:val="3"/>
            <w:tcMar>
              <w:top w:w="0" w:type="dxa"/>
              <w:left w:w="0" w:type="dxa"/>
              <w:bottom w:w="0" w:type="dxa"/>
              <w:right w:w="0" w:type="dxa"/>
            </w:tcMar>
          </w:tcPr>
          <w:p>
            <w:pPr>
              <w:spacing w:before="180"/>
              <w:ind w:left="1120"/>
            </w:pPr>
            <w:r>
              <w:rPr>
                <w:rFonts w:hint="eastAsia" w:ascii="宋体" w:hAnsi="宋体" w:eastAsia="宋体" w:cs="宋体"/>
                <w:b/>
                <w:sz w:val="21"/>
              </w:rPr>
              <w:t>顶点软件</w:t>
            </w:r>
          </w:p>
        </w:tc>
        <w:tc>
          <w:tcPr>
            <w:tcW w:w="3140" w:type="dxa"/>
            <w:gridSpan w:val="3"/>
            <w:tcMar>
              <w:top w:w="0" w:type="dxa"/>
              <w:left w:w="0" w:type="dxa"/>
              <w:bottom w:w="0" w:type="dxa"/>
              <w:right w:w="0" w:type="dxa"/>
            </w:tcMar>
          </w:tcPr>
          <w:p>
            <w:pPr>
              <w:spacing w:before="180"/>
              <w:ind w:left="1140"/>
            </w:pPr>
            <w:r>
              <w:rPr>
                <w:rFonts w:hint="eastAsia" w:ascii="宋体" w:hAnsi="宋体" w:eastAsia="宋体" w:cs="宋体"/>
                <w:b/>
                <w:sz w:val="21"/>
              </w:rPr>
              <w:t>恒生电子</w:t>
            </w:r>
          </w:p>
        </w:tc>
        <w:tc>
          <w:tcPr>
            <w:tcW w:w="3120" w:type="dxa"/>
            <w:gridSpan w:val="3"/>
            <w:tcMar>
              <w:top w:w="0" w:type="dxa"/>
              <w:left w:w="0" w:type="dxa"/>
              <w:bottom w:w="0" w:type="dxa"/>
              <w:right w:w="0" w:type="dxa"/>
            </w:tcMar>
          </w:tcPr>
          <w:p>
            <w:pPr>
              <w:spacing w:before="180"/>
              <w:ind w:left="1120"/>
            </w:pPr>
            <w:r>
              <w:rPr>
                <w:rFonts w:hint="eastAsia" w:ascii="宋体" w:hAnsi="宋体" w:eastAsia="宋体" w:cs="宋体"/>
                <w:b/>
                <w:sz w:val="21"/>
              </w:rPr>
              <w:t>金证股份</w:t>
            </w:r>
          </w:p>
        </w:tc>
      </w:tr>
      <w:tr>
        <w:trPr>
          <w:trHeight w:val="940" w:hRule="exact"/>
        </w:trPr>
        <w:tc>
          <w:tcPr>
            <w:tcW w:w="1280" w:type="dxa"/>
            <w:vMerge w:val="continue"/>
            <w:tcMar>
              <w:top w:w="0" w:type="dxa"/>
              <w:left w:w="0" w:type="dxa"/>
              <w:bottom w:w="0" w:type="dxa"/>
              <w:right w:w="0" w:type="dxa"/>
            </w:tcMar>
          </w:tcPr>
          <w:p/>
        </w:tc>
        <w:tc>
          <w:tcPr>
            <w:tcW w:w="104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p>
            <w:pPr>
              <w:spacing w:before="100"/>
              <w:ind w:left="400"/>
            </w:pPr>
            <w:r>
              <w:rPr>
                <w:rFonts w:hint="eastAsia" w:ascii="宋体" w:hAnsi="宋体" w:eastAsia="宋体" w:cs="宋体"/>
                <w:b/>
                <w:sz w:val="21"/>
              </w:rPr>
              <w:t>度</w:t>
            </w:r>
          </w:p>
        </w:tc>
        <w:tc>
          <w:tcPr>
            <w:tcW w:w="104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p>
            <w:pPr>
              <w:spacing w:before="100"/>
              <w:ind w:left="400"/>
            </w:pPr>
            <w:r>
              <w:rPr>
                <w:rFonts w:hint="eastAsia" w:ascii="宋体" w:hAnsi="宋体" w:eastAsia="宋体" w:cs="宋体"/>
                <w:b/>
                <w:sz w:val="21"/>
              </w:rPr>
              <w:t>度</w:t>
            </w:r>
          </w:p>
        </w:tc>
        <w:tc>
          <w:tcPr>
            <w:tcW w:w="104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p>
            <w:pPr>
              <w:spacing w:before="100"/>
              <w:ind w:left="400"/>
            </w:pPr>
            <w:r>
              <w:rPr>
                <w:rFonts w:hint="eastAsia" w:ascii="宋体" w:hAnsi="宋体" w:eastAsia="宋体" w:cs="宋体"/>
                <w:b/>
                <w:sz w:val="21"/>
              </w:rPr>
              <w:t>度</w:t>
            </w:r>
          </w:p>
        </w:tc>
        <w:tc>
          <w:tcPr>
            <w:tcW w:w="104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p>
            <w:pPr>
              <w:spacing w:before="100"/>
              <w:ind w:left="400"/>
            </w:pPr>
            <w:r>
              <w:rPr>
                <w:rFonts w:hint="eastAsia" w:ascii="宋体" w:hAnsi="宋体" w:eastAsia="宋体" w:cs="宋体"/>
                <w:b/>
                <w:sz w:val="21"/>
              </w:rPr>
              <w:t>度</w:t>
            </w:r>
          </w:p>
        </w:tc>
        <w:tc>
          <w:tcPr>
            <w:tcW w:w="1060" w:type="dxa"/>
            <w:tcMar>
              <w:top w:w="0" w:type="dxa"/>
              <w:left w:w="0" w:type="dxa"/>
              <w:bottom w:w="0" w:type="dxa"/>
              <w:right w:w="0" w:type="dxa"/>
            </w:tcMar>
          </w:tcPr>
          <w:p>
            <w:pPr>
              <w:spacing w:before="180"/>
              <w:ind w:left="1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p>
            <w:pPr>
              <w:spacing w:before="100"/>
              <w:ind w:left="400"/>
            </w:pPr>
            <w:r>
              <w:rPr>
                <w:rFonts w:hint="eastAsia" w:ascii="宋体" w:hAnsi="宋体" w:eastAsia="宋体" w:cs="宋体"/>
                <w:b/>
                <w:sz w:val="21"/>
              </w:rPr>
              <w:t>度</w:t>
            </w:r>
          </w:p>
        </w:tc>
        <w:tc>
          <w:tcPr>
            <w:tcW w:w="104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p>
            <w:pPr>
              <w:spacing w:before="100"/>
              <w:ind w:left="400"/>
            </w:pPr>
            <w:r>
              <w:rPr>
                <w:rFonts w:hint="eastAsia" w:ascii="宋体" w:hAnsi="宋体" w:eastAsia="宋体" w:cs="宋体"/>
                <w:b/>
                <w:sz w:val="21"/>
              </w:rPr>
              <w:t>度</w:t>
            </w:r>
          </w:p>
        </w:tc>
        <w:tc>
          <w:tcPr>
            <w:tcW w:w="104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p>
          <w:p>
            <w:pPr>
              <w:spacing w:before="100"/>
              <w:ind w:left="400"/>
            </w:pPr>
            <w:r>
              <w:rPr>
                <w:rFonts w:hint="eastAsia" w:ascii="宋体" w:hAnsi="宋体" w:eastAsia="宋体" w:cs="宋体"/>
                <w:b/>
                <w:sz w:val="21"/>
              </w:rPr>
              <w:t>度</w:t>
            </w:r>
          </w:p>
        </w:tc>
        <w:tc>
          <w:tcPr>
            <w:tcW w:w="104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w:t>
            </w:r>
          </w:p>
          <w:p>
            <w:pPr>
              <w:spacing w:before="100"/>
              <w:ind w:left="400"/>
            </w:pPr>
            <w:r>
              <w:rPr>
                <w:rFonts w:hint="eastAsia" w:ascii="宋体" w:hAnsi="宋体" w:eastAsia="宋体" w:cs="宋体"/>
                <w:b/>
                <w:sz w:val="21"/>
              </w:rPr>
              <w:t>度</w:t>
            </w:r>
          </w:p>
        </w:tc>
        <w:tc>
          <w:tcPr>
            <w:tcW w:w="1040" w:type="dxa"/>
            <w:tcMar>
              <w:top w:w="0" w:type="dxa"/>
              <w:left w:w="0" w:type="dxa"/>
              <w:bottom w:w="0" w:type="dxa"/>
              <w:right w:w="0" w:type="dxa"/>
            </w:tcMar>
          </w:tcPr>
          <w:p>
            <w:pPr>
              <w:spacing w:before="180"/>
              <w:ind w:left="16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w:t>
            </w:r>
          </w:p>
          <w:p>
            <w:pPr>
              <w:spacing w:before="100"/>
              <w:ind w:left="400"/>
            </w:pPr>
            <w:r>
              <w:rPr>
                <w:rFonts w:hint="eastAsia" w:ascii="宋体" w:hAnsi="宋体" w:eastAsia="宋体" w:cs="宋体"/>
                <w:b/>
                <w:sz w:val="21"/>
              </w:rPr>
              <w:t>度</w:t>
            </w:r>
          </w:p>
        </w:tc>
      </w:tr>
      <w:tr>
        <w:trPr>
          <w:trHeight w:val="620" w:hRule="exact"/>
        </w:trPr>
        <w:tc>
          <w:tcPr>
            <w:tcW w:w="1280" w:type="dxa"/>
            <w:tcMar>
              <w:top w:w="0" w:type="dxa"/>
              <w:left w:w="0" w:type="dxa"/>
              <w:bottom w:w="0" w:type="dxa"/>
              <w:right w:w="0" w:type="dxa"/>
            </w:tcMar>
          </w:tcPr>
          <w:p>
            <w:pPr>
              <w:spacing w:before="180"/>
              <w:ind w:left="200"/>
            </w:pPr>
            <w:r>
              <w:rPr>
                <w:rFonts w:hint="eastAsia" w:ascii="宋体" w:hAnsi="宋体" w:eastAsia="宋体" w:cs="宋体"/>
                <w:sz w:val="21"/>
              </w:rPr>
              <w:t>软件业务</w:t>
            </w:r>
          </w:p>
        </w:tc>
        <w:tc>
          <w:tcPr>
            <w:tcW w:w="104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66</w:t>
            </w:r>
            <w:r>
              <w:rPr>
                <w:rFonts w:hint="eastAsia" w:ascii="Times New Roman" w:hAnsi="Times New Roman" w:eastAsia="Times New Roman" w:cs="Times New Roman"/>
                <w:sz w:val="20"/>
              </w:rPr>
              <w:t>%</w:t>
            </w:r>
          </w:p>
        </w:tc>
        <w:tc>
          <w:tcPr>
            <w:tcW w:w="104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p>
        </w:tc>
        <w:tc>
          <w:tcPr>
            <w:tcW w:w="104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r>
              <w:rPr>
                <w:rFonts w:hint="eastAsia" w:ascii="Times New Roman" w:hAnsi="Times New Roman" w:eastAsia="Times New Roman" w:cs="Times New Roman"/>
                <w:sz w:val="20"/>
              </w:rPr>
              <w:t>%</w:t>
            </w:r>
          </w:p>
        </w:tc>
        <w:tc>
          <w:tcPr>
            <w:tcW w:w="104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w:t>
            </w:r>
            <w:r>
              <w:rPr>
                <w:rFonts w:hint="eastAsia" w:ascii="Times New Roman" w:hAnsi="Times New Roman" w:eastAsia="Times New Roman" w:cs="Times New Roman"/>
                <w:sz w:val="20"/>
              </w:rPr>
              <w:t>%</w:t>
            </w:r>
          </w:p>
        </w:tc>
        <w:tc>
          <w:tcPr>
            <w:tcW w:w="106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w:t>
            </w:r>
            <w:r>
              <w:rPr>
                <w:rFonts w:hint="eastAsia" w:ascii="Times New Roman" w:hAnsi="Times New Roman" w:eastAsia="Times New Roman" w:cs="Times New Roman"/>
                <w:sz w:val="20"/>
              </w:rPr>
              <w:t>%</w:t>
            </w:r>
          </w:p>
        </w:tc>
        <w:tc>
          <w:tcPr>
            <w:tcW w:w="104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99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r>
              <w:rPr>
                <w:rFonts w:hint="eastAsia" w:ascii="Times New Roman" w:hAnsi="Times New Roman" w:eastAsia="Times New Roman" w:cs="Times New Roman"/>
                <w:sz w:val="20"/>
              </w:rPr>
              <w:t>%</w:t>
            </w:r>
          </w:p>
        </w:tc>
        <w:tc>
          <w:tcPr>
            <w:tcW w:w="104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66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r>
              <w:rPr>
                <w:rFonts w:hint="eastAsia" w:ascii="Times New Roman" w:hAnsi="Times New Roman" w:eastAsia="Times New Roman" w:cs="Times New Roman"/>
                <w:sz w:val="20"/>
              </w:rPr>
              <w:t>%</w:t>
            </w:r>
          </w:p>
        </w:tc>
        <w:tc>
          <w:tcPr>
            <w:tcW w:w="104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r>
              <w:rPr>
                <w:rFonts w:hint="eastAsia" w:ascii="Times New Roman" w:hAnsi="Times New Roman" w:eastAsia="Times New Roman" w:cs="Times New Roman"/>
                <w:sz w:val="20"/>
              </w:rPr>
              <w:t>%</w:t>
            </w:r>
          </w:p>
        </w:tc>
        <w:tc>
          <w:tcPr>
            <w:tcW w:w="1040" w:type="dxa"/>
            <w:tcMar>
              <w:top w:w="0" w:type="dxa"/>
              <w:left w:w="0" w:type="dxa"/>
              <w:bottom w:w="0" w:type="dxa"/>
              <w:right w:w="0" w:type="dxa"/>
            </w:tcMar>
          </w:tcPr>
          <w:p>
            <w:pPr>
              <w:spacing w:before="220"/>
              <w:ind w:left="180"/>
            </w:pPr>
            <w:r>
              <w:rPr>
                <w:rFonts w:hint="eastAsia" w:ascii="Times New Roman" w:hAnsi="Times New Roman" w:eastAsia="Times New Roman" w:cs="Times New Roman"/>
                <w:sz w:val="21"/>
              </w:rPr>
              <w:t>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公司软件业务的毛利率与金证股份软件业务毛利率相近</w:t>
      </w:r>
      <w:r>
        <w:rPr>
          <w:rFonts w:hint="eastAsia" w:ascii="宋体" w:hAnsi="宋体" w:eastAsia="宋体" w:cs="宋体"/>
          <w:sz w:val="10"/>
        </w:rPr>
        <w:t>，</w:t>
      </w:r>
      <w:r>
        <w:rPr>
          <w:rFonts w:hint="eastAsia" w:ascii="宋体" w:hAnsi="宋体" w:eastAsia="宋体" w:cs="宋体"/>
          <w:sz w:val="24"/>
        </w:rPr>
        <w:t>没有</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24"/>
        </w:rPr>
        <w:t>重大差异</w:t>
      </w:r>
      <w:r>
        <w:rPr>
          <w:rFonts w:hint="eastAsia" w:ascii="宋体" w:hAnsi="宋体" w:eastAsia="宋体" w:cs="宋体"/>
          <w:sz w:val="12"/>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金证股份软件业务的毛利率大幅下降</w:t>
      </w:r>
      <w:r>
        <w:rPr>
          <w:rFonts w:hint="eastAsia" w:ascii="宋体" w:hAnsi="宋体" w:eastAsia="宋体" w:cs="宋体"/>
          <w:sz w:val="10"/>
        </w:rPr>
        <w:t>，</w:t>
      </w:r>
      <w:r>
        <w:rPr>
          <w:rFonts w:hint="eastAsia" w:ascii="宋体" w:hAnsi="宋体" w:eastAsia="宋体" w:cs="宋体"/>
          <w:sz w:val="24"/>
        </w:rPr>
        <w:t>主要由其定制软件及系统</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24"/>
        </w:rPr>
        <w:t>维护</w:t>
      </w:r>
      <w:r>
        <w:rPr>
          <w:rFonts w:hint="eastAsia" w:ascii="宋体" w:hAnsi="宋体" w:eastAsia="宋体" w:cs="宋体"/>
          <w:sz w:val="10"/>
        </w:rPr>
        <w:t>、</w:t>
      </w:r>
      <w:r>
        <w:rPr>
          <w:rFonts w:hint="eastAsia" w:ascii="宋体" w:hAnsi="宋体" w:eastAsia="宋体" w:cs="宋体"/>
          <w:sz w:val="24"/>
        </w:rPr>
        <w:t>技术服务业务毛利率均有所下降所致</w:t>
      </w:r>
      <w:r>
        <w:rPr>
          <w:rFonts w:hint="eastAsia" w:ascii="宋体" w:hAnsi="宋体" w:eastAsia="宋体" w:cs="宋体"/>
          <w:sz w:val="10"/>
        </w:rPr>
        <w:t>。</w:t>
      </w:r>
      <w:r>
        <w:rPr>
          <w:rFonts w:hint="eastAsia" w:ascii="宋体" w:hAnsi="宋体" w:eastAsia="宋体" w:cs="宋体"/>
          <w:sz w:val="24"/>
        </w:rPr>
        <w:t>公司软件业务毛利率低于恒生电子软件业</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务毛利率</w:t>
      </w:r>
      <w:r>
        <w:rPr>
          <w:rFonts w:hint="eastAsia" w:ascii="宋体" w:hAnsi="宋体" w:eastAsia="宋体" w:cs="宋体"/>
          <w:sz w:val="10"/>
        </w:rPr>
        <w:t>，</w:t>
      </w:r>
      <w:r>
        <w:rPr>
          <w:rFonts w:hint="eastAsia" w:ascii="宋体" w:hAnsi="宋体" w:eastAsia="宋体" w:cs="宋体"/>
          <w:sz w:val="24"/>
        </w:rPr>
        <w:t>主要由于恒生电子软件业务中毛利率相对较低的定制软件业务占比较小</w:t>
      </w:r>
      <w:r>
        <w:rPr>
          <w:rFonts w:hint="eastAsia" w:ascii="宋体" w:hAnsi="宋体" w:eastAsia="宋体" w:cs="宋体"/>
          <w:sz w:val="10"/>
        </w:rPr>
        <w:t>。</w:t>
      </w:r>
      <w:r>
        <w:rPr>
          <w:rFonts w:hint="eastAsia" w:ascii="宋体" w:hAnsi="宋体" w:eastAsia="宋体" w:cs="宋体"/>
          <w:sz w:val="24"/>
        </w:rPr>
        <w:t>自</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年起</w:t>
      </w:r>
      <w:r>
        <w:rPr>
          <w:rFonts w:hint="eastAsia" w:ascii="宋体" w:hAnsi="宋体" w:eastAsia="宋体" w:cs="宋体"/>
          <w:sz w:val="10"/>
        </w:rPr>
        <w:t>，</w:t>
      </w:r>
      <w:r>
        <w:rPr>
          <w:rFonts w:hint="eastAsia" w:ascii="宋体" w:hAnsi="宋体" w:eastAsia="宋体" w:cs="宋体"/>
          <w:sz w:val="24"/>
        </w:rPr>
        <w:t>恒生电子对软件业务不再细分</w:t>
      </w:r>
      <w:r>
        <w:rPr>
          <w:rFonts w:hint="eastAsia" w:ascii="宋体" w:hAnsi="宋体" w:eastAsia="宋体" w:cs="宋体"/>
          <w:sz w:val="10"/>
        </w:rPr>
        <w:t>，</w:t>
      </w:r>
      <w:r>
        <w:rPr>
          <w:rFonts w:hint="eastAsia" w:ascii="宋体" w:hAnsi="宋体" w:eastAsia="宋体" w:cs="宋体"/>
          <w:sz w:val="24"/>
        </w:rPr>
        <w:t>因此选取恒生电子</w:t>
      </w:r>
      <w:r>
        <w:rPr>
          <w:rFonts w:hint="eastAsia" w:ascii="Times New Roman" w:hAnsi="Times New Roman" w:eastAsia="Times New Roman" w:cs="Times New Roman"/>
          <w:sz w:val="24"/>
        </w:rPr>
        <w:t xml:space="preserve"> 2012</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2013</w:t>
      </w:r>
      <w:r>
        <w:rPr>
          <w:rFonts w:hint="eastAsia" w:ascii="宋体" w:hAnsi="宋体" w:eastAsia="宋体" w:cs="宋体"/>
          <w:sz w:val="24"/>
        </w:rPr>
        <w:t xml:space="preserve"> 年的数</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据作为参考</w:t>
      </w:r>
      <w:r>
        <w:rPr>
          <w:rFonts w:hint="eastAsia" w:ascii="宋体" w:hAnsi="宋体" w:eastAsia="宋体" w:cs="宋体"/>
          <w:sz w:val="10"/>
        </w:rPr>
        <w:t>。</w:t>
      </w:r>
      <w:r>
        <w:rPr>
          <w:rFonts w:hint="eastAsia" w:ascii="宋体" w:hAnsi="宋体" w:eastAsia="宋体" w:cs="宋体"/>
          <w:sz w:val="24"/>
        </w:rPr>
        <w:t>根据</w:t>
      </w:r>
      <w:r>
        <w:rPr>
          <w:rFonts w:hint="eastAsia" w:ascii="Times New Roman" w:hAnsi="Times New Roman" w:eastAsia="Times New Roman" w:cs="Times New Roman"/>
          <w:sz w:val="24"/>
        </w:rPr>
        <w:t xml:space="preserve"> 2012</w:t>
      </w:r>
      <w:r>
        <w:rPr>
          <w:rFonts w:hint="eastAsia" w:ascii="宋体" w:hAnsi="宋体" w:eastAsia="宋体" w:cs="宋体"/>
          <w:sz w:val="24"/>
        </w:rPr>
        <w:t>年</w:t>
      </w:r>
      <w:r>
        <w:rPr>
          <w:rFonts w:hint="eastAsia" w:ascii="宋体" w:hAnsi="宋体" w:eastAsia="宋体" w:cs="宋体"/>
          <w:sz w:val="10"/>
        </w:rPr>
        <w:t>、</w:t>
      </w:r>
      <w:r>
        <w:rPr>
          <w:rFonts w:hint="eastAsia" w:ascii="Times New Roman" w:hAnsi="Times New Roman" w:eastAsia="Times New Roman" w:cs="Times New Roman"/>
          <w:sz w:val="24"/>
        </w:rPr>
        <w:t>2013</w:t>
      </w:r>
      <w:r>
        <w:rPr>
          <w:rFonts w:hint="eastAsia" w:ascii="宋体" w:hAnsi="宋体" w:eastAsia="宋体" w:cs="宋体"/>
          <w:sz w:val="24"/>
        </w:rPr>
        <w:t>年恒生电子的年报</w:t>
      </w:r>
      <w:r>
        <w:rPr>
          <w:rFonts w:hint="eastAsia" w:ascii="宋体" w:hAnsi="宋体" w:eastAsia="宋体" w:cs="宋体"/>
          <w:sz w:val="10"/>
        </w:rPr>
        <w:t>，</w:t>
      </w:r>
      <w:r>
        <w:rPr>
          <w:rFonts w:hint="eastAsia" w:ascii="宋体" w:hAnsi="宋体" w:eastAsia="宋体" w:cs="宋体"/>
          <w:sz w:val="24"/>
        </w:rPr>
        <w:t>定制软件业务毛利率分别为</w:t>
      </w:r>
      <w:r>
        <w:rPr>
          <w:rFonts w:hint="eastAsia" w:ascii="Times New Roman" w:hAnsi="Times New Roman" w:eastAsia="Times New Roman" w:cs="Times New Roman"/>
          <w:sz w:val="24"/>
        </w:rPr>
        <w:t xml:space="preserve"> 76.43%</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Times New Roman" w:hAnsi="Times New Roman" w:eastAsia="Times New Roman" w:cs="Times New Roman"/>
          <w:sz w:val="24"/>
        </w:rPr>
        <w:t>81.99%</w:t>
      </w:r>
      <w:r>
        <w:rPr>
          <w:rFonts w:hint="eastAsia" w:ascii="宋体" w:hAnsi="宋体" w:eastAsia="宋体" w:cs="宋体"/>
          <w:sz w:val="10"/>
        </w:rPr>
        <w:t>，</w:t>
      </w:r>
      <w:r>
        <w:rPr>
          <w:rFonts w:hint="eastAsia" w:ascii="宋体" w:hAnsi="宋体" w:eastAsia="宋体" w:cs="宋体"/>
          <w:sz w:val="24"/>
        </w:rPr>
        <w:t>定制软件业务占软件业务比例分别为</w:t>
      </w:r>
      <w:r>
        <w:rPr>
          <w:rFonts w:hint="eastAsia" w:ascii="Times New Roman" w:hAnsi="Times New Roman" w:eastAsia="Times New Roman" w:cs="Times New Roman"/>
          <w:sz w:val="24"/>
        </w:rPr>
        <w:t xml:space="preserve"> 21.45%</w:t>
      </w:r>
      <w:r>
        <w:rPr>
          <w:rFonts w:hint="eastAsia" w:ascii="宋体" w:hAnsi="宋体" w:eastAsia="宋体" w:cs="宋体"/>
          <w:sz w:val="10"/>
        </w:rPr>
        <w:t>、</w:t>
      </w:r>
      <w:r>
        <w:rPr>
          <w:rFonts w:hint="eastAsia" w:ascii="Times New Roman" w:hAnsi="Times New Roman" w:eastAsia="Times New Roman" w:cs="Times New Roman"/>
          <w:sz w:val="24"/>
        </w:rPr>
        <w:t>20.03%</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Times New Roman" w:hAnsi="Times New Roman" w:eastAsia="Times New Roman" w:cs="Times New Roman"/>
          <w:sz w:val="24"/>
        </w:rPr>
        <w:t>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公司定制软件业务毛利率分别为</w:t>
      </w:r>
      <w:r>
        <w:rPr>
          <w:rFonts w:hint="eastAsia" w:ascii="Times New Roman" w:hAnsi="Times New Roman" w:eastAsia="Times New Roman" w:cs="Times New Roman"/>
          <w:sz w:val="24"/>
        </w:rPr>
        <w:t xml:space="preserve"> 77.80%</w:t>
      </w:r>
      <w:r>
        <w:rPr>
          <w:rFonts w:hint="eastAsia" w:ascii="宋体" w:hAnsi="宋体" w:eastAsia="宋体" w:cs="宋体"/>
          <w:sz w:val="10"/>
        </w:rPr>
        <w:t>、</w:t>
      </w:r>
      <w:r>
        <w:rPr>
          <w:rFonts w:hint="eastAsia" w:ascii="Times New Roman" w:hAnsi="Times New Roman" w:eastAsia="Times New Roman" w:cs="Times New Roman"/>
          <w:sz w:val="24"/>
        </w:rPr>
        <w:t>78.32%</w:t>
      </w:r>
      <w:r>
        <w:rPr>
          <w:rFonts w:hint="eastAsia" w:ascii="宋体" w:hAnsi="宋体" w:eastAsia="宋体" w:cs="宋体"/>
          <w:sz w:val="24"/>
        </w:rPr>
        <w:t>和</w:t>
      </w:r>
      <w:r>
        <w:rPr>
          <w:rFonts w:hint="eastAsia" w:ascii="Times New Roman" w:hAnsi="Times New Roman" w:eastAsia="Times New Roman" w:cs="Times New Roman"/>
          <w:sz w:val="24"/>
        </w:rPr>
        <w:t xml:space="preserve"> 75.26%</w:t>
      </w:r>
      <w:r>
        <w:rPr>
          <w:rFonts w:hint="eastAsia" w:ascii="宋体" w:hAnsi="宋体" w:eastAsia="宋体" w:cs="宋体"/>
          <w:sz w:val="10"/>
        </w:rPr>
        <w:t>，</w:t>
      </w:r>
      <w:r>
        <w:rPr>
          <w:rFonts w:hint="eastAsia" w:ascii="宋体" w:hAnsi="宋体" w:eastAsia="宋体" w:cs="宋体"/>
          <w:sz w:val="24"/>
        </w:rPr>
        <w:t>定制软件业务占</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软件业务比例分别为</w:t>
      </w:r>
      <w:r>
        <w:rPr>
          <w:rFonts w:hint="eastAsia" w:ascii="Times New Roman" w:hAnsi="Times New Roman" w:eastAsia="Times New Roman" w:cs="Times New Roman"/>
          <w:sz w:val="24"/>
        </w:rPr>
        <w:t xml:space="preserve"> 69.38%</w:t>
      </w:r>
      <w:r>
        <w:rPr>
          <w:rFonts w:hint="eastAsia" w:ascii="宋体" w:hAnsi="宋体" w:eastAsia="宋体" w:cs="宋体"/>
          <w:sz w:val="10"/>
        </w:rPr>
        <w:t>、</w:t>
      </w:r>
      <w:r>
        <w:rPr>
          <w:rFonts w:hint="eastAsia" w:ascii="Times New Roman" w:hAnsi="Times New Roman" w:eastAsia="Times New Roman" w:cs="Times New Roman"/>
          <w:sz w:val="24"/>
        </w:rPr>
        <w:t>59.68%</w:t>
      </w:r>
      <w:r>
        <w:rPr>
          <w:rFonts w:hint="eastAsia" w:ascii="宋体" w:hAnsi="宋体" w:eastAsia="宋体" w:cs="宋体"/>
          <w:sz w:val="24"/>
        </w:rPr>
        <w:t>和</w:t>
      </w:r>
      <w:r>
        <w:rPr>
          <w:rFonts w:hint="eastAsia" w:ascii="Times New Roman" w:hAnsi="Times New Roman" w:eastAsia="Times New Roman" w:cs="Times New Roman"/>
          <w:sz w:val="24"/>
        </w:rPr>
        <w:t xml:space="preserve"> 66.72%</w:t>
      </w:r>
      <w:r>
        <w:rPr>
          <w:rFonts w:hint="eastAsia" w:ascii="宋体" w:hAnsi="宋体" w:eastAsia="宋体" w:cs="宋体"/>
          <w:sz w:val="10"/>
        </w:rPr>
        <w:t>。</w:t>
      </w:r>
      <w:r>
        <w:rPr>
          <w:rFonts w:hint="eastAsia" w:ascii="宋体" w:hAnsi="宋体" w:eastAsia="宋体" w:cs="宋体"/>
          <w:sz w:val="24"/>
        </w:rPr>
        <w:t>单从定制软件业务来看</w:t>
      </w:r>
      <w:r>
        <w:rPr>
          <w:rFonts w:hint="eastAsia" w:ascii="宋体" w:hAnsi="宋体" w:eastAsia="宋体" w:cs="宋体"/>
          <w:sz w:val="10"/>
        </w:rPr>
        <w:t>，</w:t>
      </w:r>
      <w:r>
        <w:rPr>
          <w:rFonts w:hint="eastAsia" w:ascii="宋体" w:hAnsi="宋体" w:eastAsia="宋体" w:cs="宋体"/>
          <w:sz w:val="24"/>
        </w:rPr>
        <w:t>公司定制软</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24"/>
        </w:rPr>
        <w:t>件业务毛利率与恒生电子不存在重大差异</w:t>
      </w:r>
      <w:r>
        <w:rPr>
          <w:rFonts w:hint="eastAsia" w:ascii="宋体" w:hAnsi="宋体" w:eastAsia="宋体" w:cs="宋体"/>
          <w:sz w:val="12"/>
        </w:rPr>
        <w:t>；</w:t>
      </w:r>
      <w:r>
        <w:rPr>
          <w:rFonts w:hint="eastAsia" w:ascii="宋体" w:hAnsi="宋体" w:eastAsia="宋体" w:cs="宋体"/>
          <w:sz w:val="24"/>
        </w:rPr>
        <w:t>公司软件业务毛利率低于恒生电子</w:t>
      </w:r>
      <w:r>
        <w:rPr>
          <w:rFonts w:hint="eastAsia" w:ascii="宋体" w:hAnsi="宋体" w:eastAsia="宋体" w:cs="宋体"/>
          <w:sz w:val="10"/>
        </w:rPr>
        <w:t>，</w:t>
      </w:r>
      <w:r>
        <w:rPr>
          <w:rFonts w:hint="eastAsia" w:ascii="宋体" w:hAnsi="宋体" w:eastAsia="宋体" w:cs="宋体"/>
          <w:sz w:val="24"/>
        </w:rPr>
        <w:t>主要由</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于公司定制软件业务占比较大</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）系统集成业务毛利率比较情况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公司及同行业上市公司系统集成业务毛利率情况如下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100" w:lineRule="exact"/>
        <w:rPr>
          <w:rFonts w:hint="eastAsia" w:ascii="宋体" w:hAnsi="宋体" w:eastAsia="宋体" w:cs="宋体"/>
          <w:sz w:val="20"/>
        </w:rPr>
      </w:pPr>
    </w:p>
    <w:tbl>
      <w:tblPr>
        <w:tblW w:w="11100" w:type="auto"/>
        <w:tblInd w:w="4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160"/>
        <w:gridCol w:w="1100"/>
        <w:gridCol w:w="1100"/>
        <w:gridCol w:w="1100"/>
        <w:gridCol w:w="1100"/>
        <w:gridCol w:w="1100"/>
        <w:gridCol w:w="1100"/>
        <w:gridCol w:w="1100"/>
        <w:gridCol w:w="1120"/>
        <w:gridCol w:w="1100"/>
      </w:tblGrid>
      <w:tr>
        <w:trPr>
          <w:trHeight w:val="620" w:hRule="exact"/>
        </w:trPr>
        <w:tc>
          <w:tcPr>
            <w:tcW w:w="1160" w:type="dxa"/>
            <w:vMerge w:val="restart"/>
            <w:tcMar>
              <w:top w:w="0" w:type="dxa"/>
              <w:left w:w="0" w:type="dxa"/>
              <w:bottom w:w="0" w:type="dxa"/>
              <w:right w:w="0" w:type="dxa"/>
            </w:tcMar>
          </w:tcPr>
          <w:p/>
        </w:tc>
        <w:tc>
          <w:tcPr>
            <w:tcW w:w="3300" w:type="dxa"/>
            <w:gridSpan w:val="3"/>
            <w:tcMar>
              <w:top w:w="0" w:type="dxa"/>
              <w:left w:w="0" w:type="dxa"/>
              <w:bottom w:w="0" w:type="dxa"/>
              <w:right w:w="0" w:type="dxa"/>
            </w:tcMar>
          </w:tcPr>
          <w:p>
            <w:pPr>
              <w:spacing w:before="200"/>
              <w:ind w:left="1200"/>
            </w:pPr>
            <w:r>
              <w:rPr>
                <w:rFonts w:hint="eastAsia" w:ascii="宋体" w:hAnsi="宋体" w:eastAsia="宋体" w:cs="宋体"/>
                <w:b/>
                <w:sz w:val="21"/>
              </w:rPr>
              <w:t>顶点软件</w:t>
            </w:r>
          </w:p>
        </w:tc>
        <w:tc>
          <w:tcPr>
            <w:tcW w:w="3300" w:type="dxa"/>
            <w:gridSpan w:val="3"/>
            <w:tcMar>
              <w:top w:w="0" w:type="dxa"/>
              <w:left w:w="0" w:type="dxa"/>
              <w:bottom w:w="0" w:type="dxa"/>
              <w:right w:w="0" w:type="dxa"/>
            </w:tcMar>
          </w:tcPr>
          <w:p>
            <w:pPr>
              <w:spacing w:before="200"/>
              <w:ind w:left="1220"/>
            </w:pPr>
            <w:r>
              <w:rPr>
                <w:rFonts w:hint="eastAsia" w:ascii="宋体" w:hAnsi="宋体" w:eastAsia="宋体" w:cs="宋体"/>
                <w:b/>
                <w:sz w:val="21"/>
              </w:rPr>
              <w:t>恒生电子</w:t>
            </w:r>
          </w:p>
        </w:tc>
        <w:tc>
          <w:tcPr>
            <w:tcW w:w="3320" w:type="dxa"/>
            <w:gridSpan w:val="3"/>
            <w:tcMar>
              <w:top w:w="0" w:type="dxa"/>
              <w:left w:w="0" w:type="dxa"/>
              <w:bottom w:w="0" w:type="dxa"/>
              <w:right w:w="0" w:type="dxa"/>
            </w:tcMar>
          </w:tcPr>
          <w:p>
            <w:pPr>
              <w:spacing w:before="200"/>
              <w:ind w:left="1220"/>
            </w:pPr>
            <w:r>
              <w:rPr>
                <w:rFonts w:hint="eastAsia" w:ascii="宋体" w:hAnsi="宋体" w:eastAsia="宋体" w:cs="宋体"/>
                <w:b/>
                <w:sz w:val="21"/>
              </w:rPr>
              <w:t>金证股份</w:t>
            </w:r>
          </w:p>
        </w:tc>
      </w:tr>
      <w:tr>
        <w:trPr>
          <w:trHeight w:val="640" w:hRule="exact"/>
        </w:trPr>
        <w:tc>
          <w:tcPr>
            <w:tcW w:w="1160" w:type="dxa"/>
            <w:vMerge w:val="continue"/>
            <w:tcMar>
              <w:top w:w="0" w:type="dxa"/>
              <w:left w:w="0" w:type="dxa"/>
              <w:bottom w:w="0" w:type="dxa"/>
              <w:right w:w="0" w:type="dxa"/>
            </w:tcMar>
          </w:tcPr>
          <w:p/>
        </w:tc>
        <w:tc>
          <w:tcPr>
            <w:tcW w:w="1100" w:type="dxa"/>
            <w:tcMar>
              <w:top w:w="0" w:type="dxa"/>
              <w:left w:w="0" w:type="dxa"/>
              <w:bottom w:w="0" w:type="dxa"/>
              <w:right w:w="0" w:type="dxa"/>
            </w:tcMar>
          </w:tcPr>
          <w:p>
            <w:pPr>
              <w:spacing w:before="20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1100" w:type="dxa"/>
            <w:tcMar>
              <w:top w:w="0" w:type="dxa"/>
              <w:left w:w="0" w:type="dxa"/>
              <w:bottom w:w="0" w:type="dxa"/>
              <w:right w:w="0" w:type="dxa"/>
            </w:tcMar>
          </w:tcPr>
          <w:p>
            <w:pPr>
              <w:spacing w:before="20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1100" w:type="dxa"/>
            <w:tcMar>
              <w:top w:w="0" w:type="dxa"/>
              <w:left w:w="0" w:type="dxa"/>
              <w:bottom w:w="0" w:type="dxa"/>
              <w:right w:w="0" w:type="dxa"/>
            </w:tcMar>
          </w:tcPr>
          <w:p>
            <w:pPr>
              <w:spacing w:before="2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c>
          <w:tcPr>
            <w:tcW w:w="1100" w:type="dxa"/>
            <w:tcMar>
              <w:top w:w="0" w:type="dxa"/>
              <w:left w:w="0" w:type="dxa"/>
              <w:bottom w:w="0" w:type="dxa"/>
              <w:right w:w="0" w:type="dxa"/>
            </w:tcMar>
          </w:tcPr>
          <w:p>
            <w:pPr>
              <w:spacing w:before="200"/>
              <w:ind w:left="10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1100" w:type="dxa"/>
            <w:tcMar>
              <w:top w:w="0" w:type="dxa"/>
              <w:left w:w="0" w:type="dxa"/>
              <w:bottom w:w="0" w:type="dxa"/>
              <w:right w:w="0" w:type="dxa"/>
            </w:tcMar>
          </w:tcPr>
          <w:p>
            <w:pPr>
              <w:spacing w:before="200"/>
              <w:ind w:left="10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1100" w:type="dxa"/>
            <w:tcMar>
              <w:top w:w="0" w:type="dxa"/>
              <w:left w:w="0" w:type="dxa"/>
              <w:bottom w:w="0" w:type="dxa"/>
              <w:right w:w="0" w:type="dxa"/>
            </w:tcMar>
          </w:tcPr>
          <w:p>
            <w:pPr>
              <w:spacing w:before="200"/>
              <w:ind w:left="1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c>
          <w:tcPr>
            <w:tcW w:w="1100" w:type="dxa"/>
            <w:tcMar>
              <w:top w:w="0" w:type="dxa"/>
              <w:left w:w="0" w:type="dxa"/>
              <w:bottom w:w="0" w:type="dxa"/>
              <w:right w:w="0" w:type="dxa"/>
            </w:tcMar>
          </w:tcPr>
          <w:p>
            <w:pPr>
              <w:spacing w:before="200"/>
              <w:ind w:left="10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1120" w:type="dxa"/>
            <w:tcMar>
              <w:top w:w="0" w:type="dxa"/>
              <w:left w:w="0" w:type="dxa"/>
              <w:bottom w:w="0" w:type="dxa"/>
              <w:right w:w="0" w:type="dxa"/>
            </w:tcMar>
          </w:tcPr>
          <w:p>
            <w:pPr>
              <w:spacing w:before="200"/>
              <w:ind w:left="10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1100" w:type="dxa"/>
            <w:tcMar>
              <w:top w:w="0" w:type="dxa"/>
              <w:left w:w="0" w:type="dxa"/>
              <w:bottom w:w="0" w:type="dxa"/>
              <w:right w:w="0" w:type="dxa"/>
            </w:tcMar>
          </w:tcPr>
          <w:p>
            <w:pPr>
              <w:spacing w:before="2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620" w:hRule="exact"/>
        </w:trPr>
        <w:tc>
          <w:tcPr>
            <w:tcW w:w="1160" w:type="dxa"/>
            <w:tcMar>
              <w:top w:w="0" w:type="dxa"/>
              <w:left w:w="0" w:type="dxa"/>
              <w:bottom w:w="0" w:type="dxa"/>
              <w:right w:w="0" w:type="dxa"/>
            </w:tcMar>
          </w:tcPr>
          <w:p>
            <w:pPr>
              <w:spacing w:before="180"/>
            </w:pPr>
            <w:r>
              <w:rPr>
                <w:rFonts w:hint="eastAsia" w:ascii="宋体" w:hAnsi="宋体" w:eastAsia="宋体" w:cs="宋体"/>
                <w:sz w:val="21"/>
              </w:rPr>
              <w:t>系统集成</w:t>
            </w:r>
          </w:p>
        </w:tc>
        <w:tc>
          <w:tcPr>
            <w:tcW w:w="1100" w:type="dxa"/>
            <w:tcMar>
              <w:top w:w="0" w:type="dxa"/>
              <w:left w:w="0" w:type="dxa"/>
              <w:bottom w:w="0" w:type="dxa"/>
              <w:right w:w="0" w:type="dxa"/>
            </w:tcMar>
          </w:tcPr>
          <w:p>
            <w:pPr>
              <w:spacing w:before="220"/>
              <w:ind w:left="32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r>
              <w:rPr>
                <w:rFonts w:hint="eastAsia" w:ascii="Times New Roman" w:hAnsi="Times New Roman" w:eastAsia="Times New Roman" w:cs="Times New Roman"/>
                <w:sz w:val="20"/>
              </w:rPr>
              <w:t>%</w:t>
            </w:r>
          </w:p>
        </w:tc>
        <w:tc>
          <w:tcPr>
            <w:tcW w:w="1100" w:type="dxa"/>
            <w:tcMar>
              <w:top w:w="0" w:type="dxa"/>
              <w:left w:w="0" w:type="dxa"/>
              <w:bottom w:w="0" w:type="dxa"/>
              <w:right w:w="0" w:type="dxa"/>
            </w:tcMar>
          </w:tcPr>
          <w:p>
            <w:pPr>
              <w:spacing w:before="220"/>
              <w:ind w:left="32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w:t>
            </w:r>
            <w:r>
              <w:rPr>
                <w:rFonts w:hint="eastAsia" w:ascii="Times New Roman" w:hAnsi="Times New Roman" w:eastAsia="Times New Roman" w:cs="Times New Roman"/>
                <w:sz w:val="20"/>
              </w:rPr>
              <w:t>%</w:t>
            </w:r>
          </w:p>
        </w:tc>
        <w:tc>
          <w:tcPr>
            <w:tcW w:w="1100" w:type="dxa"/>
            <w:tcMar>
              <w:top w:w="0" w:type="dxa"/>
              <w:left w:w="0" w:type="dxa"/>
              <w:bottom w:w="0" w:type="dxa"/>
              <w:right w:w="0" w:type="dxa"/>
            </w:tcMar>
          </w:tcPr>
          <w:p>
            <w:pPr>
              <w:spacing w:before="220"/>
              <w:ind w:left="32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r>
              <w:rPr>
                <w:rFonts w:hint="eastAsia" w:ascii="Times New Roman" w:hAnsi="Times New Roman" w:eastAsia="Times New Roman" w:cs="Times New Roman"/>
                <w:sz w:val="20"/>
              </w:rPr>
              <w:t>%</w:t>
            </w:r>
          </w:p>
        </w:tc>
        <w:tc>
          <w:tcPr>
            <w:tcW w:w="1100" w:type="dxa"/>
            <w:tcMar>
              <w:top w:w="0" w:type="dxa"/>
              <w:left w:w="0" w:type="dxa"/>
              <w:bottom w:w="0" w:type="dxa"/>
              <w:right w:w="0" w:type="dxa"/>
            </w:tcMar>
          </w:tcPr>
          <w:p>
            <w:pPr>
              <w:spacing w:before="220"/>
              <w:ind w:left="34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w:t>
            </w:r>
            <w:r>
              <w:rPr>
                <w:rFonts w:hint="eastAsia" w:ascii="Times New Roman" w:hAnsi="Times New Roman" w:eastAsia="Times New Roman" w:cs="Times New Roman"/>
                <w:sz w:val="20"/>
              </w:rPr>
              <w:t>%</w:t>
            </w:r>
          </w:p>
        </w:tc>
        <w:tc>
          <w:tcPr>
            <w:tcW w:w="1100" w:type="dxa"/>
            <w:tcMar>
              <w:top w:w="0" w:type="dxa"/>
              <w:left w:w="0" w:type="dxa"/>
              <w:bottom w:w="0" w:type="dxa"/>
              <w:right w:w="0" w:type="dxa"/>
            </w:tcMar>
          </w:tcPr>
          <w:p>
            <w:pPr>
              <w:spacing w:before="220"/>
              <w:ind w:left="3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r>
              <w:rPr>
                <w:rFonts w:hint="eastAsia" w:ascii="Times New Roman" w:hAnsi="Times New Roman" w:eastAsia="Times New Roman" w:cs="Times New Roman"/>
                <w:sz w:val="20"/>
              </w:rPr>
              <w:t>%</w:t>
            </w:r>
          </w:p>
        </w:tc>
        <w:tc>
          <w:tcPr>
            <w:tcW w:w="1100" w:type="dxa"/>
            <w:tcMar>
              <w:top w:w="0" w:type="dxa"/>
              <w:left w:w="0" w:type="dxa"/>
              <w:bottom w:w="0" w:type="dxa"/>
              <w:right w:w="0" w:type="dxa"/>
            </w:tcMar>
          </w:tcPr>
          <w:p>
            <w:pPr>
              <w:spacing w:before="220"/>
              <w:ind w:left="34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r>
              <w:rPr>
                <w:rFonts w:hint="eastAsia" w:ascii="Times New Roman" w:hAnsi="Times New Roman" w:eastAsia="Times New Roman" w:cs="Times New Roman"/>
                <w:sz w:val="20"/>
              </w:rPr>
              <w:t>%</w:t>
            </w:r>
          </w:p>
        </w:tc>
        <w:tc>
          <w:tcPr>
            <w:tcW w:w="1100" w:type="dxa"/>
            <w:tcMar>
              <w:top w:w="0" w:type="dxa"/>
              <w:left w:w="0" w:type="dxa"/>
              <w:bottom w:w="0" w:type="dxa"/>
              <w:right w:w="0" w:type="dxa"/>
            </w:tcMar>
          </w:tcPr>
          <w:p>
            <w:pPr>
              <w:spacing w:before="220"/>
              <w:ind w:left="34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89</w:t>
            </w:r>
            <w:r>
              <w:rPr>
                <w:rFonts w:hint="eastAsia" w:ascii="Times New Roman" w:hAnsi="Times New Roman" w:eastAsia="Times New Roman" w:cs="Times New Roman"/>
                <w:sz w:val="20"/>
              </w:rPr>
              <w:t>%</w:t>
            </w:r>
          </w:p>
        </w:tc>
        <w:tc>
          <w:tcPr>
            <w:tcW w:w="1120" w:type="dxa"/>
            <w:tcMar>
              <w:top w:w="0" w:type="dxa"/>
              <w:left w:w="0" w:type="dxa"/>
              <w:bottom w:w="0" w:type="dxa"/>
              <w:right w:w="0" w:type="dxa"/>
            </w:tcMar>
          </w:tcPr>
          <w:p>
            <w:pPr>
              <w:spacing w:before="220"/>
              <w:ind w:left="34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p>
        </w:tc>
        <w:tc>
          <w:tcPr>
            <w:tcW w:w="1100" w:type="dxa"/>
            <w:tcMar>
              <w:top w:w="0" w:type="dxa"/>
              <w:left w:w="0" w:type="dxa"/>
              <w:bottom w:w="0" w:type="dxa"/>
              <w:right w:w="0" w:type="dxa"/>
            </w:tcMar>
          </w:tcPr>
          <w:p>
            <w:pPr>
              <w:spacing w:before="220"/>
              <w:ind w:left="32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w:t>
            </w:r>
            <w:r>
              <w:rPr>
                <w:rFonts w:hint="eastAsia" w:ascii="Times New Roman" w:hAnsi="Times New Roman" w:eastAsia="Times New Roman" w:cs="Times New Roman"/>
                <w:sz w:val="20"/>
              </w:rPr>
              <w:t>%</w:t>
            </w:r>
          </w:p>
        </w:tc>
      </w:tr>
    </w:tbl>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公司系统集成业务毛利率与恒生电子相近</w:t>
      </w:r>
      <w:r>
        <w:rPr>
          <w:rFonts w:hint="eastAsia" w:ascii="宋体" w:hAnsi="宋体" w:eastAsia="宋体" w:cs="宋体"/>
          <w:sz w:val="10"/>
        </w:rPr>
        <w:t>，</w:t>
      </w:r>
      <w:r>
        <w:rPr>
          <w:rFonts w:hint="eastAsia" w:ascii="宋体" w:hAnsi="宋体" w:eastAsia="宋体" w:cs="宋体"/>
          <w:sz w:val="24"/>
        </w:rPr>
        <w:t>比金证股</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24"/>
        </w:rPr>
        <w:t>份稍高</w:t>
      </w:r>
      <w:r>
        <w:rPr>
          <w:rFonts w:hint="eastAsia" w:ascii="宋体" w:hAnsi="宋体" w:eastAsia="宋体" w:cs="宋体"/>
          <w:sz w:val="10"/>
        </w:rPr>
        <w:t>，</w:t>
      </w:r>
      <w:r>
        <w:rPr>
          <w:rFonts w:hint="eastAsia" w:ascii="宋体" w:hAnsi="宋体" w:eastAsia="宋体" w:cs="宋体"/>
          <w:sz w:val="24"/>
        </w:rPr>
        <w:t>不存在重大差异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综上所述</w:t>
      </w:r>
      <w:r>
        <w:rPr>
          <w:rFonts w:hint="eastAsia" w:ascii="宋体" w:hAnsi="宋体" w:eastAsia="宋体" w:cs="宋体"/>
          <w:sz w:val="10"/>
        </w:rPr>
        <w:t>，</w:t>
      </w:r>
      <w:r>
        <w:rPr>
          <w:rFonts w:hint="eastAsia" w:ascii="宋体" w:hAnsi="宋体" w:eastAsia="宋体" w:cs="宋体"/>
          <w:sz w:val="24"/>
        </w:rPr>
        <w:t>公司各类业务毛利率与同行业上市公司相比没有重大差异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）非金融行业业务毛利率情况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发行人非金融行业毛利率情况如下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1-1-288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900"/>
        <w:gridCol w:w="2120"/>
        <w:gridCol w:w="2120"/>
        <w:gridCol w:w="2120"/>
      </w:tblGrid>
      <w:tr>
        <w:trPr>
          <w:trHeight w:val="640" w:hRule="exact"/>
        </w:trPr>
        <w:tc>
          <w:tcPr>
            <w:tcW w:w="2900" w:type="dxa"/>
            <w:tcMar>
              <w:top w:w="0" w:type="dxa"/>
              <w:left w:w="0" w:type="dxa"/>
              <w:bottom w:w="0" w:type="dxa"/>
              <w:right w:w="0" w:type="dxa"/>
            </w:tcMar>
          </w:tcPr>
          <w:p>
            <w:pPr>
              <w:spacing w:before="200"/>
              <w:ind w:left="1100"/>
            </w:pPr>
            <w:r>
              <w:rPr>
                <w:rFonts w:hint="eastAsia" w:ascii="宋体" w:hAnsi="宋体" w:eastAsia="宋体" w:cs="宋体"/>
                <w:b/>
                <w:sz w:val="22"/>
              </w:rPr>
              <w:t>毛利率</w:t>
            </w:r>
          </w:p>
        </w:tc>
        <w:tc>
          <w:tcPr>
            <w:tcW w:w="2120" w:type="dxa"/>
            <w:tcMar>
              <w:top w:w="0" w:type="dxa"/>
              <w:left w:w="0" w:type="dxa"/>
              <w:bottom w:w="0" w:type="dxa"/>
              <w:right w:w="0" w:type="dxa"/>
            </w:tcMar>
          </w:tcPr>
          <w:p>
            <w:pPr>
              <w:spacing w:before="200"/>
              <w:ind w:left="680"/>
            </w:pPr>
            <w:r>
              <w:rPr>
                <w:rFonts w:hint="eastAsia" w:ascii="Times New Roman Bold" w:hAnsi="Times New Roman Bold" w:eastAsia="Times New Roman Bold" w:cs="Times New Roman Bold"/>
                <w:b/>
                <w:sz w:val="22"/>
              </w:rPr>
              <w:t>2016</w:t>
            </w:r>
            <w:r>
              <w:rPr>
                <w:rFonts w:hint="eastAsia" w:ascii="宋体" w:hAnsi="宋体" w:eastAsia="宋体" w:cs="宋体"/>
                <w:b/>
                <w:sz w:val="22"/>
              </w:rPr>
              <w:t xml:space="preserve"> 年</w:t>
            </w:r>
          </w:p>
        </w:tc>
        <w:tc>
          <w:tcPr>
            <w:tcW w:w="2120" w:type="dxa"/>
            <w:tcMar>
              <w:top w:w="0" w:type="dxa"/>
              <w:left w:w="0" w:type="dxa"/>
              <w:bottom w:w="0" w:type="dxa"/>
              <w:right w:w="0" w:type="dxa"/>
            </w:tcMar>
          </w:tcPr>
          <w:p>
            <w:pPr>
              <w:spacing w:before="200"/>
              <w:ind w:left="680"/>
            </w:pPr>
            <w:r>
              <w:rPr>
                <w:rFonts w:hint="eastAsia" w:ascii="Times New Roman Bold" w:hAnsi="Times New Roman Bold" w:eastAsia="Times New Roman Bold" w:cs="Times New Roman Bold"/>
                <w:b/>
                <w:sz w:val="22"/>
              </w:rPr>
              <w:t>2015</w:t>
            </w:r>
            <w:r>
              <w:rPr>
                <w:rFonts w:hint="eastAsia" w:ascii="宋体" w:hAnsi="宋体" w:eastAsia="宋体" w:cs="宋体"/>
                <w:b/>
                <w:sz w:val="22"/>
              </w:rPr>
              <w:t xml:space="preserve"> 年</w:t>
            </w:r>
          </w:p>
        </w:tc>
        <w:tc>
          <w:tcPr>
            <w:tcW w:w="2120" w:type="dxa"/>
            <w:tcMar>
              <w:top w:w="0" w:type="dxa"/>
              <w:left w:w="0" w:type="dxa"/>
              <w:bottom w:w="0" w:type="dxa"/>
              <w:right w:w="0" w:type="dxa"/>
            </w:tcMar>
          </w:tcPr>
          <w:p>
            <w:pPr>
              <w:spacing w:before="200"/>
              <w:ind w:left="680"/>
            </w:pPr>
            <w:r>
              <w:rPr>
                <w:rFonts w:hint="eastAsia" w:ascii="Times New Roman Bold" w:hAnsi="Times New Roman Bold" w:eastAsia="Times New Roman Bold" w:cs="Times New Roman Bold"/>
                <w:b/>
                <w:sz w:val="22"/>
              </w:rPr>
              <w:t>2014</w:t>
            </w:r>
            <w:r>
              <w:rPr>
                <w:rFonts w:hint="eastAsia" w:ascii="宋体" w:hAnsi="宋体" w:eastAsia="宋体" w:cs="宋体"/>
                <w:b/>
                <w:sz w:val="22"/>
              </w:rPr>
              <w:t xml:space="preserve"> 年</w:t>
            </w:r>
          </w:p>
        </w:tc>
      </w:tr>
      <w:tr>
        <w:trPr>
          <w:trHeight w:val="620" w:hRule="exact"/>
        </w:trPr>
        <w:tc>
          <w:tcPr>
            <w:tcW w:w="2900" w:type="dxa"/>
            <w:tcMar>
              <w:top w:w="0" w:type="dxa"/>
              <w:left w:w="0" w:type="dxa"/>
              <w:bottom w:w="0" w:type="dxa"/>
              <w:right w:w="0" w:type="dxa"/>
            </w:tcMar>
          </w:tcPr>
          <w:p>
            <w:pPr>
              <w:spacing w:before="180"/>
              <w:ind w:left="660"/>
            </w:pPr>
            <w:r>
              <w:rPr>
                <w:rFonts w:hint="eastAsia" w:ascii="宋体" w:hAnsi="宋体" w:eastAsia="宋体" w:cs="宋体"/>
                <w:sz w:val="22"/>
              </w:rPr>
              <w:t>非金融行业业务</w:t>
            </w:r>
          </w:p>
        </w:tc>
        <w:tc>
          <w:tcPr>
            <w:tcW w:w="2120" w:type="dxa"/>
            <w:tcMar>
              <w:top w:w="0" w:type="dxa"/>
              <w:left w:w="0" w:type="dxa"/>
              <w:bottom w:w="0" w:type="dxa"/>
              <w:right w:w="0" w:type="dxa"/>
            </w:tcMar>
          </w:tcPr>
          <w:p>
            <w:pPr>
              <w:spacing w:before="220"/>
              <w:ind w:left="1320"/>
            </w:pPr>
            <w:r>
              <w:rPr>
                <w:rFonts w:hint="eastAsia" w:ascii="Times New Roman" w:hAnsi="Times New Roman" w:eastAsia="Times New Roman" w:cs="Times New Roman"/>
                <w:sz w:val="22"/>
              </w:rPr>
              <w:t>66.73%</w:t>
            </w:r>
          </w:p>
        </w:tc>
        <w:tc>
          <w:tcPr>
            <w:tcW w:w="2120" w:type="dxa"/>
            <w:tcMar>
              <w:top w:w="0" w:type="dxa"/>
              <w:left w:w="0" w:type="dxa"/>
              <w:bottom w:w="0" w:type="dxa"/>
              <w:right w:w="0" w:type="dxa"/>
            </w:tcMar>
          </w:tcPr>
          <w:p>
            <w:pPr>
              <w:spacing w:before="220"/>
              <w:ind w:left="1320"/>
            </w:pPr>
            <w:r>
              <w:rPr>
                <w:rFonts w:hint="eastAsia" w:ascii="Times New Roman" w:hAnsi="Times New Roman" w:eastAsia="Times New Roman" w:cs="Times New Roman"/>
                <w:sz w:val="22"/>
              </w:rPr>
              <w:t>74.40%</w:t>
            </w:r>
          </w:p>
        </w:tc>
        <w:tc>
          <w:tcPr>
            <w:tcW w:w="2120" w:type="dxa"/>
            <w:tcMar>
              <w:top w:w="0" w:type="dxa"/>
              <w:left w:w="0" w:type="dxa"/>
              <w:bottom w:w="0" w:type="dxa"/>
              <w:right w:w="0" w:type="dxa"/>
            </w:tcMar>
          </w:tcPr>
          <w:p>
            <w:pPr>
              <w:spacing w:before="220"/>
              <w:ind w:left="1320"/>
            </w:pPr>
            <w:r>
              <w:rPr>
                <w:rFonts w:hint="eastAsia" w:ascii="Times New Roman" w:hAnsi="Times New Roman" w:eastAsia="Times New Roman" w:cs="Times New Roman"/>
                <w:sz w:val="22"/>
              </w:rPr>
              <w:t>76.67%</w:t>
            </w:r>
          </w:p>
        </w:tc>
      </w:tr>
      <w:tr>
        <w:trPr>
          <w:trHeight w:val="640" w:hRule="exact"/>
        </w:trPr>
        <w:tc>
          <w:tcPr>
            <w:tcW w:w="2900" w:type="dxa"/>
            <w:tcMar>
              <w:top w:w="0" w:type="dxa"/>
              <w:left w:w="0" w:type="dxa"/>
              <w:bottom w:w="0" w:type="dxa"/>
              <w:right w:w="0" w:type="dxa"/>
            </w:tcMar>
          </w:tcPr>
          <w:p>
            <w:pPr>
              <w:spacing w:before="200"/>
              <w:ind w:left="760"/>
            </w:pPr>
            <w:r>
              <w:rPr>
                <w:rFonts w:hint="eastAsia" w:ascii="宋体" w:hAnsi="宋体" w:eastAsia="宋体" w:cs="宋体"/>
                <w:sz w:val="22"/>
              </w:rPr>
              <w:t>金融行业业务</w:t>
            </w:r>
          </w:p>
        </w:tc>
        <w:tc>
          <w:tcPr>
            <w:tcW w:w="2120" w:type="dxa"/>
            <w:tcMar>
              <w:top w:w="0" w:type="dxa"/>
              <w:left w:w="0" w:type="dxa"/>
              <w:bottom w:w="0" w:type="dxa"/>
              <w:right w:w="0" w:type="dxa"/>
            </w:tcMar>
          </w:tcPr>
          <w:p>
            <w:pPr>
              <w:spacing w:before="240"/>
              <w:ind w:left="1320"/>
            </w:pPr>
            <w:r>
              <w:rPr>
                <w:rFonts w:hint="eastAsia" w:ascii="Times New Roman" w:hAnsi="Times New Roman" w:eastAsia="Times New Roman" w:cs="Times New Roman"/>
                <w:sz w:val="22"/>
              </w:rPr>
              <w:t>81.44%</w:t>
            </w:r>
          </w:p>
        </w:tc>
        <w:tc>
          <w:tcPr>
            <w:tcW w:w="2120" w:type="dxa"/>
            <w:tcMar>
              <w:top w:w="0" w:type="dxa"/>
              <w:left w:w="0" w:type="dxa"/>
              <w:bottom w:w="0" w:type="dxa"/>
              <w:right w:w="0" w:type="dxa"/>
            </w:tcMar>
          </w:tcPr>
          <w:p>
            <w:pPr>
              <w:spacing w:before="240"/>
              <w:ind w:left="1320"/>
            </w:pPr>
            <w:r>
              <w:rPr>
                <w:rFonts w:hint="eastAsia" w:ascii="Times New Roman" w:hAnsi="Times New Roman" w:eastAsia="Times New Roman" w:cs="Times New Roman"/>
                <w:sz w:val="22"/>
              </w:rPr>
              <w:t>77.12%</w:t>
            </w:r>
          </w:p>
        </w:tc>
        <w:tc>
          <w:tcPr>
            <w:tcW w:w="2120" w:type="dxa"/>
            <w:tcMar>
              <w:top w:w="0" w:type="dxa"/>
              <w:left w:w="0" w:type="dxa"/>
              <w:bottom w:w="0" w:type="dxa"/>
              <w:right w:w="0" w:type="dxa"/>
            </w:tcMar>
          </w:tcPr>
          <w:p>
            <w:pPr>
              <w:spacing w:before="240"/>
              <w:ind w:left="1320"/>
            </w:pPr>
            <w:r>
              <w:rPr>
                <w:rFonts w:hint="eastAsia" w:ascii="Times New Roman" w:hAnsi="Times New Roman" w:eastAsia="Times New Roman" w:cs="Times New Roman"/>
                <w:sz w:val="22"/>
              </w:rPr>
              <w:t>79.24%</w:t>
            </w:r>
          </w:p>
        </w:tc>
      </w:tr>
    </w:tbl>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发行人非金融行业业务毛利率低于金融行业业务毛利率</w:t>
      </w:r>
      <w:r>
        <w:rPr>
          <w:rFonts w:hint="eastAsia" w:ascii="宋体" w:hAnsi="宋体" w:eastAsia="宋体" w:cs="宋体"/>
          <w:sz w:val="10"/>
        </w:rPr>
        <w:t>，</w:t>
      </w:r>
      <w:r>
        <w:rPr>
          <w:rFonts w:hint="eastAsia" w:ascii="宋体" w:hAnsi="宋体" w:eastAsia="宋体" w:cs="宋体"/>
          <w:sz w:val="24"/>
        </w:rPr>
        <w:t>发行人营业收入主要来自于金融行业客户</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（五）报告期内非经常性损益分析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公司非经常性损益及其占净利润比例如下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2320"/>
        <w:gridCol w:w="2320"/>
        <w:gridCol w:w="2300"/>
        <w:gridCol w:w="2320"/>
      </w:tblGrid>
      <w:tr>
        <w:trPr>
          <w:trHeight w:val="480" w:hRule="exact"/>
        </w:trPr>
        <w:tc>
          <w:tcPr>
            <w:tcW w:w="2320" w:type="dxa"/>
            <w:tcMar>
              <w:top w:w="0" w:type="dxa"/>
              <w:left w:w="0" w:type="dxa"/>
              <w:bottom w:w="0" w:type="dxa"/>
              <w:right w:w="0" w:type="dxa"/>
            </w:tcMar>
          </w:tcPr>
          <w:p>
            <w:pPr>
              <w:spacing w:before="120"/>
              <w:ind w:left="920"/>
            </w:pPr>
            <w:r>
              <w:rPr>
                <w:rFonts w:hint="eastAsia" w:ascii="宋体" w:hAnsi="宋体" w:eastAsia="宋体" w:cs="宋体"/>
                <w:b/>
                <w:sz w:val="21"/>
              </w:rPr>
              <w:t>项目</w:t>
            </w:r>
          </w:p>
        </w:tc>
        <w:tc>
          <w:tcPr>
            <w:tcW w:w="232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300" w:type="dxa"/>
            <w:tcMar>
              <w:top w:w="0" w:type="dxa"/>
              <w:left w:w="0" w:type="dxa"/>
              <w:bottom w:w="0" w:type="dxa"/>
              <w:right w:w="0" w:type="dxa"/>
            </w:tcMar>
          </w:tcPr>
          <w:p>
            <w:pPr>
              <w:spacing w:before="120"/>
              <w:ind w:left="6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320" w:type="dxa"/>
            <w:tcMar>
              <w:top w:w="0" w:type="dxa"/>
              <w:left w:w="0" w:type="dxa"/>
              <w:bottom w:w="0" w:type="dxa"/>
              <w:right w:w="0" w:type="dxa"/>
            </w:tcMar>
          </w:tcPr>
          <w:p>
            <w:pPr>
              <w:spacing w:before="120"/>
              <w:ind w:left="70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560" w:hRule="exact"/>
        </w:trPr>
        <w:tc>
          <w:tcPr>
            <w:tcW w:w="2320" w:type="dxa"/>
            <w:tcMar>
              <w:top w:w="0" w:type="dxa"/>
              <w:left w:w="0" w:type="dxa"/>
              <w:bottom w:w="0" w:type="dxa"/>
              <w:right w:w="0" w:type="dxa"/>
            </w:tcMar>
          </w:tcPr>
          <w:p>
            <w:pPr>
              <w:spacing w:before="0"/>
              <w:ind w:left="100"/>
            </w:pPr>
            <w:r>
              <w:rPr>
                <w:rFonts w:hint="eastAsia" w:ascii="宋体" w:hAnsi="宋体" w:eastAsia="宋体" w:cs="宋体"/>
                <w:sz w:val="21"/>
              </w:rPr>
              <w:t>净利润</w:t>
            </w:r>
            <w:r>
              <w:rPr>
                <w:rFonts w:hint="eastAsia" w:ascii="宋体" w:hAnsi="宋体" w:eastAsia="宋体" w:cs="宋体"/>
                <w:sz w:val="20"/>
              </w:rPr>
              <w:t>（</w:t>
            </w:r>
            <w:r>
              <w:rPr>
                <w:rFonts w:hint="eastAsia" w:ascii="宋体" w:hAnsi="宋体" w:eastAsia="宋体" w:cs="宋体"/>
                <w:sz w:val="21"/>
              </w:rPr>
              <w:t>归属于母公司</w:t>
            </w:r>
          </w:p>
          <w:p>
            <w:pPr>
              <w:spacing w:before="80"/>
              <w:ind w:left="100"/>
            </w:pPr>
            <w:r>
              <w:rPr>
                <w:rFonts w:hint="eastAsia" w:ascii="宋体" w:hAnsi="宋体" w:eastAsia="宋体" w:cs="宋体"/>
                <w:sz w:val="21"/>
              </w:rPr>
              <w:t>所有者</w:t>
            </w:r>
            <w:r>
              <w:rPr>
                <w:rFonts w:hint="eastAsia" w:ascii="宋体" w:hAnsi="宋体" w:eastAsia="宋体" w:cs="宋体"/>
                <w:sz w:val="20"/>
              </w:rPr>
              <w:t>）</w:t>
            </w:r>
          </w:p>
        </w:tc>
        <w:tc>
          <w:tcPr>
            <w:tcW w:w="2320" w:type="dxa"/>
            <w:tcMar>
              <w:top w:w="0" w:type="dxa"/>
              <w:left w:w="0" w:type="dxa"/>
              <w:bottom w:w="0" w:type="dxa"/>
              <w:right w:w="0" w:type="dxa"/>
            </w:tcMar>
          </w:tcPr>
          <w:p>
            <w:pPr>
              <w:spacing w:before="200"/>
              <w:ind w:left="980"/>
            </w:pPr>
            <w:r>
              <w:rPr>
                <w:rFonts w:hint="eastAsia" w:ascii="Times New Roman" w:hAnsi="Times New Roman" w:eastAsia="Times New Roman" w:cs="Times New Roman"/>
                <w:sz w:val="21"/>
              </w:rPr>
              <w:t>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16</w:t>
            </w:r>
          </w:p>
        </w:tc>
        <w:tc>
          <w:tcPr>
            <w:tcW w:w="2300" w:type="dxa"/>
            <w:tcMar>
              <w:top w:w="0" w:type="dxa"/>
              <w:left w:w="0" w:type="dxa"/>
              <w:bottom w:w="0" w:type="dxa"/>
              <w:right w:w="0" w:type="dxa"/>
            </w:tcMar>
          </w:tcPr>
          <w:p>
            <w:pPr>
              <w:spacing w:before="200"/>
              <w:ind w:left="980"/>
            </w:pPr>
            <w:r>
              <w:rPr>
                <w:rFonts w:hint="eastAsia" w:ascii="Times New Roman" w:hAnsi="Times New Roman" w:eastAsia="Times New Roman" w:cs="Times New Roman"/>
                <w:sz w:val="21"/>
              </w:rPr>
              <w:t>83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37</w:t>
            </w:r>
          </w:p>
        </w:tc>
        <w:tc>
          <w:tcPr>
            <w:tcW w:w="2320" w:type="dxa"/>
            <w:tcMar>
              <w:top w:w="0" w:type="dxa"/>
              <w:left w:w="0" w:type="dxa"/>
              <w:bottom w:w="0" w:type="dxa"/>
              <w:right w:w="0" w:type="dxa"/>
            </w:tcMar>
          </w:tcPr>
          <w:p>
            <w:pPr>
              <w:spacing w:before="200"/>
              <w:ind w:left="1000"/>
            </w:pPr>
            <w:r>
              <w:rPr>
                <w:rFonts w:hint="eastAsia" w:ascii="Times New Roman" w:hAnsi="Times New Roman" w:eastAsia="Times New Roman" w:cs="Times New Roman"/>
                <w:sz w:val="21"/>
              </w:rPr>
              <w:t>48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w:t>
            </w:r>
          </w:p>
        </w:tc>
      </w:tr>
      <w:tr>
        <w:trPr>
          <w:trHeight w:val="560" w:hRule="exact"/>
        </w:trPr>
        <w:tc>
          <w:tcPr>
            <w:tcW w:w="2320" w:type="dxa"/>
            <w:tcMar>
              <w:top w:w="0" w:type="dxa"/>
              <w:left w:w="0" w:type="dxa"/>
              <w:bottom w:w="0" w:type="dxa"/>
              <w:right w:w="0" w:type="dxa"/>
            </w:tcMar>
          </w:tcPr>
          <w:p>
            <w:pPr>
              <w:spacing w:before="20"/>
              <w:ind w:left="100"/>
            </w:pPr>
            <w:r>
              <w:rPr>
                <w:rFonts w:hint="eastAsia" w:ascii="宋体" w:hAnsi="宋体" w:eastAsia="宋体" w:cs="宋体"/>
                <w:sz w:val="21"/>
              </w:rPr>
              <w:t>非经常性损益</w:t>
            </w:r>
            <w:r>
              <w:rPr>
                <w:rFonts w:hint="eastAsia" w:ascii="宋体" w:hAnsi="宋体" w:eastAsia="宋体" w:cs="宋体"/>
                <w:sz w:val="20"/>
              </w:rPr>
              <w:t>（</w:t>
            </w:r>
            <w:r>
              <w:rPr>
                <w:rFonts w:hint="eastAsia" w:ascii="宋体" w:hAnsi="宋体" w:eastAsia="宋体" w:cs="宋体"/>
                <w:sz w:val="21"/>
              </w:rPr>
              <w:t>归属于</w:t>
            </w:r>
          </w:p>
          <w:p>
            <w:pPr>
              <w:spacing w:before="60"/>
              <w:ind w:left="100"/>
            </w:pPr>
            <w:r>
              <w:rPr>
                <w:rFonts w:hint="eastAsia" w:ascii="宋体" w:hAnsi="宋体" w:eastAsia="宋体" w:cs="宋体"/>
                <w:sz w:val="21"/>
              </w:rPr>
              <w:t>母公司所有者</w:t>
            </w:r>
            <w:r>
              <w:rPr>
                <w:rFonts w:hint="eastAsia" w:ascii="宋体" w:hAnsi="宋体" w:eastAsia="宋体" w:cs="宋体"/>
                <w:sz w:val="20"/>
              </w:rPr>
              <w:t>）</w:t>
            </w:r>
          </w:p>
        </w:tc>
        <w:tc>
          <w:tcPr>
            <w:tcW w:w="2320" w:type="dxa"/>
            <w:tcMar>
              <w:top w:w="0" w:type="dxa"/>
              <w:left w:w="0" w:type="dxa"/>
              <w:bottom w:w="0" w:type="dxa"/>
              <w:right w:w="0" w:type="dxa"/>
            </w:tcMar>
          </w:tcPr>
          <w:p>
            <w:pPr>
              <w:spacing w:before="200"/>
              <w:ind w:left="1240"/>
            </w:pPr>
            <w:r>
              <w:rPr>
                <w:rFonts w:hint="eastAsia" w:ascii="Times New Roman" w:hAnsi="Times New Roman" w:eastAsia="Times New Roman" w:cs="Times New Roman"/>
                <w:sz w:val="21"/>
              </w:rPr>
              <w:t>692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57</w:t>
            </w:r>
          </w:p>
        </w:tc>
        <w:tc>
          <w:tcPr>
            <w:tcW w:w="2300" w:type="dxa"/>
            <w:tcMar>
              <w:top w:w="0" w:type="dxa"/>
              <w:left w:w="0" w:type="dxa"/>
              <w:bottom w:w="0" w:type="dxa"/>
              <w:right w:w="0" w:type="dxa"/>
            </w:tcMar>
          </w:tcPr>
          <w:p>
            <w:pPr>
              <w:spacing w:before="200"/>
              <w:ind w:left="980"/>
            </w:pPr>
            <w:r>
              <w:rPr>
                <w:rFonts w:hint="eastAsia" w:ascii="Times New Roman" w:hAnsi="Times New Roman" w:eastAsia="Times New Roman" w:cs="Times New Roman"/>
                <w:sz w:val="21"/>
              </w:rPr>
              <w:t>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c>
          <w:tcPr>
            <w:tcW w:w="2320" w:type="dxa"/>
            <w:tcMar>
              <w:top w:w="0" w:type="dxa"/>
              <w:left w:w="0" w:type="dxa"/>
              <w:bottom w:w="0" w:type="dxa"/>
              <w:right w:w="0" w:type="dxa"/>
            </w:tcMar>
          </w:tcPr>
          <w:p>
            <w:pPr>
              <w:spacing w:before="200"/>
              <w:ind w:left="1260"/>
            </w:pPr>
            <w:r>
              <w:rPr>
                <w:rFonts w:hint="eastAsia" w:ascii="Times New Roman" w:hAnsi="Times New Roman" w:eastAsia="Times New Roman" w:cs="Times New Roman"/>
                <w:sz w:val="21"/>
              </w:rPr>
              <w:t>905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39</w:t>
            </w:r>
          </w:p>
        </w:tc>
      </w:tr>
      <w:tr>
        <w:trPr>
          <w:trHeight w:val="1240" w:hRule="exact"/>
        </w:trPr>
        <w:tc>
          <w:tcPr>
            <w:tcW w:w="2320" w:type="dxa"/>
            <w:tcMar>
              <w:top w:w="0" w:type="dxa"/>
              <w:left w:w="0" w:type="dxa"/>
              <w:bottom w:w="0" w:type="dxa"/>
              <w:right w:w="0" w:type="dxa"/>
            </w:tcMar>
          </w:tcPr>
          <w:p>
            <w:pPr>
              <w:spacing w:before="40"/>
              <w:ind w:left="100"/>
            </w:pPr>
            <w:r>
              <w:rPr>
                <w:rFonts w:hint="eastAsia" w:ascii="宋体" w:hAnsi="宋体" w:eastAsia="宋体" w:cs="宋体"/>
                <w:sz w:val="21"/>
              </w:rPr>
              <w:t>非经常性损益</w:t>
            </w:r>
            <w:r>
              <w:rPr>
                <w:rFonts w:hint="eastAsia" w:ascii="宋体" w:hAnsi="宋体" w:eastAsia="宋体" w:cs="宋体"/>
                <w:sz w:val="20"/>
              </w:rPr>
              <w:t>（</w:t>
            </w:r>
            <w:r>
              <w:rPr>
                <w:rFonts w:hint="eastAsia" w:ascii="宋体" w:hAnsi="宋体" w:eastAsia="宋体" w:cs="宋体"/>
                <w:sz w:val="21"/>
              </w:rPr>
              <w:t>归属于</w:t>
            </w:r>
          </w:p>
          <w:p>
            <w:pPr>
              <w:spacing w:before="100"/>
              <w:ind w:left="100"/>
            </w:pPr>
            <w:r>
              <w:rPr>
                <w:rFonts w:hint="eastAsia" w:ascii="宋体" w:hAnsi="宋体" w:eastAsia="宋体" w:cs="宋体"/>
                <w:sz w:val="21"/>
              </w:rPr>
              <w:t>母公司所有者</w:t>
            </w:r>
            <w:r>
              <w:rPr>
                <w:rFonts w:hint="eastAsia" w:ascii="宋体" w:hAnsi="宋体" w:eastAsia="宋体" w:cs="宋体"/>
                <w:sz w:val="20"/>
              </w:rPr>
              <w:t>）</w:t>
            </w:r>
            <w:r>
              <w:rPr>
                <w:rFonts w:hint="eastAsia" w:ascii="宋体" w:hAnsi="宋体" w:eastAsia="宋体" w:cs="宋体"/>
                <w:sz w:val="21"/>
              </w:rPr>
              <w:t>占净利</w:t>
            </w:r>
          </w:p>
          <w:p>
            <w:pPr>
              <w:spacing w:before="100"/>
              <w:ind w:left="100"/>
            </w:pPr>
            <w:r>
              <w:rPr>
                <w:rFonts w:hint="eastAsia" w:ascii="宋体" w:hAnsi="宋体" w:eastAsia="宋体" w:cs="宋体"/>
                <w:sz w:val="21"/>
              </w:rPr>
              <w:t>润</w:t>
            </w:r>
            <w:r>
              <w:rPr>
                <w:rFonts w:hint="eastAsia" w:ascii="宋体" w:hAnsi="宋体" w:eastAsia="宋体" w:cs="宋体"/>
                <w:sz w:val="20"/>
              </w:rPr>
              <w:t>（</w:t>
            </w:r>
            <w:r>
              <w:rPr>
                <w:rFonts w:hint="eastAsia" w:ascii="宋体" w:hAnsi="宋体" w:eastAsia="宋体" w:cs="宋体"/>
                <w:sz w:val="21"/>
              </w:rPr>
              <w:t>归属于母公司所有</w:t>
            </w:r>
          </w:p>
          <w:p>
            <w:pPr>
              <w:spacing w:before="100"/>
              <w:ind w:left="100"/>
            </w:pPr>
            <w:r>
              <w:rPr>
                <w:rFonts w:hint="eastAsia" w:ascii="宋体" w:hAnsi="宋体" w:eastAsia="宋体" w:cs="宋体"/>
                <w:sz w:val="21"/>
              </w:rPr>
              <w:t>者</w:t>
            </w:r>
            <w:r>
              <w:rPr>
                <w:rFonts w:hint="eastAsia" w:ascii="宋体" w:hAnsi="宋体" w:eastAsia="宋体" w:cs="宋体"/>
                <w:sz w:val="20"/>
              </w:rPr>
              <w:t>）</w:t>
            </w:r>
            <w:r>
              <w:rPr>
                <w:rFonts w:hint="eastAsia" w:ascii="宋体" w:hAnsi="宋体" w:eastAsia="宋体" w:cs="宋体"/>
                <w:sz w:val="21"/>
              </w:rPr>
              <w:t>的比例</w:t>
            </w:r>
          </w:p>
        </w:tc>
        <w:tc>
          <w:tcPr>
            <w:tcW w:w="2320" w:type="dxa"/>
            <w:tcMar>
              <w:top w:w="0" w:type="dxa"/>
              <w:left w:w="0" w:type="dxa"/>
              <w:bottom w:w="0" w:type="dxa"/>
              <w:right w:w="0" w:type="dxa"/>
            </w:tcMar>
          </w:tcPr>
          <w:p>
            <w:pPr>
              <w:spacing w:before="520"/>
              <w:ind w:left="164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r>
              <w:rPr>
                <w:rFonts w:hint="eastAsia" w:ascii="Times New Roman" w:hAnsi="Times New Roman" w:eastAsia="Times New Roman" w:cs="Times New Roman"/>
                <w:sz w:val="20"/>
              </w:rPr>
              <w:t>%</w:t>
            </w:r>
          </w:p>
        </w:tc>
        <w:tc>
          <w:tcPr>
            <w:tcW w:w="2300" w:type="dxa"/>
            <w:tcMar>
              <w:top w:w="0" w:type="dxa"/>
              <w:left w:w="0" w:type="dxa"/>
              <w:bottom w:w="0" w:type="dxa"/>
              <w:right w:w="0" w:type="dxa"/>
            </w:tcMar>
          </w:tcPr>
          <w:p>
            <w:pPr>
              <w:spacing w:before="520"/>
              <w:ind w:left="1540"/>
            </w:pPr>
            <w:r>
              <w:rPr>
                <w:rFonts w:hint="eastAsia" w:ascii="Times New Roman" w:hAnsi="Times New Roman" w:eastAsia="Times New Roman" w:cs="Times New Roman"/>
                <w:sz w:val="21"/>
              </w:rPr>
              <w:t>18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w:t>
            </w:r>
            <w:r>
              <w:rPr>
                <w:rFonts w:hint="eastAsia" w:ascii="Times New Roman" w:hAnsi="Times New Roman" w:eastAsia="Times New Roman" w:cs="Times New Roman"/>
                <w:sz w:val="20"/>
              </w:rPr>
              <w:t>%</w:t>
            </w:r>
          </w:p>
        </w:tc>
        <w:tc>
          <w:tcPr>
            <w:tcW w:w="2320" w:type="dxa"/>
            <w:tcMar>
              <w:top w:w="0" w:type="dxa"/>
              <w:left w:w="0" w:type="dxa"/>
              <w:bottom w:w="0" w:type="dxa"/>
              <w:right w:w="0" w:type="dxa"/>
            </w:tcMar>
          </w:tcPr>
          <w:p>
            <w:pPr>
              <w:spacing w:before="520"/>
              <w:ind w:left="1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87</w:t>
            </w:r>
            <w:r>
              <w:rPr>
                <w:rFonts w:hint="eastAsia" w:ascii="Times New Roman" w:hAnsi="Times New Roman" w:eastAsia="Times New Roman" w:cs="Times New Roman"/>
                <w:sz w:val="20"/>
              </w:rPr>
              <w:t>%</w:t>
            </w:r>
          </w:p>
        </w:tc>
      </w:tr>
      <w:tr>
        <w:trPr>
          <w:trHeight w:val="820" w:hRule="exact"/>
        </w:trPr>
        <w:tc>
          <w:tcPr>
            <w:tcW w:w="2320" w:type="dxa"/>
            <w:tcMar>
              <w:top w:w="0" w:type="dxa"/>
              <w:left w:w="0" w:type="dxa"/>
              <w:bottom w:w="0" w:type="dxa"/>
              <w:right w:w="0" w:type="dxa"/>
            </w:tcMar>
          </w:tcPr>
          <w:p>
            <w:pPr>
              <w:spacing w:before="20"/>
              <w:ind w:left="100"/>
            </w:pPr>
            <w:r>
              <w:rPr>
                <w:rFonts w:hint="eastAsia" w:ascii="宋体" w:hAnsi="宋体" w:eastAsia="宋体" w:cs="宋体"/>
                <w:b/>
                <w:sz w:val="21"/>
              </w:rPr>
              <w:t>扣除非经常性损益后</w:t>
            </w:r>
          </w:p>
          <w:p>
            <w:pPr>
              <w:spacing w:before="40"/>
              <w:ind w:left="100"/>
            </w:pPr>
            <w:r>
              <w:rPr>
                <w:rFonts w:hint="eastAsia" w:ascii="宋体" w:hAnsi="宋体" w:eastAsia="宋体" w:cs="宋体"/>
                <w:b/>
                <w:sz w:val="21"/>
              </w:rPr>
              <w:t>净利润</w:t>
            </w:r>
            <w:r>
              <w:rPr>
                <w:rFonts w:hint="eastAsia" w:ascii="宋体" w:hAnsi="宋体" w:eastAsia="宋体" w:cs="宋体"/>
                <w:b/>
                <w:sz w:val="20"/>
              </w:rPr>
              <w:t>（</w:t>
            </w:r>
            <w:r>
              <w:rPr>
                <w:rFonts w:hint="eastAsia" w:ascii="宋体" w:hAnsi="宋体" w:eastAsia="宋体" w:cs="宋体"/>
                <w:b/>
                <w:sz w:val="21"/>
              </w:rPr>
              <w:t>归属于母公司</w:t>
            </w:r>
          </w:p>
          <w:p>
            <w:pPr>
              <w:spacing w:before="80"/>
              <w:ind w:left="100"/>
            </w:pPr>
            <w:r>
              <w:rPr>
                <w:rFonts w:hint="eastAsia" w:ascii="宋体" w:hAnsi="宋体" w:eastAsia="宋体" w:cs="宋体"/>
                <w:b/>
                <w:sz w:val="21"/>
              </w:rPr>
              <w:t>所有者</w:t>
            </w:r>
            <w:r>
              <w:rPr>
                <w:rFonts w:hint="eastAsia" w:ascii="宋体" w:hAnsi="宋体" w:eastAsia="宋体" w:cs="宋体"/>
                <w:b/>
                <w:sz w:val="20"/>
              </w:rPr>
              <w:t>）</w:t>
            </w:r>
          </w:p>
        </w:tc>
        <w:tc>
          <w:tcPr>
            <w:tcW w:w="2320" w:type="dxa"/>
            <w:tcMar>
              <w:top w:w="0" w:type="dxa"/>
              <w:left w:w="0" w:type="dxa"/>
              <w:bottom w:w="0" w:type="dxa"/>
              <w:right w:w="0" w:type="dxa"/>
            </w:tcMar>
          </w:tcPr>
          <w:p>
            <w:pPr>
              <w:spacing w:before="360"/>
              <w:ind w:left="980"/>
            </w:pPr>
            <w:r>
              <w:rPr>
                <w:rFonts w:hint="eastAsia" w:ascii="Times New Roman Bold" w:hAnsi="Times New Roman Bold" w:eastAsia="Times New Roman Bold" w:cs="Times New Roman Bold"/>
                <w:b/>
                <w:sz w:val="21"/>
              </w:rPr>
              <w:t>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789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385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59</w:t>
            </w:r>
          </w:p>
        </w:tc>
        <w:tc>
          <w:tcPr>
            <w:tcW w:w="2300" w:type="dxa"/>
            <w:tcMar>
              <w:top w:w="0" w:type="dxa"/>
              <w:left w:w="0" w:type="dxa"/>
              <w:bottom w:w="0" w:type="dxa"/>
              <w:right w:w="0" w:type="dxa"/>
            </w:tcMar>
          </w:tcPr>
          <w:p>
            <w:pPr>
              <w:spacing w:before="360"/>
              <w:ind w:left="980"/>
            </w:pPr>
            <w:r>
              <w:rPr>
                <w:rFonts w:hint="eastAsia" w:ascii="Times New Roman Bold" w:hAnsi="Times New Roman Bold" w:eastAsia="Times New Roman Bold" w:cs="Times New Roman Bold"/>
                <w:b/>
                <w:sz w:val="21"/>
              </w:rPr>
              <w:t>68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164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823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02</w:t>
            </w:r>
          </w:p>
        </w:tc>
        <w:tc>
          <w:tcPr>
            <w:tcW w:w="2320" w:type="dxa"/>
            <w:tcMar>
              <w:top w:w="0" w:type="dxa"/>
              <w:left w:w="0" w:type="dxa"/>
              <w:bottom w:w="0" w:type="dxa"/>
              <w:right w:w="0" w:type="dxa"/>
            </w:tcMar>
          </w:tcPr>
          <w:p>
            <w:pPr>
              <w:spacing w:before="360"/>
              <w:ind w:left="1000"/>
            </w:pPr>
            <w:r>
              <w:rPr>
                <w:rFonts w:hint="eastAsia" w:ascii="Times New Roman Bold" w:hAnsi="Times New Roman Bold" w:eastAsia="Times New Roman Bold" w:cs="Times New Roman Bold"/>
                <w:b/>
                <w:sz w:val="21"/>
              </w:rPr>
              <w:t>47</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573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488</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47</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归属于母公司所有者的非经常性损益（报告期内的非经常性损益详见</w:t>
      </w:r>
      <w:r>
        <w:rPr>
          <w:rFonts w:hint="eastAsia" w:ascii="宋体" w:hAnsi="宋体" w:eastAsia="宋体" w:cs="宋体"/>
          <w:sz w:val="10"/>
        </w:rPr>
        <w:t>“</w:t>
      </w:r>
      <w:r>
        <w:rPr>
          <w:rFonts w:hint="eastAsia" w:ascii="宋体" w:hAnsi="宋体" w:eastAsia="宋体" w:cs="宋体"/>
          <w:sz w:val="24"/>
        </w:rPr>
        <w:t>第十节财务会计信息</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七</w:t>
      </w:r>
      <w:r>
        <w:rPr>
          <w:rFonts w:hint="eastAsia" w:ascii="宋体" w:hAnsi="宋体" w:eastAsia="宋体" w:cs="宋体"/>
          <w:sz w:val="10"/>
        </w:rPr>
        <w:t>、</w:t>
      </w:r>
      <w:r>
        <w:rPr>
          <w:rFonts w:hint="eastAsia" w:ascii="宋体" w:hAnsi="宋体" w:eastAsia="宋体" w:cs="宋体"/>
          <w:sz w:val="24"/>
        </w:rPr>
        <w:t>经注册会计师鉴证的非经常性损益明细表</w:t>
      </w:r>
      <w:r>
        <w:rPr>
          <w:rFonts w:hint="eastAsia" w:ascii="宋体" w:hAnsi="宋体" w:eastAsia="宋体" w:cs="宋体"/>
          <w:sz w:val="10"/>
        </w:rPr>
        <w:t>”）</w:t>
      </w:r>
      <w:r>
        <w:rPr>
          <w:rFonts w:hint="eastAsia" w:ascii="宋体" w:hAnsi="宋体" w:eastAsia="宋体" w:cs="宋体"/>
          <w:sz w:val="24"/>
        </w:rPr>
        <w:t>占归属于母公司所有者的净利润的比例分别为</w:t>
      </w:r>
      <w:r>
        <w:rPr>
          <w:rFonts w:hint="eastAsia" w:ascii="Times New Roman" w:hAnsi="Times New Roman" w:eastAsia="Times New Roman" w:cs="Times New Roman"/>
          <w:sz w:val="24"/>
        </w:rPr>
        <w:t xml:space="preserve"> 1.87%</w:t>
      </w:r>
      <w:r>
        <w:rPr>
          <w:rFonts w:hint="eastAsia" w:ascii="宋体" w:hAnsi="宋体" w:eastAsia="宋体" w:cs="宋体"/>
          <w:sz w:val="10"/>
        </w:rPr>
        <w:t>、</w:t>
      </w:r>
      <w:r>
        <w:rPr>
          <w:rFonts w:hint="eastAsia" w:ascii="Times New Roman" w:hAnsi="Times New Roman" w:eastAsia="Times New Roman" w:cs="Times New Roman"/>
          <w:sz w:val="24"/>
        </w:rPr>
        <w:t>18.74%</w:t>
      </w:r>
      <w:r>
        <w:rPr>
          <w:rFonts w:hint="eastAsia" w:ascii="宋体" w:hAnsi="宋体" w:eastAsia="宋体" w:cs="宋体"/>
          <w:sz w:val="24"/>
        </w:rPr>
        <w:t>和</w:t>
      </w:r>
      <w:r>
        <w:rPr>
          <w:rFonts w:hint="eastAsia" w:ascii="Times New Roman" w:hAnsi="Times New Roman" w:eastAsia="Times New Roman" w:cs="Times New Roman"/>
          <w:sz w:val="24"/>
        </w:rPr>
        <w:t xml:space="preserve"> 0.98%</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公司报告期内业务发展迅速</w:t>
      </w:r>
      <w:r>
        <w:rPr>
          <w:rFonts w:hint="eastAsia" w:ascii="宋体" w:hAnsi="宋体" w:eastAsia="宋体" w:cs="宋体"/>
          <w:sz w:val="10"/>
        </w:rPr>
        <w:t>，</w:t>
      </w:r>
      <w:r>
        <w:rPr>
          <w:rFonts w:hint="eastAsia" w:ascii="宋体" w:hAnsi="宋体" w:eastAsia="宋体" w:cs="宋体"/>
          <w:sz w:val="24"/>
        </w:rPr>
        <w:t>公司业绩稳步增长</w:t>
      </w:r>
      <w:r>
        <w:rPr>
          <w:rFonts w:hint="eastAsia" w:ascii="宋体" w:hAnsi="宋体" w:eastAsia="宋体" w:cs="宋体"/>
          <w:sz w:val="10"/>
        </w:rPr>
        <w:t>，</w:t>
      </w:r>
      <w:r>
        <w:rPr>
          <w:rFonts w:hint="eastAsia" w:ascii="宋体" w:hAnsi="宋体" w:eastAsia="宋体" w:cs="宋体"/>
          <w:sz w:val="24"/>
        </w:rPr>
        <w:t>对非经常性损益不存在重大依赖</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现金流量分析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公司现金流量构成如下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00" w:lineRule="exact"/>
        <w:ind w:left="96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080"/>
        <w:gridCol w:w="2060"/>
        <w:gridCol w:w="2060"/>
        <w:gridCol w:w="2060"/>
      </w:tblGrid>
      <w:tr>
        <w:trPr>
          <w:trHeight w:val="480" w:hRule="exact"/>
        </w:trPr>
        <w:tc>
          <w:tcPr>
            <w:tcW w:w="3080" w:type="dxa"/>
            <w:tcMar>
              <w:top w:w="0" w:type="dxa"/>
              <w:left w:w="0" w:type="dxa"/>
              <w:bottom w:w="0" w:type="dxa"/>
              <w:right w:w="0" w:type="dxa"/>
            </w:tcMar>
          </w:tcPr>
          <w:p>
            <w:pPr>
              <w:spacing w:before="120"/>
              <w:ind w:left="1320"/>
            </w:pPr>
            <w:r>
              <w:rPr>
                <w:rFonts w:hint="eastAsia" w:ascii="宋体" w:hAnsi="宋体" w:eastAsia="宋体" w:cs="宋体"/>
                <w:b/>
                <w:sz w:val="21"/>
              </w:rPr>
              <w:t>项目</w:t>
            </w:r>
          </w:p>
        </w:tc>
        <w:tc>
          <w:tcPr>
            <w:tcW w:w="2060" w:type="dxa"/>
            <w:tcMar>
              <w:top w:w="0" w:type="dxa"/>
              <w:left w:w="0" w:type="dxa"/>
              <w:bottom w:w="0" w:type="dxa"/>
              <w:right w:w="0" w:type="dxa"/>
            </w:tcMar>
          </w:tcPr>
          <w:p>
            <w:pPr>
              <w:spacing w:before="120"/>
              <w:ind w:left="5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年度</w:t>
            </w:r>
          </w:p>
        </w:tc>
        <w:tc>
          <w:tcPr>
            <w:tcW w:w="2060" w:type="dxa"/>
            <w:tcMar>
              <w:top w:w="0" w:type="dxa"/>
              <w:left w:w="0" w:type="dxa"/>
              <w:bottom w:w="0" w:type="dxa"/>
              <w:right w:w="0" w:type="dxa"/>
            </w:tcMar>
          </w:tcPr>
          <w:p>
            <w:pPr>
              <w:spacing w:before="120"/>
              <w:ind w:left="580"/>
            </w:pPr>
            <w:r>
              <w:rPr>
                <w:rFonts w:hint="eastAsia" w:ascii="Times New Roman Bold" w:hAnsi="Times New Roman Bold" w:eastAsia="Times New Roman Bold" w:cs="Times New Roman Bold"/>
                <w:b/>
                <w:sz w:val="21"/>
              </w:rPr>
              <w:t>2015</w:t>
            </w:r>
            <w:r>
              <w:rPr>
                <w:rFonts w:hint="eastAsia" w:ascii="宋体" w:hAnsi="宋体" w:eastAsia="宋体" w:cs="宋体"/>
                <w:b/>
                <w:sz w:val="21"/>
              </w:rPr>
              <w:t xml:space="preserve"> 年度</w:t>
            </w:r>
          </w:p>
        </w:tc>
        <w:tc>
          <w:tcPr>
            <w:tcW w:w="2060" w:type="dxa"/>
            <w:tcMar>
              <w:top w:w="0" w:type="dxa"/>
              <w:left w:w="0" w:type="dxa"/>
              <w:bottom w:w="0" w:type="dxa"/>
              <w:right w:w="0" w:type="dxa"/>
            </w:tcMar>
          </w:tcPr>
          <w:p>
            <w:pPr>
              <w:spacing w:before="120"/>
              <w:ind w:left="580"/>
            </w:pPr>
            <w:r>
              <w:rPr>
                <w:rFonts w:hint="eastAsia" w:ascii="Times New Roman Bold" w:hAnsi="Times New Roman Bold" w:eastAsia="Times New Roman Bold" w:cs="Times New Roman Bold"/>
                <w:b/>
                <w:sz w:val="21"/>
              </w:rPr>
              <w:t>2014</w:t>
            </w:r>
            <w:r>
              <w:rPr>
                <w:rFonts w:hint="eastAsia" w:ascii="宋体" w:hAnsi="宋体" w:eastAsia="宋体" w:cs="宋体"/>
                <w:b/>
                <w:sz w:val="21"/>
              </w:rPr>
              <w:t xml:space="preserve"> 年度</w:t>
            </w:r>
          </w:p>
        </w:tc>
      </w:tr>
      <w:tr>
        <w:trPr>
          <w:trHeight w:val="480" w:hRule="exact"/>
        </w:trPr>
        <w:tc>
          <w:tcPr>
            <w:tcW w:w="3080" w:type="dxa"/>
            <w:tcMar>
              <w:top w:w="0" w:type="dxa"/>
              <w:left w:w="0" w:type="dxa"/>
              <w:bottom w:w="0" w:type="dxa"/>
              <w:right w:w="0" w:type="dxa"/>
            </w:tcMar>
          </w:tcPr>
          <w:p>
            <w:pPr>
              <w:spacing w:before="100"/>
              <w:ind w:left="100"/>
            </w:pPr>
            <w:r>
              <w:rPr>
                <w:rFonts w:hint="eastAsia" w:ascii="宋体" w:hAnsi="宋体" w:eastAsia="宋体" w:cs="宋体"/>
                <w:sz w:val="21"/>
              </w:rPr>
              <w:t>经营活动产生的现金流量净额</w:t>
            </w:r>
          </w:p>
        </w:tc>
        <w:tc>
          <w:tcPr>
            <w:tcW w:w="206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95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98</w:t>
            </w:r>
          </w:p>
        </w:tc>
        <w:tc>
          <w:tcPr>
            <w:tcW w:w="2060" w:type="dxa"/>
            <w:tcMar>
              <w:top w:w="0" w:type="dxa"/>
              <w:left w:w="0" w:type="dxa"/>
              <w:bottom w:w="0" w:type="dxa"/>
              <w:right w:w="0" w:type="dxa"/>
            </w:tcMar>
          </w:tcPr>
          <w:p>
            <w:pPr>
              <w:spacing w:before="140"/>
              <w:ind w:left="640"/>
            </w:pPr>
            <w:r>
              <w:rPr>
                <w:rFonts w:hint="eastAsia" w:ascii="Times New Roman" w:hAnsi="Times New Roman" w:eastAsia="Times New Roman" w:cs="Times New Roman"/>
                <w:sz w:val="21"/>
              </w:rPr>
              <w:t>113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91</w:t>
            </w:r>
          </w:p>
        </w:tc>
        <w:tc>
          <w:tcPr>
            <w:tcW w:w="2060" w:type="dxa"/>
            <w:tcMar>
              <w:top w:w="0" w:type="dxa"/>
              <w:left w:w="0" w:type="dxa"/>
              <w:bottom w:w="0" w:type="dxa"/>
              <w:right w:w="0" w:type="dxa"/>
            </w:tcMar>
          </w:tcPr>
          <w:p>
            <w:pPr>
              <w:spacing w:before="140"/>
              <w:ind w:left="740"/>
            </w:pPr>
            <w:r>
              <w:rPr>
                <w:rFonts w:hint="eastAsia" w:ascii="Times New Roman" w:hAnsi="Times New Roman" w:eastAsia="Times New Roman" w:cs="Times New Roman"/>
                <w:sz w:val="21"/>
              </w:rPr>
              <w:t>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r>
      <w:tr>
        <w:trPr>
          <w:trHeight w:val="460" w:hRule="exact"/>
        </w:trPr>
        <w:tc>
          <w:tcPr>
            <w:tcW w:w="3080" w:type="dxa"/>
            <w:tcMar>
              <w:top w:w="0" w:type="dxa"/>
              <w:left w:w="0" w:type="dxa"/>
              <w:bottom w:w="0" w:type="dxa"/>
              <w:right w:w="0" w:type="dxa"/>
            </w:tcMar>
          </w:tcPr>
          <w:p>
            <w:pPr>
              <w:spacing w:before="100"/>
              <w:ind w:left="100"/>
            </w:pPr>
            <w:r>
              <w:rPr>
                <w:rFonts w:hint="eastAsia" w:ascii="宋体" w:hAnsi="宋体" w:eastAsia="宋体" w:cs="宋体"/>
                <w:sz w:val="21"/>
              </w:rPr>
              <w:t>投资活动产生的现金流量净额</w:t>
            </w:r>
          </w:p>
        </w:tc>
        <w:tc>
          <w:tcPr>
            <w:tcW w:w="206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55</w:t>
            </w:r>
          </w:p>
        </w:tc>
        <w:tc>
          <w:tcPr>
            <w:tcW w:w="2060" w:type="dxa"/>
            <w:tcMar>
              <w:top w:w="0" w:type="dxa"/>
              <w:left w:w="0" w:type="dxa"/>
              <w:bottom w:w="0" w:type="dxa"/>
              <w:right w:w="0" w:type="dxa"/>
            </w:tcMar>
          </w:tcPr>
          <w:p>
            <w:pPr>
              <w:spacing w:before="160"/>
              <w:ind w:left="7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385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w:t>
            </w:r>
          </w:p>
        </w:tc>
        <w:tc>
          <w:tcPr>
            <w:tcW w:w="2060" w:type="dxa"/>
            <w:tcMar>
              <w:top w:w="0" w:type="dxa"/>
              <w:left w:w="0" w:type="dxa"/>
              <w:bottom w:w="0" w:type="dxa"/>
              <w:right w:w="0" w:type="dxa"/>
            </w:tcMar>
          </w:tcPr>
          <w:p>
            <w:pPr>
              <w:spacing w:before="160"/>
              <w:ind w:left="660"/>
            </w:pPr>
            <w:r>
              <w:rPr>
                <w:rFonts w:hint="eastAsia" w:ascii="Times New Roman" w:hAnsi="Times New Roman" w:eastAsia="Times New Roman" w:cs="Times New Roman"/>
                <w:sz w:val="21"/>
              </w:rPr>
              <w:t>-17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09</w:t>
            </w:r>
          </w:p>
        </w:tc>
      </w:tr>
    </w:tbl>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1-1-289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080"/>
        <w:gridCol w:w="2060"/>
        <w:gridCol w:w="2060"/>
        <w:gridCol w:w="2060"/>
      </w:tblGrid>
      <w:tr>
        <w:trPr>
          <w:trHeight w:val="480" w:hRule="exact"/>
        </w:trPr>
        <w:tc>
          <w:tcPr>
            <w:tcW w:w="3080" w:type="dxa"/>
            <w:tcMar>
              <w:top w:w="0" w:type="dxa"/>
              <w:left w:w="0" w:type="dxa"/>
              <w:bottom w:w="0" w:type="dxa"/>
              <w:right w:w="0" w:type="dxa"/>
            </w:tcMar>
          </w:tcPr>
          <w:p>
            <w:pPr>
              <w:spacing w:before="100"/>
              <w:ind w:left="100"/>
            </w:pPr>
            <w:r>
              <w:rPr>
                <w:rFonts w:hint="eastAsia" w:ascii="宋体" w:hAnsi="宋体" w:eastAsia="宋体" w:cs="宋体"/>
                <w:sz w:val="21"/>
              </w:rPr>
              <w:t>筹资活动产生的现金流量净额</w:t>
            </w:r>
          </w:p>
        </w:tc>
        <w:tc>
          <w:tcPr>
            <w:tcW w:w="2060" w:type="dxa"/>
            <w:tcMar>
              <w:top w:w="0" w:type="dxa"/>
              <w:left w:w="0" w:type="dxa"/>
              <w:bottom w:w="0" w:type="dxa"/>
              <w:right w:w="0" w:type="dxa"/>
            </w:tcMar>
          </w:tcPr>
          <w:p>
            <w:pPr>
              <w:spacing w:before="140"/>
              <w:ind w:left="920"/>
            </w:pPr>
            <w:r>
              <w:rPr>
                <w:rFonts w:hint="eastAsia" w:ascii="Times New Roman" w:hAnsi="Times New Roman" w:eastAsia="Times New Roman" w:cs="Times New Roman"/>
                <w:sz w:val="21"/>
              </w:rPr>
              <w:t>-700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060" w:type="dxa"/>
            <w:tcMar>
              <w:top w:w="0" w:type="dxa"/>
              <w:left w:w="0" w:type="dxa"/>
              <w:bottom w:w="0" w:type="dxa"/>
              <w:right w:w="0" w:type="dxa"/>
            </w:tcMar>
          </w:tcPr>
          <w:p>
            <w:pPr>
              <w:spacing w:before="140"/>
              <w:ind w:left="640"/>
            </w:pPr>
            <w:r>
              <w:rPr>
                <w:rFonts w:hint="eastAsia" w:ascii="Times New Roman" w:hAnsi="Times New Roman" w:eastAsia="Times New Roman" w:cs="Times New Roman"/>
                <w:sz w:val="21"/>
              </w:rPr>
              <w:t>117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c>
          <w:tcPr>
            <w:tcW w:w="2060" w:type="dxa"/>
            <w:tcMar>
              <w:top w:w="0" w:type="dxa"/>
              <w:left w:w="0" w:type="dxa"/>
              <w:bottom w:w="0" w:type="dxa"/>
              <w:right w:w="0" w:type="dxa"/>
            </w:tcMar>
          </w:tcPr>
          <w:p>
            <w:pPr>
              <w:spacing w:before="140"/>
              <w:ind w:left="660"/>
            </w:pPr>
            <w:r>
              <w:rPr>
                <w:rFonts w:hint="eastAsia" w:ascii="Times New Roman" w:hAnsi="Times New Roman" w:eastAsia="Times New Roman" w:cs="Times New Roman"/>
                <w:sz w:val="21"/>
              </w:rPr>
              <w:t>-19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3080" w:type="dxa"/>
            <w:tcMar>
              <w:top w:w="0" w:type="dxa"/>
              <w:left w:w="0" w:type="dxa"/>
              <w:bottom w:w="0" w:type="dxa"/>
              <w:right w:w="0" w:type="dxa"/>
            </w:tcMar>
          </w:tcPr>
          <w:p>
            <w:pPr>
              <w:spacing w:before="100"/>
              <w:ind w:left="100"/>
            </w:pPr>
            <w:r>
              <w:rPr>
                <w:rFonts w:hint="eastAsia" w:ascii="宋体" w:hAnsi="宋体" w:eastAsia="宋体" w:cs="宋体"/>
                <w:sz w:val="21"/>
              </w:rPr>
              <w:t>汇率变动的影响</w:t>
            </w:r>
          </w:p>
        </w:tc>
        <w:tc>
          <w:tcPr>
            <w:tcW w:w="2060" w:type="dxa"/>
            <w:tcMar>
              <w:top w:w="0" w:type="dxa"/>
              <w:left w:w="0" w:type="dxa"/>
              <w:bottom w:w="0" w:type="dxa"/>
              <w:right w:w="0" w:type="dxa"/>
            </w:tcMar>
          </w:tcPr>
          <w:p>
            <w:pPr>
              <w:spacing w:before="300"/>
              <w:ind w:left="1880"/>
            </w:pPr>
            <w:r>
              <w:rPr>
                <w:rFonts w:hint="eastAsia" w:ascii="Times New Roman" w:hAnsi="Times New Roman" w:eastAsia="Times New Roman" w:cs="Times New Roman"/>
                <w:sz w:val="21"/>
              </w:rPr>
              <w:t>-</w:t>
            </w:r>
          </w:p>
        </w:tc>
        <w:tc>
          <w:tcPr>
            <w:tcW w:w="2060" w:type="dxa"/>
            <w:tcMar>
              <w:top w:w="0" w:type="dxa"/>
              <w:left w:w="0" w:type="dxa"/>
              <w:bottom w:w="0" w:type="dxa"/>
              <w:right w:w="0" w:type="dxa"/>
            </w:tcMar>
          </w:tcPr>
          <w:p>
            <w:pPr>
              <w:spacing w:before="300"/>
              <w:ind w:left="1880"/>
            </w:pPr>
            <w:r>
              <w:rPr>
                <w:rFonts w:hint="eastAsia" w:ascii="Times New Roman" w:hAnsi="Times New Roman" w:eastAsia="Times New Roman" w:cs="Times New Roman"/>
                <w:sz w:val="21"/>
              </w:rPr>
              <w:t>-</w:t>
            </w:r>
          </w:p>
        </w:tc>
        <w:tc>
          <w:tcPr>
            <w:tcW w:w="2060" w:type="dxa"/>
            <w:tcMar>
              <w:top w:w="0" w:type="dxa"/>
              <w:left w:w="0" w:type="dxa"/>
              <w:bottom w:w="0" w:type="dxa"/>
              <w:right w:w="0" w:type="dxa"/>
            </w:tcMar>
          </w:tcPr>
          <w:p>
            <w:pPr>
              <w:spacing w:before="300"/>
              <w:ind w:left="1880"/>
            </w:pPr>
            <w:r>
              <w:rPr>
                <w:rFonts w:hint="eastAsia" w:ascii="Times New Roman" w:hAnsi="Times New Roman" w:eastAsia="Times New Roman" w:cs="Times New Roman"/>
                <w:sz w:val="21"/>
              </w:rPr>
              <w:t>-</w:t>
            </w:r>
          </w:p>
        </w:tc>
      </w:tr>
      <w:tr>
        <w:trPr>
          <w:trHeight w:val="460" w:hRule="exact"/>
        </w:trPr>
        <w:tc>
          <w:tcPr>
            <w:tcW w:w="3080" w:type="dxa"/>
            <w:tcMar>
              <w:top w:w="0" w:type="dxa"/>
              <w:left w:w="0" w:type="dxa"/>
              <w:bottom w:w="0" w:type="dxa"/>
              <w:right w:w="0" w:type="dxa"/>
            </w:tcMar>
          </w:tcPr>
          <w:p>
            <w:pPr>
              <w:spacing w:before="120"/>
              <w:ind w:left="100"/>
            </w:pPr>
            <w:r>
              <w:rPr>
                <w:rFonts w:hint="eastAsia" w:ascii="宋体" w:hAnsi="宋体" w:eastAsia="宋体" w:cs="宋体"/>
                <w:sz w:val="21"/>
              </w:rPr>
              <w:t>现金及现金等价物净增加额</w:t>
            </w:r>
          </w:p>
        </w:tc>
        <w:tc>
          <w:tcPr>
            <w:tcW w:w="206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91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c>
          <w:tcPr>
            <w:tcW w:w="2060" w:type="dxa"/>
            <w:tcMar>
              <w:top w:w="0" w:type="dxa"/>
              <w:left w:w="0" w:type="dxa"/>
              <w:bottom w:w="0" w:type="dxa"/>
              <w:right w:w="0" w:type="dxa"/>
            </w:tcMar>
          </w:tcPr>
          <w:p>
            <w:pPr>
              <w:spacing w:before="160"/>
              <w:ind w:left="620"/>
            </w:pPr>
            <w:r>
              <w:rPr>
                <w:rFonts w:hint="eastAsia" w:ascii="Times New Roman" w:hAnsi="Times New Roman" w:eastAsia="Times New Roman" w:cs="Times New Roman"/>
                <w:sz w:val="21"/>
              </w:rPr>
              <w:t>227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w:t>
            </w:r>
          </w:p>
        </w:tc>
        <w:tc>
          <w:tcPr>
            <w:tcW w:w="2060" w:type="dxa"/>
            <w:tcMar>
              <w:top w:w="0" w:type="dxa"/>
              <w:left w:w="0" w:type="dxa"/>
              <w:bottom w:w="0" w:type="dxa"/>
              <w:right w:w="0" w:type="dxa"/>
            </w:tcMar>
          </w:tcPr>
          <w:p>
            <w:pPr>
              <w:spacing w:before="160"/>
              <w:ind w:left="740"/>
            </w:pPr>
            <w:r>
              <w:rPr>
                <w:rFonts w:hint="eastAsia" w:ascii="Times New Roman" w:hAnsi="Times New Roman" w:eastAsia="Times New Roman" w:cs="Times New Roman"/>
                <w:sz w:val="21"/>
              </w:rPr>
              <w:t>23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535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bl>
    <w:p>
      <w:pPr>
        <w:spacing w:line="200" w:lineRule="exact"/>
        <w:rPr>
          <w:rFonts w:hint="eastAsia" w:ascii="宋体" w:hAnsi="宋体" w:eastAsia="宋体" w:cs="宋体"/>
          <w:sz w:val="20"/>
        </w:rPr>
      </w:pPr>
    </w:p>
    <w:p>
      <w:pPr>
        <w:autoSpaceDE w:val="false"/>
        <w:autoSpaceDN w:val="false"/>
        <w:spacing w:line="340" w:lineRule="exact"/>
        <w:ind w:left="1440"/>
        <w:jc w:val="both"/>
      </w:pPr>
      <w:r>
        <w:rPr>
          <w:rFonts w:hint="eastAsia" w:ascii="宋体" w:hAnsi="宋体" w:eastAsia="宋体" w:cs="宋体"/>
          <w:b/>
          <w:sz w:val="20"/>
        </w:rPr>
        <w:t>（一）</w:t>
      </w:r>
      <w:r>
        <w:rPr>
          <w:rFonts w:hint="eastAsia" w:ascii="宋体" w:hAnsi="宋体" w:eastAsia="宋体" w:cs="宋体"/>
          <w:b/>
          <w:sz w:val="24"/>
        </w:rPr>
        <w:t>经营活动产生的现金流量总体分析</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随着公司销售规模的扩大</w:t>
      </w:r>
      <w:r>
        <w:rPr>
          <w:rFonts w:hint="eastAsia" w:ascii="宋体" w:hAnsi="宋体" w:eastAsia="宋体" w:cs="宋体"/>
          <w:sz w:val="10"/>
        </w:rPr>
        <w:t>，</w:t>
      </w:r>
      <w:r>
        <w:rPr>
          <w:rFonts w:hint="eastAsia" w:ascii="宋体" w:hAnsi="宋体" w:eastAsia="宋体" w:cs="宋体"/>
          <w:sz w:val="24"/>
        </w:rPr>
        <w:t>盈利能力不断增强</w:t>
      </w:r>
      <w:r>
        <w:rPr>
          <w:rFonts w:hint="eastAsia" w:ascii="宋体" w:hAnsi="宋体" w:eastAsia="宋体" w:cs="宋体"/>
          <w:sz w:val="10"/>
        </w:rPr>
        <w:t>，</w:t>
      </w:r>
      <w:r>
        <w:rPr>
          <w:rFonts w:hint="eastAsia" w:ascii="宋体" w:hAnsi="宋体" w:eastAsia="宋体" w:cs="宋体"/>
          <w:sz w:val="24"/>
        </w:rPr>
        <w:t>公司经营活动产生的现金流量逐年增加</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公司销售商品</w:t>
      </w:r>
      <w:r>
        <w:rPr>
          <w:rFonts w:hint="eastAsia" w:ascii="宋体" w:hAnsi="宋体" w:eastAsia="宋体" w:cs="宋体"/>
          <w:sz w:val="10"/>
        </w:rPr>
        <w:t>、</w:t>
      </w:r>
      <w:r>
        <w:rPr>
          <w:rFonts w:hint="eastAsia" w:ascii="宋体" w:hAnsi="宋体" w:eastAsia="宋体" w:cs="宋体"/>
          <w:sz w:val="24"/>
        </w:rPr>
        <w:t>提供劳务收到的现金分别为</w:t>
      </w:r>
      <w:r>
        <w:rPr>
          <w:rFonts w:hint="eastAsia" w:ascii="Times New Roman" w:hAnsi="Times New Roman" w:eastAsia="Times New Roman" w:cs="Times New Roman"/>
          <w:sz w:val="24"/>
        </w:rPr>
        <w:t>187,352,517.96</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250,985,710.30</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254,883,720.98</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占当期营业收入的比例分别为</w:t>
      </w:r>
      <w:r>
        <w:rPr>
          <w:rFonts w:hint="eastAsia" w:ascii="Times New Roman" w:hAnsi="Times New Roman" w:eastAsia="Times New Roman" w:cs="Times New Roman"/>
          <w:sz w:val="24"/>
        </w:rPr>
        <w:t>115.26%</w:t>
      </w:r>
      <w:r>
        <w:rPr>
          <w:rFonts w:hint="eastAsia" w:ascii="宋体" w:hAnsi="宋体" w:eastAsia="宋体" w:cs="宋体"/>
          <w:sz w:val="10"/>
        </w:rPr>
        <w:t>、</w:t>
      </w:r>
      <w:r>
        <w:rPr>
          <w:rFonts w:hint="eastAsia" w:ascii="Times New Roman" w:hAnsi="Times New Roman" w:eastAsia="Times New Roman" w:cs="Times New Roman"/>
          <w:sz w:val="24"/>
        </w:rPr>
        <w:t>128.63%</w:t>
      </w:r>
      <w:r>
        <w:rPr>
          <w:rFonts w:hint="eastAsia" w:ascii="宋体" w:hAnsi="宋体" w:eastAsia="宋体" w:cs="宋体"/>
          <w:sz w:val="24"/>
        </w:rPr>
        <w:t>和</w:t>
      </w:r>
      <w:r>
        <w:rPr>
          <w:rFonts w:hint="eastAsia" w:ascii="Times New Roman" w:hAnsi="Times New Roman" w:eastAsia="Times New Roman" w:cs="Times New Roman"/>
          <w:sz w:val="24"/>
        </w:rPr>
        <w:t xml:space="preserve"> 124.52%</w:t>
      </w:r>
      <w:r>
        <w:rPr>
          <w:rFonts w:hint="eastAsia" w:ascii="宋体" w:hAnsi="宋体" w:eastAsia="宋体" w:cs="宋体"/>
          <w:sz w:val="10"/>
        </w:rPr>
        <w:t>，</w:t>
      </w:r>
      <w:r>
        <w:rPr>
          <w:rFonts w:hint="eastAsia" w:ascii="宋体" w:hAnsi="宋体" w:eastAsia="宋体" w:cs="宋体"/>
          <w:sz w:val="24"/>
        </w:rPr>
        <w:t>表明公司的现金流入能够与公司经营活动较好匹配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公司的经营活动带来了充沛的现金流入</w:t>
      </w:r>
      <w:r>
        <w:rPr>
          <w:rFonts w:hint="eastAsia" w:ascii="宋体" w:hAnsi="宋体" w:eastAsia="宋体" w:cs="宋体"/>
          <w:sz w:val="10"/>
        </w:rPr>
        <w:t>，</w:t>
      </w:r>
      <w:r>
        <w:rPr>
          <w:rFonts w:hint="eastAsia" w:ascii="宋体" w:hAnsi="宋体" w:eastAsia="宋体" w:cs="宋体"/>
          <w:sz w:val="24"/>
        </w:rPr>
        <w:t>是公司业务快速发展的基础</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（二）投资活动产生的现金流量分析</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公司投资活动产生的现金流量净额分别为</w:t>
      </w:r>
      <w:r>
        <w:rPr>
          <w:rFonts w:hint="eastAsia" w:ascii="Times New Roman" w:hAnsi="Times New Roman" w:eastAsia="Times New Roman" w:cs="Times New Roman"/>
          <w:sz w:val="24"/>
        </w:rPr>
        <w:t>-17,230,707.09</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-4,385,086.49</w:t>
      </w:r>
      <w:r>
        <w:rPr>
          <w:rFonts w:hint="eastAsia" w:ascii="宋体" w:hAnsi="宋体" w:eastAsia="宋体" w:cs="宋体"/>
          <w:sz w:val="24"/>
        </w:rPr>
        <w:t xml:space="preserve"> 元和</w:t>
      </w:r>
      <w:r>
        <w:rPr>
          <w:rFonts w:hint="eastAsia" w:ascii="Times New Roman" w:hAnsi="Times New Roman" w:eastAsia="Times New Roman" w:cs="Times New Roman"/>
          <w:sz w:val="24"/>
        </w:rPr>
        <w:t>-3,443,020.55</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主要是公司处于快速成长期</w:t>
      </w:r>
      <w:r>
        <w:rPr>
          <w:rFonts w:hint="eastAsia" w:ascii="宋体" w:hAnsi="宋体" w:eastAsia="宋体" w:cs="宋体"/>
          <w:sz w:val="10"/>
        </w:rPr>
        <w:t>，</w:t>
      </w:r>
      <w:r>
        <w:rPr>
          <w:rFonts w:hint="eastAsia" w:ascii="宋体" w:hAnsi="宋体" w:eastAsia="宋体" w:cs="宋体"/>
          <w:sz w:val="24"/>
        </w:rPr>
        <w:t>进行电子设备</w:t>
      </w:r>
      <w:r>
        <w:rPr>
          <w:rFonts w:hint="eastAsia" w:ascii="宋体" w:hAnsi="宋体" w:eastAsia="宋体" w:cs="宋体"/>
          <w:sz w:val="10"/>
        </w:rPr>
        <w:t>、</w:t>
      </w:r>
      <w:r>
        <w:rPr>
          <w:rFonts w:hint="eastAsia" w:ascii="宋体" w:hAnsi="宋体" w:eastAsia="宋体" w:cs="宋体"/>
          <w:sz w:val="24"/>
        </w:rPr>
        <w:t>运输工具及办公楼的购置所致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（三）筹资活动产生的现金流量分析</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公司筹资活动产生的现金流量净额为</w:t>
      </w:r>
      <w:r>
        <w:rPr>
          <w:rFonts w:hint="eastAsia" w:ascii="Times New Roman" w:hAnsi="Times New Roman" w:eastAsia="Times New Roman" w:cs="Times New Roman"/>
          <w:sz w:val="24"/>
        </w:rPr>
        <w:t>-19,196,000.00</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117,582,250.00</w:t>
      </w:r>
      <w:r>
        <w:rPr>
          <w:rFonts w:hint="eastAsia" w:ascii="宋体" w:hAnsi="宋体" w:eastAsia="宋体" w:cs="宋体"/>
          <w:sz w:val="24"/>
        </w:rPr>
        <w:t xml:space="preserve"> 元和</w:t>
      </w:r>
      <w:r>
        <w:rPr>
          <w:rFonts w:hint="eastAsia" w:ascii="Times New Roman" w:hAnsi="Times New Roman" w:eastAsia="Times New Roman" w:cs="Times New Roman"/>
          <w:sz w:val="24"/>
        </w:rPr>
        <w:t>-700,000.00</w:t>
      </w:r>
      <w:r>
        <w:rPr>
          <w:rFonts w:hint="eastAsia" w:ascii="宋体" w:hAnsi="宋体" w:eastAsia="宋体" w:cs="宋体"/>
          <w:sz w:val="24"/>
        </w:rPr>
        <w:t xml:space="preserve"> 元</w:t>
      </w:r>
      <w:r>
        <w:rPr>
          <w:rFonts w:hint="eastAsia" w:ascii="宋体" w:hAnsi="宋体" w:eastAsia="宋体" w:cs="宋体"/>
          <w:sz w:val="10"/>
        </w:rPr>
        <w:t>。</w:t>
      </w:r>
      <w:r>
        <w:rPr>
          <w:rFonts w:hint="eastAsia" w:ascii="Times New Roman" w:hAnsi="Times New Roman" w:eastAsia="Times New Roman" w:cs="Times New Roman"/>
          <w:sz w:val="24"/>
        </w:rPr>
        <w:t>2014</w:t>
      </w:r>
      <w:r>
        <w:rPr>
          <w:rFonts w:hint="eastAsia" w:ascii="宋体" w:hAnsi="宋体" w:eastAsia="宋体" w:cs="宋体"/>
          <w:sz w:val="24"/>
        </w:rPr>
        <w:t xml:space="preserve"> 年度公司筹资活动产生的现金流量净额为负</w:t>
      </w:r>
      <w:r>
        <w:rPr>
          <w:rFonts w:hint="eastAsia" w:ascii="宋体" w:hAnsi="宋体" w:eastAsia="宋体" w:cs="宋体"/>
          <w:sz w:val="10"/>
        </w:rPr>
        <w:t>，</w:t>
      </w:r>
      <w:r>
        <w:rPr>
          <w:rFonts w:hint="eastAsia" w:ascii="宋体" w:hAnsi="宋体" w:eastAsia="宋体" w:cs="宋体"/>
          <w:sz w:val="24"/>
        </w:rPr>
        <w:t>主要是由于报告期内公司进行了现金分红</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宋体" w:hAnsi="宋体" w:eastAsia="宋体" w:cs="宋体"/>
          <w:sz w:val="10"/>
        </w:rPr>
        <w:t>，</w:t>
      </w:r>
      <w:r>
        <w:rPr>
          <w:rFonts w:hint="eastAsia" w:ascii="宋体" w:hAnsi="宋体" w:eastAsia="宋体" w:cs="宋体"/>
          <w:sz w:val="24"/>
        </w:rPr>
        <w:t>公司筹资活动产生的现金流量净额增加较多</w:t>
      </w:r>
      <w:r>
        <w:rPr>
          <w:rFonts w:hint="eastAsia" w:ascii="宋体" w:hAnsi="宋体" w:eastAsia="宋体" w:cs="宋体"/>
          <w:sz w:val="10"/>
        </w:rPr>
        <w:t>，</w:t>
      </w:r>
      <w:r>
        <w:rPr>
          <w:rFonts w:hint="eastAsia" w:ascii="宋体" w:hAnsi="宋体" w:eastAsia="宋体" w:cs="宋体"/>
          <w:sz w:val="24"/>
        </w:rPr>
        <w:t>主要系金石投资增资所致</w:t>
      </w:r>
      <w:r>
        <w:rPr>
          <w:rFonts w:hint="eastAsia" w:ascii="宋体" w:hAnsi="宋体" w:eastAsia="宋体" w:cs="宋体"/>
          <w:sz w:val="10"/>
        </w:rPr>
        <w:t>。</w:t>
      </w:r>
      <w:r>
        <w:rPr>
          <w:rFonts w:hint="eastAsia" w:ascii="Times New Roman" w:hAnsi="Times New Roman" w:eastAsia="Times New Roman" w:cs="Times New Roman"/>
          <w:sz w:val="24"/>
        </w:rPr>
        <w:t>2016</w:t>
      </w:r>
      <w:r>
        <w:rPr>
          <w:rFonts w:hint="eastAsia" w:ascii="宋体" w:hAnsi="宋体" w:eastAsia="宋体" w:cs="宋体"/>
          <w:sz w:val="24"/>
        </w:rPr>
        <w:t xml:space="preserve"> 年度公司筹资活动产生的现金流量为负</w:t>
      </w:r>
      <w:r>
        <w:rPr>
          <w:rFonts w:hint="eastAsia" w:ascii="宋体" w:hAnsi="宋体" w:eastAsia="宋体" w:cs="宋体"/>
          <w:sz w:val="10"/>
        </w:rPr>
        <w:t>，</w:t>
      </w:r>
      <w:r>
        <w:rPr>
          <w:rFonts w:hint="eastAsia" w:ascii="宋体" w:hAnsi="宋体" w:eastAsia="宋体" w:cs="宋体"/>
          <w:sz w:val="24"/>
        </w:rPr>
        <w:t>为支付的审计费用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资本性支出分析</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报告期内重大资本性支出</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年度</w:t>
      </w:r>
      <w:r>
        <w:rPr>
          <w:rFonts w:hint="eastAsia" w:ascii="宋体" w:hAnsi="宋体" w:eastAsia="宋体" w:cs="宋体"/>
          <w:sz w:val="10"/>
        </w:rPr>
        <w:t>、</w:t>
      </w:r>
      <w:r>
        <w:rPr>
          <w:rFonts w:hint="eastAsia" w:ascii="Times New Roman" w:hAnsi="Times New Roman" w:eastAsia="Times New Roman" w:cs="Times New Roman"/>
          <w:sz w:val="24"/>
        </w:rPr>
        <w:t>2015</w:t>
      </w:r>
      <w:r>
        <w:rPr>
          <w:rFonts w:hint="eastAsia" w:ascii="宋体" w:hAnsi="宋体" w:eastAsia="宋体" w:cs="宋体"/>
          <w:sz w:val="24"/>
        </w:rPr>
        <w:t xml:space="preserve"> 年度和</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年度</w:t>
      </w:r>
      <w:r>
        <w:rPr>
          <w:rFonts w:hint="eastAsia" w:ascii="宋体" w:hAnsi="宋体" w:eastAsia="宋体" w:cs="宋体"/>
          <w:sz w:val="10"/>
        </w:rPr>
        <w:t>，</w:t>
      </w:r>
      <w:r>
        <w:rPr>
          <w:rFonts w:hint="eastAsia" w:ascii="宋体" w:hAnsi="宋体" w:eastAsia="宋体" w:cs="宋体"/>
          <w:sz w:val="24"/>
        </w:rPr>
        <w:t>公司各期的资本性支出分别为</w:t>
      </w:r>
      <w:r>
        <w:rPr>
          <w:rFonts w:hint="eastAsia" w:ascii="Times New Roman" w:hAnsi="Times New Roman" w:eastAsia="Times New Roman" w:cs="Times New Roman"/>
          <w:sz w:val="24"/>
        </w:rPr>
        <w:t xml:space="preserve"> 17,230,707.09</w:t>
      </w:r>
      <w:r>
        <w:rPr>
          <w:rFonts w:hint="eastAsia" w:ascii="宋体" w:hAnsi="宋体" w:eastAsia="宋体" w:cs="宋体"/>
          <w:sz w:val="24"/>
        </w:rPr>
        <w:t>元</w:t>
      </w:r>
      <w:r>
        <w:rPr>
          <w:rFonts w:hint="eastAsia" w:ascii="宋体" w:hAnsi="宋体" w:eastAsia="宋体" w:cs="宋体"/>
          <w:sz w:val="10"/>
        </w:rPr>
        <w:t>、</w:t>
      </w:r>
      <w:r>
        <w:rPr>
          <w:rFonts w:hint="eastAsia" w:ascii="Times New Roman" w:hAnsi="Times New Roman" w:eastAsia="Times New Roman" w:cs="Times New Roman"/>
          <w:sz w:val="24"/>
        </w:rPr>
        <w:t>4,513,206.49</w:t>
      </w:r>
      <w:r>
        <w:rPr>
          <w:rFonts w:hint="eastAsia" w:ascii="宋体" w:hAnsi="宋体" w:eastAsia="宋体" w:cs="宋体"/>
          <w:sz w:val="24"/>
        </w:rPr>
        <w:t xml:space="preserve"> 元和</w:t>
      </w:r>
      <w:r>
        <w:rPr>
          <w:rFonts w:hint="eastAsia" w:ascii="Times New Roman" w:hAnsi="Times New Roman" w:eastAsia="Times New Roman" w:cs="Times New Roman"/>
          <w:sz w:val="24"/>
        </w:rPr>
        <w:t xml:space="preserve"> 3,467,691.54</w:t>
      </w:r>
      <w:r>
        <w:rPr>
          <w:rFonts w:hint="eastAsia" w:ascii="宋体" w:hAnsi="宋体" w:eastAsia="宋体" w:cs="宋体"/>
          <w:sz w:val="24"/>
        </w:rPr>
        <w:t xml:space="preserve"> 元</w:t>
      </w:r>
      <w:r>
        <w:rPr>
          <w:rFonts w:hint="eastAsia" w:ascii="宋体" w:hAnsi="宋体" w:eastAsia="宋体" w:cs="宋体"/>
          <w:sz w:val="10"/>
        </w:rPr>
        <w:t>。</w:t>
      </w:r>
      <w:r>
        <w:rPr>
          <w:rFonts w:hint="eastAsia" w:ascii="宋体" w:hAnsi="宋体" w:eastAsia="宋体" w:cs="宋体"/>
          <w:sz w:val="24"/>
        </w:rPr>
        <w:t>报告期内公司资本性支出主要是房产</w:t>
      </w:r>
      <w:r>
        <w:rPr>
          <w:rFonts w:hint="eastAsia" w:ascii="宋体" w:hAnsi="宋体" w:eastAsia="宋体" w:cs="宋体"/>
          <w:sz w:val="10"/>
        </w:rPr>
        <w:t>、</w:t>
      </w:r>
      <w:r>
        <w:rPr>
          <w:rFonts w:hint="eastAsia" w:ascii="宋体" w:hAnsi="宋体" w:eastAsia="宋体" w:cs="宋体"/>
          <w:sz w:val="24"/>
        </w:rPr>
        <w:t>办公设备和运输工具的投资</w:t>
      </w:r>
      <w:r>
        <w:rPr>
          <w:rFonts w:hint="eastAsia" w:ascii="宋体" w:hAnsi="宋体" w:eastAsia="宋体" w:cs="宋体"/>
          <w:sz w:val="10"/>
        </w:rPr>
        <w:t>，</w:t>
      </w:r>
      <w:r>
        <w:rPr>
          <w:rFonts w:hint="eastAsia" w:ascii="宋体" w:hAnsi="宋体" w:eastAsia="宋体" w:cs="宋体"/>
          <w:sz w:val="24"/>
        </w:rPr>
        <w:t>主要目的是为公司经营规模的扩大</w:t>
      </w:r>
      <w:r>
        <w:rPr>
          <w:rFonts w:hint="eastAsia" w:ascii="宋体" w:hAnsi="宋体" w:eastAsia="宋体" w:cs="宋体"/>
          <w:sz w:val="10"/>
        </w:rPr>
        <w:t>、</w:t>
      </w:r>
      <w:r>
        <w:rPr>
          <w:rFonts w:hint="eastAsia" w:ascii="宋体" w:hAnsi="宋体" w:eastAsia="宋体" w:cs="宋体"/>
          <w:sz w:val="24"/>
        </w:rPr>
        <w:t>新技术产品研发</w:t>
      </w:r>
      <w:r>
        <w:rPr>
          <w:rFonts w:hint="eastAsia" w:ascii="宋体" w:hAnsi="宋体" w:eastAsia="宋体" w:cs="宋体"/>
          <w:sz w:val="10"/>
        </w:rPr>
        <w:t>、</w:t>
      </w:r>
      <w:r>
        <w:rPr>
          <w:rFonts w:hint="eastAsia" w:ascii="宋体" w:hAnsi="宋体" w:eastAsia="宋体" w:cs="宋体"/>
          <w:sz w:val="24"/>
        </w:rPr>
        <w:t>研发环境</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1-1-290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的改善提供保障和支持</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（二）未来可预见的重大资本性支出</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截至本招股说明书签署日</w:t>
      </w:r>
      <w:r>
        <w:rPr>
          <w:rFonts w:hint="eastAsia" w:ascii="宋体" w:hAnsi="宋体" w:eastAsia="宋体" w:cs="宋体"/>
          <w:sz w:val="10"/>
        </w:rPr>
        <w:t>，</w:t>
      </w:r>
      <w:r>
        <w:rPr>
          <w:rFonts w:hint="eastAsia" w:ascii="宋体" w:hAnsi="宋体" w:eastAsia="宋体" w:cs="宋体"/>
          <w:sz w:val="24"/>
        </w:rPr>
        <w:t>除本次发行募集资金有关投资外</w:t>
      </w:r>
      <w:r>
        <w:rPr>
          <w:rFonts w:hint="eastAsia" w:ascii="宋体" w:hAnsi="宋体" w:eastAsia="宋体" w:cs="宋体"/>
          <w:sz w:val="10"/>
        </w:rPr>
        <w:t>，</w:t>
      </w:r>
      <w:r>
        <w:rPr>
          <w:rFonts w:hint="eastAsia" w:ascii="宋体" w:hAnsi="宋体" w:eastAsia="宋体" w:cs="宋体"/>
          <w:sz w:val="24"/>
        </w:rPr>
        <w:t>本公司无可预见的其他重大资本性支出计划</w:t>
      </w:r>
      <w:r>
        <w:rPr>
          <w:rFonts w:hint="eastAsia" w:ascii="宋体" w:hAnsi="宋体" w:eastAsia="宋体" w:cs="宋体"/>
          <w:sz w:val="10"/>
        </w:rPr>
        <w:t>。</w:t>
      </w:r>
      <w:r>
        <w:rPr>
          <w:rFonts w:hint="eastAsia" w:ascii="宋体" w:hAnsi="宋体" w:eastAsia="宋体" w:cs="宋体"/>
          <w:sz w:val="24"/>
        </w:rPr>
        <w:t>本次发行募集资金投资项目请参见本招股说明书</w:t>
      </w:r>
      <w:r>
        <w:rPr>
          <w:rFonts w:hint="eastAsia" w:ascii="宋体" w:hAnsi="宋体" w:eastAsia="宋体" w:cs="宋体"/>
          <w:sz w:val="10"/>
        </w:rPr>
        <w:t>“</w:t>
      </w:r>
      <w:r>
        <w:rPr>
          <w:rFonts w:hint="eastAsia" w:ascii="宋体" w:hAnsi="宋体" w:eastAsia="宋体" w:cs="宋体"/>
          <w:sz w:val="24"/>
        </w:rPr>
        <w:t>第十三节募集资金运用</w:t>
      </w:r>
      <w:r>
        <w:rPr>
          <w:rFonts w:hint="eastAsia" w:ascii="宋体" w:hAnsi="宋体" w:eastAsia="宋体" w:cs="宋体"/>
          <w:sz w:val="10"/>
        </w:rPr>
        <w:t>”</w:t>
      </w:r>
      <w:r>
        <w:rPr>
          <w:rFonts w:hint="eastAsia" w:ascii="宋体" w:hAnsi="宋体" w:eastAsia="宋体" w:cs="宋体"/>
          <w:sz w:val="24"/>
        </w:rPr>
        <w:t>所述</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五</w:t>
      </w:r>
      <w:r>
        <w:rPr>
          <w:rFonts w:hint="eastAsia" w:ascii="ºÚÌå" w:hAnsi="ºÚÌå" w:eastAsia="ºÚÌå" w:cs="ºÚÌå"/>
          <w:sz w:val="10"/>
        </w:rPr>
        <w:t>、</w:t>
      </w:r>
      <w:r>
        <w:rPr>
          <w:rFonts w:hint="eastAsia" w:ascii="ºÚÌå" w:hAnsi="ºÚÌå" w:eastAsia="ºÚÌå" w:cs="ºÚÌå"/>
          <w:sz w:val="30"/>
        </w:rPr>
        <w:t>担保</w:t>
      </w:r>
      <w:r>
        <w:rPr>
          <w:rFonts w:hint="eastAsia" w:ascii="ºÚÌå" w:hAnsi="ºÚÌå" w:eastAsia="ºÚÌå" w:cs="ºÚÌå"/>
          <w:sz w:val="10"/>
        </w:rPr>
        <w:t>、</w:t>
      </w:r>
      <w:r>
        <w:rPr>
          <w:rFonts w:hint="eastAsia" w:ascii="ºÚÌå" w:hAnsi="ºÚÌå" w:eastAsia="ºÚÌå" w:cs="ºÚÌå"/>
          <w:sz w:val="30"/>
        </w:rPr>
        <w:t>诉讼</w:t>
      </w:r>
      <w:r>
        <w:rPr>
          <w:rFonts w:hint="eastAsia" w:ascii="ºÚÌå" w:hAnsi="ºÚÌå" w:eastAsia="ºÚÌå" w:cs="ºÚÌå"/>
          <w:sz w:val="10"/>
        </w:rPr>
        <w:t>、</w:t>
      </w:r>
      <w:r>
        <w:rPr>
          <w:rFonts w:hint="eastAsia" w:ascii="ºÚÌå" w:hAnsi="ºÚÌå" w:eastAsia="ºÚÌå" w:cs="ºÚÌå"/>
          <w:sz w:val="30"/>
        </w:rPr>
        <w:t>其他或有事项和重大期后事项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1440" w:right="122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公司未发生影响财务报表阅读和理解的或有事项和重大期后事项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六</w:t>
      </w:r>
      <w:r>
        <w:rPr>
          <w:rFonts w:hint="eastAsia" w:ascii="ºÚÌå" w:hAnsi="ºÚÌå" w:eastAsia="ºÚÌå" w:cs="ºÚÌå"/>
          <w:sz w:val="10"/>
        </w:rPr>
        <w:t>、</w:t>
      </w:r>
      <w:r>
        <w:rPr>
          <w:rFonts w:hint="eastAsia" w:ascii="ºÚÌå" w:hAnsi="ºÚÌå" w:eastAsia="ºÚÌå" w:cs="ºÚÌå"/>
          <w:sz w:val="30"/>
        </w:rPr>
        <w:t>财务状况和盈利能力未来趋势分析</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发行人的主要财务优势和困难分析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公司的主要财务优势</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本公司资产的构成比例</w:t>
      </w:r>
      <w:r>
        <w:rPr>
          <w:rFonts w:hint="eastAsia" w:ascii="宋体" w:hAnsi="宋体" w:eastAsia="宋体" w:cs="宋体"/>
          <w:sz w:val="10"/>
        </w:rPr>
        <w:t>、</w:t>
      </w:r>
      <w:r>
        <w:rPr>
          <w:rFonts w:hint="eastAsia" w:ascii="宋体" w:hAnsi="宋体" w:eastAsia="宋体" w:cs="宋体"/>
          <w:sz w:val="24"/>
        </w:rPr>
        <w:t>资产负债结构与公司的经营模式相匹配</w:t>
      </w:r>
      <w:r>
        <w:rPr>
          <w:rFonts w:hint="eastAsia" w:ascii="宋体" w:hAnsi="宋体" w:eastAsia="宋体" w:cs="宋体"/>
          <w:sz w:val="10"/>
        </w:rPr>
        <w:t>，</w:t>
      </w:r>
      <w:r>
        <w:rPr>
          <w:rFonts w:hint="eastAsia" w:ascii="宋体" w:hAnsi="宋体" w:eastAsia="宋体" w:cs="宋体"/>
          <w:sz w:val="24"/>
        </w:rPr>
        <w:t>公司财务资本结构合理</w:t>
      </w:r>
      <w:r>
        <w:rPr>
          <w:rFonts w:hint="eastAsia" w:ascii="宋体" w:hAnsi="宋体" w:eastAsia="宋体" w:cs="宋体"/>
          <w:sz w:val="12"/>
        </w:rPr>
        <w:t>；</w:t>
      </w:r>
      <w:r>
        <w:rPr>
          <w:rFonts w:hint="eastAsia" w:ascii="宋体" w:hAnsi="宋体" w:eastAsia="宋体" w:cs="宋体"/>
          <w:sz w:val="24"/>
        </w:rPr>
        <w:t>公司流动资产和总资产周转率高</w:t>
      </w:r>
      <w:r>
        <w:rPr>
          <w:rFonts w:hint="eastAsia" w:ascii="宋体" w:hAnsi="宋体" w:eastAsia="宋体" w:cs="宋体"/>
          <w:sz w:val="10"/>
        </w:rPr>
        <w:t>、</w:t>
      </w:r>
      <w:r>
        <w:rPr>
          <w:rFonts w:hint="eastAsia" w:ascii="宋体" w:hAnsi="宋体" w:eastAsia="宋体" w:cs="宋体"/>
          <w:sz w:val="24"/>
        </w:rPr>
        <w:t>资产质量良好</w:t>
      </w:r>
      <w:r>
        <w:rPr>
          <w:rFonts w:hint="eastAsia" w:ascii="宋体" w:hAnsi="宋体" w:eastAsia="宋体" w:cs="宋体"/>
          <w:sz w:val="12"/>
        </w:rPr>
        <w:t>；</w:t>
      </w:r>
      <w:r>
        <w:rPr>
          <w:rFonts w:hint="eastAsia" w:ascii="宋体" w:hAnsi="宋体" w:eastAsia="宋体" w:cs="宋体"/>
          <w:sz w:val="24"/>
        </w:rPr>
        <w:t>公司经营活动产生的现金流量充裕</w:t>
      </w:r>
      <w:r>
        <w:rPr>
          <w:rFonts w:hint="eastAsia" w:ascii="宋体" w:hAnsi="宋体" w:eastAsia="宋体" w:cs="宋体"/>
          <w:sz w:val="10"/>
        </w:rPr>
        <w:t>、</w:t>
      </w:r>
      <w:r>
        <w:rPr>
          <w:rFonts w:hint="eastAsia" w:ascii="宋体" w:hAnsi="宋体" w:eastAsia="宋体" w:cs="宋体"/>
          <w:sz w:val="24"/>
        </w:rPr>
        <w:t>收益质量好</w:t>
      </w:r>
      <w:r>
        <w:rPr>
          <w:rFonts w:hint="eastAsia" w:ascii="宋体" w:hAnsi="宋体" w:eastAsia="宋体" w:cs="宋体"/>
          <w:sz w:val="12"/>
        </w:rPr>
        <w:t>；</w:t>
      </w:r>
      <w:r>
        <w:rPr>
          <w:rFonts w:hint="eastAsia" w:ascii="宋体" w:hAnsi="宋体" w:eastAsia="宋体" w:cs="宋体"/>
          <w:sz w:val="24"/>
        </w:rPr>
        <w:t>公司成长性高</w:t>
      </w:r>
      <w:r>
        <w:rPr>
          <w:rFonts w:hint="eastAsia" w:ascii="宋体" w:hAnsi="宋体" w:eastAsia="宋体" w:cs="宋体"/>
          <w:sz w:val="10"/>
        </w:rPr>
        <w:t>、</w:t>
      </w:r>
      <w:r>
        <w:rPr>
          <w:rFonts w:hint="eastAsia" w:ascii="宋体" w:hAnsi="宋体" w:eastAsia="宋体" w:cs="宋体"/>
          <w:sz w:val="24"/>
        </w:rPr>
        <w:t>盈利能力强</w:t>
      </w:r>
      <w:r>
        <w:rPr>
          <w:rFonts w:hint="eastAsia" w:ascii="宋体" w:hAnsi="宋体" w:eastAsia="宋体" w:cs="宋体"/>
          <w:sz w:val="10"/>
        </w:rPr>
        <w:t>，</w:t>
      </w:r>
      <w:r>
        <w:rPr>
          <w:rFonts w:hint="eastAsia" w:ascii="宋体" w:hAnsi="宋体" w:eastAsia="宋体" w:cs="宋体"/>
          <w:sz w:val="24"/>
        </w:rPr>
        <w:t>具有较强的核心竞争力</w:t>
      </w:r>
      <w:r>
        <w:rPr>
          <w:rFonts w:hint="eastAsia" w:ascii="宋体" w:hAnsi="宋体" w:eastAsia="宋体" w:cs="宋体"/>
          <w:sz w:val="10"/>
        </w:rPr>
        <w:t>，</w:t>
      </w:r>
      <w:r>
        <w:rPr>
          <w:rFonts w:hint="eastAsia" w:ascii="宋体" w:hAnsi="宋体" w:eastAsia="宋体" w:cs="宋体"/>
          <w:sz w:val="24"/>
        </w:rPr>
        <w:t>业务发展前景良好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公司面临的主要财务困难</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本公司具备较强的研发实力和营销能力</w:t>
      </w:r>
      <w:r>
        <w:rPr>
          <w:rFonts w:hint="eastAsia" w:ascii="宋体" w:hAnsi="宋体" w:eastAsia="宋体" w:cs="宋体"/>
          <w:sz w:val="10"/>
        </w:rPr>
        <w:t>，</w:t>
      </w:r>
      <w:r>
        <w:rPr>
          <w:rFonts w:hint="eastAsia" w:ascii="宋体" w:hAnsi="宋体" w:eastAsia="宋体" w:cs="宋体"/>
          <w:sz w:val="24"/>
        </w:rPr>
        <w:t>目前正处于稳健</w:t>
      </w:r>
      <w:r>
        <w:rPr>
          <w:rFonts w:hint="eastAsia" w:ascii="宋体" w:hAnsi="宋体" w:eastAsia="宋体" w:cs="宋体"/>
          <w:sz w:val="10"/>
        </w:rPr>
        <w:t>、</w:t>
      </w:r>
      <w:r>
        <w:rPr>
          <w:rFonts w:hint="eastAsia" w:ascii="宋体" w:hAnsi="宋体" w:eastAsia="宋体" w:cs="宋体"/>
          <w:sz w:val="24"/>
        </w:rPr>
        <w:t>快速发展阶段</w:t>
      </w:r>
      <w:r>
        <w:rPr>
          <w:rFonts w:hint="eastAsia" w:ascii="宋体" w:hAnsi="宋体" w:eastAsia="宋体" w:cs="宋体"/>
          <w:sz w:val="10"/>
        </w:rPr>
        <w:t>，</w:t>
      </w:r>
      <w:r>
        <w:rPr>
          <w:rFonts w:hint="eastAsia" w:ascii="宋体" w:hAnsi="宋体" w:eastAsia="宋体" w:cs="宋体"/>
          <w:sz w:val="24"/>
        </w:rPr>
        <w:t>在全国金融行业信息化领域具备一定优势</w:t>
      </w:r>
      <w:r>
        <w:rPr>
          <w:rFonts w:hint="eastAsia" w:ascii="宋体" w:hAnsi="宋体" w:eastAsia="宋体" w:cs="宋体"/>
          <w:sz w:val="10"/>
        </w:rPr>
        <w:t>。</w:t>
      </w:r>
      <w:r>
        <w:rPr>
          <w:rFonts w:hint="eastAsia" w:ascii="宋体" w:hAnsi="宋体" w:eastAsia="宋体" w:cs="宋体"/>
          <w:sz w:val="24"/>
        </w:rPr>
        <w:t>虽然公司经营活动产生的现金流量充裕</w:t>
      </w:r>
      <w:r>
        <w:rPr>
          <w:rFonts w:hint="eastAsia" w:ascii="宋体" w:hAnsi="宋体" w:eastAsia="宋体" w:cs="宋体"/>
          <w:sz w:val="10"/>
        </w:rPr>
        <w:t>，</w:t>
      </w:r>
      <w:r>
        <w:rPr>
          <w:rFonts w:hint="eastAsia" w:ascii="宋体" w:hAnsi="宋体" w:eastAsia="宋体" w:cs="宋体"/>
          <w:sz w:val="24"/>
        </w:rPr>
        <w:t>但面临技术革新</w:t>
      </w:r>
      <w:r>
        <w:rPr>
          <w:rFonts w:hint="eastAsia" w:ascii="宋体" w:hAnsi="宋体" w:eastAsia="宋体" w:cs="宋体"/>
          <w:sz w:val="10"/>
        </w:rPr>
        <w:t>、</w:t>
      </w:r>
      <w:r>
        <w:rPr>
          <w:rFonts w:hint="eastAsia" w:ascii="宋体" w:hAnsi="宋体" w:eastAsia="宋体" w:cs="宋体"/>
          <w:sz w:val="24"/>
        </w:rPr>
        <w:t>人力资源成本上升</w:t>
      </w:r>
      <w:r>
        <w:rPr>
          <w:rFonts w:hint="eastAsia" w:ascii="宋体" w:hAnsi="宋体" w:eastAsia="宋体" w:cs="宋体"/>
          <w:sz w:val="10"/>
        </w:rPr>
        <w:t>、</w:t>
      </w:r>
      <w:r>
        <w:rPr>
          <w:rFonts w:hint="eastAsia" w:ascii="宋体" w:hAnsi="宋体" w:eastAsia="宋体" w:cs="宋体"/>
          <w:sz w:val="24"/>
        </w:rPr>
        <w:t>行业竞争激烈等局面</w:t>
      </w:r>
      <w:r>
        <w:rPr>
          <w:rFonts w:hint="eastAsia" w:ascii="宋体" w:hAnsi="宋体" w:eastAsia="宋体" w:cs="宋体"/>
          <w:sz w:val="10"/>
        </w:rPr>
        <w:t>，</w:t>
      </w:r>
      <w:r>
        <w:rPr>
          <w:rFonts w:hint="eastAsia" w:ascii="宋体" w:hAnsi="宋体" w:eastAsia="宋体" w:cs="宋体"/>
          <w:sz w:val="24"/>
        </w:rPr>
        <w:t>公司现有投资不足以满足进一步增强研发优势</w:t>
      </w:r>
      <w:r>
        <w:rPr>
          <w:rFonts w:hint="eastAsia" w:ascii="宋体" w:hAnsi="宋体" w:eastAsia="宋体" w:cs="宋体"/>
          <w:sz w:val="10"/>
        </w:rPr>
        <w:t>、</w:t>
      </w:r>
      <w:r>
        <w:rPr>
          <w:rFonts w:hint="eastAsia" w:ascii="宋体" w:hAnsi="宋体" w:eastAsia="宋体" w:cs="宋体"/>
          <w:sz w:val="24"/>
        </w:rPr>
        <w:t>扩大经营规模</w:t>
      </w:r>
      <w:r>
        <w:rPr>
          <w:rFonts w:hint="eastAsia" w:ascii="宋体" w:hAnsi="宋体" w:eastAsia="宋体" w:cs="宋体"/>
          <w:sz w:val="10"/>
        </w:rPr>
        <w:t>、</w:t>
      </w:r>
      <w:r>
        <w:rPr>
          <w:rFonts w:hint="eastAsia" w:ascii="宋体" w:hAnsi="宋体" w:eastAsia="宋体" w:cs="宋体"/>
          <w:sz w:val="24"/>
        </w:rPr>
        <w:t>加强人力资源投资</w:t>
      </w:r>
      <w:r>
        <w:rPr>
          <w:rFonts w:hint="eastAsia" w:ascii="宋体" w:hAnsi="宋体" w:eastAsia="宋体" w:cs="宋体"/>
          <w:sz w:val="10"/>
        </w:rPr>
        <w:t>、</w:t>
      </w:r>
      <w:r>
        <w:rPr>
          <w:rFonts w:hint="eastAsia" w:ascii="宋体" w:hAnsi="宋体" w:eastAsia="宋体" w:cs="宋体"/>
          <w:sz w:val="24"/>
        </w:rPr>
        <w:t>强化核心竞争优势对资金的较大需求</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（二）未来影响公司财务和盈利能力的因素</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除本节</w:t>
      </w:r>
      <w:r>
        <w:rPr>
          <w:rFonts w:hint="eastAsia" w:ascii="宋体" w:hAnsi="宋体" w:eastAsia="宋体" w:cs="宋体"/>
          <w:sz w:val="10"/>
        </w:rPr>
        <w:t>“二、</w:t>
      </w:r>
      <w:r>
        <w:rPr>
          <w:rFonts w:hint="eastAsia" w:ascii="宋体" w:hAnsi="宋体" w:eastAsia="宋体" w:cs="宋体"/>
          <w:sz w:val="24"/>
        </w:rPr>
        <w:t>盈利能力分析</w:t>
      </w:r>
      <w:r>
        <w:rPr>
          <w:rFonts w:hint="eastAsia" w:ascii="Times New Roman" w:hAnsi="Times New Roman" w:eastAsia="Times New Roman" w:cs="Times New Roman"/>
          <w:sz w:val="24"/>
        </w:rPr>
        <w:t xml:space="preserve"> </w:t>
      </w:r>
      <w:r>
        <w:rPr>
          <w:rFonts w:hint="eastAsia" w:ascii="宋体" w:hAnsi="宋体" w:eastAsia="宋体" w:cs="宋体"/>
          <w:sz w:val="24"/>
        </w:rPr>
        <w:t>（二）利润主要来源及可能影响公司盈利能力的连续性和稳定性的主要因素</w:t>
      </w:r>
      <w:r>
        <w:rPr>
          <w:rFonts w:hint="eastAsia" w:ascii="宋体" w:hAnsi="宋体" w:eastAsia="宋体" w:cs="宋体"/>
          <w:sz w:val="10"/>
        </w:rPr>
        <w:t>”</w:t>
      </w:r>
      <w:r>
        <w:rPr>
          <w:rFonts w:hint="eastAsia" w:ascii="宋体" w:hAnsi="宋体" w:eastAsia="宋体" w:cs="宋体"/>
          <w:sz w:val="24"/>
        </w:rPr>
        <w:t>中列明的行业和市场</w:t>
      </w:r>
      <w:r>
        <w:rPr>
          <w:rFonts w:hint="eastAsia" w:ascii="宋体" w:hAnsi="宋体" w:eastAsia="宋体" w:cs="宋体"/>
          <w:sz w:val="10"/>
        </w:rPr>
        <w:t>、</w:t>
      </w:r>
      <w:r>
        <w:rPr>
          <w:rFonts w:hint="eastAsia" w:ascii="宋体" w:hAnsi="宋体" w:eastAsia="宋体" w:cs="宋体"/>
          <w:sz w:val="24"/>
        </w:rPr>
        <w:t>经营管理模式和业务扩张策略等因素将对公司未来财务状况和盈利能力持续产生影响外</w:t>
      </w:r>
      <w:r>
        <w:rPr>
          <w:rFonts w:hint="eastAsia" w:ascii="宋体" w:hAnsi="宋体" w:eastAsia="宋体" w:cs="宋体"/>
          <w:sz w:val="10"/>
        </w:rPr>
        <w:t>，</w:t>
      </w:r>
      <w:r>
        <w:rPr>
          <w:rFonts w:hint="eastAsia" w:ascii="宋体" w:hAnsi="宋体" w:eastAsia="宋体" w:cs="宋体"/>
          <w:sz w:val="24"/>
        </w:rPr>
        <w:t>未来阶段性的影响因素主要为公司本</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1-1-291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次发行股票募集资金运用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本次募集资金到位后</w:t>
      </w:r>
      <w:r>
        <w:rPr>
          <w:rFonts w:hint="eastAsia" w:ascii="宋体" w:hAnsi="宋体" w:eastAsia="宋体" w:cs="宋体"/>
          <w:sz w:val="10"/>
        </w:rPr>
        <w:t>，</w:t>
      </w:r>
      <w:r>
        <w:rPr>
          <w:rFonts w:hint="eastAsia" w:ascii="宋体" w:hAnsi="宋体" w:eastAsia="宋体" w:cs="宋体"/>
          <w:sz w:val="24"/>
        </w:rPr>
        <w:t>将提高公司净资产和总资产</w:t>
      </w:r>
      <w:r>
        <w:rPr>
          <w:rFonts w:hint="eastAsia" w:ascii="宋体" w:hAnsi="宋体" w:eastAsia="宋体" w:cs="宋体"/>
          <w:sz w:val="10"/>
        </w:rPr>
        <w:t>，</w:t>
      </w:r>
      <w:r>
        <w:rPr>
          <w:rFonts w:hint="eastAsia" w:ascii="宋体" w:hAnsi="宋体" w:eastAsia="宋体" w:cs="宋体"/>
          <w:sz w:val="24"/>
        </w:rPr>
        <w:t>增强整体抗风险能力</w:t>
      </w:r>
      <w:r>
        <w:rPr>
          <w:rFonts w:hint="eastAsia" w:ascii="宋体" w:hAnsi="宋体" w:eastAsia="宋体" w:cs="宋体"/>
          <w:sz w:val="10"/>
        </w:rPr>
        <w:t>。</w:t>
      </w:r>
      <w:r>
        <w:rPr>
          <w:rFonts w:hint="eastAsia" w:ascii="宋体" w:hAnsi="宋体" w:eastAsia="宋体" w:cs="宋体"/>
          <w:sz w:val="24"/>
        </w:rPr>
        <w:t>募集资金的运用也将扩大公司的经营规模</w:t>
      </w:r>
      <w:r>
        <w:rPr>
          <w:rFonts w:hint="eastAsia" w:ascii="宋体" w:hAnsi="宋体" w:eastAsia="宋体" w:cs="宋体"/>
          <w:sz w:val="10"/>
        </w:rPr>
        <w:t>、</w:t>
      </w:r>
      <w:r>
        <w:rPr>
          <w:rFonts w:hint="eastAsia" w:ascii="宋体" w:hAnsi="宋体" w:eastAsia="宋体" w:cs="宋体"/>
          <w:sz w:val="24"/>
        </w:rPr>
        <w:t>完善市场布局</w:t>
      </w:r>
      <w:r>
        <w:rPr>
          <w:rFonts w:hint="eastAsia" w:ascii="宋体" w:hAnsi="宋体" w:eastAsia="宋体" w:cs="宋体"/>
          <w:sz w:val="10"/>
        </w:rPr>
        <w:t>，</w:t>
      </w:r>
      <w:r>
        <w:rPr>
          <w:rFonts w:hint="eastAsia" w:ascii="宋体" w:hAnsi="宋体" w:eastAsia="宋体" w:cs="宋体"/>
          <w:sz w:val="24"/>
        </w:rPr>
        <w:t>增强业务发展能力</w:t>
      </w:r>
      <w:r>
        <w:rPr>
          <w:rFonts w:hint="eastAsia" w:ascii="宋体" w:hAnsi="宋体" w:eastAsia="宋体" w:cs="宋体"/>
          <w:sz w:val="10"/>
        </w:rPr>
        <w:t>，</w:t>
      </w:r>
      <w:r>
        <w:rPr>
          <w:rFonts w:hint="eastAsia" w:ascii="宋体" w:hAnsi="宋体" w:eastAsia="宋体" w:cs="宋体"/>
          <w:sz w:val="24"/>
        </w:rPr>
        <w:t>强化竞争优势</w:t>
      </w:r>
      <w:r>
        <w:rPr>
          <w:rFonts w:hint="eastAsia" w:ascii="宋体" w:hAnsi="宋体" w:eastAsia="宋体" w:cs="宋体"/>
          <w:sz w:val="10"/>
        </w:rPr>
        <w:t>，</w:t>
      </w:r>
      <w:r>
        <w:rPr>
          <w:rFonts w:hint="eastAsia" w:ascii="宋体" w:hAnsi="宋体" w:eastAsia="宋体" w:cs="宋体"/>
          <w:sz w:val="24"/>
        </w:rPr>
        <w:t>更大程度的实现规模效应</w:t>
      </w:r>
      <w:r>
        <w:rPr>
          <w:rFonts w:hint="eastAsia" w:ascii="宋体" w:hAnsi="宋体" w:eastAsia="宋体" w:cs="宋体"/>
          <w:sz w:val="10"/>
        </w:rPr>
        <w:t>，</w:t>
      </w:r>
      <w:r>
        <w:rPr>
          <w:rFonts w:hint="eastAsia" w:ascii="宋体" w:hAnsi="宋体" w:eastAsia="宋体" w:cs="宋体"/>
          <w:sz w:val="24"/>
        </w:rPr>
        <w:t>最终提升公司的盈利能力</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6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本公司本次发行并上市后</w:t>
      </w:r>
      <w:r>
        <w:rPr>
          <w:rFonts w:hint="eastAsia" w:ascii="宋体" w:hAnsi="宋体" w:eastAsia="宋体" w:cs="宋体"/>
          <w:sz w:val="10"/>
        </w:rPr>
        <w:t>，</w:t>
      </w:r>
      <w:r>
        <w:rPr>
          <w:rFonts w:hint="eastAsia" w:ascii="宋体" w:hAnsi="宋体" w:eastAsia="宋体" w:cs="宋体"/>
          <w:sz w:val="24"/>
        </w:rPr>
        <w:t>公司的品牌影响力和公司治理将进一步提高</w:t>
      </w:r>
      <w:r>
        <w:rPr>
          <w:rFonts w:hint="eastAsia" w:ascii="宋体" w:hAnsi="宋体" w:eastAsia="宋体" w:cs="宋体"/>
          <w:sz w:val="10"/>
        </w:rPr>
        <w:t>，</w:t>
      </w:r>
      <w:r>
        <w:rPr>
          <w:rFonts w:hint="eastAsia" w:ascii="宋体" w:hAnsi="宋体" w:eastAsia="宋体" w:cs="宋体"/>
          <w:sz w:val="24"/>
        </w:rPr>
        <w:t>有利于公司获得良好的客户口碑和社会资源</w:t>
      </w:r>
      <w:r>
        <w:rPr>
          <w:rFonts w:hint="eastAsia" w:ascii="宋体" w:hAnsi="宋体" w:eastAsia="宋体" w:cs="宋体"/>
          <w:sz w:val="10"/>
        </w:rPr>
        <w:t>，</w:t>
      </w:r>
      <w:r>
        <w:rPr>
          <w:rFonts w:hint="eastAsia" w:ascii="宋体" w:hAnsi="宋体" w:eastAsia="宋体" w:cs="宋体"/>
          <w:sz w:val="24"/>
        </w:rPr>
        <w:t>有利于公司参与市场竞争</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七</w:t>
      </w:r>
      <w:r>
        <w:rPr>
          <w:rFonts w:hint="eastAsia" w:ascii="ºÚÌå" w:hAnsi="ºÚÌå" w:eastAsia="ºÚÌå" w:cs="ºÚÌå"/>
          <w:sz w:val="10"/>
        </w:rPr>
        <w:t>、</w:t>
      </w:r>
      <w:r>
        <w:rPr>
          <w:rFonts w:hint="eastAsia" w:ascii="ºÚÌå" w:hAnsi="ºÚÌå" w:eastAsia="ºÚÌå" w:cs="ºÚÌå"/>
          <w:sz w:val="30"/>
        </w:rPr>
        <w:t>股东未来分红回报分析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为了明确本次发行后对新老股东权益分红的回报</w:t>
      </w:r>
      <w:r>
        <w:rPr>
          <w:rFonts w:hint="eastAsia" w:ascii="宋体" w:hAnsi="宋体" w:eastAsia="宋体" w:cs="宋体"/>
          <w:sz w:val="10"/>
        </w:rPr>
        <w:t>，</w:t>
      </w:r>
      <w:r>
        <w:rPr>
          <w:rFonts w:hint="eastAsia" w:ascii="宋体" w:hAnsi="宋体" w:eastAsia="宋体" w:cs="宋体"/>
          <w:sz w:val="24"/>
        </w:rPr>
        <w:t>进</w:t>
      </w:r>
      <w:r>
        <w:rPr>
          <w:rFonts w:hint="eastAsia" w:ascii="宋体" w:hAnsi="宋体" w:eastAsia="宋体" w:cs="宋体"/>
          <w:sz w:val="10"/>
        </w:rPr>
        <w:t>一</w:t>
      </w:r>
      <w:r>
        <w:rPr>
          <w:rFonts w:hint="eastAsia" w:ascii="宋体" w:hAnsi="宋体" w:eastAsia="宋体" w:cs="宋体"/>
          <w:sz w:val="24"/>
        </w:rPr>
        <w:t>步细化《公司章程（草案）》中关于股利分配原则的条款</w:t>
      </w:r>
      <w:r>
        <w:rPr>
          <w:rFonts w:hint="eastAsia" w:ascii="宋体" w:hAnsi="宋体" w:eastAsia="宋体" w:cs="宋体"/>
          <w:sz w:val="10"/>
        </w:rPr>
        <w:t>，</w:t>
      </w:r>
      <w:r>
        <w:rPr>
          <w:rFonts w:hint="eastAsia" w:ascii="宋体" w:hAnsi="宋体" w:eastAsia="宋体" w:cs="宋体"/>
          <w:sz w:val="24"/>
        </w:rPr>
        <w:t>增加股利分配决策透明度和可操作性</w:t>
      </w:r>
      <w:r>
        <w:rPr>
          <w:rFonts w:hint="eastAsia" w:ascii="宋体" w:hAnsi="宋体" w:eastAsia="宋体" w:cs="宋体"/>
          <w:sz w:val="10"/>
        </w:rPr>
        <w:t>，</w:t>
      </w:r>
      <w:r>
        <w:rPr>
          <w:rFonts w:hint="eastAsia" w:ascii="宋体" w:hAnsi="宋体" w:eastAsia="宋体" w:cs="宋体"/>
          <w:sz w:val="24"/>
        </w:rPr>
        <w:t>便于股东对公司经营和分配进行监督</w:t>
      </w:r>
      <w:r>
        <w:rPr>
          <w:rFonts w:hint="eastAsia" w:ascii="宋体" w:hAnsi="宋体" w:eastAsia="宋体" w:cs="宋体"/>
          <w:sz w:val="10"/>
        </w:rPr>
        <w:t>，</w:t>
      </w:r>
      <w:r>
        <w:rPr>
          <w:rFonts w:hint="eastAsia" w:ascii="宋体" w:hAnsi="宋体" w:eastAsia="宋体" w:cs="宋体"/>
          <w:sz w:val="24"/>
        </w:rPr>
        <w:t>发行人董事会制定了《上市后三年股东分红回报规划》，《</w:t>
      </w:r>
      <w:r>
        <w:rPr>
          <w:rFonts w:hint="eastAsia" w:ascii="宋体" w:hAnsi="宋体" w:eastAsia="宋体" w:cs="宋体"/>
          <w:sz w:val="24"/>
        </w:rPr>
        <w:t>上市后三年股东分红回报规划》已经公司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日召开的</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年度第五次临时股东大会审议通过</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40" w:lineRule="exact"/>
        <w:ind w:left="1440" w:right="1240"/>
        <w:jc w:val="both"/>
      </w:pPr>
      <w:r>
        <w:rPr>
          <w:rFonts w:hint="eastAsia" w:ascii="ºÚÌå" w:hAnsi="ºÚÌå" w:eastAsia="ºÚÌå" w:cs="ºÚÌå"/>
          <w:sz w:val="30"/>
        </w:rPr>
        <w:t>八</w:t>
      </w:r>
      <w:r>
        <w:rPr>
          <w:rFonts w:hint="eastAsia" w:ascii="ºÚÌå" w:hAnsi="ºÚÌå" w:eastAsia="ºÚÌå" w:cs="ºÚÌå"/>
          <w:sz w:val="10"/>
        </w:rPr>
        <w:t>、</w:t>
      </w:r>
      <w:r>
        <w:rPr>
          <w:rFonts w:hint="eastAsia" w:ascii="ºÚÌå" w:hAnsi="ºÚÌå" w:eastAsia="ºÚÌå" w:cs="ºÚÌå"/>
          <w:sz w:val="30"/>
        </w:rPr>
        <w:t>本次募集资金到位当年发行人每股收益相对上年度每股收益的变动趋势</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本次募集资金到位当年发行人每股收益相对上年度每股收益的变动趋势</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本次募集资金到位当年发行人每股收益相对上年度每股收益的变动趋势</w:t>
      </w:r>
      <w:r>
        <w:rPr>
          <w:rFonts w:hint="eastAsia" w:ascii="宋体" w:hAnsi="宋体" w:eastAsia="宋体" w:cs="宋体"/>
          <w:sz w:val="10"/>
        </w:rPr>
        <w:t>，</w:t>
      </w:r>
      <w:r>
        <w:rPr>
          <w:rFonts w:hint="eastAsia" w:ascii="宋体" w:hAnsi="宋体" w:eastAsia="宋体" w:cs="宋体"/>
          <w:sz w:val="24"/>
        </w:rPr>
        <w:t>参见</w:t>
      </w:r>
      <w:r>
        <w:rPr>
          <w:rFonts w:hint="eastAsia" w:ascii="宋体" w:hAnsi="宋体" w:eastAsia="宋体" w:cs="宋体"/>
          <w:sz w:val="10"/>
        </w:rPr>
        <w:t>“</w:t>
      </w:r>
      <w:r>
        <w:rPr>
          <w:rFonts w:hint="eastAsia" w:ascii="宋体" w:hAnsi="宋体" w:eastAsia="宋体" w:cs="宋体"/>
          <w:sz w:val="24"/>
        </w:rPr>
        <w:t>重大事项提示</w:t>
      </w:r>
      <w:r>
        <w:rPr>
          <w:rFonts w:hint="eastAsia" w:ascii="Times New Roman" w:hAnsi="Times New Roman" w:eastAsia="Times New Roman" w:cs="Times New Roman"/>
          <w:sz w:val="24"/>
        </w:rPr>
        <w:t xml:space="preserve"> </w:t>
      </w:r>
      <w:r>
        <w:rPr>
          <w:rFonts w:hint="eastAsia" w:ascii="宋体" w:hAnsi="宋体" w:eastAsia="宋体" w:cs="宋体"/>
          <w:sz w:val="24"/>
        </w:rPr>
        <w:t>八</w:t>
      </w:r>
      <w:r>
        <w:rPr>
          <w:rFonts w:hint="eastAsia" w:ascii="宋体" w:hAnsi="宋体" w:eastAsia="宋体" w:cs="宋体"/>
          <w:sz w:val="10"/>
        </w:rPr>
        <w:t>、</w:t>
      </w:r>
      <w:r>
        <w:rPr>
          <w:rFonts w:hint="eastAsia" w:ascii="宋体" w:hAnsi="宋体" w:eastAsia="宋体" w:cs="宋体"/>
          <w:sz w:val="24"/>
        </w:rPr>
        <w:t>填补被摊薄即期回报的措施及承诺</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（二）董事会选择本次融资的必要性和合理性</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本次发行募集资金投资项目是实施公司发展战略的重要举措</w:t>
      </w:r>
      <w:r>
        <w:rPr>
          <w:rFonts w:hint="eastAsia" w:ascii="宋体" w:hAnsi="宋体" w:eastAsia="宋体" w:cs="宋体"/>
          <w:sz w:val="10"/>
        </w:rPr>
        <w:t>。</w:t>
      </w:r>
      <w:r>
        <w:rPr>
          <w:rFonts w:hint="eastAsia" w:ascii="宋体" w:hAnsi="宋体" w:eastAsia="宋体" w:cs="宋体"/>
          <w:sz w:val="24"/>
        </w:rPr>
        <w:t>公司以</w:t>
      </w:r>
      <w:r>
        <w:rPr>
          <w:rFonts w:hint="eastAsia" w:ascii="宋体" w:hAnsi="宋体" w:eastAsia="宋体" w:cs="宋体"/>
          <w:sz w:val="10"/>
        </w:rPr>
        <w:t>“</w:t>
      </w:r>
      <w:r>
        <w:rPr>
          <w:rFonts w:hint="eastAsia" w:ascii="宋体" w:hAnsi="宋体" w:eastAsia="宋体" w:cs="宋体"/>
          <w:sz w:val="24"/>
        </w:rPr>
        <w:t>软件科技超越客户梦想</w:t>
      </w:r>
      <w:r>
        <w:rPr>
          <w:rFonts w:hint="eastAsia" w:ascii="宋体" w:hAnsi="宋体" w:eastAsia="宋体" w:cs="宋体"/>
          <w:sz w:val="10"/>
        </w:rPr>
        <w:t>”</w:t>
      </w:r>
      <w:r>
        <w:rPr>
          <w:rFonts w:hint="eastAsia" w:ascii="宋体" w:hAnsi="宋体" w:eastAsia="宋体" w:cs="宋体"/>
          <w:sz w:val="24"/>
        </w:rPr>
        <w:t>的企业理念</w:t>
      </w:r>
      <w:r>
        <w:rPr>
          <w:rFonts w:hint="eastAsia" w:ascii="宋体" w:hAnsi="宋体" w:eastAsia="宋体" w:cs="宋体"/>
          <w:sz w:val="10"/>
        </w:rPr>
        <w:t>，</w:t>
      </w:r>
      <w:r>
        <w:rPr>
          <w:rFonts w:hint="eastAsia" w:ascii="宋体" w:hAnsi="宋体" w:eastAsia="宋体" w:cs="宋体"/>
          <w:sz w:val="24"/>
        </w:rPr>
        <w:t>采用创新的灵动业务架构平台（</w:t>
      </w:r>
      <w:r>
        <w:rPr>
          <w:rFonts w:hint="eastAsia" w:ascii="Times New Roman" w:hAnsi="Times New Roman" w:eastAsia="Times New Roman" w:cs="Times New Roman"/>
          <w:sz w:val="24"/>
        </w:rPr>
        <w:t>LiveBOS</w:t>
      </w:r>
      <w:r>
        <w:rPr>
          <w:rFonts w:hint="eastAsia" w:ascii="宋体" w:hAnsi="宋体" w:eastAsia="宋体" w:cs="宋体"/>
          <w:sz w:val="24"/>
        </w:rPr>
        <w:t>）与创新的软件开发模式</w:t>
      </w:r>
      <w:r>
        <w:rPr>
          <w:rFonts w:hint="eastAsia" w:ascii="宋体" w:hAnsi="宋体" w:eastAsia="宋体" w:cs="宋体"/>
          <w:sz w:val="10"/>
        </w:rPr>
        <w:t>，</w:t>
      </w:r>
      <w:r>
        <w:rPr>
          <w:rFonts w:hint="eastAsia" w:ascii="宋体" w:hAnsi="宋体" w:eastAsia="宋体" w:cs="宋体"/>
          <w:sz w:val="24"/>
        </w:rPr>
        <w:t>实施平台扩张战略</w:t>
      </w:r>
      <w:r>
        <w:rPr>
          <w:rFonts w:hint="eastAsia" w:ascii="宋体" w:hAnsi="宋体" w:eastAsia="宋体" w:cs="宋体"/>
          <w:sz w:val="10"/>
        </w:rPr>
        <w:t>，</w:t>
      </w:r>
      <w:r>
        <w:rPr>
          <w:rFonts w:hint="eastAsia" w:ascii="宋体" w:hAnsi="宋体" w:eastAsia="宋体" w:cs="宋体"/>
          <w:sz w:val="24"/>
        </w:rPr>
        <w:t>将公司的业务重点聚焦于证券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信托</w:t>
      </w:r>
      <w:r>
        <w:rPr>
          <w:rFonts w:hint="eastAsia" w:ascii="宋体" w:hAnsi="宋体" w:eastAsia="宋体" w:cs="宋体"/>
          <w:sz w:val="10"/>
        </w:rPr>
        <w:t>、</w:t>
      </w:r>
      <w:r>
        <w:rPr>
          <w:rFonts w:hint="eastAsia" w:ascii="宋体" w:hAnsi="宋体" w:eastAsia="宋体" w:cs="宋体"/>
          <w:sz w:val="24"/>
        </w:rPr>
        <w:t>中小银行和电子交易市场为主的大金融</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行业</w:t>
      </w:r>
      <w:r>
        <w:rPr>
          <w:rFonts w:hint="eastAsia" w:ascii="宋体" w:hAnsi="宋体" w:eastAsia="宋体" w:cs="宋体"/>
          <w:sz w:val="10"/>
        </w:rPr>
        <w:t>，</w:t>
      </w:r>
      <w:r>
        <w:rPr>
          <w:rFonts w:hint="eastAsia" w:ascii="宋体" w:hAnsi="宋体" w:eastAsia="宋体" w:cs="宋体"/>
          <w:sz w:val="24"/>
        </w:rPr>
        <w:t>同时兼顾发展企业与教育行业</w:t>
      </w:r>
      <w:r>
        <w:rPr>
          <w:rFonts w:hint="eastAsia" w:ascii="宋体" w:hAnsi="宋体" w:eastAsia="宋体" w:cs="宋体"/>
          <w:sz w:val="10"/>
        </w:rPr>
        <w:t>，</w:t>
      </w:r>
      <w:r>
        <w:rPr>
          <w:rFonts w:hint="eastAsia" w:ascii="宋体" w:hAnsi="宋体" w:eastAsia="宋体" w:cs="宋体"/>
          <w:sz w:val="24"/>
        </w:rPr>
        <w:t>努力成为这些客户</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战略的全面</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解决方案提供商</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积极探索以云计算为基础</w:t>
      </w:r>
      <w:r>
        <w:rPr>
          <w:rFonts w:hint="eastAsia" w:ascii="宋体" w:hAnsi="宋体" w:eastAsia="宋体" w:cs="宋体"/>
          <w:sz w:val="10"/>
        </w:rPr>
        <w:t>，</w:t>
      </w:r>
      <w:r>
        <w:rPr>
          <w:rFonts w:hint="eastAsia" w:ascii="宋体" w:hAnsi="宋体" w:eastAsia="宋体" w:cs="宋体"/>
          <w:sz w:val="24"/>
        </w:rPr>
        <w:t>建立面向行业的平台型</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系统</w:t>
      </w:r>
      <w:r>
        <w:rPr>
          <w:rFonts w:hint="eastAsia" w:ascii="宋体" w:hAnsi="宋体" w:eastAsia="宋体" w:cs="宋体"/>
          <w:sz w:val="10"/>
        </w:rPr>
        <w:t>，</w:t>
      </w:r>
      <w:r>
        <w:rPr>
          <w:rFonts w:hint="eastAsia" w:ascii="宋体" w:hAnsi="宋体" w:eastAsia="宋体" w:cs="宋体"/>
          <w:sz w:val="24"/>
        </w:rPr>
        <w:t>巩固并提升公司的行业影响力</w:t>
      </w:r>
      <w:r>
        <w:rPr>
          <w:rFonts w:hint="eastAsia" w:ascii="宋体" w:hAnsi="宋体" w:eastAsia="宋体" w:cs="宋体"/>
          <w:sz w:val="10"/>
        </w:rPr>
        <w:t>。</w:t>
      </w:r>
      <w:r>
        <w:rPr>
          <w:rFonts w:hint="eastAsia" w:ascii="宋体" w:hAnsi="宋体" w:eastAsia="宋体" w:cs="宋体"/>
          <w:sz w:val="24"/>
        </w:rPr>
        <w:t>本次发行募投项目的实施符合国家政策的导向</w:t>
      </w:r>
      <w:r>
        <w:rPr>
          <w:rFonts w:hint="eastAsia" w:ascii="宋体" w:hAnsi="宋体" w:eastAsia="宋体" w:cs="宋体"/>
          <w:sz w:val="10"/>
        </w:rPr>
        <w:t>，</w:t>
      </w:r>
      <w:r>
        <w:rPr>
          <w:rFonts w:hint="eastAsia" w:ascii="宋体" w:hAnsi="宋体" w:eastAsia="宋体" w:cs="宋体"/>
          <w:sz w:val="24"/>
        </w:rPr>
        <w:t>旨在不断提升自身竞争实力的同时</w:t>
      </w:r>
      <w:r>
        <w:rPr>
          <w:rFonts w:hint="eastAsia" w:ascii="宋体" w:hAnsi="宋体" w:eastAsia="宋体" w:cs="宋体"/>
          <w:sz w:val="10"/>
        </w:rPr>
        <w:t>，</w:t>
      </w:r>
      <w:r>
        <w:rPr>
          <w:rFonts w:hint="eastAsia" w:ascii="宋体" w:hAnsi="宋体" w:eastAsia="宋体" w:cs="宋体"/>
          <w:sz w:val="24"/>
        </w:rPr>
        <w:t>紧跟行业前沿发展</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1-1-292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公司希望以上市筹资为契机</w:t>
      </w:r>
      <w:r>
        <w:rPr>
          <w:rFonts w:hint="eastAsia" w:ascii="宋体" w:hAnsi="宋体" w:eastAsia="宋体" w:cs="宋体"/>
          <w:sz w:val="10"/>
        </w:rPr>
        <w:t>，</w:t>
      </w:r>
      <w:r>
        <w:rPr>
          <w:rFonts w:hint="eastAsia" w:ascii="宋体" w:hAnsi="宋体" w:eastAsia="宋体" w:cs="宋体"/>
          <w:sz w:val="24"/>
        </w:rPr>
        <w:t>大量招聘高端的业务技术与营销人才</w:t>
      </w:r>
      <w:r>
        <w:rPr>
          <w:rFonts w:hint="eastAsia" w:ascii="宋体" w:hAnsi="宋体" w:eastAsia="宋体" w:cs="宋体"/>
          <w:sz w:val="10"/>
        </w:rPr>
        <w:t>，</w:t>
      </w:r>
      <w:r>
        <w:rPr>
          <w:rFonts w:hint="eastAsia" w:ascii="宋体" w:hAnsi="宋体" w:eastAsia="宋体" w:cs="宋体"/>
          <w:sz w:val="24"/>
        </w:rPr>
        <w:t>大力整合公司资源</w:t>
      </w:r>
      <w:r>
        <w:rPr>
          <w:rFonts w:hint="eastAsia" w:ascii="宋体" w:hAnsi="宋体" w:eastAsia="宋体" w:cs="宋体"/>
          <w:sz w:val="10"/>
        </w:rPr>
        <w:t>，</w:t>
      </w:r>
      <w:r>
        <w:rPr>
          <w:rFonts w:hint="eastAsia" w:ascii="宋体" w:hAnsi="宋体" w:eastAsia="宋体" w:cs="宋体"/>
          <w:sz w:val="24"/>
        </w:rPr>
        <w:t>不断充实</w:t>
      </w:r>
      <w:r>
        <w:rPr>
          <w:rFonts w:hint="eastAsia" w:ascii="宋体" w:hAnsi="宋体" w:eastAsia="宋体" w:cs="宋体"/>
          <w:sz w:val="10"/>
        </w:rPr>
        <w:t>、</w:t>
      </w:r>
      <w:r>
        <w:rPr>
          <w:rFonts w:hint="eastAsia" w:ascii="宋体" w:hAnsi="宋体" w:eastAsia="宋体" w:cs="宋体"/>
          <w:sz w:val="24"/>
        </w:rPr>
        <w:t>完善以</w:t>
      </w:r>
      <w:r>
        <w:rPr>
          <w:rFonts w:hint="eastAsia" w:ascii="宋体" w:hAnsi="宋体" w:eastAsia="宋体" w:cs="宋体"/>
          <w:sz w:val="10"/>
        </w:rPr>
        <w:t>“</w:t>
      </w:r>
      <w:r>
        <w:rPr>
          <w:rFonts w:hint="eastAsia" w:ascii="宋体" w:hAnsi="宋体" w:eastAsia="宋体" w:cs="宋体"/>
          <w:sz w:val="24"/>
        </w:rPr>
        <w:t>研发</w:t>
      </w:r>
      <w:r>
        <w:rPr>
          <w:rFonts w:hint="eastAsia" w:ascii="宋体" w:hAnsi="宋体" w:eastAsia="宋体" w:cs="宋体"/>
          <w:sz w:val="10"/>
        </w:rPr>
        <w:t>、</w:t>
      </w:r>
      <w:r>
        <w:rPr>
          <w:rFonts w:hint="eastAsia" w:ascii="宋体" w:hAnsi="宋体" w:eastAsia="宋体" w:cs="宋体"/>
          <w:sz w:val="24"/>
        </w:rPr>
        <w:t>市场和服务</w:t>
      </w:r>
      <w:r>
        <w:rPr>
          <w:rFonts w:hint="eastAsia" w:ascii="宋体" w:hAnsi="宋体" w:eastAsia="宋体" w:cs="宋体"/>
          <w:sz w:val="10"/>
        </w:rPr>
        <w:t>”</w:t>
      </w:r>
      <w:r>
        <w:rPr>
          <w:rFonts w:hint="eastAsia" w:ascii="宋体" w:hAnsi="宋体" w:eastAsia="宋体" w:cs="宋体"/>
          <w:sz w:val="24"/>
        </w:rPr>
        <w:t>为核心的业务架构</w:t>
      </w:r>
      <w:r>
        <w:rPr>
          <w:rFonts w:hint="eastAsia" w:ascii="宋体" w:hAnsi="宋体" w:eastAsia="宋体" w:cs="宋体"/>
          <w:sz w:val="10"/>
        </w:rPr>
        <w:t>，</w:t>
      </w:r>
      <w:r>
        <w:rPr>
          <w:rFonts w:hint="eastAsia" w:ascii="宋体" w:hAnsi="宋体" w:eastAsia="宋体" w:cs="宋体"/>
          <w:sz w:val="24"/>
        </w:rPr>
        <w:t>全面提升公司的综合运营能力</w:t>
      </w:r>
      <w:r>
        <w:rPr>
          <w:rFonts w:hint="eastAsia" w:ascii="宋体" w:hAnsi="宋体" w:eastAsia="宋体" w:cs="宋体"/>
          <w:sz w:val="10"/>
        </w:rPr>
        <w:t>，</w:t>
      </w:r>
      <w:r>
        <w:rPr>
          <w:rFonts w:hint="eastAsia" w:ascii="宋体" w:hAnsi="宋体" w:eastAsia="宋体" w:cs="宋体"/>
          <w:sz w:val="24"/>
        </w:rPr>
        <w:t>夯实公司在以</w:t>
      </w:r>
      <w:r>
        <w:rPr>
          <w:rFonts w:hint="eastAsia" w:ascii="宋体" w:hAnsi="宋体" w:eastAsia="宋体" w:cs="宋体"/>
          <w:sz w:val="10"/>
        </w:rPr>
        <w:t>“</w:t>
      </w:r>
      <w:r>
        <w:rPr>
          <w:rFonts w:hint="eastAsia" w:ascii="宋体" w:hAnsi="宋体" w:eastAsia="宋体" w:cs="宋体"/>
          <w:sz w:val="24"/>
        </w:rPr>
        <w:t>灵动架构平台（</w:t>
      </w:r>
      <w:r>
        <w:rPr>
          <w:rFonts w:hint="eastAsia" w:ascii="Times New Roman" w:hAnsi="Times New Roman" w:eastAsia="Times New Roman" w:cs="Times New Roman"/>
          <w:sz w:val="24"/>
        </w:rPr>
        <w:t>LiveBOS</w:t>
      </w:r>
      <w:r>
        <w:rPr>
          <w:rFonts w:hint="eastAsia" w:ascii="宋体" w:hAnsi="宋体" w:eastAsia="宋体" w:cs="宋体"/>
          <w:sz w:val="24"/>
        </w:rPr>
        <w:t>）为基础</w:t>
      </w:r>
      <w:r>
        <w:rPr>
          <w:rFonts w:hint="eastAsia" w:ascii="宋体" w:hAnsi="宋体" w:eastAsia="宋体" w:cs="宋体"/>
          <w:sz w:val="10"/>
        </w:rPr>
        <w:t>，</w:t>
      </w:r>
      <w:r>
        <w:rPr>
          <w:rFonts w:hint="eastAsia" w:ascii="宋体" w:hAnsi="宋体" w:eastAsia="宋体" w:cs="宋体"/>
          <w:sz w:val="24"/>
        </w:rPr>
        <w:t>以</w:t>
      </w:r>
      <w:r>
        <w:rPr>
          <w:rFonts w:hint="eastAsia" w:ascii="Times New Roman" w:hAnsi="Times New Roman" w:eastAsia="Times New Roman" w:cs="Times New Roman"/>
          <w:sz w:val="24"/>
        </w:rPr>
        <w:t xml:space="preserve"> BPM</w:t>
      </w:r>
      <w:r>
        <w:rPr>
          <w:rFonts w:hint="eastAsia" w:ascii="宋体" w:hAnsi="宋体" w:eastAsia="宋体" w:cs="宋体"/>
          <w:sz w:val="24"/>
        </w:rPr>
        <w:t xml:space="preserve"> 为核心</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w:t>
      </w:r>
      <w:r>
        <w:rPr>
          <w:rFonts w:hint="eastAsia" w:ascii="宋体" w:hAnsi="宋体" w:eastAsia="宋体" w:cs="宋体"/>
          <w:sz w:val="10"/>
        </w:rPr>
        <w:t>”</w:t>
      </w:r>
      <w:r>
        <w:rPr>
          <w:rFonts w:hint="eastAsia" w:ascii="宋体" w:hAnsi="宋体" w:eastAsia="宋体" w:cs="宋体"/>
          <w:sz w:val="24"/>
        </w:rPr>
        <w:t>的信息化应用解决方案个性化软件和服务领域的领先优势</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公司的主要竞争对手多为上市公司</w:t>
      </w:r>
      <w:r>
        <w:rPr>
          <w:rFonts w:hint="eastAsia" w:ascii="宋体" w:hAnsi="宋体" w:eastAsia="宋体" w:cs="宋体"/>
          <w:sz w:val="10"/>
        </w:rPr>
        <w:t>，</w:t>
      </w:r>
      <w:r>
        <w:rPr>
          <w:rFonts w:hint="eastAsia" w:ascii="宋体" w:hAnsi="宋体" w:eastAsia="宋体" w:cs="宋体"/>
          <w:sz w:val="24"/>
        </w:rPr>
        <w:t>本次融资也将提升公司的整体实力</w:t>
      </w:r>
      <w:r>
        <w:rPr>
          <w:rFonts w:hint="eastAsia" w:ascii="宋体" w:hAnsi="宋体" w:eastAsia="宋体" w:cs="宋体"/>
          <w:sz w:val="10"/>
        </w:rPr>
        <w:t>，</w:t>
      </w:r>
      <w:r>
        <w:rPr>
          <w:rFonts w:hint="eastAsia" w:ascii="宋体" w:hAnsi="宋体" w:eastAsia="宋体" w:cs="宋体"/>
          <w:sz w:val="24"/>
        </w:rPr>
        <w:t>有利于长远发展</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本次发行募集资金投资项目的必要性和合理性分析参见本招股说明书</w:t>
      </w:r>
      <w:r>
        <w:rPr>
          <w:rFonts w:hint="eastAsia" w:ascii="宋体" w:hAnsi="宋体" w:eastAsia="宋体" w:cs="宋体"/>
          <w:sz w:val="10"/>
        </w:rPr>
        <w:t>“</w:t>
      </w:r>
      <w:r>
        <w:rPr>
          <w:rFonts w:hint="eastAsia" w:ascii="宋体" w:hAnsi="宋体" w:eastAsia="宋体" w:cs="宋体"/>
          <w:sz w:val="24"/>
        </w:rPr>
        <w:t>第十三节募集资金运用</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w:t>
      </w:r>
      <w:r>
        <w:rPr>
          <w:rFonts w:hint="eastAsia" w:ascii="宋体" w:hAnsi="宋体" w:eastAsia="宋体" w:cs="宋体"/>
          <w:sz w:val="24"/>
        </w:rPr>
        <w:t>五</w:t>
      </w:r>
      <w:r>
        <w:rPr>
          <w:rFonts w:hint="eastAsia" w:ascii="宋体" w:hAnsi="宋体" w:eastAsia="宋体" w:cs="宋体"/>
          <w:sz w:val="10"/>
        </w:rPr>
        <w:t>、</w:t>
      </w:r>
      <w:r>
        <w:rPr>
          <w:rFonts w:hint="eastAsia" w:ascii="宋体" w:hAnsi="宋体" w:eastAsia="宋体" w:cs="宋体"/>
          <w:sz w:val="24"/>
        </w:rPr>
        <w:t>募集资金投资项目的可行性</w:t>
      </w:r>
      <w:r>
        <w:rPr>
          <w:rFonts w:hint="eastAsia" w:ascii="宋体" w:hAnsi="宋体" w:eastAsia="宋体" w:cs="宋体"/>
          <w:sz w:val="10"/>
        </w:rPr>
        <w:t>、</w:t>
      </w:r>
      <w:r>
        <w:rPr>
          <w:rFonts w:hint="eastAsia" w:ascii="宋体" w:hAnsi="宋体" w:eastAsia="宋体" w:cs="宋体"/>
          <w:sz w:val="24"/>
        </w:rPr>
        <w:t>必要性和市场前景分析</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300"/>
        <w:jc w:val="both"/>
      </w:pPr>
      <w:r>
        <w:rPr>
          <w:rFonts w:hint="eastAsia" w:ascii="宋体" w:hAnsi="宋体" w:eastAsia="宋体" w:cs="宋体"/>
          <w:b/>
          <w:sz w:val="24"/>
        </w:rPr>
        <w:t>（三）本次募集资金投资项目与发行人现有业务的关系</w:t>
      </w:r>
      <w:r>
        <w:rPr>
          <w:rFonts w:hint="eastAsia" w:ascii="宋体" w:hAnsi="宋体" w:eastAsia="宋体" w:cs="宋体"/>
          <w:b/>
          <w:sz w:val="10"/>
        </w:rPr>
        <w:t>，</w:t>
      </w:r>
      <w:r>
        <w:rPr>
          <w:rFonts w:hint="eastAsia" w:ascii="宋体" w:hAnsi="宋体" w:eastAsia="宋体" w:cs="宋体"/>
          <w:b/>
          <w:sz w:val="24"/>
        </w:rPr>
        <w:t>以及发行人从事募集资金项目在人员</w:t>
      </w:r>
      <w:r>
        <w:rPr>
          <w:rFonts w:hint="eastAsia" w:ascii="宋体" w:hAnsi="宋体" w:eastAsia="宋体" w:cs="宋体"/>
          <w:b/>
          <w:sz w:val="10"/>
        </w:rPr>
        <w:t>、</w:t>
      </w:r>
      <w:r>
        <w:rPr>
          <w:rFonts w:hint="eastAsia" w:ascii="宋体" w:hAnsi="宋体" w:eastAsia="宋体" w:cs="宋体"/>
          <w:b/>
          <w:sz w:val="24"/>
        </w:rPr>
        <w:t>技术</w:t>
      </w:r>
      <w:r>
        <w:rPr>
          <w:rFonts w:hint="eastAsia" w:ascii="宋体" w:hAnsi="宋体" w:eastAsia="宋体" w:cs="宋体"/>
          <w:b/>
          <w:sz w:val="10"/>
        </w:rPr>
        <w:t>、</w:t>
      </w:r>
      <w:r>
        <w:rPr>
          <w:rFonts w:hint="eastAsia" w:ascii="宋体" w:hAnsi="宋体" w:eastAsia="宋体" w:cs="宋体"/>
          <w:b/>
          <w:sz w:val="24"/>
        </w:rPr>
        <w:t>市场等方面的储备情况</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本次募集资金投资项目与发行人现有业务的关系</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发行人自成立以来</w:t>
      </w:r>
      <w:r>
        <w:rPr>
          <w:rFonts w:hint="eastAsia" w:ascii="宋体" w:hAnsi="宋体" w:eastAsia="宋体" w:cs="宋体"/>
          <w:sz w:val="10"/>
        </w:rPr>
        <w:t>，</w:t>
      </w:r>
      <w:r>
        <w:rPr>
          <w:rFonts w:hint="eastAsia" w:ascii="宋体" w:hAnsi="宋体" w:eastAsia="宋体" w:cs="宋体"/>
          <w:sz w:val="24"/>
        </w:rPr>
        <w:t>始终致力于为金融行业及其他行业企业提供信息化服务</w:t>
      </w:r>
      <w:r>
        <w:rPr>
          <w:rFonts w:hint="eastAsia" w:ascii="宋体" w:hAnsi="宋体" w:eastAsia="宋体" w:cs="宋体"/>
          <w:sz w:val="10"/>
        </w:rPr>
        <w:t>。</w:t>
      </w:r>
      <w:r>
        <w:rPr>
          <w:rFonts w:hint="eastAsia" w:ascii="宋体" w:hAnsi="宋体" w:eastAsia="宋体" w:cs="宋体"/>
          <w:sz w:val="24"/>
        </w:rPr>
        <w:t>近年来根据下游行业发展情况及自身业务规划</w:t>
      </w:r>
      <w:r>
        <w:rPr>
          <w:rFonts w:hint="eastAsia" w:ascii="宋体" w:hAnsi="宋体" w:eastAsia="宋体" w:cs="宋体"/>
          <w:sz w:val="10"/>
        </w:rPr>
        <w:t>，</w:t>
      </w:r>
      <w:r>
        <w:rPr>
          <w:rFonts w:hint="eastAsia" w:ascii="宋体" w:hAnsi="宋体" w:eastAsia="宋体" w:cs="宋体"/>
          <w:sz w:val="24"/>
        </w:rPr>
        <w:t>公司致力于利用自主研发的</w:t>
      </w:r>
      <w:r>
        <w:rPr>
          <w:rFonts w:hint="eastAsia" w:ascii="宋体" w:hAnsi="宋体" w:eastAsia="宋体" w:cs="宋体"/>
          <w:sz w:val="10"/>
        </w:rPr>
        <w:t>“</w:t>
      </w:r>
      <w:r>
        <w:rPr>
          <w:rFonts w:hint="eastAsia" w:ascii="宋体" w:hAnsi="宋体" w:eastAsia="宋体" w:cs="宋体"/>
          <w:sz w:val="24"/>
        </w:rPr>
        <w:t>灵动业务架构平台（</w:t>
      </w:r>
      <w:r>
        <w:rPr>
          <w:rFonts w:hint="eastAsia" w:ascii="Times New Roman" w:hAnsi="Times New Roman" w:eastAsia="Times New Roman" w:cs="Times New Roman"/>
          <w:sz w:val="24"/>
        </w:rPr>
        <w:t>LiveBOS</w:t>
      </w:r>
      <w:r>
        <w:rPr>
          <w:rFonts w:hint="eastAsia" w:ascii="宋体" w:hAnsi="宋体" w:eastAsia="宋体" w:cs="宋体"/>
          <w:sz w:val="24"/>
        </w:rPr>
        <w:t>）”，</w:t>
      </w:r>
      <w:r>
        <w:rPr>
          <w:rFonts w:hint="eastAsia" w:ascii="宋体" w:hAnsi="宋体" w:eastAsia="宋体" w:cs="宋体"/>
          <w:sz w:val="24"/>
        </w:rPr>
        <w:t>为包括证券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银行</w:t>
      </w:r>
      <w:r>
        <w:rPr>
          <w:rFonts w:hint="eastAsia" w:ascii="宋体" w:hAnsi="宋体" w:eastAsia="宋体" w:cs="宋体"/>
          <w:sz w:val="10"/>
        </w:rPr>
        <w:t>、</w:t>
      </w:r>
      <w:r>
        <w:rPr>
          <w:rFonts w:hint="eastAsia" w:ascii="宋体" w:hAnsi="宋体" w:eastAsia="宋体" w:cs="宋体"/>
          <w:sz w:val="24"/>
        </w:rPr>
        <w:t>电子交易市场等在内的金融行业及其他行业提供以业务流程管理（</w:t>
      </w:r>
      <w:r>
        <w:rPr>
          <w:rFonts w:hint="eastAsia" w:ascii="Times New Roman" w:hAnsi="Times New Roman" w:eastAsia="Times New Roman" w:cs="Times New Roman"/>
          <w:sz w:val="24"/>
        </w:rPr>
        <w:t>BPM</w:t>
      </w:r>
      <w:r>
        <w:rPr>
          <w:rFonts w:hint="eastAsia" w:ascii="宋体" w:hAnsi="宋体" w:eastAsia="宋体" w:cs="宋体"/>
          <w:sz w:val="24"/>
        </w:rPr>
        <w:t>）为核心</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应用为重点方向的信息化解决方案</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本次募集资金投向经公司股东大会审议确定</w:t>
      </w:r>
      <w:r>
        <w:rPr>
          <w:rFonts w:hint="eastAsia" w:ascii="宋体" w:hAnsi="宋体" w:eastAsia="宋体" w:cs="宋体"/>
          <w:sz w:val="10"/>
        </w:rPr>
        <w:t>，</w:t>
      </w:r>
      <w:r>
        <w:rPr>
          <w:rFonts w:hint="eastAsia" w:ascii="宋体" w:hAnsi="宋体" w:eastAsia="宋体" w:cs="宋体"/>
          <w:sz w:val="24"/>
        </w:rPr>
        <w:t>由董事会负责实施</w:t>
      </w:r>
      <w:r>
        <w:rPr>
          <w:rFonts w:hint="eastAsia" w:ascii="宋体" w:hAnsi="宋体" w:eastAsia="宋体" w:cs="宋体"/>
          <w:sz w:val="10"/>
        </w:rPr>
        <w:t>，</w:t>
      </w:r>
      <w:r>
        <w:rPr>
          <w:rFonts w:hint="eastAsia" w:ascii="宋体" w:hAnsi="宋体" w:eastAsia="宋体" w:cs="宋体"/>
          <w:sz w:val="24"/>
        </w:rPr>
        <w:t>用于</w:t>
      </w:r>
      <w:r>
        <w:rPr>
          <w:rFonts w:hint="eastAsia" w:ascii="宋体" w:hAnsi="宋体" w:eastAsia="宋体" w:cs="宋体"/>
          <w:sz w:val="10"/>
        </w:rPr>
        <w:t>：</w:t>
      </w:r>
      <w:r>
        <w:rPr>
          <w:rFonts w:hint="eastAsia" w:ascii="宋体" w:hAnsi="宋体" w:eastAsia="宋体" w:cs="宋体"/>
          <w:sz w:val="24"/>
        </w:rPr>
        <w:t>基于新一代</w:t>
      </w:r>
      <w:r>
        <w:rPr>
          <w:rFonts w:hint="eastAsia" w:ascii="Times New Roman" w:hAnsi="Times New Roman" w:eastAsia="Times New Roman" w:cs="Times New Roman"/>
          <w:sz w:val="24"/>
        </w:rPr>
        <w:t>LiveBOS</w:t>
      </w:r>
      <w:r>
        <w:rPr>
          <w:rFonts w:hint="eastAsia" w:ascii="宋体" w:hAnsi="宋体" w:eastAsia="宋体" w:cs="宋体"/>
          <w:sz w:val="24"/>
        </w:rPr>
        <w:t xml:space="preserve"> 的平台及产品升级项目</w:t>
      </w:r>
      <w:r>
        <w:rPr>
          <w:rFonts w:hint="eastAsia" w:ascii="宋体" w:hAnsi="宋体" w:eastAsia="宋体" w:cs="宋体"/>
          <w:sz w:val="10"/>
        </w:rPr>
        <w:t>、</w:t>
      </w:r>
      <w:r>
        <w:rPr>
          <w:rFonts w:hint="eastAsia" w:ascii="宋体" w:hAnsi="宋体" w:eastAsia="宋体" w:cs="宋体"/>
          <w:sz w:val="24"/>
        </w:rPr>
        <w:t>金融行业互联网化应用解决方案项目</w:t>
      </w:r>
      <w:r>
        <w:rPr>
          <w:rFonts w:hint="eastAsia" w:ascii="宋体" w:hAnsi="宋体" w:eastAsia="宋体" w:cs="宋体"/>
          <w:sz w:val="10"/>
        </w:rPr>
        <w:t>、</w:t>
      </w:r>
      <w:r>
        <w:rPr>
          <w:rFonts w:hint="eastAsia" w:ascii="宋体" w:hAnsi="宋体" w:eastAsia="宋体" w:cs="宋体"/>
          <w:sz w:val="24"/>
        </w:rPr>
        <w:t>流程券商（含期货）解决方案项目</w:t>
      </w:r>
      <w:r>
        <w:rPr>
          <w:rFonts w:hint="eastAsia" w:ascii="宋体" w:hAnsi="宋体" w:eastAsia="宋体" w:cs="宋体"/>
          <w:sz w:val="10"/>
        </w:rPr>
        <w:t>、</w:t>
      </w:r>
      <w:r>
        <w:rPr>
          <w:rFonts w:hint="eastAsia" w:ascii="宋体" w:hAnsi="宋体" w:eastAsia="宋体" w:cs="宋体"/>
          <w:sz w:val="24"/>
        </w:rPr>
        <w:t>新一代电子交易市场业务支撑系统项目</w:t>
      </w:r>
      <w:r>
        <w:rPr>
          <w:rFonts w:hint="eastAsia" w:ascii="宋体" w:hAnsi="宋体" w:eastAsia="宋体" w:cs="宋体"/>
          <w:sz w:val="10"/>
        </w:rPr>
        <w:t>、</w:t>
      </w:r>
      <w:r>
        <w:rPr>
          <w:rFonts w:hint="eastAsia" w:ascii="宋体" w:hAnsi="宋体" w:eastAsia="宋体" w:cs="宋体"/>
          <w:sz w:val="24"/>
        </w:rPr>
        <w:t>研发中心建设项目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440" w:right="1220"/>
        <w:jc w:val="both"/>
      </w:pPr>
      <w:r>
        <w:rPr>
          <w:rFonts w:hint="eastAsia" w:ascii="宋体" w:hAnsi="宋体" w:eastAsia="宋体" w:cs="宋体"/>
          <w:sz w:val="24"/>
        </w:rPr>
        <w:t>上述募集资金投资项目均围绕主营业务展开</w:t>
      </w:r>
      <w:r>
        <w:rPr>
          <w:rFonts w:hint="eastAsia" w:ascii="宋体" w:hAnsi="宋体" w:eastAsia="宋体" w:cs="宋体"/>
          <w:sz w:val="10"/>
        </w:rPr>
        <w:t>，</w:t>
      </w:r>
      <w:r>
        <w:rPr>
          <w:rFonts w:hint="eastAsia" w:ascii="宋体" w:hAnsi="宋体" w:eastAsia="宋体" w:cs="宋体"/>
          <w:sz w:val="24"/>
        </w:rPr>
        <w:t>资金投向与公司所属行业及未来规划</w:t>
      </w:r>
      <w:r>
        <w:rPr>
          <w:rFonts w:hint="eastAsia" w:ascii="宋体" w:hAnsi="宋体" w:eastAsia="宋体" w:cs="宋体"/>
          <w:sz w:val="10"/>
        </w:rPr>
        <w:t>一</w:t>
      </w:r>
      <w:r>
        <w:rPr>
          <w:rFonts w:hint="eastAsia" w:ascii="宋体" w:hAnsi="宋体" w:eastAsia="宋体" w:cs="宋体"/>
          <w:sz w:val="24"/>
        </w:rPr>
        <w:t>致</w:t>
      </w:r>
      <w:r>
        <w:rPr>
          <w:rFonts w:hint="eastAsia" w:ascii="宋体" w:hAnsi="宋体" w:eastAsia="宋体" w:cs="宋体"/>
          <w:sz w:val="10"/>
        </w:rPr>
        <w:t>，</w:t>
      </w:r>
      <w:r>
        <w:rPr>
          <w:rFonts w:hint="eastAsia" w:ascii="宋体" w:hAnsi="宋体" w:eastAsia="宋体" w:cs="宋体"/>
          <w:sz w:val="24"/>
        </w:rPr>
        <w:t>项目的实施有利于公司的长远发展</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发行人从事募集资金项目在人员</w:t>
      </w:r>
      <w:r>
        <w:rPr>
          <w:rFonts w:hint="eastAsia" w:ascii="宋体" w:hAnsi="宋体" w:eastAsia="宋体" w:cs="宋体"/>
          <w:sz w:val="10"/>
        </w:rPr>
        <w:t>、</w:t>
      </w:r>
      <w:r>
        <w:rPr>
          <w:rFonts w:hint="eastAsia" w:ascii="宋体" w:hAnsi="宋体" w:eastAsia="宋体" w:cs="宋体"/>
          <w:sz w:val="24"/>
        </w:rPr>
        <w:t>技术</w:t>
      </w:r>
      <w:r>
        <w:rPr>
          <w:rFonts w:hint="eastAsia" w:ascii="宋体" w:hAnsi="宋体" w:eastAsia="宋体" w:cs="宋体"/>
          <w:sz w:val="10"/>
        </w:rPr>
        <w:t>、</w:t>
      </w:r>
      <w:r>
        <w:rPr>
          <w:rFonts w:hint="eastAsia" w:ascii="宋体" w:hAnsi="宋体" w:eastAsia="宋体" w:cs="宋体"/>
          <w:sz w:val="24"/>
        </w:rPr>
        <w:t>市场等方面的储备情况</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）人员方面</w:t>
      </w:r>
      <w:r>
        <w:rPr>
          <w:rFonts w:hint="eastAsia" w:ascii="宋体" w:hAnsi="宋体" w:eastAsia="宋体" w:cs="宋体"/>
          <w:sz w:val="10"/>
        </w:rPr>
        <w:t>。</w:t>
      </w:r>
      <w:r>
        <w:rPr>
          <w:rFonts w:hint="eastAsia" w:ascii="宋体" w:hAnsi="宋体" w:eastAsia="宋体" w:cs="宋体"/>
          <w:sz w:val="24"/>
        </w:rPr>
        <w:t>公司自成立以来始终从事金融行业及其他行业企业的信息化服务业务</w:t>
      </w:r>
      <w:r>
        <w:rPr>
          <w:rFonts w:hint="eastAsia" w:ascii="宋体" w:hAnsi="宋体" w:eastAsia="宋体" w:cs="宋体"/>
          <w:sz w:val="10"/>
        </w:rPr>
        <w:t>。</w:t>
      </w:r>
      <w:r>
        <w:rPr>
          <w:rFonts w:hint="eastAsia" w:ascii="宋体" w:hAnsi="宋体" w:eastAsia="宋体" w:cs="宋体"/>
          <w:sz w:val="24"/>
        </w:rPr>
        <w:t>公司拥有稳定且具有行业经验的研发团队</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公司技术及研发人员共计</w:t>
      </w:r>
      <w:r>
        <w:rPr>
          <w:rFonts w:hint="eastAsia" w:ascii="Times New Roman" w:hAnsi="Times New Roman" w:eastAsia="Times New Roman" w:cs="Times New Roman"/>
          <w:sz w:val="24"/>
        </w:rPr>
        <w:t xml:space="preserve"> 554</w:t>
      </w:r>
      <w:r>
        <w:rPr>
          <w:rFonts w:hint="eastAsia" w:ascii="宋体" w:hAnsi="宋体" w:eastAsia="宋体" w:cs="宋体"/>
          <w:sz w:val="24"/>
        </w:rPr>
        <w:t xml:space="preserve"> 人</w:t>
      </w:r>
      <w:r>
        <w:rPr>
          <w:rFonts w:hint="eastAsia" w:ascii="宋体" w:hAnsi="宋体" w:eastAsia="宋体" w:cs="宋体"/>
          <w:sz w:val="10"/>
        </w:rPr>
        <w:t>，</w:t>
      </w:r>
      <w:r>
        <w:rPr>
          <w:rFonts w:hint="eastAsia" w:ascii="宋体" w:hAnsi="宋体" w:eastAsia="宋体" w:cs="宋体"/>
          <w:sz w:val="24"/>
        </w:rPr>
        <w:t>占员工总人数的</w:t>
      </w:r>
      <w:r>
        <w:rPr>
          <w:rFonts w:hint="eastAsia" w:ascii="Times New Roman" w:hAnsi="Times New Roman" w:eastAsia="Times New Roman" w:cs="Times New Roman"/>
          <w:sz w:val="24"/>
        </w:rPr>
        <w:t xml:space="preserve"> 79.26%</w:t>
      </w:r>
      <w:r>
        <w:rPr>
          <w:rFonts w:hint="eastAsia" w:ascii="宋体" w:hAnsi="宋体" w:eastAsia="宋体" w:cs="宋体"/>
          <w:sz w:val="10"/>
        </w:rPr>
        <w:t>。</w:t>
      </w:r>
      <w:r>
        <w:rPr>
          <w:rFonts w:hint="eastAsia" w:ascii="宋体" w:hAnsi="宋体" w:eastAsia="宋体" w:cs="宋体"/>
          <w:sz w:val="24"/>
        </w:rPr>
        <w:t>公司的主要平台及产品荣获多项奖励及荣誉</w:t>
      </w:r>
      <w:r>
        <w:rPr>
          <w:rFonts w:hint="eastAsia" w:ascii="宋体" w:hAnsi="宋体" w:eastAsia="宋体" w:cs="宋体"/>
          <w:sz w:val="10"/>
        </w:rPr>
        <w:t>，</w:t>
      </w:r>
      <w:r>
        <w:rPr>
          <w:rFonts w:hint="eastAsia" w:ascii="宋体" w:hAnsi="宋体" w:eastAsia="宋体" w:cs="宋体"/>
          <w:sz w:val="24"/>
        </w:rPr>
        <w:t>并且获得了业内客户的认可</w:t>
      </w:r>
      <w:r>
        <w:rPr>
          <w:rFonts w:hint="eastAsia" w:ascii="宋体" w:hAnsi="宋体" w:eastAsia="宋体" w:cs="宋体"/>
          <w:sz w:val="10"/>
        </w:rPr>
        <w:t>。</w:t>
      </w:r>
      <w:r>
        <w:rPr>
          <w:rFonts w:hint="eastAsia" w:ascii="宋体" w:hAnsi="宋体" w:eastAsia="宋体" w:cs="宋体"/>
          <w:sz w:val="24"/>
        </w:rPr>
        <w:t>公司的研发实力及稳定的研发队伍</w:t>
      </w:r>
      <w:r>
        <w:rPr>
          <w:rFonts w:hint="eastAsia" w:ascii="宋体" w:hAnsi="宋体" w:eastAsia="宋体" w:cs="宋体"/>
          <w:sz w:val="10"/>
        </w:rPr>
        <w:t>，</w:t>
      </w:r>
      <w:r>
        <w:rPr>
          <w:rFonts w:hint="eastAsia" w:ascii="宋体" w:hAnsi="宋体" w:eastAsia="宋体" w:cs="宋体"/>
          <w:sz w:val="24"/>
        </w:rPr>
        <w:t>将为募集资金投资项目的顺利实施提供重要保障</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1-1-293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0"/>
        </w:rPr>
        <w:t>（</w:t>
      </w:r>
      <w:r>
        <w:rPr>
          <w:rFonts w:hint="eastAsia" w:ascii="Times New Roman" w:hAnsi="Times New Roman" w:eastAsia="Times New Roman" w:cs="Times New Roman"/>
          <w:sz w:val="24"/>
        </w:rPr>
        <w:t>2</w:t>
      </w:r>
      <w:r>
        <w:rPr>
          <w:rFonts w:hint="eastAsia" w:ascii="宋体" w:hAnsi="宋体" w:eastAsia="宋体" w:cs="宋体"/>
          <w:sz w:val="24"/>
        </w:rPr>
        <w:t>）技术</w:t>
      </w:r>
      <w:r>
        <w:rPr>
          <w:rFonts w:hint="eastAsia" w:ascii="宋体" w:hAnsi="宋体" w:eastAsia="宋体" w:cs="宋体"/>
          <w:sz w:val="10"/>
        </w:rPr>
        <w:t>、</w:t>
      </w:r>
      <w:r>
        <w:rPr>
          <w:rFonts w:hint="eastAsia" w:ascii="宋体" w:hAnsi="宋体" w:eastAsia="宋体" w:cs="宋体"/>
          <w:sz w:val="24"/>
        </w:rPr>
        <w:t>管理方面</w:t>
      </w:r>
      <w:r>
        <w:rPr>
          <w:rFonts w:hint="eastAsia" w:ascii="宋体" w:hAnsi="宋体" w:eastAsia="宋体" w:cs="宋体"/>
          <w:sz w:val="10"/>
        </w:rPr>
        <w:t>。</w:t>
      </w:r>
      <w:r>
        <w:rPr>
          <w:rFonts w:hint="eastAsia" w:ascii="宋体" w:hAnsi="宋体" w:eastAsia="宋体" w:cs="宋体"/>
          <w:sz w:val="24"/>
        </w:rPr>
        <w:t>公司是一家国内领先的专业化平台型软件及信息化服务提</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供商</w:t>
      </w:r>
      <w:r>
        <w:rPr>
          <w:rFonts w:hint="eastAsia" w:ascii="宋体" w:hAnsi="宋体" w:eastAsia="宋体" w:cs="宋体"/>
          <w:sz w:val="10"/>
        </w:rPr>
        <w:t>，</w:t>
      </w:r>
      <w:r>
        <w:rPr>
          <w:rFonts w:hint="eastAsia" w:ascii="宋体" w:hAnsi="宋体" w:eastAsia="宋体" w:cs="宋体"/>
          <w:sz w:val="24"/>
        </w:rPr>
        <w:t>自成立以来积累了丰富的技术开发及管理经验</w:t>
      </w:r>
      <w:r>
        <w:rPr>
          <w:rFonts w:hint="eastAsia" w:ascii="宋体" w:hAnsi="宋体" w:eastAsia="宋体" w:cs="宋体"/>
          <w:sz w:val="10"/>
        </w:rPr>
        <w:t>，</w:t>
      </w:r>
      <w:r>
        <w:rPr>
          <w:rFonts w:hint="eastAsia" w:ascii="宋体" w:hAnsi="宋体" w:eastAsia="宋体" w:cs="宋体"/>
          <w:sz w:val="24"/>
        </w:rPr>
        <w:t>打造了</w:t>
      </w:r>
      <w:r>
        <w:rPr>
          <w:rFonts w:hint="eastAsia" w:ascii="宋体" w:hAnsi="宋体" w:eastAsia="宋体" w:cs="宋体"/>
          <w:sz w:val="10"/>
        </w:rPr>
        <w:t>“</w:t>
      </w:r>
      <w:r>
        <w:rPr>
          <w:rFonts w:hint="eastAsia" w:ascii="宋体" w:hAnsi="宋体" w:eastAsia="宋体" w:cs="宋体"/>
          <w:sz w:val="24"/>
        </w:rPr>
        <w:t>灵动业务架构平台</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10"/>
        </w:rPr>
        <w:t>（</w:t>
      </w:r>
      <w:r>
        <w:rPr>
          <w:rFonts w:hint="eastAsia" w:ascii="Times New Roman" w:hAnsi="Times New Roman" w:eastAsia="Times New Roman" w:cs="Times New Roman"/>
          <w:sz w:val="24"/>
        </w:rPr>
        <w:t>LiveBOS</w:t>
      </w:r>
      <w:r>
        <w:rPr>
          <w:rFonts w:hint="eastAsia" w:ascii="宋体" w:hAnsi="宋体" w:eastAsia="宋体" w:cs="宋体"/>
          <w:sz w:val="24"/>
        </w:rPr>
        <w:t>），</w:t>
      </w:r>
      <w:r>
        <w:rPr>
          <w:rFonts w:hint="eastAsia" w:ascii="宋体" w:hAnsi="宋体" w:eastAsia="宋体" w:cs="宋体"/>
          <w:sz w:val="24"/>
        </w:rPr>
        <w:t>建立了</w:t>
      </w:r>
      <w:r>
        <w:rPr>
          <w:rFonts w:hint="eastAsia" w:ascii="宋体" w:hAnsi="宋体" w:eastAsia="宋体" w:cs="宋体"/>
          <w:sz w:val="10"/>
        </w:rPr>
        <w:t>“</w:t>
      </w:r>
      <w:r>
        <w:rPr>
          <w:rFonts w:hint="eastAsia" w:ascii="宋体" w:hAnsi="宋体" w:eastAsia="宋体" w:cs="宋体"/>
          <w:sz w:val="24"/>
        </w:rPr>
        <w:t>基础平台＋应用方案</w:t>
      </w:r>
      <w:r>
        <w:rPr>
          <w:rFonts w:hint="eastAsia" w:ascii="宋体" w:hAnsi="宋体" w:eastAsia="宋体" w:cs="宋体"/>
          <w:sz w:val="10"/>
        </w:rPr>
        <w:t>”</w:t>
      </w:r>
      <w:r>
        <w:rPr>
          <w:rFonts w:hint="eastAsia" w:ascii="宋体" w:hAnsi="宋体" w:eastAsia="宋体" w:cs="宋体"/>
          <w:sz w:val="24"/>
        </w:rPr>
        <w:t>的开发模式</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公司根据客户的需</w:t>
      </w:r>
    </w:p>
    <w:p>
      <w:pPr>
        <w:spacing w:line="200" w:lineRule="exact"/>
        <w:rPr>
          <w:rFonts w:hint="eastAsia" w:ascii="宋体" w:hAnsi="宋体" w:eastAsia="宋体" w:cs="宋体"/>
          <w:sz w:val="20"/>
        </w:rPr>
      </w:pPr>
    </w:p>
    <w:p>
      <w:pPr>
        <w:autoSpaceDE w:val="false"/>
        <w:autoSpaceDN w:val="false"/>
        <w:spacing w:line="420" w:lineRule="exact"/>
        <w:ind w:left="1440" w:right="1220"/>
        <w:jc w:val="both"/>
      </w:pPr>
      <w:r>
        <w:rPr>
          <w:rFonts w:hint="eastAsia" w:ascii="宋体" w:hAnsi="宋体" w:eastAsia="宋体" w:cs="宋体"/>
          <w:sz w:val="24"/>
        </w:rPr>
        <w:t>求及经营特点</w:t>
      </w:r>
      <w:r>
        <w:rPr>
          <w:rFonts w:hint="eastAsia" w:ascii="宋体" w:hAnsi="宋体" w:eastAsia="宋体" w:cs="宋体"/>
          <w:sz w:val="10"/>
        </w:rPr>
        <w:t>，</w:t>
      </w:r>
      <w:r>
        <w:rPr>
          <w:rFonts w:hint="eastAsia" w:ascii="宋体" w:hAnsi="宋体" w:eastAsia="宋体" w:cs="宋体"/>
          <w:sz w:val="24"/>
        </w:rPr>
        <w:t>不断改善管理能力</w:t>
      </w:r>
      <w:r>
        <w:rPr>
          <w:rFonts w:hint="eastAsia" w:ascii="宋体" w:hAnsi="宋体" w:eastAsia="宋体" w:cs="宋体"/>
          <w:sz w:val="10"/>
        </w:rPr>
        <w:t>，</w:t>
      </w:r>
      <w:r>
        <w:rPr>
          <w:rFonts w:hint="eastAsia" w:ascii="宋体" w:hAnsi="宋体" w:eastAsia="宋体" w:cs="宋体"/>
          <w:sz w:val="24"/>
        </w:rPr>
        <w:t>不断提升市场感知能力和客户需求响应能力</w:t>
      </w:r>
      <w:r>
        <w:rPr>
          <w:rFonts w:hint="eastAsia" w:ascii="宋体" w:hAnsi="宋体" w:eastAsia="宋体" w:cs="宋体"/>
          <w:sz w:val="10"/>
        </w:rPr>
        <w:t>，</w:t>
      </w:r>
      <w:r>
        <w:rPr>
          <w:rFonts w:hint="eastAsia" w:ascii="宋体" w:hAnsi="宋体" w:eastAsia="宋体" w:cs="宋体"/>
          <w:sz w:val="24"/>
        </w:rPr>
        <w:t>持续深耕前沿市场</w:t>
      </w:r>
      <w:r>
        <w:rPr>
          <w:rFonts w:hint="eastAsia" w:ascii="宋体" w:hAnsi="宋体" w:eastAsia="宋体" w:cs="宋体"/>
          <w:sz w:val="10"/>
        </w:rPr>
        <w:t>，</w:t>
      </w:r>
      <w:r>
        <w:rPr>
          <w:rFonts w:hint="eastAsia" w:ascii="宋体" w:hAnsi="宋体" w:eastAsia="宋体" w:cs="宋体"/>
          <w:sz w:val="24"/>
        </w:rPr>
        <w:t>提供针对互联网化应用支持</w:t>
      </w:r>
      <w:r>
        <w:rPr>
          <w:rFonts w:hint="eastAsia" w:ascii="宋体" w:hAnsi="宋体" w:eastAsia="宋体" w:cs="宋体"/>
          <w:sz w:val="10"/>
        </w:rPr>
        <w:t>、</w:t>
      </w:r>
      <w:r>
        <w:rPr>
          <w:rFonts w:hint="eastAsia" w:ascii="宋体" w:hAnsi="宋体" w:eastAsia="宋体" w:cs="宋体"/>
          <w:sz w:val="24"/>
        </w:rPr>
        <w:t>集中交易</w:t>
      </w:r>
      <w:r>
        <w:rPr>
          <w:rFonts w:hint="eastAsia" w:ascii="宋体" w:hAnsi="宋体" w:eastAsia="宋体" w:cs="宋体"/>
          <w:sz w:val="10"/>
        </w:rPr>
        <w:t>、</w:t>
      </w:r>
      <w:r>
        <w:rPr>
          <w:rFonts w:hint="eastAsia" w:ascii="宋体" w:hAnsi="宋体" w:eastAsia="宋体" w:cs="宋体"/>
          <w:sz w:val="24"/>
        </w:rPr>
        <w:t>高端客户交易</w:t>
      </w:r>
      <w:r>
        <w:rPr>
          <w:rFonts w:hint="eastAsia" w:ascii="宋体" w:hAnsi="宋体" w:eastAsia="宋体" w:cs="宋体"/>
          <w:sz w:val="10"/>
        </w:rPr>
        <w:t>、</w:t>
      </w:r>
      <w:r>
        <w:rPr>
          <w:rFonts w:hint="eastAsia" w:ascii="宋体" w:hAnsi="宋体" w:eastAsia="宋体" w:cs="宋体"/>
          <w:sz w:val="24"/>
        </w:rPr>
        <w:t>业务运营中台</w:t>
      </w:r>
      <w:r>
        <w:rPr>
          <w:rFonts w:hint="eastAsia" w:ascii="宋体" w:hAnsi="宋体" w:eastAsia="宋体" w:cs="宋体"/>
          <w:sz w:val="10"/>
        </w:rPr>
        <w:t>、</w:t>
      </w:r>
      <w:r>
        <w:rPr>
          <w:rFonts w:hint="eastAsia" w:ascii="宋体" w:hAnsi="宋体" w:eastAsia="宋体" w:cs="宋体"/>
          <w:sz w:val="24"/>
        </w:rPr>
        <w:t>柜台市场</w:t>
      </w:r>
      <w:r>
        <w:rPr>
          <w:rFonts w:hint="eastAsia" w:ascii="宋体" w:hAnsi="宋体" w:eastAsia="宋体" w:cs="宋体"/>
          <w:sz w:val="10"/>
        </w:rPr>
        <w:t>、</w:t>
      </w:r>
      <w:r>
        <w:rPr>
          <w:rFonts w:hint="eastAsia" w:ascii="宋体" w:hAnsi="宋体" w:eastAsia="宋体" w:cs="宋体"/>
          <w:sz w:val="24"/>
        </w:rPr>
        <w:t>区域市场</w:t>
      </w:r>
      <w:r>
        <w:rPr>
          <w:rFonts w:hint="eastAsia" w:ascii="宋体" w:hAnsi="宋体" w:eastAsia="宋体" w:cs="宋体"/>
          <w:sz w:val="10"/>
        </w:rPr>
        <w:t>、</w:t>
      </w:r>
      <w:r>
        <w:rPr>
          <w:rFonts w:hint="eastAsia" w:ascii="宋体" w:hAnsi="宋体" w:eastAsia="宋体" w:cs="宋体"/>
          <w:sz w:val="24"/>
        </w:rPr>
        <w:t>投融资业务</w:t>
      </w:r>
      <w:r>
        <w:rPr>
          <w:rFonts w:hint="eastAsia" w:ascii="宋体" w:hAnsi="宋体" w:eastAsia="宋体" w:cs="宋体"/>
          <w:sz w:val="10"/>
        </w:rPr>
        <w:t>、</w:t>
      </w:r>
      <w:r>
        <w:rPr>
          <w:rFonts w:hint="eastAsia" w:ascii="宋体" w:hAnsi="宋体" w:eastAsia="宋体" w:cs="宋体"/>
          <w:sz w:val="24"/>
        </w:rPr>
        <w:t>财富管理等多种业务领域的软件产品及服务</w:t>
      </w:r>
      <w:r>
        <w:rPr>
          <w:rFonts w:hint="eastAsia" w:ascii="宋体" w:hAnsi="宋体" w:eastAsia="宋体" w:cs="宋体"/>
          <w:sz w:val="10"/>
        </w:rPr>
        <w:t>。</w:t>
      </w:r>
      <w:r>
        <w:rPr>
          <w:rFonts w:hint="eastAsia" w:ascii="宋体" w:hAnsi="宋体" w:eastAsia="宋体" w:cs="宋体"/>
          <w:sz w:val="24"/>
        </w:rPr>
        <w:t>上述技术</w:t>
      </w:r>
      <w:r>
        <w:rPr>
          <w:rFonts w:hint="eastAsia" w:ascii="宋体" w:hAnsi="宋体" w:eastAsia="宋体" w:cs="宋体"/>
          <w:sz w:val="10"/>
        </w:rPr>
        <w:t>、</w:t>
      </w:r>
      <w:r>
        <w:rPr>
          <w:rFonts w:hint="eastAsia" w:ascii="宋体" w:hAnsi="宋体" w:eastAsia="宋体" w:cs="宋体"/>
          <w:sz w:val="24"/>
        </w:rPr>
        <w:t>管理方面的积累</w:t>
      </w:r>
      <w:r>
        <w:rPr>
          <w:rFonts w:hint="eastAsia" w:ascii="宋体" w:hAnsi="宋体" w:eastAsia="宋体" w:cs="宋体"/>
          <w:sz w:val="10"/>
        </w:rPr>
        <w:t>，</w:t>
      </w:r>
      <w:r>
        <w:rPr>
          <w:rFonts w:hint="eastAsia" w:ascii="宋体" w:hAnsi="宋体" w:eastAsia="宋体" w:cs="宋体"/>
          <w:sz w:val="24"/>
        </w:rPr>
        <w:t>将为募集资金投资项目的顺利实施提供重要保障</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）市场方面</w:t>
      </w:r>
      <w:r>
        <w:rPr>
          <w:rFonts w:hint="eastAsia" w:ascii="宋体" w:hAnsi="宋体" w:eastAsia="宋体" w:cs="宋体"/>
          <w:sz w:val="10"/>
        </w:rPr>
        <w:t>。</w:t>
      </w:r>
      <w:r>
        <w:rPr>
          <w:rFonts w:hint="eastAsia" w:ascii="宋体" w:hAnsi="宋体" w:eastAsia="宋体" w:cs="宋体"/>
          <w:sz w:val="24"/>
        </w:rPr>
        <w:t>公司经过多年的稳健经营</w:t>
      </w:r>
      <w:r>
        <w:rPr>
          <w:rFonts w:hint="eastAsia" w:ascii="宋体" w:hAnsi="宋体" w:eastAsia="宋体" w:cs="宋体"/>
          <w:sz w:val="10"/>
        </w:rPr>
        <w:t>，</w:t>
      </w:r>
      <w:r>
        <w:rPr>
          <w:rFonts w:hint="eastAsia" w:ascii="宋体" w:hAnsi="宋体" w:eastAsia="宋体" w:cs="宋体"/>
          <w:sz w:val="24"/>
        </w:rPr>
        <w:t>储备了行业内优质的客户群体</w:t>
      </w:r>
      <w:r>
        <w:rPr>
          <w:rFonts w:hint="eastAsia" w:ascii="宋体" w:hAnsi="宋体" w:eastAsia="宋体" w:cs="宋体"/>
          <w:sz w:val="10"/>
        </w:rPr>
        <w:t>。</w:t>
      </w:r>
      <w:r>
        <w:rPr>
          <w:rFonts w:hint="eastAsia" w:ascii="宋体" w:hAnsi="宋体" w:eastAsia="宋体" w:cs="宋体"/>
          <w:sz w:val="24"/>
        </w:rPr>
        <w:t>金融行业客户由于监管</w:t>
      </w:r>
      <w:r>
        <w:rPr>
          <w:rFonts w:hint="eastAsia" w:ascii="宋体" w:hAnsi="宋体" w:eastAsia="宋体" w:cs="宋体"/>
          <w:sz w:val="10"/>
        </w:rPr>
        <w:t>、</w:t>
      </w:r>
      <w:r>
        <w:rPr>
          <w:rFonts w:hint="eastAsia" w:ascii="宋体" w:hAnsi="宋体" w:eastAsia="宋体" w:cs="宋体"/>
          <w:sz w:val="24"/>
        </w:rPr>
        <w:t>使用习惯和系统稳定性方面的原因</w:t>
      </w:r>
      <w:r>
        <w:rPr>
          <w:rFonts w:hint="eastAsia" w:ascii="宋体" w:hAnsi="宋体" w:eastAsia="宋体" w:cs="宋体"/>
          <w:sz w:val="10"/>
        </w:rPr>
        <w:t>，</w:t>
      </w:r>
      <w:r>
        <w:rPr>
          <w:rFonts w:hint="eastAsia" w:ascii="宋体" w:hAnsi="宋体" w:eastAsia="宋体" w:cs="宋体"/>
          <w:sz w:val="24"/>
        </w:rPr>
        <w:t>对软件服务商的需求具有高度稳定性</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公司不断提高产品质量</w:t>
      </w:r>
      <w:r>
        <w:rPr>
          <w:rFonts w:hint="eastAsia" w:ascii="宋体" w:hAnsi="宋体" w:eastAsia="宋体" w:cs="宋体"/>
          <w:sz w:val="10"/>
        </w:rPr>
        <w:t>，</w:t>
      </w:r>
      <w:r>
        <w:rPr>
          <w:rFonts w:hint="eastAsia" w:ascii="宋体" w:hAnsi="宋体" w:eastAsia="宋体" w:cs="宋体"/>
          <w:sz w:val="24"/>
        </w:rPr>
        <w:t>持续开拓市场</w:t>
      </w:r>
      <w:r>
        <w:rPr>
          <w:rFonts w:hint="eastAsia" w:ascii="宋体" w:hAnsi="宋体" w:eastAsia="宋体" w:cs="宋体"/>
          <w:sz w:val="10"/>
        </w:rPr>
        <w:t>，</w:t>
      </w:r>
      <w:r>
        <w:rPr>
          <w:rFonts w:hint="eastAsia" w:ascii="宋体" w:hAnsi="宋体" w:eastAsia="宋体" w:cs="宋体"/>
          <w:sz w:val="24"/>
        </w:rPr>
        <w:t>力争与业内其他客户建立了良好的合作关系</w:t>
      </w:r>
      <w:r>
        <w:rPr>
          <w:rFonts w:hint="eastAsia" w:ascii="宋体" w:hAnsi="宋体" w:eastAsia="宋体" w:cs="宋体"/>
          <w:sz w:val="10"/>
        </w:rPr>
        <w:t>。</w:t>
      </w:r>
      <w:r>
        <w:rPr>
          <w:rFonts w:hint="eastAsia" w:ascii="宋体" w:hAnsi="宋体" w:eastAsia="宋体" w:cs="宋体"/>
          <w:sz w:val="24"/>
        </w:rPr>
        <w:t>公司积累了丰富的市场拓展及客户关系维护经验</w:t>
      </w:r>
      <w:r>
        <w:rPr>
          <w:rFonts w:hint="eastAsia" w:ascii="宋体" w:hAnsi="宋体" w:eastAsia="宋体" w:cs="宋体"/>
          <w:sz w:val="10"/>
        </w:rPr>
        <w:t>，</w:t>
      </w:r>
      <w:r>
        <w:rPr>
          <w:rFonts w:hint="eastAsia" w:ascii="宋体" w:hAnsi="宋体" w:eastAsia="宋体" w:cs="宋体"/>
          <w:sz w:val="24"/>
        </w:rPr>
        <w:t>为募集资金投资项目的顺利实施提供了重要保障</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（四）发行人填补即期回报的具体措施</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发行人填补即期回报的具体措施</w:t>
      </w:r>
      <w:r>
        <w:rPr>
          <w:rFonts w:hint="eastAsia" w:ascii="宋体" w:hAnsi="宋体" w:eastAsia="宋体" w:cs="宋体"/>
          <w:sz w:val="10"/>
        </w:rPr>
        <w:t>，</w:t>
      </w:r>
      <w:r>
        <w:rPr>
          <w:rFonts w:hint="eastAsia" w:ascii="宋体" w:hAnsi="宋体" w:eastAsia="宋体" w:cs="宋体"/>
          <w:sz w:val="24"/>
        </w:rPr>
        <w:t>参见</w:t>
      </w:r>
      <w:r>
        <w:rPr>
          <w:rFonts w:hint="eastAsia" w:ascii="Times New Roman" w:hAnsi="Times New Roman" w:eastAsia="Times New Roman" w:cs="Times New Roman"/>
          <w:sz w:val="10"/>
        </w:rPr>
        <w:t>―</w:t>
      </w:r>
      <w:r>
        <w:rPr>
          <w:rFonts w:hint="eastAsia" w:ascii="宋体" w:hAnsi="宋体" w:eastAsia="宋体" w:cs="宋体"/>
          <w:sz w:val="24"/>
        </w:rPr>
        <w:t>重大事项提示</w:t>
      </w:r>
      <w:r>
        <w:rPr>
          <w:rFonts w:hint="eastAsia" w:ascii="Times New Roman" w:hAnsi="Times New Roman" w:eastAsia="Times New Roman" w:cs="Times New Roman"/>
          <w:sz w:val="24"/>
        </w:rPr>
        <w:t xml:space="preserve"> </w:t>
      </w:r>
      <w:r>
        <w:rPr>
          <w:rFonts w:hint="eastAsia" w:ascii="宋体" w:hAnsi="宋体" w:eastAsia="宋体" w:cs="宋体"/>
          <w:sz w:val="24"/>
        </w:rPr>
        <w:t>八</w:t>
      </w:r>
      <w:r>
        <w:rPr>
          <w:rFonts w:hint="eastAsia" w:ascii="宋体" w:hAnsi="宋体" w:eastAsia="宋体" w:cs="宋体"/>
          <w:sz w:val="10"/>
        </w:rPr>
        <w:t>、</w:t>
      </w:r>
      <w:r>
        <w:rPr>
          <w:rFonts w:hint="eastAsia" w:ascii="宋体" w:hAnsi="宋体" w:eastAsia="宋体" w:cs="宋体"/>
          <w:sz w:val="24"/>
        </w:rPr>
        <w:t>填补被摊薄即期回报的措施及承诺</w:t>
      </w:r>
      <w:r>
        <w:rPr>
          <w:rFonts w:hint="eastAsia" w:ascii="Times New Roman" w:hAnsi="Times New Roman" w:eastAsia="Times New Roman" w:cs="Times New Roman"/>
          <w:sz w:val="10"/>
        </w:rPr>
        <w:t>‖</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60" w:lineRule="exact"/>
        <w:ind w:left="1440"/>
        <w:jc w:val="both"/>
      </w:pPr>
      <w:r>
        <w:rPr>
          <w:rFonts w:hint="eastAsia" w:ascii="ºÚÌå" w:hAnsi="ºÚÌå" w:eastAsia="ºÚÌå" w:cs="ºÚÌå"/>
          <w:sz w:val="30"/>
        </w:rPr>
        <w:t>九</w:t>
      </w:r>
      <w:r>
        <w:rPr>
          <w:rFonts w:hint="eastAsia" w:ascii="ºÚÌå" w:hAnsi="ºÚÌå" w:eastAsia="ºÚÌå" w:cs="ºÚÌå"/>
          <w:sz w:val="10"/>
        </w:rPr>
        <w:t>、</w:t>
      </w:r>
      <w:r>
        <w:rPr>
          <w:rFonts w:hint="eastAsia" w:ascii="ºÚÌå" w:hAnsi="ºÚÌå" w:eastAsia="ºÚÌå" w:cs="ºÚÌå"/>
          <w:sz w:val="30"/>
        </w:rPr>
        <w:t>填补被摊薄即期回报的措施及承诺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440"/>
        <w:jc w:val="both"/>
      </w:pPr>
      <w:r>
        <w:rPr>
          <w:rFonts w:hint="eastAsia" w:ascii="宋体" w:hAnsi="宋体" w:eastAsia="宋体" w:cs="宋体"/>
          <w:b/>
          <w:sz w:val="30"/>
        </w:rPr>
        <w:t>（一）</w:t>
      </w:r>
      <w:r>
        <w:rPr>
          <w:rFonts w:hint="eastAsia" w:ascii="宋体" w:hAnsi="宋体" w:eastAsia="宋体" w:cs="宋体"/>
          <w:b/>
          <w:sz w:val="24"/>
        </w:rPr>
        <w:t>本次募集资金到位当年发行人每股收益相对上年度每股收益的变动趋势</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报告期内</w:t>
      </w:r>
      <w:r>
        <w:rPr>
          <w:rFonts w:hint="eastAsia" w:ascii="宋体" w:hAnsi="宋体" w:eastAsia="宋体" w:cs="宋体"/>
          <w:sz w:val="10"/>
        </w:rPr>
        <w:t>，</w:t>
      </w:r>
      <w:r>
        <w:rPr>
          <w:rFonts w:hint="eastAsia" w:ascii="宋体" w:hAnsi="宋体" w:eastAsia="宋体" w:cs="宋体"/>
          <w:sz w:val="24"/>
        </w:rPr>
        <w:t>发行人业绩保持稳定增长态势</w:t>
      </w:r>
      <w:r>
        <w:rPr>
          <w:rFonts w:hint="eastAsia" w:ascii="宋体" w:hAnsi="宋体" w:eastAsia="宋体" w:cs="宋体"/>
          <w:sz w:val="10"/>
        </w:rPr>
        <w:t>。</w:t>
      </w:r>
      <w:r>
        <w:rPr>
          <w:rFonts w:hint="eastAsia" w:ascii="宋体" w:hAnsi="宋体" w:eastAsia="宋体" w:cs="宋体"/>
          <w:sz w:val="24"/>
        </w:rPr>
        <w:t>发行人本次拟公开发行股票不超过</w:t>
      </w:r>
      <w:r>
        <w:rPr>
          <w:rFonts w:hint="eastAsia" w:ascii="Times New Roman" w:hAnsi="Times New Roman" w:eastAsia="Times New Roman" w:cs="Times New Roman"/>
          <w:sz w:val="24"/>
        </w:rPr>
        <w:t xml:space="preserve"> 2,105</w:t>
      </w:r>
      <w:r>
        <w:rPr>
          <w:rFonts w:hint="eastAsia" w:ascii="宋体" w:hAnsi="宋体" w:eastAsia="宋体" w:cs="宋体"/>
          <w:sz w:val="24"/>
        </w:rPr>
        <w:t>万股</w:t>
      </w:r>
      <w:r>
        <w:rPr>
          <w:rFonts w:hint="eastAsia" w:ascii="宋体" w:hAnsi="宋体" w:eastAsia="宋体" w:cs="宋体"/>
          <w:sz w:val="10"/>
        </w:rPr>
        <w:t>，</w:t>
      </w:r>
      <w:r>
        <w:rPr>
          <w:rFonts w:hint="eastAsia" w:ascii="宋体" w:hAnsi="宋体" w:eastAsia="宋体" w:cs="宋体"/>
          <w:sz w:val="24"/>
        </w:rPr>
        <w:t>发行后公司资本实力将得到增强</w:t>
      </w:r>
      <w:r>
        <w:rPr>
          <w:rFonts w:hint="eastAsia" w:ascii="宋体" w:hAnsi="宋体" w:eastAsia="宋体" w:cs="宋体"/>
          <w:sz w:val="10"/>
        </w:rPr>
        <w:t>，</w:t>
      </w:r>
      <w:r>
        <w:rPr>
          <w:rFonts w:hint="eastAsia" w:ascii="宋体" w:hAnsi="宋体" w:eastAsia="宋体" w:cs="宋体"/>
          <w:sz w:val="24"/>
        </w:rPr>
        <w:t>但由于募集资金投资项目具有</w:t>
      </w:r>
      <w:r>
        <w:rPr>
          <w:rFonts w:hint="eastAsia" w:ascii="宋体" w:hAnsi="宋体" w:eastAsia="宋体" w:cs="宋体"/>
          <w:sz w:val="10"/>
        </w:rPr>
        <w:t>一</w:t>
      </w:r>
      <w:r>
        <w:rPr>
          <w:rFonts w:hint="eastAsia" w:ascii="宋体" w:hAnsi="宋体" w:eastAsia="宋体" w:cs="宋体"/>
          <w:sz w:val="24"/>
        </w:rPr>
        <w:t>定的投入周期</w:t>
      </w:r>
      <w:r>
        <w:rPr>
          <w:rFonts w:hint="eastAsia" w:ascii="宋体" w:hAnsi="宋体" w:eastAsia="宋体" w:cs="宋体"/>
          <w:sz w:val="10"/>
        </w:rPr>
        <w:t>，</w:t>
      </w:r>
      <w:r>
        <w:rPr>
          <w:rFonts w:hint="eastAsia" w:ascii="宋体" w:hAnsi="宋体" w:eastAsia="宋体" w:cs="宋体"/>
          <w:sz w:val="24"/>
        </w:rPr>
        <w:t>在短期内难以完全产生效益</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发行人在发行当年每股收益较上一会计年度将有所下降</w:t>
      </w:r>
      <w:r>
        <w:rPr>
          <w:rFonts w:hint="eastAsia" w:ascii="宋体" w:hAnsi="宋体" w:eastAsia="宋体" w:cs="宋体"/>
          <w:sz w:val="10"/>
        </w:rPr>
        <w:t>，</w:t>
      </w:r>
      <w:r>
        <w:rPr>
          <w:rFonts w:hint="eastAsia" w:ascii="宋体" w:hAnsi="宋体" w:eastAsia="宋体" w:cs="宋体"/>
          <w:sz w:val="24"/>
        </w:rPr>
        <w:t>进而摊薄即期回报</w:t>
      </w:r>
      <w:r>
        <w:rPr>
          <w:rFonts w:hint="eastAsia" w:ascii="宋体" w:hAnsi="宋体" w:eastAsia="宋体" w:cs="宋体"/>
          <w:sz w:val="10"/>
        </w:rPr>
        <w:t>，</w:t>
      </w:r>
      <w:r>
        <w:rPr>
          <w:rFonts w:hint="eastAsia" w:ascii="宋体" w:hAnsi="宋体" w:eastAsia="宋体" w:cs="宋体"/>
          <w:sz w:val="24"/>
        </w:rPr>
        <w:t>但公司的整体盈利长期来看将有进一步提升</w:t>
      </w:r>
      <w:r>
        <w:rPr>
          <w:rFonts w:hint="eastAsia" w:ascii="宋体" w:hAnsi="宋体" w:eastAsia="宋体" w:cs="宋体"/>
          <w:sz w:val="10"/>
        </w:rPr>
        <w:t>。</w:t>
      </w:r>
      <w:r>
        <w:rPr>
          <w:rFonts w:hint="eastAsia" w:ascii="宋体" w:hAnsi="宋体" w:eastAsia="宋体" w:cs="宋体"/>
          <w:sz w:val="24"/>
        </w:rPr>
        <w:t>公司已就因本次发行可能引起的即期利润摊薄制定了相应的应对措施</w:t>
      </w:r>
      <w:r>
        <w:rPr>
          <w:rFonts w:hint="eastAsia" w:ascii="宋体" w:hAnsi="宋体" w:eastAsia="宋体" w:cs="宋体"/>
          <w:sz w:val="10"/>
        </w:rPr>
        <w:t>，</w:t>
      </w:r>
      <w:r>
        <w:rPr>
          <w:rFonts w:hint="eastAsia" w:ascii="宋体" w:hAnsi="宋体" w:eastAsia="宋体" w:cs="宋体"/>
          <w:sz w:val="24"/>
        </w:rPr>
        <w:t>并将严格执行</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上述信息涉及的财务预测不作为盈利预测和业绩承诺</w:t>
      </w:r>
      <w:r>
        <w:rPr>
          <w:rFonts w:hint="eastAsia" w:ascii="宋体" w:hAnsi="宋体" w:eastAsia="宋体" w:cs="宋体"/>
          <w:sz w:val="10"/>
        </w:rPr>
        <w:t>，</w:t>
      </w:r>
      <w:r>
        <w:rPr>
          <w:rFonts w:hint="eastAsia" w:ascii="宋体" w:hAnsi="宋体" w:eastAsia="宋体" w:cs="宋体"/>
          <w:sz w:val="24"/>
        </w:rPr>
        <w:t>系公司根据经营规划作出的合理测算</w:t>
      </w:r>
      <w:r>
        <w:rPr>
          <w:rFonts w:hint="eastAsia" w:ascii="宋体" w:hAnsi="宋体" w:eastAsia="宋体" w:cs="宋体"/>
          <w:sz w:val="10"/>
        </w:rPr>
        <w:t>，</w:t>
      </w:r>
      <w:r>
        <w:rPr>
          <w:rFonts w:hint="eastAsia" w:ascii="宋体" w:hAnsi="宋体" w:eastAsia="宋体" w:cs="宋体"/>
          <w:sz w:val="24"/>
        </w:rPr>
        <w:t>可能因市场环境</w:t>
      </w:r>
      <w:r>
        <w:rPr>
          <w:rFonts w:hint="eastAsia" w:ascii="宋体" w:hAnsi="宋体" w:eastAsia="宋体" w:cs="宋体"/>
          <w:sz w:val="10"/>
        </w:rPr>
        <w:t>、</w:t>
      </w:r>
      <w:r>
        <w:rPr>
          <w:rFonts w:hint="eastAsia" w:ascii="宋体" w:hAnsi="宋体" w:eastAsia="宋体" w:cs="宋体"/>
          <w:sz w:val="24"/>
        </w:rPr>
        <w:t>公司发展状况等主客观原因与公司实际经营成果发生偏差</w:t>
      </w:r>
      <w:r>
        <w:rPr>
          <w:rFonts w:hint="eastAsia" w:ascii="宋体" w:hAnsi="宋体" w:eastAsia="宋体" w:cs="宋体"/>
          <w:sz w:val="10"/>
        </w:rPr>
        <w:t>，</w:t>
      </w:r>
      <w:r>
        <w:rPr>
          <w:rFonts w:hint="eastAsia" w:ascii="宋体" w:hAnsi="宋体" w:eastAsia="宋体" w:cs="宋体"/>
          <w:sz w:val="24"/>
        </w:rPr>
        <w:t>进而影响到公司本次发行完成后每股收益的变动趋势</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（二）发行人填补即期回报的具体措施</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1-1-294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本次首次公开发行股票募集资金项目经公司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日召开的</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年第五次临时股东大会和</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日召开的</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年年度股东大会审议通过</w:t>
      </w:r>
      <w:r>
        <w:rPr>
          <w:rFonts w:hint="eastAsia" w:ascii="宋体" w:hAnsi="宋体" w:eastAsia="宋体" w:cs="宋体"/>
          <w:sz w:val="10"/>
        </w:rPr>
        <w:t>，</w:t>
      </w:r>
      <w:r>
        <w:rPr>
          <w:rFonts w:hint="eastAsia" w:ascii="宋体" w:hAnsi="宋体" w:eastAsia="宋体" w:cs="宋体"/>
          <w:sz w:val="24"/>
        </w:rPr>
        <w:t>均与公司主营业务相关</w:t>
      </w:r>
      <w:r>
        <w:rPr>
          <w:rFonts w:hint="eastAsia" w:ascii="宋体" w:hAnsi="宋体" w:eastAsia="宋体" w:cs="宋体"/>
          <w:sz w:val="10"/>
        </w:rPr>
        <w:t>，</w:t>
      </w:r>
      <w:r>
        <w:rPr>
          <w:rFonts w:hint="eastAsia" w:ascii="宋体" w:hAnsi="宋体" w:eastAsia="宋体" w:cs="宋体"/>
          <w:sz w:val="24"/>
        </w:rPr>
        <w:t>有利于公司的长期发展</w:t>
      </w:r>
      <w:r>
        <w:rPr>
          <w:rFonts w:hint="eastAsia" w:ascii="宋体" w:hAnsi="宋体" w:eastAsia="宋体" w:cs="宋体"/>
          <w:sz w:val="10"/>
        </w:rPr>
        <w:t>。</w:t>
      </w:r>
      <w:r>
        <w:rPr>
          <w:rFonts w:hint="eastAsia" w:ascii="宋体" w:hAnsi="宋体" w:eastAsia="宋体" w:cs="宋体"/>
          <w:sz w:val="24"/>
        </w:rPr>
        <w:t>但募集资金投资项目建设需要一定周期</w:t>
      </w:r>
      <w:r>
        <w:rPr>
          <w:rFonts w:hint="eastAsia" w:ascii="宋体" w:hAnsi="宋体" w:eastAsia="宋体" w:cs="宋体"/>
          <w:sz w:val="10"/>
        </w:rPr>
        <w:t>，</w:t>
      </w:r>
      <w:r>
        <w:rPr>
          <w:rFonts w:hint="eastAsia" w:ascii="宋体" w:hAnsi="宋体" w:eastAsia="宋体" w:cs="宋体"/>
          <w:sz w:val="24"/>
        </w:rPr>
        <w:t>在公司股本和净资产均增加的情况下</w:t>
      </w:r>
      <w:r>
        <w:rPr>
          <w:rFonts w:hint="eastAsia" w:ascii="宋体" w:hAnsi="宋体" w:eastAsia="宋体" w:cs="宋体"/>
          <w:sz w:val="10"/>
        </w:rPr>
        <w:t>，</w:t>
      </w:r>
      <w:r>
        <w:rPr>
          <w:rFonts w:hint="eastAsia" w:ascii="宋体" w:hAnsi="宋体" w:eastAsia="宋体" w:cs="宋体"/>
          <w:sz w:val="24"/>
        </w:rPr>
        <w:t>如果公司现有业务在募集资金到位后不能获得相应幅度的增长</w:t>
      </w:r>
      <w:r>
        <w:rPr>
          <w:rFonts w:hint="eastAsia" w:ascii="宋体" w:hAnsi="宋体" w:eastAsia="宋体" w:cs="宋体"/>
          <w:sz w:val="10"/>
        </w:rPr>
        <w:t>，</w:t>
      </w:r>
      <w:r>
        <w:rPr>
          <w:rFonts w:hint="eastAsia" w:ascii="宋体" w:hAnsi="宋体" w:eastAsia="宋体" w:cs="宋体"/>
          <w:sz w:val="24"/>
        </w:rPr>
        <w:t>预计每股收益和加权平均净资产收益率等指标将出现</w:t>
      </w:r>
      <w:r>
        <w:rPr>
          <w:rFonts w:hint="eastAsia" w:ascii="宋体" w:hAnsi="宋体" w:eastAsia="宋体" w:cs="宋体"/>
          <w:sz w:val="10"/>
        </w:rPr>
        <w:t>一</w:t>
      </w:r>
      <w:r>
        <w:rPr>
          <w:rFonts w:hint="eastAsia" w:ascii="宋体" w:hAnsi="宋体" w:eastAsia="宋体" w:cs="宋体"/>
          <w:sz w:val="24"/>
        </w:rPr>
        <w:t>定幅度的下降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为降低本次发行摊薄公司即期回报的风险</w:t>
      </w:r>
      <w:r>
        <w:rPr>
          <w:rFonts w:hint="eastAsia" w:ascii="宋体" w:hAnsi="宋体" w:eastAsia="宋体" w:cs="宋体"/>
          <w:sz w:val="10"/>
        </w:rPr>
        <w:t>，</w:t>
      </w:r>
      <w:r>
        <w:rPr>
          <w:rFonts w:hint="eastAsia" w:ascii="宋体" w:hAnsi="宋体" w:eastAsia="宋体" w:cs="宋体"/>
          <w:sz w:val="24"/>
        </w:rPr>
        <w:t>公司拟通过强化募集资金管理</w:t>
      </w:r>
      <w:r>
        <w:rPr>
          <w:rFonts w:hint="eastAsia" w:ascii="宋体" w:hAnsi="宋体" w:eastAsia="宋体" w:cs="宋体"/>
          <w:sz w:val="10"/>
        </w:rPr>
        <w:t>、</w:t>
      </w:r>
      <w:r>
        <w:rPr>
          <w:rFonts w:hint="eastAsia" w:ascii="宋体" w:hAnsi="宋体" w:eastAsia="宋体" w:cs="宋体"/>
          <w:sz w:val="24"/>
        </w:rPr>
        <w:t>加快募投项目投资进度</w:t>
      </w:r>
      <w:r>
        <w:rPr>
          <w:rFonts w:hint="eastAsia" w:ascii="宋体" w:hAnsi="宋体" w:eastAsia="宋体" w:cs="宋体"/>
          <w:sz w:val="10"/>
        </w:rPr>
        <w:t>、</w:t>
      </w:r>
      <w:r>
        <w:rPr>
          <w:rFonts w:hint="eastAsia" w:ascii="宋体" w:hAnsi="宋体" w:eastAsia="宋体" w:cs="宋体"/>
          <w:sz w:val="24"/>
        </w:rPr>
        <w:t>加大技术创新和产品开发及优化投资回报机制等方式</w:t>
      </w:r>
      <w:r>
        <w:rPr>
          <w:rFonts w:hint="eastAsia" w:ascii="宋体" w:hAnsi="宋体" w:eastAsia="宋体" w:cs="宋体"/>
          <w:sz w:val="10"/>
        </w:rPr>
        <w:t>，</w:t>
      </w:r>
      <w:r>
        <w:rPr>
          <w:rFonts w:hint="eastAsia" w:ascii="宋体" w:hAnsi="宋体" w:eastAsia="宋体" w:cs="宋体"/>
          <w:sz w:val="24"/>
        </w:rPr>
        <w:t>提升股东回报以填补本次公开发行对即期回报的摊薄</w:t>
      </w:r>
      <w:r>
        <w:rPr>
          <w:rFonts w:hint="eastAsia" w:ascii="宋体" w:hAnsi="宋体" w:eastAsia="宋体" w:cs="宋体"/>
          <w:sz w:val="10"/>
        </w:rPr>
        <w:t>，</w:t>
      </w:r>
      <w:r>
        <w:rPr>
          <w:rFonts w:hint="eastAsia" w:ascii="宋体" w:hAnsi="宋体" w:eastAsia="宋体" w:cs="宋体"/>
          <w:sz w:val="24"/>
        </w:rPr>
        <w:t>具体如下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强化募集资金管理</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公司根据相关法规制定了《募集资金使用管理办法》，</w:t>
      </w:r>
      <w:r>
        <w:rPr>
          <w:rFonts w:hint="eastAsia" w:ascii="宋体" w:hAnsi="宋体" w:eastAsia="宋体" w:cs="宋体"/>
          <w:sz w:val="24"/>
        </w:rPr>
        <w:t>规定了募集资金专户存储</w:t>
      </w:r>
      <w:r>
        <w:rPr>
          <w:rFonts w:hint="eastAsia" w:ascii="宋体" w:hAnsi="宋体" w:eastAsia="宋体" w:cs="宋体"/>
          <w:sz w:val="10"/>
        </w:rPr>
        <w:t>、</w:t>
      </w:r>
      <w:r>
        <w:rPr>
          <w:rFonts w:hint="eastAsia" w:ascii="宋体" w:hAnsi="宋体" w:eastAsia="宋体" w:cs="宋体"/>
          <w:sz w:val="24"/>
        </w:rPr>
        <w:t>使用</w:t>
      </w:r>
      <w:r>
        <w:rPr>
          <w:rFonts w:hint="eastAsia" w:ascii="宋体" w:hAnsi="宋体" w:eastAsia="宋体" w:cs="宋体"/>
          <w:sz w:val="10"/>
        </w:rPr>
        <w:t>、</w:t>
      </w:r>
      <w:r>
        <w:rPr>
          <w:rFonts w:hint="eastAsia" w:ascii="宋体" w:hAnsi="宋体" w:eastAsia="宋体" w:cs="宋体"/>
          <w:sz w:val="24"/>
        </w:rPr>
        <w:t>管理和监督机制</w:t>
      </w:r>
      <w:r>
        <w:rPr>
          <w:rFonts w:hint="eastAsia" w:ascii="宋体" w:hAnsi="宋体" w:eastAsia="宋体" w:cs="宋体"/>
          <w:sz w:val="10"/>
        </w:rPr>
        <w:t>，</w:t>
      </w:r>
      <w:r>
        <w:rPr>
          <w:rFonts w:hint="eastAsia" w:ascii="宋体" w:hAnsi="宋体" w:eastAsia="宋体" w:cs="宋体"/>
          <w:sz w:val="24"/>
        </w:rPr>
        <w:t>保证专款专用</w:t>
      </w:r>
      <w:r>
        <w:rPr>
          <w:rFonts w:hint="eastAsia" w:ascii="宋体" w:hAnsi="宋体" w:eastAsia="宋体" w:cs="宋体"/>
          <w:sz w:val="10"/>
        </w:rPr>
        <w:t>。</w:t>
      </w:r>
      <w:r>
        <w:rPr>
          <w:rFonts w:hint="eastAsia" w:ascii="宋体" w:hAnsi="宋体" w:eastAsia="宋体" w:cs="宋体"/>
          <w:sz w:val="24"/>
        </w:rPr>
        <w:t>募集资金到位后将存放于董事会指定的专项账户中</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公司将定期检查募集资金使用情况</w:t>
      </w:r>
      <w:r>
        <w:rPr>
          <w:rFonts w:hint="eastAsia" w:ascii="宋体" w:hAnsi="宋体" w:eastAsia="宋体" w:cs="宋体"/>
          <w:sz w:val="10"/>
        </w:rPr>
        <w:t>，</w:t>
      </w:r>
      <w:r>
        <w:rPr>
          <w:rFonts w:hint="eastAsia" w:ascii="宋体" w:hAnsi="宋体" w:eastAsia="宋体" w:cs="宋体"/>
          <w:sz w:val="24"/>
        </w:rPr>
        <w:t>从而加强对募投项目的监管</w:t>
      </w:r>
      <w:r>
        <w:rPr>
          <w:rFonts w:hint="eastAsia" w:ascii="宋体" w:hAnsi="宋体" w:eastAsia="宋体" w:cs="宋体"/>
          <w:sz w:val="10"/>
        </w:rPr>
        <w:t>，</w:t>
      </w:r>
      <w:r>
        <w:rPr>
          <w:rFonts w:hint="eastAsia" w:ascii="宋体" w:hAnsi="宋体" w:eastAsia="宋体" w:cs="宋体"/>
          <w:sz w:val="24"/>
        </w:rPr>
        <w:t>保证募集资金得到合理</w:t>
      </w:r>
      <w:r>
        <w:rPr>
          <w:rFonts w:hint="eastAsia" w:ascii="宋体" w:hAnsi="宋体" w:eastAsia="宋体" w:cs="宋体"/>
          <w:sz w:val="10"/>
        </w:rPr>
        <w:t>、</w:t>
      </w:r>
      <w:r>
        <w:rPr>
          <w:rFonts w:hint="eastAsia" w:ascii="宋体" w:hAnsi="宋体" w:eastAsia="宋体" w:cs="宋体"/>
          <w:sz w:val="24"/>
        </w:rPr>
        <w:t>合法的使用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加快募投项目投资进度</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本次募投项目均围绕公司主营业务而进行</w:t>
      </w:r>
      <w:r>
        <w:rPr>
          <w:rFonts w:hint="eastAsia" w:ascii="宋体" w:hAnsi="宋体" w:eastAsia="宋体" w:cs="宋体"/>
          <w:sz w:val="10"/>
        </w:rPr>
        <w:t>，</w:t>
      </w:r>
      <w:r>
        <w:rPr>
          <w:rFonts w:hint="eastAsia" w:ascii="宋体" w:hAnsi="宋体" w:eastAsia="宋体" w:cs="宋体"/>
          <w:sz w:val="24"/>
        </w:rPr>
        <w:t>有利于进</w:t>
      </w:r>
      <w:r>
        <w:rPr>
          <w:rFonts w:hint="eastAsia" w:ascii="宋体" w:hAnsi="宋体" w:eastAsia="宋体" w:cs="宋体"/>
          <w:sz w:val="10"/>
        </w:rPr>
        <w:t>一</w:t>
      </w:r>
      <w:r>
        <w:rPr>
          <w:rFonts w:hint="eastAsia" w:ascii="宋体" w:hAnsi="宋体" w:eastAsia="宋体" w:cs="宋体"/>
          <w:sz w:val="24"/>
        </w:rPr>
        <w:t>步提升公司的研发实力</w:t>
      </w:r>
      <w:r>
        <w:rPr>
          <w:rFonts w:hint="eastAsia" w:ascii="宋体" w:hAnsi="宋体" w:eastAsia="宋体" w:cs="宋体"/>
          <w:sz w:val="10"/>
        </w:rPr>
        <w:t>、</w:t>
      </w:r>
      <w:r>
        <w:rPr>
          <w:rFonts w:hint="eastAsia" w:ascii="宋体" w:hAnsi="宋体" w:eastAsia="宋体" w:cs="宋体"/>
          <w:sz w:val="24"/>
        </w:rPr>
        <w:t>服务水平</w:t>
      </w:r>
      <w:r>
        <w:rPr>
          <w:rFonts w:hint="eastAsia" w:ascii="宋体" w:hAnsi="宋体" w:eastAsia="宋体" w:cs="宋体"/>
          <w:sz w:val="10"/>
        </w:rPr>
        <w:t>、</w:t>
      </w:r>
      <w:r>
        <w:rPr>
          <w:rFonts w:hint="eastAsia" w:ascii="宋体" w:hAnsi="宋体" w:eastAsia="宋体" w:cs="宋体"/>
          <w:sz w:val="24"/>
        </w:rPr>
        <w:t>市场开拓能力和持续盈利能力</w:t>
      </w:r>
      <w:r>
        <w:rPr>
          <w:rFonts w:hint="eastAsia" w:ascii="宋体" w:hAnsi="宋体" w:eastAsia="宋体" w:cs="宋体"/>
          <w:sz w:val="10"/>
        </w:rPr>
        <w:t>，</w:t>
      </w:r>
      <w:r>
        <w:rPr>
          <w:rFonts w:hint="eastAsia" w:ascii="宋体" w:hAnsi="宋体" w:eastAsia="宋体" w:cs="宋体"/>
          <w:sz w:val="24"/>
        </w:rPr>
        <w:t>以增强公司在业务流程管理信息化</w:t>
      </w:r>
      <w:r>
        <w:rPr>
          <w:rFonts w:hint="eastAsia" w:ascii="宋体" w:hAnsi="宋体" w:eastAsia="宋体" w:cs="宋体"/>
          <w:sz w:val="10"/>
        </w:rPr>
        <w:t>、</w:t>
      </w:r>
      <w:r>
        <w:rPr>
          <w:rFonts w:hint="eastAsia" w:ascii="宋体" w:hAnsi="宋体" w:eastAsia="宋体" w:cs="宋体"/>
          <w:sz w:val="24"/>
        </w:rPr>
        <w:t>电子交易市场</w:t>
      </w:r>
      <w:r>
        <w:rPr>
          <w:rFonts w:hint="eastAsia" w:ascii="宋体" w:hAnsi="宋体" w:eastAsia="宋体" w:cs="宋体"/>
          <w:sz w:val="10"/>
        </w:rPr>
        <w:t>、</w:t>
      </w:r>
      <w:r>
        <w:rPr>
          <w:rFonts w:hint="eastAsia" w:ascii="宋体" w:hAnsi="宋体" w:eastAsia="宋体" w:cs="宋体"/>
          <w:sz w:val="24"/>
        </w:rPr>
        <w:t>金融行业互联网化应用等行业或领域的核心竞争优势</w:t>
      </w:r>
      <w:r>
        <w:rPr>
          <w:rFonts w:hint="eastAsia" w:ascii="宋体" w:hAnsi="宋体" w:eastAsia="宋体" w:cs="宋体"/>
          <w:sz w:val="10"/>
        </w:rPr>
        <w:t>。</w:t>
      </w:r>
      <w:r>
        <w:rPr>
          <w:rFonts w:hint="eastAsia" w:ascii="宋体" w:hAnsi="宋体" w:eastAsia="宋体" w:cs="宋体"/>
          <w:sz w:val="24"/>
        </w:rPr>
        <w:t>本次发行募集资金到位后</w:t>
      </w:r>
      <w:r>
        <w:rPr>
          <w:rFonts w:hint="eastAsia" w:ascii="宋体" w:hAnsi="宋体" w:eastAsia="宋体" w:cs="宋体"/>
          <w:sz w:val="10"/>
        </w:rPr>
        <w:t>，</w:t>
      </w:r>
      <w:r>
        <w:rPr>
          <w:rFonts w:hint="eastAsia" w:ascii="宋体" w:hAnsi="宋体" w:eastAsia="宋体" w:cs="宋体"/>
          <w:sz w:val="24"/>
        </w:rPr>
        <w:t>公司将积极调配内部资源</w:t>
      </w:r>
      <w:r>
        <w:rPr>
          <w:rFonts w:hint="eastAsia" w:ascii="宋体" w:hAnsi="宋体" w:eastAsia="宋体" w:cs="宋体"/>
          <w:sz w:val="10"/>
        </w:rPr>
        <w:t>，</w:t>
      </w:r>
      <w:r>
        <w:rPr>
          <w:rFonts w:hint="eastAsia" w:ascii="宋体" w:hAnsi="宋体" w:eastAsia="宋体" w:cs="宋体"/>
          <w:sz w:val="24"/>
        </w:rPr>
        <w:t>加快推进募投项目建设</w:t>
      </w:r>
      <w:r>
        <w:rPr>
          <w:rFonts w:hint="eastAsia" w:ascii="宋体" w:hAnsi="宋体" w:eastAsia="宋体" w:cs="宋体"/>
          <w:sz w:val="10"/>
        </w:rPr>
        <w:t>，</w:t>
      </w:r>
      <w:r>
        <w:rPr>
          <w:rFonts w:hint="eastAsia" w:ascii="宋体" w:hAnsi="宋体" w:eastAsia="宋体" w:cs="宋体"/>
          <w:sz w:val="24"/>
        </w:rPr>
        <w:t>尽早实现项目预期收益</w:t>
      </w:r>
      <w:r>
        <w:rPr>
          <w:rFonts w:hint="eastAsia" w:ascii="宋体" w:hAnsi="宋体" w:eastAsia="宋体" w:cs="宋体"/>
          <w:sz w:val="10"/>
        </w:rPr>
        <w:t>，</w:t>
      </w:r>
      <w:r>
        <w:rPr>
          <w:rFonts w:hint="eastAsia" w:ascii="宋体" w:hAnsi="宋体" w:eastAsia="宋体" w:cs="宋体"/>
          <w:sz w:val="24"/>
        </w:rPr>
        <w:t>增强未来几年股东回报</w:t>
      </w:r>
      <w:r>
        <w:rPr>
          <w:rFonts w:hint="eastAsia" w:ascii="宋体" w:hAnsi="宋体" w:eastAsia="宋体" w:cs="宋体"/>
          <w:sz w:val="10"/>
        </w:rPr>
        <w:t>，</w:t>
      </w:r>
      <w:r>
        <w:rPr>
          <w:rFonts w:hint="eastAsia" w:ascii="宋体" w:hAnsi="宋体" w:eastAsia="宋体" w:cs="宋体"/>
          <w:sz w:val="24"/>
        </w:rPr>
        <w:t>降低发行导致的即期回报摊薄的风险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加大技术创新和产品开发</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公司将以发行上市为契机</w:t>
      </w:r>
      <w:r>
        <w:rPr>
          <w:rFonts w:hint="eastAsia" w:ascii="宋体" w:hAnsi="宋体" w:eastAsia="宋体" w:cs="宋体"/>
          <w:sz w:val="10"/>
        </w:rPr>
        <w:t>，</w:t>
      </w:r>
      <w:r>
        <w:rPr>
          <w:rFonts w:hint="eastAsia" w:ascii="宋体" w:hAnsi="宋体" w:eastAsia="宋体" w:cs="宋体"/>
          <w:sz w:val="24"/>
        </w:rPr>
        <w:t>购置先进的研发设备</w:t>
      </w:r>
      <w:r>
        <w:rPr>
          <w:rFonts w:hint="eastAsia" w:ascii="宋体" w:hAnsi="宋体" w:eastAsia="宋体" w:cs="宋体"/>
          <w:sz w:val="10"/>
        </w:rPr>
        <w:t>，</w:t>
      </w:r>
      <w:r>
        <w:rPr>
          <w:rFonts w:hint="eastAsia" w:ascii="宋体" w:hAnsi="宋体" w:eastAsia="宋体" w:cs="宋体"/>
          <w:sz w:val="24"/>
        </w:rPr>
        <w:t>大力引进优秀的软件人才</w:t>
      </w:r>
      <w:r>
        <w:rPr>
          <w:rFonts w:hint="eastAsia" w:ascii="宋体" w:hAnsi="宋体" w:eastAsia="宋体" w:cs="宋体"/>
          <w:sz w:val="10"/>
        </w:rPr>
        <w:t>，</w:t>
      </w:r>
      <w:r>
        <w:rPr>
          <w:rFonts w:hint="eastAsia" w:ascii="宋体" w:hAnsi="宋体" w:eastAsia="宋体" w:cs="宋体"/>
          <w:sz w:val="24"/>
        </w:rPr>
        <w:t>不断完善以</w:t>
      </w:r>
      <w:r>
        <w:rPr>
          <w:rFonts w:hint="eastAsia" w:ascii="宋体" w:hAnsi="宋体" w:eastAsia="宋体" w:cs="宋体"/>
          <w:sz w:val="10"/>
        </w:rPr>
        <w:t>“</w:t>
      </w:r>
      <w:r>
        <w:rPr>
          <w:rFonts w:hint="eastAsia" w:ascii="宋体" w:hAnsi="宋体" w:eastAsia="宋体" w:cs="宋体"/>
          <w:sz w:val="24"/>
        </w:rPr>
        <w:t>研发</w:t>
      </w:r>
      <w:r>
        <w:rPr>
          <w:rFonts w:hint="eastAsia" w:ascii="宋体" w:hAnsi="宋体" w:eastAsia="宋体" w:cs="宋体"/>
          <w:sz w:val="10"/>
        </w:rPr>
        <w:t>、</w:t>
      </w:r>
      <w:r>
        <w:rPr>
          <w:rFonts w:hint="eastAsia" w:ascii="宋体" w:hAnsi="宋体" w:eastAsia="宋体" w:cs="宋体"/>
          <w:sz w:val="24"/>
        </w:rPr>
        <w:t>市场和服务</w:t>
      </w:r>
      <w:r>
        <w:rPr>
          <w:rFonts w:hint="eastAsia" w:ascii="宋体" w:hAnsi="宋体" w:eastAsia="宋体" w:cs="宋体"/>
          <w:sz w:val="10"/>
        </w:rPr>
        <w:t>”</w:t>
      </w:r>
      <w:r>
        <w:rPr>
          <w:rFonts w:hint="eastAsia" w:ascii="宋体" w:hAnsi="宋体" w:eastAsia="宋体" w:cs="宋体"/>
          <w:sz w:val="24"/>
        </w:rPr>
        <w:t>为核心的业务架构</w:t>
      </w:r>
      <w:r>
        <w:rPr>
          <w:rFonts w:hint="eastAsia" w:ascii="宋体" w:hAnsi="宋体" w:eastAsia="宋体" w:cs="宋体"/>
          <w:sz w:val="10"/>
        </w:rPr>
        <w:t>，</w:t>
      </w:r>
      <w:r>
        <w:rPr>
          <w:rFonts w:hint="eastAsia" w:ascii="宋体" w:hAnsi="宋体" w:eastAsia="宋体" w:cs="宋体"/>
          <w:sz w:val="24"/>
        </w:rPr>
        <w:t>全面提升公司的综合运营能力</w:t>
      </w:r>
      <w:r>
        <w:rPr>
          <w:rFonts w:hint="eastAsia" w:ascii="宋体" w:hAnsi="宋体" w:eastAsia="宋体" w:cs="宋体"/>
          <w:sz w:val="10"/>
        </w:rPr>
        <w:t>，</w:t>
      </w:r>
      <w:r>
        <w:rPr>
          <w:rFonts w:hint="eastAsia" w:ascii="宋体" w:hAnsi="宋体" w:eastAsia="宋体" w:cs="宋体"/>
          <w:sz w:val="24"/>
        </w:rPr>
        <w:t>夯实公司在</w:t>
      </w:r>
      <w:r>
        <w:rPr>
          <w:rFonts w:hint="eastAsia" w:ascii="宋体" w:hAnsi="宋体" w:eastAsia="宋体" w:cs="宋体"/>
          <w:sz w:val="10"/>
        </w:rPr>
        <w:t>“</w:t>
      </w:r>
      <w:r>
        <w:rPr>
          <w:rFonts w:hint="eastAsia" w:ascii="宋体" w:hAnsi="宋体" w:eastAsia="宋体" w:cs="宋体"/>
          <w:sz w:val="24"/>
        </w:rPr>
        <w:t>以灵动架构平台（</w:t>
      </w:r>
      <w:r>
        <w:rPr>
          <w:rFonts w:hint="eastAsia" w:ascii="Times New Roman" w:hAnsi="Times New Roman" w:eastAsia="Times New Roman" w:cs="Times New Roman"/>
          <w:sz w:val="24"/>
        </w:rPr>
        <w:t>LiveBOS</w:t>
      </w:r>
      <w:r>
        <w:rPr>
          <w:rFonts w:hint="eastAsia" w:ascii="宋体" w:hAnsi="宋体" w:eastAsia="宋体" w:cs="宋体"/>
          <w:sz w:val="24"/>
        </w:rPr>
        <w:t>）为基础</w:t>
      </w:r>
      <w:r>
        <w:rPr>
          <w:rFonts w:hint="eastAsia" w:ascii="宋体" w:hAnsi="宋体" w:eastAsia="宋体" w:cs="宋体"/>
          <w:sz w:val="10"/>
        </w:rPr>
        <w:t>，</w:t>
      </w:r>
      <w:r>
        <w:rPr>
          <w:rFonts w:hint="eastAsia" w:ascii="宋体" w:hAnsi="宋体" w:eastAsia="宋体" w:cs="宋体"/>
          <w:sz w:val="24"/>
        </w:rPr>
        <w:t>以</w:t>
      </w:r>
      <w:r>
        <w:rPr>
          <w:rFonts w:hint="eastAsia" w:ascii="Times New Roman" w:hAnsi="Times New Roman" w:eastAsia="Times New Roman" w:cs="Times New Roman"/>
          <w:sz w:val="24"/>
        </w:rPr>
        <w:t xml:space="preserve"> BPM</w:t>
      </w:r>
      <w:r>
        <w:rPr>
          <w:rFonts w:hint="eastAsia" w:ascii="宋体" w:hAnsi="宋体" w:eastAsia="宋体" w:cs="宋体"/>
          <w:sz w:val="24"/>
        </w:rPr>
        <w:t xml:space="preserve"> 为核心</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应用为重点方向的信息化应用解决方案个性化软件和服务领域的领先优势</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公司将围绕业务流程管理这一核心不断对现有系统及解决方案进行优化升级</w:t>
      </w:r>
      <w:r>
        <w:rPr>
          <w:rFonts w:hint="eastAsia" w:ascii="宋体" w:hAnsi="宋体" w:eastAsia="宋体" w:cs="宋体"/>
          <w:sz w:val="10"/>
        </w:rPr>
        <w:t>，</w:t>
      </w:r>
      <w:r>
        <w:rPr>
          <w:rFonts w:hint="eastAsia" w:ascii="宋体" w:hAnsi="宋体" w:eastAsia="宋体" w:cs="宋体"/>
          <w:sz w:val="24"/>
        </w:rPr>
        <w:t>并适时开发新的软件系统</w:t>
      </w:r>
      <w:r>
        <w:rPr>
          <w:rFonts w:hint="eastAsia" w:ascii="宋体" w:hAnsi="宋体" w:eastAsia="宋体" w:cs="宋体"/>
          <w:sz w:val="10"/>
        </w:rPr>
        <w:t>，</w:t>
      </w:r>
      <w:r>
        <w:rPr>
          <w:rFonts w:hint="eastAsia" w:ascii="宋体" w:hAnsi="宋体" w:eastAsia="宋体" w:cs="宋体"/>
          <w:sz w:val="24"/>
        </w:rPr>
        <w:t>丰富软件产品种类</w:t>
      </w:r>
      <w:r>
        <w:rPr>
          <w:rFonts w:hint="eastAsia" w:ascii="宋体" w:hAnsi="宋体" w:eastAsia="宋体" w:cs="宋体"/>
          <w:sz w:val="10"/>
        </w:rPr>
        <w:t>，</w:t>
      </w:r>
      <w:r>
        <w:rPr>
          <w:rFonts w:hint="eastAsia" w:ascii="宋体" w:hAnsi="宋体" w:eastAsia="宋体" w:cs="宋体"/>
          <w:sz w:val="24"/>
        </w:rPr>
        <w:t>持续为各类客户提供高效</w:t>
      </w:r>
      <w:r>
        <w:rPr>
          <w:rFonts w:hint="eastAsia" w:ascii="宋体" w:hAnsi="宋体" w:eastAsia="宋体" w:cs="宋体"/>
          <w:sz w:val="10"/>
        </w:rPr>
        <w:t>、</w:t>
      </w:r>
      <w:r>
        <w:rPr>
          <w:rFonts w:hint="eastAsia" w:ascii="宋体" w:hAnsi="宋体" w:eastAsia="宋体" w:cs="宋体"/>
          <w:sz w:val="24"/>
        </w:rPr>
        <w:t>实用</w:t>
      </w:r>
      <w:r>
        <w:rPr>
          <w:rFonts w:hint="eastAsia" w:ascii="宋体" w:hAnsi="宋体" w:eastAsia="宋体" w:cs="宋体"/>
          <w:sz w:val="10"/>
        </w:rPr>
        <w:t>、</w:t>
      </w:r>
      <w:r>
        <w:rPr>
          <w:rFonts w:hint="eastAsia" w:ascii="宋体" w:hAnsi="宋体" w:eastAsia="宋体" w:cs="宋体"/>
          <w:sz w:val="24"/>
        </w:rPr>
        <w:t>规范</w:t>
      </w:r>
      <w:r>
        <w:rPr>
          <w:rFonts w:hint="eastAsia" w:ascii="宋体" w:hAnsi="宋体" w:eastAsia="宋体" w:cs="宋体"/>
          <w:sz w:val="10"/>
        </w:rPr>
        <w:t>、</w:t>
      </w:r>
      <w:r>
        <w:rPr>
          <w:rFonts w:hint="eastAsia" w:ascii="宋体" w:hAnsi="宋体" w:eastAsia="宋体" w:cs="宋体"/>
          <w:sz w:val="24"/>
        </w:rPr>
        <w:t>配套的业务流程信息化解决方案及个性化软件</w:t>
      </w:r>
      <w:r>
        <w:rPr>
          <w:rFonts w:hint="eastAsia" w:ascii="宋体" w:hAnsi="宋体" w:eastAsia="宋体" w:cs="宋体"/>
          <w:sz w:val="10"/>
        </w:rPr>
        <w:t>，</w:t>
      </w:r>
      <w:r>
        <w:rPr>
          <w:rFonts w:hint="eastAsia" w:ascii="宋体" w:hAnsi="宋体" w:eastAsia="宋体" w:cs="宋体"/>
          <w:sz w:val="24"/>
        </w:rPr>
        <w:t>扩大公司经营规模</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1-1-295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3072" behindDoc="false" locked="false" layoutInCell="true" allowOverlap="true">
                <wp:simplePos x="0" y="0"/>
                <wp:positionH relativeFrom="page">
                  <wp:posOffset>850900</wp:posOffset>
                </wp:positionH>
                <wp:positionV relativeFrom="page">
                  <wp:posOffset>7200900</wp:posOffset>
                </wp:positionV>
                <wp:extent cx="584200" cy="215900"/>
                <wp:effectExtent l="0" t="0" r="22225" b="31115"/>
                <wp:wrapNone/>
                <wp:docPr id="19307" name="shape19307"/>
                <wp:cNvGraphicFramePr/>
                <a:graphic>
                  <a:graphicData uri="http://schemas.microsoft.com/office/word/2010/wordprocessingShape">
                    <wps:wsp>
                      <wps:cNvSpPr/>
                      <wps:spPr>
                        <a:xfrm>
                          <a:off x="0" y="0"/>
                          <a:ext cx="584200" cy="215900"/>
                        </a:xfrm>
                        <a:prstGeom prst="rect">
                          <a:avLst/>
                        </a:prstGeom>
                      </wps:spPr>
                      <wps:txbx>
                        <w:txbxContent>
                          <w:p>
                            <w:pPr>
                              <w:spacing w:line="-240" w:lineRule="exact"/>
                              <w:ind w:left="0"/>
                              <w:jc w:val="both"/>
                            </w:pPr>
                            <w:r>
                              <w:rPr>
                                <w:rFonts w:hint="eastAsia" w:ascii="宋体" w:hAnsi="宋体" w:eastAsia="宋体" w:cs="宋体"/>
                                <w:sz w:val="24"/>
                              </w:rPr>
                              <w:t>钩</w:t>
                            </w:r>
                            <w:r>
                              <w:rPr>
                                <w:rFonts w:hint="eastAsia" w:ascii="宋体" w:hAnsi="宋体" w:eastAsia="宋体" w:cs="宋体"/>
                                <w:sz w:val="10"/>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46pt;height:17pt;margin-left:67pt;margin-top:567pt;mso-wrap-style:none;z-index:10253072;mso-wrap-distance-left:9pt;mso-wrap-distance-top:0pt;mso-wrap-distance-right:9pt;mso-wrap-distance-bottom:0pt" id="shape19307" o:spid="1618382360854" stroked="f">
                <v:textbox>
                  <w:txbxContent>
                    <w:p>
                      <w:pPr>
                        <w:spacing w:line="-240" w:lineRule="exact"/>
                        <w:ind w:left="0"/>
                        <w:jc w:val="both"/>
                      </w:pPr>
                      <w:r>
                        <w:rPr>
                          <w:rFonts w:hint="eastAsia" w:ascii="宋体" w:hAnsi="宋体" w:eastAsia="宋体" w:cs="宋体"/>
                          <w:sz w:val="24"/>
                        </w:rPr>
                        <w:t>钩</w:t>
                      </w:r>
                      <w:r>
                        <w:rPr>
                          <w:rFonts w:hint="eastAsia" w:ascii="宋体" w:hAnsi="宋体" w:eastAsia="宋体" w:cs="宋体"/>
                          <w:sz w:val="10"/>
                        </w:rPr>
                        <w:t>。</w:t>
                      </w:r>
                    </w:p>
                  </w:txbxContent>
                </v:textbox>
              </v:rect>
            </w:pict>
          </mc:Fallback>
        </mc:AlternateConten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优化投资回报机制</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公司秉承积极的利润分配政策</w:t>
      </w:r>
      <w:r>
        <w:rPr>
          <w:rFonts w:hint="eastAsia" w:ascii="宋体" w:hAnsi="宋体" w:eastAsia="宋体" w:cs="宋体"/>
          <w:sz w:val="10"/>
        </w:rPr>
        <w:t>，</w:t>
      </w:r>
      <w:r>
        <w:rPr>
          <w:rFonts w:hint="eastAsia" w:ascii="宋体" w:hAnsi="宋体" w:eastAsia="宋体" w:cs="宋体"/>
          <w:sz w:val="24"/>
        </w:rPr>
        <w:t>重视对股东的合理投资回报</w:t>
      </w:r>
      <w:r>
        <w:rPr>
          <w:rFonts w:hint="eastAsia" w:ascii="宋体" w:hAnsi="宋体" w:eastAsia="宋体" w:cs="宋体"/>
          <w:sz w:val="10"/>
        </w:rPr>
        <w:t>，</w:t>
      </w:r>
      <w:r>
        <w:rPr>
          <w:rFonts w:hint="eastAsia" w:ascii="宋体" w:hAnsi="宋体" w:eastAsia="宋体" w:cs="宋体"/>
          <w:sz w:val="24"/>
        </w:rPr>
        <w:t>以可持续发展和维护股东权益为宗旨</w:t>
      </w:r>
      <w:r>
        <w:rPr>
          <w:rFonts w:hint="eastAsia" w:ascii="宋体" w:hAnsi="宋体" w:eastAsia="宋体" w:cs="宋体"/>
          <w:sz w:val="10"/>
        </w:rPr>
        <w:t>，</w:t>
      </w:r>
      <w:r>
        <w:rPr>
          <w:rFonts w:hint="eastAsia" w:ascii="宋体" w:hAnsi="宋体" w:eastAsia="宋体" w:cs="宋体"/>
          <w:sz w:val="24"/>
        </w:rPr>
        <w:t>并保持利润分配政策的连续性和稳定性</w:t>
      </w:r>
      <w:r>
        <w:rPr>
          <w:rFonts w:hint="eastAsia" w:ascii="宋体" w:hAnsi="宋体" w:eastAsia="宋体" w:cs="宋体"/>
          <w:sz w:val="10"/>
        </w:rPr>
        <w:t>。</w:t>
      </w:r>
      <w:r>
        <w:rPr>
          <w:rFonts w:hint="eastAsia" w:ascii="宋体" w:hAnsi="宋体" w:eastAsia="宋体" w:cs="宋体"/>
          <w:sz w:val="24"/>
        </w:rPr>
        <w:t>公司已在《公司章程（草案）》中进一步明确了公司利润分配尤其是现金分红的具体条件</w:t>
      </w:r>
      <w:r>
        <w:rPr>
          <w:rFonts w:hint="eastAsia" w:ascii="宋体" w:hAnsi="宋体" w:eastAsia="宋体" w:cs="宋体"/>
          <w:sz w:val="10"/>
        </w:rPr>
        <w:t>、</w:t>
      </w:r>
      <w:r>
        <w:rPr>
          <w:rFonts w:hint="eastAsia" w:ascii="宋体" w:hAnsi="宋体" w:eastAsia="宋体" w:cs="宋体"/>
          <w:sz w:val="24"/>
        </w:rPr>
        <w:t>比例</w:t>
      </w:r>
      <w:r>
        <w:rPr>
          <w:rFonts w:hint="eastAsia" w:ascii="宋体" w:hAnsi="宋体" w:eastAsia="宋体" w:cs="宋体"/>
          <w:sz w:val="10"/>
        </w:rPr>
        <w:t>、</w:t>
      </w:r>
      <w:r>
        <w:rPr>
          <w:rFonts w:hint="eastAsia" w:ascii="宋体" w:hAnsi="宋体" w:eastAsia="宋体" w:cs="宋体"/>
          <w:sz w:val="24"/>
        </w:rPr>
        <w:t>分配形式和股票股利分配条件等</w:t>
      </w:r>
      <w:r>
        <w:rPr>
          <w:rFonts w:hint="eastAsia" w:ascii="宋体" w:hAnsi="宋体" w:eastAsia="宋体" w:cs="宋体"/>
          <w:sz w:val="10"/>
        </w:rPr>
        <w:t>，</w:t>
      </w:r>
      <w:r>
        <w:rPr>
          <w:rFonts w:hint="eastAsia" w:ascii="宋体" w:hAnsi="宋体" w:eastAsia="宋体" w:cs="宋体"/>
          <w:sz w:val="24"/>
        </w:rPr>
        <w:t>完善了公司利润分配的决策程序和调整原则</w:t>
      </w:r>
      <w:r>
        <w:rPr>
          <w:rFonts w:hint="eastAsia" w:ascii="宋体" w:hAnsi="宋体" w:eastAsia="宋体" w:cs="宋体"/>
          <w:sz w:val="10"/>
        </w:rPr>
        <w:t>。</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公司还制定了《上市后三年股东分红回报规划》，</w:t>
      </w:r>
      <w:r>
        <w:rPr>
          <w:rFonts w:hint="eastAsia" w:ascii="宋体" w:hAnsi="宋体" w:eastAsia="宋体" w:cs="宋体"/>
          <w:sz w:val="24"/>
        </w:rPr>
        <w:t>充分维护公司股东依法享有的资产收益等权利</w:t>
      </w:r>
      <w:r>
        <w:rPr>
          <w:rFonts w:hint="eastAsia" w:ascii="宋体" w:hAnsi="宋体" w:eastAsia="宋体" w:cs="宋体"/>
          <w:sz w:val="10"/>
        </w:rPr>
        <w:t>，</w:t>
      </w:r>
      <w:r>
        <w:rPr>
          <w:rFonts w:hint="eastAsia" w:ascii="宋体" w:hAnsi="宋体" w:eastAsia="宋体" w:cs="宋体"/>
          <w:sz w:val="24"/>
        </w:rPr>
        <w:t>提高公司的未来回报能力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公司制定填补回报措施不等于对未来利润做出保证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（三）公司董事</w:t>
      </w:r>
      <w:r>
        <w:rPr>
          <w:rFonts w:hint="eastAsia" w:ascii="宋体" w:hAnsi="宋体" w:eastAsia="宋体" w:cs="宋体"/>
          <w:b/>
          <w:sz w:val="10"/>
        </w:rPr>
        <w:t>、</w:t>
      </w:r>
      <w:r>
        <w:rPr>
          <w:rFonts w:hint="eastAsia" w:ascii="宋体" w:hAnsi="宋体" w:eastAsia="宋体" w:cs="宋体"/>
          <w:b/>
          <w:sz w:val="24"/>
        </w:rPr>
        <w:t>高级管理人员关于填补被摊薄即期回报的承诺</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高级管理人员根据中国证监会相关规定对公司填补回报措施能够得到切实履行作出承诺</w:t>
      </w:r>
      <w:r>
        <w:rPr>
          <w:rFonts w:hint="eastAsia" w:ascii="宋体" w:hAnsi="宋体" w:eastAsia="宋体" w:cs="宋体"/>
          <w:sz w:val="10"/>
        </w:rPr>
        <w:t>，</w:t>
      </w:r>
      <w:r>
        <w:rPr>
          <w:rFonts w:hint="eastAsia" w:ascii="宋体" w:hAnsi="宋体" w:eastAsia="宋体" w:cs="宋体"/>
          <w:sz w:val="24"/>
        </w:rPr>
        <w:t>具体如下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）承诺不无偿或以不公平条件向其他单位或者个人输送利益</w:t>
      </w:r>
      <w:r>
        <w:rPr>
          <w:rFonts w:hint="eastAsia" w:ascii="宋体" w:hAnsi="宋体" w:eastAsia="宋体" w:cs="宋体"/>
          <w:sz w:val="10"/>
        </w:rPr>
        <w:t>，</w:t>
      </w:r>
      <w:r>
        <w:rPr>
          <w:rFonts w:hint="eastAsia" w:ascii="宋体" w:hAnsi="宋体" w:eastAsia="宋体" w:cs="宋体"/>
          <w:sz w:val="24"/>
        </w:rPr>
        <w:t>也不采用其他方式损害公司利益</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）承诺对董事和高级管理人员的职务消费行为进行约束</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）承诺不动用公司资产从事与其履行职责无关的投资</w:t>
      </w:r>
      <w:r>
        <w:rPr>
          <w:rFonts w:hint="eastAsia" w:ascii="宋体" w:hAnsi="宋体" w:eastAsia="宋体" w:cs="宋体"/>
          <w:sz w:val="10"/>
        </w:rPr>
        <w:t>、</w:t>
      </w:r>
      <w:r>
        <w:rPr>
          <w:rFonts w:hint="eastAsia" w:ascii="宋体" w:hAnsi="宋体" w:eastAsia="宋体" w:cs="宋体"/>
          <w:sz w:val="24"/>
        </w:rPr>
        <w:t>消费活动</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）承诺由董事会或薪酬委员会制定的薪酬制度与公司填补回报措施的执行情况相挂钩</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5</w:t>
      </w:r>
      <w:r>
        <w:rPr>
          <w:rFonts w:hint="eastAsia" w:ascii="宋体" w:hAnsi="宋体" w:eastAsia="宋体" w:cs="宋体"/>
          <w:sz w:val="24"/>
        </w:rPr>
        <w:t>）承诺拟公布的公司股权激励的行权条件与公司填补回报措施的执行情况相挂</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公司控股股东</w:t>
      </w:r>
      <w:r>
        <w:rPr>
          <w:rFonts w:hint="eastAsia" w:ascii="宋体" w:hAnsi="宋体" w:eastAsia="宋体" w:cs="宋体"/>
          <w:sz w:val="10"/>
        </w:rPr>
        <w:t>、</w:t>
      </w:r>
      <w:r>
        <w:rPr>
          <w:rFonts w:hint="eastAsia" w:ascii="宋体" w:hAnsi="宋体" w:eastAsia="宋体" w:cs="宋体"/>
          <w:sz w:val="24"/>
        </w:rPr>
        <w:t>实际控制人出具的承诺</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公司的控股股东</w:t>
      </w:r>
      <w:r>
        <w:rPr>
          <w:rFonts w:hint="eastAsia" w:ascii="宋体" w:hAnsi="宋体" w:eastAsia="宋体" w:cs="宋体"/>
          <w:sz w:val="10"/>
        </w:rPr>
        <w:t>、</w:t>
      </w:r>
      <w:r>
        <w:rPr>
          <w:rFonts w:hint="eastAsia" w:ascii="宋体" w:hAnsi="宋体" w:eastAsia="宋体" w:cs="宋体"/>
          <w:sz w:val="24"/>
        </w:rPr>
        <w:t>实际控制人严孟宇承诺</w:t>
      </w:r>
      <w:r>
        <w:rPr>
          <w:rFonts w:hint="eastAsia" w:ascii="宋体" w:hAnsi="宋体" w:eastAsia="宋体" w:cs="宋体"/>
          <w:sz w:val="12"/>
        </w:rPr>
        <w:t>：</w:t>
      </w:r>
      <w:r>
        <w:rPr>
          <w:rFonts w:hint="eastAsia" w:ascii="宋体" w:hAnsi="宋体" w:eastAsia="宋体" w:cs="宋体"/>
          <w:sz w:val="24"/>
        </w:rPr>
        <w:t>不越权干预公司经营管理活动</w:t>
      </w:r>
      <w:r>
        <w:rPr>
          <w:rFonts w:hint="eastAsia" w:ascii="宋体" w:hAnsi="宋体" w:eastAsia="宋体" w:cs="宋体"/>
          <w:sz w:val="10"/>
        </w:rPr>
        <w:t>，</w:t>
      </w:r>
      <w:r>
        <w:rPr>
          <w:rFonts w:hint="eastAsia" w:ascii="宋体" w:hAnsi="宋体" w:eastAsia="宋体" w:cs="宋体"/>
          <w:sz w:val="24"/>
        </w:rPr>
        <w:t>不侵占公司利益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十</w:t>
      </w:r>
      <w:r>
        <w:rPr>
          <w:rFonts w:hint="eastAsia" w:ascii="ºÚÌå" w:hAnsi="ºÚÌå" w:eastAsia="ºÚÌå" w:cs="ºÚÌå"/>
          <w:sz w:val="10"/>
        </w:rPr>
        <w:t>、</w:t>
      </w:r>
      <w:r>
        <w:rPr>
          <w:rFonts w:hint="eastAsia" w:ascii="ºÚÌå" w:hAnsi="ºÚÌå" w:eastAsia="ºÚÌå" w:cs="ºÚÌå"/>
          <w:sz w:val="30"/>
        </w:rPr>
        <w:t>财务报告审计截止日后主要经营情况</w:t>
      </w:r>
    </w:p>
    <w:p>
      <w:pPr>
        <w:spacing w:line="200" w:lineRule="exact"/>
        <w:rPr>
          <w:rFonts w:hint="eastAsia" w:ascii="宋体" w:hAnsi="宋体" w:eastAsia="宋体" w:cs="宋体"/>
          <w:sz w:val="20"/>
        </w:rPr>
      </w:pPr>
    </w:p>
    <w:p>
      <w:pPr>
        <w:autoSpaceDE w:val="false"/>
        <w:autoSpaceDN w:val="false"/>
        <w:spacing w:line="480" w:lineRule="exact"/>
        <w:ind w:left="1920"/>
        <w:jc w:val="both"/>
      </w:pPr>
      <w:r>
        <w:rPr>
          <w:rFonts w:hint="eastAsia" w:ascii="宋体" w:hAnsi="宋体" w:eastAsia="宋体" w:cs="宋体"/>
          <w:b/>
          <w:sz w:val="30"/>
        </w:rPr>
        <w:t>（一）</w:t>
      </w:r>
      <w:r>
        <w:rPr>
          <w:rFonts w:hint="eastAsia" w:ascii="宋体" w:hAnsi="宋体" w:eastAsia="宋体" w:cs="宋体"/>
          <w:b/>
          <w:sz w:val="24"/>
        </w:rPr>
        <w:t>会计师对公司</w:t>
      </w:r>
      <w:r>
        <w:rPr>
          <w:rFonts w:hint="eastAsia" w:ascii="Times New Roman Bold" w:hAnsi="Times New Roman Bold" w:eastAsia="Times New Roman Bold" w:cs="Times New Roman Bold"/>
          <w:b/>
          <w:sz w:val="24"/>
        </w:rPr>
        <w:t xml:space="preserve"> 2017</w:t>
      </w:r>
      <w:r>
        <w:rPr>
          <w:rFonts w:hint="eastAsia" w:ascii="宋体" w:hAnsi="宋体" w:eastAsia="宋体" w:cs="宋体"/>
          <w:b/>
          <w:sz w:val="24"/>
        </w:rPr>
        <w:t xml:space="preserve"> 年第一季度财务报告的审阅意见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1-1-296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公司最近一期审计报告的审计截止日为</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年第一季度财务报告未经审计</w:t>
      </w:r>
      <w:r>
        <w:rPr>
          <w:rFonts w:hint="eastAsia" w:ascii="宋体" w:hAnsi="宋体" w:eastAsia="宋体" w:cs="宋体"/>
          <w:sz w:val="10"/>
        </w:rPr>
        <w:t>，</w:t>
      </w:r>
      <w:r>
        <w:rPr>
          <w:rFonts w:hint="eastAsia" w:ascii="宋体" w:hAnsi="宋体" w:eastAsia="宋体" w:cs="宋体"/>
          <w:sz w:val="24"/>
        </w:rPr>
        <w:t>已经致同所审阅</w:t>
      </w:r>
      <w:r>
        <w:rPr>
          <w:rFonts w:hint="eastAsia" w:ascii="宋体" w:hAnsi="宋体" w:eastAsia="宋体" w:cs="宋体"/>
          <w:sz w:val="10"/>
        </w:rPr>
        <w:t>，</w:t>
      </w:r>
      <w:r>
        <w:rPr>
          <w:rFonts w:hint="eastAsia" w:ascii="宋体" w:hAnsi="宋体" w:eastAsia="宋体" w:cs="宋体"/>
          <w:sz w:val="24"/>
        </w:rPr>
        <w:t>并出具了</w:t>
      </w:r>
      <w:r>
        <w:rPr>
          <w:rFonts w:hint="eastAsia" w:ascii="宋体" w:hAnsi="宋体" w:eastAsia="宋体" w:cs="宋体"/>
          <w:sz w:val="10"/>
        </w:rPr>
        <w:t>“</w:t>
      </w:r>
      <w:r>
        <w:rPr>
          <w:rFonts w:hint="eastAsia" w:ascii="宋体" w:hAnsi="宋体" w:eastAsia="宋体" w:cs="宋体"/>
          <w:sz w:val="24"/>
        </w:rPr>
        <w:t>致同专字（</w:t>
      </w:r>
      <w:r>
        <w:rPr>
          <w:rFonts w:hint="eastAsia" w:ascii="Times New Roman" w:hAnsi="Times New Roman" w:eastAsia="Times New Roman" w:cs="Times New Roman"/>
          <w:sz w:val="24"/>
        </w:rPr>
        <w:t>2017</w:t>
      </w:r>
      <w:r>
        <w:rPr>
          <w:rFonts w:hint="eastAsia" w:ascii="宋体" w:hAnsi="宋体" w:eastAsia="宋体" w:cs="宋体"/>
          <w:sz w:val="24"/>
        </w:rPr>
        <w:t>）第</w:t>
      </w:r>
      <w:r>
        <w:rPr>
          <w:rFonts w:hint="eastAsia" w:ascii="Times New Roman" w:hAnsi="Times New Roman" w:eastAsia="Times New Roman" w:cs="Times New Roman"/>
          <w:sz w:val="24"/>
        </w:rPr>
        <w:t xml:space="preserve"> 350ZA0227</w:t>
      </w:r>
      <w:r>
        <w:rPr>
          <w:rFonts w:hint="eastAsia" w:ascii="宋体" w:hAnsi="宋体" w:eastAsia="宋体" w:cs="宋体"/>
          <w:sz w:val="24"/>
        </w:rPr>
        <w:t xml:space="preserve"> 号</w:t>
      </w:r>
      <w:r>
        <w:rPr>
          <w:rFonts w:hint="eastAsia" w:ascii="宋体" w:hAnsi="宋体" w:eastAsia="宋体" w:cs="宋体"/>
          <w:sz w:val="10"/>
        </w:rPr>
        <w:t>”</w:t>
      </w:r>
      <w:r>
        <w:rPr>
          <w:rFonts w:hint="eastAsia" w:ascii="宋体" w:hAnsi="宋体" w:eastAsia="宋体" w:cs="宋体"/>
          <w:sz w:val="24"/>
        </w:rPr>
        <w:t>审阅报告</w:t>
      </w:r>
      <w:r>
        <w:rPr>
          <w:rFonts w:hint="eastAsia" w:ascii="宋体" w:hAnsi="宋体" w:eastAsia="宋体" w:cs="宋体"/>
          <w:sz w:val="10"/>
        </w:rPr>
        <w:t>。</w:t>
      </w:r>
      <w:r>
        <w:rPr>
          <w:rFonts w:hint="eastAsia" w:ascii="宋体" w:hAnsi="宋体" w:eastAsia="宋体" w:cs="宋体"/>
          <w:sz w:val="24"/>
        </w:rPr>
        <w:t>审阅意见如下</w:t>
      </w:r>
      <w:r>
        <w:rPr>
          <w:rFonts w:hint="eastAsia" w:ascii="宋体" w:hAnsi="宋体" w:eastAsia="宋体" w:cs="宋体"/>
          <w:sz w:val="12"/>
        </w:rPr>
        <w:t>：“</w:t>
      </w:r>
      <w:r>
        <w:rPr>
          <w:rFonts w:hint="eastAsia" w:ascii="宋体" w:hAnsi="宋体" w:eastAsia="宋体" w:cs="宋体"/>
          <w:sz w:val="24"/>
        </w:rPr>
        <w:t>根据我们的审阅</w:t>
      </w:r>
      <w:r>
        <w:rPr>
          <w:rFonts w:hint="eastAsia" w:ascii="宋体" w:hAnsi="宋体" w:eastAsia="宋体" w:cs="宋体"/>
          <w:sz w:val="10"/>
        </w:rPr>
        <w:t>，</w:t>
      </w:r>
      <w:r>
        <w:rPr>
          <w:rFonts w:hint="eastAsia" w:ascii="宋体" w:hAnsi="宋体" w:eastAsia="宋体" w:cs="宋体"/>
          <w:sz w:val="24"/>
        </w:rPr>
        <w:t>我们没有注意到任何事项使我们相信财务报表没有按照企业会计准则的规定编制</w:t>
      </w:r>
      <w:r>
        <w:rPr>
          <w:rFonts w:hint="eastAsia" w:ascii="宋体" w:hAnsi="宋体" w:eastAsia="宋体" w:cs="宋体"/>
          <w:sz w:val="10"/>
        </w:rPr>
        <w:t>，</w:t>
      </w:r>
      <w:r>
        <w:rPr>
          <w:rFonts w:hint="eastAsia" w:ascii="宋体" w:hAnsi="宋体" w:eastAsia="宋体" w:cs="宋体"/>
          <w:sz w:val="24"/>
        </w:rPr>
        <w:t>未能在所有重大方面公允反映顶点软件公司的财务状况</w:t>
      </w:r>
      <w:r>
        <w:rPr>
          <w:rFonts w:hint="eastAsia" w:ascii="宋体" w:hAnsi="宋体" w:eastAsia="宋体" w:cs="宋体"/>
          <w:sz w:val="10"/>
        </w:rPr>
        <w:t>、</w:t>
      </w:r>
      <w:r>
        <w:rPr>
          <w:rFonts w:hint="eastAsia" w:ascii="宋体" w:hAnsi="宋体" w:eastAsia="宋体" w:cs="宋体"/>
          <w:sz w:val="24"/>
        </w:rPr>
        <w:t>经营成果和现金流量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公司全体董事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高级管理人员已认真审阅了本公司上述财务报告</w:t>
      </w:r>
      <w:r>
        <w:rPr>
          <w:rFonts w:hint="eastAsia" w:ascii="宋体" w:hAnsi="宋体" w:eastAsia="宋体" w:cs="宋体"/>
          <w:sz w:val="10"/>
        </w:rPr>
        <w:t>，</w:t>
      </w:r>
      <w:r>
        <w:rPr>
          <w:rFonts w:hint="eastAsia" w:ascii="宋体" w:hAnsi="宋体" w:eastAsia="宋体" w:cs="宋体"/>
          <w:sz w:val="24"/>
        </w:rPr>
        <w:t>保证该等财务报告所载资料不存在虚假记载</w:t>
      </w:r>
      <w:r>
        <w:rPr>
          <w:rFonts w:hint="eastAsia" w:ascii="宋体" w:hAnsi="宋体" w:eastAsia="宋体" w:cs="宋体"/>
          <w:sz w:val="10"/>
        </w:rPr>
        <w:t>、</w:t>
      </w:r>
      <w:r>
        <w:rPr>
          <w:rFonts w:hint="eastAsia" w:ascii="宋体" w:hAnsi="宋体" w:eastAsia="宋体" w:cs="宋体"/>
          <w:sz w:val="24"/>
        </w:rPr>
        <w:t>误导性陈述或者重大遗漏</w:t>
      </w:r>
      <w:r>
        <w:rPr>
          <w:rFonts w:hint="eastAsia" w:ascii="宋体" w:hAnsi="宋体" w:eastAsia="宋体" w:cs="宋体"/>
          <w:sz w:val="10"/>
        </w:rPr>
        <w:t>，</w:t>
      </w:r>
      <w:r>
        <w:rPr>
          <w:rFonts w:hint="eastAsia" w:ascii="宋体" w:hAnsi="宋体" w:eastAsia="宋体" w:cs="宋体"/>
          <w:sz w:val="24"/>
        </w:rPr>
        <w:t>并对其内容的真实性</w:t>
      </w:r>
      <w:r>
        <w:rPr>
          <w:rFonts w:hint="eastAsia" w:ascii="宋体" w:hAnsi="宋体" w:eastAsia="宋体" w:cs="宋体"/>
          <w:sz w:val="10"/>
        </w:rPr>
        <w:t>、</w:t>
      </w:r>
      <w:r>
        <w:rPr>
          <w:rFonts w:hint="eastAsia" w:ascii="宋体" w:hAnsi="宋体" w:eastAsia="宋体" w:cs="宋体"/>
          <w:sz w:val="24"/>
        </w:rPr>
        <w:t>准确性及完整性承担个别及连带责任</w:t>
      </w:r>
      <w:r>
        <w:rPr>
          <w:rFonts w:hint="eastAsia" w:ascii="宋体" w:hAnsi="宋体" w:eastAsia="宋体" w:cs="宋体"/>
          <w:sz w:val="10"/>
        </w:rPr>
        <w:t>。</w:t>
      </w:r>
      <w:r>
        <w:rPr>
          <w:rFonts w:hint="eastAsia" w:ascii="宋体" w:hAnsi="宋体" w:eastAsia="宋体" w:cs="宋体"/>
          <w:sz w:val="24"/>
        </w:rPr>
        <w:t>公司负责人</w:t>
      </w:r>
      <w:r>
        <w:rPr>
          <w:rFonts w:hint="eastAsia" w:ascii="宋体" w:hAnsi="宋体" w:eastAsia="宋体" w:cs="宋体"/>
          <w:sz w:val="10"/>
        </w:rPr>
        <w:t>、</w:t>
      </w:r>
      <w:r>
        <w:rPr>
          <w:rFonts w:hint="eastAsia" w:ascii="宋体" w:hAnsi="宋体" w:eastAsia="宋体" w:cs="宋体"/>
          <w:sz w:val="24"/>
        </w:rPr>
        <w:t>主管会计工作负责人及会计机构负责人已认真审阅了本公司上述财务报告</w:t>
      </w:r>
      <w:r>
        <w:rPr>
          <w:rFonts w:hint="eastAsia" w:ascii="宋体" w:hAnsi="宋体" w:eastAsia="宋体" w:cs="宋体"/>
          <w:sz w:val="10"/>
        </w:rPr>
        <w:t>，</w:t>
      </w:r>
      <w:r>
        <w:rPr>
          <w:rFonts w:hint="eastAsia" w:ascii="宋体" w:hAnsi="宋体" w:eastAsia="宋体" w:cs="宋体"/>
          <w:sz w:val="24"/>
        </w:rPr>
        <w:t>保证该等财务报告内容真实</w:t>
      </w:r>
      <w:r>
        <w:rPr>
          <w:rFonts w:hint="eastAsia" w:ascii="宋体" w:hAnsi="宋体" w:eastAsia="宋体" w:cs="宋体"/>
          <w:sz w:val="10"/>
        </w:rPr>
        <w:t>、</w:t>
      </w:r>
      <w:r>
        <w:rPr>
          <w:rFonts w:hint="eastAsia" w:ascii="宋体" w:hAnsi="宋体" w:eastAsia="宋体" w:cs="宋体"/>
          <w:sz w:val="24"/>
        </w:rPr>
        <w:t>准确</w:t>
      </w:r>
      <w:r>
        <w:rPr>
          <w:rFonts w:hint="eastAsia" w:ascii="宋体" w:hAnsi="宋体" w:eastAsia="宋体" w:cs="宋体"/>
          <w:sz w:val="10"/>
        </w:rPr>
        <w:t>、</w:t>
      </w:r>
      <w:r>
        <w:rPr>
          <w:rFonts w:hint="eastAsia" w:ascii="宋体" w:hAnsi="宋体" w:eastAsia="宋体" w:cs="宋体"/>
          <w:sz w:val="24"/>
        </w:rPr>
        <w:t>完整</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920"/>
        <w:jc w:val="both"/>
      </w:pPr>
      <w:r>
        <w:rPr>
          <w:rFonts w:hint="eastAsia" w:ascii="宋体" w:hAnsi="宋体" w:eastAsia="宋体" w:cs="宋体"/>
          <w:b/>
          <w:sz w:val="24"/>
        </w:rPr>
        <w:t>（二）财务报告审计截止日后的主要经营情况</w:t>
      </w: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Times New Roman" w:hAnsi="Times New Roman" w:eastAsia="Times New Roman" w:cs="Times New Roman"/>
          <w:sz w:val="24"/>
        </w:rPr>
        <w:t>2017</w:t>
      </w:r>
      <w:r>
        <w:rPr>
          <w:rFonts w:hint="eastAsia" w:ascii="宋体" w:hAnsi="宋体" w:eastAsia="宋体" w:cs="宋体"/>
          <w:sz w:val="24"/>
        </w:rPr>
        <w:t xml:space="preserve"> 年第一季度</w:t>
      </w:r>
      <w:r>
        <w:rPr>
          <w:rFonts w:hint="eastAsia" w:ascii="宋体" w:hAnsi="宋体" w:eastAsia="宋体" w:cs="宋体"/>
          <w:sz w:val="10"/>
        </w:rPr>
        <w:t>，</w:t>
      </w:r>
      <w:r>
        <w:rPr>
          <w:rFonts w:hint="eastAsia" w:ascii="宋体" w:hAnsi="宋体" w:eastAsia="宋体" w:cs="宋体"/>
          <w:sz w:val="24"/>
        </w:rPr>
        <w:t>公司经营情况良好</w:t>
      </w:r>
      <w:r>
        <w:rPr>
          <w:rFonts w:hint="eastAsia" w:ascii="宋体" w:hAnsi="宋体" w:eastAsia="宋体" w:cs="宋体"/>
          <w:sz w:val="10"/>
        </w:rPr>
        <w:t>。</w:t>
      </w:r>
      <w:r>
        <w:rPr>
          <w:rFonts w:hint="eastAsia" w:ascii="宋体" w:hAnsi="宋体" w:eastAsia="宋体" w:cs="宋体"/>
          <w:sz w:val="24"/>
        </w:rPr>
        <w:t>公司经营模式</w:t>
      </w:r>
      <w:r>
        <w:rPr>
          <w:rFonts w:hint="eastAsia" w:ascii="宋体" w:hAnsi="宋体" w:eastAsia="宋体" w:cs="宋体"/>
          <w:sz w:val="10"/>
        </w:rPr>
        <w:t>、</w:t>
      </w:r>
      <w:r>
        <w:rPr>
          <w:rFonts w:hint="eastAsia" w:ascii="宋体" w:hAnsi="宋体" w:eastAsia="宋体" w:cs="宋体"/>
          <w:sz w:val="24"/>
        </w:rPr>
        <w:t>主要原材料的采购规模及采购价格</w:t>
      </w:r>
      <w:r>
        <w:rPr>
          <w:rFonts w:hint="eastAsia" w:ascii="宋体" w:hAnsi="宋体" w:eastAsia="宋体" w:cs="宋体"/>
          <w:sz w:val="10"/>
        </w:rPr>
        <w:t>、</w:t>
      </w:r>
      <w:r>
        <w:rPr>
          <w:rFonts w:hint="eastAsia" w:ascii="宋体" w:hAnsi="宋体" w:eastAsia="宋体" w:cs="宋体"/>
          <w:sz w:val="24"/>
        </w:rPr>
        <w:t>主要项目的执行情况</w:t>
      </w:r>
      <w:r>
        <w:rPr>
          <w:rFonts w:hint="eastAsia" w:ascii="宋体" w:hAnsi="宋体" w:eastAsia="宋体" w:cs="宋体"/>
          <w:sz w:val="10"/>
        </w:rPr>
        <w:t>、</w:t>
      </w:r>
      <w:r>
        <w:rPr>
          <w:rFonts w:hint="eastAsia" w:ascii="宋体" w:hAnsi="宋体" w:eastAsia="宋体" w:cs="宋体"/>
          <w:sz w:val="24"/>
        </w:rPr>
        <w:t>主要产品及服务的提供</w:t>
      </w:r>
      <w:r>
        <w:rPr>
          <w:rFonts w:hint="eastAsia" w:ascii="宋体" w:hAnsi="宋体" w:eastAsia="宋体" w:cs="宋体"/>
          <w:sz w:val="10"/>
        </w:rPr>
        <w:t>、</w:t>
      </w:r>
      <w:r>
        <w:rPr>
          <w:rFonts w:hint="eastAsia" w:ascii="宋体" w:hAnsi="宋体" w:eastAsia="宋体" w:cs="宋体"/>
          <w:sz w:val="24"/>
        </w:rPr>
        <w:t>销售规模及销售价格</w:t>
      </w:r>
      <w:r>
        <w:rPr>
          <w:rFonts w:hint="eastAsia" w:ascii="宋体" w:hAnsi="宋体" w:eastAsia="宋体" w:cs="宋体"/>
          <w:sz w:val="10"/>
        </w:rPr>
        <w:t>、</w:t>
      </w:r>
      <w:r>
        <w:rPr>
          <w:rFonts w:hint="eastAsia" w:ascii="宋体" w:hAnsi="宋体" w:eastAsia="宋体" w:cs="宋体"/>
          <w:sz w:val="24"/>
        </w:rPr>
        <w:t>主要客户及供应商的构成</w:t>
      </w:r>
      <w:r>
        <w:rPr>
          <w:rFonts w:hint="eastAsia" w:ascii="宋体" w:hAnsi="宋体" w:eastAsia="宋体" w:cs="宋体"/>
          <w:sz w:val="10"/>
        </w:rPr>
        <w:t>、</w:t>
      </w:r>
      <w:r>
        <w:rPr>
          <w:rFonts w:hint="eastAsia" w:ascii="宋体" w:hAnsi="宋体" w:eastAsia="宋体" w:cs="宋体"/>
          <w:sz w:val="24"/>
        </w:rPr>
        <w:t>税收政策及其他可能影响投资者判断的重大事项方面未发生重大变化</w:t>
      </w:r>
      <w:r>
        <w:rPr>
          <w:rFonts w:hint="eastAsia" w:ascii="宋体" w:hAnsi="宋体" w:eastAsia="宋体" w:cs="宋体"/>
          <w:sz w:val="10"/>
        </w:rPr>
        <w:t>，</w:t>
      </w:r>
      <w:r>
        <w:rPr>
          <w:rFonts w:hint="eastAsia" w:ascii="宋体" w:hAnsi="宋体" w:eastAsia="宋体" w:cs="宋体"/>
          <w:sz w:val="24"/>
        </w:rPr>
        <w:t>不存在可能影响投资者判断的重大事项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2017</w:t>
      </w:r>
      <w:r>
        <w:rPr>
          <w:rFonts w:hint="eastAsia" w:ascii="宋体" w:hAnsi="宋体" w:eastAsia="宋体" w:cs="宋体"/>
          <w:sz w:val="24"/>
        </w:rPr>
        <w:t xml:space="preserve"> 年第一季度公司主要财务数据如下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8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360"/>
        <w:gridCol w:w="2960"/>
        <w:gridCol w:w="2940"/>
      </w:tblGrid>
      <w:tr>
        <w:trPr>
          <w:trHeight w:val="580" w:hRule="exact"/>
        </w:trPr>
        <w:tc>
          <w:tcPr>
            <w:tcW w:w="3360" w:type="dxa"/>
            <w:tcMar>
              <w:top w:w="0" w:type="dxa"/>
              <w:left w:w="0" w:type="dxa"/>
              <w:bottom w:w="0" w:type="dxa"/>
              <w:right w:w="0" w:type="dxa"/>
            </w:tcMar>
          </w:tcPr>
          <w:p>
            <w:pPr>
              <w:spacing w:before="180"/>
              <w:ind w:left="1440"/>
            </w:pPr>
            <w:r>
              <w:rPr>
                <w:rFonts w:hint="eastAsia" w:ascii="宋体" w:hAnsi="宋体" w:eastAsia="宋体" w:cs="宋体"/>
                <w:b/>
                <w:sz w:val="21"/>
              </w:rPr>
              <w:t>项目</w:t>
            </w:r>
          </w:p>
        </w:tc>
        <w:tc>
          <w:tcPr>
            <w:tcW w:w="2960" w:type="dxa"/>
            <w:tcMar>
              <w:top w:w="0" w:type="dxa"/>
              <w:left w:w="0" w:type="dxa"/>
              <w:bottom w:w="0" w:type="dxa"/>
              <w:right w:w="0" w:type="dxa"/>
            </w:tcMar>
          </w:tcPr>
          <w:p>
            <w:pPr>
              <w:spacing w:before="180"/>
              <w:ind w:left="640"/>
            </w:pPr>
            <w:r>
              <w:rPr>
                <w:rFonts w:hint="eastAsia" w:ascii="Times New Roman Bold" w:hAnsi="Times New Roman Bold" w:eastAsia="Times New Roman Bold" w:cs="Times New Roman Bold"/>
                <w:b/>
                <w:sz w:val="21"/>
              </w:rPr>
              <w:t>2017</w:t>
            </w:r>
            <w:r>
              <w:rPr>
                <w:rFonts w:hint="eastAsia" w:ascii="宋体" w:hAnsi="宋体" w:eastAsia="宋体" w:cs="宋体"/>
                <w:b/>
                <w:sz w:val="21"/>
              </w:rPr>
              <w:t xml:space="preserve"> 年</w:t>
            </w:r>
            <w:r>
              <w:rPr>
                <w:rFonts w:hint="eastAsia" w:ascii="Times New Roman Bold" w:hAnsi="Times New Roman Bold" w:eastAsia="Times New Roman Bold" w:cs="Times New Roman Bold"/>
                <w:b/>
                <w:sz w:val="21"/>
              </w:rPr>
              <w:t xml:space="preserve"> 3</w:t>
            </w:r>
            <w:r>
              <w:rPr>
                <w:rFonts w:hint="eastAsia" w:ascii="宋体" w:hAnsi="宋体" w:eastAsia="宋体" w:cs="宋体"/>
                <w:b/>
                <w:sz w:val="21"/>
              </w:rPr>
              <w:t xml:space="preserve"> 月</w:t>
            </w:r>
            <w:r>
              <w:rPr>
                <w:rFonts w:hint="eastAsia" w:ascii="Times New Roman Bold" w:hAnsi="Times New Roman Bold" w:eastAsia="Times New Roman Bold" w:cs="Times New Roman Bold"/>
                <w:b/>
                <w:sz w:val="21"/>
              </w:rPr>
              <w:t xml:space="preserve"> 31</w:t>
            </w:r>
            <w:r>
              <w:rPr>
                <w:rFonts w:hint="eastAsia" w:ascii="宋体" w:hAnsi="宋体" w:eastAsia="宋体" w:cs="宋体"/>
                <w:b/>
                <w:sz w:val="21"/>
              </w:rPr>
              <w:t xml:space="preserve"> 日</w:t>
            </w:r>
          </w:p>
        </w:tc>
        <w:tc>
          <w:tcPr>
            <w:tcW w:w="2940" w:type="dxa"/>
            <w:tcMar>
              <w:top w:w="0" w:type="dxa"/>
              <w:left w:w="0" w:type="dxa"/>
              <w:bottom w:w="0" w:type="dxa"/>
              <w:right w:w="0" w:type="dxa"/>
            </w:tcMar>
          </w:tcPr>
          <w:p>
            <w:pPr>
              <w:spacing w:before="180"/>
              <w:ind w:left="5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r>
              <w:rPr>
                <w:rFonts w:hint="eastAsia" w:ascii="Times New Roman Bold" w:hAnsi="Times New Roman Bold" w:eastAsia="Times New Roman Bold" w:cs="Times New Roman Bold"/>
                <w:b/>
                <w:sz w:val="21"/>
              </w:rPr>
              <w:t xml:space="preserve"> 12</w:t>
            </w:r>
            <w:r>
              <w:rPr>
                <w:rFonts w:hint="eastAsia" w:ascii="宋体" w:hAnsi="宋体" w:eastAsia="宋体" w:cs="宋体"/>
                <w:b/>
                <w:sz w:val="21"/>
              </w:rPr>
              <w:t xml:space="preserve"> 月</w:t>
            </w:r>
            <w:r>
              <w:rPr>
                <w:rFonts w:hint="eastAsia" w:ascii="Times New Roman Bold" w:hAnsi="Times New Roman Bold" w:eastAsia="Times New Roman Bold" w:cs="Times New Roman Bold"/>
                <w:b/>
                <w:sz w:val="21"/>
              </w:rPr>
              <w:t xml:space="preserve"> 31</w:t>
            </w:r>
            <w:r>
              <w:rPr>
                <w:rFonts w:hint="eastAsia" w:ascii="宋体" w:hAnsi="宋体" w:eastAsia="宋体" w:cs="宋体"/>
                <w:b/>
                <w:sz w:val="21"/>
              </w:rPr>
              <w:t xml:space="preserve"> 日</w:t>
            </w:r>
          </w:p>
        </w:tc>
      </w:tr>
      <w:tr>
        <w:trPr>
          <w:trHeight w:val="560" w:hRule="exact"/>
        </w:trPr>
        <w:tc>
          <w:tcPr>
            <w:tcW w:w="3360" w:type="dxa"/>
            <w:tcMar>
              <w:top w:w="0" w:type="dxa"/>
              <w:left w:w="0" w:type="dxa"/>
              <w:bottom w:w="0" w:type="dxa"/>
              <w:right w:w="0" w:type="dxa"/>
            </w:tcMar>
          </w:tcPr>
          <w:p>
            <w:pPr>
              <w:spacing w:before="160"/>
              <w:ind w:left="100"/>
            </w:pPr>
            <w:r>
              <w:rPr>
                <w:rFonts w:hint="eastAsia" w:ascii="宋体" w:hAnsi="宋体" w:eastAsia="宋体" w:cs="宋体"/>
                <w:sz w:val="21"/>
              </w:rPr>
              <w:t>总资产</w:t>
            </w:r>
          </w:p>
        </w:tc>
        <w:tc>
          <w:tcPr>
            <w:tcW w:w="2960" w:type="dxa"/>
            <w:tcMar>
              <w:top w:w="0" w:type="dxa"/>
              <w:left w:w="0" w:type="dxa"/>
              <w:bottom w:w="0" w:type="dxa"/>
              <w:right w:w="0" w:type="dxa"/>
            </w:tcMar>
          </w:tcPr>
          <w:p>
            <w:pPr>
              <w:spacing w:before="220"/>
              <w:ind w:left="1980"/>
            </w:pPr>
            <w:r>
              <w:rPr>
                <w:rFonts w:hint="eastAsia" w:ascii="Times New Roman" w:hAnsi="Times New Roman" w:eastAsia="Times New Roman" w:cs="Times New Roman"/>
                <w:sz w:val="21"/>
              </w:rPr>
              <w:t>62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p>
        </w:tc>
        <w:tc>
          <w:tcPr>
            <w:tcW w:w="2940" w:type="dxa"/>
            <w:tcMar>
              <w:top w:w="0" w:type="dxa"/>
              <w:left w:w="0" w:type="dxa"/>
              <w:bottom w:w="0" w:type="dxa"/>
              <w:right w:w="0" w:type="dxa"/>
            </w:tcMar>
          </w:tcPr>
          <w:p>
            <w:pPr>
              <w:spacing w:before="220"/>
              <w:ind w:left="1980"/>
            </w:pPr>
            <w:r>
              <w:rPr>
                <w:rFonts w:hint="eastAsia" w:ascii="Times New Roman" w:hAnsi="Times New Roman" w:eastAsia="Times New Roman" w:cs="Times New Roman"/>
                <w:sz w:val="21"/>
              </w:rPr>
              <w:t>63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r>
      <w:tr>
        <w:trPr>
          <w:trHeight w:val="580" w:hRule="exact"/>
        </w:trPr>
        <w:tc>
          <w:tcPr>
            <w:tcW w:w="3360" w:type="dxa"/>
            <w:tcMar>
              <w:top w:w="0" w:type="dxa"/>
              <w:left w:w="0" w:type="dxa"/>
              <w:bottom w:w="0" w:type="dxa"/>
              <w:right w:w="0" w:type="dxa"/>
            </w:tcMar>
          </w:tcPr>
          <w:p>
            <w:pPr>
              <w:spacing w:before="180"/>
              <w:ind w:left="100"/>
            </w:pPr>
            <w:r>
              <w:rPr>
                <w:rFonts w:hint="eastAsia" w:ascii="宋体" w:hAnsi="宋体" w:eastAsia="宋体" w:cs="宋体"/>
                <w:sz w:val="21"/>
              </w:rPr>
              <w:t>所有者权益</w:t>
            </w:r>
          </w:p>
        </w:tc>
        <w:tc>
          <w:tcPr>
            <w:tcW w:w="2960" w:type="dxa"/>
            <w:tcMar>
              <w:top w:w="0" w:type="dxa"/>
              <w:left w:w="0" w:type="dxa"/>
              <w:bottom w:w="0" w:type="dxa"/>
              <w:right w:w="0" w:type="dxa"/>
            </w:tcMar>
          </w:tcPr>
          <w:p>
            <w:pPr>
              <w:spacing w:before="240"/>
              <w:ind w:left="198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743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c>
          <w:tcPr>
            <w:tcW w:w="2940" w:type="dxa"/>
            <w:tcMar>
              <w:top w:w="0" w:type="dxa"/>
              <w:left w:w="0" w:type="dxa"/>
              <w:bottom w:w="0" w:type="dxa"/>
              <w:right w:w="0" w:type="dxa"/>
            </w:tcMar>
          </w:tcPr>
          <w:p>
            <w:pPr>
              <w:spacing w:before="240"/>
              <w:ind w:left="1980"/>
            </w:pPr>
            <w:r>
              <w:rPr>
                <w:rFonts w:hint="eastAsia" w:ascii="Times New Roman" w:hAnsi="Times New Roman" w:eastAsia="Times New Roman" w:cs="Times New Roman"/>
                <w:sz w:val="21"/>
              </w:rPr>
              <w:t>47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w:t>
            </w:r>
          </w:p>
        </w:tc>
      </w:tr>
      <w:tr>
        <w:trPr>
          <w:trHeight w:val="580" w:hRule="exact"/>
        </w:trPr>
        <w:tc>
          <w:tcPr>
            <w:tcW w:w="3360" w:type="dxa"/>
            <w:tcMar>
              <w:top w:w="0" w:type="dxa"/>
              <w:left w:w="0" w:type="dxa"/>
              <w:bottom w:w="0" w:type="dxa"/>
              <w:right w:w="0" w:type="dxa"/>
            </w:tcMar>
          </w:tcPr>
          <w:p>
            <w:pPr>
              <w:spacing w:before="160"/>
              <w:ind w:left="1440"/>
            </w:pPr>
            <w:r>
              <w:rPr>
                <w:rFonts w:hint="eastAsia" w:ascii="宋体" w:hAnsi="宋体" w:eastAsia="宋体" w:cs="宋体"/>
                <w:b/>
                <w:sz w:val="21"/>
              </w:rPr>
              <w:t>项目</w:t>
            </w:r>
          </w:p>
        </w:tc>
        <w:tc>
          <w:tcPr>
            <w:tcW w:w="2960" w:type="dxa"/>
            <w:tcMar>
              <w:top w:w="0" w:type="dxa"/>
              <w:left w:w="0" w:type="dxa"/>
              <w:bottom w:w="0" w:type="dxa"/>
              <w:right w:w="0" w:type="dxa"/>
            </w:tcMar>
          </w:tcPr>
          <w:p>
            <w:pPr>
              <w:spacing w:before="160"/>
              <w:ind w:left="820"/>
            </w:pPr>
            <w:r>
              <w:rPr>
                <w:rFonts w:hint="eastAsia" w:ascii="Times New Roman Bold" w:hAnsi="Times New Roman Bold" w:eastAsia="Times New Roman Bold" w:cs="Times New Roman Bold"/>
                <w:b/>
                <w:sz w:val="21"/>
              </w:rPr>
              <w:t>2017</w:t>
            </w:r>
            <w:r>
              <w:rPr>
                <w:rFonts w:hint="eastAsia" w:ascii="宋体" w:hAnsi="宋体" w:eastAsia="宋体" w:cs="宋体"/>
                <w:b/>
                <w:sz w:val="21"/>
              </w:rPr>
              <w:t xml:space="preserve"> 年</w:t>
            </w:r>
            <w:r>
              <w:rPr>
                <w:rFonts w:hint="eastAsia" w:ascii="Times New Roman Bold" w:hAnsi="Times New Roman Bold" w:eastAsia="Times New Roman Bold" w:cs="Times New Roman Bold"/>
                <w:b/>
                <w:sz w:val="21"/>
              </w:rPr>
              <w:t xml:space="preserve"> 1-3</w:t>
            </w:r>
            <w:r>
              <w:rPr>
                <w:rFonts w:hint="eastAsia" w:ascii="宋体" w:hAnsi="宋体" w:eastAsia="宋体" w:cs="宋体"/>
                <w:b/>
                <w:sz w:val="21"/>
              </w:rPr>
              <w:t xml:space="preserve"> 月</w:t>
            </w:r>
          </w:p>
        </w:tc>
        <w:tc>
          <w:tcPr>
            <w:tcW w:w="2940" w:type="dxa"/>
            <w:tcMar>
              <w:top w:w="0" w:type="dxa"/>
              <w:left w:w="0" w:type="dxa"/>
              <w:bottom w:w="0" w:type="dxa"/>
              <w:right w:w="0" w:type="dxa"/>
            </w:tcMar>
          </w:tcPr>
          <w:p>
            <w:pPr>
              <w:spacing w:before="160"/>
              <w:ind w:left="82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r>
              <w:rPr>
                <w:rFonts w:hint="eastAsia" w:ascii="Times New Roman Bold" w:hAnsi="Times New Roman Bold" w:eastAsia="Times New Roman Bold" w:cs="Times New Roman Bold"/>
                <w:b/>
                <w:sz w:val="21"/>
              </w:rPr>
              <w:t xml:space="preserve"> 1-3</w:t>
            </w:r>
            <w:r>
              <w:rPr>
                <w:rFonts w:hint="eastAsia" w:ascii="宋体" w:hAnsi="宋体" w:eastAsia="宋体" w:cs="宋体"/>
                <w:b/>
                <w:sz w:val="21"/>
              </w:rPr>
              <w:t xml:space="preserve"> 月</w:t>
            </w:r>
          </w:p>
        </w:tc>
      </w:tr>
      <w:tr>
        <w:trPr>
          <w:trHeight w:val="580" w:hRule="exact"/>
        </w:trPr>
        <w:tc>
          <w:tcPr>
            <w:tcW w:w="3360" w:type="dxa"/>
            <w:tcMar>
              <w:top w:w="0" w:type="dxa"/>
              <w:left w:w="0" w:type="dxa"/>
              <w:bottom w:w="0" w:type="dxa"/>
              <w:right w:w="0" w:type="dxa"/>
            </w:tcMar>
          </w:tcPr>
          <w:p>
            <w:pPr>
              <w:spacing w:before="180"/>
              <w:ind w:left="100"/>
            </w:pPr>
            <w:r>
              <w:rPr>
                <w:rFonts w:hint="eastAsia" w:ascii="宋体" w:hAnsi="宋体" w:eastAsia="宋体" w:cs="宋体"/>
                <w:sz w:val="21"/>
              </w:rPr>
              <w:t>营业收入</w:t>
            </w:r>
          </w:p>
        </w:tc>
        <w:tc>
          <w:tcPr>
            <w:tcW w:w="2960" w:type="dxa"/>
            <w:tcMar>
              <w:top w:w="0" w:type="dxa"/>
              <w:left w:w="0" w:type="dxa"/>
              <w:bottom w:w="0" w:type="dxa"/>
              <w:right w:w="0" w:type="dxa"/>
            </w:tcMar>
          </w:tcPr>
          <w:p>
            <w:pPr>
              <w:spacing w:before="220"/>
              <w:ind w:left="21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c>
          <w:tcPr>
            <w:tcW w:w="2940" w:type="dxa"/>
            <w:tcMar>
              <w:top w:w="0" w:type="dxa"/>
              <w:left w:w="0" w:type="dxa"/>
              <w:bottom w:w="0" w:type="dxa"/>
              <w:right w:w="0" w:type="dxa"/>
            </w:tcMar>
          </w:tcPr>
          <w:p>
            <w:pPr>
              <w:spacing w:before="220"/>
              <w:ind w:left="208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p>
        </w:tc>
      </w:tr>
      <w:tr>
        <w:trPr>
          <w:trHeight w:val="560" w:hRule="exact"/>
        </w:trPr>
        <w:tc>
          <w:tcPr>
            <w:tcW w:w="3360" w:type="dxa"/>
            <w:tcMar>
              <w:top w:w="0" w:type="dxa"/>
              <w:left w:w="0" w:type="dxa"/>
              <w:bottom w:w="0" w:type="dxa"/>
              <w:right w:w="0" w:type="dxa"/>
            </w:tcMar>
          </w:tcPr>
          <w:p>
            <w:pPr>
              <w:spacing w:before="160"/>
              <w:ind w:left="100"/>
            </w:pPr>
            <w:r>
              <w:rPr>
                <w:rFonts w:hint="eastAsia" w:ascii="宋体" w:hAnsi="宋体" w:eastAsia="宋体" w:cs="宋体"/>
                <w:sz w:val="21"/>
              </w:rPr>
              <w:t>营业利润</w:t>
            </w:r>
          </w:p>
        </w:tc>
        <w:tc>
          <w:tcPr>
            <w:tcW w:w="2960" w:type="dxa"/>
            <w:tcMar>
              <w:top w:w="0" w:type="dxa"/>
              <w:left w:w="0" w:type="dxa"/>
              <w:bottom w:w="0" w:type="dxa"/>
              <w:right w:w="0" w:type="dxa"/>
            </w:tcMar>
          </w:tcPr>
          <w:p>
            <w:pPr>
              <w:spacing w:before="220"/>
              <w:ind w:left="2180"/>
            </w:pPr>
            <w:r>
              <w:rPr>
                <w:rFonts w:hint="eastAsia" w:ascii="Times New Roman" w:hAnsi="Times New Roman" w:eastAsia="Times New Roman" w:cs="Times New Roman"/>
                <w:sz w:val="21"/>
              </w:rPr>
              <w:t>-269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2940" w:type="dxa"/>
            <w:tcMar>
              <w:top w:w="0" w:type="dxa"/>
              <w:left w:w="0" w:type="dxa"/>
              <w:bottom w:w="0" w:type="dxa"/>
              <w:right w:w="0" w:type="dxa"/>
            </w:tcMar>
          </w:tcPr>
          <w:p>
            <w:pPr>
              <w:spacing w:before="220"/>
              <w:ind w:left="20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w:t>
            </w:r>
          </w:p>
        </w:tc>
      </w:tr>
      <w:tr>
        <w:trPr>
          <w:trHeight w:val="580" w:hRule="exact"/>
        </w:trPr>
        <w:tc>
          <w:tcPr>
            <w:tcW w:w="3360" w:type="dxa"/>
            <w:tcMar>
              <w:top w:w="0" w:type="dxa"/>
              <w:left w:w="0" w:type="dxa"/>
              <w:bottom w:w="0" w:type="dxa"/>
              <w:right w:w="0" w:type="dxa"/>
            </w:tcMar>
          </w:tcPr>
          <w:p>
            <w:pPr>
              <w:spacing w:before="180"/>
              <w:ind w:left="100"/>
            </w:pPr>
            <w:r>
              <w:rPr>
                <w:rFonts w:hint="eastAsia" w:ascii="宋体" w:hAnsi="宋体" w:eastAsia="宋体" w:cs="宋体"/>
                <w:sz w:val="21"/>
              </w:rPr>
              <w:t>利润总额</w:t>
            </w:r>
          </w:p>
        </w:tc>
        <w:tc>
          <w:tcPr>
            <w:tcW w:w="2960" w:type="dxa"/>
            <w:tcMar>
              <w:top w:w="0" w:type="dxa"/>
              <w:left w:w="0" w:type="dxa"/>
              <w:bottom w:w="0" w:type="dxa"/>
              <w:right w:w="0" w:type="dxa"/>
            </w:tcMar>
          </w:tcPr>
          <w:p>
            <w:pPr>
              <w:spacing w:before="240"/>
              <w:ind w:left="2240"/>
            </w:pPr>
            <w:r>
              <w:rPr>
                <w:rFonts w:hint="eastAsia" w:ascii="Times New Roman" w:hAnsi="Times New Roman" w:eastAsia="Times New Roman" w:cs="Times New Roman"/>
                <w:sz w:val="21"/>
              </w:rPr>
              <w:t>128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w:t>
            </w:r>
          </w:p>
        </w:tc>
        <w:tc>
          <w:tcPr>
            <w:tcW w:w="2940" w:type="dxa"/>
            <w:tcMar>
              <w:top w:w="0" w:type="dxa"/>
              <w:left w:w="0" w:type="dxa"/>
              <w:bottom w:w="0" w:type="dxa"/>
              <w:right w:w="0" w:type="dxa"/>
            </w:tcMar>
          </w:tcPr>
          <w:p>
            <w:pPr>
              <w:spacing w:before="240"/>
              <w:ind w:left="20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68</w:t>
            </w:r>
          </w:p>
        </w:tc>
      </w:tr>
      <w:tr>
        <w:trPr>
          <w:trHeight w:val="580" w:hRule="exact"/>
        </w:trPr>
        <w:tc>
          <w:tcPr>
            <w:tcW w:w="3360" w:type="dxa"/>
            <w:tcMar>
              <w:top w:w="0" w:type="dxa"/>
              <w:left w:w="0" w:type="dxa"/>
              <w:bottom w:w="0" w:type="dxa"/>
              <w:right w:w="0" w:type="dxa"/>
            </w:tcMar>
          </w:tcPr>
          <w:p>
            <w:pPr>
              <w:spacing w:before="160"/>
              <w:ind w:left="100"/>
            </w:pPr>
            <w:r>
              <w:rPr>
                <w:rFonts w:hint="eastAsia" w:ascii="宋体" w:hAnsi="宋体" w:eastAsia="宋体" w:cs="宋体"/>
                <w:sz w:val="21"/>
              </w:rPr>
              <w:t>净利润</w:t>
            </w:r>
          </w:p>
        </w:tc>
        <w:tc>
          <w:tcPr>
            <w:tcW w:w="2960" w:type="dxa"/>
            <w:tcMar>
              <w:top w:w="0" w:type="dxa"/>
              <w:left w:w="0" w:type="dxa"/>
              <w:bottom w:w="0" w:type="dxa"/>
              <w:right w:w="0" w:type="dxa"/>
            </w:tcMar>
          </w:tcPr>
          <w:p>
            <w:pPr>
              <w:spacing w:before="200"/>
              <w:ind w:left="2260"/>
            </w:pPr>
            <w:r>
              <w:rPr>
                <w:rFonts w:hint="eastAsia" w:ascii="Times New Roman" w:hAnsi="Times New Roman" w:eastAsia="Times New Roman" w:cs="Times New Roman"/>
                <w:sz w:val="21"/>
              </w:rPr>
              <w:t>102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w:t>
            </w:r>
          </w:p>
        </w:tc>
        <w:tc>
          <w:tcPr>
            <w:tcW w:w="2940" w:type="dxa"/>
            <w:tcMar>
              <w:top w:w="0" w:type="dxa"/>
              <w:left w:w="0" w:type="dxa"/>
              <w:bottom w:w="0" w:type="dxa"/>
              <w:right w:w="0" w:type="dxa"/>
            </w:tcMar>
          </w:tcPr>
          <w:p>
            <w:pPr>
              <w:spacing w:before="200"/>
              <w:ind w:left="2180"/>
            </w:pPr>
            <w:r>
              <w:rPr>
                <w:rFonts w:hint="eastAsia" w:ascii="Times New Roman" w:hAnsi="Times New Roman" w:eastAsia="Times New Roman" w:cs="Times New Roman"/>
                <w:sz w:val="21"/>
              </w:rPr>
              <w:t>-925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560" w:hRule="exact"/>
        </w:trPr>
        <w:tc>
          <w:tcPr>
            <w:tcW w:w="3360" w:type="dxa"/>
            <w:tcMar>
              <w:top w:w="0" w:type="dxa"/>
              <w:left w:w="0" w:type="dxa"/>
              <w:bottom w:w="0" w:type="dxa"/>
              <w:right w:w="0" w:type="dxa"/>
            </w:tcMar>
          </w:tcPr>
          <w:p>
            <w:pPr>
              <w:spacing w:before="160"/>
              <w:ind w:left="100"/>
            </w:pPr>
            <w:r>
              <w:rPr>
                <w:rFonts w:hint="eastAsia" w:ascii="宋体" w:hAnsi="宋体" w:eastAsia="宋体" w:cs="宋体"/>
                <w:sz w:val="21"/>
              </w:rPr>
              <w:t>归属于母公司股东的净利润</w:t>
            </w:r>
          </w:p>
        </w:tc>
        <w:tc>
          <w:tcPr>
            <w:tcW w:w="2960" w:type="dxa"/>
            <w:tcMar>
              <w:top w:w="0" w:type="dxa"/>
              <w:left w:w="0" w:type="dxa"/>
              <w:bottom w:w="0" w:type="dxa"/>
              <w:right w:w="0" w:type="dxa"/>
            </w:tcMar>
          </w:tcPr>
          <w:p>
            <w:pPr>
              <w:spacing w:before="220"/>
              <w:ind w:left="2240"/>
            </w:pPr>
            <w:r>
              <w:rPr>
                <w:rFonts w:hint="eastAsia" w:ascii="Times New Roman" w:hAnsi="Times New Roman" w:eastAsia="Times New Roman" w:cs="Times New Roman"/>
                <w:sz w:val="21"/>
              </w:rPr>
              <w:t>132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w:t>
            </w:r>
          </w:p>
        </w:tc>
        <w:tc>
          <w:tcPr>
            <w:tcW w:w="2940" w:type="dxa"/>
            <w:tcMar>
              <w:top w:w="0" w:type="dxa"/>
              <w:left w:w="0" w:type="dxa"/>
              <w:bottom w:w="0" w:type="dxa"/>
              <w:right w:w="0" w:type="dxa"/>
            </w:tcMar>
          </w:tcPr>
          <w:p>
            <w:pPr>
              <w:spacing w:before="220"/>
              <w:ind w:left="2180"/>
            </w:pPr>
            <w:r>
              <w:rPr>
                <w:rFonts w:hint="eastAsia" w:ascii="Times New Roman" w:hAnsi="Times New Roman" w:eastAsia="Times New Roman" w:cs="Times New Roman"/>
                <w:sz w:val="21"/>
              </w:rPr>
              <w:t>-865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r>
      <w:tr>
        <w:trPr>
          <w:trHeight w:val="580" w:hRule="exact"/>
        </w:trPr>
        <w:tc>
          <w:tcPr>
            <w:tcW w:w="3360" w:type="dxa"/>
            <w:tcMar>
              <w:top w:w="0" w:type="dxa"/>
              <w:left w:w="0" w:type="dxa"/>
              <w:bottom w:w="0" w:type="dxa"/>
              <w:right w:w="0" w:type="dxa"/>
            </w:tcMar>
          </w:tcPr>
          <w:p>
            <w:pPr>
              <w:spacing w:before="180"/>
              <w:ind w:left="100"/>
            </w:pPr>
            <w:r>
              <w:rPr>
                <w:rFonts w:hint="eastAsia" w:ascii="宋体" w:hAnsi="宋体" w:eastAsia="宋体" w:cs="宋体"/>
                <w:sz w:val="21"/>
              </w:rPr>
              <w:t>扣除非经常性损益后的归属于母</w:t>
            </w:r>
          </w:p>
        </w:tc>
        <w:tc>
          <w:tcPr>
            <w:tcW w:w="2960" w:type="dxa"/>
            <w:tcMar>
              <w:top w:w="0" w:type="dxa"/>
              <w:left w:w="0" w:type="dxa"/>
              <w:bottom w:w="0" w:type="dxa"/>
              <w:right w:w="0" w:type="dxa"/>
            </w:tcMar>
          </w:tcPr>
          <w:p>
            <w:pPr>
              <w:spacing w:before="240"/>
              <w:ind w:left="2360"/>
            </w:pPr>
            <w:r>
              <w:rPr>
                <w:rFonts w:hint="eastAsia" w:ascii="Times New Roman" w:hAnsi="Times New Roman" w:eastAsia="Times New Roman" w:cs="Times New Roman"/>
                <w:sz w:val="21"/>
              </w:rPr>
              <w:t>82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51</w:t>
            </w:r>
          </w:p>
        </w:tc>
        <w:tc>
          <w:tcPr>
            <w:tcW w:w="2940" w:type="dxa"/>
            <w:tcMar>
              <w:top w:w="0" w:type="dxa"/>
              <w:left w:w="0" w:type="dxa"/>
              <w:bottom w:w="0" w:type="dxa"/>
              <w:right w:w="0" w:type="dxa"/>
            </w:tcMar>
          </w:tcPr>
          <w:p>
            <w:pPr>
              <w:spacing w:before="240"/>
              <w:ind w:left="2180"/>
            </w:pPr>
            <w:r>
              <w:rPr>
                <w:rFonts w:hint="eastAsia" w:ascii="Times New Roman" w:hAnsi="Times New Roman" w:eastAsia="Times New Roman" w:cs="Times New Roman"/>
                <w:sz w:val="21"/>
              </w:rPr>
              <w:t>-865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r>
    </w:tbl>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1-1-297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3360"/>
        <w:gridCol w:w="2960"/>
        <w:gridCol w:w="2940"/>
      </w:tblGrid>
      <w:tr>
        <w:trPr>
          <w:trHeight w:val="420" w:hRule="exact"/>
        </w:trPr>
        <w:tc>
          <w:tcPr>
            <w:tcW w:w="3360" w:type="dxa"/>
            <w:tcMar>
              <w:top w:w="0" w:type="dxa"/>
              <w:left w:w="0" w:type="dxa"/>
              <w:bottom w:w="0" w:type="dxa"/>
              <w:right w:w="0" w:type="dxa"/>
            </w:tcMar>
          </w:tcPr>
          <w:p>
            <w:pPr>
              <w:spacing w:before="20"/>
              <w:ind w:left="100"/>
            </w:pPr>
            <w:r>
              <w:rPr>
                <w:rFonts w:hint="eastAsia" w:ascii="宋体" w:hAnsi="宋体" w:eastAsia="宋体" w:cs="宋体"/>
                <w:sz w:val="21"/>
              </w:rPr>
              <w:t>公司股东的净利润</w:t>
            </w:r>
          </w:p>
        </w:tc>
        <w:tc>
          <w:tcPr>
            <w:tcW w:w="2960" w:type="dxa"/>
            <w:tcMar>
              <w:top w:w="0" w:type="dxa"/>
              <w:left w:w="0" w:type="dxa"/>
              <w:bottom w:w="0" w:type="dxa"/>
              <w:right w:w="0" w:type="dxa"/>
            </w:tcMar>
          </w:tcPr>
          <w:p/>
        </w:tc>
        <w:tc>
          <w:tcPr>
            <w:tcW w:w="2940" w:type="dxa"/>
            <w:tcMar>
              <w:top w:w="0" w:type="dxa"/>
              <w:left w:w="0" w:type="dxa"/>
              <w:bottom w:w="0" w:type="dxa"/>
              <w:right w:w="0" w:type="dxa"/>
            </w:tcMar>
          </w:tcPr>
          <w:p/>
        </w:tc>
      </w:tr>
      <w:tr>
        <w:trPr>
          <w:trHeight w:val="560" w:hRule="exact"/>
        </w:trPr>
        <w:tc>
          <w:tcPr>
            <w:tcW w:w="3360" w:type="dxa"/>
            <w:tcMar>
              <w:top w:w="0" w:type="dxa"/>
              <w:left w:w="0" w:type="dxa"/>
              <w:bottom w:w="0" w:type="dxa"/>
              <w:right w:w="0" w:type="dxa"/>
            </w:tcMar>
          </w:tcPr>
          <w:p>
            <w:pPr>
              <w:spacing w:before="160"/>
              <w:ind w:left="100"/>
            </w:pPr>
            <w:r>
              <w:rPr>
                <w:rFonts w:hint="eastAsia" w:ascii="宋体" w:hAnsi="宋体" w:eastAsia="宋体" w:cs="宋体"/>
                <w:sz w:val="21"/>
              </w:rPr>
              <w:t>经营活动产生的现金流量净额</w:t>
            </w:r>
          </w:p>
        </w:tc>
        <w:tc>
          <w:tcPr>
            <w:tcW w:w="2960" w:type="dxa"/>
            <w:tcMar>
              <w:top w:w="0" w:type="dxa"/>
              <w:left w:w="0" w:type="dxa"/>
              <w:bottom w:w="0" w:type="dxa"/>
              <w:right w:w="0" w:type="dxa"/>
            </w:tcMar>
          </w:tcPr>
          <w:p>
            <w:pPr>
              <w:spacing w:before="200"/>
              <w:ind w:left="20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18</w:t>
            </w:r>
          </w:p>
        </w:tc>
        <w:tc>
          <w:tcPr>
            <w:tcW w:w="2940" w:type="dxa"/>
            <w:tcMar>
              <w:top w:w="0" w:type="dxa"/>
              <w:left w:w="0" w:type="dxa"/>
              <w:bottom w:w="0" w:type="dxa"/>
              <w:right w:w="0" w:type="dxa"/>
            </w:tcMar>
          </w:tcPr>
          <w:p>
            <w:pPr>
              <w:spacing w:before="200"/>
              <w:ind w:left="20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290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r>
    </w:tbl>
    <w:p>
      <w:pPr>
        <w:autoSpaceDE w:val="false"/>
        <w:autoSpaceDN w:val="false"/>
        <w:spacing w:line="460" w:lineRule="exact"/>
        <w:ind w:left="1440" w:right="1220" w:firstLine="480"/>
        <w:jc w:val="both"/>
      </w:pP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公司主要财务数据较去年同期表现良好</w:t>
      </w:r>
      <w:r>
        <w:rPr>
          <w:rFonts w:hint="eastAsia" w:ascii="宋体" w:hAnsi="宋体" w:eastAsia="宋体" w:cs="宋体"/>
          <w:sz w:val="10"/>
        </w:rPr>
        <w:t>。</w:t>
      </w:r>
      <w:r>
        <w:rPr>
          <w:rFonts w:hint="eastAsia" w:ascii="宋体" w:hAnsi="宋体" w:eastAsia="宋体" w:cs="宋体"/>
          <w:sz w:val="24"/>
        </w:rPr>
        <w:t>公司营业收入为</w:t>
      </w:r>
      <w:r>
        <w:rPr>
          <w:rFonts w:hint="eastAsia" w:ascii="Times New Roman" w:hAnsi="Times New Roman" w:eastAsia="Times New Roman" w:cs="Times New Roman"/>
          <w:sz w:val="24"/>
        </w:rPr>
        <w:t xml:space="preserve"> 2,754.40</w:t>
      </w:r>
      <w:r>
        <w:rPr>
          <w:rFonts w:hint="eastAsia" w:ascii="宋体" w:hAnsi="宋体" w:eastAsia="宋体" w:cs="宋体"/>
          <w:sz w:val="24"/>
        </w:rPr>
        <w:t>万元</w:t>
      </w:r>
      <w:r>
        <w:rPr>
          <w:rFonts w:hint="eastAsia" w:ascii="宋体" w:hAnsi="宋体" w:eastAsia="宋体" w:cs="宋体"/>
          <w:sz w:val="10"/>
        </w:rPr>
        <w:t>，</w:t>
      </w:r>
      <w:r>
        <w:rPr>
          <w:rFonts w:hint="eastAsia" w:ascii="宋体" w:hAnsi="宋体" w:eastAsia="宋体" w:cs="宋体"/>
          <w:sz w:val="24"/>
        </w:rPr>
        <w:t>较</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月增加</w:t>
      </w:r>
      <w:r>
        <w:rPr>
          <w:rFonts w:hint="eastAsia" w:ascii="Times New Roman" w:hAnsi="Times New Roman" w:eastAsia="Times New Roman" w:cs="Times New Roman"/>
          <w:sz w:val="24"/>
        </w:rPr>
        <w:t xml:space="preserve"> 1,062.22</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增长比率为</w:t>
      </w:r>
      <w:r>
        <w:rPr>
          <w:rFonts w:hint="eastAsia" w:ascii="Times New Roman" w:hAnsi="Times New Roman" w:eastAsia="Times New Roman" w:cs="Times New Roman"/>
          <w:sz w:val="24"/>
        </w:rPr>
        <w:t xml:space="preserve"> 62.77%</w:t>
      </w:r>
      <w:r>
        <w:rPr>
          <w:rFonts w:hint="eastAsia" w:ascii="宋体" w:hAnsi="宋体" w:eastAsia="宋体" w:cs="宋体"/>
          <w:sz w:val="12"/>
        </w:rPr>
        <w:t>；</w:t>
      </w:r>
      <w:r>
        <w:rPr>
          <w:rFonts w:hint="eastAsia" w:ascii="宋体" w:hAnsi="宋体" w:eastAsia="宋体" w:cs="宋体"/>
          <w:sz w:val="24"/>
        </w:rPr>
        <w:t>归属于母公司股东的净利润为</w:t>
      </w:r>
      <w:r>
        <w:rPr>
          <w:rFonts w:hint="eastAsia" w:ascii="Times New Roman" w:hAnsi="Times New Roman" w:eastAsia="Times New Roman" w:cs="Times New Roman"/>
          <w:sz w:val="24"/>
        </w:rPr>
        <w:t xml:space="preserve"> 132.20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月增加</w:t>
      </w:r>
      <w:r>
        <w:rPr>
          <w:rFonts w:hint="eastAsia" w:ascii="Times New Roman" w:hAnsi="Times New Roman" w:eastAsia="Times New Roman" w:cs="Times New Roman"/>
          <w:sz w:val="24"/>
        </w:rPr>
        <w:t xml:space="preserve"> 998.04</w:t>
      </w:r>
      <w:r>
        <w:rPr>
          <w:rFonts w:hint="eastAsia" w:ascii="宋体" w:hAnsi="宋体" w:eastAsia="宋体" w:cs="宋体"/>
          <w:sz w:val="24"/>
        </w:rPr>
        <w:t xml:space="preserve"> 万元</w:t>
      </w:r>
      <w:r>
        <w:rPr>
          <w:rFonts w:hint="eastAsia" w:ascii="宋体" w:hAnsi="宋体" w:eastAsia="宋体" w:cs="宋体"/>
          <w:sz w:val="12"/>
        </w:rPr>
        <w:t>；</w:t>
      </w:r>
      <w:r>
        <w:rPr>
          <w:rFonts w:hint="eastAsia" w:ascii="宋体" w:hAnsi="宋体" w:eastAsia="宋体" w:cs="宋体"/>
          <w:sz w:val="24"/>
        </w:rPr>
        <w:t>扣除非经常性损益后归属于母公司股东的净利润为</w:t>
      </w:r>
      <w:r>
        <w:rPr>
          <w:rFonts w:hint="eastAsia" w:ascii="Times New Roman" w:hAnsi="Times New Roman" w:eastAsia="Times New Roman" w:cs="Times New Roman"/>
          <w:sz w:val="24"/>
        </w:rPr>
        <w:t xml:space="preserve"> 82.51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月增加</w:t>
      </w:r>
      <w:r>
        <w:rPr>
          <w:rFonts w:hint="eastAsia" w:ascii="Times New Roman" w:hAnsi="Times New Roman" w:eastAsia="Times New Roman" w:cs="Times New Roman"/>
          <w:sz w:val="24"/>
        </w:rPr>
        <w:t xml:space="preserve"> 948.35</w:t>
      </w:r>
      <w:r>
        <w:rPr>
          <w:rFonts w:hint="eastAsia" w:ascii="宋体" w:hAnsi="宋体" w:eastAsia="宋体" w:cs="宋体"/>
          <w:sz w:val="24"/>
        </w:rPr>
        <w:t xml:space="preserve"> 万元</w:t>
      </w:r>
      <w:r>
        <w:rPr>
          <w:rFonts w:hint="eastAsia" w:ascii="宋体" w:hAnsi="宋体" w:eastAsia="宋体" w:cs="宋体"/>
          <w:sz w:val="14"/>
        </w:rPr>
        <w:t>；</w:t>
      </w:r>
      <w:r>
        <w:rPr>
          <w:rFonts w:hint="eastAsia" w:ascii="宋体" w:hAnsi="宋体" w:eastAsia="宋体" w:cs="宋体"/>
          <w:sz w:val="24"/>
        </w:rPr>
        <w:t>扣除非经常性损益合计数前后的利润总额分别为</w:t>
      </w:r>
      <w:r>
        <w:rPr>
          <w:rFonts w:hint="eastAsia" w:ascii="Times New Roman" w:hAnsi="Times New Roman" w:eastAsia="Times New Roman" w:cs="Times New Roman"/>
          <w:sz w:val="24"/>
        </w:rPr>
        <w:t xml:space="preserve"> 128.02</w:t>
      </w:r>
      <w:r>
        <w:rPr>
          <w:rFonts w:hint="eastAsia" w:ascii="宋体" w:hAnsi="宋体" w:eastAsia="宋体" w:cs="宋体"/>
          <w:sz w:val="24"/>
        </w:rPr>
        <w:t xml:space="preserve"> 万元和</w:t>
      </w:r>
      <w:r>
        <w:rPr>
          <w:rFonts w:hint="eastAsia" w:ascii="Times New Roman" w:hAnsi="Times New Roman" w:eastAsia="Times New Roman" w:cs="Times New Roman"/>
          <w:sz w:val="24"/>
        </w:rPr>
        <w:t xml:space="preserve"> 71.54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较上一年度不存在下降的情形</w:t>
      </w:r>
      <w:r>
        <w:rPr>
          <w:rFonts w:hint="eastAsia" w:ascii="宋体" w:hAnsi="宋体" w:eastAsia="宋体" w:cs="宋体"/>
          <w:sz w:val="10"/>
        </w:rPr>
        <w:t>。</w:t>
      </w:r>
      <w:r>
        <w:rPr>
          <w:rFonts w:hint="eastAsia" w:ascii="宋体" w:hAnsi="宋体" w:eastAsia="宋体" w:cs="宋体"/>
          <w:sz w:val="24"/>
        </w:rPr>
        <w:t>由于所处行业情况</w:t>
      </w:r>
      <w:r>
        <w:rPr>
          <w:rFonts w:hint="eastAsia" w:ascii="宋体" w:hAnsi="宋体" w:eastAsia="宋体" w:cs="宋体"/>
          <w:sz w:val="10"/>
        </w:rPr>
        <w:t>，</w:t>
      </w:r>
      <w:r>
        <w:rPr>
          <w:rFonts w:hint="eastAsia" w:ascii="宋体" w:hAnsi="宋体" w:eastAsia="宋体" w:cs="宋体"/>
          <w:sz w:val="24"/>
        </w:rPr>
        <w:t>公司的营业收入会根据客户的预算实施情况呈现季节性波动</w:t>
      </w:r>
      <w:r>
        <w:rPr>
          <w:rFonts w:hint="eastAsia" w:ascii="宋体" w:hAnsi="宋体" w:eastAsia="宋体" w:cs="宋体"/>
          <w:sz w:val="10"/>
        </w:rPr>
        <w:t>，</w:t>
      </w:r>
      <w:r>
        <w:rPr>
          <w:rFonts w:hint="eastAsia" w:ascii="宋体" w:hAnsi="宋体" w:eastAsia="宋体" w:cs="宋体"/>
          <w:sz w:val="24"/>
        </w:rPr>
        <w:t>即收入较为集中在第四季度</w:t>
      </w:r>
      <w:r>
        <w:rPr>
          <w:rFonts w:hint="eastAsia" w:ascii="宋体" w:hAnsi="宋体" w:eastAsia="宋体" w:cs="宋体"/>
          <w:sz w:val="10"/>
        </w:rPr>
        <w:t>，</w:t>
      </w:r>
      <w:r>
        <w:rPr>
          <w:rFonts w:hint="eastAsia" w:ascii="宋体" w:hAnsi="宋体" w:eastAsia="宋体" w:cs="宋体"/>
          <w:sz w:val="24"/>
        </w:rPr>
        <w:t>全年呈上升趋势</w:t>
      </w:r>
      <w:r>
        <w:rPr>
          <w:rFonts w:hint="eastAsia" w:ascii="宋体" w:hAnsi="宋体" w:eastAsia="宋体" w:cs="宋体"/>
          <w:sz w:val="10"/>
        </w:rPr>
        <w:t>。</w:t>
      </w:r>
      <w:r>
        <w:rPr>
          <w:rFonts w:hint="eastAsia" w:ascii="Times New Roman" w:hAnsi="Times New Roman" w:eastAsia="Times New Roman" w:cs="Times New Roman"/>
          <w:sz w:val="24"/>
        </w:rPr>
        <w:t>2017</w:t>
      </w:r>
      <w:r>
        <w:rPr>
          <w:rFonts w:hint="eastAsia" w:ascii="宋体" w:hAnsi="宋体" w:eastAsia="宋体" w:cs="宋体"/>
          <w:sz w:val="24"/>
        </w:rPr>
        <w:t xml:space="preserve"> 年第一季度公司营业收入及净利润指标较去年同期增长较多</w:t>
      </w:r>
      <w:r>
        <w:rPr>
          <w:rFonts w:hint="eastAsia" w:ascii="宋体" w:hAnsi="宋体" w:eastAsia="宋体" w:cs="宋体"/>
          <w:sz w:val="10"/>
        </w:rPr>
        <w:t>，</w:t>
      </w:r>
      <w:r>
        <w:rPr>
          <w:rFonts w:hint="eastAsia" w:ascii="宋体" w:hAnsi="宋体" w:eastAsia="宋体" w:cs="宋体"/>
          <w:sz w:val="24"/>
        </w:rPr>
        <w:t>主要由定制软件业务收入增长较快所致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公司非经常性损益情况如下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4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5500"/>
        <w:gridCol w:w="1880"/>
        <w:gridCol w:w="1880"/>
      </w:tblGrid>
      <w:tr>
        <w:trPr>
          <w:trHeight w:val="600" w:hRule="exact"/>
        </w:trPr>
        <w:tc>
          <w:tcPr>
            <w:tcW w:w="5500" w:type="dxa"/>
            <w:tcMar>
              <w:top w:w="0" w:type="dxa"/>
              <w:left w:w="0" w:type="dxa"/>
              <w:bottom w:w="0" w:type="dxa"/>
              <w:right w:w="0" w:type="dxa"/>
            </w:tcMar>
          </w:tcPr>
          <w:p>
            <w:pPr>
              <w:spacing w:before="180"/>
              <w:ind w:left="2520"/>
            </w:pPr>
            <w:r>
              <w:rPr>
                <w:rFonts w:hint="eastAsia" w:ascii="宋体" w:hAnsi="宋体" w:eastAsia="宋体" w:cs="宋体"/>
                <w:b/>
                <w:sz w:val="21"/>
              </w:rPr>
              <w:t>项目</w:t>
            </w:r>
          </w:p>
        </w:tc>
        <w:tc>
          <w:tcPr>
            <w:tcW w:w="1880" w:type="dxa"/>
            <w:tcMar>
              <w:top w:w="0" w:type="dxa"/>
              <w:left w:w="0" w:type="dxa"/>
              <w:bottom w:w="0" w:type="dxa"/>
              <w:right w:w="0" w:type="dxa"/>
            </w:tcMar>
          </w:tcPr>
          <w:p>
            <w:pPr>
              <w:spacing w:before="180"/>
              <w:ind w:left="280"/>
            </w:pPr>
            <w:r>
              <w:rPr>
                <w:rFonts w:hint="eastAsia" w:ascii="Times New Roman Bold" w:hAnsi="Times New Roman Bold" w:eastAsia="Times New Roman Bold" w:cs="Times New Roman Bold"/>
                <w:b/>
                <w:sz w:val="21"/>
              </w:rPr>
              <w:t>2017</w:t>
            </w:r>
            <w:r>
              <w:rPr>
                <w:rFonts w:hint="eastAsia" w:ascii="宋体" w:hAnsi="宋体" w:eastAsia="宋体" w:cs="宋体"/>
                <w:b/>
                <w:sz w:val="21"/>
              </w:rPr>
              <w:t xml:space="preserve"> 年</w:t>
            </w:r>
            <w:r>
              <w:rPr>
                <w:rFonts w:hint="eastAsia" w:ascii="Times New Roman Bold" w:hAnsi="Times New Roman Bold" w:eastAsia="Times New Roman Bold" w:cs="Times New Roman Bold"/>
                <w:b/>
                <w:sz w:val="21"/>
              </w:rPr>
              <w:t xml:space="preserve"> 1-3</w:t>
            </w:r>
            <w:r>
              <w:rPr>
                <w:rFonts w:hint="eastAsia" w:ascii="宋体" w:hAnsi="宋体" w:eastAsia="宋体" w:cs="宋体"/>
                <w:b/>
                <w:sz w:val="21"/>
              </w:rPr>
              <w:t xml:space="preserve"> 月</w:t>
            </w:r>
          </w:p>
        </w:tc>
        <w:tc>
          <w:tcPr>
            <w:tcW w:w="1880" w:type="dxa"/>
            <w:tcMar>
              <w:top w:w="0" w:type="dxa"/>
              <w:left w:w="0" w:type="dxa"/>
              <w:bottom w:w="0" w:type="dxa"/>
              <w:right w:w="0" w:type="dxa"/>
            </w:tcMar>
          </w:tcPr>
          <w:p>
            <w:pPr>
              <w:spacing w:before="180"/>
              <w:ind w:left="280"/>
            </w:pPr>
            <w:r>
              <w:rPr>
                <w:rFonts w:hint="eastAsia" w:ascii="Times New Roman Bold" w:hAnsi="Times New Roman Bold" w:eastAsia="Times New Roman Bold" w:cs="Times New Roman Bold"/>
                <w:b/>
                <w:sz w:val="21"/>
              </w:rPr>
              <w:t>2016</w:t>
            </w:r>
            <w:r>
              <w:rPr>
                <w:rFonts w:hint="eastAsia" w:ascii="宋体" w:hAnsi="宋体" w:eastAsia="宋体" w:cs="宋体"/>
                <w:b/>
                <w:sz w:val="21"/>
              </w:rPr>
              <w:t xml:space="preserve"> 年</w:t>
            </w:r>
            <w:r>
              <w:rPr>
                <w:rFonts w:hint="eastAsia" w:ascii="Times New Roman Bold" w:hAnsi="Times New Roman Bold" w:eastAsia="Times New Roman Bold" w:cs="Times New Roman Bold"/>
                <w:b/>
                <w:sz w:val="21"/>
              </w:rPr>
              <w:t xml:space="preserve"> 1-3</w:t>
            </w:r>
            <w:r>
              <w:rPr>
                <w:rFonts w:hint="eastAsia" w:ascii="宋体" w:hAnsi="宋体" w:eastAsia="宋体" w:cs="宋体"/>
                <w:b/>
                <w:sz w:val="21"/>
              </w:rPr>
              <w:t xml:space="preserve"> 月</w:t>
            </w:r>
          </w:p>
        </w:tc>
      </w:tr>
      <w:tr>
        <w:trPr>
          <w:trHeight w:val="1140" w:hRule="exact"/>
        </w:trPr>
        <w:tc>
          <w:tcPr>
            <w:tcW w:w="5500" w:type="dxa"/>
            <w:tcMar>
              <w:top w:w="0" w:type="dxa"/>
              <w:left w:w="0" w:type="dxa"/>
              <w:bottom w:w="0" w:type="dxa"/>
              <w:right w:w="0" w:type="dxa"/>
            </w:tcMar>
          </w:tcPr>
          <w:p>
            <w:pPr>
              <w:spacing w:before="160"/>
              <w:ind w:left="100"/>
            </w:pPr>
            <w:r>
              <w:rPr>
                <w:rFonts w:hint="eastAsia" w:ascii="宋体" w:hAnsi="宋体" w:eastAsia="宋体" w:cs="宋体"/>
                <w:sz w:val="21"/>
              </w:rPr>
              <w:t>计入当期损益的政府补助</w:t>
            </w:r>
            <w:r>
              <w:rPr>
                <w:rFonts w:hint="eastAsia" w:ascii="宋体" w:hAnsi="宋体" w:eastAsia="宋体" w:cs="宋体"/>
                <w:sz w:val="20"/>
              </w:rPr>
              <w:t>（</w:t>
            </w:r>
            <w:r>
              <w:rPr>
                <w:rFonts w:hint="eastAsia" w:ascii="宋体" w:hAnsi="宋体" w:eastAsia="宋体" w:cs="宋体"/>
                <w:sz w:val="21"/>
              </w:rPr>
              <w:t>与公司正常经营业务密切相关</w:t>
            </w:r>
            <w:r>
              <w:rPr>
                <w:rFonts w:hint="eastAsia" w:ascii="宋体" w:hAnsi="宋体" w:eastAsia="宋体" w:cs="宋体"/>
                <w:sz w:val="10"/>
              </w:rPr>
              <w:t>，</w:t>
            </w:r>
          </w:p>
          <w:p>
            <w:pPr>
              <w:spacing w:before="60"/>
              <w:ind w:left="100"/>
            </w:pPr>
            <w:r>
              <w:rPr>
                <w:rFonts w:hint="eastAsia" w:ascii="宋体" w:hAnsi="宋体" w:eastAsia="宋体" w:cs="宋体"/>
                <w:sz w:val="21"/>
              </w:rPr>
              <w:t>符合国家政策规定</w:t>
            </w:r>
            <w:r>
              <w:rPr>
                <w:rFonts w:hint="eastAsia" w:ascii="宋体" w:hAnsi="宋体" w:eastAsia="宋体" w:cs="宋体"/>
                <w:sz w:val="10"/>
              </w:rPr>
              <w:t>、</w:t>
            </w:r>
            <w:r>
              <w:rPr>
                <w:rFonts w:hint="eastAsia" w:ascii="宋体" w:hAnsi="宋体" w:eastAsia="宋体" w:cs="宋体"/>
                <w:sz w:val="21"/>
              </w:rPr>
              <w:t>按照</w:t>
            </w:r>
            <w:r>
              <w:rPr>
                <w:rFonts w:hint="eastAsia" w:ascii="宋体" w:hAnsi="宋体" w:eastAsia="宋体" w:cs="宋体"/>
                <w:sz w:val="20"/>
              </w:rPr>
              <w:t>一</w:t>
            </w:r>
            <w:r>
              <w:rPr>
                <w:rFonts w:hint="eastAsia" w:ascii="宋体" w:hAnsi="宋体" w:eastAsia="宋体" w:cs="宋体"/>
                <w:sz w:val="21"/>
              </w:rPr>
              <w:t>定标准定额或定量持续享受的</w:t>
            </w:r>
          </w:p>
          <w:p>
            <w:pPr>
              <w:spacing w:before="60"/>
              <w:ind w:left="100"/>
            </w:pPr>
            <w:r>
              <w:rPr>
                <w:rFonts w:hint="eastAsia" w:ascii="宋体" w:hAnsi="宋体" w:eastAsia="宋体" w:cs="宋体"/>
                <w:sz w:val="21"/>
              </w:rPr>
              <w:t>政府补助除外</w:t>
            </w:r>
            <w:r>
              <w:rPr>
                <w:rFonts w:hint="eastAsia" w:ascii="宋体" w:hAnsi="宋体" w:eastAsia="宋体" w:cs="宋体"/>
                <w:sz w:val="20"/>
              </w:rPr>
              <w:t>）</w:t>
            </w:r>
          </w:p>
        </w:tc>
        <w:tc>
          <w:tcPr>
            <w:tcW w:w="1880" w:type="dxa"/>
            <w:tcMar>
              <w:top w:w="0" w:type="dxa"/>
              <w:left w:w="0" w:type="dxa"/>
              <w:bottom w:w="0" w:type="dxa"/>
              <w:right w:w="0" w:type="dxa"/>
            </w:tcMar>
          </w:tcPr>
          <w:p>
            <w:pPr>
              <w:spacing w:before="500"/>
              <w:ind w:left="1280"/>
            </w:pP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1880" w:type="dxa"/>
            <w:tcMar>
              <w:top w:w="0" w:type="dxa"/>
              <w:left w:w="0" w:type="dxa"/>
              <w:bottom w:w="0" w:type="dxa"/>
              <w:right w:w="0" w:type="dxa"/>
            </w:tcMar>
          </w:tcPr>
          <w:p>
            <w:pPr>
              <w:spacing w:before="620"/>
              <w:ind w:left="1700"/>
            </w:pPr>
            <w:r>
              <w:rPr>
                <w:rFonts w:hint="eastAsia" w:ascii="Times New Roman" w:hAnsi="Times New Roman" w:eastAsia="Times New Roman" w:cs="Times New Roman"/>
                <w:sz w:val="21"/>
              </w:rPr>
              <w:t>-</w:t>
            </w:r>
          </w:p>
        </w:tc>
      </w:tr>
      <w:tr>
        <w:trPr>
          <w:trHeight w:val="600" w:hRule="exact"/>
        </w:trPr>
        <w:tc>
          <w:tcPr>
            <w:tcW w:w="5500" w:type="dxa"/>
            <w:tcMar>
              <w:top w:w="0" w:type="dxa"/>
              <w:left w:w="0" w:type="dxa"/>
              <w:bottom w:w="0" w:type="dxa"/>
              <w:right w:w="0" w:type="dxa"/>
            </w:tcMar>
          </w:tcPr>
          <w:p>
            <w:pPr>
              <w:spacing w:before="160"/>
              <w:ind w:left="100"/>
            </w:pPr>
            <w:r>
              <w:rPr>
                <w:rFonts w:hint="eastAsia" w:ascii="宋体" w:hAnsi="宋体" w:eastAsia="宋体" w:cs="宋体"/>
                <w:sz w:val="21"/>
              </w:rPr>
              <w:t>非经常性损益总额</w:t>
            </w:r>
          </w:p>
        </w:tc>
        <w:tc>
          <w:tcPr>
            <w:tcW w:w="1880" w:type="dxa"/>
            <w:tcMar>
              <w:top w:w="0" w:type="dxa"/>
              <w:left w:w="0" w:type="dxa"/>
              <w:bottom w:w="0" w:type="dxa"/>
              <w:right w:w="0" w:type="dxa"/>
            </w:tcMar>
          </w:tcPr>
          <w:p>
            <w:pPr>
              <w:spacing w:before="220"/>
              <w:ind w:left="1280"/>
            </w:pPr>
            <w:r>
              <w:rPr>
                <w:rFonts w:hint="eastAsia" w:ascii="Times New Roman" w:hAnsi="Times New Roman" w:eastAsia="Times New Roman" w:cs="Times New Roman"/>
                <w:sz w:val="21"/>
              </w:rPr>
              <w:t>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48</w:t>
            </w:r>
          </w:p>
        </w:tc>
        <w:tc>
          <w:tcPr>
            <w:tcW w:w="1880" w:type="dxa"/>
            <w:tcMar>
              <w:top w:w="0" w:type="dxa"/>
              <w:left w:w="0" w:type="dxa"/>
              <w:bottom w:w="0" w:type="dxa"/>
              <w:right w:w="0" w:type="dxa"/>
            </w:tcMar>
          </w:tcPr>
          <w:p>
            <w:pPr>
              <w:spacing w:before="340"/>
              <w:ind w:left="1700"/>
            </w:pPr>
            <w:r>
              <w:rPr>
                <w:rFonts w:hint="eastAsia" w:ascii="Times New Roman" w:hAnsi="Times New Roman" w:eastAsia="Times New Roman" w:cs="Times New Roman"/>
                <w:sz w:val="21"/>
              </w:rPr>
              <w:t>-</w:t>
            </w:r>
          </w:p>
        </w:tc>
      </w:tr>
      <w:tr>
        <w:trPr>
          <w:trHeight w:val="600" w:hRule="exact"/>
        </w:trPr>
        <w:tc>
          <w:tcPr>
            <w:tcW w:w="5500" w:type="dxa"/>
            <w:tcMar>
              <w:top w:w="0" w:type="dxa"/>
              <w:left w:w="0" w:type="dxa"/>
              <w:bottom w:w="0" w:type="dxa"/>
              <w:right w:w="0" w:type="dxa"/>
            </w:tcMar>
          </w:tcPr>
          <w:p>
            <w:pPr>
              <w:spacing w:before="160"/>
              <w:ind w:left="10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非经常性损益的所得税影响数</w:t>
            </w:r>
          </w:p>
        </w:tc>
        <w:tc>
          <w:tcPr>
            <w:tcW w:w="1880" w:type="dxa"/>
            <w:tcMar>
              <w:top w:w="0" w:type="dxa"/>
              <w:left w:w="0" w:type="dxa"/>
              <w:bottom w:w="0" w:type="dxa"/>
              <w:right w:w="0" w:type="dxa"/>
            </w:tcMar>
          </w:tcPr>
          <w:p>
            <w:pPr>
              <w:spacing w:before="220"/>
              <w:ind w:left="138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47</w:t>
            </w:r>
          </w:p>
        </w:tc>
        <w:tc>
          <w:tcPr>
            <w:tcW w:w="1880" w:type="dxa"/>
            <w:tcMar>
              <w:top w:w="0" w:type="dxa"/>
              <w:left w:w="0" w:type="dxa"/>
              <w:bottom w:w="0" w:type="dxa"/>
              <w:right w:w="0" w:type="dxa"/>
            </w:tcMar>
          </w:tcPr>
          <w:p>
            <w:pPr>
              <w:spacing w:before="340"/>
              <w:ind w:left="1700"/>
            </w:pPr>
            <w:r>
              <w:rPr>
                <w:rFonts w:hint="eastAsia" w:ascii="Times New Roman" w:hAnsi="Times New Roman" w:eastAsia="Times New Roman" w:cs="Times New Roman"/>
                <w:sz w:val="21"/>
              </w:rPr>
              <w:t>-</w:t>
            </w:r>
          </w:p>
        </w:tc>
      </w:tr>
      <w:tr>
        <w:trPr>
          <w:trHeight w:val="580" w:hRule="exact"/>
        </w:trPr>
        <w:tc>
          <w:tcPr>
            <w:tcW w:w="5500" w:type="dxa"/>
            <w:tcMar>
              <w:top w:w="0" w:type="dxa"/>
              <w:left w:w="0" w:type="dxa"/>
              <w:bottom w:w="0" w:type="dxa"/>
              <w:right w:w="0" w:type="dxa"/>
            </w:tcMar>
          </w:tcPr>
          <w:p>
            <w:pPr>
              <w:spacing w:before="160"/>
              <w:ind w:left="100"/>
            </w:pPr>
            <w:r>
              <w:rPr>
                <w:rFonts w:hint="eastAsia" w:ascii="宋体" w:hAnsi="宋体" w:eastAsia="宋体" w:cs="宋体"/>
                <w:sz w:val="21"/>
              </w:rPr>
              <w:t>非经常性损益净额</w:t>
            </w:r>
          </w:p>
        </w:tc>
        <w:tc>
          <w:tcPr>
            <w:tcW w:w="1880" w:type="dxa"/>
            <w:tcMar>
              <w:top w:w="0" w:type="dxa"/>
              <w:left w:w="0" w:type="dxa"/>
              <w:bottom w:w="0" w:type="dxa"/>
              <w:right w:w="0" w:type="dxa"/>
            </w:tcMar>
          </w:tcPr>
          <w:p>
            <w:pPr>
              <w:spacing w:before="180"/>
              <w:ind w:left="1280"/>
            </w:pPr>
            <w:r>
              <w:rPr>
                <w:rFonts w:hint="eastAsia" w:ascii="Times New Roman" w:hAnsi="Times New Roman" w:eastAsia="Times New Roman" w:cs="Times New Roman"/>
                <w:sz w:val="21"/>
              </w:rPr>
              <w:t>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880" w:type="dxa"/>
            <w:tcMar>
              <w:top w:w="0" w:type="dxa"/>
              <w:left w:w="0" w:type="dxa"/>
              <w:bottom w:w="0" w:type="dxa"/>
              <w:right w:w="0" w:type="dxa"/>
            </w:tcMar>
          </w:tcPr>
          <w:p>
            <w:pPr>
              <w:spacing w:before="320"/>
              <w:ind w:left="1700"/>
            </w:pPr>
            <w:r>
              <w:rPr>
                <w:rFonts w:hint="eastAsia" w:ascii="Times New Roman" w:hAnsi="Times New Roman" w:eastAsia="Times New Roman" w:cs="Times New Roman"/>
                <w:sz w:val="21"/>
              </w:rPr>
              <w:t>-</w:t>
            </w:r>
          </w:p>
        </w:tc>
      </w:tr>
      <w:tr>
        <w:trPr>
          <w:trHeight w:val="600" w:hRule="exact"/>
        </w:trPr>
        <w:tc>
          <w:tcPr>
            <w:tcW w:w="5500" w:type="dxa"/>
            <w:tcMar>
              <w:top w:w="0" w:type="dxa"/>
              <w:left w:w="0" w:type="dxa"/>
              <w:bottom w:w="0" w:type="dxa"/>
              <w:right w:w="0" w:type="dxa"/>
            </w:tcMar>
          </w:tcPr>
          <w:p>
            <w:pPr>
              <w:spacing w:before="180"/>
              <w:ind w:left="100"/>
            </w:pPr>
            <w:r>
              <w:rPr>
                <w:rFonts w:hint="eastAsia" w:ascii="宋体" w:hAnsi="宋体" w:eastAsia="宋体" w:cs="宋体"/>
                <w:sz w:val="21"/>
              </w:rPr>
              <w:t>减</w:t>
            </w:r>
            <w:r>
              <w:rPr>
                <w:rFonts w:hint="eastAsia" w:ascii="宋体" w:hAnsi="宋体" w:eastAsia="宋体" w:cs="宋体"/>
                <w:sz w:val="10"/>
              </w:rPr>
              <w:t>：</w:t>
            </w:r>
            <w:r>
              <w:rPr>
                <w:rFonts w:hint="eastAsia" w:ascii="宋体" w:hAnsi="宋体" w:eastAsia="宋体" w:cs="宋体"/>
                <w:sz w:val="21"/>
              </w:rPr>
              <w:t>归属于少数股东的非经常性损益净影响数</w:t>
            </w:r>
            <w:r>
              <w:rPr>
                <w:rFonts w:hint="eastAsia" w:ascii="宋体" w:hAnsi="宋体" w:eastAsia="宋体" w:cs="宋体"/>
                <w:sz w:val="20"/>
              </w:rPr>
              <w:t>（</w:t>
            </w:r>
            <w:r>
              <w:rPr>
                <w:rFonts w:hint="eastAsia" w:ascii="宋体" w:hAnsi="宋体" w:eastAsia="宋体" w:cs="宋体"/>
                <w:sz w:val="21"/>
              </w:rPr>
              <w:t>税后</w:t>
            </w:r>
            <w:r>
              <w:rPr>
                <w:rFonts w:hint="eastAsia" w:ascii="宋体" w:hAnsi="宋体" w:eastAsia="宋体" w:cs="宋体"/>
                <w:sz w:val="20"/>
              </w:rPr>
              <w:t>）</w:t>
            </w:r>
          </w:p>
        </w:tc>
        <w:tc>
          <w:tcPr>
            <w:tcW w:w="1880" w:type="dxa"/>
            <w:tcMar>
              <w:top w:w="0" w:type="dxa"/>
              <w:left w:w="0" w:type="dxa"/>
              <w:bottom w:w="0" w:type="dxa"/>
              <w:right w:w="0" w:type="dxa"/>
            </w:tcMar>
          </w:tcPr>
          <w:p>
            <w:pPr>
              <w:spacing w:before="220"/>
              <w:ind w:left="1380"/>
            </w:pPr>
            <w:r>
              <w:rPr>
                <w:rFonts w:hint="eastAsia" w:ascii="Times New Roman" w:hAnsi="Times New Roman" w:eastAsia="Times New Roman" w:cs="Times New Roman"/>
                <w:sz w:val="21"/>
              </w:rPr>
              <w:t>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31</w:t>
            </w:r>
          </w:p>
        </w:tc>
        <w:tc>
          <w:tcPr>
            <w:tcW w:w="1880" w:type="dxa"/>
            <w:tcMar>
              <w:top w:w="0" w:type="dxa"/>
              <w:left w:w="0" w:type="dxa"/>
              <w:bottom w:w="0" w:type="dxa"/>
              <w:right w:w="0" w:type="dxa"/>
            </w:tcMar>
          </w:tcPr>
          <w:p>
            <w:pPr>
              <w:spacing w:before="360"/>
              <w:ind w:left="1700"/>
            </w:pPr>
            <w:r>
              <w:rPr>
                <w:rFonts w:hint="eastAsia" w:ascii="Times New Roman" w:hAnsi="Times New Roman" w:eastAsia="Times New Roman" w:cs="Times New Roman"/>
                <w:sz w:val="21"/>
              </w:rPr>
              <w:t>-</w:t>
            </w:r>
          </w:p>
        </w:tc>
      </w:tr>
      <w:tr>
        <w:trPr>
          <w:trHeight w:val="580" w:hRule="exact"/>
        </w:trPr>
        <w:tc>
          <w:tcPr>
            <w:tcW w:w="5500" w:type="dxa"/>
            <w:tcMar>
              <w:top w:w="0" w:type="dxa"/>
              <w:left w:w="0" w:type="dxa"/>
              <w:bottom w:w="0" w:type="dxa"/>
              <w:right w:w="0" w:type="dxa"/>
            </w:tcMar>
          </w:tcPr>
          <w:p>
            <w:pPr>
              <w:spacing w:before="180"/>
              <w:ind w:left="100"/>
            </w:pPr>
            <w:r>
              <w:rPr>
                <w:rFonts w:hint="eastAsia" w:ascii="宋体" w:hAnsi="宋体" w:eastAsia="宋体" w:cs="宋体"/>
                <w:sz w:val="21"/>
              </w:rPr>
              <w:t>归属于公司普通股股东的非经常性损益</w:t>
            </w:r>
          </w:p>
        </w:tc>
        <w:tc>
          <w:tcPr>
            <w:tcW w:w="1880" w:type="dxa"/>
            <w:tcMar>
              <w:top w:w="0" w:type="dxa"/>
              <w:left w:w="0" w:type="dxa"/>
              <w:bottom w:w="0" w:type="dxa"/>
              <w:right w:w="0" w:type="dxa"/>
            </w:tcMar>
          </w:tcPr>
          <w:p>
            <w:pPr>
              <w:spacing w:before="220"/>
              <w:ind w:left="1280"/>
            </w:pPr>
            <w:r>
              <w:rPr>
                <w:rFonts w:hint="eastAsia" w:ascii="Times New Roman" w:hAnsi="Times New Roman" w:eastAsia="Times New Roman" w:cs="Times New Roman"/>
                <w:sz w:val="21"/>
              </w:rPr>
              <w:t>49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69</w:t>
            </w:r>
          </w:p>
        </w:tc>
        <w:tc>
          <w:tcPr>
            <w:tcW w:w="1880" w:type="dxa"/>
            <w:tcMar>
              <w:top w:w="0" w:type="dxa"/>
              <w:left w:w="0" w:type="dxa"/>
              <w:bottom w:w="0" w:type="dxa"/>
              <w:right w:w="0" w:type="dxa"/>
            </w:tcMar>
          </w:tcPr>
          <w:p>
            <w:pPr>
              <w:spacing w:before="340"/>
              <w:ind w:left="1700"/>
            </w:pPr>
            <w:r>
              <w:rPr>
                <w:rFonts w:hint="eastAsia" w:ascii="Times New Roman" w:hAnsi="Times New Roman" w:eastAsia="Times New Roman" w:cs="Times New Roman"/>
                <w:sz w:val="21"/>
              </w:rPr>
              <w:t>-</w:t>
            </w:r>
          </w:p>
        </w:tc>
      </w:tr>
    </w:tbl>
    <w:p>
      <w:pPr>
        <w:autoSpaceDE w:val="false"/>
        <w:autoSpaceDN w:val="false"/>
        <w:spacing w:line="460" w:lineRule="exact"/>
        <w:ind w:left="1440" w:right="1220" w:firstLine="480"/>
        <w:jc w:val="both"/>
      </w:pPr>
      <w:r>
        <w:rPr>
          <w:rFonts w:hint="eastAsia" w:ascii="宋体" w:hAnsi="宋体" w:eastAsia="宋体" w:cs="宋体"/>
          <w:sz w:val="24"/>
        </w:rPr>
        <w:t>公司根据报告期内及审计截止日后的实际经营情况</w:t>
      </w:r>
      <w:r>
        <w:rPr>
          <w:rFonts w:hint="eastAsia" w:ascii="宋体" w:hAnsi="宋体" w:eastAsia="宋体" w:cs="宋体"/>
          <w:sz w:val="10"/>
        </w:rPr>
        <w:t>、</w:t>
      </w:r>
      <w:r>
        <w:rPr>
          <w:rFonts w:hint="eastAsia" w:ascii="宋体" w:hAnsi="宋体" w:eastAsia="宋体" w:cs="宋体"/>
          <w:sz w:val="24"/>
        </w:rPr>
        <w:t>在手订单等相关信息</w:t>
      </w:r>
      <w:r>
        <w:rPr>
          <w:rFonts w:hint="eastAsia" w:ascii="宋体" w:hAnsi="宋体" w:eastAsia="宋体" w:cs="宋体"/>
          <w:sz w:val="10"/>
        </w:rPr>
        <w:t>，</w:t>
      </w:r>
      <w:r>
        <w:rPr>
          <w:rFonts w:hint="eastAsia" w:ascii="宋体" w:hAnsi="宋体" w:eastAsia="宋体" w:cs="宋体"/>
          <w:sz w:val="24"/>
        </w:rPr>
        <w:t>对</w:t>
      </w:r>
      <w:r>
        <w:rPr>
          <w:rFonts w:hint="eastAsia" w:ascii="Times New Roman" w:hAnsi="Times New Roman" w:eastAsia="Times New Roman" w:cs="Times New Roman"/>
          <w:sz w:val="24"/>
        </w:rPr>
        <w:t xml:space="preserve"> 2017</w:t>
      </w:r>
      <w:r>
        <w:rPr>
          <w:rFonts w:hint="eastAsia" w:ascii="宋体" w:hAnsi="宋体" w:eastAsia="宋体" w:cs="宋体"/>
          <w:sz w:val="24"/>
        </w:rPr>
        <w:t>年</w:t>
      </w:r>
      <w:r>
        <w:rPr>
          <w:rFonts w:hint="eastAsia" w:ascii="Times New Roman" w:hAnsi="Times New Roman" w:eastAsia="Times New Roman" w:cs="Times New Roman"/>
          <w:sz w:val="24"/>
        </w:rPr>
        <w:t>1-6</w:t>
      </w:r>
      <w:r>
        <w:rPr>
          <w:rFonts w:hint="eastAsia" w:ascii="宋体" w:hAnsi="宋体" w:eastAsia="宋体" w:cs="宋体"/>
          <w:sz w:val="24"/>
        </w:rPr>
        <w:t xml:space="preserve"> 月的业绩进行预测</w:t>
      </w:r>
      <w:r>
        <w:rPr>
          <w:rFonts w:hint="eastAsia" w:ascii="宋体" w:hAnsi="宋体" w:eastAsia="宋体" w:cs="宋体"/>
          <w:sz w:val="10"/>
        </w:rPr>
        <w:t>。</w:t>
      </w:r>
      <w:r>
        <w:rPr>
          <w:rFonts w:hint="eastAsia" w:ascii="宋体" w:hAnsi="宋体" w:eastAsia="宋体" w:cs="宋体"/>
          <w:sz w:val="24"/>
        </w:rPr>
        <w:t>业绩预测基于软件及证券行业发展情况不存在重大变化</w:t>
      </w:r>
      <w:r>
        <w:rPr>
          <w:rFonts w:hint="eastAsia" w:ascii="宋体" w:hAnsi="宋体" w:eastAsia="宋体" w:cs="宋体"/>
          <w:sz w:val="10"/>
        </w:rPr>
        <w:t>、</w:t>
      </w:r>
      <w:r>
        <w:rPr>
          <w:rFonts w:hint="eastAsia" w:ascii="宋体" w:hAnsi="宋体" w:eastAsia="宋体" w:cs="宋体"/>
          <w:sz w:val="24"/>
        </w:rPr>
        <w:t>行业及财税政策不存在重大变化且公司生产经营情况相对稳定的假设开展</w:t>
      </w:r>
      <w:r>
        <w:rPr>
          <w:rFonts w:hint="eastAsia" w:ascii="宋体" w:hAnsi="宋体" w:eastAsia="宋体" w:cs="宋体"/>
          <w:sz w:val="10"/>
        </w:rPr>
        <w:t>，</w:t>
      </w:r>
      <w:r>
        <w:rPr>
          <w:rFonts w:hint="eastAsia" w:ascii="宋体" w:hAnsi="宋体" w:eastAsia="宋体" w:cs="宋体"/>
          <w:sz w:val="24"/>
        </w:rPr>
        <w:t>预计</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1-6</w:t>
      </w:r>
      <w:r>
        <w:rPr>
          <w:rFonts w:hint="eastAsia" w:ascii="宋体" w:hAnsi="宋体" w:eastAsia="宋体" w:cs="宋体"/>
          <w:sz w:val="24"/>
        </w:rPr>
        <w:t xml:space="preserve"> 月的财务数据情况如下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公司预计</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1-6</w:t>
      </w:r>
      <w:r>
        <w:rPr>
          <w:rFonts w:hint="eastAsia" w:ascii="宋体" w:hAnsi="宋体" w:eastAsia="宋体" w:cs="宋体"/>
          <w:sz w:val="24"/>
        </w:rPr>
        <w:t xml:space="preserve"> 月经营情况稳定</w:t>
      </w:r>
      <w:r>
        <w:rPr>
          <w:rFonts w:hint="eastAsia" w:ascii="宋体" w:hAnsi="宋体" w:eastAsia="宋体" w:cs="宋体"/>
          <w:sz w:val="10"/>
        </w:rPr>
        <w:t>，</w:t>
      </w:r>
      <w:r>
        <w:rPr>
          <w:rFonts w:hint="eastAsia" w:ascii="宋体" w:hAnsi="宋体" w:eastAsia="宋体" w:cs="宋体"/>
          <w:sz w:val="24"/>
        </w:rPr>
        <w:t>营业收入预计为</w:t>
      </w:r>
      <w:r>
        <w:rPr>
          <w:rFonts w:hint="eastAsia" w:ascii="Times New Roman" w:hAnsi="Times New Roman" w:eastAsia="Times New Roman" w:cs="Times New Roman"/>
          <w:sz w:val="24"/>
        </w:rPr>
        <w:t xml:space="preserve"> 8,686.02</w:t>
      </w:r>
      <w:r>
        <w:rPr>
          <w:rFonts w:hint="eastAsia" w:ascii="宋体" w:hAnsi="宋体" w:eastAsia="宋体" w:cs="宋体"/>
          <w:sz w:val="24"/>
        </w:rPr>
        <w:t xml:space="preserve"> 万元至</w:t>
      </w:r>
      <w:r>
        <w:rPr>
          <w:rFonts w:hint="eastAsia" w:ascii="Times New Roman" w:hAnsi="Times New Roman" w:eastAsia="Times New Roman" w:cs="Times New Roman"/>
          <w:sz w:val="24"/>
        </w:rPr>
        <w:t xml:space="preserve"> 10,265.29</w:t>
      </w:r>
      <w:r>
        <w:rPr>
          <w:rFonts w:hint="eastAsia" w:ascii="宋体" w:hAnsi="宋体" w:eastAsia="宋体" w:cs="宋体"/>
          <w:sz w:val="24"/>
        </w:rPr>
        <w:t>万元</w:t>
      </w:r>
      <w:r>
        <w:rPr>
          <w:rFonts w:hint="eastAsia" w:ascii="宋体" w:hAnsi="宋体" w:eastAsia="宋体" w:cs="宋体"/>
          <w:sz w:val="10"/>
        </w:rPr>
        <w:t>，</w:t>
      </w:r>
      <w:r>
        <w:rPr>
          <w:rFonts w:hint="eastAsia" w:ascii="宋体" w:hAnsi="宋体" w:eastAsia="宋体" w:cs="宋体"/>
          <w:sz w:val="24"/>
        </w:rPr>
        <w:t>较去年同期增长</w:t>
      </w:r>
      <w:r>
        <w:rPr>
          <w:rFonts w:hint="eastAsia" w:ascii="Times New Roman" w:hAnsi="Times New Roman" w:eastAsia="Times New Roman" w:cs="Times New Roman"/>
          <w:sz w:val="24"/>
        </w:rPr>
        <w:t xml:space="preserve"> 10%</w:t>
      </w:r>
      <w:r>
        <w:rPr>
          <w:rFonts w:hint="eastAsia" w:ascii="宋体" w:hAnsi="宋体" w:eastAsia="宋体" w:cs="宋体"/>
          <w:sz w:val="24"/>
        </w:rPr>
        <w:t>至</w:t>
      </w:r>
      <w:r>
        <w:rPr>
          <w:rFonts w:hint="eastAsia" w:ascii="Times New Roman" w:hAnsi="Times New Roman" w:eastAsia="Times New Roman" w:cs="Times New Roman"/>
          <w:sz w:val="24"/>
        </w:rPr>
        <w:t xml:space="preserve"> 30%</w:t>
      </w:r>
      <w:r>
        <w:rPr>
          <w:rFonts w:hint="eastAsia" w:ascii="宋体" w:hAnsi="宋体" w:eastAsia="宋体" w:cs="宋体"/>
          <w:sz w:val="12"/>
        </w:rPr>
        <w:t>；</w:t>
      </w:r>
      <w:r>
        <w:rPr>
          <w:rFonts w:hint="eastAsia" w:ascii="宋体" w:hAnsi="宋体" w:eastAsia="宋体" w:cs="宋体"/>
          <w:sz w:val="24"/>
        </w:rPr>
        <w:t>净利润预计为</w:t>
      </w:r>
      <w:r>
        <w:rPr>
          <w:rFonts w:hint="eastAsia" w:ascii="Times New Roman" w:hAnsi="Times New Roman" w:eastAsia="Times New Roman" w:cs="Times New Roman"/>
          <w:sz w:val="24"/>
        </w:rPr>
        <w:t xml:space="preserve"> 2,168.21</w:t>
      </w:r>
      <w:r>
        <w:rPr>
          <w:rFonts w:hint="eastAsia" w:ascii="宋体" w:hAnsi="宋体" w:eastAsia="宋体" w:cs="宋体"/>
          <w:sz w:val="24"/>
        </w:rPr>
        <w:t xml:space="preserve"> 万元至</w:t>
      </w:r>
      <w:r>
        <w:rPr>
          <w:rFonts w:hint="eastAsia" w:ascii="Times New Roman" w:hAnsi="Times New Roman" w:eastAsia="Times New Roman" w:cs="Times New Roman"/>
          <w:sz w:val="24"/>
        </w:rPr>
        <w:t xml:space="preserve"> 2,759.54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较去</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1-1-298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60"/>
        <w:jc w:val="both"/>
      </w:pPr>
      <w:r>
        <w:rPr>
          <w:rFonts w:hint="eastAsia" w:ascii="宋体" w:hAnsi="宋体" w:eastAsia="宋体" w:cs="宋体"/>
          <w:sz w:val="24"/>
        </w:rPr>
        <w:t>年同期增长</w:t>
      </w:r>
      <w:r>
        <w:rPr>
          <w:rFonts w:hint="eastAsia" w:ascii="Times New Roman" w:hAnsi="Times New Roman" w:eastAsia="Times New Roman" w:cs="Times New Roman"/>
          <w:sz w:val="24"/>
        </w:rPr>
        <w:t xml:space="preserve"> 10%</w:t>
      </w:r>
      <w:r>
        <w:rPr>
          <w:rFonts w:hint="eastAsia" w:ascii="宋体" w:hAnsi="宋体" w:eastAsia="宋体" w:cs="宋体"/>
          <w:sz w:val="24"/>
        </w:rPr>
        <w:t>至</w:t>
      </w:r>
      <w:r>
        <w:rPr>
          <w:rFonts w:hint="eastAsia" w:ascii="Times New Roman" w:hAnsi="Times New Roman" w:eastAsia="Times New Roman" w:cs="Times New Roman"/>
          <w:sz w:val="24"/>
        </w:rPr>
        <w:t xml:space="preserve"> 40%</w:t>
      </w:r>
      <w:r>
        <w:rPr>
          <w:rFonts w:hint="eastAsia" w:ascii="宋体" w:hAnsi="宋体" w:eastAsia="宋体" w:cs="宋体"/>
          <w:sz w:val="10"/>
        </w:rPr>
        <w:t>。</w:t>
      </w:r>
      <w:r>
        <w:rPr>
          <w:rFonts w:hint="eastAsia" w:ascii="宋体" w:hAnsi="宋体" w:eastAsia="宋体" w:cs="宋体"/>
          <w:sz w:val="24"/>
        </w:rPr>
        <w:t>公司预计</w:t>
      </w:r>
      <w:r>
        <w:rPr>
          <w:rFonts w:hint="eastAsia" w:ascii="Times New Roman" w:hAnsi="Times New Roman" w:eastAsia="Times New Roman" w:cs="Times New Roman"/>
          <w:sz w:val="24"/>
        </w:rPr>
        <w:t xml:space="preserve"> 2017</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1-6</w:t>
      </w:r>
      <w:r>
        <w:rPr>
          <w:rFonts w:hint="eastAsia" w:ascii="宋体" w:hAnsi="宋体" w:eastAsia="宋体" w:cs="宋体"/>
          <w:sz w:val="24"/>
        </w:rPr>
        <w:t xml:space="preserve"> 月经营业绩不存在同比大幅下降的情形</w:t>
      </w:r>
      <w:r>
        <w:rPr>
          <w:rFonts w:hint="eastAsia" w:ascii="宋体" w:hAnsi="宋体" w:eastAsia="宋体" w:cs="宋体"/>
          <w:sz w:val="10"/>
        </w:rPr>
        <w:t>，</w:t>
      </w:r>
      <w:r>
        <w:rPr>
          <w:rFonts w:hint="eastAsia" w:ascii="宋体" w:hAnsi="宋体" w:eastAsia="宋体" w:cs="宋体"/>
          <w:sz w:val="24"/>
        </w:rPr>
        <w:t>净利润以及扣除非经常性损益后孰低的净利润不会发生重大变动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1-1-299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4300"/>
        <w:jc w:val="both"/>
      </w:pPr>
      <w:r>
        <w:rPr>
          <w:rFonts w:hint="eastAsia" w:ascii="ºÚÌå" w:hAnsi="ºÚÌå" w:eastAsia="ºÚÌå" w:cs="ºÚÌå"/>
          <w:b/>
          <w:sz w:val="36"/>
        </w:rPr>
        <w:t>第十二节</w:t>
      </w:r>
      <w:r>
        <w:rPr>
          <w:rFonts w:hint="eastAsia" w:ascii="ºÚÌå" w:hAnsi="ºÚÌå" w:eastAsia="ºÚÌå" w:cs="ºÚÌå"/>
          <w:b/>
          <w:sz w:val="36"/>
        </w:rPr>
        <w:t xml:space="preserve"> </w:t>
      </w:r>
      <w:r>
        <w:rPr>
          <w:rFonts w:hint="eastAsia" w:ascii="ºÚÌå" w:hAnsi="ºÚÌå" w:eastAsia="ºÚÌå" w:cs="ºÚÌå"/>
          <w:b/>
          <w:sz w:val="36"/>
        </w:rPr>
        <w:t>业务发展目标</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6"/>
        </w:rPr>
        <w:t>一、</w:t>
      </w:r>
      <w:r>
        <w:rPr>
          <w:rFonts w:hint="eastAsia" w:ascii="ºÚÌå" w:hAnsi="ºÚÌå" w:eastAsia="ºÚÌå" w:cs="ºÚÌå"/>
          <w:sz w:val="30"/>
        </w:rPr>
        <w:t>公司发展规划及目标</w:t>
      </w:r>
    </w:p>
    <w:p>
      <w:pPr>
        <w:spacing w:line="200" w:lineRule="exact"/>
        <w:rPr>
          <w:rFonts w:hint="eastAsia" w:ascii="宋体" w:hAnsi="宋体" w:eastAsia="宋体" w:cs="宋体"/>
          <w:sz w:val="20"/>
        </w:rPr>
      </w:pPr>
    </w:p>
    <w:p>
      <w:pPr>
        <w:autoSpaceDE w:val="false"/>
        <w:autoSpaceDN w:val="false"/>
        <w:spacing w:line="440" w:lineRule="exact"/>
        <w:ind w:left="1440"/>
        <w:jc w:val="both"/>
      </w:pPr>
      <w:r>
        <w:rPr>
          <w:rFonts w:hint="eastAsia" w:ascii="宋体" w:hAnsi="宋体" w:eastAsia="宋体" w:cs="宋体"/>
          <w:b/>
          <w:sz w:val="30"/>
        </w:rPr>
        <w:t>（一）</w:t>
      </w:r>
      <w:r>
        <w:rPr>
          <w:rFonts w:hint="eastAsia" w:ascii="宋体" w:hAnsi="宋体" w:eastAsia="宋体" w:cs="宋体"/>
          <w:b/>
          <w:sz w:val="24"/>
        </w:rPr>
        <w:t>公司发展战略</w:t>
      </w:r>
    </w:p>
    <w:p>
      <w:pPr>
        <w:spacing w:line="200" w:lineRule="exact"/>
        <w:rPr>
          <w:rFonts w:hint="eastAsia" w:ascii="宋体" w:hAnsi="宋体" w:eastAsia="宋体" w:cs="宋体"/>
          <w:sz w:val="20"/>
        </w:rPr>
      </w:pPr>
    </w:p>
    <w:p>
      <w:pPr>
        <w:autoSpaceDE w:val="false"/>
        <w:autoSpaceDN w:val="false"/>
        <w:spacing w:line="460" w:lineRule="exact"/>
        <w:ind w:left="1440" w:right="1200" w:firstLine="560"/>
        <w:jc w:val="both"/>
      </w:pPr>
      <w:r>
        <w:rPr>
          <w:rFonts w:hint="eastAsia" w:ascii="宋体" w:hAnsi="宋体" w:eastAsia="宋体" w:cs="宋体"/>
          <w:sz w:val="24"/>
        </w:rPr>
        <w:t>公司以</w:t>
      </w:r>
      <w:r>
        <w:rPr>
          <w:rFonts w:hint="eastAsia" w:ascii="宋体" w:hAnsi="宋体" w:eastAsia="宋体" w:cs="宋体"/>
          <w:sz w:val="10"/>
        </w:rPr>
        <w:t>“</w:t>
      </w:r>
      <w:r>
        <w:rPr>
          <w:rFonts w:hint="eastAsia" w:ascii="宋体" w:hAnsi="宋体" w:eastAsia="宋体" w:cs="宋体"/>
          <w:sz w:val="24"/>
        </w:rPr>
        <w:t>软件科技超越客户梦想</w:t>
      </w:r>
      <w:r>
        <w:rPr>
          <w:rFonts w:hint="eastAsia" w:ascii="宋体" w:hAnsi="宋体" w:eastAsia="宋体" w:cs="宋体"/>
          <w:sz w:val="10"/>
        </w:rPr>
        <w:t>”</w:t>
      </w:r>
      <w:r>
        <w:rPr>
          <w:rFonts w:hint="eastAsia" w:ascii="宋体" w:hAnsi="宋体" w:eastAsia="宋体" w:cs="宋体"/>
          <w:sz w:val="24"/>
        </w:rPr>
        <w:t>的企业理念</w:t>
      </w:r>
      <w:r>
        <w:rPr>
          <w:rFonts w:hint="eastAsia" w:ascii="宋体" w:hAnsi="宋体" w:eastAsia="宋体" w:cs="宋体"/>
          <w:sz w:val="10"/>
        </w:rPr>
        <w:t>，</w:t>
      </w:r>
      <w:r>
        <w:rPr>
          <w:rFonts w:hint="eastAsia" w:ascii="宋体" w:hAnsi="宋体" w:eastAsia="宋体" w:cs="宋体"/>
          <w:sz w:val="24"/>
        </w:rPr>
        <w:t>采用创新的灵动业务架构平台（</w:t>
      </w:r>
      <w:r>
        <w:rPr>
          <w:rFonts w:hint="eastAsia" w:ascii="Times New Roman" w:hAnsi="Times New Roman" w:eastAsia="Times New Roman" w:cs="Times New Roman"/>
          <w:sz w:val="24"/>
        </w:rPr>
        <w:t>LiveBOS</w:t>
      </w:r>
      <w:r>
        <w:rPr>
          <w:rFonts w:hint="eastAsia" w:ascii="宋体" w:hAnsi="宋体" w:eastAsia="宋体" w:cs="宋体"/>
          <w:sz w:val="24"/>
        </w:rPr>
        <w:t>）与创新的软件开发模式</w:t>
      </w:r>
      <w:r>
        <w:rPr>
          <w:rFonts w:hint="eastAsia" w:ascii="宋体" w:hAnsi="宋体" w:eastAsia="宋体" w:cs="宋体"/>
          <w:sz w:val="10"/>
        </w:rPr>
        <w:t>，</w:t>
      </w:r>
      <w:r>
        <w:rPr>
          <w:rFonts w:hint="eastAsia" w:ascii="宋体" w:hAnsi="宋体" w:eastAsia="宋体" w:cs="宋体"/>
          <w:sz w:val="24"/>
        </w:rPr>
        <w:t>实施平台扩张战略</w:t>
      </w:r>
      <w:r>
        <w:rPr>
          <w:rFonts w:hint="eastAsia" w:ascii="宋体" w:hAnsi="宋体" w:eastAsia="宋体" w:cs="宋体"/>
          <w:sz w:val="10"/>
        </w:rPr>
        <w:t>，</w:t>
      </w:r>
      <w:r>
        <w:rPr>
          <w:rFonts w:hint="eastAsia" w:ascii="宋体" w:hAnsi="宋体" w:eastAsia="宋体" w:cs="宋体"/>
          <w:sz w:val="24"/>
        </w:rPr>
        <w:t>将公司的业务重点聚焦于证券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信托</w:t>
      </w:r>
      <w:r>
        <w:rPr>
          <w:rFonts w:hint="eastAsia" w:ascii="宋体" w:hAnsi="宋体" w:eastAsia="宋体" w:cs="宋体"/>
          <w:sz w:val="10"/>
        </w:rPr>
        <w:t>、</w:t>
      </w:r>
      <w:r>
        <w:rPr>
          <w:rFonts w:hint="eastAsia" w:ascii="宋体" w:hAnsi="宋体" w:eastAsia="宋体" w:cs="宋体"/>
          <w:sz w:val="24"/>
        </w:rPr>
        <w:t>中小银行和电子交易市场为主的大金融</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行业</w:t>
      </w:r>
      <w:r>
        <w:rPr>
          <w:rFonts w:hint="eastAsia" w:ascii="宋体" w:hAnsi="宋体" w:eastAsia="宋体" w:cs="宋体"/>
          <w:sz w:val="10"/>
        </w:rPr>
        <w:t>，</w:t>
      </w:r>
      <w:r>
        <w:rPr>
          <w:rFonts w:hint="eastAsia" w:ascii="宋体" w:hAnsi="宋体" w:eastAsia="宋体" w:cs="宋体"/>
          <w:sz w:val="24"/>
        </w:rPr>
        <w:t>同时兼顾发展企业与教育行业</w:t>
      </w:r>
      <w:r>
        <w:rPr>
          <w:rFonts w:hint="eastAsia" w:ascii="宋体" w:hAnsi="宋体" w:eastAsia="宋体" w:cs="宋体"/>
          <w:sz w:val="10"/>
        </w:rPr>
        <w:t>，</w:t>
      </w:r>
      <w:r>
        <w:rPr>
          <w:rFonts w:hint="eastAsia" w:ascii="宋体" w:hAnsi="宋体" w:eastAsia="宋体" w:cs="宋体"/>
          <w:sz w:val="24"/>
        </w:rPr>
        <w:t>努力成为这些客户</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战略的全面</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解决方案提供商</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积极探索以云计算为基础</w:t>
      </w:r>
      <w:r>
        <w:rPr>
          <w:rFonts w:hint="eastAsia" w:ascii="宋体" w:hAnsi="宋体" w:eastAsia="宋体" w:cs="宋体"/>
          <w:sz w:val="10"/>
        </w:rPr>
        <w:t>，</w:t>
      </w:r>
      <w:r>
        <w:rPr>
          <w:rFonts w:hint="eastAsia" w:ascii="宋体" w:hAnsi="宋体" w:eastAsia="宋体" w:cs="宋体"/>
          <w:sz w:val="24"/>
        </w:rPr>
        <w:t>建立面向行业的平台型</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系统</w:t>
      </w:r>
      <w:r>
        <w:rPr>
          <w:rFonts w:hint="eastAsia" w:ascii="宋体" w:hAnsi="宋体" w:eastAsia="宋体" w:cs="宋体"/>
          <w:sz w:val="10"/>
        </w:rPr>
        <w:t>，</w:t>
      </w:r>
      <w:r>
        <w:rPr>
          <w:rFonts w:hint="eastAsia" w:ascii="宋体" w:hAnsi="宋体" w:eastAsia="宋体" w:cs="宋体"/>
          <w:sz w:val="24"/>
        </w:rPr>
        <w:t>巩固并提升公司的行业影响力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jc w:val="both"/>
      </w:pPr>
      <w:r>
        <w:rPr>
          <w:rFonts w:hint="eastAsia" w:ascii="宋体" w:hAnsi="宋体" w:eastAsia="宋体" w:cs="宋体"/>
          <w:b/>
          <w:sz w:val="24"/>
        </w:rPr>
        <w:t>（二）公司业务发展目标</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公司将以上市筹资为契机</w:t>
      </w:r>
      <w:r>
        <w:rPr>
          <w:rFonts w:hint="eastAsia" w:ascii="宋体" w:hAnsi="宋体" w:eastAsia="宋体" w:cs="宋体"/>
          <w:sz w:val="10"/>
        </w:rPr>
        <w:t>，</w:t>
      </w:r>
      <w:r>
        <w:rPr>
          <w:rFonts w:hint="eastAsia" w:ascii="宋体" w:hAnsi="宋体" w:eastAsia="宋体" w:cs="宋体"/>
          <w:sz w:val="24"/>
        </w:rPr>
        <w:t>大量招聘高端的业务技术与营销人才</w:t>
      </w:r>
      <w:r>
        <w:rPr>
          <w:rFonts w:hint="eastAsia" w:ascii="宋体" w:hAnsi="宋体" w:eastAsia="宋体" w:cs="宋体"/>
          <w:sz w:val="10"/>
        </w:rPr>
        <w:t>，</w:t>
      </w:r>
      <w:r>
        <w:rPr>
          <w:rFonts w:hint="eastAsia" w:ascii="宋体" w:hAnsi="宋体" w:eastAsia="宋体" w:cs="宋体"/>
          <w:sz w:val="24"/>
        </w:rPr>
        <w:t>大力整合公司资源</w:t>
      </w:r>
      <w:r>
        <w:rPr>
          <w:rFonts w:hint="eastAsia" w:ascii="宋体" w:hAnsi="宋体" w:eastAsia="宋体" w:cs="宋体"/>
          <w:sz w:val="10"/>
        </w:rPr>
        <w:t>，</w:t>
      </w:r>
      <w:r>
        <w:rPr>
          <w:rFonts w:hint="eastAsia" w:ascii="宋体" w:hAnsi="宋体" w:eastAsia="宋体" w:cs="宋体"/>
          <w:sz w:val="24"/>
        </w:rPr>
        <w:t>不断充实</w:t>
      </w:r>
      <w:r>
        <w:rPr>
          <w:rFonts w:hint="eastAsia" w:ascii="宋体" w:hAnsi="宋体" w:eastAsia="宋体" w:cs="宋体"/>
          <w:sz w:val="10"/>
        </w:rPr>
        <w:t>、</w:t>
      </w:r>
      <w:r>
        <w:rPr>
          <w:rFonts w:hint="eastAsia" w:ascii="宋体" w:hAnsi="宋体" w:eastAsia="宋体" w:cs="宋体"/>
          <w:sz w:val="24"/>
        </w:rPr>
        <w:t>完善以</w:t>
      </w:r>
      <w:r>
        <w:rPr>
          <w:rFonts w:hint="eastAsia" w:ascii="宋体" w:hAnsi="宋体" w:eastAsia="宋体" w:cs="宋体"/>
          <w:sz w:val="10"/>
        </w:rPr>
        <w:t>“</w:t>
      </w:r>
      <w:r>
        <w:rPr>
          <w:rFonts w:hint="eastAsia" w:ascii="宋体" w:hAnsi="宋体" w:eastAsia="宋体" w:cs="宋体"/>
          <w:sz w:val="24"/>
        </w:rPr>
        <w:t>研发</w:t>
      </w:r>
      <w:r>
        <w:rPr>
          <w:rFonts w:hint="eastAsia" w:ascii="宋体" w:hAnsi="宋体" w:eastAsia="宋体" w:cs="宋体"/>
          <w:sz w:val="10"/>
        </w:rPr>
        <w:t>、</w:t>
      </w:r>
      <w:r>
        <w:rPr>
          <w:rFonts w:hint="eastAsia" w:ascii="宋体" w:hAnsi="宋体" w:eastAsia="宋体" w:cs="宋体"/>
          <w:sz w:val="24"/>
        </w:rPr>
        <w:t>市场和服务</w:t>
      </w:r>
      <w:r>
        <w:rPr>
          <w:rFonts w:hint="eastAsia" w:ascii="宋体" w:hAnsi="宋体" w:eastAsia="宋体" w:cs="宋体"/>
          <w:sz w:val="10"/>
        </w:rPr>
        <w:t>”</w:t>
      </w:r>
      <w:r>
        <w:rPr>
          <w:rFonts w:hint="eastAsia" w:ascii="宋体" w:hAnsi="宋体" w:eastAsia="宋体" w:cs="宋体"/>
          <w:sz w:val="24"/>
        </w:rPr>
        <w:t>为核心的业务架构</w:t>
      </w:r>
      <w:r>
        <w:rPr>
          <w:rFonts w:hint="eastAsia" w:ascii="宋体" w:hAnsi="宋体" w:eastAsia="宋体" w:cs="宋体"/>
          <w:sz w:val="10"/>
        </w:rPr>
        <w:t>，</w:t>
      </w:r>
      <w:r>
        <w:rPr>
          <w:rFonts w:hint="eastAsia" w:ascii="宋体" w:hAnsi="宋体" w:eastAsia="宋体" w:cs="宋体"/>
          <w:sz w:val="24"/>
        </w:rPr>
        <w:t>全面提升公司的综合运营能力</w:t>
      </w:r>
      <w:r>
        <w:rPr>
          <w:rFonts w:hint="eastAsia" w:ascii="宋体" w:hAnsi="宋体" w:eastAsia="宋体" w:cs="宋体"/>
          <w:sz w:val="10"/>
        </w:rPr>
        <w:t>，</w:t>
      </w:r>
      <w:r>
        <w:rPr>
          <w:rFonts w:hint="eastAsia" w:ascii="宋体" w:hAnsi="宋体" w:eastAsia="宋体" w:cs="宋体"/>
          <w:sz w:val="24"/>
        </w:rPr>
        <w:t>夯实公司在以</w:t>
      </w:r>
      <w:r>
        <w:rPr>
          <w:rFonts w:hint="eastAsia" w:ascii="宋体" w:hAnsi="宋体" w:eastAsia="宋体" w:cs="宋体"/>
          <w:sz w:val="10"/>
        </w:rPr>
        <w:t>“</w:t>
      </w:r>
      <w:r>
        <w:rPr>
          <w:rFonts w:hint="eastAsia" w:ascii="宋体" w:hAnsi="宋体" w:eastAsia="宋体" w:cs="宋体"/>
          <w:sz w:val="24"/>
        </w:rPr>
        <w:t>灵动架构平台（</w:t>
      </w:r>
      <w:r>
        <w:rPr>
          <w:rFonts w:hint="eastAsia" w:ascii="Times New Roman" w:hAnsi="Times New Roman" w:eastAsia="Times New Roman" w:cs="Times New Roman"/>
          <w:sz w:val="24"/>
        </w:rPr>
        <w:t>LiveBOS</w:t>
      </w:r>
      <w:r>
        <w:rPr>
          <w:rFonts w:hint="eastAsia" w:ascii="宋体" w:hAnsi="宋体" w:eastAsia="宋体" w:cs="宋体"/>
          <w:sz w:val="24"/>
        </w:rPr>
        <w:t>）为基础</w:t>
      </w:r>
      <w:r>
        <w:rPr>
          <w:rFonts w:hint="eastAsia" w:ascii="宋体" w:hAnsi="宋体" w:eastAsia="宋体" w:cs="宋体"/>
          <w:sz w:val="10"/>
        </w:rPr>
        <w:t>，</w:t>
      </w:r>
      <w:r>
        <w:rPr>
          <w:rFonts w:hint="eastAsia" w:ascii="宋体" w:hAnsi="宋体" w:eastAsia="宋体" w:cs="宋体"/>
          <w:sz w:val="24"/>
        </w:rPr>
        <w:t>以</w:t>
      </w:r>
      <w:r>
        <w:rPr>
          <w:rFonts w:hint="eastAsia" w:ascii="Times New Roman" w:hAnsi="Times New Roman" w:eastAsia="Times New Roman" w:cs="Times New Roman"/>
          <w:sz w:val="24"/>
        </w:rPr>
        <w:t xml:space="preserve"> BPM</w:t>
      </w:r>
      <w:r>
        <w:rPr>
          <w:rFonts w:hint="eastAsia" w:ascii="宋体" w:hAnsi="宋体" w:eastAsia="宋体" w:cs="宋体"/>
          <w:sz w:val="24"/>
        </w:rPr>
        <w:t xml:space="preserve"> 为核心</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w:t>
      </w:r>
      <w:r>
        <w:rPr>
          <w:rFonts w:hint="eastAsia" w:ascii="宋体" w:hAnsi="宋体" w:eastAsia="宋体" w:cs="宋体"/>
          <w:sz w:val="10"/>
        </w:rPr>
        <w:t>”</w:t>
      </w:r>
      <w:r>
        <w:rPr>
          <w:rFonts w:hint="eastAsia" w:ascii="宋体" w:hAnsi="宋体" w:eastAsia="宋体" w:cs="宋体"/>
          <w:sz w:val="24"/>
        </w:rPr>
        <w:t>的信息化应用解决方案个性化软件和服务领域的领先优势</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在公司具有传统优势的金融行业</w:t>
      </w:r>
      <w:r>
        <w:rPr>
          <w:rFonts w:hint="eastAsia" w:ascii="宋体" w:hAnsi="宋体" w:eastAsia="宋体" w:cs="宋体"/>
          <w:sz w:val="10"/>
        </w:rPr>
        <w:t>，</w:t>
      </w:r>
      <w:r>
        <w:rPr>
          <w:rFonts w:hint="eastAsia" w:ascii="宋体" w:hAnsi="宋体" w:eastAsia="宋体" w:cs="宋体"/>
          <w:sz w:val="24"/>
        </w:rPr>
        <w:t>充分发挥公司已有的专业人才团队</w:t>
      </w:r>
      <w:r>
        <w:rPr>
          <w:rFonts w:hint="eastAsia" w:ascii="宋体" w:hAnsi="宋体" w:eastAsia="宋体" w:cs="宋体"/>
          <w:sz w:val="10"/>
        </w:rPr>
        <w:t>、</w:t>
      </w:r>
      <w:r>
        <w:rPr>
          <w:rFonts w:hint="eastAsia" w:ascii="宋体" w:hAnsi="宋体" w:eastAsia="宋体" w:cs="宋体"/>
          <w:sz w:val="24"/>
        </w:rPr>
        <w:t>完整的产品线与良好的市场与客户优势</w:t>
      </w:r>
      <w:r>
        <w:rPr>
          <w:rFonts w:hint="eastAsia" w:ascii="宋体" w:hAnsi="宋体" w:eastAsia="宋体" w:cs="宋体"/>
          <w:sz w:val="10"/>
        </w:rPr>
        <w:t>，</w:t>
      </w:r>
      <w:r>
        <w:rPr>
          <w:rFonts w:hint="eastAsia" w:ascii="宋体" w:hAnsi="宋体" w:eastAsia="宋体" w:cs="宋体"/>
          <w:sz w:val="24"/>
        </w:rPr>
        <w:t>利用公司在云计算</w:t>
      </w:r>
      <w:r>
        <w:rPr>
          <w:rFonts w:hint="eastAsia" w:ascii="宋体" w:hAnsi="宋体" w:eastAsia="宋体" w:cs="宋体"/>
          <w:sz w:val="10"/>
        </w:rPr>
        <w:t>、</w:t>
      </w:r>
      <w:r>
        <w:rPr>
          <w:rFonts w:hint="eastAsia" w:ascii="宋体" w:hAnsi="宋体" w:eastAsia="宋体" w:cs="宋体"/>
          <w:sz w:val="24"/>
        </w:rPr>
        <w:t>大数据等方面的技术积累和行业经验</w:t>
      </w:r>
      <w:r>
        <w:rPr>
          <w:rFonts w:hint="eastAsia" w:ascii="宋体" w:hAnsi="宋体" w:eastAsia="宋体" w:cs="宋体"/>
          <w:sz w:val="10"/>
        </w:rPr>
        <w:t>，</w:t>
      </w:r>
      <w:r>
        <w:rPr>
          <w:rFonts w:hint="eastAsia" w:ascii="宋体" w:hAnsi="宋体" w:eastAsia="宋体" w:cs="宋体"/>
          <w:sz w:val="24"/>
        </w:rPr>
        <w:t>大力挖掘以</w:t>
      </w:r>
      <w:r>
        <w:rPr>
          <w:rFonts w:hint="eastAsia" w:ascii="宋体" w:hAnsi="宋体" w:eastAsia="宋体" w:cs="宋体"/>
          <w:sz w:val="10"/>
        </w:rPr>
        <w:t>“</w:t>
      </w:r>
      <w:r>
        <w:rPr>
          <w:rFonts w:hint="eastAsia" w:ascii="宋体" w:hAnsi="宋体" w:eastAsia="宋体" w:cs="宋体"/>
          <w:sz w:val="24"/>
        </w:rPr>
        <w:t>流程券商</w:t>
      </w:r>
      <w:r>
        <w:rPr>
          <w:rFonts w:hint="eastAsia" w:ascii="宋体" w:hAnsi="宋体" w:eastAsia="宋体" w:cs="宋体"/>
          <w:sz w:val="10"/>
        </w:rPr>
        <w:t>”、“</w:t>
      </w:r>
      <w:r>
        <w:rPr>
          <w:rFonts w:hint="eastAsia" w:ascii="宋体" w:hAnsi="宋体" w:eastAsia="宋体" w:cs="宋体"/>
          <w:sz w:val="24"/>
        </w:rPr>
        <w:t>互联网金融</w:t>
      </w:r>
      <w:r>
        <w:rPr>
          <w:rFonts w:hint="eastAsia" w:ascii="宋体" w:hAnsi="宋体" w:eastAsia="宋体" w:cs="宋体"/>
          <w:sz w:val="10"/>
        </w:rPr>
        <w:t>”</w:t>
      </w:r>
      <w:r>
        <w:rPr>
          <w:rFonts w:hint="eastAsia" w:ascii="宋体" w:hAnsi="宋体" w:eastAsia="宋体" w:cs="宋体"/>
          <w:sz w:val="24"/>
        </w:rPr>
        <w:t>为核心的金融业信息化市场</w:t>
      </w:r>
      <w:r>
        <w:rPr>
          <w:rFonts w:hint="eastAsia" w:ascii="宋体" w:hAnsi="宋体" w:eastAsia="宋体" w:cs="宋体"/>
          <w:sz w:val="10"/>
        </w:rPr>
        <w:t>，</w:t>
      </w:r>
      <w:r>
        <w:rPr>
          <w:rFonts w:hint="eastAsia" w:ascii="宋体" w:hAnsi="宋体" w:eastAsia="宋体" w:cs="宋体"/>
          <w:sz w:val="24"/>
        </w:rPr>
        <w:t>提升公司在互联网金融领域的竞争优势</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在金融以外的其他行业</w:t>
      </w:r>
      <w:r>
        <w:rPr>
          <w:rFonts w:hint="eastAsia" w:ascii="宋体" w:hAnsi="宋体" w:eastAsia="宋体" w:cs="宋体"/>
          <w:sz w:val="10"/>
        </w:rPr>
        <w:t>，</w:t>
      </w:r>
      <w:r>
        <w:rPr>
          <w:rFonts w:hint="eastAsia" w:ascii="宋体" w:hAnsi="宋体" w:eastAsia="宋体" w:cs="宋体"/>
          <w:sz w:val="24"/>
        </w:rPr>
        <w:t>公司将充分发挥自有平台所具备的产品研发周期短</w:t>
      </w:r>
      <w:r>
        <w:rPr>
          <w:rFonts w:hint="eastAsia" w:ascii="宋体" w:hAnsi="宋体" w:eastAsia="宋体" w:cs="宋体"/>
          <w:sz w:val="10"/>
        </w:rPr>
        <w:t>、</w:t>
      </w:r>
      <w:r>
        <w:rPr>
          <w:rFonts w:hint="eastAsia" w:ascii="宋体" w:hAnsi="宋体" w:eastAsia="宋体" w:cs="宋体"/>
          <w:sz w:val="24"/>
        </w:rPr>
        <w:t>成本低的优势</w:t>
      </w:r>
      <w:r>
        <w:rPr>
          <w:rFonts w:hint="eastAsia" w:ascii="宋体" w:hAnsi="宋体" w:eastAsia="宋体" w:cs="宋体"/>
          <w:sz w:val="10"/>
        </w:rPr>
        <w:t>，</w:t>
      </w:r>
      <w:r>
        <w:rPr>
          <w:rFonts w:hint="eastAsia" w:ascii="宋体" w:hAnsi="宋体" w:eastAsia="宋体" w:cs="宋体"/>
          <w:sz w:val="24"/>
        </w:rPr>
        <w:t>充分发挥子公司能动性以及适应市场能力方面的优势</w:t>
      </w:r>
      <w:r>
        <w:rPr>
          <w:rFonts w:hint="eastAsia" w:ascii="宋体" w:hAnsi="宋体" w:eastAsia="宋体" w:cs="宋体"/>
          <w:sz w:val="10"/>
        </w:rPr>
        <w:t>，</w:t>
      </w:r>
      <w:r>
        <w:rPr>
          <w:rFonts w:hint="eastAsia" w:ascii="宋体" w:hAnsi="宋体" w:eastAsia="宋体" w:cs="宋体"/>
          <w:sz w:val="24"/>
        </w:rPr>
        <w:t>通过收购等资源整合手段</w:t>
      </w:r>
      <w:r>
        <w:rPr>
          <w:rFonts w:hint="eastAsia" w:ascii="宋体" w:hAnsi="宋体" w:eastAsia="宋体" w:cs="宋体"/>
          <w:sz w:val="10"/>
        </w:rPr>
        <w:t>，</w:t>
      </w:r>
      <w:r>
        <w:rPr>
          <w:rFonts w:hint="eastAsia" w:ascii="宋体" w:hAnsi="宋体" w:eastAsia="宋体" w:cs="宋体"/>
          <w:sz w:val="24"/>
        </w:rPr>
        <w:t>全面导入公司技术平台与软件研发模式</w:t>
      </w:r>
      <w:r>
        <w:rPr>
          <w:rFonts w:hint="eastAsia" w:ascii="宋体" w:hAnsi="宋体" w:eastAsia="宋体" w:cs="宋体"/>
          <w:sz w:val="10"/>
        </w:rPr>
        <w:t>，</w:t>
      </w:r>
      <w:r>
        <w:rPr>
          <w:rFonts w:hint="eastAsia" w:ascii="宋体" w:hAnsi="宋体" w:eastAsia="宋体" w:cs="宋体"/>
          <w:sz w:val="24"/>
        </w:rPr>
        <w:t>为客户提供业务流程管理信息化和</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应用的解决方案</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通过行业的持续深耕</w:t>
      </w:r>
      <w:r>
        <w:rPr>
          <w:rFonts w:hint="eastAsia" w:ascii="宋体" w:hAnsi="宋体" w:eastAsia="宋体" w:cs="宋体"/>
          <w:sz w:val="10"/>
        </w:rPr>
        <w:t>，</w:t>
      </w:r>
      <w:r>
        <w:rPr>
          <w:rFonts w:hint="eastAsia" w:ascii="宋体" w:hAnsi="宋体" w:eastAsia="宋体" w:cs="宋体"/>
          <w:sz w:val="24"/>
        </w:rPr>
        <w:t>不断挖掘和提炼行业的共同需求</w:t>
      </w:r>
      <w:r>
        <w:rPr>
          <w:rFonts w:hint="eastAsia" w:ascii="宋体" w:hAnsi="宋体" w:eastAsia="宋体" w:cs="宋体"/>
          <w:sz w:val="10"/>
        </w:rPr>
        <w:t>，</w:t>
      </w:r>
      <w:r>
        <w:rPr>
          <w:rFonts w:hint="eastAsia" w:ascii="宋体" w:hAnsi="宋体" w:eastAsia="宋体" w:cs="宋体"/>
          <w:sz w:val="24"/>
        </w:rPr>
        <w:t>建立面向行业的平台型</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系统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jc w:val="both"/>
      </w:pPr>
      <w:r>
        <w:rPr>
          <w:rFonts w:hint="eastAsia" w:ascii="宋体" w:hAnsi="宋体" w:eastAsia="宋体" w:cs="宋体"/>
          <w:b/>
          <w:sz w:val="24"/>
        </w:rPr>
        <w:t>（三）发行当年的发展规划</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1-1-300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40" w:firstLine="480"/>
        <w:jc w:val="both"/>
      </w:pPr>
      <w:r>
        <w:rPr>
          <w:rFonts w:hint="eastAsia" w:ascii="宋体" w:hAnsi="宋体" w:eastAsia="宋体" w:cs="宋体"/>
          <w:sz w:val="24"/>
        </w:rPr>
        <w:t>若公司股票发行成功</w:t>
      </w:r>
      <w:r>
        <w:rPr>
          <w:rFonts w:hint="eastAsia" w:ascii="宋体" w:hAnsi="宋体" w:eastAsia="宋体" w:cs="宋体"/>
          <w:sz w:val="10"/>
        </w:rPr>
        <w:t>，</w:t>
      </w:r>
      <w:r>
        <w:rPr>
          <w:rFonts w:hint="eastAsia" w:ascii="宋体" w:hAnsi="宋体" w:eastAsia="宋体" w:cs="宋体"/>
          <w:sz w:val="24"/>
        </w:rPr>
        <w:t>在发行当年余下的期间</w:t>
      </w:r>
      <w:r>
        <w:rPr>
          <w:rFonts w:hint="eastAsia" w:ascii="宋体" w:hAnsi="宋体" w:eastAsia="宋体" w:cs="宋体"/>
          <w:sz w:val="10"/>
        </w:rPr>
        <w:t>，</w:t>
      </w:r>
      <w:r>
        <w:rPr>
          <w:rFonts w:hint="eastAsia" w:ascii="宋体" w:hAnsi="宋体" w:eastAsia="宋体" w:cs="宋体"/>
          <w:sz w:val="24"/>
        </w:rPr>
        <w:t>公司将及时组织实施募集资金投资项目</w:t>
      </w:r>
      <w:r>
        <w:rPr>
          <w:rFonts w:hint="eastAsia" w:ascii="宋体" w:hAnsi="宋体" w:eastAsia="宋体" w:cs="宋体"/>
          <w:sz w:val="10"/>
        </w:rPr>
        <w:t>，</w:t>
      </w:r>
      <w:r>
        <w:rPr>
          <w:rFonts w:hint="eastAsia" w:ascii="宋体" w:hAnsi="宋体" w:eastAsia="宋体" w:cs="宋体"/>
          <w:sz w:val="24"/>
        </w:rPr>
        <w:t>按募投项目所投资的内容</w:t>
      </w:r>
      <w:r>
        <w:rPr>
          <w:rFonts w:hint="eastAsia" w:ascii="宋体" w:hAnsi="宋体" w:eastAsia="宋体" w:cs="宋体"/>
          <w:sz w:val="10"/>
        </w:rPr>
        <w:t>，</w:t>
      </w:r>
      <w:r>
        <w:rPr>
          <w:rFonts w:hint="eastAsia" w:ascii="宋体" w:hAnsi="宋体" w:eastAsia="宋体" w:cs="宋体"/>
          <w:sz w:val="24"/>
        </w:rPr>
        <w:t>启动相关资产购置</w:t>
      </w:r>
      <w:r>
        <w:rPr>
          <w:rFonts w:hint="eastAsia" w:ascii="宋体" w:hAnsi="宋体" w:eastAsia="宋体" w:cs="宋体"/>
          <w:sz w:val="10"/>
        </w:rPr>
        <w:t>、</w:t>
      </w:r>
      <w:r>
        <w:rPr>
          <w:rFonts w:hint="eastAsia" w:ascii="宋体" w:hAnsi="宋体" w:eastAsia="宋体" w:cs="宋体"/>
          <w:sz w:val="24"/>
        </w:rPr>
        <w:t>人员招聘等事项</w:t>
      </w:r>
      <w:r>
        <w:rPr>
          <w:rFonts w:hint="eastAsia" w:ascii="宋体" w:hAnsi="宋体" w:eastAsia="宋体" w:cs="宋体"/>
          <w:sz w:val="10"/>
        </w:rPr>
        <w:t>，</w:t>
      </w:r>
      <w:r>
        <w:rPr>
          <w:rFonts w:hint="eastAsia" w:ascii="宋体" w:hAnsi="宋体" w:eastAsia="宋体" w:cs="宋体"/>
          <w:sz w:val="24"/>
        </w:rPr>
        <w:t>确保募投项目顺利实施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00" w:lineRule="exact"/>
        <w:ind w:left="1440"/>
        <w:jc w:val="both"/>
      </w:pPr>
      <w:r>
        <w:rPr>
          <w:rFonts w:hint="eastAsia" w:ascii="宋体" w:hAnsi="宋体" w:eastAsia="宋体" w:cs="宋体"/>
          <w:b/>
          <w:sz w:val="24"/>
        </w:rPr>
        <w:t>（四）未来两年业务发展规划</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强化以福州</w:t>
      </w:r>
      <w:r>
        <w:rPr>
          <w:rFonts w:hint="eastAsia" w:ascii="宋体" w:hAnsi="宋体" w:eastAsia="宋体" w:cs="宋体"/>
          <w:sz w:val="10"/>
        </w:rPr>
        <w:t>、</w:t>
      </w:r>
      <w:r>
        <w:rPr>
          <w:rFonts w:hint="eastAsia" w:ascii="宋体" w:hAnsi="宋体" w:eastAsia="宋体" w:cs="宋体"/>
          <w:sz w:val="24"/>
        </w:rPr>
        <w:t>武汉两地为中心的研发基地</w:t>
      </w:r>
      <w:r>
        <w:rPr>
          <w:rFonts w:hint="eastAsia" w:ascii="宋体" w:hAnsi="宋体" w:eastAsia="宋体" w:cs="宋体"/>
          <w:sz w:val="10"/>
        </w:rPr>
        <w:t>，</w:t>
      </w:r>
      <w:r>
        <w:rPr>
          <w:rFonts w:hint="eastAsia" w:ascii="宋体" w:hAnsi="宋体" w:eastAsia="宋体" w:cs="宋体"/>
          <w:sz w:val="24"/>
        </w:rPr>
        <w:t>大力吸引优秀的互联网金融人才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right="1240"/>
        <w:jc w:val="both"/>
      </w:pPr>
      <w:r>
        <w:rPr>
          <w:rFonts w:hint="eastAsia" w:ascii="宋体" w:hAnsi="宋体" w:eastAsia="宋体" w:cs="宋体"/>
          <w:sz w:val="24"/>
        </w:rPr>
        <w:t>公司历来十分注重技术研发</w:t>
      </w:r>
      <w:r>
        <w:rPr>
          <w:rFonts w:hint="eastAsia" w:ascii="宋体" w:hAnsi="宋体" w:eastAsia="宋体" w:cs="宋体"/>
          <w:sz w:val="10"/>
        </w:rPr>
        <w:t>，</w:t>
      </w:r>
      <w:r>
        <w:rPr>
          <w:rFonts w:hint="eastAsia" w:ascii="宋体" w:hAnsi="宋体" w:eastAsia="宋体" w:cs="宋体"/>
          <w:sz w:val="24"/>
        </w:rPr>
        <w:t>形成了以福州</w:t>
      </w:r>
      <w:r>
        <w:rPr>
          <w:rFonts w:hint="eastAsia" w:ascii="宋体" w:hAnsi="宋体" w:eastAsia="宋体" w:cs="宋体"/>
          <w:sz w:val="10"/>
        </w:rPr>
        <w:t>、</w:t>
      </w:r>
      <w:r>
        <w:rPr>
          <w:rFonts w:hint="eastAsia" w:ascii="宋体" w:hAnsi="宋体" w:eastAsia="宋体" w:cs="宋体"/>
          <w:sz w:val="24"/>
        </w:rPr>
        <w:t>武汉两地为中心的研发基地</w:t>
      </w:r>
      <w:r>
        <w:rPr>
          <w:rFonts w:hint="eastAsia" w:ascii="宋体" w:hAnsi="宋体" w:eastAsia="宋体" w:cs="宋体"/>
          <w:sz w:val="10"/>
        </w:rPr>
        <w:t>，</w:t>
      </w:r>
      <w:r>
        <w:rPr>
          <w:rFonts w:hint="eastAsia" w:ascii="宋体" w:hAnsi="宋体" w:eastAsia="宋体" w:cs="宋体"/>
          <w:sz w:val="24"/>
        </w:rPr>
        <w:t>通过吸引和培养优秀的研发型人才</w:t>
      </w:r>
      <w:r>
        <w:rPr>
          <w:rFonts w:hint="eastAsia" w:ascii="宋体" w:hAnsi="宋体" w:eastAsia="宋体" w:cs="宋体"/>
          <w:sz w:val="10"/>
        </w:rPr>
        <w:t>，</w:t>
      </w:r>
      <w:r>
        <w:rPr>
          <w:rFonts w:hint="eastAsia" w:ascii="宋体" w:hAnsi="宋体" w:eastAsia="宋体" w:cs="宋体"/>
          <w:sz w:val="24"/>
        </w:rPr>
        <w:t>为公司业务的持续优化和创新提供了源源不断的动力</w:t>
      </w:r>
      <w:r>
        <w:rPr>
          <w:rFonts w:hint="eastAsia" w:ascii="宋体" w:hAnsi="宋体" w:eastAsia="宋体" w:cs="宋体"/>
          <w:sz w:val="10"/>
        </w:rPr>
        <w:t>。</w:t>
      </w:r>
      <w:r>
        <w:rPr>
          <w:rFonts w:hint="eastAsia" w:ascii="宋体" w:hAnsi="宋体" w:eastAsia="宋体" w:cs="宋体"/>
          <w:sz w:val="24"/>
        </w:rPr>
        <w:t>在未来两年</w:t>
      </w:r>
      <w:r>
        <w:rPr>
          <w:rFonts w:hint="eastAsia" w:ascii="宋体" w:hAnsi="宋体" w:eastAsia="宋体" w:cs="宋体"/>
          <w:sz w:val="10"/>
        </w:rPr>
        <w:t>，</w:t>
      </w:r>
      <w:r>
        <w:rPr>
          <w:rFonts w:hint="eastAsia" w:ascii="宋体" w:hAnsi="宋体" w:eastAsia="宋体" w:cs="宋体"/>
          <w:sz w:val="24"/>
        </w:rPr>
        <w:t>公司将继续强化以福州</w:t>
      </w:r>
      <w:r>
        <w:rPr>
          <w:rFonts w:hint="eastAsia" w:ascii="宋体" w:hAnsi="宋体" w:eastAsia="宋体" w:cs="宋体"/>
          <w:sz w:val="10"/>
        </w:rPr>
        <w:t>、</w:t>
      </w:r>
      <w:r>
        <w:rPr>
          <w:rFonts w:hint="eastAsia" w:ascii="宋体" w:hAnsi="宋体" w:eastAsia="宋体" w:cs="宋体"/>
          <w:sz w:val="24"/>
        </w:rPr>
        <w:t>武汉两地为中心的研发基地</w:t>
      </w:r>
      <w:r>
        <w:rPr>
          <w:rFonts w:hint="eastAsia" w:ascii="宋体" w:hAnsi="宋体" w:eastAsia="宋体" w:cs="宋体"/>
          <w:sz w:val="10"/>
        </w:rPr>
        <w:t>，</w:t>
      </w:r>
      <w:r>
        <w:rPr>
          <w:rFonts w:hint="eastAsia" w:ascii="宋体" w:hAnsi="宋体" w:eastAsia="宋体" w:cs="宋体"/>
          <w:sz w:val="24"/>
        </w:rPr>
        <w:t>抓住互联网金融大发展的趋势</w:t>
      </w:r>
      <w:r>
        <w:rPr>
          <w:rFonts w:hint="eastAsia" w:ascii="宋体" w:hAnsi="宋体" w:eastAsia="宋体" w:cs="宋体"/>
          <w:sz w:val="10"/>
        </w:rPr>
        <w:t>，</w:t>
      </w:r>
      <w:r>
        <w:rPr>
          <w:rFonts w:hint="eastAsia" w:ascii="宋体" w:hAnsi="宋体" w:eastAsia="宋体" w:cs="宋体"/>
          <w:sz w:val="24"/>
        </w:rPr>
        <w:t>大力吸引优秀的互联网金融人才</w:t>
      </w:r>
      <w:r>
        <w:rPr>
          <w:rFonts w:hint="eastAsia" w:ascii="宋体" w:hAnsi="宋体" w:eastAsia="宋体" w:cs="宋体"/>
          <w:sz w:val="10"/>
        </w:rPr>
        <w:t>，</w:t>
      </w:r>
      <w:r>
        <w:rPr>
          <w:rFonts w:hint="eastAsia" w:ascii="宋体" w:hAnsi="宋体" w:eastAsia="宋体" w:cs="宋体"/>
          <w:sz w:val="24"/>
        </w:rPr>
        <w:t>不断提升产品的研发能力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）强化以福州</w:t>
      </w:r>
      <w:r>
        <w:rPr>
          <w:rFonts w:hint="eastAsia" w:ascii="宋体" w:hAnsi="宋体" w:eastAsia="宋体" w:cs="宋体"/>
          <w:sz w:val="10"/>
        </w:rPr>
        <w:t>、</w:t>
      </w:r>
      <w:r>
        <w:rPr>
          <w:rFonts w:hint="eastAsia" w:ascii="宋体" w:hAnsi="宋体" w:eastAsia="宋体" w:cs="宋体"/>
          <w:sz w:val="24"/>
        </w:rPr>
        <w:t>武汉两地为中心的研发基地</w:t>
      </w:r>
      <w:r>
        <w:rPr>
          <w:rFonts w:hint="eastAsia" w:ascii="宋体" w:hAnsi="宋体" w:eastAsia="宋体" w:cs="宋体"/>
          <w:sz w:val="10"/>
        </w:rPr>
        <w:t>，</w:t>
      </w:r>
      <w:r>
        <w:rPr>
          <w:rFonts w:hint="eastAsia" w:ascii="宋体" w:hAnsi="宋体" w:eastAsia="宋体" w:cs="宋体"/>
          <w:sz w:val="24"/>
        </w:rPr>
        <w:t>不断提升公司的研发能力</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公司形成了以福州</w:t>
      </w:r>
      <w:r>
        <w:rPr>
          <w:rFonts w:hint="eastAsia" w:ascii="宋体" w:hAnsi="宋体" w:eastAsia="宋体" w:cs="宋体"/>
          <w:sz w:val="10"/>
        </w:rPr>
        <w:t>、</w:t>
      </w:r>
      <w:r>
        <w:rPr>
          <w:rFonts w:hint="eastAsia" w:ascii="宋体" w:hAnsi="宋体" w:eastAsia="宋体" w:cs="宋体"/>
          <w:sz w:val="24"/>
        </w:rPr>
        <w:t>武汉两地为中心的研发基地</w:t>
      </w:r>
      <w:r>
        <w:rPr>
          <w:rFonts w:hint="eastAsia" w:ascii="宋体" w:hAnsi="宋体" w:eastAsia="宋体" w:cs="宋体"/>
          <w:sz w:val="10"/>
        </w:rPr>
        <w:t>，</w:t>
      </w:r>
      <w:r>
        <w:rPr>
          <w:rFonts w:hint="eastAsia" w:ascii="宋体" w:hAnsi="宋体" w:eastAsia="宋体" w:cs="宋体"/>
          <w:sz w:val="24"/>
        </w:rPr>
        <w:t>通过在长期实践中的不断总结</w:t>
      </w:r>
      <w:r>
        <w:rPr>
          <w:rFonts w:hint="eastAsia" w:ascii="宋体" w:hAnsi="宋体" w:eastAsia="宋体" w:cs="宋体"/>
          <w:sz w:val="10"/>
        </w:rPr>
        <w:t>，</w:t>
      </w:r>
      <w:r>
        <w:rPr>
          <w:rFonts w:hint="eastAsia" w:ascii="宋体" w:hAnsi="宋体" w:eastAsia="宋体" w:cs="宋体"/>
          <w:sz w:val="24"/>
        </w:rPr>
        <w:t>公司提出了</w:t>
      </w:r>
      <w:r>
        <w:rPr>
          <w:rFonts w:hint="eastAsia" w:ascii="宋体" w:hAnsi="宋体" w:eastAsia="宋体" w:cs="宋体"/>
          <w:sz w:val="10"/>
        </w:rPr>
        <w:t>“</w:t>
      </w:r>
      <w:r>
        <w:rPr>
          <w:rFonts w:hint="eastAsia" w:ascii="宋体" w:hAnsi="宋体" w:eastAsia="宋体" w:cs="宋体"/>
          <w:sz w:val="24"/>
        </w:rPr>
        <w:t>统一研发平台</w:t>
      </w:r>
      <w:r>
        <w:rPr>
          <w:rFonts w:hint="eastAsia" w:ascii="宋体" w:hAnsi="宋体" w:eastAsia="宋体" w:cs="宋体"/>
          <w:sz w:val="10"/>
        </w:rPr>
        <w:t>，</w:t>
      </w:r>
      <w:r>
        <w:rPr>
          <w:rFonts w:hint="eastAsia" w:ascii="宋体" w:hAnsi="宋体" w:eastAsia="宋体" w:cs="宋体"/>
          <w:sz w:val="24"/>
        </w:rPr>
        <w:t>共享业务模型</w:t>
      </w:r>
      <w:r>
        <w:rPr>
          <w:rFonts w:hint="eastAsia" w:ascii="宋体" w:hAnsi="宋体" w:eastAsia="宋体" w:cs="宋体"/>
          <w:sz w:val="10"/>
        </w:rPr>
        <w:t>，</w:t>
      </w:r>
      <w:r>
        <w:rPr>
          <w:rFonts w:hint="eastAsia" w:ascii="宋体" w:hAnsi="宋体" w:eastAsia="宋体" w:cs="宋体"/>
          <w:sz w:val="24"/>
        </w:rPr>
        <w:t>持续研发</w:t>
      </w:r>
      <w:r>
        <w:rPr>
          <w:rFonts w:hint="eastAsia" w:ascii="宋体" w:hAnsi="宋体" w:eastAsia="宋体" w:cs="宋体"/>
          <w:sz w:val="10"/>
        </w:rPr>
        <w:t>，</w:t>
      </w:r>
      <w:r>
        <w:rPr>
          <w:rFonts w:hint="eastAsia" w:ascii="宋体" w:hAnsi="宋体" w:eastAsia="宋体" w:cs="宋体"/>
          <w:sz w:val="24"/>
        </w:rPr>
        <w:t>专业队伍</w:t>
      </w:r>
      <w:r>
        <w:rPr>
          <w:rFonts w:hint="eastAsia" w:ascii="宋体" w:hAnsi="宋体" w:eastAsia="宋体" w:cs="宋体"/>
          <w:sz w:val="10"/>
        </w:rPr>
        <w:t>，</w:t>
      </w:r>
      <w:r>
        <w:rPr>
          <w:rFonts w:hint="eastAsia" w:ascii="宋体" w:hAnsi="宋体" w:eastAsia="宋体" w:cs="宋体"/>
          <w:sz w:val="24"/>
        </w:rPr>
        <w:t>专业服务</w:t>
      </w:r>
      <w:r>
        <w:rPr>
          <w:rFonts w:hint="eastAsia" w:ascii="宋体" w:hAnsi="宋体" w:eastAsia="宋体" w:cs="宋体"/>
          <w:sz w:val="10"/>
        </w:rPr>
        <w:t>”</w:t>
      </w:r>
      <w:r>
        <w:rPr>
          <w:rFonts w:hint="eastAsia" w:ascii="宋体" w:hAnsi="宋体" w:eastAsia="宋体" w:cs="宋体"/>
          <w:sz w:val="24"/>
        </w:rPr>
        <w:t>的研发管理规划</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①组建专业队伍并提供专业服务</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在研发基地的基础上</w:t>
      </w:r>
      <w:r>
        <w:rPr>
          <w:rFonts w:hint="eastAsia" w:ascii="宋体" w:hAnsi="宋体" w:eastAsia="宋体" w:cs="宋体"/>
          <w:sz w:val="10"/>
        </w:rPr>
        <w:t>，</w:t>
      </w:r>
      <w:r>
        <w:rPr>
          <w:rFonts w:hint="eastAsia" w:ascii="宋体" w:hAnsi="宋体" w:eastAsia="宋体" w:cs="宋体"/>
          <w:sz w:val="24"/>
        </w:rPr>
        <w:t>组建专业研发团队并依据公司业务特点及研发方向将研发团队分成两类</w:t>
      </w:r>
      <w:r>
        <w:rPr>
          <w:rFonts w:hint="eastAsia" w:ascii="宋体" w:hAnsi="宋体" w:eastAsia="宋体" w:cs="宋体"/>
          <w:sz w:val="12"/>
        </w:rPr>
        <w:t>：</w:t>
      </w:r>
      <w:r>
        <w:rPr>
          <w:rFonts w:hint="eastAsia" w:ascii="宋体" w:hAnsi="宋体" w:eastAsia="宋体" w:cs="宋体"/>
          <w:sz w:val="24"/>
        </w:rPr>
        <w:t>基础技术研发体系（专注于</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核心技术的研发</w:t>
      </w:r>
      <w:r>
        <w:rPr>
          <w:rFonts w:hint="eastAsia" w:ascii="宋体" w:hAnsi="宋体" w:eastAsia="宋体" w:cs="宋体"/>
          <w:sz w:val="10"/>
        </w:rPr>
        <w:t>，</w:t>
      </w:r>
      <w:r>
        <w:rPr>
          <w:rFonts w:hint="eastAsia" w:ascii="宋体" w:hAnsi="宋体" w:eastAsia="宋体" w:cs="宋体"/>
          <w:sz w:val="24"/>
        </w:rPr>
        <w:t>主要承担以</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平台为核心的基础业务中间件的研发）和应用技术研发体系（专注于各种行业的具体业务应用研究），</w:t>
      </w:r>
      <w:r>
        <w:rPr>
          <w:rFonts w:hint="eastAsia" w:ascii="宋体" w:hAnsi="宋体" w:eastAsia="宋体" w:cs="宋体"/>
          <w:sz w:val="24"/>
        </w:rPr>
        <w:t>这两类部门相互依托</w:t>
      </w:r>
      <w:r>
        <w:rPr>
          <w:rFonts w:hint="eastAsia" w:ascii="宋体" w:hAnsi="宋体" w:eastAsia="宋体" w:cs="宋体"/>
          <w:sz w:val="10"/>
        </w:rPr>
        <w:t>、</w:t>
      </w:r>
      <w:r>
        <w:rPr>
          <w:rFonts w:hint="eastAsia" w:ascii="宋体" w:hAnsi="宋体" w:eastAsia="宋体" w:cs="宋体"/>
          <w:sz w:val="24"/>
        </w:rPr>
        <w:t>相互补充</w:t>
      </w:r>
      <w:r>
        <w:rPr>
          <w:rFonts w:hint="eastAsia" w:ascii="宋体" w:hAnsi="宋体" w:eastAsia="宋体" w:cs="宋体"/>
          <w:sz w:val="10"/>
        </w:rPr>
        <w:t>，</w:t>
      </w:r>
      <w:r>
        <w:rPr>
          <w:rFonts w:hint="eastAsia" w:ascii="宋体" w:hAnsi="宋体" w:eastAsia="宋体" w:cs="宋体"/>
          <w:sz w:val="24"/>
        </w:rPr>
        <w:t>持续改进</w:t>
      </w:r>
      <w:r>
        <w:rPr>
          <w:rFonts w:hint="eastAsia" w:ascii="宋体" w:hAnsi="宋体" w:eastAsia="宋体" w:cs="宋体"/>
          <w:sz w:val="10"/>
        </w:rPr>
        <w:t>、</w:t>
      </w:r>
      <w:r>
        <w:rPr>
          <w:rFonts w:hint="eastAsia" w:ascii="宋体" w:hAnsi="宋体" w:eastAsia="宋体" w:cs="宋体"/>
          <w:sz w:val="24"/>
        </w:rPr>
        <w:t>升级系统功能</w:t>
      </w:r>
      <w:r>
        <w:rPr>
          <w:rFonts w:hint="eastAsia" w:ascii="宋体" w:hAnsi="宋体" w:eastAsia="宋体" w:cs="宋体"/>
          <w:sz w:val="10"/>
        </w:rPr>
        <w:t>，</w:t>
      </w:r>
      <w:r>
        <w:rPr>
          <w:rFonts w:hint="eastAsia" w:ascii="宋体" w:hAnsi="宋体" w:eastAsia="宋体" w:cs="宋体"/>
          <w:sz w:val="24"/>
        </w:rPr>
        <w:t>不断为客户提供优质差异化服务及量身定作的个性化软件</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组建行业研究及咨询团队</w:t>
      </w:r>
      <w:r>
        <w:rPr>
          <w:rFonts w:hint="eastAsia" w:ascii="宋体" w:hAnsi="宋体" w:eastAsia="宋体" w:cs="宋体"/>
          <w:sz w:val="10"/>
        </w:rPr>
        <w:t>，</w:t>
      </w:r>
      <w:r>
        <w:rPr>
          <w:rFonts w:hint="eastAsia" w:ascii="宋体" w:hAnsi="宋体" w:eastAsia="宋体" w:cs="宋体"/>
          <w:sz w:val="24"/>
        </w:rPr>
        <w:t>为客户提供</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规划</w:t>
      </w:r>
      <w:r>
        <w:rPr>
          <w:rFonts w:hint="eastAsia" w:ascii="宋体" w:hAnsi="宋体" w:eastAsia="宋体" w:cs="宋体"/>
          <w:sz w:val="10"/>
        </w:rPr>
        <w:t>、</w:t>
      </w:r>
      <w:r>
        <w:rPr>
          <w:rFonts w:hint="eastAsia" w:ascii="宋体" w:hAnsi="宋体" w:eastAsia="宋体" w:cs="宋体"/>
          <w:sz w:val="24"/>
        </w:rPr>
        <w:t>业务流程</w:t>
      </w:r>
      <w:r>
        <w:rPr>
          <w:rFonts w:hint="eastAsia" w:ascii="宋体" w:hAnsi="宋体" w:eastAsia="宋体" w:cs="宋体"/>
          <w:sz w:val="10"/>
        </w:rPr>
        <w:t>、</w:t>
      </w:r>
      <w:r>
        <w:rPr>
          <w:rFonts w:hint="eastAsia" w:ascii="宋体" w:hAnsi="宋体" w:eastAsia="宋体" w:cs="宋体"/>
          <w:sz w:val="24"/>
        </w:rPr>
        <w:t>业务应用等顾问咨询以及交付管理服务</w:t>
      </w:r>
      <w:r>
        <w:rPr>
          <w:rFonts w:hint="eastAsia" w:ascii="宋体" w:hAnsi="宋体" w:eastAsia="宋体" w:cs="宋体"/>
          <w:sz w:val="10"/>
        </w:rPr>
        <w:t>，</w:t>
      </w:r>
      <w:r>
        <w:rPr>
          <w:rFonts w:hint="eastAsia" w:ascii="宋体" w:hAnsi="宋体" w:eastAsia="宋体" w:cs="宋体"/>
          <w:sz w:val="24"/>
        </w:rPr>
        <w:t>准确把握行业的发展方向</w:t>
      </w:r>
      <w:r>
        <w:rPr>
          <w:rFonts w:hint="eastAsia" w:ascii="宋体" w:hAnsi="宋体" w:eastAsia="宋体" w:cs="宋体"/>
          <w:sz w:val="10"/>
        </w:rPr>
        <w:t>，</w:t>
      </w:r>
      <w:r>
        <w:rPr>
          <w:rFonts w:hint="eastAsia" w:ascii="宋体" w:hAnsi="宋体" w:eastAsia="宋体" w:cs="宋体"/>
          <w:sz w:val="24"/>
        </w:rPr>
        <w:t>抓住互联网金融的大趋势</w:t>
      </w:r>
      <w:r>
        <w:rPr>
          <w:rFonts w:hint="eastAsia" w:ascii="宋体" w:hAnsi="宋体" w:eastAsia="宋体" w:cs="宋体"/>
          <w:sz w:val="10"/>
        </w:rPr>
        <w:t>，</w:t>
      </w:r>
      <w:r>
        <w:rPr>
          <w:rFonts w:hint="eastAsia" w:ascii="宋体" w:hAnsi="宋体" w:eastAsia="宋体" w:cs="宋体"/>
          <w:sz w:val="24"/>
        </w:rPr>
        <w:t>实现研究成果与客户业务转型</w:t>
      </w:r>
      <w:r>
        <w:rPr>
          <w:rFonts w:hint="eastAsia" w:ascii="宋体" w:hAnsi="宋体" w:eastAsia="宋体" w:cs="宋体"/>
          <w:sz w:val="10"/>
        </w:rPr>
        <w:t>、</w:t>
      </w:r>
      <w:r>
        <w:rPr>
          <w:rFonts w:hint="eastAsia" w:ascii="宋体" w:hAnsi="宋体" w:eastAsia="宋体" w:cs="宋体"/>
          <w:sz w:val="24"/>
        </w:rPr>
        <w:t>业务模式创新同步</w:t>
      </w:r>
      <w:r>
        <w:rPr>
          <w:rFonts w:hint="eastAsia" w:ascii="宋体" w:hAnsi="宋体" w:eastAsia="宋体" w:cs="宋体"/>
          <w:sz w:val="10"/>
        </w:rPr>
        <w:t>，</w:t>
      </w:r>
      <w:r>
        <w:rPr>
          <w:rFonts w:hint="eastAsia" w:ascii="宋体" w:hAnsi="宋体" w:eastAsia="宋体" w:cs="宋体"/>
          <w:sz w:val="24"/>
        </w:rPr>
        <w:t>提升公司专业服务的交付能力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②统一研发平台</w:t>
      </w:r>
      <w:r>
        <w:rPr>
          <w:rFonts w:hint="eastAsia" w:ascii="宋体" w:hAnsi="宋体" w:eastAsia="宋体" w:cs="宋体"/>
          <w:sz w:val="10"/>
        </w:rPr>
        <w:t>、</w:t>
      </w:r>
      <w:r>
        <w:rPr>
          <w:rFonts w:hint="eastAsia" w:ascii="宋体" w:hAnsi="宋体" w:eastAsia="宋体" w:cs="宋体"/>
          <w:sz w:val="24"/>
        </w:rPr>
        <w:t>共享业务模型</w:t>
      </w:r>
      <w:r>
        <w:rPr>
          <w:rFonts w:hint="eastAsia" w:ascii="宋体" w:hAnsi="宋体" w:eastAsia="宋体" w:cs="宋体"/>
          <w:sz w:val="10"/>
        </w:rPr>
        <w:t>、</w:t>
      </w:r>
      <w:r>
        <w:rPr>
          <w:rFonts w:hint="eastAsia" w:ascii="宋体" w:hAnsi="宋体" w:eastAsia="宋体" w:cs="宋体"/>
          <w:sz w:val="24"/>
        </w:rPr>
        <w:t>持续研发</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从业务应用软件产品到提供业务与流程整合服务</w:t>
      </w:r>
      <w:r>
        <w:rPr>
          <w:rFonts w:hint="eastAsia" w:ascii="宋体" w:hAnsi="宋体" w:eastAsia="宋体" w:cs="宋体"/>
          <w:sz w:val="10"/>
        </w:rPr>
        <w:t>，</w:t>
      </w:r>
      <w:r>
        <w:rPr>
          <w:rFonts w:hint="eastAsia" w:ascii="宋体" w:hAnsi="宋体" w:eastAsia="宋体" w:cs="宋体"/>
          <w:sz w:val="24"/>
        </w:rPr>
        <w:t>公司全体研发人员都统一使用自主研发的基础平台软件</w:t>
      </w:r>
      <w:r>
        <w:rPr>
          <w:rFonts w:hint="eastAsia" w:ascii="宋体" w:hAnsi="宋体" w:eastAsia="宋体" w:cs="宋体"/>
          <w:sz w:val="10"/>
        </w:rPr>
        <w:t>，</w:t>
      </w:r>
      <w:r>
        <w:rPr>
          <w:rFonts w:hint="eastAsia" w:ascii="宋体" w:hAnsi="宋体" w:eastAsia="宋体" w:cs="宋体"/>
          <w:sz w:val="24"/>
        </w:rPr>
        <w:t>共享各种管理应用软件的业务模型</w:t>
      </w:r>
      <w:r>
        <w:rPr>
          <w:rFonts w:hint="eastAsia" w:ascii="宋体" w:hAnsi="宋体" w:eastAsia="宋体" w:cs="宋体"/>
          <w:sz w:val="10"/>
        </w:rPr>
        <w:t>，</w:t>
      </w:r>
      <w:r>
        <w:rPr>
          <w:rFonts w:hint="eastAsia" w:ascii="宋体" w:hAnsi="宋体" w:eastAsia="宋体" w:cs="宋体"/>
          <w:sz w:val="24"/>
        </w:rPr>
        <w:t>互相提供全业务支撑</w:t>
      </w:r>
      <w:r>
        <w:rPr>
          <w:rFonts w:hint="eastAsia" w:ascii="宋体" w:hAnsi="宋体" w:eastAsia="宋体" w:cs="宋体"/>
          <w:sz w:val="10"/>
        </w:rPr>
        <w:t>，</w:t>
      </w:r>
      <w:r>
        <w:rPr>
          <w:rFonts w:hint="eastAsia" w:ascii="宋体" w:hAnsi="宋体" w:eastAsia="宋体" w:cs="宋体"/>
          <w:sz w:val="24"/>
        </w:rPr>
        <w:t>有效地解决信息孤岛问题</w:t>
      </w:r>
      <w:r>
        <w:rPr>
          <w:rFonts w:hint="eastAsia" w:ascii="宋体" w:hAnsi="宋体" w:eastAsia="宋体" w:cs="宋体"/>
          <w:sz w:val="10"/>
        </w:rPr>
        <w:t>，</w:t>
      </w:r>
      <w:r>
        <w:rPr>
          <w:rFonts w:hint="eastAsia" w:ascii="宋体" w:hAnsi="宋体" w:eastAsia="宋体" w:cs="宋体"/>
          <w:sz w:val="24"/>
        </w:rPr>
        <w:t>充分发挥协同开发优势</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1-1-301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60" w:firstLine="480"/>
        <w:jc w:val="both"/>
      </w:pPr>
      <w:r>
        <w:rPr>
          <w:rFonts w:hint="eastAsia" w:ascii="宋体" w:hAnsi="宋体" w:eastAsia="宋体" w:cs="宋体"/>
          <w:sz w:val="24"/>
        </w:rPr>
        <w:t>上述研发模式</w:t>
      </w:r>
      <w:r>
        <w:rPr>
          <w:rFonts w:hint="eastAsia" w:ascii="宋体" w:hAnsi="宋体" w:eastAsia="宋体" w:cs="宋体"/>
          <w:sz w:val="10"/>
        </w:rPr>
        <w:t>，</w:t>
      </w:r>
      <w:r>
        <w:rPr>
          <w:rFonts w:hint="eastAsia" w:ascii="宋体" w:hAnsi="宋体" w:eastAsia="宋体" w:cs="宋体"/>
          <w:sz w:val="24"/>
        </w:rPr>
        <w:t>不仅充分体现了公司对行业的深刻理解和知识积累</w:t>
      </w:r>
      <w:r>
        <w:rPr>
          <w:rFonts w:hint="eastAsia" w:ascii="宋体" w:hAnsi="宋体" w:eastAsia="宋体" w:cs="宋体"/>
          <w:sz w:val="10"/>
        </w:rPr>
        <w:t>，</w:t>
      </w:r>
      <w:r>
        <w:rPr>
          <w:rFonts w:hint="eastAsia" w:ascii="宋体" w:hAnsi="宋体" w:eastAsia="宋体" w:cs="宋体"/>
          <w:sz w:val="24"/>
        </w:rPr>
        <w:t>同时也体现了公司的创新优势</w:t>
      </w:r>
      <w:r>
        <w:rPr>
          <w:rFonts w:hint="eastAsia" w:ascii="宋体" w:hAnsi="宋体" w:eastAsia="宋体" w:cs="宋体"/>
          <w:sz w:val="10"/>
        </w:rPr>
        <w:t>，</w:t>
      </w:r>
      <w:r>
        <w:rPr>
          <w:rFonts w:hint="eastAsia" w:ascii="宋体" w:hAnsi="宋体" w:eastAsia="宋体" w:cs="宋体"/>
          <w:sz w:val="24"/>
        </w:rPr>
        <w:t>为公司可持续发展打下了坚实的基础</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）大力吸引优秀的互联网金融人才</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软件企业的竞争</w:t>
      </w:r>
      <w:r>
        <w:rPr>
          <w:rFonts w:hint="eastAsia" w:ascii="宋体" w:hAnsi="宋体" w:eastAsia="宋体" w:cs="宋体"/>
          <w:sz w:val="10"/>
        </w:rPr>
        <w:t>，</w:t>
      </w:r>
      <w:r>
        <w:rPr>
          <w:rFonts w:hint="eastAsia" w:ascii="宋体" w:hAnsi="宋体" w:eastAsia="宋体" w:cs="宋体"/>
          <w:sz w:val="24"/>
        </w:rPr>
        <w:t>人才是根本</w:t>
      </w:r>
      <w:r>
        <w:rPr>
          <w:rFonts w:hint="eastAsia" w:ascii="宋体" w:hAnsi="宋体" w:eastAsia="宋体" w:cs="宋体"/>
          <w:sz w:val="10"/>
        </w:rPr>
        <w:t>。</w:t>
      </w:r>
      <w:r>
        <w:rPr>
          <w:rFonts w:hint="eastAsia" w:ascii="宋体" w:hAnsi="宋体" w:eastAsia="宋体" w:cs="宋体"/>
          <w:sz w:val="24"/>
        </w:rPr>
        <w:t>人才的优势将直接决定企业的竞争优势</w:t>
      </w:r>
      <w:r>
        <w:rPr>
          <w:rFonts w:hint="eastAsia" w:ascii="宋体" w:hAnsi="宋体" w:eastAsia="宋体" w:cs="宋体"/>
          <w:sz w:val="10"/>
        </w:rPr>
        <w:t>。</w:t>
      </w:r>
      <w:r>
        <w:rPr>
          <w:rFonts w:hint="eastAsia" w:ascii="宋体" w:hAnsi="宋体" w:eastAsia="宋体" w:cs="宋体"/>
          <w:sz w:val="24"/>
        </w:rPr>
        <w:t>特别是随着互联网金融的推进</w:t>
      </w:r>
      <w:r>
        <w:rPr>
          <w:rFonts w:hint="eastAsia" w:ascii="宋体" w:hAnsi="宋体" w:eastAsia="宋体" w:cs="宋体"/>
          <w:sz w:val="10"/>
        </w:rPr>
        <w:t>，</w:t>
      </w:r>
      <w:r>
        <w:rPr>
          <w:rFonts w:hint="eastAsia" w:ascii="宋体" w:hAnsi="宋体" w:eastAsia="宋体" w:cs="宋体"/>
          <w:sz w:val="24"/>
        </w:rPr>
        <w:t>为了抓住证券信息化的机遇</w:t>
      </w:r>
      <w:r>
        <w:rPr>
          <w:rFonts w:hint="eastAsia" w:ascii="宋体" w:hAnsi="宋体" w:eastAsia="宋体" w:cs="宋体"/>
          <w:sz w:val="10"/>
        </w:rPr>
        <w:t>，</w:t>
      </w:r>
      <w:r>
        <w:rPr>
          <w:rFonts w:hint="eastAsia" w:ascii="宋体" w:hAnsi="宋体" w:eastAsia="宋体" w:cs="宋体"/>
          <w:sz w:val="24"/>
        </w:rPr>
        <w:t>引领行业创新和变革的先锋</w:t>
      </w:r>
      <w:r>
        <w:rPr>
          <w:rFonts w:hint="eastAsia" w:ascii="宋体" w:hAnsi="宋体" w:eastAsia="宋体" w:cs="宋体"/>
          <w:sz w:val="10"/>
        </w:rPr>
        <w:t>，</w:t>
      </w:r>
      <w:r>
        <w:rPr>
          <w:rFonts w:hint="eastAsia" w:ascii="宋体" w:hAnsi="宋体" w:eastAsia="宋体" w:cs="宋体"/>
          <w:sz w:val="24"/>
        </w:rPr>
        <w:t>互联网金融人才将成为软件企业未来竞争的关键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公司坚持</w:t>
      </w:r>
      <w:r>
        <w:rPr>
          <w:rFonts w:hint="eastAsia" w:ascii="宋体" w:hAnsi="宋体" w:eastAsia="宋体" w:cs="宋体"/>
          <w:sz w:val="10"/>
        </w:rPr>
        <w:t>“</w:t>
      </w:r>
      <w:r>
        <w:rPr>
          <w:rFonts w:hint="eastAsia" w:ascii="宋体" w:hAnsi="宋体" w:eastAsia="宋体" w:cs="宋体"/>
          <w:sz w:val="24"/>
        </w:rPr>
        <w:t>客户</w:t>
      </w:r>
      <w:r>
        <w:rPr>
          <w:rFonts w:hint="eastAsia" w:ascii="宋体" w:hAnsi="宋体" w:eastAsia="宋体" w:cs="宋体"/>
          <w:sz w:val="10"/>
        </w:rPr>
        <w:t>、</w:t>
      </w:r>
      <w:r>
        <w:rPr>
          <w:rFonts w:hint="eastAsia" w:ascii="宋体" w:hAnsi="宋体" w:eastAsia="宋体" w:cs="宋体"/>
          <w:sz w:val="24"/>
        </w:rPr>
        <w:t>员工</w:t>
      </w:r>
      <w:r>
        <w:rPr>
          <w:rFonts w:hint="eastAsia" w:ascii="宋体" w:hAnsi="宋体" w:eastAsia="宋体" w:cs="宋体"/>
          <w:sz w:val="10"/>
        </w:rPr>
        <w:t>、</w:t>
      </w:r>
      <w:r>
        <w:rPr>
          <w:rFonts w:hint="eastAsia" w:ascii="宋体" w:hAnsi="宋体" w:eastAsia="宋体" w:cs="宋体"/>
          <w:sz w:val="24"/>
        </w:rPr>
        <w:t>股东共同成长</w:t>
      </w:r>
      <w:r>
        <w:rPr>
          <w:rFonts w:hint="eastAsia" w:ascii="宋体" w:hAnsi="宋体" w:eastAsia="宋体" w:cs="宋体"/>
          <w:sz w:val="10"/>
        </w:rPr>
        <w:t>”</w:t>
      </w:r>
      <w:r>
        <w:rPr>
          <w:rFonts w:hint="eastAsia" w:ascii="宋体" w:hAnsi="宋体" w:eastAsia="宋体" w:cs="宋体"/>
          <w:sz w:val="24"/>
        </w:rPr>
        <w:t>的宗旨</w:t>
      </w:r>
      <w:r>
        <w:rPr>
          <w:rFonts w:hint="eastAsia" w:ascii="宋体" w:hAnsi="宋体" w:eastAsia="宋体" w:cs="宋体"/>
          <w:sz w:val="10"/>
        </w:rPr>
        <w:t>，</w:t>
      </w:r>
      <w:r>
        <w:rPr>
          <w:rFonts w:hint="eastAsia" w:ascii="宋体" w:hAnsi="宋体" w:eastAsia="宋体" w:cs="宋体"/>
          <w:sz w:val="24"/>
        </w:rPr>
        <w:t>立足于激发员工的积极性</w:t>
      </w:r>
      <w:r>
        <w:rPr>
          <w:rFonts w:hint="eastAsia" w:ascii="宋体" w:hAnsi="宋体" w:eastAsia="宋体" w:cs="宋体"/>
          <w:sz w:val="10"/>
        </w:rPr>
        <w:t>、</w:t>
      </w:r>
      <w:r>
        <w:rPr>
          <w:rFonts w:hint="eastAsia" w:ascii="宋体" w:hAnsi="宋体" w:eastAsia="宋体" w:cs="宋体"/>
          <w:sz w:val="24"/>
        </w:rPr>
        <w:t>创造性及团队精神</w:t>
      </w:r>
      <w:r>
        <w:rPr>
          <w:rFonts w:hint="eastAsia" w:ascii="宋体" w:hAnsi="宋体" w:eastAsia="宋体" w:cs="宋体"/>
          <w:sz w:val="10"/>
        </w:rPr>
        <w:t>，</w:t>
      </w:r>
      <w:r>
        <w:rPr>
          <w:rFonts w:hint="eastAsia" w:ascii="宋体" w:hAnsi="宋体" w:eastAsia="宋体" w:cs="宋体"/>
          <w:sz w:val="24"/>
        </w:rPr>
        <w:t>建立完善的人才培养</w:t>
      </w:r>
      <w:r>
        <w:rPr>
          <w:rFonts w:hint="eastAsia" w:ascii="宋体" w:hAnsi="宋体" w:eastAsia="宋体" w:cs="宋体"/>
          <w:sz w:val="10"/>
        </w:rPr>
        <w:t>、</w:t>
      </w:r>
      <w:r>
        <w:rPr>
          <w:rFonts w:hint="eastAsia" w:ascii="宋体" w:hAnsi="宋体" w:eastAsia="宋体" w:cs="宋体"/>
          <w:sz w:val="24"/>
        </w:rPr>
        <w:t>培训</w:t>
      </w:r>
      <w:r>
        <w:rPr>
          <w:rFonts w:hint="eastAsia" w:ascii="宋体" w:hAnsi="宋体" w:eastAsia="宋体" w:cs="宋体"/>
          <w:sz w:val="10"/>
        </w:rPr>
        <w:t>、</w:t>
      </w:r>
      <w:r>
        <w:rPr>
          <w:rFonts w:hint="eastAsia" w:ascii="宋体" w:hAnsi="宋体" w:eastAsia="宋体" w:cs="宋体"/>
          <w:sz w:val="24"/>
        </w:rPr>
        <w:t>晋升机制</w:t>
      </w:r>
      <w:r>
        <w:rPr>
          <w:rFonts w:hint="eastAsia" w:ascii="宋体" w:hAnsi="宋体" w:eastAsia="宋体" w:cs="宋体"/>
          <w:sz w:val="10"/>
        </w:rPr>
        <w:t>，</w:t>
      </w:r>
      <w:r>
        <w:rPr>
          <w:rFonts w:hint="eastAsia" w:ascii="宋体" w:hAnsi="宋体" w:eastAsia="宋体" w:cs="宋体"/>
          <w:sz w:val="24"/>
        </w:rPr>
        <w:t>大力吸引优秀人才</w:t>
      </w:r>
      <w:r>
        <w:rPr>
          <w:rFonts w:hint="eastAsia" w:ascii="宋体" w:hAnsi="宋体" w:eastAsia="宋体" w:cs="宋体"/>
          <w:sz w:val="10"/>
        </w:rPr>
        <w:t>，</w:t>
      </w:r>
      <w:r>
        <w:rPr>
          <w:rFonts w:hint="eastAsia" w:ascii="宋体" w:hAnsi="宋体" w:eastAsia="宋体" w:cs="宋体"/>
          <w:sz w:val="24"/>
        </w:rPr>
        <w:t>尤其是互联网金融人才</w:t>
      </w:r>
      <w:r>
        <w:rPr>
          <w:rFonts w:hint="eastAsia" w:ascii="宋体" w:hAnsi="宋体" w:eastAsia="宋体" w:cs="宋体"/>
          <w:sz w:val="10"/>
        </w:rPr>
        <w:t>，</w:t>
      </w:r>
      <w:r>
        <w:rPr>
          <w:rFonts w:hint="eastAsia" w:ascii="宋体" w:hAnsi="宋体" w:eastAsia="宋体" w:cs="宋体"/>
          <w:sz w:val="24"/>
        </w:rPr>
        <w:t>推动企业的长足发展</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全面强化以北京</w:t>
      </w:r>
      <w:r>
        <w:rPr>
          <w:rFonts w:hint="eastAsia" w:ascii="宋体" w:hAnsi="宋体" w:eastAsia="宋体" w:cs="宋体"/>
          <w:sz w:val="10"/>
        </w:rPr>
        <w:t>、</w:t>
      </w:r>
      <w:r>
        <w:rPr>
          <w:rFonts w:hint="eastAsia" w:ascii="宋体" w:hAnsi="宋体" w:eastAsia="宋体" w:cs="宋体"/>
          <w:sz w:val="24"/>
        </w:rPr>
        <w:t>上海</w:t>
      </w:r>
      <w:r>
        <w:rPr>
          <w:rFonts w:hint="eastAsia" w:ascii="宋体" w:hAnsi="宋体" w:eastAsia="宋体" w:cs="宋体"/>
          <w:sz w:val="10"/>
        </w:rPr>
        <w:t>、</w:t>
      </w:r>
      <w:r>
        <w:rPr>
          <w:rFonts w:hint="eastAsia" w:ascii="宋体" w:hAnsi="宋体" w:eastAsia="宋体" w:cs="宋体"/>
          <w:sz w:val="24"/>
        </w:rPr>
        <w:t>深圳等区域为核心的项目交付团队</w:t>
      </w:r>
      <w:r>
        <w:rPr>
          <w:rFonts w:hint="eastAsia" w:ascii="宋体" w:hAnsi="宋体" w:eastAsia="宋体" w:cs="宋体"/>
          <w:sz w:val="10"/>
        </w:rPr>
        <w:t>，</w:t>
      </w:r>
      <w:r>
        <w:rPr>
          <w:rFonts w:hint="eastAsia" w:ascii="宋体" w:hAnsi="宋体" w:eastAsia="宋体" w:cs="宋体"/>
          <w:sz w:val="24"/>
        </w:rPr>
        <w:t>提升服务金融客户的能力</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公司的客户主要集中在以北京</w:t>
      </w:r>
      <w:r>
        <w:rPr>
          <w:rFonts w:hint="eastAsia" w:ascii="宋体" w:hAnsi="宋体" w:eastAsia="宋体" w:cs="宋体"/>
          <w:sz w:val="10"/>
        </w:rPr>
        <w:t>、</w:t>
      </w:r>
      <w:r>
        <w:rPr>
          <w:rFonts w:hint="eastAsia" w:ascii="宋体" w:hAnsi="宋体" w:eastAsia="宋体" w:cs="宋体"/>
          <w:sz w:val="24"/>
        </w:rPr>
        <w:t>上海</w:t>
      </w:r>
      <w:r>
        <w:rPr>
          <w:rFonts w:hint="eastAsia" w:ascii="宋体" w:hAnsi="宋体" w:eastAsia="宋体" w:cs="宋体"/>
          <w:sz w:val="10"/>
        </w:rPr>
        <w:t>、</w:t>
      </w:r>
      <w:r>
        <w:rPr>
          <w:rFonts w:hint="eastAsia" w:ascii="宋体" w:hAnsi="宋体" w:eastAsia="宋体" w:cs="宋体"/>
          <w:sz w:val="24"/>
        </w:rPr>
        <w:t>深圳等区域为核心的城市周围</w:t>
      </w:r>
      <w:r>
        <w:rPr>
          <w:rFonts w:hint="eastAsia" w:ascii="宋体" w:hAnsi="宋体" w:eastAsia="宋体" w:cs="宋体"/>
          <w:sz w:val="10"/>
        </w:rPr>
        <w:t>。</w:t>
      </w:r>
      <w:r>
        <w:rPr>
          <w:rFonts w:hint="eastAsia" w:ascii="宋体" w:hAnsi="宋体" w:eastAsia="宋体" w:cs="宋体"/>
          <w:sz w:val="24"/>
        </w:rPr>
        <w:t>公司未来将进一步提升上述区域内的项目实施及交付能力</w:t>
      </w:r>
      <w:r>
        <w:rPr>
          <w:rFonts w:hint="eastAsia" w:ascii="宋体" w:hAnsi="宋体" w:eastAsia="宋体" w:cs="宋体"/>
          <w:sz w:val="10"/>
        </w:rPr>
        <w:t>，</w:t>
      </w:r>
      <w:r>
        <w:rPr>
          <w:rFonts w:hint="eastAsia" w:ascii="宋体" w:hAnsi="宋体" w:eastAsia="宋体" w:cs="宋体"/>
          <w:sz w:val="24"/>
        </w:rPr>
        <w:t>快速积极地响应客户的服务需求</w:t>
      </w:r>
      <w:r>
        <w:rPr>
          <w:rFonts w:hint="eastAsia" w:ascii="宋体" w:hAnsi="宋体" w:eastAsia="宋体" w:cs="宋体"/>
          <w:sz w:val="10"/>
        </w:rPr>
        <w:t>，</w:t>
      </w:r>
      <w:r>
        <w:rPr>
          <w:rFonts w:hint="eastAsia" w:ascii="宋体" w:hAnsi="宋体" w:eastAsia="宋体" w:cs="宋体"/>
          <w:sz w:val="24"/>
        </w:rPr>
        <w:t>不断巩固和夯实公司在金融行业形成的竞争优势</w:t>
      </w:r>
      <w:r>
        <w:rPr>
          <w:rFonts w:hint="eastAsia" w:ascii="宋体" w:hAnsi="宋体" w:eastAsia="宋体" w:cs="宋体"/>
          <w:sz w:val="10"/>
        </w:rPr>
        <w:t>，</w:t>
      </w:r>
      <w:r>
        <w:rPr>
          <w:rFonts w:hint="eastAsia" w:ascii="宋体" w:hAnsi="宋体" w:eastAsia="宋体" w:cs="宋体"/>
          <w:sz w:val="24"/>
        </w:rPr>
        <w:t>全面提升公司的服务质量和服务能力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在非金融行业</w:t>
      </w:r>
      <w:r>
        <w:rPr>
          <w:rFonts w:hint="eastAsia" w:ascii="宋体" w:hAnsi="宋体" w:eastAsia="宋体" w:cs="宋体"/>
          <w:sz w:val="10"/>
        </w:rPr>
        <w:t>，</w:t>
      </w:r>
      <w:r>
        <w:rPr>
          <w:rFonts w:hint="eastAsia" w:ascii="宋体" w:hAnsi="宋体" w:eastAsia="宋体" w:cs="宋体"/>
          <w:sz w:val="24"/>
        </w:rPr>
        <w:t>大力支持下属子公司的发展</w:t>
      </w:r>
      <w:r>
        <w:rPr>
          <w:rFonts w:hint="eastAsia" w:ascii="宋体" w:hAnsi="宋体" w:eastAsia="宋体" w:cs="宋体"/>
          <w:sz w:val="10"/>
        </w:rPr>
        <w:t>，</w:t>
      </w:r>
      <w:r>
        <w:rPr>
          <w:rFonts w:hint="eastAsia" w:ascii="宋体" w:hAnsi="宋体" w:eastAsia="宋体" w:cs="宋体"/>
          <w:sz w:val="24"/>
        </w:rPr>
        <w:t>通过建立</w:t>
      </w:r>
      <w:r>
        <w:rPr>
          <w:rFonts w:hint="eastAsia" w:ascii="宋体" w:hAnsi="宋体" w:eastAsia="宋体" w:cs="宋体"/>
          <w:sz w:val="10"/>
        </w:rPr>
        <w:t>、</w:t>
      </w:r>
      <w:r>
        <w:rPr>
          <w:rFonts w:hint="eastAsia" w:ascii="宋体" w:hAnsi="宋体" w:eastAsia="宋体" w:cs="宋体"/>
          <w:sz w:val="24"/>
        </w:rPr>
        <w:t>安排灵活</w:t>
      </w:r>
      <w:r>
        <w:rPr>
          <w:rFonts w:hint="eastAsia" w:ascii="宋体" w:hAnsi="宋体" w:eastAsia="宋体" w:cs="宋体"/>
          <w:sz w:val="10"/>
        </w:rPr>
        <w:t>、</w:t>
      </w:r>
      <w:r>
        <w:rPr>
          <w:rFonts w:hint="eastAsia" w:ascii="宋体" w:hAnsi="宋体" w:eastAsia="宋体" w:cs="宋体"/>
          <w:sz w:val="24"/>
        </w:rPr>
        <w:t>有效的激励机制</w:t>
      </w:r>
      <w:r>
        <w:rPr>
          <w:rFonts w:hint="eastAsia" w:ascii="宋体" w:hAnsi="宋体" w:eastAsia="宋体" w:cs="宋体"/>
          <w:sz w:val="10"/>
        </w:rPr>
        <w:t>，</w:t>
      </w:r>
      <w:r>
        <w:rPr>
          <w:rFonts w:hint="eastAsia" w:ascii="宋体" w:hAnsi="宋体" w:eastAsia="宋体" w:cs="宋体"/>
          <w:sz w:val="24"/>
        </w:rPr>
        <w:t>不断提升公司的综合竞争实力</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公司在非金融行业的业务主要由下属子公司顶点信息和亿维航软件开展</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顶点信息主要从事非金融行业企业信息化业务</w:t>
      </w:r>
      <w:r>
        <w:rPr>
          <w:rFonts w:hint="eastAsia" w:ascii="宋体" w:hAnsi="宋体" w:eastAsia="宋体" w:cs="宋体"/>
          <w:sz w:val="10"/>
        </w:rPr>
        <w:t>，</w:t>
      </w:r>
      <w:r>
        <w:rPr>
          <w:rFonts w:hint="eastAsia" w:ascii="宋体" w:hAnsi="宋体" w:eastAsia="宋体" w:cs="宋体"/>
          <w:sz w:val="24"/>
        </w:rPr>
        <w:t>亿维航软件主要从事教育软件开发领域信息化业务</w:t>
      </w:r>
      <w:r>
        <w:rPr>
          <w:rFonts w:hint="eastAsia" w:ascii="宋体" w:hAnsi="宋体" w:eastAsia="宋体" w:cs="宋体"/>
          <w:sz w:val="10"/>
        </w:rPr>
        <w:t>。</w:t>
      </w:r>
      <w:r>
        <w:rPr>
          <w:rFonts w:hint="eastAsia" w:ascii="宋体" w:hAnsi="宋体" w:eastAsia="宋体" w:cs="宋体"/>
          <w:sz w:val="24"/>
        </w:rPr>
        <w:t>非金融行业业务是公司未来发展的重点之一，</w:t>
      </w:r>
      <w:r>
        <w:rPr>
          <w:rFonts w:hint="eastAsia" w:ascii="宋体" w:hAnsi="宋体" w:eastAsia="宋体" w:cs="宋体"/>
          <w:sz w:val="24"/>
        </w:rPr>
        <w:t>开展非金融行业业务能够促进公司的全面综合发展</w:t>
      </w:r>
      <w:r>
        <w:rPr>
          <w:rFonts w:hint="eastAsia" w:ascii="宋体" w:hAnsi="宋体" w:eastAsia="宋体" w:cs="宋体"/>
          <w:sz w:val="10"/>
        </w:rPr>
        <w:t>，</w:t>
      </w:r>
      <w:r>
        <w:rPr>
          <w:rFonts w:hint="eastAsia" w:ascii="宋体" w:hAnsi="宋体" w:eastAsia="宋体" w:cs="宋体"/>
          <w:sz w:val="24"/>
        </w:rPr>
        <w:t>提升公司的综合竞争实力</w:t>
      </w:r>
      <w:r>
        <w:rPr>
          <w:rFonts w:hint="eastAsia" w:ascii="宋体" w:hAnsi="宋体" w:eastAsia="宋体" w:cs="宋体"/>
          <w:sz w:val="10"/>
        </w:rPr>
        <w:t>。</w:t>
      </w:r>
      <w:r>
        <w:rPr>
          <w:rFonts w:hint="eastAsia" w:ascii="宋体" w:hAnsi="宋体" w:eastAsia="宋体" w:cs="宋体"/>
          <w:sz w:val="24"/>
        </w:rPr>
        <w:t>公司将在不断巩固金融行业竞争优势的基础上</w:t>
      </w:r>
      <w:r>
        <w:rPr>
          <w:rFonts w:hint="eastAsia" w:ascii="宋体" w:hAnsi="宋体" w:eastAsia="宋体" w:cs="宋体"/>
          <w:sz w:val="10"/>
        </w:rPr>
        <w:t>，</w:t>
      </w:r>
      <w:r>
        <w:rPr>
          <w:rFonts w:hint="eastAsia" w:ascii="宋体" w:hAnsi="宋体" w:eastAsia="宋体" w:cs="宋体"/>
          <w:sz w:val="24"/>
        </w:rPr>
        <w:t>通过建立</w:t>
      </w:r>
      <w:r>
        <w:rPr>
          <w:rFonts w:hint="eastAsia" w:ascii="宋体" w:hAnsi="宋体" w:eastAsia="宋体" w:cs="宋体"/>
          <w:sz w:val="10"/>
        </w:rPr>
        <w:t>、</w:t>
      </w:r>
      <w:r>
        <w:rPr>
          <w:rFonts w:hint="eastAsia" w:ascii="宋体" w:hAnsi="宋体" w:eastAsia="宋体" w:cs="宋体"/>
          <w:sz w:val="24"/>
        </w:rPr>
        <w:t>安排灵活</w:t>
      </w:r>
      <w:r>
        <w:rPr>
          <w:rFonts w:hint="eastAsia" w:ascii="宋体" w:hAnsi="宋体" w:eastAsia="宋体" w:cs="宋体"/>
          <w:sz w:val="10"/>
        </w:rPr>
        <w:t>、</w:t>
      </w:r>
      <w:r>
        <w:rPr>
          <w:rFonts w:hint="eastAsia" w:ascii="宋体" w:hAnsi="宋体" w:eastAsia="宋体" w:cs="宋体"/>
          <w:sz w:val="24"/>
        </w:rPr>
        <w:t>有效的激励机制</w:t>
      </w:r>
      <w:r>
        <w:rPr>
          <w:rFonts w:hint="eastAsia" w:ascii="宋体" w:hAnsi="宋体" w:eastAsia="宋体" w:cs="宋体"/>
          <w:sz w:val="10"/>
        </w:rPr>
        <w:t>，</w:t>
      </w:r>
      <w:r>
        <w:rPr>
          <w:rFonts w:hint="eastAsia" w:ascii="宋体" w:hAnsi="宋体" w:eastAsia="宋体" w:cs="宋体"/>
          <w:sz w:val="24"/>
        </w:rPr>
        <w:t>大力支持非金融行业的发展</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在金融行业</w:t>
      </w:r>
      <w:r>
        <w:rPr>
          <w:rFonts w:hint="eastAsia" w:ascii="宋体" w:hAnsi="宋体" w:eastAsia="宋体" w:cs="宋体"/>
          <w:sz w:val="10"/>
        </w:rPr>
        <w:t>，</w:t>
      </w:r>
      <w:r>
        <w:rPr>
          <w:rFonts w:hint="eastAsia" w:ascii="宋体" w:hAnsi="宋体" w:eastAsia="宋体" w:cs="宋体"/>
          <w:sz w:val="24"/>
        </w:rPr>
        <w:t>持续打造相关应用产品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通过持续创新能力和核心技术优势</w:t>
      </w:r>
      <w:r>
        <w:rPr>
          <w:rFonts w:hint="eastAsia" w:ascii="宋体" w:hAnsi="宋体" w:eastAsia="宋体" w:cs="宋体"/>
          <w:sz w:val="10"/>
        </w:rPr>
        <w:t>，</w:t>
      </w:r>
      <w:r>
        <w:rPr>
          <w:rFonts w:hint="eastAsia" w:ascii="宋体" w:hAnsi="宋体" w:eastAsia="宋体" w:cs="宋体"/>
          <w:sz w:val="24"/>
        </w:rPr>
        <w:t>公司在金融行业积累了一定的竞争优势</w:t>
      </w:r>
      <w:r>
        <w:rPr>
          <w:rFonts w:hint="eastAsia" w:ascii="宋体" w:hAnsi="宋体" w:eastAsia="宋体" w:cs="宋体"/>
          <w:sz w:val="10"/>
        </w:rPr>
        <w:t>，</w:t>
      </w:r>
      <w:r>
        <w:rPr>
          <w:rFonts w:hint="eastAsia" w:ascii="宋体" w:hAnsi="宋体" w:eastAsia="宋体" w:cs="宋体"/>
          <w:sz w:val="24"/>
        </w:rPr>
        <w:t>尤其是在证券行业营销服务流程管理系统领域</w:t>
      </w:r>
      <w:r>
        <w:rPr>
          <w:rFonts w:hint="eastAsia" w:ascii="宋体" w:hAnsi="宋体" w:eastAsia="宋体" w:cs="宋体"/>
          <w:sz w:val="10"/>
        </w:rPr>
        <w:t>，</w:t>
      </w:r>
      <w:r>
        <w:rPr>
          <w:rFonts w:hint="eastAsia" w:ascii="宋体" w:hAnsi="宋体" w:eastAsia="宋体" w:cs="宋体"/>
          <w:sz w:val="24"/>
        </w:rPr>
        <w:t>形成了以</w:t>
      </w:r>
      <w:r>
        <w:rPr>
          <w:rFonts w:hint="eastAsia" w:ascii="宋体" w:hAnsi="宋体" w:eastAsia="宋体" w:cs="宋体"/>
          <w:sz w:val="10"/>
        </w:rPr>
        <w:t>“</w:t>
      </w:r>
      <w:r>
        <w:rPr>
          <w:rFonts w:hint="eastAsia" w:ascii="宋体" w:hAnsi="宋体" w:eastAsia="宋体" w:cs="宋体"/>
          <w:sz w:val="24"/>
        </w:rPr>
        <w:t>管理咨询</w:t>
      </w:r>
      <w:r>
        <w:rPr>
          <w:rFonts w:hint="eastAsia" w:ascii="Times New Roman" w:hAnsi="Times New Roman" w:eastAsia="Times New Roman" w:cs="Times New Roman"/>
          <w:sz w:val="24"/>
        </w:rPr>
        <w:t>+IT</w:t>
      </w:r>
      <w:r>
        <w:rPr>
          <w:rFonts w:hint="eastAsia" w:ascii="宋体" w:hAnsi="宋体" w:eastAsia="宋体" w:cs="宋体"/>
          <w:sz w:val="24"/>
        </w:rPr>
        <w:t xml:space="preserve"> 服务</w:t>
      </w:r>
      <w:r>
        <w:rPr>
          <w:rFonts w:hint="eastAsia" w:ascii="宋体" w:hAnsi="宋体" w:eastAsia="宋体" w:cs="宋体"/>
          <w:sz w:val="10"/>
        </w:rPr>
        <w:t>”</w:t>
      </w:r>
      <w:r>
        <w:rPr>
          <w:rFonts w:hint="eastAsia" w:ascii="宋体" w:hAnsi="宋体" w:eastAsia="宋体" w:cs="宋体"/>
          <w:sz w:val="24"/>
        </w:rPr>
        <w:t>模式服务客户的初步基础</w:t>
      </w:r>
      <w:r>
        <w:rPr>
          <w:rFonts w:hint="eastAsia" w:ascii="宋体" w:hAnsi="宋体" w:eastAsia="宋体" w:cs="宋体"/>
          <w:sz w:val="10"/>
        </w:rPr>
        <w:t>。</w:t>
      </w:r>
      <w:r>
        <w:rPr>
          <w:rFonts w:hint="eastAsia" w:ascii="宋体" w:hAnsi="宋体" w:eastAsia="宋体" w:cs="宋体"/>
          <w:sz w:val="24"/>
        </w:rPr>
        <w:t>在不断夯实金融行业竞争优势的基础上</w:t>
      </w:r>
      <w:r>
        <w:rPr>
          <w:rFonts w:hint="eastAsia" w:ascii="宋体" w:hAnsi="宋体" w:eastAsia="宋体" w:cs="宋体"/>
          <w:sz w:val="10"/>
        </w:rPr>
        <w:t>，</w:t>
      </w:r>
      <w:r>
        <w:rPr>
          <w:rFonts w:hint="eastAsia" w:ascii="宋体" w:hAnsi="宋体" w:eastAsia="宋体" w:cs="宋体"/>
          <w:sz w:val="24"/>
        </w:rPr>
        <w:t>公司将在监管合规的前提下</w:t>
      </w:r>
      <w:r>
        <w:rPr>
          <w:rFonts w:hint="eastAsia" w:ascii="宋体" w:hAnsi="宋体" w:eastAsia="宋体" w:cs="宋体"/>
          <w:sz w:val="10"/>
        </w:rPr>
        <w:t>，</w:t>
      </w:r>
      <w:r>
        <w:rPr>
          <w:rFonts w:hint="eastAsia" w:ascii="宋体" w:hAnsi="宋体" w:eastAsia="宋体" w:cs="宋体"/>
          <w:sz w:val="24"/>
        </w:rPr>
        <w:t>紧跟</w:t>
      </w:r>
      <w:r>
        <w:rPr>
          <w:rFonts w:hint="eastAsia" w:ascii="Times New Roman" w:hAnsi="Times New Roman" w:eastAsia="Times New Roman" w:cs="Times New Roman"/>
          <w:sz w:val="24"/>
        </w:rPr>
        <w:t xml:space="preserve"> Fintech</w:t>
      </w:r>
      <w:r>
        <w:rPr>
          <w:rFonts w:hint="eastAsia" w:ascii="宋体" w:hAnsi="宋体" w:eastAsia="宋体" w:cs="宋体"/>
          <w:sz w:val="24"/>
        </w:rPr>
        <w:t xml:space="preserve"> 领域发展前沿</w:t>
      </w:r>
      <w:r>
        <w:rPr>
          <w:rFonts w:hint="eastAsia" w:ascii="宋体" w:hAnsi="宋体" w:eastAsia="宋体" w:cs="宋体"/>
          <w:sz w:val="10"/>
        </w:rPr>
        <w:t>，</w:t>
      </w:r>
      <w:r>
        <w:rPr>
          <w:rFonts w:hint="eastAsia" w:ascii="宋体" w:hAnsi="宋体" w:eastAsia="宋体" w:cs="宋体"/>
          <w:sz w:val="24"/>
        </w:rPr>
        <w:t>以财富管理等应用作为突破口</w:t>
      </w:r>
      <w:r>
        <w:rPr>
          <w:rFonts w:hint="eastAsia" w:ascii="宋体" w:hAnsi="宋体" w:eastAsia="宋体" w:cs="宋体"/>
          <w:sz w:val="10"/>
        </w:rPr>
        <w:t>，</w:t>
      </w:r>
      <w:r>
        <w:rPr>
          <w:rFonts w:hint="eastAsia" w:ascii="宋体" w:hAnsi="宋体" w:eastAsia="宋体" w:cs="宋体"/>
          <w:sz w:val="24"/>
        </w:rPr>
        <w:t>持续打造相关产品</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1-1-302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w:hAnsi="Times New Roman" w:eastAsia="Times New Roman" w:cs="Times New Roman"/>
          <w:sz w:val="24"/>
        </w:rPr>
        <w:t>5</w:t>
      </w:r>
      <w:r>
        <w:rPr>
          <w:rFonts w:hint="eastAsia" w:ascii="宋体" w:hAnsi="宋体" w:eastAsia="宋体" w:cs="宋体"/>
          <w:sz w:val="10"/>
        </w:rPr>
        <w:t>、</w:t>
      </w:r>
      <w:r>
        <w:rPr>
          <w:rFonts w:hint="eastAsia" w:ascii="宋体" w:hAnsi="宋体" w:eastAsia="宋体" w:cs="宋体"/>
          <w:sz w:val="24"/>
        </w:rPr>
        <w:t>打造以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应用为重点方向的综合平台</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是指利用信息通信技术以及互联网平台</w:t>
      </w:r>
      <w:r>
        <w:rPr>
          <w:rFonts w:hint="eastAsia" w:ascii="宋体" w:hAnsi="宋体" w:eastAsia="宋体" w:cs="宋体"/>
          <w:sz w:val="10"/>
        </w:rPr>
        <w:t>，</w:t>
      </w:r>
      <w:r>
        <w:rPr>
          <w:rFonts w:hint="eastAsia" w:ascii="宋体" w:hAnsi="宋体" w:eastAsia="宋体" w:cs="宋体"/>
          <w:sz w:val="24"/>
        </w:rPr>
        <w:t>让互联网与传统行业进行深</w:t>
      </w:r>
    </w:p>
    <w:p>
      <w:pPr>
        <w:spacing w:line="200" w:lineRule="exact"/>
        <w:rPr>
          <w:rFonts w:hint="eastAsia" w:ascii="宋体" w:hAnsi="宋体" w:eastAsia="宋体" w:cs="宋体"/>
          <w:sz w:val="20"/>
        </w:rPr>
      </w:pPr>
    </w:p>
    <w:p>
      <w:pPr>
        <w:autoSpaceDE w:val="false"/>
        <w:autoSpaceDN w:val="false"/>
        <w:spacing w:line="360" w:lineRule="exact"/>
        <w:ind w:left="1440" w:right="1240"/>
        <w:jc w:val="both"/>
      </w:pPr>
      <w:r>
        <w:rPr>
          <w:rFonts w:hint="eastAsia" w:ascii="宋体" w:hAnsi="宋体" w:eastAsia="宋体" w:cs="宋体"/>
          <w:sz w:val="24"/>
        </w:rPr>
        <w:t>度融合</w:t>
      </w:r>
      <w:r>
        <w:rPr>
          <w:rFonts w:hint="eastAsia" w:ascii="宋体" w:hAnsi="宋体" w:eastAsia="宋体" w:cs="宋体"/>
          <w:sz w:val="10"/>
        </w:rPr>
        <w:t>，</w:t>
      </w:r>
      <w:r>
        <w:rPr>
          <w:rFonts w:hint="eastAsia" w:ascii="宋体" w:hAnsi="宋体" w:eastAsia="宋体" w:cs="宋体"/>
          <w:sz w:val="24"/>
        </w:rPr>
        <w:t>创造新的发展生态</w:t>
      </w:r>
      <w:r>
        <w:rPr>
          <w:rFonts w:hint="eastAsia" w:ascii="宋体" w:hAnsi="宋体" w:eastAsia="宋体" w:cs="宋体"/>
          <w:sz w:val="10"/>
        </w:rPr>
        <w:t>。</w:t>
      </w:r>
      <w:r>
        <w:rPr>
          <w:rFonts w:hint="eastAsia" w:ascii="宋体" w:hAnsi="宋体" w:eastAsia="宋体" w:cs="宋体"/>
          <w:sz w:val="24"/>
        </w:rPr>
        <w:t>公司紧抓线上线下整合的机遇</w:t>
      </w:r>
      <w:r>
        <w:rPr>
          <w:rFonts w:hint="eastAsia" w:ascii="宋体" w:hAnsi="宋体" w:eastAsia="宋体" w:cs="宋体"/>
          <w:sz w:val="10"/>
        </w:rPr>
        <w:t>，</w:t>
      </w:r>
      <w:r>
        <w:rPr>
          <w:rFonts w:hint="eastAsia" w:ascii="宋体" w:hAnsi="宋体" w:eastAsia="宋体" w:cs="宋体"/>
          <w:sz w:val="24"/>
        </w:rPr>
        <w:t>以传统行业革新和整合的应用软件为重点发展方向</w:t>
      </w:r>
      <w:r>
        <w:rPr>
          <w:rFonts w:hint="eastAsia" w:ascii="宋体" w:hAnsi="宋体" w:eastAsia="宋体" w:cs="宋体"/>
          <w:sz w:val="10"/>
        </w:rPr>
        <w:t>，</w:t>
      </w:r>
      <w:r>
        <w:rPr>
          <w:rFonts w:hint="eastAsia" w:ascii="宋体" w:hAnsi="宋体" w:eastAsia="宋体" w:cs="宋体"/>
          <w:sz w:val="24"/>
        </w:rPr>
        <w:t>全面打造以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应用为重点方向的综合平台</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24"/>
        </w:rPr>
        <w:t>二、</w:t>
      </w:r>
      <w:r>
        <w:rPr>
          <w:rFonts w:hint="eastAsia" w:ascii="ºÚÌå" w:hAnsi="ºÚÌå" w:eastAsia="ºÚÌå" w:cs="ºÚÌå"/>
          <w:sz w:val="30"/>
        </w:rPr>
        <w:t>拟定上述计划依据的条件和面临的主要困难</w:t>
      </w:r>
    </w:p>
    <w:p>
      <w:pPr>
        <w:spacing w:line="200" w:lineRule="exact"/>
        <w:rPr>
          <w:rFonts w:hint="eastAsia" w:ascii="宋体" w:hAnsi="宋体" w:eastAsia="宋体" w:cs="宋体"/>
          <w:sz w:val="20"/>
        </w:rPr>
      </w:pPr>
    </w:p>
    <w:p>
      <w:pPr>
        <w:autoSpaceDE w:val="false"/>
        <w:autoSpaceDN w:val="false"/>
        <w:spacing w:line="460" w:lineRule="exact"/>
        <w:ind w:left="1440"/>
        <w:jc w:val="both"/>
      </w:pPr>
      <w:r>
        <w:rPr>
          <w:rFonts w:hint="eastAsia" w:ascii="宋体" w:hAnsi="宋体" w:eastAsia="宋体" w:cs="宋体"/>
          <w:b/>
          <w:sz w:val="30"/>
        </w:rPr>
        <w:t>（一）</w:t>
      </w:r>
      <w:r>
        <w:rPr>
          <w:rFonts w:hint="eastAsia" w:ascii="宋体" w:hAnsi="宋体" w:eastAsia="宋体" w:cs="宋体"/>
          <w:b/>
          <w:sz w:val="24"/>
        </w:rPr>
        <w:t>拟定上述计划所依据的假设条件</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国家的宏观经济</w:t>
      </w:r>
      <w:r>
        <w:rPr>
          <w:rFonts w:hint="eastAsia" w:ascii="宋体" w:hAnsi="宋体" w:eastAsia="宋体" w:cs="宋体"/>
          <w:sz w:val="10"/>
        </w:rPr>
        <w:t>、</w:t>
      </w:r>
      <w:r>
        <w:rPr>
          <w:rFonts w:hint="eastAsia" w:ascii="宋体" w:hAnsi="宋体" w:eastAsia="宋体" w:cs="宋体"/>
          <w:sz w:val="24"/>
        </w:rPr>
        <w:t>政治</w:t>
      </w:r>
      <w:r>
        <w:rPr>
          <w:rFonts w:hint="eastAsia" w:ascii="宋体" w:hAnsi="宋体" w:eastAsia="宋体" w:cs="宋体"/>
          <w:sz w:val="10"/>
        </w:rPr>
        <w:t>、</w:t>
      </w:r>
      <w:r>
        <w:rPr>
          <w:rFonts w:hint="eastAsia" w:ascii="宋体" w:hAnsi="宋体" w:eastAsia="宋体" w:cs="宋体"/>
          <w:sz w:val="24"/>
        </w:rPr>
        <w:t>法律和社会环境处于持续</w:t>
      </w:r>
      <w:r>
        <w:rPr>
          <w:rFonts w:hint="eastAsia" w:ascii="宋体" w:hAnsi="宋体" w:eastAsia="宋体" w:cs="宋体"/>
          <w:sz w:val="10"/>
        </w:rPr>
        <w:t>、</w:t>
      </w:r>
      <w:r>
        <w:rPr>
          <w:rFonts w:hint="eastAsia" w:ascii="宋体" w:hAnsi="宋体" w:eastAsia="宋体" w:cs="宋体"/>
          <w:sz w:val="24"/>
        </w:rPr>
        <w:t>健康</w:t>
      </w:r>
      <w:r>
        <w:rPr>
          <w:rFonts w:hint="eastAsia" w:ascii="宋体" w:hAnsi="宋体" w:eastAsia="宋体" w:cs="宋体"/>
          <w:sz w:val="10"/>
        </w:rPr>
        <w:t>、</w:t>
      </w:r>
      <w:r>
        <w:rPr>
          <w:rFonts w:hint="eastAsia" w:ascii="宋体" w:hAnsi="宋体" w:eastAsia="宋体" w:cs="宋体"/>
          <w:sz w:val="24"/>
        </w:rPr>
        <w:t>稳定的发展之中</w:t>
      </w:r>
      <w:r>
        <w:rPr>
          <w:rFonts w:hint="eastAsia" w:ascii="宋体" w:hAnsi="宋体" w:eastAsia="宋体" w:cs="宋体"/>
          <w:sz w:val="12"/>
        </w:rPr>
        <w:t>；</w:t>
      </w:r>
      <w:r>
        <w:rPr>
          <w:rFonts w:hint="eastAsia" w:ascii="宋体" w:hAnsi="宋体" w:eastAsia="宋体" w:cs="宋体"/>
          <w:sz w:val="24"/>
        </w:rPr>
        <w:t>国家鼓励发展软件及高新科技行业的产业政策未发生重大变化</w:t>
      </w:r>
      <w:r>
        <w:rPr>
          <w:rFonts w:hint="eastAsia" w:ascii="宋体" w:hAnsi="宋体" w:eastAsia="宋体" w:cs="宋体"/>
          <w:sz w:val="12"/>
        </w:rPr>
        <w:t>；</w:t>
      </w:r>
      <w:r>
        <w:rPr>
          <w:rFonts w:hint="eastAsia" w:ascii="宋体" w:hAnsi="宋体" w:eastAsia="宋体" w:cs="宋体"/>
          <w:sz w:val="24"/>
        </w:rPr>
        <w:t>国家现行的税收</w:t>
      </w:r>
      <w:r>
        <w:rPr>
          <w:rFonts w:hint="eastAsia" w:ascii="宋体" w:hAnsi="宋体" w:eastAsia="宋体" w:cs="宋体"/>
          <w:sz w:val="10"/>
        </w:rPr>
        <w:t>、</w:t>
      </w:r>
      <w:r>
        <w:rPr>
          <w:rFonts w:hint="eastAsia" w:ascii="宋体" w:hAnsi="宋体" w:eastAsia="宋体" w:cs="宋体"/>
          <w:sz w:val="24"/>
        </w:rPr>
        <w:t>利率政策无重大变化</w:t>
      </w:r>
      <w:r>
        <w:rPr>
          <w:rFonts w:hint="eastAsia" w:ascii="宋体" w:hAnsi="宋体" w:eastAsia="宋体" w:cs="宋体"/>
          <w:sz w:val="14"/>
        </w:rPr>
        <w:t>；</w:t>
      </w:r>
      <w:r>
        <w:rPr>
          <w:rFonts w:hint="eastAsia" w:ascii="宋体" w:hAnsi="宋体" w:eastAsia="宋体" w:cs="宋体"/>
          <w:sz w:val="24"/>
        </w:rPr>
        <w:t>此次公开发行股票的顺利实施和募集资金的及时到位</w:t>
      </w:r>
      <w:r>
        <w:rPr>
          <w:rFonts w:hint="eastAsia" w:ascii="宋体" w:hAnsi="宋体" w:eastAsia="宋体" w:cs="宋体"/>
          <w:sz w:val="14"/>
        </w:rPr>
        <w:t>；</w:t>
      </w:r>
      <w:r>
        <w:rPr>
          <w:rFonts w:hint="eastAsia" w:ascii="宋体" w:hAnsi="宋体" w:eastAsia="宋体" w:cs="宋体"/>
          <w:sz w:val="24"/>
        </w:rPr>
        <w:t>公司此次募集资金项目的建设与运作达到预期效益</w:t>
      </w:r>
      <w:r>
        <w:rPr>
          <w:rFonts w:hint="eastAsia" w:ascii="宋体" w:hAnsi="宋体" w:eastAsia="宋体" w:cs="宋体"/>
          <w:sz w:val="12"/>
        </w:rPr>
        <w:t>；</w:t>
      </w:r>
      <w:r>
        <w:rPr>
          <w:rFonts w:hint="eastAsia" w:ascii="宋体" w:hAnsi="宋体" w:eastAsia="宋体" w:cs="宋体"/>
          <w:sz w:val="24"/>
        </w:rPr>
        <w:t>公司能够持续保持现有管理层</w:t>
      </w:r>
      <w:r>
        <w:rPr>
          <w:rFonts w:hint="eastAsia" w:ascii="宋体" w:hAnsi="宋体" w:eastAsia="宋体" w:cs="宋体"/>
          <w:sz w:val="10"/>
        </w:rPr>
        <w:t>、</w:t>
      </w:r>
      <w:r>
        <w:rPr>
          <w:rFonts w:hint="eastAsia" w:ascii="宋体" w:hAnsi="宋体" w:eastAsia="宋体" w:cs="宋体"/>
          <w:sz w:val="24"/>
        </w:rPr>
        <w:t>核心技术人员的稳定性和连续性</w:t>
      </w:r>
      <w:r>
        <w:rPr>
          <w:rFonts w:hint="eastAsia" w:ascii="宋体" w:hAnsi="宋体" w:eastAsia="宋体" w:cs="宋体"/>
          <w:sz w:val="14"/>
        </w:rPr>
        <w:t>；</w:t>
      </w:r>
      <w:r>
        <w:rPr>
          <w:rFonts w:hint="eastAsia" w:ascii="宋体" w:hAnsi="宋体" w:eastAsia="宋体" w:cs="宋体"/>
          <w:sz w:val="24"/>
        </w:rPr>
        <w:t>无其他人力不可抗拒的因素造成的重大影响</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80" w:lineRule="exact"/>
        <w:ind w:left="1440"/>
        <w:jc w:val="both"/>
      </w:pPr>
      <w:r>
        <w:rPr>
          <w:rFonts w:hint="eastAsia" w:ascii="宋体" w:hAnsi="宋体" w:eastAsia="宋体" w:cs="宋体"/>
          <w:b/>
          <w:sz w:val="24"/>
        </w:rPr>
        <w:t>（二）实施过程中将面临的主要困难</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随着公司业务的较快发展</w:t>
      </w:r>
      <w:r>
        <w:rPr>
          <w:rFonts w:hint="eastAsia" w:ascii="宋体" w:hAnsi="宋体" w:eastAsia="宋体" w:cs="宋体"/>
          <w:sz w:val="10"/>
        </w:rPr>
        <w:t>，</w:t>
      </w:r>
      <w:r>
        <w:rPr>
          <w:rFonts w:hint="eastAsia" w:ascii="宋体" w:hAnsi="宋体" w:eastAsia="宋体" w:cs="宋体"/>
          <w:sz w:val="24"/>
        </w:rPr>
        <w:t>公司在资金需求</w:t>
      </w:r>
      <w:r>
        <w:rPr>
          <w:rFonts w:hint="eastAsia" w:ascii="宋体" w:hAnsi="宋体" w:eastAsia="宋体" w:cs="宋体"/>
          <w:sz w:val="10"/>
        </w:rPr>
        <w:t>、</w:t>
      </w:r>
      <w:r>
        <w:rPr>
          <w:rFonts w:hint="eastAsia" w:ascii="宋体" w:hAnsi="宋体" w:eastAsia="宋体" w:cs="宋体"/>
          <w:sz w:val="24"/>
        </w:rPr>
        <w:t>人力资源配置</w:t>
      </w:r>
      <w:r>
        <w:rPr>
          <w:rFonts w:hint="eastAsia" w:ascii="宋体" w:hAnsi="宋体" w:eastAsia="宋体" w:cs="宋体"/>
          <w:sz w:val="10"/>
        </w:rPr>
        <w:t>、</w:t>
      </w:r>
      <w:r>
        <w:rPr>
          <w:rFonts w:hint="eastAsia" w:ascii="宋体" w:hAnsi="宋体" w:eastAsia="宋体" w:cs="宋体"/>
          <w:sz w:val="24"/>
        </w:rPr>
        <w:t>运营管理等方面都将面临更大的挑战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公司近年来主要通过自我积累实现滚动发展</w:t>
      </w:r>
      <w:r>
        <w:rPr>
          <w:rFonts w:hint="eastAsia" w:ascii="宋体" w:hAnsi="宋体" w:eastAsia="宋体" w:cs="宋体"/>
          <w:sz w:val="10"/>
        </w:rPr>
        <w:t>，</w:t>
      </w:r>
      <w:r>
        <w:rPr>
          <w:rFonts w:hint="eastAsia" w:ascii="宋体" w:hAnsi="宋体" w:eastAsia="宋体" w:cs="宋体"/>
          <w:sz w:val="24"/>
        </w:rPr>
        <w:t>但由于固定资产少</w:t>
      </w:r>
      <w:r>
        <w:rPr>
          <w:rFonts w:hint="eastAsia" w:ascii="宋体" w:hAnsi="宋体" w:eastAsia="宋体" w:cs="宋体"/>
          <w:sz w:val="10"/>
        </w:rPr>
        <w:t>，</w:t>
      </w:r>
      <w:r>
        <w:rPr>
          <w:rFonts w:hint="eastAsia" w:ascii="宋体" w:hAnsi="宋体" w:eastAsia="宋体" w:cs="宋体"/>
          <w:sz w:val="24"/>
        </w:rPr>
        <w:t>负债融资空间有限</w:t>
      </w:r>
      <w:r>
        <w:rPr>
          <w:rFonts w:hint="eastAsia" w:ascii="宋体" w:hAnsi="宋体" w:eastAsia="宋体" w:cs="宋体"/>
          <w:sz w:val="10"/>
        </w:rPr>
        <w:t>，</w:t>
      </w:r>
      <w:r>
        <w:rPr>
          <w:rFonts w:hint="eastAsia" w:ascii="宋体" w:hAnsi="宋体" w:eastAsia="宋体" w:cs="宋体"/>
          <w:sz w:val="24"/>
        </w:rPr>
        <w:t>限制了公司的业务经营和市场拓展</w:t>
      </w:r>
      <w:r>
        <w:rPr>
          <w:rFonts w:hint="eastAsia" w:ascii="宋体" w:hAnsi="宋体" w:eastAsia="宋体" w:cs="宋体"/>
          <w:sz w:val="10"/>
        </w:rPr>
        <w:t>。</w:t>
      </w:r>
      <w:r>
        <w:rPr>
          <w:rFonts w:hint="eastAsia" w:ascii="宋体" w:hAnsi="宋体" w:eastAsia="宋体" w:cs="宋体"/>
          <w:sz w:val="24"/>
        </w:rPr>
        <w:t>上述规划和目标的实施</w:t>
      </w:r>
      <w:r>
        <w:rPr>
          <w:rFonts w:hint="eastAsia" w:ascii="宋体" w:hAnsi="宋体" w:eastAsia="宋体" w:cs="宋体"/>
          <w:sz w:val="10"/>
        </w:rPr>
        <w:t>，</w:t>
      </w:r>
      <w:r>
        <w:rPr>
          <w:rFonts w:hint="eastAsia" w:ascii="宋体" w:hAnsi="宋体" w:eastAsia="宋体" w:cs="宋体"/>
          <w:sz w:val="24"/>
        </w:rPr>
        <w:t>需要大量的资金投入</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通过本次公开发行股票筹集资金成为公司发展规划和目标顺利实施的关键所在</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近年来</w:t>
      </w:r>
      <w:r>
        <w:rPr>
          <w:rFonts w:hint="eastAsia" w:ascii="宋体" w:hAnsi="宋体" w:eastAsia="宋体" w:cs="宋体"/>
          <w:sz w:val="10"/>
        </w:rPr>
        <w:t>，</w:t>
      </w:r>
      <w:r>
        <w:rPr>
          <w:rFonts w:hint="eastAsia" w:ascii="宋体" w:hAnsi="宋体" w:eastAsia="宋体" w:cs="宋体"/>
          <w:sz w:val="24"/>
        </w:rPr>
        <w:t>公司通过自身的经营发展</w:t>
      </w:r>
      <w:r>
        <w:rPr>
          <w:rFonts w:hint="eastAsia" w:ascii="宋体" w:hAnsi="宋体" w:eastAsia="宋体" w:cs="宋体"/>
          <w:sz w:val="10"/>
        </w:rPr>
        <w:t>，</w:t>
      </w:r>
      <w:r>
        <w:rPr>
          <w:rFonts w:hint="eastAsia" w:ascii="宋体" w:hAnsi="宋体" w:eastAsia="宋体" w:cs="宋体"/>
          <w:sz w:val="24"/>
        </w:rPr>
        <w:t>培养和积累了</w:t>
      </w:r>
      <w:r>
        <w:rPr>
          <w:rFonts w:hint="eastAsia" w:ascii="宋体" w:hAnsi="宋体" w:eastAsia="宋体" w:cs="宋体"/>
          <w:sz w:val="10"/>
        </w:rPr>
        <w:t>一</w:t>
      </w:r>
      <w:r>
        <w:rPr>
          <w:rFonts w:hint="eastAsia" w:ascii="宋体" w:hAnsi="宋体" w:eastAsia="宋体" w:cs="宋体"/>
          <w:sz w:val="24"/>
        </w:rPr>
        <w:t>批技术开发和经营管理人才</w:t>
      </w:r>
      <w:r>
        <w:rPr>
          <w:rFonts w:hint="eastAsia" w:ascii="宋体" w:hAnsi="宋体" w:eastAsia="宋体" w:cs="宋体"/>
          <w:sz w:val="10"/>
        </w:rPr>
        <w:t>，</w:t>
      </w:r>
      <w:r>
        <w:rPr>
          <w:rFonts w:hint="eastAsia" w:ascii="宋体" w:hAnsi="宋体" w:eastAsia="宋体" w:cs="宋体"/>
          <w:sz w:val="24"/>
        </w:rPr>
        <w:t>随着上述计划的实施</w:t>
      </w:r>
      <w:r>
        <w:rPr>
          <w:rFonts w:hint="eastAsia" w:ascii="宋体" w:hAnsi="宋体" w:eastAsia="宋体" w:cs="宋体"/>
          <w:sz w:val="10"/>
        </w:rPr>
        <w:t>，</w:t>
      </w:r>
      <w:r>
        <w:rPr>
          <w:rFonts w:hint="eastAsia" w:ascii="宋体" w:hAnsi="宋体" w:eastAsia="宋体" w:cs="宋体"/>
          <w:sz w:val="24"/>
        </w:rPr>
        <w:t>公司的研发能力</w:t>
      </w:r>
      <w:r>
        <w:rPr>
          <w:rFonts w:hint="eastAsia" w:ascii="宋体" w:hAnsi="宋体" w:eastAsia="宋体" w:cs="宋体"/>
          <w:sz w:val="10"/>
        </w:rPr>
        <w:t>、</w:t>
      </w:r>
      <w:r>
        <w:rPr>
          <w:rFonts w:hint="eastAsia" w:ascii="宋体" w:hAnsi="宋体" w:eastAsia="宋体" w:cs="宋体"/>
          <w:sz w:val="24"/>
        </w:rPr>
        <w:t>营销网络将会迅速扩张</w:t>
      </w:r>
      <w:r>
        <w:rPr>
          <w:rFonts w:hint="eastAsia" w:ascii="宋体" w:hAnsi="宋体" w:eastAsia="宋体" w:cs="宋体"/>
          <w:sz w:val="10"/>
        </w:rPr>
        <w:t>，</w:t>
      </w:r>
      <w:r>
        <w:rPr>
          <w:rFonts w:hint="eastAsia" w:ascii="宋体" w:hAnsi="宋体" w:eastAsia="宋体" w:cs="宋体"/>
          <w:sz w:val="24"/>
        </w:rPr>
        <w:t>产品结构和组织管理也将趋于复杂</w:t>
      </w:r>
      <w:r>
        <w:rPr>
          <w:rFonts w:hint="eastAsia" w:ascii="宋体" w:hAnsi="宋体" w:eastAsia="宋体" w:cs="宋体"/>
          <w:sz w:val="10"/>
        </w:rPr>
        <w:t>，</w:t>
      </w:r>
      <w:r>
        <w:rPr>
          <w:rFonts w:hint="eastAsia" w:ascii="宋体" w:hAnsi="宋体" w:eastAsia="宋体" w:cs="宋体"/>
          <w:sz w:val="24"/>
        </w:rPr>
        <w:t>公司对高层次</w:t>
      </w:r>
      <w:r>
        <w:rPr>
          <w:rFonts w:hint="eastAsia" w:ascii="宋体" w:hAnsi="宋体" w:eastAsia="宋体" w:cs="宋体"/>
          <w:sz w:val="10"/>
        </w:rPr>
        <w:t>、</w:t>
      </w:r>
      <w:r>
        <w:rPr>
          <w:rFonts w:hint="eastAsia" w:ascii="宋体" w:hAnsi="宋体" w:eastAsia="宋体" w:cs="宋体"/>
          <w:sz w:val="24"/>
        </w:rPr>
        <w:t>复合型经营管理人才和研发人员的需求将增加</w:t>
      </w:r>
      <w:r>
        <w:rPr>
          <w:rFonts w:hint="eastAsia" w:ascii="宋体" w:hAnsi="宋体" w:eastAsia="宋体" w:cs="宋体"/>
          <w:sz w:val="10"/>
        </w:rPr>
        <w:t>，</w:t>
      </w:r>
      <w:r>
        <w:rPr>
          <w:rFonts w:hint="eastAsia" w:ascii="宋体" w:hAnsi="宋体" w:eastAsia="宋体" w:cs="宋体"/>
          <w:sz w:val="24"/>
        </w:rPr>
        <w:t>公司将面临较大的人力资源需求的压力</w:t>
      </w:r>
      <w:r>
        <w:rPr>
          <w:rFonts w:hint="eastAsia" w:ascii="宋体" w:hAnsi="宋体" w:eastAsia="宋体" w:cs="宋体"/>
          <w:sz w:val="14"/>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随着业务和规模的快速发展</w:t>
      </w:r>
      <w:r>
        <w:rPr>
          <w:rFonts w:hint="eastAsia" w:ascii="宋体" w:hAnsi="宋体" w:eastAsia="宋体" w:cs="宋体"/>
          <w:sz w:val="10"/>
        </w:rPr>
        <w:t>，</w:t>
      </w:r>
      <w:r>
        <w:rPr>
          <w:rFonts w:hint="eastAsia" w:ascii="宋体" w:hAnsi="宋体" w:eastAsia="宋体" w:cs="宋体"/>
          <w:sz w:val="24"/>
        </w:rPr>
        <w:t>公司的管理水平将面临较大的挑战</w:t>
      </w:r>
      <w:r>
        <w:rPr>
          <w:rFonts w:hint="eastAsia" w:ascii="宋体" w:hAnsi="宋体" w:eastAsia="宋体" w:cs="宋体"/>
          <w:sz w:val="10"/>
        </w:rPr>
        <w:t>。</w:t>
      </w:r>
      <w:r>
        <w:rPr>
          <w:rFonts w:hint="eastAsia" w:ascii="宋体" w:hAnsi="宋体" w:eastAsia="宋体" w:cs="宋体"/>
          <w:sz w:val="24"/>
        </w:rPr>
        <w:t>尤其在公司成为公众公司并迅速扩大经营规模后</w:t>
      </w:r>
      <w:r>
        <w:rPr>
          <w:rFonts w:hint="eastAsia" w:ascii="宋体" w:hAnsi="宋体" w:eastAsia="宋体" w:cs="宋体"/>
          <w:sz w:val="10"/>
        </w:rPr>
        <w:t>，</w:t>
      </w:r>
      <w:r>
        <w:rPr>
          <w:rFonts w:hint="eastAsia" w:ascii="宋体" w:hAnsi="宋体" w:eastAsia="宋体" w:cs="宋体"/>
          <w:sz w:val="24"/>
        </w:rPr>
        <w:t>公司的组织结构和管理体系将进一步复杂化</w:t>
      </w:r>
      <w:r>
        <w:rPr>
          <w:rFonts w:hint="eastAsia" w:ascii="宋体" w:hAnsi="宋体" w:eastAsia="宋体" w:cs="宋体"/>
          <w:sz w:val="10"/>
        </w:rPr>
        <w:t>，</w:t>
      </w:r>
      <w:r>
        <w:rPr>
          <w:rFonts w:hint="eastAsia" w:ascii="宋体" w:hAnsi="宋体" w:eastAsia="宋体" w:cs="宋体"/>
          <w:sz w:val="24"/>
        </w:rPr>
        <w:t>在战略规划</w:t>
      </w:r>
      <w:r>
        <w:rPr>
          <w:rFonts w:hint="eastAsia" w:ascii="宋体" w:hAnsi="宋体" w:eastAsia="宋体" w:cs="宋体"/>
          <w:sz w:val="10"/>
        </w:rPr>
        <w:t>、</w:t>
      </w:r>
      <w:r>
        <w:rPr>
          <w:rFonts w:hint="eastAsia" w:ascii="宋体" w:hAnsi="宋体" w:eastAsia="宋体" w:cs="宋体"/>
          <w:sz w:val="24"/>
        </w:rPr>
        <w:t>组织设计</w:t>
      </w:r>
      <w:r>
        <w:rPr>
          <w:rFonts w:hint="eastAsia" w:ascii="宋体" w:hAnsi="宋体" w:eastAsia="宋体" w:cs="宋体"/>
          <w:sz w:val="10"/>
        </w:rPr>
        <w:t>、</w:t>
      </w:r>
      <w:r>
        <w:rPr>
          <w:rFonts w:hint="eastAsia" w:ascii="宋体" w:hAnsi="宋体" w:eastAsia="宋体" w:cs="宋体"/>
          <w:sz w:val="24"/>
        </w:rPr>
        <w:t>资源配置</w:t>
      </w:r>
      <w:r>
        <w:rPr>
          <w:rFonts w:hint="eastAsia" w:ascii="宋体" w:hAnsi="宋体" w:eastAsia="宋体" w:cs="宋体"/>
          <w:sz w:val="10"/>
        </w:rPr>
        <w:t>、</w:t>
      </w:r>
      <w:r>
        <w:rPr>
          <w:rFonts w:hint="eastAsia" w:ascii="宋体" w:hAnsi="宋体" w:eastAsia="宋体" w:cs="宋体"/>
          <w:sz w:val="24"/>
        </w:rPr>
        <w:t>营销策略</w:t>
      </w:r>
      <w:r>
        <w:rPr>
          <w:rFonts w:hint="eastAsia" w:ascii="宋体" w:hAnsi="宋体" w:eastAsia="宋体" w:cs="宋体"/>
          <w:sz w:val="10"/>
        </w:rPr>
        <w:t>，</w:t>
      </w:r>
      <w:r>
        <w:rPr>
          <w:rFonts w:hint="eastAsia" w:ascii="宋体" w:hAnsi="宋体" w:eastAsia="宋体" w:cs="宋体"/>
          <w:sz w:val="24"/>
        </w:rPr>
        <w:t>特别是资金管理和内部控制等问题上都将面对新的挑战</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5620"/>
        <w:jc w:val="both"/>
      </w:pPr>
      <w:r>
        <w:rPr>
          <w:rFonts w:hint="eastAsia" w:ascii="Times New Roman" w:hAnsi="Times New Roman" w:eastAsia="Times New Roman" w:cs="Times New Roman"/>
          <w:sz w:val="21"/>
        </w:rPr>
        <w:t>1-1-303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b/>
          <w:sz w:val="20"/>
        </w:rPr>
        <w:t>（</w:t>
      </w:r>
      <w:r>
        <w:rPr>
          <w:rFonts w:hint="eastAsia" w:ascii="宋体" w:hAnsi="宋体" w:eastAsia="宋体" w:cs="宋体"/>
          <w:b/>
          <w:sz w:val="24"/>
        </w:rPr>
        <w:t>三）确保实现规划和目标采用的方法或途径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公司拟采用以下方法和途径确保规划和目标的实现</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公司本次发行股票将为实现上述业务目标提供资金支持</w:t>
      </w:r>
      <w:r>
        <w:rPr>
          <w:rFonts w:hint="eastAsia" w:ascii="宋体" w:hAnsi="宋体" w:eastAsia="宋体" w:cs="宋体"/>
          <w:sz w:val="10"/>
        </w:rPr>
        <w:t>，</w:t>
      </w:r>
      <w:r>
        <w:rPr>
          <w:rFonts w:hint="eastAsia" w:ascii="宋体" w:hAnsi="宋体" w:eastAsia="宋体" w:cs="宋体"/>
          <w:sz w:val="24"/>
        </w:rPr>
        <w:t>公司将认真组织项目的实施</w:t>
      </w:r>
      <w:r>
        <w:rPr>
          <w:rFonts w:hint="eastAsia" w:ascii="宋体" w:hAnsi="宋体" w:eastAsia="宋体" w:cs="宋体"/>
          <w:sz w:val="10"/>
        </w:rPr>
        <w:t>，</w:t>
      </w:r>
      <w:r>
        <w:rPr>
          <w:rFonts w:hint="eastAsia" w:ascii="宋体" w:hAnsi="宋体" w:eastAsia="宋体" w:cs="宋体"/>
          <w:sz w:val="24"/>
        </w:rPr>
        <w:t>争取尽快实现效益</w:t>
      </w:r>
      <w:r>
        <w:rPr>
          <w:rFonts w:hint="eastAsia" w:ascii="宋体" w:hAnsi="宋体" w:eastAsia="宋体" w:cs="宋体"/>
          <w:sz w:val="10"/>
        </w:rPr>
        <w:t>，</w:t>
      </w:r>
      <w:r>
        <w:rPr>
          <w:rFonts w:hint="eastAsia" w:ascii="宋体" w:hAnsi="宋体" w:eastAsia="宋体" w:cs="宋体"/>
          <w:sz w:val="24"/>
        </w:rPr>
        <w:t>强化主营业务收入基础</w:t>
      </w:r>
      <w:r>
        <w:rPr>
          <w:rFonts w:hint="eastAsia" w:ascii="宋体" w:hAnsi="宋体" w:eastAsia="宋体" w:cs="宋体"/>
          <w:sz w:val="10"/>
        </w:rPr>
        <w:t>，</w:t>
      </w:r>
      <w:r>
        <w:rPr>
          <w:rFonts w:hint="eastAsia" w:ascii="宋体" w:hAnsi="宋体" w:eastAsia="宋体" w:cs="宋体"/>
          <w:sz w:val="24"/>
        </w:rPr>
        <w:t>提升企业盈利能力</w:t>
      </w:r>
      <w:r>
        <w:rPr>
          <w:rFonts w:hint="eastAsia" w:ascii="宋体" w:hAnsi="宋体" w:eastAsia="宋体" w:cs="宋体"/>
          <w:sz w:val="10"/>
        </w:rPr>
        <w:t>，</w:t>
      </w:r>
      <w:r>
        <w:rPr>
          <w:rFonts w:hint="eastAsia" w:ascii="宋体" w:hAnsi="宋体" w:eastAsia="宋体" w:cs="宋体"/>
          <w:sz w:val="24"/>
        </w:rPr>
        <w:t>保持并提升企业在流程信息化领域的核心竞争优势</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公司将严格按照上市公司的要求规范运作</w:t>
      </w:r>
      <w:r>
        <w:rPr>
          <w:rFonts w:hint="eastAsia" w:ascii="宋体" w:hAnsi="宋体" w:eastAsia="宋体" w:cs="宋体"/>
          <w:sz w:val="10"/>
        </w:rPr>
        <w:t>，</w:t>
      </w:r>
      <w:r>
        <w:rPr>
          <w:rFonts w:hint="eastAsia" w:ascii="宋体" w:hAnsi="宋体" w:eastAsia="宋体" w:cs="宋体"/>
          <w:sz w:val="24"/>
        </w:rPr>
        <w:t>进一步加强公司治理</w:t>
      </w:r>
      <w:r>
        <w:rPr>
          <w:rFonts w:hint="eastAsia" w:ascii="宋体" w:hAnsi="宋体" w:eastAsia="宋体" w:cs="宋体"/>
          <w:sz w:val="10"/>
        </w:rPr>
        <w:t>、</w:t>
      </w:r>
      <w:r>
        <w:rPr>
          <w:rFonts w:hint="eastAsia" w:ascii="宋体" w:hAnsi="宋体" w:eastAsia="宋体" w:cs="宋体"/>
          <w:sz w:val="24"/>
        </w:rPr>
        <w:t>风险管理和财务管理的能力</w:t>
      </w:r>
      <w:r>
        <w:rPr>
          <w:rFonts w:hint="eastAsia" w:ascii="宋体" w:hAnsi="宋体" w:eastAsia="宋体" w:cs="宋体"/>
          <w:sz w:val="10"/>
        </w:rPr>
        <w:t>，</w:t>
      </w:r>
      <w:r>
        <w:rPr>
          <w:rFonts w:hint="eastAsia" w:ascii="宋体" w:hAnsi="宋体" w:eastAsia="宋体" w:cs="宋体"/>
          <w:sz w:val="24"/>
        </w:rPr>
        <w:t>持续优化资源配置</w:t>
      </w:r>
      <w:r>
        <w:rPr>
          <w:rFonts w:hint="eastAsia" w:ascii="宋体" w:hAnsi="宋体" w:eastAsia="宋体" w:cs="宋体"/>
          <w:sz w:val="10"/>
        </w:rPr>
        <w:t>，</w:t>
      </w:r>
      <w:r>
        <w:rPr>
          <w:rFonts w:hint="eastAsia" w:ascii="宋体" w:hAnsi="宋体" w:eastAsia="宋体" w:cs="宋体"/>
          <w:sz w:val="24"/>
        </w:rPr>
        <w:t>改进业务流程</w:t>
      </w:r>
      <w:r>
        <w:rPr>
          <w:rFonts w:hint="eastAsia" w:ascii="宋体" w:hAnsi="宋体" w:eastAsia="宋体" w:cs="宋体"/>
          <w:sz w:val="10"/>
        </w:rPr>
        <w:t>，</w:t>
      </w:r>
      <w:r>
        <w:rPr>
          <w:rFonts w:hint="eastAsia" w:ascii="宋体" w:hAnsi="宋体" w:eastAsia="宋体" w:cs="宋体"/>
          <w:sz w:val="24"/>
        </w:rPr>
        <w:t>规范内部管理</w:t>
      </w:r>
      <w:r>
        <w:rPr>
          <w:rFonts w:hint="eastAsia" w:ascii="宋体" w:hAnsi="宋体" w:eastAsia="宋体" w:cs="宋体"/>
          <w:sz w:val="10"/>
        </w:rPr>
        <w:t>，</w:t>
      </w:r>
      <w:r>
        <w:rPr>
          <w:rFonts w:hint="eastAsia" w:ascii="宋体" w:hAnsi="宋体" w:eastAsia="宋体" w:cs="宋体"/>
          <w:sz w:val="24"/>
        </w:rPr>
        <w:t>提高决策效率</w:t>
      </w:r>
      <w:r>
        <w:rPr>
          <w:rFonts w:hint="eastAsia" w:ascii="宋体" w:hAnsi="宋体" w:eastAsia="宋体" w:cs="宋体"/>
          <w:sz w:val="10"/>
        </w:rPr>
        <w:t>，</w:t>
      </w:r>
      <w:r>
        <w:rPr>
          <w:rFonts w:hint="eastAsia" w:ascii="宋体" w:hAnsi="宋体" w:eastAsia="宋体" w:cs="宋体"/>
          <w:sz w:val="24"/>
        </w:rPr>
        <w:t>保障公司各项规划目标的顺利实现</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以本次发行为契机</w:t>
      </w:r>
      <w:r>
        <w:rPr>
          <w:rFonts w:hint="eastAsia" w:ascii="宋体" w:hAnsi="宋体" w:eastAsia="宋体" w:cs="宋体"/>
          <w:sz w:val="10"/>
        </w:rPr>
        <w:t>，</w:t>
      </w:r>
      <w:r>
        <w:rPr>
          <w:rFonts w:hint="eastAsia" w:ascii="宋体" w:hAnsi="宋体" w:eastAsia="宋体" w:cs="宋体"/>
          <w:sz w:val="24"/>
        </w:rPr>
        <w:t>公司将按照人员扩充计划</w:t>
      </w:r>
      <w:r>
        <w:rPr>
          <w:rFonts w:hint="eastAsia" w:ascii="宋体" w:hAnsi="宋体" w:eastAsia="宋体" w:cs="宋体"/>
          <w:sz w:val="10"/>
        </w:rPr>
        <w:t>，</w:t>
      </w:r>
      <w:r>
        <w:rPr>
          <w:rFonts w:hint="eastAsia" w:ascii="宋体" w:hAnsi="宋体" w:eastAsia="宋体" w:cs="宋体"/>
          <w:sz w:val="24"/>
        </w:rPr>
        <w:t>加快对优秀人才尤其是专业技术人才和管理人才的引进</w:t>
      </w:r>
      <w:r>
        <w:rPr>
          <w:rFonts w:hint="eastAsia" w:ascii="宋体" w:hAnsi="宋体" w:eastAsia="宋体" w:cs="宋体"/>
          <w:sz w:val="10"/>
        </w:rPr>
        <w:t>，</w:t>
      </w:r>
      <w:r>
        <w:rPr>
          <w:rFonts w:hint="eastAsia" w:ascii="宋体" w:hAnsi="宋体" w:eastAsia="宋体" w:cs="宋体"/>
          <w:sz w:val="24"/>
        </w:rPr>
        <w:t>提高公司的人才竞争优势</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60" w:firstLine="48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提高公司的社会知名度和市场影响力</w:t>
      </w:r>
      <w:r>
        <w:rPr>
          <w:rFonts w:hint="eastAsia" w:ascii="宋体" w:hAnsi="宋体" w:eastAsia="宋体" w:cs="宋体"/>
          <w:sz w:val="10"/>
        </w:rPr>
        <w:t>，</w:t>
      </w:r>
      <w:r>
        <w:rPr>
          <w:rFonts w:hint="eastAsia" w:ascii="宋体" w:hAnsi="宋体" w:eastAsia="宋体" w:cs="宋体"/>
          <w:sz w:val="24"/>
        </w:rPr>
        <w:t>进一步提升公司的形象</w:t>
      </w:r>
      <w:r>
        <w:rPr>
          <w:rFonts w:hint="eastAsia" w:ascii="宋体" w:hAnsi="宋体" w:eastAsia="宋体" w:cs="宋体"/>
          <w:sz w:val="10"/>
        </w:rPr>
        <w:t>，</w:t>
      </w:r>
      <w:r>
        <w:rPr>
          <w:rFonts w:hint="eastAsia" w:ascii="宋体" w:hAnsi="宋体" w:eastAsia="宋体" w:cs="宋体"/>
          <w:sz w:val="24"/>
        </w:rPr>
        <w:t>充分利用公司的现有资源</w:t>
      </w:r>
      <w:r>
        <w:rPr>
          <w:rFonts w:hint="eastAsia" w:ascii="宋体" w:hAnsi="宋体" w:eastAsia="宋体" w:cs="宋体"/>
          <w:sz w:val="10"/>
        </w:rPr>
        <w:t>，</w:t>
      </w:r>
      <w:r>
        <w:rPr>
          <w:rFonts w:hint="eastAsia" w:ascii="宋体" w:hAnsi="宋体" w:eastAsia="宋体" w:cs="宋体"/>
          <w:sz w:val="24"/>
        </w:rPr>
        <w:t>提高公司产品的市场占有率</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Times New Roman" w:hAnsi="Times New Roman" w:eastAsia="Times New Roman" w:cs="Times New Roman"/>
          <w:sz w:val="24"/>
        </w:rPr>
        <w:t>5</w:t>
      </w:r>
      <w:r>
        <w:rPr>
          <w:rFonts w:hint="eastAsia" w:ascii="宋体" w:hAnsi="宋体" w:eastAsia="宋体" w:cs="宋体"/>
          <w:sz w:val="10"/>
        </w:rPr>
        <w:t>、</w:t>
      </w:r>
      <w:r>
        <w:rPr>
          <w:rFonts w:hint="eastAsia" w:ascii="宋体" w:hAnsi="宋体" w:eastAsia="宋体" w:cs="宋体"/>
          <w:sz w:val="24"/>
        </w:rPr>
        <w:t>准确的把握软件行业的发展方向</w:t>
      </w:r>
      <w:r>
        <w:rPr>
          <w:rFonts w:hint="eastAsia" w:ascii="宋体" w:hAnsi="宋体" w:eastAsia="宋体" w:cs="宋体"/>
          <w:sz w:val="10"/>
        </w:rPr>
        <w:t>，</w:t>
      </w:r>
      <w:r>
        <w:rPr>
          <w:rFonts w:hint="eastAsia" w:ascii="宋体" w:hAnsi="宋体" w:eastAsia="宋体" w:cs="宋体"/>
          <w:sz w:val="24"/>
        </w:rPr>
        <w:t>加强信息技术的跟踪研究和分析</w:t>
      </w:r>
      <w:r>
        <w:rPr>
          <w:rFonts w:hint="eastAsia" w:ascii="宋体" w:hAnsi="宋体" w:eastAsia="宋体" w:cs="宋体"/>
          <w:sz w:val="10"/>
        </w:rPr>
        <w:t>，</w:t>
      </w:r>
      <w:r>
        <w:rPr>
          <w:rFonts w:hint="eastAsia" w:ascii="宋体" w:hAnsi="宋体" w:eastAsia="宋体" w:cs="宋体"/>
          <w:sz w:val="24"/>
        </w:rPr>
        <w:t>实现研究成果与客户业务转型</w:t>
      </w:r>
      <w:r>
        <w:rPr>
          <w:rFonts w:hint="eastAsia" w:ascii="宋体" w:hAnsi="宋体" w:eastAsia="宋体" w:cs="宋体"/>
          <w:sz w:val="10"/>
        </w:rPr>
        <w:t>、</w:t>
      </w:r>
      <w:r>
        <w:rPr>
          <w:rFonts w:hint="eastAsia" w:ascii="宋体" w:hAnsi="宋体" w:eastAsia="宋体" w:cs="宋体"/>
          <w:sz w:val="24"/>
        </w:rPr>
        <w:t>业务模式创新同步</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60" w:lineRule="exact"/>
        <w:ind w:left="144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上述发展计划与现有业务的关系</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公司业务发展计划是在现有业务的基础上</w:t>
      </w:r>
      <w:r>
        <w:rPr>
          <w:rFonts w:hint="eastAsia" w:ascii="宋体" w:hAnsi="宋体" w:eastAsia="宋体" w:cs="宋体"/>
          <w:sz w:val="10"/>
        </w:rPr>
        <w:t>，</w:t>
      </w:r>
      <w:r>
        <w:rPr>
          <w:rFonts w:hint="eastAsia" w:ascii="宋体" w:hAnsi="宋体" w:eastAsia="宋体" w:cs="宋体"/>
          <w:sz w:val="24"/>
        </w:rPr>
        <w:t>结合公司实际情况</w:t>
      </w:r>
      <w:r>
        <w:rPr>
          <w:rFonts w:hint="eastAsia" w:ascii="宋体" w:hAnsi="宋体" w:eastAsia="宋体" w:cs="宋体"/>
          <w:sz w:val="10"/>
        </w:rPr>
        <w:t>，</w:t>
      </w:r>
      <w:r>
        <w:rPr>
          <w:rFonts w:hint="eastAsia" w:ascii="宋体" w:hAnsi="宋体" w:eastAsia="宋体" w:cs="宋体"/>
          <w:sz w:val="24"/>
        </w:rPr>
        <w:t>根据行业的发展趋势</w:t>
      </w:r>
      <w:r>
        <w:rPr>
          <w:rFonts w:hint="eastAsia" w:ascii="宋体" w:hAnsi="宋体" w:eastAsia="宋体" w:cs="宋体"/>
          <w:sz w:val="10"/>
        </w:rPr>
        <w:t>，</w:t>
      </w:r>
      <w:r>
        <w:rPr>
          <w:rFonts w:hint="eastAsia" w:ascii="宋体" w:hAnsi="宋体" w:eastAsia="宋体" w:cs="宋体"/>
          <w:sz w:val="24"/>
        </w:rPr>
        <w:t>经过审慎考虑和可行性研究后确定的</w:t>
      </w:r>
      <w:r>
        <w:rPr>
          <w:rFonts w:hint="eastAsia" w:ascii="宋体" w:hAnsi="宋体" w:eastAsia="宋体" w:cs="宋体"/>
          <w:sz w:val="10"/>
        </w:rPr>
        <w:t>，</w:t>
      </w:r>
      <w:r>
        <w:rPr>
          <w:rFonts w:hint="eastAsia" w:ascii="宋体" w:hAnsi="宋体" w:eastAsia="宋体" w:cs="宋体"/>
          <w:sz w:val="24"/>
        </w:rPr>
        <w:t>是公司现有业务的扩充和提升</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宋体" w:hAnsi="宋体" w:eastAsia="宋体" w:cs="宋体"/>
          <w:sz w:val="24"/>
        </w:rPr>
        <w:t>现有业务是公司未来几年发展计划的基础</w:t>
      </w:r>
      <w:r>
        <w:rPr>
          <w:rFonts w:hint="eastAsia" w:ascii="宋体" w:hAnsi="宋体" w:eastAsia="宋体" w:cs="宋体"/>
          <w:sz w:val="10"/>
        </w:rPr>
        <w:t>，</w:t>
      </w:r>
      <w:r>
        <w:rPr>
          <w:rFonts w:hint="eastAsia" w:ascii="宋体" w:hAnsi="宋体" w:eastAsia="宋体" w:cs="宋体"/>
          <w:sz w:val="24"/>
        </w:rPr>
        <w:t>发展计划是现有业务的延伸和发展</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1-1-304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540" w:lineRule="exact"/>
        <w:ind w:left="4300"/>
        <w:jc w:val="both"/>
      </w:pPr>
      <w:r>
        <w:rPr>
          <w:rFonts w:hint="eastAsia" w:ascii="ºÚÌå" w:hAnsi="ºÚÌå" w:eastAsia="ºÚÌå" w:cs="ºÚÌå"/>
          <w:b/>
          <w:sz w:val="36"/>
        </w:rPr>
        <w:t>第十三节</w:t>
      </w:r>
      <w:r>
        <w:rPr>
          <w:rFonts w:hint="eastAsia" w:ascii="ºÚÌå" w:hAnsi="ºÚÌå" w:eastAsia="ºÚÌå" w:cs="ºÚÌå"/>
          <w:b/>
          <w:sz w:val="36"/>
        </w:rPr>
        <w:t xml:space="preserve"> </w:t>
      </w:r>
      <w:r>
        <w:rPr>
          <w:rFonts w:hint="eastAsia" w:ascii="ºÚÌå" w:hAnsi="ºÚÌå" w:eastAsia="ºÚÌå" w:cs="ºÚÌå"/>
          <w:b/>
          <w:sz w:val="36"/>
        </w:rPr>
        <w:t>募集资金运用</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6"/>
        </w:rPr>
        <w:t>一、</w:t>
      </w:r>
      <w:r>
        <w:rPr>
          <w:rFonts w:hint="eastAsia" w:ascii="ºÚÌå" w:hAnsi="ºÚÌå" w:eastAsia="ºÚÌå" w:cs="ºÚÌå"/>
          <w:sz w:val="30"/>
        </w:rPr>
        <w:t>募集资金投资项目概况</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募集资金投资项目基本情况</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本次拟公开发行人民币普通股（</w:t>
      </w:r>
      <w:r>
        <w:rPr>
          <w:rFonts w:hint="eastAsia" w:ascii="Times New Roman" w:hAnsi="Times New Roman" w:eastAsia="Times New Roman" w:cs="Times New Roman"/>
          <w:sz w:val="24"/>
        </w:rPr>
        <w:t>A</w:t>
      </w:r>
      <w:r>
        <w:rPr>
          <w:rFonts w:hint="eastAsia" w:ascii="宋体" w:hAnsi="宋体" w:eastAsia="宋体" w:cs="宋体"/>
          <w:sz w:val="24"/>
        </w:rPr>
        <w:t xml:space="preserve"> 股）不超过</w:t>
      </w:r>
      <w:r>
        <w:rPr>
          <w:rFonts w:hint="eastAsia" w:ascii="Times New Roman" w:hAnsi="Times New Roman" w:eastAsia="Times New Roman" w:cs="Times New Roman"/>
          <w:sz w:val="24"/>
        </w:rPr>
        <w:t xml:space="preserve"> 2,105</w:t>
      </w:r>
      <w:r>
        <w:rPr>
          <w:rFonts w:hint="eastAsia" w:ascii="宋体" w:hAnsi="宋体" w:eastAsia="宋体" w:cs="宋体"/>
          <w:sz w:val="24"/>
        </w:rPr>
        <w:t xml:space="preserve"> 万股</w:t>
      </w:r>
      <w:r>
        <w:rPr>
          <w:rFonts w:hint="eastAsia" w:ascii="宋体" w:hAnsi="宋体" w:eastAsia="宋体" w:cs="宋体"/>
          <w:sz w:val="10"/>
        </w:rPr>
        <w:t>，</w:t>
      </w:r>
      <w:r>
        <w:rPr>
          <w:rFonts w:hint="eastAsia" w:ascii="宋体" w:hAnsi="宋体" w:eastAsia="宋体" w:cs="宋体"/>
          <w:sz w:val="24"/>
        </w:rPr>
        <w:t>本次发行后社会公众股占发行后总股本的比例不低于</w:t>
      </w:r>
      <w:r>
        <w:rPr>
          <w:rFonts w:hint="eastAsia" w:ascii="Times New Roman" w:hAnsi="Times New Roman" w:eastAsia="Times New Roman" w:cs="Times New Roman"/>
          <w:sz w:val="24"/>
        </w:rPr>
        <w:t xml:space="preserve"> 25.00%</w:t>
      </w:r>
      <w:r>
        <w:rPr>
          <w:rFonts w:hint="eastAsia" w:ascii="宋体" w:hAnsi="宋体" w:eastAsia="宋体" w:cs="宋体"/>
          <w:sz w:val="10"/>
        </w:rPr>
        <w:t>，</w:t>
      </w:r>
      <w:r>
        <w:rPr>
          <w:rFonts w:hint="eastAsia" w:ascii="宋体" w:hAnsi="宋体" w:eastAsia="宋体" w:cs="宋体"/>
          <w:sz w:val="24"/>
        </w:rPr>
        <w:t>实际募集资金扣除发行费用后的净额为</w:t>
      </w:r>
      <w:r>
        <w:rPr>
          <w:rFonts w:hint="eastAsia" w:ascii="Times New Roman" w:hAnsi="Times New Roman" w:eastAsia="Times New Roman" w:cs="Times New Roman"/>
          <w:sz w:val="24"/>
        </w:rPr>
        <w:t>36,243.44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全部用于公司主营业务相关的项目及主营业务发展所需的营运资金</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本次首次公开发行股票募集资金项目经公司股东大会审议通过</w:t>
      </w:r>
      <w:r>
        <w:rPr>
          <w:rFonts w:hint="eastAsia" w:ascii="宋体" w:hAnsi="宋体" w:eastAsia="宋体" w:cs="宋体"/>
          <w:sz w:val="10"/>
        </w:rPr>
        <w:t>，</w:t>
      </w:r>
      <w:r>
        <w:rPr>
          <w:rFonts w:hint="eastAsia" w:ascii="宋体" w:hAnsi="宋体" w:eastAsia="宋体" w:cs="宋体"/>
          <w:sz w:val="24"/>
        </w:rPr>
        <w:t>由董事会负责实施</w:t>
      </w:r>
      <w:r>
        <w:rPr>
          <w:rFonts w:hint="eastAsia" w:ascii="宋体" w:hAnsi="宋体" w:eastAsia="宋体" w:cs="宋体"/>
          <w:sz w:val="10"/>
        </w:rPr>
        <w:t>。</w:t>
      </w:r>
      <w:r>
        <w:rPr>
          <w:rFonts w:hint="eastAsia" w:ascii="宋体" w:hAnsi="宋体" w:eastAsia="宋体" w:cs="宋体"/>
          <w:sz w:val="24"/>
        </w:rPr>
        <w:t>各投资项目的名称</w:t>
      </w:r>
      <w:r>
        <w:rPr>
          <w:rFonts w:hint="eastAsia" w:ascii="宋体" w:hAnsi="宋体" w:eastAsia="宋体" w:cs="宋体"/>
          <w:sz w:val="10"/>
        </w:rPr>
        <w:t>、</w:t>
      </w:r>
      <w:r>
        <w:rPr>
          <w:rFonts w:hint="eastAsia" w:ascii="宋体" w:hAnsi="宋体" w:eastAsia="宋体" w:cs="宋体"/>
          <w:sz w:val="24"/>
        </w:rPr>
        <w:t>投资额</w:t>
      </w:r>
      <w:r>
        <w:rPr>
          <w:rFonts w:hint="eastAsia" w:ascii="宋体" w:hAnsi="宋体" w:eastAsia="宋体" w:cs="宋体"/>
          <w:sz w:val="10"/>
        </w:rPr>
        <w:t>、</w:t>
      </w:r>
      <w:r>
        <w:rPr>
          <w:rFonts w:hint="eastAsia" w:ascii="宋体" w:hAnsi="宋体" w:eastAsia="宋体" w:cs="宋体"/>
          <w:sz w:val="24"/>
        </w:rPr>
        <w:t>建设期及履行的备案情况如下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440"/>
        <w:jc w:val="both"/>
      </w:pPr>
      <w:r>
        <w:rPr>
          <w:rFonts w:hint="eastAsia" w:ascii="宋体" w:hAnsi="宋体" w:eastAsia="宋体" w:cs="宋体"/>
          <w:sz w:val="21"/>
        </w:rPr>
        <w:t>单位</w:t>
      </w:r>
      <w:r>
        <w:rPr>
          <w:rFonts w:hint="eastAsia" w:ascii="宋体" w:hAnsi="宋体" w:eastAsia="宋体" w:cs="宋体"/>
          <w:sz w:val="12"/>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9520" w:type="auto"/>
        <w:tblInd w:w="1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640"/>
        <w:gridCol w:w="2420"/>
        <w:gridCol w:w="1800"/>
        <w:gridCol w:w="1380"/>
        <w:gridCol w:w="1360"/>
        <w:gridCol w:w="1900"/>
      </w:tblGrid>
      <w:tr>
        <w:trPr>
          <w:trHeight w:val="720" w:hRule="exact"/>
        </w:trPr>
        <w:tc>
          <w:tcPr>
            <w:tcW w:w="9500" w:type="dxa"/>
            <w:gridSpan w:val="6"/>
            <w:tcMar>
              <w:top w:w="0" w:type="dxa"/>
              <w:left w:w="0" w:type="dxa"/>
              <w:bottom w:w="0" w:type="dxa"/>
              <w:right w:w="0" w:type="dxa"/>
            </w:tcMar>
          </w:tcPr>
          <w:p>
            <w:pPr>
              <w:tabs>
                <w:tab w:val="left" w:pos="6580"/>
              </w:tabs>
              <w:spacing w:before="120"/>
              <w:ind w:left="5000"/>
            </w:pPr>
            <w:r>
              <w:rPr>
                <w:rFonts w:hint="eastAsia" w:ascii="宋体" w:hAnsi="宋体" w:eastAsia="宋体" w:cs="宋体"/>
                <w:b/>
                <w:sz w:val="21"/>
              </w:rPr>
              <w:t>募集资金投</w:t>
            </w:r>
            <w:r>
              <w:tab/>
            </w:r>
            <w:r>
              <w:rPr>
                <w:rFonts w:hint="eastAsia" w:ascii="宋体" w:hAnsi="宋体" w:eastAsia="宋体" w:cs="宋体"/>
                <w:b/>
                <w:sz w:val="21"/>
              </w:rPr>
              <w:t>建设期</w:t>
            </w:r>
          </w:p>
          <w:p>
            <w:pPr>
              <w:tabs>
                <w:tab w:val="left" w:pos="1420"/>
                <w:tab w:val="left" w:pos="3320"/>
                <w:tab w:val="left" w:pos="7900"/>
              </w:tabs>
              <w:spacing w:before="0"/>
              <w:ind w:left="100"/>
            </w:pPr>
            <w:r>
              <w:rPr>
                <w:rFonts w:hint="eastAsia" w:ascii="宋体" w:hAnsi="宋体" w:eastAsia="宋体" w:cs="宋体"/>
                <w:b/>
                <w:sz w:val="21"/>
              </w:rPr>
              <w:t>序号</w:t>
            </w:r>
            <w:r>
              <w:tab/>
            </w:r>
            <w:r>
              <w:rPr>
                <w:rFonts w:hint="eastAsia" w:ascii="宋体" w:hAnsi="宋体" w:eastAsia="宋体" w:cs="宋体"/>
                <w:b/>
                <w:sz w:val="21"/>
              </w:rPr>
              <w:t>项目名称</w:t>
            </w:r>
            <w:r>
              <w:tab/>
            </w:r>
            <w:r>
              <w:rPr>
                <w:rFonts w:hint="eastAsia" w:ascii="宋体" w:hAnsi="宋体" w:eastAsia="宋体" w:cs="宋体"/>
                <w:b/>
                <w:sz w:val="21"/>
              </w:rPr>
              <w:t>项目总投资额</w:t>
            </w:r>
            <w:r>
              <w:tab/>
            </w:r>
            <w:r>
              <w:rPr>
                <w:rFonts w:hint="eastAsia" w:ascii="宋体" w:hAnsi="宋体" w:eastAsia="宋体" w:cs="宋体"/>
                <w:b/>
                <w:sz w:val="21"/>
              </w:rPr>
              <w:t>项目备案情况</w:t>
            </w:r>
          </w:p>
          <w:p>
            <w:pPr>
              <w:tabs>
                <w:tab w:val="left" w:pos="6580"/>
              </w:tabs>
              <w:spacing w:before="0"/>
              <w:ind w:left="5320"/>
            </w:pPr>
            <w:r>
              <w:rPr>
                <w:rFonts w:hint="eastAsia" w:ascii="宋体" w:hAnsi="宋体" w:eastAsia="宋体" w:cs="宋体"/>
                <w:b/>
                <w:sz w:val="21"/>
              </w:rPr>
              <w:t>资额</w:t>
            </w:r>
            <w:r>
              <w:tab/>
            </w:r>
            <w:r>
              <w:rPr>
                <w:rFonts w:hint="eastAsia" w:ascii="宋体" w:hAnsi="宋体" w:eastAsia="宋体" w:cs="宋体"/>
                <w:b/>
                <w:sz w:val="20"/>
              </w:rPr>
              <w:t>（</w:t>
            </w:r>
            <w:r>
              <w:rPr>
                <w:rFonts w:hint="eastAsia" w:ascii="宋体" w:hAnsi="宋体" w:eastAsia="宋体" w:cs="宋体"/>
                <w:b/>
                <w:sz w:val="21"/>
              </w:rPr>
              <w:t>月</w:t>
            </w:r>
            <w:r>
              <w:rPr>
                <w:rFonts w:hint="eastAsia" w:ascii="宋体" w:hAnsi="宋体" w:eastAsia="宋体" w:cs="宋体"/>
                <w:b/>
                <w:sz w:val="20"/>
              </w:rPr>
              <w:t>）</w:t>
            </w:r>
          </w:p>
        </w:tc>
      </w:tr>
      <w:tr>
        <w:trPr>
          <w:trHeight w:val="740" w:hRule="exact"/>
        </w:trPr>
        <w:tc>
          <w:tcPr>
            <w:tcW w:w="640" w:type="dxa"/>
            <w:tcMar>
              <w:top w:w="0" w:type="dxa"/>
              <w:left w:w="0" w:type="dxa"/>
              <w:bottom w:w="0" w:type="dxa"/>
              <w:right w:w="0" w:type="dxa"/>
            </w:tcMar>
          </w:tcPr>
          <w:p>
            <w:pPr>
              <w:spacing w:before="300"/>
              <w:ind w:left="260"/>
            </w:pPr>
            <w:r>
              <w:rPr>
                <w:rFonts w:hint="eastAsia" w:ascii="Times New Roman" w:hAnsi="Times New Roman" w:eastAsia="Times New Roman" w:cs="Times New Roman"/>
                <w:sz w:val="21"/>
              </w:rPr>
              <w:t>1</w:t>
            </w:r>
          </w:p>
        </w:tc>
        <w:tc>
          <w:tcPr>
            <w:tcW w:w="2420" w:type="dxa"/>
            <w:tcMar>
              <w:top w:w="0" w:type="dxa"/>
              <w:left w:w="0" w:type="dxa"/>
              <w:bottom w:w="0" w:type="dxa"/>
              <w:right w:w="0" w:type="dxa"/>
            </w:tcMar>
          </w:tcPr>
          <w:p>
            <w:pPr>
              <w:spacing w:before="120"/>
              <w:ind w:left="100"/>
            </w:pPr>
            <w:r>
              <w:rPr>
                <w:rFonts w:hint="eastAsia" w:ascii="宋体" w:hAnsi="宋体" w:eastAsia="宋体" w:cs="宋体"/>
                <w:sz w:val="21"/>
              </w:rPr>
              <w:t>基于新</w:t>
            </w:r>
            <w:r>
              <w:rPr>
                <w:rFonts w:hint="eastAsia" w:ascii="宋体" w:hAnsi="宋体" w:eastAsia="宋体" w:cs="宋体"/>
                <w:sz w:val="20"/>
              </w:rPr>
              <w:t>一</w:t>
            </w:r>
            <w:r>
              <w:rPr>
                <w:rFonts w:hint="eastAsia" w:ascii="宋体" w:hAnsi="宋体" w:eastAsia="宋体" w:cs="宋体"/>
                <w:sz w:val="21"/>
              </w:rPr>
              <w:t>代</w:t>
            </w:r>
            <w:r>
              <w:rPr>
                <w:rFonts w:hint="eastAsia" w:ascii="Times New Roman" w:hAnsi="Times New Roman" w:eastAsia="Times New Roman" w:cs="Times New Roman"/>
                <w:sz w:val="21"/>
              </w:rPr>
              <w:t xml:space="preserve"> LiveBOS</w:t>
            </w:r>
            <w:r>
              <w:rPr>
                <w:rFonts w:hint="eastAsia" w:ascii="宋体" w:hAnsi="宋体" w:eastAsia="宋体" w:cs="宋体"/>
                <w:sz w:val="21"/>
              </w:rPr>
              <w:t xml:space="preserve"> 的</w:t>
            </w:r>
          </w:p>
          <w:p>
            <w:pPr>
              <w:spacing w:before="60"/>
              <w:ind w:left="100"/>
            </w:pPr>
            <w:r>
              <w:rPr>
                <w:rFonts w:hint="eastAsia" w:ascii="宋体" w:hAnsi="宋体" w:eastAsia="宋体" w:cs="宋体"/>
                <w:sz w:val="21"/>
              </w:rPr>
              <w:t>平台及产品升级项目</w:t>
            </w:r>
          </w:p>
        </w:tc>
        <w:tc>
          <w:tcPr>
            <w:tcW w:w="1800" w:type="dxa"/>
            <w:tcMar>
              <w:top w:w="0" w:type="dxa"/>
              <w:left w:w="0" w:type="dxa"/>
              <w:bottom w:w="0" w:type="dxa"/>
              <w:right w:w="0" w:type="dxa"/>
            </w:tcMar>
          </w:tcPr>
          <w:p>
            <w:pPr>
              <w:spacing w:before="300"/>
              <w:ind w:left="52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1380" w:type="dxa"/>
            <w:tcMar>
              <w:top w:w="0" w:type="dxa"/>
              <w:left w:w="0" w:type="dxa"/>
              <w:bottom w:w="0" w:type="dxa"/>
              <w:right w:w="0" w:type="dxa"/>
            </w:tcMar>
          </w:tcPr>
          <w:p>
            <w:pPr>
              <w:spacing w:before="300"/>
              <w:ind w:left="3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c>
          <w:tcPr>
            <w:tcW w:w="1360" w:type="dxa"/>
            <w:tcMar>
              <w:top w:w="0" w:type="dxa"/>
              <w:left w:w="0" w:type="dxa"/>
              <w:bottom w:w="0" w:type="dxa"/>
              <w:right w:w="0" w:type="dxa"/>
            </w:tcMar>
          </w:tcPr>
          <w:p>
            <w:pPr>
              <w:spacing w:before="300"/>
              <w:ind w:left="560"/>
            </w:pPr>
            <w:r>
              <w:rPr>
                <w:rFonts w:hint="eastAsia" w:ascii="Times New Roman" w:hAnsi="Times New Roman" w:eastAsia="Times New Roman" w:cs="Times New Roman"/>
                <w:sz w:val="21"/>
              </w:rPr>
              <w:t>18</w:t>
            </w:r>
          </w:p>
        </w:tc>
        <w:tc>
          <w:tcPr>
            <w:tcW w:w="1900" w:type="dxa"/>
            <w:tcMar>
              <w:top w:w="0" w:type="dxa"/>
              <w:left w:w="0" w:type="dxa"/>
              <w:bottom w:w="0" w:type="dxa"/>
              <w:right w:w="0" w:type="dxa"/>
            </w:tcMar>
          </w:tcPr>
          <w:p>
            <w:pPr>
              <w:spacing w:before="120"/>
              <w:ind w:left="520"/>
            </w:pPr>
            <w:r>
              <w:rPr>
                <w:rFonts w:hint="eastAsia" w:ascii="宋体" w:hAnsi="宋体" w:eastAsia="宋体" w:cs="宋体"/>
                <w:sz w:val="21"/>
              </w:rPr>
              <w:t>闽发改备</w:t>
            </w:r>
          </w:p>
          <w:p>
            <w:pPr>
              <w:spacing w:before="60"/>
              <w:ind w:left="20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A02011</w:t>
            </w:r>
            <w:r>
              <w:rPr>
                <w:rFonts w:hint="eastAsia" w:ascii="宋体" w:hAnsi="宋体" w:eastAsia="宋体" w:cs="宋体"/>
                <w:sz w:val="21"/>
              </w:rPr>
              <w:t xml:space="preserve"> 号</w:t>
            </w:r>
          </w:p>
        </w:tc>
      </w:tr>
      <w:tr>
        <w:trPr>
          <w:trHeight w:val="800" w:hRule="exact"/>
        </w:trPr>
        <w:tc>
          <w:tcPr>
            <w:tcW w:w="640" w:type="dxa"/>
            <w:tcMar>
              <w:top w:w="0" w:type="dxa"/>
              <w:left w:w="0" w:type="dxa"/>
              <w:bottom w:w="0" w:type="dxa"/>
              <w:right w:w="0" w:type="dxa"/>
            </w:tcMar>
          </w:tcPr>
          <w:p>
            <w:pPr>
              <w:spacing w:before="320"/>
              <w:ind w:left="260"/>
            </w:pPr>
            <w:r>
              <w:rPr>
                <w:rFonts w:hint="eastAsia" w:ascii="Times New Roman" w:hAnsi="Times New Roman" w:eastAsia="Times New Roman" w:cs="Times New Roman"/>
                <w:sz w:val="21"/>
              </w:rPr>
              <w:t>2</w:t>
            </w:r>
          </w:p>
        </w:tc>
        <w:tc>
          <w:tcPr>
            <w:tcW w:w="2420" w:type="dxa"/>
            <w:tcMar>
              <w:top w:w="0" w:type="dxa"/>
              <w:left w:w="0" w:type="dxa"/>
              <w:bottom w:w="0" w:type="dxa"/>
              <w:right w:w="0" w:type="dxa"/>
            </w:tcMar>
          </w:tcPr>
          <w:p>
            <w:pPr>
              <w:spacing w:before="120"/>
              <w:ind w:left="100"/>
            </w:pPr>
            <w:r>
              <w:rPr>
                <w:rFonts w:hint="eastAsia" w:ascii="宋体" w:hAnsi="宋体" w:eastAsia="宋体" w:cs="宋体"/>
                <w:sz w:val="21"/>
              </w:rPr>
              <w:t>金融行业互联网化应用</w:t>
            </w:r>
          </w:p>
          <w:p>
            <w:pPr>
              <w:spacing w:before="100"/>
              <w:ind w:left="100"/>
            </w:pPr>
            <w:r>
              <w:rPr>
                <w:rFonts w:hint="eastAsia" w:ascii="宋体" w:hAnsi="宋体" w:eastAsia="宋体" w:cs="宋体"/>
                <w:sz w:val="21"/>
              </w:rPr>
              <w:t>解决方案项目</w:t>
            </w:r>
          </w:p>
        </w:tc>
        <w:tc>
          <w:tcPr>
            <w:tcW w:w="1800" w:type="dxa"/>
            <w:tcMar>
              <w:top w:w="0" w:type="dxa"/>
              <w:left w:w="0" w:type="dxa"/>
              <w:bottom w:w="0" w:type="dxa"/>
              <w:right w:w="0" w:type="dxa"/>
            </w:tcMar>
          </w:tcPr>
          <w:p>
            <w:pPr>
              <w:spacing w:before="300"/>
              <w:ind w:left="46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380" w:type="dxa"/>
            <w:tcMar>
              <w:top w:w="0" w:type="dxa"/>
              <w:left w:w="0" w:type="dxa"/>
              <w:bottom w:w="0" w:type="dxa"/>
              <w:right w:w="0" w:type="dxa"/>
            </w:tcMar>
          </w:tcPr>
          <w:p>
            <w:pPr>
              <w:spacing w:before="300"/>
              <w:ind w:left="300"/>
            </w:pPr>
            <w:r>
              <w:rPr>
                <w:rFonts w:hint="eastAsia" w:ascii="Times New Roman" w:hAnsi="Times New Roman" w:eastAsia="Times New Roman" w:cs="Times New Roman"/>
                <w:sz w:val="21"/>
              </w:rPr>
              <w:t>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c>
          <w:tcPr>
            <w:tcW w:w="1360" w:type="dxa"/>
            <w:tcMar>
              <w:top w:w="0" w:type="dxa"/>
              <w:left w:w="0" w:type="dxa"/>
              <w:bottom w:w="0" w:type="dxa"/>
              <w:right w:w="0" w:type="dxa"/>
            </w:tcMar>
          </w:tcPr>
          <w:p>
            <w:pPr>
              <w:spacing w:before="300"/>
              <w:ind w:left="560"/>
            </w:pPr>
            <w:r>
              <w:rPr>
                <w:rFonts w:hint="eastAsia" w:ascii="Times New Roman" w:hAnsi="Times New Roman" w:eastAsia="Times New Roman" w:cs="Times New Roman"/>
                <w:sz w:val="21"/>
              </w:rPr>
              <w:t>18</w:t>
            </w:r>
          </w:p>
        </w:tc>
        <w:tc>
          <w:tcPr>
            <w:tcW w:w="1900" w:type="dxa"/>
            <w:tcMar>
              <w:top w:w="0" w:type="dxa"/>
              <w:left w:w="0" w:type="dxa"/>
              <w:bottom w:w="0" w:type="dxa"/>
              <w:right w:w="0" w:type="dxa"/>
            </w:tcMar>
          </w:tcPr>
          <w:p>
            <w:pPr>
              <w:spacing w:before="140"/>
              <w:ind w:left="520"/>
            </w:pPr>
            <w:r>
              <w:rPr>
                <w:rFonts w:hint="eastAsia" w:ascii="宋体" w:hAnsi="宋体" w:eastAsia="宋体" w:cs="宋体"/>
                <w:sz w:val="21"/>
              </w:rPr>
              <w:t>闽发改备</w:t>
            </w:r>
          </w:p>
          <w:p>
            <w:pPr>
              <w:spacing w:before="40"/>
              <w:ind w:left="18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A02013</w:t>
            </w:r>
            <w:r>
              <w:rPr>
                <w:rFonts w:hint="eastAsia" w:ascii="宋体" w:hAnsi="宋体" w:eastAsia="宋体" w:cs="宋体"/>
                <w:sz w:val="21"/>
              </w:rPr>
              <w:t xml:space="preserve"> 号</w:t>
            </w:r>
          </w:p>
        </w:tc>
      </w:tr>
      <w:tr>
        <w:trPr>
          <w:trHeight w:val="720" w:hRule="exact"/>
        </w:trPr>
        <w:tc>
          <w:tcPr>
            <w:tcW w:w="640" w:type="dxa"/>
            <w:tcMar>
              <w:top w:w="0" w:type="dxa"/>
              <w:left w:w="0" w:type="dxa"/>
              <w:bottom w:w="0" w:type="dxa"/>
              <w:right w:w="0" w:type="dxa"/>
            </w:tcMar>
          </w:tcPr>
          <w:p>
            <w:pPr>
              <w:spacing w:before="300"/>
              <w:ind w:left="260"/>
            </w:pPr>
            <w:r>
              <w:rPr>
                <w:rFonts w:hint="eastAsia" w:ascii="Times New Roman" w:hAnsi="Times New Roman" w:eastAsia="Times New Roman" w:cs="Times New Roman"/>
                <w:sz w:val="21"/>
              </w:rPr>
              <w:t>3</w:t>
            </w:r>
          </w:p>
        </w:tc>
        <w:tc>
          <w:tcPr>
            <w:tcW w:w="2420" w:type="dxa"/>
            <w:tcMar>
              <w:top w:w="0" w:type="dxa"/>
              <w:left w:w="0" w:type="dxa"/>
              <w:bottom w:w="0" w:type="dxa"/>
              <w:right w:w="0" w:type="dxa"/>
            </w:tcMar>
          </w:tcPr>
          <w:p>
            <w:pPr>
              <w:spacing w:before="100"/>
              <w:ind w:left="100"/>
            </w:pPr>
            <w:r>
              <w:rPr>
                <w:rFonts w:hint="eastAsia" w:ascii="宋体" w:hAnsi="宋体" w:eastAsia="宋体" w:cs="宋体"/>
                <w:sz w:val="21"/>
              </w:rPr>
              <w:t>流程券商</w:t>
            </w:r>
            <w:r>
              <w:rPr>
                <w:rFonts w:hint="eastAsia" w:ascii="宋体" w:hAnsi="宋体" w:eastAsia="宋体" w:cs="宋体"/>
                <w:sz w:val="20"/>
              </w:rPr>
              <w:t>（</w:t>
            </w:r>
            <w:r>
              <w:rPr>
                <w:rFonts w:hint="eastAsia" w:ascii="宋体" w:hAnsi="宋体" w:eastAsia="宋体" w:cs="宋体"/>
                <w:sz w:val="21"/>
              </w:rPr>
              <w:t>含期货</w:t>
            </w:r>
            <w:r>
              <w:rPr>
                <w:rFonts w:hint="eastAsia" w:ascii="宋体" w:hAnsi="宋体" w:eastAsia="宋体" w:cs="宋体"/>
                <w:sz w:val="20"/>
              </w:rPr>
              <w:t>）</w:t>
            </w:r>
            <w:r>
              <w:rPr>
                <w:rFonts w:hint="eastAsia" w:ascii="宋体" w:hAnsi="宋体" w:eastAsia="宋体" w:cs="宋体"/>
                <w:sz w:val="21"/>
              </w:rPr>
              <w:t>解</w:t>
            </w:r>
          </w:p>
          <w:p>
            <w:pPr>
              <w:spacing w:before="60"/>
              <w:ind w:left="100"/>
            </w:pPr>
            <w:r>
              <w:rPr>
                <w:rFonts w:hint="eastAsia" w:ascii="宋体" w:hAnsi="宋体" w:eastAsia="宋体" w:cs="宋体"/>
                <w:sz w:val="21"/>
              </w:rPr>
              <w:t>决方案项目</w:t>
            </w:r>
          </w:p>
        </w:tc>
        <w:tc>
          <w:tcPr>
            <w:tcW w:w="1800" w:type="dxa"/>
            <w:tcMar>
              <w:top w:w="0" w:type="dxa"/>
              <w:left w:w="0" w:type="dxa"/>
              <w:bottom w:w="0" w:type="dxa"/>
              <w:right w:w="0" w:type="dxa"/>
            </w:tcMar>
          </w:tcPr>
          <w:p>
            <w:pPr>
              <w:spacing w:before="300"/>
              <w:ind w:left="46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380" w:type="dxa"/>
            <w:tcMar>
              <w:top w:w="0" w:type="dxa"/>
              <w:left w:w="0" w:type="dxa"/>
              <w:bottom w:w="0" w:type="dxa"/>
              <w:right w:w="0" w:type="dxa"/>
            </w:tcMar>
          </w:tcPr>
          <w:p>
            <w:pPr>
              <w:spacing w:before="300"/>
              <w:ind w:left="260"/>
            </w:pPr>
            <w:r>
              <w:rPr>
                <w:rFonts w:hint="eastAsia" w:ascii="Times New Roman" w:hAnsi="Times New Roman" w:eastAsia="Times New Roman" w:cs="Times New Roman"/>
                <w:sz w:val="21"/>
              </w:rPr>
              <w:t>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w:t>
            </w:r>
          </w:p>
        </w:tc>
        <w:tc>
          <w:tcPr>
            <w:tcW w:w="1360" w:type="dxa"/>
            <w:tcMar>
              <w:top w:w="0" w:type="dxa"/>
              <w:left w:w="0" w:type="dxa"/>
              <w:bottom w:w="0" w:type="dxa"/>
              <w:right w:w="0" w:type="dxa"/>
            </w:tcMar>
          </w:tcPr>
          <w:p>
            <w:pPr>
              <w:spacing w:before="300"/>
              <w:ind w:left="560"/>
            </w:pPr>
            <w:r>
              <w:rPr>
                <w:rFonts w:hint="eastAsia" w:ascii="Times New Roman" w:hAnsi="Times New Roman" w:eastAsia="Times New Roman" w:cs="Times New Roman"/>
                <w:sz w:val="21"/>
              </w:rPr>
              <w:t>18</w:t>
            </w:r>
          </w:p>
        </w:tc>
        <w:tc>
          <w:tcPr>
            <w:tcW w:w="1900" w:type="dxa"/>
            <w:tcMar>
              <w:top w:w="0" w:type="dxa"/>
              <w:left w:w="0" w:type="dxa"/>
              <w:bottom w:w="0" w:type="dxa"/>
              <w:right w:w="0" w:type="dxa"/>
            </w:tcMar>
          </w:tcPr>
          <w:p>
            <w:pPr>
              <w:spacing w:before="120"/>
              <w:ind w:left="520"/>
            </w:pPr>
            <w:r>
              <w:rPr>
                <w:rFonts w:hint="eastAsia" w:ascii="宋体" w:hAnsi="宋体" w:eastAsia="宋体" w:cs="宋体"/>
                <w:sz w:val="21"/>
              </w:rPr>
              <w:t>闽发改备</w:t>
            </w:r>
          </w:p>
          <w:p>
            <w:pPr>
              <w:spacing w:before="60"/>
              <w:ind w:left="18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A02012</w:t>
            </w:r>
            <w:r>
              <w:rPr>
                <w:rFonts w:hint="eastAsia" w:ascii="宋体" w:hAnsi="宋体" w:eastAsia="宋体" w:cs="宋体"/>
                <w:sz w:val="21"/>
              </w:rPr>
              <w:t xml:space="preserve"> 号</w:t>
            </w:r>
          </w:p>
        </w:tc>
      </w:tr>
      <w:tr>
        <w:trPr>
          <w:trHeight w:val="720" w:hRule="exact"/>
        </w:trPr>
        <w:tc>
          <w:tcPr>
            <w:tcW w:w="640" w:type="dxa"/>
            <w:tcMar>
              <w:top w:w="0" w:type="dxa"/>
              <w:left w:w="0" w:type="dxa"/>
              <w:bottom w:w="0" w:type="dxa"/>
              <w:right w:w="0" w:type="dxa"/>
            </w:tcMar>
          </w:tcPr>
          <w:p>
            <w:pPr>
              <w:spacing w:before="300"/>
              <w:ind w:left="260"/>
            </w:pPr>
            <w:r>
              <w:rPr>
                <w:rFonts w:hint="eastAsia" w:ascii="Times New Roman" w:hAnsi="Times New Roman" w:eastAsia="Times New Roman" w:cs="Times New Roman"/>
                <w:sz w:val="21"/>
              </w:rPr>
              <w:t>4</w:t>
            </w:r>
          </w:p>
        </w:tc>
        <w:tc>
          <w:tcPr>
            <w:tcW w:w="2420" w:type="dxa"/>
            <w:tcMar>
              <w:top w:w="0" w:type="dxa"/>
              <w:left w:w="0" w:type="dxa"/>
              <w:bottom w:w="0" w:type="dxa"/>
              <w:right w:w="0" w:type="dxa"/>
            </w:tcMar>
          </w:tcPr>
          <w:p>
            <w:pPr>
              <w:spacing w:before="100"/>
              <w:ind w:left="100"/>
            </w:pPr>
            <w:r>
              <w:rPr>
                <w:rFonts w:hint="eastAsia" w:ascii="宋体" w:hAnsi="宋体" w:eastAsia="宋体" w:cs="宋体"/>
                <w:sz w:val="21"/>
              </w:rPr>
              <w:t>新</w:t>
            </w:r>
            <w:r>
              <w:rPr>
                <w:rFonts w:hint="eastAsia" w:ascii="宋体" w:hAnsi="宋体" w:eastAsia="宋体" w:cs="宋体"/>
                <w:sz w:val="20"/>
              </w:rPr>
              <w:t>一</w:t>
            </w:r>
            <w:r>
              <w:rPr>
                <w:rFonts w:hint="eastAsia" w:ascii="宋体" w:hAnsi="宋体" w:eastAsia="宋体" w:cs="宋体"/>
                <w:sz w:val="21"/>
              </w:rPr>
              <w:t>代电子交易市场业</w:t>
            </w:r>
          </w:p>
          <w:p>
            <w:pPr>
              <w:spacing w:before="60"/>
              <w:ind w:left="100"/>
            </w:pPr>
            <w:r>
              <w:rPr>
                <w:rFonts w:hint="eastAsia" w:ascii="宋体" w:hAnsi="宋体" w:eastAsia="宋体" w:cs="宋体"/>
                <w:sz w:val="21"/>
              </w:rPr>
              <w:t>务支撑系统项目</w:t>
            </w:r>
          </w:p>
        </w:tc>
        <w:tc>
          <w:tcPr>
            <w:tcW w:w="1800" w:type="dxa"/>
            <w:tcMar>
              <w:top w:w="0" w:type="dxa"/>
              <w:left w:w="0" w:type="dxa"/>
              <w:bottom w:w="0" w:type="dxa"/>
              <w:right w:w="0" w:type="dxa"/>
            </w:tcMar>
          </w:tcPr>
          <w:p>
            <w:pPr>
              <w:spacing w:before="300"/>
              <w:ind w:left="5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380" w:type="dxa"/>
            <w:tcMar>
              <w:top w:w="0" w:type="dxa"/>
              <w:left w:w="0" w:type="dxa"/>
              <w:bottom w:w="0" w:type="dxa"/>
              <w:right w:w="0" w:type="dxa"/>
            </w:tcMar>
          </w:tcPr>
          <w:p>
            <w:pPr>
              <w:spacing w:before="300"/>
              <w:ind w:left="30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c>
          <w:tcPr>
            <w:tcW w:w="1360" w:type="dxa"/>
            <w:tcMar>
              <w:top w:w="0" w:type="dxa"/>
              <w:left w:w="0" w:type="dxa"/>
              <w:bottom w:w="0" w:type="dxa"/>
              <w:right w:w="0" w:type="dxa"/>
            </w:tcMar>
          </w:tcPr>
          <w:p>
            <w:pPr>
              <w:spacing w:before="300"/>
              <w:ind w:left="560"/>
            </w:pPr>
            <w:r>
              <w:rPr>
                <w:rFonts w:hint="eastAsia" w:ascii="Times New Roman" w:hAnsi="Times New Roman" w:eastAsia="Times New Roman" w:cs="Times New Roman"/>
                <w:sz w:val="21"/>
              </w:rPr>
              <w:t>18</w:t>
            </w:r>
          </w:p>
        </w:tc>
        <w:tc>
          <w:tcPr>
            <w:tcW w:w="1900" w:type="dxa"/>
            <w:tcMar>
              <w:top w:w="0" w:type="dxa"/>
              <w:left w:w="0" w:type="dxa"/>
              <w:bottom w:w="0" w:type="dxa"/>
              <w:right w:w="0" w:type="dxa"/>
            </w:tcMar>
          </w:tcPr>
          <w:p>
            <w:pPr>
              <w:spacing w:before="120"/>
              <w:ind w:left="520"/>
            </w:pPr>
            <w:r>
              <w:rPr>
                <w:rFonts w:hint="eastAsia" w:ascii="宋体" w:hAnsi="宋体" w:eastAsia="宋体" w:cs="宋体"/>
                <w:sz w:val="21"/>
              </w:rPr>
              <w:t>闽发改备</w:t>
            </w:r>
          </w:p>
          <w:p>
            <w:pPr>
              <w:spacing w:before="80"/>
              <w:ind w:left="180"/>
            </w:pP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2017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A02014</w:t>
            </w:r>
            <w:r>
              <w:rPr>
                <w:rFonts w:hint="eastAsia" w:ascii="宋体" w:hAnsi="宋体" w:eastAsia="宋体" w:cs="宋体"/>
                <w:sz w:val="21"/>
              </w:rPr>
              <w:t xml:space="preserve"> 号</w:t>
            </w:r>
          </w:p>
        </w:tc>
      </w:tr>
      <w:tr>
        <w:trPr>
          <w:trHeight w:val="740" w:hRule="exact"/>
        </w:trPr>
        <w:tc>
          <w:tcPr>
            <w:tcW w:w="640" w:type="dxa"/>
            <w:tcMar>
              <w:top w:w="0" w:type="dxa"/>
              <w:left w:w="0" w:type="dxa"/>
              <w:bottom w:w="0" w:type="dxa"/>
              <w:right w:w="0" w:type="dxa"/>
            </w:tcMar>
          </w:tcPr>
          <w:p>
            <w:pPr>
              <w:spacing w:before="260"/>
              <w:ind w:left="260"/>
            </w:pPr>
            <w:r>
              <w:rPr>
                <w:rFonts w:hint="eastAsia" w:ascii="Times New Roman" w:hAnsi="Times New Roman" w:eastAsia="Times New Roman" w:cs="Times New Roman"/>
                <w:sz w:val="21"/>
              </w:rPr>
              <w:t>5</w:t>
            </w:r>
          </w:p>
        </w:tc>
        <w:tc>
          <w:tcPr>
            <w:tcW w:w="2420" w:type="dxa"/>
            <w:tcMar>
              <w:top w:w="0" w:type="dxa"/>
              <w:left w:w="0" w:type="dxa"/>
              <w:bottom w:w="0" w:type="dxa"/>
              <w:right w:w="0" w:type="dxa"/>
            </w:tcMar>
          </w:tcPr>
          <w:p>
            <w:pPr>
              <w:spacing w:before="200"/>
              <w:ind w:left="100"/>
            </w:pPr>
            <w:r>
              <w:rPr>
                <w:rFonts w:hint="eastAsia" w:ascii="宋体" w:hAnsi="宋体" w:eastAsia="宋体" w:cs="宋体"/>
                <w:sz w:val="21"/>
              </w:rPr>
              <w:t>研发中心建设项目</w:t>
            </w:r>
          </w:p>
        </w:tc>
        <w:tc>
          <w:tcPr>
            <w:tcW w:w="1800" w:type="dxa"/>
            <w:tcMar>
              <w:top w:w="0" w:type="dxa"/>
              <w:left w:w="0" w:type="dxa"/>
              <w:bottom w:w="0" w:type="dxa"/>
              <w:right w:w="0" w:type="dxa"/>
            </w:tcMar>
          </w:tcPr>
          <w:p>
            <w:pPr>
              <w:spacing w:before="260"/>
              <w:ind w:left="52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p>
        </w:tc>
        <w:tc>
          <w:tcPr>
            <w:tcW w:w="1380" w:type="dxa"/>
            <w:tcMar>
              <w:top w:w="0" w:type="dxa"/>
              <w:left w:w="0" w:type="dxa"/>
              <w:bottom w:w="0" w:type="dxa"/>
              <w:right w:w="0" w:type="dxa"/>
            </w:tcMar>
          </w:tcPr>
          <w:p>
            <w:pPr>
              <w:spacing w:before="260"/>
              <w:ind w:left="300"/>
            </w:pPr>
            <w:r>
              <w:rPr>
                <w:rFonts w:hint="eastAsia" w:ascii="Times New Roman" w:hAnsi="Times New Roman" w:eastAsia="Times New Roman" w:cs="Times New Roman"/>
                <w:sz w:val="21"/>
              </w:rPr>
              <w:t>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78</w:t>
            </w:r>
          </w:p>
        </w:tc>
        <w:tc>
          <w:tcPr>
            <w:tcW w:w="1360" w:type="dxa"/>
            <w:tcMar>
              <w:top w:w="0" w:type="dxa"/>
              <w:left w:w="0" w:type="dxa"/>
              <w:bottom w:w="0" w:type="dxa"/>
              <w:right w:w="0" w:type="dxa"/>
            </w:tcMar>
          </w:tcPr>
          <w:p>
            <w:pPr>
              <w:spacing w:before="260"/>
              <w:ind w:left="560"/>
            </w:pPr>
            <w:r>
              <w:rPr>
                <w:rFonts w:hint="eastAsia" w:ascii="Times New Roman" w:hAnsi="Times New Roman" w:eastAsia="Times New Roman" w:cs="Times New Roman"/>
                <w:sz w:val="21"/>
              </w:rPr>
              <w:t>18</w:t>
            </w:r>
          </w:p>
        </w:tc>
        <w:tc>
          <w:tcPr>
            <w:tcW w:w="1900" w:type="dxa"/>
            <w:tcMar>
              <w:top w:w="0" w:type="dxa"/>
              <w:left w:w="0" w:type="dxa"/>
              <w:bottom w:w="0" w:type="dxa"/>
              <w:right w:w="0" w:type="dxa"/>
            </w:tcMar>
          </w:tcPr>
          <w:p>
            <w:pPr>
              <w:spacing w:before="260"/>
              <w:ind w:left="100"/>
            </w:pPr>
            <w:r>
              <w:rPr>
                <w:rFonts w:hint="eastAsia" w:ascii="Times New Roman" w:hAnsi="Times New Roman" w:eastAsia="Times New Roman" w:cs="Times New Roman"/>
                <w:sz w:val="21"/>
              </w:rPr>
              <w:t>2015010062120247</w:t>
            </w:r>
          </w:p>
        </w:tc>
      </w:tr>
      <w:tr>
        <w:trPr>
          <w:trHeight w:val="560" w:hRule="exact"/>
        </w:trPr>
        <w:tc>
          <w:tcPr>
            <w:tcW w:w="3060" w:type="dxa"/>
            <w:gridSpan w:val="2"/>
            <w:tcMar>
              <w:top w:w="0" w:type="dxa"/>
              <w:left w:w="0" w:type="dxa"/>
              <w:bottom w:w="0" w:type="dxa"/>
              <w:right w:w="0" w:type="dxa"/>
            </w:tcMar>
          </w:tcPr>
          <w:p>
            <w:pPr>
              <w:spacing w:before="120"/>
              <w:ind w:left="1300"/>
            </w:pPr>
            <w:r>
              <w:rPr>
                <w:rFonts w:hint="eastAsia" w:ascii="宋体" w:hAnsi="宋体" w:eastAsia="宋体" w:cs="宋体"/>
                <w:b/>
                <w:sz w:val="21"/>
              </w:rPr>
              <w:t>合计</w:t>
            </w:r>
          </w:p>
        </w:tc>
        <w:tc>
          <w:tcPr>
            <w:tcW w:w="1800" w:type="dxa"/>
            <w:tcMar>
              <w:top w:w="0" w:type="dxa"/>
              <w:left w:w="0" w:type="dxa"/>
              <w:bottom w:w="0" w:type="dxa"/>
              <w:right w:w="0" w:type="dxa"/>
            </w:tcMar>
          </w:tcPr>
          <w:p>
            <w:pPr>
              <w:spacing w:before="180"/>
              <w:ind w:left="460"/>
            </w:pPr>
            <w:r>
              <w:rPr>
                <w:rFonts w:hint="eastAsia" w:ascii="Times New Roman Bold" w:hAnsi="Times New Roman Bold" w:eastAsia="Times New Roman Bold" w:cs="Times New Roman Bold"/>
                <w:b/>
                <w:sz w:val="21"/>
              </w:rPr>
              <w:t>44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151</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10</w:t>
            </w:r>
          </w:p>
        </w:tc>
        <w:tc>
          <w:tcPr>
            <w:tcW w:w="1380" w:type="dxa"/>
            <w:tcMar>
              <w:top w:w="0" w:type="dxa"/>
              <w:left w:w="0" w:type="dxa"/>
              <w:bottom w:w="0" w:type="dxa"/>
              <w:right w:w="0" w:type="dxa"/>
            </w:tcMar>
          </w:tcPr>
          <w:p>
            <w:pPr>
              <w:spacing w:before="180"/>
              <w:ind w:left="260"/>
            </w:pPr>
            <w:r>
              <w:rPr>
                <w:rFonts w:hint="eastAsia" w:ascii="Times New Roman Bold" w:hAnsi="Times New Roman Bold" w:eastAsia="Times New Roman Bold" w:cs="Times New Roman Bold"/>
                <w:b/>
                <w:sz w:val="21"/>
              </w:rPr>
              <w:t>36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243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44</w:t>
            </w:r>
          </w:p>
        </w:tc>
        <w:tc>
          <w:tcPr>
            <w:tcW w:w="1360" w:type="dxa"/>
            <w:tcMar>
              <w:top w:w="0" w:type="dxa"/>
              <w:left w:w="0" w:type="dxa"/>
              <w:bottom w:w="0" w:type="dxa"/>
              <w:right w:w="0" w:type="dxa"/>
            </w:tcMar>
          </w:tcPr>
          <w:p>
            <w:pPr>
              <w:spacing w:before="300"/>
              <w:ind w:left="640"/>
            </w:pPr>
            <w:r>
              <w:rPr>
                <w:rFonts w:hint="eastAsia" w:ascii="Times New Roman Bold" w:hAnsi="Times New Roman Bold" w:eastAsia="Times New Roman Bold" w:cs="Times New Roman Bold"/>
                <w:b/>
                <w:sz w:val="21"/>
              </w:rPr>
              <w:t>-</w:t>
            </w:r>
          </w:p>
        </w:tc>
        <w:tc>
          <w:tcPr>
            <w:tcW w:w="1900" w:type="dxa"/>
            <w:tcMar>
              <w:top w:w="0" w:type="dxa"/>
              <w:left w:w="0" w:type="dxa"/>
              <w:bottom w:w="0" w:type="dxa"/>
              <w:right w:w="0" w:type="dxa"/>
            </w:tcMar>
          </w:tcPr>
          <w:p>
            <w:pPr>
              <w:spacing w:before="300"/>
              <w:ind w:left="900"/>
            </w:pPr>
            <w:r>
              <w:rPr>
                <w:rFonts w:hint="eastAsia" w:ascii="Times New Roman Bold" w:hAnsi="Times New Roman Bold" w:eastAsia="Times New Roman Bold" w:cs="Times New Roman Bold"/>
                <w:b/>
                <w:sz w:val="21"/>
              </w:rPr>
              <w:t>-</w:t>
            </w:r>
          </w:p>
        </w:tc>
      </w:tr>
    </w:tbl>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如募集资金到位时间与项目进度不</w:t>
      </w:r>
      <w:r>
        <w:rPr>
          <w:rFonts w:hint="eastAsia" w:ascii="宋体" w:hAnsi="宋体" w:eastAsia="宋体" w:cs="宋体"/>
          <w:sz w:val="10"/>
        </w:rPr>
        <w:t>一</w:t>
      </w:r>
      <w:r>
        <w:rPr>
          <w:rFonts w:hint="eastAsia" w:ascii="宋体" w:hAnsi="宋体" w:eastAsia="宋体" w:cs="宋体"/>
          <w:sz w:val="24"/>
        </w:rPr>
        <w:t>致</w:t>
      </w:r>
      <w:r>
        <w:rPr>
          <w:rFonts w:hint="eastAsia" w:ascii="宋体" w:hAnsi="宋体" w:eastAsia="宋体" w:cs="宋体"/>
          <w:sz w:val="10"/>
        </w:rPr>
        <w:t>，</w:t>
      </w:r>
      <w:r>
        <w:rPr>
          <w:rFonts w:hint="eastAsia" w:ascii="宋体" w:hAnsi="宋体" w:eastAsia="宋体" w:cs="宋体"/>
          <w:sz w:val="24"/>
        </w:rPr>
        <w:t>公司将根据项目的实际情况需要以其他资金先行投入</w:t>
      </w:r>
      <w:r>
        <w:rPr>
          <w:rFonts w:hint="eastAsia" w:ascii="宋体" w:hAnsi="宋体" w:eastAsia="宋体" w:cs="宋体"/>
          <w:sz w:val="10"/>
        </w:rPr>
        <w:t>，</w:t>
      </w:r>
      <w:r>
        <w:rPr>
          <w:rFonts w:hint="eastAsia" w:ascii="宋体" w:hAnsi="宋体" w:eastAsia="宋体" w:cs="宋体"/>
          <w:sz w:val="24"/>
        </w:rPr>
        <w:t>募集资金到位后予以置换</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项目累计投入金额</w:t>
      </w:r>
      <w:r>
        <w:rPr>
          <w:rFonts w:hint="eastAsia" w:ascii="Times New Roman" w:hAnsi="Times New Roman" w:eastAsia="Times New Roman" w:cs="Times New Roman"/>
          <w:sz w:val="24"/>
        </w:rPr>
        <w:t>2,009.90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均为</w:t>
      </w:r>
      <w:r>
        <w:rPr>
          <w:rFonts w:hint="eastAsia" w:ascii="宋体" w:hAnsi="宋体" w:eastAsia="宋体" w:cs="宋体"/>
          <w:sz w:val="10"/>
        </w:rPr>
        <w:t>“</w:t>
      </w:r>
      <w:r>
        <w:rPr>
          <w:rFonts w:hint="eastAsia" w:ascii="宋体" w:hAnsi="宋体" w:eastAsia="宋体" w:cs="宋体"/>
          <w:sz w:val="24"/>
        </w:rPr>
        <w:t>研发中心建设项目</w:t>
      </w:r>
      <w:r>
        <w:rPr>
          <w:rFonts w:hint="eastAsia" w:ascii="宋体" w:hAnsi="宋体" w:eastAsia="宋体" w:cs="宋体"/>
          <w:sz w:val="10"/>
        </w:rPr>
        <w:t>”</w:t>
      </w:r>
      <w:r>
        <w:rPr>
          <w:rFonts w:hint="eastAsia" w:ascii="宋体" w:hAnsi="宋体" w:eastAsia="宋体" w:cs="宋体"/>
          <w:sz w:val="24"/>
        </w:rPr>
        <w:t>的投入</w:t>
      </w:r>
      <w:r>
        <w:rPr>
          <w:rFonts w:hint="eastAsia" w:ascii="宋体" w:hAnsi="宋体" w:eastAsia="宋体" w:cs="宋体"/>
          <w:sz w:val="10"/>
        </w:rPr>
        <w:t>。</w:t>
      </w:r>
      <w:r>
        <w:rPr>
          <w:rFonts w:hint="eastAsia" w:ascii="宋体" w:hAnsi="宋体" w:eastAsia="宋体" w:cs="宋体"/>
          <w:sz w:val="24"/>
        </w:rPr>
        <w:t>本次募集资金到位后</w:t>
      </w:r>
      <w:r>
        <w:rPr>
          <w:rFonts w:hint="eastAsia" w:ascii="宋体" w:hAnsi="宋体" w:eastAsia="宋体" w:cs="宋体"/>
          <w:sz w:val="10"/>
        </w:rPr>
        <w:t>，</w:t>
      </w:r>
      <w:r>
        <w:rPr>
          <w:rFonts w:hint="eastAsia" w:ascii="宋体" w:hAnsi="宋体" w:eastAsia="宋体" w:cs="宋体"/>
          <w:sz w:val="24"/>
        </w:rPr>
        <w:t>公司将按上述用途资金需求的轻重缓急安排使用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募集资金投资上述项目如有不足</w:t>
      </w:r>
      <w:r>
        <w:rPr>
          <w:rFonts w:hint="eastAsia" w:ascii="宋体" w:hAnsi="宋体" w:eastAsia="宋体" w:cs="宋体"/>
          <w:sz w:val="10"/>
        </w:rPr>
        <w:t>，</w:t>
      </w:r>
      <w:r>
        <w:rPr>
          <w:rFonts w:hint="eastAsia" w:ascii="宋体" w:hAnsi="宋体" w:eastAsia="宋体" w:cs="宋体"/>
          <w:sz w:val="24"/>
        </w:rPr>
        <w:t>公司将以自有资金</w:t>
      </w:r>
      <w:r>
        <w:rPr>
          <w:rFonts w:hint="eastAsia" w:ascii="宋体" w:hAnsi="宋体" w:eastAsia="宋体" w:cs="宋体"/>
          <w:sz w:val="10"/>
        </w:rPr>
        <w:t>、</w:t>
      </w:r>
      <w:r>
        <w:rPr>
          <w:rFonts w:hint="eastAsia" w:ascii="宋体" w:hAnsi="宋体" w:eastAsia="宋体" w:cs="宋体"/>
          <w:sz w:val="24"/>
        </w:rPr>
        <w:t>银行贷款或其他债务融资方式完成项目投资</w:t>
      </w:r>
      <w:r>
        <w:rPr>
          <w:rFonts w:hint="eastAsia" w:ascii="宋体" w:hAnsi="宋体" w:eastAsia="宋体" w:cs="宋体"/>
          <w:sz w:val="10"/>
        </w:rPr>
        <w:t>。</w:t>
      </w:r>
      <w:r>
        <w:rPr>
          <w:rFonts w:hint="eastAsia" w:ascii="宋体" w:hAnsi="宋体" w:eastAsia="宋体" w:cs="宋体"/>
          <w:sz w:val="24"/>
        </w:rPr>
        <w:t>募集资金投资上述项目如有剩余</w:t>
      </w:r>
      <w:r>
        <w:rPr>
          <w:rFonts w:hint="eastAsia" w:ascii="宋体" w:hAnsi="宋体" w:eastAsia="宋体" w:cs="宋体"/>
          <w:sz w:val="10"/>
        </w:rPr>
        <w:t>，</w:t>
      </w:r>
      <w:r>
        <w:rPr>
          <w:rFonts w:hint="eastAsia" w:ascii="宋体" w:hAnsi="宋体" w:eastAsia="宋体" w:cs="宋体"/>
          <w:sz w:val="24"/>
        </w:rPr>
        <w:t>将根据中国证监会及上交所的有关</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1-1-305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规定用于公司的主营业务或补充流动资金</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00" w:firstLine="480"/>
        <w:jc w:val="both"/>
      </w:pPr>
      <w:r>
        <w:rPr>
          <w:rFonts w:hint="eastAsia" w:ascii="宋体" w:hAnsi="宋体" w:eastAsia="宋体" w:cs="宋体"/>
          <w:sz w:val="24"/>
        </w:rPr>
        <w:t>上述募集资金投向主要为巩固公司主营业务</w:t>
      </w:r>
      <w:r>
        <w:rPr>
          <w:rFonts w:hint="eastAsia" w:ascii="宋体" w:hAnsi="宋体" w:eastAsia="宋体" w:cs="宋体"/>
          <w:sz w:val="10"/>
        </w:rPr>
        <w:t>，</w:t>
      </w:r>
      <w:r>
        <w:rPr>
          <w:rFonts w:hint="eastAsia" w:ascii="宋体" w:hAnsi="宋体" w:eastAsia="宋体" w:cs="宋体"/>
          <w:sz w:val="24"/>
        </w:rPr>
        <w:t>应用于有关法律法规鼓励</w:t>
      </w:r>
      <w:r>
        <w:rPr>
          <w:rFonts w:hint="eastAsia" w:ascii="宋体" w:hAnsi="宋体" w:eastAsia="宋体" w:cs="宋体"/>
          <w:sz w:val="10"/>
        </w:rPr>
        <w:t>、</w:t>
      </w:r>
      <w:r>
        <w:rPr>
          <w:rFonts w:hint="eastAsia" w:ascii="宋体" w:hAnsi="宋体" w:eastAsia="宋体" w:cs="宋体"/>
          <w:sz w:val="24"/>
        </w:rPr>
        <w:t>支持的领域</w:t>
      </w:r>
      <w:r>
        <w:rPr>
          <w:rFonts w:hint="eastAsia" w:ascii="宋体" w:hAnsi="宋体" w:eastAsia="宋体" w:cs="宋体"/>
          <w:sz w:val="10"/>
        </w:rPr>
        <w:t>，</w:t>
      </w:r>
      <w:r>
        <w:rPr>
          <w:rFonts w:hint="eastAsia" w:ascii="宋体" w:hAnsi="宋体" w:eastAsia="宋体" w:cs="宋体"/>
          <w:sz w:val="24"/>
        </w:rPr>
        <w:t>符合国家关于互联网金融等相关产业政策和监管要求</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保荐机构</w:t>
      </w:r>
      <w:r>
        <w:rPr>
          <w:rFonts w:hint="eastAsia" w:ascii="宋体" w:hAnsi="宋体" w:eastAsia="宋体" w:cs="宋体"/>
          <w:sz w:val="10"/>
        </w:rPr>
        <w:t>、</w:t>
      </w:r>
      <w:r>
        <w:rPr>
          <w:rFonts w:hint="eastAsia" w:ascii="宋体" w:hAnsi="宋体" w:eastAsia="宋体" w:cs="宋体"/>
          <w:sz w:val="24"/>
        </w:rPr>
        <w:t>发行人律师认为</w:t>
      </w:r>
      <w:r>
        <w:rPr>
          <w:rFonts w:hint="eastAsia" w:ascii="宋体" w:hAnsi="宋体" w:eastAsia="宋体" w:cs="宋体"/>
          <w:sz w:val="10"/>
        </w:rPr>
        <w:t>，</w:t>
      </w:r>
      <w:r>
        <w:rPr>
          <w:rFonts w:hint="eastAsia" w:ascii="宋体" w:hAnsi="宋体" w:eastAsia="宋体" w:cs="宋体"/>
          <w:sz w:val="24"/>
        </w:rPr>
        <w:t>公司上述募集资金投资项目符合国家产业政策</w:t>
      </w:r>
      <w:r>
        <w:rPr>
          <w:rFonts w:hint="eastAsia" w:ascii="宋体" w:hAnsi="宋体" w:eastAsia="宋体" w:cs="宋体"/>
          <w:sz w:val="10"/>
        </w:rPr>
        <w:t>、</w:t>
      </w:r>
      <w:r>
        <w:rPr>
          <w:rFonts w:hint="eastAsia" w:ascii="宋体" w:hAnsi="宋体" w:eastAsia="宋体" w:cs="宋体"/>
          <w:sz w:val="24"/>
        </w:rPr>
        <w:t>环境保护</w:t>
      </w:r>
      <w:r>
        <w:rPr>
          <w:rFonts w:hint="eastAsia" w:ascii="宋体" w:hAnsi="宋体" w:eastAsia="宋体" w:cs="宋体"/>
          <w:sz w:val="10"/>
        </w:rPr>
        <w:t>、</w:t>
      </w:r>
      <w:r>
        <w:rPr>
          <w:rFonts w:hint="eastAsia" w:ascii="宋体" w:hAnsi="宋体" w:eastAsia="宋体" w:cs="宋体"/>
          <w:sz w:val="24"/>
        </w:rPr>
        <w:t>土地管理以及其他法律</w:t>
      </w:r>
      <w:r>
        <w:rPr>
          <w:rFonts w:hint="eastAsia" w:ascii="宋体" w:hAnsi="宋体" w:eastAsia="宋体" w:cs="宋体"/>
          <w:sz w:val="10"/>
        </w:rPr>
        <w:t>、</w:t>
      </w:r>
      <w:r>
        <w:rPr>
          <w:rFonts w:hint="eastAsia" w:ascii="宋体" w:hAnsi="宋体" w:eastAsia="宋体" w:cs="宋体"/>
          <w:sz w:val="24"/>
        </w:rPr>
        <w:t>法规和规章规定</w:t>
      </w:r>
      <w:r>
        <w:rPr>
          <w:rFonts w:hint="eastAsia" w:ascii="宋体" w:hAnsi="宋体" w:eastAsia="宋体" w:cs="宋体"/>
          <w:sz w:val="10"/>
        </w:rPr>
        <w:t>。</w:t>
      </w:r>
      <w:r>
        <w:rPr>
          <w:rFonts w:hint="eastAsia" w:ascii="宋体" w:hAnsi="宋体" w:eastAsia="宋体" w:cs="宋体"/>
          <w:sz w:val="24"/>
        </w:rPr>
        <w:t>发行人募投项目用地不涉及农用地</w:t>
      </w:r>
      <w:r>
        <w:rPr>
          <w:rFonts w:hint="eastAsia" w:ascii="宋体" w:hAnsi="宋体" w:eastAsia="宋体" w:cs="宋体"/>
          <w:sz w:val="10"/>
        </w:rPr>
        <w:t>，</w:t>
      </w:r>
      <w:r>
        <w:rPr>
          <w:rFonts w:hint="eastAsia" w:ascii="宋体" w:hAnsi="宋体" w:eastAsia="宋体" w:cs="宋体"/>
          <w:sz w:val="24"/>
        </w:rPr>
        <w:t>未发现存在重大纠纷争议的情形</w:t>
      </w:r>
      <w:r>
        <w:rPr>
          <w:rFonts w:hint="eastAsia" w:ascii="宋体" w:hAnsi="宋体" w:eastAsia="宋体" w:cs="宋体"/>
          <w:sz w:val="10"/>
        </w:rPr>
        <w:t>，</w:t>
      </w:r>
      <w:r>
        <w:rPr>
          <w:rFonts w:hint="eastAsia" w:ascii="宋体" w:hAnsi="宋体" w:eastAsia="宋体" w:cs="宋体"/>
          <w:sz w:val="24"/>
        </w:rPr>
        <w:t>不会对发行人生产经营产生重大不利影响</w:t>
      </w:r>
      <w:r>
        <w:rPr>
          <w:rFonts w:hint="eastAsia" w:ascii="宋体" w:hAnsi="宋体" w:eastAsia="宋体" w:cs="宋体"/>
          <w:sz w:val="10"/>
        </w:rPr>
        <w:t>，</w:t>
      </w:r>
      <w:r>
        <w:rPr>
          <w:rFonts w:hint="eastAsia" w:ascii="宋体" w:hAnsi="宋体" w:eastAsia="宋体" w:cs="宋体"/>
          <w:sz w:val="24"/>
        </w:rPr>
        <w:t>发行人相关房屋及土地</w:t>
      </w:r>
      <w:r>
        <w:rPr>
          <w:rFonts w:hint="eastAsia" w:ascii="宋体" w:hAnsi="宋体" w:eastAsia="宋体" w:cs="宋体"/>
          <w:sz w:val="10"/>
        </w:rPr>
        <w:t>、</w:t>
      </w:r>
      <w:r>
        <w:rPr>
          <w:rFonts w:hint="eastAsia" w:ascii="宋体" w:hAnsi="宋体" w:eastAsia="宋体" w:cs="宋体"/>
          <w:sz w:val="24"/>
        </w:rPr>
        <w:t>募投项目用地的使用符合相关法律法规的规定</w:t>
      </w:r>
      <w:r>
        <w:rPr>
          <w:rFonts w:hint="eastAsia" w:ascii="宋体" w:hAnsi="宋体" w:eastAsia="宋体" w:cs="宋体"/>
          <w:sz w:val="10"/>
        </w:rPr>
        <w:t>，</w:t>
      </w:r>
      <w:r>
        <w:rPr>
          <w:rFonts w:hint="eastAsia" w:ascii="宋体" w:hAnsi="宋体" w:eastAsia="宋体" w:cs="宋体"/>
          <w:sz w:val="24"/>
        </w:rPr>
        <w:t>不存在构成本次发行上市障碍的情形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（二）募集资金专项存储制度的建立及执行情况</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公司制定了《募集资金管理规定》，</w:t>
      </w:r>
      <w:r>
        <w:rPr>
          <w:rFonts w:hint="eastAsia" w:ascii="宋体" w:hAnsi="宋体" w:eastAsia="宋体" w:cs="宋体"/>
          <w:sz w:val="24"/>
        </w:rPr>
        <w:t>对募集资金专户存储安排做出如下规定</w:t>
      </w:r>
      <w:r>
        <w:rPr>
          <w:rFonts w:hint="eastAsia" w:ascii="宋体" w:hAnsi="宋体" w:eastAsia="宋体" w:cs="宋体"/>
          <w:sz w:val="12"/>
        </w:rPr>
        <w:t>：</w:t>
      </w:r>
      <w:r>
        <w:rPr>
          <w:rFonts w:hint="eastAsia" w:ascii="宋体" w:hAnsi="宋体" w:eastAsia="宋体" w:cs="宋体"/>
          <w:sz w:val="24"/>
        </w:rPr>
        <w:t>公司募集资金应当存放于董事会设立的专项账户集中管理</w:t>
      </w:r>
      <w:r>
        <w:rPr>
          <w:rFonts w:hint="eastAsia" w:ascii="宋体" w:hAnsi="宋体" w:eastAsia="宋体" w:cs="宋体"/>
          <w:sz w:val="14"/>
        </w:rPr>
        <w:t>；</w:t>
      </w:r>
      <w:r>
        <w:rPr>
          <w:rFonts w:hint="eastAsia" w:ascii="宋体" w:hAnsi="宋体" w:eastAsia="宋体" w:cs="宋体"/>
          <w:sz w:val="24"/>
        </w:rPr>
        <w:t>募集资金专户不得存放非募集资金或用作其它用途</w:t>
      </w:r>
      <w:r>
        <w:rPr>
          <w:rFonts w:hint="eastAsia" w:ascii="宋体" w:hAnsi="宋体" w:eastAsia="宋体" w:cs="宋体"/>
          <w:sz w:val="10"/>
        </w:rPr>
        <w:t>。</w:t>
      </w:r>
      <w:r>
        <w:rPr>
          <w:rFonts w:hint="eastAsia" w:ascii="宋体" w:hAnsi="宋体" w:eastAsia="宋体" w:cs="宋体"/>
          <w:sz w:val="24"/>
        </w:rPr>
        <w:t>募集资金专户开户银行为【</w:t>
      </w:r>
      <w:r>
        <w:rPr>
          <w:rFonts w:hint="eastAsia" w:ascii="Times New Roman" w:hAnsi="Times New Roman" w:eastAsia="Times New Roman" w:cs="Times New Roman"/>
          <w:sz w:val="24"/>
        </w:rPr>
        <w:t xml:space="preserve"> </w:t>
      </w:r>
      <w:r>
        <w:rPr>
          <w:rFonts w:hint="eastAsia" w:ascii="宋体" w:hAnsi="宋体" w:eastAsia="宋体" w:cs="宋体"/>
          <w:sz w:val="24"/>
        </w:rPr>
        <w:t>】，</w:t>
      </w:r>
      <w:r>
        <w:rPr>
          <w:rFonts w:hint="eastAsia" w:ascii="宋体" w:hAnsi="宋体" w:eastAsia="宋体" w:cs="宋体"/>
          <w:sz w:val="24"/>
        </w:rPr>
        <w:t>账号为【</w:t>
      </w:r>
      <w:r>
        <w:rPr>
          <w:rFonts w:hint="eastAsia" w:ascii="Times New Roman" w:hAnsi="Times New Roman" w:eastAsia="Times New Roman" w:cs="Times New Roman"/>
          <w:sz w:val="24"/>
        </w:rPr>
        <w:t xml:space="preserve"> </w:t>
      </w:r>
      <w:r>
        <w:rPr>
          <w:rFonts w:hint="eastAsia" w:ascii="宋体" w:hAnsi="宋体" w:eastAsia="宋体" w:cs="宋体"/>
          <w:sz w:val="24"/>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（三）募集资金投资项目实施后对公司同业竞争情况及独立性的影响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00" w:firstLine="480"/>
        <w:jc w:val="both"/>
      </w:pPr>
      <w:r>
        <w:rPr>
          <w:rFonts w:hint="eastAsia" w:ascii="宋体" w:hAnsi="宋体" w:eastAsia="宋体" w:cs="宋体"/>
          <w:sz w:val="24"/>
        </w:rPr>
        <w:t>本公司控股股东</w:t>
      </w:r>
      <w:r>
        <w:rPr>
          <w:rFonts w:hint="eastAsia" w:ascii="宋体" w:hAnsi="宋体" w:eastAsia="宋体" w:cs="宋体"/>
          <w:sz w:val="10"/>
        </w:rPr>
        <w:t>、</w:t>
      </w:r>
      <w:r>
        <w:rPr>
          <w:rFonts w:hint="eastAsia" w:ascii="宋体" w:hAnsi="宋体" w:eastAsia="宋体" w:cs="宋体"/>
          <w:sz w:val="24"/>
        </w:rPr>
        <w:t>实际控制人严孟宇未从事与本公司相同或相似的业务</w:t>
      </w:r>
      <w:r>
        <w:rPr>
          <w:rFonts w:hint="eastAsia" w:ascii="宋体" w:hAnsi="宋体" w:eastAsia="宋体" w:cs="宋体"/>
          <w:sz w:val="10"/>
        </w:rPr>
        <w:t>，</w:t>
      </w:r>
      <w:r>
        <w:rPr>
          <w:rFonts w:hint="eastAsia" w:ascii="宋体" w:hAnsi="宋体" w:eastAsia="宋体" w:cs="宋体"/>
          <w:sz w:val="24"/>
        </w:rPr>
        <w:t>与本公司不存在同业竞争</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为避免今后与公司之间可能出现同业竞争</w:t>
      </w:r>
      <w:r>
        <w:rPr>
          <w:rFonts w:hint="eastAsia" w:ascii="宋体" w:hAnsi="宋体" w:eastAsia="宋体" w:cs="宋体"/>
          <w:sz w:val="10"/>
        </w:rPr>
        <w:t>，</w:t>
      </w:r>
      <w:r>
        <w:rPr>
          <w:rFonts w:hint="eastAsia" w:ascii="宋体" w:hAnsi="宋体" w:eastAsia="宋体" w:cs="宋体"/>
          <w:sz w:val="24"/>
        </w:rPr>
        <w:t>维护公司的利益和保证公司的长期稳定发展</w:t>
      </w:r>
      <w:r>
        <w:rPr>
          <w:rFonts w:hint="eastAsia" w:ascii="宋体" w:hAnsi="宋体" w:eastAsia="宋体" w:cs="宋体"/>
          <w:sz w:val="10"/>
        </w:rPr>
        <w:t>，</w:t>
      </w:r>
      <w:r>
        <w:rPr>
          <w:rFonts w:hint="eastAsia" w:ascii="宋体" w:hAnsi="宋体" w:eastAsia="宋体" w:cs="宋体"/>
          <w:sz w:val="24"/>
        </w:rPr>
        <w:t>公司控股股东</w:t>
      </w:r>
      <w:r>
        <w:rPr>
          <w:rFonts w:hint="eastAsia" w:ascii="宋体" w:hAnsi="宋体" w:eastAsia="宋体" w:cs="宋体"/>
          <w:sz w:val="10"/>
        </w:rPr>
        <w:t>、</w:t>
      </w:r>
      <w:r>
        <w:rPr>
          <w:rFonts w:hint="eastAsia" w:ascii="宋体" w:hAnsi="宋体" w:eastAsia="宋体" w:cs="宋体"/>
          <w:sz w:val="24"/>
        </w:rPr>
        <w:t>实际控制人严孟宇于</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9</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10</w:t>
      </w:r>
      <w:r>
        <w:rPr>
          <w:rFonts w:hint="eastAsia" w:ascii="宋体" w:hAnsi="宋体" w:eastAsia="宋体" w:cs="宋体"/>
          <w:sz w:val="24"/>
        </w:rPr>
        <w:t xml:space="preserve"> 日出具了《避免同业竞争的承诺函》，</w:t>
      </w:r>
      <w:r>
        <w:rPr>
          <w:rFonts w:hint="eastAsia" w:ascii="宋体" w:hAnsi="宋体" w:eastAsia="宋体" w:cs="宋体"/>
          <w:sz w:val="24"/>
        </w:rPr>
        <w:t>具体参见</w:t>
      </w:r>
      <w:r>
        <w:rPr>
          <w:rFonts w:hint="eastAsia" w:ascii="宋体" w:hAnsi="宋体" w:eastAsia="宋体" w:cs="宋体"/>
          <w:sz w:val="10"/>
        </w:rPr>
        <w:t>“</w:t>
      </w:r>
      <w:r>
        <w:rPr>
          <w:rFonts w:hint="eastAsia" w:ascii="宋体" w:hAnsi="宋体" w:eastAsia="宋体" w:cs="宋体"/>
          <w:sz w:val="24"/>
        </w:rPr>
        <w:t>第七节</w:t>
      </w:r>
      <w:r>
        <w:rPr>
          <w:rFonts w:hint="eastAsia" w:ascii="Times New Roman" w:hAnsi="Times New Roman" w:eastAsia="Times New Roman" w:cs="Times New Roman"/>
          <w:sz w:val="24"/>
        </w:rPr>
        <w:t xml:space="preserve"> </w:t>
      </w:r>
      <w:r>
        <w:rPr>
          <w:rFonts w:hint="eastAsia" w:ascii="宋体" w:hAnsi="宋体" w:eastAsia="宋体" w:cs="宋体"/>
          <w:sz w:val="24"/>
        </w:rPr>
        <w:t>同业竞争与关联交易</w:t>
      </w:r>
      <w:r>
        <w:rPr>
          <w:rFonts w:hint="eastAsia" w:ascii="宋体" w:hAnsi="宋体" w:eastAsia="宋体" w:cs="宋体"/>
          <w:sz w:val="10"/>
        </w:rPr>
        <w:t>”</w:t>
      </w:r>
      <w:r>
        <w:rPr>
          <w:rFonts w:hint="eastAsia" w:ascii="宋体" w:hAnsi="宋体" w:eastAsia="宋体" w:cs="宋体"/>
          <w:sz w:val="24"/>
        </w:rPr>
        <w:t>之</w:t>
      </w:r>
      <w:r>
        <w:rPr>
          <w:rFonts w:hint="eastAsia" w:ascii="宋体" w:hAnsi="宋体" w:eastAsia="宋体" w:cs="宋体"/>
          <w:sz w:val="10"/>
        </w:rPr>
        <w:t>“二、</w:t>
      </w:r>
      <w:r>
        <w:rPr>
          <w:rFonts w:hint="eastAsia" w:ascii="宋体" w:hAnsi="宋体" w:eastAsia="宋体" w:cs="宋体"/>
          <w:sz w:val="24"/>
        </w:rPr>
        <w:t>同业竞争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本次发行募集资金投资项目总投资额为</w:t>
      </w:r>
      <w:r>
        <w:rPr>
          <w:rFonts w:hint="eastAsia" w:ascii="Times New Roman" w:hAnsi="Times New Roman" w:eastAsia="Times New Roman" w:cs="Times New Roman"/>
          <w:sz w:val="24"/>
        </w:rPr>
        <w:t xml:space="preserve"> 44,151.10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2"/>
        </w:rPr>
        <w:t>：</w:t>
      </w:r>
      <w:r>
        <w:rPr>
          <w:rFonts w:hint="eastAsia" w:ascii="宋体" w:hAnsi="宋体" w:eastAsia="宋体" w:cs="宋体"/>
          <w:sz w:val="24"/>
        </w:rPr>
        <w:t>基于新一代</w:t>
      </w:r>
      <w:r>
        <w:rPr>
          <w:rFonts w:hint="eastAsia" w:ascii="Times New Roman" w:hAnsi="Times New Roman" w:eastAsia="Times New Roman" w:cs="Times New Roman"/>
          <w:sz w:val="24"/>
        </w:rPr>
        <w:t xml:space="preserve"> LiveBOS</w:t>
      </w:r>
      <w:r>
        <w:rPr>
          <w:rFonts w:hint="eastAsia" w:ascii="宋体" w:hAnsi="宋体" w:eastAsia="宋体" w:cs="宋体"/>
          <w:sz w:val="24"/>
        </w:rPr>
        <w:t>的平台及产品升级项目</w:t>
      </w:r>
      <w:r>
        <w:rPr>
          <w:rFonts w:hint="eastAsia" w:ascii="宋体" w:hAnsi="宋体" w:eastAsia="宋体" w:cs="宋体"/>
          <w:sz w:val="10"/>
        </w:rPr>
        <w:t>、</w:t>
      </w:r>
      <w:r>
        <w:rPr>
          <w:rFonts w:hint="eastAsia" w:ascii="宋体" w:hAnsi="宋体" w:eastAsia="宋体" w:cs="宋体"/>
          <w:sz w:val="24"/>
        </w:rPr>
        <w:t>金融行业互联网化应用解决方案项目</w:t>
      </w:r>
      <w:r>
        <w:rPr>
          <w:rFonts w:hint="eastAsia" w:ascii="宋体" w:hAnsi="宋体" w:eastAsia="宋体" w:cs="宋体"/>
          <w:sz w:val="10"/>
        </w:rPr>
        <w:t>、</w:t>
      </w:r>
      <w:r>
        <w:rPr>
          <w:rFonts w:hint="eastAsia" w:ascii="宋体" w:hAnsi="宋体" w:eastAsia="宋体" w:cs="宋体"/>
          <w:sz w:val="24"/>
        </w:rPr>
        <w:t>流程券商（含期货）解决方案项目</w:t>
      </w:r>
      <w:r>
        <w:rPr>
          <w:rFonts w:hint="eastAsia" w:ascii="宋体" w:hAnsi="宋体" w:eastAsia="宋体" w:cs="宋体"/>
          <w:sz w:val="10"/>
        </w:rPr>
        <w:t>、</w:t>
      </w:r>
      <w:r>
        <w:rPr>
          <w:rFonts w:hint="eastAsia" w:ascii="宋体" w:hAnsi="宋体" w:eastAsia="宋体" w:cs="宋体"/>
          <w:sz w:val="24"/>
        </w:rPr>
        <w:t>新</w:t>
      </w:r>
      <w:r>
        <w:rPr>
          <w:rFonts w:hint="eastAsia" w:ascii="宋体" w:hAnsi="宋体" w:eastAsia="宋体" w:cs="宋体"/>
          <w:sz w:val="10"/>
        </w:rPr>
        <w:t>一</w:t>
      </w:r>
      <w:r>
        <w:rPr>
          <w:rFonts w:hint="eastAsia" w:ascii="宋体" w:hAnsi="宋体" w:eastAsia="宋体" w:cs="宋体"/>
          <w:sz w:val="24"/>
        </w:rPr>
        <w:t>代电子交易市场业务支撑系统项目实施主体为顶点软件</w:t>
      </w:r>
      <w:r>
        <w:rPr>
          <w:rFonts w:hint="eastAsia" w:ascii="宋体" w:hAnsi="宋体" w:eastAsia="宋体" w:cs="宋体"/>
          <w:sz w:val="10"/>
        </w:rPr>
        <w:t>，</w:t>
      </w:r>
      <w:r>
        <w:rPr>
          <w:rFonts w:hint="eastAsia" w:ascii="宋体" w:hAnsi="宋体" w:eastAsia="宋体" w:cs="宋体"/>
          <w:sz w:val="24"/>
        </w:rPr>
        <w:t>研发中心建设项目实施主体为武汉顶点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公司将严格按照《公司章程》及相关法律法规的规定实施投资计划</w:t>
      </w:r>
      <w:r>
        <w:rPr>
          <w:rFonts w:hint="eastAsia" w:ascii="宋体" w:hAnsi="宋体" w:eastAsia="宋体" w:cs="宋体"/>
          <w:sz w:val="10"/>
        </w:rPr>
        <w:t>，</w:t>
      </w:r>
      <w:r>
        <w:rPr>
          <w:rFonts w:hint="eastAsia" w:ascii="宋体" w:hAnsi="宋体" w:eastAsia="宋体" w:cs="宋体"/>
          <w:sz w:val="24"/>
        </w:rPr>
        <w:t>募集资金投资项目的实施不会使公司出现同业竞争的情况</w:t>
      </w:r>
      <w:r>
        <w:rPr>
          <w:rFonts w:hint="eastAsia" w:ascii="宋体" w:hAnsi="宋体" w:eastAsia="宋体" w:cs="宋体"/>
          <w:sz w:val="10"/>
        </w:rPr>
        <w:t>，</w:t>
      </w:r>
      <w:r>
        <w:rPr>
          <w:rFonts w:hint="eastAsia" w:ascii="宋体" w:hAnsi="宋体" w:eastAsia="宋体" w:cs="宋体"/>
          <w:sz w:val="24"/>
        </w:rPr>
        <w:t>不会对公司的独立性产生重大不利影响</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24"/>
        </w:rPr>
        <w:t>二、</w:t>
      </w:r>
      <w:r>
        <w:rPr>
          <w:rFonts w:hint="eastAsia" w:ascii="ºÚÌå" w:hAnsi="ºÚÌå" w:eastAsia="ºÚÌå" w:cs="ºÚÌå"/>
          <w:sz w:val="30"/>
        </w:rPr>
        <w:t>募集资金投资项目的可行性</w:t>
      </w:r>
      <w:r>
        <w:rPr>
          <w:rFonts w:hint="eastAsia" w:ascii="ºÚÌå" w:hAnsi="ºÚÌå" w:eastAsia="ºÚÌå" w:cs="ºÚÌå"/>
          <w:sz w:val="10"/>
        </w:rPr>
        <w:t>、</w:t>
      </w:r>
      <w:r>
        <w:rPr>
          <w:rFonts w:hint="eastAsia" w:ascii="ºÚÌå" w:hAnsi="ºÚÌå" w:eastAsia="ºÚÌå" w:cs="ºÚÌå"/>
          <w:sz w:val="30"/>
        </w:rPr>
        <w:t>必要性和市场前景分析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1-1-306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b/>
          <w:sz w:val="20"/>
        </w:rPr>
        <w:t>（一）</w:t>
      </w:r>
      <w:r>
        <w:rPr>
          <w:rFonts w:hint="eastAsia" w:ascii="宋体" w:hAnsi="宋体" w:eastAsia="宋体" w:cs="宋体"/>
          <w:b/>
          <w:sz w:val="24"/>
        </w:rPr>
        <w:t>项目建设可行性分析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募投项目的实施符合国家政策导向</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国家近年来不断加大对软件和互联网等高新企业的关注</w:t>
      </w:r>
      <w:r>
        <w:rPr>
          <w:rFonts w:hint="eastAsia" w:ascii="宋体" w:hAnsi="宋体" w:eastAsia="宋体" w:cs="宋体"/>
          <w:sz w:val="10"/>
        </w:rPr>
        <w:t>，</w:t>
      </w:r>
      <w:r>
        <w:rPr>
          <w:rFonts w:hint="eastAsia" w:ascii="宋体" w:hAnsi="宋体" w:eastAsia="宋体" w:cs="宋体"/>
          <w:sz w:val="24"/>
        </w:rPr>
        <w:t>在科技部发布的《国家</w:t>
      </w:r>
    </w:p>
    <w:p>
      <w:pPr>
        <w:spacing w:line="200" w:lineRule="exact"/>
        <w:rPr>
          <w:rFonts w:hint="eastAsia" w:ascii="宋体" w:hAnsi="宋体" w:eastAsia="宋体" w:cs="宋体"/>
          <w:sz w:val="20"/>
        </w:rPr>
      </w:pPr>
    </w:p>
    <w:p>
      <w:pPr>
        <w:autoSpaceDE w:val="false"/>
        <w:autoSpaceDN w:val="false"/>
        <w:spacing w:line="260" w:lineRule="exact"/>
        <w:ind w:left="1440"/>
        <w:jc w:val="both"/>
      </w:pPr>
      <w:r>
        <w:rPr>
          <w:rFonts w:hint="eastAsia" w:ascii="宋体" w:hAnsi="宋体" w:eastAsia="宋体" w:cs="宋体"/>
          <w:sz w:val="10"/>
        </w:rPr>
        <w:t>“</w:t>
      </w:r>
      <w:r>
        <w:rPr>
          <w:rFonts w:hint="eastAsia" w:ascii="宋体" w:hAnsi="宋体" w:eastAsia="宋体" w:cs="宋体"/>
          <w:sz w:val="24"/>
        </w:rPr>
        <w:t>十二五</w:t>
      </w:r>
      <w:r>
        <w:rPr>
          <w:rFonts w:hint="eastAsia" w:ascii="宋体" w:hAnsi="宋体" w:eastAsia="宋体" w:cs="宋体"/>
          <w:sz w:val="10"/>
        </w:rPr>
        <w:t>”</w:t>
      </w:r>
      <w:r>
        <w:rPr>
          <w:rFonts w:hint="eastAsia" w:ascii="宋体" w:hAnsi="宋体" w:eastAsia="宋体" w:cs="宋体"/>
          <w:sz w:val="24"/>
        </w:rPr>
        <w:t>科学和技术发展规划》中提出</w:t>
      </w:r>
      <w:r>
        <w:rPr>
          <w:rFonts w:hint="eastAsia" w:ascii="宋体" w:hAnsi="宋体" w:eastAsia="宋体" w:cs="宋体"/>
          <w:sz w:val="12"/>
        </w:rPr>
        <w:t>：</w:t>
      </w:r>
      <w:r>
        <w:rPr>
          <w:rFonts w:hint="eastAsia" w:ascii="宋体" w:hAnsi="宋体" w:eastAsia="宋体" w:cs="宋体"/>
          <w:sz w:val="24"/>
        </w:rPr>
        <w:t>推动下一代互联网</w:t>
      </w:r>
      <w:r>
        <w:rPr>
          <w:rFonts w:hint="eastAsia" w:ascii="宋体" w:hAnsi="宋体" w:eastAsia="宋体" w:cs="宋体"/>
          <w:sz w:val="10"/>
        </w:rPr>
        <w:t>、</w:t>
      </w:r>
      <w:r>
        <w:rPr>
          <w:rFonts w:hint="eastAsia" w:ascii="宋体" w:hAnsi="宋体" w:eastAsia="宋体" w:cs="宋体"/>
          <w:sz w:val="24"/>
        </w:rPr>
        <w:t>新一代移动通信</w:t>
      </w:r>
      <w:r>
        <w:rPr>
          <w:rFonts w:hint="eastAsia" w:ascii="宋体" w:hAnsi="宋体" w:eastAsia="宋体" w:cs="宋体"/>
          <w:sz w:val="10"/>
        </w:rPr>
        <w:t>、</w:t>
      </w:r>
      <w:r>
        <w:rPr>
          <w:rFonts w:hint="eastAsia" w:ascii="宋体" w:hAnsi="宋体" w:eastAsia="宋体" w:cs="宋体"/>
          <w:sz w:val="24"/>
        </w:rPr>
        <w:t>云计</w:t>
      </w:r>
    </w:p>
    <w:p>
      <w:pPr>
        <w:spacing w:line="200" w:lineRule="exact"/>
        <w:rPr>
          <w:rFonts w:hint="eastAsia" w:ascii="宋体" w:hAnsi="宋体" w:eastAsia="宋体" w:cs="宋体"/>
          <w:sz w:val="20"/>
        </w:rPr>
      </w:pPr>
    </w:p>
    <w:p>
      <w:pPr>
        <w:autoSpaceDE w:val="false"/>
        <w:autoSpaceDN w:val="false"/>
        <w:spacing w:line="440" w:lineRule="exact"/>
        <w:ind w:left="1440" w:right="1200"/>
        <w:jc w:val="both"/>
      </w:pPr>
      <w:r>
        <w:rPr>
          <w:rFonts w:hint="eastAsia" w:ascii="宋体" w:hAnsi="宋体" w:eastAsia="宋体" w:cs="宋体"/>
          <w:sz w:val="24"/>
        </w:rPr>
        <w:t>算</w:t>
      </w:r>
      <w:r>
        <w:rPr>
          <w:rFonts w:hint="eastAsia" w:ascii="宋体" w:hAnsi="宋体" w:eastAsia="宋体" w:cs="宋体"/>
          <w:sz w:val="10"/>
        </w:rPr>
        <w:t>、</w:t>
      </w:r>
      <w:r>
        <w:rPr>
          <w:rFonts w:hint="eastAsia" w:ascii="宋体" w:hAnsi="宋体" w:eastAsia="宋体" w:cs="宋体"/>
          <w:sz w:val="24"/>
        </w:rPr>
        <w:t>物联网</w:t>
      </w:r>
      <w:r>
        <w:rPr>
          <w:rFonts w:hint="eastAsia" w:ascii="宋体" w:hAnsi="宋体" w:eastAsia="宋体" w:cs="宋体"/>
          <w:sz w:val="10"/>
        </w:rPr>
        <w:t>、</w:t>
      </w:r>
      <w:r>
        <w:rPr>
          <w:rFonts w:hint="eastAsia" w:ascii="宋体" w:hAnsi="宋体" w:eastAsia="宋体" w:cs="宋体"/>
          <w:sz w:val="24"/>
        </w:rPr>
        <w:t>智能网络终端</w:t>
      </w:r>
      <w:r>
        <w:rPr>
          <w:rFonts w:hint="eastAsia" w:ascii="宋体" w:hAnsi="宋体" w:eastAsia="宋体" w:cs="宋体"/>
          <w:sz w:val="10"/>
        </w:rPr>
        <w:t>、</w:t>
      </w:r>
      <w:r>
        <w:rPr>
          <w:rFonts w:hint="eastAsia" w:ascii="宋体" w:hAnsi="宋体" w:eastAsia="宋体" w:cs="宋体"/>
          <w:sz w:val="24"/>
        </w:rPr>
        <w:t>高性能计算的发展</w:t>
      </w:r>
      <w:r>
        <w:rPr>
          <w:rFonts w:hint="eastAsia" w:ascii="宋体" w:hAnsi="宋体" w:eastAsia="宋体" w:cs="宋体"/>
          <w:sz w:val="10"/>
        </w:rPr>
        <w:t>，</w:t>
      </w:r>
      <w:r>
        <w:rPr>
          <w:rFonts w:hint="eastAsia" w:ascii="宋体" w:hAnsi="宋体" w:eastAsia="宋体" w:cs="宋体"/>
          <w:sz w:val="24"/>
        </w:rPr>
        <w:t>实施新型显示</w:t>
      </w:r>
      <w:r>
        <w:rPr>
          <w:rFonts w:hint="eastAsia" w:ascii="宋体" w:hAnsi="宋体" w:eastAsia="宋体" w:cs="宋体"/>
          <w:sz w:val="10"/>
        </w:rPr>
        <w:t>、</w:t>
      </w:r>
      <w:r>
        <w:rPr>
          <w:rFonts w:hint="eastAsia" w:ascii="宋体" w:hAnsi="宋体" w:eastAsia="宋体" w:cs="宋体"/>
          <w:sz w:val="24"/>
        </w:rPr>
        <w:t>国家宽带网</w:t>
      </w:r>
      <w:r>
        <w:rPr>
          <w:rFonts w:hint="eastAsia" w:ascii="宋体" w:hAnsi="宋体" w:eastAsia="宋体" w:cs="宋体"/>
          <w:sz w:val="10"/>
        </w:rPr>
        <w:t>、</w:t>
      </w:r>
      <w:r>
        <w:rPr>
          <w:rFonts w:hint="eastAsia" w:ascii="宋体" w:hAnsi="宋体" w:eastAsia="宋体" w:cs="宋体"/>
          <w:sz w:val="24"/>
        </w:rPr>
        <w:t>云计算等科技产业化工程</w:t>
      </w:r>
      <w:r>
        <w:rPr>
          <w:rFonts w:hint="eastAsia" w:ascii="宋体" w:hAnsi="宋体" w:eastAsia="宋体" w:cs="宋体"/>
          <w:sz w:val="10"/>
        </w:rPr>
        <w:t>。</w:t>
      </w:r>
      <w:r>
        <w:rPr>
          <w:rFonts w:hint="eastAsia" w:ascii="宋体" w:hAnsi="宋体" w:eastAsia="宋体" w:cs="宋体"/>
          <w:sz w:val="24"/>
        </w:rPr>
        <w:t>积极推进三网融合</w:t>
      </w:r>
      <w:r>
        <w:rPr>
          <w:rFonts w:hint="eastAsia" w:ascii="宋体" w:hAnsi="宋体" w:eastAsia="宋体" w:cs="宋体"/>
          <w:sz w:val="10"/>
        </w:rPr>
        <w:t>，</w:t>
      </w:r>
      <w:r>
        <w:rPr>
          <w:rFonts w:hint="eastAsia" w:ascii="宋体" w:hAnsi="宋体" w:eastAsia="宋体" w:cs="宋体"/>
          <w:sz w:val="24"/>
        </w:rPr>
        <w:t>加快网络与信息安全技术创新</w:t>
      </w:r>
      <w:r>
        <w:rPr>
          <w:rFonts w:hint="eastAsia" w:ascii="宋体" w:hAnsi="宋体" w:eastAsia="宋体" w:cs="宋体"/>
          <w:sz w:val="10"/>
        </w:rPr>
        <w:t>，</w:t>
      </w:r>
      <w:r>
        <w:rPr>
          <w:rFonts w:hint="eastAsia" w:ascii="宋体" w:hAnsi="宋体" w:eastAsia="宋体" w:cs="宋体"/>
          <w:sz w:val="24"/>
        </w:rPr>
        <w:t>保障网络与信息安全</w:t>
      </w:r>
      <w:r>
        <w:rPr>
          <w:rFonts w:hint="eastAsia" w:ascii="宋体" w:hAnsi="宋体" w:eastAsia="宋体" w:cs="宋体"/>
          <w:sz w:val="10"/>
        </w:rPr>
        <w:t>。</w:t>
      </w:r>
      <w:r>
        <w:rPr>
          <w:rFonts w:hint="eastAsia" w:ascii="宋体" w:hAnsi="宋体" w:eastAsia="宋体" w:cs="宋体"/>
          <w:sz w:val="24"/>
        </w:rPr>
        <w:t>着力发展集成电路</w:t>
      </w:r>
      <w:r>
        <w:rPr>
          <w:rFonts w:hint="eastAsia" w:ascii="宋体" w:hAnsi="宋体" w:eastAsia="宋体" w:cs="宋体"/>
          <w:sz w:val="10"/>
        </w:rPr>
        <w:t>、</w:t>
      </w:r>
      <w:r>
        <w:rPr>
          <w:rFonts w:hint="eastAsia" w:ascii="宋体" w:hAnsi="宋体" w:eastAsia="宋体" w:cs="宋体"/>
          <w:sz w:val="24"/>
        </w:rPr>
        <w:t>智慧城市</w:t>
      </w:r>
      <w:r>
        <w:rPr>
          <w:rFonts w:hint="eastAsia" w:ascii="宋体" w:hAnsi="宋体" w:eastAsia="宋体" w:cs="宋体"/>
          <w:sz w:val="10"/>
        </w:rPr>
        <w:t>、</w:t>
      </w:r>
      <w:r>
        <w:rPr>
          <w:rFonts w:hint="eastAsia" w:ascii="宋体" w:hAnsi="宋体" w:eastAsia="宋体" w:cs="宋体"/>
          <w:sz w:val="24"/>
        </w:rPr>
        <w:t>智慧工业</w:t>
      </w:r>
      <w:r>
        <w:rPr>
          <w:rFonts w:hint="eastAsia" w:ascii="宋体" w:hAnsi="宋体" w:eastAsia="宋体" w:cs="宋体"/>
          <w:sz w:val="10"/>
        </w:rPr>
        <w:t>、</w:t>
      </w:r>
      <w:r>
        <w:rPr>
          <w:rFonts w:hint="eastAsia" w:ascii="宋体" w:hAnsi="宋体" w:eastAsia="宋体" w:cs="宋体"/>
          <w:sz w:val="24"/>
        </w:rPr>
        <w:t>地理信息</w:t>
      </w:r>
      <w:r>
        <w:rPr>
          <w:rFonts w:hint="eastAsia" w:ascii="宋体" w:hAnsi="宋体" w:eastAsia="宋体" w:cs="宋体"/>
          <w:sz w:val="10"/>
        </w:rPr>
        <w:t>、</w:t>
      </w:r>
      <w:r>
        <w:rPr>
          <w:rFonts w:hint="eastAsia" w:ascii="宋体" w:hAnsi="宋体" w:eastAsia="宋体" w:cs="宋体"/>
          <w:sz w:val="24"/>
        </w:rPr>
        <w:t>软件信息服务等相关技术</w:t>
      </w:r>
      <w:r>
        <w:rPr>
          <w:rFonts w:hint="eastAsia" w:ascii="宋体" w:hAnsi="宋体" w:eastAsia="宋体" w:cs="宋体"/>
          <w:sz w:val="10"/>
        </w:rPr>
        <w:t>，</w:t>
      </w:r>
      <w:r>
        <w:rPr>
          <w:rFonts w:hint="eastAsia" w:ascii="宋体" w:hAnsi="宋体" w:eastAsia="宋体" w:cs="宋体"/>
          <w:sz w:val="24"/>
        </w:rPr>
        <w:t>促进信息化带动工业化</w:t>
      </w:r>
      <w:r>
        <w:rPr>
          <w:rFonts w:hint="eastAsia" w:ascii="宋体" w:hAnsi="宋体" w:eastAsia="宋体" w:cs="宋体"/>
          <w:sz w:val="10"/>
        </w:rPr>
        <w:t>。</w:t>
      </w:r>
      <w:r>
        <w:rPr>
          <w:rFonts w:hint="eastAsia" w:ascii="宋体" w:hAnsi="宋体" w:eastAsia="宋体" w:cs="宋体"/>
          <w:sz w:val="24"/>
        </w:rPr>
        <w:t>在</w:t>
      </w:r>
      <w:r>
        <w:rPr>
          <w:rFonts w:hint="eastAsia" w:ascii="Times New Roman" w:hAnsi="Times New Roman" w:eastAsia="Times New Roman" w:cs="Times New Roman"/>
          <w:sz w:val="24"/>
        </w:rPr>
        <w:t xml:space="preserve"> 2012</w:t>
      </w:r>
      <w:r>
        <w:rPr>
          <w:rFonts w:hint="eastAsia" w:ascii="宋体" w:hAnsi="宋体" w:eastAsia="宋体" w:cs="宋体"/>
          <w:sz w:val="24"/>
        </w:rPr>
        <w:t xml:space="preserve"> 年国务院发布的《“</w:t>
      </w:r>
      <w:r>
        <w:rPr>
          <w:rFonts w:hint="eastAsia" w:ascii="宋体" w:hAnsi="宋体" w:eastAsia="宋体" w:cs="宋体"/>
          <w:sz w:val="24"/>
        </w:rPr>
        <w:t>十二五</w:t>
      </w:r>
      <w:r>
        <w:rPr>
          <w:rFonts w:hint="eastAsia" w:ascii="宋体" w:hAnsi="宋体" w:eastAsia="宋体" w:cs="宋体"/>
          <w:sz w:val="10"/>
        </w:rPr>
        <w:t>”</w:t>
      </w:r>
      <w:r>
        <w:rPr>
          <w:rFonts w:hint="eastAsia" w:ascii="宋体" w:hAnsi="宋体" w:eastAsia="宋体" w:cs="宋体"/>
          <w:sz w:val="24"/>
        </w:rPr>
        <w:t>国家战略性新兴产业发展规划》中提到</w:t>
      </w:r>
      <w:r>
        <w:rPr>
          <w:rFonts w:hint="eastAsia" w:ascii="宋体" w:hAnsi="宋体" w:eastAsia="宋体" w:cs="宋体"/>
          <w:sz w:val="12"/>
        </w:rPr>
        <w:t>：</w:t>
      </w:r>
      <w:r>
        <w:rPr>
          <w:rFonts w:hint="eastAsia" w:ascii="宋体" w:hAnsi="宋体" w:eastAsia="宋体" w:cs="宋体"/>
          <w:sz w:val="24"/>
        </w:rPr>
        <w:t>把握信息技术升级换代和产业融合发展机遇</w:t>
      </w:r>
      <w:r>
        <w:rPr>
          <w:rFonts w:hint="eastAsia" w:ascii="宋体" w:hAnsi="宋体" w:eastAsia="宋体" w:cs="宋体"/>
          <w:sz w:val="10"/>
        </w:rPr>
        <w:t>，</w:t>
      </w:r>
      <w:r>
        <w:rPr>
          <w:rFonts w:hint="eastAsia" w:ascii="宋体" w:hAnsi="宋体" w:eastAsia="宋体" w:cs="宋体"/>
          <w:sz w:val="24"/>
        </w:rPr>
        <w:t>加快建设宽带</w:t>
      </w:r>
      <w:r>
        <w:rPr>
          <w:rFonts w:hint="eastAsia" w:ascii="宋体" w:hAnsi="宋体" w:eastAsia="宋体" w:cs="宋体"/>
          <w:sz w:val="10"/>
        </w:rPr>
        <w:t>、</w:t>
      </w:r>
      <w:r>
        <w:rPr>
          <w:rFonts w:hint="eastAsia" w:ascii="宋体" w:hAnsi="宋体" w:eastAsia="宋体" w:cs="宋体"/>
          <w:sz w:val="24"/>
        </w:rPr>
        <w:t>融合</w:t>
      </w:r>
      <w:r>
        <w:rPr>
          <w:rFonts w:hint="eastAsia" w:ascii="宋体" w:hAnsi="宋体" w:eastAsia="宋体" w:cs="宋体"/>
          <w:sz w:val="10"/>
        </w:rPr>
        <w:t>、</w:t>
      </w:r>
      <w:r>
        <w:rPr>
          <w:rFonts w:hint="eastAsia" w:ascii="宋体" w:hAnsi="宋体" w:eastAsia="宋体" w:cs="宋体"/>
          <w:sz w:val="24"/>
        </w:rPr>
        <w:t>安全</w:t>
      </w:r>
      <w:r>
        <w:rPr>
          <w:rFonts w:hint="eastAsia" w:ascii="宋体" w:hAnsi="宋体" w:eastAsia="宋体" w:cs="宋体"/>
          <w:sz w:val="10"/>
        </w:rPr>
        <w:t>、</w:t>
      </w:r>
      <w:r>
        <w:rPr>
          <w:rFonts w:hint="eastAsia" w:ascii="宋体" w:hAnsi="宋体" w:eastAsia="宋体" w:cs="宋体"/>
          <w:sz w:val="24"/>
        </w:rPr>
        <w:t>泛在的下一代信息网络</w:t>
      </w:r>
      <w:r>
        <w:rPr>
          <w:rFonts w:hint="eastAsia" w:ascii="宋体" w:hAnsi="宋体" w:eastAsia="宋体" w:cs="宋体"/>
          <w:sz w:val="10"/>
        </w:rPr>
        <w:t>，</w:t>
      </w:r>
      <w:r>
        <w:rPr>
          <w:rFonts w:hint="eastAsia" w:ascii="宋体" w:hAnsi="宋体" w:eastAsia="宋体" w:cs="宋体"/>
          <w:sz w:val="24"/>
        </w:rPr>
        <w:t>突破超高速光纤与无线通信</w:t>
      </w:r>
      <w:r>
        <w:rPr>
          <w:rFonts w:hint="eastAsia" w:ascii="宋体" w:hAnsi="宋体" w:eastAsia="宋体" w:cs="宋体"/>
          <w:sz w:val="10"/>
        </w:rPr>
        <w:t>、</w:t>
      </w:r>
      <w:r>
        <w:rPr>
          <w:rFonts w:hint="eastAsia" w:ascii="宋体" w:hAnsi="宋体" w:eastAsia="宋体" w:cs="宋体"/>
          <w:sz w:val="24"/>
        </w:rPr>
        <w:t>物联网</w:t>
      </w:r>
      <w:r>
        <w:rPr>
          <w:rFonts w:hint="eastAsia" w:ascii="宋体" w:hAnsi="宋体" w:eastAsia="宋体" w:cs="宋体"/>
          <w:sz w:val="10"/>
        </w:rPr>
        <w:t>、</w:t>
      </w:r>
      <w:r>
        <w:rPr>
          <w:rFonts w:hint="eastAsia" w:ascii="宋体" w:hAnsi="宋体" w:eastAsia="宋体" w:cs="宋体"/>
          <w:sz w:val="24"/>
        </w:rPr>
        <w:t>云计算</w:t>
      </w:r>
      <w:r>
        <w:rPr>
          <w:rFonts w:hint="eastAsia" w:ascii="宋体" w:hAnsi="宋体" w:eastAsia="宋体" w:cs="宋体"/>
          <w:sz w:val="10"/>
        </w:rPr>
        <w:t>、</w:t>
      </w:r>
      <w:r>
        <w:rPr>
          <w:rFonts w:hint="eastAsia" w:ascii="宋体" w:hAnsi="宋体" w:eastAsia="宋体" w:cs="宋体"/>
          <w:sz w:val="24"/>
        </w:rPr>
        <w:t>数字虚拟</w:t>
      </w:r>
      <w:r>
        <w:rPr>
          <w:rFonts w:hint="eastAsia" w:ascii="宋体" w:hAnsi="宋体" w:eastAsia="宋体" w:cs="宋体"/>
          <w:sz w:val="10"/>
        </w:rPr>
        <w:t>、</w:t>
      </w:r>
      <w:r>
        <w:rPr>
          <w:rFonts w:hint="eastAsia" w:ascii="宋体" w:hAnsi="宋体" w:eastAsia="宋体" w:cs="宋体"/>
          <w:sz w:val="24"/>
        </w:rPr>
        <w:t>先进半导体和新型显示等新</w:t>
      </w:r>
      <w:r>
        <w:rPr>
          <w:rFonts w:hint="eastAsia" w:ascii="宋体" w:hAnsi="宋体" w:eastAsia="宋体" w:cs="宋体"/>
          <w:sz w:val="10"/>
        </w:rPr>
        <w:t>一</w:t>
      </w:r>
      <w:r>
        <w:rPr>
          <w:rFonts w:hint="eastAsia" w:ascii="宋体" w:hAnsi="宋体" w:eastAsia="宋体" w:cs="宋体"/>
          <w:sz w:val="24"/>
        </w:rPr>
        <w:t>代信息技术</w:t>
      </w:r>
      <w:r>
        <w:rPr>
          <w:rFonts w:hint="eastAsia" w:ascii="宋体" w:hAnsi="宋体" w:eastAsia="宋体" w:cs="宋体"/>
          <w:sz w:val="10"/>
        </w:rPr>
        <w:t>，</w:t>
      </w:r>
      <w:r>
        <w:rPr>
          <w:rFonts w:hint="eastAsia" w:ascii="宋体" w:hAnsi="宋体" w:eastAsia="宋体" w:cs="宋体"/>
          <w:sz w:val="24"/>
        </w:rPr>
        <w:t>推进信息技术创新</w:t>
      </w:r>
      <w:r>
        <w:rPr>
          <w:rFonts w:hint="eastAsia" w:ascii="宋体" w:hAnsi="宋体" w:eastAsia="宋体" w:cs="宋体"/>
          <w:sz w:val="10"/>
        </w:rPr>
        <w:t>、</w:t>
      </w:r>
      <w:r>
        <w:rPr>
          <w:rFonts w:hint="eastAsia" w:ascii="宋体" w:hAnsi="宋体" w:eastAsia="宋体" w:cs="宋体"/>
          <w:sz w:val="24"/>
        </w:rPr>
        <w:t>新兴应用拓展和网络建设的互动结合</w:t>
      </w:r>
      <w:r>
        <w:rPr>
          <w:rFonts w:hint="eastAsia" w:ascii="宋体" w:hAnsi="宋体" w:eastAsia="宋体" w:cs="宋体"/>
          <w:sz w:val="10"/>
        </w:rPr>
        <w:t>，</w:t>
      </w:r>
      <w:r>
        <w:rPr>
          <w:rFonts w:hint="eastAsia" w:ascii="宋体" w:hAnsi="宋体" w:eastAsia="宋体" w:cs="宋体"/>
          <w:sz w:val="24"/>
        </w:rPr>
        <w:t>创新产业组织模式</w:t>
      </w:r>
      <w:r>
        <w:rPr>
          <w:rFonts w:hint="eastAsia" w:ascii="宋体" w:hAnsi="宋体" w:eastAsia="宋体" w:cs="宋体"/>
          <w:sz w:val="10"/>
        </w:rPr>
        <w:t>，</w:t>
      </w:r>
      <w:r>
        <w:rPr>
          <w:rFonts w:hint="eastAsia" w:ascii="宋体" w:hAnsi="宋体" w:eastAsia="宋体" w:cs="宋体"/>
          <w:sz w:val="24"/>
        </w:rPr>
        <w:t>提高新型装备保障水平</w:t>
      </w:r>
      <w:r>
        <w:rPr>
          <w:rFonts w:hint="eastAsia" w:ascii="宋体" w:hAnsi="宋体" w:eastAsia="宋体" w:cs="宋体"/>
          <w:sz w:val="10"/>
        </w:rPr>
        <w:t>，</w:t>
      </w:r>
      <w:r>
        <w:rPr>
          <w:rFonts w:hint="eastAsia" w:ascii="宋体" w:hAnsi="宋体" w:eastAsia="宋体" w:cs="宋体"/>
          <w:sz w:val="24"/>
        </w:rPr>
        <w:t>培育新兴服务业态</w:t>
      </w:r>
      <w:r>
        <w:rPr>
          <w:rFonts w:hint="eastAsia" w:ascii="宋体" w:hAnsi="宋体" w:eastAsia="宋体" w:cs="宋体"/>
          <w:sz w:val="10"/>
        </w:rPr>
        <w:t>，</w:t>
      </w:r>
      <w:r>
        <w:rPr>
          <w:rFonts w:hint="eastAsia" w:ascii="宋体" w:hAnsi="宋体" w:eastAsia="宋体" w:cs="宋体"/>
          <w:sz w:val="24"/>
        </w:rPr>
        <w:t>增强国际竞争能力</w:t>
      </w:r>
      <w:r>
        <w:rPr>
          <w:rFonts w:hint="eastAsia" w:ascii="宋体" w:hAnsi="宋体" w:eastAsia="宋体" w:cs="宋体"/>
          <w:sz w:val="10"/>
        </w:rPr>
        <w:t>，</w:t>
      </w:r>
      <w:r>
        <w:rPr>
          <w:rFonts w:hint="eastAsia" w:ascii="宋体" w:hAnsi="宋体" w:eastAsia="宋体" w:cs="宋体"/>
          <w:sz w:val="24"/>
        </w:rPr>
        <w:t>带动我国信息产业实现由大到强的转变</w:t>
      </w:r>
      <w:r>
        <w:rPr>
          <w:rFonts w:hint="eastAsia" w:ascii="宋体" w:hAnsi="宋体" w:eastAsia="宋体" w:cs="宋体"/>
          <w:sz w:val="10"/>
        </w:rPr>
        <w:t>。“</w:t>
      </w:r>
      <w:r>
        <w:rPr>
          <w:rFonts w:hint="eastAsia" w:ascii="宋体" w:hAnsi="宋体" w:eastAsia="宋体" w:cs="宋体"/>
          <w:sz w:val="24"/>
        </w:rPr>
        <w:t>十二五</w:t>
      </w:r>
      <w:r>
        <w:rPr>
          <w:rFonts w:hint="eastAsia" w:ascii="宋体" w:hAnsi="宋体" w:eastAsia="宋体" w:cs="宋体"/>
          <w:sz w:val="10"/>
        </w:rPr>
        <w:t>”</w:t>
      </w:r>
      <w:r>
        <w:rPr>
          <w:rFonts w:hint="eastAsia" w:ascii="宋体" w:hAnsi="宋体" w:eastAsia="宋体" w:cs="宋体"/>
          <w:sz w:val="24"/>
        </w:rPr>
        <w:t>期间</w:t>
      </w:r>
      <w:r>
        <w:rPr>
          <w:rFonts w:hint="eastAsia" w:ascii="宋体" w:hAnsi="宋体" w:eastAsia="宋体" w:cs="宋体"/>
          <w:sz w:val="10"/>
        </w:rPr>
        <w:t>，</w:t>
      </w:r>
      <w:r>
        <w:rPr>
          <w:rFonts w:hint="eastAsia" w:ascii="宋体" w:hAnsi="宋体" w:eastAsia="宋体" w:cs="宋体"/>
          <w:sz w:val="24"/>
        </w:rPr>
        <w:t>新一代信息技术产业销售收入年均增长</w:t>
      </w:r>
      <w:r>
        <w:rPr>
          <w:rFonts w:hint="eastAsia" w:ascii="Times New Roman" w:hAnsi="Times New Roman" w:eastAsia="Times New Roman" w:cs="Times New Roman"/>
          <w:sz w:val="24"/>
        </w:rPr>
        <w:t xml:space="preserve"> 20%</w:t>
      </w:r>
      <w:r>
        <w:rPr>
          <w:rFonts w:hint="eastAsia" w:ascii="宋体" w:hAnsi="宋体" w:eastAsia="宋体" w:cs="宋体"/>
          <w:sz w:val="24"/>
        </w:rPr>
        <w:t>以上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00" w:firstLine="480"/>
        <w:jc w:val="both"/>
      </w:pPr>
      <w:r>
        <w:rPr>
          <w:rFonts w:hint="eastAsia" w:ascii="宋体" w:hAnsi="宋体" w:eastAsia="宋体" w:cs="宋体"/>
          <w:sz w:val="24"/>
        </w:rPr>
        <w:t>国家从</w:t>
      </w:r>
      <w:r>
        <w:rPr>
          <w:rFonts w:hint="eastAsia" w:ascii="Times New Roman" w:hAnsi="Times New Roman" w:eastAsia="Times New Roman" w:cs="Times New Roman"/>
          <w:sz w:val="24"/>
        </w:rPr>
        <w:t xml:space="preserve"> 2000</w:t>
      </w:r>
      <w:r>
        <w:rPr>
          <w:rFonts w:hint="eastAsia" w:ascii="宋体" w:hAnsi="宋体" w:eastAsia="宋体" w:cs="宋体"/>
          <w:sz w:val="24"/>
        </w:rPr>
        <w:t xml:space="preserve"> 年以来</w:t>
      </w:r>
      <w:r>
        <w:rPr>
          <w:rFonts w:hint="eastAsia" w:ascii="宋体" w:hAnsi="宋体" w:eastAsia="宋体" w:cs="宋体"/>
          <w:sz w:val="10"/>
        </w:rPr>
        <w:t>，</w:t>
      </w:r>
      <w:r>
        <w:rPr>
          <w:rFonts w:hint="eastAsia" w:ascii="宋体" w:hAnsi="宋体" w:eastAsia="宋体" w:cs="宋体"/>
          <w:sz w:val="24"/>
        </w:rPr>
        <w:t>从进出口</w:t>
      </w:r>
      <w:r>
        <w:rPr>
          <w:rFonts w:hint="eastAsia" w:ascii="宋体" w:hAnsi="宋体" w:eastAsia="宋体" w:cs="宋体"/>
          <w:sz w:val="10"/>
        </w:rPr>
        <w:t>、</w:t>
      </w:r>
      <w:r>
        <w:rPr>
          <w:rFonts w:hint="eastAsia" w:ascii="宋体" w:hAnsi="宋体" w:eastAsia="宋体" w:cs="宋体"/>
          <w:sz w:val="24"/>
        </w:rPr>
        <w:t>投融资</w:t>
      </w:r>
      <w:r>
        <w:rPr>
          <w:rFonts w:hint="eastAsia" w:ascii="宋体" w:hAnsi="宋体" w:eastAsia="宋体" w:cs="宋体"/>
          <w:sz w:val="10"/>
        </w:rPr>
        <w:t>、</w:t>
      </w:r>
      <w:r>
        <w:rPr>
          <w:rFonts w:hint="eastAsia" w:ascii="宋体" w:hAnsi="宋体" w:eastAsia="宋体" w:cs="宋体"/>
          <w:sz w:val="24"/>
        </w:rPr>
        <w:t>人才技术等角度出台了一系列扶持软件产业的政策</w:t>
      </w:r>
      <w:r>
        <w:rPr>
          <w:rFonts w:hint="eastAsia" w:ascii="宋体" w:hAnsi="宋体" w:eastAsia="宋体" w:cs="宋体"/>
          <w:sz w:val="10"/>
        </w:rPr>
        <w:t>，</w:t>
      </w:r>
      <w:r>
        <w:rPr>
          <w:rFonts w:hint="eastAsia" w:ascii="宋体" w:hAnsi="宋体" w:eastAsia="宋体" w:cs="宋体"/>
          <w:sz w:val="24"/>
        </w:rPr>
        <w:t>对于国家软件产业的发展起到了重要的扶持作用</w:t>
      </w:r>
      <w:r>
        <w:rPr>
          <w:rFonts w:hint="eastAsia" w:ascii="宋体" w:hAnsi="宋体" w:eastAsia="宋体" w:cs="宋体"/>
          <w:sz w:val="10"/>
        </w:rPr>
        <w:t>，</w:t>
      </w:r>
      <w:r>
        <w:rPr>
          <w:rFonts w:hint="eastAsia" w:ascii="宋体" w:hAnsi="宋体" w:eastAsia="宋体" w:cs="宋体"/>
          <w:sz w:val="24"/>
        </w:rPr>
        <w:t>促进了软件运营服务业的快速发展</w:t>
      </w:r>
      <w:r>
        <w:rPr>
          <w:rFonts w:hint="eastAsia" w:ascii="宋体" w:hAnsi="宋体" w:eastAsia="宋体" w:cs="宋体"/>
          <w:sz w:val="10"/>
        </w:rPr>
        <w:t>，</w:t>
      </w:r>
      <w:r>
        <w:rPr>
          <w:rFonts w:hint="eastAsia" w:ascii="宋体" w:hAnsi="宋体" w:eastAsia="宋体" w:cs="宋体"/>
          <w:sz w:val="24"/>
        </w:rPr>
        <w:t>加大了推动电子信息产业发展的政策的实施力度</w:t>
      </w:r>
      <w:r>
        <w:rPr>
          <w:rFonts w:hint="eastAsia" w:ascii="宋体" w:hAnsi="宋体" w:eastAsia="宋体" w:cs="宋体"/>
          <w:sz w:val="10"/>
        </w:rPr>
        <w:t>，</w:t>
      </w:r>
      <w:r>
        <w:rPr>
          <w:rFonts w:hint="eastAsia" w:ascii="宋体" w:hAnsi="宋体" w:eastAsia="宋体" w:cs="宋体"/>
          <w:sz w:val="24"/>
        </w:rPr>
        <w:t>为行业的持续稳定发展提供了保障</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在国家政策的指引下</w:t>
      </w:r>
      <w:r>
        <w:rPr>
          <w:rFonts w:hint="eastAsia" w:ascii="宋体" w:hAnsi="宋体" w:eastAsia="宋体" w:cs="宋体"/>
          <w:sz w:val="10"/>
        </w:rPr>
        <w:t>，</w:t>
      </w:r>
      <w:r>
        <w:rPr>
          <w:rFonts w:hint="eastAsia" w:ascii="宋体" w:hAnsi="宋体" w:eastAsia="宋体" w:cs="宋体"/>
          <w:sz w:val="24"/>
        </w:rPr>
        <w:t>能够实现</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企业信息化</w:t>
      </w:r>
      <w:r>
        <w:rPr>
          <w:rFonts w:hint="eastAsia" w:ascii="宋体" w:hAnsi="宋体" w:eastAsia="宋体" w:cs="宋体"/>
          <w:sz w:val="10"/>
        </w:rPr>
        <w:t>、</w:t>
      </w:r>
      <w:r>
        <w:rPr>
          <w:rFonts w:hint="eastAsia" w:ascii="宋体" w:hAnsi="宋体" w:eastAsia="宋体" w:cs="宋体"/>
          <w:sz w:val="24"/>
        </w:rPr>
        <w:t>服务信息化的软件</w:t>
      </w:r>
      <w:r>
        <w:rPr>
          <w:rFonts w:hint="eastAsia" w:ascii="宋体" w:hAnsi="宋体" w:eastAsia="宋体" w:cs="宋体"/>
          <w:sz w:val="10"/>
        </w:rPr>
        <w:t>、</w:t>
      </w:r>
      <w:r>
        <w:rPr>
          <w:rFonts w:hint="eastAsia" w:ascii="宋体" w:hAnsi="宋体" w:eastAsia="宋体" w:cs="宋体"/>
          <w:sz w:val="24"/>
        </w:rPr>
        <w:t>系统</w:t>
      </w:r>
      <w:r>
        <w:rPr>
          <w:rFonts w:hint="eastAsia" w:ascii="宋体" w:hAnsi="宋体" w:eastAsia="宋体" w:cs="宋体"/>
          <w:sz w:val="10"/>
        </w:rPr>
        <w:t>、</w:t>
      </w:r>
      <w:r>
        <w:rPr>
          <w:rFonts w:hint="eastAsia" w:ascii="宋体" w:hAnsi="宋体" w:eastAsia="宋体" w:cs="宋体"/>
          <w:sz w:val="24"/>
        </w:rPr>
        <w:t>平台将迅猛发展</w:t>
      </w:r>
      <w:r>
        <w:rPr>
          <w:rFonts w:hint="eastAsia" w:ascii="宋体" w:hAnsi="宋体" w:eastAsia="宋体" w:cs="宋体"/>
          <w:sz w:val="10"/>
        </w:rPr>
        <w:t>，</w:t>
      </w:r>
      <w:r>
        <w:rPr>
          <w:rFonts w:hint="eastAsia" w:ascii="宋体" w:hAnsi="宋体" w:eastAsia="宋体" w:cs="宋体"/>
          <w:sz w:val="24"/>
        </w:rPr>
        <w:t>而</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灵动业务架构平台凭借其面向业务和技术无关性的特点能够实现企业的信息化</w:t>
      </w:r>
      <w:r>
        <w:rPr>
          <w:rFonts w:hint="eastAsia" w:ascii="宋体" w:hAnsi="宋体" w:eastAsia="宋体" w:cs="宋体"/>
          <w:sz w:val="10"/>
        </w:rPr>
        <w:t>、</w:t>
      </w:r>
      <w:r>
        <w:rPr>
          <w:rFonts w:hint="eastAsia" w:ascii="宋体" w:hAnsi="宋体" w:eastAsia="宋体" w:cs="宋体"/>
          <w:sz w:val="24"/>
        </w:rPr>
        <w:t>服务的信息化</w:t>
      </w:r>
      <w:r>
        <w:rPr>
          <w:rFonts w:hint="eastAsia" w:ascii="宋体" w:hAnsi="宋体" w:eastAsia="宋体" w:cs="宋体"/>
          <w:sz w:val="10"/>
        </w:rPr>
        <w:t>，</w:t>
      </w:r>
      <w:r>
        <w:rPr>
          <w:rFonts w:hint="eastAsia" w:ascii="宋体" w:hAnsi="宋体" w:eastAsia="宋体" w:cs="宋体"/>
          <w:sz w:val="24"/>
        </w:rPr>
        <w:t>符合国家相关政策</w:t>
      </w:r>
      <w:r>
        <w:rPr>
          <w:rFonts w:hint="eastAsia" w:ascii="宋体" w:hAnsi="宋体" w:eastAsia="宋体" w:cs="宋体"/>
          <w:sz w:val="10"/>
        </w:rPr>
        <w:t>，</w:t>
      </w:r>
      <w:r>
        <w:rPr>
          <w:rFonts w:hint="eastAsia" w:ascii="宋体" w:hAnsi="宋体" w:eastAsia="宋体" w:cs="宋体"/>
          <w:sz w:val="24"/>
        </w:rPr>
        <w:t>未来前景广阔</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金融行业互联网化的发展催生相关软件服务的需求</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金融行业互联网化趋势推进金融机构加大</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领域投资</w:t>
      </w:r>
      <w:r>
        <w:rPr>
          <w:rFonts w:hint="eastAsia" w:ascii="宋体" w:hAnsi="宋体" w:eastAsia="宋体" w:cs="宋体"/>
          <w:sz w:val="10"/>
        </w:rPr>
        <w:t>，</w:t>
      </w:r>
      <w:r>
        <w:rPr>
          <w:rFonts w:hint="eastAsia" w:ascii="宋体" w:hAnsi="宋体" w:eastAsia="宋体" w:cs="宋体"/>
          <w:sz w:val="24"/>
        </w:rPr>
        <w:t>对相关软件服务行业提出了更高的要求</w:t>
      </w:r>
      <w:r>
        <w:rPr>
          <w:rFonts w:hint="eastAsia" w:ascii="宋体" w:hAnsi="宋体" w:eastAsia="宋体" w:cs="宋体"/>
          <w:sz w:val="10"/>
        </w:rPr>
        <w:t>，</w:t>
      </w:r>
      <w:r>
        <w:rPr>
          <w:rFonts w:hint="eastAsia" w:ascii="宋体" w:hAnsi="宋体" w:eastAsia="宋体" w:cs="宋体"/>
          <w:sz w:val="24"/>
        </w:rPr>
        <w:t>因此带动了软件服务行业的不断发展创新</w:t>
      </w:r>
      <w:r>
        <w:rPr>
          <w:rFonts w:hint="eastAsia" w:ascii="宋体" w:hAnsi="宋体" w:eastAsia="宋体" w:cs="宋体"/>
          <w:sz w:val="10"/>
        </w:rPr>
        <w:t>，</w:t>
      </w:r>
      <w:r>
        <w:rPr>
          <w:rFonts w:hint="eastAsia" w:ascii="宋体" w:hAnsi="宋体" w:eastAsia="宋体" w:cs="宋体"/>
          <w:sz w:val="24"/>
        </w:rPr>
        <w:t>在大数据</w:t>
      </w:r>
      <w:r>
        <w:rPr>
          <w:rFonts w:hint="eastAsia" w:ascii="宋体" w:hAnsi="宋体" w:eastAsia="宋体" w:cs="宋体"/>
          <w:sz w:val="10"/>
        </w:rPr>
        <w:t>、</w:t>
      </w:r>
      <w:r>
        <w:rPr>
          <w:rFonts w:hint="eastAsia" w:ascii="宋体" w:hAnsi="宋体" w:eastAsia="宋体" w:cs="宋体"/>
          <w:sz w:val="24"/>
        </w:rPr>
        <w:t>跨平台应用开发与支持</w:t>
      </w:r>
      <w:r>
        <w:rPr>
          <w:rFonts w:hint="eastAsia" w:ascii="宋体" w:hAnsi="宋体" w:eastAsia="宋体" w:cs="宋体"/>
          <w:sz w:val="10"/>
        </w:rPr>
        <w:t>、</w:t>
      </w:r>
      <w:r>
        <w:rPr>
          <w:rFonts w:hint="eastAsia" w:ascii="宋体" w:hAnsi="宋体" w:eastAsia="宋体" w:cs="宋体"/>
          <w:sz w:val="24"/>
        </w:rPr>
        <w:t>云平台与云计算</w:t>
      </w:r>
      <w:r>
        <w:rPr>
          <w:rFonts w:hint="eastAsia" w:ascii="宋体" w:hAnsi="宋体" w:eastAsia="宋体" w:cs="宋体"/>
          <w:sz w:val="10"/>
        </w:rPr>
        <w:t>、</w:t>
      </w:r>
      <w:r>
        <w:rPr>
          <w:rFonts w:hint="eastAsia" w:ascii="宋体" w:hAnsi="宋体" w:eastAsia="宋体" w:cs="宋体"/>
          <w:sz w:val="24"/>
        </w:rPr>
        <w:t>数据安全</w:t>
      </w:r>
      <w:r>
        <w:rPr>
          <w:rFonts w:hint="eastAsia" w:ascii="宋体" w:hAnsi="宋体" w:eastAsia="宋体" w:cs="宋体"/>
          <w:sz w:val="10"/>
        </w:rPr>
        <w:t>、</w:t>
      </w:r>
      <w:r>
        <w:rPr>
          <w:rFonts w:hint="eastAsia" w:ascii="宋体" w:hAnsi="宋体" w:eastAsia="宋体" w:cs="宋体"/>
          <w:sz w:val="24"/>
        </w:rPr>
        <w:t>移动端应用等方面催生出新的需求</w:t>
      </w:r>
      <w:r>
        <w:rPr>
          <w:rFonts w:hint="eastAsia" w:ascii="宋体" w:hAnsi="宋体" w:eastAsia="宋体" w:cs="宋体"/>
          <w:sz w:val="10"/>
        </w:rPr>
        <w:t>。</w:t>
      </w:r>
      <w:r>
        <w:rPr>
          <w:rFonts w:hint="eastAsia" w:ascii="宋体" w:hAnsi="宋体" w:eastAsia="宋体" w:cs="宋体"/>
          <w:sz w:val="24"/>
        </w:rPr>
        <w:t>金融行业互联网化是大数据应用的一个发展方向</w:t>
      </w:r>
      <w:r>
        <w:rPr>
          <w:rFonts w:hint="eastAsia" w:ascii="宋体" w:hAnsi="宋体" w:eastAsia="宋体" w:cs="宋体"/>
          <w:sz w:val="10"/>
        </w:rPr>
        <w:t>，</w:t>
      </w:r>
      <w:r>
        <w:rPr>
          <w:rFonts w:hint="eastAsia" w:ascii="宋体" w:hAnsi="宋体" w:eastAsia="宋体" w:cs="宋体"/>
          <w:sz w:val="24"/>
        </w:rPr>
        <w:t>以大数据方式推进金融行业互联网化的发展对经济发展和产业模式转型具有深远的意义</w:t>
      </w:r>
      <w:r>
        <w:rPr>
          <w:rFonts w:hint="eastAsia" w:ascii="宋体" w:hAnsi="宋体" w:eastAsia="宋体" w:cs="宋体"/>
          <w:sz w:val="10"/>
        </w:rPr>
        <w:t>。</w:t>
      </w:r>
      <w:r>
        <w:rPr>
          <w:rFonts w:hint="eastAsia" w:ascii="宋体" w:hAnsi="宋体" w:eastAsia="宋体" w:cs="宋体"/>
          <w:sz w:val="24"/>
        </w:rPr>
        <w:t>随着互联网</w:t>
      </w:r>
      <w:r>
        <w:rPr>
          <w:rFonts w:hint="eastAsia" w:ascii="宋体" w:hAnsi="宋体" w:eastAsia="宋体" w:cs="宋体"/>
          <w:sz w:val="10"/>
        </w:rPr>
        <w:t>、</w:t>
      </w:r>
      <w:r>
        <w:rPr>
          <w:rFonts w:hint="eastAsia" w:ascii="宋体" w:hAnsi="宋体" w:eastAsia="宋体" w:cs="宋体"/>
          <w:sz w:val="24"/>
        </w:rPr>
        <w:t>移动互联网的推广</w:t>
      </w:r>
      <w:r>
        <w:rPr>
          <w:rFonts w:hint="eastAsia" w:ascii="宋体" w:hAnsi="宋体" w:eastAsia="宋体" w:cs="宋体"/>
          <w:sz w:val="10"/>
        </w:rPr>
        <w:t>，</w:t>
      </w:r>
      <w:r>
        <w:rPr>
          <w:rFonts w:hint="eastAsia" w:ascii="宋体" w:hAnsi="宋体" w:eastAsia="宋体" w:cs="宋体"/>
          <w:sz w:val="24"/>
        </w:rPr>
        <w:t>金融行业互</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1-1-307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jc w:val="both"/>
      </w:pPr>
      <w:r>
        <w:rPr>
          <w:rFonts w:hint="eastAsia" w:ascii="宋体" w:hAnsi="宋体" w:eastAsia="宋体" w:cs="宋体"/>
          <w:sz w:val="24"/>
        </w:rPr>
        <w:t>联网化服务的平台日益多元化</w:t>
      </w:r>
      <w:r>
        <w:rPr>
          <w:rFonts w:hint="eastAsia" w:ascii="宋体" w:hAnsi="宋体" w:eastAsia="宋体" w:cs="宋体"/>
          <w:sz w:val="10"/>
        </w:rPr>
        <w:t>，</w:t>
      </w:r>
      <w:r>
        <w:rPr>
          <w:rFonts w:hint="eastAsia" w:ascii="宋体" w:hAnsi="宋体" w:eastAsia="宋体" w:cs="宋体"/>
          <w:sz w:val="24"/>
        </w:rPr>
        <w:t>多种操作系统和多种终端设备并存</w:t>
      </w:r>
      <w:r>
        <w:rPr>
          <w:rFonts w:hint="eastAsia" w:ascii="宋体" w:hAnsi="宋体" w:eastAsia="宋体" w:cs="宋体"/>
          <w:sz w:val="10"/>
        </w:rPr>
        <w:t>，</w:t>
      </w:r>
      <w:r>
        <w:rPr>
          <w:rFonts w:hint="eastAsia" w:ascii="宋体" w:hAnsi="宋体" w:eastAsia="宋体" w:cs="宋体"/>
          <w:sz w:val="24"/>
        </w:rPr>
        <w:t>金融服务不断小件化</w:t>
      </w:r>
      <w:r>
        <w:rPr>
          <w:rFonts w:hint="eastAsia" w:ascii="宋体" w:hAnsi="宋体" w:eastAsia="宋体" w:cs="宋体"/>
          <w:sz w:val="10"/>
        </w:rPr>
        <w:t>、</w:t>
      </w:r>
      <w:r>
        <w:rPr>
          <w:rFonts w:hint="eastAsia" w:ascii="宋体" w:hAnsi="宋体" w:eastAsia="宋体" w:cs="宋体"/>
          <w:sz w:val="24"/>
        </w:rPr>
        <w:t>灵活化</w:t>
      </w:r>
      <w:r>
        <w:rPr>
          <w:rFonts w:hint="eastAsia" w:ascii="宋体" w:hAnsi="宋体" w:eastAsia="宋体" w:cs="宋体"/>
          <w:sz w:val="10"/>
        </w:rPr>
        <w:t>、</w:t>
      </w:r>
      <w:r>
        <w:rPr>
          <w:rFonts w:hint="eastAsia" w:ascii="宋体" w:hAnsi="宋体" w:eastAsia="宋体" w:cs="宋体"/>
          <w:sz w:val="24"/>
        </w:rPr>
        <w:t>个性化</w:t>
      </w:r>
      <w:r>
        <w:rPr>
          <w:rFonts w:hint="eastAsia" w:ascii="宋体" w:hAnsi="宋体" w:eastAsia="宋体" w:cs="宋体"/>
          <w:sz w:val="10"/>
        </w:rPr>
        <w:t>，</w:t>
      </w:r>
      <w:r>
        <w:rPr>
          <w:rFonts w:hint="eastAsia" w:ascii="宋体" w:hAnsi="宋体" w:eastAsia="宋体" w:cs="宋体"/>
          <w:sz w:val="24"/>
        </w:rPr>
        <w:t>跨平台应用及移动端的开发</w:t>
      </w:r>
      <w:r>
        <w:rPr>
          <w:rFonts w:hint="eastAsia" w:ascii="宋体" w:hAnsi="宋体" w:eastAsia="宋体" w:cs="宋体"/>
          <w:sz w:val="10"/>
        </w:rPr>
        <w:t>、</w:t>
      </w:r>
      <w:r>
        <w:rPr>
          <w:rFonts w:hint="eastAsia" w:ascii="宋体" w:hAnsi="宋体" w:eastAsia="宋体" w:cs="宋体"/>
          <w:sz w:val="24"/>
        </w:rPr>
        <w:t>兼容与支持是软件服务行业发展的重要方向之一。</w:t>
      </w:r>
      <w:r>
        <w:rPr>
          <w:rFonts w:hint="eastAsia" w:ascii="宋体" w:hAnsi="宋体" w:eastAsia="宋体" w:cs="宋体"/>
          <w:sz w:val="24"/>
        </w:rPr>
        <w:t>此外</w:t>
      </w:r>
      <w:r>
        <w:rPr>
          <w:rFonts w:hint="eastAsia" w:ascii="宋体" w:hAnsi="宋体" w:eastAsia="宋体" w:cs="宋体"/>
          <w:sz w:val="10"/>
        </w:rPr>
        <w:t>，</w:t>
      </w:r>
      <w:r>
        <w:rPr>
          <w:rFonts w:hint="eastAsia" w:ascii="宋体" w:hAnsi="宋体" w:eastAsia="宋体" w:cs="宋体"/>
          <w:sz w:val="24"/>
        </w:rPr>
        <w:t>云平台与云计算</w:t>
      </w:r>
      <w:r>
        <w:rPr>
          <w:rFonts w:hint="eastAsia" w:ascii="宋体" w:hAnsi="宋体" w:eastAsia="宋体" w:cs="宋体"/>
          <w:sz w:val="10"/>
        </w:rPr>
        <w:t>、</w:t>
      </w:r>
      <w:r>
        <w:rPr>
          <w:rFonts w:hint="eastAsia" w:ascii="宋体" w:hAnsi="宋体" w:eastAsia="宋体" w:cs="宋体"/>
          <w:sz w:val="24"/>
        </w:rPr>
        <w:t>数据安全</w:t>
      </w:r>
      <w:r>
        <w:rPr>
          <w:rFonts w:hint="eastAsia" w:ascii="宋体" w:hAnsi="宋体" w:eastAsia="宋体" w:cs="宋体"/>
          <w:sz w:val="10"/>
        </w:rPr>
        <w:t>、</w:t>
      </w:r>
      <w:r>
        <w:rPr>
          <w:rFonts w:hint="eastAsia" w:ascii="宋体" w:hAnsi="宋体" w:eastAsia="宋体" w:cs="宋体"/>
          <w:sz w:val="24"/>
        </w:rPr>
        <w:t>智能化等也是未来金融行业互联网化重点发展和重点关注的方向</w:t>
      </w:r>
      <w:r>
        <w:rPr>
          <w:rFonts w:hint="eastAsia" w:ascii="宋体" w:hAnsi="宋体" w:eastAsia="宋体" w:cs="宋体"/>
          <w:sz w:val="10"/>
        </w:rPr>
        <w:t>，</w:t>
      </w:r>
      <w:r>
        <w:rPr>
          <w:rFonts w:hint="eastAsia" w:ascii="宋体" w:hAnsi="宋体" w:eastAsia="宋体" w:cs="宋体"/>
          <w:sz w:val="24"/>
        </w:rPr>
        <w:t>要求软件服务企业不断创新</w:t>
      </w:r>
      <w:r>
        <w:rPr>
          <w:rFonts w:hint="eastAsia" w:ascii="宋体" w:hAnsi="宋体" w:eastAsia="宋体" w:cs="宋体"/>
          <w:sz w:val="10"/>
        </w:rPr>
        <w:t>、</w:t>
      </w:r>
      <w:r>
        <w:rPr>
          <w:rFonts w:hint="eastAsia" w:ascii="宋体" w:hAnsi="宋体" w:eastAsia="宋体" w:cs="宋体"/>
          <w:sz w:val="24"/>
        </w:rPr>
        <w:t>与时俱进</w:t>
      </w:r>
      <w:r>
        <w:rPr>
          <w:rFonts w:hint="eastAsia" w:ascii="宋体" w:hAnsi="宋体" w:eastAsia="宋体" w:cs="宋体"/>
          <w:sz w:val="10"/>
        </w:rPr>
        <w:t>，</w:t>
      </w:r>
      <w:r>
        <w:rPr>
          <w:rFonts w:hint="eastAsia" w:ascii="宋体" w:hAnsi="宋体" w:eastAsia="宋体" w:cs="宋体"/>
          <w:sz w:val="24"/>
        </w:rPr>
        <w:t>提供配套的软件应用服务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（二）项目建设必要性分析</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创新发展我国特色的业务架构平台</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和软件基础架构平台不同</w:t>
      </w:r>
      <w:r>
        <w:rPr>
          <w:rFonts w:hint="eastAsia" w:ascii="宋体" w:hAnsi="宋体" w:eastAsia="宋体" w:cs="宋体"/>
          <w:sz w:val="10"/>
        </w:rPr>
        <w:t>，</w:t>
      </w:r>
      <w:r>
        <w:rPr>
          <w:rFonts w:hint="eastAsia" w:ascii="宋体" w:hAnsi="宋体" w:eastAsia="宋体" w:cs="宋体"/>
          <w:sz w:val="24"/>
        </w:rPr>
        <w:t>业务架构平台是一种技术创新</w:t>
      </w:r>
      <w:r>
        <w:rPr>
          <w:rFonts w:hint="eastAsia" w:ascii="宋体" w:hAnsi="宋体" w:eastAsia="宋体" w:cs="宋体"/>
          <w:sz w:val="10"/>
        </w:rPr>
        <w:t>，</w:t>
      </w:r>
      <w:r>
        <w:rPr>
          <w:rFonts w:hint="eastAsia" w:ascii="宋体" w:hAnsi="宋体" w:eastAsia="宋体" w:cs="宋体"/>
          <w:sz w:val="24"/>
        </w:rPr>
        <w:t>它使软件平台又多了一个层次</w:t>
      </w:r>
      <w:r>
        <w:rPr>
          <w:rFonts w:hint="eastAsia" w:ascii="宋体" w:hAnsi="宋体" w:eastAsia="宋体" w:cs="宋体"/>
          <w:sz w:val="10"/>
        </w:rPr>
        <w:t>，</w:t>
      </w:r>
      <w:r>
        <w:rPr>
          <w:rFonts w:hint="eastAsia" w:ascii="宋体" w:hAnsi="宋体" w:eastAsia="宋体" w:cs="宋体"/>
          <w:sz w:val="24"/>
        </w:rPr>
        <w:t>并将应用软件的业务逻辑和开发技术分离</w:t>
      </w:r>
      <w:r>
        <w:rPr>
          <w:rFonts w:hint="eastAsia" w:ascii="宋体" w:hAnsi="宋体" w:eastAsia="宋体" w:cs="宋体"/>
          <w:sz w:val="10"/>
        </w:rPr>
        <w:t>，</w:t>
      </w:r>
      <w:r>
        <w:rPr>
          <w:rFonts w:hint="eastAsia" w:ascii="宋体" w:hAnsi="宋体" w:eastAsia="宋体" w:cs="宋体"/>
          <w:sz w:val="24"/>
        </w:rPr>
        <w:t>使得应用软件的开发者可以仅关注应用的业务任务</w:t>
      </w:r>
      <w:r>
        <w:rPr>
          <w:rFonts w:hint="eastAsia" w:ascii="宋体" w:hAnsi="宋体" w:eastAsia="宋体" w:cs="宋体"/>
          <w:sz w:val="10"/>
        </w:rPr>
        <w:t>，</w:t>
      </w:r>
      <w:r>
        <w:rPr>
          <w:rFonts w:hint="eastAsia" w:ascii="宋体" w:hAnsi="宋体" w:eastAsia="宋体" w:cs="宋体"/>
          <w:sz w:val="24"/>
        </w:rPr>
        <w:t>而不必关注其技术的实现</w:t>
      </w:r>
      <w:r>
        <w:rPr>
          <w:rFonts w:hint="eastAsia" w:ascii="宋体" w:hAnsi="宋体" w:eastAsia="宋体" w:cs="宋体"/>
          <w:sz w:val="10"/>
        </w:rPr>
        <w:t>。</w:t>
      </w:r>
      <w:r>
        <w:rPr>
          <w:rFonts w:hint="eastAsia" w:ascii="宋体" w:hAnsi="宋体" w:eastAsia="宋体" w:cs="宋体"/>
          <w:sz w:val="24"/>
        </w:rPr>
        <w:t>这使管理与业务人员参与应用软件的开发成为可能</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构成业务架构平台的两个基本要素是业务建模工具和支撑环境</w:t>
      </w:r>
      <w:r>
        <w:rPr>
          <w:rFonts w:hint="eastAsia" w:ascii="宋体" w:hAnsi="宋体" w:eastAsia="宋体" w:cs="宋体"/>
          <w:sz w:val="10"/>
        </w:rPr>
        <w:t>。</w:t>
      </w:r>
      <w:r>
        <w:rPr>
          <w:rFonts w:hint="eastAsia" w:ascii="宋体" w:hAnsi="宋体" w:eastAsia="宋体" w:cs="宋体"/>
          <w:sz w:val="24"/>
        </w:rPr>
        <w:t>业务建模工具基于业务和管理的层面</w:t>
      </w:r>
      <w:r>
        <w:rPr>
          <w:rFonts w:hint="eastAsia" w:ascii="宋体" w:hAnsi="宋体" w:eastAsia="宋体" w:cs="宋体"/>
          <w:sz w:val="10"/>
        </w:rPr>
        <w:t>，</w:t>
      </w:r>
      <w:r>
        <w:rPr>
          <w:rFonts w:hint="eastAsia" w:ascii="宋体" w:hAnsi="宋体" w:eastAsia="宋体" w:cs="宋体"/>
          <w:sz w:val="24"/>
        </w:rPr>
        <w:t>以业务建模为基本手段</w:t>
      </w:r>
      <w:r>
        <w:rPr>
          <w:rFonts w:hint="eastAsia" w:ascii="宋体" w:hAnsi="宋体" w:eastAsia="宋体" w:cs="宋体"/>
          <w:sz w:val="10"/>
        </w:rPr>
        <w:t>，</w:t>
      </w:r>
      <w:r>
        <w:rPr>
          <w:rFonts w:hint="eastAsia" w:ascii="宋体" w:hAnsi="宋体" w:eastAsia="宋体" w:cs="宋体"/>
          <w:sz w:val="24"/>
        </w:rPr>
        <w:t>来构架</w:t>
      </w:r>
      <w:r>
        <w:rPr>
          <w:rFonts w:hint="eastAsia" w:ascii="宋体" w:hAnsi="宋体" w:eastAsia="宋体" w:cs="宋体"/>
          <w:sz w:val="10"/>
        </w:rPr>
        <w:t>、</w:t>
      </w:r>
      <w:r>
        <w:rPr>
          <w:rFonts w:hint="eastAsia" w:ascii="宋体" w:hAnsi="宋体" w:eastAsia="宋体" w:cs="宋体"/>
          <w:sz w:val="24"/>
        </w:rPr>
        <w:t>开发和维护业务应用系统</w:t>
      </w:r>
      <w:r>
        <w:rPr>
          <w:rFonts w:hint="eastAsia" w:ascii="宋体" w:hAnsi="宋体" w:eastAsia="宋体" w:cs="宋体"/>
          <w:sz w:val="10"/>
        </w:rPr>
        <w:t>，</w:t>
      </w:r>
      <w:r>
        <w:rPr>
          <w:rFonts w:hint="eastAsia" w:ascii="宋体" w:hAnsi="宋体" w:eastAsia="宋体" w:cs="宋体"/>
          <w:sz w:val="24"/>
        </w:rPr>
        <w:t>从根本上提升了管理软件的开发</w:t>
      </w:r>
      <w:r>
        <w:rPr>
          <w:rFonts w:hint="eastAsia" w:ascii="宋体" w:hAnsi="宋体" w:eastAsia="宋体" w:cs="宋体"/>
          <w:sz w:val="10"/>
        </w:rPr>
        <w:t>、</w:t>
      </w:r>
      <w:r>
        <w:rPr>
          <w:rFonts w:hint="eastAsia" w:ascii="宋体" w:hAnsi="宋体" w:eastAsia="宋体" w:cs="宋体"/>
          <w:sz w:val="24"/>
        </w:rPr>
        <w:t>发布和维护效率</w:t>
      </w:r>
      <w:r>
        <w:rPr>
          <w:rFonts w:hint="eastAsia" w:ascii="宋体" w:hAnsi="宋体" w:eastAsia="宋体" w:cs="宋体"/>
          <w:sz w:val="10"/>
        </w:rPr>
        <w:t>。</w:t>
      </w:r>
      <w:r>
        <w:rPr>
          <w:rFonts w:hint="eastAsia" w:ascii="宋体" w:hAnsi="宋体" w:eastAsia="宋体" w:cs="宋体"/>
          <w:sz w:val="24"/>
        </w:rPr>
        <w:t>在信息系统建设中</w:t>
      </w:r>
      <w:r>
        <w:rPr>
          <w:rFonts w:hint="eastAsia" w:ascii="宋体" w:hAnsi="宋体" w:eastAsia="宋体" w:cs="宋体"/>
          <w:sz w:val="10"/>
        </w:rPr>
        <w:t>，</w:t>
      </w:r>
      <w:r>
        <w:rPr>
          <w:rFonts w:hint="eastAsia" w:ascii="宋体" w:hAnsi="宋体" w:eastAsia="宋体" w:cs="宋体"/>
          <w:sz w:val="24"/>
        </w:rPr>
        <w:t>真正实现了用户主导</w:t>
      </w:r>
      <w:r>
        <w:rPr>
          <w:rFonts w:hint="eastAsia" w:ascii="宋体" w:hAnsi="宋体" w:eastAsia="宋体" w:cs="宋体"/>
          <w:sz w:val="10"/>
        </w:rPr>
        <w:t>、</w:t>
      </w:r>
      <w:r>
        <w:rPr>
          <w:rFonts w:hint="eastAsia" w:ascii="宋体" w:hAnsi="宋体" w:eastAsia="宋体" w:cs="宋体"/>
          <w:sz w:val="24"/>
        </w:rPr>
        <w:t>快速开发</w:t>
      </w:r>
      <w:r>
        <w:rPr>
          <w:rFonts w:hint="eastAsia" w:ascii="宋体" w:hAnsi="宋体" w:eastAsia="宋体" w:cs="宋体"/>
          <w:sz w:val="10"/>
        </w:rPr>
        <w:t>、</w:t>
      </w:r>
      <w:r>
        <w:rPr>
          <w:rFonts w:hint="eastAsia" w:ascii="宋体" w:hAnsi="宋体" w:eastAsia="宋体" w:cs="宋体"/>
          <w:sz w:val="24"/>
        </w:rPr>
        <w:t>灵活调整的持续完善</w:t>
      </w:r>
      <w:r>
        <w:rPr>
          <w:rFonts w:hint="eastAsia" w:ascii="宋体" w:hAnsi="宋体" w:eastAsia="宋体" w:cs="宋体"/>
          <w:sz w:val="10"/>
        </w:rPr>
        <w:t>。</w:t>
      </w:r>
      <w:r>
        <w:rPr>
          <w:rFonts w:hint="eastAsia" w:ascii="宋体" w:hAnsi="宋体" w:eastAsia="宋体" w:cs="宋体"/>
          <w:sz w:val="24"/>
        </w:rPr>
        <w:t>支撑环境基于业务和管理的层面</w:t>
      </w:r>
      <w:r>
        <w:rPr>
          <w:rFonts w:hint="eastAsia" w:ascii="宋体" w:hAnsi="宋体" w:eastAsia="宋体" w:cs="宋体"/>
          <w:sz w:val="10"/>
        </w:rPr>
        <w:t>，</w:t>
      </w:r>
      <w:r>
        <w:rPr>
          <w:rFonts w:hint="eastAsia" w:ascii="宋体" w:hAnsi="宋体" w:eastAsia="宋体" w:cs="宋体"/>
          <w:sz w:val="24"/>
        </w:rPr>
        <w:t>而非技术层面</w:t>
      </w:r>
      <w:r>
        <w:rPr>
          <w:rFonts w:hint="eastAsia" w:ascii="宋体" w:hAnsi="宋体" w:eastAsia="宋体" w:cs="宋体"/>
          <w:sz w:val="10"/>
        </w:rPr>
        <w:t>，</w:t>
      </w:r>
      <w:r>
        <w:rPr>
          <w:rFonts w:hint="eastAsia" w:ascii="宋体" w:hAnsi="宋体" w:eastAsia="宋体" w:cs="宋体"/>
          <w:sz w:val="24"/>
        </w:rPr>
        <w:t>提供信息系统的基础支撑和集成环境</w:t>
      </w:r>
      <w:r>
        <w:rPr>
          <w:rFonts w:hint="eastAsia" w:ascii="宋体" w:hAnsi="宋体" w:eastAsia="宋体" w:cs="宋体"/>
          <w:sz w:val="10"/>
        </w:rPr>
        <w:t>。</w:t>
      </w:r>
      <w:r>
        <w:rPr>
          <w:rFonts w:hint="eastAsia" w:ascii="宋体" w:hAnsi="宋体" w:eastAsia="宋体" w:cs="宋体"/>
          <w:sz w:val="24"/>
        </w:rPr>
        <w:t>业务架构平台提供了统一的组织机构</w:t>
      </w:r>
      <w:r>
        <w:rPr>
          <w:rFonts w:hint="eastAsia" w:ascii="宋体" w:hAnsi="宋体" w:eastAsia="宋体" w:cs="宋体"/>
          <w:sz w:val="10"/>
        </w:rPr>
        <w:t>、</w:t>
      </w:r>
      <w:r>
        <w:rPr>
          <w:rFonts w:hint="eastAsia" w:ascii="宋体" w:hAnsi="宋体" w:eastAsia="宋体" w:cs="宋体"/>
          <w:sz w:val="24"/>
        </w:rPr>
        <w:t>分工权限</w:t>
      </w:r>
      <w:r>
        <w:rPr>
          <w:rFonts w:hint="eastAsia" w:ascii="宋体" w:hAnsi="宋体" w:eastAsia="宋体" w:cs="宋体"/>
          <w:sz w:val="10"/>
        </w:rPr>
        <w:t>、</w:t>
      </w:r>
      <w:r>
        <w:rPr>
          <w:rFonts w:hint="eastAsia" w:ascii="宋体" w:hAnsi="宋体" w:eastAsia="宋体" w:cs="宋体"/>
          <w:sz w:val="24"/>
        </w:rPr>
        <w:t>资源要素</w:t>
      </w:r>
      <w:r>
        <w:rPr>
          <w:rFonts w:hint="eastAsia" w:ascii="宋体" w:hAnsi="宋体" w:eastAsia="宋体" w:cs="宋体"/>
          <w:sz w:val="10"/>
        </w:rPr>
        <w:t>、</w:t>
      </w:r>
      <w:r>
        <w:rPr>
          <w:rFonts w:hint="eastAsia" w:ascii="宋体" w:hAnsi="宋体" w:eastAsia="宋体" w:cs="宋体"/>
          <w:sz w:val="24"/>
        </w:rPr>
        <w:t>业务流程等基础环境支持</w:t>
      </w:r>
      <w:r>
        <w:rPr>
          <w:rFonts w:hint="eastAsia" w:ascii="宋体" w:hAnsi="宋体" w:eastAsia="宋体" w:cs="宋体"/>
          <w:sz w:val="10"/>
        </w:rPr>
        <w:t>，</w:t>
      </w:r>
      <w:r>
        <w:rPr>
          <w:rFonts w:hint="eastAsia" w:ascii="宋体" w:hAnsi="宋体" w:eastAsia="宋体" w:cs="宋体"/>
          <w:sz w:val="24"/>
        </w:rPr>
        <w:t>实现信息系统在业务层面的整体集成</w:t>
      </w:r>
      <w:r>
        <w:rPr>
          <w:rFonts w:hint="eastAsia" w:ascii="宋体" w:hAnsi="宋体" w:eastAsia="宋体" w:cs="宋体"/>
          <w:sz w:val="10"/>
        </w:rPr>
        <w:t>，</w:t>
      </w:r>
      <w:r>
        <w:rPr>
          <w:rFonts w:hint="eastAsia" w:ascii="宋体" w:hAnsi="宋体" w:eastAsia="宋体" w:cs="宋体"/>
          <w:sz w:val="24"/>
        </w:rPr>
        <w:t>使信息系统的能力得到根本的提升</w:t>
      </w:r>
      <w:r>
        <w:rPr>
          <w:rFonts w:hint="eastAsia" w:ascii="宋体" w:hAnsi="宋体" w:eastAsia="宋体" w:cs="宋体"/>
          <w:sz w:val="10"/>
        </w:rPr>
        <w:t>。</w:t>
      </w:r>
      <w:r>
        <w:rPr>
          <w:rFonts w:hint="eastAsia" w:ascii="宋体" w:hAnsi="宋体" w:eastAsia="宋体" w:cs="宋体"/>
          <w:sz w:val="24"/>
        </w:rPr>
        <w:t>业务架构平台有几个基本的特性</w:t>
      </w:r>
      <w:r>
        <w:rPr>
          <w:rFonts w:hint="eastAsia" w:ascii="宋体" w:hAnsi="宋体" w:eastAsia="宋体" w:cs="宋体"/>
          <w:sz w:val="12"/>
        </w:rPr>
        <w:t>：</w:t>
      </w:r>
      <w:r>
        <w:rPr>
          <w:rFonts w:hint="eastAsia" w:ascii="宋体" w:hAnsi="宋体" w:eastAsia="宋体" w:cs="宋体"/>
          <w:sz w:val="24"/>
        </w:rPr>
        <w:t>第一它是企业级的软件</w:t>
      </w:r>
      <w:r>
        <w:rPr>
          <w:rFonts w:hint="eastAsia" w:ascii="宋体" w:hAnsi="宋体" w:eastAsia="宋体" w:cs="宋体"/>
          <w:sz w:val="10"/>
        </w:rPr>
        <w:t>，</w:t>
      </w:r>
      <w:r>
        <w:rPr>
          <w:rFonts w:hint="eastAsia" w:ascii="宋体" w:hAnsi="宋体" w:eastAsia="宋体" w:cs="宋体"/>
          <w:sz w:val="24"/>
        </w:rPr>
        <w:t>是基于如政府</w:t>
      </w:r>
      <w:r>
        <w:rPr>
          <w:rFonts w:hint="eastAsia" w:ascii="宋体" w:hAnsi="宋体" w:eastAsia="宋体" w:cs="宋体"/>
          <w:sz w:val="10"/>
        </w:rPr>
        <w:t>、</w:t>
      </w:r>
      <w:r>
        <w:rPr>
          <w:rFonts w:hint="eastAsia" w:ascii="宋体" w:hAnsi="宋体" w:eastAsia="宋体" w:cs="宋体"/>
          <w:sz w:val="24"/>
        </w:rPr>
        <w:t>大型企业等应用层面的技术思路和需求来设计的</w:t>
      </w:r>
      <w:r>
        <w:rPr>
          <w:rFonts w:hint="eastAsia" w:ascii="宋体" w:hAnsi="宋体" w:eastAsia="宋体" w:cs="宋体"/>
          <w:sz w:val="12"/>
        </w:rPr>
        <w:t>；二</w:t>
      </w:r>
      <w:r>
        <w:rPr>
          <w:rFonts w:hint="eastAsia" w:ascii="宋体" w:hAnsi="宋体" w:eastAsia="宋体" w:cs="宋体"/>
          <w:sz w:val="24"/>
        </w:rPr>
        <w:t>是介于底层是基础软件</w:t>
      </w:r>
      <w:r>
        <w:rPr>
          <w:rFonts w:hint="eastAsia" w:ascii="宋体" w:hAnsi="宋体" w:eastAsia="宋体" w:cs="宋体"/>
          <w:sz w:val="10"/>
        </w:rPr>
        <w:t>，</w:t>
      </w:r>
      <w:r>
        <w:rPr>
          <w:rFonts w:hint="eastAsia" w:ascii="宋体" w:hAnsi="宋体" w:eastAsia="宋体" w:cs="宋体"/>
          <w:sz w:val="24"/>
        </w:rPr>
        <w:t>比如说操作系统</w:t>
      </w:r>
      <w:r>
        <w:rPr>
          <w:rFonts w:hint="eastAsia" w:ascii="宋体" w:hAnsi="宋体" w:eastAsia="宋体" w:cs="宋体"/>
          <w:sz w:val="10"/>
        </w:rPr>
        <w:t>、</w:t>
      </w:r>
      <w:r>
        <w:rPr>
          <w:rFonts w:hint="eastAsia" w:ascii="宋体" w:hAnsi="宋体" w:eastAsia="宋体" w:cs="宋体"/>
          <w:sz w:val="24"/>
        </w:rPr>
        <w:t>数据库和最上面的应用软件</w:t>
      </w:r>
      <w:r>
        <w:rPr>
          <w:rFonts w:hint="eastAsia" w:ascii="宋体" w:hAnsi="宋体" w:eastAsia="宋体" w:cs="宋体"/>
          <w:sz w:val="10"/>
        </w:rPr>
        <w:t>，</w:t>
      </w:r>
      <w:r>
        <w:rPr>
          <w:rFonts w:hint="eastAsia" w:ascii="宋体" w:hAnsi="宋体" w:eastAsia="宋体" w:cs="宋体"/>
          <w:sz w:val="24"/>
        </w:rPr>
        <w:t>如各种办公软件等之间</w:t>
      </w:r>
      <w:r>
        <w:rPr>
          <w:rFonts w:hint="eastAsia" w:ascii="宋体" w:hAnsi="宋体" w:eastAsia="宋体" w:cs="宋体"/>
          <w:sz w:val="12"/>
        </w:rPr>
        <w:t>；</w:t>
      </w:r>
      <w:r>
        <w:rPr>
          <w:rFonts w:hint="eastAsia" w:ascii="宋体" w:hAnsi="宋体" w:eastAsia="宋体" w:cs="宋体"/>
          <w:sz w:val="24"/>
        </w:rPr>
        <w:t>三是解决大型的</w:t>
      </w:r>
      <w:r>
        <w:rPr>
          <w:rFonts w:hint="eastAsia" w:ascii="宋体" w:hAnsi="宋体" w:eastAsia="宋体" w:cs="宋体"/>
          <w:sz w:val="10"/>
        </w:rPr>
        <w:t>、</w:t>
      </w:r>
      <w:r>
        <w:rPr>
          <w:rFonts w:hint="eastAsia" w:ascii="宋体" w:hAnsi="宋体" w:eastAsia="宋体" w:cs="宋体"/>
          <w:sz w:val="24"/>
        </w:rPr>
        <w:t>原有的分散异构的信息系统如何连接</w:t>
      </w:r>
      <w:r>
        <w:rPr>
          <w:rFonts w:hint="eastAsia" w:ascii="宋体" w:hAnsi="宋体" w:eastAsia="宋体" w:cs="宋体"/>
          <w:sz w:val="10"/>
        </w:rPr>
        <w:t>、</w:t>
      </w:r>
      <w:r>
        <w:rPr>
          <w:rFonts w:hint="eastAsia" w:ascii="宋体" w:hAnsi="宋体" w:eastAsia="宋体" w:cs="宋体"/>
          <w:sz w:val="24"/>
        </w:rPr>
        <w:t>共享</w:t>
      </w:r>
      <w:r>
        <w:rPr>
          <w:rFonts w:hint="eastAsia" w:ascii="宋体" w:hAnsi="宋体" w:eastAsia="宋体" w:cs="宋体"/>
          <w:sz w:val="10"/>
        </w:rPr>
        <w:t>、</w:t>
      </w:r>
      <w:r>
        <w:rPr>
          <w:rFonts w:hint="eastAsia" w:ascii="宋体" w:hAnsi="宋体" w:eastAsia="宋体" w:cs="宋体"/>
          <w:sz w:val="24"/>
        </w:rPr>
        <w:t>交换</w:t>
      </w:r>
      <w:r>
        <w:rPr>
          <w:rFonts w:hint="eastAsia" w:ascii="宋体" w:hAnsi="宋体" w:eastAsia="宋体" w:cs="宋体"/>
          <w:sz w:val="10"/>
        </w:rPr>
        <w:t>、</w:t>
      </w:r>
      <w:r>
        <w:rPr>
          <w:rFonts w:hint="eastAsia" w:ascii="宋体" w:hAnsi="宋体" w:eastAsia="宋体" w:cs="宋体"/>
          <w:sz w:val="24"/>
        </w:rPr>
        <w:t>提升的问题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宋体" w:hAnsi="宋体" w:eastAsia="宋体" w:cs="宋体"/>
          <w:sz w:val="24"/>
        </w:rPr>
        <w:t>目前在软件业的不断创新和融合下</w:t>
      </w:r>
      <w:r>
        <w:rPr>
          <w:rFonts w:hint="eastAsia" w:ascii="宋体" w:hAnsi="宋体" w:eastAsia="宋体" w:cs="宋体"/>
          <w:sz w:val="10"/>
        </w:rPr>
        <w:t>，</w:t>
      </w:r>
      <w:r>
        <w:rPr>
          <w:rFonts w:hint="eastAsia" w:ascii="宋体" w:hAnsi="宋体" w:eastAsia="宋体" w:cs="宋体"/>
          <w:sz w:val="24"/>
        </w:rPr>
        <w:t>信息系统正在成为管理运营乃至变革发展的关键支撑基础</w:t>
      </w:r>
      <w:r>
        <w:rPr>
          <w:rFonts w:hint="eastAsia" w:ascii="宋体" w:hAnsi="宋体" w:eastAsia="宋体" w:cs="宋体"/>
          <w:sz w:val="10"/>
        </w:rPr>
        <w:t>，</w:t>
      </w:r>
      <w:r>
        <w:rPr>
          <w:rFonts w:hint="eastAsia" w:ascii="宋体" w:hAnsi="宋体" w:eastAsia="宋体" w:cs="宋体"/>
          <w:sz w:val="24"/>
        </w:rPr>
        <w:t>它必须适应用户独特的业务模式和发展战略</w:t>
      </w:r>
      <w:r>
        <w:rPr>
          <w:rFonts w:hint="eastAsia" w:ascii="宋体" w:hAnsi="宋体" w:eastAsia="宋体" w:cs="宋体"/>
          <w:sz w:val="10"/>
        </w:rPr>
        <w:t>，</w:t>
      </w:r>
      <w:r>
        <w:rPr>
          <w:rFonts w:hint="eastAsia" w:ascii="宋体" w:hAnsi="宋体" w:eastAsia="宋体" w:cs="宋体"/>
          <w:sz w:val="24"/>
        </w:rPr>
        <w:t>并与业务</w:t>
      </w:r>
      <w:r>
        <w:rPr>
          <w:rFonts w:hint="eastAsia" w:ascii="宋体" w:hAnsi="宋体" w:eastAsia="宋体" w:cs="宋体"/>
          <w:sz w:val="10"/>
        </w:rPr>
        <w:t>、</w:t>
      </w:r>
      <w:r>
        <w:rPr>
          <w:rFonts w:hint="eastAsia" w:ascii="宋体" w:hAnsi="宋体" w:eastAsia="宋体" w:cs="宋体"/>
          <w:sz w:val="24"/>
        </w:rPr>
        <w:t>管理和变革进行战略协同</w:t>
      </w:r>
      <w:r>
        <w:rPr>
          <w:rFonts w:hint="eastAsia" w:ascii="宋体" w:hAnsi="宋体" w:eastAsia="宋体" w:cs="宋体"/>
          <w:sz w:val="10"/>
        </w:rPr>
        <w:t>。</w:t>
      </w:r>
      <w:r>
        <w:rPr>
          <w:rFonts w:hint="eastAsia" w:ascii="宋体" w:hAnsi="宋体" w:eastAsia="宋体" w:cs="宋体"/>
          <w:sz w:val="24"/>
        </w:rPr>
        <w:t>世界各国的软件</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项目证明</w:t>
      </w:r>
      <w:r>
        <w:rPr>
          <w:rFonts w:hint="eastAsia" w:ascii="宋体" w:hAnsi="宋体" w:eastAsia="宋体" w:cs="宋体"/>
          <w:sz w:val="12"/>
        </w:rPr>
        <w:t>：</w:t>
      </w:r>
      <w:r>
        <w:rPr>
          <w:rFonts w:hint="eastAsia" w:ascii="宋体" w:hAnsi="宋体" w:eastAsia="宋体" w:cs="宋体"/>
          <w:sz w:val="24"/>
        </w:rPr>
        <w:t>提高软件开发效率</w:t>
      </w:r>
      <w:r>
        <w:rPr>
          <w:rFonts w:hint="eastAsia" w:ascii="宋体" w:hAnsi="宋体" w:eastAsia="宋体" w:cs="宋体"/>
          <w:sz w:val="10"/>
        </w:rPr>
        <w:t>、</w:t>
      </w:r>
      <w:r>
        <w:rPr>
          <w:rFonts w:hint="eastAsia" w:ascii="宋体" w:hAnsi="宋体" w:eastAsia="宋体" w:cs="宋体"/>
          <w:sz w:val="24"/>
        </w:rPr>
        <w:t>缩短开发周期</w:t>
      </w:r>
      <w:r>
        <w:rPr>
          <w:rFonts w:hint="eastAsia" w:ascii="宋体" w:hAnsi="宋体" w:eastAsia="宋体" w:cs="宋体"/>
          <w:sz w:val="10"/>
        </w:rPr>
        <w:t>、</w:t>
      </w:r>
      <w:r>
        <w:rPr>
          <w:rFonts w:hint="eastAsia" w:ascii="宋体" w:hAnsi="宋体" w:eastAsia="宋体" w:cs="宋体"/>
          <w:sz w:val="24"/>
        </w:rPr>
        <w:t>降低开发成本</w:t>
      </w:r>
      <w:r>
        <w:rPr>
          <w:rFonts w:hint="eastAsia" w:ascii="宋体" w:hAnsi="宋体" w:eastAsia="宋体" w:cs="宋体"/>
          <w:sz w:val="10"/>
        </w:rPr>
        <w:t>、</w:t>
      </w:r>
      <w:r>
        <w:rPr>
          <w:rFonts w:hint="eastAsia" w:ascii="宋体" w:hAnsi="宋体" w:eastAsia="宋体" w:cs="宋体"/>
          <w:sz w:val="24"/>
        </w:rPr>
        <w:t>改善软件质量是项目平稳顺利运行的保证</w:t>
      </w:r>
      <w:r>
        <w:rPr>
          <w:rFonts w:hint="eastAsia" w:ascii="宋体" w:hAnsi="宋体" w:eastAsia="宋体" w:cs="宋体"/>
          <w:sz w:val="10"/>
        </w:rPr>
        <w:t>。</w:t>
      </w:r>
      <w:r>
        <w:rPr>
          <w:rFonts w:hint="eastAsia" w:ascii="宋体" w:hAnsi="宋体" w:eastAsia="宋体" w:cs="宋体"/>
          <w:sz w:val="24"/>
        </w:rPr>
        <w:t>业务架构平台的模块及其适应行业的发展正成为业务架构平台的发展趋势</w:t>
      </w:r>
      <w:r>
        <w:rPr>
          <w:rFonts w:hint="eastAsia" w:ascii="宋体" w:hAnsi="宋体" w:eastAsia="宋体" w:cs="宋体"/>
          <w:sz w:val="10"/>
        </w:rPr>
        <w:t>，</w:t>
      </w:r>
      <w:r>
        <w:rPr>
          <w:rFonts w:hint="eastAsia" w:ascii="宋体" w:hAnsi="宋体" w:eastAsia="宋体" w:cs="宋体"/>
          <w:sz w:val="24"/>
        </w:rPr>
        <w:t>顶点的灵动</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业务架构平台正顺应了此种发展趋势</w:t>
      </w:r>
      <w:r>
        <w:rPr>
          <w:rFonts w:hint="eastAsia" w:ascii="宋体" w:hAnsi="宋体" w:eastAsia="宋体" w:cs="宋体"/>
          <w:sz w:val="10"/>
        </w:rPr>
        <w:t>。</w:t>
      </w:r>
      <w:r>
        <w:rPr>
          <w:rFonts w:hint="eastAsia" w:ascii="宋体" w:hAnsi="宋体" w:eastAsia="宋体" w:cs="宋体"/>
          <w:sz w:val="24"/>
        </w:rPr>
        <w:t>此次投资金额</w:t>
      </w:r>
      <w:r>
        <w:rPr>
          <w:rFonts w:hint="eastAsia" w:ascii="宋体" w:hAnsi="宋体" w:eastAsia="宋体" w:cs="宋体"/>
          <w:sz w:val="10"/>
        </w:rPr>
        <w:t>，</w:t>
      </w:r>
      <w:r>
        <w:rPr>
          <w:rFonts w:hint="eastAsia" w:ascii="宋体" w:hAnsi="宋体" w:eastAsia="宋体" w:cs="宋体"/>
          <w:sz w:val="24"/>
        </w:rPr>
        <w:t>进一步发展此平台</w:t>
      </w:r>
      <w:r>
        <w:rPr>
          <w:rFonts w:hint="eastAsia" w:ascii="宋体" w:hAnsi="宋体" w:eastAsia="宋体" w:cs="宋体"/>
          <w:sz w:val="10"/>
        </w:rPr>
        <w:t>，</w:t>
      </w:r>
      <w:r>
        <w:rPr>
          <w:rFonts w:hint="eastAsia" w:ascii="宋体" w:hAnsi="宋体" w:eastAsia="宋体" w:cs="宋体"/>
          <w:sz w:val="24"/>
        </w:rPr>
        <w:t>既符合行业发展趋势</w:t>
      </w:r>
      <w:r>
        <w:rPr>
          <w:rFonts w:hint="eastAsia" w:ascii="宋体" w:hAnsi="宋体" w:eastAsia="宋体" w:cs="宋体"/>
          <w:sz w:val="10"/>
        </w:rPr>
        <w:t>，</w:t>
      </w:r>
      <w:r>
        <w:rPr>
          <w:rFonts w:hint="eastAsia" w:ascii="宋体" w:hAnsi="宋体" w:eastAsia="宋体" w:cs="宋体"/>
          <w:sz w:val="24"/>
        </w:rPr>
        <w:t>又发展了我国自主产权的业务架构平台</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1-1-308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进一步优化灵动平台</w:t>
      </w:r>
      <w:r>
        <w:rPr>
          <w:rFonts w:hint="eastAsia" w:ascii="宋体" w:hAnsi="宋体" w:eastAsia="宋体" w:cs="宋体"/>
          <w:b/>
          <w:sz w:val="10"/>
        </w:rPr>
        <w:t>，</w:t>
      </w:r>
      <w:r>
        <w:rPr>
          <w:rFonts w:hint="eastAsia" w:ascii="宋体" w:hAnsi="宋体" w:eastAsia="宋体" w:cs="宋体"/>
          <w:b/>
          <w:sz w:val="24"/>
        </w:rPr>
        <w:t>提升企业核心竞争力</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顶点软件的灵动</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业务架构平台拥有自主产权</w:t>
      </w:r>
      <w:r>
        <w:rPr>
          <w:rFonts w:hint="eastAsia" w:ascii="宋体" w:hAnsi="宋体" w:eastAsia="宋体" w:cs="宋体"/>
          <w:sz w:val="10"/>
        </w:rPr>
        <w:t>，</w:t>
      </w:r>
      <w:r>
        <w:rPr>
          <w:rFonts w:hint="eastAsia" w:ascii="宋体" w:hAnsi="宋体" w:eastAsia="宋体" w:cs="宋体"/>
          <w:sz w:val="24"/>
        </w:rPr>
        <w:t>在此平台基础上的</w:t>
      </w:r>
      <w:r>
        <w:rPr>
          <w:rFonts w:hint="eastAsia" w:ascii="Times New Roman" w:hAnsi="Times New Roman" w:eastAsia="Times New Roman" w:cs="Times New Roman"/>
          <w:sz w:val="24"/>
        </w:rPr>
        <w:t xml:space="preserve"> CRM</w:t>
      </w:r>
      <w:r>
        <w:rPr>
          <w:rFonts w:hint="eastAsia" w:ascii="宋体" w:hAnsi="宋体" w:eastAsia="宋体" w:cs="宋体"/>
          <w:sz w:val="10"/>
        </w:rPr>
        <w:t>、</w:t>
      </w:r>
      <w:r>
        <w:rPr>
          <w:rFonts w:hint="eastAsia" w:ascii="Times New Roman" w:hAnsi="Times New Roman" w:eastAsia="Times New Roman" w:cs="Times New Roman"/>
          <w:sz w:val="24"/>
        </w:rPr>
        <w:t>BPM</w:t>
      </w:r>
      <w:r>
        <w:rPr>
          <w:rFonts w:hint="eastAsia" w:ascii="宋体" w:hAnsi="宋体" w:eastAsia="宋体" w:cs="宋体"/>
          <w:sz w:val="24"/>
        </w:rPr>
        <w:t xml:space="preserve"> 信息化软件及其解决方案已经得到市场的广泛认可</w:t>
      </w:r>
      <w:r>
        <w:rPr>
          <w:rFonts w:hint="eastAsia" w:ascii="宋体" w:hAnsi="宋体" w:eastAsia="宋体" w:cs="宋体"/>
          <w:sz w:val="10"/>
        </w:rPr>
        <w:t>，</w:t>
      </w:r>
      <w:r>
        <w:rPr>
          <w:rFonts w:hint="eastAsia" w:ascii="宋体" w:hAnsi="宋体" w:eastAsia="宋体" w:cs="宋体"/>
          <w:sz w:val="24"/>
        </w:rPr>
        <w:t>是企业发展的基础与核心竞争力所在</w:t>
      </w:r>
      <w:r>
        <w:rPr>
          <w:rFonts w:hint="eastAsia" w:ascii="宋体" w:hAnsi="宋体" w:eastAsia="宋体" w:cs="宋体"/>
          <w:sz w:val="10"/>
        </w:rPr>
        <w:t>，</w:t>
      </w:r>
      <w:r>
        <w:rPr>
          <w:rFonts w:hint="eastAsia" w:ascii="宋体" w:hAnsi="宋体" w:eastAsia="宋体" w:cs="宋体"/>
          <w:sz w:val="24"/>
        </w:rPr>
        <w:t>通过此次投资金额</w:t>
      </w:r>
      <w:r>
        <w:rPr>
          <w:rFonts w:hint="eastAsia" w:ascii="宋体" w:hAnsi="宋体" w:eastAsia="宋体" w:cs="宋体"/>
          <w:sz w:val="10"/>
        </w:rPr>
        <w:t>，</w:t>
      </w:r>
      <w:r>
        <w:rPr>
          <w:rFonts w:hint="eastAsia" w:ascii="宋体" w:hAnsi="宋体" w:eastAsia="宋体" w:cs="宋体"/>
          <w:sz w:val="24"/>
        </w:rPr>
        <w:t>采购先进的设备</w:t>
      </w:r>
      <w:r>
        <w:rPr>
          <w:rFonts w:hint="eastAsia" w:ascii="宋体" w:hAnsi="宋体" w:eastAsia="宋体" w:cs="宋体"/>
          <w:sz w:val="10"/>
        </w:rPr>
        <w:t>，</w:t>
      </w:r>
      <w:r>
        <w:rPr>
          <w:rFonts w:hint="eastAsia" w:ascii="宋体" w:hAnsi="宋体" w:eastAsia="宋体" w:cs="宋体"/>
          <w:sz w:val="24"/>
        </w:rPr>
        <w:t>招聘</w:t>
      </w:r>
      <w:r>
        <w:rPr>
          <w:rFonts w:hint="eastAsia" w:ascii="宋体" w:hAnsi="宋体" w:eastAsia="宋体" w:cs="宋体"/>
          <w:sz w:val="10"/>
        </w:rPr>
        <w:t>、</w:t>
      </w:r>
      <w:r>
        <w:rPr>
          <w:rFonts w:hint="eastAsia" w:ascii="宋体" w:hAnsi="宋体" w:eastAsia="宋体" w:cs="宋体"/>
          <w:sz w:val="24"/>
        </w:rPr>
        <w:t>聘请不同行业的市场分析专家</w:t>
      </w:r>
      <w:r>
        <w:rPr>
          <w:rFonts w:hint="eastAsia" w:ascii="宋体" w:hAnsi="宋体" w:eastAsia="宋体" w:cs="宋体"/>
          <w:sz w:val="10"/>
        </w:rPr>
        <w:t>、</w:t>
      </w:r>
      <w:r>
        <w:rPr>
          <w:rFonts w:hint="eastAsia" w:ascii="宋体" w:hAnsi="宋体" w:eastAsia="宋体" w:cs="宋体"/>
          <w:sz w:val="24"/>
        </w:rPr>
        <w:t>高级程序员</w:t>
      </w:r>
      <w:r>
        <w:rPr>
          <w:rFonts w:hint="eastAsia" w:ascii="宋体" w:hAnsi="宋体" w:eastAsia="宋体" w:cs="宋体"/>
          <w:sz w:val="10"/>
        </w:rPr>
        <w:t>，</w:t>
      </w:r>
      <w:r>
        <w:rPr>
          <w:rFonts w:hint="eastAsia" w:ascii="宋体" w:hAnsi="宋体" w:eastAsia="宋体" w:cs="宋体"/>
          <w:sz w:val="24"/>
        </w:rPr>
        <w:t>创造良好的工作环境</w:t>
      </w:r>
      <w:r>
        <w:rPr>
          <w:rFonts w:hint="eastAsia" w:ascii="宋体" w:hAnsi="宋体" w:eastAsia="宋体" w:cs="宋体"/>
          <w:sz w:val="10"/>
        </w:rPr>
        <w:t>，</w:t>
      </w:r>
      <w:r>
        <w:rPr>
          <w:rFonts w:hint="eastAsia" w:ascii="宋体" w:hAnsi="宋体" w:eastAsia="宋体" w:cs="宋体"/>
          <w:sz w:val="24"/>
        </w:rPr>
        <w:t>实现新老技术员工的统一开发</w:t>
      </w:r>
      <w:r>
        <w:rPr>
          <w:rFonts w:hint="eastAsia" w:ascii="宋体" w:hAnsi="宋体" w:eastAsia="宋体" w:cs="宋体"/>
          <w:sz w:val="10"/>
        </w:rPr>
        <w:t>，</w:t>
      </w:r>
      <w:r>
        <w:rPr>
          <w:rFonts w:hint="eastAsia" w:ascii="宋体" w:hAnsi="宋体" w:eastAsia="宋体" w:cs="宋体"/>
          <w:sz w:val="24"/>
        </w:rPr>
        <w:t>提高技术员工的素质以及凝聚力</w:t>
      </w:r>
      <w:r>
        <w:rPr>
          <w:rFonts w:hint="eastAsia" w:ascii="宋体" w:hAnsi="宋体" w:eastAsia="宋体" w:cs="宋体"/>
          <w:sz w:val="10"/>
        </w:rPr>
        <w:t>，</w:t>
      </w:r>
      <w:r>
        <w:rPr>
          <w:rFonts w:hint="eastAsia" w:ascii="宋体" w:hAnsi="宋体" w:eastAsia="宋体" w:cs="宋体"/>
          <w:sz w:val="24"/>
        </w:rPr>
        <w:t>最大程度的研发</w:t>
      </w:r>
      <w:r>
        <w:rPr>
          <w:rFonts w:hint="eastAsia" w:ascii="宋体" w:hAnsi="宋体" w:eastAsia="宋体" w:cs="宋体"/>
          <w:sz w:val="10"/>
        </w:rPr>
        <w:t>、</w:t>
      </w:r>
      <w:r>
        <w:rPr>
          <w:rFonts w:hint="eastAsia" w:ascii="宋体" w:hAnsi="宋体" w:eastAsia="宋体" w:cs="宋体"/>
          <w:sz w:val="24"/>
        </w:rPr>
        <w:t>优化</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架构平台</w:t>
      </w:r>
      <w:r>
        <w:rPr>
          <w:rFonts w:hint="eastAsia" w:ascii="宋体" w:hAnsi="宋体" w:eastAsia="宋体" w:cs="宋体"/>
          <w:sz w:val="10"/>
        </w:rPr>
        <w:t>，</w:t>
      </w:r>
      <w:r>
        <w:rPr>
          <w:rFonts w:hint="eastAsia" w:ascii="宋体" w:hAnsi="宋体" w:eastAsia="宋体" w:cs="宋体"/>
          <w:sz w:val="24"/>
        </w:rPr>
        <w:t>实现顶点企业业务架构平台基础上</w:t>
      </w:r>
      <w:r>
        <w:rPr>
          <w:rFonts w:hint="eastAsia" w:ascii="Times New Roman" w:hAnsi="Times New Roman" w:eastAsia="Times New Roman" w:cs="Times New Roman"/>
          <w:sz w:val="24"/>
        </w:rPr>
        <w:t xml:space="preserve"> CRM</w:t>
      </w:r>
      <w:r>
        <w:rPr>
          <w:rFonts w:hint="eastAsia" w:ascii="宋体" w:hAnsi="宋体" w:eastAsia="宋体" w:cs="宋体"/>
          <w:sz w:val="10"/>
        </w:rPr>
        <w:t>、</w:t>
      </w:r>
      <w:r>
        <w:rPr>
          <w:rFonts w:hint="eastAsia" w:ascii="Times New Roman" w:hAnsi="Times New Roman" w:eastAsia="Times New Roman" w:cs="Times New Roman"/>
          <w:sz w:val="24"/>
        </w:rPr>
        <w:t>BPM</w:t>
      </w:r>
      <w:r>
        <w:rPr>
          <w:rFonts w:hint="eastAsia" w:ascii="宋体" w:hAnsi="宋体" w:eastAsia="宋体" w:cs="宋体"/>
          <w:sz w:val="24"/>
        </w:rPr>
        <w:t xml:space="preserve"> 信息化软件及其解决方案的快速发展</w:t>
      </w:r>
      <w:r>
        <w:rPr>
          <w:rFonts w:hint="eastAsia" w:ascii="宋体" w:hAnsi="宋体" w:eastAsia="宋体" w:cs="宋体"/>
          <w:sz w:val="10"/>
        </w:rPr>
        <w:t>。</w:t>
      </w:r>
      <w:r>
        <w:rPr>
          <w:rFonts w:hint="eastAsia" w:ascii="宋体" w:hAnsi="宋体" w:eastAsia="宋体" w:cs="宋体"/>
          <w:sz w:val="24"/>
        </w:rPr>
        <w:t>因此</w:t>
      </w:r>
      <w:r>
        <w:rPr>
          <w:rFonts w:hint="eastAsia" w:ascii="宋体" w:hAnsi="宋体" w:eastAsia="宋体" w:cs="宋体"/>
          <w:sz w:val="10"/>
        </w:rPr>
        <w:t>，</w:t>
      </w:r>
      <w:r>
        <w:rPr>
          <w:rFonts w:hint="eastAsia" w:ascii="Times New Roman" w:hAnsi="Times New Roman" w:eastAsia="Times New Roman" w:cs="Times New Roman"/>
          <w:sz w:val="24"/>
        </w:rPr>
        <w:t>LiveBOS</w:t>
      </w:r>
      <w:r>
        <w:rPr>
          <w:rFonts w:hint="eastAsia" w:ascii="宋体" w:hAnsi="宋体" w:eastAsia="宋体" w:cs="宋体"/>
          <w:sz w:val="24"/>
        </w:rPr>
        <w:t xml:space="preserve"> 业务架构平台的建设</w:t>
      </w:r>
      <w:r>
        <w:rPr>
          <w:rFonts w:hint="eastAsia" w:ascii="宋体" w:hAnsi="宋体" w:eastAsia="宋体" w:cs="宋体"/>
          <w:sz w:val="10"/>
        </w:rPr>
        <w:t>、</w:t>
      </w:r>
      <w:r>
        <w:rPr>
          <w:rFonts w:hint="eastAsia" w:ascii="宋体" w:hAnsi="宋体" w:eastAsia="宋体" w:cs="宋体"/>
          <w:sz w:val="24"/>
        </w:rPr>
        <w:t>实施可以提高企业的核心竞争力以及向新的发展战略迈进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满足业务流程信息化建设的需求</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随着行业的快速发展</w:t>
      </w:r>
      <w:r>
        <w:rPr>
          <w:rFonts w:hint="eastAsia" w:ascii="宋体" w:hAnsi="宋体" w:eastAsia="宋体" w:cs="宋体"/>
          <w:sz w:val="10"/>
        </w:rPr>
        <w:t>，</w:t>
      </w:r>
      <w:r>
        <w:rPr>
          <w:rFonts w:hint="eastAsia" w:ascii="宋体" w:hAnsi="宋体" w:eastAsia="宋体" w:cs="宋体"/>
          <w:sz w:val="24"/>
        </w:rPr>
        <w:t>客户对业务流程信息化建设提出更高的要求</w:t>
      </w:r>
      <w:r>
        <w:rPr>
          <w:rFonts w:hint="eastAsia" w:ascii="宋体" w:hAnsi="宋体" w:eastAsia="宋体" w:cs="宋体"/>
          <w:sz w:val="10"/>
        </w:rPr>
        <w:t>。</w:t>
      </w:r>
      <w:r>
        <w:rPr>
          <w:rFonts w:hint="eastAsia" w:ascii="宋体" w:hAnsi="宋体" w:eastAsia="宋体" w:cs="宋体"/>
          <w:sz w:val="24"/>
        </w:rPr>
        <w:t>适应业务流程信息化建设的新要求及趋势如下</w:t>
      </w:r>
      <w:r>
        <w:rPr>
          <w:rFonts w:hint="eastAsia" w:ascii="宋体" w:hAnsi="宋体" w:eastAsia="宋体" w:cs="宋体"/>
          <w:sz w:val="10"/>
        </w:rPr>
        <w:t>：</w:t>
      </w:r>
      <w:r>
        <w:rPr>
          <w:rFonts w:hint="eastAsia" w:ascii="宋体" w:hAnsi="宋体" w:eastAsia="宋体" w:cs="宋体"/>
          <w:sz w:val="24"/>
        </w:rPr>
        <w:t>①智能化分析能力</w:t>
      </w:r>
      <w:r>
        <w:rPr>
          <w:rFonts w:hint="eastAsia" w:ascii="宋体" w:hAnsi="宋体" w:eastAsia="宋体" w:cs="宋体"/>
          <w:sz w:val="10"/>
        </w:rPr>
        <w:t>：</w:t>
      </w:r>
      <w:r>
        <w:rPr>
          <w:rFonts w:hint="eastAsia" w:ascii="宋体" w:hAnsi="宋体" w:eastAsia="宋体" w:cs="宋体"/>
          <w:sz w:val="24"/>
        </w:rPr>
        <w:t>可以帮助用户实现跨业务系统的配置管理</w:t>
      </w:r>
      <w:r>
        <w:rPr>
          <w:rFonts w:hint="eastAsia" w:ascii="宋体" w:hAnsi="宋体" w:eastAsia="宋体" w:cs="宋体"/>
          <w:sz w:val="10"/>
        </w:rPr>
        <w:t>、</w:t>
      </w:r>
      <w:r>
        <w:rPr>
          <w:rFonts w:hint="eastAsia" w:ascii="宋体" w:hAnsi="宋体" w:eastAsia="宋体" w:cs="宋体"/>
          <w:sz w:val="24"/>
        </w:rPr>
        <w:t>软硬件系统设备的统计分析</w:t>
      </w:r>
      <w:r>
        <w:rPr>
          <w:rFonts w:hint="eastAsia" w:ascii="宋体" w:hAnsi="宋体" w:eastAsia="宋体" w:cs="宋体"/>
          <w:sz w:val="12"/>
        </w:rPr>
        <w:t>；</w:t>
      </w:r>
      <w:r>
        <w:rPr>
          <w:rFonts w:hint="eastAsia" w:ascii="宋体" w:hAnsi="宋体" w:eastAsia="宋体" w:cs="宋体"/>
          <w:sz w:val="24"/>
        </w:rPr>
        <w:t>②面向客户和服务的管理</w:t>
      </w:r>
      <w:r>
        <w:rPr>
          <w:rFonts w:hint="eastAsia" w:ascii="宋体" w:hAnsi="宋体" w:eastAsia="宋体" w:cs="宋体"/>
          <w:sz w:val="12"/>
        </w:rPr>
        <w:t>：</w:t>
      </w:r>
      <w:r>
        <w:rPr>
          <w:rFonts w:hint="eastAsia" w:ascii="宋体" w:hAnsi="宋体" w:eastAsia="宋体" w:cs="宋体"/>
          <w:sz w:val="24"/>
        </w:rPr>
        <w:t>用户为了保障集团客户</w:t>
      </w:r>
      <w:r>
        <w:rPr>
          <w:rFonts w:hint="eastAsia" w:ascii="宋体" w:hAnsi="宋体" w:eastAsia="宋体" w:cs="宋体"/>
          <w:sz w:val="10"/>
        </w:rPr>
        <w:t>、</w:t>
      </w:r>
      <w:r>
        <w:rPr>
          <w:rFonts w:hint="eastAsia" w:ascii="宋体" w:hAnsi="宋体" w:eastAsia="宋体" w:cs="宋体"/>
          <w:sz w:val="24"/>
        </w:rPr>
        <w:t>大客户和重要客户的服务</w:t>
      </w:r>
      <w:r>
        <w:rPr>
          <w:rFonts w:hint="eastAsia" w:ascii="宋体" w:hAnsi="宋体" w:eastAsia="宋体" w:cs="宋体"/>
          <w:sz w:val="10"/>
        </w:rPr>
        <w:t>，</w:t>
      </w:r>
      <w:r>
        <w:rPr>
          <w:rFonts w:hint="eastAsia" w:ascii="宋体" w:hAnsi="宋体" w:eastAsia="宋体" w:cs="宋体"/>
          <w:sz w:val="24"/>
        </w:rPr>
        <w:t>在业务层面提供优质的服务</w:t>
      </w:r>
      <w:r>
        <w:rPr>
          <w:rFonts w:hint="eastAsia" w:ascii="宋体" w:hAnsi="宋体" w:eastAsia="宋体" w:cs="宋体"/>
          <w:sz w:val="10"/>
        </w:rPr>
        <w:t>，</w:t>
      </w:r>
      <w:r>
        <w:rPr>
          <w:rFonts w:hint="eastAsia" w:ascii="宋体" w:hAnsi="宋体" w:eastAsia="宋体" w:cs="宋体"/>
          <w:sz w:val="24"/>
        </w:rPr>
        <w:t>能够实现各种级别的客户</w:t>
      </w:r>
      <w:r>
        <w:rPr>
          <w:rFonts w:hint="eastAsia" w:ascii="宋体" w:hAnsi="宋体" w:eastAsia="宋体" w:cs="宋体"/>
          <w:sz w:val="10"/>
        </w:rPr>
        <w:t>、</w:t>
      </w:r>
      <w:r>
        <w:rPr>
          <w:rFonts w:hint="eastAsia" w:ascii="宋体" w:hAnsi="宋体" w:eastAsia="宋体" w:cs="宋体"/>
          <w:sz w:val="24"/>
        </w:rPr>
        <w:t>服务等级以及内部的管理及服务质量</w:t>
      </w:r>
      <w:r>
        <w:rPr>
          <w:rFonts w:hint="eastAsia" w:ascii="宋体" w:hAnsi="宋体" w:eastAsia="宋体" w:cs="宋体"/>
          <w:sz w:val="12"/>
        </w:rPr>
        <w:t>；</w:t>
      </w:r>
      <w:r>
        <w:rPr>
          <w:rFonts w:hint="eastAsia" w:ascii="宋体" w:hAnsi="宋体" w:eastAsia="宋体" w:cs="宋体"/>
          <w:sz w:val="24"/>
        </w:rPr>
        <w:t>③分析和决策支撑</w:t>
      </w:r>
      <w:r>
        <w:rPr>
          <w:rFonts w:hint="eastAsia" w:ascii="宋体" w:hAnsi="宋体" w:eastAsia="宋体" w:cs="宋体"/>
          <w:sz w:val="10"/>
        </w:rPr>
        <w:t>：</w:t>
      </w:r>
      <w:r>
        <w:rPr>
          <w:rFonts w:hint="eastAsia" w:ascii="宋体" w:hAnsi="宋体" w:eastAsia="宋体" w:cs="宋体"/>
          <w:sz w:val="24"/>
        </w:rPr>
        <w:t>随着用户越来越重视运营管理</w:t>
      </w:r>
      <w:r>
        <w:rPr>
          <w:rFonts w:hint="eastAsia" w:ascii="宋体" w:hAnsi="宋体" w:eastAsia="宋体" w:cs="宋体"/>
          <w:sz w:val="10"/>
        </w:rPr>
        <w:t>，</w:t>
      </w:r>
      <w:r>
        <w:rPr>
          <w:rFonts w:hint="eastAsia" w:ascii="宋体" w:hAnsi="宋体" w:eastAsia="宋体" w:cs="宋体"/>
          <w:sz w:val="24"/>
        </w:rPr>
        <w:t>为了能够制定合理的管理决策</w:t>
      </w:r>
      <w:r>
        <w:rPr>
          <w:rFonts w:hint="eastAsia" w:ascii="宋体" w:hAnsi="宋体" w:eastAsia="宋体" w:cs="宋体"/>
          <w:sz w:val="10"/>
        </w:rPr>
        <w:t>，</w:t>
      </w:r>
      <w:r>
        <w:rPr>
          <w:rFonts w:hint="eastAsia" w:ascii="宋体" w:hAnsi="宋体" w:eastAsia="宋体" w:cs="宋体"/>
          <w:sz w:val="24"/>
        </w:rPr>
        <w:t>用户的中高层管理者迫切的需要从</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系统获得丰富的量化的决策依据</w:t>
      </w:r>
      <w:r>
        <w:rPr>
          <w:rFonts w:hint="eastAsia" w:ascii="宋体" w:hAnsi="宋体" w:eastAsia="宋体" w:cs="宋体"/>
          <w:sz w:val="12"/>
        </w:rPr>
        <w:t>；</w:t>
      </w:r>
      <w:r>
        <w:rPr>
          <w:rFonts w:hint="eastAsia" w:ascii="宋体" w:hAnsi="宋体" w:eastAsia="宋体" w:cs="宋体"/>
          <w:sz w:val="24"/>
        </w:rPr>
        <w:t>④同意架构与方案集成</w:t>
      </w:r>
      <w:r>
        <w:rPr>
          <w:rFonts w:hint="eastAsia" w:ascii="宋体" w:hAnsi="宋体" w:eastAsia="宋体" w:cs="宋体"/>
          <w:sz w:val="10"/>
        </w:rPr>
        <w:t>：</w:t>
      </w:r>
      <w:r>
        <w:rPr>
          <w:rFonts w:hint="eastAsia" w:ascii="宋体" w:hAnsi="宋体" w:eastAsia="宋体" w:cs="宋体"/>
          <w:sz w:val="24"/>
        </w:rPr>
        <w:t>随着用户</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管理的丰富和完善</w:t>
      </w:r>
      <w:r>
        <w:rPr>
          <w:rFonts w:hint="eastAsia" w:ascii="宋体" w:hAnsi="宋体" w:eastAsia="宋体" w:cs="宋体"/>
          <w:sz w:val="10"/>
        </w:rPr>
        <w:t>，</w:t>
      </w:r>
      <w:r>
        <w:rPr>
          <w:rFonts w:hint="eastAsia" w:ascii="宋体" w:hAnsi="宋体" w:eastAsia="宋体" w:cs="宋体"/>
          <w:sz w:val="24"/>
        </w:rPr>
        <w:t>用户非常需要统一的安全管理</w:t>
      </w:r>
      <w:r>
        <w:rPr>
          <w:rFonts w:hint="eastAsia" w:ascii="宋体" w:hAnsi="宋体" w:eastAsia="宋体" w:cs="宋体"/>
          <w:sz w:val="10"/>
        </w:rPr>
        <w:t>、</w:t>
      </w:r>
      <w:r>
        <w:rPr>
          <w:rFonts w:hint="eastAsia" w:ascii="宋体" w:hAnsi="宋体" w:eastAsia="宋体" w:cs="宋体"/>
          <w:sz w:val="24"/>
        </w:rPr>
        <w:t>统一的通讯架构</w:t>
      </w:r>
      <w:r>
        <w:rPr>
          <w:rFonts w:hint="eastAsia" w:ascii="宋体" w:hAnsi="宋体" w:eastAsia="宋体" w:cs="宋体"/>
          <w:sz w:val="10"/>
        </w:rPr>
        <w:t>、</w:t>
      </w:r>
      <w:r>
        <w:rPr>
          <w:rFonts w:hint="eastAsia" w:ascii="宋体" w:hAnsi="宋体" w:eastAsia="宋体" w:cs="宋体"/>
          <w:sz w:val="24"/>
        </w:rPr>
        <w:t>统一数据管理</w:t>
      </w:r>
      <w:r>
        <w:rPr>
          <w:rFonts w:hint="eastAsia" w:ascii="宋体" w:hAnsi="宋体" w:eastAsia="宋体" w:cs="宋体"/>
          <w:sz w:val="10"/>
        </w:rPr>
        <w:t>、</w:t>
      </w:r>
      <w:r>
        <w:rPr>
          <w:rFonts w:hint="eastAsia" w:ascii="宋体" w:hAnsi="宋体" w:eastAsia="宋体" w:cs="宋体"/>
          <w:sz w:val="24"/>
        </w:rPr>
        <w:t>统一接口规范</w:t>
      </w:r>
      <w:r>
        <w:rPr>
          <w:rFonts w:hint="eastAsia" w:ascii="宋体" w:hAnsi="宋体" w:eastAsia="宋体" w:cs="宋体"/>
          <w:sz w:val="10"/>
        </w:rPr>
        <w:t>、</w:t>
      </w:r>
      <w:r>
        <w:rPr>
          <w:rFonts w:hint="eastAsia" w:ascii="宋体" w:hAnsi="宋体" w:eastAsia="宋体" w:cs="宋体"/>
          <w:sz w:val="24"/>
        </w:rPr>
        <w:t>内部无缝集成的系统</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新一代的</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灵动平台产品凝聚了公司过去多年为客户服务的实际经验和国际上先进技术成果以及顶点技术员工的心血</w:t>
      </w:r>
      <w:r>
        <w:rPr>
          <w:rFonts w:hint="eastAsia" w:ascii="宋体" w:hAnsi="宋体" w:eastAsia="宋体" w:cs="宋体"/>
          <w:sz w:val="10"/>
        </w:rPr>
        <w:t>，</w:t>
      </w:r>
      <w:r>
        <w:rPr>
          <w:rFonts w:hint="eastAsia" w:ascii="宋体" w:hAnsi="宋体" w:eastAsia="宋体" w:cs="宋体"/>
          <w:sz w:val="24"/>
        </w:rPr>
        <w:t>可以实现上述功能</w:t>
      </w:r>
      <w:r>
        <w:rPr>
          <w:rFonts w:hint="eastAsia" w:ascii="宋体" w:hAnsi="宋体" w:eastAsia="宋体" w:cs="宋体"/>
          <w:sz w:val="10"/>
        </w:rPr>
        <w:t>，</w:t>
      </w:r>
      <w:r>
        <w:rPr>
          <w:rFonts w:hint="eastAsia" w:ascii="宋体" w:hAnsi="宋体" w:eastAsia="宋体" w:cs="宋体"/>
          <w:sz w:val="24"/>
        </w:rPr>
        <w:t>全面满足客户的需要</w:t>
      </w:r>
      <w:r>
        <w:rPr>
          <w:rFonts w:hint="eastAsia" w:ascii="宋体" w:hAnsi="宋体" w:eastAsia="宋体" w:cs="宋体"/>
          <w:sz w:val="10"/>
        </w:rPr>
        <w:t>，</w:t>
      </w:r>
      <w:r>
        <w:rPr>
          <w:rFonts w:hint="eastAsia" w:ascii="宋体" w:hAnsi="宋体" w:eastAsia="宋体" w:cs="宋体"/>
          <w:sz w:val="24"/>
        </w:rPr>
        <w:t>通过此次投资</w:t>
      </w:r>
      <w:r>
        <w:rPr>
          <w:rFonts w:hint="eastAsia" w:ascii="宋体" w:hAnsi="宋体" w:eastAsia="宋体" w:cs="宋体"/>
          <w:sz w:val="10"/>
        </w:rPr>
        <w:t>，</w:t>
      </w:r>
      <w:r>
        <w:rPr>
          <w:rFonts w:hint="eastAsia" w:ascii="宋体" w:hAnsi="宋体" w:eastAsia="宋体" w:cs="宋体"/>
          <w:sz w:val="24"/>
        </w:rPr>
        <w:t>不断了解</w:t>
      </w:r>
      <w:r>
        <w:rPr>
          <w:rFonts w:hint="eastAsia" w:ascii="宋体" w:hAnsi="宋体" w:eastAsia="宋体" w:cs="宋体"/>
          <w:sz w:val="10"/>
        </w:rPr>
        <w:t>、</w:t>
      </w:r>
      <w:r>
        <w:rPr>
          <w:rFonts w:hint="eastAsia" w:ascii="宋体" w:hAnsi="宋体" w:eastAsia="宋体" w:cs="宋体"/>
          <w:sz w:val="24"/>
        </w:rPr>
        <w:t>跟踪客户的需要</w:t>
      </w:r>
      <w:r>
        <w:rPr>
          <w:rFonts w:hint="eastAsia" w:ascii="宋体" w:hAnsi="宋体" w:eastAsia="宋体" w:cs="宋体"/>
          <w:sz w:val="10"/>
        </w:rPr>
        <w:t>，</w:t>
      </w:r>
      <w:r>
        <w:rPr>
          <w:rFonts w:hint="eastAsia" w:ascii="宋体" w:hAnsi="宋体" w:eastAsia="宋体" w:cs="宋体"/>
          <w:sz w:val="24"/>
        </w:rPr>
        <w:t>研发优化该平台满足下游客户信息化建设发展的需要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满足金融行业互联网化快速发展的需要</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当前全社会各行各业在互联网技术的推动下</w:t>
      </w:r>
      <w:r>
        <w:rPr>
          <w:rFonts w:hint="eastAsia" w:ascii="宋体" w:hAnsi="宋体" w:eastAsia="宋体" w:cs="宋体"/>
          <w:sz w:val="10"/>
        </w:rPr>
        <w:t>，</w:t>
      </w:r>
      <w:r>
        <w:rPr>
          <w:rFonts w:hint="eastAsia" w:ascii="宋体" w:hAnsi="宋体" w:eastAsia="宋体" w:cs="宋体"/>
          <w:sz w:val="24"/>
        </w:rPr>
        <w:t>正在经历一轮由传统业态向互联网化应用转型的趋势</w:t>
      </w:r>
      <w:r>
        <w:rPr>
          <w:rFonts w:hint="eastAsia" w:ascii="宋体" w:hAnsi="宋体" w:eastAsia="宋体" w:cs="宋体"/>
          <w:sz w:val="10"/>
        </w:rPr>
        <w:t>。</w:t>
      </w:r>
      <w:r>
        <w:rPr>
          <w:rFonts w:hint="eastAsia" w:ascii="宋体" w:hAnsi="宋体" w:eastAsia="宋体" w:cs="宋体"/>
          <w:sz w:val="24"/>
        </w:rPr>
        <w:t>金融行业各项核心业务也存在向互联网化过渡</w:t>
      </w:r>
      <w:r>
        <w:rPr>
          <w:rFonts w:hint="eastAsia" w:ascii="宋体" w:hAnsi="宋体" w:eastAsia="宋体" w:cs="宋体"/>
          <w:sz w:val="10"/>
        </w:rPr>
        <w:t>，</w:t>
      </w:r>
      <w:r>
        <w:rPr>
          <w:rFonts w:hint="eastAsia" w:ascii="宋体" w:hAnsi="宋体" w:eastAsia="宋体" w:cs="宋体"/>
          <w:sz w:val="24"/>
        </w:rPr>
        <w:t>不断推出互联网化应用解决方案的强烈需求</w:t>
      </w:r>
      <w:r>
        <w:rPr>
          <w:rFonts w:hint="eastAsia" w:ascii="宋体" w:hAnsi="宋体" w:eastAsia="宋体" w:cs="宋体"/>
          <w:sz w:val="10"/>
        </w:rPr>
        <w:t>。</w:t>
      </w:r>
      <w:r>
        <w:rPr>
          <w:rFonts w:hint="eastAsia" w:ascii="宋体" w:hAnsi="宋体" w:eastAsia="宋体" w:cs="宋体"/>
          <w:sz w:val="24"/>
        </w:rPr>
        <w:t>金融行业互联网化应用解决方案具有尊重客户体验</w:t>
      </w:r>
      <w:r>
        <w:rPr>
          <w:rFonts w:hint="eastAsia" w:ascii="宋体" w:hAnsi="宋体" w:eastAsia="宋体" w:cs="宋体"/>
          <w:sz w:val="10"/>
        </w:rPr>
        <w:t>、</w:t>
      </w:r>
      <w:r>
        <w:rPr>
          <w:rFonts w:hint="eastAsia" w:ascii="宋体" w:hAnsi="宋体" w:eastAsia="宋体" w:cs="宋体"/>
          <w:sz w:val="24"/>
        </w:rPr>
        <w:t>强调交互式营销</w:t>
      </w:r>
      <w:r>
        <w:rPr>
          <w:rFonts w:hint="eastAsia" w:ascii="宋体" w:hAnsi="宋体" w:eastAsia="宋体" w:cs="宋体"/>
          <w:sz w:val="10"/>
        </w:rPr>
        <w:t>、</w:t>
      </w:r>
      <w:r>
        <w:rPr>
          <w:rFonts w:hint="eastAsia" w:ascii="宋体" w:hAnsi="宋体" w:eastAsia="宋体" w:cs="宋体"/>
          <w:sz w:val="24"/>
        </w:rPr>
        <w:t>主张平台开放等新特点</w:t>
      </w:r>
      <w:r>
        <w:rPr>
          <w:rFonts w:hint="eastAsia" w:ascii="宋体" w:hAnsi="宋体" w:eastAsia="宋体" w:cs="宋体"/>
          <w:sz w:val="10"/>
        </w:rPr>
        <w:t>，</w:t>
      </w:r>
      <w:r>
        <w:rPr>
          <w:rFonts w:hint="eastAsia" w:ascii="宋体" w:hAnsi="宋体" w:eastAsia="宋体" w:cs="宋体"/>
          <w:sz w:val="24"/>
        </w:rPr>
        <w:t>且在运作模式上更强调互联网技术与金融核心业务的</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1-1-309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00"/>
        <w:jc w:val="both"/>
      </w:pPr>
      <w:r>
        <w:rPr>
          <w:rFonts w:hint="eastAsia" w:ascii="宋体" w:hAnsi="宋体" w:eastAsia="宋体" w:cs="宋体"/>
          <w:sz w:val="24"/>
        </w:rPr>
        <w:t>深度整合</w:t>
      </w:r>
      <w:r>
        <w:rPr>
          <w:rFonts w:hint="eastAsia" w:ascii="宋体" w:hAnsi="宋体" w:eastAsia="宋体" w:cs="宋体"/>
          <w:sz w:val="10"/>
        </w:rPr>
        <w:t>。</w:t>
      </w:r>
      <w:r>
        <w:rPr>
          <w:rFonts w:hint="eastAsia" w:ascii="宋体" w:hAnsi="宋体" w:eastAsia="宋体" w:cs="宋体"/>
          <w:sz w:val="24"/>
        </w:rPr>
        <w:t>传统业务从线下到线上是一种业务模式的创新和转变</w:t>
      </w:r>
      <w:r>
        <w:rPr>
          <w:rFonts w:hint="eastAsia" w:ascii="宋体" w:hAnsi="宋体" w:eastAsia="宋体" w:cs="宋体"/>
          <w:sz w:val="10"/>
        </w:rPr>
        <w:t>，</w:t>
      </w:r>
      <w:r>
        <w:rPr>
          <w:rFonts w:hint="eastAsia" w:ascii="宋体" w:hAnsi="宋体" w:eastAsia="宋体" w:cs="宋体"/>
          <w:sz w:val="24"/>
        </w:rPr>
        <w:t>其后台需要有不同于线下传统的运营机制的支持系统</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基于新业务</w:t>
      </w:r>
      <w:r>
        <w:rPr>
          <w:rFonts w:hint="eastAsia" w:ascii="宋体" w:hAnsi="宋体" w:eastAsia="宋体" w:cs="宋体"/>
          <w:sz w:val="10"/>
        </w:rPr>
        <w:t>、</w:t>
      </w:r>
      <w:r>
        <w:rPr>
          <w:rFonts w:hint="eastAsia" w:ascii="宋体" w:hAnsi="宋体" w:eastAsia="宋体" w:cs="宋体"/>
          <w:sz w:val="24"/>
        </w:rPr>
        <w:t>新业态的不断推出</w:t>
      </w:r>
      <w:r>
        <w:rPr>
          <w:rFonts w:hint="eastAsia" w:ascii="宋体" w:hAnsi="宋体" w:eastAsia="宋体" w:cs="宋体"/>
          <w:sz w:val="10"/>
        </w:rPr>
        <w:t>，</w:t>
      </w:r>
      <w:r>
        <w:rPr>
          <w:rFonts w:hint="eastAsia" w:ascii="宋体" w:hAnsi="宋体" w:eastAsia="宋体" w:cs="宋体"/>
          <w:sz w:val="24"/>
        </w:rPr>
        <w:t>监管机构对于合规性又提出了较高层次的要求</w:t>
      </w:r>
      <w:r>
        <w:rPr>
          <w:rFonts w:hint="eastAsia" w:ascii="宋体" w:hAnsi="宋体" w:eastAsia="宋体" w:cs="宋体"/>
          <w:sz w:val="10"/>
        </w:rPr>
        <w:t>，</w:t>
      </w:r>
      <w:r>
        <w:rPr>
          <w:rFonts w:hint="eastAsia" w:ascii="宋体" w:hAnsi="宋体" w:eastAsia="宋体" w:cs="宋体"/>
          <w:sz w:val="24"/>
        </w:rPr>
        <w:t>因此金融机构业务的开展及后台系统的支持均要满足监管合规需要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00" w:firstLine="480"/>
        <w:jc w:val="both"/>
      </w:pPr>
      <w:r>
        <w:rPr>
          <w:rFonts w:hint="eastAsia" w:ascii="宋体" w:hAnsi="宋体" w:eastAsia="宋体" w:cs="宋体"/>
          <w:sz w:val="24"/>
        </w:rPr>
        <w:t>金融机构中</w:t>
      </w:r>
      <w:r>
        <w:rPr>
          <w:rFonts w:hint="eastAsia" w:ascii="宋体" w:hAnsi="宋体" w:eastAsia="宋体" w:cs="宋体"/>
          <w:sz w:val="10"/>
        </w:rPr>
        <w:t>，</w:t>
      </w:r>
      <w:r>
        <w:rPr>
          <w:rFonts w:hint="eastAsia" w:ascii="宋体" w:hAnsi="宋体" w:eastAsia="宋体" w:cs="宋体"/>
          <w:sz w:val="24"/>
        </w:rPr>
        <w:t>券商目前的核心业务支撑系统多数在通道业务为核心的背景下建立的</w:t>
      </w:r>
      <w:r>
        <w:rPr>
          <w:rFonts w:hint="eastAsia" w:ascii="宋体" w:hAnsi="宋体" w:eastAsia="宋体" w:cs="宋体"/>
          <w:sz w:val="10"/>
        </w:rPr>
        <w:t>，</w:t>
      </w:r>
      <w:r>
        <w:rPr>
          <w:rFonts w:hint="eastAsia" w:ascii="宋体" w:hAnsi="宋体" w:eastAsia="宋体" w:cs="宋体"/>
          <w:sz w:val="24"/>
        </w:rPr>
        <w:t>在灵活性</w:t>
      </w:r>
      <w:r>
        <w:rPr>
          <w:rFonts w:hint="eastAsia" w:ascii="宋体" w:hAnsi="宋体" w:eastAsia="宋体" w:cs="宋体"/>
          <w:sz w:val="10"/>
        </w:rPr>
        <w:t>、</w:t>
      </w:r>
      <w:r>
        <w:rPr>
          <w:rFonts w:hint="eastAsia" w:ascii="宋体" w:hAnsi="宋体" w:eastAsia="宋体" w:cs="宋体"/>
          <w:sz w:val="24"/>
        </w:rPr>
        <w:t>用户体验</w:t>
      </w:r>
      <w:r>
        <w:rPr>
          <w:rFonts w:hint="eastAsia" w:ascii="宋体" w:hAnsi="宋体" w:eastAsia="宋体" w:cs="宋体"/>
          <w:sz w:val="10"/>
        </w:rPr>
        <w:t>、</w:t>
      </w:r>
      <w:r>
        <w:rPr>
          <w:rFonts w:hint="eastAsia" w:ascii="宋体" w:hAnsi="宋体" w:eastAsia="宋体" w:cs="宋体"/>
          <w:sz w:val="24"/>
        </w:rPr>
        <w:t>营销整合及流量导入等领域存在一定不足</w:t>
      </w:r>
      <w:r>
        <w:rPr>
          <w:rFonts w:hint="eastAsia" w:ascii="宋体" w:hAnsi="宋体" w:eastAsia="宋体" w:cs="宋体"/>
          <w:sz w:val="10"/>
        </w:rPr>
        <w:t>，</w:t>
      </w:r>
      <w:r>
        <w:rPr>
          <w:rFonts w:hint="eastAsia" w:ascii="宋体" w:hAnsi="宋体" w:eastAsia="宋体" w:cs="宋体"/>
          <w:sz w:val="24"/>
        </w:rPr>
        <w:t>这些不足之处制约了券商业务互联网化的发展</w:t>
      </w:r>
      <w:r>
        <w:rPr>
          <w:rFonts w:hint="eastAsia" w:ascii="宋体" w:hAnsi="宋体" w:eastAsia="宋体" w:cs="宋体"/>
          <w:sz w:val="10"/>
        </w:rPr>
        <w:t>。</w:t>
      </w:r>
      <w:r>
        <w:rPr>
          <w:rFonts w:hint="eastAsia" w:ascii="宋体" w:hAnsi="宋体" w:eastAsia="宋体" w:cs="宋体"/>
          <w:sz w:val="24"/>
        </w:rPr>
        <w:t>证券公司的客户需要一种更为便捷</w:t>
      </w:r>
      <w:r>
        <w:rPr>
          <w:rFonts w:hint="eastAsia" w:ascii="宋体" w:hAnsi="宋体" w:eastAsia="宋体" w:cs="宋体"/>
          <w:sz w:val="10"/>
        </w:rPr>
        <w:t>、</w:t>
      </w:r>
      <w:r>
        <w:rPr>
          <w:rFonts w:hint="eastAsia" w:ascii="宋体" w:hAnsi="宋体" w:eastAsia="宋体" w:cs="宋体"/>
          <w:sz w:val="24"/>
        </w:rPr>
        <w:t>更加开放</w:t>
      </w:r>
      <w:r>
        <w:rPr>
          <w:rFonts w:hint="eastAsia" w:ascii="宋体" w:hAnsi="宋体" w:eastAsia="宋体" w:cs="宋体"/>
          <w:sz w:val="10"/>
        </w:rPr>
        <w:t>、</w:t>
      </w:r>
      <w:r>
        <w:rPr>
          <w:rFonts w:hint="eastAsia" w:ascii="宋体" w:hAnsi="宋体" w:eastAsia="宋体" w:cs="宋体"/>
          <w:sz w:val="24"/>
        </w:rPr>
        <w:t>功能更全面的金融产品</w:t>
      </w:r>
      <w:r>
        <w:rPr>
          <w:rFonts w:hint="eastAsia" w:ascii="宋体" w:hAnsi="宋体" w:eastAsia="宋体" w:cs="宋体"/>
          <w:sz w:val="10"/>
        </w:rPr>
        <w:t>，</w:t>
      </w:r>
      <w:r>
        <w:rPr>
          <w:rFonts w:hint="eastAsia" w:ascii="宋体" w:hAnsi="宋体" w:eastAsia="宋体" w:cs="宋体"/>
          <w:sz w:val="24"/>
        </w:rPr>
        <w:t>证券行业亟需</w:t>
      </w:r>
      <w:r>
        <w:rPr>
          <w:rFonts w:hint="eastAsia" w:ascii="宋体" w:hAnsi="宋体" w:eastAsia="宋体" w:cs="宋体"/>
          <w:sz w:val="10"/>
        </w:rPr>
        <w:t>一</w:t>
      </w:r>
      <w:r>
        <w:rPr>
          <w:rFonts w:hint="eastAsia" w:ascii="宋体" w:hAnsi="宋体" w:eastAsia="宋体" w:cs="宋体"/>
          <w:sz w:val="24"/>
        </w:rPr>
        <w:t>种新型的能够实现业务模式从线下到线上转型的运营支撑系统</w:t>
      </w:r>
      <w:r>
        <w:rPr>
          <w:rFonts w:hint="eastAsia" w:ascii="宋体" w:hAnsi="宋体" w:eastAsia="宋体" w:cs="宋体"/>
          <w:sz w:val="10"/>
        </w:rPr>
        <w:t>。</w:t>
      </w:r>
      <w:r>
        <w:rPr>
          <w:rFonts w:hint="eastAsia" w:ascii="宋体" w:hAnsi="宋体" w:eastAsia="宋体" w:cs="宋体"/>
          <w:sz w:val="24"/>
        </w:rPr>
        <w:t>上述需求将推动金融机构在</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领域增加投入</w:t>
      </w:r>
      <w:r>
        <w:rPr>
          <w:rFonts w:hint="eastAsia" w:ascii="宋体" w:hAnsi="宋体" w:eastAsia="宋体" w:cs="宋体"/>
          <w:sz w:val="10"/>
        </w:rPr>
        <w:t>，</w:t>
      </w:r>
      <w:r>
        <w:rPr>
          <w:rFonts w:hint="eastAsia" w:ascii="宋体" w:hAnsi="宋体" w:eastAsia="宋体" w:cs="宋体"/>
          <w:sz w:val="24"/>
        </w:rPr>
        <w:t>实现包括资本中介业务的基础体系改造</w:t>
      </w:r>
      <w:r>
        <w:rPr>
          <w:rFonts w:hint="eastAsia" w:ascii="宋体" w:hAnsi="宋体" w:eastAsia="宋体" w:cs="宋体"/>
          <w:sz w:val="10"/>
        </w:rPr>
        <w:t>、</w:t>
      </w:r>
      <w:r>
        <w:rPr>
          <w:rFonts w:hint="eastAsia" w:ascii="宋体" w:hAnsi="宋体" w:eastAsia="宋体" w:cs="宋体"/>
          <w:sz w:val="24"/>
        </w:rPr>
        <w:t>推动传统线下业务上线</w:t>
      </w:r>
      <w:r>
        <w:rPr>
          <w:rFonts w:hint="eastAsia" w:ascii="宋体" w:hAnsi="宋体" w:eastAsia="宋体" w:cs="宋体"/>
          <w:sz w:val="10"/>
        </w:rPr>
        <w:t>、</w:t>
      </w:r>
      <w:r>
        <w:rPr>
          <w:rFonts w:hint="eastAsia" w:ascii="宋体" w:hAnsi="宋体" w:eastAsia="宋体" w:cs="宋体"/>
          <w:sz w:val="24"/>
        </w:rPr>
        <w:t>提供线上投资顾问和标准化的互联网服务</w:t>
      </w:r>
      <w:r>
        <w:rPr>
          <w:rFonts w:hint="eastAsia" w:ascii="宋体" w:hAnsi="宋体" w:eastAsia="宋体" w:cs="宋体"/>
          <w:sz w:val="10"/>
        </w:rPr>
        <w:t>、</w:t>
      </w:r>
      <w:r>
        <w:rPr>
          <w:rFonts w:hint="eastAsia" w:ascii="宋体" w:hAnsi="宋体" w:eastAsia="宋体" w:cs="宋体"/>
          <w:sz w:val="24"/>
        </w:rPr>
        <w:t>推动在线投资理财等在内的多项业务升级与改造</w:t>
      </w:r>
      <w:r>
        <w:rPr>
          <w:rFonts w:hint="eastAsia" w:ascii="宋体" w:hAnsi="宋体" w:eastAsia="宋体" w:cs="宋体"/>
          <w:sz w:val="10"/>
        </w:rPr>
        <w:t>，</w:t>
      </w:r>
      <w:r>
        <w:rPr>
          <w:rFonts w:hint="eastAsia" w:ascii="宋体" w:hAnsi="宋体" w:eastAsia="宋体" w:cs="宋体"/>
          <w:sz w:val="24"/>
        </w:rPr>
        <w:t>为业务及风控保驾护航</w:t>
      </w:r>
      <w:r>
        <w:rPr>
          <w:rFonts w:hint="eastAsia" w:ascii="宋体" w:hAnsi="宋体" w:eastAsia="宋体" w:cs="宋体"/>
          <w:sz w:val="10"/>
        </w:rPr>
        <w:t>，</w:t>
      </w:r>
      <w:r>
        <w:rPr>
          <w:rFonts w:hint="eastAsia" w:ascii="宋体" w:hAnsi="宋体" w:eastAsia="宋体" w:cs="宋体"/>
          <w:sz w:val="24"/>
        </w:rPr>
        <w:t>实现业务转型</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（三）募集资金投资项目市场前景分析</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公司目前产品主要为金融及其他企业应用软件</w:t>
      </w:r>
      <w:r>
        <w:rPr>
          <w:rFonts w:hint="eastAsia" w:ascii="宋体" w:hAnsi="宋体" w:eastAsia="宋体" w:cs="宋体"/>
          <w:sz w:val="10"/>
        </w:rPr>
        <w:t>，</w:t>
      </w:r>
      <w:r>
        <w:rPr>
          <w:rFonts w:hint="eastAsia" w:ascii="宋体" w:hAnsi="宋体" w:eastAsia="宋体" w:cs="宋体"/>
          <w:sz w:val="24"/>
        </w:rPr>
        <w:t>可广泛应用于金融及其他企业的日常经营之中</w:t>
      </w:r>
      <w:r>
        <w:rPr>
          <w:rFonts w:hint="eastAsia" w:ascii="宋体" w:hAnsi="宋体" w:eastAsia="宋体" w:cs="宋体"/>
          <w:sz w:val="10"/>
        </w:rPr>
        <w:t>。</w:t>
      </w:r>
      <w:r>
        <w:rPr>
          <w:rFonts w:hint="eastAsia" w:ascii="宋体" w:hAnsi="宋体" w:eastAsia="宋体" w:cs="宋体"/>
          <w:sz w:val="24"/>
        </w:rPr>
        <w:t>在行业自身发展及互联网趋势突飞猛进的大环境带动下</w:t>
      </w:r>
      <w:r>
        <w:rPr>
          <w:rFonts w:hint="eastAsia" w:ascii="宋体" w:hAnsi="宋体" w:eastAsia="宋体" w:cs="宋体"/>
          <w:sz w:val="10"/>
        </w:rPr>
        <w:t>，</w:t>
      </w:r>
      <w:r>
        <w:rPr>
          <w:rFonts w:hint="eastAsia" w:ascii="宋体" w:hAnsi="宋体" w:eastAsia="宋体" w:cs="宋体"/>
          <w:sz w:val="24"/>
        </w:rPr>
        <w:t>应用软件市场需求也将保持较强的市场热度和旺盛的市场景气度</w:t>
      </w:r>
      <w:r>
        <w:rPr>
          <w:rFonts w:hint="eastAsia" w:ascii="宋体" w:hAnsi="宋体" w:eastAsia="宋体" w:cs="宋体"/>
          <w:sz w:val="10"/>
        </w:rPr>
        <w:t>，</w:t>
      </w:r>
      <w:r>
        <w:rPr>
          <w:rFonts w:hint="eastAsia" w:ascii="宋体" w:hAnsi="宋体" w:eastAsia="宋体" w:cs="宋体"/>
          <w:sz w:val="24"/>
        </w:rPr>
        <w:t>将会极大地带动下游应用企业的市场需求</w:t>
      </w:r>
      <w:r>
        <w:rPr>
          <w:rFonts w:hint="eastAsia" w:ascii="宋体" w:hAnsi="宋体" w:eastAsia="宋体" w:cs="宋体"/>
          <w:sz w:val="10"/>
        </w:rPr>
        <w:t>，</w:t>
      </w:r>
      <w:r>
        <w:rPr>
          <w:rFonts w:hint="eastAsia" w:ascii="宋体" w:hAnsi="宋体" w:eastAsia="宋体" w:cs="宋体"/>
          <w:sz w:val="24"/>
        </w:rPr>
        <w:t>为金融信息化产业的发展提供良好的发展空间</w:t>
      </w:r>
      <w:r>
        <w:rPr>
          <w:rFonts w:hint="eastAsia" w:ascii="宋体" w:hAnsi="宋体" w:eastAsia="宋体" w:cs="宋体"/>
          <w:sz w:val="10"/>
        </w:rPr>
        <w:t>。</w:t>
      </w:r>
      <w:r>
        <w:rPr>
          <w:rFonts w:hint="eastAsia" w:ascii="宋体" w:hAnsi="宋体" w:eastAsia="宋体" w:cs="宋体"/>
          <w:sz w:val="24"/>
        </w:rPr>
        <w:t>在</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以及金融信息化产业迅速发展的背景下</w:t>
      </w:r>
      <w:r>
        <w:rPr>
          <w:rFonts w:hint="eastAsia" w:ascii="宋体" w:hAnsi="宋体" w:eastAsia="宋体" w:cs="宋体"/>
          <w:sz w:val="10"/>
        </w:rPr>
        <w:t>，</w:t>
      </w:r>
      <w:r>
        <w:rPr>
          <w:rFonts w:hint="eastAsia" w:ascii="宋体" w:hAnsi="宋体" w:eastAsia="宋体" w:cs="宋体"/>
          <w:sz w:val="24"/>
        </w:rPr>
        <w:t>公司面临良好的发展机遇和广阔的市场前景</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（四）董事会对募集资金投资项目可行性的分析意见</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公司是一家国内领先的专业化平台型软件及信息化服务提供商</w:t>
      </w:r>
      <w:r>
        <w:rPr>
          <w:rFonts w:hint="eastAsia" w:ascii="宋体" w:hAnsi="宋体" w:eastAsia="宋体" w:cs="宋体"/>
          <w:sz w:val="10"/>
        </w:rPr>
        <w:t>，</w:t>
      </w:r>
      <w:r>
        <w:rPr>
          <w:rFonts w:hint="eastAsia" w:ascii="宋体" w:hAnsi="宋体" w:eastAsia="宋体" w:cs="宋体"/>
          <w:sz w:val="24"/>
        </w:rPr>
        <w:t>为金融及其他行业提供以业务流程管理（</w:t>
      </w:r>
      <w:r>
        <w:rPr>
          <w:rFonts w:hint="eastAsia" w:ascii="Times New Roman" w:hAnsi="Times New Roman" w:eastAsia="Times New Roman" w:cs="Times New Roman"/>
          <w:sz w:val="24"/>
        </w:rPr>
        <w:t>BPM</w:t>
      </w:r>
      <w:r>
        <w:rPr>
          <w:rFonts w:hint="eastAsia" w:ascii="宋体" w:hAnsi="宋体" w:eastAsia="宋体" w:cs="宋体"/>
          <w:sz w:val="24"/>
        </w:rPr>
        <w:t>）为核心</w:t>
      </w:r>
      <w:r>
        <w:rPr>
          <w:rFonts w:hint="eastAsia" w:ascii="宋体" w:hAnsi="宋体" w:eastAsia="宋体" w:cs="宋体"/>
          <w:sz w:val="10"/>
        </w:rPr>
        <w:t>、</w:t>
      </w:r>
      <w:r>
        <w:rPr>
          <w:rFonts w:hint="eastAsia" w:ascii="宋体" w:hAnsi="宋体" w:eastAsia="宋体" w:cs="宋体"/>
          <w:sz w:val="24"/>
        </w:rPr>
        <w:t>以</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应用为重点方向的信息化解决方案</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年末</w:t>
      </w:r>
      <w:r>
        <w:rPr>
          <w:rFonts w:hint="eastAsia" w:ascii="宋体" w:hAnsi="宋体" w:eastAsia="宋体" w:cs="宋体"/>
          <w:sz w:val="10"/>
        </w:rPr>
        <w:t>，</w:t>
      </w:r>
      <w:r>
        <w:rPr>
          <w:rFonts w:hint="eastAsia" w:ascii="宋体" w:hAnsi="宋体" w:eastAsia="宋体" w:cs="宋体"/>
          <w:sz w:val="24"/>
        </w:rPr>
        <w:t>公司主要产品应用于国内</w:t>
      </w:r>
      <w:r>
        <w:rPr>
          <w:rFonts w:hint="eastAsia" w:ascii="Times New Roman" w:hAnsi="Times New Roman" w:eastAsia="Times New Roman" w:cs="Times New Roman"/>
          <w:sz w:val="24"/>
        </w:rPr>
        <w:t xml:space="preserve"> 78</w:t>
      </w:r>
      <w:r>
        <w:rPr>
          <w:rFonts w:hint="eastAsia" w:ascii="宋体" w:hAnsi="宋体" w:eastAsia="宋体" w:cs="宋体"/>
          <w:sz w:val="24"/>
        </w:rPr>
        <w:t xml:space="preserve"> 家证券公司</w:t>
      </w:r>
      <w:r>
        <w:rPr>
          <w:rFonts w:hint="eastAsia" w:ascii="宋体" w:hAnsi="宋体" w:eastAsia="宋体" w:cs="宋体"/>
          <w:sz w:val="10"/>
        </w:rPr>
        <w:t>，</w:t>
      </w:r>
      <w:r>
        <w:rPr>
          <w:rFonts w:hint="eastAsia" w:ascii="宋体" w:hAnsi="宋体" w:eastAsia="宋体" w:cs="宋体"/>
          <w:sz w:val="24"/>
        </w:rPr>
        <w:t>用户数量占证券公司总家数的</w:t>
      </w:r>
      <w:r>
        <w:rPr>
          <w:rFonts w:hint="eastAsia" w:ascii="Times New Roman" w:hAnsi="Times New Roman" w:eastAsia="Times New Roman" w:cs="Times New Roman"/>
          <w:sz w:val="24"/>
        </w:rPr>
        <w:t xml:space="preserve"> 60.47%</w:t>
      </w:r>
      <w:r>
        <w:rPr>
          <w:rFonts w:hint="eastAsia" w:ascii="宋体" w:hAnsi="宋体" w:eastAsia="宋体" w:cs="宋体"/>
          <w:sz w:val="10"/>
        </w:rPr>
        <w:t>。</w:t>
      </w:r>
      <w:r>
        <w:rPr>
          <w:rFonts w:hint="eastAsia" w:ascii="宋体" w:hAnsi="宋体" w:eastAsia="宋体" w:cs="宋体"/>
          <w:sz w:val="24"/>
        </w:rPr>
        <w:t>其中</w:t>
      </w:r>
      <w:r>
        <w:rPr>
          <w:rFonts w:hint="eastAsia" w:ascii="宋体" w:hAnsi="宋体" w:eastAsia="宋体" w:cs="宋体"/>
          <w:sz w:val="10"/>
        </w:rPr>
        <w:t>，</w:t>
      </w:r>
      <w:r>
        <w:rPr>
          <w:rFonts w:hint="eastAsia" w:ascii="宋体" w:hAnsi="宋体" w:eastAsia="宋体" w:cs="宋体"/>
          <w:sz w:val="24"/>
        </w:rPr>
        <w:t>公司的营销服务流程管理系统应用于国内</w:t>
      </w:r>
      <w:r>
        <w:rPr>
          <w:rFonts w:hint="eastAsia" w:ascii="Times New Roman" w:hAnsi="Times New Roman" w:eastAsia="Times New Roman" w:cs="Times New Roman"/>
          <w:sz w:val="24"/>
        </w:rPr>
        <w:t xml:space="preserve"> 71</w:t>
      </w:r>
      <w:r>
        <w:rPr>
          <w:rFonts w:hint="eastAsia" w:ascii="宋体" w:hAnsi="宋体" w:eastAsia="宋体" w:cs="宋体"/>
          <w:sz w:val="24"/>
        </w:rPr>
        <w:t xml:space="preserve"> 家证券公司</w:t>
      </w:r>
      <w:r>
        <w:rPr>
          <w:rFonts w:hint="eastAsia" w:ascii="宋体" w:hAnsi="宋体" w:eastAsia="宋体" w:cs="宋体"/>
          <w:sz w:val="12"/>
        </w:rPr>
        <w:t>；</w:t>
      </w:r>
      <w:r>
        <w:rPr>
          <w:rFonts w:hint="eastAsia" w:ascii="宋体" w:hAnsi="宋体" w:eastAsia="宋体" w:cs="宋体"/>
          <w:sz w:val="24"/>
        </w:rPr>
        <w:t>公司的基础运营支持系统应用于国内</w:t>
      </w:r>
      <w:r>
        <w:rPr>
          <w:rFonts w:hint="eastAsia" w:ascii="Times New Roman" w:hAnsi="Times New Roman" w:eastAsia="Times New Roman" w:cs="Times New Roman"/>
          <w:sz w:val="24"/>
        </w:rPr>
        <w:t xml:space="preserve"> 38</w:t>
      </w:r>
      <w:r>
        <w:rPr>
          <w:rFonts w:hint="eastAsia" w:ascii="宋体" w:hAnsi="宋体" w:eastAsia="宋体" w:cs="宋体"/>
          <w:sz w:val="24"/>
        </w:rPr>
        <w:t xml:space="preserve"> 家证券公司</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公司自主开发了功能强大的灵动业务架构平台（</w:t>
      </w:r>
      <w:r>
        <w:rPr>
          <w:rFonts w:hint="eastAsia" w:ascii="Times New Roman" w:hAnsi="Times New Roman" w:eastAsia="Times New Roman" w:cs="Times New Roman"/>
          <w:sz w:val="24"/>
        </w:rPr>
        <w:t>LiveBOS</w:t>
      </w:r>
      <w:r>
        <w:rPr>
          <w:rFonts w:hint="eastAsia" w:ascii="宋体" w:hAnsi="宋体" w:eastAsia="宋体" w:cs="宋体"/>
          <w:sz w:val="24"/>
        </w:rPr>
        <w:t>），</w:t>
      </w:r>
      <w:r>
        <w:rPr>
          <w:rFonts w:hint="eastAsia" w:ascii="宋体" w:hAnsi="宋体" w:eastAsia="宋体" w:cs="宋体"/>
          <w:sz w:val="24"/>
        </w:rPr>
        <w:t>其给软件开发带来的敏捷性</w:t>
      </w:r>
      <w:r>
        <w:rPr>
          <w:rFonts w:hint="eastAsia" w:ascii="宋体" w:hAnsi="宋体" w:eastAsia="宋体" w:cs="宋体"/>
          <w:sz w:val="10"/>
        </w:rPr>
        <w:t>、</w:t>
      </w:r>
      <w:r>
        <w:rPr>
          <w:rFonts w:hint="eastAsia" w:ascii="宋体" w:hAnsi="宋体" w:eastAsia="宋体" w:cs="宋体"/>
          <w:sz w:val="24"/>
        </w:rPr>
        <w:t>高效性以及跨行业的适用性</w:t>
      </w:r>
      <w:r>
        <w:rPr>
          <w:rFonts w:hint="eastAsia" w:ascii="宋体" w:hAnsi="宋体" w:eastAsia="宋体" w:cs="宋体"/>
          <w:sz w:val="10"/>
        </w:rPr>
        <w:t>，</w:t>
      </w:r>
      <w:r>
        <w:rPr>
          <w:rFonts w:hint="eastAsia" w:ascii="宋体" w:hAnsi="宋体" w:eastAsia="宋体" w:cs="宋体"/>
          <w:sz w:val="24"/>
        </w:rPr>
        <w:t>使公司的应用产品开发模式</w:t>
      </w:r>
      <w:r>
        <w:rPr>
          <w:rFonts w:hint="eastAsia" w:ascii="宋体" w:hAnsi="宋体" w:eastAsia="宋体" w:cs="宋体"/>
          <w:sz w:val="10"/>
        </w:rPr>
        <w:t>、</w:t>
      </w:r>
      <w:r>
        <w:rPr>
          <w:rFonts w:hint="eastAsia" w:ascii="宋体" w:hAnsi="宋体" w:eastAsia="宋体" w:cs="宋体"/>
          <w:sz w:val="24"/>
        </w:rPr>
        <w:t>技术研究及新产品开发模式</w:t>
      </w:r>
      <w:r>
        <w:rPr>
          <w:rFonts w:hint="eastAsia" w:ascii="宋体" w:hAnsi="宋体" w:eastAsia="宋体" w:cs="宋体"/>
          <w:sz w:val="10"/>
        </w:rPr>
        <w:t>、</w:t>
      </w:r>
      <w:r>
        <w:rPr>
          <w:rFonts w:hint="eastAsia" w:ascii="宋体" w:hAnsi="宋体" w:eastAsia="宋体" w:cs="宋体"/>
          <w:sz w:val="24"/>
        </w:rPr>
        <w:t>市场拓展模式</w:t>
      </w:r>
      <w:r>
        <w:rPr>
          <w:rFonts w:hint="eastAsia" w:ascii="宋体" w:hAnsi="宋体" w:eastAsia="宋体" w:cs="宋体"/>
          <w:sz w:val="10"/>
        </w:rPr>
        <w:t>、</w:t>
      </w:r>
      <w:r>
        <w:rPr>
          <w:rFonts w:hint="eastAsia" w:ascii="宋体" w:hAnsi="宋体" w:eastAsia="宋体" w:cs="宋体"/>
          <w:sz w:val="24"/>
        </w:rPr>
        <w:t>人才组织和培养模式等发生了深刻的变革</w:t>
      </w:r>
      <w:r>
        <w:rPr>
          <w:rFonts w:hint="eastAsia" w:ascii="宋体" w:hAnsi="宋体" w:eastAsia="宋体" w:cs="宋体"/>
          <w:sz w:val="10"/>
        </w:rPr>
        <w:t>，</w:t>
      </w:r>
      <w:r>
        <w:rPr>
          <w:rFonts w:hint="eastAsia" w:ascii="宋体" w:hAnsi="宋体" w:eastAsia="宋体" w:cs="宋体"/>
          <w:sz w:val="24"/>
        </w:rPr>
        <w:t>成长为跨行业</w:t>
      </w:r>
      <w:r>
        <w:rPr>
          <w:rFonts w:hint="eastAsia" w:ascii="宋体" w:hAnsi="宋体" w:eastAsia="宋体" w:cs="宋体"/>
          <w:sz w:val="10"/>
        </w:rPr>
        <w:t>“</w:t>
      </w:r>
      <w:r>
        <w:rPr>
          <w:rFonts w:hint="eastAsia" w:ascii="宋体" w:hAnsi="宋体" w:eastAsia="宋体" w:cs="宋体"/>
          <w:sz w:val="24"/>
        </w:rPr>
        <w:t>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1-1-310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础平台＋应用方案</w:t>
      </w:r>
      <w:r>
        <w:rPr>
          <w:rFonts w:hint="eastAsia" w:ascii="宋体" w:hAnsi="宋体" w:eastAsia="宋体" w:cs="宋体"/>
          <w:sz w:val="10"/>
        </w:rPr>
        <w:t>”</w:t>
      </w:r>
      <w:r>
        <w:rPr>
          <w:rFonts w:hint="eastAsia" w:ascii="宋体" w:hAnsi="宋体" w:eastAsia="宋体" w:cs="宋体"/>
          <w:sz w:val="24"/>
        </w:rPr>
        <w:t>的综合解决方案提供商</w:t>
      </w:r>
      <w:r>
        <w:rPr>
          <w:rFonts w:hint="eastAsia" w:ascii="宋体" w:hAnsi="宋体" w:eastAsia="宋体" w:cs="宋体"/>
          <w:sz w:val="10"/>
        </w:rPr>
        <w:t>。</w:t>
      </w:r>
      <w:r>
        <w:rPr>
          <w:rFonts w:hint="eastAsia" w:ascii="宋体" w:hAnsi="宋体" w:eastAsia="宋体" w:cs="宋体"/>
          <w:sz w:val="24"/>
        </w:rPr>
        <w:t>公司在金融行业营销服务流程管理系统领域具有明显优势</w:t>
      </w:r>
      <w:r>
        <w:rPr>
          <w:rFonts w:hint="eastAsia" w:ascii="宋体" w:hAnsi="宋体" w:eastAsia="宋体" w:cs="宋体"/>
          <w:sz w:val="10"/>
        </w:rPr>
        <w:t>，</w:t>
      </w:r>
      <w:r>
        <w:rPr>
          <w:rFonts w:hint="eastAsia" w:ascii="宋体" w:hAnsi="宋体" w:eastAsia="宋体" w:cs="宋体"/>
          <w:sz w:val="24"/>
        </w:rPr>
        <w:t>形成了以</w:t>
      </w:r>
      <w:r>
        <w:rPr>
          <w:rFonts w:hint="eastAsia" w:ascii="宋体" w:hAnsi="宋体" w:eastAsia="宋体" w:cs="宋体"/>
          <w:sz w:val="10"/>
        </w:rPr>
        <w:t>“</w:t>
      </w:r>
      <w:r>
        <w:rPr>
          <w:rFonts w:hint="eastAsia" w:ascii="宋体" w:hAnsi="宋体" w:eastAsia="宋体" w:cs="宋体"/>
          <w:sz w:val="24"/>
        </w:rPr>
        <w:t>管理咨询</w:t>
      </w:r>
      <w:r>
        <w:rPr>
          <w:rFonts w:hint="eastAsia" w:ascii="Times New Roman" w:hAnsi="Times New Roman" w:eastAsia="Times New Roman" w:cs="Times New Roman"/>
          <w:sz w:val="24"/>
        </w:rPr>
        <w:t>+IT</w:t>
      </w:r>
      <w:r>
        <w:rPr>
          <w:rFonts w:hint="eastAsia" w:ascii="宋体" w:hAnsi="宋体" w:eastAsia="宋体" w:cs="宋体"/>
          <w:sz w:val="24"/>
        </w:rPr>
        <w:t xml:space="preserve"> 服务</w:t>
      </w:r>
      <w:r>
        <w:rPr>
          <w:rFonts w:hint="eastAsia" w:ascii="宋体" w:hAnsi="宋体" w:eastAsia="宋体" w:cs="宋体"/>
          <w:sz w:val="10"/>
        </w:rPr>
        <w:t>”</w:t>
      </w:r>
      <w:r>
        <w:rPr>
          <w:rFonts w:hint="eastAsia" w:ascii="宋体" w:hAnsi="宋体" w:eastAsia="宋体" w:cs="宋体"/>
          <w:sz w:val="24"/>
        </w:rPr>
        <w:t>模式服务客户的初步基础</w:t>
      </w:r>
      <w:r>
        <w:rPr>
          <w:rFonts w:hint="eastAsia" w:ascii="宋体" w:hAnsi="宋体" w:eastAsia="宋体" w:cs="宋体"/>
          <w:sz w:val="12"/>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在报告期内</w:t>
      </w:r>
      <w:r>
        <w:rPr>
          <w:rFonts w:hint="eastAsia" w:ascii="宋体" w:hAnsi="宋体" w:eastAsia="宋体" w:cs="宋体"/>
          <w:sz w:val="10"/>
        </w:rPr>
        <w:t>，</w:t>
      </w:r>
      <w:r>
        <w:rPr>
          <w:rFonts w:hint="eastAsia" w:ascii="宋体" w:hAnsi="宋体" w:eastAsia="宋体" w:cs="宋体"/>
          <w:sz w:val="24"/>
        </w:rPr>
        <w:t>公司在非金融行业的业务也取得了较好的进展</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公司拥有稳定且具有行业经验的研发团队</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公司技术及研发人员共计</w:t>
      </w:r>
      <w:r>
        <w:rPr>
          <w:rFonts w:hint="eastAsia" w:ascii="Times New Roman" w:hAnsi="Times New Roman" w:eastAsia="Times New Roman" w:cs="Times New Roman"/>
          <w:sz w:val="24"/>
        </w:rPr>
        <w:t xml:space="preserve"> 554</w:t>
      </w:r>
      <w:r>
        <w:rPr>
          <w:rFonts w:hint="eastAsia" w:ascii="宋体" w:hAnsi="宋体" w:eastAsia="宋体" w:cs="宋体"/>
          <w:sz w:val="24"/>
        </w:rPr>
        <w:t xml:space="preserve"> 人</w:t>
      </w:r>
      <w:r>
        <w:rPr>
          <w:rFonts w:hint="eastAsia" w:ascii="宋体" w:hAnsi="宋体" w:eastAsia="宋体" w:cs="宋体"/>
          <w:sz w:val="10"/>
        </w:rPr>
        <w:t>，</w:t>
      </w:r>
      <w:r>
        <w:rPr>
          <w:rFonts w:hint="eastAsia" w:ascii="宋体" w:hAnsi="宋体" w:eastAsia="宋体" w:cs="宋体"/>
          <w:sz w:val="24"/>
        </w:rPr>
        <w:t>占员工总人数的</w:t>
      </w:r>
      <w:r>
        <w:rPr>
          <w:rFonts w:hint="eastAsia" w:ascii="Times New Roman" w:hAnsi="Times New Roman" w:eastAsia="Times New Roman" w:cs="Times New Roman"/>
          <w:sz w:val="24"/>
        </w:rPr>
        <w:t xml:space="preserve"> 79.26%</w:t>
      </w:r>
      <w:r>
        <w:rPr>
          <w:rFonts w:hint="eastAsia" w:ascii="宋体" w:hAnsi="宋体" w:eastAsia="宋体" w:cs="宋体"/>
          <w:sz w:val="10"/>
        </w:rPr>
        <w:t>。</w:t>
      </w:r>
      <w:r>
        <w:rPr>
          <w:rFonts w:hint="eastAsia" w:ascii="宋体" w:hAnsi="宋体" w:eastAsia="宋体" w:cs="宋体"/>
          <w:sz w:val="24"/>
        </w:rPr>
        <w:t>公司的主要平台及产品荣获多项奖励及荣誉</w:t>
      </w:r>
      <w:r>
        <w:rPr>
          <w:rFonts w:hint="eastAsia" w:ascii="宋体" w:hAnsi="宋体" w:eastAsia="宋体" w:cs="宋体"/>
          <w:sz w:val="10"/>
        </w:rPr>
        <w:t>，</w:t>
      </w:r>
      <w:r>
        <w:rPr>
          <w:rFonts w:hint="eastAsia" w:ascii="宋体" w:hAnsi="宋体" w:eastAsia="宋体" w:cs="宋体"/>
          <w:sz w:val="24"/>
        </w:rPr>
        <w:t>并且获得了业内客户的认可</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40" w:firstLine="480"/>
        <w:jc w:val="both"/>
      </w:pPr>
      <w:r>
        <w:rPr>
          <w:rFonts w:hint="eastAsia" w:ascii="宋体" w:hAnsi="宋体" w:eastAsia="宋体" w:cs="宋体"/>
          <w:sz w:val="24"/>
        </w:rPr>
        <w:t>公司未来将实施平台扩张战略</w:t>
      </w:r>
      <w:r>
        <w:rPr>
          <w:rFonts w:hint="eastAsia" w:ascii="宋体" w:hAnsi="宋体" w:eastAsia="宋体" w:cs="宋体"/>
          <w:sz w:val="10"/>
        </w:rPr>
        <w:t>，</w:t>
      </w:r>
      <w:r>
        <w:rPr>
          <w:rFonts w:hint="eastAsia" w:ascii="宋体" w:hAnsi="宋体" w:eastAsia="宋体" w:cs="宋体"/>
          <w:sz w:val="24"/>
        </w:rPr>
        <w:t>将公司的业务重点聚焦于证券</w:t>
      </w:r>
      <w:r>
        <w:rPr>
          <w:rFonts w:hint="eastAsia" w:ascii="宋体" w:hAnsi="宋体" w:eastAsia="宋体" w:cs="宋体"/>
          <w:sz w:val="10"/>
        </w:rPr>
        <w:t>、</w:t>
      </w:r>
      <w:r>
        <w:rPr>
          <w:rFonts w:hint="eastAsia" w:ascii="宋体" w:hAnsi="宋体" w:eastAsia="宋体" w:cs="宋体"/>
          <w:sz w:val="24"/>
        </w:rPr>
        <w:t>期货</w:t>
      </w:r>
      <w:r>
        <w:rPr>
          <w:rFonts w:hint="eastAsia" w:ascii="宋体" w:hAnsi="宋体" w:eastAsia="宋体" w:cs="宋体"/>
          <w:sz w:val="10"/>
        </w:rPr>
        <w:t>、</w:t>
      </w:r>
      <w:r>
        <w:rPr>
          <w:rFonts w:hint="eastAsia" w:ascii="宋体" w:hAnsi="宋体" w:eastAsia="宋体" w:cs="宋体"/>
          <w:sz w:val="24"/>
        </w:rPr>
        <w:t>信托</w:t>
      </w:r>
      <w:r>
        <w:rPr>
          <w:rFonts w:hint="eastAsia" w:ascii="宋体" w:hAnsi="宋体" w:eastAsia="宋体" w:cs="宋体"/>
          <w:sz w:val="10"/>
        </w:rPr>
        <w:t>、</w:t>
      </w:r>
      <w:r>
        <w:rPr>
          <w:rFonts w:hint="eastAsia" w:ascii="宋体" w:hAnsi="宋体" w:eastAsia="宋体" w:cs="宋体"/>
          <w:sz w:val="24"/>
        </w:rPr>
        <w:t>中小银行和电子交易市场为主的大金融</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行业</w:t>
      </w:r>
      <w:r>
        <w:rPr>
          <w:rFonts w:hint="eastAsia" w:ascii="宋体" w:hAnsi="宋体" w:eastAsia="宋体" w:cs="宋体"/>
          <w:sz w:val="10"/>
        </w:rPr>
        <w:t>，</w:t>
      </w:r>
      <w:r>
        <w:rPr>
          <w:rFonts w:hint="eastAsia" w:ascii="宋体" w:hAnsi="宋体" w:eastAsia="宋体" w:cs="宋体"/>
          <w:sz w:val="24"/>
        </w:rPr>
        <w:t>同时兼顾发展企业与教育行业</w:t>
      </w:r>
      <w:r>
        <w:rPr>
          <w:rFonts w:hint="eastAsia" w:ascii="宋体" w:hAnsi="宋体" w:eastAsia="宋体" w:cs="宋体"/>
          <w:sz w:val="10"/>
        </w:rPr>
        <w:t>，</w:t>
      </w:r>
      <w:r>
        <w:rPr>
          <w:rFonts w:hint="eastAsia" w:ascii="宋体" w:hAnsi="宋体" w:eastAsia="宋体" w:cs="宋体"/>
          <w:sz w:val="24"/>
        </w:rPr>
        <w:t>努力成为这些客户</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战略的全面</w:t>
      </w:r>
      <w:r>
        <w:rPr>
          <w:rFonts w:hint="eastAsia" w:ascii="Times New Roman" w:hAnsi="Times New Roman" w:eastAsia="Times New Roman" w:cs="Times New Roman"/>
          <w:sz w:val="24"/>
        </w:rPr>
        <w:t xml:space="preserve"> IT</w:t>
      </w:r>
      <w:r>
        <w:rPr>
          <w:rFonts w:hint="eastAsia" w:ascii="宋体" w:hAnsi="宋体" w:eastAsia="宋体" w:cs="宋体"/>
          <w:sz w:val="24"/>
        </w:rPr>
        <w:t xml:space="preserve"> 解决方案提供商</w:t>
      </w:r>
      <w:r>
        <w:rPr>
          <w:rFonts w:hint="eastAsia" w:ascii="宋体" w:hAnsi="宋体" w:eastAsia="宋体" w:cs="宋体"/>
          <w:sz w:val="10"/>
        </w:rPr>
        <w:t>。</w:t>
      </w:r>
      <w:r>
        <w:rPr>
          <w:rFonts w:hint="eastAsia" w:ascii="宋体" w:hAnsi="宋体" w:eastAsia="宋体" w:cs="宋体"/>
          <w:sz w:val="24"/>
        </w:rPr>
        <w:t>同时</w:t>
      </w:r>
      <w:r>
        <w:rPr>
          <w:rFonts w:hint="eastAsia" w:ascii="宋体" w:hAnsi="宋体" w:eastAsia="宋体" w:cs="宋体"/>
          <w:sz w:val="10"/>
        </w:rPr>
        <w:t>，</w:t>
      </w:r>
      <w:r>
        <w:rPr>
          <w:rFonts w:hint="eastAsia" w:ascii="宋体" w:hAnsi="宋体" w:eastAsia="宋体" w:cs="宋体"/>
          <w:sz w:val="24"/>
        </w:rPr>
        <w:t>积极探索以云计算为基础</w:t>
      </w:r>
      <w:r>
        <w:rPr>
          <w:rFonts w:hint="eastAsia" w:ascii="宋体" w:hAnsi="宋体" w:eastAsia="宋体" w:cs="宋体"/>
          <w:sz w:val="10"/>
        </w:rPr>
        <w:t>，</w:t>
      </w:r>
      <w:r>
        <w:rPr>
          <w:rFonts w:hint="eastAsia" w:ascii="宋体" w:hAnsi="宋体" w:eastAsia="宋体" w:cs="宋体"/>
          <w:sz w:val="24"/>
        </w:rPr>
        <w:t>建立面向行业的平台型</w:t>
      </w:r>
      <w:r>
        <w:rPr>
          <w:rFonts w:hint="eastAsia" w:ascii="宋体" w:hAnsi="宋体" w:eastAsia="宋体" w:cs="宋体"/>
          <w:sz w:val="10"/>
        </w:rPr>
        <w:t>“</w:t>
      </w:r>
      <w:r>
        <w:rPr>
          <w:rFonts w:hint="eastAsia" w:ascii="宋体" w:hAnsi="宋体" w:eastAsia="宋体" w:cs="宋体"/>
          <w:sz w:val="24"/>
        </w:rPr>
        <w:t>互联网</w:t>
      </w:r>
      <w:r>
        <w:rPr>
          <w:rFonts w:hint="eastAsia" w:ascii="Times New Roman" w:hAnsi="Times New Roman" w:eastAsia="Times New Roman" w:cs="Times New Roman"/>
          <w:sz w:val="24"/>
        </w:rPr>
        <w:t>+</w:t>
      </w:r>
      <w:r>
        <w:rPr>
          <w:rFonts w:hint="eastAsia" w:ascii="宋体" w:hAnsi="宋体" w:eastAsia="宋体" w:cs="宋体"/>
          <w:sz w:val="10"/>
        </w:rPr>
        <w:t>”</w:t>
      </w:r>
      <w:r>
        <w:rPr>
          <w:rFonts w:hint="eastAsia" w:ascii="宋体" w:hAnsi="宋体" w:eastAsia="宋体" w:cs="宋体"/>
          <w:sz w:val="24"/>
        </w:rPr>
        <w:t>系统</w:t>
      </w:r>
      <w:r>
        <w:rPr>
          <w:rFonts w:hint="eastAsia" w:ascii="宋体" w:hAnsi="宋体" w:eastAsia="宋体" w:cs="宋体"/>
          <w:sz w:val="10"/>
        </w:rPr>
        <w:t>，</w:t>
      </w:r>
      <w:r>
        <w:rPr>
          <w:rFonts w:hint="eastAsia" w:ascii="宋体" w:hAnsi="宋体" w:eastAsia="宋体" w:cs="宋体"/>
          <w:sz w:val="24"/>
        </w:rPr>
        <w:t>巩固并提升公司的行业影响力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公司董事会认为</w:t>
      </w:r>
      <w:r>
        <w:rPr>
          <w:rFonts w:hint="eastAsia" w:ascii="宋体" w:hAnsi="宋体" w:eastAsia="宋体" w:cs="宋体"/>
          <w:sz w:val="10"/>
        </w:rPr>
        <w:t>，</w:t>
      </w:r>
      <w:r>
        <w:rPr>
          <w:rFonts w:hint="eastAsia" w:ascii="宋体" w:hAnsi="宋体" w:eastAsia="宋体" w:cs="宋体"/>
          <w:sz w:val="24"/>
        </w:rPr>
        <w:t>本次发行募集资金投资项目围绕主营业务开展</w:t>
      </w:r>
      <w:r>
        <w:rPr>
          <w:rFonts w:hint="eastAsia" w:ascii="宋体" w:hAnsi="宋体" w:eastAsia="宋体" w:cs="宋体"/>
          <w:sz w:val="10"/>
        </w:rPr>
        <w:t>，</w:t>
      </w:r>
      <w:r>
        <w:rPr>
          <w:rFonts w:hint="eastAsia" w:ascii="宋体" w:hAnsi="宋体" w:eastAsia="宋体" w:cs="宋体"/>
          <w:sz w:val="24"/>
        </w:rPr>
        <w:t>与公司现有经营规模</w:t>
      </w:r>
      <w:r>
        <w:rPr>
          <w:rFonts w:hint="eastAsia" w:ascii="宋体" w:hAnsi="宋体" w:eastAsia="宋体" w:cs="宋体"/>
          <w:sz w:val="10"/>
        </w:rPr>
        <w:t>、</w:t>
      </w:r>
      <w:r>
        <w:rPr>
          <w:rFonts w:hint="eastAsia" w:ascii="宋体" w:hAnsi="宋体" w:eastAsia="宋体" w:cs="宋体"/>
          <w:sz w:val="24"/>
        </w:rPr>
        <w:t>财务状况</w:t>
      </w:r>
      <w:r>
        <w:rPr>
          <w:rFonts w:hint="eastAsia" w:ascii="宋体" w:hAnsi="宋体" w:eastAsia="宋体" w:cs="宋体"/>
          <w:sz w:val="10"/>
        </w:rPr>
        <w:t>、</w:t>
      </w:r>
      <w:r>
        <w:rPr>
          <w:rFonts w:hint="eastAsia" w:ascii="宋体" w:hAnsi="宋体" w:eastAsia="宋体" w:cs="宋体"/>
          <w:sz w:val="24"/>
        </w:rPr>
        <w:t>技术水平和管理能力等相适应</w:t>
      </w:r>
      <w:r>
        <w:rPr>
          <w:rFonts w:hint="eastAsia" w:ascii="宋体" w:hAnsi="宋体" w:eastAsia="宋体" w:cs="宋体"/>
          <w:sz w:val="10"/>
        </w:rPr>
        <w:t>。</w:t>
      </w:r>
      <w:r>
        <w:rPr>
          <w:rFonts w:hint="eastAsia" w:ascii="宋体" w:hAnsi="宋体" w:eastAsia="宋体" w:cs="宋体"/>
          <w:sz w:val="24"/>
        </w:rPr>
        <w:t>项目具有较好的市场前景和盈利能力</w:t>
      </w:r>
      <w:r>
        <w:rPr>
          <w:rFonts w:hint="eastAsia" w:ascii="宋体" w:hAnsi="宋体" w:eastAsia="宋体" w:cs="宋体"/>
          <w:sz w:val="10"/>
        </w:rPr>
        <w:t>，</w:t>
      </w:r>
      <w:r>
        <w:rPr>
          <w:rFonts w:hint="eastAsia" w:ascii="宋体" w:hAnsi="宋体" w:eastAsia="宋体" w:cs="宋体"/>
          <w:sz w:val="24"/>
        </w:rPr>
        <w:t>项目完成后将给公司带来良好效益</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募集资金投资项目具体情况</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基于新一代</w:t>
      </w:r>
      <w:r>
        <w:rPr>
          <w:rFonts w:hint="eastAsia" w:ascii="Times New Roman Bold" w:hAnsi="Times New Roman Bold" w:eastAsia="Times New Roman Bold" w:cs="Times New Roman Bold"/>
          <w:b/>
          <w:sz w:val="24"/>
        </w:rPr>
        <w:t xml:space="preserve"> LiveBOS</w:t>
      </w:r>
      <w:r>
        <w:rPr>
          <w:rFonts w:hint="eastAsia" w:ascii="宋体" w:hAnsi="宋体" w:eastAsia="宋体" w:cs="宋体"/>
          <w:b/>
          <w:sz w:val="24"/>
        </w:rPr>
        <w:t xml:space="preserve"> 的平台及产品升级项目</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项目简况</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公司拟用部分募集资金投资于基于新</w:t>
      </w:r>
      <w:r>
        <w:rPr>
          <w:rFonts w:hint="eastAsia" w:ascii="宋体" w:hAnsi="宋体" w:eastAsia="宋体" w:cs="宋体"/>
          <w:sz w:val="10"/>
        </w:rPr>
        <w:t>一</w:t>
      </w:r>
      <w:r>
        <w:rPr>
          <w:rFonts w:hint="eastAsia" w:ascii="宋体" w:hAnsi="宋体" w:eastAsia="宋体" w:cs="宋体"/>
          <w:sz w:val="24"/>
        </w:rPr>
        <w:t>代</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的平台及产品升级项目</w:t>
      </w:r>
      <w:r>
        <w:rPr>
          <w:rFonts w:hint="eastAsia" w:ascii="宋体" w:hAnsi="宋体" w:eastAsia="宋体" w:cs="宋体"/>
          <w:sz w:val="10"/>
        </w:rPr>
        <w:t>，</w:t>
      </w:r>
      <w:r>
        <w:rPr>
          <w:rFonts w:hint="eastAsia" w:ascii="宋体" w:hAnsi="宋体" w:eastAsia="宋体" w:cs="宋体"/>
          <w:sz w:val="24"/>
        </w:rPr>
        <w:t>在福州购置的房产中规划出</w:t>
      </w:r>
      <w:r>
        <w:rPr>
          <w:rFonts w:hint="eastAsia" w:ascii="Times New Roman" w:hAnsi="Times New Roman" w:eastAsia="Times New Roman" w:cs="Times New Roman"/>
          <w:sz w:val="24"/>
        </w:rPr>
        <w:t xml:space="preserve"> 408</w:t>
      </w:r>
      <w:r>
        <w:rPr>
          <w:rFonts w:hint="eastAsia" w:ascii="宋体" w:hAnsi="宋体" w:eastAsia="宋体" w:cs="宋体"/>
          <w:sz w:val="24"/>
        </w:rPr>
        <w:t xml:space="preserve"> 平米用于本项目办公场地</w:t>
      </w:r>
      <w:r>
        <w:rPr>
          <w:rFonts w:hint="eastAsia" w:ascii="宋体" w:hAnsi="宋体" w:eastAsia="宋体" w:cs="宋体"/>
          <w:sz w:val="10"/>
        </w:rPr>
        <w:t>。</w:t>
      </w:r>
      <w:r>
        <w:rPr>
          <w:rFonts w:hint="eastAsia" w:ascii="宋体" w:hAnsi="宋体" w:eastAsia="宋体" w:cs="宋体"/>
          <w:sz w:val="24"/>
        </w:rPr>
        <w:t>项目内容包括所需的软件</w:t>
      </w:r>
      <w:r>
        <w:rPr>
          <w:rFonts w:hint="eastAsia" w:ascii="宋体" w:hAnsi="宋体" w:eastAsia="宋体" w:cs="宋体"/>
          <w:sz w:val="10"/>
        </w:rPr>
        <w:t>、</w:t>
      </w:r>
      <w:r>
        <w:rPr>
          <w:rFonts w:hint="eastAsia" w:ascii="宋体" w:hAnsi="宋体" w:eastAsia="宋体" w:cs="宋体"/>
          <w:sz w:val="24"/>
        </w:rPr>
        <w:t>硬件</w:t>
      </w:r>
      <w:r>
        <w:rPr>
          <w:rFonts w:hint="eastAsia" w:ascii="宋体" w:hAnsi="宋体" w:eastAsia="宋体" w:cs="宋体"/>
          <w:sz w:val="10"/>
        </w:rPr>
        <w:t>、</w:t>
      </w:r>
      <w:r>
        <w:rPr>
          <w:rFonts w:hint="eastAsia" w:ascii="宋体" w:hAnsi="宋体" w:eastAsia="宋体" w:cs="宋体"/>
          <w:sz w:val="24"/>
        </w:rPr>
        <w:t>人员的投入</w:t>
      </w:r>
      <w:r>
        <w:rPr>
          <w:rFonts w:hint="eastAsia" w:ascii="宋体" w:hAnsi="宋体" w:eastAsia="宋体" w:cs="宋体"/>
          <w:sz w:val="10"/>
        </w:rPr>
        <w:t>，</w:t>
      </w:r>
      <w:r>
        <w:rPr>
          <w:rFonts w:hint="eastAsia" w:ascii="宋体" w:hAnsi="宋体" w:eastAsia="宋体" w:cs="宋体"/>
          <w:sz w:val="24"/>
        </w:rPr>
        <w:t>未来相关发展趋势的研究以及研发业务架构开发平台</w:t>
      </w:r>
      <w:r>
        <w:rPr>
          <w:rFonts w:hint="eastAsia" w:ascii="Times New Roman" w:hAnsi="Times New Roman" w:eastAsia="Times New Roman" w:cs="Times New Roman"/>
          <w:sz w:val="24"/>
        </w:rPr>
        <w:t xml:space="preserve"> LiveBOS5.0</w:t>
      </w:r>
      <w:r>
        <w:rPr>
          <w:rFonts w:hint="eastAsia" w:ascii="宋体" w:hAnsi="宋体" w:eastAsia="宋体" w:cs="宋体"/>
          <w:sz w:val="10"/>
        </w:rPr>
        <w:t>。</w:t>
      </w:r>
      <w:r>
        <w:rPr>
          <w:rFonts w:hint="eastAsia" w:ascii="宋体" w:hAnsi="宋体" w:eastAsia="宋体" w:cs="宋体"/>
          <w:sz w:val="24"/>
        </w:rPr>
        <w:t>本项目将在</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平台的现有基础上</w:t>
      </w:r>
      <w:r>
        <w:rPr>
          <w:rFonts w:hint="eastAsia" w:ascii="宋体" w:hAnsi="宋体" w:eastAsia="宋体" w:cs="宋体"/>
          <w:sz w:val="10"/>
        </w:rPr>
        <w:t>，</w:t>
      </w:r>
      <w:r>
        <w:rPr>
          <w:rFonts w:hint="eastAsia" w:ascii="宋体" w:hAnsi="宋体" w:eastAsia="宋体" w:cs="宋体"/>
          <w:sz w:val="24"/>
        </w:rPr>
        <w:t>继续深入挖掘软件开发过程模型</w:t>
      </w:r>
      <w:r>
        <w:rPr>
          <w:rFonts w:hint="eastAsia" w:ascii="宋体" w:hAnsi="宋体" w:eastAsia="宋体" w:cs="宋体"/>
          <w:sz w:val="10"/>
        </w:rPr>
        <w:t>，</w:t>
      </w:r>
      <w:r>
        <w:rPr>
          <w:rFonts w:hint="eastAsia" w:ascii="宋体" w:hAnsi="宋体" w:eastAsia="宋体" w:cs="宋体"/>
          <w:sz w:val="24"/>
        </w:rPr>
        <w:t>以使基于</w:t>
      </w:r>
      <w:r>
        <w:rPr>
          <w:rFonts w:hint="eastAsia" w:ascii="Times New Roman" w:hAnsi="Times New Roman" w:eastAsia="Times New Roman" w:cs="Times New Roman"/>
          <w:sz w:val="24"/>
        </w:rPr>
        <w:t>LiveBOS</w:t>
      </w:r>
      <w:r>
        <w:rPr>
          <w:rFonts w:hint="eastAsia" w:ascii="宋体" w:hAnsi="宋体" w:eastAsia="宋体" w:cs="宋体"/>
          <w:sz w:val="24"/>
        </w:rPr>
        <w:t xml:space="preserve"> 开发的产品开发效率更高</w:t>
      </w:r>
      <w:r>
        <w:rPr>
          <w:rFonts w:hint="eastAsia" w:ascii="宋体" w:hAnsi="宋体" w:eastAsia="宋体" w:cs="宋体"/>
          <w:sz w:val="10"/>
        </w:rPr>
        <w:t>，</w:t>
      </w:r>
      <w:r>
        <w:rPr>
          <w:rFonts w:hint="eastAsia" w:ascii="宋体" w:hAnsi="宋体" w:eastAsia="宋体" w:cs="宋体"/>
          <w:sz w:val="24"/>
        </w:rPr>
        <w:t>用户体验更好</w:t>
      </w:r>
      <w:r>
        <w:rPr>
          <w:rFonts w:hint="eastAsia" w:ascii="宋体" w:hAnsi="宋体" w:eastAsia="宋体" w:cs="宋体"/>
          <w:sz w:val="10"/>
        </w:rPr>
        <w:t>，</w:t>
      </w:r>
      <w:r>
        <w:rPr>
          <w:rFonts w:hint="eastAsia" w:ascii="宋体" w:hAnsi="宋体" w:eastAsia="宋体" w:cs="宋体"/>
          <w:sz w:val="24"/>
        </w:rPr>
        <w:t>系统更加高效稳定</w:t>
      </w:r>
      <w:r>
        <w:rPr>
          <w:rFonts w:hint="eastAsia" w:ascii="宋体" w:hAnsi="宋体" w:eastAsia="宋体" w:cs="宋体"/>
          <w:sz w:val="10"/>
        </w:rPr>
        <w:t>。</w:t>
      </w:r>
      <w:r>
        <w:rPr>
          <w:rFonts w:hint="eastAsia" w:ascii="Times New Roman" w:hAnsi="Times New Roman" w:eastAsia="Times New Roman" w:cs="Times New Roman"/>
          <w:sz w:val="24"/>
        </w:rPr>
        <w:t>LiveBOS</w:t>
      </w:r>
      <w:r>
        <w:rPr>
          <w:rFonts w:hint="eastAsia" w:ascii="宋体" w:hAnsi="宋体" w:eastAsia="宋体" w:cs="宋体"/>
          <w:sz w:val="24"/>
        </w:rPr>
        <w:t xml:space="preserve"> 将结合互联网及移动互联网发展趋势</w:t>
      </w:r>
      <w:r>
        <w:rPr>
          <w:rFonts w:hint="eastAsia" w:ascii="宋体" w:hAnsi="宋体" w:eastAsia="宋体" w:cs="宋体"/>
          <w:sz w:val="10"/>
        </w:rPr>
        <w:t>，</w:t>
      </w:r>
      <w:r>
        <w:rPr>
          <w:rFonts w:hint="eastAsia" w:ascii="宋体" w:hAnsi="宋体" w:eastAsia="宋体" w:cs="宋体"/>
          <w:sz w:val="24"/>
        </w:rPr>
        <w:t>以作为企业应用的基础平台为目标</w:t>
      </w:r>
      <w:r>
        <w:rPr>
          <w:rFonts w:hint="eastAsia" w:ascii="宋体" w:hAnsi="宋体" w:eastAsia="宋体" w:cs="宋体"/>
          <w:sz w:val="10"/>
        </w:rPr>
        <w:t>，</w:t>
      </w:r>
      <w:r>
        <w:rPr>
          <w:rFonts w:hint="eastAsia" w:ascii="宋体" w:hAnsi="宋体" w:eastAsia="宋体" w:cs="宋体"/>
          <w:sz w:val="24"/>
        </w:rPr>
        <w:t>项目实施后</w:t>
      </w:r>
      <w:r>
        <w:rPr>
          <w:rFonts w:hint="eastAsia" w:ascii="宋体" w:hAnsi="宋体" w:eastAsia="宋体" w:cs="宋体"/>
          <w:sz w:val="10"/>
        </w:rPr>
        <w:t>，</w:t>
      </w:r>
      <w:r>
        <w:rPr>
          <w:rFonts w:hint="eastAsia" w:ascii="宋体" w:hAnsi="宋体" w:eastAsia="宋体" w:cs="宋体"/>
          <w:sz w:val="24"/>
        </w:rPr>
        <w:t>将在企业</w:t>
      </w:r>
      <w:r>
        <w:rPr>
          <w:rFonts w:hint="eastAsia" w:ascii="Times New Roman" w:hAnsi="Times New Roman" w:eastAsia="Times New Roman" w:cs="Times New Roman"/>
          <w:sz w:val="24"/>
        </w:rPr>
        <w:t xml:space="preserve"> SNS</w:t>
      </w:r>
      <w:r>
        <w:rPr>
          <w:rFonts w:hint="eastAsia" w:ascii="宋体" w:hAnsi="宋体" w:eastAsia="宋体" w:cs="宋体"/>
          <w:sz w:val="24"/>
        </w:rPr>
        <w:t xml:space="preserve"> 应用</w:t>
      </w:r>
      <w:r>
        <w:rPr>
          <w:rFonts w:hint="eastAsia" w:ascii="宋体" w:hAnsi="宋体" w:eastAsia="宋体" w:cs="宋体"/>
          <w:sz w:val="10"/>
        </w:rPr>
        <w:t>、</w:t>
      </w:r>
      <w:r>
        <w:rPr>
          <w:rFonts w:hint="eastAsia" w:ascii="宋体" w:hAnsi="宋体" w:eastAsia="宋体" w:cs="宋体"/>
          <w:sz w:val="24"/>
        </w:rPr>
        <w:t>云技术平台以及移动终端应用上做进一步研发</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基于新一代</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的平台及产品升级项目主要在系统基础构架</w:t>
      </w:r>
      <w:r>
        <w:rPr>
          <w:rFonts w:hint="eastAsia" w:ascii="宋体" w:hAnsi="宋体" w:eastAsia="宋体" w:cs="宋体"/>
          <w:sz w:val="10"/>
        </w:rPr>
        <w:t>、</w:t>
      </w:r>
      <w:r>
        <w:rPr>
          <w:rFonts w:hint="eastAsia" w:ascii="宋体" w:hAnsi="宋体" w:eastAsia="宋体" w:cs="宋体"/>
          <w:sz w:val="24"/>
        </w:rPr>
        <w:t>对象引擎与业务建模</w:t>
      </w:r>
      <w:r>
        <w:rPr>
          <w:rFonts w:hint="eastAsia" w:ascii="宋体" w:hAnsi="宋体" w:eastAsia="宋体" w:cs="宋体"/>
          <w:sz w:val="10"/>
        </w:rPr>
        <w:t>、</w:t>
      </w:r>
      <w:r>
        <w:rPr>
          <w:rFonts w:hint="eastAsia" w:ascii="宋体" w:hAnsi="宋体" w:eastAsia="宋体" w:cs="宋体"/>
          <w:sz w:val="24"/>
        </w:rPr>
        <w:t>报表引擎与报表工具</w:t>
      </w:r>
      <w:r>
        <w:rPr>
          <w:rFonts w:hint="eastAsia" w:ascii="宋体" w:hAnsi="宋体" w:eastAsia="宋体" w:cs="宋体"/>
          <w:sz w:val="10"/>
        </w:rPr>
        <w:t>、</w:t>
      </w:r>
      <w:r>
        <w:rPr>
          <w:rFonts w:hint="eastAsia" w:ascii="宋体" w:hAnsi="宋体" w:eastAsia="宋体" w:cs="宋体"/>
          <w:sz w:val="24"/>
        </w:rPr>
        <w:t>门户引擎与界面个性化</w:t>
      </w:r>
      <w:r>
        <w:rPr>
          <w:rFonts w:hint="eastAsia" w:ascii="宋体" w:hAnsi="宋体" w:eastAsia="宋体" w:cs="宋体"/>
          <w:sz w:val="10"/>
        </w:rPr>
        <w:t>、</w:t>
      </w:r>
      <w:r>
        <w:rPr>
          <w:rFonts w:hint="eastAsia" w:ascii="宋体" w:hAnsi="宋体" w:eastAsia="宋体" w:cs="宋体"/>
          <w:sz w:val="24"/>
        </w:rPr>
        <w:t>工作流引擎与设计工具</w:t>
      </w:r>
      <w:r>
        <w:rPr>
          <w:rFonts w:hint="eastAsia" w:ascii="宋体" w:hAnsi="宋体" w:eastAsia="宋体" w:cs="宋体"/>
          <w:sz w:val="10"/>
        </w:rPr>
        <w:t>、</w:t>
      </w:r>
      <w:r>
        <w:rPr>
          <w:rFonts w:hint="eastAsia" w:ascii="宋体" w:hAnsi="宋体" w:eastAsia="宋体" w:cs="宋体"/>
          <w:sz w:val="24"/>
        </w:rPr>
        <w:t>移动互联网应用</w:t>
      </w:r>
      <w:r>
        <w:rPr>
          <w:rFonts w:hint="eastAsia" w:ascii="宋体" w:hAnsi="宋体" w:eastAsia="宋体" w:cs="宋体"/>
          <w:sz w:val="10"/>
        </w:rPr>
        <w:t>、</w:t>
      </w:r>
      <w:r>
        <w:rPr>
          <w:rFonts w:hint="eastAsia" w:ascii="宋体" w:hAnsi="宋体" w:eastAsia="宋体" w:cs="宋体"/>
          <w:sz w:val="24"/>
        </w:rPr>
        <w:t>高级开发与扩展支持等核心技术</w:t>
      </w:r>
      <w:r>
        <w:rPr>
          <w:rFonts w:hint="eastAsia" w:ascii="宋体" w:hAnsi="宋体" w:eastAsia="宋体" w:cs="宋体"/>
          <w:sz w:val="10"/>
        </w:rPr>
        <w:t>、</w:t>
      </w:r>
      <w:r>
        <w:rPr>
          <w:rFonts w:hint="eastAsia" w:ascii="宋体" w:hAnsi="宋体" w:eastAsia="宋体" w:cs="宋体"/>
          <w:sz w:val="24"/>
        </w:rPr>
        <w:t>基于</w:t>
      </w:r>
      <w:r>
        <w:rPr>
          <w:rFonts w:hint="eastAsia" w:ascii="Times New Roman" w:hAnsi="Times New Roman" w:eastAsia="Times New Roman" w:cs="Times New Roman"/>
          <w:sz w:val="24"/>
        </w:rPr>
        <w:t xml:space="preserve"> Lucene</w:t>
      </w:r>
      <w:r>
        <w:rPr>
          <w:rFonts w:hint="eastAsia" w:ascii="宋体" w:hAnsi="宋体" w:eastAsia="宋体" w:cs="宋体"/>
          <w:sz w:val="24"/>
        </w:rPr>
        <w:t xml:space="preserve"> 研发全文检索系统等方面</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1-1-311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对现有平台进行升级</w:t>
      </w:r>
      <w:r>
        <w:rPr>
          <w:rFonts w:hint="eastAsia" w:ascii="宋体" w:hAnsi="宋体" w:eastAsia="宋体" w:cs="宋体"/>
          <w:sz w:val="10"/>
        </w:rPr>
        <w:t>，</w:t>
      </w:r>
      <w:r>
        <w:rPr>
          <w:rFonts w:hint="eastAsia" w:ascii="宋体" w:hAnsi="宋体" w:eastAsia="宋体" w:cs="宋体"/>
          <w:sz w:val="24"/>
        </w:rPr>
        <w:t>将灵动业务架构平台（</w:t>
      </w:r>
      <w:r>
        <w:rPr>
          <w:rFonts w:hint="eastAsia" w:ascii="Times New Roman" w:hAnsi="Times New Roman" w:eastAsia="Times New Roman" w:cs="Times New Roman"/>
          <w:sz w:val="24"/>
        </w:rPr>
        <w:t>LiveBOS</w:t>
      </w:r>
      <w:r>
        <w:rPr>
          <w:rFonts w:hint="eastAsia" w:ascii="宋体" w:hAnsi="宋体" w:eastAsia="宋体" w:cs="宋体"/>
          <w:sz w:val="24"/>
        </w:rPr>
        <w:t>）从现行版本升级到</w:t>
      </w:r>
      <w:r>
        <w:rPr>
          <w:rFonts w:hint="eastAsia" w:ascii="Times New Roman" w:hAnsi="Times New Roman" w:eastAsia="Times New Roman" w:cs="Times New Roman"/>
          <w:sz w:val="24"/>
        </w:rPr>
        <w:t xml:space="preserve"> V5.0</w:t>
      </w:r>
      <w:r>
        <w:rPr>
          <w:rFonts w:hint="eastAsia" w:ascii="宋体" w:hAnsi="宋体" w:eastAsia="宋体" w:cs="宋体"/>
          <w:sz w:val="24"/>
        </w:rPr>
        <w:t xml:space="preserve"> 版</w:t>
      </w:r>
      <w:r>
        <w:rPr>
          <w:rFonts w:hint="eastAsia" w:ascii="宋体" w:hAnsi="宋体" w:eastAsia="宋体" w:cs="宋体"/>
          <w:sz w:val="10"/>
        </w:rPr>
        <w:t>，</w:t>
      </w:r>
      <w:r>
        <w:rPr>
          <w:rFonts w:hint="eastAsia" w:ascii="宋体" w:hAnsi="宋体" w:eastAsia="宋体" w:cs="宋体"/>
          <w:sz w:val="24"/>
        </w:rPr>
        <w:t>打造全新一代</w:t>
      </w:r>
      <w:r>
        <w:rPr>
          <w:rFonts w:hint="eastAsia" w:ascii="Times New Roman" w:hAnsi="Times New Roman" w:eastAsia="Times New Roman" w:cs="Times New Roman"/>
          <w:sz w:val="24"/>
        </w:rPr>
        <w:t xml:space="preserve"> LiveBOS</w:t>
      </w:r>
      <w:r>
        <w:rPr>
          <w:rFonts w:hint="eastAsia" w:ascii="宋体" w:hAnsi="宋体" w:eastAsia="宋体" w:cs="宋体"/>
          <w:sz w:val="24"/>
        </w:rPr>
        <w:t xml:space="preserve"> 架构平台</w:t>
      </w:r>
      <w:r>
        <w:rPr>
          <w:rFonts w:hint="eastAsia" w:ascii="宋体" w:hAnsi="宋体" w:eastAsia="宋体" w:cs="宋体"/>
          <w:sz w:val="10"/>
        </w:rPr>
        <w:t>，</w:t>
      </w:r>
      <w:r>
        <w:rPr>
          <w:rFonts w:hint="eastAsia" w:ascii="宋体" w:hAnsi="宋体" w:eastAsia="宋体" w:cs="宋体"/>
          <w:sz w:val="24"/>
        </w:rPr>
        <w:t>从而增强公司产品的市场竞争力</w:t>
      </w:r>
      <w:r>
        <w:rPr>
          <w:rFonts w:hint="eastAsia" w:ascii="宋体" w:hAnsi="宋体" w:eastAsia="宋体" w:cs="宋体"/>
          <w:sz w:val="10"/>
        </w:rPr>
        <w:t>，</w:t>
      </w:r>
      <w:r>
        <w:rPr>
          <w:rFonts w:hint="eastAsia" w:ascii="宋体" w:hAnsi="宋体" w:eastAsia="宋体" w:cs="宋体"/>
          <w:sz w:val="24"/>
        </w:rPr>
        <w:t>提升公司的整体竞争力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投资概算</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项目建设期</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总投资</w:t>
      </w:r>
      <w:r>
        <w:rPr>
          <w:rFonts w:hint="eastAsia" w:ascii="Times New Roman" w:hAnsi="Times New Roman" w:eastAsia="Times New Roman" w:cs="Times New Roman"/>
          <w:sz w:val="24"/>
        </w:rPr>
        <w:t xml:space="preserve"> 5,850.23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其中软硬件投入</w:t>
      </w:r>
      <w:r>
        <w:rPr>
          <w:rFonts w:hint="eastAsia" w:ascii="Times New Roman" w:hAnsi="Times New Roman" w:eastAsia="Times New Roman" w:cs="Times New Roman"/>
          <w:sz w:val="24"/>
        </w:rPr>
        <w:t xml:space="preserve"> 1,920.93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场地购置及装修投入</w:t>
      </w:r>
      <w:r>
        <w:rPr>
          <w:rFonts w:hint="eastAsia" w:ascii="Times New Roman" w:hAnsi="Times New Roman" w:eastAsia="Times New Roman" w:cs="Times New Roman"/>
          <w:sz w:val="24"/>
        </w:rPr>
        <w:t xml:space="preserve"> 1,560.60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项目实施费用</w:t>
      </w:r>
      <w:r>
        <w:rPr>
          <w:rFonts w:hint="eastAsia" w:ascii="Times New Roman" w:hAnsi="Times New Roman" w:eastAsia="Times New Roman" w:cs="Times New Roman"/>
          <w:sz w:val="24"/>
        </w:rPr>
        <w:t xml:space="preserve"> 1,329.90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铺底流动资金</w:t>
      </w:r>
      <w:r>
        <w:rPr>
          <w:rFonts w:hint="eastAsia" w:ascii="Times New Roman" w:hAnsi="Times New Roman" w:eastAsia="Times New Roman" w:cs="Times New Roman"/>
          <w:sz w:val="24"/>
        </w:rPr>
        <w:t xml:space="preserve"> 1,038.80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项目总体投资概算情况如下表</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20"/>
        <w:gridCol w:w="5180"/>
        <w:gridCol w:w="2860"/>
      </w:tblGrid>
      <w:tr>
        <w:trPr>
          <w:trHeight w:val="480" w:hRule="exact"/>
        </w:trPr>
        <w:tc>
          <w:tcPr>
            <w:tcW w:w="1220" w:type="dxa"/>
            <w:tcMar>
              <w:top w:w="0" w:type="dxa"/>
              <w:left w:w="0" w:type="dxa"/>
              <w:bottom w:w="0" w:type="dxa"/>
              <w:right w:w="0" w:type="dxa"/>
            </w:tcMar>
          </w:tcPr>
          <w:p>
            <w:pPr>
              <w:spacing w:before="120"/>
              <w:ind w:left="380"/>
            </w:pPr>
            <w:r>
              <w:rPr>
                <w:rFonts w:hint="eastAsia" w:ascii="宋体" w:hAnsi="宋体" w:eastAsia="宋体" w:cs="宋体"/>
                <w:b/>
                <w:sz w:val="21"/>
              </w:rPr>
              <w:t>序号</w:t>
            </w:r>
          </w:p>
        </w:tc>
        <w:tc>
          <w:tcPr>
            <w:tcW w:w="5180" w:type="dxa"/>
            <w:tcMar>
              <w:top w:w="0" w:type="dxa"/>
              <w:left w:w="0" w:type="dxa"/>
              <w:bottom w:w="0" w:type="dxa"/>
              <w:right w:w="0" w:type="dxa"/>
            </w:tcMar>
          </w:tcPr>
          <w:p>
            <w:pPr>
              <w:spacing w:before="100"/>
              <w:ind w:left="1820"/>
            </w:pPr>
            <w:r>
              <w:rPr>
                <w:rFonts w:hint="eastAsia" w:ascii="宋体" w:hAnsi="宋体" w:eastAsia="宋体" w:cs="宋体"/>
                <w:b/>
                <w:sz w:val="21"/>
              </w:rPr>
              <w:t>项目或费用名称</w:t>
            </w:r>
          </w:p>
        </w:tc>
        <w:tc>
          <w:tcPr>
            <w:tcW w:w="2860" w:type="dxa"/>
            <w:tcMar>
              <w:top w:w="0" w:type="dxa"/>
              <w:left w:w="0" w:type="dxa"/>
              <w:bottom w:w="0" w:type="dxa"/>
              <w:right w:w="0" w:type="dxa"/>
            </w:tcMar>
          </w:tcPr>
          <w:p>
            <w:pPr>
              <w:spacing w:before="100"/>
              <w:ind w:left="1200"/>
            </w:pPr>
            <w:r>
              <w:rPr>
                <w:rFonts w:hint="eastAsia" w:ascii="宋体" w:hAnsi="宋体" w:eastAsia="宋体" w:cs="宋体"/>
                <w:b/>
                <w:sz w:val="21"/>
              </w:rPr>
              <w:t>金额</w:t>
            </w:r>
          </w:p>
        </w:tc>
      </w:tr>
      <w:tr>
        <w:trPr>
          <w:trHeight w:val="460" w:hRule="exact"/>
        </w:trPr>
        <w:tc>
          <w:tcPr>
            <w:tcW w:w="1220" w:type="dxa"/>
            <w:tcMar>
              <w:top w:w="0" w:type="dxa"/>
              <w:left w:w="0" w:type="dxa"/>
              <w:bottom w:w="0" w:type="dxa"/>
              <w:right w:w="0" w:type="dxa"/>
            </w:tcMar>
          </w:tcPr>
          <w:p>
            <w:pPr>
              <w:spacing w:before="280"/>
              <w:ind w:left="480"/>
            </w:pPr>
            <w:r>
              <w:rPr>
                <w:rFonts w:hint="eastAsia" w:ascii="宋体" w:hAnsi="宋体" w:eastAsia="宋体" w:cs="宋体"/>
                <w:sz w:val="20"/>
              </w:rPr>
              <w:t>一</w:t>
            </w:r>
          </w:p>
        </w:tc>
        <w:tc>
          <w:tcPr>
            <w:tcW w:w="5180" w:type="dxa"/>
            <w:tcMar>
              <w:top w:w="0" w:type="dxa"/>
              <w:left w:w="0" w:type="dxa"/>
              <w:bottom w:w="0" w:type="dxa"/>
              <w:right w:w="0" w:type="dxa"/>
            </w:tcMar>
          </w:tcPr>
          <w:p>
            <w:pPr>
              <w:spacing w:before="100"/>
            </w:pPr>
            <w:r>
              <w:rPr>
                <w:rFonts w:hint="eastAsia" w:ascii="宋体" w:hAnsi="宋体" w:eastAsia="宋体" w:cs="宋体"/>
                <w:sz w:val="21"/>
              </w:rPr>
              <w:t>建设投资</w:t>
            </w:r>
          </w:p>
        </w:tc>
        <w:tc>
          <w:tcPr>
            <w:tcW w:w="2860" w:type="dxa"/>
            <w:tcMar>
              <w:top w:w="0" w:type="dxa"/>
              <w:left w:w="0" w:type="dxa"/>
              <w:bottom w:w="0" w:type="dxa"/>
              <w:right w:w="0" w:type="dxa"/>
            </w:tcMar>
          </w:tcPr>
          <w:p>
            <w:pPr>
              <w:spacing w:before="160"/>
              <w:ind w:left="202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w:t>
            </w:r>
          </w:p>
        </w:tc>
      </w:tr>
      <w:tr>
        <w:trPr>
          <w:trHeight w:val="480" w:hRule="exact"/>
        </w:trPr>
        <w:tc>
          <w:tcPr>
            <w:tcW w:w="122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20"/>
            </w:pPr>
            <w:r>
              <w:rPr>
                <w:rFonts w:hint="eastAsia" w:ascii="宋体" w:hAnsi="宋体" w:eastAsia="宋体" w:cs="宋体"/>
                <w:sz w:val="21"/>
              </w:rPr>
              <w:t>软硬件投入</w:t>
            </w:r>
          </w:p>
        </w:tc>
        <w:tc>
          <w:tcPr>
            <w:tcW w:w="286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920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93</w:t>
            </w:r>
          </w:p>
        </w:tc>
      </w:tr>
      <w:tr>
        <w:trPr>
          <w:trHeight w:val="480" w:hRule="exact"/>
        </w:trPr>
        <w:tc>
          <w:tcPr>
            <w:tcW w:w="122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20"/>
            </w:pPr>
            <w:r>
              <w:rPr>
                <w:rFonts w:hint="eastAsia" w:ascii="宋体" w:hAnsi="宋体" w:eastAsia="宋体" w:cs="宋体"/>
                <w:sz w:val="21"/>
              </w:rPr>
              <w:t>研发及测试平台硬件投资</w:t>
            </w:r>
          </w:p>
        </w:tc>
        <w:tc>
          <w:tcPr>
            <w:tcW w:w="286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00"/>
            </w:pPr>
            <w:r>
              <w:rPr>
                <w:rFonts w:hint="eastAsia" w:ascii="宋体" w:hAnsi="宋体" w:eastAsia="宋体" w:cs="宋体"/>
                <w:sz w:val="21"/>
              </w:rPr>
              <w:t>研发及测试平台软件投资</w:t>
            </w:r>
          </w:p>
        </w:tc>
        <w:tc>
          <w:tcPr>
            <w:tcW w:w="286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816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05</w:t>
            </w:r>
          </w:p>
        </w:tc>
      </w:tr>
      <w:tr>
        <w:trPr>
          <w:trHeight w:val="46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180" w:type="dxa"/>
            <w:tcMar>
              <w:top w:w="0" w:type="dxa"/>
              <w:left w:w="0" w:type="dxa"/>
              <w:bottom w:w="0" w:type="dxa"/>
              <w:right w:w="0" w:type="dxa"/>
            </w:tcMar>
          </w:tcPr>
          <w:p>
            <w:pPr>
              <w:spacing w:before="120"/>
            </w:pPr>
            <w:r>
              <w:rPr>
                <w:rFonts w:hint="eastAsia" w:ascii="宋体" w:hAnsi="宋体" w:eastAsia="宋体" w:cs="宋体"/>
                <w:sz w:val="21"/>
              </w:rPr>
              <w:t>网络及设备安装费</w:t>
            </w:r>
          </w:p>
        </w:tc>
        <w:tc>
          <w:tcPr>
            <w:tcW w:w="2860" w:type="dxa"/>
            <w:tcMar>
              <w:top w:w="0" w:type="dxa"/>
              <w:left w:w="0" w:type="dxa"/>
              <w:bottom w:w="0" w:type="dxa"/>
              <w:right w:w="0" w:type="dxa"/>
            </w:tcMar>
          </w:tcPr>
          <w:p>
            <w:pPr>
              <w:spacing w:before="160"/>
              <w:ind w:left="2260"/>
            </w:pPr>
            <w:r>
              <w:rPr>
                <w:rFonts w:hint="eastAsia" w:ascii="Times New Roman" w:hAnsi="Times New Roman" w:eastAsia="Times New Roman" w:cs="Times New Roman"/>
                <w:sz w:val="21"/>
              </w:rPr>
              <w:t>73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88</w:t>
            </w:r>
          </w:p>
        </w:tc>
      </w:tr>
      <w:tr>
        <w:trPr>
          <w:trHeight w:val="480" w:hRule="exact"/>
        </w:trPr>
        <w:tc>
          <w:tcPr>
            <w:tcW w:w="122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20"/>
            </w:pPr>
            <w:r>
              <w:rPr>
                <w:rFonts w:hint="eastAsia" w:ascii="宋体" w:hAnsi="宋体" w:eastAsia="宋体" w:cs="宋体"/>
                <w:sz w:val="21"/>
              </w:rPr>
              <w:t>场地投入</w:t>
            </w:r>
          </w:p>
        </w:tc>
        <w:tc>
          <w:tcPr>
            <w:tcW w:w="286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20"/>
            </w:pPr>
            <w:r>
              <w:rPr>
                <w:rFonts w:hint="eastAsia" w:ascii="宋体" w:hAnsi="宋体" w:eastAsia="宋体" w:cs="宋体"/>
                <w:sz w:val="21"/>
              </w:rPr>
              <w:t>房屋购置投入</w:t>
            </w:r>
          </w:p>
        </w:tc>
        <w:tc>
          <w:tcPr>
            <w:tcW w:w="286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00"/>
            </w:pPr>
            <w:r>
              <w:rPr>
                <w:rFonts w:hint="eastAsia" w:ascii="宋体" w:hAnsi="宋体" w:eastAsia="宋体" w:cs="宋体"/>
                <w:sz w:val="21"/>
              </w:rPr>
              <w:t>房屋配套装修投入</w:t>
            </w:r>
          </w:p>
        </w:tc>
        <w:tc>
          <w:tcPr>
            <w:tcW w:w="286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132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r>
        <w:trPr>
          <w:trHeight w:val="460" w:hRule="exact"/>
        </w:trPr>
        <w:tc>
          <w:tcPr>
            <w:tcW w:w="12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3</w:t>
            </w:r>
          </w:p>
        </w:tc>
        <w:tc>
          <w:tcPr>
            <w:tcW w:w="5180" w:type="dxa"/>
            <w:tcMar>
              <w:top w:w="0" w:type="dxa"/>
              <w:left w:w="0" w:type="dxa"/>
              <w:bottom w:w="0" w:type="dxa"/>
              <w:right w:w="0" w:type="dxa"/>
            </w:tcMar>
          </w:tcPr>
          <w:p>
            <w:pPr>
              <w:spacing w:before="100"/>
            </w:pPr>
            <w:r>
              <w:rPr>
                <w:rFonts w:hint="eastAsia" w:ascii="宋体" w:hAnsi="宋体" w:eastAsia="宋体" w:cs="宋体"/>
                <w:sz w:val="21"/>
              </w:rPr>
              <w:t>项目实施费用</w:t>
            </w:r>
          </w:p>
        </w:tc>
        <w:tc>
          <w:tcPr>
            <w:tcW w:w="286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r>
      <w:tr>
        <w:trPr>
          <w:trHeight w:val="480" w:hRule="exact"/>
        </w:trPr>
        <w:tc>
          <w:tcPr>
            <w:tcW w:w="122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20"/>
            </w:pPr>
            <w:r>
              <w:rPr>
                <w:rFonts w:hint="eastAsia" w:ascii="宋体" w:hAnsi="宋体" w:eastAsia="宋体" w:cs="宋体"/>
                <w:sz w:val="21"/>
              </w:rPr>
              <w:t>软件研发及测试费用</w:t>
            </w:r>
          </w:p>
        </w:tc>
        <w:tc>
          <w:tcPr>
            <w:tcW w:w="286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20"/>
            </w:pPr>
            <w:r>
              <w:rPr>
                <w:rFonts w:hint="eastAsia" w:ascii="宋体" w:hAnsi="宋体" w:eastAsia="宋体" w:cs="宋体"/>
                <w:sz w:val="21"/>
              </w:rPr>
              <w:t>调研</w:t>
            </w:r>
            <w:r>
              <w:rPr>
                <w:rFonts w:hint="eastAsia" w:ascii="宋体" w:hAnsi="宋体" w:eastAsia="宋体" w:cs="宋体"/>
                <w:sz w:val="10"/>
              </w:rPr>
              <w:t>、</w:t>
            </w:r>
            <w:r>
              <w:rPr>
                <w:rFonts w:hint="eastAsia" w:ascii="宋体" w:hAnsi="宋体" w:eastAsia="宋体" w:cs="宋体"/>
                <w:sz w:val="21"/>
              </w:rPr>
              <w:t>咨询</w:t>
            </w:r>
            <w:r>
              <w:rPr>
                <w:rFonts w:hint="eastAsia" w:ascii="宋体" w:hAnsi="宋体" w:eastAsia="宋体" w:cs="宋体"/>
                <w:sz w:val="10"/>
              </w:rPr>
              <w:t>、</w:t>
            </w:r>
            <w:r>
              <w:rPr>
                <w:rFonts w:hint="eastAsia" w:ascii="宋体" w:hAnsi="宋体" w:eastAsia="宋体" w:cs="宋体"/>
                <w:sz w:val="21"/>
              </w:rPr>
              <w:t>论证等其他费用</w:t>
            </w:r>
          </w:p>
        </w:tc>
        <w:tc>
          <w:tcPr>
            <w:tcW w:w="2860" w:type="dxa"/>
            <w:tcMar>
              <w:top w:w="0" w:type="dxa"/>
              <w:left w:w="0" w:type="dxa"/>
              <w:bottom w:w="0" w:type="dxa"/>
              <w:right w:w="0" w:type="dxa"/>
            </w:tcMar>
          </w:tcPr>
          <w:p>
            <w:pPr>
              <w:spacing w:before="140"/>
              <w:ind w:left="2180"/>
            </w:pPr>
            <w:r>
              <w:rPr>
                <w:rFonts w:hint="eastAsia" w:ascii="Times New Roman" w:hAnsi="Times New Roman" w:eastAsia="Times New Roman" w:cs="Times New Roman"/>
                <w:sz w:val="21"/>
              </w:rPr>
              <w:t>115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180" w:type="dxa"/>
            <w:tcMar>
              <w:top w:w="0" w:type="dxa"/>
              <w:left w:w="0" w:type="dxa"/>
              <w:bottom w:w="0" w:type="dxa"/>
              <w:right w:w="0" w:type="dxa"/>
            </w:tcMar>
          </w:tcPr>
          <w:p>
            <w:pPr>
              <w:spacing w:before="100"/>
            </w:pPr>
            <w:r>
              <w:rPr>
                <w:rFonts w:hint="eastAsia" w:ascii="宋体" w:hAnsi="宋体" w:eastAsia="宋体" w:cs="宋体"/>
                <w:sz w:val="21"/>
              </w:rPr>
              <w:t>项目培训费用</w:t>
            </w:r>
          </w:p>
        </w:tc>
        <w:tc>
          <w:tcPr>
            <w:tcW w:w="2860" w:type="dxa"/>
            <w:tcMar>
              <w:top w:w="0" w:type="dxa"/>
              <w:left w:w="0" w:type="dxa"/>
              <w:bottom w:w="0" w:type="dxa"/>
              <w:right w:w="0" w:type="dxa"/>
            </w:tcMar>
          </w:tcPr>
          <w:p>
            <w:pPr>
              <w:spacing w:before="160"/>
              <w:ind w:left="2260"/>
            </w:pPr>
            <w:r>
              <w:rPr>
                <w:rFonts w:hint="eastAsia" w:ascii="Times New Roman" w:hAnsi="Times New Roman" w:eastAsia="Times New Roman" w:cs="Times New Roman"/>
                <w:sz w:val="21"/>
              </w:rPr>
              <w:t>55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1220" w:type="dxa"/>
            <w:tcMar>
              <w:top w:w="0" w:type="dxa"/>
              <w:left w:w="0" w:type="dxa"/>
              <w:bottom w:w="0" w:type="dxa"/>
              <w:right w:w="0" w:type="dxa"/>
            </w:tcMar>
          </w:tcPr>
          <w:p>
            <w:pPr>
              <w:spacing w:before="160"/>
              <w:ind w:left="480"/>
            </w:pPr>
            <w:r>
              <w:rPr>
                <w:rFonts w:hint="eastAsia" w:ascii="宋体" w:hAnsi="宋体" w:eastAsia="宋体" w:cs="宋体"/>
                <w:sz w:val="20"/>
              </w:rPr>
              <w:t>二</w:t>
            </w:r>
          </w:p>
        </w:tc>
        <w:tc>
          <w:tcPr>
            <w:tcW w:w="5180" w:type="dxa"/>
            <w:tcMar>
              <w:top w:w="0" w:type="dxa"/>
              <w:left w:w="0" w:type="dxa"/>
              <w:bottom w:w="0" w:type="dxa"/>
              <w:right w:w="0" w:type="dxa"/>
            </w:tcMar>
          </w:tcPr>
          <w:p>
            <w:pPr>
              <w:spacing w:before="120"/>
            </w:pPr>
            <w:r>
              <w:rPr>
                <w:rFonts w:hint="eastAsia" w:ascii="宋体" w:hAnsi="宋体" w:eastAsia="宋体" w:cs="宋体"/>
                <w:sz w:val="21"/>
              </w:rPr>
              <w:t>铺底流动资金</w:t>
            </w:r>
          </w:p>
        </w:tc>
        <w:tc>
          <w:tcPr>
            <w:tcW w:w="286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r>
      <w:tr>
        <w:trPr>
          <w:trHeight w:val="480" w:hRule="exact"/>
        </w:trPr>
        <w:tc>
          <w:tcPr>
            <w:tcW w:w="1220" w:type="dxa"/>
            <w:tcMar>
              <w:top w:w="0" w:type="dxa"/>
              <w:left w:w="0" w:type="dxa"/>
              <w:bottom w:w="0" w:type="dxa"/>
              <w:right w:w="0" w:type="dxa"/>
            </w:tcMar>
          </w:tcPr>
          <w:p>
            <w:pPr>
              <w:spacing w:before="160"/>
              <w:ind w:left="480"/>
            </w:pPr>
            <w:r>
              <w:rPr>
                <w:rFonts w:hint="eastAsia" w:ascii="宋体" w:hAnsi="宋体" w:eastAsia="宋体" w:cs="宋体"/>
                <w:sz w:val="21"/>
              </w:rPr>
              <w:t>三</w:t>
            </w:r>
          </w:p>
        </w:tc>
        <w:tc>
          <w:tcPr>
            <w:tcW w:w="5180" w:type="dxa"/>
            <w:tcMar>
              <w:top w:w="0" w:type="dxa"/>
              <w:left w:w="0" w:type="dxa"/>
              <w:bottom w:w="0" w:type="dxa"/>
              <w:right w:w="0" w:type="dxa"/>
            </w:tcMar>
          </w:tcPr>
          <w:p>
            <w:pPr>
              <w:spacing w:before="120"/>
            </w:pPr>
            <w:r>
              <w:rPr>
                <w:rFonts w:hint="eastAsia" w:ascii="宋体" w:hAnsi="宋体" w:eastAsia="宋体" w:cs="宋体"/>
                <w:sz w:val="21"/>
              </w:rPr>
              <w:t>项目总投资</w:t>
            </w:r>
          </w:p>
        </w:tc>
        <w:tc>
          <w:tcPr>
            <w:tcW w:w="286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23</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时间周期和进度</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本项目建设周期共计</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投资总额为</w:t>
      </w:r>
      <w:r>
        <w:rPr>
          <w:rFonts w:hint="eastAsia" w:ascii="Times New Roman" w:hAnsi="Times New Roman" w:eastAsia="Times New Roman" w:cs="Times New Roman"/>
          <w:sz w:val="24"/>
        </w:rPr>
        <w:t xml:space="preserve"> 5,850.23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其中前</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5,178.73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后</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 xml:space="preserve"> 671.50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截至本招股说明书签署日</w:t>
      </w:r>
      <w:r>
        <w:rPr>
          <w:rFonts w:hint="eastAsia" w:ascii="宋体" w:hAnsi="宋体" w:eastAsia="宋体" w:cs="宋体"/>
          <w:sz w:val="10"/>
        </w:rPr>
        <w:t>，</w:t>
      </w:r>
      <w:r>
        <w:rPr>
          <w:rFonts w:hint="eastAsia" w:ascii="宋体" w:hAnsi="宋体" w:eastAsia="宋体" w:cs="宋体"/>
          <w:sz w:val="24"/>
        </w:rPr>
        <w:t>该项目尚未开始建设实施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1-1-312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项目审批或备案情况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60" w:firstLine="480"/>
        <w:jc w:val="both"/>
      </w:pPr>
      <w:r>
        <w:rPr>
          <w:rFonts w:hint="eastAsia" w:ascii="宋体" w:hAnsi="宋体" w:eastAsia="宋体" w:cs="宋体"/>
          <w:sz w:val="24"/>
        </w:rPr>
        <w:t>项目已在福州市台江区发展和改革局备案</w:t>
      </w:r>
      <w:r>
        <w:rPr>
          <w:rFonts w:hint="eastAsia" w:ascii="宋体" w:hAnsi="宋体" w:eastAsia="宋体" w:cs="宋体"/>
          <w:sz w:val="10"/>
        </w:rPr>
        <w:t>，</w:t>
      </w:r>
      <w:r>
        <w:rPr>
          <w:rFonts w:hint="eastAsia" w:ascii="宋体" w:hAnsi="宋体" w:eastAsia="宋体" w:cs="宋体"/>
          <w:sz w:val="24"/>
        </w:rPr>
        <w:t>并取得编号为</w:t>
      </w:r>
      <w:r>
        <w:rPr>
          <w:rFonts w:hint="eastAsia" w:ascii="宋体" w:hAnsi="宋体" w:eastAsia="宋体" w:cs="宋体"/>
          <w:sz w:val="10"/>
        </w:rPr>
        <w:t>“</w:t>
      </w:r>
      <w:r>
        <w:rPr>
          <w:rFonts w:hint="eastAsia" w:ascii="宋体" w:hAnsi="宋体" w:eastAsia="宋体" w:cs="宋体"/>
          <w:sz w:val="24"/>
        </w:rPr>
        <w:t>闽发改备</w:t>
      </w:r>
      <w:r>
        <w:rPr>
          <w:rFonts w:hint="eastAsia" w:ascii="Times New Roman" w:hAnsi="Times New Roman" w:eastAsia="Times New Roman" w:cs="Times New Roman"/>
          <w:sz w:val="24"/>
        </w:rPr>
        <w:t>[2017]A02011</w:t>
      </w:r>
      <w:r>
        <w:rPr>
          <w:rFonts w:hint="eastAsia" w:ascii="宋体" w:hAnsi="宋体" w:eastAsia="宋体" w:cs="宋体"/>
          <w:sz w:val="24"/>
        </w:rPr>
        <w:t>号</w:t>
      </w:r>
      <w:r>
        <w:rPr>
          <w:rFonts w:hint="eastAsia" w:ascii="宋体" w:hAnsi="宋体" w:eastAsia="宋体" w:cs="宋体"/>
          <w:sz w:val="10"/>
        </w:rPr>
        <w:t>”</w:t>
      </w:r>
      <w:r>
        <w:rPr>
          <w:rFonts w:hint="eastAsia" w:ascii="宋体" w:hAnsi="宋体" w:eastAsia="宋体" w:cs="宋体"/>
          <w:sz w:val="24"/>
        </w:rPr>
        <w:t>的备案确认书</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项目选址</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公司已与福建升龙房地产开发有限公司签署了办公场地购买意向书</w:t>
      </w:r>
      <w:r>
        <w:rPr>
          <w:rFonts w:hint="eastAsia" w:ascii="宋体" w:hAnsi="宋体" w:eastAsia="宋体" w:cs="宋体"/>
          <w:sz w:val="10"/>
        </w:rPr>
        <w:t>，</w:t>
      </w:r>
      <w:r>
        <w:rPr>
          <w:rFonts w:hint="eastAsia" w:ascii="宋体" w:hAnsi="宋体" w:eastAsia="宋体" w:cs="宋体"/>
          <w:sz w:val="24"/>
        </w:rPr>
        <w:t>拟向其购买位于福州市台江区鳌峰街道光明南路</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号升龙大厦的办公场地</w:t>
      </w:r>
      <w:r>
        <w:rPr>
          <w:rFonts w:hint="eastAsia" w:ascii="宋体" w:hAnsi="宋体" w:eastAsia="宋体" w:cs="宋体"/>
          <w:sz w:val="10"/>
        </w:rPr>
        <w:t>，</w:t>
      </w:r>
      <w:r>
        <w:rPr>
          <w:rFonts w:hint="eastAsia" w:ascii="宋体" w:hAnsi="宋体" w:eastAsia="宋体" w:cs="宋体"/>
          <w:sz w:val="24"/>
        </w:rPr>
        <w:t>用于募投项目建设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6</w:t>
      </w:r>
      <w:r>
        <w:rPr>
          <w:rFonts w:hint="eastAsia" w:ascii="宋体" w:hAnsi="宋体" w:eastAsia="宋体" w:cs="宋体"/>
          <w:b/>
          <w:sz w:val="10"/>
        </w:rPr>
        <w:t>、</w:t>
      </w:r>
      <w:r>
        <w:rPr>
          <w:rFonts w:hint="eastAsia" w:ascii="宋体" w:hAnsi="宋体" w:eastAsia="宋体" w:cs="宋体"/>
          <w:b/>
          <w:sz w:val="24"/>
        </w:rPr>
        <w:t>项目的经济效益分析</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根据项目可行性研究报告</w:t>
      </w:r>
      <w:r>
        <w:rPr>
          <w:rFonts w:hint="eastAsia" w:ascii="宋体" w:hAnsi="宋体" w:eastAsia="宋体" w:cs="宋体"/>
          <w:sz w:val="10"/>
        </w:rPr>
        <w:t>，</w:t>
      </w:r>
      <w:r>
        <w:rPr>
          <w:rFonts w:hint="eastAsia" w:ascii="宋体" w:hAnsi="宋体" w:eastAsia="宋体" w:cs="宋体"/>
          <w:sz w:val="24"/>
        </w:rPr>
        <w:t>本项目建设期为</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本项目运营期平均息税前利润为</w:t>
      </w:r>
      <w:r>
        <w:rPr>
          <w:rFonts w:hint="eastAsia" w:ascii="Times New Roman" w:hAnsi="Times New Roman" w:eastAsia="Times New Roman" w:cs="Times New Roman"/>
          <w:sz w:val="24"/>
        </w:rPr>
        <w:t xml:space="preserve"> 2,803</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项目投资收益率为</w:t>
      </w:r>
      <w:r>
        <w:rPr>
          <w:rFonts w:hint="eastAsia" w:ascii="Times New Roman" w:hAnsi="Times New Roman" w:eastAsia="Times New Roman" w:cs="Times New Roman"/>
          <w:sz w:val="24"/>
        </w:rPr>
        <w:t xml:space="preserve"> 47.91%</w:t>
      </w:r>
      <w:r>
        <w:rPr>
          <w:rFonts w:hint="eastAsia" w:ascii="宋体" w:hAnsi="宋体" w:eastAsia="宋体" w:cs="宋体"/>
          <w:sz w:val="10"/>
        </w:rPr>
        <w:t>，</w:t>
      </w:r>
      <w:r>
        <w:rPr>
          <w:rFonts w:hint="eastAsia" w:ascii="宋体" w:hAnsi="宋体" w:eastAsia="宋体" w:cs="宋体"/>
          <w:sz w:val="24"/>
        </w:rPr>
        <w:t>全部投资税后内部收益率为</w:t>
      </w:r>
      <w:r>
        <w:rPr>
          <w:rFonts w:hint="eastAsia" w:ascii="Times New Roman" w:hAnsi="Times New Roman" w:eastAsia="Times New Roman" w:cs="Times New Roman"/>
          <w:sz w:val="24"/>
        </w:rPr>
        <w:t xml:space="preserve"> 25.90%</w:t>
      </w:r>
      <w:r>
        <w:rPr>
          <w:rFonts w:hint="eastAsia" w:ascii="宋体" w:hAnsi="宋体" w:eastAsia="宋体" w:cs="宋体"/>
          <w:sz w:val="10"/>
        </w:rPr>
        <w:t>，</w:t>
      </w:r>
      <w:r>
        <w:rPr>
          <w:rFonts w:hint="eastAsia" w:ascii="宋体" w:hAnsi="宋体" w:eastAsia="宋体" w:cs="宋体"/>
          <w:sz w:val="24"/>
        </w:rPr>
        <w:t>所得税后静态投资回收期为</w:t>
      </w:r>
      <w:r>
        <w:rPr>
          <w:rFonts w:hint="eastAsia" w:ascii="Times New Roman" w:hAnsi="Times New Roman" w:eastAsia="Times New Roman" w:cs="Times New Roman"/>
          <w:sz w:val="24"/>
        </w:rPr>
        <w:t xml:space="preserve"> 5.74</w:t>
      </w:r>
      <w:r>
        <w:rPr>
          <w:rFonts w:hint="eastAsia" w:ascii="宋体" w:hAnsi="宋体" w:eastAsia="宋体" w:cs="宋体"/>
          <w:sz w:val="24"/>
        </w:rPr>
        <w:t xml:space="preserve"> 年（含</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个月建设期）。</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（二）金融行业互联网化应用解决方案项目</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项目简况</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公司拟用部分募集资金投资于金融行业互联网化应用解决方案项目</w:t>
      </w:r>
      <w:r>
        <w:rPr>
          <w:rFonts w:hint="eastAsia" w:ascii="宋体" w:hAnsi="宋体" w:eastAsia="宋体" w:cs="宋体"/>
          <w:sz w:val="10"/>
        </w:rPr>
        <w:t>。</w:t>
      </w:r>
      <w:r>
        <w:rPr>
          <w:rFonts w:hint="eastAsia" w:ascii="宋体" w:hAnsi="宋体" w:eastAsia="宋体" w:cs="宋体"/>
          <w:sz w:val="24"/>
        </w:rPr>
        <w:t>公司在福州购置的房产中规划出</w:t>
      </w:r>
      <w:r>
        <w:rPr>
          <w:rFonts w:hint="eastAsia" w:ascii="Times New Roman" w:hAnsi="Times New Roman" w:eastAsia="Times New Roman" w:cs="Times New Roman"/>
          <w:sz w:val="24"/>
        </w:rPr>
        <w:t xml:space="preserve"> 1,167</w:t>
      </w:r>
      <w:r>
        <w:rPr>
          <w:rFonts w:hint="eastAsia" w:ascii="宋体" w:hAnsi="宋体" w:eastAsia="宋体" w:cs="宋体"/>
          <w:sz w:val="24"/>
        </w:rPr>
        <w:t xml:space="preserve"> 平米用于本项目办公场地</w:t>
      </w:r>
      <w:r>
        <w:rPr>
          <w:rFonts w:hint="eastAsia" w:ascii="宋体" w:hAnsi="宋体" w:eastAsia="宋体" w:cs="宋体"/>
          <w:sz w:val="10"/>
        </w:rPr>
        <w:t>，</w:t>
      </w:r>
      <w:r>
        <w:rPr>
          <w:rFonts w:hint="eastAsia" w:ascii="宋体" w:hAnsi="宋体" w:eastAsia="宋体" w:cs="宋体"/>
          <w:sz w:val="24"/>
        </w:rPr>
        <w:t>基于行业发展及监管要求</w:t>
      </w:r>
      <w:r>
        <w:rPr>
          <w:rFonts w:hint="eastAsia" w:ascii="宋体" w:hAnsi="宋体" w:eastAsia="宋体" w:cs="宋体"/>
          <w:sz w:val="10"/>
        </w:rPr>
        <w:t>，</w:t>
      </w:r>
      <w:r>
        <w:rPr>
          <w:rFonts w:hint="eastAsia" w:ascii="宋体" w:hAnsi="宋体" w:eastAsia="宋体" w:cs="宋体"/>
          <w:sz w:val="24"/>
        </w:rPr>
        <w:t>利用互联网技术为金融行业提供新型金融服务的基础业务运营支撑平台</w:t>
      </w:r>
      <w:r>
        <w:rPr>
          <w:rFonts w:hint="eastAsia" w:ascii="宋体" w:hAnsi="宋体" w:eastAsia="宋体" w:cs="宋体"/>
          <w:sz w:val="10"/>
        </w:rPr>
        <w:t>。</w:t>
      </w:r>
      <w:r>
        <w:rPr>
          <w:rFonts w:hint="eastAsia" w:ascii="宋体" w:hAnsi="宋体" w:eastAsia="宋体" w:cs="宋体"/>
          <w:sz w:val="24"/>
        </w:rPr>
        <w:t>项目将为金融机构从其用户的需求角度出发</w:t>
      </w:r>
      <w:r>
        <w:rPr>
          <w:rFonts w:hint="eastAsia" w:ascii="宋体" w:hAnsi="宋体" w:eastAsia="宋体" w:cs="宋体"/>
          <w:sz w:val="10"/>
        </w:rPr>
        <w:t>，</w:t>
      </w:r>
      <w:r>
        <w:rPr>
          <w:rFonts w:hint="eastAsia" w:ascii="宋体" w:hAnsi="宋体" w:eastAsia="宋体" w:cs="宋体"/>
          <w:sz w:val="24"/>
        </w:rPr>
        <w:t>针对传统的交易</w:t>
      </w:r>
      <w:r>
        <w:rPr>
          <w:rFonts w:hint="eastAsia" w:ascii="宋体" w:hAnsi="宋体" w:eastAsia="宋体" w:cs="宋体"/>
          <w:sz w:val="10"/>
        </w:rPr>
        <w:t>、</w:t>
      </w:r>
      <w:r>
        <w:rPr>
          <w:rFonts w:hint="eastAsia" w:ascii="宋体" w:hAnsi="宋体" w:eastAsia="宋体" w:cs="宋体"/>
          <w:sz w:val="24"/>
        </w:rPr>
        <w:t>托管结算</w:t>
      </w:r>
      <w:r>
        <w:rPr>
          <w:rFonts w:hint="eastAsia" w:ascii="宋体" w:hAnsi="宋体" w:eastAsia="宋体" w:cs="宋体"/>
          <w:sz w:val="10"/>
        </w:rPr>
        <w:t>、</w:t>
      </w:r>
      <w:r>
        <w:rPr>
          <w:rFonts w:hint="eastAsia" w:ascii="宋体" w:hAnsi="宋体" w:eastAsia="宋体" w:cs="宋体"/>
          <w:sz w:val="24"/>
        </w:rPr>
        <w:t>支付</w:t>
      </w:r>
      <w:r>
        <w:rPr>
          <w:rFonts w:hint="eastAsia" w:ascii="宋体" w:hAnsi="宋体" w:eastAsia="宋体" w:cs="宋体"/>
          <w:sz w:val="10"/>
        </w:rPr>
        <w:t>、</w:t>
      </w:r>
      <w:r>
        <w:rPr>
          <w:rFonts w:hint="eastAsia" w:ascii="宋体" w:hAnsi="宋体" w:eastAsia="宋体" w:cs="宋体"/>
          <w:sz w:val="24"/>
        </w:rPr>
        <w:t>投资等基础业务</w:t>
      </w:r>
      <w:r>
        <w:rPr>
          <w:rFonts w:hint="eastAsia" w:ascii="宋体" w:hAnsi="宋体" w:eastAsia="宋体" w:cs="宋体"/>
          <w:sz w:val="10"/>
        </w:rPr>
        <w:t>，</w:t>
      </w:r>
      <w:r>
        <w:rPr>
          <w:rFonts w:hint="eastAsia" w:ascii="宋体" w:hAnsi="宋体" w:eastAsia="宋体" w:cs="宋体"/>
          <w:sz w:val="24"/>
        </w:rPr>
        <w:t>在合规前提下开展互联网化的业务革新与升级</w:t>
      </w:r>
      <w:r>
        <w:rPr>
          <w:rFonts w:hint="eastAsia" w:ascii="宋体" w:hAnsi="宋体" w:eastAsia="宋体" w:cs="宋体"/>
          <w:sz w:val="10"/>
        </w:rPr>
        <w:t>，</w:t>
      </w:r>
      <w:r>
        <w:rPr>
          <w:rFonts w:hint="eastAsia" w:ascii="宋体" w:hAnsi="宋体" w:eastAsia="宋体" w:cs="宋体"/>
          <w:sz w:val="24"/>
        </w:rPr>
        <w:t>并提供应用解决方案</w:t>
      </w:r>
      <w:r>
        <w:rPr>
          <w:rFonts w:hint="eastAsia" w:ascii="宋体" w:hAnsi="宋体" w:eastAsia="宋体" w:cs="宋体"/>
          <w:sz w:val="10"/>
        </w:rPr>
        <w:t>，</w:t>
      </w:r>
      <w:r>
        <w:rPr>
          <w:rFonts w:hint="eastAsia" w:ascii="宋体" w:hAnsi="宋体" w:eastAsia="宋体" w:cs="宋体"/>
          <w:sz w:val="24"/>
        </w:rPr>
        <w:t>具体包括满足互联网财富管理需要的新型综合理财账户系统</w:t>
      </w:r>
      <w:r>
        <w:rPr>
          <w:rFonts w:hint="eastAsia" w:ascii="宋体" w:hAnsi="宋体" w:eastAsia="宋体" w:cs="宋体"/>
          <w:sz w:val="10"/>
        </w:rPr>
        <w:t>，</w:t>
      </w:r>
      <w:r>
        <w:rPr>
          <w:rFonts w:hint="eastAsia" w:ascii="宋体" w:hAnsi="宋体" w:eastAsia="宋体" w:cs="宋体"/>
          <w:sz w:val="24"/>
        </w:rPr>
        <w:t>灵活的资金管理与支付系统</w:t>
      </w:r>
      <w:r>
        <w:rPr>
          <w:rFonts w:hint="eastAsia" w:ascii="宋体" w:hAnsi="宋体" w:eastAsia="宋体" w:cs="宋体"/>
          <w:sz w:val="10"/>
        </w:rPr>
        <w:t>，</w:t>
      </w:r>
      <w:r>
        <w:rPr>
          <w:rFonts w:hint="eastAsia" w:ascii="宋体" w:hAnsi="宋体" w:eastAsia="宋体" w:cs="宋体"/>
          <w:sz w:val="24"/>
        </w:rPr>
        <w:t>单元化的多金融产品订单与基础管理系统</w:t>
      </w:r>
      <w:r>
        <w:rPr>
          <w:rFonts w:hint="eastAsia" w:ascii="宋体" w:hAnsi="宋体" w:eastAsia="宋体" w:cs="宋体"/>
          <w:sz w:val="10"/>
        </w:rPr>
        <w:t>，</w:t>
      </w:r>
      <w:r>
        <w:rPr>
          <w:rFonts w:hint="eastAsia" w:ascii="宋体" w:hAnsi="宋体" w:eastAsia="宋体" w:cs="宋体"/>
          <w:sz w:val="24"/>
        </w:rPr>
        <w:t>自动化</w:t>
      </w:r>
      <w:r>
        <w:rPr>
          <w:rFonts w:hint="eastAsia" w:ascii="宋体" w:hAnsi="宋体" w:eastAsia="宋体" w:cs="宋体"/>
          <w:sz w:val="10"/>
        </w:rPr>
        <w:t>、</w:t>
      </w:r>
      <w:r>
        <w:rPr>
          <w:rFonts w:hint="eastAsia" w:ascii="宋体" w:hAnsi="宋体" w:eastAsia="宋体" w:cs="宋体"/>
          <w:sz w:val="24"/>
        </w:rPr>
        <w:t>流程化的运营支持系统</w:t>
      </w:r>
      <w:r>
        <w:rPr>
          <w:rFonts w:hint="eastAsia" w:ascii="宋体" w:hAnsi="宋体" w:eastAsia="宋体" w:cs="宋体"/>
          <w:sz w:val="10"/>
        </w:rPr>
        <w:t>，</w:t>
      </w:r>
      <w:r>
        <w:rPr>
          <w:rFonts w:hint="eastAsia" w:ascii="宋体" w:hAnsi="宋体" w:eastAsia="宋体" w:cs="宋体"/>
          <w:sz w:val="24"/>
        </w:rPr>
        <w:t>金融产品适当性销售服务支持</w:t>
      </w:r>
      <w:r>
        <w:rPr>
          <w:rFonts w:hint="eastAsia" w:ascii="宋体" w:hAnsi="宋体" w:eastAsia="宋体" w:cs="宋体"/>
          <w:sz w:val="10"/>
        </w:rPr>
        <w:t>，</w:t>
      </w:r>
      <w:r>
        <w:rPr>
          <w:rFonts w:hint="eastAsia" w:ascii="宋体" w:hAnsi="宋体" w:eastAsia="宋体" w:cs="宋体"/>
          <w:sz w:val="24"/>
        </w:rPr>
        <w:t>基于互联网的</w:t>
      </w:r>
      <w:r>
        <w:rPr>
          <w:rFonts w:hint="eastAsia" w:ascii="Times New Roman" w:hAnsi="Times New Roman" w:eastAsia="Times New Roman" w:cs="Times New Roman"/>
          <w:sz w:val="24"/>
        </w:rPr>
        <w:t xml:space="preserve"> 7x24</w:t>
      </w:r>
      <w:r>
        <w:rPr>
          <w:rFonts w:hint="eastAsia" w:ascii="宋体" w:hAnsi="宋体" w:eastAsia="宋体" w:cs="宋体"/>
          <w:sz w:val="24"/>
        </w:rPr>
        <w:t xml:space="preserve"> 小时在线投资理财服务</w:t>
      </w:r>
      <w:r>
        <w:rPr>
          <w:rFonts w:hint="eastAsia" w:ascii="宋体" w:hAnsi="宋体" w:eastAsia="宋体" w:cs="宋体"/>
          <w:sz w:val="10"/>
        </w:rPr>
        <w:t>、</w:t>
      </w:r>
      <w:r>
        <w:rPr>
          <w:rFonts w:hint="eastAsia" w:ascii="宋体" w:hAnsi="宋体" w:eastAsia="宋体" w:cs="宋体"/>
          <w:sz w:val="24"/>
        </w:rPr>
        <w:t>投融资中介服务支持</w:t>
      </w:r>
      <w:r>
        <w:rPr>
          <w:rFonts w:hint="eastAsia" w:ascii="宋体" w:hAnsi="宋体" w:eastAsia="宋体" w:cs="宋体"/>
          <w:sz w:val="10"/>
        </w:rPr>
        <w:t>，</w:t>
      </w:r>
      <w:r>
        <w:rPr>
          <w:rFonts w:hint="eastAsia" w:ascii="宋体" w:hAnsi="宋体" w:eastAsia="宋体" w:cs="宋体"/>
          <w:sz w:val="24"/>
        </w:rPr>
        <w:t>以及全面的移动互联网化应用支持等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金融行业互联网化应用解决方案项目的建设将为金融行业机构面向互联网的业务转型提供核心业务支持</w:t>
      </w:r>
      <w:r>
        <w:rPr>
          <w:rFonts w:hint="eastAsia" w:ascii="宋体" w:hAnsi="宋体" w:eastAsia="宋体" w:cs="宋体"/>
          <w:sz w:val="10"/>
        </w:rPr>
        <w:t>，</w:t>
      </w:r>
      <w:r>
        <w:rPr>
          <w:rFonts w:hint="eastAsia" w:ascii="宋体" w:hAnsi="宋体" w:eastAsia="宋体" w:cs="宋体"/>
          <w:sz w:val="24"/>
        </w:rPr>
        <w:t>为金融业务的移动互联网化发展提供服务</w:t>
      </w:r>
      <w:r>
        <w:rPr>
          <w:rFonts w:hint="eastAsia" w:ascii="宋体" w:hAnsi="宋体" w:eastAsia="宋体" w:cs="宋体"/>
          <w:sz w:val="10"/>
        </w:rPr>
        <w:t>，</w:t>
      </w:r>
      <w:r>
        <w:rPr>
          <w:rFonts w:hint="eastAsia" w:ascii="宋体" w:hAnsi="宋体" w:eastAsia="宋体" w:cs="宋体"/>
          <w:sz w:val="24"/>
        </w:rPr>
        <w:t>从产品定位</w:t>
      </w:r>
      <w:r>
        <w:rPr>
          <w:rFonts w:hint="eastAsia" w:ascii="宋体" w:hAnsi="宋体" w:eastAsia="宋体" w:cs="宋体"/>
          <w:sz w:val="10"/>
        </w:rPr>
        <w:t>、</w:t>
      </w:r>
      <w:r>
        <w:rPr>
          <w:rFonts w:hint="eastAsia" w:ascii="宋体" w:hAnsi="宋体" w:eastAsia="宋体" w:cs="宋体"/>
          <w:sz w:val="24"/>
        </w:rPr>
        <w:t>技术指标</w:t>
      </w:r>
      <w:r>
        <w:rPr>
          <w:rFonts w:hint="eastAsia" w:ascii="宋体" w:hAnsi="宋体" w:eastAsia="宋体" w:cs="宋体"/>
          <w:sz w:val="10"/>
        </w:rPr>
        <w:t>、</w:t>
      </w:r>
      <w:r>
        <w:rPr>
          <w:rFonts w:hint="eastAsia" w:ascii="宋体" w:hAnsi="宋体" w:eastAsia="宋体" w:cs="宋体"/>
          <w:sz w:val="24"/>
        </w:rPr>
        <w:t>安全性</w:t>
      </w:r>
      <w:r>
        <w:rPr>
          <w:rFonts w:hint="eastAsia" w:ascii="宋体" w:hAnsi="宋体" w:eastAsia="宋体" w:cs="宋体"/>
          <w:sz w:val="10"/>
        </w:rPr>
        <w:t>、</w:t>
      </w:r>
      <w:r>
        <w:rPr>
          <w:rFonts w:hint="eastAsia" w:ascii="宋体" w:hAnsi="宋体" w:eastAsia="宋体" w:cs="宋体"/>
          <w:sz w:val="24"/>
        </w:rPr>
        <w:t>可移植性</w:t>
      </w:r>
      <w:r>
        <w:rPr>
          <w:rFonts w:hint="eastAsia" w:ascii="宋体" w:hAnsi="宋体" w:eastAsia="宋体" w:cs="宋体"/>
          <w:sz w:val="10"/>
        </w:rPr>
        <w:t>、</w:t>
      </w:r>
      <w:r>
        <w:rPr>
          <w:rFonts w:hint="eastAsia" w:ascii="宋体" w:hAnsi="宋体" w:eastAsia="宋体" w:cs="宋体"/>
          <w:sz w:val="24"/>
        </w:rPr>
        <w:t>可管理性等方面对金融行业传统金融解决方案进行全面升级改造</w:t>
      </w:r>
      <w:r>
        <w:rPr>
          <w:rFonts w:hint="eastAsia" w:ascii="宋体" w:hAnsi="宋体" w:eastAsia="宋体" w:cs="宋体"/>
          <w:sz w:val="10"/>
        </w:rPr>
        <w:t>。</w:t>
      </w:r>
      <w:r>
        <w:rPr>
          <w:rFonts w:hint="eastAsia" w:ascii="宋体" w:hAnsi="宋体" w:eastAsia="宋体" w:cs="宋体"/>
          <w:sz w:val="24"/>
        </w:rPr>
        <w:t>本项目将充分发挥金融科技的强大优势</w:t>
      </w:r>
      <w:r>
        <w:rPr>
          <w:rFonts w:hint="eastAsia" w:ascii="宋体" w:hAnsi="宋体" w:eastAsia="宋体" w:cs="宋体"/>
          <w:sz w:val="10"/>
        </w:rPr>
        <w:t>，</w:t>
      </w:r>
      <w:r>
        <w:rPr>
          <w:rFonts w:hint="eastAsia" w:ascii="宋体" w:hAnsi="宋体" w:eastAsia="宋体" w:cs="宋体"/>
          <w:sz w:val="24"/>
        </w:rPr>
        <w:t>以</w:t>
      </w:r>
      <w:r>
        <w:rPr>
          <w:rFonts w:hint="eastAsia" w:ascii="Times New Roman" w:hAnsi="Times New Roman" w:eastAsia="Times New Roman" w:cs="Times New Roman"/>
          <w:sz w:val="10"/>
        </w:rPr>
        <w:t>―</w:t>
      </w:r>
      <w:r>
        <w:rPr>
          <w:rFonts w:hint="eastAsia" w:ascii="宋体" w:hAnsi="宋体" w:eastAsia="宋体" w:cs="宋体"/>
          <w:sz w:val="24"/>
        </w:rPr>
        <w:t>金融机构</w:t>
      </w:r>
      <w:r>
        <w:rPr>
          <w:rFonts w:hint="eastAsia" w:ascii="Times New Roman" w:hAnsi="Times New Roman" w:eastAsia="Times New Roman" w:cs="Times New Roman"/>
          <w:sz w:val="24"/>
        </w:rPr>
        <w:t>+</w:t>
      </w:r>
      <w:r>
        <w:rPr>
          <w:rFonts w:hint="eastAsia" w:ascii="宋体" w:hAnsi="宋体" w:eastAsia="宋体" w:cs="宋体"/>
          <w:sz w:val="24"/>
        </w:rPr>
        <w:t>互联网</w:t>
      </w:r>
      <w:r>
        <w:rPr>
          <w:rFonts w:hint="eastAsia" w:ascii="Times New Roman" w:hAnsi="Times New Roman" w:eastAsia="Times New Roman" w:cs="Times New Roman"/>
          <w:sz w:val="10"/>
        </w:rPr>
        <w:t>‖</w:t>
      </w:r>
      <w:r>
        <w:rPr>
          <w:rFonts w:hint="eastAsia" w:ascii="宋体" w:hAnsi="宋体" w:eastAsia="宋体" w:cs="宋体"/>
          <w:sz w:val="24"/>
        </w:rPr>
        <w:t>为方向</w:t>
      </w:r>
      <w:r>
        <w:rPr>
          <w:rFonts w:hint="eastAsia" w:ascii="宋体" w:hAnsi="宋体" w:eastAsia="宋体" w:cs="宋体"/>
          <w:sz w:val="10"/>
        </w:rPr>
        <w:t>，</w:t>
      </w:r>
      <w:r>
        <w:rPr>
          <w:rFonts w:hint="eastAsia" w:ascii="宋体" w:hAnsi="宋体" w:eastAsia="宋体" w:cs="宋体"/>
          <w:sz w:val="24"/>
        </w:rPr>
        <w:t>在满足金融行业合规监管要求前提下</w:t>
      </w:r>
      <w:r>
        <w:rPr>
          <w:rFonts w:hint="eastAsia" w:ascii="宋体" w:hAnsi="宋体" w:eastAsia="宋体" w:cs="宋体"/>
          <w:sz w:val="10"/>
        </w:rPr>
        <w:t>，</w:t>
      </w:r>
      <w:r>
        <w:rPr>
          <w:rFonts w:hint="eastAsia" w:ascii="宋体" w:hAnsi="宋体" w:eastAsia="宋体" w:cs="宋体"/>
          <w:sz w:val="24"/>
        </w:rPr>
        <w:t>强调互联网技术与金融核心业务的深度整合</w:t>
      </w:r>
      <w:r>
        <w:rPr>
          <w:rFonts w:hint="eastAsia" w:ascii="宋体" w:hAnsi="宋体" w:eastAsia="宋体" w:cs="宋体"/>
          <w:sz w:val="10"/>
        </w:rPr>
        <w:t>，</w:t>
      </w:r>
      <w:r>
        <w:rPr>
          <w:rFonts w:hint="eastAsia" w:ascii="宋体" w:hAnsi="宋体" w:eastAsia="宋体" w:cs="宋体"/>
          <w:sz w:val="24"/>
        </w:rPr>
        <w:t>凸显其强</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1-1-313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jc w:val="both"/>
      </w:pPr>
      <w:r>
        <w:rPr>
          <w:rFonts w:hint="eastAsia" w:ascii="宋体" w:hAnsi="宋体" w:eastAsia="宋体" w:cs="宋体"/>
          <w:sz w:val="24"/>
        </w:rPr>
        <w:t>大的数据信息积累与挖掘优势</w:t>
      </w:r>
      <w:r>
        <w:rPr>
          <w:rFonts w:hint="eastAsia" w:ascii="宋体" w:hAnsi="宋体" w:eastAsia="宋体" w:cs="宋体"/>
          <w:sz w:val="10"/>
        </w:rPr>
        <w:t>，</w:t>
      </w:r>
      <w:r>
        <w:rPr>
          <w:rFonts w:hint="eastAsia" w:ascii="宋体" w:hAnsi="宋体" w:eastAsia="宋体" w:cs="宋体"/>
          <w:sz w:val="24"/>
        </w:rPr>
        <w:t>利用成本低</w:t>
      </w:r>
      <w:r>
        <w:rPr>
          <w:rFonts w:hint="eastAsia" w:ascii="宋体" w:hAnsi="宋体" w:eastAsia="宋体" w:cs="宋体"/>
          <w:sz w:val="10"/>
        </w:rPr>
        <w:t>、</w:t>
      </w:r>
      <w:r>
        <w:rPr>
          <w:rFonts w:hint="eastAsia" w:ascii="宋体" w:hAnsi="宋体" w:eastAsia="宋体" w:cs="宋体"/>
          <w:sz w:val="24"/>
        </w:rPr>
        <w:t>客户多的优越网络销售渠道</w:t>
      </w:r>
      <w:r>
        <w:rPr>
          <w:rFonts w:hint="eastAsia" w:ascii="宋体" w:hAnsi="宋体" w:eastAsia="宋体" w:cs="宋体"/>
          <w:sz w:val="10"/>
        </w:rPr>
        <w:t>，</w:t>
      </w:r>
      <w:r>
        <w:rPr>
          <w:rFonts w:hint="eastAsia" w:ascii="宋体" w:hAnsi="宋体" w:eastAsia="宋体" w:cs="宋体"/>
          <w:sz w:val="24"/>
        </w:rPr>
        <w:t>增强金融行业机构的市场竞争力</w:t>
      </w:r>
      <w:r>
        <w:rPr>
          <w:rFonts w:hint="eastAsia" w:ascii="宋体" w:hAnsi="宋体" w:eastAsia="宋体" w:cs="宋体"/>
          <w:sz w:val="10"/>
        </w:rPr>
        <w:t>，</w:t>
      </w:r>
      <w:r>
        <w:rPr>
          <w:rFonts w:hint="eastAsia" w:ascii="宋体" w:hAnsi="宋体" w:eastAsia="宋体" w:cs="宋体"/>
          <w:sz w:val="24"/>
        </w:rPr>
        <w:t>进而提升金融行业机构的整体竞争力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投资概算</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项目建设期</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总投资</w:t>
      </w:r>
      <w:r>
        <w:rPr>
          <w:rFonts w:hint="eastAsia" w:ascii="Times New Roman" w:hAnsi="Times New Roman" w:eastAsia="Times New Roman" w:cs="Times New Roman"/>
          <w:sz w:val="24"/>
        </w:rPr>
        <w:t xml:space="preserve"> 12,430.07</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其中软硬件投入</w:t>
      </w:r>
      <w:r>
        <w:rPr>
          <w:rFonts w:hint="eastAsia" w:ascii="Times New Roman" w:hAnsi="Times New Roman" w:eastAsia="Times New Roman" w:cs="Times New Roman"/>
          <w:sz w:val="24"/>
        </w:rPr>
        <w:t xml:space="preserve"> 3,708.54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场地购置及装修投入</w:t>
      </w:r>
      <w:r>
        <w:rPr>
          <w:rFonts w:hint="eastAsia" w:ascii="Times New Roman" w:hAnsi="Times New Roman" w:eastAsia="Times New Roman" w:cs="Times New Roman"/>
          <w:sz w:val="24"/>
        </w:rPr>
        <w:t xml:space="preserve"> 4,358.90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项目实施费用</w:t>
      </w:r>
      <w:r>
        <w:rPr>
          <w:rFonts w:hint="eastAsia" w:ascii="Times New Roman" w:hAnsi="Times New Roman" w:eastAsia="Times New Roman" w:cs="Times New Roman"/>
          <w:sz w:val="24"/>
        </w:rPr>
        <w:t xml:space="preserve"> 2,492.80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铺底流动资金</w:t>
      </w:r>
      <w:r>
        <w:rPr>
          <w:rFonts w:hint="eastAsia" w:ascii="Times New Roman" w:hAnsi="Times New Roman" w:eastAsia="Times New Roman" w:cs="Times New Roman"/>
          <w:sz w:val="24"/>
        </w:rPr>
        <w:t xml:space="preserve"> 1,869.84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项目总体投资概算情况如下表</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60"/>
        <w:gridCol w:w="5780"/>
        <w:gridCol w:w="2520"/>
      </w:tblGrid>
      <w:tr>
        <w:trPr>
          <w:trHeight w:val="480" w:hRule="exact"/>
        </w:trPr>
        <w:tc>
          <w:tcPr>
            <w:tcW w:w="960" w:type="dxa"/>
            <w:tcMar>
              <w:top w:w="0" w:type="dxa"/>
              <w:left w:w="0" w:type="dxa"/>
              <w:bottom w:w="0" w:type="dxa"/>
              <w:right w:w="0" w:type="dxa"/>
            </w:tcMar>
          </w:tcPr>
          <w:p>
            <w:pPr>
              <w:spacing w:before="120"/>
              <w:ind w:left="240"/>
            </w:pPr>
            <w:r>
              <w:rPr>
                <w:rFonts w:hint="eastAsia" w:ascii="宋体" w:hAnsi="宋体" w:eastAsia="宋体" w:cs="宋体"/>
                <w:b/>
                <w:sz w:val="21"/>
              </w:rPr>
              <w:t>序号</w:t>
            </w:r>
          </w:p>
        </w:tc>
        <w:tc>
          <w:tcPr>
            <w:tcW w:w="5780" w:type="dxa"/>
            <w:tcMar>
              <w:top w:w="0" w:type="dxa"/>
              <w:left w:w="0" w:type="dxa"/>
              <w:bottom w:w="0" w:type="dxa"/>
              <w:right w:w="0" w:type="dxa"/>
            </w:tcMar>
          </w:tcPr>
          <w:p>
            <w:pPr>
              <w:spacing w:before="120"/>
              <w:ind w:left="2120"/>
            </w:pPr>
            <w:r>
              <w:rPr>
                <w:rFonts w:hint="eastAsia" w:ascii="宋体" w:hAnsi="宋体" w:eastAsia="宋体" w:cs="宋体"/>
                <w:b/>
                <w:sz w:val="21"/>
              </w:rPr>
              <w:t>项目或费用名称</w:t>
            </w:r>
          </w:p>
        </w:tc>
        <w:tc>
          <w:tcPr>
            <w:tcW w:w="2520" w:type="dxa"/>
            <w:tcMar>
              <w:top w:w="0" w:type="dxa"/>
              <w:left w:w="0" w:type="dxa"/>
              <w:bottom w:w="0" w:type="dxa"/>
              <w:right w:w="0" w:type="dxa"/>
            </w:tcMar>
          </w:tcPr>
          <w:p>
            <w:pPr>
              <w:spacing w:before="120"/>
              <w:ind w:left="1040"/>
            </w:pPr>
            <w:r>
              <w:rPr>
                <w:rFonts w:hint="eastAsia" w:ascii="宋体" w:hAnsi="宋体" w:eastAsia="宋体" w:cs="宋体"/>
                <w:b/>
                <w:sz w:val="21"/>
              </w:rPr>
              <w:t>金额</w:t>
            </w:r>
          </w:p>
        </w:tc>
      </w:tr>
      <w:tr>
        <w:trPr>
          <w:trHeight w:val="480" w:hRule="exact"/>
        </w:trPr>
        <w:tc>
          <w:tcPr>
            <w:tcW w:w="960" w:type="dxa"/>
            <w:tcMar>
              <w:top w:w="0" w:type="dxa"/>
              <w:left w:w="0" w:type="dxa"/>
              <w:bottom w:w="0" w:type="dxa"/>
              <w:right w:w="0" w:type="dxa"/>
            </w:tcMar>
          </w:tcPr>
          <w:p>
            <w:pPr>
              <w:spacing w:before="300"/>
              <w:ind w:left="360"/>
            </w:pPr>
            <w:r>
              <w:rPr>
                <w:rFonts w:hint="eastAsia" w:ascii="宋体" w:hAnsi="宋体" w:eastAsia="宋体" w:cs="宋体"/>
                <w:sz w:val="20"/>
              </w:rPr>
              <w:t>一</w:t>
            </w:r>
          </w:p>
        </w:tc>
        <w:tc>
          <w:tcPr>
            <w:tcW w:w="5780" w:type="dxa"/>
            <w:tcMar>
              <w:top w:w="0" w:type="dxa"/>
              <w:left w:w="0" w:type="dxa"/>
              <w:bottom w:w="0" w:type="dxa"/>
              <w:right w:w="0" w:type="dxa"/>
            </w:tcMar>
          </w:tcPr>
          <w:p>
            <w:pPr>
              <w:spacing w:before="120"/>
            </w:pPr>
            <w:r>
              <w:rPr>
                <w:rFonts w:hint="eastAsia" w:ascii="宋体" w:hAnsi="宋体" w:eastAsia="宋体" w:cs="宋体"/>
                <w:sz w:val="21"/>
              </w:rPr>
              <w:t>建设投资</w:t>
            </w:r>
          </w:p>
        </w:tc>
        <w:tc>
          <w:tcPr>
            <w:tcW w:w="2520" w:type="dxa"/>
            <w:tcMar>
              <w:top w:w="0" w:type="dxa"/>
              <w:left w:w="0" w:type="dxa"/>
              <w:bottom w:w="0" w:type="dxa"/>
              <w:right w:w="0" w:type="dxa"/>
            </w:tcMar>
          </w:tcPr>
          <w:p>
            <w:pPr>
              <w:spacing w:before="160"/>
              <w:ind w:left="1560"/>
            </w:pPr>
            <w:r>
              <w:rPr>
                <w:rFonts w:hint="eastAsia" w:ascii="Times New Roman" w:hAnsi="Times New Roman" w:eastAsia="Times New Roman" w:cs="Times New Roman"/>
                <w:sz w:val="21"/>
              </w:rPr>
              <w:t>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560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24</w:t>
            </w:r>
          </w:p>
        </w:tc>
      </w:tr>
      <w:tr>
        <w:trPr>
          <w:trHeight w:val="480" w:hRule="exact"/>
        </w:trPr>
        <w:tc>
          <w:tcPr>
            <w:tcW w:w="96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1</w:t>
            </w:r>
          </w:p>
        </w:tc>
        <w:tc>
          <w:tcPr>
            <w:tcW w:w="5780" w:type="dxa"/>
            <w:tcMar>
              <w:top w:w="0" w:type="dxa"/>
              <w:left w:w="0" w:type="dxa"/>
              <w:bottom w:w="0" w:type="dxa"/>
              <w:right w:w="0" w:type="dxa"/>
            </w:tcMar>
          </w:tcPr>
          <w:p>
            <w:pPr>
              <w:spacing w:before="100"/>
            </w:pPr>
            <w:r>
              <w:rPr>
                <w:rFonts w:hint="eastAsia" w:ascii="宋体" w:hAnsi="宋体" w:eastAsia="宋体" w:cs="宋体"/>
                <w:sz w:val="21"/>
              </w:rPr>
              <w:t>软硬件投入</w:t>
            </w:r>
          </w:p>
        </w:tc>
        <w:tc>
          <w:tcPr>
            <w:tcW w:w="2520" w:type="dxa"/>
            <w:tcMar>
              <w:top w:w="0" w:type="dxa"/>
              <w:left w:w="0" w:type="dxa"/>
              <w:bottom w:w="0" w:type="dxa"/>
              <w:right w:w="0" w:type="dxa"/>
            </w:tcMar>
          </w:tcPr>
          <w:p>
            <w:pPr>
              <w:spacing w:before="140"/>
              <w:ind w:left="16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w:t>
            </w:r>
          </w:p>
        </w:tc>
      </w:tr>
      <w:tr>
        <w:trPr>
          <w:trHeight w:val="480" w:hRule="exact"/>
        </w:trPr>
        <w:tc>
          <w:tcPr>
            <w:tcW w:w="9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780" w:type="dxa"/>
            <w:tcMar>
              <w:top w:w="0" w:type="dxa"/>
              <w:left w:w="0" w:type="dxa"/>
              <w:bottom w:w="0" w:type="dxa"/>
              <w:right w:w="0" w:type="dxa"/>
            </w:tcMar>
          </w:tcPr>
          <w:p>
            <w:pPr>
              <w:spacing w:before="100"/>
            </w:pPr>
            <w:r>
              <w:rPr>
                <w:rFonts w:hint="eastAsia" w:ascii="宋体" w:hAnsi="宋体" w:eastAsia="宋体" w:cs="宋体"/>
                <w:sz w:val="21"/>
              </w:rPr>
              <w:t>研发及测试平台硬件投资</w:t>
            </w:r>
          </w:p>
        </w:tc>
        <w:tc>
          <w:tcPr>
            <w:tcW w:w="252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9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780" w:type="dxa"/>
            <w:tcMar>
              <w:top w:w="0" w:type="dxa"/>
              <w:left w:w="0" w:type="dxa"/>
              <w:bottom w:w="0" w:type="dxa"/>
              <w:right w:w="0" w:type="dxa"/>
            </w:tcMar>
          </w:tcPr>
          <w:p>
            <w:pPr>
              <w:spacing w:before="100"/>
            </w:pPr>
            <w:r>
              <w:rPr>
                <w:rFonts w:hint="eastAsia" w:ascii="宋体" w:hAnsi="宋体" w:eastAsia="宋体" w:cs="宋体"/>
                <w:sz w:val="21"/>
              </w:rPr>
              <w:t>研发及测试平台软件投资</w:t>
            </w:r>
          </w:p>
        </w:tc>
        <w:tc>
          <w:tcPr>
            <w:tcW w:w="252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r>
      <w:tr>
        <w:trPr>
          <w:trHeight w:val="480" w:hRule="exact"/>
        </w:trPr>
        <w:tc>
          <w:tcPr>
            <w:tcW w:w="96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780" w:type="dxa"/>
            <w:tcMar>
              <w:top w:w="0" w:type="dxa"/>
              <w:left w:w="0" w:type="dxa"/>
              <w:bottom w:w="0" w:type="dxa"/>
              <w:right w:w="0" w:type="dxa"/>
            </w:tcMar>
          </w:tcPr>
          <w:p>
            <w:pPr>
              <w:spacing w:before="120"/>
            </w:pPr>
            <w:r>
              <w:rPr>
                <w:rFonts w:hint="eastAsia" w:ascii="宋体" w:hAnsi="宋体" w:eastAsia="宋体" w:cs="宋体"/>
                <w:sz w:val="21"/>
              </w:rPr>
              <w:t>网络及设备安装费</w:t>
            </w:r>
          </w:p>
        </w:tc>
        <w:tc>
          <w:tcPr>
            <w:tcW w:w="2520" w:type="dxa"/>
            <w:tcMar>
              <w:top w:w="0" w:type="dxa"/>
              <w:left w:w="0" w:type="dxa"/>
              <w:bottom w:w="0" w:type="dxa"/>
              <w:right w:w="0" w:type="dxa"/>
            </w:tcMar>
          </w:tcPr>
          <w:p>
            <w:pPr>
              <w:spacing w:before="180"/>
              <w:ind w:left="1820"/>
            </w:pPr>
            <w:r>
              <w:rPr>
                <w:rFonts w:hint="eastAsia" w:ascii="Times New Roman" w:hAnsi="Times New Roman" w:eastAsia="Times New Roman" w:cs="Times New Roman"/>
                <w:sz w:val="21"/>
              </w:rPr>
              <w:t>142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64</w:t>
            </w:r>
          </w:p>
        </w:tc>
      </w:tr>
      <w:tr>
        <w:trPr>
          <w:trHeight w:val="480" w:hRule="exact"/>
        </w:trPr>
        <w:tc>
          <w:tcPr>
            <w:tcW w:w="96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2</w:t>
            </w:r>
          </w:p>
        </w:tc>
        <w:tc>
          <w:tcPr>
            <w:tcW w:w="5780" w:type="dxa"/>
            <w:tcMar>
              <w:top w:w="0" w:type="dxa"/>
              <w:left w:w="0" w:type="dxa"/>
              <w:bottom w:w="0" w:type="dxa"/>
              <w:right w:w="0" w:type="dxa"/>
            </w:tcMar>
          </w:tcPr>
          <w:p>
            <w:pPr>
              <w:spacing w:before="100"/>
            </w:pPr>
            <w:r>
              <w:rPr>
                <w:rFonts w:hint="eastAsia" w:ascii="宋体" w:hAnsi="宋体" w:eastAsia="宋体" w:cs="宋体"/>
                <w:sz w:val="21"/>
              </w:rPr>
              <w:t>场地投入</w:t>
            </w:r>
          </w:p>
        </w:tc>
        <w:tc>
          <w:tcPr>
            <w:tcW w:w="2520" w:type="dxa"/>
            <w:tcMar>
              <w:top w:w="0" w:type="dxa"/>
              <w:left w:w="0" w:type="dxa"/>
              <w:bottom w:w="0" w:type="dxa"/>
              <w:right w:w="0" w:type="dxa"/>
            </w:tcMar>
          </w:tcPr>
          <w:p>
            <w:pPr>
              <w:spacing w:before="140"/>
              <w:ind w:left="16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358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r>
      <w:tr>
        <w:trPr>
          <w:trHeight w:val="460" w:hRule="exact"/>
        </w:trPr>
        <w:tc>
          <w:tcPr>
            <w:tcW w:w="9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780" w:type="dxa"/>
            <w:tcMar>
              <w:top w:w="0" w:type="dxa"/>
              <w:left w:w="0" w:type="dxa"/>
              <w:bottom w:w="0" w:type="dxa"/>
              <w:right w:w="0" w:type="dxa"/>
            </w:tcMar>
          </w:tcPr>
          <w:p>
            <w:pPr>
              <w:spacing w:before="120"/>
            </w:pPr>
            <w:r>
              <w:rPr>
                <w:rFonts w:hint="eastAsia" w:ascii="宋体" w:hAnsi="宋体" w:eastAsia="宋体" w:cs="宋体"/>
                <w:sz w:val="21"/>
              </w:rPr>
              <w:t>房屋购置投入</w:t>
            </w:r>
          </w:p>
        </w:tc>
        <w:tc>
          <w:tcPr>
            <w:tcW w:w="252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r>
      <w:tr>
        <w:trPr>
          <w:trHeight w:val="480" w:hRule="exact"/>
        </w:trPr>
        <w:tc>
          <w:tcPr>
            <w:tcW w:w="96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780" w:type="dxa"/>
            <w:tcMar>
              <w:top w:w="0" w:type="dxa"/>
              <w:left w:w="0" w:type="dxa"/>
              <w:bottom w:w="0" w:type="dxa"/>
              <w:right w:w="0" w:type="dxa"/>
            </w:tcMar>
          </w:tcPr>
          <w:p>
            <w:pPr>
              <w:spacing w:before="120"/>
            </w:pPr>
            <w:r>
              <w:rPr>
                <w:rFonts w:hint="eastAsia" w:ascii="宋体" w:hAnsi="宋体" w:eastAsia="宋体" w:cs="宋体"/>
                <w:sz w:val="21"/>
              </w:rPr>
              <w:t>房屋配套装修投入</w:t>
            </w:r>
          </w:p>
        </w:tc>
        <w:tc>
          <w:tcPr>
            <w:tcW w:w="2520" w:type="dxa"/>
            <w:tcMar>
              <w:top w:w="0" w:type="dxa"/>
              <w:left w:w="0" w:type="dxa"/>
              <w:bottom w:w="0" w:type="dxa"/>
              <w:right w:w="0" w:type="dxa"/>
            </w:tcMar>
          </w:tcPr>
          <w:p>
            <w:pPr>
              <w:spacing w:before="180"/>
              <w:ind w:left="1820"/>
            </w:pPr>
            <w:r>
              <w:rPr>
                <w:rFonts w:hint="eastAsia" w:ascii="Times New Roman" w:hAnsi="Times New Roman" w:eastAsia="Times New Roman" w:cs="Times New Roman"/>
                <w:sz w:val="21"/>
              </w:rPr>
              <w:t>274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r>
      <w:tr>
        <w:trPr>
          <w:trHeight w:val="480" w:hRule="exact"/>
        </w:trPr>
        <w:tc>
          <w:tcPr>
            <w:tcW w:w="96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3</w:t>
            </w:r>
          </w:p>
        </w:tc>
        <w:tc>
          <w:tcPr>
            <w:tcW w:w="5780" w:type="dxa"/>
            <w:tcMar>
              <w:top w:w="0" w:type="dxa"/>
              <w:left w:w="0" w:type="dxa"/>
              <w:bottom w:w="0" w:type="dxa"/>
              <w:right w:w="0" w:type="dxa"/>
            </w:tcMar>
          </w:tcPr>
          <w:p>
            <w:pPr>
              <w:spacing w:before="120"/>
            </w:pPr>
            <w:r>
              <w:rPr>
                <w:rFonts w:hint="eastAsia" w:ascii="宋体" w:hAnsi="宋体" w:eastAsia="宋体" w:cs="宋体"/>
                <w:sz w:val="21"/>
              </w:rPr>
              <w:t>项目实施费用</w:t>
            </w:r>
          </w:p>
        </w:tc>
        <w:tc>
          <w:tcPr>
            <w:tcW w:w="252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492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r>
      <w:tr>
        <w:trPr>
          <w:trHeight w:val="480" w:hRule="exact"/>
        </w:trPr>
        <w:tc>
          <w:tcPr>
            <w:tcW w:w="9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780" w:type="dxa"/>
            <w:tcMar>
              <w:top w:w="0" w:type="dxa"/>
              <w:left w:w="0" w:type="dxa"/>
              <w:bottom w:w="0" w:type="dxa"/>
              <w:right w:w="0" w:type="dxa"/>
            </w:tcMar>
          </w:tcPr>
          <w:p>
            <w:pPr>
              <w:spacing w:before="100"/>
            </w:pPr>
            <w:r>
              <w:rPr>
                <w:rFonts w:hint="eastAsia" w:ascii="宋体" w:hAnsi="宋体" w:eastAsia="宋体" w:cs="宋体"/>
                <w:sz w:val="21"/>
              </w:rPr>
              <w:t>软件研发及测试费用</w:t>
            </w:r>
          </w:p>
        </w:tc>
        <w:tc>
          <w:tcPr>
            <w:tcW w:w="252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138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9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780" w:type="dxa"/>
            <w:tcMar>
              <w:top w:w="0" w:type="dxa"/>
              <w:left w:w="0" w:type="dxa"/>
              <w:bottom w:w="0" w:type="dxa"/>
              <w:right w:w="0" w:type="dxa"/>
            </w:tcMar>
          </w:tcPr>
          <w:p>
            <w:pPr>
              <w:spacing w:before="120"/>
            </w:pPr>
            <w:r>
              <w:rPr>
                <w:rFonts w:hint="eastAsia" w:ascii="宋体" w:hAnsi="宋体" w:eastAsia="宋体" w:cs="宋体"/>
                <w:sz w:val="21"/>
              </w:rPr>
              <w:t>调研</w:t>
            </w:r>
            <w:r>
              <w:rPr>
                <w:rFonts w:hint="eastAsia" w:ascii="宋体" w:hAnsi="宋体" w:eastAsia="宋体" w:cs="宋体"/>
                <w:sz w:val="10"/>
              </w:rPr>
              <w:t>、</w:t>
            </w:r>
            <w:r>
              <w:rPr>
                <w:rFonts w:hint="eastAsia" w:ascii="宋体" w:hAnsi="宋体" w:eastAsia="宋体" w:cs="宋体"/>
                <w:sz w:val="21"/>
              </w:rPr>
              <w:t>咨询</w:t>
            </w:r>
            <w:r>
              <w:rPr>
                <w:rFonts w:hint="eastAsia" w:ascii="宋体" w:hAnsi="宋体" w:eastAsia="宋体" w:cs="宋体"/>
                <w:sz w:val="10"/>
              </w:rPr>
              <w:t>、</w:t>
            </w:r>
            <w:r>
              <w:rPr>
                <w:rFonts w:hint="eastAsia" w:ascii="宋体" w:hAnsi="宋体" w:eastAsia="宋体" w:cs="宋体"/>
                <w:sz w:val="21"/>
              </w:rPr>
              <w:t>论证等其他费用</w:t>
            </w:r>
          </w:p>
        </w:tc>
        <w:tc>
          <w:tcPr>
            <w:tcW w:w="252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213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r>
      <w:tr>
        <w:trPr>
          <w:trHeight w:val="460" w:hRule="exact"/>
        </w:trPr>
        <w:tc>
          <w:tcPr>
            <w:tcW w:w="9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780" w:type="dxa"/>
            <w:tcMar>
              <w:top w:w="0" w:type="dxa"/>
              <w:left w:w="0" w:type="dxa"/>
              <w:bottom w:w="0" w:type="dxa"/>
              <w:right w:w="0" w:type="dxa"/>
            </w:tcMar>
          </w:tcPr>
          <w:p>
            <w:pPr>
              <w:spacing w:before="100"/>
            </w:pPr>
            <w:r>
              <w:rPr>
                <w:rFonts w:hint="eastAsia" w:ascii="宋体" w:hAnsi="宋体" w:eastAsia="宋体" w:cs="宋体"/>
                <w:sz w:val="21"/>
              </w:rPr>
              <w:t>项目培训费用</w:t>
            </w:r>
          </w:p>
        </w:tc>
        <w:tc>
          <w:tcPr>
            <w:tcW w:w="252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141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960" w:type="dxa"/>
            <w:tcMar>
              <w:top w:w="0" w:type="dxa"/>
              <w:left w:w="0" w:type="dxa"/>
              <w:bottom w:w="0" w:type="dxa"/>
              <w:right w:w="0" w:type="dxa"/>
            </w:tcMar>
          </w:tcPr>
          <w:p>
            <w:pPr>
              <w:spacing w:before="200"/>
              <w:ind w:left="360"/>
            </w:pPr>
            <w:r>
              <w:rPr>
                <w:rFonts w:hint="eastAsia" w:ascii="宋体" w:hAnsi="宋体" w:eastAsia="宋体" w:cs="宋体"/>
                <w:sz w:val="20"/>
              </w:rPr>
              <w:t>二</w:t>
            </w:r>
          </w:p>
        </w:tc>
        <w:tc>
          <w:tcPr>
            <w:tcW w:w="5780" w:type="dxa"/>
            <w:tcMar>
              <w:top w:w="0" w:type="dxa"/>
              <w:left w:w="0" w:type="dxa"/>
              <w:bottom w:w="0" w:type="dxa"/>
              <w:right w:w="0" w:type="dxa"/>
            </w:tcMar>
          </w:tcPr>
          <w:p>
            <w:pPr>
              <w:spacing w:before="120"/>
            </w:pPr>
            <w:r>
              <w:rPr>
                <w:rFonts w:hint="eastAsia" w:ascii="宋体" w:hAnsi="宋体" w:eastAsia="宋体" w:cs="宋体"/>
                <w:sz w:val="21"/>
              </w:rPr>
              <w:t>铺底流动资金</w:t>
            </w:r>
          </w:p>
        </w:tc>
        <w:tc>
          <w:tcPr>
            <w:tcW w:w="2520" w:type="dxa"/>
            <w:tcMar>
              <w:top w:w="0" w:type="dxa"/>
              <w:left w:w="0" w:type="dxa"/>
              <w:bottom w:w="0" w:type="dxa"/>
              <w:right w:w="0" w:type="dxa"/>
            </w:tcMar>
          </w:tcPr>
          <w:p>
            <w:pPr>
              <w:spacing w:before="100"/>
              <w:ind w:left="1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869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84</w:t>
            </w:r>
          </w:p>
        </w:tc>
      </w:tr>
      <w:tr>
        <w:trPr>
          <w:trHeight w:val="460" w:hRule="exact"/>
        </w:trPr>
        <w:tc>
          <w:tcPr>
            <w:tcW w:w="960" w:type="dxa"/>
            <w:tcMar>
              <w:top w:w="0" w:type="dxa"/>
              <w:left w:w="0" w:type="dxa"/>
              <w:bottom w:w="0" w:type="dxa"/>
              <w:right w:w="0" w:type="dxa"/>
            </w:tcMar>
          </w:tcPr>
          <w:p>
            <w:pPr>
              <w:spacing w:before="140"/>
              <w:ind w:left="360"/>
            </w:pPr>
            <w:r>
              <w:rPr>
                <w:rFonts w:hint="eastAsia" w:ascii="宋体" w:hAnsi="宋体" w:eastAsia="宋体" w:cs="宋体"/>
                <w:sz w:val="21"/>
              </w:rPr>
              <w:t>三</w:t>
            </w:r>
          </w:p>
        </w:tc>
        <w:tc>
          <w:tcPr>
            <w:tcW w:w="5780" w:type="dxa"/>
            <w:tcMar>
              <w:top w:w="0" w:type="dxa"/>
              <w:left w:w="0" w:type="dxa"/>
              <w:bottom w:w="0" w:type="dxa"/>
              <w:right w:w="0" w:type="dxa"/>
            </w:tcMar>
          </w:tcPr>
          <w:p>
            <w:pPr>
              <w:spacing w:before="100"/>
            </w:pPr>
            <w:r>
              <w:rPr>
                <w:rFonts w:hint="eastAsia" w:ascii="宋体" w:hAnsi="宋体" w:eastAsia="宋体" w:cs="宋体"/>
                <w:sz w:val="21"/>
              </w:rPr>
              <w:t>项目总投资</w:t>
            </w:r>
          </w:p>
        </w:tc>
        <w:tc>
          <w:tcPr>
            <w:tcW w:w="2520" w:type="dxa"/>
            <w:tcMar>
              <w:top w:w="0" w:type="dxa"/>
              <w:left w:w="0" w:type="dxa"/>
              <w:bottom w:w="0" w:type="dxa"/>
              <w:right w:w="0" w:type="dxa"/>
            </w:tcMar>
          </w:tcPr>
          <w:p>
            <w:pPr>
              <w:spacing w:before="140"/>
              <w:ind w:left="156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07</w:t>
            </w:r>
          </w:p>
        </w:tc>
      </w:tr>
    </w:tbl>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时间周期和进度</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本项目建设周期共计</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投资总额为</w:t>
      </w:r>
      <w:r>
        <w:rPr>
          <w:rFonts w:hint="eastAsia" w:ascii="Times New Roman" w:hAnsi="Times New Roman" w:eastAsia="Times New Roman" w:cs="Times New Roman"/>
          <w:sz w:val="24"/>
        </w:rPr>
        <w:t xml:space="preserve"> 12,430.07</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其中前</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11,418.27</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后</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 xml:space="preserve"> 1,011.80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截至本招股说明书签署日</w:t>
      </w:r>
      <w:r>
        <w:rPr>
          <w:rFonts w:hint="eastAsia" w:ascii="宋体" w:hAnsi="宋体" w:eastAsia="宋体" w:cs="宋体"/>
          <w:sz w:val="10"/>
        </w:rPr>
        <w:t>，</w:t>
      </w:r>
      <w:r>
        <w:rPr>
          <w:rFonts w:hint="eastAsia" w:ascii="宋体" w:hAnsi="宋体" w:eastAsia="宋体" w:cs="宋体"/>
          <w:sz w:val="24"/>
        </w:rPr>
        <w:t>该项目尚未开始建设实施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项目审批或备案情况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5620"/>
        <w:jc w:val="both"/>
      </w:pPr>
      <w:r>
        <w:rPr>
          <w:rFonts w:hint="eastAsia" w:ascii="Times New Roman" w:hAnsi="Times New Roman" w:eastAsia="Times New Roman" w:cs="Times New Roman"/>
          <w:sz w:val="21"/>
        </w:rPr>
        <w:t>1-1-314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项目已在福州市台江区发展和改革局备案</w:t>
      </w:r>
      <w:r>
        <w:rPr>
          <w:rFonts w:hint="eastAsia" w:ascii="宋体" w:hAnsi="宋体" w:eastAsia="宋体" w:cs="宋体"/>
          <w:sz w:val="10"/>
        </w:rPr>
        <w:t>，</w:t>
      </w:r>
      <w:r>
        <w:rPr>
          <w:rFonts w:hint="eastAsia" w:ascii="宋体" w:hAnsi="宋体" w:eastAsia="宋体" w:cs="宋体"/>
          <w:sz w:val="24"/>
        </w:rPr>
        <w:t>并取得编号为</w:t>
      </w:r>
      <w:r>
        <w:rPr>
          <w:rFonts w:hint="eastAsia" w:ascii="宋体" w:hAnsi="宋体" w:eastAsia="宋体" w:cs="宋体"/>
          <w:sz w:val="10"/>
        </w:rPr>
        <w:t>“</w:t>
      </w:r>
      <w:r>
        <w:rPr>
          <w:rFonts w:hint="eastAsia" w:ascii="宋体" w:hAnsi="宋体" w:eastAsia="宋体" w:cs="宋体"/>
          <w:sz w:val="24"/>
        </w:rPr>
        <w:t>闽发改备</w:t>
      </w:r>
      <w:r>
        <w:rPr>
          <w:rFonts w:hint="eastAsia" w:ascii="Times New Roman" w:hAnsi="Times New Roman" w:eastAsia="Times New Roman" w:cs="Times New Roman"/>
          <w:sz w:val="24"/>
        </w:rPr>
        <w:t>[2017]A02013</w:t>
      </w:r>
      <w:r>
        <w:rPr>
          <w:rFonts w:hint="eastAsia" w:ascii="宋体" w:hAnsi="宋体" w:eastAsia="宋体" w:cs="宋体"/>
          <w:sz w:val="24"/>
        </w:rPr>
        <w:t>号</w:t>
      </w:r>
      <w:r>
        <w:rPr>
          <w:rFonts w:hint="eastAsia" w:ascii="宋体" w:hAnsi="宋体" w:eastAsia="宋体" w:cs="宋体"/>
          <w:sz w:val="10"/>
        </w:rPr>
        <w:t>”</w:t>
      </w:r>
      <w:r>
        <w:rPr>
          <w:rFonts w:hint="eastAsia" w:ascii="宋体" w:hAnsi="宋体" w:eastAsia="宋体" w:cs="宋体"/>
          <w:sz w:val="24"/>
        </w:rPr>
        <w:t>的备案确认书</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项目选址</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公司已与福建升龙房地产开发有限公司签署了办公场地购买意向书</w:t>
      </w:r>
      <w:r>
        <w:rPr>
          <w:rFonts w:hint="eastAsia" w:ascii="宋体" w:hAnsi="宋体" w:eastAsia="宋体" w:cs="宋体"/>
          <w:sz w:val="10"/>
        </w:rPr>
        <w:t>，</w:t>
      </w:r>
      <w:r>
        <w:rPr>
          <w:rFonts w:hint="eastAsia" w:ascii="宋体" w:hAnsi="宋体" w:eastAsia="宋体" w:cs="宋体"/>
          <w:sz w:val="24"/>
        </w:rPr>
        <w:t>拟向其购买位于福州市台江区鳌峰街道光明南路</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号升龙大厦的办公场地</w:t>
      </w:r>
      <w:r>
        <w:rPr>
          <w:rFonts w:hint="eastAsia" w:ascii="宋体" w:hAnsi="宋体" w:eastAsia="宋体" w:cs="宋体"/>
          <w:sz w:val="10"/>
        </w:rPr>
        <w:t>，</w:t>
      </w:r>
      <w:r>
        <w:rPr>
          <w:rFonts w:hint="eastAsia" w:ascii="宋体" w:hAnsi="宋体" w:eastAsia="宋体" w:cs="宋体"/>
          <w:sz w:val="24"/>
        </w:rPr>
        <w:t>用于募投项目建设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6</w:t>
      </w:r>
      <w:r>
        <w:rPr>
          <w:rFonts w:hint="eastAsia" w:ascii="宋体" w:hAnsi="宋体" w:eastAsia="宋体" w:cs="宋体"/>
          <w:b/>
          <w:sz w:val="10"/>
        </w:rPr>
        <w:t>、</w:t>
      </w:r>
      <w:r>
        <w:rPr>
          <w:rFonts w:hint="eastAsia" w:ascii="宋体" w:hAnsi="宋体" w:eastAsia="宋体" w:cs="宋体"/>
          <w:b/>
          <w:sz w:val="24"/>
        </w:rPr>
        <w:t>项目的经济效益分析</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根据项目可行性研究报告</w:t>
      </w:r>
      <w:r>
        <w:rPr>
          <w:rFonts w:hint="eastAsia" w:ascii="宋体" w:hAnsi="宋体" w:eastAsia="宋体" w:cs="宋体"/>
          <w:sz w:val="10"/>
        </w:rPr>
        <w:t>，</w:t>
      </w:r>
      <w:r>
        <w:rPr>
          <w:rFonts w:hint="eastAsia" w:ascii="宋体" w:hAnsi="宋体" w:eastAsia="宋体" w:cs="宋体"/>
          <w:sz w:val="24"/>
        </w:rPr>
        <w:t>本项目建设期为</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本项目运营期平均息税前利润为</w:t>
      </w:r>
      <w:r>
        <w:rPr>
          <w:rFonts w:hint="eastAsia" w:ascii="Times New Roman" w:hAnsi="Times New Roman" w:eastAsia="Times New Roman" w:cs="Times New Roman"/>
          <w:sz w:val="24"/>
        </w:rPr>
        <w:t xml:space="preserve"> 5,684</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项目投资收益率为</w:t>
      </w:r>
      <w:r>
        <w:rPr>
          <w:rFonts w:hint="eastAsia" w:ascii="Times New Roman" w:hAnsi="Times New Roman" w:eastAsia="Times New Roman" w:cs="Times New Roman"/>
          <w:sz w:val="24"/>
        </w:rPr>
        <w:t xml:space="preserve"> 45.72%</w:t>
      </w:r>
      <w:r>
        <w:rPr>
          <w:rFonts w:hint="eastAsia" w:ascii="宋体" w:hAnsi="宋体" w:eastAsia="宋体" w:cs="宋体"/>
          <w:sz w:val="10"/>
        </w:rPr>
        <w:t>，</w:t>
      </w:r>
      <w:r>
        <w:rPr>
          <w:rFonts w:hint="eastAsia" w:ascii="宋体" w:hAnsi="宋体" w:eastAsia="宋体" w:cs="宋体"/>
          <w:sz w:val="24"/>
        </w:rPr>
        <w:t>全部投资税后内部收益率为</w:t>
      </w:r>
      <w:r>
        <w:rPr>
          <w:rFonts w:hint="eastAsia" w:ascii="Times New Roman" w:hAnsi="Times New Roman" w:eastAsia="Times New Roman" w:cs="Times New Roman"/>
          <w:sz w:val="24"/>
        </w:rPr>
        <w:t xml:space="preserve"> 26.00%</w:t>
      </w:r>
      <w:r>
        <w:rPr>
          <w:rFonts w:hint="eastAsia" w:ascii="宋体" w:hAnsi="宋体" w:eastAsia="宋体" w:cs="宋体"/>
          <w:sz w:val="10"/>
        </w:rPr>
        <w:t>，</w:t>
      </w:r>
      <w:r>
        <w:rPr>
          <w:rFonts w:hint="eastAsia" w:ascii="宋体" w:hAnsi="宋体" w:eastAsia="宋体" w:cs="宋体"/>
          <w:sz w:val="24"/>
        </w:rPr>
        <w:t>所得税后静态投资回收期为</w:t>
      </w:r>
      <w:r>
        <w:rPr>
          <w:rFonts w:hint="eastAsia" w:ascii="Times New Roman" w:hAnsi="Times New Roman" w:eastAsia="Times New Roman" w:cs="Times New Roman"/>
          <w:sz w:val="24"/>
        </w:rPr>
        <w:t xml:space="preserve"> 5.62</w:t>
      </w:r>
      <w:r>
        <w:rPr>
          <w:rFonts w:hint="eastAsia" w:ascii="宋体" w:hAnsi="宋体" w:eastAsia="宋体" w:cs="宋体"/>
          <w:sz w:val="24"/>
        </w:rPr>
        <w:t xml:space="preserve"> 年（含</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个月建设期）。</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（三）流程券商（含期货）解决方案项目</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项目简况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公司拟用部分募集资金投资于流程券商（含期货）解决方案项目</w:t>
      </w:r>
      <w:r>
        <w:rPr>
          <w:rFonts w:hint="eastAsia" w:ascii="宋体" w:hAnsi="宋体" w:eastAsia="宋体" w:cs="宋体"/>
          <w:sz w:val="10"/>
        </w:rPr>
        <w:t>，</w:t>
      </w:r>
      <w:r>
        <w:rPr>
          <w:rFonts w:hint="eastAsia" w:ascii="宋体" w:hAnsi="宋体" w:eastAsia="宋体" w:cs="宋体"/>
          <w:sz w:val="24"/>
        </w:rPr>
        <w:t>在福州购置的房产中规划出</w:t>
      </w:r>
      <w:r>
        <w:rPr>
          <w:rFonts w:hint="eastAsia" w:ascii="Times New Roman" w:hAnsi="Times New Roman" w:eastAsia="Times New Roman" w:cs="Times New Roman"/>
          <w:sz w:val="24"/>
        </w:rPr>
        <w:t xml:space="preserve"> 1,458</w:t>
      </w:r>
      <w:r>
        <w:rPr>
          <w:rFonts w:hint="eastAsia" w:ascii="宋体" w:hAnsi="宋体" w:eastAsia="宋体" w:cs="宋体"/>
          <w:sz w:val="24"/>
        </w:rPr>
        <w:t xml:space="preserve"> 平米用于本项目办公场地</w:t>
      </w:r>
      <w:r>
        <w:rPr>
          <w:rFonts w:hint="eastAsia" w:ascii="宋体" w:hAnsi="宋体" w:eastAsia="宋体" w:cs="宋体"/>
          <w:sz w:val="10"/>
        </w:rPr>
        <w:t>，</w:t>
      </w:r>
      <w:r>
        <w:rPr>
          <w:rFonts w:hint="eastAsia" w:ascii="宋体" w:hAnsi="宋体" w:eastAsia="宋体" w:cs="宋体"/>
          <w:sz w:val="24"/>
        </w:rPr>
        <w:t>完成柜面的标准化作业系统</w:t>
      </w:r>
      <w:r>
        <w:rPr>
          <w:rFonts w:hint="eastAsia" w:ascii="宋体" w:hAnsi="宋体" w:eastAsia="宋体" w:cs="宋体"/>
          <w:sz w:val="10"/>
        </w:rPr>
        <w:t>、</w:t>
      </w:r>
      <w:r>
        <w:rPr>
          <w:rFonts w:hint="eastAsia" w:ascii="宋体" w:hAnsi="宋体" w:eastAsia="宋体" w:cs="宋体"/>
          <w:sz w:val="24"/>
        </w:rPr>
        <w:t>营销服务的差异化系统和后台的精细化管理系统的优化和升级</w:t>
      </w:r>
      <w:r>
        <w:rPr>
          <w:rFonts w:hint="eastAsia" w:ascii="宋体" w:hAnsi="宋体" w:eastAsia="宋体" w:cs="宋体"/>
          <w:sz w:val="10"/>
        </w:rPr>
        <w:t>，</w:t>
      </w:r>
      <w:r>
        <w:rPr>
          <w:rFonts w:hint="eastAsia" w:ascii="宋体" w:hAnsi="宋体" w:eastAsia="宋体" w:cs="宋体"/>
          <w:sz w:val="24"/>
        </w:rPr>
        <w:t>以及根据客户需要</w:t>
      </w:r>
      <w:r>
        <w:rPr>
          <w:rFonts w:hint="eastAsia" w:ascii="宋体" w:hAnsi="宋体" w:eastAsia="宋体" w:cs="宋体"/>
          <w:sz w:val="10"/>
        </w:rPr>
        <w:t>，</w:t>
      </w:r>
      <w:r>
        <w:rPr>
          <w:rFonts w:hint="eastAsia" w:ascii="宋体" w:hAnsi="宋体" w:eastAsia="宋体" w:cs="宋体"/>
          <w:sz w:val="24"/>
        </w:rPr>
        <w:t>进行新增模块的研发</w:t>
      </w:r>
      <w:r>
        <w:rPr>
          <w:rFonts w:hint="eastAsia" w:ascii="宋体" w:hAnsi="宋体" w:eastAsia="宋体" w:cs="宋体"/>
          <w:sz w:val="14"/>
        </w:rPr>
        <w:t>；</w:t>
      </w:r>
      <w:r>
        <w:rPr>
          <w:rFonts w:hint="eastAsia" w:ascii="宋体" w:hAnsi="宋体" w:eastAsia="宋体" w:cs="宋体"/>
          <w:sz w:val="24"/>
        </w:rPr>
        <w:t>并在公司现有的产品技术储备</w:t>
      </w:r>
      <w:r>
        <w:rPr>
          <w:rFonts w:hint="eastAsia" w:ascii="宋体" w:hAnsi="宋体" w:eastAsia="宋体" w:cs="宋体"/>
          <w:sz w:val="10"/>
        </w:rPr>
        <w:t>、</w:t>
      </w:r>
      <w:r>
        <w:rPr>
          <w:rFonts w:hint="eastAsia" w:ascii="宋体" w:hAnsi="宋体" w:eastAsia="宋体" w:cs="宋体"/>
          <w:sz w:val="24"/>
        </w:rPr>
        <w:t>客户资源等优势的基础上引进更为先进的开发所需要的硬件</w:t>
      </w:r>
      <w:r>
        <w:rPr>
          <w:rFonts w:hint="eastAsia" w:ascii="宋体" w:hAnsi="宋体" w:eastAsia="宋体" w:cs="宋体"/>
          <w:sz w:val="10"/>
        </w:rPr>
        <w:t>、</w:t>
      </w:r>
      <w:r>
        <w:rPr>
          <w:rFonts w:hint="eastAsia" w:ascii="宋体" w:hAnsi="宋体" w:eastAsia="宋体" w:cs="宋体"/>
          <w:sz w:val="24"/>
        </w:rPr>
        <w:t>软件及相关配套设备</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流程券商（含期货）解决方案项目基于</w:t>
      </w:r>
      <w:r>
        <w:rPr>
          <w:rFonts w:hint="eastAsia" w:ascii="宋体" w:hAnsi="宋体" w:eastAsia="宋体" w:cs="宋体"/>
          <w:sz w:val="10"/>
        </w:rPr>
        <w:t>“</w:t>
      </w:r>
      <w:r>
        <w:rPr>
          <w:rFonts w:hint="eastAsia" w:ascii="宋体" w:hAnsi="宋体" w:eastAsia="宋体" w:cs="宋体"/>
          <w:sz w:val="24"/>
        </w:rPr>
        <w:t>流程券商</w:t>
      </w:r>
      <w:r>
        <w:rPr>
          <w:rFonts w:hint="eastAsia" w:ascii="宋体" w:hAnsi="宋体" w:eastAsia="宋体" w:cs="宋体"/>
          <w:sz w:val="10"/>
        </w:rPr>
        <w:t>”</w:t>
      </w:r>
      <w:r>
        <w:rPr>
          <w:rFonts w:hint="eastAsia" w:ascii="宋体" w:hAnsi="宋体" w:eastAsia="宋体" w:cs="宋体"/>
          <w:sz w:val="24"/>
        </w:rPr>
        <w:t>的角度</w:t>
      </w:r>
      <w:r>
        <w:rPr>
          <w:rFonts w:hint="eastAsia" w:ascii="宋体" w:hAnsi="宋体" w:eastAsia="宋体" w:cs="宋体"/>
          <w:sz w:val="10"/>
        </w:rPr>
        <w:t>，</w:t>
      </w:r>
      <w:r>
        <w:rPr>
          <w:rFonts w:hint="eastAsia" w:ascii="宋体" w:hAnsi="宋体" w:eastAsia="宋体" w:cs="宋体"/>
          <w:sz w:val="24"/>
        </w:rPr>
        <w:t>从产品定位</w:t>
      </w:r>
      <w:r>
        <w:rPr>
          <w:rFonts w:hint="eastAsia" w:ascii="宋体" w:hAnsi="宋体" w:eastAsia="宋体" w:cs="宋体"/>
          <w:sz w:val="10"/>
        </w:rPr>
        <w:t>、</w:t>
      </w:r>
      <w:r>
        <w:rPr>
          <w:rFonts w:hint="eastAsia" w:ascii="宋体" w:hAnsi="宋体" w:eastAsia="宋体" w:cs="宋体"/>
          <w:sz w:val="24"/>
        </w:rPr>
        <w:t>技术指标</w:t>
      </w:r>
      <w:r>
        <w:rPr>
          <w:rFonts w:hint="eastAsia" w:ascii="宋体" w:hAnsi="宋体" w:eastAsia="宋体" w:cs="宋体"/>
          <w:sz w:val="10"/>
        </w:rPr>
        <w:t>、</w:t>
      </w:r>
      <w:r>
        <w:rPr>
          <w:rFonts w:hint="eastAsia" w:ascii="宋体" w:hAnsi="宋体" w:eastAsia="宋体" w:cs="宋体"/>
          <w:sz w:val="24"/>
        </w:rPr>
        <w:t>安全性</w:t>
      </w:r>
      <w:r>
        <w:rPr>
          <w:rFonts w:hint="eastAsia" w:ascii="宋体" w:hAnsi="宋体" w:eastAsia="宋体" w:cs="宋体"/>
          <w:sz w:val="10"/>
        </w:rPr>
        <w:t>、</w:t>
      </w:r>
      <w:r>
        <w:rPr>
          <w:rFonts w:hint="eastAsia" w:ascii="宋体" w:hAnsi="宋体" w:eastAsia="宋体" w:cs="宋体"/>
          <w:sz w:val="24"/>
        </w:rPr>
        <w:t>可移植性</w:t>
      </w:r>
      <w:r>
        <w:rPr>
          <w:rFonts w:hint="eastAsia" w:ascii="宋体" w:hAnsi="宋体" w:eastAsia="宋体" w:cs="宋体"/>
          <w:sz w:val="10"/>
        </w:rPr>
        <w:t>、</w:t>
      </w:r>
      <w:r>
        <w:rPr>
          <w:rFonts w:hint="eastAsia" w:ascii="宋体" w:hAnsi="宋体" w:eastAsia="宋体" w:cs="宋体"/>
          <w:sz w:val="24"/>
        </w:rPr>
        <w:t>可管理性等方面对证券期货行业前台</w:t>
      </w:r>
      <w:r>
        <w:rPr>
          <w:rFonts w:hint="eastAsia" w:ascii="宋体" w:hAnsi="宋体" w:eastAsia="宋体" w:cs="宋体"/>
          <w:sz w:val="10"/>
        </w:rPr>
        <w:t>、</w:t>
      </w:r>
      <w:r>
        <w:rPr>
          <w:rFonts w:hint="eastAsia" w:ascii="宋体" w:hAnsi="宋体" w:eastAsia="宋体" w:cs="宋体"/>
          <w:sz w:val="24"/>
        </w:rPr>
        <w:t>中台</w:t>
      </w:r>
      <w:r>
        <w:rPr>
          <w:rFonts w:hint="eastAsia" w:ascii="宋体" w:hAnsi="宋体" w:eastAsia="宋体" w:cs="宋体"/>
          <w:sz w:val="10"/>
        </w:rPr>
        <w:t>、</w:t>
      </w:r>
      <w:r>
        <w:rPr>
          <w:rFonts w:hint="eastAsia" w:ascii="宋体" w:hAnsi="宋体" w:eastAsia="宋体" w:cs="宋体"/>
          <w:sz w:val="24"/>
        </w:rPr>
        <w:t>后台进行全面优化升级</w:t>
      </w:r>
      <w:r>
        <w:rPr>
          <w:rFonts w:hint="eastAsia" w:ascii="宋体" w:hAnsi="宋体" w:eastAsia="宋体" w:cs="宋体"/>
          <w:sz w:val="10"/>
        </w:rPr>
        <w:t>。</w:t>
      </w:r>
      <w:r>
        <w:rPr>
          <w:rFonts w:hint="eastAsia" w:ascii="宋体" w:hAnsi="宋体" w:eastAsia="宋体" w:cs="宋体"/>
          <w:sz w:val="24"/>
        </w:rPr>
        <w:t>项目研发的流程券商（含期货）解决方案是全面实现服务产品自动化</w:t>
      </w:r>
      <w:r>
        <w:rPr>
          <w:rFonts w:hint="eastAsia" w:ascii="宋体" w:hAnsi="宋体" w:eastAsia="宋体" w:cs="宋体"/>
          <w:sz w:val="10"/>
        </w:rPr>
        <w:t>、</w:t>
      </w:r>
      <w:r>
        <w:rPr>
          <w:rFonts w:hint="eastAsia" w:ascii="宋体" w:hAnsi="宋体" w:eastAsia="宋体" w:cs="宋体"/>
          <w:sz w:val="24"/>
        </w:rPr>
        <w:t>智能型的业务流程管理平台</w:t>
      </w:r>
      <w:r>
        <w:rPr>
          <w:rFonts w:hint="eastAsia" w:ascii="宋体" w:hAnsi="宋体" w:eastAsia="宋体" w:cs="宋体"/>
          <w:sz w:val="10"/>
        </w:rPr>
        <w:t>。</w:t>
      </w:r>
      <w:r>
        <w:rPr>
          <w:rFonts w:hint="eastAsia" w:ascii="宋体" w:hAnsi="宋体" w:eastAsia="宋体" w:cs="宋体"/>
          <w:sz w:val="24"/>
        </w:rPr>
        <w:t>平台在技术创新上体现出集成性</w:t>
      </w:r>
      <w:r>
        <w:rPr>
          <w:rFonts w:hint="eastAsia" w:ascii="宋体" w:hAnsi="宋体" w:eastAsia="宋体" w:cs="宋体"/>
          <w:sz w:val="10"/>
        </w:rPr>
        <w:t>、</w:t>
      </w:r>
      <w:r>
        <w:rPr>
          <w:rFonts w:hint="eastAsia" w:ascii="宋体" w:hAnsi="宋体" w:eastAsia="宋体" w:cs="宋体"/>
          <w:sz w:val="24"/>
        </w:rPr>
        <w:t>协同性</w:t>
      </w:r>
      <w:r>
        <w:rPr>
          <w:rFonts w:hint="eastAsia" w:ascii="宋体" w:hAnsi="宋体" w:eastAsia="宋体" w:cs="宋体"/>
          <w:sz w:val="10"/>
        </w:rPr>
        <w:t>、</w:t>
      </w:r>
      <w:r>
        <w:rPr>
          <w:rFonts w:hint="eastAsia" w:ascii="宋体" w:hAnsi="宋体" w:eastAsia="宋体" w:cs="宋体"/>
          <w:sz w:val="24"/>
        </w:rPr>
        <w:t>拓展性</w:t>
      </w:r>
      <w:r>
        <w:rPr>
          <w:rFonts w:hint="eastAsia" w:ascii="宋体" w:hAnsi="宋体" w:eastAsia="宋体" w:cs="宋体"/>
          <w:sz w:val="10"/>
        </w:rPr>
        <w:t>、</w:t>
      </w:r>
      <w:r>
        <w:rPr>
          <w:rFonts w:hint="eastAsia" w:ascii="宋体" w:hAnsi="宋体" w:eastAsia="宋体" w:cs="宋体"/>
          <w:sz w:val="24"/>
        </w:rPr>
        <w:t>安全性</w:t>
      </w:r>
      <w:r>
        <w:rPr>
          <w:rFonts w:hint="eastAsia" w:ascii="宋体" w:hAnsi="宋体" w:eastAsia="宋体" w:cs="宋体"/>
          <w:sz w:val="10"/>
        </w:rPr>
        <w:t>、</w:t>
      </w:r>
      <w:r>
        <w:rPr>
          <w:rFonts w:hint="eastAsia" w:ascii="宋体" w:hAnsi="宋体" w:eastAsia="宋体" w:cs="宋体"/>
          <w:sz w:val="24"/>
        </w:rPr>
        <w:t>流程性等特点</w:t>
      </w:r>
      <w:r>
        <w:rPr>
          <w:rFonts w:hint="eastAsia" w:ascii="宋体" w:hAnsi="宋体" w:eastAsia="宋体" w:cs="宋体"/>
          <w:sz w:val="10"/>
        </w:rPr>
        <w:t>，</w:t>
      </w:r>
      <w:r>
        <w:rPr>
          <w:rFonts w:hint="eastAsia" w:ascii="宋体" w:hAnsi="宋体" w:eastAsia="宋体" w:cs="宋体"/>
          <w:sz w:val="24"/>
        </w:rPr>
        <w:t>具有明显的业务功能优势</w:t>
      </w:r>
      <w:r>
        <w:rPr>
          <w:rFonts w:hint="eastAsia" w:ascii="宋体" w:hAnsi="宋体" w:eastAsia="宋体" w:cs="宋体"/>
          <w:sz w:val="10"/>
        </w:rPr>
        <w:t>，</w:t>
      </w:r>
      <w:r>
        <w:rPr>
          <w:rFonts w:hint="eastAsia" w:ascii="宋体" w:hAnsi="宋体" w:eastAsia="宋体" w:cs="宋体"/>
          <w:sz w:val="24"/>
        </w:rPr>
        <w:t>能够增强公司产品的市场竞争力</w:t>
      </w:r>
      <w:r>
        <w:rPr>
          <w:rFonts w:hint="eastAsia" w:ascii="宋体" w:hAnsi="宋体" w:eastAsia="宋体" w:cs="宋体"/>
          <w:sz w:val="10"/>
        </w:rPr>
        <w:t>，</w:t>
      </w:r>
      <w:r>
        <w:rPr>
          <w:rFonts w:hint="eastAsia" w:ascii="宋体" w:hAnsi="宋体" w:eastAsia="宋体" w:cs="宋体"/>
          <w:sz w:val="24"/>
        </w:rPr>
        <w:t>进而提升公司的整体竞争力</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投资概算</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项目建设期</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总投资</w:t>
      </w:r>
      <w:r>
        <w:rPr>
          <w:rFonts w:hint="eastAsia" w:ascii="Times New Roman" w:hAnsi="Times New Roman" w:eastAsia="Times New Roman" w:cs="Times New Roman"/>
          <w:sz w:val="24"/>
        </w:rPr>
        <w:t xml:space="preserve"> 14,726.01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其中软硬件投入</w:t>
      </w:r>
      <w:r>
        <w:rPr>
          <w:rFonts w:hint="eastAsia" w:ascii="Times New Roman" w:hAnsi="Times New Roman" w:eastAsia="Times New Roman" w:cs="Times New Roman"/>
          <w:sz w:val="24"/>
        </w:rPr>
        <w:t xml:space="preserve"> 2,813.41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场地购置及装修投入</w:t>
      </w:r>
      <w:r>
        <w:rPr>
          <w:rFonts w:hint="eastAsia" w:ascii="Times New Roman" w:hAnsi="Times New Roman" w:eastAsia="Times New Roman" w:cs="Times New Roman"/>
          <w:sz w:val="24"/>
        </w:rPr>
        <w:t xml:space="preserve"> 5,456.60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项目实施费用</w:t>
      </w:r>
      <w:r>
        <w:rPr>
          <w:rFonts w:hint="eastAsia" w:ascii="Times New Roman" w:hAnsi="Times New Roman" w:eastAsia="Times New Roman" w:cs="Times New Roman"/>
          <w:sz w:val="24"/>
        </w:rPr>
        <w:t xml:space="preserve"> 3,859.00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铺底流动资金</w:t>
      </w:r>
      <w:r>
        <w:rPr>
          <w:rFonts w:hint="eastAsia" w:ascii="Times New Roman" w:hAnsi="Times New Roman" w:eastAsia="Times New Roman" w:cs="Times New Roman"/>
          <w:sz w:val="24"/>
        </w:rPr>
        <w:t xml:space="preserve"> 2,597.00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项目总体投资概算情况如下表</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1-1-315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0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20"/>
        <w:gridCol w:w="5180"/>
        <w:gridCol w:w="2860"/>
      </w:tblGrid>
      <w:tr>
        <w:trPr>
          <w:trHeight w:val="460" w:hRule="exact"/>
        </w:trPr>
        <w:tc>
          <w:tcPr>
            <w:tcW w:w="1220" w:type="dxa"/>
            <w:tcMar>
              <w:top w:w="0" w:type="dxa"/>
              <w:left w:w="0" w:type="dxa"/>
              <w:bottom w:w="0" w:type="dxa"/>
              <w:right w:w="0" w:type="dxa"/>
            </w:tcMar>
          </w:tcPr>
          <w:p>
            <w:pPr>
              <w:spacing w:before="120"/>
              <w:ind w:left="380"/>
            </w:pPr>
            <w:r>
              <w:rPr>
                <w:rFonts w:hint="eastAsia" w:ascii="宋体" w:hAnsi="宋体" w:eastAsia="宋体" w:cs="宋体"/>
                <w:b/>
                <w:sz w:val="21"/>
              </w:rPr>
              <w:t>序号</w:t>
            </w:r>
          </w:p>
        </w:tc>
        <w:tc>
          <w:tcPr>
            <w:tcW w:w="5180" w:type="dxa"/>
            <w:tcMar>
              <w:top w:w="0" w:type="dxa"/>
              <w:left w:w="0" w:type="dxa"/>
              <w:bottom w:w="0" w:type="dxa"/>
              <w:right w:w="0" w:type="dxa"/>
            </w:tcMar>
          </w:tcPr>
          <w:p>
            <w:pPr>
              <w:spacing w:before="100"/>
              <w:ind w:left="1820"/>
            </w:pPr>
            <w:r>
              <w:rPr>
                <w:rFonts w:hint="eastAsia" w:ascii="宋体" w:hAnsi="宋体" w:eastAsia="宋体" w:cs="宋体"/>
                <w:b/>
                <w:sz w:val="21"/>
              </w:rPr>
              <w:t>项目或费用名称</w:t>
            </w:r>
          </w:p>
        </w:tc>
        <w:tc>
          <w:tcPr>
            <w:tcW w:w="2860" w:type="dxa"/>
            <w:tcMar>
              <w:top w:w="0" w:type="dxa"/>
              <w:left w:w="0" w:type="dxa"/>
              <w:bottom w:w="0" w:type="dxa"/>
              <w:right w:w="0" w:type="dxa"/>
            </w:tcMar>
          </w:tcPr>
          <w:p>
            <w:pPr>
              <w:spacing w:before="100"/>
              <w:ind w:left="1200"/>
            </w:pPr>
            <w:r>
              <w:rPr>
                <w:rFonts w:hint="eastAsia" w:ascii="宋体" w:hAnsi="宋体" w:eastAsia="宋体" w:cs="宋体"/>
                <w:b/>
                <w:sz w:val="21"/>
              </w:rPr>
              <w:t>金额</w:t>
            </w:r>
          </w:p>
        </w:tc>
      </w:tr>
      <w:tr>
        <w:trPr>
          <w:trHeight w:val="480" w:hRule="exact"/>
        </w:trPr>
        <w:tc>
          <w:tcPr>
            <w:tcW w:w="1220" w:type="dxa"/>
            <w:tcMar>
              <w:top w:w="0" w:type="dxa"/>
              <w:left w:w="0" w:type="dxa"/>
              <w:bottom w:w="0" w:type="dxa"/>
              <w:right w:w="0" w:type="dxa"/>
            </w:tcMar>
          </w:tcPr>
          <w:p>
            <w:pPr>
              <w:spacing w:before="300"/>
              <w:ind w:left="480"/>
            </w:pPr>
            <w:r>
              <w:rPr>
                <w:rFonts w:hint="eastAsia" w:ascii="宋体" w:hAnsi="宋体" w:eastAsia="宋体" w:cs="宋体"/>
                <w:sz w:val="20"/>
              </w:rPr>
              <w:t>一</w:t>
            </w:r>
          </w:p>
        </w:tc>
        <w:tc>
          <w:tcPr>
            <w:tcW w:w="5180" w:type="dxa"/>
            <w:tcMar>
              <w:top w:w="0" w:type="dxa"/>
              <w:left w:w="0" w:type="dxa"/>
              <w:bottom w:w="0" w:type="dxa"/>
              <w:right w:w="0" w:type="dxa"/>
            </w:tcMar>
          </w:tcPr>
          <w:p>
            <w:pPr>
              <w:spacing w:before="120"/>
            </w:pPr>
            <w:r>
              <w:rPr>
                <w:rFonts w:hint="eastAsia" w:ascii="宋体" w:hAnsi="宋体" w:eastAsia="宋体" w:cs="宋体"/>
                <w:sz w:val="21"/>
              </w:rPr>
              <w:t>建设投资</w:t>
            </w:r>
          </w:p>
        </w:tc>
        <w:tc>
          <w:tcPr>
            <w:tcW w:w="2860" w:type="dxa"/>
            <w:tcMar>
              <w:top w:w="0" w:type="dxa"/>
              <w:left w:w="0" w:type="dxa"/>
              <w:bottom w:w="0" w:type="dxa"/>
              <w:right w:w="0" w:type="dxa"/>
            </w:tcMar>
          </w:tcPr>
          <w:p>
            <w:pPr>
              <w:spacing w:before="180"/>
              <w:ind w:left="1900"/>
            </w:pPr>
            <w:r>
              <w:rPr>
                <w:rFonts w:hint="eastAsia" w:ascii="Times New Roman" w:hAnsi="Times New Roman" w:eastAsia="Times New Roman" w:cs="Times New Roman"/>
                <w:sz w:val="21"/>
              </w:rPr>
              <w:t>12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129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r>
      <w:tr>
        <w:trPr>
          <w:trHeight w:val="480" w:hRule="exact"/>
        </w:trPr>
        <w:tc>
          <w:tcPr>
            <w:tcW w:w="1220" w:type="dxa"/>
            <w:tcMar>
              <w:top w:w="0" w:type="dxa"/>
              <w:left w:w="0" w:type="dxa"/>
              <w:bottom w:w="0" w:type="dxa"/>
              <w:right w:w="0" w:type="dxa"/>
            </w:tcMar>
          </w:tcPr>
          <w:p>
            <w:pPr>
              <w:spacing w:before="140"/>
              <w:ind w:left="540"/>
            </w:pP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20"/>
            </w:pPr>
            <w:r>
              <w:rPr>
                <w:rFonts w:hint="eastAsia" w:ascii="宋体" w:hAnsi="宋体" w:eastAsia="宋体" w:cs="宋体"/>
                <w:sz w:val="21"/>
              </w:rPr>
              <w:t>软硬件投入</w:t>
            </w:r>
          </w:p>
        </w:tc>
        <w:tc>
          <w:tcPr>
            <w:tcW w:w="286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41</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00"/>
            </w:pPr>
            <w:r>
              <w:rPr>
                <w:rFonts w:hint="eastAsia" w:ascii="宋体" w:hAnsi="宋体" w:eastAsia="宋体" w:cs="宋体"/>
                <w:sz w:val="21"/>
              </w:rPr>
              <w:t>研发及测试平台硬件投资</w:t>
            </w:r>
          </w:p>
        </w:tc>
        <w:tc>
          <w:tcPr>
            <w:tcW w:w="286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424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r>
      <w:tr>
        <w:trPr>
          <w:trHeight w:val="46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20"/>
            </w:pPr>
            <w:r>
              <w:rPr>
                <w:rFonts w:hint="eastAsia" w:ascii="宋体" w:hAnsi="宋体" w:eastAsia="宋体" w:cs="宋体"/>
                <w:sz w:val="21"/>
              </w:rPr>
              <w:t>研发及测试平台软件投资</w:t>
            </w:r>
          </w:p>
        </w:tc>
        <w:tc>
          <w:tcPr>
            <w:tcW w:w="286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w:t>
            </w:r>
          </w:p>
        </w:tc>
      </w:tr>
      <w:tr>
        <w:trPr>
          <w:trHeight w:val="480" w:hRule="exact"/>
        </w:trPr>
        <w:tc>
          <w:tcPr>
            <w:tcW w:w="122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180" w:type="dxa"/>
            <w:tcMar>
              <w:top w:w="0" w:type="dxa"/>
              <w:left w:w="0" w:type="dxa"/>
              <w:bottom w:w="0" w:type="dxa"/>
              <w:right w:w="0" w:type="dxa"/>
            </w:tcMar>
          </w:tcPr>
          <w:p>
            <w:pPr>
              <w:spacing w:before="120"/>
            </w:pPr>
            <w:r>
              <w:rPr>
                <w:rFonts w:hint="eastAsia" w:ascii="宋体" w:hAnsi="宋体" w:eastAsia="宋体" w:cs="宋体"/>
                <w:sz w:val="21"/>
              </w:rPr>
              <w:t>网络及设备安装费</w:t>
            </w:r>
          </w:p>
        </w:tc>
        <w:tc>
          <w:tcPr>
            <w:tcW w:w="2860" w:type="dxa"/>
            <w:tcMar>
              <w:top w:w="0" w:type="dxa"/>
              <w:left w:w="0" w:type="dxa"/>
              <w:bottom w:w="0" w:type="dxa"/>
              <w:right w:w="0" w:type="dxa"/>
            </w:tcMar>
          </w:tcPr>
          <w:p>
            <w:pPr>
              <w:spacing w:before="180"/>
              <w:ind w:left="2160"/>
            </w:pPr>
            <w:r>
              <w:rPr>
                <w:rFonts w:hint="eastAsia" w:ascii="Times New Roman" w:hAnsi="Times New Roman" w:eastAsia="Times New Roman" w:cs="Times New Roman"/>
                <w:sz w:val="21"/>
              </w:rPr>
              <w:t>108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21</w:t>
            </w:r>
          </w:p>
        </w:tc>
      </w:tr>
      <w:tr>
        <w:trPr>
          <w:trHeight w:val="480" w:hRule="exact"/>
        </w:trPr>
        <w:tc>
          <w:tcPr>
            <w:tcW w:w="1220" w:type="dxa"/>
            <w:tcMar>
              <w:top w:w="0" w:type="dxa"/>
              <w:left w:w="0" w:type="dxa"/>
              <w:bottom w:w="0" w:type="dxa"/>
              <w:right w:w="0" w:type="dxa"/>
            </w:tcMar>
          </w:tcPr>
          <w:p>
            <w:pPr>
              <w:spacing w:before="160"/>
              <w:ind w:left="540"/>
            </w:pP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20"/>
            </w:pPr>
            <w:r>
              <w:rPr>
                <w:rFonts w:hint="eastAsia" w:ascii="宋体" w:hAnsi="宋体" w:eastAsia="宋体" w:cs="宋体"/>
                <w:sz w:val="21"/>
              </w:rPr>
              <w:t>场地投入</w:t>
            </w:r>
          </w:p>
        </w:tc>
        <w:tc>
          <w:tcPr>
            <w:tcW w:w="286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20"/>
            </w:pPr>
            <w:r>
              <w:rPr>
                <w:rFonts w:hint="eastAsia" w:ascii="宋体" w:hAnsi="宋体" w:eastAsia="宋体" w:cs="宋体"/>
                <w:sz w:val="21"/>
              </w:rPr>
              <w:t>房屋购置投入</w:t>
            </w:r>
          </w:p>
        </w:tc>
        <w:tc>
          <w:tcPr>
            <w:tcW w:w="286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103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00"/>
            </w:pPr>
            <w:r>
              <w:rPr>
                <w:rFonts w:hint="eastAsia" w:ascii="宋体" w:hAnsi="宋体" w:eastAsia="宋体" w:cs="宋体"/>
                <w:sz w:val="21"/>
              </w:rPr>
              <w:t>房屋配套装修投入</w:t>
            </w:r>
          </w:p>
        </w:tc>
        <w:tc>
          <w:tcPr>
            <w:tcW w:w="286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353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60</w:t>
            </w:r>
          </w:p>
        </w:tc>
      </w:tr>
      <w:tr>
        <w:trPr>
          <w:trHeight w:val="480" w:hRule="exact"/>
        </w:trPr>
        <w:tc>
          <w:tcPr>
            <w:tcW w:w="1220" w:type="dxa"/>
            <w:tcMar>
              <w:top w:w="0" w:type="dxa"/>
              <w:left w:w="0" w:type="dxa"/>
              <w:bottom w:w="0" w:type="dxa"/>
              <w:right w:w="0" w:type="dxa"/>
            </w:tcMar>
          </w:tcPr>
          <w:p>
            <w:pPr>
              <w:spacing w:before="180"/>
              <w:ind w:left="540"/>
            </w:pPr>
            <w:r>
              <w:rPr>
                <w:rFonts w:hint="eastAsia" w:ascii="Times New Roman" w:hAnsi="Times New Roman" w:eastAsia="Times New Roman" w:cs="Times New Roman"/>
                <w:sz w:val="21"/>
              </w:rPr>
              <w:t>3</w:t>
            </w:r>
          </w:p>
        </w:tc>
        <w:tc>
          <w:tcPr>
            <w:tcW w:w="5180" w:type="dxa"/>
            <w:tcMar>
              <w:top w:w="0" w:type="dxa"/>
              <w:left w:w="0" w:type="dxa"/>
              <w:bottom w:w="0" w:type="dxa"/>
              <w:right w:w="0" w:type="dxa"/>
            </w:tcMar>
          </w:tcPr>
          <w:p>
            <w:pPr>
              <w:spacing w:before="120"/>
            </w:pPr>
            <w:r>
              <w:rPr>
                <w:rFonts w:hint="eastAsia" w:ascii="宋体" w:hAnsi="宋体" w:eastAsia="宋体" w:cs="宋体"/>
                <w:sz w:val="21"/>
              </w:rPr>
              <w:t>项目实施费用</w:t>
            </w:r>
          </w:p>
        </w:tc>
        <w:tc>
          <w:tcPr>
            <w:tcW w:w="286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859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4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20"/>
            </w:pPr>
            <w:r>
              <w:rPr>
                <w:rFonts w:hint="eastAsia" w:ascii="宋体" w:hAnsi="宋体" w:eastAsia="宋体" w:cs="宋体"/>
                <w:sz w:val="21"/>
              </w:rPr>
              <w:t>软件研发及测试费用</w:t>
            </w:r>
          </w:p>
        </w:tc>
        <w:tc>
          <w:tcPr>
            <w:tcW w:w="286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330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00"/>
            </w:pPr>
            <w:r>
              <w:rPr>
                <w:rFonts w:hint="eastAsia" w:ascii="宋体" w:hAnsi="宋体" w:eastAsia="宋体" w:cs="宋体"/>
                <w:sz w:val="21"/>
              </w:rPr>
              <w:t>调研</w:t>
            </w:r>
            <w:r>
              <w:rPr>
                <w:rFonts w:hint="eastAsia" w:ascii="宋体" w:hAnsi="宋体" w:eastAsia="宋体" w:cs="宋体"/>
                <w:sz w:val="10"/>
              </w:rPr>
              <w:t>、</w:t>
            </w:r>
            <w:r>
              <w:rPr>
                <w:rFonts w:hint="eastAsia" w:ascii="宋体" w:hAnsi="宋体" w:eastAsia="宋体" w:cs="宋体"/>
                <w:sz w:val="21"/>
              </w:rPr>
              <w:t>咨询</w:t>
            </w:r>
            <w:r>
              <w:rPr>
                <w:rFonts w:hint="eastAsia" w:ascii="宋体" w:hAnsi="宋体" w:eastAsia="宋体" w:cs="宋体"/>
                <w:sz w:val="10"/>
              </w:rPr>
              <w:t>、</w:t>
            </w:r>
            <w:r>
              <w:rPr>
                <w:rFonts w:hint="eastAsia" w:ascii="宋体" w:hAnsi="宋体" w:eastAsia="宋体" w:cs="宋体"/>
                <w:sz w:val="21"/>
              </w:rPr>
              <w:t>论证等其他费用</w:t>
            </w:r>
          </w:p>
        </w:tc>
        <w:tc>
          <w:tcPr>
            <w:tcW w:w="286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333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180" w:type="dxa"/>
            <w:tcMar>
              <w:top w:w="0" w:type="dxa"/>
              <w:left w:w="0" w:type="dxa"/>
              <w:bottom w:w="0" w:type="dxa"/>
              <w:right w:w="0" w:type="dxa"/>
            </w:tcMar>
          </w:tcPr>
          <w:p>
            <w:pPr>
              <w:spacing w:before="120"/>
            </w:pPr>
            <w:r>
              <w:rPr>
                <w:rFonts w:hint="eastAsia" w:ascii="宋体" w:hAnsi="宋体" w:eastAsia="宋体" w:cs="宋体"/>
                <w:sz w:val="21"/>
              </w:rPr>
              <w:t>项目培训费用</w:t>
            </w:r>
          </w:p>
        </w:tc>
        <w:tc>
          <w:tcPr>
            <w:tcW w:w="286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196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80"/>
              <w:ind w:left="480"/>
            </w:pPr>
            <w:r>
              <w:rPr>
                <w:rFonts w:hint="eastAsia" w:ascii="宋体" w:hAnsi="宋体" w:eastAsia="宋体" w:cs="宋体"/>
                <w:sz w:val="20"/>
              </w:rPr>
              <w:t>二</w:t>
            </w:r>
          </w:p>
        </w:tc>
        <w:tc>
          <w:tcPr>
            <w:tcW w:w="5180" w:type="dxa"/>
            <w:tcMar>
              <w:top w:w="0" w:type="dxa"/>
              <w:left w:w="0" w:type="dxa"/>
              <w:bottom w:w="0" w:type="dxa"/>
              <w:right w:w="0" w:type="dxa"/>
            </w:tcMar>
          </w:tcPr>
          <w:p>
            <w:pPr>
              <w:spacing w:before="120"/>
            </w:pPr>
            <w:r>
              <w:rPr>
                <w:rFonts w:hint="eastAsia" w:ascii="宋体" w:hAnsi="宋体" w:eastAsia="宋体" w:cs="宋体"/>
                <w:sz w:val="21"/>
              </w:rPr>
              <w:t>铺底流动资金</w:t>
            </w:r>
          </w:p>
        </w:tc>
        <w:tc>
          <w:tcPr>
            <w:tcW w:w="2860" w:type="dxa"/>
            <w:tcMar>
              <w:top w:w="0" w:type="dxa"/>
              <w:left w:w="0" w:type="dxa"/>
              <w:bottom w:w="0" w:type="dxa"/>
              <w:right w:w="0" w:type="dxa"/>
            </w:tcMar>
          </w:tcPr>
          <w:p>
            <w:pPr>
              <w:spacing w:before="180"/>
              <w:ind w:left="200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597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60"/>
              <w:ind w:left="480"/>
            </w:pPr>
            <w:r>
              <w:rPr>
                <w:rFonts w:hint="eastAsia" w:ascii="宋体" w:hAnsi="宋体" w:eastAsia="宋体" w:cs="宋体"/>
                <w:sz w:val="21"/>
              </w:rPr>
              <w:t>三</w:t>
            </w:r>
          </w:p>
        </w:tc>
        <w:tc>
          <w:tcPr>
            <w:tcW w:w="5180" w:type="dxa"/>
            <w:tcMar>
              <w:top w:w="0" w:type="dxa"/>
              <w:left w:w="0" w:type="dxa"/>
              <w:bottom w:w="0" w:type="dxa"/>
              <w:right w:w="0" w:type="dxa"/>
            </w:tcMar>
          </w:tcPr>
          <w:p>
            <w:pPr>
              <w:spacing w:before="120"/>
            </w:pPr>
            <w:r>
              <w:rPr>
                <w:rFonts w:hint="eastAsia" w:ascii="宋体" w:hAnsi="宋体" w:eastAsia="宋体" w:cs="宋体"/>
                <w:sz w:val="21"/>
              </w:rPr>
              <w:t>项目总投资</w:t>
            </w:r>
          </w:p>
        </w:tc>
        <w:tc>
          <w:tcPr>
            <w:tcW w:w="2860" w:type="dxa"/>
            <w:tcMar>
              <w:top w:w="0" w:type="dxa"/>
              <w:left w:w="0" w:type="dxa"/>
              <w:bottom w:w="0" w:type="dxa"/>
              <w:right w:w="0" w:type="dxa"/>
            </w:tcMar>
          </w:tcPr>
          <w:p>
            <w:pPr>
              <w:spacing w:before="160"/>
              <w:ind w:left="1900"/>
            </w:pPr>
            <w:r>
              <w:rPr>
                <w:rFonts w:hint="eastAsia" w:ascii="Times New Roman" w:hAnsi="Times New Roman" w:eastAsia="Times New Roman" w:cs="Times New Roman"/>
                <w:sz w:val="21"/>
              </w:rPr>
              <w:t>14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726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时间周期和进度</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本项目建设周期共计</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投资总额为</w:t>
      </w:r>
      <w:r>
        <w:rPr>
          <w:rFonts w:hint="eastAsia" w:ascii="Times New Roman" w:hAnsi="Times New Roman" w:eastAsia="Times New Roman" w:cs="Times New Roman"/>
          <w:sz w:val="24"/>
        </w:rPr>
        <w:t xml:space="preserve"> 14,726.01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其中前</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13,018.51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后</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 xml:space="preserve"> 1,707.50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60" w:lineRule="exact"/>
        <w:ind w:left="1920"/>
        <w:jc w:val="both"/>
      </w:pPr>
      <w:r>
        <w:rPr>
          <w:rFonts w:hint="eastAsia" w:ascii="宋体" w:hAnsi="宋体" w:eastAsia="宋体" w:cs="宋体"/>
          <w:sz w:val="24"/>
        </w:rPr>
        <w:t>截至本招股说明书签署日</w:t>
      </w:r>
      <w:r>
        <w:rPr>
          <w:rFonts w:hint="eastAsia" w:ascii="宋体" w:hAnsi="宋体" w:eastAsia="宋体" w:cs="宋体"/>
          <w:sz w:val="10"/>
        </w:rPr>
        <w:t>，</w:t>
      </w:r>
      <w:r>
        <w:rPr>
          <w:rFonts w:hint="eastAsia" w:ascii="宋体" w:hAnsi="宋体" w:eastAsia="宋体" w:cs="宋体"/>
          <w:sz w:val="24"/>
        </w:rPr>
        <w:t>该项目尚未开始建设实施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项目审批或备案情况</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项目已在福州市台江区发展和改革局备案</w:t>
      </w:r>
      <w:r>
        <w:rPr>
          <w:rFonts w:hint="eastAsia" w:ascii="宋体" w:hAnsi="宋体" w:eastAsia="宋体" w:cs="宋体"/>
          <w:sz w:val="10"/>
        </w:rPr>
        <w:t>，</w:t>
      </w:r>
      <w:r>
        <w:rPr>
          <w:rFonts w:hint="eastAsia" w:ascii="宋体" w:hAnsi="宋体" w:eastAsia="宋体" w:cs="宋体"/>
          <w:sz w:val="24"/>
        </w:rPr>
        <w:t>并取得编号为</w:t>
      </w:r>
      <w:r>
        <w:rPr>
          <w:rFonts w:hint="eastAsia" w:ascii="宋体" w:hAnsi="宋体" w:eastAsia="宋体" w:cs="宋体"/>
          <w:sz w:val="10"/>
        </w:rPr>
        <w:t>“</w:t>
      </w:r>
      <w:r>
        <w:rPr>
          <w:rFonts w:hint="eastAsia" w:ascii="宋体" w:hAnsi="宋体" w:eastAsia="宋体" w:cs="宋体"/>
          <w:sz w:val="24"/>
        </w:rPr>
        <w:t>闽发改备</w:t>
      </w:r>
      <w:r>
        <w:rPr>
          <w:rFonts w:hint="eastAsia" w:ascii="Times New Roman" w:hAnsi="Times New Roman" w:eastAsia="Times New Roman" w:cs="Times New Roman"/>
          <w:sz w:val="24"/>
        </w:rPr>
        <w:t>[2017]A02012</w:t>
      </w:r>
      <w:r>
        <w:rPr>
          <w:rFonts w:hint="eastAsia" w:ascii="宋体" w:hAnsi="宋体" w:eastAsia="宋体" w:cs="宋体"/>
          <w:sz w:val="24"/>
        </w:rPr>
        <w:t>号</w:t>
      </w:r>
      <w:r>
        <w:rPr>
          <w:rFonts w:hint="eastAsia" w:ascii="宋体" w:hAnsi="宋体" w:eastAsia="宋体" w:cs="宋体"/>
          <w:sz w:val="10"/>
        </w:rPr>
        <w:t>”</w:t>
      </w:r>
      <w:r>
        <w:rPr>
          <w:rFonts w:hint="eastAsia" w:ascii="宋体" w:hAnsi="宋体" w:eastAsia="宋体" w:cs="宋体"/>
          <w:sz w:val="24"/>
        </w:rPr>
        <w:t>的备案确认书</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项目选址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公司已与福建升龙房地产开发有限公司签署了办公场地购买意向书</w:t>
      </w:r>
      <w:r>
        <w:rPr>
          <w:rFonts w:hint="eastAsia" w:ascii="宋体" w:hAnsi="宋体" w:eastAsia="宋体" w:cs="宋体"/>
          <w:sz w:val="10"/>
        </w:rPr>
        <w:t>，</w:t>
      </w:r>
      <w:r>
        <w:rPr>
          <w:rFonts w:hint="eastAsia" w:ascii="宋体" w:hAnsi="宋体" w:eastAsia="宋体" w:cs="宋体"/>
          <w:sz w:val="24"/>
        </w:rPr>
        <w:t>拟向其购买位于福州市台江区鳌峰街道光明南路</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号升龙大厦的办公场地</w:t>
      </w:r>
      <w:r>
        <w:rPr>
          <w:rFonts w:hint="eastAsia" w:ascii="宋体" w:hAnsi="宋体" w:eastAsia="宋体" w:cs="宋体"/>
          <w:sz w:val="10"/>
        </w:rPr>
        <w:t>，</w:t>
      </w:r>
      <w:r>
        <w:rPr>
          <w:rFonts w:hint="eastAsia" w:ascii="宋体" w:hAnsi="宋体" w:eastAsia="宋体" w:cs="宋体"/>
          <w:sz w:val="24"/>
        </w:rPr>
        <w:t>用于募投项目建设</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6</w:t>
      </w:r>
      <w:r>
        <w:rPr>
          <w:rFonts w:hint="eastAsia" w:ascii="宋体" w:hAnsi="宋体" w:eastAsia="宋体" w:cs="宋体"/>
          <w:b/>
          <w:sz w:val="10"/>
        </w:rPr>
        <w:t>、</w:t>
      </w:r>
      <w:r>
        <w:rPr>
          <w:rFonts w:hint="eastAsia" w:ascii="宋体" w:hAnsi="宋体" w:eastAsia="宋体" w:cs="宋体"/>
          <w:b/>
          <w:sz w:val="24"/>
        </w:rPr>
        <w:t>项目的经济效益分析</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5620"/>
        <w:jc w:val="both"/>
      </w:pPr>
      <w:r>
        <w:rPr>
          <w:rFonts w:hint="eastAsia" w:ascii="Times New Roman" w:hAnsi="Times New Roman" w:eastAsia="Times New Roman" w:cs="Times New Roman"/>
          <w:sz w:val="21"/>
        </w:rPr>
        <w:t>1-1-316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根据项目可行性研究报告</w:t>
      </w:r>
      <w:r>
        <w:rPr>
          <w:rFonts w:hint="eastAsia" w:ascii="宋体" w:hAnsi="宋体" w:eastAsia="宋体" w:cs="宋体"/>
          <w:sz w:val="10"/>
        </w:rPr>
        <w:t>，</w:t>
      </w:r>
      <w:r>
        <w:rPr>
          <w:rFonts w:hint="eastAsia" w:ascii="宋体" w:hAnsi="宋体" w:eastAsia="宋体" w:cs="宋体"/>
          <w:sz w:val="24"/>
        </w:rPr>
        <w:t>本项目建设期为</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本项目运营期平均息税前利润为</w:t>
      </w:r>
      <w:r>
        <w:rPr>
          <w:rFonts w:hint="eastAsia" w:ascii="Times New Roman" w:hAnsi="Times New Roman" w:eastAsia="Times New Roman" w:cs="Times New Roman"/>
          <w:sz w:val="24"/>
        </w:rPr>
        <w:t xml:space="preserve"> 7,775</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项目投资收益率为</w:t>
      </w:r>
      <w:r>
        <w:rPr>
          <w:rFonts w:hint="eastAsia" w:ascii="Times New Roman" w:hAnsi="Times New Roman" w:eastAsia="Times New Roman" w:cs="Times New Roman"/>
          <w:sz w:val="24"/>
        </w:rPr>
        <w:t xml:space="preserve"> 52.80%</w:t>
      </w:r>
      <w:r>
        <w:rPr>
          <w:rFonts w:hint="eastAsia" w:ascii="宋体" w:hAnsi="宋体" w:eastAsia="宋体" w:cs="宋体"/>
          <w:sz w:val="10"/>
        </w:rPr>
        <w:t>，</w:t>
      </w:r>
      <w:r>
        <w:rPr>
          <w:rFonts w:hint="eastAsia" w:ascii="宋体" w:hAnsi="宋体" w:eastAsia="宋体" w:cs="宋体"/>
          <w:sz w:val="24"/>
        </w:rPr>
        <w:t>全部投资税后内部收益率为</w:t>
      </w:r>
      <w:r>
        <w:rPr>
          <w:rFonts w:hint="eastAsia" w:ascii="Times New Roman" w:hAnsi="Times New Roman" w:eastAsia="Times New Roman" w:cs="Times New Roman"/>
          <w:sz w:val="24"/>
        </w:rPr>
        <w:t xml:space="preserve"> 26.91%</w:t>
      </w:r>
      <w:r>
        <w:rPr>
          <w:rFonts w:hint="eastAsia" w:ascii="宋体" w:hAnsi="宋体" w:eastAsia="宋体" w:cs="宋体"/>
          <w:sz w:val="10"/>
        </w:rPr>
        <w:t>，</w:t>
      </w:r>
      <w:r>
        <w:rPr>
          <w:rFonts w:hint="eastAsia" w:ascii="宋体" w:hAnsi="宋体" w:eastAsia="宋体" w:cs="宋体"/>
          <w:sz w:val="24"/>
        </w:rPr>
        <w:t>所得税后静态投资回收期为</w:t>
      </w:r>
      <w:r>
        <w:rPr>
          <w:rFonts w:hint="eastAsia" w:ascii="Times New Roman" w:hAnsi="Times New Roman" w:eastAsia="Times New Roman" w:cs="Times New Roman"/>
          <w:sz w:val="24"/>
        </w:rPr>
        <w:t xml:space="preserve"> 5.78</w:t>
      </w:r>
      <w:r>
        <w:rPr>
          <w:rFonts w:hint="eastAsia" w:ascii="宋体" w:hAnsi="宋体" w:eastAsia="宋体" w:cs="宋体"/>
          <w:sz w:val="24"/>
        </w:rPr>
        <w:t xml:space="preserve"> 年（含</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个月建设期）。</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（四）新一代电子交易市场业务支撑系统项目</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项目简况</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公司拟用部分募集资金投资建设新一代电子交易市场业务支撑系统项目</w:t>
      </w:r>
      <w:r>
        <w:rPr>
          <w:rFonts w:hint="eastAsia" w:ascii="宋体" w:hAnsi="宋体" w:eastAsia="宋体" w:cs="宋体"/>
          <w:sz w:val="10"/>
        </w:rPr>
        <w:t>，</w:t>
      </w:r>
      <w:r>
        <w:rPr>
          <w:rFonts w:hint="eastAsia" w:ascii="宋体" w:hAnsi="宋体" w:eastAsia="宋体" w:cs="宋体"/>
          <w:sz w:val="24"/>
        </w:rPr>
        <w:t>在福州购置的房产中规划出</w:t>
      </w:r>
      <w:r>
        <w:rPr>
          <w:rFonts w:hint="eastAsia" w:ascii="Times New Roman" w:hAnsi="Times New Roman" w:eastAsia="Times New Roman" w:cs="Times New Roman"/>
          <w:sz w:val="24"/>
        </w:rPr>
        <w:t xml:space="preserve"> 467</w:t>
      </w:r>
      <w:r>
        <w:rPr>
          <w:rFonts w:hint="eastAsia" w:ascii="宋体" w:hAnsi="宋体" w:eastAsia="宋体" w:cs="宋体"/>
          <w:sz w:val="24"/>
        </w:rPr>
        <w:t xml:space="preserve"> 平米用于本项目办公场地</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本项目将依托灵动业务架构平台（</w:t>
      </w:r>
      <w:r>
        <w:rPr>
          <w:rFonts w:hint="eastAsia" w:ascii="Times New Roman" w:hAnsi="Times New Roman" w:eastAsia="Times New Roman" w:cs="Times New Roman"/>
          <w:sz w:val="24"/>
        </w:rPr>
        <w:t>LiveBOS</w:t>
      </w:r>
      <w:r>
        <w:rPr>
          <w:rFonts w:hint="eastAsia" w:ascii="宋体" w:hAnsi="宋体" w:eastAsia="宋体" w:cs="宋体"/>
          <w:sz w:val="24"/>
        </w:rPr>
        <w:t>）和业务操作服务架构平台（</w:t>
      </w:r>
      <w:r>
        <w:rPr>
          <w:rFonts w:hint="eastAsia" w:ascii="Times New Roman" w:hAnsi="Times New Roman" w:eastAsia="Times New Roman" w:cs="Times New Roman"/>
          <w:sz w:val="24"/>
        </w:rPr>
        <w:t>Losap</w:t>
      </w:r>
      <w:r>
        <w:rPr>
          <w:rFonts w:hint="eastAsia" w:ascii="宋体" w:hAnsi="宋体" w:eastAsia="宋体" w:cs="宋体"/>
          <w:sz w:val="24"/>
        </w:rPr>
        <w:t>），</w:t>
      </w:r>
      <w:r>
        <w:rPr>
          <w:rFonts w:hint="eastAsia" w:ascii="宋体" w:hAnsi="宋体" w:eastAsia="宋体" w:cs="宋体"/>
          <w:sz w:val="24"/>
        </w:rPr>
        <w:t>针对区域性股权交易市场</w:t>
      </w:r>
      <w:r>
        <w:rPr>
          <w:rFonts w:hint="eastAsia" w:ascii="宋体" w:hAnsi="宋体" w:eastAsia="宋体" w:cs="宋体"/>
          <w:sz w:val="10"/>
        </w:rPr>
        <w:t>、</w:t>
      </w:r>
      <w:r>
        <w:rPr>
          <w:rFonts w:hint="eastAsia" w:ascii="宋体" w:hAnsi="宋体" w:eastAsia="宋体" w:cs="宋体"/>
          <w:sz w:val="24"/>
        </w:rPr>
        <w:t>金融资产交易市场</w:t>
      </w:r>
      <w:r>
        <w:rPr>
          <w:rFonts w:hint="eastAsia" w:ascii="宋体" w:hAnsi="宋体" w:eastAsia="宋体" w:cs="宋体"/>
          <w:sz w:val="10"/>
        </w:rPr>
        <w:t>、</w:t>
      </w:r>
      <w:r>
        <w:rPr>
          <w:rFonts w:hint="eastAsia" w:ascii="宋体" w:hAnsi="宋体" w:eastAsia="宋体" w:cs="宋体"/>
          <w:sz w:val="24"/>
        </w:rPr>
        <w:t>产权交易机构等建立业务处理架构</w:t>
      </w:r>
      <w:r>
        <w:rPr>
          <w:rFonts w:hint="eastAsia" w:ascii="宋体" w:hAnsi="宋体" w:eastAsia="宋体" w:cs="宋体"/>
          <w:sz w:val="10"/>
        </w:rPr>
        <w:t>，</w:t>
      </w:r>
      <w:r>
        <w:rPr>
          <w:rFonts w:hint="eastAsia" w:ascii="宋体" w:hAnsi="宋体" w:eastAsia="宋体" w:cs="宋体"/>
          <w:sz w:val="24"/>
        </w:rPr>
        <w:t>搭建新一代电子交易市场信息化解决方案</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投资概算</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本项目建设期</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总投资</w:t>
      </w:r>
      <w:r>
        <w:rPr>
          <w:rFonts w:hint="eastAsia" w:ascii="Times New Roman" w:hAnsi="Times New Roman" w:eastAsia="Times New Roman" w:cs="Times New Roman"/>
          <w:sz w:val="24"/>
        </w:rPr>
        <w:t xml:space="preserve"> 4,810.01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包含软硬件投入</w:t>
      </w:r>
      <w:r>
        <w:rPr>
          <w:rFonts w:hint="eastAsia" w:ascii="Times New Roman" w:hAnsi="Times New Roman" w:eastAsia="Times New Roman" w:cs="Times New Roman"/>
          <w:sz w:val="24"/>
        </w:rPr>
        <w:t xml:space="preserve"> 1,039.17</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场地购置及装修投入</w:t>
      </w:r>
      <w:r>
        <w:rPr>
          <w:rFonts w:hint="eastAsia" w:ascii="Times New Roman" w:hAnsi="Times New Roman" w:eastAsia="Times New Roman" w:cs="Times New Roman"/>
          <w:sz w:val="24"/>
        </w:rPr>
        <w:t xml:space="preserve"> 1,768.90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项目实施费用</w:t>
      </w:r>
      <w:r>
        <w:rPr>
          <w:rFonts w:hint="eastAsia" w:ascii="Times New Roman" w:hAnsi="Times New Roman" w:eastAsia="Times New Roman" w:cs="Times New Roman"/>
          <w:sz w:val="24"/>
        </w:rPr>
        <w:t xml:space="preserve"> 1,170.90</w:t>
      </w:r>
      <w:r>
        <w:rPr>
          <w:rFonts w:hint="eastAsia" w:ascii="宋体" w:hAnsi="宋体" w:eastAsia="宋体" w:cs="宋体"/>
          <w:sz w:val="24"/>
        </w:rPr>
        <w:t xml:space="preserve"> 万元</w:t>
      </w:r>
      <w:r>
        <w:rPr>
          <w:rFonts w:hint="eastAsia" w:ascii="宋体" w:hAnsi="宋体" w:eastAsia="宋体" w:cs="宋体"/>
          <w:sz w:val="12"/>
        </w:rPr>
        <w:t>；</w:t>
      </w:r>
      <w:r>
        <w:rPr>
          <w:rFonts w:hint="eastAsia" w:ascii="宋体" w:hAnsi="宋体" w:eastAsia="宋体" w:cs="宋体"/>
          <w:sz w:val="24"/>
        </w:rPr>
        <w:t>铺底流动资金</w:t>
      </w:r>
      <w:r>
        <w:rPr>
          <w:rFonts w:hint="eastAsia" w:ascii="Times New Roman" w:hAnsi="Times New Roman" w:eastAsia="Times New Roman" w:cs="Times New Roman"/>
          <w:sz w:val="24"/>
        </w:rPr>
        <w:t xml:space="preserve"> 831.04</w:t>
      </w:r>
      <w:r>
        <w:rPr>
          <w:rFonts w:hint="eastAsia" w:ascii="宋体" w:hAnsi="宋体" w:eastAsia="宋体" w:cs="宋体"/>
          <w:sz w:val="24"/>
        </w:rPr>
        <w:t>万元</w:t>
      </w:r>
      <w:r>
        <w:rPr>
          <w:rFonts w:hint="eastAsia" w:ascii="宋体" w:hAnsi="宋体" w:eastAsia="宋体" w:cs="宋体"/>
          <w:sz w:val="10"/>
        </w:rPr>
        <w:t>。</w:t>
      </w:r>
      <w:r>
        <w:rPr>
          <w:rFonts w:hint="eastAsia" w:ascii="宋体" w:hAnsi="宋体" w:eastAsia="宋体" w:cs="宋体"/>
          <w:sz w:val="24"/>
        </w:rPr>
        <w:t>项目总体投资概算情况如下表</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20" w:lineRule="exact"/>
        <w:ind w:left="9440"/>
        <w:jc w:val="both"/>
      </w:pPr>
      <w:r>
        <w:rPr>
          <w:rFonts w:hint="eastAsia" w:ascii="宋体" w:hAnsi="宋体" w:eastAsia="宋体" w:cs="宋体"/>
          <w:sz w:val="21"/>
        </w:rPr>
        <w:t>单位</w:t>
      </w:r>
      <w:r>
        <w:rPr>
          <w:rFonts w:hint="eastAsia" w:ascii="宋体" w:hAnsi="宋体" w:eastAsia="宋体" w:cs="宋体"/>
          <w:sz w:val="10"/>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60"/>
        <w:gridCol w:w="5780"/>
        <w:gridCol w:w="2520"/>
      </w:tblGrid>
      <w:tr>
        <w:trPr>
          <w:trHeight w:val="480" w:hRule="exact"/>
        </w:trPr>
        <w:tc>
          <w:tcPr>
            <w:tcW w:w="960" w:type="dxa"/>
            <w:tcMar>
              <w:top w:w="0" w:type="dxa"/>
              <w:left w:w="0" w:type="dxa"/>
              <w:bottom w:w="0" w:type="dxa"/>
              <w:right w:w="0" w:type="dxa"/>
            </w:tcMar>
          </w:tcPr>
          <w:p>
            <w:pPr>
              <w:spacing w:before="120"/>
              <w:ind w:left="240"/>
            </w:pPr>
            <w:r>
              <w:rPr>
                <w:rFonts w:hint="eastAsia" w:ascii="宋体" w:hAnsi="宋体" w:eastAsia="宋体" w:cs="宋体"/>
                <w:b/>
                <w:sz w:val="21"/>
              </w:rPr>
              <w:t>序号</w:t>
            </w:r>
          </w:p>
        </w:tc>
        <w:tc>
          <w:tcPr>
            <w:tcW w:w="5780" w:type="dxa"/>
            <w:tcMar>
              <w:top w:w="0" w:type="dxa"/>
              <w:left w:w="0" w:type="dxa"/>
              <w:bottom w:w="0" w:type="dxa"/>
              <w:right w:w="0" w:type="dxa"/>
            </w:tcMar>
          </w:tcPr>
          <w:p>
            <w:pPr>
              <w:spacing w:before="100"/>
              <w:ind w:left="2120"/>
            </w:pPr>
            <w:r>
              <w:rPr>
                <w:rFonts w:hint="eastAsia" w:ascii="宋体" w:hAnsi="宋体" w:eastAsia="宋体" w:cs="宋体"/>
                <w:b/>
                <w:sz w:val="21"/>
              </w:rPr>
              <w:t>项目或费用名称</w:t>
            </w:r>
          </w:p>
        </w:tc>
        <w:tc>
          <w:tcPr>
            <w:tcW w:w="2520" w:type="dxa"/>
            <w:tcMar>
              <w:top w:w="0" w:type="dxa"/>
              <w:left w:w="0" w:type="dxa"/>
              <w:bottom w:w="0" w:type="dxa"/>
              <w:right w:w="0" w:type="dxa"/>
            </w:tcMar>
          </w:tcPr>
          <w:p>
            <w:pPr>
              <w:spacing w:before="100"/>
              <w:ind w:left="1040"/>
            </w:pPr>
            <w:r>
              <w:rPr>
                <w:rFonts w:hint="eastAsia" w:ascii="宋体" w:hAnsi="宋体" w:eastAsia="宋体" w:cs="宋体"/>
                <w:b/>
                <w:sz w:val="21"/>
              </w:rPr>
              <w:t>金额</w:t>
            </w:r>
          </w:p>
        </w:tc>
      </w:tr>
      <w:tr>
        <w:trPr>
          <w:trHeight w:val="460" w:hRule="exact"/>
        </w:trPr>
        <w:tc>
          <w:tcPr>
            <w:tcW w:w="960" w:type="dxa"/>
            <w:tcMar>
              <w:top w:w="0" w:type="dxa"/>
              <w:left w:w="0" w:type="dxa"/>
              <w:bottom w:w="0" w:type="dxa"/>
              <w:right w:w="0" w:type="dxa"/>
            </w:tcMar>
          </w:tcPr>
          <w:p>
            <w:pPr>
              <w:spacing w:before="280"/>
              <w:ind w:left="360"/>
            </w:pPr>
            <w:r>
              <w:rPr>
                <w:rFonts w:hint="eastAsia" w:ascii="宋体" w:hAnsi="宋体" w:eastAsia="宋体" w:cs="宋体"/>
                <w:sz w:val="20"/>
              </w:rPr>
              <w:t>一</w:t>
            </w:r>
          </w:p>
        </w:tc>
        <w:tc>
          <w:tcPr>
            <w:tcW w:w="5780" w:type="dxa"/>
            <w:tcMar>
              <w:top w:w="0" w:type="dxa"/>
              <w:left w:w="0" w:type="dxa"/>
              <w:bottom w:w="0" w:type="dxa"/>
              <w:right w:w="0" w:type="dxa"/>
            </w:tcMar>
          </w:tcPr>
          <w:p>
            <w:pPr>
              <w:spacing w:before="120"/>
            </w:pPr>
            <w:r>
              <w:rPr>
                <w:rFonts w:hint="eastAsia" w:ascii="宋体" w:hAnsi="宋体" w:eastAsia="宋体" w:cs="宋体"/>
                <w:sz w:val="21"/>
              </w:rPr>
              <w:t>建设投资</w:t>
            </w:r>
          </w:p>
        </w:tc>
        <w:tc>
          <w:tcPr>
            <w:tcW w:w="252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r>
      <w:tr>
        <w:trPr>
          <w:trHeight w:val="480" w:hRule="exact"/>
        </w:trPr>
        <w:tc>
          <w:tcPr>
            <w:tcW w:w="96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21"/>
              </w:rPr>
              <w:t>1</w:t>
            </w:r>
          </w:p>
        </w:tc>
        <w:tc>
          <w:tcPr>
            <w:tcW w:w="5780" w:type="dxa"/>
            <w:tcMar>
              <w:top w:w="0" w:type="dxa"/>
              <w:left w:w="0" w:type="dxa"/>
              <w:bottom w:w="0" w:type="dxa"/>
              <w:right w:w="0" w:type="dxa"/>
            </w:tcMar>
          </w:tcPr>
          <w:p>
            <w:pPr>
              <w:spacing w:before="120"/>
            </w:pPr>
            <w:r>
              <w:rPr>
                <w:rFonts w:hint="eastAsia" w:ascii="宋体" w:hAnsi="宋体" w:eastAsia="宋体" w:cs="宋体"/>
                <w:sz w:val="21"/>
              </w:rPr>
              <w:t>软硬件投入</w:t>
            </w:r>
          </w:p>
        </w:tc>
        <w:tc>
          <w:tcPr>
            <w:tcW w:w="2520" w:type="dxa"/>
            <w:tcMar>
              <w:top w:w="0" w:type="dxa"/>
              <w:left w:w="0" w:type="dxa"/>
              <w:bottom w:w="0" w:type="dxa"/>
              <w:right w:w="0" w:type="dxa"/>
            </w:tcMar>
          </w:tcPr>
          <w:p>
            <w:pPr>
              <w:spacing w:before="180"/>
              <w:ind w:left="1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w:t>
            </w:r>
          </w:p>
        </w:tc>
      </w:tr>
      <w:tr>
        <w:trPr>
          <w:trHeight w:val="480" w:hRule="exact"/>
        </w:trPr>
        <w:tc>
          <w:tcPr>
            <w:tcW w:w="96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780" w:type="dxa"/>
            <w:tcMar>
              <w:top w:w="0" w:type="dxa"/>
              <w:left w:w="0" w:type="dxa"/>
              <w:bottom w:w="0" w:type="dxa"/>
              <w:right w:w="0" w:type="dxa"/>
            </w:tcMar>
          </w:tcPr>
          <w:p>
            <w:pPr>
              <w:spacing w:before="120"/>
            </w:pPr>
            <w:r>
              <w:rPr>
                <w:rFonts w:hint="eastAsia" w:ascii="宋体" w:hAnsi="宋体" w:eastAsia="宋体" w:cs="宋体"/>
                <w:sz w:val="21"/>
              </w:rPr>
              <w:t>研发及测试平台硬件投资</w:t>
            </w:r>
          </w:p>
        </w:tc>
        <w:tc>
          <w:tcPr>
            <w:tcW w:w="252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542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r>
      <w:tr>
        <w:trPr>
          <w:trHeight w:val="480" w:hRule="exact"/>
        </w:trPr>
        <w:tc>
          <w:tcPr>
            <w:tcW w:w="9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780" w:type="dxa"/>
            <w:tcMar>
              <w:top w:w="0" w:type="dxa"/>
              <w:left w:w="0" w:type="dxa"/>
              <w:bottom w:w="0" w:type="dxa"/>
              <w:right w:w="0" w:type="dxa"/>
            </w:tcMar>
          </w:tcPr>
          <w:p>
            <w:pPr>
              <w:spacing w:before="100"/>
            </w:pPr>
            <w:r>
              <w:rPr>
                <w:rFonts w:hint="eastAsia" w:ascii="宋体" w:hAnsi="宋体" w:eastAsia="宋体" w:cs="宋体"/>
                <w:sz w:val="21"/>
              </w:rPr>
              <w:t>研发及测试平台软件投资</w:t>
            </w:r>
          </w:p>
        </w:tc>
        <w:tc>
          <w:tcPr>
            <w:tcW w:w="252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456</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80</w:t>
            </w:r>
          </w:p>
        </w:tc>
      </w:tr>
      <w:tr>
        <w:trPr>
          <w:trHeight w:val="460" w:hRule="exact"/>
        </w:trPr>
        <w:tc>
          <w:tcPr>
            <w:tcW w:w="9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780" w:type="dxa"/>
            <w:tcMar>
              <w:top w:w="0" w:type="dxa"/>
              <w:left w:w="0" w:type="dxa"/>
              <w:bottom w:w="0" w:type="dxa"/>
              <w:right w:w="0" w:type="dxa"/>
            </w:tcMar>
          </w:tcPr>
          <w:p>
            <w:pPr>
              <w:spacing w:before="120"/>
            </w:pPr>
            <w:r>
              <w:rPr>
                <w:rFonts w:hint="eastAsia" w:ascii="宋体" w:hAnsi="宋体" w:eastAsia="宋体" w:cs="宋体"/>
                <w:sz w:val="21"/>
              </w:rPr>
              <w:t>网络及设备安装费</w:t>
            </w:r>
          </w:p>
        </w:tc>
        <w:tc>
          <w:tcPr>
            <w:tcW w:w="2520" w:type="dxa"/>
            <w:tcMar>
              <w:top w:w="0" w:type="dxa"/>
              <w:left w:w="0" w:type="dxa"/>
              <w:bottom w:w="0" w:type="dxa"/>
              <w:right w:w="0" w:type="dxa"/>
            </w:tcMar>
          </w:tcPr>
          <w:p>
            <w:pPr>
              <w:spacing w:before="160"/>
              <w:ind w:left="1920"/>
            </w:pPr>
            <w:r>
              <w:rPr>
                <w:rFonts w:hint="eastAsia" w:ascii="Times New Roman" w:hAnsi="Times New Roman" w:eastAsia="Times New Roman" w:cs="Times New Roman"/>
                <w:sz w:val="21"/>
              </w:rPr>
              <w:t>39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97</w:t>
            </w:r>
          </w:p>
        </w:tc>
      </w:tr>
      <w:tr>
        <w:trPr>
          <w:trHeight w:val="480" w:hRule="exact"/>
        </w:trPr>
        <w:tc>
          <w:tcPr>
            <w:tcW w:w="960" w:type="dxa"/>
            <w:tcMar>
              <w:top w:w="0" w:type="dxa"/>
              <w:left w:w="0" w:type="dxa"/>
              <w:bottom w:w="0" w:type="dxa"/>
              <w:right w:w="0" w:type="dxa"/>
            </w:tcMar>
          </w:tcPr>
          <w:p>
            <w:pPr>
              <w:spacing w:before="180"/>
              <w:ind w:left="400"/>
            </w:pPr>
            <w:r>
              <w:rPr>
                <w:rFonts w:hint="eastAsia" w:ascii="Times New Roman" w:hAnsi="Times New Roman" w:eastAsia="Times New Roman" w:cs="Times New Roman"/>
                <w:sz w:val="21"/>
              </w:rPr>
              <w:t>2</w:t>
            </w:r>
          </w:p>
        </w:tc>
        <w:tc>
          <w:tcPr>
            <w:tcW w:w="5780" w:type="dxa"/>
            <w:tcMar>
              <w:top w:w="0" w:type="dxa"/>
              <w:left w:w="0" w:type="dxa"/>
              <w:bottom w:w="0" w:type="dxa"/>
              <w:right w:w="0" w:type="dxa"/>
            </w:tcMar>
          </w:tcPr>
          <w:p>
            <w:pPr>
              <w:spacing w:before="120"/>
            </w:pPr>
            <w:r>
              <w:rPr>
                <w:rFonts w:hint="eastAsia" w:ascii="宋体" w:hAnsi="宋体" w:eastAsia="宋体" w:cs="宋体"/>
                <w:sz w:val="21"/>
              </w:rPr>
              <w:t>场地投入</w:t>
            </w:r>
          </w:p>
        </w:tc>
        <w:tc>
          <w:tcPr>
            <w:tcW w:w="2520" w:type="dxa"/>
            <w:tcMar>
              <w:top w:w="0" w:type="dxa"/>
              <w:left w:w="0" w:type="dxa"/>
              <w:bottom w:w="0" w:type="dxa"/>
              <w:right w:w="0" w:type="dxa"/>
            </w:tcMar>
          </w:tcPr>
          <w:p>
            <w:pPr>
              <w:spacing w:before="180"/>
              <w:ind w:left="1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768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r>
      <w:tr>
        <w:trPr>
          <w:trHeight w:val="480" w:hRule="exact"/>
        </w:trPr>
        <w:tc>
          <w:tcPr>
            <w:tcW w:w="96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780" w:type="dxa"/>
            <w:tcMar>
              <w:top w:w="0" w:type="dxa"/>
              <w:left w:w="0" w:type="dxa"/>
              <w:bottom w:w="0" w:type="dxa"/>
              <w:right w:w="0" w:type="dxa"/>
            </w:tcMar>
          </w:tcPr>
          <w:p>
            <w:pPr>
              <w:spacing w:before="120"/>
            </w:pPr>
            <w:r>
              <w:rPr>
                <w:rFonts w:hint="eastAsia" w:ascii="宋体" w:hAnsi="宋体" w:eastAsia="宋体" w:cs="宋体"/>
                <w:sz w:val="21"/>
              </w:rPr>
              <w:t>房屋购置投入</w:t>
            </w:r>
          </w:p>
        </w:tc>
        <w:tc>
          <w:tcPr>
            <w:tcW w:w="2520" w:type="dxa"/>
            <w:tcMar>
              <w:top w:w="0" w:type="dxa"/>
              <w:left w:w="0" w:type="dxa"/>
              <w:bottom w:w="0" w:type="dxa"/>
              <w:right w:w="0" w:type="dxa"/>
            </w:tcMar>
          </w:tcPr>
          <w:p>
            <w:pPr>
              <w:spacing w:before="140"/>
              <w:ind w:left="1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634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50</w:t>
            </w:r>
          </w:p>
        </w:tc>
      </w:tr>
      <w:tr>
        <w:trPr>
          <w:trHeight w:val="480" w:hRule="exact"/>
        </w:trPr>
        <w:tc>
          <w:tcPr>
            <w:tcW w:w="960" w:type="dxa"/>
            <w:tcMar>
              <w:top w:w="0" w:type="dxa"/>
              <w:left w:w="0" w:type="dxa"/>
              <w:bottom w:w="0" w:type="dxa"/>
              <w:right w:w="0" w:type="dxa"/>
            </w:tcMar>
          </w:tcPr>
          <w:p>
            <w:pPr>
              <w:spacing w:before="160"/>
              <w:ind w:left="32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780" w:type="dxa"/>
            <w:tcMar>
              <w:top w:w="0" w:type="dxa"/>
              <w:left w:w="0" w:type="dxa"/>
              <w:bottom w:w="0" w:type="dxa"/>
              <w:right w:w="0" w:type="dxa"/>
            </w:tcMar>
          </w:tcPr>
          <w:p>
            <w:pPr>
              <w:spacing w:before="100"/>
            </w:pPr>
            <w:r>
              <w:rPr>
                <w:rFonts w:hint="eastAsia" w:ascii="宋体" w:hAnsi="宋体" w:eastAsia="宋体" w:cs="宋体"/>
                <w:sz w:val="21"/>
              </w:rPr>
              <w:t>房屋配套装修投入</w:t>
            </w:r>
          </w:p>
        </w:tc>
        <w:tc>
          <w:tcPr>
            <w:tcW w:w="2520" w:type="dxa"/>
            <w:tcMar>
              <w:top w:w="0" w:type="dxa"/>
              <w:left w:w="0" w:type="dxa"/>
              <w:bottom w:w="0" w:type="dxa"/>
              <w:right w:w="0" w:type="dxa"/>
            </w:tcMar>
          </w:tcPr>
          <w:p>
            <w:pPr>
              <w:spacing w:before="160"/>
              <w:ind w:left="1820"/>
            </w:pPr>
            <w:r>
              <w:rPr>
                <w:rFonts w:hint="eastAsia" w:ascii="Times New Roman" w:hAnsi="Times New Roman" w:eastAsia="Times New Roman" w:cs="Times New Roman"/>
                <w:sz w:val="21"/>
              </w:rPr>
              <w:t>134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40</w:t>
            </w:r>
          </w:p>
        </w:tc>
      </w:tr>
      <w:tr>
        <w:trPr>
          <w:trHeight w:val="460" w:hRule="exact"/>
        </w:trPr>
        <w:tc>
          <w:tcPr>
            <w:tcW w:w="960" w:type="dxa"/>
            <w:tcMar>
              <w:top w:w="0" w:type="dxa"/>
              <w:left w:w="0" w:type="dxa"/>
              <w:bottom w:w="0" w:type="dxa"/>
              <w:right w:w="0" w:type="dxa"/>
            </w:tcMar>
          </w:tcPr>
          <w:p>
            <w:pPr>
              <w:spacing w:before="160"/>
              <w:ind w:left="400"/>
            </w:pPr>
            <w:r>
              <w:rPr>
                <w:rFonts w:hint="eastAsia" w:ascii="Times New Roman" w:hAnsi="Times New Roman" w:eastAsia="Times New Roman" w:cs="Times New Roman"/>
                <w:sz w:val="21"/>
              </w:rPr>
              <w:t>3</w:t>
            </w:r>
          </w:p>
        </w:tc>
        <w:tc>
          <w:tcPr>
            <w:tcW w:w="5780" w:type="dxa"/>
            <w:tcMar>
              <w:top w:w="0" w:type="dxa"/>
              <w:left w:w="0" w:type="dxa"/>
              <w:bottom w:w="0" w:type="dxa"/>
              <w:right w:w="0" w:type="dxa"/>
            </w:tcMar>
          </w:tcPr>
          <w:p>
            <w:pPr>
              <w:spacing w:before="100"/>
            </w:pPr>
            <w:r>
              <w:rPr>
                <w:rFonts w:hint="eastAsia" w:ascii="宋体" w:hAnsi="宋体" w:eastAsia="宋体" w:cs="宋体"/>
                <w:sz w:val="21"/>
              </w:rPr>
              <w:t>项目实施费用</w:t>
            </w:r>
          </w:p>
        </w:tc>
        <w:tc>
          <w:tcPr>
            <w:tcW w:w="252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r>
      <w:tr>
        <w:trPr>
          <w:trHeight w:val="480" w:hRule="exact"/>
        </w:trPr>
        <w:tc>
          <w:tcPr>
            <w:tcW w:w="960" w:type="dxa"/>
            <w:tcMar>
              <w:top w:w="0" w:type="dxa"/>
              <w:left w:w="0" w:type="dxa"/>
              <w:bottom w:w="0" w:type="dxa"/>
              <w:right w:w="0" w:type="dxa"/>
            </w:tcMar>
          </w:tcPr>
          <w:p>
            <w:pPr>
              <w:spacing w:before="180"/>
              <w:ind w:left="3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780" w:type="dxa"/>
            <w:tcMar>
              <w:top w:w="0" w:type="dxa"/>
              <w:left w:w="0" w:type="dxa"/>
              <w:bottom w:w="0" w:type="dxa"/>
              <w:right w:w="0" w:type="dxa"/>
            </w:tcMar>
          </w:tcPr>
          <w:p>
            <w:pPr>
              <w:spacing w:before="120"/>
            </w:pPr>
            <w:r>
              <w:rPr>
                <w:rFonts w:hint="eastAsia" w:ascii="宋体" w:hAnsi="宋体" w:eastAsia="宋体" w:cs="宋体"/>
                <w:sz w:val="21"/>
              </w:rPr>
              <w:t>软件研发及测试费用</w:t>
            </w:r>
          </w:p>
        </w:tc>
        <w:tc>
          <w:tcPr>
            <w:tcW w:w="2520" w:type="dxa"/>
            <w:tcMar>
              <w:top w:w="0" w:type="dxa"/>
              <w:left w:w="0" w:type="dxa"/>
              <w:bottom w:w="0" w:type="dxa"/>
              <w:right w:w="0" w:type="dxa"/>
            </w:tcMar>
          </w:tcPr>
          <w:p>
            <w:pPr>
              <w:spacing w:before="180"/>
              <w:ind w:left="16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009</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96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780" w:type="dxa"/>
            <w:tcMar>
              <w:top w:w="0" w:type="dxa"/>
              <w:left w:w="0" w:type="dxa"/>
              <w:bottom w:w="0" w:type="dxa"/>
              <w:right w:w="0" w:type="dxa"/>
            </w:tcMar>
          </w:tcPr>
          <w:p>
            <w:pPr>
              <w:spacing w:before="120"/>
            </w:pPr>
            <w:r>
              <w:rPr>
                <w:rFonts w:hint="eastAsia" w:ascii="宋体" w:hAnsi="宋体" w:eastAsia="宋体" w:cs="宋体"/>
                <w:sz w:val="21"/>
              </w:rPr>
              <w:t>调研</w:t>
            </w:r>
            <w:r>
              <w:rPr>
                <w:rFonts w:hint="eastAsia" w:ascii="宋体" w:hAnsi="宋体" w:eastAsia="宋体" w:cs="宋体"/>
                <w:sz w:val="10"/>
              </w:rPr>
              <w:t>、</w:t>
            </w:r>
            <w:r>
              <w:rPr>
                <w:rFonts w:hint="eastAsia" w:ascii="宋体" w:hAnsi="宋体" w:eastAsia="宋体" w:cs="宋体"/>
                <w:sz w:val="21"/>
              </w:rPr>
              <w:t>咨询</w:t>
            </w:r>
            <w:r>
              <w:rPr>
                <w:rFonts w:hint="eastAsia" w:ascii="宋体" w:hAnsi="宋体" w:eastAsia="宋体" w:cs="宋体"/>
                <w:sz w:val="10"/>
              </w:rPr>
              <w:t>、</w:t>
            </w:r>
            <w:r>
              <w:rPr>
                <w:rFonts w:hint="eastAsia" w:ascii="宋体" w:hAnsi="宋体" w:eastAsia="宋体" w:cs="宋体"/>
                <w:sz w:val="21"/>
              </w:rPr>
              <w:t>论证等其他费用</w:t>
            </w:r>
          </w:p>
        </w:tc>
        <w:tc>
          <w:tcPr>
            <w:tcW w:w="2520" w:type="dxa"/>
            <w:tcMar>
              <w:top w:w="0" w:type="dxa"/>
              <w:left w:w="0" w:type="dxa"/>
              <w:bottom w:w="0" w:type="dxa"/>
              <w:right w:w="0" w:type="dxa"/>
            </w:tcMar>
          </w:tcPr>
          <w:p>
            <w:pPr>
              <w:spacing w:before="140"/>
              <w:ind w:left="1820"/>
            </w:pPr>
            <w:r>
              <w:rPr>
                <w:rFonts w:hint="eastAsia" w:ascii="Times New Roman" w:hAnsi="Times New Roman" w:eastAsia="Times New Roman" w:cs="Times New Roman"/>
                <w:sz w:val="21"/>
              </w:rPr>
              <w:t>100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90</w:t>
            </w:r>
          </w:p>
        </w:tc>
      </w:tr>
    </w:tbl>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1-1-317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16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960"/>
        <w:gridCol w:w="5780"/>
        <w:gridCol w:w="2520"/>
      </w:tblGrid>
      <w:tr>
        <w:trPr>
          <w:trHeight w:val="480" w:hRule="exact"/>
        </w:trPr>
        <w:tc>
          <w:tcPr>
            <w:tcW w:w="960" w:type="dxa"/>
            <w:tcMar>
              <w:top w:w="0" w:type="dxa"/>
              <w:left w:w="0" w:type="dxa"/>
              <w:bottom w:w="0" w:type="dxa"/>
              <w:right w:w="0" w:type="dxa"/>
            </w:tcMar>
          </w:tcPr>
          <w:p>
            <w:pPr>
              <w:spacing w:before="140"/>
              <w:ind w:left="32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780" w:type="dxa"/>
            <w:tcMar>
              <w:top w:w="0" w:type="dxa"/>
              <w:left w:w="0" w:type="dxa"/>
              <w:bottom w:w="0" w:type="dxa"/>
              <w:right w:w="0" w:type="dxa"/>
            </w:tcMar>
          </w:tcPr>
          <w:p>
            <w:pPr>
              <w:spacing w:before="100"/>
            </w:pPr>
            <w:r>
              <w:rPr>
                <w:rFonts w:hint="eastAsia" w:ascii="宋体" w:hAnsi="宋体" w:eastAsia="宋体" w:cs="宋体"/>
                <w:sz w:val="21"/>
              </w:rPr>
              <w:t>项目培训费用</w:t>
            </w:r>
          </w:p>
        </w:tc>
        <w:tc>
          <w:tcPr>
            <w:tcW w:w="2520" w:type="dxa"/>
            <w:tcMar>
              <w:top w:w="0" w:type="dxa"/>
              <w:left w:w="0" w:type="dxa"/>
              <w:bottom w:w="0" w:type="dxa"/>
              <w:right w:w="0" w:type="dxa"/>
            </w:tcMar>
          </w:tcPr>
          <w:p>
            <w:pPr>
              <w:spacing w:before="140"/>
              <w:ind w:left="1920"/>
            </w:pPr>
            <w:r>
              <w:rPr>
                <w:rFonts w:hint="eastAsia" w:ascii="Times New Roman" w:hAnsi="Times New Roman" w:eastAsia="Times New Roman" w:cs="Times New Roman"/>
                <w:sz w:val="21"/>
              </w:rPr>
              <w:t>61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960" w:type="dxa"/>
            <w:tcMar>
              <w:top w:w="0" w:type="dxa"/>
              <w:left w:w="0" w:type="dxa"/>
              <w:bottom w:w="0" w:type="dxa"/>
              <w:right w:w="0" w:type="dxa"/>
            </w:tcMar>
          </w:tcPr>
          <w:p>
            <w:pPr>
              <w:spacing w:before="160"/>
              <w:ind w:left="360"/>
            </w:pPr>
            <w:r>
              <w:rPr>
                <w:rFonts w:hint="eastAsia" w:ascii="宋体" w:hAnsi="宋体" w:eastAsia="宋体" w:cs="宋体"/>
                <w:sz w:val="20"/>
              </w:rPr>
              <w:t>二</w:t>
            </w:r>
          </w:p>
        </w:tc>
        <w:tc>
          <w:tcPr>
            <w:tcW w:w="5780" w:type="dxa"/>
            <w:tcMar>
              <w:top w:w="0" w:type="dxa"/>
              <w:left w:w="0" w:type="dxa"/>
              <w:bottom w:w="0" w:type="dxa"/>
              <w:right w:w="0" w:type="dxa"/>
            </w:tcMar>
          </w:tcPr>
          <w:p>
            <w:pPr>
              <w:spacing w:before="120"/>
            </w:pPr>
            <w:r>
              <w:rPr>
                <w:rFonts w:hint="eastAsia" w:ascii="宋体" w:hAnsi="宋体" w:eastAsia="宋体" w:cs="宋体"/>
                <w:sz w:val="21"/>
              </w:rPr>
              <w:t>铺底流动资金</w:t>
            </w:r>
          </w:p>
        </w:tc>
        <w:tc>
          <w:tcPr>
            <w:tcW w:w="2520" w:type="dxa"/>
            <w:tcMar>
              <w:top w:w="0" w:type="dxa"/>
              <w:left w:w="0" w:type="dxa"/>
              <w:bottom w:w="0" w:type="dxa"/>
              <w:right w:w="0" w:type="dxa"/>
            </w:tcMar>
          </w:tcPr>
          <w:p>
            <w:pPr>
              <w:spacing w:before="80"/>
              <w:ind w:left="1820"/>
            </w:pPr>
            <w:r>
              <w:rPr>
                <w:rFonts w:hint="eastAsia" w:ascii="Times New Roman" w:hAnsi="Times New Roman" w:eastAsia="Times New Roman" w:cs="Times New Roman"/>
                <w:sz w:val="21"/>
              </w:rPr>
              <w:t>831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04</w:t>
            </w:r>
          </w:p>
        </w:tc>
      </w:tr>
      <w:tr>
        <w:trPr>
          <w:trHeight w:val="460" w:hRule="exact"/>
        </w:trPr>
        <w:tc>
          <w:tcPr>
            <w:tcW w:w="960" w:type="dxa"/>
            <w:tcMar>
              <w:top w:w="0" w:type="dxa"/>
              <w:left w:w="0" w:type="dxa"/>
              <w:bottom w:w="0" w:type="dxa"/>
              <w:right w:w="0" w:type="dxa"/>
            </w:tcMar>
          </w:tcPr>
          <w:p>
            <w:pPr>
              <w:spacing w:before="140"/>
              <w:ind w:left="360"/>
            </w:pPr>
            <w:r>
              <w:rPr>
                <w:rFonts w:hint="eastAsia" w:ascii="宋体" w:hAnsi="宋体" w:eastAsia="宋体" w:cs="宋体"/>
                <w:sz w:val="21"/>
              </w:rPr>
              <w:t>三</w:t>
            </w:r>
          </w:p>
        </w:tc>
        <w:tc>
          <w:tcPr>
            <w:tcW w:w="5780" w:type="dxa"/>
            <w:tcMar>
              <w:top w:w="0" w:type="dxa"/>
              <w:left w:w="0" w:type="dxa"/>
              <w:bottom w:w="0" w:type="dxa"/>
              <w:right w:w="0" w:type="dxa"/>
            </w:tcMar>
          </w:tcPr>
          <w:p>
            <w:pPr>
              <w:spacing w:before="100"/>
            </w:pPr>
            <w:r>
              <w:rPr>
                <w:rFonts w:hint="eastAsia" w:ascii="宋体" w:hAnsi="宋体" w:eastAsia="宋体" w:cs="宋体"/>
                <w:sz w:val="21"/>
              </w:rPr>
              <w:t>项目总投资</w:t>
            </w:r>
          </w:p>
        </w:tc>
        <w:tc>
          <w:tcPr>
            <w:tcW w:w="2520" w:type="dxa"/>
            <w:tcMar>
              <w:top w:w="0" w:type="dxa"/>
              <w:left w:w="0" w:type="dxa"/>
              <w:bottom w:w="0" w:type="dxa"/>
              <w:right w:w="0" w:type="dxa"/>
            </w:tcMar>
          </w:tcPr>
          <w:p>
            <w:pPr>
              <w:spacing w:before="160"/>
              <w:ind w:left="1660"/>
            </w:pPr>
            <w:r>
              <w:rPr>
                <w:rFonts w:hint="eastAsia" w:ascii="Times New Roman" w:hAnsi="Times New Roman" w:eastAsia="Times New Roman" w:cs="Times New Roman"/>
                <w:sz w:val="21"/>
              </w:rPr>
              <w:t>4</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810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01</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时间周期和进度</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本项目建设周期共计</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投资总额为</w:t>
      </w:r>
      <w:r>
        <w:rPr>
          <w:rFonts w:hint="eastAsia" w:ascii="Times New Roman" w:hAnsi="Times New Roman" w:eastAsia="Times New Roman" w:cs="Times New Roman"/>
          <w:sz w:val="24"/>
        </w:rPr>
        <w:t xml:space="preserve"> 4,810.01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其中前</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4,265.11</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后</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 xml:space="preserve"> 544.90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340" w:lineRule="exact"/>
        <w:ind w:left="1920"/>
        <w:jc w:val="both"/>
      </w:pPr>
      <w:r>
        <w:rPr>
          <w:rFonts w:hint="eastAsia" w:ascii="宋体" w:hAnsi="宋体" w:eastAsia="宋体" w:cs="宋体"/>
          <w:sz w:val="24"/>
        </w:rPr>
        <w:t>截至本招股说明书签署日</w:t>
      </w:r>
      <w:r>
        <w:rPr>
          <w:rFonts w:hint="eastAsia" w:ascii="宋体" w:hAnsi="宋体" w:eastAsia="宋体" w:cs="宋体"/>
          <w:sz w:val="10"/>
        </w:rPr>
        <w:t>，</w:t>
      </w:r>
      <w:r>
        <w:rPr>
          <w:rFonts w:hint="eastAsia" w:ascii="宋体" w:hAnsi="宋体" w:eastAsia="宋体" w:cs="宋体"/>
          <w:sz w:val="24"/>
        </w:rPr>
        <w:t>该项目尚未开始建设实施</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项目审批或备案情况</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项目已在福州市台江区发展和改革局备案</w:t>
      </w:r>
      <w:r>
        <w:rPr>
          <w:rFonts w:hint="eastAsia" w:ascii="宋体" w:hAnsi="宋体" w:eastAsia="宋体" w:cs="宋体"/>
          <w:sz w:val="10"/>
        </w:rPr>
        <w:t>，</w:t>
      </w:r>
      <w:r>
        <w:rPr>
          <w:rFonts w:hint="eastAsia" w:ascii="宋体" w:hAnsi="宋体" w:eastAsia="宋体" w:cs="宋体"/>
          <w:sz w:val="24"/>
        </w:rPr>
        <w:t>并取得编号为</w:t>
      </w:r>
      <w:r>
        <w:rPr>
          <w:rFonts w:hint="eastAsia" w:ascii="宋体" w:hAnsi="宋体" w:eastAsia="宋体" w:cs="宋体"/>
          <w:sz w:val="10"/>
        </w:rPr>
        <w:t>“</w:t>
      </w:r>
      <w:r>
        <w:rPr>
          <w:rFonts w:hint="eastAsia" w:ascii="宋体" w:hAnsi="宋体" w:eastAsia="宋体" w:cs="宋体"/>
          <w:sz w:val="24"/>
        </w:rPr>
        <w:t>闽发改备</w:t>
      </w:r>
      <w:r>
        <w:rPr>
          <w:rFonts w:hint="eastAsia" w:ascii="Times New Roman" w:hAnsi="Times New Roman" w:eastAsia="Times New Roman" w:cs="Times New Roman"/>
          <w:sz w:val="24"/>
        </w:rPr>
        <w:t>[2017]A02014</w:t>
      </w:r>
      <w:r>
        <w:rPr>
          <w:rFonts w:hint="eastAsia" w:ascii="宋体" w:hAnsi="宋体" w:eastAsia="宋体" w:cs="宋体"/>
          <w:sz w:val="24"/>
        </w:rPr>
        <w:t>号</w:t>
      </w:r>
      <w:r>
        <w:rPr>
          <w:rFonts w:hint="eastAsia" w:ascii="宋体" w:hAnsi="宋体" w:eastAsia="宋体" w:cs="宋体"/>
          <w:sz w:val="10"/>
        </w:rPr>
        <w:t>”</w:t>
      </w:r>
      <w:r>
        <w:rPr>
          <w:rFonts w:hint="eastAsia" w:ascii="宋体" w:hAnsi="宋体" w:eastAsia="宋体" w:cs="宋体"/>
          <w:sz w:val="24"/>
        </w:rPr>
        <w:t>的备案确认书</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项目选址</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公司已与福建升龙房地产开发有限公司签署了办公场地购买意向书</w:t>
      </w:r>
      <w:r>
        <w:rPr>
          <w:rFonts w:hint="eastAsia" w:ascii="宋体" w:hAnsi="宋体" w:eastAsia="宋体" w:cs="宋体"/>
          <w:sz w:val="10"/>
        </w:rPr>
        <w:t>，</w:t>
      </w:r>
      <w:r>
        <w:rPr>
          <w:rFonts w:hint="eastAsia" w:ascii="宋体" w:hAnsi="宋体" w:eastAsia="宋体" w:cs="宋体"/>
          <w:sz w:val="24"/>
        </w:rPr>
        <w:t>拟向其购买位于福州市台江区鳌峰街道光明南路</w:t>
      </w:r>
      <w:r>
        <w:rPr>
          <w:rFonts w:hint="eastAsia" w:ascii="Times New Roman" w:hAnsi="Times New Roman" w:eastAsia="Times New Roman" w:cs="Times New Roman"/>
          <w:sz w:val="24"/>
        </w:rPr>
        <w:t xml:space="preserve"> 1</w:t>
      </w:r>
      <w:r>
        <w:rPr>
          <w:rFonts w:hint="eastAsia" w:ascii="宋体" w:hAnsi="宋体" w:eastAsia="宋体" w:cs="宋体"/>
          <w:sz w:val="24"/>
        </w:rPr>
        <w:t xml:space="preserve"> 号升龙大厦的办公场地</w:t>
      </w:r>
      <w:r>
        <w:rPr>
          <w:rFonts w:hint="eastAsia" w:ascii="宋体" w:hAnsi="宋体" w:eastAsia="宋体" w:cs="宋体"/>
          <w:sz w:val="10"/>
        </w:rPr>
        <w:t>，</w:t>
      </w:r>
      <w:r>
        <w:rPr>
          <w:rFonts w:hint="eastAsia" w:ascii="宋体" w:hAnsi="宋体" w:eastAsia="宋体" w:cs="宋体"/>
          <w:sz w:val="24"/>
        </w:rPr>
        <w:t>用于募投项目建设</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Bold" w:hAnsi="Times New Roman Bold" w:eastAsia="Times New Roman Bold" w:cs="Times New Roman Bold"/>
          <w:b/>
          <w:sz w:val="24"/>
        </w:rPr>
        <w:t>6</w:t>
      </w:r>
      <w:r>
        <w:rPr>
          <w:rFonts w:hint="eastAsia" w:ascii="宋体" w:hAnsi="宋体" w:eastAsia="宋体" w:cs="宋体"/>
          <w:b/>
          <w:sz w:val="10"/>
        </w:rPr>
        <w:t>、</w:t>
      </w:r>
      <w:r>
        <w:rPr>
          <w:rFonts w:hint="eastAsia" w:ascii="宋体" w:hAnsi="宋体" w:eastAsia="宋体" w:cs="宋体"/>
          <w:b/>
          <w:sz w:val="24"/>
        </w:rPr>
        <w:t>项目的经济效益分析</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根据项目可行性研究报告</w:t>
      </w:r>
      <w:r>
        <w:rPr>
          <w:rFonts w:hint="eastAsia" w:ascii="宋体" w:hAnsi="宋体" w:eastAsia="宋体" w:cs="宋体"/>
          <w:sz w:val="10"/>
        </w:rPr>
        <w:t>，</w:t>
      </w:r>
      <w:r>
        <w:rPr>
          <w:rFonts w:hint="eastAsia" w:ascii="宋体" w:hAnsi="宋体" w:eastAsia="宋体" w:cs="宋体"/>
          <w:sz w:val="24"/>
        </w:rPr>
        <w:t>本项目建设期为</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本项目运营期平均息税前利润为</w:t>
      </w:r>
      <w:r>
        <w:rPr>
          <w:rFonts w:hint="eastAsia" w:ascii="Times New Roman" w:hAnsi="Times New Roman" w:eastAsia="Times New Roman" w:cs="Times New Roman"/>
          <w:sz w:val="24"/>
        </w:rPr>
        <w:t xml:space="preserve"> 2,470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项目投资收益率为</w:t>
      </w:r>
      <w:r>
        <w:rPr>
          <w:rFonts w:hint="eastAsia" w:ascii="Times New Roman" w:hAnsi="Times New Roman" w:eastAsia="Times New Roman" w:cs="Times New Roman"/>
          <w:sz w:val="24"/>
        </w:rPr>
        <w:t xml:space="preserve"> 51.36%</w:t>
      </w:r>
      <w:r>
        <w:rPr>
          <w:rFonts w:hint="eastAsia" w:ascii="宋体" w:hAnsi="宋体" w:eastAsia="宋体" w:cs="宋体"/>
          <w:sz w:val="10"/>
        </w:rPr>
        <w:t>，</w:t>
      </w:r>
      <w:r>
        <w:rPr>
          <w:rFonts w:hint="eastAsia" w:ascii="宋体" w:hAnsi="宋体" w:eastAsia="宋体" w:cs="宋体"/>
          <w:sz w:val="24"/>
        </w:rPr>
        <w:t>全部投资税后内部收益率为</w:t>
      </w:r>
      <w:r>
        <w:rPr>
          <w:rFonts w:hint="eastAsia" w:ascii="Times New Roman" w:hAnsi="Times New Roman" w:eastAsia="Times New Roman" w:cs="Times New Roman"/>
          <w:sz w:val="24"/>
        </w:rPr>
        <w:t xml:space="preserve"> 27.79%</w:t>
      </w:r>
      <w:r>
        <w:rPr>
          <w:rFonts w:hint="eastAsia" w:ascii="宋体" w:hAnsi="宋体" w:eastAsia="宋体" w:cs="宋体"/>
          <w:sz w:val="10"/>
        </w:rPr>
        <w:t>，</w:t>
      </w:r>
      <w:r>
        <w:rPr>
          <w:rFonts w:hint="eastAsia" w:ascii="宋体" w:hAnsi="宋体" w:eastAsia="宋体" w:cs="宋体"/>
          <w:sz w:val="24"/>
        </w:rPr>
        <w:t>所得税后静态投资回收期为</w:t>
      </w:r>
      <w:r>
        <w:rPr>
          <w:rFonts w:hint="eastAsia" w:ascii="Times New Roman" w:hAnsi="Times New Roman" w:eastAsia="Times New Roman" w:cs="Times New Roman"/>
          <w:sz w:val="24"/>
        </w:rPr>
        <w:t xml:space="preserve"> 5.55</w:t>
      </w:r>
      <w:r>
        <w:rPr>
          <w:rFonts w:hint="eastAsia" w:ascii="宋体" w:hAnsi="宋体" w:eastAsia="宋体" w:cs="宋体"/>
          <w:sz w:val="24"/>
        </w:rPr>
        <w:t xml:space="preserve"> 年（含</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个月建设期）。</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（五）研发中心建设项目</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1</w:t>
      </w:r>
      <w:r>
        <w:rPr>
          <w:rFonts w:hint="eastAsia" w:ascii="宋体" w:hAnsi="宋体" w:eastAsia="宋体" w:cs="宋体"/>
          <w:b/>
          <w:sz w:val="10"/>
        </w:rPr>
        <w:t>、</w:t>
      </w:r>
      <w:r>
        <w:rPr>
          <w:rFonts w:hint="eastAsia" w:ascii="宋体" w:hAnsi="宋体" w:eastAsia="宋体" w:cs="宋体"/>
          <w:b/>
          <w:sz w:val="24"/>
        </w:rPr>
        <w:t>项目简况</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为了使公司研发设备</w:t>
      </w:r>
      <w:r>
        <w:rPr>
          <w:rFonts w:hint="eastAsia" w:ascii="宋体" w:hAnsi="宋体" w:eastAsia="宋体" w:cs="宋体"/>
          <w:sz w:val="10"/>
        </w:rPr>
        <w:t>、</w:t>
      </w:r>
      <w:r>
        <w:rPr>
          <w:rFonts w:hint="eastAsia" w:ascii="宋体" w:hAnsi="宋体" w:eastAsia="宋体" w:cs="宋体"/>
          <w:sz w:val="24"/>
        </w:rPr>
        <w:t>研发能力等方面满足中长期发展的战略规划</w:t>
      </w:r>
      <w:r>
        <w:rPr>
          <w:rFonts w:hint="eastAsia" w:ascii="宋体" w:hAnsi="宋体" w:eastAsia="宋体" w:cs="宋体"/>
          <w:sz w:val="10"/>
        </w:rPr>
        <w:t>，</w:t>
      </w:r>
      <w:r>
        <w:rPr>
          <w:rFonts w:hint="eastAsia" w:ascii="宋体" w:hAnsi="宋体" w:eastAsia="宋体" w:cs="宋体"/>
          <w:sz w:val="24"/>
        </w:rPr>
        <w:t>进一步提升研发创新的技术水平</w:t>
      </w:r>
      <w:r>
        <w:rPr>
          <w:rFonts w:hint="eastAsia" w:ascii="宋体" w:hAnsi="宋体" w:eastAsia="宋体" w:cs="宋体"/>
          <w:sz w:val="10"/>
        </w:rPr>
        <w:t>，</w:t>
      </w:r>
      <w:r>
        <w:rPr>
          <w:rFonts w:hint="eastAsia" w:ascii="宋体" w:hAnsi="宋体" w:eastAsia="宋体" w:cs="宋体"/>
          <w:sz w:val="24"/>
        </w:rPr>
        <w:t>增强企业竞争力</w:t>
      </w:r>
      <w:r>
        <w:rPr>
          <w:rFonts w:hint="eastAsia" w:ascii="宋体" w:hAnsi="宋体" w:eastAsia="宋体" w:cs="宋体"/>
          <w:sz w:val="10"/>
        </w:rPr>
        <w:t>，</w:t>
      </w:r>
      <w:r>
        <w:rPr>
          <w:rFonts w:hint="eastAsia" w:ascii="宋体" w:hAnsi="宋体" w:eastAsia="宋体" w:cs="宋体"/>
          <w:sz w:val="24"/>
        </w:rPr>
        <w:t>公司拟用募集资金</w:t>
      </w:r>
      <w:r>
        <w:rPr>
          <w:rFonts w:hint="eastAsia" w:ascii="Times New Roman" w:hAnsi="Times New Roman" w:eastAsia="Times New Roman" w:cs="Times New Roman"/>
          <w:sz w:val="24"/>
        </w:rPr>
        <w:t xml:space="preserve"> 6,334.78</w:t>
      </w:r>
      <w:r>
        <w:rPr>
          <w:rFonts w:hint="eastAsia" w:ascii="宋体" w:hAnsi="宋体" w:eastAsia="宋体" w:cs="宋体"/>
          <w:sz w:val="24"/>
        </w:rPr>
        <w:t xml:space="preserve"> 万元投资于研发中心建设项目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本次研发中心建设内容主要包括以下几个方面</w:t>
      </w:r>
      <w:r>
        <w:rPr>
          <w:rFonts w:hint="eastAsia" w:ascii="宋体" w:hAnsi="宋体" w:eastAsia="宋体" w:cs="宋体"/>
          <w:sz w:val="12"/>
        </w:rPr>
        <w:t>：</w:t>
      </w:r>
      <w:r>
        <w:rPr>
          <w:rFonts w:hint="eastAsia" w:ascii="宋体" w:hAnsi="宋体" w:eastAsia="宋体" w:cs="宋体"/>
          <w:sz w:val="24"/>
        </w:rPr>
        <w:t>①中心机房的建设</w:t>
      </w:r>
      <w:r>
        <w:rPr>
          <w:rFonts w:hint="eastAsia" w:ascii="宋体" w:hAnsi="宋体" w:eastAsia="宋体" w:cs="宋体"/>
          <w:sz w:val="10"/>
        </w:rPr>
        <w:t>，</w:t>
      </w:r>
      <w:r>
        <w:rPr>
          <w:rFonts w:hint="eastAsia" w:ascii="宋体" w:hAnsi="宋体" w:eastAsia="宋体" w:cs="宋体"/>
          <w:sz w:val="24"/>
        </w:rPr>
        <w:t>具体包括机房装修</w:t>
      </w:r>
      <w:r>
        <w:rPr>
          <w:rFonts w:hint="eastAsia" w:ascii="宋体" w:hAnsi="宋体" w:eastAsia="宋体" w:cs="宋体"/>
          <w:sz w:val="10"/>
        </w:rPr>
        <w:t>、</w:t>
      </w:r>
      <w:r>
        <w:rPr>
          <w:rFonts w:hint="eastAsia" w:ascii="宋体" w:hAnsi="宋体" w:eastAsia="宋体" w:cs="宋体"/>
          <w:sz w:val="24"/>
        </w:rPr>
        <w:t>电气系统</w:t>
      </w:r>
      <w:r>
        <w:rPr>
          <w:rFonts w:hint="eastAsia" w:ascii="宋体" w:hAnsi="宋体" w:eastAsia="宋体" w:cs="宋体"/>
          <w:sz w:val="10"/>
        </w:rPr>
        <w:t>、</w:t>
      </w:r>
      <w:r>
        <w:rPr>
          <w:rFonts w:hint="eastAsia" w:ascii="宋体" w:hAnsi="宋体" w:eastAsia="宋体" w:cs="宋体"/>
          <w:sz w:val="24"/>
        </w:rPr>
        <w:t>空调系统</w:t>
      </w:r>
      <w:r>
        <w:rPr>
          <w:rFonts w:hint="eastAsia" w:ascii="宋体" w:hAnsi="宋体" w:eastAsia="宋体" w:cs="宋体"/>
          <w:sz w:val="10"/>
        </w:rPr>
        <w:t>、</w:t>
      </w:r>
      <w:r>
        <w:rPr>
          <w:rFonts w:hint="eastAsia" w:ascii="宋体" w:hAnsi="宋体" w:eastAsia="宋体" w:cs="宋体"/>
          <w:sz w:val="24"/>
        </w:rPr>
        <w:t>消防系统</w:t>
      </w:r>
      <w:r>
        <w:rPr>
          <w:rFonts w:hint="eastAsia" w:ascii="宋体" w:hAnsi="宋体" w:eastAsia="宋体" w:cs="宋体"/>
          <w:sz w:val="10"/>
        </w:rPr>
        <w:t>、</w:t>
      </w:r>
      <w:r>
        <w:rPr>
          <w:rFonts w:hint="eastAsia" w:ascii="宋体" w:hAnsi="宋体" w:eastAsia="宋体" w:cs="宋体"/>
          <w:sz w:val="24"/>
        </w:rPr>
        <w:t>综合布线系统</w:t>
      </w:r>
      <w:r>
        <w:rPr>
          <w:rFonts w:hint="eastAsia" w:ascii="宋体" w:hAnsi="宋体" w:eastAsia="宋体" w:cs="宋体"/>
          <w:sz w:val="10"/>
        </w:rPr>
        <w:t>、</w:t>
      </w:r>
      <w:r>
        <w:rPr>
          <w:rFonts w:hint="eastAsia" w:ascii="宋体" w:hAnsi="宋体" w:eastAsia="宋体" w:cs="宋体"/>
          <w:sz w:val="24"/>
        </w:rPr>
        <w:t>计算机网络系统建设等</w:t>
      </w:r>
      <w:r>
        <w:rPr>
          <w:rFonts w:hint="eastAsia" w:ascii="宋体" w:hAnsi="宋体" w:eastAsia="宋体" w:cs="宋体"/>
          <w:sz w:val="10"/>
        </w:rPr>
        <w:t>。</w:t>
      </w:r>
      <w:r>
        <w:rPr>
          <w:rFonts w:hint="eastAsia" w:ascii="宋体" w:hAnsi="宋体" w:eastAsia="宋体" w:cs="宋体"/>
          <w:sz w:val="24"/>
        </w:rPr>
        <w:t>②引进行业内高水平研发人才</w:t>
      </w:r>
      <w:r>
        <w:rPr>
          <w:rFonts w:hint="eastAsia" w:ascii="宋体" w:hAnsi="宋体" w:eastAsia="宋体" w:cs="宋体"/>
          <w:sz w:val="10"/>
        </w:rPr>
        <w:t>，</w:t>
      </w:r>
      <w:r>
        <w:rPr>
          <w:rFonts w:hint="eastAsia" w:ascii="宋体" w:hAnsi="宋体" w:eastAsia="宋体" w:cs="宋体"/>
          <w:sz w:val="24"/>
        </w:rPr>
        <w:t>研发中心在保持原有研发队伍的基础上</w:t>
      </w:r>
      <w:r>
        <w:rPr>
          <w:rFonts w:hint="eastAsia" w:ascii="宋体" w:hAnsi="宋体" w:eastAsia="宋体" w:cs="宋体"/>
          <w:sz w:val="10"/>
        </w:rPr>
        <w:t>，</w:t>
      </w:r>
      <w:r>
        <w:rPr>
          <w:rFonts w:hint="eastAsia" w:ascii="宋体" w:hAnsi="宋体" w:eastAsia="宋体" w:cs="宋体"/>
          <w:sz w:val="24"/>
        </w:rPr>
        <w:t>在重点研发课题上</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1-1-318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00"/>
        <w:jc w:val="both"/>
      </w:pPr>
      <w:r>
        <w:rPr>
          <w:rFonts w:hint="eastAsia" w:ascii="宋体" w:hAnsi="宋体" w:eastAsia="宋体" w:cs="宋体"/>
          <w:sz w:val="24"/>
        </w:rPr>
        <w:t>引进一批高水平研发人才</w:t>
      </w:r>
      <w:r>
        <w:rPr>
          <w:rFonts w:hint="eastAsia" w:ascii="宋体" w:hAnsi="宋体" w:eastAsia="宋体" w:cs="宋体"/>
          <w:sz w:val="10"/>
        </w:rPr>
        <w:t>，</w:t>
      </w:r>
      <w:r>
        <w:rPr>
          <w:rFonts w:hint="eastAsia" w:ascii="宋体" w:hAnsi="宋体" w:eastAsia="宋体" w:cs="宋体"/>
          <w:sz w:val="24"/>
        </w:rPr>
        <w:t>配套扩充研发队伍的整体规模</w:t>
      </w:r>
      <w:r>
        <w:rPr>
          <w:rFonts w:hint="eastAsia" w:ascii="宋体" w:hAnsi="宋体" w:eastAsia="宋体" w:cs="宋体"/>
          <w:sz w:val="10"/>
        </w:rPr>
        <w:t>。</w:t>
      </w:r>
      <w:r>
        <w:rPr>
          <w:rFonts w:hint="eastAsia" w:ascii="宋体" w:hAnsi="宋体" w:eastAsia="宋体" w:cs="宋体"/>
          <w:sz w:val="24"/>
        </w:rPr>
        <w:t>③提供与公司业务发展相适应的</w:t>
      </w:r>
      <w:r>
        <w:rPr>
          <w:rFonts w:hint="eastAsia" w:ascii="宋体" w:hAnsi="宋体" w:eastAsia="宋体" w:cs="宋体"/>
          <w:sz w:val="10"/>
        </w:rPr>
        <w:t>，</w:t>
      </w:r>
      <w:r>
        <w:rPr>
          <w:rFonts w:hint="eastAsia" w:ascii="宋体" w:hAnsi="宋体" w:eastAsia="宋体" w:cs="宋体"/>
          <w:sz w:val="24"/>
        </w:rPr>
        <w:t>软硬件支撑的基础技术开发平台</w:t>
      </w:r>
      <w:r>
        <w:rPr>
          <w:rFonts w:hint="eastAsia" w:ascii="宋体" w:hAnsi="宋体" w:eastAsia="宋体" w:cs="宋体"/>
          <w:sz w:val="10"/>
        </w:rPr>
        <w:t>，</w:t>
      </w:r>
      <w:r>
        <w:rPr>
          <w:rFonts w:hint="eastAsia" w:ascii="宋体" w:hAnsi="宋体" w:eastAsia="宋体" w:cs="宋体"/>
          <w:sz w:val="24"/>
        </w:rPr>
        <w:t>使公司研发水平不断创新</w:t>
      </w:r>
      <w:r>
        <w:rPr>
          <w:rFonts w:hint="eastAsia" w:ascii="宋体" w:hAnsi="宋体" w:eastAsia="宋体" w:cs="宋体"/>
          <w:sz w:val="10"/>
        </w:rPr>
        <w:t>，</w:t>
      </w:r>
      <w:r>
        <w:rPr>
          <w:rFonts w:hint="eastAsia" w:ascii="宋体" w:hAnsi="宋体" w:eastAsia="宋体" w:cs="宋体"/>
          <w:sz w:val="24"/>
        </w:rPr>
        <w:t>为公司持续快速发展提供有力的支持</w:t>
      </w:r>
      <w:r>
        <w:rPr>
          <w:rFonts w:hint="eastAsia" w:ascii="宋体" w:hAnsi="宋体" w:eastAsia="宋体" w:cs="宋体"/>
          <w:sz w:val="10"/>
        </w:rPr>
        <w:t>。</w:t>
      </w:r>
      <w:r>
        <w:rPr>
          <w:rFonts w:hint="eastAsia" w:ascii="宋体" w:hAnsi="宋体" w:eastAsia="宋体" w:cs="宋体"/>
          <w:sz w:val="24"/>
        </w:rPr>
        <w:t>④新业务研究</w:t>
      </w:r>
      <w:r>
        <w:rPr>
          <w:rFonts w:hint="eastAsia" w:ascii="宋体" w:hAnsi="宋体" w:eastAsia="宋体" w:cs="宋体"/>
          <w:sz w:val="10"/>
        </w:rPr>
        <w:t>，</w:t>
      </w:r>
      <w:r>
        <w:rPr>
          <w:rFonts w:hint="eastAsia" w:ascii="宋体" w:hAnsi="宋体" w:eastAsia="宋体" w:cs="宋体"/>
          <w:sz w:val="24"/>
        </w:rPr>
        <w:t>研发中心建设项目的一项重要内容是新业务研究</w:t>
      </w:r>
      <w:r>
        <w:rPr>
          <w:rFonts w:hint="eastAsia" w:ascii="宋体" w:hAnsi="宋体" w:eastAsia="宋体" w:cs="宋体"/>
          <w:sz w:val="10"/>
        </w:rPr>
        <w:t>，</w:t>
      </w:r>
      <w:r>
        <w:rPr>
          <w:rFonts w:hint="eastAsia" w:ascii="宋体" w:hAnsi="宋体" w:eastAsia="宋体" w:cs="宋体"/>
          <w:sz w:val="24"/>
        </w:rPr>
        <w:t>其研发内容包括开展移动智能终端的流程与信息门户研究</w:t>
      </w:r>
      <w:r>
        <w:rPr>
          <w:rFonts w:hint="eastAsia" w:ascii="宋体" w:hAnsi="宋体" w:eastAsia="宋体" w:cs="宋体"/>
          <w:sz w:val="10"/>
        </w:rPr>
        <w:t>、</w:t>
      </w:r>
      <w:r>
        <w:rPr>
          <w:rFonts w:hint="eastAsia" w:ascii="宋体" w:hAnsi="宋体" w:eastAsia="宋体" w:cs="宋体"/>
          <w:sz w:val="24"/>
        </w:rPr>
        <w:t>云计算技术研究</w:t>
      </w:r>
      <w:r>
        <w:rPr>
          <w:rFonts w:hint="eastAsia" w:ascii="宋体" w:hAnsi="宋体" w:eastAsia="宋体" w:cs="宋体"/>
          <w:sz w:val="10"/>
        </w:rPr>
        <w:t>、</w:t>
      </w:r>
      <w:r>
        <w:rPr>
          <w:rFonts w:hint="eastAsia" w:ascii="宋体" w:hAnsi="宋体" w:eastAsia="宋体" w:cs="宋体"/>
          <w:sz w:val="24"/>
        </w:rPr>
        <w:t>证券数据魔方研究</w:t>
      </w:r>
      <w:r>
        <w:rPr>
          <w:rFonts w:hint="eastAsia" w:ascii="宋体" w:hAnsi="宋体" w:eastAsia="宋体" w:cs="宋体"/>
          <w:sz w:val="10"/>
        </w:rPr>
        <w:t>、</w:t>
      </w:r>
      <w:r>
        <w:rPr>
          <w:rFonts w:hint="eastAsia" w:ascii="宋体" w:hAnsi="宋体" w:eastAsia="宋体" w:cs="宋体"/>
          <w:sz w:val="24"/>
        </w:rPr>
        <w:t>企业统</w:t>
      </w:r>
      <w:r>
        <w:rPr>
          <w:rFonts w:hint="eastAsia" w:ascii="宋体" w:hAnsi="宋体" w:eastAsia="宋体" w:cs="宋体"/>
          <w:sz w:val="10"/>
        </w:rPr>
        <w:t>一</w:t>
      </w:r>
      <w:r>
        <w:rPr>
          <w:rFonts w:hint="eastAsia" w:ascii="宋体" w:hAnsi="宋体" w:eastAsia="宋体" w:cs="宋体"/>
          <w:sz w:val="24"/>
        </w:rPr>
        <w:t>应用架构技术研究等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2</w:t>
      </w:r>
      <w:r>
        <w:rPr>
          <w:rFonts w:hint="eastAsia" w:ascii="宋体" w:hAnsi="宋体" w:eastAsia="宋体" w:cs="宋体"/>
          <w:b/>
          <w:sz w:val="10"/>
        </w:rPr>
        <w:t>、</w:t>
      </w:r>
      <w:r>
        <w:rPr>
          <w:rFonts w:hint="eastAsia" w:ascii="宋体" w:hAnsi="宋体" w:eastAsia="宋体" w:cs="宋体"/>
          <w:b/>
          <w:sz w:val="24"/>
        </w:rPr>
        <w:t>投资概算</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项目建设期</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总投资</w:t>
      </w:r>
      <w:r>
        <w:rPr>
          <w:rFonts w:hint="eastAsia" w:ascii="Times New Roman" w:hAnsi="Times New Roman" w:eastAsia="Times New Roman" w:cs="Times New Roman"/>
          <w:sz w:val="24"/>
        </w:rPr>
        <w:t xml:space="preserve"> 6,334.78</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其中软硬件投入</w:t>
      </w:r>
      <w:r>
        <w:rPr>
          <w:rFonts w:hint="eastAsia" w:ascii="Times New Roman" w:hAnsi="Times New Roman" w:eastAsia="Times New Roman" w:cs="Times New Roman"/>
          <w:sz w:val="24"/>
        </w:rPr>
        <w:t xml:space="preserve"> 650.78</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场地购置及装修投入</w:t>
      </w:r>
      <w:r>
        <w:rPr>
          <w:rFonts w:hint="eastAsia" w:ascii="Times New Roman" w:hAnsi="Times New Roman" w:eastAsia="Times New Roman" w:cs="Times New Roman"/>
          <w:sz w:val="24"/>
        </w:rPr>
        <w:t xml:space="preserve"> 2,115.00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项目实施费用</w:t>
      </w:r>
      <w:r>
        <w:rPr>
          <w:rFonts w:hint="eastAsia" w:ascii="Times New Roman" w:hAnsi="Times New Roman" w:eastAsia="Times New Roman" w:cs="Times New Roman"/>
          <w:sz w:val="24"/>
        </w:rPr>
        <w:t xml:space="preserve"> 3,569.00</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项目使用募集资金投资概算情况如下表</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340" w:lineRule="exact"/>
        <w:ind w:left="9440"/>
        <w:jc w:val="both"/>
      </w:pPr>
      <w:r>
        <w:rPr>
          <w:rFonts w:hint="eastAsia" w:ascii="宋体" w:hAnsi="宋体" w:eastAsia="宋体" w:cs="宋体"/>
          <w:sz w:val="21"/>
        </w:rPr>
        <w:t>单位</w:t>
      </w:r>
      <w:r>
        <w:rPr>
          <w:rFonts w:hint="eastAsia" w:ascii="宋体" w:hAnsi="宋体" w:eastAsia="宋体" w:cs="宋体"/>
          <w:sz w:val="12"/>
        </w:rPr>
        <w:t>：</w:t>
      </w:r>
      <w:r>
        <w:rPr>
          <w:rFonts w:hint="eastAsia" w:ascii="宋体" w:hAnsi="宋体" w:eastAsia="宋体" w:cs="宋体"/>
          <w:sz w:val="21"/>
        </w:rPr>
        <w:t>万元</w:t>
      </w:r>
    </w:p>
    <w:p>
      <w:pPr>
        <w:spacing w:line="80" w:lineRule="exact"/>
        <w:rPr>
          <w:rFonts w:hint="eastAsia" w:ascii="宋体" w:hAnsi="宋体" w:eastAsia="宋体" w:cs="宋体"/>
          <w:sz w:val="20"/>
        </w:rPr>
      </w:pPr>
    </w:p>
    <w:tbl>
      <w:tblPr>
        <w:tblW w:w="9280" w:type="auto"/>
        <w:tblInd w:w="13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blGrid>
        <w:gridCol w:w="1220"/>
        <w:gridCol w:w="5180"/>
        <w:gridCol w:w="2860"/>
      </w:tblGrid>
      <w:tr>
        <w:trPr>
          <w:trHeight w:val="480" w:hRule="exact"/>
        </w:trPr>
        <w:tc>
          <w:tcPr>
            <w:tcW w:w="1220" w:type="dxa"/>
            <w:tcMar>
              <w:top w:w="0" w:type="dxa"/>
              <w:left w:w="0" w:type="dxa"/>
              <w:bottom w:w="0" w:type="dxa"/>
              <w:right w:w="0" w:type="dxa"/>
            </w:tcMar>
          </w:tcPr>
          <w:p>
            <w:pPr>
              <w:spacing w:before="120"/>
              <w:ind w:left="380"/>
            </w:pPr>
            <w:r>
              <w:rPr>
                <w:rFonts w:hint="eastAsia" w:ascii="宋体" w:hAnsi="宋体" w:eastAsia="宋体" w:cs="宋体"/>
                <w:b/>
                <w:sz w:val="21"/>
              </w:rPr>
              <w:t>序号</w:t>
            </w:r>
          </w:p>
        </w:tc>
        <w:tc>
          <w:tcPr>
            <w:tcW w:w="5180" w:type="dxa"/>
            <w:tcMar>
              <w:top w:w="0" w:type="dxa"/>
              <w:left w:w="0" w:type="dxa"/>
              <w:bottom w:w="0" w:type="dxa"/>
              <w:right w:w="0" w:type="dxa"/>
            </w:tcMar>
          </w:tcPr>
          <w:p>
            <w:pPr>
              <w:spacing w:before="120"/>
              <w:ind w:left="1820"/>
            </w:pPr>
            <w:r>
              <w:rPr>
                <w:rFonts w:hint="eastAsia" w:ascii="宋体" w:hAnsi="宋体" w:eastAsia="宋体" w:cs="宋体"/>
                <w:b/>
                <w:sz w:val="21"/>
              </w:rPr>
              <w:t>项目或费用名称</w:t>
            </w:r>
          </w:p>
        </w:tc>
        <w:tc>
          <w:tcPr>
            <w:tcW w:w="2860" w:type="dxa"/>
            <w:tcMar>
              <w:top w:w="0" w:type="dxa"/>
              <w:left w:w="0" w:type="dxa"/>
              <w:bottom w:w="0" w:type="dxa"/>
              <w:right w:w="0" w:type="dxa"/>
            </w:tcMar>
          </w:tcPr>
          <w:p>
            <w:pPr>
              <w:spacing w:before="120"/>
              <w:ind w:left="1200"/>
            </w:pPr>
            <w:r>
              <w:rPr>
                <w:rFonts w:hint="eastAsia" w:ascii="宋体" w:hAnsi="宋体" w:eastAsia="宋体" w:cs="宋体"/>
                <w:b/>
                <w:sz w:val="21"/>
              </w:rPr>
              <w:t>金额</w:t>
            </w:r>
          </w:p>
        </w:tc>
      </w:tr>
      <w:tr>
        <w:trPr>
          <w:trHeight w:val="460" w:hRule="exact"/>
        </w:trPr>
        <w:tc>
          <w:tcPr>
            <w:tcW w:w="1220" w:type="dxa"/>
            <w:tcMar>
              <w:top w:w="0" w:type="dxa"/>
              <w:left w:w="0" w:type="dxa"/>
              <w:bottom w:w="0" w:type="dxa"/>
              <w:right w:w="0" w:type="dxa"/>
            </w:tcMar>
          </w:tcPr>
          <w:p>
            <w:pPr>
              <w:spacing w:before="160"/>
              <w:ind w:left="540"/>
            </w:pPr>
            <w:r>
              <w:rPr>
                <w:rFonts w:hint="eastAsia" w:ascii="Times New Roman Bold" w:hAnsi="Times New Roman Bold" w:eastAsia="Times New Roman Bold" w:cs="Times New Roman Bold"/>
                <w:b/>
                <w:sz w:val="21"/>
              </w:rPr>
              <w:t>1</w:t>
            </w:r>
          </w:p>
        </w:tc>
        <w:tc>
          <w:tcPr>
            <w:tcW w:w="5180" w:type="dxa"/>
            <w:tcMar>
              <w:top w:w="0" w:type="dxa"/>
              <w:left w:w="0" w:type="dxa"/>
              <w:bottom w:w="0" w:type="dxa"/>
              <w:right w:w="0" w:type="dxa"/>
            </w:tcMar>
          </w:tcPr>
          <w:p>
            <w:pPr>
              <w:spacing w:before="100"/>
            </w:pPr>
            <w:r>
              <w:rPr>
                <w:rFonts w:hint="eastAsia" w:ascii="宋体" w:hAnsi="宋体" w:eastAsia="宋体" w:cs="宋体"/>
                <w:b/>
                <w:sz w:val="21"/>
              </w:rPr>
              <w:t>软硬件投入</w:t>
            </w:r>
          </w:p>
        </w:tc>
        <w:tc>
          <w:tcPr>
            <w:tcW w:w="2860" w:type="dxa"/>
            <w:tcMar>
              <w:top w:w="0" w:type="dxa"/>
              <w:left w:w="0" w:type="dxa"/>
              <w:bottom w:w="0" w:type="dxa"/>
              <w:right w:w="0" w:type="dxa"/>
            </w:tcMar>
          </w:tcPr>
          <w:p>
            <w:pPr>
              <w:spacing w:before="160"/>
              <w:ind w:left="2160"/>
            </w:pPr>
            <w:r>
              <w:rPr>
                <w:rFonts w:hint="eastAsia" w:ascii="Times New Roman Bold" w:hAnsi="Times New Roman Bold" w:eastAsia="Times New Roman Bold" w:cs="Times New Roman Bold"/>
                <w:b/>
                <w:sz w:val="21"/>
              </w:rPr>
              <w:t>650</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78</w:t>
            </w:r>
          </w:p>
        </w:tc>
      </w:tr>
      <w:tr>
        <w:trPr>
          <w:trHeight w:val="480" w:hRule="exact"/>
        </w:trPr>
        <w:tc>
          <w:tcPr>
            <w:tcW w:w="122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20"/>
            </w:pPr>
            <w:r>
              <w:rPr>
                <w:rFonts w:hint="eastAsia" w:ascii="宋体" w:hAnsi="宋体" w:eastAsia="宋体" w:cs="宋体"/>
                <w:sz w:val="21"/>
              </w:rPr>
              <w:t>研发及测试平台硬件投资</w:t>
            </w:r>
          </w:p>
        </w:tc>
        <w:tc>
          <w:tcPr>
            <w:tcW w:w="2860" w:type="dxa"/>
            <w:tcMar>
              <w:top w:w="0" w:type="dxa"/>
              <w:left w:w="0" w:type="dxa"/>
              <w:bottom w:w="0" w:type="dxa"/>
              <w:right w:w="0" w:type="dxa"/>
            </w:tcMar>
          </w:tcPr>
          <w:p>
            <w:pPr>
              <w:spacing w:before="180"/>
              <w:ind w:left="2160"/>
            </w:pPr>
            <w:r>
              <w:rPr>
                <w:rFonts w:hint="eastAsia" w:ascii="Times New Roman" w:hAnsi="Times New Roman" w:eastAsia="Times New Roman" w:cs="Times New Roman"/>
                <w:sz w:val="21"/>
              </w:rPr>
              <w:t>327</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75</w:t>
            </w:r>
          </w:p>
        </w:tc>
      </w:tr>
      <w:tr>
        <w:trPr>
          <w:trHeight w:val="480" w:hRule="exact"/>
        </w:trPr>
        <w:tc>
          <w:tcPr>
            <w:tcW w:w="122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20"/>
            </w:pPr>
            <w:r>
              <w:rPr>
                <w:rFonts w:hint="eastAsia" w:ascii="宋体" w:hAnsi="宋体" w:eastAsia="宋体" w:cs="宋体"/>
                <w:sz w:val="21"/>
              </w:rPr>
              <w:t>研发及测试平台软件投资</w:t>
            </w:r>
          </w:p>
        </w:tc>
        <w:tc>
          <w:tcPr>
            <w:tcW w:w="2860" w:type="dxa"/>
            <w:tcMar>
              <w:top w:w="0" w:type="dxa"/>
              <w:left w:w="0" w:type="dxa"/>
              <w:bottom w:w="0" w:type="dxa"/>
              <w:right w:w="0" w:type="dxa"/>
            </w:tcMar>
          </w:tcPr>
          <w:p>
            <w:pPr>
              <w:spacing w:before="180"/>
              <w:ind w:left="2160"/>
            </w:pPr>
            <w:r>
              <w:rPr>
                <w:rFonts w:hint="eastAsia" w:ascii="Times New Roman" w:hAnsi="Times New Roman" w:eastAsia="Times New Roman" w:cs="Times New Roman"/>
                <w:sz w:val="21"/>
              </w:rPr>
              <w:t>298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80"/>
              <w:ind w:left="46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180" w:type="dxa"/>
            <w:tcMar>
              <w:top w:w="0" w:type="dxa"/>
              <w:left w:w="0" w:type="dxa"/>
              <w:bottom w:w="0" w:type="dxa"/>
              <w:right w:w="0" w:type="dxa"/>
            </w:tcMar>
          </w:tcPr>
          <w:p>
            <w:pPr>
              <w:spacing w:before="120"/>
            </w:pPr>
            <w:r>
              <w:rPr>
                <w:rFonts w:hint="eastAsia" w:ascii="宋体" w:hAnsi="宋体" w:eastAsia="宋体" w:cs="宋体"/>
                <w:sz w:val="21"/>
              </w:rPr>
              <w:t>网络及设备安装费</w:t>
            </w:r>
          </w:p>
        </w:tc>
        <w:tc>
          <w:tcPr>
            <w:tcW w:w="2860" w:type="dxa"/>
            <w:tcMar>
              <w:top w:w="0" w:type="dxa"/>
              <w:left w:w="0" w:type="dxa"/>
              <w:bottom w:w="0" w:type="dxa"/>
              <w:right w:w="0" w:type="dxa"/>
            </w:tcMar>
          </w:tcPr>
          <w:p>
            <w:pPr>
              <w:spacing w:before="180"/>
              <w:ind w:left="2260"/>
            </w:pPr>
            <w:r>
              <w:rPr>
                <w:rFonts w:hint="eastAsia" w:ascii="Times New Roman" w:hAnsi="Times New Roman" w:eastAsia="Times New Roman" w:cs="Times New Roman"/>
                <w:sz w:val="21"/>
              </w:rPr>
              <w:t>25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03</w:t>
            </w:r>
          </w:p>
        </w:tc>
      </w:tr>
      <w:tr>
        <w:trPr>
          <w:trHeight w:val="480" w:hRule="exact"/>
        </w:trPr>
        <w:tc>
          <w:tcPr>
            <w:tcW w:w="1220" w:type="dxa"/>
            <w:tcMar>
              <w:top w:w="0" w:type="dxa"/>
              <w:left w:w="0" w:type="dxa"/>
              <w:bottom w:w="0" w:type="dxa"/>
              <w:right w:w="0" w:type="dxa"/>
            </w:tcMar>
          </w:tcPr>
          <w:p>
            <w:pPr>
              <w:spacing w:before="180"/>
              <w:ind w:left="540"/>
            </w:pPr>
            <w:r>
              <w:rPr>
                <w:rFonts w:hint="eastAsia" w:ascii="Times New Roman Bold" w:hAnsi="Times New Roman Bold" w:eastAsia="Times New Roman Bold" w:cs="Times New Roman Bold"/>
                <w:b/>
                <w:sz w:val="21"/>
              </w:rPr>
              <w:t>2</w:t>
            </w:r>
          </w:p>
        </w:tc>
        <w:tc>
          <w:tcPr>
            <w:tcW w:w="5180" w:type="dxa"/>
            <w:tcMar>
              <w:top w:w="0" w:type="dxa"/>
              <w:left w:w="0" w:type="dxa"/>
              <w:bottom w:w="0" w:type="dxa"/>
              <w:right w:w="0" w:type="dxa"/>
            </w:tcMar>
          </w:tcPr>
          <w:p>
            <w:pPr>
              <w:spacing w:before="120"/>
            </w:pPr>
            <w:r>
              <w:rPr>
                <w:rFonts w:hint="eastAsia" w:ascii="宋体" w:hAnsi="宋体" w:eastAsia="宋体" w:cs="宋体"/>
                <w:b/>
                <w:sz w:val="21"/>
              </w:rPr>
              <w:t>场地投入</w:t>
            </w:r>
          </w:p>
        </w:tc>
        <w:tc>
          <w:tcPr>
            <w:tcW w:w="2860" w:type="dxa"/>
            <w:tcMar>
              <w:top w:w="0" w:type="dxa"/>
              <w:left w:w="0" w:type="dxa"/>
              <w:bottom w:w="0" w:type="dxa"/>
              <w:right w:w="0" w:type="dxa"/>
            </w:tcMar>
          </w:tcPr>
          <w:p>
            <w:pPr>
              <w:spacing w:before="180"/>
              <w:ind w:left="2000"/>
            </w:pPr>
            <w:r>
              <w:rPr>
                <w:rFonts w:hint="eastAsia" w:ascii="Times New Roman Bold" w:hAnsi="Times New Roman Bold" w:eastAsia="Times New Roman Bold" w:cs="Times New Roman Bold"/>
                <w:b/>
                <w:sz w:val="21"/>
              </w:rPr>
              <w:t>2</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115</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20"/>
            </w:pPr>
            <w:r>
              <w:rPr>
                <w:rFonts w:hint="eastAsia" w:ascii="宋体" w:hAnsi="宋体" w:eastAsia="宋体" w:cs="宋体"/>
                <w:sz w:val="21"/>
              </w:rPr>
              <w:t>房屋购置投入</w:t>
            </w:r>
          </w:p>
        </w:tc>
        <w:tc>
          <w:tcPr>
            <w:tcW w:w="2860" w:type="dxa"/>
            <w:tcMar>
              <w:top w:w="0" w:type="dxa"/>
              <w:left w:w="0" w:type="dxa"/>
              <w:bottom w:w="0" w:type="dxa"/>
              <w:right w:w="0" w:type="dxa"/>
            </w:tcMar>
          </w:tcPr>
          <w:p>
            <w:pPr>
              <w:spacing w:before="140"/>
              <w:ind w:left="2000"/>
            </w:pPr>
            <w:r>
              <w:rPr>
                <w:rFonts w:hint="eastAsia" w:ascii="Times New Roman" w:hAnsi="Times New Roman" w:eastAsia="Times New Roman" w:cs="Times New Roman"/>
                <w:sz w:val="21"/>
              </w:rPr>
              <w:t>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545</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2</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00"/>
            </w:pPr>
            <w:r>
              <w:rPr>
                <w:rFonts w:hint="eastAsia" w:ascii="宋体" w:hAnsi="宋体" w:eastAsia="宋体" w:cs="宋体"/>
                <w:sz w:val="21"/>
              </w:rPr>
              <w:t>房屋</w:t>
            </w:r>
            <w:r>
              <w:rPr>
                <w:rFonts w:hint="eastAsia" w:ascii="宋体" w:hAnsi="宋体" w:eastAsia="宋体" w:cs="宋体"/>
                <w:sz w:val="10"/>
              </w:rPr>
              <w:t>、</w:t>
            </w:r>
            <w:r>
              <w:rPr>
                <w:rFonts w:hint="eastAsia" w:ascii="宋体" w:hAnsi="宋体" w:eastAsia="宋体" w:cs="宋体"/>
                <w:sz w:val="21"/>
              </w:rPr>
              <w:t>机房配套装修投入</w:t>
            </w:r>
          </w:p>
        </w:tc>
        <w:tc>
          <w:tcPr>
            <w:tcW w:w="2860" w:type="dxa"/>
            <w:tcMar>
              <w:top w:w="0" w:type="dxa"/>
              <w:left w:w="0" w:type="dxa"/>
              <w:bottom w:w="0" w:type="dxa"/>
              <w:right w:w="0" w:type="dxa"/>
            </w:tcMar>
          </w:tcPr>
          <w:p>
            <w:pPr>
              <w:spacing w:before="140"/>
              <w:ind w:left="2160"/>
            </w:pPr>
            <w:r>
              <w:rPr>
                <w:rFonts w:hint="eastAsia" w:ascii="Times New Roman" w:hAnsi="Times New Roman" w:eastAsia="Times New Roman" w:cs="Times New Roman"/>
                <w:sz w:val="21"/>
              </w:rPr>
              <w:t>570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40"/>
              <w:ind w:left="540"/>
            </w:pPr>
            <w:r>
              <w:rPr>
                <w:rFonts w:hint="eastAsia" w:ascii="Times New Roman Bold" w:hAnsi="Times New Roman Bold" w:eastAsia="Times New Roman Bold" w:cs="Times New Roman Bold"/>
                <w:b/>
                <w:sz w:val="21"/>
              </w:rPr>
              <w:t>3</w:t>
            </w:r>
          </w:p>
        </w:tc>
        <w:tc>
          <w:tcPr>
            <w:tcW w:w="5180" w:type="dxa"/>
            <w:tcMar>
              <w:top w:w="0" w:type="dxa"/>
              <w:left w:w="0" w:type="dxa"/>
              <w:bottom w:w="0" w:type="dxa"/>
              <w:right w:w="0" w:type="dxa"/>
            </w:tcMar>
          </w:tcPr>
          <w:p>
            <w:pPr>
              <w:spacing w:before="100"/>
            </w:pPr>
            <w:r>
              <w:rPr>
                <w:rFonts w:hint="eastAsia" w:ascii="宋体" w:hAnsi="宋体" w:eastAsia="宋体" w:cs="宋体"/>
                <w:b/>
                <w:sz w:val="21"/>
              </w:rPr>
              <w:t>项目实施费用</w:t>
            </w:r>
          </w:p>
        </w:tc>
        <w:tc>
          <w:tcPr>
            <w:tcW w:w="2860" w:type="dxa"/>
            <w:tcMar>
              <w:top w:w="0" w:type="dxa"/>
              <w:left w:w="0" w:type="dxa"/>
              <w:bottom w:w="0" w:type="dxa"/>
              <w:right w:w="0" w:type="dxa"/>
            </w:tcMar>
          </w:tcPr>
          <w:p>
            <w:pPr>
              <w:spacing w:before="140"/>
              <w:ind w:left="2000"/>
            </w:pPr>
            <w:r>
              <w:rPr>
                <w:rFonts w:hint="eastAsia" w:ascii="Times New Roman Bold" w:hAnsi="Times New Roman Bold" w:eastAsia="Times New Roman Bold" w:cs="Times New Roman Bold"/>
                <w:b/>
                <w:sz w:val="21"/>
              </w:rPr>
              <w:t>3</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569</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00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1</w:t>
            </w:r>
          </w:p>
        </w:tc>
        <w:tc>
          <w:tcPr>
            <w:tcW w:w="5180" w:type="dxa"/>
            <w:tcMar>
              <w:top w:w="0" w:type="dxa"/>
              <w:left w:w="0" w:type="dxa"/>
              <w:bottom w:w="0" w:type="dxa"/>
              <w:right w:w="0" w:type="dxa"/>
            </w:tcMar>
          </w:tcPr>
          <w:p>
            <w:pPr>
              <w:spacing w:before="100"/>
            </w:pPr>
            <w:r>
              <w:rPr>
                <w:rFonts w:hint="eastAsia" w:ascii="宋体" w:hAnsi="宋体" w:eastAsia="宋体" w:cs="宋体"/>
                <w:sz w:val="21"/>
              </w:rPr>
              <w:t>软件研发及测试费用</w:t>
            </w:r>
          </w:p>
        </w:tc>
        <w:tc>
          <w:tcPr>
            <w:tcW w:w="2860" w:type="dxa"/>
            <w:tcMar>
              <w:top w:w="0" w:type="dxa"/>
              <w:left w:w="0" w:type="dxa"/>
              <w:bottom w:w="0" w:type="dxa"/>
              <w:right w:w="0" w:type="dxa"/>
            </w:tcMar>
          </w:tcPr>
          <w:p>
            <w:pPr>
              <w:spacing w:before="160"/>
              <w:ind w:left="200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080</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2</w:t>
            </w:r>
          </w:p>
        </w:tc>
        <w:tc>
          <w:tcPr>
            <w:tcW w:w="5180" w:type="dxa"/>
            <w:tcMar>
              <w:top w:w="0" w:type="dxa"/>
              <w:left w:w="0" w:type="dxa"/>
              <w:bottom w:w="0" w:type="dxa"/>
              <w:right w:w="0" w:type="dxa"/>
            </w:tcMar>
          </w:tcPr>
          <w:p>
            <w:pPr>
              <w:spacing w:before="120"/>
            </w:pPr>
            <w:r>
              <w:rPr>
                <w:rFonts w:hint="eastAsia" w:ascii="宋体" w:hAnsi="宋体" w:eastAsia="宋体" w:cs="宋体"/>
                <w:sz w:val="21"/>
              </w:rPr>
              <w:t>调研</w:t>
            </w:r>
            <w:r>
              <w:rPr>
                <w:rFonts w:hint="eastAsia" w:ascii="宋体" w:hAnsi="宋体" w:eastAsia="宋体" w:cs="宋体"/>
                <w:sz w:val="10"/>
              </w:rPr>
              <w:t>、</w:t>
            </w:r>
            <w:r>
              <w:rPr>
                <w:rFonts w:hint="eastAsia" w:ascii="宋体" w:hAnsi="宋体" w:eastAsia="宋体" w:cs="宋体"/>
                <w:sz w:val="21"/>
              </w:rPr>
              <w:t>咨询</w:t>
            </w:r>
            <w:r>
              <w:rPr>
                <w:rFonts w:hint="eastAsia" w:ascii="宋体" w:hAnsi="宋体" w:eastAsia="宋体" w:cs="宋体"/>
                <w:sz w:val="10"/>
              </w:rPr>
              <w:t>、</w:t>
            </w:r>
            <w:r>
              <w:rPr>
                <w:rFonts w:hint="eastAsia" w:ascii="宋体" w:hAnsi="宋体" w:eastAsia="宋体" w:cs="宋体"/>
                <w:sz w:val="21"/>
              </w:rPr>
              <w:t>论证等其他费用</w:t>
            </w:r>
          </w:p>
        </w:tc>
        <w:tc>
          <w:tcPr>
            <w:tcW w:w="286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308</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80" w:hRule="exact"/>
        </w:trPr>
        <w:tc>
          <w:tcPr>
            <w:tcW w:w="1220" w:type="dxa"/>
            <w:tcMar>
              <w:top w:w="0" w:type="dxa"/>
              <w:left w:w="0" w:type="dxa"/>
              <w:bottom w:w="0" w:type="dxa"/>
              <w:right w:w="0" w:type="dxa"/>
            </w:tcMar>
          </w:tcPr>
          <w:p>
            <w:pPr>
              <w:spacing w:before="160"/>
              <w:ind w:left="460"/>
            </w:pPr>
            <w:r>
              <w:rPr>
                <w:rFonts w:hint="eastAsia" w:ascii="Times New Roman" w:hAnsi="Times New Roman" w:eastAsia="Times New Roman" w:cs="Times New Roman"/>
                <w:sz w:val="21"/>
              </w:rPr>
              <w:t>3</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3</w:t>
            </w:r>
          </w:p>
        </w:tc>
        <w:tc>
          <w:tcPr>
            <w:tcW w:w="5180" w:type="dxa"/>
            <w:tcMar>
              <w:top w:w="0" w:type="dxa"/>
              <w:left w:w="0" w:type="dxa"/>
              <w:bottom w:w="0" w:type="dxa"/>
              <w:right w:w="0" w:type="dxa"/>
            </w:tcMar>
          </w:tcPr>
          <w:p>
            <w:pPr>
              <w:spacing w:before="100"/>
            </w:pPr>
            <w:r>
              <w:rPr>
                <w:rFonts w:hint="eastAsia" w:ascii="宋体" w:hAnsi="宋体" w:eastAsia="宋体" w:cs="宋体"/>
                <w:sz w:val="21"/>
              </w:rPr>
              <w:t>人员培训费用</w:t>
            </w:r>
          </w:p>
        </w:tc>
        <w:tc>
          <w:tcPr>
            <w:tcW w:w="2860" w:type="dxa"/>
            <w:tcMar>
              <w:top w:w="0" w:type="dxa"/>
              <w:left w:w="0" w:type="dxa"/>
              <w:bottom w:w="0" w:type="dxa"/>
              <w:right w:w="0" w:type="dxa"/>
            </w:tcMar>
          </w:tcPr>
          <w:p>
            <w:pPr>
              <w:spacing w:before="160"/>
              <w:ind w:left="2160"/>
            </w:pPr>
            <w:r>
              <w:rPr>
                <w:rFonts w:hint="eastAsia" w:ascii="Times New Roman" w:hAnsi="Times New Roman" w:eastAsia="Times New Roman" w:cs="Times New Roman"/>
                <w:sz w:val="21"/>
              </w:rPr>
              <w:t>181</w:t>
            </w:r>
            <w:r>
              <w:rPr>
                <w:rFonts w:hint="eastAsia" w:ascii="Times New Roman" w:hAnsi="Times New Roman" w:eastAsia="Times New Roman" w:cs="Times New Roman"/>
                <w:sz w:val="20"/>
              </w:rPr>
              <w:t>.</w:t>
            </w:r>
            <w:r>
              <w:rPr>
                <w:rFonts w:hint="eastAsia" w:ascii="Times New Roman" w:hAnsi="Times New Roman" w:eastAsia="Times New Roman" w:cs="Times New Roman"/>
                <w:sz w:val="21"/>
              </w:rPr>
              <w:t>00</w:t>
            </w:r>
          </w:p>
        </w:tc>
      </w:tr>
      <w:tr>
        <w:trPr>
          <w:trHeight w:val="460" w:hRule="exact"/>
        </w:trPr>
        <w:tc>
          <w:tcPr>
            <w:tcW w:w="1220" w:type="dxa"/>
            <w:tcMar>
              <w:top w:w="0" w:type="dxa"/>
              <w:left w:w="0" w:type="dxa"/>
              <w:bottom w:w="0" w:type="dxa"/>
              <w:right w:w="0" w:type="dxa"/>
            </w:tcMar>
          </w:tcPr>
          <w:p/>
        </w:tc>
        <w:tc>
          <w:tcPr>
            <w:tcW w:w="5180" w:type="dxa"/>
            <w:tcMar>
              <w:top w:w="0" w:type="dxa"/>
              <w:left w:w="0" w:type="dxa"/>
              <w:bottom w:w="0" w:type="dxa"/>
              <w:right w:w="0" w:type="dxa"/>
            </w:tcMar>
          </w:tcPr>
          <w:p>
            <w:pPr>
              <w:spacing w:before="100"/>
            </w:pPr>
            <w:r>
              <w:rPr>
                <w:rFonts w:hint="eastAsia" w:ascii="宋体" w:hAnsi="宋体" w:eastAsia="宋体" w:cs="宋体"/>
                <w:b/>
                <w:sz w:val="21"/>
              </w:rPr>
              <w:t>项目总投资</w:t>
            </w:r>
          </w:p>
        </w:tc>
        <w:tc>
          <w:tcPr>
            <w:tcW w:w="2860" w:type="dxa"/>
            <w:tcMar>
              <w:top w:w="0" w:type="dxa"/>
              <w:left w:w="0" w:type="dxa"/>
              <w:bottom w:w="0" w:type="dxa"/>
              <w:right w:w="0" w:type="dxa"/>
            </w:tcMar>
          </w:tcPr>
          <w:p>
            <w:pPr>
              <w:spacing w:before="160"/>
              <w:ind w:left="2000"/>
            </w:pPr>
            <w:r>
              <w:rPr>
                <w:rFonts w:hint="eastAsia" w:ascii="Times New Roman Bold" w:hAnsi="Times New Roman Bold" w:eastAsia="Times New Roman Bold" w:cs="Times New Roman Bold"/>
                <w:b/>
                <w:sz w:val="21"/>
              </w:rPr>
              <w:t>6</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334</w:t>
            </w:r>
            <w:r>
              <w:rPr>
                <w:rFonts w:hint="eastAsia" w:ascii="Times New Roman Bold" w:hAnsi="Times New Roman Bold" w:eastAsia="Times New Roman Bold" w:cs="Times New Roman Bold"/>
                <w:b/>
                <w:sz w:val="20"/>
              </w:rPr>
              <w:t>.</w:t>
            </w:r>
            <w:r>
              <w:rPr>
                <w:rFonts w:hint="eastAsia" w:ascii="Times New Roman Bold" w:hAnsi="Times New Roman Bold" w:eastAsia="Times New Roman Bold" w:cs="Times New Roman Bold"/>
                <w:b/>
                <w:sz w:val="21"/>
              </w:rPr>
              <w:t>78</w:t>
            </w:r>
          </w:p>
        </w:tc>
      </w:tr>
    </w:tbl>
    <w:p>
      <w:pPr>
        <w:spacing w:line="200" w:lineRule="exact"/>
        <w:rPr>
          <w:rFonts w:hint="eastAsia" w:ascii="宋体" w:hAnsi="宋体" w:eastAsia="宋体" w:cs="宋体"/>
          <w:sz w:val="20"/>
        </w:rPr>
      </w:pPr>
    </w:p>
    <w:p>
      <w:pPr>
        <w:autoSpaceDE w:val="false"/>
        <w:autoSpaceDN w:val="false"/>
        <w:spacing w:line="320" w:lineRule="exact"/>
        <w:ind w:left="1920"/>
        <w:jc w:val="both"/>
      </w:pPr>
      <w:r>
        <w:rPr>
          <w:rFonts w:hint="eastAsia" w:ascii="Times New Roman Bold" w:hAnsi="Times New Roman Bold" w:eastAsia="Times New Roman Bold" w:cs="Times New Roman Bold"/>
          <w:b/>
          <w:sz w:val="24"/>
        </w:rPr>
        <w:t>3</w:t>
      </w:r>
      <w:r>
        <w:rPr>
          <w:rFonts w:hint="eastAsia" w:ascii="宋体" w:hAnsi="宋体" w:eastAsia="宋体" w:cs="宋体"/>
          <w:b/>
          <w:sz w:val="10"/>
        </w:rPr>
        <w:t>、</w:t>
      </w:r>
      <w:r>
        <w:rPr>
          <w:rFonts w:hint="eastAsia" w:ascii="宋体" w:hAnsi="宋体" w:eastAsia="宋体" w:cs="宋体"/>
          <w:b/>
          <w:sz w:val="24"/>
        </w:rPr>
        <w:t>时间周期和进度</w:t>
      </w:r>
    </w:p>
    <w:p>
      <w:pPr>
        <w:spacing w:line="200" w:lineRule="exact"/>
        <w:rPr>
          <w:rFonts w:hint="eastAsia" w:ascii="宋体" w:hAnsi="宋体" w:eastAsia="宋体" w:cs="宋体"/>
          <w:sz w:val="20"/>
        </w:rPr>
      </w:pPr>
    </w:p>
    <w:p>
      <w:pPr>
        <w:autoSpaceDE w:val="false"/>
        <w:autoSpaceDN w:val="false"/>
        <w:spacing w:line="380" w:lineRule="exact"/>
        <w:ind w:left="1440" w:right="1240" w:firstLine="480"/>
        <w:jc w:val="both"/>
      </w:pPr>
      <w:r>
        <w:rPr>
          <w:rFonts w:hint="eastAsia" w:ascii="宋体" w:hAnsi="宋体" w:eastAsia="宋体" w:cs="宋体"/>
          <w:sz w:val="24"/>
        </w:rPr>
        <w:t>本项目建设周期共计</w:t>
      </w:r>
      <w:r>
        <w:rPr>
          <w:rFonts w:hint="eastAsia" w:ascii="Times New Roman" w:hAnsi="Times New Roman" w:eastAsia="Times New Roman" w:cs="Times New Roman"/>
          <w:sz w:val="24"/>
        </w:rPr>
        <w:t xml:space="preserve"> 18</w:t>
      </w:r>
      <w:r>
        <w:rPr>
          <w:rFonts w:hint="eastAsia" w:ascii="宋体" w:hAnsi="宋体" w:eastAsia="宋体" w:cs="宋体"/>
          <w:sz w:val="24"/>
        </w:rPr>
        <w:t xml:space="preserve"> 个月</w:t>
      </w:r>
      <w:r>
        <w:rPr>
          <w:rFonts w:hint="eastAsia" w:ascii="宋体" w:hAnsi="宋体" w:eastAsia="宋体" w:cs="宋体"/>
          <w:sz w:val="10"/>
        </w:rPr>
        <w:t>，</w:t>
      </w:r>
      <w:r>
        <w:rPr>
          <w:rFonts w:hint="eastAsia" w:ascii="宋体" w:hAnsi="宋体" w:eastAsia="宋体" w:cs="宋体"/>
          <w:sz w:val="24"/>
        </w:rPr>
        <w:t>投资总额为</w:t>
      </w:r>
      <w:r>
        <w:rPr>
          <w:rFonts w:hint="eastAsia" w:ascii="Times New Roman" w:hAnsi="Times New Roman" w:eastAsia="Times New Roman" w:cs="Times New Roman"/>
          <w:sz w:val="24"/>
        </w:rPr>
        <w:t xml:space="preserve"> 6,334.78</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其中前</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4,568.78</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后</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个月共计投资</w:t>
      </w:r>
      <w:r>
        <w:rPr>
          <w:rFonts w:hint="eastAsia" w:ascii="Times New Roman" w:hAnsi="Times New Roman" w:eastAsia="Times New Roman" w:cs="Times New Roman"/>
          <w:sz w:val="24"/>
        </w:rPr>
        <w:t xml:space="preserve"> 1,766.00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right="1240" w:firstLine="480"/>
        <w:jc w:val="both"/>
      </w:pPr>
      <w:r>
        <w:rPr>
          <w:rFonts w:hint="eastAsia" w:ascii="宋体" w:hAnsi="宋体" w:eastAsia="宋体" w:cs="宋体"/>
          <w:sz w:val="24"/>
        </w:rPr>
        <w:t>该项目已开始建设实施</w:t>
      </w:r>
      <w:r>
        <w:rPr>
          <w:rFonts w:hint="eastAsia" w:ascii="宋体" w:hAnsi="宋体" w:eastAsia="宋体" w:cs="宋体"/>
          <w:sz w:val="10"/>
        </w:rPr>
        <w:t>，</w:t>
      </w: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项目累计投入金额</w:t>
      </w:r>
      <w:r>
        <w:rPr>
          <w:rFonts w:hint="eastAsia" w:ascii="Times New Roman" w:hAnsi="Times New Roman" w:eastAsia="Times New Roman" w:cs="Times New Roman"/>
          <w:sz w:val="24"/>
        </w:rPr>
        <w:t xml:space="preserve"> 2,009.90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1-1-319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Times New Roman Bold" w:hAnsi="Times New Roman Bold" w:eastAsia="Times New Roman Bold" w:cs="Times New Roman Bold"/>
          <w:b/>
          <w:sz w:val="24"/>
        </w:rPr>
        <w:t>4</w:t>
      </w:r>
      <w:r>
        <w:rPr>
          <w:rFonts w:hint="eastAsia" w:ascii="宋体" w:hAnsi="宋体" w:eastAsia="宋体" w:cs="宋体"/>
          <w:b/>
          <w:sz w:val="10"/>
        </w:rPr>
        <w:t>、</w:t>
      </w:r>
      <w:r>
        <w:rPr>
          <w:rFonts w:hint="eastAsia" w:ascii="宋体" w:hAnsi="宋体" w:eastAsia="宋体" w:cs="宋体"/>
          <w:b/>
          <w:sz w:val="24"/>
        </w:rPr>
        <w:t>项目审批或备案情况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项目已在武汉东湖新技术开发区备案</w:t>
      </w:r>
      <w:r>
        <w:rPr>
          <w:rFonts w:hint="eastAsia" w:ascii="宋体" w:hAnsi="宋体" w:eastAsia="宋体" w:cs="宋体"/>
          <w:sz w:val="10"/>
        </w:rPr>
        <w:t>，</w:t>
      </w:r>
      <w:r>
        <w:rPr>
          <w:rFonts w:hint="eastAsia" w:ascii="宋体" w:hAnsi="宋体" w:eastAsia="宋体" w:cs="宋体"/>
          <w:sz w:val="24"/>
        </w:rPr>
        <w:t>并取得编号为</w:t>
      </w:r>
      <w:r>
        <w:rPr>
          <w:rFonts w:hint="eastAsia" w:ascii="宋体" w:hAnsi="宋体" w:eastAsia="宋体" w:cs="宋体"/>
          <w:sz w:val="10"/>
        </w:rPr>
        <w:t>“</w:t>
      </w:r>
      <w:r>
        <w:rPr>
          <w:rFonts w:hint="eastAsia" w:ascii="Times New Roman" w:hAnsi="Times New Roman" w:eastAsia="Times New Roman" w:cs="Times New Roman"/>
          <w:sz w:val="24"/>
        </w:rPr>
        <w:t>2015010062120247</w:t>
      </w:r>
      <w:r>
        <w:rPr>
          <w:rFonts w:hint="eastAsia" w:ascii="宋体" w:hAnsi="宋体" w:eastAsia="宋体" w:cs="宋体"/>
          <w:sz w:val="10"/>
        </w:rPr>
        <w:t>”</w:t>
      </w:r>
      <w:r>
        <w:rPr>
          <w:rFonts w:hint="eastAsia" w:ascii="宋体" w:hAnsi="宋体" w:eastAsia="宋体" w:cs="宋体"/>
          <w:sz w:val="24"/>
        </w:rPr>
        <w:t>的备案确认书</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5</w:t>
      </w:r>
      <w:r>
        <w:rPr>
          <w:rFonts w:hint="eastAsia" w:ascii="宋体" w:hAnsi="宋体" w:eastAsia="宋体" w:cs="宋体"/>
          <w:b/>
          <w:sz w:val="10"/>
        </w:rPr>
        <w:t>、</w:t>
      </w:r>
      <w:r>
        <w:rPr>
          <w:rFonts w:hint="eastAsia" w:ascii="宋体" w:hAnsi="宋体" w:eastAsia="宋体" w:cs="宋体"/>
          <w:b/>
          <w:sz w:val="24"/>
        </w:rPr>
        <w:t>环保情况</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宋体" w:hAnsi="宋体" w:eastAsia="宋体" w:cs="宋体"/>
          <w:sz w:val="24"/>
        </w:rPr>
        <w:t>根据国家有关环境保护法律</w:t>
      </w:r>
      <w:r>
        <w:rPr>
          <w:rFonts w:hint="eastAsia" w:ascii="宋体" w:hAnsi="宋体" w:eastAsia="宋体" w:cs="宋体"/>
          <w:sz w:val="10"/>
        </w:rPr>
        <w:t>、</w:t>
      </w:r>
      <w:r>
        <w:rPr>
          <w:rFonts w:hint="eastAsia" w:ascii="宋体" w:hAnsi="宋体" w:eastAsia="宋体" w:cs="宋体"/>
          <w:sz w:val="24"/>
        </w:rPr>
        <w:t>法规</w:t>
      </w:r>
      <w:r>
        <w:rPr>
          <w:rFonts w:hint="eastAsia" w:ascii="宋体" w:hAnsi="宋体" w:eastAsia="宋体" w:cs="宋体"/>
          <w:sz w:val="10"/>
        </w:rPr>
        <w:t>，</w:t>
      </w:r>
      <w:r>
        <w:rPr>
          <w:rFonts w:hint="eastAsia" w:ascii="宋体" w:hAnsi="宋体" w:eastAsia="宋体" w:cs="宋体"/>
          <w:sz w:val="24"/>
        </w:rPr>
        <w:t>本项目将在实施过程中严格控制环境污染</w:t>
      </w:r>
      <w:r>
        <w:rPr>
          <w:rFonts w:hint="eastAsia" w:ascii="宋体" w:hAnsi="宋体" w:eastAsia="宋体" w:cs="宋体"/>
          <w:sz w:val="10"/>
        </w:rPr>
        <w:t>，</w:t>
      </w:r>
      <w:r>
        <w:rPr>
          <w:rFonts w:hint="eastAsia" w:ascii="宋体" w:hAnsi="宋体" w:eastAsia="宋体" w:cs="宋体"/>
          <w:sz w:val="24"/>
        </w:rPr>
        <w:t>保护和改善生态环境</w:t>
      </w:r>
      <w:r>
        <w:rPr>
          <w:rFonts w:hint="eastAsia" w:ascii="宋体" w:hAnsi="宋体" w:eastAsia="宋体" w:cs="宋体"/>
          <w:sz w:val="10"/>
        </w:rPr>
        <w:t>，</w:t>
      </w:r>
      <w:r>
        <w:rPr>
          <w:rFonts w:hint="eastAsia" w:ascii="宋体" w:hAnsi="宋体" w:eastAsia="宋体" w:cs="宋体"/>
          <w:sz w:val="24"/>
        </w:rPr>
        <w:t>创造清洁适宜的生活和工作场所</w:t>
      </w:r>
      <w:r>
        <w:rPr>
          <w:rFonts w:hint="eastAsia" w:ascii="宋体" w:hAnsi="宋体" w:eastAsia="宋体" w:cs="宋体"/>
          <w:sz w:val="10"/>
        </w:rPr>
        <w:t>。</w:t>
      </w:r>
      <w:r>
        <w:rPr>
          <w:rFonts w:hint="eastAsia" w:ascii="宋体" w:hAnsi="宋体" w:eastAsia="宋体" w:cs="宋体"/>
          <w:sz w:val="24"/>
        </w:rPr>
        <w:t>本项目实施过程基本无污染物排放</w:t>
      </w:r>
      <w:r>
        <w:rPr>
          <w:rFonts w:hint="eastAsia" w:ascii="宋体" w:hAnsi="宋体" w:eastAsia="宋体" w:cs="宋体"/>
          <w:sz w:val="10"/>
        </w:rPr>
        <w:t>，</w:t>
      </w:r>
      <w:r>
        <w:rPr>
          <w:rFonts w:hint="eastAsia" w:ascii="宋体" w:hAnsi="宋体" w:eastAsia="宋体" w:cs="宋体"/>
          <w:sz w:val="24"/>
        </w:rPr>
        <w:t>只涉及工作人员的办公</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研发中心项目已在武汉市环境保护局东湖新技术开发区分局备案</w:t>
      </w:r>
      <w:r>
        <w:rPr>
          <w:rFonts w:hint="eastAsia" w:ascii="宋体" w:hAnsi="宋体" w:eastAsia="宋体" w:cs="宋体"/>
          <w:sz w:val="10"/>
        </w:rPr>
        <w:t>，</w:t>
      </w:r>
      <w:r>
        <w:rPr>
          <w:rFonts w:hint="eastAsia" w:ascii="宋体" w:hAnsi="宋体" w:eastAsia="宋体" w:cs="宋体"/>
          <w:sz w:val="24"/>
        </w:rPr>
        <w:t>备案号为</w:t>
      </w:r>
      <w:r>
        <w:rPr>
          <w:rFonts w:hint="eastAsia" w:ascii="宋体" w:hAnsi="宋体" w:eastAsia="宋体" w:cs="宋体"/>
          <w:sz w:val="10"/>
        </w:rPr>
        <w:t>“</w:t>
      </w:r>
      <w:r>
        <w:rPr>
          <w:rFonts w:hint="eastAsia" w:ascii="宋体" w:hAnsi="宋体" w:eastAsia="宋体" w:cs="宋体"/>
          <w:sz w:val="24"/>
        </w:rPr>
        <w:t>武环新备</w:t>
      </w:r>
      <w:r>
        <w:rPr>
          <w:rFonts w:hint="eastAsia" w:ascii="Times New Roman" w:hAnsi="Times New Roman" w:eastAsia="Times New Roman" w:cs="Times New Roman"/>
          <w:sz w:val="24"/>
        </w:rPr>
        <w:t>[2015]006</w:t>
      </w:r>
      <w:r>
        <w:rPr>
          <w:rFonts w:hint="eastAsia" w:ascii="宋体" w:hAnsi="宋体" w:eastAsia="宋体" w:cs="宋体"/>
          <w:sz w:val="24"/>
        </w:rPr>
        <w:t xml:space="preserve"> 号</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6</w:t>
      </w:r>
      <w:r>
        <w:rPr>
          <w:rFonts w:hint="eastAsia" w:ascii="宋体" w:hAnsi="宋体" w:eastAsia="宋体" w:cs="宋体"/>
          <w:b/>
          <w:sz w:val="10"/>
        </w:rPr>
        <w:t>、</w:t>
      </w:r>
      <w:r>
        <w:rPr>
          <w:rFonts w:hint="eastAsia" w:ascii="宋体" w:hAnsi="宋体" w:eastAsia="宋体" w:cs="宋体"/>
          <w:b/>
          <w:sz w:val="24"/>
        </w:rPr>
        <w:t>项目选址</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本项目建设地点位于武汉市关山大道光谷软件园</w:t>
      </w:r>
      <w:r>
        <w:rPr>
          <w:rFonts w:hint="eastAsia" w:ascii="Times New Roman" w:hAnsi="Times New Roman" w:eastAsia="Times New Roman" w:cs="Times New Roman"/>
          <w:sz w:val="24"/>
        </w:rPr>
        <w:t xml:space="preserve"> F3</w:t>
      </w:r>
      <w:r>
        <w:rPr>
          <w:rFonts w:hint="eastAsia" w:ascii="宋体" w:hAnsi="宋体" w:eastAsia="宋体" w:cs="宋体"/>
          <w:sz w:val="24"/>
        </w:rPr>
        <w:t xml:space="preserve"> 栋</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楼</w:t>
      </w:r>
      <w:r>
        <w:rPr>
          <w:rFonts w:hint="eastAsia" w:ascii="宋体" w:hAnsi="宋体" w:eastAsia="宋体" w:cs="宋体"/>
          <w:sz w:val="10"/>
        </w:rPr>
        <w:t>。</w:t>
      </w:r>
      <w:r>
        <w:rPr>
          <w:rFonts w:hint="eastAsia" w:ascii="宋体" w:hAnsi="宋体" w:eastAsia="宋体" w:cs="宋体"/>
          <w:sz w:val="24"/>
        </w:rPr>
        <w:t>本公司已购买相关房产</w:t>
      </w:r>
      <w:r>
        <w:rPr>
          <w:rFonts w:hint="eastAsia" w:ascii="宋体" w:hAnsi="宋体" w:eastAsia="宋体" w:cs="宋体"/>
          <w:sz w:val="10"/>
        </w:rPr>
        <w:t>，</w:t>
      </w:r>
      <w:r>
        <w:rPr>
          <w:rFonts w:hint="eastAsia" w:ascii="宋体" w:hAnsi="宋体" w:eastAsia="宋体" w:cs="宋体"/>
          <w:sz w:val="24"/>
        </w:rPr>
        <w:t>房屋产权证号为</w:t>
      </w:r>
      <w:r>
        <w:rPr>
          <w:rFonts w:hint="eastAsia" w:ascii="宋体" w:hAnsi="宋体" w:eastAsia="宋体" w:cs="宋体"/>
          <w:sz w:val="12"/>
        </w:rPr>
        <w:t>：</w:t>
      </w:r>
      <w:r>
        <w:rPr>
          <w:rFonts w:hint="eastAsia" w:ascii="宋体" w:hAnsi="宋体" w:eastAsia="宋体" w:cs="宋体"/>
          <w:sz w:val="24"/>
        </w:rPr>
        <w:t>武房权证湖字第</w:t>
      </w:r>
      <w:r>
        <w:rPr>
          <w:rFonts w:hint="eastAsia" w:ascii="Times New Roman" w:hAnsi="Times New Roman" w:eastAsia="Times New Roman" w:cs="Times New Roman"/>
          <w:sz w:val="24"/>
        </w:rPr>
        <w:t xml:space="preserve"> 2015008794</w:t>
      </w:r>
      <w:r>
        <w:rPr>
          <w:rFonts w:hint="eastAsia" w:ascii="宋体" w:hAnsi="宋体" w:eastAsia="宋体" w:cs="宋体"/>
          <w:sz w:val="24"/>
        </w:rPr>
        <w:t xml:space="preserve"> 号</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Times New Roman Bold" w:hAnsi="Times New Roman Bold" w:eastAsia="Times New Roman Bold" w:cs="Times New Roman Bold"/>
          <w:b/>
          <w:sz w:val="24"/>
        </w:rPr>
        <w:t>7</w:t>
      </w:r>
      <w:r>
        <w:rPr>
          <w:rFonts w:hint="eastAsia" w:ascii="宋体" w:hAnsi="宋体" w:eastAsia="宋体" w:cs="宋体"/>
          <w:b/>
          <w:sz w:val="10"/>
        </w:rPr>
        <w:t>、</w:t>
      </w:r>
      <w:r>
        <w:rPr>
          <w:rFonts w:hint="eastAsia" w:ascii="宋体" w:hAnsi="宋体" w:eastAsia="宋体" w:cs="宋体"/>
          <w:b/>
          <w:sz w:val="24"/>
        </w:rPr>
        <w:t>项目的经济效益分析</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本项目实施后</w:t>
      </w:r>
      <w:r>
        <w:rPr>
          <w:rFonts w:hint="eastAsia" w:ascii="宋体" w:hAnsi="宋体" w:eastAsia="宋体" w:cs="宋体"/>
          <w:sz w:val="10"/>
        </w:rPr>
        <w:t>，</w:t>
      </w:r>
      <w:r>
        <w:rPr>
          <w:rFonts w:hint="eastAsia" w:ascii="宋体" w:hAnsi="宋体" w:eastAsia="宋体" w:cs="宋体"/>
          <w:sz w:val="24"/>
        </w:rPr>
        <w:t>虽不产生直接的经济效益</w:t>
      </w:r>
      <w:r>
        <w:rPr>
          <w:rFonts w:hint="eastAsia" w:ascii="宋体" w:hAnsi="宋体" w:eastAsia="宋体" w:cs="宋体"/>
          <w:sz w:val="10"/>
        </w:rPr>
        <w:t>，</w:t>
      </w:r>
      <w:r>
        <w:rPr>
          <w:rFonts w:hint="eastAsia" w:ascii="宋体" w:hAnsi="宋体" w:eastAsia="宋体" w:cs="宋体"/>
          <w:sz w:val="24"/>
        </w:rPr>
        <w:t>但研发中心的建设将提升公司整体研发实力</w:t>
      </w:r>
      <w:r>
        <w:rPr>
          <w:rFonts w:hint="eastAsia" w:ascii="宋体" w:hAnsi="宋体" w:eastAsia="宋体" w:cs="宋体"/>
          <w:sz w:val="10"/>
        </w:rPr>
        <w:t>、</w:t>
      </w:r>
      <w:r>
        <w:rPr>
          <w:rFonts w:hint="eastAsia" w:ascii="宋体" w:hAnsi="宋体" w:eastAsia="宋体" w:cs="宋体"/>
          <w:sz w:val="24"/>
        </w:rPr>
        <w:t>提高核心竞争力</w:t>
      </w:r>
      <w:r>
        <w:rPr>
          <w:rFonts w:hint="eastAsia" w:ascii="宋体" w:hAnsi="宋体" w:eastAsia="宋体" w:cs="宋体"/>
          <w:sz w:val="10"/>
        </w:rPr>
        <w:t>，</w:t>
      </w:r>
      <w:r>
        <w:rPr>
          <w:rFonts w:hint="eastAsia" w:ascii="宋体" w:hAnsi="宋体" w:eastAsia="宋体" w:cs="宋体"/>
          <w:sz w:val="24"/>
        </w:rPr>
        <w:t>有助于提高其他募投项目的财务效益</w:t>
      </w:r>
      <w:r>
        <w:rPr>
          <w:rFonts w:hint="eastAsia" w:ascii="宋体" w:hAnsi="宋体" w:eastAsia="宋体" w:cs="宋体"/>
          <w:sz w:val="10"/>
        </w:rPr>
        <w:t>，</w:t>
      </w:r>
      <w:r>
        <w:rPr>
          <w:rFonts w:hint="eastAsia" w:ascii="宋体" w:hAnsi="宋体" w:eastAsia="宋体" w:cs="宋体"/>
          <w:sz w:val="24"/>
        </w:rPr>
        <w:t>且研发实力的提升可增强客户对公司的信任度</w:t>
      </w:r>
      <w:r>
        <w:rPr>
          <w:rFonts w:hint="eastAsia" w:ascii="宋体" w:hAnsi="宋体" w:eastAsia="宋体" w:cs="宋体"/>
          <w:sz w:val="10"/>
        </w:rPr>
        <w:t>，</w:t>
      </w:r>
      <w:r>
        <w:rPr>
          <w:rFonts w:hint="eastAsia" w:ascii="宋体" w:hAnsi="宋体" w:eastAsia="宋体" w:cs="宋体"/>
          <w:sz w:val="24"/>
        </w:rPr>
        <w:t>进一步强化公司的品牌优势</w:t>
      </w:r>
      <w:r>
        <w:rPr>
          <w:rFonts w:hint="eastAsia" w:ascii="宋体" w:hAnsi="宋体" w:eastAsia="宋体" w:cs="宋体"/>
          <w:sz w:val="10"/>
        </w:rPr>
        <w:t>，</w:t>
      </w:r>
      <w:r>
        <w:rPr>
          <w:rFonts w:hint="eastAsia" w:ascii="宋体" w:hAnsi="宋体" w:eastAsia="宋体" w:cs="宋体"/>
          <w:sz w:val="24"/>
        </w:rPr>
        <w:t>协助公司占据更大的市场份额</w:t>
      </w:r>
      <w:r>
        <w:rPr>
          <w:rFonts w:hint="eastAsia" w:ascii="宋体" w:hAnsi="宋体" w:eastAsia="宋体" w:cs="宋体"/>
          <w:sz w:val="10"/>
        </w:rPr>
        <w:t>，</w:t>
      </w:r>
      <w:r>
        <w:rPr>
          <w:rFonts w:hint="eastAsia" w:ascii="宋体" w:hAnsi="宋体" w:eastAsia="宋体" w:cs="宋体"/>
          <w:sz w:val="24"/>
        </w:rPr>
        <w:t>完成公司成长的战略目标</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1-1-320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3960"/>
        <w:jc w:val="both"/>
      </w:pPr>
      <w:r>
        <w:rPr>
          <w:rFonts w:hint="eastAsia" w:ascii="ºÚÌå" w:hAnsi="ºÚÌå" w:eastAsia="ºÚÌå" w:cs="ºÚÌå"/>
          <w:b/>
          <w:sz w:val="36"/>
        </w:rPr>
        <w:t>第十四节</w:t>
      </w:r>
      <w:r>
        <w:rPr>
          <w:rFonts w:hint="eastAsia" w:ascii="ºÚÌå" w:hAnsi="ºÚÌå" w:eastAsia="ºÚÌå" w:cs="ºÚÌå"/>
          <w:b/>
          <w:sz w:val="36"/>
        </w:rPr>
        <w:t xml:space="preserve">  </w:t>
      </w:r>
      <w:r>
        <w:rPr>
          <w:rFonts w:hint="eastAsia" w:ascii="ºÚÌå" w:hAnsi="ºÚÌå" w:eastAsia="ºÚÌå" w:cs="ºÚÌå"/>
          <w:b/>
          <w:sz w:val="36"/>
        </w:rPr>
        <w:t>股利分配政策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6"/>
        </w:rPr>
        <w:t>一、</w:t>
      </w:r>
      <w:r>
        <w:rPr>
          <w:rFonts w:hint="eastAsia" w:ascii="ºÚÌå" w:hAnsi="ºÚÌå" w:eastAsia="ºÚÌå" w:cs="ºÚÌå"/>
          <w:sz w:val="30"/>
        </w:rPr>
        <w:t>报告期内股利分配政策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公司的股利分配遵循同股同利的原则</w:t>
      </w:r>
      <w:r>
        <w:rPr>
          <w:rFonts w:hint="eastAsia" w:ascii="宋体" w:hAnsi="宋体" w:eastAsia="宋体" w:cs="宋体"/>
          <w:sz w:val="10"/>
        </w:rPr>
        <w:t>，</w:t>
      </w:r>
      <w:r>
        <w:rPr>
          <w:rFonts w:hint="eastAsia" w:ascii="宋体" w:hAnsi="宋体" w:eastAsia="宋体" w:cs="宋体"/>
          <w:sz w:val="24"/>
        </w:rPr>
        <w:t>按各股东持股比例分配股利</w:t>
      </w:r>
      <w:r>
        <w:rPr>
          <w:rFonts w:hint="eastAsia" w:ascii="宋体" w:hAnsi="宋体" w:eastAsia="宋体" w:cs="宋体"/>
          <w:sz w:val="14"/>
        </w:rPr>
        <w:t>；</w:t>
      </w:r>
      <w:r>
        <w:rPr>
          <w:rFonts w:hint="eastAsia" w:ascii="宋体" w:hAnsi="宋体" w:eastAsia="宋体" w:cs="宋体"/>
          <w:sz w:val="24"/>
        </w:rPr>
        <w:t>公司股东大会对利润分配方案作出决议后</w:t>
      </w:r>
      <w:r>
        <w:rPr>
          <w:rFonts w:hint="eastAsia" w:ascii="宋体" w:hAnsi="宋体" w:eastAsia="宋体" w:cs="宋体"/>
          <w:sz w:val="10"/>
        </w:rPr>
        <w:t>，</w:t>
      </w:r>
      <w:r>
        <w:rPr>
          <w:rFonts w:hint="eastAsia" w:ascii="宋体" w:hAnsi="宋体" w:eastAsia="宋体" w:cs="宋体"/>
          <w:sz w:val="24"/>
        </w:rPr>
        <w:t>公司董事会须在股东大会召开后两个月内完成股利（或股份）的派发事项</w:t>
      </w:r>
      <w:r>
        <w:rPr>
          <w:rFonts w:hint="eastAsia" w:ascii="宋体" w:hAnsi="宋体" w:eastAsia="宋体" w:cs="宋体"/>
          <w:sz w:val="14"/>
        </w:rPr>
        <w:t>；</w:t>
      </w:r>
      <w:r>
        <w:rPr>
          <w:rFonts w:hint="eastAsia" w:ascii="宋体" w:hAnsi="宋体" w:eastAsia="宋体" w:cs="宋体"/>
          <w:sz w:val="24"/>
        </w:rPr>
        <w:t>公司采用现金股利和股票股利两种形式派发股利</w:t>
      </w:r>
      <w:r>
        <w:rPr>
          <w:rFonts w:hint="eastAsia" w:ascii="宋体" w:hAnsi="宋体" w:eastAsia="宋体" w:cs="宋体"/>
          <w:sz w:val="14"/>
        </w:rPr>
        <w:t>；</w:t>
      </w:r>
      <w:r>
        <w:rPr>
          <w:rFonts w:hint="eastAsia" w:ascii="宋体" w:hAnsi="宋体" w:eastAsia="宋体" w:cs="宋体"/>
          <w:sz w:val="24"/>
        </w:rPr>
        <w:t>公司派发股利时</w:t>
      </w:r>
      <w:r>
        <w:rPr>
          <w:rFonts w:hint="eastAsia" w:ascii="宋体" w:hAnsi="宋体" w:eastAsia="宋体" w:cs="宋体"/>
          <w:sz w:val="10"/>
        </w:rPr>
        <w:t>，</w:t>
      </w:r>
      <w:r>
        <w:rPr>
          <w:rFonts w:hint="eastAsia" w:ascii="宋体" w:hAnsi="宋体" w:eastAsia="宋体" w:cs="宋体"/>
          <w:sz w:val="24"/>
        </w:rPr>
        <w:t>按照有关法律</w:t>
      </w:r>
      <w:r>
        <w:rPr>
          <w:rFonts w:hint="eastAsia" w:ascii="宋体" w:hAnsi="宋体" w:eastAsia="宋体" w:cs="宋体"/>
          <w:sz w:val="10"/>
        </w:rPr>
        <w:t>、</w:t>
      </w:r>
      <w:r>
        <w:rPr>
          <w:rFonts w:hint="eastAsia" w:ascii="宋体" w:hAnsi="宋体" w:eastAsia="宋体" w:cs="宋体"/>
          <w:sz w:val="24"/>
        </w:rPr>
        <w:t>法规的规定代扣代缴股东股利收入的应纳税金</w:t>
      </w:r>
      <w:r>
        <w:rPr>
          <w:rFonts w:hint="eastAsia" w:ascii="宋体" w:hAnsi="宋体" w:eastAsia="宋体" w:cs="宋体"/>
          <w:sz w:val="10"/>
        </w:rPr>
        <w:t>。</w:t>
      </w:r>
      <w:r>
        <w:rPr>
          <w:rFonts w:hint="eastAsia" w:ascii="宋体" w:hAnsi="宋体" w:eastAsia="宋体" w:cs="宋体"/>
          <w:sz w:val="24"/>
        </w:rPr>
        <w:t>本公司税后净利润按下列顺序和比例分配</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弥补上一年度的亏损</w:t>
      </w:r>
      <w:r>
        <w:rPr>
          <w:rFonts w:hint="eastAsia" w:ascii="宋体" w:hAnsi="宋体" w:eastAsia="宋体" w:cs="宋体"/>
          <w:sz w:val="14"/>
        </w:rPr>
        <w:t>；</w:t>
      </w: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提取法定公积金</w:t>
      </w:r>
      <w:r>
        <w:rPr>
          <w:rFonts w:hint="eastAsia" w:ascii="Times New Roman" w:hAnsi="Times New Roman" w:eastAsia="Times New Roman" w:cs="Times New Roman"/>
          <w:sz w:val="24"/>
        </w:rPr>
        <w:t xml:space="preserve"> 10%</w:t>
      </w:r>
      <w:r>
        <w:rPr>
          <w:rFonts w:hint="eastAsia" w:ascii="宋体" w:hAnsi="宋体" w:eastAsia="宋体" w:cs="宋体"/>
          <w:sz w:val="14"/>
        </w:rPr>
        <w:t>；</w:t>
      </w: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提取任意公积金</w:t>
      </w:r>
      <w:r>
        <w:rPr>
          <w:rFonts w:hint="eastAsia" w:ascii="宋体" w:hAnsi="宋体" w:eastAsia="宋体" w:cs="宋体"/>
          <w:sz w:val="14"/>
        </w:rPr>
        <w:t>；</w:t>
      </w: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支付股东股利</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公司法定公积金累计额为公司注册资本的百分之五十以上的</w:t>
      </w:r>
      <w:r>
        <w:rPr>
          <w:rFonts w:hint="eastAsia" w:ascii="宋体" w:hAnsi="宋体" w:eastAsia="宋体" w:cs="宋体"/>
          <w:sz w:val="10"/>
        </w:rPr>
        <w:t>，</w:t>
      </w:r>
      <w:r>
        <w:rPr>
          <w:rFonts w:hint="eastAsia" w:ascii="宋体" w:hAnsi="宋体" w:eastAsia="宋体" w:cs="宋体"/>
          <w:sz w:val="24"/>
        </w:rPr>
        <w:t>可以不再提取</w:t>
      </w:r>
      <w:r>
        <w:rPr>
          <w:rFonts w:hint="eastAsia" w:ascii="宋体" w:hAnsi="宋体" w:eastAsia="宋体" w:cs="宋体"/>
          <w:sz w:val="10"/>
        </w:rPr>
        <w:t>。</w:t>
      </w:r>
      <w:r>
        <w:rPr>
          <w:rFonts w:hint="eastAsia" w:ascii="宋体" w:hAnsi="宋体" w:eastAsia="宋体" w:cs="宋体"/>
          <w:sz w:val="24"/>
        </w:rPr>
        <w:t>提取法定公积金后</w:t>
      </w:r>
      <w:r>
        <w:rPr>
          <w:rFonts w:hint="eastAsia" w:ascii="宋体" w:hAnsi="宋体" w:eastAsia="宋体" w:cs="宋体"/>
          <w:sz w:val="10"/>
        </w:rPr>
        <w:t>，</w:t>
      </w:r>
      <w:r>
        <w:rPr>
          <w:rFonts w:hint="eastAsia" w:ascii="宋体" w:hAnsi="宋体" w:eastAsia="宋体" w:cs="宋体"/>
          <w:sz w:val="24"/>
        </w:rPr>
        <w:t>是否提取任意公积金由股东大会决定</w:t>
      </w:r>
      <w:r>
        <w:rPr>
          <w:rFonts w:hint="eastAsia" w:ascii="宋体" w:hAnsi="宋体" w:eastAsia="宋体" w:cs="宋体"/>
          <w:sz w:val="10"/>
        </w:rPr>
        <w:t>。</w:t>
      </w:r>
      <w:r>
        <w:rPr>
          <w:rFonts w:hint="eastAsia" w:ascii="宋体" w:hAnsi="宋体" w:eastAsia="宋体" w:cs="宋体"/>
          <w:sz w:val="24"/>
        </w:rPr>
        <w:t>公司不得在弥补公司亏损和提取法定公积金之前向股东分配利润</w:t>
      </w:r>
      <w:r>
        <w:rPr>
          <w:rFonts w:hint="eastAsia" w:ascii="宋体" w:hAnsi="宋体" w:eastAsia="宋体" w:cs="宋体"/>
          <w:sz w:val="10"/>
        </w:rPr>
        <w:t>。</w:t>
      </w:r>
      <w:r>
        <w:rPr>
          <w:rFonts w:hint="eastAsia" w:ascii="宋体" w:hAnsi="宋体" w:eastAsia="宋体" w:cs="宋体"/>
          <w:sz w:val="24"/>
        </w:rPr>
        <w:t>公司持有的本公司股份不参与分配利润</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ºÚÌå" w:hAnsi="ºÚÌå" w:eastAsia="ºÚÌå" w:cs="ºÚÌå"/>
          <w:sz w:val="24"/>
        </w:rPr>
        <w:t>二、</w:t>
      </w:r>
      <w:r>
        <w:rPr>
          <w:rFonts w:hint="eastAsia" w:ascii="ºÚÌå" w:hAnsi="ºÚÌå" w:eastAsia="ºÚÌå" w:cs="ºÚÌå"/>
          <w:sz w:val="30"/>
        </w:rPr>
        <w:t>报告期内实际股利分配情况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920"/>
        <w:jc w:val="both"/>
      </w:pPr>
      <w:r>
        <w:rPr>
          <w:rFonts w:hint="eastAsia" w:ascii="宋体" w:hAnsi="宋体" w:eastAsia="宋体" w:cs="宋体"/>
          <w:sz w:val="24"/>
        </w:rPr>
        <w:t>报告期内的股利分配情况如下</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Times New Roman" w:hAnsi="Times New Roman" w:eastAsia="Times New Roman" w:cs="Times New Roman"/>
          <w:sz w:val="24"/>
        </w:rPr>
        <w:t>2014</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24</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经公司</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年第四次临时股东大会审议通过《福建顶点软件股份有限公司</w:t>
      </w:r>
      <w:r>
        <w:rPr>
          <w:rFonts w:hint="eastAsia" w:ascii="Times New Roman" w:hAnsi="Times New Roman" w:eastAsia="Times New Roman" w:cs="Times New Roman"/>
          <w:sz w:val="24"/>
        </w:rPr>
        <w:t xml:space="preserve"> 2014</w:t>
      </w:r>
      <w:r>
        <w:rPr>
          <w:rFonts w:hint="eastAsia" w:ascii="宋体" w:hAnsi="宋体" w:eastAsia="宋体" w:cs="宋体"/>
          <w:sz w:val="24"/>
        </w:rPr>
        <w:t xml:space="preserve"> 年中期利润分配的议案》，</w:t>
      </w:r>
      <w:r>
        <w:rPr>
          <w:rFonts w:hint="eastAsia" w:ascii="宋体" w:hAnsi="宋体" w:eastAsia="宋体" w:cs="宋体"/>
          <w:sz w:val="24"/>
        </w:rPr>
        <w:t>决定以现金方式分配股利共计</w:t>
      </w:r>
      <w:r>
        <w:rPr>
          <w:rFonts w:hint="eastAsia" w:ascii="Times New Roman" w:hAnsi="Times New Roman" w:eastAsia="Times New Roman" w:cs="Times New Roman"/>
          <w:sz w:val="24"/>
        </w:rPr>
        <w:t xml:space="preserve"> 1,950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60" w:lineRule="exact"/>
        <w:ind w:left="144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本次发行后的股利分配政策</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920"/>
        <w:jc w:val="both"/>
      </w:pPr>
      <w:r>
        <w:rPr>
          <w:rFonts w:hint="eastAsia" w:ascii="宋体" w:hAnsi="宋体" w:eastAsia="宋体" w:cs="宋体"/>
          <w:sz w:val="24"/>
        </w:rPr>
        <w:t>根据发行人《公司章程（草案）》，</w:t>
      </w:r>
      <w:r>
        <w:rPr>
          <w:rFonts w:hint="eastAsia" w:ascii="宋体" w:hAnsi="宋体" w:eastAsia="宋体" w:cs="宋体"/>
          <w:sz w:val="24"/>
        </w:rPr>
        <w:t>有关股利分配政策的主要内容如下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公司实施积极的利润分配政策</w:t>
      </w:r>
      <w:r>
        <w:rPr>
          <w:rFonts w:hint="eastAsia" w:ascii="宋体" w:hAnsi="宋体" w:eastAsia="宋体" w:cs="宋体"/>
          <w:sz w:val="10"/>
        </w:rPr>
        <w:t>，</w:t>
      </w:r>
      <w:r>
        <w:rPr>
          <w:rFonts w:hint="eastAsia" w:ascii="宋体" w:hAnsi="宋体" w:eastAsia="宋体" w:cs="宋体"/>
          <w:sz w:val="24"/>
        </w:rPr>
        <w:t>重视对投资者的合理投资回报</w:t>
      </w:r>
      <w:r>
        <w:rPr>
          <w:rFonts w:hint="eastAsia" w:ascii="宋体" w:hAnsi="宋体" w:eastAsia="宋体" w:cs="宋体"/>
          <w:sz w:val="10"/>
        </w:rPr>
        <w:t>，</w:t>
      </w:r>
      <w:r>
        <w:rPr>
          <w:rFonts w:hint="eastAsia" w:ascii="宋体" w:hAnsi="宋体" w:eastAsia="宋体" w:cs="宋体"/>
          <w:sz w:val="24"/>
        </w:rPr>
        <w:t>并保持连续性和稳定性</w:t>
      </w:r>
      <w:r>
        <w:rPr>
          <w:rFonts w:hint="eastAsia" w:ascii="宋体" w:hAnsi="宋体" w:eastAsia="宋体" w:cs="宋体"/>
          <w:sz w:val="10"/>
        </w:rPr>
        <w:t>。</w:t>
      </w:r>
      <w:r>
        <w:rPr>
          <w:rFonts w:hint="eastAsia" w:ascii="宋体" w:hAnsi="宋体" w:eastAsia="宋体" w:cs="宋体"/>
          <w:sz w:val="24"/>
        </w:rPr>
        <w:t>公司采取现金或者股票等方式分配利润</w:t>
      </w:r>
      <w:r>
        <w:rPr>
          <w:rFonts w:hint="eastAsia" w:ascii="宋体" w:hAnsi="宋体" w:eastAsia="宋体" w:cs="宋体"/>
          <w:sz w:val="10"/>
        </w:rPr>
        <w:t>，</w:t>
      </w:r>
      <w:r>
        <w:rPr>
          <w:rFonts w:hint="eastAsia" w:ascii="宋体" w:hAnsi="宋体" w:eastAsia="宋体" w:cs="宋体"/>
          <w:sz w:val="24"/>
        </w:rPr>
        <w:t>利润分配不得超过累计可分配利润的范围</w:t>
      </w:r>
      <w:r>
        <w:rPr>
          <w:rFonts w:hint="eastAsia" w:ascii="宋体" w:hAnsi="宋体" w:eastAsia="宋体" w:cs="宋体"/>
          <w:sz w:val="10"/>
        </w:rPr>
        <w:t>，</w:t>
      </w:r>
      <w:r>
        <w:rPr>
          <w:rFonts w:hint="eastAsia" w:ascii="宋体" w:hAnsi="宋体" w:eastAsia="宋体" w:cs="宋体"/>
          <w:sz w:val="24"/>
        </w:rPr>
        <w:t>不得损害公司持续经营能力</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公司采取现金</w:t>
      </w:r>
      <w:r>
        <w:rPr>
          <w:rFonts w:hint="eastAsia" w:ascii="宋体" w:hAnsi="宋体" w:eastAsia="宋体" w:cs="宋体"/>
          <w:sz w:val="10"/>
        </w:rPr>
        <w:t>、</w:t>
      </w:r>
      <w:r>
        <w:rPr>
          <w:rFonts w:hint="eastAsia" w:ascii="宋体" w:hAnsi="宋体" w:eastAsia="宋体" w:cs="宋体"/>
          <w:sz w:val="24"/>
        </w:rPr>
        <w:t>股票或二者相结合的方式分配股利</w:t>
      </w:r>
      <w:r>
        <w:rPr>
          <w:rFonts w:hint="eastAsia" w:ascii="宋体" w:hAnsi="宋体" w:eastAsia="宋体" w:cs="宋体"/>
          <w:sz w:val="10"/>
        </w:rPr>
        <w:t>，</w:t>
      </w:r>
      <w:r>
        <w:rPr>
          <w:rFonts w:hint="eastAsia" w:ascii="宋体" w:hAnsi="宋体" w:eastAsia="宋体" w:cs="宋体"/>
          <w:sz w:val="24"/>
        </w:rPr>
        <w:t>并优先以现金方式分配利润</w:t>
      </w:r>
      <w:r>
        <w:rPr>
          <w:rFonts w:hint="eastAsia" w:ascii="宋体" w:hAnsi="宋体" w:eastAsia="宋体" w:cs="宋体"/>
          <w:sz w:val="10"/>
        </w:rPr>
        <w:t>。</w:t>
      </w:r>
      <w:r>
        <w:rPr>
          <w:rFonts w:hint="eastAsia" w:ascii="宋体" w:hAnsi="宋体" w:eastAsia="宋体" w:cs="宋体"/>
          <w:sz w:val="24"/>
        </w:rPr>
        <w:t>公司主要采取现金分红的利润分配政策</w:t>
      </w:r>
      <w:r>
        <w:rPr>
          <w:rFonts w:hint="eastAsia" w:ascii="宋体" w:hAnsi="宋体" w:eastAsia="宋体" w:cs="宋体"/>
          <w:sz w:val="10"/>
        </w:rPr>
        <w:t>，</w:t>
      </w:r>
      <w:r>
        <w:rPr>
          <w:rFonts w:hint="eastAsia" w:ascii="宋体" w:hAnsi="宋体" w:eastAsia="宋体" w:cs="宋体"/>
          <w:sz w:val="24"/>
        </w:rPr>
        <w:t>即公司当年度实现盈利</w:t>
      </w:r>
      <w:r>
        <w:rPr>
          <w:rFonts w:hint="eastAsia" w:ascii="宋体" w:hAnsi="宋体" w:eastAsia="宋体" w:cs="宋体"/>
          <w:sz w:val="10"/>
        </w:rPr>
        <w:t>，</w:t>
      </w:r>
      <w:r>
        <w:rPr>
          <w:rFonts w:hint="eastAsia" w:ascii="宋体" w:hAnsi="宋体" w:eastAsia="宋体" w:cs="宋体"/>
          <w:sz w:val="24"/>
        </w:rPr>
        <w:t>在依法弥补亏损</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1-1-321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提取法定公积金后有可分配利润的</w:t>
      </w:r>
      <w:r>
        <w:rPr>
          <w:rFonts w:hint="eastAsia" w:ascii="宋体" w:hAnsi="宋体" w:eastAsia="宋体" w:cs="宋体"/>
          <w:sz w:val="10"/>
        </w:rPr>
        <w:t>，</w:t>
      </w:r>
      <w:r>
        <w:rPr>
          <w:rFonts w:hint="eastAsia" w:ascii="宋体" w:hAnsi="宋体" w:eastAsia="宋体" w:cs="宋体"/>
          <w:sz w:val="24"/>
        </w:rPr>
        <w:t>则公司应当进行现金分红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宋体" w:hAnsi="宋体" w:eastAsia="宋体" w:cs="宋体"/>
          <w:sz w:val="24"/>
        </w:rPr>
        <w:t>公司利润分配不得超过累计可分配利润的范围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公司如无重大投资计划或重大现金支出发生</w:t>
      </w:r>
      <w:r>
        <w:rPr>
          <w:rFonts w:hint="eastAsia" w:ascii="宋体" w:hAnsi="宋体" w:eastAsia="宋体" w:cs="宋体"/>
          <w:sz w:val="10"/>
        </w:rPr>
        <w:t>，</w:t>
      </w:r>
      <w:r>
        <w:rPr>
          <w:rFonts w:hint="eastAsia" w:ascii="宋体" w:hAnsi="宋体" w:eastAsia="宋体" w:cs="宋体"/>
          <w:sz w:val="24"/>
        </w:rPr>
        <w:t>单一年度以现金方式分配的利润不少于当年度实现的可分配利润的</w:t>
      </w:r>
      <w:r>
        <w:rPr>
          <w:rFonts w:hint="eastAsia" w:ascii="Times New Roman" w:hAnsi="Times New Roman" w:eastAsia="Times New Roman" w:cs="Times New Roman"/>
          <w:sz w:val="24"/>
        </w:rPr>
        <w:t xml:space="preserve"> 10%</w:t>
      </w:r>
      <w:r>
        <w:rPr>
          <w:rFonts w:hint="eastAsia" w:ascii="宋体" w:hAnsi="宋体" w:eastAsia="宋体" w:cs="宋体"/>
          <w:sz w:val="10"/>
        </w:rPr>
        <w:t>。</w:t>
      </w:r>
      <w:r>
        <w:rPr>
          <w:rFonts w:hint="eastAsia" w:ascii="宋体" w:hAnsi="宋体" w:eastAsia="宋体" w:cs="宋体"/>
          <w:sz w:val="24"/>
        </w:rPr>
        <w:t>重大投资计划或者重大现金支出是指达到《公司章程》第四十条规定的标准需经公司股东大会审议通过的事项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公司董事会应当综合考虑公司所处行业特点</w:t>
      </w:r>
      <w:r>
        <w:rPr>
          <w:rFonts w:hint="eastAsia" w:ascii="宋体" w:hAnsi="宋体" w:eastAsia="宋体" w:cs="宋体"/>
          <w:sz w:val="10"/>
        </w:rPr>
        <w:t>、</w:t>
      </w:r>
      <w:r>
        <w:rPr>
          <w:rFonts w:hint="eastAsia" w:ascii="宋体" w:hAnsi="宋体" w:eastAsia="宋体" w:cs="宋体"/>
          <w:sz w:val="24"/>
        </w:rPr>
        <w:t>发展阶段</w:t>
      </w:r>
      <w:r>
        <w:rPr>
          <w:rFonts w:hint="eastAsia" w:ascii="宋体" w:hAnsi="宋体" w:eastAsia="宋体" w:cs="宋体"/>
          <w:sz w:val="10"/>
        </w:rPr>
        <w:t>、</w:t>
      </w:r>
      <w:r>
        <w:rPr>
          <w:rFonts w:hint="eastAsia" w:ascii="宋体" w:hAnsi="宋体" w:eastAsia="宋体" w:cs="宋体"/>
          <w:sz w:val="24"/>
        </w:rPr>
        <w:t>自身经营模式</w:t>
      </w:r>
      <w:r>
        <w:rPr>
          <w:rFonts w:hint="eastAsia" w:ascii="宋体" w:hAnsi="宋体" w:eastAsia="宋体" w:cs="宋体"/>
          <w:sz w:val="10"/>
        </w:rPr>
        <w:t>、</w:t>
      </w:r>
      <w:r>
        <w:rPr>
          <w:rFonts w:hint="eastAsia" w:ascii="宋体" w:hAnsi="宋体" w:eastAsia="宋体" w:cs="宋体"/>
          <w:sz w:val="24"/>
        </w:rPr>
        <w:t>盈利水平以及是否有重大资金支出安排等因素</w:t>
      </w:r>
      <w:r>
        <w:rPr>
          <w:rFonts w:hint="eastAsia" w:ascii="宋体" w:hAnsi="宋体" w:eastAsia="宋体" w:cs="宋体"/>
          <w:sz w:val="10"/>
        </w:rPr>
        <w:t>，</w:t>
      </w:r>
      <w:r>
        <w:rPr>
          <w:rFonts w:hint="eastAsia" w:ascii="宋体" w:hAnsi="宋体" w:eastAsia="宋体" w:cs="宋体"/>
          <w:sz w:val="24"/>
        </w:rPr>
        <w:t>区分下列情形</w:t>
      </w:r>
      <w:r>
        <w:rPr>
          <w:rFonts w:hint="eastAsia" w:ascii="宋体" w:hAnsi="宋体" w:eastAsia="宋体" w:cs="宋体"/>
          <w:sz w:val="10"/>
        </w:rPr>
        <w:t>，</w:t>
      </w:r>
      <w:r>
        <w:rPr>
          <w:rFonts w:hint="eastAsia" w:ascii="宋体" w:hAnsi="宋体" w:eastAsia="宋体" w:cs="宋体"/>
          <w:sz w:val="24"/>
        </w:rPr>
        <w:t>并按照《公司章程》规定的程序</w:t>
      </w:r>
      <w:r>
        <w:rPr>
          <w:rFonts w:hint="eastAsia" w:ascii="宋体" w:hAnsi="宋体" w:eastAsia="宋体" w:cs="宋体"/>
          <w:sz w:val="10"/>
        </w:rPr>
        <w:t>，</w:t>
      </w:r>
      <w:r>
        <w:rPr>
          <w:rFonts w:hint="eastAsia" w:ascii="宋体" w:hAnsi="宋体" w:eastAsia="宋体" w:cs="宋体"/>
          <w:sz w:val="24"/>
        </w:rPr>
        <w:t>提出差异化的现金分红政策</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w:t>
      </w:r>
      <w:r>
        <w:rPr>
          <w:rFonts w:hint="eastAsia" w:ascii="Times New Roman" w:hAnsi="Times New Roman" w:eastAsia="Times New Roman" w:cs="Times New Roman"/>
          <w:sz w:val="24"/>
        </w:rPr>
        <w:t>1</w:t>
      </w:r>
      <w:r>
        <w:rPr>
          <w:rFonts w:hint="eastAsia" w:ascii="宋体" w:hAnsi="宋体" w:eastAsia="宋体" w:cs="宋体"/>
          <w:sz w:val="24"/>
        </w:rPr>
        <w:t>）公司发展阶段属成熟期且无重大资金支出安排的</w:t>
      </w:r>
      <w:r>
        <w:rPr>
          <w:rFonts w:hint="eastAsia" w:ascii="宋体" w:hAnsi="宋体" w:eastAsia="宋体" w:cs="宋体"/>
          <w:sz w:val="10"/>
        </w:rPr>
        <w:t>，</w:t>
      </w:r>
      <w:r>
        <w:rPr>
          <w:rFonts w:hint="eastAsia" w:ascii="宋体" w:hAnsi="宋体" w:eastAsia="宋体" w:cs="宋体"/>
          <w:sz w:val="24"/>
        </w:rPr>
        <w:t>进行利润分配时</w:t>
      </w:r>
      <w:r>
        <w:rPr>
          <w:rFonts w:hint="eastAsia" w:ascii="宋体" w:hAnsi="宋体" w:eastAsia="宋体" w:cs="宋体"/>
          <w:sz w:val="10"/>
        </w:rPr>
        <w:t>，</w:t>
      </w:r>
      <w:r>
        <w:rPr>
          <w:rFonts w:hint="eastAsia" w:ascii="宋体" w:hAnsi="宋体" w:eastAsia="宋体" w:cs="宋体"/>
          <w:sz w:val="24"/>
        </w:rPr>
        <w:t>现金分红在本次利润分配中所占比例最低应达到</w:t>
      </w:r>
      <w:r>
        <w:rPr>
          <w:rFonts w:hint="eastAsia" w:ascii="Times New Roman" w:hAnsi="Times New Roman" w:eastAsia="Times New Roman" w:cs="Times New Roman"/>
          <w:sz w:val="24"/>
        </w:rPr>
        <w:t xml:space="preserve"> 80%</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60" w:firstLine="480"/>
        <w:jc w:val="both"/>
      </w:pPr>
      <w:r>
        <w:rPr>
          <w:rFonts w:hint="eastAsia" w:ascii="宋体" w:hAnsi="宋体" w:eastAsia="宋体" w:cs="宋体"/>
          <w:sz w:val="24"/>
        </w:rPr>
        <w:t>（</w:t>
      </w:r>
      <w:r>
        <w:rPr>
          <w:rFonts w:hint="eastAsia" w:ascii="Times New Roman" w:hAnsi="Times New Roman" w:eastAsia="Times New Roman" w:cs="Times New Roman"/>
          <w:sz w:val="24"/>
        </w:rPr>
        <w:t>2</w:t>
      </w:r>
      <w:r>
        <w:rPr>
          <w:rFonts w:hint="eastAsia" w:ascii="宋体" w:hAnsi="宋体" w:eastAsia="宋体" w:cs="宋体"/>
          <w:sz w:val="24"/>
        </w:rPr>
        <w:t>）公司发展阶段属成熟期且有重大资金支出安排的</w:t>
      </w:r>
      <w:r>
        <w:rPr>
          <w:rFonts w:hint="eastAsia" w:ascii="宋体" w:hAnsi="宋体" w:eastAsia="宋体" w:cs="宋体"/>
          <w:sz w:val="10"/>
        </w:rPr>
        <w:t>，</w:t>
      </w:r>
      <w:r>
        <w:rPr>
          <w:rFonts w:hint="eastAsia" w:ascii="宋体" w:hAnsi="宋体" w:eastAsia="宋体" w:cs="宋体"/>
          <w:sz w:val="24"/>
        </w:rPr>
        <w:t>进行利润分配时</w:t>
      </w:r>
      <w:r>
        <w:rPr>
          <w:rFonts w:hint="eastAsia" w:ascii="宋体" w:hAnsi="宋体" w:eastAsia="宋体" w:cs="宋体"/>
          <w:sz w:val="10"/>
        </w:rPr>
        <w:t>，</w:t>
      </w:r>
      <w:r>
        <w:rPr>
          <w:rFonts w:hint="eastAsia" w:ascii="宋体" w:hAnsi="宋体" w:eastAsia="宋体" w:cs="宋体"/>
          <w:sz w:val="24"/>
        </w:rPr>
        <w:t>现金分红在本次利润分配中所占比例最低应达到</w:t>
      </w:r>
      <w:r>
        <w:rPr>
          <w:rFonts w:hint="eastAsia" w:ascii="Times New Roman" w:hAnsi="Times New Roman" w:eastAsia="Times New Roman" w:cs="Times New Roman"/>
          <w:sz w:val="24"/>
        </w:rPr>
        <w:t xml:space="preserve"> 40%</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w:t>
      </w:r>
      <w:r>
        <w:rPr>
          <w:rFonts w:hint="eastAsia" w:ascii="Times New Roman" w:hAnsi="Times New Roman" w:eastAsia="Times New Roman" w:cs="Times New Roman"/>
          <w:sz w:val="24"/>
        </w:rPr>
        <w:t>3</w:t>
      </w:r>
      <w:r>
        <w:rPr>
          <w:rFonts w:hint="eastAsia" w:ascii="宋体" w:hAnsi="宋体" w:eastAsia="宋体" w:cs="宋体"/>
          <w:sz w:val="24"/>
        </w:rPr>
        <w:t>）公司发展阶段属成长期且有重大资金支出安排的</w:t>
      </w:r>
      <w:r>
        <w:rPr>
          <w:rFonts w:hint="eastAsia" w:ascii="宋体" w:hAnsi="宋体" w:eastAsia="宋体" w:cs="宋体"/>
          <w:sz w:val="10"/>
        </w:rPr>
        <w:t>，</w:t>
      </w:r>
      <w:r>
        <w:rPr>
          <w:rFonts w:hint="eastAsia" w:ascii="宋体" w:hAnsi="宋体" w:eastAsia="宋体" w:cs="宋体"/>
          <w:sz w:val="24"/>
        </w:rPr>
        <w:t>进行利润分配时</w:t>
      </w:r>
      <w:r>
        <w:rPr>
          <w:rFonts w:hint="eastAsia" w:ascii="宋体" w:hAnsi="宋体" w:eastAsia="宋体" w:cs="宋体"/>
          <w:sz w:val="10"/>
        </w:rPr>
        <w:t>，</w:t>
      </w:r>
      <w:r>
        <w:rPr>
          <w:rFonts w:hint="eastAsia" w:ascii="宋体" w:hAnsi="宋体" w:eastAsia="宋体" w:cs="宋体"/>
          <w:sz w:val="24"/>
        </w:rPr>
        <w:t>现金分红在本次利润分配中所占比例最低应达到</w:t>
      </w:r>
      <w:r>
        <w:rPr>
          <w:rFonts w:hint="eastAsia" w:ascii="Times New Roman" w:hAnsi="Times New Roman" w:eastAsia="Times New Roman" w:cs="Times New Roman"/>
          <w:sz w:val="24"/>
        </w:rPr>
        <w:t xml:space="preserve"> 20%</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40" w:lineRule="exact"/>
        <w:ind w:left="1440" w:right="1300" w:firstLine="480"/>
        <w:jc w:val="both"/>
      </w:pPr>
      <w:r>
        <w:rPr>
          <w:rFonts w:hint="eastAsia" w:ascii="宋体" w:hAnsi="宋体" w:eastAsia="宋体" w:cs="宋体"/>
          <w:sz w:val="24"/>
        </w:rPr>
        <w:t>（</w:t>
      </w:r>
      <w:r>
        <w:rPr>
          <w:rFonts w:hint="eastAsia" w:ascii="Times New Roman" w:hAnsi="Times New Roman" w:eastAsia="Times New Roman" w:cs="Times New Roman"/>
          <w:sz w:val="24"/>
        </w:rPr>
        <w:t>4</w:t>
      </w:r>
      <w:r>
        <w:rPr>
          <w:rFonts w:hint="eastAsia" w:ascii="宋体" w:hAnsi="宋体" w:eastAsia="宋体" w:cs="宋体"/>
          <w:sz w:val="24"/>
        </w:rPr>
        <w:t>）公司发展阶段不易区分但有重大资金支出安排的</w:t>
      </w:r>
      <w:r>
        <w:rPr>
          <w:rFonts w:hint="eastAsia" w:ascii="宋体" w:hAnsi="宋体" w:eastAsia="宋体" w:cs="宋体"/>
          <w:sz w:val="10"/>
        </w:rPr>
        <w:t>，</w:t>
      </w:r>
      <w:r>
        <w:rPr>
          <w:rFonts w:hint="eastAsia" w:ascii="宋体" w:hAnsi="宋体" w:eastAsia="宋体" w:cs="宋体"/>
          <w:sz w:val="24"/>
        </w:rPr>
        <w:t>现金分红在本次分配所占比例不低于</w:t>
      </w:r>
      <w:r>
        <w:rPr>
          <w:rFonts w:hint="eastAsia" w:ascii="Times New Roman" w:hAnsi="Times New Roman" w:eastAsia="Times New Roman" w:cs="Times New Roman"/>
          <w:sz w:val="24"/>
        </w:rPr>
        <w:t xml:space="preserve"> 20%</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公司在经营情况良好且董事会认为公司股票价格与公司股本规模不匹配</w:t>
      </w:r>
      <w:r>
        <w:rPr>
          <w:rFonts w:hint="eastAsia" w:ascii="宋体" w:hAnsi="宋体" w:eastAsia="宋体" w:cs="宋体"/>
          <w:sz w:val="10"/>
        </w:rPr>
        <w:t>、</w:t>
      </w:r>
      <w:r>
        <w:rPr>
          <w:rFonts w:hint="eastAsia" w:ascii="宋体" w:hAnsi="宋体" w:eastAsia="宋体" w:cs="宋体"/>
          <w:sz w:val="24"/>
        </w:rPr>
        <w:t>发放股票股利有利于公司全体股东整体利益时</w:t>
      </w:r>
      <w:r>
        <w:rPr>
          <w:rFonts w:hint="eastAsia" w:ascii="宋体" w:hAnsi="宋体" w:eastAsia="宋体" w:cs="宋体"/>
          <w:sz w:val="10"/>
        </w:rPr>
        <w:t>，</w:t>
      </w:r>
      <w:r>
        <w:rPr>
          <w:rFonts w:hint="eastAsia" w:ascii="宋体" w:hAnsi="宋体" w:eastAsia="宋体" w:cs="宋体"/>
          <w:sz w:val="24"/>
        </w:rPr>
        <w:t>在满足上述现金分红的条件下</w:t>
      </w:r>
      <w:r>
        <w:rPr>
          <w:rFonts w:hint="eastAsia" w:ascii="宋体" w:hAnsi="宋体" w:eastAsia="宋体" w:cs="宋体"/>
          <w:sz w:val="10"/>
        </w:rPr>
        <w:t>，</w:t>
      </w:r>
      <w:r>
        <w:rPr>
          <w:rFonts w:hint="eastAsia" w:ascii="宋体" w:hAnsi="宋体" w:eastAsia="宋体" w:cs="宋体"/>
          <w:sz w:val="24"/>
        </w:rPr>
        <w:t>公司可以采用发放股票股利方式进行利润分配</w:t>
      </w:r>
      <w:r>
        <w:rPr>
          <w:rFonts w:hint="eastAsia" w:ascii="宋体" w:hAnsi="宋体" w:eastAsia="宋体" w:cs="宋体"/>
          <w:sz w:val="10"/>
        </w:rPr>
        <w:t>，</w:t>
      </w:r>
      <w:r>
        <w:rPr>
          <w:rFonts w:hint="eastAsia" w:ascii="宋体" w:hAnsi="宋体" w:eastAsia="宋体" w:cs="宋体"/>
          <w:sz w:val="24"/>
        </w:rPr>
        <w:t>具体分红比例由公司董事会审议通过后</w:t>
      </w:r>
      <w:r>
        <w:rPr>
          <w:rFonts w:hint="eastAsia" w:ascii="宋体" w:hAnsi="宋体" w:eastAsia="宋体" w:cs="宋体"/>
          <w:sz w:val="10"/>
        </w:rPr>
        <w:t>，</w:t>
      </w:r>
      <w:r>
        <w:rPr>
          <w:rFonts w:hint="eastAsia" w:ascii="宋体" w:hAnsi="宋体" w:eastAsia="宋体" w:cs="宋体"/>
          <w:sz w:val="24"/>
        </w:rPr>
        <w:t>提交股东大会审议决定</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Times New Roman" w:hAnsi="Times New Roman" w:eastAsia="Times New Roman" w:cs="Times New Roman"/>
          <w:sz w:val="24"/>
        </w:rPr>
        <w:t>5</w:t>
      </w:r>
      <w:r>
        <w:rPr>
          <w:rFonts w:hint="eastAsia" w:ascii="宋体" w:hAnsi="宋体" w:eastAsia="宋体" w:cs="宋体"/>
          <w:sz w:val="10"/>
        </w:rPr>
        <w:t>、</w:t>
      </w:r>
      <w:r>
        <w:rPr>
          <w:rFonts w:hint="eastAsia" w:ascii="宋体" w:hAnsi="宋体" w:eastAsia="宋体" w:cs="宋体"/>
          <w:sz w:val="24"/>
        </w:rPr>
        <w:t>公司一般进行年度分红</w:t>
      </w:r>
      <w:r>
        <w:rPr>
          <w:rFonts w:hint="eastAsia" w:ascii="宋体" w:hAnsi="宋体" w:eastAsia="宋体" w:cs="宋体"/>
          <w:sz w:val="10"/>
        </w:rPr>
        <w:t>，</w:t>
      </w:r>
      <w:r>
        <w:rPr>
          <w:rFonts w:hint="eastAsia" w:ascii="宋体" w:hAnsi="宋体" w:eastAsia="宋体" w:cs="宋体"/>
          <w:sz w:val="24"/>
        </w:rPr>
        <w:t>公司董事会也可以根据公司的资金需求状况提议进行中期分红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Times New Roman" w:hAnsi="Times New Roman" w:eastAsia="Times New Roman" w:cs="Times New Roman"/>
          <w:sz w:val="24"/>
        </w:rPr>
        <w:t>6</w:t>
      </w:r>
      <w:r>
        <w:rPr>
          <w:rFonts w:hint="eastAsia" w:ascii="宋体" w:hAnsi="宋体" w:eastAsia="宋体" w:cs="宋体"/>
          <w:sz w:val="10"/>
        </w:rPr>
        <w:t>、</w:t>
      </w:r>
      <w:r>
        <w:rPr>
          <w:rFonts w:hint="eastAsia" w:ascii="宋体" w:hAnsi="宋体" w:eastAsia="宋体" w:cs="宋体"/>
          <w:sz w:val="24"/>
        </w:rPr>
        <w:t>公司董事会根据既定的利润分配政策制订利润分配方案的过程中</w:t>
      </w:r>
      <w:r>
        <w:rPr>
          <w:rFonts w:hint="eastAsia" w:ascii="宋体" w:hAnsi="宋体" w:eastAsia="宋体" w:cs="宋体"/>
          <w:sz w:val="10"/>
        </w:rPr>
        <w:t>，</w:t>
      </w:r>
      <w:r>
        <w:rPr>
          <w:rFonts w:hint="eastAsia" w:ascii="宋体" w:hAnsi="宋体" w:eastAsia="宋体" w:cs="宋体"/>
          <w:sz w:val="24"/>
        </w:rPr>
        <w:t>需与独立董事</w:t>
      </w:r>
      <w:r>
        <w:rPr>
          <w:rFonts w:hint="eastAsia" w:ascii="宋体" w:hAnsi="宋体" w:eastAsia="宋体" w:cs="宋体"/>
          <w:sz w:val="10"/>
        </w:rPr>
        <w:t>、</w:t>
      </w:r>
      <w:r>
        <w:rPr>
          <w:rFonts w:hint="eastAsia" w:ascii="宋体" w:hAnsi="宋体" w:eastAsia="宋体" w:cs="宋体"/>
          <w:sz w:val="24"/>
        </w:rPr>
        <w:t>外部监事（如有）充分讨论</w:t>
      </w:r>
      <w:r>
        <w:rPr>
          <w:rFonts w:hint="eastAsia" w:ascii="宋体" w:hAnsi="宋体" w:eastAsia="宋体" w:cs="宋体"/>
          <w:sz w:val="10"/>
        </w:rPr>
        <w:t>，</w:t>
      </w:r>
      <w:r>
        <w:rPr>
          <w:rFonts w:hint="eastAsia" w:ascii="宋体" w:hAnsi="宋体" w:eastAsia="宋体" w:cs="宋体"/>
          <w:sz w:val="24"/>
        </w:rPr>
        <w:t>在考虑对全体股东持续</w:t>
      </w:r>
      <w:r>
        <w:rPr>
          <w:rFonts w:hint="eastAsia" w:ascii="宋体" w:hAnsi="宋体" w:eastAsia="宋体" w:cs="宋体"/>
          <w:sz w:val="10"/>
        </w:rPr>
        <w:t>、</w:t>
      </w:r>
      <w:r>
        <w:rPr>
          <w:rFonts w:hint="eastAsia" w:ascii="宋体" w:hAnsi="宋体" w:eastAsia="宋体" w:cs="宋体"/>
          <w:sz w:val="24"/>
        </w:rPr>
        <w:t>稳定</w:t>
      </w:r>
      <w:r>
        <w:rPr>
          <w:rFonts w:hint="eastAsia" w:ascii="宋体" w:hAnsi="宋体" w:eastAsia="宋体" w:cs="宋体"/>
          <w:sz w:val="10"/>
        </w:rPr>
        <w:t>、</w:t>
      </w:r>
      <w:r>
        <w:rPr>
          <w:rFonts w:hint="eastAsia" w:ascii="宋体" w:hAnsi="宋体" w:eastAsia="宋体" w:cs="宋体"/>
          <w:sz w:val="24"/>
        </w:rPr>
        <w:t>科学的回报基础上</w:t>
      </w:r>
      <w:r>
        <w:rPr>
          <w:rFonts w:hint="eastAsia" w:ascii="宋体" w:hAnsi="宋体" w:eastAsia="宋体" w:cs="宋体"/>
          <w:sz w:val="10"/>
        </w:rPr>
        <w:t>，</w:t>
      </w:r>
      <w:r>
        <w:rPr>
          <w:rFonts w:hint="eastAsia" w:ascii="宋体" w:hAnsi="宋体" w:eastAsia="宋体" w:cs="宋体"/>
          <w:sz w:val="24"/>
        </w:rPr>
        <w:t>形成利润分配方案</w:t>
      </w:r>
      <w:r>
        <w:rPr>
          <w:rFonts w:hint="eastAsia" w:ascii="宋体" w:hAnsi="宋体" w:eastAsia="宋体" w:cs="宋体"/>
          <w:sz w:val="10"/>
        </w:rPr>
        <w:t>。</w:t>
      </w:r>
      <w:r>
        <w:rPr>
          <w:rFonts w:hint="eastAsia" w:ascii="宋体" w:hAnsi="宋体" w:eastAsia="宋体" w:cs="宋体"/>
          <w:sz w:val="24"/>
        </w:rPr>
        <w:t>在审议公司利润分配方案的董事会</w:t>
      </w:r>
      <w:r>
        <w:rPr>
          <w:rFonts w:hint="eastAsia" w:ascii="宋体" w:hAnsi="宋体" w:eastAsia="宋体" w:cs="宋体"/>
          <w:sz w:val="10"/>
        </w:rPr>
        <w:t>、</w:t>
      </w:r>
      <w:r>
        <w:rPr>
          <w:rFonts w:hint="eastAsia" w:ascii="宋体" w:hAnsi="宋体" w:eastAsia="宋体" w:cs="宋体"/>
          <w:sz w:val="24"/>
        </w:rPr>
        <w:t>监事会会议上</w:t>
      </w:r>
      <w:r>
        <w:rPr>
          <w:rFonts w:hint="eastAsia" w:ascii="宋体" w:hAnsi="宋体" w:eastAsia="宋体" w:cs="宋体"/>
          <w:sz w:val="10"/>
        </w:rPr>
        <w:t>，</w:t>
      </w:r>
      <w:r>
        <w:rPr>
          <w:rFonts w:hint="eastAsia" w:ascii="宋体" w:hAnsi="宋体" w:eastAsia="宋体" w:cs="宋体"/>
          <w:sz w:val="24"/>
        </w:rPr>
        <w:t>需经全体董事过半数同意</w:t>
      </w:r>
      <w:r>
        <w:rPr>
          <w:rFonts w:hint="eastAsia" w:ascii="宋体" w:hAnsi="宋体" w:eastAsia="宋体" w:cs="宋体"/>
          <w:sz w:val="10"/>
        </w:rPr>
        <w:t>，</w:t>
      </w:r>
      <w:r>
        <w:rPr>
          <w:rFonts w:hint="eastAsia" w:ascii="宋体" w:hAnsi="宋体" w:eastAsia="宋体" w:cs="宋体"/>
          <w:sz w:val="24"/>
        </w:rPr>
        <w:t>并分别经公司三分之二以上独立董事</w:t>
      </w:r>
      <w:r>
        <w:rPr>
          <w:rFonts w:hint="eastAsia" w:ascii="宋体" w:hAnsi="宋体" w:eastAsia="宋体" w:cs="宋体"/>
          <w:sz w:val="10"/>
        </w:rPr>
        <w:t>、二</w:t>
      </w:r>
      <w:r>
        <w:rPr>
          <w:rFonts w:hint="eastAsia" w:ascii="宋体" w:hAnsi="宋体" w:eastAsia="宋体" w:cs="宋体"/>
          <w:sz w:val="24"/>
        </w:rPr>
        <w:t>分之一以上外部监事（如有）同</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1-1-322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jc w:val="both"/>
      </w:pPr>
      <w:r>
        <w:rPr>
          <w:rFonts w:hint="eastAsia" w:ascii="宋体" w:hAnsi="宋体" w:eastAsia="宋体" w:cs="宋体"/>
          <w:sz w:val="24"/>
        </w:rPr>
        <w:t>意</w:t>
      </w:r>
      <w:r>
        <w:rPr>
          <w:rFonts w:hint="eastAsia" w:ascii="宋体" w:hAnsi="宋体" w:eastAsia="宋体" w:cs="宋体"/>
          <w:sz w:val="10"/>
        </w:rPr>
        <w:t>，</w:t>
      </w:r>
      <w:r>
        <w:rPr>
          <w:rFonts w:hint="eastAsia" w:ascii="宋体" w:hAnsi="宋体" w:eastAsia="宋体" w:cs="宋体"/>
          <w:sz w:val="24"/>
        </w:rPr>
        <w:t>方能提交公司股东大会审议</w:t>
      </w:r>
      <w:r>
        <w:rPr>
          <w:rFonts w:hint="eastAsia" w:ascii="宋体" w:hAnsi="宋体" w:eastAsia="宋体" w:cs="宋体"/>
          <w:sz w:val="10"/>
        </w:rPr>
        <w:t>。</w:t>
      </w:r>
      <w:r>
        <w:rPr>
          <w:rFonts w:hint="eastAsia" w:ascii="宋体" w:hAnsi="宋体" w:eastAsia="宋体" w:cs="宋体"/>
          <w:sz w:val="24"/>
        </w:rPr>
        <w:t>公司独立董事可在股东大会召开前向公司社会公众股股东征集其在股东大会上的投票权</w:t>
      </w:r>
      <w:r>
        <w:rPr>
          <w:rFonts w:hint="eastAsia" w:ascii="宋体" w:hAnsi="宋体" w:eastAsia="宋体" w:cs="宋体"/>
          <w:sz w:val="10"/>
        </w:rPr>
        <w:t>，</w:t>
      </w:r>
      <w:r>
        <w:rPr>
          <w:rFonts w:hint="eastAsia" w:ascii="宋体" w:hAnsi="宋体" w:eastAsia="宋体" w:cs="宋体"/>
          <w:sz w:val="24"/>
        </w:rPr>
        <w:t>独立董事行使上述职权应当取得全体独立董事的二分之一以上同意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公司利润分配方案应当由出席股东大会的股东（包括股东代理人）过半数以上表决通过</w:t>
      </w:r>
      <w:r>
        <w:rPr>
          <w:rFonts w:hint="eastAsia" w:ascii="宋体" w:hAnsi="宋体" w:eastAsia="宋体" w:cs="宋体"/>
          <w:sz w:val="10"/>
        </w:rPr>
        <w:t>。</w:t>
      </w:r>
      <w:r>
        <w:rPr>
          <w:rFonts w:hint="eastAsia" w:ascii="宋体" w:hAnsi="宋体" w:eastAsia="宋体" w:cs="宋体"/>
          <w:sz w:val="24"/>
        </w:rPr>
        <w:t>公司在召开审议分红的股东大会上应为股东提供网络投票方式</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20" w:firstLine="480"/>
        <w:jc w:val="both"/>
      </w:pPr>
      <w:r>
        <w:rPr>
          <w:rFonts w:hint="eastAsia" w:ascii="宋体" w:hAnsi="宋体" w:eastAsia="宋体" w:cs="宋体"/>
          <w:sz w:val="24"/>
        </w:rPr>
        <w:t>公司在制定现金利润分配方案时</w:t>
      </w:r>
      <w:r>
        <w:rPr>
          <w:rFonts w:hint="eastAsia" w:ascii="宋体" w:hAnsi="宋体" w:eastAsia="宋体" w:cs="宋体"/>
          <w:sz w:val="10"/>
        </w:rPr>
        <w:t>，</w:t>
      </w:r>
      <w:r>
        <w:rPr>
          <w:rFonts w:hint="eastAsia" w:ascii="宋体" w:hAnsi="宋体" w:eastAsia="宋体" w:cs="宋体"/>
          <w:sz w:val="24"/>
        </w:rPr>
        <w:t>公司董事会应当认真研究和论证公司现金分红的时机</w:t>
      </w:r>
      <w:r>
        <w:rPr>
          <w:rFonts w:hint="eastAsia" w:ascii="宋体" w:hAnsi="宋体" w:eastAsia="宋体" w:cs="宋体"/>
          <w:sz w:val="10"/>
        </w:rPr>
        <w:t>、</w:t>
      </w:r>
      <w:r>
        <w:rPr>
          <w:rFonts w:hint="eastAsia" w:ascii="宋体" w:hAnsi="宋体" w:eastAsia="宋体" w:cs="宋体"/>
          <w:sz w:val="24"/>
        </w:rPr>
        <w:t>条件和最低比例</w:t>
      </w:r>
      <w:r>
        <w:rPr>
          <w:rFonts w:hint="eastAsia" w:ascii="宋体" w:hAnsi="宋体" w:eastAsia="宋体" w:cs="宋体"/>
          <w:sz w:val="10"/>
        </w:rPr>
        <w:t>、</w:t>
      </w:r>
      <w:r>
        <w:rPr>
          <w:rFonts w:hint="eastAsia" w:ascii="宋体" w:hAnsi="宋体" w:eastAsia="宋体" w:cs="宋体"/>
          <w:sz w:val="24"/>
        </w:rPr>
        <w:t>调整的条件及其决策程序要求等事宜</w:t>
      </w:r>
      <w:r>
        <w:rPr>
          <w:rFonts w:hint="eastAsia" w:ascii="宋体" w:hAnsi="宋体" w:eastAsia="宋体" w:cs="宋体"/>
          <w:sz w:val="10"/>
        </w:rPr>
        <w:t>，</w:t>
      </w:r>
      <w:r>
        <w:rPr>
          <w:rFonts w:hint="eastAsia" w:ascii="宋体" w:hAnsi="宋体" w:eastAsia="宋体" w:cs="宋体"/>
          <w:sz w:val="24"/>
        </w:rPr>
        <w:t>独立董事应当发表明确意见</w:t>
      </w:r>
      <w:r>
        <w:rPr>
          <w:rFonts w:hint="eastAsia" w:ascii="宋体" w:hAnsi="宋体" w:eastAsia="宋体" w:cs="宋体"/>
          <w:sz w:val="10"/>
        </w:rPr>
        <w:t>。</w:t>
      </w:r>
      <w:r>
        <w:rPr>
          <w:rFonts w:hint="eastAsia" w:ascii="宋体" w:hAnsi="宋体" w:eastAsia="宋体" w:cs="宋体"/>
          <w:sz w:val="24"/>
        </w:rPr>
        <w:t>股东大会对现金分红具体方案进行审议时</w:t>
      </w:r>
      <w:r>
        <w:rPr>
          <w:rFonts w:hint="eastAsia" w:ascii="宋体" w:hAnsi="宋体" w:eastAsia="宋体" w:cs="宋体"/>
          <w:sz w:val="10"/>
        </w:rPr>
        <w:t>，</w:t>
      </w:r>
      <w:r>
        <w:rPr>
          <w:rFonts w:hint="eastAsia" w:ascii="宋体" w:hAnsi="宋体" w:eastAsia="宋体" w:cs="宋体"/>
          <w:sz w:val="24"/>
        </w:rPr>
        <w:t>应当通过多种渠道主动与股东特别是中小投资者进行沟通和交流</w:t>
      </w:r>
      <w:r>
        <w:rPr>
          <w:rFonts w:hint="eastAsia" w:ascii="宋体" w:hAnsi="宋体" w:eastAsia="宋体" w:cs="宋体"/>
          <w:sz w:val="10"/>
        </w:rPr>
        <w:t>，</w:t>
      </w:r>
      <w:r>
        <w:rPr>
          <w:rFonts w:hint="eastAsia" w:ascii="宋体" w:hAnsi="宋体" w:eastAsia="宋体" w:cs="宋体"/>
          <w:sz w:val="24"/>
        </w:rPr>
        <w:t>充分听取中小投资者的意见和诉求</w:t>
      </w:r>
      <w:r>
        <w:rPr>
          <w:rFonts w:hint="eastAsia" w:ascii="宋体" w:hAnsi="宋体" w:eastAsia="宋体" w:cs="宋体"/>
          <w:sz w:val="10"/>
        </w:rPr>
        <w:t>，</w:t>
      </w:r>
      <w:r>
        <w:rPr>
          <w:rFonts w:hint="eastAsia" w:ascii="宋体" w:hAnsi="宋体" w:eastAsia="宋体" w:cs="宋体"/>
          <w:sz w:val="24"/>
        </w:rPr>
        <w:t>并及时答复中小投资者关心的问题</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80" w:firstLine="480"/>
        <w:jc w:val="both"/>
      </w:pPr>
      <w:r>
        <w:rPr>
          <w:rFonts w:hint="eastAsia" w:ascii="宋体" w:hAnsi="宋体" w:eastAsia="宋体" w:cs="宋体"/>
          <w:sz w:val="24"/>
        </w:rPr>
        <w:t>公司对留存的未分配利润使用计划作出调整时</w:t>
      </w:r>
      <w:r>
        <w:rPr>
          <w:rFonts w:hint="eastAsia" w:ascii="宋体" w:hAnsi="宋体" w:eastAsia="宋体" w:cs="宋体"/>
          <w:sz w:val="10"/>
        </w:rPr>
        <w:t>，</w:t>
      </w:r>
      <w:r>
        <w:rPr>
          <w:rFonts w:hint="eastAsia" w:ascii="宋体" w:hAnsi="宋体" w:eastAsia="宋体" w:cs="宋体"/>
          <w:sz w:val="24"/>
        </w:rPr>
        <w:t>应重新报经董事会</w:t>
      </w:r>
      <w:r>
        <w:rPr>
          <w:rFonts w:hint="eastAsia" w:ascii="宋体" w:hAnsi="宋体" w:eastAsia="宋体" w:cs="宋体"/>
          <w:sz w:val="10"/>
        </w:rPr>
        <w:t>、</w:t>
      </w:r>
      <w:r>
        <w:rPr>
          <w:rFonts w:hint="eastAsia" w:ascii="宋体" w:hAnsi="宋体" w:eastAsia="宋体" w:cs="宋体"/>
          <w:sz w:val="24"/>
        </w:rPr>
        <w:t>股东大会批准</w:t>
      </w:r>
      <w:r>
        <w:rPr>
          <w:rFonts w:hint="eastAsia" w:ascii="宋体" w:hAnsi="宋体" w:eastAsia="宋体" w:cs="宋体"/>
          <w:sz w:val="10"/>
        </w:rPr>
        <w:t>，</w:t>
      </w:r>
      <w:r>
        <w:rPr>
          <w:rFonts w:hint="eastAsia" w:ascii="宋体" w:hAnsi="宋体" w:eastAsia="宋体" w:cs="宋体"/>
          <w:sz w:val="24"/>
        </w:rPr>
        <w:t>并在相关提案中详细论证和说明调整的原因</w:t>
      </w:r>
      <w:r>
        <w:rPr>
          <w:rFonts w:hint="eastAsia" w:ascii="宋体" w:hAnsi="宋体" w:eastAsia="宋体" w:cs="宋体"/>
          <w:sz w:val="10"/>
        </w:rPr>
        <w:t>，</w:t>
      </w:r>
      <w:r>
        <w:rPr>
          <w:rFonts w:hint="eastAsia" w:ascii="宋体" w:hAnsi="宋体" w:eastAsia="宋体" w:cs="宋体"/>
          <w:sz w:val="24"/>
        </w:rPr>
        <w:t>独立董事应当对此发表独立意见</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60" w:firstLine="480"/>
        <w:jc w:val="both"/>
      </w:pPr>
      <w:r>
        <w:rPr>
          <w:rFonts w:hint="eastAsia" w:ascii="宋体" w:hAnsi="宋体" w:eastAsia="宋体" w:cs="宋体"/>
          <w:sz w:val="24"/>
        </w:rPr>
        <w:t>公司董事会未做出现金利润分配方案的</w:t>
      </w:r>
      <w:r>
        <w:rPr>
          <w:rFonts w:hint="eastAsia" w:ascii="宋体" w:hAnsi="宋体" w:eastAsia="宋体" w:cs="宋体"/>
          <w:sz w:val="10"/>
        </w:rPr>
        <w:t>，</w:t>
      </w:r>
      <w:r>
        <w:rPr>
          <w:rFonts w:hint="eastAsia" w:ascii="宋体" w:hAnsi="宋体" w:eastAsia="宋体" w:cs="宋体"/>
          <w:sz w:val="24"/>
        </w:rPr>
        <w:t>应该征询监事会的意见</w:t>
      </w:r>
      <w:r>
        <w:rPr>
          <w:rFonts w:hint="eastAsia" w:ascii="宋体" w:hAnsi="宋体" w:eastAsia="宋体" w:cs="宋体"/>
          <w:sz w:val="10"/>
        </w:rPr>
        <w:t>，</w:t>
      </w:r>
      <w:r>
        <w:rPr>
          <w:rFonts w:hint="eastAsia" w:ascii="宋体" w:hAnsi="宋体" w:eastAsia="宋体" w:cs="宋体"/>
          <w:sz w:val="24"/>
        </w:rPr>
        <w:t>并在定期报告中披露原因</w:t>
      </w:r>
      <w:r>
        <w:rPr>
          <w:rFonts w:hint="eastAsia" w:ascii="宋体" w:hAnsi="宋体" w:eastAsia="宋体" w:cs="宋体"/>
          <w:sz w:val="10"/>
        </w:rPr>
        <w:t>，</w:t>
      </w:r>
      <w:r>
        <w:rPr>
          <w:rFonts w:hint="eastAsia" w:ascii="宋体" w:hAnsi="宋体" w:eastAsia="宋体" w:cs="宋体"/>
          <w:sz w:val="24"/>
        </w:rPr>
        <w:t>独立董事应当对此发表独立意见</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7</w:t>
      </w:r>
      <w:r>
        <w:rPr>
          <w:rFonts w:hint="eastAsia" w:ascii="宋体" w:hAnsi="宋体" w:eastAsia="宋体" w:cs="宋体"/>
          <w:sz w:val="10"/>
        </w:rPr>
        <w:t>、</w:t>
      </w:r>
      <w:r>
        <w:rPr>
          <w:rFonts w:hint="eastAsia" w:ascii="宋体" w:hAnsi="宋体" w:eastAsia="宋体" w:cs="宋体"/>
          <w:sz w:val="24"/>
        </w:rPr>
        <w:t>公司的利润分配政策不得随意变更</w:t>
      </w:r>
      <w:r>
        <w:rPr>
          <w:rFonts w:hint="eastAsia" w:ascii="宋体" w:hAnsi="宋体" w:eastAsia="宋体" w:cs="宋体"/>
          <w:sz w:val="10"/>
        </w:rPr>
        <w:t>，</w:t>
      </w:r>
      <w:r>
        <w:rPr>
          <w:rFonts w:hint="eastAsia" w:ascii="宋体" w:hAnsi="宋体" w:eastAsia="宋体" w:cs="宋体"/>
          <w:sz w:val="24"/>
        </w:rPr>
        <w:t>并应严格执行公司章程确定的现金分红政策以及股东大会审议批准的现金分红具体方案</w:t>
      </w:r>
      <w:r>
        <w:rPr>
          <w:rFonts w:hint="eastAsia" w:ascii="宋体" w:hAnsi="宋体" w:eastAsia="宋体" w:cs="宋体"/>
          <w:sz w:val="10"/>
        </w:rPr>
        <w:t>。</w:t>
      </w:r>
      <w:r>
        <w:rPr>
          <w:rFonts w:hint="eastAsia" w:ascii="宋体" w:hAnsi="宋体" w:eastAsia="宋体" w:cs="宋体"/>
          <w:sz w:val="24"/>
        </w:rPr>
        <w:t>如外部经营环境或自身经营状况发生较大变化而确需调整利润分配政策</w:t>
      </w:r>
      <w:r>
        <w:rPr>
          <w:rFonts w:hint="eastAsia" w:ascii="宋体" w:hAnsi="宋体" w:eastAsia="宋体" w:cs="宋体"/>
          <w:sz w:val="10"/>
        </w:rPr>
        <w:t>，</w:t>
      </w:r>
      <w:r>
        <w:rPr>
          <w:rFonts w:hint="eastAsia" w:ascii="宋体" w:hAnsi="宋体" w:eastAsia="宋体" w:cs="宋体"/>
          <w:sz w:val="24"/>
        </w:rPr>
        <w:t>应根据《公司章程》履行修改利润分配政策的决策程序</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440" w:firstLine="480"/>
        <w:jc w:val="both"/>
      </w:pPr>
      <w:r>
        <w:rPr>
          <w:rFonts w:hint="eastAsia" w:ascii="Times New Roman" w:hAnsi="Times New Roman" w:eastAsia="Times New Roman" w:cs="Times New Roman"/>
          <w:sz w:val="24"/>
        </w:rPr>
        <w:t>8</w:t>
      </w:r>
      <w:r>
        <w:rPr>
          <w:rFonts w:hint="eastAsia" w:ascii="宋体" w:hAnsi="宋体" w:eastAsia="宋体" w:cs="宋体"/>
          <w:sz w:val="10"/>
        </w:rPr>
        <w:t>、</w:t>
      </w:r>
      <w:r>
        <w:rPr>
          <w:rFonts w:hint="eastAsia" w:ascii="宋体" w:hAnsi="宋体" w:eastAsia="宋体" w:cs="宋体"/>
          <w:sz w:val="24"/>
        </w:rPr>
        <w:t>存在股东违规占用公司资金情况的</w:t>
      </w:r>
      <w:r>
        <w:rPr>
          <w:rFonts w:hint="eastAsia" w:ascii="宋体" w:hAnsi="宋体" w:eastAsia="宋体" w:cs="宋体"/>
          <w:sz w:val="10"/>
        </w:rPr>
        <w:t>，</w:t>
      </w:r>
      <w:r>
        <w:rPr>
          <w:rFonts w:hint="eastAsia" w:ascii="宋体" w:hAnsi="宋体" w:eastAsia="宋体" w:cs="宋体"/>
          <w:sz w:val="24"/>
        </w:rPr>
        <w:t>公司应当扣减该股东所分配的现金红利</w:t>
      </w:r>
      <w:r>
        <w:rPr>
          <w:rFonts w:hint="eastAsia" w:ascii="宋体" w:hAnsi="宋体" w:eastAsia="宋体" w:cs="宋体"/>
          <w:sz w:val="10"/>
        </w:rPr>
        <w:t>，</w:t>
      </w:r>
      <w:r>
        <w:rPr>
          <w:rFonts w:hint="eastAsia" w:ascii="宋体" w:hAnsi="宋体" w:eastAsia="宋体" w:cs="宋体"/>
          <w:sz w:val="24"/>
        </w:rPr>
        <w:t>以偿还其占用的资金</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60" w:lineRule="exact"/>
        <w:ind w:left="1440" w:right="1240" w:firstLine="480"/>
        <w:jc w:val="both"/>
      </w:pPr>
      <w:r>
        <w:rPr>
          <w:rFonts w:hint="eastAsia" w:ascii="Times New Roman" w:hAnsi="Times New Roman" w:eastAsia="Times New Roman" w:cs="Times New Roman"/>
          <w:sz w:val="24"/>
        </w:rPr>
        <w:t>9</w:t>
      </w:r>
      <w:r>
        <w:rPr>
          <w:rFonts w:hint="eastAsia" w:ascii="宋体" w:hAnsi="宋体" w:eastAsia="宋体" w:cs="宋体"/>
          <w:sz w:val="10"/>
        </w:rPr>
        <w:t>、</w:t>
      </w:r>
      <w:r>
        <w:rPr>
          <w:rFonts w:hint="eastAsia" w:ascii="宋体" w:hAnsi="宋体" w:eastAsia="宋体" w:cs="宋体"/>
          <w:sz w:val="24"/>
        </w:rPr>
        <w:t>公司应当在定期报告中详细披露现金分红政策的制定及执行情况</w:t>
      </w:r>
      <w:r>
        <w:rPr>
          <w:rFonts w:hint="eastAsia" w:ascii="宋体" w:hAnsi="宋体" w:eastAsia="宋体" w:cs="宋体"/>
          <w:sz w:val="10"/>
        </w:rPr>
        <w:t>，</w:t>
      </w:r>
      <w:r>
        <w:rPr>
          <w:rFonts w:hint="eastAsia" w:ascii="宋体" w:hAnsi="宋体" w:eastAsia="宋体" w:cs="宋体"/>
          <w:sz w:val="24"/>
        </w:rPr>
        <w:t>说明是否符合公司章程的规定或者股东大会决议的要求</w:t>
      </w:r>
      <w:r>
        <w:rPr>
          <w:rFonts w:hint="eastAsia" w:ascii="宋体" w:hAnsi="宋体" w:eastAsia="宋体" w:cs="宋体"/>
          <w:sz w:val="10"/>
        </w:rPr>
        <w:t>，</w:t>
      </w:r>
      <w:r>
        <w:rPr>
          <w:rFonts w:hint="eastAsia" w:ascii="宋体" w:hAnsi="宋体" w:eastAsia="宋体" w:cs="宋体"/>
          <w:sz w:val="24"/>
        </w:rPr>
        <w:t>分红标准和比例是否明确和清晰</w:t>
      </w:r>
      <w:r>
        <w:rPr>
          <w:rFonts w:hint="eastAsia" w:ascii="宋体" w:hAnsi="宋体" w:eastAsia="宋体" w:cs="宋体"/>
          <w:sz w:val="10"/>
        </w:rPr>
        <w:t>，</w:t>
      </w:r>
      <w:r>
        <w:rPr>
          <w:rFonts w:hint="eastAsia" w:ascii="宋体" w:hAnsi="宋体" w:eastAsia="宋体" w:cs="宋体"/>
          <w:sz w:val="24"/>
        </w:rPr>
        <w:t>相关的决策程序和机制是否完备</w:t>
      </w:r>
      <w:r>
        <w:rPr>
          <w:rFonts w:hint="eastAsia" w:ascii="宋体" w:hAnsi="宋体" w:eastAsia="宋体" w:cs="宋体"/>
          <w:sz w:val="10"/>
        </w:rPr>
        <w:t>，</w:t>
      </w:r>
      <w:r>
        <w:rPr>
          <w:rFonts w:hint="eastAsia" w:ascii="宋体" w:hAnsi="宋体" w:eastAsia="宋体" w:cs="宋体"/>
          <w:sz w:val="24"/>
        </w:rPr>
        <w:t>独立董事是否尽职责并发挥了应有的作用</w:t>
      </w:r>
      <w:r>
        <w:rPr>
          <w:rFonts w:hint="eastAsia" w:ascii="宋体" w:hAnsi="宋体" w:eastAsia="宋体" w:cs="宋体"/>
          <w:sz w:val="10"/>
        </w:rPr>
        <w:t>，</w:t>
      </w:r>
      <w:r>
        <w:rPr>
          <w:rFonts w:hint="eastAsia" w:ascii="宋体" w:hAnsi="宋体" w:eastAsia="宋体" w:cs="宋体"/>
          <w:sz w:val="24"/>
        </w:rPr>
        <w:t>中小投资者是否有充分表达意见和诉求的机会</w:t>
      </w:r>
      <w:r>
        <w:rPr>
          <w:rFonts w:hint="eastAsia" w:ascii="宋体" w:hAnsi="宋体" w:eastAsia="宋体" w:cs="宋体"/>
          <w:sz w:val="10"/>
        </w:rPr>
        <w:t>，</w:t>
      </w:r>
      <w:r>
        <w:rPr>
          <w:rFonts w:hint="eastAsia" w:ascii="宋体" w:hAnsi="宋体" w:eastAsia="宋体" w:cs="宋体"/>
          <w:sz w:val="24"/>
        </w:rPr>
        <w:t>中小投资者的合法权益是否得到充分维护等</w:t>
      </w:r>
      <w:r>
        <w:rPr>
          <w:rFonts w:hint="eastAsia" w:ascii="宋体" w:hAnsi="宋体" w:eastAsia="宋体" w:cs="宋体"/>
          <w:sz w:val="10"/>
        </w:rPr>
        <w:t>。</w:t>
      </w:r>
      <w:r>
        <w:rPr>
          <w:rFonts w:hint="eastAsia" w:ascii="宋体" w:hAnsi="宋体" w:eastAsia="宋体" w:cs="宋体"/>
          <w:sz w:val="24"/>
        </w:rPr>
        <w:t>对现金分红政策进行调整或变更的</w:t>
      </w:r>
      <w:r>
        <w:rPr>
          <w:rFonts w:hint="eastAsia" w:ascii="宋体" w:hAnsi="宋体" w:eastAsia="宋体" w:cs="宋体"/>
          <w:sz w:val="10"/>
        </w:rPr>
        <w:t>，</w:t>
      </w:r>
      <w:r>
        <w:rPr>
          <w:rFonts w:hint="eastAsia" w:ascii="宋体" w:hAnsi="宋体" w:eastAsia="宋体" w:cs="宋体"/>
          <w:sz w:val="24"/>
        </w:rPr>
        <w:t>还应详细说明调整或变更的条件和程序是否合规和透明等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00" w:firstLine="480"/>
        <w:jc w:val="both"/>
      </w:pPr>
      <w:r>
        <w:rPr>
          <w:rFonts w:hint="eastAsia" w:ascii="Times New Roman" w:hAnsi="Times New Roman" w:eastAsia="Times New Roman" w:cs="Times New Roman"/>
          <w:sz w:val="24"/>
        </w:rPr>
        <w:t>10</w:t>
      </w:r>
      <w:r>
        <w:rPr>
          <w:rFonts w:hint="eastAsia" w:ascii="宋体" w:hAnsi="宋体" w:eastAsia="宋体" w:cs="宋体"/>
          <w:sz w:val="10"/>
        </w:rPr>
        <w:t>、</w:t>
      </w:r>
      <w:r>
        <w:rPr>
          <w:rFonts w:hint="eastAsia" w:ascii="宋体" w:hAnsi="宋体" w:eastAsia="宋体" w:cs="宋体"/>
          <w:sz w:val="24"/>
        </w:rPr>
        <w:t>公司股东大会对利润分配方案作出决议后</w:t>
      </w:r>
      <w:r>
        <w:rPr>
          <w:rFonts w:hint="eastAsia" w:ascii="宋体" w:hAnsi="宋体" w:eastAsia="宋体" w:cs="宋体"/>
          <w:sz w:val="10"/>
        </w:rPr>
        <w:t>，</w:t>
      </w:r>
      <w:r>
        <w:rPr>
          <w:rFonts w:hint="eastAsia" w:ascii="宋体" w:hAnsi="宋体" w:eastAsia="宋体" w:cs="宋体"/>
          <w:sz w:val="24"/>
        </w:rPr>
        <w:t>公司董事会须在股东大会召开后</w:t>
      </w:r>
      <w:r>
        <w:rPr>
          <w:rFonts w:hint="eastAsia" w:ascii="Times New Roman" w:hAnsi="Times New Roman" w:eastAsia="Times New Roman" w:cs="Times New Roman"/>
          <w:sz w:val="24"/>
        </w:rPr>
        <w:t xml:space="preserve"> 2</w:t>
      </w:r>
      <w:r>
        <w:rPr>
          <w:rFonts w:hint="eastAsia" w:ascii="宋体" w:hAnsi="宋体" w:eastAsia="宋体" w:cs="宋体"/>
          <w:sz w:val="24"/>
        </w:rPr>
        <w:t>个月内完成股利（股份）的派发事项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1-1-323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本次发行前滚存利润的分配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根据</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8</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25</w:t>
      </w:r>
      <w:r>
        <w:rPr>
          <w:rFonts w:hint="eastAsia" w:ascii="宋体" w:hAnsi="宋体" w:eastAsia="宋体" w:cs="宋体"/>
          <w:sz w:val="24"/>
        </w:rPr>
        <w:t xml:space="preserve"> 日公司</w:t>
      </w:r>
      <w:r>
        <w:rPr>
          <w:rFonts w:hint="eastAsia" w:ascii="Times New Roman" w:hAnsi="Times New Roman" w:eastAsia="Times New Roman" w:cs="Times New Roman"/>
          <w:sz w:val="24"/>
        </w:rPr>
        <w:t xml:space="preserve"> 2015</w:t>
      </w:r>
      <w:r>
        <w:rPr>
          <w:rFonts w:hint="eastAsia" w:ascii="宋体" w:hAnsi="宋体" w:eastAsia="宋体" w:cs="宋体"/>
          <w:sz w:val="24"/>
        </w:rPr>
        <w:t xml:space="preserve"> 年第五次临时股东大会的决议</w:t>
      </w:r>
      <w:r>
        <w:rPr>
          <w:rFonts w:hint="eastAsia" w:ascii="宋体" w:hAnsi="宋体" w:eastAsia="宋体" w:cs="宋体"/>
          <w:sz w:val="10"/>
        </w:rPr>
        <w:t>，</w:t>
      </w:r>
      <w:r>
        <w:rPr>
          <w:rFonts w:hint="eastAsia" w:ascii="宋体" w:hAnsi="宋体" w:eastAsia="宋体" w:cs="宋体"/>
          <w:sz w:val="24"/>
        </w:rPr>
        <w:t>公司发行前滚存利润的分配方案为</w:t>
      </w:r>
      <w:r>
        <w:rPr>
          <w:rFonts w:hint="eastAsia" w:ascii="宋体" w:hAnsi="宋体" w:eastAsia="宋体" w:cs="宋体"/>
          <w:sz w:val="10"/>
        </w:rPr>
        <w:t>：</w:t>
      </w:r>
      <w:r>
        <w:rPr>
          <w:rFonts w:hint="eastAsia" w:ascii="宋体" w:hAnsi="宋体" w:eastAsia="宋体" w:cs="宋体"/>
          <w:sz w:val="24"/>
        </w:rPr>
        <w:t>在本次发行完成后</w:t>
      </w:r>
      <w:r>
        <w:rPr>
          <w:rFonts w:hint="eastAsia" w:ascii="宋体" w:hAnsi="宋体" w:eastAsia="宋体" w:cs="宋体"/>
          <w:sz w:val="10"/>
        </w:rPr>
        <w:t>，</w:t>
      </w:r>
      <w:r>
        <w:rPr>
          <w:rFonts w:hint="eastAsia" w:ascii="宋体" w:hAnsi="宋体" w:eastAsia="宋体" w:cs="宋体"/>
          <w:sz w:val="24"/>
        </w:rPr>
        <w:t>由公司本次发行股票后登记在册的所有股东共享公司在本次发行当年实现的利润以及以前年度利润分配完成后滚存的未分配利润</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20" w:lineRule="exact"/>
        <w:ind w:left="5620"/>
        <w:jc w:val="both"/>
      </w:pPr>
      <w:r>
        <w:rPr>
          <w:rFonts w:hint="eastAsia" w:ascii="Times New Roman" w:hAnsi="Times New Roman" w:eastAsia="Times New Roman" w:cs="Times New Roman"/>
          <w:sz w:val="21"/>
        </w:rPr>
        <w:t>1-1-324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4060"/>
        <w:jc w:val="both"/>
      </w:pPr>
      <w:r>
        <w:rPr>
          <w:rFonts w:hint="eastAsia" w:ascii="ºÚÌå" w:hAnsi="ºÚÌå" w:eastAsia="ºÚÌå" w:cs="ºÚÌå"/>
          <w:b/>
          <w:sz w:val="36"/>
        </w:rPr>
        <w:t>第十五节</w:t>
      </w:r>
      <w:r>
        <w:rPr>
          <w:rFonts w:hint="eastAsia" w:ascii="ºÚÌå" w:hAnsi="ºÚÌå" w:eastAsia="ºÚÌå" w:cs="ºÚÌå"/>
          <w:b/>
          <w:sz w:val="36"/>
        </w:rPr>
        <w:t xml:space="preserve"> </w:t>
      </w:r>
      <w:r>
        <w:rPr>
          <w:rFonts w:hint="eastAsia" w:ascii="ºÚÌå" w:hAnsi="ºÚÌå" w:eastAsia="ºÚÌå" w:cs="ºÚÌå"/>
          <w:b/>
          <w:sz w:val="36"/>
        </w:rPr>
        <w:t>其他重要事项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6"/>
        </w:rPr>
        <w:t>一、</w:t>
      </w:r>
      <w:r>
        <w:rPr>
          <w:rFonts w:hint="eastAsia" w:ascii="ºÚÌå" w:hAnsi="ºÚÌå" w:eastAsia="ºÚÌå" w:cs="ºÚÌå"/>
          <w:sz w:val="30"/>
        </w:rPr>
        <w:t>信息披露制度及投资者服务计划</w:t>
      </w: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宋体" w:hAnsi="宋体" w:eastAsia="宋体" w:cs="宋体"/>
          <w:b/>
          <w:sz w:val="30"/>
        </w:rPr>
        <w:t>（一）</w:t>
      </w:r>
      <w:r>
        <w:rPr>
          <w:rFonts w:hint="eastAsia" w:ascii="宋体" w:hAnsi="宋体" w:eastAsia="宋体" w:cs="宋体"/>
          <w:b/>
          <w:sz w:val="24"/>
        </w:rPr>
        <w:t>信息披露制度</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宋体" w:hAnsi="宋体" w:eastAsia="宋体" w:cs="宋体"/>
          <w:sz w:val="24"/>
        </w:rPr>
        <w:t>此次公开发行股票上市后</w:t>
      </w:r>
      <w:r>
        <w:rPr>
          <w:rFonts w:hint="eastAsia" w:ascii="宋体" w:hAnsi="宋体" w:eastAsia="宋体" w:cs="宋体"/>
          <w:sz w:val="10"/>
        </w:rPr>
        <w:t>，</w:t>
      </w:r>
      <w:r>
        <w:rPr>
          <w:rFonts w:hint="eastAsia" w:ascii="宋体" w:hAnsi="宋体" w:eastAsia="宋体" w:cs="宋体"/>
          <w:sz w:val="24"/>
        </w:rPr>
        <w:t>公司将按照《公司法》、《</w:t>
      </w:r>
      <w:r>
        <w:rPr>
          <w:rFonts w:hint="eastAsia" w:ascii="宋体" w:hAnsi="宋体" w:eastAsia="宋体" w:cs="宋体"/>
          <w:sz w:val="24"/>
        </w:rPr>
        <w:t>证券法》、</w:t>
      </w:r>
      <w:r>
        <w:rPr>
          <w:rFonts w:hint="eastAsia" w:ascii="宋体" w:hAnsi="宋体" w:eastAsia="宋体" w:cs="宋体"/>
          <w:sz w:val="24"/>
        </w:rPr>
        <w:t>证券交易所的信息披露规则等法律法规以及《公司章程》、《</w:t>
      </w:r>
      <w:r>
        <w:rPr>
          <w:rFonts w:hint="eastAsia" w:ascii="宋体" w:hAnsi="宋体" w:eastAsia="宋体" w:cs="宋体"/>
          <w:sz w:val="24"/>
        </w:rPr>
        <w:t>信息披露事务管理制度》的规定</w:t>
      </w:r>
      <w:r>
        <w:rPr>
          <w:rFonts w:hint="eastAsia" w:ascii="宋体" w:hAnsi="宋体" w:eastAsia="宋体" w:cs="宋体"/>
          <w:sz w:val="10"/>
        </w:rPr>
        <w:t>，</w:t>
      </w:r>
      <w:r>
        <w:rPr>
          <w:rFonts w:hint="eastAsia" w:ascii="宋体" w:hAnsi="宋体" w:eastAsia="宋体" w:cs="宋体"/>
          <w:sz w:val="24"/>
        </w:rPr>
        <w:t>认真履行信息披露义务</w:t>
      </w:r>
      <w:r>
        <w:rPr>
          <w:rFonts w:hint="eastAsia" w:ascii="宋体" w:hAnsi="宋体" w:eastAsia="宋体" w:cs="宋体"/>
          <w:sz w:val="10"/>
        </w:rPr>
        <w:t>，</w:t>
      </w:r>
      <w:r>
        <w:rPr>
          <w:rFonts w:hint="eastAsia" w:ascii="宋体" w:hAnsi="宋体" w:eastAsia="宋体" w:cs="宋体"/>
          <w:sz w:val="24"/>
        </w:rPr>
        <w:t>及时公告公司在涉及重要生产经营</w:t>
      </w:r>
      <w:r>
        <w:rPr>
          <w:rFonts w:hint="eastAsia" w:ascii="宋体" w:hAnsi="宋体" w:eastAsia="宋体" w:cs="宋体"/>
          <w:sz w:val="10"/>
        </w:rPr>
        <w:t>、</w:t>
      </w:r>
      <w:r>
        <w:rPr>
          <w:rFonts w:hint="eastAsia" w:ascii="宋体" w:hAnsi="宋体" w:eastAsia="宋体" w:cs="宋体"/>
          <w:sz w:val="24"/>
        </w:rPr>
        <w:t>重大投资</w:t>
      </w:r>
      <w:r>
        <w:rPr>
          <w:rFonts w:hint="eastAsia" w:ascii="宋体" w:hAnsi="宋体" w:eastAsia="宋体" w:cs="宋体"/>
          <w:sz w:val="10"/>
        </w:rPr>
        <w:t>、</w:t>
      </w:r>
      <w:r>
        <w:rPr>
          <w:rFonts w:hint="eastAsia" w:ascii="宋体" w:hAnsi="宋体" w:eastAsia="宋体" w:cs="宋体"/>
          <w:sz w:val="24"/>
        </w:rPr>
        <w:t>重要财务决策等方面的事项</w:t>
      </w:r>
      <w:r>
        <w:rPr>
          <w:rFonts w:hint="eastAsia" w:ascii="宋体" w:hAnsi="宋体" w:eastAsia="宋体" w:cs="宋体"/>
          <w:sz w:val="10"/>
        </w:rPr>
        <w:t>，</w:t>
      </w:r>
      <w:r>
        <w:rPr>
          <w:rFonts w:hint="eastAsia" w:ascii="宋体" w:hAnsi="宋体" w:eastAsia="宋体" w:cs="宋体"/>
          <w:sz w:val="24"/>
        </w:rPr>
        <w:t>包括公布中报</w:t>
      </w:r>
      <w:r>
        <w:rPr>
          <w:rFonts w:hint="eastAsia" w:ascii="宋体" w:hAnsi="宋体" w:eastAsia="宋体" w:cs="宋体"/>
          <w:sz w:val="10"/>
        </w:rPr>
        <w:t>、</w:t>
      </w:r>
      <w:r>
        <w:rPr>
          <w:rFonts w:hint="eastAsia" w:ascii="宋体" w:hAnsi="宋体" w:eastAsia="宋体" w:cs="宋体"/>
          <w:sz w:val="24"/>
        </w:rPr>
        <w:t>年报</w:t>
      </w:r>
      <w:r>
        <w:rPr>
          <w:rFonts w:hint="eastAsia" w:ascii="宋体" w:hAnsi="宋体" w:eastAsia="宋体" w:cs="宋体"/>
          <w:sz w:val="10"/>
        </w:rPr>
        <w:t>、</w:t>
      </w:r>
      <w:r>
        <w:rPr>
          <w:rFonts w:hint="eastAsia" w:ascii="宋体" w:hAnsi="宋体" w:eastAsia="宋体" w:cs="宋体"/>
          <w:sz w:val="24"/>
        </w:rPr>
        <w:t>临时公告等</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（二）信息披露媒体</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right="1220" w:firstLine="480"/>
        <w:jc w:val="both"/>
      </w:pPr>
      <w:r>
        <w:rPr>
          <w:rFonts w:hint="eastAsia" w:ascii="宋体" w:hAnsi="宋体" w:eastAsia="宋体" w:cs="宋体"/>
          <w:sz w:val="24"/>
        </w:rPr>
        <w:t>公司将根据实际情况选定中国证监会指定的报刊作为公司信息披露的指定报刊</w:t>
      </w:r>
      <w:r>
        <w:rPr>
          <w:rFonts w:hint="eastAsia" w:ascii="宋体" w:hAnsi="宋体" w:eastAsia="宋体" w:cs="宋体"/>
          <w:sz w:val="10"/>
        </w:rPr>
        <w:t>，</w:t>
      </w:r>
      <w:r>
        <w:rPr>
          <w:rFonts w:hint="eastAsia" w:ascii="宋体" w:hAnsi="宋体" w:eastAsia="宋体" w:cs="宋体"/>
          <w:sz w:val="24"/>
        </w:rPr>
        <w:t>保证在其他公共传媒披露的信息不先于指定报纸</w:t>
      </w:r>
      <w:r>
        <w:rPr>
          <w:rFonts w:hint="eastAsia" w:ascii="宋体" w:hAnsi="宋体" w:eastAsia="宋体" w:cs="宋体"/>
          <w:sz w:val="10"/>
        </w:rPr>
        <w:t>，</w:t>
      </w:r>
      <w:r>
        <w:rPr>
          <w:rFonts w:hint="eastAsia" w:ascii="宋体" w:hAnsi="宋体" w:eastAsia="宋体" w:cs="宋体"/>
          <w:sz w:val="24"/>
        </w:rPr>
        <w:t>不以新闻发布或答记者问等形式代替公司的正式公告</w:t>
      </w:r>
      <w:r>
        <w:rPr>
          <w:rFonts w:hint="eastAsia" w:ascii="宋体" w:hAnsi="宋体" w:eastAsia="宋体" w:cs="宋体"/>
          <w:sz w:val="10"/>
        </w:rPr>
        <w:t>。</w:t>
      </w:r>
      <w:r>
        <w:rPr>
          <w:rFonts w:hint="eastAsia" w:ascii="宋体" w:hAnsi="宋体" w:eastAsia="宋体" w:cs="宋体"/>
          <w:sz w:val="24"/>
        </w:rPr>
        <w:t>公司公开披露的信息同时在交易所指定的网站披露</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440"/>
        <w:jc w:val="both"/>
      </w:pPr>
      <w:r>
        <w:rPr>
          <w:rFonts w:hint="eastAsia" w:ascii="宋体" w:hAnsi="宋体" w:eastAsia="宋体" w:cs="宋体"/>
          <w:b/>
          <w:sz w:val="24"/>
        </w:rPr>
        <w:t>（三）信息披露部门及人员</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宋体" w:hAnsi="宋体" w:eastAsia="宋体" w:cs="宋体"/>
          <w:sz w:val="24"/>
        </w:rPr>
        <w:t>公司董事会秘书赵伟全面负责公司日常信息披露</w:t>
      </w:r>
      <w:r>
        <w:rPr>
          <w:rFonts w:hint="eastAsia" w:ascii="宋体" w:hAnsi="宋体" w:eastAsia="宋体" w:cs="宋体"/>
          <w:sz w:val="10"/>
        </w:rPr>
        <w:t>，</w:t>
      </w:r>
      <w:r>
        <w:rPr>
          <w:rFonts w:hint="eastAsia" w:ascii="宋体" w:hAnsi="宋体" w:eastAsia="宋体" w:cs="宋体"/>
          <w:sz w:val="24"/>
        </w:rPr>
        <w:t>加强与证券监管部门及证券交易所的联系</w:t>
      </w:r>
      <w:r>
        <w:rPr>
          <w:rFonts w:hint="eastAsia" w:ascii="宋体" w:hAnsi="宋体" w:eastAsia="宋体" w:cs="宋体"/>
          <w:sz w:val="10"/>
        </w:rPr>
        <w:t>，</w:t>
      </w:r>
      <w:r>
        <w:rPr>
          <w:rFonts w:hint="eastAsia" w:ascii="宋体" w:hAnsi="宋体" w:eastAsia="宋体" w:cs="宋体"/>
          <w:sz w:val="24"/>
        </w:rPr>
        <w:t>解答投资者的有关问题</w:t>
      </w:r>
      <w:r>
        <w:rPr>
          <w:rFonts w:hint="eastAsia" w:ascii="宋体" w:hAnsi="宋体" w:eastAsia="宋体" w:cs="宋体"/>
          <w:sz w:val="10"/>
        </w:rPr>
        <w:t>，</w:t>
      </w:r>
      <w:r>
        <w:rPr>
          <w:rFonts w:hint="eastAsia" w:ascii="宋体" w:hAnsi="宋体" w:eastAsia="宋体" w:cs="宋体"/>
          <w:sz w:val="24"/>
        </w:rPr>
        <w:t>电话</w:t>
      </w:r>
      <w:r>
        <w:rPr>
          <w:rFonts w:hint="eastAsia" w:ascii="宋体" w:hAnsi="宋体" w:eastAsia="宋体" w:cs="宋体"/>
          <w:sz w:val="10"/>
        </w:rPr>
        <w:t>：</w:t>
      </w:r>
      <w:r>
        <w:rPr>
          <w:rFonts w:hint="eastAsia" w:ascii="Times New Roman" w:hAnsi="Times New Roman" w:eastAsia="Times New Roman" w:cs="Times New Roman"/>
          <w:sz w:val="24"/>
        </w:rPr>
        <w:t>0591-8826 7679</w:t>
      </w:r>
      <w:r>
        <w:rPr>
          <w:rFonts w:hint="eastAsia" w:ascii="宋体" w:hAnsi="宋体" w:eastAsia="宋体" w:cs="宋体"/>
          <w:sz w:val="10"/>
        </w:rPr>
        <w:t>，</w:t>
      </w:r>
      <w:r>
        <w:rPr>
          <w:rFonts w:hint="eastAsia" w:ascii="宋体" w:hAnsi="宋体" w:eastAsia="宋体" w:cs="宋体"/>
          <w:sz w:val="24"/>
        </w:rPr>
        <w:t>传真</w:t>
      </w:r>
      <w:r>
        <w:rPr>
          <w:rFonts w:hint="eastAsia" w:ascii="宋体" w:hAnsi="宋体" w:eastAsia="宋体" w:cs="宋体"/>
          <w:sz w:val="10"/>
        </w:rPr>
        <w:t>：</w:t>
      </w:r>
      <w:r>
        <w:rPr>
          <w:rFonts w:hint="eastAsia" w:ascii="Times New Roman" w:hAnsi="Times New Roman" w:eastAsia="Times New Roman" w:cs="Times New Roman"/>
          <w:sz w:val="24"/>
        </w:rPr>
        <w:t>0591-8786 1155</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24"/>
        </w:rPr>
        <w:t>（四）投资者服务计划</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192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对投资者普遍关心的问题</w:t>
      </w:r>
      <w:r>
        <w:rPr>
          <w:rFonts w:hint="eastAsia" w:ascii="宋体" w:hAnsi="宋体" w:eastAsia="宋体" w:cs="宋体"/>
          <w:sz w:val="10"/>
        </w:rPr>
        <w:t>，</w:t>
      </w:r>
      <w:r>
        <w:rPr>
          <w:rFonts w:hint="eastAsia" w:ascii="宋体" w:hAnsi="宋体" w:eastAsia="宋体" w:cs="宋体"/>
          <w:sz w:val="24"/>
        </w:rPr>
        <w:t>公司将书面给予及时解答并在有关指定报刊上公布</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公司将在适当时机</w:t>
      </w:r>
      <w:r>
        <w:rPr>
          <w:rFonts w:hint="eastAsia" w:ascii="宋体" w:hAnsi="宋体" w:eastAsia="宋体" w:cs="宋体"/>
          <w:sz w:val="10"/>
        </w:rPr>
        <w:t>，</w:t>
      </w:r>
      <w:r>
        <w:rPr>
          <w:rFonts w:hint="eastAsia" w:ascii="宋体" w:hAnsi="宋体" w:eastAsia="宋体" w:cs="宋体"/>
          <w:sz w:val="24"/>
        </w:rPr>
        <w:t>如年度报告公布时</w:t>
      </w:r>
      <w:r>
        <w:rPr>
          <w:rFonts w:hint="eastAsia" w:ascii="宋体" w:hAnsi="宋体" w:eastAsia="宋体" w:cs="宋体"/>
          <w:sz w:val="10"/>
        </w:rPr>
        <w:t>，</w:t>
      </w:r>
      <w:r>
        <w:rPr>
          <w:rFonts w:hint="eastAsia" w:ascii="宋体" w:hAnsi="宋体" w:eastAsia="宋体" w:cs="宋体"/>
          <w:sz w:val="24"/>
        </w:rPr>
        <w:t>安排公司有关人员以咨询电话或网络的形式回答投资者的咨询</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3</w:t>
      </w:r>
      <w:r>
        <w:rPr>
          <w:rFonts w:hint="eastAsia" w:ascii="宋体" w:hAnsi="宋体" w:eastAsia="宋体" w:cs="宋体"/>
          <w:sz w:val="10"/>
        </w:rPr>
        <w:t>、</w:t>
      </w:r>
      <w:r>
        <w:rPr>
          <w:rFonts w:hint="eastAsia" w:ascii="宋体" w:hAnsi="宋体" w:eastAsia="宋体" w:cs="宋体"/>
          <w:sz w:val="24"/>
        </w:rPr>
        <w:t>在发行上市</w:t>
      </w:r>
      <w:r>
        <w:rPr>
          <w:rFonts w:hint="eastAsia" w:ascii="宋体" w:hAnsi="宋体" w:eastAsia="宋体" w:cs="宋体"/>
          <w:sz w:val="10"/>
        </w:rPr>
        <w:t>、</w:t>
      </w:r>
      <w:r>
        <w:rPr>
          <w:rFonts w:hint="eastAsia" w:ascii="宋体" w:hAnsi="宋体" w:eastAsia="宋体" w:cs="宋体"/>
          <w:sz w:val="24"/>
        </w:rPr>
        <w:t>重大投资</w:t>
      </w:r>
      <w:r>
        <w:rPr>
          <w:rFonts w:hint="eastAsia" w:ascii="宋体" w:hAnsi="宋体" w:eastAsia="宋体" w:cs="宋体"/>
          <w:sz w:val="10"/>
        </w:rPr>
        <w:t>、</w:t>
      </w:r>
      <w:r>
        <w:rPr>
          <w:rFonts w:hint="eastAsia" w:ascii="宋体" w:hAnsi="宋体" w:eastAsia="宋体" w:cs="宋体"/>
          <w:sz w:val="24"/>
        </w:rPr>
        <w:t>重大重组等事件发生时</w:t>
      </w:r>
      <w:r>
        <w:rPr>
          <w:rFonts w:hint="eastAsia" w:ascii="宋体" w:hAnsi="宋体" w:eastAsia="宋体" w:cs="宋体"/>
          <w:sz w:val="10"/>
        </w:rPr>
        <w:t>，</w:t>
      </w:r>
      <w:r>
        <w:rPr>
          <w:rFonts w:hint="eastAsia" w:ascii="宋体" w:hAnsi="宋体" w:eastAsia="宋体" w:cs="宋体"/>
          <w:sz w:val="24"/>
        </w:rPr>
        <w:t>除履行法定的信息披露义务外</w:t>
      </w:r>
      <w:r>
        <w:rPr>
          <w:rFonts w:hint="eastAsia" w:ascii="宋体" w:hAnsi="宋体" w:eastAsia="宋体" w:cs="宋体"/>
          <w:sz w:val="10"/>
        </w:rPr>
        <w:t>，</w:t>
      </w:r>
      <w:r>
        <w:rPr>
          <w:rFonts w:hint="eastAsia" w:ascii="宋体" w:hAnsi="宋体" w:eastAsia="宋体" w:cs="宋体"/>
          <w:sz w:val="24"/>
        </w:rPr>
        <w:t>公司将选择路演</w:t>
      </w:r>
      <w:r>
        <w:rPr>
          <w:rFonts w:hint="eastAsia" w:ascii="宋体" w:hAnsi="宋体" w:eastAsia="宋体" w:cs="宋体"/>
          <w:sz w:val="10"/>
        </w:rPr>
        <w:t>、</w:t>
      </w:r>
      <w:r>
        <w:rPr>
          <w:rFonts w:hint="eastAsia" w:ascii="宋体" w:hAnsi="宋体" w:eastAsia="宋体" w:cs="宋体"/>
          <w:sz w:val="24"/>
        </w:rPr>
        <w:t>新闻发布会等形式为投资者服务</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40" w:firstLine="480"/>
        <w:jc w:val="both"/>
      </w:pPr>
      <w:r>
        <w:rPr>
          <w:rFonts w:hint="eastAsia" w:ascii="Times New Roman" w:hAnsi="Times New Roman" w:eastAsia="Times New Roman" w:cs="Times New Roman"/>
          <w:sz w:val="24"/>
        </w:rPr>
        <w:t>4</w:t>
      </w:r>
      <w:r>
        <w:rPr>
          <w:rFonts w:hint="eastAsia" w:ascii="宋体" w:hAnsi="宋体" w:eastAsia="宋体" w:cs="宋体"/>
          <w:sz w:val="10"/>
        </w:rPr>
        <w:t>、</w:t>
      </w:r>
      <w:r>
        <w:rPr>
          <w:rFonts w:hint="eastAsia" w:ascii="宋体" w:hAnsi="宋体" w:eastAsia="宋体" w:cs="宋体"/>
          <w:sz w:val="24"/>
        </w:rPr>
        <w:t>公司将按规定在交易所</w:t>
      </w:r>
      <w:r>
        <w:rPr>
          <w:rFonts w:hint="eastAsia" w:ascii="宋体" w:hAnsi="宋体" w:eastAsia="宋体" w:cs="宋体"/>
          <w:sz w:val="10"/>
        </w:rPr>
        <w:t>、</w:t>
      </w:r>
      <w:r>
        <w:rPr>
          <w:rFonts w:hint="eastAsia" w:ascii="宋体" w:hAnsi="宋体" w:eastAsia="宋体" w:cs="宋体"/>
          <w:sz w:val="24"/>
        </w:rPr>
        <w:t>公司</w:t>
      </w:r>
      <w:r>
        <w:rPr>
          <w:rFonts w:hint="eastAsia" w:ascii="宋体" w:hAnsi="宋体" w:eastAsia="宋体" w:cs="宋体"/>
          <w:sz w:val="10"/>
        </w:rPr>
        <w:t>、</w:t>
      </w:r>
      <w:r>
        <w:rPr>
          <w:rFonts w:hint="eastAsia" w:ascii="宋体" w:hAnsi="宋体" w:eastAsia="宋体" w:cs="宋体"/>
          <w:sz w:val="24"/>
        </w:rPr>
        <w:t>保荐机构（主承销商）办公场所置备有关发行的所有文件供投资者查阅</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1-1-325</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1440"/>
        <w:jc w:val="both"/>
      </w:pPr>
      <w:r>
        <w:rPr>
          <w:rFonts w:hint="eastAsia" w:ascii="ºÚÌå" w:hAnsi="ºÚÌå" w:eastAsia="ºÚÌå" w:cs="ºÚÌå"/>
          <w:sz w:val="20"/>
        </w:rPr>
        <w:t>二、</w:t>
      </w:r>
      <w:r>
        <w:rPr>
          <w:rFonts w:hint="eastAsia" w:ascii="ºÚÌå" w:hAnsi="ºÚÌå" w:eastAsia="ºÚÌå" w:cs="ºÚÌå"/>
          <w:sz w:val="30"/>
        </w:rPr>
        <w:t>重要合同</w:t>
      </w:r>
    </w:p>
    <w:p>
      <w:pPr>
        <w:spacing w:line="200" w:lineRule="exact"/>
        <w:rPr>
          <w:rFonts w:hint="eastAsia" w:ascii="宋体" w:hAnsi="宋体" w:eastAsia="宋体" w:cs="宋体"/>
          <w:sz w:val="20"/>
        </w:rPr>
      </w:pPr>
    </w:p>
    <w:p>
      <w:pPr>
        <w:autoSpaceDE w:val="false"/>
        <w:autoSpaceDN w:val="false"/>
        <w:spacing w:line="480" w:lineRule="exact"/>
        <w:ind w:left="1920"/>
        <w:jc w:val="both"/>
      </w:pPr>
      <w:r>
        <w:rPr>
          <w:rFonts w:hint="eastAsia" w:ascii="宋体" w:hAnsi="宋体" w:eastAsia="宋体" w:cs="宋体"/>
          <w:b/>
          <w:sz w:val="30"/>
        </w:rPr>
        <w:t>（一）</w:t>
      </w:r>
      <w:r>
        <w:rPr>
          <w:rFonts w:hint="eastAsia" w:ascii="宋体" w:hAnsi="宋体" w:eastAsia="宋体" w:cs="宋体"/>
          <w:b/>
          <w:sz w:val="24"/>
        </w:rPr>
        <w:t>战略合作协议</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6</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发行人与东吴证券签署《战略开发合作协议》，</w:t>
      </w:r>
      <w:r>
        <w:rPr>
          <w:rFonts w:hint="eastAsia" w:ascii="宋体" w:hAnsi="宋体" w:eastAsia="宋体" w:cs="宋体"/>
          <w:sz w:val="24"/>
        </w:rPr>
        <w:t>协议约定双方充分利用各自的专业优势</w:t>
      </w:r>
      <w:r>
        <w:rPr>
          <w:rFonts w:hint="eastAsia" w:ascii="宋体" w:hAnsi="宋体" w:eastAsia="宋体" w:cs="宋体"/>
          <w:sz w:val="10"/>
        </w:rPr>
        <w:t>，</w:t>
      </w:r>
      <w:r>
        <w:rPr>
          <w:rFonts w:hint="eastAsia" w:ascii="宋体" w:hAnsi="宋体" w:eastAsia="宋体" w:cs="宋体"/>
          <w:sz w:val="24"/>
        </w:rPr>
        <w:t>通过紧密合作</w:t>
      </w:r>
      <w:r>
        <w:rPr>
          <w:rFonts w:hint="eastAsia" w:ascii="宋体" w:hAnsi="宋体" w:eastAsia="宋体" w:cs="宋体"/>
          <w:sz w:val="10"/>
        </w:rPr>
        <w:t>，</w:t>
      </w:r>
      <w:r>
        <w:rPr>
          <w:rFonts w:hint="eastAsia" w:ascii="宋体" w:hAnsi="宋体" w:eastAsia="宋体" w:cs="宋体"/>
          <w:sz w:val="24"/>
        </w:rPr>
        <w:t>建立全面战略开发合作关系</w:t>
      </w:r>
      <w:r>
        <w:rPr>
          <w:rFonts w:hint="eastAsia" w:ascii="宋体" w:hAnsi="宋体" w:eastAsia="宋体" w:cs="宋体"/>
          <w:sz w:val="10"/>
        </w:rPr>
        <w:t>，</w:t>
      </w:r>
      <w:r>
        <w:rPr>
          <w:rFonts w:hint="eastAsia" w:ascii="宋体" w:hAnsi="宋体" w:eastAsia="宋体" w:cs="宋体"/>
          <w:sz w:val="24"/>
        </w:rPr>
        <w:t>为双方业务发展提供支持</w:t>
      </w:r>
      <w:r>
        <w:rPr>
          <w:rFonts w:hint="eastAsia" w:ascii="宋体" w:hAnsi="宋体" w:eastAsia="宋体" w:cs="宋体"/>
          <w:sz w:val="10"/>
        </w:rPr>
        <w:t>，</w:t>
      </w:r>
      <w:r>
        <w:rPr>
          <w:rFonts w:hint="eastAsia" w:ascii="宋体" w:hAnsi="宋体" w:eastAsia="宋体" w:cs="宋体"/>
          <w:sz w:val="24"/>
        </w:rPr>
        <w:t>实现互惠互利</w:t>
      </w:r>
      <w:r>
        <w:rPr>
          <w:rFonts w:hint="eastAsia" w:ascii="宋体" w:hAnsi="宋体" w:eastAsia="宋体" w:cs="宋体"/>
          <w:sz w:val="14"/>
        </w:rPr>
        <w:t>；</w:t>
      </w:r>
      <w:r>
        <w:rPr>
          <w:rFonts w:hint="eastAsia" w:ascii="宋体" w:hAnsi="宋体" w:eastAsia="宋体" w:cs="宋体"/>
          <w:sz w:val="24"/>
        </w:rPr>
        <w:t>协议有效期为</w:t>
      </w:r>
      <w:r>
        <w:rPr>
          <w:rFonts w:hint="eastAsia" w:ascii="Times New Roman" w:hAnsi="Times New Roman" w:eastAsia="Times New Roman" w:cs="Times New Roman"/>
          <w:sz w:val="24"/>
        </w:rPr>
        <w:t xml:space="preserve"> 3</w:t>
      </w:r>
      <w:r>
        <w:rPr>
          <w:rFonts w:hint="eastAsia" w:ascii="宋体" w:hAnsi="宋体" w:eastAsia="宋体" w:cs="宋体"/>
          <w:sz w:val="24"/>
        </w:rPr>
        <w:t xml:space="preserve"> 年</w:t>
      </w:r>
      <w:r>
        <w:rPr>
          <w:rFonts w:hint="eastAsia" w:ascii="宋体" w:hAnsi="宋体" w:eastAsia="宋体" w:cs="宋体"/>
          <w:sz w:val="14"/>
        </w:rPr>
        <w:t>；</w:t>
      </w:r>
      <w:r>
        <w:rPr>
          <w:rFonts w:hint="eastAsia" w:ascii="宋体" w:hAnsi="宋体" w:eastAsia="宋体" w:cs="宋体"/>
          <w:sz w:val="24"/>
        </w:rPr>
        <w:t>如遇国家重大政策调整</w:t>
      </w:r>
      <w:r>
        <w:rPr>
          <w:rFonts w:hint="eastAsia" w:ascii="宋体" w:hAnsi="宋体" w:eastAsia="宋体" w:cs="宋体"/>
          <w:sz w:val="10"/>
        </w:rPr>
        <w:t>，</w:t>
      </w:r>
      <w:r>
        <w:rPr>
          <w:rFonts w:hint="eastAsia" w:ascii="宋体" w:hAnsi="宋体" w:eastAsia="宋体" w:cs="宋体"/>
          <w:sz w:val="24"/>
        </w:rPr>
        <w:t>无法按照现行方式继续合作</w:t>
      </w:r>
      <w:r>
        <w:rPr>
          <w:rFonts w:hint="eastAsia" w:ascii="宋体" w:hAnsi="宋体" w:eastAsia="宋体" w:cs="宋体"/>
          <w:sz w:val="10"/>
        </w:rPr>
        <w:t>，</w:t>
      </w:r>
      <w:r>
        <w:rPr>
          <w:rFonts w:hint="eastAsia" w:ascii="宋体" w:hAnsi="宋体" w:eastAsia="宋体" w:cs="宋体"/>
          <w:sz w:val="24"/>
        </w:rPr>
        <w:t>双方应根据实际情况对有关合作事宜进行调整</w:t>
      </w:r>
      <w:r>
        <w:rPr>
          <w:rFonts w:hint="eastAsia" w:ascii="宋体" w:hAnsi="宋体" w:eastAsia="宋体" w:cs="宋体"/>
          <w:sz w:val="10"/>
        </w:rPr>
        <w:t>，</w:t>
      </w:r>
      <w:r>
        <w:rPr>
          <w:rFonts w:hint="eastAsia" w:ascii="宋体" w:hAnsi="宋体" w:eastAsia="宋体" w:cs="宋体"/>
          <w:sz w:val="24"/>
        </w:rPr>
        <w:t>并签订补充协议</w:t>
      </w:r>
      <w:r>
        <w:rPr>
          <w:rFonts w:hint="eastAsia" w:ascii="宋体" w:hAnsi="宋体" w:eastAsia="宋体" w:cs="宋体"/>
          <w:sz w:val="12"/>
        </w:rPr>
        <w:t>；</w:t>
      </w:r>
      <w:r>
        <w:rPr>
          <w:rFonts w:hint="eastAsia" w:ascii="宋体" w:hAnsi="宋体" w:eastAsia="宋体" w:cs="宋体"/>
          <w:sz w:val="24"/>
        </w:rPr>
        <w:t>可以通过提前发出书面通知的方式终止协议</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发行人与中信证券签署《</w:t>
      </w:r>
      <w:r>
        <w:rPr>
          <w:rFonts w:hint="eastAsia" w:ascii="Times New Roman" w:hAnsi="Times New Roman" w:eastAsia="Times New Roman" w:cs="Times New Roman"/>
          <w:sz w:val="24"/>
        </w:rPr>
        <w:t>IT</w:t>
      </w:r>
      <w:r>
        <w:rPr>
          <w:rFonts w:hint="eastAsia" w:ascii="宋体" w:hAnsi="宋体" w:eastAsia="宋体" w:cs="宋体"/>
          <w:sz w:val="24"/>
        </w:rPr>
        <w:t xml:space="preserve"> 战略合作协议》。</w:t>
      </w:r>
      <w:r>
        <w:rPr>
          <w:rFonts w:hint="eastAsia" w:ascii="宋体" w:hAnsi="宋体" w:eastAsia="宋体" w:cs="宋体"/>
          <w:sz w:val="24"/>
        </w:rPr>
        <w:t>协议约定</w:t>
      </w:r>
      <w:r>
        <w:rPr>
          <w:rFonts w:hint="eastAsia" w:ascii="宋体" w:hAnsi="宋体" w:eastAsia="宋体" w:cs="宋体"/>
          <w:sz w:val="12"/>
        </w:rPr>
        <w:t>：</w:t>
      </w:r>
      <w:r>
        <w:rPr>
          <w:rFonts w:hint="eastAsia" w:ascii="宋体" w:hAnsi="宋体" w:eastAsia="宋体" w:cs="宋体"/>
          <w:sz w:val="24"/>
        </w:rPr>
        <w:t>在技术领先的前提下</w:t>
      </w:r>
      <w:r>
        <w:rPr>
          <w:rFonts w:hint="eastAsia" w:ascii="宋体" w:hAnsi="宋体" w:eastAsia="宋体" w:cs="宋体"/>
          <w:sz w:val="10"/>
        </w:rPr>
        <w:t>，</w:t>
      </w:r>
      <w:r>
        <w:rPr>
          <w:rFonts w:hint="eastAsia" w:ascii="宋体" w:hAnsi="宋体" w:eastAsia="宋体" w:cs="宋体"/>
          <w:sz w:val="24"/>
        </w:rPr>
        <w:t>中信证券优先选择发行人作为核心应用软件及服务供应商</w:t>
      </w:r>
      <w:r>
        <w:rPr>
          <w:rFonts w:hint="eastAsia" w:ascii="宋体" w:hAnsi="宋体" w:eastAsia="宋体" w:cs="宋体"/>
          <w:sz w:val="12"/>
        </w:rPr>
        <w:t>；</w:t>
      </w:r>
      <w:r>
        <w:rPr>
          <w:rFonts w:hint="eastAsia" w:ascii="宋体" w:hAnsi="宋体" w:eastAsia="宋体" w:cs="宋体"/>
          <w:sz w:val="24"/>
        </w:rPr>
        <w:t>发行人为中信证券提供最及时的服务和最优质的产品</w:t>
      </w:r>
      <w:r>
        <w:rPr>
          <w:rFonts w:hint="eastAsia" w:ascii="宋体" w:hAnsi="宋体" w:eastAsia="宋体" w:cs="宋体"/>
          <w:sz w:val="12"/>
        </w:rPr>
        <w:t>；</w:t>
      </w:r>
      <w:r>
        <w:rPr>
          <w:rFonts w:hint="eastAsia" w:ascii="宋体" w:hAnsi="宋体" w:eastAsia="宋体" w:cs="宋体"/>
          <w:sz w:val="24"/>
        </w:rPr>
        <w:t>双方合作期限为</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年</w:t>
      </w:r>
      <w:r>
        <w:rPr>
          <w:rFonts w:hint="eastAsia" w:ascii="宋体" w:hAnsi="宋体" w:eastAsia="宋体" w:cs="宋体"/>
          <w:sz w:val="12"/>
        </w:rPr>
        <w:t>；</w:t>
      </w:r>
      <w:r>
        <w:rPr>
          <w:rFonts w:hint="eastAsia" w:ascii="宋体" w:hAnsi="宋体" w:eastAsia="宋体" w:cs="宋体"/>
          <w:sz w:val="24"/>
        </w:rPr>
        <w:t>任意一方可以通过书面方式提出修改协议的建议</w:t>
      </w:r>
      <w:r>
        <w:rPr>
          <w:rFonts w:hint="eastAsia" w:ascii="宋体" w:hAnsi="宋体" w:eastAsia="宋体" w:cs="宋体"/>
          <w:sz w:val="10"/>
        </w:rPr>
        <w:t>，</w:t>
      </w:r>
      <w:r>
        <w:rPr>
          <w:rFonts w:hint="eastAsia" w:ascii="宋体" w:hAnsi="宋体" w:eastAsia="宋体" w:cs="宋体"/>
          <w:sz w:val="24"/>
        </w:rPr>
        <w:t>可以通过提前发出书面通知的方式终止协议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b/>
          <w:sz w:val="24"/>
        </w:rPr>
        <w:t>（二）主要销售合同</w:t>
      </w:r>
    </w:p>
    <w:p>
      <w:pPr>
        <w:spacing w:line="200" w:lineRule="exact"/>
        <w:rPr>
          <w:rFonts w:hint="eastAsia" w:ascii="宋体" w:hAnsi="宋体" w:eastAsia="宋体" w:cs="宋体"/>
          <w:sz w:val="20"/>
        </w:rPr>
      </w:pPr>
    </w:p>
    <w:p>
      <w:pPr>
        <w:autoSpaceDE w:val="false"/>
        <w:autoSpaceDN w:val="false"/>
        <w:spacing w:line="440" w:lineRule="exact"/>
        <w:ind w:left="1440" w:right="1260" w:firstLine="480"/>
        <w:jc w:val="both"/>
      </w:pPr>
      <w:r>
        <w:rPr>
          <w:rFonts w:hint="eastAsia" w:ascii="宋体" w:hAnsi="宋体" w:eastAsia="宋体" w:cs="宋体"/>
          <w:sz w:val="24"/>
        </w:rPr>
        <w:t>截至</w:t>
      </w:r>
      <w:r>
        <w:rPr>
          <w:rFonts w:hint="eastAsia" w:ascii="Times New Roman" w:hAnsi="Times New Roman" w:eastAsia="Times New Roman" w:cs="Times New Roman"/>
          <w:sz w:val="24"/>
        </w:rPr>
        <w:t xml:space="preserve"> 2016</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月</w:t>
      </w:r>
      <w:r>
        <w:rPr>
          <w:rFonts w:hint="eastAsia" w:ascii="Times New Roman" w:hAnsi="Times New Roman" w:eastAsia="Times New Roman" w:cs="Times New Roman"/>
          <w:sz w:val="24"/>
        </w:rPr>
        <w:t xml:space="preserve"> 31</w:t>
      </w:r>
      <w:r>
        <w:rPr>
          <w:rFonts w:hint="eastAsia" w:ascii="宋体" w:hAnsi="宋体" w:eastAsia="宋体" w:cs="宋体"/>
          <w:sz w:val="24"/>
        </w:rPr>
        <w:t xml:space="preserve"> 日</w:t>
      </w:r>
      <w:r>
        <w:rPr>
          <w:rFonts w:hint="eastAsia" w:ascii="宋体" w:hAnsi="宋体" w:eastAsia="宋体" w:cs="宋体"/>
          <w:sz w:val="10"/>
        </w:rPr>
        <w:t>，</w:t>
      </w:r>
      <w:r>
        <w:rPr>
          <w:rFonts w:hint="eastAsia" w:ascii="宋体" w:hAnsi="宋体" w:eastAsia="宋体" w:cs="宋体"/>
          <w:sz w:val="24"/>
        </w:rPr>
        <w:t>公司正在履行的金额在</w:t>
      </w:r>
      <w:r>
        <w:rPr>
          <w:rFonts w:hint="eastAsia" w:ascii="Times New Roman" w:hAnsi="Times New Roman" w:eastAsia="Times New Roman" w:cs="Times New Roman"/>
          <w:sz w:val="24"/>
        </w:rPr>
        <w:t xml:space="preserve"> 500</w:t>
      </w:r>
      <w:r>
        <w:rPr>
          <w:rFonts w:hint="eastAsia" w:ascii="宋体" w:hAnsi="宋体" w:eastAsia="宋体" w:cs="宋体"/>
          <w:sz w:val="24"/>
        </w:rPr>
        <w:t xml:space="preserve"> 万元以上（含</w:t>
      </w:r>
      <w:r>
        <w:rPr>
          <w:rFonts w:hint="eastAsia" w:ascii="Times New Roman" w:hAnsi="Times New Roman" w:eastAsia="Times New Roman" w:cs="Times New Roman"/>
          <w:sz w:val="24"/>
        </w:rPr>
        <w:t xml:space="preserve"> 500</w:t>
      </w:r>
      <w:r>
        <w:rPr>
          <w:rFonts w:hint="eastAsia" w:ascii="宋体" w:hAnsi="宋体" w:eastAsia="宋体" w:cs="宋体"/>
          <w:sz w:val="24"/>
        </w:rPr>
        <w:t xml:space="preserve"> 万元）的合同如下</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40" w:lineRule="exact"/>
        <w:ind w:left="1440" w:right="1300" w:firstLine="480"/>
        <w:jc w:val="both"/>
      </w:pPr>
      <w:r>
        <w:rPr>
          <w:rFonts w:hint="eastAsia" w:ascii="Times New Roman" w:hAnsi="Times New Roman" w:eastAsia="Times New Roman" w:cs="Times New Roman"/>
          <w:sz w:val="24"/>
        </w:rPr>
        <w:t>2013</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发行人与南京交通职业技术学院签订《技术开发（委托）合同》，</w:t>
      </w:r>
      <w:r>
        <w:rPr>
          <w:rFonts w:hint="eastAsia" w:ascii="宋体" w:hAnsi="宋体" w:eastAsia="宋体" w:cs="宋体"/>
          <w:sz w:val="24"/>
        </w:rPr>
        <w:t>南京交通职业技术学院委托发行人研究开发</w:t>
      </w:r>
      <w:r>
        <w:rPr>
          <w:rFonts w:hint="eastAsia" w:ascii="宋体" w:hAnsi="宋体" w:eastAsia="宋体" w:cs="宋体"/>
          <w:sz w:val="10"/>
        </w:rPr>
        <w:t>“</w:t>
      </w:r>
      <w:r>
        <w:rPr>
          <w:rFonts w:hint="eastAsia" w:ascii="宋体" w:hAnsi="宋体" w:eastAsia="宋体" w:cs="宋体"/>
          <w:sz w:val="24"/>
        </w:rPr>
        <w:t>数字化校园平台和系统建设软件项目</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合同总价款</w:t>
      </w:r>
      <w:r>
        <w:rPr>
          <w:rFonts w:hint="eastAsia" w:ascii="Times New Roman" w:hAnsi="Times New Roman" w:eastAsia="Times New Roman" w:cs="Times New Roman"/>
          <w:sz w:val="24"/>
        </w:rPr>
        <w:t xml:space="preserve"> 519.95</w:t>
      </w:r>
      <w:r>
        <w:rPr>
          <w:rFonts w:hint="eastAsia" w:ascii="宋体" w:hAnsi="宋体" w:eastAsia="宋体" w:cs="宋体"/>
          <w:sz w:val="24"/>
        </w:rPr>
        <w:t xml:space="preserve"> 万元</w:t>
      </w:r>
      <w:r>
        <w:rPr>
          <w:rFonts w:hint="eastAsia" w:ascii="宋体" w:hAnsi="宋体" w:eastAsia="宋体" w:cs="宋体"/>
          <w:sz w:val="10"/>
        </w:rPr>
        <w:t>，</w:t>
      </w:r>
      <w:r>
        <w:rPr>
          <w:rFonts w:hint="eastAsia" w:ascii="宋体" w:hAnsi="宋体" w:eastAsia="宋体" w:cs="宋体"/>
          <w:sz w:val="24"/>
        </w:rPr>
        <w:t>合同有效期</w:t>
      </w:r>
      <w:r>
        <w:rPr>
          <w:rFonts w:hint="eastAsia" w:ascii="Times New Roman" w:hAnsi="Times New Roman" w:eastAsia="Times New Roman" w:cs="Times New Roman"/>
          <w:sz w:val="24"/>
        </w:rPr>
        <w:t xml:space="preserve"> 5</w:t>
      </w:r>
      <w:r>
        <w:rPr>
          <w:rFonts w:hint="eastAsia" w:ascii="宋体" w:hAnsi="宋体" w:eastAsia="宋体" w:cs="宋体"/>
          <w:sz w:val="24"/>
        </w:rPr>
        <w:t xml:space="preserve"> 年</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40" w:lineRule="exact"/>
        <w:ind w:left="1440" w:right="1220" w:firstLine="480"/>
        <w:jc w:val="both"/>
      </w:pPr>
      <w:r>
        <w:rPr>
          <w:rFonts w:hint="eastAsia" w:ascii="Times New Roman" w:hAnsi="Times New Roman" w:eastAsia="Times New Roman" w:cs="Times New Roman"/>
          <w:sz w:val="24"/>
        </w:rPr>
        <w:t>2015</w:t>
      </w:r>
      <w:r>
        <w:rPr>
          <w:rFonts w:hint="eastAsia" w:ascii="宋体" w:hAnsi="宋体" w:eastAsia="宋体" w:cs="宋体"/>
          <w:sz w:val="24"/>
        </w:rPr>
        <w:t xml:space="preserve"> 年</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月</w:t>
      </w:r>
      <w:r>
        <w:rPr>
          <w:rFonts w:hint="eastAsia" w:ascii="宋体" w:hAnsi="宋体" w:eastAsia="宋体" w:cs="宋体"/>
          <w:sz w:val="10"/>
        </w:rPr>
        <w:t>，</w:t>
      </w:r>
      <w:r>
        <w:rPr>
          <w:rFonts w:hint="eastAsia" w:ascii="宋体" w:hAnsi="宋体" w:eastAsia="宋体" w:cs="宋体"/>
          <w:sz w:val="24"/>
        </w:rPr>
        <w:t>发行人与东吴证券股份有限公司签订《技术开发（委托）合同》，</w:t>
      </w:r>
      <w:r>
        <w:rPr>
          <w:rFonts w:hint="eastAsia" w:ascii="宋体" w:hAnsi="宋体" w:eastAsia="宋体" w:cs="宋体"/>
          <w:sz w:val="24"/>
        </w:rPr>
        <w:t>东吴证券股份有限公司委托发行人研究开发</w:t>
      </w:r>
      <w:r>
        <w:rPr>
          <w:rFonts w:hint="eastAsia" w:ascii="宋体" w:hAnsi="宋体" w:eastAsia="宋体" w:cs="宋体"/>
          <w:sz w:val="10"/>
        </w:rPr>
        <w:t>“</w:t>
      </w:r>
      <w:r>
        <w:rPr>
          <w:rFonts w:hint="eastAsia" w:ascii="宋体" w:hAnsi="宋体" w:eastAsia="宋体" w:cs="宋体"/>
          <w:sz w:val="24"/>
        </w:rPr>
        <w:t>新</w:t>
      </w:r>
      <w:r>
        <w:rPr>
          <w:rFonts w:hint="eastAsia" w:ascii="宋体" w:hAnsi="宋体" w:eastAsia="宋体" w:cs="宋体"/>
          <w:sz w:val="10"/>
        </w:rPr>
        <w:t>一</w:t>
      </w:r>
      <w:r>
        <w:rPr>
          <w:rFonts w:hint="eastAsia" w:ascii="宋体" w:hAnsi="宋体" w:eastAsia="宋体" w:cs="宋体"/>
          <w:sz w:val="24"/>
        </w:rPr>
        <w:t>代交易系统</w:t>
      </w:r>
      <w:r>
        <w:rPr>
          <w:rFonts w:hint="eastAsia" w:ascii="宋体" w:hAnsi="宋体" w:eastAsia="宋体" w:cs="宋体"/>
          <w:sz w:val="10"/>
        </w:rPr>
        <w:t>”</w:t>
      </w:r>
      <w:r>
        <w:rPr>
          <w:rFonts w:hint="eastAsia" w:ascii="宋体" w:hAnsi="宋体" w:eastAsia="宋体" w:cs="宋体"/>
          <w:sz w:val="24"/>
        </w:rPr>
        <w:t>项目</w:t>
      </w:r>
      <w:r>
        <w:rPr>
          <w:rFonts w:hint="eastAsia" w:ascii="宋体" w:hAnsi="宋体" w:eastAsia="宋体" w:cs="宋体"/>
          <w:sz w:val="10"/>
        </w:rPr>
        <w:t>。</w:t>
      </w:r>
      <w:r>
        <w:rPr>
          <w:rFonts w:hint="eastAsia" w:ascii="宋体" w:hAnsi="宋体" w:eastAsia="宋体" w:cs="宋体"/>
          <w:sz w:val="24"/>
        </w:rPr>
        <w:t>合同总价款</w:t>
      </w:r>
      <w:r>
        <w:rPr>
          <w:rFonts w:hint="eastAsia" w:ascii="Times New Roman" w:hAnsi="Times New Roman" w:eastAsia="Times New Roman" w:cs="Times New Roman"/>
          <w:sz w:val="24"/>
        </w:rPr>
        <w:t>1,200</w:t>
      </w:r>
      <w:r>
        <w:rPr>
          <w:rFonts w:hint="eastAsia" w:ascii="宋体" w:hAnsi="宋体" w:eastAsia="宋体" w:cs="宋体"/>
          <w:sz w:val="24"/>
        </w:rPr>
        <w:t xml:space="preserve"> 万元</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60" w:lineRule="exact"/>
        <w:ind w:left="144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对外担保</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92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本公司不存在对外担保事项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60" w:lineRule="exact"/>
        <w:ind w:left="1440"/>
        <w:jc w:val="both"/>
      </w:pPr>
      <w:r>
        <w:rPr>
          <w:rFonts w:hint="eastAsia" w:ascii="ºÚÌå" w:hAnsi="ºÚÌå" w:eastAsia="ºÚÌå" w:cs="ºÚÌå"/>
          <w:sz w:val="30"/>
        </w:rPr>
        <w:t>四</w:t>
      </w:r>
      <w:r>
        <w:rPr>
          <w:rFonts w:hint="eastAsia" w:ascii="ºÚÌå" w:hAnsi="ºÚÌå" w:eastAsia="ºÚÌå" w:cs="ºÚÌå"/>
          <w:sz w:val="10"/>
        </w:rPr>
        <w:t>、</w:t>
      </w:r>
      <w:r>
        <w:rPr>
          <w:rFonts w:hint="eastAsia" w:ascii="ºÚÌå" w:hAnsi="ºÚÌå" w:eastAsia="ºÚÌå" w:cs="ºÚÌå"/>
          <w:sz w:val="30"/>
        </w:rPr>
        <w:t>重大诉讼或仲裁事项</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192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公司不存在对财务状况</w:t>
      </w:r>
      <w:r>
        <w:rPr>
          <w:rFonts w:hint="eastAsia" w:ascii="宋体" w:hAnsi="宋体" w:eastAsia="宋体" w:cs="宋体"/>
          <w:sz w:val="10"/>
        </w:rPr>
        <w:t>、</w:t>
      </w:r>
      <w:r>
        <w:rPr>
          <w:rFonts w:hint="eastAsia" w:ascii="宋体" w:hAnsi="宋体" w:eastAsia="宋体" w:cs="宋体"/>
          <w:sz w:val="24"/>
        </w:rPr>
        <w:t>经营成果</w:t>
      </w:r>
      <w:r>
        <w:rPr>
          <w:rFonts w:hint="eastAsia" w:ascii="宋体" w:hAnsi="宋体" w:eastAsia="宋体" w:cs="宋体"/>
          <w:sz w:val="10"/>
        </w:rPr>
        <w:t>、</w:t>
      </w:r>
      <w:r>
        <w:rPr>
          <w:rFonts w:hint="eastAsia" w:ascii="宋体" w:hAnsi="宋体" w:eastAsia="宋体" w:cs="宋体"/>
          <w:sz w:val="24"/>
        </w:rPr>
        <w:t>声誉</w:t>
      </w:r>
      <w:r>
        <w:rPr>
          <w:rFonts w:hint="eastAsia" w:ascii="宋体" w:hAnsi="宋体" w:eastAsia="宋体" w:cs="宋体"/>
          <w:sz w:val="10"/>
        </w:rPr>
        <w:t>、</w:t>
      </w:r>
      <w:r>
        <w:rPr>
          <w:rFonts w:hint="eastAsia" w:ascii="宋体" w:hAnsi="宋体" w:eastAsia="宋体" w:cs="宋体"/>
          <w:sz w:val="24"/>
        </w:rPr>
        <w:t>业务活动</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5620"/>
        <w:jc w:val="both"/>
      </w:pPr>
      <w:r>
        <w:rPr>
          <w:rFonts w:hint="eastAsia" w:ascii="Times New Roman" w:hAnsi="Times New Roman" w:eastAsia="Times New Roman" w:cs="Times New Roman"/>
          <w:sz w:val="21"/>
        </w:rPr>
        <w:t>1-1-326</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1440"/>
        <w:jc w:val="both"/>
      </w:pPr>
      <w:r>
        <w:rPr>
          <w:rFonts w:hint="eastAsia" w:ascii="宋体" w:hAnsi="宋体" w:eastAsia="宋体" w:cs="宋体"/>
          <w:sz w:val="24"/>
        </w:rPr>
        <w:t>未来前景等可能产生较大影响的诉讼或仲裁事项</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截至本招股说明书签署之日</w:t>
      </w:r>
      <w:r>
        <w:rPr>
          <w:rFonts w:hint="eastAsia" w:ascii="宋体" w:hAnsi="宋体" w:eastAsia="宋体" w:cs="宋体"/>
          <w:sz w:val="10"/>
        </w:rPr>
        <w:t>，</w:t>
      </w:r>
      <w:r>
        <w:rPr>
          <w:rFonts w:hint="eastAsia" w:ascii="宋体" w:hAnsi="宋体" w:eastAsia="宋体" w:cs="宋体"/>
          <w:sz w:val="24"/>
        </w:rPr>
        <w:t>公司控股股东</w:t>
      </w:r>
      <w:r>
        <w:rPr>
          <w:rFonts w:hint="eastAsia" w:ascii="宋体" w:hAnsi="宋体" w:eastAsia="宋体" w:cs="宋体"/>
          <w:sz w:val="10"/>
        </w:rPr>
        <w:t>、</w:t>
      </w:r>
      <w:r>
        <w:rPr>
          <w:rFonts w:hint="eastAsia" w:ascii="宋体" w:hAnsi="宋体" w:eastAsia="宋体" w:cs="宋体"/>
          <w:sz w:val="24"/>
        </w:rPr>
        <w:t>实际控制人</w:t>
      </w:r>
      <w:r>
        <w:rPr>
          <w:rFonts w:hint="eastAsia" w:ascii="宋体" w:hAnsi="宋体" w:eastAsia="宋体" w:cs="宋体"/>
          <w:sz w:val="10"/>
        </w:rPr>
        <w:t>、</w:t>
      </w:r>
      <w:r>
        <w:rPr>
          <w:rFonts w:hint="eastAsia" w:ascii="宋体" w:hAnsi="宋体" w:eastAsia="宋体" w:cs="宋体"/>
          <w:sz w:val="24"/>
        </w:rPr>
        <w:t>控股子公司</w:t>
      </w:r>
      <w:r>
        <w:rPr>
          <w:rFonts w:hint="eastAsia" w:ascii="宋体" w:hAnsi="宋体" w:eastAsia="宋体" w:cs="宋体"/>
          <w:sz w:val="10"/>
        </w:rPr>
        <w:t>、</w:t>
      </w: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高级管理人员及核心技术人员均不存在作为</w:t>
      </w:r>
      <w:r>
        <w:rPr>
          <w:rFonts w:hint="eastAsia" w:ascii="宋体" w:hAnsi="宋体" w:eastAsia="宋体" w:cs="宋体"/>
          <w:sz w:val="10"/>
        </w:rPr>
        <w:t>一</w:t>
      </w:r>
      <w:r>
        <w:rPr>
          <w:rFonts w:hint="eastAsia" w:ascii="宋体" w:hAnsi="宋体" w:eastAsia="宋体" w:cs="宋体"/>
          <w:sz w:val="24"/>
        </w:rPr>
        <w:t>方当事人的重大诉讼或仲裁事项</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高级管理人员及核心技术人员无涉及刑事诉讼的情况</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440"/>
        <w:jc w:val="both"/>
      </w:pPr>
      <w:r>
        <w:rPr>
          <w:rFonts w:hint="eastAsia" w:ascii="ºÚÌå" w:hAnsi="ºÚÌå" w:eastAsia="ºÚÌå" w:cs="ºÚÌå"/>
          <w:sz w:val="30"/>
        </w:rPr>
        <w:t>五</w:t>
      </w:r>
      <w:r>
        <w:rPr>
          <w:rFonts w:hint="eastAsia" w:ascii="ºÚÌå" w:hAnsi="ºÚÌå" w:eastAsia="ºÚÌå" w:cs="ºÚÌå"/>
          <w:sz w:val="10"/>
        </w:rPr>
        <w:t>、</w:t>
      </w:r>
      <w:r>
        <w:rPr>
          <w:rFonts w:hint="eastAsia" w:ascii="ºÚÌå" w:hAnsi="ºÚÌå" w:eastAsia="ºÚÌå" w:cs="ºÚÌå"/>
          <w:sz w:val="30"/>
        </w:rPr>
        <w:t>发行人及其子公司的合规情况</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00" w:lineRule="exact"/>
        <w:ind w:left="1440" w:right="1220" w:firstLine="480"/>
        <w:jc w:val="both"/>
      </w:pPr>
      <w:r>
        <w:rPr>
          <w:rFonts w:hint="eastAsia" w:ascii="宋体" w:hAnsi="宋体" w:eastAsia="宋体" w:cs="宋体"/>
          <w:sz w:val="24"/>
        </w:rPr>
        <w:t>报告期内发行人及其子公司不存在违法违规情形</w:t>
      </w:r>
      <w:r>
        <w:rPr>
          <w:rFonts w:hint="eastAsia" w:ascii="宋体" w:hAnsi="宋体" w:eastAsia="宋体" w:cs="宋体"/>
          <w:sz w:val="10"/>
        </w:rPr>
        <w:t>，</w:t>
      </w:r>
      <w:r>
        <w:rPr>
          <w:rFonts w:hint="eastAsia" w:ascii="宋体" w:hAnsi="宋体" w:eastAsia="宋体" w:cs="宋体"/>
          <w:sz w:val="24"/>
        </w:rPr>
        <w:t>未受到行政处罚</w:t>
      </w:r>
      <w:r>
        <w:rPr>
          <w:rFonts w:hint="eastAsia" w:ascii="宋体" w:hAnsi="宋体" w:eastAsia="宋体" w:cs="宋体"/>
          <w:sz w:val="10"/>
        </w:rPr>
        <w:t>，</w:t>
      </w:r>
      <w:r>
        <w:rPr>
          <w:rFonts w:hint="eastAsia" w:ascii="宋体" w:hAnsi="宋体" w:eastAsia="宋体" w:cs="宋体"/>
          <w:sz w:val="24"/>
        </w:rPr>
        <w:t>不存在因涉嫌犯罪被立案侦查的情形</w:t>
      </w:r>
      <w:r>
        <w:rPr>
          <w:rFonts w:hint="eastAsia" w:ascii="宋体" w:hAnsi="宋体" w:eastAsia="宋体" w:cs="宋体"/>
          <w:sz w:val="10"/>
        </w:rPr>
        <w:t>，</w:t>
      </w:r>
      <w:r>
        <w:rPr>
          <w:rFonts w:hint="eastAsia" w:ascii="宋体" w:hAnsi="宋体" w:eastAsia="宋体" w:cs="宋体"/>
          <w:sz w:val="24"/>
        </w:rPr>
        <w:t>不存在严重损害投资者合法权益和社会公共利益的情形</w:t>
      </w:r>
      <w:r>
        <w:rPr>
          <w:rFonts w:hint="eastAsia" w:ascii="宋体" w:hAnsi="宋体" w:eastAsia="宋体" w:cs="宋体"/>
          <w:sz w:val="10"/>
        </w:rPr>
        <w:t>，</w:t>
      </w:r>
      <w:r>
        <w:rPr>
          <w:rFonts w:hint="eastAsia" w:ascii="宋体" w:hAnsi="宋体" w:eastAsia="宋体" w:cs="宋体"/>
          <w:sz w:val="24"/>
        </w:rPr>
        <w:t>控股股东</w:t>
      </w:r>
      <w:r>
        <w:rPr>
          <w:rFonts w:hint="eastAsia" w:ascii="宋体" w:hAnsi="宋体" w:eastAsia="宋体" w:cs="宋体"/>
          <w:sz w:val="10"/>
        </w:rPr>
        <w:t>、</w:t>
      </w:r>
      <w:r>
        <w:rPr>
          <w:rFonts w:hint="eastAsia" w:ascii="宋体" w:hAnsi="宋体" w:eastAsia="宋体" w:cs="宋体"/>
          <w:sz w:val="24"/>
        </w:rPr>
        <w:t>实际控制人不存在重大违法行为</w:t>
      </w:r>
      <w:r>
        <w:rPr>
          <w:rFonts w:hint="eastAsia" w:ascii="宋体" w:hAnsi="宋体" w:eastAsia="宋体" w:cs="宋体"/>
          <w:sz w:val="10"/>
        </w:rPr>
        <w:t>，</w:t>
      </w:r>
      <w:r>
        <w:rPr>
          <w:rFonts w:hint="eastAsia" w:ascii="宋体" w:hAnsi="宋体" w:eastAsia="宋体" w:cs="宋体"/>
          <w:sz w:val="24"/>
        </w:rPr>
        <w:t>不存在构成本次发行上市的法律障碍的情形</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1-1-327</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2048" behindDoc="true" locked="false" layoutInCell="true" allowOverlap="true">
                <wp:simplePos x="0" y="0"/>
                <wp:positionH relativeFrom="page">
                  <wp:posOffset>1079500</wp:posOffset>
                </wp:positionH>
                <wp:positionV relativeFrom="page">
                  <wp:posOffset>3644900</wp:posOffset>
                </wp:positionV>
                <wp:extent cx="1092200" cy="25400"/>
                <wp:effectExtent l="0" t="0" r="22225" b="31115"/>
                <wp:wrapNone/>
                <wp:docPr id="20154" name="shape20154"/>
                <wp:cNvGraphicFramePr/>
                <a:graphic>
                  <a:graphicData uri="http://schemas.microsoft.com/office/word/2010/wordprocessingShape">
                    <wps:wsp>
                      <wps:cNvSpPr/>
                      <wps:spPr>
                        <a:xfrm>
                          <a:off x="0" y="0"/>
                          <a:ext cx="10922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2pt;margin-left:85pt;margin-top:287pt;mso-wrap-style:square;z-index:10252048;mso-wrap-distance-left:9pt;mso-wrap-distance-top:0pt;mso-wrap-distance-right:9pt;mso-wrap-distance-bottom:0pt" id="shape20154" o:spid="1618382361058" stroked="f" filled="t" fillcolor="#000000"/>
            </w:pict>
          </mc:Fallback>
        </mc:AlternateContent>
      </w:r>
      <w:r>
        <mc:AlternateContent>
          <mc:Choice Requires="wps">
            <w:drawing>
              <wp:anchor distT="0" distB="0" distL="114300" distR="114300" simplePos="false" relativeHeight="10265360" behindDoc="true" locked="false" layoutInCell="true" allowOverlap="true">
                <wp:simplePos x="0" y="0"/>
                <wp:positionH relativeFrom="page">
                  <wp:posOffset>3238500</wp:posOffset>
                </wp:positionH>
                <wp:positionV relativeFrom="page">
                  <wp:posOffset>3644900</wp:posOffset>
                </wp:positionV>
                <wp:extent cx="1092200" cy="25400"/>
                <wp:effectExtent l="0" t="0" r="22225" b="31115"/>
                <wp:wrapNone/>
                <wp:docPr id="20155" name="shape20155"/>
                <wp:cNvGraphicFramePr/>
                <a:graphic>
                  <a:graphicData uri="http://schemas.microsoft.com/office/word/2010/wordprocessingShape">
                    <wps:wsp>
                      <wps:cNvSpPr/>
                      <wps:spPr>
                        <a:xfrm>
                          <a:off x="0" y="0"/>
                          <a:ext cx="10922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2pt;margin-left:255pt;margin-top:287pt;mso-wrap-style:square;z-index:10265360;mso-wrap-distance-left:9pt;mso-wrap-distance-top:0pt;mso-wrap-distance-right:9pt;mso-wrap-distance-bottom:0pt" id="shape20155" o:spid="1618382361059" stroked="f" filled="t" fillcolor="#000000"/>
            </w:pict>
          </mc:Fallback>
        </mc:AlternateContent>
      </w:r>
      <w:r>
        <mc:AlternateContent>
          <mc:Choice Requires="wps">
            <w:drawing>
              <wp:anchor distT="0" distB="0" distL="114300" distR="114300" simplePos="false" relativeHeight="10254096" behindDoc="true" locked="false" layoutInCell="true" allowOverlap="true">
                <wp:simplePos x="0" y="0"/>
                <wp:positionH relativeFrom="page">
                  <wp:posOffset>5410200</wp:posOffset>
                </wp:positionH>
                <wp:positionV relativeFrom="page">
                  <wp:posOffset>3644900</wp:posOffset>
                </wp:positionV>
                <wp:extent cx="1092200" cy="25400"/>
                <wp:effectExtent l="0" t="0" r="22225" b="31115"/>
                <wp:wrapNone/>
                <wp:docPr id="20156" name="shape20156"/>
                <wp:cNvGraphicFramePr/>
                <a:graphic>
                  <a:graphicData uri="http://schemas.microsoft.com/office/word/2010/wordprocessingShape">
                    <wps:wsp>
                      <wps:cNvSpPr/>
                      <wps:spPr>
                        <a:xfrm>
                          <a:off x="0" y="0"/>
                          <a:ext cx="10922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2pt;margin-left:426pt;margin-top:287pt;mso-wrap-style:square;z-index:10254096;mso-wrap-distance-left:9pt;mso-wrap-distance-top:0pt;mso-wrap-distance-right:9pt;mso-wrap-distance-bottom:0pt" id="shape20156" o:spid="1618382361059" stroked="f" filled="t" fillcolor="#000000"/>
            </w:pict>
          </mc:Fallback>
        </mc:AlternateContent>
      </w:r>
      <w:r>
        <mc:AlternateContent>
          <mc:Choice Requires="wps">
            <w:drawing>
              <wp:anchor distT="0" distB="0" distL="114300" distR="114300" simplePos="false" relativeHeight="10255120" behindDoc="true" locked="false" layoutInCell="true" allowOverlap="true">
                <wp:simplePos x="0" y="0"/>
                <wp:positionH relativeFrom="page">
                  <wp:posOffset>1079500</wp:posOffset>
                </wp:positionH>
                <wp:positionV relativeFrom="page">
                  <wp:posOffset>4597400</wp:posOffset>
                </wp:positionV>
                <wp:extent cx="1092200" cy="12700"/>
                <wp:effectExtent l="0" t="0" r="22225" b="31115"/>
                <wp:wrapNone/>
                <wp:docPr id="20157" name="shape20157"/>
                <wp:cNvGraphicFramePr/>
                <a:graphic>
                  <a:graphicData uri="http://schemas.microsoft.com/office/word/2010/wordprocessingShape">
                    <wps:wsp>
                      <wps:cNvSpPr/>
                      <wps:spPr>
                        <a:xfrm>
                          <a:off x="0" y="0"/>
                          <a:ext cx="1092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1pt;margin-left:85pt;margin-top:362pt;mso-wrap-style:square;z-index:10255120;mso-wrap-distance-left:9pt;mso-wrap-distance-top:0pt;mso-wrap-distance-right:9pt;mso-wrap-distance-bottom:0pt" id="shape20157" o:spid="1618382361059" stroked="f" filled="t" fillcolor="#000000"/>
            </w:pict>
          </mc:Fallback>
        </mc:AlternateContent>
      </w:r>
      <w:r>
        <mc:AlternateContent>
          <mc:Choice Requires="wps">
            <w:drawing>
              <wp:anchor distT="0" distB="0" distL="114300" distR="114300" simplePos="false" relativeHeight="10266384" behindDoc="true" locked="false" layoutInCell="true" allowOverlap="true">
                <wp:simplePos x="0" y="0"/>
                <wp:positionH relativeFrom="page">
                  <wp:posOffset>3238500</wp:posOffset>
                </wp:positionH>
                <wp:positionV relativeFrom="page">
                  <wp:posOffset>4597400</wp:posOffset>
                </wp:positionV>
                <wp:extent cx="1092200" cy="12700"/>
                <wp:effectExtent l="0" t="0" r="22225" b="31115"/>
                <wp:wrapNone/>
                <wp:docPr id="20158" name="shape20158"/>
                <wp:cNvGraphicFramePr/>
                <a:graphic>
                  <a:graphicData uri="http://schemas.microsoft.com/office/word/2010/wordprocessingShape">
                    <wps:wsp>
                      <wps:cNvSpPr/>
                      <wps:spPr>
                        <a:xfrm>
                          <a:off x="0" y="0"/>
                          <a:ext cx="1092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1pt;margin-left:255pt;margin-top:362pt;mso-wrap-style:square;z-index:10266384;mso-wrap-distance-left:9pt;mso-wrap-distance-top:0pt;mso-wrap-distance-right:9pt;mso-wrap-distance-bottom:0pt" id="shape20158" o:spid="1618382361060" stroked="f" filled="t" fillcolor="#000000"/>
            </w:pict>
          </mc:Fallback>
        </mc:AlternateContent>
      </w:r>
      <w:r>
        <mc:AlternateContent>
          <mc:Choice Requires="wps">
            <w:drawing>
              <wp:anchor distT="0" distB="0" distL="114300" distR="114300" simplePos="false" relativeHeight="10257168" behindDoc="true" locked="false" layoutInCell="true" allowOverlap="true">
                <wp:simplePos x="0" y="0"/>
                <wp:positionH relativeFrom="page">
                  <wp:posOffset>5410200</wp:posOffset>
                </wp:positionH>
                <wp:positionV relativeFrom="page">
                  <wp:posOffset>4597400</wp:posOffset>
                </wp:positionV>
                <wp:extent cx="1092200" cy="12700"/>
                <wp:effectExtent l="0" t="0" r="22225" b="31115"/>
                <wp:wrapNone/>
                <wp:docPr id="20159" name="shape20159"/>
                <wp:cNvGraphicFramePr/>
                <a:graphic>
                  <a:graphicData uri="http://schemas.microsoft.com/office/word/2010/wordprocessingShape">
                    <wps:wsp>
                      <wps:cNvSpPr/>
                      <wps:spPr>
                        <a:xfrm>
                          <a:off x="0" y="0"/>
                          <a:ext cx="1092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1pt;margin-left:426pt;margin-top:362pt;mso-wrap-style:square;z-index:10257168;mso-wrap-distance-left:9pt;mso-wrap-distance-top:0pt;mso-wrap-distance-right:9pt;mso-wrap-distance-bottom:0pt" id="shape20159" o:spid="1618382361060" stroked="f" filled="t" fillcolor="#000000"/>
            </w:pict>
          </mc:Fallback>
        </mc:AlternateContent>
      </w:r>
      <w:r>
        <mc:AlternateContent>
          <mc:Choice Requires="wps">
            <w:drawing>
              <wp:anchor distT="0" distB="0" distL="114300" distR="114300" simplePos="false" relativeHeight="10258192" behindDoc="true" locked="false" layoutInCell="true" allowOverlap="true">
                <wp:simplePos x="0" y="0"/>
                <wp:positionH relativeFrom="page">
                  <wp:posOffset>1079500</wp:posOffset>
                </wp:positionH>
                <wp:positionV relativeFrom="page">
                  <wp:posOffset>5537200</wp:posOffset>
                </wp:positionV>
                <wp:extent cx="1092200" cy="12700"/>
                <wp:effectExtent l="0" t="0" r="22225" b="31115"/>
                <wp:wrapNone/>
                <wp:docPr id="20160" name="shape20160"/>
                <wp:cNvGraphicFramePr/>
                <a:graphic>
                  <a:graphicData uri="http://schemas.microsoft.com/office/word/2010/wordprocessingShape">
                    <wps:wsp>
                      <wps:cNvSpPr/>
                      <wps:spPr>
                        <a:xfrm>
                          <a:off x="0" y="0"/>
                          <a:ext cx="1092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1pt;margin-left:85pt;margin-top:436pt;mso-wrap-style:square;z-index:10258192;mso-wrap-distance-left:9pt;mso-wrap-distance-top:0pt;mso-wrap-distance-right:9pt;mso-wrap-distance-bottom:0pt" id="shape20160" o:spid="1618382361060" stroked="f" filled="t" fillcolor="#000000"/>
            </w:pict>
          </mc:Fallback>
        </mc:AlternateContent>
      </w:r>
      <w:r>
        <mc:AlternateContent>
          <mc:Choice Requires="wps">
            <w:drawing>
              <wp:anchor distT="0" distB="0" distL="114300" distR="114300" simplePos="false" relativeHeight="10267408" behindDoc="true" locked="false" layoutInCell="true" allowOverlap="true">
                <wp:simplePos x="0" y="0"/>
                <wp:positionH relativeFrom="page">
                  <wp:posOffset>3238500</wp:posOffset>
                </wp:positionH>
                <wp:positionV relativeFrom="page">
                  <wp:posOffset>5537200</wp:posOffset>
                </wp:positionV>
                <wp:extent cx="1092200" cy="12700"/>
                <wp:effectExtent l="0" t="0" r="22225" b="31115"/>
                <wp:wrapNone/>
                <wp:docPr id="20161" name="shape20161"/>
                <wp:cNvGraphicFramePr/>
                <a:graphic>
                  <a:graphicData uri="http://schemas.microsoft.com/office/word/2010/wordprocessingShape">
                    <wps:wsp>
                      <wps:cNvSpPr/>
                      <wps:spPr>
                        <a:xfrm>
                          <a:off x="0" y="0"/>
                          <a:ext cx="1092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1pt;margin-left:255pt;margin-top:436pt;mso-wrap-style:square;z-index:10267408;mso-wrap-distance-left:9pt;mso-wrap-distance-top:0pt;mso-wrap-distance-right:9pt;mso-wrap-distance-bottom:0pt" id="shape20161" o:spid="1618382361061" stroked="f" filled="t" fillcolor="#000000"/>
            </w:pict>
          </mc:Fallback>
        </mc:AlternateContent>
      </w:r>
      <w:r>
        <mc:AlternateContent>
          <mc:Choice Requires="wps">
            <w:drawing>
              <wp:anchor distT="0" distB="0" distL="114300" distR="114300" simplePos="false" relativeHeight="10260240" behindDoc="true" locked="false" layoutInCell="true" allowOverlap="true">
                <wp:simplePos x="0" y="0"/>
                <wp:positionH relativeFrom="page">
                  <wp:posOffset>5410200</wp:posOffset>
                </wp:positionH>
                <wp:positionV relativeFrom="page">
                  <wp:posOffset>5537200</wp:posOffset>
                </wp:positionV>
                <wp:extent cx="1092200" cy="12700"/>
                <wp:effectExtent l="0" t="0" r="22225" b="31115"/>
                <wp:wrapNone/>
                <wp:docPr id="20162" name="shape20162"/>
                <wp:cNvGraphicFramePr/>
                <a:graphic>
                  <a:graphicData uri="http://schemas.microsoft.com/office/word/2010/wordprocessingShape">
                    <wps:wsp>
                      <wps:cNvSpPr/>
                      <wps:spPr>
                        <a:xfrm>
                          <a:off x="0" y="0"/>
                          <a:ext cx="10922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1pt;margin-left:426pt;margin-top:436pt;mso-wrap-style:square;z-index:10260240;mso-wrap-distance-left:9pt;mso-wrap-distance-top:0pt;mso-wrap-distance-right:9pt;mso-wrap-distance-bottom:0pt" id="shape20162" o:spid="1618382361061" stroked="f" filled="t" fillcolor="#000000"/>
            </w:pict>
          </mc:Fallback>
        </mc:AlternateContent>
      </w:r>
      <w:r>
        <mc:AlternateContent>
          <mc:Choice Requires="wps">
            <w:drawing>
              <wp:anchor distT="0" distB="0" distL="114300" distR="114300" simplePos="false" relativeHeight="10261264" behindDoc="true" locked="false" layoutInCell="true" allowOverlap="true">
                <wp:simplePos x="0" y="0"/>
                <wp:positionH relativeFrom="page">
                  <wp:posOffset>1079500</wp:posOffset>
                </wp:positionH>
                <wp:positionV relativeFrom="page">
                  <wp:posOffset>6477000</wp:posOffset>
                </wp:positionV>
                <wp:extent cx="1092200" cy="25400"/>
                <wp:effectExtent l="0" t="0" r="22225" b="31115"/>
                <wp:wrapNone/>
                <wp:docPr id="20163" name="shape20163"/>
                <wp:cNvGraphicFramePr/>
                <a:graphic>
                  <a:graphicData uri="http://schemas.microsoft.com/office/word/2010/wordprocessingShape">
                    <wps:wsp>
                      <wps:cNvSpPr/>
                      <wps:spPr>
                        <a:xfrm>
                          <a:off x="0" y="0"/>
                          <a:ext cx="10922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2pt;margin-left:85pt;margin-top:510pt;mso-wrap-style:square;z-index:10261264;mso-wrap-distance-left:9pt;mso-wrap-distance-top:0pt;mso-wrap-distance-right:9pt;mso-wrap-distance-bottom:0pt" id="shape20163" o:spid="1618382361061" stroked="f" filled="t" fillcolor="#000000"/>
            </w:pict>
          </mc:Fallback>
        </mc:AlternateContent>
      </w:r>
      <w:r>
        <mc:AlternateContent>
          <mc:Choice Requires="wps">
            <w:drawing>
              <wp:anchor distT="0" distB="0" distL="114300" distR="114300" simplePos="false" relativeHeight="10262288" behindDoc="true" locked="false" layoutInCell="true" allowOverlap="true">
                <wp:simplePos x="0" y="0"/>
                <wp:positionH relativeFrom="page">
                  <wp:posOffset>3238500</wp:posOffset>
                </wp:positionH>
                <wp:positionV relativeFrom="page">
                  <wp:posOffset>6477000</wp:posOffset>
                </wp:positionV>
                <wp:extent cx="1092200" cy="25400"/>
                <wp:effectExtent l="0" t="0" r="22225" b="31115"/>
                <wp:wrapNone/>
                <wp:docPr id="20164" name="shape20164"/>
                <wp:cNvGraphicFramePr/>
                <a:graphic>
                  <a:graphicData uri="http://schemas.microsoft.com/office/word/2010/wordprocessingShape">
                    <wps:wsp>
                      <wps:cNvSpPr/>
                      <wps:spPr>
                        <a:xfrm>
                          <a:off x="0" y="0"/>
                          <a:ext cx="10922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86pt;height:2pt;margin-left:255pt;margin-top:510pt;mso-wrap-style:square;z-index:10262288;mso-wrap-distance-left:9pt;mso-wrap-distance-top:0pt;mso-wrap-distance-right:9pt;mso-wrap-distance-bottom:0pt" id="shape20164" o:spid="1618382361061" stroked="f" filled="t" fillcolor="#000000"/>
            </w:pict>
          </mc:Fallback>
        </mc:AlternateContent>
      </w:r>
      <w:r>
        <w:drawing>
          <wp:anchor distT="0" distB="0" distL="114300" distR="114300" simplePos="false" relativeHeight="10263312" behindDoc="true" locked="false" layoutInCell="true" allowOverlap="true">
            <wp:simplePos x="0" y="0"/>
            <wp:positionH relativeFrom="page">
              <wp:posOffset>215900</wp:posOffset>
            </wp:positionH>
            <wp:positionV relativeFrom="page">
              <wp:posOffset>990600</wp:posOffset>
            </wp:positionV>
            <wp:extent cx="7302500" cy="8813800"/>
            <wp:effectExtent l="0" t="0" r="0" b="0"/>
            <wp:wrapNone/>
            <wp:docPr id="20165" name="image20165" descr=""/>
            <wp:cNvGraphicFramePr>
              <a:graphicFrameLocks noChangeAspect="true"/>
            </wp:cNvGraphicFramePr>
            <a:graphic>
              <a:graphicData uri="http://schemas.openxmlformats.org/drawingml/2006/picture">
                <pic:pic>
                  <pic:nvPicPr>
                    <pic:cNvPr id="20165" name="image20165"/>
                    <pic:cNvPicPr/>
                  </pic:nvPicPr>
                  <pic:blipFill>
                    <a:blip r:embed="rId143"/>
                    <a:stretch>
                      <a:fillRect/>
                    </a:stretch>
                  </pic:blipFill>
                  <pic:spPr>
                    <a:xfrm>
                      <a:off x="0" y="0"/>
                      <a:ext cx="7302500" cy="88138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jc w:val="both"/>
      </w:pPr>
      <w:r>
        <w:rPr>
          <w:rFonts w:hint="eastAsia" w:ascii="宋体" w:hAnsi="宋体" w:eastAsia="宋体" w:cs="宋体"/>
          <w:b/>
          <w:sz w:val="36"/>
        </w:rPr>
        <w:t>第十六节</w:t>
      </w:r>
      <w:r>
        <w:rPr>
          <w:rFonts w:hint="eastAsia" w:ascii="Times New Roman Bold" w:hAnsi="Times New Roman Bold" w:eastAsia="Times New Roman Bold" w:cs="Times New Roman Bold"/>
          <w:b/>
          <w:sz w:val="36"/>
        </w:rPr>
        <w:t xml:space="preserve"> </w:t>
      </w:r>
      <w:r>
        <w:rPr>
          <w:rFonts w:hint="eastAsia" w:ascii="宋体" w:hAnsi="宋体" w:eastAsia="宋体" w:cs="宋体"/>
          <w:b/>
          <w:sz w:val="36"/>
        </w:rPr>
        <w:t>董事</w:t>
      </w:r>
      <w:r>
        <w:rPr>
          <w:rFonts w:hint="eastAsia" w:ascii="宋体" w:hAnsi="宋体" w:eastAsia="宋体" w:cs="宋体"/>
          <w:b/>
          <w:sz w:val="10"/>
        </w:rPr>
        <w:t>、</w:t>
      </w:r>
      <w:r>
        <w:rPr>
          <w:rFonts w:hint="eastAsia" w:ascii="宋体" w:hAnsi="宋体" w:eastAsia="宋体" w:cs="宋体"/>
          <w:b/>
          <w:sz w:val="36"/>
        </w:rPr>
        <w:t>监事</w:t>
      </w:r>
      <w:r>
        <w:rPr>
          <w:rFonts w:hint="eastAsia" w:ascii="宋体" w:hAnsi="宋体" w:eastAsia="宋体" w:cs="宋体"/>
          <w:b/>
          <w:sz w:val="10"/>
        </w:rPr>
        <w:t>、</w:t>
      </w:r>
      <w:r>
        <w:rPr>
          <w:rFonts w:hint="eastAsia" w:ascii="宋体" w:hAnsi="宋体" w:eastAsia="宋体" w:cs="宋体"/>
          <w:b/>
          <w:sz w:val="36"/>
        </w:rPr>
        <w:t>高级管理人员及有关中介机构声明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3700"/>
        <w:jc w:val="both"/>
      </w:pPr>
      <w:r>
        <w:rPr>
          <w:rFonts w:hint="eastAsia" w:ascii="宋体" w:hAnsi="宋体" w:eastAsia="宋体" w:cs="宋体"/>
          <w:sz w:val="30"/>
        </w:rPr>
        <w:t>体董事</w:t>
      </w:r>
      <w:r>
        <w:rPr>
          <w:rFonts w:hint="eastAsia" w:ascii="宋体" w:hAnsi="宋体" w:eastAsia="宋体" w:cs="宋体"/>
          <w:sz w:val="10"/>
        </w:rPr>
        <w:t>、</w:t>
      </w:r>
      <w:r>
        <w:rPr>
          <w:rFonts w:hint="eastAsia" w:ascii="宋体" w:hAnsi="宋体" w:eastAsia="宋体" w:cs="宋体"/>
          <w:sz w:val="30"/>
        </w:rPr>
        <w:t>监事</w:t>
      </w:r>
      <w:r>
        <w:rPr>
          <w:rFonts w:hint="eastAsia" w:ascii="宋体" w:hAnsi="宋体" w:eastAsia="宋体" w:cs="宋体"/>
          <w:sz w:val="10"/>
        </w:rPr>
        <w:t>、</w:t>
      </w:r>
      <w:r>
        <w:rPr>
          <w:rFonts w:hint="eastAsia" w:ascii="宋体" w:hAnsi="宋体" w:eastAsia="宋体" w:cs="宋体"/>
          <w:sz w:val="30"/>
        </w:rPr>
        <w:t>高级管理人员声明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1440" w:right="1260" w:firstLine="480"/>
        <w:jc w:val="both"/>
      </w:pPr>
      <w:r>
        <w:rPr>
          <w:rFonts w:hint="eastAsia" w:ascii="宋体" w:hAnsi="宋体" w:eastAsia="宋体" w:cs="宋体"/>
          <w:sz w:val="24"/>
        </w:rPr>
        <w:t>本公司全体董事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高级管理人员承诺本招股说明书及其摘要不存在虚假记载</w:t>
      </w:r>
      <w:r>
        <w:rPr>
          <w:rFonts w:hint="eastAsia" w:ascii="宋体" w:hAnsi="宋体" w:eastAsia="宋体" w:cs="宋体"/>
          <w:sz w:val="10"/>
        </w:rPr>
        <w:t>、</w:t>
      </w:r>
      <w:r>
        <w:rPr>
          <w:rFonts w:hint="eastAsia" w:ascii="宋体" w:hAnsi="宋体" w:eastAsia="宋体" w:cs="宋体"/>
          <w:sz w:val="24"/>
        </w:rPr>
        <w:t>误导性陈述或重大遗漏</w:t>
      </w:r>
      <w:r>
        <w:rPr>
          <w:rFonts w:hint="eastAsia" w:ascii="宋体" w:hAnsi="宋体" w:eastAsia="宋体" w:cs="宋体"/>
          <w:sz w:val="10"/>
        </w:rPr>
        <w:t>，</w:t>
      </w:r>
      <w:r>
        <w:rPr>
          <w:rFonts w:hint="eastAsia" w:ascii="宋体" w:hAnsi="宋体" w:eastAsia="宋体" w:cs="宋体"/>
          <w:sz w:val="24"/>
        </w:rPr>
        <w:t>并对其真实性</w:t>
      </w:r>
      <w:r>
        <w:rPr>
          <w:rFonts w:hint="eastAsia" w:ascii="宋体" w:hAnsi="宋体" w:eastAsia="宋体" w:cs="宋体"/>
          <w:sz w:val="10"/>
        </w:rPr>
        <w:t>、</w:t>
      </w:r>
      <w:r>
        <w:rPr>
          <w:rFonts w:hint="eastAsia" w:ascii="宋体" w:hAnsi="宋体" w:eastAsia="宋体" w:cs="宋体"/>
          <w:sz w:val="24"/>
        </w:rPr>
        <w:t>准确性</w:t>
      </w:r>
      <w:r>
        <w:rPr>
          <w:rFonts w:hint="eastAsia" w:ascii="宋体" w:hAnsi="宋体" w:eastAsia="宋体" w:cs="宋体"/>
          <w:sz w:val="10"/>
        </w:rPr>
        <w:t>、</w:t>
      </w:r>
      <w:r>
        <w:rPr>
          <w:rFonts w:hint="eastAsia" w:ascii="宋体" w:hAnsi="宋体" w:eastAsia="宋体" w:cs="宋体"/>
          <w:sz w:val="24"/>
        </w:rPr>
        <w:t>完整性承担个别和连带的法律责任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autoSpaceDE w:val="false"/>
        <w:autoSpaceDN w:val="false"/>
        <w:spacing w:line="420" w:lineRule="exact"/>
        <w:ind w:left="1920"/>
        <w:jc w:val="both"/>
      </w:pPr>
      <w:r>
        <w:rPr>
          <w:rFonts w:hint="eastAsia" w:ascii="宋体" w:hAnsi="宋体" w:eastAsia="宋体" w:cs="宋体"/>
          <w:sz w:val="24"/>
        </w:rPr>
        <w:t>本公司全体董事</w:t>
      </w:r>
      <w:r>
        <w:rPr>
          <w:rFonts w:hint="eastAsia" w:ascii="宋体" w:hAnsi="宋体" w:eastAsia="宋体" w:cs="宋体"/>
          <w:sz w:val="10"/>
        </w:rPr>
        <w:t>、</w:t>
      </w:r>
      <w:r>
        <w:rPr>
          <w:rFonts w:hint="eastAsia" w:ascii="宋体" w:hAnsi="宋体" w:eastAsia="宋体" w:cs="宋体"/>
          <w:sz w:val="24"/>
        </w:rPr>
        <w:t>监事</w:t>
      </w:r>
      <w:r>
        <w:rPr>
          <w:rFonts w:hint="eastAsia" w:ascii="宋体" w:hAnsi="宋体" w:eastAsia="宋体" w:cs="宋体"/>
          <w:sz w:val="10"/>
        </w:rPr>
        <w:t>、</w:t>
      </w:r>
      <w:r>
        <w:rPr>
          <w:rFonts w:hint="eastAsia" w:ascii="宋体" w:hAnsi="宋体" w:eastAsia="宋体" w:cs="宋体"/>
          <w:sz w:val="24"/>
        </w:rPr>
        <w:t>高级管理人员签名</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5720"/>
          <w:tab w:val="left" w:pos="9000"/>
        </w:tabs>
        <w:autoSpaceDE w:val="false"/>
        <w:autoSpaceDN w:val="false"/>
        <w:spacing w:line="300" w:lineRule="exact"/>
        <w:ind w:left="2180"/>
        <w:jc w:val="both"/>
      </w:pPr>
      <w:r>
        <w:rPr>
          <w:rFonts w:hint="eastAsia" w:ascii="宋体" w:hAnsi="宋体" w:eastAsia="宋体" w:cs="宋体"/>
          <w:sz w:val="24"/>
        </w:rPr>
        <w:t>严孟宇</w:t>
      </w:r>
      <w:r>
        <w:tab/>
      </w:r>
      <w:r>
        <w:rPr>
          <w:rFonts w:hint="eastAsia" w:ascii="宋体" w:hAnsi="宋体" w:eastAsia="宋体" w:cs="宋体"/>
          <w:sz w:val="24"/>
        </w:rPr>
        <w:t>赵伟</w:t>
      </w:r>
      <w:r>
        <w:tab/>
      </w:r>
      <w:r>
        <w:rPr>
          <w:rFonts w:hint="eastAsia" w:ascii="宋体" w:hAnsi="宋体" w:eastAsia="宋体" w:cs="宋体"/>
          <w:sz w:val="24"/>
        </w:rPr>
        <w:t>雷世潘</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5600"/>
          <w:tab w:val="left" w:pos="9120"/>
        </w:tabs>
        <w:autoSpaceDE w:val="false"/>
        <w:autoSpaceDN w:val="false"/>
        <w:spacing w:line="280" w:lineRule="exact"/>
        <w:ind w:left="2160"/>
        <w:jc w:val="both"/>
      </w:pPr>
      <w:r>
        <w:rPr>
          <w:rFonts w:hint="eastAsia" w:ascii="宋体" w:hAnsi="宋体" w:eastAsia="宋体" w:cs="宋体"/>
          <w:sz w:val="24"/>
        </w:rPr>
        <w:t>黄义青</w:t>
      </w:r>
      <w:r>
        <w:tab/>
      </w:r>
      <w:r>
        <w:rPr>
          <w:rFonts w:hint="eastAsia" w:ascii="宋体" w:hAnsi="宋体" w:eastAsia="宋体" w:cs="宋体"/>
          <w:sz w:val="24"/>
        </w:rPr>
        <w:t>李 军</w:t>
      </w:r>
      <w:r>
        <w:tab/>
      </w:r>
      <w:r>
        <w:rPr>
          <w:rFonts w:hint="eastAsia" w:ascii="宋体" w:hAnsi="宋体" w:eastAsia="宋体" w:cs="宋体"/>
          <w:sz w:val="24"/>
        </w:rPr>
        <w:t>许萍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5600"/>
          <w:tab w:val="left" w:pos="9120"/>
        </w:tabs>
        <w:autoSpaceDE w:val="false"/>
        <w:autoSpaceDN w:val="false"/>
        <w:spacing w:line="280" w:lineRule="exact"/>
        <w:ind w:left="2200"/>
        <w:jc w:val="both"/>
      </w:pPr>
      <w:r>
        <w:rPr>
          <w:rFonts w:hint="eastAsia" w:ascii="宋体" w:hAnsi="宋体" w:eastAsia="宋体" w:cs="宋体"/>
          <w:sz w:val="24"/>
        </w:rPr>
        <w:t>叶东毅</w:t>
      </w:r>
      <w:r>
        <w:tab/>
      </w:r>
      <w:r>
        <w:rPr>
          <w:rFonts w:hint="eastAsia" w:ascii="宋体" w:hAnsi="宋体" w:eastAsia="宋体" w:cs="宋体"/>
          <w:sz w:val="24"/>
        </w:rPr>
        <w:t>齐 伟</w:t>
      </w:r>
      <w:r>
        <w:tab/>
      </w:r>
      <w:r>
        <w:rPr>
          <w:rFonts w:hint="eastAsia" w:ascii="宋体" w:hAnsi="宋体" w:eastAsia="宋体" w:cs="宋体"/>
          <w:sz w:val="24"/>
        </w:rPr>
        <w:t>欧永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5600"/>
        </w:tabs>
        <w:autoSpaceDE w:val="false"/>
        <w:autoSpaceDN w:val="false"/>
        <w:spacing w:line="280" w:lineRule="exact"/>
        <w:ind w:left="2200"/>
        <w:jc w:val="both"/>
      </w:pPr>
      <w:r>
        <w:rPr>
          <w:rFonts w:hint="eastAsia" w:ascii="宋体" w:hAnsi="宋体" w:eastAsia="宋体" w:cs="宋体"/>
          <w:sz w:val="24"/>
        </w:rPr>
        <w:t>张家荣</w:t>
      </w:r>
      <w:r>
        <w:tab/>
      </w:r>
      <w:r>
        <w:rPr>
          <w:rFonts w:hint="eastAsia" w:ascii="宋体" w:hAnsi="宋体" w:eastAsia="宋体" w:cs="宋体"/>
          <w:sz w:val="24"/>
        </w:rPr>
        <w:t>郑元通</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80" w:lineRule="exact"/>
        <w:ind w:left="7180"/>
        <w:jc w:val="both"/>
      </w:pPr>
      <w:r>
        <w:rPr>
          <w:rFonts w:hint="eastAsia" w:ascii="宋体" w:hAnsi="宋体" w:eastAsia="宋体" w:cs="宋体"/>
          <w:sz w:val="24"/>
        </w:rPr>
        <w:t>福建顶点软件股份有限公司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8480"/>
          <w:tab w:val="left" w:pos="9200"/>
        </w:tabs>
        <w:autoSpaceDE w:val="false"/>
        <w:autoSpaceDN w:val="false"/>
        <w:spacing w:line="340" w:lineRule="exact"/>
        <w:ind w:left="7760"/>
        <w:jc w:val="both"/>
      </w:pPr>
      <w:r>
        <w:rPr>
          <w:rFonts w:hint="eastAsia" w:ascii="宋体" w:hAnsi="宋体" w:eastAsia="宋体" w:cs="宋体"/>
          <w:sz w:val="24"/>
        </w:rPr>
        <w:t>年</w:t>
      </w:r>
      <w:r>
        <w:tab/>
      </w:r>
      <w:r>
        <w:rPr>
          <w:rFonts w:hint="eastAsia" w:ascii="宋体" w:hAnsi="宋体" w:eastAsia="宋体" w:cs="宋体"/>
          <w:sz w:val="24"/>
        </w:rPr>
        <w:t>月</w:t>
      </w:r>
      <w:r>
        <w:tab/>
      </w:r>
      <w:r>
        <w:rPr>
          <w:rFonts w:hint="eastAsia" w:ascii="宋体" w:hAnsi="宋体" w:eastAsia="宋体" w:cs="宋体"/>
          <w:sz w:val="24"/>
        </w:rPr>
        <w:t>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1-1-328</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w:drawing>
          <wp:anchor distT="0" distB="0" distL="114300" distR="114300" simplePos="false" relativeHeight="10252048" behindDoc="true" locked="false" layoutInCell="true" allowOverlap="true">
            <wp:simplePos x="0" y="0"/>
            <wp:positionH relativeFrom="page">
              <wp:posOffset>127000</wp:posOffset>
            </wp:positionH>
            <wp:positionV relativeFrom="page">
              <wp:posOffset>1790700</wp:posOffset>
            </wp:positionV>
            <wp:extent cx="7289800" cy="7823200"/>
            <wp:effectExtent l="0" t="0" r="0" b="0"/>
            <wp:wrapNone/>
            <wp:docPr id="20167" name="image20167" descr=""/>
            <wp:cNvGraphicFramePr>
              <a:graphicFrameLocks noChangeAspect="true"/>
            </wp:cNvGraphicFramePr>
            <a:graphic>
              <a:graphicData uri="http://schemas.openxmlformats.org/drawingml/2006/picture">
                <pic:pic>
                  <pic:nvPicPr>
                    <pic:cNvPr id="20167" name="image20167"/>
                    <pic:cNvPicPr/>
                  </pic:nvPicPr>
                  <pic:blipFill>
                    <a:blip r:embed="rId144"/>
                    <a:stretch>
                      <a:fillRect/>
                    </a:stretch>
                  </pic:blipFill>
                  <pic:spPr>
                    <a:xfrm>
                      <a:off x="0" y="0"/>
                      <a:ext cx="7289800" cy="78232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4300"/>
        <w:jc w:val="both"/>
      </w:pPr>
      <w:r>
        <w:rPr>
          <w:rFonts w:hint="eastAsia" w:ascii="宋体" w:hAnsi="宋体" w:eastAsia="宋体" w:cs="宋体"/>
          <w:sz w:val="30"/>
        </w:rPr>
        <w:t>保荐人（主承销商）声明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1440" w:right="1220" w:firstLine="480"/>
        <w:jc w:val="both"/>
      </w:pPr>
      <w:r>
        <w:rPr>
          <w:rFonts w:hint="eastAsia" w:ascii="宋体" w:hAnsi="宋体" w:eastAsia="宋体" w:cs="宋体"/>
          <w:sz w:val="24"/>
        </w:rPr>
        <w:t>本公司已对招股说明书及其摘要进行了核查</w:t>
      </w:r>
      <w:r>
        <w:rPr>
          <w:rFonts w:hint="eastAsia" w:ascii="宋体" w:hAnsi="宋体" w:eastAsia="宋体" w:cs="宋体"/>
          <w:sz w:val="10"/>
        </w:rPr>
        <w:t>，</w:t>
      </w:r>
      <w:r>
        <w:rPr>
          <w:rFonts w:hint="eastAsia" w:ascii="宋体" w:hAnsi="宋体" w:eastAsia="宋体" w:cs="宋体"/>
          <w:sz w:val="24"/>
        </w:rPr>
        <w:t>确认不存在虚假记载</w:t>
      </w:r>
      <w:r>
        <w:rPr>
          <w:rFonts w:hint="eastAsia" w:ascii="宋体" w:hAnsi="宋体" w:eastAsia="宋体" w:cs="宋体"/>
          <w:sz w:val="10"/>
        </w:rPr>
        <w:t>、</w:t>
      </w:r>
      <w:r>
        <w:rPr>
          <w:rFonts w:hint="eastAsia" w:ascii="宋体" w:hAnsi="宋体" w:eastAsia="宋体" w:cs="宋体"/>
          <w:sz w:val="24"/>
        </w:rPr>
        <w:t>误导性陈述或重大遗漏</w:t>
      </w:r>
      <w:r>
        <w:rPr>
          <w:rFonts w:hint="eastAsia" w:ascii="宋体" w:hAnsi="宋体" w:eastAsia="宋体" w:cs="宋体"/>
          <w:sz w:val="10"/>
        </w:rPr>
        <w:t>，</w:t>
      </w:r>
      <w:r>
        <w:rPr>
          <w:rFonts w:hint="eastAsia" w:ascii="宋体" w:hAnsi="宋体" w:eastAsia="宋体" w:cs="宋体"/>
          <w:sz w:val="24"/>
        </w:rPr>
        <w:t>并对其真实性</w:t>
      </w:r>
      <w:r>
        <w:rPr>
          <w:rFonts w:hint="eastAsia" w:ascii="宋体" w:hAnsi="宋体" w:eastAsia="宋体" w:cs="宋体"/>
          <w:sz w:val="10"/>
        </w:rPr>
        <w:t>、</w:t>
      </w:r>
      <w:r>
        <w:rPr>
          <w:rFonts w:hint="eastAsia" w:ascii="宋体" w:hAnsi="宋体" w:eastAsia="宋体" w:cs="宋体"/>
          <w:sz w:val="24"/>
        </w:rPr>
        <w:t>准确性和完整性承担相应的法律责任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900"/>
        </w:tabs>
        <w:autoSpaceDE w:val="false"/>
        <w:autoSpaceDN w:val="false"/>
        <w:spacing w:line="340" w:lineRule="exact"/>
        <w:ind w:left="2120"/>
        <w:jc w:val="both"/>
      </w:pPr>
      <w:r>
        <w:rPr>
          <w:rFonts w:hint="eastAsia" w:ascii="宋体" w:hAnsi="宋体" w:eastAsia="宋体" w:cs="宋体"/>
          <w:sz w:val="24"/>
        </w:rPr>
        <w:t>法定代表人</w:t>
      </w:r>
      <w:r>
        <w:rPr>
          <w:rFonts w:hint="eastAsia" w:ascii="宋体" w:hAnsi="宋体" w:eastAsia="宋体" w:cs="宋体"/>
          <w:sz w:val="10"/>
        </w:rPr>
        <w:t>：</w:t>
      </w:r>
      <w:r>
        <w:rPr>
          <w:u w:val="single" w:color="000000"/>
        </w:rPr>
        <w:tab/>
      </w:r>
      <w:r>
        <w:rPr>
          <w:color w:val="ffffff"/>
          <w:sz w:val="0"/>
          <w:u w:val="single" w:color="000000"/>
          <w14:textFill>
            <w14:solidFill>
              <w14:srgbClr w14:val="FFFFFF">
                <w14:alpha w14:val="100000"/>
              </w14:srgbClr>
            </w14:solidFill>
          </w14:textFill>
        </w:rPr>
        <w:t xml:space="preserve"> </w:t>
      </w:r>
    </w:p>
    <w:p>
      <w:pPr>
        <w:spacing w:line="200" w:lineRule="exact"/>
        <w:rPr>
          <w:rFonts w:hint="eastAsia" w:ascii="宋体" w:hAnsi="宋体" w:eastAsia="宋体" w:cs="宋体"/>
          <w:sz w:val="20"/>
        </w:rPr>
      </w:pPr>
    </w:p>
    <w:p>
      <w:pPr>
        <w:autoSpaceDE w:val="false"/>
        <w:autoSpaceDN w:val="false"/>
        <w:spacing w:line="280" w:lineRule="exact"/>
        <w:ind w:left="3920"/>
        <w:jc w:val="both"/>
      </w:pPr>
      <w:r>
        <w:rPr>
          <w:rFonts w:hint="eastAsia" w:ascii="宋体" w:hAnsi="宋体" w:eastAsia="宋体" w:cs="宋体"/>
          <w:sz w:val="24"/>
        </w:rPr>
        <w:t>马</w:t>
      </w:r>
      <w:r>
        <w:rPr>
          <w:rFonts w:hint="eastAsia" w:ascii="Times New Roman" w:hAnsi="Times New Roman" w:eastAsia="Times New Roman" w:cs="Times New Roman"/>
          <w:sz w:val="24"/>
        </w:rPr>
        <w:t xml:space="preserve">  </w:t>
      </w:r>
      <w:r>
        <w:rPr>
          <w:rFonts w:hint="eastAsia" w:ascii="宋体" w:hAnsi="宋体" w:eastAsia="宋体" w:cs="宋体"/>
          <w:sz w:val="24"/>
        </w:rPr>
        <w:t>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900"/>
          <w:tab w:val="left" w:leader="none" w:pos="5600"/>
          <w:tab w:val="left" w:pos="6820"/>
        </w:tabs>
        <w:autoSpaceDE w:val="false"/>
        <w:autoSpaceDN w:val="false"/>
        <w:spacing w:line="340" w:lineRule="exact"/>
        <w:ind w:left="2120"/>
        <w:jc w:val="both"/>
      </w:pPr>
      <w:r>
        <w:rPr>
          <w:rFonts w:hint="eastAsia" w:ascii="宋体" w:hAnsi="宋体" w:eastAsia="宋体" w:cs="宋体"/>
          <w:sz w:val="24"/>
        </w:rPr>
        <w:t>保荐代表人</w:t>
      </w:r>
      <w:r>
        <w:rPr>
          <w:rFonts w:hint="eastAsia" w:ascii="宋体" w:hAnsi="宋体" w:eastAsia="宋体" w:cs="宋体"/>
          <w:sz w:val="10"/>
        </w:rPr>
        <w:t>：</w:t>
      </w:r>
      <w:r>
        <w:rPr>
          <w:u w:val="single" w:color="000000"/>
        </w:rPr>
        <w:tab/>
      </w:r>
      <w:r>
        <w:rPr>
          <w:color w:val="ffffff"/>
          <w:sz w:val="0"/>
          <w:u w:val="single" w:color="000000"/>
          <w14:textFill>
            <w14:solidFill>
              <w14:srgbClr w14:val="FFFFFF">
                <w14:alpha w14:val="100000"/>
              </w14:srgbClr>
            </w14:solidFill>
          </w14:textFill>
        </w:rPr>
        <w:t xml:space="preserve"> </w:t>
      </w:r>
      <w:r>
        <w:tab/>
      </w:r>
      <w:r>
        <w:rPr>
          <w:color w:val="ffffff"/>
          <w:sz w:val="0"/>
          <w14:textFill>
            <w14:solidFill>
              <w14:srgbClr w14:val="FFFFFF">
                <w14:alpha w14:val="100000"/>
              </w14:srgbClr>
            </w14:solidFill>
          </w14:textFill>
        </w:rPr>
        <w:t xml:space="preserve"> </w:t>
      </w:r>
      <w:r>
        <w:rPr>
          <w:u w:val="single" w:color="000000"/>
        </w:rPr>
        <w:tab/>
      </w:r>
      <w:r>
        <w:rPr>
          <w:color w:val="ffffff"/>
          <w:sz w:val="0"/>
          <w:u w:val="single" w:color="000000"/>
          <w14:textFill>
            <w14:solidFill>
              <w14:srgbClr w14:val="FFFFFF">
                <w14:alpha w14:val="100000"/>
              </w14:srgbClr>
            </w14:solidFill>
          </w14:textFill>
        </w:rPr>
        <w:t xml:space="preserve"> </w:t>
      </w:r>
    </w:p>
    <w:p>
      <w:pPr>
        <w:spacing w:line="200" w:lineRule="exact"/>
        <w:rPr>
          <w:rFonts w:hint="eastAsia" w:ascii="宋体" w:hAnsi="宋体" w:eastAsia="宋体" w:cs="宋体"/>
          <w:sz w:val="20"/>
        </w:rPr>
      </w:pPr>
    </w:p>
    <w:p>
      <w:pPr>
        <w:tabs>
          <w:tab w:val="left" w:leader="none" w:pos="6080"/>
        </w:tabs>
        <w:autoSpaceDE w:val="false"/>
        <w:autoSpaceDN w:val="false"/>
        <w:spacing w:line="260" w:lineRule="exact"/>
        <w:ind w:left="3920"/>
        <w:jc w:val="both"/>
      </w:pPr>
      <w:r>
        <w:rPr>
          <w:rFonts w:hint="eastAsia" w:ascii="宋体" w:hAnsi="宋体" w:eastAsia="宋体" w:cs="宋体"/>
          <w:sz w:val="24"/>
        </w:rPr>
        <w:t>郑</w:t>
      </w:r>
      <w:r>
        <w:rPr>
          <w:rFonts w:hint="eastAsia" w:ascii="Times New Roman" w:hAnsi="Times New Roman" w:eastAsia="Times New Roman" w:cs="Times New Roman"/>
          <w:sz w:val="24"/>
        </w:rPr>
        <w:t xml:space="preserve">  </w:t>
      </w:r>
      <w:r>
        <w:rPr>
          <w:rFonts w:hint="eastAsia" w:ascii="宋体" w:hAnsi="宋体" w:eastAsia="宋体" w:cs="宋体"/>
          <w:sz w:val="24"/>
        </w:rPr>
        <w:t>睿</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4"/>
        </w:rPr>
        <w:t>郝智明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4900"/>
        </w:tabs>
        <w:autoSpaceDE w:val="false"/>
        <w:autoSpaceDN w:val="false"/>
        <w:spacing w:line="280" w:lineRule="exact"/>
        <w:ind w:left="2120"/>
        <w:jc w:val="both"/>
      </w:pPr>
      <w:r>
        <w:rPr>
          <w:rFonts w:hint="eastAsia" w:ascii="宋体" w:hAnsi="宋体" w:eastAsia="宋体" w:cs="宋体"/>
          <w:sz w:val="24"/>
        </w:rPr>
        <w:t>项目协办人</w:t>
      </w:r>
      <w:r>
        <w:rPr>
          <w:rFonts w:hint="eastAsia" w:ascii="宋体" w:hAnsi="宋体" w:eastAsia="宋体" w:cs="宋体"/>
          <w:sz w:val="10"/>
        </w:rPr>
        <w:t>：</w:t>
      </w:r>
      <w:r>
        <w:rPr>
          <w:u w:val="single" w:color="000000"/>
        </w:rPr>
        <w:tab/>
      </w:r>
      <w:r>
        <w:rPr>
          <w:color w:val="ffffff"/>
          <w:sz w:val="0"/>
          <w:u w:val="single" w:color="000000"/>
          <w14:textFill>
            <w14:solidFill>
              <w14:srgbClr w14:val="FFFFFF">
                <w14:alpha w14:val="100000"/>
              </w14:srgbClr>
            </w14:solidFill>
          </w14:textFill>
        </w:rPr>
        <w:t xml:space="preserve"> </w:t>
      </w:r>
    </w:p>
    <w:p>
      <w:pPr>
        <w:spacing w:line="200" w:lineRule="exact"/>
        <w:rPr>
          <w:rFonts w:hint="eastAsia" w:ascii="宋体" w:hAnsi="宋体" w:eastAsia="宋体" w:cs="宋体"/>
          <w:sz w:val="20"/>
        </w:rPr>
      </w:pPr>
    </w:p>
    <w:p>
      <w:pPr>
        <w:autoSpaceDE w:val="false"/>
        <w:autoSpaceDN w:val="false"/>
        <w:spacing w:line="260" w:lineRule="exact"/>
        <w:ind w:left="3920"/>
        <w:jc w:val="both"/>
      </w:pPr>
      <w:r>
        <w:rPr>
          <w:rFonts w:hint="eastAsia" w:ascii="宋体" w:hAnsi="宋体" w:eastAsia="宋体" w:cs="宋体"/>
          <w:sz w:val="24"/>
        </w:rPr>
        <w:t>周天宇</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60" w:lineRule="exact"/>
        <w:ind w:left="7880"/>
        <w:jc w:val="both"/>
      </w:pPr>
      <w:r>
        <w:rPr>
          <w:rFonts w:hint="eastAsia" w:ascii="宋体" w:hAnsi="宋体" w:eastAsia="宋体" w:cs="宋体"/>
          <w:sz w:val="24"/>
        </w:rPr>
        <w:t>东方花旗证券有限公司</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8400"/>
        <w:jc w:val="both"/>
      </w:pPr>
      <w:r>
        <w:rPr>
          <w:rFonts w:hint="eastAsia" w:ascii="宋体" w:hAnsi="宋体" w:eastAsia="宋体" w:cs="宋体"/>
          <w:sz w:val="24"/>
        </w:rPr>
        <w:t>年</w:t>
      </w:r>
      <w:r>
        <w:rPr>
          <w:rFonts w:hint="eastAsia" w:ascii="Times New Roman" w:hAnsi="Times New Roman" w:eastAsia="Times New Roman" w:cs="Times New Roman"/>
          <w:sz w:val="24"/>
        </w:rPr>
        <w:t xml:space="preserve">   </w:t>
      </w:r>
      <w:r>
        <w:rPr>
          <w:rFonts w:hint="eastAsia" w:ascii="宋体" w:hAnsi="宋体" w:eastAsia="宋体" w:cs="宋体"/>
          <w:sz w:val="24"/>
        </w:rPr>
        <w:t>月</w:t>
      </w:r>
      <w:r>
        <w:rPr>
          <w:rFonts w:hint="eastAsia" w:ascii="Times New Roman" w:hAnsi="Times New Roman" w:eastAsia="Times New Roman" w:cs="Times New Roman"/>
          <w:sz w:val="24"/>
        </w:rPr>
        <w:t xml:space="preserve">   </w:t>
      </w:r>
      <w:r>
        <w:rPr>
          <w:rFonts w:hint="eastAsia" w:ascii="宋体" w:hAnsi="宋体" w:eastAsia="宋体" w:cs="宋体"/>
          <w:sz w:val="24"/>
        </w:rPr>
        <w:t>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620"/>
        <w:jc w:val="both"/>
      </w:pPr>
      <w:r>
        <w:rPr>
          <w:rFonts w:hint="eastAsia" w:ascii="Times New Roman" w:hAnsi="Times New Roman" w:eastAsia="Times New Roman" w:cs="Times New Roman"/>
          <w:sz w:val="21"/>
        </w:rPr>
        <w:t>1-1-329</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2048" behindDoc="true" locked="false" layoutInCell="true" allowOverlap="true">
                <wp:simplePos x="0" y="0"/>
                <wp:positionH relativeFrom="page">
                  <wp:posOffset>2743200</wp:posOffset>
                </wp:positionH>
                <wp:positionV relativeFrom="page">
                  <wp:posOffset>4495800</wp:posOffset>
                </wp:positionV>
                <wp:extent cx="1358900" cy="12700"/>
                <wp:effectExtent l="0" t="0" r="22225" b="31115"/>
                <wp:wrapNone/>
                <wp:docPr id="20169" name="shape20169"/>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16pt;margin-top:354pt;mso-wrap-style:square;z-index:10252048;mso-wrap-distance-left:9pt;mso-wrap-distance-top:0pt;mso-wrap-distance-right:9pt;mso-wrap-distance-bottom:0pt" id="shape20169" o:spid="1618382361744" stroked="f" filled="t" fillcolor="#000000"/>
            </w:pict>
          </mc:Fallback>
        </mc:AlternateContent>
      </w:r>
      <w:r>
        <mc:AlternateContent>
          <mc:Choice Requires="wps">
            <w:drawing>
              <wp:anchor distT="0" distB="0" distL="114300" distR="114300" simplePos="false" relativeHeight="10253072" behindDoc="true" locked="false" layoutInCell="true" allowOverlap="true">
                <wp:simplePos x="0" y="0"/>
                <wp:positionH relativeFrom="page">
                  <wp:posOffset>2743200</wp:posOffset>
                </wp:positionH>
                <wp:positionV relativeFrom="page">
                  <wp:posOffset>5397500</wp:posOffset>
                </wp:positionV>
                <wp:extent cx="1358900" cy="25400"/>
                <wp:effectExtent l="0" t="0" r="22225" b="31115"/>
                <wp:wrapNone/>
                <wp:docPr id="20170" name="shape20170"/>
                <wp:cNvGraphicFramePr/>
                <a:graphic>
                  <a:graphicData uri="http://schemas.microsoft.com/office/word/2010/wordprocessingShape">
                    <wps:wsp>
                      <wps:cNvSpPr/>
                      <wps:spPr>
                        <a:xfrm>
                          <a:off x="0" y="0"/>
                          <a:ext cx="1358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pt;margin-left:216pt;margin-top:425pt;mso-wrap-style:square;z-index:10253072;mso-wrap-distance-left:9pt;mso-wrap-distance-top:0pt;mso-wrap-distance-right:9pt;mso-wrap-distance-bottom:0pt" id="shape20170" o:spid="1618382361744" stroked="f" filled="t" fillcolor="#000000"/>
            </w:pict>
          </mc:Fallback>
        </mc:AlternateContent>
      </w:r>
      <w:r>
        <mc:AlternateContent>
          <mc:Choice Requires="wps">
            <w:drawing>
              <wp:anchor distT="0" distB="0" distL="114300" distR="114300" simplePos="false" relativeHeight="10254096" behindDoc="true" locked="false" layoutInCell="true" allowOverlap="true">
                <wp:simplePos x="0" y="0"/>
                <wp:positionH relativeFrom="page">
                  <wp:posOffset>2743200</wp:posOffset>
                </wp:positionH>
                <wp:positionV relativeFrom="page">
                  <wp:posOffset>6756400</wp:posOffset>
                </wp:positionV>
                <wp:extent cx="1358900" cy="12700"/>
                <wp:effectExtent l="0" t="0" r="22225" b="31115"/>
                <wp:wrapNone/>
                <wp:docPr id="20171" name="shape20171"/>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16pt;margin-top:532pt;mso-wrap-style:square;z-index:10254096;mso-wrap-distance-left:9pt;mso-wrap-distance-top:0pt;mso-wrap-distance-right:9pt;mso-wrap-distance-bottom:0pt" id="shape20171" o:spid="1618382361745" stroked="f" filled="t" fillcolor="#000000"/>
            </w:pict>
          </mc:Fallback>
        </mc:AlternateContent>
      </w:r>
      <w:r>
        <w:drawing>
          <wp:anchor distT="0" distB="0" distL="114300" distR="114300" simplePos="false" relativeHeight="10255120" behindDoc="true" locked="false" layoutInCell="true" allowOverlap="true">
            <wp:simplePos x="0" y="0"/>
            <wp:positionH relativeFrom="page">
              <wp:posOffset>165100</wp:posOffset>
            </wp:positionH>
            <wp:positionV relativeFrom="page">
              <wp:posOffset>863600</wp:posOffset>
            </wp:positionV>
            <wp:extent cx="7302500" cy="8826500"/>
            <wp:effectExtent l="0" t="0" r="0" b="0"/>
            <wp:wrapNone/>
            <wp:docPr id="20172" name="image20172" descr=""/>
            <wp:cNvGraphicFramePr>
              <a:graphicFrameLocks noChangeAspect="true"/>
            </wp:cNvGraphicFramePr>
            <a:graphic>
              <a:graphicData uri="http://schemas.openxmlformats.org/drawingml/2006/picture">
                <pic:pic>
                  <pic:nvPicPr>
                    <pic:cNvPr id="20172" name="image20172"/>
                    <pic:cNvPicPr/>
                  </pic:nvPicPr>
                  <pic:blipFill>
                    <a:blip r:embed="rId145"/>
                    <a:stretch>
                      <a:fillRect/>
                    </a:stretch>
                  </pic:blipFill>
                  <pic:spPr>
                    <a:xfrm>
                      <a:off x="0" y="0"/>
                      <a:ext cx="7302500" cy="88265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4900"/>
        <w:jc w:val="both"/>
      </w:pPr>
      <w:r>
        <w:rPr>
          <w:rFonts w:hint="eastAsia" w:ascii="宋体" w:hAnsi="宋体" w:eastAsia="宋体" w:cs="宋体"/>
          <w:sz w:val="30"/>
        </w:rPr>
        <w:t>发行人律师声明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本所及经办律师已阅读招股说明书及其摘要</w:t>
      </w:r>
      <w:r>
        <w:rPr>
          <w:rFonts w:hint="eastAsia" w:ascii="宋体" w:hAnsi="宋体" w:eastAsia="宋体" w:cs="宋体"/>
          <w:sz w:val="10"/>
        </w:rPr>
        <w:t>，</w:t>
      </w:r>
      <w:r>
        <w:rPr>
          <w:rFonts w:hint="eastAsia" w:ascii="宋体" w:hAnsi="宋体" w:eastAsia="宋体" w:cs="宋体"/>
          <w:sz w:val="24"/>
        </w:rPr>
        <w:t>确认招股说明书及其摘要与本所出具的法律意见书和律师工作报告无矛盾之处</w:t>
      </w:r>
      <w:r>
        <w:rPr>
          <w:rFonts w:hint="eastAsia" w:ascii="宋体" w:hAnsi="宋体" w:eastAsia="宋体" w:cs="宋体"/>
          <w:sz w:val="10"/>
        </w:rPr>
        <w:t>。</w:t>
      </w:r>
      <w:r>
        <w:rPr>
          <w:rFonts w:hint="eastAsia" w:ascii="宋体" w:hAnsi="宋体" w:eastAsia="宋体" w:cs="宋体"/>
          <w:sz w:val="24"/>
        </w:rPr>
        <w:t>本所及经办律师对发行人在招股说明书及其摘要中引用的法律意见书和律师工作报告的内容无异议</w:t>
      </w:r>
      <w:r>
        <w:rPr>
          <w:rFonts w:hint="eastAsia" w:ascii="宋体" w:hAnsi="宋体" w:eastAsia="宋体" w:cs="宋体"/>
          <w:sz w:val="10"/>
        </w:rPr>
        <w:t>，</w:t>
      </w:r>
      <w:r>
        <w:rPr>
          <w:rFonts w:hint="eastAsia" w:ascii="宋体" w:hAnsi="宋体" w:eastAsia="宋体" w:cs="宋体"/>
          <w:sz w:val="24"/>
        </w:rPr>
        <w:t>确认招股说明书及其摘要不致因上述内容而出现虚假记载</w:t>
      </w:r>
      <w:r>
        <w:rPr>
          <w:rFonts w:hint="eastAsia" w:ascii="宋体" w:hAnsi="宋体" w:eastAsia="宋体" w:cs="宋体"/>
          <w:sz w:val="10"/>
        </w:rPr>
        <w:t>、</w:t>
      </w:r>
      <w:r>
        <w:rPr>
          <w:rFonts w:hint="eastAsia" w:ascii="宋体" w:hAnsi="宋体" w:eastAsia="宋体" w:cs="宋体"/>
          <w:sz w:val="24"/>
        </w:rPr>
        <w:t>误导性陈述或重大遗漏</w:t>
      </w:r>
      <w:r>
        <w:rPr>
          <w:rFonts w:hint="eastAsia" w:ascii="宋体" w:hAnsi="宋体" w:eastAsia="宋体" w:cs="宋体"/>
          <w:sz w:val="10"/>
        </w:rPr>
        <w:t>，</w:t>
      </w:r>
      <w:r>
        <w:rPr>
          <w:rFonts w:hint="eastAsia" w:ascii="宋体" w:hAnsi="宋体" w:eastAsia="宋体" w:cs="宋体"/>
          <w:sz w:val="24"/>
        </w:rPr>
        <w:t>并对其真实性</w:t>
      </w:r>
      <w:r>
        <w:rPr>
          <w:rFonts w:hint="eastAsia" w:ascii="宋体" w:hAnsi="宋体" w:eastAsia="宋体" w:cs="宋体"/>
          <w:sz w:val="10"/>
        </w:rPr>
        <w:t>、</w:t>
      </w:r>
      <w:r>
        <w:rPr>
          <w:rFonts w:hint="eastAsia" w:ascii="宋体" w:hAnsi="宋体" w:eastAsia="宋体" w:cs="宋体"/>
          <w:sz w:val="24"/>
        </w:rPr>
        <w:t>准确性和完整性承担相应的法律责任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6560"/>
        </w:tabs>
        <w:autoSpaceDE w:val="false"/>
        <w:autoSpaceDN w:val="false"/>
        <w:spacing w:line="280" w:lineRule="exact"/>
        <w:ind w:left="1440"/>
        <w:jc w:val="both"/>
      </w:pPr>
      <w:r>
        <w:rPr>
          <w:rFonts w:hint="eastAsia" w:ascii="宋体" w:hAnsi="宋体" w:eastAsia="宋体" w:cs="宋体"/>
          <w:sz w:val="24"/>
        </w:rPr>
        <w:t>经办律师</w:t>
      </w:r>
      <w:r>
        <w:rPr>
          <w:rFonts w:hint="eastAsia" w:ascii="宋体" w:hAnsi="宋体" w:eastAsia="宋体" w:cs="宋体"/>
          <w:sz w:val="12"/>
        </w:rPr>
        <w:t>：</w:t>
      </w:r>
      <w:r>
        <w:tab/>
      </w:r>
      <w:r>
        <w:rPr>
          <w:rFonts w:hint="eastAsia" w:ascii="宋体" w:hAnsi="宋体" w:eastAsia="宋体" w:cs="宋体"/>
          <w:sz w:val="12"/>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6560"/>
        <w:jc w:val="both"/>
      </w:pP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6560"/>
        </w:tabs>
        <w:autoSpaceDE w:val="false"/>
        <w:autoSpaceDN w:val="false"/>
        <w:spacing w:line="320" w:lineRule="exact"/>
        <w:ind w:left="1440"/>
        <w:jc w:val="both"/>
      </w:pPr>
      <w:r>
        <w:rPr>
          <w:rFonts w:hint="eastAsia" w:ascii="宋体" w:hAnsi="宋体" w:eastAsia="宋体" w:cs="宋体"/>
          <w:sz w:val="24"/>
        </w:rPr>
        <w:t>律师事务所负责人</w:t>
      </w:r>
      <w:r>
        <w:rPr>
          <w:rFonts w:hint="eastAsia" w:ascii="宋体" w:hAnsi="宋体" w:eastAsia="宋体" w:cs="宋体"/>
          <w:sz w:val="12"/>
        </w:rPr>
        <w:t>：</w:t>
      </w:r>
      <w:r>
        <w:tab/>
      </w:r>
      <w:r>
        <w:rPr>
          <w:rFonts w:hint="eastAsia" w:ascii="宋体" w:hAnsi="宋体" w:eastAsia="宋体" w:cs="宋体"/>
          <w:sz w:val="12"/>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7200"/>
        <w:jc w:val="both"/>
      </w:pPr>
      <w:r>
        <w:rPr>
          <w:rFonts w:hint="eastAsia" w:ascii="Times New Roman" w:hAnsi="Times New Roman" w:eastAsia="Times New Roman" w:cs="Times New Roman"/>
          <w:sz w:val="24"/>
        </w:rPr>
        <w:t>XX</w:t>
      </w:r>
      <w:r>
        <w:rPr>
          <w:rFonts w:hint="eastAsia" w:ascii="宋体" w:hAnsi="宋体" w:eastAsia="宋体" w:cs="宋体"/>
          <w:sz w:val="24"/>
        </w:rPr>
        <w:t xml:space="preserve"> 律师事务所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7920"/>
          <w:tab w:val="left" w:leader="none" w:pos="8640"/>
        </w:tabs>
        <w:autoSpaceDE w:val="false"/>
        <w:autoSpaceDN w:val="false"/>
        <w:spacing w:line="260" w:lineRule="exact"/>
        <w:ind w:left="7080"/>
        <w:jc w:val="both"/>
      </w:pPr>
      <w:r>
        <w:rPr>
          <w:rFonts w:hint="eastAsia" w:ascii="宋体" w:hAnsi="宋体" w:eastAsia="宋体" w:cs="宋体"/>
          <w:sz w:val="24"/>
        </w:rPr>
        <w:t>年</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4"/>
        </w:rPr>
        <w:t>月</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4"/>
        </w:rPr>
        <w:t>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1-1-330</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2048" behindDoc="true" locked="false" layoutInCell="true" allowOverlap="true">
                <wp:simplePos x="0" y="0"/>
                <wp:positionH relativeFrom="page">
                  <wp:posOffset>2971800</wp:posOffset>
                </wp:positionH>
                <wp:positionV relativeFrom="page">
                  <wp:posOffset>4495800</wp:posOffset>
                </wp:positionV>
                <wp:extent cx="1358900" cy="12700"/>
                <wp:effectExtent l="0" t="0" r="22225" b="31115"/>
                <wp:wrapNone/>
                <wp:docPr id="20174" name="shape20174"/>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34pt;margin-top:354pt;mso-wrap-style:square;z-index:10252048;mso-wrap-distance-left:9pt;mso-wrap-distance-top:0pt;mso-wrap-distance-right:9pt;mso-wrap-distance-bottom:0pt" id="shape20174" o:spid="1618382362033" stroked="f" filled="t" fillcolor="#000000"/>
            </w:pict>
          </mc:Fallback>
        </mc:AlternateContent>
      </w:r>
      <w:r>
        <mc:AlternateContent>
          <mc:Choice Requires="wps">
            <w:drawing>
              <wp:anchor distT="0" distB="0" distL="114300" distR="114300" simplePos="false" relativeHeight="10253072" behindDoc="true" locked="false" layoutInCell="true" allowOverlap="true">
                <wp:simplePos x="0" y="0"/>
                <wp:positionH relativeFrom="page">
                  <wp:posOffset>2971800</wp:posOffset>
                </wp:positionH>
                <wp:positionV relativeFrom="page">
                  <wp:posOffset>5854700</wp:posOffset>
                </wp:positionV>
                <wp:extent cx="1358900" cy="12700"/>
                <wp:effectExtent l="0" t="0" r="22225" b="31115"/>
                <wp:wrapNone/>
                <wp:docPr id="20175" name="shape20175"/>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34pt;margin-top:461pt;mso-wrap-style:square;z-index:10253072;mso-wrap-distance-left:9pt;mso-wrap-distance-top:0pt;mso-wrap-distance-right:9pt;mso-wrap-distance-bottom:0pt" id="shape20175" o:spid="1618382362033" stroked="f" filled="t" fillcolor="#000000"/>
            </w:pict>
          </mc:Fallback>
        </mc:AlternateContent>
      </w:r>
      <w:r>
        <mc:AlternateContent>
          <mc:Choice Requires="wps">
            <w:drawing>
              <wp:anchor distT="0" distB="0" distL="114300" distR="114300" simplePos="false" relativeHeight="10254096" behindDoc="true" locked="false" layoutInCell="true" allowOverlap="true">
                <wp:simplePos x="0" y="0"/>
                <wp:positionH relativeFrom="page">
                  <wp:posOffset>2971800</wp:posOffset>
                </wp:positionH>
                <wp:positionV relativeFrom="page">
                  <wp:posOffset>7200900</wp:posOffset>
                </wp:positionV>
                <wp:extent cx="1358900" cy="25400"/>
                <wp:effectExtent l="0" t="0" r="22225" b="31115"/>
                <wp:wrapNone/>
                <wp:docPr id="20176" name="shape20176"/>
                <wp:cNvGraphicFramePr/>
                <a:graphic>
                  <a:graphicData uri="http://schemas.microsoft.com/office/word/2010/wordprocessingShape">
                    <wps:wsp>
                      <wps:cNvSpPr/>
                      <wps:spPr>
                        <a:xfrm>
                          <a:off x="0" y="0"/>
                          <a:ext cx="1358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pt;margin-left:234pt;margin-top:567pt;mso-wrap-style:square;z-index:10254096;mso-wrap-distance-left:9pt;mso-wrap-distance-top:0pt;mso-wrap-distance-right:9pt;mso-wrap-distance-bottom:0pt" id="shape20176" o:spid="1618382362033" stroked="f" filled="t" fillcolor="#000000"/>
            </w:pict>
          </mc:Fallback>
        </mc:AlternateContent>
      </w:r>
      <w:r>
        <w:drawing>
          <wp:anchor distT="0" distB="0" distL="114300" distR="114300" simplePos="false" relativeHeight="10255120" behindDoc="true" locked="false" layoutInCell="true" allowOverlap="true">
            <wp:simplePos x="0" y="0"/>
            <wp:positionH relativeFrom="page">
              <wp:posOffset>101600</wp:posOffset>
            </wp:positionH>
            <wp:positionV relativeFrom="page">
              <wp:posOffset>889000</wp:posOffset>
            </wp:positionV>
            <wp:extent cx="7302500" cy="8915400"/>
            <wp:effectExtent l="0" t="0" r="0" b="0"/>
            <wp:wrapNone/>
            <wp:docPr id="20177" name="image20177" descr=""/>
            <wp:cNvGraphicFramePr>
              <a:graphicFrameLocks noChangeAspect="true"/>
            </wp:cNvGraphicFramePr>
            <a:graphic>
              <a:graphicData uri="http://schemas.openxmlformats.org/drawingml/2006/picture">
                <pic:pic>
                  <pic:nvPicPr>
                    <pic:cNvPr id="20177" name="image20177"/>
                    <pic:cNvPicPr/>
                  </pic:nvPicPr>
                  <pic:blipFill>
                    <a:blip r:embed="rId146"/>
                    <a:stretch>
                      <a:fillRect/>
                    </a:stretch>
                  </pic:blipFill>
                  <pic:spPr>
                    <a:xfrm>
                      <a:off x="0" y="0"/>
                      <a:ext cx="7302500" cy="89154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4760"/>
        <w:jc w:val="both"/>
      </w:pPr>
      <w:r>
        <w:rPr>
          <w:rFonts w:hint="eastAsia" w:ascii="宋体" w:hAnsi="宋体" w:eastAsia="宋体" w:cs="宋体"/>
          <w:sz w:val="30"/>
        </w:rPr>
        <w:t>会计师事务所声明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本所及签字注册会计师已阅读招股说明书及其摘要</w:t>
      </w:r>
      <w:r>
        <w:rPr>
          <w:rFonts w:hint="eastAsia" w:ascii="宋体" w:hAnsi="宋体" w:eastAsia="宋体" w:cs="宋体"/>
          <w:sz w:val="10"/>
        </w:rPr>
        <w:t>，</w:t>
      </w:r>
      <w:r>
        <w:rPr>
          <w:rFonts w:hint="eastAsia" w:ascii="宋体" w:hAnsi="宋体" w:eastAsia="宋体" w:cs="宋体"/>
          <w:sz w:val="24"/>
        </w:rPr>
        <w:t>确认招股说明书及其摘要与本所出具的审计报告</w:t>
      </w:r>
      <w:r>
        <w:rPr>
          <w:rFonts w:hint="eastAsia" w:ascii="宋体" w:hAnsi="宋体" w:eastAsia="宋体" w:cs="宋体"/>
          <w:sz w:val="10"/>
        </w:rPr>
        <w:t>、</w:t>
      </w:r>
      <w:r>
        <w:rPr>
          <w:rFonts w:hint="eastAsia" w:ascii="宋体" w:hAnsi="宋体" w:eastAsia="宋体" w:cs="宋体"/>
          <w:sz w:val="24"/>
        </w:rPr>
        <w:t>内部控制鉴证报告及经本所鉴证的非经常性损益明细表无矛盾之处</w:t>
      </w:r>
      <w:r>
        <w:rPr>
          <w:rFonts w:hint="eastAsia" w:ascii="宋体" w:hAnsi="宋体" w:eastAsia="宋体" w:cs="宋体"/>
          <w:sz w:val="10"/>
        </w:rPr>
        <w:t>。</w:t>
      </w:r>
      <w:r>
        <w:rPr>
          <w:rFonts w:hint="eastAsia" w:ascii="宋体" w:hAnsi="宋体" w:eastAsia="宋体" w:cs="宋体"/>
          <w:sz w:val="24"/>
        </w:rPr>
        <w:t>本所及签字注册会计师对发行人在招股说明书及其摘要中引用的审计报告</w:t>
      </w:r>
      <w:r>
        <w:rPr>
          <w:rFonts w:hint="eastAsia" w:ascii="宋体" w:hAnsi="宋体" w:eastAsia="宋体" w:cs="宋体"/>
          <w:sz w:val="10"/>
        </w:rPr>
        <w:t>、</w:t>
      </w:r>
      <w:r>
        <w:rPr>
          <w:rFonts w:hint="eastAsia" w:ascii="宋体" w:hAnsi="宋体" w:eastAsia="宋体" w:cs="宋体"/>
          <w:sz w:val="24"/>
        </w:rPr>
        <w:t>内部控制鉴证报告及经本所鉴证的非经常性损益明细表的内容无异议</w:t>
      </w:r>
      <w:r>
        <w:rPr>
          <w:rFonts w:hint="eastAsia" w:ascii="宋体" w:hAnsi="宋体" w:eastAsia="宋体" w:cs="宋体"/>
          <w:sz w:val="10"/>
        </w:rPr>
        <w:t>，</w:t>
      </w:r>
      <w:r>
        <w:rPr>
          <w:rFonts w:hint="eastAsia" w:ascii="宋体" w:hAnsi="宋体" w:eastAsia="宋体" w:cs="宋体"/>
          <w:sz w:val="24"/>
        </w:rPr>
        <w:t>确认招股说明书及其摘要不致因上述内容而出现虚假记载</w:t>
      </w:r>
      <w:r>
        <w:rPr>
          <w:rFonts w:hint="eastAsia" w:ascii="宋体" w:hAnsi="宋体" w:eastAsia="宋体" w:cs="宋体"/>
          <w:sz w:val="10"/>
        </w:rPr>
        <w:t>、</w:t>
      </w:r>
      <w:r>
        <w:rPr>
          <w:rFonts w:hint="eastAsia" w:ascii="宋体" w:hAnsi="宋体" w:eastAsia="宋体" w:cs="宋体"/>
          <w:sz w:val="24"/>
        </w:rPr>
        <w:t>误导性陈述或重大遗漏</w:t>
      </w:r>
      <w:r>
        <w:rPr>
          <w:rFonts w:hint="eastAsia" w:ascii="宋体" w:hAnsi="宋体" w:eastAsia="宋体" w:cs="宋体"/>
          <w:sz w:val="10"/>
        </w:rPr>
        <w:t>，</w:t>
      </w:r>
      <w:r>
        <w:rPr>
          <w:rFonts w:hint="eastAsia" w:ascii="宋体" w:hAnsi="宋体" w:eastAsia="宋体" w:cs="宋体"/>
          <w:sz w:val="24"/>
        </w:rPr>
        <w:t>并对其真实性</w:t>
      </w:r>
      <w:r>
        <w:rPr>
          <w:rFonts w:hint="eastAsia" w:ascii="宋体" w:hAnsi="宋体" w:eastAsia="宋体" w:cs="宋体"/>
          <w:sz w:val="10"/>
        </w:rPr>
        <w:t>、</w:t>
      </w:r>
      <w:r>
        <w:rPr>
          <w:rFonts w:hint="eastAsia" w:ascii="宋体" w:hAnsi="宋体" w:eastAsia="宋体" w:cs="宋体"/>
          <w:sz w:val="24"/>
        </w:rPr>
        <w:t>准确性和完整性承担相应的法律责任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6920"/>
        </w:tabs>
        <w:autoSpaceDE w:val="false"/>
        <w:autoSpaceDN w:val="false"/>
        <w:spacing w:line="400" w:lineRule="exact"/>
        <w:ind w:left="1440"/>
        <w:jc w:val="both"/>
      </w:pPr>
      <w:r>
        <w:rPr>
          <w:rFonts w:hint="eastAsia" w:ascii="宋体" w:hAnsi="宋体" w:eastAsia="宋体" w:cs="宋体"/>
          <w:sz w:val="24"/>
        </w:rPr>
        <w:t>签字注册会计师</w:t>
      </w:r>
      <w:r>
        <w:rPr>
          <w:rFonts w:hint="eastAsia" w:ascii="宋体" w:hAnsi="宋体" w:eastAsia="宋体" w:cs="宋体"/>
          <w:sz w:val="12"/>
        </w:rPr>
        <w:t>：</w:t>
      </w:r>
      <w:r>
        <w:tab/>
      </w:r>
      <w:r>
        <w:rPr>
          <w:rFonts w:hint="eastAsia" w:ascii="宋体" w:hAnsi="宋体" w:eastAsia="宋体" w:cs="宋体"/>
          <w:sz w:val="12"/>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6920"/>
        <w:jc w:val="both"/>
      </w:pP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6920"/>
        </w:tabs>
        <w:autoSpaceDE w:val="false"/>
        <w:autoSpaceDN w:val="false"/>
        <w:spacing w:line="340" w:lineRule="exact"/>
        <w:ind w:left="1440"/>
        <w:jc w:val="both"/>
      </w:pPr>
      <w:r>
        <w:rPr>
          <w:rFonts w:hint="eastAsia" w:ascii="宋体" w:hAnsi="宋体" w:eastAsia="宋体" w:cs="宋体"/>
          <w:sz w:val="24"/>
        </w:rPr>
        <w:t>会计师事务所负责人</w:t>
      </w:r>
      <w:r>
        <w:rPr>
          <w:rFonts w:hint="eastAsia" w:ascii="宋体" w:hAnsi="宋体" w:eastAsia="宋体" w:cs="宋体"/>
          <w:sz w:val="12"/>
        </w:rPr>
        <w:t>：</w:t>
      </w:r>
      <w:r>
        <w:tab/>
      </w:r>
      <w:r>
        <w:rPr>
          <w:rFonts w:hint="eastAsia" w:ascii="宋体" w:hAnsi="宋体" w:eastAsia="宋体" w:cs="宋体"/>
          <w:sz w:val="12"/>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7440"/>
        <w:jc w:val="both"/>
      </w:pPr>
      <w:r>
        <w:rPr>
          <w:rFonts w:hint="eastAsia" w:ascii="Times New Roman" w:hAnsi="Times New Roman" w:eastAsia="Times New Roman" w:cs="Times New Roman"/>
          <w:sz w:val="24"/>
        </w:rPr>
        <w:t>XX</w:t>
      </w:r>
      <w:r>
        <w:rPr>
          <w:rFonts w:hint="eastAsia" w:ascii="宋体" w:hAnsi="宋体" w:eastAsia="宋体" w:cs="宋体"/>
          <w:sz w:val="24"/>
        </w:rPr>
        <w:t xml:space="preserve"> 会计师事务所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8120"/>
          <w:tab w:val="left" w:leader="none" w:pos="8840"/>
        </w:tabs>
        <w:autoSpaceDE w:val="false"/>
        <w:autoSpaceDN w:val="false"/>
        <w:spacing w:line="300" w:lineRule="exact"/>
        <w:ind w:left="7280"/>
        <w:jc w:val="both"/>
      </w:pPr>
      <w:r>
        <w:rPr>
          <w:rFonts w:hint="eastAsia" w:ascii="宋体" w:hAnsi="宋体" w:eastAsia="宋体" w:cs="宋体"/>
          <w:sz w:val="24"/>
        </w:rPr>
        <w:t>年</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4"/>
        </w:rPr>
        <w:t>月</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4"/>
        </w:rPr>
        <w:t>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1-1-331</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2048" behindDoc="true" locked="false" layoutInCell="true" allowOverlap="true">
                <wp:simplePos x="0" y="0"/>
                <wp:positionH relativeFrom="page">
                  <wp:posOffset>2743200</wp:posOffset>
                </wp:positionH>
                <wp:positionV relativeFrom="page">
                  <wp:posOffset>4432300</wp:posOffset>
                </wp:positionV>
                <wp:extent cx="1358900" cy="25400"/>
                <wp:effectExtent l="0" t="0" r="22225" b="31115"/>
                <wp:wrapNone/>
                <wp:docPr id="20179" name="shape20179"/>
                <wp:cNvGraphicFramePr/>
                <a:graphic>
                  <a:graphicData uri="http://schemas.microsoft.com/office/word/2010/wordprocessingShape">
                    <wps:wsp>
                      <wps:cNvSpPr/>
                      <wps:spPr>
                        <a:xfrm>
                          <a:off x="0" y="0"/>
                          <a:ext cx="1358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pt;margin-left:216pt;margin-top:349pt;mso-wrap-style:square;z-index:10252048;mso-wrap-distance-left:9pt;mso-wrap-distance-top:0pt;mso-wrap-distance-right:9pt;mso-wrap-distance-bottom:0pt" id="shape20179" o:spid="1618382362318" stroked="f" filled="t" fillcolor="#000000"/>
            </w:pict>
          </mc:Fallback>
        </mc:AlternateContent>
      </w:r>
      <w:r>
        <mc:AlternateContent>
          <mc:Choice Requires="wps">
            <w:drawing>
              <wp:anchor distT="0" distB="0" distL="114300" distR="114300" simplePos="false" relativeHeight="10253072" behindDoc="true" locked="false" layoutInCell="true" allowOverlap="true">
                <wp:simplePos x="0" y="0"/>
                <wp:positionH relativeFrom="page">
                  <wp:posOffset>2743200</wp:posOffset>
                </wp:positionH>
                <wp:positionV relativeFrom="page">
                  <wp:posOffset>5753100</wp:posOffset>
                </wp:positionV>
                <wp:extent cx="1358900" cy="12700"/>
                <wp:effectExtent l="0" t="0" r="22225" b="31115"/>
                <wp:wrapNone/>
                <wp:docPr id="20180" name="shape20180"/>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16pt;margin-top:453pt;mso-wrap-style:square;z-index:10253072;mso-wrap-distance-left:9pt;mso-wrap-distance-top:0pt;mso-wrap-distance-right:9pt;mso-wrap-distance-bottom:0pt" id="shape20180" o:spid="1618382362318" stroked="f" filled="t" fillcolor="#000000"/>
            </w:pict>
          </mc:Fallback>
        </mc:AlternateContent>
      </w:r>
      <w:r>
        <mc:AlternateContent>
          <mc:Choice Requires="wps">
            <w:drawing>
              <wp:anchor distT="0" distB="0" distL="114300" distR="114300" simplePos="false" relativeHeight="10254096" behindDoc="true" locked="false" layoutInCell="true" allowOverlap="true">
                <wp:simplePos x="0" y="0"/>
                <wp:positionH relativeFrom="page">
                  <wp:posOffset>2743200</wp:posOffset>
                </wp:positionH>
                <wp:positionV relativeFrom="page">
                  <wp:posOffset>7073900</wp:posOffset>
                </wp:positionV>
                <wp:extent cx="1358900" cy="12700"/>
                <wp:effectExtent l="0" t="0" r="22225" b="31115"/>
                <wp:wrapNone/>
                <wp:docPr id="20181" name="shape20181"/>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16pt;margin-top:557pt;mso-wrap-style:square;z-index:10254096;mso-wrap-distance-left:9pt;mso-wrap-distance-top:0pt;mso-wrap-distance-right:9pt;mso-wrap-distance-bottom:0pt" id="shape20181" o:spid="1618382362318" stroked="f" filled="t" fillcolor="#000000"/>
            </w:pict>
          </mc:Fallback>
        </mc:AlternateContent>
      </w:r>
      <w:r>
        <mc:AlternateContent>
          <mc:Choice Requires="wps">
            <w:drawing>
              <wp:anchor distT="0" distB="0" distL="114300" distR="114300" simplePos="false" relativeHeight="10257168" behindDoc="false" locked="false" layoutInCell="true" allowOverlap="true">
                <wp:simplePos x="0" y="0"/>
                <wp:positionH relativeFrom="page">
                  <wp:posOffset>3200400</wp:posOffset>
                </wp:positionH>
                <wp:positionV relativeFrom="page">
                  <wp:posOffset>4533900</wp:posOffset>
                </wp:positionV>
                <wp:extent cx="355600" cy="203200"/>
                <wp:effectExtent l="0" t="0" r="22225" b="31115"/>
                <wp:wrapNone/>
                <wp:docPr id="20182" name="shape20182"/>
                <wp:cNvGraphicFramePr/>
                <a:graphic>
                  <a:graphicData uri="http://schemas.microsoft.com/office/word/2010/wordprocessingShape">
                    <wps:wsp>
                      <wps:cNvSpPr/>
                      <wps:spPr>
                        <a:xfrm>
                          <a:off x="0" y="0"/>
                          <a:ext cx="355600" cy="203200"/>
                        </a:xfrm>
                        <a:prstGeom prst="rect">
                          <a:avLst/>
                        </a:prstGeom>
                      </wps:spPr>
                      <wps:txbx>
                        <w:txbxContent>
                          <w:p>
                            <w:pPr>
                              <w:spacing w:line="-220" w:lineRule="exact"/>
                              <w:ind w:left="0"/>
                              <w:jc w:val="both"/>
                            </w:pPr>
                            <w:r>
                              <w:rPr>
                                <w:rFonts w:hint="eastAsia" w:ascii="宋体" w:hAnsi="宋体" w:eastAsia="宋体" w:cs="宋体"/>
                                <w:sz w:val="24"/>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8pt;height:16pt;margin-left:252pt;margin-top:357pt;mso-wrap-style:none;z-index:10257168;mso-wrap-distance-left:9pt;mso-wrap-distance-top:0pt;mso-wrap-distance-right:9pt;mso-wrap-distance-bottom:0pt" id="shape20182" o:spid="1618382362319" stroked="f">
                <v:textbox>
                  <w:txbxContent>
                    <w:p>
                      <w:pPr>
                        <w:spacing w:line="-220" w:lineRule="exact"/>
                        <w:ind w:left="0"/>
                        <w:jc w:val="both"/>
                      </w:pPr>
                      <w:r>
                        <w:rPr>
                          <w:rFonts w:hint="eastAsia" w:ascii="宋体" w:hAnsi="宋体" w:eastAsia="宋体" w:cs="宋体"/>
                          <w:sz w:val="24"/>
                        </w:rPr>
                        <w:t>【】</w:t>
                      </w:r>
                    </w:p>
                  </w:txbxContent>
                </v:textbox>
              </v:rect>
            </w:pict>
          </mc:Fallback>
        </mc:AlternateContent>
      </w:r>
      <w:r>
        <mc:AlternateContent>
          <mc:Choice Requires="wps">
            <w:drawing>
              <wp:anchor distT="0" distB="0" distL="114300" distR="114300" simplePos="false" relativeHeight="10258192" behindDoc="false" locked="false" layoutInCell="true" allowOverlap="true">
                <wp:simplePos x="0" y="0"/>
                <wp:positionH relativeFrom="page">
                  <wp:posOffset>3200400</wp:posOffset>
                </wp:positionH>
                <wp:positionV relativeFrom="page">
                  <wp:posOffset>5854700</wp:posOffset>
                </wp:positionV>
                <wp:extent cx="355600" cy="203200"/>
                <wp:effectExtent l="0" t="0" r="22225" b="31115"/>
                <wp:wrapNone/>
                <wp:docPr id="20183" name="shape20183"/>
                <wp:cNvGraphicFramePr/>
                <a:graphic>
                  <a:graphicData uri="http://schemas.microsoft.com/office/word/2010/wordprocessingShape">
                    <wps:wsp>
                      <wps:cNvSpPr/>
                      <wps:spPr>
                        <a:xfrm>
                          <a:off x="0" y="0"/>
                          <a:ext cx="355600" cy="203200"/>
                        </a:xfrm>
                        <a:prstGeom prst="rect">
                          <a:avLst/>
                        </a:prstGeom>
                      </wps:spPr>
                      <wps:txbx>
                        <w:txbxContent>
                          <w:p>
                            <w:pPr>
                              <w:spacing w:line="-220" w:lineRule="exact"/>
                              <w:ind w:left="0"/>
                              <w:jc w:val="both"/>
                            </w:pPr>
                            <w:r>
                              <w:rPr>
                                <w:rFonts w:hint="eastAsia" w:ascii="宋体" w:hAnsi="宋体" w:eastAsia="宋体" w:cs="宋体"/>
                                <w:sz w:val="24"/>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8pt;height:16pt;margin-left:252pt;margin-top:461pt;mso-wrap-style:none;z-index:10258192;mso-wrap-distance-left:9pt;mso-wrap-distance-top:0pt;mso-wrap-distance-right:9pt;mso-wrap-distance-bottom:0pt" id="shape20183" o:spid="1618382362319" stroked="f">
                <v:textbox>
                  <w:txbxContent>
                    <w:p>
                      <w:pPr>
                        <w:spacing w:line="-220" w:lineRule="exact"/>
                        <w:ind w:left="0"/>
                        <w:jc w:val="both"/>
                      </w:pPr>
                      <w:r>
                        <w:rPr>
                          <w:rFonts w:hint="eastAsia" w:ascii="宋体" w:hAnsi="宋体" w:eastAsia="宋体" w:cs="宋体"/>
                          <w:sz w:val="24"/>
                        </w:rPr>
                        <w:t>【】</w:t>
                      </w:r>
                    </w:p>
                  </w:txbxContent>
                </v:textbox>
              </v:rect>
            </w:pict>
          </mc:Fallback>
        </mc:AlternateContent>
      </w:r>
      <w:r>
        <mc:AlternateContent>
          <mc:Choice Requires="wps">
            <w:drawing>
              <wp:anchor distT="0" distB="0" distL="114300" distR="114300" simplePos="false" relativeHeight="10259216" behindDoc="false" locked="false" layoutInCell="true" allowOverlap="true">
                <wp:simplePos x="0" y="0"/>
                <wp:positionH relativeFrom="page">
                  <wp:posOffset>3200400</wp:posOffset>
                </wp:positionH>
                <wp:positionV relativeFrom="page">
                  <wp:posOffset>7175500</wp:posOffset>
                </wp:positionV>
                <wp:extent cx="355600" cy="203200"/>
                <wp:effectExtent l="0" t="0" r="22225" b="31115"/>
                <wp:wrapNone/>
                <wp:docPr id="20184" name="shape20184"/>
                <wp:cNvGraphicFramePr/>
                <a:graphic>
                  <a:graphicData uri="http://schemas.microsoft.com/office/word/2010/wordprocessingShape">
                    <wps:wsp>
                      <wps:cNvSpPr/>
                      <wps:spPr>
                        <a:xfrm>
                          <a:off x="0" y="0"/>
                          <a:ext cx="355600" cy="203200"/>
                        </a:xfrm>
                        <a:prstGeom prst="rect">
                          <a:avLst/>
                        </a:prstGeom>
                      </wps:spPr>
                      <wps:txbx>
                        <w:txbxContent>
                          <w:p>
                            <w:pPr>
                              <w:spacing w:line="-220" w:lineRule="exact"/>
                              <w:ind w:left="0"/>
                              <w:jc w:val="both"/>
                            </w:pPr>
                            <w:r>
                              <w:rPr>
                                <w:rFonts w:hint="eastAsia" w:ascii="宋体" w:hAnsi="宋体" w:eastAsia="宋体" w:cs="宋体"/>
                                <w:sz w:val="24"/>
                              </w:rPr>
                              <w:t>【】</w:t>
                            </w:r>
                          </w:p>
                        </w:txbxContent>
                      </wps:txbx>
                      <wps:bodyPr rot="0" spcFirstLastPara="false" vertOverflow="overflow" horzOverflow="overflow" vert="horz" wrap="none" lIns="0" tIns="0" rIns="0" bIns="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28pt;height:16pt;margin-left:252pt;margin-top:565pt;mso-wrap-style:none;z-index:10259216;mso-wrap-distance-left:9pt;mso-wrap-distance-top:0pt;mso-wrap-distance-right:9pt;mso-wrap-distance-bottom:0pt" id="shape20184" o:spid="1618382362319" stroked="f">
                <v:textbox>
                  <w:txbxContent>
                    <w:p>
                      <w:pPr>
                        <w:spacing w:line="-220" w:lineRule="exact"/>
                        <w:ind w:left="0"/>
                        <w:jc w:val="both"/>
                      </w:pPr>
                      <w:r>
                        <w:rPr>
                          <w:rFonts w:hint="eastAsia" w:ascii="宋体" w:hAnsi="宋体" w:eastAsia="宋体" w:cs="宋体"/>
                          <w:sz w:val="24"/>
                        </w:rPr>
                        <w:t>【】</w:t>
                      </w:r>
                    </w:p>
                  </w:txbxContent>
                </v:textbox>
              </v:rect>
            </w:pict>
          </mc:Fallback>
        </mc:AlternateContent>
      </w:r>
      <w:r>
        <w:drawing>
          <wp:anchor distT="0" distB="0" distL="114300" distR="114300" simplePos="false" relativeHeight="10255120" behindDoc="true" locked="false" layoutInCell="true" allowOverlap="true">
            <wp:simplePos x="0" y="0"/>
            <wp:positionH relativeFrom="page">
              <wp:posOffset>63500</wp:posOffset>
            </wp:positionH>
            <wp:positionV relativeFrom="page">
              <wp:posOffset>889000</wp:posOffset>
            </wp:positionV>
            <wp:extent cx="7302500" cy="8928100"/>
            <wp:effectExtent l="0" t="0" r="0" b="0"/>
            <wp:wrapNone/>
            <wp:docPr id="20185" name="image20185" descr=""/>
            <wp:cNvGraphicFramePr>
              <a:graphicFrameLocks noChangeAspect="true"/>
            </wp:cNvGraphicFramePr>
            <a:graphic>
              <a:graphicData uri="http://schemas.openxmlformats.org/drawingml/2006/picture">
                <pic:pic>
                  <pic:nvPicPr>
                    <pic:cNvPr id="20185" name="image20185"/>
                    <pic:cNvPicPr/>
                  </pic:nvPicPr>
                  <pic:blipFill>
                    <a:blip r:embed="rId147"/>
                    <a:stretch>
                      <a:fillRect/>
                    </a:stretch>
                  </pic:blipFill>
                  <pic:spPr>
                    <a:xfrm>
                      <a:off x="0" y="0"/>
                      <a:ext cx="7302500" cy="89281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4760"/>
        <w:jc w:val="both"/>
      </w:pPr>
      <w:r>
        <w:rPr>
          <w:rFonts w:hint="eastAsia" w:ascii="宋体" w:hAnsi="宋体" w:eastAsia="宋体" w:cs="宋体"/>
          <w:sz w:val="30"/>
        </w:rPr>
        <w:t>资产评估机构声明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本机构及签字注册资产评估师已阅读招股说明书及其摘要</w:t>
      </w:r>
      <w:r>
        <w:rPr>
          <w:rFonts w:hint="eastAsia" w:ascii="宋体" w:hAnsi="宋体" w:eastAsia="宋体" w:cs="宋体"/>
          <w:sz w:val="10"/>
        </w:rPr>
        <w:t>，</w:t>
      </w:r>
      <w:r>
        <w:rPr>
          <w:rFonts w:hint="eastAsia" w:ascii="宋体" w:hAnsi="宋体" w:eastAsia="宋体" w:cs="宋体"/>
          <w:sz w:val="24"/>
        </w:rPr>
        <w:t>确认招股说明书及其摘要与本机构出具的资产评估报告无矛盾之处</w:t>
      </w:r>
      <w:r>
        <w:rPr>
          <w:rFonts w:hint="eastAsia" w:ascii="宋体" w:hAnsi="宋体" w:eastAsia="宋体" w:cs="宋体"/>
          <w:sz w:val="10"/>
        </w:rPr>
        <w:t>。</w:t>
      </w:r>
      <w:r>
        <w:rPr>
          <w:rFonts w:hint="eastAsia" w:ascii="宋体" w:hAnsi="宋体" w:eastAsia="宋体" w:cs="宋体"/>
          <w:sz w:val="24"/>
        </w:rPr>
        <w:t>本机构及签字注册资产评估师对发行人在招股说明书及其摘要中引用的资产评估报告的内容无异议</w:t>
      </w:r>
      <w:r>
        <w:rPr>
          <w:rFonts w:hint="eastAsia" w:ascii="宋体" w:hAnsi="宋体" w:eastAsia="宋体" w:cs="宋体"/>
          <w:sz w:val="10"/>
        </w:rPr>
        <w:t>，</w:t>
      </w:r>
      <w:r>
        <w:rPr>
          <w:rFonts w:hint="eastAsia" w:ascii="宋体" w:hAnsi="宋体" w:eastAsia="宋体" w:cs="宋体"/>
          <w:sz w:val="24"/>
        </w:rPr>
        <w:t>确认招股说明书及其摘要不致因上述内容而出现虚假记载</w:t>
      </w:r>
      <w:r>
        <w:rPr>
          <w:rFonts w:hint="eastAsia" w:ascii="宋体" w:hAnsi="宋体" w:eastAsia="宋体" w:cs="宋体"/>
          <w:sz w:val="10"/>
        </w:rPr>
        <w:t>、</w:t>
      </w:r>
      <w:r>
        <w:rPr>
          <w:rFonts w:hint="eastAsia" w:ascii="宋体" w:hAnsi="宋体" w:eastAsia="宋体" w:cs="宋体"/>
          <w:sz w:val="24"/>
        </w:rPr>
        <w:t>误导性陈述或重大遗漏</w:t>
      </w:r>
      <w:r>
        <w:rPr>
          <w:rFonts w:hint="eastAsia" w:ascii="宋体" w:hAnsi="宋体" w:eastAsia="宋体" w:cs="宋体"/>
          <w:sz w:val="10"/>
        </w:rPr>
        <w:t>，</w:t>
      </w:r>
      <w:r>
        <w:rPr>
          <w:rFonts w:hint="eastAsia" w:ascii="宋体" w:hAnsi="宋体" w:eastAsia="宋体" w:cs="宋体"/>
          <w:sz w:val="24"/>
        </w:rPr>
        <w:t>并对其真实性</w:t>
      </w:r>
      <w:r>
        <w:rPr>
          <w:rFonts w:hint="eastAsia" w:ascii="宋体" w:hAnsi="宋体" w:eastAsia="宋体" w:cs="宋体"/>
          <w:sz w:val="10"/>
        </w:rPr>
        <w:t>、</w:t>
      </w:r>
      <w:r>
        <w:rPr>
          <w:rFonts w:hint="eastAsia" w:ascii="宋体" w:hAnsi="宋体" w:eastAsia="宋体" w:cs="宋体"/>
          <w:sz w:val="24"/>
        </w:rPr>
        <w:t>准确性和完整性承担相应的法律责任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5960"/>
          <w:tab w:val="left" w:pos="6540"/>
        </w:tabs>
        <w:autoSpaceDE w:val="false"/>
        <w:autoSpaceDN w:val="false"/>
        <w:spacing w:line="320" w:lineRule="exact"/>
        <w:ind w:left="1440"/>
        <w:jc w:val="both"/>
      </w:pPr>
      <w:r>
        <w:rPr>
          <w:rFonts w:hint="eastAsia" w:ascii="宋体" w:hAnsi="宋体" w:eastAsia="宋体" w:cs="宋体"/>
          <w:sz w:val="24"/>
        </w:rPr>
        <w:t>签字注册资产评估师</w:t>
      </w:r>
      <w:r>
        <w:rPr>
          <w:rFonts w:hint="eastAsia" w:ascii="宋体" w:hAnsi="宋体" w:eastAsia="宋体" w:cs="宋体"/>
          <w:sz w:val="12"/>
        </w:rPr>
        <w:t>：</w:t>
      </w:r>
      <w:r>
        <w:tab/>
      </w:r>
      <w:r>
        <w:rPr>
          <w:rFonts w:hint="eastAsia" w:ascii="Times New Roman" w:hAnsi="Times New Roman" w:eastAsia="Times New Roman" w:cs="Times New Roman"/>
          <w:sz w:val="21"/>
        </w:rPr>
        <w:t xml:space="preserve"> </w:t>
      </w:r>
      <w:r>
        <w:tab/>
      </w:r>
      <w:r>
        <w:rPr>
          <w:rFonts w:hint="eastAsia" w:ascii="宋体" w:hAnsi="宋体" w:eastAsia="宋体" w:cs="宋体"/>
          <w:sz w:val="12"/>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60" w:lineRule="exact"/>
        <w:ind w:left="6540"/>
        <w:jc w:val="both"/>
      </w:pP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6540"/>
        </w:tabs>
        <w:autoSpaceDE w:val="false"/>
        <w:autoSpaceDN w:val="false"/>
        <w:spacing w:line="280" w:lineRule="exact"/>
        <w:ind w:left="1420"/>
        <w:jc w:val="both"/>
      </w:pPr>
      <w:r>
        <w:rPr>
          <w:rFonts w:hint="eastAsia" w:ascii="宋体" w:hAnsi="宋体" w:eastAsia="宋体" w:cs="宋体"/>
          <w:sz w:val="24"/>
        </w:rPr>
        <w:t>资产评估机构负责人</w:t>
      </w:r>
      <w:r>
        <w:rPr>
          <w:rFonts w:hint="eastAsia" w:ascii="宋体" w:hAnsi="宋体" w:eastAsia="宋体" w:cs="宋体"/>
          <w:sz w:val="12"/>
        </w:rPr>
        <w:t>：</w:t>
      </w:r>
      <w:r>
        <w:tab/>
      </w:r>
      <w:r>
        <w:rPr>
          <w:rFonts w:hint="eastAsia" w:ascii="宋体" w:hAnsi="宋体" w:eastAsia="宋体" w:cs="宋体"/>
          <w:sz w:val="12"/>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7200"/>
        <w:jc w:val="both"/>
      </w:pPr>
      <w:r>
        <w:rPr>
          <w:rFonts w:hint="eastAsia" w:ascii="Times New Roman" w:hAnsi="Times New Roman" w:eastAsia="Times New Roman" w:cs="Times New Roman"/>
          <w:sz w:val="24"/>
        </w:rPr>
        <w:t>XX</w:t>
      </w:r>
      <w:r>
        <w:rPr>
          <w:rFonts w:hint="eastAsia" w:ascii="宋体" w:hAnsi="宋体" w:eastAsia="宋体" w:cs="宋体"/>
          <w:sz w:val="24"/>
        </w:rPr>
        <w:t xml:space="preserve"> 资产评估有限公司</w:t>
      </w:r>
    </w:p>
    <w:p>
      <w:pPr>
        <w:spacing w:line="200" w:lineRule="exact"/>
        <w:rPr>
          <w:rFonts w:hint="eastAsia" w:ascii="宋体" w:hAnsi="宋体" w:eastAsia="宋体" w:cs="宋体"/>
          <w:sz w:val="20"/>
        </w:rPr>
      </w:pPr>
    </w:p>
    <w:p>
      <w:pPr>
        <w:tabs>
          <w:tab w:val="left" w:leader="none" w:pos="8120"/>
          <w:tab w:val="left" w:leader="none" w:pos="8840"/>
        </w:tabs>
        <w:autoSpaceDE w:val="false"/>
        <w:autoSpaceDN w:val="false"/>
        <w:spacing w:line="420" w:lineRule="exact"/>
        <w:ind w:left="7280"/>
        <w:jc w:val="both"/>
      </w:pPr>
      <w:r>
        <w:rPr>
          <w:rFonts w:hint="eastAsia" w:ascii="宋体" w:hAnsi="宋体" w:eastAsia="宋体" w:cs="宋体"/>
          <w:sz w:val="24"/>
        </w:rPr>
        <w:t>年</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4"/>
        </w:rPr>
        <w:t>月</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4"/>
        </w:rPr>
        <w:t>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1-1-332</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2048" behindDoc="true" locked="false" layoutInCell="true" allowOverlap="true">
                <wp:simplePos x="0" y="0"/>
                <wp:positionH relativeFrom="page">
                  <wp:posOffset>3009900</wp:posOffset>
                </wp:positionH>
                <wp:positionV relativeFrom="page">
                  <wp:posOffset>4495800</wp:posOffset>
                </wp:positionV>
                <wp:extent cx="1358900" cy="12700"/>
                <wp:effectExtent l="0" t="0" r="22225" b="31115"/>
                <wp:wrapNone/>
                <wp:docPr id="20187" name="shape20187"/>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37pt;margin-top:354pt;mso-wrap-style:square;z-index:10252048;mso-wrap-distance-left:9pt;mso-wrap-distance-top:0pt;mso-wrap-distance-right:9pt;mso-wrap-distance-bottom:0pt" id="shape20187" o:spid="1618382362630" stroked="f" filled="t" fillcolor="#000000"/>
            </w:pict>
          </mc:Fallback>
        </mc:AlternateContent>
      </w:r>
      <w:r>
        <mc:AlternateContent>
          <mc:Choice Requires="wps">
            <w:drawing>
              <wp:anchor distT="0" distB="0" distL="114300" distR="114300" simplePos="false" relativeHeight="10253072" behindDoc="true" locked="false" layoutInCell="true" allowOverlap="true">
                <wp:simplePos x="0" y="0"/>
                <wp:positionH relativeFrom="page">
                  <wp:posOffset>3009900</wp:posOffset>
                </wp:positionH>
                <wp:positionV relativeFrom="page">
                  <wp:posOffset>5778500</wp:posOffset>
                </wp:positionV>
                <wp:extent cx="1358900" cy="12700"/>
                <wp:effectExtent l="0" t="0" r="22225" b="31115"/>
                <wp:wrapNone/>
                <wp:docPr id="20188" name="shape20188"/>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37pt;margin-top:455pt;mso-wrap-style:square;z-index:10253072;mso-wrap-distance-left:9pt;mso-wrap-distance-top:0pt;mso-wrap-distance-right:9pt;mso-wrap-distance-bottom:0pt" id="shape20188" o:spid="1618382362630" stroked="f" filled="t" fillcolor="#000000"/>
            </w:pict>
          </mc:Fallback>
        </mc:AlternateContent>
      </w:r>
      <w:r>
        <mc:AlternateContent>
          <mc:Choice Requires="wps">
            <w:drawing>
              <wp:anchor distT="0" distB="0" distL="114300" distR="114300" simplePos="false" relativeHeight="10254096" behindDoc="true" locked="false" layoutInCell="true" allowOverlap="true">
                <wp:simplePos x="0" y="0"/>
                <wp:positionH relativeFrom="page">
                  <wp:posOffset>3009900</wp:posOffset>
                </wp:positionH>
                <wp:positionV relativeFrom="page">
                  <wp:posOffset>7061200</wp:posOffset>
                </wp:positionV>
                <wp:extent cx="1358900" cy="25400"/>
                <wp:effectExtent l="0" t="0" r="22225" b="31115"/>
                <wp:wrapNone/>
                <wp:docPr id="20189" name="shape20189"/>
                <wp:cNvGraphicFramePr/>
                <a:graphic>
                  <a:graphicData uri="http://schemas.microsoft.com/office/word/2010/wordprocessingShape">
                    <wps:wsp>
                      <wps:cNvSpPr/>
                      <wps:spPr>
                        <a:xfrm>
                          <a:off x="0" y="0"/>
                          <a:ext cx="1358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pt;margin-left:237pt;margin-top:556pt;mso-wrap-style:square;z-index:10254096;mso-wrap-distance-left:9pt;mso-wrap-distance-top:0pt;mso-wrap-distance-right:9pt;mso-wrap-distance-bottom:0pt" id="shape20189" o:spid="1618382362630" stroked="f" filled="t" fillcolor="#000000"/>
            </w:pict>
          </mc:Fallback>
        </mc:AlternateContent>
      </w:r>
      <w:r>
        <w:drawing>
          <wp:anchor distT="0" distB="0" distL="114300" distR="114300" simplePos="false" relativeHeight="10255120" behindDoc="true" locked="false" layoutInCell="true" allowOverlap="true">
            <wp:simplePos x="0" y="0"/>
            <wp:positionH relativeFrom="page">
              <wp:posOffset>101600</wp:posOffset>
            </wp:positionH>
            <wp:positionV relativeFrom="page">
              <wp:posOffset>838200</wp:posOffset>
            </wp:positionV>
            <wp:extent cx="7302500" cy="8966200"/>
            <wp:effectExtent l="0" t="0" r="0" b="0"/>
            <wp:wrapNone/>
            <wp:docPr id="20190" name="image20190" descr=""/>
            <wp:cNvGraphicFramePr>
              <a:graphicFrameLocks noChangeAspect="true"/>
            </wp:cNvGraphicFramePr>
            <a:graphic>
              <a:graphicData uri="http://schemas.openxmlformats.org/drawingml/2006/picture">
                <pic:pic>
                  <pic:nvPicPr>
                    <pic:cNvPr id="20190" name="image20190"/>
                    <pic:cNvPicPr/>
                  </pic:nvPicPr>
                  <pic:blipFill>
                    <a:blip r:embed="rId148"/>
                    <a:stretch>
                      <a:fillRect/>
                    </a:stretch>
                  </pic:blipFill>
                  <pic:spPr>
                    <a:xfrm>
                      <a:off x="0" y="0"/>
                      <a:ext cx="7302500" cy="89662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5120"/>
        <w:jc w:val="both"/>
      </w:pPr>
      <w:r>
        <w:rPr>
          <w:rFonts w:hint="eastAsia" w:ascii="宋体" w:hAnsi="宋体" w:eastAsia="宋体" w:cs="宋体"/>
          <w:sz w:val="30"/>
        </w:rPr>
        <w:t>验资机构声明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40" w:firstLine="480"/>
        <w:jc w:val="both"/>
      </w:pPr>
      <w:r>
        <w:rPr>
          <w:rFonts w:hint="eastAsia" w:ascii="宋体" w:hAnsi="宋体" w:eastAsia="宋体" w:cs="宋体"/>
          <w:sz w:val="24"/>
        </w:rPr>
        <w:t>本机构及签字注册会计师已阅读招股说明书及其摘要</w:t>
      </w:r>
      <w:r>
        <w:rPr>
          <w:rFonts w:hint="eastAsia" w:ascii="宋体" w:hAnsi="宋体" w:eastAsia="宋体" w:cs="宋体"/>
          <w:sz w:val="10"/>
        </w:rPr>
        <w:t>，</w:t>
      </w:r>
      <w:r>
        <w:rPr>
          <w:rFonts w:hint="eastAsia" w:ascii="宋体" w:hAnsi="宋体" w:eastAsia="宋体" w:cs="宋体"/>
          <w:sz w:val="24"/>
        </w:rPr>
        <w:t>确认招股说明书及其摘要与本机构出具的验资报告无矛盾之处</w:t>
      </w:r>
      <w:r>
        <w:rPr>
          <w:rFonts w:hint="eastAsia" w:ascii="宋体" w:hAnsi="宋体" w:eastAsia="宋体" w:cs="宋体"/>
          <w:sz w:val="10"/>
        </w:rPr>
        <w:t>。</w:t>
      </w:r>
      <w:r>
        <w:rPr>
          <w:rFonts w:hint="eastAsia" w:ascii="宋体" w:hAnsi="宋体" w:eastAsia="宋体" w:cs="宋体"/>
          <w:sz w:val="24"/>
        </w:rPr>
        <w:t>本机构及签字注册会计师对发行人在招股说明书及其摘要中引用的验资复核报告的内容无异议</w:t>
      </w:r>
      <w:r>
        <w:rPr>
          <w:rFonts w:hint="eastAsia" w:ascii="宋体" w:hAnsi="宋体" w:eastAsia="宋体" w:cs="宋体"/>
          <w:sz w:val="10"/>
        </w:rPr>
        <w:t>，</w:t>
      </w:r>
      <w:r>
        <w:rPr>
          <w:rFonts w:hint="eastAsia" w:ascii="宋体" w:hAnsi="宋体" w:eastAsia="宋体" w:cs="宋体"/>
          <w:sz w:val="24"/>
        </w:rPr>
        <w:t>确认招股说明书及其摘要不致因上述内容而出现虚假记载</w:t>
      </w:r>
      <w:r>
        <w:rPr>
          <w:rFonts w:hint="eastAsia" w:ascii="宋体" w:hAnsi="宋体" w:eastAsia="宋体" w:cs="宋体"/>
          <w:sz w:val="10"/>
        </w:rPr>
        <w:t>、</w:t>
      </w:r>
      <w:r>
        <w:rPr>
          <w:rFonts w:hint="eastAsia" w:ascii="宋体" w:hAnsi="宋体" w:eastAsia="宋体" w:cs="宋体"/>
          <w:sz w:val="24"/>
        </w:rPr>
        <w:t>误导性陈述或重大遗漏</w:t>
      </w:r>
      <w:r>
        <w:rPr>
          <w:rFonts w:hint="eastAsia" w:ascii="宋体" w:hAnsi="宋体" w:eastAsia="宋体" w:cs="宋体"/>
          <w:sz w:val="10"/>
        </w:rPr>
        <w:t>，</w:t>
      </w:r>
      <w:r>
        <w:rPr>
          <w:rFonts w:hint="eastAsia" w:ascii="宋体" w:hAnsi="宋体" w:eastAsia="宋体" w:cs="宋体"/>
          <w:sz w:val="24"/>
        </w:rPr>
        <w:t>并对其真实性</w:t>
      </w:r>
      <w:r>
        <w:rPr>
          <w:rFonts w:hint="eastAsia" w:ascii="宋体" w:hAnsi="宋体" w:eastAsia="宋体" w:cs="宋体"/>
          <w:sz w:val="10"/>
        </w:rPr>
        <w:t>、</w:t>
      </w:r>
      <w:r>
        <w:rPr>
          <w:rFonts w:hint="eastAsia" w:ascii="宋体" w:hAnsi="宋体" w:eastAsia="宋体" w:cs="宋体"/>
          <w:sz w:val="24"/>
        </w:rPr>
        <w:t>准确性和完整性承担相应的法律责任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6980"/>
        </w:tabs>
        <w:autoSpaceDE w:val="false"/>
        <w:autoSpaceDN w:val="false"/>
        <w:spacing w:line="400" w:lineRule="exact"/>
        <w:ind w:left="1440"/>
        <w:jc w:val="both"/>
      </w:pPr>
      <w:r>
        <w:rPr>
          <w:rFonts w:hint="eastAsia" w:ascii="宋体" w:hAnsi="宋体" w:eastAsia="宋体" w:cs="宋体"/>
          <w:sz w:val="24"/>
        </w:rPr>
        <w:t>签字注册会计师</w:t>
      </w:r>
      <w:r>
        <w:rPr>
          <w:rFonts w:hint="eastAsia" w:ascii="宋体" w:hAnsi="宋体" w:eastAsia="宋体" w:cs="宋体"/>
          <w:sz w:val="12"/>
        </w:rPr>
        <w:t>：</w:t>
      </w:r>
      <w:r>
        <w:tab/>
      </w:r>
      <w:r>
        <w:rPr>
          <w:rFonts w:hint="eastAsia" w:ascii="宋体" w:hAnsi="宋体" w:eastAsia="宋体" w:cs="宋体"/>
          <w:sz w:val="12"/>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6980"/>
        <w:jc w:val="both"/>
      </w:pP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6980"/>
        </w:tabs>
        <w:autoSpaceDE w:val="false"/>
        <w:autoSpaceDN w:val="false"/>
        <w:spacing w:line="420" w:lineRule="exact"/>
        <w:ind w:left="1440"/>
        <w:jc w:val="both"/>
      </w:pPr>
      <w:r>
        <w:rPr>
          <w:rFonts w:hint="eastAsia" w:ascii="宋体" w:hAnsi="宋体" w:eastAsia="宋体" w:cs="宋体"/>
          <w:sz w:val="24"/>
        </w:rPr>
        <w:t>会计师事务所负责人</w:t>
      </w:r>
      <w:r>
        <w:rPr>
          <w:rFonts w:hint="eastAsia" w:ascii="宋体" w:hAnsi="宋体" w:eastAsia="宋体" w:cs="宋体"/>
          <w:sz w:val="10"/>
        </w:rPr>
        <w:t>：</w:t>
      </w:r>
      <w:r>
        <w:tab/>
      </w:r>
      <w:r>
        <w:rPr>
          <w:rFonts w:hint="eastAsia" w:ascii="宋体" w:hAnsi="宋体" w:eastAsia="宋体" w:cs="宋体"/>
          <w:sz w:val="10"/>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7580"/>
        <w:jc w:val="both"/>
      </w:pPr>
      <w:r>
        <w:rPr>
          <w:rFonts w:hint="eastAsia" w:ascii="Times New Roman" w:hAnsi="Times New Roman" w:eastAsia="Times New Roman" w:cs="Times New Roman"/>
          <w:sz w:val="24"/>
        </w:rPr>
        <w:t>XX</w:t>
      </w:r>
      <w:r>
        <w:rPr>
          <w:rFonts w:hint="eastAsia" w:ascii="宋体" w:hAnsi="宋体" w:eastAsia="宋体" w:cs="宋体"/>
          <w:sz w:val="24"/>
        </w:rPr>
        <w:t>会计师事务所</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7800"/>
        <w:jc w:val="both"/>
      </w:pPr>
      <w:r>
        <w:rPr>
          <w:rFonts w:hint="eastAsia" w:ascii="宋体" w:hAnsi="宋体" w:eastAsia="宋体" w:cs="宋体"/>
          <w:sz w:val="24"/>
        </w:rPr>
        <w:t>年</w:t>
      </w:r>
      <w:r>
        <w:rPr>
          <w:rFonts w:hint="eastAsia" w:ascii="Times New Roman" w:hAnsi="Times New Roman" w:eastAsia="Times New Roman" w:cs="Times New Roman"/>
          <w:sz w:val="24"/>
        </w:rPr>
        <w:t xml:space="preserve">   </w:t>
      </w:r>
      <w:r>
        <w:rPr>
          <w:rFonts w:hint="eastAsia" w:ascii="宋体" w:hAnsi="宋体" w:eastAsia="宋体" w:cs="宋体"/>
          <w:sz w:val="24"/>
        </w:rPr>
        <w:t>月</w:t>
      </w:r>
      <w:r>
        <w:rPr>
          <w:rFonts w:hint="eastAsia" w:ascii="Times New Roman" w:hAnsi="Times New Roman" w:eastAsia="Times New Roman" w:cs="Times New Roman"/>
          <w:sz w:val="24"/>
        </w:rPr>
        <w:t xml:space="preserve">   </w:t>
      </w:r>
      <w:r>
        <w:rPr>
          <w:rFonts w:hint="eastAsia" w:ascii="宋体" w:hAnsi="宋体" w:eastAsia="宋体" w:cs="宋体"/>
          <w:sz w:val="24"/>
        </w:rPr>
        <w:t>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5620"/>
        <w:jc w:val="both"/>
      </w:pPr>
      <w:r>
        <w:rPr>
          <w:rFonts w:hint="eastAsia" w:ascii="Times New Roman" w:hAnsi="Times New Roman" w:eastAsia="Times New Roman" w:cs="Times New Roman"/>
          <w:sz w:val="21"/>
        </w:rPr>
        <w:t>1-1-333</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500"/>
        </w:tabs>
        <w:autoSpaceDE w:val="false"/>
        <w:autoSpaceDN w:val="false"/>
        <w:spacing w:line="300" w:lineRule="exact"/>
        <w:ind w:left="144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r>
        <mc:AlternateContent>
          <mc:Choice Requires="wps">
            <w:drawing>
              <wp:anchor distT="0" distB="0" distL="114300" distR="114300" simplePos="false" relativeHeight="10252048" behindDoc="true" locked="false" layoutInCell="true" allowOverlap="true">
                <wp:simplePos x="0" y="0"/>
                <wp:positionH relativeFrom="page">
                  <wp:posOffset>3009900</wp:posOffset>
                </wp:positionH>
                <wp:positionV relativeFrom="page">
                  <wp:posOffset>4495800</wp:posOffset>
                </wp:positionV>
                <wp:extent cx="1358900" cy="12700"/>
                <wp:effectExtent l="0" t="0" r="22225" b="31115"/>
                <wp:wrapNone/>
                <wp:docPr id="20192" name="shape20192"/>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37pt;margin-top:354pt;mso-wrap-style:square;z-index:10252048;mso-wrap-distance-left:9pt;mso-wrap-distance-top:0pt;mso-wrap-distance-right:9pt;mso-wrap-distance-bottom:0pt" id="shape20192" o:spid="1618382362907" stroked="f" filled="t" fillcolor="#000000"/>
            </w:pict>
          </mc:Fallback>
        </mc:AlternateContent>
      </w:r>
      <w:r>
        <mc:AlternateContent>
          <mc:Choice Requires="wps">
            <w:drawing>
              <wp:anchor distT="0" distB="0" distL="114300" distR="114300" simplePos="false" relativeHeight="10253072" behindDoc="true" locked="false" layoutInCell="true" allowOverlap="true">
                <wp:simplePos x="0" y="0"/>
                <wp:positionH relativeFrom="page">
                  <wp:posOffset>3009900</wp:posOffset>
                </wp:positionH>
                <wp:positionV relativeFrom="page">
                  <wp:posOffset>5778500</wp:posOffset>
                </wp:positionV>
                <wp:extent cx="1358900" cy="12700"/>
                <wp:effectExtent l="0" t="0" r="22225" b="31115"/>
                <wp:wrapNone/>
                <wp:docPr id="20193" name="shape20193"/>
                <wp:cNvGraphicFramePr/>
                <a:graphic>
                  <a:graphicData uri="http://schemas.microsoft.com/office/word/2010/wordprocessingShape">
                    <wps:wsp>
                      <wps:cNvSpPr/>
                      <wps:spPr>
                        <a:xfrm>
                          <a:off x="0" y="0"/>
                          <a:ext cx="1358900" cy="127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1pt;margin-left:237pt;margin-top:455pt;mso-wrap-style:square;z-index:10253072;mso-wrap-distance-left:9pt;mso-wrap-distance-top:0pt;mso-wrap-distance-right:9pt;mso-wrap-distance-bottom:0pt" id="shape20193" o:spid="1618382362908" stroked="f" filled="t" fillcolor="#000000"/>
            </w:pict>
          </mc:Fallback>
        </mc:AlternateContent>
      </w:r>
      <w:r>
        <mc:AlternateContent>
          <mc:Choice Requires="wps">
            <w:drawing>
              <wp:anchor distT="0" distB="0" distL="114300" distR="114300" simplePos="false" relativeHeight="10254096" behindDoc="true" locked="false" layoutInCell="true" allowOverlap="true">
                <wp:simplePos x="0" y="0"/>
                <wp:positionH relativeFrom="page">
                  <wp:posOffset>3009900</wp:posOffset>
                </wp:positionH>
                <wp:positionV relativeFrom="page">
                  <wp:posOffset>7061200</wp:posOffset>
                </wp:positionV>
                <wp:extent cx="1358900" cy="25400"/>
                <wp:effectExtent l="0" t="0" r="22225" b="31115"/>
                <wp:wrapNone/>
                <wp:docPr id="20194" name="shape20194"/>
                <wp:cNvGraphicFramePr/>
                <a:graphic>
                  <a:graphicData uri="http://schemas.microsoft.com/office/word/2010/wordprocessingShape">
                    <wps:wsp>
                      <wps:cNvSpPr/>
                      <wps:spPr>
                        <a:xfrm>
                          <a:off x="0" y="0"/>
                          <a:ext cx="1358900" cy="25400"/>
                        </a:xfrm>
                        <a:prstGeom prst="rect">
                          <a:avLst/>
                        </a:prstGeom>
                        <a:solidFill>
                          <a:srgbClr val="000000"/>
                        </a:solidFill>
                      </wps:spPr>
                      <wps:bodyPr rot="0" spcFirstLastPara="false" vertOverflow="overflow" horzOverflow="overflow" vert="horz" wrap="square" lIns="91440" tIns="45720" rIns="91440" bIns="45720" numCol="1" spcCol="0" rtlCol="false" fromWordArt="false" anchor="t" anchorCtr="false" forceAA="false" compatLnSpc="true">
                        <a:prstTxWarp prst="textNoShape">
                          <a:avLst/>
                        </a:prstTxWarp>
                        <a:noAutofit/>
                      </wps:bodyPr>
                    </wps:wsp>
                  </a:graphicData>
                </a:graphic>
              </wp:anchor>
            </w:drawing>
          </mc:Choice>
          <mc:Fallback>
            <w:pict>
              <v:rect style="position:absolute;left:0;top:0;visibility:visible;mso-position-horizontal:absolute;mso-position-horizontal-relative:page;mso-position-vertical:absolute;mso-position-vertical-relative:page;width:107pt;height:2pt;margin-left:237pt;margin-top:556pt;mso-wrap-style:square;z-index:10254096;mso-wrap-distance-left:9pt;mso-wrap-distance-top:0pt;mso-wrap-distance-right:9pt;mso-wrap-distance-bottom:0pt" id="shape20194" o:spid="1618382362908" stroked="f" filled="t" fillcolor="#000000"/>
            </w:pict>
          </mc:Fallback>
        </mc:AlternateContent>
      </w:r>
      <w:r>
        <w:drawing>
          <wp:anchor distT="0" distB="0" distL="114300" distR="114300" simplePos="false" relativeHeight="10255120" behindDoc="true" locked="false" layoutInCell="true" allowOverlap="true">
            <wp:simplePos x="0" y="0"/>
            <wp:positionH relativeFrom="page">
              <wp:posOffset>114300</wp:posOffset>
            </wp:positionH>
            <wp:positionV relativeFrom="page">
              <wp:posOffset>1016000</wp:posOffset>
            </wp:positionV>
            <wp:extent cx="7302500" cy="8737600"/>
            <wp:effectExtent l="0" t="0" r="0" b="0"/>
            <wp:wrapNone/>
            <wp:docPr id="20195" name="image20195" descr=""/>
            <wp:cNvGraphicFramePr>
              <a:graphicFrameLocks noChangeAspect="true"/>
            </wp:cNvGraphicFramePr>
            <a:graphic>
              <a:graphicData uri="http://schemas.openxmlformats.org/drawingml/2006/picture">
                <pic:pic>
                  <pic:nvPicPr>
                    <pic:cNvPr id="20195" name="image20195"/>
                    <pic:cNvPicPr/>
                  </pic:nvPicPr>
                  <pic:blipFill>
                    <a:blip r:embed="rId149"/>
                    <a:stretch>
                      <a:fillRect/>
                    </a:stretch>
                  </pic:blipFill>
                  <pic:spPr>
                    <a:xfrm>
                      <a:off x="0" y="0"/>
                      <a:ext cx="7302500" cy="8737600"/>
                    </a:xfrm>
                    <a:prstGeom prst="rect">
                      <a:avLst/>
                    </a:prstGeom>
                  </pic:spPr>
                </pic:pic>
              </a:graphicData>
            </a:graphic>
          </wp:anchor>
        </w:drawing>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80" w:lineRule="exact"/>
        <w:ind w:left="4760"/>
        <w:jc w:val="both"/>
      </w:pPr>
      <w:r>
        <w:rPr>
          <w:rFonts w:hint="eastAsia" w:ascii="宋体" w:hAnsi="宋体" w:eastAsia="宋体" w:cs="宋体"/>
          <w:sz w:val="30"/>
        </w:rPr>
        <w:t>验资复核机构声明</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1440" w:right="1220" w:firstLine="480"/>
        <w:jc w:val="both"/>
      </w:pPr>
      <w:r>
        <w:rPr>
          <w:rFonts w:hint="eastAsia" w:ascii="宋体" w:hAnsi="宋体" w:eastAsia="宋体" w:cs="宋体"/>
          <w:sz w:val="24"/>
        </w:rPr>
        <w:t>本机构及签字注册会计师已阅读招股说明书及其摘要</w:t>
      </w:r>
      <w:r>
        <w:rPr>
          <w:rFonts w:hint="eastAsia" w:ascii="宋体" w:hAnsi="宋体" w:eastAsia="宋体" w:cs="宋体"/>
          <w:sz w:val="10"/>
        </w:rPr>
        <w:t>，</w:t>
      </w:r>
      <w:r>
        <w:rPr>
          <w:rFonts w:hint="eastAsia" w:ascii="宋体" w:hAnsi="宋体" w:eastAsia="宋体" w:cs="宋体"/>
          <w:sz w:val="24"/>
        </w:rPr>
        <w:t>确认招股说明书及其摘要与本机构出具的验资复核报告无矛盾之处</w:t>
      </w:r>
      <w:r>
        <w:rPr>
          <w:rFonts w:hint="eastAsia" w:ascii="宋体" w:hAnsi="宋体" w:eastAsia="宋体" w:cs="宋体"/>
          <w:sz w:val="10"/>
        </w:rPr>
        <w:t>。</w:t>
      </w:r>
      <w:r>
        <w:rPr>
          <w:rFonts w:hint="eastAsia" w:ascii="宋体" w:hAnsi="宋体" w:eastAsia="宋体" w:cs="宋体"/>
          <w:sz w:val="24"/>
        </w:rPr>
        <w:t>本机构及签字注册会计师对发行人在招股说明书及其摘要中引用的验资复核报告的内容无异议</w:t>
      </w:r>
      <w:r>
        <w:rPr>
          <w:rFonts w:hint="eastAsia" w:ascii="宋体" w:hAnsi="宋体" w:eastAsia="宋体" w:cs="宋体"/>
          <w:sz w:val="10"/>
        </w:rPr>
        <w:t>，</w:t>
      </w:r>
      <w:r>
        <w:rPr>
          <w:rFonts w:hint="eastAsia" w:ascii="宋体" w:hAnsi="宋体" w:eastAsia="宋体" w:cs="宋体"/>
          <w:sz w:val="24"/>
        </w:rPr>
        <w:t>确认招股说明书及其摘要不致因上述内容而出现虚假记载</w:t>
      </w:r>
      <w:r>
        <w:rPr>
          <w:rFonts w:hint="eastAsia" w:ascii="宋体" w:hAnsi="宋体" w:eastAsia="宋体" w:cs="宋体"/>
          <w:sz w:val="10"/>
        </w:rPr>
        <w:t>、</w:t>
      </w:r>
      <w:r>
        <w:rPr>
          <w:rFonts w:hint="eastAsia" w:ascii="宋体" w:hAnsi="宋体" w:eastAsia="宋体" w:cs="宋体"/>
          <w:sz w:val="24"/>
        </w:rPr>
        <w:t>误导性陈述或重大遗漏</w:t>
      </w:r>
      <w:r>
        <w:rPr>
          <w:rFonts w:hint="eastAsia" w:ascii="宋体" w:hAnsi="宋体" w:eastAsia="宋体" w:cs="宋体"/>
          <w:sz w:val="10"/>
        </w:rPr>
        <w:t>，</w:t>
      </w:r>
      <w:r>
        <w:rPr>
          <w:rFonts w:hint="eastAsia" w:ascii="宋体" w:hAnsi="宋体" w:eastAsia="宋体" w:cs="宋体"/>
          <w:sz w:val="24"/>
        </w:rPr>
        <w:t>并对其真实性</w:t>
      </w:r>
      <w:r>
        <w:rPr>
          <w:rFonts w:hint="eastAsia" w:ascii="宋体" w:hAnsi="宋体" w:eastAsia="宋体" w:cs="宋体"/>
          <w:sz w:val="10"/>
        </w:rPr>
        <w:t>、</w:t>
      </w:r>
      <w:r>
        <w:rPr>
          <w:rFonts w:hint="eastAsia" w:ascii="宋体" w:hAnsi="宋体" w:eastAsia="宋体" w:cs="宋体"/>
          <w:sz w:val="24"/>
        </w:rPr>
        <w:t>准确性和完整性承担相应的法律责任</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6980"/>
        </w:tabs>
        <w:autoSpaceDE w:val="false"/>
        <w:autoSpaceDN w:val="false"/>
        <w:spacing w:line="400" w:lineRule="exact"/>
        <w:ind w:left="1440"/>
        <w:jc w:val="both"/>
      </w:pPr>
      <w:r>
        <w:rPr>
          <w:rFonts w:hint="eastAsia" w:ascii="宋体" w:hAnsi="宋体" w:eastAsia="宋体" w:cs="宋体"/>
          <w:sz w:val="24"/>
        </w:rPr>
        <w:t>签字注册会计师</w:t>
      </w:r>
      <w:r>
        <w:rPr>
          <w:rFonts w:hint="eastAsia" w:ascii="宋体" w:hAnsi="宋体" w:eastAsia="宋体" w:cs="宋体"/>
          <w:sz w:val="12"/>
        </w:rPr>
        <w:t>：</w:t>
      </w:r>
      <w:r>
        <w:tab/>
      </w:r>
      <w:r>
        <w:rPr>
          <w:rFonts w:hint="eastAsia" w:ascii="宋体" w:hAnsi="宋体" w:eastAsia="宋体" w:cs="宋体"/>
          <w:sz w:val="12"/>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6980"/>
        <w:jc w:val="both"/>
      </w:pP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pos="6980"/>
        </w:tabs>
        <w:autoSpaceDE w:val="false"/>
        <w:autoSpaceDN w:val="false"/>
        <w:spacing w:line="420" w:lineRule="exact"/>
        <w:ind w:left="1440"/>
        <w:jc w:val="both"/>
      </w:pPr>
      <w:r>
        <w:rPr>
          <w:rFonts w:hint="eastAsia" w:ascii="宋体" w:hAnsi="宋体" w:eastAsia="宋体" w:cs="宋体"/>
          <w:sz w:val="24"/>
        </w:rPr>
        <w:t>会计师事务所负责人</w:t>
      </w:r>
      <w:r>
        <w:rPr>
          <w:rFonts w:hint="eastAsia" w:ascii="宋体" w:hAnsi="宋体" w:eastAsia="宋体" w:cs="宋体"/>
          <w:sz w:val="10"/>
        </w:rPr>
        <w:t>：</w:t>
      </w:r>
      <w:r>
        <w:tab/>
      </w:r>
      <w:r>
        <w:rPr>
          <w:rFonts w:hint="eastAsia" w:ascii="宋体" w:hAnsi="宋体" w:eastAsia="宋体" w:cs="宋体"/>
          <w:sz w:val="10"/>
        </w:rPr>
        <w:t>（</w:t>
      </w:r>
      <w:r>
        <w:rPr>
          <w:rFonts w:hint="eastAsia" w:ascii="宋体" w:hAnsi="宋体" w:eastAsia="宋体" w:cs="宋体"/>
          <w:sz w:val="24"/>
        </w:rPr>
        <w:t>签名）</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00" w:lineRule="exact"/>
        <w:ind w:left="7580"/>
        <w:jc w:val="both"/>
      </w:pPr>
      <w:r>
        <w:rPr>
          <w:rFonts w:hint="eastAsia" w:ascii="Times New Roman" w:hAnsi="Times New Roman" w:eastAsia="Times New Roman" w:cs="Times New Roman"/>
          <w:sz w:val="24"/>
        </w:rPr>
        <w:t>XX</w:t>
      </w:r>
      <w:r>
        <w:rPr>
          <w:rFonts w:hint="eastAsia" w:ascii="宋体" w:hAnsi="宋体" w:eastAsia="宋体" w:cs="宋体"/>
          <w:sz w:val="24"/>
        </w:rPr>
        <w:t>会计师事务所</w:t>
      </w:r>
    </w:p>
    <w:p>
      <w:pPr>
        <w:spacing w:line="200" w:lineRule="exact"/>
        <w:rPr>
          <w:rFonts w:hint="eastAsia" w:ascii="宋体" w:hAnsi="宋体" w:eastAsia="宋体" w:cs="宋体"/>
          <w:sz w:val="20"/>
        </w:rPr>
      </w:pPr>
    </w:p>
    <w:p>
      <w:pPr>
        <w:autoSpaceDE w:val="false"/>
        <w:autoSpaceDN w:val="false"/>
        <w:spacing w:line="340" w:lineRule="exact"/>
        <w:ind w:left="7580"/>
        <w:jc w:val="both"/>
      </w:pPr>
      <w:r>
        <w:rPr>
          <w:rFonts w:hint="eastAsia" w:ascii="宋体" w:hAnsi="宋体" w:eastAsia="宋体" w:cs="宋体"/>
          <w:sz w:val="24"/>
        </w:rPr>
        <w:t>年</w:t>
      </w:r>
      <w:r>
        <w:rPr>
          <w:rFonts w:hint="eastAsia" w:ascii="Times New Roman" w:hAnsi="Times New Roman" w:eastAsia="Times New Roman" w:cs="Times New Roman"/>
          <w:sz w:val="24"/>
        </w:rPr>
        <w:t xml:space="preserve">   </w:t>
      </w:r>
      <w:r>
        <w:rPr>
          <w:rFonts w:hint="eastAsia" w:ascii="宋体" w:hAnsi="宋体" w:eastAsia="宋体" w:cs="宋体"/>
          <w:sz w:val="24"/>
        </w:rPr>
        <w:t>月</w:t>
      </w:r>
      <w:r>
        <w:rPr>
          <w:rFonts w:hint="eastAsia" w:ascii="Times New Roman" w:hAnsi="Times New Roman" w:eastAsia="Times New Roman" w:cs="Times New Roman"/>
          <w:sz w:val="24"/>
        </w:rPr>
        <w:t xml:space="preserve">   </w:t>
      </w:r>
      <w:r>
        <w:rPr>
          <w:rFonts w:hint="eastAsia" w:ascii="宋体" w:hAnsi="宋体" w:eastAsia="宋体" w:cs="宋体"/>
          <w:sz w:val="24"/>
        </w:rPr>
        <w:t>日</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340" w:lineRule="exact"/>
        <w:ind w:left="5620"/>
        <w:jc w:val="both"/>
      </w:pPr>
      <w:r>
        <w:rPr>
          <w:rFonts w:hint="eastAsia" w:ascii="Times New Roman" w:hAnsi="Times New Roman" w:eastAsia="Times New Roman" w:cs="Times New Roman"/>
          <w:sz w:val="21"/>
        </w:rPr>
        <w:t>1-1-334</w:t>
      </w:r>
    </w:p>
    <w:p>
      <w:pPr>
        <w:sectPr>
          <w:type w:val="nextPage"/>
          <w:pgSz w:w="11900" w:h="16820"/>
          <w:pgMar w:top="0" w:right="0" w:bottom="0" w:left="0"/>
        </w:sectPr>
      </w:pPr>
    </w:p>
    <w:p>
      <w:pPr>
        <w:spacing w:line="1" w:lineRule="exact"/>
        <w:rPr>
          <w:rFonts w:hint="eastAsia" w:ascii="Arial" w:hAnsi="Arial" w:eastAsia="Arial" w:cs="Arial"/>
          <w:sz w:val="1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tabs>
          <w:tab w:val="left" w:leader="none" w:pos="9140"/>
        </w:tabs>
        <w:autoSpaceDE w:val="false"/>
        <w:autoSpaceDN w:val="false"/>
        <w:spacing w:line="300" w:lineRule="exact"/>
        <w:ind w:left="1800"/>
        <w:jc w:val="both"/>
      </w:pPr>
      <w:r>
        <w:rPr>
          <w:rFonts w:hint="eastAsia" w:ascii="宋体" w:hAnsi="宋体" w:eastAsia="宋体" w:cs="宋体"/>
          <w:sz w:val="21"/>
          <w:u w:val="single" w:color="000000"/>
        </w:rPr>
        <w:t>福建顶点软件股份有限公司</w:t>
      </w:r>
      <w:r>
        <w:tab/>
      </w:r>
      <w:r>
        <w:rPr>
          <w:color w:val="ffffff"/>
          <w:sz w:val="0"/>
          <w14:textFill>
            <w14:solidFill>
              <w14:srgbClr w14:val="FFFFFF">
                <w14:alpha w14:val="100000"/>
              </w14:srgbClr>
            </w14:solidFill>
          </w14:textFill>
        </w:rPr>
        <w:t xml:space="preserve"> </w:t>
      </w:r>
      <w:r>
        <w:rPr>
          <w:rFonts w:hint="eastAsia" w:ascii="宋体" w:hAnsi="宋体" w:eastAsia="宋体" w:cs="宋体"/>
          <w:sz w:val="21"/>
          <w:u w:val="single" w:color="000000"/>
        </w:rPr>
        <w:t>招股说明</w:t>
      </w:r>
      <w:r>
        <w:rPr>
          <w:rFonts w:hint="eastAsia" w:ascii="宋体" w:hAnsi="宋体" w:eastAsia="宋体" w:cs="宋体"/>
          <w:sz w:val="21"/>
        </w:rPr>
        <w:t>书</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20" w:lineRule="exact"/>
        <w:ind w:left="4400"/>
        <w:jc w:val="both"/>
      </w:pPr>
      <w:r>
        <w:rPr>
          <w:rFonts w:hint="eastAsia" w:ascii="ºÚÌå" w:hAnsi="ºÚÌå" w:eastAsia="ºÚÌå" w:cs="ºÚÌå"/>
          <w:b/>
          <w:sz w:val="36"/>
        </w:rPr>
        <w:t>第十七节</w:t>
      </w:r>
      <w:r>
        <w:rPr>
          <w:rFonts w:hint="eastAsia" w:ascii="ºÚÌå" w:hAnsi="ºÚÌå" w:eastAsia="ºÚÌå" w:cs="ºÚÌå"/>
          <w:b/>
          <w:sz w:val="36"/>
        </w:rPr>
        <w:t xml:space="preserve"> </w:t>
      </w:r>
      <w:r>
        <w:rPr>
          <w:rFonts w:hint="eastAsia" w:ascii="ºÚÌå" w:hAnsi="ºÚÌå" w:eastAsia="ºÚÌå" w:cs="ºÚÌå"/>
          <w:b/>
          <w:sz w:val="36"/>
        </w:rPr>
        <w:t>备查文件</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36"/>
        </w:rPr>
        <w:t>一、</w:t>
      </w:r>
      <w:r>
        <w:rPr>
          <w:rFonts w:hint="eastAsia" w:ascii="ºÚÌå" w:hAnsi="ºÚÌå" w:eastAsia="ºÚÌå" w:cs="ºÚÌå"/>
          <w:sz w:val="30"/>
        </w:rPr>
        <w:t>备查文件</w:t>
      </w:r>
    </w:p>
    <w:p>
      <w:pPr>
        <w:spacing w:line="200" w:lineRule="exact"/>
        <w:rPr>
          <w:rFonts w:hint="eastAsia" w:ascii="宋体" w:hAnsi="宋体" w:eastAsia="宋体" w:cs="宋体"/>
          <w:sz w:val="20"/>
        </w:rPr>
      </w:pPr>
    </w:p>
    <w:p>
      <w:pPr>
        <w:autoSpaceDE w:val="false"/>
        <w:autoSpaceDN w:val="false"/>
        <w:spacing w:line="480" w:lineRule="exact"/>
        <w:ind w:left="2280"/>
        <w:jc w:val="both"/>
      </w:pPr>
      <w:r>
        <w:rPr>
          <w:rFonts w:hint="eastAsia" w:ascii="宋体" w:hAnsi="宋体" w:eastAsia="宋体" w:cs="宋体"/>
          <w:sz w:val="30"/>
        </w:rPr>
        <w:t>（一）</w:t>
      </w:r>
      <w:r>
        <w:rPr>
          <w:rFonts w:hint="eastAsia" w:ascii="宋体" w:hAnsi="宋体" w:eastAsia="宋体" w:cs="宋体"/>
          <w:sz w:val="24"/>
        </w:rPr>
        <w:t>发行保荐书及发行保荐工作报告</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（二）财务报表及审计报告</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（三）内部控制鉴证报告</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（四）经注册会计师核验的非经常性损益明细表</w:t>
      </w:r>
      <w:r>
        <w:rPr>
          <w:rFonts w:hint="eastAsia" w:ascii="宋体" w:hAnsi="宋体" w:eastAsia="宋体" w:cs="宋体"/>
          <w:sz w:val="12"/>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40" w:lineRule="exact"/>
        <w:ind w:left="2280"/>
        <w:jc w:val="both"/>
      </w:pPr>
      <w:r>
        <w:rPr>
          <w:rFonts w:hint="eastAsia" w:ascii="宋体" w:hAnsi="宋体" w:eastAsia="宋体" w:cs="宋体"/>
          <w:sz w:val="24"/>
        </w:rPr>
        <w:t>（五）法律意见书及律师工作报告</w:t>
      </w:r>
      <w:r>
        <w:rPr>
          <w:rFonts w:hint="eastAsia" w:ascii="宋体" w:hAnsi="宋体" w:eastAsia="宋体" w:cs="宋体"/>
          <w:sz w:val="14"/>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（六）公司章程（草案）；</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（七）中国证监会核准本次发行的文件</w:t>
      </w:r>
      <w:r>
        <w:rPr>
          <w:rFonts w:hint="eastAsia" w:ascii="宋体" w:hAnsi="宋体" w:eastAsia="宋体" w:cs="宋体"/>
          <w:sz w:val="12"/>
        </w:rPr>
        <w:t>；</w:t>
      </w:r>
    </w:p>
    <w:p>
      <w:pPr>
        <w:spacing w:line="200" w:lineRule="exact"/>
        <w:rPr>
          <w:rFonts w:hint="eastAsia" w:ascii="宋体" w:hAnsi="宋体" w:eastAsia="宋体" w:cs="宋体"/>
          <w:sz w:val="20"/>
        </w:rPr>
      </w:pPr>
    </w:p>
    <w:p>
      <w:pPr>
        <w:autoSpaceDE w:val="false"/>
        <w:autoSpaceDN w:val="false"/>
        <w:spacing w:line="420" w:lineRule="exact"/>
        <w:ind w:left="2280"/>
        <w:jc w:val="both"/>
      </w:pPr>
      <w:r>
        <w:rPr>
          <w:rFonts w:hint="eastAsia" w:ascii="宋体" w:hAnsi="宋体" w:eastAsia="宋体" w:cs="宋体"/>
          <w:sz w:val="24"/>
        </w:rPr>
        <w:t>（八）其他与本次发行有关的重要文件</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24"/>
        </w:rPr>
        <w:t>二、</w:t>
      </w:r>
      <w:r>
        <w:rPr>
          <w:rFonts w:hint="eastAsia" w:ascii="ºÚÌå" w:hAnsi="ºÚÌå" w:eastAsia="ºÚÌå" w:cs="ºÚÌå"/>
          <w:sz w:val="30"/>
        </w:rPr>
        <w:t>查阅时间</w:t>
      </w:r>
    </w:p>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宋体" w:hAnsi="宋体" w:eastAsia="宋体" w:cs="宋体"/>
          <w:sz w:val="24"/>
        </w:rPr>
        <w:t>本次股票发行承销期内</w:t>
      </w:r>
      <w:r>
        <w:rPr>
          <w:rFonts w:hint="eastAsia" w:ascii="宋体" w:hAnsi="宋体" w:eastAsia="宋体" w:cs="宋体"/>
          <w:sz w:val="10"/>
        </w:rPr>
        <w:t>，</w:t>
      </w:r>
      <w:r>
        <w:rPr>
          <w:rFonts w:hint="eastAsia" w:ascii="宋体" w:hAnsi="宋体" w:eastAsia="宋体" w:cs="宋体"/>
          <w:sz w:val="24"/>
        </w:rPr>
        <w:t>除法定节假日以外的每日上午</w:t>
      </w:r>
      <w:r>
        <w:rPr>
          <w:rFonts w:hint="eastAsia" w:ascii="Times New Roman" w:hAnsi="Times New Roman" w:eastAsia="Times New Roman" w:cs="Times New Roman"/>
          <w:sz w:val="24"/>
        </w:rPr>
        <w:t xml:space="preserve"> 9</w:t>
      </w:r>
      <w:r>
        <w:rPr>
          <w:rFonts w:hint="eastAsia" w:ascii="宋体" w:hAnsi="宋体" w:eastAsia="宋体" w:cs="宋体"/>
          <w:sz w:val="12"/>
        </w:rPr>
        <w:t>：</w:t>
      </w:r>
      <w:r>
        <w:rPr>
          <w:rFonts w:hint="eastAsia" w:ascii="Times New Roman" w:hAnsi="Times New Roman" w:eastAsia="Times New Roman" w:cs="Times New Roman"/>
          <w:sz w:val="24"/>
        </w:rPr>
        <w:t>30-11</w:t>
      </w:r>
      <w:r>
        <w:rPr>
          <w:rFonts w:hint="eastAsia" w:ascii="宋体" w:hAnsi="宋体" w:eastAsia="宋体" w:cs="宋体"/>
          <w:sz w:val="12"/>
        </w:rPr>
        <w:t>：</w:t>
      </w:r>
      <w:r>
        <w:rPr>
          <w:rFonts w:hint="eastAsia" w:ascii="Times New Roman" w:hAnsi="Times New Roman" w:eastAsia="Times New Roman" w:cs="Times New Roman"/>
          <w:sz w:val="24"/>
        </w:rPr>
        <w:t>30</w:t>
      </w:r>
      <w:r>
        <w:rPr>
          <w:rFonts w:hint="eastAsia" w:ascii="宋体" w:hAnsi="宋体" w:eastAsia="宋体" w:cs="宋体"/>
          <w:sz w:val="10"/>
        </w:rPr>
        <w:t>，</w:t>
      </w:r>
      <w:r>
        <w:rPr>
          <w:rFonts w:hint="eastAsia" w:ascii="宋体" w:hAnsi="宋体" w:eastAsia="宋体" w:cs="宋体"/>
          <w:sz w:val="24"/>
        </w:rPr>
        <w:t>下午</w:t>
      </w:r>
    </w:p>
    <w:p>
      <w:pPr>
        <w:spacing w:line="200" w:lineRule="exact"/>
        <w:rPr>
          <w:rFonts w:hint="eastAsia" w:ascii="宋体" w:hAnsi="宋体" w:eastAsia="宋体" w:cs="宋体"/>
          <w:sz w:val="20"/>
        </w:rPr>
      </w:pPr>
    </w:p>
    <w:p>
      <w:pPr>
        <w:autoSpaceDE w:val="false"/>
        <w:autoSpaceDN w:val="false"/>
        <w:spacing w:line="280" w:lineRule="exact"/>
        <w:ind w:left="1800"/>
        <w:jc w:val="both"/>
      </w:pPr>
      <w:r>
        <w:rPr>
          <w:rFonts w:hint="eastAsia" w:ascii="Times New Roman" w:hAnsi="Times New Roman" w:eastAsia="Times New Roman" w:cs="Times New Roman"/>
          <w:sz w:val="24"/>
        </w:rPr>
        <w:t>14</w:t>
      </w:r>
      <w:r>
        <w:rPr>
          <w:rFonts w:hint="eastAsia" w:ascii="宋体" w:hAnsi="宋体" w:eastAsia="宋体" w:cs="宋体"/>
          <w:sz w:val="12"/>
        </w:rPr>
        <w:t>：</w:t>
      </w:r>
      <w:r>
        <w:rPr>
          <w:rFonts w:hint="eastAsia" w:ascii="Times New Roman" w:hAnsi="Times New Roman" w:eastAsia="Times New Roman" w:cs="Times New Roman"/>
          <w:sz w:val="24"/>
        </w:rPr>
        <w:t>00-16</w:t>
      </w:r>
      <w:r>
        <w:rPr>
          <w:rFonts w:hint="eastAsia" w:ascii="宋体" w:hAnsi="宋体" w:eastAsia="宋体" w:cs="宋体"/>
          <w:sz w:val="12"/>
        </w:rPr>
        <w:t>：</w:t>
      </w:r>
      <w:r>
        <w:rPr>
          <w:rFonts w:hint="eastAsia" w:ascii="Times New Roman" w:hAnsi="Times New Roman" w:eastAsia="Times New Roman" w:cs="Times New Roman"/>
          <w:sz w:val="24"/>
        </w:rPr>
        <w:t>00</w:t>
      </w:r>
      <w:r>
        <w:rPr>
          <w:rFonts w:hint="eastAsia" w:ascii="宋体" w:hAnsi="宋体" w:eastAsia="宋体" w:cs="宋体"/>
          <w:sz w:val="10"/>
        </w:rPr>
        <w:t>。</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480" w:lineRule="exact"/>
        <w:ind w:left="1800"/>
        <w:jc w:val="both"/>
      </w:pPr>
      <w:r>
        <w:rPr>
          <w:rFonts w:hint="eastAsia" w:ascii="ºÚÌå" w:hAnsi="ºÚÌå" w:eastAsia="ºÚÌå" w:cs="ºÚÌå"/>
          <w:sz w:val="30"/>
        </w:rPr>
        <w:t>三</w:t>
      </w:r>
      <w:r>
        <w:rPr>
          <w:rFonts w:hint="eastAsia" w:ascii="ºÚÌå" w:hAnsi="ºÚÌå" w:eastAsia="ºÚÌå" w:cs="ºÚÌå"/>
          <w:sz w:val="10"/>
        </w:rPr>
        <w:t>、</w:t>
      </w:r>
      <w:r>
        <w:rPr>
          <w:rFonts w:hint="eastAsia" w:ascii="ºÚÌå" w:hAnsi="ºÚÌå" w:eastAsia="ºÚÌå" w:cs="ºÚÌå"/>
          <w:sz w:val="30"/>
        </w:rPr>
        <w:t>查阅地点</w:t>
      </w:r>
    </w:p>
    <w:p>
      <w:pPr>
        <w:spacing w:line="200" w:lineRule="exact"/>
        <w:rPr>
          <w:rFonts w:hint="eastAsia" w:ascii="宋体" w:hAnsi="宋体" w:eastAsia="宋体" w:cs="宋体"/>
          <w:sz w:val="20"/>
        </w:rPr>
      </w:pPr>
    </w:p>
    <w:p>
      <w:pPr>
        <w:autoSpaceDE w:val="false"/>
        <w:autoSpaceDN w:val="false"/>
        <w:spacing w:line="320" w:lineRule="exact"/>
        <w:ind w:left="2280"/>
        <w:jc w:val="both"/>
      </w:pPr>
      <w:r>
        <w:rPr>
          <w:rFonts w:hint="eastAsia" w:ascii="Times New Roman" w:hAnsi="Times New Roman" w:eastAsia="Times New Roman" w:cs="Times New Roman"/>
          <w:sz w:val="24"/>
        </w:rPr>
        <w:t>1</w:t>
      </w:r>
      <w:r>
        <w:rPr>
          <w:rFonts w:hint="eastAsia" w:ascii="宋体" w:hAnsi="宋体" w:eastAsia="宋体" w:cs="宋体"/>
          <w:sz w:val="10"/>
        </w:rPr>
        <w:t>、</w:t>
      </w:r>
      <w:r>
        <w:rPr>
          <w:rFonts w:hint="eastAsia" w:ascii="宋体" w:hAnsi="宋体" w:eastAsia="宋体" w:cs="宋体"/>
          <w:sz w:val="24"/>
        </w:rPr>
        <w:t>发行人</w:t>
      </w:r>
      <w:r>
        <w:rPr>
          <w:rFonts w:hint="eastAsia" w:ascii="宋体" w:hAnsi="宋体" w:eastAsia="宋体" w:cs="宋体"/>
          <w:sz w:val="10"/>
        </w:rPr>
        <w:t>：</w:t>
      </w:r>
      <w:r>
        <w:rPr>
          <w:rFonts w:hint="eastAsia" w:ascii="宋体" w:hAnsi="宋体" w:eastAsia="宋体" w:cs="宋体"/>
          <w:sz w:val="24"/>
        </w:rPr>
        <w:t>福建顶点软件股份有限公司</w:t>
      </w:r>
    </w:p>
    <w:p>
      <w:pPr>
        <w:spacing w:line="200" w:lineRule="exact"/>
        <w:rPr>
          <w:rFonts w:hint="eastAsia" w:ascii="宋体" w:hAnsi="宋体" w:eastAsia="宋体" w:cs="宋体"/>
          <w:sz w:val="20"/>
        </w:rPr>
      </w:pPr>
    </w:p>
    <w:p>
      <w:pPr>
        <w:autoSpaceDE w:val="false"/>
        <w:autoSpaceDN w:val="false"/>
        <w:spacing w:line="260" w:lineRule="exact"/>
        <w:ind w:left="2280"/>
        <w:jc w:val="both"/>
      </w:pPr>
      <w:r>
        <w:rPr>
          <w:rFonts w:hint="eastAsia" w:ascii="宋体" w:hAnsi="宋体" w:eastAsia="宋体" w:cs="宋体"/>
          <w:sz w:val="24"/>
        </w:rPr>
        <w:t>地址</w:t>
      </w:r>
      <w:r>
        <w:rPr>
          <w:rFonts w:hint="eastAsia" w:ascii="宋体" w:hAnsi="宋体" w:eastAsia="宋体" w:cs="宋体"/>
          <w:sz w:val="12"/>
        </w:rPr>
        <w:t>：</w:t>
      </w:r>
      <w:r>
        <w:rPr>
          <w:rFonts w:hint="eastAsia" w:ascii="宋体" w:hAnsi="宋体" w:eastAsia="宋体" w:cs="宋体"/>
          <w:sz w:val="24"/>
        </w:rPr>
        <w:t>福州市鼓楼区软件大道</w:t>
      </w:r>
      <w:r>
        <w:rPr>
          <w:rFonts w:hint="eastAsia" w:ascii="Times New Roman" w:hAnsi="Times New Roman" w:eastAsia="Times New Roman" w:cs="Times New Roman"/>
          <w:sz w:val="24"/>
        </w:rPr>
        <w:t xml:space="preserve"> 89</w:t>
      </w:r>
      <w:r>
        <w:rPr>
          <w:rFonts w:hint="eastAsia" w:ascii="宋体" w:hAnsi="宋体" w:eastAsia="宋体" w:cs="宋体"/>
          <w:sz w:val="24"/>
        </w:rPr>
        <w:t xml:space="preserve"> 号福州软件园</w:t>
      </w:r>
      <w:r>
        <w:rPr>
          <w:rFonts w:hint="eastAsia" w:ascii="Times New Roman" w:hAnsi="Times New Roman" w:eastAsia="Times New Roman" w:cs="Times New Roman"/>
          <w:sz w:val="24"/>
        </w:rPr>
        <w:t xml:space="preserve"> A</w:t>
      </w:r>
      <w:r>
        <w:rPr>
          <w:rFonts w:hint="eastAsia" w:ascii="宋体" w:hAnsi="宋体" w:eastAsia="宋体" w:cs="宋体"/>
          <w:sz w:val="24"/>
        </w:rPr>
        <w:t xml:space="preserve"> 区</w:t>
      </w:r>
      <w:r>
        <w:rPr>
          <w:rFonts w:hint="eastAsia" w:ascii="Times New Roman" w:hAnsi="Times New Roman" w:eastAsia="Times New Roman" w:cs="Times New Roman"/>
          <w:sz w:val="24"/>
        </w:rPr>
        <w:t xml:space="preserve"> 13</w:t>
      </w:r>
      <w:r>
        <w:rPr>
          <w:rFonts w:hint="eastAsia" w:ascii="宋体" w:hAnsi="宋体" w:eastAsia="宋体" w:cs="宋体"/>
          <w:sz w:val="24"/>
        </w:rPr>
        <w:t xml:space="preserve"> 号楼</w:t>
      </w: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联系人</w:t>
      </w:r>
      <w:r>
        <w:rPr>
          <w:rFonts w:hint="eastAsia" w:ascii="宋体" w:hAnsi="宋体" w:eastAsia="宋体" w:cs="宋体"/>
          <w:sz w:val="12"/>
        </w:rPr>
        <w:t>：</w:t>
      </w:r>
      <w:r>
        <w:rPr>
          <w:rFonts w:hint="eastAsia" w:ascii="宋体" w:hAnsi="宋体" w:eastAsia="宋体" w:cs="宋体"/>
          <w:sz w:val="24"/>
        </w:rPr>
        <w:t>赵伟</w:t>
      </w:r>
    </w:p>
    <w:p>
      <w:pPr>
        <w:spacing w:line="200" w:lineRule="exact"/>
        <w:rPr>
          <w:rFonts w:hint="eastAsia" w:ascii="宋体" w:hAnsi="宋体" w:eastAsia="宋体" w:cs="宋体"/>
          <w:sz w:val="20"/>
        </w:rPr>
      </w:pPr>
    </w:p>
    <w:p>
      <w:pPr>
        <w:autoSpaceDE w:val="false"/>
        <w:autoSpaceDN w:val="false"/>
        <w:spacing w:line="260" w:lineRule="exact"/>
        <w:ind w:left="2280"/>
        <w:jc w:val="both"/>
      </w:pPr>
      <w:r>
        <w:rPr>
          <w:rFonts w:hint="eastAsia" w:ascii="宋体" w:hAnsi="宋体" w:eastAsia="宋体" w:cs="宋体"/>
          <w:sz w:val="24"/>
        </w:rPr>
        <w:t>联系电话</w:t>
      </w:r>
      <w:r>
        <w:rPr>
          <w:rFonts w:hint="eastAsia" w:ascii="宋体" w:hAnsi="宋体" w:eastAsia="宋体" w:cs="宋体"/>
          <w:sz w:val="12"/>
        </w:rPr>
        <w:t>：</w:t>
      </w:r>
      <w:r>
        <w:rPr>
          <w:rFonts w:hint="eastAsia" w:ascii="Times New Roman" w:hAnsi="Times New Roman" w:eastAsia="Times New Roman" w:cs="Times New Roman"/>
          <w:sz w:val="24"/>
        </w:rPr>
        <w:t>0591-8826 7679</w:t>
      </w: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Times New Roman" w:hAnsi="Times New Roman" w:eastAsia="Times New Roman" w:cs="Times New Roman"/>
          <w:sz w:val="24"/>
        </w:rPr>
        <w:t>2</w:t>
      </w:r>
      <w:r>
        <w:rPr>
          <w:rFonts w:hint="eastAsia" w:ascii="宋体" w:hAnsi="宋体" w:eastAsia="宋体" w:cs="宋体"/>
          <w:sz w:val="10"/>
        </w:rPr>
        <w:t>、</w:t>
      </w:r>
      <w:r>
        <w:rPr>
          <w:rFonts w:hint="eastAsia" w:ascii="宋体" w:hAnsi="宋体" w:eastAsia="宋体" w:cs="宋体"/>
          <w:sz w:val="24"/>
        </w:rPr>
        <w:t>保荐机构（主承销商）：</w:t>
      </w:r>
      <w:r>
        <w:rPr>
          <w:rFonts w:hint="eastAsia" w:ascii="宋体" w:hAnsi="宋体" w:eastAsia="宋体" w:cs="宋体"/>
          <w:sz w:val="24"/>
        </w:rPr>
        <w:t>东方花旗证券有限公司</w:t>
      </w:r>
    </w:p>
    <w:p>
      <w:pPr>
        <w:spacing w:line="200" w:lineRule="exact"/>
        <w:rPr>
          <w:rFonts w:hint="eastAsia" w:ascii="宋体" w:hAnsi="宋体" w:eastAsia="宋体" w:cs="宋体"/>
          <w:sz w:val="20"/>
        </w:rPr>
      </w:pPr>
    </w:p>
    <w:p>
      <w:pPr>
        <w:autoSpaceDE w:val="false"/>
        <w:autoSpaceDN w:val="false"/>
        <w:spacing w:line="260" w:lineRule="exact"/>
        <w:ind w:left="2280"/>
        <w:jc w:val="both"/>
      </w:pPr>
      <w:r>
        <w:rPr>
          <w:rFonts w:hint="eastAsia" w:ascii="宋体" w:hAnsi="宋体" w:eastAsia="宋体" w:cs="宋体"/>
          <w:sz w:val="24"/>
        </w:rPr>
        <w:t>联系地址</w:t>
      </w:r>
      <w:r>
        <w:rPr>
          <w:rFonts w:hint="eastAsia" w:ascii="宋体" w:hAnsi="宋体" w:eastAsia="宋体" w:cs="宋体"/>
          <w:sz w:val="10"/>
        </w:rPr>
        <w:t>：</w:t>
      </w:r>
      <w:r>
        <w:rPr>
          <w:rFonts w:hint="eastAsia" w:ascii="宋体" w:hAnsi="宋体" w:eastAsia="宋体" w:cs="宋体"/>
          <w:sz w:val="24"/>
        </w:rPr>
        <w:t>北京市西城区金融大街</w:t>
      </w:r>
      <w:r>
        <w:rPr>
          <w:rFonts w:hint="eastAsia" w:ascii="Times New Roman" w:hAnsi="Times New Roman" w:eastAsia="Times New Roman" w:cs="Times New Roman"/>
          <w:sz w:val="24"/>
        </w:rPr>
        <w:t xml:space="preserve"> 12</w:t>
      </w:r>
      <w:r>
        <w:rPr>
          <w:rFonts w:hint="eastAsia" w:ascii="宋体" w:hAnsi="宋体" w:eastAsia="宋体" w:cs="宋体"/>
          <w:sz w:val="24"/>
        </w:rPr>
        <w:t xml:space="preserve"> 号中国人寿广场</w:t>
      </w:r>
      <w:r>
        <w:rPr>
          <w:rFonts w:hint="eastAsia" w:ascii="Times New Roman" w:hAnsi="Times New Roman" w:eastAsia="Times New Roman" w:cs="Times New Roman"/>
          <w:sz w:val="24"/>
        </w:rPr>
        <w:t xml:space="preserve"> B</w:t>
      </w:r>
      <w:r>
        <w:rPr>
          <w:rFonts w:hint="eastAsia" w:ascii="宋体" w:hAnsi="宋体" w:eastAsia="宋体" w:cs="宋体"/>
          <w:sz w:val="24"/>
        </w:rPr>
        <w:t xml:space="preserve"> 座</w:t>
      </w:r>
      <w:r>
        <w:rPr>
          <w:rFonts w:hint="eastAsia" w:ascii="Times New Roman" w:hAnsi="Times New Roman" w:eastAsia="Times New Roman" w:cs="Times New Roman"/>
          <w:sz w:val="24"/>
        </w:rPr>
        <w:t xml:space="preserve"> 7</w:t>
      </w:r>
      <w:r>
        <w:rPr>
          <w:rFonts w:hint="eastAsia" w:ascii="宋体" w:hAnsi="宋体" w:eastAsia="宋体" w:cs="宋体"/>
          <w:sz w:val="24"/>
        </w:rPr>
        <w:t xml:space="preserve"> 层</w:t>
      </w:r>
    </w:p>
    <w:p>
      <w:pPr>
        <w:spacing w:line="200" w:lineRule="exact"/>
        <w:rPr>
          <w:rFonts w:hint="eastAsia" w:ascii="宋体" w:hAnsi="宋体" w:eastAsia="宋体" w:cs="宋体"/>
          <w:sz w:val="20"/>
        </w:rPr>
      </w:pPr>
    </w:p>
    <w:p>
      <w:pPr>
        <w:autoSpaceDE w:val="false"/>
        <w:autoSpaceDN w:val="false"/>
        <w:spacing w:line="260" w:lineRule="exact"/>
        <w:ind w:left="2280"/>
        <w:jc w:val="both"/>
      </w:pPr>
      <w:r>
        <w:rPr>
          <w:rFonts w:hint="eastAsia" w:ascii="宋体" w:hAnsi="宋体" w:eastAsia="宋体" w:cs="宋体"/>
          <w:sz w:val="24"/>
        </w:rPr>
        <w:t>联系人</w:t>
      </w:r>
      <w:r>
        <w:rPr>
          <w:rFonts w:hint="eastAsia" w:ascii="宋体" w:hAnsi="宋体" w:eastAsia="宋体" w:cs="宋体"/>
          <w:sz w:val="12"/>
        </w:rPr>
        <w:t>：</w:t>
      </w:r>
      <w:r>
        <w:rPr>
          <w:rFonts w:hint="eastAsia" w:ascii="宋体" w:hAnsi="宋体" w:eastAsia="宋体" w:cs="宋体"/>
          <w:sz w:val="24"/>
        </w:rPr>
        <w:t>郑睿</w:t>
      </w:r>
      <w:r>
        <w:rPr>
          <w:rFonts w:hint="eastAsia" w:ascii="宋体" w:hAnsi="宋体" w:eastAsia="宋体" w:cs="宋体"/>
          <w:sz w:val="10"/>
        </w:rPr>
        <w:t>、</w:t>
      </w:r>
      <w:r>
        <w:rPr>
          <w:rFonts w:hint="eastAsia" w:ascii="宋体" w:hAnsi="宋体" w:eastAsia="宋体" w:cs="宋体"/>
          <w:sz w:val="24"/>
        </w:rPr>
        <w:t>郝智明</w:t>
      </w:r>
    </w:p>
    <w:p>
      <w:pPr>
        <w:spacing w:line="200" w:lineRule="exact"/>
        <w:rPr>
          <w:rFonts w:hint="eastAsia" w:ascii="宋体" w:hAnsi="宋体" w:eastAsia="宋体" w:cs="宋体"/>
          <w:sz w:val="20"/>
        </w:rPr>
      </w:pPr>
    </w:p>
    <w:p>
      <w:pPr>
        <w:autoSpaceDE w:val="false"/>
        <w:autoSpaceDN w:val="false"/>
        <w:spacing w:line="280" w:lineRule="exact"/>
        <w:ind w:left="2280"/>
        <w:jc w:val="both"/>
      </w:pPr>
      <w:r>
        <w:rPr>
          <w:rFonts w:hint="eastAsia" w:ascii="宋体" w:hAnsi="宋体" w:eastAsia="宋体" w:cs="宋体"/>
          <w:sz w:val="24"/>
        </w:rPr>
        <w:t>联系电话</w:t>
      </w:r>
      <w:r>
        <w:rPr>
          <w:rFonts w:hint="eastAsia" w:ascii="宋体" w:hAnsi="宋体" w:eastAsia="宋体" w:cs="宋体"/>
          <w:sz w:val="12"/>
        </w:rPr>
        <w:t>：</w:t>
      </w:r>
      <w:r>
        <w:rPr>
          <w:rFonts w:hint="eastAsia" w:ascii="Times New Roman" w:hAnsi="Times New Roman" w:eastAsia="Times New Roman" w:cs="Times New Roman"/>
          <w:sz w:val="24"/>
        </w:rPr>
        <w:t>021-2315 3888</w:t>
      </w: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spacing w:line="200" w:lineRule="exact"/>
        <w:rPr>
          <w:rFonts w:hint="eastAsia" w:ascii="宋体" w:hAnsi="宋体" w:eastAsia="宋体" w:cs="宋体"/>
          <w:sz w:val="20"/>
        </w:rPr>
      </w:pPr>
    </w:p>
    <w:p>
      <w:pPr>
        <w:autoSpaceDE w:val="false"/>
        <w:autoSpaceDN w:val="false"/>
        <w:spacing w:line="220" w:lineRule="exact"/>
        <w:ind w:left="5620"/>
        <w:jc w:val="both"/>
      </w:pPr>
      <w:r>
        <w:rPr>
          <w:rFonts w:hint="eastAsia" w:ascii="Times New Roman" w:hAnsi="Times New Roman" w:eastAsia="Times New Roman" w:cs="Times New Roman"/>
          <w:sz w:val="21"/>
        </w:rPr>
        <w:t>1-1-335</w:t>
      </w:r>
    </w:p>
    <w:sectPr>
      <w:type w:val="nextPage"/>
      <w:pgSz w:w="11900" w:h="16820" w:code="9"/>
      <w:pgMar w:top="0" w:right="0" w:bottom="0" w:left="0"/>
    </w:sectPr>
  </w:body>
</w:document>
</file>

<file path=word/settings.xml><?xml version="1.0" encoding="utf-8"?>
<w:settings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xvml="urn:schemas-microsoft-com:office:excel" xmlns:o="urn:schemas-microsoft-com:office:office" xmlns:v="urn:schemas-microsoft-com:vm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wp14="http://schemas.microsoft.com/office/word/2010/wordprocessingDrawing" xmlns:a="http://schemas.openxmlformats.org/drawingml/2006/main" xmlns:wp="http://schemas.openxmlformats.org/drawingml/2006/wordprocessingDrawing" xmlns:m="http://schemas.openxmlformats.org/officeDocument/2006/math" xmlns:r="http://schemas.openxmlformats.org/officeDocument/2006/relationships" xmlns:w14="http://schemas.microsoft.com/office/word/2010/wordml" xmlns:w15="http://schemas.microsoft.com/office/word/2012/wordml" xmlns:w="http://schemas.openxmlformats.org/wordprocessingml/2006/main" mc:Ignorable="">
  <w:characterSpacingControl w:val="compressPunctuation"/>
  <w:compat>
    <w:compatSetting w:name="overrideTableStyleFontSizeAndJustification" w:uri="http://schemas.microsoft.com/office/word" w:val="1"/>
  </w:compat>
</w:settings>
</file>

<file path=word/styles.xml><?xml version="1.0" encoding="utf-8"?>
<w:styles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xvml="urn:schemas-microsoft-com:office:excel" xmlns:o="urn:schemas-microsoft-com:office:office" xmlns:v="urn:schemas-microsoft-com:vm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wp14="http://schemas.microsoft.com/office/word/2010/wordprocessingDrawing" xmlns:a="http://schemas.openxmlformats.org/drawingml/2006/main" xmlns:wp="http://schemas.openxmlformats.org/drawingml/2006/wordprocessingDrawing" xmlns:m="http://schemas.openxmlformats.org/officeDocument/2006/math" xmlns:r="http://schemas.openxmlformats.org/officeDocument/2006/relationships" xmlns:w14="http://schemas.microsoft.com/office/word/2010/wordml" xmlns:w15="http://schemas.microsoft.com/office/word/2012/wordml"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spacing w:before="0" w:after="0" w:line="240"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Relationships xmlns="http://schemas.openxmlformats.org/package/2006/relationships"><Relationship Target="styles.xml" Type="http://schemas.openxmlformats.org/officeDocument/2006/relationships/styles" Id="rId1"></Relationship><Relationship Target="settings.xml" Type="http://schemas.openxmlformats.org/officeDocument/2006/relationships/settings" Id="rId2"></Relationship><Relationship Target="media/document_image_rId3.jpeg" Type="http://schemas.openxmlformats.org/officeDocument/2006/relationships/image" Id="rId3"></Relationship><Relationship Target="media/document_image_rId4.png" Type="http://schemas.openxmlformats.org/officeDocument/2006/relationships/image" Id="rId4"></Relationship><Relationship Target="media/document_image_rId5.jpeg" Type="http://schemas.openxmlformats.org/officeDocument/2006/relationships/image" Id="rId5"></Relationship><Relationship Target="media/document_image_rId6.png" Type="http://schemas.openxmlformats.org/officeDocument/2006/relationships/image" Id="rId6"></Relationship><Relationship Target="media/document_image_rId7.png" Type="http://schemas.openxmlformats.org/officeDocument/2006/relationships/image" Id="rId7"></Relationship><Relationship Target="media/document_image_rId8.png" Type="http://schemas.openxmlformats.org/officeDocument/2006/relationships/image" Id="rId8"></Relationship><Relationship Target="media/document_image_rId9.png" Type="http://schemas.openxmlformats.org/officeDocument/2006/relationships/image" Id="rId9"></Relationship><Relationship Target="media/document_image_rId10.png" Type="http://schemas.openxmlformats.org/officeDocument/2006/relationships/image" Id="rId10"></Relationship><Relationship Target="media/document_image_rId11.png" Type="http://schemas.openxmlformats.org/officeDocument/2006/relationships/image" Id="rId11"></Relationship><Relationship Target="media/document_image_rId12.png" Type="http://schemas.openxmlformats.org/officeDocument/2006/relationships/image" Id="rId12"></Relationship><Relationship Target="media/document_image_rId13.png" Type="http://schemas.openxmlformats.org/officeDocument/2006/relationships/image" Id="rId13"></Relationship><Relationship Target="media/document_image_rId14.png" Type="http://schemas.openxmlformats.org/officeDocument/2006/relationships/image" Id="rId14"></Relationship><Relationship Target="media/document_image_rId15.png" Type="http://schemas.openxmlformats.org/officeDocument/2006/relationships/image" Id="rId15"></Relationship><Relationship Target="media/document_image_rId16.png" Type="http://schemas.openxmlformats.org/officeDocument/2006/relationships/image" Id="rId16"></Relationship><Relationship Target="media/document_image_rId17.png" Type="http://schemas.openxmlformats.org/officeDocument/2006/relationships/image" Id="rId17"></Relationship><Relationship Target="media/document_image_rId18.png" Type="http://schemas.openxmlformats.org/officeDocument/2006/relationships/image" Id="rId18"></Relationship><Relationship Target="media/document_image_rId19.png" Type="http://schemas.openxmlformats.org/officeDocument/2006/relationships/image" Id="rId19"></Relationship><Relationship Target="media/document_image_rId20.png" Type="http://schemas.openxmlformats.org/officeDocument/2006/relationships/image" Id="rId20"></Relationship><Relationship Target="media/document_image_rId21.png" Type="http://schemas.openxmlformats.org/officeDocument/2006/relationships/image" Id="rId21"></Relationship><Relationship Target="media/document_image_rId22.png" Type="http://schemas.openxmlformats.org/officeDocument/2006/relationships/image" Id="rId22"></Relationship><Relationship Target="media/document_image_rId23.png" Type="http://schemas.openxmlformats.org/officeDocument/2006/relationships/image" Id="rId23"></Relationship><Relationship Target="media/document_image_rId24.png" Type="http://schemas.openxmlformats.org/officeDocument/2006/relationships/image" Id="rId24"></Relationship><Relationship Target="media/document_image_rId25.png" Type="http://schemas.openxmlformats.org/officeDocument/2006/relationships/image" Id="rId25"></Relationship><Relationship Target="media/document_image_rId26.jpeg" Type="http://schemas.openxmlformats.org/officeDocument/2006/relationships/image" Id="rId26"></Relationship><Relationship Target="media/document_image_rId27.jpeg" Type="http://schemas.openxmlformats.org/officeDocument/2006/relationships/image" Id="rId27"></Relationship><Relationship Target="media/document_image_rId28.png" Type="http://schemas.openxmlformats.org/officeDocument/2006/relationships/image" Id="rId28"></Relationship><Relationship Target="media/document_image_rId29.png" Type="http://schemas.openxmlformats.org/officeDocument/2006/relationships/image" Id="rId29"></Relationship><Relationship Target="media/document_image_rId30.png" Type="http://schemas.openxmlformats.org/officeDocument/2006/relationships/image" Id="rId30"></Relationship><Relationship Target="media/document_image_rId31.png" Type="http://schemas.openxmlformats.org/officeDocument/2006/relationships/image" Id="rId31"></Relationship><Relationship Target="media/document_image_rId32.png" Type="http://schemas.openxmlformats.org/officeDocument/2006/relationships/image" Id="rId32"></Relationship><Relationship Target="media/document_image_rId33.png" Type="http://schemas.openxmlformats.org/officeDocument/2006/relationships/image" Id="rId33"></Relationship><Relationship Target="media/document_image_rId34.png" Type="http://schemas.openxmlformats.org/officeDocument/2006/relationships/image" Id="rId34"></Relationship><Relationship Target="media/document_image_rId35.png" Type="http://schemas.openxmlformats.org/officeDocument/2006/relationships/image" Id="rId35"></Relationship><Relationship Target="media/document_image_rId36.png" Type="http://schemas.openxmlformats.org/officeDocument/2006/relationships/image" Id="rId36"></Relationship><Relationship Target="media/document_image_rId37.png" Type="http://schemas.openxmlformats.org/officeDocument/2006/relationships/image" Id="rId37"></Relationship><Relationship Target="media/document_image_rId38.png" Type="http://schemas.openxmlformats.org/officeDocument/2006/relationships/image" Id="rId38"></Relationship><Relationship Target="media/document_image_rId39.png" Type="http://schemas.openxmlformats.org/officeDocument/2006/relationships/image" Id="rId39"></Relationship><Relationship Target="media/document_image_rId40.png" Type="http://schemas.openxmlformats.org/officeDocument/2006/relationships/image" Id="rId40"></Relationship><Relationship Target="media/document_image_rId41.png" Type="http://schemas.openxmlformats.org/officeDocument/2006/relationships/image" Id="rId41"></Relationship><Relationship Target="media/document_image_rId42.png" Type="http://schemas.openxmlformats.org/officeDocument/2006/relationships/image" Id="rId42"></Relationship><Relationship Target="media/document_image_rId43.png" Type="http://schemas.openxmlformats.org/officeDocument/2006/relationships/image" Id="rId43"></Relationship><Relationship Target="media/document_image_rId44.png" Type="http://schemas.openxmlformats.org/officeDocument/2006/relationships/image" Id="rId44"></Relationship><Relationship Target="media/document_image_rId45.png" Type="http://schemas.openxmlformats.org/officeDocument/2006/relationships/image" Id="rId45"></Relationship><Relationship Target="media/document_image_rId46.png" Type="http://schemas.openxmlformats.org/officeDocument/2006/relationships/image" Id="rId46"></Relationship><Relationship Target="media/document_image_rId47.png" Type="http://schemas.openxmlformats.org/officeDocument/2006/relationships/image" Id="rId47"></Relationship><Relationship Target="media/document_image_rId48.png" Type="http://schemas.openxmlformats.org/officeDocument/2006/relationships/image" Id="rId48"></Relationship><Relationship Target="media/document_image_rId49.png" Type="http://schemas.openxmlformats.org/officeDocument/2006/relationships/image" Id="rId49"></Relationship><Relationship Target="media/document_image_rId50.png" Type="http://schemas.openxmlformats.org/officeDocument/2006/relationships/image" Id="rId50"></Relationship><Relationship Target="media/document_image_rId51.png" Type="http://schemas.openxmlformats.org/officeDocument/2006/relationships/image" Id="rId51"></Relationship><Relationship Target="media/document_image_rId52.png" Type="http://schemas.openxmlformats.org/officeDocument/2006/relationships/image" Id="rId52"></Relationship><Relationship Target="media/document_image_rId53.png" Type="http://schemas.openxmlformats.org/officeDocument/2006/relationships/image" Id="rId53"></Relationship><Relationship Target="media/document_image_rId54.png" Type="http://schemas.openxmlformats.org/officeDocument/2006/relationships/image" Id="rId54"></Relationship><Relationship Target="media/document_image_rId55.png" Type="http://schemas.openxmlformats.org/officeDocument/2006/relationships/image" Id="rId55"></Relationship><Relationship Target="media/document_image_rId56.png" Type="http://schemas.openxmlformats.org/officeDocument/2006/relationships/image" Id="rId56"></Relationship><Relationship Target="media/document_image_rId57.jpeg" Type="http://schemas.openxmlformats.org/officeDocument/2006/relationships/image" Id="rId57"></Relationship><Relationship Target="media/document_image_rId58.png" Type="http://schemas.openxmlformats.org/officeDocument/2006/relationships/image" Id="rId58"></Relationship><Relationship Target="media/document_image_rId59.png" Type="http://schemas.openxmlformats.org/officeDocument/2006/relationships/image" Id="rId59"></Relationship><Relationship Target="media/document_image_rId60.png" Type="http://schemas.openxmlformats.org/officeDocument/2006/relationships/image" Id="rId60"></Relationship><Relationship Target="media/document_image_rId61.png" Type="http://schemas.openxmlformats.org/officeDocument/2006/relationships/image" Id="rId61"></Relationship><Relationship Target="media/document_image_rId62.png" Type="http://schemas.openxmlformats.org/officeDocument/2006/relationships/image" Id="rId62"></Relationship><Relationship Target="media/document_image_rId63.png" Type="http://schemas.openxmlformats.org/officeDocument/2006/relationships/image" Id="rId63"></Relationship><Relationship Target="media/document_image_rId64.png" Type="http://schemas.openxmlformats.org/officeDocument/2006/relationships/image" Id="rId64"></Relationship><Relationship Target="media/document_image_rId65.png" Type="http://schemas.openxmlformats.org/officeDocument/2006/relationships/image" Id="rId65"></Relationship><Relationship Target="media/document_image_rId66.png" Type="http://schemas.openxmlformats.org/officeDocument/2006/relationships/image" Id="rId66"></Relationship><Relationship Target="media/document_image_rId67.png" Type="http://schemas.openxmlformats.org/officeDocument/2006/relationships/image" Id="rId67"></Relationship><Relationship Target="media/document_image_rId68.png" Type="http://schemas.openxmlformats.org/officeDocument/2006/relationships/image" Id="rId68"></Relationship><Relationship Target="media/document_image_rId69.png" Type="http://schemas.openxmlformats.org/officeDocument/2006/relationships/image" Id="rId69"></Relationship><Relationship Target="media/document_image_rId70.png" Type="http://schemas.openxmlformats.org/officeDocument/2006/relationships/image" Id="rId70"></Relationship><Relationship Target="media/document_image_rId71.png" Type="http://schemas.openxmlformats.org/officeDocument/2006/relationships/image" Id="rId71"></Relationship><Relationship Target="media/document_image_rId72.png" Type="http://schemas.openxmlformats.org/officeDocument/2006/relationships/image" Id="rId72"></Relationship><Relationship Target="media/document_image_rId73.png" Type="http://schemas.openxmlformats.org/officeDocument/2006/relationships/image" Id="rId73"></Relationship><Relationship Target="media/document_image_rId74.png" Type="http://schemas.openxmlformats.org/officeDocument/2006/relationships/image" Id="rId74"></Relationship><Relationship Target="media/document_image_rId75.png" Type="http://schemas.openxmlformats.org/officeDocument/2006/relationships/image" Id="rId75"></Relationship><Relationship Target="media/document_image_rId76.png" Type="http://schemas.openxmlformats.org/officeDocument/2006/relationships/image" Id="rId76"></Relationship><Relationship Target="media/document_image_rId77.png" Type="http://schemas.openxmlformats.org/officeDocument/2006/relationships/image" Id="rId77"></Relationship><Relationship Target="media/document_image_rId78.png" Type="http://schemas.openxmlformats.org/officeDocument/2006/relationships/image" Id="rId78"></Relationship><Relationship Target="media/document_image_rId79.png" Type="http://schemas.openxmlformats.org/officeDocument/2006/relationships/image" Id="rId79"></Relationship><Relationship Target="media/document_image_rId80.png" Type="http://schemas.openxmlformats.org/officeDocument/2006/relationships/image" Id="rId80"></Relationship><Relationship Target="media/document_image_rId81.png" Type="http://schemas.openxmlformats.org/officeDocument/2006/relationships/image" Id="rId81"></Relationship><Relationship Target="media/document_image_rId82.png" Type="http://schemas.openxmlformats.org/officeDocument/2006/relationships/image" Id="rId82"></Relationship><Relationship Target="media/document_image_rId83.png" Type="http://schemas.openxmlformats.org/officeDocument/2006/relationships/image" Id="rId83"></Relationship><Relationship Target="media/document_image_rId84.png" Type="http://schemas.openxmlformats.org/officeDocument/2006/relationships/image" Id="rId84"></Relationship><Relationship Target="media/document_image_rId85.png" Type="http://schemas.openxmlformats.org/officeDocument/2006/relationships/image" Id="rId85"></Relationship><Relationship Target="media/document_image_rId86.png" Type="http://schemas.openxmlformats.org/officeDocument/2006/relationships/image" Id="rId86"></Relationship><Relationship Target="media/document_image_rId87.png" Type="http://schemas.openxmlformats.org/officeDocument/2006/relationships/image" Id="rId87"></Relationship><Relationship Target="media/document_image_rId88.png" Type="http://schemas.openxmlformats.org/officeDocument/2006/relationships/image" Id="rId88"></Relationship><Relationship Target="media/document_image_rId89.png" Type="http://schemas.openxmlformats.org/officeDocument/2006/relationships/image" Id="rId89"></Relationship><Relationship Target="media/document_image_rId90.png" Type="http://schemas.openxmlformats.org/officeDocument/2006/relationships/image" Id="rId90"></Relationship><Relationship Target="media/document_image_rId91.png" Type="http://schemas.openxmlformats.org/officeDocument/2006/relationships/image" Id="rId91"></Relationship><Relationship Target="media/document_image_rId92.png" Type="http://schemas.openxmlformats.org/officeDocument/2006/relationships/image" Id="rId92"></Relationship><Relationship Target="media/document_image_rId93.png" Type="http://schemas.openxmlformats.org/officeDocument/2006/relationships/image" Id="rId93"></Relationship><Relationship Target="media/document_image_rId94.png" Type="http://schemas.openxmlformats.org/officeDocument/2006/relationships/image" Id="rId94"></Relationship><Relationship Target="media/document_image_rId95.png" Type="http://schemas.openxmlformats.org/officeDocument/2006/relationships/image" Id="rId95"></Relationship><Relationship Target="media/document_image_rId96.png" Type="http://schemas.openxmlformats.org/officeDocument/2006/relationships/image" Id="rId96"></Relationship><Relationship Target="media/document_image_rId97.png" Type="http://schemas.openxmlformats.org/officeDocument/2006/relationships/image" Id="rId97"></Relationship><Relationship Target="media/document_image_rId98.png" Type="http://schemas.openxmlformats.org/officeDocument/2006/relationships/image" Id="rId98"></Relationship><Relationship Target="media/document_image_rId99.png" Type="http://schemas.openxmlformats.org/officeDocument/2006/relationships/image" Id="rId99"></Relationship><Relationship Target="media/document_image_rId100.png" Type="http://schemas.openxmlformats.org/officeDocument/2006/relationships/image" Id="rId100"></Relationship><Relationship Target="media/document_image_rId101.png" Type="http://schemas.openxmlformats.org/officeDocument/2006/relationships/image" Id="rId101"></Relationship><Relationship Target="media/document_image_rId102.png" Type="http://schemas.openxmlformats.org/officeDocument/2006/relationships/image" Id="rId102"></Relationship><Relationship Target="media/document_image_rId103.png" Type="http://schemas.openxmlformats.org/officeDocument/2006/relationships/image" Id="rId103"></Relationship><Relationship Target="media/document_image_rId104.png" Type="http://schemas.openxmlformats.org/officeDocument/2006/relationships/image" Id="rId104"></Relationship><Relationship Target="media/document_image_rId105.png" Type="http://schemas.openxmlformats.org/officeDocument/2006/relationships/image" Id="rId105"></Relationship><Relationship Target="media/document_image_rId106.png" Type="http://schemas.openxmlformats.org/officeDocument/2006/relationships/image" Id="rId106"></Relationship><Relationship Target="media/document_image_rId107.png" Type="http://schemas.openxmlformats.org/officeDocument/2006/relationships/image" Id="rId107"></Relationship><Relationship Target="media/document_image_rId108.png" Type="http://schemas.openxmlformats.org/officeDocument/2006/relationships/image" Id="rId108"></Relationship><Relationship Target="media/document_image_rId109.png" Type="http://schemas.openxmlformats.org/officeDocument/2006/relationships/image" Id="rId109"></Relationship><Relationship Target="media/document_image_rId110.png" Type="http://schemas.openxmlformats.org/officeDocument/2006/relationships/image" Id="rId110"></Relationship><Relationship Target="media/document_image_rId111.png" Type="http://schemas.openxmlformats.org/officeDocument/2006/relationships/image" Id="rId111"></Relationship><Relationship Target="media/document_image_rId112.png" Type="http://schemas.openxmlformats.org/officeDocument/2006/relationships/image" Id="rId112"></Relationship><Relationship Target="media/document_image_rId113.png" Type="http://schemas.openxmlformats.org/officeDocument/2006/relationships/image" Id="rId113"></Relationship><Relationship Target="media/document_image_rId114.png" Type="http://schemas.openxmlformats.org/officeDocument/2006/relationships/image" Id="rId114"></Relationship><Relationship Target="media/document_image_rId115.png" Type="http://schemas.openxmlformats.org/officeDocument/2006/relationships/image" Id="rId115"></Relationship><Relationship Target="media/document_image_rId116.png" Type="http://schemas.openxmlformats.org/officeDocument/2006/relationships/image" Id="rId116"></Relationship><Relationship Target="media/document_image_rId117.png" Type="http://schemas.openxmlformats.org/officeDocument/2006/relationships/image" Id="rId117"></Relationship><Relationship Target="media/document_image_rId118.png" Type="http://schemas.openxmlformats.org/officeDocument/2006/relationships/image" Id="rId118"></Relationship><Relationship Target="media/document_image_rId119.png" Type="http://schemas.openxmlformats.org/officeDocument/2006/relationships/image" Id="rId119"></Relationship><Relationship Target="media/document_image_rId120.png" Type="http://schemas.openxmlformats.org/officeDocument/2006/relationships/image" Id="rId120"></Relationship><Relationship Target="media/document_image_rId121.png" Type="http://schemas.openxmlformats.org/officeDocument/2006/relationships/image" Id="rId121"></Relationship><Relationship Target="media/document_image_rId122.png" Type="http://schemas.openxmlformats.org/officeDocument/2006/relationships/image" Id="rId122"></Relationship><Relationship Target="media/document_image_rId123.png" Type="http://schemas.openxmlformats.org/officeDocument/2006/relationships/image" Id="rId123"></Relationship><Relationship Target="media/document_image_rId124.png" Type="http://schemas.openxmlformats.org/officeDocument/2006/relationships/image" Id="rId124"></Relationship><Relationship Target="media/document_image_rId125.png" Type="http://schemas.openxmlformats.org/officeDocument/2006/relationships/image" Id="rId125"></Relationship><Relationship Target="media/document_image_rId126.png" Type="http://schemas.openxmlformats.org/officeDocument/2006/relationships/image" Id="rId126"></Relationship><Relationship Target="media/document_image_rId127.png" Type="http://schemas.openxmlformats.org/officeDocument/2006/relationships/image" Id="rId127"></Relationship><Relationship Target="media/document_image_rId128.png" Type="http://schemas.openxmlformats.org/officeDocument/2006/relationships/image" Id="rId128"></Relationship><Relationship Target="media/document_image_rId129.png" Type="http://schemas.openxmlformats.org/officeDocument/2006/relationships/image" Id="rId129"></Relationship><Relationship Target="media/document_image_rId130.png" Type="http://schemas.openxmlformats.org/officeDocument/2006/relationships/image" Id="rId130"></Relationship><Relationship Target="media/document_image_rId131.png" Type="http://schemas.openxmlformats.org/officeDocument/2006/relationships/image" Id="rId131"></Relationship><Relationship Target="media/document_image_rId132.png" Type="http://schemas.openxmlformats.org/officeDocument/2006/relationships/image" Id="rId132"></Relationship><Relationship Target="media/document_image_rId133.png" Type="http://schemas.openxmlformats.org/officeDocument/2006/relationships/image" Id="rId133"></Relationship><Relationship Target="media/document_image_rId134.png" Type="http://schemas.openxmlformats.org/officeDocument/2006/relationships/image" Id="rId134"></Relationship><Relationship Target="media/document_image_rId135.png" Type="http://schemas.openxmlformats.org/officeDocument/2006/relationships/image" Id="rId135"></Relationship><Relationship Target="media/document_image_rId136.png" Type="http://schemas.openxmlformats.org/officeDocument/2006/relationships/image" Id="rId136"></Relationship><Relationship Target="media/document_image_rId137.png" Type="http://schemas.openxmlformats.org/officeDocument/2006/relationships/image" Id="rId137"></Relationship><Relationship Target="media/document_image_rId138.png" Type="http://schemas.openxmlformats.org/officeDocument/2006/relationships/image" Id="rId138"></Relationship><Relationship Target="media/document_image_rId139.png" Type="http://schemas.openxmlformats.org/officeDocument/2006/relationships/image" Id="rId139"></Relationship><Relationship Target="media/document_image_rId140.png" Type="http://schemas.openxmlformats.org/officeDocument/2006/relationships/image" Id="rId140"></Relationship><Relationship Target="media/document_image_rId141.jpeg" Type="http://schemas.openxmlformats.org/officeDocument/2006/relationships/image" Id="rId141"></Relationship><Relationship Target="media/document_image_rId142.jpeg" Type="http://schemas.openxmlformats.org/officeDocument/2006/relationships/image" Id="rId142"></Relationship><Relationship Target="media/document_image_rId143.jpeg" Type="http://schemas.openxmlformats.org/officeDocument/2006/relationships/image" Id="rId143"></Relationship><Relationship Target="media/document_image_rId144.jpeg" Type="http://schemas.openxmlformats.org/officeDocument/2006/relationships/image" Id="rId144"></Relationship><Relationship Target="media/document_image_rId145.jpeg" Type="http://schemas.openxmlformats.org/officeDocument/2006/relationships/image" Id="rId145"></Relationship><Relationship Target="media/document_image_rId146.jpeg" Type="http://schemas.openxmlformats.org/officeDocument/2006/relationships/image" Id="rId146"></Relationship><Relationship Target="media/document_image_rId147.jpeg" Type="http://schemas.openxmlformats.org/officeDocument/2006/relationships/image" Id="rId147"></Relationship><Relationship Target="media/document_image_rId148.jpeg" Type="http://schemas.openxmlformats.org/officeDocument/2006/relationships/image" Id="rId148"></Relationship><Relationship Target="media/document_image_rId149.jpeg" Type="http://schemas.openxmlformats.org/officeDocument/2006/relationships/image" Id="rId149"></Relationship></Relationships>
</file>

<file path=word/theme/theme1.xml><?xml version="1.0" encoding="utf-8"?>
<a:theme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wps="http://schemas.microsoft.com/office/word/2010/wordprocessingShape"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xvml="urn:schemas-microsoft-com:office:excel" xmlns:o="urn:schemas-microsoft-com:office:office" xmlns:v="urn:schemas-microsoft-com:vml" xmlns:dsp="http://schemas.microsoft.com/office/drawing/2008/diagram" xmlns:xdr="http://schemas.openxmlformats.org/drawingml/2006/spreadsheetDrawing" xmlns:pic="http://schemas.openxmlformats.org/drawingml/2006/picture" xmlns:dgm="http://schemas.openxmlformats.org/drawingml/2006/diagram" xmlns:c14="http://schemas.microsoft.com/office/drawing/2007/8/2/chart" xmlns:cdr="http://schemas.openxmlformats.org/drawingml/2006/chartDrawing" xmlns:c="http://schemas.openxmlformats.org/drawingml/2006/chart" xmlns:wne="http://schemas.microsoft.com/office/word/2006/wordml" xmlns:sl="http://schemas.openxmlformats.org/schemaLibrary/2006/main" xmlns:mc="http://schemas.openxmlformats.org/markup-compatibility/2006" xmlns:wp14="http://schemas.microsoft.com/office/word/2010/wordprocessingDrawing" xmlns:a="http://schemas.openxmlformats.org/drawingml/2006/main" xmlns:wp="http://schemas.openxmlformats.org/drawingml/2006/wordprocessingDrawing" xmlns:m="http://schemas.openxmlformats.org/officeDocument/2006/math" xmlns:r="http://schemas.openxmlformats.org/officeDocument/2006/relationships" xmlns:w14="http://schemas.microsoft.com/office/word/2010/wordml" xmlns:w15="http://schemas.microsoft.com/office/word/2012/wordml" xmlns:w="http://schemas.openxmlformats.org/wordprocess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thm15:themeFamily xmlns:thm15="http://schemas.microsoft.com/office/thememl/2012/main" id="{62F939B6-93AF-4DB8-9C6B-D6C7DFDC589F}" name="Office Theme" vid="{4A3C46E8-61CC-4603-A589-7422A47A8E4A}"/>
    </a:ext>
  </a:extLst>
</a:theme>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dc="http://purl.org/dc/elements/1.1/" xmlns:dcterms="http://purl.org/dc/terms/" xmlns:cp="http://schemas.openxmlformats.org/package/2006/metadata/core-properties"/>
</file>